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header7.xml" ContentType="application/vnd.openxmlformats-officedocument.wordprocessingml.header+xml"/>
  <Override PartName="/word/footer10.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Override11.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theme/themeOverride12.xml" ContentType="application/vnd.openxmlformats-officedocument.themeOverride+xml"/>
  <Override PartName="/word/charts/chart23.xml" ContentType="application/vnd.openxmlformats-officedocument.drawingml.chart+xml"/>
  <Override PartName="/word/theme/themeOverride13.xml" ContentType="application/vnd.openxmlformats-officedocument.themeOverride+xml"/>
  <Override PartName="/word/charts/chart24.xml" ContentType="application/vnd.openxmlformats-officedocument.drawingml.chart+xml"/>
  <Override PartName="/word/charts/chart25.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6.xml" ContentType="application/vnd.openxmlformats-officedocument.drawingml.chart+xml"/>
  <Override PartName="/word/theme/themeOverride14.xml" ContentType="application/vnd.openxmlformats-officedocument.themeOverride+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41F" w:rsidRPr="00B75B77" w:rsidRDefault="00997DEC" w:rsidP="00CA641F">
      <w:pPr>
        <w:jc w:val="left"/>
        <w:rPr>
          <w:rFonts w:asciiTheme="majorHAnsi" w:hAnsiTheme="majorHAnsi"/>
          <w:b/>
          <w:sz w:val="48"/>
          <w:szCs w:val="48"/>
        </w:rPr>
        <w:sectPr w:rsidR="00CA641F" w:rsidRPr="00B75B77" w:rsidSect="00CA641F">
          <w:headerReference w:type="default" r:id="rId17"/>
          <w:footerReference w:type="default" r:id="rId18"/>
          <w:pgSz w:w="12240" w:h="15840" w:code="1"/>
          <w:pgMar w:top="915" w:right="1440" w:bottom="1260" w:left="1440" w:header="576" w:footer="475" w:gutter="0"/>
          <w:pgNumType w:fmt="lowerRoman"/>
          <w:cols w:space="720"/>
          <w:titlePg/>
          <w:docGrid w:linePitch="360"/>
        </w:sectPr>
      </w:pPr>
      <w:r w:rsidRPr="00B75B77">
        <w:rPr>
          <w:rFonts w:ascii="Arial" w:eastAsia="Times New Roman" w:hAnsi="Arial"/>
          <w:noProof/>
          <w:sz w:val="20"/>
          <w:szCs w:val="24"/>
        </w:rPr>
        <w:drawing>
          <wp:anchor distT="0" distB="0" distL="114300" distR="114300" simplePos="0" relativeHeight="251658244" behindDoc="0" locked="0" layoutInCell="1" allowOverlap="1" wp14:anchorId="2C7748F2" wp14:editId="773631E5">
            <wp:simplePos x="0" y="0"/>
            <wp:positionH relativeFrom="column">
              <wp:posOffset>4937760</wp:posOffset>
            </wp:positionH>
            <wp:positionV relativeFrom="margin">
              <wp:posOffset>8114665</wp:posOffset>
            </wp:positionV>
            <wp:extent cx="1572260" cy="274320"/>
            <wp:effectExtent l="0" t="0" r="8890" b="0"/>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Graphics\Marketing\Brand Refresh\Logos\M_NavigantLogo_CMYK.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572260" cy="2743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818F4" w:rsidRPr="00B75B77">
        <w:rPr>
          <w:rFonts w:asciiTheme="majorHAnsi" w:hAnsiTheme="majorHAnsi"/>
          <w:b/>
          <w:noProof/>
          <w:sz w:val="48"/>
          <w:szCs w:val="48"/>
        </w:rPr>
        <mc:AlternateContent>
          <mc:Choice Requires="wps">
            <w:drawing>
              <wp:anchor distT="0" distB="0" distL="114300" distR="114300" simplePos="0" relativeHeight="251658243" behindDoc="0" locked="0" layoutInCell="1" allowOverlap="1" wp14:anchorId="7525110E" wp14:editId="2A0C3176">
                <wp:simplePos x="0" y="0"/>
                <wp:positionH relativeFrom="column">
                  <wp:posOffset>4787265</wp:posOffset>
                </wp:positionH>
                <wp:positionV relativeFrom="paragraph">
                  <wp:posOffset>7560348</wp:posOffset>
                </wp:positionV>
                <wp:extent cx="1875790" cy="48577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790" cy="485775"/>
                        </a:xfrm>
                        <a:prstGeom prst="rect">
                          <a:avLst/>
                        </a:prstGeom>
                        <a:noFill/>
                        <a:ln w="9525">
                          <a:noFill/>
                          <a:miter lim="800000"/>
                          <a:headEnd/>
                          <a:tailEnd/>
                        </a:ln>
                      </wps:spPr>
                      <wps:txbx>
                        <w:txbxContent>
                          <w:p w:rsidR="00E639E7" w:rsidRPr="00677F73" w:rsidRDefault="00E639E7" w:rsidP="00C11AE9">
                            <w:pPr>
                              <w:spacing w:after="120"/>
                              <w:jc w:val="center"/>
                              <w:rPr>
                                <w:rFonts w:ascii="Century Gothic" w:hAnsi="Century Gothic"/>
                                <w:sz w:val="18"/>
                                <w:szCs w:val="64"/>
                              </w:rPr>
                            </w:pPr>
                            <w:r w:rsidRPr="00677F73">
                              <w:rPr>
                                <w:rFonts w:ascii="Century Gothic" w:hAnsi="Century Gothic"/>
                                <w:sz w:val="18"/>
                                <w:szCs w:val="64"/>
                              </w:rPr>
                              <w:t>Prepared by:</w:t>
                            </w:r>
                          </w:p>
                          <w:p w:rsidR="00E639E7" w:rsidRPr="00677F73" w:rsidRDefault="00E639E7" w:rsidP="00997DEC">
                            <w:pPr>
                              <w:spacing w:after="120"/>
                              <w:jc w:val="center"/>
                              <w:rPr>
                                <w:rFonts w:ascii="Century Gothic" w:hAnsi="Century Gothic"/>
                                <w:b/>
                                <w:sz w:val="20"/>
                                <w:szCs w:val="64"/>
                              </w:rPr>
                            </w:pPr>
                            <w:proofErr w:type="gramStart"/>
                            <w:r>
                              <w:rPr>
                                <w:rFonts w:ascii="Century Gothic" w:hAnsi="Century Gothic"/>
                                <w:b/>
                                <w:sz w:val="20"/>
                                <w:szCs w:val="64"/>
                              </w:rPr>
                              <w:t>Navigant Consulting, Inc.</w:t>
                            </w:r>
                            <w:proofErr w:type="gramEnd"/>
                          </w:p>
                          <w:p w:rsidR="00E639E7" w:rsidRPr="00677F73" w:rsidRDefault="00E639E7" w:rsidP="00C11AE9">
                            <w:pPr>
                              <w:spacing w:after="120"/>
                              <w:jc w:val="center"/>
                              <w:rPr>
                                <w:rFonts w:ascii="Century Gothic" w:hAnsi="Century Gothic"/>
                                <w:szCs w:val="64"/>
                              </w:rPr>
                            </w:pPr>
                          </w:p>
                          <w:p w:rsidR="00E639E7" w:rsidRPr="00677F73" w:rsidRDefault="00E639E7" w:rsidP="00C11AE9">
                            <w:pPr>
                              <w:spacing w:after="120"/>
                              <w:jc w:val="center"/>
                              <w:rPr>
                                <w:rFonts w:ascii="Century Gothic" w:hAnsi="Century Gothic"/>
                                <w:b/>
                                <w:sz w:val="20"/>
                                <w:szCs w:val="6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6.95pt;margin-top:595.3pt;width:147.7pt;height:38.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" filled="f" stroked="f">
                <v:textbox>
                  <w:txbxContent>
                    <w:p w:rsidR="00E639E7" w:rsidRPr="00677F73" w:rsidRDefault="00E639E7" w:rsidP="00C11AE9">
                      <w:pPr>
                        <w:spacing w:after="120"/>
                        <w:jc w:val="center"/>
                        <w:rPr>
                          <w:rFonts w:ascii="Century Gothic" w:hAnsi="Century Gothic"/>
                          <w:sz w:val="18"/>
                          <w:szCs w:val="64"/>
                        </w:rPr>
                      </w:pPr>
                      <w:r w:rsidRPr="00677F73">
                        <w:rPr>
                          <w:rFonts w:ascii="Century Gothic" w:hAnsi="Century Gothic"/>
                          <w:sz w:val="18"/>
                          <w:szCs w:val="64"/>
                        </w:rPr>
                        <w:t>Prepared by:</w:t>
                      </w:r>
                    </w:p>
                    <w:p w:rsidR="00E639E7" w:rsidRPr="00677F73" w:rsidRDefault="00E639E7" w:rsidP="00997DEC">
                      <w:pPr>
                        <w:spacing w:after="120"/>
                        <w:jc w:val="center"/>
                        <w:rPr>
                          <w:rFonts w:ascii="Century Gothic" w:hAnsi="Century Gothic"/>
                          <w:b/>
                          <w:sz w:val="20"/>
                          <w:szCs w:val="64"/>
                        </w:rPr>
                      </w:pPr>
                      <w:r>
                        <w:rPr>
                          <w:rFonts w:ascii="Century Gothic" w:hAnsi="Century Gothic"/>
                          <w:b/>
                          <w:sz w:val="20"/>
                          <w:szCs w:val="64"/>
                        </w:rPr>
                        <w:t>Navigant Consulting, Inc.</w:t>
                      </w:r>
                    </w:p>
                    <w:p w:rsidR="00E639E7" w:rsidRPr="00677F73" w:rsidRDefault="00E639E7" w:rsidP="00C11AE9">
                      <w:pPr>
                        <w:spacing w:after="120"/>
                        <w:jc w:val="center"/>
                        <w:rPr>
                          <w:rFonts w:ascii="Century Gothic" w:hAnsi="Century Gothic"/>
                          <w:szCs w:val="64"/>
                        </w:rPr>
                      </w:pPr>
                    </w:p>
                    <w:p w:rsidR="00E639E7" w:rsidRPr="00677F73" w:rsidRDefault="00E639E7" w:rsidP="00C11AE9">
                      <w:pPr>
                        <w:spacing w:after="120"/>
                        <w:jc w:val="center"/>
                        <w:rPr>
                          <w:rFonts w:ascii="Century Gothic" w:hAnsi="Century Gothic"/>
                          <w:b/>
                          <w:sz w:val="20"/>
                          <w:szCs w:val="64"/>
                        </w:rPr>
                      </w:pPr>
                    </w:p>
                  </w:txbxContent>
                </v:textbox>
              </v:shape>
            </w:pict>
          </mc:Fallback>
        </mc:AlternateContent>
      </w:r>
      <w:r w:rsidR="004818F4" w:rsidRPr="00B75B77">
        <w:rPr>
          <w:noProof/>
        </w:rPr>
        <mc:AlternateContent>
          <mc:Choice Requires="wps">
            <w:drawing>
              <wp:anchor distT="0" distB="0" distL="114300" distR="114300" simplePos="0" relativeHeight="251658242" behindDoc="0" locked="0" layoutInCell="1" allowOverlap="1" wp14:anchorId="30D23A95" wp14:editId="0C1E413F">
                <wp:simplePos x="0" y="0"/>
                <wp:positionH relativeFrom="column">
                  <wp:posOffset>-734060</wp:posOffset>
                </wp:positionH>
                <wp:positionV relativeFrom="paragraph">
                  <wp:posOffset>3291042</wp:posOffset>
                </wp:positionV>
                <wp:extent cx="5353050" cy="446532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4465320"/>
                        </a:xfrm>
                        <a:prstGeom prst="rect">
                          <a:avLst/>
                        </a:prstGeom>
                        <a:noFill/>
                        <a:ln w="9525">
                          <a:noFill/>
                          <a:miter lim="800000"/>
                          <a:headEnd/>
                          <a:tailEnd/>
                        </a:ln>
                      </wps:spPr>
                      <wps:txbx>
                        <w:txbxContent>
                          <w:p w:rsidR="00E639E7" w:rsidRPr="00360EF8" w:rsidRDefault="00E639E7" w:rsidP="00C11AE9">
                            <w:pPr>
                              <w:spacing w:after="120"/>
                              <w:jc w:val="right"/>
                              <w:rPr>
                                <w:rFonts w:ascii="Century Gothic" w:hAnsi="Century Gothic"/>
                                <w:color w:val="FFFFFF" w:themeColor="background1"/>
                                <w:sz w:val="28"/>
                                <w:szCs w:val="64"/>
                              </w:rPr>
                            </w:pPr>
                            <w:r>
                              <w:rPr>
                                <w:rFonts w:ascii="Century Gothic" w:hAnsi="Century Gothic"/>
                                <w:color w:val="FFFFFF" w:themeColor="background1"/>
                                <w:sz w:val="28"/>
                                <w:szCs w:val="64"/>
                              </w:rPr>
                              <w:t>Presented to</w:t>
                            </w:r>
                            <w:r w:rsidRPr="00360EF8">
                              <w:rPr>
                                <w:rFonts w:ascii="Century Gothic" w:hAnsi="Century Gothic"/>
                                <w:color w:val="FFFFFF" w:themeColor="background1"/>
                                <w:sz w:val="28"/>
                                <w:szCs w:val="64"/>
                              </w:rPr>
                              <w:t xml:space="preserve">: </w:t>
                            </w:r>
                          </w:p>
                          <w:p w:rsidR="00E639E7" w:rsidRPr="00C11AE9" w:rsidRDefault="00E639E7" w:rsidP="00C11AE9">
                            <w:pPr>
                              <w:spacing w:after="240"/>
                              <w:jc w:val="right"/>
                              <w:rPr>
                                <w:rFonts w:ascii="Century Gothic" w:hAnsi="Century Gothic"/>
                                <w:b/>
                                <w:smallCaps/>
                                <w:color w:val="FFFFFF" w:themeColor="background1"/>
                                <w:sz w:val="36"/>
                                <w:szCs w:val="64"/>
                                <w14:shadow w14:blurRad="50800" w14:dist="38100" w14:dir="2700000" w14:sx="100000" w14:sy="100000" w14:kx="0" w14:ky="0" w14:algn="tl">
                                  <w14:srgbClr w14:val="000000">
                                    <w14:alpha w14:val="60000"/>
                                  </w14:srgbClr>
                                </w14:shadow>
                              </w:rPr>
                            </w:pPr>
                            <w:r w:rsidRPr="00C11AE9">
                              <w:rPr>
                                <w:rFonts w:ascii="Century Gothic" w:hAnsi="Century Gothic"/>
                                <w:b/>
                                <w:smallCaps/>
                                <w:color w:val="FFFFFF" w:themeColor="background1"/>
                                <w:sz w:val="36"/>
                                <w:szCs w:val="64"/>
                                <w14:shadow w14:blurRad="50800" w14:dist="38100" w14:dir="2700000" w14:sx="100000" w14:sy="100000" w14:kx="0" w14:ky="0" w14:algn="tl">
                                  <w14:srgbClr w14:val="000000">
                                    <w14:alpha w14:val="60000"/>
                                  </w14:srgbClr>
                                </w14:shadow>
                              </w:rPr>
                              <w:t>Pennsylvania Public Utility Commission</w:t>
                            </w:r>
                          </w:p>
                          <w:p w:rsidR="00E639E7" w:rsidRPr="00C11AE9" w:rsidRDefault="00E639E7" w:rsidP="00C11AE9">
                            <w:pPr>
                              <w:jc w:val="right"/>
                              <w:rPr>
                                <w:rFonts w:ascii="Century Gothic" w:hAnsi="Century Gothic"/>
                                <w:color w:val="FFFFFF" w:themeColor="background1"/>
                                <w:sz w:val="32"/>
                                <w:szCs w:val="64"/>
                              </w:rPr>
                            </w:pPr>
                            <w:r w:rsidRPr="00C11AE9">
                              <w:rPr>
                                <w:rFonts w:ascii="Century Gothic" w:hAnsi="Century Gothic"/>
                                <w:color w:val="FFFFFF" w:themeColor="background1"/>
                                <w:sz w:val="32"/>
                                <w:szCs w:val="64"/>
                              </w:rPr>
                              <w:t>Pennsylvania Act 129 of 2008</w:t>
                            </w:r>
                          </w:p>
                          <w:p w:rsidR="00E639E7" w:rsidRPr="00C11AE9" w:rsidRDefault="00E639E7" w:rsidP="00C11AE9">
                            <w:pPr>
                              <w:jc w:val="right"/>
                              <w:rPr>
                                <w:rFonts w:ascii="Century Gothic" w:hAnsi="Century Gothic"/>
                                <w:color w:val="FFFFFF" w:themeColor="background1"/>
                                <w:sz w:val="32"/>
                                <w:szCs w:val="64"/>
                              </w:rPr>
                            </w:pPr>
                            <w:r w:rsidRPr="00C11AE9">
                              <w:rPr>
                                <w:rFonts w:ascii="Century Gothic" w:hAnsi="Century Gothic"/>
                                <w:color w:val="FFFFFF" w:themeColor="background1"/>
                                <w:sz w:val="32"/>
                                <w:szCs w:val="64"/>
                              </w:rPr>
                              <w:t>Energy Efficiency and Conservation Plan</w:t>
                            </w:r>
                          </w:p>
                          <w:p w:rsidR="00E639E7" w:rsidRDefault="00E639E7" w:rsidP="00C11AE9">
                            <w:pPr>
                              <w:spacing w:after="120"/>
                              <w:jc w:val="right"/>
                              <w:rPr>
                                <w:rFonts w:ascii="Century Gothic" w:hAnsi="Century Gothic"/>
                                <w:color w:val="FFFFFF" w:themeColor="background1"/>
                                <w:sz w:val="32"/>
                                <w:szCs w:val="64"/>
                              </w:rPr>
                            </w:pPr>
                          </w:p>
                          <w:p w:rsidR="00E639E7" w:rsidRPr="00682654" w:rsidRDefault="00E639E7" w:rsidP="00C11AE9">
                            <w:pPr>
                              <w:spacing w:after="120"/>
                              <w:jc w:val="right"/>
                              <w:rPr>
                                <w:rFonts w:ascii="Century Gothic" w:hAnsi="Century Gothic"/>
                                <w:color w:val="FFFFFF" w:themeColor="background1"/>
                                <w:sz w:val="28"/>
                                <w:szCs w:val="64"/>
                              </w:rPr>
                            </w:pPr>
                          </w:p>
                          <w:p w:rsidR="00E639E7" w:rsidRDefault="00E639E7" w:rsidP="00C11AE9">
                            <w:pPr>
                              <w:spacing w:after="120"/>
                              <w:jc w:val="right"/>
                              <w:rPr>
                                <w:rFonts w:ascii="Century Gothic" w:hAnsi="Century Gothic"/>
                                <w:color w:val="FFFFFF" w:themeColor="background1"/>
                                <w:sz w:val="28"/>
                                <w:szCs w:val="64"/>
                              </w:rPr>
                            </w:pPr>
                          </w:p>
                          <w:p w:rsidR="00E639E7" w:rsidRDefault="00E639E7" w:rsidP="00C11AE9">
                            <w:pPr>
                              <w:spacing w:after="120"/>
                              <w:jc w:val="right"/>
                              <w:rPr>
                                <w:rFonts w:ascii="Century Gothic" w:hAnsi="Century Gothic"/>
                                <w:b/>
                                <w:color w:val="FFFFFF" w:themeColor="background1"/>
                                <w:sz w:val="24"/>
                                <w:szCs w:val="64"/>
                              </w:rPr>
                            </w:pPr>
                            <w:r w:rsidRPr="00C11AE9">
                              <w:rPr>
                                <w:rFonts w:ascii="Century Gothic" w:hAnsi="Century Gothic"/>
                                <w:b/>
                                <w:color w:val="FFFFFF" w:themeColor="background1"/>
                                <w:sz w:val="24"/>
                                <w:szCs w:val="64"/>
                              </w:rPr>
                              <w:t xml:space="preserve">Prepared for: </w:t>
                            </w:r>
                          </w:p>
                          <w:p w:rsidR="00E639E7" w:rsidRPr="00C11AE9" w:rsidRDefault="00E639E7" w:rsidP="00C11AE9">
                            <w:pPr>
                              <w:spacing w:after="120"/>
                              <w:jc w:val="right"/>
                              <w:rPr>
                                <w:rFonts w:ascii="Century Gothic" w:hAnsi="Century Gothic"/>
                                <w:b/>
                                <w:color w:val="FFFFFF" w:themeColor="background1"/>
                                <w:sz w:val="28"/>
                                <w:szCs w:val="64"/>
                                <w14:shadow w14:blurRad="50800" w14:dist="38100" w14:dir="2700000" w14:sx="100000" w14:sy="100000" w14:kx="0" w14:ky="0" w14:algn="tl">
                                  <w14:srgbClr w14:val="000000">
                                    <w14:alpha w14:val="60000"/>
                                  </w14:srgbClr>
                                </w14:shadow>
                              </w:rPr>
                            </w:pPr>
                            <w:r>
                              <w:rPr>
                                <w:rFonts w:ascii="Century Gothic" w:hAnsi="Century Gothic"/>
                                <w:b/>
                                <w:color w:val="FFFFFF" w:themeColor="background1"/>
                                <w:sz w:val="28"/>
                                <w:szCs w:val="64"/>
                                <w14:shadow w14:blurRad="50800" w14:dist="38100" w14:dir="2700000" w14:sx="100000" w14:sy="100000" w14:kx="0" w14:ky="0" w14:algn="tl">
                                  <w14:srgbClr w14:val="000000">
                                    <w14:alpha w14:val="60000"/>
                                  </w14:srgbClr>
                                </w14:shadow>
                              </w:rPr>
                              <w:t>PECO</w:t>
                            </w:r>
                          </w:p>
                          <w:p w:rsidR="00E639E7" w:rsidRDefault="00E639E7" w:rsidP="00C11AE9">
                            <w:pPr>
                              <w:spacing w:after="120"/>
                              <w:jc w:val="right"/>
                              <w:rPr>
                                <w:rFonts w:ascii="Century Gothic" w:hAnsi="Century Gothic"/>
                                <w:color w:val="FFFFFF" w:themeColor="background1"/>
                                <w:sz w:val="28"/>
                                <w:szCs w:val="64"/>
                              </w:rPr>
                            </w:pPr>
                          </w:p>
                          <w:p w:rsidR="00E639E7" w:rsidRPr="00C11AE9" w:rsidRDefault="00E639E7" w:rsidP="00C11AE9">
                            <w:pPr>
                              <w:spacing w:after="120"/>
                              <w:jc w:val="right"/>
                              <w:rPr>
                                <w:rFonts w:ascii="Century Gothic" w:hAnsi="Century Gothic"/>
                                <w:b/>
                                <w:color w:val="FFFFFF" w:themeColor="background1"/>
                                <w:sz w:val="26"/>
                                <w:szCs w:val="26"/>
                              </w:rPr>
                            </w:pPr>
                            <w:r>
                              <w:rPr>
                                <w:rFonts w:ascii="Century Gothic" w:hAnsi="Century Gothic"/>
                                <w:b/>
                                <w:color w:val="FFFFFF" w:themeColor="background1"/>
                                <w:sz w:val="26"/>
                                <w:szCs w:val="26"/>
                              </w:rPr>
                              <w:t>November 15</w:t>
                            </w:r>
                            <w:r w:rsidRPr="000E2D00">
                              <w:rPr>
                                <w:rFonts w:ascii="Century Gothic" w:hAnsi="Century Gothic"/>
                                <w:b/>
                                <w:color w:val="FFFFFF" w:themeColor="background1"/>
                                <w:sz w:val="26"/>
                                <w:szCs w:val="26"/>
                              </w:rPr>
                              <w:t>, 2016</w:t>
                            </w:r>
                            <w:r w:rsidRPr="00C11AE9">
                              <w:rPr>
                                <w:rFonts w:ascii="Century Gothic" w:hAnsi="Century Gothic"/>
                                <w:b/>
                                <w:color w:val="FFFFFF" w:themeColor="background1"/>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7.8pt;margin-top:259.15pt;width:421.5pt;height:351.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" filled="f" stroked="f">
                <v:textbox>
                  <w:txbxContent>
                    <w:p w:rsidR="00E639E7" w:rsidRPr="00360EF8" w:rsidRDefault="00E639E7" w:rsidP="00C11AE9">
                      <w:pPr>
                        <w:spacing w:after="120"/>
                        <w:jc w:val="right"/>
                        <w:rPr>
                          <w:rFonts w:ascii="Century Gothic" w:hAnsi="Century Gothic"/>
                          <w:color w:val="FFFFFF" w:themeColor="background1"/>
                          <w:sz w:val="28"/>
                          <w:szCs w:val="64"/>
                        </w:rPr>
                      </w:pPr>
                      <w:r>
                        <w:rPr>
                          <w:rFonts w:ascii="Century Gothic" w:hAnsi="Century Gothic"/>
                          <w:color w:val="FFFFFF" w:themeColor="background1"/>
                          <w:sz w:val="28"/>
                          <w:szCs w:val="64"/>
                        </w:rPr>
                        <w:t>Presented to</w:t>
                      </w:r>
                      <w:r w:rsidRPr="00360EF8">
                        <w:rPr>
                          <w:rFonts w:ascii="Century Gothic" w:hAnsi="Century Gothic"/>
                          <w:color w:val="FFFFFF" w:themeColor="background1"/>
                          <w:sz w:val="28"/>
                          <w:szCs w:val="64"/>
                        </w:rPr>
                        <w:t xml:space="preserve">: </w:t>
                      </w:r>
                    </w:p>
                    <w:p w:rsidR="00E639E7" w:rsidRPr="00C11AE9" w:rsidRDefault="00E639E7" w:rsidP="00C11AE9">
                      <w:pPr>
                        <w:spacing w:after="240"/>
                        <w:jc w:val="right"/>
                        <w:rPr>
                          <w:rFonts w:ascii="Century Gothic" w:hAnsi="Century Gothic"/>
                          <w:b/>
                          <w:smallCaps/>
                          <w:color w:val="FFFFFF" w:themeColor="background1"/>
                          <w:sz w:val="36"/>
                          <w:szCs w:val="64"/>
                          <w14:shadow w14:blurRad="50800" w14:dist="38100" w14:dir="2700000" w14:sx="100000" w14:sy="100000" w14:kx="0" w14:ky="0" w14:algn="tl">
                            <w14:srgbClr w14:val="000000">
                              <w14:alpha w14:val="60000"/>
                            </w14:srgbClr>
                          </w14:shadow>
                        </w:rPr>
                      </w:pPr>
                      <w:r w:rsidRPr="00C11AE9">
                        <w:rPr>
                          <w:rFonts w:ascii="Century Gothic" w:hAnsi="Century Gothic"/>
                          <w:b/>
                          <w:smallCaps/>
                          <w:color w:val="FFFFFF" w:themeColor="background1"/>
                          <w:sz w:val="36"/>
                          <w:szCs w:val="64"/>
                          <w14:shadow w14:blurRad="50800" w14:dist="38100" w14:dir="2700000" w14:sx="100000" w14:sy="100000" w14:kx="0" w14:ky="0" w14:algn="tl">
                            <w14:srgbClr w14:val="000000">
                              <w14:alpha w14:val="60000"/>
                            </w14:srgbClr>
                          </w14:shadow>
                        </w:rPr>
                        <w:t>Pennsylvania Public Utility Commission</w:t>
                      </w:r>
                    </w:p>
                    <w:p w:rsidR="00E639E7" w:rsidRPr="00C11AE9" w:rsidRDefault="00E639E7" w:rsidP="00C11AE9">
                      <w:pPr>
                        <w:jc w:val="right"/>
                        <w:rPr>
                          <w:rFonts w:ascii="Century Gothic" w:hAnsi="Century Gothic"/>
                          <w:color w:val="FFFFFF" w:themeColor="background1"/>
                          <w:sz w:val="32"/>
                          <w:szCs w:val="64"/>
                        </w:rPr>
                      </w:pPr>
                      <w:r w:rsidRPr="00C11AE9">
                        <w:rPr>
                          <w:rFonts w:ascii="Century Gothic" w:hAnsi="Century Gothic"/>
                          <w:color w:val="FFFFFF" w:themeColor="background1"/>
                          <w:sz w:val="32"/>
                          <w:szCs w:val="64"/>
                        </w:rPr>
                        <w:t>Pennsylvania Act 129 of 2008</w:t>
                      </w:r>
                    </w:p>
                    <w:p w:rsidR="00E639E7" w:rsidRPr="00C11AE9" w:rsidRDefault="00E639E7" w:rsidP="00C11AE9">
                      <w:pPr>
                        <w:jc w:val="right"/>
                        <w:rPr>
                          <w:rFonts w:ascii="Century Gothic" w:hAnsi="Century Gothic"/>
                          <w:color w:val="FFFFFF" w:themeColor="background1"/>
                          <w:sz w:val="32"/>
                          <w:szCs w:val="64"/>
                        </w:rPr>
                      </w:pPr>
                      <w:r w:rsidRPr="00C11AE9">
                        <w:rPr>
                          <w:rFonts w:ascii="Century Gothic" w:hAnsi="Century Gothic"/>
                          <w:color w:val="FFFFFF" w:themeColor="background1"/>
                          <w:sz w:val="32"/>
                          <w:szCs w:val="64"/>
                        </w:rPr>
                        <w:t>Energy Efficiency and Conservation Plan</w:t>
                      </w:r>
                    </w:p>
                    <w:p w:rsidR="00E639E7" w:rsidRDefault="00E639E7" w:rsidP="00C11AE9">
                      <w:pPr>
                        <w:spacing w:after="120"/>
                        <w:jc w:val="right"/>
                        <w:rPr>
                          <w:rFonts w:ascii="Century Gothic" w:hAnsi="Century Gothic"/>
                          <w:color w:val="FFFFFF" w:themeColor="background1"/>
                          <w:sz w:val="32"/>
                          <w:szCs w:val="64"/>
                        </w:rPr>
                      </w:pPr>
                    </w:p>
                    <w:p w:rsidR="00E639E7" w:rsidRPr="00682654" w:rsidRDefault="00E639E7" w:rsidP="00C11AE9">
                      <w:pPr>
                        <w:spacing w:after="120"/>
                        <w:jc w:val="right"/>
                        <w:rPr>
                          <w:rFonts w:ascii="Century Gothic" w:hAnsi="Century Gothic"/>
                          <w:color w:val="FFFFFF" w:themeColor="background1"/>
                          <w:sz w:val="28"/>
                          <w:szCs w:val="64"/>
                        </w:rPr>
                      </w:pPr>
                    </w:p>
                    <w:p w:rsidR="00E639E7" w:rsidRDefault="00E639E7" w:rsidP="00C11AE9">
                      <w:pPr>
                        <w:spacing w:after="120"/>
                        <w:jc w:val="right"/>
                        <w:rPr>
                          <w:rFonts w:ascii="Century Gothic" w:hAnsi="Century Gothic"/>
                          <w:color w:val="FFFFFF" w:themeColor="background1"/>
                          <w:sz w:val="28"/>
                          <w:szCs w:val="64"/>
                        </w:rPr>
                      </w:pPr>
                    </w:p>
                    <w:p w:rsidR="00E639E7" w:rsidRDefault="00E639E7" w:rsidP="00C11AE9">
                      <w:pPr>
                        <w:spacing w:after="120"/>
                        <w:jc w:val="right"/>
                        <w:rPr>
                          <w:rFonts w:ascii="Century Gothic" w:hAnsi="Century Gothic"/>
                          <w:b/>
                          <w:color w:val="FFFFFF" w:themeColor="background1"/>
                          <w:sz w:val="24"/>
                          <w:szCs w:val="64"/>
                        </w:rPr>
                      </w:pPr>
                      <w:r w:rsidRPr="00C11AE9">
                        <w:rPr>
                          <w:rFonts w:ascii="Century Gothic" w:hAnsi="Century Gothic"/>
                          <w:b/>
                          <w:color w:val="FFFFFF" w:themeColor="background1"/>
                          <w:sz w:val="24"/>
                          <w:szCs w:val="64"/>
                        </w:rPr>
                        <w:t xml:space="preserve">Prepared for: </w:t>
                      </w:r>
                    </w:p>
                    <w:p w:rsidR="00E639E7" w:rsidRPr="00C11AE9" w:rsidRDefault="00E639E7" w:rsidP="00C11AE9">
                      <w:pPr>
                        <w:spacing w:after="120"/>
                        <w:jc w:val="right"/>
                        <w:rPr>
                          <w:rFonts w:ascii="Century Gothic" w:hAnsi="Century Gothic"/>
                          <w:b/>
                          <w:color w:val="FFFFFF" w:themeColor="background1"/>
                          <w:sz w:val="28"/>
                          <w:szCs w:val="64"/>
                          <w14:shadow w14:blurRad="50800" w14:dist="38100" w14:dir="2700000" w14:sx="100000" w14:sy="100000" w14:kx="0" w14:ky="0" w14:algn="tl">
                            <w14:srgbClr w14:val="000000">
                              <w14:alpha w14:val="60000"/>
                            </w14:srgbClr>
                          </w14:shadow>
                        </w:rPr>
                      </w:pPr>
                      <w:r>
                        <w:rPr>
                          <w:rFonts w:ascii="Century Gothic" w:hAnsi="Century Gothic"/>
                          <w:b/>
                          <w:color w:val="FFFFFF" w:themeColor="background1"/>
                          <w:sz w:val="28"/>
                          <w:szCs w:val="64"/>
                          <w14:shadow w14:blurRad="50800" w14:dist="38100" w14:dir="2700000" w14:sx="100000" w14:sy="100000" w14:kx="0" w14:ky="0" w14:algn="tl">
                            <w14:srgbClr w14:val="000000">
                              <w14:alpha w14:val="60000"/>
                            </w14:srgbClr>
                          </w14:shadow>
                        </w:rPr>
                        <w:t>PECO</w:t>
                      </w:r>
                    </w:p>
                    <w:p w:rsidR="00E639E7" w:rsidRDefault="00E639E7" w:rsidP="00C11AE9">
                      <w:pPr>
                        <w:spacing w:after="120"/>
                        <w:jc w:val="right"/>
                        <w:rPr>
                          <w:rFonts w:ascii="Century Gothic" w:hAnsi="Century Gothic"/>
                          <w:color w:val="FFFFFF" w:themeColor="background1"/>
                          <w:sz w:val="28"/>
                          <w:szCs w:val="64"/>
                        </w:rPr>
                      </w:pPr>
                    </w:p>
                    <w:p w:rsidR="00E639E7" w:rsidRPr="00C11AE9" w:rsidRDefault="00E639E7" w:rsidP="00C11AE9">
                      <w:pPr>
                        <w:spacing w:after="120"/>
                        <w:jc w:val="right"/>
                        <w:rPr>
                          <w:rFonts w:ascii="Century Gothic" w:hAnsi="Century Gothic"/>
                          <w:b/>
                          <w:color w:val="FFFFFF" w:themeColor="background1"/>
                          <w:sz w:val="26"/>
                          <w:szCs w:val="26"/>
                        </w:rPr>
                      </w:pPr>
                      <w:r>
                        <w:rPr>
                          <w:rFonts w:ascii="Century Gothic" w:hAnsi="Century Gothic"/>
                          <w:b/>
                          <w:color w:val="FFFFFF" w:themeColor="background1"/>
                          <w:sz w:val="26"/>
                          <w:szCs w:val="26"/>
                        </w:rPr>
                        <w:t>November 15</w:t>
                      </w:r>
                      <w:r w:rsidRPr="000E2D00">
                        <w:rPr>
                          <w:rFonts w:ascii="Century Gothic" w:hAnsi="Century Gothic"/>
                          <w:b/>
                          <w:color w:val="FFFFFF" w:themeColor="background1"/>
                          <w:sz w:val="26"/>
                          <w:szCs w:val="26"/>
                        </w:rPr>
                        <w:t>, 2016</w:t>
                      </w:r>
                      <w:r w:rsidRPr="00C11AE9">
                        <w:rPr>
                          <w:rFonts w:ascii="Century Gothic" w:hAnsi="Century Gothic"/>
                          <w:b/>
                          <w:color w:val="FFFFFF" w:themeColor="background1"/>
                          <w:sz w:val="26"/>
                          <w:szCs w:val="26"/>
                        </w:rPr>
                        <w:t xml:space="preserve"> </w:t>
                      </w:r>
                    </w:p>
                  </w:txbxContent>
                </v:textbox>
              </v:shape>
            </w:pict>
          </mc:Fallback>
        </mc:AlternateContent>
      </w:r>
      <w:r w:rsidR="004818F4" w:rsidRPr="00B75B77">
        <w:rPr>
          <w:noProof/>
        </w:rPr>
        <mc:AlternateContent>
          <mc:Choice Requires="wps">
            <w:drawing>
              <wp:anchor distT="0" distB="0" distL="114300" distR="114300" simplePos="0" relativeHeight="251658241" behindDoc="0" locked="0" layoutInCell="1" allowOverlap="1" wp14:anchorId="7FB9BC90" wp14:editId="1383E6BD">
                <wp:simplePos x="0" y="0"/>
                <wp:positionH relativeFrom="column">
                  <wp:posOffset>-733331</wp:posOffset>
                </wp:positionH>
                <wp:positionV relativeFrom="paragraph">
                  <wp:posOffset>686460</wp:posOffset>
                </wp:positionV>
                <wp:extent cx="5342890" cy="2245260"/>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2245260"/>
                        </a:xfrm>
                        <a:prstGeom prst="rect">
                          <a:avLst/>
                        </a:prstGeom>
                        <a:noFill/>
                        <a:ln w="9525">
                          <a:noFill/>
                          <a:miter lim="800000"/>
                          <a:headEnd/>
                          <a:tailEnd/>
                        </a:ln>
                      </wps:spPr>
                      <wps:txbx>
                        <w:txbxContent>
                          <w:p w:rsidR="00E639E7" w:rsidRPr="00C11AE9" w:rsidRDefault="00E639E7" w:rsidP="00C11AE9">
                            <w:pPr>
                              <w:jc w:val="right"/>
                              <w:rPr>
                                <w:rFonts w:ascii="Century Gothic" w:hAnsi="Century Gothic"/>
                                <w:b/>
                                <w:smallCaps/>
                                <w:color w:val="FFFFFF" w:themeColor="background1"/>
                                <w:sz w:val="60"/>
                                <w:szCs w:val="60"/>
                                <w14:shadow w14:blurRad="50800" w14:dist="38100" w14:dir="2700000" w14:sx="100000" w14:sy="100000" w14:kx="0" w14:ky="0" w14:algn="tl">
                                  <w14:srgbClr w14:val="000000">
                                    <w14:alpha w14:val="60000"/>
                                  </w14:srgbClr>
                                </w14:shadow>
                              </w:rPr>
                            </w:pPr>
                            <w:r>
                              <w:rPr>
                                <w:rFonts w:ascii="Century Gothic" w:hAnsi="Century Gothic"/>
                                <w:b/>
                                <w:smallCaps/>
                                <w:color w:val="FFFFFF" w:themeColor="background1"/>
                                <w:sz w:val="60"/>
                                <w:szCs w:val="60"/>
                                <w14:shadow w14:blurRad="50800" w14:dist="38100" w14:dir="2700000" w14:sx="100000" w14:sy="100000" w14:kx="0" w14:ky="0" w14:algn="tl">
                                  <w14:srgbClr w14:val="000000">
                                    <w14:alpha w14:val="60000"/>
                                  </w14:srgbClr>
                                </w14:shadow>
                              </w:rPr>
                              <w:t>EDC Program Year 7</w:t>
                            </w:r>
                            <w:r w:rsidRPr="00C11AE9">
                              <w:rPr>
                                <w:rFonts w:ascii="Century Gothic" w:hAnsi="Century Gothic"/>
                                <w:b/>
                                <w:smallCaps/>
                                <w:color w:val="FFFFFF" w:themeColor="background1"/>
                                <w:sz w:val="60"/>
                                <w:szCs w:val="60"/>
                                <w14:shadow w14:blurRad="50800" w14:dist="38100" w14:dir="2700000" w14:sx="100000" w14:sy="100000" w14:kx="0" w14:ky="0" w14:algn="tl">
                                  <w14:srgbClr w14:val="000000">
                                    <w14:alpha w14:val="60000"/>
                                  </w14:srgbClr>
                                </w14:shadow>
                              </w:rPr>
                              <w:t xml:space="preserve"> </w:t>
                            </w:r>
                          </w:p>
                          <w:p w:rsidR="00E639E7" w:rsidRPr="00C11AE9" w:rsidRDefault="00E639E7" w:rsidP="00C11AE9">
                            <w:pPr>
                              <w:spacing w:after="240"/>
                              <w:jc w:val="right"/>
                              <w:rPr>
                                <w:rFonts w:ascii="Century Gothic" w:hAnsi="Century Gothic"/>
                                <w:b/>
                                <w:smallCaps/>
                                <w:color w:val="FFFFFF" w:themeColor="background1"/>
                                <w:sz w:val="60"/>
                                <w:szCs w:val="60"/>
                                <w14:shadow w14:blurRad="50800" w14:dist="38100" w14:dir="2700000" w14:sx="100000" w14:sy="100000" w14:kx="0" w14:ky="0" w14:algn="tl">
                                  <w14:srgbClr w14:val="000000">
                                    <w14:alpha w14:val="60000"/>
                                  </w14:srgbClr>
                                </w14:shadow>
                              </w:rPr>
                            </w:pPr>
                            <w:r w:rsidRPr="00C11AE9">
                              <w:rPr>
                                <w:rFonts w:ascii="Century Gothic" w:hAnsi="Century Gothic"/>
                                <w:b/>
                                <w:smallCaps/>
                                <w:color w:val="FFFFFF" w:themeColor="background1"/>
                                <w:sz w:val="60"/>
                                <w:szCs w:val="60"/>
                                <w14:shadow w14:blurRad="50800" w14:dist="38100" w14:dir="2700000" w14:sx="100000" w14:sy="100000" w14:kx="0" w14:ky="0" w14:algn="tl">
                                  <w14:srgbClr w14:val="000000">
                                    <w14:alpha w14:val="60000"/>
                                  </w14:srgbClr>
                                </w14:shadow>
                              </w:rPr>
                              <w:t>Annual Report</w:t>
                            </w:r>
                            <w:r>
                              <w:rPr>
                                <w:rFonts w:ascii="Century Gothic" w:hAnsi="Century Gothic"/>
                                <w:b/>
                                <w:smallCaps/>
                                <w:color w:val="FFFFFF" w:themeColor="background1"/>
                                <w:sz w:val="60"/>
                                <w:szCs w:val="60"/>
                                <w14:shadow w14:blurRad="50800" w14:dist="38100" w14:dir="2700000" w14:sx="100000" w14:sy="100000" w14:kx="0" w14:ky="0" w14:algn="tl">
                                  <w14:srgbClr w14:val="000000">
                                    <w14:alpha w14:val="60000"/>
                                  </w14:srgbClr>
                                </w14:shadow>
                              </w:rPr>
                              <w:t xml:space="preserve"> </w:t>
                            </w:r>
                          </w:p>
                          <w:p w:rsidR="00E639E7" w:rsidRPr="00C11AE9" w:rsidRDefault="00E639E7" w:rsidP="00C11AE9">
                            <w:pPr>
                              <w:jc w:val="right"/>
                              <w:rPr>
                                <w:rFonts w:ascii="Century Gothic" w:hAnsi="Century Gothic"/>
                                <w:color w:val="FFFFFF" w:themeColor="background1"/>
                                <w:sz w:val="36"/>
                                <w:szCs w:val="50"/>
                                <w14:shadow w14:blurRad="50800" w14:dist="38100" w14:dir="2700000" w14:sx="100000" w14:sy="100000" w14:kx="0" w14:ky="0" w14:algn="tl">
                                  <w14:srgbClr w14:val="000000">
                                    <w14:alpha w14:val="60000"/>
                                  </w14:srgbClr>
                                </w14:shadow>
                              </w:rPr>
                            </w:pPr>
                            <w:r>
                              <w:rPr>
                                <w:rFonts w:ascii="Century Gothic" w:hAnsi="Century Gothic"/>
                                <w:color w:val="FFFFFF" w:themeColor="background1"/>
                                <w:sz w:val="36"/>
                                <w:szCs w:val="50"/>
                                <w14:shadow w14:blurRad="50800" w14:dist="38100" w14:dir="2700000" w14:sx="100000" w14:sy="100000" w14:kx="0" w14:ky="0" w14:algn="tl">
                                  <w14:srgbClr w14:val="000000">
                                    <w14:alpha w14:val="60000"/>
                                  </w14:srgbClr>
                                </w14:shadow>
                              </w:rPr>
                              <w:t>Program Year 7: June 1, 2015 – May 31, 2016</w:t>
                            </w:r>
                          </w:p>
                          <w:p w:rsidR="00E639E7" w:rsidRPr="00C11AE9" w:rsidRDefault="00E639E7" w:rsidP="00C11AE9">
                            <w:pPr>
                              <w:jc w:val="right"/>
                              <w:rPr>
                                <w:rFonts w:ascii="Century Gothic" w:hAnsi="Century Gothic"/>
                                <w:b/>
                                <w:smallCaps/>
                                <w:color w:val="FFFFFF" w:themeColor="background1"/>
                                <w:sz w:val="64"/>
                                <w:szCs w:val="64"/>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7.75pt;margin-top:54.05pt;width:420.7pt;height:176.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" filled="f" stroked="f">
                <v:textbox>
                  <w:txbxContent>
                    <w:p w:rsidR="00E639E7" w:rsidRPr="00C11AE9" w:rsidRDefault="00E639E7" w:rsidP="00C11AE9">
                      <w:pPr>
                        <w:jc w:val="right"/>
                        <w:rPr>
                          <w:rFonts w:ascii="Century Gothic" w:hAnsi="Century Gothic"/>
                          <w:b/>
                          <w:smallCaps/>
                          <w:color w:val="FFFFFF" w:themeColor="background1"/>
                          <w:sz w:val="60"/>
                          <w:szCs w:val="60"/>
                          <w14:shadow w14:blurRad="50800" w14:dist="38100" w14:dir="2700000" w14:sx="100000" w14:sy="100000" w14:kx="0" w14:ky="0" w14:algn="tl">
                            <w14:srgbClr w14:val="000000">
                              <w14:alpha w14:val="60000"/>
                            </w14:srgbClr>
                          </w14:shadow>
                        </w:rPr>
                      </w:pPr>
                      <w:r>
                        <w:rPr>
                          <w:rFonts w:ascii="Century Gothic" w:hAnsi="Century Gothic"/>
                          <w:b/>
                          <w:smallCaps/>
                          <w:color w:val="FFFFFF" w:themeColor="background1"/>
                          <w:sz w:val="60"/>
                          <w:szCs w:val="60"/>
                          <w14:shadow w14:blurRad="50800" w14:dist="38100" w14:dir="2700000" w14:sx="100000" w14:sy="100000" w14:kx="0" w14:ky="0" w14:algn="tl">
                            <w14:srgbClr w14:val="000000">
                              <w14:alpha w14:val="60000"/>
                            </w14:srgbClr>
                          </w14:shadow>
                        </w:rPr>
                        <w:t>EDC Program Year 7</w:t>
                      </w:r>
                      <w:r w:rsidRPr="00C11AE9">
                        <w:rPr>
                          <w:rFonts w:ascii="Century Gothic" w:hAnsi="Century Gothic"/>
                          <w:b/>
                          <w:smallCaps/>
                          <w:color w:val="FFFFFF" w:themeColor="background1"/>
                          <w:sz w:val="60"/>
                          <w:szCs w:val="60"/>
                          <w14:shadow w14:blurRad="50800" w14:dist="38100" w14:dir="2700000" w14:sx="100000" w14:sy="100000" w14:kx="0" w14:ky="0" w14:algn="tl">
                            <w14:srgbClr w14:val="000000">
                              <w14:alpha w14:val="60000"/>
                            </w14:srgbClr>
                          </w14:shadow>
                        </w:rPr>
                        <w:t xml:space="preserve"> </w:t>
                      </w:r>
                    </w:p>
                    <w:p w:rsidR="00E639E7" w:rsidRPr="00C11AE9" w:rsidRDefault="00E639E7" w:rsidP="00C11AE9">
                      <w:pPr>
                        <w:spacing w:after="240"/>
                        <w:jc w:val="right"/>
                        <w:rPr>
                          <w:rFonts w:ascii="Century Gothic" w:hAnsi="Century Gothic"/>
                          <w:b/>
                          <w:smallCaps/>
                          <w:color w:val="FFFFFF" w:themeColor="background1"/>
                          <w:sz w:val="60"/>
                          <w:szCs w:val="60"/>
                          <w14:shadow w14:blurRad="50800" w14:dist="38100" w14:dir="2700000" w14:sx="100000" w14:sy="100000" w14:kx="0" w14:ky="0" w14:algn="tl">
                            <w14:srgbClr w14:val="000000">
                              <w14:alpha w14:val="60000"/>
                            </w14:srgbClr>
                          </w14:shadow>
                        </w:rPr>
                      </w:pPr>
                      <w:r w:rsidRPr="00C11AE9">
                        <w:rPr>
                          <w:rFonts w:ascii="Century Gothic" w:hAnsi="Century Gothic"/>
                          <w:b/>
                          <w:smallCaps/>
                          <w:color w:val="FFFFFF" w:themeColor="background1"/>
                          <w:sz w:val="60"/>
                          <w:szCs w:val="60"/>
                          <w14:shadow w14:blurRad="50800" w14:dist="38100" w14:dir="2700000" w14:sx="100000" w14:sy="100000" w14:kx="0" w14:ky="0" w14:algn="tl">
                            <w14:srgbClr w14:val="000000">
                              <w14:alpha w14:val="60000"/>
                            </w14:srgbClr>
                          </w14:shadow>
                        </w:rPr>
                        <w:t>Annual Report</w:t>
                      </w:r>
                      <w:r>
                        <w:rPr>
                          <w:rFonts w:ascii="Century Gothic" w:hAnsi="Century Gothic"/>
                          <w:b/>
                          <w:smallCaps/>
                          <w:color w:val="FFFFFF" w:themeColor="background1"/>
                          <w:sz w:val="60"/>
                          <w:szCs w:val="60"/>
                          <w14:shadow w14:blurRad="50800" w14:dist="38100" w14:dir="2700000" w14:sx="100000" w14:sy="100000" w14:kx="0" w14:ky="0" w14:algn="tl">
                            <w14:srgbClr w14:val="000000">
                              <w14:alpha w14:val="60000"/>
                            </w14:srgbClr>
                          </w14:shadow>
                        </w:rPr>
                        <w:t xml:space="preserve"> </w:t>
                      </w:r>
                    </w:p>
                    <w:p w:rsidR="00E639E7" w:rsidRPr="00C11AE9" w:rsidRDefault="00E639E7" w:rsidP="00C11AE9">
                      <w:pPr>
                        <w:jc w:val="right"/>
                        <w:rPr>
                          <w:rFonts w:ascii="Century Gothic" w:hAnsi="Century Gothic"/>
                          <w:color w:val="FFFFFF" w:themeColor="background1"/>
                          <w:sz w:val="36"/>
                          <w:szCs w:val="50"/>
                          <w14:shadow w14:blurRad="50800" w14:dist="38100" w14:dir="2700000" w14:sx="100000" w14:sy="100000" w14:kx="0" w14:ky="0" w14:algn="tl">
                            <w14:srgbClr w14:val="000000">
                              <w14:alpha w14:val="60000"/>
                            </w14:srgbClr>
                          </w14:shadow>
                        </w:rPr>
                      </w:pPr>
                      <w:r>
                        <w:rPr>
                          <w:rFonts w:ascii="Century Gothic" w:hAnsi="Century Gothic"/>
                          <w:color w:val="FFFFFF" w:themeColor="background1"/>
                          <w:sz w:val="36"/>
                          <w:szCs w:val="50"/>
                          <w14:shadow w14:blurRad="50800" w14:dist="38100" w14:dir="2700000" w14:sx="100000" w14:sy="100000" w14:kx="0" w14:ky="0" w14:algn="tl">
                            <w14:srgbClr w14:val="000000">
                              <w14:alpha w14:val="60000"/>
                            </w14:srgbClr>
                          </w14:shadow>
                        </w:rPr>
                        <w:t>Program Year 7: June 1, 2015 – May 31, 2016</w:t>
                      </w:r>
                    </w:p>
                    <w:p w:rsidR="00E639E7" w:rsidRPr="00C11AE9" w:rsidRDefault="00E639E7" w:rsidP="00C11AE9">
                      <w:pPr>
                        <w:jc w:val="right"/>
                        <w:rPr>
                          <w:rFonts w:ascii="Century Gothic" w:hAnsi="Century Gothic"/>
                          <w:b/>
                          <w:smallCaps/>
                          <w:color w:val="FFFFFF" w:themeColor="background1"/>
                          <w:sz w:val="64"/>
                          <w:szCs w:val="64"/>
                          <w14:shadow w14:blurRad="50800" w14:dist="38100" w14:dir="2700000" w14:sx="100000" w14:sy="100000" w14:kx="0" w14:ky="0" w14:algn="tl">
                            <w14:srgbClr w14:val="000000">
                              <w14:alpha w14:val="60000"/>
                            </w14:srgbClr>
                          </w14:shadow>
                        </w:rPr>
                      </w:pPr>
                    </w:p>
                  </w:txbxContent>
                </v:textbox>
              </v:shape>
            </w:pict>
          </mc:Fallback>
        </mc:AlternateContent>
      </w:r>
      <w:r w:rsidR="003E1F09" w:rsidRPr="00B75B77">
        <w:rPr>
          <w:noProof/>
        </w:rPr>
        <mc:AlternateContent>
          <mc:Choice Requires="wpg">
            <w:drawing>
              <wp:anchor distT="0" distB="0" distL="114300" distR="114300" simplePos="0" relativeHeight="251658240" behindDoc="0" locked="0" layoutInCell="1" allowOverlap="1" wp14:anchorId="46378EE4" wp14:editId="5C719D70">
                <wp:simplePos x="0" y="0"/>
                <wp:positionH relativeFrom="column">
                  <wp:posOffset>-715645</wp:posOffset>
                </wp:positionH>
                <wp:positionV relativeFrom="paragraph">
                  <wp:posOffset>-382270</wp:posOffset>
                </wp:positionV>
                <wp:extent cx="7395210" cy="9658350"/>
                <wp:effectExtent l="0" t="0" r="0" b="0"/>
                <wp:wrapNone/>
                <wp:docPr id="15" name="Group 15"/>
                <wp:cNvGraphicFramePr/>
                <a:graphic xmlns:a="http://schemas.openxmlformats.org/drawingml/2006/main">
                  <a:graphicData uri="http://schemas.microsoft.com/office/word/2010/wordprocessingGroup">
                    <wpg:wgp>
                      <wpg:cNvGrpSpPr/>
                      <wpg:grpSpPr>
                        <a:xfrm>
                          <a:off x="0" y="0"/>
                          <a:ext cx="7395210" cy="9658350"/>
                          <a:chOff x="0" y="0"/>
                          <a:chExt cx="7395327" cy="9658350"/>
                        </a:xfrm>
                      </wpg:grpSpPr>
                      <wps:wsp>
                        <wps:cNvPr id="5" name="Rectangle 5"/>
                        <wps:cNvSpPr>
                          <a:spLocks/>
                        </wps:cNvSpPr>
                        <wps:spPr>
                          <a:xfrm>
                            <a:off x="0" y="0"/>
                            <a:ext cx="5352601" cy="9658350"/>
                          </a:xfrm>
                          <a:prstGeom prst="rect">
                            <a:avLst/>
                          </a:prstGeom>
                          <a:solidFill>
                            <a:srgbClr val="448A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wps:wsp>
                        <wps:cNvPr id="6" name="Rectangle 6"/>
                        <wps:cNvSpPr>
                          <a:spLocks/>
                        </wps:cNvSpPr>
                        <wps:spPr>
                          <a:xfrm>
                            <a:off x="5528584" y="0"/>
                            <a:ext cx="1866743" cy="7036904"/>
                          </a:xfrm>
                          <a:prstGeom prst="rect">
                            <a:avLst/>
                          </a:prstGeom>
                          <a:gradFill>
                            <a:gsLst>
                              <a:gs pos="18000">
                                <a:srgbClr val="448A99"/>
                              </a:gs>
                              <a:gs pos="51000">
                                <a:srgbClr val="8AB0B4"/>
                              </a:gs>
                              <a:gs pos="100000">
                                <a:schemeClr val="bg1"/>
                              </a:gs>
                              <a:gs pos="83000">
                                <a:srgbClr val="AFCACD"/>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wpg:wgp>
                  </a:graphicData>
                </a:graphic>
              </wp:anchor>
            </w:drawing>
          </mc:Choice>
          <mc:Fallback>
            <w:pict>
              <v:group id="Group 15" o:spid="_x0000_s1029" style="position:absolute;margin-left:-56.35pt;margin-top:-30.1pt;width:582.3pt;height:760.5pt;z-index:251658240" coordsize="73953,96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">
                <v:rect id="Rectangle 5" o:spid="_x0000_s1030" style="position:absolute;width:53526;height:965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IP8EA&#10;AADaAAAADwAAAGRycy9kb3ducmV2LnhtbESPT4vCMBTE74LfITzBm6YKLkvXtKggqHuyrvdn8+wf&#10;m5fSRK3f3iws7HGYmd8wy7Q3jXhQ5yrLCmbTCARxbnXFhYKf03byCcJ5ZI2NZVLwIgdpMhwsMdb2&#10;yUd6ZL4QAcIuRgWl920spctLMuimtiUO3tV2Bn2QXSF1h88AN42cR9GHNFhxWCixpU1J+S27GwXH&#10;ItsuvteXVe3qE9fnM5pof1BqPOpXXyA89f4//NfeaQUL+L0SboBM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QSD/BAAAA2gAAAA8AAAAAAAAAAAAAAAAAmAIAAGRycy9kb3du&#10;cmV2LnhtbFBLBQYAAAAABAAEAPUAAACGAwAAAAA=&#10;" fillcolor="#448a99" stroked="f" strokeweight="2pt">
                  <v:path arrowok="t"/>
                  <v:textbox inset="21.6pt,1in,21.6pt">
                    <w:txbxContent>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p w:rsidR="00E639E7" w:rsidRDefault="00E639E7"/>
                      <w:p w:rsidR="00E639E7" w:rsidRDefault="00E639E7" w:rsidP="00C11AE9">
                        <w:pPr>
                          <w:pStyle w:val="Title"/>
                          <w:jc w:val="right"/>
                          <w:rPr>
                            <w:caps/>
                            <w:color w:val="FFFFFF" w:themeColor="background1"/>
                            <w:sz w:val="72"/>
                            <w:szCs w:val="72"/>
                          </w:rPr>
                        </w:pPr>
                      </w:p>
                      <w:p w:rsidR="00E639E7" w:rsidRDefault="00E639E7" w:rsidP="00C11AE9">
                        <w:pPr>
                          <w:spacing w:before="240"/>
                          <w:ind w:left="720"/>
                          <w:jc w:val="right"/>
                          <w:rPr>
                            <w:color w:val="FFFFFF" w:themeColor="background1"/>
                          </w:rPr>
                        </w:pPr>
                      </w:p>
                      <w:p w:rsidR="00E639E7" w:rsidRDefault="00E639E7" w:rsidP="00C11AE9">
                        <w:pPr>
                          <w:spacing w:before="240"/>
                          <w:ind w:left="1008"/>
                          <w:jc w:val="right"/>
                          <w:rPr>
                            <w:color w:val="FFFFFF" w:themeColor="background1"/>
                          </w:rPr>
                        </w:pPr>
                      </w:p>
                    </w:txbxContent>
                  </v:textbox>
                </v:rect>
                <v:rect id="Rectangle 6" o:spid="_x0000_s1031" style="position:absolute;left:55285;width:18668;height:70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ZrlMAA&#10;AADaAAAADwAAAGRycy9kb3ducmV2LnhtbESPQYvCMBSE7wv+h/AEb2uqB5GuURZRFPSyrXh+NG/b&#10;sslLSaKt/94ICx6HmfmGWW0Ga8SdfGgdK5hNMxDEldMt1wou5f5zCSJEZI3GMSl4UIDNevSxwly7&#10;nn/oXsRaJAiHHBU0MXa5lKFqyGKYuo44eb/OW4xJ+lpqj32CWyPnWbaQFltOCw12tG2o+ituVsF5&#10;1++vxVCcsu7sy1t52BppWqUm4+H7C0SkIb7D/+2jVrCA15V0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ZrlMAAAADaAAAADwAAAAAAAAAAAAAAAACYAgAAZHJzL2Rvd25y&#10;ZXYueG1sUEsFBgAAAAAEAAQA9QAAAIUDAAAAAA==&#10;" fillcolor="#448a99" stroked="f" strokeweight="2pt">
                  <v:fill color2="white [3212]" colors="0 #448a99;11796f #448a99;33423f #8ab0b4;54395f #afcacd" focus="100%" type="gradient">
                    <o:fill v:ext="view" type="gradientUnscaled"/>
                  </v:fill>
                  <v:path arrowok="t"/>
                  <v:textbox inset="14.4pt,,14.4pt">
                    <w:txbxContent>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p w:rsidR="00E639E7" w:rsidRDefault="00E639E7"/>
                      <w:p w:rsidR="00E639E7" w:rsidRDefault="00E639E7" w:rsidP="00C11AE9">
                        <w:pPr>
                          <w:pStyle w:val="Subtitle"/>
                          <w:rPr>
                            <w:color w:val="FFFFFF" w:themeColor="background1"/>
                          </w:rPr>
                        </w:pPr>
                      </w:p>
                    </w:txbxContent>
                  </v:textbox>
                </v:rect>
              </v:group>
            </w:pict>
          </mc:Fallback>
        </mc:AlternateContent>
      </w:r>
      <w:r w:rsidR="00C11AE9" w:rsidRPr="00B75B77">
        <w:rPr>
          <w:rFonts w:asciiTheme="majorHAnsi" w:hAnsiTheme="majorHAnsi"/>
          <w:b/>
          <w:sz w:val="48"/>
          <w:szCs w:val="48"/>
        </w:rPr>
        <w:br w:type="page"/>
      </w:r>
      <w:bookmarkStart w:id="0" w:name="_GoBack"/>
      <w:bookmarkEnd w:id="0"/>
    </w:p>
    <w:p w:rsidR="003E1F09" w:rsidRPr="00B75B77" w:rsidRDefault="003E1F09" w:rsidP="00CA641F">
      <w:pPr>
        <w:jc w:val="center"/>
        <w:rPr>
          <w:rFonts w:ascii="Century Gothic" w:hAnsi="Century Gothic"/>
          <w:b/>
          <w:smallCaps/>
          <w:sz w:val="60"/>
          <w:szCs w:val="60"/>
          <w14:shadow w14:blurRad="50800" w14:dist="38100" w14:dir="2700000" w14:sx="100000" w14:sy="100000" w14:kx="0" w14:ky="0" w14:algn="tl">
            <w14:srgbClr w14:val="000000">
              <w14:alpha w14:val="60000"/>
            </w14:srgbClr>
          </w14:shadow>
        </w:rPr>
      </w:pPr>
    </w:p>
    <w:p w:rsidR="00C11AE9" w:rsidRPr="00B75B77" w:rsidRDefault="002C585C" w:rsidP="00CA641F">
      <w:pPr>
        <w:jc w:val="center"/>
        <w:rPr>
          <w:rFonts w:ascii="Century Gothic" w:hAnsi="Century Gothic"/>
          <w:b/>
          <w:smallCaps/>
          <w:sz w:val="60"/>
          <w:szCs w:val="60"/>
          <w14:shadow w14:blurRad="50800" w14:dist="38100" w14:dir="2700000" w14:sx="100000" w14:sy="100000" w14:kx="0" w14:ky="0" w14:algn="tl">
            <w14:srgbClr w14:val="000000">
              <w14:alpha w14:val="60000"/>
            </w14:srgbClr>
          </w14:shadow>
        </w:rPr>
      </w:pPr>
      <w:r w:rsidRPr="00B75B77">
        <w:rPr>
          <w:rFonts w:ascii="Century Gothic" w:hAnsi="Century Gothic"/>
          <w:b/>
          <w:smallCaps/>
          <w:sz w:val="60"/>
          <w:szCs w:val="60"/>
          <w14:shadow w14:blurRad="50800" w14:dist="38100" w14:dir="2700000" w14:sx="100000" w14:sy="100000" w14:kx="0" w14:ky="0" w14:algn="tl">
            <w14:srgbClr w14:val="000000">
              <w14:alpha w14:val="60000"/>
            </w14:srgbClr>
          </w14:shadow>
        </w:rPr>
        <w:t>EDC Program Year 7</w:t>
      </w:r>
    </w:p>
    <w:p w:rsidR="00C11AE9" w:rsidRPr="00B75B77" w:rsidRDefault="00C11AE9" w:rsidP="00C11AE9">
      <w:pPr>
        <w:spacing w:after="240"/>
        <w:jc w:val="center"/>
        <w:rPr>
          <w:rFonts w:ascii="Century Gothic" w:hAnsi="Century Gothic"/>
          <w:b/>
          <w:smallCaps/>
          <w:sz w:val="60"/>
          <w:szCs w:val="60"/>
          <w14:shadow w14:blurRad="50800" w14:dist="38100" w14:dir="2700000" w14:sx="100000" w14:sy="100000" w14:kx="0" w14:ky="0" w14:algn="tl">
            <w14:srgbClr w14:val="000000">
              <w14:alpha w14:val="60000"/>
            </w14:srgbClr>
          </w14:shadow>
        </w:rPr>
      </w:pPr>
      <w:r w:rsidRPr="00B75B77">
        <w:rPr>
          <w:rFonts w:ascii="Century Gothic" w:hAnsi="Century Gothic"/>
          <w:b/>
          <w:smallCaps/>
          <w:sz w:val="60"/>
          <w:szCs w:val="60"/>
          <w14:shadow w14:blurRad="50800" w14:dist="38100" w14:dir="2700000" w14:sx="100000" w14:sy="100000" w14:kx="0" w14:ky="0" w14:algn="tl">
            <w14:srgbClr w14:val="000000">
              <w14:alpha w14:val="60000"/>
            </w14:srgbClr>
          </w14:shadow>
        </w:rPr>
        <w:t>Annual Report</w:t>
      </w:r>
      <w:r w:rsidR="005A130E" w:rsidRPr="00B75B77">
        <w:rPr>
          <w:rFonts w:ascii="Century Gothic" w:hAnsi="Century Gothic"/>
          <w:b/>
          <w:smallCaps/>
          <w:sz w:val="60"/>
          <w:szCs w:val="60"/>
          <w14:shadow w14:blurRad="50800" w14:dist="38100" w14:dir="2700000" w14:sx="100000" w14:sy="100000" w14:kx="0" w14:ky="0" w14:algn="tl">
            <w14:srgbClr w14:val="000000">
              <w14:alpha w14:val="60000"/>
            </w14:srgbClr>
          </w14:shadow>
        </w:rPr>
        <w:t xml:space="preserve"> </w:t>
      </w:r>
    </w:p>
    <w:p w:rsidR="00C11AE9" w:rsidRPr="00B75B77" w:rsidRDefault="006441B6" w:rsidP="00C11AE9">
      <w:pPr>
        <w:jc w:val="center"/>
        <w:rPr>
          <w:rFonts w:ascii="Century Gothic" w:hAnsi="Century Gothic"/>
          <w:sz w:val="36"/>
          <w:szCs w:val="50"/>
          <w14:shadow w14:blurRad="50800" w14:dist="38100" w14:dir="2700000" w14:sx="100000" w14:sy="100000" w14:kx="0" w14:ky="0" w14:algn="tl">
            <w14:srgbClr w14:val="000000">
              <w14:alpha w14:val="60000"/>
            </w14:srgbClr>
          </w14:shadow>
        </w:rPr>
      </w:pPr>
      <w:r w:rsidRPr="00B75B77">
        <w:rPr>
          <w:rFonts w:ascii="Century Gothic" w:hAnsi="Century Gothic"/>
          <w:sz w:val="36"/>
          <w:szCs w:val="50"/>
          <w14:shadow w14:blurRad="50800" w14:dist="38100" w14:dir="2700000" w14:sx="100000" w14:sy="100000" w14:kx="0" w14:ky="0" w14:algn="tl">
            <w14:srgbClr w14:val="000000">
              <w14:alpha w14:val="60000"/>
            </w14:srgbClr>
          </w14:shadow>
        </w:rPr>
        <w:t>Program Year 7: June 1, 2015 – May 31, 2016</w:t>
      </w:r>
    </w:p>
    <w:p w:rsidR="00D441D3" w:rsidRPr="00B75B77" w:rsidRDefault="00D441D3" w:rsidP="00C260C0">
      <w:pPr>
        <w:jc w:val="center"/>
        <w:rPr>
          <w:rFonts w:asciiTheme="majorHAnsi" w:hAnsiTheme="majorHAnsi"/>
        </w:rPr>
      </w:pPr>
    </w:p>
    <w:p w:rsidR="00D441D3" w:rsidRPr="00B75B77" w:rsidRDefault="00D441D3" w:rsidP="00C11AE9">
      <w:pPr>
        <w:jc w:val="center"/>
        <w:rPr>
          <w:rFonts w:asciiTheme="majorHAnsi" w:hAnsiTheme="majorHAnsi"/>
          <w:b/>
          <w:sz w:val="32"/>
          <w:szCs w:val="32"/>
        </w:rPr>
      </w:pPr>
    </w:p>
    <w:p w:rsidR="00C11AE9" w:rsidRPr="00B75B77" w:rsidRDefault="00C11AE9" w:rsidP="00C11AE9">
      <w:pPr>
        <w:spacing w:after="120"/>
        <w:jc w:val="center"/>
        <w:rPr>
          <w:rFonts w:ascii="Century Gothic" w:hAnsi="Century Gothic"/>
          <w:sz w:val="28"/>
          <w:szCs w:val="64"/>
        </w:rPr>
      </w:pPr>
      <w:r w:rsidRPr="00B75B77">
        <w:rPr>
          <w:rFonts w:ascii="Century Gothic" w:hAnsi="Century Gothic"/>
          <w:sz w:val="28"/>
          <w:szCs w:val="64"/>
        </w:rPr>
        <w:t>Presented to:</w:t>
      </w:r>
    </w:p>
    <w:p w:rsidR="00C11AE9" w:rsidRPr="00B75B77" w:rsidRDefault="00C11AE9" w:rsidP="00C11AE9">
      <w:pPr>
        <w:spacing w:after="240"/>
        <w:jc w:val="center"/>
        <w:rPr>
          <w:rFonts w:ascii="Century Gothic" w:hAnsi="Century Gothic"/>
          <w:b/>
          <w:smallCaps/>
          <w:sz w:val="40"/>
          <w:szCs w:val="64"/>
          <w14:shadow w14:blurRad="50800" w14:dist="38100" w14:dir="2700000" w14:sx="100000" w14:sy="100000" w14:kx="0" w14:ky="0" w14:algn="tl">
            <w14:srgbClr w14:val="000000">
              <w14:alpha w14:val="60000"/>
            </w14:srgbClr>
          </w14:shadow>
        </w:rPr>
      </w:pPr>
      <w:r w:rsidRPr="00B75B77">
        <w:rPr>
          <w:rFonts w:ascii="Century Gothic" w:hAnsi="Century Gothic"/>
          <w:b/>
          <w:smallCaps/>
          <w:sz w:val="40"/>
          <w:szCs w:val="64"/>
          <w14:shadow w14:blurRad="50800" w14:dist="38100" w14:dir="2700000" w14:sx="100000" w14:sy="100000" w14:kx="0" w14:ky="0" w14:algn="tl">
            <w14:srgbClr w14:val="000000">
              <w14:alpha w14:val="60000"/>
            </w14:srgbClr>
          </w14:shadow>
        </w:rPr>
        <w:t>Pennsylvania Public Utility Commission</w:t>
      </w:r>
    </w:p>
    <w:p w:rsidR="00C11AE9" w:rsidRPr="00B75B77" w:rsidRDefault="00C11AE9" w:rsidP="00C11AE9">
      <w:pPr>
        <w:jc w:val="center"/>
        <w:rPr>
          <w:rFonts w:ascii="Century Gothic" w:hAnsi="Century Gothic"/>
          <w:sz w:val="32"/>
          <w:szCs w:val="64"/>
        </w:rPr>
      </w:pPr>
      <w:r w:rsidRPr="00B75B77">
        <w:rPr>
          <w:rFonts w:ascii="Century Gothic" w:hAnsi="Century Gothic"/>
          <w:sz w:val="32"/>
          <w:szCs w:val="64"/>
        </w:rPr>
        <w:t>Pennsylvania Act 129 of 2008</w:t>
      </w:r>
    </w:p>
    <w:p w:rsidR="00C11AE9" w:rsidRPr="00B75B77" w:rsidRDefault="00C11AE9" w:rsidP="00C11AE9">
      <w:pPr>
        <w:jc w:val="center"/>
        <w:rPr>
          <w:rFonts w:ascii="Century Gothic" w:hAnsi="Century Gothic"/>
          <w:sz w:val="32"/>
          <w:szCs w:val="64"/>
        </w:rPr>
      </w:pPr>
      <w:r w:rsidRPr="00B75B77">
        <w:rPr>
          <w:rFonts w:ascii="Century Gothic" w:hAnsi="Century Gothic"/>
          <w:sz w:val="32"/>
          <w:szCs w:val="64"/>
        </w:rPr>
        <w:t>Energy Efficiency and Conservation Plan</w:t>
      </w:r>
    </w:p>
    <w:p w:rsidR="00C11AE9" w:rsidRPr="00B75B77" w:rsidRDefault="00C11AE9" w:rsidP="00C11AE9">
      <w:pPr>
        <w:spacing w:after="120"/>
        <w:jc w:val="center"/>
        <w:rPr>
          <w:rFonts w:ascii="Century Gothic" w:hAnsi="Century Gothic"/>
          <w:sz w:val="32"/>
          <w:szCs w:val="64"/>
        </w:rPr>
      </w:pPr>
    </w:p>
    <w:p w:rsidR="00C11AE9" w:rsidRPr="00B75B77" w:rsidRDefault="00A55CA7" w:rsidP="00A55CA7">
      <w:pPr>
        <w:spacing w:after="120"/>
        <w:rPr>
          <w:rFonts w:ascii="Century Gothic" w:hAnsi="Century Gothic"/>
          <w:sz w:val="28"/>
          <w:szCs w:val="64"/>
        </w:rPr>
      </w:pPr>
      <w:r w:rsidRPr="00B75B77">
        <w:rPr>
          <w:rFonts w:ascii="Century Gothic" w:hAnsi="Century Gothic"/>
          <w:sz w:val="28"/>
          <w:szCs w:val="64"/>
        </w:rPr>
        <w:t xml:space="preserve"> </w:t>
      </w:r>
    </w:p>
    <w:p w:rsidR="00C11AE9" w:rsidRPr="00B75B77" w:rsidRDefault="00C11AE9" w:rsidP="00C11AE9">
      <w:pPr>
        <w:spacing w:after="120"/>
        <w:jc w:val="center"/>
        <w:rPr>
          <w:rFonts w:ascii="Century Gothic" w:hAnsi="Century Gothic"/>
          <w:sz w:val="28"/>
          <w:szCs w:val="64"/>
        </w:rPr>
      </w:pPr>
    </w:p>
    <w:p w:rsidR="00C11AE9" w:rsidRPr="00B75B77" w:rsidRDefault="00375CCD" w:rsidP="00C11AE9">
      <w:pPr>
        <w:spacing w:after="120"/>
        <w:jc w:val="center"/>
        <w:rPr>
          <w:rFonts w:ascii="Century Gothic" w:hAnsi="Century Gothic"/>
          <w:b/>
          <w:sz w:val="24"/>
          <w:szCs w:val="64"/>
        </w:rPr>
      </w:pPr>
      <w:r w:rsidRPr="00B75B77">
        <w:rPr>
          <w:rFonts w:ascii="Century Gothic" w:hAnsi="Century Gothic"/>
          <w:b/>
          <w:sz w:val="24"/>
          <w:szCs w:val="64"/>
        </w:rPr>
        <w:t>November 15</w:t>
      </w:r>
      <w:r w:rsidR="00A55CA7" w:rsidRPr="00B75B77">
        <w:rPr>
          <w:rFonts w:ascii="Century Gothic" w:hAnsi="Century Gothic"/>
          <w:b/>
          <w:sz w:val="24"/>
          <w:szCs w:val="64"/>
        </w:rPr>
        <w:t>, 2016</w:t>
      </w:r>
    </w:p>
    <w:p w:rsidR="00D441D3" w:rsidRPr="00B75B77" w:rsidRDefault="00D441D3" w:rsidP="00C11AE9">
      <w:pPr>
        <w:jc w:val="center"/>
        <w:rPr>
          <w:rFonts w:asciiTheme="majorHAnsi" w:hAnsiTheme="majorHAnsi"/>
          <w:sz w:val="28"/>
          <w:szCs w:val="28"/>
        </w:rPr>
      </w:pPr>
    </w:p>
    <w:p w:rsidR="00D441D3" w:rsidRPr="00B75B77" w:rsidRDefault="00D441D3" w:rsidP="00C11AE9">
      <w:pPr>
        <w:jc w:val="center"/>
        <w:rPr>
          <w:rFonts w:asciiTheme="majorHAnsi" w:hAnsiTheme="majorHAnsi"/>
          <w:b/>
          <w:sz w:val="28"/>
          <w:szCs w:val="28"/>
        </w:rPr>
      </w:pPr>
    </w:p>
    <w:p w:rsidR="003577D9" w:rsidRPr="00B75B77" w:rsidRDefault="003577D9" w:rsidP="003577D9">
      <w:pPr>
        <w:jc w:val="center"/>
        <w:rPr>
          <w:rFonts w:ascii="Century Gothic" w:hAnsi="Century Gothic" w:cstheme="minorHAnsi"/>
          <w:sz w:val="24"/>
          <w:szCs w:val="24"/>
        </w:rPr>
      </w:pPr>
      <w:r w:rsidRPr="00B75B77">
        <w:rPr>
          <w:rFonts w:ascii="Century Gothic" w:hAnsi="Century Gothic" w:cstheme="minorHAnsi"/>
          <w:sz w:val="24"/>
          <w:szCs w:val="24"/>
        </w:rPr>
        <w:t xml:space="preserve">Prepared by </w:t>
      </w:r>
      <w:r w:rsidR="00A55CA7" w:rsidRPr="00B75B77">
        <w:rPr>
          <w:rFonts w:ascii="Century Gothic" w:hAnsi="Century Gothic" w:cstheme="minorHAnsi"/>
          <w:sz w:val="24"/>
          <w:szCs w:val="24"/>
        </w:rPr>
        <w:t xml:space="preserve">Navigant Consulting, Inc. </w:t>
      </w:r>
    </w:p>
    <w:p w:rsidR="003577D9" w:rsidRPr="00B75B77" w:rsidRDefault="003577D9" w:rsidP="003577D9">
      <w:pPr>
        <w:jc w:val="center"/>
        <w:rPr>
          <w:rFonts w:ascii="Century Gothic" w:hAnsi="Century Gothic" w:cstheme="minorHAnsi"/>
          <w:sz w:val="24"/>
          <w:szCs w:val="24"/>
        </w:rPr>
      </w:pPr>
    </w:p>
    <w:p w:rsidR="003577D9" w:rsidRPr="00B75B77" w:rsidRDefault="003577D9" w:rsidP="003577D9">
      <w:pPr>
        <w:jc w:val="center"/>
        <w:rPr>
          <w:rFonts w:ascii="Century Gothic" w:hAnsi="Century Gothic" w:cstheme="minorHAnsi"/>
          <w:sz w:val="24"/>
          <w:szCs w:val="24"/>
        </w:rPr>
      </w:pPr>
      <w:r w:rsidRPr="00B75B77">
        <w:rPr>
          <w:rFonts w:ascii="Century Gothic" w:hAnsi="Century Gothic" w:cstheme="minorHAnsi"/>
          <w:sz w:val="24"/>
          <w:szCs w:val="24"/>
        </w:rPr>
        <w:t xml:space="preserve">For </w:t>
      </w:r>
    </w:p>
    <w:p w:rsidR="003577D9" w:rsidRPr="00B75B77" w:rsidRDefault="003577D9" w:rsidP="003577D9">
      <w:pPr>
        <w:jc w:val="center"/>
        <w:rPr>
          <w:rFonts w:ascii="Century Gothic" w:hAnsi="Century Gothic" w:cstheme="minorHAnsi"/>
          <w:sz w:val="24"/>
          <w:szCs w:val="24"/>
        </w:rPr>
      </w:pPr>
    </w:p>
    <w:p w:rsidR="003577D9" w:rsidRPr="00B75B77" w:rsidRDefault="00A55CA7" w:rsidP="003577D9">
      <w:pPr>
        <w:pStyle w:val="refEDCName"/>
        <w:rPr>
          <w:rFonts w:ascii="Century Gothic" w:hAnsi="Century Gothic"/>
          <w:b/>
          <w:sz w:val="28"/>
        </w:rPr>
      </w:pPr>
      <w:r w:rsidRPr="00B75B77">
        <w:rPr>
          <w:rFonts w:ascii="Century Gothic" w:hAnsi="Century Gothic"/>
          <w:b/>
          <w:sz w:val="28"/>
        </w:rPr>
        <w:t>PECO</w:t>
      </w:r>
    </w:p>
    <w:p w:rsidR="003577D9" w:rsidRPr="00B75B77" w:rsidRDefault="003577D9" w:rsidP="003577D9">
      <w:pPr>
        <w:jc w:val="center"/>
        <w:rPr>
          <w:rFonts w:ascii="Century Gothic" w:hAnsi="Century Gothic" w:cstheme="minorHAnsi"/>
          <w:sz w:val="24"/>
          <w:szCs w:val="24"/>
        </w:rPr>
      </w:pPr>
    </w:p>
    <w:p w:rsidR="003577D9" w:rsidRPr="00B75B77" w:rsidRDefault="00375CCD" w:rsidP="003577D9">
      <w:pPr>
        <w:pStyle w:val="refDate"/>
        <w:rPr>
          <w:rFonts w:ascii="Century Gothic" w:hAnsi="Century Gothic"/>
        </w:rPr>
      </w:pPr>
      <w:r w:rsidRPr="00B75B77">
        <w:rPr>
          <w:rFonts w:ascii="Century Gothic" w:hAnsi="Century Gothic"/>
        </w:rPr>
        <w:t>November 15</w:t>
      </w:r>
      <w:r w:rsidR="00A55CA7" w:rsidRPr="00B75B77">
        <w:rPr>
          <w:rFonts w:ascii="Century Gothic" w:hAnsi="Century Gothic"/>
        </w:rPr>
        <w:t xml:space="preserve">, 2016 </w:t>
      </w:r>
    </w:p>
    <w:p w:rsidR="007A3587" w:rsidRPr="00B75B77" w:rsidRDefault="007A3587" w:rsidP="003577D9">
      <w:pPr>
        <w:pStyle w:val="refDate"/>
        <w:rPr>
          <w:rFonts w:asciiTheme="minorHAnsi" w:hAnsiTheme="minorHAnsi"/>
        </w:rPr>
      </w:pPr>
    </w:p>
    <w:p w:rsidR="00C11AE9" w:rsidRPr="00B75B77" w:rsidRDefault="00C11AE9" w:rsidP="00C11AE9">
      <w:pPr>
        <w:jc w:val="center"/>
        <w:rPr>
          <w:b/>
        </w:rPr>
      </w:pPr>
    </w:p>
    <w:p w:rsidR="00251B31" w:rsidRPr="00B75B77" w:rsidRDefault="00A55CA7" w:rsidP="00C11AE9">
      <w:pPr>
        <w:jc w:val="center"/>
        <w:rPr>
          <w:color w:val="FF0000"/>
        </w:rPr>
      </w:pPr>
      <w:r w:rsidRPr="00B75B77">
        <w:rPr>
          <w:b/>
          <w:color w:val="FF0000"/>
        </w:rPr>
        <w:t xml:space="preserve"> </w:t>
      </w:r>
    </w:p>
    <w:p w:rsidR="00133744" w:rsidRPr="00B75B77" w:rsidRDefault="00133744" w:rsidP="00133744">
      <w:pPr>
        <w:jc w:val="center"/>
        <w:rPr>
          <w:i/>
        </w:rPr>
      </w:pPr>
    </w:p>
    <w:p w:rsidR="00133744" w:rsidRPr="00B75B77" w:rsidRDefault="00133744" w:rsidP="00133744">
      <w:pPr>
        <w:jc w:val="center"/>
        <w:rPr>
          <w:i/>
        </w:rPr>
      </w:pPr>
    </w:p>
    <w:p w:rsidR="00133744" w:rsidRPr="00B75B77" w:rsidRDefault="00133744" w:rsidP="00133744">
      <w:pPr>
        <w:jc w:val="center"/>
        <w:rPr>
          <w:i/>
        </w:rPr>
      </w:pPr>
    </w:p>
    <w:p w:rsidR="00133744" w:rsidRPr="00B75B77" w:rsidRDefault="00133744" w:rsidP="00133744">
      <w:pPr>
        <w:jc w:val="center"/>
        <w:rPr>
          <w:i/>
        </w:rPr>
      </w:pPr>
    </w:p>
    <w:p w:rsidR="00133744" w:rsidRPr="00B75B77" w:rsidRDefault="00133744" w:rsidP="00133744">
      <w:pPr>
        <w:jc w:val="center"/>
        <w:rPr>
          <w:i/>
        </w:rPr>
      </w:pPr>
    </w:p>
    <w:p w:rsidR="00133744" w:rsidRPr="00B75B77" w:rsidRDefault="00133744" w:rsidP="00133744">
      <w:pPr>
        <w:jc w:val="center"/>
        <w:rPr>
          <w:i/>
        </w:rPr>
      </w:pPr>
    </w:p>
    <w:p w:rsidR="00133744" w:rsidRPr="00B75B77" w:rsidRDefault="00133744" w:rsidP="00133744">
      <w:pPr>
        <w:jc w:val="center"/>
        <w:rPr>
          <w:i/>
        </w:rPr>
      </w:pPr>
    </w:p>
    <w:p w:rsidR="00133744" w:rsidRPr="00B75B77" w:rsidRDefault="00133744" w:rsidP="00133744">
      <w:pPr>
        <w:jc w:val="center"/>
        <w:rPr>
          <w:i/>
        </w:rPr>
      </w:pPr>
    </w:p>
    <w:p w:rsidR="00133744" w:rsidRPr="00B75B77" w:rsidRDefault="00133744" w:rsidP="00133744">
      <w:pPr>
        <w:jc w:val="center"/>
        <w:rPr>
          <w:i/>
        </w:rPr>
      </w:pPr>
    </w:p>
    <w:p w:rsidR="00133744" w:rsidRPr="00B75B77" w:rsidRDefault="00133744" w:rsidP="00133744">
      <w:pPr>
        <w:jc w:val="center"/>
        <w:rPr>
          <w:i/>
        </w:rPr>
      </w:pPr>
    </w:p>
    <w:p w:rsidR="00133744" w:rsidRPr="00B75B77" w:rsidRDefault="00133744" w:rsidP="00133744">
      <w:pPr>
        <w:jc w:val="center"/>
        <w:rPr>
          <w:i/>
        </w:rPr>
      </w:pPr>
    </w:p>
    <w:p w:rsidR="00133744" w:rsidRPr="00B75B77" w:rsidRDefault="00133744" w:rsidP="00133744">
      <w:pPr>
        <w:jc w:val="center"/>
        <w:rPr>
          <w:i/>
        </w:rPr>
      </w:pPr>
    </w:p>
    <w:p w:rsidR="00133744" w:rsidRPr="00B75B77" w:rsidRDefault="00133744" w:rsidP="00133744">
      <w:pPr>
        <w:jc w:val="center"/>
        <w:rPr>
          <w:i/>
        </w:rPr>
      </w:pPr>
    </w:p>
    <w:p w:rsidR="00133744" w:rsidRPr="00B75B77" w:rsidRDefault="00133744" w:rsidP="00133744">
      <w:pPr>
        <w:jc w:val="center"/>
        <w:rPr>
          <w:i/>
        </w:rPr>
      </w:pPr>
    </w:p>
    <w:p w:rsidR="00133744" w:rsidRPr="00B75B77" w:rsidRDefault="00133744" w:rsidP="00133744">
      <w:pPr>
        <w:jc w:val="center"/>
        <w:rPr>
          <w:i/>
        </w:rPr>
      </w:pPr>
    </w:p>
    <w:p w:rsidR="00133744" w:rsidRPr="00B75B77" w:rsidRDefault="00133744" w:rsidP="00133744">
      <w:pPr>
        <w:jc w:val="center"/>
        <w:rPr>
          <w:i/>
        </w:rPr>
      </w:pPr>
    </w:p>
    <w:p w:rsidR="00CF2ECE" w:rsidRPr="00B75B77" w:rsidRDefault="00CF2ECE" w:rsidP="00133744">
      <w:pPr>
        <w:jc w:val="center"/>
        <w:rPr>
          <w:i/>
        </w:rPr>
      </w:pPr>
    </w:p>
    <w:p w:rsidR="00CF2ECE" w:rsidRPr="00B75B77" w:rsidRDefault="00CF2ECE" w:rsidP="00133744">
      <w:pPr>
        <w:jc w:val="center"/>
        <w:rPr>
          <w:i/>
        </w:rPr>
      </w:pPr>
    </w:p>
    <w:p w:rsidR="00CF2ECE" w:rsidRPr="00B75B77" w:rsidRDefault="00CF2ECE" w:rsidP="00133744">
      <w:pPr>
        <w:jc w:val="center"/>
        <w:rPr>
          <w:i/>
        </w:rPr>
      </w:pPr>
    </w:p>
    <w:p w:rsidR="00CF2ECE" w:rsidRPr="00B75B77" w:rsidRDefault="00CF2ECE" w:rsidP="00133744">
      <w:pPr>
        <w:jc w:val="center"/>
        <w:rPr>
          <w:i/>
        </w:rPr>
      </w:pPr>
    </w:p>
    <w:p w:rsidR="00CF2ECE" w:rsidRPr="00B75B77" w:rsidRDefault="00CF2ECE" w:rsidP="00133744">
      <w:pPr>
        <w:jc w:val="center"/>
        <w:rPr>
          <w:i/>
        </w:rPr>
      </w:pPr>
    </w:p>
    <w:p w:rsidR="00CF2ECE" w:rsidRPr="00B75B77" w:rsidRDefault="00CF2ECE" w:rsidP="00133744">
      <w:pPr>
        <w:jc w:val="center"/>
        <w:rPr>
          <w:i/>
        </w:rPr>
      </w:pPr>
    </w:p>
    <w:p w:rsidR="00CF2ECE" w:rsidRPr="00B75B77" w:rsidRDefault="00CF2ECE" w:rsidP="00133744">
      <w:pPr>
        <w:jc w:val="center"/>
        <w:rPr>
          <w:i/>
        </w:rPr>
      </w:pPr>
    </w:p>
    <w:p w:rsidR="00CF2ECE" w:rsidRPr="00B75B77" w:rsidRDefault="00CF2ECE" w:rsidP="00133744">
      <w:pPr>
        <w:jc w:val="center"/>
        <w:rPr>
          <w:i/>
        </w:rPr>
      </w:pPr>
    </w:p>
    <w:p w:rsidR="00CF2ECE" w:rsidRPr="00B75B77" w:rsidRDefault="00CF2ECE" w:rsidP="00133744">
      <w:pPr>
        <w:jc w:val="center"/>
        <w:rPr>
          <w:i/>
        </w:rPr>
      </w:pPr>
    </w:p>
    <w:p w:rsidR="00CF2ECE" w:rsidRPr="00B75B77" w:rsidRDefault="00CF2ECE" w:rsidP="00133744">
      <w:pPr>
        <w:jc w:val="center"/>
        <w:rPr>
          <w:i/>
        </w:rPr>
      </w:pPr>
    </w:p>
    <w:p w:rsidR="00CF2ECE" w:rsidRPr="00B75B77" w:rsidRDefault="00CF2ECE" w:rsidP="00133744">
      <w:pPr>
        <w:jc w:val="center"/>
        <w:rPr>
          <w:i/>
        </w:rPr>
      </w:pPr>
    </w:p>
    <w:p w:rsidR="00CF2ECE" w:rsidRPr="00B75B77" w:rsidRDefault="00CF2ECE" w:rsidP="00133744">
      <w:pPr>
        <w:jc w:val="center"/>
        <w:rPr>
          <w:i/>
        </w:rPr>
      </w:pPr>
    </w:p>
    <w:p w:rsidR="00CF2ECE" w:rsidRPr="00B75B77" w:rsidRDefault="00CF2ECE" w:rsidP="00133744">
      <w:pPr>
        <w:jc w:val="center"/>
        <w:rPr>
          <w:i/>
        </w:rPr>
      </w:pPr>
    </w:p>
    <w:p w:rsidR="00CF2ECE" w:rsidRPr="00B75B77" w:rsidRDefault="00CF2ECE" w:rsidP="00133744">
      <w:pPr>
        <w:jc w:val="center"/>
        <w:rPr>
          <w:i/>
        </w:rPr>
      </w:pPr>
    </w:p>
    <w:p w:rsidR="00CF2ECE" w:rsidRPr="00B75B77" w:rsidRDefault="00CF2ECE" w:rsidP="00133744">
      <w:pPr>
        <w:jc w:val="center"/>
        <w:rPr>
          <w:i/>
        </w:rPr>
      </w:pPr>
    </w:p>
    <w:p w:rsidR="00CA641F" w:rsidRPr="00B75B77" w:rsidRDefault="00133744" w:rsidP="00133744">
      <w:pPr>
        <w:jc w:val="center"/>
        <w:rPr>
          <w:i/>
        </w:rPr>
      </w:pPr>
      <w:r w:rsidRPr="00B75B77">
        <w:rPr>
          <w:i/>
        </w:rPr>
        <w:t>This page intentionally left blank</w:t>
      </w:r>
      <w:r w:rsidR="002C2973" w:rsidRPr="00B75B77">
        <w:rPr>
          <w:i/>
        </w:rPr>
        <w:t>.</w:t>
      </w:r>
    </w:p>
    <w:p w:rsidR="00CA641F" w:rsidRPr="00B75B77" w:rsidRDefault="00CA641F" w:rsidP="00133744">
      <w:pPr>
        <w:jc w:val="center"/>
        <w:rPr>
          <w:i/>
        </w:rPr>
      </w:pPr>
    </w:p>
    <w:p w:rsidR="00057B1C" w:rsidRPr="00B75B77" w:rsidRDefault="00057B1C" w:rsidP="00133744">
      <w:pPr>
        <w:jc w:val="center"/>
        <w:rPr>
          <w:rFonts w:asciiTheme="majorHAnsi" w:eastAsia="Times New Roman" w:hAnsiTheme="majorHAnsi"/>
          <w:b/>
          <w:bCs/>
          <w:i/>
          <w:sz w:val="28"/>
          <w:szCs w:val="28"/>
        </w:rPr>
      </w:pPr>
    </w:p>
    <w:p w:rsidR="00057B1C" w:rsidRPr="00B75B77" w:rsidRDefault="00057B1C" w:rsidP="00057B1C">
      <w:pPr>
        <w:rPr>
          <w:rFonts w:asciiTheme="majorHAnsi" w:eastAsia="Times New Roman" w:hAnsiTheme="majorHAnsi"/>
          <w:sz w:val="28"/>
          <w:szCs w:val="28"/>
        </w:rPr>
      </w:pPr>
    </w:p>
    <w:p w:rsidR="00057B1C" w:rsidRPr="00B75B77" w:rsidRDefault="00057B1C" w:rsidP="00057B1C">
      <w:pPr>
        <w:rPr>
          <w:rFonts w:asciiTheme="majorHAnsi" w:eastAsia="Times New Roman" w:hAnsiTheme="majorHAnsi"/>
          <w:sz w:val="28"/>
          <w:szCs w:val="28"/>
        </w:rPr>
      </w:pPr>
    </w:p>
    <w:p w:rsidR="00057B1C" w:rsidRPr="00B75B77" w:rsidRDefault="00057B1C" w:rsidP="00057B1C">
      <w:pPr>
        <w:rPr>
          <w:rFonts w:asciiTheme="majorHAnsi" w:eastAsia="Times New Roman" w:hAnsiTheme="majorHAnsi"/>
          <w:sz w:val="28"/>
          <w:szCs w:val="28"/>
        </w:rPr>
      </w:pPr>
    </w:p>
    <w:p w:rsidR="00057B1C" w:rsidRPr="00B75B77" w:rsidRDefault="00057B1C" w:rsidP="00057B1C">
      <w:pPr>
        <w:rPr>
          <w:rFonts w:asciiTheme="majorHAnsi" w:eastAsia="Times New Roman" w:hAnsiTheme="majorHAnsi"/>
          <w:sz w:val="28"/>
          <w:szCs w:val="28"/>
        </w:rPr>
      </w:pPr>
    </w:p>
    <w:p w:rsidR="00057B1C" w:rsidRPr="00B75B77" w:rsidRDefault="00057B1C" w:rsidP="00057B1C">
      <w:pPr>
        <w:rPr>
          <w:rFonts w:asciiTheme="majorHAnsi" w:eastAsia="Times New Roman" w:hAnsiTheme="majorHAnsi"/>
          <w:sz w:val="28"/>
          <w:szCs w:val="28"/>
        </w:rPr>
      </w:pPr>
    </w:p>
    <w:p w:rsidR="00057B1C" w:rsidRPr="00B75B77" w:rsidRDefault="00057B1C" w:rsidP="00057B1C">
      <w:pPr>
        <w:rPr>
          <w:rFonts w:asciiTheme="majorHAnsi" w:eastAsia="Times New Roman" w:hAnsiTheme="majorHAnsi"/>
          <w:sz w:val="28"/>
          <w:szCs w:val="28"/>
        </w:rPr>
      </w:pPr>
    </w:p>
    <w:p w:rsidR="00057B1C" w:rsidRPr="00B75B77" w:rsidRDefault="00057B1C" w:rsidP="00057B1C">
      <w:pPr>
        <w:rPr>
          <w:rFonts w:asciiTheme="majorHAnsi" w:eastAsia="Times New Roman" w:hAnsiTheme="majorHAnsi"/>
          <w:sz w:val="28"/>
          <w:szCs w:val="28"/>
        </w:rPr>
      </w:pPr>
    </w:p>
    <w:p w:rsidR="00057B1C" w:rsidRPr="00B75B77" w:rsidRDefault="00057B1C" w:rsidP="00057B1C">
      <w:pPr>
        <w:rPr>
          <w:rFonts w:asciiTheme="majorHAnsi" w:eastAsia="Times New Roman" w:hAnsiTheme="majorHAnsi"/>
          <w:sz w:val="28"/>
          <w:szCs w:val="28"/>
        </w:rPr>
      </w:pPr>
    </w:p>
    <w:p w:rsidR="00057B1C" w:rsidRPr="00B75B77" w:rsidRDefault="00057B1C" w:rsidP="00057B1C">
      <w:pPr>
        <w:rPr>
          <w:rFonts w:asciiTheme="majorHAnsi" w:eastAsia="Times New Roman" w:hAnsiTheme="majorHAnsi"/>
          <w:sz w:val="28"/>
          <w:szCs w:val="28"/>
        </w:rPr>
      </w:pPr>
    </w:p>
    <w:p w:rsidR="00057B1C" w:rsidRPr="00B75B77" w:rsidRDefault="00057B1C" w:rsidP="00057B1C">
      <w:pPr>
        <w:rPr>
          <w:rFonts w:asciiTheme="majorHAnsi" w:eastAsia="Times New Roman" w:hAnsiTheme="majorHAnsi"/>
          <w:sz w:val="28"/>
          <w:szCs w:val="28"/>
        </w:rPr>
      </w:pPr>
    </w:p>
    <w:p w:rsidR="00057B1C" w:rsidRPr="00B75B77" w:rsidRDefault="00057B1C" w:rsidP="00057B1C">
      <w:pPr>
        <w:rPr>
          <w:rFonts w:asciiTheme="majorHAnsi" w:eastAsia="Times New Roman" w:hAnsiTheme="majorHAnsi"/>
          <w:sz w:val="28"/>
          <w:szCs w:val="28"/>
        </w:rPr>
      </w:pPr>
    </w:p>
    <w:p w:rsidR="00057B1C" w:rsidRPr="00B75B77" w:rsidRDefault="00057B1C" w:rsidP="00057B1C">
      <w:pPr>
        <w:rPr>
          <w:rFonts w:asciiTheme="majorHAnsi" w:eastAsia="Times New Roman" w:hAnsiTheme="majorHAnsi"/>
          <w:sz w:val="28"/>
          <w:szCs w:val="28"/>
        </w:rPr>
      </w:pPr>
    </w:p>
    <w:p w:rsidR="00057B1C" w:rsidRPr="00B75B77" w:rsidRDefault="00057B1C" w:rsidP="00057B1C">
      <w:pPr>
        <w:rPr>
          <w:rFonts w:asciiTheme="majorHAnsi" w:eastAsia="Times New Roman" w:hAnsiTheme="majorHAnsi"/>
          <w:sz w:val="28"/>
          <w:szCs w:val="28"/>
        </w:rPr>
      </w:pPr>
    </w:p>
    <w:p w:rsidR="00057B1C" w:rsidRPr="00B75B77" w:rsidRDefault="00057B1C" w:rsidP="00057B1C">
      <w:pPr>
        <w:rPr>
          <w:rFonts w:asciiTheme="majorHAnsi" w:eastAsia="Times New Roman" w:hAnsiTheme="majorHAnsi"/>
          <w:sz w:val="28"/>
          <w:szCs w:val="28"/>
        </w:rPr>
      </w:pPr>
    </w:p>
    <w:p w:rsidR="00057B1C" w:rsidRPr="00B75B77" w:rsidRDefault="00057B1C" w:rsidP="00057B1C">
      <w:pPr>
        <w:rPr>
          <w:rFonts w:asciiTheme="majorHAnsi" w:eastAsia="Times New Roman" w:hAnsiTheme="majorHAnsi"/>
          <w:sz w:val="28"/>
          <w:szCs w:val="28"/>
        </w:rPr>
      </w:pPr>
    </w:p>
    <w:p w:rsidR="00057B1C" w:rsidRPr="00B75B77" w:rsidRDefault="00057B1C" w:rsidP="00057B1C">
      <w:pPr>
        <w:tabs>
          <w:tab w:val="left" w:pos="1125"/>
        </w:tabs>
        <w:rPr>
          <w:rFonts w:asciiTheme="majorHAnsi" w:eastAsia="Times New Roman" w:hAnsiTheme="majorHAnsi"/>
          <w:sz w:val="28"/>
          <w:szCs w:val="28"/>
        </w:rPr>
      </w:pPr>
      <w:r w:rsidRPr="00B75B77">
        <w:rPr>
          <w:rFonts w:asciiTheme="majorHAnsi" w:eastAsia="Times New Roman" w:hAnsiTheme="majorHAnsi"/>
          <w:sz w:val="28"/>
          <w:szCs w:val="28"/>
        </w:rPr>
        <w:tab/>
      </w:r>
    </w:p>
    <w:p w:rsidR="00057B1C" w:rsidRPr="00B75B77" w:rsidRDefault="00057B1C" w:rsidP="00057B1C">
      <w:pPr>
        <w:rPr>
          <w:rFonts w:asciiTheme="majorHAnsi" w:eastAsia="Times New Roman" w:hAnsiTheme="majorHAnsi"/>
          <w:sz w:val="28"/>
          <w:szCs w:val="28"/>
        </w:rPr>
      </w:pPr>
    </w:p>
    <w:p w:rsidR="00057B1C" w:rsidRPr="00B75B77" w:rsidRDefault="00057B1C" w:rsidP="00057B1C">
      <w:pPr>
        <w:rPr>
          <w:rFonts w:asciiTheme="majorHAnsi" w:eastAsia="Times New Roman" w:hAnsiTheme="majorHAnsi"/>
          <w:sz w:val="28"/>
          <w:szCs w:val="28"/>
        </w:rPr>
      </w:pPr>
    </w:p>
    <w:p w:rsidR="00CA641F" w:rsidRPr="00B75B77" w:rsidRDefault="00CA641F" w:rsidP="00057B1C">
      <w:pPr>
        <w:rPr>
          <w:rFonts w:asciiTheme="majorHAnsi" w:eastAsia="Times New Roman" w:hAnsiTheme="majorHAnsi"/>
          <w:sz w:val="28"/>
          <w:szCs w:val="28"/>
        </w:rPr>
        <w:sectPr w:rsidR="00CA641F" w:rsidRPr="00B75B77" w:rsidSect="003E1F09">
          <w:headerReference w:type="default" r:id="rId20"/>
          <w:footerReference w:type="default" r:id="rId21"/>
          <w:headerReference w:type="first" r:id="rId22"/>
          <w:footerReference w:type="first" r:id="rId23"/>
          <w:pgSz w:w="12240" w:h="15840" w:code="1"/>
          <w:pgMar w:top="915" w:right="1440" w:bottom="1260" w:left="1440" w:header="576" w:footer="475" w:gutter="0"/>
          <w:pgBorders w:display="firstPage" w:offsetFrom="page">
            <w:top w:val="single" w:sz="24" w:space="24" w:color="448A99"/>
            <w:left w:val="single" w:sz="24" w:space="24" w:color="448A99"/>
            <w:bottom w:val="single" w:sz="24" w:space="24" w:color="448A99"/>
            <w:right w:val="single" w:sz="24" w:space="24" w:color="448A99"/>
          </w:pgBorders>
          <w:pgNumType w:fmt="lowerRoman"/>
          <w:cols w:space="720"/>
          <w:titlePg/>
          <w:docGrid w:linePitch="360"/>
        </w:sectPr>
      </w:pPr>
    </w:p>
    <w:p w:rsidR="00CA641F" w:rsidRPr="00B75B77" w:rsidRDefault="00CA641F" w:rsidP="002C2973">
      <w:pPr>
        <w:pStyle w:val="Heading1-No"/>
        <w:jc w:val="left"/>
      </w:pPr>
      <w:bookmarkStart w:id="1" w:name="_Toc466413253"/>
      <w:r w:rsidRPr="00B75B77">
        <w:lastRenderedPageBreak/>
        <w:t>Table of Contents</w:t>
      </w:r>
      <w:bookmarkEnd w:id="1"/>
    </w:p>
    <w:p w:rsidR="00836229" w:rsidRPr="00B75B77" w:rsidRDefault="00A80005">
      <w:pPr>
        <w:pStyle w:val="TOC1"/>
        <w:rPr>
          <w:rFonts w:asciiTheme="minorHAnsi" w:eastAsiaTheme="minorEastAsia" w:hAnsiTheme="minorHAnsi" w:cstheme="minorBidi"/>
          <w:b w:val="0"/>
          <w:bCs w:val="0"/>
          <w:smallCaps w:val="0"/>
          <w:noProof/>
          <w:szCs w:val="22"/>
        </w:rPr>
      </w:pPr>
      <w:r w:rsidRPr="00B75B77">
        <w:fldChar w:fldCharType="begin"/>
      </w:r>
      <w:r w:rsidRPr="00B75B77">
        <w:instrText xml:space="preserve"> TOC \h \z \t "Heading 1,1,Heading 2,2,Heading 3,3,Heading 5,1,Heading 6,2,Heading 7,3,Heading 8,1,Heading 9,2,Title,1,Subtitle,2,toc title,1,Heading 1-No #,1" </w:instrText>
      </w:r>
      <w:r w:rsidRPr="00B75B77">
        <w:fldChar w:fldCharType="separate"/>
      </w:r>
      <w:hyperlink w:anchor="_Toc466413253" w:history="1">
        <w:r w:rsidR="00836229" w:rsidRPr="00B75B77">
          <w:rPr>
            <w:rStyle w:val="Hyperlink"/>
            <w:noProof/>
          </w:rPr>
          <w:t>Table of Contents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_Toc466413253 \h </w:instrText>
        </w:r>
        <w:r w:rsidR="00836229" w:rsidRPr="00B75B77">
          <w:rPr>
            <w:noProof/>
            <w:webHidden/>
          </w:rPr>
        </w:r>
        <w:r w:rsidR="00836229" w:rsidRPr="00B75B77">
          <w:rPr>
            <w:noProof/>
            <w:webHidden/>
          </w:rPr>
          <w:fldChar w:fldCharType="separate"/>
        </w:r>
        <w:r w:rsidR="0004016D">
          <w:rPr>
            <w:noProof/>
            <w:webHidden/>
          </w:rPr>
          <w:t>i</w:t>
        </w:r>
        <w:r w:rsidR="00836229" w:rsidRPr="00B75B77">
          <w:rPr>
            <w:noProof/>
            <w:webHidden/>
          </w:rPr>
          <w:fldChar w:fldCharType="end"/>
        </w:r>
      </w:hyperlink>
    </w:p>
    <w:p w:rsidR="00836229" w:rsidRPr="00B75B77" w:rsidRDefault="00237810">
      <w:pPr>
        <w:pStyle w:val="TOC1"/>
        <w:rPr>
          <w:rFonts w:asciiTheme="minorHAnsi" w:eastAsiaTheme="minorEastAsia" w:hAnsiTheme="minorHAnsi" w:cstheme="minorBidi"/>
          <w:b w:val="0"/>
          <w:bCs w:val="0"/>
          <w:smallCaps w:val="0"/>
          <w:noProof/>
          <w:szCs w:val="22"/>
        </w:rPr>
      </w:pPr>
      <w:hyperlink w:anchor="_Toc466413254" w:history="1">
        <w:r w:rsidR="00836229" w:rsidRPr="00B75B77">
          <w:rPr>
            <w:rStyle w:val="Hyperlink"/>
            <w:noProof/>
          </w:rPr>
          <w:t>List of Tables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_Toc466413254 \h </w:instrText>
        </w:r>
        <w:r w:rsidR="00836229" w:rsidRPr="00B75B77">
          <w:rPr>
            <w:noProof/>
            <w:webHidden/>
          </w:rPr>
        </w:r>
        <w:r w:rsidR="00836229" w:rsidRPr="00B75B77">
          <w:rPr>
            <w:noProof/>
            <w:webHidden/>
          </w:rPr>
          <w:fldChar w:fldCharType="separate"/>
        </w:r>
        <w:r w:rsidR="0004016D">
          <w:rPr>
            <w:noProof/>
            <w:webHidden/>
          </w:rPr>
          <w:t>vi</w:t>
        </w:r>
        <w:r w:rsidR="00836229" w:rsidRPr="00B75B77">
          <w:rPr>
            <w:noProof/>
            <w:webHidden/>
          </w:rPr>
          <w:fldChar w:fldCharType="end"/>
        </w:r>
      </w:hyperlink>
    </w:p>
    <w:p w:rsidR="00836229" w:rsidRPr="00B75B77" w:rsidRDefault="00237810">
      <w:pPr>
        <w:pStyle w:val="TOC1"/>
        <w:rPr>
          <w:rFonts w:asciiTheme="minorHAnsi" w:eastAsiaTheme="minorEastAsia" w:hAnsiTheme="minorHAnsi" w:cstheme="minorBidi"/>
          <w:b w:val="0"/>
          <w:bCs w:val="0"/>
          <w:smallCaps w:val="0"/>
          <w:noProof/>
          <w:szCs w:val="22"/>
        </w:rPr>
      </w:pPr>
      <w:hyperlink w:anchor="_Toc466413255" w:history="1">
        <w:r w:rsidR="00836229" w:rsidRPr="00B75B77">
          <w:rPr>
            <w:rStyle w:val="Hyperlink"/>
            <w:noProof/>
          </w:rPr>
          <w:t>List of Figures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_Toc466413255 \h </w:instrText>
        </w:r>
        <w:r w:rsidR="00836229" w:rsidRPr="00B75B77">
          <w:rPr>
            <w:noProof/>
            <w:webHidden/>
          </w:rPr>
        </w:r>
        <w:r w:rsidR="00836229" w:rsidRPr="00B75B77">
          <w:rPr>
            <w:noProof/>
            <w:webHidden/>
          </w:rPr>
          <w:fldChar w:fldCharType="separate"/>
        </w:r>
        <w:r w:rsidR="0004016D">
          <w:rPr>
            <w:noProof/>
            <w:webHidden/>
          </w:rPr>
          <w:t>xi</w:t>
        </w:r>
        <w:r w:rsidR="00836229" w:rsidRPr="00B75B77">
          <w:rPr>
            <w:noProof/>
            <w:webHidden/>
          </w:rPr>
          <w:fldChar w:fldCharType="end"/>
        </w:r>
      </w:hyperlink>
    </w:p>
    <w:p w:rsidR="00836229" w:rsidRPr="00B75B77" w:rsidRDefault="00237810">
      <w:pPr>
        <w:pStyle w:val="TOC1"/>
        <w:rPr>
          <w:rFonts w:asciiTheme="minorHAnsi" w:eastAsiaTheme="minorEastAsia" w:hAnsiTheme="minorHAnsi" w:cstheme="minorBidi"/>
          <w:b w:val="0"/>
          <w:bCs w:val="0"/>
          <w:smallCaps w:val="0"/>
          <w:noProof/>
          <w:szCs w:val="22"/>
        </w:rPr>
      </w:pPr>
      <w:hyperlink w:anchor="_Toc466413256" w:history="1">
        <w:r w:rsidR="00836229" w:rsidRPr="00B75B77">
          <w:rPr>
            <w:rStyle w:val="Hyperlink"/>
            <w:noProof/>
          </w:rPr>
          <w:t>List of Equations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_Toc466413256 \h </w:instrText>
        </w:r>
        <w:r w:rsidR="00836229" w:rsidRPr="00B75B77">
          <w:rPr>
            <w:noProof/>
            <w:webHidden/>
          </w:rPr>
        </w:r>
        <w:r w:rsidR="00836229" w:rsidRPr="00B75B77">
          <w:rPr>
            <w:noProof/>
            <w:webHidden/>
          </w:rPr>
          <w:fldChar w:fldCharType="separate"/>
        </w:r>
        <w:r w:rsidR="0004016D">
          <w:rPr>
            <w:noProof/>
            <w:webHidden/>
          </w:rPr>
          <w:t>xii</w:t>
        </w:r>
        <w:r w:rsidR="00836229" w:rsidRPr="00B75B77">
          <w:rPr>
            <w:noProof/>
            <w:webHidden/>
          </w:rPr>
          <w:fldChar w:fldCharType="end"/>
        </w:r>
      </w:hyperlink>
    </w:p>
    <w:p w:rsidR="00836229" w:rsidRPr="00B75B77" w:rsidRDefault="00237810">
      <w:pPr>
        <w:pStyle w:val="TOC1"/>
        <w:rPr>
          <w:rFonts w:asciiTheme="minorHAnsi" w:eastAsiaTheme="minorEastAsia" w:hAnsiTheme="minorHAnsi" w:cstheme="minorBidi"/>
          <w:b w:val="0"/>
          <w:bCs w:val="0"/>
          <w:smallCaps w:val="0"/>
          <w:noProof/>
          <w:szCs w:val="22"/>
        </w:rPr>
      </w:pPr>
      <w:hyperlink w:anchor="_Toc466413257" w:history="1">
        <w:r w:rsidR="00836229" w:rsidRPr="00B75B77">
          <w:rPr>
            <w:rStyle w:val="Hyperlink"/>
            <w:noProof/>
          </w:rPr>
          <w:t>Acronyms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_Toc466413257 \h </w:instrText>
        </w:r>
        <w:r w:rsidR="00836229" w:rsidRPr="00B75B77">
          <w:rPr>
            <w:noProof/>
            <w:webHidden/>
          </w:rPr>
        </w:r>
        <w:r w:rsidR="00836229" w:rsidRPr="00B75B77">
          <w:rPr>
            <w:noProof/>
            <w:webHidden/>
          </w:rPr>
          <w:fldChar w:fldCharType="separate"/>
        </w:r>
        <w:r w:rsidR="0004016D">
          <w:rPr>
            <w:noProof/>
            <w:webHidden/>
          </w:rPr>
          <w:t>xiii</w:t>
        </w:r>
        <w:r w:rsidR="00836229" w:rsidRPr="00B75B77">
          <w:rPr>
            <w:noProof/>
            <w:webHidden/>
          </w:rPr>
          <w:fldChar w:fldCharType="end"/>
        </w:r>
      </w:hyperlink>
    </w:p>
    <w:p w:rsidR="00836229" w:rsidRPr="00B75B77" w:rsidRDefault="00237810">
      <w:pPr>
        <w:pStyle w:val="TOC1"/>
        <w:rPr>
          <w:rFonts w:asciiTheme="minorHAnsi" w:eastAsiaTheme="minorEastAsia" w:hAnsiTheme="minorHAnsi" w:cstheme="minorBidi"/>
          <w:b w:val="0"/>
          <w:bCs w:val="0"/>
          <w:smallCaps w:val="0"/>
          <w:noProof/>
          <w:szCs w:val="22"/>
        </w:rPr>
      </w:pPr>
      <w:hyperlink w:anchor="_Toc466413258" w:history="1">
        <w:r w:rsidR="00836229" w:rsidRPr="00B75B77">
          <w:rPr>
            <w:rStyle w:val="Hyperlink"/>
            <w:noProof/>
          </w:rPr>
          <w:t>Report Definitions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_Toc466413258 \h </w:instrText>
        </w:r>
        <w:r w:rsidR="00836229" w:rsidRPr="00B75B77">
          <w:rPr>
            <w:noProof/>
            <w:webHidden/>
          </w:rPr>
        </w:r>
        <w:r w:rsidR="00836229" w:rsidRPr="00B75B77">
          <w:rPr>
            <w:noProof/>
            <w:webHidden/>
          </w:rPr>
          <w:fldChar w:fldCharType="separate"/>
        </w:r>
        <w:r w:rsidR="0004016D">
          <w:rPr>
            <w:noProof/>
            <w:webHidden/>
          </w:rPr>
          <w:t>xvi</w:t>
        </w:r>
        <w:r w:rsidR="00836229" w:rsidRPr="00B75B77">
          <w:rPr>
            <w:noProof/>
            <w:webHidden/>
          </w:rPr>
          <w:fldChar w:fldCharType="end"/>
        </w:r>
      </w:hyperlink>
    </w:p>
    <w:p w:rsidR="00836229" w:rsidRPr="00B75B77" w:rsidRDefault="00237810">
      <w:pPr>
        <w:pStyle w:val="TOC1"/>
        <w:rPr>
          <w:rFonts w:asciiTheme="minorHAnsi" w:eastAsiaTheme="minorEastAsia" w:hAnsiTheme="minorHAnsi" w:cstheme="minorBidi"/>
          <w:b w:val="0"/>
          <w:bCs w:val="0"/>
          <w:smallCaps w:val="0"/>
          <w:noProof/>
          <w:szCs w:val="22"/>
        </w:rPr>
      </w:pPr>
      <w:hyperlink w:anchor="_Toc466413259" w:history="1">
        <w:r w:rsidR="00836229" w:rsidRPr="00B75B77">
          <w:rPr>
            <w:rStyle w:val="Hyperlink"/>
            <w:rFonts w:ascii="Britannic Bold" w:hAnsi="Britannic Bold"/>
            <w:noProof/>
          </w:rPr>
          <w:t>1.</w:t>
        </w:r>
        <w:r w:rsidR="00836229" w:rsidRPr="00B75B77">
          <w:rPr>
            <w:rStyle w:val="Hyperlink"/>
            <w:noProof/>
          </w:rPr>
          <w:t xml:space="preserve"> Overview of Portfolio</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_Toc466413259 \h </w:instrText>
        </w:r>
        <w:r w:rsidR="00836229" w:rsidRPr="00B75B77">
          <w:rPr>
            <w:noProof/>
            <w:webHidden/>
          </w:rPr>
        </w:r>
        <w:r w:rsidR="00836229" w:rsidRPr="00B75B77">
          <w:rPr>
            <w:noProof/>
            <w:webHidden/>
          </w:rPr>
          <w:fldChar w:fldCharType="separate"/>
        </w:r>
        <w:r w:rsidR="0004016D">
          <w:rPr>
            <w:noProof/>
            <w:webHidden/>
          </w:rPr>
          <w:t>1</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260" w:history="1">
        <w:r w:rsidR="00836229" w:rsidRPr="00B75B77">
          <w:rPr>
            <w:rStyle w:val="Hyperlink"/>
            <w:noProof/>
          </w:rPr>
          <w:t>1.1 Summary of Progress Toward Compliance Targets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_Toc466413260 \h </w:instrText>
        </w:r>
        <w:r w:rsidR="00836229" w:rsidRPr="00B75B77">
          <w:rPr>
            <w:noProof/>
            <w:webHidden/>
          </w:rPr>
        </w:r>
        <w:r w:rsidR="00836229" w:rsidRPr="00B75B77">
          <w:rPr>
            <w:noProof/>
            <w:webHidden/>
          </w:rPr>
          <w:fldChar w:fldCharType="separate"/>
        </w:r>
        <w:r w:rsidR="0004016D">
          <w:rPr>
            <w:noProof/>
            <w:webHidden/>
          </w:rPr>
          <w:t>1</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261" w:history="1">
        <w:r w:rsidR="00836229" w:rsidRPr="00B75B77">
          <w:rPr>
            <w:rStyle w:val="Hyperlink"/>
            <w:noProof/>
          </w:rPr>
          <w:t>1.1.1 Summary of Savings Adjustments throughout Phase II</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_Toc466413261 \h </w:instrText>
        </w:r>
        <w:r w:rsidR="00836229" w:rsidRPr="00B75B77">
          <w:rPr>
            <w:noProof/>
            <w:webHidden/>
          </w:rPr>
        </w:r>
        <w:r w:rsidR="00836229" w:rsidRPr="00B75B77">
          <w:rPr>
            <w:noProof/>
            <w:webHidden/>
          </w:rPr>
          <w:fldChar w:fldCharType="separate"/>
        </w:r>
        <w:r w:rsidR="0004016D">
          <w:rPr>
            <w:noProof/>
            <w:webHidden/>
          </w:rPr>
          <w:t>9</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262" w:history="1">
        <w:r w:rsidR="00836229" w:rsidRPr="00B75B77">
          <w:rPr>
            <w:rStyle w:val="Hyperlink"/>
            <w:noProof/>
          </w:rPr>
          <w:t>1.2 Summary of Energy Impacts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_Toc466413262 \h </w:instrText>
        </w:r>
        <w:r w:rsidR="00836229" w:rsidRPr="00B75B77">
          <w:rPr>
            <w:noProof/>
            <w:webHidden/>
          </w:rPr>
        </w:r>
        <w:r w:rsidR="00836229" w:rsidRPr="00B75B77">
          <w:rPr>
            <w:noProof/>
            <w:webHidden/>
          </w:rPr>
          <w:fldChar w:fldCharType="separate"/>
        </w:r>
        <w:r w:rsidR="0004016D">
          <w:rPr>
            <w:noProof/>
            <w:webHidden/>
          </w:rPr>
          <w:t>11</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263" w:history="1">
        <w:r w:rsidR="00836229" w:rsidRPr="00B75B77">
          <w:rPr>
            <w:rStyle w:val="Hyperlink"/>
            <w:noProof/>
          </w:rPr>
          <w:t>1.3 Summary of Fuel Switching Impacts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_Toc466413263 \h </w:instrText>
        </w:r>
        <w:r w:rsidR="00836229" w:rsidRPr="00B75B77">
          <w:rPr>
            <w:noProof/>
            <w:webHidden/>
          </w:rPr>
        </w:r>
        <w:r w:rsidR="00836229" w:rsidRPr="00B75B77">
          <w:rPr>
            <w:noProof/>
            <w:webHidden/>
          </w:rPr>
          <w:fldChar w:fldCharType="separate"/>
        </w:r>
        <w:r w:rsidR="0004016D">
          <w:rPr>
            <w:noProof/>
            <w:webHidden/>
          </w:rPr>
          <w:t>14</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264" w:history="1">
        <w:r w:rsidR="00836229" w:rsidRPr="00B75B77">
          <w:rPr>
            <w:rStyle w:val="Hyperlink"/>
            <w:noProof/>
          </w:rPr>
          <w:t>1.4 Summary of Demand Impacts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_Toc466413264 \h </w:instrText>
        </w:r>
        <w:r w:rsidR="00836229" w:rsidRPr="00B75B77">
          <w:rPr>
            <w:noProof/>
            <w:webHidden/>
          </w:rPr>
        </w:r>
        <w:r w:rsidR="00836229" w:rsidRPr="00B75B77">
          <w:rPr>
            <w:noProof/>
            <w:webHidden/>
          </w:rPr>
          <w:fldChar w:fldCharType="separate"/>
        </w:r>
        <w:r w:rsidR="0004016D">
          <w:rPr>
            <w:noProof/>
            <w:webHidden/>
          </w:rPr>
          <w:t>15</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265" w:history="1">
        <w:r w:rsidR="00836229" w:rsidRPr="00B75B77">
          <w:rPr>
            <w:rStyle w:val="Hyperlink"/>
            <w:noProof/>
          </w:rPr>
          <w:t>1.5 Summary of PY7 Net-to-Gross Ratios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_Toc466413265 \h </w:instrText>
        </w:r>
        <w:r w:rsidR="00836229" w:rsidRPr="00B75B77">
          <w:rPr>
            <w:noProof/>
            <w:webHidden/>
          </w:rPr>
        </w:r>
        <w:r w:rsidR="00836229" w:rsidRPr="00B75B77">
          <w:rPr>
            <w:noProof/>
            <w:webHidden/>
          </w:rPr>
          <w:fldChar w:fldCharType="separate"/>
        </w:r>
        <w:r w:rsidR="0004016D">
          <w:rPr>
            <w:noProof/>
            <w:webHidden/>
          </w:rPr>
          <w:t>18</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266" w:history="1">
        <w:r w:rsidR="00836229" w:rsidRPr="00B75B77">
          <w:rPr>
            <w:rStyle w:val="Hyperlink"/>
            <w:noProof/>
          </w:rPr>
          <w:t>1.6 Summary of Portfolio Finances and Cost-Effectiveness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_Toc466413266 \h </w:instrText>
        </w:r>
        <w:r w:rsidR="00836229" w:rsidRPr="00B75B77">
          <w:rPr>
            <w:noProof/>
            <w:webHidden/>
          </w:rPr>
        </w:r>
        <w:r w:rsidR="00836229" w:rsidRPr="00B75B77">
          <w:rPr>
            <w:noProof/>
            <w:webHidden/>
          </w:rPr>
          <w:fldChar w:fldCharType="separate"/>
        </w:r>
        <w:r w:rsidR="0004016D">
          <w:rPr>
            <w:noProof/>
            <w:webHidden/>
          </w:rPr>
          <w:t>20</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267" w:history="1">
        <w:r w:rsidR="00836229" w:rsidRPr="00B75B77">
          <w:rPr>
            <w:rStyle w:val="Hyperlink"/>
            <w:noProof/>
          </w:rPr>
          <w:t>1.7 Summary of Cost-Effectiveness by Program in PY7</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_Toc466413267 \h </w:instrText>
        </w:r>
        <w:r w:rsidR="00836229" w:rsidRPr="00B75B77">
          <w:rPr>
            <w:noProof/>
            <w:webHidden/>
          </w:rPr>
        </w:r>
        <w:r w:rsidR="00836229" w:rsidRPr="00B75B77">
          <w:rPr>
            <w:noProof/>
            <w:webHidden/>
          </w:rPr>
          <w:fldChar w:fldCharType="separate"/>
        </w:r>
        <w:r w:rsidR="0004016D">
          <w:rPr>
            <w:noProof/>
            <w:webHidden/>
          </w:rPr>
          <w:t>21</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268" w:history="1">
        <w:r w:rsidR="00836229" w:rsidRPr="00B75B77">
          <w:rPr>
            <w:rStyle w:val="Hyperlink"/>
            <w:noProof/>
          </w:rPr>
          <w:t>1.8 Comparison of PY7 Performance to Approved EE&amp;C Plan</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_Toc466413268 \h </w:instrText>
        </w:r>
        <w:r w:rsidR="00836229" w:rsidRPr="00B75B77">
          <w:rPr>
            <w:noProof/>
            <w:webHidden/>
          </w:rPr>
        </w:r>
        <w:r w:rsidR="00836229" w:rsidRPr="00B75B77">
          <w:rPr>
            <w:noProof/>
            <w:webHidden/>
          </w:rPr>
          <w:fldChar w:fldCharType="separate"/>
        </w:r>
        <w:r w:rsidR="0004016D">
          <w:rPr>
            <w:noProof/>
            <w:webHidden/>
          </w:rPr>
          <w:t>22</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269" w:history="1">
        <w:r w:rsidR="00836229" w:rsidRPr="00B75B77">
          <w:rPr>
            <w:rStyle w:val="Hyperlink"/>
            <w:noProof/>
          </w:rPr>
          <w:t>1.9 Summary of Cost-Effectiveness by Program for Phase II</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_Toc466413269 \h </w:instrText>
        </w:r>
        <w:r w:rsidR="00836229" w:rsidRPr="00B75B77">
          <w:rPr>
            <w:noProof/>
            <w:webHidden/>
          </w:rPr>
        </w:r>
        <w:r w:rsidR="00836229" w:rsidRPr="00B75B77">
          <w:rPr>
            <w:noProof/>
            <w:webHidden/>
          </w:rPr>
          <w:fldChar w:fldCharType="separate"/>
        </w:r>
        <w:r w:rsidR="0004016D">
          <w:rPr>
            <w:noProof/>
            <w:webHidden/>
          </w:rPr>
          <w:t>24</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270" w:history="1">
        <w:r w:rsidR="00836229" w:rsidRPr="00B75B77">
          <w:rPr>
            <w:rStyle w:val="Hyperlink"/>
            <w:noProof/>
          </w:rPr>
          <w:t>1.10 Comparison of Phase II Performance to Approved EE&amp;C Plan</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_Toc466413270 \h </w:instrText>
        </w:r>
        <w:r w:rsidR="00836229" w:rsidRPr="00B75B77">
          <w:rPr>
            <w:noProof/>
            <w:webHidden/>
          </w:rPr>
        </w:r>
        <w:r w:rsidR="00836229" w:rsidRPr="00B75B77">
          <w:rPr>
            <w:noProof/>
            <w:webHidden/>
          </w:rPr>
          <w:fldChar w:fldCharType="separate"/>
        </w:r>
        <w:r w:rsidR="0004016D">
          <w:rPr>
            <w:noProof/>
            <w:webHidden/>
          </w:rPr>
          <w:t>25</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271" w:history="1">
        <w:r w:rsidR="00836229" w:rsidRPr="00B75B77">
          <w:rPr>
            <w:rStyle w:val="Hyperlink"/>
            <w:noProof/>
          </w:rPr>
          <w:t>1.11 Portfolio Level/Cross-Cutting Process and Impact Evaluation Summary for PY7</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_Toc466413271 \h </w:instrText>
        </w:r>
        <w:r w:rsidR="00836229" w:rsidRPr="00B75B77">
          <w:rPr>
            <w:noProof/>
            <w:webHidden/>
          </w:rPr>
        </w:r>
        <w:r w:rsidR="00836229" w:rsidRPr="00B75B77">
          <w:rPr>
            <w:noProof/>
            <w:webHidden/>
          </w:rPr>
          <w:fldChar w:fldCharType="separate"/>
        </w:r>
        <w:r w:rsidR="0004016D">
          <w:rPr>
            <w:noProof/>
            <w:webHidden/>
          </w:rPr>
          <w:t>28</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272" w:history="1">
        <w:r w:rsidR="00836229" w:rsidRPr="00B75B77">
          <w:rPr>
            <w:rStyle w:val="Hyperlink"/>
            <w:noProof/>
          </w:rPr>
          <w:t>1.12 Site Inspections Summary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_Toc466413272 \h </w:instrText>
        </w:r>
        <w:r w:rsidR="00836229" w:rsidRPr="00B75B77">
          <w:rPr>
            <w:noProof/>
            <w:webHidden/>
          </w:rPr>
        </w:r>
        <w:r w:rsidR="00836229" w:rsidRPr="00B75B77">
          <w:rPr>
            <w:noProof/>
            <w:webHidden/>
          </w:rPr>
          <w:fldChar w:fldCharType="separate"/>
        </w:r>
        <w:r w:rsidR="0004016D">
          <w:rPr>
            <w:noProof/>
            <w:webHidden/>
          </w:rPr>
          <w:t>29</w:t>
        </w:r>
        <w:r w:rsidR="00836229" w:rsidRPr="00B75B77">
          <w:rPr>
            <w:noProof/>
            <w:webHidden/>
          </w:rPr>
          <w:fldChar w:fldCharType="end"/>
        </w:r>
      </w:hyperlink>
    </w:p>
    <w:p w:rsidR="00836229" w:rsidRPr="00B75B77" w:rsidRDefault="00237810">
      <w:pPr>
        <w:pStyle w:val="TOC1"/>
        <w:rPr>
          <w:rFonts w:asciiTheme="minorHAnsi" w:eastAsiaTheme="minorEastAsia" w:hAnsiTheme="minorHAnsi" w:cstheme="minorBidi"/>
          <w:b w:val="0"/>
          <w:bCs w:val="0"/>
          <w:smallCaps w:val="0"/>
          <w:noProof/>
          <w:szCs w:val="22"/>
        </w:rPr>
      </w:pPr>
      <w:hyperlink w:anchor="_Toc466413273" w:history="1">
        <w:r w:rsidR="00836229" w:rsidRPr="00B75B77">
          <w:rPr>
            <w:rStyle w:val="Hyperlink"/>
            <w:rFonts w:ascii="Britannic Bold" w:hAnsi="Britannic Bold"/>
            <w:noProof/>
          </w:rPr>
          <w:t>2.</w:t>
        </w:r>
        <w:r w:rsidR="00836229" w:rsidRPr="00B75B77">
          <w:rPr>
            <w:rStyle w:val="Hyperlink"/>
            <w:noProof/>
          </w:rPr>
          <w:t xml:space="preserve"> Smart Home Rebates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_Toc466413273 \h </w:instrText>
        </w:r>
        <w:r w:rsidR="00836229" w:rsidRPr="00B75B77">
          <w:rPr>
            <w:noProof/>
            <w:webHidden/>
          </w:rPr>
        </w:r>
        <w:r w:rsidR="00836229" w:rsidRPr="00B75B77">
          <w:rPr>
            <w:noProof/>
            <w:webHidden/>
          </w:rPr>
          <w:fldChar w:fldCharType="separate"/>
        </w:r>
        <w:r w:rsidR="0004016D">
          <w:rPr>
            <w:noProof/>
            <w:webHidden/>
          </w:rPr>
          <w:t>31</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274" w:history="1">
        <w:r w:rsidR="00836229" w:rsidRPr="00B75B77">
          <w:rPr>
            <w:rStyle w:val="Hyperlink"/>
            <w:noProof/>
          </w:rPr>
          <w:t>2.1 Program Updates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_Toc466413274 \h </w:instrText>
        </w:r>
        <w:r w:rsidR="00836229" w:rsidRPr="00B75B77">
          <w:rPr>
            <w:noProof/>
            <w:webHidden/>
          </w:rPr>
        </w:r>
        <w:r w:rsidR="00836229" w:rsidRPr="00B75B77">
          <w:rPr>
            <w:noProof/>
            <w:webHidden/>
          </w:rPr>
          <w:fldChar w:fldCharType="separate"/>
        </w:r>
        <w:r w:rsidR="0004016D">
          <w:rPr>
            <w:noProof/>
            <w:webHidden/>
          </w:rPr>
          <w:t>31</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275" w:history="1">
        <w:r w:rsidR="00836229" w:rsidRPr="00B75B77">
          <w:rPr>
            <w:rStyle w:val="Hyperlink"/>
            <w:noProof/>
          </w:rPr>
          <w:t>2.1.1 Definition of Participant</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_Toc466413275 \h </w:instrText>
        </w:r>
        <w:r w:rsidR="00836229" w:rsidRPr="00B75B77">
          <w:rPr>
            <w:noProof/>
            <w:webHidden/>
          </w:rPr>
        </w:r>
        <w:r w:rsidR="00836229" w:rsidRPr="00B75B77">
          <w:rPr>
            <w:noProof/>
            <w:webHidden/>
          </w:rPr>
          <w:fldChar w:fldCharType="separate"/>
        </w:r>
        <w:r w:rsidR="0004016D">
          <w:rPr>
            <w:noProof/>
            <w:webHidden/>
          </w:rPr>
          <w:t>31</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276" w:history="1">
        <w:r w:rsidR="00836229" w:rsidRPr="00B75B77">
          <w:rPr>
            <w:rStyle w:val="Hyperlink"/>
            <w:noProof/>
          </w:rPr>
          <w:t>2.2 Impact Evaluation Gross Savings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_Toc466413276 \h </w:instrText>
        </w:r>
        <w:r w:rsidR="00836229" w:rsidRPr="00B75B77">
          <w:rPr>
            <w:noProof/>
            <w:webHidden/>
          </w:rPr>
        </w:r>
        <w:r w:rsidR="00836229" w:rsidRPr="00B75B77">
          <w:rPr>
            <w:noProof/>
            <w:webHidden/>
          </w:rPr>
          <w:fldChar w:fldCharType="separate"/>
        </w:r>
        <w:r w:rsidR="0004016D">
          <w:rPr>
            <w:noProof/>
            <w:webHidden/>
          </w:rPr>
          <w:t>31</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277" w:history="1">
        <w:r w:rsidR="00836229" w:rsidRPr="00B75B77">
          <w:rPr>
            <w:rStyle w:val="Hyperlink"/>
            <w:noProof/>
          </w:rPr>
          <w:t>2.2.1 Gross Verified Savings Methodology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_Toc466413277 \h </w:instrText>
        </w:r>
        <w:r w:rsidR="00836229" w:rsidRPr="00B75B77">
          <w:rPr>
            <w:noProof/>
            <w:webHidden/>
          </w:rPr>
        </w:r>
        <w:r w:rsidR="00836229" w:rsidRPr="00B75B77">
          <w:rPr>
            <w:noProof/>
            <w:webHidden/>
          </w:rPr>
          <w:fldChar w:fldCharType="separate"/>
        </w:r>
        <w:r w:rsidR="0004016D">
          <w:rPr>
            <w:noProof/>
            <w:webHidden/>
          </w:rPr>
          <w:t>32</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278" w:history="1">
        <w:r w:rsidR="00836229" w:rsidRPr="00B75B77">
          <w:rPr>
            <w:rStyle w:val="Hyperlink"/>
            <w:noProof/>
          </w:rPr>
          <w:t>2.2.2 Gross Verified Savings Results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_Toc466413278 \h </w:instrText>
        </w:r>
        <w:r w:rsidR="00836229" w:rsidRPr="00B75B77">
          <w:rPr>
            <w:noProof/>
            <w:webHidden/>
          </w:rPr>
        </w:r>
        <w:r w:rsidR="00836229" w:rsidRPr="00B75B77">
          <w:rPr>
            <w:noProof/>
            <w:webHidden/>
          </w:rPr>
          <w:fldChar w:fldCharType="separate"/>
        </w:r>
        <w:r w:rsidR="0004016D">
          <w:rPr>
            <w:noProof/>
            <w:webHidden/>
          </w:rPr>
          <w:t>34</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279" w:history="1">
        <w:r w:rsidR="00836229" w:rsidRPr="00B75B77">
          <w:rPr>
            <w:rStyle w:val="Hyperlink"/>
            <w:noProof/>
          </w:rPr>
          <w:t>2.3 Impact Evaluation Net Savings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_Toc466413279 \h </w:instrText>
        </w:r>
        <w:r w:rsidR="00836229" w:rsidRPr="00B75B77">
          <w:rPr>
            <w:noProof/>
            <w:webHidden/>
          </w:rPr>
        </w:r>
        <w:r w:rsidR="00836229" w:rsidRPr="00B75B77">
          <w:rPr>
            <w:noProof/>
            <w:webHidden/>
          </w:rPr>
          <w:fldChar w:fldCharType="separate"/>
        </w:r>
        <w:r w:rsidR="0004016D">
          <w:rPr>
            <w:noProof/>
            <w:webHidden/>
          </w:rPr>
          <w:t>36</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280" w:history="1">
        <w:r w:rsidR="00836229" w:rsidRPr="00B75B77">
          <w:rPr>
            <w:rStyle w:val="Hyperlink"/>
            <w:noProof/>
          </w:rPr>
          <w:t>2.3.1 Net Verified Savings Methodology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_Toc466413280 \h </w:instrText>
        </w:r>
        <w:r w:rsidR="00836229" w:rsidRPr="00B75B77">
          <w:rPr>
            <w:noProof/>
            <w:webHidden/>
          </w:rPr>
        </w:r>
        <w:r w:rsidR="00836229" w:rsidRPr="00B75B77">
          <w:rPr>
            <w:noProof/>
            <w:webHidden/>
          </w:rPr>
          <w:fldChar w:fldCharType="separate"/>
        </w:r>
        <w:r w:rsidR="0004016D">
          <w:rPr>
            <w:noProof/>
            <w:webHidden/>
          </w:rPr>
          <w:t>36</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281" w:history="1">
        <w:r w:rsidR="00836229" w:rsidRPr="00B75B77">
          <w:rPr>
            <w:rStyle w:val="Hyperlink"/>
            <w:noProof/>
          </w:rPr>
          <w:t>2.3.2 Net Verified Savings Results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_Toc466413281 \h </w:instrText>
        </w:r>
        <w:r w:rsidR="00836229" w:rsidRPr="00B75B77">
          <w:rPr>
            <w:noProof/>
            <w:webHidden/>
          </w:rPr>
        </w:r>
        <w:r w:rsidR="00836229" w:rsidRPr="00B75B77">
          <w:rPr>
            <w:noProof/>
            <w:webHidden/>
          </w:rPr>
          <w:fldChar w:fldCharType="separate"/>
        </w:r>
        <w:r w:rsidR="0004016D">
          <w:rPr>
            <w:noProof/>
            <w:webHidden/>
          </w:rPr>
          <w:t>38</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282" w:history="1">
        <w:r w:rsidR="00836229" w:rsidRPr="00B75B77">
          <w:rPr>
            <w:rStyle w:val="Hyperlink"/>
            <w:noProof/>
          </w:rPr>
          <w:t>2.4 Process Evaluation</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_Toc466413282 \h </w:instrText>
        </w:r>
        <w:r w:rsidR="00836229" w:rsidRPr="00B75B77">
          <w:rPr>
            <w:noProof/>
            <w:webHidden/>
          </w:rPr>
        </w:r>
        <w:r w:rsidR="00836229" w:rsidRPr="00B75B77">
          <w:rPr>
            <w:noProof/>
            <w:webHidden/>
          </w:rPr>
          <w:fldChar w:fldCharType="separate"/>
        </w:r>
        <w:r w:rsidR="0004016D">
          <w:rPr>
            <w:noProof/>
            <w:webHidden/>
          </w:rPr>
          <w:t>38</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283" w:history="1">
        <w:r w:rsidR="00836229" w:rsidRPr="00B75B77">
          <w:rPr>
            <w:rStyle w:val="Hyperlink"/>
            <w:noProof/>
          </w:rPr>
          <w:t>2.4.1 Process Evaluation Methodology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_Toc466413283 \h </w:instrText>
        </w:r>
        <w:r w:rsidR="00836229" w:rsidRPr="00B75B77">
          <w:rPr>
            <w:noProof/>
            <w:webHidden/>
          </w:rPr>
        </w:r>
        <w:r w:rsidR="00836229" w:rsidRPr="00B75B77">
          <w:rPr>
            <w:noProof/>
            <w:webHidden/>
          </w:rPr>
          <w:fldChar w:fldCharType="separate"/>
        </w:r>
        <w:r w:rsidR="0004016D">
          <w:rPr>
            <w:noProof/>
            <w:webHidden/>
          </w:rPr>
          <w:t>39</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284" w:history="1">
        <w:r w:rsidR="00836229" w:rsidRPr="00B75B77">
          <w:rPr>
            <w:rStyle w:val="Hyperlink"/>
            <w:noProof/>
          </w:rPr>
          <w:t>2.4.2 Process Findings and Recommendations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_Toc466413284 \h </w:instrText>
        </w:r>
        <w:r w:rsidR="00836229" w:rsidRPr="00B75B77">
          <w:rPr>
            <w:noProof/>
            <w:webHidden/>
          </w:rPr>
        </w:r>
        <w:r w:rsidR="00836229" w:rsidRPr="00B75B77">
          <w:rPr>
            <w:noProof/>
            <w:webHidden/>
          </w:rPr>
          <w:fldChar w:fldCharType="separate"/>
        </w:r>
        <w:r w:rsidR="0004016D">
          <w:rPr>
            <w:noProof/>
            <w:webHidden/>
          </w:rPr>
          <w:t>39</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285" w:history="1">
        <w:r w:rsidR="00836229" w:rsidRPr="00B75B77">
          <w:rPr>
            <w:rStyle w:val="Hyperlink"/>
            <w:noProof/>
          </w:rPr>
          <w:t>2.5 Status of Recommendations for Program</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_Toc466413285 \h </w:instrText>
        </w:r>
        <w:r w:rsidR="00836229" w:rsidRPr="00B75B77">
          <w:rPr>
            <w:noProof/>
            <w:webHidden/>
          </w:rPr>
        </w:r>
        <w:r w:rsidR="00836229" w:rsidRPr="00B75B77">
          <w:rPr>
            <w:noProof/>
            <w:webHidden/>
          </w:rPr>
          <w:fldChar w:fldCharType="separate"/>
        </w:r>
        <w:r w:rsidR="0004016D">
          <w:rPr>
            <w:noProof/>
            <w:webHidden/>
          </w:rPr>
          <w:t>45</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286" w:history="1">
        <w:r w:rsidR="00836229" w:rsidRPr="00B75B77">
          <w:rPr>
            <w:rStyle w:val="Hyperlink"/>
            <w:noProof/>
          </w:rPr>
          <w:t>2.6 Financial Reporting</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_Toc466413286 \h </w:instrText>
        </w:r>
        <w:r w:rsidR="00836229" w:rsidRPr="00B75B77">
          <w:rPr>
            <w:noProof/>
            <w:webHidden/>
          </w:rPr>
        </w:r>
        <w:r w:rsidR="00836229" w:rsidRPr="00B75B77">
          <w:rPr>
            <w:noProof/>
            <w:webHidden/>
          </w:rPr>
          <w:fldChar w:fldCharType="separate"/>
        </w:r>
        <w:r w:rsidR="0004016D">
          <w:rPr>
            <w:noProof/>
            <w:webHidden/>
          </w:rPr>
          <w:t>46</w:t>
        </w:r>
        <w:r w:rsidR="00836229" w:rsidRPr="00B75B77">
          <w:rPr>
            <w:noProof/>
            <w:webHidden/>
          </w:rPr>
          <w:fldChar w:fldCharType="end"/>
        </w:r>
      </w:hyperlink>
    </w:p>
    <w:p w:rsidR="00836229" w:rsidRPr="00B75B77" w:rsidRDefault="00237810">
      <w:pPr>
        <w:pStyle w:val="TOC1"/>
        <w:rPr>
          <w:rFonts w:asciiTheme="minorHAnsi" w:eastAsiaTheme="minorEastAsia" w:hAnsiTheme="minorHAnsi" w:cstheme="minorBidi"/>
          <w:b w:val="0"/>
          <w:bCs w:val="0"/>
          <w:smallCaps w:val="0"/>
          <w:noProof/>
          <w:szCs w:val="22"/>
        </w:rPr>
      </w:pPr>
      <w:hyperlink w:anchor="_Toc466413287" w:history="1">
        <w:r w:rsidR="00836229" w:rsidRPr="00B75B77">
          <w:rPr>
            <w:rStyle w:val="Hyperlink"/>
            <w:rFonts w:ascii="Britannic Bold" w:hAnsi="Britannic Bold"/>
            <w:noProof/>
          </w:rPr>
          <w:t>3.</w:t>
        </w:r>
        <w:r w:rsidR="00836229" w:rsidRPr="00B75B77">
          <w:rPr>
            <w:rStyle w:val="Hyperlink"/>
            <w:noProof/>
          </w:rPr>
          <w:t xml:space="preserve"> Smart House Call Program</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_Toc466413287 \h </w:instrText>
        </w:r>
        <w:r w:rsidR="00836229" w:rsidRPr="00B75B77">
          <w:rPr>
            <w:noProof/>
            <w:webHidden/>
          </w:rPr>
        </w:r>
        <w:r w:rsidR="00836229" w:rsidRPr="00B75B77">
          <w:rPr>
            <w:noProof/>
            <w:webHidden/>
          </w:rPr>
          <w:fldChar w:fldCharType="separate"/>
        </w:r>
        <w:r w:rsidR="0004016D">
          <w:rPr>
            <w:noProof/>
            <w:webHidden/>
          </w:rPr>
          <w:t>47</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288" w:history="1">
        <w:r w:rsidR="00836229" w:rsidRPr="00B75B77">
          <w:rPr>
            <w:rStyle w:val="Hyperlink"/>
            <w:noProof/>
          </w:rPr>
          <w:t>3.1 Program Updates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_Toc466413288 \h </w:instrText>
        </w:r>
        <w:r w:rsidR="00836229" w:rsidRPr="00B75B77">
          <w:rPr>
            <w:noProof/>
            <w:webHidden/>
          </w:rPr>
        </w:r>
        <w:r w:rsidR="00836229" w:rsidRPr="00B75B77">
          <w:rPr>
            <w:noProof/>
            <w:webHidden/>
          </w:rPr>
          <w:fldChar w:fldCharType="separate"/>
        </w:r>
        <w:r w:rsidR="0004016D">
          <w:rPr>
            <w:noProof/>
            <w:webHidden/>
          </w:rPr>
          <w:t>47</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289" w:history="1">
        <w:r w:rsidR="00836229" w:rsidRPr="00B75B77">
          <w:rPr>
            <w:rStyle w:val="Hyperlink"/>
            <w:noProof/>
          </w:rPr>
          <w:t>3.1.1 Definition of a Participant</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_Toc466413289 \h </w:instrText>
        </w:r>
        <w:r w:rsidR="00836229" w:rsidRPr="00B75B77">
          <w:rPr>
            <w:noProof/>
            <w:webHidden/>
          </w:rPr>
        </w:r>
        <w:r w:rsidR="00836229" w:rsidRPr="00B75B77">
          <w:rPr>
            <w:noProof/>
            <w:webHidden/>
          </w:rPr>
          <w:fldChar w:fldCharType="separate"/>
        </w:r>
        <w:r w:rsidR="0004016D">
          <w:rPr>
            <w:noProof/>
            <w:webHidden/>
          </w:rPr>
          <w:t>47</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290" w:history="1">
        <w:r w:rsidR="00836229" w:rsidRPr="00B75B77">
          <w:rPr>
            <w:rStyle w:val="Hyperlink"/>
            <w:noProof/>
          </w:rPr>
          <w:t>3.2 Impact Evaluation Gross Savings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_Toc466413290 \h </w:instrText>
        </w:r>
        <w:r w:rsidR="00836229" w:rsidRPr="00B75B77">
          <w:rPr>
            <w:noProof/>
            <w:webHidden/>
          </w:rPr>
        </w:r>
        <w:r w:rsidR="00836229" w:rsidRPr="00B75B77">
          <w:rPr>
            <w:noProof/>
            <w:webHidden/>
          </w:rPr>
          <w:fldChar w:fldCharType="separate"/>
        </w:r>
        <w:r w:rsidR="0004016D">
          <w:rPr>
            <w:noProof/>
            <w:webHidden/>
          </w:rPr>
          <w:t>48</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291" w:history="1">
        <w:r w:rsidR="00836229" w:rsidRPr="00B75B77">
          <w:rPr>
            <w:rStyle w:val="Hyperlink"/>
            <w:noProof/>
          </w:rPr>
          <w:t>3.2.1 Gross Verified Savings Methodology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_Toc466413291 \h </w:instrText>
        </w:r>
        <w:r w:rsidR="00836229" w:rsidRPr="00B75B77">
          <w:rPr>
            <w:noProof/>
            <w:webHidden/>
          </w:rPr>
        </w:r>
        <w:r w:rsidR="00836229" w:rsidRPr="00B75B77">
          <w:rPr>
            <w:noProof/>
            <w:webHidden/>
          </w:rPr>
          <w:fldChar w:fldCharType="separate"/>
        </w:r>
        <w:r w:rsidR="0004016D">
          <w:rPr>
            <w:noProof/>
            <w:webHidden/>
          </w:rPr>
          <w:t>48</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292" w:history="1">
        <w:r w:rsidR="00836229" w:rsidRPr="00B75B77">
          <w:rPr>
            <w:rStyle w:val="Hyperlink"/>
            <w:noProof/>
          </w:rPr>
          <w:t>3.2.2 Gross Verified Savings Results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_Toc466413292 \h </w:instrText>
        </w:r>
        <w:r w:rsidR="00836229" w:rsidRPr="00B75B77">
          <w:rPr>
            <w:noProof/>
            <w:webHidden/>
          </w:rPr>
        </w:r>
        <w:r w:rsidR="00836229" w:rsidRPr="00B75B77">
          <w:rPr>
            <w:noProof/>
            <w:webHidden/>
          </w:rPr>
          <w:fldChar w:fldCharType="separate"/>
        </w:r>
        <w:r w:rsidR="0004016D">
          <w:rPr>
            <w:noProof/>
            <w:webHidden/>
          </w:rPr>
          <w:t>49</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293" w:history="1">
        <w:r w:rsidR="00836229" w:rsidRPr="00B75B77">
          <w:rPr>
            <w:rStyle w:val="Hyperlink"/>
            <w:noProof/>
          </w:rPr>
          <w:t>3.2.3 Gross Savings Verification Findings and Recommendations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_Toc466413293 \h </w:instrText>
        </w:r>
        <w:r w:rsidR="00836229" w:rsidRPr="00B75B77">
          <w:rPr>
            <w:noProof/>
            <w:webHidden/>
          </w:rPr>
        </w:r>
        <w:r w:rsidR="00836229" w:rsidRPr="00B75B77">
          <w:rPr>
            <w:noProof/>
            <w:webHidden/>
          </w:rPr>
          <w:fldChar w:fldCharType="separate"/>
        </w:r>
        <w:r w:rsidR="0004016D">
          <w:rPr>
            <w:noProof/>
            <w:webHidden/>
          </w:rPr>
          <w:t>51</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294" w:history="1">
        <w:r w:rsidR="00836229" w:rsidRPr="00B75B77">
          <w:rPr>
            <w:rStyle w:val="Hyperlink"/>
            <w:noProof/>
          </w:rPr>
          <w:t>3.3 Impact Evaluation Net Savings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_Toc466413294 \h </w:instrText>
        </w:r>
        <w:r w:rsidR="00836229" w:rsidRPr="00B75B77">
          <w:rPr>
            <w:noProof/>
            <w:webHidden/>
          </w:rPr>
        </w:r>
        <w:r w:rsidR="00836229" w:rsidRPr="00B75B77">
          <w:rPr>
            <w:noProof/>
            <w:webHidden/>
          </w:rPr>
          <w:fldChar w:fldCharType="separate"/>
        </w:r>
        <w:r w:rsidR="0004016D">
          <w:rPr>
            <w:noProof/>
            <w:webHidden/>
          </w:rPr>
          <w:t>52</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295" w:history="1">
        <w:r w:rsidR="00836229" w:rsidRPr="00B75B77">
          <w:rPr>
            <w:rStyle w:val="Hyperlink"/>
            <w:noProof/>
          </w:rPr>
          <w:t>3.3.1 Net Verified Savings Methodology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_Toc466413295 \h </w:instrText>
        </w:r>
        <w:r w:rsidR="00836229" w:rsidRPr="00B75B77">
          <w:rPr>
            <w:noProof/>
            <w:webHidden/>
          </w:rPr>
        </w:r>
        <w:r w:rsidR="00836229" w:rsidRPr="00B75B77">
          <w:rPr>
            <w:noProof/>
            <w:webHidden/>
          </w:rPr>
          <w:fldChar w:fldCharType="separate"/>
        </w:r>
        <w:r w:rsidR="0004016D">
          <w:rPr>
            <w:noProof/>
            <w:webHidden/>
          </w:rPr>
          <w:t>52</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296" w:history="1">
        <w:r w:rsidR="00836229" w:rsidRPr="00B75B77">
          <w:rPr>
            <w:rStyle w:val="Hyperlink"/>
            <w:noProof/>
          </w:rPr>
          <w:t>3.3.2 Net Verified Savings Results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_Toc466413296 \h </w:instrText>
        </w:r>
        <w:r w:rsidR="00836229" w:rsidRPr="00B75B77">
          <w:rPr>
            <w:noProof/>
            <w:webHidden/>
          </w:rPr>
        </w:r>
        <w:r w:rsidR="00836229" w:rsidRPr="00B75B77">
          <w:rPr>
            <w:noProof/>
            <w:webHidden/>
          </w:rPr>
          <w:fldChar w:fldCharType="separate"/>
        </w:r>
        <w:r w:rsidR="0004016D">
          <w:rPr>
            <w:noProof/>
            <w:webHidden/>
          </w:rPr>
          <w:t>54</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297" w:history="1">
        <w:r w:rsidR="00836229" w:rsidRPr="00B75B77">
          <w:rPr>
            <w:rStyle w:val="Hyperlink"/>
            <w:noProof/>
          </w:rPr>
          <w:t>3.4 Process Evaluation</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_Toc466413297 \h </w:instrText>
        </w:r>
        <w:r w:rsidR="00836229" w:rsidRPr="00B75B77">
          <w:rPr>
            <w:noProof/>
            <w:webHidden/>
          </w:rPr>
        </w:r>
        <w:r w:rsidR="00836229" w:rsidRPr="00B75B77">
          <w:rPr>
            <w:noProof/>
            <w:webHidden/>
          </w:rPr>
          <w:fldChar w:fldCharType="separate"/>
        </w:r>
        <w:r w:rsidR="0004016D">
          <w:rPr>
            <w:noProof/>
            <w:webHidden/>
          </w:rPr>
          <w:t>55</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298" w:history="1">
        <w:r w:rsidR="00836229" w:rsidRPr="00B75B77">
          <w:rPr>
            <w:rStyle w:val="Hyperlink"/>
            <w:noProof/>
          </w:rPr>
          <w:t>3.4.1 Process Evaluation Methodology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_Toc466413298 \h </w:instrText>
        </w:r>
        <w:r w:rsidR="00836229" w:rsidRPr="00B75B77">
          <w:rPr>
            <w:noProof/>
            <w:webHidden/>
          </w:rPr>
        </w:r>
        <w:r w:rsidR="00836229" w:rsidRPr="00B75B77">
          <w:rPr>
            <w:noProof/>
            <w:webHidden/>
          </w:rPr>
          <w:fldChar w:fldCharType="separate"/>
        </w:r>
        <w:r w:rsidR="0004016D">
          <w:rPr>
            <w:noProof/>
            <w:webHidden/>
          </w:rPr>
          <w:t>55</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299" w:history="1">
        <w:r w:rsidR="00836229" w:rsidRPr="00B75B77">
          <w:rPr>
            <w:rStyle w:val="Hyperlink"/>
            <w:noProof/>
          </w:rPr>
          <w:t>3.4.2 Process Findings and Recommendations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_Toc466413299 \h </w:instrText>
        </w:r>
        <w:r w:rsidR="00836229" w:rsidRPr="00B75B77">
          <w:rPr>
            <w:noProof/>
            <w:webHidden/>
          </w:rPr>
        </w:r>
        <w:r w:rsidR="00836229" w:rsidRPr="00B75B77">
          <w:rPr>
            <w:noProof/>
            <w:webHidden/>
          </w:rPr>
          <w:fldChar w:fldCharType="separate"/>
        </w:r>
        <w:r w:rsidR="0004016D">
          <w:rPr>
            <w:noProof/>
            <w:webHidden/>
          </w:rPr>
          <w:t>56</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300" w:history="1">
        <w:r w:rsidR="00836229" w:rsidRPr="00B75B77">
          <w:rPr>
            <w:rStyle w:val="Hyperlink"/>
            <w:noProof/>
          </w:rPr>
          <w:t>3.5 Status of Recommendations for Program</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_Toc466413300 \h </w:instrText>
        </w:r>
        <w:r w:rsidR="00836229" w:rsidRPr="00B75B77">
          <w:rPr>
            <w:noProof/>
            <w:webHidden/>
          </w:rPr>
        </w:r>
        <w:r w:rsidR="00836229" w:rsidRPr="00B75B77">
          <w:rPr>
            <w:noProof/>
            <w:webHidden/>
          </w:rPr>
          <w:fldChar w:fldCharType="separate"/>
        </w:r>
        <w:r w:rsidR="0004016D">
          <w:rPr>
            <w:noProof/>
            <w:webHidden/>
          </w:rPr>
          <w:t>59</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301" w:history="1">
        <w:r w:rsidR="00836229" w:rsidRPr="00B75B77">
          <w:rPr>
            <w:rStyle w:val="Hyperlink"/>
            <w:noProof/>
          </w:rPr>
          <w:t>3.6 Financial Reporting</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_Toc466413301 \h </w:instrText>
        </w:r>
        <w:r w:rsidR="00836229" w:rsidRPr="00B75B77">
          <w:rPr>
            <w:noProof/>
            <w:webHidden/>
          </w:rPr>
        </w:r>
        <w:r w:rsidR="00836229" w:rsidRPr="00B75B77">
          <w:rPr>
            <w:noProof/>
            <w:webHidden/>
          </w:rPr>
          <w:fldChar w:fldCharType="separate"/>
        </w:r>
        <w:r w:rsidR="0004016D">
          <w:rPr>
            <w:noProof/>
            <w:webHidden/>
          </w:rPr>
          <w:t>60</w:t>
        </w:r>
        <w:r w:rsidR="00836229" w:rsidRPr="00B75B77">
          <w:rPr>
            <w:noProof/>
            <w:webHidden/>
          </w:rPr>
          <w:fldChar w:fldCharType="end"/>
        </w:r>
      </w:hyperlink>
    </w:p>
    <w:p w:rsidR="00836229" w:rsidRPr="00B75B77" w:rsidRDefault="00237810">
      <w:pPr>
        <w:pStyle w:val="TOC1"/>
        <w:rPr>
          <w:rFonts w:asciiTheme="minorHAnsi" w:eastAsiaTheme="minorEastAsia" w:hAnsiTheme="minorHAnsi" w:cstheme="minorBidi"/>
          <w:b w:val="0"/>
          <w:bCs w:val="0"/>
          <w:smallCaps w:val="0"/>
          <w:noProof/>
          <w:szCs w:val="22"/>
        </w:rPr>
      </w:pPr>
      <w:hyperlink w:anchor="_Toc466413302" w:history="1">
        <w:r w:rsidR="00836229" w:rsidRPr="00B75B77">
          <w:rPr>
            <w:rStyle w:val="Hyperlink"/>
            <w:rFonts w:ascii="Britannic Bold" w:hAnsi="Britannic Bold"/>
            <w:noProof/>
          </w:rPr>
          <w:t>4.</w:t>
        </w:r>
        <w:r w:rsidR="00836229" w:rsidRPr="00B75B77">
          <w:rPr>
            <w:rStyle w:val="Hyperlink"/>
            <w:noProof/>
          </w:rPr>
          <w:t xml:space="preserve"> Smart Appliance Recycling Program</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_Toc466413302 \h </w:instrText>
        </w:r>
        <w:r w:rsidR="00836229" w:rsidRPr="00B75B77">
          <w:rPr>
            <w:noProof/>
            <w:webHidden/>
          </w:rPr>
        </w:r>
        <w:r w:rsidR="00836229" w:rsidRPr="00B75B77">
          <w:rPr>
            <w:noProof/>
            <w:webHidden/>
          </w:rPr>
          <w:fldChar w:fldCharType="separate"/>
        </w:r>
        <w:r w:rsidR="0004016D">
          <w:rPr>
            <w:noProof/>
            <w:webHidden/>
          </w:rPr>
          <w:t>63</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303" w:history="1">
        <w:r w:rsidR="00836229" w:rsidRPr="00B75B77">
          <w:rPr>
            <w:rStyle w:val="Hyperlink"/>
            <w:noProof/>
          </w:rPr>
          <w:t>4.1 Program Updates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_Toc466413303 \h </w:instrText>
        </w:r>
        <w:r w:rsidR="00836229" w:rsidRPr="00B75B77">
          <w:rPr>
            <w:noProof/>
            <w:webHidden/>
          </w:rPr>
        </w:r>
        <w:r w:rsidR="00836229" w:rsidRPr="00B75B77">
          <w:rPr>
            <w:noProof/>
            <w:webHidden/>
          </w:rPr>
          <w:fldChar w:fldCharType="separate"/>
        </w:r>
        <w:r w:rsidR="0004016D">
          <w:rPr>
            <w:noProof/>
            <w:webHidden/>
          </w:rPr>
          <w:t>63</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304" w:history="1">
        <w:r w:rsidR="00836229" w:rsidRPr="00B75B77">
          <w:rPr>
            <w:rStyle w:val="Hyperlink"/>
            <w:noProof/>
          </w:rPr>
          <w:t>4.1.1 Definition of Participant</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_Toc466413304 \h </w:instrText>
        </w:r>
        <w:r w:rsidR="00836229" w:rsidRPr="00B75B77">
          <w:rPr>
            <w:noProof/>
            <w:webHidden/>
          </w:rPr>
        </w:r>
        <w:r w:rsidR="00836229" w:rsidRPr="00B75B77">
          <w:rPr>
            <w:noProof/>
            <w:webHidden/>
          </w:rPr>
          <w:fldChar w:fldCharType="separate"/>
        </w:r>
        <w:r w:rsidR="0004016D">
          <w:rPr>
            <w:noProof/>
            <w:webHidden/>
          </w:rPr>
          <w:t>63</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305" w:history="1">
        <w:r w:rsidR="00836229" w:rsidRPr="00B75B77">
          <w:rPr>
            <w:rStyle w:val="Hyperlink"/>
            <w:noProof/>
          </w:rPr>
          <w:t>4.2 Impact Evaluation Gross Savings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_Toc466413305 \h </w:instrText>
        </w:r>
        <w:r w:rsidR="00836229" w:rsidRPr="00B75B77">
          <w:rPr>
            <w:noProof/>
            <w:webHidden/>
          </w:rPr>
        </w:r>
        <w:r w:rsidR="00836229" w:rsidRPr="00B75B77">
          <w:rPr>
            <w:noProof/>
            <w:webHidden/>
          </w:rPr>
          <w:fldChar w:fldCharType="separate"/>
        </w:r>
        <w:r w:rsidR="0004016D">
          <w:rPr>
            <w:noProof/>
            <w:webHidden/>
          </w:rPr>
          <w:t>64</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306" w:history="1">
        <w:r w:rsidR="00836229" w:rsidRPr="00B75B77">
          <w:rPr>
            <w:rStyle w:val="Hyperlink"/>
            <w:noProof/>
          </w:rPr>
          <w:t>4.2.1 Gross Verified Savings Methodology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_Toc466413306 \h </w:instrText>
        </w:r>
        <w:r w:rsidR="00836229" w:rsidRPr="00B75B77">
          <w:rPr>
            <w:noProof/>
            <w:webHidden/>
          </w:rPr>
        </w:r>
        <w:r w:rsidR="00836229" w:rsidRPr="00B75B77">
          <w:rPr>
            <w:noProof/>
            <w:webHidden/>
          </w:rPr>
          <w:fldChar w:fldCharType="separate"/>
        </w:r>
        <w:r w:rsidR="0004016D">
          <w:rPr>
            <w:noProof/>
            <w:webHidden/>
          </w:rPr>
          <w:t>64</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307" w:history="1">
        <w:r w:rsidR="00836229" w:rsidRPr="00B75B77">
          <w:rPr>
            <w:rStyle w:val="Hyperlink"/>
            <w:noProof/>
          </w:rPr>
          <w:t>4.2.2 Gross Verified Savings Results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_Toc466413307 \h </w:instrText>
        </w:r>
        <w:r w:rsidR="00836229" w:rsidRPr="00B75B77">
          <w:rPr>
            <w:noProof/>
            <w:webHidden/>
          </w:rPr>
        </w:r>
        <w:r w:rsidR="00836229" w:rsidRPr="00B75B77">
          <w:rPr>
            <w:noProof/>
            <w:webHidden/>
          </w:rPr>
          <w:fldChar w:fldCharType="separate"/>
        </w:r>
        <w:r w:rsidR="0004016D">
          <w:rPr>
            <w:noProof/>
            <w:webHidden/>
          </w:rPr>
          <w:t>66</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308" w:history="1">
        <w:r w:rsidR="00836229" w:rsidRPr="00B75B77">
          <w:rPr>
            <w:rStyle w:val="Hyperlink"/>
            <w:noProof/>
          </w:rPr>
          <w:t>4.3 Impact Evaluation Net Savings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_Toc466413308 \h </w:instrText>
        </w:r>
        <w:r w:rsidR="00836229" w:rsidRPr="00B75B77">
          <w:rPr>
            <w:noProof/>
            <w:webHidden/>
          </w:rPr>
        </w:r>
        <w:r w:rsidR="00836229" w:rsidRPr="00B75B77">
          <w:rPr>
            <w:noProof/>
            <w:webHidden/>
          </w:rPr>
          <w:fldChar w:fldCharType="separate"/>
        </w:r>
        <w:r w:rsidR="0004016D">
          <w:rPr>
            <w:noProof/>
            <w:webHidden/>
          </w:rPr>
          <w:t>67</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309" w:history="1">
        <w:r w:rsidR="00836229" w:rsidRPr="00B75B77">
          <w:rPr>
            <w:rStyle w:val="Hyperlink"/>
            <w:noProof/>
          </w:rPr>
          <w:t>4.3.1 Net Verified Savings Methodology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_Toc466413309 \h </w:instrText>
        </w:r>
        <w:r w:rsidR="00836229" w:rsidRPr="00B75B77">
          <w:rPr>
            <w:noProof/>
            <w:webHidden/>
          </w:rPr>
        </w:r>
        <w:r w:rsidR="00836229" w:rsidRPr="00B75B77">
          <w:rPr>
            <w:noProof/>
            <w:webHidden/>
          </w:rPr>
          <w:fldChar w:fldCharType="separate"/>
        </w:r>
        <w:r w:rsidR="0004016D">
          <w:rPr>
            <w:noProof/>
            <w:webHidden/>
          </w:rPr>
          <w:t>67</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310" w:history="1">
        <w:r w:rsidR="00836229" w:rsidRPr="00B75B77">
          <w:rPr>
            <w:rStyle w:val="Hyperlink"/>
            <w:noProof/>
          </w:rPr>
          <w:t>4.3.2 Net Verified Savings Results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_Toc466413310 \h </w:instrText>
        </w:r>
        <w:r w:rsidR="00836229" w:rsidRPr="00B75B77">
          <w:rPr>
            <w:noProof/>
            <w:webHidden/>
          </w:rPr>
        </w:r>
        <w:r w:rsidR="00836229" w:rsidRPr="00B75B77">
          <w:rPr>
            <w:noProof/>
            <w:webHidden/>
          </w:rPr>
          <w:fldChar w:fldCharType="separate"/>
        </w:r>
        <w:r w:rsidR="0004016D">
          <w:rPr>
            <w:noProof/>
            <w:webHidden/>
          </w:rPr>
          <w:t>69</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311" w:history="1">
        <w:r w:rsidR="00836229" w:rsidRPr="00B75B77">
          <w:rPr>
            <w:rStyle w:val="Hyperlink"/>
            <w:noProof/>
          </w:rPr>
          <w:t>4.4 Process Evaluation</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_Toc466413311 \h </w:instrText>
        </w:r>
        <w:r w:rsidR="00836229" w:rsidRPr="00B75B77">
          <w:rPr>
            <w:noProof/>
            <w:webHidden/>
          </w:rPr>
        </w:r>
        <w:r w:rsidR="00836229" w:rsidRPr="00B75B77">
          <w:rPr>
            <w:noProof/>
            <w:webHidden/>
          </w:rPr>
          <w:fldChar w:fldCharType="separate"/>
        </w:r>
        <w:r w:rsidR="0004016D">
          <w:rPr>
            <w:noProof/>
            <w:webHidden/>
          </w:rPr>
          <w:t>72</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312" w:history="1">
        <w:r w:rsidR="00836229" w:rsidRPr="00B75B77">
          <w:rPr>
            <w:rStyle w:val="Hyperlink"/>
            <w:noProof/>
          </w:rPr>
          <w:t>4.4.1 Process Evaluation Methodology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_Toc466413312 \h </w:instrText>
        </w:r>
        <w:r w:rsidR="00836229" w:rsidRPr="00B75B77">
          <w:rPr>
            <w:noProof/>
            <w:webHidden/>
          </w:rPr>
        </w:r>
        <w:r w:rsidR="00836229" w:rsidRPr="00B75B77">
          <w:rPr>
            <w:noProof/>
            <w:webHidden/>
          </w:rPr>
          <w:fldChar w:fldCharType="separate"/>
        </w:r>
        <w:r w:rsidR="0004016D">
          <w:rPr>
            <w:noProof/>
            <w:webHidden/>
          </w:rPr>
          <w:t>72</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313" w:history="1">
        <w:r w:rsidR="00836229" w:rsidRPr="00B75B77">
          <w:rPr>
            <w:rStyle w:val="Hyperlink"/>
            <w:noProof/>
          </w:rPr>
          <w:t>4.4.2 Process Findings and Recommendations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_Toc466413313 \h </w:instrText>
        </w:r>
        <w:r w:rsidR="00836229" w:rsidRPr="00B75B77">
          <w:rPr>
            <w:noProof/>
            <w:webHidden/>
          </w:rPr>
        </w:r>
        <w:r w:rsidR="00836229" w:rsidRPr="00B75B77">
          <w:rPr>
            <w:noProof/>
            <w:webHidden/>
          </w:rPr>
          <w:fldChar w:fldCharType="separate"/>
        </w:r>
        <w:r w:rsidR="0004016D">
          <w:rPr>
            <w:noProof/>
            <w:webHidden/>
          </w:rPr>
          <w:t>73</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314" w:history="1">
        <w:r w:rsidR="00836229" w:rsidRPr="00B75B77">
          <w:rPr>
            <w:rStyle w:val="Hyperlink"/>
            <w:noProof/>
          </w:rPr>
          <w:t>4.5 Status of Recommendations for Program</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_Toc466413314 \h </w:instrText>
        </w:r>
        <w:r w:rsidR="00836229" w:rsidRPr="00B75B77">
          <w:rPr>
            <w:noProof/>
            <w:webHidden/>
          </w:rPr>
        </w:r>
        <w:r w:rsidR="00836229" w:rsidRPr="00B75B77">
          <w:rPr>
            <w:noProof/>
            <w:webHidden/>
          </w:rPr>
          <w:fldChar w:fldCharType="separate"/>
        </w:r>
        <w:r w:rsidR="0004016D">
          <w:rPr>
            <w:noProof/>
            <w:webHidden/>
          </w:rPr>
          <w:t>75</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315" w:history="1">
        <w:r w:rsidR="00836229" w:rsidRPr="00B75B77">
          <w:rPr>
            <w:rStyle w:val="Hyperlink"/>
            <w:noProof/>
          </w:rPr>
          <w:t>4.6 Financial Reporting</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_Toc466413315 \h </w:instrText>
        </w:r>
        <w:r w:rsidR="00836229" w:rsidRPr="00B75B77">
          <w:rPr>
            <w:noProof/>
            <w:webHidden/>
          </w:rPr>
        </w:r>
        <w:r w:rsidR="00836229" w:rsidRPr="00B75B77">
          <w:rPr>
            <w:noProof/>
            <w:webHidden/>
          </w:rPr>
          <w:fldChar w:fldCharType="separate"/>
        </w:r>
        <w:r w:rsidR="0004016D">
          <w:rPr>
            <w:noProof/>
            <w:webHidden/>
          </w:rPr>
          <w:t>75</w:t>
        </w:r>
        <w:r w:rsidR="00836229" w:rsidRPr="00B75B77">
          <w:rPr>
            <w:noProof/>
            <w:webHidden/>
          </w:rPr>
          <w:fldChar w:fldCharType="end"/>
        </w:r>
      </w:hyperlink>
    </w:p>
    <w:p w:rsidR="00836229" w:rsidRPr="00B75B77" w:rsidRDefault="00237810">
      <w:pPr>
        <w:pStyle w:val="TOC1"/>
        <w:rPr>
          <w:rFonts w:asciiTheme="minorHAnsi" w:eastAsiaTheme="minorEastAsia" w:hAnsiTheme="minorHAnsi" w:cstheme="minorBidi"/>
          <w:b w:val="0"/>
          <w:bCs w:val="0"/>
          <w:smallCaps w:val="0"/>
          <w:noProof/>
          <w:szCs w:val="22"/>
        </w:rPr>
      </w:pPr>
      <w:hyperlink w:anchor="_Toc466413316" w:history="1">
        <w:r w:rsidR="00836229" w:rsidRPr="00B75B77">
          <w:rPr>
            <w:rStyle w:val="Hyperlink"/>
            <w:rFonts w:ascii="Britannic Bold" w:hAnsi="Britannic Bold"/>
            <w:noProof/>
          </w:rPr>
          <w:t>5.</w:t>
        </w:r>
        <w:r w:rsidR="00836229" w:rsidRPr="00B75B77">
          <w:rPr>
            <w:rStyle w:val="Hyperlink"/>
            <w:noProof/>
          </w:rPr>
          <w:t xml:space="preserve"> Smart Usage Profile Program</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_Toc466413316 \h </w:instrText>
        </w:r>
        <w:r w:rsidR="00836229" w:rsidRPr="00B75B77">
          <w:rPr>
            <w:noProof/>
            <w:webHidden/>
          </w:rPr>
        </w:r>
        <w:r w:rsidR="00836229" w:rsidRPr="00B75B77">
          <w:rPr>
            <w:noProof/>
            <w:webHidden/>
          </w:rPr>
          <w:fldChar w:fldCharType="separate"/>
        </w:r>
        <w:r w:rsidR="0004016D">
          <w:rPr>
            <w:noProof/>
            <w:webHidden/>
          </w:rPr>
          <w:t>77</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317" w:history="1">
        <w:r w:rsidR="00836229" w:rsidRPr="00B75B77">
          <w:rPr>
            <w:rStyle w:val="Hyperlink"/>
            <w:noProof/>
          </w:rPr>
          <w:t>5.1 Program Updates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_Toc466413317 \h </w:instrText>
        </w:r>
        <w:r w:rsidR="00836229" w:rsidRPr="00B75B77">
          <w:rPr>
            <w:noProof/>
            <w:webHidden/>
          </w:rPr>
        </w:r>
        <w:r w:rsidR="00836229" w:rsidRPr="00B75B77">
          <w:rPr>
            <w:noProof/>
            <w:webHidden/>
          </w:rPr>
          <w:fldChar w:fldCharType="separate"/>
        </w:r>
        <w:r w:rsidR="0004016D">
          <w:rPr>
            <w:noProof/>
            <w:webHidden/>
          </w:rPr>
          <w:t>77</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318" w:history="1">
        <w:r w:rsidR="00836229" w:rsidRPr="00B75B77">
          <w:rPr>
            <w:rStyle w:val="Hyperlink"/>
            <w:noProof/>
          </w:rPr>
          <w:t>5.1.1 Definition of Participant</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_Toc466413318 \h </w:instrText>
        </w:r>
        <w:r w:rsidR="00836229" w:rsidRPr="00B75B77">
          <w:rPr>
            <w:noProof/>
            <w:webHidden/>
          </w:rPr>
        </w:r>
        <w:r w:rsidR="00836229" w:rsidRPr="00B75B77">
          <w:rPr>
            <w:noProof/>
            <w:webHidden/>
          </w:rPr>
          <w:fldChar w:fldCharType="separate"/>
        </w:r>
        <w:r w:rsidR="0004016D">
          <w:rPr>
            <w:noProof/>
            <w:webHidden/>
          </w:rPr>
          <w:t>77</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319" w:history="1">
        <w:r w:rsidR="00836229" w:rsidRPr="00B75B77">
          <w:rPr>
            <w:rStyle w:val="Hyperlink"/>
            <w:noProof/>
          </w:rPr>
          <w:t>5.2 Impact Evaluation Gross Savings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_Toc466413319 \h </w:instrText>
        </w:r>
        <w:r w:rsidR="00836229" w:rsidRPr="00B75B77">
          <w:rPr>
            <w:noProof/>
            <w:webHidden/>
          </w:rPr>
        </w:r>
        <w:r w:rsidR="00836229" w:rsidRPr="00B75B77">
          <w:rPr>
            <w:noProof/>
            <w:webHidden/>
          </w:rPr>
          <w:fldChar w:fldCharType="separate"/>
        </w:r>
        <w:r w:rsidR="0004016D">
          <w:rPr>
            <w:noProof/>
            <w:webHidden/>
          </w:rPr>
          <w:t>78</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320" w:history="1">
        <w:r w:rsidR="00836229" w:rsidRPr="00B75B77">
          <w:rPr>
            <w:rStyle w:val="Hyperlink"/>
            <w:noProof/>
          </w:rPr>
          <w:t>5.2.1 Gross Verified Savings Methodology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_Toc466413320 \h </w:instrText>
        </w:r>
        <w:r w:rsidR="00836229" w:rsidRPr="00B75B77">
          <w:rPr>
            <w:noProof/>
            <w:webHidden/>
          </w:rPr>
        </w:r>
        <w:r w:rsidR="00836229" w:rsidRPr="00B75B77">
          <w:rPr>
            <w:noProof/>
            <w:webHidden/>
          </w:rPr>
          <w:fldChar w:fldCharType="separate"/>
        </w:r>
        <w:r w:rsidR="0004016D">
          <w:rPr>
            <w:noProof/>
            <w:webHidden/>
          </w:rPr>
          <w:t>79</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321" w:history="1">
        <w:r w:rsidR="00836229" w:rsidRPr="00B75B77">
          <w:rPr>
            <w:rStyle w:val="Hyperlink"/>
            <w:noProof/>
          </w:rPr>
          <w:t>5.2.2 Gross Verified Savings Results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_Toc466413321 \h </w:instrText>
        </w:r>
        <w:r w:rsidR="00836229" w:rsidRPr="00B75B77">
          <w:rPr>
            <w:noProof/>
            <w:webHidden/>
          </w:rPr>
        </w:r>
        <w:r w:rsidR="00836229" w:rsidRPr="00B75B77">
          <w:rPr>
            <w:noProof/>
            <w:webHidden/>
          </w:rPr>
          <w:fldChar w:fldCharType="separate"/>
        </w:r>
        <w:r w:rsidR="0004016D">
          <w:rPr>
            <w:noProof/>
            <w:webHidden/>
          </w:rPr>
          <w:t>82</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322" w:history="1">
        <w:r w:rsidR="00836229" w:rsidRPr="00B75B77">
          <w:rPr>
            <w:rStyle w:val="Hyperlink"/>
            <w:noProof/>
          </w:rPr>
          <w:t>5.3 Impact Evaluation Net Savings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_Toc466413322 \h </w:instrText>
        </w:r>
        <w:r w:rsidR="00836229" w:rsidRPr="00B75B77">
          <w:rPr>
            <w:noProof/>
            <w:webHidden/>
          </w:rPr>
        </w:r>
        <w:r w:rsidR="00836229" w:rsidRPr="00B75B77">
          <w:rPr>
            <w:noProof/>
            <w:webHidden/>
          </w:rPr>
          <w:fldChar w:fldCharType="separate"/>
        </w:r>
        <w:r w:rsidR="0004016D">
          <w:rPr>
            <w:noProof/>
            <w:webHidden/>
          </w:rPr>
          <w:t>83</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323" w:history="1">
        <w:r w:rsidR="00836229" w:rsidRPr="00B75B77">
          <w:rPr>
            <w:rStyle w:val="Hyperlink"/>
            <w:noProof/>
          </w:rPr>
          <w:t>5.3.1 Net Verified Savings Methodology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_Toc466413323 \h </w:instrText>
        </w:r>
        <w:r w:rsidR="00836229" w:rsidRPr="00B75B77">
          <w:rPr>
            <w:noProof/>
            <w:webHidden/>
          </w:rPr>
        </w:r>
        <w:r w:rsidR="00836229" w:rsidRPr="00B75B77">
          <w:rPr>
            <w:noProof/>
            <w:webHidden/>
          </w:rPr>
          <w:fldChar w:fldCharType="separate"/>
        </w:r>
        <w:r w:rsidR="0004016D">
          <w:rPr>
            <w:noProof/>
            <w:webHidden/>
          </w:rPr>
          <w:t>84</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324" w:history="1">
        <w:r w:rsidR="00836229" w:rsidRPr="00B75B77">
          <w:rPr>
            <w:rStyle w:val="Hyperlink"/>
            <w:noProof/>
          </w:rPr>
          <w:t>5.3.2 Net Verified Savings Results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_Toc466413324 \h </w:instrText>
        </w:r>
        <w:r w:rsidR="00836229" w:rsidRPr="00B75B77">
          <w:rPr>
            <w:noProof/>
            <w:webHidden/>
          </w:rPr>
        </w:r>
        <w:r w:rsidR="00836229" w:rsidRPr="00B75B77">
          <w:rPr>
            <w:noProof/>
            <w:webHidden/>
          </w:rPr>
          <w:fldChar w:fldCharType="separate"/>
        </w:r>
        <w:r w:rsidR="0004016D">
          <w:rPr>
            <w:noProof/>
            <w:webHidden/>
          </w:rPr>
          <w:t>84</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325" w:history="1">
        <w:r w:rsidR="00836229" w:rsidRPr="00B75B77">
          <w:rPr>
            <w:rStyle w:val="Hyperlink"/>
            <w:noProof/>
          </w:rPr>
          <w:t>5.4 Process Evaluation</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_Toc466413325 \h </w:instrText>
        </w:r>
        <w:r w:rsidR="00836229" w:rsidRPr="00B75B77">
          <w:rPr>
            <w:noProof/>
            <w:webHidden/>
          </w:rPr>
        </w:r>
        <w:r w:rsidR="00836229" w:rsidRPr="00B75B77">
          <w:rPr>
            <w:noProof/>
            <w:webHidden/>
          </w:rPr>
          <w:fldChar w:fldCharType="separate"/>
        </w:r>
        <w:r w:rsidR="0004016D">
          <w:rPr>
            <w:noProof/>
            <w:webHidden/>
          </w:rPr>
          <w:t>84</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326" w:history="1">
        <w:r w:rsidR="00836229" w:rsidRPr="00B75B77">
          <w:rPr>
            <w:rStyle w:val="Hyperlink"/>
            <w:noProof/>
          </w:rPr>
          <w:t>5.4.1 Process Evaluation Methodology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_Toc466413326 \h </w:instrText>
        </w:r>
        <w:r w:rsidR="00836229" w:rsidRPr="00B75B77">
          <w:rPr>
            <w:noProof/>
            <w:webHidden/>
          </w:rPr>
        </w:r>
        <w:r w:rsidR="00836229" w:rsidRPr="00B75B77">
          <w:rPr>
            <w:noProof/>
            <w:webHidden/>
          </w:rPr>
          <w:fldChar w:fldCharType="separate"/>
        </w:r>
        <w:r w:rsidR="0004016D">
          <w:rPr>
            <w:noProof/>
            <w:webHidden/>
          </w:rPr>
          <w:t>84</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327" w:history="1">
        <w:r w:rsidR="00836229" w:rsidRPr="00B75B77">
          <w:rPr>
            <w:rStyle w:val="Hyperlink"/>
            <w:noProof/>
          </w:rPr>
          <w:t>5.4.2 Process Findings and Recommendations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_Toc466413327 \h </w:instrText>
        </w:r>
        <w:r w:rsidR="00836229" w:rsidRPr="00B75B77">
          <w:rPr>
            <w:noProof/>
            <w:webHidden/>
          </w:rPr>
        </w:r>
        <w:r w:rsidR="00836229" w:rsidRPr="00B75B77">
          <w:rPr>
            <w:noProof/>
            <w:webHidden/>
          </w:rPr>
          <w:fldChar w:fldCharType="separate"/>
        </w:r>
        <w:r w:rsidR="0004016D">
          <w:rPr>
            <w:noProof/>
            <w:webHidden/>
          </w:rPr>
          <w:t>85</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328" w:history="1">
        <w:r w:rsidR="00836229" w:rsidRPr="00B75B77">
          <w:rPr>
            <w:rStyle w:val="Hyperlink"/>
            <w:noProof/>
          </w:rPr>
          <w:t>5.5 Status of Recommendations for Program</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_Toc466413328 \h </w:instrText>
        </w:r>
        <w:r w:rsidR="00836229" w:rsidRPr="00B75B77">
          <w:rPr>
            <w:noProof/>
            <w:webHidden/>
          </w:rPr>
        </w:r>
        <w:r w:rsidR="00836229" w:rsidRPr="00B75B77">
          <w:rPr>
            <w:noProof/>
            <w:webHidden/>
          </w:rPr>
          <w:fldChar w:fldCharType="separate"/>
        </w:r>
        <w:r w:rsidR="0004016D">
          <w:rPr>
            <w:noProof/>
            <w:webHidden/>
          </w:rPr>
          <w:t>86</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329" w:history="1">
        <w:r w:rsidR="00836229" w:rsidRPr="00B75B77">
          <w:rPr>
            <w:rStyle w:val="Hyperlink"/>
            <w:noProof/>
          </w:rPr>
          <w:t>5.6 Financial Reporting</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_Toc466413329 \h </w:instrText>
        </w:r>
        <w:r w:rsidR="00836229" w:rsidRPr="00B75B77">
          <w:rPr>
            <w:noProof/>
            <w:webHidden/>
          </w:rPr>
        </w:r>
        <w:r w:rsidR="00836229" w:rsidRPr="00B75B77">
          <w:rPr>
            <w:noProof/>
            <w:webHidden/>
          </w:rPr>
          <w:fldChar w:fldCharType="separate"/>
        </w:r>
        <w:r w:rsidR="0004016D">
          <w:rPr>
            <w:noProof/>
            <w:webHidden/>
          </w:rPr>
          <w:t>87</w:t>
        </w:r>
        <w:r w:rsidR="00836229" w:rsidRPr="00B75B77">
          <w:rPr>
            <w:noProof/>
            <w:webHidden/>
          </w:rPr>
          <w:fldChar w:fldCharType="end"/>
        </w:r>
      </w:hyperlink>
    </w:p>
    <w:p w:rsidR="00836229" w:rsidRPr="00B75B77" w:rsidRDefault="00237810">
      <w:pPr>
        <w:pStyle w:val="TOC1"/>
        <w:rPr>
          <w:rFonts w:asciiTheme="minorHAnsi" w:eastAsiaTheme="minorEastAsia" w:hAnsiTheme="minorHAnsi" w:cstheme="minorBidi"/>
          <w:b w:val="0"/>
          <w:bCs w:val="0"/>
          <w:smallCaps w:val="0"/>
          <w:noProof/>
          <w:szCs w:val="22"/>
        </w:rPr>
      </w:pPr>
      <w:hyperlink w:anchor="_Toc466413330" w:history="1">
        <w:r w:rsidR="00836229" w:rsidRPr="00B75B77">
          <w:rPr>
            <w:rStyle w:val="Hyperlink"/>
            <w:rFonts w:ascii="Britannic Bold" w:hAnsi="Britannic Bold"/>
            <w:noProof/>
          </w:rPr>
          <w:t>6.</w:t>
        </w:r>
        <w:r w:rsidR="00836229" w:rsidRPr="00B75B77">
          <w:rPr>
            <w:rStyle w:val="Hyperlink"/>
            <w:noProof/>
          </w:rPr>
          <w:t xml:space="preserve"> Smart Energy Saver Program</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_Toc466413330 \h </w:instrText>
        </w:r>
        <w:r w:rsidR="00836229" w:rsidRPr="00B75B77">
          <w:rPr>
            <w:noProof/>
            <w:webHidden/>
          </w:rPr>
        </w:r>
        <w:r w:rsidR="00836229" w:rsidRPr="00B75B77">
          <w:rPr>
            <w:noProof/>
            <w:webHidden/>
          </w:rPr>
          <w:fldChar w:fldCharType="separate"/>
        </w:r>
        <w:r w:rsidR="0004016D">
          <w:rPr>
            <w:noProof/>
            <w:webHidden/>
          </w:rPr>
          <w:t>89</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331" w:history="1">
        <w:r w:rsidR="00836229" w:rsidRPr="00B75B77">
          <w:rPr>
            <w:rStyle w:val="Hyperlink"/>
            <w:noProof/>
          </w:rPr>
          <w:t>6.1 Program Updates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_Toc466413331 \h </w:instrText>
        </w:r>
        <w:r w:rsidR="00836229" w:rsidRPr="00B75B77">
          <w:rPr>
            <w:noProof/>
            <w:webHidden/>
          </w:rPr>
        </w:r>
        <w:r w:rsidR="00836229" w:rsidRPr="00B75B77">
          <w:rPr>
            <w:noProof/>
            <w:webHidden/>
          </w:rPr>
          <w:fldChar w:fldCharType="separate"/>
        </w:r>
        <w:r w:rsidR="0004016D">
          <w:rPr>
            <w:noProof/>
            <w:webHidden/>
          </w:rPr>
          <w:t>89</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332" w:history="1">
        <w:r w:rsidR="00836229" w:rsidRPr="00B75B77">
          <w:rPr>
            <w:rStyle w:val="Hyperlink"/>
            <w:noProof/>
          </w:rPr>
          <w:t>6.1.1 Definition of Participant</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_Toc466413332 \h </w:instrText>
        </w:r>
        <w:r w:rsidR="00836229" w:rsidRPr="00B75B77">
          <w:rPr>
            <w:noProof/>
            <w:webHidden/>
          </w:rPr>
        </w:r>
        <w:r w:rsidR="00836229" w:rsidRPr="00B75B77">
          <w:rPr>
            <w:noProof/>
            <w:webHidden/>
          </w:rPr>
          <w:fldChar w:fldCharType="separate"/>
        </w:r>
        <w:r w:rsidR="0004016D">
          <w:rPr>
            <w:noProof/>
            <w:webHidden/>
          </w:rPr>
          <w:t>89</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333" w:history="1">
        <w:r w:rsidR="00836229" w:rsidRPr="00B75B77">
          <w:rPr>
            <w:rStyle w:val="Hyperlink"/>
            <w:noProof/>
          </w:rPr>
          <w:t>6.2 Impact Evaluation Gross Savings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_Toc466413333 \h </w:instrText>
        </w:r>
        <w:r w:rsidR="00836229" w:rsidRPr="00B75B77">
          <w:rPr>
            <w:noProof/>
            <w:webHidden/>
          </w:rPr>
        </w:r>
        <w:r w:rsidR="00836229" w:rsidRPr="00B75B77">
          <w:rPr>
            <w:noProof/>
            <w:webHidden/>
          </w:rPr>
          <w:fldChar w:fldCharType="separate"/>
        </w:r>
        <w:r w:rsidR="0004016D">
          <w:rPr>
            <w:noProof/>
            <w:webHidden/>
          </w:rPr>
          <w:t>90</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334" w:history="1">
        <w:r w:rsidR="00836229" w:rsidRPr="00B75B77">
          <w:rPr>
            <w:rStyle w:val="Hyperlink"/>
            <w:noProof/>
          </w:rPr>
          <w:t>6.2.1 Gross Verified Savings Methodology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_Toc466413334 \h </w:instrText>
        </w:r>
        <w:r w:rsidR="00836229" w:rsidRPr="00B75B77">
          <w:rPr>
            <w:noProof/>
            <w:webHidden/>
          </w:rPr>
        </w:r>
        <w:r w:rsidR="00836229" w:rsidRPr="00B75B77">
          <w:rPr>
            <w:noProof/>
            <w:webHidden/>
          </w:rPr>
          <w:fldChar w:fldCharType="separate"/>
        </w:r>
        <w:r w:rsidR="0004016D">
          <w:rPr>
            <w:noProof/>
            <w:webHidden/>
          </w:rPr>
          <w:t>90</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335" w:history="1">
        <w:r w:rsidR="00836229" w:rsidRPr="00B75B77">
          <w:rPr>
            <w:rStyle w:val="Hyperlink"/>
            <w:noProof/>
          </w:rPr>
          <w:t>6.2.2 Gross Verified Savings Results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_Toc466413335 \h </w:instrText>
        </w:r>
        <w:r w:rsidR="00836229" w:rsidRPr="00B75B77">
          <w:rPr>
            <w:noProof/>
            <w:webHidden/>
          </w:rPr>
        </w:r>
        <w:r w:rsidR="00836229" w:rsidRPr="00B75B77">
          <w:rPr>
            <w:noProof/>
            <w:webHidden/>
          </w:rPr>
          <w:fldChar w:fldCharType="separate"/>
        </w:r>
        <w:r w:rsidR="0004016D">
          <w:rPr>
            <w:noProof/>
            <w:webHidden/>
          </w:rPr>
          <w:t>91</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336" w:history="1">
        <w:r w:rsidR="00836229" w:rsidRPr="00B75B77">
          <w:rPr>
            <w:rStyle w:val="Hyperlink"/>
            <w:noProof/>
          </w:rPr>
          <w:t>6.3 Impact Evaluation Net Savings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_Toc466413336 \h </w:instrText>
        </w:r>
        <w:r w:rsidR="00836229" w:rsidRPr="00B75B77">
          <w:rPr>
            <w:noProof/>
            <w:webHidden/>
          </w:rPr>
        </w:r>
        <w:r w:rsidR="00836229" w:rsidRPr="00B75B77">
          <w:rPr>
            <w:noProof/>
            <w:webHidden/>
          </w:rPr>
          <w:fldChar w:fldCharType="separate"/>
        </w:r>
        <w:r w:rsidR="0004016D">
          <w:rPr>
            <w:noProof/>
            <w:webHidden/>
          </w:rPr>
          <w:t>94</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337" w:history="1">
        <w:r w:rsidR="00836229" w:rsidRPr="00B75B77">
          <w:rPr>
            <w:rStyle w:val="Hyperlink"/>
            <w:noProof/>
          </w:rPr>
          <w:t>6.3.1 Net Verified Savings Methodology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_Toc466413337 \h </w:instrText>
        </w:r>
        <w:r w:rsidR="00836229" w:rsidRPr="00B75B77">
          <w:rPr>
            <w:noProof/>
            <w:webHidden/>
          </w:rPr>
        </w:r>
        <w:r w:rsidR="00836229" w:rsidRPr="00B75B77">
          <w:rPr>
            <w:noProof/>
            <w:webHidden/>
          </w:rPr>
          <w:fldChar w:fldCharType="separate"/>
        </w:r>
        <w:r w:rsidR="0004016D">
          <w:rPr>
            <w:noProof/>
            <w:webHidden/>
          </w:rPr>
          <w:t>94</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338" w:history="1">
        <w:r w:rsidR="00836229" w:rsidRPr="00B75B77">
          <w:rPr>
            <w:rStyle w:val="Hyperlink"/>
            <w:noProof/>
          </w:rPr>
          <w:t>6.3.2 Net Verified Savings Results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_Toc466413338 \h </w:instrText>
        </w:r>
        <w:r w:rsidR="00836229" w:rsidRPr="00B75B77">
          <w:rPr>
            <w:noProof/>
            <w:webHidden/>
          </w:rPr>
        </w:r>
        <w:r w:rsidR="00836229" w:rsidRPr="00B75B77">
          <w:rPr>
            <w:noProof/>
            <w:webHidden/>
          </w:rPr>
          <w:fldChar w:fldCharType="separate"/>
        </w:r>
        <w:r w:rsidR="0004016D">
          <w:rPr>
            <w:noProof/>
            <w:webHidden/>
          </w:rPr>
          <w:t>95</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339" w:history="1">
        <w:r w:rsidR="00836229" w:rsidRPr="00B75B77">
          <w:rPr>
            <w:rStyle w:val="Hyperlink"/>
            <w:noProof/>
          </w:rPr>
          <w:t>6.4 Process Evaluation</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_Toc466413339 \h </w:instrText>
        </w:r>
        <w:r w:rsidR="00836229" w:rsidRPr="00B75B77">
          <w:rPr>
            <w:noProof/>
            <w:webHidden/>
          </w:rPr>
        </w:r>
        <w:r w:rsidR="00836229" w:rsidRPr="00B75B77">
          <w:rPr>
            <w:noProof/>
            <w:webHidden/>
          </w:rPr>
          <w:fldChar w:fldCharType="separate"/>
        </w:r>
        <w:r w:rsidR="0004016D">
          <w:rPr>
            <w:noProof/>
            <w:webHidden/>
          </w:rPr>
          <w:t>95</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340" w:history="1">
        <w:r w:rsidR="00836229" w:rsidRPr="00B75B77">
          <w:rPr>
            <w:rStyle w:val="Hyperlink"/>
            <w:noProof/>
          </w:rPr>
          <w:t>6.4.1 Process Findings and Recommendations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_Toc466413340 \h </w:instrText>
        </w:r>
        <w:r w:rsidR="00836229" w:rsidRPr="00B75B77">
          <w:rPr>
            <w:noProof/>
            <w:webHidden/>
          </w:rPr>
        </w:r>
        <w:r w:rsidR="00836229" w:rsidRPr="00B75B77">
          <w:rPr>
            <w:noProof/>
            <w:webHidden/>
          </w:rPr>
          <w:fldChar w:fldCharType="separate"/>
        </w:r>
        <w:r w:rsidR="0004016D">
          <w:rPr>
            <w:noProof/>
            <w:webHidden/>
          </w:rPr>
          <w:t>95</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341" w:history="1">
        <w:r w:rsidR="00836229" w:rsidRPr="00B75B77">
          <w:rPr>
            <w:rStyle w:val="Hyperlink"/>
            <w:noProof/>
          </w:rPr>
          <w:t>6.5 Status of Recommendations for Program</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_Toc466413341 \h </w:instrText>
        </w:r>
        <w:r w:rsidR="00836229" w:rsidRPr="00B75B77">
          <w:rPr>
            <w:noProof/>
            <w:webHidden/>
          </w:rPr>
        </w:r>
        <w:r w:rsidR="00836229" w:rsidRPr="00B75B77">
          <w:rPr>
            <w:noProof/>
            <w:webHidden/>
          </w:rPr>
          <w:fldChar w:fldCharType="separate"/>
        </w:r>
        <w:r w:rsidR="0004016D">
          <w:rPr>
            <w:noProof/>
            <w:webHidden/>
          </w:rPr>
          <w:t>96</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342" w:history="1">
        <w:r w:rsidR="00836229" w:rsidRPr="00B75B77">
          <w:rPr>
            <w:rStyle w:val="Hyperlink"/>
            <w:noProof/>
          </w:rPr>
          <w:t>6.6 Financial Reporting</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_Toc466413342 \h </w:instrText>
        </w:r>
        <w:r w:rsidR="00836229" w:rsidRPr="00B75B77">
          <w:rPr>
            <w:noProof/>
            <w:webHidden/>
          </w:rPr>
        </w:r>
        <w:r w:rsidR="00836229" w:rsidRPr="00B75B77">
          <w:rPr>
            <w:noProof/>
            <w:webHidden/>
          </w:rPr>
          <w:fldChar w:fldCharType="separate"/>
        </w:r>
        <w:r w:rsidR="0004016D">
          <w:rPr>
            <w:noProof/>
            <w:webHidden/>
          </w:rPr>
          <w:t>96</w:t>
        </w:r>
        <w:r w:rsidR="00836229" w:rsidRPr="00B75B77">
          <w:rPr>
            <w:noProof/>
            <w:webHidden/>
          </w:rPr>
          <w:fldChar w:fldCharType="end"/>
        </w:r>
      </w:hyperlink>
    </w:p>
    <w:p w:rsidR="00836229" w:rsidRPr="00B75B77" w:rsidRDefault="00237810">
      <w:pPr>
        <w:pStyle w:val="TOC1"/>
        <w:rPr>
          <w:rFonts w:asciiTheme="minorHAnsi" w:eastAsiaTheme="minorEastAsia" w:hAnsiTheme="minorHAnsi" w:cstheme="minorBidi"/>
          <w:b w:val="0"/>
          <w:bCs w:val="0"/>
          <w:smallCaps w:val="0"/>
          <w:noProof/>
          <w:szCs w:val="22"/>
        </w:rPr>
      </w:pPr>
      <w:hyperlink w:anchor="_Toc466413343" w:history="1">
        <w:r w:rsidR="00836229" w:rsidRPr="00B75B77">
          <w:rPr>
            <w:rStyle w:val="Hyperlink"/>
            <w:rFonts w:ascii="Britannic Bold" w:hAnsi="Britannic Bold"/>
            <w:noProof/>
          </w:rPr>
          <w:t>7.</w:t>
        </w:r>
        <w:r w:rsidR="00836229" w:rsidRPr="00B75B77">
          <w:rPr>
            <w:rStyle w:val="Hyperlink"/>
            <w:noProof/>
          </w:rPr>
          <w:t xml:space="preserve"> Smart Builder Rebates Program</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_Toc466413343 \h </w:instrText>
        </w:r>
        <w:r w:rsidR="00836229" w:rsidRPr="00B75B77">
          <w:rPr>
            <w:noProof/>
            <w:webHidden/>
          </w:rPr>
        </w:r>
        <w:r w:rsidR="00836229" w:rsidRPr="00B75B77">
          <w:rPr>
            <w:noProof/>
            <w:webHidden/>
          </w:rPr>
          <w:fldChar w:fldCharType="separate"/>
        </w:r>
        <w:r w:rsidR="0004016D">
          <w:rPr>
            <w:noProof/>
            <w:webHidden/>
          </w:rPr>
          <w:t>98</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344" w:history="1">
        <w:r w:rsidR="00836229" w:rsidRPr="00B75B77">
          <w:rPr>
            <w:rStyle w:val="Hyperlink"/>
            <w:noProof/>
          </w:rPr>
          <w:t>7.1 Program Updates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_Toc466413344 \h </w:instrText>
        </w:r>
        <w:r w:rsidR="00836229" w:rsidRPr="00B75B77">
          <w:rPr>
            <w:noProof/>
            <w:webHidden/>
          </w:rPr>
        </w:r>
        <w:r w:rsidR="00836229" w:rsidRPr="00B75B77">
          <w:rPr>
            <w:noProof/>
            <w:webHidden/>
          </w:rPr>
          <w:fldChar w:fldCharType="separate"/>
        </w:r>
        <w:r w:rsidR="0004016D">
          <w:rPr>
            <w:noProof/>
            <w:webHidden/>
          </w:rPr>
          <w:t>98</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345" w:history="1">
        <w:r w:rsidR="00836229" w:rsidRPr="00B75B77">
          <w:rPr>
            <w:rStyle w:val="Hyperlink"/>
            <w:noProof/>
          </w:rPr>
          <w:t>7.1.1 Definition of Participant</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_Toc466413345 \h </w:instrText>
        </w:r>
        <w:r w:rsidR="00836229" w:rsidRPr="00B75B77">
          <w:rPr>
            <w:noProof/>
            <w:webHidden/>
          </w:rPr>
        </w:r>
        <w:r w:rsidR="00836229" w:rsidRPr="00B75B77">
          <w:rPr>
            <w:noProof/>
            <w:webHidden/>
          </w:rPr>
          <w:fldChar w:fldCharType="separate"/>
        </w:r>
        <w:r w:rsidR="0004016D">
          <w:rPr>
            <w:noProof/>
            <w:webHidden/>
          </w:rPr>
          <w:t>98</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346" w:history="1">
        <w:r w:rsidR="00836229" w:rsidRPr="00B75B77">
          <w:rPr>
            <w:rStyle w:val="Hyperlink"/>
            <w:noProof/>
          </w:rPr>
          <w:t>7.2 Impact Evaluation Gross Savings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_Toc466413346 \h </w:instrText>
        </w:r>
        <w:r w:rsidR="00836229" w:rsidRPr="00B75B77">
          <w:rPr>
            <w:noProof/>
            <w:webHidden/>
          </w:rPr>
        </w:r>
        <w:r w:rsidR="00836229" w:rsidRPr="00B75B77">
          <w:rPr>
            <w:noProof/>
            <w:webHidden/>
          </w:rPr>
          <w:fldChar w:fldCharType="separate"/>
        </w:r>
        <w:r w:rsidR="0004016D">
          <w:rPr>
            <w:noProof/>
            <w:webHidden/>
          </w:rPr>
          <w:t>98</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347" w:history="1">
        <w:r w:rsidR="00836229" w:rsidRPr="00B75B77">
          <w:rPr>
            <w:rStyle w:val="Hyperlink"/>
            <w:noProof/>
          </w:rPr>
          <w:t>7.2.1 Gross Verified Savings Methodology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_Toc466413347 \h </w:instrText>
        </w:r>
        <w:r w:rsidR="00836229" w:rsidRPr="00B75B77">
          <w:rPr>
            <w:noProof/>
            <w:webHidden/>
          </w:rPr>
        </w:r>
        <w:r w:rsidR="00836229" w:rsidRPr="00B75B77">
          <w:rPr>
            <w:noProof/>
            <w:webHidden/>
          </w:rPr>
          <w:fldChar w:fldCharType="separate"/>
        </w:r>
        <w:r w:rsidR="0004016D">
          <w:rPr>
            <w:noProof/>
            <w:webHidden/>
          </w:rPr>
          <w:t>99</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348" w:history="1">
        <w:r w:rsidR="00836229" w:rsidRPr="00B75B77">
          <w:rPr>
            <w:rStyle w:val="Hyperlink"/>
            <w:noProof/>
          </w:rPr>
          <w:t>7.2.2 Gross Verified Savings Results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_Toc466413348 \h </w:instrText>
        </w:r>
        <w:r w:rsidR="00836229" w:rsidRPr="00B75B77">
          <w:rPr>
            <w:noProof/>
            <w:webHidden/>
          </w:rPr>
        </w:r>
        <w:r w:rsidR="00836229" w:rsidRPr="00B75B77">
          <w:rPr>
            <w:noProof/>
            <w:webHidden/>
          </w:rPr>
          <w:fldChar w:fldCharType="separate"/>
        </w:r>
        <w:r w:rsidR="0004016D">
          <w:rPr>
            <w:noProof/>
            <w:webHidden/>
          </w:rPr>
          <w:t>100</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349" w:history="1">
        <w:r w:rsidR="00836229" w:rsidRPr="00B75B77">
          <w:rPr>
            <w:rStyle w:val="Hyperlink"/>
            <w:noProof/>
          </w:rPr>
          <w:t>7.3 Impact Evaluation Net Savings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_Toc466413349 \h </w:instrText>
        </w:r>
        <w:r w:rsidR="00836229" w:rsidRPr="00B75B77">
          <w:rPr>
            <w:noProof/>
            <w:webHidden/>
          </w:rPr>
        </w:r>
        <w:r w:rsidR="00836229" w:rsidRPr="00B75B77">
          <w:rPr>
            <w:noProof/>
            <w:webHidden/>
          </w:rPr>
          <w:fldChar w:fldCharType="separate"/>
        </w:r>
        <w:r w:rsidR="0004016D">
          <w:rPr>
            <w:noProof/>
            <w:webHidden/>
          </w:rPr>
          <w:t>101</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350" w:history="1">
        <w:r w:rsidR="00836229" w:rsidRPr="00B75B77">
          <w:rPr>
            <w:rStyle w:val="Hyperlink"/>
            <w:noProof/>
          </w:rPr>
          <w:t>7.3.1 Net Verified Savings Methodology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_Toc466413350 \h </w:instrText>
        </w:r>
        <w:r w:rsidR="00836229" w:rsidRPr="00B75B77">
          <w:rPr>
            <w:noProof/>
            <w:webHidden/>
          </w:rPr>
        </w:r>
        <w:r w:rsidR="00836229" w:rsidRPr="00B75B77">
          <w:rPr>
            <w:noProof/>
            <w:webHidden/>
          </w:rPr>
          <w:fldChar w:fldCharType="separate"/>
        </w:r>
        <w:r w:rsidR="0004016D">
          <w:rPr>
            <w:noProof/>
            <w:webHidden/>
          </w:rPr>
          <w:t>101</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351" w:history="1">
        <w:r w:rsidR="00836229" w:rsidRPr="00B75B77">
          <w:rPr>
            <w:rStyle w:val="Hyperlink"/>
            <w:noProof/>
          </w:rPr>
          <w:t>7.3.2 Net Verified Savings Results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_Toc466413351 \h </w:instrText>
        </w:r>
        <w:r w:rsidR="00836229" w:rsidRPr="00B75B77">
          <w:rPr>
            <w:noProof/>
            <w:webHidden/>
          </w:rPr>
        </w:r>
        <w:r w:rsidR="00836229" w:rsidRPr="00B75B77">
          <w:rPr>
            <w:noProof/>
            <w:webHidden/>
          </w:rPr>
          <w:fldChar w:fldCharType="separate"/>
        </w:r>
        <w:r w:rsidR="0004016D">
          <w:rPr>
            <w:noProof/>
            <w:webHidden/>
          </w:rPr>
          <w:t>102</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352" w:history="1">
        <w:r w:rsidR="00836229" w:rsidRPr="00B75B77">
          <w:rPr>
            <w:rStyle w:val="Hyperlink"/>
            <w:noProof/>
          </w:rPr>
          <w:t>7.4 Process Evaluation</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_Toc466413352 \h </w:instrText>
        </w:r>
        <w:r w:rsidR="00836229" w:rsidRPr="00B75B77">
          <w:rPr>
            <w:noProof/>
            <w:webHidden/>
          </w:rPr>
        </w:r>
        <w:r w:rsidR="00836229" w:rsidRPr="00B75B77">
          <w:rPr>
            <w:noProof/>
            <w:webHidden/>
          </w:rPr>
          <w:fldChar w:fldCharType="separate"/>
        </w:r>
        <w:r w:rsidR="0004016D">
          <w:rPr>
            <w:noProof/>
            <w:webHidden/>
          </w:rPr>
          <w:t>102</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353" w:history="1">
        <w:r w:rsidR="00836229" w:rsidRPr="00B75B77">
          <w:rPr>
            <w:rStyle w:val="Hyperlink"/>
            <w:noProof/>
          </w:rPr>
          <w:t>7.4.1 Process Evaluation Methodology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_Toc466413353 \h </w:instrText>
        </w:r>
        <w:r w:rsidR="00836229" w:rsidRPr="00B75B77">
          <w:rPr>
            <w:noProof/>
            <w:webHidden/>
          </w:rPr>
        </w:r>
        <w:r w:rsidR="00836229" w:rsidRPr="00B75B77">
          <w:rPr>
            <w:noProof/>
            <w:webHidden/>
          </w:rPr>
          <w:fldChar w:fldCharType="separate"/>
        </w:r>
        <w:r w:rsidR="0004016D">
          <w:rPr>
            <w:noProof/>
            <w:webHidden/>
          </w:rPr>
          <w:t>102</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354" w:history="1">
        <w:r w:rsidR="00836229" w:rsidRPr="00B75B77">
          <w:rPr>
            <w:rStyle w:val="Hyperlink"/>
            <w:noProof/>
          </w:rPr>
          <w:t>7.4.2 Process Findings and Recommendations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_Toc466413354 \h </w:instrText>
        </w:r>
        <w:r w:rsidR="00836229" w:rsidRPr="00B75B77">
          <w:rPr>
            <w:noProof/>
            <w:webHidden/>
          </w:rPr>
        </w:r>
        <w:r w:rsidR="00836229" w:rsidRPr="00B75B77">
          <w:rPr>
            <w:noProof/>
            <w:webHidden/>
          </w:rPr>
          <w:fldChar w:fldCharType="separate"/>
        </w:r>
        <w:r w:rsidR="0004016D">
          <w:rPr>
            <w:noProof/>
            <w:webHidden/>
          </w:rPr>
          <w:t>103</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355" w:history="1">
        <w:r w:rsidR="00836229" w:rsidRPr="00B75B77">
          <w:rPr>
            <w:rStyle w:val="Hyperlink"/>
            <w:noProof/>
          </w:rPr>
          <w:t>7.5 Status of Recommendations for Program</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_Toc466413355 \h </w:instrText>
        </w:r>
        <w:r w:rsidR="00836229" w:rsidRPr="00B75B77">
          <w:rPr>
            <w:noProof/>
            <w:webHidden/>
          </w:rPr>
        </w:r>
        <w:r w:rsidR="00836229" w:rsidRPr="00B75B77">
          <w:rPr>
            <w:noProof/>
            <w:webHidden/>
          </w:rPr>
          <w:fldChar w:fldCharType="separate"/>
        </w:r>
        <w:r w:rsidR="0004016D">
          <w:rPr>
            <w:noProof/>
            <w:webHidden/>
          </w:rPr>
          <w:t>107</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356" w:history="1">
        <w:r w:rsidR="00836229" w:rsidRPr="00B75B77">
          <w:rPr>
            <w:rStyle w:val="Hyperlink"/>
            <w:noProof/>
          </w:rPr>
          <w:t>7.6 Financial Reporting</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_Toc466413356 \h </w:instrText>
        </w:r>
        <w:r w:rsidR="00836229" w:rsidRPr="00B75B77">
          <w:rPr>
            <w:noProof/>
            <w:webHidden/>
          </w:rPr>
        </w:r>
        <w:r w:rsidR="00836229" w:rsidRPr="00B75B77">
          <w:rPr>
            <w:noProof/>
            <w:webHidden/>
          </w:rPr>
          <w:fldChar w:fldCharType="separate"/>
        </w:r>
        <w:r w:rsidR="0004016D">
          <w:rPr>
            <w:noProof/>
            <w:webHidden/>
          </w:rPr>
          <w:t>107</w:t>
        </w:r>
        <w:r w:rsidR="00836229" w:rsidRPr="00B75B77">
          <w:rPr>
            <w:noProof/>
            <w:webHidden/>
          </w:rPr>
          <w:fldChar w:fldCharType="end"/>
        </w:r>
      </w:hyperlink>
    </w:p>
    <w:p w:rsidR="00836229" w:rsidRPr="00B75B77" w:rsidRDefault="00237810">
      <w:pPr>
        <w:pStyle w:val="TOC1"/>
        <w:rPr>
          <w:rFonts w:asciiTheme="minorHAnsi" w:eastAsiaTheme="minorEastAsia" w:hAnsiTheme="minorHAnsi" w:cstheme="minorBidi"/>
          <w:b w:val="0"/>
          <w:bCs w:val="0"/>
          <w:smallCaps w:val="0"/>
          <w:noProof/>
          <w:szCs w:val="22"/>
        </w:rPr>
      </w:pPr>
      <w:hyperlink w:anchor="_Toc466413357" w:history="1">
        <w:r w:rsidR="00836229" w:rsidRPr="00B75B77">
          <w:rPr>
            <w:rStyle w:val="Hyperlink"/>
            <w:rFonts w:ascii="Britannic Bold" w:hAnsi="Britannic Bold"/>
            <w:noProof/>
          </w:rPr>
          <w:t>8.</w:t>
        </w:r>
        <w:r w:rsidR="00836229" w:rsidRPr="00B75B77">
          <w:rPr>
            <w:rStyle w:val="Hyperlink"/>
            <w:noProof/>
          </w:rPr>
          <w:t xml:space="preserve"> Low-Income Energy Efficiency Program</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_Toc466413357 \h </w:instrText>
        </w:r>
        <w:r w:rsidR="00836229" w:rsidRPr="00B75B77">
          <w:rPr>
            <w:noProof/>
            <w:webHidden/>
          </w:rPr>
        </w:r>
        <w:r w:rsidR="00836229" w:rsidRPr="00B75B77">
          <w:rPr>
            <w:noProof/>
            <w:webHidden/>
          </w:rPr>
          <w:fldChar w:fldCharType="separate"/>
        </w:r>
        <w:r w:rsidR="0004016D">
          <w:rPr>
            <w:noProof/>
            <w:webHidden/>
          </w:rPr>
          <w:t>109</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358" w:history="1">
        <w:r w:rsidR="00836229" w:rsidRPr="00B75B77">
          <w:rPr>
            <w:rStyle w:val="Hyperlink"/>
            <w:noProof/>
          </w:rPr>
          <w:t>8.1 Program Updates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_Toc466413358 \h </w:instrText>
        </w:r>
        <w:r w:rsidR="00836229" w:rsidRPr="00B75B77">
          <w:rPr>
            <w:noProof/>
            <w:webHidden/>
          </w:rPr>
        </w:r>
        <w:r w:rsidR="00836229" w:rsidRPr="00B75B77">
          <w:rPr>
            <w:noProof/>
            <w:webHidden/>
          </w:rPr>
          <w:fldChar w:fldCharType="separate"/>
        </w:r>
        <w:r w:rsidR="0004016D">
          <w:rPr>
            <w:noProof/>
            <w:webHidden/>
          </w:rPr>
          <w:t>110</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359" w:history="1">
        <w:r w:rsidR="00836229" w:rsidRPr="00B75B77">
          <w:rPr>
            <w:rStyle w:val="Hyperlink"/>
            <w:noProof/>
          </w:rPr>
          <w:t>8.1.1 Definition of Participant</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_Toc466413359 \h </w:instrText>
        </w:r>
        <w:r w:rsidR="00836229" w:rsidRPr="00B75B77">
          <w:rPr>
            <w:noProof/>
            <w:webHidden/>
          </w:rPr>
        </w:r>
        <w:r w:rsidR="00836229" w:rsidRPr="00B75B77">
          <w:rPr>
            <w:noProof/>
            <w:webHidden/>
          </w:rPr>
          <w:fldChar w:fldCharType="separate"/>
        </w:r>
        <w:r w:rsidR="0004016D">
          <w:rPr>
            <w:noProof/>
            <w:webHidden/>
          </w:rPr>
          <w:t>110</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360" w:history="1">
        <w:r w:rsidR="00836229" w:rsidRPr="00B75B77">
          <w:rPr>
            <w:rStyle w:val="Hyperlink"/>
            <w:noProof/>
          </w:rPr>
          <w:t>8.2 Impact Evaluation Gross Savings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_Toc466413360 \h </w:instrText>
        </w:r>
        <w:r w:rsidR="00836229" w:rsidRPr="00B75B77">
          <w:rPr>
            <w:noProof/>
            <w:webHidden/>
          </w:rPr>
        </w:r>
        <w:r w:rsidR="00836229" w:rsidRPr="00B75B77">
          <w:rPr>
            <w:noProof/>
            <w:webHidden/>
          </w:rPr>
          <w:fldChar w:fldCharType="separate"/>
        </w:r>
        <w:r w:rsidR="0004016D">
          <w:rPr>
            <w:noProof/>
            <w:webHidden/>
          </w:rPr>
          <w:t>110</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361" w:history="1">
        <w:r w:rsidR="00836229" w:rsidRPr="00B75B77">
          <w:rPr>
            <w:rStyle w:val="Hyperlink"/>
            <w:noProof/>
          </w:rPr>
          <w:t>8.2.1 Gross Verified Savings Methodology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_Toc466413361 \h </w:instrText>
        </w:r>
        <w:r w:rsidR="00836229" w:rsidRPr="00B75B77">
          <w:rPr>
            <w:noProof/>
            <w:webHidden/>
          </w:rPr>
        </w:r>
        <w:r w:rsidR="00836229" w:rsidRPr="00B75B77">
          <w:rPr>
            <w:noProof/>
            <w:webHidden/>
          </w:rPr>
          <w:fldChar w:fldCharType="separate"/>
        </w:r>
        <w:r w:rsidR="0004016D">
          <w:rPr>
            <w:noProof/>
            <w:webHidden/>
          </w:rPr>
          <w:t>111</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362" w:history="1">
        <w:r w:rsidR="00836229" w:rsidRPr="00B75B77">
          <w:rPr>
            <w:rStyle w:val="Hyperlink"/>
            <w:noProof/>
          </w:rPr>
          <w:t>8.2.2 Gross Verified Savings Results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_Toc466413362 \h </w:instrText>
        </w:r>
        <w:r w:rsidR="00836229" w:rsidRPr="00B75B77">
          <w:rPr>
            <w:noProof/>
            <w:webHidden/>
          </w:rPr>
        </w:r>
        <w:r w:rsidR="00836229" w:rsidRPr="00B75B77">
          <w:rPr>
            <w:noProof/>
            <w:webHidden/>
          </w:rPr>
          <w:fldChar w:fldCharType="separate"/>
        </w:r>
        <w:r w:rsidR="0004016D">
          <w:rPr>
            <w:noProof/>
            <w:webHidden/>
          </w:rPr>
          <w:t>112</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363" w:history="1">
        <w:r w:rsidR="00836229" w:rsidRPr="00B75B77">
          <w:rPr>
            <w:rStyle w:val="Hyperlink"/>
            <w:noProof/>
          </w:rPr>
          <w:t>8.3 Impact Evaluation Net Savings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_Toc466413363 \h </w:instrText>
        </w:r>
        <w:r w:rsidR="00836229" w:rsidRPr="00B75B77">
          <w:rPr>
            <w:noProof/>
            <w:webHidden/>
          </w:rPr>
        </w:r>
        <w:r w:rsidR="00836229" w:rsidRPr="00B75B77">
          <w:rPr>
            <w:noProof/>
            <w:webHidden/>
          </w:rPr>
          <w:fldChar w:fldCharType="separate"/>
        </w:r>
        <w:r w:rsidR="0004016D">
          <w:rPr>
            <w:noProof/>
            <w:webHidden/>
          </w:rPr>
          <w:t>114</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364" w:history="1">
        <w:r w:rsidR="00836229" w:rsidRPr="00B75B77">
          <w:rPr>
            <w:rStyle w:val="Hyperlink"/>
            <w:noProof/>
          </w:rPr>
          <w:t>8.3.1 Net Verified Savings Methodology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_Toc466413364 \h </w:instrText>
        </w:r>
        <w:r w:rsidR="00836229" w:rsidRPr="00B75B77">
          <w:rPr>
            <w:noProof/>
            <w:webHidden/>
          </w:rPr>
        </w:r>
        <w:r w:rsidR="00836229" w:rsidRPr="00B75B77">
          <w:rPr>
            <w:noProof/>
            <w:webHidden/>
          </w:rPr>
          <w:fldChar w:fldCharType="separate"/>
        </w:r>
        <w:r w:rsidR="0004016D">
          <w:rPr>
            <w:noProof/>
            <w:webHidden/>
          </w:rPr>
          <w:t>114</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365" w:history="1">
        <w:r w:rsidR="00836229" w:rsidRPr="00B75B77">
          <w:rPr>
            <w:rStyle w:val="Hyperlink"/>
            <w:noProof/>
          </w:rPr>
          <w:t>8.3.2 Net Verified Savings Results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_Toc466413365 \h </w:instrText>
        </w:r>
        <w:r w:rsidR="00836229" w:rsidRPr="00B75B77">
          <w:rPr>
            <w:noProof/>
            <w:webHidden/>
          </w:rPr>
        </w:r>
        <w:r w:rsidR="00836229" w:rsidRPr="00B75B77">
          <w:rPr>
            <w:noProof/>
            <w:webHidden/>
          </w:rPr>
          <w:fldChar w:fldCharType="separate"/>
        </w:r>
        <w:r w:rsidR="0004016D">
          <w:rPr>
            <w:noProof/>
            <w:webHidden/>
          </w:rPr>
          <w:t>115</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366" w:history="1">
        <w:r w:rsidR="00836229" w:rsidRPr="00B75B77">
          <w:rPr>
            <w:rStyle w:val="Hyperlink"/>
            <w:noProof/>
          </w:rPr>
          <w:t>8.3.3 Impact Evaluation Findings and Recommendations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_Toc466413366 \h </w:instrText>
        </w:r>
        <w:r w:rsidR="00836229" w:rsidRPr="00B75B77">
          <w:rPr>
            <w:noProof/>
            <w:webHidden/>
          </w:rPr>
        </w:r>
        <w:r w:rsidR="00836229" w:rsidRPr="00B75B77">
          <w:rPr>
            <w:noProof/>
            <w:webHidden/>
          </w:rPr>
          <w:fldChar w:fldCharType="separate"/>
        </w:r>
        <w:r w:rsidR="0004016D">
          <w:rPr>
            <w:noProof/>
            <w:webHidden/>
          </w:rPr>
          <w:t>116</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367" w:history="1">
        <w:r w:rsidR="00836229" w:rsidRPr="00B75B77">
          <w:rPr>
            <w:rStyle w:val="Hyperlink"/>
            <w:noProof/>
          </w:rPr>
          <w:t>8.4 Process Evaluation</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_Toc466413367 \h </w:instrText>
        </w:r>
        <w:r w:rsidR="00836229" w:rsidRPr="00B75B77">
          <w:rPr>
            <w:noProof/>
            <w:webHidden/>
          </w:rPr>
        </w:r>
        <w:r w:rsidR="00836229" w:rsidRPr="00B75B77">
          <w:rPr>
            <w:noProof/>
            <w:webHidden/>
          </w:rPr>
          <w:fldChar w:fldCharType="separate"/>
        </w:r>
        <w:r w:rsidR="0004016D">
          <w:rPr>
            <w:noProof/>
            <w:webHidden/>
          </w:rPr>
          <w:t>117</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368" w:history="1">
        <w:r w:rsidR="00836229" w:rsidRPr="00B75B77">
          <w:rPr>
            <w:rStyle w:val="Hyperlink"/>
            <w:noProof/>
          </w:rPr>
          <w:t>8.4.1 Process Evaluation Methodology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_Toc466413368 \h </w:instrText>
        </w:r>
        <w:r w:rsidR="00836229" w:rsidRPr="00B75B77">
          <w:rPr>
            <w:noProof/>
            <w:webHidden/>
          </w:rPr>
        </w:r>
        <w:r w:rsidR="00836229" w:rsidRPr="00B75B77">
          <w:rPr>
            <w:noProof/>
            <w:webHidden/>
          </w:rPr>
          <w:fldChar w:fldCharType="separate"/>
        </w:r>
        <w:r w:rsidR="0004016D">
          <w:rPr>
            <w:noProof/>
            <w:webHidden/>
          </w:rPr>
          <w:t>117</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369" w:history="1">
        <w:r w:rsidR="00836229" w:rsidRPr="00B75B77">
          <w:rPr>
            <w:rStyle w:val="Hyperlink"/>
            <w:noProof/>
          </w:rPr>
          <w:t>8.4.2 Process Findings and Recommendations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_Toc466413369 \h </w:instrText>
        </w:r>
        <w:r w:rsidR="00836229" w:rsidRPr="00B75B77">
          <w:rPr>
            <w:noProof/>
            <w:webHidden/>
          </w:rPr>
        </w:r>
        <w:r w:rsidR="00836229" w:rsidRPr="00B75B77">
          <w:rPr>
            <w:noProof/>
            <w:webHidden/>
          </w:rPr>
          <w:fldChar w:fldCharType="separate"/>
        </w:r>
        <w:r w:rsidR="0004016D">
          <w:rPr>
            <w:noProof/>
            <w:webHidden/>
          </w:rPr>
          <w:t>118</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370" w:history="1">
        <w:r w:rsidR="00836229" w:rsidRPr="00B75B77">
          <w:rPr>
            <w:rStyle w:val="Hyperlink"/>
            <w:noProof/>
          </w:rPr>
          <w:t>8.5 Status of Recommendations for Program</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_Toc466413370 \h </w:instrText>
        </w:r>
        <w:r w:rsidR="00836229" w:rsidRPr="00B75B77">
          <w:rPr>
            <w:noProof/>
            <w:webHidden/>
          </w:rPr>
        </w:r>
        <w:r w:rsidR="00836229" w:rsidRPr="00B75B77">
          <w:rPr>
            <w:noProof/>
            <w:webHidden/>
          </w:rPr>
          <w:fldChar w:fldCharType="separate"/>
        </w:r>
        <w:r w:rsidR="0004016D">
          <w:rPr>
            <w:noProof/>
            <w:webHidden/>
          </w:rPr>
          <w:t>121</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371" w:history="1">
        <w:r w:rsidR="00836229" w:rsidRPr="00B75B77">
          <w:rPr>
            <w:rStyle w:val="Hyperlink"/>
            <w:noProof/>
          </w:rPr>
          <w:t>8.6 Financial Reporting</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_Toc466413371 \h </w:instrText>
        </w:r>
        <w:r w:rsidR="00836229" w:rsidRPr="00B75B77">
          <w:rPr>
            <w:noProof/>
            <w:webHidden/>
          </w:rPr>
        </w:r>
        <w:r w:rsidR="00836229" w:rsidRPr="00B75B77">
          <w:rPr>
            <w:noProof/>
            <w:webHidden/>
          </w:rPr>
          <w:fldChar w:fldCharType="separate"/>
        </w:r>
        <w:r w:rsidR="0004016D">
          <w:rPr>
            <w:noProof/>
            <w:webHidden/>
          </w:rPr>
          <w:t>121</w:t>
        </w:r>
        <w:r w:rsidR="00836229" w:rsidRPr="00B75B77">
          <w:rPr>
            <w:noProof/>
            <w:webHidden/>
          </w:rPr>
          <w:fldChar w:fldCharType="end"/>
        </w:r>
      </w:hyperlink>
    </w:p>
    <w:p w:rsidR="00836229" w:rsidRPr="00B75B77" w:rsidRDefault="00237810">
      <w:pPr>
        <w:pStyle w:val="TOC1"/>
        <w:rPr>
          <w:rFonts w:asciiTheme="minorHAnsi" w:eastAsiaTheme="minorEastAsia" w:hAnsiTheme="minorHAnsi" w:cstheme="minorBidi"/>
          <w:b w:val="0"/>
          <w:bCs w:val="0"/>
          <w:smallCaps w:val="0"/>
          <w:noProof/>
          <w:szCs w:val="22"/>
        </w:rPr>
      </w:pPr>
      <w:hyperlink w:anchor="_Toc466413372" w:history="1">
        <w:r w:rsidR="00836229" w:rsidRPr="00B75B77">
          <w:rPr>
            <w:rStyle w:val="Hyperlink"/>
            <w:rFonts w:ascii="Britannic Bold" w:hAnsi="Britannic Bold"/>
            <w:noProof/>
          </w:rPr>
          <w:t>9.</w:t>
        </w:r>
        <w:r w:rsidR="00836229" w:rsidRPr="00B75B77">
          <w:rPr>
            <w:rStyle w:val="Hyperlink"/>
            <w:noProof/>
          </w:rPr>
          <w:t xml:space="preserve"> Smart AC Saver: Residential</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_Toc466413372 \h </w:instrText>
        </w:r>
        <w:r w:rsidR="00836229" w:rsidRPr="00B75B77">
          <w:rPr>
            <w:noProof/>
            <w:webHidden/>
          </w:rPr>
        </w:r>
        <w:r w:rsidR="00836229" w:rsidRPr="00B75B77">
          <w:rPr>
            <w:noProof/>
            <w:webHidden/>
          </w:rPr>
          <w:fldChar w:fldCharType="separate"/>
        </w:r>
        <w:r w:rsidR="0004016D">
          <w:rPr>
            <w:noProof/>
            <w:webHidden/>
          </w:rPr>
          <w:t>123</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373" w:history="1">
        <w:r w:rsidR="00836229" w:rsidRPr="00B75B77">
          <w:rPr>
            <w:rStyle w:val="Hyperlink"/>
            <w:noProof/>
          </w:rPr>
          <w:t>9.1 Program Updates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_Toc466413373 \h </w:instrText>
        </w:r>
        <w:r w:rsidR="00836229" w:rsidRPr="00B75B77">
          <w:rPr>
            <w:noProof/>
            <w:webHidden/>
          </w:rPr>
        </w:r>
        <w:r w:rsidR="00836229" w:rsidRPr="00B75B77">
          <w:rPr>
            <w:noProof/>
            <w:webHidden/>
          </w:rPr>
          <w:fldChar w:fldCharType="separate"/>
        </w:r>
        <w:r w:rsidR="0004016D">
          <w:rPr>
            <w:noProof/>
            <w:webHidden/>
          </w:rPr>
          <w:t>123</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374" w:history="1">
        <w:r w:rsidR="00836229" w:rsidRPr="00B75B77">
          <w:rPr>
            <w:rStyle w:val="Hyperlink"/>
            <w:noProof/>
          </w:rPr>
          <w:t>9.1.1 Definition of Participant</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_Toc466413374 \h </w:instrText>
        </w:r>
        <w:r w:rsidR="00836229" w:rsidRPr="00B75B77">
          <w:rPr>
            <w:noProof/>
            <w:webHidden/>
          </w:rPr>
        </w:r>
        <w:r w:rsidR="00836229" w:rsidRPr="00B75B77">
          <w:rPr>
            <w:noProof/>
            <w:webHidden/>
          </w:rPr>
          <w:fldChar w:fldCharType="separate"/>
        </w:r>
        <w:r w:rsidR="0004016D">
          <w:rPr>
            <w:noProof/>
            <w:webHidden/>
          </w:rPr>
          <w:t>123</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375" w:history="1">
        <w:r w:rsidR="00836229" w:rsidRPr="00B75B77">
          <w:rPr>
            <w:rStyle w:val="Hyperlink"/>
            <w:noProof/>
          </w:rPr>
          <w:t>9.2 Impact Evaluation Gross Savings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_Toc466413375 \h </w:instrText>
        </w:r>
        <w:r w:rsidR="00836229" w:rsidRPr="00B75B77">
          <w:rPr>
            <w:noProof/>
            <w:webHidden/>
          </w:rPr>
        </w:r>
        <w:r w:rsidR="00836229" w:rsidRPr="00B75B77">
          <w:rPr>
            <w:noProof/>
            <w:webHidden/>
          </w:rPr>
          <w:fldChar w:fldCharType="separate"/>
        </w:r>
        <w:r w:rsidR="0004016D">
          <w:rPr>
            <w:noProof/>
            <w:webHidden/>
          </w:rPr>
          <w:t>123</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376" w:history="1">
        <w:r w:rsidR="00836229" w:rsidRPr="00B75B77">
          <w:rPr>
            <w:rStyle w:val="Hyperlink"/>
            <w:noProof/>
          </w:rPr>
          <w:t>9.2.1 Gross Verified Savings Methodology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_Toc466413376 \h </w:instrText>
        </w:r>
        <w:r w:rsidR="00836229" w:rsidRPr="00B75B77">
          <w:rPr>
            <w:noProof/>
            <w:webHidden/>
          </w:rPr>
        </w:r>
        <w:r w:rsidR="00836229" w:rsidRPr="00B75B77">
          <w:rPr>
            <w:noProof/>
            <w:webHidden/>
          </w:rPr>
          <w:fldChar w:fldCharType="separate"/>
        </w:r>
        <w:r w:rsidR="0004016D">
          <w:rPr>
            <w:noProof/>
            <w:webHidden/>
          </w:rPr>
          <w:t>124</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377" w:history="1">
        <w:r w:rsidR="00836229" w:rsidRPr="00B75B77">
          <w:rPr>
            <w:rStyle w:val="Hyperlink"/>
            <w:noProof/>
          </w:rPr>
          <w:t>9.2.2 Gross Verified Savings Results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_Toc466413377 \h </w:instrText>
        </w:r>
        <w:r w:rsidR="00836229" w:rsidRPr="00B75B77">
          <w:rPr>
            <w:noProof/>
            <w:webHidden/>
          </w:rPr>
        </w:r>
        <w:r w:rsidR="00836229" w:rsidRPr="00B75B77">
          <w:rPr>
            <w:noProof/>
            <w:webHidden/>
          </w:rPr>
          <w:fldChar w:fldCharType="separate"/>
        </w:r>
        <w:r w:rsidR="0004016D">
          <w:rPr>
            <w:noProof/>
            <w:webHidden/>
          </w:rPr>
          <w:t>125</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378" w:history="1">
        <w:r w:rsidR="00836229" w:rsidRPr="00B75B77">
          <w:rPr>
            <w:rStyle w:val="Hyperlink"/>
            <w:noProof/>
          </w:rPr>
          <w:t>9.3 Process Evaluation</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_Toc466413378 \h </w:instrText>
        </w:r>
        <w:r w:rsidR="00836229" w:rsidRPr="00B75B77">
          <w:rPr>
            <w:noProof/>
            <w:webHidden/>
          </w:rPr>
        </w:r>
        <w:r w:rsidR="00836229" w:rsidRPr="00B75B77">
          <w:rPr>
            <w:noProof/>
            <w:webHidden/>
          </w:rPr>
          <w:fldChar w:fldCharType="separate"/>
        </w:r>
        <w:r w:rsidR="0004016D">
          <w:rPr>
            <w:noProof/>
            <w:webHidden/>
          </w:rPr>
          <w:t>125</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379" w:history="1">
        <w:r w:rsidR="00836229" w:rsidRPr="00B75B77">
          <w:rPr>
            <w:rStyle w:val="Hyperlink"/>
            <w:noProof/>
          </w:rPr>
          <w:t>9.3.1 Process Evaluation Methodology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_Toc466413379 \h </w:instrText>
        </w:r>
        <w:r w:rsidR="00836229" w:rsidRPr="00B75B77">
          <w:rPr>
            <w:noProof/>
            <w:webHidden/>
          </w:rPr>
        </w:r>
        <w:r w:rsidR="00836229" w:rsidRPr="00B75B77">
          <w:rPr>
            <w:noProof/>
            <w:webHidden/>
          </w:rPr>
          <w:fldChar w:fldCharType="separate"/>
        </w:r>
        <w:r w:rsidR="0004016D">
          <w:rPr>
            <w:noProof/>
            <w:webHidden/>
          </w:rPr>
          <w:t>126</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380" w:history="1">
        <w:r w:rsidR="00836229" w:rsidRPr="00B75B77">
          <w:rPr>
            <w:rStyle w:val="Hyperlink"/>
            <w:noProof/>
          </w:rPr>
          <w:t>9.3.2 Process Findings and Recommendations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_Toc466413380 \h </w:instrText>
        </w:r>
        <w:r w:rsidR="00836229" w:rsidRPr="00B75B77">
          <w:rPr>
            <w:noProof/>
            <w:webHidden/>
          </w:rPr>
        </w:r>
        <w:r w:rsidR="00836229" w:rsidRPr="00B75B77">
          <w:rPr>
            <w:noProof/>
            <w:webHidden/>
          </w:rPr>
          <w:fldChar w:fldCharType="separate"/>
        </w:r>
        <w:r w:rsidR="0004016D">
          <w:rPr>
            <w:noProof/>
            <w:webHidden/>
          </w:rPr>
          <w:t>126</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381" w:history="1">
        <w:r w:rsidR="00836229" w:rsidRPr="00B75B77">
          <w:rPr>
            <w:rStyle w:val="Hyperlink"/>
            <w:noProof/>
          </w:rPr>
          <w:t>9.4 Status of Recommendations for Program</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_Toc466413381 \h </w:instrText>
        </w:r>
        <w:r w:rsidR="00836229" w:rsidRPr="00B75B77">
          <w:rPr>
            <w:noProof/>
            <w:webHidden/>
          </w:rPr>
        </w:r>
        <w:r w:rsidR="00836229" w:rsidRPr="00B75B77">
          <w:rPr>
            <w:noProof/>
            <w:webHidden/>
          </w:rPr>
          <w:fldChar w:fldCharType="separate"/>
        </w:r>
        <w:r w:rsidR="0004016D">
          <w:rPr>
            <w:noProof/>
            <w:webHidden/>
          </w:rPr>
          <w:t>127</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382" w:history="1">
        <w:r w:rsidR="00836229" w:rsidRPr="00B75B77">
          <w:rPr>
            <w:rStyle w:val="Hyperlink"/>
            <w:noProof/>
          </w:rPr>
          <w:t>9.5 Financial Reporting</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_Toc466413382 \h </w:instrText>
        </w:r>
        <w:r w:rsidR="00836229" w:rsidRPr="00B75B77">
          <w:rPr>
            <w:noProof/>
            <w:webHidden/>
          </w:rPr>
        </w:r>
        <w:r w:rsidR="00836229" w:rsidRPr="00B75B77">
          <w:rPr>
            <w:noProof/>
            <w:webHidden/>
          </w:rPr>
          <w:fldChar w:fldCharType="separate"/>
        </w:r>
        <w:r w:rsidR="0004016D">
          <w:rPr>
            <w:noProof/>
            <w:webHidden/>
          </w:rPr>
          <w:t>128</w:t>
        </w:r>
        <w:r w:rsidR="00836229" w:rsidRPr="00B75B77">
          <w:rPr>
            <w:noProof/>
            <w:webHidden/>
          </w:rPr>
          <w:fldChar w:fldCharType="end"/>
        </w:r>
      </w:hyperlink>
    </w:p>
    <w:p w:rsidR="00836229" w:rsidRPr="00B75B77" w:rsidRDefault="00237810">
      <w:pPr>
        <w:pStyle w:val="TOC1"/>
        <w:rPr>
          <w:rFonts w:asciiTheme="minorHAnsi" w:eastAsiaTheme="minorEastAsia" w:hAnsiTheme="minorHAnsi" w:cstheme="minorBidi"/>
          <w:b w:val="0"/>
          <w:bCs w:val="0"/>
          <w:smallCaps w:val="0"/>
          <w:noProof/>
          <w:szCs w:val="22"/>
        </w:rPr>
      </w:pPr>
      <w:hyperlink w:anchor="_Toc466413383" w:history="1">
        <w:r w:rsidR="00836229" w:rsidRPr="00B75B77">
          <w:rPr>
            <w:rStyle w:val="Hyperlink"/>
            <w:rFonts w:ascii="Britannic Bold" w:hAnsi="Britannic Bold"/>
            <w:noProof/>
          </w:rPr>
          <w:t>10.</w:t>
        </w:r>
        <w:r w:rsidR="00836229" w:rsidRPr="00B75B77">
          <w:rPr>
            <w:rStyle w:val="Hyperlink"/>
            <w:noProof/>
          </w:rPr>
          <w:t xml:space="preserve"> Smart AC Saver: Commercial</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_Toc466413383 \h </w:instrText>
        </w:r>
        <w:r w:rsidR="00836229" w:rsidRPr="00B75B77">
          <w:rPr>
            <w:noProof/>
            <w:webHidden/>
          </w:rPr>
        </w:r>
        <w:r w:rsidR="00836229" w:rsidRPr="00B75B77">
          <w:rPr>
            <w:noProof/>
            <w:webHidden/>
          </w:rPr>
          <w:fldChar w:fldCharType="separate"/>
        </w:r>
        <w:r w:rsidR="0004016D">
          <w:rPr>
            <w:noProof/>
            <w:webHidden/>
          </w:rPr>
          <w:t>130</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384" w:history="1">
        <w:r w:rsidR="00836229" w:rsidRPr="00B75B77">
          <w:rPr>
            <w:rStyle w:val="Hyperlink"/>
            <w:noProof/>
          </w:rPr>
          <w:t>10.1 Program Updates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_Toc466413384 \h </w:instrText>
        </w:r>
        <w:r w:rsidR="00836229" w:rsidRPr="00B75B77">
          <w:rPr>
            <w:noProof/>
            <w:webHidden/>
          </w:rPr>
        </w:r>
        <w:r w:rsidR="00836229" w:rsidRPr="00B75B77">
          <w:rPr>
            <w:noProof/>
            <w:webHidden/>
          </w:rPr>
          <w:fldChar w:fldCharType="separate"/>
        </w:r>
        <w:r w:rsidR="0004016D">
          <w:rPr>
            <w:noProof/>
            <w:webHidden/>
          </w:rPr>
          <w:t>130</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385" w:history="1">
        <w:r w:rsidR="00836229" w:rsidRPr="00B75B77">
          <w:rPr>
            <w:rStyle w:val="Hyperlink"/>
            <w:noProof/>
          </w:rPr>
          <w:t>10.1.1 Definition of Participant</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_Toc466413385 \h </w:instrText>
        </w:r>
        <w:r w:rsidR="00836229" w:rsidRPr="00B75B77">
          <w:rPr>
            <w:noProof/>
            <w:webHidden/>
          </w:rPr>
        </w:r>
        <w:r w:rsidR="00836229" w:rsidRPr="00B75B77">
          <w:rPr>
            <w:noProof/>
            <w:webHidden/>
          </w:rPr>
          <w:fldChar w:fldCharType="separate"/>
        </w:r>
        <w:r w:rsidR="0004016D">
          <w:rPr>
            <w:noProof/>
            <w:webHidden/>
          </w:rPr>
          <w:t>130</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386" w:history="1">
        <w:r w:rsidR="00836229" w:rsidRPr="00B75B77">
          <w:rPr>
            <w:rStyle w:val="Hyperlink"/>
            <w:noProof/>
          </w:rPr>
          <w:t>10.2 Impact Evaluation Gross Savings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_Toc466413386 \h </w:instrText>
        </w:r>
        <w:r w:rsidR="00836229" w:rsidRPr="00B75B77">
          <w:rPr>
            <w:noProof/>
            <w:webHidden/>
          </w:rPr>
        </w:r>
        <w:r w:rsidR="00836229" w:rsidRPr="00B75B77">
          <w:rPr>
            <w:noProof/>
            <w:webHidden/>
          </w:rPr>
          <w:fldChar w:fldCharType="separate"/>
        </w:r>
        <w:r w:rsidR="0004016D">
          <w:rPr>
            <w:noProof/>
            <w:webHidden/>
          </w:rPr>
          <w:t>130</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387" w:history="1">
        <w:r w:rsidR="00836229" w:rsidRPr="00B75B77">
          <w:rPr>
            <w:rStyle w:val="Hyperlink"/>
            <w:noProof/>
          </w:rPr>
          <w:t>10.2.1 Gross Verified Savings Methodology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_Toc466413387 \h </w:instrText>
        </w:r>
        <w:r w:rsidR="00836229" w:rsidRPr="00B75B77">
          <w:rPr>
            <w:noProof/>
            <w:webHidden/>
          </w:rPr>
        </w:r>
        <w:r w:rsidR="00836229" w:rsidRPr="00B75B77">
          <w:rPr>
            <w:noProof/>
            <w:webHidden/>
          </w:rPr>
          <w:fldChar w:fldCharType="separate"/>
        </w:r>
        <w:r w:rsidR="0004016D">
          <w:rPr>
            <w:noProof/>
            <w:webHidden/>
          </w:rPr>
          <w:t>131</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388" w:history="1">
        <w:r w:rsidR="00836229" w:rsidRPr="00B75B77">
          <w:rPr>
            <w:rStyle w:val="Hyperlink"/>
            <w:noProof/>
          </w:rPr>
          <w:t>10.2.2 Gross Verified Savings Results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_Toc466413388 \h </w:instrText>
        </w:r>
        <w:r w:rsidR="00836229" w:rsidRPr="00B75B77">
          <w:rPr>
            <w:noProof/>
            <w:webHidden/>
          </w:rPr>
        </w:r>
        <w:r w:rsidR="00836229" w:rsidRPr="00B75B77">
          <w:rPr>
            <w:noProof/>
            <w:webHidden/>
          </w:rPr>
          <w:fldChar w:fldCharType="separate"/>
        </w:r>
        <w:r w:rsidR="0004016D">
          <w:rPr>
            <w:noProof/>
            <w:webHidden/>
          </w:rPr>
          <w:t>132</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389" w:history="1">
        <w:r w:rsidR="00836229" w:rsidRPr="00B75B77">
          <w:rPr>
            <w:rStyle w:val="Hyperlink"/>
            <w:noProof/>
          </w:rPr>
          <w:t>10.3 Impact Evaluation Net Savings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_Toc466413389 \h </w:instrText>
        </w:r>
        <w:r w:rsidR="00836229" w:rsidRPr="00B75B77">
          <w:rPr>
            <w:noProof/>
            <w:webHidden/>
          </w:rPr>
        </w:r>
        <w:r w:rsidR="00836229" w:rsidRPr="00B75B77">
          <w:rPr>
            <w:noProof/>
            <w:webHidden/>
          </w:rPr>
          <w:fldChar w:fldCharType="separate"/>
        </w:r>
        <w:r w:rsidR="0004016D">
          <w:rPr>
            <w:noProof/>
            <w:webHidden/>
          </w:rPr>
          <w:t>132</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390" w:history="1">
        <w:r w:rsidR="00836229" w:rsidRPr="00B75B77">
          <w:rPr>
            <w:rStyle w:val="Hyperlink"/>
            <w:noProof/>
          </w:rPr>
          <w:t>10.4 Process Evaluation</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_Toc466413390 \h </w:instrText>
        </w:r>
        <w:r w:rsidR="00836229" w:rsidRPr="00B75B77">
          <w:rPr>
            <w:noProof/>
            <w:webHidden/>
          </w:rPr>
        </w:r>
        <w:r w:rsidR="00836229" w:rsidRPr="00B75B77">
          <w:rPr>
            <w:noProof/>
            <w:webHidden/>
          </w:rPr>
          <w:fldChar w:fldCharType="separate"/>
        </w:r>
        <w:r w:rsidR="0004016D">
          <w:rPr>
            <w:noProof/>
            <w:webHidden/>
          </w:rPr>
          <w:t>132</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391" w:history="1">
        <w:r w:rsidR="00836229" w:rsidRPr="00B75B77">
          <w:rPr>
            <w:rStyle w:val="Hyperlink"/>
            <w:noProof/>
          </w:rPr>
          <w:t>10.4.1 Process Evaluation Methodology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_Toc466413391 \h </w:instrText>
        </w:r>
        <w:r w:rsidR="00836229" w:rsidRPr="00B75B77">
          <w:rPr>
            <w:noProof/>
            <w:webHidden/>
          </w:rPr>
        </w:r>
        <w:r w:rsidR="00836229" w:rsidRPr="00B75B77">
          <w:rPr>
            <w:noProof/>
            <w:webHidden/>
          </w:rPr>
          <w:fldChar w:fldCharType="separate"/>
        </w:r>
        <w:r w:rsidR="0004016D">
          <w:rPr>
            <w:noProof/>
            <w:webHidden/>
          </w:rPr>
          <w:t>133</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392" w:history="1">
        <w:r w:rsidR="00836229" w:rsidRPr="00B75B77">
          <w:rPr>
            <w:rStyle w:val="Hyperlink"/>
            <w:noProof/>
          </w:rPr>
          <w:t>10.4.2 Process Evaluation Results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_Toc466413392 \h </w:instrText>
        </w:r>
        <w:r w:rsidR="00836229" w:rsidRPr="00B75B77">
          <w:rPr>
            <w:noProof/>
            <w:webHidden/>
          </w:rPr>
        </w:r>
        <w:r w:rsidR="00836229" w:rsidRPr="00B75B77">
          <w:rPr>
            <w:noProof/>
            <w:webHidden/>
          </w:rPr>
          <w:fldChar w:fldCharType="separate"/>
        </w:r>
        <w:r w:rsidR="0004016D">
          <w:rPr>
            <w:noProof/>
            <w:webHidden/>
          </w:rPr>
          <w:t>133</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393" w:history="1">
        <w:r w:rsidR="00836229" w:rsidRPr="00B75B77">
          <w:rPr>
            <w:rStyle w:val="Hyperlink"/>
            <w:noProof/>
          </w:rPr>
          <w:t>10.5 Status of Recommendations for Program</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_Toc466413393 \h </w:instrText>
        </w:r>
        <w:r w:rsidR="00836229" w:rsidRPr="00B75B77">
          <w:rPr>
            <w:noProof/>
            <w:webHidden/>
          </w:rPr>
        </w:r>
        <w:r w:rsidR="00836229" w:rsidRPr="00B75B77">
          <w:rPr>
            <w:noProof/>
            <w:webHidden/>
          </w:rPr>
          <w:fldChar w:fldCharType="separate"/>
        </w:r>
        <w:r w:rsidR="0004016D">
          <w:rPr>
            <w:noProof/>
            <w:webHidden/>
          </w:rPr>
          <w:t>134</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394" w:history="1">
        <w:r w:rsidR="00836229" w:rsidRPr="00B75B77">
          <w:rPr>
            <w:rStyle w:val="Hyperlink"/>
            <w:noProof/>
          </w:rPr>
          <w:t>10.6 Financial Reporting</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_Toc466413394 \h </w:instrText>
        </w:r>
        <w:r w:rsidR="00836229" w:rsidRPr="00B75B77">
          <w:rPr>
            <w:noProof/>
            <w:webHidden/>
          </w:rPr>
        </w:r>
        <w:r w:rsidR="00836229" w:rsidRPr="00B75B77">
          <w:rPr>
            <w:noProof/>
            <w:webHidden/>
          </w:rPr>
          <w:fldChar w:fldCharType="separate"/>
        </w:r>
        <w:r w:rsidR="0004016D">
          <w:rPr>
            <w:noProof/>
            <w:webHidden/>
          </w:rPr>
          <w:t>134</w:t>
        </w:r>
        <w:r w:rsidR="00836229" w:rsidRPr="00B75B77">
          <w:rPr>
            <w:noProof/>
            <w:webHidden/>
          </w:rPr>
          <w:fldChar w:fldCharType="end"/>
        </w:r>
      </w:hyperlink>
    </w:p>
    <w:p w:rsidR="00836229" w:rsidRPr="00B75B77" w:rsidRDefault="00237810">
      <w:pPr>
        <w:pStyle w:val="TOC1"/>
        <w:rPr>
          <w:rFonts w:asciiTheme="minorHAnsi" w:eastAsiaTheme="minorEastAsia" w:hAnsiTheme="minorHAnsi" w:cstheme="minorBidi"/>
          <w:b w:val="0"/>
          <w:bCs w:val="0"/>
          <w:smallCaps w:val="0"/>
          <w:noProof/>
          <w:szCs w:val="22"/>
        </w:rPr>
      </w:pPr>
      <w:hyperlink w:anchor="_Toc466413395" w:history="1">
        <w:r w:rsidR="00836229" w:rsidRPr="00B75B77">
          <w:rPr>
            <w:rStyle w:val="Hyperlink"/>
            <w:rFonts w:ascii="Britannic Bold" w:hAnsi="Britannic Bold"/>
            <w:noProof/>
          </w:rPr>
          <w:t>11.</w:t>
        </w:r>
        <w:r w:rsidR="00836229" w:rsidRPr="00B75B77">
          <w:rPr>
            <w:rStyle w:val="Hyperlink"/>
            <w:noProof/>
          </w:rPr>
          <w:t xml:space="preserve"> Smart Equipment Incentives: C&amp;I</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_Toc466413395 \h </w:instrText>
        </w:r>
        <w:r w:rsidR="00836229" w:rsidRPr="00B75B77">
          <w:rPr>
            <w:noProof/>
            <w:webHidden/>
          </w:rPr>
        </w:r>
        <w:r w:rsidR="00836229" w:rsidRPr="00B75B77">
          <w:rPr>
            <w:noProof/>
            <w:webHidden/>
          </w:rPr>
          <w:fldChar w:fldCharType="separate"/>
        </w:r>
        <w:r w:rsidR="0004016D">
          <w:rPr>
            <w:noProof/>
            <w:webHidden/>
          </w:rPr>
          <w:t>136</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396" w:history="1">
        <w:r w:rsidR="00836229" w:rsidRPr="00B75B77">
          <w:rPr>
            <w:rStyle w:val="Hyperlink"/>
            <w:noProof/>
          </w:rPr>
          <w:t>11.1 Program Updates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_Toc466413396 \h </w:instrText>
        </w:r>
        <w:r w:rsidR="00836229" w:rsidRPr="00B75B77">
          <w:rPr>
            <w:noProof/>
            <w:webHidden/>
          </w:rPr>
        </w:r>
        <w:r w:rsidR="00836229" w:rsidRPr="00B75B77">
          <w:rPr>
            <w:noProof/>
            <w:webHidden/>
          </w:rPr>
          <w:fldChar w:fldCharType="separate"/>
        </w:r>
        <w:r w:rsidR="0004016D">
          <w:rPr>
            <w:noProof/>
            <w:webHidden/>
          </w:rPr>
          <w:t>136</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397" w:history="1">
        <w:r w:rsidR="00836229" w:rsidRPr="00B75B77">
          <w:rPr>
            <w:rStyle w:val="Hyperlink"/>
            <w:noProof/>
          </w:rPr>
          <w:t>11.1.1 Definition of Participant</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_Toc466413397 \h </w:instrText>
        </w:r>
        <w:r w:rsidR="00836229" w:rsidRPr="00B75B77">
          <w:rPr>
            <w:noProof/>
            <w:webHidden/>
          </w:rPr>
        </w:r>
        <w:r w:rsidR="00836229" w:rsidRPr="00B75B77">
          <w:rPr>
            <w:noProof/>
            <w:webHidden/>
          </w:rPr>
          <w:fldChar w:fldCharType="separate"/>
        </w:r>
        <w:r w:rsidR="0004016D">
          <w:rPr>
            <w:noProof/>
            <w:webHidden/>
          </w:rPr>
          <w:t>136</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398" w:history="1">
        <w:r w:rsidR="00836229" w:rsidRPr="00B75B77">
          <w:rPr>
            <w:rStyle w:val="Hyperlink"/>
            <w:noProof/>
          </w:rPr>
          <w:t>11.2 Impact Evaluation Gross Savings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_Toc466413398 \h </w:instrText>
        </w:r>
        <w:r w:rsidR="00836229" w:rsidRPr="00B75B77">
          <w:rPr>
            <w:noProof/>
            <w:webHidden/>
          </w:rPr>
        </w:r>
        <w:r w:rsidR="00836229" w:rsidRPr="00B75B77">
          <w:rPr>
            <w:noProof/>
            <w:webHidden/>
          </w:rPr>
          <w:fldChar w:fldCharType="separate"/>
        </w:r>
        <w:r w:rsidR="0004016D">
          <w:rPr>
            <w:noProof/>
            <w:webHidden/>
          </w:rPr>
          <w:t>136</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399" w:history="1">
        <w:r w:rsidR="00836229" w:rsidRPr="00B75B77">
          <w:rPr>
            <w:rStyle w:val="Hyperlink"/>
            <w:noProof/>
          </w:rPr>
          <w:t>11.2.1 Gross Verified Savings Methodology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_Toc466413399 \h </w:instrText>
        </w:r>
        <w:r w:rsidR="00836229" w:rsidRPr="00B75B77">
          <w:rPr>
            <w:noProof/>
            <w:webHidden/>
          </w:rPr>
        </w:r>
        <w:r w:rsidR="00836229" w:rsidRPr="00B75B77">
          <w:rPr>
            <w:noProof/>
            <w:webHidden/>
          </w:rPr>
          <w:fldChar w:fldCharType="separate"/>
        </w:r>
        <w:r w:rsidR="0004016D">
          <w:rPr>
            <w:noProof/>
            <w:webHidden/>
          </w:rPr>
          <w:t>137</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400" w:history="1">
        <w:r w:rsidR="00836229" w:rsidRPr="00B75B77">
          <w:rPr>
            <w:rStyle w:val="Hyperlink"/>
            <w:noProof/>
          </w:rPr>
          <w:t>11.2.2 Gross Verified Savings Results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_Toc466413400 \h </w:instrText>
        </w:r>
        <w:r w:rsidR="00836229" w:rsidRPr="00B75B77">
          <w:rPr>
            <w:noProof/>
            <w:webHidden/>
          </w:rPr>
        </w:r>
        <w:r w:rsidR="00836229" w:rsidRPr="00B75B77">
          <w:rPr>
            <w:noProof/>
            <w:webHidden/>
          </w:rPr>
          <w:fldChar w:fldCharType="separate"/>
        </w:r>
        <w:r w:rsidR="0004016D">
          <w:rPr>
            <w:noProof/>
            <w:webHidden/>
          </w:rPr>
          <w:t>140</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401" w:history="1">
        <w:r w:rsidR="00836229" w:rsidRPr="00B75B77">
          <w:rPr>
            <w:rStyle w:val="Hyperlink"/>
            <w:noProof/>
          </w:rPr>
          <w:t>11.3 Impact Evaluation Net Savings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_Toc466413401 \h </w:instrText>
        </w:r>
        <w:r w:rsidR="00836229" w:rsidRPr="00B75B77">
          <w:rPr>
            <w:noProof/>
            <w:webHidden/>
          </w:rPr>
        </w:r>
        <w:r w:rsidR="00836229" w:rsidRPr="00B75B77">
          <w:rPr>
            <w:noProof/>
            <w:webHidden/>
          </w:rPr>
          <w:fldChar w:fldCharType="separate"/>
        </w:r>
        <w:r w:rsidR="0004016D">
          <w:rPr>
            <w:noProof/>
            <w:webHidden/>
          </w:rPr>
          <w:t>141</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402" w:history="1">
        <w:r w:rsidR="00836229" w:rsidRPr="00B75B77">
          <w:rPr>
            <w:rStyle w:val="Hyperlink"/>
            <w:noProof/>
          </w:rPr>
          <w:t>11.3.1 Net Verified Savings Methodology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_Toc466413402 \h </w:instrText>
        </w:r>
        <w:r w:rsidR="00836229" w:rsidRPr="00B75B77">
          <w:rPr>
            <w:noProof/>
            <w:webHidden/>
          </w:rPr>
        </w:r>
        <w:r w:rsidR="00836229" w:rsidRPr="00B75B77">
          <w:rPr>
            <w:noProof/>
            <w:webHidden/>
          </w:rPr>
          <w:fldChar w:fldCharType="separate"/>
        </w:r>
        <w:r w:rsidR="0004016D">
          <w:rPr>
            <w:noProof/>
            <w:webHidden/>
          </w:rPr>
          <w:t>142</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403" w:history="1">
        <w:r w:rsidR="00836229" w:rsidRPr="00B75B77">
          <w:rPr>
            <w:rStyle w:val="Hyperlink"/>
            <w:noProof/>
          </w:rPr>
          <w:t>11.3.2 Net Verified Savings Results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_Toc466413403 \h </w:instrText>
        </w:r>
        <w:r w:rsidR="00836229" w:rsidRPr="00B75B77">
          <w:rPr>
            <w:noProof/>
            <w:webHidden/>
          </w:rPr>
        </w:r>
        <w:r w:rsidR="00836229" w:rsidRPr="00B75B77">
          <w:rPr>
            <w:noProof/>
            <w:webHidden/>
          </w:rPr>
          <w:fldChar w:fldCharType="separate"/>
        </w:r>
        <w:r w:rsidR="0004016D">
          <w:rPr>
            <w:noProof/>
            <w:webHidden/>
          </w:rPr>
          <w:t>146</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404" w:history="1">
        <w:r w:rsidR="00836229" w:rsidRPr="00B75B77">
          <w:rPr>
            <w:rStyle w:val="Hyperlink"/>
            <w:noProof/>
          </w:rPr>
          <w:t>11.4 Process Evaluation</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_Toc466413404 \h </w:instrText>
        </w:r>
        <w:r w:rsidR="00836229" w:rsidRPr="00B75B77">
          <w:rPr>
            <w:noProof/>
            <w:webHidden/>
          </w:rPr>
        </w:r>
        <w:r w:rsidR="00836229" w:rsidRPr="00B75B77">
          <w:rPr>
            <w:noProof/>
            <w:webHidden/>
          </w:rPr>
          <w:fldChar w:fldCharType="separate"/>
        </w:r>
        <w:r w:rsidR="0004016D">
          <w:rPr>
            <w:noProof/>
            <w:webHidden/>
          </w:rPr>
          <w:t>147</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405" w:history="1">
        <w:r w:rsidR="00836229" w:rsidRPr="00B75B77">
          <w:rPr>
            <w:rStyle w:val="Hyperlink"/>
            <w:noProof/>
          </w:rPr>
          <w:t>11.4.1 Process Evaluation Methodology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_Toc466413405 \h </w:instrText>
        </w:r>
        <w:r w:rsidR="00836229" w:rsidRPr="00B75B77">
          <w:rPr>
            <w:noProof/>
            <w:webHidden/>
          </w:rPr>
        </w:r>
        <w:r w:rsidR="00836229" w:rsidRPr="00B75B77">
          <w:rPr>
            <w:noProof/>
            <w:webHidden/>
          </w:rPr>
          <w:fldChar w:fldCharType="separate"/>
        </w:r>
        <w:r w:rsidR="0004016D">
          <w:rPr>
            <w:noProof/>
            <w:webHidden/>
          </w:rPr>
          <w:t>147</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406" w:history="1">
        <w:r w:rsidR="00836229" w:rsidRPr="00B75B77">
          <w:rPr>
            <w:rStyle w:val="Hyperlink"/>
            <w:noProof/>
          </w:rPr>
          <w:t>11.4.2 Process Evaluation Results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_Toc466413406 \h </w:instrText>
        </w:r>
        <w:r w:rsidR="00836229" w:rsidRPr="00B75B77">
          <w:rPr>
            <w:noProof/>
            <w:webHidden/>
          </w:rPr>
        </w:r>
        <w:r w:rsidR="00836229" w:rsidRPr="00B75B77">
          <w:rPr>
            <w:noProof/>
            <w:webHidden/>
          </w:rPr>
          <w:fldChar w:fldCharType="separate"/>
        </w:r>
        <w:r w:rsidR="0004016D">
          <w:rPr>
            <w:noProof/>
            <w:webHidden/>
          </w:rPr>
          <w:t>147</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407" w:history="1">
        <w:r w:rsidR="00836229" w:rsidRPr="00B75B77">
          <w:rPr>
            <w:rStyle w:val="Hyperlink"/>
            <w:noProof/>
          </w:rPr>
          <w:t>11.5 Status of Recommendations for Program</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_Toc466413407 \h </w:instrText>
        </w:r>
        <w:r w:rsidR="00836229" w:rsidRPr="00B75B77">
          <w:rPr>
            <w:noProof/>
            <w:webHidden/>
          </w:rPr>
        </w:r>
        <w:r w:rsidR="00836229" w:rsidRPr="00B75B77">
          <w:rPr>
            <w:noProof/>
            <w:webHidden/>
          </w:rPr>
          <w:fldChar w:fldCharType="separate"/>
        </w:r>
        <w:r w:rsidR="0004016D">
          <w:rPr>
            <w:noProof/>
            <w:webHidden/>
          </w:rPr>
          <w:t>149</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408" w:history="1">
        <w:r w:rsidR="00836229" w:rsidRPr="00B75B77">
          <w:rPr>
            <w:rStyle w:val="Hyperlink"/>
            <w:noProof/>
          </w:rPr>
          <w:t>11.6 Financial Reporting</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_Toc466413408 \h </w:instrText>
        </w:r>
        <w:r w:rsidR="00836229" w:rsidRPr="00B75B77">
          <w:rPr>
            <w:noProof/>
            <w:webHidden/>
          </w:rPr>
        </w:r>
        <w:r w:rsidR="00836229" w:rsidRPr="00B75B77">
          <w:rPr>
            <w:noProof/>
            <w:webHidden/>
          </w:rPr>
          <w:fldChar w:fldCharType="separate"/>
        </w:r>
        <w:r w:rsidR="0004016D">
          <w:rPr>
            <w:noProof/>
            <w:webHidden/>
          </w:rPr>
          <w:t>150</w:t>
        </w:r>
        <w:r w:rsidR="00836229" w:rsidRPr="00B75B77">
          <w:rPr>
            <w:noProof/>
            <w:webHidden/>
          </w:rPr>
          <w:fldChar w:fldCharType="end"/>
        </w:r>
      </w:hyperlink>
    </w:p>
    <w:p w:rsidR="00836229" w:rsidRPr="00B75B77" w:rsidRDefault="00237810">
      <w:pPr>
        <w:pStyle w:val="TOC1"/>
        <w:rPr>
          <w:rFonts w:asciiTheme="minorHAnsi" w:eastAsiaTheme="minorEastAsia" w:hAnsiTheme="minorHAnsi" w:cstheme="minorBidi"/>
          <w:b w:val="0"/>
          <w:bCs w:val="0"/>
          <w:smallCaps w:val="0"/>
          <w:noProof/>
          <w:szCs w:val="22"/>
        </w:rPr>
      </w:pPr>
      <w:hyperlink w:anchor="_Toc466413409" w:history="1">
        <w:r w:rsidR="00836229" w:rsidRPr="00B75B77">
          <w:rPr>
            <w:rStyle w:val="Hyperlink"/>
            <w:rFonts w:ascii="Britannic Bold" w:hAnsi="Britannic Bold"/>
            <w:noProof/>
          </w:rPr>
          <w:t>12.</w:t>
        </w:r>
        <w:r w:rsidR="00836229" w:rsidRPr="00B75B77">
          <w:rPr>
            <w:rStyle w:val="Hyperlink"/>
            <w:noProof/>
          </w:rPr>
          <w:t xml:space="preserve"> Smart Equipment Incentives: GNI</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_Toc466413409 \h </w:instrText>
        </w:r>
        <w:r w:rsidR="00836229" w:rsidRPr="00B75B77">
          <w:rPr>
            <w:noProof/>
            <w:webHidden/>
          </w:rPr>
        </w:r>
        <w:r w:rsidR="00836229" w:rsidRPr="00B75B77">
          <w:rPr>
            <w:noProof/>
            <w:webHidden/>
          </w:rPr>
          <w:fldChar w:fldCharType="separate"/>
        </w:r>
        <w:r w:rsidR="0004016D">
          <w:rPr>
            <w:noProof/>
            <w:webHidden/>
          </w:rPr>
          <w:t>151</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410" w:history="1">
        <w:r w:rsidR="00836229" w:rsidRPr="00B75B77">
          <w:rPr>
            <w:rStyle w:val="Hyperlink"/>
            <w:noProof/>
          </w:rPr>
          <w:t>12.1 Program Updates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_Toc466413410 \h </w:instrText>
        </w:r>
        <w:r w:rsidR="00836229" w:rsidRPr="00B75B77">
          <w:rPr>
            <w:noProof/>
            <w:webHidden/>
          </w:rPr>
        </w:r>
        <w:r w:rsidR="00836229" w:rsidRPr="00B75B77">
          <w:rPr>
            <w:noProof/>
            <w:webHidden/>
          </w:rPr>
          <w:fldChar w:fldCharType="separate"/>
        </w:r>
        <w:r w:rsidR="0004016D">
          <w:rPr>
            <w:noProof/>
            <w:webHidden/>
          </w:rPr>
          <w:t>151</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411" w:history="1">
        <w:r w:rsidR="00836229" w:rsidRPr="00B75B77">
          <w:rPr>
            <w:rStyle w:val="Hyperlink"/>
            <w:noProof/>
          </w:rPr>
          <w:t>12.1.1 Definition of Participant</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_Toc466413411 \h </w:instrText>
        </w:r>
        <w:r w:rsidR="00836229" w:rsidRPr="00B75B77">
          <w:rPr>
            <w:noProof/>
            <w:webHidden/>
          </w:rPr>
        </w:r>
        <w:r w:rsidR="00836229" w:rsidRPr="00B75B77">
          <w:rPr>
            <w:noProof/>
            <w:webHidden/>
          </w:rPr>
          <w:fldChar w:fldCharType="separate"/>
        </w:r>
        <w:r w:rsidR="0004016D">
          <w:rPr>
            <w:noProof/>
            <w:webHidden/>
          </w:rPr>
          <w:t>151</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412" w:history="1">
        <w:r w:rsidR="00836229" w:rsidRPr="00B75B77">
          <w:rPr>
            <w:rStyle w:val="Hyperlink"/>
            <w:noProof/>
          </w:rPr>
          <w:t>12.2 Impact Evaluation Gross Savings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_Toc466413412 \h </w:instrText>
        </w:r>
        <w:r w:rsidR="00836229" w:rsidRPr="00B75B77">
          <w:rPr>
            <w:noProof/>
            <w:webHidden/>
          </w:rPr>
        </w:r>
        <w:r w:rsidR="00836229" w:rsidRPr="00B75B77">
          <w:rPr>
            <w:noProof/>
            <w:webHidden/>
          </w:rPr>
          <w:fldChar w:fldCharType="separate"/>
        </w:r>
        <w:r w:rsidR="0004016D">
          <w:rPr>
            <w:noProof/>
            <w:webHidden/>
          </w:rPr>
          <w:t>152</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413" w:history="1">
        <w:r w:rsidR="00836229" w:rsidRPr="00B75B77">
          <w:rPr>
            <w:rStyle w:val="Hyperlink"/>
            <w:noProof/>
          </w:rPr>
          <w:t>12.2.1 Gross Verified Savings Methodology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_Toc466413413 \h </w:instrText>
        </w:r>
        <w:r w:rsidR="00836229" w:rsidRPr="00B75B77">
          <w:rPr>
            <w:noProof/>
            <w:webHidden/>
          </w:rPr>
        </w:r>
        <w:r w:rsidR="00836229" w:rsidRPr="00B75B77">
          <w:rPr>
            <w:noProof/>
            <w:webHidden/>
          </w:rPr>
          <w:fldChar w:fldCharType="separate"/>
        </w:r>
        <w:r w:rsidR="0004016D">
          <w:rPr>
            <w:noProof/>
            <w:webHidden/>
          </w:rPr>
          <w:t>152</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414" w:history="1">
        <w:r w:rsidR="00836229" w:rsidRPr="00B75B77">
          <w:rPr>
            <w:rStyle w:val="Hyperlink"/>
            <w:noProof/>
          </w:rPr>
          <w:t>12.2.2 Gross Verified Savings Results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_Toc466413414 \h </w:instrText>
        </w:r>
        <w:r w:rsidR="00836229" w:rsidRPr="00B75B77">
          <w:rPr>
            <w:noProof/>
            <w:webHidden/>
          </w:rPr>
        </w:r>
        <w:r w:rsidR="00836229" w:rsidRPr="00B75B77">
          <w:rPr>
            <w:noProof/>
            <w:webHidden/>
          </w:rPr>
          <w:fldChar w:fldCharType="separate"/>
        </w:r>
        <w:r w:rsidR="0004016D">
          <w:rPr>
            <w:noProof/>
            <w:webHidden/>
          </w:rPr>
          <w:t>155</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415" w:history="1">
        <w:r w:rsidR="00836229" w:rsidRPr="00B75B77">
          <w:rPr>
            <w:rStyle w:val="Hyperlink"/>
            <w:noProof/>
          </w:rPr>
          <w:t>12.3 Impact Evaluation Net Savings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_Toc466413415 \h </w:instrText>
        </w:r>
        <w:r w:rsidR="00836229" w:rsidRPr="00B75B77">
          <w:rPr>
            <w:noProof/>
            <w:webHidden/>
          </w:rPr>
        </w:r>
        <w:r w:rsidR="00836229" w:rsidRPr="00B75B77">
          <w:rPr>
            <w:noProof/>
            <w:webHidden/>
          </w:rPr>
          <w:fldChar w:fldCharType="separate"/>
        </w:r>
        <w:r w:rsidR="0004016D">
          <w:rPr>
            <w:noProof/>
            <w:webHidden/>
          </w:rPr>
          <w:t>156</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416" w:history="1">
        <w:r w:rsidR="00836229" w:rsidRPr="00B75B77">
          <w:rPr>
            <w:rStyle w:val="Hyperlink"/>
            <w:noProof/>
          </w:rPr>
          <w:t>12.3.1 Net Verified Savings Methodology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_Toc466413416 \h </w:instrText>
        </w:r>
        <w:r w:rsidR="00836229" w:rsidRPr="00B75B77">
          <w:rPr>
            <w:noProof/>
            <w:webHidden/>
          </w:rPr>
        </w:r>
        <w:r w:rsidR="00836229" w:rsidRPr="00B75B77">
          <w:rPr>
            <w:noProof/>
            <w:webHidden/>
          </w:rPr>
          <w:fldChar w:fldCharType="separate"/>
        </w:r>
        <w:r w:rsidR="0004016D">
          <w:rPr>
            <w:noProof/>
            <w:webHidden/>
          </w:rPr>
          <w:t>156</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417" w:history="1">
        <w:r w:rsidR="00836229" w:rsidRPr="00B75B77">
          <w:rPr>
            <w:rStyle w:val="Hyperlink"/>
            <w:noProof/>
          </w:rPr>
          <w:t>12.3.2 Net Verified Savings Results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_Toc466413417 \h </w:instrText>
        </w:r>
        <w:r w:rsidR="00836229" w:rsidRPr="00B75B77">
          <w:rPr>
            <w:noProof/>
            <w:webHidden/>
          </w:rPr>
        </w:r>
        <w:r w:rsidR="00836229" w:rsidRPr="00B75B77">
          <w:rPr>
            <w:noProof/>
            <w:webHidden/>
          </w:rPr>
          <w:fldChar w:fldCharType="separate"/>
        </w:r>
        <w:r w:rsidR="0004016D">
          <w:rPr>
            <w:noProof/>
            <w:webHidden/>
          </w:rPr>
          <w:t>161</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418" w:history="1">
        <w:r w:rsidR="00836229" w:rsidRPr="00B75B77">
          <w:rPr>
            <w:rStyle w:val="Hyperlink"/>
            <w:noProof/>
          </w:rPr>
          <w:t>12.4 Process Evaluation</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_Toc466413418 \h </w:instrText>
        </w:r>
        <w:r w:rsidR="00836229" w:rsidRPr="00B75B77">
          <w:rPr>
            <w:noProof/>
            <w:webHidden/>
          </w:rPr>
        </w:r>
        <w:r w:rsidR="00836229" w:rsidRPr="00B75B77">
          <w:rPr>
            <w:noProof/>
            <w:webHidden/>
          </w:rPr>
          <w:fldChar w:fldCharType="separate"/>
        </w:r>
        <w:r w:rsidR="0004016D">
          <w:rPr>
            <w:noProof/>
            <w:webHidden/>
          </w:rPr>
          <w:t>162</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419" w:history="1">
        <w:r w:rsidR="00836229" w:rsidRPr="00B75B77">
          <w:rPr>
            <w:rStyle w:val="Hyperlink"/>
            <w:noProof/>
          </w:rPr>
          <w:t>12.4.1 Process Evaluation Methodology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_Toc466413419 \h </w:instrText>
        </w:r>
        <w:r w:rsidR="00836229" w:rsidRPr="00B75B77">
          <w:rPr>
            <w:noProof/>
            <w:webHidden/>
          </w:rPr>
        </w:r>
        <w:r w:rsidR="00836229" w:rsidRPr="00B75B77">
          <w:rPr>
            <w:noProof/>
            <w:webHidden/>
          </w:rPr>
          <w:fldChar w:fldCharType="separate"/>
        </w:r>
        <w:r w:rsidR="0004016D">
          <w:rPr>
            <w:noProof/>
            <w:webHidden/>
          </w:rPr>
          <w:t>162</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420" w:history="1">
        <w:r w:rsidR="00836229" w:rsidRPr="00B75B77">
          <w:rPr>
            <w:rStyle w:val="Hyperlink"/>
            <w:noProof/>
          </w:rPr>
          <w:t>12.4.2 Process Evaluation Results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_Toc466413420 \h </w:instrText>
        </w:r>
        <w:r w:rsidR="00836229" w:rsidRPr="00B75B77">
          <w:rPr>
            <w:noProof/>
            <w:webHidden/>
          </w:rPr>
        </w:r>
        <w:r w:rsidR="00836229" w:rsidRPr="00B75B77">
          <w:rPr>
            <w:noProof/>
            <w:webHidden/>
          </w:rPr>
          <w:fldChar w:fldCharType="separate"/>
        </w:r>
        <w:r w:rsidR="0004016D">
          <w:rPr>
            <w:noProof/>
            <w:webHidden/>
          </w:rPr>
          <w:t>162</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421" w:history="1">
        <w:r w:rsidR="00836229" w:rsidRPr="00B75B77">
          <w:rPr>
            <w:rStyle w:val="Hyperlink"/>
            <w:noProof/>
          </w:rPr>
          <w:t>12.5 Status of Recommendations for Program</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_Toc466413421 \h </w:instrText>
        </w:r>
        <w:r w:rsidR="00836229" w:rsidRPr="00B75B77">
          <w:rPr>
            <w:noProof/>
            <w:webHidden/>
          </w:rPr>
        </w:r>
        <w:r w:rsidR="00836229" w:rsidRPr="00B75B77">
          <w:rPr>
            <w:noProof/>
            <w:webHidden/>
          </w:rPr>
          <w:fldChar w:fldCharType="separate"/>
        </w:r>
        <w:r w:rsidR="0004016D">
          <w:rPr>
            <w:noProof/>
            <w:webHidden/>
          </w:rPr>
          <w:t>164</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422" w:history="1">
        <w:r w:rsidR="00836229" w:rsidRPr="00B75B77">
          <w:rPr>
            <w:rStyle w:val="Hyperlink"/>
            <w:noProof/>
          </w:rPr>
          <w:t>12.6 Financial Reporting</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_Toc466413422 \h </w:instrText>
        </w:r>
        <w:r w:rsidR="00836229" w:rsidRPr="00B75B77">
          <w:rPr>
            <w:noProof/>
            <w:webHidden/>
          </w:rPr>
        </w:r>
        <w:r w:rsidR="00836229" w:rsidRPr="00B75B77">
          <w:rPr>
            <w:noProof/>
            <w:webHidden/>
          </w:rPr>
          <w:fldChar w:fldCharType="separate"/>
        </w:r>
        <w:r w:rsidR="0004016D">
          <w:rPr>
            <w:noProof/>
            <w:webHidden/>
          </w:rPr>
          <w:t>165</w:t>
        </w:r>
        <w:r w:rsidR="00836229" w:rsidRPr="00B75B77">
          <w:rPr>
            <w:noProof/>
            <w:webHidden/>
          </w:rPr>
          <w:fldChar w:fldCharType="end"/>
        </w:r>
      </w:hyperlink>
    </w:p>
    <w:p w:rsidR="00836229" w:rsidRPr="00B75B77" w:rsidRDefault="00237810">
      <w:pPr>
        <w:pStyle w:val="TOC1"/>
        <w:rPr>
          <w:rFonts w:asciiTheme="minorHAnsi" w:eastAsiaTheme="minorEastAsia" w:hAnsiTheme="minorHAnsi" w:cstheme="minorBidi"/>
          <w:b w:val="0"/>
          <w:bCs w:val="0"/>
          <w:smallCaps w:val="0"/>
          <w:noProof/>
          <w:szCs w:val="22"/>
        </w:rPr>
      </w:pPr>
      <w:hyperlink w:anchor="_Toc466413423" w:history="1">
        <w:r w:rsidR="00836229" w:rsidRPr="00B75B77">
          <w:rPr>
            <w:rStyle w:val="Hyperlink"/>
            <w:rFonts w:ascii="Britannic Bold" w:hAnsi="Britannic Bold"/>
            <w:noProof/>
          </w:rPr>
          <w:t>13.</w:t>
        </w:r>
        <w:r w:rsidR="00836229" w:rsidRPr="00B75B77">
          <w:rPr>
            <w:rStyle w:val="Hyperlink"/>
            <w:noProof/>
          </w:rPr>
          <w:t xml:space="preserve"> Smart Construction Incentives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_Toc466413423 \h </w:instrText>
        </w:r>
        <w:r w:rsidR="00836229" w:rsidRPr="00B75B77">
          <w:rPr>
            <w:noProof/>
            <w:webHidden/>
          </w:rPr>
        </w:r>
        <w:r w:rsidR="00836229" w:rsidRPr="00B75B77">
          <w:rPr>
            <w:noProof/>
            <w:webHidden/>
          </w:rPr>
          <w:fldChar w:fldCharType="separate"/>
        </w:r>
        <w:r w:rsidR="0004016D">
          <w:rPr>
            <w:noProof/>
            <w:webHidden/>
          </w:rPr>
          <w:t>166</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424" w:history="1">
        <w:r w:rsidR="00836229" w:rsidRPr="00B75B77">
          <w:rPr>
            <w:rStyle w:val="Hyperlink"/>
            <w:noProof/>
          </w:rPr>
          <w:t>13.1 Program Updates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_Toc466413424 \h </w:instrText>
        </w:r>
        <w:r w:rsidR="00836229" w:rsidRPr="00B75B77">
          <w:rPr>
            <w:noProof/>
            <w:webHidden/>
          </w:rPr>
        </w:r>
        <w:r w:rsidR="00836229" w:rsidRPr="00B75B77">
          <w:rPr>
            <w:noProof/>
            <w:webHidden/>
          </w:rPr>
          <w:fldChar w:fldCharType="separate"/>
        </w:r>
        <w:r w:rsidR="0004016D">
          <w:rPr>
            <w:noProof/>
            <w:webHidden/>
          </w:rPr>
          <w:t>166</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425" w:history="1">
        <w:r w:rsidR="00836229" w:rsidRPr="00B75B77">
          <w:rPr>
            <w:rStyle w:val="Hyperlink"/>
            <w:noProof/>
          </w:rPr>
          <w:t>13.1.1 Definition of Participant</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_Toc466413425 \h </w:instrText>
        </w:r>
        <w:r w:rsidR="00836229" w:rsidRPr="00B75B77">
          <w:rPr>
            <w:noProof/>
            <w:webHidden/>
          </w:rPr>
        </w:r>
        <w:r w:rsidR="00836229" w:rsidRPr="00B75B77">
          <w:rPr>
            <w:noProof/>
            <w:webHidden/>
          </w:rPr>
          <w:fldChar w:fldCharType="separate"/>
        </w:r>
        <w:r w:rsidR="0004016D">
          <w:rPr>
            <w:noProof/>
            <w:webHidden/>
          </w:rPr>
          <w:t>166</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426" w:history="1">
        <w:r w:rsidR="00836229" w:rsidRPr="00B75B77">
          <w:rPr>
            <w:rStyle w:val="Hyperlink"/>
            <w:noProof/>
          </w:rPr>
          <w:t>13.2 Impact Evaluation Gross Savings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_Toc466413426 \h </w:instrText>
        </w:r>
        <w:r w:rsidR="00836229" w:rsidRPr="00B75B77">
          <w:rPr>
            <w:noProof/>
            <w:webHidden/>
          </w:rPr>
        </w:r>
        <w:r w:rsidR="00836229" w:rsidRPr="00B75B77">
          <w:rPr>
            <w:noProof/>
            <w:webHidden/>
          </w:rPr>
          <w:fldChar w:fldCharType="separate"/>
        </w:r>
        <w:r w:rsidR="0004016D">
          <w:rPr>
            <w:noProof/>
            <w:webHidden/>
          </w:rPr>
          <w:t>166</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427" w:history="1">
        <w:r w:rsidR="00836229" w:rsidRPr="00B75B77">
          <w:rPr>
            <w:rStyle w:val="Hyperlink"/>
            <w:noProof/>
          </w:rPr>
          <w:t>13.2.1 Gross Verified Savings Methodology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_Toc466413427 \h </w:instrText>
        </w:r>
        <w:r w:rsidR="00836229" w:rsidRPr="00B75B77">
          <w:rPr>
            <w:noProof/>
            <w:webHidden/>
          </w:rPr>
        </w:r>
        <w:r w:rsidR="00836229" w:rsidRPr="00B75B77">
          <w:rPr>
            <w:noProof/>
            <w:webHidden/>
          </w:rPr>
          <w:fldChar w:fldCharType="separate"/>
        </w:r>
        <w:r w:rsidR="0004016D">
          <w:rPr>
            <w:noProof/>
            <w:webHidden/>
          </w:rPr>
          <w:t>167</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428" w:history="1">
        <w:r w:rsidR="00836229" w:rsidRPr="00B75B77">
          <w:rPr>
            <w:rStyle w:val="Hyperlink"/>
            <w:noProof/>
          </w:rPr>
          <w:t>13.2.2 Gross Verified Savings Results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_Toc466413428 \h </w:instrText>
        </w:r>
        <w:r w:rsidR="00836229" w:rsidRPr="00B75B77">
          <w:rPr>
            <w:noProof/>
            <w:webHidden/>
          </w:rPr>
        </w:r>
        <w:r w:rsidR="00836229" w:rsidRPr="00B75B77">
          <w:rPr>
            <w:noProof/>
            <w:webHidden/>
          </w:rPr>
          <w:fldChar w:fldCharType="separate"/>
        </w:r>
        <w:r w:rsidR="0004016D">
          <w:rPr>
            <w:noProof/>
            <w:webHidden/>
          </w:rPr>
          <w:t>169</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429" w:history="1">
        <w:r w:rsidR="00836229" w:rsidRPr="00B75B77">
          <w:rPr>
            <w:rStyle w:val="Hyperlink"/>
            <w:noProof/>
          </w:rPr>
          <w:t>13.3 Impact Evaluation Net Savings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_Toc466413429 \h </w:instrText>
        </w:r>
        <w:r w:rsidR="00836229" w:rsidRPr="00B75B77">
          <w:rPr>
            <w:noProof/>
            <w:webHidden/>
          </w:rPr>
        </w:r>
        <w:r w:rsidR="00836229" w:rsidRPr="00B75B77">
          <w:rPr>
            <w:noProof/>
            <w:webHidden/>
          </w:rPr>
          <w:fldChar w:fldCharType="separate"/>
        </w:r>
        <w:r w:rsidR="0004016D">
          <w:rPr>
            <w:noProof/>
            <w:webHidden/>
          </w:rPr>
          <w:t>171</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430" w:history="1">
        <w:r w:rsidR="00836229" w:rsidRPr="00B75B77">
          <w:rPr>
            <w:rStyle w:val="Hyperlink"/>
            <w:noProof/>
          </w:rPr>
          <w:t>13.3.1 Net Verified Savings Results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_Toc466413430 \h </w:instrText>
        </w:r>
        <w:r w:rsidR="00836229" w:rsidRPr="00B75B77">
          <w:rPr>
            <w:noProof/>
            <w:webHidden/>
          </w:rPr>
        </w:r>
        <w:r w:rsidR="00836229" w:rsidRPr="00B75B77">
          <w:rPr>
            <w:noProof/>
            <w:webHidden/>
          </w:rPr>
          <w:fldChar w:fldCharType="separate"/>
        </w:r>
        <w:r w:rsidR="0004016D">
          <w:rPr>
            <w:noProof/>
            <w:webHidden/>
          </w:rPr>
          <w:t>172</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431" w:history="1">
        <w:r w:rsidR="00836229" w:rsidRPr="00B75B77">
          <w:rPr>
            <w:rStyle w:val="Hyperlink"/>
            <w:noProof/>
          </w:rPr>
          <w:t>13.4 Process Evaluation</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_Toc466413431 \h </w:instrText>
        </w:r>
        <w:r w:rsidR="00836229" w:rsidRPr="00B75B77">
          <w:rPr>
            <w:noProof/>
            <w:webHidden/>
          </w:rPr>
        </w:r>
        <w:r w:rsidR="00836229" w:rsidRPr="00B75B77">
          <w:rPr>
            <w:noProof/>
            <w:webHidden/>
          </w:rPr>
          <w:fldChar w:fldCharType="separate"/>
        </w:r>
        <w:r w:rsidR="0004016D">
          <w:rPr>
            <w:noProof/>
            <w:webHidden/>
          </w:rPr>
          <w:t>172</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432" w:history="1">
        <w:r w:rsidR="00836229" w:rsidRPr="00B75B77">
          <w:rPr>
            <w:rStyle w:val="Hyperlink"/>
            <w:noProof/>
          </w:rPr>
          <w:t>13.4.1 Process Evaluation Methodology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_Toc466413432 \h </w:instrText>
        </w:r>
        <w:r w:rsidR="00836229" w:rsidRPr="00B75B77">
          <w:rPr>
            <w:noProof/>
            <w:webHidden/>
          </w:rPr>
        </w:r>
        <w:r w:rsidR="00836229" w:rsidRPr="00B75B77">
          <w:rPr>
            <w:noProof/>
            <w:webHidden/>
          </w:rPr>
          <w:fldChar w:fldCharType="separate"/>
        </w:r>
        <w:r w:rsidR="0004016D">
          <w:rPr>
            <w:noProof/>
            <w:webHidden/>
          </w:rPr>
          <w:t>172</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433" w:history="1">
        <w:r w:rsidR="00836229" w:rsidRPr="00B75B77">
          <w:rPr>
            <w:rStyle w:val="Hyperlink"/>
            <w:noProof/>
          </w:rPr>
          <w:t>13.4.2 Process Findings and Recommendations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_Toc466413433 \h </w:instrText>
        </w:r>
        <w:r w:rsidR="00836229" w:rsidRPr="00B75B77">
          <w:rPr>
            <w:noProof/>
            <w:webHidden/>
          </w:rPr>
        </w:r>
        <w:r w:rsidR="00836229" w:rsidRPr="00B75B77">
          <w:rPr>
            <w:noProof/>
            <w:webHidden/>
          </w:rPr>
          <w:fldChar w:fldCharType="separate"/>
        </w:r>
        <w:r w:rsidR="0004016D">
          <w:rPr>
            <w:noProof/>
            <w:webHidden/>
          </w:rPr>
          <w:t>173</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434" w:history="1">
        <w:r w:rsidR="00836229" w:rsidRPr="00B75B77">
          <w:rPr>
            <w:rStyle w:val="Hyperlink"/>
            <w:noProof/>
          </w:rPr>
          <w:t>13.5 Status of Recommendations for Plug-in</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_Toc466413434 \h </w:instrText>
        </w:r>
        <w:r w:rsidR="00836229" w:rsidRPr="00B75B77">
          <w:rPr>
            <w:noProof/>
            <w:webHidden/>
          </w:rPr>
        </w:r>
        <w:r w:rsidR="00836229" w:rsidRPr="00B75B77">
          <w:rPr>
            <w:noProof/>
            <w:webHidden/>
          </w:rPr>
          <w:fldChar w:fldCharType="separate"/>
        </w:r>
        <w:r w:rsidR="0004016D">
          <w:rPr>
            <w:noProof/>
            <w:webHidden/>
          </w:rPr>
          <w:t>175</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435" w:history="1">
        <w:r w:rsidR="00836229" w:rsidRPr="00B75B77">
          <w:rPr>
            <w:rStyle w:val="Hyperlink"/>
            <w:noProof/>
          </w:rPr>
          <w:t>13.6 Financial Reporting</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_Toc466413435 \h </w:instrText>
        </w:r>
        <w:r w:rsidR="00836229" w:rsidRPr="00B75B77">
          <w:rPr>
            <w:noProof/>
            <w:webHidden/>
          </w:rPr>
        </w:r>
        <w:r w:rsidR="00836229" w:rsidRPr="00B75B77">
          <w:rPr>
            <w:noProof/>
            <w:webHidden/>
          </w:rPr>
          <w:fldChar w:fldCharType="separate"/>
        </w:r>
        <w:r w:rsidR="0004016D">
          <w:rPr>
            <w:noProof/>
            <w:webHidden/>
          </w:rPr>
          <w:t>175</w:t>
        </w:r>
        <w:r w:rsidR="00836229" w:rsidRPr="00B75B77">
          <w:rPr>
            <w:noProof/>
            <w:webHidden/>
          </w:rPr>
          <w:fldChar w:fldCharType="end"/>
        </w:r>
      </w:hyperlink>
    </w:p>
    <w:p w:rsidR="00836229" w:rsidRPr="00B75B77" w:rsidRDefault="00237810">
      <w:pPr>
        <w:pStyle w:val="TOC1"/>
        <w:rPr>
          <w:rFonts w:asciiTheme="minorHAnsi" w:eastAsiaTheme="minorEastAsia" w:hAnsiTheme="minorHAnsi" w:cstheme="minorBidi"/>
          <w:b w:val="0"/>
          <w:bCs w:val="0"/>
          <w:smallCaps w:val="0"/>
          <w:noProof/>
          <w:szCs w:val="22"/>
        </w:rPr>
      </w:pPr>
      <w:hyperlink w:anchor="_Toc466413436" w:history="1">
        <w:r w:rsidR="00836229" w:rsidRPr="00B75B77">
          <w:rPr>
            <w:rStyle w:val="Hyperlink"/>
            <w:rFonts w:ascii="Britannic Bold" w:hAnsi="Britannic Bold"/>
            <w:noProof/>
          </w:rPr>
          <w:t>14.</w:t>
        </w:r>
        <w:r w:rsidR="00836229" w:rsidRPr="00B75B77">
          <w:rPr>
            <w:rStyle w:val="Hyperlink"/>
            <w:noProof/>
          </w:rPr>
          <w:t xml:space="preserve"> Smart Multi-Family Solutions Program</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_Toc466413436 \h </w:instrText>
        </w:r>
        <w:r w:rsidR="00836229" w:rsidRPr="00B75B77">
          <w:rPr>
            <w:noProof/>
            <w:webHidden/>
          </w:rPr>
        </w:r>
        <w:r w:rsidR="00836229" w:rsidRPr="00B75B77">
          <w:rPr>
            <w:noProof/>
            <w:webHidden/>
          </w:rPr>
          <w:fldChar w:fldCharType="separate"/>
        </w:r>
        <w:r w:rsidR="0004016D">
          <w:rPr>
            <w:noProof/>
            <w:webHidden/>
          </w:rPr>
          <w:t>177</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437" w:history="1">
        <w:r w:rsidR="00836229" w:rsidRPr="00B75B77">
          <w:rPr>
            <w:rStyle w:val="Hyperlink"/>
            <w:noProof/>
          </w:rPr>
          <w:t>14.1 Program Updates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_Toc466413437 \h </w:instrText>
        </w:r>
        <w:r w:rsidR="00836229" w:rsidRPr="00B75B77">
          <w:rPr>
            <w:noProof/>
            <w:webHidden/>
          </w:rPr>
        </w:r>
        <w:r w:rsidR="00836229" w:rsidRPr="00B75B77">
          <w:rPr>
            <w:noProof/>
            <w:webHidden/>
          </w:rPr>
          <w:fldChar w:fldCharType="separate"/>
        </w:r>
        <w:r w:rsidR="0004016D">
          <w:rPr>
            <w:noProof/>
            <w:webHidden/>
          </w:rPr>
          <w:t>177</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438" w:history="1">
        <w:r w:rsidR="00836229" w:rsidRPr="00B75B77">
          <w:rPr>
            <w:rStyle w:val="Hyperlink"/>
            <w:noProof/>
          </w:rPr>
          <w:t>14.1.1 Definition of Participant</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_Toc466413438 \h </w:instrText>
        </w:r>
        <w:r w:rsidR="00836229" w:rsidRPr="00B75B77">
          <w:rPr>
            <w:noProof/>
            <w:webHidden/>
          </w:rPr>
        </w:r>
        <w:r w:rsidR="00836229" w:rsidRPr="00B75B77">
          <w:rPr>
            <w:noProof/>
            <w:webHidden/>
          </w:rPr>
          <w:fldChar w:fldCharType="separate"/>
        </w:r>
        <w:r w:rsidR="0004016D">
          <w:rPr>
            <w:noProof/>
            <w:webHidden/>
          </w:rPr>
          <w:t>177</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439" w:history="1">
        <w:r w:rsidR="00836229" w:rsidRPr="00B75B77">
          <w:rPr>
            <w:rStyle w:val="Hyperlink"/>
            <w:noProof/>
          </w:rPr>
          <w:t>14.2 Impact Evaluation Gross Savings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_Toc466413439 \h </w:instrText>
        </w:r>
        <w:r w:rsidR="00836229" w:rsidRPr="00B75B77">
          <w:rPr>
            <w:noProof/>
            <w:webHidden/>
          </w:rPr>
        </w:r>
        <w:r w:rsidR="00836229" w:rsidRPr="00B75B77">
          <w:rPr>
            <w:noProof/>
            <w:webHidden/>
          </w:rPr>
          <w:fldChar w:fldCharType="separate"/>
        </w:r>
        <w:r w:rsidR="0004016D">
          <w:rPr>
            <w:noProof/>
            <w:webHidden/>
          </w:rPr>
          <w:t>177</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440" w:history="1">
        <w:r w:rsidR="00836229" w:rsidRPr="00B75B77">
          <w:rPr>
            <w:rStyle w:val="Hyperlink"/>
            <w:noProof/>
          </w:rPr>
          <w:t>14.2.1 Gross Verified Savings Methodology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_Toc466413440 \h </w:instrText>
        </w:r>
        <w:r w:rsidR="00836229" w:rsidRPr="00B75B77">
          <w:rPr>
            <w:noProof/>
            <w:webHidden/>
          </w:rPr>
        </w:r>
        <w:r w:rsidR="00836229" w:rsidRPr="00B75B77">
          <w:rPr>
            <w:noProof/>
            <w:webHidden/>
          </w:rPr>
          <w:fldChar w:fldCharType="separate"/>
        </w:r>
        <w:r w:rsidR="0004016D">
          <w:rPr>
            <w:noProof/>
            <w:webHidden/>
          </w:rPr>
          <w:t>178</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441" w:history="1">
        <w:r w:rsidR="00836229" w:rsidRPr="00B75B77">
          <w:rPr>
            <w:rStyle w:val="Hyperlink"/>
            <w:noProof/>
          </w:rPr>
          <w:t>14.2.2 Gross Verified Savings Results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_Toc466413441 \h </w:instrText>
        </w:r>
        <w:r w:rsidR="00836229" w:rsidRPr="00B75B77">
          <w:rPr>
            <w:noProof/>
            <w:webHidden/>
          </w:rPr>
        </w:r>
        <w:r w:rsidR="00836229" w:rsidRPr="00B75B77">
          <w:rPr>
            <w:noProof/>
            <w:webHidden/>
          </w:rPr>
          <w:fldChar w:fldCharType="separate"/>
        </w:r>
        <w:r w:rsidR="0004016D">
          <w:rPr>
            <w:noProof/>
            <w:webHidden/>
          </w:rPr>
          <w:t>179</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442" w:history="1">
        <w:r w:rsidR="00836229" w:rsidRPr="00B75B77">
          <w:rPr>
            <w:rStyle w:val="Hyperlink"/>
            <w:noProof/>
          </w:rPr>
          <w:t>14.3 Impact Evaluation Net Savings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_Toc466413442 \h </w:instrText>
        </w:r>
        <w:r w:rsidR="00836229" w:rsidRPr="00B75B77">
          <w:rPr>
            <w:noProof/>
            <w:webHidden/>
          </w:rPr>
        </w:r>
        <w:r w:rsidR="00836229" w:rsidRPr="00B75B77">
          <w:rPr>
            <w:noProof/>
            <w:webHidden/>
          </w:rPr>
          <w:fldChar w:fldCharType="separate"/>
        </w:r>
        <w:r w:rsidR="0004016D">
          <w:rPr>
            <w:noProof/>
            <w:webHidden/>
          </w:rPr>
          <w:t>182</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443" w:history="1">
        <w:r w:rsidR="00836229" w:rsidRPr="00B75B77">
          <w:rPr>
            <w:rStyle w:val="Hyperlink"/>
            <w:noProof/>
          </w:rPr>
          <w:t>14.3.1 Net Verified Savings Methodology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_Toc466413443 \h </w:instrText>
        </w:r>
        <w:r w:rsidR="00836229" w:rsidRPr="00B75B77">
          <w:rPr>
            <w:noProof/>
            <w:webHidden/>
          </w:rPr>
        </w:r>
        <w:r w:rsidR="00836229" w:rsidRPr="00B75B77">
          <w:rPr>
            <w:noProof/>
            <w:webHidden/>
          </w:rPr>
          <w:fldChar w:fldCharType="separate"/>
        </w:r>
        <w:r w:rsidR="0004016D">
          <w:rPr>
            <w:noProof/>
            <w:webHidden/>
          </w:rPr>
          <w:t>183</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444" w:history="1">
        <w:r w:rsidR="00836229" w:rsidRPr="00B75B77">
          <w:rPr>
            <w:rStyle w:val="Hyperlink"/>
            <w:noProof/>
          </w:rPr>
          <w:t>14.3.2 Net Verified Savings Results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_Toc466413444 \h </w:instrText>
        </w:r>
        <w:r w:rsidR="00836229" w:rsidRPr="00B75B77">
          <w:rPr>
            <w:noProof/>
            <w:webHidden/>
          </w:rPr>
        </w:r>
        <w:r w:rsidR="00836229" w:rsidRPr="00B75B77">
          <w:rPr>
            <w:noProof/>
            <w:webHidden/>
          </w:rPr>
          <w:fldChar w:fldCharType="separate"/>
        </w:r>
        <w:r w:rsidR="0004016D">
          <w:rPr>
            <w:noProof/>
            <w:webHidden/>
          </w:rPr>
          <w:t>185</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445" w:history="1">
        <w:r w:rsidR="00836229" w:rsidRPr="00B75B77">
          <w:rPr>
            <w:rStyle w:val="Hyperlink"/>
            <w:noProof/>
          </w:rPr>
          <w:t>14.4 Process Evaluation</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_Toc466413445 \h </w:instrText>
        </w:r>
        <w:r w:rsidR="00836229" w:rsidRPr="00B75B77">
          <w:rPr>
            <w:noProof/>
            <w:webHidden/>
          </w:rPr>
        </w:r>
        <w:r w:rsidR="00836229" w:rsidRPr="00B75B77">
          <w:rPr>
            <w:noProof/>
            <w:webHidden/>
          </w:rPr>
          <w:fldChar w:fldCharType="separate"/>
        </w:r>
        <w:r w:rsidR="0004016D">
          <w:rPr>
            <w:noProof/>
            <w:webHidden/>
          </w:rPr>
          <w:t>186</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446" w:history="1">
        <w:r w:rsidR="00836229" w:rsidRPr="00B75B77">
          <w:rPr>
            <w:rStyle w:val="Hyperlink"/>
            <w:noProof/>
          </w:rPr>
          <w:t>14.4.1 Process Evaluation Methodology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_Toc466413446 \h </w:instrText>
        </w:r>
        <w:r w:rsidR="00836229" w:rsidRPr="00B75B77">
          <w:rPr>
            <w:noProof/>
            <w:webHidden/>
          </w:rPr>
        </w:r>
        <w:r w:rsidR="00836229" w:rsidRPr="00B75B77">
          <w:rPr>
            <w:noProof/>
            <w:webHidden/>
          </w:rPr>
          <w:fldChar w:fldCharType="separate"/>
        </w:r>
        <w:r w:rsidR="0004016D">
          <w:rPr>
            <w:noProof/>
            <w:webHidden/>
          </w:rPr>
          <w:t>186</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447" w:history="1">
        <w:r w:rsidR="00836229" w:rsidRPr="00B75B77">
          <w:rPr>
            <w:rStyle w:val="Hyperlink"/>
            <w:noProof/>
          </w:rPr>
          <w:t>14.4.2 Process Findings and Recommendations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_Toc466413447 \h </w:instrText>
        </w:r>
        <w:r w:rsidR="00836229" w:rsidRPr="00B75B77">
          <w:rPr>
            <w:noProof/>
            <w:webHidden/>
          </w:rPr>
        </w:r>
        <w:r w:rsidR="00836229" w:rsidRPr="00B75B77">
          <w:rPr>
            <w:noProof/>
            <w:webHidden/>
          </w:rPr>
          <w:fldChar w:fldCharType="separate"/>
        </w:r>
        <w:r w:rsidR="0004016D">
          <w:rPr>
            <w:noProof/>
            <w:webHidden/>
          </w:rPr>
          <w:t>187</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448" w:history="1">
        <w:r w:rsidR="00836229" w:rsidRPr="00B75B77">
          <w:rPr>
            <w:rStyle w:val="Hyperlink"/>
            <w:noProof/>
          </w:rPr>
          <w:t>14.5 Status of Recommendations for Program</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_Toc466413448 \h </w:instrText>
        </w:r>
        <w:r w:rsidR="00836229" w:rsidRPr="00B75B77">
          <w:rPr>
            <w:noProof/>
            <w:webHidden/>
          </w:rPr>
        </w:r>
        <w:r w:rsidR="00836229" w:rsidRPr="00B75B77">
          <w:rPr>
            <w:noProof/>
            <w:webHidden/>
          </w:rPr>
          <w:fldChar w:fldCharType="separate"/>
        </w:r>
        <w:r w:rsidR="0004016D">
          <w:rPr>
            <w:noProof/>
            <w:webHidden/>
          </w:rPr>
          <w:t>190</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449" w:history="1">
        <w:r w:rsidR="00836229" w:rsidRPr="00B75B77">
          <w:rPr>
            <w:rStyle w:val="Hyperlink"/>
            <w:noProof/>
          </w:rPr>
          <w:t>14.6 Financial Reporting</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_Toc466413449 \h </w:instrText>
        </w:r>
        <w:r w:rsidR="00836229" w:rsidRPr="00B75B77">
          <w:rPr>
            <w:noProof/>
            <w:webHidden/>
          </w:rPr>
        </w:r>
        <w:r w:rsidR="00836229" w:rsidRPr="00B75B77">
          <w:rPr>
            <w:noProof/>
            <w:webHidden/>
          </w:rPr>
          <w:fldChar w:fldCharType="separate"/>
        </w:r>
        <w:r w:rsidR="0004016D">
          <w:rPr>
            <w:noProof/>
            <w:webHidden/>
          </w:rPr>
          <w:t>190</w:t>
        </w:r>
        <w:r w:rsidR="00836229" w:rsidRPr="00B75B77">
          <w:rPr>
            <w:noProof/>
            <w:webHidden/>
          </w:rPr>
          <w:fldChar w:fldCharType="end"/>
        </w:r>
      </w:hyperlink>
    </w:p>
    <w:p w:rsidR="00836229" w:rsidRPr="00B75B77" w:rsidRDefault="00237810">
      <w:pPr>
        <w:pStyle w:val="TOC1"/>
        <w:rPr>
          <w:rFonts w:asciiTheme="minorHAnsi" w:eastAsiaTheme="minorEastAsia" w:hAnsiTheme="minorHAnsi" w:cstheme="minorBidi"/>
          <w:b w:val="0"/>
          <w:bCs w:val="0"/>
          <w:smallCaps w:val="0"/>
          <w:noProof/>
          <w:szCs w:val="22"/>
        </w:rPr>
      </w:pPr>
      <w:hyperlink w:anchor="_Toc466413450" w:history="1">
        <w:r w:rsidR="00836229" w:rsidRPr="00B75B77">
          <w:rPr>
            <w:rStyle w:val="Hyperlink"/>
            <w:rFonts w:ascii="Britannic Bold" w:hAnsi="Britannic Bold"/>
            <w:noProof/>
          </w:rPr>
          <w:t>15.</w:t>
        </w:r>
        <w:r w:rsidR="00836229" w:rsidRPr="00B75B77">
          <w:rPr>
            <w:rStyle w:val="Hyperlink"/>
            <w:noProof/>
          </w:rPr>
          <w:t xml:space="preserve"> Smart On-Site</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_Toc466413450 \h </w:instrText>
        </w:r>
        <w:r w:rsidR="00836229" w:rsidRPr="00B75B77">
          <w:rPr>
            <w:noProof/>
            <w:webHidden/>
          </w:rPr>
        </w:r>
        <w:r w:rsidR="00836229" w:rsidRPr="00B75B77">
          <w:rPr>
            <w:noProof/>
            <w:webHidden/>
          </w:rPr>
          <w:fldChar w:fldCharType="separate"/>
        </w:r>
        <w:r w:rsidR="0004016D">
          <w:rPr>
            <w:noProof/>
            <w:webHidden/>
          </w:rPr>
          <w:t>194</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451" w:history="1">
        <w:r w:rsidR="00836229" w:rsidRPr="00B75B77">
          <w:rPr>
            <w:rStyle w:val="Hyperlink"/>
            <w:noProof/>
          </w:rPr>
          <w:t>15.1 Program Updates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_Toc466413451 \h </w:instrText>
        </w:r>
        <w:r w:rsidR="00836229" w:rsidRPr="00B75B77">
          <w:rPr>
            <w:noProof/>
            <w:webHidden/>
          </w:rPr>
        </w:r>
        <w:r w:rsidR="00836229" w:rsidRPr="00B75B77">
          <w:rPr>
            <w:noProof/>
            <w:webHidden/>
          </w:rPr>
          <w:fldChar w:fldCharType="separate"/>
        </w:r>
        <w:r w:rsidR="0004016D">
          <w:rPr>
            <w:noProof/>
            <w:webHidden/>
          </w:rPr>
          <w:t>194</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452" w:history="1">
        <w:r w:rsidR="00836229" w:rsidRPr="00B75B77">
          <w:rPr>
            <w:rStyle w:val="Hyperlink"/>
            <w:noProof/>
          </w:rPr>
          <w:t>15.1.1 Definition of Participant</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_Toc466413452 \h </w:instrText>
        </w:r>
        <w:r w:rsidR="00836229" w:rsidRPr="00B75B77">
          <w:rPr>
            <w:noProof/>
            <w:webHidden/>
          </w:rPr>
        </w:r>
        <w:r w:rsidR="00836229" w:rsidRPr="00B75B77">
          <w:rPr>
            <w:noProof/>
            <w:webHidden/>
          </w:rPr>
          <w:fldChar w:fldCharType="separate"/>
        </w:r>
        <w:r w:rsidR="0004016D">
          <w:rPr>
            <w:noProof/>
            <w:webHidden/>
          </w:rPr>
          <w:t>194</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453" w:history="1">
        <w:r w:rsidR="00836229" w:rsidRPr="00B75B77">
          <w:rPr>
            <w:rStyle w:val="Hyperlink"/>
            <w:noProof/>
          </w:rPr>
          <w:t>15.2 Impact Evaluation Gross Savings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_Toc466413453 \h </w:instrText>
        </w:r>
        <w:r w:rsidR="00836229" w:rsidRPr="00B75B77">
          <w:rPr>
            <w:noProof/>
            <w:webHidden/>
          </w:rPr>
        </w:r>
        <w:r w:rsidR="00836229" w:rsidRPr="00B75B77">
          <w:rPr>
            <w:noProof/>
            <w:webHidden/>
          </w:rPr>
          <w:fldChar w:fldCharType="separate"/>
        </w:r>
        <w:r w:rsidR="0004016D">
          <w:rPr>
            <w:noProof/>
            <w:webHidden/>
          </w:rPr>
          <w:t>194</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454" w:history="1">
        <w:r w:rsidR="00836229" w:rsidRPr="00B75B77">
          <w:rPr>
            <w:rStyle w:val="Hyperlink"/>
            <w:noProof/>
          </w:rPr>
          <w:t>15.2.1 Gross Verified Savings Methodology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_Toc466413454 \h </w:instrText>
        </w:r>
        <w:r w:rsidR="00836229" w:rsidRPr="00B75B77">
          <w:rPr>
            <w:noProof/>
            <w:webHidden/>
          </w:rPr>
        </w:r>
        <w:r w:rsidR="00836229" w:rsidRPr="00B75B77">
          <w:rPr>
            <w:noProof/>
            <w:webHidden/>
          </w:rPr>
          <w:fldChar w:fldCharType="separate"/>
        </w:r>
        <w:r w:rsidR="0004016D">
          <w:rPr>
            <w:noProof/>
            <w:webHidden/>
          </w:rPr>
          <w:t>195</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455" w:history="1">
        <w:r w:rsidR="00836229" w:rsidRPr="00B75B77">
          <w:rPr>
            <w:rStyle w:val="Hyperlink"/>
            <w:noProof/>
          </w:rPr>
          <w:t>15.2.2 Gross Verified Savings Results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_Toc466413455 \h </w:instrText>
        </w:r>
        <w:r w:rsidR="00836229" w:rsidRPr="00B75B77">
          <w:rPr>
            <w:noProof/>
            <w:webHidden/>
          </w:rPr>
        </w:r>
        <w:r w:rsidR="00836229" w:rsidRPr="00B75B77">
          <w:rPr>
            <w:noProof/>
            <w:webHidden/>
          </w:rPr>
          <w:fldChar w:fldCharType="separate"/>
        </w:r>
        <w:r w:rsidR="0004016D">
          <w:rPr>
            <w:noProof/>
            <w:webHidden/>
          </w:rPr>
          <w:t>196</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456" w:history="1">
        <w:r w:rsidR="00836229" w:rsidRPr="00B75B77">
          <w:rPr>
            <w:rStyle w:val="Hyperlink"/>
            <w:noProof/>
          </w:rPr>
          <w:t>15.3 Impact Evaluation Net Savings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_Toc466413456 \h </w:instrText>
        </w:r>
        <w:r w:rsidR="00836229" w:rsidRPr="00B75B77">
          <w:rPr>
            <w:noProof/>
            <w:webHidden/>
          </w:rPr>
        </w:r>
        <w:r w:rsidR="00836229" w:rsidRPr="00B75B77">
          <w:rPr>
            <w:noProof/>
            <w:webHidden/>
          </w:rPr>
          <w:fldChar w:fldCharType="separate"/>
        </w:r>
        <w:r w:rsidR="0004016D">
          <w:rPr>
            <w:noProof/>
            <w:webHidden/>
          </w:rPr>
          <w:t>197</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457" w:history="1">
        <w:r w:rsidR="00836229" w:rsidRPr="00B75B77">
          <w:rPr>
            <w:rStyle w:val="Hyperlink"/>
            <w:noProof/>
          </w:rPr>
          <w:t>15.3.1 Net Verified Savings Methodology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_Toc466413457 \h </w:instrText>
        </w:r>
        <w:r w:rsidR="00836229" w:rsidRPr="00B75B77">
          <w:rPr>
            <w:noProof/>
            <w:webHidden/>
          </w:rPr>
        </w:r>
        <w:r w:rsidR="00836229" w:rsidRPr="00B75B77">
          <w:rPr>
            <w:noProof/>
            <w:webHidden/>
          </w:rPr>
          <w:fldChar w:fldCharType="separate"/>
        </w:r>
        <w:r w:rsidR="0004016D">
          <w:rPr>
            <w:noProof/>
            <w:webHidden/>
          </w:rPr>
          <w:t>197</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458" w:history="1">
        <w:r w:rsidR="00836229" w:rsidRPr="00B75B77">
          <w:rPr>
            <w:rStyle w:val="Hyperlink"/>
            <w:noProof/>
          </w:rPr>
          <w:t>15.3.2 Net Verified Savings Results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_Toc466413458 \h </w:instrText>
        </w:r>
        <w:r w:rsidR="00836229" w:rsidRPr="00B75B77">
          <w:rPr>
            <w:noProof/>
            <w:webHidden/>
          </w:rPr>
        </w:r>
        <w:r w:rsidR="00836229" w:rsidRPr="00B75B77">
          <w:rPr>
            <w:noProof/>
            <w:webHidden/>
          </w:rPr>
          <w:fldChar w:fldCharType="separate"/>
        </w:r>
        <w:r w:rsidR="0004016D">
          <w:rPr>
            <w:noProof/>
            <w:webHidden/>
          </w:rPr>
          <w:t>201</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459" w:history="1">
        <w:r w:rsidR="00836229" w:rsidRPr="00B75B77">
          <w:rPr>
            <w:rStyle w:val="Hyperlink"/>
            <w:noProof/>
          </w:rPr>
          <w:t>15.4 Process Evaluation</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_Toc466413459 \h </w:instrText>
        </w:r>
        <w:r w:rsidR="00836229" w:rsidRPr="00B75B77">
          <w:rPr>
            <w:noProof/>
            <w:webHidden/>
          </w:rPr>
        </w:r>
        <w:r w:rsidR="00836229" w:rsidRPr="00B75B77">
          <w:rPr>
            <w:noProof/>
            <w:webHidden/>
          </w:rPr>
          <w:fldChar w:fldCharType="separate"/>
        </w:r>
        <w:r w:rsidR="0004016D">
          <w:rPr>
            <w:noProof/>
            <w:webHidden/>
          </w:rPr>
          <w:t>201</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460" w:history="1">
        <w:r w:rsidR="00836229" w:rsidRPr="00B75B77">
          <w:rPr>
            <w:rStyle w:val="Hyperlink"/>
            <w:noProof/>
          </w:rPr>
          <w:t>15.4.1 Process Evaluation Methodology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_Toc466413460 \h </w:instrText>
        </w:r>
        <w:r w:rsidR="00836229" w:rsidRPr="00B75B77">
          <w:rPr>
            <w:noProof/>
            <w:webHidden/>
          </w:rPr>
        </w:r>
        <w:r w:rsidR="00836229" w:rsidRPr="00B75B77">
          <w:rPr>
            <w:noProof/>
            <w:webHidden/>
          </w:rPr>
          <w:fldChar w:fldCharType="separate"/>
        </w:r>
        <w:r w:rsidR="0004016D">
          <w:rPr>
            <w:noProof/>
            <w:webHidden/>
          </w:rPr>
          <w:t>201</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461" w:history="1">
        <w:r w:rsidR="00836229" w:rsidRPr="00B75B77">
          <w:rPr>
            <w:rStyle w:val="Hyperlink"/>
            <w:noProof/>
          </w:rPr>
          <w:t>15.4.2 Process Findings and Recommendations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_Toc466413461 \h </w:instrText>
        </w:r>
        <w:r w:rsidR="00836229" w:rsidRPr="00B75B77">
          <w:rPr>
            <w:noProof/>
            <w:webHidden/>
          </w:rPr>
        </w:r>
        <w:r w:rsidR="00836229" w:rsidRPr="00B75B77">
          <w:rPr>
            <w:noProof/>
            <w:webHidden/>
          </w:rPr>
          <w:fldChar w:fldCharType="separate"/>
        </w:r>
        <w:r w:rsidR="0004016D">
          <w:rPr>
            <w:noProof/>
            <w:webHidden/>
          </w:rPr>
          <w:t>202</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462" w:history="1">
        <w:r w:rsidR="00836229" w:rsidRPr="00B75B77">
          <w:rPr>
            <w:rStyle w:val="Hyperlink"/>
            <w:noProof/>
          </w:rPr>
          <w:t>15.5 Status of Recommendations for Program</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_Toc466413462 \h </w:instrText>
        </w:r>
        <w:r w:rsidR="00836229" w:rsidRPr="00B75B77">
          <w:rPr>
            <w:noProof/>
            <w:webHidden/>
          </w:rPr>
        </w:r>
        <w:r w:rsidR="00836229" w:rsidRPr="00B75B77">
          <w:rPr>
            <w:noProof/>
            <w:webHidden/>
          </w:rPr>
          <w:fldChar w:fldCharType="separate"/>
        </w:r>
        <w:r w:rsidR="0004016D">
          <w:rPr>
            <w:noProof/>
            <w:webHidden/>
          </w:rPr>
          <w:t>204</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463" w:history="1">
        <w:r w:rsidR="00836229" w:rsidRPr="00B75B77">
          <w:rPr>
            <w:rStyle w:val="Hyperlink"/>
            <w:noProof/>
          </w:rPr>
          <w:t>15.6 Financial Reporting</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_Toc466413463 \h </w:instrText>
        </w:r>
        <w:r w:rsidR="00836229" w:rsidRPr="00B75B77">
          <w:rPr>
            <w:noProof/>
            <w:webHidden/>
          </w:rPr>
        </w:r>
        <w:r w:rsidR="00836229" w:rsidRPr="00B75B77">
          <w:rPr>
            <w:noProof/>
            <w:webHidden/>
          </w:rPr>
          <w:fldChar w:fldCharType="separate"/>
        </w:r>
        <w:r w:rsidR="0004016D">
          <w:rPr>
            <w:noProof/>
            <w:webHidden/>
          </w:rPr>
          <w:t>204</w:t>
        </w:r>
        <w:r w:rsidR="00836229" w:rsidRPr="00B75B77">
          <w:rPr>
            <w:noProof/>
            <w:webHidden/>
          </w:rPr>
          <w:fldChar w:fldCharType="end"/>
        </w:r>
      </w:hyperlink>
    </w:p>
    <w:p w:rsidR="00836229" w:rsidRPr="00B75B77" w:rsidRDefault="00237810">
      <w:pPr>
        <w:pStyle w:val="TOC1"/>
        <w:rPr>
          <w:rFonts w:asciiTheme="minorHAnsi" w:eastAsiaTheme="minorEastAsia" w:hAnsiTheme="minorHAnsi" w:cstheme="minorBidi"/>
          <w:b w:val="0"/>
          <w:bCs w:val="0"/>
          <w:smallCaps w:val="0"/>
          <w:noProof/>
          <w:szCs w:val="22"/>
        </w:rPr>
      </w:pPr>
      <w:hyperlink w:anchor="_Toc466413464" w:history="1">
        <w:r w:rsidR="00836229" w:rsidRPr="00B75B77">
          <w:rPr>
            <w:rStyle w:val="Hyperlink"/>
            <w:rFonts w:ascii="Britannic Bold" w:hAnsi="Britannic Bold"/>
            <w:noProof/>
          </w:rPr>
          <w:t>16.</w:t>
        </w:r>
        <w:r w:rsidR="00836229" w:rsidRPr="00B75B77">
          <w:rPr>
            <w:rStyle w:val="Hyperlink"/>
            <w:noProof/>
          </w:rPr>
          <w:t xml:space="preserve"> Smart Business Solutions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_Toc466413464 \h </w:instrText>
        </w:r>
        <w:r w:rsidR="00836229" w:rsidRPr="00B75B77">
          <w:rPr>
            <w:noProof/>
            <w:webHidden/>
          </w:rPr>
        </w:r>
        <w:r w:rsidR="00836229" w:rsidRPr="00B75B77">
          <w:rPr>
            <w:noProof/>
            <w:webHidden/>
          </w:rPr>
          <w:fldChar w:fldCharType="separate"/>
        </w:r>
        <w:r w:rsidR="0004016D">
          <w:rPr>
            <w:noProof/>
            <w:webHidden/>
          </w:rPr>
          <w:t>206</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465" w:history="1">
        <w:r w:rsidR="00836229" w:rsidRPr="00B75B77">
          <w:rPr>
            <w:rStyle w:val="Hyperlink"/>
            <w:noProof/>
          </w:rPr>
          <w:t>16.1 Program Updates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_Toc466413465 \h </w:instrText>
        </w:r>
        <w:r w:rsidR="00836229" w:rsidRPr="00B75B77">
          <w:rPr>
            <w:noProof/>
            <w:webHidden/>
          </w:rPr>
        </w:r>
        <w:r w:rsidR="00836229" w:rsidRPr="00B75B77">
          <w:rPr>
            <w:noProof/>
            <w:webHidden/>
          </w:rPr>
          <w:fldChar w:fldCharType="separate"/>
        </w:r>
        <w:r w:rsidR="0004016D">
          <w:rPr>
            <w:noProof/>
            <w:webHidden/>
          </w:rPr>
          <w:t>206</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466" w:history="1">
        <w:r w:rsidR="00836229" w:rsidRPr="00B75B77">
          <w:rPr>
            <w:rStyle w:val="Hyperlink"/>
            <w:noProof/>
          </w:rPr>
          <w:t>16.1.1 Definition of Participant</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_Toc466413466 \h </w:instrText>
        </w:r>
        <w:r w:rsidR="00836229" w:rsidRPr="00B75B77">
          <w:rPr>
            <w:noProof/>
            <w:webHidden/>
          </w:rPr>
        </w:r>
        <w:r w:rsidR="00836229" w:rsidRPr="00B75B77">
          <w:rPr>
            <w:noProof/>
            <w:webHidden/>
          </w:rPr>
          <w:fldChar w:fldCharType="separate"/>
        </w:r>
        <w:r w:rsidR="0004016D">
          <w:rPr>
            <w:noProof/>
            <w:webHidden/>
          </w:rPr>
          <w:t>206</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467" w:history="1">
        <w:r w:rsidR="00836229" w:rsidRPr="00B75B77">
          <w:rPr>
            <w:rStyle w:val="Hyperlink"/>
            <w:noProof/>
          </w:rPr>
          <w:t>16.2 Impact Evaluation Gross Savings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_Toc466413467 \h </w:instrText>
        </w:r>
        <w:r w:rsidR="00836229" w:rsidRPr="00B75B77">
          <w:rPr>
            <w:noProof/>
            <w:webHidden/>
          </w:rPr>
        </w:r>
        <w:r w:rsidR="00836229" w:rsidRPr="00B75B77">
          <w:rPr>
            <w:noProof/>
            <w:webHidden/>
          </w:rPr>
          <w:fldChar w:fldCharType="separate"/>
        </w:r>
        <w:r w:rsidR="0004016D">
          <w:rPr>
            <w:noProof/>
            <w:webHidden/>
          </w:rPr>
          <w:t>206</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468" w:history="1">
        <w:r w:rsidR="00836229" w:rsidRPr="00B75B77">
          <w:rPr>
            <w:rStyle w:val="Hyperlink"/>
            <w:noProof/>
          </w:rPr>
          <w:t>16.2.1 Gross Verified Savings Methodology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_Toc466413468 \h </w:instrText>
        </w:r>
        <w:r w:rsidR="00836229" w:rsidRPr="00B75B77">
          <w:rPr>
            <w:noProof/>
            <w:webHidden/>
          </w:rPr>
        </w:r>
        <w:r w:rsidR="00836229" w:rsidRPr="00B75B77">
          <w:rPr>
            <w:noProof/>
            <w:webHidden/>
          </w:rPr>
          <w:fldChar w:fldCharType="separate"/>
        </w:r>
        <w:r w:rsidR="0004016D">
          <w:rPr>
            <w:noProof/>
            <w:webHidden/>
          </w:rPr>
          <w:t>207</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469" w:history="1">
        <w:r w:rsidR="00836229" w:rsidRPr="00B75B77">
          <w:rPr>
            <w:rStyle w:val="Hyperlink"/>
            <w:noProof/>
          </w:rPr>
          <w:t>16.2.2 Gross Verified Savings Results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_Toc466413469 \h </w:instrText>
        </w:r>
        <w:r w:rsidR="00836229" w:rsidRPr="00B75B77">
          <w:rPr>
            <w:noProof/>
            <w:webHidden/>
          </w:rPr>
        </w:r>
        <w:r w:rsidR="00836229" w:rsidRPr="00B75B77">
          <w:rPr>
            <w:noProof/>
            <w:webHidden/>
          </w:rPr>
          <w:fldChar w:fldCharType="separate"/>
        </w:r>
        <w:r w:rsidR="0004016D">
          <w:rPr>
            <w:noProof/>
            <w:webHidden/>
          </w:rPr>
          <w:t>208</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470" w:history="1">
        <w:r w:rsidR="00836229" w:rsidRPr="00B75B77">
          <w:rPr>
            <w:rStyle w:val="Hyperlink"/>
            <w:noProof/>
          </w:rPr>
          <w:t>16.3 Impact Evaluation Net Savings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_Toc466413470 \h </w:instrText>
        </w:r>
        <w:r w:rsidR="00836229" w:rsidRPr="00B75B77">
          <w:rPr>
            <w:noProof/>
            <w:webHidden/>
          </w:rPr>
        </w:r>
        <w:r w:rsidR="00836229" w:rsidRPr="00B75B77">
          <w:rPr>
            <w:noProof/>
            <w:webHidden/>
          </w:rPr>
          <w:fldChar w:fldCharType="separate"/>
        </w:r>
        <w:r w:rsidR="0004016D">
          <w:rPr>
            <w:noProof/>
            <w:webHidden/>
          </w:rPr>
          <w:t>209</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471" w:history="1">
        <w:r w:rsidR="00836229" w:rsidRPr="00B75B77">
          <w:rPr>
            <w:rStyle w:val="Hyperlink"/>
            <w:noProof/>
          </w:rPr>
          <w:t>16.4 Process Evaluation</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_Toc466413471 \h </w:instrText>
        </w:r>
        <w:r w:rsidR="00836229" w:rsidRPr="00B75B77">
          <w:rPr>
            <w:noProof/>
            <w:webHidden/>
          </w:rPr>
        </w:r>
        <w:r w:rsidR="00836229" w:rsidRPr="00B75B77">
          <w:rPr>
            <w:noProof/>
            <w:webHidden/>
          </w:rPr>
          <w:fldChar w:fldCharType="separate"/>
        </w:r>
        <w:r w:rsidR="0004016D">
          <w:rPr>
            <w:noProof/>
            <w:webHidden/>
          </w:rPr>
          <w:t>209</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472" w:history="1">
        <w:r w:rsidR="00836229" w:rsidRPr="00B75B77">
          <w:rPr>
            <w:rStyle w:val="Hyperlink"/>
            <w:noProof/>
          </w:rPr>
          <w:t>16.4.1 Process Evaluation Methodology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_Toc466413472 \h </w:instrText>
        </w:r>
        <w:r w:rsidR="00836229" w:rsidRPr="00B75B77">
          <w:rPr>
            <w:noProof/>
            <w:webHidden/>
          </w:rPr>
        </w:r>
        <w:r w:rsidR="00836229" w:rsidRPr="00B75B77">
          <w:rPr>
            <w:noProof/>
            <w:webHidden/>
          </w:rPr>
          <w:fldChar w:fldCharType="separate"/>
        </w:r>
        <w:r w:rsidR="0004016D">
          <w:rPr>
            <w:noProof/>
            <w:webHidden/>
          </w:rPr>
          <w:t>209</w:t>
        </w:r>
        <w:r w:rsidR="00836229" w:rsidRPr="00B75B77">
          <w:rPr>
            <w:noProof/>
            <w:webHidden/>
          </w:rPr>
          <w:fldChar w:fldCharType="end"/>
        </w:r>
      </w:hyperlink>
    </w:p>
    <w:p w:rsidR="00836229" w:rsidRPr="00B75B77" w:rsidRDefault="00237810">
      <w:pPr>
        <w:pStyle w:val="TOC3"/>
        <w:tabs>
          <w:tab w:val="right" w:leader="dot" w:pos="9350"/>
        </w:tabs>
        <w:rPr>
          <w:rFonts w:eastAsiaTheme="minorEastAsia" w:cstheme="minorBidi"/>
          <w:iCs w:val="0"/>
          <w:noProof/>
          <w:sz w:val="22"/>
          <w:szCs w:val="22"/>
        </w:rPr>
      </w:pPr>
      <w:hyperlink w:anchor="_Toc466413473" w:history="1">
        <w:r w:rsidR="00836229" w:rsidRPr="00B75B77">
          <w:rPr>
            <w:rStyle w:val="Hyperlink"/>
            <w:noProof/>
          </w:rPr>
          <w:t>16.4.2 Process Evaluation Results and Recommendations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_Toc466413473 \h </w:instrText>
        </w:r>
        <w:r w:rsidR="00836229" w:rsidRPr="00B75B77">
          <w:rPr>
            <w:noProof/>
            <w:webHidden/>
          </w:rPr>
        </w:r>
        <w:r w:rsidR="00836229" w:rsidRPr="00B75B77">
          <w:rPr>
            <w:noProof/>
            <w:webHidden/>
          </w:rPr>
          <w:fldChar w:fldCharType="separate"/>
        </w:r>
        <w:r w:rsidR="0004016D">
          <w:rPr>
            <w:noProof/>
            <w:webHidden/>
          </w:rPr>
          <w:t>210</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474" w:history="1">
        <w:r w:rsidR="00836229" w:rsidRPr="00B75B77">
          <w:rPr>
            <w:rStyle w:val="Hyperlink"/>
            <w:noProof/>
          </w:rPr>
          <w:t>16.5 Status of Recommendations for Program</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_Toc466413474 \h </w:instrText>
        </w:r>
        <w:r w:rsidR="00836229" w:rsidRPr="00B75B77">
          <w:rPr>
            <w:noProof/>
            <w:webHidden/>
          </w:rPr>
        </w:r>
        <w:r w:rsidR="00836229" w:rsidRPr="00B75B77">
          <w:rPr>
            <w:noProof/>
            <w:webHidden/>
          </w:rPr>
          <w:fldChar w:fldCharType="separate"/>
        </w:r>
        <w:r w:rsidR="0004016D">
          <w:rPr>
            <w:noProof/>
            <w:webHidden/>
          </w:rPr>
          <w:t>211</w:t>
        </w:r>
        <w:r w:rsidR="00836229" w:rsidRPr="00B75B77">
          <w:rPr>
            <w:noProof/>
            <w:webHidden/>
          </w:rPr>
          <w:fldChar w:fldCharType="end"/>
        </w:r>
      </w:hyperlink>
    </w:p>
    <w:p w:rsidR="00836229" w:rsidRPr="00B75B77" w:rsidRDefault="00237810">
      <w:pPr>
        <w:pStyle w:val="TOC2"/>
        <w:tabs>
          <w:tab w:val="right" w:leader="dot" w:pos="9350"/>
        </w:tabs>
        <w:rPr>
          <w:rFonts w:eastAsiaTheme="minorEastAsia" w:cstheme="minorBidi"/>
          <w:noProof/>
          <w:sz w:val="22"/>
          <w:szCs w:val="22"/>
        </w:rPr>
      </w:pPr>
      <w:hyperlink w:anchor="_Toc466413475" w:history="1">
        <w:r w:rsidR="00836229" w:rsidRPr="00B75B77">
          <w:rPr>
            <w:rStyle w:val="Hyperlink"/>
            <w:noProof/>
          </w:rPr>
          <w:t>16.6 Financial Reporting</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_Toc466413475 \h </w:instrText>
        </w:r>
        <w:r w:rsidR="00836229" w:rsidRPr="00B75B77">
          <w:rPr>
            <w:noProof/>
            <w:webHidden/>
          </w:rPr>
        </w:r>
        <w:r w:rsidR="00836229" w:rsidRPr="00B75B77">
          <w:rPr>
            <w:noProof/>
            <w:webHidden/>
          </w:rPr>
          <w:fldChar w:fldCharType="separate"/>
        </w:r>
        <w:r w:rsidR="0004016D">
          <w:rPr>
            <w:noProof/>
            <w:webHidden/>
          </w:rPr>
          <w:t>212</w:t>
        </w:r>
        <w:r w:rsidR="00836229" w:rsidRPr="00B75B77">
          <w:rPr>
            <w:noProof/>
            <w:webHidden/>
          </w:rPr>
          <w:fldChar w:fldCharType="end"/>
        </w:r>
      </w:hyperlink>
    </w:p>
    <w:p w:rsidR="00836229" w:rsidRPr="00B75B77" w:rsidRDefault="00237810">
      <w:pPr>
        <w:pStyle w:val="TOC1"/>
        <w:rPr>
          <w:rFonts w:asciiTheme="minorHAnsi" w:eastAsiaTheme="minorEastAsia" w:hAnsiTheme="minorHAnsi" w:cstheme="minorBidi"/>
          <w:b w:val="0"/>
          <w:bCs w:val="0"/>
          <w:smallCaps w:val="0"/>
          <w:noProof/>
          <w:szCs w:val="22"/>
        </w:rPr>
      </w:pPr>
      <w:hyperlink w:anchor="_Toc466413476" w:history="1">
        <w:r w:rsidR="00836229" w:rsidRPr="00B75B77">
          <w:rPr>
            <w:rStyle w:val="Hyperlink"/>
            <w:rFonts w:ascii="Britannic Bold" w:hAnsi="Britannic Bold"/>
            <w:caps/>
            <w:noProof/>
            <w14:scene3d>
              <w14:camera w14:prst="orthographicFront"/>
              <w14:lightRig w14:rig="threePt" w14:dir="t">
                <w14:rot w14:lat="0" w14:lon="0" w14:rev="0"/>
              </w14:lightRig>
            </w14:scene3d>
          </w:rPr>
          <w:t>Appendix A.</w:t>
        </w:r>
        <w:r w:rsidR="00836229" w:rsidRPr="00B75B77">
          <w:rPr>
            <w:rStyle w:val="Hyperlink"/>
            <w:noProof/>
          </w:rPr>
          <w:t xml:space="preserve"> EM&amp;V Information</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_Toc466413476 \h </w:instrText>
        </w:r>
        <w:r w:rsidR="00836229" w:rsidRPr="00B75B77">
          <w:rPr>
            <w:noProof/>
            <w:webHidden/>
          </w:rPr>
        </w:r>
        <w:r w:rsidR="00836229" w:rsidRPr="00B75B77">
          <w:rPr>
            <w:noProof/>
            <w:webHidden/>
          </w:rPr>
          <w:fldChar w:fldCharType="separate"/>
        </w:r>
        <w:r w:rsidR="0004016D">
          <w:rPr>
            <w:noProof/>
            <w:webHidden/>
          </w:rPr>
          <w:t>214</w:t>
        </w:r>
        <w:r w:rsidR="00836229" w:rsidRPr="00B75B77">
          <w:rPr>
            <w:noProof/>
            <w:webHidden/>
          </w:rPr>
          <w:fldChar w:fldCharType="end"/>
        </w:r>
      </w:hyperlink>
    </w:p>
    <w:p w:rsidR="00836229" w:rsidRPr="00B75B77" w:rsidRDefault="00237810">
      <w:pPr>
        <w:pStyle w:val="TOC2"/>
        <w:tabs>
          <w:tab w:val="left" w:pos="880"/>
          <w:tab w:val="right" w:leader="dot" w:pos="9350"/>
        </w:tabs>
        <w:rPr>
          <w:rFonts w:eastAsiaTheme="minorEastAsia" w:cstheme="minorBidi"/>
          <w:noProof/>
          <w:sz w:val="22"/>
          <w:szCs w:val="22"/>
        </w:rPr>
      </w:pPr>
      <w:hyperlink w:anchor="_Toc466413477" w:history="1">
        <w:r w:rsidR="00836229" w:rsidRPr="00B75B77">
          <w:rPr>
            <w:rStyle w:val="Hyperlink"/>
            <w:noProof/>
          </w:rPr>
          <w:t>A.1</w:t>
        </w:r>
        <w:r w:rsidR="00836229" w:rsidRPr="00B75B77">
          <w:rPr>
            <w:rFonts w:eastAsiaTheme="minorEastAsia" w:cstheme="minorBidi"/>
            <w:noProof/>
            <w:sz w:val="22"/>
            <w:szCs w:val="22"/>
          </w:rPr>
          <w:tab/>
        </w:r>
        <w:r w:rsidR="00836229" w:rsidRPr="00B75B77">
          <w:rPr>
            <w:rStyle w:val="Hyperlink"/>
            <w:noProof/>
          </w:rPr>
          <w:t>Participant Definitions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_Toc466413477 \h </w:instrText>
        </w:r>
        <w:r w:rsidR="00836229" w:rsidRPr="00B75B77">
          <w:rPr>
            <w:noProof/>
            <w:webHidden/>
          </w:rPr>
        </w:r>
        <w:r w:rsidR="00836229" w:rsidRPr="00B75B77">
          <w:rPr>
            <w:noProof/>
            <w:webHidden/>
          </w:rPr>
          <w:fldChar w:fldCharType="separate"/>
        </w:r>
        <w:r w:rsidR="0004016D">
          <w:rPr>
            <w:noProof/>
            <w:webHidden/>
          </w:rPr>
          <w:t>214</w:t>
        </w:r>
        <w:r w:rsidR="00836229" w:rsidRPr="00B75B77">
          <w:rPr>
            <w:noProof/>
            <w:webHidden/>
          </w:rPr>
          <w:fldChar w:fldCharType="end"/>
        </w:r>
      </w:hyperlink>
    </w:p>
    <w:p w:rsidR="00836229" w:rsidRPr="00B75B77" w:rsidRDefault="00237810">
      <w:pPr>
        <w:pStyle w:val="TOC2"/>
        <w:tabs>
          <w:tab w:val="left" w:pos="880"/>
          <w:tab w:val="right" w:leader="dot" w:pos="9350"/>
        </w:tabs>
        <w:rPr>
          <w:rFonts w:eastAsiaTheme="minorEastAsia" w:cstheme="minorBidi"/>
          <w:noProof/>
          <w:sz w:val="22"/>
          <w:szCs w:val="22"/>
        </w:rPr>
      </w:pPr>
      <w:hyperlink w:anchor="_Toc466413478" w:history="1">
        <w:r w:rsidR="00836229" w:rsidRPr="00B75B77">
          <w:rPr>
            <w:rStyle w:val="Hyperlink"/>
            <w:noProof/>
          </w:rPr>
          <w:t>A.2</w:t>
        </w:r>
        <w:r w:rsidR="00836229" w:rsidRPr="00B75B77">
          <w:rPr>
            <w:rFonts w:eastAsiaTheme="minorEastAsia" w:cstheme="minorBidi"/>
            <w:noProof/>
            <w:sz w:val="22"/>
            <w:szCs w:val="22"/>
          </w:rPr>
          <w:tab/>
        </w:r>
        <w:r w:rsidR="00836229" w:rsidRPr="00B75B77">
          <w:rPr>
            <w:rStyle w:val="Hyperlink"/>
            <w:noProof/>
          </w:rPr>
          <w:t>PY7 Evaluation Activities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_Toc466413478 \h </w:instrText>
        </w:r>
        <w:r w:rsidR="00836229" w:rsidRPr="00B75B77">
          <w:rPr>
            <w:noProof/>
            <w:webHidden/>
          </w:rPr>
        </w:r>
        <w:r w:rsidR="00836229" w:rsidRPr="00B75B77">
          <w:rPr>
            <w:noProof/>
            <w:webHidden/>
          </w:rPr>
          <w:fldChar w:fldCharType="separate"/>
        </w:r>
        <w:r w:rsidR="0004016D">
          <w:rPr>
            <w:noProof/>
            <w:webHidden/>
          </w:rPr>
          <w:t>215</w:t>
        </w:r>
        <w:r w:rsidR="00836229" w:rsidRPr="00B75B77">
          <w:rPr>
            <w:noProof/>
            <w:webHidden/>
          </w:rPr>
          <w:fldChar w:fldCharType="end"/>
        </w:r>
      </w:hyperlink>
    </w:p>
    <w:p w:rsidR="00836229" w:rsidRPr="00B75B77" w:rsidRDefault="00237810">
      <w:pPr>
        <w:pStyle w:val="TOC1"/>
        <w:rPr>
          <w:rFonts w:asciiTheme="minorHAnsi" w:eastAsiaTheme="minorEastAsia" w:hAnsiTheme="minorHAnsi" w:cstheme="minorBidi"/>
          <w:b w:val="0"/>
          <w:bCs w:val="0"/>
          <w:smallCaps w:val="0"/>
          <w:noProof/>
          <w:szCs w:val="22"/>
        </w:rPr>
      </w:pPr>
      <w:hyperlink w:anchor="_Toc466413479" w:history="1">
        <w:r w:rsidR="00836229" w:rsidRPr="00B75B77">
          <w:rPr>
            <w:rStyle w:val="Hyperlink"/>
            <w:rFonts w:ascii="Britannic Bold" w:hAnsi="Britannic Bold"/>
            <w:caps/>
            <w:noProof/>
            <w14:scene3d>
              <w14:camera w14:prst="orthographicFront"/>
              <w14:lightRig w14:rig="threePt" w14:dir="t">
                <w14:rot w14:lat="0" w14:lon="0" w14:rev="0"/>
              </w14:lightRig>
            </w14:scene3d>
          </w:rPr>
          <w:t>Appendix B.</w:t>
        </w:r>
        <w:r w:rsidR="00836229" w:rsidRPr="00B75B77">
          <w:rPr>
            <w:rStyle w:val="Hyperlink"/>
            <w:noProof/>
          </w:rPr>
          <w:t xml:space="preserve"> TRC Incremental Costs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_Toc466413479 \h </w:instrText>
        </w:r>
        <w:r w:rsidR="00836229" w:rsidRPr="00B75B77">
          <w:rPr>
            <w:noProof/>
            <w:webHidden/>
          </w:rPr>
        </w:r>
        <w:r w:rsidR="00836229" w:rsidRPr="00B75B77">
          <w:rPr>
            <w:noProof/>
            <w:webHidden/>
          </w:rPr>
          <w:fldChar w:fldCharType="separate"/>
        </w:r>
        <w:r w:rsidR="0004016D">
          <w:rPr>
            <w:noProof/>
            <w:webHidden/>
          </w:rPr>
          <w:t>216</w:t>
        </w:r>
        <w:r w:rsidR="00836229" w:rsidRPr="00B75B77">
          <w:rPr>
            <w:noProof/>
            <w:webHidden/>
          </w:rPr>
          <w:fldChar w:fldCharType="end"/>
        </w:r>
      </w:hyperlink>
    </w:p>
    <w:p w:rsidR="00836229" w:rsidRPr="00B75B77" w:rsidRDefault="00237810">
      <w:pPr>
        <w:pStyle w:val="TOC1"/>
        <w:rPr>
          <w:rFonts w:asciiTheme="minorHAnsi" w:eastAsiaTheme="minorEastAsia" w:hAnsiTheme="minorHAnsi" w:cstheme="minorBidi"/>
          <w:b w:val="0"/>
          <w:bCs w:val="0"/>
          <w:smallCaps w:val="0"/>
          <w:noProof/>
          <w:szCs w:val="22"/>
        </w:rPr>
      </w:pPr>
      <w:hyperlink w:anchor="_Toc466413480" w:history="1">
        <w:r w:rsidR="00836229" w:rsidRPr="00B75B77">
          <w:rPr>
            <w:rStyle w:val="Hyperlink"/>
            <w:rFonts w:ascii="Britannic Bold" w:hAnsi="Britannic Bold"/>
            <w:caps/>
            <w:noProof/>
            <w14:scene3d>
              <w14:camera w14:prst="orthographicFront"/>
              <w14:lightRig w14:rig="threePt" w14:dir="t">
                <w14:rot w14:lat="0" w14:lon="0" w14:rev="0"/>
              </w14:lightRig>
            </w14:scene3d>
          </w:rPr>
          <w:t>Appendix C.</w:t>
        </w:r>
        <w:r w:rsidR="00836229" w:rsidRPr="00B75B77">
          <w:rPr>
            <w:rStyle w:val="Hyperlink"/>
            <w:noProof/>
          </w:rPr>
          <w:t xml:space="preserve"> Low-Income Participation in Non-Low-Income Programs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_Toc466413480 \h </w:instrText>
        </w:r>
        <w:r w:rsidR="00836229" w:rsidRPr="00B75B77">
          <w:rPr>
            <w:noProof/>
            <w:webHidden/>
          </w:rPr>
        </w:r>
        <w:r w:rsidR="00836229" w:rsidRPr="00B75B77">
          <w:rPr>
            <w:noProof/>
            <w:webHidden/>
          </w:rPr>
          <w:fldChar w:fldCharType="separate"/>
        </w:r>
        <w:r w:rsidR="0004016D">
          <w:rPr>
            <w:noProof/>
            <w:webHidden/>
          </w:rPr>
          <w:t>225</w:t>
        </w:r>
        <w:r w:rsidR="00836229" w:rsidRPr="00B75B77">
          <w:rPr>
            <w:noProof/>
            <w:webHidden/>
          </w:rPr>
          <w:fldChar w:fldCharType="end"/>
        </w:r>
      </w:hyperlink>
    </w:p>
    <w:p w:rsidR="00836229" w:rsidRPr="00B75B77" w:rsidRDefault="00237810">
      <w:pPr>
        <w:pStyle w:val="TOC1"/>
        <w:rPr>
          <w:rFonts w:asciiTheme="minorHAnsi" w:eastAsiaTheme="minorEastAsia" w:hAnsiTheme="minorHAnsi" w:cstheme="minorBidi"/>
          <w:b w:val="0"/>
          <w:bCs w:val="0"/>
          <w:smallCaps w:val="0"/>
          <w:noProof/>
          <w:szCs w:val="22"/>
        </w:rPr>
      </w:pPr>
      <w:hyperlink w:anchor="_Toc466413481" w:history="1">
        <w:r w:rsidR="00836229" w:rsidRPr="00B75B77">
          <w:rPr>
            <w:rStyle w:val="Hyperlink"/>
            <w:rFonts w:ascii="Britannic Bold" w:hAnsi="Britannic Bold"/>
            <w:caps/>
            <w:noProof/>
            <w14:scene3d>
              <w14:camera w14:prst="orthographicFront"/>
              <w14:lightRig w14:rig="threePt" w14:dir="t">
                <w14:rot w14:lat="0" w14:lon="0" w14:rev="0"/>
              </w14:lightRig>
            </w14:scene3d>
          </w:rPr>
          <w:t>Appendix D.</w:t>
        </w:r>
        <w:r w:rsidR="00836229" w:rsidRPr="00B75B77">
          <w:rPr>
            <w:rStyle w:val="Hyperlink"/>
            <w:noProof/>
          </w:rPr>
          <w:t xml:space="preserve"> SHR Residential Lighting Upstream Program Cross-Sector Sales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_Toc466413481 \h </w:instrText>
        </w:r>
        <w:r w:rsidR="00836229" w:rsidRPr="00B75B77">
          <w:rPr>
            <w:noProof/>
            <w:webHidden/>
          </w:rPr>
        </w:r>
        <w:r w:rsidR="00836229" w:rsidRPr="00B75B77">
          <w:rPr>
            <w:noProof/>
            <w:webHidden/>
          </w:rPr>
          <w:fldChar w:fldCharType="separate"/>
        </w:r>
        <w:r w:rsidR="0004016D">
          <w:rPr>
            <w:noProof/>
            <w:webHidden/>
          </w:rPr>
          <w:t>228</w:t>
        </w:r>
        <w:r w:rsidR="00836229" w:rsidRPr="00B75B77">
          <w:rPr>
            <w:noProof/>
            <w:webHidden/>
          </w:rPr>
          <w:fldChar w:fldCharType="end"/>
        </w:r>
      </w:hyperlink>
    </w:p>
    <w:p w:rsidR="00836229" w:rsidRPr="00B75B77" w:rsidRDefault="00237810">
      <w:pPr>
        <w:pStyle w:val="TOC1"/>
        <w:rPr>
          <w:rFonts w:asciiTheme="minorHAnsi" w:eastAsiaTheme="minorEastAsia" w:hAnsiTheme="minorHAnsi" w:cstheme="minorBidi"/>
          <w:b w:val="0"/>
          <w:bCs w:val="0"/>
          <w:smallCaps w:val="0"/>
          <w:noProof/>
          <w:szCs w:val="22"/>
        </w:rPr>
      </w:pPr>
      <w:hyperlink w:anchor="_Toc466413482" w:history="1">
        <w:r w:rsidR="00836229" w:rsidRPr="00B75B77">
          <w:rPr>
            <w:rStyle w:val="Hyperlink"/>
            <w:rFonts w:ascii="Britannic Bold" w:hAnsi="Britannic Bold"/>
            <w:caps/>
            <w:noProof/>
            <w14:scene3d>
              <w14:camera w14:prst="orthographicFront"/>
              <w14:lightRig w14:rig="threePt" w14:dir="t">
                <w14:rot w14:lat="0" w14:lon="0" w14:rev="0"/>
              </w14:lightRig>
            </w14:scene3d>
          </w:rPr>
          <w:t>Appendix E.</w:t>
        </w:r>
        <w:r w:rsidR="00836229" w:rsidRPr="00B75B77">
          <w:rPr>
            <w:rStyle w:val="Hyperlink"/>
            <w:noProof/>
          </w:rPr>
          <w:t xml:space="preserve"> Glossary of Terms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_Toc466413482 \h </w:instrText>
        </w:r>
        <w:r w:rsidR="00836229" w:rsidRPr="00B75B77">
          <w:rPr>
            <w:noProof/>
            <w:webHidden/>
          </w:rPr>
        </w:r>
        <w:r w:rsidR="00836229" w:rsidRPr="00B75B77">
          <w:rPr>
            <w:noProof/>
            <w:webHidden/>
          </w:rPr>
          <w:fldChar w:fldCharType="separate"/>
        </w:r>
        <w:r w:rsidR="0004016D">
          <w:rPr>
            <w:noProof/>
            <w:webHidden/>
          </w:rPr>
          <w:t>230</w:t>
        </w:r>
        <w:r w:rsidR="00836229" w:rsidRPr="00B75B77">
          <w:rPr>
            <w:noProof/>
            <w:webHidden/>
          </w:rPr>
          <w:fldChar w:fldCharType="end"/>
        </w:r>
      </w:hyperlink>
    </w:p>
    <w:p w:rsidR="00C30E96" w:rsidRPr="00B75B77" w:rsidRDefault="00A80005" w:rsidP="005076A7">
      <w:pPr>
        <w:rPr>
          <w:b/>
          <w:caps/>
        </w:rPr>
        <w:sectPr w:rsidR="00C30E96" w:rsidRPr="00B75B77" w:rsidSect="00F92686">
          <w:footerReference w:type="default" r:id="rId24"/>
          <w:headerReference w:type="first" r:id="rId25"/>
          <w:footerReference w:type="first" r:id="rId26"/>
          <w:pgSz w:w="12240" w:h="15840" w:code="1"/>
          <w:pgMar w:top="1172" w:right="1440" w:bottom="1260" w:left="1440" w:header="576" w:footer="475" w:gutter="0"/>
          <w:pgNumType w:fmt="lowerRoman" w:start="1"/>
          <w:cols w:space="720"/>
          <w:docGrid w:linePitch="360"/>
        </w:sectPr>
      </w:pPr>
      <w:r w:rsidRPr="00B75B77">
        <w:rPr>
          <w:rFonts w:ascii="Century Gothic" w:hAnsi="Century Gothic"/>
          <w:b/>
          <w:bCs/>
          <w:caps/>
          <w:smallCaps/>
          <w:szCs w:val="20"/>
        </w:rPr>
        <w:fldChar w:fldCharType="end"/>
      </w:r>
    </w:p>
    <w:p w:rsidR="00CF2ECE" w:rsidRPr="00B75B77" w:rsidRDefault="00CF2ECE" w:rsidP="002C2973">
      <w:pPr>
        <w:pStyle w:val="Heading1-No"/>
        <w:jc w:val="left"/>
      </w:pPr>
      <w:bookmarkStart w:id="2" w:name="_Toc466413254"/>
      <w:r w:rsidRPr="00B75B77">
        <w:lastRenderedPageBreak/>
        <w:t>List of Tables</w:t>
      </w:r>
      <w:bookmarkEnd w:id="2"/>
    </w:p>
    <w:p w:rsidR="00836229" w:rsidRPr="00B75B77" w:rsidRDefault="005923AF">
      <w:pPr>
        <w:pStyle w:val="TableofFigures"/>
        <w:tabs>
          <w:tab w:val="right" w:leader="dot" w:pos="9350"/>
        </w:tabs>
        <w:rPr>
          <w:rFonts w:asciiTheme="minorHAnsi" w:eastAsiaTheme="minorEastAsia" w:hAnsiTheme="minorHAnsi" w:cstheme="minorBidi"/>
          <w:noProof/>
          <w:sz w:val="22"/>
        </w:rPr>
      </w:pPr>
      <w:r w:rsidRPr="00B75B77">
        <w:fldChar w:fldCharType="begin"/>
      </w:r>
      <w:r w:rsidRPr="00B75B77">
        <w:instrText xml:space="preserve"> TOC \h \z \c "Table" </w:instrText>
      </w:r>
      <w:r w:rsidRPr="00B75B77">
        <w:fldChar w:fldCharType="separate"/>
      </w:r>
      <w:hyperlink w:anchor="_Toc466413483" w:history="1">
        <w:r w:rsidR="00836229" w:rsidRPr="00B75B77">
          <w:rPr>
            <w:rStyle w:val="Hyperlink"/>
            <w:noProof/>
          </w:rPr>
          <w:t>Table 1</w:t>
        </w:r>
        <w:r w:rsidR="00836229" w:rsidRPr="00B75B77">
          <w:rPr>
            <w:rStyle w:val="Hyperlink"/>
            <w:noProof/>
          </w:rPr>
          <w:noBreakHyphen/>
          <w:t>1: Phase II Verified Gross Savings and Verified Gross Savings from PY4 Carried Into Phase II</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_Toc466413483 \h </w:instrText>
        </w:r>
        <w:r w:rsidR="00836229" w:rsidRPr="00B75B77">
          <w:rPr>
            <w:noProof/>
            <w:webHidden/>
          </w:rPr>
        </w:r>
        <w:r w:rsidR="00836229" w:rsidRPr="00B75B77">
          <w:rPr>
            <w:noProof/>
            <w:webHidden/>
          </w:rPr>
          <w:fldChar w:fldCharType="separate"/>
        </w:r>
        <w:r w:rsidR="0004016D">
          <w:rPr>
            <w:noProof/>
            <w:webHidden/>
          </w:rPr>
          <w:t>2</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484" w:history="1">
        <w:r w:rsidR="00836229" w:rsidRPr="00B75B77">
          <w:rPr>
            <w:rStyle w:val="Hyperlink"/>
            <w:noProof/>
          </w:rPr>
          <w:t>Table 1</w:t>
        </w:r>
        <w:r w:rsidR="00836229" w:rsidRPr="00B75B77">
          <w:rPr>
            <w:rStyle w:val="Hyperlink"/>
            <w:noProof/>
          </w:rPr>
          <w:noBreakHyphen/>
          <w:t>2: Phase II Verified Gross Lifetime Savings and Verified Gross Lifetime Savings from Phase I Carried Into Phase II</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_Toc466413484 \h </w:instrText>
        </w:r>
        <w:r w:rsidR="00836229" w:rsidRPr="00B75B77">
          <w:rPr>
            <w:noProof/>
            <w:webHidden/>
          </w:rPr>
        </w:r>
        <w:r w:rsidR="00836229" w:rsidRPr="00B75B77">
          <w:rPr>
            <w:noProof/>
            <w:webHidden/>
          </w:rPr>
          <w:fldChar w:fldCharType="separate"/>
        </w:r>
        <w:r w:rsidR="0004016D">
          <w:rPr>
            <w:noProof/>
            <w:webHidden/>
          </w:rPr>
          <w:t>3</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485" w:history="1">
        <w:r w:rsidR="00836229" w:rsidRPr="00B75B77">
          <w:rPr>
            <w:rStyle w:val="Hyperlink"/>
            <w:noProof/>
          </w:rPr>
          <w:t>Table 1</w:t>
        </w:r>
        <w:r w:rsidR="00836229" w:rsidRPr="00B75B77">
          <w:rPr>
            <w:rStyle w:val="Hyperlink"/>
            <w:noProof/>
          </w:rPr>
          <w:noBreakHyphen/>
          <w:t>3: Phase I and Phase II Cumulative Annual Savings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_Toc466413485 \h </w:instrText>
        </w:r>
        <w:r w:rsidR="00836229" w:rsidRPr="00B75B77">
          <w:rPr>
            <w:noProof/>
            <w:webHidden/>
          </w:rPr>
        </w:r>
        <w:r w:rsidR="00836229" w:rsidRPr="00B75B77">
          <w:rPr>
            <w:noProof/>
            <w:webHidden/>
          </w:rPr>
          <w:fldChar w:fldCharType="separate"/>
        </w:r>
        <w:r w:rsidR="0004016D">
          <w:rPr>
            <w:noProof/>
            <w:webHidden/>
          </w:rPr>
          <w:t>3</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486" w:history="1">
        <w:r w:rsidR="00836229" w:rsidRPr="00B75B77">
          <w:rPr>
            <w:rStyle w:val="Hyperlink"/>
            <w:noProof/>
          </w:rPr>
          <w:t>Table 1</w:t>
        </w:r>
        <w:r w:rsidR="00836229" w:rsidRPr="00B75B77">
          <w:rPr>
            <w:rStyle w:val="Hyperlink"/>
            <w:noProof/>
          </w:rPr>
          <w:noBreakHyphen/>
          <w:t>4: Phase II Verified Net First-Year and Lifetime Savings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_Toc466413486 \h </w:instrText>
        </w:r>
        <w:r w:rsidR="00836229" w:rsidRPr="00B75B77">
          <w:rPr>
            <w:noProof/>
            <w:webHidden/>
          </w:rPr>
        </w:r>
        <w:r w:rsidR="00836229" w:rsidRPr="00B75B77">
          <w:rPr>
            <w:noProof/>
            <w:webHidden/>
          </w:rPr>
          <w:fldChar w:fldCharType="separate"/>
        </w:r>
        <w:r w:rsidR="0004016D">
          <w:rPr>
            <w:noProof/>
            <w:webHidden/>
          </w:rPr>
          <w:t>4</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487" w:history="1">
        <w:r w:rsidR="00836229" w:rsidRPr="00B75B77">
          <w:rPr>
            <w:rStyle w:val="Hyperlink"/>
            <w:noProof/>
          </w:rPr>
          <w:t>Table 1</w:t>
        </w:r>
        <w:r w:rsidR="00836229" w:rsidRPr="00B75B77">
          <w:rPr>
            <w:rStyle w:val="Hyperlink"/>
            <w:noProof/>
          </w:rPr>
          <w:noBreakHyphen/>
          <w:t>5: Phase II Low-Income Sector Compliance (Number of Measures)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_Toc466413487 \h </w:instrText>
        </w:r>
        <w:r w:rsidR="00836229" w:rsidRPr="00B75B77">
          <w:rPr>
            <w:noProof/>
            <w:webHidden/>
          </w:rPr>
        </w:r>
        <w:r w:rsidR="00836229" w:rsidRPr="00B75B77">
          <w:rPr>
            <w:noProof/>
            <w:webHidden/>
          </w:rPr>
          <w:fldChar w:fldCharType="separate"/>
        </w:r>
        <w:r w:rsidR="0004016D">
          <w:rPr>
            <w:noProof/>
            <w:webHidden/>
          </w:rPr>
          <w:t>5</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488" w:history="1">
        <w:r w:rsidR="00836229" w:rsidRPr="00B75B77">
          <w:rPr>
            <w:rStyle w:val="Hyperlink"/>
            <w:noProof/>
          </w:rPr>
          <w:t>Table 1</w:t>
        </w:r>
        <w:r w:rsidR="00836229" w:rsidRPr="00B75B77">
          <w:rPr>
            <w:rStyle w:val="Hyperlink"/>
            <w:noProof/>
          </w:rPr>
          <w:noBreakHyphen/>
          <w:t>6: Phase II Low-Income Sector Compliance (Percentage of Savings)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_Toc466413488 \h </w:instrText>
        </w:r>
        <w:r w:rsidR="00836229" w:rsidRPr="00B75B77">
          <w:rPr>
            <w:noProof/>
            <w:webHidden/>
          </w:rPr>
        </w:r>
        <w:r w:rsidR="00836229" w:rsidRPr="00B75B77">
          <w:rPr>
            <w:noProof/>
            <w:webHidden/>
          </w:rPr>
          <w:fldChar w:fldCharType="separate"/>
        </w:r>
        <w:r w:rsidR="0004016D">
          <w:rPr>
            <w:noProof/>
            <w:webHidden/>
          </w:rPr>
          <w:t>6</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489" w:history="1">
        <w:r w:rsidR="00836229" w:rsidRPr="00B75B77">
          <w:rPr>
            <w:rStyle w:val="Hyperlink"/>
            <w:noProof/>
          </w:rPr>
          <w:t>Table 1</w:t>
        </w:r>
        <w:r w:rsidR="00836229" w:rsidRPr="00B75B77">
          <w:rPr>
            <w:rStyle w:val="Hyperlink"/>
            <w:noProof/>
          </w:rPr>
          <w:noBreakHyphen/>
          <w:t>7: Phase II GNI Sector Compliance</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_Toc466413489 \h </w:instrText>
        </w:r>
        <w:r w:rsidR="00836229" w:rsidRPr="00B75B77">
          <w:rPr>
            <w:noProof/>
            <w:webHidden/>
          </w:rPr>
        </w:r>
        <w:r w:rsidR="00836229" w:rsidRPr="00B75B77">
          <w:rPr>
            <w:noProof/>
            <w:webHidden/>
          </w:rPr>
          <w:fldChar w:fldCharType="separate"/>
        </w:r>
        <w:r w:rsidR="0004016D">
          <w:rPr>
            <w:noProof/>
            <w:webHidden/>
          </w:rPr>
          <w:t>6</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490" w:history="1">
        <w:r w:rsidR="00836229" w:rsidRPr="00B75B77">
          <w:rPr>
            <w:rStyle w:val="Hyperlink"/>
            <w:noProof/>
          </w:rPr>
          <w:t>Table 1</w:t>
        </w:r>
        <w:r w:rsidR="00836229" w:rsidRPr="00B75B77">
          <w:rPr>
            <w:rStyle w:val="Hyperlink"/>
            <w:noProof/>
          </w:rPr>
          <w:noBreakHyphen/>
          <w:t>8: Summary of Phase II Performance by Sector</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_Toc466413490 \h </w:instrText>
        </w:r>
        <w:r w:rsidR="00836229" w:rsidRPr="00B75B77">
          <w:rPr>
            <w:noProof/>
            <w:webHidden/>
          </w:rPr>
        </w:r>
        <w:r w:rsidR="00836229" w:rsidRPr="00B75B77">
          <w:rPr>
            <w:noProof/>
            <w:webHidden/>
          </w:rPr>
          <w:fldChar w:fldCharType="separate"/>
        </w:r>
        <w:r w:rsidR="0004016D">
          <w:rPr>
            <w:noProof/>
            <w:webHidden/>
          </w:rPr>
          <w:t>7</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491" w:history="1">
        <w:r w:rsidR="00836229" w:rsidRPr="00B75B77">
          <w:rPr>
            <w:rStyle w:val="Hyperlink"/>
            <w:noProof/>
          </w:rPr>
          <w:t>Table 1</w:t>
        </w:r>
        <w:r w:rsidR="00836229" w:rsidRPr="00B75B77">
          <w:rPr>
            <w:rStyle w:val="Hyperlink"/>
            <w:noProof/>
          </w:rPr>
          <w:noBreakHyphen/>
          <w:t>9: Summary of Phase I Verified Gross Savings Remaining through Phase II</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_Toc466413491 \h </w:instrText>
        </w:r>
        <w:r w:rsidR="00836229" w:rsidRPr="00B75B77">
          <w:rPr>
            <w:noProof/>
            <w:webHidden/>
          </w:rPr>
        </w:r>
        <w:r w:rsidR="00836229" w:rsidRPr="00B75B77">
          <w:rPr>
            <w:noProof/>
            <w:webHidden/>
          </w:rPr>
          <w:fldChar w:fldCharType="separate"/>
        </w:r>
        <w:r w:rsidR="0004016D">
          <w:rPr>
            <w:noProof/>
            <w:webHidden/>
          </w:rPr>
          <w:t>8</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492" w:history="1">
        <w:r w:rsidR="00836229" w:rsidRPr="00B75B77">
          <w:rPr>
            <w:rStyle w:val="Hyperlink"/>
            <w:noProof/>
          </w:rPr>
          <w:t>Table 1</w:t>
        </w:r>
        <w:r w:rsidR="00836229" w:rsidRPr="00B75B77">
          <w:rPr>
            <w:rStyle w:val="Hyperlink"/>
            <w:noProof/>
          </w:rPr>
          <w:noBreakHyphen/>
          <w:t>10: Reported Participation and Gross Energy Savings by Program</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_Toc466413492 \h </w:instrText>
        </w:r>
        <w:r w:rsidR="00836229" w:rsidRPr="00B75B77">
          <w:rPr>
            <w:noProof/>
            <w:webHidden/>
          </w:rPr>
        </w:r>
        <w:r w:rsidR="00836229" w:rsidRPr="00B75B77">
          <w:rPr>
            <w:noProof/>
            <w:webHidden/>
          </w:rPr>
          <w:fldChar w:fldCharType="separate"/>
        </w:r>
        <w:r w:rsidR="0004016D">
          <w:rPr>
            <w:noProof/>
            <w:webHidden/>
          </w:rPr>
          <w:t>13</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493" w:history="1">
        <w:r w:rsidR="00836229" w:rsidRPr="00B75B77">
          <w:rPr>
            <w:rStyle w:val="Hyperlink"/>
            <w:noProof/>
          </w:rPr>
          <w:t>Table 1</w:t>
        </w:r>
        <w:r w:rsidR="00836229" w:rsidRPr="00B75B77">
          <w:rPr>
            <w:rStyle w:val="Hyperlink"/>
            <w:noProof/>
          </w:rPr>
          <w:noBreakHyphen/>
          <w:t>11: Verified Gross Energy Savings by Program</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_Toc466413493 \h </w:instrText>
        </w:r>
        <w:r w:rsidR="00836229" w:rsidRPr="00B75B77">
          <w:rPr>
            <w:noProof/>
            <w:webHidden/>
          </w:rPr>
        </w:r>
        <w:r w:rsidR="00836229" w:rsidRPr="00B75B77">
          <w:rPr>
            <w:noProof/>
            <w:webHidden/>
          </w:rPr>
          <w:fldChar w:fldCharType="separate"/>
        </w:r>
        <w:r w:rsidR="0004016D">
          <w:rPr>
            <w:noProof/>
            <w:webHidden/>
          </w:rPr>
          <w:t>14</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494" w:history="1">
        <w:r w:rsidR="00836229" w:rsidRPr="00B75B77">
          <w:rPr>
            <w:rStyle w:val="Hyperlink"/>
            <w:noProof/>
          </w:rPr>
          <w:t>Table 1</w:t>
        </w:r>
        <w:r w:rsidR="00836229" w:rsidRPr="00B75B77">
          <w:rPr>
            <w:rStyle w:val="Hyperlink"/>
            <w:noProof/>
          </w:rPr>
          <w:noBreakHyphen/>
          <w:t>12: Reported Participation and Gross Demand Reduction by Program</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_Toc466413494 \h </w:instrText>
        </w:r>
        <w:r w:rsidR="00836229" w:rsidRPr="00B75B77">
          <w:rPr>
            <w:noProof/>
            <w:webHidden/>
          </w:rPr>
        </w:r>
        <w:r w:rsidR="00836229" w:rsidRPr="00B75B77">
          <w:rPr>
            <w:noProof/>
            <w:webHidden/>
          </w:rPr>
          <w:fldChar w:fldCharType="separate"/>
        </w:r>
        <w:r w:rsidR="0004016D">
          <w:rPr>
            <w:noProof/>
            <w:webHidden/>
          </w:rPr>
          <w:t>17</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495" w:history="1">
        <w:r w:rsidR="00836229" w:rsidRPr="00B75B77">
          <w:rPr>
            <w:rStyle w:val="Hyperlink"/>
            <w:noProof/>
          </w:rPr>
          <w:t>Table 1</w:t>
        </w:r>
        <w:r w:rsidR="00836229" w:rsidRPr="00B75B77">
          <w:rPr>
            <w:rStyle w:val="Hyperlink"/>
            <w:noProof/>
          </w:rPr>
          <w:noBreakHyphen/>
          <w:t>13: Verified Gross Demand Reduction by Program</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_Toc466413495 \h </w:instrText>
        </w:r>
        <w:r w:rsidR="00836229" w:rsidRPr="00B75B77">
          <w:rPr>
            <w:noProof/>
            <w:webHidden/>
          </w:rPr>
        </w:r>
        <w:r w:rsidR="00836229" w:rsidRPr="00B75B77">
          <w:rPr>
            <w:noProof/>
            <w:webHidden/>
          </w:rPr>
          <w:fldChar w:fldCharType="separate"/>
        </w:r>
        <w:r w:rsidR="0004016D">
          <w:rPr>
            <w:noProof/>
            <w:webHidden/>
          </w:rPr>
          <w:t>18</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496" w:history="1">
        <w:r w:rsidR="00836229" w:rsidRPr="00B75B77">
          <w:rPr>
            <w:rStyle w:val="Hyperlink"/>
            <w:noProof/>
          </w:rPr>
          <w:t>Table 1</w:t>
        </w:r>
        <w:r w:rsidR="00836229" w:rsidRPr="00B75B77">
          <w:rPr>
            <w:rStyle w:val="Hyperlink"/>
            <w:noProof/>
          </w:rPr>
          <w:noBreakHyphen/>
          <w:t>14: PY7 NTG Ratios by Program</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_Toc466413496 \h </w:instrText>
        </w:r>
        <w:r w:rsidR="00836229" w:rsidRPr="00B75B77">
          <w:rPr>
            <w:noProof/>
            <w:webHidden/>
          </w:rPr>
        </w:r>
        <w:r w:rsidR="00836229" w:rsidRPr="00B75B77">
          <w:rPr>
            <w:noProof/>
            <w:webHidden/>
          </w:rPr>
          <w:fldChar w:fldCharType="separate"/>
        </w:r>
        <w:r w:rsidR="0004016D">
          <w:rPr>
            <w:noProof/>
            <w:webHidden/>
          </w:rPr>
          <w:t>19</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497" w:history="1">
        <w:r w:rsidR="00836229" w:rsidRPr="00B75B77">
          <w:rPr>
            <w:rStyle w:val="Hyperlink"/>
            <w:noProof/>
          </w:rPr>
          <w:t>Table 1</w:t>
        </w:r>
        <w:r w:rsidR="00836229" w:rsidRPr="00B75B77">
          <w:rPr>
            <w:rStyle w:val="Hyperlink"/>
            <w:noProof/>
          </w:rPr>
          <w:noBreakHyphen/>
          <w:t>15: Summary of Portfolio Finances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_Toc466413497 \h </w:instrText>
        </w:r>
        <w:r w:rsidR="00836229" w:rsidRPr="00B75B77">
          <w:rPr>
            <w:noProof/>
            <w:webHidden/>
          </w:rPr>
        </w:r>
        <w:r w:rsidR="00836229" w:rsidRPr="00B75B77">
          <w:rPr>
            <w:noProof/>
            <w:webHidden/>
          </w:rPr>
          <w:fldChar w:fldCharType="separate"/>
        </w:r>
        <w:r w:rsidR="0004016D">
          <w:rPr>
            <w:noProof/>
            <w:webHidden/>
          </w:rPr>
          <w:t>20</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498" w:history="1">
        <w:r w:rsidR="00836229" w:rsidRPr="00B75B77">
          <w:rPr>
            <w:rStyle w:val="Hyperlink"/>
            <w:noProof/>
          </w:rPr>
          <w:t>Table 1</w:t>
        </w:r>
        <w:r w:rsidR="00836229" w:rsidRPr="00B75B77">
          <w:rPr>
            <w:rStyle w:val="Hyperlink"/>
            <w:noProof/>
          </w:rPr>
          <w:noBreakHyphen/>
          <w:t>16: PYTD TRC Ratios by Program</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_Toc466413498 \h </w:instrText>
        </w:r>
        <w:r w:rsidR="00836229" w:rsidRPr="00B75B77">
          <w:rPr>
            <w:noProof/>
            <w:webHidden/>
          </w:rPr>
        </w:r>
        <w:r w:rsidR="00836229" w:rsidRPr="00B75B77">
          <w:rPr>
            <w:noProof/>
            <w:webHidden/>
          </w:rPr>
          <w:fldChar w:fldCharType="separate"/>
        </w:r>
        <w:r w:rsidR="0004016D">
          <w:rPr>
            <w:noProof/>
            <w:webHidden/>
          </w:rPr>
          <w:t>21</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499" w:history="1">
        <w:r w:rsidR="00836229" w:rsidRPr="00B75B77">
          <w:rPr>
            <w:rStyle w:val="Hyperlink"/>
            <w:noProof/>
          </w:rPr>
          <w:t>Table 1</w:t>
        </w:r>
        <w:r w:rsidR="00836229" w:rsidRPr="00B75B77">
          <w:rPr>
            <w:rStyle w:val="Hyperlink"/>
            <w:noProof/>
          </w:rPr>
          <w:noBreakHyphen/>
          <w:t>17: Comparison of PY7 Program Expenditures to PY7 EE&amp;C Plan</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_Toc466413499 \h </w:instrText>
        </w:r>
        <w:r w:rsidR="00836229" w:rsidRPr="00B75B77">
          <w:rPr>
            <w:noProof/>
            <w:webHidden/>
          </w:rPr>
        </w:r>
        <w:r w:rsidR="00836229" w:rsidRPr="00B75B77">
          <w:rPr>
            <w:noProof/>
            <w:webHidden/>
          </w:rPr>
          <w:fldChar w:fldCharType="separate"/>
        </w:r>
        <w:r w:rsidR="0004016D">
          <w:rPr>
            <w:noProof/>
            <w:webHidden/>
          </w:rPr>
          <w:t>22</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00" w:history="1">
        <w:r w:rsidR="00836229" w:rsidRPr="00B75B77">
          <w:rPr>
            <w:rStyle w:val="Hyperlink"/>
            <w:noProof/>
          </w:rPr>
          <w:t>Table 1</w:t>
        </w:r>
        <w:r w:rsidR="00836229" w:rsidRPr="00B75B77">
          <w:rPr>
            <w:rStyle w:val="Hyperlink"/>
            <w:noProof/>
          </w:rPr>
          <w:noBreakHyphen/>
          <w:t>18: Comparison of PY7 Actual Program Savings to EE&amp;C Plan for PY7</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_Toc466413500 \h </w:instrText>
        </w:r>
        <w:r w:rsidR="00836229" w:rsidRPr="00B75B77">
          <w:rPr>
            <w:noProof/>
            <w:webHidden/>
          </w:rPr>
        </w:r>
        <w:r w:rsidR="00836229" w:rsidRPr="00B75B77">
          <w:rPr>
            <w:noProof/>
            <w:webHidden/>
          </w:rPr>
          <w:fldChar w:fldCharType="separate"/>
        </w:r>
        <w:r w:rsidR="0004016D">
          <w:rPr>
            <w:noProof/>
            <w:webHidden/>
          </w:rPr>
          <w:t>23</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01" w:history="1">
        <w:r w:rsidR="00836229" w:rsidRPr="00B75B77">
          <w:rPr>
            <w:rStyle w:val="Hyperlink"/>
            <w:noProof/>
          </w:rPr>
          <w:t>Table 1</w:t>
        </w:r>
        <w:r w:rsidR="00836229" w:rsidRPr="00B75B77">
          <w:rPr>
            <w:rStyle w:val="Hyperlink"/>
            <w:noProof/>
          </w:rPr>
          <w:noBreakHyphen/>
          <w:t>19: Phase II TRC Ratios by Program</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_Toc466413501 \h </w:instrText>
        </w:r>
        <w:r w:rsidR="00836229" w:rsidRPr="00B75B77">
          <w:rPr>
            <w:noProof/>
            <w:webHidden/>
          </w:rPr>
        </w:r>
        <w:r w:rsidR="00836229" w:rsidRPr="00B75B77">
          <w:rPr>
            <w:noProof/>
            <w:webHidden/>
          </w:rPr>
          <w:fldChar w:fldCharType="separate"/>
        </w:r>
        <w:r w:rsidR="0004016D">
          <w:rPr>
            <w:noProof/>
            <w:webHidden/>
          </w:rPr>
          <w:t>25</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02" w:history="1">
        <w:r w:rsidR="00836229" w:rsidRPr="00B75B77">
          <w:rPr>
            <w:rStyle w:val="Hyperlink"/>
            <w:noProof/>
          </w:rPr>
          <w:t>Table 1</w:t>
        </w:r>
        <w:r w:rsidR="00836229" w:rsidRPr="00B75B77">
          <w:rPr>
            <w:rStyle w:val="Hyperlink"/>
            <w:noProof/>
          </w:rPr>
          <w:noBreakHyphen/>
          <w:t>20: Comparison of Phase II Program Expenditures to Phase II EE&amp;C Plan</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_Toc466413502 \h </w:instrText>
        </w:r>
        <w:r w:rsidR="00836229" w:rsidRPr="00B75B77">
          <w:rPr>
            <w:noProof/>
            <w:webHidden/>
          </w:rPr>
        </w:r>
        <w:r w:rsidR="00836229" w:rsidRPr="00B75B77">
          <w:rPr>
            <w:noProof/>
            <w:webHidden/>
          </w:rPr>
          <w:fldChar w:fldCharType="separate"/>
        </w:r>
        <w:r w:rsidR="0004016D">
          <w:rPr>
            <w:noProof/>
            <w:webHidden/>
          </w:rPr>
          <w:t>26</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03" w:history="1">
        <w:r w:rsidR="00836229" w:rsidRPr="00B75B77">
          <w:rPr>
            <w:rStyle w:val="Hyperlink"/>
            <w:noProof/>
          </w:rPr>
          <w:t>Table 1</w:t>
        </w:r>
        <w:r w:rsidR="00836229" w:rsidRPr="00B75B77">
          <w:rPr>
            <w:rStyle w:val="Hyperlink"/>
            <w:noProof/>
          </w:rPr>
          <w:noBreakHyphen/>
          <w:t>21: Comparison of Phase II Actual Program Savings to EE&amp;C Plan for Phase II</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_Toc466413503 \h </w:instrText>
        </w:r>
        <w:r w:rsidR="00836229" w:rsidRPr="00B75B77">
          <w:rPr>
            <w:noProof/>
            <w:webHidden/>
          </w:rPr>
        </w:r>
        <w:r w:rsidR="00836229" w:rsidRPr="00B75B77">
          <w:rPr>
            <w:noProof/>
            <w:webHidden/>
          </w:rPr>
          <w:fldChar w:fldCharType="separate"/>
        </w:r>
        <w:r w:rsidR="0004016D">
          <w:rPr>
            <w:noProof/>
            <w:webHidden/>
          </w:rPr>
          <w:t>27</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04" w:history="1">
        <w:r w:rsidR="00836229" w:rsidRPr="00B75B77">
          <w:rPr>
            <w:rStyle w:val="Hyperlink"/>
            <w:noProof/>
          </w:rPr>
          <w:t>Table 1</w:t>
        </w:r>
        <w:r w:rsidR="00836229" w:rsidRPr="00B75B77">
          <w:rPr>
            <w:rStyle w:val="Hyperlink"/>
            <w:noProof/>
          </w:rPr>
          <w:noBreakHyphen/>
          <w:t>22: Phase II Process and Impact Evaluation Recommendations from PY7 Evaluations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_Toc466413504 \h </w:instrText>
        </w:r>
        <w:r w:rsidR="00836229" w:rsidRPr="00B75B77">
          <w:rPr>
            <w:noProof/>
            <w:webHidden/>
          </w:rPr>
        </w:r>
        <w:r w:rsidR="00836229" w:rsidRPr="00B75B77">
          <w:rPr>
            <w:noProof/>
            <w:webHidden/>
          </w:rPr>
          <w:fldChar w:fldCharType="separate"/>
        </w:r>
        <w:r w:rsidR="0004016D">
          <w:rPr>
            <w:noProof/>
            <w:webHidden/>
          </w:rPr>
          <w:t>29</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05" w:history="1">
        <w:r w:rsidR="00836229" w:rsidRPr="00B75B77">
          <w:rPr>
            <w:rStyle w:val="Hyperlink"/>
            <w:noProof/>
          </w:rPr>
          <w:t>Table 1</w:t>
        </w:r>
        <w:r w:rsidR="00836229" w:rsidRPr="00B75B77">
          <w:rPr>
            <w:rStyle w:val="Hyperlink"/>
            <w:noProof/>
          </w:rPr>
          <w:noBreakHyphen/>
          <w:t>23: Summary of PY7 Site Visits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_Toc466413505 \h </w:instrText>
        </w:r>
        <w:r w:rsidR="00836229" w:rsidRPr="00B75B77">
          <w:rPr>
            <w:noProof/>
            <w:webHidden/>
          </w:rPr>
        </w:r>
        <w:r w:rsidR="00836229" w:rsidRPr="00B75B77">
          <w:rPr>
            <w:noProof/>
            <w:webHidden/>
          </w:rPr>
          <w:fldChar w:fldCharType="separate"/>
        </w:r>
        <w:r w:rsidR="0004016D">
          <w:rPr>
            <w:noProof/>
            <w:webHidden/>
          </w:rPr>
          <w:t>30</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06" w:history="1">
        <w:r w:rsidR="00836229" w:rsidRPr="00B75B77">
          <w:rPr>
            <w:rStyle w:val="Hyperlink"/>
            <w:noProof/>
          </w:rPr>
          <w:t>Table 2</w:t>
        </w:r>
        <w:r w:rsidR="00836229" w:rsidRPr="00B75B77">
          <w:rPr>
            <w:rStyle w:val="Hyperlink"/>
            <w:noProof/>
          </w:rPr>
          <w:noBreakHyphen/>
          <w:t>1: Phase II Smart Home Rebates Reported Results by Customer Sector</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_Toc466413506 \h </w:instrText>
        </w:r>
        <w:r w:rsidR="00836229" w:rsidRPr="00B75B77">
          <w:rPr>
            <w:noProof/>
            <w:webHidden/>
          </w:rPr>
        </w:r>
        <w:r w:rsidR="00836229" w:rsidRPr="00B75B77">
          <w:rPr>
            <w:noProof/>
            <w:webHidden/>
          </w:rPr>
          <w:fldChar w:fldCharType="separate"/>
        </w:r>
        <w:r w:rsidR="0004016D">
          <w:rPr>
            <w:noProof/>
            <w:webHidden/>
          </w:rPr>
          <w:t>32</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07" w:history="1">
        <w:r w:rsidR="00836229" w:rsidRPr="00B75B77">
          <w:rPr>
            <w:rStyle w:val="Hyperlink"/>
            <w:noProof/>
          </w:rPr>
          <w:t>Table 2</w:t>
        </w:r>
        <w:r w:rsidR="00836229" w:rsidRPr="00B75B77">
          <w:rPr>
            <w:rStyle w:val="Hyperlink"/>
            <w:noProof/>
          </w:rPr>
          <w:noBreakHyphen/>
          <w:t>2: Smart Home Rebates Sampling Strategy for PY7</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_Toc466413507 \h </w:instrText>
        </w:r>
        <w:r w:rsidR="00836229" w:rsidRPr="00B75B77">
          <w:rPr>
            <w:noProof/>
            <w:webHidden/>
          </w:rPr>
        </w:r>
        <w:r w:rsidR="00836229" w:rsidRPr="00B75B77">
          <w:rPr>
            <w:noProof/>
            <w:webHidden/>
          </w:rPr>
          <w:fldChar w:fldCharType="separate"/>
        </w:r>
        <w:r w:rsidR="0004016D">
          <w:rPr>
            <w:noProof/>
            <w:webHidden/>
          </w:rPr>
          <w:t>34</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08" w:history="1">
        <w:r w:rsidR="00836229" w:rsidRPr="00B75B77">
          <w:rPr>
            <w:rStyle w:val="Hyperlink"/>
            <w:noProof/>
          </w:rPr>
          <w:t>Table 2</w:t>
        </w:r>
        <w:r w:rsidR="00836229" w:rsidRPr="00B75B77">
          <w:rPr>
            <w:rStyle w:val="Hyperlink"/>
            <w:noProof/>
          </w:rPr>
          <w:noBreakHyphen/>
          <w:t>3: PY7 Smart Home Rebates Summary of Evaluation Results for Energy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_Toc466413508 \h </w:instrText>
        </w:r>
        <w:r w:rsidR="00836229" w:rsidRPr="00B75B77">
          <w:rPr>
            <w:noProof/>
            <w:webHidden/>
          </w:rPr>
        </w:r>
        <w:r w:rsidR="00836229" w:rsidRPr="00B75B77">
          <w:rPr>
            <w:noProof/>
            <w:webHidden/>
          </w:rPr>
          <w:fldChar w:fldCharType="separate"/>
        </w:r>
        <w:r w:rsidR="0004016D">
          <w:rPr>
            <w:noProof/>
            <w:webHidden/>
          </w:rPr>
          <w:t>34</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09" w:history="1">
        <w:r w:rsidR="00836229" w:rsidRPr="00B75B77">
          <w:rPr>
            <w:rStyle w:val="Hyperlink"/>
            <w:noProof/>
          </w:rPr>
          <w:t>Table 2</w:t>
        </w:r>
        <w:r w:rsidR="00836229" w:rsidRPr="00B75B77">
          <w:rPr>
            <w:rStyle w:val="Hyperlink"/>
            <w:noProof/>
          </w:rPr>
          <w:noBreakHyphen/>
          <w:t>4: PY7 Smart Home Rebates Summary of Evaluation Results for Demand (With Line Loss)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_Toc466413509 \h </w:instrText>
        </w:r>
        <w:r w:rsidR="00836229" w:rsidRPr="00B75B77">
          <w:rPr>
            <w:noProof/>
            <w:webHidden/>
          </w:rPr>
        </w:r>
        <w:r w:rsidR="00836229" w:rsidRPr="00B75B77">
          <w:rPr>
            <w:noProof/>
            <w:webHidden/>
          </w:rPr>
          <w:fldChar w:fldCharType="separate"/>
        </w:r>
        <w:r w:rsidR="0004016D">
          <w:rPr>
            <w:noProof/>
            <w:webHidden/>
          </w:rPr>
          <w:t>35</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10" w:history="1">
        <w:r w:rsidR="00836229" w:rsidRPr="00B75B77">
          <w:rPr>
            <w:rStyle w:val="Hyperlink"/>
            <w:noProof/>
          </w:rPr>
          <w:t>Table 2</w:t>
        </w:r>
        <w:r w:rsidR="00836229" w:rsidRPr="00B75B77">
          <w:rPr>
            <w:rStyle w:val="Hyperlink"/>
            <w:noProof/>
          </w:rPr>
          <w:noBreakHyphen/>
          <w:t>5: Nonresidential Installation Rate and Verified Energy and Demand Savings for All Bulb Purchases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_Toc466413510 \h </w:instrText>
        </w:r>
        <w:r w:rsidR="00836229" w:rsidRPr="00B75B77">
          <w:rPr>
            <w:noProof/>
            <w:webHidden/>
          </w:rPr>
        </w:r>
        <w:r w:rsidR="00836229" w:rsidRPr="00B75B77">
          <w:rPr>
            <w:noProof/>
            <w:webHidden/>
          </w:rPr>
          <w:fldChar w:fldCharType="separate"/>
        </w:r>
        <w:r w:rsidR="0004016D">
          <w:rPr>
            <w:noProof/>
            <w:webHidden/>
          </w:rPr>
          <w:t>35</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11" w:history="1">
        <w:r w:rsidR="00836229" w:rsidRPr="00B75B77">
          <w:rPr>
            <w:rStyle w:val="Hyperlink"/>
            <w:noProof/>
          </w:rPr>
          <w:t>Table 2</w:t>
        </w:r>
        <w:r w:rsidR="00836229" w:rsidRPr="00B75B77">
          <w:rPr>
            <w:rStyle w:val="Hyperlink"/>
            <w:noProof/>
          </w:rPr>
          <w:noBreakHyphen/>
          <w:t>6: Nonresidential Installation Rate and Verified Energy and Demand Savings Analyzed by Program Bulb Purchases Only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_Toc466413511 \h </w:instrText>
        </w:r>
        <w:r w:rsidR="00836229" w:rsidRPr="00B75B77">
          <w:rPr>
            <w:noProof/>
            <w:webHidden/>
          </w:rPr>
        </w:r>
        <w:r w:rsidR="00836229" w:rsidRPr="00B75B77">
          <w:rPr>
            <w:noProof/>
            <w:webHidden/>
          </w:rPr>
          <w:fldChar w:fldCharType="separate"/>
        </w:r>
        <w:r w:rsidR="0004016D">
          <w:rPr>
            <w:noProof/>
            <w:webHidden/>
          </w:rPr>
          <w:t>36</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12" w:history="1">
        <w:r w:rsidR="00836229" w:rsidRPr="00B75B77">
          <w:rPr>
            <w:rStyle w:val="Hyperlink"/>
            <w:noProof/>
          </w:rPr>
          <w:t>Table 2</w:t>
        </w:r>
        <w:r w:rsidR="00836229" w:rsidRPr="00B75B77">
          <w:rPr>
            <w:rStyle w:val="Hyperlink"/>
            <w:noProof/>
          </w:rPr>
          <w:noBreakHyphen/>
          <w:t>7: Smart Home Rebates Sampling Strategy for PY7 NTG Research</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_Toc466413512 \h </w:instrText>
        </w:r>
        <w:r w:rsidR="00836229" w:rsidRPr="00B75B77">
          <w:rPr>
            <w:noProof/>
            <w:webHidden/>
          </w:rPr>
        </w:r>
        <w:r w:rsidR="00836229" w:rsidRPr="00B75B77">
          <w:rPr>
            <w:noProof/>
            <w:webHidden/>
          </w:rPr>
          <w:fldChar w:fldCharType="separate"/>
        </w:r>
        <w:r w:rsidR="0004016D">
          <w:rPr>
            <w:noProof/>
            <w:webHidden/>
          </w:rPr>
          <w:t>37</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13" w:history="1">
        <w:r w:rsidR="00836229" w:rsidRPr="00B75B77">
          <w:rPr>
            <w:rStyle w:val="Hyperlink"/>
            <w:noProof/>
          </w:rPr>
          <w:t>Table 2</w:t>
        </w:r>
        <w:r w:rsidR="00836229" w:rsidRPr="00B75B77">
          <w:rPr>
            <w:rStyle w:val="Hyperlink"/>
            <w:noProof/>
          </w:rPr>
          <w:noBreakHyphen/>
          <w:t>8: PY7 Smart Home Rebates Summary of Evaluation Results for Lighting NTG Research</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_Toc466413513 \h </w:instrText>
        </w:r>
        <w:r w:rsidR="00836229" w:rsidRPr="00B75B77">
          <w:rPr>
            <w:noProof/>
            <w:webHidden/>
          </w:rPr>
        </w:r>
        <w:r w:rsidR="00836229" w:rsidRPr="00B75B77">
          <w:rPr>
            <w:noProof/>
            <w:webHidden/>
          </w:rPr>
          <w:fldChar w:fldCharType="separate"/>
        </w:r>
        <w:r w:rsidR="0004016D">
          <w:rPr>
            <w:noProof/>
            <w:webHidden/>
          </w:rPr>
          <w:t>38</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14" w:history="1">
        <w:r w:rsidR="00836229" w:rsidRPr="00B75B77">
          <w:rPr>
            <w:rStyle w:val="Hyperlink"/>
            <w:noProof/>
          </w:rPr>
          <w:t>Table 2</w:t>
        </w:r>
        <w:r w:rsidR="00836229" w:rsidRPr="00B75B77">
          <w:rPr>
            <w:rStyle w:val="Hyperlink"/>
            <w:noProof/>
          </w:rPr>
          <w:noBreakHyphen/>
          <w:t>9: Smart Home Rebates Process Sampling Strategy for PY7</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_Toc466413514 \h </w:instrText>
        </w:r>
        <w:r w:rsidR="00836229" w:rsidRPr="00B75B77">
          <w:rPr>
            <w:noProof/>
            <w:webHidden/>
          </w:rPr>
        </w:r>
        <w:r w:rsidR="00836229" w:rsidRPr="00B75B77">
          <w:rPr>
            <w:noProof/>
            <w:webHidden/>
          </w:rPr>
          <w:fldChar w:fldCharType="separate"/>
        </w:r>
        <w:r w:rsidR="0004016D">
          <w:rPr>
            <w:noProof/>
            <w:webHidden/>
          </w:rPr>
          <w:t>39</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15" w:history="1">
        <w:r w:rsidR="00836229" w:rsidRPr="00B75B77">
          <w:rPr>
            <w:rStyle w:val="Hyperlink"/>
            <w:noProof/>
          </w:rPr>
          <w:t>Table 2</w:t>
        </w:r>
        <w:r w:rsidR="00836229" w:rsidRPr="00B75B77">
          <w:rPr>
            <w:rStyle w:val="Hyperlink"/>
            <w:noProof/>
          </w:rPr>
          <w:noBreakHyphen/>
          <w:t>10: In-Store Participant Awareness of PECO as Source of Lighting Discounts (n = 109)</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_Toc466413515 \h </w:instrText>
        </w:r>
        <w:r w:rsidR="00836229" w:rsidRPr="00B75B77">
          <w:rPr>
            <w:noProof/>
            <w:webHidden/>
          </w:rPr>
        </w:r>
        <w:r w:rsidR="00836229" w:rsidRPr="00B75B77">
          <w:rPr>
            <w:noProof/>
            <w:webHidden/>
          </w:rPr>
          <w:fldChar w:fldCharType="separate"/>
        </w:r>
        <w:r w:rsidR="0004016D">
          <w:rPr>
            <w:noProof/>
            <w:webHidden/>
          </w:rPr>
          <w:t>41</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16" w:history="1">
        <w:r w:rsidR="00836229" w:rsidRPr="00B75B77">
          <w:rPr>
            <w:rStyle w:val="Hyperlink"/>
            <w:noProof/>
          </w:rPr>
          <w:t>Table 2</w:t>
        </w:r>
        <w:r w:rsidR="00836229" w:rsidRPr="00B75B77">
          <w:rPr>
            <w:rStyle w:val="Hyperlink"/>
            <w:noProof/>
          </w:rPr>
          <w:noBreakHyphen/>
          <w:t>11: Source of First Learning of PECO’s Lighting Discounts (n = 77)</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_Toc466413516 \h </w:instrText>
        </w:r>
        <w:r w:rsidR="00836229" w:rsidRPr="00B75B77">
          <w:rPr>
            <w:noProof/>
            <w:webHidden/>
          </w:rPr>
        </w:r>
        <w:r w:rsidR="00836229" w:rsidRPr="00B75B77">
          <w:rPr>
            <w:noProof/>
            <w:webHidden/>
          </w:rPr>
          <w:fldChar w:fldCharType="separate"/>
        </w:r>
        <w:r w:rsidR="0004016D">
          <w:rPr>
            <w:noProof/>
            <w:webHidden/>
          </w:rPr>
          <w:t>41</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17" w:history="1">
        <w:r w:rsidR="00836229" w:rsidRPr="00B75B77">
          <w:rPr>
            <w:rStyle w:val="Hyperlink"/>
            <w:noProof/>
          </w:rPr>
          <w:t>Table 2</w:t>
        </w:r>
        <w:r w:rsidR="00836229" w:rsidRPr="00B75B77">
          <w:rPr>
            <w:rStyle w:val="Hyperlink"/>
            <w:noProof/>
          </w:rPr>
          <w:noBreakHyphen/>
          <w:t>12: Customer Light Bulb Purchase Intentions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_Toc466413517 \h </w:instrText>
        </w:r>
        <w:r w:rsidR="00836229" w:rsidRPr="00B75B77">
          <w:rPr>
            <w:noProof/>
            <w:webHidden/>
          </w:rPr>
        </w:r>
        <w:r w:rsidR="00836229" w:rsidRPr="00B75B77">
          <w:rPr>
            <w:noProof/>
            <w:webHidden/>
          </w:rPr>
          <w:fldChar w:fldCharType="separate"/>
        </w:r>
        <w:r w:rsidR="0004016D">
          <w:rPr>
            <w:noProof/>
            <w:webHidden/>
          </w:rPr>
          <w:t>41</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18" w:history="1">
        <w:r w:rsidR="00836229" w:rsidRPr="00B75B77">
          <w:rPr>
            <w:rStyle w:val="Hyperlink"/>
            <w:noProof/>
          </w:rPr>
          <w:t>Table 2</w:t>
        </w:r>
        <w:r w:rsidR="00836229" w:rsidRPr="00B75B77">
          <w:rPr>
            <w:rStyle w:val="Hyperlink"/>
            <w:noProof/>
          </w:rPr>
          <w:noBreakHyphen/>
          <w:t>13: Reasons Cited for Not Purchasing Energy Efficient Bulb Types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_Toc466413518 \h </w:instrText>
        </w:r>
        <w:r w:rsidR="00836229" w:rsidRPr="00B75B77">
          <w:rPr>
            <w:noProof/>
            <w:webHidden/>
          </w:rPr>
        </w:r>
        <w:r w:rsidR="00836229" w:rsidRPr="00B75B77">
          <w:rPr>
            <w:noProof/>
            <w:webHidden/>
          </w:rPr>
          <w:fldChar w:fldCharType="separate"/>
        </w:r>
        <w:r w:rsidR="0004016D">
          <w:rPr>
            <w:noProof/>
            <w:webHidden/>
          </w:rPr>
          <w:t>42</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19" w:history="1">
        <w:r w:rsidR="00836229" w:rsidRPr="00B75B77">
          <w:rPr>
            <w:rStyle w:val="Hyperlink"/>
            <w:noProof/>
          </w:rPr>
          <w:t>Table 2</w:t>
        </w:r>
        <w:r w:rsidR="00836229" w:rsidRPr="00B75B77">
          <w:rPr>
            <w:rStyle w:val="Hyperlink"/>
            <w:noProof/>
          </w:rPr>
          <w:noBreakHyphen/>
          <w:t>14: Smart Home Rebates Status Report on Process and Impact Recommendations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_Toc466413519 \h </w:instrText>
        </w:r>
        <w:r w:rsidR="00836229" w:rsidRPr="00B75B77">
          <w:rPr>
            <w:noProof/>
            <w:webHidden/>
          </w:rPr>
        </w:r>
        <w:r w:rsidR="00836229" w:rsidRPr="00B75B77">
          <w:rPr>
            <w:noProof/>
            <w:webHidden/>
          </w:rPr>
          <w:fldChar w:fldCharType="separate"/>
        </w:r>
        <w:r w:rsidR="0004016D">
          <w:rPr>
            <w:noProof/>
            <w:webHidden/>
          </w:rPr>
          <w:t>45</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20" w:history="1">
        <w:r w:rsidR="00836229" w:rsidRPr="00B75B77">
          <w:rPr>
            <w:rStyle w:val="Hyperlink"/>
            <w:noProof/>
          </w:rPr>
          <w:t>Table 2</w:t>
        </w:r>
        <w:r w:rsidR="00836229" w:rsidRPr="00B75B77">
          <w:rPr>
            <w:rStyle w:val="Hyperlink"/>
            <w:noProof/>
          </w:rPr>
          <w:noBreakHyphen/>
          <w:t>15: Summary of Smart Home Rebates Program Finances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_Toc466413520 \h </w:instrText>
        </w:r>
        <w:r w:rsidR="00836229" w:rsidRPr="00B75B77">
          <w:rPr>
            <w:noProof/>
            <w:webHidden/>
          </w:rPr>
        </w:r>
        <w:r w:rsidR="00836229" w:rsidRPr="00B75B77">
          <w:rPr>
            <w:noProof/>
            <w:webHidden/>
          </w:rPr>
          <w:fldChar w:fldCharType="separate"/>
        </w:r>
        <w:r w:rsidR="0004016D">
          <w:rPr>
            <w:noProof/>
            <w:webHidden/>
          </w:rPr>
          <w:t>46</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21" w:history="1">
        <w:r w:rsidR="00836229" w:rsidRPr="00B75B77">
          <w:rPr>
            <w:rStyle w:val="Hyperlink"/>
            <w:noProof/>
          </w:rPr>
          <w:t>Table 3</w:t>
        </w:r>
        <w:r w:rsidR="00836229" w:rsidRPr="00B75B77">
          <w:rPr>
            <w:rStyle w:val="Hyperlink"/>
            <w:noProof/>
          </w:rPr>
          <w:noBreakHyphen/>
          <w:t>1: Phase II Smart House Call Reported Results by Customer Sector</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_Toc466413521 \h </w:instrText>
        </w:r>
        <w:r w:rsidR="00836229" w:rsidRPr="00B75B77">
          <w:rPr>
            <w:noProof/>
            <w:webHidden/>
          </w:rPr>
        </w:r>
        <w:r w:rsidR="00836229" w:rsidRPr="00B75B77">
          <w:rPr>
            <w:noProof/>
            <w:webHidden/>
          </w:rPr>
          <w:fldChar w:fldCharType="separate"/>
        </w:r>
        <w:r w:rsidR="0004016D">
          <w:rPr>
            <w:noProof/>
            <w:webHidden/>
          </w:rPr>
          <w:t>48</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22" w:history="1">
        <w:r w:rsidR="00836229" w:rsidRPr="00B75B77">
          <w:rPr>
            <w:rStyle w:val="Hyperlink"/>
            <w:noProof/>
          </w:rPr>
          <w:t>Table 3</w:t>
        </w:r>
        <w:r w:rsidR="00836229" w:rsidRPr="00B75B77">
          <w:rPr>
            <w:rStyle w:val="Hyperlink"/>
            <w:noProof/>
          </w:rPr>
          <w:noBreakHyphen/>
          <w:t>2: Smart House Call Sampling Strategy for PY7</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_Toc466413522 \h </w:instrText>
        </w:r>
        <w:r w:rsidR="00836229" w:rsidRPr="00B75B77">
          <w:rPr>
            <w:noProof/>
            <w:webHidden/>
          </w:rPr>
        </w:r>
        <w:r w:rsidR="00836229" w:rsidRPr="00B75B77">
          <w:rPr>
            <w:noProof/>
            <w:webHidden/>
          </w:rPr>
          <w:fldChar w:fldCharType="separate"/>
        </w:r>
        <w:r w:rsidR="0004016D">
          <w:rPr>
            <w:noProof/>
            <w:webHidden/>
          </w:rPr>
          <w:t>49</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23" w:history="1">
        <w:r w:rsidR="00836229" w:rsidRPr="00B75B77">
          <w:rPr>
            <w:rStyle w:val="Hyperlink"/>
            <w:noProof/>
          </w:rPr>
          <w:t>Table 3</w:t>
        </w:r>
        <w:r w:rsidR="00836229" w:rsidRPr="00B75B77">
          <w:rPr>
            <w:rStyle w:val="Hyperlink"/>
            <w:noProof/>
          </w:rPr>
          <w:noBreakHyphen/>
          <w:t>3: PY7 Smart House Call Summary of Evaluation Results for Energy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_Toc466413523 \h </w:instrText>
        </w:r>
        <w:r w:rsidR="00836229" w:rsidRPr="00B75B77">
          <w:rPr>
            <w:noProof/>
            <w:webHidden/>
          </w:rPr>
        </w:r>
        <w:r w:rsidR="00836229" w:rsidRPr="00B75B77">
          <w:rPr>
            <w:noProof/>
            <w:webHidden/>
          </w:rPr>
          <w:fldChar w:fldCharType="separate"/>
        </w:r>
        <w:r w:rsidR="0004016D">
          <w:rPr>
            <w:noProof/>
            <w:webHidden/>
          </w:rPr>
          <w:t>50</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24" w:history="1">
        <w:r w:rsidR="00836229" w:rsidRPr="00B75B77">
          <w:rPr>
            <w:rStyle w:val="Hyperlink"/>
            <w:noProof/>
          </w:rPr>
          <w:t>Table 3</w:t>
        </w:r>
        <w:r w:rsidR="00836229" w:rsidRPr="00B75B77">
          <w:rPr>
            <w:rStyle w:val="Hyperlink"/>
            <w:noProof/>
          </w:rPr>
          <w:noBreakHyphen/>
          <w:t>4: PY7 Smart House Call Summary of Evaluation Results for Demand</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_Toc466413524 \h </w:instrText>
        </w:r>
        <w:r w:rsidR="00836229" w:rsidRPr="00B75B77">
          <w:rPr>
            <w:noProof/>
            <w:webHidden/>
          </w:rPr>
        </w:r>
        <w:r w:rsidR="00836229" w:rsidRPr="00B75B77">
          <w:rPr>
            <w:noProof/>
            <w:webHidden/>
          </w:rPr>
          <w:fldChar w:fldCharType="separate"/>
        </w:r>
        <w:r w:rsidR="0004016D">
          <w:rPr>
            <w:noProof/>
            <w:webHidden/>
          </w:rPr>
          <w:t>51</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25" w:history="1">
        <w:r w:rsidR="00836229" w:rsidRPr="00B75B77">
          <w:rPr>
            <w:rStyle w:val="Hyperlink"/>
            <w:noProof/>
          </w:rPr>
          <w:t>Table 3</w:t>
        </w:r>
        <w:r w:rsidR="00836229" w:rsidRPr="00B75B77">
          <w:rPr>
            <w:rStyle w:val="Hyperlink"/>
            <w:noProof/>
          </w:rPr>
          <w:noBreakHyphen/>
          <w:t>5: Smart House Call Sampling Strategy for PY7 NTG Research</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_Toc466413525 \h </w:instrText>
        </w:r>
        <w:r w:rsidR="00836229" w:rsidRPr="00B75B77">
          <w:rPr>
            <w:noProof/>
            <w:webHidden/>
          </w:rPr>
        </w:r>
        <w:r w:rsidR="00836229" w:rsidRPr="00B75B77">
          <w:rPr>
            <w:noProof/>
            <w:webHidden/>
          </w:rPr>
          <w:fldChar w:fldCharType="separate"/>
        </w:r>
        <w:r w:rsidR="0004016D">
          <w:rPr>
            <w:noProof/>
            <w:webHidden/>
          </w:rPr>
          <w:t>52</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26" w:history="1">
        <w:r w:rsidR="00836229" w:rsidRPr="00B75B77">
          <w:rPr>
            <w:rStyle w:val="Hyperlink"/>
            <w:noProof/>
          </w:rPr>
          <w:t>Table 3</w:t>
        </w:r>
        <w:r w:rsidR="00836229" w:rsidRPr="00B75B77">
          <w:rPr>
            <w:rStyle w:val="Hyperlink"/>
            <w:noProof/>
          </w:rPr>
          <w:noBreakHyphen/>
          <w:t>6: PY7 Smart House Call Summary of Evaluation Results for NTG Research</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_Toc466413526 \h </w:instrText>
        </w:r>
        <w:r w:rsidR="00836229" w:rsidRPr="00B75B77">
          <w:rPr>
            <w:noProof/>
            <w:webHidden/>
          </w:rPr>
        </w:r>
        <w:r w:rsidR="00836229" w:rsidRPr="00B75B77">
          <w:rPr>
            <w:noProof/>
            <w:webHidden/>
          </w:rPr>
          <w:fldChar w:fldCharType="separate"/>
        </w:r>
        <w:r w:rsidR="0004016D">
          <w:rPr>
            <w:noProof/>
            <w:webHidden/>
          </w:rPr>
          <w:t>55</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27" w:history="1">
        <w:r w:rsidR="00836229" w:rsidRPr="00B75B77">
          <w:rPr>
            <w:rStyle w:val="Hyperlink"/>
            <w:noProof/>
          </w:rPr>
          <w:t>Table 3</w:t>
        </w:r>
        <w:r w:rsidR="00836229" w:rsidRPr="00B75B77">
          <w:rPr>
            <w:rStyle w:val="Hyperlink"/>
            <w:noProof/>
          </w:rPr>
          <w:noBreakHyphen/>
          <w:t>7: Smart House Call Process Sampling Strategy for PY7</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_Toc466413527 \h </w:instrText>
        </w:r>
        <w:r w:rsidR="00836229" w:rsidRPr="00B75B77">
          <w:rPr>
            <w:noProof/>
            <w:webHidden/>
          </w:rPr>
        </w:r>
        <w:r w:rsidR="00836229" w:rsidRPr="00B75B77">
          <w:rPr>
            <w:noProof/>
            <w:webHidden/>
          </w:rPr>
          <w:fldChar w:fldCharType="separate"/>
        </w:r>
        <w:r w:rsidR="0004016D">
          <w:rPr>
            <w:noProof/>
            <w:webHidden/>
          </w:rPr>
          <w:t>55</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28" w:history="1">
        <w:r w:rsidR="00836229" w:rsidRPr="00B75B77">
          <w:rPr>
            <w:rStyle w:val="Hyperlink"/>
            <w:noProof/>
          </w:rPr>
          <w:t>Table 3</w:t>
        </w:r>
        <w:r w:rsidR="00836229" w:rsidRPr="00B75B77">
          <w:rPr>
            <w:rStyle w:val="Hyperlink"/>
            <w:noProof/>
          </w:rPr>
          <w:noBreakHyphen/>
          <w:t>8: Smart House Call Status Report on Process and Impact Recommendations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_Toc466413528 \h </w:instrText>
        </w:r>
        <w:r w:rsidR="00836229" w:rsidRPr="00B75B77">
          <w:rPr>
            <w:noProof/>
            <w:webHidden/>
          </w:rPr>
        </w:r>
        <w:r w:rsidR="00836229" w:rsidRPr="00B75B77">
          <w:rPr>
            <w:noProof/>
            <w:webHidden/>
          </w:rPr>
          <w:fldChar w:fldCharType="separate"/>
        </w:r>
        <w:r w:rsidR="0004016D">
          <w:rPr>
            <w:noProof/>
            <w:webHidden/>
          </w:rPr>
          <w:t>60</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29" w:history="1">
        <w:r w:rsidR="00836229" w:rsidRPr="00B75B77">
          <w:rPr>
            <w:rStyle w:val="Hyperlink"/>
            <w:noProof/>
          </w:rPr>
          <w:t>Table 3</w:t>
        </w:r>
        <w:r w:rsidR="00836229" w:rsidRPr="00B75B77">
          <w:rPr>
            <w:rStyle w:val="Hyperlink"/>
            <w:noProof/>
          </w:rPr>
          <w:noBreakHyphen/>
          <w:t>9: Summary of Smart House Call Program Finances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_Toc466413529 \h </w:instrText>
        </w:r>
        <w:r w:rsidR="00836229" w:rsidRPr="00B75B77">
          <w:rPr>
            <w:noProof/>
            <w:webHidden/>
          </w:rPr>
        </w:r>
        <w:r w:rsidR="00836229" w:rsidRPr="00B75B77">
          <w:rPr>
            <w:noProof/>
            <w:webHidden/>
          </w:rPr>
          <w:fldChar w:fldCharType="separate"/>
        </w:r>
        <w:r w:rsidR="0004016D">
          <w:rPr>
            <w:noProof/>
            <w:webHidden/>
          </w:rPr>
          <w:t>61</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30" w:history="1">
        <w:r w:rsidR="00836229" w:rsidRPr="00B75B77">
          <w:rPr>
            <w:rStyle w:val="Hyperlink"/>
            <w:noProof/>
          </w:rPr>
          <w:t>Table 4</w:t>
        </w:r>
        <w:r w:rsidR="00836229" w:rsidRPr="00B75B77">
          <w:rPr>
            <w:rStyle w:val="Hyperlink"/>
            <w:noProof/>
          </w:rPr>
          <w:noBreakHyphen/>
          <w:t>1: Phase II Smart Appliance Recycling Reported Results by Customer Sector</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_Toc466413530 \h </w:instrText>
        </w:r>
        <w:r w:rsidR="00836229" w:rsidRPr="00B75B77">
          <w:rPr>
            <w:noProof/>
            <w:webHidden/>
          </w:rPr>
        </w:r>
        <w:r w:rsidR="00836229" w:rsidRPr="00B75B77">
          <w:rPr>
            <w:noProof/>
            <w:webHidden/>
          </w:rPr>
          <w:fldChar w:fldCharType="separate"/>
        </w:r>
        <w:r w:rsidR="0004016D">
          <w:rPr>
            <w:noProof/>
            <w:webHidden/>
          </w:rPr>
          <w:t>64</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31" w:history="1">
        <w:r w:rsidR="00836229" w:rsidRPr="00B75B77">
          <w:rPr>
            <w:rStyle w:val="Hyperlink"/>
            <w:noProof/>
          </w:rPr>
          <w:t>Table 4</w:t>
        </w:r>
        <w:r w:rsidR="00836229" w:rsidRPr="00B75B77">
          <w:rPr>
            <w:rStyle w:val="Hyperlink"/>
            <w:noProof/>
          </w:rPr>
          <w:noBreakHyphen/>
          <w:t>2: Smart Appliance Recycling Sampling Strategy for PY7</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_Toc466413531 \h </w:instrText>
        </w:r>
        <w:r w:rsidR="00836229" w:rsidRPr="00B75B77">
          <w:rPr>
            <w:noProof/>
            <w:webHidden/>
          </w:rPr>
        </w:r>
        <w:r w:rsidR="00836229" w:rsidRPr="00B75B77">
          <w:rPr>
            <w:noProof/>
            <w:webHidden/>
          </w:rPr>
          <w:fldChar w:fldCharType="separate"/>
        </w:r>
        <w:r w:rsidR="0004016D">
          <w:rPr>
            <w:noProof/>
            <w:webHidden/>
          </w:rPr>
          <w:t>65</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32" w:history="1">
        <w:r w:rsidR="00836229" w:rsidRPr="00B75B77">
          <w:rPr>
            <w:rStyle w:val="Hyperlink"/>
            <w:noProof/>
          </w:rPr>
          <w:t>Table 4</w:t>
        </w:r>
        <w:r w:rsidR="00836229" w:rsidRPr="00B75B77">
          <w:rPr>
            <w:rStyle w:val="Hyperlink"/>
            <w:noProof/>
          </w:rPr>
          <w:noBreakHyphen/>
          <w:t>3: PY7 Smart Appliance Recycling Summary of Evaluation Results for Energy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_Toc466413532 \h </w:instrText>
        </w:r>
        <w:r w:rsidR="00836229" w:rsidRPr="00B75B77">
          <w:rPr>
            <w:noProof/>
            <w:webHidden/>
          </w:rPr>
        </w:r>
        <w:r w:rsidR="00836229" w:rsidRPr="00B75B77">
          <w:rPr>
            <w:noProof/>
            <w:webHidden/>
          </w:rPr>
          <w:fldChar w:fldCharType="separate"/>
        </w:r>
        <w:r w:rsidR="0004016D">
          <w:rPr>
            <w:noProof/>
            <w:webHidden/>
          </w:rPr>
          <w:t>66</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33" w:history="1">
        <w:r w:rsidR="00836229" w:rsidRPr="00B75B77">
          <w:rPr>
            <w:rStyle w:val="Hyperlink"/>
            <w:noProof/>
          </w:rPr>
          <w:t>Table 4</w:t>
        </w:r>
        <w:r w:rsidR="00836229" w:rsidRPr="00B75B77">
          <w:rPr>
            <w:rStyle w:val="Hyperlink"/>
            <w:noProof/>
          </w:rPr>
          <w:noBreakHyphen/>
          <w:t>4: PY7 Smart Appliance Recycling Summary of Evaluation Results for Demand</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_Toc466413533 \h </w:instrText>
        </w:r>
        <w:r w:rsidR="00836229" w:rsidRPr="00B75B77">
          <w:rPr>
            <w:noProof/>
            <w:webHidden/>
          </w:rPr>
        </w:r>
        <w:r w:rsidR="00836229" w:rsidRPr="00B75B77">
          <w:rPr>
            <w:noProof/>
            <w:webHidden/>
          </w:rPr>
          <w:fldChar w:fldCharType="separate"/>
        </w:r>
        <w:r w:rsidR="0004016D">
          <w:rPr>
            <w:noProof/>
            <w:webHidden/>
          </w:rPr>
          <w:t>67</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34" w:history="1">
        <w:r w:rsidR="00836229" w:rsidRPr="00B75B77">
          <w:rPr>
            <w:rStyle w:val="Hyperlink"/>
            <w:noProof/>
          </w:rPr>
          <w:t>Table 4</w:t>
        </w:r>
        <w:r w:rsidR="00836229" w:rsidRPr="00B75B77">
          <w:rPr>
            <w:rStyle w:val="Hyperlink"/>
            <w:noProof/>
          </w:rPr>
          <w:noBreakHyphen/>
          <w:t>5: Smart Appliance Recycling Sampling Strategy for PY7 NTG Research</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_Toc466413534 \h </w:instrText>
        </w:r>
        <w:r w:rsidR="00836229" w:rsidRPr="00B75B77">
          <w:rPr>
            <w:noProof/>
            <w:webHidden/>
          </w:rPr>
        </w:r>
        <w:r w:rsidR="00836229" w:rsidRPr="00B75B77">
          <w:rPr>
            <w:noProof/>
            <w:webHidden/>
          </w:rPr>
          <w:fldChar w:fldCharType="separate"/>
        </w:r>
        <w:r w:rsidR="0004016D">
          <w:rPr>
            <w:noProof/>
            <w:webHidden/>
          </w:rPr>
          <w:t>68</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35" w:history="1">
        <w:r w:rsidR="00836229" w:rsidRPr="00B75B77">
          <w:rPr>
            <w:rStyle w:val="Hyperlink"/>
            <w:noProof/>
          </w:rPr>
          <w:t>Table 4</w:t>
        </w:r>
        <w:r w:rsidR="00836229" w:rsidRPr="00B75B77">
          <w:rPr>
            <w:rStyle w:val="Hyperlink"/>
            <w:noProof/>
          </w:rPr>
          <w:noBreakHyphen/>
          <w:t>6: Smart Appliance Recycling Refrigerator Discard/Keep Proportions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_Toc466413535 \h </w:instrText>
        </w:r>
        <w:r w:rsidR="00836229" w:rsidRPr="00B75B77">
          <w:rPr>
            <w:noProof/>
            <w:webHidden/>
          </w:rPr>
        </w:r>
        <w:r w:rsidR="00836229" w:rsidRPr="00B75B77">
          <w:rPr>
            <w:noProof/>
            <w:webHidden/>
          </w:rPr>
          <w:fldChar w:fldCharType="separate"/>
        </w:r>
        <w:r w:rsidR="0004016D">
          <w:rPr>
            <w:noProof/>
            <w:webHidden/>
          </w:rPr>
          <w:t>68</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36" w:history="1">
        <w:r w:rsidR="00836229" w:rsidRPr="00B75B77">
          <w:rPr>
            <w:rStyle w:val="Hyperlink"/>
            <w:noProof/>
          </w:rPr>
          <w:t>Table 4</w:t>
        </w:r>
        <w:r w:rsidR="00836229" w:rsidRPr="00B75B77">
          <w:rPr>
            <w:rStyle w:val="Hyperlink"/>
            <w:noProof/>
          </w:rPr>
          <w:noBreakHyphen/>
          <w:t>7: Smart Appliance Recycling Freezer Discard/Keep Proportions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_Toc466413536 \h </w:instrText>
        </w:r>
        <w:r w:rsidR="00836229" w:rsidRPr="00B75B77">
          <w:rPr>
            <w:noProof/>
            <w:webHidden/>
          </w:rPr>
        </w:r>
        <w:r w:rsidR="00836229" w:rsidRPr="00B75B77">
          <w:rPr>
            <w:noProof/>
            <w:webHidden/>
          </w:rPr>
          <w:fldChar w:fldCharType="separate"/>
        </w:r>
        <w:r w:rsidR="0004016D">
          <w:rPr>
            <w:noProof/>
            <w:webHidden/>
          </w:rPr>
          <w:t>69</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37" w:history="1">
        <w:r w:rsidR="00836229" w:rsidRPr="00B75B77">
          <w:rPr>
            <w:rStyle w:val="Hyperlink"/>
            <w:noProof/>
          </w:rPr>
          <w:t>Table 4</w:t>
        </w:r>
        <w:r w:rsidR="00836229" w:rsidRPr="00B75B77">
          <w:rPr>
            <w:rStyle w:val="Hyperlink"/>
            <w:noProof/>
          </w:rPr>
          <w:noBreakHyphen/>
          <w:t>8: PY7 Smart Appliance Recycling Summary of Evaluation Results for NTG Research</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_Toc466413537 \h </w:instrText>
        </w:r>
        <w:r w:rsidR="00836229" w:rsidRPr="00B75B77">
          <w:rPr>
            <w:noProof/>
            <w:webHidden/>
          </w:rPr>
        </w:r>
        <w:r w:rsidR="00836229" w:rsidRPr="00B75B77">
          <w:rPr>
            <w:noProof/>
            <w:webHidden/>
          </w:rPr>
          <w:fldChar w:fldCharType="separate"/>
        </w:r>
        <w:r w:rsidR="0004016D">
          <w:rPr>
            <w:noProof/>
            <w:webHidden/>
          </w:rPr>
          <w:t>72</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38" w:history="1">
        <w:r w:rsidR="00836229" w:rsidRPr="00B75B77">
          <w:rPr>
            <w:rStyle w:val="Hyperlink"/>
            <w:noProof/>
          </w:rPr>
          <w:t>Table 4</w:t>
        </w:r>
        <w:r w:rsidR="00836229" w:rsidRPr="00B75B77">
          <w:rPr>
            <w:rStyle w:val="Hyperlink"/>
            <w:noProof/>
          </w:rPr>
          <w:noBreakHyphen/>
          <w:t>9: Smart Appliance Recycling Process Sampling Strategy for PY7</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_Toc466413538 \h </w:instrText>
        </w:r>
        <w:r w:rsidR="00836229" w:rsidRPr="00B75B77">
          <w:rPr>
            <w:noProof/>
            <w:webHidden/>
          </w:rPr>
        </w:r>
        <w:r w:rsidR="00836229" w:rsidRPr="00B75B77">
          <w:rPr>
            <w:noProof/>
            <w:webHidden/>
          </w:rPr>
          <w:fldChar w:fldCharType="separate"/>
        </w:r>
        <w:r w:rsidR="0004016D">
          <w:rPr>
            <w:noProof/>
            <w:webHidden/>
          </w:rPr>
          <w:t>73</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39" w:history="1">
        <w:r w:rsidR="00836229" w:rsidRPr="00B75B77">
          <w:rPr>
            <w:rStyle w:val="Hyperlink"/>
            <w:noProof/>
          </w:rPr>
          <w:t>Table 4</w:t>
        </w:r>
        <w:r w:rsidR="00836229" w:rsidRPr="00B75B77">
          <w:rPr>
            <w:rStyle w:val="Hyperlink"/>
            <w:noProof/>
          </w:rPr>
          <w:noBreakHyphen/>
          <w:t>10: Net-to-Gross Method Benchmarking</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_Toc466413539 \h </w:instrText>
        </w:r>
        <w:r w:rsidR="00836229" w:rsidRPr="00B75B77">
          <w:rPr>
            <w:noProof/>
            <w:webHidden/>
          </w:rPr>
        </w:r>
        <w:r w:rsidR="00836229" w:rsidRPr="00B75B77">
          <w:rPr>
            <w:noProof/>
            <w:webHidden/>
          </w:rPr>
          <w:fldChar w:fldCharType="separate"/>
        </w:r>
        <w:r w:rsidR="0004016D">
          <w:rPr>
            <w:noProof/>
            <w:webHidden/>
          </w:rPr>
          <w:t>75</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40" w:history="1">
        <w:r w:rsidR="00836229" w:rsidRPr="00B75B77">
          <w:rPr>
            <w:rStyle w:val="Hyperlink"/>
            <w:noProof/>
          </w:rPr>
          <w:t>Table 4</w:t>
        </w:r>
        <w:r w:rsidR="00836229" w:rsidRPr="00B75B77">
          <w:rPr>
            <w:rStyle w:val="Hyperlink"/>
            <w:noProof/>
          </w:rPr>
          <w:noBreakHyphen/>
          <w:t>11: Smart Appliance Recycling Status Report on Process and Impact Recommendations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_Toc466413540 \h </w:instrText>
        </w:r>
        <w:r w:rsidR="00836229" w:rsidRPr="00B75B77">
          <w:rPr>
            <w:noProof/>
            <w:webHidden/>
          </w:rPr>
        </w:r>
        <w:r w:rsidR="00836229" w:rsidRPr="00B75B77">
          <w:rPr>
            <w:noProof/>
            <w:webHidden/>
          </w:rPr>
          <w:fldChar w:fldCharType="separate"/>
        </w:r>
        <w:r w:rsidR="0004016D">
          <w:rPr>
            <w:noProof/>
            <w:webHidden/>
          </w:rPr>
          <w:t>75</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41" w:history="1">
        <w:r w:rsidR="00836229" w:rsidRPr="00B75B77">
          <w:rPr>
            <w:rStyle w:val="Hyperlink"/>
            <w:noProof/>
          </w:rPr>
          <w:t>Table 4</w:t>
        </w:r>
        <w:r w:rsidR="00836229" w:rsidRPr="00B75B77">
          <w:rPr>
            <w:rStyle w:val="Hyperlink"/>
            <w:noProof/>
          </w:rPr>
          <w:noBreakHyphen/>
          <w:t>12: Summary of Smart Appliance Recycling Program Finances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_Toc466413541 \h </w:instrText>
        </w:r>
        <w:r w:rsidR="00836229" w:rsidRPr="00B75B77">
          <w:rPr>
            <w:noProof/>
            <w:webHidden/>
          </w:rPr>
        </w:r>
        <w:r w:rsidR="00836229" w:rsidRPr="00B75B77">
          <w:rPr>
            <w:noProof/>
            <w:webHidden/>
          </w:rPr>
          <w:fldChar w:fldCharType="separate"/>
        </w:r>
        <w:r w:rsidR="0004016D">
          <w:rPr>
            <w:noProof/>
            <w:webHidden/>
          </w:rPr>
          <w:t>76</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42" w:history="1">
        <w:r w:rsidR="00836229" w:rsidRPr="00B75B77">
          <w:rPr>
            <w:rStyle w:val="Hyperlink"/>
            <w:noProof/>
          </w:rPr>
          <w:t>Table 5</w:t>
        </w:r>
        <w:r w:rsidR="00836229" w:rsidRPr="00B75B77">
          <w:rPr>
            <w:rStyle w:val="Hyperlink"/>
            <w:noProof/>
          </w:rPr>
          <w:noBreakHyphen/>
          <w:t>1: Phase II Smart Usage Profile Reported Results by Customer Sector</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_Toc466413542 \h </w:instrText>
        </w:r>
        <w:r w:rsidR="00836229" w:rsidRPr="00B75B77">
          <w:rPr>
            <w:noProof/>
            <w:webHidden/>
          </w:rPr>
        </w:r>
        <w:r w:rsidR="00836229" w:rsidRPr="00B75B77">
          <w:rPr>
            <w:noProof/>
            <w:webHidden/>
          </w:rPr>
          <w:fldChar w:fldCharType="separate"/>
        </w:r>
        <w:r w:rsidR="0004016D">
          <w:rPr>
            <w:noProof/>
            <w:webHidden/>
          </w:rPr>
          <w:t>79</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43" w:history="1">
        <w:r w:rsidR="00836229" w:rsidRPr="00B75B77">
          <w:rPr>
            <w:rStyle w:val="Hyperlink"/>
            <w:noProof/>
          </w:rPr>
          <w:t>Table 5</w:t>
        </w:r>
        <w:r w:rsidR="00836229" w:rsidRPr="00B75B77">
          <w:rPr>
            <w:rStyle w:val="Hyperlink"/>
            <w:noProof/>
          </w:rPr>
          <w:noBreakHyphen/>
          <w:t>2: Smart Usage Profile Sampling Strategy for PY7</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_Toc466413543 \h </w:instrText>
        </w:r>
        <w:r w:rsidR="00836229" w:rsidRPr="00B75B77">
          <w:rPr>
            <w:noProof/>
            <w:webHidden/>
          </w:rPr>
        </w:r>
        <w:r w:rsidR="00836229" w:rsidRPr="00B75B77">
          <w:rPr>
            <w:noProof/>
            <w:webHidden/>
          </w:rPr>
          <w:fldChar w:fldCharType="separate"/>
        </w:r>
        <w:r w:rsidR="0004016D">
          <w:rPr>
            <w:noProof/>
            <w:webHidden/>
          </w:rPr>
          <w:t>81</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44" w:history="1">
        <w:r w:rsidR="00836229" w:rsidRPr="00B75B77">
          <w:rPr>
            <w:rStyle w:val="Hyperlink"/>
            <w:noProof/>
          </w:rPr>
          <w:t>Table 5</w:t>
        </w:r>
        <w:r w:rsidR="00836229" w:rsidRPr="00B75B77">
          <w:rPr>
            <w:rStyle w:val="Hyperlink"/>
            <w:noProof/>
          </w:rPr>
          <w:noBreakHyphen/>
          <w:t>3: PY7 Smart Usage Profile Summary of Evaluation Results for Energy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_Toc466413544 \h </w:instrText>
        </w:r>
        <w:r w:rsidR="00836229" w:rsidRPr="00B75B77">
          <w:rPr>
            <w:noProof/>
            <w:webHidden/>
          </w:rPr>
        </w:r>
        <w:r w:rsidR="00836229" w:rsidRPr="00B75B77">
          <w:rPr>
            <w:noProof/>
            <w:webHidden/>
          </w:rPr>
          <w:fldChar w:fldCharType="separate"/>
        </w:r>
        <w:r w:rsidR="0004016D">
          <w:rPr>
            <w:noProof/>
            <w:webHidden/>
          </w:rPr>
          <w:t>83</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45" w:history="1">
        <w:r w:rsidR="00836229" w:rsidRPr="00B75B77">
          <w:rPr>
            <w:rStyle w:val="Hyperlink"/>
            <w:noProof/>
          </w:rPr>
          <w:t>Table 5</w:t>
        </w:r>
        <w:r w:rsidR="00836229" w:rsidRPr="00B75B77">
          <w:rPr>
            <w:rStyle w:val="Hyperlink"/>
            <w:noProof/>
          </w:rPr>
          <w:noBreakHyphen/>
          <w:t>4: Share of SUP Participants Channeled into other PECO Programs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_Toc466413545 \h </w:instrText>
        </w:r>
        <w:r w:rsidR="00836229" w:rsidRPr="00B75B77">
          <w:rPr>
            <w:noProof/>
            <w:webHidden/>
          </w:rPr>
        </w:r>
        <w:r w:rsidR="00836229" w:rsidRPr="00B75B77">
          <w:rPr>
            <w:noProof/>
            <w:webHidden/>
          </w:rPr>
          <w:fldChar w:fldCharType="separate"/>
        </w:r>
        <w:r w:rsidR="0004016D">
          <w:rPr>
            <w:noProof/>
            <w:webHidden/>
          </w:rPr>
          <w:t>83</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46" w:history="1">
        <w:r w:rsidR="00836229" w:rsidRPr="00B75B77">
          <w:rPr>
            <w:rStyle w:val="Hyperlink"/>
            <w:noProof/>
          </w:rPr>
          <w:t>Table 5</w:t>
        </w:r>
        <w:r w:rsidR="00836229" w:rsidRPr="00B75B77">
          <w:rPr>
            <w:rStyle w:val="Hyperlink"/>
            <w:noProof/>
          </w:rPr>
          <w:noBreakHyphen/>
          <w:t>5: Smart Usage Profile Process Sampling Strategy for PY7</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_Toc466413546 \h </w:instrText>
        </w:r>
        <w:r w:rsidR="00836229" w:rsidRPr="00B75B77">
          <w:rPr>
            <w:noProof/>
            <w:webHidden/>
          </w:rPr>
        </w:r>
        <w:r w:rsidR="00836229" w:rsidRPr="00B75B77">
          <w:rPr>
            <w:noProof/>
            <w:webHidden/>
          </w:rPr>
          <w:fldChar w:fldCharType="separate"/>
        </w:r>
        <w:r w:rsidR="0004016D">
          <w:rPr>
            <w:noProof/>
            <w:webHidden/>
          </w:rPr>
          <w:t>85</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47" w:history="1">
        <w:r w:rsidR="00836229" w:rsidRPr="00B75B77">
          <w:rPr>
            <w:rStyle w:val="Hyperlink"/>
            <w:noProof/>
          </w:rPr>
          <w:t>Table 5</w:t>
        </w:r>
        <w:r w:rsidR="00836229" w:rsidRPr="00B75B77">
          <w:rPr>
            <w:rStyle w:val="Hyperlink"/>
            <w:noProof/>
          </w:rPr>
          <w:noBreakHyphen/>
          <w:t>6: Smart Usage Profile Status Report on Process and Impact Recommendations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_Toc466413547 \h </w:instrText>
        </w:r>
        <w:r w:rsidR="00836229" w:rsidRPr="00B75B77">
          <w:rPr>
            <w:noProof/>
            <w:webHidden/>
          </w:rPr>
        </w:r>
        <w:r w:rsidR="00836229" w:rsidRPr="00B75B77">
          <w:rPr>
            <w:noProof/>
            <w:webHidden/>
          </w:rPr>
          <w:fldChar w:fldCharType="separate"/>
        </w:r>
        <w:r w:rsidR="0004016D">
          <w:rPr>
            <w:noProof/>
            <w:webHidden/>
          </w:rPr>
          <w:t>86</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48" w:history="1">
        <w:r w:rsidR="00836229" w:rsidRPr="00B75B77">
          <w:rPr>
            <w:rStyle w:val="Hyperlink"/>
            <w:noProof/>
          </w:rPr>
          <w:t>Table 5</w:t>
        </w:r>
        <w:r w:rsidR="00836229" w:rsidRPr="00B75B77">
          <w:rPr>
            <w:rStyle w:val="Hyperlink"/>
            <w:noProof/>
          </w:rPr>
          <w:noBreakHyphen/>
          <w:t>7: Summary of Smart Usage Profile Program Finances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_Toc466413548 \h </w:instrText>
        </w:r>
        <w:r w:rsidR="00836229" w:rsidRPr="00B75B77">
          <w:rPr>
            <w:noProof/>
            <w:webHidden/>
          </w:rPr>
        </w:r>
        <w:r w:rsidR="00836229" w:rsidRPr="00B75B77">
          <w:rPr>
            <w:noProof/>
            <w:webHidden/>
          </w:rPr>
          <w:fldChar w:fldCharType="separate"/>
        </w:r>
        <w:r w:rsidR="0004016D">
          <w:rPr>
            <w:noProof/>
            <w:webHidden/>
          </w:rPr>
          <w:t>88</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49" w:history="1">
        <w:r w:rsidR="00836229" w:rsidRPr="00B75B77">
          <w:rPr>
            <w:rStyle w:val="Hyperlink"/>
            <w:noProof/>
          </w:rPr>
          <w:t>Table 6</w:t>
        </w:r>
        <w:r w:rsidR="00836229" w:rsidRPr="00B75B77">
          <w:rPr>
            <w:rStyle w:val="Hyperlink"/>
            <w:noProof/>
          </w:rPr>
          <w:noBreakHyphen/>
          <w:t>1: Phase II Smart Energy Saver Reported Results by Customer Sector</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_Toc466413549 \h </w:instrText>
        </w:r>
        <w:r w:rsidR="00836229" w:rsidRPr="00B75B77">
          <w:rPr>
            <w:noProof/>
            <w:webHidden/>
          </w:rPr>
        </w:r>
        <w:r w:rsidR="00836229" w:rsidRPr="00B75B77">
          <w:rPr>
            <w:noProof/>
            <w:webHidden/>
          </w:rPr>
          <w:fldChar w:fldCharType="separate"/>
        </w:r>
        <w:r w:rsidR="0004016D">
          <w:rPr>
            <w:noProof/>
            <w:webHidden/>
          </w:rPr>
          <w:t>90</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50" w:history="1">
        <w:r w:rsidR="00836229" w:rsidRPr="00B75B77">
          <w:rPr>
            <w:rStyle w:val="Hyperlink"/>
            <w:noProof/>
          </w:rPr>
          <w:t>Table 6</w:t>
        </w:r>
        <w:r w:rsidR="00836229" w:rsidRPr="00B75B77">
          <w:rPr>
            <w:rStyle w:val="Hyperlink"/>
            <w:noProof/>
          </w:rPr>
          <w:noBreakHyphen/>
          <w:t>2: Smart Energy Saver Sampling Strategy for PY7</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_Toc466413550 \h </w:instrText>
        </w:r>
        <w:r w:rsidR="00836229" w:rsidRPr="00B75B77">
          <w:rPr>
            <w:noProof/>
            <w:webHidden/>
          </w:rPr>
        </w:r>
        <w:r w:rsidR="00836229" w:rsidRPr="00B75B77">
          <w:rPr>
            <w:noProof/>
            <w:webHidden/>
          </w:rPr>
          <w:fldChar w:fldCharType="separate"/>
        </w:r>
        <w:r w:rsidR="0004016D">
          <w:rPr>
            <w:noProof/>
            <w:webHidden/>
          </w:rPr>
          <w:t>91</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51" w:history="1">
        <w:r w:rsidR="00836229" w:rsidRPr="00B75B77">
          <w:rPr>
            <w:rStyle w:val="Hyperlink"/>
            <w:noProof/>
          </w:rPr>
          <w:t>Table 6</w:t>
        </w:r>
        <w:r w:rsidR="00836229" w:rsidRPr="00B75B77">
          <w:rPr>
            <w:rStyle w:val="Hyperlink"/>
            <w:noProof/>
          </w:rPr>
          <w:noBreakHyphen/>
          <w:t>3: PY7 Smart Energy Saver Summary of Evaluation Results for Energy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_Toc466413551 \h </w:instrText>
        </w:r>
        <w:r w:rsidR="00836229" w:rsidRPr="00B75B77">
          <w:rPr>
            <w:noProof/>
            <w:webHidden/>
          </w:rPr>
        </w:r>
        <w:r w:rsidR="00836229" w:rsidRPr="00B75B77">
          <w:rPr>
            <w:noProof/>
            <w:webHidden/>
          </w:rPr>
          <w:fldChar w:fldCharType="separate"/>
        </w:r>
        <w:r w:rsidR="0004016D">
          <w:rPr>
            <w:noProof/>
            <w:webHidden/>
          </w:rPr>
          <w:t>92</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52" w:history="1">
        <w:r w:rsidR="00836229" w:rsidRPr="00B75B77">
          <w:rPr>
            <w:rStyle w:val="Hyperlink"/>
            <w:noProof/>
          </w:rPr>
          <w:t>Table 6</w:t>
        </w:r>
        <w:r w:rsidR="00836229" w:rsidRPr="00B75B77">
          <w:rPr>
            <w:rStyle w:val="Hyperlink"/>
            <w:noProof/>
          </w:rPr>
          <w:noBreakHyphen/>
          <w:t>4: PY7 Smart Energy Saver Summary of Evaluation Results for Demand</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_Toc466413552 \h </w:instrText>
        </w:r>
        <w:r w:rsidR="00836229" w:rsidRPr="00B75B77">
          <w:rPr>
            <w:noProof/>
            <w:webHidden/>
          </w:rPr>
        </w:r>
        <w:r w:rsidR="00836229" w:rsidRPr="00B75B77">
          <w:rPr>
            <w:noProof/>
            <w:webHidden/>
          </w:rPr>
          <w:fldChar w:fldCharType="separate"/>
        </w:r>
        <w:r w:rsidR="0004016D">
          <w:rPr>
            <w:noProof/>
            <w:webHidden/>
          </w:rPr>
          <w:t>92</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53" w:history="1">
        <w:r w:rsidR="00836229" w:rsidRPr="00B75B77">
          <w:rPr>
            <w:rStyle w:val="Hyperlink"/>
            <w:noProof/>
          </w:rPr>
          <w:t>Table 6</w:t>
        </w:r>
        <w:r w:rsidR="00836229" w:rsidRPr="00B75B77">
          <w:rPr>
            <w:rStyle w:val="Hyperlink"/>
            <w:noProof/>
          </w:rPr>
          <w:noBreakHyphen/>
          <w:t>5: Smart Energy Saver Status Report on Process and Impact Recommendations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_Toc466413553 \h </w:instrText>
        </w:r>
        <w:r w:rsidR="00836229" w:rsidRPr="00B75B77">
          <w:rPr>
            <w:noProof/>
            <w:webHidden/>
          </w:rPr>
        </w:r>
        <w:r w:rsidR="00836229" w:rsidRPr="00B75B77">
          <w:rPr>
            <w:noProof/>
            <w:webHidden/>
          </w:rPr>
          <w:fldChar w:fldCharType="separate"/>
        </w:r>
        <w:r w:rsidR="0004016D">
          <w:rPr>
            <w:noProof/>
            <w:webHidden/>
          </w:rPr>
          <w:t>96</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54" w:history="1">
        <w:r w:rsidR="00836229" w:rsidRPr="00B75B77">
          <w:rPr>
            <w:rStyle w:val="Hyperlink"/>
            <w:noProof/>
          </w:rPr>
          <w:t>Table 6</w:t>
        </w:r>
        <w:r w:rsidR="00836229" w:rsidRPr="00B75B77">
          <w:rPr>
            <w:rStyle w:val="Hyperlink"/>
            <w:noProof/>
          </w:rPr>
          <w:noBreakHyphen/>
          <w:t>6: Summary of Smart Energy Saver Program Finances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_Toc466413554 \h </w:instrText>
        </w:r>
        <w:r w:rsidR="00836229" w:rsidRPr="00B75B77">
          <w:rPr>
            <w:noProof/>
            <w:webHidden/>
          </w:rPr>
        </w:r>
        <w:r w:rsidR="00836229" w:rsidRPr="00B75B77">
          <w:rPr>
            <w:noProof/>
            <w:webHidden/>
          </w:rPr>
          <w:fldChar w:fldCharType="separate"/>
        </w:r>
        <w:r w:rsidR="0004016D">
          <w:rPr>
            <w:noProof/>
            <w:webHidden/>
          </w:rPr>
          <w:t>97</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55" w:history="1">
        <w:r w:rsidR="00836229" w:rsidRPr="00B75B77">
          <w:rPr>
            <w:rStyle w:val="Hyperlink"/>
            <w:noProof/>
          </w:rPr>
          <w:t>Table 7</w:t>
        </w:r>
        <w:r w:rsidR="00836229" w:rsidRPr="00B75B77">
          <w:rPr>
            <w:rStyle w:val="Hyperlink"/>
            <w:noProof/>
          </w:rPr>
          <w:noBreakHyphen/>
          <w:t>1: Phase II Smart Builder Rebates Reported Results by Customer Sector</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_Toc466413555 \h </w:instrText>
        </w:r>
        <w:r w:rsidR="00836229" w:rsidRPr="00B75B77">
          <w:rPr>
            <w:noProof/>
            <w:webHidden/>
          </w:rPr>
        </w:r>
        <w:r w:rsidR="00836229" w:rsidRPr="00B75B77">
          <w:rPr>
            <w:noProof/>
            <w:webHidden/>
          </w:rPr>
          <w:fldChar w:fldCharType="separate"/>
        </w:r>
        <w:r w:rsidR="0004016D">
          <w:rPr>
            <w:noProof/>
            <w:webHidden/>
          </w:rPr>
          <w:t>99</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56" w:history="1">
        <w:r w:rsidR="00836229" w:rsidRPr="00B75B77">
          <w:rPr>
            <w:rStyle w:val="Hyperlink"/>
            <w:noProof/>
          </w:rPr>
          <w:t>Table 7</w:t>
        </w:r>
        <w:r w:rsidR="00836229" w:rsidRPr="00B75B77">
          <w:rPr>
            <w:rStyle w:val="Hyperlink"/>
            <w:noProof/>
          </w:rPr>
          <w:noBreakHyphen/>
          <w:t>2: Smart Builder Rebates Sampling Strategy for PY7</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_Toc466413556 \h </w:instrText>
        </w:r>
        <w:r w:rsidR="00836229" w:rsidRPr="00B75B77">
          <w:rPr>
            <w:noProof/>
            <w:webHidden/>
          </w:rPr>
        </w:r>
        <w:r w:rsidR="00836229" w:rsidRPr="00B75B77">
          <w:rPr>
            <w:noProof/>
            <w:webHidden/>
          </w:rPr>
          <w:fldChar w:fldCharType="separate"/>
        </w:r>
        <w:r w:rsidR="0004016D">
          <w:rPr>
            <w:noProof/>
            <w:webHidden/>
          </w:rPr>
          <w:t>100</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57" w:history="1">
        <w:r w:rsidR="00836229" w:rsidRPr="00B75B77">
          <w:rPr>
            <w:rStyle w:val="Hyperlink"/>
            <w:noProof/>
          </w:rPr>
          <w:t>Table 7</w:t>
        </w:r>
        <w:r w:rsidR="00836229" w:rsidRPr="00B75B77">
          <w:rPr>
            <w:rStyle w:val="Hyperlink"/>
            <w:noProof/>
          </w:rPr>
          <w:noBreakHyphen/>
          <w:t>3: PY7 Smart Builder Rebates Summary of Evaluation Results for Energy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_Toc466413557 \h </w:instrText>
        </w:r>
        <w:r w:rsidR="00836229" w:rsidRPr="00B75B77">
          <w:rPr>
            <w:noProof/>
            <w:webHidden/>
          </w:rPr>
        </w:r>
        <w:r w:rsidR="00836229" w:rsidRPr="00B75B77">
          <w:rPr>
            <w:noProof/>
            <w:webHidden/>
          </w:rPr>
          <w:fldChar w:fldCharType="separate"/>
        </w:r>
        <w:r w:rsidR="0004016D">
          <w:rPr>
            <w:noProof/>
            <w:webHidden/>
          </w:rPr>
          <w:t>100</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58" w:history="1">
        <w:r w:rsidR="00836229" w:rsidRPr="00B75B77">
          <w:rPr>
            <w:rStyle w:val="Hyperlink"/>
            <w:noProof/>
          </w:rPr>
          <w:t>Table 7</w:t>
        </w:r>
        <w:r w:rsidR="00836229" w:rsidRPr="00B75B77">
          <w:rPr>
            <w:rStyle w:val="Hyperlink"/>
            <w:noProof/>
          </w:rPr>
          <w:noBreakHyphen/>
          <w:t>4: PY7 Smart Builder Rebates Summary of Evaluation Results for Demand</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_Toc466413558 \h </w:instrText>
        </w:r>
        <w:r w:rsidR="00836229" w:rsidRPr="00B75B77">
          <w:rPr>
            <w:noProof/>
            <w:webHidden/>
          </w:rPr>
        </w:r>
        <w:r w:rsidR="00836229" w:rsidRPr="00B75B77">
          <w:rPr>
            <w:noProof/>
            <w:webHidden/>
          </w:rPr>
          <w:fldChar w:fldCharType="separate"/>
        </w:r>
        <w:r w:rsidR="0004016D">
          <w:rPr>
            <w:noProof/>
            <w:webHidden/>
          </w:rPr>
          <w:t>101</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59" w:history="1">
        <w:r w:rsidR="00836229" w:rsidRPr="00B75B77">
          <w:rPr>
            <w:rStyle w:val="Hyperlink"/>
            <w:noProof/>
          </w:rPr>
          <w:t>Table 7</w:t>
        </w:r>
        <w:r w:rsidR="00836229" w:rsidRPr="00B75B77">
          <w:rPr>
            <w:rStyle w:val="Hyperlink"/>
            <w:noProof/>
          </w:rPr>
          <w:noBreakHyphen/>
          <w:t>5: Smart Builder Rebates Sampling Strategy for PY7 NTG Research</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_Toc466413559 \h </w:instrText>
        </w:r>
        <w:r w:rsidR="00836229" w:rsidRPr="00B75B77">
          <w:rPr>
            <w:noProof/>
            <w:webHidden/>
          </w:rPr>
        </w:r>
        <w:r w:rsidR="00836229" w:rsidRPr="00B75B77">
          <w:rPr>
            <w:noProof/>
            <w:webHidden/>
          </w:rPr>
          <w:fldChar w:fldCharType="separate"/>
        </w:r>
        <w:r w:rsidR="0004016D">
          <w:rPr>
            <w:noProof/>
            <w:webHidden/>
          </w:rPr>
          <w:t>102</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60" w:history="1">
        <w:r w:rsidR="00836229" w:rsidRPr="00B75B77">
          <w:rPr>
            <w:rStyle w:val="Hyperlink"/>
            <w:noProof/>
          </w:rPr>
          <w:t>Table 7</w:t>
        </w:r>
        <w:r w:rsidR="00836229" w:rsidRPr="00B75B77">
          <w:rPr>
            <w:rStyle w:val="Hyperlink"/>
            <w:noProof/>
          </w:rPr>
          <w:noBreakHyphen/>
          <w:t>6: PY7 Smart Builder Rebates Summary of Evaluation Results for NTG Research</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_Toc466413560 \h </w:instrText>
        </w:r>
        <w:r w:rsidR="00836229" w:rsidRPr="00B75B77">
          <w:rPr>
            <w:noProof/>
            <w:webHidden/>
          </w:rPr>
        </w:r>
        <w:r w:rsidR="00836229" w:rsidRPr="00B75B77">
          <w:rPr>
            <w:noProof/>
            <w:webHidden/>
          </w:rPr>
          <w:fldChar w:fldCharType="separate"/>
        </w:r>
        <w:r w:rsidR="0004016D">
          <w:rPr>
            <w:noProof/>
            <w:webHidden/>
          </w:rPr>
          <w:t>102</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61" w:history="1">
        <w:r w:rsidR="00836229" w:rsidRPr="00B75B77">
          <w:rPr>
            <w:rStyle w:val="Hyperlink"/>
            <w:noProof/>
          </w:rPr>
          <w:t>Table 7</w:t>
        </w:r>
        <w:r w:rsidR="00836229" w:rsidRPr="00B75B77">
          <w:rPr>
            <w:rStyle w:val="Hyperlink"/>
            <w:noProof/>
          </w:rPr>
          <w:noBreakHyphen/>
          <w:t>7: Smart Builder Rebates Sampling Strategy for PY7</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_Toc466413561 \h </w:instrText>
        </w:r>
        <w:r w:rsidR="00836229" w:rsidRPr="00B75B77">
          <w:rPr>
            <w:noProof/>
            <w:webHidden/>
          </w:rPr>
        </w:r>
        <w:r w:rsidR="00836229" w:rsidRPr="00B75B77">
          <w:rPr>
            <w:noProof/>
            <w:webHidden/>
          </w:rPr>
          <w:fldChar w:fldCharType="separate"/>
        </w:r>
        <w:r w:rsidR="0004016D">
          <w:rPr>
            <w:noProof/>
            <w:webHidden/>
          </w:rPr>
          <w:t>103</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62" w:history="1">
        <w:r w:rsidR="00836229" w:rsidRPr="00B75B77">
          <w:rPr>
            <w:rStyle w:val="Hyperlink"/>
            <w:noProof/>
          </w:rPr>
          <w:t>Table 7</w:t>
        </w:r>
        <w:r w:rsidR="00836229" w:rsidRPr="00B75B77">
          <w:rPr>
            <w:rStyle w:val="Hyperlink"/>
            <w:noProof/>
          </w:rPr>
          <w:noBreakHyphen/>
          <w:t>8: Smart Builder Rebates PY7 Market Penetration</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_Toc466413562 \h </w:instrText>
        </w:r>
        <w:r w:rsidR="00836229" w:rsidRPr="00B75B77">
          <w:rPr>
            <w:noProof/>
            <w:webHidden/>
          </w:rPr>
        </w:r>
        <w:r w:rsidR="00836229" w:rsidRPr="00B75B77">
          <w:rPr>
            <w:noProof/>
            <w:webHidden/>
          </w:rPr>
          <w:fldChar w:fldCharType="separate"/>
        </w:r>
        <w:r w:rsidR="0004016D">
          <w:rPr>
            <w:noProof/>
            <w:webHidden/>
          </w:rPr>
          <w:t>106</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63" w:history="1">
        <w:r w:rsidR="00836229" w:rsidRPr="00B75B77">
          <w:rPr>
            <w:rStyle w:val="Hyperlink"/>
            <w:noProof/>
          </w:rPr>
          <w:t>Table 7</w:t>
        </w:r>
        <w:r w:rsidR="00836229" w:rsidRPr="00B75B77">
          <w:rPr>
            <w:rStyle w:val="Hyperlink"/>
            <w:noProof/>
          </w:rPr>
          <w:noBreakHyphen/>
          <w:t>9: Smart Builder Rebates Status Report on Process and Impact Recommendations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_Toc466413563 \h </w:instrText>
        </w:r>
        <w:r w:rsidR="00836229" w:rsidRPr="00B75B77">
          <w:rPr>
            <w:noProof/>
            <w:webHidden/>
          </w:rPr>
        </w:r>
        <w:r w:rsidR="00836229" w:rsidRPr="00B75B77">
          <w:rPr>
            <w:noProof/>
            <w:webHidden/>
          </w:rPr>
          <w:fldChar w:fldCharType="separate"/>
        </w:r>
        <w:r w:rsidR="0004016D">
          <w:rPr>
            <w:noProof/>
            <w:webHidden/>
          </w:rPr>
          <w:t>107</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64" w:history="1">
        <w:r w:rsidR="00836229" w:rsidRPr="00B75B77">
          <w:rPr>
            <w:rStyle w:val="Hyperlink"/>
            <w:noProof/>
          </w:rPr>
          <w:t>Table 7</w:t>
        </w:r>
        <w:r w:rsidR="00836229" w:rsidRPr="00B75B77">
          <w:rPr>
            <w:rStyle w:val="Hyperlink"/>
            <w:noProof/>
          </w:rPr>
          <w:noBreakHyphen/>
          <w:t>10: Smart Builder Rebates Summary of Program Finances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_Toc466413564 \h </w:instrText>
        </w:r>
        <w:r w:rsidR="00836229" w:rsidRPr="00B75B77">
          <w:rPr>
            <w:noProof/>
            <w:webHidden/>
          </w:rPr>
        </w:r>
        <w:r w:rsidR="00836229" w:rsidRPr="00B75B77">
          <w:rPr>
            <w:noProof/>
            <w:webHidden/>
          </w:rPr>
          <w:fldChar w:fldCharType="separate"/>
        </w:r>
        <w:r w:rsidR="0004016D">
          <w:rPr>
            <w:noProof/>
            <w:webHidden/>
          </w:rPr>
          <w:t>108</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65" w:history="1">
        <w:r w:rsidR="00836229" w:rsidRPr="00B75B77">
          <w:rPr>
            <w:rStyle w:val="Hyperlink"/>
            <w:noProof/>
          </w:rPr>
          <w:t>Table 8</w:t>
        </w:r>
        <w:r w:rsidR="00836229" w:rsidRPr="00B75B77">
          <w:rPr>
            <w:rStyle w:val="Hyperlink"/>
            <w:noProof/>
          </w:rPr>
          <w:noBreakHyphen/>
          <w:t>1: Low-Income Energy Efficiency Program Components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_Toc466413565 \h </w:instrText>
        </w:r>
        <w:r w:rsidR="00836229" w:rsidRPr="00B75B77">
          <w:rPr>
            <w:noProof/>
            <w:webHidden/>
          </w:rPr>
        </w:r>
        <w:r w:rsidR="00836229" w:rsidRPr="00B75B77">
          <w:rPr>
            <w:noProof/>
            <w:webHidden/>
          </w:rPr>
          <w:fldChar w:fldCharType="separate"/>
        </w:r>
        <w:r w:rsidR="0004016D">
          <w:rPr>
            <w:noProof/>
            <w:webHidden/>
          </w:rPr>
          <w:t>109</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66" w:history="1">
        <w:r w:rsidR="00836229" w:rsidRPr="00B75B77">
          <w:rPr>
            <w:rStyle w:val="Hyperlink"/>
            <w:noProof/>
          </w:rPr>
          <w:t>Table 8</w:t>
        </w:r>
        <w:r w:rsidR="00836229" w:rsidRPr="00B75B77">
          <w:rPr>
            <w:rStyle w:val="Hyperlink"/>
            <w:noProof/>
          </w:rPr>
          <w:noBreakHyphen/>
          <w:t>2: Phase II Low-Income Energy Efficiency Program Reported Results by Customer Sector</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_Toc466413566 \h </w:instrText>
        </w:r>
        <w:r w:rsidR="00836229" w:rsidRPr="00B75B77">
          <w:rPr>
            <w:noProof/>
            <w:webHidden/>
          </w:rPr>
        </w:r>
        <w:r w:rsidR="00836229" w:rsidRPr="00B75B77">
          <w:rPr>
            <w:noProof/>
            <w:webHidden/>
          </w:rPr>
          <w:fldChar w:fldCharType="separate"/>
        </w:r>
        <w:r w:rsidR="0004016D">
          <w:rPr>
            <w:noProof/>
            <w:webHidden/>
          </w:rPr>
          <w:t>111</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67" w:history="1">
        <w:r w:rsidR="00836229" w:rsidRPr="00B75B77">
          <w:rPr>
            <w:rStyle w:val="Hyperlink"/>
            <w:noProof/>
          </w:rPr>
          <w:t>Table 8</w:t>
        </w:r>
        <w:r w:rsidR="00836229" w:rsidRPr="00B75B77">
          <w:rPr>
            <w:rStyle w:val="Hyperlink"/>
            <w:noProof/>
          </w:rPr>
          <w:noBreakHyphen/>
          <w:t>3: Low-Income Energy Efficiency Program Sampling Strategy for PY7</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_Toc466413567 \h </w:instrText>
        </w:r>
        <w:r w:rsidR="00836229" w:rsidRPr="00B75B77">
          <w:rPr>
            <w:noProof/>
            <w:webHidden/>
          </w:rPr>
        </w:r>
        <w:r w:rsidR="00836229" w:rsidRPr="00B75B77">
          <w:rPr>
            <w:noProof/>
            <w:webHidden/>
          </w:rPr>
          <w:fldChar w:fldCharType="separate"/>
        </w:r>
        <w:r w:rsidR="0004016D">
          <w:rPr>
            <w:noProof/>
            <w:webHidden/>
          </w:rPr>
          <w:t>112</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68" w:history="1">
        <w:r w:rsidR="00836229" w:rsidRPr="00B75B77">
          <w:rPr>
            <w:rStyle w:val="Hyperlink"/>
            <w:noProof/>
          </w:rPr>
          <w:t>Table 8</w:t>
        </w:r>
        <w:r w:rsidR="00836229" w:rsidRPr="00B75B77">
          <w:rPr>
            <w:rStyle w:val="Hyperlink"/>
            <w:noProof/>
          </w:rPr>
          <w:noBreakHyphen/>
          <w:t>4: PY7 Low-Income Energy Efficiency Program Summary of Evaluation Results for Energy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_Toc466413568 \h </w:instrText>
        </w:r>
        <w:r w:rsidR="00836229" w:rsidRPr="00B75B77">
          <w:rPr>
            <w:noProof/>
            <w:webHidden/>
          </w:rPr>
        </w:r>
        <w:r w:rsidR="00836229" w:rsidRPr="00B75B77">
          <w:rPr>
            <w:noProof/>
            <w:webHidden/>
          </w:rPr>
          <w:fldChar w:fldCharType="separate"/>
        </w:r>
        <w:r w:rsidR="0004016D">
          <w:rPr>
            <w:noProof/>
            <w:webHidden/>
          </w:rPr>
          <w:t>112</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69" w:history="1">
        <w:r w:rsidR="00836229" w:rsidRPr="00B75B77">
          <w:rPr>
            <w:rStyle w:val="Hyperlink"/>
            <w:noProof/>
          </w:rPr>
          <w:t>Table 8</w:t>
        </w:r>
        <w:r w:rsidR="00836229" w:rsidRPr="00B75B77">
          <w:rPr>
            <w:rStyle w:val="Hyperlink"/>
            <w:noProof/>
          </w:rPr>
          <w:noBreakHyphen/>
          <w:t>5: PY7 Low-Income Energy Efficiency Program Summary of Evaluation Results for Demand</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_Toc466413569 \h </w:instrText>
        </w:r>
        <w:r w:rsidR="00836229" w:rsidRPr="00B75B77">
          <w:rPr>
            <w:noProof/>
            <w:webHidden/>
          </w:rPr>
        </w:r>
        <w:r w:rsidR="00836229" w:rsidRPr="00B75B77">
          <w:rPr>
            <w:noProof/>
            <w:webHidden/>
          </w:rPr>
          <w:fldChar w:fldCharType="separate"/>
        </w:r>
        <w:r w:rsidR="0004016D">
          <w:rPr>
            <w:noProof/>
            <w:webHidden/>
          </w:rPr>
          <w:t>112</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70" w:history="1">
        <w:r w:rsidR="00836229" w:rsidRPr="00B75B77">
          <w:rPr>
            <w:rStyle w:val="Hyperlink"/>
            <w:noProof/>
          </w:rPr>
          <w:t>Table 8</w:t>
        </w:r>
        <w:r w:rsidR="00836229" w:rsidRPr="00B75B77">
          <w:rPr>
            <w:rStyle w:val="Hyperlink"/>
            <w:noProof/>
          </w:rPr>
          <w:noBreakHyphen/>
          <w:t>6: PY7 Low-Income Energy Efficiency Program Onsite Inspections Summary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_Toc466413570 \h </w:instrText>
        </w:r>
        <w:r w:rsidR="00836229" w:rsidRPr="00B75B77">
          <w:rPr>
            <w:noProof/>
            <w:webHidden/>
          </w:rPr>
        </w:r>
        <w:r w:rsidR="00836229" w:rsidRPr="00B75B77">
          <w:rPr>
            <w:noProof/>
            <w:webHidden/>
          </w:rPr>
          <w:fldChar w:fldCharType="separate"/>
        </w:r>
        <w:r w:rsidR="0004016D">
          <w:rPr>
            <w:noProof/>
            <w:webHidden/>
          </w:rPr>
          <w:t>113</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71" w:history="1">
        <w:r w:rsidR="00836229" w:rsidRPr="00B75B77">
          <w:rPr>
            <w:rStyle w:val="Hyperlink"/>
            <w:noProof/>
          </w:rPr>
          <w:t>Table 8</w:t>
        </w:r>
        <w:r w:rsidR="00836229" w:rsidRPr="00B75B77">
          <w:rPr>
            <w:rStyle w:val="Hyperlink"/>
            <w:noProof/>
          </w:rPr>
          <w:noBreakHyphen/>
          <w:t>7: Low-Income Energy Efficiency Program Sampling Strategy for PY7 NTG Research</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_Toc466413571 \h </w:instrText>
        </w:r>
        <w:r w:rsidR="00836229" w:rsidRPr="00B75B77">
          <w:rPr>
            <w:noProof/>
            <w:webHidden/>
          </w:rPr>
        </w:r>
        <w:r w:rsidR="00836229" w:rsidRPr="00B75B77">
          <w:rPr>
            <w:noProof/>
            <w:webHidden/>
          </w:rPr>
          <w:fldChar w:fldCharType="separate"/>
        </w:r>
        <w:r w:rsidR="0004016D">
          <w:rPr>
            <w:noProof/>
            <w:webHidden/>
          </w:rPr>
          <w:t>114</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72" w:history="1">
        <w:r w:rsidR="00836229" w:rsidRPr="00B75B77">
          <w:rPr>
            <w:rStyle w:val="Hyperlink"/>
            <w:noProof/>
          </w:rPr>
          <w:t>Table 8</w:t>
        </w:r>
        <w:r w:rsidR="00836229" w:rsidRPr="00B75B77">
          <w:rPr>
            <w:rStyle w:val="Hyperlink"/>
            <w:noProof/>
          </w:rPr>
          <w:noBreakHyphen/>
          <w:t>8: PY7 Low-Income Energy Efficiency Program Summary of Evaluation Results for NTG Research</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_Toc466413572 \h </w:instrText>
        </w:r>
        <w:r w:rsidR="00836229" w:rsidRPr="00B75B77">
          <w:rPr>
            <w:noProof/>
            <w:webHidden/>
          </w:rPr>
        </w:r>
        <w:r w:rsidR="00836229" w:rsidRPr="00B75B77">
          <w:rPr>
            <w:noProof/>
            <w:webHidden/>
          </w:rPr>
          <w:fldChar w:fldCharType="separate"/>
        </w:r>
        <w:r w:rsidR="0004016D">
          <w:rPr>
            <w:noProof/>
            <w:webHidden/>
          </w:rPr>
          <w:t>116</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73" w:history="1">
        <w:r w:rsidR="00836229" w:rsidRPr="00B75B77">
          <w:rPr>
            <w:rStyle w:val="Hyperlink"/>
            <w:noProof/>
          </w:rPr>
          <w:t>Table 8</w:t>
        </w:r>
        <w:r w:rsidR="00836229" w:rsidRPr="00B75B77">
          <w:rPr>
            <w:rStyle w:val="Hyperlink"/>
            <w:noProof/>
          </w:rPr>
          <w:noBreakHyphen/>
          <w:t>9: Low-Income Energy Efficiency Program Sampling Strategy for Program Year 7</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_Toc466413573 \h </w:instrText>
        </w:r>
        <w:r w:rsidR="00836229" w:rsidRPr="00B75B77">
          <w:rPr>
            <w:noProof/>
            <w:webHidden/>
          </w:rPr>
        </w:r>
        <w:r w:rsidR="00836229" w:rsidRPr="00B75B77">
          <w:rPr>
            <w:noProof/>
            <w:webHidden/>
          </w:rPr>
          <w:fldChar w:fldCharType="separate"/>
        </w:r>
        <w:r w:rsidR="0004016D">
          <w:rPr>
            <w:noProof/>
            <w:webHidden/>
          </w:rPr>
          <w:t>117</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74" w:history="1">
        <w:r w:rsidR="00836229" w:rsidRPr="00B75B77">
          <w:rPr>
            <w:rStyle w:val="Hyperlink"/>
            <w:noProof/>
          </w:rPr>
          <w:t>Table 8</w:t>
        </w:r>
        <w:r w:rsidR="00836229" w:rsidRPr="00B75B77">
          <w:rPr>
            <w:rStyle w:val="Hyperlink"/>
            <w:noProof/>
          </w:rPr>
          <w:noBreakHyphen/>
          <w:t>10: Low-Income Energy Efficiency Program Status Report on Process and Impact Recommendations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_Toc466413574 \h </w:instrText>
        </w:r>
        <w:r w:rsidR="00836229" w:rsidRPr="00B75B77">
          <w:rPr>
            <w:noProof/>
            <w:webHidden/>
          </w:rPr>
        </w:r>
        <w:r w:rsidR="00836229" w:rsidRPr="00B75B77">
          <w:rPr>
            <w:noProof/>
            <w:webHidden/>
          </w:rPr>
          <w:fldChar w:fldCharType="separate"/>
        </w:r>
        <w:r w:rsidR="0004016D">
          <w:rPr>
            <w:noProof/>
            <w:webHidden/>
          </w:rPr>
          <w:t>121</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75" w:history="1">
        <w:r w:rsidR="00836229" w:rsidRPr="00B75B77">
          <w:rPr>
            <w:rStyle w:val="Hyperlink"/>
            <w:noProof/>
          </w:rPr>
          <w:t>Table 8</w:t>
        </w:r>
        <w:r w:rsidR="00836229" w:rsidRPr="00B75B77">
          <w:rPr>
            <w:rStyle w:val="Hyperlink"/>
            <w:noProof/>
          </w:rPr>
          <w:noBreakHyphen/>
          <w:t>11: Summary of Low-Income Energy Efficiency Program Finances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_Toc466413575 \h </w:instrText>
        </w:r>
        <w:r w:rsidR="00836229" w:rsidRPr="00B75B77">
          <w:rPr>
            <w:noProof/>
            <w:webHidden/>
          </w:rPr>
        </w:r>
        <w:r w:rsidR="00836229" w:rsidRPr="00B75B77">
          <w:rPr>
            <w:noProof/>
            <w:webHidden/>
          </w:rPr>
          <w:fldChar w:fldCharType="separate"/>
        </w:r>
        <w:r w:rsidR="0004016D">
          <w:rPr>
            <w:noProof/>
            <w:webHidden/>
          </w:rPr>
          <w:t>122</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76" w:history="1">
        <w:r w:rsidR="00836229" w:rsidRPr="00B75B77">
          <w:rPr>
            <w:rStyle w:val="Hyperlink"/>
            <w:noProof/>
          </w:rPr>
          <w:t>Table 9</w:t>
        </w:r>
        <w:r w:rsidR="00836229" w:rsidRPr="00B75B77">
          <w:rPr>
            <w:rStyle w:val="Hyperlink"/>
            <w:noProof/>
          </w:rPr>
          <w:noBreakHyphen/>
          <w:t>1: Phase II Residential Smart AC Saver Reported Results by Customer Sector</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_Toc466413576 \h </w:instrText>
        </w:r>
        <w:r w:rsidR="00836229" w:rsidRPr="00B75B77">
          <w:rPr>
            <w:noProof/>
            <w:webHidden/>
          </w:rPr>
        </w:r>
        <w:r w:rsidR="00836229" w:rsidRPr="00B75B77">
          <w:rPr>
            <w:noProof/>
            <w:webHidden/>
          </w:rPr>
          <w:fldChar w:fldCharType="separate"/>
        </w:r>
        <w:r w:rsidR="0004016D">
          <w:rPr>
            <w:noProof/>
            <w:webHidden/>
          </w:rPr>
          <w:t>124</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77" w:history="1">
        <w:r w:rsidR="00836229" w:rsidRPr="00B75B77">
          <w:rPr>
            <w:rStyle w:val="Hyperlink"/>
            <w:noProof/>
          </w:rPr>
          <w:t>Table 9</w:t>
        </w:r>
        <w:r w:rsidR="00836229" w:rsidRPr="00B75B77">
          <w:rPr>
            <w:rStyle w:val="Hyperlink"/>
            <w:noProof/>
          </w:rPr>
          <w:noBreakHyphen/>
          <w:t>2: Residential AC Saver Sampling Strategy for PY7</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_Toc466413577 \h </w:instrText>
        </w:r>
        <w:r w:rsidR="00836229" w:rsidRPr="00B75B77">
          <w:rPr>
            <w:noProof/>
            <w:webHidden/>
          </w:rPr>
        </w:r>
        <w:r w:rsidR="00836229" w:rsidRPr="00B75B77">
          <w:rPr>
            <w:noProof/>
            <w:webHidden/>
          </w:rPr>
          <w:fldChar w:fldCharType="separate"/>
        </w:r>
        <w:r w:rsidR="0004016D">
          <w:rPr>
            <w:noProof/>
            <w:webHidden/>
          </w:rPr>
          <w:t>125</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78" w:history="1">
        <w:r w:rsidR="00836229" w:rsidRPr="00B75B77">
          <w:rPr>
            <w:rStyle w:val="Hyperlink"/>
            <w:noProof/>
          </w:rPr>
          <w:t>Table 9</w:t>
        </w:r>
        <w:r w:rsidR="00836229" w:rsidRPr="00B75B77">
          <w:rPr>
            <w:rStyle w:val="Hyperlink"/>
            <w:noProof/>
          </w:rPr>
          <w:noBreakHyphen/>
          <w:t>3: PY7 Residential AC Saver Summary of Evaluation Results for Demand</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_Toc466413578 \h </w:instrText>
        </w:r>
        <w:r w:rsidR="00836229" w:rsidRPr="00B75B77">
          <w:rPr>
            <w:noProof/>
            <w:webHidden/>
          </w:rPr>
        </w:r>
        <w:r w:rsidR="00836229" w:rsidRPr="00B75B77">
          <w:rPr>
            <w:noProof/>
            <w:webHidden/>
          </w:rPr>
          <w:fldChar w:fldCharType="separate"/>
        </w:r>
        <w:r w:rsidR="0004016D">
          <w:rPr>
            <w:noProof/>
            <w:webHidden/>
          </w:rPr>
          <w:t>125</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79" w:history="1">
        <w:r w:rsidR="00836229" w:rsidRPr="00B75B77">
          <w:rPr>
            <w:rStyle w:val="Hyperlink"/>
            <w:noProof/>
          </w:rPr>
          <w:t>Table 9</w:t>
        </w:r>
        <w:r w:rsidR="00836229" w:rsidRPr="00B75B77">
          <w:rPr>
            <w:rStyle w:val="Hyperlink"/>
            <w:noProof/>
          </w:rPr>
          <w:noBreakHyphen/>
          <w:t>4: Residential AC Saver Process Sampling Strategy for PY7</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_Toc466413579 \h </w:instrText>
        </w:r>
        <w:r w:rsidR="00836229" w:rsidRPr="00B75B77">
          <w:rPr>
            <w:noProof/>
            <w:webHidden/>
          </w:rPr>
        </w:r>
        <w:r w:rsidR="00836229" w:rsidRPr="00B75B77">
          <w:rPr>
            <w:noProof/>
            <w:webHidden/>
          </w:rPr>
          <w:fldChar w:fldCharType="separate"/>
        </w:r>
        <w:r w:rsidR="0004016D">
          <w:rPr>
            <w:noProof/>
            <w:webHidden/>
          </w:rPr>
          <w:t>126</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80" w:history="1">
        <w:r w:rsidR="00836229" w:rsidRPr="00B75B77">
          <w:rPr>
            <w:rStyle w:val="Hyperlink"/>
            <w:noProof/>
          </w:rPr>
          <w:t>Table 9</w:t>
        </w:r>
        <w:r w:rsidR="00836229" w:rsidRPr="00B75B77">
          <w:rPr>
            <w:rStyle w:val="Hyperlink"/>
            <w:noProof/>
          </w:rPr>
          <w:noBreakHyphen/>
          <w:t>5: Residential AC Saver Status Report on Process and Impact Recommendations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_Toc466413580 \h </w:instrText>
        </w:r>
        <w:r w:rsidR="00836229" w:rsidRPr="00B75B77">
          <w:rPr>
            <w:noProof/>
            <w:webHidden/>
          </w:rPr>
        </w:r>
        <w:r w:rsidR="00836229" w:rsidRPr="00B75B77">
          <w:rPr>
            <w:noProof/>
            <w:webHidden/>
          </w:rPr>
          <w:fldChar w:fldCharType="separate"/>
        </w:r>
        <w:r w:rsidR="0004016D">
          <w:rPr>
            <w:noProof/>
            <w:webHidden/>
          </w:rPr>
          <w:t>128</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81" w:history="1">
        <w:r w:rsidR="00836229" w:rsidRPr="00B75B77">
          <w:rPr>
            <w:rStyle w:val="Hyperlink"/>
            <w:noProof/>
          </w:rPr>
          <w:t>Table 9</w:t>
        </w:r>
        <w:r w:rsidR="00836229" w:rsidRPr="00B75B77">
          <w:rPr>
            <w:rStyle w:val="Hyperlink"/>
            <w:noProof/>
          </w:rPr>
          <w:noBreakHyphen/>
          <w:t>6: Summary of Residential AC Saver Program Finances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_Toc466413581 \h </w:instrText>
        </w:r>
        <w:r w:rsidR="00836229" w:rsidRPr="00B75B77">
          <w:rPr>
            <w:noProof/>
            <w:webHidden/>
          </w:rPr>
        </w:r>
        <w:r w:rsidR="00836229" w:rsidRPr="00B75B77">
          <w:rPr>
            <w:noProof/>
            <w:webHidden/>
          </w:rPr>
          <w:fldChar w:fldCharType="separate"/>
        </w:r>
        <w:r w:rsidR="0004016D">
          <w:rPr>
            <w:noProof/>
            <w:webHidden/>
          </w:rPr>
          <w:t>129</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82" w:history="1">
        <w:r w:rsidR="00836229" w:rsidRPr="00B75B77">
          <w:rPr>
            <w:rStyle w:val="Hyperlink"/>
            <w:noProof/>
          </w:rPr>
          <w:t>Table 10</w:t>
        </w:r>
        <w:r w:rsidR="00836229" w:rsidRPr="00B75B77">
          <w:rPr>
            <w:rStyle w:val="Hyperlink"/>
            <w:noProof/>
          </w:rPr>
          <w:noBreakHyphen/>
          <w:t>1: Phase II Commercial Smart AC Saver Reported Results by Customer Sector</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_Toc466413582 \h </w:instrText>
        </w:r>
        <w:r w:rsidR="00836229" w:rsidRPr="00B75B77">
          <w:rPr>
            <w:noProof/>
            <w:webHidden/>
          </w:rPr>
        </w:r>
        <w:r w:rsidR="00836229" w:rsidRPr="00B75B77">
          <w:rPr>
            <w:noProof/>
            <w:webHidden/>
          </w:rPr>
          <w:fldChar w:fldCharType="separate"/>
        </w:r>
        <w:r w:rsidR="0004016D">
          <w:rPr>
            <w:noProof/>
            <w:webHidden/>
          </w:rPr>
          <w:t>131</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83" w:history="1">
        <w:r w:rsidR="00836229" w:rsidRPr="00B75B77">
          <w:rPr>
            <w:rStyle w:val="Hyperlink"/>
            <w:noProof/>
          </w:rPr>
          <w:t>Table 10</w:t>
        </w:r>
        <w:r w:rsidR="00836229" w:rsidRPr="00B75B77">
          <w:rPr>
            <w:rStyle w:val="Hyperlink"/>
            <w:noProof/>
          </w:rPr>
          <w:noBreakHyphen/>
          <w:t>2: Commercial AC Saver Sampling Strategy for PY7</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_Toc466413583 \h </w:instrText>
        </w:r>
        <w:r w:rsidR="00836229" w:rsidRPr="00B75B77">
          <w:rPr>
            <w:noProof/>
            <w:webHidden/>
          </w:rPr>
        </w:r>
        <w:r w:rsidR="00836229" w:rsidRPr="00B75B77">
          <w:rPr>
            <w:noProof/>
            <w:webHidden/>
          </w:rPr>
          <w:fldChar w:fldCharType="separate"/>
        </w:r>
        <w:r w:rsidR="0004016D">
          <w:rPr>
            <w:noProof/>
            <w:webHidden/>
          </w:rPr>
          <w:t>132</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84" w:history="1">
        <w:r w:rsidR="00836229" w:rsidRPr="00B75B77">
          <w:rPr>
            <w:rStyle w:val="Hyperlink"/>
            <w:noProof/>
          </w:rPr>
          <w:t>Table 10</w:t>
        </w:r>
        <w:r w:rsidR="00836229" w:rsidRPr="00B75B77">
          <w:rPr>
            <w:rStyle w:val="Hyperlink"/>
            <w:noProof/>
          </w:rPr>
          <w:noBreakHyphen/>
          <w:t>3: PY7 Commercial AC Saver Summary of Evaluation Results for Demand</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_Toc466413584 \h </w:instrText>
        </w:r>
        <w:r w:rsidR="00836229" w:rsidRPr="00B75B77">
          <w:rPr>
            <w:noProof/>
            <w:webHidden/>
          </w:rPr>
        </w:r>
        <w:r w:rsidR="00836229" w:rsidRPr="00B75B77">
          <w:rPr>
            <w:noProof/>
            <w:webHidden/>
          </w:rPr>
          <w:fldChar w:fldCharType="separate"/>
        </w:r>
        <w:r w:rsidR="0004016D">
          <w:rPr>
            <w:noProof/>
            <w:webHidden/>
          </w:rPr>
          <w:t>132</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85" w:history="1">
        <w:r w:rsidR="00836229" w:rsidRPr="00B75B77">
          <w:rPr>
            <w:rStyle w:val="Hyperlink"/>
            <w:noProof/>
          </w:rPr>
          <w:t>Table 10</w:t>
        </w:r>
        <w:r w:rsidR="00836229" w:rsidRPr="00B75B77">
          <w:rPr>
            <w:rStyle w:val="Hyperlink"/>
            <w:noProof/>
          </w:rPr>
          <w:noBreakHyphen/>
          <w:t>4: Commercial AC Saver Process Sampling Strategy for PY7</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_Toc466413585 \h </w:instrText>
        </w:r>
        <w:r w:rsidR="00836229" w:rsidRPr="00B75B77">
          <w:rPr>
            <w:noProof/>
            <w:webHidden/>
          </w:rPr>
        </w:r>
        <w:r w:rsidR="00836229" w:rsidRPr="00B75B77">
          <w:rPr>
            <w:noProof/>
            <w:webHidden/>
          </w:rPr>
          <w:fldChar w:fldCharType="separate"/>
        </w:r>
        <w:r w:rsidR="0004016D">
          <w:rPr>
            <w:noProof/>
            <w:webHidden/>
          </w:rPr>
          <w:t>133</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86" w:history="1">
        <w:r w:rsidR="00836229" w:rsidRPr="00B75B77">
          <w:rPr>
            <w:rStyle w:val="Hyperlink"/>
            <w:noProof/>
          </w:rPr>
          <w:t>Table 10</w:t>
        </w:r>
        <w:r w:rsidR="00836229" w:rsidRPr="00B75B77">
          <w:rPr>
            <w:rStyle w:val="Hyperlink"/>
            <w:noProof/>
          </w:rPr>
          <w:noBreakHyphen/>
          <w:t>5: Commercial AC Saver Status Report on Process and Impact Recommendations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_Toc466413586 \h </w:instrText>
        </w:r>
        <w:r w:rsidR="00836229" w:rsidRPr="00B75B77">
          <w:rPr>
            <w:noProof/>
            <w:webHidden/>
          </w:rPr>
        </w:r>
        <w:r w:rsidR="00836229" w:rsidRPr="00B75B77">
          <w:rPr>
            <w:noProof/>
            <w:webHidden/>
          </w:rPr>
          <w:fldChar w:fldCharType="separate"/>
        </w:r>
        <w:r w:rsidR="0004016D">
          <w:rPr>
            <w:noProof/>
            <w:webHidden/>
          </w:rPr>
          <w:t>134</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87" w:history="1">
        <w:r w:rsidR="00836229" w:rsidRPr="00B75B77">
          <w:rPr>
            <w:rStyle w:val="Hyperlink"/>
            <w:noProof/>
          </w:rPr>
          <w:t>Table 10</w:t>
        </w:r>
        <w:r w:rsidR="00836229" w:rsidRPr="00B75B77">
          <w:rPr>
            <w:rStyle w:val="Hyperlink"/>
            <w:noProof/>
          </w:rPr>
          <w:noBreakHyphen/>
          <w:t>6: Summary of Commercial AC Saver Program Finances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_Toc466413587 \h </w:instrText>
        </w:r>
        <w:r w:rsidR="00836229" w:rsidRPr="00B75B77">
          <w:rPr>
            <w:noProof/>
            <w:webHidden/>
          </w:rPr>
        </w:r>
        <w:r w:rsidR="00836229" w:rsidRPr="00B75B77">
          <w:rPr>
            <w:noProof/>
            <w:webHidden/>
          </w:rPr>
          <w:fldChar w:fldCharType="separate"/>
        </w:r>
        <w:r w:rsidR="0004016D">
          <w:rPr>
            <w:noProof/>
            <w:webHidden/>
          </w:rPr>
          <w:t>135</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88" w:history="1">
        <w:r w:rsidR="00836229" w:rsidRPr="00B75B77">
          <w:rPr>
            <w:rStyle w:val="Hyperlink"/>
            <w:noProof/>
          </w:rPr>
          <w:t>Table 11</w:t>
        </w:r>
        <w:r w:rsidR="00836229" w:rsidRPr="00B75B77">
          <w:rPr>
            <w:rStyle w:val="Hyperlink"/>
            <w:noProof/>
          </w:rPr>
          <w:noBreakHyphen/>
          <w:t>1: Phase II Smart Equipment Incentives (C&amp;I) Reported Results by Customer Sector</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_Toc466413588 \h </w:instrText>
        </w:r>
        <w:r w:rsidR="00836229" w:rsidRPr="00B75B77">
          <w:rPr>
            <w:noProof/>
            <w:webHidden/>
          </w:rPr>
        </w:r>
        <w:r w:rsidR="00836229" w:rsidRPr="00B75B77">
          <w:rPr>
            <w:noProof/>
            <w:webHidden/>
          </w:rPr>
          <w:fldChar w:fldCharType="separate"/>
        </w:r>
        <w:r w:rsidR="0004016D">
          <w:rPr>
            <w:noProof/>
            <w:webHidden/>
          </w:rPr>
          <w:t>137</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89" w:history="1">
        <w:r w:rsidR="00836229" w:rsidRPr="00B75B77">
          <w:rPr>
            <w:rStyle w:val="Hyperlink"/>
            <w:noProof/>
          </w:rPr>
          <w:t>Table 11</w:t>
        </w:r>
        <w:r w:rsidR="00836229" w:rsidRPr="00B75B77">
          <w:rPr>
            <w:rStyle w:val="Hyperlink"/>
            <w:noProof/>
          </w:rPr>
          <w:noBreakHyphen/>
          <w:t>2: Smart Equipment Incentives (C&amp;I) Sampling Strategy for PY7</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_Toc466413589 \h </w:instrText>
        </w:r>
        <w:r w:rsidR="00836229" w:rsidRPr="00B75B77">
          <w:rPr>
            <w:noProof/>
            <w:webHidden/>
          </w:rPr>
        </w:r>
        <w:r w:rsidR="00836229" w:rsidRPr="00B75B77">
          <w:rPr>
            <w:noProof/>
            <w:webHidden/>
          </w:rPr>
          <w:fldChar w:fldCharType="separate"/>
        </w:r>
        <w:r w:rsidR="0004016D">
          <w:rPr>
            <w:noProof/>
            <w:webHidden/>
          </w:rPr>
          <w:t>138</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90" w:history="1">
        <w:r w:rsidR="00836229" w:rsidRPr="00B75B77">
          <w:rPr>
            <w:rStyle w:val="Hyperlink"/>
            <w:noProof/>
          </w:rPr>
          <w:t>Table 11</w:t>
        </w:r>
        <w:r w:rsidR="00836229" w:rsidRPr="00B75B77">
          <w:rPr>
            <w:rStyle w:val="Hyperlink"/>
            <w:noProof/>
          </w:rPr>
          <w:noBreakHyphen/>
          <w:t>3: PY7 Smart Equipment Incentives (C&amp;I) Summary of Evaluation Results for Energy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_Toc466413590 \h </w:instrText>
        </w:r>
        <w:r w:rsidR="00836229" w:rsidRPr="00B75B77">
          <w:rPr>
            <w:noProof/>
            <w:webHidden/>
          </w:rPr>
        </w:r>
        <w:r w:rsidR="00836229" w:rsidRPr="00B75B77">
          <w:rPr>
            <w:noProof/>
            <w:webHidden/>
          </w:rPr>
          <w:fldChar w:fldCharType="separate"/>
        </w:r>
        <w:r w:rsidR="0004016D">
          <w:rPr>
            <w:noProof/>
            <w:webHidden/>
          </w:rPr>
          <w:t>140</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91" w:history="1">
        <w:r w:rsidR="00836229" w:rsidRPr="00B75B77">
          <w:rPr>
            <w:rStyle w:val="Hyperlink"/>
            <w:noProof/>
          </w:rPr>
          <w:t>Table 11</w:t>
        </w:r>
        <w:r w:rsidR="00836229" w:rsidRPr="00B75B77">
          <w:rPr>
            <w:rStyle w:val="Hyperlink"/>
            <w:noProof/>
          </w:rPr>
          <w:noBreakHyphen/>
          <w:t>4: PY7 Smart Equipment Incentives (C&amp;I) Summary of Evaluation Results for Demand</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_Toc466413591 \h </w:instrText>
        </w:r>
        <w:r w:rsidR="00836229" w:rsidRPr="00B75B77">
          <w:rPr>
            <w:noProof/>
            <w:webHidden/>
          </w:rPr>
        </w:r>
        <w:r w:rsidR="00836229" w:rsidRPr="00B75B77">
          <w:rPr>
            <w:noProof/>
            <w:webHidden/>
          </w:rPr>
          <w:fldChar w:fldCharType="separate"/>
        </w:r>
        <w:r w:rsidR="0004016D">
          <w:rPr>
            <w:noProof/>
            <w:webHidden/>
          </w:rPr>
          <w:t>141</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92" w:history="1">
        <w:r w:rsidR="00836229" w:rsidRPr="00B75B77">
          <w:rPr>
            <w:rStyle w:val="Hyperlink"/>
            <w:noProof/>
          </w:rPr>
          <w:t>Table 11</w:t>
        </w:r>
        <w:r w:rsidR="00836229" w:rsidRPr="00B75B77">
          <w:rPr>
            <w:rStyle w:val="Hyperlink"/>
            <w:noProof/>
          </w:rPr>
          <w:noBreakHyphen/>
          <w:t>5: PY7 Smart Equipment Incentives (C&amp;I) Onsite Inspections Summary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_Toc466413592 \h </w:instrText>
        </w:r>
        <w:r w:rsidR="00836229" w:rsidRPr="00B75B77">
          <w:rPr>
            <w:noProof/>
            <w:webHidden/>
          </w:rPr>
        </w:r>
        <w:r w:rsidR="00836229" w:rsidRPr="00B75B77">
          <w:rPr>
            <w:noProof/>
            <w:webHidden/>
          </w:rPr>
          <w:fldChar w:fldCharType="separate"/>
        </w:r>
        <w:r w:rsidR="0004016D">
          <w:rPr>
            <w:noProof/>
            <w:webHidden/>
          </w:rPr>
          <w:t>141</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93" w:history="1">
        <w:r w:rsidR="00836229" w:rsidRPr="00B75B77">
          <w:rPr>
            <w:rStyle w:val="Hyperlink"/>
            <w:noProof/>
          </w:rPr>
          <w:t>Table 11</w:t>
        </w:r>
        <w:r w:rsidR="00836229" w:rsidRPr="00B75B77">
          <w:rPr>
            <w:rStyle w:val="Hyperlink"/>
            <w:noProof/>
          </w:rPr>
          <w:noBreakHyphen/>
          <w:t>6: Smart Equipment Incentives (C&amp;I) Sampling Strategy for PY7 NTG Research</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_Toc466413593 \h </w:instrText>
        </w:r>
        <w:r w:rsidR="00836229" w:rsidRPr="00B75B77">
          <w:rPr>
            <w:noProof/>
            <w:webHidden/>
          </w:rPr>
        </w:r>
        <w:r w:rsidR="00836229" w:rsidRPr="00B75B77">
          <w:rPr>
            <w:noProof/>
            <w:webHidden/>
          </w:rPr>
          <w:fldChar w:fldCharType="separate"/>
        </w:r>
        <w:r w:rsidR="0004016D">
          <w:rPr>
            <w:noProof/>
            <w:webHidden/>
          </w:rPr>
          <w:t>142</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94" w:history="1">
        <w:r w:rsidR="00836229" w:rsidRPr="00B75B77">
          <w:rPr>
            <w:rStyle w:val="Hyperlink"/>
            <w:noProof/>
          </w:rPr>
          <w:t>Table 11</w:t>
        </w:r>
        <w:r w:rsidR="00836229" w:rsidRPr="00B75B77">
          <w:rPr>
            <w:rStyle w:val="Hyperlink"/>
            <w:noProof/>
          </w:rPr>
          <w:noBreakHyphen/>
          <w:t>7: PY7 Smart Equipment Incentives (C&amp;I) Summary of Evaluation Results for NTG Research</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_Toc466413594 \h </w:instrText>
        </w:r>
        <w:r w:rsidR="00836229" w:rsidRPr="00B75B77">
          <w:rPr>
            <w:noProof/>
            <w:webHidden/>
          </w:rPr>
        </w:r>
        <w:r w:rsidR="00836229" w:rsidRPr="00B75B77">
          <w:rPr>
            <w:noProof/>
            <w:webHidden/>
          </w:rPr>
          <w:fldChar w:fldCharType="separate"/>
        </w:r>
        <w:r w:rsidR="0004016D">
          <w:rPr>
            <w:noProof/>
            <w:webHidden/>
          </w:rPr>
          <w:t>147</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95" w:history="1">
        <w:r w:rsidR="00836229" w:rsidRPr="00B75B77">
          <w:rPr>
            <w:rStyle w:val="Hyperlink"/>
            <w:noProof/>
          </w:rPr>
          <w:t>Table 11</w:t>
        </w:r>
        <w:r w:rsidR="00836229" w:rsidRPr="00B75B77">
          <w:rPr>
            <w:rStyle w:val="Hyperlink"/>
            <w:noProof/>
          </w:rPr>
          <w:noBreakHyphen/>
          <w:t>8: Smart Equipment Incentives (C&amp;I) Process Sampling Strategy for PY7</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_Toc466413595 \h </w:instrText>
        </w:r>
        <w:r w:rsidR="00836229" w:rsidRPr="00B75B77">
          <w:rPr>
            <w:noProof/>
            <w:webHidden/>
          </w:rPr>
        </w:r>
        <w:r w:rsidR="00836229" w:rsidRPr="00B75B77">
          <w:rPr>
            <w:noProof/>
            <w:webHidden/>
          </w:rPr>
          <w:fldChar w:fldCharType="separate"/>
        </w:r>
        <w:r w:rsidR="0004016D">
          <w:rPr>
            <w:noProof/>
            <w:webHidden/>
          </w:rPr>
          <w:t>147</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96" w:history="1">
        <w:r w:rsidR="00836229" w:rsidRPr="00B75B77">
          <w:rPr>
            <w:rStyle w:val="Hyperlink"/>
            <w:noProof/>
          </w:rPr>
          <w:t>Table 11</w:t>
        </w:r>
        <w:r w:rsidR="00836229" w:rsidRPr="00B75B77">
          <w:rPr>
            <w:rStyle w:val="Hyperlink"/>
            <w:noProof/>
          </w:rPr>
          <w:noBreakHyphen/>
          <w:t>9: Smart Equipment Incentives (C&amp;I) Status Report on Process and Impact Recommendations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_Toc466413596 \h </w:instrText>
        </w:r>
        <w:r w:rsidR="00836229" w:rsidRPr="00B75B77">
          <w:rPr>
            <w:noProof/>
            <w:webHidden/>
          </w:rPr>
        </w:r>
        <w:r w:rsidR="00836229" w:rsidRPr="00B75B77">
          <w:rPr>
            <w:noProof/>
            <w:webHidden/>
          </w:rPr>
          <w:fldChar w:fldCharType="separate"/>
        </w:r>
        <w:r w:rsidR="0004016D">
          <w:rPr>
            <w:noProof/>
            <w:webHidden/>
          </w:rPr>
          <w:t>149</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97" w:history="1">
        <w:r w:rsidR="00836229" w:rsidRPr="00B75B77">
          <w:rPr>
            <w:rStyle w:val="Hyperlink"/>
            <w:noProof/>
          </w:rPr>
          <w:t>Table 11</w:t>
        </w:r>
        <w:r w:rsidR="00836229" w:rsidRPr="00B75B77">
          <w:rPr>
            <w:rStyle w:val="Hyperlink"/>
            <w:noProof/>
          </w:rPr>
          <w:noBreakHyphen/>
          <w:t>10: Summary of Smart Equipment Incentives (C&amp;I) Program Finances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_Toc466413597 \h </w:instrText>
        </w:r>
        <w:r w:rsidR="00836229" w:rsidRPr="00B75B77">
          <w:rPr>
            <w:noProof/>
            <w:webHidden/>
          </w:rPr>
        </w:r>
        <w:r w:rsidR="00836229" w:rsidRPr="00B75B77">
          <w:rPr>
            <w:noProof/>
            <w:webHidden/>
          </w:rPr>
          <w:fldChar w:fldCharType="separate"/>
        </w:r>
        <w:r w:rsidR="0004016D">
          <w:rPr>
            <w:noProof/>
            <w:webHidden/>
          </w:rPr>
          <w:t>150</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98" w:history="1">
        <w:r w:rsidR="00836229" w:rsidRPr="00B75B77">
          <w:rPr>
            <w:rStyle w:val="Hyperlink"/>
            <w:noProof/>
          </w:rPr>
          <w:t>Table 12</w:t>
        </w:r>
        <w:r w:rsidR="00836229" w:rsidRPr="00B75B77">
          <w:rPr>
            <w:rStyle w:val="Hyperlink"/>
            <w:noProof/>
          </w:rPr>
          <w:noBreakHyphen/>
          <w:t>1: Phase II Smart Equipment Incentives (GNI) Reported Results by Customer Sector</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_Toc466413598 \h </w:instrText>
        </w:r>
        <w:r w:rsidR="00836229" w:rsidRPr="00B75B77">
          <w:rPr>
            <w:noProof/>
            <w:webHidden/>
          </w:rPr>
        </w:r>
        <w:r w:rsidR="00836229" w:rsidRPr="00B75B77">
          <w:rPr>
            <w:noProof/>
            <w:webHidden/>
          </w:rPr>
          <w:fldChar w:fldCharType="separate"/>
        </w:r>
        <w:r w:rsidR="0004016D">
          <w:rPr>
            <w:noProof/>
            <w:webHidden/>
          </w:rPr>
          <w:t>152</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599" w:history="1">
        <w:r w:rsidR="00836229" w:rsidRPr="00B75B77">
          <w:rPr>
            <w:rStyle w:val="Hyperlink"/>
            <w:noProof/>
          </w:rPr>
          <w:t>Table 12</w:t>
        </w:r>
        <w:r w:rsidR="00836229" w:rsidRPr="00B75B77">
          <w:rPr>
            <w:rStyle w:val="Hyperlink"/>
            <w:noProof/>
          </w:rPr>
          <w:noBreakHyphen/>
          <w:t>2: Smart Equipment Incentives (GNI) Sampling Strategy for PY7</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_Toc466413599 \h </w:instrText>
        </w:r>
        <w:r w:rsidR="00836229" w:rsidRPr="00B75B77">
          <w:rPr>
            <w:noProof/>
            <w:webHidden/>
          </w:rPr>
        </w:r>
        <w:r w:rsidR="00836229" w:rsidRPr="00B75B77">
          <w:rPr>
            <w:noProof/>
            <w:webHidden/>
          </w:rPr>
          <w:fldChar w:fldCharType="separate"/>
        </w:r>
        <w:r w:rsidR="0004016D">
          <w:rPr>
            <w:noProof/>
            <w:webHidden/>
          </w:rPr>
          <w:t>153</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00" w:history="1">
        <w:r w:rsidR="00836229" w:rsidRPr="00B75B77">
          <w:rPr>
            <w:rStyle w:val="Hyperlink"/>
            <w:noProof/>
          </w:rPr>
          <w:t>Table 12</w:t>
        </w:r>
        <w:r w:rsidR="00836229" w:rsidRPr="00B75B77">
          <w:rPr>
            <w:rStyle w:val="Hyperlink"/>
            <w:noProof/>
          </w:rPr>
          <w:noBreakHyphen/>
          <w:t>3: PY7 Smart Equipment Incentives (GNI) Summary of Evaluation Results for Energy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_Toc466413600 \h </w:instrText>
        </w:r>
        <w:r w:rsidR="00836229" w:rsidRPr="00B75B77">
          <w:rPr>
            <w:noProof/>
            <w:webHidden/>
          </w:rPr>
        </w:r>
        <w:r w:rsidR="00836229" w:rsidRPr="00B75B77">
          <w:rPr>
            <w:noProof/>
            <w:webHidden/>
          </w:rPr>
          <w:fldChar w:fldCharType="separate"/>
        </w:r>
        <w:r w:rsidR="0004016D">
          <w:rPr>
            <w:noProof/>
            <w:webHidden/>
          </w:rPr>
          <w:t>155</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01" w:history="1">
        <w:r w:rsidR="00836229" w:rsidRPr="00B75B77">
          <w:rPr>
            <w:rStyle w:val="Hyperlink"/>
            <w:noProof/>
          </w:rPr>
          <w:t>Table 12</w:t>
        </w:r>
        <w:r w:rsidR="00836229" w:rsidRPr="00B75B77">
          <w:rPr>
            <w:rStyle w:val="Hyperlink"/>
            <w:noProof/>
          </w:rPr>
          <w:noBreakHyphen/>
          <w:t>4: PY7 Smart Equipment Incentives (GNI) Summary of Evaluation Results for Demand</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_Toc466413601 \h </w:instrText>
        </w:r>
        <w:r w:rsidR="00836229" w:rsidRPr="00B75B77">
          <w:rPr>
            <w:noProof/>
            <w:webHidden/>
          </w:rPr>
        </w:r>
        <w:r w:rsidR="00836229" w:rsidRPr="00B75B77">
          <w:rPr>
            <w:noProof/>
            <w:webHidden/>
          </w:rPr>
          <w:fldChar w:fldCharType="separate"/>
        </w:r>
        <w:r w:rsidR="0004016D">
          <w:rPr>
            <w:noProof/>
            <w:webHidden/>
          </w:rPr>
          <w:t>156</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02" w:history="1">
        <w:r w:rsidR="00836229" w:rsidRPr="00B75B77">
          <w:rPr>
            <w:rStyle w:val="Hyperlink"/>
            <w:noProof/>
          </w:rPr>
          <w:t>Table 12</w:t>
        </w:r>
        <w:r w:rsidR="00836229" w:rsidRPr="00B75B77">
          <w:rPr>
            <w:rStyle w:val="Hyperlink"/>
            <w:noProof/>
          </w:rPr>
          <w:noBreakHyphen/>
          <w:t>5: PY7 Smart Equipment Incentives (GNI) Onsite Inspections Summary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_Toc466413602 \h </w:instrText>
        </w:r>
        <w:r w:rsidR="00836229" w:rsidRPr="00B75B77">
          <w:rPr>
            <w:noProof/>
            <w:webHidden/>
          </w:rPr>
        </w:r>
        <w:r w:rsidR="00836229" w:rsidRPr="00B75B77">
          <w:rPr>
            <w:noProof/>
            <w:webHidden/>
          </w:rPr>
          <w:fldChar w:fldCharType="separate"/>
        </w:r>
        <w:r w:rsidR="0004016D">
          <w:rPr>
            <w:noProof/>
            <w:webHidden/>
          </w:rPr>
          <w:t>156</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03" w:history="1">
        <w:r w:rsidR="00836229" w:rsidRPr="00B75B77">
          <w:rPr>
            <w:rStyle w:val="Hyperlink"/>
            <w:noProof/>
          </w:rPr>
          <w:t>Table 12</w:t>
        </w:r>
        <w:r w:rsidR="00836229" w:rsidRPr="00B75B77">
          <w:rPr>
            <w:rStyle w:val="Hyperlink"/>
            <w:noProof/>
          </w:rPr>
          <w:noBreakHyphen/>
          <w:t>6: Smart Equipment Incentives (GNI) Sampling Strategy for PY7 NTG Research</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_Toc466413603 \h </w:instrText>
        </w:r>
        <w:r w:rsidR="00836229" w:rsidRPr="00B75B77">
          <w:rPr>
            <w:noProof/>
            <w:webHidden/>
          </w:rPr>
        </w:r>
        <w:r w:rsidR="00836229" w:rsidRPr="00B75B77">
          <w:rPr>
            <w:noProof/>
            <w:webHidden/>
          </w:rPr>
          <w:fldChar w:fldCharType="separate"/>
        </w:r>
        <w:r w:rsidR="0004016D">
          <w:rPr>
            <w:noProof/>
            <w:webHidden/>
          </w:rPr>
          <w:t>157</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04" w:history="1">
        <w:r w:rsidR="00836229" w:rsidRPr="00B75B77">
          <w:rPr>
            <w:rStyle w:val="Hyperlink"/>
            <w:noProof/>
          </w:rPr>
          <w:t>Table 12</w:t>
        </w:r>
        <w:r w:rsidR="00836229" w:rsidRPr="00B75B77">
          <w:rPr>
            <w:rStyle w:val="Hyperlink"/>
            <w:noProof/>
          </w:rPr>
          <w:noBreakHyphen/>
          <w:t>7: PY7 Smart Equipment Incentives (GNI) Summary of Evaluation Results for NTG Research</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_Toc466413604 \h </w:instrText>
        </w:r>
        <w:r w:rsidR="00836229" w:rsidRPr="00B75B77">
          <w:rPr>
            <w:noProof/>
            <w:webHidden/>
          </w:rPr>
        </w:r>
        <w:r w:rsidR="00836229" w:rsidRPr="00B75B77">
          <w:rPr>
            <w:noProof/>
            <w:webHidden/>
          </w:rPr>
          <w:fldChar w:fldCharType="separate"/>
        </w:r>
        <w:r w:rsidR="0004016D">
          <w:rPr>
            <w:noProof/>
            <w:webHidden/>
          </w:rPr>
          <w:t>162</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05" w:history="1">
        <w:r w:rsidR="00836229" w:rsidRPr="00B75B77">
          <w:rPr>
            <w:rStyle w:val="Hyperlink"/>
            <w:noProof/>
          </w:rPr>
          <w:t>Table 12</w:t>
        </w:r>
        <w:r w:rsidR="00836229" w:rsidRPr="00B75B77">
          <w:rPr>
            <w:rStyle w:val="Hyperlink"/>
            <w:noProof/>
          </w:rPr>
          <w:noBreakHyphen/>
          <w:t>8: Smart Equipment Incentives (GNI) Process Sampling Strategy for PY7</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_Toc466413605 \h </w:instrText>
        </w:r>
        <w:r w:rsidR="00836229" w:rsidRPr="00B75B77">
          <w:rPr>
            <w:noProof/>
            <w:webHidden/>
          </w:rPr>
        </w:r>
        <w:r w:rsidR="00836229" w:rsidRPr="00B75B77">
          <w:rPr>
            <w:noProof/>
            <w:webHidden/>
          </w:rPr>
          <w:fldChar w:fldCharType="separate"/>
        </w:r>
        <w:r w:rsidR="0004016D">
          <w:rPr>
            <w:noProof/>
            <w:webHidden/>
          </w:rPr>
          <w:t>162</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06" w:history="1">
        <w:r w:rsidR="00836229" w:rsidRPr="00B75B77">
          <w:rPr>
            <w:rStyle w:val="Hyperlink"/>
            <w:noProof/>
          </w:rPr>
          <w:t>Table 12</w:t>
        </w:r>
        <w:r w:rsidR="00836229" w:rsidRPr="00B75B77">
          <w:rPr>
            <w:rStyle w:val="Hyperlink"/>
            <w:noProof/>
          </w:rPr>
          <w:noBreakHyphen/>
          <w:t>9: Smart Equipment Incentives (GNI) Status Report on Process and Impact Recommendations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_Toc466413606 \h </w:instrText>
        </w:r>
        <w:r w:rsidR="00836229" w:rsidRPr="00B75B77">
          <w:rPr>
            <w:noProof/>
            <w:webHidden/>
          </w:rPr>
        </w:r>
        <w:r w:rsidR="00836229" w:rsidRPr="00B75B77">
          <w:rPr>
            <w:noProof/>
            <w:webHidden/>
          </w:rPr>
          <w:fldChar w:fldCharType="separate"/>
        </w:r>
        <w:r w:rsidR="0004016D">
          <w:rPr>
            <w:noProof/>
            <w:webHidden/>
          </w:rPr>
          <w:t>164</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07" w:history="1">
        <w:r w:rsidR="00836229" w:rsidRPr="00B75B77">
          <w:rPr>
            <w:rStyle w:val="Hyperlink"/>
            <w:noProof/>
          </w:rPr>
          <w:t>Table 12</w:t>
        </w:r>
        <w:r w:rsidR="00836229" w:rsidRPr="00B75B77">
          <w:rPr>
            <w:rStyle w:val="Hyperlink"/>
            <w:noProof/>
          </w:rPr>
          <w:noBreakHyphen/>
          <w:t>10: Summary of Smart Equipment Incentives (GNI) Program Finances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_Toc466413607 \h </w:instrText>
        </w:r>
        <w:r w:rsidR="00836229" w:rsidRPr="00B75B77">
          <w:rPr>
            <w:noProof/>
            <w:webHidden/>
          </w:rPr>
        </w:r>
        <w:r w:rsidR="00836229" w:rsidRPr="00B75B77">
          <w:rPr>
            <w:noProof/>
            <w:webHidden/>
          </w:rPr>
          <w:fldChar w:fldCharType="separate"/>
        </w:r>
        <w:r w:rsidR="0004016D">
          <w:rPr>
            <w:noProof/>
            <w:webHidden/>
          </w:rPr>
          <w:t>165</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08" w:history="1">
        <w:r w:rsidR="00836229" w:rsidRPr="00B75B77">
          <w:rPr>
            <w:rStyle w:val="Hyperlink"/>
            <w:noProof/>
          </w:rPr>
          <w:t>Table 13</w:t>
        </w:r>
        <w:r w:rsidR="00836229" w:rsidRPr="00B75B77">
          <w:rPr>
            <w:rStyle w:val="Hyperlink"/>
            <w:noProof/>
          </w:rPr>
          <w:noBreakHyphen/>
          <w:t>1: Phase II Smart Construction Incentives Reported Results by Customer Sector</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_Toc466413608 \h </w:instrText>
        </w:r>
        <w:r w:rsidR="00836229" w:rsidRPr="00B75B77">
          <w:rPr>
            <w:noProof/>
            <w:webHidden/>
          </w:rPr>
        </w:r>
        <w:r w:rsidR="00836229" w:rsidRPr="00B75B77">
          <w:rPr>
            <w:noProof/>
            <w:webHidden/>
          </w:rPr>
          <w:fldChar w:fldCharType="separate"/>
        </w:r>
        <w:r w:rsidR="0004016D">
          <w:rPr>
            <w:noProof/>
            <w:webHidden/>
          </w:rPr>
          <w:t>167</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09" w:history="1">
        <w:r w:rsidR="00836229" w:rsidRPr="00B75B77">
          <w:rPr>
            <w:rStyle w:val="Hyperlink"/>
            <w:noProof/>
          </w:rPr>
          <w:t>Table 13</w:t>
        </w:r>
        <w:r w:rsidR="00836229" w:rsidRPr="00B75B77">
          <w:rPr>
            <w:rStyle w:val="Hyperlink"/>
            <w:noProof/>
          </w:rPr>
          <w:noBreakHyphen/>
          <w:t>2: Smart Construction Incentives Original Sampling Strategy for PY7</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_Toc466413609 \h </w:instrText>
        </w:r>
        <w:r w:rsidR="00836229" w:rsidRPr="00B75B77">
          <w:rPr>
            <w:noProof/>
            <w:webHidden/>
          </w:rPr>
        </w:r>
        <w:r w:rsidR="00836229" w:rsidRPr="00B75B77">
          <w:rPr>
            <w:noProof/>
            <w:webHidden/>
          </w:rPr>
          <w:fldChar w:fldCharType="separate"/>
        </w:r>
        <w:r w:rsidR="0004016D">
          <w:rPr>
            <w:noProof/>
            <w:webHidden/>
          </w:rPr>
          <w:t>168</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10" w:history="1">
        <w:r w:rsidR="00836229" w:rsidRPr="00B75B77">
          <w:rPr>
            <w:rStyle w:val="Hyperlink"/>
            <w:noProof/>
          </w:rPr>
          <w:t>Table 13</w:t>
        </w:r>
        <w:r w:rsidR="00836229" w:rsidRPr="00B75B77">
          <w:rPr>
            <w:rStyle w:val="Hyperlink"/>
            <w:noProof/>
          </w:rPr>
          <w:noBreakHyphen/>
          <w:t>3: Smart Construction Incentives Modified Sampling Strategy for PY7</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_Toc466413610 \h </w:instrText>
        </w:r>
        <w:r w:rsidR="00836229" w:rsidRPr="00B75B77">
          <w:rPr>
            <w:noProof/>
            <w:webHidden/>
          </w:rPr>
        </w:r>
        <w:r w:rsidR="00836229" w:rsidRPr="00B75B77">
          <w:rPr>
            <w:noProof/>
            <w:webHidden/>
          </w:rPr>
          <w:fldChar w:fldCharType="separate"/>
        </w:r>
        <w:r w:rsidR="0004016D">
          <w:rPr>
            <w:noProof/>
            <w:webHidden/>
          </w:rPr>
          <w:t>169</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11" w:history="1">
        <w:r w:rsidR="00836229" w:rsidRPr="00B75B77">
          <w:rPr>
            <w:rStyle w:val="Hyperlink"/>
            <w:noProof/>
          </w:rPr>
          <w:t>Table 13</w:t>
        </w:r>
        <w:r w:rsidR="00836229" w:rsidRPr="00B75B77">
          <w:rPr>
            <w:rStyle w:val="Hyperlink"/>
            <w:noProof/>
          </w:rPr>
          <w:noBreakHyphen/>
          <w:t>4: PY7 Smart Construction Incentives Summary of Evaluation Results for Energy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_Toc466413611 \h </w:instrText>
        </w:r>
        <w:r w:rsidR="00836229" w:rsidRPr="00B75B77">
          <w:rPr>
            <w:noProof/>
            <w:webHidden/>
          </w:rPr>
        </w:r>
        <w:r w:rsidR="00836229" w:rsidRPr="00B75B77">
          <w:rPr>
            <w:noProof/>
            <w:webHidden/>
          </w:rPr>
          <w:fldChar w:fldCharType="separate"/>
        </w:r>
        <w:r w:rsidR="0004016D">
          <w:rPr>
            <w:noProof/>
            <w:webHidden/>
          </w:rPr>
          <w:t>170</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12" w:history="1">
        <w:r w:rsidR="00836229" w:rsidRPr="00B75B77">
          <w:rPr>
            <w:rStyle w:val="Hyperlink"/>
            <w:noProof/>
          </w:rPr>
          <w:t>Table 13</w:t>
        </w:r>
        <w:r w:rsidR="00836229" w:rsidRPr="00B75B77">
          <w:rPr>
            <w:rStyle w:val="Hyperlink"/>
            <w:noProof/>
          </w:rPr>
          <w:noBreakHyphen/>
          <w:t>5: PY7 Smart Construction Incentives Summary of Evaluation Results for Demand</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_Toc466413612 \h </w:instrText>
        </w:r>
        <w:r w:rsidR="00836229" w:rsidRPr="00B75B77">
          <w:rPr>
            <w:noProof/>
            <w:webHidden/>
          </w:rPr>
        </w:r>
        <w:r w:rsidR="00836229" w:rsidRPr="00B75B77">
          <w:rPr>
            <w:noProof/>
            <w:webHidden/>
          </w:rPr>
          <w:fldChar w:fldCharType="separate"/>
        </w:r>
        <w:r w:rsidR="0004016D">
          <w:rPr>
            <w:noProof/>
            <w:webHidden/>
          </w:rPr>
          <w:t>170</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13" w:history="1">
        <w:r w:rsidR="00836229" w:rsidRPr="00B75B77">
          <w:rPr>
            <w:rStyle w:val="Hyperlink"/>
            <w:noProof/>
          </w:rPr>
          <w:t>Table 13</w:t>
        </w:r>
        <w:r w:rsidR="00836229" w:rsidRPr="00B75B77">
          <w:rPr>
            <w:rStyle w:val="Hyperlink"/>
            <w:noProof/>
          </w:rPr>
          <w:noBreakHyphen/>
          <w:t>6: PY7 Smart Construction Incentives Onsite Inspections Summary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_Toc466413613 \h </w:instrText>
        </w:r>
        <w:r w:rsidR="00836229" w:rsidRPr="00B75B77">
          <w:rPr>
            <w:noProof/>
            <w:webHidden/>
          </w:rPr>
        </w:r>
        <w:r w:rsidR="00836229" w:rsidRPr="00B75B77">
          <w:rPr>
            <w:noProof/>
            <w:webHidden/>
          </w:rPr>
          <w:fldChar w:fldCharType="separate"/>
        </w:r>
        <w:r w:rsidR="0004016D">
          <w:rPr>
            <w:noProof/>
            <w:webHidden/>
          </w:rPr>
          <w:t>171</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14" w:history="1">
        <w:r w:rsidR="00836229" w:rsidRPr="00B75B77">
          <w:rPr>
            <w:rStyle w:val="Hyperlink"/>
            <w:noProof/>
          </w:rPr>
          <w:t>Table 13</w:t>
        </w:r>
        <w:r w:rsidR="00836229" w:rsidRPr="00B75B77">
          <w:rPr>
            <w:rStyle w:val="Hyperlink"/>
            <w:noProof/>
          </w:rPr>
          <w:noBreakHyphen/>
          <w:t>7: PY6 Smart Construction Incentives Summary of Evaluation Results for NTG Research</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_Toc466413614 \h </w:instrText>
        </w:r>
        <w:r w:rsidR="00836229" w:rsidRPr="00B75B77">
          <w:rPr>
            <w:noProof/>
            <w:webHidden/>
          </w:rPr>
        </w:r>
        <w:r w:rsidR="00836229" w:rsidRPr="00B75B77">
          <w:rPr>
            <w:noProof/>
            <w:webHidden/>
          </w:rPr>
          <w:fldChar w:fldCharType="separate"/>
        </w:r>
        <w:r w:rsidR="0004016D">
          <w:rPr>
            <w:noProof/>
            <w:webHidden/>
          </w:rPr>
          <w:t>171</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15" w:history="1">
        <w:r w:rsidR="00836229" w:rsidRPr="00B75B77">
          <w:rPr>
            <w:rStyle w:val="Hyperlink"/>
            <w:noProof/>
          </w:rPr>
          <w:t>Table 13</w:t>
        </w:r>
        <w:r w:rsidR="00836229" w:rsidRPr="00B75B77">
          <w:rPr>
            <w:rStyle w:val="Hyperlink"/>
            <w:noProof/>
          </w:rPr>
          <w:noBreakHyphen/>
          <w:t>8: PY7 and Phase II Smart Construction Incentives Summary of NTG Savings Results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_Toc466413615 \h </w:instrText>
        </w:r>
        <w:r w:rsidR="00836229" w:rsidRPr="00B75B77">
          <w:rPr>
            <w:noProof/>
            <w:webHidden/>
          </w:rPr>
        </w:r>
        <w:r w:rsidR="00836229" w:rsidRPr="00B75B77">
          <w:rPr>
            <w:noProof/>
            <w:webHidden/>
          </w:rPr>
          <w:fldChar w:fldCharType="separate"/>
        </w:r>
        <w:r w:rsidR="0004016D">
          <w:rPr>
            <w:noProof/>
            <w:webHidden/>
          </w:rPr>
          <w:t>172</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16" w:history="1">
        <w:r w:rsidR="00836229" w:rsidRPr="00B75B77">
          <w:rPr>
            <w:rStyle w:val="Hyperlink"/>
            <w:noProof/>
          </w:rPr>
          <w:t>Table 13</w:t>
        </w:r>
        <w:r w:rsidR="00836229" w:rsidRPr="00B75B77">
          <w:rPr>
            <w:rStyle w:val="Hyperlink"/>
            <w:noProof/>
          </w:rPr>
          <w:noBreakHyphen/>
          <w:t>9: Smart Construction Incentives Process Sampling Strategy for PY7</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_Toc466413616 \h </w:instrText>
        </w:r>
        <w:r w:rsidR="00836229" w:rsidRPr="00B75B77">
          <w:rPr>
            <w:noProof/>
            <w:webHidden/>
          </w:rPr>
        </w:r>
        <w:r w:rsidR="00836229" w:rsidRPr="00B75B77">
          <w:rPr>
            <w:noProof/>
            <w:webHidden/>
          </w:rPr>
          <w:fldChar w:fldCharType="separate"/>
        </w:r>
        <w:r w:rsidR="0004016D">
          <w:rPr>
            <w:noProof/>
            <w:webHidden/>
          </w:rPr>
          <w:t>173</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17" w:history="1">
        <w:r w:rsidR="00836229" w:rsidRPr="00B75B77">
          <w:rPr>
            <w:rStyle w:val="Hyperlink"/>
            <w:noProof/>
          </w:rPr>
          <w:t>Table 13</w:t>
        </w:r>
        <w:r w:rsidR="00836229" w:rsidRPr="00B75B77">
          <w:rPr>
            <w:rStyle w:val="Hyperlink"/>
            <w:noProof/>
          </w:rPr>
          <w:noBreakHyphen/>
          <w:t>10: Smart Construction Incentives Status Report on Process and Impact Recommendations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_Toc466413617 \h </w:instrText>
        </w:r>
        <w:r w:rsidR="00836229" w:rsidRPr="00B75B77">
          <w:rPr>
            <w:noProof/>
            <w:webHidden/>
          </w:rPr>
        </w:r>
        <w:r w:rsidR="00836229" w:rsidRPr="00B75B77">
          <w:rPr>
            <w:noProof/>
            <w:webHidden/>
          </w:rPr>
          <w:fldChar w:fldCharType="separate"/>
        </w:r>
        <w:r w:rsidR="0004016D">
          <w:rPr>
            <w:noProof/>
            <w:webHidden/>
          </w:rPr>
          <w:t>175</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18" w:history="1">
        <w:r w:rsidR="00836229" w:rsidRPr="00B75B77">
          <w:rPr>
            <w:rStyle w:val="Hyperlink"/>
            <w:noProof/>
          </w:rPr>
          <w:t>Table 13</w:t>
        </w:r>
        <w:r w:rsidR="00836229" w:rsidRPr="00B75B77">
          <w:rPr>
            <w:rStyle w:val="Hyperlink"/>
            <w:noProof/>
          </w:rPr>
          <w:noBreakHyphen/>
          <w:t>11: Summary of Smart Construction Incentives Program Finances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_Toc466413618 \h </w:instrText>
        </w:r>
        <w:r w:rsidR="00836229" w:rsidRPr="00B75B77">
          <w:rPr>
            <w:noProof/>
            <w:webHidden/>
          </w:rPr>
        </w:r>
        <w:r w:rsidR="00836229" w:rsidRPr="00B75B77">
          <w:rPr>
            <w:noProof/>
            <w:webHidden/>
          </w:rPr>
          <w:fldChar w:fldCharType="separate"/>
        </w:r>
        <w:r w:rsidR="0004016D">
          <w:rPr>
            <w:noProof/>
            <w:webHidden/>
          </w:rPr>
          <w:t>176</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19" w:history="1">
        <w:r w:rsidR="00836229" w:rsidRPr="00B75B77">
          <w:rPr>
            <w:rStyle w:val="Hyperlink"/>
            <w:noProof/>
          </w:rPr>
          <w:t>Table 14</w:t>
        </w:r>
        <w:r w:rsidR="00836229" w:rsidRPr="00B75B77">
          <w:rPr>
            <w:rStyle w:val="Hyperlink"/>
            <w:noProof/>
          </w:rPr>
          <w:noBreakHyphen/>
          <w:t>1: Phase II Smart Multi-Family Solutions Program Reported Results by Customer Sector</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_Toc466413619 \h </w:instrText>
        </w:r>
        <w:r w:rsidR="00836229" w:rsidRPr="00B75B77">
          <w:rPr>
            <w:noProof/>
            <w:webHidden/>
          </w:rPr>
        </w:r>
        <w:r w:rsidR="00836229" w:rsidRPr="00B75B77">
          <w:rPr>
            <w:noProof/>
            <w:webHidden/>
          </w:rPr>
          <w:fldChar w:fldCharType="separate"/>
        </w:r>
        <w:r w:rsidR="0004016D">
          <w:rPr>
            <w:noProof/>
            <w:webHidden/>
          </w:rPr>
          <w:t>178</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20" w:history="1">
        <w:r w:rsidR="00836229" w:rsidRPr="00B75B77">
          <w:rPr>
            <w:rStyle w:val="Hyperlink"/>
            <w:noProof/>
          </w:rPr>
          <w:t>Table 14</w:t>
        </w:r>
        <w:r w:rsidR="00836229" w:rsidRPr="00B75B77">
          <w:rPr>
            <w:rStyle w:val="Hyperlink"/>
            <w:noProof/>
          </w:rPr>
          <w:noBreakHyphen/>
          <w:t>2: Smart Multi-Family Solutions Program Sampling Strategy for PY7</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_Toc466413620 \h </w:instrText>
        </w:r>
        <w:r w:rsidR="00836229" w:rsidRPr="00B75B77">
          <w:rPr>
            <w:noProof/>
            <w:webHidden/>
          </w:rPr>
        </w:r>
        <w:r w:rsidR="00836229" w:rsidRPr="00B75B77">
          <w:rPr>
            <w:noProof/>
            <w:webHidden/>
          </w:rPr>
          <w:fldChar w:fldCharType="separate"/>
        </w:r>
        <w:r w:rsidR="0004016D">
          <w:rPr>
            <w:noProof/>
            <w:webHidden/>
          </w:rPr>
          <w:t>179</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21" w:history="1">
        <w:r w:rsidR="00836229" w:rsidRPr="00B75B77">
          <w:rPr>
            <w:rStyle w:val="Hyperlink"/>
            <w:noProof/>
          </w:rPr>
          <w:t>Table 14</w:t>
        </w:r>
        <w:r w:rsidR="00836229" w:rsidRPr="00B75B77">
          <w:rPr>
            <w:rStyle w:val="Hyperlink"/>
            <w:noProof/>
          </w:rPr>
          <w:noBreakHyphen/>
          <w:t>3: PY7 Smart Multi-Family Solutions Residential Sector Summary of Evaluation Results for Energy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_Toc466413621 \h </w:instrText>
        </w:r>
        <w:r w:rsidR="00836229" w:rsidRPr="00B75B77">
          <w:rPr>
            <w:noProof/>
            <w:webHidden/>
          </w:rPr>
        </w:r>
        <w:r w:rsidR="00836229" w:rsidRPr="00B75B77">
          <w:rPr>
            <w:noProof/>
            <w:webHidden/>
          </w:rPr>
          <w:fldChar w:fldCharType="separate"/>
        </w:r>
        <w:r w:rsidR="0004016D">
          <w:rPr>
            <w:noProof/>
            <w:webHidden/>
          </w:rPr>
          <w:t>180</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22" w:history="1">
        <w:r w:rsidR="00836229" w:rsidRPr="00B75B77">
          <w:rPr>
            <w:rStyle w:val="Hyperlink"/>
            <w:noProof/>
          </w:rPr>
          <w:t>Table 14</w:t>
        </w:r>
        <w:r w:rsidR="00836229" w:rsidRPr="00B75B77">
          <w:rPr>
            <w:rStyle w:val="Hyperlink"/>
            <w:noProof/>
          </w:rPr>
          <w:noBreakHyphen/>
          <w:t>4: PY7 Smart Multi-Family Solutions Nonresidential Sector Summary of Evaluation Results for Energy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_Toc466413622 \h </w:instrText>
        </w:r>
        <w:r w:rsidR="00836229" w:rsidRPr="00B75B77">
          <w:rPr>
            <w:noProof/>
            <w:webHidden/>
          </w:rPr>
        </w:r>
        <w:r w:rsidR="00836229" w:rsidRPr="00B75B77">
          <w:rPr>
            <w:noProof/>
            <w:webHidden/>
          </w:rPr>
          <w:fldChar w:fldCharType="separate"/>
        </w:r>
        <w:r w:rsidR="0004016D">
          <w:rPr>
            <w:noProof/>
            <w:webHidden/>
          </w:rPr>
          <w:t>180</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23" w:history="1">
        <w:r w:rsidR="00836229" w:rsidRPr="00B75B77">
          <w:rPr>
            <w:rStyle w:val="Hyperlink"/>
            <w:noProof/>
          </w:rPr>
          <w:t>Table 14</w:t>
        </w:r>
        <w:r w:rsidR="00836229" w:rsidRPr="00B75B77">
          <w:rPr>
            <w:rStyle w:val="Hyperlink"/>
            <w:noProof/>
          </w:rPr>
          <w:noBreakHyphen/>
          <w:t>5: PY7 Smart Multi-Family Solutions Residential Sector Summary of Evaluation Results for Demand</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_Toc466413623 \h </w:instrText>
        </w:r>
        <w:r w:rsidR="00836229" w:rsidRPr="00B75B77">
          <w:rPr>
            <w:noProof/>
            <w:webHidden/>
          </w:rPr>
        </w:r>
        <w:r w:rsidR="00836229" w:rsidRPr="00B75B77">
          <w:rPr>
            <w:noProof/>
            <w:webHidden/>
          </w:rPr>
          <w:fldChar w:fldCharType="separate"/>
        </w:r>
        <w:r w:rsidR="0004016D">
          <w:rPr>
            <w:noProof/>
            <w:webHidden/>
          </w:rPr>
          <w:t>181</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24" w:history="1">
        <w:r w:rsidR="00836229" w:rsidRPr="00B75B77">
          <w:rPr>
            <w:rStyle w:val="Hyperlink"/>
            <w:noProof/>
          </w:rPr>
          <w:t>Table 14</w:t>
        </w:r>
        <w:r w:rsidR="00836229" w:rsidRPr="00B75B77">
          <w:rPr>
            <w:rStyle w:val="Hyperlink"/>
            <w:noProof/>
          </w:rPr>
          <w:noBreakHyphen/>
          <w:t>6: PY7 Smart Multi-Family Solutions Nonresidential Sector Summary of Evaluation Results for Demand</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_Toc466413624 \h </w:instrText>
        </w:r>
        <w:r w:rsidR="00836229" w:rsidRPr="00B75B77">
          <w:rPr>
            <w:noProof/>
            <w:webHidden/>
          </w:rPr>
        </w:r>
        <w:r w:rsidR="00836229" w:rsidRPr="00B75B77">
          <w:rPr>
            <w:noProof/>
            <w:webHidden/>
          </w:rPr>
          <w:fldChar w:fldCharType="separate"/>
        </w:r>
        <w:r w:rsidR="0004016D">
          <w:rPr>
            <w:noProof/>
            <w:webHidden/>
          </w:rPr>
          <w:t>182</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25" w:history="1">
        <w:r w:rsidR="00836229" w:rsidRPr="00B75B77">
          <w:rPr>
            <w:rStyle w:val="Hyperlink"/>
            <w:noProof/>
          </w:rPr>
          <w:t>Table 14</w:t>
        </w:r>
        <w:r w:rsidR="00836229" w:rsidRPr="00B75B77">
          <w:rPr>
            <w:rStyle w:val="Hyperlink"/>
            <w:noProof/>
          </w:rPr>
          <w:noBreakHyphen/>
          <w:t>7: PY7 Smart Multi-Family Solutions Onsite Inspections Summary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_Toc466413625 \h </w:instrText>
        </w:r>
        <w:r w:rsidR="00836229" w:rsidRPr="00B75B77">
          <w:rPr>
            <w:noProof/>
            <w:webHidden/>
          </w:rPr>
        </w:r>
        <w:r w:rsidR="00836229" w:rsidRPr="00B75B77">
          <w:rPr>
            <w:noProof/>
            <w:webHidden/>
          </w:rPr>
          <w:fldChar w:fldCharType="separate"/>
        </w:r>
        <w:r w:rsidR="0004016D">
          <w:rPr>
            <w:noProof/>
            <w:webHidden/>
          </w:rPr>
          <w:t>182</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26" w:history="1">
        <w:r w:rsidR="00836229" w:rsidRPr="00B75B77">
          <w:rPr>
            <w:rStyle w:val="Hyperlink"/>
            <w:noProof/>
          </w:rPr>
          <w:t>Table 14</w:t>
        </w:r>
        <w:r w:rsidR="00836229" w:rsidRPr="00B75B77">
          <w:rPr>
            <w:rStyle w:val="Hyperlink"/>
            <w:noProof/>
          </w:rPr>
          <w:noBreakHyphen/>
          <w:t>8: Smart Multi-Family Solutions NTG Intention Score Method</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_Toc466413626 \h </w:instrText>
        </w:r>
        <w:r w:rsidR="00836229" w:rsidRPr="00B75B77">
          <w:rPr>
            <w:noProof/>
            <w:webHidden/>
          </w:rPr>
        </w:r>
        <w:r w:rsidR="00836229" w:rsidRPr="00B75B77">
          <w:rPr>
            <w:noProof/>
            <w:webHidden/>
          </w:rPr>
          <w:fldChar w:fldCharType="separate"/>
        </w:r>
        <w:r w:rsidR="0004016D">
          <w:rPr>
            <w:noProof/>
            <w:webHidden/>
          </w:rPr>
          <w:t>183</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27" w:history="1">
        <w:r w:rsidR="00836229" w:rsidRPr="00B75B77">
          <w:rPr>
            <w:rStyle w:val="Hyperlink"/>
            <w:noProof/>
          </w:rPr>
          <w:t>Table 14</w:t>
        </w:r>
        <w:r w:rsidR="00836229" w:rsidRPr="00B75B77">
          <w:rPr>
            <w:rStyle w:val="Hyperlink"/>
            <w:noProof/>
          </w:rPr>
          <w:noBreakHyphen/>
          <w:t>9: Smart Multi-Family Solutions NTG Influence Score Method</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_Toc466413627 \h </w:instrText>
        </w:r>
        <w:r w:rsidR="00836229" w:rsidRPr="00B75B77">
          <w:rPr>
            <w:noProof/>
            <w:webHidden/>
          </w:rPr>
        </w:r>
        <w:r w:rsidR="00836229" w:rsidRPr="00B75B77">
          <w:rPr>
            <w:noProof/>
            <w:webHidden/>
          </w:rPr>
          <w:fldChar w:fldCharType="separate"/>
        </w:r>
        <w:r w:rsidR="0004016D">
          <w:rPr>
            <w:noProof/>
            <w:webHidden/>
          </w:rPr>
          <w:t>183</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28" w:history="1">
        <w:r w:rsidR="00836229" w:rsidRPr="00B75B77">
          <w:rPr>
            <w:rStyle w:val="Hyperlink"/>
            <w:noProof/>
          </w:rPr>
          <w:t>Table 14</w:t>
        </w:r>
        <w:r w:rsidR="00836229" w:rsidRPr="00B75B77">
          <w:rPr>
            <w:rStyle w:val="Hyperlink"/>
            <w:noProof/>
          </w:rPr>
          <w:noBreakHyphen/>
          <w:t>10: Smart Multi-Family Solutions NTG Spillover Method</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_Toc466413628 \h </w:instrText>
        </w:r>
        <w:r w:rsidR="00836229" w:rsidRPr="00B75B77">
          <w:rPr>
            <w:noProof/>
            <w:webHidden/>
          </w:rPr>
        </w:r>
        <w:r w:rsidR="00836229" w:rsidRPr="00B75B77">
          <w:rPr>
            <w:noProof/>
            <w:webHidden/>
          </w:rPr>
          <w:fldChar w:fldCharType="separate"/>
        </w:r>
        <w:r w:rsidR="0004016D">
          <w:rPr>
            <w:noProof/>
            <w:webHidden/>
          </w:rPr>
          <w:t>184</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29" w:history="1">
        <w:r w:rsidR="00836229" w:rsidRPr="00B75B77">
          <w:rPr>
            <w:rStyle w:val="Hyperlink"/>
            <w:noProof/>
          </w:rPr>
          <w:t>Table 14</w:t>
        </w:r>
        <w:r w:rsidR="00836229" w:rsidRPr="00B75B77">
          <w:rPr>
            <w:rStyle w:val="Hyperlink"/>
            <w:noProof/>
          </w:rPr>
          <w:noBreakHyphen/>
          <w:t>11: Smart Multi-Family Solutions Residential Sector Sampling Strategy for PY7 NTG Research</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_Toc466413629 \h </w:instrText>
        </w:r>
        <w:r w:rsidR="00836229" w:rsidRPr="00B75B77">
          <w:rPr>
            <w:noProof/>
            <w:webHidden/>
          </w:rPr>
        </w:r>
        <w:r w:rsidR="00836229" w:rsidRPr="00B75B77">
          <w:rPr>
            <w:noProof/>
            <w:webHidden/>
          </w:rPr>
          <w:fldChar w:fldCharType="separate"/>
        </w:r>
        <w:r w:rsidR="0004016D">
          <w:rPr>
            <w:noProof/>
            <w:webHidden/>
          </w:rPr>
          <w:t>185</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30" w:history="1">
        <w:r w:rsidR="00836229" w:rsidRPr="00B75B77">
          <w:rPr>
            <w:rStyle w:val="Hyperlink"/>
            <w:noProof/>
          </w:rPr>
          <w:t>Table 14</w:t>
        </w:r>
        <w:r w:rsidR="00836229" w:rsidRPr="00B75B77">
          <w:rPr>
            <w:rStyle w:val="Hyperlink"/>
            <w:noProof/>
          </w:rPr>
          <w:noBreakHyphen/>
          <w:t>12: Smart Multi-Family Solutions Nonresidential Sector Sampling Strategy for PY7 NTG Research</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_Toc466413630 \h </w:instrText>
        </w:r>
        <w:r w:rsidR="00836229" w:rsidRPr="00B75B77">
          <w:rPr>
            <w:noProof/>
            <w:webHidden/>
          </w:rPr>
        </w:r>
        <w:r w:rsidR="00836229" w:rsidRPr="00B75B77">
          <w:rPr>
            <w:noProof/>
            <w:webHidden/>
          </w:rPr>
          <w:fldChar w:fldCharType="separate"/>
        </w:r>
        <w:r w:rsidR="0004016D">
          <w:rPr>
            <w:noProof/>
            <w:webHidden/>
          </w:rPr>
          <w:t>185</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31" w:history="1">
        <w:r w:rsidR="00836229" w:rsidRPr="00B75B77">
          <w:rPr>
            <w:rStyle w:val="Hyperlink"/>
            <w:noProof/>
          </w:rPr>
          <w:t>Table 14</w:t>
        </w:r>
        <w:r w:rsidR="00836229" w:rsidRPr="00B75B77">
          <w:rPr>
            <w:rStyle w:val="Hyperlink"/>
            <w:noProof/>
          </w:rPr>
          <w:noBreakHyphen/>
          <w:t>13: PY7 Smart Multi-Family Solutions Residential Sector Summary of Evaluation Results for NTG Research</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_Toc466413631 \h </w:instrText>
        </w:r>
        <w:r w:rsidR="00836229" w:rsidRPr="00B75B77">
          <w:rPr>
            <w:noProof/>
            <w:webHidden/>
          </w:rPr>
        </w:r>
        <w:r w:rsidR="00836229" w:rsidRPr="00B75B77">
          <w:rPr>
            <w:noProof/>
            <w:webHidden/>
          </w:rPr>
          <w:fldChar w:fldCharType="separate"/>
        </w:r>
        <w:r w:rsidR="0004016D">
          <w:rPr>
            <w:noProof/>
            <w:webHidden/>
          </w:rPr>
          <w:t>186</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32" w:history="1">
        <w:r w:rsidR="00836229" w:rsidRPr="00B75B77">
          <w:rPr>
            <w:rStyle w:val="Hyperlink"/>
            <w:noProof/>
          </w:rPr>
          <w:t>Table 14</w:t>
        </w:r>
        <w:r w:rsidR="00836229" w:rsidRPr="00B75B77">
          <w:rPr>
            <w:rStyle w:val="Hyperlink"/>
            <w:noProof/>
          </w:rPr>
          <w:noBreakHyphen/>
          <w:t>14: PY7 Smart Multi-Family Solutions Nonresidential Sector Summary of Evaluation Results for NTG Research</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_Toc466413632 \h </w:instrText>
        </w:r>
        <w:r w:rsidR="00836229" w:rsidRPr="00B75B77">
          <w:rPr>
            <w:noProof/>
            <w:webHidden/>
          </w:rPr>
        </w:r>
        <w:r w:rsidR="00836229" w:rsidRPr="00B75B77">
          <w:rPr>
            <w:noProof/>
            <w:webHidden/>
          </w:rPr>
          <w:fldChar w:fldCharType="separate"/>
        </w:r>
        <w:r w:rsidR="0004016D">
          <w:rPr>
            <w:noProof/>
            <w:webHidden/>
          </w:rPr>
          <w:t>186</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33" w:history="1">
        <w:r w:rsidR="00836229" w:rsidRPr="00B75B77">
          <w:rPr>
            <w:rStyle w:val="Hyperlink"/>
            <w:noProof/>
          </w:rPr>
          <w:t>Table 14</w:t>
        </w:r>
        <w:r w:rsidR="00836229" w:rsidRPr="00B75B77">
          <w:rPr>
            <w:rStyle w:val="Hyperlink"/>
            <w:noProof/>
          </w:rPr>
          <w:noBreakHyphen/>
          <w:t>15: Smart Multi-Family Solutions Process Sampling Strategy for PY7</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_Toc466413633 \h </w:instrText>
        </w:r>
        <w:r w:rsidR="00836229" w:rsidRPr="00B75B77">
          <w:rPr>
            <w:noProof/>
            <w:webHidden/>
          </w:rPr>
        </w:r>
        <w:r w:rsidR="00836229" w:rsidRPr="00B75B77">
          <w:rPr>
            <w:noProof/>
            <w:webHidden/>
          </w:rPr>
          <w:fldChar w:fldCharType="separate"/>
        </w:r>
        <w:r w:rsidR="0004016D">
          <w:rPr>
            <w:noProof/>
            <w:webHidden/>
          </w:rPr>
          <w:t>187</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34" w:history="1">
        <w:r w:rsidR="00836229" w:rsidRPr="00B75B77">
          <w:rPr>
            <w:rStyle w:val="Hyperlink"/>
            <w:noProof/>
          </w:rPr>
          <w:t>Table 14</w:t>
        </w:r>
        <w:r w:rsidR="00836229" w:rsidRPr="00B75B77">
          <w:rPr>
            <w:rStyle w:val="Hyperlink"/>
            <w:noProof/>
          </w:rPr>
          <w:noBreakHyphen/>
          <w:t>16: Smart Multi-Family Solutions Program Status Report on Process and Impact Recommendations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_Toc466413634 \h </w:instrText>
        </w:r>
        <w:r w:rsidR="00836229" w:rsidRPr="00B75B77">
          <w:rPr>
            <w:noProof/>
            <w:webHidden/>
          </w:rPr>
        </w:r>
        <w:r w:rsidR="00836229" w:rsidRPr="00B75B77">
          <w:rPr>
            <w:noProof/>
            <w:webHidden/>
          </w:rPr>
          <w:fldChar w:fldCharType="separate"/>
        </w:r>
        <w:r w:rsidR="0004016D">
          <w:rPr>
            <w:noProof/>
            <w:webHidden/>
          </w:rPr>
          <w:t>190</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35" w:history="1">
        <w:r w:rsidR="00836229" w:rsidRPr="00B75B77">
          <w:rPr>
            <w:rStyle w:val="Hyperlink"/>
            <w:noProof/>
          </w:rPr>
          <w:t>Table 14</w:t>
        </w:r>
        <w:r w:rsidR="00836229" w:rsidRPr="00B75B77">
          <w:rPr>
            <w:rStyle w:val="Hyperlink"/>
            <w:noProof/>
          </w:rPr>
          <w:noBreakHyphen/>
          <w:t>17: Summary of SMF Solutions Residential Sector Program Finances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_Toc466413635 \h </w:instrText>
        </w:r>
        <w:r w:rsidR="00836229" w:rsidRPr="00B75B77">
          <w:rPr>
            <w:noProof/>
            <w:webHidden/>
          </w:rPr>
        </w:r>
        <w:r w:rsidR="00836229" w:rsidRPr="00B75B77">
          <w:rPr>
            <w:noProof/>
            <w:webHidden/>
          </w:rPr>
          <w:fldChar w:fldCharType="separate"/>
        </w:r>
        <w:r w:rsidR="0004016D">
          <w:rPr>
            <w:noProof/>
            <w:webHidden/>
          </w:rPr>
          <w:t>191</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36" w:history="1">
        <w:r w:rsidR="00836229" w:rsidRPr="00B75B77">
          <w:rPr>
            <w:rStyle w:val="Hyperlink"/>
            <w:noProof/>
          </w:rPr>
          <w:t>Table 14</w:t>
        </w:r>
        <w:r w:rsidR="00836229" w:rsidRPr="00B75B77">
          <w:rPr>
            <w:rStyle w:val="Hyperlink"/>
            <w:noProof/>
          </w:rPr>
          <w:noBreakHyphen/>
          <w:t>18: Summary of SMF Solutions Nonresidential Sector Program Finances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_Toc466413636 \h </w:instrText>
        </w:r>
        <w:r w:rsidR="00836229" w:rsidRPr="00B75B77">
          <w:rPr>
            <w:noProof/>
            <w:webHidden/>
          </w:rPr>
        </w:r>
        <w:r w:rsidR="00836229" w:rsidRPr="00B75B77">
          <w:rPr>
            <w:noProof/>
            <w:webHidden/>
          </w:rPr>
          <w:fldChar w:fldCharType="separate"/>
        </w:r>
        <w:r w:rsidR="0004016D">
          <w:rPr>
            <w:noProof/>
            <w:webHidden/>
          </w:rPr>
          <w:t>192</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37" w:history="1">
        <w:r w:rsidR="00836229" w:rsidRPr="00B75B77">
          <w:rPr>
            <w:rStyle w:val="Hyperlink"/>
            <w:noProof/>
          </w:rPr>
          <w:t>Table 15</w:t>
        </w:r>
        <w:r w:rsidR="00836229" w:rsidRPr="00B75B77">
          <w:rPr>
            <w:rStyle w:val="Hyperlink"/>
            <w:noProof/>
          </w:rPr>
          <w:noBreakHyphen/>
          <w:t>1: Phase II Smart On-Site Reported Results by Customer Sector</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_Toc466413637 \h </w:instrText>
        </w:r>
        <w:r w:rsidR="00836229" w:rsidRPr="00B75B77">
          <w:rPr>
            <w:noProof/>
            <w:webHidden/>
          </w:rPr>
        </w:r>
        <w:r w:rsidR="00836229" w:rsidRPr="00B75B77">
          <w:rPr>
            <w:noProof/>
            <w:webHidden/>
          </w:rPr>
          <w:fldChar w:fldCharType="separate"/>
        </w:r>
        <w:r w:rsidR="0004016D">
          <w:rPr>
            <w:noProof/>
            <w:webHidden/>
          </w:rPr>
          <w:t>195</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38" w:history="1">
        <w:r w:rsidR="00836229" w:rsidRPr="00B75B77">
          <w:rPr>
            <w:rStyle w:val="Hyperlink"/>
            <w:noProof/>
          </w:rPr>
          <w:t>Table 15</w:t>
        </w:r>
        <w:r w:rsidR="00836229" w:rsidRPr="00B75B77">
          <w:rPr>
            <w:rStyle w:val="Hyperlink"/>
            <w:noProof/>
          </w:rPr>
          <w:noBreakHyphen/>
          <w:t>2: Smart On-Site Sampling Strategy for PY7</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_Toc466413638 \h </w:instrText>
        </w:r>
        <w:r w:rsidR="00836229" w:rsidRPr="00B75B77">
          <w:rPr>
            <w:noProof/>
            <w:webHidden/>
          </w:rPr>
        </w:r>
        <w:r w:rsidR="00836229" w:rsidRPr="00B75B77">
          <w:rPr>
            <w:noProof/>
            <w:webHidden/>
          </w:rPr>
          <w:fldChar w:fldCharType="separate"/>
        </w:r>
        <w:r w:rsidR="0004016D">
          <w:rPr>
            <w:noProof/>
            <w:webHidden/>
          </w:rPr>
          <w:t>196</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39" w:history="1">
        <w:r w:rsidR="00836229" w:rsidRPr="00B75B77">
          <w:rPr>
            <w:rStyle w:val="Hyperlink"/>
            <w:noProof/>
          </w:rPr>
          <w:t>Table 15</w:t>
        </w:r>
        <w:r w:rsidR="00836229" w:rsidRPr="00B75B77">
          <w:rPr>
            <w:rStyle w:val="Hyperlink"/>
            <w:noProof/>
          </w:rPr>
          <w:noBreakHyphen/>
          <w:t>3: PY7 Smart On-Site Summary of Evaluation Results for Energy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_Toc466413639 \h </w:instrText>
        </w:r>
        <w:r w:rsidR="00836229" w:rsidRPr="00B75B77">
          <w:rPr>
            <w:noProof/>
            <w:webHidden/>
          </w:rPr>
        </w:r>
        <w:r w:rsidR="00836229" w:rsidRPr="00B75B77">
          <w:rPr>
            <w:noProof/>
            <w:webHidden/>
          </w:rPr>
          <w:fldChar w:fldCharType="separate"/>
        </w:r>
        <w:r w:rsidR="0004016D">
          <w:rPr>
            <w:noProof/>
            <w:webHidden/>
          </w:rPr>
          <w:t>196</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40" w:history="1">
        <w:r w:rsidR="00836229" w:rsidRPr="00B75B77">
          <w:rPr>
            <w:rStyle w:val="Hyperlink"/>
            <w:noProof/>
          </w:rPr>
          <w:t>Table 15</w:t>
        </w:r>
        <w:r w:rsidR="00836229" w:rsidRPr="00B75B77">
          <w:rPr>
            <w:rStyle w:val="Hyperlink"/>
            <w:noProof/>
          </w:rPr>
          <w:noBreakHyphen/>
          <w:t>4: PY7 Smart On-Site Summary of Evaluation Results for Demand</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_Toc466413640 \h </w:instrText>
        </w:r>
        <w:r w:rsidR="00836229" w:rsidRPr="00B75B77">
          <w:rPr>
            <w:noProof/>
            <w:webHidden/>
          </w:rPr>
        </w:r>
        <w:r w:rsidR="00836229" w:rsidRPr="00B75B77">
          <w:rPr>
            <w:noProof/>
            <w:webHidden/>
          </w:rPr>
          <w:fldChar w:fldCharType="separate"/>
        </w:r>
        <w:r w:rsidR="0004016D">
          <w:rPr>
            <w:noProof/>
            <w:webHidden/>
          </w:rPr>
          <w:t>196</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41" w:history="1">
        <w:r w:rsidR="00836229" w:rsidRPr="00B75B77">
          <w:rPr>
            <w:rStyle w:val="Hyperlink"/>
            <w:noProof/>
          </w:rPr>
          <w:t>Table 15</w:t>
        </w:r>
        <w:r w:rsidR="00836229" w:rsidRPr="00B75B77">
          <w:rPr>
            <w:rStyle w:val="Hyperlink"/>
            <w:noProof/>
          </w:rPr>
          <w:noBreakHyphen/>
          <w:t>5: PY7 Smart On-Site: Onsite Inspections Summary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_Toc466413641 \h </w:instrText>
        </w:r>
        <w:r w:rsidR="00836229" w:rsidRPr="00B75B77">
          <w:rPr>
            <w:noProof/>
            <w:webHidden/>
          </w:rPr>
        </w:r>
        <w:r w:rsidR="00836229" w:rsidRPr="00B75B77">
          <w:rPr>
            <w:noProof/>
            <w:webHidden/>
          </w:rPr>
          <w:fldChar w:fldCharType="separate"/>
        </w:r>
        <w:r w:rsidR="0004016D">
          <w:rPr>
            <w:noProof/>
            <w:webHidden/>
          </w:rPr>
          <w:t>197</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42" w:history="1">
        <w:r w:rsidR="00836229" w:rsidRPr="00B75B77">
          <w:rPr>
            <w:rStyle w:val="Hyperlink"/>
            <w:noProof/>
          </w:rPr>
          <w:t>Table 15</w:t>
        </w:r>
        <w:r w:rsidR="00836229" w:rsidRPr="00B75B77">
          <w:rPr>
            <w:rStyle w:val="Hyperlink"/>
            <w:noProof/>
          </w:rPr>
          <w:noBreakHyphen/>
          <w:t>6: Smart On-Site Sampling Strategy for PY7 NTG Research</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_Toc466413642 \h </w:instrText>
        </w:r>
        <w:r w:rsidR="00836229" w:rsidRPr="00B75B77">
          <w:rPr>
            <w:noProof/>
            <w:webHidden/>
          </w:rPr>
        </w:r>
        <w:r w:rsidR="00836229" w:rsidRPr="00B75B77">
          <w:rPr>
            <w:noProof/>
            <w:webHidden/>
          </w:rPr>
          <w:fldChar w:fldCharType="separate"/>
        </w:r>
        <w:r w:rsidR="0004016D">
          <w:rPr>
            <w:noProof/>
            <w:webHidden/>
          </w:rPr>
          <w:t>201</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43" w:history="1">
        <w:r w:rsidR="00836229" w:rsidRPr="00B75B77">
          <w:rPr>
            <w:rStyle w:val="Hyperlink"/>
            <w:noProof/>
          </w:rPr>
          <w:t>Table 15</w:t>
        </w:r>
        <w:r w:rsidR="00836229" w:rsidRPr="00B75B77">
          <w:rPr>
            <w:rStyle w:val="Hyperlink"/>
            <w:noProof/>
          </w:rPr>
          <w:noBreakHyphen/>
          <w:t>7: PY7 Smart On-Site Summary of Evaluation Results for NTG Research</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_Toc466413643 \h </w:instrText>
        </w:r>
        <w:r w:rsidR="00836229" w:rsidRPr="00B75B77">
          <w:rPr>
            <w:noProof/>
            <w:webHidden/>
          </w:rPr>
        </w:r>
        <w:r w:rsidR="00836229" w:rsidRPr="00B75B77">
          <w:rPr>
            <w:noProof/>
            <w:webHidden/>
          </w:rPr>
          <w:fldChar w:fldCharType="separate"/>
        </w:r>
        <w:r w:rsidR="0004016D">
          <w:rPr>
            <w:noProof/>
            <w:webHidden/>
          </w:rPr>
          <w:t>201</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44" w:history="1">
        <w:r w:rsidR="00836229" w:rsidRPr="00B75B77">
          <w:rPr>
            <w:rStyle w:val="Hyperlink"/>
            <w:noProof/>
          </w:rPr>
          <w:t>Table 15</w:t>
        </w:r>
        <w:r w:rsidR="00836229" w:rsidRPr="00B75B77">
          <w:rPr>
            <w:rStyle w:val="Hyperlink"/>
            <w:noProof/>
          </w:rPr>
          <w:noBreakHyphen/>
          <w:t>8: Smart On-Site Process Sampling Strategy for PY7</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_Toc466413644 \h </w:instrText>
        </w:r>
        <w:r w:rsidR="00836229" w:rsidRPr="00B75B77">
          <w:rPr>
            <w:noProof/>
            <w:webHidden/>
          </w:rPr>
        </w:r>
        <w:r w:rsidR="00836229" w:rsidRPr="00B75B77">
          <w:rPr>
            <w:noProof/>
            <w:webHidden/>
          </w:rPr>
          <w:fldChar w:fldCharType="separate"/>
        </w:r>
        <w:r w:rsidR="0004016D">
          <w:rPr>
            <w:noProof/>
            <w:webHidden/>
          </w:rPr>
          <w:t>202</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45" w:history="1">
        <w:r w:rsidR="00836229" w:rsidRPr="00B75B77">
          <w:rPr>
            <w:rStyle w:val="Hyperlink"/>
            <w:noProof/>
          </w:rPr>
          <w:t>Table 15</w:t>
        </w:r>
        <w:r w:rsidR="00836229" w:rsidRPr="00B75B77">
          <w:rPr>
            <w:rStyle w:val="Hyperlink"/>
            <w:noProof/>
          </w:rPr>
          <w:noBreakHyphen/>
          <w:t>9: Smart On-Site Status Report on Process and Impact Recommendations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_Toc466413645 \h </w:instrText>
        </w:r>
        <w:r w:rsidR="00836229" w:rsidRPr="00B75B77">
          <w:rPr>
            <w:noProof/>
            <w:webHidden/>
          </w:rPr>
        </w:r>
        <w:r w:rsidR="00836229" w:rsidRPr="00B75B77">
          <w:rPr>
            <w:noProof/>
            <w:webHidden/>
          </w:rPr>
          <w:fldChar w:fldCharType="separate"/>
        </w:r>
        <w:r w:rsidR="0004016D">
          <w:rPr>
            <w:noProof/>
            <w:webHidden/>
          </w:rPr>
          <w:t>204</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46" w:history="1">
        <w:r w:rsidR="00836229" w:rsidRPr="00B75B77">
          <w:rPr>
            <w:rStyle w:val="Hyperlink"/>
            <w:noProof/>
          </w:rPr>
          <w:t>Table 15</w:t>
        </w:r>
        <w:r w:rsidR="00836229" w:rsidRPr="00B75B77">
          <w:rPr>
            <w:rStyle w:val="Hyperlink"/>
            <w:noProof/>
          </w:rPr>
          <w:noBreakHyphen/>
          <w:t>10: Summary of Smart On-Site Program Finances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_Toc466413646 \h </w:instrText>
        </w:r>
        <w:r w:rsidR="00836229" w:rsidRPr="00B75B77">
          <w:rPr>
            <w:noProof/>
            <w:webHidden/>
          </w:rPr>
        </w:r>
        <w:r w:rsidR="00836229" w:rsidRPr="00B75B77">
          <w:rPr>
            <w:noProof/>
            <w:webHidden/>
          </w:rPr>
          <w:fldChar w:fldCharType="separate"/>
        </w:r>
        <w:r w:rsidR="0004016D">
          <w:rPr>
            <w:noProof/>
            <w:webHidden/>
          </w:rPr>
          <w:t>205</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47" w:history="1">
        <w:r w:rsidR="00836229" w:rsidRPr="00B75B77">
          <w:rPr>
            <w:rStyle w:val="Hyperlink"/>
            <w:noProof/>
          </w:rPr>
          <w:t>Table 16</w:t>
        </w:r>
        <w:r w:rsidR="00836229" w:rsidRPr="00B75B77">
          <w:rPr>
            <w:rStyle w:val="Hyperlink"/>
            <w:noProof/>
          </w:rPr>
          <w:noBreakHyphen/>
          <w:t>1: Phase II Smart Business Solutions Reported Results by Customer Sector</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_Toc466413647 \h </w:instrText>
        </w:r>
        <w:r w:rsidR="00836229" w:rsidRPr="00B75B77">
          <w:rPr>
            <w:noProof/>
            <w:webHidden/>
          </w:rPr>
        </w:r>
        <w:r w:rsidR="00836229" w:rsidRPr="00B75B77">
          <w:rPr>
            <w:noProof/>
            <w:webHidden/>
          </w:rPr>
          <w:fldChar w:fldCharType="separate"/>
        </w:r>
        <w:r w:rsidR="0004016D">
          <w:rPr>
            <w:noProof/>
            <w:webHidden/>
          </w:rPr>
          <w:t>207</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48" w:history="1">
        <w:r w:rsidR="00836229" w:rsidRPr="00B75B77">
          <w:rPr>
            <w:rStyle w:val="Hyperlink"/>
            <w:noProof/>
          </w:rPr>
          <w:t>Table 16</w:t>
        </w:r>
        <w:r w:rsidR="00836229" w:rsidRPr="00B75B77">
          <w:rPr>
            <w:rStyle w:val="Hyperlink"/>
            <w:noProof/>
          </w:rPr>
          <w:noBreakHyphen/>
          <w:t>2: PY7 Smart Business Solutions Sampling Strategy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_Toc466413648 \h </w:instrText>
        </w:r>
        <w:r w:rsidR="00836229" w:rsidRPr="00B75B77">
          <w:rPr>
            <w:noProof/>
            <w:webHidden/>
          </w:rPr>
        </w:r>
        <w:r w:rsidR="00836229" w:rsidRPr="00B75B77">
          <w:rPr>
            <w:noProof/>
            <w:webHidden/>
          </w:rPr>
          <w:fldChar w:fldCharType="separate"/>
        </w:r>
        <w:r w:rsidR="0004016D">
          <w:rPr>
            <w:noProof/>
            <w:webHidden/>
          </w:rPr>
          <w:t>208</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49" w:history="1">
        <w:r w:rsidR="00836229" w:rsidRPr="00B75B77">
          <w:rPr>
            <w:rStyle w:val="Hyperlink"/>
            <w:noProof/>
          </w:rPr>
          <w:t>Table 16</w:t>
        </w:r>
        <w:r w:rsidR="00836229" w:rsidRPr="00B75B77">
          <w:rPr>
            <w:rStyle w:val="Hyperlink"/>
            <w:noProof/>
          </w:rPr>
          <w:noBreakHyphen/>
          <w:t>3: PY7 Smart Business Solutions Summary of Evaluation Results for Energy</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_Toc466413649 \h </w:instrText>
        </w:r>
        <w:r w:rsidR="00836229" w:rsidRPr="00B75B77">
          <w:rPr>
            <w:noProof/>
            <w:webHidden/>
          </w:rPr>
        </w:r>
        <w:r w:rsidR="00836229" w:rsidRPr="00B75B77">
          <w:rPr>
            <w:noProof/>
            <w:webHidden/>
          </w:rPr>
          <w:fldChar w:fldCharType="separate"/>
        </w:r>
        <w:r w:rsidR="0004016D">
          <w:rPr>
            <w:noProof/>
            <w:webHidden/>
          </w:rPr>
          <w:t>208</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50" w:history="1">
        <w:r w:rsidR="00836229" w:rsidRPr="00B75B77">
          <w:rPr>
            <w:rStyle w:val="Hyperlink"/>
            <w:noProof/>
          </w:rPr>
          <w:t>Table 16</w:t>
        </w:r>
        <w:r w:rsidR="00836229" w:rsidRPr="00B75B77">
          <w:rPr>
            <w:rStyle w:val="Hyperlink"/>
            <w:noProof/>
          </w:rPr>
          <w:noBreakHyphen/>
          <w:t>4: PY7 Smart Business Solutions Summary of Evaluation Results for Demand</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_Toc466413650 \h </w:instrText>
        </w:r>
        <w:r w:rsidR="00836229" w:rsidRPr="00B75B77">
          <w:rPr>
            <w:noProof/>
            <w:webHidden/>
          </w:rPr>
        </w:r>
        <w:r w:rsidR="00836229" w:rsidRPr="00B75B77">
          <w:rPr>
            <w:noProof/>
            <w:webHidden/>
          </w:rPr>
          <w:fldChar w:fldCharType="separate"/>
        </w:r>
        <w:r w:rsidR="0004016D">
          <w:rPr>
            <w:noProof/>
            <w:webHidden/>
          </w:rPr>
          <w:t>209</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51" w:history="1">
        <w:r w:rsidR="00836229" w:rsidRPr="00B75B77">
          <w:rPr>
            <w:rStyle w:val="Hyperlink"/>
            <w:noProof/>
          </w:rPr>
          <w:t>Table 16</w:t>
        </w:r>
        <w:r w:rsidR="00836229" w:rsidRPr="00B75B77">
          <w:rPr>
            <w:rStyle w:val="Hyperlink"/>
            <w:noProof/>
          </w:rPr>
          <w:noBreakHyphen/>
          <w:t>5: Smart Business Solutions Sampling Strategy for PY7</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_Toc466413651 \h </w:instrText>
        </w:r>
        <w:r w:rsidR="00836229" w:rsidRPr="00B75B77">
          <w:rPr>
            <w:noProof/>
            <w:webHidden/>
          </w:rPr>
        </w:r>
        <w:r w:rsidR="00836229" w:rsidRPr="00B75B77">
          <w:rPr>
            <w:noProof/>
            <w:webHidden/>
          </w:rPr>
          <w:fldChar w:fldCharType="separate"/>
        </w:r>
        <w:r w:rsidR="0004016D">
          <w:rPr>
            <w:noProof/>
            <w:webHidden/>
          </w:rPr>
          <w:t>209</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52" w:history="1">
        <w:r w:rsidR="00836229" w:rsidRPr="00B75B77">
          <w:rPr>
            <w:rStyle w:val="Hyperlink"/>
            <w:noProof/>
          </w:rPr>
          <w:t>Table 16</w:t>
        </w:r>
        <w:r w:rsidR="00836229" w:rsidRPr="00B75B77">
          <w:rPr>
            <w:rStyle w:val="Hyperlink"/>
            <w:noProof/>
          </w:rPr>
          <w:noBreakHyphen/>
          <w:t>6: Smart Business Solutions Status Report on Process and Impact Recommendations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_Toc466413652 \h </w:instrText>
        </w:r>
        <w:r w:rsidR="00836229" w:rsidRPr="00B75B77">
          <w:rPr>
            <w:noProof/>
            <w:webHidden/>
          </w:rPr>
        </w:r>
        <w:r w:rsidR="00836229" w:rsidRPr="00B75B77">
          <w:rPr>
            <w:noProof/>
            <w:webHidden/>
          </w:rPr>
          <w:fldChar w:fldCharType="separate"/>
        </w:r>
        <w:r w:rsidR="0004016D">
          <w:rPr>
            <w:noProof/>
            <w:webHidden/>
          </w:rPr>
          <w:t>212</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53" w:history="1">
        <w:r w:rsidR="00836229" w:rsidRPr="00B75B77">
          <w:rPr>
            <w:rStyle w:val="Hyperlink"/>
            <w:noProof/>
          </w:rPr>
          <w:t>Table 16</w:t>
        </w:r>
        <w:r w:rsidR="00836229" w:rsidRPr="00B75B77">
          <w:rPr>
            <w:rStyle w:val="Hyperlink"/>
            <w:noProof/>
          </w:rPr>
          <w:noBreakHyphen/>
          <w:t>7: Smart Business Solutions Summary of Program Finances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_Toc466413653 \h </w:instrText>
        </w:r>
        <w:r w:rsidR="00836229" w:rsidRPr="00B75B77">
          <w:rPr>
            <w:noProof/>
            <w:webHidden/>
          </w:rPr>
        </w:r>
        <w:r w:rsidR="00836229" w:rsidRPr="00B75B77">
          <w:rPr>
            <w:noProof/>
            <w:webHidden/>
          </w:rPr>
          <w:fldChar w:fldCharType="separate"/>
        </w:r>
        <w:r w:rsidR="0004016D">
          <w:rPr>
            <w:noProof/>
            <w:webHidden/>
          </w:rPr>
          <w:t>213</w:t>
        </w:r>
        <w:r w:rsidR="00836229" w:rsidRPr="00B75B77">
          <w:rPr>
            <w:noProof/>
            <w:webHidden/>
          </w:rPr>
          <w:fldChar w:fldCharType="end"/>
        </w:r>
      </w:hyperlink>
    </w:p>
    <w:p w:rsidR="00CF2ECE" w:rsidRPr="00B75B77" w:rsidRDefault="005923AF" w:rsidP="00CF2ECE">
      <w:r w:rsidRPr="00B75B77">
        <w:rPr>
          <w:rFonts w:ascii="Century Gothic" w:hAnsi="Century Gothic"/>
          <w:sz w:val="18"/>
        </w:rPr>
        <w:lastRenderedPageBreak/>
        <w:fldChar w:fldCharType="end"/>
      </w:r>
    </w:p>
    <w:p w:rsidR="00836229" w:rsidRPr="00B75B77" w:rsidRDefault="00A25C9F">
      <w:pPr>
        <w:pStyle w:val="TableofFigures"/>
        <w:tabs>
          <w:tab w:val="right" w:leader="dot" w:pos="9350"/>
        </w:tabs>
        <w:rPr>
          <w:rFonts w:asciiTheme="minorHAnsi" w:eastAsiaTheme="minorEastAsia" w:hAnsiTheme="minorHAnsi" w:cstheme="minorBidi"/>
          <w:noProof/>
          <w:sz w:val="22"/>
        </w:rPr>
      </w:pPr>
      <w:r w:rsidRPr="00B75B77">
        <w:fldChar w:fldCharType="begin"/>
      </w:r>
      <w:r w:rsidRPr="00B75B77">
        <w:instrText xml:space="preserve"> TOC \h \z \c "Table_Apx" </w:instrText>
      </w:r>
      <w:r w:rsidRPr="00B75B77">
        <w:fldChar w:fldCharType="separate"/>
      </w:r>
      <w:hyperlink w:anchor="_Toc466413654" w:history="1">
        <w:r w:rsidR="00836229" w:rsidRPr="00B75B77">
          <w:rPr>
            <w:rStyle w:val="Hyperlink"/>
            <w:noProof/>
          </w:rPr>
          <w:t>Table A</w:t>
        </w:r>
        <w:r w:rsidR="00836229" w:rsidRPr="00B75B77">
          <w:rPr>
            <w:rStyle w:val="Hyperlink"/>
            <w:noProof/>
          </w:rPr>
          <w:noBreakHyphen/>
          <w:t>1: PY7 Participant Definition by Program</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_Toc466413654 \h </w:instrText>
        </w:r>
        <w:r w:rsidR="00836229" w:rsidRPr="00B75B77">
          <w:rPr>
            <w:noProof/>
            <w:webHidden/>
          </w:rPr>
        </w:r>
        <w:r w:rsidR="00836229" w:rsidRPr="00B75B77">
          <w:rPr>
            <w:noProof/>
            <w:webHidden/>
          </w:rPr>
          <w:fldChar w:fldCharType="separate"/>
        </w:r>
        <w:r w:rsidR="0004016D">
          <w:rPr>
            <w:noProof/>
            <w:webHidden/>
          </w:rPr>
          <w:t>214</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55" w:history="1">
        <w:r w:rsidR="00836229" w:rsidRPr="00B75B77">
          <w:rPr>
            <w:rStyle w:val="Hyperlink"/>
            <w:noProof/>
          </w:rPr>
          <w:t>Table A</w:t>
        </w:r>
        <w:r w:rsidR="00836229" w:rsidRPr="00B75B77">
          <w:rPr>
            <w:rStyle w:val="Hyperlink"/>
            <w:noProof/>
          </w:rPr>
          <w:noBreakHyphen/>
          <w:t>2: PY7 Actual Evaluation Activities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_Toc466413655 \h </w:instrText>
        </w:r>
        <w:r w:rsidR="00836229" w:rsidRPr="00B75B77">
          <w:rPr>
            <w:noProof/>
            <w:webHidden/>
          </w:rPr>
        </w:r>
        <w:r w:rsidR="00836229" w:rsidRPr="00B75B77">
          <w:rPr>
            <w:noProof/>
            <w:webHidden/>
          </w:rPr>
          <w:fldChar w:fldCharType="separate"/>
        </w:r>
        <w:r w:rsidR="0004016D">
          <w:rPr>
            <w:noProof/>
            <w:webHidden/>
          </w:rPr>
          <w:t>215</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56" w:history="1">
        <w:r w:rsidR="00836229" w:rsidRPr="00B75B77">
          <w:rPr>
            <w:rStyle w:val="Hyperlink"/>
            <w:noProof/>
          </w:rPr>
          <w:t>Table B</w:t>
        </w:r>
        <w:r w:rsidR="00836229" w:rsidRPr="00B75B77">
          <w:rPr>
            <w:rStyle w:val="Hyperlink"/>
            <w:noProof/>
          </w:rPr>
          <w:noBreakHyphen/>
          <w:t>1: Measure Incremental Costs Not Taken from SWE Database or Filed Plan</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_Toc466413656 \h </w:instrText>
        </w:r>
        <w:r w:rsidR="00836229" w:rsidRPr="00B75B77">
          <w:rPr>
            <w:noProof/>
            <w:webHidden/>
          </w:rPr>
        </w:r>
        <w:r w:rsidR="00836229" w:rsidRPr="00B75B77">
          <w:rPr>
            <w:noProof/>
            <w:webHidden/>
          </w:rPr>
          <w:fldChar w:fldCharType="separate"/>
        </w:r>
        <w:r w:rsidR="0004016D">
          <w:rPr>
            <w:noProof/>
            <w:webHidden/>
          </w:rPr>
          <w:t>216</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57" w:history="1">
        <w:r w:rsidR="00836229" w:rsidRPr="00B75B77">
          <w:rPr>
            <w:rStyle w:val="Hyperlink"/>
            <w:noProof/>
          </w:rPr>
          <w:t>Table D</w:t>
        </w:r>
        <w:r w:rsidR="00836229" w:rsidRPr="00B75B77">
          <w:rPr>
            <w:rStyle w:val="Hyperlink"/>
            <w:noProof/>
          </w:rPr>
          <w:noBreakHyphen/>
          <w:t>1: Store Sampling for PY5 Intercepts Based on Proportion of Program Bulb Sales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_Toc466413657 \h </w:instrText>
        </w:r>
        <w:r w:rsidR="00836229" w:rsidRPr="00B75B77">
          <w:rPr>
            <w:noProof/>
            <w:webHidden/>
          </w:rPr>
        </w:r>
        <w:r w:rsidR="00836229" w:rsidRPr="00B75B77">
          <w:rPr>
            <w:noProof/>
            <w:webHidden/>
          </w:rPr>
          <w:fldChar w:fldCharType="separate"/>
        </w:r>
        <w:r w:rsidR="0004016D">
          <w:rPr>
            <w:noProof/>
            <w:webHidden/>
          </w:rPr>
          <w:t>228</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58" w:history="1">
        <w:r w:rsidR="00836229" w:rsidRPr="00B75B77">
          <w:rPr>
            <w:rStyle w:val="Hyperlink"/>
            <w:noProof/>
          </w:rPr>
          <w:t>Table D</w:t>
        </w:r>
        <w:r w:rsidR="00836229" w:rsidRPr="00B75B77">
          <w:rPr>
            <w:rStyle w:val="Hyperlink"/>
            <w:noProof/>
          </w:rPr>
          <w:noBreakHyphen/>
          <w:t>2: PY7 Cross-Sector Bulb Installations by Business Type</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_Toc466413658 \h </w:instrText>
        </w:r>
        <w:r w:rsidR="00836229" w:rsidRPr="00B75B77">
          <w:rPr>
            <w:noProof/>
            <w:webHidden/>
          </w:rPr>
        </w:r>
        <w:r w:rsidR="00836229" w:rsidRPr="00B75B77">
          <w:rPr>
            <w:noProof/>
            <w:webHidden/>
          </w:rPr>
          <w:fldChar w:fldCharType="separate"/>
        </w:r>
        <w:r w:rsidR="0004016D">
          <w:rPr>
            <w:noProof/>
            <w:webHidden/>
          </w:rPr>
          <w:t>229</w:t>
        </w:r>
        <w:r w:rsidR="00836229" w:rsidRPr="00B75B77">
          <w:rPr>
            <w:noProof/>
            <w:webHidden/>
          </w:rPr>
          <w:fldChar w:fldCharType="end"/>
        </w:r>
      </w:hyperlink>
    </w:p>
    <w:p w:rsidR="00CF2ECE" w:rsidRPr="00B75B77" w:rsidRDefault="00A25C9F" w:rsidP="00CF2ECE">
      <w:r w:rsidRPr="00B75B77">
        <w:fldChar w:fldCharType="end"/>
      </w:r>
    </w:p>
    <w:p w:rsidR="002F3340" w:rsidRPr="00B75B77" w:rsidRDefault="002F3340" w:rsidP="00CF2ECE">
      <w:r w:rsidRPr="00B75B77">
        <w:br w:type="page"/>
      </w:r>
    </w:p>
    <w:p w:rsidR="00CF2ECE" w:rsidRPr="00B75B77" w:rsidRDefault="00CF2ECE" w:rsidP="002C2973">
      <w:pPr>
        <w:pStyle w:val="Heading1-No"/>
        <w:jc w:val="left"/>
      </w:pPr>
      <w:bookmarkStart w:id="3" w:name="_Toc466413255"/>
      <w:r w:rsidRPr="00B75B77">
        <w:lastRenderedPageBreak/>
        <w:t>List of Figures</w:t>
      </w:r>
      <w:bookmarkEnd w:id="3"/>
    </w:p>
    <w:p w:rsidR="00836229" w:rsidRPr="00B75B77" w:rsidRDefault="002F3340">
      <w:pPr>
        <w:pStyle w:val="TableofFigures"/>
        <w:tabs>
          <w:tab w:val="right" w:leader="dot" w:pos="9350"/>
        </w:tabs>
        <w:rPr>
          <w:rFonts w:asciiTheme="minorHAnsi" w:eastAsiaTheme="minorEastAsia" w:hAnsiTheme="minorHAnsi" w:cstheme="minorBidi"/>
          <w:noProof/>
          <w:sz w:val="22"/>
        </w:rPr>
      </w:pPr>
      <w:r w:rsidRPr="00B75B77">
        <w:fldChar w:fldCharType="begin"/>
      </w:r>
      <w:r w:rsidRPr="00B75B77">
        <w:instrText xml:space="preserve"> TOC \h \z \c "Figure" </w:instrText>
      </w:r>
      <w:r w:rsidRPr="00B75B77">
        <w:fldChar w:fldCharType="separate"/>
      </w:r>
      <w:hyperlink w:anchor="_Toc466413659" w:history="1">
        <w:r w:rsidR="00836229" w:rsidRPr="00B75B77">
          <w:rPr>
            <w:rStyle w:val="Hyperlink"/>
            <w:noProof/>
          </w:rPr>
          <w:t>Figure 1</w:t>
        </w:r>
        <w:r w:rsidR="00836229" w:rsidRPr="00B75B77">
          <w:rPr>
            <w:rStyle w:val="Hyperlink"/>
            <w:noProof/>
          </w:rPr>
          <w:noBreakHyphen/>
          <w:t>1: Cumulative Portfolio Phase II Inception to Date Verified Gross Energy Impacts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_Toc466413659 \h </w:instrText>
        </w:r>
        <w:r w:rsidR="00836229" w:rsidRPr="00B75B77">
          <w:rPr>
            <w:noProof/>
            <w:webHidden/>
          </w:rPr>
        </w:r>
        <w:r w:rsidR="00836229" w:rsidRPr="00B75B77">
          <w:rPr>
            <w:noProof/>
            <w:webHidden/>
          </w:rPr>
          <w:fldChar w:fldCharType="separate"/>
        </w:r>
        <w:r w:rsidR="0004016D">
          <w:rPr>
            <w:noProof/>
            <w:webHidden/>
          </w:rPr>
          <w:t>1</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60" w:history="1">
        <w:r w:rsidR="00836229" w:rsidRPr="00B75B77">
          <w:rPr>
            <w:rStyle w:val="Hyperlink"/>
            <w:noProof/>
          </w:rPr>
          <w:t>Figure 1</w:t>
        </w:r>
        <w:r w:rsidR="00836229" w:rsidRPr="00B75B77">
          <w:rPr>
            <w:rStyle w:val="Hyperlink"/>
            <w:noProof/>
          </w:rPr>
          <w:noBreakHyphen/>
          <w:t>2: Phase II Portfolio Reported and Verified Demand Reduction</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_Toc466413660 \h </w:instrText>
        </w:r>
        <w:r w:rsidR="00836229" w:rsidRPr="00B75B77">
          <w:rPr>
            <w:noProof/>
            <w:webHidden/>
          </w:rPr>
        </w:r>
        <w:r w:rsidR="00836229" w:rsidRPr="00B75B77">
          <w:rPr>
            <w:noProof/>
            <w:webHidden/>
          </w:rPr>
          <w:fldChar w:fldCharType="separate"/>
        </w:r>
        <w:r w:rsidR="0004016D">
          <w:rPr>
            <w:noProof/>
            <w:webHidden/>
          </w:rPr>
          <w:t>5</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61" w:history="1">
        <w:r w:rsidR="00836229" w:rsidRPr="00B75B77">
          <w:rPr>
            <w:rStyle w:val="Hyperlink"/>
            <w:noProof/>
          </w:rPr>
          <w:t>Figure 1</w:t>
        </w:r>
        <w:r w:rsidR="00836229" w:rsidRPr="00B75B77">
          <w:rPr>
            <w:rStyle w:val="Hyperlink"/>
            <w:noProof/>
          </w:rPr>
          <w:noBreakHyphen/>
          <w:t>3: Government, Nonprofit, and Institutional Sector Phase II Verified Gross Energy Impacts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_Toc466413661 \h </w:instrText>
        </w:r>
        <w:r w:rsidR="00836229" w:rsidRPr="00B75B77">
          <w:rPr>
            <w:noProof/>
            <w:webHidden/>
          </w:rPr>
        </w:r>
        <w:r w:rsidR="00836229" w:rsidRPr="00B75B77">
          <w:rPr>
            <w:noProof/>
            <w:webHidden/>
          </w:rPr>
          <w:fldChar w:fldCharType="separate"/>
        </w:r>
        <w:r w:rsidR="0004016D">
          <w:rPr>
            <w:noProof/>
            <w:webHidden/>
          </w:rPr>
          <w:t>7</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62" w:history="1">
        <w:r w:rsidR="00836229" w:rsidRPr="00B75B77">
          <w:rPr>
            <w:rStyle w:val="Hyperlink"/>
            <w:noProof/>
          </w:rPr>
          <w:t>Figure 1</w:t>
        </w:r>
        <w:r w:rsidR="00836229" w:rsidRPr="00B75B77">
          <w:rPr>
            <w:rStyle w:val="Hyperlink"/>
            <w:noProof/>
          </w:rPr>
          <w:noBreakHyphen/>
          <w:t>4: PYTD Reported and Verified Gross Energy Savings by Program (MWh/yr)</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_Toc466413662 \h </w:instrText>
        </w:r>
        <w:r w:rsidR="00836229" w:rsidRPr="00B75B77">
          <w:rPr>
            <w:noProof/>
            <w:webHidden/>
          </w:rPr>
        </w:r>
        <w:r w:rsidR="00836229" w:rsidRPr="00B75B77">
          <w:rPr>
            <w:noProof/>
            <w:webHidden/>
          </w:rPr>
          <w:fldChar w:fldCharType="separate"/>
        </w:r>
        <w:r w:rsidR="0004016D">
          <w:rPr>
            <w:noProof/>
            <w:webHidden/>
          </w:rPr>
          <w:t>11</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63" w:history="1">
        <w:r w:rsidR="00836229" w:rsidRPr="00B75B77">
          <w:rPr>
            <w:rStyle w:val="Hyperlink"/>
            <w:noProof/>
          </w:rPr>
          <w:t>Figure 1</w:t>
        </w:r>
        <w:r w:rsidR="00836229" w:rsidRPr="00B75B77">
          <w:rPr>
            <w:rStyle w:val="Hyperlink"/>
            <w:noProof/>
          </w:rPr>
          <w:noBreakHyphen/>
          <w:t>5: Phase II Reported and Verified Gross Energy Savings by Program (MWh/yr)</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_Toc466413663 \h </w:instrText>
        </w:r>
        <w:r w:rsidR="00836229" w:rsidRPr="00B75B77">
          <w:rPr>
            <w:noProof/>
            <w:webHidden/>
          </w:rPr>
        </w:r>
        <w:r w:rsidR="00836229" w:rsidRPr="00B75B77">
          <w:rPr>
            <w:noProof/>
            <w:webHidden/>
          </w:rPr>
          <w:fldChar w:fldCharType="separate"/>
        </w:r>
        <w:r w:rsidR="0004016D">
          <w:rPr>
            <w:noProof/>
            <w:webHidden/>
          </w:rPr>
          <w:t>12</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64" w:history="1">
        <w:r w:rsidR="00836229" w:rsidRPr="00B75B77">
          <w:rPr>
            <w:rStyle w:val="Hyperlink"/>
            <w:noProof/>
          </w:rPr>
          <w:t>Figure 1</w:t>
        </w:r>
        <w:r w:rsidR="00836229" w:rsidRPr="00B75B77">
          <w:rPr>
            <w:rStyle w:val="Hyperlink"/>
            <w:noProof/>
          </w:rPr>
          <w:noBreakHyphen/>
          <w:t>6: PYTD Reported and Verified Gross Demand Reduction by Program</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_Toc466413664 \h </w:instrText>
        </w:r>
        <w:r w:rsidR="00836229" w:rsidRPr="00B75B77">
          <w:rPr>
            <w:noProof/>
            <w:webHidden/>
          </w:rPr>
        </w:r>
        <w:r w:rsidR="00836229" w:rsidRPr="00B75B77">
          <w:rPr>
            <w:noProof/>
            <w:webHidden/>
          </w:rPr>
          <w:fldChar w:fldCharType="separate"/>
        </w:r>
        <w:r w:rsidR="0004016D">
          <w:rPr>
            <w:noProof/>
            <w:webHidden/>
          </w:rPr>
          <w:t>15</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65" w:history="1">
        <w:r w:rsidR="00836229" w:rsidRPr="00B75B77">
          <w:rPr>
            <w:rStyle w:val="Hyperlink"/>
            <w:noProof/>
          </w:rPr>
          <w:t>Figure 1</w:t>
        </w:r>
        <w:r w:rsidR="00836229" w:rsidRPr="00B75B77">
          <w:rPr>
            <w:rStyle w:val="Hyperlink"/>
            <w:noProof/>
          </w:rPr>
          <w:noBreakHyphen/>
          <w:t>7: Phase II Reported and Verified Gross Demand Reduction by Program</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_Toc466413665 \h </w:instrText>
        </w:r>
        <w:r w:rsidR="00836229" w:rsidRPr="00B75B77">
          <w:rPr>
            <w:noProof/>
            <w:webHidden/>
          </w:rPr>
        </w:r>
        <w:r w:rsidR="00836229" w:rsidRPr="00B75B77">
          <w:rPr>
            <w:noProof/>
            <w:webHidden/>
          </w:rPr>
          <w:fldChar w:fldCharType="separate"/>
        </w:r>
        <w:r w:rsidR="0004016D">
          <w:rPr>
            <w:noProof/>
            <w:webHidden/>
          </w:rPr>
          <w:t>16</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66" w:history="1">
        <w:r w:rsidR="00836229" w:rsidRPr="00B75B77">
          <w:rPr>
            <w:rStyle w:val="Hyperlink"/>
            <w:noProof/>
          </w:rPr>
          <w:t>Figure 2</w:t>
        </w:r>
        <w:r w:rsidR="00836229" w:rsidRPr="00B75B77">
          <w:rPr>
            <w:rStyle w:val="Hyperlink"/>
            <w:noProof/>
          </w:rPr>
          <w:noBreakHyphen/>
          <w:t>1: Lighting Shelf Space by Lamp Type, PY2 and PY5</w:t>
        </w:r>
        <w:r w:rsidR="00836229" w:rsidRPr="00B75B77">
          <w:rPr>
            <w:rStyle w:val="Hyperlink"/>
            <w:rFonts w:ascii="Palatino Linotype" w:hAnsi="Palatino Linotype"/>
            <w:noProof/>
          </w:rPr>
          <w:t>-</w:t>
        </w:r>
        <w:r w:rsidR="00836229" w:rsidRPr="00B75B77">
          <w:rPr>
            <w:rStyle w:val="Hyperlink"/>
            <w:noProof/>
          </w:rPr>
          <w:t>PY7</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_Toc466413666 \h </w:instrText>
        </w:r>
        <w:r w:rsidR="00836229" w:rsidRPr="00B75B77">
          <w:rPr>
            <w:noProof/>
            <w:webHidden/>
          </w:rPr>
        </w:r>
        <w:r w:rsidR="00836229" w:rsidRPr="00B75B77">
          <w:rPr>
            <w:noProof/>
            <w:webHidden/>
          </w:rPr>
          <w:fldChar w:fldCharType="separate"/>
        </w:r>
        <w:r w:rsidR="0004016D">
          <w:rPr>
            <w:noProof/>
            <w:webHidden/>
          </w:rPr>
          <w:t>40</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67" w:history="1">
        <w:r w:rsidR="00836229" w:rsidRPr="00B75B77">
          <w:rPr>
            <w:rStyle w:val="Hyperlink"/>
            <w:noProof/>
          </w:rPr>
          <w:t>Figure 2</w:t>
        </w:r>
        <w:r w:rsidR="00836229" w:rsidRPr="00B75B77">
          <w:rPr>
            <w:rStyle w:val="Hyperlink"/>
            <w:noProof/>
          </w:rPr>
          <w:noBreakHyphen/>
          <w:t>2: Smart Home Rebates Non-Lighting Average Customer Satisfaction Responses (n=200)</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_Toc466413667 \h </w:instrText>
        </w:r>
        <w:r w:rsidR="00836229" w:rsidRPr="00B75B77">
          <w:rPr>
            <w:noProof/>
            <w:webHidden/>
          </w:rPr>
        </w:r>
        <w:r w:rsidR="00836229" w:rsidRPr="00B75B77">
          <w:rPr>
            <w:noProof/>
            <w:webHidden/>
          </w:rPr>
          <w:fldChar w:fldCharType="separate"/>
        </w:r>
        <w:r w:rsidR="0004016D">
          <w:rPr>
            <w:noProof/>
            <w:webHidden/>
          </w:rPr>
          <w:t>43</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68" w:history="1">
        <w:r w:rsidR="00836229" w:rsidRPr="00B75B77">
          <w:rPr>
            <w:rStyle w:val="Hyperlink"/>
            <w:noProof/>
          </w:rPr>
          <w:t>Figure 2</w:t>
        </w:r>
        <w:r w:rsidR="00836229" w:rsidRPr="00B75B77">
          <w:rPr>
            <w:rStyle w:val="Hyperlink"/>
            <w:noProof/>
          </w:rPr>
          <w:noBreakHyphen/>
          <w:t>3: Smart Home Rebates Non-Lighting Participant Knowledge of Program (n=250)</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_Toc466413668 \h </w:instrText>
        </w:r>
        <w:r w:rsidR="00836229" w:rsidRPr="00B75B77">
          <w:rPr>
            <w:noProof/>
            <w:webHidden/>
          </w:rPr>
        </w:r>
        <w:r w:rsidR="00836229" w:rsidRPr="00B75B77">
          <w:rPr>
            <w:noProof/>
            <w:webHidden/>
          </w:rPr>
          <w:fldChar w:fldCharType="separate"/>
        </w:r>
        <w:r w:rsidR="0004016D">
          <w:rPr>
            <w:noProof/>
            <w:webHidden/>
          </w:rPr>
          <w:t>44</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69" w:history="1">
        <w:r w:rsidR="00836229" w:rsidRPr="00B75B77">
          <w:rPr>
            <w:rStyle w:val="Hyperlink"/>
            <w:noProof/>
          </w:rPr>
          <w:t>Figure 3</w:t>
        </w:r>
        <w:r w:rsidR="00836229" w:rsidRPr="00B75B77">
          <w:rPr>
            <w:rStyle w:val="Hyperlink"/>
            <w:noProof/>
          </w:rPr>
          <w:noBreakHyphen/>
          <w:t>1: Smart House Call Distribution of Free Ridership Scores in PY5 vs. PY7</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_Toc466413669 \h </w:instrText>
        </w:r>
        <w:r w:rsidR="00836229" w:rsidRPr="00B75B77">
          <w:rPr>
            <w:noProof/>
            <w:webHidden/>
          </w:rPr>
        </w:r>
        <w:r w:rsidR="00836229" w:rsidRPr="00B75B77">
          <w:rPr>
            <w:noProof/>
            <w:webHidden/>
          </w:rPr>
          <w:fldChar w:fldCharType="separate"/>
        </w:r>
        <w:r w:rsidR="0004016D">
          <w:rPr>
            <w:noProof/>
            <w:webHidden/>
          </w:rPr>
          <w:t>54</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70" w:history="1">
        <w:r w:rsidR="00836229" w:rsidRPr="00B75B77">
          <w:rPr>
            <w:rStyle w:val="Hyperlink"/>
            <w:noProof/>
          </w:rPr>
          <w:t>Figure 3</w:t>
        </w:r>
        <w:r w:rsidR="00836229" w:rsidRPr="00B75B77">
          <w:rPr>
            <w:rStyle w:val="Hyperlink"/>
            <w:noProof/>
          </w:rPr>
          <w:noBreakHyphen/>
          <w:t>2: Customer Satisfaction with Elements of the SHC Program (n=130)</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_Toc466413670 \h </w:instrText>
        </w:r>
        <w:r w:rsidR="00836229" w:rsidRPr="00B75B77">
          <w:rPr>
            <w:noProof/>
            <w:webHidden/>
          </w:rPr>
        </w:r>
        <w:r w:rsidR="00836229" w:rsidRPr="00B75B77">
          <w:rPr>
            <w:noProof/>
            <w:webHidden/>
          </w:rPr>
          <w:fldChar w:fldCharType="separate"/>
        </w:r>
        <w:r w:rsidR="0004016D">
          <w:rPr>
            <w:noProof/>
            <w:webHidden/>
          </w:rPr>
          <w:t>56</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71" w:history="1">
        <w:r w:rsidR="00836229" w:rsidRPr="00B75B77">
          <w:rPr>
            <w:rStyle w:val="Hyperlink"/>
            <w:noProof/>
          </w:rPr>
          <w:t>Figure 4</w:t>
        </w:r>
        <w:r w:rsidR="00836229" w:rsidRPr="00B75B77">
          <w:rPr>
            <w:rStyle w:val="Hyperlink"/>
            <w:noProof/>
          </w:rPr>
          <w:noBreakHyphen/>
          <w:t>1: Smart Appliance Recycling Refrigerator Net Savings Calculation</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_Toc466413671 \h </w:instrText>
        </w:r>
        <w:r w:rsidR="00836229" w:rsidRPr="00B75B77">
          <w:rPr>
            <w:noProof/>
            <w:webHidden/>
          </w:rPr>
        </w:r>
        <w:r w:rsidR="00836229" w:rsidRPr="00B75B77">
          <w:rPr>
            <w:noProof/>
            <w:webHidden/>
          </w:rPr>
          <w:fldChar w:fldCharType="separate"/>
        </w:r>
        <w:r w:rsidR="0004016D">
          <w:rPr>
            <w:noProof/>
            <w:webHidden/>
          </w:rPr>
          <w:t>70</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72" w:history="1">
        <w:r w:rsidR="00836229" w:rsidRPr="00B75B77">
          <w:rPr>
            <w:rStyle w:val="Hyperlink"/>
            <w:noProof/>
          </w:rPr>
          <w:t>Figure 4</w:t>
        </w:r>
        <w:r w:rsidR="00836229" w:rsidRPr="00B75B77">
          <w:rPr>
            <w:rStyle w:val="Hyperlink"/>
            <w:noProof/>
          </w:rPr>
          <w:noBreakHyphen/>
          <w:t>2: Smart Appliance Recycling Freezer Net Savings Calculation</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_Toc466413672 \h </w:instrText>
        </w:r>
        <w:r w:rsidR="00836229" w:rsidRPr="00B75B77">
          <w:rPr>
            <w:noProof/>
            <w:webHidden/>
          </w:rPr>
        </w:r>
        <w:r w:rsidR="00836229" w:rsidRPr="00B75B77">
          <w:rPr>
            <w:noProof/>
            <w:webHidden/>
          </w:rPr>
          <w:fldChar w:fldCharType="separate"/>
        </w:r>
        <w:r w:rsidR="0004016D">
          <w:rPr>
            <w:noProof/>
            <w:webHidden/>
          </w:rPr>
          <w:t>71</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73" w:history="1">
        <w:r w:rsidR="00836229" w:rsidRPr="00B75B77">
          <w:rPr>
            <w:rStyle w:val="Hyperlink"/>
            <w:noProof/>
          </w:rPr>
          <w:t>Figure 4</w:t>
        </w:r>
        <w:r w:rsidR="00836229" w:rsidRPr="00B75B77">
          <w:rPr>
            <w:rStyle w:val="Hyperlink"/>
            <w:noProof/>
          </w:rPr>
          <w:noBreakHyphen/>
          <w:t>3: Smart Appliance Recycling Regular Customer vs. Impacted Average Customer Satisfaction</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_Toc466413673 \h </w:instrText>
        </w:r>
        <w:r w:rsidR="00836229" w:rsidRPr="00B75B77">
          <w:rPr>
            <w:noProof/>
            <w:webHidden/>
          </w:rPr>
        </w:r>
        <w:r w:rsidR="00836229" w:rsidRPr="00B75B77">
          <w:rPr>
            <w:noProof/>
            <w:webHidden/>
          </w:rPr>
          <w:fldChar w:fldCharType="separate"/>
        </w:r>
        <w:r w:rsidR="0004016D">
          <w:rPr>
            <w:noProof/>
            <w:webHidden/>
          </w:rPr>
          <w:t>74</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74" w:history="1">
        <w:r w:rsidR="00836229" w:rsidRPr="00B75B77">
          <w:rPr>
            <w:rStyle w:val="Hyperlink"/>
            <w:noProof/>
          </w:rPr>
          <w:t>Figure 6</w:t>
        </w:r>
        <w:r w:rsidR="00836229" w:rsidRPr="00B75B77">
          <w:rPr>
            <w:rStyle w:val="Hyperlink"/>
            <w:noProof/>
          </w:rPr>
          <w:noBreakHyphen/>
          <w:t>1: PY7 Smart Energy Saver Program Baseline Conditions for Installed Nightlights (n=3,710)</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_Toc466413674 \h </w:instrText>
        </w:r>
        <w:r w:rsidR="00836229" w:rsidRPr="00B75B77">
          <w:rPr>
            <w:noProof/>
            <w:webHidden/>
          </w:rPr>
        </w:r>
        <w:r w:rsidR="00836229" w:rsidRPr="00B75B77">
          <w:rPr>
            <w:noProof/>
            <w:webHidden/>
          </w:rPr>
          <w:fldChar w:fldCharType="separate"/>
        </w:r>
        <w:r w:rsidR="0004016D">
          <w:rPr>
            <w:noProof/>
            <w:webHidden/>
          </w:rPr>
          <w:t>93</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75" w:history="1">
        <w:r w:rsidR="00836229" w:rsidRPr="00B75B77">
          <w:rPr>
            <w:rStyle w:val="Hyperlink"/>
            <w:noProof/>
          </w:rPr>
          <w:t>Figure 6</w:t>
        </w:r>
        <w:r w:rsidR="00836229" w:rsidRPr="00B75B77">
          <w:rPr>
            <w:rStyle w:val="Hyperlink"/>
            <w:noProof/>
          </w:rPr>
          <w:noBreakHyphen/>
          <w:t>2: PY7 Smart Energy Saver Program Savings Associated with Installed Nightlights (n=3,710)</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_Toc466413675 \h </w:instrText>
        </w:r>
        <w:r w:rsidR="00836229" w:rsidRPr="00B75B77">
          <w:rPr>
            <w:noProof/>
            <w:webHidden/>
          </w:rPr>
        </w:r>
        <w:r w:rsidR="00836229" w:rsidRPr="00B75B77">
          <w:rPr>
            <w:noProof/>
            <w:webHidden/>
          </w:rPr>
          <w:fldChar w:fldCharType="separate"/>
        </w:r>
        <w:r w:rsidR="0004016D">
          <w:rPr>
            <w:noProof/>
            <w:webHidden/>
          </w:rPr>
          <w:t>94</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76" w:history="1">
        <w:r w:rsidR="00836229" w:rsidRPr="00B75B77">
          <w:rPr>
            <w:rStyle w:val="Hyperlink"/>
            <w:noProof/>
          </w:rPr>
          <w:t>Figure 7</w:t>
        </w:r>
        <w:r w:rsidR="00836229" w:rsidRPr="00B75B77">
          <w:rPr>
            <w:rStyle w:val="Hyperlink"/>
            <w:noProof/>
          </w:rPr>
          <w:noBreakHyphen/>
          <w:t>1: Smart Builder Rebates Builder Satisfaction Ratings (1-10 Scale, n=7)</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_Toc466413676 \h </w:instrText>
        </w:r>
        <w:r w:rsidR="00836229" w:rsidRPr="00B75B77">
          <w:rPr>
            <w:noProof/>
            <w:webHidden/>
          </w:rPr>
        </w:r>
        <w:r w:rsidR="00836229" w:rsidRPr="00B75B77">
          <w:rPr>
            <w:noProof/>
            <w:webHidden/>
          </w:rPr>
          <w:fldChar w:fldCharType="separate"/>
        </w:r>
        <w:r w:rsidR="0004016D">
          <w:rPr>
            <w:noProof/>
            <w:webHidden/>
          </w:rPr>
          <w:t>104</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77" w:history="1">
        <w:r w:rsidR="00836229" w:rsidRPr="00B75B77">
          <w:rPr>
            <w:rStyle w:val="Hyperlink"/>
            <w:noProof/>
          </w:rPr>
          <w:t>Figure 7</w:t>
        </w:r>
        <w:r w:rsidR="00836229" w:rsidRPr="00B75B77">
          <w:rPr>
            <w:rStyle w:val="Hyperlink"/>
            <w:noProof/>
          </w:rPr>
          <w:noBreakHyphen/>
          <w:t>2: Smart Builder Rebates Average Incentive Processing Duration</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_Toc466413677 \h </w:instrText>
        </w:r>
        <w:r w:rsidR="00836229" w:rsidRPr="00B75B77">
          <w:rPr>
            <w:noProof/>
            <w:webHidden/>
          </w:rPr>
        </w:r>
        <w:r w:rsidR="00836229" w:rsidRPr="00B75B77">
          <w:rPr>
            <w:noProof/>
            <w:webHidden/>
          </w:rPr>
          <w:fldChar w:fldCharType="separate"/>
        </w:r>
        <w:r w:rsidR="0004016D">
          <w:rPr>
            <w:noProof/>
            <w:webHidden/>
          </w:rPr>
          <w:t>104</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78" w:history="1">
        <w:r w:rsidR="00836229" w:rsidRPr="00B75B77">
          <w:rPr>
            <w:rStyle w:val="Hyperlink"/>
            <w:noProof/>
          </w:rPr>
          <w:t>Figure 7</w:t>
        </w:r>
        <w:r w:rsidR="00836229" w:rsidRPr="00B75B77">
          <w:rPr>
            <w:rStyle w:val="Hyperlink"/>
            <w:noProof/>
          </w:rPr>
          <w:noBreakHyphen/>
          <w:t>3: Greatest Challenge in Meeting ENERGY STAR Standards (n=7)</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_Toc466413678 \h </w:instrText>
        </w:r>
        <w:r w:rsidR="00836229" w:rsidRPr="00B75B77">
          <w:rPr>
            <w:noProof/>
            <w:webHidden/>
          </w:rPr>
        </w:r>
        <w:r w:rsidR="00836229" w:rsidRPr="00B75B77">
          <w:rPr>
            <w:noProof/>
            <w:webHidden/>
          </w:rPr>
          <w:fldChar w:fldCharType="separate"/>
        </w:r>
        <w:r w:rsidR="0004016D">
          <w:rPr>
            <w:noProof/>
            <w:webHidden/>
          </w:rPr>
          <w:t>105</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79" w:history="1">
        <w:r w:rsidR="00836229" w:rsidRPr="00B75B77">
          <w:rPr>
            <w:rStyle w:val="Hyperlink"/>
            <w:noProof/>
          </w:rPr>
          <w:t>Figure 7</w:t>
        </w:r>
        <w:r w:rsidR="00836229" w:rsidRPr="00B75B77">
          <w:rPr>
            <w:rStyle w:val="Hyperlink"/>
            <w:noProof/>
          </w:rPr>
          <w:noBreakHyphen/>
          <w:t>4: Portion of Respondents’ Homes Participating in PY7 (n=7)</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_Toc466413679 \h </w:instrText>
        </w:r>
        <w:r w:rsidR="00836229" w:rsidRPr="00B75B77">
          <w:rPr>
            <w:noProof/>
            <w:webHidden/>
          </w:rPr>
        </w:r>
        <w:r w:rsidR="00836229" w:rsidRPr="00B75B77">
          <w:rPr>
            <w:noProof/>
            <w:webHidden/>
          </w:rPr>
          <w:fldChar w:fldCharType="separate"/>
        </w:r>
        <w:r w:rsidR="0004016D">
          <w:rPr>
            <w:noProof/>
            <w:webHidden/>
          </w:rPr>
          <w:t>105</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80" w:history="1">
        <w:r w:rsidR="00836229" w:rsidRPr="00B75B77">
          <w:rPr>
            <w:rStyle w:val="Hyperlink"/>
            <w:noProof/>
          </w:rPr>
          <w:t>Figure 7</w:t>
        </w:r>
        <w:r w:rsidR="00836229" w:rsidRPr="00B75B77">
          <w:rPr>
            <w:rStyle w:val="Hyperlink"/>
            <w:noProof/>
          </w:rPr>
          <w:noBreakHyphen/>
          <w:t>5: Builder Forecast for PY8 Program Activity (n=7)</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_Toc466413680 \h </w:instrText>
        </w:r>
        <w:r w:rsidR="00836229" w:rsidRPr="00B75B77">
          <w:rPr>
            <w:noProof/>
            <w:webHidden/>
          </w:rPr>
        </w:r>
        <w:r w:rsidR="00836229" w:rsidRPr="00B75B77">
          <w:rPr>
            <w:noProof/>
            <w:webHidden/>
          </w:rPr>
          <w:fldChar w:fldCharType="separate"/>
        </w:r>
        <w:r w:rsidR="0004016D">
          <w:rPr>
            <w:noProof/>
            <w:webHidden/>
          </w:rPr>
          <w:t>106</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81" w:history="1">
        <w:r w:rsidR="00836229" w:rsidRPr="00B75B77">
          <w:rPr>
            <w:rStyle w:val="Hyperlink"/>
            <w:noProof/>
          </w:rPr>
          <w:t>Figure 8</w:t>
        </w:r>
        <w:r w:rsidR="00836229" w:rsidRPr="00B75B77">
          <w:rPr>
            <w:rStyle w:val="Hyperlink"/>
            <w:noProof/>
          </w:rPr>
          <w:noBreakHyphen/>
          <w:t>1: Refrigerator Measure kWh Savings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_Toc466413681 \h </w:instrText>
        </w:r>
        <w:r w:rsidR="00836229" w:rsidRPr="00B75B77">
          <w:rPr>
            <w:noProof/>
            <w:webHidden/>
          </w:rPr>
        </w:r>
        <w:r w:rsidR="00836229" w:rsidRPr="00B75B77">
          <w:rPr>
            <w:noProof/>
            <w:webHidden/>
          </w:rPr>
          <w:fldChar w:fldCharType="separate"/>
        </w:r>
        <w:r w:rsidR="0004016D">
          <w:rPr>
            <w:noProof/>
            <w:webHidden/>
          </w:rPr>
          <w:t>114</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82" w:history="1">
        <w:r w:rsidR="00836229" w:rsidRPr="00B75B77">
          <w:rPr>
            <w:rStyle w:val="Hyperlink"/>
            <w:noProof/>
          </w:rPr>
          <w:t>Figure 8</w:t>
        </w:r>
        <w:r w:rsidR="00836229" w:rsidRPr="00B75B77">
          <w:rPr>
            <w:rStyle w:val="Hyperlink"/>
            <w:noProof/>
          </w:rPr>
          <w:noBreakHyphen/>
          <w:t>2: Additional Actions Taken by LEEP Component 1 Participants (n=26)</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_Toc466413682 \h </w:instrText>
        </w:r>
        <w:r w:rsidR="00836229" w:rsidRPr="00B75B77">
          <w:rPr>
            <w:noProof/>
            <w:webHidden/>
          </w:rPr>
        </w:r>
        <w:r w:rsidR="00836229" w:rsidRPr="00B75B77">
          <w:rPr>
            <w:noProof/>
            <w:webHidden/>
          </w:rPr>
          <w:fldChar w:fldCharType="separate"/>
        </w:r>
        <w:r w:rsidR="0004016D">
          <w:rPr>
            <w:noProof/>
            <w:webHidden/>
          </w:rPr>
          <w:t>116</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83" w:history="1">
        <w:r w:rsidR="00836229" w:rsidRPr="00B75B77">
          <w:rPr>
            <w:rStyle w:val="Hyperlink"/>
            <w:noProof/>
          </w:rPr>
          <w:t>Figure 8</w:t>
        </w:r>
        <w:r w:rsidR="00836229" w:rsidRPr="00B75B77">
          <w:rPr>
            <w:rStyle w:val="Hyperlink"/>
            <w:noProof/>
          </w:rPr>
          <w:noBreakHyphen/>
          <w:t>3: Low-Income Energy Efficiency Program Participant Satisfaction (n=55)</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_Toc466413683 \h </w:instrText>
        </w:r>
        <w:r w:rsidR="00836229" w:rsidRPr="00B75B77">
          <w:rPr>
            <w:noProof/>
            <w:webHidden/>
          </w:rPr>
        </w:r>
        <w:r w:rsidR="00836229" w:rsidRPr="00B75B77">
          <w:rPr>
            <w:noProof/>
            <w:webHidden/>
          </w:rPr>
          <w:fldChar w:fldCharType="separate"/>
        </w:r>
        <w:r w:rsidR="0004016D">
          <w:rPr>
            <w:noProof/>
            <w:webHidden/>
          </w:rPr>
          <w:t>118</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84" w:history="1">
        <w:r w:rsidR="00836229" w:rsidRPr="00B75B77">
          <w:rPr>
            <w:rStyle w:val="Hyperlink"/>
            <w:noProof/>
          </w:rPr>
          <w:t>Figure 8</w:t>
        </w:r>
        <w:r w:rsidR="00836229" w:rsidRPr="00B75B77">
          <w:rPr>
            <w:rStyle w:val="Hyperlink"/>
            <w:noProof/>
          </w:rPr>
          <w:noBreakHyphen/>
          <w:t>4: Low-Income Energy Efficiency Program Component 3 First-Year CFL In-Service-Rate</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_Toc466413684 \h </w:instrText>
        </w:r>
        <w:r w:rsidR="00836229" w:rsidRPr="00B75B77">
          <w:rPr>
            <w:noProof/>
            <w:webHidden/>
          </w:rPr>
        </w:r>
        <w:r w:rsidR="00836229" w:rsidRPr="00B75B77">
          <w:rPr>
            <w:noProof/>
            <w:webHidden/>
          </w:rPr>
          <w:fldChar w:fldCharType="separate"/>
        </w:r>
        <w:r w:rsidR="0004016D">
          <w:rPr>
            <w:noProof/>
            <w:webHidden/>
          </w:rPr>
          <w:t>119</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85" w:history="1">
        <w:r w:rsidR="00836229" w:rsidRPr="00B75B77">
          <w:rPr>
            <w:rStyle w:val="Hyperlink"/>
            <w:noProof/>
          </w:rPr>
          <w:t>Figure 8</w:t>
        </w:r>
        <w:r w:rsidR="00836229" w:rsidRPr="00B75B77">
          <w:rPr>
            <w:rStyle w:val="Hyperlink"/>
            <w:noProof/>
          </w:rPr>
          <w:noBreakHyphen/>
          <w:t>5: Low-Income Energy Efficiency Program Do You Currently Have Any Incandescent Light Bulbs Installed in Your Home? (n=14)</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_Toc466413685 \h </w:instrText>
        </w:r>
        <w:r w:rsidR="00836229" w:rsidRPr="00B75B77">
          <w:rPr>
            <w:noProof/>
            <w:webHidden/>
          </w:rPr>
        </w:r>
        <w:r w:rsidR="00836229" w:rsidRPr="00B75B77">
          <w:rPr>
            <w:noProof/>
            <w:webHidden/>
          </w:rPr>
          <w:fldChar w:fldCharType="separate"/>
        </w:r>
        <w:r w:rsidR="0004016D">
          <w:rPr>
            <w:noProof/>
            <w:webHidden/>
          </w:rPr>
          <w:t>119</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86" w:history="1">
        <w:r w:rsidR="00836229" w:rsidRPr="00B75B77">
          <w:rPr>
            <w:rStyle w:val="Hyperlink"/>
            <w:noProof/>
          </w:rPr>
          <w:t>Figure 8</w:t>
        </w:r>
        <w:r w:rsidR="00836229" w:rsidRPr="00B75B77">
          <w:rPr>
            <w:rStyle w:val="Hyperlink"/>
            <w:noProof/>
          </w:rPr>
          <w:noBreakHyphen/>
          <w:t>6: Low-Income Energy Efficiency Program: What Types of Bulbs Did You Replace When You Installed the Program Bulbs? (n=30)</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_Toc466413686 \h </w:instrText>
        </w:r>
        <w:r w:rsidR="00836229" w:rsidRPr="00B75B77">
          <w:rPr>
            <w:noProof/>
            <w:webHidden/>
          </w:rPr>
        </w:r>
        <w:r w:rsidR="00836229" w:rsidRPr="00B75B77">
          <w:rPr>
            <w:noProof/>
            <w:webHidden/>
          </w:rPr>
          <w:fldChar w:fldCharType="separate"/>
        </w:r>
        <w:r w:rsidR="0004016D">
          <w:rPr>
            <w:noProof/>
            <w:webHidden/>
          </w:rPr>
          <w:t>120</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87" w:history="1">
        <w:r w:rsidR="00836229" w:rsidRPr="00B75B77">
          <w:rPr>
            <w:rStyle w:val="Hyperlink"/>
            <w:noProof/>
          </w:rPr>
          <w:t>Figure 11</w:t>
        </w:r>
        <w:r w:rsidR="00836229" w:rsidRPr="00B75B77">
          <w:rPr>
            <w:rStyle w:val="Hyperlink"/>
            <w:noProof/>
          </w:rPr>
          <w:noBreakHyphen/>
          <w:t>1: Phase II Free Ridership Algorithm</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_Toc466413687 \h </w:instrText>
        </w:r>
        <w:r w:rsidR="00836229" w:rsidRPr="00B75B77">
          <w:rPr>
            <w:noProof/>
            <w:webHidden/>
          </w:rPr>
        </w:r>
        <w:r w:rsidR="00836229" w:rsidRPr="00B75B77">
          <w:rPr>
            <w:noProof/>
            <w:webHidden/>
          </w:rPr>
          <w:fldChar w:fldCharType="separate"/>
        </w:r>
        <w:r w:rsidR="0004016D">
          <w:rPr>
            <w:noProof/>
            <w:webHidden/>
          </w:rPr>
          <w:t>144</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88" w:history="1">
        <w:r w:rsidR="00836229" w:rsidRPr="00B75B77">
          <w:rPr>
            <w:rStyle w:val="Hyperlink"/>
            <w:noProof/>
          </w:rPr>
          <w:t>Figure 11</w:t>
        </w:r>
        <w:r w:rsidR="00836229" w:rsidRPr="00B75B77">
          <w:rPr>
            <w:rStyle w:val="Hyperlink"/>
            <w:noProof/>
          </w:rPr>
          <w:noBreakHyphen/>
          <w:t>2: Smart Equipment Incentives (C&amp;I) Spillover Results Illustration</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_Toc466413688 \h </w:instrText>
        </w:r>
        <w:r w:rsidR="00836229" w:rsidRPr="00B75B77">
          <w:rPr>
            <w:noProof/>
            <w:webHidden/>
          </w:rPr>
        </w:r>
        <w:r w:rsidR="00836229" w:rsidRPr="00B75B77">
          <w:rPr>
            <w:noProof/>
            <w:webHidden/>
          </w:rPr>
          <w:fldChar w:fldCharType="separate"/>
        </w:r>
        <w:r w:rsidR="0004016D">
          <w:rPr>
            <w:noProof/>
            <w:webHidden/>
          </w:rPr>
          <w:t>146</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89" w:history="1">
        <w:r w:rsidR="00836229" w:rsidRPr="00B75B77">
          <w:rPr>
            <w:rStyle w:val="Hyperlink"/>
            <w:noProof/>
          </w:rPr>
          <w:t>Figure 12</w:t>
        </w:r>
        <w:r w:rsidR="00836229" w:rsidRPr="00B75B77">
          <w:rPr>
            <w:rStyle w:val="Hyperlink"/>
            <w:noProof/>
          </w:rPr>
          <w:noBreakHyphen/>
          <w:t>1: Phase II Free Ridership Algorithm</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_Toc466413689 \h </w:instrText>
        </w:r>
        <w:r w:rsidR="00836229" w:rsidRPr="00B75B77">
          <w:rPr>
            <w:noProof/>
            <w:webHidden/>
          </w:rPr>
        </w:r>
        <w:r w:rsidR="00836229" w:rsidRPr="00B75B77">
          <w:rPr>
            <w:noProof/>
            <w:webHidden/>
          </w:rPr>
          <w:fldChar w:fldCharType="separate"/>
        </w:r>
        <w:r w:rsidR="0004016D">
          <w:rPr>
            <w:noProof/>
            <w:webHidden/>
          </w:rPr>
          <w:t>159</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90" w:history="1">
        <w:r w:rsidR="00836229" w:rsidRPr="00B75B77">
          <w:rPr>
            <w:rStyle w:val="Hyperlink"/>
            <w:noProof/>
          </w:rPr>
          <w:t>Figure 12</w:t>
        </w:r>
        <w:r w:rsidR="00836229" w:rsidRPr="00B75B77">
          <w:rPr>
            <w:rStyle w:val="Hyperlink"/>
            <w:noProof/>
          </w:rPr>
          <w:noBreakHyphen/>
          <w:t>2: PY7 Smart Equipment Incentives (GNI) Spillover Results Illustration</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_Toc466413690 \h </w:instrText>
        </w:r>
        <w:r w:rsidR="00836229" w:rsidRPr="00B75B77">
          <w:rPr>
            <w:noProof/>
            <w:webHidden/>
          </w:rPr>
        </w:r>
        <w:r w:rsidR="00836229" w:rsidRPr="00B75B77">
          <w:rPr>
            <w:noProof/>
            <w:webHidden/>
          </w:rPr>
          <w:fldChar w:fldCharType="separate"/>
        </w:r>
        <w:r w:rsidR="0004016D">
          <w:rPr>
            <w:noProof/>
            <w:webHidden/>
          </w:rPr>
          <w:t>161</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91" w:history="1">
        <w:r w:rsidR="00836229" w:rsidRPr="00B75B77">
          <w:rPr>
            <w:rStyle w:val="Hyperlink"/>
            <w:noProof/>
          </w:rPr>
          <w:t>Figure 14</w:t>
        </w:r>
        <w:r w:rsidR="00836229" w:rsidRPr="00B75B77">
          <w:rPr>
            <w:rStyle w:val="Hyperlink"/>
            <w:noProof/>
          </w:rPr>
          <w:noBreakHyphen/>
          <w:t>1: How Landlords First Learned of Smart Multi-Family Solutions Program (n=24)</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_Toc466413691 \h </w:instrText>
        </w:r>
        <w:r w:rsidR="00836229" w:rsidRPr="00B75B77">
          <w:rPr>
            <w:noProof/>
            <w:webHidden/>
          </w:rPr>
        </w:r>
        <w:r w:rsidR="00836229" w:rsidRPr="00B75B77">
          <w:rPr>
            <w:noProof/>
            <w:webHidden/>
          </w:rPr>
          <w:fldChar w:fldCharType="separate"/>
        </w:r>
        <w:r w:rsidR="0004016D">
          <w:rPr>
            <w:noProof/>
            <w:webHidden/>
          </w:rPr>
          <w:t>188</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92" w:history="1">
        <w:r w:rsidR="00836229" w:rsidRPr="00B75B77">
          <w:rPr>
            <w:rStyle w:val="Hyperlink"/>
            <w:noProof/>
          </w:rPr>
          <w:t>Figure 14</w:t>
        </w:r>
        <w:r w:rsidR="00836229" w:rsidRPr="00B75B77">
          <w:rPr>
            <w:rStyle w:val="Hyperlink"/>
            <w:noProof/>
          </w:rPr>
          <w:noBreakHyphen/>
          <w:t>2: Smart Multi-Family Solutions Average Participant Satisfaction over Time</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_Toc466413692 \h </w:instrText>
        </w:r>
        <w:r w:rsidR="00836229" w:rsidRPr="00B75B77">
          <w:rPr>
            <w:noProof/>
            <w:webHidden/>
          </w:rPr>
        </w:r>
        <w:r w:rsidR="00836229" w:rsidRPr="00B75B77">
          <w:rPr>
            <w:noProof/>
            <w:webHidden/>
          </w:rPr>
          <w:fldChar w:fldCharType="separate"/>
        </w:r>
        <w:r w:rsidR="0004016D">
          <w:rPr>
            <w:noProof/>
            <w:webHidden/>
          </w:rPr>
          <w:t>188</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93" w:history="1">
        <w:r w:rsidR="00836229" w:rsidRPr="00B75B77">
          <w:rPr>
            <w:rStyle w:val="Hyperlink"/>
            <w:noProof/>
          </w:rPr>
          <w:t>Figure 14</w:t>
        </w:r>
        <w:r w:rsidR="00836229" w:rsidRPr="00B75B77">
          <w:rPr>
            <w:rStyle w:val="Hyperlink"/>
            <w:noProof/>
          </w:rPr>
          <w:noBreakHyphen/>
          <w:t>3: Smart Multi-Family Solutions Participant Satisfaction with DI Equipment over Time</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_Toc466413693 \h </w:instrText>
        </w:r>
        <w:r w:rsidR="00836229" w:rsidRPr="00B75B77">
          <w:rPr>
            <w:noProof/>
            <w:webHidden/>
          </w:rPr>
        </w:r>
        <w:r w:rsidR="00836229" w:rsidRPr="00B75B77">
          <w:rPr>
            <w:noProof/>
            <w:webHidden/>
          </w:rPr>
          <w:fldChar w:fldCharType="separate"/>
        </w:r>
        <w:r w:rsidR="0004016D">
          <w:rPr>
            <w:noProof/>
            <w:webHidden/>
          </w:rPr>
          <w:t>189</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94" w:history="1">
        <w:r w:rsidR="00836229" w:rsidRPr="00B75B77">
          <w:rPr>
            <w:rStyle w:val="Hyperlink"/>
            <w:noProof/>
          </w:rPr>
          <w:t>Figure 14</w:t>
        </w:r>
        <w:r w:rsidR="00836229" w:rsidRPr="00B75B77">
          <w:rPr>
            <w:rStyle w:val="Hyperlink"/>
            <w:noProof/>
          </w:rPr>
          <w:noBreakHyphen/>
          <w:t>4: Smart Multi-Family Solutions Nonresidential Landlord Reasons for Program Participation (n=24)</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_Toc466413694 \h </w:instrText>
        </w:r>
        <w:r w:rsidR="00836229" w:rsidRPr="00B75B77">
          <w:rPr>
            <w:noProof/>
            <w:webHidden/>
          </w:rPr>
        </w:r>
        <w:r w:rsidR="00836229" w:rsidRPr="00B75B77">
          <w:rPr>
            <w:noProof/>
            <w:webHidden/>
          </w:rPr>
          <w:fldChar w:fldCharType="separate"/>
        </w:r>
        <w:r w:rsidR="0004016D">
          <w:rPr>
            <w:noProof/>
            <w:webHidden/>
          </w:rPr>
          <w:t>189</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95" w:history="1">
        <w:r w:rsidR="00836229" w:rsidRPr="00B75B77">
          <w:rPr>
            <w:rStyle w:val="Hyperlink"/>
            <w:noProof/>
          </w:rPr>
          <w:t>Figure 15</w:t>
        </w:r>
        <w:r w:rsidR="00836229" w:rsidRPr="00B75B77">
          <w:rPr>
            <w:rStyle w:val="Hyperlink"/>
            <w:noProof/>
          </w:rPr>
          <w:noBreakHyphen/>
          <w:t>1: Phase II Free Ridership Algorithm</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_Toc466413695 \h </w:instrText>
        </w:r>
        <w:r w:rsidR="00836229" w:rsidRPr="00B75B77">
          <w:rPr>
            <w:noProof/>
            <w:webHidden/>
          </w:rPr>
        </w:r>
        <w:r w:rsidR="00836229" w:rsidRPr="00B75B77">
          <w:rPr>
            <w:noProof/>
            <w:webHidden/>
          </w:rPr>
          <w:fldChar w:fldCharType="separate"/>
        </w:r>
        <w:r w:rsidR="0004016D">
          <w:rPr>
            <w:noProof/>
            <w:webHidden/>
          </w:rPr>
          <w:t>199</w:t>
        </w:r>
        <w:r w:rsidR="00836229" w:rsidRPr="00B75B77">
          <w:rPr>
            <w:noProof/>
            <w:webHidden/>
          </w:rPr>
          <w:fldChar w:fldCharType="end"/>
        </w:r>
      </w:hyperlink>
    </w:p>
    <w:p w:rsidR="00037B84" w:rsidRPr="00B75B77" w:rsidRDefault="002F3340" w:rsidP="00CF2ECE">
      <w:r w:rsidRPr="00B75B77">
        <w:fldChar w:fldCharType="end"/>
      </w:r>
    </w:p>
    <w:p w:rsidR="00037B84" w:rsidRPr="00B75B77" w:rsidRDefault="00037B84">
      <w:pPr>
        <w:jc w:val="left"/>
      </w:pPr>
      <w:r w:rsidRPr="00B75B77">
        <w:br w:type="page"/>
      </w:r>
    </w:p>
    <w:p w:rsidR="00CF2ECE" w:rsidRPr="00B75B77" w:rsidRDefault="00037B84" w:rsidP="00037B84">
      <w:pPr>
        <w:pStyle w:val="Heading1-No"/>
        <w:jc w:val="left"/>
      </w:pPr>
      <w:bookmarkStart w:id="4" w:name="_Toc466413256"/>
      <w:r w:rsidRPr="00B75B77">
        <w:lastRenderedPageBreak/>
        <w:t>List of Equations</w:t>
      </w:r>
      <w:bookmarkEnd w:id="4"/>
    </w:p>
    <w:p w:rsidR="00836229" w:rsidRPr="00B75B77" w:rsidRDefault="00037B84">
      <w:pPr>
        <w:pStyle w:val="TableofFigures"/>
        <w:tabs>
          <w:tab w:val="right" w:leader="dot" w:pos="9350"/>
        </w:tabs>
        <w:rPr>
          <w:rFonts w:asciiTheme="minorHAnsi" w:eastAsiaTheme="minorEastAsia" w:hAnsiTheme="minorHAnsi" w:cstheme="minorBidi"/>
          <w:noProof/>
          <w:sz w:val="22"/>
        </w:rPr>
      </w:pPr>
      <w:r w:rsidRPr="00B75B77">
        <w:fldChar w:fldCharType="begin"/>
      </w:r>
      <w:r w:rsidRPr="00B75B77">
        <w:instrText xml:space="preserve"> TOC \h \z \c "Equation" </w:instrText>
      </w:r>
      <w:r w:rsidRPr="00B75B77">
        <w:fldChar w:fldCharType="separate"/>
      </w:r>
      <w:hyperlink w:anchor="_Toc466413696" w:history="1">
        <w:r w:rsidR="00836229" w:rsidRPr="00B75B77">
          <w:rPr>
            <w:rStyle w:val="Hyperlink"/>
            <w:noProof/>
          </w:rPr>
          <w:t>Equation 2</w:t>
        </w:r>
        <w:r w:rsidR="00836229" w:rsidRPr="00B75B77">
          <w:rPr>
            <w:rStyle w:val="Hyperlink"/>
            <w:noProof/>
          </w:rPr>
          <w:noBreakHyphen/>
          <w:t>1: Total NTG Ratio</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_Toc466413696 \h </w:instrText>
        </w:r>
        <w:r w:rsidR="00836229" w:rsidRPr="00B75B77">
          <w:rPr>
            <w:noProof/>
            <w:webHidden/>
          </w:rPr>
        </w:r>
        <w:r w:rsidR="00836229" w:rsidRPr="00B75B77">
          <w:rPr>
            <w:noProof/>
            <w:webHidden/>
          </w:rPr>
          <w:fldChar w:fldCharType="separate"/>
        </w:r>
        <w:r w:rsidR="0004016D">
          <w:rPr>
            <w:noProof/>
            <w:webHidden/>
          </w:rPr>
          <w:t>38</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97" w:history="1">
        <w:r w:rsidR="00836229" w:rsidRPr="00B75B77">
          <w:rPr>
            <w:rStyle w:val="Hyperlink"/>
            <w:noProof/>
          </w:rPr>
          <w:t>Equation 5</w:t>
        </w:r>
        <w:r w:rsidR="00836229" w:rsidRPr="00B75B77">
          <w:rPr>
            <w:rStyle w:val="Hyperlink"/>
            <w:noProof/>
          </w:rPr>
          <w:noBreakHyphen/>
          <w:t>1: One-Way Fixed-Effects Regression Model</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_Toc466413697 \h </w:instrText>
        </w:r>
        <w:r w:rsidR="00836229" w:rsidRPr="00B75B77">
          <w:rPr>
            <w:noProof/>
            <w:webHidden/>
          </w:rPr>
        </w:r>
        <w:r w:rsidR="00836229" w:rsidRPr="00B75B77">
          <w:rPr>
            <w:noProof/>
            <w:webHidden/>
          </w:rPr>
          <w:fldChar w:fldCharType="separate"/>
        </w:r>
        <w:r w:rsidR="0004016D">
          <w:rPr>
            <w:noProof/>
            <w:webHidden/>
          </w:rPr>
          <w:t>80</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98" w:history="1">
        <w:r w:rsidR="00836229" w:rsidRPr="00B75B77">
          <w:rPr>
            <w:rStyle w:val="Hyperlink"/>
            <w:noProof/>
          </w:rPr>
          <w:t>Equation 5</w:t>
        </w:r>
        <w:r w:rsidR="00836229" w:rsidRPr="00B75B77">
          <w:rPr>
            <w:rStyle w:val="Hyperlink"/>
            <w:noProof/>
          </w:rPr>
          <w:noBreakHyphen/>
          <w:t>2: PPR Model with Monthly Fixed Effects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_Toc466413698 \h </w:instrText>
        </w:r>
        <w:r w:rsidR="00836229" w:rsidRPr="00B75B77">
          <w:rPr>
            <w:noProof/>
            <w:webHidden/>
          </w:rPr>
        </w:r>
        <w:r w:rsidR="00836229" w:rsidRPr="00B75B77">
          <w:rPr>
            <w:noProof/>
            <w:webHidden/>
          </w:rPr>
          <w:fldChar w:fldCharType="separate"/>
        </w:r>
        <w:r w:rsidR="0004016D">
          <w:rPr>
            <w:noProof/>
            <w:webHidden/>
          </w:rPr>
          <w:t>80</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699" w:history="1">
        <w:r w:rsidR="00836229" w:rsidRPr="00B75B77">
          <w:rPr>
            <w:rStyle w:val="Hyperlink"/>
            <w:noProof/>
          </w:rPr>
          <w:t>Equation 11</w:t>
        </w:r>
        <w:r w:rsidR="00836229" w:rsidRPr="00B75B77">
          <w:rPr>
            <w:rStyle w:val="Hyperlink"/>
            <w:noProof/>
          </w:rPr>
          <w:noBreakHyphen/>
          <w:t>1: Total NTG Ratio</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_Toc466413699 \h </w:instrText>
        </w:r>
        <w:r w:rsidR="00836229" w:rsidRPr="00B75B77">
          <w:rPr>
            <w:noProof/>
            <w:webHidden/>
          </w:rPr>
        </w:r>
        <w:r w:rsidR="00836229" w:rsidRPr="00B75B77">
          <w:rPr>
            <w:noProof/>
            <w:webHidden/>
          </w:rPr>
          <w:fldChar w:fldCharType="separate"/>
        </w:r>
        <w:r w:rsidR="0004016D">
          <w:rPr>
            <w:noProof/>
            <w:webHidden/>
          </w:rPr>
          <w:t>142</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700" w:history="1">
        <w:r w:rsidR="00836229" w:rsidRPr="00B75B77">
          <w:rPr>
            <w:rStyle w:val="Hyperlink"/>
            <w:noProof/>
          </w:rPr>
          <w:t>Equation 11</w:t>
        </w:r>
        <w:r w:rsidR="00836229" w:rsidRPr="00B75B77">
          <w:rPr>
            <w:rStyle w:val="Hyperlink"/>
            <w:noProof/>
          </w:rPr>
          <w:noBreakHyphen/>
          <w:t>2: Total Free Ridership</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_Toc466413700 \h </w:instrText>
        </w:r>
        <w:r w:rsidR="00836229" w:rsidRPr="00B75B77">
          <w:rPr>
            <w:noProof/>
            <w:webHidden/>
          </w:rPr>
        </w:r>
        <w:r w:rsidR="00836229" w:rsidRPr="00B75B77">
          <w:rPr>
            <w:noProof/>
            <w:webHidden/>
          </w:rPr>
          <w:fldChar w:fldCharType="separate"/>
        </w:r>
        <w:r w:rsidR="0004016D">
          <w:rPr>
            <w:noProof/>
            <w:webHidden/>
          </w:rPr>
          <w:t>142</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701" w:history="1">
        <w:r w:rsidR="00836229" w:rsidRPr="00B75B77">
          <w:rPr>
            <w:rStyle w:val="Hyperlink"/>
            <w:noProof/>
          </w:rPr>
          <w:t>Equation 11</w:t>
        </w:r>
        <w:r w:rsidR="00836229" w:rsidRPr="00B75B77">
          <w:rPr>
            <w:rStyle w:val="Hyperlink"/>
            <w:noProof/>
          </w:rPr>
          <w:noBreakHyphen/>
          <w:t>3: Spillover Savings from Installed Measures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_Toc466413701 \h </w:instrText>
        </w:r>
        <w:r w:rsidR="00836229" w:rsidRPr="00B75B77">
          <w:rPr>
            <w:noProof/>
            <w:webHidden/>
          </w:rPr>
        </w:r>
        <w:r w:rsidR="00836229" w:rsidRPr="00B75B77">
          <w:rPr>
            <w:noProof/>
            <w:webHidden/>
          </w:rPr>
          <w:fldChar w:fldCharType="separate"/>
        </w:r>
        <w:r w:rsidR="0004016D">
          <w:rPr>
            <w:noProof/>
            <w:webHidden/>
          </w:rPr>
          <w:t>145</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702" w:history="1">
        <w:r w:rsidR="00836229" w:rsidRPr="00B75B77">
          <w:rPr>
            <w:rStyle w:val="Hyperlink"/>
            <w:noProof/>
          </w:rPr>
          <w:t>Equation 11</w:t>
        </w:r>
        <w:r w:rsidR="00836229" w:rsidRPr="00B75B77">
          <w:rPr>
            <w:rStyle w:val="Hyperlink"/>
            <w:noProof/>
          </w:rPr>
          <w:noBreakHyphen/>
          <w:t>4: Overall Participant Spillover</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_Toc466413702 \h </w:instrText>
        </w:r>
        <w:r w:rsidR="00836229" w:rsidRPr="00B75B77">
          <w:rPr>
            <w:noProof/>
            <w:webHidden/>
          </w:rPr>
        </w:r>
        <w:r w:rsidR="00836229" w:rsidRPr="00B75B77">
          <w:rPr>
            <w:noProof/>
            <w:webHidden/>
          </w:rPr>
          <w:fldChar w:fldCharType="separate"/>
        </w:r>
        <w:r w:rsidR="0004016D">
          <w:rPr>
            <w:noProof/>
            <w:webHidden/>
          </w:rPr>
          <w:t>145</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703" w:history="1">
        <w:r w:rsidR="00836229" w:rsidRPr="00B75B77">
          <w:rPr>
            <w:rStyle w:val="Hyperlink"/>
            <w:noProof/>
          </w:rPr>
          <w:t>Equation 11</w:t>
        </w:r>
        <w:r w:rsidR="00836229" w:rsidRPr="00B75B77">
          <w:rPr>
            <w:rStyle w:val="Hyperlink"/>
            <w:noProof/>
          </w:rPr>
          <w:noBreakHyphen/>
          <w:t>5: Spillover Savings for the Program</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_Toc466413703 \h </w:instrText>
        </w:r>
        <w:r w:rsidR="00836229" w:rsidRPr="00B75B77">
          <w:rPr>
            <w:noProof/>
            <w:webHidden/>
          </w:rPr>
        </w:r>
        <w:r w:rsidR="00836229" w:rsidRPr="00B75B77">
          <w:rPr>
            <w:noProof/>
            <w:webHidden/>
          </w:rPr>
          <w:fldChar w:fldCharType="separate"/>
        </w:r>
        <w:r w:rsidR="0004016D">
          <w:rPr>
            <w:noProof/>
            <w:webHidden/>
          </w:rPr>
          <w:t>145</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704" w:history="1">
        <w:r w:rsidR="00836229" w:rsidRPr="00B75B77">
          <w:rPr>
            <w:rStyle w:val="Hyperlink"/>
            <w:noProof/>
          </w:rPr>
          <w:t>Equation 11</w:t>
        </w:r>
        <w:r w:rsidR="00836229" w:rsidRPr="00B75B77">
          <w:rPr>
            <w:rStyle w:val="Hyperlink"/>
            <w:noProof/>
          </w:rPr>
          <w:noBreakHyphen/>
          <w:t>6: Participant Spillover Percentage</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_Toc466413704 \h </w:instrText>
        </w:r>
        <w:r w:rsidR="00836229" w:rsidRPr="00B75B77">
          <w:rPr>
            <w:noProof/>
            <w:webHidden/>
          </w:rPr>
        </w:r>
        <w:r w:rsidR="00836229" w:rsidRPr="00B75B77">
          <w:rPr>
            <w:noProof/>
            <w:webHidden/>
          </w:rPr>
          <w:fldChar w:fldCharType="separate"/>
        </w:r>
        <w:r w:rsidR="0004016D">
          <w:rPr>
            <w:noProof/>
            <w:webHidden/>
          </w:rPr>
          <w:t>146</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705" w:history="1">
        <w:r w:rsidR="00836229" w:rsidRPr="00B75B77">
          <w:rPr>
            <w:rStyle w:val="Hyperlink"/>
            <w:noProof/>
          </w:rPr>
          <w:t>Equation 12</w:t>
        </w:r>
        <w:r w:rsidR="00836229" w:rsidRPr="00B75B77">
          <w:rPr>
            <w:rStyle w:val="Hyperlink"/>
            <w:noProof/>
          </w:rPr>
          <w:noBreakHyphen/>
          <w:t>1: Total NTG Ratio</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_Toc466413705 \h </w:instrText>
        </w:r>
        <w:r w:rsidR="00836229" w:rsidRPr="00B75B77">
          <w:rPr>
            <w:noProof/>
            <w:webHidden/>
          </w:rPr>
        </w:r>
        <w:r w:rsidR="00836229" w:rsidRPr="00B75B77">
          <w:rPr>
            <w:noProof/>
            <w:webHidden/>
          </w:rPr>
          <w:fldChar w:fldCharType="separate"/>
        </w:r>
        <w:r w:rsidR="0004016D">
          <w:rPr>
            <w:noProof/>
            <w:webHidden/>
          </w:rPr>
          <w:t>157</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706" w:history="1">
        <w:r w:rsidR="00836229" w:rsidRPr="00B75B77">
          <w:rPr>
            <w:rStyle w:val="Hyperlink"/>
            <w:noProof/>
          </w:rPr>
          <w:t>Equation 12</w:t>
        </w:r>
        <w:r w:rsidR="00836229" w:rsidRPr="00B75B77">
          <w:rPr>
            <w:rStyle w:val="Hyperlink"/>
            <w:noProof/>
          </w:rPr>
          <w:noBreakHyphen/>
          <w:t>2: Total Free Ridership</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_Toc466413706 \h </w:instrText>
        </w:r>
        <w:r w:rsidR="00836229" w:rsidRPr="00B75B77">
          <w:rPr>
            <w:noProof/>
            <w:webHidden/>
          </w:rPr>
        </w:r>
        <w:r w:rsidR="00836229" w:rsidRPr="00B75B77">
          <w:rPr>
            <w:noProof/>
            <w:webHidden/>
          </w:rPr>
          <w:fldChar w:fldCharType="separate"/>
        </w:r>
        <w:r w:rsidR="0004016D">
          <w:rPr>
            <w:noProof/>
            <w:webHidden/>
          </w:rPr>
          <w:t>157</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707" w:history="1">
        <w:r w:rsidR="00836229" w:rsidRPr="00B75B77">
          <w:rPr>
            <w:rStyle w:val="Hyperlink"/>
            <w:noProof/>
          </w:rPr>
          <w:t>Equation 12</w:t>
        </w:r>
        <w:r w:rsidR="00836229" w:rsidRPr="00B75B77">
          <w:rPr>
            <w:rStyle w:val="Hyperlink"/>
            <w:noProof/>
          </w:rPr>
          <w:noBreakHyphen/>
          <w:t>3: Spillover Savings from Installed Measures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_Toc466413707 \h </w:instrText>
        </w:r>
        <w:r w:rsidR="00836229" w:rsidRPr="00B75B77">
          <w:rPr>
            <w:noProof/>
            <w:webHidden/>
          </w:rPr>
        </w:r>
        <w:r w:rsidR="00836229" w:rsidRPr="00B75B77">
          <w:rPr>
            <w:noProof/>
            <w:webHidden/>
          </w:rPr>
          <w:fldChar w:fldCharType="separate"/>
        </w:r>
        <w:r w:rsidR="0004016D">
          <w:rPr>
            <w:noProof/>
            <w:webHidden/>
          </w:rPr>
          <w:t>160</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708" w:history="1">
        <w:r w:rsidR="00836229" w:rsidRPr="00B75B77">
          <w:rPr>
            <w:rStyle w:val="Hyperlink"/>
            <w:noProof/>
          </w:rPr>
          <w:t>Equation 12</w:t>
        </w:r>
        <w:r w:rsidR="00836229" w:rsidRPr="00B75B77">
          <w:rPr>
            <w:rStyle w:val="Hyperlink"/>
            <w:noProof/>
          </w:rPr>
          <w:noBreakHyphen/>
          <w:t>4: Overall Participant Spillover</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_Toc466413708 \h </w:instrText>
        </w:r>
        <w:r w:rsidR="00836229" w:rsidRPr="00B75B77">
          <w:rPr>
            <w:noProof/>
            <w:webHidden/>
          </w:rPr>
        </w:r>
        <w:r w:rsidR="00836229" w:rsidRPr="00B75B77">
          <w:rPr>
            <w:noProof/>
            <w:webHidden/>
          </w:rPr>
          <w:fldChar w:fldCharType="separate"/>
        </w:r>
        <w:r w:rsidR="0004016D">
          <w:rPr>
            <w:noProof/>
            <w:webHidden/>
          </w:rPr>
          <w:t>160</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709" w:history="1">
        <w:r w:rsidR="00836229" w:rsidRPr="00B75B77">
          <w:rPr>
            <w:rStyle w:val="Hyperlink"/>
            <w:noProof/>
          </w:rPr>
          <w:t>Equation 12</w:t>
        </w:r>
        <w:r w:rsidR="00836229" w:rsidRPr="00B75B77">
          <w:rPr>
            <w:rStyle w:val="Hyperlink"/>
            <w:noProof/>
          </w:rPr>
          <w:noBreakHyphen/>
          <w:t>5: Spillover Savings for the Program</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_Toc466413709 \h </w:instrText>
        </w:r>
        <w:r w:rsidR="00836229" w:rsidRPr="00B75B77">
          <w:rPr>
            <w:noProof/>
            <w:webHidden/>
          </w:rPr>
        </w:r>
        <w:r w:rsidR="00836229" w:rsidRPr="00B75B77">
          <w:rPr>
            <w:noProof/>
            <w:webHidden/>
          </w:rPr>
          <w:fldChar w:fldCharType="separate"/>
        </w:r>
        <w:r w:rsidR="0004016D">
          <w:rPr>
            <w:noProof/>
            <w:webHidden/>
          </w:rPr>
          <w:t>160</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710" w:history="1">
        <w:r w:rsidR="00836229" w:rsidRPr="00B75B77">
          <w:rPr>
            <w:rStyle w:val="Hyperlink"/>
            <w:noProof/>
          </w:rPr>
          <w:t>Equation 12</w:t>
        </w:r>
        <w:r w:rsidR="00836229" w:rsidRPr="00B75B77">
          <w:rPr>
            <w:rStyle w:val="Hyperlink"/>
            <w:noProof/>
          </w:rPr>
          <w:noBreakHyphen/>
          <w:t>6: Participant Spillover Percentage</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_Toc466413710 \h </w:instrText>
        </w:r>
        <w:r w:rsidR="00836229" w:rsidRPr="00B75B77">
          <w:rPr>
            <w:noProof/>
            <w:webHidden/>
          </w:rPr>
        </w:r>
        <w:r w:rsidR="00836229" w:rsidRPr="00B75B77">
          <w:rPr>
            <w:noProof/>
            <w:webHidden/>
          </w:rPr>
          <w:fldChar w:fldCharType="separate"/>
        </w:r>
        <w:r w:rsidR="0004016D">
          <w:rPr>
            <w:noProof/>
            <w:webHidden/>
          </w:rPr>
          <w:t>161</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711" w:history="1">
        <w:r w:rsidR="00836229" w:rsidRPr="00B75B77">
          <w:rPr>
            <w:rStyle w:val="Hyperlink"/>
            <w:noProof/>
          </w:rPr>
          <w:t>Equation 14</w:t>
        </w:r>
        <w:r w:rsidR="00836229" w:rsidRPr="00B75B77">
          <w:rPr>
            <w:rStyle w:val="Hyperlink"/>
            <w:noProof/>
          </w:rPr>
          <w:noBreakHyphen/>
          <w:t>1: Total NTG Ratio</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_Toc466413711 \h </w:instrText>
        </w:r>
        <w:r w:rsidR="00836229" w:rsidRPr="00B75B77">
          <w:rPr>
            <w:noProof/>
            <w:webHidden/>
          </w:rPr>
        </w:r>
        <w:r w:rsidR="00836229" w:rsidRPr="00B75B77">
          <w:rPr>
            <w:noProof/>
            <w:webHidden/>
          </w:rPr>
          <w:fldChar w:fldCharType="separate"/>
        </w:r>
        <w:r w:rsidR="0004016D">
          <w:rPr>
            <w:noProof/>
            <w:webHidden/>
          </w:rPr>
          <w:t>183</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712" w:history="1">
        <w:r w:rsidR="00836229" w:rsidRPr="00B75B77">
          <w:rPr>
            <w:rStyle w:val="Hyperlink"/>
            <w:noProof/>
          </w:rPr>
          <w:t>Equation 15</w:t>
        </w:r>
        <w:r w:rsidR="00836229" w:rsidRPr="00B75B77">
          <w:rPr>
            <w:rStyle w:val="Hyperlink"/>
            <w:noProof/>
          </w:rPr>
          <w:noBreakHyphen/>
          <w:t>1: Total NTG Ratio</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_Toc466413712 \h </w:instrText>
        </w:r>
        <w:r w:rsidR="00836229" w:rsidRPr="00B75B77">
          <w:rPr>
            <w:noProof/>
            <w:webHidden/>
          </w:rPr>
        </w:r>
        <w:r w:rsidR="00836229" w:rsidRPr="00B75B77">
          <w:rPr>
            <w:noProof/>
            <w:webHidden/>
          </w:rPr>
          <w:fldChar w:fldCharType="separate"/>
        </w:r>
        <w:r w:rsidR="0004016D">
          <w:rPr>
            <w:noProof/>
            <w:webHidden/>
          </w:rPr>
          <w:t>197</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713" w:history="1">
        <w:r w:rsidR="00836229" w:rsidRPr="00B75B77">
          <w:rPr>
            <w:rStyle w:val="Hyperlink"/>
            <w:noProof/>
          </w:rPr>
          <w:t>Equation 15</w:t>
        </w:r>
        <w:r w:rsidR="00836229" w:rsidRPr="00B75B77">
          <w:rPr>
            <w:rStyle w:val="Hyperlink"/>
            <w:noProof/>
          </w:rPr>
          <w:noBreakHyphen/>
          <w:t>2: Total Free Ridership</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_Toc466413713 \h </w:instrText>
        </w:r>
        <w:r w:rsidR="00836229" w:rsidRPr="00B75B77">
          <w:rPr>
            <w:noProof/>
            <w:webHidden/>
          </w:rPr>
        </w:r>
        <w:r w:rsidR="00836229" w:rsidRPr="00B75B77">
          <w:rPr>
            <w:noProof/>
            <w:webHidden/>
          </w:rPr>
          <w:fldChar w:fldCharType="separate"/>
        </w:r>
        <w:r w:rsidR="0004016D">
          <w:rPr>
            <w:noProof/>
            <w:webHidden/>
          </w:rPr>
          <w:t>197</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714" w:history="1">
        <w:r w:rsidR="00836229" w:rsidRPr="00B75B77">
          <w:rPr>
            <w:rStyle w:val="Hyperlink"/>
            <w:noProof/>
          </w:rPr>
          <w:t>Equation 15</w:t>
        </w:r>
        <w:r w:rsidR="00836229" w:rsidRPr="00B75B77">
          <w:rPr>
            <w:rStyle w:val="Hyperlink"/>
            <w:noProof/>
          </w:rPr>
          <w:noBreakHyphen/>
          <w:t>3: Spillover Savings from Installed Measures</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_Toc466413714 \h </w:instrText>
        </w:r>
        <w:r w:rsidR="00836229" w:rsidRPr="00B75B77">
          <w:rPr>
            <w:noProof/>
            <w:webHidden/>
          </w:rPr>
        </w:r>
        <w:r w:rsidR="00836229" w:rsidRPr="00B75B77">
          <w:rPr>
            <w:noProof/>
            <w:webHidden/>
          </w:rPr>
          <w:fldChar w:fldCharType="separate"/>
        </w:r>
        <w:r w:rsidR="0004016D">
          <w:rPr>
            <w:noProof/>
            <w:webHidden/>
          </w:rPr>
          <w:t>200</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715" w:history="1">
        <w:r w:rsidR="00836229" w:rsidRPr="00B75B77">
          <w:rPr>
            <w:rStyle w:val="Hyperlink"/>
            <w:noProof/>
          </w:rPr>
          <w:t>Equation 15</w:t>
        </w:r>
        <w:r w:rsidR="00836229" w:rsidRPr="00B75B77">
          <w:rPr>
            <w:rStyle w:val="Hyperlink"/>
            <w:noProof/>
          </w:rPr>
          <w:noBreakHyphen/>
          <w:t>4: Overall Participant Spillover</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_Toc466413715 \h </w:instrText>
        </w:r>
        <w:r w:rsidR="00836229" w:rsidRPr="00B75B77">
          <w:rPr>
            <w:noProof/>
            <w:webHidden/>
          </w:rPr>
        </w:r>
        <w:r w:rsidR="00836229" w:rsidRPr="00B75B77">
          <w:rPr>
            <w:noProof/>
            <w:webHidden/>
          </w:rPr>
          <w:fldChar w:fldCharType="separate"/>
        </w:r>
        <w:r w:rsidR="0004016D">
          <w:rPr>
            <w:noProof/>
            <w:webHidden/>
          </w:rPr>
          <w:t>200</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716" w:history="1">
        <w:r w:rsidR="00836229" w:rsidRPr="00B75B77">
          <w:rPr>
            <w:rStyle w:val="Hyperlink"/>
            <w:noProof/>
          </w:rPr>
          <w:t>Equation 15</w:t>
        </w:r>
        <w:r w:rsidR="00836229" w:rsidRPr="00B75B77">
          <w:rPr>
            <w:rStyle w:val="Hyperlink"/>
            <w:noProof/>
          </w:rPr>
          <w:noBreakHyphen/>
          <w:t>5: Spillover Savings for the Program</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_Toc466413716 \h </w:instrText>
        </w:r>
        <w:r w:rsidR="00836229" w:rsidRPr="00B75B77">
          <w:rPr>
            <w:noProof/>
            <w:webHidden/>
          </w:rPr>
        </w:r>
        <w:r w:rsidR="00836229" w:rsidRPr="00B75B77">
          <w:rPr>
            <w:noProof/>
            <w:webHidden/>
          </w:rPr>
          <w:fldChar w:fldCharType="separate"/>
        </w:r>
        <w:r w:rsidR="0004016D">
          <w:rPr>
            <w:noProof/>
            <w:webHidden/>
          </w:rPr>
          <w:t>200</w:t>
        </w:r>
        <w:r w:rsidR="00836229" w:rsidRPr="00B75B77">
          <w:rPr>
            <w:noProof/>
            <w:webHidden/>
          </w:rPr>
          <w:fldChar w:fldCharType="end"/>
        </w:r>
      </w:hyperlink>
    </w:p>
    <w:p w:rsidR="00836229" w:rsidRPr="00B75B77" w:rsidRDefault="00237810">
      <w:pPr>
        <w:pStyle w:val="TableofFigures"/>
        <w:tabs>
          <w:tab w:val="right" w:leader="dot" w:pos="9350"/>
        </w:tabs>
        <w:rPr>
          <w:rFonts w:asciiTheme="minorHAnsi" w:eastAsiaTheme="minorEastAsia" w:hAnsiTheme="minorHAnsi" w:cstheme="minorBidi"/>
          <w:noProof/>
          <w:sz w:val="22"/>
        </w:rPr>
      </w:pPr>
      <w:hyperlink w:anchor="_Toc466413717" w:history="1">
        <w:r w:rsidR="00836229" w:rsidRPr="00B75B77">
          <w:rPr>
            <w:rStyle w:val="Hyperlink"/>
            <w:noProof/>
          </w:rPr>
          <w:t>Equation 15</w:t>
        </w:r>
        <w:r w:rsidR="00836229" w:rsidRPr="00B75B77">
          <w:rPr>
            <w:rStyle w:val="Hyperlink"/>
            <w:noProof/>
          </w:rPr>
          <w:noBreakHyphen/>
          <w:t>6: Participant Spillover Percentage</w:t>
        </w:r>
        <w:r w:rsidR="00836229" w:rsidRPr="00B75B77">
          <w:rPr>
            <w:noProof/>
            <w:webHidden/>
          </w:rPr>
          <w:tab/>
        </w:r>
        <w:r w:rsidR="00836229" w:rsidRPr="00B75B77">
          <w:rPr>
            <w:noProof/>
            <w:webHidden/>
          </w:rPr>
          <w:fldChar w:fldCharType="begin"/>
        </w:r>
        <w:r w:rsidR="00836229" w:rsidRPr="00B75B77">
          <w:rPr>
            <w:noProof/>
            <w:webHidden/>
          </w:rPr>
          <w:instrText xml:space="preserve"> PAGEREF _Toc466413717 \h </w:instrText>
        </w:r>
        <w:r w:rsidR="00836229" w:rsidRPr="00B75B77">
          <w:rPr>
            <w:noProof/>
            <w:webHidden/>
          </w:rPr>
        </w:r>
        <w:r w:rsidR="00836229" w:rsidRPr="00B75B77">
          <w:rPr>
            <w:noProof/>
            <w:webHidden/>
          </w:rPr>
          <w:fldChar w:fldCharType="separate"/>
        </w:r>
        <w:r w:rsidR="0004016D">
          <w:rPr>
            <w:noProof/>
            <w:webHidden/>
          </w:rPr>
          <w:t>200</w:t>
        </w:r>
        <w:r w:rsidR="00836229" w:rsidRPr="00B75B77">
          <w:rPr>
            <w:noProof/>
            <w:webHidden/>
          </w:rPr>
          <w:fldChar w:fldCharType="end"/>
        </w:r>
      </w:hyperlink>
    </w:p>
    <w:p w:rsidR="00CF2ECE" w:rsidRPr="00B75B77" w:rsidRDefault="00037B84" w:rsidP="00CF2ECE">
      <w:r w:rsidRPr="00B75B77">
        <w:fldChar w:fldCharType="end"/>
      </w:r>
    </w:p>
    <w:p w:rsidR="00CF2ECE" w:rsidRPr="00B75B77" w:rsidRDefault="00CF2ECE" w:rsidP="00CF2ECE">
      <w:r w:rsidRPr="00B75B77">
        <w:br w:type="page"/>
      </w:r>
    </w:p>
    <w:p w:rsidR="00CA641F" w:rsidRPr="00B75B77" w:rsidRDefault="00CA641F" w:rsidP="002C2973">
      <w:pPr>
        <w:pStyle w:val="Heading1-No"/>
        <w:jc w:val="left"/>
      </w:pPr>
      <w:bookmarkStart w:id="5" w:name="_Toc466413257"/>
      <w:r w:rsidRPr="00B75B77">
        <w:lastRenderedPageBreak/>
        <w:t>Acronyms</w:t>
      </w:r>
      <w:bookmarkEnd w:id="5"/>
    </w:p>
    <w:tbl>
      <w:tblPr>
        <w:tblW w:w="9418" w:type="dxa"/>
        <w:tblInd w:w="93" w:type="dxa"/>
        <w:tblLook w:val="00A0" w:firstRow="1" w:lastRow="0" w:firstColumn="1" w:lastColumn="0" w:noHBand="0" w:noVBand="0"/>
      </w:tblPr>
      <w:tblGrid>
        <w:gridCol w:w="2016"/>
        <w:gridCol w:w="7402"/>
      </w:tblGrid>
      <w:tr w:rsidR="00921863" w:rsidRPr="00B75B77" w:rsidTr="006F56CD">
        <w:trPr>
          <w:trHeight w:val="144"/>
        </w:trPr>
        <w:tc>
          <w:tcPr>
            <w:tcW w:w="2016" w:type="dxa"/>
            <w:tcBorders>
              <w:top w:val="nil"/>
              <w:left w:val="nil"/>
              <w:bottom w:val="nil"/>
              <w:right w:val="nil"/>
            </w:tcBorders>
            <w:noWrap/>
            <w:vAlign w:val="center"/>
          </w:tcPr>
          <w:p w:rsidR="00921863" w:rsidRPr="00B75B77" w:rsidRDefault="00921863" w:rsidP="006F56CD">
            <w:pPr>
              <w:spacing w:after="80"/>
              <w:jc w:val="left"/>
              <w:rPr>
                <w:rFonts w:cstheme="minorHAnsi"/>
                <w:color w:val="000000"/>
              </w:rPr>
            </w:pPr>
            <w:r w:rsidRPr="00B75B77">
              <w:rPr>
                <w:rFonts w:cstheme="minorHAnsi"/>
                <w:color w:val="000000"/>
              </w:rPr>
              <w:t>ADC</w:t>
            </w:r>
          </w:p>
        </w:tc>
        <w:tc>
          <w:tcPr>
            <w:tcW w:w="7402" w:type="dxa"/>
            <w:tcBorders>
              <w:top w:val="nil"/>
              <w:left w:val="nil"/>
              <w:bottom w:val="nil"/>
              <w:right w:val="nil"/>
            </w:tcBorders>
            <w:noWrap/>
            <w:vAlign w:val="center"/>
          </w:tcPr>
          <w:p w:rsidR="00921863" w:rsidRPr="00B75B77" w:rsidRDefault="00921863" w:rsidP="006F56CD">
            <w:pPr>
              <w:spacing w:after="80"/>
              <w:jc w:val="left"/>
              <w:rPr>
                <w:rFonts w:cstheme="minorHAnsi"/>
                <w:color w:val="000000"/>
              </w:rPr>
            </w:pPr>
            <w:r w:rsidRPr="00B75B77">
              <w:rPr>
                <w:rFonts w:cstheme="minorHAnsi"/>
                <w:color w:val="000000"/>
              </w:rPr>
              <w:t>Average Daily Consumption</w:t>
            </w:r>
          </w:p>
        </w:tc>
      </w:tr>
      <w:tr w:rsidR="000530C5" w:rsidRPr="00B75B77" w:rsidTr="006F56CD">
        <w:trPr>
          <w:trHeight w:val="144"/>
        </w:trPr>
        <w:tc>
          <w:tcPr>
            <w:tcW w:w="2016" w:type="dxa"/>
            <w:tcBorders>
              <w:top w:val="nil"/>
              <w:left w:val="nil"/>
              <w:bottom w:val="nil"/>
              <w:right w:val="nil"/>
            </w:tcBorders>
            <w:noWrap/>
            <w:vAlign w:val="center"/>
          </w:tcPr>
          <w:p w:rsidR="000530C5" w:rsidRPr="00B75B77" w:rsidRDefault="0019726A" w:rsidP="006F56CD">
            <w:pPr>
              <w:spacing w:after="80"/>
              <w:jc w:val="left"/>
              <w:rPr>
                <w:rFonts w:cstheme="minorHAnsi"/>
                <w:color w:val="000000"/>
              </w:rPr>
            </w:pPr>
            <w:r w:rsidRPr="00B75B77">
              <w:rPr>
                <w:rFonts w:cstheme="minorHAnsi"/>
                <w:color w:val="000000"/>
              </w:rPr>
              <w:t>AMI</w:t>
            </w:r>
          </w:p>
        </w:tc>
        <w:tc>
          <w:tcPr>
            <w:tcW w:w="7402" w:type="dxa"/>
            <w:tcBorders>
              <w:top w:val="nil"/>
              <w:left w:val="nil"/>
              <w:bottom w:val="nil"/>
              <w:right w:val="nil"/>
            </w:tcBorders>
            <w:noWrap/>
            <w:vAlign w:val="center"/>
          </w:tcPr>
          <w:p w:rsidR="000530C5" w:rsidRPr="00B75B77" w:rsidRDefault="0019726A" w:rsidP="006F56CD">
            <w:pPr>
              <w:spacing w:after="80"/>
              <w:jc w:val="left"/>
              <w:rPr>
                <w:rFonts w:cstheme="minorHAnsi"/>
                <w:color w:val="000000"/>
              </w:rPr>
            </w:pPr>
            <w:r w:rsidRPr="00B75B77">
              <w:rPr>
                <w:rFonts w:cstheme="minorHAnsi"/>
                <w:color w:val="000000"/>
              </w:rPr>
              <w:t>Advanced Metering Infrastructure</w:t>
            </w:r>
          </w:p>
        </w:tc>
      </w:tr>
      <w:tr w:rsidR="0019726A" w:rsidRPr="00B75B77" w:rsidTr="006F56CD">
        <w:trPr>
          <w:trHeight w:val="144"/>
        </w:trPr>
        <w:tc>
          <w:tcPr>
            <w:tcW w:w="2016" w:type="dxa"/>
            <w:tcBorders>
              <w:top w:val="nil"/>
              <w:left w:val="nil"/>
              <w:bottom w:val="nil"/>
              <w:right w:val="nil"/>
            </w:tcBorders>
            <w:noWrap/>
            <w:vAlign w:val="center"/>
          </w:tcPr>
          <w:p w:rsidR="0019726A" w:rsidRPr="00B75B77" w:rsidRDefault="0019726A" w:rsidP="0019726A">
            <w:pPr>
              <w:spacing w:after="80"/>
              <w:jc w:val="left"/>
              <w:rPr>
                <w:rFonts w:cstheme="minorHAnsi"/>
                <w:color w:val="000000"/>
              </w:rPr>
            </w:pPr>
            <w:r w:rsidRPr="00B75B77">
              <w:rPr>
                <w:rFonts w:cstheme="minorHAnsi"/>
                <w:color w:val="000000"/>
              </w:rPr>
              <w:t>ARCA</w:t>
            </w:r>
          </w:p>
        </w:tc>
        <w:tc>
          <w:tcPr>
            <w:tcW w:w="7402" w:type="dxa"/>
            <w:tcBorders>
              <w:top w:val="nil"/>
              <w:left w:val="nil"/>
              <w:bottom w:val="nil"/>
              <w:right w:val="nil"/>
            </w:tcBorders>
            <w:noWrap/>
            <w:vAlign w:val="center"/>
          </w:tcPr>
          <w:p w:rsidR="0019726A" w:rsidRPr="00B75B77" w:rsidRDefault="0019726A" w:rsidP="0019726A">
            <w:pPr>
              <w:spacing w:after="80"/>
              <w:jc w:val="left"/>
              <w:rPr>
                <w:rFonts w:cstheme="minorHAnsi"/>
                <w:color w:val="000000"/>
              </w:rPr>
            </w:pPr>
            <w:r w:rsidRPr="00B75B77">
              <w:rPr>
                <w:rFonts w:cstheme="minorHAnsi"/>
                <w:color w:val="000000"/>
              </w:rPr>
              <w:t>Appliance Recycling Centers of America</w:t>
            </w:r>
          </w:p>
        </w:tc>
      </w:tr>
      <w:tr w:rsidR="0019726A" w:rsidRPr="00B75B77" w:rsidTr="006F56CD">
        <w:trPr>
          <w:trHeight w:val="144"/>
        </w:trPr>
        <w:tc>
          <w:tcPr>
            <w:tcW w:w="2016" w:type="dxa"/>
            <w:tcBorders>
              <w:top w:val="nil"/>
              <w:left w:val="nil"/>
              <w:bottom w:val="nil"/>
              <w:right w:val="nil"/>
            </w:tcBorders>
            <w:noWrap/>
            <w:vAlign w:val="center"/>
          </w:tcPr>
          <w:p w:rsidR="0019726A" w:rsidRPr="00B75B77" w:rsidRDefault="0019726A" w:rsidP="0019726A">
            <w:pPr>
              <w:spacing w:after="80"/>
              <w:jc w:val="left"/>
              <w:rPr>
                <w:rFonts w:cstheme="minorHAnsi"/>
                <w:color w:val="000000"/>
              </w:rPr>
            </w:pPr>
            <w:r w:rsidRPr="00B75B77">
              <w:rPr>
                <w:rFonts w:cstheme="minorHAnsi"/>
                <w:color w:val="000000"/>
              </w:rPr>
              <w:t>ASHP</w:t>
            </w:r>
          </w:p>
        </w:tc>
        <w:tc>
          <w:tcPr>
            <w:tcW w:w="7402" w:type="dxa"/>
            <w:tcBorders>
              <w:top w:val="nil"/>
              <w:left w:val="nil"/>
              <w:bottom w:val="nil"/>
              <w:right w:val="nil"/>
            </w:tcBorders>
            <w:noWrap/>
            <w:vAlign w:val="center"/>
          </w:tcPr>
          <w:p w:rsidR="0019726A" w:rsidRPr="00B75B77" w:rsidRDefault="0019726A" w:rsidP="0019726A">
            <w:pPr>
              <w:spacing w:after="80"/>
              <w:jc w:val="left"/>
              <w:rPr>
                <w:rFonts w:cstheme="minorHAnsi"/>
                <w:color w:val="000000"/>
              </w:rPr>
            </w:pPr>
            <w:r w:rsidRPr="00B75B77">
              <w:rPr>
                <w:rFonts w:cstheme="minorHAnsi"/>
                <w:color w:val="000000"/>
              </w:rPr>
              <w:t>Air Source Heat Pump</w:t>
            </w:r>
          </w:p>
        </w:tc>
      </w:tr>
      <w:tr w:rsidR="0019726A" w:rsidRPr="00B75B77" w:rsidTr="006F56CD">
        <w:trPr>
          <w:trHeight w:val="144"/>
        </w:trPr>
        <w:tc>
          <w:tcPr>
            <w:tcW w:w="2016" w:type="dxa"/>
            <w:tcBorders>
              <w:top w:val="nil"/>
              <w:left w:val="nil"/>
              <w:bottom w:val="nil"/>
              <w:right w:val="nil"/>
            </w:tcBorders>
            <w:noWrap/>
            <w:vAlign w:val="center"/>
          </w:tcPr>
          <w:p w:rsidR="0019726A" w:rsidRPr="00B75B77" w:rsidRDefault="0019726A" w:rsidP="0019726A">
            <w:pPr>
              <w:spacing w:after="80"/>
              <w:jc w:val="left"/>
              <w:rPr>
                <w:rFonts w:cstheme="minorHAnsi"/>
                <w:color w:val="000000"/>
              </w:rPr>
            </w:pPr>
            <w:r w:rsidRPr="00B75B77">
              <w:rPr>
                <w:rFonts w:cstheme="minorHAnsi"/>
                <w:color w:val="000000"/>
              </w:rPr>
              <w:t>CAC</w:t>
            </w:r>
          </w:p>
        </w:tc>
        <w:tc>
          <w:tcPr>
            <w:tcW w:w="7402" w:type="dxa"/>
            <w:tcBorders>
              <w:top w:val="nil"/>
              <w:left w:val="nil"/>
              <w:bottom w:val="nil"/>
              <w:right w:val="nil"/>
            </w:tcBorders>
            <w:noWrap/>
            <w:vAlign w:val="center"/>
          </w:tcPr>
          <w:p w:rsidR="0019726A" w:rsidRPr="00B75B77" w:rsidRDefault="0019726A" w:rsidP="0019726A">
            <w:pPr>
              <w:spacing w:after="80"/>
              <w:jc w:val="left"/>
              <w:rPr>
                <w:rFonts w:cstheme="minorHAnsi"/>
                <w:color w:val="000000"/>
              </w:rPr>
            </w:pPr>
            <w:r w:rsidRPr="00B75B77">
              <w:rPr>
                <w:rFonts w:cstheme="minorHAnsi"/>
                <w:color w:val="000000"/>
              </w:rPr>
              <w:t>Central Air Conditioning</w:t>
            </w:r>
          </w:p>
        </w:tc>
      </w:tr>
      <w:tr w:rsidR="0019726A" w:rsidRPr="00B75B77" w:rsidTr="006F56CD">
        <w:trPr>
          <w:trHeight w:val="144"/>
        </w:trPr>
        <w:tc>
          <w:tcPr>
            <w:tcW w:w="2016" w:type="dxa"/>
            <w:tcBorders>
              <w:top w:val="nil"/>
              <w:left w:val="nil"/>
              <w:bottom w:val="nil"/>
              <w:right w:val="nil"/>
            </w:tcBorders>
            <w:noWrap/>
            <w:vAlign w:val="center"/>
          </w:tcPr>
          <w:p w:rsidR="0019726A" w:rsidRPr="00B75B77" w:rsidRDefault="0019726A" w:rsidP="006F56CD">
            <w:pPr>
              <w:spacing w:after="80"/>
              <w:jc w:val="left"/>
              <w:rPr>
                <w:rFonts w:cstheme="minorHAnsi"/>
                <w:color w:val="000000"/>
              </w:rPr>
            </w:pPr>
            <w:r w:rsidRPr="00B75B77">
              <w:rPr>
                <w:rFonts w:cstheme="minorHAnsi"/>
                <w:color w:val="000000"/>
              </w:rPr>
              <w:t>CAP</w:t>
            </w:r>
          </w:p>
        </w:tc>
        <w:tc>
          <w:tcPr>
            <w:tcW w:w="7402" w:type="dxa"/>
            <w:tcBorders>
              <w:top w:val="nil"/>
              <w:left w:val="nil"/>
              <w:bottom w:val="nil"/>
              <w:right w:val="nil"/>
            </w:tcBorders>
            <w:noWrap/>
            <w:vAlign w:val="center"/>
          </w:tcPr>
          <w:p w:rsidR="0019726A" w:rsidRPr="00B75B77" w:rsidRDefault="0019726A" w:rsidP="006F56CD">
            <w:pPr>
              <w:spacing w:after="80"/>
              <w:jc w:val="left"/>
              <w:rPr>
                <w:rFonts w:cstheme="minorHAnsi"/>
                <w:color w:val="000000"/>
              </w:rPr>
            </w:pPr>
            <w:r w:rsidRPr="00B75B77">
              <w:rPr>
                <w:rFonts w:cstheme="minorHAnsi"/>
                <w:color w:val="000000"/>
              </w:rPr>
              <w:t>Customer Assistance Program</w:t>
            </w:r>
          </w:p>
        </w:tc>
      </w:tr>
      <w:tr w:rsidR="00A355C0" w:rsidRPr="00B75B77" w:rsidTr="006F56CD">
        <w:trPr>
          <w:trHeight w:val="144"/>
        </w:trPr>
        <w:tc>
          <w:tcPr>
            <w:tcW w:w="2016" w:type="dxa"/>
            <w:tcBorders>
              <w:top w:val="nil"/>
              <w:left w:val="nil"/>
              <w:bottom w:val="nil"/>
              <w:right w:val="nil"/>
            </w:tcBorders>
            <w:noWrap/>
            <w:vAlign w:val="center"/>
          </w:tcPr>
          <w:p w:rsidR="00A355C0" w:rsidRPr="00B75B77" w:rsidRDefault="00A355C0" w:rsidP="006F56CD">
            <w:pPr>
              <w:spacing w:after="80"/>
              <w:jc w:val="left"/>
            </w:pPr>
            <w:r w:rsidRPr="00B75B77">
              <w:rPr>
                <w:rFonts w:cstheme="minorHAnsi"/>
                <w:color w:val="000000"/>
              </w:rPr>
              <w:t>C&amp;I</w:t>
            </w:r>
          </w:p>
        </w:tc>
        <w:tc>
          <w:tcPr>
            <w:tcW w:w="7402" w:type="dxa"/>
            <w:tcBorders>
              <w:top w:val="nil"/>
              <w:left w:val="nil"/>
              <w:bottom w:val="nil"/>
              <w:right w:val="nil"/>
            </w:tcBorders>
            <w:noWrap/>
            <w:vAlign w:val="center"/>
          </w:tcPr>
          <w:p w:rsidR="00A355C0" w:rsidRPr="00B75B77" w:rsidRDefault="00A355C0" w:rsidP="006F56CD">
            <w:pPr>
              <w:spacing w:after="80"/>
              <w:jc w:val="left"/>
            </w:pPr>
            <w:r w:rsidRPr="00B75B77">
              <w:rPr>
                <w:rFonts w:cstheme="minorHAnsi"/>
                <w:color w:val="000000"/>
              </w:rPr>
              <w:t>Commercial and Industrial</w:t>
            </w:r>
          </w:p>
        </w:tc>
      </w:tr>
      <w:tr w:rsidR="0019726A" w:rsidRPr="00B75B77" w:rsidTr="006F56CD">
        <w:trPr>
          <w:trHeight w:val="144"/>
        </w:trPr>
        <w:tc>
          <w:tcPr>
            <w:tcW w:w="2016" w:type="dxa"/>
            <w:tcBorders>
              <w:top w:val="nil"/>
              <w:left w:val="nil"/>
              <w:bottom w:val="nil"/>
              <w:right w:val="nil"/>
            </w:tcBorders>
            <w:noWrap/>
            <w:vAlign w:val="center"/>
          </w:tcPr>
          <w:p w:rsidR="0019726A" w:rsidRPr="00B75B77" w:rsidRDefault="0019726A" w:rsidP="006F56CD">
            <w:pPr>
              <w:spacing w:after="80"/>
              <w:jc w:val="left"/>
              <w:rPr>
                <w:rFonts w:cstheme="minorHAnsi"/>
                <w:color w:val="000000"/>
              </w:rPr>
            </w:pPr>
            <w:r w:rsidRPr="00B75B77">
              <w:rPr>
                <w:rFonts w:cstheme="minorHAnsi"/>
                <w:color w:val="000000"/>
              </w:rPr>
              <w:t>CF</w:t>
            </w:r>
          </w:p>
        </w:tc>
        <w:tc>
          <w:tcPr>
            <w:tcW w:w="7402" w:type="dxa"/>
            <w:tcBorders>
              <w:top w:val="nil"/>
              <w:left w:val="nil"/>
              <w:bottom w:val="nil"/>
              <w:right w:val="nil"/>
            </w:tcBorders>
            <w:noWrap/>
            <w:vAlign w:val="center"/>
          </w:tcPr>
          <w:p w:rsidR="0019726A" w:rsidRPr="00B75B77" w:rsidRDefault="0019726A" w:rsidP="006F56CD">
            <w:pPr>
              <w:spacing w:after="80"/>
              <w:jc w:val="left"/>
              <w:rPr>
                <w:rFonts w:cstheme="minorHAnsi"/>
                <w:color w:val="000000"/>
              </w:rPr>
            </w:pPr>
            <w:r w:rsidRPr="00B75B77">
              <w:rPr>
                <w:rFonts w:cstheme="minorHAnsi"/>
                <w:color w:val="000000"/>
              </w:rPr>
              <w:t>Coincidence Factor</w:t>
            </w:r>
          </w:p>
        </w:tc>
      </w:tr>
      <w:tr w:rsidR="00A355C0" w:rsidRPr="00B75B77" w:rsidTr="006F56CD">
        <w:trPr>
          <w:trHeight w:val="144"/>
        </w:trPr>
        <w:tc>
          <w:tcPr>
            <w:tcW w:w="2016" w:type="dxa"/>
            <w:tcBorders>
              <w:top w:val="nil"/>
              <w:left w:val="nil"/>
              <w:bottom w:val="nil"/>
              <w:right w:val="nil"/>
            </w:tcBorders>
            <w:noWrap/>
            <w:vAlign w:val="center"/>
          </w:tcPr>
          <w:p w:rsidR="00A355C0" w:rsidRPr="00B75B77" w:rsidRDefault="00A355C0" w:rsidP="006F56CD">
            <w:pPr>
              <w:spacing w:after="80"/>
              <w:jc w:val="left"/>
              <w:rPr>
                <w:rFonts w:cstheme="minorHAnsi"/>
                <w:color w:val="000000"/>
              </w:rPr>
            </w:pPr>
            <w:r w:rsidRPr="00B75B77">
              <w:rPr>
                <w:rFonts w:cstheme="minorHAnsi"/>
                <w:color w:val="000000"/>
              </w:rPr>
              <w:t>CFL</w:t>
            </w:r>
          </w:p>
        </w:tc>
        <w:tc>
          <w:tcPr>
            <w:tcW w:w="7402" w:type="dxa"/>
            <w:tcBorders>
              <w:top w:val="nil"/>
              <w:left w:val="nil"/>
              <w:bottom w:val="nil"/>
              <w:right w:val="nil"/>
            </w:tcBorders>
            <w:noWrap/>
            <w:vAlign w:val="center"/>
          </w:tcPr>
          <w:p w:rsidR="00A355C0" w:rsidRPr="00B75B77" w:rsidRDefault="00A355C0" w:rsidP="006F56CD">
            <w:pPr>
              <w:spacing w:after="80"/>
              <w:jc w:val="left"/>
              <w:rPr>
                <w:rFonts w:cstheme="minorHAnsi"/>
                <w:color w:val="000000"/>
              </w:rPr>
            </w:pPr>
            <w:r w:rsidRPr="00B75B77">
              <w:rPr>
                <w:rFonts w:cstheme="minorHAnsi"/>
                <w:color w:val="000000"/>
              </w:rPr>
              <w:t>Compact Fluorescent Lamp</w:t>
            </w:r>
          </w:p>
        </w:tc>
      </w:tr>
      <w:tr w:rsidR="0019726A" w:rsidRPr="00B75B77" w:rsidTr="006F56CD">
        <w:trPr>
          <w:trHeight w:val="144"/>
        </w:trPr>
        <w:tc>
          <w:tcPr>
            <w:tcW w:w="2016" w:type="dxa"/>
            <w:tcBorders>
              <w:top w:val="nil"/>
              <w:left w:val="nil"/>
              <w:bottom w:val="nil"/>
              <w:right w:val="nil"/>
            </w:tcBorders>
            <w:noWrap/>
            <w:vAlign w:val="center"/>
          </w:tcPr>
          <w:p w:rsidR="0019726A" w:rsidRPr="00B75B77" w:rsidRDefault="0019726A" w:rsidP="006F56CD">
            <w:pPr>
              <w:spacing w:after="80"/>
              <w:jc w:val="left"/>
              <w:rPr>
                <w:rFonts w:cstheme="minorHAnsi"/>
                <w:color w:val="000000"/>
              </w:rPr>
            </w:pPr>
            <w:r w:rsidRPr="00B75B77">
              <w:rPr>
                <w:rFonts w:cstheme="minorHAnsi"/>
                <w:color w:val="000000"/>
              </w:rPr>
              <w:t>CHP</w:t>
            </w:r>
          </w:p>
        </w:tc>
        <w:tc>
          <w:tcPr>
            <w:tcW w:w="7402" w:type="dxa"/>
            <w:tcBorders>
              <w:top w:val="nil"/>
              <w:left w:val="nil"/>
              <w:bottom w:val="nil"/>
              <w:right w:val="nil"/>
            </w:tcBorders>
            <w:noWrap/>
            <w:vAlign w:val="center"/>
          </w:tcPr>
          <w:p w:rsidR="0019726A" w:rsidRPr="00B75B77" w:rsidRDefault="0019726A" w:rsidP="006F56CD">
            <w:pPr>
              <w:spacing w:after="80"/>
              <w:jc w:val="left"/>
              <w:rPr>
                <w:rFonts w:cstheme="minorHAnsi"/>
                <w:color w:val="000000"/>
              </w:rPr>
            </w:pPr>
            <w:r w:rsidRPr="00B75B77">
              <w:rPr>
                <w:rFonts w:cstheme="minorHAnsi"/>
                <w:color w:val="000000"/>
              </w:rPr>
              <w:t>Combined Heat and Power</w:t>
            </w:r>
          </w:p>
        </w:tc>
      </w:tr>
      <w:tr w:rsidR="0019726A" w:rsidRPr="00B75B77" w:rsidTr="006F56CD">
        <w:trPr>
          <w:trHeight w:val="144"/>
        </w:trPr>
        <w:tc>
          <w:tcPr>
            <w:tcW w:w="2016" w:type="dxa"/>
            <w:tcBorders>
              <w:top w:val="nil"/>
              <w:left w:val="nil"/>
              <w:bottom w:val="nil"/>
              <w:right w:val="nil"/>
            </w:tcBorders>
            <w:noWrap/>
            <w:vAlign w:val="center"/>
          </w:tcPr>
          <w:p w:rsidR="0019726A" w:rsidRPr="00B75B77" w:rsidRDefault="0019726A" w:rsidP="006F56CD">
            <w:pPr>
              <w:spacing w:after="80"/>
              <w:jc w:val="left"/>
              <w:rPr>
                <w:rFonts w:cstheme="minorHAnsi"/>
                <w:color w:val="000000"/>
              </w:rPr>
            </w:pPr>
            <w:r w:rsidRPr="00B75B77">
              <w:rPr>
                <w:rFonts w:cstheme="minorHAnsi"/>
                <w:color w:val="000000"/>
              </w:rPr>
              <w:t>CMC</w:t>
            </w:r>
          </w:p>
        </w:tc>
        <w:tc>
          <w:tcPr>
            <w:tcW w:w="7402" w:type="dxa"/>
            <w:tcBorders>
              <w:top w:val="nil"/>
              <w:left w:val="nil"/>
              <w:bottom w:val="nil"/>
              <w:right w:val="nil"/>
            </w:tcBorders>
            <w:noWrap/>
            <w:vAlign w:val="center"/>
          </w:tcPr>
          <w:p w:rsidR="0019726A" w:rsidRPr="00B75B77" w:rsidRDefault="0019726A" w:rsidP="006F56CD">
            <w:pPr>
              <w:spacing w:after="80"/>
              <w:jc w:val="left"/>
              <w:rPr>
                <w:rFonts w:cstheme="minorHAnsi"/>
                <w:color w:val="000000"/>
              </w:rPr>
            </w:pPr>
            <w:r w:rsidRPr="00B75B77">
              <w:rPr>
                <w:rFonts w:cstheme="minorHAnsi"/>
                <w:color w:val="000000"/>
              </w:rPr>
              <w:t>CMC Energy Services</w:t>
            </w:r>
          </w:p>
        </w:tc>
      </w:tr>
      <w:tr w:rsidR="0019726A" w:rsidRPr="00B75B77" w:rsidTr="006F56CD">
        <w:trPr>
          <w:trHeight w:val="144"/>
        </w:trPr>
        <w:tc>
          <w:tcPr>
            <w:tcW w:w="2016" w:type="dxa"/>
            <w:tcBorders>
              <w:top w:val="nil"/>
              <w:left w:val="nil"/>
              <w:bottom w:val="nil"/>
              <w:right w:val="nil"/>
            </w:tcBorders>
            <w:noWrap/>
            <w:vAlign w:val="center"/>
          </w:tcPr>
          <w:p w:rsidR="0019726A" w:rsidRPr="00B75B77" w:rsidRDefault="0019726A" w:rsidP="006F56CD">
            <w:pPr>
              <w:spacing w:after="80"/>
              <w:jc w:val="left"/>
              <w:rPr>
                <w:rFonts w:cstheme="minorHAnsi"/>
                <w:color w:val="000000"/>
              </w:rPr>
            </w:pPr>
            <w:r w:rsidRPr="00B75B77">
              <w:rPr>
                <w:rFonts w:cstheme="minorHAnsi"/>
                <w:color w:val="000000"/>
              </w:rPr>
              <w:t>CMP</w:t>
            </w:r>
          </w:p>
        </w:tc>
        <w:tc>
          <w:tcPr>
            <w:tcW w:w="7402" w:type="dxa"/>
            <w:tcBorders>
              <w:top w:val="nil"/>
              <w:left w:val="nil"/>
              <w:bottom w:val="nil"/>
              <w:right w:val="nil"/>
            </w:tcBorders>
            <w:noWrap/>
            <w:vAlign w:val="center"/>
          </w:tcPr>
          <w:p w:rsidR="0019726A" w:rsidRPr="00B75B77" w:rsidRDefault="0019726A" w:rsidP="006F56CD">
            <w:pPr>
              <w:spacing w:after="80"/>
              <w:jc w:val="left"/>
              <w:rPr>
                <w:rFonts w:cstheme="minorHAnsi"/>
                <w:color w:val="000000"/>
              </w:rPr>
            </w:pPr>
            <w:r w:rsidRPr="00B75B77">
              <w:rPr>
                <w:rFonts w:cstheme="minorHAnsi"/>
                <w:color w:val="000000"/>
              </w:rPr>
              <w:t>Custom Measure Protocol</w:t>
            </w:r>
          </w:p>
        </w:tc>
      </w:tr>
      <w:tr w:rsidR="00A355C0" w:rsidRPr="00B75B77" w:rsidTr="006F56CD">
        <w:trPr>
          <w:trHeight w:val="144"/>
        </w:trPr>
        <w:tc>
          <w:tcPr>
            <w:tcW w:w="2016" w:type="dxa"/>
            <w:tcBorders>
              <w:top w:val="nil"/>
              <w:left w:val="nil"/>
              <w:bottom w:val="nil"/>
              <w:right w:val="nil"/>
            </w:tcBorders>
            <w:noWrap/>
            <w:vAlign w:val="center"/>
          </w:tcPr>
          <w:p w:rsidR="00A355C0" w:rsidRPr="00B75B77" w:rsidRDefault="00A355C0" w:rsidP="006F56CD">
            <w:pPr>
              <w:spacing w:after="80"/>
              <w:jc w:val="left"/>
              <w:rPr>
                <w:rFonts w:cstheme="minorHAnsi"/>
                <w:color w:val="000000"/>
              </w:rPr>
            </w:pPr>
            <w:r w:rsidRPr="00B75B77">
              <w:rPr>
                <w:rFonts w:cstheme="minorHAnsi"/>
                <w:color w:val="000000"/>
              </w:rPr>
              <w:t>Phase II</w:t>
            </w:r>
            <w:r w:rsidR="007447BE" w:rsidRPr="00B75B77">
              <w:rPr>
                <w:rFonts w:cstheme="minorHAnsi"/>
                <w:color w:val="000000"/>
              </w:rPr>
              <w:t xml:space="preserve"> Verified / </w:t>
            </w:r>
            <w:r w:rsidR="00975043" w:rsidRPr="00B75B77">
              <w:rPr>
                <w:rFonts w:cstheme="minorHAnsi"/>
                <w:color w:val="000000"/>
              </w:rPr>
              <w:t>(Phase II-VG)</w:t>
            </w:r>
          </w:p>
        </w:tc>
        <w:tc>
          <w:tcPr>
            <w:tcW w:w="7402" w:type="dxa"/>
            <w:tcBorders>
              <w:top w:val="nil"/>
              <w:left w:val="nil"/>
              <w:bottom w:val="nil"/>
              <w:right w:val="nil"/>
            </w:tcBorders>
            <w:noWrap/>
            <w:vAlign w:val="center"/>
          </w:tcPr>
          <w:p w:rsidR="00A355C0" w:rsidRPr="00B75B77" w:rsidRDefault="003402AA" w:rsidP="006F56CD">
            <w:pPr>
              <w:spacing w:after="80"/>
              <w:jc w:val="left"/>
              <w:rPr>
                <w:rFonts w:cstheme="minorHAnsi"/>
                <w:color w:val="000000"/>
              </w:rPr>
            </w:pPr>
            <w:r w:rsidRPr="00B75B77">
              <w:rPr>
                <w:rFonts w:cstheme="minorHAnsi"/>
                <w:color w:val="000000"/>
              </w:rPr>
              <w:t xml:space="preserve">Verified/ Ex Post </w:t>
            </w:r>
            <w:r w:rsidR="00A355C0" w:rsidRPr="00B75B77">
              <w:rPr>
                <w:rFonts w:cstheme="minorHAnsi"/>
                <w:color w:val="000000"/>
              </w:rPr>
              <w:t xml:space="preserve">Cumulative Program/Portfolio Phase II Inception to Date </w:t>
            </w:r>
          </w:p>
        </w:tc>
      </w:tr>
      <w:tr w:rsidR="00A00BC3" w:rsidRPr="00B75B77" w:rsidTr="006F56CD">
        <w:trPr>
          <w:trHeight w:val="144"/>
        </w:trPr>
        <w:tc>
          <w:tcPr>
            <w:tcW w:w="2016" w:type="dxa"/>
            <w:tcBorders>
              <w:top w:val="nil"/>
              <w:left w:val="nil"/>
              <w:bottom w:val="nil"/>
              <w:right w:val="nil"/>
            </w:tcBorders>
            <w:noWrap/>
            <w:vAlign w:val="center"/>
          </w:tcPr>
          <w:p w:rsidR="00A00BC3" w:rsidRPr="00B75B77" w:rsidRDefault="00A00BC3" w:rsidP="006F56CD">
            <w:pPr>
              <w:spacing w:after="80"/>
              <w:jc w:val="left"/>
              <w:rPr>
                <w:rFonts w:cstheme="minorHAnsi"/>
                <w:color w:val="000000"/>
              </w:rPr>
            </w:pPr>
            <w:r w:rsidRPr="00B75B77">
              <w:rPr>
                <w:rFonts w:cstheme="minorHAnsi"/>
                <w:color w:val="000000"/>
              </w:rPr>
              <w:t>Phase II Reported</w:t>
            </w:r>
          </w:p>
        </w:tc>
        <w:tc>
          <w:tcPr>
            <w:tcW w:w="7402" w:type="dxa"/>
            <w:tcBorders>
              <w:top w:val="nil"/>
              <w:left w:val="nil"/>
              <w:bottom w:val="nil"/>
              <w:right w:val="nil"/>
            </w:tcBorders>
            <w:noWrap/>
            <w:vAlign w:val="center"/>
          </w:tcPr>
          <w:p w:rsidR="00A00BC3" w:rsidRPr="00B75B77" w:rsidRDefault="00A00BC3" w:rsidP="006F56CD">
            <w:pPr>
              <w:spacing w:after="80"/>
              <w:jc w:val="left"/>
              <w:rPr>
                <w:rFonts w:cstheme="minorHAnsi"/>
                <w:color w:val="000000"/>
              </w:rPr>
            </w:pPr>
            <w:r w:rsidRPr="00B75B77">
              <w:rPr>
                <w:rFonts w:cstheme="minorHAnsi"/>
                <w:color w:val="000000"/>
              </w:rPr>
              <w:t>Reported</w:t>
            </w:r>
            <w:r w:rsidR="003402AA" w:rsidRPr="00B75B77">
              <w:rPr>
                <w:rFonts w:cstheme="minorHAnsi"/>
                <w:color w:val="000000"/>
              </w:rPr>
              <w:t>/ Ex Ante</w:t>
            </w:r>
            <w:r w:rsidRPr="00B75B77">
              <w:rPr>
                <w:rFonts w:cstheme="minorHAnsi"/>
                <w:color w:val="000000"/>
              </w:rPr>
              <w:t xml:space="preserve"> Cumulative Program/Portfolio Phase II Inception to Date</w:t>
            </w:r>
          </w:p>
        </w:tc>
      </w:tr>
      <w:tr w:rsidR="00A355C0" w:rsidRPr="00B75B77" w:rsidTr="006F56CD">
        <w:trPr>
          <w:trHeight w:val="144"/>
        </w:trPr>
        <w:tc>
          <w:tcPr>
            <w:tcW w:w="2016" w:type="dxa"/>
            <w:tcBorders>
              <w:top w:val="nil"/>
              <w:left w:val="nil"/>
              <w:bottom w:val="nil"/>
              <w:right w:val="nil"/>
            </w:tcBorders>
            <w:noWrap/>
            <w:vAlign w:val="center"/>
          </w:tcPr>
          <w:p w:rsidR="00A355C0" w:rsidRPr="00B75B77" w:rsidRDefault="00A355C0" w:rsidP="006F56CD">
            <w:pPr>
              <w:spacing w:after="80"/>
              <w:jc w:val="left"/>
              <w:rPr>
                <w:rFonts w:cstheme="minorHAnsi"/>
                <w:color w:val="000000"/>
              </w:rPr>
            </w:pPr>
            <w:r w:rsidRPr="00B75B77">
              <w:rPr>
                <w:rFonts w:cstheme="minorHAnsi"/>
                <w:color w:val="000000"/>
              </w:rPr>
              <w:t>Phase II+CO</w:t>
            </w:r>
          </w:p>
        </w:tc>
        <w:tc>
          <w:tcPr>
            <w:tcW w:w="7402" w:type="dxa"/>
            <w:tcBorders>
              <w:top w:val="nil"/>
              <w:left w:val="nil"/>
              <w:bottom w:val="nil"/>
              <w:right w:val="nil"/>
            </w:tcBorders>
            <w:noWrap/>
            <w:vAlign w:val="center"/>
          </w:tcPr>
          <w:p w:rsidR="00A355C0" w:rsidRPr="00B75B77" w:rsidRDefault="00A355C0" w:rsidP="00206D1A">
            <w:pPr>
              <w:spacing w:after="80"/>
              <w:jc w:val="left"/>
              <w:rPr>
                <w:rFonts w:cstheme="minorHAnsi"/>
                <w:color w:val="000000"/>
              </w:rPr>
            </w:pPr>
            <w:r w:rsidRPr="00B75B77">
              <w:rPr>
                <w:rFonts w:cstheme="minorHAnsi"/>
                <w:color w:val="000000"/>
              </w:rPr>
              <w:t>Cumulative Program/Portfolio Phase II Inception to Date including Carry</w:t>
            </w:r>
            <w:r w:rsidR="00B31A11" w:rsidRPr="00B75B77">
              <w:rPr>
                <w:rFonts w:cstheme="minorHAnsi"/>
                <w:color w:val="000000"/>
              </w:rPr>
              <w:t>-</w:t>
            </w:r>
            <w:r w:rsidRPr="00B75B77">
              <w:rPr>
                <w:rFonts w:cstheme="minorHAnsi"/>
                <w:color w:val="000000"/>
              </w:rPr>
              <w:t>Over Savings from Phase I</w:t>
            </w:r>
            <w:r w:rsidR="005F3985" w:rsidRPr="00B75B77">
              <w:rPr>
                <w:rFonts w:cstheme="minorHAnsi"/>
                <w:color w:val="000000"/>
              </w:rPr>
              <w:t xml:space="preserve"> (this is cumulative Phase II verified savings)</w:t>
            </w:r>
          </w:p>
        </w:tc>
      </w:tr>
      <w:tr w:rsidR="00A355C0" w:rsidRPr="00B75B77" w:rsidTr="006F56CD">
        <w:trPr>
          <w:trHeight w:val="144"/>
        </w:trPr>
        <w:tc>
          <w:tcPr>
            <w:tcW w:w="2016" w:type="dxa"/>
            <w:tcBorders>
              <w:top w:val="nil"/>
              <w:left w:val="nil"/>
              <w:bottom w:val="nil"/>
              <w:right w:val="nil"/>
            </w:tcBorders>
            <w:noWrap/>
            <w:vAlign w:val="center"/>
          </w:tcPr>
          <w:p w:rsidR="00A355C0" w:rsidRPr="00B75B77" w:rsidRDefault="00A355C0" w:rsidP="006F56CD">
            <w:pPr>
              <w:spacing w:after="80"/>
              <w:jc w:val="left"/>
              <w:rPr>
                <w:rFonts w:cstheme="minorHAnsi"/>
                <w:color w:val="000000"/>
              </w:rPr>
            </w:pPr>
            <w:r w:rsidRPr="00B75B77">
              <w:rPr>
                <w:rFonts w:cstheme="minorHAnsi"/>
                <w:color w:val="000000"/>
              </w:rPr>
              <w:t>CSP</w:t>
            </w:r>
          </w:p>
        </w:tc>
        <w:tc>
          <w:tcPr>
            <w:tcW w:w="7402" w:type="dxa"/>
            <w:tcBorders>
              <w:top w:val="nil"/>
              <w:left w:val="nil"/>
              <w:bottom w:val="nil"/>
              <w:right w:val="nil"/>
            </w:tcBorders>
            <w:noWrap/>
            <w:vAlign w:val="center"/>
          </w:tcPr>
          <w:p w:rsidR="00A355C0" w:rsidRPr="00B75B77" w:rsidRDefault="00A355C0" w:rsidP="00206D1A">
            <w:pPr>
              <w:spacing w:after="80"/>
              <w:jc w:val="left"/>
              <w:rPr>
                <w:rFonts w:cstheme="minorHAnsi"/>
                <w:color w:val="000000"/>
              </w:rPr>
            </w:pPr>
            <w:r w:rsidRPr="00B75B77">
              <w:rPr>
                <w:rFonts w:cstheme="minorHAnsi"/>
                <w:color w:val="000000"/>
              </w:rPr>
              <w:t>Conservation Service Provider</w:t>
            </w:r>
          </w:p>
        </w:tc>
      </w:tr>
      <w:tr w:rsidR="0019726A" w:rsidRPr="00B75B77" w:rsidTr="006F56CD">
        <w:trPr>
          <w:trHeight w:val="144"/>
        </w:trPr>
        <w:tc>
          <w:tcPr>
            <w:tcW w:w="2016" w:type="dxa"/>
            <w:tcBorders>
              <w:top w:val="nil"/>
              <w:left w:val="nil"/>
              <w:bottom w:val="nil"/>
              <w:right w:val="nil"/>
            </w:tcBorders>
            <w:noWrap/>
            <w:vAlign w:val="center"/>
          </w:tcPr>
          <w:p w:rsidR="0019726A" w:rsidRPr="00B75B77" w:rsidRDefault="0019726A" w:rsidP="0019726A">
            <w:pPr>
              <w:spacing w:after="80"/>
              <w:jc w:val="left"/>
              <w:rPr>
                <w:rFonts w:cstheme="minorHAnsi"/>
                <w:color w:val="000000"/>
              </w:rPr>
            </w:pPr>
            <w:r w:rsidRPr="00B75B77">
              <w:rPr>
                <w:rFonts w:cstheme="minorHAnsi"/>
                <w:color w:val="000000"/>
              </w:rPr>
              <w:t>CV</w:t>
            </w:r>
          </w:p>
        </w:tc>
        <w:tc>
          <w:tcPr>
            <w:tcW w:w="7402" w:type="dxa"/>
            <w:tcBorders>
              <w:top w:val="nil"/>
              <w:left w:val="nil"/>
              <w:bottom w:val="nil"/>
              <w:right w:val="nil"/>
            </w:tcBorders>
            <w:noWrap/>
            <w:vAlign w:val="center"/>
          </w:tcPr>
          <w:p w:rsidR="0019726A" w:rsidRPr="00B75B77" w:rsidRDefault="0019726A" w:rsidP="0019726A">
            <w:pPr>
              <w:spacing w:after="80"/>
              <w:jc w:val="left"/>
              <w:rPr>
                <w:rFonts w:cstheme="minorHAnsi"/>
                <w:color w:val="000000"/>
              </w:rPr>
            </w:pPr>
            <w:r w:rsidRPr="00B75B77">
              <w:rPr>
                <w:rFonts w:cstheme="minorHAnsi"/>
                <w:color w:val="000000"/>
              </w:rPr>
              <w:t>Coefficient of Variation</w:t>
            </w:r>
          </w:p>
        </w:tc>
      </w:tr>
      <w:tr w:rsidR="0019726A" w:rsidRPr="00B75B77" w:rsidTr="006F56CD">
        <w:trPr>
          <w:trHeight w:val="144"/>
        </w:trPr>
        <w:tc>
          <w:tcPr>
            <w:tcW w:w="2016" w:type="dxa"/>
            <w:tcBorders>
              <w:top w:val="nil"/>
              <w:left w:val="nil"/>
              <w:bottom w:val="nil"/>
              <w:right w:val="nil"/>
            </w:tcBorders>
            <w:noWrap/>
            <w:vAlign w:val="center"/>
          </w:tcPr>
          <w:p w:rsidR="0019726A" w:rsidRPr="00B75B77" w:rsidRDefault="0019726A" w:rsidP="0019726A">
            <w:pPr>
              <w:spacing w:after="80"/>
              <w:jc w:val="left"/>
              <w:rPr>
                <w:rFonts w:cstheme="minorHAnsi"/>
                <w:color w:val="000000"/>
              </w:rPr>
            </w:pPr>
            <w:r w:rsidRPr="00B75B77">
              <w:rPr>
                <w:rFonts w:cstheme="minorHAnsi"/>
                <w:color w:val="000000"/>
              </w:rPr>
              <w:t>DCS</w:t>
            </w:r>
          </w:p>
        </w:tc>
        <w:tc>
          <w:tcPr>
            <w:tcW w:w="7402" w:type="dxa"/>
            <w:tcBorders>
              <w:top w:val="nil"/>
              <w:left w:val="nil"/>
              <w:bottom w:val="nil"/>
              <w:right w:val="nil"/>
            </w:tcBorders>
            <w:noWrap/>
            <w:vAlign w:val="center"/>
          </w:tcPr>
          <w:p w:rsidR="0019726A" w:rsidRPr="00B75B77" w:rsidRDefault="0019726A" w:rsidP="0019726A">
            <w:pPr>
              <w:spacing w:after="80"/>
              <w:jc w:val="left"/>
              <w:rPr>
                <w:rFonts w:cstheme="minorHAnsi"/>
                <w:color w:val="000000"/>
              </w:rPr>
            </w:pPr>
            <w:r w:rsidRPr="00B75B77">
              <w:rPr>
                <w:rFonts w:cstheme="minorHAnsi"/>
                <w:color w:val="000000"/>
              </w:rPr>
              <w:t>Double Counted Savings</w:t>
            </w:r>
          </w:p>
        </w:tc>
      </w:tr>
      <w:tr w:rsidR="0019726A" w:rsidRPr="00B75B77" w:rsidTr="006F56CD">
        <w:trPr>
          <w:trHeight w:val="144"/>
        </w:trPr>
        <w:tc>
          <w:tcPr>
            <w:tcW w:w="2016" w:type="dxa"/>
            <w:tcBorders>
              <w:top w:val="nil"/>
              <w:left w:val="nil"/>
              <w:bottom w:val="nil"/>
              <w:right w:val="nil"/>
            </w:tcBorders>
            <w:noWrap/>
            <w:vAlign w:val="center"/>
          </w:tcPr>
          <w:p w:rsidR="0019726A" w:rsidRPr="00B75B77" w:rsidRDefault="0019726A" w:rsidP="0019726A">
            <w:pPr>
              <w:spacing w:after="80"/>
              <w:jc w:val="left"/>
              <w:rPr>
                <w:rFonts w:cstheme="minorHAnsi"/>
                <w:color w:val="000000"/>
              </w:rPr>
            </w:pPr>
            <w:r w:rsidRPr="00B75B77">
              <w:rPr>
                <w:rFonts w:cstheme="minorHAnsi"/>
                <w:color w:val="000000"/>
              </w:rPr>
              <w:t>DCU</w:t>
            </w:r>
          </w:p>
        </w:tc>
        <w:tc>
          <w:tcPr>
            <w:tcW w:w="7402" w:type="dxa"/>
            <w:tcBorders>
              <w:top w:val="nil"/>
              <w:left w:val="nil"/>
              <w:bottom w:val="nil"/>
              <w:right w:val="nil"/>
            </w:tcBorders>
            <w:noWrap/>
            <w:vAlign w:val="center"/>
          </w:tcPr>
          <w:p w:rsidR="0019726A" w:rsidRPr="00B75B77" w:rsidRDefault="0019726A" w:rsidP="0019726A">
            <w:pPr>
              <w:spacing w:after="80"/>
              <w:jc w:val="left"/>
              <w:rPr>
                <w:rFonts w:cstheme="minorHAnsi"/>
                <w:color w:val="000000"/>
              </w:rPr>
            </w:pPr>
            <w:r w:rsidRPr="00B75B77">
              <w:rPr>
                <w:rFonts w:cstheme="minorHAnsi"/>
                <w:color w:val="000000"/>
              </w:rPr>
              <w:t>Digital Control Unit</w:t>
            </w:r>
          </w:p>
        </w:tc>
      </w:tr>
      <w:tr w:rsidR="000530C5" w:rsidRPr="00B75B77" w:rsidTr="006F56CD">
        <w:trPr>
          <w:trHeight w:val="144"/>
        </w:trPr>
        <w:tc>
          <w:tcPr>
            <w:tcW w:w="2016" w:type="dxa"/>
            <w:tcBorders>
              <w:top w:val="nil"/>
              <w:left w:val="nil"/>
              <w:bottom w:val="nil"/>
              <w:right w:val="nil"/>
            </w:tcBorders>
            <w:noWrap/>
            <w:vAlign w:val="center"/>
          </w:tcPr>
          <w:p w:rsidR="000530C5" w:rsidRPr="00B75B77" w:rsidRDefault="0019726A" w:rsidP="006F56CD">
            <w:pPr>
              <w:spacing w:after="80"/>
              <w:jc w:val="left"/>
              <w:rPr>
                <w:rFonts w:cstheme="minorHAnsi"/>
                <w:color w:val="000000"/>
              </w:rPr>
            </w:pPr>
            <w:r w:rsidRPr="00B75B77">
              <w:rPr>
                <w:rFonts w:cstheme="minorHAnsi"/>
                <w:color w:val="000000"/>
              </w:rPr>
              <w:t>DEP</w:t>
            </w:r>
          </w:p>
        </w:tc>
        <w:tc>
          <w:tcPr>
            <w:tcW w:w="7402" w:type="dxa"/>
            <w:tcBorders>
              <w:top w:val="nil"/>
              <w:left w:val="nil"/>
              <w:bottom w:val="nil"/>
              <w:right w:val="nil"/>
            </w:tcBorders>
            <w:noWrap/>
            <w:vAlign w:val="center"/>
          </w:tcPr>
          <w:p w:rsidR="000530C5" w:rsidRPr="00B75B77" w:rsidRDefault="0019726A" w:rsidP="00206D1A">
            <w:pPr>
              <w:spacing w:after="80"/>
              <w:jc w:val="left"/>
              <w:rPr>
                <w:rFonts w:cstheme="minorHAnsi"/>
                <w:color w:val="000000"/>
              </w:rPr>
            </w:pPr>
            <w:r w:rsidRPr="00B75B77">
              <w:rPr>
                <w:rFonts w:cstheme="minorHAnsi"/>
                <w:color w:val="000000"/>
              </w:rPr>
              <w:t>Department of Environmental Protection</w:t>
            </w:r>
          </w:p>
        </w:tc>
      </w:tr>
      <w:tr w:rsidR="00921863" w:rsidRPr="00B75B77" w:rsidTr="006F56CD">
        <w:trPr>
          <w:trHeight w:val="144"/>
        </w:trPr>
        <w:tc>
          <w:tcPr>
            <w:tcW w:w="2016" w:type="dxa"/>
            <w:tcBorders>
              <w:top w:val="nil"/>
              <w:left w:val="nil"/>
              <w:bottom w:val="nil"/>
              <w:right w:val="nil"/>
            </w:tcBorders>
            <w:noWrap/>
            <w:vAlign w:val="center"/>
          </w:tcPr>
          <w:p w:rsidR="00921863" w:rsidRPr="00B75B77" w:rsidRDefault="000530C5" w:rsidP="006F56CD">
            <w:pPr>
              <w:spacing w:after="80"/>
              <w:jc w:val="left"/>
              <w:rPr>
                <w:rFonts w:cstheme="minorHAnsi"/>
                <w:color w:val="000000"/>
              </w:rPr>
            </w:pPr>
            <w:r w:rsidRPr="00B75B77">
              <w:rPr>
                <w:rFonts w:cstheme="minorHAnsi"/>
                <w:color w:val="000000"/>
              </w:rPr>
              <w:t>DI</w:t>
            </w:r>
          </w:p>
        </w:tc>
        <w:tc>
          <w:tcPr>
            <w:tcW w:w="7402" w:type="dxa"/>
            <w:tcBorders>
              <w:top w:val="nil"/>
              <w:left w:val="nil"/>
              <w:bottom w:val="nil"/>
              <w:right w:val="nil"/>
            </w:tcBorders>
            <w:noWrap/>
            <w:vAlign w:val="center"/>
          </w:tcPr>
          <w:p w:rsidR="00921863" w:rsidRPr="00B75B77" w:rsidRDefault="000530C5" w:rsidP="006F56CD">
            <w:pPr>
              <w:spacing w:after="80"/>
              <w:jc w:val="left"/>
              <w:rPr>
                <w:rFonts w:cstheme="minorHAnsi"/>
                <w:color w:val="000000"/>
              </w:rPr>
            </w:pPr>
            <w:r w:rsidRPr="00B75B77">
              <w:rPr>
                <w:rFonts w:cstheme="minorHAnsi"/>
                <w:color w:val="000000"/>
              </w:rPr>
              <w:t>Direct Install</w:t>
            </w:r>
          </w:p>
        </w:tc>
      </w:tr>
      <w:tr w:rsidR="000530C5" w:rsidRPr="00B75B77" w:rsidTr="006F56CD">
        <w:trPr>
          <w:trHeight w:val="144"/>
        </w:trPr>
        <w:tc>
          <w:tcPr>
            <w:tcW w:w="2016" w:type="dxa"/>
            <w:tcBorders>
              <w:top w:val="nil"/>
              <w:left w:val="nil"/>
              <w:bottom w:val="nil"/>
              <w:right w:val="nil"/>
            </w:tcBorders>
            <w:noWrap/>
            <w:vAlign w:val="center"/>
          </w:tcPr>
          <w:p w:rsidR="000530C5" w:rsidRPr="00B75B77" w:rsidRDefault="000530C5" w:rsidP="000530C5">
            <w:pPr>
              <w:spacing w:after="80"/>
              <w:jc w:val="left"/>
              <w:rPr>
                <w:rFonts w:cstheme="minorHAnsi"/>
                <w:color w:val="000000"/>
              </w:rPr>
            </w:pPr>
            <w:r w:rsidRPr="00B75B77">
              <w:rPr>
                <w:rFonts w:cstheme="minorHAnsi"/>
                <w:color w:val="000000"/>
              </w:rPr>
              <w:t>DID</w:t>
            </w:r>
          </w:p>
        </w:tc>
        <w:tc>
          <w:tcPr>
            <w:tcW w:w="7402" w:type="dxa"/>
            <w:tcBorders>
              <w:top w:val="nil"/>
              <w:left w:val="nil"/>
              <w:bottom w:val="nil"/>
              <w:right w:val="nil"/>
            </w:tcBorders>
            <w:noWrap/>
            <w:vAlign w:val="center"/>
          </w:tcPr>
          <w:p w:rsidR="000530C5" w:rsidRPr="00B75B77" w:rsidRDefault="000530C5" w:rsidP="000530C5">
            <w:pPr>
              <w:spacing w:after="80"/>
              <w:jc w:val="left"/>
              <w:rPr>
                <w:rFonts w:cstheme="minorHAnsi"/>
                <w:color w:val="000000"/>
              </w:rPr>
            </w:pPr>
            <w:r w:rsidRPr="00B75B77">
              <w:rPr>
                <w:rFonts w:cstheme="minorHAnsi"/>
                <w:color w:val="000000"/>
              </w:rPr>
              <w:t>Difference-in-Difference</w:t>
            </w:r>
          </w:p>
        </w:tc>
      </w:tr>
      <w:tr w:rsidR="00A355C0" w:rsidRPr="00B75B77" w:rsidTr="006F56CD">
        <w:trPr>
          <w:trHeight w:val="144"/>
        </w:trPr>
        <w:tc>
          <w:tcPr>
            <w:tcW w:w="2016" w:type="dxa"/>
            <w:tcBorders>
              <w:top w:val="nil"/>
              <w:left w:val="nil"/>
              <w:bottom w:val="nil"/>
              <w:right w:val="nil"/>
            </w:tcBorders>
            <w:noWrap/>
            <w:vAlign w:val="center"/>
          </w:tcPr>
          <w:p w:rsidR="00A355C0" w:rsidRPr="00B75B77" w:rsidRDefault="00A355C0" w:rsidP="006F56CD">
            <w:pPr>
              <w:spacing w:after="80"/>
              <w:jc w:val="left"/>
              <w:rPr>
                <w:rFonts w:cstheme="minorHAnsi"/>
                <w:color w:val="000000"/>
              </w:rPr>
            </w:pPr>
            <w:r w:rsidRPr="00B75B77">
              <w:rPr>
                <w:rFonts w:cstheme="minorHAnsi"/>
                <w:color w:val="000000"/>
              </w:rPr>
              <w:t>DR</w:t>
            </w:r>
          </w:p>
        </w:tc>
        <w:tc>
          <w:tcPr>
            <w:tcW w:w="7402" w:type="dxa"/>
            <w:tcBorders>
              <w:top w:val="nil"/>
              <w:left w:val="nil"/>
              <w:bottom w:val="nil"/>
              <w:right w:val="nil"/>
            </w:tcBorders>
            <w:noWrap/>
            <w:vAlign w:val="center"/>
          </w:tcPr>
          <w:p w:rsidR="00A355C0" w:rsidRPr="00B75B77" w:rsidRDefault="00A355C0" w:rsidP="006F56CD">
            <w:pPr>
              <w:spacing w:after="80"/>
              <w:jc w:val="left"/>
              <w:rPr>
                <w:rFonts w:cstheme="minorHAnsi"/>
                <w:color w:val="000000"/>
              </w:rPr>
            </w:pPr>
            <w:r w:rsidRPr="00B75B77">
              <w:rPr>
                <w:rFonts w:cstheme="minorHAnsi"/>
                <w:color w:val="000000"/>
              </w:rPr>
              <w:t>Demand Response</w:t>
            </w:r>
          </w:p>
        </w:tc>
      </w:tr>
      <w:tr w:rsidR="00A355C0" w:rsidRPr="00B75B77" w:rsidTr="006F56CD">
        <w:trPr>
          <w:trHeight w:val="144"/>
        </w:trPr>
        <w:tc>
          <w:tcPr>
            <w:tcW w:w="2016" w:type="dxa"/>
            <w:tcBorders>
              <w:top w:val="nil"/>
              <w:left w:val="nil"/>
              <w:bottom w:val="nil"/>
              <w:right w:val="nil"/>
            </w:tcBorders>
            <w:noWrap/>
            <w:vAlign w:val="center"/>
          </w:tcPr>
          <w:p w:rsidR="00A355C0" w:rsidRPr="00B75B77" w:rsidRDefault="00A355C0" w:rsidP="006F56CD">
            <w:pPr>
              <w:spacing w:after="80"/>
              <w:jc w:val="left"/>
              <w:rPr>
                <w:rFonts w:cstheme="minorHAnsi"/>
                <w:color w:val="000000"/>
              </w:rPr>
            </w:pPr>
            <w:r w:rsidRPr="00B75B77">
              <w:rPr>
                <w:rFonts w:cstheme="minorHAnsi"/>
                <w:color w:val="000000"/>
              </w:rPr>
              <w:t>EDC</w:t>
            </w:r>
          </w:p>
        </w:tc>
        <w:tc>
          <w:tcPr>
            <w:tcW w:w="7402" w:type="dxa"/>
            <w:tcBorders>
              <w:top w:val="nil"/>
              <w:left w:val="nil"/>
              <w:bottom w:val="nil"/>
              <w:right w:val="nil"/>
            </w:tcBorders>
            <w:noWrap/>
            <w:vAlign w:val="center"/>
          </w:tcPr>
          <w:p w:rsidR="00A355C0" w:rsidRPr="00B75B77" w:rsidRDefault="00A355C0" w:rsidP="006F56CD">
            <w:pPr>
              <w:spacing w:after="80"/>
              <w:jc w:val="left"/>
              <w:rPr>
                <w:rFonts w:cstheme="minorHAnsi"/>
                <w:color w:val="000000"/>
              </w:rPr>
            </w:pPr>
            <w:r w:rsidRPr="00B75B77">
              <w:rPr>
                <w:rFonts w:cstheme="minorHAnsi"/>
                <w:color w:val="000000"/>
              </w:rPr>
              <w:t>Electric Distribution Company</w:t>
            </w:r>
          </w:p>
        </w:tc>
      </w:tr>
      <w:tr w:rsidR="00A355C0" w:rsidRPr="00B75B77" w:rsidTr="006F56CD">
        <w:trPr>
          <w:trHeight w:val="144"/>
        </w:trPr>
        <w:tc>
          <w:tcPr>
            <w:tcW w:w="2016" w:type="dxa"/>
            <w:tcBorders>
              <w:top w:val="nil"/>
              <w:left w:val="nil"/>
              <w:bottom w:val="nil"/>
              <w:right w:val="nil"/>
            </w:tcBorders>
            <w:noWrap/>
            <w:vAlign w:val="center"/>
          </w:tcPr>
          <w:p w:rsidR="00A355C0" w:rsidRPr="00B75B77" w:rsidRDefault="00A355C0" w:rsidP="006F56CD">
            <w:pPr>
              <w:spacing w:after="80"/>
              <w:jc w:val="left"/>
              <w:rPr>
                <w:rFonts w:cstheme="minorHAnsi"/>
                <w:color w:val="000000"/>
              </w:rPr>
            </w:pPr>
            <w:r w:rsidRPr="00B75B77">
              <w:rPr>
                <w:rFonts w:cstheme="minorHAnsi"/>
                <w:color w:val="000000"/>
              </w:rPr>
              <w:t>EE&amp;C</w:t>
            </w:r>
          </w:p>
        </w:tc>
        <w:tc>
          <w:tcPr>
            <w:tcW w:w="7402" w:type="dxa"/>
            <w:tcBorders>
              <w:top w:val="nil"/>
              <w:left w:val="nil"/>
              <w:bottom w:val="nil"/>
              <w:right w:val="nil"/>
            </w:tcBorders>
            <w:noWrap/>
            <w:vAlign w:val="center"/>
          </w:tcPr>
          <w:p w:rsidR="00A355C0" w:rsidRPr="00B75B77" w:rsidRDefault="00A355C0" w:rsidP="006F56CD">
            <w:pPr>
              <w:spacing w:after="80"/>
              <w:jc w:val="left"/>
              <w:rPr>
                <w:rFonts w:cstheme="minorHAnsi"/>
                <w:color w:val="000000"/>
              </w:rPr>
            </w:pPr>
            <w:r w:rsidRPr="00B75B77">
              <w:rPr>
                <w:rFonts w:cstheme="minorHAnsi"/>
                <w:color w:val="000000"/>
              </w:rPr>
              <w:t>Energy Efficiency and Conservation</w:t>
            </w:r>
          </w:p>
        </w:tc>
      </w:tr>
      <w:tr w:rsidR="00375A6C" w:rsidRPr="00B75B77" w:rsidTr="006F56CD">
        <w:trPr>
          <w:trHeight w:val="144"/>
        </w:trPr>
        <w:tc>
          <w:tcPr>
            <w:tcW w:w="2016" w:type="dxa"/>
            <w:tcBorders>
              <w:top w:val="nil"/>
              <w:left w:val="nil"/>
              <w:bottom w:val="nil"/>
              <w:right w:val="nil"/>
            </w:tcBorders>
            <w:noWrap/>
            <w:vAlign w:val="center"/>
          </w:tcPr>
          <w:p w:rsidR="00375A6C" w:rsidRPr="00B75B77" w:rsidRDefault="00375A6C" w:rsidP="006F56CD">
            <w:pPr>
              <w:spacing w:after="80"/>
              <w:jc w:val="left"/>
              <w:rPr>
                <w:rFonts w:cstheme="minorHAnsi"/>
                <w:color w:val="000000"/>
              </w:rPr>
            </w:pPr>
            <w:r w:rsidRPr="00B75B77">
              <w:rPr>
                <w:rFonts w:cstheme="minorHAnsi"/>
                <w:color w:val="000000"/>
              </w:rPr>
              <w:t>EISA</w:t>
            </w:r>
          </w:p>
        </w:tc>
        <w:tc>
          <w:tcPr>
            <w:tcW w:w="7402" w:type="dxa"/>
            <w:tcBorders>
              <w:top w:val="nil"/>
              <w:left w:val="nil"/>
              <w:bottom w:val="nil"/>
              <w:right w:val="nil"/>
            </w:tcBorders>
            <w:noWrap/>
            <w:vAlign w:val="center"/>
          </w:tcPr>
          <w:p w:rsidR="00375A6C" w:rsidRPr="00B75B77" w:rsidRDefault="00375A6C" w:rsidP="006F56CD">
            <w:pPr>
              <w:spacing w:after="80"/>
              <w:jc w:val="left"/>
              <w:rPr>
                <w:rFonts w:cstheme="minorHAnsi"/>
                <w:color w:val="000000"/>
              </w:rPr>
            </w:pPr>
            <w:r w:rsidRPr="00B75B77">
              <w:rPr>
                <w:rFonts w:cstheme="minorHAnsi"/>
                <w:color w:val="000000"/>
              </w:rPr>
              <w:t>Energy Independence and Security Act</w:t>
            </w:r>
          </w:p>
        </w:tc>
      </w:tr>
      <w:tr w:rsidR="00A355C0" w:rsidRPr="00B75B77" w:rsidTr="006F56CD">
        <w:trPr>
          <w:trHeight w:val="144"/>
        </w:trPr>
        <w:tc>
          <w:tcPr>
            <w:tcW w:w="2016" w:type="dxa"/>
            <w:tcBorders>
              <w:top w:val="nil"/>
              <w:left w:val="nil"/>
              <w:bottom w:val="nil"/>
              <w:right w:val="nil"/>
            </w:tcBorders>
            <w:noWrap/>
            <w:vAlign w:val="center"/>
          </w:tcPr>
          <w:p w:rsidR="00A355C0" w:rsidRPr="00B75B77" w:rsidRDefault="00A355C0" w:rsidP="006F56CD">
            <w:pPr>
              <w:spacing w:after="80"/>
              <w:jc w:val="left"/>
              <w:rPr>
                <w:rFonts w:cstheme="minorHAnsi"/>
                <w:color w:val="000000"/>
              </w:rPr>
            </w:pPr>
            <w:r w:rsidRPr="00B75B77">
              <w:rPr>
                <w:rFonts w:cstheme="minorHAnsi"/>
                <w:color w:val="000000"/>
              </w:rPr>
              <w:t>EM&amp;V</w:t>
            </w:r>
          </w:p>
        </w:tc>
        <w:tc>
          <w:tcPr>
            <w:tcW w:w="7402" w:type="dxa"/>
            <w:tcBorders>
              <w:top w:val="nil"/>
              <w:left w:val="nil"/>
              <w:bottom w:val="nil"/>
              <w:right w:val="nil"/>
            </w:tcBorders>
            <w:noWrap/>
            <w:vAlign w:val="center"/>
          </w:tcPr>
          <w:p w:rsidR="00A355C0" w:rsidRPr="00B75B77" w:rsidRDefault="00A355C0" w:rsidP="006F56CD">
            <w:pPr>
              <w:spacing w:after="80"/>
              <w:jc w:val="left"/>
              <w:rPr>
                <w:rFonts w:cstheme="minorHAnsi"/>
                <w:color w:val="000000"/>
              </w:rPr>
            </w:pPr>
            <w:r w:rsidRPr="00B75B77">
              <w:rPr>
                <w:rFonts w:cstheme="minorHAnsi"/>
                <w:color w:val="000000"/>
              </w:rPr>
              <w:t>Evaluation, Measurement, and Verification</w:t>
            </w:r>
          </w:p>
        </w:tc>
      </w:tr>
      <w:tr w:rsidR="000530C5" w:rsidRPr="00B75B77" w:rsidTr="006F56CD">
        <w:trPr>
          <w:trHeight w:val="144"/>
        </w:trPr>
        <w:tc>
          <w:tcPr>
            <w:tcW w:w="2016" w:type="dxa"/>
            <w:tcBorders>
              <w:top w:val="nil"/>
              <w:left w:val="nil"/>
              <w:bottom w:val="nil"/>
              <w:right w:val="nil"/>
            </w:tcBorders>
            <w:noWrap/>
            <w:vAlign w:val="center"/>
          </w:tcPr>
          <w:p w:rsidR="000530C5" w:rsidRPr="00B75B77" w:rsidRDefault="000530C5" w:rsidP="006F56CD">
            <w:pPr>
              <w:spacing w:after="80"/>
              <w:jc w:val="left"/>
              <w:rPr>
                <w:rFonts w:cstheme="minorHAnsi"/>
                <w:color w:val="000000"/>
              </w:rPr>
            </w:pPr>
            <w:r w:rsidRPr="00B75B77">
              <w:rPr>
                <w:rFonts w:cstheme="minorHAnsi"/>
                <w:color w:val="000000"/>
              </w:rPr>
              <w:t>EPA</w:t>
            </w:r>
          </w:p>
        </w:tc>
        <w:tc>
          <w:tcPr>
            <w:tcW w:w="7402" w:type="dxa"/>
            <w:tcBorders>
              <w:top w:val="nil"/>
              <w:left w:val="nil"/>
              <w:bottom w:val="nil"/>
              <w:right w:val="nil"/>
            </w:tcBorders>
            <w:noWrap/>
            <w:vAlign w:val="center"/>
          </w:tcPr>
          <w:p w:rsidR="000530C5" w:rsidRPr="00B75B77" w:rsidRDefault="000530C5" w:rsidP="006F56CD">
            <w:pPr>
              <w:spacing w:after="80"/>
              <w:jc w:val="left"/>
              <w:rPr>
                <w:rFonts w:cstheme="minorHAnsi"/>
                <w:color w:val="000000"/>
              </w:rPr>
            </w:pPr>
            <w:r w:rsidRPr="00B75B77">
              <w:rPr>
                <w:rFonts w:cstheme="minorHAnsi"/>
                <w:color w:val="000000"/>
              </w:rPr>
              <w:t>Environmental Protection Agency (United States)</w:t>
            </w:r>
          </w:p>
        </w:tc>
      </w:tr>
      <w:tr w:rsidR="000530C5" w:rsidRPr="00B75B77" w:rsidTr="006F56CD">
        <w:trPr>
          <w:trHeight w:val="144"/>
        </w:trPr>
        <w:tc>
          <w:tcPr>
            <w:tcW w:w="2016" w:type="dxa"/>
            <w:tcBorders>
              <w:top w:val="nil"/>
              <w:left w:val="nil"/>
              <w:bottom w:val="nil"/>
              <w:right w:val="nil"/>
            </w:tcBorders>
            <w:noWrap/>
            <w:vAlign w:val="center"/>
          </w:tcPr>
          <w:p w:rsidR="000530C5" w:rsidRPr="00B75B77" w:rsidRDefault="000530C5" w:rsidP="006F56CD">
            <w:pPr>
              <w:spacing w:after="80"/>
              <w:jc w:val="left"/>
              <w:rPr>
                <w:rFonts w:cstheme="minorHAnsi"/>
                <w:color w:val="000000"/>
              </w:rPr>
            </w:pPr>
            <w:r w:rsidRPr="00B75B77">
              <w:rPr>
                <w:rFonts w:cstheme="minorHAnsi"/>
                <w:color w:val="000000"/>
              </w:rPr>
              <w:t>ETO</w:t>
            </w:r>
          </w:p>
        </w:tc>
        <w:tc>
          <w:tcPr>
            <w:tcW w:w="7402" w:type="dxa"/>
            <w:tcBorders>
              <w:top w:val="nil"/>
              <w:left w:val="nil"/>
              <w:bottom w:val="nil"/>
              <w:right w:val="nil"/>
            </w:tcBorders>
            <w:noWrap/>
            <w:vAlign w:val="center"/>
          </w:tcPr>
          <w:p w:rsidR="000530C5" w:rsidRPr="00B75B77" w:rsidRDefault="000530C5" w:rsidP="006F56CD">
            <w:pPr>
              <w:spacing w:after="80"/>
              <w:jc w:val="left"/>
              <w:rPr>
                <w:rFonts w:cstheme="minorHAnsi"/>
                <w:color w:val="000000"/>
              </w:rPr>
            </w:pPr>
            <w:r w:rsidRPr="00B75B77">
              <w:rPr>
                <w:rFonts w:cstheme="minorHAnsi"/>
                <w:color w:val="000000"/>
              </w:rPr>
              <w:t>Energy Trust of Oregon</w:t>
            </w:r>
          </w:p>
        </w:tc>
      </w:tr>
      <w:tr w:rsidR="00A355C0" w:rsidRPr="00B75B77" w:rsidTr="006F56CD">
        <w:trPr>
          <w:trHeight w:val="144"/>
        </w:trPr>
        <w:tc>
          <w:tcPr>
            <w:tcW w:w="2016" w:type="dxa"/>
            <w:tcBorders>
              <w:top w:val="nil"/>
              <w:left w:val="nil"/>
              <w:bottom w:val="nil"/>
              <w:right w:val="nil"/>
            </w:tcBorders>
            <w:noWrap/>
            <w:vAlign w:val="center"/>
          </w:tcPr>
          <w:p w:rsidR="00A355C0" w:rsidRPr="00B75B77" w:rsidRDefault="00A355C0" w:rsidP="006F56CD">
            <w:pPr>
              <w:spacing w:after="80"/>
              <w:jc w:val="left"/>
              <w:rPr>
                <w:rFonts w:cstheme="minorHAnsi"/>
                <w:color w:val="000000"/>
              </w:rPr>
            </w:pPr>
            <w:r w:rsidRPr="00B75B77">
              <w:rPr>
                <w:rFonts w:cstheme="minorHAnsi"/>
                <w:color w:val="000000"/>
              </w:rPr>
              <w:t>GNI</w:t>
            </w:r>
          </w:p>
        </w:tc>
        <w:tc>
          <w:tcPr>
            <w:tcW w:w="7402" w:type="dxa"/>
            <w:tcBorders>
              <w:top w:val="nil"/>
              <w:left w:val="nil"/>
              <w:bottom w:val="nil"/>
              <w:right w:val="nil"/>
            </w:tcBorders>
            <w:noWrap/>
            <w:vAlign w:val="center"/>
          </w:tcPr>
          <w:p w:rsidR="00A355C0" w:rsidRPr="00B75B77" w:rsidRDefault="00A355C0" w:rsidP="006F56CD">
            <w:pPr>
              <w:spacing w:after="80"/>
              <w:jc w:val="left"/>
              <w:rPr>
                <w:rFonts w:cstheme="minorHAnsi"/>
                <w:color w:val="000000"/>
              </w:rPr>
            </w:pPr>
            <w:r w:rsidRPr="00B75B77">
              <w:rPr>
                <w:rFonts w:cstheme="minorHAnsi"/>
                <w:color w:val="000000"/>
              </w:rPr>
              <w:t>Government, Nonprofit,</w:t>
            </w:r>
            <w:r w:rsidR="00EB7B4D" w:rsidRPr="00B75B77">
              <w:rPr>
                <w:rFonts w:cstheme="minorHAnsi"/>
                <w:color w:val="000000"/>
              </w:rPr>
              <w:t xml:space="preserve"> </w:t>
            </w:r>
            <w:r w:rsidRPr="00B75B77">
              <w:rPr>
                <w:rFonts w:cstheme="minorHAnsi"/>
                <w:color w:val="000000"/>
              </w:rPr>
              <w:t>and  Institutional</w:t>
            </w:r>
          </w:p>
        </w:tc>
      </w:tr>
      <w:tr w:rsidR="0019726A" w:rsidRPr="00B75B77" w:rsidTr="006F56CD">
        <w:trPr>
          <w:trHeight w:val="144"/>
        </w:trPr>
        <w:tc>
          <w:tcPr>
            <w:tcW w:w="2016" w:type="dxa"/>
            <w:tcBorders>
              <w:top w:val="nil"/>
              <w:left w:val="nil"/>
              <w:bottom w:val="nil"/>
              <w:right w:val="nil"/>
            </w:tcBorders>
            <w:noWrap/>
            <w:vAlign w:val="center"/>
          </w:tcPr>
          <w:p w:rsidR="0019726A" w:rsidRPr="00B75B77" w:rsidRDefault="0019726A" w:rsidP="0019726A">
            <w:pPr>
              <w:spacing w:after="80"/>
              <w:jc w:val="left"/>
              <w:rPr>
                <w:rFonts w:cstheme="minorHAnsi"/>
                <w:color w:val="000000"/>
              </w:rPr>
            </w:pPr>
            <w:r w:rsidRPr="00B75B77">
              <w:rPr>
                <w:rFonts w:cstheme="minorHAnsi"/>
                <w:color w:val="000000"/>
              </w:rPr>
              <w:t>HER</w:t>
            </w:r>
          </w:p>
        </w:tc>
        <w:tc>
          <w:tcPr>
            <w:tcW w:w="7402" w:type="dxa"/>
            <w:tcBorders>
              <w:top w:val="nil"/>
              <w:left w:val="nil"/>
              <w:bottom w:val="nil"/>
              <w:right w:val="nil"/>
            </w:tcBorders>
            <w:noWrap/>
            <w:vAlign w:val="center"/>
          </w:tcPr>
          <w:p w:rsidR="0019726A" w:rsidRPr="00B75B77" w:rsidRDefault="0019726A" w:rsidP="0019726A">
            <w:pPr>
              <w:spacing w:after="80"/>
              <w:jc w:val="left"/>
              <w:rPr>
                <w:rFonts w:cstheme="minorHAnsi"/>
                <w:color w:val="000000"/>
              </w:rPr>
            </w:pPr>
            <w:r w:rsidRPr="00B75B77">
              <w:rPr>
                <w:rFonts w:cstheme="minorHAnsi"/>
                <w:color w:val="000000"/>
              </w:rPr>
              <w:t>Home Energy Report</w:t>
            </w:r>
          </w:p>
        </w:tc>
      </w:tr>
      <w:tr w:rsidR="0019726A" w:rsidRPr="00B75B77" w:rsidTr="006F56CD">
        <w:trPr>
          <w:trHeight w:val="144"/>
        </w:trPr>
        <w:tc>
          <w:tcPr>
            <w:tcW w:w="2016" w:type="dxa"/>
            <w:tcBorders>
              <w:top w:val="nil"/>
              <w:left w:val="nil"/>
              <w:bottom w:val="nil"/>
              <w:right w:val="nil"/>
            </w:tcBorders>
            <w:noWrap/>
            <w:vAlign w:val="center"/>
          </w:tcPr>
          <w:p w:rsidR="0019726A" w:rsidRPr="00B75B77" w:rsidRDefault="0019726A" w:rsidP="0019726A">
            <w:pPr>
              <w:spacing w:after="80"/>
              <w:jc w:val="left"/>
              <w:rPr>
                <w:rFonts w:cstheme="minorHAnsi"/>
                <w:color w:val="000000"/>
              </w:rPr>
            </w:pPr>
            <w:r w:rsidRPr="00B75B77">
              <w:rPr>
                <w:rFonts w:cstheme="minorHAnsi"/>
                <w:color w:val="000000"/>
              </w:rPr>
              <w:t>HOA</w:t>
            </w:r>
          </w:p>
        </w:tc>
        <w:tc>
          <w:tcPr>
            <w:tcW w:w="7402" w:type="dxa"/>
            <w:tcBorders>
              <w:top w:val="nil"/>
              <w:left w:val="nil"/>
              <w:bottom w:val="nil"/>
              <w:right w:val="nil"/>
            </w:tcBorders>
            <w:noWrap/>
            <w:vAlign w:val="center"/>
          </w:tcPr>
          <w:p w:rsidR="0019726A" w:rsidRPr="00B75B77" w:rsidRDefault="0019726A" w:rsidP="0019726A">
            <w:pPr>
              <w:spacing w:after="80"/>
              <w:jc w:val="left"/>
              <w:rPr>
                <w:rFonts w:cstheme="minorHAnsi"/>
                <w:color w:val="000000"/>
              </w:rPr>
            </w:pPr>
            <w:r w:rsidRPr="00B75B77">
              <w:rPr>
                <w:rFonts w:cstheme="minorHAnsi"/>
                <w:color w:val="000000"/>
              </w:rPr>
              <w:t>Homeowner’s Association</w:t>
            </w:r>
          </w:p>
        </w:tc>
      </w:tr>
      <w:tr w:rsidR="0019726A" w:rsidRPr="00B75B77" w:rsidTr="006F56CD">
        <w:trPr>
          <w:trHeight w:val="144"/>
        </w:trPr>
        <w:tc>
          <w:tcPr>
            <w:tcW w:w="2016" w:type="dxa"/>
            <w:tcBorders>
              <w:top w:val="nil"/>
              <w:left w:val="nil"/>
              <w:bottom w:val="nil"/>
              <w:right w:val="nil"/>
            </w:tcBorders>
            <w:noWrap/>
            <w:vAlign w:val="center"/>
          </w:tcPr>
          <w:p w:rsidR="0019726A" w:rsidRPr="00B75B77" w:rsidRDefault="0019726A" w:rsidP="0019726A">
            <w:pPr>
              <w:spacing w:after="80"/>
              <w:jc w:val="left"/>
              <w:rPr>
                <w:rFonts w:cstheme="minorHAnsi"/>
                <w:color w:val="000000"/>
              </w:rPr>
            </w:pPr>
            <w:r w:rsidRPr="00B75B77">
              <w:rPr>
                <w:rFonts w:cstheme="minorHAnsi"/>
                <w:color w:val="000000"/>
              </w:rPr>
              <w:t>HOU</w:t>
            </w:r>
          </w:p>
        </w:tc>
        <w:tc>
          <w:tcPr>
            <w:tcW w:w="7402" w:type="dxa"/>
            <w:tcBorders>
              <w:top w:val="nil"/>
              <w:left w:val="nil"/>
              <w:bottom w:val="nil"/>
              <w:right w:val="nil"/>
            </w:tcBorders>
            <w:noWrap/>
            <w:vAlign w:val="center"/>
          </w:tcPr>
          <w:p w:rsidR="0019726A" w:rsidRPr="00B75B77" w:rsidRDefault="0019726A" w:rsidP="0019726A">
            <w:pPr>
              <w:spacing w:after="80"/>
              <w:jc w:val="left"/>
              <w:rPr>
                <w:rFonts w:cstheme="minorHAnsi"/>
                <w:color w:val="000000"/>
              </w:rPr>
            </w:pPr>
            <w:r w:rsidRPr="00B75B77">
              <w:rPr>
                <w:rFonts w:cstheme="minorHAnsi"/>
                <w:color w:val="000000"/>
              </w:rPr>
              <w:t>Hours of Use</w:t>
            </w:r>
          </w:p>
        </w:tc>
      </w:tr>
      <w:tr w:rsidR="000530C5" w:rsidRPr="00B75B77" w:rsidTr="006F56CD">
        <w:trPr>
          <w:trHeight w:val="144"/>
        </w:trPr>
        <w:tc>
          <w:tcPr>
            <w:tcW w:w="2016" w:type="dxa"/>
            <w:tcBorders>
              <w:top w:val="nil"/>
              <w:left w:val="nil"/>
              <w:bottom w:val="nil"/>
              <w:right w:val="nil"/>
            </w:tcBorders>
            <w:noWrap/>
            <w:vAlign w:val="center"/>
          </w:tcPr>
          <w:p w:rsidR="000530C5" w:rsidRPr="00B75B77" w:rsidRDefault="0019726A" w:rsidP="006F56CD">
            <w:pPr>
              <w:spacing w:after="80"/>
              <w:jc w:val="left"/>
              <w:rPr>
                <w:rFonts w:cstheme="minorHAnsi"/>
                <w:color w:val="000000"/>
              </w:rPr>
            </w:pPr>
            <w:r w:rsidRPr="00B75B77">
              <w:rPr>
                <w:rFonts w:cstheme="minorHAnsi"/>
                <w:color w:val="000000"/>
              </w:rPr>
              <w:t>HP</w:t>
            </w:r>
          </w:p>
        </w:tc>
        <w:tc>
          <w:tcPr>
            <w:tcW w:w="7402" w:type="dxa"/>
            <w:tcBorders>
              <w:top w:val="nil"/>
              <w:left w:val="nil"/>
              <w:bottom w:val="nil"/>
              <w:right w:val="nil"/>
            </w:tcBorders>
            <w:noWrap/>
            <w:vAlign w:val="center"/>
          </w:tcPr>
          <w:p w:rsidR="000530C5" w:rsidRPr="00B75B77" w:rsidRDefault="0019726A" w:rsidP="006F56CD">
            <w:pPr>
              <w:spacing w:after="80"/>
              <w:jc w:val="left"/>
              <w:rPr>
                <w:rFonts w:cstheme="minorHAnsi"/>
                <w:color w:val="000000"/>
              </w:rPr>
            </w:pPr>
            <w:r w:rsidRPr="00B75B77">
              <w:rPr>
                <w:rFonts w:cstheme="minorHAnsi"/>
                <w:color w:val="000000"/>
              </w:rPr>
              <w:t>Horsepower</w:t>
            </w:r>
          </w:p>
        </w:tc>
      </w:tr>
      <w:tr w:rsidR="000530C5" w:rsidRPr="00B75B77" w:rsidTr="006F56CD">
        <w:trPr>
          <w:trHeight w:val="144"/>
        </w:trPr>
        <w:tc>
          <w:tcPr>
            <w:tcW w:w="2016" w:type="dxa"/>
            <w:tcBorders>
              <w:top w:val="nil"/>
              <w:left w:val="nil"/>
              <w:bottom w:val="nil"/>
              <w:right w:val="nil"/>
            </w:tcBorders>
            <w:noWrap/>
            <w:vAlign w:val="center"/>
          </w:tcPr>
          <w:p w:rsidR="000530C5" w:rsidRPr="00B75B77" w:rsidRDefault="000530C5" w:rsidP="006F56CD">
            <w:pPr>
              <w:spacing w:after="80"/>
              <w:jc w:val="left"/>
              <w:rPr>
                <w:rFonts w:cstheme="minorHAnsi"/>
                <w:color w:val="000000"/>
              </w:rPr>
            </w:pPr>
            <w:r w:rsidRPr="00B75B77">
              <w:rPr>
                <w:rFonts w:cstheme="minorHAnsi"/>
                <w:color w:val="000000"/>
              </w:rPr>
              <w:t>HPSF</w:t>
            </w:r>
          </w:p>
        </w:tc>
        <w:tc>
          <w:tcPr>
            <w:tcW w:w="7402" w:type="dxa"/>
            <w:tcBorders>
              <w:top w:val="nil"/>
              <w:left w:val="nil"/>
              <w:bottom w:val="nil"/>
              <w:right w:val="nil"/>
            </w:tcBorders>
            <w:noWrap/>
            <w:vAlign w:val="center"/>
          </w:tcPr>
          <w:p w:rsidR="000530C5" w:rsidRPr="00B75B77" w:rsidRDefault="000530C5" w:rsidP="006F56CD">
            <w:pPr>
              <w:spacing w:after="80"/>
              <w:jc w:val="left"/>
              <w:rPr>
                <w:rFonts w:cstheme="minorHAnsi"/>
                <w:color w:val="000000"/>
              </w:rPr>
            </w:pPr>
            <w:r w:rsidRPr="00B75B77">
              <w:rPr>
                <w:rFonts w:cstheme="minorHAnsi"/>
                <w:color w:val="000000"/>
              </w:rPr>
              <w:t>Heating Seasonal Performance Factor</w:t>
            </w:r>
          </w:p>
        </w:tc>
      </w:tr>
      <w:tr w:rsidR="00854D2D" w:rsidRPr="00B75B77" w:rsidTr="006F56CD">
        <w:trPr>
          <w:trHeight w:val="144"/>
        </w:trPr>
        <w:tc>
          <w:tcPr>
            <w:tcW w:w="2016" w:type="dxa"/>
            <w:tcBorders>
              <w:top w:val="nil"/>
              <w:left w:val="nil"/>
              <w:bottom w:val="nil"/>
              <w:right w:val="nil"/>
            </w:tcBorders>
            <w:noWrap/>
            <w:vAlign w:val="center"/>
          </w:tcPr>
          <w:p w:rsidR="00854D2D" w:rsidRPr="00B75B77" w:rsidRDefault="00854D2D" w:rsidP="006F56CD">
            <w:pPr>
              <w:spacing w:after="80"/>
              <w:jc w:val="left"/>
              <w:rPr>
                <w:rFonts w:cstheme="minorHAnsi"/>
                <w:color w:val="000000"/>
              </w:rPr>
            </w:pPr>
            <w:r w:rsidRPr="00B75B77">
              <w:rPr>
                <w:rFonts w:cstheme="minorHAnsi"/>
                <w:color w:val="000000"/>
              </w:rPr>
              <w:lastRenderedPageBreak/>
              <w:t>HVAC</w:t>
            </w:r>
          </w:p>
        </w:tc>
        <w:tc>
          <w:tcPr>
            <w:tcW w:w="7402" w:type="dxa"/>
            <w:tcBorders>
              <w:top w:val="nil"/>
              <w:left w:val="nil"/>
              <w:bottom w:val="nil"/>
              <w:right w:val="nil"/>
            </w:tcBorders>
            <w:noWrap/>
            <w:vAlign w:val="center"/>
          </w:tcPr>
          <w:p w:rsidR="00854D2D" w:rsidRPr="00B75B77" w:rsidRDefault="00854D2D" w:rsidP="006F56CD">
            <w:pPr>
              <w:spacing w:after="80"/>
              <w:jc w:val="left"/>
              <w:rPr>
                <w:rFonts w:cstheme="minorHAnsi"/>
                <w:color w:val="000000"/>
              </w:rPr>
            </w:pPr>
            <w:r w:rsidRPr="00B75B77">
              <w:rPr>
                <w:rFonts w:cstheme="minorHAnsi"/>
                <w:color w:val="000000"/>
              </w:rPr>
              <w:t xml:space="preserve">Heating, </w:t>
            </w:r>
            <w:r w:rsidR="007D34DB" w:rsidRPr="00B75B77">
              <w:rPr>
                <w:rFonts w:cstheme="minorHAnsi"/>
                <w:color w:val="000000"/>
              </w:rPr>
              <w:t>Ventilation</w:t>
            </w:r>
            <w:r w:rsidRPr="00B75B77">
              <w:rPr>
                <w:rFonts w:cstheme="minorHAnsi"/>
                <w:color w:val="000000"/>
              </w:rPr>
              <w:t>, and Air Conditioning</w:t>
            </w:r>
          </w:p>
        </w:tc>
      </w:tr>
      <w:tr w:rsidR="000530C5" w:rsidRPr="00B75B77" w:rsidTr="006F56CD">
        <w:trPr>
          <w:trHeight w:val="144"/>
        </w:trPr>
        <w:tc>
          <w:tcPr>
            <w:tcW w:w="2016" w:type="dxa"/>
            <w:tcBorders>
              <w:top w:val="nil"/>
              <w:left w:val="nil"/>
              <w:bottom w:val="nil"/>
              <w:right w:val="nil"/>
            </w:tcBorders>
            <w:noWrap/>
            <w:vAlign w:val="center"/>
          </w:tcPr>
          <w:p w:rsidR="000530C5" w:rsidRPr="00B75B77" w:rsidRDefault="000530C5" w:rsidP="006F56CD">
            <w:pPr>
              <w:spacing w:after="80"/>
              <w:jc w:val="left"/>
              <w:rPr>
                <w:rFonts w:cstheme="minorHAnsi"/>
                <w:color w:val="000000"/>
              </w:rPr>
            </w:pPr>
            <w:r w:rsidRPr="00B75B77">
              <w:rPr>
                <w:rFonts w:cstheme="minorHAnsi"/>
                <w:color w:val="000000"/>
              </w:rPr>
              <w:t>IMP</w:t>
            </w:r>
          </w:p>
        </w:tc>
        <w:tc>
          <w:tcPr>
            <w:tcW w:w="7402" w:type="dxa"/>
            <w:tcBorders>
              <w:top w:val="nil"/>
              <w:left w:val="nil"/>
              <w:bottom w:val="nil"/>
              <w:right w:val="nil"/>
            </w:tcBorders>
            <w:noWrap/>
            <w:vAlign w:val="center"/>
          </w:tcPr>
          <w:p w:rsidR="000530C5" w:rsidRPr="00B75B77" w:rsidRDefault="000530C5" w:rsidP="006F56CD">
            <w:pPr>
              <w:spacing w:after="80"/>
              <w:jc w:val="left"/>
              <w:rPr>
                <w:rFonts w:cstheme="minorHAnsi"/>
                <w:color w:val="000000"/>
              </w:rPr>
            </w:pPr>
            <w:r w:rsidRPr="00B75B77">
              <w:rPr>
                <w:rFonts w:cstheme="minorHAnsi"/>
                <w:color w:val="000000"/>
              </w:rPr>
              <w:t>Interim Measure Protocol</w:t>
            </w:r>
          </w:p>
        </w:tc>
      </w:tr>
      <w:tr w:rsidR="000A5BE2" w:rsidRPr="00B75B77" w:rsidTr="006F56CD">
        <w:trPr>
          <w:trHeight w:val="144"/>
        </w:trPr>
        <w:tc>
          <w:tcPr>
            <w:tcW w:w="2016" w:type="dxa"/>
            <w:tcBorders>
              <w:top w:val="nil"/>
              <w:left w:val="nil"/>
              <w:bottom w:val="nil"/>
              <w:right w:val="nil"/>
            </w:tcBorders>
            <w:noWrap/>
            <w:vAlign w:val="center"/>
          </w:tcPr>
          <w:p w:rsidR="000A5BE2" w:rsidRPr="00B75B77" w:rsidRDefault="000A5BE2" w:rsidP="006F56CD">
            <w:pPr>
              <w:spacing w:after="80"/>
              <w:jc w:val="left"/>
              <w:rPr>
                <w:rFonts w:cstheme="minorHAnsi"/>
                <w:color w:val="000000"/>
              </w:rPr>
            </w:pPr>
            <w:r w:rsidRPr="00B75B77">
              <w:rPr>
                <w:rFonts w:cstheme="minorHAnsi"/>
                <w:color w:val="000000"/>
              </w:rPr>
              <w:t>ISR</w:t>
            </w:r>
          </w:p>
        </w:tc>
        <w:tc>
          <w:tcPr>
            <w:tcW w:w="7402" w:type="dxa"/>
            <w:tcBorders>
              <w:top w:val="nil"/>
              <w:left w:val="nil"/>
              <w:bottom w:val="nil"/>
              <w:right w:val="nil"/>
            </w:tcBorders>
            <w:noWrap/>
            <w:vAlign w:val="center"/>
          </w:tcPr>
          <w:p w:rsidR="000A5BE2" w:rsidRPr="00B75B77" w:rsidRDefault="000A5BE2" w:rsidP="006F56CD">
            <w:pPr>
              <w:spacing w:after="80"/>
              <w:jc w:val="left"/>
              <w:rPr>
                <w:rFonts w:cstheme="minorHAnsi"/>
                <w:color w:val="000000"/>
              </w:rPr>
            </w:pPr>
            <w:r w:rsidRPr="00B75B77">
              <w:rPr>
                <w:rFonts w:cstheme="minorHAnsi"/>
                <w:color w:val="000000"/>
              </w:rPr>
              <w:t xml:space="preserve">In-Service Rate </w:t>
            </w:r>
          </w:p>
        </w:tc>
      </w:tr>
      <w:tr w:rsidR="00854D2D" w:rsidRPr="00B75B77" w:rsidTr="006F56CD">
        <w:trPr>
          <w:trHeight w:val="144"/>
        </w:trPr>
        <w:tc>
          <w:tcPr>
            <w:tcW w:w="2016" w:type="dxa"/>
            <w:tcBorders>
              <w:top w:val="nil"/>
              <w:left w:val="nil"/>
              <w:bottom w:val="nil"/>
              <w:right w:val="nil"/>
            </w:tcBorders>
            <w:noWrap/>
            <w:vAlign w:val="center"/>
          </w:tcPr>
          <w:p w:rsidR="00854D2D" w:rsidRPr="00B75B77" w:rsidRDefault="00854D2D" w:rsidP="006F56CD">
            <w:pPr>
              <w:spacing w:after="80"/>
              <w:jc w:val="left"/>
              <w:rPr>
                <w:rFonts w:cstheme="minorHAnsi"/>
                <w:color w:val="000000"/>
              </w:rPr>
            </w:pPr>
            <w:r w:rsidRPr="00B75B77">
              <w:rPr>
                <w:rFonts w:cstheme="minorHAnsi"/>
                <w:color w:val="000000"/>
              </w:rPr>
              <w:t>kW</w:t>
            </w:r>
          </w:p>
        </w:tc>
        <w:tc>
          <w:tcPr>
            <w:tcW w:w="7402" w:type="dxa"/>
            <w:tcBorders>
              <w:top w:val="nil"/>
              <w:left w:val="nil"/>
              <w:bottom w:val="nil"/>
              <w:right w:val="nil"/>
            </w:tcBorders>
            <w:noWrap/>
            <w:vAlign w:val="center"/>
          </w:tcPr>
          <w:p w:rsidR="00854D2D" w:rsidRPr="00B75B77" w:rsidRDefault="00854D2D" w:rsidP="006F56CD">
            <w:pPr>
              <w:spacing w:after="80"/>
              <w:jc w:val="left"/>
              <w:rPr>
                <w:rFonts w:cstheme="minorHAnsi"/>
                <w:color w:val="000000"/>
              </w:rPr>
            </w:pPr>
            <w:r w:rsidRPr="00B75B77">
              <w:rPr>
                <w:rFonts w:cstheme="minorHAnsi"/>
                <w:color w:val="000000"/>
              </w:rPr>
              <w:t>Kilowatt</w:t>
            </w:r>
          </w:p>
        </w:tc>
      </w:tr>
      <w:tr w:rsidR="00854D2D" w:rsidRPr="00B75B77" w:rsidTr="006F56CD">
        <w:trPr>
          <w:trHeight w:val="144"/>
        </w:trPr>
        <w:tc>
          <w:tcPr>
            <w:tcW w:w="2016" w:type="dxa"/>
            <w:tcBorders>
              <w:top w:val="nil"/>
              <w:left w:val="nil"/>
              <w:bottom w:val="nil"/>
              <w:right w:val="nil"/>
            </w:tcBorders>
            <w:noWrap/>
            <w:vAlign w:val="center"/>
          </w:tcPr>
          <w:p w:rsidR="00854D2D" w:rsidRPr="00B75B77" w:rsidRDefault="00854D2D" w:rsidP="006F56CD">
            <w:pPr>
              <w:spacing w:after="80"/>
              <w:jc w:val="left"/>
              <w:rPr>
                <w:rFonts w:cstheme="minorHAnsi"/>
                <w:color w:val="000000"/>
              </w:rPr>
            </w:pPr>
            <w:r w:rsidRPr="00B75B77">
              <w:rPr>
                <w:rFonts w:cstheme="minorHAnsi"/>
                <w:color w:val="000000"/>
              </w:rPr>
              <w:t>kWh</w:t>
            </w:r>
          </w:p>
        </w:tc>
        <w:tc>
          <w:tcPr>
            <w:tcW w:w="7402" w:type="dxa"/>
            <w:tcBorders>
              <w:top w:val="nil"/>
              <w:left w:val="nil"/>
              <w:bottom w:val="nil"/>
              <w:right w:val="nil"/>
            </w:tcBorders>
            <w:noWrap/>
            <w:vAlign w:val="center"/>
          </w:tcPr>
          <w:p w:rsidR="00854D2D" w:rsidRPr="00B75B77" w:rsidRDefault="00854D2D" w:rsidP="006F56CD">
            <w:pPr>
              <w:spacing w:after="80"/>
              <w:jc w:val="left"/>
              <w:rPr>
                <w:rFonts w:cstheme="minorHAnsi"/>
                <w:color w:val="000000"/>
              </w:rPr>
            </w:pPr>
            <w:r w:rsidRPr="00B75B77">
              <w:rPr>
                <w:rFonts w:cstheme="minorHAnsi"/>
                <w:color w:val="000000"/>
              </w:rPr>
              <w:t>Kilowatt-</w:t>
            </w:r>
            <w:r w:rsidR="00206D1A" w:rsidRPr="00B75B77">
              <w:rPr>
                <w:rFonts w:cstheme="minorHAnsi"/>
                <w:color w:val="000000"/>
              </w:rPr>
              <w:t>H</w:t>
            </w:r>
            <w:r w:rsidRPr="00B75B77">
              <w:rPr>
                <w:rFonts w:cstheme="minorHAnsi"/>
                <w:color w:val="000000"/>
              </w:rPr>
              <w:t>our</w:t>
            </w:r>
          </w:p>
        </w:tc>
      </w:tr>
      <w:tr w:rsidR="00854D2D" w:rsidRPr="00B75B77" w:rsidTr="006F56CD">
        <w:trPr>
          <w:trHeight w:val="144"/>
        </w:trPr>
        <w:tc>
          <w:tcPr>
            <w:tcW w:w="2016" w:type="dxa"/>
            <w:tcBorders>
              <w:top w:val="nil"/>
              <w:left w:val="nil"/>
              <w:bottom w:val="nil"/>
              <w:right w:val="nil"/>
            </w:tcBorders>
            <w:noWrap/>
            <w:vAlign w:val="center"/>
          </w:tcPr>
          <w:p w:rsidR="00854D2D" w:rsidRPr="00B75B77" w:rsidRDefault="00854D2D" w:rsidP="006F56CD">
            <w:pPr>
              <w:spacing w:after="80"/>
              <w:jc w:val="left"/>
              <w:rPr>
                <w:rFonts w:cstheme="minorHAnsi"/>
                <w:color w:val="000000"/>
              </w:rPr>
            </w:pPr>
            <w:r w:rsidRPr="00B75B77">
              <w:rPr>
                <w:rFonts w:cstheme="minorHAnsi"/>
                <w:color w:val="000000"/>
              </w:rPr>
              <w:t>LED</w:t>
            </w:r>
          </w:p>
        </w:tc>
        <w:tc>
          <w:tcPr>
            <w:tcW w:w="7402" w:type="dxa"/>
            <w:tcBorders>
              <w:top w:val="nil"/>
              <w:left w:val="nil"/>
              <w:bottom w:val="nil"/>
              <w:right w:val="nil"/>
            </w:tcBorders>
            <w:noWrap/>
            <w:vAlign w:val="center"/>
          </w:tcPr>
          <w:p w:rsidR="00854D2D" w:rsidRPr="00B75B77" w:rsidRDefault="00854D2D" w:rsidP="006F56CD">
            <w:pPr>
              <w:spacing w:after="80"/>
              <w:jc w:val="left"/>
              <w:rPr>
                <w:rFonts w:cstheme="minorHAnsi"/>
                <w:color w:val="000000"/>
              </w:rPr>
            </w:pPr>
            <w:r w:rsidRPr="00B75B77">
              <w:rPr>
                <w:rFonts w:cstheme="minorHAnsi"/>
                <w:color w:val="000000"/>
              </w:rPr>
              <w:t>Light</w:t>
            </w:r>
            <w:r w:rsidR="0044162C" w:rsidRPr="00B75B77">
              <w:rPr>
                <w:rFonts w:cstheme="minorHAnsi"/>
                <w:color w:val="000000"/>
              </w:rPr>
              <w:t>-</w:t>
            </w:r>
            <w:r w:rsidRPr="00B75B77">
              <w:rPr>
                <w:rFonts w:cstheme="minorHAnsi"/>
                <w:color w:val="000000"/>
              </w:rPr>
              <w:t>Emitting Diode</w:t>
            </w:r>
          </w:p>
        </w:tc>
      </w:tr>
      <w:tr w:rsidR="00854D2D" w:rsidRPr="00B75B77" w:rsidTr="006F56CD">
        <w:trPr>
          <w:trHeight w:val="144"/>
        </w:trPr>
        <w:tc>
          <w:tcPr>
            <w:tcW w:w="2016" w:type="dxa"/>
            <w:tcBorders>
              <w:top w:val="nil"/>
              <w:left w:val="nil"/>
              <w:bottom w:val="nil"/>
              <w:right w:val="nil"/>
            </w:tcBorders>
            <w:noWrap/>
            <w:vAlign w:val="center"/>
          </w:tcPr>
          <w:p w:rsidR="00854D2D" w:rsidRPr="00B75B77" w:rsidRDefault="00854D2D" w:rsidP="006F56CD">
            <w:pPr>
              <w:spacing w:after="80"/>
              <w:jc w:val="left"/>
              <w:rPr>
                <w:rFonts w:cstheme="minorHAnsi"/>
                <w:color w:val="000000"/>
              </w:rPr>
            </w:pPr>
            <w:r w:rsidRPr="00B75B77">
              <w:rPr>
                <w:rFonts w:cstheme="minorHAnsi"/>
                <w:color w:val="000000"/>
              </w:rPr>
              <w:t>LEEP</w:t>
            </w:r>
          </w:p>
        </w:tc>
        <w:tc>
          <w:tcPr>
            <w:tcW w:w="7402" w:type="dxa"/>
            <w:tcBorders>
              <w:top w:val="nil"/>
              <w:left w:val="nil"/>
              <w:bottom w:val="nil"/>
              <w:right w:val="nil"/>
            </w:tcBorders>
            <w:noWrap/>
            <w:vAlign w:val="center"/>
          </w:tcPr>
          <w:p w:rsidR="00854D2D" w:rsidRPr="00B75B77" w:rsidRDefault="00854D2D" w:rsidP="006F56CD">
            <w:pPr>
              <w:spacing w:after="80"/>
              <w:jc w:val="left"/>
              <w:rPr>
                <w:rFonts w:cstheme="minorHAnsi"/>
                <w:color w:val="000000"/>
              </w:rPr>
            </w:pPr>
            <w:r w:rsidRPr="00B75B77">
              <w:rPr>
                <w:rFonts w:cstheme="minorHAnsi"/>
                <w:color w:val="000000"/>
              </w:rPr>
              <w:t>Low-Income Energy Efficiency Program</w:t>
            </w:r>
          </w:p>
        </w:tc>
      </w:tr>
      <w:tr w:rsidR="000530C5" w:rsidRPr="00B75B77" w:rsidTr="006F56CD">
        <w:trPr>
          <w:trHeight w:val="144"/>
        </w:trPr>
        <w:tc>
          <w:tcPr>
            <w:tcW w:w="2016" w:type="dxa"/>
            <w:tcBorders>
              <w:top w:val="nil"/>
              <w:left w:val="nil"/>
              <w:bottom w:val="nil"/>
              <w:right w:val="nil"/>
            </w:tcBorders>
            <w:noWrap/>
            <w:vAlign w:val="center"/>
          </w:tcPr>
          <w:p w:rsidR="000530C5" w:rsidRPr="00B75B77" w:rsidRDefault="000530C5" w:rsidP="006F56CD">
            <w:pPr>
              <w:spacing w:after="80"/>
              <w:jc w:val="left"/>
              <w:rPr>
                <w:rFonts w:cstheme="minorHAnsi"/>
                <w:color w:val="000000"/>
              </w:rPr>
            </w:pPr>
            <w:r w:rsidRPr="00B75B77">
              <w:rPr>
                <w:rFonts w:cstheme="minorHAnsi"/>
                <w:color w:val="000000"/>
              </w:rPr>
              <w:t>LFER</w:t>
            </w:r>
          </w:p>
        </w:tc>
        <w:tc>
          <w:tcPr>
            <w:tcW w:w="7402" w:type="dxa"/>
            <w:tcBorders>
              <w:top w:val="nil"/>
              <w:left w:val="nil"/>
              <w:bottom w:val="nil"/>
              <w:right w:val="nil"/>
            </w:tcBorders>
            <w:noWrap/>
            <w:vAlign w:val="center"/>
          </w:tcPr>
          <w:p w:rsidR="000530C5" w:rsidRPr="00B75B77" w:rsidRDefault="000530C5" w:rsidP="006F56CD">
            <w:pPr>
              <w:spacing w:after="80"/>
              <w:jc w:val="left"/>
              <w:rPr>
                <w:rFonts w:cstheme="minorHAnsi"/>
                <w:color w:val="000000"/>
              </w:rPr>
            </w:pPr>
            <w:r w:rsidRPr="00B75B77">
              <w:rPr>
                <w:rFonts w:cstheme="minorHAnsi"/>
                <w:color w:val="000000"/>
              </w:rPr>
              <w:t>Linear Fixed-Effects Regression</w:t>
            </w:r>
          </w:p>
        </w:tc>
      </w:tr>
      <w:tr w:rsidR="00854D2D" w:rsidRPr="00B75B77" w:rsidTr="006F56CD">
        <w:trPr>
          <w:trHeight w:val="144"/>
        </w:trPr>
        <w:tc>
          <w:tcPr>
            <w:tcW w:w="2016" w:type="dxa"/>
            <w:tcBorders>
              <w:top w:val="nil"/>
              <w:left w:val="nil"/>
              <w:bottom w:val="nil"/>
              <w:right w:val="nil"/>
            </w:tcBorders>
            <w:noWrap/>
            <w:vAlign w:val="center"/>
          </w:tcPr>
          <w:p w:rsidR="00854D2D" w:rsidRPr="00B75B77" w:rsidRDefault="00854D2D" w:rsidP="006F56CD">
            <w:pPr>
              <w:spacing w:after="80"/>
              <w:jc w:val="left"/>
              <w:rPr>
                <w:rFonts w:cstheme="minorHAnsi"/>
                <w:color w:val="000000"/>
              </w:rPr>
            </w:pPr>
            <w:r w:rsidRPr="00B75B77">
              <w:rPr>
                <w:rFonts w:cstheme="minorHAnsi"/>
                <w:color w:val="000000"/>
              </w:rPr>
              <w:t>LIURP</w:t>
            </w:r>
          </w:p>
        </w:tc>
        <w:tc>
          <w:tcPr>
            <w:tcW w:w="7402" w:type="dxa"/>
            <w:tcBorders>
              <w:top w:val="nil"/>
              <w:left w:val="nil"/>
              <w:bottom w:val="nil"/>
              <w:right w:val="nil"/>
            </w:tcBorders>
            <w:noWrap/>
            <w:vAlign w:val="center"/>
          </w:tcPr>
          <w:p w:rsidR="00854D2D" w:rsidRPr="00B75B77" w:rsidRDefault="00854D2D" w:rsidP="006F56CD">
            <w:pPr>
              <w:spacing w:after="80"/>
              <w:jc w:val="left"/>
              <w:rPr>
                <w:rFonts w:cstheme="minorHAnsi"/>
                <w:color w:val="000000"/>
              </w:rPr>
            </w:pPr>
            <w:r w:rsidRPr="00B75B77">
              <w:rPr>
                <w:rFonts w:cstheme="minorHAnsi"/>
                <w:color w:val="000000"/>
              </w:rPr>
              <w:t>Low-Income Usage Reduction Program</w:t>
            </w:r>
          </w:p>
        </w:tc>
      </w:tr>
      <w:tr w:rsidR="00854D2D" w:rsidRPr="00B75B77" w:rsidTr="006F56CD">
        <w:trPr>
          <w:trHeight w:val="144"/>
        </w:trPr>
        <w:tc>
          <w:tcPr>
            <w:tcW w:w="2016" w:type="dxa"/>
            <w:tcBorders>
              <w:top w:val="nil"/>
              <w:left w:val="nil"/>
              <w:bottom w:val="nil"/>
              <w:right w:val="nil"/>
            </w:tcBorders>
            <w:noWrap/>
            <w:vAlign w:val="center"/>
          </w:tcPr>
          <w:p w:rsidR="00854D2D" w:rsidRPr="00B75B77" w:rsidRDefault="00854D2D" w:rsidP="006F56CD">
            <w:pPr>
              <w:spacing w:after="80"/>
              <w:jc w:val="left"/>
              <w:rPr>
                <w:rFonts w:cstheme="minorHAnsi"/>
                <w:color w:val="000000"/>
              </w:rPr>
            </w:pPr>
            <w:r w:rsidRPr="00B75B77">
              <w:rPr>
                <w:rFonts w:cstheme="minorHAnsi"/>
                <w:color w:val="000000"/>
              </w:rPr>
              <w:t>M&amp;V</w:t>
            </w:r>
          </w:p>
        </w:tc>
        <w:tc>
          <w:tcPr>
            <w:tcW w:w="7402" w:type="dxa"/>
            <w:tcBorders>
              <w:top w:val="nil"/>
              <w:left w:val="nil"/>
              <w:bottom w:val="nil"/>
              <w:right w:val="nil"/>
            </w:tcBorders>
            <w:noWrap/>
            <w:vAlign w:val="center"/>
          </w:tcPr>
          <w:p w:rsidR="00854D2D" w:rsidRPr="00B75B77" w:rsidRDefault="00854D2D" w:rsidP="006F56CD">
            <w:pPr>
              <w:spacing w:after="80"/>
              <w:jc w:val="left"/>
              <w:rPr>
                <w:rFonts w:cstheme="minorHAnsi"/>
                <w:color w:val="000000"/>
              </w:rPr>
            </w:pPr>
            <w:r w:rsidRPr="00B75B77">
              <w:rPr>
                <w:rFonts w:cstheme="minorHAnsi"/>
                <w:color w:val="000000"/>
              </w:rPr>
              <w:t>Measurement and Verification</w:t>
            </w:r>
          </w:p>
        </w:tc>
      </w:tr>
      <w:tr w:rsidR="00854D2D" w:rsidRPr="00B75B77" w:rsidTr="006F56CD">
        <w:trPr>
          <w:trHeight w:val="144"/>
        </w:trPr>
        <w:tc>
          <w:tcPr>
            <w:tcW w:w="2016" w:type="dxa"/>
            <w:tcBorders>
              <w:top w:val="nil"/>
              <w:left w:val="nil"/>
              <w:bottom w:val="nil"/>
              <w:right w:val="nil"/>
            </w:tcBorders>
            <w:noWrap/>
            <w:vAlign w:val="center"/>
          </w:tcPr>
          <w:p w:rsidR="00854D2D" w:rsidRPr="00B75B77" w:rsidRDefault="00854D2D" w:rsidP="006F56CD">
            <w:pPr>
              <w:spacing w:after="80"/>
              <w:jc w:val="left"/>
              <w:rPr>
                <w:rFonts w:cstheme="minorHAnsi"/>
                <w:color w:val="000000"/>
              </w:rPr>
            </w:pPr>
            <w:r w:rsidRPr="00B75B77">
              <w:rPr>
                <w:rFonts w:cstheme="minorHAnsi"/>
                <w:color w:val="000000"/>
              </w:rPr>
              <w:t>MW</w:t>
            </w:r>
          </w:p>
        </w:tc>
        <w:tc>
          <w:tcPr>
            <w:tcW w:w="7402" w:type="dxa"/>
            <w:tcBorders>
              <w:top w:val="nil"/>
              <w:left w:val="nil"/>
              <w:bottom w:val="nil"/>
              <w:right w:val="nil"/>
            </w:tcBorders>
            <w:noWrap/>
            <w:vAlign w:val="center"/>
          </w:tcPr>
          <w:p w:rsidR="00854D2D" w:rsidRPr="00B75B77" w:rsidRDefault="00854D2D" w:rsidP="006F56CD">
            <w:pPr>
              <w:spacing w:after="80"/>
              <w:jc w:val="left"/>
              <w:rPr>
                <w:rFonts w:cstheme="minorHAnsi"/>
                <w:color w:val="000000"/>
              </w:rPr>
            </w:pPr>
            <w:r w:rsidRPr="00B75B77">
              <w:rPr>
                <w:rFonts w:cstheme="minorHAnsi"/>
                <w:color w:val="000000"/>
              </w:rPr>
              <w:t>Megawatt</w:t>
            </w:r>
          </w:p>
        </w:tc>
      </w:tr>
      <w:tr w:rsidR="00854D2D" w:rsidRPr="00B75B77" w:rsidTr="006F56CD">
        <w:trPr>
          <w:trHeight w:val="144"/>
        </w:trPr>
        <w:tc>
          <w:tcPr>
            <w:tcW w:w="2016" w:type="dxa"/>
            <w:tcBorders>
              <w:top w:val="nil"/>
              <w:left w:val="nil"/>
              <w:bottom w:val="nil"/>
              <w:right w:val="nil"/>
            </w:tcBorders>
            <w:noWrap/>
            <w:vAlign w:val="center"/>
          </w:tcPr>
          <w:p w:rsidR="00854D2D" w:rsidRPr="00B75B77" w:rsidRDefault="00854D2D" w:rsidP="006F56CD">
            <w:pPr>
              <w:spacing w:after="80"/>
              <w:jc w:val="left"/>
            </w:pPr>
            <w:r w:rsidRPr="00B75B77">
              <w:rPr>
                <w:rFonts w:cstheme="minorHAnsi"/>
                <w:color w:val="000000"/>
              </w:rPr>
              <w:t>MWh</w:t>
            </w:r>
          </w:p>
        </w:tc>
        <w:tc>
          <w:tcPr>
            <w:tcW w:w="7402" w:type="dxa"/>
            <w:tcBorders>
              <w:top w:val="nil"/>
              <w:left w:val="nil"/>
              <w:bottom w:val="nil"/>
              <w:right w:val="nil"/>
            </w:tcBorders>
            <w:noWrap/>
            <w:vAlign w:val="center"/>
          </w:tcPr>
          <w:p w:rsidR="00854D2D" w:rsidRPr="00B75B77" w:rsidRDefault="00854D2D" w:rsidP="006F56CD">
            <w:pPr>
              <w:spacing w:after="80"/>
              <w:jc w:val="left"/>
            </w:pPr>
            <w:r w:rsidRPr="00B75B77">
              <w:rPr>
                <w:rFonts w:cstheme="minorHAnsi"/>
                <w:color w:val="000000"/>
              </w:rPr>
              <w:t>Megawatt-</w:t>
            </w:r>
            <w:r w:rsidR="00206D1A" w:rsidRPr="00B75B77">
              <w:rPr>
                <w:rFonts w:cstheme="minorHAnsi"/>
                <w:color w:val="000000"/>
              </w:rPr>
              <w:t>H</w:t>
            </w:r>
            <w:r w:rsidRPr="00B75B77">
              <w:rPr>
                <w:rFonts w:cstheme="minorHAnsi"/>
                <w:color w:val="000000"/>
              </w:rPr>
              <w:t>our</w:t>
            </w:r>
          </w:p>
        </w:tc>
      </w:tr>
      <w:tr w:rsidR="00854D2D" w:rsidRPr="00B75B77" w:rsidTr="006F56CD">
        <w:trPr>
          <w:trHeight w:val="144"/>
        </w:trPr>
        <w:tc>
          <w:tcPr>
            <w:tcW w:w="2016" w:type="dxa"/>
            <w:tcBorders>
              <w:top w:val="nil"/>
              <w:left w:val="nil"/>
              <w:bottom w:val="nil"/>
              <w:right w:val="nil"/>
            </w:tcBorders>
            <w:noWrap/>
            <w:vAlign w:val="center"/>
          </w:tcPr>
          <w:p w:rsidR="00854D2D" w:rsidRPr="00B75B77" w:rsidRDefault="00854D2D" w:rsidP="006F56CD">
            <w:pPr>
              <w:spacing w:after="80"/>
              <w:jc w:val="left"/>
            </w:pPr>
            <w:r w:rsidRPr="00B75B77">
              <w:rPr>
                <w:rFonts w:cstheme="minorHAnsi"/>
                <w:color w:val="000000"/>
              </w:rPr>
              <w:t>NTG</w:t>
            </w:r>
          </w:p>
        </w:tc>
        <w:tc>
          <w:tcPr>
            <w:tcW w:w="7402" w:type="dxa"/>
            <w:tcBorders>
              <w:top w:val="nil"/>
              <w:left w:val="nil"/>
              <w:bottom w:val="nil"/>
              <w:right w:val="nil"/>
            </w:tcBorders>
            <w:noWrap/>
            <w:vAlign w:val="center"/>
          </w:tcPr>
          <w:p w:rsidR="00854D2D" w:rsidRPr="00B75B77" w:rsidRDefault="00854D2D" w:rsidP="006F56CD">
            <w:pPr>
              <w:spacing w:after="80"/>
              <w:jc w:val="left"/>
            </w:pPr>
            <w:r w:rsidRPr="00B75B77">
              <w:rPr>
                <w:rFonts w:cstheme="minorHAnsi"/>
                <w:color w:val="000000"/>
              </w:rPr>
              <w:t>Net-to-Gross</w:t>
            </w:r>
          </w:p>
        </w:tc>
      </w:tr>
      <w:tr w:rsidR="00F023E5" w:rsidRPr="00B75B77" w:rsidTr="006F56CD">
        <w:trPr>
          <w:trHeight w:val="144"/>
        </w:trPr>
        <w:tc>
          <w:tcPr>
            <w:tcW w:w="2016" w:type="dxa"/>
            <w:tcBorders>
              <w:top w:val="nil"/>
              <w:left w:val="nil"/>
              <w:bottom w:val="nil"/>
              <w:right w:val="nil"/>
            </w:tcBorders>
            <w:noWrap/>
            <w:vAlign w:val="center"/>
          </w:tcPr>
          <w:p w:rsidR="00F023E5" w:rsidRPr="00B75B77" w:rsidRDefault="00F023E5" w:rsidP="006F56CD">
            <w:pPr>
              <w:spacing w:after="80"/>
              <w:jc w:val="left"/>
              <w:rPr>
                <w:rFonts w:cstheme="minorHAnsi"/>
                <w:color w:val="000000"/>
              </w:rPr>
            </w:pPr>
            <w:r w:rsidRPr="00B75B77">
              <w:rPr>
                <w:rFonts w:cstheme="minorHAnsi"/>
                <w:color w:val="000000"/>
              </w:rPr>
              <w:t xml:space="preserve">NPV </w:t>
            </w:r>
          </w:p>
        </w:tc>
        <w:tc>
          <w:tcPr>
            <w:tcW w:w="7402" w:type="dxa"/>
            <w:tcBorders>
              <w:top w:val="nil"/>
              <w:left w:val="nil"/>
              <w:bottom w:val="nil"/>
              <w:right w:val="nil"/>
            </w:tcBorders>
            <w:noWrap/>
            <w:vAlign w:val="center"/>
          </w:tcPr>
          <w:p w:rsidR="00F023E5" w:rsidRPr="00B75B77" w:rsidRDefault="00F023E5" w:rsidP="006F56CD">
            <w:pPr>
              <w:spacing w:after="80"/>
              <w:jc w:val="left"/>
              <w:rPr>
                <w:rFonts w:cstheme="minorHAnsi"/>
                <w:color w:val="000000"/>
              </w:rPr>
            </w:pPr>
            <w:r w:rsidRPr="00B75B77">
              <w:rPr>
                <w:rFonts w:cstheme="minorHAnsi"/>
                <w:color w:val="000000"/>
              </w:rPr>
              <w:t xml:space="preserve">Net Present Value </w:t>
            </w:r>
          </w:p>
        </w:tc>
      </w:tr>
      <w:tr w:rsidR="000530C5" w:rsidRPr="00B75B77" w:rsidTr="006F56CD">
        <w:trPr>
          <w:trHeight w:val="144"/>
        </w:trPr>
        <w:tc>
          <w:tcPr>
            <w:tcW w:w="2016" w:type="dxa"/>
            <w:tcBorders>
              <w:top w:val="nil"/>
              <w:left w:val="nil"/>
              <w:bottom w:val="nil"/>
              <w:right w:val="nil"/>
            </w:tcBorders>
            <w:noWrap/>
            <w:vAlign w:val="center"/>
          </w:tcPr>
          <w:p w:rsidR="000530C5" w:rsidRPr="00B75B77" w:rsidRDefault="000530C5" w:rsidP="006F56CD">
            <w:pPr>
              <w:spacing w:after="80"/>
              <w:jc w:val="left"/>
              <w:rPr>
                <w:rFonts w:cstheme="minorHAnsi"/>
                <w:color w:val="000000"/>
              </w:rPr>
            </w:pPr>
            <w:r w:rsidRPr="00B75B77">
              <w:rPr>
                <w:rFonts w:cstheme="minorHAnsi"/>
                <w:color w:val="000000"/>
              </w:rPr>
              <w:t>PEEP</w:t>
            </w:r>
          </w:p>
        </w:tc>
        <w:tc>
          <w:tcPr>
            <w:tcW w:w="7402" w:type="dxa"/>
            <w:tcBorders>
              <w:top w:val="nil"/>
              <w:left w:val="nil"/>
              <w:bottom w:val="nil"/>
              <w:right w:val="nil"/>
            </w:tcBorders>
            <w:noWrap/>
            <w:vAlign w:val="center"/>
          </w:tcPr>
          <w:p w:rsidR="000530C5" w:rsidRPr="00B75B77" w:rsidRDefault="000530C5" w:rsidP="006F56CD">
            <w:pPr>
              <w:spacing w:after="80"/>
              <w:jc w:val="left"/>
              <w:rPr>
                <w:rFonts w:cstheme="minorHAnsi"/>
                <w:color w:val="000000"/>
              </w:rPr>
            </w:pPr>
            <w:r w:rsidRPr="00B75B77">
              <w:rPr>
                <w:rFonts w:cstheme="minorHAnsi"/>
                <w:color w:val="000000"/>
              </w:rPr>
              <w:t>PECO Energizing Education Program</w:t>
            </w:r>
          </w:p>
        </w:tc>
      </w:tr>
      <w:tr w:rsidR="000530C5" w:rsidRPr="00B75B77" w:rsidTr="006F56CD">
        <w:trPr>
          <w:trHeight w:val="144"/>
        </w:trPr>
        <w:tc>
          <w:tcPr>
            <w:tcW w:w="2016" w:type="dxa"/>
            <w:tcBorders>
              <w:top w:val="nil"/>
              <w:left w:val="nil"/>
              <w:bottom w:val="nil"/>
              <w:right w:val="nil"/>
            </w:tcBorders>
            <w:noWrap/>
            <w:vAlign w:val="center"/>
          </w:tcPr>
          <w:p w:rsidR="000530C5" w:rsidRPr="00B75B77" w:rsidRDefault="000530C5" w:rsidP="000530C5">
            <w:pPr>
              <w:spacing w:after="80"/>
              <w:jc w:val="left"/>
              <w:rPr>
                <w:rFonts w:cstheme="minorHAnsi"/>
                <w:color w:val="000000"/>
              </w:rPr>
            </w:pPr>
            <w:r w:rsidRPr="00B75B77">
              <w:rPr>
                <w:rFonts w:cstheme="minorHAnsi"/>
                <w:color w:val="000000"/>
              </w:rPr>
              <w:t>PEG</w:t>
            </w:r>
          </w:p>
        </w:tc>
        <w:tc>
          <w:tcPr>
            <w:tcW w:w="7402" w:type="dxa"/>
            <w:tcBorders>
              <w:top w:val="nil"/>
              <w:left w:val="nil"/>
              <w:bottom w:val="nil"/>
              <w:right w:val="nil"/>
            </w:tcBorders>
            <w:noWrap/>
            <w:vAlign w:val="center"/>
          </w:tcPr>
          <w:p w:rsidR="000530C5" w:rsidRPr="00B75B77" w:rsidRDefault="000530C5" w:rsidP="000530C5">
            <w:pPr>
              <w:spacing w:after="80"/>
              <w:jc w:val="left"/>
              <w:rPr>
                <w:rFonts w:cstheme="minorHAnsi"/>
                <w:color w:val="000000"/>
              </w:rPr>
            </w:pPr>
            <w:r w:rsidRPr="00B75B77">
              <w:rPr>
                <w:rFonts w:cstheme="minorHAnsi"/>
                <w:color w:val="000000"/>
              </w:rPr>
              <w:t>Program Evaluators Group</w:t>
            </w:r>
          </w:p>
        </w:tc>
      </w:tr>
      <w:tr w:rsidR="000530C5" w:rsidRPr="00B75B77" w:rsidTr="006F56CD">
        <w:trPr>
          <w:trHeight w:val="144"/>
        </w:trPr>
        <w:tc>
          <w:tcPr>
            <w:tcW w:w="2016" w:type="dxa"/>
            <w:tcBorders>
              <w:top w:val="nil"/>
              <w:left w:val="nil"/>
              <w:bottom w:val="nil"/>
              <w:right w:val="nil"/>
            </w:tcBorders>
            <w:noWrap/>
            <w:vAlign w:val="center"/>
          </w:tcPr>
          <w:p w:rsidR="000530C5" w:rsidRPr="00B75B77" w:rsidRDefault="000530C5" w:rsidP="000530C5">
            <w:pPr>
              <w:spacing w:after="80"/>
              <w:jc w:val="left"/>
              <w:rPr>
                <w:rFonts w:cstheme="minorHAnsi"/>
                <w:color w:val="000000"/>
              </w:rPr>
            </w:pPr>
            <w:r w:rsidRPr="00B75B77">
              <w:rPr>
                <w:rFonts w:cstheme="minorHAnsi"/>
                <w:color w:val="000000"/>
              </w:rPr>
              <w:t>Phase II Verified/ (Phase II-VG)</w:t>
            </w:r>
          </w:p>
        </w:tc>
        <w:tc>
          <w:tcPr>
            <w:tcW w:w="7402" w:type="dxa"/>
            <w:tcBorders>
              <w:top w:val="nil"/>
              <w:left w:val="nil"/>
              <w:bottom w:val="nil"/>
              <w:right w:val="nil"/>
            </w:tcBorders>
            <w:noWrap/>
            <w:vAlign w:val="center"/>
          </w:tcPr>
          <w:p w:rsidR="000530C5" w:rsidRPr="00B75B77" w:rsidRDefault="000530C5" w:rsidP="000530C5">
            <w:pPr>
              <w:spacing w:after="80"/>
              <w:jc w:val="left"/>
              <w:rPr>
                <w:rFonts w:cstheme="minorHAnsi"/>
                <w:color w:val="000000"/>
              </w:rPr>
            </w:pPr>
            <w:r w:rsidRPr="00B75B77">
              <w:rPr>
                <w:rFonts w:cstheme="minorHAnsi"/>
                <w:color w:val="000000"/>
              </w:rPr>
              <w:t xml:space="preserve">Verified/Ex Post Cumulative Program/Portfolio Phase II Inception to Date </w:t>
            </w:r>
          </w:p>
        </w:tc>
      </w:tr>
      <w:tr w:rsidR="000530C5" w:rsidRPr="00B75B77" w:rsidTr="006F56CD">
        <w:trPr>
          <w:trHeight w:val="144"/>
        </w:trPr>
        <w:tc>
          <w:tcPr>
            <w:tcW w:w="2016" w:type="dxa"/>
            <w:tcBorders>
              <w:top w:val="nil"/>
              <w:left w:val="nil"/>
              <w:bottom w:val="nil"/>
              <w:right w:val="nil"/>
            </w:tcBorders>
            <w:noWrap/>
            <w:vAlign w:val="center"/>
          </w:tcPr>
          <w:p w:rsidR="000530C5" w:rsidRPr="00B75B77" w:rsidRDefault="000530C5" w:rsidP="000530C5">
            <w:pPr>
              <w:spacing w:after="80"/>
              <w:jc w:val="left"/>
              <w:rPr>
                <w:rFonts w:cstheme="minorHAnsi"/>
                <w:color w:val="000000"/>
              </w:rPr>
            </w:pPr>
            <w:r w:rsidRPr="00B75B77">
              <w:rPr>
                <w:rFonts w:cstheme="minorHAnsi"/>
                <w:color w:val="000000"/>
              </w:rPr>
              <w:t>Phase II Reported</w:t>
            </w:r>
          </w:p>
        </w:tc>
        <w:tc>
          <w:tcPr>
            <w:tcW w:w="7402" w:type="dxa"/>
            <w:tcBorders>
              <w:top w:val="nil"/>
              <w:left w:val="nil"/>
              <w:bottom w:val="nil"/>
              <w:right w:val="nil"/>
            </w:tcBorders>
            <w:noWrap/>
            <w:vAlign w:val="center"/>
          </w:tcPr>
          <w:p w:rsidR="000530C5" w:rsidRPr="00B75B77" w:rsidRDefault="000530C5" w:rsidP="000530C5">
            <w:pPr>
              <w:spacing w:after="80"/>
              <w:jc w:val="left"/>
              <w:rPr>
                <w:rFonts w:cstheme="minorHAnsi"/>
                <w:color w:val="000000"/>
              </w:rPr>
            </w:pPr>
            <w:r w:rsidRPr="00B75B77">
              <w:rPr>
                <w:rFonts w:cstheme="minorHAnsi"/>
                <w:color w:val="000000"/>
              </w:rPr>
              <w:t>Reported/Ex Ante Cumulative Program/Portfolio Phase II Inception to Date</w:t>
            </w:r>
          </w:p>
        </w:tc>
      </w:tr>
      <w:tr w:rsidR="000530C5" w:rsidRPr="00B75B77" w:rsidTr="006F56CD">
        <w:trPr>
          <w:trHeight w:val="144"/>
        </w:trPr>
        <w:tc>
          <w:tcPr>
            <w:tcW w:w="2016" w:type="dxa"/>
            <w:tcBorders>
              <w:top w:val="nil"/>
              <w:left w:val="nil"/>
              <w:bottom w:val="nil"/>
              <w:right w:val="nil"/>
            </w:tcBorders>
            <w:noWrap/>
            <w:vAlign w:val="center"/>
          </w:tcPr>
          <w:p w:rsidR="000530C5" w:rsidRPr="00B75B77" w:rsidRDefault="000530C5" w:rsidP="000530C5">
            <w:pPr>
              <w:spacing w:after="80"/>
              <w:jc w:val="left"/>
              <w:rPr>
                <w:rFonts w:cstheme="minorHAnsi"/>
                <w:color w:val="000000"/>
              </w:rPr>
            </w:pPr>
            <w:r w:rsidRPr="00B75B77">
              <w:rPr>
                <w:rFonts w:cstheme="minorHAnsi"/>
                <w:color w:val="000000"/>
              </w:rPr>
              <w:t>Phase II+CO</w:t>
            </w:r>
          </w:p>
        </w:tc>
        <w:tc>
          <w:tcPr>
            <w:tcW w:w="7402" w:type="dxa"/>
            <w:tcBorders>
              <w:top w:val="nil"/>
              <w:left w:val="nil"/>
              <w:bottom w:val="nil"/>
              <w:right w:val="nil"/>
            </w:tcBorders>
            <w:noWrap/>
            <w:vAlign w:val="center"/>
          </w:tcPr>
          <w:p w:rsidR="000530C5" w:rsidRPr="00B75B77" w:rsidRDefault="000530C5" w:rsidP="000530C5">
            <w:pPr>
              <w:spacing w:after="80"/>
              <w:jc w:val="left"/>
              <w:rPr>
                <w:rFonts w:cstheme="minorHAnsi"/>
                <w:color w:val="000000"/>
              </w:rPr>
            </w:pPr>
            <w:r w:rsidRPr="00B75B77">
              <w:rPr>
                <w:rFonts w:cstheme="minorHAnsi"/>
                <w:color w:val="000000"/>
              </w:rPr>
              <w:t>Cumulative Program/Portfolio Phase II Inception to Date including Carry-Over Savings from Phase I (Cumulative Phase II Verified Savings)</w:t>
            </w:r>
          </w:p>
        </w:tc>
      </w:tr>
      <w:tr w:rsidR="000530C5" w:rsidRPr="00B75B77" w:rsidTr="006F56CD">
        <w:trPr>
          <w:trHeight w:val="144"/>
        </w:trPr>
        <w:tc>
          <w:tcPr>
            <w:tcW w:w="2016" w:type="dxa"/>
            <w:tcBorders>
              <w:top w:val="nil"/>
              <w:left w:val="nil"/>
              <w:bottom w:val="nil"/>
              <w:right w:val="nil"/>
            </w:tcBorders>
            <w:noWrap/>
            <w:vAlign w:val="center"/>
          </w:tcPr>
          <w:p w:rsidR="000530C5" w:rsidRPr="00B75B77" w:rsidRDefault="000530C5" w:rsidP="006F56CD">
            <w:pPr>
              <w:spacing w:after="80"/>
              <w:jc w:val="left"/>
              <w:rPr>
                <w:rFonts w:cstheme="minorHAnsi"/>
                <w:color w:val="000000"/>
              </w:rPr>
            </w:pPr>
            <w:r w:rsidRPr="00B75B77">
              <w:rPr>
                <w:rFonts w:cstheme="minorHAnsi"/>
                <w:color w:val="000000"/>
              </w:rPr>
              <w:t>PPR</w:t>
            </w:r>
          </w:p>
        </w:tc>
        <w:tc>
          <w:tcPr>
            <w:tcW w:w="7402" w:type="dxa"/>
            <w:tcBorders>
              <w:top w:val="nil"/>
              <w:left w:val="nil"/>
              <w:bottom w:val="nil"/>
              <w:right w:val="nil"/>
            </w:tcBorders>
            <w:noWrap/>
            <w:vAlign w:val="center"/>
          </w:tcPr>
          <w:p w:rsidR="000530C5" w:rsidRPr="00B75B77" w:rsidRDefault="000530C5" w:rsidP="006F56CD">
            <w:pPr>
              <w:spacing w:after="80"/>
              <w:jc w:val="left"/>
              <w:rPr>
                <w:rFonts w:cstheme="minorHAnsi"/>
                <w:color w:val="000000"/>
              </w:rPr>
            </w:pPr>
            <w:r w:rsidRPr="00B75B77">
              <w:rPr>
                <w:rFonts w:cstheme="minorHAnsi"/>
                <w:color w:val="000000"/>
              </w:rPr>
              <w:t>Post-Program Regression</w:t>
            </w:r>
          </w:p>
        </w:tc>
      </w:tr>
      <w:tr w:rsidR="00854D2D" w:rsidRPr="00B75B77" w:rsidTr="006F56CD">
        <w:trPr>
          <w:trHeight w:val="144"/>
        </w:trPr>
        <w:tc>
          <w:tcPr>
            <w:tcW w:w="2016" w:type="dxa"/>
            <w:tcBorders>
              <w:top w:val="nil"/>
              <w:left w:val="nil"/>
              <w:bottom w:val="nil"/>
              <w:right w:val="nil"/>
            </w:tcBorders>
            <w:noWrap/>
            <w:vAlign w:val="center"/>
          </w:tcPr>
          <w:p w:rsidR="00854D2D" w:rsidRPr="00B75B77" w:rsidRDefault="00854D2D" w:rsidP="006F56CD">
            <w:pPr>
              <w:spacing w:after="80"/>
              <w:jc w:val="left"/>
              <w:rPr>
                <w:rFonts w:cstheme="minorHAnsi"/>
                <w:color w:val="000000"/>
              </w:rPr>
            </w:pPr>
            <w:r w:rsidRPr="00B75B77">
              <w:rPr>
                <w:rFonts w:cstheme="minorHAnsi"/>
                <w:color w:val="000000"/>
              </w:rPr>
              <w:t>PUC</w:t>
            </w:r>
          </w:p>
        </w:tc>
        <w:tc>
          <w:tcPr>
            <w:tcW w:w="7402" w:type="dxa"/>
            <w:tcBorders>
              <w:top w:val="nil"/>
              <w:left w:val="nil"/>
              <w:bottom w:val="nil"/>
              <w:right w:val="nil"/>
            </w:tcBorders>
            <w:noWrap/>
            <w:vAlign w:val="center"/>
          </w:tcPr>
          <w:p w:rsidR="00854D2D" w:rsidRPr="00B75B77" w:rsidRDefault="00854D2D" w:rsidP="006F56CD">
            <w:pPr>
              <w:spacing w:after="80"/>
              <w:jc w:val="left"/>
              <w:rPr>
                <w:rFonts w:cstheme="minorHAnsi"/>
                <w:color w:val="000000"/>
              </w:rPr>
            </w:pPr>
            <w:r w:rsidRPr="00B75B77">
              <w:rPr>
                <w:rFonts w:cstheme="minorHAnsi"/>
                <w:color w:val="000000"/>
              </w:rPr>
              <w:t>Pennsylvania Public Utility Commission</w:t>
            </w:r>
          </w:p>
        </w:tc>
      </w:tr>
      <w:tr w:rsidR="00854D2D" w:rsidRPr="00B75B77" w:rsidTr="006F56CD">
        <w:trPr>
          <w:trHeight w:val="144"/>
        </w:trPr>
        <w:tc>
          <w:tcPr>
            <w:tcW w:w="2016" w:type="dxa"/>
            <w:tcBorders>
              <w:top w:val="nil"/>
              <w:left w:val="nil"/>
              <w:bottom w:val="nil"/>
              <w:right w:val="nil"/>
            </w:tcBorders>
            <w:noWrap/>
            <w:vAlign w:val="center"/>
          </w:tcPr>
          <w:p w:rsidR="00854D2D" w:rsidRPr="00B75B77" w:rsidRDefault="00854D2D" w:rsidP="006F56CD">
            <w:pPr>
              <w:spacing w:after="80"/>
              <w:jc w:val="left"/>
              <w:rPr>
                <w:rFonts w:cstheme="minorHAnsi"/>
                <w:color w:val="000000"/>
              </w:rPr>
            </w:pPr>
            <w:r w:rsidRPr="00B75B77">
              <w:rPr>
                <w:rFonts w:cstheme="minorHAnsi"/>
                <w:color w:val="000000"/>
              </w:rPr>
              <w:t>PY5</w:t>
            </w:r>
          </w:p>
        </w:tc>
        <w:tc>
          <w:tcPr>
            <w:tcW w:w="7402" w:type="dxa"/>
            <w:tcBorders>
              <w:top w:val="nil"/>
              <w:left w:val="nil"/>
              <w:bottom w:val="nil"/>
              <w:right w:val="nil"/>
            </w:tcBorders>
            <w:noWrap/>
            <w:vAlign w:val="center"/>
          </w:tcPr>
          <w:p w:rsidR="00854D2D" w:rsidRPr="00B75B77" w:rsidRDefault="00854D2D" w:rsidP="006F56CD">
            <w:pPr>
              <w:spacing w:after="80"/>
              <w:jc w:val="left"/>
              <w:rPr>
                <w:rFonts w:cstheme="minorHAnsi"/>
                <w:color w:val="000000"/>
              </w:rPr>
            </w:pPr>
            <w:r w:rsidRPr="00B75B77">
              <w:rPr>
                <w:rFonts w:cstheme="minorHAnsi"/>
                <w:color w:val="000000"/>
              </w:rPr>
              <w:t>Program Year 2013, from June 1, 2013 to May 31, 2014</w:t>
            </w:r>
          </w:p>
        </w:tc>
      </w:tr>
      <w:tr w:rsidR="00854D2D" w:rsidRPr="00B75B77" w:rsidTr="006F56CD">
        <w:trPr>
          <w:trHeight w:val="144"/>
        </w:trPr>
        <w:tc>
          <w:tcPr>
            <w:tcW w:w="2016" w:type="dxa"/>
            <w:tcBorders>
              <w:top w:val="nil"/>
              <w:left w:val="nil"/>
              <w:bottom w:val="nil"/>
              <w:right w:val="nil"/>
            </w:tcBorders>
            <w:noWrap/>
            <w:vAlign w:val="center"/>
          </w:tcPr>
          <w:p w:rsidR="00854D2D" w:rsidRPr="00B75B77" w:rsidRDefault="00854D2D" w:rsidP="006F56CD">
            <w:pPr>
              <w:spacing w:after="80"/>
              <w:jc w:val="left"/>
              <w:rPr>
                <w:rFonts w:cstheme="minorHAnsi"/>
                <w:color w:val="000000"/>
              </w:rPr>
            </w:pPr>
            <w:r w:rsidRPr="00B75B77">
              <w:rPr>
                <w:rFonts w:cstheme="minorHAnsi"/>
                <w:color w:val="000000"/>
              </w:rPr>
              <w:t>PY6</w:t>
            </w:r>
          </w:p>
        </w:tc>
        <w:tc>
          <w:tcPr>
            <w:tcW w:w="7402" w:type="dxa"/>
            <w:tcBorders>
              <w:top w:val="nil"/>
              <w:left w:val="nil"/>
              <w:bottom w:val="nil"/>
              <w:right w:val="nil"/>
            </w:tcBorders>
            <w:noWrap/>
            <w:vAlign w:val="center"/>
          </w:tcPr>
          <w:p w:rsidR="00854D2D" w:rsidRPr="00B75B77" w:rsidRDefault="00854D2D" w:rsidP="006F56CD">
            <w:pPr>
              <w:spacing w:after="80"/>
              <w:jc w:val="left"/>
              <w:rPr>
                <w:rFonts w:cstheme="minorHAnsi"/>
                <w:color w:val="000000"/>
              </w:rPr>
            </w:pPr>
            <w:r w:rsidRPr="00B75B77">
              <w:rPr>
                <w:rFonts w:cstheme="minorHAnsi"/>
                <w:color w:val="000000"/>
              </w:rPr>
              <w:t>Program Year 2014</w:t>
            </w:r>
            <w:r w:rsidR="00A355C0" w:rsidRPr="00B75B77">
              <w:rPr>
                <w:rFonts w:cstheme="minorHAnsi"/>
                <w:color w:val="000000"/>
              </w:rPr>
              <w:t>, from June 1, 2014</w:t>
            </w:r>
            <w:r w:rsidRPr="00B75B77">
              <w:rPr>
                <w:rFonts w:cstheme="minorHAnsi"/>
                <w:color w:val="000000"/>
              </w:rPr>
              <w:t xml:space="preserve"> to May 31, 2015</w:t>
            </w:r>
          </w:p>
        </w:tc>
      </w:tr>
      <w:tr w:rsidR="00854D2D" w:rsidRPr="00B75B77" w:rsidTr="006F56CD">
        <w:trPr>
          <w:trHeight w:val="144"/>
        </w:trPr>
        <w:tc>
          <w:tcPr>
            <w:tcW w:w="2016" w:type="dxa"/>
            <w:tcBorders>
              <w:top w:val="nil"/>
              <w:left w:val="nil"/>
              <w:bottom w:val="nil"/>
              <w:right w:val="nil"/>
            </w:tcBorders>
            <w:noWrap/>
            <w:vAlign w:val="center"/>
          </w:tcPr>
          <w:p w:rsidR="00854D2D" w:rsidRPr="00B75B77" w:rsidRDefault="00854D2D" w:rsidP="006F56CD">
            <w:pPr>
              <w:spacing w:after="80"/>
              <w:jc w:val="left"/>
              <w:rPr>
                <w:rFonts w:cstheme="minorHAnsi"/>
                <w:color w:val="000000"/>
              </w:rPr>
            </w:pPr>
            <w:r w:rsidRPr="00B75B77">
              <w:rPr>
                <w:rFonts w:cstheme="minorHAnsi"/>
                <w:color w:val="000000"/>
              </w:rPr>
              <w:t>PY7</w:t>
            </w:r>
          </w:p>
        </w:tc>
        <w:tc>
          <w:tcPr>
            <w:tcW w:w="7402" w:type="dxa"/>
            <w:tcBorders>
              <w:top w:val="nil"/>
              <w:left w:val="nil"/>
              <w:bottom w:val="nil"/>
              <w:right w:val="nil"/>
            </w:tcBorders>
            <w:noWrap/>
            <w:vAlign w:val="center"/>
          </w:tcPr>
          <w:p w:rsidR="00854D2D" w:rsidRPr="00B75B77" w:rsidRDefault="00854D2D" w:rsidP="006F56CD">
            <w:pPr>
              <w:spacing w:after="80"/>
              <w:jc w:val="left"/>
              <w:rPr>
                <w:rFonts w:cstheme="minorHAnsi"/>
                <w:color w:val="000000"/>
              </w:rPr>
            </w:pPr>
            <w:r w:rsidRPr="00B75B77">
              <w:rPr>
                <w:rFonts w:cstheme="minorHAnsi"/>
                <w:color w:val="000000"/>
              </w:rPr>
              <w:t>Program Year 2015</w:t>
            </w:r>
            <w:r w:rsidR="00A355C0" w:rsidRPr="00B75B77">
              <w:rPr>
                <w:rFonts w:cstheme="minorHAnsi"/>
                <w:color w:val="000000"/>
              </w:rPr>
              <w:t>, from June 1, 2015</w:t>
            </w:r>
            <w:r w:rsidRPr="00B75B77">
              <w:rPr>
                <w:rFonts w:cstheme="minorHAnsi"/>
                <w:color w:val="000000"/>
              </w:rPr>
              <w:t xml:space="preserve"> to May 31, 2016</w:t>
            </w:r>
          </w:p>
        </w:tc>
      </w:tr>
      <w:tr w:rsidR="00854D2D" w:rsidRPr="00B75B77" w:rsidTr="006F56CD">
        <w:trPr>
          <w:trHeight w:val="144"/>
        </w:trPr>
        <w:tc>
          <w:tcPr>
            <w:tcW w:w="2016" w:type="dxa"/>
            <w:tcBorders>
              <w:top w:val="nil"/>
              <w:left w:val="nil"/>
              <w:bottom w:val="nil"/>
              <w:right w:val="nil"/>
            </w:tcBorders>
            <w:noWrap/>
            <w:vAlign w:val="center"/>
          </w:tcPr>
          <w:p w:rsidR="00854D2D" w:rsidRPr="00B75B77" w:rsidRDefault="00854D2D" w:rsidP="006F56CD">
            <w:pPr>
              <w:spacing w:after="80"/>
              <w:jc w:val="left"/>
              <w:rPr>
                <w:rFonts w:cstheme="minorHAnsi"/>
                <w:color w:val="000000"/>
              </w:rPr>
            </w:pPr>
            <w:r w:rsidRPr="00B75B77">
              <w:rPr>
                <w:rFonts w:cstheme="minorHAnsi"/>
                <w:color w:val="000000"/>
              </w:rPr>
              <w:t>PY8</w:t>
            </w:r>
          </w:p>
        </w:tc>
        <w:tc>
          <w:tcPr>
            <w:tcW w:w="7402" w:type="dxa"/>
            <w:tcBorders>
              <w:top w:val="nil"/>
              <w:left w:val="nil"/>
              <w:bottom w:val="nil"/>
              <w:right w:val="nil"/>
            </w:tcBorders>
            <w:noWrap/>
            <w:vAlign w:val="center"/>
          </w:tcPr>
          <w:p w:rsidR="00854D2D" w:rsidRPr="00B75B77" w:rsidRDefault="00854D2D" w:rsidP="006F56CD">
            <w:pPr>
              <w:spacing w:after="80"/>
              <w:jc w:val="left"/>
              <w:rPr>
                <w:rFonts w:cstheme="minorHAnsi"/>
                <w:color w:val="000000"/>
              </w:rPr>
            </w:pPr>
            <w:r w:rsidRPr="00B75B77">
              <w:rPr>
                <w:rFonts w:cstheme="minorHAnsi"/>
                <w:color w:val="000000"/>
              </w:rPr>
              <w:t>Program Year 2016</w:t>
            </w:r>
            <w:r w:rsidR="00A355C0" w:rsidRPr="00B75B77">
              <w:rPr>
                <w:rFonts w:cstheme="minorHAnsi"/>
                <w:color w:val="000000"/>
              </w:rPr>
              <w:t>, from June 1, 2016</w:t>
            </w:r>
            <w:r w:rsidRPr="00B75B77">
              <w:rPr>
                <w:rFonts w:cstheme="minorHAnsi"/>
                <w:color w:val="000000"/>
              </w:rPr>
              <w:t xml:space="preserve"> to May 31, 2017</w:t>
            </w:r>
          </w:p>
        </w:tc>
      </w:tr>
      <w:tr w:rsidR="00854D2D" w:rsidRPr="00B75B77" w:rsidTr="006F56CD">
        <w:trPr>
          <w:trHeight w:val="144"/>
        </w:trPr>
        <w:tc>
          <w:tcPr>
            <w:tcW w:w="2016" w:type="dxa"/>
            <w:tcBorders>
              <w:top w:val="nil"/>
              <w:left w:val="nil"/>
              <w:bottom w:val="nil"/>
              <w:right w:val="nil"/>
            </w:tcBorders>
            <w:noWrap/>
            <w:vAlign w:val="center"/>
          </w:tcPr>
          <w:p w:rsidR="00854D2D" w:rsidRPr="00B75B77" w:rsidRDefault="00854D2D" w:rsidP="006F56CD">
            <w:pPr>
              <w:spacing w:after="80"/>
              <w:jc w:val="left"/>
              <w:rPr>
                <w:rFonts w:cstheme="minorHAnsi"/>
                <w:color w:val="000000"/>
              </w:rPr>
            </w:pPr>
            <w:r w:rsidRPr="00B75B77">
              <w:rPr>
                <w:rFonts w:cstheme="minorHAnsi"/>
                <w:color w:val="000000"/>
              </w:rPr>
              <w:t>PYX QX</w:t>
            </w:r>
          </w:p>
        </w:tc>
        <w:tc>
          <w:tcPr>
            <w:tcW w:w="7402" w:type="dxa"/>
            <w:tcBorders>
              <w:top w:val="nil"/>
              <w:left w:val="nil"/>
              <w:bottom w:val="nil"/>
              <w:right w:val="nil"/>
            </w:tcBorders>
            <w:noWrap/>
            <w:vAlign w:val="center"/>
          </w:tcPr>
          <w:p w:rsidR="00854D2D" w:rsidRPr="00B75B77" w:rsidRDefault="00854D2D" w:rsidP="006F56CD">
            <w:pPr>
              <w:spacing w:after="80"/>
              <w:jc w:val="left"/>
              <w:rPr>
                <w:rFonts w:cstheme="minorHAnsi"/>
                <w:color w:val="000000"/>
              </w:rPr>
            </w:pPr>
            <w:r w:rsidRPr="00B75B77">
              <w:rPr>
                <w:rFonts w:cstheme="minorHAnsi"/>
                <w:color w:val="000000"/>
              </w:rPr>
              <w:t>Program Year X, Quarter X</w:t>
            </w:r>
          </w:p>
        </w:tc>
      </w:tr>
      <w:tr w:rsidR="00854D2D" w:rsidRPr="00B75B77" w:rsidTr="006F56CD">
        <w:trPr>
          <w:trHeight w:val="144"/>
        </w:trPr>
        <w:tc>
          <w:tcPr>
            <w:tcW w:w="2016" w:type="dxa"/>
            <w:tcBorders>
              <w:top w:val="nil"/>
              <w:left w:val="nil"/>
              <w:bottom w:val="nil"/>
              <w:right w:val="nil"/>
            </w:tcBorders>
            <w:noWrap/>
            <w:vAlign w:val="center"/>
          </w:tcPr>
          <w:p w:rsidR="00854D2D" w:rsidRPr="00B75B77" w:rsidRDefault="00854D2D" w:rsidP="006F56CD">
            <w:pPr>
              <w:spacing w:after="80"/>
              <w:jc w:val="left"/>
              <w:rPr>
                <w:rFonts w:cstheme="minorHAnsi"/>
                <w:color w:val="000000"/>
              </w:rPr>
            </w:pPr>
            <w:r w:rsidRPr="00B75B77">
              <w:rPr>
                <w:rFonts w:cstheme="minorHAnsi"/>
                <w:color w:val="000000"/>
              </w:rPr>
              <w:t>PYTD</w:t>
            </w:r>
          </w:p>
        </w:tc>
        <w:tc>
          <w:tcPr>
            <w:tcW w:w="7402" w:type="dxa"/>
            <w:tcBorders>
              <w:top w:val="nil"/>
              <w:left w:val="nil"/>
              <w:bottom w:val="nil"/>
              <w:right w:val="nil"/>
            </w:tcBorders>
            <w:noWrap/>
            <w:vAlign w:val="center"/>
          </w:tcPr>
          <w:p w:rsidR="00854D2D" w:rsidRPr="00B75B77" w:rsidRDefault="00854D2D" w:rsidP="006F56CD">
            <w:pPr>
              <w:spacing w:after="80"/>
              <w:jc w:val="left"/>
              <w:rPr>
                <w:rFonts w:cstheme="minorHAnsi"/>
                <w:color w:val="000000"/>
              </w:rPr>
            </w:pPr>
            <w:r w:rsidRPr="00B75B77">
              <w:rPr>
                <w:rFonts w:cstheme="minorHAnsi"/>
                <w:color w:val="000000"/>
              </w:rPr>
              <w:t>Program Year to Date</w:t>
            </w:r>
          </w:p>
        </w:tc>
      </w:tr>
      <w:tr w:rsidR="0019726A" w:rsidRPr="00B75B77" w:rsidTr="006F56CD">
        <w:trPr>
          <w:trHeight w:val="144"/>
        </w:trPr>
        <w:tc>
          <w:tcPr>
            <w:tcW w:w="2016" w:type="dxa"/>
            <w:tcBorders>
              <w:top w:val="nil"/>
              <w:left w:val="nil"/>
              <w:bottom w:val="nil"/>
              <w:right w:val="nil"/>
            </w:tcBorders>
            <w:noWrap/>
            <w:vAlign w:val="center"/>
          </w:tcPr>
          <w:p w:rsidR="0019726A" w:rsidRPr="00B75B77" w:rsidRDefault="0019726A" w:rsidP="0019726A">
            <w:pPr>
              <w:spacing w:after="80"/>
              <w:jc w:val="left"/>
              <w:rPr>
                <w:rFonts w:cstheme="minorHAnsi"/>
                <w:color w:val="000000"/>
              </w:rPr>
            </w:pPr>
            <w:r w:rsidRPr="00B75B77">
              <w:rPr>
                <w:rFonts w:cstheme="minorHAnsi"/>
                <w:color w:val="000000"/>
              </w:rPr>
              <w:t>QA</w:t>
            </w:r>
          </w:p>
        </w:tc>
        <w:tc>
          <w:tcPr>
            <w:tcW w:w="7402" w:type="dxa"/>
            <w:tcBorders>
              <w:top w:val="nil"/>
              <w:left w:val="nil"/>
              <w:bottom w:val="nil"/>
              <w:right w:val="nil"/>
            </w:tcBorders>
            <w:noWrap/>
            <w:vAlign w:val="center"/>
          </w:tcPr>
          <w:p w:rsidR="0019726A" w:rsidRPr="00B75B77" w:rsidRDefault="0019726A" w:rsidP="0019726A">
            <w:pPr>
              <w:spacing w:after="80"/>
              <w:jc w:val="left"/>
              <w:rPr>
                <w:rFonts w:cstheme="minorHAnsi"/>
                <w:color w:val="000000"/>
              </w:rPr>
            </w:pPr>
            <w:r w:rsidRPr="00B75B77">
              <w:rPr>
                <w:rFonts w:cstheme="minorHAnsi"/>
                <w:color w:val="000000"/>
              </w:rPr>
              <w:t>Quality Assurance</w:t>
            </w:r>
          </w:p>
        </w:tc>
      </w:tr>
      <w:tr w:rsidR="000530C5" w:rsidRPr="00B75B77" w:rsidTr="006F56CD">
        <w:trPr>
          <w:trHeight w:val="144"/>
        </w:trPr>
        <w:tc>
          <w:tcPr>
            <w:tcW w:w="2016" w:type="dxa"/>
            <w:tcBorders>
              <w:top w:val="nil"/>
              <w:left w:val="nil"/>
              <w:bottom w:val="nil"/>
              <w:right w:val="nil"/>
            </w:tcBorders>
            <w:noWrap/>
            <w:vAlign w:val="center"/>
          </w:tcPr>
          <w:p w:rsidR="000530C5" w:rsidRPr="00B75B77" w:rsidRDefault="0019726A" w:rsidP="006F56CD">
            <w:pPr>
              <w:spacing w:after="80"/>
              <w:jc w:val="left"/>
              <w:rPr>
                <w:rFonts w:cstheme="minorHAnsi"/>
                <w:color w:val="000000"/>
              </w:rPr>
            </w:pPr>
            <w:r w:rsidRPr="00B75B77">
              <w:rPr>
                <w:rFonts w:cstheme="minorHAnsi"/>
                <w:color w:val="000000"/>
              </w:rPr>
              <w:t>QC</w:t>
            </w:r>
          </w:p>
        </w:tc>
        <w:tc>
          <w:tcPr>
            <w:tcW w:w="7402" w:type="dxa"/>
            <w:tcBorders>
              <w:top w:val="nil"/>
              <w:left w:val="nil"/>
              <w:bottom w:val="nil"/>
              <w:right w:val="nil"/>
            </w:tcBorders>
            <w:noWrap/>
            <w:vAlign w:val="center"/>
          </w:tcPr>
          <w:p w:rsidR="000530C5" w:rsidRPr="00B75B77" w:rsidRDefault="000530C5" w:rsidP="0019726A">
            <w:pPr>
              <w:spacing w:after="80"/>
              <w:jc w:val="left"/>
              <w:rPr>
                <w:rFonts w:cstheme="minorHAnsi"/>
                <w:color w:val="000000"/>
              </w:rPr>
            </w:pPr>
            <w:r w:rsidRPr="00B75B77">
              <w:rPr>
                <w:rFonts w:cstheme="minorHAnsi"/>
                <w:color w:val="000000"/>
              </w:rPr>
              <w:t xml:space="preserve">Quality </w:t>
            </w:r>
            <w:r w:rsidR="0019726A" w:rsidRPr="00B75B77">
              <w:rPr>
                <w:rFonts w:cstheme="minorHAnsi"/>
                <w:color w:val="000000"/>
              </w:rPr>
              <w:t>Control</w:t>
            </w:r>
          </w:p>
        </w:tc>
      </w:tr>
      <w:tr w:rsidR="000530C5" w:rsidRPr="00B75B77" w:rsidTr="006F56CD">
        <w:trPr>
          <w:trHeight w:val="144"/>
        </w:trPr>
        <w:tc>
          <w:tcPr>
            <w:tcW w:w="2016" w:type="dxa"/>
            <w:tcBorders>
              <w:top w:val="nil"/>
              <w:left w:val="nil"/>
              <w:bottom w:val="nil"/>
              <w:right w:val="nil"/>
            </w:tcBorders>
            <w:noWrap/>
            <w:vAlign w:val="center"/>
          </w:tcPr>
          <w:p w:rsidR="000530C5" w:rsidRPr="00B75B77" w:rsidRDefault="000530C5" w:rsidP="006F56CD">
            <w:pPr>
              <w:spacing w:after="80"/>
              <w:jc w:val="left"/>
              <w:rPr>
                <w:rFonts w:cstheme="minorHAnsi"/>
                <w:color w:val="000000"/>
              </w:rPr>
            </w:pPr>
            <w:r w:rsidRPr="00B75B77">
              <w:rPr>
                <w:rFonts w:cstheme="minorHAnsi"/>
                <w:color w:val="000000"/>
              </w:rPr>
              <w:t>RAP</w:t>
            </w:r>
          </w:p>
        </w:tc>
        <w:tc>
          <w:tcPr>
            <w:tcW w:w="7402" w:type="dxa"/>
            <w:tcBorders>
              <w:top w:val="nil"/>
              <w:left w:val="nil"/>
              <w:bottom w:val="nil"/>
              <w:right w:val="nil"/>
            </w:tcBorders>
            <w:noWrap/>
            <w:vAlign w:val="center"/>
          </w:tcPr>
          <w:p w:rsidR="000530C5" w:rsidRPr="00B75B77" w:rsidRDefault="000530C5" w:rsidP="006F56CD">
            <w:pPr>
              <w:spacing w:after="80"/>
              <w:jc w:val="left"/>
              <w:rPr>
                <w:rFonts w:cstheme="minorHAnsi"/>
                <w:color w:val="000000"/>
              </w:rPr>
            </w:pPr>
            <w:r w:rsidRPr="00B75B77">
              <w:rPr>
                <w:rFonts w:cstheme="minorHAnsi"/>
                <w:color w:val="000000"/>
              </w:rPr>
              <w:t>Research Action Programs</w:t>
            </w:r>
          </w:p>
        </w:tc>
      </w:tr>
      <w:tr w:rsidR="000530C5" w:rsidRPr="00B75B77" w:rsidTr="006F56CD">
        <w:trPr>
          <w:trHeight w:val="144"/>
        </w:trPr>
        <w:tc>
          <w:tcPr>
            <w:tcW w:w="2016" w:type="dxa"/>
            <w:tcBorders>
              <w:top w:val="nil"/>
              <w:left w:val="nil"/>
              <w:bottom w:val="nil"/>
              <w:right w:val="nil"/>
            </w:tcBorders>
            <w:noWrap/>
            <w:vAlign w:val="center"/>
          </w:tcPr>
          <w:p w:rsidR="000530C5" w:rsidRPr="00B75B77" w:rsidRDefault="000530C5" w:rsidP="006F56CD">
            <w:pPr>
              <w:spacing w:after="80"/>
              <w:jc w:val="left"/>
              <w:rPr>
                <w:rFonts w:cstheme="minorHAnsi"/>
                <w:color w:val="000000"/>
              </w:rPr>
            </w:pPr>
            <w:r w:rsidRPr="00B75B77">
              <w:rPr>
                <w:rFonts w:cstheme="minorHAnsi"/>
                <w:color w:val="000000"/>
              </w:rPr>
              <w:t>RCT</w:t>
            </w:r>
          </w:p>
        </w:tc>
        <w:tc>
          <w:tcPr>
            <w:tcW w:w="7402" w:type="dxa"/>
            <w:tcBorders>
              <w:top w:val="nil"/>
              <w:left w:val="nil"/>
              <w:bottom w:val="nil"/>
              <w:right w:val="nil"/>
            </w:tcBorders>
            <w:noWrap/>
            <w:vAlign w:val="center"/>
          </w:tcPr>
          <w:p w:rsidR="000530C5" w:rsidRPr="00B75B77" w:rsidRDefault="000530C5" w:rsidP="006F56CD">
            <w:pPr>
              <w:spacing w:after="80"/>
              <w:jc w:val="left"/>
              <w:rPr>
                <w:rFonts w:cstheme="minorHAnsi"/>
                <w:color w:val="000000"/>
              </w:rPr>
            </w:pPr>
            <w:r w:rsidRPr="00B75B77">
              <w:rPr>
                <w:rFonts w:cstheme="minorHAnsi"/>
                <w:color w:val="000000"/>
              </w:rPr>
              <w:t>Randomized Control Trial</w:t>
            </w:r>
          </w:p>
        </w:tc>
      </w:tr>
      <w:tr w:rsidR="000530C5" w:rsidRPr="00B75B77" w:rsidTr="006F56CD">
        <w:trPr>
          <w:trHeight w:val="144"/>
        </w:trPr>
        <w:tc>
          <w:tcPr>
            <w:tcW w:w="2016" w:type="dxa"/>
            <w:tcBorders>
              <w:top w:val="nil"/>
              <w:left w:val="nil"/>
              <w:bottom w:val="nil"/>
              <w:right w:val="nil"/>
            </w:tcBorders>
            <w:noWrap/>
            <w:vAlign w:val="center"/>
          </w:tcPr>
          <w:p w:rsidR="000530C5" w:rsidRPr="00B75B77" w:rsidRDefault="000530C5" w:rsidP="006F56CD">
            <w:pPr>
              <w:spacing w:after="80"/>
              <w:jc w:val="left"/>
              <w:rPr>
                <w:rFonts w:cstheme="minorHAnsi"/>
                <w:color w:val="000000"/>
              </w:rPr>
            </w:pPr>
            <w:r w:rsidRPr="00B75B77">
              <w:rPr>
                <w:rFonts w:cstheme="minorHAnsi"/>
                <w:color w:val="000000"/>
              </w:rPr>
              <w:t>SAR</w:t>
            </w:r>
          </w:p>
        </w:tc>
        <w:tc>
          <w:tcPr>
            <w:tcW w:w="7402" w:type="dxa"/>
            <w:tcBorders>
              <w:top w:val="nil"/>
              <w:left w:val="nil"/>
              <w:bottom w:val="nil"/>
              <w:right w:val="nil"/>
            </w:tcBorders>
            <w:noWrap/>
            <w:vAlign w:val="center"/>
          </w:tcPr>
          <w:p w:rsidR="000530C5" w:rsidRPr="00B75B77" w:rsidRDefault="000530C5" w:rsidP="006F56CD">
            <w:pPr>
              <w:pStyle w:val="NormalSpacer"/>
              <w:jc w:val="left"/>
            </w:pPr>
            <w:r w:rsidRPr="00B75B77">
              <w:t>Smart Appliance Recycling</w:t>
            </w:r>
          </w:p>
        </w:tc>
      </w:tr>
      <w:tr w:rsidR="000530C5" w:rsidRPr="00B75B77" w:rsidTr="006F56CD">
        <w:trPr>
          <w:trHeight w:val="144"/>
        </w:trPr>
        <w:tc>
          <w:tcPr>
            <w:tcW w:w="2016" w:type="dxa"/>
            <w:tcBorders>
              <w:top w:val="nil"/>
              <w:left w:val="nil"/>
              <w:bottom w:val="nil"/>
              <w:right w:val="nil"/>
            </w:tcBorders>
            <w:noWrap/>
            <w:vAlign w:val="center"/>
          </w:tcPr>
          <w:p w:rsidR="000530C5" w:rsidRPr="00B75B77" w:rsidRDefault="000530C5" w:rsidP="006F56CD">
            <w:pPr>
              <w:spacing w:after="80"/>
              <w:jc w:val="left"/>
              <w:rPr>
                <w:rFonts w:cstheme="minorHAnsi"/>
                <w:color w:val="000000"/>
              </w:rPr>
            </w:pPr>
            <w:r w:rsidRPr="00B75B77">
              <w:rPr>
                <w:rFonts w:cstheme="minorHAnsi"/>
                <w:color w:val="000000"/>
              </w:rPr>
              <w:t>SBR</w:t>
            </w:r>
          </w:p>
        </w:tc>
        <w:tc>
          <w:tcPr>
            <w:tcW w:w="7402" w:type="dxa"/>
            <w:tcBorders>
              <w:top w:val="nil"/>
              <w:left w:val="nil"/>
              <w:bottom w:val="nil"/>
              <w:right w:val="nil"/>
            </w:tcBorders>
            <w:noWrap/>
            <w:vAlign w:val="center"/>
          </w:tcPr>
          <w:p w:rsidR="000530C5" w:rsidRPr="00B75B77" w:rsidRDefault="000530C5" w:rsidP="006F56CD">
            <w:pPr>
              <w:pStyle w:val="NormalSpacer"/>
              <w:jc w:val="left"/>
            </w:pPr>
            <w:r w:rsidRPr="00B75B77">
              <w:t>Smart Builder Rebates</w:t>
            </w:r>
          </w:p>
        </w:tc>
      </w:tr>
      <w:tr w:rsidR="0019726A" w:rsidRPr="00B75B77" w:rsidTr="006F56CD">
        <w:trPr>
          <w:trHeight w:val="144"/>
        </w:trPr>
        <w:tc>
          <w:tcPr>
            <w:tcW w:w="2016" w:type="dxa"/>
            <w:tcBorders>
              <w:top w:val="nil"/>
              <w:left w:val="nil"/>
              <w:bottom w:val="nil"/>
              <w:right w:val="nil"/>
            </w:tcBorders>
            <w:noWrap/>
            <w:vAlign w:val="center"/>
          </w:tcPr>
          <w:p w:rsidR="0019726A" w:rsidRPr="00B75B77" w:rsidRDefault="0019726A" w:rsidP="006F56CD">
            <w:pPr>
              <w:spacing w:after="80"/>
              <w:jc w:val="left"/>
              <w:rPr>
                <w:rFonts w:cstheme="minorHAnsi"/>
                <w:color w:val="000000"/>
              </w:rPr>
            </w:pPr>
            <w:r w:rsidRPr="00B75B77">
              <w:rPr>
                <w:rFonts w:cstheme="minorHAnsi"/>
                <w:color w:val="000000"/>
              </w:rPr>
              <w:t>SCI</w:t>
            </w:r>
          </w:p>
        </w:tc>
        <w:tc>
          <w:tcPr>
            <w:tcW w:w="7402" w:type="dxa"/>
            <w:tcBorders>
              <w:top w:val="nil"/>
              <w:left w:val="nil"/>
              <w:bottom w:val="nil"/>
              <w:right w:val="nil"/>
            </w:tcBorders>
            <w:noWrap/>
            <w:vAlign w:val="center"/>
          </w:tcPr>
          <w:p w:rsidR="0019726A" w:rsidRPr="00B75B77" w:rsidRDefault="0019726A" w:rsidP="006F56CD">
            <w:pPr>
              <w:pStyle w:val="NormalSpacer"/>
              <w:jc w:val="left"/>
            </w:pPr>
            <w:r w:rsidRPr="00B75B77">
              <w:t>Smart Construction Incentives</w:t>
            </w:r>
          </w:p>
        </w:tc>
      </w:tr>
      <w:tr w:rsidR="00854D2D" w:rsidRPr="00B75B77" w:rsidTr="006F56CD">
        <w:trPr>
          <w:trHeight w:val="144"/>
        </w:trPr>
        <w:tc>
          <w:tcPr>
            <w:tcW w:w="2016" w:type="dxa"/>
            <w:tcBorders>
              <w:top w:val="nil"/>
              <w:left w:val="nil"/>
              <w:bottom w:val="nil"/>
              <w:right w:val="nil"/>
            </w:tcBorders>
            <w:noWrap/>
            <w:vAlign w:val="center"/>
          </w:tcPr>
          <w:p w:rsidR="00854D2D" w:rsidRPr="00B75B77" w:rsidRDefault="00854D2D" w:rsidP="006F56CD">
            <w:pPr>
              <w:spacing w:after="80"/>
              <w:jc w:val="left"/>
              <w:rPr>
                <w:rFonts w:cstheme="minorHAnsi"/>
                <w:color w:val="000000"/>
              </w:rPr>
            </w:pPr>
            <w:r w:rsidRPr="00B75B77">
              <w:rPr>
                <w:rFonts w:cstheme="minorHAnsi"/>
                <w:color w:val="000000"/>
              </w:rPr>
              <w:t>SEER</w:t>
            </w:r>
          </w:p>
        </w:tc>
        <w:tc>
          <w:tcPr>
            <w:tcW w:w="7402" w:type="dxa"/>
            <w:tcBorders>
              <w:top w:val="nil"/>
              <w:left w:val="nil"/>
              <w:bottom w:val="nil"/>
              <w:right w:val="nil"/>
            </w:tcBorders>
            <w:noWrap/>
            <w:vAlign w:val="center"/>
          </w:tcPr>
          <w:p w:rsidR="00854D2D" w:rsidRPr="00B75B77" w:rsidRDefault="00854D2D" w:rsidP="006F56CD">
            <w:pPr>
              <w:pStyle w:val="NormalSpacer"/>
              <w:jc w:val="left"/>
            </w:pPr>
            <w:r w:rsidRPr="00B75B77">
              <w:t>Seasonal Energy Efficiency Rating</w:t>
            </w:r>
          </w:p>
        </w:tc>
      </w:tr>
      <w:tr w:rsidR="0019726A" w:rsidRPr="00B75B77" w:rsidTr="006F56CD">
        <w:trPr>
          <w:trHeight w:val="144"/>
        </w:trPr>
        <w:tc>
          <w:tcPr>
            <w:tcW w:w="2016" w:type="dxa"/>
            <w:tcBorders>
              <w:top w:val="nil"/>
              <w:left w:val="nil"/>
              <w:bottom w:val="nil"/>
              <w:right w:val="nil"/>
            </w:tcBorders>
            <w:noWrap/>
            <w:vAlign w:val="center"/>
          </w:tcPr>
          <w:p w:rsidR="0019726A" w:rsidRPr="00B75B77" w:rsidRDefault="0019726A" w:rsidP="006F56CD">
            <w:pPr>
              <w:spacing w:after="80"/>
              <w:jc w:val="left"/>
              <w:rPr>
                <w:rFonts w:cstheme="minorHAnsi"/>
                <w:color w:val="000000"/>
              </w:rPr>
            </w:pPr>
            <w:r w:rsidRPr="00B75B77">
              <w:rPr>
                <w:rFonts w:cstheme="minorHAnsi"/>
                <w:color w:val="000000"/>
              </w:rPr>
              <w:t>SEI</w:t>
            </w:r>
          </w:p>
        </w:tc>
        <w:tc>
          <w:tcPr>
            <w:tcW w:w="7402" w:type="dxa"/>
            <w:tcBorders>
              <w:top w:val="nil"/>
              <w:left w:val="nil"/>
              <w:bottom w:val="nil"/>
              <w:right w:val="nil"/>
            </w:tcBorders>
            <w:noWrap/>
            <w:vAlign w:val="center"/>
          </w:tcPr>
          <w:p w:rsidR="0019726A" w:rsidRPr="00B75B77" w:rsidRDefault="0019726A" w:rsidP="006F56CD">
            <w:pPr>
              <w:pStyle w:val="NormalSpacer"/>
              <w:jc w:val="left"/>
            </w:pPr>
            <w:r w:rsidRPr="00B75B77">
              <w:t>Smart Equipment Incentives</w:t>
            </w:r>
          </w:p>
        </w:tc>
      </w:tr>
      <w:tr w:rsidR="000530C5" w:rsidRPr="00B75B77" w:rsidTr="006F56CD">
        <w:trPr>
          <w:trHeight w:val="144"/>
        </w:trPr>
        <w:tc>
          <w:tcPr>
            <w:tcW w:w="2016" w:type="dxa"/>
            <w:tcBorders>
              <w:top w:val="nil"/>
              <w:left w:val="nil"/>
              <w:bottom w:val="nil"/>
              <w:right w:val="nil"/>
            </w:tcBorders>
            <w:noWrap/>
            <w:vAlign w:val="center"/>
          </w:tcPr>
          <w:p w:rsidR="000530C5" w:rsidRPr="00B75B77" w:rsidRDefault="000530C5" w:rsidP="000530C5">
            <w:pPr>
              <w:spacing w:after="80"/>
              <w:jc w:val="left"/>
              <w:rPr>
                <w:rFonts w:cstheme="minorHAnsi"/>
                <w:color w:val="000000"/>
              </w:rPr>
            </w:pPr>
            <w:r w:rsidRPr="00B75B77">
              <w:rPr>
                <w:rFonts w:cstheme="minorHAnsi"/>
                <w:color w:val="000000"/>
              </w:rPr>
              <w:t>SES</w:t>
            </w:r>
          </w:p>
        </w:tc>
        <w:tc>
          <w:tcPr>
            <w:tcW w:w="7402" w:type="dxa"/>
            <w:tcBorders>
              <w:top w:val="nil"/>
              <w:left w:val="nil"/>
              <w:bottom w:val="nil"/>
              <w:right w:val="nil"/>
            </w:tcBorders>
            <w:noWrap/>
            <w:vAlign w:val="center"/>
          </w:tcPr>
          <w:p w:rsidR="000530C5" w:rsidRPr="00B75B77" w:rsidRDefault="000530C5" w:rsidP="000530C5">
            <w:pPr>
              <w:pStyle w:val="NormalSpacer"/>
              <w:jc w:val="left"/>
            </w:pPr>
            <w:r w:rsidRPr="00B75B77">
              <w:t>Smart Energy Saver</w:t>
            </w:r>
          </w:p>
        </w:tc>
      </w:tr>
      <w:tr w:rsidR="000530C5" w:rsidRPr="00B75B77" w:rsidTr="006F56CD">
        <w:trPr>
          <w:trHeight w:val="144"/>
        </w:trPr>
        <w:tc>
          <w:tcPr>
            <w:tcW w:w="2016" w:type="dxa"/>
            <w:tcBorders>
              <w:top w:val="nil"/>
              <w:left w:val="nil"/>
              <w:bottom w:val="nil"/>
              <w:right w:val="nil"/>
            </w:tcBorders>
            <w:noWrap/>
            <w:vAlign w:val="center"/>
          </w:tcPr>
          <w:p w:rsidR="000530C5" w:rsidRPr="00B75B77" w:rsidRDefault="000530C5" w:rsidP="006F56CD">
            <w:pPr>
              <w:spacing w:after="80"/>
              <w:jc w:val="left"/>
              <w:rPr>
                <w:rFonts w:cstheme="minorHAnsi"/>
                <w:color w:val="000000"/>
              </w:rPr>
            </w:pPr>
            <w:r w:rsidRPr="00B75B77">
              <w:rPr>
                <w:rFonts w:cstheme="minorHAnsi"/>
                <w:color w:val="000000"/>
              </w:rPr>
              <w:lastRenderedPageBreak/>
              <w:t>SHC</w:t>
            </w:r>
          </w:p>
        </w:tc>
        <w:tc>
          <w:tcPr>
            <w:tcW w:w="7402" w:type="dxa"/>
            <w:tcBorders>
              <w:top w:val="nil"/>
              <w:left w:val="nil"/>
              <w:bottom w:val="nil"/>
              <w:right w:val="nil"/>
            </w:tcBorders>
            <w:noWrap/>
            <w:vAlign w:val="center"/>
          </w:tcPr>
          <w:p w:rsidR="000530C5" w:rsidRPr="00B75B77" w:rsidRDefault="000530C5" w:rsidP="006F56CD">
            <w:pPr>
              <w:pStyle w:val="NormalSpacer"/>
              <w:jc w:val="left"/>
            </w:pPr>
            <w:r w:rsidRPr="00B75B77">
              <w:t>Smart House Call</w:t>
            </w:r>
          </w:p>
        </w:tc>
      </w:tr>
      <w:tr w:rsidR="000530C5" w:rsidRPr="00B75B77" w:rsidTr="006F56CD">
        <w:trPr>
          <w:trHeight w:val="144"/>
        </w:trPr>
        <w:tc>
          <w:tcPr>
            <w:tcW w:w="2016" w:type="dxa"/>
            <w:tcBorders>
              <w:top w:val="nil"/>
              <w:left w:val="nil"/>
              <w:bottom w:val="nil"/>
              <w:right w:val="nil"/>
            </w:tcBorders>
            <w:noWrap/>
            <w:vAlign w:val="center"/>
          </w:tcPr>
          <w:p w:rsidR="000530C5" w:rsidRPr="00B75B77" w:rsidRDefault="00A10558" w:rsidP="006F56CD">
            <w:pPr>
              <w:spacing w:after="80"/>
              <w:jc w:val="left"/>
              <w:rPr>
                <w:rFonts w:cstheme="minorHAnsi"/>
                <w:color w:val="000000"/>
              </w:rPr>
            </w:pPr>
            <w:r w:rsidRPr="00B75B77">
              <w:rPr>
                <w:rFonts w:cstheme="minorHAnsi"/>
                <w:color w:val="000000"/>
              </w:rPr>
              <w:t>SMF</w:t>
            </w:r>
          </w:p>
        </w:tc>
        <w:tc>
          <w:tcPr>
            <w:tcW w:w="7402" w:type="dxa"/>
            <w:tcBorders>
              <w:top w:val="nil"/>
              <w:left w:val="nil"/>
              <w:bottom w:val="nil"/>
              <w:right w:val="nil"/>
            </w:tcBorders>
            <w:noWrap/>
            <w:vAlign w:val="center"/>
          </w:tcPr>
          <w:p w:rsidR="000530C5" w:rsidRPr="00B75B77" w:rsidRDefault="00A10558" w:rsidP="006F56CD">
            <w:pPr>
              <w:spacing w:after="80"/>
              <w:jc w:val="left"/>
              <w:rPr>
                <w:rFonts w:cstheme="minorHAnsi"/>
                <w:color w:val="000000"/>
              </w:rPr>
            </w:pPr>
            <w:r w:rsidRPr="00B75B77">
              <w:rPr>
                <w:rFonts w:cstheme="minorHAnsi"/>
                <w:color w:val="000000"/>
              </w:rPr>
              <w:t>Smart Multi-Family</w:t>
            </w:r>
          </w:p>
        </w:tc>
      </w:tr>
      <w:tr w:rsidR="00A10558" w:rsidRPr="00B75B77" w:rsidTr="006F56CD">
        <w:trPr>
          <w:trHeight w:val="144"/>
        </w:trPr>
        <w:tc>
          <w:tcPr>
            <w:tcW w:w="2016" w:type="dxa"/>
            <w:tcBorders>
              <w:top w:val="nil"/>
              <w:left w:val="nil"/>
              <w:bottom w:val="nil"/>
              <w:right w:val="nil"/>
            </w:tcBorders>
            <w:noWrap/>
            <w:vAlign w:val="center"/>
          </w:tcPr>
          <w:p w:rsidR="00A10558" w:rsidRPr="00B75B77" w:rsidRDefault="0019726A" w:rsidP="00A10558">
            <w:pPr>
              <w:spacing w:after="80"/>
              <w:jc w:val="left"/>
              <w:rPr>
                <w:rFonts w:cstheme="minorHAnsi"/>
                <w:color w:val="000000"/>
              </w:rPr>
            </w:pPr>
            <w:r w:rsidRPr="00B75B77">
              <w:rPr>
                <w:rFonts w:cstheme="minorHAnsi"/>
                <w:color w:val="000000"/>
              </w:rPr>
              <w:t>SOS</w:t>
            </w:r>
          </w:p>
        </w:tc>
        <w:tc>
          <w:tcPr>
            <w:tcW w:w="7402" w:type="dxa"/>
            <w:tcBorders>
              <w:top w:val="nil"/>
              <w:left w:val="nil"/>
              <w:bottom w:val="nil"/>
              <w:right w:val="nil"/>
            </w:tcBorders>
            <w:noWrap/>
            <w:vAlign w:val="center"/>
          </w:tcPr>
          <w:p w:rsidR="00A10558" w:rsidRPr="00B75B77" w:rsidRDefault="0019726A" w:rsidP="00A10558">
            <w:pPr>
              <w:spacing w:after="80"/>
              <w:jc w:val="left"/>
              <w:rPr>
                <w:rFonts w:cstheme="minorHAnsi"/>
                <w:color w:val="000000"/>
              </w:rPr>
            </w:pPr>
            <w:r w:rsidRPr="00B75B77">
              <w:rPr>
                <w:rFonts w:cstheme="minorHAnsi"/>
                <w:color w:val="000000"/>
              </w:rPr>
              <w:t>Smart On-Site</w:t>
            </w:r>
          </w:p>
        </w:tc>
      </w:tr>
      <w:tr w:rsidR="0019726A" w:rsidRPr="00B75B77" w:rsidTr="006F56CD">
        <w:trPr>
          <w:trHeight w:val="144"/>
        </w:trPr>
        <w:tc>
          <w:tcPr>
            <w:tcW w:w="2016" w:type="dxa"/>
            <w:tcBorders>
              <w:top w:val="nil"/>
              <w:left w:val="nil"/>
              <w:bottom w:val="nil"/>
              <w:right w:val="nil"/>
            </w:tcBorders>
            <w:noWrap/>
            <w:vAlign w:val="center"/>
          </w:tcPr>
          <w:p w:rsidR="0019726A" w:rsidRPr="00B75B77" w:rsidRDefault="0019726A" w:rsidP="0019726A">
            <w:pPr>
              <w:spacing w:after="80"/>
              <w:jc w:val="left"/>
              <w:rPr>
                <w:rFonts w:cstheme="minorHAnsi"/>
                <w:color w:val="000000"/>
              </w:rPr>
            </w:pPr>
            <w:r w:rsidRPr="00B75B77">
              <w:rPr>
                <w:rFonts w:cstheme="minorHAnsi"/>
                <w:color w:val="000000"/>
              </w:rPr>
              <w:t>SSMVP</w:t>
            </w:r>
          </w:p>
        </w:tc>
        <w:tc>
          <w:tcPr>
            <w:tcW w:w="7402" w:type="dxa"/>
            <w:tcBorders>
              <w:top w:val="nil"/>
              <w:left w:val="nil"/>
              <w:bottom w:val="nil"/>
              <w:right w:val="nil"/>
            </w:tcBorders>
            <w:noWrap/>
            <w:vAlign w:val="center"/>
          </w:tcPr>
          <w:p w:rsidR="0019726A" w:rsidRPr="00B75B77" w:rsidRDefault="0019726A" w:rsidP="0019726A">
            <w:pPr>
              <w:spacing w:after="80"/>
              <w:jc w:val="left"/>
              <w:rPr>
                <w:rFonts w:cstheme="minorHAnsi"/>
                <w:color w:val="000000"/>
              </w:rPr>
            </w:pPr>
            <w:r w:rsidRPr="00B75B77">
              <w:rPr>
                <w:rFonts w:cstheme="minorHAnsi"/>
                <w:color w:val="000000"/>
              </w:rPr>
              <w:t>Site-Specific M&amp;V Plan</w:t>
            </w:r>
          </w:p>
        </w:tc>
      </w:tr>
      <w:tr w:rsidR="0019726A" w:rsidRPr="00B75B77" w:rsidTr="006F56CD">
        <w:trPr>
          <w:trHeight w:val="144"/>
        </w:trPr>
        <w:tc>
          <w:tcPr>
            <w:tcW w:w="2016" w:type="dxa"/>
            <w:tcBorders>
              <w:top w:val="nil"/>
              <w:left w:val="nil"/>
              <w:bottom w:val="nil"/>
              <w:right w:val="nil"/>
            </w:tcBorders>
            <w:noWrap/>
            <w:vAlign w:val="center"/>
          </w:tcPr>
          <w:p w:rsidR="0019726A" w:rsidRPr="00B75B77" w:rsidRDefault="0019726A" w:rsidP="0019726A">
            <w:pPr>
              <w:spacing w:after="80"/>
              <w:jc w:val="left"/>
              <w:rPr>
                <w:rFonts w:cstheme="minorHAnsi"/>
                <w:color w:val="000000"/>
              </w:rPr>
            </w:pPr>
            <w:r w:rsidRPr="00B75B77">
              <w:rPr>
                <w:rFonts w:cstheme="minorHAnsi"/>
                <w:color w:val="000000"/>
              </w:rPr>
              <w:t>SUP</w:t>
            </w:r>
          </w:p>
        </w:tc>
        <w:tc>
          <w:tcPr>
            <w:tcW w:w="7402" w:type="dxa"/>
            <w:tcBorders>
              <w:top w:val="nil"/>
              <w:left w:val="nil"/>
              <w:bottom w:val="nil"/>
              <w:right w:val="nil"/>
            </w:tcBorders>
            <w:noWrap/>
            <w:vAlign w:val="center"/>
          </w:tcPr>
          <w:p w:rsidR="0019726A" w:rsidRPr="00B75B77" w:rsidRDefault="0019726A" w:rsidP="0019726A">
            <w:pPr>
              <w:spacing w:after="80"/>
              <w:jc w:val="left"/>
              <w:rPr>
                <w:rFonts w:cstheme="minorHAnsi"/>
                <w:color w:val="000000"/>
              </w:rPr>
            </w:pPr>
            <w:r w:rsidRPr="00B75B77">
              <w:rPr>
                <w:rFonts w:cstheme="minorHAnsi"/>
                <w:color w:val="000000"/>
              </w:rPr>
              <w:t>Smart Usage Profile</w:t>
            </w:r>
          </w:p>
        </w:tc>
      </w:tr>
      <w:tr w:rsidR="00854D2D" w:rsidRPr="00B75B77" w:rsidTr="006F56CD">
        <w:trPr>
          <w:trHeight w:val="144"/>
        </w:trPr>
        <w:tc>
          <w:tcPr>
            <w:tcW w:w="2016" w:type="dxa"/>
            <w:tcBorders>
              <w:top w:val="nil"/>
              <w:left w:val="nil"/>
              <w:bottom w:val="nil"/>
              <w:right w:val="nil"/>
            </w:tcBorders>
            <w:noWrap/>
            <w:vAlign w:val="center"/>
          </w:tcPr>
          <w:p w:rsidR="00854D2D" w:rsidRPr="00B75B77" w:rsidRDefault="00854D2D" w:rsidP="006F56CD">
            <w:pPr>
              <w:spacing w:after="80"/>
              <w:jc w:val="left"/>
              <w:rPr>
                <w:rFonts w:cstheme="minorHAnsi"/>
                <w:color w:val="000000"/>
              </w:rPr>
            </w:pPr>
            <w:r w:rsidRPr="00B75B77">
              <w:rPr>
                <w:rFonts w:cstheme="minorHAnsi"/>
                <w:color w:val="000000"/>
              </w:rPr>
              <w:t>SWE</w:t>
            </w:r>
          </w:p>
        </w:tc>
        <w:tc>
          <w:tcPr>
            <w:tcW w:w="7402" w:type="dxa"/>
            <w:tcBorders>
              <w:top w:val="nil"/>
              <w:left w:val="nil"/>
              <w:bottom w:val="nil"/>
              <w:right w:val="nil"/>
            </w:tcBorders>
            <w:noWrap/>
            <w:vAlign w:val="center"/>
          </w:tcPr>
          <w:p w:rsidR="00854D2D" w:rsidRPr="00B75B77" w:rsidRDefault="00854D2D" w:rsidP="006F56CD">
            <w:pPr>
              <w:spacing w:after="80"/>
              <w:jc w:val="left"/>
              <w:rPr>
                <w:rFonts w:cstheme="minorHAnsi"/>
                <w:color w:val="000000"/>
              </w:rPr>
            </w:pPr>
            <w:r w:rsidRPr="00B75B77">
              <w:rPr>
                <w:rFonts w:cstheme="minorHAnsi"/>
                <w:color w:val="000000"/>
              </w:rPr>
              <w:t>Statewide Evaluator</w:t>
            </w:r>
          </w:p>
        </w:tc>
      </w:tr>
      <w:tr w:rsidR="0019726A" w:rsidRPr="00B75B77" w:rsidTr="006F56CD">
        <w:trPr>
          <w:trHeight w:val="144"/>
        </w:trPr>
        <w:tc>
          <w:tcPr>
            <w:tcW w:w="2016" w:type="dxa"/>
            <w:tcBorders>
              <w:top w:val="nil"/>
              <w:left w:val="nil"/>
              <w:bottom w:val="nil"/>
              <w:right w:val="nil"/>
            </w:tcBorders>
            <w:noWrap/>
            <w:vAlign w:val="center"/>
          </w:tcPr>
          <w:p w:rsidR="0019726A" w:rsidRPr="00B75B77" w:rsidRDefault="0019726A" w:rsidP="006F56CD">
            <w:pPr>
              <w:spacing w:after="80"/>
              <w:jc w:val="left"/>
              <w:rPr>
                <w:rFonts w:cstheme="minorHAnsi"/>
                <w:color w:val="000000"/>
              </w:rPr>
            </w:pPr>
            <w:r w:rsidRPr="00B75B77">
              <w:rPr>
                <w:rFonts w:cstheme="minorHAnsi"/>
                <w:color w:val="000000"/>
              </w:rPr>
              <w:t>TLED</w:t>
            </w:r>
          </w:p>
        </w:tc>
        <w:tc>
          <w:tcPr>
            <w:tcW w:w="7402" w:type="dxa"/>
            <w:tcBorders>
              <w:top w:val="nil"/>
              <w:left w:val="nil"/>
              <w:bottom w:val="nil"/>
              <w:right w:val="nil"/>
            </w:tcBorders>
            <w:noWrap/>
            <w:vAlign w:val="center"/>
          </w:tcPr>
          <w:p w:rsidR="0019726A" w:rsidRPr="00B75B77" w:rsidRDefault="0019726A" w:rsidP="006F56CD">
            <w:pPr>
              <w:spacing w:after="80"/>
              <w:jc w:val="left"/>
              <w:rPr>
                <w:rFonts w:cstheme="minorHAnsi"/>
                <w:color w:val="000000"/>
              </w:rPr>
            </w:pPr>
            <w:r w:rsidRPr="00B75B77">
              <w:rPr>
                <w:rFonts w:cstheme="minorHAnsi"/>
                <w:color w:val="000000"/>
              </w:rPr>
              <w:t>Tubular Light-Emitting Diode</w:t>
            </w:r>
          </w:p>
        </w:tc>
      </w:tr>
      <w:tr w:rsidR="00854D2D" w:rsidRPr="00B75B77" w:rsidTr="006F56CD">
        <w:trPr>
          <w:trHeight w:val="144"/>
        </w:trPr>
        <w:tc>
          <w:tcPr>
            <w:tcW w:w="2016" w:type="dxa"/>
            <w:tcBorders>
              <w:top w:val="nil"/>
              <w:left w:val="nil"/>
              <w:bottom w:val="nil"/>
              <w:right w:val="nil"/>
            </w:tcBorders>
            <w:noWrap/>
            <w:vAlign w:val="center"/>
          </w:tcPr>
          <w:p w:rsidR="00854D2D" w:rsidRPr="00B75B77" w:rsidRDefault="00854D2D" w:rsidP="006F56CD">
            <w:pPr>
              <w:spacing w:after="80"/>
              <w:jc w:val="left"/>
              <w:rPr>
                <w:rFonts w:cstheme="minorHAnsi"/>
                <w:color w:val="000000"/>
              </w:rPr>
            </w:pPr>
            <w:r w:rsidRPr="00B75B77">
              <w:rPr>
                <w:rFonts w:cstheme="minorHAnsi"/>
                <w:color w:val="000000"/>
              </w:rPr>
              <w:t>TRC</w:t>
            </w:r>
          </w:p>
        </w:tc>
        <w:tc>
          <w:tcPr>
            <w:tcW w:w="7402" w:type="dxa"/>
            <w:tcBorders>
              <w:top w:val="nil"/>
              <w:left w:val="nil"/>
              <w:bottom w:val="nil"/>
              <w:right w:val="nil"/>
            </w:tcBorders>
            <w:noWrap/>
            <w:vAlign w:val="center"/>
          </w:tcPr>
          <w:p w:rsidR="00854D2D" w:rsidRPr="00B75B77" w:rsidRDefault="00854D2D" w:rsidP="006F56CD">
            <w:pPr>
              <w:spacing w:after="80"/>
              <w:jc w:val="left"/>
              <w:rPr>
                <w:rFonts w:cstheme="minorHAnsi"/>
                <w:color w:val="000000"/>
              </w:rPr>
            </w:pPr>
            <w:r w:rsidRPr="00B75B77">
              <w:rPr>
                <w:rFonts w:cstheme="minorHAnsi"/>
                <w:color w:val="000000"/>
              </w:rPr>
              <w:t>Total Resource Cost</w:t>
            </w:r>
          </w:p>
        </w:tc>
      </w:tr>
      <w:tr w:rsidR="00854D2D" w:rsidRPr="00B75B77" w:rsidTr="006F56CD">
        <w:trPr>
          <w:trHeight w:val="144"/>
        </w:trPr>
        <w:tc>
          <w:tcPr>
            <w:tcW w:w="2016" w:type="dxa"/>
            <w:tcBorders>
              <w:top w:val="nil"/>
              <w:left w:val="nil"/>
              <w:bottom w:val="nil"/>
              <w:right w:val="nil"/>
            </w:tcBorders>
            <w:noWrap/>
            <w:vAlign w:val="center"/>
          </w:tcPr>
          <w:p w:rsidR="00854D2D" w:rsidRPr="00B75B77" w:rsidRDefault="00854D2D" w:rsidP="006F56CD">
            <w:pPr>
              <w:spacing w:after="80"/>
              <w:jc w:val="left"/>
              <w:rPr>
                <w:rFonts w:cstheme="minorHAnsi"/>
                <w:color w:val="000000"/>
              </w:rPr>
            </w:pPr>
            <w:r w:rsidRPr="00B75B77">
              <w:rPr>
                <w:rFonts w:cstheme="minorHAnsi"/>
                <w:color w:val="000000"/>
              </w:rPr>
              <w:t>TRM</w:t>
            </w:r>
          </w:p>
        </w:tc>
        <w:tc>
          <w:tcPr>
            <w:tcW w:w="7402" w:type="dxa"/>
            <w:tcBorders>
              <w:top w:val="nil"/>
              <w:left w:val="nil"/>
              <w:bottom w:val="nil"/>
              <w:right w:val="nil"/>
            </w:tcBorders>
            <w:noWrap/>
            <w:vAlign w:val="center"/>
          </w:tcPr>
          <w:p w:rsidR="00854D2D" w:rsidRPr="00B75B77" w:rsidRDefault="00854D2D" w:rsidP="006F56CD">
            <w:pPr>
              <w:spacing w:after="80"/>
              <w:jc w:val="left"/>
              <w:rPr>
                <w:rFonts w:cstheme="minorHAnsi"/>
                <w:color w:val="000000"/>
              </w:rPr>
            </w:pPr>
            <w:r w:rsidRPr="00B75B77">
              <w:rPr>
                <w:rFonts w:cstheme="minorHAnsi"/>
                <w:color w:val="000000"/>
              </w:rPr>
              <w:t>Technical Reference Manual</w:t>
            </w:r>
          </w:p>
        </w:tc>
      </w:tr>
      <w:tr w:rsidR="0019726A" w:rsidRPr="00B75B77" w:rsidTr="006F56CD">
        <w:trPr>
          <w:trHeight w:val="144"/>
        </w:trPr>
        <w:tc>
          <w:tcPr>
            <w:tcW w:w="2016" w:type="dxa"/>
            <w:tcBorders>
              <w:top w:val="nil"/>
              <w:left w:val="nil"/>
              <w:bottom w:val="nil"/>
              <w:right w:val="nil"/>
            </w:tcBorders>
            <w:noWrap/>
            <w:vAlign w:val="center"/>
          </w:tcPr>
          <w:p w:rsidR="0019726A" w:rsidRPr="00B75B77" w:rsidRDefault="0019726A" w:rsidP="0019726A">
            <w:pPr>
              <w:spacing w:after="80"/>
              <w:jc w:val="left"/>
              <w:rPr>
                <w:rFonts w:cstheme="minorHAnsi"/>
                <w:color w:val="000000"/>
              </w:rPr>
            </w:pPr>
            <w:r w:rsidRPr="00B75B77">
              <w:rPr>
                <w:rFonts w:cstheme="minorHAnsi"/>
                <w:color w:val="000000"/>
              </w:rPr>
              <w:t>UEC</w:t>
            </w:r>
          </w:p>
        </w:tc>
        <w:tc>
          <w:tcPr>
            <w:tcW w:w="7402" w:type="dxa"/>
            <w:tcBorders>
              <w:top w:val="nil"/>
              <w:left w:val="nil"/>
              <w:bottom w:val="nil"/>
              <w:right w:val="nil"/>
            </w:tcBorders>
            <w:noWrap/>
            <w:vAlign w:val="center"/>
          </w:tcPr>
          <w:p w:rsidR="0019726A" w:rsidRPr="00B75B77" w:rsidRDefault="0019726A" w:rsidP="0019726A">
            <w:pPr>
              <w:spacing w:after="80"/>
              <w:jc w:val="left"/>
              <w:rPr>
                <w:rFonts w:cstheme="minorHAnsi"/>
                <w:color w:val="000000"/>
              </w:rPr>
            </w:pPr>
            <w:r w:rsidRPr="00B75B77">
              <w:rPr>
                <w:rFonts w:cstheme="minorHAnsi"/>
                <w:color w:val="000000"/>
              </w:rPr>
              <w:t>Unit Energy Consumption</w:t>
            </w:r>
          </w:p>
        </w:tc>
      </w:tr>
      <w:tr w:rsidR="0019726A" w:rsidRPr="00B75B77" w:rsidTr="006F56CD">
        <w:trPr>
          <w:trHeight w:val="144"/>
        </w:trPr>
        <w:tc>
          <w:tcPr>
            <w:tcW w:w="2016" w:type="dxa"/>
            <w:tcBorders>
              <w:top w:val="nil"/>
              <w:left w:val="nil"/>
              <w:bottom w:val="nil"/>
              <w:right w:val="nil"/>
            </w:tcBorders>
            <w:noWrap/>
            <w:vAlign w:val="center"/>
          </w:tcPr>
          <w:p w:rsidR="0019726A" w:rsidRPr="00B75B77" w:rsidRDefault="0019726A" w:rsidP="0019726A">
            <w:pPr>
              <w:spacing w:after="80"/>
              <w:jc w:val="left"/>
              <w:rPr>
                <w:rFonts w:cstheme="minorHAnsi"/>
                <w:color w:val="000000"/>
              </w:rPr>
            </w:pPr>
            <w:r w:rsidRPr="00B75B77">
              <w:rPr>
                <w:rFonts w:cstheme="minorHAnsi"/>
                <w:color w:val="000000"/>
              </w:rPr>
              <w:t>US</w:t>
            </w:r>
          </w:p>
        </w:tc>
        <w:tc>
          <w:tcPr>
            <w:tcW w:w="7402" w:type="dxa"/>
            <w:tcBorders>
              <w:top w:val="nil"/>
              <w:left w:val="nil"/>
              <w:bottom w:val="nil"/>
              <w:right w:val="nil"/>
            </w:tcBorders>
            <w:noWrap/>
            <w:vAlign w:val="center"/>
          </w:tcPr>
          <w:p w:rsidR="0019726A" w:rsidRPr="00B75B77" w:rsidRDefault="0019726A" w:rsidP="0019726A">
            <w:pPr>
              <w:spacing w:after="80"/>
              <w:jc w:val="left"/>
              <w:rPr>
                <w:rFonts w:cstheme="minorHAnsi"/>
                <w:color w:val="000000"/>
              </w:rPr>
            </w:pPr>
            <w:r w:rsidRPr="00B75B77">
              <w:rPr>
                <w:rFonts w:cstheme="minorHAnsi"/>
                <w:color w:val="000000"/>
              </w:rPr>
              <w:t>United States</w:t>
            </w:r>
          </w:p>
        </w:tc>
      </w:tr>
      <w:tr w:rsidR="000530C5" w:rsidRPr="00B75B77" w:rsidTr="006F56CD">
        <w:trPr>
          <w:trHeight w:val="144"/>
        </w:trPr>
        <w:tc>
          <w:tcPr>
            <w:tcW w:w="2016" w:type="dxa"/>
            <w:tcBorders>
              <w:top w:val="nil"/>
              <w:left w:val="nil"/>
              <w:bottom w:val="nil"/>
              <w:right w:val="nil"/>
            </w:tcBorders>
            <w:noWrap/>
            <w:vAlign w:val="center"/>
          </w:tcPr>
          <w:p w:rsidR="000530C5" w:rsidRPr="00B75B77" w:rsidRDefault="0019726A" w:rsidP="006F56CD">
            <w:pPr>
              <w:spacing w:after="80"/>
              <w:jc w:val="left"/>
              <w:rPr>
                <w:rFonts w:cstheme="minorHAnsi"/>
                <w:color w:val="000000"/>
              </w:rPr>
            </w:pPr>
            <w:r w:rsidRPr="00B75B77">
              <w:rPr>
                <w:rFonts w:cstheme="minorHAnsi"/>
                <w:color w:val="000000"/>
              </w:rPr>
              <w:t>VFD</w:t>
            </w:r>
          </w:p>
        </w:tc>
        <w:tc>
          <w:tcPr>
            <w:tcW w:w="7402" w:type="dxa"/>
            <w:tcBorders>
              <w:top w:val="nil"/>
              <w:left w:val="nil"/>
              <w:bottom w:val="nil"/>
              <w:right w:val="nil"/>
            </w:tcBorders>
            <w:noWrap/>
            <w:vAlign w:val="center"/>
          </w:tcPr>
          <w:p w:rsidR="000530C5" w:rsidRPr="00B75B77" w:rsidRDefault="0019726A" w:rsidP="006F56CD">
            <w:pPr>
              <w:spacing w:after="80"/>
              <w:jc w:val="left"/>
              <w:rPr>
                <w:rFonts w:cstheme="minorHAnsi"/>
                <w:color w:val="000000"/>
              </w:rPr>
            </w:pPr>
            <w:r w:rsidRPr="00B75B77">
              <w:rPr>
                <w:rFonts w:cstheme="minorHAnsi"/>
                <w:color w:val="000000"/>
              </w:rPr>
              <w:t>Variable Frequency Drive</w:t>
            </w:r>
          </w:p>
        </w:tc>
      </w:tr>
    </w:tbl>
    <w:p w:rsidR="008170C6" w:rsidRPr="00B75B77" w:rsidRDefault="008170C6" w:rsidP="008170C6">
      <w:bookmarkStart w:id="6" w:name="_Toc326236103"/>
      <w:bookmarkStart w:id="7" w:name="_Ref339873678"/>
      <w:bookmarkStart w:id="8" w:name="_Ref339874423"/>
      <w:bookmarkStart w:id="9" w:name="_Ref339875438"/>
      <w:bookmarkStart w:id="10" w:name="_Ref339875802"/>
      <w:bookmarkStart w:id="11" w:name="_Ref339875841"/>
      <w:bookmarkStart w:id="12" w:name="_Ref340066323"/>
      <w:bookmarkStart w:id="13" w:name="_Toc390682400"/>
      <w:bookmarkStart w:id="14" w:name="_Toc389747538"/>
      <w:bookmarkStart w:id="15" w:name="_Toc390947275"/>
      <w:bookmarkStart w:id="16" w:name="_Toc390175484"/>
      <w:bookmarkStart w:id="17" w:name="_Toc390943346"/>
    </w:p>
    <w:p w:rsidR="008170C6" w:rsidRPr="00B75B77" w:rsidRDefault="008170C6">
      <w:pPr>
        <w:jc w:val="left"/>
        <w:rPr>
          <w:rFonts w:ascii="Century Gothic" w:hAnsi="Century Gothic"/>
          <w:b/>
          <w:smallCaps/>
          <w:color w:val="FFFFFF" w:themeColor="background1"/>
          <w:sz w:val="32"/>
          <w14:shadow w14:blurRad="50800" w14:dist="38100" w14:dir="2700000" w14:sx="100000" w14:sy="100000" w14:kx="0" w14:ky="0" w14:algn="tl">
            <w14:srgbClr w14:val="000000">
              <w14:alpha w14:val="60000"/>
            </w14:srgbClr>
          </w14:shadow>
        </w:rPr>
      </w:pPr>
      <w:r w:rsidRPr="00B75B77">
        <w:br w:type="page"/>
      </w:r>
    </w:p>
    <w:p w:rsidR="00E862BB" w:rsidRPr="00B75B77" w:rsidRDefault="00E862BB" w:rsidP="002C2973">
      <w:pPr>
        <w:pStyle w:val="Heading1-No"/>
        <w:jc w:val="left"/>
      </w:pPr>
      <w:bookmarkStart w:id="18" w:name="_Toc466413258"/>
      <w:r w:rsidRPr="00B75B77">
        <w:lastRenderedPageBreak/>
        <w:t>Report Definitions</w:t>
      </w:r>
      <w:bookmarkEnd w:id="6"/>
      <w:bookmarkEnd w:id="7"/>
      <w:bookmarkEnd w:id="8"/>
      <w:bookmarkEnd w:id="9"/>
      <w:bookmarkEnd w:id="10"/>
      <w:bookmarkEnd w:id="11"/>
      <w:bookmarkEnd w:id="12"/>
      <w:bookmarkEnd w:id="13"/>
      <w:bookmarkEnd w:id="14"/>
      <w:bookmarkEnd w:id="15"/>
      <w:bookmarkEnd w:id="16"/>
      <w:bookmarkEnd w:id="17"/>
      <w:bookmarkEnd w:id="18"/>
    </w:p>
    <w:p w:rsidR="00E862BB" w:rsidRPr="00B75B77" w:rsidRDefault="00E862BB" w:rsidP="00815689">
      <w:r w:rsidRPr="00B75B77">
        <w:rPr>
          <w:i/>
        </w:rPr>
        <w:t xml:space="preserve">Note: Definitions provided in this section are limited to terms </w:t>
      </w:r>
      <w:r w:rsidR="00E72018" w:rsidRPr="00B75B77">
        <w:rPr>
          <w:i/>
        </w:rPr>
        <w:t xml:space="preserve">that are </w:t>
      </w:r>
      <w:r w:rsidRPr="00B75B77">
        <w:rPr>
          <w:i/>
        </w:rPr>
        <w:t>critical to understanding</w:t>
      </w:r>
      <w:r w:rsidR="00E72018" w:rsidRPr="00B75B77">
        <w:rPr>
          <w:i/>
        </w:rPr>
        <w:t xml:space="preserve"> the</w:t>
      </w:r>
      <w:r w:rsidRPr="00B75B77">
        <w:rPr>
          <w:i/>
        </w:rPr>
        <w:t xml:space="preserve"> values presented in this report. For other definitions, please refer to the Act 129 glossary</w:t>
      </w:r>
      <w:r w:rsidR="00E90251" w:rsidRPr="00B75B77">
        <w:rPr>
          <w:i/>
        </w:rPr>
        <w:t xml:space="preserve"> in </w:t>
      </w:r>
      <w:r w:rsidR="006F56CD" w:rsidRPr="00B75B77">
        <w:rPr>
          <w:i/>
        </w:rPr>
        <w:fldChar w:fldCharType="begin"/>
      </w:r>
      <w:r w:rsidR="006F56CD" w:rsidRPr="00B75B77">
        <w:rPr>
          <w:i/>
        </w:rPr>
        <w:instrText xml:space="preserve"> REF _Ref463335846 \n \h </w:instrText>
      </w:r>
      <w:r w:rsidR="00B75B77">
        <w:rPr>
          <w:i/>
        </w:rPr>
        <w:instrText xml:space="preserve"> \* MERGEFORMAT </w:instrText>
      </w:r>
      <w:r w:rsidR="006F56CD" w:rsidRPr="00B75B77">
        <w:rPr>
          <w:i/>
        </w:rPr>
      </w:r>
      <w:r w:rsidR="006F56CD" w:rsidRPr="00B75B77">
        <w:rPr>
          <w:i/>
        </w:rPr>
        <w:fldChar w:fldCharType="separate"/>
      </w:r>
      <w:r w:rsidR="0004016D">
        <w:rPr>
          <w:i/>
        </w:rPr>
        <w:t>Appendix E</w:t>
      </w:r>
      <w:r w:rsidR="006F56CD" w:rsidRPr="00B75B77">
        <w:rPr>
          <w:i/>
        </w:rPr>
        <w:fldChar w:fldCharType="end"/>
      </w:r>
      <w:r w:rsidR="00295C0E" w:rsidRPr="00B75B77">
        <w:rPr>
          <w:i/>
        </w:rPr>
        <w:t>.</w:t>
      </w:r>
    </w:p>
    <w:p w:rsidR="00815689" w:rsidRPr="00B75B77" w:rsidRDefault="00815689" w:rsidP="00815689">
      <w:pPr>
        <w:pStyle w:val="DefinitionHeader"/>
        <w:spacing w:before="0" w:after="0"/>
        <w:jc w:val="left"/>
        <w:rPr>
          <w:rFonts w:ascii="Century Gothic" w:hAnsi="Century Gothic"/>
        </w:rPr>
      </w:pPr>
    </w:p>
    <w:p w:rsidR="00E862BB" w:rsidRPr="00B75B77" w:rsidRDefault="00E862BB" w:rsidP="00586985">
      <w:pPr>
        <w:pStyle w:val="DefinitionHeader"/>
        <w:pBdr>
          <w:bottom w:val="single" w:sz="6" w:space="1" w:color="auto"/>
        </w:pBdr>
        <w:spacing w:before="0" w:after="60"/>
        <w:rPr>
          <w:rFonts w:ascii="Century Gothic" w:hAnsi="Century Gothic"/>
          <w:color w:val="448A99"/>
          <w:sz w:val="28"/>
        </w:rPr>
      </w:pPr>
      <w:r w:rsidRPr="00B75B77">
        <w:rPr>
          <w:rFonts w:ascii="Century Gothic" w:hAnsi="Century Gothic"/>
          <w:color w:val="448A99"/>
          <w:sz w:val="28"/>
        </w:rPr>
        <w:t>REPORTING PERIODS</w:t>
      </w:r>
    </w:p>
    <w:p w:rsidR="00264BB2" w:rsidRPr="00B75B77" w:rsidRDefault="00264BB2" w:rsidP="00586985">
      <w:pPr>
        <w:pStyle w:val="DefinitionTerm"/>
        <w:spacing w:before="120"/>
        <w:jc w:val="both"/>
        <w:rPr>
          <w:rFonts w:ascii="Century Gothic" w:hAnsi="Century Gothic"/>
        </w:rPr>
      </w:pPr>
      <w:r w:rsidRPr="00B75B77">
        <w:rPr>
          <w:rFonts w:ascii="Century Gothic" w:hAnsi="Century Gothic"/>
        </w:rPr>
        <w:t xml:space="preserve">Phase </w:t>
      </w:r>
      <w:r w:rsidR="00EE1BC0" w:rsidRPr="00B75B77">
        <w:rPr>
          <w:rFonts w:ascii="Century Gothic" w:hAnsi="Century Gothic"/>
        </w:rPr>
        <w:t>I</w:t>
      </w:r>
    </w:p>
    <w:p w:rsidR="00EE1BC0" w:rsidRPr="00B75B77" w:rsidRDefault="00EE1BC0" w:rsidP="00586985">
      <w:pPr>
        <w:pStyle w:val="DefinitionTerm"/>
        <w:spacing w:after="120"/>
        <w:jc w:val="both"/>
        <w:rPr>
          <w:b w:val="0"/>
        </w:rPr>
      </w:pPr>
      <w:r w:rsidRPr="00B75B77">
        <w:rPr>
          <w:b w:val="0"/>
        </w:rPr>
        <w:t>Refers to the Act 129 programs implemented prior to June</w:t>
      </w:r>
      <w:r w:rsidR="00E53378" w:rsidRPr="00B75B77">
        <w:rPr>
          <w:b w:val="0"/>
        </w:rPr>
        <w:t xml:space="preserve"> 1,</w:t>
      </w:r>
      <w:r w:rsidRPr="00B75B77">
        <w:rPr>
          <w:b w:val="0"/>
        </w:rPr>
        <w:t xml:space="preserve"> 2013</w:t>
      </w:r>
      <w:r w:rsidR="002E49B3" w:rsidRPr="00B75B77">
        <w:rPr>
          <w:b w:val="0"/>
        </w:rPr>
        <w:t xml:space="preserve">. </w:t>
      </w:r>
      <w:r w:rsidRPr="00B75B77">
        <w:rPr>
          <w:b w:val="0"/>
        </w:rPr>
        <w:t>Phase I carry</w:t>
      </w:r>
      <w:r w:rsidR="005960CA" w:rsidRPr="00B75B77">
        <w:rPr>
          <w:b w:val="0"/>
        </w:rPr>
        <w:t>-</w:t>
      </w:r>
      <w:r w:rsidRPr="00B75B77">
        <w:rPr>
          <w:b w:val="0"/>
        </w:rPr>
        <w:t xml:space="preserve">over references verified gross Phase I savings in excess of Act 129 Phase I targets. </w:t>
      </w:r>
    </w:p>
    <w:p w:rsidR="00264BB2" w:rsidRPr="00B75B77" w:rsidRDefault="00264BB2" w:rsidP="00815689">
      <w:pPr>
        <w:pStyle w:val="DefinitionTerm"/>
        <w:jc w:val="both"/>
        <w:rPr>
          <w:rFonts w:ascii="Century Gothic" w:hAnsi="Century Gothic"/>
        </w:rPr>
      </w:pPr>
      <w:r w:rsidRPr="00B75B77">
        <w:rPr>
          <w:rFonts w:ascii="Century Gothic" w:hAnsi="Century Gothic"/>
        </w:rPr>
        <w:t>Phase II</w:t>
      </w:r>
    </w:p>
    <w:p w:rsidR="00A355C0" w:rsidRPr="00B75B77" w:rsidRDefault="00F3729C" w:rsidP="00586985">
      <w:pPr>
        <w:pStyle w:val="DefinitionTerm"/>
        <w:spacing w:after="120"/>
        <w:jc w:val="both"/>
      </w:pPr>
      <w:proofErr w:type="gramStart"/>
      <w:r w:rsidRPr="00B75B77">
        <w:rPr>
          <w:b w:val="0"/>
        </w:rPr>
        <w:t>R</w:t>
      </w:r>
      <w:r w:rsidR="00A355C0" w:rsidRPr="00B75B77">
        <w:rPr>
          <w:b w:val="0"/>
        </w:rPr>
        <w:t xml:space="preserve">efers to the </w:t>
      </w:r>
      <w:r w:rsidR="00FE6E88" w:rsidRPr="00B75B77">
        <w:rPr>
          <w:b w:val="0"/>
        </w:rPr>
        <w:t>period</w:t>
      </w:r>
      <w:r w:rsidR="00A355C0" w:rsidRPr="00B75B77">
        <w:rPr>
          <w:b w:val="0"/>
        </w:rPr>
        <w:t xml:space="preserve"> from the start of Phase II Act 129 programs</w:t>
      </w:r>
      <w:r w:rsidR="00E53378" w:rsidRPr="00B75B77">
        <w:rPr>
          <w:b w:val="0"/>
        </w:rPr>
        <w:t xml:space="preserve"> on June 1, 2013 through May 31, 2016</w:t>
      </w:r>
      <w:r w:rsidR="00A355C0" w:rsidRPr="00B75B77">
        <w:rPr>
          <w:b w:val="0"/>
        </w:rPr>
        <w:t>.</w:t>
      </w:r>
      <w:proofErr w:type="gramEnd"/>
      <w:r w:rsidR="00A355C0" w:rsidRPr="00B75B77">
        <w:rPr>
          <w:b w:val="0"/>
        </w:rPr>
        <w:t xml:space="preserve"> Phase II savings are calculated by totaling all program year results, including the current program year</w:t>
      </w:r>
      <w:r w:rsidR="001E7277" w:rsidRPr="00B75B77">
        <w:rPr>
          <w:b w:val="0"/>
        </w:rPr>
        <w:t xml:space="preserve"> </w:t>
      </w:r>
      <w:r w:rsidR="00A355C0" w:rsidRPr="00B75B77">
        <w:rPr>
          <w:b w:val="0"/>
        </w:rPr>
        <w:t>to</w:t>
      </w:r>
      <w:r w:rsidR="001E7277" w:rsidRPr="00B75B77">
        <w:rPr>
          <w:b w:val="0"/>
        </w:rPr>
        <w:t xml:space="preserve"> </w:t>
      </w:r>
      <w:r w:rsidR="00A355C0" w:rsidRPr="00B75B77">
        <w:rPr>
          <w:b w:val="0"/>
        </w:rPr>
        <w:t>date results</w:t>
      </w:r>
      <w:r w:rsidR="001E7277" w:rsidRPr="00B75B77">
        <w:rPr>
          <w:b w:val="0"/>
        </w:rPr>
        <w:t>,</w:t>
      </w:r>
      <w:r w:rsidR="005060EB" w:rsidRPr="00B75B77">
        <w:rPr>
          <w:b w:val="0"/>
        </w:rPr>
        <w:t xml:space="preserve"> and subtracting any</w:t>
      </w:r>
      <w:r w:rsidR="009D3F64" w:rsidRPr="00B75B77">
        <w:rPr>
          <w:b w:val="0"/>
        </w:rPr>
        <w:t xml:space="preserve"> Phase II</w:t>
      </w:r>
      <w:r w:rsidR="005060EB" w:rsidRPr="00B75B77">
        <w:rPr>
          <w:b w:val="0"/>
        </w:rPr>
        <w:t xml:space="preserve"> savings that expired during the current program year</w:t>
      </w:r>
      <w:r w:rsidR="00A355C0" w:rsidRPr="00B75B77">
        <w:rPr>
          <w:b w:val="0"/>
        </w:rPr>
        <w:t>. For example, Phase II results for PY7 Q</w:t>
      </w:r>
      <w:r w:rsidR="00375CCD" w:rsidRPr="00B75B77">
        <w:rPr>
          <w:b w:val="0"/>
        </w:rPr>
        <w:t>4</w:t>
      </w:r>
      <w:r w:rsidR="00A355C0" w:rsidRPr="00B75B77">
        <w:rPr>
          <w:b w:val="0"/>
        </w:rPr>
        <w:t xml:space="preserve"> is the sum of PY5, PY6, PY7 Q1, PY7 Q2, PY7 Q3</w:t>
      </w:r>
      <w:r w:rsidR="00375CCD" w:rsidRPr="00B75B77">
        <w:rPr>
          <w:b w:val="0"/>
        </w:rPr>
        <w:t>, and PY7 Q4</w:t>
      </w:r>
      <w:r w:rsidR="00A355C0" w:rsidRPr="00B75B77">
        <w:rPr>
          <w:b w:val="0"/>
        </w:rPr>
        <w:t xml:space="preserve"> results</w:t>
      </w:r>
      <w:r w:rsidR="005060EB" w:rsidRPr="00B75B77">
        <w:rPr>
          <w:b w:val="0"/>
        </w:rPr>
        <w:t xml:space="preserve">, minus any </w:t>
      </w:r>
      <w:r w:rsidR="009D3F64" w:rsidRPr="00B75B77">
        <w:rPr>
          <w:b w:val="0"/>
        </w:rPr>
        <w:t xml:space="preserve">Phase II </w:t>
      </w:r>
      <w:r w:rsidR="005060EB" w:rsidRPr="00B75B77">
        <w:rPr>
          <w:b w:val="0"/>
        </w:rPr>
        <w:t>savings that expired during PY</w:t>
      </w:r>
      <w:r w:rsidR="00295C0E" w:rsidRPr="00B75B77">
        <w:rPr>
          <w:b w:val="0"/>
        </w:rPr>
        <w:t>5, PY6</w:t>
      </w:r>
      <w:r w:rsidR="001E7277" w:rsidRPr="00B75B77">
        <w:rPr>
          <w:b w:val="0"/>
        </w:rPr>
        <w:t>,</w:t>
      </w:r>
      <w:r w:rsidR="00295C0E" w:rsidRPr="00B75B77">
        <w:rPr>
          <w:b w:val="0"/>
        </w:rPr>
        <w:t xml:space="preserve"> or PY</w:t>
      </w:r>
      <w:r w:rsidR="005060EB" w:rsidRPr="00B75B77">
        <w:rPr>
          <w:b w:val="0"/>
        </w:rPr>
        <w:t>7</w:t>
      </w:r>
      <w:r w:rsidR="00A355C0" w:rsidRPr="00B75B77">
        <w:rPr>
          <w:b w:val="0"/>
        </w:rPr>
        <w:t xml:space="preserve">. </w:t>
      </w:r>
    </w:p>
    <w:p w:rsidR="00A355C0" w:rsidRPr="00B75B77" w:rsidRDefault="00A355C0" w:rsidP="00815689">
      <w:pPr>
        <w:pStyle w:val="DefinitionTerm"/>
        <w:jc w:val="both"/>
        <w:rPr>
          <w:rFonts w:ascii="Century Gothic" w:hAnsi="Century Gothic"/>
        </w:rPr>
      </w:pPr>
      <w:r w:rsidRPr="00B75B77">
        <w:rPr>
          <w:rFonts w:ascii="Century Gothic" w:hAnsi="Century Gothic"/>
        </w:rPr>
        <w:t>Program Year</w:t>
      </w:r>
      <w:r w:rsidR="00206D1A" w:rsidRPr="00B75B77">
        <w:rPr>
          <w:rFonts w:ascii="Century Gothic" w:hAnsi="Century Gothic"/>
        </w:rPr>
        <w:t xml:space="preserve"> </w:t>
      </w:r>
      <w:r w:rsidRPr="00B75B77">
        <w:rPr>
          <w:rFonts w:ascii="Century Gothic" w:hAnsi="Century Gothic"/>
        </w:rPr>
        <w:t>to</w:t>
      </w:r>
      <w:r w:rsidR="00206D1A" w:rsidRPr="00B75B77">
        <w:rPr>
          <w:rFonts w:ascii="Century Gothic" w:hAnsi="Century Gothic"/>
        </w:rPr>
        <w:t xml:space="preserve"> </w:t>
      </w:r>
      <w:r w:rsidRPr="00B75B77">
        <w:rPr>
          <w:rFonts w:ascii="Century Gothic" w:hAnsi="Century Gothic"/>
        </w:rPr>
        <w:t>Date (PYTD)</w:t>
      </w:r>
    </w:p>
    <w:p w:rsidR="00A355C0" w:rsidRPr="00B75B77" w:rsidRDefault="00A355C0" w:rsidP="00815689">
      <w:proofErr w:type="gramStart"/>
      <w:r w:rsidRPr="00B75B77">
        <w:t>Refers to the current reporting program year only.</w:t>
      </w:r>
      <w:proofErr w:type="gramEnd"/>
      <w:r w:rsidRPr="00B75B77">
        <w:t xml:space="preserve"> Activities occurring during previous program years are not included. For example, PYTD results for PY7 Q</w:t>
      </w:r>
      <w:r w:rsidR="00375CCD" w:rsidRPr="00B75B77">
        <w:t>4</w:t>
      </w:r>
      <w:r w:rsidRPr="00B75B77">
        <w:t xml:space="preserve"> will include only results that occurred during PY7 Q1, PY7 Q2, PY7 Q3</w:t>
      </w:r>
      <w:r w:rsidR="00375CCD" w:rsidRPr="00B75B77">
        <w:t>, and PY7 Q4</w:t>
      </w:r>
      <w:r w:rsidRPr="00B75B77">
        <w:t>;</w:t>
      </w:r>
      <w:r w:rsidR="00EB7B4D" w:rsidRPr="00B75B77">
        <w:t xml:space="preserve"> </w:t>
      </w:r>
      <w:r w:rsidRPr="00B75B77">
        <w:t>they will not include results from PY5 or PY6.</w:t>
      </w:r>
    </w:p>
    <w:p w:rsidR="00815689" w:rsidRPr="00B75B77" w:rsidRDefault="00815689" w:rsidP="00815689">
      <w:pPr>
        <w:pStyle w:val="DefinitionHeader"/>
        <w:spacing w:before="0" w:after="0"/>
        <w:jc w:val="left"/>
        <w:rPr>
          <w:rFonts w:ascii="Century Gothic" w:hAnsi="Century Gothic"/>
        </w:rPr>
      </w:pPr>
    </w:p>
    <w:p w:rsidR="00E862BB" w:rsidRPr="00B75B77" w:rsidRDefault="00E862BB" w:rsidP="00586985">
      <w:pPr>
        <w:pStyle w:val="DefinitionHeader"/>
        <w:pBdr>
          <w:bottom w:val="single" w:sz="6" w:space="1" w:color="auto"/>
        </w:pBdr>
        <w:spacing w:before="0" w:after="60"/>
        <w:rPr>
          <w:rFonts w:ascii="Century Gothic" w:hAnsi="Century Gothic"/>
          <w:color w:val="448A99"/>
          <w:sz w:val="28"/>
        </w:rPr>
      </w:pPr>
      <w:r w:rsidRPr="00B75B77">
        <w:rPr>
          <w:rFonts w:ascii="Century Gothic" w:hAnsi="Century Gothic"/>
          <w:color w:val="448A99"/>
          <w:sz w:val="28"/>
        </w:rPr>
        <w:t>SAVINGS TYPES</w:t>
      </w:r>
    </w:p>
    <w:p w:rsidR="00E862BB" w:rsidRPr="00B75B77" w:rsidRDefault="00E862BB" w:rsidP="00586985">
      <w:pPr>
        <w:pStyle w:val="DefinitionTerm"/>
        <w:spacing w:before="120"/>
        <w:rPr>
          <w:rFonts w:ascii="Century Gothic" w:hAnsi="Century Gothic"/>
        </w:rPr>
      </w:pPr>
      <w:r w:rsidRPr="00B75B77">
        <w:rPr>
          <w:rFonts w:ascii="Century Gothic" w:hAnsi="Century Gothic"/>
        </w:rPr>
        <w:t>Preliminary</w:t>
      </w:r>
    </w:p>
    <w:p w:rsidR="00A355C0" w:rsidRPr="00B75B77" w:rsidRDefault="00A355C0" w:rsidP="00586985">
      <w:pPr>
        <w:spacing w:after="120"/>
      </w:pPr>
      <w:r w:rsidRPr="00B75B77">
        <w:t xml:space="preserve">Qualifier used in all reports except the final </w:t>
      </w:r>
      <w:r w:rsidR="00031089" w:rsidRPr="00B75B77">
        <w:t>A</w:t>
      </w:r>
      <w:r w:rsidRPr="00B75B77">
        <w:t xml:space="preserve">nnual </w:t>
      </w:r>
      <w:r w:rsidR="00031089" w:rsidRPr="00B75B77">
        <w:t>R</w:t>
      </w:r>
      <w:r w:rsidRPr="00B75B77">
        <w:t>eport to signify that evaluations are still in progress and that results have not been finalized. Most often used with realization rate</w:t>
      </w:r>
      <w:r w:rsidR="001E7277" w:rsidRPr="00B75B77">
        <w:t>s</w:t>
      </w:r>
      <w:r w:rsidRPr="00B75B77">
        <w:t xml:space="preserve"> or verified gross savings. </w:t>
      </w:r>
    </w:p>
    <w:p w:rsidR="00A355C0" w:rsidRPr="00B75B77" w:rsidRDefault="00A355C0" w:rsidP="00586985">
      <w:pPr>
        <w:pStyle w:val="DefinitionTerm"/>
        <w:rPr>
          <w:rFonts w:ascii="Century Gothic" w:hAnsi="Century Gothic"/>
        </w:rPr>
      </w:pPr>
      <w:r w:rsidRPr="00B75B77">
        <w:rPr>
          <w:rFonts w:ascii="Century Gothic" w:hAnsi="Century Gothic"/>
        </w:rPr>
        <w:t>Reported Gross</w:t>
      </w:r>
    </w:p>
    <w:p w:rsidR="00A355C0" w:rsidRPr="00B75B77" w:rsidRDefault="00A355C0" w:rsidP="00586985">
      <w:pPr>
        <w:spacing w:after="120"/>
      </w:pPr>
      <w:r w:rsidRPr="00B75B77">
        <w:t>Refers to results of the program or portfolio</w:t>
      </w:r>
      <w:r w:rsidR="005960CA" w:rsidRPr="00B75B77">
        <w:t xml:space="preserve"> as</w:t>
      </w:r>
      <w:r w:rsidRPr="00B75B77">
        <w:t xml:space="preserve"> determined by the program administrator</w:t>
      </w:r>
      <w:r w:rsidR="005960CA" w:rsidRPr="00B75B77">
        <w:t>—</w:t>
      </w:r>
      <w:r w:rsidRPr="00B75B77">
        <w:t xml:space="preserve">e.g., the electric distribution company </w:t>
      </w:r>
      <w:r w:rsidR="005960CA" w:rsidRPr="00B75B77">
        <w:t>(</w:t>
      </w:r>
      <w:r w:rsidRPr="00B75B77">
        <w:t>EDC</w:t>
      </w:r>
      <w:r w:rsidR="005960CA" w:rsidRPr="00B75B77">
        <w:t>)</w:t>
      </w:r>
      <w:r w:rsidRPr="00B75B77">
        <w:t xml:space="preserve"> or the program implementer. </w:t>
      </w:r>
      <w:proofErr w:type="gramStart"/>
      <w:r w:rsidRPr="00B75B77">
        <w:t>Also known as ex ante or “before the fact” savings (</w:t>
      </w:r>
      <w:r w:rsidR="002E49B3" w:rsidRPr="00B75B77">
        <w:t xml:space="preserve">uses </w:t>
      </w:r>
      <w:r w:rsidRPr="00B75B77">
        <w:t>annual evaluation activities as the reference point for the post period).</w:t>
      </w:r>
      <w:proofErr w:type="gramEnd"/>
      <w:r w:rsidRPr="00B75B77">
        <w:t xml:space="preserve"> </w:t>
      </w:r>
    </w:p>
    <w:p w:rsidR="00A355C0" w:rsidRPr="00B75B77" w:rsidRDefault="00A355C0" w:rsidP="00586985">
      <w:pPr>
        <w:pStyle w:val="DefinitionTerm"/>
        <w:rPr>
          <w:rFonts w:ascii="Century Gothic" w:hAnsi="Century Gothic"/>
        </w:rPr>
      </w:pPr>
      <w:r w:rsidRPr="00B75B77">
        <w:rPr>
          <w:rFonts w:ascii="Century Gothic" w:hAnsi="Century Gothic"/>
        </w:rPr>
        <w:t>Adjusted Ex Ante Gross</w:t>
      </w:r>
    </w:p>
    <w:p w:rsidR="00A355C0" w:rsidRPr="00B75B77" w:rsidRDefault="00A355C0" w:rsidP="00586985">
      <w:pPr>
        <w:spacing w:after="120"/>
      </w:pPr>
      <w:r w:rsidRPr="00B75B77">
        <w:t xml:space="preserve">References to </w:t>
      </w:r>
      <w:r w:rsidR="002E49B3" w:rsidRPr="00B75B77">
        <w:t>a</w:t>
      </w:r>
      <w:r w:rsidRPr="00B75B77">
        <w:t xml:space="preserve">djusted </w:t>
      </w:r>
      <w:r w:rsidR="002E49B3" w:rsidRPr="00B75B77">
        <w:t>e</w:t>
      </w:r>
      <w:r w:rsidRPr="00B75B77">
        <w:t xml:space="preserve">x </w:t>
      </w:r>
      <w:r w:rsidR="002E49B3" w:rsidRPr="00B75B77">
        <w:t>a</w:t>
      </w:r>
      <w:r w:rsidRPr="00B75B77">
        <w:t xml:space="preserve">nte </w:t>
      </w:r>
      <w:r w:rsidR="002E49B3" w:rsidRPr="00B75B77">
        <w:t>g</w:t>
      </w:r>
      <w:r w:rsidRPr="00B75B77">
        <w:t>ross (or</w:t>
      </w:r>
      <w:r w:rsidRPr="00B75B77">
        <w:rPr>
          <w:i/>
        </w:rPr>
        <w:t xml:space="preserve"> </w:t>
      </w:r>
      <w:r w:rsidR="002E49B3" w:rsidRPr="00B75B77">
        <w:t>a</w:t>
      </w:r>
      <w:r w:rsidRPr="00B75B77">
        <w:t>d</w:t>
      </w:r>
      <w:r w:rsidR="00EB7B4D" w:rsidRPr="00B75B77">
        <w:t>j</w:t>
      </w:r>
      <w:r w:rsidRPr="00B75B77">
        <w:t xml:space="preserve">usted </w:t>
      </w:r>
      <w:r w:rsidR="002E49B3" w:rsidRPr="00B75B77">
        <w:t>e</w:t>
      </w:r>
      <w:r w:rsidRPr="00B75B77">
        <w:t xml:space="preserve">x </w:t>
      </w:r>
      <w:r w:rsidR="002E49B3" w:rsidRPr="00B75B77">
        <w:t>a</w:t>
      </w:r>
      <w:r w:rsidRPr="00B75B77">
        <w:t xml:space="preserve">nte) savings in this report refer to reported gross savings from the </w:t>
      </w:r>
      <w:r w:rsidR="00E515ED" w:rsidRPr="00B75B77">
        <w:t>EDC’s tracking system</w:t>
      </w:r>
      <w:r w:rsidRPr="00B75B77">
        <w:t xml:space="preserve"> that have been adjusted, where necessary, to reflect differences between the methods used to record and track savings and the methods in the Technical Reference Manual (TRM), or to correct data capture errors. These corrections are made to the population prior to </w:t>
      </w:r>
      <w:r w:rsidR="002E49B3" w:rsidRPr="00B75B77">
        <w:t>evaluation, measurement, and verification (</w:t>
      </w:r>
      <w:r w:rsidRPr="00B75B77">
        <w:t>EM&amp;V</w:t>
      </w:r>
      <w:r w:rsidR="002E49B3" w:rsidRPr="00B75B77">
        <w:t>)</w:t>
      </w:r>
      <w:r w:rsidRPr="00B75B77">
        <w:t xml:space="preserve"> activities. The adjusted ex ante gross savings are then verified through EM&amp;V activities. </w:t>
      </w:r>
    </w:p>
    <w:p w:rsidR="00E862BB" w:rsidRPr="00B75B77" w:rsidRDefault="00E862BB" w:rsidP="00586985">
      <w:pPr>
        <w:pStyle w:val="DefinitionTerm"/>
        <w:rPr>
          <w:rFonts w:ascii="Century Gothic" w:hAnsi="Century Gothic"/>
        </w:rPr>
      </w:pPr>
      <w:r w:rsidRPr="00B75B77">
        <w:rPr>
          <w:rFonts w:ascii="Century Gothic" w:hAnsi="Century Gothic"/>
        </w:rPr>
        <w:t>Verified Gross</w:t>
      </w:r>
    </w:p>
    <w:p w:rsidR="00A355C0" w:rsidRPr="00B75B77" w:rsidRDefault="00A355C0" w:rsidP="00586985">
      <w:pPr>
        <w:spacing w:after="120"/>
      </w:pPr>
      <w:proofErr w:type="gramStart"/>
      <w:r w:rsidRPr="00B75B77">
        <w:t xml:space="preserve">Refers to the verified gross savings results of the program or portfolio </w:t>
      </w:r>
      <w:r w:rsidR="002E49B3" w:rsidRPr="00B75B77">
        <w:t xml:space="preserve">as </w:t>
      </w:r>
      <w:r w:rsidRPr="00B75B77">
        <w:t>determined by the evaluation activities.</w:t>
      </w:r>
      <w:proofErr w:type="gramEnd"/>
      <w:r w:rsidRPr="00B75B77">
        <w:t xml:space="preserve"> </w:t>
      </w:r>
      <w:proofErr w:type="gramStart"/>
      <w:r w:rsidRPr="00B75B77">
        <w:t>Also known as ex post or “after the fact” savings (us</w:t>
      </w:r>
      <w:r w:rsidR="002E49B3" w:rsidRPr="00B75B77">
        <w:t>es</w:t>
      </w:r>
      <w:r w:rsidRPr="00B75B77">
        <w:t xml:space="preserve"> annual evaluation activities as the reference point for the post period).</w:t>
      </w:r>
      <w:proofErr w:type="gramEnd"/>
      <w:r w:rsidRPr="00B75B77">
        <w:t xml:space="preserve"> </w:t>
      </w:r>
    </w:p>
    <w:p w:rsidR="008D07DD" w:rsidRPr="00B75B77" w:rsidRDefault="008D07DD" w:rsidP="00586985">
      <w:pPr>
        <w:rPr>
          <w:rFonts w:ascii="Century Gothic" w:hAnsi="Century Gothic"/>
          <w:b/>
        </w:rPr>
      </w:pPr>
      <w:r w:rsidRPr="00B75B77">
        <w:rPr>
          <w:rFonts w:ascii="Century Gothic" w:hAnsi="Century Gothic"/>
          <w:b/>
        </w:rPr>
        <w:t>Verified Net</w:t>
      </w:r>
    </w:p>
    <w:p w:rsidR="008D07DD" w:rsidRPr="00B75B77" w:rsidRDefault="00924E56" w:rsidP="00586985">
      <w:r w:rsidRPr="00B75B77">
        <w:t xml:space="preserve">The total change in load that is attributable to an energy efficiency program. This change in load may include, implicitly or explicitly, the effects of </w:t>
      </w:r>
      <w:r w:rsidR="002E3523" w:rsidRPr="00B75B77">
        <w:t>spillover</w:t>
      </w:r>
      <w:r w:rsidR="005F3985" w:rsidRPr="00B75B77">
        <w:t>,</w:t>
      </w:r>
      <w:r w:rsidR="007F0D42" w:rsidRPr="00B75B77">
        <w:t xml:space="preserve"> </w:t>
      </w:r>
      <w:r w:rsidRPr="00B75B77">
        <w:t>free</w:t>
      </w:r>
      <w:r w:rsidR="002E49B3" w:rsidRPr="00B75B77">
        <w:t xml:space="preserve"> </w:t>
      </w:r>
      <w:r w:rsidRPr="00B75B77">
        <w:t xml:space="preserve">riders, energy efficiency standards, changes in the level of energy service, and other causes of changes in energy consumption or demand. Net savings are calculated by multiplying verified savings by a </w:t>
      </w:r>
      <w:r w:rsidR="007E7423" w:rsidRPr="00B75B77">
        <w:rPr>
          <w:rFonts w:cstheme="minorHAnsi"/>
          <w:color w:val="000000"/>
        </w:rPr>
        <w:t>n</w:t>
      </w:r>
      <w:r w:rsidR="002C5E0D" w:rsidRPr="00B75B77">
        <w:rPr>
          <w:rFonts w:cstheme="minorHAnsi"/>
          <w:color w:val="000000"/>
        </w:rPr>
        <w:t>et-to-</w:t>
      </w:r>
      <w:r w:rsidR="00A12DD2" w:rsidRPr="00B75B77">
        <w:rPr>
          <w:rFonts w:cstheme="minorHAnsi"/>
          <w:color w:val="000000"/>
        </w:rPr>
        <w:t>g</w:t>
      </w:r>
      <w:r w:rsidR="002C5E0D" w:rsidRPr="00B75B77">
        <w:rPr>
          <w:rFonts w:cstheme="minorHAnsi"/>
          <w:color w:val="000000"/>
        </w:rPr>
        <w:t>ross</w:t>
      </w:r>
      <w:r w:rsidR="002C5E0D" w:rsidRPr="00B75B77">
        <w:t xml:space="preserve"> (</w:t>
      </w:r>
      <w:r w:rsidRPr="00B75B77">
        <w:t>NTG</w:t>
      </w:r>
      <w:r w:rsidR="002C5E0D" w:rsidRPr="00B75B77">
        <w:t>)</w:t>
      </w:r>
      <w:r w:rsidRPr="00B75B77">
        <w:t xml:space="preserve"> ratio.</w:t>
      </w:r>
    </w:p>
    <w:p w:rsidR="008D07DD" w:rsidRPr="00B75B77" w:rsidRDefault="008D07DD" w:rsidP="00586985">
      <w:pPr>
        <w:rPr>
          <w:b/>
        </w:rPr>
      </w:pPr>
    </w:p>
    <w:p w:rsidR="00E862BB" w:rsidRPr="00B75B77" w:rsidRDefault="00E862BB" w:rsidP="00586985">
      <w:pPr>
        <w:pStyle w:val="DefinitionHeader"/>
        <w:pBdr>
          <w:bottom w:val="single" w:sz="6" w:space="1" w:color="auto"/>
        </w:pBdr>
        <w:spacing w:before="0" w:after="0"/>
        <w:rPr>
          <w:rFonts w:ascii="Century Gothic" w:hAnsi="Century Gothic"/>
          <w:color w:val="448A99"/>
        </w:rPr>
      </w:pPr>
      <w:r w:rsidRPr="00B75B77">
        <w:rPr>
          <w:rFonts w:ascii="Century Gothic" w:hAnsi="Century Gothic"/>
          <w:caps/>
          <w:color w:val="448A99"/>
        </w:rPr>
        <w:lastRenderedPageBreak/>
        <w:t>T</w:t>
      </w:r>
      <w:r w:rsidR="002A5016" w:rsidRPr="00B75B77">
        <w:rPr>
          <w:rFonts w:ascii="Century Gothic" w:hAnsi="Century Gothic"/>
          <w:caps/>
          <w:color w:val="448A99"/>
        </w:rPr>
        <w:t xml:space="preserve">otal </w:t>
      </w:r>
      <w:r w:rsidRPr="00B75B77">
        <w:rPr>
          <w:rFonts w:ascii="Century Gothic" w:hAnsi="Century Gothic"/>
          <w:caps/>
          <w:color w:val="448A99"/>
        </w:rPr>
        <w:t>R</w:t>
      </w:r>
      <w:r w:rsidR="002A5016" w:rsidRPr="00B75B77">
        <w:rPr>
          <w:rFonts w:ascii="Century Gothic" w:hAnsi="Century Gothic"/>
          <w:caps/>
          <w:color w:val="448A99"/>
        </w:rPr>
        <w:t xml:space="preserve">esource </w:t>
      </w:r>
      <w:r w:rsidRPr="00B75B77">
        <w:rPr>
          <w:rFonts w:ascii="Century Gothic" w:hAnsi="Century Gothic"/>
          <w:caps/>
          <w:color w:val="448A99"/>
        </w:rPr>
        <w:t>C</w:t>
      </w:r>
      <w:r w:rsidR="002A5016" w:rsidRPr="00B75B77">
        <w:rPr>
          <w:rFonts w:ascii="Century Gothic" w:hAnsi="Century Gothic"/>
          <w:caps/>
          <w:color w:val="448A99"/>
        </w:rPr>
        <w:t>ost</w:t>
      </w:r>
      <w:r w:rsidRPr="00B75B77">
        <w:rPr>
          <w:rFonts w:ascii="Century Gothic" w:hAnsi="Century Gothic"/>
          <w:color w:val="448A99"/>
        </w:rPr>
        <w:t xml:space="preserve"> COMPONENTS</w:t>
      </w:r>
      <w:r w:rsidRPr="00B75B77">
        <w:rPr>
          <w:rStyle w:val="FootnoteReference"/>
          <w:rFonts w:ascii="Century Gothic" w:hAnsi="Century Gothic"/>
          <w:color w:val="448A99"/>
        </w:rPr>
        <w:footnoteReference w:id="2"/>
      </w:r>
    </w:p>
    <w:p w:rsidR="00E862BB" w:rsidRPr="00B75B77" w:rsidRDefault="00E862BB" w:rsidP="00586985">
      <w:pPr>
        <w:pStyle w:val="DefinitionTerm"/>
        <w:spacing w:before="120"/>
        <w:jc w:val="both"/>
        <w:rPr>
          <w:rFonts w:ascii="Century Gothic" w:hAnsi="Century Gothic"/>
        </w:rPr>
      </w:pPr>
      <w:r w:rsidRPr="00B75B77">
        <w:rPr>
          <w:rFonts w:ascii="Century Gothic" w:hAnsi="Century Gothic"/>
        </w:rPr>
        <w:t>Administration</w:t>
      </w:r>
      <w:r w:rsidR="00E515ED" w:rsidRPr="00B75B77">
        <w:rPr>
          <w:rFonts w:ascii="Century Gothic" w:hAnsi="Century Gothic"/>
        </w:rPr>
        <w:t>, Management, and Technical Assistance</w:t>
      </w:r>
      <w:r w:rsidRPr="00B75B77">
        <w:rPr>
          <w:rFonts w:ascii="Century Gothic" w:hAnsi="Century Gothic"/>
        </w:rPr>
        <w:t xml:space="preserve"> Costs</w:t>
      </w:r>
    </w:p>
    <w:p w:rsidR="00A00BC3" w:rsidRPr="00B75B77" w:rsidRDefault="0004075F" w:rsidP="00586985">
      <w:pPr>
        <w:pStyle w:val="DefinitionTerm"/>
        <w:spacing w:after="120"/>
        <w:jc w:val="both"/>
        <w:rPr>
          <w:b w:val="0"/>
        </w:rPr>
      </w:pPr>
      <w:r w:rsidRPr="00B75B77">
        <w:rPr>
          <w:b w:val="0"/>
        </w:rPr>
        <w:t xml:space="preserve">Includes rebate processing, tracking system, general administration, EDC and </w:t>
      </w:r>
      <w:r w:rsidR="006E2711" w:rsidRPr="00B75B77">
        <w:rPr>
          <w:b w:val="0"/>
        </w:rPr>
        <w:t>conservation service provider (</w:t>
      </w:r>
      <w:r w:rsidRPr="00B75B77">
        <w:rPr>
          <w:b w:val="0"/>
        </w:rPr>
        <w:t>CSP</w:t>
      </w:r>
      <w:r w:rsidR="006E2711" w:rsidRPr="00B75B77">
        <w:rPr>
          <w:b w:val="0"/>
        </w:rPr>
        <w:t>)</w:t>
      </w:r>
      <w:r w:rsidRPr="00B75B77">
        <w:rPr>
          <w:b w:val="0"/>
        </w:rPr>
        <w:t xml:space="preserve"> program management, general management and </w:t>
      </w:r>
      <w:proofErr w:type="gramStart"/>
      <w:r w:rsidRPr="00B75B77">
        <w:rPr>
          <w:b w:val="0"/>
        </w:rPr>
        <w:t>legal,</w:t>
      </w:r>
      <w:proofErr w:type="gramEnd"/>
      <w:r w:rsidRPr="00B75B77">
        <w:rPr>
          <w:b w:val="0"/>
        </w:rPr>
        <w:t xml:space="preserve"> and technical assistance</w:t>
      </w:r>
      <w:r w:rsidR="00A355C0" w:rsidRPr="00B75B77">
        <w:rPr>
          <w:b w:val="0"/>
        </w:rPr>
        <w:t>.</w:t>
      </w:r>
    </w:p>
    <w:p w:rsidR="00A355C0" w:rsidRPr="00B75B77" w:rsidRDefault="00A355C0" w:rsidP="00586985">
      <w:pPr>
        <w:pStyle w:val="DefinitionTerm"/>
        <w:jc w:val="both"/>
        <w:rPr>
          <w:rFonts w:ascii="Century Gothic" w:hAnsi="Century Gothic"/>
        </w:rPr>
      </w:pPr>
      <w:r w:rsidRPr="00B75B77">
        <w:rPr>
          <w:rFonts w:ascii="Century Gothic" w:hAnsi="Century Gothic"/>
        </w:rPr>
        <w:t>EDC Costs</w:t>
      </w:r>
    </w:p>
    <w:p w:rsidR="00A355C0" w:rsidRPr="00B75B77" w:rsidRDefault="00A355C0" w:rsidP="00586985">
      <w:pPr>
        <w:spacing w:after="120"/>
      </w:pPr>
      <w:r w:rsidRPr="00B75B77">
        <w:t xml:space="preserve">Per the </w:t>
      </w:r>
      <w:r w:rsidR="00505855" w:rsidRPr="00B75B77">
        <w:t xml:space="preserve">Pennsylvania </w:t>
      </w:r>
      <w:r w:rsidR="00903866" w:rsidRPr="00B75B77">
        <w:t>Public Utility Commission (</w:t>
      </w:r>
      <w:r w:rsidR="00505855" w:rsidRPr="00B75B77">
        <w:t>PUC</w:t>
      </w:r>
      <w:r w:rsidR="00903866" w:rsidRPr="00B75B77">
        <w:t>)</w:t>
      </w:r>
      <w:r w:rsidR="00505855" w:rsidRPr="00B75B77">
        <w:t xml:space="preserve"> </w:t>
      </w:r>
      <w:r w:rsidRPr="00B75B77">
        <w:t>2013 Total Resource Cost (TRC) Test Order, the total EDC costs refer to EDC-incurred expenditures only</w:t>
      </w:r>
      <w:r w:rsidR="002E49B3" w:rsidRPr="00B75B77">
        <w:t xml:space="preserve">. </w:t>
      </w:r>
      <w:r w:rsidR="0004075F" w:rsidRPr="00B75B77">
        <w:t>This includes but is not limited to</w:t>
      </w:r>
      <w:r w:rsidR="002E49B3" w:rsidRPr="00B75B77">
        <w:t>:</w:t>
      </w:r>
      <w:r w:rsidR="0004075F" w:rsidRPr="00B75B77">
        <w:t xml:space="preserve"> administration, management, technical assistance, design </w:t>
      </w:r>
      <w:r w:rsidR="002E49B3" w:rsidRPr="00B75B77">
        <w:t>and</w:t>
      </w:r>
      <w:r w:rsidR="0004075F" w:rsidRPr="00B75B77">
        <w:t xml:space="preserve"> development of </w:t>
      </w:r>
      <w:r w:rsidR="002E49B3" w:rsidRPr="00B75B77">
        <w:t>energy efficiency and conservation (</w:t>
      </w:r>
      <w:r w:rsidR="0004075F" w:rsidRPr="00B75B77">
        <w:t>EE&amp;C</w:t>
      </w:r>
      <w:r w:rsidR="002E49B3" w:rsidRPr="00B75B77">
        <w:t>)</w:t>
      </w:r>
      <w:r w:rsidR="0004075F" w:rsidRPr="00B75B77">
        <w:t xml:space="preserve"> </w:t>
      </w:r>
      <w:r w:rsidR="002E49B3" w:rsidRPr="00B75B77">
        <w:t>p</w:t>
      </w:r>
      <w:r w:rsidR="0004075F" w:rsidRPr="00B75B77">
        <w:t>lans and programs, marketing, evaluation, and incentives.</w:t>
      </w:r>
    </w:p>
    <w:p w:rsidR="00A355C0" w:rsidRPr="00B75B77" w:rsidRDefault="00A355C0" w:rsidP="00586985">
      <w:pPr>
        <w:pStyle w:val="DefinitionTerm"/>
        <w:rPr>
          <w:rFonts w:ascii="Century Gothic" w:hAnsi="Century Gothic"/>
        </w:rPr>
      </w:pPr>
      <w:r w:rsidRPr="00B75B77">
        <w:rPr>
          <w:rFonts w:ascii="Century Gothic" w:hAnsi="Century Gothic"/>
        </w:rPr>
        <w:t>Participant Costs</w:t>
      </w:r>
    </w:p>
    <w:p w:rsidR="00A355C0" w:rsidRPr="00B75B77" w:rsidRDefault="00DA4D69" w:rsidP="00586985">
      <w:pPr>
        <w:spacing w:after="120"/>
      </w:pPr>
      <w:r w:rsidRPr="00B75B77">
        <w:t xml:space="preserve">Participant </w:t>
      </w:r>
      <w:r w:rsidR="002E49B3" w:rsidRPr="00B75B77">
        <w:t>c</w:t>
      </w:r>
      <w:r w:rsidRPr="00B75B77">
        <w:t xml:space="preserve">osts as defined by the 2013 </w:t>
      </w:r>
      <w:r w:rsidR="002E49B3" w:rsidRPr="00B75B77">
        <w:t>TRC</w:t>
      </w:r>
      <w:r w:rsidRPr="00B75B77">
        <w:t xml:space="preserve"> Test Order</w:t>
      </w:r>
      <w:r w:rsidR="00A355C0" w:rsidRPr="00B75B77">
        <w:t>.</w:t>
      </w:r>
    </w:p>
    <w:p w:rsidR="00A355C0" w:rsidRPr="00B75B77" w:rsidRDefault="00E515ED" w:rsidP="00586985">
      <w:pPr>
        <w:pStyle w:val="DefinitionTerm"/>
        <w:rPr>
          <w:rFonts w:ascii="Century Gothic" w:hAnsi="Century Gothic"/>
        </w:rPr>
      </w:pPr>
      <w:r w:rsidRPr="00B75B77">
        <w:rPr>
          <w:rFonts w:ascii="Century Gothic" w:hAnsi="Century Gothic"/>
        </w:rPr>
        <w:t>Total TRC Costs</w:t>
      </w:r>
    </w:p>
    <w:p w:rsidR="00A355C0" w:rsidRPr="00B75B77" w:rsidRDefault="00BE3580" w:rsidP="00586985">
      <w:pPr>
        <w:spacing w:after="120"/>
      </w:pPr>
      <w:r w:rsidRPr="00B75B77">
        <w:t>Total TRC</w:t>
      </w:r>
      <w:r w:rsidR="00A355C0" w:rsidRPr="00B75B77">
        <w:t xml:space="preserve"> </w:t>
      </w:r>
      <w:r w:rsidR="002E49B3" w:rsidRPr="00B75B77">
        <w:t>c</w:t>
      </w:r>
      <w:r w:rsidR="00DA4D69" w:rsidRPr="00B75B77">
        <w:t xml:space="preserve">osts as defined by the 2013 </w:t>
      </w:r>
      <w:r w:rsidR="002E49B3" w:rsidRPr="00B75B77">
        <w:t>TRC</w:t>
      </w:r>
      <w:r w:rsidR="00DA4D69" w:rsidRPr="00B75B77">
        <w:t xml:space="preserve"> Test Order</w:t>
      </w:r>
      <w:r w:rsidR="00A355C0" w:rsidRPr="00B75B77">
        <w:t>.</w:t>
      </w:r>
    </w:p>
    <w:p w:rsidR="00A355C0" w:rsidRPr="00B75B77" w:rsidRDefault="00A355C0" w:rsidP="00586985">
      <w:pPr>
        <w:pStyle w:val="DefinitionTerm"/>
        <w:rPr>
          <w:rFonts w:ascii="Century Gothic" w:hAnsi="Century Gothic"/>
        </w:rPr>
      </w:pPr>
      <w:r w:rsidRPr="00B75B77">
        <w:rPr>
          <w:rFonts w:ascii="Century Gothic" w:hAnsi="Century Gothic"/>
        </w:rPr>
        <w:t>Total TRC Benefits</w:t>
      </w:r>
    </w:p>
    <w:p w:rsidR="00CA641F" w:rsidRPr="00B75B77" w:rsidRDefault="00DA4D69" w:rsidP="00586985">
      <w:r w:rsidRPr="00B75B77">
        <w:t xml:space="preserve">Benefits as defined by the 2013 </w:t>
      </w:r>
      <w:r w:rsidR="002E49B3" w:rsidRPr="00B75B77">
        <w:t>TRC</w:t>
      </w:r>
      <w:r w:rsidRPr="00B75B77">
        <w:t xml:space="preserve"> Test Order</w:t>
      </w:r>
      <w:r w:rsidR="00A355C0" w:rsidRPr="00B75B77">
        <w:t xml:space="preserve">. </w:t>
      </w:r>
    </w:p>
    <w:p w:rsidR="007A6327" w:rsidRPr="00B75B77" w:rsidRDefault="007A6327" w:rsidP="00442FAF"/>
    <w:p w:rsidR="001C4B12" w:rsidRPr="00B75B77" w:rsidRDefault="001C4B12" w:rsidP="00442FAF"/>
    <w:p w:rsidR="001C4B12" w:rsidRPr="00B75B77" w:rsidRDefault="001C4B12" w:rsidP="00442FAF">
      <w:pPr>
        <w:sectPr w:rsidR="001C4B12" w:rsidRPr="00B75B77" w:rsidSect="00586985">
          <w:footerReference w:type="default" r:id="rId27"/>
          <w:footerReference w:type="first" r:id="rId28"/>
          <w:pgSz w:w="12240" w:h="15840" w:code="1"/>
          <w:pgMar w:top="1263" w:right="1440" w:bottom="990" w:left="1440" w:header="576" w:footer="403" w:gutter="0"/>
          <w:pgNumType w:fmt="lowerRoman"/>
          <w:cols w:space="720"/>
          <w:titlePg/>
          <w:docGrid w:linePitch="360"/>
        </w:sectPr>
      </w:pPr>
    </w:p>
    <w:p w:rsidR="000C1E59" w:rsidRPr="00B75B77" w:rsidRDefault="000C1E59" w:rsidP="009E08FB">
      <w:pPr>
        <w:pStyle w:val="Heading1"/>
        <w:numPr>
          <w:ilvl w:val="0"/>
          <w:numId w:val="109"/>
        </w:numPr>
      </w:pPr>
      <w:bookmarkStart w:id="19" w:name="_Toc453075166"/>
      <w:bookmarkStart w:id="20" w:name="_Toc466413259"/>
      <w:bookmarkStart w:id="21" w:name="_Toc390682403"/>
      <w:bookmarkStart w:id="22" w:name="_Toc389747541"/>
      <w:bookmarkStart w:id="23" w:name="_Toc390947278"/>
      <w:bookmarkStart w:id="24" w:name="_Toc390175487"/>
      <w:bookmarkStart w:id="25" w:name="_Toc390943349"/>
      <w:r w:rsidRPr="00B75B77">
        <w:lastRenderedPageBreak/>
        <w:t>Overview of Portfolio</w:t>
      </w:r>
      <w:bookmarkEnd w:id="19"/>
      <w:bookmarkEnd w:id="20"/>
    </w:p>
    <w:p w:rsidR="000C1E59" w:rsidRPr="00B75B77" w:rsidRDefault="000C1E59" w:rsidP="00586985">
      <w:r w:rsidRPr="00B75B77">
        <w:t>Pennsylvania Act 129 of 2008, which was signed on October 15, 2008, mandated energy savings and demand reduction goals for the largest electric distribution companies (EDCs) in Pennsylvania for Phase I (2008 through 2013). In 2009, each EDC submitted energy efficiency and conservation (EE&amp;C) plans pursuant to these goals, which were approved by the Pennsylvania Public Utility Commission (PUC). Each EDC filed new EE&amp;C plans with the PUC in 2012 for Phase II (June 2013 through May 2016) of the Act 129 programs. These plans were approved by the PUC in 2013.</w:t>
      </w:r>
    </w:p>
    <w:p w:rsidR="000C1E59" w:rsidRPr="00B75B77" w:rsidRDefault="000C1E59" w:rsidP="00586985"/>
    <w:p w:rsidR="000C1E59" w:rsidRPr="00B75B77" w:rsidRDefault="000C1E59" w:rsidP="00586985">
      <w:r w:rsidRPr="00B75B77">
        <w:t>Implementation of Phase II Act 129 programs began June 1, 2013. This report documents the progress and effectiveness of the Phase II EE&amp;C accomplishments for PECO in Program Year 7 (PY7), defined as June 1, 2015 through May 31, 2016, as well as the cumulative accomplishments of the programs since inception of Phase II. This report</w:t>
      </w:r>
      <w:r w:rsidRPr="00B75B77" w:rsidDel="00D06BF7">
        <w:t xml:space="preserve"> </w:t>
      </w:r>
      <w:r w:rsidR="00D06BF7" w:rsidRPr="00B75B77">
        <w:t xml:space="preserve">also </w:t>
      </w:r>
      <w:r w:rsidRPr="00B75B77">
        <w:t>documents the energy savings carried over from Phase I. The Phase I carry-over savings count toward EDC savings compliance targets for Phase II.</w:t>
      </w:r>
    </w:p>
    <w:p w:rsidR="000C1E59" w:rsidRPr="00B75B77" w:rsidRDefault="000C1E59" w:rsidP="00586985"/>
    <w:p w:rsidR="000C1E59" w:rsidRPr="00B75B77" w:rsidRDefault="000C1E59" w:rsidP="00586985">
      <w:r w:rsidRPr="00B75B77">
        <w:t xml:space="preserve">Navigant Consulting, Inc. (Navigant) evaluated the programs, which included measurement and verification </w:t>
      </w:r>
      <w:r w:rsidR="00F94CBE" w:rsidRPr="00B75B77">
        <w:t xml:space="preserve">(M&amp;V) </w:t>
      </w:r>
      <w:r w:rsidRPr="00B75B77">
        <w:t xml:space="preserve">of the savings.  </w:t>
      </w:r>
    </w:p>
    <w:p w:rsidR="000C1E59" w:rsidRPr="00B75B77" w:rsidRDefault="000C1E59" w:rsidP="00586985"/>
    <w:p w:rsidR="000C1E59" w:rsidRPr="00B75B77" w:rsidRDefault="000C1E59" w:rsidP="003E6A9B">
      <w:pPr>
        <w:pStyle w:val="Heading2"/>
      </w:pPr>
      <w:bookmarkStart w:id="26" w:name="_Toc390682402"/>
      <w:bookmarkStart w:id="27" w:name="_Toc389747540"/>
      <w:bookmarkStart w:id="28" w:name="_Toc390947277"/>
      <w:bookmarkStart w:id="29" w:name="_Toc390175486"/>
      <w:bookmarkStart w:id="30" w:name="_Toc390943348"/>
      <w:bookmarkStart w:id="31" w:name="_Toc453075167"/>
      <w:bookmarkStart w:id="32" w:name="_Toc466413260"/>
      <w:r w:rsidRPr="00B75B77">
        <w:t>Summary of Progress Toward Compliance Targets</w:t>
      </w:r>
      <w:bookmarkEnd w:id="26"/>
      <w:bookmarkEnd w:id="27"/>
      <w:bookmarkEnd w:id="28"/>
      <w:bookmarkEnd w:id="29"/>
      <w:bookmarkEnd w:id="30"/>
      <w:bookmarkEnd w:id="31"/>
      <w:bookmarkEnd w:id="32"/>
    </w:p>
    <w:p w:rsidR="000C1E59" w:rsidRPr="00B75B77" w:rsidRDefault="000C1E59" w:rsidP="00BE3580">
      <w:bookmarkStart w:id="33" w:name="_MON_1398837444"/>
      <w:bookmarkStart w:id="34" w:name="_MON_1399185083"/>
      <w:bookmarkStart w:id="35" w:name="_MON_1392186097"/>
      <w:bookmarkStart w:id="36" w:name="_MON_1393657718"/>
      <w:bookmarkStart w:id="37" w:name="_MON_1399412316"/>
      <w:bookmarkStart w:id="38" w:name="_MON_1399413558"/>
      <w:bookmarkStart w:id="39" w:name="_Ref310321799"/>
      <w:bookmarkEnd w:id="33"/>
      <w:bookmarkEnd w:id="34"/>
      <w:bookmarkEnd w:id="35"/>
      <w:bookmarkEnd w:id="36"/>
      <w:bookmarkEnd w:id="37"/>
      <w:bookmarkEnd w:id="38"/>
      <w:r w:rsidRPr="00B75B77">
        <w:t>PECO</w:t>
      </w:r>
      <w:r w:rsidRPr="00B75B77" w:rsidDel="00D06BF7">
        <w:t xml:space="preserve"> </w:t>
      </w:r>
      <w:r w:rsidRPr="00B75B77">
        <w:t xml:space="preserve">achieved 118% of the energy savings compliance target based on </w:t>
      </w:r>
      <w:r w:rsidRPr="00B75B77">
        <w:rPr>
          <w:rFonts w:cstheme="minorHAnsi"/>
          <w:color w:val="000000"/>
        </w:rPr>
        <w:t>cumulative portfolio Phase II inception to date</w:t>
      </w:r>
      <w:r w:rsidR="00D06BF7" w:rsidRPr="00B75B77">
        <w:rPr>
          <w:rFonts w:cstheme="minorHAnsi"/>
          <w:color w:val="000000"/>
        </w:rPr>
        <w:t>, which</w:t>
      </w:r>
      <w:r w:rsidRPr="00B75B77">
        <w:rPr>
          <w:rFonts w:cstheme="minorHAnsi"/>
          <w:color w:val="000000"/>
        </w:rPr>
        <w:t xml:space="preserve"> includ</w:t>
      </w:r>
      <w:r w:rsidR="00D06BF7" w:rsidRPr="00B75B77">
        <w:rPr>
          <w:rFonts w:cstheme="minorHAnsi"/>
          <w:color w:val="000000"/>
        </w:rPr>
        <w:t>es</w:t>
      </w:r>
      <w:r w:rsidRPr="00B75B77">
        <w:rPr>
          <w:rFonts w:cstheme="minorHAnsi"/>
          <w:color w:val="000000"/>
        </w:rPr>
        <w:t xml:space="preserve"> carry</w:t>
      </w:r>
      <w:r w:rsidR="00D06BF7" w:rsidRPr="00B75B77">
        <w:rPr>
          <w:rFonts w:cstheme="minorHAnsi"/>
          <w:color w:val="000000"/>
        </w:rPr>
        <w:t>-</w:t>
      </w:r>
      <w:r w:rsidRPr="00B75B77">
        <w:rPr>
          <w:rFonts w:cstheme="minorHAnsi"/>
          <w:color w:val="000000"/>
        </w:rPr>
        <w:t>over savings from Phase I</w:t>
      </w:r>
      <w:r w:rsidRPr="00B75B77">
        <w:rPr>
          <w:color w:val="000000"/>
        </w:rPr>
        <w:t xml:space="preserve"> </w:t>
      </w:r>
      <w:r w:rsidRPr="00B75B77">
        <w:rPr>
          <w:rFonts w:cstheme="minorHAnsi"/>
          <w:color w:val="000000"/>
        </w:rPr>
        <w:t>(Phase II+CO)</w:t>
      </w:r>
      <w:r w:rsidRPr="00B75B77">
        <w:t xml:space="preserve"> verified gross energy savings, as shown in </w:t>
      </w:r>
      <w:r w:rsidRPr="00B75B77">
        <w:fldChar w:fldCharType="begin"/>
      </w:r>
      <w:r w:rsidRPr="00B75B77">
        <w:instrText xml:space="preserve"> REF _Ref448933081 \h </w:instrText>
      </w:r>
      <w:r w:rsidR="00B75B77">
        <w:instrText xml:space="preserve"> \* MERGEFORMAT </w:instrText>
      </w:r>
      <w:r w:rsidRPr="00B75B77">
        <w:fldChar w:fldCharType="separate"/>
      </w:r>
      <w:r w:rsidR="0004016D" w:rsidRPr="00B75B77">
        <w:t xml:space="preserve">Figure </w:t>
      </w:r>
      <w:r w:rsidR="0004016D">
        <w:rPr>
          <w:noProof/>
        </w:rPr>
        <w:t>1</w:t>
      </w:r>
      <w:r w:rsidR="0004016D" w:rsidRPr="00B75B77">
        <w:rPr>
          <w:noProof/>
        </w:rPr>
        <w:noBreakHyphen/>
      </w:r>
      <w:r w:rsidR="0004016D">
        <w:rPr>
          <w:noProof/>
        </w:rPr>
        <w:t>1</w:t>
      </w:r>
      <w:r w:rsidRPr="00B75B77">
        <w:fldChar w:fldCharType="end"/>
      </w:r>
      <w:r w:rsidRPr="00B75B77">
        <w:t xml:space="preserve">.  </w:t>
      </w:r>
    </w:p>
    <w:p w:rsidR="000C1E59" w:rsidRPr="00B75B77" w:rsidRDefault="000C1E59" w:rsidP="00BE3580"/>
    <w:p w:rsidR="000C1E59" w:rsidRPr="00B75B77" w:rsidRDefault="000C1E59" w:rsidP="007D4A93">
      <w:pPr>
        <w:pStyle w:val="Caption"/>
      </w:pPr>
      <w:bookmarkStart w:id="40" w:name="_Ref448933081"/>
      <w:bookmarkStart w:id="41" w:name="_Toc449689423"/>
      <w:bookmarkStart w:id="42" w:name="_Toc466413659"/>
      <w:bookmarkEnd w:id="39"/>
      <w:r w:rsidRPr="00B75B77">
        <w:t xml:space="preserve">Figure </w:t>
      </w:r>
      <w:fldSimple w:instr=" STYLEREF 1 \s ">
        <w:r w:rsidR="0004016D">
          <w:rPr>
            <w:noProof/>
          </w:rPr>
          <w:t>1</w:t>
        </w:r>
      </w:fldSimple>
      <w:r w:rsidRPr="00B75B77">
        <w:noBreakHyphen/>
      </w:r>
      <w:fldSimple w:instr=" SEQ Figure \* ARABIC \s 1 ">
        <w:r w:rsidR="0004016D">
          <w:rPr>
            <w:noProof/>
          </w:rPr>
          <w:t>1</w:t>
        </w:r>
      </w:fldSimple>
      <w:bookmarkEnd w:id="40"/>
      <w:r w:rsidRPr="00B75B77">
        <w:t>: Cumulative Portfolio Phase II Inception to Date Verified Gross Energy Impacts</w:t>
      </w:r>
      <w:bookmarkEnd w:id="41"/>
      <w:bookmarkEnd w:id="42"/>
    </w:p>
    <w:p w:rsidR="000C1E59" w:rsidRPr="00B75B77" w:rsidRDefault="00282884" w:rsidP="00854D2D">
      <w:pPr>
        <w:jc w:val="center"/>
      </w:pPr>
      <w:r w:rsidRPr="00B75B77">
        <w:rPr>
          <w:noProof/>
        </w:rPr>
        <w:drawing>
          <wp:inline distT="0" distB="0" distL="0" distR="0" wp14:anchorId="6A6E6A3C" wp14:editId="28EE66AD">
            <wp:extent cx="5223933" cy="3361266"/>
            <wp:effectExtent l="0" t="0" r="0" b="0"/>
            <wp:docPr id="319" name="Chart 3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C1E59" w:rsidRPr="00B75B77" w:rsidRDefault="000C1E59" w:rsidP="00F94CBE">
      <w:pPr>
        <w:pStyle w:val="Source"/>
        <w:ind w:firstLine="90"/>
        <w:rPr>
          <w:rStyle w:val="Strong"/>
          <w:b w:val="0"/>
          <w:bCs w:val="0"/>
        </w:rPr>
      </w:pPr>
      <w:r w:rsidRPr="00B75B77">
        <w:rPr>
          <w:rStyle w:val="Strong"/>
          <w:b w:val="0"/>
          <w:bCs w:val="0"/>
        </w:rPr>
        <w:t>Source: Navigant analysis</w:t>
      </w:r>
    </w:p>
    <w:p w:rsidR="000C1E59" w:rsidRPr="00B75B77" w:rsidRDefault="000C1E59" w:rsidP="00854D2D">
      <w:pPr>
        <w:jc w:val="center"/>
      </w:pPr>
    </w:p>
    <w:p w:rsidR="004429C2" w:rsidRPr="00B75B77" w:rsidRDefault="000C1E59" w:rsidP="00F94CBE">
      <w:pPr>
        <w:jc w:val="left"/>
      </w:pPr>
      <w:bookmarkStart w:id="43" w:name="_Ref356305041"/>
      <w:bookmarkStart w:id="44" w:name="_Ref310322105"/>
      <w:r w:rsidRPr="00B75B77">
        <w:lastRenderedPageBreak/>
        <w:t xml:space="preserve">According to the Phase II Implementation Order, PECO is allowed by the PUC to carry over megawatt-hour (MWh) savings in excess of its Phase I compliance target into Phase II of Act 129. The total verified savings based on the </w:t>
      </w:r>
      <w:r w:rsidR="0054073E" w:rsidRPr="00B75B77">
        <w:t>T</w:t>
      </w:r>
      <w:r w:rsidRPr="00B75B77">
        <w:t xml:space="preserve">echnical </w:t>
      </w:r>
      <w:r w:rsidR="0054073E" w:rsidRPr="00B75B77">
        <w:t>R</w:t>
      </w:r>
      <w:r w:rsidRPr="00B75B77">
        <w:t xml:space="preserve">eference </w:t>
      </w:r>
      <w:r w:rsidR="0054073E" w:rsidRPr="00B75B77">
        <w:t>M</w:t>
      </w:r>
      <w:r w:rsidRPr="00B75B77">
        <w:t xml:space="preserve">anual (TRM) that PECO reported for Phase I </w:t>
      </w:r>
      <w:r w:rsidR="00E639E7" w:rsidRPr="00B75B77">
        <w:t>was</w:t>
      </w:r>
      <w:r w:rsidRPr="00B75B77">
        <w:t xml:space="preserve"> 1,399,242 MWh. The PA PUC tentatively accepted this value in its Act 129 Phase I Compliance Determination Order.</w:t>
      </w:r>
      <w:r w:rsidRPr="00B75B77">
        <w:rPr>
          <w:rStyle w:val="FootnoteReference"/>
        </w:rPr>
        <w:footnoteReference w:id="3"/>
      </w:r>
      <w:r w:rsidRPr="00B75B77">
        <w:rPr>
          <w:rStyle w:val="FootnoteReference"/>
        </w:rPr>
        <w:t xml:space="preserve"> </w:t>
      </w:r>
      <w:r w:rsidRPr="00B75B77">
        <w:t>At the time PECO filed its Phase I Final Report, there were three combined heat and power (CHP) projects—one in the commercial and industrial (C&amp;I) sector and two in the government, nonprofit, institutional (GNI) sector—that had commercial dates of operation (CDO) in Phase I. However, completion of the projects was too late in the program year for Navigant to verify them fully. Per the statewide evaluator’s (SWE’s) September 13, 2013 guidance memo on reporting unverified savings,</w:t>
      </w:r>
      <w:r w:rsidRPr="00B75B77">
        <w:rPr>
          <w:rStyle w:val="FootnoteReference"/>
        </w:rPr>
        <w:footnoteReference w:id="4"/>
      </w:r>
      <w:r w:rsidRPr="00B75B77">
        <w:t xml:space="preserve"> PECO presented reported (unverified) savings for these projects in the Phase I report. Navigant fully evaluated these three projects and initially reported the verified savings in PECO’s PY5, Quarter 3 report</w:t>
      </w:r>
      <w:r w:rsidR="00A938C3" w:rsidRPr="00B75B77">
        <w:t>;</w:t>
      </w:r>
      <w:r w:rsidRPr="00B75B77">
        <w:rPr>
          <w:rStyle w:val="FootnoteReference"/>
        </w:rPr>
        <w:footnoteReference w:id="5"/>
      </w:r>
      <w:r w:rsidR="00A938C3" w:rsidRPr="00B75B77">
        <w:t xml:space="preserve"> </w:t>
      </w:r>
      <w:r w:rsidRPr="00B75B77">
        <w:t>the verified savings total</w:t>
      </w:r>
      <w:r w:rsidR="00A938C3" w:rsidRPr="00B75B77">
        <w:t>ed</w:t>
      </w:r>
      <w:r w:rsidRPr="00B75B77">
        <w:t xml:space="preserve"> 25,101 MWh. In combination with the TRM-verified savings from Phase I, PECO’s total TRM-verified savings from Phase I </w:t>
      </w:r>
      <w:proofErr w:type="gramStart"/>
      <w:r w:rsidRPr="00B75B77">
        <w:t>are</w:t>
      </w:r>
      <w:proofErr w:type="gramEnd"/>
      <w:r w:rsidRPr="00B75B77">
        <w:t>, therefore, 1,424,342 MWh. This amount exceeds PECO’s Phase I compliance target of 1,181,550 MWh by 242,79</w:t>
      </w:r>
      <w:r w:rsidR="004429C2" w:rsidRPr="00B75B77">
        <w:t>3</w:t>
      </w:r>
      <w:r w:rsidRPr="00B75B77">
        <w:t xml:space="preserve"> MWh</w:t>
      </w:r>
      <w:r w:rsidR="004429C2" w:rsidRPr="00B75B77">
        <w:t xml:space="preserve"> (</w:t>
      </w:r>
      <w:r w:rsidR="00324A27" w:rsidRPr="00B75B77">
        <w:t>one</w:t>
      </w:r>
      <w:r w:rsidR="004429C2" w:rsidRPr="00B75B77">
        <w:t xml:space="preserve"> MWh difference due to rounding)</w:t>
      </w:r>
      <w:r w:rsidRPr="00B75B77">
        <w:t xml:space="preserve">, which is the amount that PECO is carrying over into Phase II. </w:t>
      </w:r>
    </w:p>
    <w:p w:rsidR="004429C2" w:rsidRPr="00B75B77" w:rsidRDefault="004429C2" w:rsidP="00F94CBE">
      <w:pPr>
        <w:jc w:val="left"/>
      </w:pPr>
    </w:p>
    <w:p w:rsidR="000C1E59" w:rsidRPr="00B75B77" w:rsidRDefault="000C1E59" w:rsidP="00F94CBE">
      <w:pPr>
        <w:jc w:val="left"/>
      </w:pPr>
      <w:r w:rsidRPr="00B75B77">
        <w:fldChar w:fldCharType="begin"/>
      </w:r>
      <w:r w:rsidRPr="00B75B77">
        <w:instrText xml:space="preserve"> REF _Ref448933020 \h </w:instrText>
      </w:r>
      <w:r w:rsidR="00B75B77">
        <w:instrText xml:space="preserve"> \* MERGEFORMAT </w:instrText>
      </w:r>
      <w:r w:rsidRPr="00B75B77">
        <w:fldChar w:fldCharType="separate"/>
      </w:r>
      <w:r w:rsidR="0004016D" w:rsidRPr="00B75B77">
        <w:t xml:space="preserve">Table </w:t>
      </w:r>
      <w:r w:rsidR="0004016D">
        <w:rPr>
          <w:noProof/>
        </w:rPr>
        <w:t>1</w:t>
      </w:r>
      <w:r w:rsidR="0004016D" w:rsidRPr="00B75B77">
        <w:rPr>
          <w:noProof/>
        </w:rPr>
        <w:noBreakHyphen/>
      </w:r>
      <w:r w:rsidR="0004016D">
        <w:rPr>
          <w:noProof/>
        </w:rPr>
        <w:t>1</w:t>
      </w:r>
      <w:r w:rsidRPr="00B75B77">
        <w:fldChar w:fldCharType="end"/>
      </w:r>
      <w:r w:rsidRPr="00B75B77">
        <w:t xml:space="preserve"> shows the incremental annual MWh savings from Phase I that PECO is carrying over into Phase II. </w:t>
      </w:r>
      <w:r w:rsidRPr="00B75B77">
        <w:fldChar w:fldCharType="begin"/>
      </w:r>
      <w:r w:rsidRPr="00B75B77">
        <w:instrText xml:space="preserve"> REF _Ref448933027 \h </w:instrText>
      </w:r>
      <w:r w:rsidR="00B75B77">
        <w:instrText xml:space="preserve"> \* MERGEFORMAT </w:instrText>
      </w:r>
      <w:r w:rsidRPr="00B75B77">
        <w:fldChar w:fldCharType="separate"/>
      </w:r>
      <w:r w:rsidR="0004016D" w:rsidRPr="00B75B77">
        <w:t xml:space="preserve">Table </w:t>
      </w:r>
      <w:r w:rsidR="0004016D">
        <w:rPr>
          <w:noProof/>
        </w:rPr>
        <w:t>1</w:t>
      </w:r>
      <w:r w:rsidR="0004016D" w:rsidRPr="00B75B77">
        <w:rPr>
          <w:noProof/>
        </w:rPr>
        <w:noBreakHyphen/>
      </w:r>
      <w:r w:rsidR="0004016D">
        <w:rPr>
          <w:noProof/>
        </w:rPr>
        <w:t>2</w:t>
      </w:r>
      <w:r w:rsidRPr="00B75B77">
        <w:fldChar w:fldCharType="end"/>
      </w:r>
      <w:r w:rsidRPr="00B75B77">
        <w:t xml:space="preserve"> shows the lifetime MWh savings from Phase I that PECO is carrying over into Phase II.</w:t>
      </w:r>
    </w:p>
    <w:p w:rsidR="000C1E59" w:rsidRPr="00B75B77" w:rsidRDefault="000C1E59" w:rsidP="00BE3580"/>
    <w:p w:rsidR="000C1E59" w:rsidRPr="00B75B77" w:rsidRDefault="000C1E59" w:rsidP="00F94CBE">
      <w:pPr>
        <w:pStyle w:val="Caption"/>
      </w:pPr>
      <w:bookmarkStart w:id="45" w:name="_Ref448933020"/>
      <w:bookmarkStart w:id="46" w:name="_Toc453075273"/>
      <w:bookmarkStart w:id="47" w:name="_Toc466413483"/>
      <w:bookmarkEnd w:id="43"/>
      <w:r w:rsidRPr="00B75B77">
        <w:t xml:space="preserve">Table </w:t>
      </w:r>
      <w:r w:rsidR="00237810">
        <w:fldChar w:fldCharType="begin"/>
      </w:r>
      <w:r w:rsidR="00237810">
        <w:instrText xml:space="preserve"> STYLEREF 1 \s </w:instrText>
      </w:r>
      <w:r w:rsidR="00237810">
        <w:fldChar w:fldCharType="separate"/>
      </w:r>
      <w:r w:rsidR="0004016D">
        <w:rPr>
          <w:noProof/>
        </w:rPr>
        <w:t>1</w:t>
      </w:r>
      <w:r w:rsidR="00237810">
        <w:rPr>
          <w:noProof/>
        </w:rPr>
        <w:fldChar w:fldCharType="end"/>
      </w:r>
      <w:r w:rsidR="00F1144C" w:rsidRPr="00B75B77">
        <w:noBreakHyphen/>
      </w:r>
      <w:r w:rsidR="00237810">
        <w:fldChar w:fldCharType="begin"/>
      </w:r>
      <w:r w:rsidR="00237810">
        <w:instrText xml:space="preserve"> SEQ Table \* ARABIC \s 1 </w:instrText>
      </w:r>
      <w:r w:rsidR="00237810">
        <w:fldChar w:fldCharType="separate"/>
      </w:r>
      <w:r w:rsidR="0004016D">
        <w:rPr>
          <w:noProof/>
        </w:rPr>
        <w:t>1</w:t>
      </w:r>
      <w:r w:rsidR="00237810">
        <w:rPr>
          <w:noProof/>
        </w:rPr>
        <w:fldChar w:fldCharType="end"/>
      </w:r>
      <w:bookmarkEnd w:id="45"/>
      <w:r w:rsidRPr="00B75B77">
        <w:t>: Phase II Verified Gross Savings and Verified Gross Savings from PY4 Carried Into Phase II</w:t>
      </w:r>
      <w:bookmarkEnd w:id="46"/>
      <w:bookmarkEnd w:id="47"/>
    </w:p>
    <w:tbl>
      <w:tblPr>
        <w:tblW w:w="9535" w:type="dxa"/>
        <w:tblLook w:val="04A0" w:firstRow="1" w:lastRow="0" w:firstColumn="1" w:lastColumn="0" w:noHBand="0" w:noVBand="1"/>
      </w:tblPr>
      <w:tblGrid>
        <w:gridCol w:w="2380"/>
        <w:gridCol w:w="1665"/>
        <w:gridCol w:w="1890"/>
        <w:gridCol w:w="1800"/>
        <w:gridCol w:w="1800"/>
      </w:tblGrid>
      <w:tr w:rsidR="000C1E59" w:rsidRPr="00B75B77" w:rsidTr="00F94CBE">
        <w:trPr>
          <w:divId w:val="126968789"/>
          <w:trHeight w:val="720"/>
        </w:trPr>
        <w:tc>
          <w:tcPr>
            <w:tcW w:w="2380" w:type="dxa"/>
            <w:tcBorders>
              <w:top w:val="single" w:sz="4" w:space="0" w:color="auto"/>
              <w:left w:val="single" w:sz="4" w:space="0" w:color="auto"/>
              <w:bottom w:val="single" w:sz="4" w:space="0" w:color="auto"/>
              <w:right w:val="single" w:sz="4" w:space="0" w:color="auto"/>
            </w:tcBorders>
            <w:shd w:val="clear" w:color="000000" w:fill="448A99"/>
            <w:vAlign w:val="center"/>
            <w:hideMark/>
          </w:tcPr>
          <w:p w:rsidR="000C1E59" w:rsidRPr="00B75B77" w:rsidRDefault="000C1E59" w:rsidP="00F94CBE">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Sector </w:t>
            </w:r>
            <w:r w:rsidRPr="00B75B77">
              <w:rPr>
                <w:rFonts w:ascii="Calibri" w:eastAsia="Times New Roman" w:hAnsi="Calibri"/>
                <w:b/>
                <w:bCs/>
                <w:color w:val="FFFFFF" w:themeColor="background1"/>
                <w:sz w:val="18"/>
                <w:szCs w:val="18"/>
                <w:vertAlign w:val="superscript"/>
              </w:rPr>
              <w:t>[1]</w:t>
            </w:r>
          </w:p>
        </w:tc>
        <w:tc>
          <w:tcPr>
            <w:tcW w:w="1665"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F94CBE">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PYTD Verified Gross Savings (MWh)</w:t>
            </w:r>
          </w:p>
        </w:tc>
        <w:tc>
          <w:tcPr>
            <w:tcW w:w="1890"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F94CBE">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Phase II Verified Gross Savings (Cumulative Phase II MWH/</w:t>
            </w:r>
            <w:proofErr w:type="spellStart"/>
            <w:r w:rsidRPr="00B75B77">
              <w:rPr>
                <w:rFonts w:ascii="Calibri" w:eastAsia="Times New Roman" w:hAnsi="Calibri"/>
                <w:b/>
                <w:bCs/>
                <w:color w:val="FFFFFF"/>
                <w:sz w:val="18"/>
                <w:szCs w:val="18"/>
              </w:rPr>
              <w:t>Yr</w:t>
            </w:r>
            <w:proofErr w:type="spellEnd"/>
            <w:r w:rsidRPr="00B75B77">
              <w:rPr>
                <w:rFonts w:ascii="Calibri" w:eastAsia="Times New Roman" w:hAnsi="Calibri"/>
                <w:b/>
                <w:bCs/>
                <w:color w:val="FFFFFF"/>
                <w:sz w:val="18"/>
                <w:szCs w:val="18"/>
              </w:rPr>
              <w:t>)</w:t>
            </w:r>
          </w:p>
        </w:tc>
        <w:tc>
          <w:tcPr>
            <w:tcW w:w="1800"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F94CBE">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Verified Gross Savings Carried Over from Phase I (Cumulative Annual MWh/</w:t>
            </w:r>
            <w:proofErr w:type="spellStart"/>
            <w:r w:rsidRPr="00B75B77">
              <w:rPr>
                <w:rFonts w:ascii="Calibri" w:eastAsia="Times New Roman" w:hAnsi="Calibri"/>
                <w:b/>
                <w:bCs/>
                <w:color w:val="FFFFFF"/>
                <w:sz w:val="18"/>
                <w:szCs w:val="18"/>
              </w:rPr>
              <w:t>Yr</w:t>
            </w:r>
            <w:proofErr w:type="spellEnd"/>
            <w:r w:rsidRPr="00B75B77">
              <w:rPr>
                <w:rFonts w:ascii="Calibri" w:eastAsia="Times New Roman" w:hAnsi="Calibri"/>
                <w:b/>
                <w:bCs/>
                <w:color w:val="FFFFFF"/>
                <w:sz w:val="18"/>
                <w:szCs w:val="18"/>
              </w:rPr>
              <w:t>)</w:t>
            </w:r>
          </w:p>
        </w:tc>
        <w:tc>
          <w:tcPr>
            <w:tcW w:w="1800"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F94CBE">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Phase II+CO Verified gross Savings (Cumulative MWh/</w:t>
            </w:r>
            <w:proofErr w:type="spellStart"/>
            <w:r w:rsidRPr="00B75B77">
              <w:rPr>
                <w:rFonts w:ascii="Calibri" w:eastAsia="Times New Roman" w:hAnsi="Calibri"/>
                <w:b/>
                <w:bCs/>
                <w:color w:val="FFFFFF"/>
                <w:sz w:val="18"/>
                <w:szCs w:val="18"/>
              </w:rPr>
              <w:t>Yr</w:t>
            </w:r>
            <w:proofErr w:type="spellEnd"/>
            <w:r w:rsidRPr="00B75B77">
              <w:rPr>
                <w:rFonts w:ascii="Calibri" w:eastAsia="Times New Roman" w:hAnsi="Calibri"/>
                <w:b/>
                <w:bCs/>
                <w:color w:val="FFFFFF"/>
                <w:sz w:val="18"/>
                <w:szCs w:val="18"/>
              </w:rPr>
              <w:t>)</w:t>
            </w:r>
          </w:p>
        </w:tc>
      </w:tr>
    </w:tbl>
    <w:tbl>
      <w:tblPr>
        <w:tblW w:w="9535" w:type="dxa"/>
        <w:tblLook w:val="04A0" w:firstRow="1" w:lastRow="0" w:firstColumn="1" w:lastColumn="0" w:noHBand="0" w:noVBand="1"/>
      </w:tblPr>
      <w:tblGrid>
        <w:gridCol w:w="2380"/>
        <w:gridCol w:w="1665"/>
        <w:gridCol w:w="1890"/>
        <w:gridCol w:w="1800"/>
        <w:gridCol w:w="1800"/>
      </w:tblGrid>
      <w:tr w:rsidR="000C1E59" w:rsidRPr="00B75B77" w:rsidTr="00F94CBE">
        <w:trPr>
          <w:trHeight w:val="480"/>
        </w:trPr>
        <w:tc>
          <w:tcPr>
            <w:tcW w:w="2380"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F94CBE">
            <w:pPr>
              <w:jc w:val="left"/>
              <w:rPr>
                <w:rFonts w:ascii="Calibri" w:eastAsia="Times New Roman" w:hAnsi="Calibri"/>
                <w:color w:val="000000"/>
                <w:sz w:val="18"/>
                <w:szCs w:val="18"/>
              </w:rPr>
            </w:pPr>
            <w:r w:rsidRPr="00B75B77">
              <w:rPr>
                <w:rFonts w:ascii="Calibri" w:eastAsia="Times New Roman" w:hAnsi="Calibri"/>
                <w:color w:val="000000"/>
                <w:sz w:val="18"/>
                <w:szCs w:val="18"/>
              </w:rPr>
              <w:t>Residential (Non-Low-Income)</w:t>
            </w:r>
          </w:p>
        </w:tc>
        <w:tc>
          <w:tcPr>
            <w:tcW w:w="1665"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21</w:t>
            </w:r>
            <w:r w:rsidR="00B93403" w:rsidRPr="00B75B77">
              <w:rPr>
                <w:sz w:val="18"/>
                <w:szCs w:val="18"/>
              </w:rPr>
              <w:t>3,367</w:t>
            </w:r>
          </w:p>
        </w:tc>
        <w:tc>
          <w:tcPr>
            <w:tcW w:w="189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39</w:t>
            </w:r>
            <w:r w:rsidR="00B93403" w:rsidRPr="00B75B77">
              <w:rPr>
                <w:sz w:val="18"/>
                <w:szCs w:val="18"/>
              </w:rPr>
              <w:t>4,070</w:t>
            </w:r>
          </w:p>
        </w:tc>
        <w:tc>
          <w:tcPr>
            <w:tcW w:w="180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10</w:t>
            </w:r>
            <w:r w:rsidR="00C76EF8" w:rsidRPr="00B75B77">
              <w:rPr>
                <w:sz w:val="18"/>
                <w:szCs w:val="18"/>
              </w:rPr>
              <w:t>9,888</w:t>
            </w:r>
          </w:p>
        </w:tc>
        <w:tc>
          <w:tcPr>
            <w:tcW w:w="1800" w:type="dxa"/>
            <w:tcBorders>
              <w:top w:val="nil"/>
              <w:left w:val="nil"/>
              <w:bottom w:val="single" w:sz="4" w:space="0" w:color="448A99"/>
              <w:right w:val="single" w:sz="4" w:space="0" w:color="448A99"/>
            </w:tcBorders>
            <w:shd w:val="clear" w:color="000000" w:fill="D2EAF1"/>
            <w:vAlign w:val="center"/>
            <w:hideMark/>
          </w:tcPr>
          <w:p w:rsidR="000C1E59" w:rsidRPr="00B75B77" w:rsidRDefault="00B93403" w:rsidP="00F94CBE">
            <w:pPr>
              <w:jc w:val="center"/>
              <w:rPr>
                <w:rFonts w:ascii="Calibri" w:eastAsia="Times New Roman" w:hAnsi="Calibri"/>
                <w:color w:val="000000"/>
                <w:sz w:val="18"/>
                <w:szCs w:val="18"/>
              </w:rPr>
            </w:pPr>
            <w:r w:rsidRPr="00B75B77">
              <w:rPr>
                <w:sz w:val="18"/>
                <w:szCs w:val="18"/>
              </w:rPr>
              <w:t>503,958</w:t>
            </w:r>
          </w:p>
        </w:tc>
      </w:tr>
      <w:tr w:rsidR="000C1E59" w:rsidRPr="00B75B77" w:rsidTr="00F94CBE">
        <w:trPr>
          <w:trHeight w:val="288"/>
        </w:trPr>
        <w:tc>
          <w:tcPr>
            <w:tcW w:w="2380"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F94CBE">
            <w:pPr>
              <w:jc w:val="left"/>
              <w:rPr>
                <w:rFonts w:ascii="Calibri" w:eastAsia="Times New Roman" w:hAnsi="Calibri"/>
                <w:color w:val="000000"/>
                <w:sz w:val="18"/>
                <w:szCs w:val="18"/>
              </w:rPr>
            </w:pPr>
            <w:r w:rsidRPr="00B75B77">
              <w:rPr>
                <w:rFonts w:ascii="Calibri" w:eastAsia="Times New Roman" w:hAnsi="Calibri"/>
                <w:color w:val="000000"/>
                <w:sz w:val="18"/>
                <w:szCs w:val="18"/>
              </w:rPr>
              <w:t>Residential (Low-Income)</w:t>
            </w:r>
            <w:r w:rsidRPr="00B75B77">
              <w:rPr>
                <w:rFonts w:ascii="Calibri" w:eastAsia="Times New Roman" w:hAnsi="Calibri"/>
                <w:b/>
                <w:bCs/>
                <w:sz w:val="18"/>
                <w:szCs w:val="18"/>
                <w:vertAlign w:val="superscript"/>
              </w:rPr>
              <w:t xml:space="preserve"> [2]</w:t>
            </w:r>
          </w:p>
        </w:tc>
        <w:tc>
          <w:tcPr>
            <w:tcW w:w="1665"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3</w:t>
            </w:r>
            <w:r w:rsidR="00B93403" w:rsidRPr="00B75B77">
              <w:rPr>
                <w:sz w:val="18"/>
                <w:szCs w:val="18"/>
              </w:rPr>
              <w:t>7,329</w:t>
            </w:r>
          </w:p>
        </w:tc>
        <w:tc>
          <w:tcPr>
            <w:tcW w:w="189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9</w:t>
            </w:r>
            <w:r w:rsidR="00B93403" w:rsidRPr="00B75B77">
              <w:rPr>
                <w:sz w:val="18"/>
                <w:szCs w:val="18"/>
              </w:rPr>
              <w:t>1,673</w:t>
            </w:r>
          </w:p>
        </w:tc>
        <w:tc>
          <w:tcPr>
            <w:tcW w:w="1800" w:type="dxa"/>
            <w:tcBorders>
              <w:top w:val="nil"/>
              <w:left w:val="nil"/>
              <w:bottom w:val="single" w:sz="4" w:space="0" w:color="448A99"/>
              <w:right w:val="single" w:sz="4" w:space="0" w:color="448A99"/>
            </w:tcBorders>
            <w:shd w:val="clear" w:color="000000" w:fill="FFFFFF"/>
            <w:vAlign w:val="center"/>
            <w:hideMark/>
          </w:tcPr>
          <w:p w:rsidR="000C1E59" w:rsidRPr="00B75B77" w:rsidRDefault="00C76EF8" w:rsidP="00F94CBE">
            <w:pPr>
              <w:jc w:val="center"/>
              <w:rPr>
                <w:rFonts w:ascii="Calibri" w:eastAsia="Times New Roman" w:hAnsi="Calibri"/>
                <w:color w:val="000000"/>
                <w:sz w:val="18"/>
                <w:szCs w:val="18"/>
              </w:rPr>
            </w:pPr>
            <w:r w:rsidRPr="00B75B77">
              <w:rPr>
                <w:sz w:val="18"/>
                <w:szCs w:val="18"/>
              </w:rPr>
              <w:t>0</w:t>
            </w:r>
          </w:p>
        </w:tc>
        <w:tc>
          <w:tcPr>
            <w:tcW w:w="180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9</w:t>
            </w:r>
            <w:r w:rsidR="00B93403" w:rsidRPr="00B75B77">
              <w:rPr>
                <w:sz w:val="18"/>
                <w:szCs w:val="18"/>
              </w:rPr>
              <w:t>1,673</w:t>
            </w:r>
          </w:p>
        </w:tc>
      </w:tr>
      <w:tr w:rsidR="000C1E59" w:rsidRPr="00B75B77" w:rsidTr="00F94CBE">
        <w:trPr>
          <w:trHeight w:val="480"/>
        </w:trPr>
        <w:tc>
          <w:tcPr>
            <w:tcW w:w="2380"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F94CBE">
            <w:pPr>
              <w:jc w:val="left"/>
              <w:rPr>
                <w:rFonts w:ascii="Calibri" w:eastAsia="Times New Roman" w:hAnsi="Calibri"/>
                <w:color w:val="000000"/>
                <w:sz w:val="18"/>
                <w:szCs w:val="18"/>
              </w:rPr>
            </w:pPr>
            <w:r w:rsidRPr="00B75B77">
              <w:rPr>
                <w:rFonts w:ascii="Calibri" w:eastAsia="Times New Roman" w:hAnsi="Calibri"/>
                <w:color w:val="000000"/>
                <w:sz w:val="18"/>
                <w:szCs w:val="18"/>
              </w:rPr>
              <w:t>Total Residential (Non-Low-Income plus Low-Income)</w:t>
            </w:r>
          </w:p>
        </w:tc>
        <w:tc>
          <w:tcPr>
            <w:tcW w:w="1665"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250,696</w:t>
            </w:r>
          </w:p>
        </w:tc>
        <w:tc>
          <w:tcPr>
            <w:tcW w:w="189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485,743</w:t>
            </w:r>
          </w:p>
        </w:tc>
        <w:tc>
          <w:tcPr>
            <w:tcW w:w="180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109,888</w:t>
            </w:r>
          </w:p>
        </w:tc>
        <w:tc>
          <w:tcPr>
            <w:tcW w:w="180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595,631</w:t>
            </w:r>
          </w:p>
        </w:tc>
      </w:tr>
      <w:tr w:rsidR="000C1E59" w:rsidRPr="00B75B77" w:rsidTr="00F94CBE">
        <w:trPr>
          <w:trHeight w:val="288"/>
        </w:trPr>
        <w:tc>
          <w:tcPr>
            <w:tcW w:w="2380"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F94CBE">
            <w:pPr>
              <w:jc w:val="left"/>
              <w:rPr>
                <w:rFonts w:ascii="Calibri" w:eastAsia="Times New Roman" w:hAnsi="Calibri"/>
                <w:color w:val="000000"/>
                <w:sz w:val="18"/>
                <w:szCs w:val="18"/>
              </w:rPr>
            </w:pPr>
            <w:r w:rsidRPr="00B75B77">
              <w:rPr>
                <w:rFonts w:ascii="Calibri" w:eastAsia="Times New Roman" w:hAnsi="Calibri"/>
                <w:color w:val="000000"/>
                <w:sz w:val="18"/>
                <w:szCs w:val="18"/>
              </w:rPr>
              <w:t>C</w:t>
            </w:r>
            <w:r w:rsidR="0054073E" w:rsidRPr="00B75B77">
              <w:rPr>
                <w:rFonts w:ascii="Calibri" w:eastAsia="Times New Roman" w:hAnsi="Calibri"/>
                <w:color w:val="000000"/>
                <w:sz w:val="18"/>
                <w:szCs w:val="18"/>
              </w:rPr>
              <w:t>&amp;I</w:t>
            </w:r>
          </w:p>
        </w:tc>
        <w:tc>
          <w:tcPr>
            <w:tcW w:w="1665"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152,</w:t>
            </w:r>
            <w:r w:rsidR="00C76EF8" w:rsidRPr="00B75B77">
              <w:rPr>
                <w:sz w:val="18"/>
                <w:szCs w:val="18"/>
              </w:rPr>
              <w:t>203</w:t>
            </w:r>
          </w:p>
        </w:tc>
        <w:tc>
          <w:tcPr>
            <w:tcW w:w="189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C76EF8">
            <w:pPr>
              <w:jc w:val="center"/>
              <w:rPr>
                <w:rFonts w:ascii="Calibri" w:eastAsia="Times New Roman" w:hAnsi="Calibri"/>
                <w:color w:val="000000"/>
                <w:sz w:val="18"/>
                <w:szCs w:val="18"/>
              </w:rPr>
            </w:pPr>
            <w:r w:rsidRPr="00B75B77">
              <w:rPr>
                <w:sz w:val="18"/>
                <w:szCs w:val="18"/>
              </w:rPr>
              <w:t>376,</w:t>
            </w:r>
            <w:r w:rsidR="00C76EF8" w:rsidRPr="00B75B77">
              <w:rPr>
                <w:sz w:val="18"/>
                <w:szCs w:val="18"/>
              </w:rPr>
              <w:t>776</w:t>
            </w:r>
          </w:p>
        </w:tc>
        <w:tc>
          <w:tcPr>
            <w:tcW w:w="180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54,944</w:t>
            </w:r>
          </w:p>
        </w:tc>
        <w:tc>
          <w:tcPr>
            <w:tcW w:w="180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C76EF8">
            <w:pPr>
              <w:jc w:val="center"/>
              <w:rPr>
                <w:rFonts w:ascii="Calibri" w:eastAsia="Times New Roman" w:hAnsi="Calibri"/>
                <w:color w:val="000000"/>
                <w:sz w:val="18"/>
                <w:szCs w:val="18"/>
              </w:rPr>
            </w:pPr>
            <w:r w:rsidRPr="00B75B77">
              <w:rPr>
                <w:sz w:val="18"/>
                <w:szCs w:val="18"/>
              </w:rPr>
              <w:t>431,</w:t>
            </w:r>
            <w:r w:rsidR="00C76EF8" w:rsidRPr="00B75B77">
              <w:rPr>
                <w:sz w:val="18"/>
                <w:szCs w:val="18"/>
              </w:rPr>
              <w:t>720</w:t>
            </w:r>
          </w:p>
        </w:tc>
      </w:tr>
      <w:tr w:rsidR="000C1E59" w:rsidRPr="00B75B77" w:rsidTr="00F94CBE">
        <w:trPr>
          <w:trHeight w:val="288"/>
        </w:trPr>
        <w:tc>
          <w:tcPr>
            <w:tcW w:w="2380"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F94CBE">
            <w:pPr>
              <w:jc w:val="left"/>
              <w:rPr>
                <w:rFonts w:ascii="Calibri" w:eastAsia="Times New Roman" w:hAnsi="Calibri"/>
                <w:color w:val="000000"/>
                <w:sz w:val="18"/>
                <w:szCs w:val="18"/>
              </w:rPr>
            </w:pPr>
            <w:r w:rsidRPr="00B75B77">
              <w:rPr>
                <w:rFonts w:ascii="Calibri" w:eastAsia="Times New Roman" w:hAnsi="Calibri"/>
                <w:color w:val="000000"/>
                <w:sz w:val="18"/>
                <w:szCs w:val="18"/>
              </w:rPr>
              <w:t>GNI</w:t>
            </w:r>
          </w:p>
        </w:tc>
        <w:tc>
          <w:tcPr>
            <w:tcW w:w="1665"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125,</w:t>
            </w:r>
            <w:r w:rsidR="00C76EF8" w:rsidRPr="00B75B77">
              <w:rPr>
                <w:sz w:val="18"/>
                <w:szCs w:val="18"/>
              </w:rPr>
              <w:t>402</w:t>
            </w:r>
          </w:p>
        </w:tc>
        <w:tc>
          <w:tcPr>
            <w:tcW w:w="189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C76EF8">
            <w:pPr>
              <w:jc w:val="center"/>
              <w:rPr>
                <w:rFonts w:ascii="Calibri" w:eastAsia="Times New Roman" w:hAnsi="Calibri"/>
                <w:color w:val="000000"/>
                <w:sz w:val="18"/>
                <w:szCs w:val="18"/>
              </w:rPr>
            </w:pPr>
            <w:r w:rsidRPr="00B75B77">
              <w:rPr>
                <w:sz w:val="18"/>
                <w:szCs w:val="18"/>
              </w:rPr>
              <w:t>22</w:t>
            </w:r>
            <w:r w:rsidR="00C76EF8" w:rsidRPr="00B75B77">
              <w:rPr>
                <w:sz w:val="18"/>
                <w:szCs w:val="18"/>
              </w:rPr>
              <w:t>7,985</w:t>
            </w:r>
          </w:p>
        </w:tc>
        <w:tc>
          <w:tcPr>
            <w:tcW w:w="180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77,961</w:t>
            </w:r>
          </w:p>
        </w:tc>
        <w:tc>
          <w:tcPr>
            <w:tcW w:w="180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C76EF8">
            <w:pPr>
              <w:jc w:val="center"/>
              <w:rPr>
                <w:rFonts w:ascii="Calibri" w:eastAsia="Times New Roman" w:hAnsi="Calibri"/>
                <w:color w:val="000000"/>
                <w:sz w:val="18"/>
                <w:szCs w:val="18"/>
              </w:rPr>
            </w:pPr>
            <w:r w:rsidRPr="00B75B77">
              <w:rPr>
                <w:sz w:val="18"/>
                <w:szCs w:val="18"/>
              </w:rPr>
              <w:t>30</w:t>
            </w:r>
            <w:r w:rsidR="00C76EF8" w:rsidRPr="00B75B77">
              <w:rPr>
                <w:sz w:val="18"/>
                <w:szCs w:val="18"/>
              </w:rPr>
              <w:t>5,946</w:t>
            </w:r>
          </w:p>
        </w:tc>
      </w:tr>
      <w:tr w:rsidR="000C1E59" w:rsidRPr="00B75B77" w:rsidTr="00F94CBE">
        <w:trPr>
          <w:trHeight w:val="288"/>
        </w:trPr>
        <w:tc>
          <w:tcPr>
            <w:tcW w:w="2380"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F94CBE">
            <w:pPr>
              <w:jc w:val="left"/>
              <w:rPr>
                <w:rFonts w:ascii="Calibri" w:eastAsia="Times New Roman" w:hAnsi="Calibri"/>
                <w:b/>
                <w:bCs/>
                <w:color w:val="000000"/>
                <w:sz w:val="18"/>
                <w:szCs w:val="18"/>
              </w:rPr>
            </w:pPr>
            <w:r w:rsidRPr="00B75B77">
              <w:rPr>
                <w:rFonts w:ascii="Calibri" w:eastAsia="Times New Roman" w:hAnsi="Calibri"/>
                <w:b/>
                <w:bCs/>
                <w:color w:val="000000"/>
                <w:sz w:val="18"/>
                <w:szCs w:val="18"/>
              </w:rPr>
              <w:t xml:space="preserve">TOTAL </w:t>
            </w:r>
          </w:p>
        </w:tc>
        <w:tc>
          <w:tcPr>
            <w:tcW w:w="1665"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94CBE">
            <w:pPr>
              <w:jc w:val="center"/>
              <w:rPr>
                <w:rFonts w:ascii="Calibri" w:eastAsia="Times New Roman" w:hAnsi="Calibri"/>
                <w:b/>
                <w:color w:val="000000"/>
                <w:sz w:val="18"/>
                <w:szCs w:val="18"/>
              </w:rPr>
            </w:pPr>
            <w:r w:rsidRPr="00B75B77">
              <w:rPr>
                <w:b/>
                <w:sz w:val="18"/>
                <w:szCs w:val="18"/>
              </w:rPr>
              <w:t>528,301</w:t>
            </w:r>
          </w:p>
        </w:tc>
        <w:tc>
          <w:tcPr>
            <w:tcW w:w="189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94CBE">
            <w:pPr>
              <w:jc w:val="center"/>
              <w:rPr>
                <w:rFonts w:ascii="Calibri" w:eastAsia="Times New Roman" w:hAnsi="Calibri"/>
                <w:b/>
                <w:color w:val="000000"/>
                <w:sz w:val="18"/>
                <w:szCs w:val="18"/>
              </w:rPr>
            </w:pPr>
            <w:r w:rsidRPr="00B75B77">
              <w:rPr>
                <w:b/>
                <w:sz w:val="18"/>
                <w:szCs w:val="18"/>
              </w:rPr>
              <w:t>1,090,505</w:t>
            </w:r>
          </w:p>
        </w:tc>
        <w:tc>
          <w:tcPr>
            <w:tcW w:w="180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94CBE">
            <w:pPr>
              <w:jc w:val="center"/>
              <w:rPr>
                <w:rFonts w:ascii="Calibri" w:eastAsia="Times New Roman" w:hAnsi="Calibri"/>
                <w:b/>
                <w:color w:val="000000"/>
                <w:sz w:val="18"/>
                <w:szCs w:val="18"/>
              </w:rPr>
            </w:pPr>
            <w:r w:rsidRPr="00B75B77">
              <w:rPr>
                <w:b/>
                <w:sz w:val="18"/>
                <w:szCs w:val="18"/>
              </w:rPr>
              <w:t>242,793</w:t>
            </w:r>
          </w:p>
        </w:tc>
        <w:tc>
          <w:tcPr>
            <w:tcW w:w="180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94CBE">
            <w:pPr>
              <w:jc w:val="center"/>
              <w:rPr>
                <w:rFonts w:ascii="Calibri" w:eastAsia="Times New Roman" w:hAnsi="Calibri"/>
                <w:b/>
                <w:color w:val="000000"/>
                <w:sz w:val="18"/>
                <w:szCs w:val="18"/>
              </w:rPr>
            </w:pPr>
            <w:r w:rsidRPr="00B75B77">
              <w:rPr>
                <w:b/>
                <w:sz w:val="18"/>
                <w:szCs w:val="18"/>
              </w:rPr>
              <w:t>1,333,298</w:t>
            </w:r>
          </w:p>
        </w:tc>
      </w:tr>
    </w:tbl>
    <w:p w:rsidR="000C1E59" w:rsidRPr="00B75B77" w:rsidRDefault="000C1E59" w:rsidP="00F94CBE">
      <w:pPr>
        <w:pStyle w:val="Source"/>
        <w:spacing w:before="20" w:after="20"/>
        <w:ind w:left="187" w:firstLine="0"/>
        <w:rPr>
          <w:rStyle w:val="Strong"/>
          <w:b w:val="0"/>
          <w:bCs w:val="0"/>
          <w:i w:val="0"/>
        </w:rPr>
      </w:pPr>
      <w:r w:rsidRPr="00B75B77">
        <w:rPr>
          <w:rFonts w:ascii="Calibri" w:hAnsi="Calibri"/>
          <w:i w:val="0"/>
          <w:color w:val="000000"/>
          <w:szCs w:val="18"/>
          <w:vertAlign w:val="superscript"/>
        </w:rPr>
        <w:t>[1]</w:t>
      </w:r>
      <w:r w:rsidRPr="00B75B77">
        <w:rPr>
          <w:rFonts w:ascii="Calibri" w:hAnsi="Calibri"/>
          <w:i w:val="0"/>
          <w:color w:val="000000"/>
          <w:szCs w:val="18"/>
        </w:rPr>
        <w:t xml:space="preserve"> All customer sector totals (excluding Total Residential</w:t>
      </w:r>
      <w:r w:rsidR="00F94CBE" w:rsidRPr="00B75B77">
        <w:rPr>
          <w:rFonts w:ascii="Calibri" w:hAnsi="Calibri"/>
          <w:i w:val="0"/>
          <w:color w:val="000000"/>
          <w:szCs w:val="18"/>
        </w:rPr>
        <w:t>—</w:t>
      </w:r>
      <w:r w:rsidRPr="00B75B77">
        <w:rPr>
          <w:rFonts w:ascii="Calibri" w:hAnsi="Calibri"/>
          <w:i w:val="0"/>
          <w:color w:val="000000"/>
          <w:szCs w:val="18"/>
        </w:rPr>
        <w:t>Non-Low-Income plus Low-Income) are exclusive of each other and may be added together to get the Phase II totals.</w:t>
      </w:r>
      <w:r w:rsidRPr="00B75B77">
        <w:rPr>
          <w:rFonts w:ascii="Calibri" w:hAnsi="Calibri"/>
          <w:i w:val="0"/>
          <w:color w:val="000000"/>
          <w:szCs w:val="18"/>
        </w:rPr>
        <w:br/>
      </w:r>
      <w:r w:rsidRPr="00B75B77">
        <w:rPr>
          <w:rFonts w:ascii="Calibri" w:hAnsi="Calibri"/>
          <w:i w:val="0"/>
          <w:color w:val="000000"/>
          <w:szCs w:val="18"/>
          <w:vertAlign w:val="superscript"/>
        </w:rPr>
        <w:t>[2]</w:t>
      </w:r>
      <w:r w:rsidRPr="00B75B77">
        <w:rPr>
          <w:rFonts w:ascii="Calibri" w:hAnsi="Calibri"/>
          <w:i w:val="0"/>
          <w:color w:val="000000"/>
          <w:szCs w:val="18"/>
        </w:rPr>
        <w:t xml:space="preserve"> The evaluation team verified the percentage of customers participating in non-low-income</w:t>
      </w:r>
      <w:r w:rsidR="00F94CBE" w:rsidRPr="00B75B77">
        <w:rPr>
          <w:rFonts w:ascii="Calibri" w:hAnsi="Calibri"/>
          <w:i w:val="0"/>
          <w:color w:val="000000"/>
          <w:szCs w:val="18"/>
        </w:rPr>
        <w:t>-</w:t>
      </w:r>
      <w:r w:rsidRPr="00B75B77">
        <w:rPr>
          <w:rFonts w:ascii="Calibri" w:hAnsi="Calibri"/>
          <w:i w:val="0"/>
          <w:color w:val="000000"/>
          <w:szCs w:val="18"/>
        </w:rPr>
        <w:t>specific programs that were low-income</w:t>
      </w:r>
      <w:r w:rsidR="00F94CBE" w:rsidRPr="00B75B77">
        <w:rPr>
          <w:rFonts w:ascii="Calibri" w:hAnsi="Calibri"/>
          <w:i w:val="0"/>
          <w:color w:val="000000"/>
          <w:szCs w:val="18"/>
        </w:rPr>
        <w:t>-</w:t>
      </w:r>
      <w:r w:rsidRPr="00B75B77">
        <w:rPr>
          <w:rFonts w:ascii="Calibri" w:hAnsi="Calibri"/>
          <w:i w:val="0"/>
          <w:color w:val="000000"/>
          <w:szCs w:val="18"/>
        </w:rPr>
        <w:t>qualified through self-report surveys. The survey results were used to estimate program savings and incentives paid to low-income customers and were added to the savings achieved through low-income</w:t>
      </w:r>
      <w:r w:rsidR="00F94CBE" w:rsidRPr="00B75B77">
        <w:rPr>
          <w:rFonts w:ascii="Calibri" w:hAnsi="Calibri"/>
          <w:i w:val="0"/>
          <w:color w:val="000000"/>
          <w:szCs w:val="18"/>
        </w:rPr>
        <w:t>-</w:t>
      </w:r>
      <w:r w:rsidRPr="00B75B77">
        <w:rPr>
          <w:rFonts w:ascii="Calibri" w:hAnsi="Calibri"/>
          <w:i w:val="0"/>
          <w:color w:val="000000"/>
          <w:szCs w:val="18"/>
        </w:rPr>
        <w:t>specific programs.</w:t>
      </w:r>
      <w:r w:rsidRPr="00B75B77">
        <w:rPr>
          <w:rFonts w:ascii="Calibri" w:hAnsi="Calibri"/>
          <w:i w:val="0"/>
          <w:color w:val="000000"/>
          <w:szCs w:val="18"/>
        </w:rPr>
        <w:br/>
      </w:r>
      <w:r w:rsidRPr="00B75B77">
        <w:rPr>
          <w:rStyle w:val="Strong"/>
          <w:b w:val="0"/>
          <w:bCs w:val="0"/>
          <w:i w:val="0"/>
        </w:rPr>
        <w:t xml:space="preserve">Note: </w:t>
      </w:r>
      <w:r w:rsidRPr="00B75B77">
        <w:rPr>
          <w:rFonts w:ascii="Calibri" w:hAnsi="Calibri"/>
          <w:i w:val="0"/>
          <w:iCs/>
          <w:color w:val="000000"/>
          <w:szCs w:val="18"/>
        </w:rPr>
        <w:t>Values in tables may not reconcile exactly with the sum of more detailed level results or previously reported results due to rounding.</w:t>
      </w:r>
    </w:p>
    <w:p w:rsidR="000C1E59" w:rsidRPr="00B75B77" w:rsidRDefault="000C1E59" w:rsidP="00F94CBE">
      <w:pPr>
        <w:pStyle w:val="Source"/>
      </w:pPr>
      <w:r w:rsidRPr="00B75B77">
        <w:rPr>
          <w:rStyle w:val="Strong"/>
          <w:b w:val="0"/>
          <w:bCs w:val="0"/>
        </w:rPr>
        <w:t>Source: Navigant analysis</w:t>
      </w:r>
    </w:p>
    <w:p w:rsidR="000C1E59" w:rsidRPr="00B75B77" w:rsidRDefault="000C1E59" w:rsidP="000C1E59">
      <w:pPr>
        <w:pStyle w:val="Caption"/>
      </w:pPr>
      <w:bookmarkStart w:id="48" w:name="_Ref448933027"/>
      <w:bookmarkStart w:id="49" w:name="_Toc453075274"/>
      <w:bookmarkStart w:id="50" w:name="_Toc466413484"/>
      <w:r w:rsidRPr="00B75B77">
        <w:lastRenderedPageBreak/>
        <w:t xml:space="preserve">Table </w:t>
      </w:r>
      <w:fldSimple w:instr=" STYLEREF 1 \s ">
        <w:r w:rsidR="0004016D">
          <w:rPr>
            <w:noProof/>
          </w:rPr>
          <w:t>1</w:t>
        </w:r>
      </w:fldSimple>
      <w:r w:rsidR="00F1144C" w:rsidRPr="00B75B77">
        <w:noBreakHyphen/>
      </w:r>
      <w:fldSimple w:instr=" SEQ Table \* ARABIC \s 1 ">
        <w:r w:rsidR="0004016D">
          <w:rPr>
            <w:noProof/>
          </w:rPr>
          <w:t>2</w:t>
        </w:r>
      </w:fldSimple>
      <w:bookmarkEnd w:id="48"/>
      <w:r w:rsidRPr="00B75B77">
        <w:t xml:space="preserve">: Phase II Verified Gross Lifetime Savings and Verified Gross Lifetime Savings from </w:t>
      </w:r>
      <w:r w:rsidR="00110D93" w:rsidRPr="00B75B77">
        <w:t>Phase I</w:t>
      </w:r>
      <w:r w:rsidR="00D51B7E" w:rsidRPr="00B75B77">
        <w:t xml:space="preserve"> </w:t>
      </w:r>
      <w:r w:rsidRPr="00B75B77">
        <w:t>Carried Into Phase II</w:t>
      </w:r>
      <w:bookmarkEnd w:id="49"/>
      <w:bookmarkEnd w:id="50"/>
    </w:p>
    <w:tbl>
      <w:tblPr>
        <w:tblW w:w="9575" w:type="dxa"/>
        <w:tblLook w:val="04A0" w:firstRow="1" w:lastRow="0" w:firstColumn="1" w:lastColumn="0" w:noHBand="0" w:noVBand="1"/>
      </w:tblPr>
      <w:tblGrid>
        <w:gridCol w:w="2335"/>
        <w:gridCol w:w="1530"/>
        <w:gridCol w:w="1710"/>
        <w:gridCol w:w="2160"/>
        <w:gridCol w:w="1840"/>
      </w:tblGrid>
      <w:tr w:rsidR="000C1E59" w:rsidRPr="00B75B77" w:rsidTr="008F6A5F">
        <w:trPr>
          <w:divId w:val="2091391398"/>
          <w:trHeight w:val="720"/>
        </w:trPr>
        <w:tc>
          <w:tcPr>
            <w:tcW w:w="2335" w:type="dxa"/>
            <w:tcBorders>
              <w:top w:val="single" w:sz="4" w:space="0" w:color="auto"/>
              <w:left w:val="single" w:sz="4" w:space="0" w:color="auto"/>
              <w:bottom w:val="single" w:sz="4" w:space="0" w:color="auto"/>
              <w:right w:val="single" w:sz="4" w:space="0" w:color="auto"/>
            </w:tcBorders>
            <w:shd w:val="clear" w:color="000000" w:fill="448A99"/>
            <w:vAlign w:val="center"/>
            <w:hideMark/>
          </w:tcPr>
          <w:p w:rsidR="000C1E59" w:rsidRPr="00B75B77" w:rsidRDefault="000C1E59" w:rsidP="000C1E59">
            <w:pPr>
              <w:keepNext/>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Sector </w:t>
            </w:r>
            <w:r w:rsidRPr="00B75B77">
              <w:rPr>
                <w:rFonts w:ascii="Calibri" w:eastAsia="Times New Roman" w:hAnsi="Calibri"/>
                <w:b/>
                <w:bCs/>
                <w:color w:val="FFFFFF" w:themeColor="background1"/>
                <w:sz w:val="18"/>
                <w:szCs w:val="18"/>
                <w:vertAlign w:val="superscript"/>
              </w:rPr>
              <w:t>[1]</w:t>
            </w:r>
          </w:p>
        </w:tc>
        <w:tc>
          <w:tcPr>
            <w:tcW w:w="1530"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0C1E59">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PYTD Verified Gross Savings (Lifetime MWh)</w:t>
            </w:r>
          </w:p>
        </w:tc>
        <w:tc>
          <w:tcPr>
            <w:tcW w:w="1710"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0C1E59">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Phase II Verified Gross Savings (Lifetime MWh)</w:t>
            </w:r>
          </w:p>
        </w:tc>
        <w:tc>
          <w:tcPr>
            <w:tcW w:w="2160"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0C1E59">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Verified Gross Savings Carried Over from Phase I (Lifetime MWh)</w:t>
            </w:r>
          </w:p>
        </w:tc>
        <w:tc>
          <w:tcPr>
            <w:tcW w:w="1840"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0C1E59">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Phase II+CO Verified gross Savings (Lifetime MWh)</w:t>
            </w:r>
          </w:p>
        </w:tc>
      </w:tr>
    </w:tbl>
    <w:tbl>
      <w:tblPr>
        <w:tblW w:w="9575" w:type="dxa"/>
        <w:tblLayout w:type="fixed"/>
        <w:tblLook w:val="04A0" w:firstRow="1" w:lastRow="0" w:firstColumn="1" w:lastColumn="0" w:noHBand="0" w:noVBand="1"/>
      </w:tblPr>
      <w:tblGrid>
        <w:gridCol w:w="2335"/>
        <w:gridCol w:w="1530"/>
        <w:gridCol w:w="1710"/>
        <w:gridCol w:w="2160"/>
        <w:gridCol w:w="1840"/>
      </w:tblGrid>
      <w:tr w:rsidR="000C1E59" w:rsidRPr="00B75B77" w:rsidTr="008F6A5F">
        <w:trPr>
          <w:trHeight w:val="480"/>
        </w:trPr>
        <w:tc>
          <w:tcPr>
            <w:tcW w:w="2335"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0C1E59">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Residential (Non-Low-Income)</w:t>
            </w:r>
          </w:p>
        </w:tc>
        <w:tc>
          <w:tcPr>
            <w:tcW w:w="153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0C1E59">
            <w:pPr>
              <w:keepNext/>
              <w:jc w:val="center"/>
              <w:rPr>
                <w:rFonts w:ascii="Calibri" w:eastAsia="Times New Roman" w:hAnsi="Calibri"/>
                <w:color w:val="000000"/>
                <w:sz w:val="18"/>
                <w:szCs w:val="18"/>
              </w:rPr>
            </w:pPr>
            <w:r w:rsidRPr="00B75B77">
              <w:rPr>
                <w:sz w:val="18"/>
                <w:szCs w:val="18"/>
              </w:rPr>
              <w:t>2,1</w:t>
            </w:r>
            <w:r w:rsidR="00F20B94" w:rsidRPr="00B75B77">
              <w:rPr>
                <w:sz w:val="18"/>
                <w:szCs w:val="18"/>
              </w:rPr>
              <w:t>70,099</w:t>
            </w:r>
          </w:p>
        </w:tc>
        <w:tc>
          <w:tcPr>
            <w:tcW w:w="171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0C1E59">
            <w:pPr>
              <w:keepNext/>
              <w:jc w:val="center"/>
              <w:rPr>
                <w:rFonts w:ascii="Calibri" w:eastAsia="Times New Roman" w:hAnsi="Calibri"/>
                <w:color w:val="000000"/>
                <w:sz w:val="18"/>
                <w:szCs w:val="18"/>
              </w:rPr>
            </w:pPr>
            <w:r w:rsidRPr="00B75B77">
              <w:rPr>
                <w:sz w:val="18"/>
                <w:szCs w:val="18"/>
              </w:rPr>
              <w:t>4,08</w:t>
            </w:r>
            <w:r w:rsidR="00F20B94" w:rsidRPr="00B75B77">
              <w:rPr>
                <w:sz w:val="18"/>
                <w:szCs w:val="18"/>
              </w:rPr>
              <w:t>9,898</w:t>
            </w:r>
          </w:p>
        </w:tc>
        <w:tc>
          <w:tcPr>
            <w:tcW w:w="2160" w:type="dxa"/>
            <w:tcBorders>
              <w:top w:val="nil"/>
              <w:left w:val="nil"/>
              <w:bottom w:val="single" w:sz="4" w:space="0" w:color="448A99"/>
              <w:right w:val="single" w:sz="4" w:space="0" w:color="448A99"/>
            </w:tcBorders>
            <w:shd w:val="clear" w:color="000000" w:fill="D2EAF1"/>
            <w:vAlign w:val="center"/>
            <w:hideMark/>
          </w:tcPr>
          <w:p w:rsidR="000C1E59" w:rsidRPr="00B75B77" w:rsidRDefault="00B93403" w:rsidP="000C1E59">
            <w:pPr>
              <w:keepNext/>
              <w:jc w:val="center"/>
              <w:rPr>
                <w:rFonts w:ascii="Calibri" w:eastAsia="Times New Roman" w:hAnsi="Calibri"/>
                <w:color w:val="000000"/>
                <w:sz w:val="18"/>
                <w:szCs w:val="18"/>
              </w:rPr>
            </w:pPr>
            <w:r w:rsidRPr="00B75B77">
              <w:rPr>
                <w:sz w:val="18"/>
                <w:szCs w:val="18"/>
              </w:rPr>
              <w:t>763,893</w:t>
            </w:r>
          </w:p>
        </w:tc>
        <w:tc>
          <w:tcPr>
            <w:tcW w:w="184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B93403">
            <w:pPr>
              <w:keepNext/>
              <w:jc w:val="center"/>
              <w:rPr>
                <w:rFonts w:ascii="Calibri" w:eastAsia="Times New Roman" w:hAnsi="Calibri"/>
                <w:color w:val="000000"/>
                <w:sz w:val="18"/>
                <w:szCs w:val="18"/>
              </w:rPr>
            </w:pPr>
            <w:r w:rsidRPr="00B75B77">
              <w:rPr>
                <w:sz w:val="18"/>
                <w:szCs w:val="18"/>
              </w:rPr>
              <w:t>4,8</w:t>
            </w:r>
            <w:r w:rsidR="00B93403" w:rsidRPr="00B75B77">
              <w:rPr>
                <w:sz w:val="18"/>
                <w:szCs w:val="18"/>
              </w:rPr>
              <w:t>53,791</w:t>
            </w:r>
          </w:p>
        </w:tc>
      </w:tr>
      <w:tr w:rsidR="000C1E59" w:rsidRPr="00B75B77" w:rsidTr="008F6A5F">
        <w:trPr>
          <w:trHeight w:val="288"/>
        </w:trPr>
        <w:tc>
          <w:tcPr>
            <w:tcW w:w="2335"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0C1E59">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Residential (Low-Income)</w:t>
            </w:r>
            <w:r w:rsidRPr="00B75B77">
              <w:rPr>
                <w:rFonts w:ascii="Calibri" w:eastAsia="Times New Roman" w:hAnsi="Calibri"/>
                <w:b/>
                <w:bCs/>
                <w:sz w:val="18"/>
                <w:szCs w:val="18"/>
              </w:rPr>
              <w:t xml:space="preserve"> </w:t>
            </w:r>
            <w:r w:rsidRPr="00B75B77">
              <w:rPr>
                <w:rFonts w:ascii="Calibri" w:eastAsia="Times New Roman" w:hAnsi="Calibri"/>
                <w:b/>
                <w:bCs/>
                <w:sz w:val="18"/>
                <w:szCs w:val="18"/>
                <w:vertAlign w:val="superscript"/>
              </w:rPr>
              <w:t>[2]</w:t>
            </w:r>
          </w:p>
        </w:tc>
        <w:tc>
          <w:tcPr>
            <w:tcW w:w="153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0C1E59">
            <w:pPr>
              <w:keepNext/>
              <w:jc w:val="center"/>
              <w:rPr>
                <w:rFonts w:ascii="Calibri" w:eastAsia="Times New Roman" w:hAnsi="Calibri"/>
                <w:color w:val="000000"/>
                <w:sz w:val="18"/>
                <w:szCs w:val="18"/>
              </w:rPr>
            </w:pPr>
            <w:r w:rsidRPr="00B75B77">
              <w:rPr>
                <w:sz w:val="18"/>
                <w:szCs w:val="18"/>
              </w:rPr>
              <w:t>11</w:t>
            </w:r>
            <w:r w:rsidR="00F20B94" w:rsidRPr="00B75B77">
              <w:rPr>
                <w:sz w:val="18"/>
                <w:szCs w:val="18"/>
              </w:rPr>
              <w:t>1,335</w:t>
            </w:r>
          </w:p>
        </w:tc>
        <w:tc>
          <w:tcPr>
            <w:tcW w:w="171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0C1E59">
            <w:pPr>
              <w:keepNext/>
              <w:jc w:val="center"/>
              <w:rPr>
                <w:rFonts w:ascii="Calibri" w:eastAsia="Times New Roman" w:hAnsi="Calibri"/>
                <w:color w:val="000000"/>
                <w:sz w:val="18"/>
                <w:szCs w:val="18"/>
              </w:rPr>
            </w:pPr>
            <w:r w:rsidRPr="00B75B77">
              <w:rPr>
                <w:sz w:val="18"/>
                <w:szCs w:val="18"/>
              </w:rPr>
              <w:t>3</w:t>
            </w:r>
            <w:r w:rsidR="00F20B94" w:rsidRPr="00B75B77">
              <w:rPr>
                <w:sz w:val="18"/>
                <w:szCs w:val="18"/>
              </w:rPr>
              <w:t>47,822</w:t>
            </w:r>
          </w:p>
        </w:tc>
        <w:tc>
          <w:tcPr>
            <w:tcW w:w="2160" w:type="dxa"/>
            <w:tcBorders>
              <w:top w:val="nil"/>
              <w:left w:val="nil"/>
              <w:bottom w:val="single" w:sz="4" w:space="0" w:color="448A99"/>
              <w:right w:val="single" w:sz="4" w:space="0" w:color="448A99"/>
            </w:tcBorders>
            <w:shd w:val="clear" w:color="000000" w:fill="FFFFFF"/>
            <w:vAlign w:val="center"/>
            <w:hideMark/>
          </w:tcPr>
          <w:p w:rsidR="000C1E59" w:rsidRPr="00B75B77" w:rsidRDefault="00F20B94" w:rsidP="000C1E59">
            <w:pPr>
              <w:keepNext/>
              <w:jc w:val="center"/>
              <w:rPr>
                <w:rFonts w:ascii="Calibri" w:eastAsia="Times New Roman" w:hAnsi="Calibri"/>
                <w:color w:val="000000"/>
                <w:sz w:val="18"/>
                <w:szCs w:val="18"/>
              </w:rPr>
            </w:pPr>
            <w:r w:rsidRPr="00B75B77">
              <w:rPr>
                <w:sz w:val="18"/>
                <w:szCs w:val="18"/>
              </w:rPr>
              <w:t>0</w:t>
            </w:r>
          </w:p>
        </w:tc>
        <w:tc>
          <w:tcPr>
            <w:tcW w:w="1840" w:type="dxa"/>
            <w:tcBorders>
              <w:top w:val="nil"/>
              <w:left w:val="nil"/>
              <w:bottom w:val="single" w:sz="4" w:space="0" w:color="448A99"/>
              <w:right w:val="single" w:sz="4" w:space="0" w:color="448A99"/>
            </w:tcBorders>
            <w:shd w:val="clear" w:color="000000" w:fill="FFFFFF"/>
            <w:vAlign w:val="center"/>
            <w:hideMark/>
          </w:tcPr>
          <w:p w:rsidR="000C1E59" w:rsidRPr="00B75B77" w:rsidRDefault="00B93403" w:rsidP="000C1E59">
            <w:pPr>
              <w:keepNext/>
              <w:jc w:val="center"/>
              <w:rPr>
                <w:rFonts w:ascii="Calibri" w:eastAsia="Times New Roman" w:hAnsi="Calibri"/>
                <w:color w:val="000000"/>
                <w:sz w:val="18"/>
                <w:szCs w:val="18"/>
              </w:rPr>
            </w:pPr>
            <w:r w:rsidRPr="00B75B77">
              <w:rPr>
                <w:sz w:val="18"/>
                <w:szCs w:val="18"/>
              </w:rPr>
              <w:t>347,822</w:t>
            </w:r>
          </w:p>
        </w:tc>
      </w:tr>
      <w:tr w:rsidR="000C1E59" w:rsidRPr="00B75B77" w:rsidTr="008F6A5F">
        <w:trPr>
          <w:trHeight w:val="480"/>
        </w:trPr>
        <w:tc>
          <w:tcPr>
            <w:tcW w:w="2335"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0C1E59">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Total Residential (Non-Low-Income plus Low-Income)</w:t>
            </w:r>
          </w:p>
        </w:tc>
        <w:tc>
          <w:tcPr>
            <w:tcW w:w="153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0C1E59">
            <w:pPr>
              <w:keepNext/>
              <w:jc w:val="center"/>
              <w:rPr>
                <w:rFonts w:ascii="Calibri" w:eastAsia="Times New Roman" w:hAnsi="Calibri"/>
                <w:color w:val="000000"/>
                <w:sz w:val="18"/>
                <w:szCs w:val="18"/>
              </w:rPr>
            </w:pPr>
            <w:r w:rsidRPr="00B75B77">
              <w:rPr>
                <w:sz w:val="18"/>
                <w:szCs w:val="18"/>
              </w:rPr>
              <w:t>2,281,435</w:t>
            </w:r>
          </w:p>
        </w:tc>
        <w:tc>
          <w:tcPr>
            <w:tcW w:w="171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0C1E59">
            <w:pPr>
              <w:keepNext/>
              <w:jc w:val="center"/>
              <w:rPr>
                <w:rFonts w:ascii="Calibri" w:eastAsia="Times New Roman" w:hAnsi="Calibri"/>
                <w:color w:val="000000"/>
                <w:sz w:val="18"/>
                <w:szCs w:val="18"/>
              </w:rPr>
            </w:pPr>
            <w:r w:rsidRPr="00B75B77">
              <w:rPr>
                <w:sz w:val="18"/>
                <w:szCs w:val="18"/>
              </w:rPr>
              <w:t>4,437,721</w:t>
            </w:r>
          </w:p>
        </w:tc>
        <w:tc>
          <w:tcPr>
            <w:tcW w:w="216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20B94">
            <w:pPr>
              <w:keepNext/>
              <w:jc w:val="center"/>
              <w:rPr>
                <w:rFonts w:ascii="Calibri" w:eastAsia="Times New Roman" w:hAnsi="Calibri"/>
                <w:color w:val="000000"/>
                <w:sz w:val="18"/>
                <w:szCs w:val="18"/>
              </w:rPr>
            </w:pPr>
            <w:r w:rsidRPr="00B75B77">
              <w:rPr>
                <w:sz w:val="18"/>
                <w:szCs w:val="18"/>
              </w:rPr>
              <w:t>763,893</w:t>
            </w:r>
          </w:p>
        </w:tc>
        <w:tc>
          <w:tcPr>
            <w:tcW w:w="184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8F6A5F">
            <w:pPr>
              <w:keepNext/>
              <w:jc w:val="center"/>
              <w:rPr>
                <w:rFonts w:ascii="Calibri" w:eastAsia="Times New Roman" w:hAnsi="Calibri"/>
                <w:color w:val="000000"/>
                <w:sz w:val="18"/>
                <w:szCs w:val="18"/>
              </w:rPr>
            </w:pPr>
            <w:r w:rsidRPr="00B75B77">
              <w:rPr>
                <w:sz w:val="18"/>
                <w:szCs w:val="18"/>
              </w:rPr>
              <w:t>5,201,</w:t>
            </w:r>
            <w:r w:rsidR="008F6A5F" w:rsidRPr="00B75B77">
              <w:rPr>
                <w:sz w:val="18"/>
                <w:szCs w:val="18"/>
              </w:rPr>
              <w:t>614</w:t>
            </w:r>
          </w:p>
        </w:tc>
      </w:tr>
      <w:tr w:rsidR="000C1E59" w:rsidRPr="00B75B77" w:rsidTr="008F6A5F">
        <w:trPr>
          <w:trHeight w:val="288"/>
        </w:trPr>
        <w:tc>
          <w:tcPr>
            <w:tcW w:w="2335"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0C1E59">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C</w:t>
            </w:r>
            <w:r w:rsidR="0054073E" w:rsidRPr="00B75B77">
              <w:rPr>
                <w:rFonts w:ascii="Calibri" w:eastAsia="Times New Roman" w:hAnsi="Calibri"/>
                <w:color w:val="000000"/>
                <w:sz w:val="18"/>
                <w:szCs w:val="18"/>
              </w:rPr>
              <w:t>&amp;I</w:t>
            </w:r>
          </w:p>
        </w:tc>
        <w:tc>
          <w:tcPr>
            <w:tcW w:w="153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0C1E59">
            <w:pPr>
              <w:keepNext/>
              <w:jc w:val="center"/>
              <w:rPr>
                <w:rFonts w:ascii="Calibri" w:eastAsia="Times New Roman" w:hAnsi="Calibri"/>
                <w:color w:val="000000"/>
                <w:sz w:val="18"/>
                <w:szCs w:val="18"/>
              </w:rPr>
            </w:pPr>
            <w:r w:rsidRPr="00B75B77">
              <w:rPr>
                <w:sz w:val="18"/>
                <w:szCs w:val="18"/>
              </w:rPr>
              <w:t>2,0</w:t>
            </w:r>
            <w:r w:rsidR="007B3F6F" w:rsidRPr="00B75B77">
              <w:rPr>
                <w:sz w:val="18"/>
                <w:szCs w:val="18"/>
              </w:rPr>
              <w:t>76,890</w:t>
            </w:r>
          </w:p>
        </w:tc>
        <w:tc>
          <w:tcPr>
            <w:tcW w:w="171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0C1E59">
            <w:pPr>
              <w:keepNext/>
              <w:jc w:val="center"/>
              <w:rPr>
                <w:rFonts w:ascii="Calibri" w:eastAsia="Times New Roman" w:hAnsi="Calibri"/>
                <w:color w:val="000000"/>
                <w:sz w:val="18"/>
                <w:szCs w:val="18"/>
              </w:rPr>
            </w:pPr>
            <w:r w:rsidRPr="00B75B77">
              <w:rPr>
                <w:sz w:val="18"/>
                <w:szCs w:val="18"/>
              </w:rPr>
              <w:t>4,3</w:t>
            </w:r>
            <w:r w:rsidR="007B3F6F" w:rsidRPr="00B75B77">
              <w:rPr>
                <w:sz w:val="18"/>
                <w:szCs w:val="18"/>
              </w:rPr>
              <w:t>74,445</w:t>
            </w:r>
          </w:p>
        </w:tc>
        <w:tc>
          <w:tcPr>
            <w:tcW w:w="216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0C1E59">
            <w:pPr>
              <w:keepNext/>
              <w:jc w:val="center"/>
              <w:rPr>
                <w:rFonts w:ascii="Calibri" w:eastAsia="Times New Roman" w:hAnsi="Calibri"/>
                <w:color w:val="000000"/>
                <w:sz w:val="18"/>
                <w:szCs w:val="18"/>
              </w:rPr>
            </w:pPr>
            <w:r w:rsidRPr="00B75B77">
              <w:rPr>
                <w:sz w:val="18"/>
                <w:szCs w:val="18"/>
              </w:rPr>
              <w:t>954,726</w:t>
            </w:r>
          </w:p>
        </w:tc>
        <w:tc>
          <w:tcPr>
            <w:tcW w:w="184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7B3F6F">
            <w:pPr>
              <w:keepNext/>
              <w:jc w:val="center"/>
              <w:rPr>
                <w:rFonts w:ascii="Calibri" w:eastAsia="Times New Roman" w:hAnsi="Calibri"/>
                <w:color w:val="000000"/>
                <w:sz w:val="18"/>
                <w:szCs w:val="18"/>
              </w:rPr>
            </w:pPr>
            <w:r w:rsidRPr="00B75B77">
              <w:rPr>
                <w:sz w:val="18"/>
                <w:szCs w:val="18"/>
              </w:rPr>
              <w:t>5,3</w:t>
            </w:r>
            <w:r w:rsidR="007B3F6F" w:rsidRPr="00B75B77">
              <w:rPr>
                <w:sz w:val="18"/>
                <w:szCs w:val="18"/>
              </w:rPr>
              <w:t>29,171</w:t>
            </w:r>
          </w:p>
        </w:tc>
      </w:tr>
      <w:tr w:rsidR="000C1E59" w:rsidRPr="00B75B77" w:rsidTr="008F6A5F">
        <w:trPr>
          <w:trHeight w:val="288"/>
        </w:trPr>
        <w:tc>
          <w:tcPr>
            <w:tcW w:w="2335"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0C1E59">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GNI</w:t>
            </w:r>
          </w:p>
        </w:tc>
        <w:tc>
          <w:tcPr>
            <w:tcW w:w="153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0C1E59">
            <w:pPr>
              <w:keepNext/>
              <w:jc w:val="center"/>
              <w:rPr>
                <w:rFonts w:ascii="Calibri" w:eastAsia="Times New Roman" w:hAnsi="Calibri"/>
                <w:color w:val="000000"/>
                <w:sz w:val="18"/>
                <w:szCs w:val="18"/>
              </w:rPr>
            </w:pPr>
            <w:r w:rsidRPr="00B75B77">
              <w:rPr>
                <w:sz w:val="18"/>
                <w:szCs w:val="18"/>
              </w:rPr>
              <w:t>1,</w:t>
            </w:r>
            <w:r w:rsidR="007B3F6F" w:rsidRPr="00B75B77">
              <w:rPr>
                <w:sz w:val="18"/>
                <w:szCs w:val="18"/>
              </w:rPr>
              <w:t>666,978</w:t>
            </w:r>
          </w:p>
        </w:tc>
        <w:tc>
          <w:tcPr>
            <w:tcW w:w="171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0C1E59">
            <w:pPr>
              <w:keepNext/>
              <w:jc w:val="center"/>
              <w:rPr>
                <w:rFonts w:ascii="Calibri" w:eastAsia="Times New Roman" w:hAnsi="Calibri"/>
                <w:color w:val="000000"/>
                <w:sz w:val="18"/>
                <w:szCs w:val="18"/>
              </w:rPr>
            </w:pPr>
            <w:r w:rsidRPr="00B75B77">
              <w:rPr>
                <w:sz w:val="18"/>
                <w:szCs w:val="18"/>
              </w:rPr>
              <w:t>3,1</w:t>
            </w:r>
            <w:r w:rsidR="007B3F6F" w:rsidRPr="00B75B77">
              <w:rPr>
                <w:sz w:val="18"/>
                <w:szCs w:val="18"/>
              </w:rPr>
              <w:t>33,894</w:t>
            </w:r>
          </w:p>
        </w:tc>
        <w:tc>
          <w:tcPr>
            <w:tcW w:w="216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0C1E59">
            <w:pPr>
              <w:keepNext/>
              <w:jc w:val="center"/>
              <w:rPr>
                <w:rFonts w:ascii="Calibri" w:eastAsia="Times New Roman" w:hAnsi="Calibri"/>
                <w:color w:val="000000"/>
                <w:sz w:val="18"/>
                <w:szCs w:val="18"/>
              </w:rPr>
            </w:pPr>
            <w:r w:rsidRPr="00B75B77">
              <w:rPr>
                <w:sz w:val="18"/>
                <w:szCs w:val="18"/>
              </w:rPr>
              <w:t>1,055,854</w:t>
            </w:r>
          </w:p>
        </w:tc>
        <w:tc>
          <w:tcPr>
            <w:tcW w:w="184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0C1E59">
            <w:pPr>
              <w:keepNext/>
              <w:jc w:val="center"/>
              <w:rPr>
                <w:rFonts w:ascii="Calibri" w:eastAsia="Times New Roman" w:hAnsi="Calibri"/>
                <w:color w:val="000000"/>
                <w:sz w:val="18"/>
                <w:szCs w:val="18"/>
              </w:rPr>
            </w:pPr>
            <w:r w:rsidRPr="00B75B77">
              <w:rPr>
                <w:sz w:val="18"/>
                <w:szCs w:val="18"/>
              </w:rPr>
              <w:t>4,</w:t>
            </w:r>
            <w:r w:rsidR="007B3F6F" w:rsidRPr="00B75B77">
              <w:rPr>
                <w:sz w:val="18"/>
                <w:szCs w:val="18"/>
              </w:rPr>
              <w:t>189,748</w:t>
            </w:r>
          </w:p>
        </w:tc>
      </w:tr>
      <w:tr w:rsidR="000C1E59" w:rsidRPr="00B75B77" w:rsidTr="008F6A5F">
        <w:trPr>
          <w:trHeight w:val="288"/>
        </w:trPr>
        <w:tc>
          <w:tcPr>
            <w:tcW w:w="2335"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0C1E59">
            <w:pPr>
              <w:keepNext/>
              <w:jc w:val="left"/>
              <w:rPr>
                <w:rFonts w:ascii="Calibri" w:eastAsia="Times New Roman" w:hAnsi="Calibri"/>
                <w:b/>
                <w:bCs/>
                <w:color w:val="000000"/>
                <w:sz w:val="18"/>
                <w:szCs w:val="18"/>
              </w:rPr>
            </w:pPr>
            <w:r w:rsidRPr="00B75B77">
              <w:rPr>
                <w:rFonts w:ascii="Calibri" w:eastAsia="Times New Roman" w:hAnsi="Calibri"/>
                <w:b/>
                <w:bCs/>
                <w:color w:val="000000"/>
                <w:sz w:val="18"/>
                <w:szCs w:val="18"/>
              </w:rPr>
              <w:t xml:space="preserve">TOTAL </w:t>
            </w:r>
          </w:p>
        </w:tc>
        <w:tc>
          <w:tcPr>
            <w:tcW w:w="153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0C1E59">
            <w:pPr>
              <w:keepNext/>
              <w:jc w:val="center"/>
              <w:rPr>
                <w:rFonts w:ascii="Calibri" w:eastAsia="Times New Roman" w:hAnsi="Calibri"/>
                <w:b/>
                <w:color w:val="000000"/>
                <w:sz w:val="18"/>
                <w:szCs w:val="18"/>
              </w:rPr>
            </w:pPr>
            <w:r w:rsidRPr="00B75B77">
              <w:rPr>
                <w:b/>
                <w:sz w:val="18"/>
                <w:szCs w:val="18"/>
              </w:rPr>
              <w:t>6,0</w:t>
            </w:r>
            <w:r w:rsidR="007B3F6F" w:rsidRPr="00B75B77">
              <w:rPr>
                <w:b/>
                <w:sz w:val="18"/>
                <w:szCs w:val="18"/>
              </w:rPr>
              <w:t>25,303</w:t>
            </w:r>
          </w:p>
        </w:tc>
        <w:tc>
          <w:tcPr>
            <w:tcW w:w="1710" w:type="dxa"/>
            <w:tcBorders>
              <w:top w:val="nil"/>
              <w:left w:val="nil"/>
              <w:bottom w:val="single" w:sz="4" w:space="0" w:color="448A99"/>
              <w:right w:val="single" w:sz="4" w:space="0" w:color="448A99"/>
            </w:tcBorders>
            <w:shd w:val="clear" w:color="000000" w:fill="FFFFFF"/>
            <w:vAlign w:val="center"/>
            <w:hideMark/>
          </w:tcPr>
          <w:p w:rsidR="000C1E59" w:rsidRPr="00B75B77" w:rsidRDefault="007B3F6F" w:rsidP="000C1E59">
            <w:pPr>
              <w:keepNext/>
              <w:jc w:val="center"/>
              <w:rPr>
                <w:rFonts w:ascii="Calibri" w:eastAsia="Times New Roman" w:hAnsi="Calibri"/>
                <w:b/>
                <w:color w:val="000000"/>
                <w:sz w:val="18"/>
                <w:szCs w:val="18"/>
              </w:rPr>
            </w:pPr>
            <w:r w:rsidRPr="00B75B77">
              <w:rPr>
                <w:b/>
                <w:sz w:val="18"/>
                <w:szCs w:val="18"/>
              </w:rPr>
              <w:t>11,946,060</w:t>
            </w:r>
          </w:p>
        </w:tc>
        <w:tc>
          <w:tcPr>
            <w:tcW w:w="216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0C1E59">
            <w:pPr>
              <w:keepNext/>
              <w:jc w:val="center"/>
              <w:rPr>
                <w:rFonts w:ascii="Calibri" w:eastAsia="Times New Roman" w:hAnsi="Calibri"/>
                <w:b/>
                <w:color w:val="000000"/>
                <w:sz w:val="18"/>
                <w:szCs w:val="18"/>
              </w:rPr>
            </w:pPr>
            <w:r w:rsidRPr="00B75B77">
              <w:rPr>
                <w:b/>
                <w:sz w:val="18"/>
                <w:szCs w:val="18"/>
              </w:rPr>
              <w:t>2,774,473</w:t>
            </w:r>
          </w:p>
        </w:tc>
        <w:tc>
          <w:tcPr>
            <w:tcW w:w="184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B93403">
            <w:pPr>
              <w:keepNext/>
              <w:jc w:val="center"/>
              <w:rPr>
                <w:rFonts w:ascii="Calibri" w:eastAsia="Times New Roman" w:hAnsi="Calibri"/>
                <w:b/>
                <w:color w:val="000000"/>
                <w:sz w:val="18"/>
                <w:szCs w:val="18"/>
              </w:rPr>
            </w:pPr>
            <w:r w:rsidRPr="00B75B77">
              <w:rPr>
                <w:b/>
                <w:sz w:val="18"/>
                <w:szCs w:val="18"/>
              </w:rPr>
              <w:t>14,</w:t>
            </w:r>
            <w:r w:rsidR="00B93403" w:rsidRPr="00B75B77">
              <w:rPr>
                <w:b/>
                <w:sz w:val="18"/>
                <w:szCs w:val="18"/>
              </w:rPr>
              <w:t>720,533</w:t>
            </w:r>
          </w:p>
        </w:tc>
      </w:tr>
    </w:tbl>
    <w:p w:rsidR="000C1E59" w:rsidRPr="00B75B77" w:rsidRDefault="000C1E59" w:rsidP="000C1E59">
      <w:pPr>
        <w:pStyle w:val="Source"/>
        <w:keepNext/>
        <w:spacing w:after="0"/>
        <w:ind w:left="180" w:firstLine="0"/>
        <w:rPr>
          <w:rStyle w:val="Strong"/>
          <w:b w:val="0"/>
          <w:bCs w:val="0"/>
          <w:i w:val="0"/>
        </w:rPr>
      </w:pPr>
      <w:r w:rsidRPr="00B75B77">
        <w:rPr>
          <w:rFonts w:ascii="Calibri" w:hAnsi="Calibri"/>
          <w:i w:val="0"/>
          <w:color w:val="000000"/>
          <w:szCs w:val="18"/>
          <w:vertAlign w:val="superscript"/>
        </w:rPr>
        <w:t>[1]</w:t>
      </w:r>
      <w:r w:rsidRPr="00B75B77">
        <w:rPr>
          <w:rFonts w:ascii="Calibri" w:hAnsi="Calibri"/>
          <w:i w:val="0"/>
          <w:color w:val="000000"/>
          <w:szCs w:val="18"/>
        </w:rPr>
        <w:t xml:space="preserve"> All customer sector totals (excluding Total Residential (Non-Low-Income plus Low-Income) are exclusive of each other and may be added together to get the Phase II totals.</w:t>
      </w:r>
      <w:r w:rsidRPr="00B75B77">
        <w:rPr>
          <w:rFonts w:ascii="Calibri" w:hAnsi="Calibri"/>
          <w:i w:val="0"/>
          <w:color w:val="000000"/>
          <w:szCs w:val="18"/>
        </w:rPr>
        <w:br/>
      </w:r>
      <w:r w:rsidRPr="00B75B77">
        <w:rPr>
          <w:rFonts w:ascii="Calibri" w:hAnsi="Calibri"/>
          <w:i w:val="0"/>
          <w:color w:val="000000"/>
          <w:szCs w:val="18"/>
          <w:vertAlign w:val="superscript"/>
        </w:rPr>
        <w:t>[2]</w:t>
      </w:r>
      <w:r w:rsidRPr="00B75B77">
        <w:rPr>
          <w:rFonts w:ascii="Calibri" w:hAnsi="Calibri"/>
          <w:i w:val="0"/>
          <w:color w:val="000000"/>
          <w:szCs w:val="18"/>
        </w:rPr>
        <w:t xml:space="preserve"> The evaluation team verified the percentage of customers participating in non-low-income</w:t>
      </w:r>
      <w:r w:rsidR="00F94CBE" w:rsidRPr="00B75B77">
        <w:rPr>
          <w:rFonts w:ascii="Calibri" w:hAnsi="Calibri"/>
          <w:i w:val="0"/>
          <w:color w:val="000000"/>
          <w:szCs w:val="18"/>
        </w:rPr>
        <w:t>-</w:t>
      </w:r>
      <w:r w:rsidRPr="00B75B77">
        <w:rPr>
          <w:rFonts w:ascii="Calibri" w:hAnsi="Calibri"/>
          <w:i w:val="0"/>
          <w:color w:val="000000"/>
          <w:szCs w:val="18"/>
        </w:rPr>
        <w:t>specific programs that were low-income</w:t>
      </w:r>
      <w:r w:rsidR="00F94CBE" w:rsidRPr="00B75B77">
        <w:rPr>
          <w:rFonts w:ascii="Calibri" w:hAnsi="Calibri"/>
          <w:i w:val="0"/>
          <w:color w:val="000000"/>
          <w:szCs w:val="18"/>
        </w:rPr>
        <w:t>-</w:t>
      </w:r>
      <w:r w:rsidRPr="00B75B77">
        <w:rPr>
          <w:rFonts w:ascii="Calibri" w:hAnsi="Calibri"/>
          <w:i w:val="0"/>
          <w:color w:val="000000"/>
          <w:szCs w:val="18"/>
        </w:rPr>
        <w:t>qualified through self-report surveys. The survey results were used to estimate program savings and incentives paid to low-income customers and were added to the savings achieved through low-income</w:t>
      </w:r>
      <w:r w:rsidR="00F94CBE" w:rsidRPr="00B75B77">
        <w:rPr>
          <w:rFonts w:ascii="Calibri" w:hAnsi="Calibri"/>
          <w:i w:val="0"/>
          <w:color w:val="000000"/>
          <w:szCs w:val="18"/>
        </w:rPr>
        <w:t>-</w:t>
      </w:r>
      <w:r w:rsidRPr="00B75B77">
        <w:rPr>
          <w:rFonts w:ascii="Calibri" w:hAnsi="Calibri"/>
          <w:i w:val="0"/>
          <w:color w:val="000000"/>
          <w:szCs w:val="18"/>
        </w:rPr>
        <w:t>specific programs.</w:t>
      </w:r>
      <w:r w:rsidRPr="00B75B77">
        <w:rPr>
          <w:rFonts w:ascii="Calibri" w:hAnsi="Calibri"/>
          <w:i w:val="0"/>
          <w:color w:val="000000"/>
          <w:szCs w:val="18"/>
        </w:rPr>
        <w:br/>
      </w:r>
      <w:r w:rsidRPr="00B75B77">
        <w:rPr>
          <w:rStyle w:val="Strong"/>
          <w:b w:val="0"/>
          <w:bCs w:val="0"/>
          <w:i w:val="0"/>
        </w:rPr>
        <w:t xml:space="preserve">Note: </w:t>
      </w:r>
      <w:r w:rsidRPr="00B75B77">
        <w:rPr>
          <w:i w:val="0"/>
        </w:rPr>
        <w:t>Values in tables may not reconcile exactly with the sum of more detailed level results or previously reported results due to rounding.</w:t>
      </w:r>
    </w:p>
    <w:p w:rsidR="000C1E59" w:rsidRPr="00B75B77" w:rsidRDefault="000C1E59" w:rsidP="000C1E59">
      <w:pPr>
        <w:pStyle w:val="Source"/>
        <w:keepNext/>
        <w:rPr>
          <w:rStyle w:val="Strong"/>
          <w:b w:val="0"/>
          <w:bCs w:val="0"/>
        </w:rPr>
      </w:pPr>
      <w:r w:rsidRPr="00B75B77">
        <w:rPr>
          <w:rStyle w:val="Strong"/>
          <w:b w:val="0"/>
          <w:bCs w:val="0"/>
        </w:rPr>
        <w:t>Source: Navigant analysis</w:t>
      </w:r>
    </w:p>
    <w:p w:rsidR="000C1E59" w:rsidRPr="00B75B77" w:rsidRDefault="000C1E59" w:rsidP="00AC4F7E">
      <w:r w:rsidRPr="00B75B77">
        <w:fldChar w:fldCharType="begin"/>
      </w:r>
      <w:r w:rsidRPr="00B75B77">
        <w:instrText xml:space="preserve"> REF _Ref464562262 \h </w:instrText>
      </w:r>
      <w:r w:rsidR="00B75B77">
        <w:instrText xml:space="preserve"> \* MERGEFORMAT </w:instrText>
      </w:r>
      <w:r w:rsidRPr="00B75B77">
        <w:fldChar w:fldCharType="separate"/>
      </w:r>
      <w:r w:rsidR="0004016D" w:rsidRPr="00B75B77">
        <w:t xml:space="preserve">Table </w:t>
      </w:r>
      <w:r w:rsidR="0004016D">
        <w:rPr>
          <w:noProof/>
        </w:rPr>
        <w:t>1</w:t>
      </w:r>
      <w:r w:rsidR="0004016D" w:rsidRPr="00B75B77">
        <w:rPr>
          <w:noProof/>
        </w:rPr>
        <w:noBreakHyphen/>
      </w:r>
      <w:r w:rsidR="0004016D">
        <w:rPr>
          <w:noProof/>
        </w:rPr>
        <w:t>3</w:t>
      </w:r>
      <w:r w:rsidRPr="00B75B77">
        <w:fldChar w:fldCharType="end"/>
      </w:r>
      <w:r w:rsidRPr="00B75B77">
        <w:t xml:space="preserve"> summarizes PECO’s cumulative verified gross energy savings since the inception of Act 129. </w:t>
      </w:r>
    </w:p>
    <w:p w:rsidR="000C1E59" w:rsidRPr="00B75B77" w:rsidRDefault="000C1E59" w:rsidP="00AC4F7E"/>
    <w:p w:rsidR="000C1E59" w:rsidRPr="00B75B77" w:rsidRDefault="000C1E59" w:rsidP="00F94CBE">
      <w:pPr>
        <w:pStyle w:val="Caption"/>
      </w:pPr>
      <w:bookmarkStart w:id="51" w:name="_Ref464562262"/>
      <w:bookmarkStart w:id="52" w:name="_Toc466413485"/>
      <w:r w:rsidRPr="00B75B77">
        <w:t xml:space="preserve">Table </w:t>
      </w:r>
      <w:fldSimple w:instr=" STYLEREF 1 \s ">
        <w:r w:rsidR="0004016D">
          <w:rPr>
            <w:noProof/>
          </w:rPr>
          <w:t>1</w:t>
        </w:r>
      </w:fldSimple>
      <w:r w:rsidR="00F1144C" w:rsidRPr="00B75B77">
        <w:noBreakHyphen/>
      </w:r>
      <w:fldSimple w:instr=" SEQ Table \* ARABIC \s 1 ">
        <w:r w:rsidR="0004016D">
          <w:rPr>
            <w:noProof/>
          </w:rPr>
          <w:t>3</w:t>
        </w:r>
      </w:fldSimple>
      <w:bookmarkEnd w:id="51"/>
      <w:r w:rsidRPr="00B75B77">
        <w:t>: Phase I and Phase II Cumulative Annual Savings</w:t>
      </w:r>
      <w:bookmarkEnd w:id="52"/>
    </w:p>
    <w:tbl>
      <w:tblPr>
        <w:tblW w:w="9355" w:type="dxa"/>
        <w:tblLook w:val="04A0" w:firstRow="1" w:lastRow="0" w:firstColumn="1" w:lastColumn="0" w:noHBand="0" w:noVBand="1"/>
      </w:tblPr>
      <w:tblGrid>
        <w:gridCol w:w="2380"/>
        <w:gridCol w:w="2380"/>
        <w:gridCol w:w="2380"/>
        <w:gridCol w:w="2215"/>
      </w:tblGrid>
      <w:tr w:rsidR="000C1E59" w:rsidRPr="00B75B77" w:rsidTr="00F94CBE">
        <w:trPr>
          <w:divId w:val="197277799"/>
          <w:trHeight w:val="744"/>
        </w:trPr>
        <w:tc>
          <w:tcPr>
            <w:tcW w:w="2380" w:type="dxa"/>
            <w:tcBorders>
              <w:top w:val="single" w:sz="4" w:space="0" w:color="auto"/>
              <w:left w:val="single" w:sz="4" w:space="0" w:color="auto"/>
              <w:bottom w:val="single" w:sz="4" w:space="0" w:color="auto"/>
              <w:right w:val="single" w:sz="4" w:space="0" w:color="auto"/>
            </w:tcBorders>
            <w:shd w:val="clear" w:color="000000" w:fill="448A99"/>
            <w:vAlign w:val="center"/>
            <w:hideMark/>
          </w:tcPr>
          <w:p w:rsidR="000C1E59" w:rsidRPr="00B75B77" w:rsidRDefault="000C1E59" w:rsidP="00F94CBE">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Sector </w:t>
            </w:r>
            <w:r w:rsidRPr="00B75B77">
              <w:rPr>
                <w:rFonts w:ascii="Calibri" w:eastAsia="Times New Roman" w:hAnsi="Calibri"/>
                <w:b/>
                <w:bCs/>
                <w:color w:val="FFFFFF" w:themeColor="background1"/>
                <w:sz w:val="18"/>
                <w:szCs w:val="18"/>
                <w:vertAlign w:val="superscript"/>
              </w:rPr>
              <w:t>[1]</w:t>
            </w:r>
          </w:p>
        </w:tc>
        <w:tc>
          <w:tcPr>
            <w:tcW w:w="2380"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F94CBE">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Phase I Cumulative Annual Verified Gross Savings (MWh)</w:t>
            </w:r>
          </w:p>
        </w:tc>
        <w:tc>
          <w:tcPr>
            <w:tcW w:w="2380"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F94CBE">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Phase II Cumulative Annual Verified Gross Savings (MWh)</w:t>
            </w:r>
          </w:p>
        </w:tc>
        <w:tc>
          <w:tcPr>
            <w:tcW w:w="2215"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F94CBE">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Act 129 Cumulative Annual Verified Gross Savings (MWh) Through Phase II</w:t>
            </w:r>
          </w:p>
        </w:tc>
      </w:tr>
    </w:tbl>
    <w:tbl>
      <w:tblPr>
        <w:tblW w:w="9355" w:type="dxa"/>
        <w:tblLook w:val="04A0" w:firstRow="1" w:lastRow="0" w:firstColumn="1" w:lastColumn="0" w:noHBand="0" w:noVBand="1"/>
      </w:tblPr>
      <w:tblGrid>
        <w:gridCol w:w="2380"/>
        <w:gridCol w:w="2380"/>
        <w:gridCol w:w="2380"/>
        <w:gridCol w:w="2215"/>
      </w:tblGrid>
      <w:tr w:rsidR="000C1E59" w:rsidRPr="00B75B77" w:rsidTr="00F94CBE">
        <w:trPr>
          <w:trHeight w:val="480"/>
        </w:trPr>
        <w:tc>
          <w:tcPr>
            <w:tcW w:w="2380"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F94CBE">
            <w:pPr>
              <w:jc w:val="left"/>
              <w:rPr>
                <w:rFonts w:ascii="Calibri" w:eastAsia="Times New Roman" w:hAnsi="Calibri"/>
                <w:color w:val="000000"/>
                <w:sz w:val="18"/>
                <w:szCs w:val="18"/>
              </w:rPr>
            </w:pPr>
            <w:r w:rsidRPr="00B75B77">
              <w:rPr>
                <w:rFonts w:ascii="Calibri" w:eastAsia="Times New Roman" w:hAnsi="Calibri"/>
                <w:color w:val="000000"/>
                <w:sz w:val="18"/>
                <w:szCs w:val="18"/>
              </w:rPr>
              <w:t>Residential (Non-Low-Income)</w:t>
            </w:r>
          </w:p>
        </w:tc>
        <w:tc>
          <w:tcPr>
            <w:tcW w:w="238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714,282</w:t>
            </w:r>
          </w:p>
        </w:tc>
        <w:tc>
          <w:tcPr>
            <w:tcW w:w="238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20B94">
            <w:pPr>
              <w:jc w:val="center"/>
              <w:rPr>
                <w:rFonts w:ascii="Calibri" w:eastAsia="Times New Roman" w:hAnsi="Calibri"/>
                <w:color w:val="000000"/>
                <w:sz w:val="18"/>
                <w:szCs w:val="18"/>
              </w:rPr>
            </w:pPr>
            <w:r w:rsidRPr="00B75B77">
              <w:rPr>
                <w:sz w:val="18"/>
                <w:szCs w:val="18"/>
              </w:rPr>
              <w:t>39</w:t>
            </w:r>
            <w:r w:rsidR="00B93403" w:rsidRPr="00B75B77">
              <w:rPr>
                <w:sz w:val="18"/>
                <w:szCs w:val="18"/>
              </w:rPr>
              <w:t>4,070</w:t>
            </w:r>
          </w:p>
        </w:tc>
        <w:tc>
          <w:tcPr>
            <w:tcW w:w="2215"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1,10</w:t>
            </w:r>
            <w:r w:rsidR="00B93403" w:rsidRPr="00B75B77">
              <w:rPr>
                <w:sz w:val="18"/>
                <w:szCs w:val="18"/>
              </w:rPr>
              <w:t>8,352</w:t>
            </w:r>
          </w:p>
        </w:tc>
      </w:tr>
      <w:tr w:rsidR="000C1E59" w:rsidRPr="00B75B77" w:rsidTr="00F94CBE">
        <w:trPr>
          <w:trHeight w:val="288"/>
        </w:trPr>
        <w:tc>
          <w:tcPr>
            <w:tcW w:w="2380"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F94CBE">
            <w:pPr>
              <w:jc w:val="left"/>
              <w:rPr>
                <w:rFonts w:ascii="Calibri" w:eastAsia="Times New Roman" w:hAnsi="Calibri"/>
                <w:color w:val="000000"/>
                <w:sz w:val="18"/>
                <w:szCs w:val="18"/>
              </w:rPr>
            </w:pPr>
            <w:r w:rsidRPr="00B75B77">
              <w:rPr>
                <w:rFonts w:ascii="Calibri" w:eastAsia="Times New Roman" w:hAnsi="Calibri"/>
                <w:color w:val="000000"/>
                <w:sz w:val="18"/>
                <w:szCs w:val="18"/>
              </w:rPr>
              <w:t>Residential (Low-Income)</w:t>
            </w:r>
            <w:r w:rsidRPr="00B75B77">
              <w:rPr>
                <w:rFonts w:ascii="Calibri" w:eastAsia="Times New Roman" w:hAnsi="Calibri"/>
                <w:b/>
                <w:bCs/>
                <w:sz w:val="18"/>
                <w:szCs w:val="18"/>
              </w:rPr>
              <w:t xml:space="preserve"> </w:t>
            </w:r>
            <w:r w:rsidRPr="00B75B77">
              <w:rPr>
                <w:rFonts w:ascii="Calibri" w:eastAsia="Times New Roman" w:hAnsi="Calibri"/>
                <w:b/>
                <w:bCs/>
                <w:sz w:val="18"/>
                <w:szCs w:val="18"/>
                <w:vertAlign w:val="superscript"/>
              </w:rPr>
              <w:t>[2]</w:t>
            </w:r>
          </w:p>
        </w:tc>
        <w:tc>
          <w:tcPr>
            <w:tcW w:w="238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104,558</w:t>
            </w:r>
          </w:p>
        </w:tc>
        <w:tc>
          <w:tcPr>
            <w:tcW w:w="238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9</w:t>
            </w:r>
            <w:r w:rsidR="00B93403" w:rsidRPr="00B75B77">
              <w:rPr>
                <w:sz w:val="18"/>
                <w:szCs w:val="18"/>
              </w:rPr>
              <w:t>1,673</w:t>
            </w:r>
          </w:p>
        </w:tc>
        <w:tc>
          <w:tcPr>
            <w:tcW w:w="2215"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19</w:t>
            </w:r>
            <w:r w:rsidR="00B93403" w:rsidRPr="00B75B77">
              <w:rPr>
                <w:sz w:val="18"/>
                <w:szCs w:val="18"/>
              </w:rPr>
              <w:t>6,231</w:t>
            </w:r>
          </w:p>
        </w:tc>
      </w:tr>
      <w:tr w:rsidR="000C1E59" w:rsidRPr="00B75B77" w:rsidTr="00F94CBE">
        <w:trPr>
          <w:trHeight w:val="480"/>
        </w:trPr>
        <w:tc>
          <w:tcPr>
            <w:tcW w:w="2380"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F94CBE">
            <w:pPr>
              <w:jc w:val="left"/>
              <w:rPr>
                <w:rFonts w:ascii="Calibri" w:eastAsia="Times New Roman" w:hAnsi="Calibri"/>
                <w:color w:val="000000"/>
                <w:sz w:val="18"/>
                <w:szCs w:val="18"/>
              </w:rPr>
            </w:pPr>
            <w:r w:rsidRPr="00B75B77">
              <w:rPr>
                <w:rFonts w:ascii="Calibri" w:eastAsia="Times New Roman" w:hAnsi="Calibri"/>
                <w:color w:val="000000"/>
                <w:sz w:val="18"/>
                <w:szCs w:val="18"/>
              </w:rPr>
              <w:t>Total Residential (Non-Low-Income plus Low-Income)</w:t>
            </w:r>
          </w:p>
        </w:tc>
        <w:tc>
          <w:tcPr>
            <w:tcW w:w="238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818,840</w:t>
            </w:r>
          </w:p>
        </w:tc>
        <w:tc>
          <w:tcPr>
            <w:tcW w:w="238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485,743</w:t>
            </w:r>
          </w:p>
        </w:tc>
        <w:tc>
          <w:tcPr>
            <w:tcW w:w="2215"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1,304,583</w:t>
            </w:r>
          </w:p>
        </w:tc>
      </w:tr>
      <w:tr w:rsidR="000C1E59" w:rsidRPr="00B75B77" w:rsidTr="00F94CBE">
        <w:trPr>
          <w:trHeight w:val="288"/>
        </w:trPr>
        <w:tc>
          <w:tcPr>
            <w:tcW w:w="2380"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F94CBE">
            <w:pPr>
              <w:jc w:val="left"/>
              <w:rPr>
                <w:rFonts w:ascii="Calibri" w:eastAsia="Times New Roman" w:hAnsi="Calibri"/>
                <w:color w:val="000000"/>
                <w:sz w:val="18"/>
                <w:szCs w:val="18"/>
              </w:rPr>
            </w:pPr>
            <w:r w:rsidRPr="00B75B77">
              <w:rPr>
                <w:rFonts w:ascii="Calibri" w:eastAsia="Times New Roman" w:hAnsi="Calibri"/>
                <w:color w:val="000000"/>
                <w:sz w:val="18"/>
                <w:szCs w:val="18"/>
              </w:rPr>
              <w:t>C</w:t>
            </w:r>
            <w:r w:rsidR="0054073E" w:rsidRPr="00B75B77">
              <w:rPr>
                <w:rFonts w:ascii="Calibri" w:eastAsia="Times New Roman" w:hAnsi="Calibri"/>
                <w:color w:val="000000"/>
                <w:sz w:val="18"/>
                <w:szCs w:val="18"/>
              </w:rPr>
              <w:t>&amp;I</w:t>
            </w:r>
          </w:p>
        </w:tc>
        <w:tc>
          <w:tcPr>
            <w:tcW w:w="238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409,476</w:t>
            </w:r>
          </w:p>
        </w:tc>
        <w:tc>
          <w:tcPr>
            <w:tcW w:w="238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20B94">
            <w:pPr>
              <w:jc w:val="center"/>
              <w:rPr>
                <w:rFonts w:ascii="Calibri" w:eastAsia="Times New Roman" w:hAnsi="Calibri"/>
                <w:color w:val="000000"/>
                <w:sz w:val="18"/>
                <w:szCs w:val="18"/>
              </w:rPr>
            </w:pPr>
            <w:r w:rsidRPr="00B75B77">
              <w:rPr>
                <w:sz w:val="18"/>
                <w:szCs w:val="18"/>
              </w:rPr>
              <w:t>376,</w:t>
            </w:r>
            <w:r w:rsidR="00F20B94" w:rsidRPr="00B75B77">
              <w:rPr>
                <w:sz w:val="18"/>
                <w:szCs w:val="18"/>
              </w:rPr>
              <w:t>776</w:t>
            </w:r>
          </w:p>
        </w:tc>
        <w:tc>
          <w:tcPr>
            <w:tcW w:w="2215"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20B94">
            <w:pPr>
              <w:jc w:val="center"/>
              <w:rPr>
                <w:rFonts w:ascii="Calibri" w:eastAsia="Times New Roman" w:hAnsi="Calibri"/>
                <w:color w:val="000000"/>
                <w:sz w:val="18"/>
                <w:szCs w:val="18"/>
              </w:rPr>
            </w:pPr>
            <w:r w:rsidRPr="00B75B77">
              <w:rPr>
                <w:sz w:val="18"/>
                <w:szCs w:val="18"/>
              </w:rPr>
              <w:t>786,</w:t>
            </w:r>
            <w:r w:rsidR="00F20B94" w:rsidRPr="00B75B77">
              <w:rPr>
                <w:sz w:val="18"/>
                <w:szCs w:val="18"/>
              </w:rPr>
              <w:t>252</w:t>
            </w:r>
          </w:p>
        </w:tc>
      </w:tr>
      <w:tr w:rsidR="000C1E59" w:rsidRPr="00B75B77" w:rsidTr="00F94CBE">
        <w:trPr>
          <w:trHeight w:val="288"/>
        </w:trPr>
        <w:tc>
          <w:tcPr>
            <w:tcW w:w="2380"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F94CBE">
            <w:pPr>
              <w:jc w:val="left"/>
              <w:rPr>
                <w:rFonts w:ascii="Calibri" w:eastAsia="Times New Roman" w:hAnsi="Calibri"/>
                <w:color w:val="000000"/>
                <w:sz w:val="18"/>
                <w:szCs w:val="18"/>
              </w:rPr>
            </w:pPr>
            <w:r w:rsidRPr="00B75B77">
              <w:rPr>
                <w:rFonts w:ascii="Calibri" w:eastAsia="Times New Roman" w:hAnsi="Calibri"/>
                <w:color w:val="000000"/>
                <w:sz w:val="18"/>
                <w:szCs w:val="18"/>
              </w:rPr>
              <w:t>GNI</w:t>
            </w:r>
          </w:p>
        </w:tc>
        <w:tc>
          <w:tcPr>
            <w:tcW w:w="238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196,027</w:t>
            </w:r>
          </w:p>
        </w:tc>
        <w:tc>
          <w:tcPr>
            <w:tcW w:w="238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22</w:t>
            </w:r>
            <w:r w:rsidR="00F20B94" w:rsidRPr="00B75B77">
              <w:rPr>
                <w:sz w:val="18"/>
                <w:szCs w:val="18"/>
              </w:rPr>
              <w:t>7,985</w:t>
            </w:r>
          </w:p>
        </w:tc>
        <w:tc>
          <w:tcPr>
            <w:tcW w:w="2215"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424,</w:t>
            </w:r>
            <w:r w:rsidR="00F20B94" w:rsidRPr="00B75B77">
              <w:rPr>
                <w:sz w:val="18"/>
                <w:szCs w:val="18"/>
              </w:rPr>
              <w:t>012</w:t>
            </w:r>
          </w:p>
        </w:tc>
      </w:tr>
      <w:tr w:rsidR="000C1E59" w:rsidRPr="00B75B77" w:rsidTr="00F94CBE">
        <w:trPr>
          <w:trHeight w:val="288"/>
        </w:trPr>
        <w:tc>
          <w:tcPr>
            <w:tcW w:w="2380"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F94CBE">
            <w:pPr>
              <w:jc w:val="left"/>
              <w:rPr>
                <w:rFonts w:ascii="Calibri" w:eastAsia="Times New Roman" w:hAnsi="Calibri"/>
                <w:b/>
                <w:bCs/>
                <w:color w:val="000000"/>
                <w:sz w:val="18"/>
                <w:szCs w:val="18"/>
              </w:rPr>
            </w:pPr>
            <w:r w:rsidRPr="00B75B77">
              <w:rPr>
                <w:rFonts w:ascii="Calibri" w:eastAsia="Times New Roman" w:hAnsi="Calibri"/>
                <w:b/>
                <w:bCs/>
                <w:color w:val="000000"/>
                <w:sz w:val="18"/>
                <w:szCs w:val="18"/>
              </w:rPr>
              <w:t xml:space="preserve">TOTAL  </w:t>
            </w:r>
          </w:p>
        </w:tc>
        <w:tc>
          <w:tcPr>
            <w:tcW w:w="238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94CBE">
            <w:pPr>
              <w:jc w:val="center"/>
              <w:rPr>
                <w:rFonts w:ascii="Calibri" w:eastAsia="Times New Roman" w:hAnsi="Calibri"/>
                <w:b/>
                <w:bCs/>
                <w:color w:val="000000"/>
                <w:sz w:val="18"/>
                <w:szCs w:val="18"/>
              </w:rPr>
            </w:pPr>
            <w:r w:rsidRPr="00B75B77">
              <w:rPr>
                <w:b/>
                <w:sz w:val="18"/>
                <w:szCs w:val="18"/>
              </w:rPr>
              <w:t>1,424,342</w:t>
            </w:r>
          </w:p>
        </w:tc>
        <w:tc>
          <w:tcPr>
            <w:tcW w:w="238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94CBE">
            <w:pPr>
              <w:jc w:val="center"/>
              <w:rPr>
                <w:rFonts w:ascii="Calibri" w:eastAsia="Times New Roman" w:hAnsi="Calibri"/>
                <w:b/>
                <w:bCs/>
                <w:color w:val="000000"/>
                <w:sz w:val="18"/>
                <w:szCs w:val="18"/>
              </w:rPr>
            </w:pPr>
            <w:r w:rsidRPr="00B75B77">
              <w:rPr>
                <w:b/>
                <w:sz w:val="18"/>
                <w:szCs w:val="18"/>
              </w:rPr>
              <w:t>1,090,505</w:t>
            </w:r>
          </w:p>
        </w:tc>
        <w:tc>
          <w:tcPr>
            <w:tcW w:w="2215"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94CBE">
            <w:pPr>
              <w:jc w:val="center"/>
              <w:rPr>
                <w:rFonts w:ascii="Calibri" w:eastAsia="Times New Roman" w:hAnsi="Calibri"/>
                <w:b/>
                <w:bCs/>
                <w:color w:val="000000"/>
                <w:sz w:val="18"/>
                <w:szCs w:val="18"/>
              </w:rPr>
            </w:pPr>
            <w:r w:rsidRPr="00B75B77">
              <w:rPr>
                <w:b/>
                <w:sz w:val="18"/>
                <w:szCs w:val="18"/>
              </w:rPr>
              <w:t>2,514,848</w:t>
            </w:r>
          </w:p>
        </w:tc>
      </w:tr>
    </w:tbl>
    <w:p w:rsidR="000C1E59" w:rsidRPr="00B75B77" w:rsidRDefault="000C1E59" w:rsidP="00F94CBE">
      <w:pPr>
        <w:pStyle w:val="Source"/>
        <w:spacing w:before="20" w:after="20"/>
        <w:ind w:left="187" w:firstLine="0"/>
        <w:rPr>
          <w:rStyle w:val="Strong"/>
          <w:b w:val="0"/>
          <w:bCs w:val="0"/>
          <w:i w:val="0"/>
        </w:rPr>
      </w:pPr>
      <w:r w:rsidRPr="00B75B77">
        <w:rPr>
          <w:rFonts w:ascii="Calibri" w:hAnsi="Calibri"/>
          <w:i w:val="0"/>
          <w:color w:val="000000"/>
          <w:szCs w:val="18"/>
          <w:vertAlign w:val="superscript"/>
        </w:rPr>
        <w:t>[1]</w:t>
      </w:r>
      <w:r w:rsidRPr="00B75B77">
        <w:rPr>
          <w:rFonts w:ascii="Calibri" w:hAnsi="Calibri"/>
          <w:i w:val="0"/>
          <w:color w:val="000000"/>
          <w:szCs w:val="18"/>
        </w:rPr>
        <w:t xml:space="preserve"> All customer sector totals (excluding Total Residential (Non-Low-Income plus Low-Income) are exclusive of each other and may be added together to get the Phase II totals.</w:t>
      </w:r>
      <w:r w:rsidRPr="00B75B77">
        <w:rPr>
          <w:rFonts w:ascii="Calibri" w:hAnsi="Calibri"/>
          <w:i w:val="0"/>
          <w:color w:val="000000"/>
          <w:szCs w:val="18"/>
        </w:rPr>
        <w:br/>
      </w:r>
      <w:r w:rsidRPr="00B75B77">
        <w:rPr>
          <w:rFonts w:ascii="Calibri" w:hAnsi="Calibri"/>
          <w:i w:val="0"/>
          <w:color w:val="000000"/>
          <w:szCs w:val="18"/>
          <w:vertAlign w:val="superscript"/>
        </w:rPr>
        <w:t>[2]</w:t>
      </w:r>
      <w:r w:rsidRPr="00B75B77">
        <w:rPr>
          <w:rFonts w:ascii="Calibri" w:hAnsi="Calibri"/>
          <w:i w:val="0"/>
          <w:color w:val="000000"/>
          <w:szCs w:val="18"/>
        </w:rPr>
        <w:t xml:space="preserve"> The evaluation team verified the percentage of customers participating in non-low-income</w:t>
      </w:r>
      <w:r w:rsidR="00F94CBE" w:rsidRPr="00B75B77">
        <w:rPr>
          <w:rFonts w:ascii="Calibri" w:hAnsi="Calibri"/>
          <w:i w:val="0"/>
          <w:color w:val="000000"/>
          <w:szCs w:val="18"/>
        </w:rPr>
        <w:t>-</w:t>
      </w:r>
      <w:r w:rsidRPr="00B75B77">
        <w:rPr>
          <w:rFonts w:ascii="Calibri" w:hAnsi="Calibri"/>
          <w:i w:val="0"/>
          <w:color w:val="000000"/>
          <w:szCs w:val="18"/>
        </w:rPr>
        <w:t>specific programs that were low-income</w:t>
      </w:r>
      <w:r w:rsidR="00F94CBE" w:rsidRPr="00B75B77">
        <w:rPr>
          <w:rFonts w:ascii="Calibri" w:hAnsi="Calibri"/>
          <w:i w:val="0"/>
          <w:color w:val="000000"/>
          <w:szCs w:val="18"/>
        </w:rPr>
        <w:t>-</w:t>
      </w:r>
      <w:r w:rsidRPr="00B75B77">
        <w:rPr>
          <w:rFonts w:ascii="Calibri" w:hAnsi="Calibri"/>
          <w:i w:val="0"/>
          <w:color w:val="000000"/>
          <w:szCs w:val="18"/>
        </w:rPr>
        <w:t>qualified through self-report surveys. The survey results were used to estimate program savings and incentives paid to low-income customers and were added to the savings achieved through low-income</w:t>
      </w:r>
      <w:r w:rsidR="00F94CBE" w:rsidRPr="00B75B77">
        <w:rPr>
          <w:rFonts w:ascii="Calibri" w:hAnsi="Calibri"/>
          <w:i w:val="0"/>
          <w:color w:val="000000"/>
          <w:szCs w:val="18"/>
        </w:rPr>
        <w:t>-</w:t>
      </w:r>
      <w:r w:rsidRPr="00B75B77">
        <w:rPr>
          <w:rFonts w:ascii="Calibri" w:hAnsi="Calibri"/>
          <w:i w:val="0"/>
          <w:color w:val="000000"/>
          <w:szCs w:val="18"/>
        </w:rPr>
        <w:t>specific programs.</w:t>
      </w:r>
      <w:r w:rsidRPr="00B75B77">
        <w:rPr>
          <w:rFonts w:ascii="Calibri" w:hAnsi="Calibri"/>
          <w:i w:val="0"/>
          <w:color w:val="000000"/>
          <w:szCs w:val="18"/>
        </w:rPr>
        <w:br/>
      </w:r>
      <w:r w:rsidRPr="00B75B77">
        <w:rPr>
          <w:rStyle w:val="Strong"/>
          <w:b w:val="0"/>
          <w:bCs w:val="0"/>
          <w:i w:val="0"/>
        </w:rPr>
        <w:t xml:space="preserve">Note: </w:t>
      </w:r>
      <w:r w:rsidRPr="00B75B77">
        <w:rPr>
          <w:rFonts w:ascii="Calibri" w:hAnsi="Calibri"/>
          <w:i w:val="0"/>
          <w:iCs/>
          <w:color w:val="000000"/>
          <w:szCs w:val="18"/>
        </w:rPr>
        <w:t>Values in tables may not reconcile exactly with the sum of more detailed level results or previously reported results due to rounding.</w:t>
      </w:r>
    </w:p>
    <w:p w:rsidR="000C1E59" w:rsidRPr="00B75B77" w:rsidRDefault="000C1E59" w:rsidP="00F94CBE">
      <w:pPr>
        <w:pStyle w:val="Source"/>
        <w:rPr>
          <w:rStyle w:val="Strong"/>
          <w:b w:val="0"/>
          <w:bCs w:val="0"/>
        </w:rPr>
      </w:pPr>
      <w:r w:rsidRPr="00B75B77">
        <w:rPr>
          <w:rStyle w:val="Strong"/>
          <w:b w:val="0"/>
          <w:bCs w:val="0"/>
        </w:rPr>
        <w:t>Source: Navigant analysis</w:t>
      </w:r>
    </w:p>
    <w:p w:rsidR="00BF5BFA" w:rsidRPr="00B75B77" w:rsidRDefault="00BF5BFA" w:rsidP="00BF5BFA">
      <w:r w:rsidRPr="00B75B77">
        <w:t xml:space="preserve">PECO achieved an overall net-to-gross ratio for Phase II of roughly 0.7 indicating that PECO has directly influenced a little over two-thirds of participants to install a more energy efficient product than they otherwise would have without PECO’s programs. </w:t>
      </w:r>
      <w:r w:rsidR="000C1E59" w:rsidRPr="00B75B77">
        <w:fldChar w:fldCharType="begin"/>
      </w:r>
      <w:r w:rsidR="000C1E59" w:rsidRPr="00B75B77">
        <w:instrText xml:space="preserve"> REF _Ref464562553 \h </w:instrText>
      </w:r>
      <w:r w:rsidR="00B75B77">
        <w:instrText xml:space="preserve"> \* MERGEFORMAT </w:instrText>
      </w:r>
      <w:r w:rsidR="000C1E59" w:rsidRPr="00B75B77">
        <w:fldChar w:fldCharType="separate"/>
      </w:r>
      <w:r w:rsidR="0004016D" w:rsidRPr="00B75B77">
        <w:t xml:space="preserve">Table </w:t>
      </w:r>
      <w:r w:rsidR="0004016D">
        <w:rPr>
          <w:noProof/>
        </w:rPr>
        <w:t>1</w:t>
      </w:r>
      <w:r w:rsidR="0004016D" w:rsidRPr="00B75B77">
        <w:rPr>
          <w:noProof/>
        </w:rPr>
        <w:noBreakHyphen/>
      </w:r>
      <w:r w:rsidR="0004016D">
        <w:rPr>
          <w:noProof/>
        </w:rPr>
        <w:t>4</w:t>
      </w:r>
      <w:r w:rsidR="000C1E59" w:rsidRPr="00B75B77">
        <w:fldChar w:fldCharType="end"/>
      </w:r>
      <w:r w:rsidR="000C1E59" w:rsidRPr="00B75B77">
        <w:t xml:space="preserve"> summarizes PECO’s PY7 and Phase II verified net first year energy savings and lifetime energy savings. </w:t>
      </w:r>
      <w:r w:rsidRPr="00B75B77">
        <w:t xml:space="preserve">Additional detail on net savings can be found in Section </w:t>
      </w:r>
      <w:r w:rsidR="00784EED" w:rsidRPr="00B75B77">
        <w:fldChar w:fldCharType="begin"/>
      </w:r>
      <w:r w:rsidR="00784EED" w:rsidRPr="00B75B77">
        <w:instrText xml:space="preserve"> REF _Ref464577091 \r \h </w:instrText>
      </w:r>
      <w:r w:rsidR="00B75B77">
        <w:instrText xml:space="preserve"> \* MERGEFORMAT </w:instrText>
      </w:r>
      <w:r w:rsidR="00784EED" w:rsidRPr="00B75B77">
        <w:fldChar w:fldCharType="separate"/>
      </w:r>
      <w:r w:rsidR="0004016D">
        <w:t>1.5</w:t>
      </w:r>
      <w:r w:rsidR="00784EED" w:rsidRPr="00B75B77">
        <w:fldChar w:fldCharType="end"/>
      </w:r>
      <w:r w:rsidR="00784EED" w:rsidRPr="00B75B77">
        <w:t xml:space="preserve"> </w:t>
      </w:r>
      <w:r w:rsidRPr="00B75B77">
        <w:t>of this report.</w:t>
      </w:r>
    </w:p>
    <w:p w:rsidR="000C1E59" w:rsidRPr="00B75B77" w:rsidRDefault="000C1E59" w:rsidP="0089385E">
      <w:pPr>
        <w:keepNext/>
      </w:pPr>
    </w:p>
    <w:p w:rsidR="000C1E59" w:rsidRPr="00B75B77" w:rsidRDefault="000C1E59" w:rsidP="0089385E">
      <w:pPr>
        <w:keepNext/>
      </w:pPr>
    </w:p>
    <w:p w:rsidR="000C1E59" w:rsidRPr="00B75B77" w:rsidRDefault="000C1E59" w:rsidP="0089385E">
      <w:pPr>
        <w:pStyle w:val="Caption"/>
        <w:rPr>
          <w:rFonts w:ascii="Calibri" w:hAnsi="Calibri"/>
        </w:rPr>
      </w:pPr>
      <w:bookmarkStart w:id="53" w:name="_Ref464562553"/>
      <w:bookmarkStart w:id="54" w:name="_Toc453075275"/>
      <w:bookmarkStart w:id="55" w:name="_Toc466413486"/>
      <w:r w:rsidRPr="00B75B77">
        <w:t xml:space="preserve">Table </w:t>
      </w:r>
      <w:fldSimple w:instr=" STYLEREF 1 \s ">
        <w:r w:rsidR="0004016D">
          <w:rPr>
            <w:noProof/>
          </w:rPr>
          <w:t>1</w:t>
        </w:r>
      </w:fldSimple>
      <w:r w:rsidR="00F1144C" w:rsidRPr="00B75B77">
        <w:noBreakHyphen/>
      </w:r>
      <w:fldSimple w:instr=" SEQ Table \* ARABIC \s 1 ">
        <w:r w:rsidR="0004016D">
          <w:rPr>
            <w:noProof/>
          </w:rPr>
          <w:t>4</w:t>
        </w:r>
      </w:fldSimple>
      <w:bookmarkEnd w:id="53"/>
      <w:r w:rsidRPr="00B75B77">
        <w:t>: Phase II Verified Net First-Year and Lifetime Savings</w:t>
      </w:r>
      <w:bookmarkEnd w:id="54"/>
      <w:bookmarkEnd w:id="55"/>
      <w:r w:rsidRPr="00B75B77">
        <w:t xml:space="preserve"> </w:t>
      </w:r>
    </w:p>
    <w:tbl>
      <w:tblPr>
        <w:tblW w:w="8905" w:type="dxa"/>
        <w:tblLook w:val="04A0" w:firstRow="1" w:lastRow="0" w:firstColumn="1" w:lastColumn="0" w:noHBand="0" w:noVBand="1"/>
      </w:tblPr>
      <w:tblGrid>
        <w:gridCol w:w="2515"/>
        <w:gridCol w:w="1530"/>
        <w:gridCol w:w="1980"/>
        <w:gridCol w:w="1440"/>
        <w:gridCol w:w="1440"/>
      </w:tblGrid>
      <w:tr w:rsidR="000C1E59" w:rsidRPr="00B75B77" w:rsidTr="00515B43">
        <w:trPr>
          <w:divId w:val="1786583472"/>
          <w:trHeight w:val="480"/>
        </w:trPr>
        <w:tc>
          <w:tcPr>
            <w:tcW w:w="2515" w:type="dxa"/>
            <w:tcBorders>
              <w:top w:val="single" w:sz="4" w:space="0" w:color="auto"/>
              <w:left w:val="single" w:sz="4" w:space="0" w:color="auto"/>
              <w:bottom w:val="single" w:sz="4" w:space="0" w:color="auto"/>
              <w:right w:val="single" w:sz="4" w:space="0" w:color="auto"/>
            </w:tcBorders>
            <w:shd w:val="clear" w:color="000000" w:fill="448A99"/>
            <w:vAlign w:val="center"/>
            <w:hideMark/>
          </w:tcPr>
          <w:p w:rsidR="000C1E59" w:rsidRPr="00B75B77" w:rsidRDefault="000C1E59" w:rsidP="0089385E">
            <w:pPr>
              <w:keepNext/>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Sector </w:t>
            </w:r>
            <w:r w:rsidRPr="00B75B77">
              <w:rPr>
                <w:rFonts w:ascii="Calibri" w:eastAsia="Times New Roman" w:hAnsi="Calibri"/>
                <w:b/>
                <w:bCs/>
                <w:color w:val="FFFFFF" w:themeColor="background1"/>
                <w:sz w:val="18"/>
                <w:szCs w:val="18"/>
                <w:vertAlign w:val="superscript"/>
              </w:rPr>
              <w:t>[1]</w:t>
            </w:r>
          </w:p>
        </w:tc>
        <w:tc>
          <w:tcPr>
            <w:tcW w:w="1530"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89385E">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PYTD Verified Net Savings (MWh/year)</w:t>
            </w:r>
          </w:p>
        </w:tc>
        <w:tc>
          <w:tcPr>
            <w:tcW w:w="1980"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89385E">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Phase II Verified Net Savings (Cumulative Phase II MWh/</w:t>
            </w:r>
            <w:proofErr w:type="spellStart"/>
            <w:r w:rsidRPr="00B75B77">
              <w:rPr>
                <w:rFonts w:ascii="Calibri" w:eastAsia="Times New Roman" w:hAnsi="Calibri"/>
                <w:b/>
                <w:bCs/>
                <w:color w:val="FFFFFF"/>
                <w:sz w:val="18"/>
                <w:szCs w:val="18"/>
              </w:rPr>
              <w:t>Yr</w:t>
            </w:r>
            <w:proofErr w:type="spellEnd"/>
            <w:r w:rsidRPr="00B75B77">
              <w:rPr>
                <w:rFonts w:ascii="Calibri" w:eastAsia="Times New Roman" w:hAnsi="Calibri"/>
                <w:b/>
                <w:bCs/>
                <w:color w:val="FFFFFF"/>
                <w:sz w:val="18"/>
                <w:szCs w:val="18"/>
              </w:rPr>
              <w:t>)</w:t>
            </w:r>
          </w:p>
        </w:tc>
        <w:tc>
          <w:tcPr>
            <w:tcW w:w="1440"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89385E">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PYTD Verified Net Savings (Lifetime MWh)</w:t>
            </w:r>
          </w:p>
        </w:tc>
        <w:tc>
          <w:tcPr>
            <w:tcW w:w="1440"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89385E">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Phase II Verified Net Savings (Lifetime MWh)</w:t>
            </w:r>
          </w:p>
        </w:tc>
      </w:tr>
    </w:tbl>
    <w:tbl>
      <w:tblPr>
        <w:tblW w:w="8905" w:type="dxa"/>
        <w:tblLayout w:type="fixed"/>
        <w:tblLook w:val="04A0" w:firstRow="1" w:lastRow="0" w:firstColumn="1" w:lastColumn="0" w:noHBand="0" w:noVBand="1"/>
      </w:tblPr>
      <w:tblGrid>
        <w:gridCol w:w="2515"/>
        <w:gridCol w:w="1530"/>
        <w:gridCol w:w="1980"/>
        <w:gridCol w:w="1440"/>
        <w:gridCol w:w="1440"/>
      </w:tblGrid>
      <w:tr w:rsidR="000C1E59" w:rsidRPr="00B75B77" w:rsidTr="00515B43">
        <w:trPr>
          <w:trHeight w:val="480"/>
        </w:trPr>
        <w:tc>
          <w:tcPr>
            <w:tcW w:w="2515"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89385E">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Residential (Non-Low-Income)</w:t>
            </w:r>
          </w:p>
        </w:tc>
        <w:tc>
          <w:tcPr>
            <w:tcW w:w="153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89385E">
            <w:pPr>
              <w:keepNext/>
              <w:jc w:val="center"/>
              <w:rPr>
                <w:rFonts w:ascii="Calibri" w:eastAsia="Times New Roman" w:hAnsi="Calibri"/>
                <w:color w:val="000000"/>
                <w:sz w:val="18"/>
                <w:szCs w:val="18"/>
              </w:rPr>
            </w:pPr>
            <w:r w:rsidRPr="00B75B77">
              <w:rPr>
                <w:sz w:val="18"/>
                <w:szCs w:val="18"/>
              </w:rPr>
              <w:t>14</w:t>
            </w:r>
            <w:r w:rsidR="0070131C" w:rsidRPr="00B75B77">
              <w:rPr>
                <w:sz w:val="18"/>
                <w:szCs w:val="18"/>
              </w:rPr>
              <w:t>7,072</w:t>
            </w:r>
          </w:p>
        </w:tc>
        <w:tc>
          <w:tcPr>
            <w:tcW w:w="198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89385E">
            <w:pPr>
              <w:keepNext/>
              <w:jc w:val="center"/>
              <w:rPr>
                <w:rFonts w:ascii="Calibri" w:eastAsia="Times New Roman" w:hAnsi="Calibri"/>
                <w:color w:val="000000"/>
                <w:sz w:val="18"/>
                <w:szCs w:val="18"/>
              </w:rPr>
            </w:pPr>
            <w:r w:rsidRPr="00B75B77">
              <w:rPr>
                <w:sz w:val="18"/>
                <w:szCs w:val="18"/>
              </w:rPr>
              <w:t>2</w:t>
            </w:r>
            <w:r w:rsidR="0070131C" w:rsidRPr="00B75B77">
              <w:rPr>
                <w:sz w:val="18"/>
                <w:szCs w:val="18"/>
              </w:rPr>
              <w:t>40,469</w:t>
            </w:r>
          </w:p>
        </w:tc>
        <w:tc>
          <w:tcPr>
            <w:tcW w:w="144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89385E">
            <w:pPr>
              <w:keepNext/>
              <w:jc w:val="center"/>
              <w:rPr>
                <w:rFonts w:ascii="Calibri" w:eastAsia="Times New Roman" w:hAnsi="Calibri"/>
                <w:color w:val="000000"/>
                <w:sz w:val="18"/>
                <w:szCs w:val="18"/>
              </w:rPr>
            </w:pPr>
            <w:r w:rsidRPr="00B75B77">
              <w:rPr>
                <w:sz w:val="18"/>
                <w:szCs w:val="18"/>
              </w:rPr>
              <w:t>1,21</w:t>
            </w:r>
            <w:r w:rsidR="0070131C" w:rsidRPr="00B75B77">
              <w:rPr>
                <w:sz w:val="18"/>
                <w:szCs w:val="18"/>
              </w:rPr>
              <w:t>8,187</w:t>
            </w:r>
          </w:p>
        </w:tc>
        <w:tc>
          <w:tcPr>
            <w:tcW w:w="144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E47CBB">
            <w:pPr>
              <w:keepNext/>
              <w:jc w:val="center"/>
              <w:rPr>
                <w:rFonts w:ascii="Calibri" w:eastAsia="Times New Roman" w:hAnsi="Calibri"/>
                <w:color w:val="000000"/>
                <w:sz w:val="18"/>
                <w:szCs w:val="18"/>
              </w:rPr>
            </w:pPr>
            <w:r w:rsidRPr="00B75B77">
              <w:rPr>
                <w:sz w:val="18"/>
                <w:szCs w:val="18"/>
              </w:rPr>
              <w:t>2,20</w:t>
            </w:r>
            <w:r w:rsidR="0070131C" w:rsidRPr="00B75B77">
              <w:rPr>
                <w:sz w:val="18"/>
                <w:szCs w:val="18"/>
              </w:rPr>
              <w:t>7,728</w:t>
            </w:r>
          </w:p>
        </w:tc>
      </w:tr>
      <w:tr w:rsidR="000C1E59" w:rsidRPr="00B75B77" w:rsidTr="00515B43">
        <w:trPr>
          <w:trHeight w:val="288"/>
        </w:trPr>
        <w:tc>
          <w:tcPr>
            <w:tcW w:w="2515"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89385E">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Residential (Low-Income)</w:t>
            </w:r>
            <w:r w:rsidRPr="00B75B77">
              <w:rPr>
                <w:rFonts w:ascii="Calibri" w:eastAsia="Times New Roman" w:hAnsi="Calibri"/>
                <w:b/>
                <w:bCs/>
                <w:sz w:val="18"/>
                <w:szCs w:val="18"/>
              </w:rPr>
              <w:t xml:space="preserve"> </w:t>
            </w:r>
            <w:r w:rsidRPr="00B75B77">
              <w:rPr>
                <w:rFonts w:ascii="Calibri" w:eastAsia="Times New Roman" w:hAnsi="Calibri"/>
                <w:b/>
                <w:bCs/>
                <w:sz w:val="18"/>
                <w:szCs w:val="18"/>
                <w:vertAlign w:val="superscript"/>
              </w:rPr>
              <w:t>[2]</w:t>
            </w:r>
          </w:p>
        </w:tc>
        <w:tc>
          <w:tcPr>
            <w:tcW w:w="1530" w:type="dxa"/>
            <w:tcBorders>
              <w:top w:val="nil"/>
              <w:left w:val="nil"/>
              <w:bottom w:val="single" w:sz="4" w:space="0" w:color="448A99"/>
              <w:right w:val="single" w:sz="4" w:space="0" w:color="448A99"/>
            </w:tcBorders>
            <w:shd w:val="clear" w:color="000000" w:fill="FFFFFF"/>
            <w:vAlign w:val="center"/>
            <w:hideMark/>
          </w:tcPr>
          <w:p w:rsidR="000C1E59" w:rsidRPr="00B75B77" w:rsidRDefault="00CE2D3D" w:rsidP="0089385E">
            <w:pPr>
              <w:keepNext/>
              <w:jc w:val="center"/>
              <w:rPr>
                <w:rFonts w:ascii="Calibri" w:eastAsia="Times New Roman" w:hAnsi="Calibri"/>
                <w:color w:val="000000"/>
                <w:sz w:val="18"/>
                <w:szCs w:val="18"/>
              </w:rPr>
            </w:pPr>
            <w:r w:rsidRPr="00B75B77">
              <w:rPr>
                <w:sz w:val="18"/>
                <w:szCs w:val="18"/>
              </w:rPr>
              <w:t>14,</w:t>
            </w:r>
            <w:r w:rsidR="00E47CBB" w:rsidRPr="00B75B77">
              <w:rPr>
                <w:sz w:val="18"/>
                <w:szCs w:val="18"/>
              </w:rPr>
              <w:t>033</w:t>
            </w:r>
          </w:p>
        </w:tc>
        <w:tc>
          <w:tcPr>
            <w:tcW w:w="1980" w:type="dxa"/>
            <w:tcBorders>
              <w:top w:val="nil"/>
              <w:left w:val="nil"/>
              <w:bottom w:val="single" w:sz="4" w:space="0" w:color="448A99"/>
              <w:right w:val="single" w:sz="4" w:space="0" w:color="448A99"/>
            </w:tcBorders>
            <w:shd w:val="clear" w:color="000000" w:fill="FFFFFF"/>
            <w:vAlign w:val="center"/>
            <w:hideMark/>
          </w:tcPr>
          <w:p w:rsidR="000C1E59" w:rsidRPr="00B75B77" w:rsidRDefault="00CE2D3D" w:rsidP="00E47CBB">
            <w:pPr>
              <w:keepNext/>
              <w:jc w:val="center"/>
              <w:rPr>
                <w:rFonts w:ascii="Calibri" w:eastAsia="Times New Roman" w:hAnsi="Calibri"/>
                <w:color w:val="000000"/>
                <w:sz w:val="18"/>
                <w:szCs w:val="18"/>
              </w:rPr>
            </w:pPr>
            <w:r w:rsidRPr="00B75B77">
              <w:rPr>
                <w:sz w:val="18"/>
                <w:szCs w:val="18"/>
              </w:rPr>
              <w:t>5</w:t>
            </w:r>
            <w:r w:rsidR="00E47CBB" w:rsidRPr="00B75B77">
              <w:rPr>
                <w:sz w:val="18"/>
                <w:szCs w:val="18"/>
              </w:rPr>
              <w:t>8,431</w:t>
            </w:r>
          </w:p>
        </w:tc>
        <w:tc>
          <w:tcPr>
            <w:tcW w:w="1440" w:type="dxa"/>
            <w:tcBorders>
              <w:top w:val="nil"/>
              <w:left w:val="nil"/>
              <w:bottom w:val="single" w:sz="4" w:space="0" w:color="448A99"/>
              <w:right w:val="single" w:sz="4" w:space="0" w:color="448A99"/>
            </w:tcBorders>
            <w:shd w:val="clear" w:color="000000" w:fill="FFFFFF"/>
            <w:vAlign w:val="center"/>
            <w:hideMark/>
          </w:tcPr>
          <w:p w:rsidR="000C1E59" w:rsidRPr="00B75B77" w:rsidRDefault="00CE2D3D" w:rsidP="0089385E">
            <w:pPr>
              <w:keepNext/>
              <w:jc w:val="center"/>
              <w:rPr>
                <w:rFonts w:ascii="Calibri" w:eastAsia="Times New Roman" w:hAnsi="Calibri"/>
                <w:color w:val="000000"/>
                <w:sz w:val="18"/>
                <w:szCs w:val="18"/>
              </w:rPr>
            </w:pPr>
            <w:r w:rsidRPr="00B75B77">
              <w:rPr>
                <w:sz w:val="18"/>
                <w:szCs w:val="18"/>
              </w:rPr>
              <w:t>9</w:t>
            </w:r>
            <w:r w:rsidR="00E47CBB" w:rsidRPr="00B75B77">
              <w:rPr>
                <w:sz w:val="18"/>
                <w:szCs w:val="18"/>
              </w:rPr>
              <w:t>0,319</w:t>
            </w:r>
          </w:p>
        </w:tc>
        <w:tc>
          <w:tcPr>
            <w:tcW w:w="144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89385E">
            <w:pPr>
              <w:keepNext/>
              <w:jc w:val="center"/>
              <w:rPr>
                <w:rFonts w:ascii="Calibri" w:eastAsia="Times New Roman" w:hAnsi="Calibri"/>
                <w:color w:val="000000"/>
                <w:sz w:val="18"/>
                <w:szCs w:val="18"/>
              </w:rPr>
            </w:pPr>
            <w:r w:rsidRPr="00B75B77">
              <w:rPr>
                <w:sz w:val="18"/>
                <w:szCs w:val="18"/>
              </w:rPr>
              <w:t>3</w:t>
            </w:r>
            <w:r w:rsidR="00E47CBB" w:rsidRPr="00B75B77">
              <w:rPr>
                <w:sz w:val="18"/>
                <w:szCs w:val="18"/>
              </w:rPr>
              <w:t>26,806</w:t>
            </w:r>
          </w:p>
        </w:tc>
      </w:tr>
      <w:tr w:rsidR="000C1E59" w:rsidRPr="00B75B77" w:rsidTr="00515B43">
        <w:trPr>
          <w:trHeight w:val="480"/>
        </w:trPr>
        <w:tc>
          <w:tcPr>
            <w:tcW w:w="2515"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89385E">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Total Residential (Non-Low-Income plus Low-Income)</w:t>
            </w:r>
          </w:p>
        </w:tc>
        <w:tc>
          <w:tcPr>
            <w:tcW w:w="1530" w:type="dxa"/>
            <w:tcBorders>
              <w:top w:val="nil"/>
              <w:left w:val="nil"/>
              <w:bottom w:val="single" w:sz="4" w:space="0" w:color="448A99"/>
              <w:right w:val="single" w:sz="4" w:space="0" w:color="448A99"/>
            </w:tcBorders>
            <w:shd w:val="clear" w:color="000000" w:fill="D2EAF1"/>
            <w:vAlign w:val="center"/>
            <w:hideMark/>
          </w:tcPr>
          <w:p w:rsidR="000C1E59" w:rsidRPr="00B75B77" w:rsidRDefault="00CE2D3D" w:rsidP="0089385E">
            <w:pPr>
              <w:keepNext/>
              <w:jc w:val="center"/>
              <w:rPr>
                <w:rFonts w:ascii="Calibri" w:eastAsia="Times New Roman" w:hAnsi="Calibri"/>
                <w:color w:val="000000"/>
                <w:sz w:val="18"/>
                <w:szCs w:val="18"/>
              </w:rPr>
            </w:pPr>
            <w:r w:rsidRPr="00B75B77">
              <w:rPr>
                <w:sz w:val="18"/>
                <w:szCs w:val="18"/>
              </w:rPr>
              <w:t>161,1</w:t>
            </w:r>
            <w:r w:rsidR="0070131C" w:rsidRPr="00B75B77">
              <w:rPr>
                <w:sz w:val="18"/>
                <w:szCs w:val="18"/>
              </w:rPr>
              <w:t>06</w:t>
            </w:r>
          </w:p>
        </w:tc>
        <w:tc>
          <w:tcPr>
            <w:tcW w:w="1980" w:type="dxa"/>
            <w:tcBorders>
              <w:top w:val="nil"/>
              <w:left w:val="nil"/>
              <w:bottom w:val="single" w:sz="4" w:space="0" w:color="448A99"/>
              <w:right w:val="single" w:sz="4" w:space="0" w:color="448A99"/>
            </w:tcBorders>
            <w:shd w:val="clear" w:color="000000" w:fill="D2EAF1"/>
            <w:vAlign w:val="center"/>
            <w:hideMark/>
          </w:tcPr>
          <w:p w:rsidR="000C1E59" w:rsidRPr="00B75B77" w:rsidRDefault="00CE2D3D" w:rsidP="0089385E">
            <w:pPr>
              <w:keepNext/>
              <w:jc w:val="center"/>
              <w:rPr>
                <w:rFonts w:ascii="Calibri" w:eastAsia="Times New Roman" w:hAnsi="Calibri"/>
                <w:color w:val="000000"/>
                <w:sz w:val="18"/>
                <w:szCs w:val="18"/>
              </w:rPr>
            </w:pPr>
            <w:r w:rsidRPr="00B75B77">
              <w:rPr>
                <w:sz w:val="18"/>
                <w:szCs w:val="18"/>
              </w:rPr>
              <w:t>298,</w:t>
            </w:r>
            <w:r w:rsidR="0070131C" w:rsidRPr="00B75B77">
              <w:rPr>
                <w:sz w:val="18"/>
                <w:szCs w:val="18"/>
              </w:rPr>
              <w:t>899</w:t>
            </w:r>
          </w:p>
        </w:tc>
        <w:tc>
          <w:tcPr>
            <w:tcW w:w="144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70131C">
            <w:pPr>
              <w:keepNext/>
              <w:jc w:val="center"/>
              <w:rPr>
                <w:rFonts w:ascii="Calibri" w:eastAsia="Times New Roman" w:hAnsi="Calibri"/>
                <w:color w:val="000000"/>
                <w:sz w:val="18"/>
                <w:szCs w:val="18"/>
              </w:rPr>
            </w:pPr>
            <w:r w:rsidRPr="00B75B77">
              <w:rPr>
                <w:sz w:val="18"/>
                <w:szCs w:val="18"/>
              </w:rPr>
              <w:t>1</w:t>
            </w:r>
            <w:r w:rsidR="00CE2D3D" w:rsidRPr="00B75B77">
              <w:rPr>
                <w:sz w:val="18"/>
                <w:szCs w:val="18"/>
              </w:rPr>
              <w:t>,30</w:t>
            </w:r>
            <w:r w:rsidR="0070131C" w:rsidRPr="00B75B77">
              <w:rPr>
                <w:sz w:val="18"/>
                <w:szCs w:val="18"/>
              </w:rPr>
              <w:t>8,506</w:t>
            </w:r>
          </w:p>
        </w:tc>
        <w:tc>
          <w:tcPr>
            <w:tcW w:w="1440" w:type="dxa"/>
            <w:tcBorders>
              <w:top w:val="nil"/>
              <w:left w:val="nil"/>
              <w:bottom w:val="single" w:sz="4" w:space="0" w:color="448A99"/>
              <w:right w:val="single" w:sz="4" w:space="0" w:color="448A99"/>
            </w:tcBorders>
            <w:shd w:val="clear" w:color="000000" w:fill="D2EAF1"/>
            <w:vAlign w:val="center"/>
            <w:hideMark/>
          </w:tcPr>
          <w:p w:rsidR="000C1E59" w:rsidRPr="00B75B77" w:rsidRDefault="00CE2D3D" w:rsidP="0089385E">
            <w:pPr>
              <w:keepNext/>
              <w:jc w:val="center"/>
              <w:rPr>
                <w:rFonts w:ascii="Calibri" w:eastAsia="Times New Roman" w:hAnsi="Calibri"/>
                <w:color w:val="000000"/>
                <w:sz w:val="18"/>
                <w:szCs w:val="18"/>
              </w:rPr>
            </w:pPr>
            <w:r w:rsidRPr="00B75B77">
              <w:rPr>
                <w:sz w:val="18"/>
                <w:szCs w:val="18"/>
              </w:rPr>
              <w:t>2,53</w:t>
            </w:r>
            <w:r w:rsidR="0070131C" w:rsidRPr="00B75B77">
              <w:rPr>
                <w:sz w:val="18"/>
                <w:szCs w:val="18"/>
              </w:rPr>
              <w:t>4,534</w:t>
            </w:r>
          </w:p>
        </w:tc>
      </w:tr>
      <w:tr w:rsidR="000C1E59" w:rsidRPr="00B75B77" w:rsidTr="00515B43">
        <w:trPr>
          <w:trHeight w:val="288"/>
        </w:trPr>
        <w:tc>
          <w:tcPr>
            <w:tcW w:w="2515"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89385E">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C</w:t>
            </w:r>
            <w:r w:rsidR="0054073E" w:rsidRPr="00B75B77">
              <w:rPr>
                <w:rFonts w:ascii="Calibri" w:eastAsia="Times New Roman" w:hAnsi="Calibri"/>
                <w:color w:val="000000"/>
                <w:sz w:val="18"/>
                <w:szCs w:val="18"/>
              </w:rPr>
              <w:t>&amp;I</w:t>
            </w:r>
          </w:p>
        </w:tc>
        <w:tc>
          <w:tcPr>
            <w:tcW w:w="153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89385E">
            <w:pPr>
              <w:keepNext/>
              <w:jc w:val="center"/>
              <w:rPr>
                <w:rFonts w:ascii="Calibri" w:eastAsia="Times New Roman" w:hAnsi="Calibri"/>
                <w:color w:val="000000"/>
                <w:sz w:val="18"/>
                <w:szCs w:val="18"/>
              </w:rPr>
            </w:pPr>
            <w:r w:rsidRPr="00B75B77">
              <w:rPr>
                <w:sz w:val="18"/>
                <w:szCs w:val="18"/>
              </w:rPr>
              <w:t>9</w:t>
            </w:r>
            <w:r w:rsidR="007B3F6F" w:rsidRPr="00B75B77">
              <w:rPr>
                <w:sz w:val="18"/>
                <w:szCs w:val="18"/>
              </w:rPr>
              <w:t>9,321</w:t>
            </w:r>
          </w:p>
        </w:tc>
        <w:tc>
          <w:tcPr>
            <w:tcW w:w="1980" w:type="dxa"/>
            <w:tcBorders>
              <w:top w:val="nil"/>
              <w:left w:val="nil"/>
              <w:bottom w:val="single" w:sz="4" w:space="0" w:color="448A99"/>
              <w:right w:val="single" w:sz="4" w:space="0" w:color="448A99"/>
            </w:tcBorders>
            <w:shd w:val="clear" w:color="000000" w:fill="FFFFFF"/>
            <w:vAlign w:val="center"/>
            <w:hideMark/>
          </w:tcPr>
          <w:p w:rsidR="000C1E59" w:rsidRPr="00B75B77" w:rsidRDefault="007B3F6F" w:rsidP="0089385E">
            <w:pPr>
              <w:keepNext/>
              <w:jc w:val="center"/>
              <w:rPr>
                <w:rFonts w:ascii="Calibri" w:eastAsia="Times New Roman" w:hAnsi="Calibri"/>
                <w:color w:val="000000"/>
                <w:sz w:val="18"/>
                <w:szCs w:val="18"/>
              </w:rPr>
            </w:pPr>
            <w:r w:rsidRPr="00B75B77">
              <w:rPr>
                <w:sz w:val="18"/>
                <w:szCs w:val="18"/>
              </w:rPr>
              <w:t>301,597</w:t>
            </w:r>
          </w:p>
        </w:tc>
        <w:tc>
          <w:tcPr>
            <w:tcW w:w="144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89385E">
            <w:pPr>
              <w:keepNext/>
              <w:jc w:val="center"/>
              <w:rPr>
                <w:rFonts w:ascii="Calibri" w:eastAsia="Times New Roman" w:hAnsi="Calibri"/>
                <w:color w:val="000000"/>
                <w:sz w:val="18"/>
                <w:szCs w:val="18"/>
              </w:rPr>
            </w:pPr>
            <w:r w:rsidRPr="00B75B77">
              <w:rPr>
                <w:sz w:val="18"/>
                <w:szCs w:val="18"/>
              </w:rPr>
              <w:t>1,3</w:t>
            </w:r>
            <w:r w:rsidR="007B3F6F" w:rsidRPr="00B75B77">
              <w:rPr>
                <w:sz w:val="18"/>
                <w:szCs w:val="18"/>
              </w:rPr>
              <w:t>54,445</w:t>
            </w:r>
          </w:p>
        </w:tc>
        <w:tc>
          <w:tcPr>
            <w:tcW w:w="144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7B3F6F">
            <w:pPr>
              <w:keepNext/>
              <w:jc w:val="center"/>
              <w:rPr>
                <w:rFonts w:ascii="Calibri" w:eastAsia="Times New Roman" w:hAnsi="Calibri"/>
                <w:color w:val="000000"/>
                <w:sz w:val="18"/>
                <w:szCs w:val="18"/>
              </w:rPr>
            </w:pPr>
            <w:r w:rsidRPr="00B75B77">
              <w:rPr>
                <w:sz w:val="18"/>
                <w:szCs w:val="18"/>
              </w:rPr>
              <w:t>3,0</w:t>
            </w:r>
            <w:r w:rsidR="007B3F6F" w:rsidRPr="00B75B77">
              <w:rPr>
                <w:sz w:val="18"/>
                <w:szCs w:val="18"/>
              </w:rPr>
              <w:t>63,691</w:t>
            </w:r>
          </w:p>
        </w:tc>
      </w:tr>
      <w:tr w:rsidR="000C1E59" w:rsidRPr="00B75B77" w:rsidTr="00515B43">
        <w:trPr>
          <w:trHeight w:val="288"/>
        </w:trPr>
        <w:tc>
          <w:tcPr>
            <w:tcW w:w="2515"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89385E">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GNI</w:t>
            </w:r>
          </w:p>
        </w:tc>
        <w:tc>
          <w:tcPr>
            <w:tcW w:w="1530" w:type="dxa"/>
            <w:tcBorders>
              <w:top w:val="nil"/>
              <w:left w:val="nil"/>
              <w:bottom w:val="single" w:sz="4" w:space="0" w:color="448A99"/>
              <w:right w:val="single" w:sz="4" w:space="0" w:color="448A99"/>
            </w:tcBorders>
            <w:shd w:val="clear" w:color="000000" w:fill="D2EAF1"/>
            <w:vAlign w:val="center"/>
            <w:hideMark/>
          </w:tcPr>
          <w:p w:rsidR="000C1E59" w:rsidRPr="00B75B77" w:rsidRDefault="007B3F6F" w:rsidP="0089385E">
            <w:pPr>
              <w:keepNext/>
              <w:jc w:val="center"/>
              <w:rPr>
                <w:rFonts w:ascii="Calibri" w:eastAsia="Times New Roman" w:hAnsi="Calibri"/>
                <w:color w:val="000000"/>
                <w:sz w:val="18"/>
                <w:szCs w:val="18"/>
              </w:rPr>
            </w:pPr>
            <w:r w:rsidRPr="00B75B77">
              <w:rPr>
                <w:sz w:val="18"/>
                <w:szCs w:val="18"/>
              </w:rPr>
              <w:t>64,145</w:t>
            </w:r>
          </w:p>
        </w:tc>
        <w:tc>
          <w:tcPr>
            <w:tcW w:w="198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89385E">
            <w:pPr>
              <w:keepNext/>
              <w:jc w:val="center"/>
              <w:rPr>
                <w:rFonts w:ascii="Calibri" w:eastAsia="Times New Roman" w:hAnsi="Calibri"/>
                <w:color w:val="000000"/>
                <w:sz w:val="18"/>
                <w:szCs w:val="18"/>
              </w:rPr>
            </w:pPr>
            <w:r w:rsidRPr="00B75B77">
              <w:rPr>
                <w:sz w:val="18"/>
                <w:szCs w:val="18"/>
              </w:rPr>
              <w:t>1</w:t>
            </w:r>
            <w:r w:rsidR="007B3F6F" w:rsidRPr="00B75B77">
              <w:rPr>
                <w:sz w:val="18"/>
                <w:szCs w:val="18"/>
              </w:rPr>
              <w:t>43,250</w:t>
            </w:r>
          </w:p>
        </w:tc>
        <w:tc>
          <w:tcPr>
            <w:tcW w:w="1440" w:type="dxa"/>
            <w:tcBorders>
              <w:top w:val="nil"/>
              <w:left w:val="nil"/>
              <w:bottom w:val="single" w:sz="4" w:space="0" w:color="448A99"/>
              <w:right w:val="single" w:sz="4" w:space="0" w:color="448A99"/>
            </w:tcBorders>
            <w:shd w:val="clear" w:color="000000" w:fill="D2EAF1"/>
            <w:vAlign w:val="center"/>
            <w:hideMark/>
          </w:tcPr>
          <w:p w:rsidR="000C1E59" w:rsidRPr="00B75B77" w:rsidRDefault="007B3F6F" w:rsidP="0089385E">
            <w:pPr>
              <w:keepNext/>
              <w:jc w:val="center"/>
              <w:rPr>
                <w:rFonts w:ascii="Calibri" w:eastAsia="Times New Roman" w:hAnsi="Calibri"/>
                <w:color w:val="000000"/>
                <w:sz w:val="18"/>
                <w:szCs w:val="18"/>
              </w:rPr>
            </w:pPr>
            <w:r w:rsidRPr="00B75B77">
              <w:rPr>
                <w:sz w:val="18"/>
                <w:szCs w:val="18"/>
              </w:rPr>
              <w:t>868,627</w:t>
            </w:r>
          </w:p>
        </w:tc>
        <w:tc>
          <w:tcPr>
            <w:tcW w:w="1440" w:type="dxa"/>
            <w:tcBorders>
              <w:top w:val="nil"/>
              <w:left w:val="nil"/>
              <w:bottom w:val="single" w:sz="4" w:space="0" w:color="448A99"/>
              <w:right w:val="single" w:sz="4" w:space="0" w:color="448A99"/>
            </w:tcBorders>
            <w:shd w:val="clear" w:color="000000" w:fill="D2EAF1"/>
            <w:vAlign w:val="center"/>
            <w:hideMark/>
          </w:tcPr>
          <w:p w:rsidR="000C1E59" w:rsidRPr="00B75B77" w:rsidRDefault="007B3F6F" w:rsidP="0089385E">
            <w:pPr>
              <w:keepNext/>
              <w:jc w:val="center"/>
              <w:rPr>
                <w:rFonts w:ascii="Calibri" w:eastAsia="Times New Roman" w:hAnsi="Calibri"/>
                <w:color w:val="000000"/>
                <w:sz w:val="18"/>
                <w:szCs w:val="18"/>
              </w:rPr>
            </w:pPr>
            <w:r w:rsidRPr="00B75B77">
              <w:rPr>
                <w:sz w:val="18"/>
                <w:szCs w:val="18"/>
              </w:rPr>
              <w:t>1,877,204</w:t>
            </w:r>
          </w:p>
        </w:tc>
      </w:tr>
      <w:tr w:rsidR="000C1E59" w:rsidRPr="00B75B77" w:rsidTr="00515B43">
        <w:trPr>
          <w:trHeight w:val="288"/>
        </w:trPr>
        <w:tc>
          <w:tcPr>
            <w:tcW w:w="2515"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89385E">
            <w:pPr>
              <w:keepNext/>
              <w:jc w:val="left"/>
              <w:rPr>
                <w:rFonts w:ascii="Calibri" w:eastAsia="Times New Roman" w:hAnsi="Calibri"/>
                <w:b/>
                <w:bCs/>
                <w:color w:val="000000"/>
                <w:sz w:val="18"/>
                <w:szCs w:val="18"/>
              </w:rPr>
            </w:pPr>
            <w:r w:rsidRPr="00B75B77">
              <w:rPr>
                <w:rFonts w:ascii="Calibri" w:eastAsia="Times New Roman" w:hAnsi="Calibri"/>
                <w:b/>
                <w:bCs/>
                <w:color w:val="000000"/>
                <w:sz w:val="18"/>
                <w:szCs w:val="18"/>
              </w:rPr>
              <w:t xml:space="preserve">TOTAL </w:t>
            </w:r>
          </w:p>
        </w:tc>
        <w:tc>
          <w:tcPr>
            <w:tcW w:w="1530" w:type="dxa"/>
            <w:tcBorders>
              <w:top w:val="nil"/>
              <w:left w:val="nil"/>
              <w:bottom w:val="single" w:sz="4" w:space="0" w:color="448A99"/>
              <w:right w:val="single" w:sz="4" w:space="0" w:color="448A99"/>
            </w:tcBorders>
            <w:shd w:val="clear" w:color="000000" w:fill="FFFFFF"/>
            <w:vAlign w:val="center"/>
            <w:hideMark/>
          </w:tcPr>
          <w:p w:rsidR="000C1E59" w:rsidRPr="00B75B77" w:rsidRDefault="00CE2D3D" w:rsidP="00E47CBB">
            <w:pPr>
              <w:keepNext/>
              <w:jc w:val="center"/>
              <w:rPr>
                <w:rFonts w:ascii="Calibri" w:eastAsia="Times New Roman" w:hAnsi="Calibri"/>
                <w:b/>
                <w:bCs/>
                <w:color w:val="000000"/>
                <w:sz w:val="18"/>
                <w:szCs w:val="18"/>
              </w:rPr>
            </w:pPr>
            <w:r w:rsidRPr="00B75B77">
              <w:rPr>
                <w:b/>
                <w:sz w:val="18"/>
                <w:szCs w:val="18"/>
              </w:rPr>
              <w:t>3</w:t>
            </w:r>
            <w:r w:rsidR="0070131C" w:rsidRPr="00B75B77">
              <w:rPr>
                <w:b/>
                <w:sz w:val="18"/>
                <w:szCs w:val="18"/>
              </w:rPr>
              <w:t>24,572</w:t>
            </w:r>
          </w:p>
        </w:tc>
        <w:tc>
          <w:tcPr>
            <w:tcW w:w="1980" w:type="dxa"/>
            <w:tcBorders>
              <w:top w:val="nil"/>
              <w:left w:val="nil"/>
              <w:bottom w:val="single" w:sz="4" w:space="0" w:color="448A99"/>
              <w:right w:val="single" w:sz="4" w:space="0" w:color="448A99"/>
            </w:tcBorders>
            <w:shd w:val="clear" w:color="000000" w:fill="FFFFFF"/>
            <w:vAlign w:val="center"/>
            <w:hideMark/>
          </w:tcPr>
          <w:p w:rsidR="000C1E59" w:rsidRPr="00B75B77" w:rsidRDefault="00CE2D3D" w:rsidP="00E47CBB">
            <w:pPr>
              <w:keepNext/>
              <w:jc w:val="center"/>
              <w:rPr>
                <w:rFonts w:ascii="Calibri" w:eastAsia="Times New Roman" w:hAnsi="Calibri"/>
                <w:b/>
                <w:bCs/>
                <w:color w:val="000000"/>
                <w:sz w:val="18"/>
                <w:szCs w:val="18"/>
              </w:rPr>
            </w:pPr>
            <w:r w:rsidRPr="00B75B77">
              <w:rPr>
                <w:b/>
                <w:sz w:val="18"/>
                <w:szCs w:val="18"/>
              </w:rPr>
              <w:t>7</w:t>
            </w:r>
            <w:r w:rsidR="0070131C" w:rsidRPr="00B75B77">
              <w:rPr>
                <w:b/>
                <w:sz w:val="18"/>
                <w:szCs w:val="18"/>
              </w:rPr>
              <w:t>43,747</w:t>
            </w:r>
          </w:p>
        </w:tc>
        <w:tc>
          <w:tcPr>
            <w:tcW w:w="1440" w:type="dxa"/>
            <w:tcBorders>
              <w:top w:val="nil"/>
              <w:left w:val="nil"/>
              <w:bottom w:val="single" w:sz="4" w:space="0" w:color="448A99"/>
              <w:right w:val="single" w:sz="4" w:space="0" w:color="448A99"/>
            </w:tcBorders>
            <w:shd w:val="clear" w:color="000000" w:fill="FFFFFF"/>
            <w:vAlign w:val="center"/>
            <w:hideMark/>
          </w:tcPr>
          <w:p w:rsidR="000C1E59" w:rsidRPr="00B75B77" w:rsidRDefault="00CE2D3D" w:rsidP="0089385E">
            <w:pPr>
              <w:keepNext/>
              <w:jc w:val="center"/>
              <w:rPr>
                <w:rFonts w:ascii="Calibri" w:eastAsia="Times New Roman" w:hAnsi="Calibri"/>
                <w:b/>
                <w:bCs/>
                <w:color w:val="000000"/>
                <w:sz w:val="18"/>
                <w:szCs w:val="18"/>
              </w:rPr>
            </w:pPr>
            <w:r w:rsidRPr="00B75B77">
              <w:rPr>
                <w:b/>
                <w:sz w:val="18"/>
                <w:szCs w:val="18"/>
              </w:rPr>
              <w:t>3,</w:t>
            </w:r>
            <w:r w:rsidR="0070131C" w:rsidRPr="00B75B77">
              <w:rPr>
                <w:b/>
                <w:sz w:val="18"/>
                <w:szCs w:val="18"/>
              </w:rPr>
              <w:t>531,577</w:t>
            </w:r>
          </w:p>
        </w:tc>
        <w:tc>
          <w:tcPr>
            <w:tcW w:w="1440" w:type="dxa"/>
            <w:tcBorders>
              <w:top w:val="nil"/>
              <w:left w:val="nil"/>
              <w:bottom w:val="single" w:sz="4" w:space="0" w:color="448A99"/>
              <w:right w:val="single" w:sz="4" w:space="0" w:color="448A99"/>
            </w:tcBorders>
            <w:shd w:val="clear" w:color="000000" w:fill="FFFFFF"/>
            <w:vAlign w:val="center"/>
            <w:hideMark/>
          </w:tcPr>
          <w:p w:rsidR="000C1E59" w:rsidRPr="00B75B77" w:rsidRDefault="00CE2D3D" w:rsidP="0089385E">
            <w:pPr>
              <w:keepNext/>
              <w:jc w:val="center"/>
              <w:rPr>
                <w:rFonts w:ascii="Calibri" w:eastAsia="Times New Roman" w:hAnsi="Calibri"/>
                <w:b/>
                <w:bCs/>
                <w:color w:val="000000"/>
                <w:sz w:val="18"/>
                <w:szCs w:val="18"/>
              </w:rPr>
            </w:pPr>
            <w:r w:rsidRPr="00B75B77">
              <w:rPr>
                <w:b/>
                <w:sz w:val="18"/>
                <w:szCs w:val="18"/>
              </w:rPr>
              <w:t>7,</w:t>
            </w:r>
            <w:r w:rsidR="0070131C" w:rsidRPr="00B75B77">
              <w:rPr>
                <w:b/>
                <w:sz w:val="18"/>
                <w:szCs w:val="18"/>
              </w:rPr>
              <w:t>475,429</w:t>
            </w:r>
          </w:p>
        </w:tc>
      </w:tr>
    </w:tbl>
    <w:p w:rsidR="000C1E59" w:rsidRPr="00B75B77" w:rsidRDefault="000C1E59" w:rsidP="0089385E">
      <w:pPr>
        <w:pStyle w:val="Source"/>
        <w:keepNext/>
        <w:spacing w:after="0"/>
        <w:ind w:left="180" w:firstLine="0"/>
        <w:rPr>
          <w:rStyle w:val="Strong"/>
          <w:b w:val="0"/>
          <w:bCs w:val="0"/>
          <w:i w:val="0"/>
        </w:rPr>
      </w:pPr>
      <w:r w:rsidRPr="00B75B77">
        <w:rPr>
          <w:rFonts w:ascii="Calibri" w:hAnsi="Calibri"/>
          <w:i w:val="0"/>
          <w:color w:val="000000"/>
          <w:szCs w:val="18"/>
          <w:vertAlign w:val="superscript"/>
        </w:rPr>
        <w:t>[1]</w:t>
      </w:r>
      <w:r w:rsidRPr="00B75B77">
        <w:rPr>
          <w:rFonts w:ascii="Calibri" w:hAnsi="Calibri"/>
          <w:i w:val="0"/>
          <w:color w:val="000000"/>
          <w:szCs w:val="18"/>
        </w:rPr>
        <w:t xml:space="preserve"> All customer sector totals (excluding Total Residential (Non-Low-Income plus Low-Income) are exclusive of each other and may be added together to get the Phase II totals.</w:t>
      </w:r>
      <w:r w:rsidRPr="00B75B77">
        <w:rPr>
          <w:rFonts w:ascii="Calibri" w:hAnsi="Calibri"/>
          <w:i w:val="0"/>
          <w:color w:val="000000"/>
          <w:szCs w:val="18"/>
        </w:rPr>
        <w:br/>
      </w:r>
      <w:r w:rsidRPr="00B75B77">
        <w:rPr>
          <w:rFonts w:ascii="Calibri" w:hAnsi="Calibri"/>
          <w:i w:val="0"/>
          <w:color w:val="000000"/>
          <w:szCs w:val="18"/>
          <w:vertAlign w:val="superscript"/>
        </w:rPr>
        <w:t>[2]</w:t>
      </w:r>
      <w:r w:rsidRPr="00B75B77">
        <w:rPr>
          <w:rFonts w:ascii="Calibri" w:hAnsi="Calibri"/>
          <w:i w:val="0"/>
          <w:color w:val="000000"/>
          <w:szCs w:val="18"/>
        </w:rPr>
        <w:t xml:space="preserve"> The evaluation team verified the percentage of customers participating in non-low-income</w:t>
      </w:r>
      <w:r w:rsidR="00F33F9F" w:rsidRPr="00B75B77">
        <w:rPr>
          <w:rFonts w:ascii="Calibri" w:hAnsi="Calibri"/>
          <w:i w:val="0"/>
          <w:color w:val="000000"/>
          <w:szCs w:val="18"/>
        </w:rPr>
        <w:t>-</w:t>
      </w:r>
      <w:r w:rsidRPr="00B75B77">
        <w:rPr>
          <w:rFonts w:ascii="Calibri" w:hAnsi="Calibri"/>
          <w:i w:val="0"/>
          <w:color w:val="000000"/>
          <w:szCs w:val="18"/>
        </w:rPr>
        <w:t>specific programs that were low-income</w:t>
      </w:r>
      <w:r w:rsidR="00F33F9F" w:rsidRPr="00B75B77">
        <w:rPr>
          <w:rFonts w:ascii="Calibri" w:hAnsi="Calibri"/>
          <w:i w:val="0"/>
          <w:color w:val="000000"/>
          <w:szCs w:val="18"/>
        </w:rPr>
        <w:t>-</w:t>
      </w:r>
      <w:r w:rsidRPr="00B75B77">
        <w:rPr>
          <w:rFonts w:ascii="Calibri" w:hAnsi="Calibri"/>
          <w:i w:val="0"/>
          <w:color w:val="000000"/>
          <w:szCs w:val="18"/>
        </w:rPr>
        <w:t>qualified through self-report surveys. The survey results were used to estimate program savings and incentives paid to low-income customers and were added to the savings achieved through low-income</w:t>
      </w:r>
      <w:r w:rsidR="00F33F9F" w:rsidRPr="00B75B77">
        <w:rPr>
          <w:rFonts w:ascii="Calibri" w:hAnsi="Calibri"/>
          <w:i w:val="0"/>
          <w:color w:val="000000"/>
          <w:szCs w:val="18"/>
        </w:rPr>
        <w:t>-</w:t>
      </w:r>
      <w:r w:rsidRPr="00B75B77">
        <w:rPr>
          <w:rFonts w:ascii="Calibri" w:hAnsi="Calibri"/>
          <w:i w:val="0"/>
          <w:color w:val="000000"/>
          <w:szCs w:val="18"/>
        </w:rPr>
        <w:t>specific programs.</w:t>
      </w:r>
      <w:r w:rsidRPr="00B75B77">
        <w:rPr>
          <w:rFonts w:ascii="Calibri" w:hAnsi="Calibri"/>
          <w:i w:val="0"/>
          <w:color w:val="000000"/>
          <w:szCs w:val="18"/>
        </w:rPr>
        <w:br/>
      </w:r>
      <w:r w:rsidRPr="00B75B77">
        <w:rPr>
          <w:rStyle w:val="Strong"/>
          <w:b w:val="0"/>
          <w:bCs w:val="0"/>
          <w:i w:val="0"/>
        </w:rPr>
        <w:t xml:space="preserve">Note: </w:t>
      </w:r>
      <w:r w:rsidRPr="00B75B77">
        <w:rPr>
          <w:i w:val="0"/>
        </w:rPr>
        <w:t>Values in tables may not reconcile exactly with the sum of more detailed level results or previously reported results due to rounding.</w:t>
      </w:r>
    </w:p>
    <w:p w:rsidR="000C1E59" w:rsidRPr="00B75B77" w:rsidRDefault="000C1E59" w:rsidP="0089385E">
      <w:pPr>
        <w:pStyle w:val="Source"/>
        <w:keepNext/>
      </w:pPr>
      <w:r w:rsidRPr="00B75B77">
        <w:rPr>
          <w:rStyle w:val="Strong"/>
          <w:b w:val="0"/>
          <w:bCs w:val="0"/>
        </w:rPr>
        <w:t>Source: Navigant analysis</w:t>
      </w:r>
    </w:p>
    <w:p w:rsidR="000C1E59" w:rsidRPr="00B75B77" w:rsidRDefault="000C1E59" w:rsidP="005F3985">
      <w:pPr>
        <w:rPr>
          <w:rFonts w:cs="Calibri"/>
        </w:rPr>
      </w:pPr>
      <w:r w:rsidRPr="00B75B77">
        <w:t>In addition, PECO</w:t>
      </w:r>
      <w:r w:rsidRPr="00B75B77">
        <w:rPr>
          <w:rFonts w:ascii="Calibri" w:hAnsi="Calibri" w:cs="Calibri"/>
        </w:rPr>
        <w:t xml:space="preserve"> achieved 224.8 MW of gross verified demand reduction during </w:t>
      </w:r>
      <w:r w:rsidRPr="00B75B77">
        <w:rPr>
          <w:rFonts w:ascii="Calibri" w:hAnsi="Calibri"/>
        </w:rPr>
        <w:t>Phase II</w:t>
      </w:r>
      <w:r w:rsidRPr="00B75B77">
        <w:rPr>
          <w:rStyle w:val="FootnoteReference"/>
        </w:rPr>
        <w:footnoteReference w:id="6"/>
      </w:r>
      <w:r w:rsidRPr="00B75B77">
        <w:rPr>
          <w:rFonts w:cs="Calibri"/>
        </w:rPr>
        <w:t xml:space="preserve"> </w:t>
      </w:r>
      <w:r w:rsidR="00F33F9F" w:rsidRPr="00B75B77">
        <w:rPr>
          <w:rFonts w:cs="Calibri"/>
        </w:rPr>
        <w:t>(s</w:t>
      </w:r>
      <w:r w:rsidRPr="00B75B77">
        <w:rPr>
          <w:rFonts w:cs="Calibri"/>
        </w:rPr>
        <w:t xml:space="preserve">ee </w:t>
      </w:r>
      <w:r w:rsidRPr="00B75B77">
        <w:rPr>
          <w:rFonts w:cs="Calibri"/>
        </w:rPr>
        <w:fldChar w:fldCharType="begin"/>
      </w:r>
      <w:r w:rsidRPr="00B75B77">
        <w:rPr>
          <w:rFonts w:cs="Calibri"/>
        </w:rPr>
        <w:instrText xml:space="preserve"> REF _Ref448933094 \h </w:instrText>
      </w:r>
      <w:r w:rsidR="00B75B77">
        <w:rPr>
          <w:rFonts w:cs="Calibri"/>
        </w:rPr>
        <w:instrText xml:space="preserve"> \* MERGEFORMAT </w:instrText>
      </w:r>
      <w:r w:rsidRPr="00B75B77">
        <w:rPr>
          <w:rFonts w:cs="Calibri"/>
        </w:rPr>
      </w:r>
      <w:r w:rsidRPr="00B75B77">
        <w:rPr>
          <w:rFonts w:cs="Calibri"/>
        </w:rPr>
        <w:fldChar w:fldCharType="separate"/>
      </w:r>
      <w:r w:rsidR="0004016D" w:rsidRPr="00B75B77">
        <w:t xml:space="preserve">Figure </w:t>
      </w:r>
      <w:r w:rsidR="0004016D">
        <w:rPr>
          <w:noProof/>
        </w:rPr>
        <w:t>1</w:t>
      </w:r>
      <w:r w:rsidR="0004016D" w:rsidRPr="00B75B77">
        <w:rPr>
          <w:noProof/>
        </w:rPr>
        <w:noBreakHyphen/>
      </w:r>
      <w:r w:rsidR="0004016D">
        <w:rPr>
          <w:noProof/>
        </w:rPr>
        <w:t>2</w:t>
      </w:r>
      <w:r w:rsidRPr="00B75B77">
        <w:rPr>
          <w:rFonts w:cs="Calibri"/>
        </w:rPr>
        <w:fldChar w:fldCharType="end"/>
      </w:r>
      <w:r w:rsidR="00F33F9F" w:rsidRPr="00B75B77">
        <w:rPr>
          <w:rFonts w:cs="Calibri"/>
        </w:rPr>
        <w:t>)</w:t>
      </w:r>
      <w:r w:rsidRPr="00B75B77">
        <w:rPr>
          <w:rFonts w:cs="Calibri"/>
        </w:rPr>
        <w:t xml:space="preserve">. Additional detail on achieved demand reduction by program can be found in </w:t>
      </w:r>
      <w:r w:rsidR="007336BB" w:rsidRPr="00B75B77">
        <w:rPr>
          <w:rFonts w:cs="Calibri"/>
        </w:rPr>
        <w:t xml:space="preserve">Section </w:t>
      </w:r>
      <w:r w:rsidR="007336BB" w:rsidRPr="00B75B77">
        <w:rPr>
          <w:rFonts w:cs="Calibri"/>
        </w:rPr>
        <w:fldChar w:fldCharType="begin"/>
      </w:r>
      <w:r w:rsidR="007336BB" w:rsidRPr="00B75B77">
        <w:rPr>
          <w:rFonts w:cs="Calibri"/>
        </w:rPr>
        <w:instrText xml:space="preserve"> REF _Ref464587653 \n \h </w:instrText>
      </w:r>
      <w:r w:rsidR="00B75B77">
        <w:rPr>
          <w:rFonts w:cs="Calibri"/>
        </w:rPr>
        <w:instrText xml:space="preserve"> \* MERGEFORMAT </w:instrText>
      </w:r>
      <w:r w:rsidR="007336BB" w:rsidRPr="00B75B77">
        <w:rPr>
          <w:rFonts w:cs="Calibri"/>
        </w:rPr>
      </w:r>
      <w:r w:rsidR="007336BB" w:rsidRPr="00B75B77">
        <w:rPr>
          <w:rFonts w:cs="Calibri"/>
        </w:rPr>
        <w:fldChar w:fldCharType="separate"/>
      </w:r>
      <w:r w:rsidR="0004016D">
        <w:rPr>
          <w:rFonts w:cs="Calibri"/>
        </w:rPr>
        <w:t>1.4</w:t>
      </w:r>
      <w:r w:rsidR="007336BB" w:rsidRPr="00B75B77">
        <w:rPr>
          <w:rFonts w:cs="Calibri"/>
        </w:rPr>
        <w:fldChar w:fldCharType="end"/>
      </w:r>
      <w:r w:rsidR="007336BB" w:rsidRPr="00B75B77">
        <w:rPr>
          <w:rFonts w:cs="Calibri"/>
        </w:rPr>
        <w:t xml:space="preserve"> of this report</w:t>
      </w:r>
      <w:r w:rsidRPr="00B75B77">
        <w:rPr>
          <w:rFonts w:cs="Calibri"/>
        </w:rPr>
        <w:t xml:space="preserve"> and </w:t>
      </w:r>
      <w:r w:rsidR="00E83842" w:rsidRPr="00B75B77">
        <w:rPr>
          <w:rFonts w:cs="Calibri"/>
        </w:rPr>
        <w:fldChar w:fldCharType="begin"/>
      </w:r>
      <w:r w:rsidR="00E83842" w:rsidRPr="00B75B77">
        <w:rPr>
          <w:rFonts w:cs="Calibri"/>
        </w:rPr>
        <w:instrText xml:space="preserve"> REF _Ref464597281 \h </w:instrText>
      </w:r>
      <w:r w:rsidR="00B75B77">
        <w:rPr>
          <w:rFonts w:cs="Calibri"/>
        </w:rPr>
        <w:instrText xml:space="preserve"> \* MERGEFORMAT </w:instrText>
      </w:r>
      <w:r w:rsidR="00E83842" w:rsidRPr="00B75B77">
        <w:rPr>
          <w:rFonts w:cs="Calibri"/>
        </w:rPr>
      </w:r>
      <w:r w:rsidR="00E83842" w:rsidRPr="00B75B77">
        <w:rPr>
          <w:rFonts w:cs="Calibri"/>
        </w:rPr>
        <w:fldChar w:fldCharType="separate"/>
      </w:r>
      <w:r w:rsidR="0004016D" w:rsidRPr="00B75B77">
        <w:t xml:space="preserve">Table </w:t>
      </w:r>
      <w:r w:rsidR="0004016D">
        <w:rPr>
          <w:noProof/>
        </w:rPr>
        <w:t>1</w:t>
      </w:r>
      <w:r w:rsidR="0004016D" w:rsidRPr="00B75B77">
        <w:rPr>
          <w:noProof/>
        </w:rPr>
        <w:noBreakHyphen/>
      </w:r>
      <w:r w:rsidR="0004016D">
        <w:rPr>
          <w:noProof/>
        </w:rPr>
        <w:t>13</w:t>
      </w:r>
      <w:r w:rsidR="00E83842" w:rsidRPr="00B75B77">
        <w:rPr>
          <w:rFonts w:cs="Calibri"/>
        </w:rPr>
        <w:fldChar w:fldCharType="end"/>
      </w:r>
      <w:r w:rsidR="00E83842" w:rsidRPr="00B75B77">
        <w:rPr>
          <w:rFonts w:cs="Calibri"/>
        </w:rPr>
        <w:t xml:space="preserve"> </w:t>
      </w:r>
      <w:r w:rsidRPr="00B75B77">
        <w:rPr>
          <w:rFonts w:cs="Calibri"/>
        </w:rPr>
        <w:t>of this section.</w:t>
      </w:r>
    </w:p>
    <w:p w:rsidR="000C1E59" w:rsidRPr="00B75B77" w:rsidRDefault="000C1E59" w:rsidP="005F3985"/>
    <w:p w:rsidR="000C1E59" w:rsidRPr="00B75B77" w:rsidRDefault="000C1E59" w:rsidP="007D4A93">
      <w:pPr>
        <w:pStyle w:val="Caption"/>
      </w:pPr>
      <w:bookmarkStart w:id="56" w:name="_Ref448933094"/>
      <w:bookmarkStart w:id="57" w:name="_Toc449689424"/>
      <w:bookmarkStart w:id="58" w:name="_Toc466413660"/>
      <w:bookmarkEnd w:id="44"/>
      <w:r w:rsidRPr="00B75B77">
        <w:lastRenderedPageBreak/>
        <w:t xml:space="preserve">Figure </w:t>
      </w:r>
      <w:fldSimple w:instr=" STYLEREF 1 \s ">
        <w:r w:rsidR="0004016D">
          <w:rPr>
            <w:noProof/>
          </w:rPr>
          <w:t>1</w:t>
        </w:r>
      </w:fldSimple>
      <w:r w:rsidRPr="00B75B77">
        <w:noBreakHyphen/>
      </w:r>
      <w:fldSimple w:instr=" SEQ Figure \* ARABIC \s 1 ">
        <w:r w:rsidR="0004016D">
          <w:rPr>
            <w:noProof/>
          </w:rPr>
          <w:t>2</w:t>
        </w:r>
      </w:fldSimple>
      <w:bookmarkEnd w:id="56"/>
      <w:r w:rsidRPr="00B75B77">
        <w:t>: Phase II Portfolio Reported and Verified Demand Reduction</w:t>
      </w:r>
      <w:bookmarkEnd w:id="57"/>
      <w:bookmarkEnd w:id="58"/>
    </w:p>
    <w:p w:rsidR="000C1E59" w:rsidRPr="00B75B77" w:rsidRDefault="000C1E59" w:rsidP="007D4A93">
      <w:pPr>
        <w:pStyle w:val="Caption"/>
      </w:pPr>
      <w:r w:rsidRPr="00B75B77">
        <w:rPr>
          <w:noProof/>
        </w:rPr>
        <w:drawing>
          <wp:inline distT="0" distB="0" distL="0" distR="0" wp14:anchorId="5CE5BD62" wp14:editId="749F3DD4">
            <wp:extent cx="4919133" cy="3395133"/>
            <wp:effectExtent l="0" t="0" r="0" b="0"/>
            <wp:docPr id="323" name="Chart 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C1E59" w:rsidRPr="00B75B77" w:rsidRDefault="000C1E59" w:rsidP="00F33F9F">
      <w:pPr>
        <w:pStyle w:val="Source"/>
        <w:ind w:firstLine="810"/>
      </w:pPr>
      <w:bookmarkStart w:id="59" w:name="_MON_1399413593"/>
      <w:bookmarkStart w:id="60" w:name="_MON_1399413637"/>
      <w:bookmarkStart w:id="61" w:name="_MON_1399413674"/>
      <w:bookmarkEnd w:id="59"/>
      <w:bookmarkEnd w:id="60"/>
      <w:bookmarkEnd w:id="61"/>
      <w:r w:rsidRPr="00B75B77">
        <w:rPr>
          <w:rStyle w:val="Strong"/>
          <w:b w:val="0"/>
          <w:bCs w:val="0"/>
        </w:rPr>
        <w:t>Source: Navigant analysis</w:t>
      </w:r>
    </w:p>
    <w:p w:rsidR="000C1E59" w:rsidRPr="00B75B77" w:rsidRDefault="000C1E59" w:rsidP="006B04A0">
      <w:bookmarkStart w:id="62" w:name="_Ref325672995"/>
      <w:r w:rsidRPr="00B75B77">
        <w:t>PECO offers</w:t>
      </w:r>
      <w:r w:rsidRPr="00B75B77">
        <w:rPr>
          <w:sz w:val="24"/>
          <w:szCs w:val="24"/>
        </w:rPr>
        <w:t xml:space="preserve"> </w:t>
      </w:r>
      <w:r w:rsidRPr="00B75B77">
        <w:t>measures at no cost to low-income customers. These measures offered to the low-income sector comprise 17</w:t>
      </w:r>
      <w:r w:rsidR="00F33F9F" w:rsidRPr="00B75B77">
        <w:t>%</w:t>
      </w:r>
      <w:r w:rsidRPr="00B75B77">
        <w:t xml:space="preserve"> of the total measures offered. As required by the Phase II </w:t>
      </w:r>
      <w:r w:rsidR="00BC6985" w:rsidRPr="00B75B77">
        <w:t>Implementation Order</w:t>
      </w:r>
      <w:r w:rsidR="00BC6985" w:rsidRPr="00B75B77">
        <w:rPr>
          <w:rStyle w:val="FootnoteReference"/>
        </w:rPr>
        <w:footnoteReference w:id="7"/>
      </w:r>
      <w:r w:rsidRPr="00B75B77">
        <w:t xml:space="preserve">, this exceeds the fraction of the electric consumption of </w:t>
      </w:r>
      <w:r w:rsidR="00BC6985" w:rsidRPr="00B75B77">
        <w:t>PECO</w:t>
      </w:r>
      <w:r w:rsidRPr="00B75B77">
        <w:t xml:space="preserve">’s low-income households divided by the total electricity consumption in the PECO territory by </w:t>
      </w:r>
      <w:r w:rsidR="00BC6985" w:rsidRPr="00B75B77">
        <w:t>8.2%</w:t>
      </w:r>
      <w:r w:rsidRPr="00B75B77">
        <w:t>.</w:t>
      </w:r>
      <w:r w:rsidRPr="00B75B77">
        <w:rPr>
          <w:rStyle w:val="FootnoteReference"/>
        </w:rPr>
        <w:footnoteReference w:id="8"/>
      </w:r>
      <w:bookmarkEnd w:id="62"/>
      <w:r w:rsidRPr="00B75B77">
        <w:t xml:space="preserve"> These values are shown in </w:t>
      </w:r>
      <w:r w:rsidRPr="00B75B77">
        <w:fldChar w:fldCharType="begin"/>
      </w:r>
      <w:r w:rsidRPr="00B75B77">
        <w:instrText xml:space="preserve"> REF _Ref448933120 \h </w:instrText>
      </w:r>
      <w:r w:rsidR="00B75B77">
        <w:instrText xml:space="preserve"> \* MERGEFORMAT </w:instrText>
      </w:r>
      <w:r w:rsidRPr="00B75B77">
        <w:fldChar w:fldCharType="separate"/>
      </w:r>
      <w:r w:rsidR="0004016D" w:rsidRPr="00B75B77">
        <w:t xml:space="preserve">Table </w:t>
      </w:r>
      <w:r w:rsidR="0004016D">
        <w:rPr>
          <w:noProof/>
        </w:rPr>
        <w:t>1</w:t>
      </w:r>
      <w:r w:rsidR="0004016D" w:rsidRPr="00B75B77">
        <w:rPr>
          <w:noProof/>
        </w:rPr>
        <w:noBreakHyphen/>
      </w:r>
      <w:r w:rsidR="0004016D">
        <w:rPr>
          <w:noProof/>
        </w:rPr>
        <w:t>5</w:t>
      </w:r>
      <w:r w:rsidRPr="00B75B77">
        <w:fldChar w:fldCharType="end"/>
      </w:r>
      <w:r w:rsidRPr="00B75B77">
        <w:t xml:space="preserve">. </w:t>
      </w:r>
    </w:p>
    <w:p w:rsidR="000C1E59" w:rsidRPr="00B75B77" w:rsidRDefault="000C1E59" w:rsidP="00E86423"/>
    <w:p w:rsidR="000C1E59" w:rsidRPr="00B75B77" w:rsidRDefault="000C1E59" w:rsidP="00F94CBE">
      <w:pPr>
        <w:pStyle w:val="Caption"/>
      </w:pPr>
      <w:bookmarkStart w:id="63" w:name="_Ref448933120"/>
      <w:bookmarkStart w:id="64" w:name="_Toc453075276"/>
      <w:bookmarkStart w:id="65" w:name="_Toc466413487"/>
      <w:r w:rsidRPr="00B75B77">
        <w:t xml:space="preserve">Table </w:t>
      </w:r>
      <w:fldSimple w:instr=" STYLEREF 1 \s ">
        <w:r w:rsidR="0004016D">
          <w:rPr>
            <w:noProof/>
          </w:rPr>
          <w:t>1</w:t>
        </w:r>
      </w:fldSimple>
      <w:r w:rsidR="00F1144C" w:rsidRPr="00B75B77">
        <w:noBreakHyphen/>
      </w:r>
      <w:fldSimple w:instr=" SEQ Table \* ARABIC \s 1 ">
        <w:r w:rsidR="0004016D">
          <w:rPr>
            <w:noProof/>
          </w:rPr>
          <w:t>5</w:t>
        </w:r>
      </w:fldSimple>
      <w:bookmarkEnd w:id="63"/>
      <w:r w:rsidRPr="00B75B77">
        <w:t>: Phase II Low-Income Sector Compliance (Number of Measures)</w:t>
      </w:r>
      <w:bookmarkEnd w:id="64"/>
      <w:bookmarkEnd w:id="65"/>
    </w:p>
    <w:tbl>
      <w:tblPr>
        <w:tblW w:w="9265" w:type="dxa"/>
        <w:tblLook w:val="04A0" w:firstRow="1" w:lastRow="0" w:firstColumn="1" w:lastColumn="0" w:noHBand="0" w:noVBand="1"/>
      </w:tblPr>
      <w:tblGrid>
        <w:gridCol w:w="2380"/>
        <w:gridCol w:w="1845"/>
        <w:gridCol w:w="1530"/>
        <w:gridCol w:w="1620"/>
        <w:gridCol w:w="1890"/>
      </w:tblGrid>
      <w:tr w:rsidR="000C1E59" w:rsidRPr="00B75B77" w:rsidTr="00F33F9F">
        <w:trPr>
          <w:divId w:val="1394155644"/>
          <w:trHeight w:val="288"/>
        </w:trPr>
        <w:tc>
          <w:tcPr>
            <w:tcW w:w="2380" w:type="dxa"/>
            <w:tcBorders>
              <w:top w:val="single" w:sz="4" w:space="0" w:color="auto"/>
              <w:left w:val="single" w:sz="4" w:space="0" w:color="auto"/>
              <w:bottom w:val="single" w:sz="4" w:space="0" w:color="auto"/>
              <w:right w:val="single" w:sz="4" w:space="0" w:color="auto"/>
            </w:tcBorders>
            <w:shd w:val="clear" w:color="auto" w:fill="448A99"/>
            <w:vAlign w:val="center"/>
            <w:hideMark/>
          </w:tcPr>
          <w:p w:rsidR="000C1E59" w:rsidRPr="00B75B77" w:rsidRDefault="000C1E59" w:rsidP="00F94CBE">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w:t>
            </w:r>
          </w:p>
        </w:tc>
        <w:tc>
          <w:tcPr>
            <w:tcW w:w="1845"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F94CBE">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Low-Income Sector</w:t>
            </w:r>
          </w:p>
        </w:tc>
        <w:tc>
          <w:tcPr>
            <w:tcW w:w="1530"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F94CBE">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All Sectors</w:t>
            </w:r>
          </w:p>
        </w:tc>
        <w:tc>
          <w:tcPr>
            <w:tcW w:w="1620"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F94CBE">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Low-Income</w:t>
            </w:r>
          </w:p>
        </w:tc>
        <w:tc>
          <w:tcPr>
            <w:tcW w:w="1890"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F94CBE">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Goal</w:t>
            </w:r>
          </w:p>
        </w:tc>
      </w:tr>
      <w:tr w:rsidR="000C1E59" w:rsidRPr="00B75B77" w:rsidTr="003C6A1E">
        <w:trPr>
          <w:divId w:val="1394155644"/>
          <w:trHeight w:val="288"/>
        </w:trPr>
        <w:tc>
          <w:tcPr>
            <w:tcW w:w="2380" w:type="dxa"/>
            <w:tcBorders>
              <w:top w:val="nil"/>
              <w:left w:val="single" w:sz="4" w:space="0" w:color="448A99"/>
              <w:bottom w:val="single" w:sz="4" w:space="0" w:color="448A99"/>
              <w:right w:val="single" w:sz="4" w:space="0" w:color="448A99"/>
            </w:tcBorders>
            <w:shd w:val="clear" w:color="auto" w:fill="auto"/>
            <w:vAlign w:val="center"/>
            <w:hideMark/>
          </w:tcPr>
          <w:p w:rsidR="000C1E59" w:rsidRPr="00B75B77" w:rsidRDefault="000C1E59" w:rsidP="00F94CBE">
            <w:pPr>
              <w:jc w:val="left"/>
              <w:rPr>
                <w:rFonts w:ascii="Calibri" w:eastAsia="Times New Roman" w:hAnsi="Calibri"/>
                <w:b/>
                <w:color w:val="000000"/>
                <w:sz w:val="18"/>
                <w:szCs w:val="18"/>
              </w:rPr>
            </w:pPr>
            <w:r w:rsidRPr="00B75B77">
              <w:rPr>
                <w:rFonts w:ascii="Calibri" w:eastAsia="Times New Roman" w:hAnsi="Calibri"/>
                <w:b/>
                <w:color w:val="000000"/>
                <w:sz w:val="18"/>
                <w:szCs w:val="18"/>
              </w:rPr>
              <w:t># of Measure</w:t>
            </w:r>
            <w:r w:rsidR="003C6A1E" w:rsidRPr="00B75B77">
              <w:rPr>
                <w:rFonts w:ascii="Calibri" w:eastAsia="Times New Roman" w:hAnsi="Calibri"/>
                <w:b/>
                <w:color w:val="000000"/>
                <w:sz w:val="18"/>
                <w:szCs w:val="18"/>
              </w:rPr>
              <w:t>s</w:t>
            </w:r>
            <w:r w:rsidRPr="00B75B77">
              <w:rPr>
                <w:rFonts w:ascii="Calibri" w:eastAsia="Times New Roman" w:hAnsi="Calibri"/>
                <w:b/>
                <w:color w:val="000000"/>
                <w:sz w:val="18"/>
                <w:szCs w:val="18"/>
              </w:rPr>
              <w:t xml:space="preserve"> Offered</w:t>
            </w:r>
          </w:p>
        </w:tc>
        <w:tc>
          <w:tcPr>
            <w:tcW w:w="1845" w:type="dxa"/>
            <w:tcBorders>
              <w:top w:val="nil"/>
              <w:left w:val="nil"/>
              <w:bottom w:val="single" w:sz="4" w:space="0" w:color="448A99"/>
              <w:right w:val="single" w:sz="4" w:space="0" w:color="448A99"/>
            </w:tcBorders>
            <w:shd w:val="clear" w:color="auto" w:fill="auto"/>
            <w:vAlign w:val="center"/>
            <w:hideMark/>
          </w:tcPr>
          <w:p w:rsidR="000C1E59" w:rsidRPr="00B75B77" w:rsidRDefault="000C1E59" w:rsidP="00F94CBE">
            <w:pPr>
              <w:jc w:val="center"/>
              <w:rPr>
                <w:rFonts w:ascii="Calibri" w:eastAsia="Times New Roman" w:hAnsi="Calibri"/>
                <w:color w:val="000000"/>
                <w:sz w:val="18"/>
                <w:szCs w:val="18"/>
              </w:rPr>
            </w:pPr>
            <w:r w:rsidRPr="00B75B77">
              <w:rPr>
                <w:rFonts w:ascii="Calibri" w:eastAsia="Times New Roman" w:hAnsi="Calibri"/>
                <w:color w:val="000000"/>
                <w:sz w:val="18"/>
                <w:szCs w:val="18"/>
              </w:rPr>
              <w:t>19</w:t>
            </w:r>
          </w:p>
        </w:tc>
        <w:tc>
          <w:tcPr>
            <w:tcW w:w="1530" w:type="dxa"/>
            <w:tcBorders>
              <w:top w:val="nil"/>
              <w:left w:val="nil"/>
              <w:bottom w:val="single" w:sz="4" w:space="0" w:color="448A99"/>
              <w:right w:val="single" w:sz="4" w:space="0" w:color="448A99"/>
            </w:tcBorders>
            <w:shd w:val="clear" w:color="auto" w:fill="auto"/>
            <w:vAlign w:val="center"/>
            <w:hideMark/>
          </w:tcPr>
          <w:p w:rsidR="000C1E59" w:rsidRPr="00B75B77" w:rsidRDefault="000C1E59" w:rsidP="00F94CBE">
            <w:pPr>
              <w:jc w:val="center"/>
              <w:rPr>
                <w:rFonts w:ascii="Calibri" w:eastAsia="Times New Roman" w:hAnsi="Calibri"/>
                <w:color w:val="000000"/>
                <w:sz w:val="18"/>
                <w:szCs w:val="18"/>
              </w:rPr>
            </w:pPr>
            <w:r w:rsidRPr="00B75B77">
              <w:rPr>
                <w:rFonts w:ascii="Calibri" w:eastAsia="Times New Roman" w:hAnsi="Calibri"/>
                <w:color w:val="000000"/>
                <w:sz w:val="18"/>
                <w:szCs w:val="18"/>
              </w:rPr>
              <w:t>112</w:t>
            </w:r>
          </w:p>
        </w:tc>
        <w:tc>
          <w:tcPr>
            <w:tcW w:w="1620" w:type="dxa"/>
            <w:tcBorders>
              <w:top w:val="nil"/>
              <w:left w:val="nil"/>
              <w:bottom w:val="single" w:sz="4" w:space="0" w:color="448A99"/>
              <w:right w:val="single" w:sz="4" w:space="0" w:color="448A99"/>
            </w:tcBorders>
            <w:shd w:val="clear" w:color="auto" w:fill="auto"/>
            <w:vAlign w:val="center"/>
            <w:hideMark/>
          </w:tcPr>
          <w:p w:rsidR="000C1E59" w:rsidRPr="00B75B77" w:rsidRDefault="000C1E59" w:rsidP="00F94CBE">
            <w:pPr>
              <w:jc w:val="center"/>
              <w:rPr>
                <w:rFonts w:ascii="Calibri" w:eastAsia="Times New Roman" w:hAnsi="Calibri"/>
                <w:color w:val="000000"/>
                <w:sz w:val="18"/>
                <w:szCs w:val="18"/>
              </w:rPr>
            </w:pPr>
            <w:r w:rsidRPr="00B75B77">
              <w:rPr>
                <w:rFonts w:ascii="Calibri" w:eastAsia="Times New Roman" w:hAnsi="Calibri"/>
                <w:color w:val="000000"/>
                <w:sz w:val="18"/>
                <w:szCs w:val="18"/>
              </w:rPr>
              <w:t>17%</w:t>
            </w:r>
          </w:p>
        </w:tc>
        <w:tc>
          <w:tcPr>
            <w:tcW w:w="1890" w:type="dxa"/>
            <w:tcBorders>
              <w:top w:val="nil"/>
              <w:left w:val="nil"/>
              <w:bottom w:val="single" w:sz="4" w:space="0" w:color="448A99"/>
              <w:right w:val="single" w:sz="4" w:space="0" w:color="448A99"/>
            </w:tcBorders>
            <w:shd w:val="clear" w:color="auto" w:fill="auto"/>
            <w:vAlign w:val="center"/>
            <w:hideMark/>
          </w:tcPr>
          <w:p w:rsidR="000C1E59" w:rsidRPr="00B75B77" w:rsidRDefault="000C1E59" w:rsidP="00F94CBE">
            <w:pPr>
              <w:jc w:val="center"/>
              <w:rPr>
                <w:rFonts w:ascii="Calibri" w:eastAsia="Times New Roman" w:hAnsi="Calibri"/>
                <w:color w:val="000000"/>
                <w:sz w:val="18"/>
                <w:szCs w:val="18"/>
              </w:rPr>
            </w:pPr>
            <w:r w:rsidRPr="00B75B77">
              <w:rPr>
                <w:rFonts w:ascii="Calibri" w:eastAsia="Times New Roman" w:hAnsi="Calibri"/>
                <w:color w:val="000000"/>
                <w:sz w:val="18"/>
                <w:szCs w:val="18"/>
              </w:rPr>
              <w:t>8.8%</w:t>
            </w:r>
          </w:p>
        </w:tc>
      </w:tr>
    </w:tbl>
    <w:p w:rsidR="000C1E59" w:rsidRPr="00B75B77" w:rsidRDefault="000C1E59" w:rsidP="00F94CBE">
      <w:pPr>
        <w:pStyle w:val="Source"/>
        <w:spacing w:before="20" w:after="20"/>
        <w:ind w:left="187" w:firstLine="0"/>
        <w:rPr>
          <w:rStyle w:val="Strong"/>
          <w:b w:val="0"/>
          <w:bCs w:val="0"/>
          <w:i w:val="0"/>
        </w:rPr>
      </w:pPr>
      <w:bookmarkStart w:id="66" w:name="_Ref310322413"/>
      <w:r w:rsidRPr="00B75B77">
        <w:rPr>
          <w:rStyle w:val="Strong"/>
          <w:b w:val="0"/>
          <w:bCs w:val="0"/>
          <w:i w:val="0"/>
        </w:rPr>
        <w:t xml:space="preserve">Note: </w:t>
      </w:r>
      <w:r w:rsidRPr="00B75B77">
        <w:rPr>
          <w:rFonts w:ascii="Calibri" w:hAnsi="Calibri"/>
          <w:i w:val="0"/>
          <w:iCs/>
          <w:color w:val="000000"/>
          <w:szCs w:val="18"/>
        </w:rPr>
        <w:t>Values in tables may not reconcile exactly with the sum of more detailed level results or previously reported results due to rounding.</w:t>
      </w:r>
    </w:p>
    <w:p w:rsidR="000C1E59" w:rsidRPr="00B75B77" w:rsidRDefault="000C1E59" w:rsidP="00F94CBE">
      <w:pPr>
        <w:pStyle w:val="Source"/>
        <w:rPr>
          <w:rStyle w:val="Strong"/>
          <w:b w:val="0"/>
        </w:rPr>
      </w:pPr>
      <w:r w:rsidRPr="00B75B77">
        <w:rPr>
          <w:rStyle w:val="Strong"/>
          <w:b w:val="0"/>
          <w:bCs w:val="0"/>
        </w:rPr>
        <w:t>Source: Navigant analysis</w:t>
      </w:r>
    </w:p>
    <w:p w:rsidR="00F36812" w:rsidRPr="00B75B77" w:rsidRDefault="00F36812" w:rsidP="00F36812">
      <w:bookmarkStart w:id="67" w:name="_Ref448933140"/>
      <w:bookmarkStart w:id="68" w:name="_Toc453075277"/>
      <w:r w:rsidRPr="00B75B77">
        <w:t xml:space="preserve">The Phase II verified gross energy savings </w:t>
      </w:r>
      <w:r w:rsidR="007336BB" w:rsidRPr="00B75B77">
        <w:t>are 5</w:t>
      </w:r>
      <w:r w:rsidR="00B93403" w:rsidRPr="00B75B77">
        <w:t>4,392</w:t>
      </w:r>
      <w:r w:rsidR="007336BB" w:rsidRPr="00B75B77">
        <w:t xml:space="preserve"> MWh/</w:t>
      </w:r>
      <w:proofErr w:type="spellStart"/>
      <w:r w:rsidR="007336BB" w:rsidRPr="00B75B77">
        <w:t>yr</w:t>
      </w:r>
      <w:proofErr w:type="spellEnd"/>
      <w:r w:rsidR="007336BB" w:rsidRPr="00B75B77">
        <w:t xml:space="preserve"> </w:t>
      </w:r>
      <w:r w:rsidRPr="00B75B77">
        <w:t>achieved through programs specifically designed for income-eligible customers</w:t>
      </w:r>
      <w:r w:rsidR="007336BB" w:rsidRPr="00B75B77">
        <w:t>,</w:t>
      </w:r>
      <w:r w:rsidRPr="00B75B77">
        <w:t xml:space="preserve"> and 37,281 MWh/</w:t>
      </w:r>
      <w:proofErr w:type="spellStart"/>
      <w:r w:rsidRPr="00B75B77">
        <w:t>yr</w:t>
      </w:r>
      <w:proofErr w:type="spellEnd"/>
      <w:r w:rsidRPr="00B75B77">
        <w:t xml:space="preserve"> through other programs</w:t>
      </w:r>
      <w:r w:rsidR="007336BB" w:rsidRPr="00B75B77">
        <w:t>.</w:t>
      </w:r>
      <w:r w:rsidRPr="00B75B77">
        <w:t xml:space="preserve"> </w:t>
      </w:r>
      <w:r w:rsidR="007336BB" w:rsidRPr="00B75B77">
        <w:t>T</w:t>
      </w:r>
      <w:r w:rsidRPr="00B75B77">
        <w:t>his is 10</w:t>
      </w:r>
      <w:r w:rsidR="00B93403" w:rsidRPr="00B75B77">
        <w:t>7</w:t>
      </w:r>
      <w:r w:rsidRPr="00B75B77">
        <w:t xml:space="preserve"> percent </w:t>
      </w:r>
      <w:r w:rsidR="007336BB" w:rsidRPr="00B75B77">
        <w:t xml:space="preserve">of </w:t>
      </w:r>
      <w:r w:rsidRPr="00B75B77">
        <w:t xml:space="preserve">the 4.5% Phase II total portfolio verified gross energy savings </w:t>
      </w:r>
      <w:r w:rsidR="00E639E7" w:rsidRPr="00B75B77">
        <w:t>carve-out</w:t>
      </w:r>
      <w:r w:rsidRPr="00B75B77">
        <w:t xml:space="preserve"> target for the low-income sector achieved through LEEP only, and 1</w:t>
      </w:r>
      <w:r w:rsidR="00B93403" w:rsidRPr="00B75B77">
        <w:t>81</w:t>
      </w:r>
      <w:r w:rsidRPr="00B75B77">
        <w:t xml:space="preserve"> percent </w:t>
      </w:r>
      <w:r w:rsidR="007336BB" w:rsidRPr="00B75B77">
        <w:t xml:space="preserve">of </w:t>
      </w:r>
      <w:r w:rsidRPr="00B75B77">
        <w:t>the carve</w:t>
      </w:r>
      <w:r w:rsidR="00E639E7" w:rsidRPr="00B75B77">
        <w:t>-</w:t>
      </w:r>
      <w:r w:rsidRPr="00B75B77">
        <w:t>out target from all programs. These results are shown in</w:t>
      </w:r>
      <w:r w:rsidR="00E83842" w:rsidRPr="00B75B77">
        <w:t xml:space="preserve"> </w:t>
      </w:r>
      <w:r w:rsidR="00E83842" w:rsidRPr="00B75B77">
        <w:fldChar w:fldCharType="begin"/>
      </w:r>
      <w:r w:rsidR="00E83842" w:rsidRPr="00B75B77">
        <w:instrText xml:space="preserve"> REF _Ref464597282 \h </w:instrText>
      </w:r>
      <w:r w:rsidR="00E639E7" w:rsidRPr="00B75B77">
        <w:instrText xml:space="preserve"> \* MERGEFORMAT </w:instrText>
      </w:r>
      <w:r w:rsidR="00E83842" w:rsidRPr="00B75B77">
        <w:fldChar w:fldCharType="separate"/>
      </w:r>
      <w:r w:rsidR="0004016D" w:rsidRPr="00B75B77">
        <w:t xml:space="preserve">Table </w:t>
      </w:r>
      <w:r w:rsidR="0004016D">
        <w:rPr>
          <w:noProof/>
        </w:rPr>
        <w:t>1</w:t>
      </w:r>
      <w:r w:rsidR="0004016D" w:rsidRPr="00B75B77">
        <w:rPr>
          <w:noProof/>
        </w:rPr>
        <w:noBreakHyphen/>
      </w:r>
      <w:r w:rsidR="0004016D">
        <w:rPr>
          <w:noProof/>
        </w:rPr>
        <w:t>6</w:t>
      </w:r>
      <w:r w:rsidR="00E83842" w:rsidRPr="00B75B77">
        <w:fldChar w:fldCharType="end"/>
      </w:r>
      <w:r w:rsidRPr="00B75B77">
        <w:t xml:space="preserve">. </w:t>
      </w:r>
    </w:p>
    <w:p w:rsidR="000C1E59" w:rsidRPr="00B75B77" w:rsidRDefault="000C1E59" w:rsidP="00F33F9F">
      <w:pPr>
        <w:pStyle w:val="Caption"/>
      </w:pPr>
      <w:bookmarkStart w:id="69" w:name="_Ref464597282"/>
      <w:bookmarkStart w:id="70" w:name="_Toc466413488"/>
      <w:r w:rsidRPr="00B75B77">
        <w:lastRenderedPageBreak/>
        <w:t xml:space="preserve">Table </w:t>
      </w:r>
      <w:r w:rsidR="00237810">
        <w:fldChar w:fldCharType="begin"/>
      </w:r>
      <w:r w:rsidR="00237810">
        <w:instrText xml:space="preserve"> STYLEREF 1 \s </w:instrText>
      </w:r>
      <w:r w:rsidR="00237810">
        <w:fldChar w:fldCharType="separate"/>
      </w:r>
      <w:r w:rsidR="0004016D">
        <w:rPr>
          <w:noProof/>
        </w:rPr>
        <w:t>1</w:t>
      </w:r>
      <w:r w:rsidR="00237810">
        <w:rPr>
          <w:noProof/>
        </w:rPr>
        <w:fldChar w:fldCharType="end"/>
      </w:r>
      <w:r w:rsidR="00F1144C" w:rsidRPr="00B75B77">
        <w:noBreakHyphen/>
      </w:r>
      <w:r w:rsidR="00237810">
        <w:fldChar w:fldCharType="begin"/>
      </w:r>
      <w:r w:rsidR="00237810">
        <w:instrText xml:space="preserve"> SEQ Table \* ARABIC \s 1 </w:instrText>
      </w:r>
      <w:r w:rsidR="00237810">
        <w:fldChar w:fldCharType="separate"/>
      </w:r>
      <w:r w:rsidR="0004016D">
        <w:rPr>
          <w:noProof/>
        </w:rPr>
        <w:t>6</w:t>
      </w:r>
      <w:r w:rsidR="00237810">
        <w:rPr>
          <w:noProof/>
        </w:rPr>
        <w:fldChar w:fldCharType="end"/>
      </w:r>
      <w:bookmarkEnd w:id="67"/>
      <w:bookmarkEnd w:id="69"/>
      <w:r w:rsidRPr="00B75B77">
        <w:t>: Phase II Low-Income Sector Compliance (Percentage of Savings)</w:t>
      </w:r>
      <w:bookmarkEnd w:id="68"/>
      <w:bookmarkEnd w:id="70"/>
    </w:p>
    <w:tbl>
      <w:tblPr>
        <w:tblStyle w:val="PECOTeal"/>
        <w:tblW w:w="8000" w:type="dxa"/>
        <w:jc w:val="center"/>
        <w:tblLook w:val="04A0" w:firstRow="1" w:lastRow="0" w:firstColumn="1" w:lastColumn="0" w:noHBand="0" w:noVBand="1"/>
      </w:tblPr>
      <w:tblGrid>
        <w:gridCol w:w="6025"/>
        <w:gridCol w:w="1975"/>
      </w:tblGrid>
      <w:tr w:rsidR="00F33F9F" w:rsidRPr="00B75B77" w:rsidTr="00F33F9F">
        <w:trPr>
          <w:cnfStyle w:val="100000000000" w:firstRow="1" w:lastRow="0" w:firstColumn="0" w:lastColumn="0" w:oddVBand="0" w:evenVBand="0" w:oddHBand="0"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6025" w:type="dxa"/>
          </w:tcPr>
          <w:p w:rsidR="00F33F9F" w:rsidRPr="00B75B77" w:rsidRDefault="00F33F9F" w:rsidP="00F33F9F">
            <w:pPr>
              <w:keepNext/>
              <w:jc w:val="left"/>
              <w:rPr>
                <w:rFonts w:ascii="Calibri" w:eastAsia="Times New Roman" w:hAnsi="Calibri"/>
                <w:b w:val="0"/>
                <w:bCs w:val="0"/>
                <w:color w:val="000000"/>
                <w:szCs w:val="18"/>
              </w:rPr>
            </w:pPr>
          </w:p>
        </w:tc>
        <w:tc>
          <w:tcPr>
            <w:tcW w:w="1975" w:type="dxa"/>
          </w:tcPr>
          <w:p w:rsidR="00F33F9F" w:rsidRPr="00B75B77" w:rsidRDefault="00F33F9F" w:rsidP="00F33F9F">
            <w:pPr>
              <w:keepNext/>
              <w:jc w:val="center"/>
              <w:cnfStyle w:val="100000000000" w:firstRow="1" w:lastRow="0" w:firstColumn="0" w:lastColumn="0" w:oddVBand="0" w:evenVBand="0" w:oddHBand="0" w:evenHBand="0" w:firstRowFirstColumn="0" w:firstRowLastColumn="0" w:lastRowFirstColumn="0" w:lastRowLastColumn="0"/>
              <w:rPr>
                <w:szCs w:val="18"/>
              </w:rPr>
            </w:pPr>
            <w:r w:rsidRPr="00B75B77">
              <w:rPr>
                <w:rFonts w:ascii="Calibri" w:eastAsia="Times New Roman" w:hAnsi="Calibri"/>
                <w:bCs w:val="0"/>
                <w:color w:val="FFFFFF"/>
                <w:szCs w:val="18"/>
              </w:rPr>
              <w:t>Phase II Gross Verified</w:t>
            </w:r>
          </w:p>
        </w:tc>
      </w:tr>
      <w:tr w:rsidR="000C1E59" w:rsidRPr="00B75B77" w:rsidTr="00F33F9F">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6025" w:type="dxa"/>
            <w:hideMark/>
          </w:tcPr>
          <w:p w:rsidR="000C1E59" w:rsidRPr="00B75B77" w:rsidRDefault="000C1E59" w:rsidP="00F33F9F">
            <w:pPr>
              <w:keepNext/>
              <w:jc w:val="left"/>
              <w:rPr>
                <w:rFonts w:ascii="Calibri" w:eastAsia="Times New Roman" w:hAnsi="Calibri"/>
                <w:color w:val="000000"/>
                <w:szCs w:val="18"/>
              </w:rPr>
            </w:pPr>
            <w:r w:rsidRPr="00B75B77">
              <w:rPr>
                <w:rFonts w:ascii="Calibri" w:eastAsia="Times New Roman" w:hAnsi="Calibri"/>
                <w:bCs w:val="0"/>
                <w:color w:val="000000"/>
                <w:szCs w:val="18"/>
              </w:rPr>
              <w:t>Low-Income Verified Gross Savings from Low-Income Programs</w:t>
            </w:r>
            <w:r w:rsidRPr="00B75B77">
              <w:rPr>
                <w:rFonts w:ascii="Calibri" w:eastAsia="Times New Roman" w:hAnsi="Calibri"/>
                <w:color w:val="000000"/>
                <w:szCs w:val="18"/>
              </w:rPr>
              <w:br/>
            </w:r>
            <w:r w:rsidRPr="00B75B77">
              <w:rPr>
                <w:rFonts w:ascii="Calibri" w:eastAsia="Times New Roman" w:hAnsi="Calibri"/>
                <w:b w:val="0"/>
                <w:color w:val="000000"/>
                <w:szCs w:val="18"/>
              </w:rPr>
              <w:t>(Cumulative Annual MWh/</w:t>
            </w:r>
            <w:proofErr w:type="spellStart"/>
            <w:r w:rsidRPr="00B75B77">
              <w:rPr>
                <w:rFonts w:ascii="Calibri" w:eastAsia="Times New Roman" w:hAnsi="Calibri"/>
                <w:b w:val="0"/>
                <w:color w:val="000000"/>
                <w:szCs w:val="18"/>
              </w:rPr>
              <w:t>Yr</w:t>
            </w:r>
            <w:proofErr w:type="spellEnd"/>
            <w:r w:rsidRPr="00B75B77">
              <w:rPr>
                <w:rFonts w:ascii="Calibri" w:eastAsia="Times New Roman" w:hAnsi="Calibri"/>
                <w:b w:val="0"/>
                <w:color w:val="000000"/>
                <w:szCs w:val="18"/>
              </w:rPr>
              <w:t>)</w:t>
            </w:r>
          </w:p>
        </w:tc>
        <w:tc>
          <w:tcPr>
            <w:tcW w:w="1975" w:type="dxa"/>
            <w:hideMark/>
          </w:tcPr>
          <w:p w:rsidR="000C1E59" w:rsidRPr="00B75B77" w:rsidRDefault="000C1E59" w:rsidP="007B3F6F">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5</w:t>
            </w:r>
            <w:r w:rsidR="00B93403" w:rsidRPr="00B75B77">
              <w:rPr>
                <w:szCs w:val="18"/>
              </w:rPr>
              <w:t>4,392</w:t>
            </w:r>
          </w:p>
        </w:tc>
      </w:tr>
      <w:tr w:rsidR="000C1E59" w:rsidRPr="00B75B77" w:rsidTr="00F33F9F">
        <w:trPr>
          <w:cnfStyle w:val="000000010000" w:firstRow="0" w:lastRow="0" w:firstColumn="0" w:lastColumn="0" w:oddVBand="0" w:evenVBand="0" w:oddHBand="0" w:evenHBand="1"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6025" w:type="dxa"/>
            <w:hideMark/>
          </w:tcPr>
          <w:p w:rsidR="000C1E59" w:rsidRPr="00B75B77" w:rsidRDefault="000C1E59" w:rsidP="00F33F9F">
            <w:pPr>
              <w:keepNext/>
              <w:jc w:val="left"/>
              <w:rPr>
                <w:rFonts w:ascii="Calibri" w:eastAsia="Times New Roman" w:hAnsi="Calibri"/>
                <w:color w:val="000000"/>
                <w:szCs w:val="18"/>
              </w:rPr>
            </w:pPr>
            <w:r w:rsidRPr="00B75B77">
              <w:rPr>
                <w:rFonts w:ascii="Calibri" w:eastAsia="Times New Roman" w:hAnsi="Calibri"/>
                <w:bCs w:val="0"/>
                <w:color w:val="000000"/>
                <w:szCs w:val="18"/>
              </w:rPr>
              <w:t>Low-Income Verified Gross Savings from Other Residential Programs</w:t>
            </w:r>
            <w:r w:rsidRPr="00B75B77">
              <w:rPr>
                <w:rFonts w:ascii="Calibri" w:eastAsia="Times New Roman" w:hAnsi="Calibri"/>
                <w:bCs w:val="0"/>
                <w:szCs w:val="18"/>
              </w:rPr>
              <w:t xml:space="preserve"> </w:t>
            </w:r>
            <w:r w:rsidRPr="00B75B77">
              <w:rPr>
                <w:rFonts w:ascii="Calibri" w:eastAsia="Times New Roman" w:hAnsi="Calibri"/>
                <w:bCs w:val="0"/>
                <w:szCs w:val="18"/>
                <w:vertAlign w:val="superscript"/>
              </w:rPr>
              <w:t>[1]</w:t>
            </w:r>
            <w:r w:rsidRPr="00B75B77">
              <w:rPr>
                <w:rFonts w:ascii="Calibri" w:eastAsia="Times New Roman" w:hAnsi="Calibri"/>
                <w:color w:val="000000"/>
                <w:szCs w:val="18"/>
              </w:rPr>
              <w:br/>
            </w:r>
            <w:r w:rsidRPr="00B75B77">
              <w:rPr>
                <w:rFonts w:ascii="Calibri" w:eastAsia="Times New Roman" w:hAnsi="Calibri"/>
                <w:b w:val="0"/>
                <w:color w:val="000000"/>
                <w:szCs w:val="18"/>
              </w:rPr>
              <w:t>(Cumulative Annual MWh/</w:t>
            </w:r>
            <w:proofErr w:type="spellStart"/>
            <w:r w:rsidRPr="00B75B77">
              <w:rPr>
                <w:rFonts w:ascii="Calibri" w:eastAsia="Times New Roman" w:hAnsi="Calibri"/>
                <w:b w:val="0"/>
                <w:color w:val="000000"/>
                <w:szCs w:val="18"/>
              </w:rPr>
              <w:t>Yr</w:t>
            </w:r>
            <w:proofErr w:type="spellEnd"/>
            <w:r w:rsidRPr="00B75B77">
              <w:rPr>
                <w:rFonts w:ascii="Calibri" w:eastAsia="Times New Roman" w:hAnsi="Calibri"/>
                <w:b w:val="0"/>
                <w:color w:val="000000"/>
                <w:szCs w:val="18"/>
              </w:rPr>
              <w:t>)</w:t>
            </w:r>
          </w:p>
        </w:tc>
        <w:tc>
          <w:tcPr>
            <w:tcW w:w="1975" w:type="dxa"/>
            <w:hideMark/>
          </w:tcPr>
          <w:p w:rsidR="000C1E59" w:rsidRPr="00B75B77" w:rsidRDefault="000C1E59" w:rsidP="00F33F9F">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37,281</w:t>
            </w:r>
          </w:p>
        </w:tc>
      </w:tr>
      <w:tr w:rsidR="000C1E59" w:rsidRPr="00B75B77" w:rsidTr="00B338DE">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6025" w:type="dxa"/>
          </w:tcPr>
          <w:p w:rsidR="000C1E59" w:rsidRPr="00B75B77" w:rsidRDefault="000C1E59" w:rsidP="00F33F9F">
            <w:pPr>
              <w:keepNext/>
              <w:jc w:val="left"/>
              <w:rPr>
                <w:rFonts w:ascii="Calibri" w:eastAsia="Times New Roman" w:hAnsi="Calibri"/>
                <w:color w:val="000000"/>
                <w:szCs w:val="18"/>
              </w:rPr>
            </w:pPr>
            <w:r w:rsidRPr="00B75B77">
              <w:rPr>
                <w:rFonts w:ascii="Calibri" w:eastAsia="Times New Roman" w:hAnsi="Calibri"/>
                <w:bCs w:val="0"/>
                <w:color w:val="000000"/>
                <w:szCs w:val="18"/>
              </w:rPr>
              <w:t>Low-Income Verified Gross Savings Carried Over from Phase I</w:t>
            </w:r>
            <w:r w:rsidRPr="00B75B77">
              <w:rPr>
                <w:rFonts w:ascii="Calibri" w:eastAsia="Times New Roman" w:hAnsi="Calibri"/>
                <w:color w:val="000000"/>
                <w:szCs w:val="18"/>
              </w:rPr>
              <w:br/>
            </w:r>
            <w:r w:rsidRPr="00B75B77">
              <w:rPr>
                <w:rFonts w:ascii="Calibri" w:eastAsia="Times New Roman" w:hAnsi="Calibri"/>
                <w:b w:val="0"/>
                <w:color w:val="000000"/>
                <w:szCs w:val="18"/>
              </w:rPr>
              <w:t>(Cumulative Annual MWh/</w:t>
            </w:r>
            <w:proofErr w:type="spellStart"/>
            <w:r w:rsidRPr="00B75B77">
              <w:rPr>
                <w:rFonts w:ascii="Calibri" w:eastAsia="Times New Roman" w:hAnsi="Calibri"/>
                <w:b w:val="0"/>
                <w:color w:val="000000"/>
                <w:szCs w:val="18"/>
              </w:rPr>
              <w:t>Yr</w:t>
            </w:r>
            <w:proofErr w:type="spellEnd"/>
            <w:r w:rsidRPr="00B75B77">
              <w:rPr>
                <w:rFonts w:ascii="Calibri" w:eastAsia="Times New Roman" w:hAnsi="Calibri"/>
                <w:b w:val="0"/>
                <w:color w:val="000000"/>
                <w:szCs w:val="18"/>
              </w:rPr>
              <w:t>)</w:t>
            </w:r>
          </w:p>
        </w:tc>
        <w:tc>
          <w:tcPr>
            <w:tcW w:w="1975" w:type="dxa"/>
          </w:tcPr>
          <w:p w:rsidR="000C1E59" w:rsidRPr="00B75B77" w:rsidRDefault="007B3F6F" w:rsidP="00F33F9F">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0</w:t>
            </w:r>
          </w:p>
        </w:tc>
      </w:tr>
      <w:tr w:rsidR="000C1E59" w:rsidRPr="00B75B77" w:rsidTr="00F33F9F">
        <w:trPr>
          <w:cnfStyle w:val="000000010000" w:firstRow="0" w:lastRow="0" w:firstColumn="0" w:lastColumn="0" w:oddVBand="0" w:evenVBand="0" w:oddHBand="0" w:evenHBand="1"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6025" w:type="dxa"/>
            <w:hideMark/>
          </w:tcPr>
          <w:p w:rsidR="000C1E59" w:rsidRPr="00B75B77" w:rsidRDefault="000C1E59" w:rsidP="00B338DE">
            <w:pPr>
              <w:keepNext/>
              <w:jc w:val="left"/>
              <w:rPr>
                <w:rFonts w:ascii="Calibri" w:eastAsia="Times New Roman" w:hAnsi="Calibri"/>
                <w:color w:val="000000"/>
                <w:szCs w:val="18"/>
              </w:rPr>
            </w:pPr>
            <w:r w:rsidRPr="00B75B77">
              <w:rPr>
                <w:rFonts w:ascii="Calibri" w:eastAsia="Times New Roman" w:hAnsi="Calibri"/>
                <w:bCs w:val="0"/>
                <w:color w:val="000000"/>
                <w:szCs w:val="18"/>
              </w:rPr>
              <w:t>All Low-Income Verified Gross Savings</w:t>
            </w:r>
            <w:r w:rsidRPr="00B75B77">
              <w:rPr>
                <w:rFonts w:ascii="Calibri" w:eastAsia="Times New Roman" w:hAnsi="Calibri"/>
                <w:color w:val="000000"/>
                <w:szCs w:val="18"/>
              </w:rPr>
              <w:br/>
            </w:r>
            <w:r w:rsidRPr="00B75B77">
              <w:rPr>
                <w:rFonts w:ascii="Calibri" w:eastAsia="Times New Roman" w:hAnsi="Calibri"/>
                <w:b w:val="0"/>
                <w:color w:val="000000"/>
                <w:szCs w:val="18"/>
              </w:rPr>
              <w:t>(Sum of First Three Rows)</w:t>
            </w:r>
          </w:p>
        </w:tc>
        <w:tc>
          <w:tcPr>
            <w:tcW w:w="1975" w:type="dxa"/>
            <w:hideMark/>
          </w:tcPr>
          <w:p w:rsidR="000C1E59" w:rsidRPr="00B75B77" w:rsidRDefault="00B338DE" w:rsidP="007B3F6F">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9</w:t>
            </w:r>
            <w:r w:rsidR="00B93403" w:rsidRPr="00B75B77">
              <w:rPr>
                <w:szCs w:val="18"/>
              </w:rPr>
              <w:t>1,673</w:t>
            </w:r>
          </w:p>
        </w:tc>
      </w:tr>
      <w:tr w:rsidR="000C1E59" w:rsidRPr="00B75B77" w:rsidTr="00F33F9F">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6025" w:type="dxa"/>
            <w:hideMark/>
          </w:tcPr>
          <w:p w:rsidR="000C1E59" w:rsidRPr="00B75B77" w:rsidRDefault="000C1E59" w:rsidP="00F33F9F">
            <w:pPr>
              <w:keepNext/>
              <w:jc w:val="left"/>
              <w:rPr>
                <w:rFonts w:ascii="Calibri" w:eastAsia="Times New Roman" w:hAnsi="Calibri"/>
                <w:color w:val="000000"/>
                <w:szCs w:val="18"/>
              </w:rPr>
            </w:pPr>
            <w:r w:rsidRPr="00B75B77">
              <w:rPr>
                <w:rFonts w:ascii="Calibri" w:eastAsia="Times New Roman" w:hAnsi="Calibri"/>
                <w:bCs w:val="0"/>
                <w:color w:val="000000"/>
                <w:szCs w:val="18"/>
              </w:rPr>
              <w:t>Progress Toward Low-Income Goal from All Programs</w:t>
            </w:r>
            <w:r w:rsidRPr="00B75B77">
              <w:rPr>
                <w:rFonts w:ascii="Calibri" w:eastAsia="Times New Roman" w:hAnsi="Calibri"/>
                <w:color w:val="000000"/>
                <w:szCs w:val="18"/>
              </w:rPr>
              <w:br/>
            </w:r>
            <w:r w:rsidRPr="00B75B77">
              <w:rPr>
                <w:rFonts w:ascii="Calibri" w:eastAsia="Times New Roman" w:hAnsi="Calibri"/>
                <w:b w:val="0"/>
                <w:color w:val="000000"/>
                <w:szCs w:val="18"/>
              </w:rPr>
              <w:t>(Previous Row divided by Phase II MWh Target)</w:t>
            </w:r>
          </w:p>
        </w:tc>
        <w:tc>
          <w:tcPr>
            <w:tcW w:w="1975" w:type="dxa"/>
            <w:hideMark/>
          </w:tcPr>
          <w:p w:rsidR="000C1E59" w:rsidRPr="00B75B77" w:rsidRDefault="000C1E59" w:rsidP="00F33F9F">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w:t>
            </w:r>
            <w:r w:rsidR="00B93403" w:rsidRPr="00B75B77">
              <w:rPr>
                <w:szCs w:val="18"/>
              </w:rPr>
              <w:t>81</w:t>
            </w:r>
            <w:r w:rsidRPr="00B75B77">
              <w:rPr>
                <w:szCs w:val="18"/>
              </w:rPr>
              <w:t>%</w:t>
            </w:r>
          </w:p>
        </w:tc>
      </w:tr>
      <w:tr w:rsidR="000C1E59" w:rsidRPr="00B75B77" w:rsidTr="00F33F9F">
        <w:trPr>
          <w:cnfStyle w:val="000000010000" w:firstRow="0" w:lastRow="0" w:firstColumn="0" w:lastColumn="0" w:oddVBand="0" w:evenVBand="0" w:oddHBand="0" w:evenHBand="1" w:firstRowFirstColumn="0" w:firstRowLastColumn="0" w:lastRowFirstColumn="0" w:lastRowLastColumn="0"/>
          <w:trHeight w:val="552"/>
          <w:jc w:val="center"/>
        </w:trPr>
        <w:tc>
          <w:tcPr>
            <w:cnfStyle w:val="001000000000" w:firstRow="0" w:lastRow="0" w:firstColumn="1" w:lastColumn="0" w:oddVBand="0" w:evenVBand="0" w:oddHBand="0" w:evenHBand="0" w:firstRowFirstColumn="0" w:firstRowLastColumn="0" w:lastRowFirstColumn="0" w:lastRowLastColumn="0"/>
            <w:tcW w:w="6025" w:type="dxa"/>
            <w:hideMark/>
          </w:tcPr>
          <w:p w:rsidR="000C1E59" w:rsidRPr="00B75B77" w:rsidRDefault="000C1E59" w:rsidP="00F33F9F">
            <w:pPr>
              <w:keepNext/>
              <w:jc w:val="left"/>
              <w:rPr>
                <w:rFonts w:ascii="Calibri" w:eastAsia="Times New Roman" w:hAnsi="Calibri"/>
                <w:color w:val="000000"/>
                <w:szCs w:val="18"/>
              </w:rPr>
            </w:pPr>
            <w:r w:rsidRPr="00B75B77">
              <w:rPr>
                <w:rFonts w:ascii="Calibri" w:eastAsia="Times New Roman" w:hAnsi="Calibri"/>
                <w:bCs w:val="0"/>
                <w:color w:val="000000"/>
                <w:szCs w:val="18"/>
              </w:rPr>
              <w:t>Progress Toward Low-Income Goal from Phase II LEEP Program</w:t>
            </w:r>
            <w:r w:rsidRPr="00B75B77">
              <w:rPr>
                <w:rFonts w:ascii="Calibri" w:eastAsia="Times New Roman" w:hAnsi="Calibri"/>
                <w:color w:val="000000"/>
                <w:szCs w:val="18"/>
              </w:rPr>
              <w:br/>
            </w:r>
            <w:r w:rsidRPr="00B75B77">
              <w:rPr>
                <w:rFonts w:ascii="Calibri" w:eastAsia="Times New Roman" w:hAnsi="Calibri"/>
                <w:b w:val="0"/>
                <w:color w:val="000000"/>
                <w:szCs w:val="18"/>
              </w:rPr>
              <w:t>(First Row divided by Phase II MWh Target)</w:t>
            </w:r>
          </w:p>
        </w:tc>
        <w:tc>
          <w:tcPr>
            <w:tcW w:w="1975" w:type="dxa"/>
            <w:hideMark/>
          </w:tcPr>
          <w:p w:rsidR="000C1E59" w:rsidRPr="00B75B77" w:rsidRDefault="000C1E59" w:rsidP="00F33F9F">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10</w:t>
            </w:r>
            <w:r w:rsidR="00B93403" w:rsidRPr="00B75B77">
              <w:rPr>
                <w:szCs w:val="18"/>
              </w:rPr>
              <w:t>7</w:t>
            </w:r>
            <w:r w:rsidRPr="00B75B77">
              <w:rPr>
                <w:szCs w:val="18"/>
              </w:rPr>
              <w:t>%</w:t>
            </w:r>
          </w:p>
        </w:tc>
      </w:tr>
      <w:tr w:rsidR="000C1E59" w:rsidRPr="00B75B77" w:rsidTr="00F33F9F">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6025" w:type="dxa"/>
            <w:hideMark/>
          </w:tcPr>
          <w:p w:rsidR="000C1E59" w:rsidRPr="00B75B77" w:rsidRDefault="000C1E59" w:rsidP="00F33F9F">
            <w:pPr>
              <w:keepNext/>
              <w:jc w:val="left"/>
              <w:rPr>
                <w:rFonts w:ascii="Calibri" w:eastAsia="Times New Roman" w:hAnsi="Calibri"/>
                <w:color w:val="000000"/>
                <w:szCs w:val="18"/>
              </w:rPr>
            </w:pPr>
            <w:r w:rsidRPr="00B75B77">
              <w:rPr>
                <w:rFonts w:ascii="Calibri" w:eastAsia="Times New Roman" w:hAnsi="Calibri"/>
                <w:bCs w:val="0"/>
                <w:color w:val="000000"/>
                <w:szCs w:val="18"/>
              </w:rPr>
              <w:t xml:space="preserve">Goal </w:t>
            </w:r>
            <w:r w:rsidRPr="00B75B77">
              <w:rPr>
                <w:rFonts w:ascii="Calibri" w:eastAsia="Times New Roman" w:hAnsi="Calibri"/>
                <w:color w:val="000000"/>
                <w:szCs w:val="18"/>
              </w:rPr>
              <w:t>(4.5% of portfolio savings target)</w:t>
            </w:r>
            <w:r w:rsidRPr="00B75B77">
              <w:rPr>
                <w:rFonts w:ascii="Calibri" w:eastAsia="Times New Roman" w:hAnsi="Calibri"/>
                <w:color w:val="000000"/>
                <w:szCs w:val="18"/>
              </w:rPr>
              <w:br/>
            </w:r>
            <w:r w:rsidRPr="00B75B77">
              <w:rPr>
                <w:rFonts w:ascii="Calibri" w:eastAsia="Times New Roman" w:hAnsi="Calibri"/>
                <w:b w:val="0"/>
                <w:color w:val="000000"/>
                <w:szCs w:val="18"/>
              </w:rPr>
              <w:t>(MWh/</w:t>
            </w:r>
            <w:proofErr w:type="spellStart"/>
            <w:r w:rsidRPr="00B75B77">
              <w:rPr>
                <w:rFonts w:ascii="Calibri" w:eastAsia="Times New Roman" w:hAnsi="Calibri"/>
                <w:b w:val="0"/>
                <w:color w:val="000000"/>
                <w:szCs w:val="18"/>
              </w:rPr>
              <w:t>Yr</w:t>
            </w:r>
            <w:proofErr w:type="spellEnd"/>
            <w:r w:rsidRPr="00B75B77">
              <w:rPr>
                <w:rFonts w:ascii="Calibri" w:eastAsia="Times New Roman" w:hAnsi="Calibri"/>
                <w:b w:val="0"/>
                <w:color w:val="000000"/>
                <w:szCs w:val="18"/>
              </w:rPr>
              <w:t>)</w:t>
            </w:r>
          </w:p>
        </w:tc>
        <w:tc>
          <w:tcPr>
            <w:tcW w:w="1975" w:type="dxa"/>
            <w:hideMark/>
          </w:tcPr>
          <w:p w:rsidR="000C1E59" w:rsidRPr="00B75B77" w:rsidRDefault="000C1E59" w:rsidP="00F33F9F">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50,663</w:t>
            </w:r>
          </w:p>
        </w:tc>
      </w:tr>
    </w:tbl>
    <w:p w:rsidR="000C1E59" w:rsidRPr="00B75B77" w:rsidRDefault="000C1E59" w:rsidP="0001564E">
      <w:pPr>
        <w:pStyle w:val="Source"/>
        <w:keepNext/>
        <w:spacing w:before="20" w:after="20"/>
        <w:ind w:right="450" w:firstLine="0"/>
        <w:rPr>
          <w:rStyle w:val="Strong"/>
          <w:b w:val="0"/>
          <w:bCs w:val="0"/>
          <w:i w:val="0"/>
        </w:rPr>
      </w:pPr>
      <w:r w:rsidRPr="00B75B77">
        <w:rPr>
          <w:rFonts w:ascii="Calibri" w:hAnsi="Calibri"/>
          <w:i w:val="0"/>
          <w:color w:val="000000"/>
          <w:szCs w:val="18"/>
          <w:vertAlign w:val="superscript"/>
        </w:rPr>
        <w:t>[1]</w:t>
      </w:r>
      <w:r w:rsidRPr="00B75B77">
        <w:rPr>
          <w:rFonts w:ascii="Calibri" w:hAnsi="Calibri"/>
          <w:i w:val="0"/>
          <w:color w:val="000000"/>
          <w:szCs w:val="18"/>
        </w:rPr>
        <w:t xml:space="preserve"> The evaluation team verified the percentage of customers participating in non-low-income</w:t>
      </w:r>
      <w:r w:rsidR="00F33F9F" w:rsidRPr="00B75B77">
        <w:rPr>
          <w:rFonts w:ascii="Calibri" w:hAnsi="Calibri"/>
          <w:i w:val="0"/>
          <w:color w:val="000000"/>
          <w:szCs w:val="18"/>
        </w:rPr>
        <w:t>-</w:t>
      </w:r>
      <w:r w:rsidRPr="00B75B77">
        <w:rPr>
          <w:rFonts w:ascii="Calibri" w:hAnsi="Calibri"/>
          <w:i w:val="0"/>
          <w:color w:val="000000"/>
          <w:szCs w:val="18"/>
        </w:rPr>
        <w:t>specific programs that were low-income</w:t>
      </w:r>
      <w:r w:rsidR="00F33F9F" w:rsidRPr="00B75B77">
        <w:rPr>
          <w:rFonts w:ascii="Calibri" w:hAnsi="Calibri"/>
          <w:i w:val="0"/>
          <w:color w:val="000000"/>
          <w:szCs w:val="18"/>
        </w:rPr>
        <w:t>-</w:t>
      </w:r>
      <w:r w:rsidRPr="00B75B77">
        <w:rPr>
          <w:rFonts w:ascii="Calibri" w:hAnsi="Calibri"/>
          <w:i w:val="0"/>
          <w:color w:val="000000"/>
          <w:szCs w:val="18"/>
        </w:rPr>
        <w:t>qualified through self-report surveys. The survey results were used to estimate program savings and incentives paid to low-income customers.</w:t>
      </w:r>
      <w:r w:rsidRPr="00B75B77">
        <w:rPr>
          <w:rFonts w:ascii="Calibri" w:hAnsi="Calibri"/>
          <w:i w:val="0"/>
          <w:color w:val="000000"/>
          <w:szCs w:val="18"/>
        </w:rPr>
        <w:br/>
      </w:r>
      <w:r w:rsidRPr="00B75B77">
        <w:rPr>
          <w:rStyle w:val="Strong"/>
          <w:b w:val="0"/>
          <w:bCs w:val="0"/>
          <w:i w:val="0"/>
        </w:rPr>
        <w:t xml:space="preserve">Note: </w:t>
      </w:r>
      <w:r w:rsidRPr="00B75B77">
        <w:rPr>
          <w:rFonts w:ascii="Calibri" w:hAnsi="Calibri"/>
          <w:i w:val="0"/>
          <w:iCs/>
          <w:color w:val="000000"/>
          <w:szCs w:val="18"/>
        </w:rPr>
        <w:t>Values in tables may not reconcile exactly with the sum of more detailed level results or previously reported results due to rounding.</w:t>
      </w:r>
    </w:p>
    <w:p w:rsidR="000C1E59" w:rsidRPr="00B75B77" w:rsidRDefault="000C1E59" w:rsidP="00A82EAA">
      <w:pPr>
        <w:pStyle w:val="Source"/>
        <w:keepNext/>
        <w:ind w:right="450" w:firstLine="0"/>
      </w:pPr>
      <w:r w:rsidRPr="00B75B77">
        <w:rPr>
          <w:rStyle w:val="Strong"/>
          <w:b w:val="0"/>
          <w:bCs w:val="0"/>
        </w:rPr>
        <w:t>Source: Navigant analysis</w:t>
      </w:r>
    </w:p>
    <w:p w:rsidR="000C1E59" w:rsidRPr="00B75B77" w:rsidRDefault="000C1E59" w:rsidP="00A355C0">
      <w:r w:rsidRPr="00B75B77">
        <w:t>PECO achieved 272</w:t>
      </w:r>
      <w:r w:rsidR="0001564E" w:rsidRPr="00B75B77">
        <w:t>%</w:t>
      </w:r>
      <w:r w:rsidRPr="00B75B77">
        <w:t xml:space="preserve"> of the May 31</w:t>
      </w:r>
      <w:r w:rsidRPr="00B75B77">
        <w:rPr>
          <w:vertAlign w:val="subscript"/>
        </w:rPr>
        <w:t>,</w:t>
      </w:r>
      <w:r w:rsidRPr="00B75B77">
        <w:t xml:space="preserve"> 2016 energy reduction compliance target for the </w:t>
      </w:r>
      <w:r w:rsidR="0001564E" w:rsidRPr="00B75B77">
        <w:t xml:space="preserve">GNI </w:t>
      </w:r>
      <w:r w:rsidRPr="00B75B77">
        <w:t xml:space="preserve">sector based on </w:t>
      </w:r>
      <w:r w:rsidRPr="00B75B77">
        <w:rPr>
          <w:rFonts w:cstheme="minorHAnsi"/>
          <w:color w:val="000000"/>
        </w:rPr>
        <w:t xml:space="preserve">cumulative program/portfolio savings from </w:t>
      </w:r>
      <w:r w:rsidRPr="00B75B77">
        <w:rPr>
          <w:color w:val="000000"/>
        </w:rPr>
        <w:t>Phase II</w:t>
      </w:r>
      <w:r w:rsidRPr="00B75B77">
        <w:t>+CO verified gross energy savings achieved from the inception of Phase II through PY7</w:t>
      </w:r>
      <w:r w:rsidRPr="00B75B77" w:rsidDel="00E95247">
        <w:t xml:space="preserve"> </w:t>
      </w:r>
      <w:r w:rsidRPr="00B75B77">
        <w:t xml:space="preserve">and including carry-over savings from Phase I as shown in </w:t>
      </w:r>
      <w:r w:rsidR="00A82EAA" w:rsidRPr="00B75B77">
        <w:fldChar w:fldCharType="begin"/>
      </w:r>
      <w:r w:rsidR="00A82EAA" w:rsidRPr="00B75B77">
        <w:instrText xml:space="preserve"> REF _Ref464577588 \h </w:instrText>
      </w:r>
      <w:r w:rsidR="00B75B77">
        <w:instrText xml:space="preserve"> \* MERGEFORMAT </w:instrText>
      </w:r>
      <w:r w:rsidR="00A82EAA" w:rsidRPr="00B75B77">
        <w:fldChar w:fldCharType="separate"/>
      </w:r>
      <w:r w:rsidR="0004016D" w:rsidRPr="00B75B77">
        <w:t xml:space="preserve">Table </w:t>
      </w:r>
      <w:r w:rsidR="0004016D">
        <w:rPr>
          <w:noProof/>
        </w:rPr>
        <w:t>1</w:t>
      </w:r>
      <w:r w:rsidR="0004016D" w:rsidRPr="00B75B77">
        <w:rPr>
          <w:noProof/>
        </w:rPr>
        <w:noBreakHyphen/>
      </w:r>
      <w:r w:rsidR="0004016D">
        <w:rPr>
          <w:noProof/>
        </w:rPr>
        <w:t>7</w:t>
      </w:r>
      <w:r w:rsidR="00A82EAA" w:rsidRPr="00B75B77">
        <w:fldChar w:fldCharType="end"/>
      </w:r>
      <w:r w:rsidR="00A82EAA" w:rsidRPr="00B75B77">
        <w:t xml:space="preserve"> and in </w:t>
      </w:r>
      <w:r w:rsidRPr="00B75B77">
        <w:fldChar w:fldCharType="begin"/>
      </w:r>
      <w:r w:rsidRPr="00B75B77">
        <w:instrText xml:space="preserve"> REF _Ref448933161 \h </w:instrText>
      </w:r>
      <w:r w:rsidR="0001564E" w:rsidRPr="00B75B77">
        <w:instrText xml:space="preserve"> \* MERGEFORMAT </w:instrText>
      </w:r>
      <w:r w:rsidRPr="00B75B77">
        <w:fldChar w:fldCharType="separate"/>
      </w:r>
      <w:r w:rsidR="0004016D" w:rsidRPr="00B75B77">
        <w:t xml:space="preserve">Figure </w:t>
      </w:r>
      <w:r w:rsidR="0004016D">
        <w:rPr>
          <w:noProof/>
        </w:rPr>
        <w:t>1</w:t>
      </w:r>
      <w:r w:rsidR="0004016D" w:rsidRPr="00B75B77">
        <w:rPr>
          <w:noProof/>
        </w:rPr>
        <w:noBreakHyphen/>
      </w:r>
      <w:r w:rsidR="0004016D">
        <w:rPr>
          <w:noProof/>
        </w:rPr>
        <w:t>3</w:t>
      </w:r>
      <w:r w:rsidRPr="00B75B77">
        <w:fldChar w:fldCharType="end"/>
      </w:r>
      <w:r w:rsidRPr="00B75B77">
        <w:t>.</w:t>
      </w:r>
    </w:p>
    <w:p w:rsidR="000C1E59" w:rsidRPr="00B75B77" w:rsidRDefault="000C1E59" w:rsidP="00A355C0"/>
    <w:p w:rsidR="000C1E59" w:rsidRPr="00B75B77" w:rsidRDefault="0001564E" w:rsidP="0001564E">
      <w:pPr>
        <w:pStyle w:val="Caption"/>
      </w:pPr>
      <w:bookmarkStart w:id="71" w:name="_Ref464577588"/>
      <w:bookmarkStart w:id="72" w:name="_Toc466413489"/>
      <w:r w:rsidRPr="00B75B77">
        <w:t xml:space="preserve">Table </w:t>
      </w:r>
      <w:fldSimple w:instr=" STYLEREF 1 \s ">
        <w:r w:rsidR="0004016D">
          <w:rPr>
            <w:noProof/>
          </w:rPr>
          <w:t>1</w:t>
        </w:r>
      </w:fldSimple>
      <w:r w:rsidR="00F1144C" w:rsidRPr="00B75B77">
        <w:noBreakHyphen/>
      </w:r>
      <w:fldSimple w:instr=" SEQ Table \* ARABIC \s 1 ">
        <w:r w:rsidR="0004016D">
          <w:rPr>
            <w:noProof/>
          </w:rPr>
          <w:t>7</w:t>
        </w:r>
      </w:fldSimple>
      <w:bookmarkEnd w:id="71"/>
      <w:r w:rsidRPr="00B75B77">
        <w:t xml:space="preserve">: Phase II GNI Sector </w:t>
      </w:r>
      <w:r w:rsidR="000C1E59" w:rsidRPr="00B75B77" w:rsidDel="0001564E">
        <w:t>Compliance</w:t>
      </w:r>
      <w:bookmarkEnd w:id="72"/>
    </w:p>
    <w:tbl>
      <w:tblPr>
        <w:tblStyle w:val="PECOTeal"/>
        <w:tblW w:w="8090" w:type="dxa"/>
        <w:jc w:val="center"/>
        <w:tblLook w:val="04A0" w:firstRow="1" w:lastRow="0" w:firstColumn="1" w:lastColumn="0" w:noHBand="0" w:noVBand="1"/>
      </w:tblPr>
      <w:tblGrid>
        <w:gridCol w:w="6025"/>
        <w:gridCol w:w="2065"/>
      </w:tblGrid>
      <w:tr w:rsidR="000C1E59" w:rsidRPr="00B75B77" w:rsidTr="0001564E">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6025" w:type="dxa"/>
            <w:hideMark/>
          </w:tcPr>
          <w:p w:rsidR="000C1E59" w:rsidRPr="00B75B77" w:rsidRDefault="000C1E59" w:rsidP="00F94CBE">
            <w:pPr>
              <w:rPr>
                <w:rFonts w:ascii="Calibri" w:eastAsia="Times New Roman" w:hAnsi="Calibri"/>
                <w:b w:val="0"/>
                <w:bCs w:val="0"/>
                <w:color w:val="FFFFFF"/>
                <w:szCs w:val="18"/>
              </w:rPr>
            </w:pPr>
          </w:p>
        </w:tc>
        <w:tc>
          <w:tcPr>
            <w:tcW w:w="2065" w:type="dxa"/>
            <w:hideMark/>
          </w:tcPr>
          <w:p w:rsidR="000C1E59" w:rsidRPr="00B75B77" w:rsidRDefault="000C1E59" w:rsidP="00F94CB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color w:val="FFFFFF"/>
                <w:szCs w:val="18"/>
              </w:rPr>
            </w:pPr>
            <w:r w:rsidRPr="00B75B77">
              <w:rPr>
                <w:rFonts w:ascii="Calibri" w:eastAsia="Times New Roman" w:hAnsi="Calibri"/>
                <w:bCs w:val="0"/>
                <w:color w:val="FFFFFF"/>
                <w:szCs w:val="18"/>
              </w:rPr>
              <w:t>Phase II Gross Verified</w:t>
            </w:r>
          </w:p>
        </w:tc>
      </w:tr>
      <w:tr w:rsidR="000C1E59" w:rsidRPr="00B75B77" w:rsidTr="0001564E">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6025" w:type="dxa"/>
            <w:hideMark/>
          </w:tcPr>
          <w:p w:rsidR="000C1E59" w:rsidRPr="00B75B77" w:rsidRDefault="000C1E59" w:rsidP="00F94CBE">
            <w:pPr>
              <w:jc w:val="left"/>
              <w:rPr>
                <w:rFonts w:ascii="Calibri" w:eastAsia="Times New Roman" w:hAnsi="Calibri"/>
                <w:color w:val="000000"/>
                <w:szCs w:val="18"/>
              </w:rPr>
            </w:pPr>
            <w:r w:rsidRPr="00B75B77">
              <w:rPr>
                <w:rFonts w:ascii="Calibri" w:eastAsia="Times New Roman" w:hAnsi="Calibri"/>
                <w:bCs w:val="0"/>
                <w:color w:val="000000"/>
                <w:szCs w:val="18"/>
              </w:rPr>
              <w:t>GNI Verified Gross Savings</w:t>
            </w:r>
            <w:r w:rsidRPr="00B75B77">
              <w:rPr>
                <w:rFonts w:ascii="Calibri" w:eastAsia="Times New Roman" w:hAnsi="Calibri"/>
                <w:color w:val="000000"/>
                <w:szCs w:val="18"/>
              </w:rPr>
              <w:br/>
            </w:r>
            <w:r w:rsidRPr="00B75B77">
              <w:rPr>
                <w:rFonts w:ascii="Calibri" w:eastAsia="Times New Roman" w:hAnsi="Calibri"/>
                <w:b w:val="0"/>
                <w:color w:val="000000"/>
                <w:szCs w:val="18"/>
              </w:rPr>
              <w:t>(Cumulative Annual MWh/</w:t>
            </w:r>
            <w:proofErr w:type="spellStart"/>
            <w:r w:rsidRPr="00B75B77">
              <w:rPr>
                <w:rFonts w:ascii="Calibri" w:eastAsia="Times New Roman" w:hAnsi="Calibri"/>
                <w:b w:val="0"/>
                <w:color w:val="000000"/>
                <w:szCs w:val="18"/>
              </w:rPr>
              <w:t>Yr</w:t>
            </w:r>
            <w:proofErr w:type="spellEnd"/>
            <w:r w:rsidRPr="00B75B77">
              <w:rPr>
                <w:rFonts w:ascii="Calibri" w:eastAsia="Times New Roman" w:hAnsi="Calibri"/>
                <w:b w:val="0"/>
                <w:color w:val="000000"/>
                <w:szCs w:val="18"/>
              </w:rPr>
              <w:t>)</w:t>
            </w:r>
          </w:p>
        </w:tc>
        <w:tc>
          <w:tcPr>
            <w:tcW w:w="2065" w:type="dxa"/>
            <w:hideMark/>
          </w:tcPr>
          <w:p w:rsidR="000C1E59" w:rsidRPr="00B75B77" w:rsidRDefault="000C1E59" w:rsidP="00F94C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22</w:t>
            </w:r>
            <w:r w:rsidR="00EE6E95" w:rsidRPr="00B75B77">
              <w:rPr>
                <w:rFonts w:ascii="Calibri" w:eastAsia="Times New Roman" w:hAnsi="Calibri"/>
                <w:color w:val="000000"/>
                <w:szCs w:val="18"/>
              </w:rPr>
              <w:t>7,985</w:t>
            </w:r>
          </w:p>
        </w:tc>
      </w:tr>
      <w:tr w:rsidR="000C1E59" w:rsidRPr="00B75B77" w:rsidTr="0001564E">
        <w:trPr>
          <w:cnfStyle w:val="000000010000" w:firstRow="0" w:lastRow="0" w:firstColumn="0" w:lastColumn="0" w:oddVBand="0" w:evenVBand="0" w:oddHBand="0" w:evenHBand="1"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6025" w:type="dxa"/>
            <w:hideMark/>
          </w:tcPr>
          <w:p w:rsidR="000C1E59" w:rsidRPr="00B75B77" w:rsidRDefault="000C1E59" w:rsidP="00F94CBE">
            <w:pPr>
              <w:jc w:val="left"/>
              <w:rPr>
                <w:rFonts w:ascii="Calibri" w:eastAsia="Times New Roman" w:hAnsi="Calibri"/>
                <w:color w:val="000000"/>
                <w:szCs w:val="18"/>
              </w:rPr>
            </w:pPr>
            <w:r w:rsidRPr="00B75B77">
              <w:rPr>
                <w:rFonts w:ascii="Calibri" w:eastAsia="Times New Roman" w:hAnsi="Calibri"/>
                <w:bCs w:val="0"/>
                <w:color w:val="000000"/>
                <w:szCs w:val="18"/>
              </w:rPr>
              <w:t>GNI Verified Gross Savings Carried Over from Phase I</w:t>
            </w:r>
            <w:r w:rsidRPr="00B75B77">
              <w:rPr>
                <w:rFonts w:ascii="Calibri" w:eastAsia="Times New Roman" w:hAnsi="Calibri"/>
                <w:color w:val="000000"/>
                <w:szCs w:val="18"/>
              </w:rPr>
              <w:br/>
            </w:r>
            <w:r w:rsidRPr="00B75B77">
              <w:rPr>
                <w:rFonts w:ascii="Calibri" w:eastAsia="Times New Roman" w:hAnsi="Calibri"/>
                <w:b w:val="0"/>
                <w:color w:val="000000"/>
                <w:szCs w:val="18"/>
              </w:rPr>
              <w:t>(Cumulative Annual MWh/</w:t>
            </w:r>
            <w:proofErr w:type="spellStart"/>
            <w:r w:rsidRPr="00B75B77">
              <w:rPr>
                <w:rFonts w:ascii="Calibri" w:eastAsia="Times New Roman" w:hAnsi="Calibri"/>
                <w:b w:val="0"/>
                <w:color w:val="000000"/>
                <w:szCs w:val="18"/>
              </w:rPr>
              <w:t>Yr</w:t>
            </w:r>
            <w:proofErr w:type="spellEnd"/>
            <w:r w:rsidRPr="00B75B77">
              <w:rPr>
                <w:rFonts w:ascii="Calibri" w:eastAsia="Times New Roman" w:hAnsi="Calibri"/>
                <w:b w:val="0"/>
                <w:color w:val="000000"/>
                <w:szCs w:val="18"/>
              </w:rPr>
              <w:t>)</w:t>
            </w:r>
          </w:p>
        </w:tc>
        <w:tc>
          <w:tcPr>
            <w:tcW w:w="2065" w:type="dxa"/>
            <w:hideMark/>
          </w:tcPr>
          <w:p w:rsidR="000C1E59" w:rsidRPr="00B75B77" w:rsidRDefault="000C1E59" w:rsidP="00F94CB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77,961</w:t>
            </w:r>
          </w:p>
        </w:tc>
      </w:tr>
      <w:tr w:rsidR="000C1E59" w:rsidRPr="00B75B77" w:rsidTr="0001564E">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6025" w:type="dxa"/>
            <w:hideMark/>
          </w:tcPr>
          <w:p w:rsidR="000C1E59" w:rsidRPr="00B75B77" w:rsidRDefault="000C1E59" w:rsidP="00F94CBE">
            <w:pPr>
              <w:jc w:val="left"/>
              <w:rPr>
                <w:rFonts w:ascii="Calibri" w:eastAsia="Times New Roman" w:hAnsi="Calibri"/>
                <w:color w:val="000000"/>
                <w:szCs w:val="18"/>
              </w:rPr>
            </w:pPr>
            <w:r w:rsidRPr="00B75B77">
              <w:rPr>
                <w:rFonts w:ascii="Calibri" w:eastAsia="Times New Roman" w:hAnsi="Calibri"/>
                <w:bCs w:val="0"/>
                <w:color w:val="000000"/>
                <w:szCs w:val="18"/>
              </w:rPr>
              <w:t>All GNI Verified Gross Savings</w:t>
            </w:r>
            <w:r w:rsidRPr="00B75B77">
              <w:rPr>
                <w:rFonts w:ascii="Calibri" w:eastAsia="Times New Roman" w:hAnsi="Calibri"/>
                <w:color w:val="000000"/>
                <w:szCs w:val="18"/>
              </w:rPr>
              <w:br/>
            </w:r>
            <w:r w:rsidRPr="00B75B77">
              <w:rPr>
                <w:rFonts w:ascii="Calibri" w:eastAsia="Times New Roman" w:hAnsi="Calibri"/>
                <w:b w:val="0"/>
                <w:color w:val="000000"/>
                <w:szCs w:val="18"/>
              </w:rPr>
              <w:t>(Sum of First Two Rows)</w:t>
            </w:r>
          </w:p>
        </w:tc>
        <w:tc>
          <w:tcPr>
            <w:tcW w:w="2065" w:type="dxa"/>
            <w:hideMark/>
          </w:tcPr>
          <w:p w:rsidR="000C1E59" w:rsidRPr="00B75B77" w:rsidRDefault="000C1E59" w:rsidP="00F94C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30</w:t>
            </w:r>
            <w:r w:rsidR="00EE6E95" w:rsidRPr="00B75B77">
              <w:rPr>
                <w:rFonts w:ascii="Calibri" w:eastAsia="Times New Roman" w:hAnsi="Calibri"/>
                <w:color w:val="000000"/>
                <w:szCs w:val="18"/>
              </w:rPr>
              <w:t>5,946</w:t>
            </w:r>
          </w:p>
        </w:tc>
      </w:tr>
      <w:tr w:rsidR="000C1E59" w:rsidRPr="00B75B77" w:rsidTr="0001564E">
        <w:trPr>
          <w:cnfStyle w:val="000000010000" w:firstRow="0" w:lastRow="0" w:firstColumn="0" w:lastColumn="0" w:oddVBand="0" w:evenVBand="0" w:oddHBand="0" w:evenHBand="1"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6025" w:type="dxa"/>
            <w:hideMark/>
          </w:tcPr>
          <w:p w:rsidR="000C1E59" w:rsidRPr="00B75B77" w:rsidRDefault="000C1E59" w:rsidP="00F94CBE">
            <w:pPr>
              <w:jc w:val="left"/>
              <w:rPr>
                <w:rFonts w:ascii="Calibri" w:eastAsia="Times New Roman" w:hAnsi="Calibri"/>
                <w:color w:val="000000"/>
                <w:szCs w:val="18"/>
              </w:rPr>
            </w:pPr>
            <w:r w:rsidRPr="00B75B77">
              <w:rPr>
                <w:rFonts w:ascii="Calibri" w:eastAsia="Times New Roman" w:hAnsi="Calibri"/>
                <w:bCs w:val="0"/>
                <w:color w:val="000000"/>
                <w:szCs w:val="18"/>
              </w:rPr>
              <w:t>Progress Toward GNI Goal from All Programs + CO</w:t>
            </w:r>
            <w:r w:rsidRPr="00B75B77">
              <w:rPr>
                <w:rFonts w:ascii="Calibri" w:eastAsia="Times New Roman" w:hAnsi="Calibri"/>
                <w:color w:val="000000"/>
                <w:szCs w:val="18"/>
              </w:rPr>
              <w:br/>
            </w:r>
            <w:r w:rsidRPr="00B75B77">
              <w:rPr>
                <w:rFonts w:ascii="Calibri" w:eastAsia="Times New Roman" w:hAnsi="Calibri"/>
                <w:b w:val="0"/>
                <w:color w:val="000000"/>
                <w:szCs w:val="18"/>
              </w:rPr>
              <w:t>(Previous Row divided by Phase II MWh Target)</w:t>
            </w:r>
          </w:p>
        </w:tc>
        <w:tc>
          <w:tcPr>
            <w:tcW w:w="2065" w:type="dxa"/>
            <w:hideMark/>
          </w:tcPr>
          <w:p w:rsidR="000C1E59" w:rsidRPr="00B75B77" w:rsidRDefault="000C1E59" w:rsidP="00F94CB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272%</w:t>
            </w:r>
          </w:p>
        </w:tc>
      </w:tr>
      <w:tr w:rsidR="000C1E59" w:rsidRPr="00B75B77" w:rsidTr="0001564E">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6025" w:type="dxa"/>
            <w:hideMark/>
          </w:tcPr>
          <w:p w:rsidR="000C1E59" w:rsidRPr="00B75B77" w:rsidRDefault="000C1E59" w:rsidP="00F94CBE">
            <w:pPr>
              <w:jc w:val="left"/>
              <w:rPr>
                <w:rFonts w:ascii="Calibri" w:eastAsia="Times New Roman" w:hAnsi="Calibri"/>
                <w:color w:val="000000"/>
                <w:szCs w:val="18"/>
              </w:rPr>
            </w:pPr>
            <w:r w:rsidRPr="00B75B77">
              <w:rPr>
                <w:rFonts w:ascii="Calibri" w:eastAsia="Times New Roman" w:hAnsi="Calibri"/>
                <w:bCs w:val="0"/>
                <w:color w:val="000000"/>
                <w:szCs w:val="18"/>
              </w:rPr>
              <w:t>Progress Toward GNI Goal from All Phase II Programs Only</w:t>
            </w:r>
            <w:r w:rsidRPr="00B75B77">
              <w:rPr>
                <w:rFonts w:ascii="Calibri" w:eastAsia="Times New Roman" w:hAnsi="Calibri"/>
                <w:color w:val="000000"/>
                <w:szCs w:val="18"/>
              </w:rPr>
              <w:br/>
            </w:r>
            <w:r w:rsidRPr="00B75B77">
              <w:rPr>
                <w:rFonts w:ascii="Calibri" w:eastAsia="Times New Roman" w:hAnsi="Calibri"/>
                <w:b w:val="0"/>
                <w:color w:val="000000"/>
                <w:szCs w:val="18"/>
              </w:rPr>
              <w:t>(First Row divided by Phase II MWh Target)</w:t>
            </w:r>
          </w:p>
        </w:tc>
        <w:tc>
          <w:tcPr>
            <w:tcW w:w="2065" w:type="dxa"/>
            <w:hideMark/>
          </w:tcPr>
          <w:p w:rsidR="000C1E59" w:rsidRPr="00B75B77" w:rsidRDefault="000C1E59" w:rsidP="00F94C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203%</w:t>
            </w:r>
          </w:p>
        </w:tc>
      </w:tr>
      <w:tr w:rsidR="000C1E59" w:rsidRPr="00B75B77" w:rsidTr="0001564E">
        <w:trPr>
          <w:cnfStyle w:val="000000010000" w:firstRow="0" w:lastRow="0" w:firstColumn="0" w:lastColumn="0" w:oddVBand="0" w:evenVBand="0" w:oddHBand="0" w:evenHBand="1" w:firstRowFirstColumn="0" w:firstRowLastColumn="0" w:lastRowFirstColumn="0" w:lastRowLastColumn="0"/>
          <w:trHeight w:val="552"/>
          <w:jc w:val="center"/>
        </w:trPr>
        <w:tc>
          <w:tcPr>
            <w:cnfStyle w:val="001000000000" w:firstRow="0" w:lastRow="0" w:firstColumn="1" w:lastColumn="0" w:oddVBand="0" w:evenVBand="0" w:oddHBand="0" w:evenHBand="0" w:firstRowFirstColumn="0" w:firstRowLastColumn="0" w:lastRowFirstColumn="0" w:lastRowLastColumn="0"/>
            <w:tcW w:w="6025" w:type="dxa"/>
            <w:hideMark/>
          </w:tcPr>
          <w:p w:rsidR="000C1E59" w:rsidRPr="00B75B77" w:rsidRDefault="000C1E59" w:rsidP="00F94CBE">
            <w:pPr>
              <w:jc w:val="left"/>
              <w:rPr>
                <w:rFonts w:ascii="Calibri" w:eastAsia="Times New Roman" w:hAnsi="Calibri"/>
                <w:color w:val="000000"/>
                <w:szCs w:val="18"/>
              </w:rPr>
            </w:pPr>
            <w:r w:rsidRPr="00B75B77">
              <w:rPr>
                <w:rFonts w:ascii="Calibri" w:eastAsia="Times New Roman" w:hAnsi="Calibri"/>
                <w:bCs w:val="0"/>
                <w:color w:val="000000"/>
                <w:szCs w:val="18"/>
              </w:rPr>
              <w:t>Goal</w:t>
            </w:r>
            <w:r w:rsidRPr="00B75B77">
              <w:rPr>
                <w:rFonts w:ascii="Calibri" w:eastAsia="Times New Roman" w:hAnsi="Calibri"/>
                <w:color w:val="000000"/>
                <w:szCs w:val="18"/>
              </w:rPr>
              <w:t xml:space="preserve"> (10.0% of portfolio savings target)</w:t>
            </w:r>
            <w:r w:rsidRPr="00B75B77">
              <w:rPr>
                <w:rFonts w:ascii="Calibri" w:eastAsia="Times New Roman" w:hAnsi="Calibri"/>
                <w:color w:val="000000"/>
                <w:szCs w:val="18"/>
              </w:rPr>
              <w:br/>
            </w:r>
            <w:r w:rsidRPr="00B75B77">
              <w:rPr>
                <w:rFonts w:ascii="Calibri" w:eastAsia="Times New Roman" w:hAnsi="Calibri"/>
                <w:b w:val="0"/>
                <w:color w:val="000000"/>
                <w:szCs w:val="18"/>
              </w:rPr>
              <w:t>(MWh/</w:t>
            </w:r>
            <w:proofErr w:type="spellStart"/>
            <w:r w:rsidRPr="00B75B77">
              <w:rPr>
                <w:rFonts w:ascii="Calibri" w:eastAsia="Times New Roman" w:hAnsi="Calibri"/>
                <w:b w:val="0"/>
                <w:color w:val="000000"/>
                <w:szCs w:val="18"/>
              </w:rPr>
              <w:t>Yr</w:t>
            </w:r>
            <w:proofErr w:type="spellEnd"/>
            <w:r w:rsidRPr="00B75B77">
              <w:rPr>
                <w:rFonts w:ascii="Calibri" w:eastAsia="Times New Roman" w:hAnsi="Calibri"/>
                <w:b w:val="0"/>
                <w:color w:val="000000"/>
                <w:szCs w:val="18"/>
              </w:rPr>
              <w:t>)</w:t>
            </w:r>
          </w:p>
        </w:tc>
        <w:tc>
          <w:tcPr>
            <w:tcW w:w="2065" w:type="dxa"/>
            <w:hideMark/>
          </w:tcPr>
          <w:p w:rsidR="000C1E59" w:rsidRPr="00B75B77" w:rsidRDefault="000C1E59" w:rsidP="00F94CB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112,585</w:t>
            </w:r>
          </w:p>
        </w:tc>
      </w:tr>
    </w:tbl>
    <w:p w:rsidR="000C1E59" w:rsidRPr="00B75B77" w:rsidRDefault="000C1E59" w:rsidP="0001564E">
      <w:pPr>
        <w:pStyle w:val="Source"/>
        <w:spacing w:before="20" w:after="20"/>
        <w:ind w:right="540" w:firstLine="0"/>
        <w:rPr>
          <w:rStyle w:val="Strong"/>
          <w:b w:val="0"/>
          <w:bCs w:val="0"/>
          <w:i w:val="0"/>
        </w:rPr>
      </w:pPr>
      <w:r w:rsidRPr="00B75B77">
        <w:rPr>
          <w:rStyle w:val="Strong"/>
          <w:b w:val="0"/>
          <w:bCs w:val="0"/>
          <w:i w:val="0"/>
        </w:rPr>
        <w:t xml:space="preserve">Note: </w:t>
      </w:r>
      <w:r w:rsidRPr="00B75B77">
        <w:rPr>
          <w:rFonts w:ascii="Calibri" w:hAnsi="Calibri"/>
          <w:i w:val="0"/>
          <w:iCs/>
          <w:color w:val="000000"/>
          <w:szCs w:val="18"/>
        </w:rPr>
        <w:t>Values in tables may not reconcile exactly with the sum of more detailed level results or previously reported results due to rounding.</w:t>
      </w:r>
    </w:p>
    <w:p w:rsidR="000C1E59" w:rsidRPr="00B75B77" w:rsidRDefault="000C1E59" w:rsidP="0001564E">
      <w:pPr>
        <w:pStyle w:val="Source"/>
        <w:ind w:right="540" w:firstLine="0"/>
      </w:pPr>
      <w:r w:rsidRPr="00B75B77">
        <w:rPr>
          <w:rStyle w:val="Strong"/>
          <w:b w:val="0"/>
          <w:bCs w:val="0"/>
        </w:rPr>
        <w:t>Source: Navigant analysis</w:t>
      </w:r>
    </w:p>
    <w:p w:rsidR="000C1E59" w:rsidRPr="00B75B77" w:rsidRDefault="000C1E59" w:rsidP="00A355C0"/>
    <w:p w:rsidR="000C1E59" w:rsidRPr="00B75B77" w:rsidRDefault="000C1E59" w:rsidP="00C811F2"/>
    <w:p w:rsidR="000C1E59" w:rsidRPr="00B75B77" w:rsidRDefault="000C1E59" w:rsidP="007D4A93">
      <w:pPr>
        <w:pStyle w:val="Caption"/>
      </w:pPr>
      <w:bookmarkStart w:id="73" w:name="_Ref448933161"/>
      <w:bookmarkStart w:id="74" w:name="_Ref392511898"/>
      <w:bookmarkStart w:id="75" w:name="_Toc449689425"/>
      <w:bookmarkStart w:id="76" w:name="_Toc466413661"/>
      <w:bookmarkEnd w:id="66"/>
      <w:r w:rsidRPr="00B75B77">
        <w:lastRenderedPageBreak/>
        <w:t xml:space="preserve">Figure </w:t>
      </w:r>
      <w:fldSimple w:instr=" STYLEREF 1 \s ">
        <w:r w:rsidR="0004016D">
          <w:rPr>
            <w:noProof/>
          </w:rPr>
          <w:t>1</w:t>
        </w:r>
      </w:fldSimple>
      <w:r w:rsidRPr="00B75B77">
        <w:noBreakHyphen/>
      </w:r>
      <w:fldSimple w:instr=" SEQ Figure \* ARABIC \s 1 ">
        <w:r w:rsidR="0004016D">
          <w:rPr>
            <w:noProof/>
          </w:rPr>
          <w:t>3</w:t>
        </w:r>
      </w:fldSimple>
      <w:bookmarkEnd w:id="73"/>
      <w:r w:rsidRPr="00B75B77">
        <w:rPr>
          <w:noProof/>
        </w:rPr>
        <w:t>:</w:t>
      </w:r>
      <w:r w:rsidRPr="00B75B77">
        <w:t xml:space="preserve"> Government, Nonprofit, and Institutional Sector Phase II Verified Gross Energy Impacts</w:t>
      </w:r>
      <w:bookmarkEnd w:id="74"/>
      <w:bookmarkEnd w:id="75"/>
      <w:bookmarkEnd w:id="76"/>
      <w:r w:rsidR="005A362D" w:rsidRPr="00B75B77">
        <w:rPr>
          <w:rStyle w:val="CommentReference"/>
          <w:rFonts w:asciiTheme="minorHAnsi" w:hAnsiTheme="minorHAnsi"/>
          <w:b w:val="0"/>
          <w:color w:val="auto"/>
        </w:rPr>
        <w:t xml:space="preserve"> </w:t>
      </w:r>
      <w:r w:rsidR="005A362D" w:rsidRPr="00B75B77">
        <w:t xml:space="preserve"> </w:t>
      </w:r>
      <w:r w:rsidR="005A362D" w:rsidRPr="00B75B77">
        <w:rPr>
          <w:rStyle w:val="CommentReference"/>
          <w:rFonts w:asciiTheme="minorHAnsi" w:hAnsiTheme="minorHAnsi"/>
          <w:b w:val="0"/>
          <w:bCs w:val="0"/>
          <w:color w:val="auto"/>
        </w:rPr>
        <w:t xml:space="preserve"> </w:t>
      </w:r>
    </w:p>
    <w:p w:rsidR="003001C5" w:rsidRPr="00B75B77" w:rsidRDefault="003001C5" w:rsidP="00E86423">
      <w:r w:rsidRPr="00B75B77">
        <w:rPr>
          <w:noProof/>
        </w:rPr>
        <w:drawing>
          <wp:inline distT="0" distB="0" distL="0" distR="0" wp14:anchorId="1C13D711" wp14:editId="402E73FA">
            <wp:extent cx="5494443" cy="3310255"/>
            <wp:effectExtent l="0" t="0" r="0" b="4445"/>
            <wp:docPr id="321" name="Chart 3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001C5" w:rsidRPr="00B75B77" w:rsidRDefault="003001C5" w:rsidP="003001C5">
      <w:pPr>
        <w:pStyle w:val="Source"/>
        <w:ind w:left="0" w:firstLine="1440"/>
        <w:jc w:val="both"/>
      </w:pPr>
      <w:r w:rsidRPr="00B75B77">
        <w:rPr>
          <w:rStyle w:val="Strong"/>
          <w:b w:val="0"/>
          <w:bCs w:val="0"/>
        </w:rPr>
        <w:t>Source: Navigant analysis</w:t>
      </w:r>
    </w:p>
    <w:p w:rsidR="003001C5" w:rsidRPr="00B75B77" w:rsidRDefault="003001C5" w:rsidP="00E86423"/>
    <w:p w:rsidR="000C1E59" w:rsidRPr="00B75B77" w:rsidRDefault="000C1E59" w:rsidP="00E86423">
      <w:pPr>
        <w:rPr>
          <w:noProof/>
        </w:rPr>
      </w:pPr>
      <w:r w:rsidRPr="00B75B77">
        <w:t xml:space="preserve">A summary of the number of participants, Phase II verified gross energy savings, Phase II demand reduction, and incentives paid </w:t>
      </w:r>
      <w:r w:rsidR="001A5A4A">
        <w:t>are</w:t>
      </w:r>
      <w:r w:rsidRPr="00B75B77">
        <w:t xml:space="preserve"> shown in </w:t>
      </w:r>
      <w:r w:rsidR="0001564E" w:rsidRPr="00B75B77">
        <w:fldChar w:fldCharType="begin"/>
      </w:r>
      <w:r w:rsidR="0001564E" w:rsidRPr="00B75B77">
        <w:instrText xml:space="preserve"> REF _Ref464561782 \h </w:instrText>
      </w:r>
      <w:r w:rsidR="00B75B77">
        <w:instrText xml:space="preserve"> \* MERGEFORMAT </w:instrText>
      </w:r>
      <w:r w:rsidR="0001564E" w:rsidRPr="00B75B77">
        <w:fldChar w:fldCharType="separate"/>
      </w:r>
      <w:r w:rsidR="0004016D" w:rsidRPr="00B75B77">
        <w:t xml:space="preserve">Table </w:t>
      </w:r>
      <w:r w:rsidR="0004016D">
        <w:rPr>
          <w:noProof/>
        </w:rPr>
        <w:t>1</w:t>
      </w:r>
      <w:r w:rsidR="0004016D" w:rsidRPr="00B75B77">
        <w:rPr>
          <w:noProof/>
        </w:rPr>
        <w:noBreakHyphen/>
      </w:r>
      <w:r w:rsidR="0004016D">
        <w:rPr>
          <w:noProof/>
        </w:rPr>
        <w:t>8</w:t>
      </w:r>
      <w:r w:rsidR="0001564E" w:rsidRPr="00B75B77">
        <w:fldChar w:fldCharType="end"/>
      </w:r>
      <w:r w:rsidRPr="00B75B77">
        <w:t>.</w:t>
      </w:r>
    </w:p>
    <w:p w:rsidR="000C1E59" w:rsidRPr="00B75B77" w:rsidRDefault="000C1E59" w:rsidP="00E86423"/>
    <w:p w:rsidR="000C1E59" w:rsidRPr="00B75B77" w:rsidRDefault="0001564E" w:rsidP="0001564E">
      <w:pPr>
        <w:pStyle w:val="Caption"/>
      </w:pPr>
      <w:bookmarkStart w:id="77" w:name="_Ref464561782"/>
      <w:bookmarkStart w:id="78" w:name="_Ref448933179"/>
      <w:bookmarkStart w:id="79" w:name="_Toc453075278"/>
      <w:bookmarkStart w:id="80" w:name="_Toc466413490"/>
      <w:r w:rsidRPr="00B75B77">
        <w:t xml:space="preserve">Table </w:t>
      </w:r>
      <w:fldSimple w:instr=" STYLEREF 1 \s ">
        <w:r w:rsidR="0004016D">
          <w:rPr>
            <w:noProof/>
          </w:rPr>
          <w:t>1</w:t>
        </w:r>
      </w:fldSimple>
      <w:r w:rsidR="00F1144C" w:rsidRPr="00B75B77">
        <w:noBreakHyphen/>
      </w:r>
      <w:fldSimple w:instr=" SEQ Table \* ARABIC \s 1 ">
        <w:r w:rsidR="0004016D">
          <w:rPr>
            <w:noProof/>
          </w:rPr>
          <w:t>8</w:t>
        </w:r>
      </w:fldSimple>
      <w:bookmarkEnd w:id="77"/>
      <w:r w:rsidRPr="00B75B77">
        <w:t xml:space="preserve">: Summary of Phase II Performance by </w:t>
      </w:r>
      <w:bookmarkEnd w:id="78"/>
      <w:r w:rsidR="000C1E59" w:rsidRPr="00B75B77" w:rsidDel="0001564E">
        <w:t>Sector</w:t>
      </w:r>
      <w:bookmarkEnd w:id="79"/>
      <w:bookmarkEnd w:id="80"/>
    </w:p>
    <w:tbl>
      <w:tblPr>
        <w:tblW w:w="9445" w:type="dxa"/>
        <w:tblLook w:val="04A0" w:firstRow="1" w:lastRow="0" w:firstColumn="1" w:lastColumn="0" w:noHBand="0" w:noVBand="1"/>
      </w:tblPr>
      <w:tblGrid>
        <w:gridCol w:w="1885"/>
        <w:gridCol w:w="1170"/>
        <w:gridCol w:w="1350"/>
        <w:gridCol w:w="1440"/>
        <w:gridCol w:w="1260"/>
        <w:gridCol w:w="1350"/>
        <w:gridCol w:w="990"/>
      </w:tblGrid>
      <w:tr w:rsidR="000C1E59" w:rsidRPr="00B75B77" w:rsidTr="00515B43">
        <w:trPr>
          <w:divId w:val="167259548"/>
          <w:trHeight w:val="480"/>
        </w:trPr>
        <w:tc>
          <w:tcPr>
            <w:tcW w:w="1885" w:type="dxa"/>
            <w:tcBorders>
              <w:top w:val="single" w:sz="4" w:space="0" w:color="auto"/>
              <w:left w:val="single" w:sz="4" w:space="0" w:color="auto"/>
              <w:bottom w:val="single" w:sz="4" w:space="0" w:color="auto"/>
              <w:right w:val="single" w:sz="4" w:space="0" w:color="auto"/>
            </w:tcBorders>
            <w:shd w:val="clear" w:color="000000" w:fill="448A99"/>
            <w:vAlign w:val="center"/>
            <w:hideMark/>
          </w:tcPr>
          <w:p w:rsidR="000C1E59" w:rsidRPr="00B75B77" w:rsidRDefault="000C1E59" w:rsidP="00F94CBE">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Sector </w:t>
            </w:r>
            <w:r w:rsidRPr="00B75B77">
              <w:rPr>
                <w:rFonts w:ascii="Calibri" w:eastAsia="Times New Roman" w:hAnsi="Calibri"/>
                <w:b/>
                <w:bCs/>
                <w:color w:val="FFFFFF" w:themeColor="background1"/>
                <w:sz w:val="18"/>
                <w:szCs w:val="18"/>
                <w:vertAlign w:val="superscript"/>
              </w:rPr>
              <w:t>[1]</w:t>
            </w:r>
          </w:p>
        </w:tc>
        <w:tc>
          <w:tcPr>
            <w:tcW w:w="1170"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F94CBE">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Participants</w:t>
            </w:r>
          </w:p>
        </w:tc>
        <w:tc>
          <w:tcPr>
            <w:tcW w:w="1350"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F94CBE">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Phase II Reported Gross Energy Savings (MWh/</w:t>
            </w:r>
            <w:proofErr w:type="spellStart"/>
            <w:r w:rsidRPr="00B75B77">
              <w:rPr>
                <w:rFonts w:ascii="Calibri" w:eastAsia="Times New Roman" w:hAnsi="Calibri"/>
                <w:b/>
                <w:bCs/>
                <w:color w:val="FFFFFF"/>
                <w:sz w:val="18"/>
                <w:szCs w:val="18"/>
              </w:rPr>
              <w:t>yr</w:t>
            </w:r>
            <w:proofErr w:type="spellEnd"/>
            <w:r w:rsidRPr="00B75B77">
              <w:rPr>
                <w:rFonts w:ascii="Calibri" w:eastAsia="Times New Roman" w:hAnsi="Calibri"/>
                <w:b/>
                <w:bCs/>
                <w:color w:val="FFFFFF"/>
                <w:sz w:val="18"/>
                <w:szCs w:val="18"/>
              </w:rPr>
              <w:t>)</w:t>
            </w:r>
          </w:p>
        </w:tc>
        <w:tc>
          <w:tcPr>
            <w:tcW w:w="1440"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F94CBE">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Phase II Reported Gross Demand Reduction </w:t>
            </w:r>
            <w:r w:rsidRPr="00B75B77">
              <w:rPr>
                <w:rFonts w:ascii="Calibri" w:eastAsia="Times New Roman" w:hAnsi="Calibri"/>
                <w:b/>
                <w:bCs/>
                <w:color w:val="FFFFFF" w:themeColor="background1"/>
                <w:sz w:val="18"/>
                <w:szCs w:val="18"/>
                <w:vertAlign w:val="superscript"/>
              </w:rPr>
              <w:t>[2]</w:t>
            </w:r>
            <w:r w:rsidRPr="00B75B77">
              <w:rPr>
                <w:rFonts w:ascii="Calibri" w:eastAsia="Times New Roman" w:hAnsi="Calibri"/>
                <w:b/>
                <w:bCs/>
                <w:color w:val="FFFFFF"/>
                <w:sz w:val="18"/>
                <w:szCs w:val="18"/>
              </w:rPr>
              <w:t xml:space="preserve"> (MW)</w:t>
            </w:r>
          </w:p>
        </w:tc>
        <w:tc>
          <w:tcPr>
            <w:tcW w:w="1260"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F94CBE">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Phase II Verified Gross Energy Savings (MWh/</w:t>
            </w:r>
            <w:proofErr w:type="spellStart"/>
            <w:r w:rsidRPr="00B75B77">
              <w:rPr>
                <w:rFonts w:ascii="Calibri" w:eastAsia="Times New Roman" w:hAnsi="Calibri"/>
                <w:b/>
                <w:bCs/>
                <w:color w:val="FFFFFF"/>
                <w:sz w:val="18"/>
                <w:szCs w:val="18"/>
              </w:rPr>
              <w:t>yr</w:t>
            </w:r>
            <w:proofErr w:type="spellEnd"/>
            <w:r w:rsidRPr="00B75B77">
              <w:rPr>
                <w:rFonts w:ascii="Calibri" w:eastAsia="Times New Roman" w:hAnsi="Calibri"/>
                <w:b/>
                <w:bCs/>
                <w:color w:val="FFFFFF"/>
                <w:sz w:val="18"/>
                <w:szCs w:val="18"/>
              </w:rPr>
              <w:t>)</w:t>
            </w:r>
          </w:p>
        </w:tc>
        <w:tc>
          <w:tcPr>
            <w:tcW w:w="1350"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F94CBE">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Phase II Verified Gross Demand Reduction </w:t>
            </w:r>
            <w:r w:rsidRPr="00B75B77">
              <w:rPr>
                <w:rFonts w:ascii="Calibri" w:eastAsia="Times New Roman" w:hAnsi="Calibri"/>
                <w:b/>
                <w:bCs/>
                <w:color w:val="FFFFFF" w:themeColor="background1"/>
                <w:sz w:val="18"/>
                <w:szCs w:val="18"/>
                <w:vertAlign w:val="superscript"/>
              </w:rPr>
              <w:t>[2]</w:t>
            </w:r>
            <w:r w:rsidRPr="00B75B77">
              <w:rPr>
                <w:rFonts w:ascii="Calibri" w:eastAsia="Times New Roman" w:hAnsi="Calibri"/>
                <w:b/>
                <w:bCs/>
                <w:color w:val="FFFFFF"/>
                <w:sz w:val="18"/>
                <w:szCs w:val="18"/>
              </w:rPr>
              <w:t xml:space="preserve"> (MW)</w:t>
            </w:r>
          </w:p>
        </w:tc>
        <w:tc>
          <w:tcPr>
            <w:tcW w:w="990"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F94CBE">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Incentives Paid ($1,000)</w:t>
            </w:r>
          </w:p>
        </w:tc>
      </w:tr>
    </w:tbl>
    <w:tbl>
      <w:tblPr>
        <w:tblW w:w="9445" w:type="dxa"/>
        <w:tblLayout w:type="fixed"/>
        <w:tblLook w:val="04A0" w:firstRow="1" w:lastRow="0" w:firstColumn="1" w:lastColumn="0" w:noHBand="0" w:noVBand="1"/>
      </w:tblPr>
      <w:tblGrid>
        <w:gridCol w:w="1885"/>
        <w:gridCol w:w="1170"/>
        <w:gridCol w:w="1350"/>
        <w:gridCol w:w="1440"/>
        <w:gridCol w:w="1260"/>
        <w:gridCol w:w="1350"/>
        <w:gridCol w:w="990"/>
      </w:tblGrid>
      <w:tr w:rsidR="000C1E59" w:rsidRPr="00B75B77" w:rsidTr="00515B43">
        <w:trPr>
          <w:trHeight w:val="300"/>
        </w:trPr>
        <w:tc>
          <w:tcPr>
            <w:tcW w:w="1885"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F94CBE">
            <w:pPr>
              <w:jc w:val="left"/>
              <w:rPr>
                <w:rFonts w:ascii="Calibri" w:eastAsia="Times New Roman" w:hAnsi="Calibri"/>
                <w:color w:val="000000"/>
                <w:sz w:val="18"/>
                <w:szCs w:val="18"/>
              </w:rPr>
            </w:pPr>
            <w:r w:rsidRPr="00B75B77">
              <w:rPr>
                <w:rFonts w:ascii="Calibri" w:eastAsia="Times New Roman" w:hAnsi="Calibri"/>
                <w:color w:val="000000"/>
                <w:sz w:val="18"/>
                <w:szCs w:val="18"/>
              </w:rPr>
              <w:t>Residential (Non-Low-Income)</w:t>
            </w:r>
          </w:p>
        </w:tc>
        <w:tc>
          <w:tcPr>
            <w:tcW w:w="11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7,0</w:t>
            </w:r>
            <w:r w:rsidR="00B93403" w:rsidRPr="00B75B77">
              <w:rPr>
                <w:sz w:val="18"/>
                <w:szCs w:val="18"/>
              </w:rPr>
              <w:t>86,270</w:t>
            </w:r>
          </w:p>
        </w:tc>
        <w:tc>
          <w:tcPr>
            <w:tcW w:w="135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B93403">
            <w:pPr>
              <w:jc w:val="center"/>
              <w:rPr>
                <w:rFonts w:ascii="Calibri" w:eastAsia="Times New Roman" w:hAnsi="Calibri"/>
                <w:color w:val="000000"/>
                <w:sz w:val="18"/>
                <w:szCs w:val="18"/>
              </w:rPr>
            </w:pPr>
            <w:r w:rsidRPr="00B75B77">
              <w:rPr>
                <w:sz w:val="18"/>
                <w:szCs w:val="18"/>
              </w:rPr>
              <w:t>40</w:t>
            </w:r>
            <w:r w:rsidR="001E0B91" w:rsidRPr="00B75B77">
              <w:rPr>
                <w:sz w:val="18"/>
                <w:szCs w:val="18"/>
              </w:rPr>
              <w:t>4,975</w:t>
            </w:r>
          </w:p>
        </w:tc>
        <w:tc>
          <w:tcPr>
            <w:tcW w:w="144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107.4</w:t>
            </w:r>
          </w:p>
        </w:tc>
        <w:tc>
          <w:tcPr>
            <w:tcW w:w="126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DB55DE">
            <w:pPr>
              <w:jc w:val="center"/>
              <w:rPr>
                <w:rFonts w:ascii="Calibri" w:eastAsia="Times New Roman" w:hAnsi="Calibri"/>
                <w:color w:val="000000"/>
                <w:sz w:val="18"/>
                <w:szCs w:val="18"/>
              </w:rPr>
            </w:pPr>
            <w:r w:rsidRPr="00B75B77">
              <w:rPr>
                <w:sz w:val="18"/>
                <w:szCs w:val="18"/>
              </w:rPr>
              <w:t>39</w:t>
            </w:r>
            <w:r w:rsidR="001E0B91" w:rsidRPr="00B75B77">
              <w:rPr>
                <w:sz w:val="18"/>
                <w:szCs w:val="18"/>
              </w:rPr>
              <w:t>4,070</w:t>
            </w:r>
          </w:p>
        </w:tc>
        <w:tc>
          <w:tcPr>
            <w:tcW w:w="135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106.0</w:t>
            </w:r>
          </w:p>
        </w:tc>
        <w:tc>
          <w:tcPr>
            <w:tcW w:w="99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57,343</w:t>
            </w:r>
          </w:p>
        </w:tc>
      </w:tr>
      <w:tr w:rsidR="000C1E59" w:rsidRPr="00B75B77" w:rsidTr="00515B43">
        <w:trPr>
          <w:trHeight w:val="300"/>
        </w:trPr>
        <w:tc>
          <w:tcPr>
            <w:tcW w:w="1885"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F94CBE">
            <w:pPr>
              <w:jc w:val="left"/>
              <w:rPr>
                <w:rFonts w:ascii="Calibri" w:eastAsia="Times New Roman" w:hAnsi="Calibri"/>
                <w:color w:val="000000"/>
                <w:sz w:val="18"/>
                <w:szCs w:val="18"/>
              </w:rPr>
            </w:pPr>
            <w:r w:rsidRPr="00B75B77">
              <w:rPr>
                <w:rFonts w:ascii="Calibri" w:eastAsia="Times New Roman" w:hAnsi="Calibri"/>
                <w:color w:val="000000"/>
                <w:sz w:val="18"/>
                <w:szCs w:val="18"/>
              </w:rPr>
              <w:t>Residential (Low-Income)</w:t>
            </w:r>
            <w:r w:rsidRPr="00B75B77">
              <w:rPr>
                <w:rFonts w:ascii="Calibri" w:eastAsia="Times New Roman" w:hAnsi="Calibri"/>
                <w:b/>
                <w:bCs/>
                <w:sz w:val="18"/>
                <w:szCs w:val="18"/>
              </w:rPr>
              <w:t xml:space="preserve"> </w:t>
            </w:r>
            <w:r w:rsidRPr="00B75B77">
              <w:rPr>
                <w:rFonts w:ascii="Calibri" w:eastAsia="Times New Roman" w:hAnsi="Calibri"/>
                <w:b/>
                <w:bCs/>
                <w:sz w:val="18"/>
                <w:szCs w:val="18"/>
                <w:vertAlign w:val="superscript"/>
              </w:rPr>
              <w:t>[3]</w:t>
            </w:r>
          </w:p>
        </w:tc>
        <w:tc>
          <w:tcPr>
            <w:tcW w:w="11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1,5</w:t>
            </w:r>
            <w:r w:rsidR="00B93403" w:rsidRPr="00B75B77">
              <w:rPr>
                <w:sz w:val="18"/>
                <w:szCs w:val="18"/>
              </w:rPr>
              <w:t>44,027</w:t>
            </w:r>
          </w:p>
        </w:tc>
        <w:tc>
          <w:tcPr>
            <w:tcW w:w="135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5</w:t>
            </w:r>
            <w:r w:rsidR="001E0B91" w:rsidRPr="00B75B77">
              <w:rPr>
                <w:sz w:val="18"/>
                <w:szCs w:val="18"/>
              </w:rPr>
              <w:t>2,684</w:t>
            </w:r>
          </w:p>
        </w:tc>
        <w:tc>
          <w:tcPr>
            <w:tcW w:w="144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6.2</w:t>
            </w:r>
          </w:p>
        </w:tc>
        <w:tc>
          <w:tcPr>
            <w:tcW w:w="126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9</w:t>
            </w:r>
            <w:r w:rsidR="001E0B91" w:rsidRPr="00B75B77">
              <w:rPr>
                <w:sz w:val="18"/>
                <w:szCs w:val="18"/>
              </w:rPr>
              <w:t>1,673</w:t>
            </w:r>
          </w:p>
        </w:tc>
        <w:tc>
          <w:tcPr>
            <w:tcW w:w="135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11.5</w:t>
            </w:r>
          </w:p>
        </w:tc>
        <w:tc>
          <w:tcPr>
            <w:tcW w:w="99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4,130</w:t>
            </w:r>
          </w:p>
        </w:tc>
      </w:tr>
      <w:tr w:rsidR="000C1E59" w:rsidRPr="00B75B77" w:rsidTr="00515B43">
        <w:trPr>
          <w:trHeight w:val="300"/>
        </w:trPr>
        <w:tc>
          <w:tcPr>
            <w:tcW w:w="1885"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F94CBE">
            <w:pPr>
              <w:jc w:val="left"/>
              <w:rPr>
                <w:rFonts w:ascii="Calibri" w:eastAsia="Times New Roman" w:hAnsi="Calibri"/>
                <w:color w:val="000000"/>
                <w:sz w:val="18"/>
                <w:szCs w:val="18"/>
              </w:rPr>
            </w:pPr>
            <w:r w:rsidRPr="00B75B77">
              <w:rPr>
                <w:rFonts w:ascii="Calibri" w:eastAsia="Times New Roman" w:hAnsi="Calibri"/>
                <w:color w:val="000000"/>
                <w:sz w:val="18"/>
                <w:szCs w:val="18"/>
              </w:rPr>
              <w:t>Small C</w:t>
            </w:r>
            <w:r w:rsidR="0054073E" w:rsidRPr="00B75B77">
              <w:rPr>
                <w:rFonts w:ascii="Calibri" w:eastAsia="Times New Roman" w:hAnsi="Calibri"/>
                <w:color w:val="000000"/>
                <w:sz w:val="18"/>
                <w:szCs w:val="18"/>
              </w:rPr>
              <w:t>&amp;I</w:t>
            </w:r>
          </w:p>
        </w:tc>
        <w:tc>
          <w:tcPr>
            <w:tcW w:w="11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81,119</w:t>
            </w:r>
          </w:p>
        </w:tc>
        <w:tc>
          <w:tcPr>
            <w:tcW w:w="135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112,748</w:t>
            </w:r>
          </w:p>
        </w:tc>
        <w:tc>
          <w:tcPr>
            <w:tcW w:w="144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21.9</w:t>
            </w:r>
          </w:p>
        </w:tc>
        <w:tc>
          <w:tcPr>
            <w:tcW w:w="126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17</w:t>
            </w:r>
            <w:r w:rsidR="00DB55DE" w:rsidRPr="00B75B77">
              <w:rPr>
                <w:sz w:val="18"/>
                <w:szCs w:val="18"/>
              </w:rPr>
              <w:t>3,009</w:t>
            </w:r>
          </w:p>
        </w:tc>
        <w:tc>
          <w:tcPr>
            <w:tcW w:w="135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37.</w:t>
            </w:r>
            <w:r w:rsidR="00DB55DE" w:rsidRPr="00B75B77">
              <w:rPr>
                <w:sz w:val="18"/>
                <w:szCs w:val="18"/>
              </w:rPr>
              <w:t>5</w:t>
            </w:r>
          </w:p>
        </w:tc>
        <w:tc>
          <w:tcPr>
            <w:tcW w:w="99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7,481</w:t>
            </w:r>
          </w:p>
        </w:tc>
      </w:tr>
      <w:tr w:rsidR="000C1E59" w:rsidRPr="00B75B77" w:rsidTr="00515B43">
        <w:trPr>
          <w:trHeight w:val="300"/>
        </w:trPr>
        <w:tc>
          <w:tcPr>
            <w:tcW w:w="1885"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F94CBE">
            <w:pPr>
              <w:jc w:val="left"/>
              <w:rPr>
                <w:rFonts w:ascii="Calibri" w:eastAsia="Times New Roman" w:hAnsi="Calibri"/>
                <w:color w:val="000000"/>
                <w:sz w:val="18"/>
                <w:szCs w:val="18"/>
              </w:rPr>
            </w:pPr>
            <w:r w:rsidRPr="00B75B77">
              <w:rPr>
                <w:rFonts w:ascii="Calibri" w:eastAsia="Times New Roman" w:hAnsi="Calibri"/>
                <w:color w:val="000000"/>
                <w:sz w:val="18"/>
                <w:szCs w:val="18"/>
              </w:rPr>
              <w:t>Large C</w:t>
            </w:r>
            <w:r w:rsidR="0054073E" w:rsidRPr="00B75B77">
              <w:rPr>
                <w:rFonts w:ascii="Calibri" w:eastAsia="Times New Roman" w:hAnsi="Calibri"/>
                <w:color w:val="000000"/>
                <w:sz w:val="18"/>
                <w:szCs w:val="18"/>
              </w:rPr>
              <w:t>&amp;I</w:t>
            </w:r>
          </w:p>
        </w:tc>
        <w:tc>
          <w:tcPr>
            <w:tcW w:w="11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1,047</w:t>
            </w:r>
          </w:p>
        </w:tc>
        <w:tc>
          <w:tcPr>
            <w:tcW w:w="135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199,294</w:t>
            </w:r>
          </w:p>
        </w:tc>
        <w:tc>
          <w:tcPr>
            <w:tcW w:w="144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29.9</w:t>
            </w:r>
          </w:p>
        </w:tc>
        <w:tc>
          <w:tcPr>
            <w:tcW w:w="126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203,</w:t>
            </w:r>
            <w:r w:rsidR="00DB55DE" w:rsidRPr="00B75B77">
              <w:rPr>
                <w:sz w:val="18"/>
                <w:szCs w:val="18"/>
              </w:rPr>
              <w:t>768</w:t>
            </w:r>
          </w:p>
        </w:tc>
        <w:tc>
          <w:tcPr>
            <w:tcW w:w="135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31.</w:t>
            </w:r>
            <w:r w:rsidR="00DB55DE" w:rsidRPr="00B75B77">
              <w:rPr>
                <w:sz w:val="18"/>
                <w:szCs w:val="18"/>
              </w:rPr>
              <w:t>7</w:t>
            </w:r>
          </w:p>
        </w:tc>
        <w:tc>
          <w:tcPr>
            <w:tcW w:w="99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15,899</w:t>
            </w:r>
          </w:p>
        </w:tc>
      </w:tr>
      <w:tr w:rsidR="000C1E59" w:rsidRPr="00B75B77" w:rsidTr="00515B43">
        <w:trPr>
          <w:trHeight w:val="300"/>
        </w:trPr>
        <w:tc>
          <w:tcPr>
            <w:tcW w:w="1885"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F94CBE">
            <w:pPr>
              <w:jc w:val="left"/>
              <w:rPr>
                <w:rFonts w:ascii="Calibri" w:eastAsia="Times New Roman" w:hAnsi="Calibri"/>
                <w:color w:val="000000"/>
                <w:sz w:val="18"/>
                <w:szCs w:val="18"/>
              </w:rPr>
            </w:pPr>
            <w:r w:rsidRPr="00B75B77">
              <w:rPr>
                <w:rFonts w:ascii="Calibri" w:eastAsia="Times New Roman" w:hAnsi="Calibri"/>
                <w:color w:val="000000"/>
                <w:sz w:val="18"/>
                <w:szCs w:val="18"/>
              </w:rPr>
              <w:t>G</w:t>
            </w:r>
            <w:r w:rsidR="0054073E" w:rsidRPr="00B75B77">
              <w:rPr>
                <w:rFonts w:ascii="Calibri" w:eastAsia="Times New Roman" w:hAnsi="Calibri"/>
                <w:color w:val="000000"/>
                <w:sz w:val="18"/>
                <w:szCs w:val="18"/>
              </w:rPr>
              <w:t>NI</w:t>
            </w:r>
          </w:p>
        </w:tc>
        <w:tc>
          <w:tcPr>
            <w:tcW w:w="11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988</w:t>
            </w:r>
          </w:p>
        </w:tc>
        <w:tc>
          <w:tcPr>
            <w:tcW w:w="135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232,022</w:t>
            </w:r>
          </w:p>
        </w:tc>
        <w:tc>
          <w:tcPr>
            <w:tcW w:w="144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38.6</w:t>
            </w:r>
          </w:p>
        </w:tc>
        <w:tc>
          <w:tcPr>
            <w:tcW w:w="126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22</w:t>
            </w:r>
            <w:r w:rsidR="00DB55DE" w:rsidRPr="00B75B77">
              <w:rPr>
                <w:sz w:val="18"/>
                <w:szCs w:val="18"/>
              </w:rPr>
              <w:t>7,985</w:t>
            </w:r>
          </w:p>
        </w:tc>
        <w:tc>
          <w:tcPr>
            <w:tcW w:w="135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38.</w:t>
            </w:r>
            <w:r w:rsidR="00DB55DE" w:rsidRPr="00B75B77">
              <w:rPr>
                <w:sz w:val="18"/>
                <w:szCs w:val="18"/>
              </w:rPr>
              <w:t>0</w:t>
            </w:r>
          </w:p>
        </w:tc>
        <w:tc>
          <w:tcPr>
            <w:tcW w:w="99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20,506</w:t>
            </w:r>
          </w:p>
        </w:tc>
      </w:tr>
      <w:tr w:rsidR="000C1E59" w:rsidRPr="00B75B77" w:rsidTr="00515B43">
        <w:trPr>
          <w:trHeight w:val="288"/>
        </w:trPr>
        <w:tc>
          <w:tcPr>
            <w:tcW w:w="1885"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F94CBE">
            <w:pPr>
              <w:jc w:val="left"/>
              <w:rPr>
                <w:rFonts w:ascii="Calibri" w:eastAsia="Times New Roman" w:hAnsi="Calibri"/>
                <w:b/>
                <w:bCs/>
                <w:color w:val="000000"/>
                <w:sz w:val="18"/>
                <w:szCs w:val="18"/>
              </w:rPr>
            </w:pPr>
            <w:r w:rsidRPr="00B75B77">
              <w:rPr>
                <w:rFonts w:ascii="Calibri" w:eastAsia="Times New Roman" w:hAnsi="Calibri"/>
                <w:b/>
                <w:bCs/>
                <w:color w:val="000000"/>
                <w:sz w:val="18"/>
                <w:szCs w:val="18"/>
              </w:rPr>
              <w:t>PHASE II TOTAL</w:t>
            </w:r>
          </w:p>
        </w:tc>
        <w:tc>
          <w:tcPr>
            <w:tcW w:w="11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94CBE">
            <w:pPr>
              <w:jc w:val="center"/>
              <w:rPr>
                <w:rFonts w:ascii="Calibri" w:eastAsia="Times New Roman" w:hAnsi="Calibri"/>
                <w:b/>
                <w:bCs/>
                <w:color w:val="000000"/>
                <w:sz w:val="18"/>
                <w:szCs w:val="18"/>
              </w:rPr>
            </w:pPr>
            <w:r w:rsidRPr="00B75B77">
              <w:rPr>
                <w:b/>
                <w:sz w:val="18"/>
                <w:szCs w:val="18"/>
              </w:rPr>
              <w:t>8,713,451</w:t>
            </w:r>
          </w:p>
        </w:tc>
        <w:tc>
          <w:tcPr>
            <w:tcW w:w="135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94CBE">
            <w:pPr>
              <w:jc w:val="center"/>
              <w:rPr>
                <w:rFonts w:ascii="Calibri" w:eastAsia="Times New Roman" w:hAnsi="Calibri"/>
                <w:b/>
                <w:bCs/>
                <w:color w:val="000000"/>
                <w:sz w:val="18"/>
                <w:szCs w:val="18"/>
              </w:rPr>
            </w:pPr>
            <w:r w:rsidRPr="00B75B77">
              <w:rPr>
                <w:b/>
                <w:sz w:val="18"/>
                <w:szCs w:val="18"/>
              </w:rPr>
              <w:t>1,001,723</w:t>
            </w:r>
          </w:p>
        </w:tc>
        <w:tc>
          <w:tcPr>
            <w:tcW w:w="144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94CBE">
            <w:pPr>
              <w:jc w:val="center"/>
              <w:rPr>
                <w:rFonts w:ascii="Calibri" w:eastAsia="Times New Roman" w:hAnsi="Calibri"/>
                <w:b/>
                <w:bCs/>
                <w:color w:val="000000"/>
                <w:sz w:val="18"/>
                <w:szCs w:val="18"/>
              </w:rPr>
            </w:pPr>
            <w:r w:rsidRPr="00B75B77">
              <w:rPr>
                <w:b/>
                <w:sz w:val="18"/>
                <w:szCs w:val="18"/>
              </w:rPr>
              <w:t>204.1</w:t>
            </w:r>
          </w:p>
        </w:tc>
        <w:tc>
          <w:tcPr>
            <w:tcW w:w="126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94CBE">
            <w:pPr>
              <w:jc w:val="center"/>
              <w:rPr>
                <w:rFonts w:ascii="Calibri" w:eastAsia="Times New Roman" w:hAnsi="Calibri"/>
                <w:b/>
                <w:bCs/>
                <w:color w:val="000000"/>
                <w:sz w:val="18"/>
                <w:szCs w:val="18"/>
              </w:rPr>
            </w:pPr>
            <w:r w:rsidRPr="00B75B77">
              <w:rPr>
                <w:b/>
                <w:sz w:val="18"/>
                <w:szCs w:val="18"/>
              </w:rPr>
              <w:t>1,090,505</w:t>
            </w:r>
          </w:p>
        </w:tc>
        <w:tc>
          <w:tcPr>
            <w:tcW w:w="135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94CBE">
            <w:pPr>
              <w:jc w:val="center"/>
              <w:rPr>
                <w:rFonts w:ascii="Calibri" w:eastAsia="Times New Roman" w:hAnsi="Calibri"/>
                <w:b/>
                <w:bCs/>
                <w:color w:val="000000"/>
                <w:sz w:val="18"/>
                <w:szCs w:val="18"/>
              </w:rPr>
            </w:pPr>
            <w:r w:rsidRPr="00B75B77">
              <w:rPr>
                <w:b/>
                <w:sz w:val="18"/>
                <w:szCs w:val="18"/>
              </w:rPr>
              <w:t>224.8</w:t>
            </w:r>
          </w:p>
        </w:tc>
        <w:tc>
          <w:tcPr>
            <w:tcW w:w="99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94CBE">
            <w:pPr>
              <w:jc w:val="center"/>
              <w:rPr>
                <w:rFonts w:ascii="Calibri" w:eastAsia="Times New Roman" w:hAnsi="Calibri"/>
                <w:b/>
                <w:bCs/>
                <w:color w:val="000000"/>
                <w:sz w:val="18"/>
                <w:szCs w:val="18"/>
              </w:rPr>
            </w:pPr>
            <w:r w:rsidRPr="00B75B77">
              <w:rPr>
                <w:b/>
                <w:sz w:val="18"/>
                <w:szCs w:val="18"/>
              </w:rPr>
              <w:t>105,360</w:t>
            </w:r>
          </w:p>
        </w:tc>
      </w:tr>
    </w:tbl>
    <w:p w:rsidR="000C1E59" w:rsidRPr="00B75B77" w:rsidRDefault="000C1E59" w:rsidP="00F94CBE">
      <w:pPr>
        <w:pStyle w:val="Source"/>
        <w:spacing w:before="20" w:after="20"/>
        <w:ind w:left="187" w:firstLine="0"/>
        <w:rPr>
          <w:rFonts w:ascii="Calibri" w:hAnsi="Calibri"/>
          <w:i w:val="0"/>
          <w:color w:val="000000"/>
          <w:szCs w:val="18"/>
          <w:vertAlign w:val="superscript"/>
        </w:rPr>
      </w:pPr>
      <w:r w:rsidRPr="00B75B77">
        <w:rPr>
          <w:rFonts w:ascii="Calibri" w:hAnsi="Calibri"/>
          <w:i w:val="0"/>
          <w:color w:val="000000"/>
          <w:szCs w:val="18"/>
          <w:vertAlign w:val="superscript"/>
        </w:rPr>
        <w:t>[1]</w:t>
      </w:r>
      <w:r w:rsidRPr="00B75B77">
        <w:rPr>
          <w:rFonts w:ascii="Calibri" w:hAnsi="Calibri"/>
          <w:i w:val="0"/>
          <w:color w:val="000000"/>
          <w:szCs w:val="18"/>
        </w:rPr>
        <w:t xml:space="preserve"> All customer sector totals are exclusive of each other and may be added together to get the Phase II totals.</w:t>
      </w:r>
      <w:r w:rsidRPr="00B75B77">
        <w:rPr>
          <w:rFonts w:ascii="Calibri" w:hAnsi="Calibri"/>
          <w:i w:val="0"/>
          <w:color w:val="000000"/>
          <w:szCs w:val="18"/>
        </w:rPr>
        <w:br/>
      </w:r>
      <w:r w:rsidRPr="00B75B77">
        <w:rPr>
          <w:rFonts w:ascii="Calibri" w:hAnsi="Calibri"/>
          <w:i w:val="0"/>
          <w:color w:val="000000"/>
          <w:szCs w:val="18"/>
          <w:vertAlign w:val="superscript"/>
        </w:rPr>
        <w:t>[2]</w:t>
      </w:r>
      <w:r w:rsidRPr="00B75B77">
        <w:rPr>
          <w:rFonts w:ascii="Calibri" w:hAnsi="Calibri"/>
          <w:i w:val="0"/>
          <w:color w:val="000000"/>
          <w:szCs w:val="18"/>
        </w:rPr>
        <w:t xml:space="preserve"> All reported and verified demand savings in this report include line losses as required.</w:t>
      </w:r>
      <w:r w:rsidRPr="00B75B77">
        <w:rPr>
          <w:rFonts w:ascii="Calibri" w:hAnsi="Calibri"/>
          <w:i w:val="0"/>
          <w:color w:val="000000"/>
          <w:szCs w:val="18"/>
        </w:rPr>
        <w:br/>
      </w:r>
      <w:r w:rsidRPr="00B75B77">
        <w:rPr>
          <w:rFonts w:ascii="Calibri" w:hAnsi="Calibri"/>
          <w:i w:val="0"/>
          <w:color w:val="000000"/>
          <w:szCs w:val="18"/>
          <w:vertAlign w:val="superscript"/>
        </w:rPr>
        <w:t>[3]</w:t>
      </w:r>
      <w:r w:rsidRPr="00B75B77">
        <w:rPr>
          <w:rFonts w:ascii="Calibri" w:hAnsi="Calibri"/>
          <w:i w:val="0"/>
          <w:color w:val="000000"/>
          <w:szCs w:val="18"/>
        </w:rPr>
        <w:t xml:space="preserve"> The evaluation team verified the percentage of customers participating in non-low-income</w:t>
      </w:r>
      <w:r w:rsidR="0001564E" w:rsidRPr="00B75B77">
        <w:rPr>
          <w:rFonts w:ascii="Calibri" w:hAnsi="Calibri"/>
          <w:i w:val="0"/>
          <w:color w:val="000000"/>
          <w:szCs w:val="18"/>
        </w:rPr>
        <w:t>-</w:t>
      </w:r>
      <w:r w:rsidRPr="00B75B77">
        <w:rPr>
          <w:rFonts w:ascii="Calibri" w:hAnsi="Calibri"/>
          <w:i w:val="0"/>
          <w:color w:val="000000"/>
          <w:szCs w:val="18"/>
        </w:rPr>
        <w:t>specific programs that were low-income</w:t>
      </w:r>
      <w:r w:rsidR="0001564E" w:rsidRPr="00B75B77">
        <w:rPr>
          <w:rFonts w:ascii="Calibri" w:hAnsi="Calibri"/>
          <w:i w:val="0"/>
          <w:color w:val="000000"/>
          <w:szCs w:val="18"/>
        </w:rPr>
        <w:t>-</w:t>
      </w:r>
      <w:r w:rsidRPr="00B75B77">
        <w:rPr>
          <w:rFonts w:ascii="Calibri" w:hAnsi="Calibri"/>
          <w:i w:val="0"/>
          <w:color w:val="000000"/>
          <w:szCs w:val="18"/>
        </w:rPr>
        <w:t>qualified through self-report surveys. The survey results were used to estimate program savings and incentives paid to low-income customers and were added to the savings achieved through low-income</w:t>
      </w:r>
      <w:r w:rsidR="0001564E" w:rsidRPr="00B75B77">
        <w:rPr>
          <w:rFonts w:ascii="Calibri" w:hAnsi="Calibri"/>
          <w:i w:val="0"/>
          <w:color w:val="000000"/>
          <w:szCs w:val="18"/>
        </w:rPr>
        <w:t>-</w:t>
      </w:r>
      <w:r w:rsidRPr="00B75B77">
        <w:rPr>
          <w:rFonts w:ascii="Calibri" w:hAnsi="Calibri"/>
          <w:i w:val="0"/>
          <w:color w:val="000000"/>
          <w:szCs w:val="18"/>
        </w:rPr>
        <w:t>specific programs.</w:t>
      </w:r>
      <w:r w:rsidRPr="00B75B77">
        <w:rPr>
          <w:rFonts w:ascii="Calibri" w:hAnsi="Calibri"/>
          <w:i w:val="0"/>
          <w:color w:val="000000"/>
          <w:szCs w:val="18"/>
        </w:rPr>
        <w:br/>
      </w:r>
      <w:r w:rsidRPr="00B75B77">
        <w:rPr>
          <w:rStyle w:val="Strong"/>
          <w:b w:val="0"/>
          <w:bCs w:val="0"/>
          <w:i w:val="0"/>
        </w:rPr>
        <w:t xml:space="preserve">Note: </w:t>
      </w:r>
      <w:r w:rsidRPr="00B75B77">
        <w:rPr>
          <w:rFonts w:ascii="Calibri" w:hAnsi="Calibri"/>
          <w:i w:val="0"/>
          <w:iCs/>
          <w:color w:val="000000"/>
          <w:szCs w:val="18"/>
        </w:rPr>
        <w:t>Values in tables may not reconcile exactly with the sum of more detailed level results or previously reported results due to rounding.</w:t>
      </w:r>
      <w:r w:rsidRPr="00B75B77">
        <w:rPr>
          <w:rFonts w:ascii="Calibri" w:hAnsi="Calibri"/>
          <w:i w:val="0"/>
          <w:color w:val="000000"/>
          <w:szCs w:val="18"/>
          <w:vertAlign w:val="superscript"/>
        </w:rPr>
        <w:t xml:space="preserve"> </w:t>
      </w:r>
    </w:p>
    <w:p w:rsidR="000C1E59" w:rsidRPr="00B75B77" w:rsidRDefault="000C1E59" w:rsidP="00F94CBE">
      <w:pPr>
        <w:pStyle w:val="Source"/>
      </w:pPr>
      <w:r w:rsidRPr="00B75B77">
        <w:rPr>
          <w:rStyle w:val="Strong"/>
          <w:b w:val="0"/>
          <w:bCs w:val="0"/>
        </w:rPr>
        <w:t>Source: Navigant analysis</w:t>
      </w:r>
    </w:p>
    <w:p w:rsidR="00150B44" w:rsidRPr="00B75B77" w:rsidRDefault="0001564E" w:rsidP="00150B44">
      <w:r w:rsidRPr="00B75B77">
        <w:fldChar w:fldCharType="begin"/>
      </w:r>
      <w:r w:rsidRPr="00B75B77">
        <w:instrText xml:space="preserve"> REF _Ref464561936 \h </w:instrText>
      </w:r>
      <w:r w:rsidR="00E639E7" w:rsidRPr="00B75B77">
        <w:instrText xml:space="preserve"> \* MERGEFORMAT </w:instrText>
      </w:r>
      <w:r w:rsidRPr="00B75B77">
        <w:fldChar w:fldCharType="separate"/>
      </w:r>
      <w:r w:rsidR="0004016D" w:rsidRPr="00B75B77">
        <w:t xml:space="preserve">Table </w:t>
      </w:r>
      <w:r w:rsidR="0004016D">
        <w:rPr>
          <w:noProof/>
        </w:rPr>
        <w:t>1</w:t>
      </w:r>
      <w:r w:rsidR="0004016D" w:rsidRPr="00B75B77">
        <w:rPr>
          <w:noProof/>
        </w:rPr>
        <w:noBreakHyphen/>
      </w:r>
      <w:r w:rsidR="0004016D">
        <w:rPr>
          <w:noProof/>
        </w:rPr>
        <w:t>9</w:t>
      </w:r>
      <w:r w:rsidRPr="00B75B77">
        <w:fldChar w:fldCharType="end"/>
      </w:r>
      <w:r w:rsidR="00150B44" w:rsidRPr="00B75B77">
        <w:t xml:space="preserve"> provides a summary of the carryover savings from Phase I programs and the savings PECO plans to carry over into Phase III. </w:t>
      </w:r>
      <w:r w:rsidR="00665883" w:rsidRPr="00B75B77">
        <w:t xml:space="preserve">PECO is not eligible to carry over savings to count towards its Phase III </w:t>
      </w:r>
      <w:r w:rsidR="00665883" w:rsidRPr="00B75B77">
        <w:lastRenderedPageBreak/>
        <w:t xml:space="preserve">portfolio level </w:t>
      </w:r>
      <w:r w:rsidR="007646D9" w:rsidRPr="00B75B77">
        <w:t>target;</w:t>
      </w:r>
      <w:r w:rsidR="00665883" w:rsidRPr="00B75B77">
        <w:t xml:space="preserve"> however, PECO is eligible to carry over verified gross savings towards its low-income and GNI </w:t>
      </w:r>
      <w:r w:rsidR="00E639E7" w:rsidRPr="00B75B77">
        <w:t>carve-outs</w:t>
      </w:r>
      <w:r w:rsidR="00665883" w:rsidRPr="00B75B77">
        <w:t xml:space="preserve"> in the amount of </w:t>
      </w:r>
      <w:r w:rsidR="001E0B91" w:rsidRPr="00B75B77">
        <w:t>3,729</w:t>
      </w:r>
      <w:r w:rsidR="00665883" w:rsidRPr="00B75B77">
        <w:t xml:space="preserve"> MWh and 115,</w:t>
      </w:r>
      <w:r w:rsidR="00DB55DE" w:rsidRPr="00B75B77">
        <w:t>400</w:t>
      </w:r>
      <w:r w:rsidR="00665883" w:rsidRPr="00B75B77">
        <w:t xml:space="preserve"> MWh, respectively. PECO’s Phase II Residential Low-Income savings used to determine Phase II carryover includes only the 5</w:t>
      </w:r>
      <w:r w:rsidR="001E0B91" w:rsidRPr="00B75B77">
        <w:t>4,392</w:t>
      </w:r>
      <w:r w:rsidR="00665883" w:rsidRPr="00B75B77">
        <w:t xml:space="preserve"> MWh of Phase II savings achieved through PECO’s low-income specific energy efficiency program</w:t>
      </w:r>
      <w:r w:rsidR="00B338DE" w:rsidRPr="00B75B77">
        <w:t>.</w:t>
      </w:r>
      <w:r w:rsidR="00665883" w:rsidRPr="00B75B77">
        <w:t xml:space="preserve"> PECO’s GNI carryover calculation does not include Phase I GNI carryover savings.</w:t>
      </w:r>
    </w:p>
    <w:p w:rsidR="0001564E" w:rsidRPr="00B75B77" w:rsidRDefault="0001564E" w:rsidP="00E86423"/>
    <w:p w:rsidR="000C1E59" w:rsidRPr="00B75B77" w:rsidRDefault="0001564E" w:rsidP="0001564E">
      <w:pPr>
        <w:pStyle w:val="Caption"/>
      </w:pPr>
      <w:bookmarkStart w:id="81" w:name="_Ref464561936"/>
      <w:bookmarkStart w:id="82" w:name="_Toc466413491"/>
      <w:r w:rsidRPr="00B75B77">
        <w:t xml:space="preserve">Table </w:t>
      </w:r>
      <w:r w:rsidR="00237810">
        <w:fldChar w:fldCharType="begin"/>
      </w:r>
      <w:r w:rsidR="00237810">
        <w:instrText xml:space="preserve"> STYLEREF 1 \s </w:instrText>
      </w:r>
      <w:r w:rsidR="00237810">
        <w:fldChar w:fldCharType="separate"/>
      </w:r>
      <w:r w:rsidR="0004016D">
        <w:rPr>
          <w:noProof/>
        </w:rPr>
        <w:t>1</w:t>
      </w:r>
      <w:r w:rsidR="00237810">
        <w:rPr>
          <w:noProof/>
        </w:rPr>
        <w:fldChar w:fldCharType="end"/>
      </w:r>
      <w:r w:rsidR="00F1144C" w:rsidRPr="00B75B77">
        <w:noBreakHyphen/>
      </w:r>
      <w:r w:rsidR="00237810">
        <w:fldChar w:fldCharType="begin"/>
      </w:r>
      <w:r w:rsidR="00237810">
        <w:instrText xml:space="preserve"> SE</w:instrText>
      </w:r>
      <w:r w:rsidR="00237810">
        <w:instrText xml:space="preserve">Q Table \* ARABIC \s 1 </w:instrText>
      </w:r>
      <w:r w:rsidR="00237810">
        <w:fldChar w:fldCharType="separate"/>
      </w:r>
      <w:r w:rsidR="0004016D">
        <w:rPr>
          <w:noProof/>
        </w:rPr>
        <w:t>9</w:t>
      </w:r>
      <w:r w:rsidR="00237810">
        <w:rPr>
          <w:noProof/>
        </w:rPr>
        <w:fldChar w:fldCharType="end"/>
      </w:r>
      <w:bookmarkEnd w:id="81"/>
      <w:r w:rsidRPr="00B75B77">
        <w:t>: Summary of Phase I Verified Gross Savings Remaining through Phase II</w:t>
      </w:r>
      <w:bookmarkEnd w:id="82"/>
      <w:r w:rsidRPr="00B75B77">
        <w:t xml:space="preserve"> </w:t>
      </w:r>
    </w:p>
    <w:tbl>
      <w:tblPr>
        <w:tblW w:w="8635" w:type="dxa"/>
        <w:jc w:val="center"/>
        <w:tblLook w:val="04A0" w:firstRow="1" w:lastRow="0" w:firstColumn="1" w:lastColumn="0" w:noHBand="0" w:noVBand="1"/>
      </w:tblPr>
      <w:tblGrid>
        <w:gridCol w:w="2065"/>
        <w:gridCol w:w="1350"/>
        <w:gridCol w:w="1350"/>
        <w:gridCol w:w="1620"/>
        <w:gridCol w:w="1170"/>
        <w:gridCol w:w="1080"/>
      </w:tblGrid>
      <w:tr w:rsidR="000C1E59" w:rsidRPr="00B75B77" w:rsidTr="00904159">
        <w:trPr>
          <w:divId w:val="4481147"/>
          <w:trHeight w:val="720"/>
          <w:jc w:val="center"/>
        </w:trPr>
        <w:tc>
          <w:tcPr>
            <w:tcW w:w="2065" w:type="dxa"/>
            <w:tcBorders>
              <w:top w:val="single" w:sz="4" w:space="0" w:color="auto"/>
              <w:left w:val="single" w:sz="4" w:space="0" w:color="auto"/>
              <w:bottom w:val="single" w:sz="4" w:space="0" w:color="auto"/>
              <w:right w:val="single" w:sz="4" w:space="0" w:color="auto"/>
            </w:tcBorders>
            <w:shd w:val="clear" w:color="000000" w:fill="448A99"/>
            <w:vAlign w:val="center"/>
            <w:hideMark/>
          </w:tcPr>
          <w:p w:rsidR="000C1E59" w:rsidRPr="00B75B77" w:rsidRDefault="000C1E59" w:rsidP="00904159">
            <w:pPr>
              <w:ind w:left="-32"/>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Sector [1]</w:t>
            </w:r>
          </w:p>
        </w:tc>
        <w:tc>
          <w:tcPr>
            <w:tcW w:w="1350"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904159">
            <w:pPr>
              <w:ind w:left="-32"/>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Phase I Carry</w:t>
            </w:r>
            <w:r w:rsidR="00D06BF7" w:rsidRPr="00B75B77">
              <w:rPr>
                <w:rFonts w:ascii="Calibri" w:eastAsia="Times New Roman" w:hAnsi="Calibri"/>
                <w:b/>
                <w:bCs/>
                <w:color w:val="FFFFFF"/>
                <w:sz w:val="18"/>
                <w:szCs w:val="18"/>
              </w:rPr>
              <w:t>-O</w:t>
            </w:r>
            <w:r w:rsidRPr="00B75B77">
              <w:rPr>
                <w:rFonts w:ascii="Calibri" w:eastAsia="Times New Roman" w:hAnsi="Calibri"/>
                <w:b/>
                <w:bCs/>
                <w:color w:val="FFFFFF"/>
                <w:sz w:val="18"/>
                <w:szCs w:val="18"/>
              </w:rPr>
              <w:t>ver Savings (MWh)</w:t>
            </w:r>
          </w:p>
        </w:tc>
        <w:tc>
          <w:tcPr>
            <w:tcW w:w="1350"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904159">
            <w:pPr>
              <w:ind w:left="-32"/>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Phase II Cumulative Annual Savings (MWh)</w:t>
            </w:r>
          </w:p>
        </w:tc>
        <w:tc>
          <w:tcPr>
            <w:tcW w:w="1620"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904159">
            <w:pPr>
              <w:ind w:left="-32"/>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Phase I Carry</w:t>
            </w:r>
            <w:r w:rsidR="00D06BF7" w:rsidRPr="00B75B77">
              <w:rPr>
                <w:rFonts w:ascii="Calibri" w:eastAsia="Times New Roman" w:hAnsi="Calibri"/>
                <w:b/>
                <w:bCs/>
                <w:color w:val="FFFFFF"/>
                <w:sz w:val="18"/>
                <w:szCs w:val="18"/>
              </w:rPr>
              <w:t>-O</w:t>
            </w:r>
            <w:r w:rsidRPr="00B75B77">
              <w:rPr>
                <w:rFonts w:ascii="Calibri" w:eastAsia="Times New Roman" w:hAnsi="Calibri"/>
                <w:b/>
                <w:bCs/>
                <w:color w:val="FFFFFF"/>
                <w:sz w:val="18"/>
                <w:szCs w:val="18"/>
              </w:rPr>
              <w:t>ver Savings + Phase II Cumulative Annual Savings (MWh)</w:t>
            </w:r>
          </w:p>
        </w:tc>
        <w:tc>
          <w:tcPr>
            <w:tcW w:w="1170"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904159">
            <w:pPr>
              <w:ind w:left="-32"/>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Phase II Compliance Targets (MWh)</w:t>
            </w:r>
          </w:p>
        </w:tc>
        <w:tc>
          <w:tcPr>
            <w:tcW w:w="1080"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904159">
            <w:pPr>
              <w:ind w:left="-32"/>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Phase II Carry</w:t>
            </w:r>
            <w:r w:rsidR="00D06BF7" w:rsidRPr="00B75B77">
              <w:rPr>
                <w:rFonts w:ascii="Calibri" w:eastAsia="Times New Roman" w:hAnsi="Calibri"/>
                <w:b/>
                <w:bCs/>
                <w:color w:val="FFFFFF"/>
                <w:sz w:val="18"/>
                <w:szCs w:val="18"/>
              </w:rPr>
              <w:t>-O</w:t>
            </w:r>
            <w:r w:rsidRPr="00B75B77">
              <w:rPr>
                <w:rFonts w:ascii="Calibri" w:eastAsia="Times New Roman" w:hAnsi="Calibri"/>
                <w:b/>
                <w:bCs/>
                <w:color w:val="FFFFFF"/>
                <w:sz w:val="18"/>
                <w:szCs w:val="18"/>
              </w:rPr>
              <w:t>ver Savings (MWh) [2]</w:t>
            </w:r>
          </w:p>
        </w:tc>
      </w:tr>
    </w:tbl>
    <w:tbl>
      <w:tblPr>
        <w:tblW w:w="8635" w:type="dxa"/>
        <w:jc w:val="center"/>
        <w:tblLayout w:type="fixed"/>
        <w:tblLook w:val="04A0" w:firstRow="1" w:lastRow="0" w:firstColumn="1" w:lastColumn="0" w:noHBand="0" w:noVBand="1"/>
      </w:tblPr>
      <w:tblGrid>
        <w:gridCol w:w="2070"/>
        <w:gridCol w:w="1345"/>
        <w:gridCol w:w="1350"/>
        <w:gridCol w:w="1620"/>
        <w:gridCol w:w="1170"/>
        <w:gridCol w:w="1080"/>
      </w:tblGrid>
      <w:tr w:rsidR="00DB55DE" w:rsidRPr="00B75B77" w:rsidTr="00904159">
        <w:trPr>
          <w:trHeight w:val="300"/>
          <w:jc w:val="center"/>
        </w:trPr>
        <w:tc>
          <w:tcPr>
            <w:tcW w:w="2070"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F94CBE">
            <w:pPr>
              <w:jc w:val="left"/>
              <w:rPr>
                <w:rFonts w:ascii="Calibri" w:eastAsia="Times New Roman" w:hAnsi="Calibri"/>
                <w:color w:val="000000"/>
                <w:sz w:val="18"/>
                <w:szCs w:val="18"/>
              </w:rPr>
            </w:pPr>
            <w:r w:rsidRPr="00B75B77">
              <w:rPr>
                <w:rFonts w:ascii="Calibri" w:eastAsia="Times New Roman" w:hAnsi="Calibri"/>
                <w:color w:val="000000"/>
                <w:sz w:val="18"/>
                <w:szCs w:val="18"/>
              </w:rPr>
              <w:t>Residential (Non-Low-Income)</w:t>
            </w:r>
          </w:p>
        </w:tc>
        <w:tc>
          <w:tcPr>
            <w:tcW w:w="1345"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DB55DE">
            <w:pPr>
              <w:jc w:val="center"/>
              <w:rPr>
                <w:rFonts w:ascii="Calibri" w:eastAsia="Times New Roman" w:hAnsi="Calibri"/>
                <w:color w:val="000000"/>
                <w:sz w:val="18"/>
                <w:szCs w:val="18"/>
              </w:rPr>
            </w:pPr>
            <w:r w:rsidRPr="00B75B77">
              <w:rPr>
                <w:sz w:val="18"/>
                <w:szCs w:val="18"/>
              </w:rPr>
              <w:t>10</w:t>
            </w:r>
            <w:r w:rsidR="00DB55DE" w:rsidRPr="00B75B77">
              <w:rPr>
                <w:sz w:val="18"/>
                <w:szCs w:val="18"/>
              </w:rPr>
              <w:t>9,888</w:t>
            </w:r>
          </w:p>
        </w:tc>
        <w:tc>
          <w:tcPr>
            <w:tcW w:w="1350" w:type="dxa"/>
            <w:tcBorders>
              <w:top w:val="nil"/>
              <w:left w:val="nil"/>
              <w:bottom w:val="single" w:sz="4" w:space="0" w:color="448A99"/>
              <w:right w:val="single" w:sz="4" w:space="0" w:color="448A99"/>
            </w:tcBorders>
            <w:shd w:val="clear" w:color="000000" w:fill="D2EAF1"/>
            <w:vAlign w:val="center"/>
            <w:hideMark/>
          </w:tcPr>
          <w:p w:rsidR="000C1E59" w:rsidRPr="00B75B77" w:rsidRDefault="00325BB6" w:rsidP="001E0B91">
            <w:pPr>
              <w:jc w:val="center"/>
              <w:rPr>
                <w:rFonts w:ascii="Calibri" w:eastAsia="Times New Roman" w:hAnsi="Calibri"/>
                <w:color w:val="000000"/>
                <w:sz w:val="18"/>
                <w:szCs w:val="18"/>
              </w:rPr>
            </w:pPr>
            <w:r w:rsidRPr="00B75B77">
              <w:rPr>
                <w:sz w:val="18"/>
                <w:szCs w:val="18"/>
              </w:rPr>
              <w:t>39</w:t>
            </w:r>
            <w:r w:rsidR="00FE2690" w:rsidRPr="00B75B77">
              <w:rPr>
                <w:sz w:val="18"/>
                <w:szCs w:val="18"/>
              </w:rPr>
              <w:t>4,</w:t>
            </w:r>
            <w:r w:rsidR="001E0B91" w:rsidRPr="00B75B77">
              <w:rPr>
                <w:sz w:val="18"/>
                <w:szCs w:val="18"/>
              </w:rPr>
              <w:t>070</w:t>
            </w:r>
          </w:p>
        </w:tc>
        <w:tc>
          <w:tcPr>
            <w:tcW w:w="1620" w:type="dxa"/>
            <w:tcBorders>
              <w:top w:val="nil"/>
              <w:left w:val="nil"/>
              <w:bottom w:val="single" w:sz="4" w:space="0" w:color="448A99"/>
              <w:right w:val="single" w:sz="4" w:space="0" w:color="448A99"/>
            </w:tcBorders>
            <w:shd w:val="clear" w:color="000000" w:fill="D2EAF1"/>
            <w:vAlign w:val="center"/>
            <w:hideMark/>
          </w:tcPr>
          <w:p w:rsidR="000C1E59" w:rsidRPr="00B75B77" w:rsidRDefault="001E0B91" w:rsidP="00F94CBE">
            <w:pPr>
              <w:jc w:val="center"/>
              <w:rPr>
                <w:rFonts w:ascii="Calibri" w:eastAsia="Times New Roman" w:hAnsi="Calibri"/>
                <w:color w:val="000000"/>
                <w:sz w:val="18"/>
                <w:szCs w:val="18"/>
              </w:rPr>
            </w:pPr>
            <w:r w:rsidRPr="00B75B77">
              <w:rPr>
                <w:sz w:val="18"/>
                <w:szCs w:val="18"/>
              </w:rPr>
              <w:t>503,958</w:t>
            </w:r>
          </w:p>
        </w:tc>
        <w:tc>
          <w:tcPr>
            <w:tcW w:w="11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N/A</w:t>
            </w:r>
          </w:p>
        </w:tc>
        <w:tc>
          <w:tcPr>
            <w:tcW w:w="108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0</w:t>
            </w:r>
          </w:p>
        </w:tc>
      </w:tr>
      <w:tr w:rsidR="00DB55DE" w:rsidRPr="00B75B77" w:rsidTr="00904159">
        <w:trPr>
          <w:trHeight w:val="480"/>
          <w:jc w:val="center"/>
        </w:trPr>
        <w:tc>
          <w:tcPr>
            <w:tcW w:w="2070" w:type="dxa"/>
            <w:tcBorders>
              <w:top w:val="nil"/>
              <w:left w:val="single" w:sz="4" w:space="0" w:color="448A99"/>
              <w:bottom w:val="single" w:sz="4" w:space="0" w:color="448A99"/>
              <w:right w:val="single" w:sz="4" w:space="0" w:color="448A99"/>
            </w:tcBorders>
            <w:shd w:val="clear" w:color="000000" w:fill="FFFFFF"/>
            <w:vAlign w:val="center"/>
            <w:hideMark/>
          </w:tcPr>
          <w:p w:rsidR="00665883" w:rsidRPr="00B75B77" w:rsidRDefault="00665883" w:rsidP="00665883">
            <w:pPr>
              <w:jc w:val="left"/>
              <w:rPr>
                <w:rFonts w:ascii="Calibri" w:eastAsia="Times New Roman" w:hAnsi="Calibri"/>
                <w:color w:val="000000"/>
                <w:sz w:val="18"/>
                <w:szCs w:val="18"/>
              </w:rPr>
            </w:pPr>
            <w:r w:rsidRPr="00B75B77">
              <w:rPr>
                <w:rFonts w:ascii="Calibri" w:eastAsia="Times New Roman" w:hAnsi="Calibri"/>
                <w:color w:val="000000"/>
                <w:sz w:val="18"/>
                <w:szCs w:val="18"/>
              </w:rPr>
              <w:t>Residential (Low-Income)</w:t>
            </w:r>
            <w:r w:rsidRPr="00B75B77">
              <w:rPr>
                <w:rFonts w:ascii="Calibri" w:eastAsia="Times New Roman" w:hAnsi="Calibri"/>
                <w:b/>
                <w:bCs/>
                <w:sz w:val="18"/>
                <w:szCs w:val="18"/>
              </w:rPr>
              <w:t xml:space="preserve"> </w:t>
            </w:r>
            <w:r w:rsidRPr="00B75B77">
              <w:rPr>
                <w:rFonts w:ascii="Calibri" w:eastAsia="Times New Roman" w:hAnsi="Calibri"/>
                <w:b/>
                <w:bCs/>
                <w:sz w:val="18"/>
                <w:szCs w:val="18"/>
                <w:vertAlign w:val="superscript"/>
              </w:rPr>
              <w:t>[3]</w:t>
            </w:r>
          </w:p>
        </w:tc>
        <w:tc>
          <w:tcPr>
            <w:tcW w:w="1345" w:type="dxa"/>
            <w:tcBorders>
              <w:top w:val="nil"/>
              <w:left w:val="nil"/>
              <w:bottom w:val="single" w:sz="4" w:space="0" w:color="448A99"/>
              <w:right w:val="single" w:sz="4" w:space="0" w:color="448A99"/>
            </w:tcBorders>
            <w:shd w:val="clear" w:color="000000" w:fill="FFFFFF"/>
            <w:vAlign w:val="center"/>
            <w:hideMark/>
          </w:tcPr>
          <w:p w:rsidR="00665883" w:rsidRPr="00B75B77" w:rsidRDefault="00DB55DE" w:rsidP="00665883">
            <w:pPr>
              <w:jc w:val="center"/>
              <w:rPr>
                <w:rFonts w:ascii="Calibri" w:eastAsia="Times New Roman" w:hAnsi="Calibri"/>
                <w:color w:val="000000"/>
                <w:sz w:val="18"/>
                <w:szCs w:val="18"/>
              </w:rPr>
            </w:pPr>
            <w:r w:rsidRPr="00B75B77">
              <w:rPr>
                <w:sz w:val="18"/>
                <w:szCs w:val="18"/>
              </w:rPr>
              <w:t>0</w:t>
            </w:r>
          </w:p>
        </w:tc>
        <w:tc>
          <w:tcPr>
            <w:tcW w:w="1350" w:type="dxa"/>
            <w:tcBorders>
              <w:top w:val="nil"/>
              <w:left w:val="nil"/>
              <w:bottom w:val="single" w:sz="4" w:space="0" w:color="448A99"/>
              <w:right w:val="single" w:sz="4" w:space="0" w:color="448A99"/>
            </w:tcBorders>
            <w:shd w:val="clear" w:color="000000" w:fill="FFFFFF"/>
            <w:vAlign w:val="center"/>
            <w:hideMark/>
          </w:tcPr>
          <w:p w:rsidR="00665883" w:rsidRPr="00B75B77" w:rsidRDefault="00665883" w:rsidP="00665883">
            <w:pPr>
              <w:jc w:val="center"/>
              <w:rPr>
                <w:sz w:val="18"/>
                <w:szCs w:val="18"/>
              </w:rPr>
            </w:pPr>
            <w:r w:rsidRPr="00B75B77">
              <w:rPr>
                <w:sz w:val="18"/>
                <w:szCs w:val="18"/>
              </w:rPr>
              <w:t>9</w:t>
            </w:r>
            <w:r w:rsidR="001E0B91" w:rsidRPr="00B75B77">
              <w:rPr>
                <w:sz w:val="18"/>
                <w:szCs w:val="18"/>
              </w:rPr>
              <w:t>1,673</w:t>
            </w:r>
          </w:p>
          <w:p w:rsidR="00665883" w:rsidRPr="00B75B77" w:rsidRDefault="00665883" w:rsidP="001E0B91">
            <w:pPr>
              <w:jc w:val="center"/>
              <w:rPr>
                <w:rFonts w:ascii="Calibri" w:eastAsia="Times New Roman" w:hAnsi="Calibri"/>
                <w:color w:val="000000"/>
                <w:sz w:val="18"/>
                <w:szCs w:val="18"/>
              </w:rPr>
            </w:pPr>
            <w:r w:rsidRPr="00B75B77">
              <w:rPr>
                <w:sz w:val="18"/>
                <w:szCs w:val="18"/>
              </w:rPr>
              <w:t xml:space="preserve">    [</w:t>
            </w:r>
            <w:r w:rsidR="00DB55DE" w:rsidRPr="00B75B77">
              <w:rPr>
                <w:sz w:val="18"/>
                <w:szCs w:val="18"/>
              </w:rPr>
              <w:t>5</w:t>
            </w:r>
            <w:r w:rsidR="001E0B91" w:rsidRPr="00B75B77">
              <w:rPr>
                <w:sz w:val="18"/>
                <w:szCs w:val="18"/>
              </w:rPr>
              <w:t>4,392</w:t>
            </w:r>
            <w:r w:rsidRPr="00B75B77">
              <w:rPr>
                <w:sz w:val="18"/>
                <w:szCs w:val="18"/>
              </w:rPr>
              <w:t>]</w:t>
            </w:r>
            <w:r w:rsidRPr="00B75B77">
              <w:rPr>
                <w:rFonts w:ascii="Calibri" w:eastAsia="Times New Roman" w:hAnsi="Calibri"/>
                <w:b/>
                <w:bCs/>
                <w:sz w:val="18"/>
                <w:szCs w:val="18"/>
                <w:vertAlign w:val="superscript"/>
              </w:rPr>
              <w:t xml:space="preserve"> [4]</w:t>
            </w:r>
          </w:p>
        </w:tc>
        <w:tc>
          <w:tcPr>
            <w:tcW w:w="1620" w:type="dxa"/>
            <w:tcBorders>
              <w:top w:val="nil"/>
              <w:left w:val="nil"/>
              <w:bottom w:val="single" w:sz="4" w:space="0" w:color="448A99"/>
              <w:right w:val="single" w:sz="4" w:space="0" w:color="448A99"/>
            </w:tcBorders>
            <w:shd w:val="clear" w:color="000000" w:fill="FFFFFF"/>
            <w:vAlign w:val="center"/>
            <w:hideMark/>
          </w:tcPr>
          <w:p w:rsidR="00665883" w:rsidRPr="00B75B77" w:rsidRDefault="001E0B91" w:rsidP="00665883">
            <w:pPr>
              <w:jc w:val="center"/>
              <w:rPr>
                <w:rFonts w:ascii="Calibri" w:eastAsia="Times New Roman" w:hAnsi="Calibri"/>
                <w:color w:val="000000"/>
                <w:sz w:val="18"/>
                <w:szCs w:val="18"/>
              </w:rPr>
            </w:pPr>
            <w:r w:rsidRPr="00B75B77">
              <w:rPr>
                <w:sz w:val="18"/>
                <w:szCs w:val="18"/>
              </w:rPr>
              <w:t>91,673</w:t>
            </w:r>
          </w:p>
        </w:tc>
        <w:tc>
          <w:tcPr>
            <w:tcW w:w="1170" w:type="dxa"/>
            <w:tcBorders>
              <w:top w:val="nil"/>
              <w:left w:val="nil"/>
              <w:bottom w:val="single" w:sz="4" w:space="0" w:color="448A99"/>
              <w:right w:val="single" w:sz="4" w:space="0" w:color="448A99"/>
            </w:tcBorders>
            <w:shd w:val="clear" w:color="000000" w:fill="FFFFFF"/>
            <w:vAlign w:val="center"/>
            <w:hideMark/>
          </w:tcPr>
          <w:p w:rsidR="00665883" w:rsidRPr="00B75B77" w:rsidRDefault="00665883" w:rsidP="00665883">
            <w:pPr>
              <w:jc w:val="center"/>
              <w:rPr>
                <w:rFonts w:ascii="Calibri" w:eastAsia="Times New Roman" w:hAnsi="Calibri"/>
                <w:color w:val="000000"/>
                <w:sz w:val="18"/>
                <w:szCs w:val="18"/>
              </w:rPr>
            </w:pPr>
            <w:r w:rsidRPr="00B75B77">
              <w:rPr>
                <w:sz w:val="18"/>
                <w:szCs w:val="18"/>
              </w:rPr>
              <w:t>50,663</w:t>
            </w:r>
          </w:p>
        </w:tc>
        <w:tc>
          <w:tcPr>
            <w:tcW w:w="1080" w:type="dxa"/>
            <w:tcBorders>
              <w:top w:val="nil"/>
              <w:left w:val="nil"/>
              <w:bottom w:val="single" w:sz="4" w:space="0" w:color="448A99"/>
              <w:right w:val="single" w:sz="4" w:space="0" w:color="448A99"/>
            </w:tcBorders>
            <w:shd w:val="clear" w:color="000000" w:fill="FFFFFF"/>
            <w:vAlign w:val="center"/>
            <w:hideMark/>
          </w:tcPr>
          <w:p w:rsidR="00665883" w:rsidRPr="00B75B77" w:rsidRDefault="00665883" w:rsidP="001E0B91">
            <w:pPr>
              <w:jc w:val="center"/>
              <w:rPr>
                <w:rFonts w:ascii="Calibri" w:eastAsia="Times New Roman" w:hAnsi="Calibri"/>
                <w:color w:val="000000"/>
                <w:sz w:val="18"/>
                <w:szCs w:val="18"/>
              </w:rPr>
            </w:pPr>
            <w:r w:rsidRPr="00B75B77">
              <w:rPr>
                <w:sz w:val="18"/>
                <w:szCs w:val="18"/>
              </w:rPr>
              <w:t xml:space="preserve">   </w:t>
            </w:r>
            <w:r w:rsidR="001E0B91" w:rsidRPr="00B75B77">
              <w:rPr>
                <w:sz w:val="18"/>
                <w:szCs w:val="18"/>
              </w:rPr>
              <w:t>3,729</w:t>
            </w:r>
            <w:r w:rsidRPr="00B75B77">
              <w:rPr>
                <w:rFonts w:ascii="Calibri" w:eastAsia="Times New Roman" w:hAnsi="Calibri"/>
                <w:b/>
                <w:bCs/>
                <w:sz w:val="18"/>
                <w:szCs w:val="18"/>
                <w:vertAlign w:val="superscript"/>
              </w:rPr>
              <w:t>[4]</w:t>
            </w:r>
          </w:p>
        </w:tc>
      </w:tr>
      <w:tr w:rsidR="00DB55DE" w:rsidRPr="00B75B77" w:rsidTr="00904159">
        <w:trPr>
          <w:trHeight w:val="300"/>
          <w:jc w:val="center"/>
        </w:trPr>
        <w:tc>
          <w:tcPr>
            <w:tcW w:w="2070"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F94CBE">
            <w:pPr>
              <w:jc w:val="left"/>
              <w:rPr>
                <w:rFonts w:ascii="Calibri" w:eastAsia="Times New Roman" w:hAnsi="Calibri"/>
                <w:color w:val="000000"/>
                <w:sz w:val="18"/>
                <w:szCs w:val="18"/>
              </w:rPr>
            </w:pPr>
            <w:r w:rsidRPr="00B75B77">
              <w:rPr>
                <w:rFonts w:ascii="Calibri" w:eastAsia="Times New Roman" w:hAnsi="Calibri"/>
                <w:color w:val="000000"/>
                <w:sz w:val="18"/>
                <w:szCs w:val="18"/>
              </w:rPr>
              <w:t>Small C</w:t>
            </w:r>
            <w:r w:rsidR="0054073E" w:rsidRPr="00B75B77">
              <w:rPr>
                <w:rFonts w:ascii="Calibri" w:eastAsia="Times New Roman" w:hAnsi="Calibri"/>
                <w:color w:val="000000"/>
                <w:sz w:val="18"/>
                <w:szCs w:val="18"/>
              </w:rPr>
              <w:t>&amp;I</w:t>
            </w:r>
          </w:p>
        </w:tc>
        <w:tc>
          <w:tcPr>
            <w:tcW w:w="1345"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N/A</w:t>
            </w:r>
          </w:p>
        </w:tc>
        <w:tc>
          <w:tcPr>
            <w:tcW w:w="135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17</w:t>
            </w:r>
            <w:r w:rsidR="00DB55DE" w:rsidRPr="00B75B77">
              <w:rPr>
                <w:sz w:val="18"/>
                <w:szCs w:val="18"/>
              </w:rPr>
              <w:t>3,009</w:t>
            </w:r>
          </w:p>
        </w:tc>
        <w:tc>
          <w:tcPr>
            <w:tcW w:w="162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N/A</w:t>
            </w:r>
          </w:p>
        </w:tc>
        <w:tc>
          <w:tcPr>
            <w:tcW w:w="11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N/A</w:t>
            </w:r>
          </w:p>
        </w:tc>
        <w:tc>
          <w:tcPr>
            <w:tcW w:w="108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0</w:t>
            </w:r>
          </w:p>
        </w:tc>
      </w:tr>
      <w:tr w:rsidR="00DB55DE" w:rsidRPr="00B75B77" w:rsidTr="00904159">
        <w:trPr>
          <w:trHeight w:val="300"/>
          <w:jc w:val="center"/>
        </w:trPr>
        <w:tc>
          <w:tcPr>
            <w:tcW w:w="2070"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F94CBE">
            <w:pPr>
              <w:jc w:val="left"/>
              <w:rPr>
                <w:rFonts w:ascii="Calibri" w:eastAsia="Times New Roman" w:hAnsi="Calibri"/>
                <w:color w:val="000000"/>
                <w:sz w:val="18"/>
                <w:szCs w:val="18"/>
              </w:rPr>
            </w:pPr>
            <w:r w:rsidRPr="00B75B77">
              <w:rPr>
                <w:rFonts w:ascii="Calibri" w:eastAsia="Times New Roman" w:hAnsi="Calibri"/>
                <w:color w:val="000000"/>
                <w:sz w:val="18"/>
                <w:szCs w:val="18"/>
              </w:rPr>
              <w:t>Large C</w:t>
            </w:r>
            <w:r w:rsidR="0054073E" w:rsidRPr="00B75B77">
              <w:rPr>
                <w:rFonts w:ascii="Calibri" w:eastAsia="Times New Roman" w:hAnsi="Calibri"/>
                <w:color w:val="000000"/>
                <w:sz w:val="18"/>
                <w:szCs w:val="18"/>
              </w:rPr>
              <w:t>&amp;I</w:t>
            </w:r>
          </w:p>
        </w:tc>
        <w:tc>
          <w:tcPr>
            <w:tcW w:w="1345"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N/A</w:t>
            </w:r>
          </w:p>
        </w:tc>
        <w:tc>
          <w:tcPr>
            <w:tcW w:w="135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203,</w:t>
            </w:r>
            <w:r w:rsidR="00DB55DE" w:rsidRPr="00B75B77">
              <w:rPr>
                <w:sz w:val="18"/>
                <w:szCs w:val="18"/>
              </w:rPr>
              <w:t>768</w:t>
            </w:r>
          </w:p>
        </w:tc>
        <w:tc>
          <w:tcPr>
            <w:tcW w:w="162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N/A</w:t>
            </w:r>
          </w:p>
        </w:tc>
        <w:tc>
          <w:tcPr>
            <w:tcW w:w="11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N/A</w:t>
            </w:r>
          </w:p>
        </w:tc>
        <w:tc>
          <w:tcPr>
            <w:tcW w:w="108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0</w:t>
            </w:r>
          </w:p>
        </w:tc>
      </w:tr>
      <w:tr w:rsidR="00DB55DE" w:rsidRPr="00B75B77" w:rsidTr="00904159">
        <w:trPr>
          <w:trHeight w:val="480"/>
          <w:jc w:val="center"/>
        </w:trPr>
        <w:tc>
          <w:tcPr>
            <w:tcW w:w="2070"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F94CBE">
            <w:pPr>
              <w:jc w:val="left"/>
              <w:rPr>
                <w:rFonts w:ascii="Calibri" w:eastAsia="Times New Roman" w:hAnsi="Calibri"/>
                <w:color w:val="000000"/>
                <w:sz w:val="18"/>
                <w:szCs w:val="18"/>
              </w:rPr>
            </w:pPr>
            <w:r w:rsidRPr="00B75B77">
              <w:rPr>
                <w:rFonts w:ascii="Calibri" w:eastAsia="Times New Roman" w:hAnsi="Calibri"/>
                <w:color w:val="000000"/>
                <w:sz w:val="18"/>
                <w:szCs w:val="18"/>
              </w:rPr>
              <w:t>Total C</w:t>
            </w:r>
            <w:r w:rsidR="0054073E" w:rsidRPr="00B75B77">
              <w:rPr>
                <w:rFonts w:ascii="Calibri" w:eastAsia="Times New Roman" w:hAnsi="Calibri"/>
                <w:color w:val="000000"/>
                <w:sz w:val="18"/>
                <w:szCs w:val="18"/>
              </w:rPr>
              <w:t>&amp;I</w:t>
            </w:r>
            <w:r w:rsidRPr="00B75B77">
              <w:rPr>
                <w:rFonts w:ascii="Calibri" w:eastAsia="Times New Roman" w:hAnsi="Calibri"/>
                <w:color w:val="000000"/>
                <w:sz w:val="18"/>
                <w:szCs w:val="18"/>
              </w:rPr>
              <w:t xml:space="preserve"> (excluding GNI)</w:t>
            </w:r>
          </w:p>
        </w:tc>
        <w:tc>
          <w:tcPr>
            <w:tcW w:w="1345"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54,944</w:t>
            </w:r>
          </w:p>
        </w:tc>
        <w:tc>
          <w:tcPr>
            <w:tcW w:w="135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376,</w:t>
            </w:r>
            <w:r w:rsidR="00DB55DE" w:rsidRPr="00B75B77">
              <w:rPr>
                <w:sz w:val="18"/>
                <w:szCs w:val="18"/>
              </w:rPr>
              <w:t>776</w:t>
            </w:r>
          </w:p>
        </w:tc>
        <w:tc>
          <w:tcPr>
            <w:tcW w:w="162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C959F8">
            <w:pPr>
              <w:jc w:val="center"/>
              <w:rPr>
                <w:rFonts w:ascii="Calibri" w:eastAsia="Times New Roman" w:hAnsi="Calibri"/>
                <w:color w:val="000000"/>
                <w:sz w:val="18"/>
                <w:szCs w:val="18"/>
              </w:rPr>
            </w:pPr>
            <w:r w:rsidRPr="00B75B77">
              <w:rPr>
                <w:sz w:val="18"/>
                <w:szCs w:val="18"/>
              </w:rPr>
              <w:t>431,</w:t>
            </w:r>
            <w:r w:rsidR="00C959F8" w:rsidRPr="00B75B77">
              <w:rPr>
                <w:sz w:val="18"/>
                <w:szCs w:val="18"/>
              </w:rPr>
              <w:t>720</w:t>
            </w:r>
          </w:p>
        </w:tc>
        <w:tc>
          <w:tcPr>
            <w:tcW w:w="11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N/A</w:t>
            </w:r>
          </w:p>
        </w:tc>
        <w:tc>
          <w:tcPr>
            <w:tcW w:w="108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0</w:t>
            </w:r>
          </w:p>
        </w:tc>
      </w:tr>
      <w:tr w:rsidR="00DB55DE" w:rsidRPr="00B75B77" w:rsidTr="00904159">
        <w:trPr>
          <w:trHeight w:val="564"/>
          <w:jc w:val="center"/>
        </w:trPr>
        <w:tc>
          <w:tcPr>
            <w:tcW w:w="2070"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F94CBE">
            <w:pPr>
              <w:jc w:val="left"/>
              <w:rPr>
                <w:rFonts w:ascii="Calibri" w:eastAsia="Times New Roman" w:hAnsi="Calibri"/>
                <w:color w:val="000000"/>
                <w:sz w:val="18"/>
                <w:szCs w:val="18"/>
              </w:rPr>
            </w:pPr>
            <w:r w:rsidRPr="00B75B77">
              <w:rPr>
                <w:rFonts w:ascii="Calibri" w:eastAsia="Times New Roman" w:hAnsi="Calibri"/>
                <w:color w:val="000000"/>
                <w:sz w:val="18"/>
                <w:szCs w:val="18"/>
              </w:rPr>
              <w:t>G</w:t>
            </w:r>
            <w:r w:rsidR="0054073E" w:rsidRPr="00B75B77">
              <w:rPr>
                <w:rFonts w:ascii="Calibri" w:eastAsia="Times New Roman" w:hAnsi="Calibri"/>
                <w:color w:val="000000"/>
                <w:sz w:val="18"/>
                <w:szCs w:val="18"/>
              </w:rPr>
              <w:t>NI</w:t>
            </w:r>
          </w:p>
        </w:tc>
        <w:tc>
          <w:tcPr>
            <w:tcW w:w="1345"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77,961</w:t>
            </w:r>
          </w:p>
        </w:tc>
        <w:tc>
          <w:tcPr>
            <w:tcW w:w="135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22</w:t>
            </w:r>
            <w:r w:rsidR="00DB55DE" w:rsidRPr="00B75B77">
              <w:rPr>
                <w:sz w:val="18"/>
                <w:szCs w:val="18"/>
              </w:rPr>
              <w:t>7,985</w:t>
            </w:r>
          </w:p>
        </w:tc>
        <w:tc>
          <w:tcPr>
            <w:tcW w:w="162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C959F8">
            <w:pPr>
              <w:jc w:val="center"/>
              <w:rPr>
                <w:rFonts w:ascii="Calibri" w:eastAsia="Times New Roman" w:hAnsi="Calibri"/>
                <w:color w:val="000000"/>
                <w:sz w:val="18"/>
                <w:szCs w:val="18"/>
              </w:rPr>
            </w:pPr>
            <w:r w:rsidRPr="00B75B77">
              <w:rPr>
                <w:sz w:val="18"/>
                <w:szCs w:val="18"/>
              </w:rPr>
              <w:t>30</w:t>
            </w:r>
            <w:r w:rsidR="00C959F8" w:rsidRPr="00B75B77">
              <w:rPr>
                <w:sz w:val="18"/>
                <w:szCs w:val="18"/>
              </w:rPr>
              <w:t>5,946</w:t>
            </w:r>
          </w:p>
        </w:tc>
        <w:tc>
          <w:tcPr>
            <w:tcW w:w="11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94CBE">
            <w:pPr>
              <w:jc w:val="center"/>
              <w:rPr>
                <w:rFonts w:ascii="Calibri" w:eastAsia="Times New Roman" w:hAnsi="Calibri"/>
                <w:color w:val="000000"/>
                <w:sz w:val="18"/>
                <w:szCs w:val="18"/>
              </w:rPr>
            </w:pPr>
            <w:r w:rsidRPr="00B75B77">
              <w:rPr>
                <w:sz w:val="18"/>
                <w:szCs w:val="18"/>
              </w:rPr>
              <w:t>112,585</w:t>
            </w:r>
          </w:p>
        </w:tc>
        <w:tc>
          <w:tcPr>
            <w:tcW w:w="108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DB55DE">
            <w:pPr>
              <w:jc w:val="center"/>
              <w:rPr>
                <w:rFonts w:ascii="Calibri" w:eastAsia="Times New Roman" w:hAnsi="Calibri"/>
                <w:color w:val="000000"/>
                <w:sz w:val="18"/>
                <w:szCs w:val="18"/>
              </w:rPr>
            </w:pPr>
            <w:r w:rsidRPr="00B75B77">
              <w:rPr>
                <w:sz w:val="18"/>
                <w:szCs w:val="18"/>
              </w:rPr>
              <w:t>115,</w:t>
            </w:r>
            <w:r w:rsidR="00DB55DE" w:rsidRPr="00B75B77">
              <w:rPr>
                <w:sz w:val="18"/>
                <w:szCs w:val="18"/>
              </w:rPr>
              <w:t>400</w:t>
            </w:r>
          </w:p>
        </w:tc>
      </w:tr>
      <w:tr w:rsidR="00DB55DE" w:rsidRPr="00B75B77" w:rsidTr="00904159">
        <w:trPr>
          <w:trHeight w:val="288"/>
          <w:jc w:val="center"/>
        </w:trPr>
        <w:tc>
          <w:tcPr>
            <w:tcW w:w="2070"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F94CBE">
            <w:pPr>
              <w:jc w:val="left"/>
              <w:rPr>
                <w:rFonts w:ascii="Calibri" w:eastAsia="Times New Roman" w:hAnsi="Calibri"/>
                <w:b/>
                <w:bCs/>
                <w:color w:val="000000"/>
                <w:sz w:val="18"/>
                <w:szCs w:val="18"/>
              </w:rPr>
            </w:pPr>
            <w:r w:rsidRPr="00B75B77">
              <w:rPr>
                <w:rFonts w:ascii="Calibri" w:eastAsia="Times New Roman" w:hAnsi="Calibri"/>
                <w:b/>
                <w:bCs/>
                <w:color w:val="000000"/>
                <w:sz w:val="18"/>
                <w:szCs w:val="18"/>
              </w:rPr>
              <w:t>TOTAL</w:t>
            </w:r>
          </w:p>
        </w:tc>
        <w:tc>
          <w:tcPr>
            <w:tcW w:w="1345"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94CBE">
            <w:pPr>
              <w:jc w:val="center"/>
              <w:rPr>
                <w:rFonts w:ascii="Calibri" w:eastAsia="Times New Roman" w:hAnsi="Calibri"/>
                <w:b/>
                <w:color w:val="000000"/>
                <w:sz w:val="18"/>
                <w:szCs w:val="18"/>
              </w:rPr>
            </w:pPr>
            <w:r w:rsidRPr="00B75B77">
              <w:rPr>
                <w:b/>
                <w:sz w:val="18"/>
                <w:szCs w:val="18"/>
              </w:rPr>
              <w:t>242,793</w:t>
            </w:r>
          </w:p>
        </w:tc>
        <w:tc>
          <w:tcPr>
            <w:tcW w:w="135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94CBE">
            <w:pPr>
              <w:jc w:val="center"/>
              <w:rPr>
                <w:rFonts w:ascii="Calibri" w:eastAsia="Times New Roman" w:hAnsi="Calibri"/>
                <w:b/>
                <w:color w:val="000000"/>
                <w:sz w:val="18"/>
                <w:szCs w:val="18"/>
              </w:rPr>
            </w:pPr>
            <w:r w:rsidRPr="00B75B77">
              <w:rPr>
                <w:b/>
                <w:sz w:val="18"/>
                <w:szCs w:val="18"/>
              </w:rPr>
              <w:t>1,0</w:t>
            </w:r>
            <w:r w:rsidR="00325BB6" w:rsidRPr="00B75B77">
              <w:rPr>
                <w:b/>
                <w:sz w:val="18"/>
                <w:szCs w:val="18"/>
              </w:rPr>
              <w:t>90,505</w:t>
            </w:r>
          </w:p>
        </w:tc>
        <w:tc>
          <w:tcPr>
            <w:tcW w:w="162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94CBE">
            <w:pPr>
              <w:jc w:val="center"/>
              <w:rPr>
                <w:rFonts w:ascii="Calibri" w:eastAsia="Times New Roman" w:hAnsi="Calibri"/>
                <w:b/>
                <w:color w:val="000000"/>
                <w:sz w:val="18"/>
                <w:szCs w:val="18"/>
              </w:rPr>
            </w:pPr>
            <w:r w:rsidRPr="00B75B77">
              <w:rPr>
                <w:b/>
                <w:sz w:val="18"/>
                <w:szCs w:val="18"/>
              </w:rPr>
              <w:t>1,</w:t>
            </w:r>
            <w:r w:rsidR="00325BB6" w:rsidRPr="00B75B77">
              <w:rPr>
                <w:b/>
                <w:sz w:val="18"/>
                <w:szCs w:val="18"/>
              </w:rPr>
              <w:t>333,298</w:t>
            </w:r>
          </w:p>
        </w:tc>
        <w:tc>
          <w:tcPr>
            <w:tcW w:w="11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94CBE">
            <w:pPr>
              <w:jc w:val="center"/>
              <w:rPr>
                <w:rFonts w:ascii="Calibri" w:eastAsia="Times New Roman" w:hAnsi="Calibri"/>
                <w:b/>
                <w:color w:val="000000"/>
                <w:sz w:val="18"/>
                <w:szCs w:val="18"/>
              </w:rPr>
            </w:pPr>
            <w:r w:rsidRPr="00B75B77">
              <w:rPr>
                <w:b/>
                <w:sz w:val="18"/>
                <w:szCs w:val="18"/>
              </w:rPr>
              <w:t>1,125,851</w:t>
            </w:r>
          </w:p>
        </w:tc>
        <w:tc>
          <w:tcPr>
            <w:tcW w:w="108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94CBE">
            <w:pPr>
              <w:jc w:val="center"/>
              <w:rPr>
                <w:rFonts w:ascii="Calibri" w:eastAsia="Times New Roman" w:hAnsi="Calibri"/>
                <w:b/>
                <w:color w:val="000000"/>
                <w:sz w:val="18"/>
                <w:szCs w:val="18"/>
              </w:rPr>
            </w:pPr>
            <w:r w:rsidRPr="00B75B77">
              <w:rPr>
                <w:b/>
                <w:sz w:val="18"/>
                <w:szCs w:val="18"/>
              </w:rPr>
              <w:t>0</w:t>
            </w:r>
          </w:p>
        </w:tc>
      </w:tr>
    </w:tbl>
    <w:p w:rsidR="000C1E59" w:rsidRPr="00B75B77" w:rsidRDefault="000C1E59" w:rsidP="00F94CBE">
      <w:pPr>
        <w:pStyle w:val="Source"/>
        <w:spacing w:before="20" w:after="20"/>
        <w:ind w:left="187" w:firstLine="0"/>
        <w:rPr>
          <w:rFonts w:ascii="Calibri" w:hAnsi="Calibri"/>
          <w:i w:val="0"/>
          <w:color w:val="000000"/>
          <w:szCs w:val="18"/>
        </w:rPr>
      </w:pPr>
      <w:r w:rsidRPr="00B75B77">
        <w:rPr>
          <w:rFonts w:ascii="Calibri" w:hAnsi="Calibri"/>
          <w:i w:val="0"/>
          <w:color w:val="000000"/>
          <w:szCs w:val="18"/>
          <w:vertAlign w:val="superscript"/>
        </w:rPr>
        <w:t>[1]</w:t>
      </w:r>
      <w:r w:rsidRPr="00B75B77">
        <w:rPr>
          <w:rFonts w:ascii="Calibri" w:hAnsi="Calibri"/>
          <w:i w:val="0"/>
          <w:color w:val="000000"/>
          <w:szCs w:val="18"/>
        </w:rPr>
        <w:t xml:space="preserve"> All customer sector totals (excluding Total C</w:t>
      </w:r>
      <w:r w:rsidR="0054073E" w:rsidRPr="00B75B77">
        <w:rPr>
          <w:rFonts w:ascii="Calibri" w:hAnsi="Calibri"/>
          <w:i w:val="0"/>
          <w:color w:val="000000"/>
          <w:szCs w:val="18"/>
        </w:rPr>
        <w:t>&amp;I</w:t>
      </w:r>
      <w:r w:rsidRPr="00B75B77">
        <w:rPr>
          <w:rFonts w:ascii="Calibri" w:hAnsi="Calibri"/>
          <w:i w:val="0"/>
          <w:color w:val="000000"/>
          <w:szCs w:val="18"/>
        </w:rPr>
        <w:t xml:space="preserve"> (excluding GNI)) are exclusive of each other and may be added together to get the Phase II totals.</w:t>
      </w:r>
      <w:r w:rsidRPr="00B75B77">
        <w:rPr>
          <w:rFonts w:ascii="Calibri" w:hAnsi="Calibri"/>
          <w:i w:val="0"/>
          <w:color w:val="000000"/>
          <w:szCs w:val="18"/>
        </w:rPr>
        <w:br/>
      </w:r>
      <w:r w:rsidRPr="00B75B77">
        <w:rPr>
          <w:rFonts w:ascii="Calibri" w:hAnsi="Calibri"/>
          <w:i w:val="0"/>
          <w:color w:val="000000"/>
          <w:szCs w:val="18"/>
          <w:vertAlign w:val="superscript"/>
        </w:rPr>
        <w:t>[2]</w:t>
      </w:r>
      <w:r w:rsidRPr="00B75B77">
        <w:rPr>
          <w:rFonts w:ascii="Calibri" w:hAnsi="Calibri"/>
          <w:i w:val="0"/>
          <w:color w:val="000000"/>
          <w:szCs w:val="18"/>
        </w:rPr>
        <w:t xml:space="preserve"> Phase II Carry</w:t>
      </w:r>
      <w:r w:rsidR="00D06BF7" w:rsidRPr="00B75B77">
        <w:rPr>
          <w:rFonts w:ascii="Calibri" w:hAnsi="Calibri"/>
          <w:i w:val="0"/>
          <w:color w:val="000000"/>
          <w:szCs w:val="18"/>
        </w:rPr>
        <w:t>-O</w:t>
      </w:r>
      <w:r w:rsidRPr="00B75B77">
        <w:rPr>
          <w:rFonts w:ascii="Calibri" w:hAnsi="Calibri"/>
          <w:i w:val="0"/>
          <w:color w:val="000000"/>
          <w:szCs w:val="18"/>
        </w:rPr>
        <w:t>ver Savings are calculated using savings achieved in Phase II only and do not consider Phase I Carry</w:t>
      </w:r>
      <w:r w:rsidR="00D06BF7" w:rsidRPr="00B75B77">
        <w:rPr>
          <w:rFonts w:ascii="Calibri" w:hAnsi="Calibri"/>
          <w:i w:val="0"/>
          <w:color w:val="000000"/>
          <w:szCs w:val="18"/>
        </w:rPr>
        <w:t>-O</w:t>
      </w:r>
      <w:r w:rsidRPr="00B75B77">
        <w:rPr>
          <w:rFonts w:ascii="Calibri" w:hAnsi="Calibri"/>
          <w:i w:val="0"/>
          <w:color w:val="000000"/>
          <w:szCs w:val="18"/>
        </w:rPr>
        <w:t>ver Savings. Phase II Carry</w:t>
      </w:r>
      <w:r w:rsidR="00D06BF7" w:rsidRPr="00B75B77">
        <w:rPr>
          <w:rFonts w:ascii="Calibri" w:hAnsi="Calibri"/>
          <w:i w:val="0"/>
          <w:color w:val="000000"/>
          <w:szCs w:val="18"/>
        </w:rPr>
        <w:t>-O</w:t>
      </w:r>
      <w:r w:rsidRPr="00B75B77">
        <w:rPr>
          <w:rFonts w:ascii="Calibri" w:hAnsi="Calibri"/>
          <w:i w:val="0"/>
          <w:color w:val="000000"/>
          <w:szCs w:val="18"/>
        </w:rPr>
        <w:t>ver Savings = Phase II Cumulative Annual Savings – Phase II Compliance Targets</w:t>
      </w:r>
    </w:p>
    <w:p w:rsidR="000C1E59" w:rsidRPr="00B75B77" w:rsidRDefault="000C1E59" w:rsidP="00F94CBE">
      <w:pPr>
        <w:pStyle w:val="Source"/>
        <w:spacing w:before="20" w:after="20"/>
        <w:ind w:left="187" w:firstLine="0"/>
        <w:rPr>
          <w:rStyle w:val="Strong"/>
          <w:b w:val="0"/>
          <w:bCs w:val="0"/>
          <w:i w:val="0"/>
        </w:rPr>
      </w:pPr>
      <w:r w:rsidRPr="00B75B77">
        <w:rPr>
          <w:rFonts w:ascii="Calibri" w:hAnsi="Calibri"/>
          <w:i w:val="0"/>
          <w:color w:val="000000"/>
          <w:szCs w:val="18"/>
          <w:vertAlign w:val="superscript"/>
        </w:rPr>
        <w:t>[3]</w:t>
      </w:r>
      <w:r w:rsidRPr="00B75B77">
        <w:rPr>
          <w:rFonts w:ascii="Calibri" w:hAnsi="Calibri"/>
          <w:i w:val="0"/>
          <w:color w:val="000000"/>
          <w:szCs w:val="18"/>
        </w:rPr>
        <w:t xml:space="preserve"> The evaluation team verified the percentage of customers participating in non-low-income</w:t>
      </w:r>
      <w:r w:rsidR="0001564E" w:rsidRPr="00B75B77">
        <w:rPr>
          <w:rFonts w:ascii="Calibri" w:hAnsi="Calibri"/>
          <w:i w:val="0"/>
          <w:color w:val="000000"/>
          <w:szCs w:val="18"/>
        </w:rPr>
        <w:t>-</w:t>
      </w:r>
      <w:r w:rsidRPr="00B75B77">
        <w:rPr>
          <w:rFonts w:ascii="Calibri" w:hAnsi="Calibri"/>
          <w:i w:val="0"/>
          <w:color w:val="000000"/>
          <w:szCs w:val="18"/>
        </w:rPr>
        <w:t>specific programs that were low-income</w:t>
      </w:r>
      <w:r w:rsidR="0001564E" w:rsidRPr="00B75B77">
        <w:rPr>
          <w:rFonts w:ascii="Calibri" w:hAnsi="Calibri"/>
          <w:i w:val="0"/>
          <w:color w:val="000000"/>
          <w:szCs w:val="18"/>
        </w:rPr>
        <w:t>-</w:t>
      </w:r>
      <w:r w:rsidRPr="00B75B77">
        <w:rPr>
          <w:rFonts w:ascii="Calibri" w:hAnsi="Calibri"/>
          <w:i w:val="0"/>
          <w:color w:val="000000"/>
          <w:szCs w:val="18"/>
        </w:rPr>
        <w:t>qualified through self-report surveys. The survey results were used to estimate program savings and incentives paid to low-income customers and were added to the savings achieved through low-income</w:t>
      </w:r>
      <w:r w:rsidR="0001564E" w:rsidRPr="00B75B77">
        <w:rPr>
          <w:rFonts w:ascii="Calibri" w:hAnsi="Calibri"/>
          <w:i w:val="0"/>
          <w:color w:val="000000"/>
          <w:szCs w:val="18"/>
        </w:rPr>
        <w:t>-</w:t>
      </w:r>
      <w:r w:rsidRPr="00B75B77">
        <w:rPr>
          <w:rFonts w:ascii="Calibri" w:hAnsi="Calibri"/>
          <w:i w:val="0"/>
          <w:color w:val="000000"/>
          <w:szCs w:val="18"/>
        </w:rPr>
        <w:t>specific programs.</w:t>
      </w:r>
      <w:r w:rsidRPr="00B75B77">
        <w:rPr>
          <w:rFonts w:ascii="Calibri" w:hAnsi="Calibri"/>
          <w:i w:val="0"/>
          <w:color w:val="000000"/>
          <w:szCs w:val="18"/>
        </w:rPr>
        <w:br/>
      </w:r>
      <w:r w:rsidR="00665883" w:rsidRPr="00B75B77">
        <w:rPr>
          <w:rFonts w:ascii="Calibri" w:hAnsi="Calibri"/>
          <w:i w:val="0"/>
          <w:color w:val="000000"/>
          <w:szCs w:val="18"/>
          <w:vertAlign w:val="superscript"/>
        </w:rPr>
        <w:t>[4]</w:t>
      </w:r>
      <w:r w:rsidR="00665883" w:rsidRPr="00B75B77">
        <w:rPr>
          <w:rFonts w:ascii="Calibri" w:hAnsi="Calibri"/>
          <w:i w:val="0"/>
          <w:color w:val="000000"/>
          <w:szCs w:val="18"/>
        </w:rPr>
        <w:t xml:space="preserve"> Per the PA Act 129 Phase III Implementation Order, low-income savings achieved only through low-income specific programs are eligible to </w:t>
      </w:r>
      <w:r w:rsidR="00B75B77" w:rsidRPr="00B75B77">
        <w:rPr>
          <w:rFonts w:ascii="Calibri" w:hAnsi="Calibri"/>
          <w:i w:val="0"/>
          <w:color w:val="000000"/>
          <w:szCs w:val="18"/>
        </w:rPr>
        <w:t>carry over</w:t>
      </w:r>
      <w:r w:rsidR="00665883" w:rsidRPr="00B75B77">
        <w:rPr>
          <w:rFonts w:ascii="Calibri" w:hAnsi="Calibri"/>
          <w:i w:val="0"/>
          <w:color w:val="000000"/>
          <w:szCs w:val="18"/>
        </w:rPr>
        <w:t xml:space="preserve"> into Phase III. The Phase II Cumulative Annual Savings from low-income specific programs (i.e., LEEP only) are shown in brackets [] and were used to calculated the Residential (Low-Income) Phase II Carry-Over Savings. The </w:t>
      </w:r>
      <w:r w:rsidR="001E0B91" w:rsidRPr="00B75B77">
        <w:rPr>
          <w:rFonts w:ascii="Calibri" w:hAnsi="Calibri"/>
          <w:i w:val="0"/>
          <w:color w:val="000000"/>
          <w:szCs w:val="18"/>
        </w:rPr>
        <w:t>91,673</w:t>
      </w:r>
      <w:r w:rsidR="00665883" w:rsidRPr="00B75B77">
        <w:rPr>
          <w:rFonts w:ascii="Calibri" w:hAnsi="Calibri"/>
          <w:i w:val="0"/>
          <w:color w:val="000000"/>
          <w:szCs w:val="18"/>
        </w:rPr>
        <w:t xml:space="preserve"> MWh of Phase II Residential Low-Income savings includes savings from non-low-income specific programs, but was not used to determine Phase II Carry-Over Savings.</w:t>
      </w:r>
      <w:r w:rsidR="00665883" w:rsidRPr="00B75B77">
        <w:rPr>
          <w:rFonts w:ascii="Calibri" w:hAnsi="Calibri"/>
          <w:i w:val="0"/>
          <w:color w:val="000000"/>
          <w:szCs w:val="18"/>
        </w:rPr>
        <w:br/>
      </w:r>
      <w:r w:rsidRPr="00B75B77">
        <w:rPr>
          <w:rStyle w:val="Strong"/>
          <w:b w:val="0"/>
          <w:bCs w:val="0"/>
          <w:i w:val="0"/>
        </w:rPr>
        <w:t xml:space="preserve">Note: </w:t>
      </w:r>
      <w:r w:rsidRPr="00B75B77">
        <w:rPr>
          <w:rFonts w:ascii="Calibri" w:hAnsi="Calibri"/>
          <w:i w:val="0"/>
          <w:iCs/>
          <w:color w:val="000000"/>
          <w:szCs w:val="18"/>
        </w:rPr>
        <w:t>Values in tables may not reconcile exactly with the sum of more detailed level results or previously reported results due to rounding.</w:t>
      </w:r>
    </w:p>
    <w:p w:rsidR="000C1E59" w:rsidRPr="00B75B77" w:rsidRDefault="000C1E59" w:rsidP="00F94CBE">
      <w:pPr>
        <w:pStyle w:val="Source"/>
        <w:rPr>
          <w:rStyle w:val="Strong"/>
          <w:b w:val="0"/>
          <w:bCs w:val="0"/>
        </w:rPr>
      </w:pPr>
      <w:r w:rsidRPr="00B75B77">
        <w:rPr>
          <w:rStyle w:val="Strong"/>
          <w:b w:val="0"/>
          <w:bCs w:val="0"/>
        </w:rPr>
        <w:t>Source: Navigant analysis</w:t>
      </w:r>
    </w:p>
    <w:p w:rsidR="000C1E59" w:rsidRPr="00B75B77" w:rsidRDefault="000C1E59" w:rsidP="002C3D01">
      <w:pPr>
        <w:pStyle w:val="Heading3"/>
        <w:keepNext/>
      </w:pPr>
      <w:bookmarkStart w:id="83" w:name="_Toc466413261"/>
      <w:r w:rsidRPr="00B75B77">
        <w:lastRenderedPageBreak/>
        <w:t>Summary of Savings Adjustments throughout Phase II</w:t>
      </w:r>
      <w:bookmarkEnd w:id="83"/>
      <w:r w:rsidRPr="00B75B77">
        <w:t xml:space="preserve"> </w:t>
      </w:r>
    </w:p>
    <w:p w:rsidR="000C1E59" w:rsidRPr="00B75B77" w:rsidRDefault="000C1E59" w:rsidP="002C3D01">
      <w:pPr>
        <w:pStyle w:val="NormalSpacer"/>
        <w:keepNext/>
        <w:keepLines w:val="0"/>
      </w:pPr>
      <w:r w:rsidRPr="00B75B77">
        <w:t xml:space="preserve">In some cases, PECO has adjusted how it reports participation, energy savings, and demand reduction across the different sectors and programs, since the start of Phase II, to more accurately represent PECO’s performance in alignment with the Pennsylvania </w:t>
      </w:r>
      <w:r w:rsidRPr="00B75B77" w:rsidDel="0054073E">
        <w:t>SWE</w:t>
      </w:r>
      <w:r w:rsidRPr="00B75B77">
        <w:t xml:space="preserve"> reporting template. For example, </w:t>
      </w:r>
      <w:r w:rsidR="007D4ABE" w:rsidRPr="00B75B77">
        <w:t>C&amp;</w:t>
      </w:r>
      <w:r w:rsidRPr="00B75B77" w:rsidDel="007D4ABE">
        <w:t>I</w:t>
      </w:r>
      <w:r w:rsidRPr="00B75B77">
        <w:t xml:space="preserve"> participation and savings were reallocated to the appropriate customer class to more accurately report achievements by the small and large C&amp;I customer classes. Additionally, other adjustments were required to more accurately describe the participation, energy savings, and demand reduction achieved through the Phase II EE&amp;C portfolio. </w:t>
      </w:r>
      <w:r w:rsidR="00460C71" w:rsidRPr="00B75B77">
        <w:t xml:space="preserve">Most of these </w:t>
      </w:r>
      <w:r w:rsidRPr="00B75B77">
        <w:t>adjustments to PY5 and PY6 values were previously reported in PECO’s PY7 Q4/Preliminary Annual Report</w:t>
      </w:r>
      <w:r w:rsidRPr="00B75B77">
        <w:rPr>
          <w:rStyle w:val="FootnoteReference"/>
        </w:rPr>
        <w:footnoteReference w:id="9"/>
      </w:r>
      <w:r w:rsidRPr="00B75B77">
        <w:t xml:space="preserve"> and are restated here for clari</w:t>
      </w:r>
      <w:r w:rsidR="00E10BEA" w:rsidRPr="00B75B77">
        <w:t>ty</w:t>
      </w:r>
      <w:r w:rsidRPr="00B75B77">
        <w:t xml:space="preserve"> and consistency only. </w:t>
      </w:r>
      <w:r w:rsidR="00616468" w:rsidRPr="00B75B77">
        <w:t>A</w:t>
      </w:r>
      <w:r w:rsidRPr="00B75B77">
        <w:t xml:space="preserve">djustments to PY5 and PY6 values include the following: </w:t>
      </w:r>
    </w:p>
    <w:p w:rsidR="000C1E59" w:rsidRPr="00B75B77" w:rsidRDefault="000C1E59" w:rsidP="00F94CBE">
      <w:pPr>
        <w:pStyle w:val="NormalSpacer"/>
      </w:pPr>
    </w:p>
    <w:p w:rsidR="000C1E59" w:rsidRPr="00B75B77" w:rsidRDefault="000C1E59" w:rsidP="009E08FB">
      <w:pPr>
        <w:pStyle w:val="NormalSpacer"/>
        <w:numPr>
          <w:ilvl w:val="0"/>
          <w:numId w:val="111"/>
        </w:numPr>
        <w:spacing w:after="40"/>
      </w:pPr>
      <w:r w:rsidRPr="00B75B77">
        <w:rPr>
          <w:b/>
        </w:rPr>
        <w:t>Participation Adjustments</w:t>
      </w:r>
      <w:r w:rsidR="002C3D01" w:rsidRPr="00B75B77">
        <w:rPr>
          <w:b/>
        </w:rPr>
        <w:t>:</w:t>
      </w:r>
    </w:p>
    <w:p w:rsidR="000C1E59" w:rsidRPr="00B75B77" w:rsidRDefault="000C1E59" w:rsidP="009E08FB">
      <w:pPr>
        <w:pStyle w:val="NormalSpacer"/>
        <w:numPr>
          <w:ilvl w:val="1"/>
          <w:numId w:val="111"/>
        </w:numPr>
        <w:spacing w:after="40"/>
      </w:pPr>
      <w:r w:rsidRPr="00B75B77">
        <w:rPr>
          <w:b/>
        </w:rPr>
        <w:t xml:space="preserve">Smart Appliance Recycling (SAR) </w:t>
      </w:r>
      <w:r w:rsidR="00AA07DA" w:rsidRPr="00B75B77">
        <w:rPr>
          <w:b/>
        </w:rPr>
        <w:t>p</w:t>
      </w:r>
      <w:r w:rsidRPr="00B75B77">
        <w:rPr>
          <w:b/>
        </w:rPr>
        <w:t xml:space="preserve">rogram: </w:t>
      </w:r>
      <w:r w:rsidRPr="00B75B77">
        <w:t xml:space="preserve">Reallocated PY5 and PY6 participation between Small </w:t>
      </w:r>
      <w:proofErr w:type="gramStart"/>
      <w:r w:rsidRPr="00B75B77">
        <w:t>C&amp;I and Large C&amp;I</w:t>
      </w:r>
      <w:proofErr w:type="gramEnd"/>
      <w:r w:rsidRPr="00B75B77">
        <w:t xml:space="preserve"> customer classes.</w:t>
      </w:r>
    </w:p>
    <w:p w:rsidR="000C1E59" w:rsidRPr="00B75B77" w:rsidRDefault="000C1E59" w:rsidP="009E08FB">
      <w:pPr>
        <w:pStyle w:val="NormalSpacer"/>
        <w:numPr>
          <w:ilvl w:val="1"/>
          <w:numId w:val="111"/>
        </w:numPr>
        <w:spacing w:after="40"/>
      </w:pPr>
      <w:r w:rsidRPr="00B75B77">
        <w:rPr>
          <w:b/>
        </w:rPr>
        <w:t xml:space="preserve">Smart Home Rebates (SHR) </w:t>
      </w:r>
      <w:r w:rsidR="00AA07DA" w:rsidRPr="00B75B77">
        <w:rPr>
          <w:b/>
        </w:rPr>
        <w:t>p</w:t>
      </w:r>
      <w:r w:rsidRPr="00B75B77">
        <w:rPr>
          <w:b/>
        </w:rPr>
        <w:t xml:space="preserve">rogram: </w:t>
      </w:r>
      <w:r w:rsidRPr="00B75B77">
        <w:t>Added upstream light bulb counts to PY5 and PY6 measure participation. Previous reports did not include participation of upstream light bulbs and only reported non-lighting measure participation. Reallocated PY5 and PY6 participation between Small C&amp;I and Large C&amp;I customer classes.</w:t>
      </w:r>
    </w:p>
    <w:p w:rsidR="000C1E59" w:rsidRPr="00B75B77" w:rsidRDefault="000C1E59" w:rsidP="009E08FB">
      <w:pPr>
        <w:pStyle w:val="NormalSpacer"/>
        <w:numPr>
          <w:ilvl w:val="1"/>
          <w:numId w:val="111"/>
        </w:numPr>
        <w:spacing w:after="40"/>
      </w:pPr>
      <w:r w:rsidRPr="00B75B77">
        <w:rPr>
          <w:b/>
        </w:rPr>
        <w:t xml:space="preserve">Low-Income Energy Efficiency Program (LEEP): </w:t>
      </w:r>
      <w:r w:rsidRPr="00B75B77">
        <w:t xml:space="preserve">Added participation counts from </w:t>
      </w:r>
      <w:r w:rsidR="002C3D01" w:rsidRPr="00B75B77">
        <w:t>C</w:t>
      </w:r>
      <w:r w:rsidRPr="00B75B77">
        <w:t xml:space="preserve">omponent 2, 3, and 4 in addition to </w:t>
      </w:r>
      <w:r w:rsidR="002C3D01" w:rsidRPr="00B75B77">
        <w:t>C</w:t>
      </w:r>
      <w:r w:rsidRPr="00B75B77">
        <w:t>omponent 1. Previous reports only included participation from component 1.</w:t>
      </w:r>
      <w:r w:rsidR="00460C71" w:rsidRPr="00B75B77">
        <w:t xml:space="preserve"> Reallocated PY5 and PY6 participation from Residential (Low-Income) customer sector to the Residential (Non-Low-Income) customer sector to account for participating customers that had income levels ranging from 151% to 200% of the federal poverty level.</w:t>
      </w:r>
    </w:p>
    <w:p w:rsidR="000C1E59" w:rsidRPr="00B75B77" w:rsidRDefault="000C1E59" w:rsidP="009E08FB">
      <w:pPr>
        <w:pStyle w:val="NormalSpacer"/>
        <w:numPr>
          <w:ilvl w:val="1"/>
          <w:numId w:val="111"/>
        </w:numPr>
        <w:spacing w:after="40"/>
      </w:pPr>
      <w:r w:rsidRPr="00B75B77">
        <w:rPr>
          <w:b/>
          <w:snapToGrid w:val="0"/>
        </w:rPr>
        <w:t xml:space="preserve">Smart House Call (SHC) </w:t>
      </w:r>
      <w:r w:rsidR="00AA07DA" w:rsidRPr="00B75B77">
        <w:rPr>
          <w:b/>
          <w:snapToGrid w:val="0"/>
        </w:rPr>
        <w:t>p</w:t>
      </w:r>
      <w:r w:rsidRPr="00B75B77">
        <w:rPr>
          <w:b/>
          <w:snapToGrid w:val="0"/>
        </w:rPr>
        <w:t xml:space="preserve">rogram: </w:t>
      </w:r>
      <w:r w:rsidRPr="00B75B77">
        <w:rPr>
          <w:snapToGrid w:val="0"/>
        </w:rPr>
        <w:t>At the beginning of Phase II, PECO defined SHC participants as being a combination of unique premise number and invoice number</w:t>
      </w:r>
      <w:r w:rsidR="002C3D01" w:rsidRPr="00B75B77">
        <w:rPr>
          <w:snapToGrid w:val="0"/>
        </w:rPr>
        <w:t>;</w:t>
      </w:r>
      <w:r w:rsidRPr="00B75B77">
        <w:rPr>
          <w:snapToGrid w:val="0"/>
        </w:rPr>
        <w:t xml:space="preserve"> however, in PY7 both the evaluation team and PECO identified several cases where this definition did not provide an accurate count of participants. The evaluation team and PECO worked together to develop a new participant definition where participation is equal to the </w:t>
      </w:r>
      <w:r w:rsidRPr="00B75B77">
        <w:t>count of unique project numbers, excluding all project numbers denoted as “other installation” projects in program tracking data, by program year. PECO and the evaluation team confirmed that this updated operational definition successfully distinguishes unique participants. Participation counts have been updated accordingly.</w:t>
      </w:r>
    </w:p>
    <w:p w:rsidR="000C1E59" w:rsidRPr="00B75B77" w:rsidRDefault="000C1E59" w:rsidP="009E08FB">
      <w:pPr>
        <w:pStyle w:val="NormalSpacer"/>
        <w:numPr>
          <w:ilvl w:val="1"/>
          <w:numId w:val="111"/>
        </w:numPr>
        <w:spacing w:after="40"/>
      </w:pPr>
      <w:r w:rsidRPr="00B75B77">
        <w:rPr>
          <w:b/>
        </w:rPr>
        <w:t>Smart Multi</w:t>
      </w:r>
      <w:r w:rsidR="0001564E" w:rsidRPr="00B75B77">
        <w:rPr>
          <w:b/>
        </w:rPr>
        <w:t>-F</w:t>
      </w:r>
      <w:r w:rsidRPr="00B75B77">
        <w:rPr>
          <w:b/>
        </w:rPr>
        <w:t xml:space="preserve">amily Solutions (SMFS) </w:t>
      </w:r>
      <w:r w:rsidR="00AA07DA" w:rsidRPr="00B75B77">
        <w:rPr>
          <w:b/>
        </w:rPr>
        <w:t>p</w:t>
      </w:r>
      <w:r w:rsidRPr="00B75B77">
        <w:rPr>
          <w:b/>
        </w:rPr>
        <w:t xml:space="preserve">rogram: </w:t>
      </w:r>
      <w:r w:rsidRPr="00B75B77">
        <w:t xml:space="preserve">Reallocated PY5 and PY6 participation between Small </w:t>
      </w:r>
      <w:proofErr w:type="gramStart"/>
      <w:r w:rsidRPr="00B75B77">
        <w:t>C&amp;I and Large C&amp;I</w:t>
      </w:r>
      <w:proofErr w:type="gramEnd"/>
      <w:r w:rsidRPr="00B75B77">
        <w:t xml:space="preserve"> customer classes.</w:t>
      </w:r>
    </w:p>
    <w:p w:rsidR="000C1E59" w:rsidRPr="00B75B77" w:rsidRDefault="000C1E59" w:rsidP="009E08FB">
      <w:pPr>
        <w:pStyle w:val="NormalSpacer"/>
        <w:numPr>
          <w:ilvl w:val="1"/>
          <w:numId w:val="111"/>
        </w:numPr>
        <w:spacing w:after="40"/>
        <w:rPr>
          <w:b/>
        </w:rPr>
      </w:pPr>
      <w:r w:rsidRPr="00B75B77">
        <w:rPr>
          <w:b/>
        </w:rPr>
        <w:t xml:space="preserve">Smart Equipment Incentives (SEI) C&amp;I </w:t>
      </w:r>
      <w:r w:rsidR="00AA07DA" w:rsidRPr="00B75B77">
        <w:rPr>
          <w:b/>
        </w:rPr>
        <w:t>p</w:t>
      </w:r>
      <w:r w:rsidRPr="00B75B77">
        <w:rPr>
          <w:b/>
        </w:rPr>
        <w:t xml:space="preserve">rogram: </w:t>
      </w:r>
      <w:r w:rsidRPr="00B75B77">
        <w:t>Reallocated PY5 and PY6 participation between Small C&amp;I and Large C&amp;I customer classes.</w:t>
      </w:r>
    </w:p>
    <w:p w:rsidR="000C1E59" w:rsidRPr="00B75B77" w:rsidRDefault="000C1E59" w:rsidP="009E08FB">
      <w:pPr>
        <w:pStyle w:val="NormalSpacer"/>
        <w:numPr>
          <w:ilvl w:val="1"/>
          <w:numId w:val="111"/>
        </w:numPr>
        <w:spacing w:after="40"/>
        <w:rPr>
          <w:b/>
        </w:rPr>
      </w:pPr>
      <w:r w:rsidRPr="00B75B77">
        <w:rPr>
          <w:b/>
        </w:rPr>
        <w:t xml:space="preserve">Smart Construction Incentives (SCI) </w:t>
      </w:r>
      <w:r w:rsidR="00AA07DA" w:rsidRPr="00B75B77">
        <w:rPr>
          <w:b/>
        </w:rPr>
        <w:t>p</w:t>
      </w:r>
      <w:r w:rsidRPr="00B75B77">
        <w:rPr>
          <w:b/>
        </w:rPr>
        <w:t xml:space="preserve">rogram: </w:t>
      </w:r>
      <w:r w:rsidRPr="00B75B77">
        <w:t xml:space="preserve">Reallocated PY5 and PY6 participation between Small </w:t>
      </w:r>
      <w:proofErr w:type="gramStart"/>
      <w:r w:rsidRPr="00B75B77">
        <w:t>C&amp;I and Large C&amp;I</w:t>
      </w:r>
      <w:proofErr w:type="gramEnd"/>
      <w:r w:rsidRPr="00B75B77">
        <w:t xml:space="preserve"> customer classes.</w:t>
      </w:r>
    </w:p>
    <w:p w:rsidR="000C1E59" w:rsidRPr="00B75B77" w:rsidRDefault="000C1E59" w:rsidP="009E08FB">
      <w:pPr>
        <w:pStyle w:val="NormalSpacer"/>
        <w:numPr>
          <w:ilvl w:val="1"/>
          <w:numId w:val="111"/>
        </w:numPr>
        <w:spacing w:after="40"/>
        <w:rPr>
          <w:b/>
        </w:rPr>
      </w:pPr>
      <w:r w:rsidRPr="00B75B77">
        <w:rPr>
          <w:b/>
        </w:rPr>
        <w:t xml:space="preserve">Smart Business Solutions (SBS) </w:t>
      </w:r>
      <w:r w:rsidR="00AA07DA" w:rsidRPr="00B75B77">
        <w:rPr>
          <w:b/>
        </w:rPr>
        <w:t>p</w:t>
      </w:r>
      <w:r w:rsidRPr="00B75B77">
        <w:rPr>
          <w:b/>
        </w:rPr>
        <w:t xml:space="preserve">rogram: </w:t>
      </w:r>
      <w:r w:rsidRPr="00B75B77">
        <w:t xml:space="preserve">Reallocated PY5 and PY6 participation between Small </w:t>
      </w:r>
      <w:proofErr w:type="gramStart"/>
      <w:r w:rsidRPr="00B75B77">
        <w:t>C&amp;I and Large C&amp;I</w:t>
      </w:r>
      <w:proofErr w:type="gramEnd"/>
      <w:r w:rsidRPr="00B75B77">
        <w:t xml:space="preserve"> customer classes.</w:t>
      </w:r>
    </w:p>
    <w:p w:rsidR="000C1E59" w:rsidRPr="00B75B77" w:rsidRDefault="000C1E59" w:rsidP="009E08FB">
      <w:pPr>
        <w:pStyle w:val="NormalSpacer"/>
        <w:numPr>
          <w:ilvl w:val="0"/>
          <w:numId w:val="111"/>
        </w:numPr>
        <w:spacing w:after="40"/>
        <w:rPr>
          <w:b/>
        </w:rPr>
      </w:pPr>
      <w:r w:rsidRPr="00B75B77">
        <w:rPr>
          <w:b/>
        </w:rPr>
        <w:t>Verified Energy Savings Adjustments</w:t>
      </w:r>
      <w:r w:rsidR="002C3D01" w:rsidRPr="00B75B77">
        <w:rPr>
          <w:b/>
        </w:rPr>
        <w:t>:</w:t>
      </w:r>
    </w:p>
    <w:p w:rsidR="000C1E59" w:rsidRPr="00B75B77" w:rsidRDefault="000C1E59" w:rsidP="009E08FB">
      <w:pPr>
        <w:pStyle w:val="NormalSpacer"/>
        <w:numPr>
          <w:ilvl w:val="1"/>
          <w:numId w:val="111"/>
        </w:numPr>
        <w:spacing w:after="40"/>
      </w:pPr>
      <w:r w:rsidRPr="00B75B77">
        <w:rPr>
          <w:b/>
        </w:rPr>
        <w:t xml:space="preserve">SAR </w:t>
      </w:r>
      <w:r w:rsidR="00AA07DA" w:rsidRPr="00B75B77">
        <w:rPr>
          <w:b/>
        </w:rPr>
        <w:t>p</w:t>
      </w:r>
      <w:r w:rsidRPr="00B75B77">
        <w:rPr>
          <w:b/>
        </w:rPr>
        <w:t xml:space="preserve">rogram: </w:t>
      </w:r>
      <w:r w:rsidRPr="00B75B77">
        <w:t>Reallocated PY5 and PY6 ex ante and verified energy savings between Small C&amp;I and Large C&amp;I customer classes.</w:t>
      </w:r>
    </w:p>
    <w:p w:rsidR="000C1E59" w:rsidRPr="00B75B77" w:rsidRDefault="000C1E59" w:rsidP="009E08FB">
      <w:pPr>
        <w:pStyle w:val="NormalSpacer"/>
        <w:numPr>
          <w:ilvl w:val="1"/>
          <w:numId w:val="111"/>
        </w:numPr>
        <w:spacing w:after="40"/>
        <w:rPr>
          <w:b/>
        </w:rPr>
      </w:pPr>
      <w:r w:rsidRPr="00B75B77">
        <w:rPr>
          <w:b/>
        </w:rPr>
        <w:lastRenderedPageBreak/>
        <w:t xml:space="preserve">SHR program: </w:t>
      </w:r>
      <w:r w:rsidRPr="00B75B77">
        <w:t>Removed 32,869 MWh of inadvertently double counted energy savings from the Phase II-to-date totals reported in PECO’s PY6 Annual Compliance Report</w:t>
      </w:r>
      <w:r w:rsidR="002C3D01" w:rsidRPr="00B75B77">
        <w:t>.</w:t>
      </w:r>
      <w:r w:rsidRPr="00B75B77">
        <w:rPr>
          <w:rStyle w:val="FootnoteReference"/>
        </w:rPr>
        <w:footnoteReference w:id="10"/>
      </w:r>
      <w:r w:rsidRPr="00B75B77">
        <w:t xml:space="preserve"> Reallocated all PY5 upstream lighting ex ante energy savings to the residential customer class. Reallocated PY6 ex ante and verified energy savings between Small C&amp;I and Large C&amp;I customer classes.</w:t>
      </w:r>
    </w:p>
    <w:p w:rsidR="000C1E59" w:rsidRPr="00B75B77" w:rsidRDefault="000C1E59" w:rsidP="009E08FB">
      <w:pPr>
        <w:pStyle w:val="NormalSpacer"/>
        <w:numPr>
          <w:ilvl w:val="1"/>
          <w:numId w:val="111"/>
        </w:numPr>
        <w:spacing w:after="40"/>
        <w:rPr>
          <w:b/>
        </w:rPr>
      </w:pPr>
      <w:r w:rsidRPr="00B75B77">
        <w:rPr>
          <w:b/>
        </w:rPr>
        <w:t xml:space="preserve">LEEP: </w:t>
      </w:r>
      <w:r w:rsidRPr="00B75B77">
        <w:t>Adjusted the savings associated with the air sealing Interim Measure Protocol (IMP) in response to SWE comments regarding PECO’s PY6 Annual Compliance Report.</w:t>
      </w:r>
      <w:r w:rsidRPr="00B75B77" w:rsidDel="00467339">
        <w:t xml:space="preserve"> </w:t>
      </w:r>
      <w:r w:rsidRPr="00B75B77">
        <w:t>This adjusted the PY6 verified energy savings.</w:t>
      </w:r>
      <w:r w:rsidR="00460C71" w:rsidRPr="00B75B77">
        <w:t xml:space="preserve"> Reallocated PY5 and PY6 ex ante and verified energy savings from Residential (Low-Income) customer sector to the Residential (Non-Low-Income) customer sector to account for participating customers that had income levels ranging from 151% to 200% of the federal poverty level.</w:t>
      </w:r>
    </w:p>
    <w:p w:rsidR="000C1E59" w:rsidRPr="00B75B77" w:rsidRDefault="000C1E59" w:rsidP="009E08FB">
      <w:pPr>
        <w:pStyle w:val="NormalSpacer"/>
        <w:numPr>
          <w:ilvl w:val="1"/>
          <w:numId w:val="111"/>
        </w:numPr>
        <w:spacing w:after="40"/>
        <w:rPr>
          <w:b/>
        </w:rPr>
      </w:pPr>
      <w:r w:rsidRPr="00B75B77">
        <w:rPr>
          <w:b/>
        </w:rPr>
        <w:t xml:space="preserve">Smart Energy Saver (SES) program: </w:t>
      </w:r>
      <w:r w:rsidRPr="00B75B77">
        <w:t>Adjusted the ISR used for 18</w:t>
      </w:r>
      <w:r w:rsidR="002C3D01" w:rsidRPr="00B75B77">
        <w:t xml:space="preserve">W </w:t>
      </w:r>
      <w:r w:rsidRPr="00B75B77">
        <w:t>and 23</w:t>
      </w:r>
      <w:r w:rsidR="002C3D01" w:rsidRPr="00B75B77">
        <w:t xml:space="preserve">W </w:t>
      </w:r>
      <w:r w:rsidRPr="00B75B77">
        <w:t>light bulbs in response to SWE comments regarding PECO’s PY6 Annual Compliance Report. This adjusted the PY6 verified energy savings.</w:t>
      </w:r>
    </w:p>
    <w:p w:rsidR="000C1E59" w:rsidRPr="00B75B77" w:rsidRDefault="000C1E59" w:rsidP="009E08FB">
      <w:pPr>
        <w:pStyle w:val="NormalSpacer"/>
        <w:numPr>
          <w:ilvl w:val="1"/>
          <w:numId w:val="111"/>
        </w:numPr>
        <w:spacing w:after="40"/>
      </w:pPr>
      <w:r w:rsidRPr="00B75B77">
        <w:rPr>
          <w:b/>
        </w:rPr>
        <w:t xml:space="preserve">SMFS </w:t>
      </w:r>
      <w:r w:rsidR="00AA07DA" w:rsidRPr="00B75B77">
        <w:rPr>
          <w:b/>
        </w:rPr>
        <w:t>p</w:t>
      </w:r>
      <w:r w:rsidRPr="00B75B77">
        <w:rPr>
          <w:b/>
        </w:rPr>
        <w:t xml:space="preserve">rogram: </w:t>
      </w:r>
      <w:r w:rsidRPr="00B75B77">
        <w:t>Reallocated PY5 and PY6 ex ante and verified energy savings between Small C&amp;I and Large C&amp;I customer classes.</w:t>
      </w:r>
    </w:p>
    <w:p w:rsidR="000C1E59" w:rsidRPr="00B75B77" w:rsidRDefault="000C1E59" w:rsidP="009E08FB">
      <w:pPr>
        <w:pStyle w:val="NormalSpacer"/>
        <w:numPr>
          <w:ilvl w:val="1"/>
          <w:numId w:val="111"/>
        </w:numPr>
        <w:spacing w:after="40"/>
        <w:rPr>
          <w:b/>
        </w:rPr>
      </w:pPr>
      <w:r w:rsidRPr="00B75B77">
        <w:rPr>
          <w:b/>
        </w:rPr>
        <w:t xml:space="preserve">SEI C&amp;I </w:t>
      </w:r>
      <w:r w:rsidR="00AA07DA" w:rsidRPr="00B75B77">
        <w:rPr>
          <w:b/>
        </w:rPr>
        <w:t>p</w:t>
      </w:r>
      <w:r w:rsidRPr="00B75B77">
        <w:rPr>
          <w:b/>
        </w:rPr>
        <w:t xml:space="preserve">rogram: </w:t>
      </w:r>
      <w:r w:rsidRPr="00B75B77">
        <w:t>Reallocated PY5 and PY6 ex ante and verified energy savings between Small C&amp;I and Large C&amp;I customer classes.</w:t>
      </w:r>
    </w:p>
    <w:p w:rsidR="000C1E59" w:rsidRPr="00B75B77" w:rsidRDefault="000C1E59" w:rsidP="009E08FB">
      <w:pPr>
        <w:pStyle w:val="NormalSpacer"/>
        <w:numPr>
          <w:ilvl w:val="1"/>
          <w:numId w:val="111"/>
        </w:numPr>
        <w:spacing w:after="40"/>
        <w:rPr>
          <w:b/>
        </w:rPr>
      </w:pPr>
      <w:r w:rsidRPr="00B75B77">
        <w:rPr>
          <w:b/>
        </w:rPr>
        <w:t xml:space="preserve">SCI </w:t>
      </w:r>
      <w:r w:rsidR="00AA07DA" w:rsidRPr="00B75B77">
        <w:rPr>
          <w:b/>
        </w:rPr>
        <w:t>p</w:t>
      </w:r>
      <w:r w:rsidRPr="00B75B77">
        <w:rPr>
          <w:b/>
        </w:rPr>
        <w:t xml:space="preserve">rogram: </w:t>
      </w:r>
      <w:r w:rsidRPr="00B75B77">
        <w:t>Reallocated PY5 and PY6 ex ante and verified energy savings between Small C&amp;I and Large C&amp;I customer classes.</w:t>
      </w:r>
    </w:p>
    <w:p w:rsidR="000C1E59" w:rsidRPr="00B75B77" w:rsidRDefault="000C1E59" w:rsidP="009E08FB">
      <w:pPr>
        <w:pStyle w:val="NormalSpacer"/>
        <w:numPr>
          <w:ilvl w:val="1"/>
          <w:numId w:val="111"/>
        </w:numPr>
        <w:spacing w:after="40"/>
        <w:rPr>
          <w:b/>
        </w:rPr>
      </w:pPr>
      <w:r w:rsidRPr="00B75B77">
        <w:rPr>
          <w:b/>
        </w:rPr>
        <w:t xml:space="preserve">SBS </w:t>
      </w:r>
      <w:r w:rsidR="00AA07DA" w:rsidRPr="00B75B77">
        <w:rPr>
          <w:b/>
        </w:rPr>
        <w:t>p</w:t>
      </w:r>
      <w:r w:rsidRPr="00B75B77">
        <w:rPr>
          <w:b/>
        </w:rPr>
        <w:t xml:space="preserve">rogram: </w:t>
      </w:r>
      <w:r w:rsidRPr="00B75B77">
        <w:t xml:space="preserve">Reallocated PY5 and PY6 </w:t>
      </w:r>
      <w:r w:rsidR="00B02801" w:rsidRPr="00B75B77">
        <w:t>ex ante and verified energy savings</w:t>
      </w:r>
      <w:r w:rsidRPr="00B75B77">
        <w:t xml:space="preserve"> between Small C&amp;I and Large C&amp;I customer classes.</w:t>
      </w:r>
    </w:p>
    <w:p w:rsidR="000C1E59" w:rsidRPr="00B75B77" w:rsidRDefault="000C1E59" w:rsidP="009E08FB">
      <w:pPr>
        <w:pStyle w:val="NormalSpacer"/>
        <w:numPr>
          <w:ilvl w:val="0"/>
          <w:numId w:val="111"/>
        </w:numPr>
        <w:spacing w:after="40"/>
        <w:rPr>
          <w:b/>
        </w:rPr>
      </w:pPr>
      <w:r w:rsidRPr="00B75B77" w:rsidDel="00CD4470">
        <w:rPr>
          <w:b/>
        </w:rPr>
        <w:t xml:space="preserve"> </w:t>
      </w:r>
      <w:r w:rsidRPr="00B75B77">
        <w:rPr>
          <w:b/>
        </w:rPr>
        <w:t>Verified Demand Reduction Adjustments</w:t>
      </w:r>
      <w:r w:rsidR="002C3D01" w:rsidRPr="00B75B77">
        <w:rPr>
          <w:b/>
        </w:rPr>
        <w:t>:</w:t>
      </w:r>
    </w:p>
    <w:p w:rsidR="000C1E59" w:rsidRPr="00B75B77" w:rsidRDefault="000C1E59" w:rsidP="009E08FB">
      <w:pPr>
        <w:pStyle w:val="NormalSpacer"/>
        <w:numPr>
          <w:ilvl w:val="1"/>
          <w:numId w:val="111"/>
        </w:numPr>
        <w:spacing w:after="40"/>
        <w:rPr>
          <w:b/>
        </w:rPr>
      </w:pPr>
      <w:r w:rsidRPr="00B75B77">
        <w:rPr>
          <w:b/>
        </w:rPr>
        <w:t xml:space="preserve">SHR program: </w:t>
      </w:r>
      <w:r w:rsidRPr="00B75B77">
        <w:t>Reallocated all PY5 upstream lighting ex ante demand savings to the residential customer class. Reallocated PY6 verified demand savings between Small C&amp;I and Large C&amp;I customer classes.</w:t>
      </w:r>
    </w:p>
    <w:p w:rsidR="000C1E59" w:rsidRPr="00B75B77" w:rsidRDefault="000C1E59" w:rsidP="009E08FB">
      <w:pPr>
        <w:pStyle w:val="NormalSpacer"/>
        <w:numPr>
          <w:ilvl w:val="1"/>
          <w:numId w:val="111"/>
        </w:numPr>
        <w:spacing w:after="40"/>
      </w:pPr>
      <w:r w:rsidRPr="00B75B77">
        <w:rPr>
          <w:b/>
        </w:rPr>
        <w:t xml:space="preserve">LEEP: </w:t>
      </w:r>
      <w:r w:rsidRPr="00B75B77">
        <w:t xml:space="preserve">Adjusted the savings associated with the air sealing </w:t>
      </w:r>
      <w:r w:rsidRPr="00B75B77" w:rsidDel="0054073E">
        <w:t>IMP</w:t>
      </w:r>
      <w:r w:rsidRPr="00B75B77">
        <w:t xml:space="preserve"> in response to SWE comments regarding PECO’s PY6 Annual Compliance Report.</w:t>
      </w:r>
      <w:r w:rsidRPr="00B75B77" w:rsidDel="00467339">
        <w:t xml:space="preserve"> </w:t>
      </w:r>
      <w:r w:rsidRPr="00B75B77">
        <w:t>This adjusted the PY6 verified demand savings.</w:t>
      </w:r>
      <w:r w:rsidR="00460C71" w:rsidRPr="00B75B77">
        <w:t xml:space="preserve"> Reallocated PY5 and PY6 ex ante and verified demand savings from Residential (Low-Income) customer sector to the Residential (Non-Low-Income) customer sector to account for participating customers that had income levels ranging from 151% to 200% of the federal poverty level.</w:t>
      </w:r>
    </w:p>
    <w:p w:rsidR="00B02801" w:rsidRPr="00B75B77" w:rsidRDefault="00B02801" w:rsidP="00B02801">
      <w:pPr>
        <w:pStyle w:val="NormalSpacer"/>
        <w:numPr>
          <w:ilvl w:val="1"/>
          <w:numId w:val="111"/>
        </w:numPr>
        <w:rPr>
          <w:b/>
        </w:rPr>
      </w:pPr>
      <w:r w:rsidRPr="00B75B77">
        <w:rPr>
          <w:b/>
        </w:rPr>
        <w:t xml:space="preserve">SES program: </w:t>
      </w:r>
      <w:r w:rsidRPr="00B75B77">
        <w:t>Adjusted the ISR used for 18-watt and 23-watt light bulbs in response to SWE comments regarding PECO’s PY6 Annual Compliance Report. This adjusted the PY6 verified demand savings.</w:t>
      </w:r>
    </w:p>
    <w:p w:rsidR="000C1E59" w:rsidRPr="00B75B77" w:rsidRDefault="000C1E59" w:rsidP="009E08FB">
      <w:pPr>
        <w:pStyle w:val="NormalSpacer"/>
        <w:numPr>
          <w:ilvl w:val="1"/>
          <w:numId w:val="111"/>
        </w:numPr>
        <w:spacing w:after="40"/>
      </w:pPr>
      <w:r w:rsidRPr="00B75B77">
        <w:rPr>
          <w:b/>
        </w:rPr>
        <w:t xml:space="preserve">SMFS </w:t>
      </w:r>
      <w:r w:rsidR="00AA07DA" w:rsidRPr="00B75B77">
        <w:rPr>
          <w:b/>
        </w:rPr>
        <w:t>p</w:t>
      </w:r>
      <w:r w:rsidRPr="00B75B77">
        <w:rPr>
          <w:b/>
        </w:rPr>
        <w:t xml:space="preserve">rogram: </w:t>
      </w:r>
      <w:r w:rsidRPr="00B75B77">
        <w:t>Reallocated PY5 and PY6 ex ante and verified demand savings between Small C&amp;I and Large C&amp;I customer classes.</w:t>
      </w:r>
    </w:p>
    <w:p w:rsidR="000C1E59" w:rsidRPr="00B75B77" w:rsidRDefault="000C1E59" w:rsidP="009E08FB">
      <w:pPr>
        <w:pStyle w:val="NormalSpacer"/>
        <w:numPr>
          <w:ilvl w:val="1"/>
          <w:numId w:val="111"/>
        </w:numPr>
        <w:spacing w:after="40"/>
      </w:pPr>
      <w:r w:rsidRPr="00B75B77">
        <w:rPr>
          <w:b/>
        </w:rPr>
        <w:t xml:space="preserve">SEI </w:t>
      </w:r>
      <w:r w:rsidR="00B02801" w:rsidRPr="00B75B77">
        <w:rPr>
          <w:b/>
        </w:rPr>
        <w:t>C&amp;I</w:t>
      </w:r>
      <w:r w:rsidRPr="00B75B77">
        <w:rPr>
          <w:b/>
        </w:rPr>
        <w:t xml:space="preserve"> program: </w:t>
      </w:r>
      <w:r w:rsidRPr="00B75B77">
        <w:t>Removed 5.5 MW of verified demand reduction from the Phase II-to-date totals incorrectly reported in PECO’s PY6 Annual Compliance Report. Reallocated PY5 and PY6 ex ante and verified demand savings between Small C&amp;I and Large C&amp;I customer classes.</w:t>
      </w:r>
    </w:p>
    <w:p w:rsidR="000C1E59" w:rsidRPr="00B75B77" w:rsidRDefault="000C1E59" w:rsidP="009E08FB">
      <w:pPr>
        <w:pStyle w:val="NormalSpacer"/>
        <w:numPr>
          <w:ilvl w:val="1"/>
          <w:numId w:val="111"/>
        </w:numPr>
        <w:spacing w:after="40"/>
      </w:pPr>
      <w:r w:rsidRPr="00B75B77">
        <w:rPr>
          <w:b/>
        </w:rPr>
        <w:t xml:space="preserve">SCI </w:t>
      </w:r>
      <w:r w:rsidR="00AA07DA" w:rsidRPr="00B75B77">
        <w:rPr>
          <w:b/>
        </w:rPr>
        <w:t>p</w:t>
      </w:r>
      <w:r w:rsidRPr="00B75B77">
        <w:rPr>
          <w:b/>
        </w:rPr>
        <w:t xml:space="preserve">rogram: </w:t>
      </w:r>
      <w:r w:rsidRPr="00B75B77">
        <w:t>Reallocated PY5 and PY6 ex ante and verified demand savings between Small C&amp;I and Large C&amp;I customer classes.</w:t>
      </w:r>
    </w:p>
    <w:p w:rsidR="000C1E59" w:rsidRPr="00B75B77" w:rsidRDefault="000C1E59" w:rsidP="009E08FB">
      <w:pPr>
        <w:pStyle w:val="NormalSpacer"/>
        <w:numPr>
          <w:ilvl w:val="1"/>
          <w:numId w:val="111"/>
        </w:numPr>
        <w:spacing w:after="160"/>
      </w:pPr>
      <w:r w:rsidRPr="00B75B77">
        <w:rPr>
          <w:b/>
        </w:rPr>
        <w:t xml:space="preserve">SBS </w:t>
      </w:r>
      <w:r w:rsidR="00AA07DA" w:rsidRPr="00B75B77">
        <w:rPr>
          <w:b/>
        </w:rPr>
        <w:t>p</w:t>
      </w:r>
      <w:r w:rsidRPr="00B75B77">
        <w:rPr>
          <w:b/>
        </w:rPr>
        <w:t xml:space="preserve">rogram: </w:t>
      </w:r>
      <w:r w:rsidRPr="00B75B77">
        <w:t>Reallocated PY5 and PY6 ex ante and verified demand savings between Small C&amp;I and Large C&amp;I customer classes.</w:t>
      </w:r>
    </w:p>
    <w:p w:rsidR="000C1E59" w:rsidRPr="00B75B77" w:rsidRDefault="000C1E59" w:rsidP="003E6A9B">
      <w:pPr>
        <w:pStyle w:val="Heading2"/>
      </w:pPr>
      <w:bookmarkStart w:id="84" w:name="_Toc453075168"/>
      <w:bookmarkStart w:id="85" w:name="_Toc466413262"/>
      <w:r w:rsidRPr="00B75B77">
        <w:lastRenderedPageBreak/>
        <w:t>Summary of Energy Impacts</w:t>
      </w:r>
      <w:bookmarkEnd w:id="84"/>
      <w:bookmarkEnd w:id="85"/>
      <w:r w:rsidRPr="00B75B77">
        <w:t xml:space="preserve"> </w:t>
      </w:r>
    </w:p>
    <w:p w:rsidR="000C1E59" w:rsidRPr="00B75B77" w:rsidRDefault="000C1E59" w:rsidP="00E86423">
      <w:r w:rsidRPr="00B75B77">
        <w:t xml:space="preserve">A summary of the reported and verified energy savings by program for PY7 is presented in </w:t>
      </w:r>
      <w:r w:rsidRPr="00B75B77">
        <w:fldChar w:fldCharType="begin"/>
      </w:r>
      <w:r w:rsidRPr="00B75B77">
        <w:instrText xml:space="preserve"> REF _Ref448933235 \h </w:instrText>
      </w:r>
      <w:r w:rsidR="00B75B77">
        <w:instrText xml:space="preserve"> \* MERGEFORMAT </w:instrText>
      </w:r>
      <w:r w:rsidRPr="00B75B77">
        <w:fldChar w:fldCharType="separate"/>
      </w:r>
      <w:r w:rsidR="0004016D" w:rsidRPr="00B75B77">
        <w:t xml:space="preserve">Figure </w:t>
      </w:r>
      <w:r w:rsidR="0004016D">
        <w:rPr>
          <w:noProof/>
        </w:rPr>
        <w:t>1</w:t>
      </w:r>
      <w:r w:rsidR="0004016D" w:rsidRPr="00B75B77">
        <w:rPr>
          <w:noProof/>
        </w:rPr>
        <w:noBreakHyphen/>
      </w:r>
      <w:r w:rsidR="0004016D">
        <w:rPr>
          <w:noProof/>
        </w:rPr>
        <w:t>4</w:t>
      </w:r>
      <w:r w:rsidRPr="00B75B77">
        <w:fldChar w:fldCharType="end"/>
      </w:r>
      <w:r w:rsidRPr="00B75B77">
        <w:rPr>
          <w:b/>
        </w:rPr>
        <w:t>.</w:t>
      </w:r>
      <w:r w:rsidRPr="00B75B77">
        <w:t xml:space="preserve"> </w:t>
      </w:r>
    </w:p>
    <w:p w:rsidR="000C1E59" w:rsidRPr="00B75B77" w:rsidRDefault="000C1E59" w:rsidP="00E86423"/>
    <w:p w:rsidR="000C1E59" w:rsidRPr="00B75B77" w:rsidRDefault="000C1E59" w:rsidP="007D4A93">
      <w:pPr>
        <w:pStyle w:val="Caption"/>
      </w:pPr>
      <w:bookmarkStart w:id="86" w:name="_Ref448933235"/>
      <w:bookmarkStart w:id="87" w:name="_Toc449689426"/>
      <w:bookmarkStart w:id="88" w:name="_Toc466413662"/>
      <w:r w:rsidRPr="00B75B77">
        <w:t xml:space="preserve">Figure </w:t>
      </w:r>
      <w:fldSimple w:instr=" STYLEREF 1 \s ">
        <w:r w:rsidR="0004016D">
          <w:rPr>
            <w:noProof/>
          </w:rPr>
          <w:t>1</w:t>
        </w:r>
      </w:fldSimple>
      <w:r w:rsidRPr="00B75B77">
        <w:noBreakHyphen/>
      </w:r>
      <w:fldSimple w:instr=" SEQ Figure \* ARABIC \s 1 ">
        <w:r w:rsidR="0004016D">
          <w:rPr>
            <w:noProof/>
          </w:rPr>
          <w:t>4</w:t>
        </w:r>
      </w:fldSimple>
      <w:bookmarkEnd w:id="86"/>
      <w:r w:rsidRPr="00B75B77">
        <w:t>: PYTD Reported and Verified Gross Energy Savings by Program (MWh/</w:t>
      </w:r>
      <w:proofErr w:type="spellStart"/>
      <w:r w:rsidRPr="00B75B77">
        <w:t>yr</w:t>
      </w:r>
      <w:proofErr w:type="spellEnd"/>
      <w:r w:rsidRPr="00B75B77">
        <w:t>)</w:t>
      </w:r>
      <w:bookmarkEnd w:id="87"/>
      <w:bookmarkEnd w:id="88"/>
    </w:p>
    <w:p w:rsidR="000C1E59" w:rsidRPr="00B75B77" w:rsidRDefault="000C1E59" w:rsidP="00F94CBE">
      <w:pPr>
        <w:pStyle w:val="Figure"/>
        <w:ind w:hanging="630"/>
      </w:pPr>
      <w:bookmarkStart w:id="89" w:name="_MON_1398842491"/>
      <w:bookmarkStart w:id="90" w:name="_MON_1393658032"/>
      <w:bookmarkStart w:id="91" w:name="_MON_1399107162"/>
      <w:bookmarkStart w:id="92" w:name="_MON_1399107197"/>
      <w:bookmarkStart w:id="93" w:name="_MON_1399107225"/>
      <w:bookmarkStart w:id="94" w:name="_MON_1393658090"/>
      <w:bookmarkStart w:id="95" w:name="_MON_1393658093"/>
      <w:bookmarkStart w:id="96" w:name="_MON_1393657990"/>
      <w:bookmarkStart w:id="97" w:name="_MON_1398837395"/>
      <w:bookmarkEnd w:id="89"/>
      <w:bookmarkEnd w:id="90"/>
      <w:bookmarkEnd w:id="91"/>
      <w:bookmarkEnd w:id="92"/>
      <w:bookmarkEnd w:id="93"/>
      <w:bookmarkEnd w:id="94"/>
      <w:bookmarkEnd w:id="95"/>
      <w:bookmarkEnd w:id="96"/>
      <w:bookmarkEnd w:id="97"/>
      <w:r w:rsidRPr="00B75B77">
        <w:drawing>
          <wp:inline distT="0" distB="0" distL="0" distR="0" wp14:anchorId="51241EA0" wp14:editId="71B7D409">
            <wp:extent cx="6617970" cy="5965372"/>
            <wp:effectExtent l="0" t="0" r="0" b="0"/>
            <wp:docPr id="325" name="Chart 3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C1E59" w:rsidRPr="00B75B77" w:rsidRDefault="000C1E59" w:rsidP="002C3D01">
      <w:pPr>
        <w:pStyle w:val="Source"/>
        <w:ind w:left="0" w:firstLine="540"/>
      </w:pPr>
      <w:r w:rsidRPr="00B75B77">
        <w:rPr>
          <w:rStyle w:val="Strong"/>
          <w:b w:val="0"/>
          <w:bCs w:val="0"/>
        </w:rPr>
        <w:t>Source: Navigant analysis</w:t>
      </w:r>
    </w:p>
    <w:p w:rsidR="000C1E59" w:rsidRPr="00B75B77" w:rsidRDefault="000C1E59" w:rsidP="00B86E33">
      <w:pPr>
        <w:keepNext/>
      </w:pPr>
      <w:r w:rsidRPr="00B75B77">
        <w:lastRenderedPageBreak/>
        <w:t xml:space="preserve">A summary of the Phase II reported and verified energy savings by program is presented in </w:t>
      </w:r>
      <w:r w:rsidRPr="00B75B77">
        <w:fldChar w:fldCharType="begin"/>
      </w:r>
      <w:r w:rsidRPr="00B75B77">
        <w:instrText xml:space="preserve"> REF _Ref448933247 \h </w:instrText>
      </w:r>
      <w:r w:rsidR="00B75B77">
        <w:instrText xml:space="preserve"> \* MERGEFORMAT </w:instrText>
      </w:r>
      <w:r w:rsidRPr="00B75B77">
        <w:fldChar w:fldCharType="separate"/>
      </w:r>
      <w:r w:rsidR="0004016D" w:rsidRPr="00B75B77">
        <w:t xml:space="preserve">Figure </w:t>
      </w:r>
      <w:r w:rsidR="0004016D">
        <w:rPr>
          <w:noProof/>
        </w:rPr>
        <w:t>1</w:t>
      </w:r>
      <w:r w:rsidR="0004016D" w:rsidRPr="00B75B77">
        <w:rPr>
          <w:noProof/>
        </w:rPr>
        <w:noBreakHyphen/>
      </w:r>
      <w:r w:rsidR="0004016D">
        <w:rPr>
          <w:noProof/>
        </w:rPr>
        <w:t>5</w:t>
      </w:r>
      <w:r w:rsidRPr="00B75B77">
        <w:fldChar w:fldCharType="end"/>
      </w:r>
      <w:r w:rsidRPr="00B75B77">
        <w:t xml:space="preserve">. </w:t>
      </w:r>
    </w:p>
    <w:p w:rsidR="000C1E59" w:rsidRPr="00B75B77" w:rsidRDefault="000C1E59" w:rsidP="00B86E33">
      <w:pPr>
        <w:keepNext/>
      </w:pPr>
    </w:p>
    <w:p w:rsidR="000C1E59" w:rsidRPr="00B75B77" w:rsidRDefault="000C1E59" w:rsidP="00F94CBE">
      <w:pPr>
        <w:pStyle w:val="Caption"/>
      </w:pPr>
      <w:bookmarkStart w:id="98" w:name="_Ref448933247"/>
      <w:bookmarkStart w:id="99" w:name="_Toc449689427"/>
      <w:bookmarkStart w:id="100" w:name="_Toc466413663"/>
      <w:r w:rsidRPr="00B75B77">
        <w:t xml:space="preserve">Figure </w:t>
      </w:r>
      <w:fldSimple w:instr=" STYLEREF 1 \s ">
        <w:r w:rsidR="0004016D">
          <w:rPr>
            <w:noProof/>
          </w:rPr>
          <w:t>1</w:t>
        </w:r>
      </w:fldSimple>
      <w:r w:rsidRPr="00B75B77">
        <w:noBreakHyphen/>
      </w:r>
      <w:fldSimple w:instr=" SEQ Figure \* ARABIC \s 1 ">
        <w:r w:rsidR="0004016D">
          <w:rPr>
            <w:noProof/>
          </w:rPr>
          <w:t>5</w:t>
        </w:r>
      </w:fldSimple>
      <w:bookmarkEnd w:id="98"/>
      <w:r w:rsidRPr="00B75B77">
        <w:t>: Phase II Reported and Verified Gross Energy Savings by Program (MWh/</w:t>
      </w:r>
      <w:proofErr w:type="spellStart"/>
      <w:r w:rsidRPr="00B75B77">
        <w:t>yr</w:t>
      </w:r>
      <w:proofErr w:type="spellEnd"/>
      <w:r w:rsidRPr="00B75B77">
        <w:t>)</w:t>
      </w:r>
      <w:bookmarkEnd w:id="99"/>
      <w:bookmarkEnd w:id="100"/>
    </w:p>
    <w:p w:rsidR="000C1E59" w:rsidRPr="00B75B77" w:rsidRDefault="000C1E59" w:rsidP="00F94CBE">
      <w:pPr>
        <w:pStyle w:val="Source"/>
        <w:ind w:hanging="720"/>
        <w:rPr>
          <w:rStyle w:val="Strong"/>
          <w:b w:val="0"/>
          <w:bCs w:val="0"/>
        </w:rPr>
      </w:pPr>
      <w:r w:rsidRPr="00B75B77">
        <w:rPr>
          <w:noProof/>
        </w:rPr>
        <w:drawing>
          <wp:inline distT="0" distB="0" distL="0" distR="0" wp14:anchorId="344E5D66" wp14:editId="3D61DCC2">
            <wp:extent cx="6368143" cy="6542314"/>
            <wp:effectExtent l="0" t="0" r="0" b="0"/>
            <wp:docPr id="326" name="Chart 3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C1E59" w:rsidRPr="00B75B77" w:rsidRDefault="000C1E59" w:rsidP="002C3D01">
      <w:pPr>
        <w:pStyle w:val="Source"/>
        <w:ind w:left="1" w:firstLine="719"/>
      </w:pPr>
      <w:r w:rsidRPr="00B75B77">
        <w:rPr>
          <w:rStyle w:val="Strong"/>
          <w:b w:val="0"/>
          <w:bCs w:val="0"/>
        </w:rPr>
        <w:t>Source: Navigant analysis</w:t>
      </w:r>
    </w:p>
    <w:p w:rsidR="000C1E59" w:rsidRPr="00B75B77" w:rsidRDefault="000C1E59" w:rsidP="0089385E">
      <w:pPr>
        <w:keepNext/>
      </w:pPr>
      <w:r w:rsidRPr="00B75B77">
        <w:lastRenderedPageBreak/>
        <w:t xml:space="preserve">Summaries of energy impacts by program through PY7 are presented in </w:t>
      </w:r>
      <w:r w:rsidR="00AA07DA" w:rsidRPr="00B75B77">
        <w:fldChar w:fldCharType="begin"/>
      </w:r>
      <w:r w:rsidR="00AA07DA" w:rsidRPr="00B75B77">
        <w:instrText xml:space="preserve"> REF _Ref464562547 \h </w:instrText>
      </w:r>
      <w:r w:rsidR="00B75B77">
        <w:instrText xml:space="preserve"> \* MERGEFORMAT </w:instrText>
      </w:r>
      <w:r w:rsidR="00AA07DA" w:rsidRPr="00B75B77">
        <w:fldChar w:fldCharType="separate"/>
      </w:r>
      <w:r w:rsidR="0004016D" w:rsidRPr="00B75B77">
        <w:t xml:space="preserve">Table </w:t>
      </w:r>
      <w:r w:rsidR="0004016D">
        <w:rPr>
          <w:noProof/>
        </w:rPr>
        <w:t>1</w:t>
      </w:r>
      <w:r w:rsidR="0004016D" w:rsidRPr="00B75B77">
        <w:rPr>
          <w:noProof/>
        </w:rPr>
        <w:noBreakHyphen/>
      </w:r>
      <w:r w:rsidR="0004016D">
        <w:rPr>
          <w:noProof/>
        </w:rPr>
        <w:t>10</w:t>
      </w:r>
      <w:r w:rsidR="00AA07DA" w:rsidRPr="00B75B77">
        <w:fldChar w:fldCharType="end"/>
      </w:r>
      <w:r w:rsidR="00AA07DA" w:rsidRPr="00B75B77">
        <w:t xml:space="preserve"> and </w:t>
      </w:r>
      <w:r w:rsidR="00AA07DA" w:rsidRPr="00B75B77">
        <w:fldChar w:fldCharType="begin"/>
      </w:r>
      <w:r w:rsidR="00AA07DA" w:rsidRPr="00B75B77">
        <w:instrText xml:space="preserve"> REF _Ref464562594 \h </w:instrText>
      </w:r>
      <w:r w:rsidR="00B75B77">
        <w:instrText xml:space="preserve"> \* MERGEFORMAT </w:instrText>
      </w:r>
      <w:r w:rsidR="00AA07DA" w:rsidRPr="00B75B77">
        <w:fldChar w:fldCharType="separate"/>
      </w:r>
      <w:r w:rsidR="0004016D" w:rsidRPr="00B75B77">
        <w:t xml:space="preserve">Table </w:t>
      </w:r>
      <w:r w:rsidR="0004016D">
        <w:rPr>
          <w:noProof/>
        </w:rPr>
        <w:t>1</w:t>
      </w:r>
      <w:r w:rsidR="0004016D" w:rsidRPr="00B75B77">
        <w:rPr>
          <w:noProof/>
        </w:rPr>
        <w:noBreakHyphen/>
      </w:r>
      <w:r w:rsidR="0004016D">
        <w:rPr>
          <w:noProof/>
        </w:rPr>
        <w:t>11</w:t>
      </w:r>
      <w:r w:rsidR="00AA07DA" w:rsidRPr="00B75B77">
        <w:fldChar w:fldCharType="end"/>
      </w:r>
      <w:r w:rsidRPr="00B75B77">
        <w:t xml:space="preserve">. </w:t>
      </w:r>
    </w:p>
    <w:p w:rsidR="000C1E59" w:rsidRPr="00B75B77" w:rsidRDefault="000C1E59" w:rsidP="0089385E">
      <w:pPr>
        <w:keepNext/>
      </w:pPr>
      <w:bookmarkStart w:id="101" w:name="_Ref389215597"/>
      <w:bookmarkStart w:id="102" w:name="_Ref423079781"/>
    </w:p>
    <w:p w:rsidR="000C1E59" w:rsidRPr="00B75B77" w:rsidRDefault="00AA07DA" w:rsidP="0089385E">
      <w:pPr>
        <w:pStyle w:val="Caption"/>
      </w:pPr>
      <w:bookmarkStart w:id="103" w:name="_Ref464562547"/>
      <w:bookmarkStart w:id="104" w:name="_Toc466413492"/>
      <w:bookmarkStart w:id="105" w:name="_Ref448933336"/>
      <w:bookmarkStart w:id="106" w:name="_Toc453075280"/>
      <w:bookmarkEnd w:id="101"/>
      <w:bookmarkEnd w:id="102"/>
      <w:r w:rsidRPr="00B75B77">
        <w:t xml:space="preserve">Table </w:t>
      </w:r>
      <w:fldSimple w:instr=" STYLEREF 1 \s ">
        <w:r w:rsidR="0004016D">
          <w:rPr>
            <w:noProof/>
          </w:rPr>
          <w:t>1</w:t>
        </w:r>
      </w:fldSimple>
      <w:r w:rsidR="00F1144C" w:rsidRPr="00B75B77">
        <w:noBreakHyphen/>
      </w:r>
      <w:fldSimple w:instr=" SEQ Table \* ARABIC \s 1 ">
        <w:r w:rsidR="0004016D">
          <w:rPr>
            <w:noProof/>
          </w:rPr>
          <w:t>10</w:t>
        </w:r>
      </w:fldSimple>
      <w:bookmarkEnd w:id="103"/>
      <w:r w:rsidRPr="00B75B77">
        <w:t>: Reported Participation and Gross Energy Savings by Program</w:t>
      </w:r>
      <w:bookmarkEnd w:id="104"/>
      <w:r w:rsidRPr="00B75B77">
        <w:t xml:space="preserve">  </w:t>
      </w:r>
      <w:bookmarkEnd w:id="105"/>
      <w:bookmarkEnd w:id="106"/>
    </w:p>
    <w:tbl>
      <w:tblPr>
        <w:tblStyle w:val="PECOTeal"/>
        <w:tblW w:w="9175" w:type="dxa"/>
        <w:tblLook w:val="04A0" w:firstRow="1" w:lastRow="0" w:firstColumn="1" w:lastColumn="0" w:noHBand="0" w:noVBand="1"/>
      </w:tblPr>
      <w:tblGrid>
        <w:gridCol w:w="2425"/>
        <w:gridCol w:w="1800"/>
        <w:gridCol w:w="1530"/>
        <w:gridCol w:w="1620"/>
        <w:gridCol w:w="1800"/>
      </w:tblGrid>
      <w:tr w:rsidR="00AA07DA" w:rsidRPr="00B75B77" w:rsidTr="00AA07D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5" w:type="dxa"/>
            <w:vMerge w:val="restart"/>
          </w:tcPr>
          <w:p w:rsidR="00AA07DA" w:rsidRPr="00B75B77" w:rsidRDefault="00AA07DA" w:rsidP="0089385E">
            <w:pPr>
              <w:keepNext/>
              <w:jc w:val="left"/>
              <w:rPr>
                <w:rFonts w:ascii="Calibri" w:eastAsia="Times New Roman" w:hAnsi="Calibri"/>
                <w:color w:val="000000"/>
                <w:szCs w:val="18"/>
              </w:rPr>
            </w:pPr>
            <w:r w:rsidRPr="00B75B77">
              <w:rPr>
                <w:rFonts w:ascii="Calibri" w:eastAsia="Times New Roman" w:hAnsi="Calibri"/>
                <w:szCs w:val="18"/>
              </w:rPr>
              <w:t>Program</w:t>
            </w:r>
          </w:p>
        </w:tc>
        <w:tc>
          <w:tcPr>
            <w:tcW w:w="3330" w:type="dxa"/>
            <w:gridSpan w:val="2"/>
          </w:tcPr>
          <w:p w:rsidR="00AA07DA" w:rsidRPr="00B75B77" w:rsidRDefault="00AA07DA" w:rsidP="0089385E">
            <w:pPr>
              <w:keepNext/>
              <w:jc w:val="center"/>
              <w:cnfStyle w:val="100000000000" w:firstRow="1" w:lastRow="0" w:firstColumn="0" w:lastColumn="0" w:oddVBand="0" w:evenVBand="0" w:oddHBand="0" w:evenHBand="0" w:firstRowFirstColumn="0" w:firstRowLastColumn="0" w:lastRowFirstColumn="0" w:lastRowLastColumn="0"/>
              <w:rPr>
                <w:szCs w:val="18"/>
              </w:rPr>
            </w:pPr>
            <w:r w:rsidRPr="00B75B77">
              <w:rPr>
                <w:szCs w:val="18"/>
              </w:rPr>
              <w:t>Participants</w:t>
            </w:r>
          </w:p>
        </w:tc>
        <w:tc>
          <w:tcPr>
            <w:tcW w:w="3420" w:type="dxa"/>
            <w:gridSpan w:val="2"/>
          </w:tcPr>
          <w:p w:rsidR="00AA07DA" w:rsidRPr="00B75B77" w:rsidRDefault="00AA07DA" w:rsidP="0089385E">
            <w:pPr>
              <w:keepNext/>
              <w:jc w:val="center"/>
              <w:cnfStyle w:val="100000000000" w:firstRow="1" w:lastRow="0" w:firstColumn="0" w:lastColumn="0" w:oddVBand="0" w:evenVBand="0" w:oddHBand="0" w:evenHBand="0" w:firstRowFirstColumn="0" w:firstRowLastColumn="0" w:lastRowFirstColumn="0" w:lastRowLastColumn="0"/>
              <w:rPr>
                <w:szCs w:val="18"/>
              </w:rPr>
            </w:pPr>
            <w:r w:rsidRPr="00B75B77">
              <w:rPr>
                <w:rFonts w:ascii="Calibri" w:eastAsia="Times New Roman" w:hAnsi="Calibri"/>
                <w:bCs w:val="0"/>
                <w:color w:val="FFFFFF"/>
                <w:szCs w:val="18"/>
              </w:rPr>
              <w:t>Reported Gross Impact (MWh/</w:t>
            </w:r>
            <w:proofErr w:type="spellStart"/>
            <w:r w:rsidRPr="00B75B77">
              <w:rPr>
                <w:rFonts w:ascii="Calibri" w:eastAsia="Times New Roman" w:hAnsi="Calibri"/>
                <w:bCs w:val="0"/>
                <w:color w:val="FFFFFF"/>
                <w:szCs w:val="18"/>
              </w:rPr>
              <w:t>yr</w:t>
            </w:r>
            <w:proofErr w:type="spellEnd"/>
            <w:r w:rsidRPr="00B75B77">
              <w:rPr>
                <w:rFonts w:ascii="Calibri" w:eastAsia="Times New Roman" w:hAnsi="Calibri"/>
                <w:bCs w:val="0"/>
                <w:color w:val="FFFFFF"/>
                <w:szCs w:val="18"/>
              </w:rPr>
              <w:t>)</w:t>
            </w:r>
          </w:p>
        </w:tc>
      </w:tr>
      <w:tr w:rsidR="00AA07DA" w:rsidRPr="00B75B77" w:rsidTr="00AA07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5" w:type="dxa"/>
            <w:vMerge/>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448A99"/>
          </w:tcPr>
          <w:p w:rsidR="00AA07DA" w:rsidRPr="00B75B77" w:rsidRDefault="00AA07DA" w:rsidP="0089385E">
            <w:pPr>
              <w:keepNext/>
              <w:jc w:val="left"/>
              <w:rPr>
                <w:rFonts w:ascii="Calibri" w:eastAsia="Times New Roman" w:hAnsi="Calibri"/>
                <w:color w:val="000000"/>
                <w:szCs w:val="18"/>
              </w:rPr>
            </w:pPr>
          </w:p>
        </w:tc>
        <w:tc>
          <w:tcPr>
            <w:tcW w:w="1800" w:type="dxa"/>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448A99"/>
          </w:tcPr>
          <w:p w:rsidR="00AA07DA" w:rsidRPr="00B75B77" w:rsidRDefault="00AA07DA" w:rsidP="0089385E">
            <w:pPr>
              <w:keepNext/>
              <w:jc w:val="center"/>
              <w:cnfStyle w:val="000000100000" w:firstRow="0" w:lastRow="0" w:firstColumn="0" w:lastColumn="0" w:oddVBand="0" w:evenVBand="0" w:oddHBand="1" w:evenHBand="0" w:firstRowFirstColumn="0" w:firstRowLastColumn="0" w:lastRowFirstColumn="0" w:lastRowLastColumn="0"/>
              <w:rPr>
                <w:b/>
                <w:szCs w:val="18"/>
              </w:rPr>
            </w:pPr>
            <w:r w:rsidRPr="00B75B77">
              <w:rPr>
                <w:rFonts w:ascii="Calibri" w:eastAsia="Times New Roman" w:hAnsi="Calibri"/>
                <w:b/>
                <w:bCs/>
                <w:color w:val="FFFFFF"/>
                <w:szCs w:val="18"/>
              </w:rPr>
              <w:t>PYTD</w:t>
            </w:r>
          </w:p>
        </w:tc>
        <w:tc>
          <w:tcPr>
            <w:tcW w:w="1530" w:type="dxa"/>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448A99"/>
          </w:tcPr>
          <w:p w:rsidR="00AA07DA" w:rsidRPr="00B75B77" w:rsidRDefault="00AA07DA" w:rsidP="0089385E">
            <w:pPr>
              <w:keepNext/>
              <w:jc w:val="center"/>
              <w:cnfStyle w:val="000000100000" w:firstRow="0" w:lastRow="0" w:firstColumn="0" w:lastColumn="0" w:oddVBand="0" w:evenVBand="0" w:oddHBand="1" w:evenHBand="0" w:firstRowFirstColumn="0" w:firstRowLastColumn="0" w:lastRowFirstColumn="0" w:lastRowLastColumn="0"/>
              <w:rPr>
                <w:b/>
                <w:szCs w:val="18"/>
              </w:rPr>
            </w:pPr>
            <w:r w:rsidRPr="00B75B77">
              <w:rPr>
                <w:rFonts w:ascii="Calibri" w:eastAsia="Times New Roman" w:hAnsi="Calibri"/>
                <w:b/>
                <w:bCs/>
                <w:color w:val="FFFFFF"/>
                <w:szCs w:val="18"/>
              </w:rPr>
              <w:t>Phase II</w:t>
            </w:r>
          </w:p>
        </w:tc>
        <w:tc>
          <w:tcPr>
            <w:tcW w:w="1620" w:type="dxa"/>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448A99"/>
          </w:tcPr>
          <w:p w:rsidR="00AA07DA" w:rsidRPr="00B75B77" w:rsidRDefault="00AA07DA" w:rsidP="0089385E">
            <w:pPr>
              <w:keepNext/>
              <w:jc w:val="center"/>
              <w:cnfStyle w:val="000000100000" w:firstRow="0" w:lastRow="0" w:firstColumn="0" w:lastColumn="0" w:oddVBand="0" w:evenVBand="0" w:oddHBand="1" w:evenHBand="0" w:firstRowFirstColumn="0" w:firstRowLastColumn="0" w:lastRowFirstColumn="0" w:lastRowLastColumn="0"/>
              <w:rPr>
                <w:b/>
                <w:szCs w:val="18"/>
              </w:rPr>
            </w:pPr>
            <w:r w:rsidRPr="00B75B77">
              <w:rPr>
                <w:rFonts w:ascii="Calibri" w:eastAsia="Times New Roman" w:hAnsi="Calibri"/>
                <w:b/>
                <w:bCs/>
                <w:color w:val="FFFFFF"/>
                <w:szCs w:val="18"/>
              </w:rPr>
              <w:t>PYTD</w:t>
            </w:r>
          </w:p>
        </w:tc>
        <w:tc>
          <w:tcPr>
            <w:tcW w:w="1800" w:type="dxa"/>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448A99"/>
          </w:tcPr>
          <w:p w:rsidR="00AA07DA" w:rsidRPr="00B75B77" w:rsidRDefault="00AA07DA" w:rsidP="0089385E">
            <w:pPr>
              <w:keepNext/>
              <w:jc w:val="center"/>
              <w:cnfStyle w:val="000000100000" w:firstRow="0" w:lastRow="0" w:firstColumn="0" w:lastColumn="0" w:oddVBand="0" w:evenVBand="0" w:oddHBand="1" w:evenHBand="0" w:firstRowFirstColumn="0" w:firstRowLastColumn="0" w:lastRowFirstColumn="0" w:lastRowLastColumn="0"/>
              <w:rPr>
                <w:b/>
                <w:szCs w:val="18"/>
              </w:rPr>
            </w:pPr>
            <w:r w:rsidRPr="00B75B77">
              <w:rPr>
                <w:rFonts w:ascii="Calibri" w:eastAsia="Times New Roman" w:hAnsi="Calibri"/>
                <w:b/>
                <w:bCs/>
                <w:color w:val="FFFFFF"/>
                <w:szCs w:val="18"/>
              </w:rPr>
              <w:t>Phase II</w:t>
            </w:r>
          </w:p>
        </w:tc>
      </w:tr>
      <w:tr w:rsidR="00AA07DA" w:rsidRPr="00B75B77" w:rsidTr="00AA07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000000" w:themeColor="text1"/>
            </w:tcBorders>
            <w:hideMark/>
          </w:tcPr>
          <w:p w:rsidR="00AA07DA" w:rsidRPr="00B75B77" w:rsidRDefault="00AA07DA" w:rsidP="0089385E">
            <w:pPr>
              <w:keepNext/>
              <w:jc w:val="left"/>
              <w:rPr>
                <w:rFonts w:ascii="Calibri" w:eastAsia="Times New Roman" w:hAnsi="Calibri"/>
                <w:b w:val="0"/>
                <w:color w:val="000000"/>
                <w:szCs w:val="18"/>
              </w:rPr>
            </w:pPr>
            <w:r w:rsidRPr="00B75B77">
              <w:rPr>
                <w:rFonts w:ascii="Calibri" w:eastAsia="Times New Roman" w:hAnsi="Calibri"/>
                <w:b w:val="0"/>
                <w:color w:val="000000"/>
                <w:szCs w:val="18"/>
              </w:rPr>
              <w:t>Smart Appliance Recycling</w:t>
            </w:r>
          </w:p>
        </w:tc>
        <w:tc>
          <w:tcPr>
            <w:tcW w:w="1800" w:type="dxa"/>
            <w:tcBorders>
              <w:top w:val="single" w:sz="4" w:space="0" w:color="000000" w:themeColor="text1"/>
            </w:tcBorders>
            <w:hideMark/>
          </w:tcPr>
          <w:p w:rsidR="00AA07DA" w:rsidRPr="00B75B77" w:rsidRDefault="00AA07DA" w:rsidP="0089385E">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9,367</w:t>
            </w:r>
          </w:p>
        </w:tc>
        <w:tc>
          <w:tcPr>
            <w:tcW w:w="1530" w:type="dxa"/>
            <w:tcBorders>
              <w:top w:val="single" w:sz="4" w:space="0" w:color="000000" w:themeColor="text1"/>
            </w:tcBorders>
            <w:hideMark/>
          </w:tcPr>
          <w:p w:rsidR="00AA07DA" w:rsidRPr="00B75B77" w:rsidRDefault="00AA07DA" w:rsidP="0089385E">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28,224</w:t>
            </w:r>
          </w:p>
        </w:tc>
        <w:tc>
          <w:tcPr>
            <w:tcW w:w="1620" w:type="dxa"/>
            <w:tcBorders>
              <w:top w:val="single" w:sz="4" w:space="0" w:color="000000" w:themeColor="text1"/>
            </w:tcBorders>
            <w:hideMark/>
          </w:tcPr>
          <w:p w:rsidR="00AA07DA" w:rsidRPr="00B75B77" w:rsidRDefault="00AA07DA" w:rsidP="0089385E">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9,322</w:t>
            </w:r>
          </w:p>
        </w:tc>
        <w:tc>
          <w:tcPr>
            <w:tcW w:w="1800" w:type="dxa"/>
            <w:tcBorders>
              <w:top w:val="single" w:sz="4" w:space="0" w:color="000000" w:themeColor="text1"/>
            </w:tcBorders>
            <w:hideMark/>
          </w:tcPr>
          <w:p w:rsidR="00AA07DA" w:rsidRPr="00B75B77" w:rsidRDefault="00AA07DA" w:rsidP="0089385E">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25,834</w:t>
            </w:r>
          </w:p>
        </w:tc>
      </w:tr>
      <w:tr w:rsidR="00AA07DA" w:rsidRPr="00B75B77" w:rsidTr="00AA07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5" w:type="dxa"/>
            <w:hideMark/>
          </w:tcPr>
          <w:p w:rsidR="00AA07DA" w:rsidRPr="00B75B77" w:rsidRDefault="00AA07DA" w:rsidP="0089385E">
            <w:pPr>
              <w:keepNext/>
              <w:jc w:val="left"/>
              <w:rPr>
                <w:rFonts w:ascii="Calibri" w:eastAsia="Times New Roman" w:hAnsi="Calibri"/>
                <w:b w:val="0"/>
                <w:color w:val="000000"/>
                <w:szCs w:val="18"/>
              </w:rPr>
            </w:pPr>
            <w:r w:rsidRPr="00B75B77">
              <w:rPr>
                <w:rFonts w:ascii="Calibri" w:eastAsia="Times New Roman" w:hAnsi="Calibri"/>
                <w:b w:val="0"/>
                <w:color w:val="000000"/>
                <w:szCs w:val="18"/>
              </w:rPr>
              <w:t>Smart Builder Rebates</w:t>
            </w:r>
          </w:p>
        </w:tc>
        <w:tc>
          <w:tcPr>
            <w:tcW w:w="1800" w:type="dxa"/>
            <w:hideMark/>
          </w:tcPr>
          <w:p w:rsidR="00AA07DA" w:rsidRPr="00B75B77" w:rsidRDefault="00AA07DA" w:rsidP="0089385E">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158</w:t>
            </w:r>
          </w:p>
        </w:tc>
        <w:tc>
          <w:tcPr>
            <w:tcW w:w="1530" w:type="dxa"/>
            <w:hideMark/>
          </w:tcPr>
          <w:p w:rsidR="00AA07DA" w:rsidRPr="00B75B77" w:rsidRDefault="00AA07DA" w:rsidP="0089385E">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248</w:t>
            </w:r>
          </w:p>
        </w:tc>
        <w:tc>
          <w:tcPr>
            <w:tcW w:w="1620" w:type="dxa"/>
            <w:hideMark/>
          </w:tcPr>
          <w:p w:rsidR="00AA07DA" w:rsidRPr="00B75B77" w:rsidRDefault="00AA07DA" w:rsidP="0089385E">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365</w:t>
            </w:r>
          </w:p>
        </w:tc>
        <w:tc>
          <w:tcPr>
            <w:tcW w:w="1800" w:type="dxa"/>
            <w:hideMark/>
          </w:tcPr>
          <w:p w:rsidR="00AA07DA" w:rsidRPr="00B75B77" w:rsidRDefault="00AA07DA" w:rsidP="0089385E">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590</w:t>
            </w:r>
          </w:p>
        </w:tc>
      </w:tr>
      <w:tr w:rsidR="00AA07DA" w:rsidRPr="00B75B77" w:rsidTr="00AA07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5" w:type="dxa"/>
            <w:hideMark/>
          </w:tcPr>
          <w:p w:rsidR="00AA07DA" w:rsidRPr="00B75B77" w:rsidRDefault="00AA07DA" w:rsidP="0089385E">
            <w:pPr>
              <w:keepNext/>
              <w:jc w:val="left"/>
              <w:rPr>
                <w:rFonts w:ascii="Calibri" w:eastAsia="Times New Roman" w:hAnsi="Calibri"/>
                <w:b w:val="0"/>
                <w:color w:val="000000"/>
                <w:szCs w:val="18"/>
              </w:rPr>
            </w:pPr>
            <w:r w:rsidRPr="00B75B77">
              <w:rPr>
                <w:rFonts w:ascii="Calibri" w:eastAsia="Times New Roman" w:hAnsi="Calibri"/>
                <w:b w:val="0"/>
                <w:color w:val="000000"/>
                <w:szCs w:val="18"/>
              </w:rPr>
              <w:t>Smart Energy Saver</w:t>
            </w:r>
          </w:p>
        </w:tc>
        <w:tc>
          <w:tcPr>
            <w:tcW w:w="1800" w:type="dxa"/>
            <w:hideMark/>
          </w:tcPr>
          <w:p w:rsidR="00AA07DA" w:rsidRPr="00B75B77" w:rsidRDefault="00AA07DA" w:rsidP="0089385E">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12,324</w:t>
            </w:r>
          </w:p>
        </w:tc>
        <w:tc>
          <w:tcPr>
            <w:tcW w:w="1530" w:type="dxa"/>
            <w:hideMark/>
          </w:tcPr>
          <w:p w:rsidR="00AA07DA" w:rsidRPr="00B75B77" w:rsidRDefault="00AA07DA" w:rsidP="0089385E">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37,827</w:t>
            </w:r>
          </w:p>
        </w:tc>
        <w:tc>
          <w:tcPr>
            <w:tcW w:w="1620" w:type="dxa"/>
            <w:hideMark/>
          </w:tcPr>
          <w:p w:rsidR="00AA07DA" w:rsidRPr="00B75B77" w:rsidRDefault="00AA07DA" w:rsidP="0089385E">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2,786</w:t>
            </w:r>
          </w:p>
        </w:tc>
        <w:tc>
          <w:tcPr>
            <w:tcW w:w="1800" w:type="dxa"/>
            <w:hideMark/>
          </w:tcPr>
          <w:p w:rsidR="00AA07DA" w:rsidRPr="00B75B77" w:rsidRDefault="00AA07DA" w:rsidP="0089385E">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9,017</w:t>
            </w:r>
          </w:p>
        </w:tc>
      </w:tr>
      <w:tr w:rsidR="00AA07DA" w:rsidRPr="00B75B77" w:rsidTr="00AA07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5" w:type="dxa"/>
            <w:hideMark/>
          </w:tcPr>
          <w:p w:rsidR="00AA07DA" w:rsidRPr="00B75B77" w:rsidRDefault="00AA07DA" w:rsidP="0089385E">
            <w:pPr>
              <w:keepNext/>
              <w:jc w:val="left"/>
              <w:rPr>
                <w:rFonts w:ascii="Calibri" w:eastAsia="Times New Roman" w:hAnsi="Calibri"/>
                <w:b w:val="0"/>
                <w:color w:val="000000"/>
                <w:szCs w:val="18"/>
              </w:rPr>
            </w:pPr>
            <w:r w:rsidRPr="00B75B77">
              <w:rPr>
                <w:rFonts w:ascii="Calibri" w:eastAsia="Times New Roman" w:hAnsi="Calibri"/>
                <w:b w:val="0"/>
                <w:color w:val="000000"/>
                <w:szCs w:val="18"/>
              </w:rPr>
              <w:t>Smart Home Rebates</w:t>
            </w:r>
          </w:p>
        </w:tc>
        <w:tc>
          <w:tcPr>
            <w:tcW w:w="1800" w:type="dxa"/>
            <w:hideMark/>
          </w:tcPr>
          <w:p w:rsidR="00AA07DA" w:rsidRPr="00B75B77" w:rsidRDefault="00AA07DA" w:rsidP="0089385E">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3,640,919</w:t>
            </w:r>
          </w:p>
        </w:tc>
        <w:tc>
          <w:tcPr>
            <w:tcW w:w="1530" w:type="dxa"/>
            <w:hideMark/>
          </w:tcPr>
          <w:p w:rsidR="00AA07DA" w:rsidRPr="00B75B77" w:rsidRDefault="00AA07DA" w:rsidP="0089385E">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7,667,436</w:t>
            </w:r>
          </w:p>
        </w:tc>
        <w:tc>
          <w:tcPr>
            <w:tcW w:w="1620" w:type="dxa"/>
            <w:hideMark/>
          </w:tcPr>
          <w:p w:rsidR="00AA07DA" w:rsidRPr="00B75B77" w:rsidRDefault="00AA07DA" w:rsidP="0089385E">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142,472</w:t>
            </w:r>
          </w:p>
        </w:tc>
        <w:tc>
          <w:tcPr>
            <w:tcW w:w="1800" w:type="dxa"/>
            <w:hideMark/>
          </w:tcPr>
          <w:p w:rsidR="00AA07DA" w:rsidRPr="00B75B77" w:rsidRDefault="00AA07DA" w:rsidP="0089385E">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314,502</w:t>
            </w:r>
          </w:p>
        </w:tc>
      </w:tr>
      <w:tr w:rsidR="00AA07DA" w:rsidRPr="00B75B77" w:rsidTr="00AA07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5" w:type="dxa"/>
            <w:hideMark/>
          </w:tcPr>
          <w:p w:rsidR="00AA07DA" w:rsidRPr="00B75B77" w:rsidRDefault="00AA07DA" w:rsidP="0089385E">
            <w:pPr>
              <w:keepNext/>
              <w:jc w:val="left"/>
              <w:rPr>
                <w:rFonts w:ascii="Calibri" w:eastAsia="Times New Roman" w:hAnsi="Calibri"/>
                <w:b w:val="0"/>
                <w:color w:val="000000"/>
                <w:szCs w:val="18"/>
              </w:rPr>
            </w:pPr>
            <w:r w:rsidRPr="00B75B77">
              <w:rPr>
                <w:rFonts w:ascii="Calibri" w:eastAsia="Times New Roman" w:hAnsi="Calibri"/>
                <w:b w:val="0"/>
                <w:color w:val="000000"/>
                <w:szCs w:val="18"/>
              </w:rPr>
              <w:t>Smart House Call</w:t>
            </w:r>
          </w:p>
        </w:tc>
        <w:tc>
          <w:tcPr>
            <w:tcW w:w="1800" w:type="dxa"/>
            <w:hideMark/>
          </w:tcPr>
          <w:p w:rsidR="00AA07DA" w:rsidRPr="00B75B77" w:rsidRDefault="00AA07DA" w:rsidP="0089385E">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6,479</w:t>
            </w:r>
          </w:p>
        </w:tc>
        <w:tc>
          <w:tcPr>
            <w:tcW w:w="1530" w:type="dxa"/>
            <w:hideMark/>
          </w:tcPr>
          <w:p w:rsidR="00AA07DA" w:rsidRPr="00B75B77" w:rsidRDefault="00AA07DA" w:rsidP="0089385E">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12,101</w:t>
            </w:r>
          </w:p>
        </w:tc>
        <w:tc>
          <w:tcPr>
            <w:tcW w:w="1620" w:type="dxa"/>
            <w:hideMark/>
          </w:tcPr>
          <w:p w:rsidR="00AA07DA" w:rsidRPr="00B75B77" w:rsidRDefault="00AA07DA" w:rsidP="0089385E">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6,742</w:t>
            </w:r>
          </w:p>
        </w:tc>
        <w:tc>
          <w:tcPr>
            <w:tcW w:w="1800" w:type="dxa"/>
            <w:hideMark/>
          </w:tcPr>
          <w:p w:rsidR="00AA07DA" w:rsidRPr="00B75B77" w:rsidRDefault="00AA07DA" w:rsidP="0089385E">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10,566</w:t>
            </w:r>
          </w:p>
        </w:tc>
      </w:tr>
      <w:tr w:rsidR="00AA07DA" w:rsidRPr="00B75B77" w:rsidTr="00AA07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5" w:type="dxa"/>
            <w:hideMark/>
          </w:tcPr>
          <w:p w:rsidR="00AA07DA" w:rsidRPr="00B75B77" w:rsidRDefault="00AA07DA" w:rsidP="0089385E">
            <w:pPr>
              <w:keepNext/>
              <w:jc w:val="left"/>
              <w:rPr>
                <w:rFonts w:ascii="Calibri" w:eastAsia="Times New Roman" w:hAnsi="Calibri"/>
                <w:b w:val="0"/>
                <w:color w:val="000000"/>
                <w:szCs w:val="18"/>
              </w:rPr>
            </w:pPr>
            <w:r w:rsidRPr="00B75B77">
              <w:rPr>
                <w:rFonts w:ascii="Calibri" w:eastAsia="Times New Roman" w:hAnsi="Calibri"/>
                <w:b w:val="0"/>
                <w:color w:val="000000"/>
                <w:szCs w:val="18"/>
              </w:rPr>
              <w:t>Smart Multi-Family Solutions</w:t>
            </w:r>
          </w:p>
        </w:tc>
        <w:tc>
          <w:tcPr>
            <w:tcW w:w="1800" w:type="dxa"/>
            <w:hideMark/>
          </w:tcPr>
          <w:p w:rsidR="00AA07DA" w:rsidRPr="00B75B77" w:rsidRDefault="00AA07DA" w:rsidP="0089385E">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3,889</w:t>
            </w:r>
          </w:p>
        </w:tc>
        <w:tc>
          <w:tcPr>
            <w:tcW w:w="1530" w:type="dxa"/>
            <w:hideMark/>
          </w:tcPr>
          <w:p w:rsidR="00AA07DA" w:rsidRPr="00B75B77" w:rsidRDefault="00AA07DA" w:rsidP="0089385E">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22,338</w:t>
            </w:r>
          </w:p>
        </w:tc>
        <w:tc>
          <w:tcPr>
            <w:tcW w:w="1620" w:type="dxa"/>
            <w:hideMark/>
          </w:tcPr>
          <w:p w:rsidR="00AA07DA" w:rsidRPr="00B75B77" w:rsidRDefault="00AA07DA" w:rsidP="0089385E">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5,573</w:t>
            </w:r>
          </w:p>
        </w:tc>
        <w:tc>
          <w:tcPr>
            <w:tcW w:w="1800" w:type="dxa"/>
            <w:hideMark/>
          </w:tcPr>
          <w:p w:rsidR="00AA07DA" w:rsidRPr="00B75B77" w:rsidRDefault="00AA07DA" w:rsidP="0089385E">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17,737</w:t>
            </w:r>
          </w:p>
        </w:tc>
      </w:tr>
      <w:tr w:rsidR="00AA07DA" w:rsidRPr="00B75B77" w:rsidTr="00AA07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5" w:type="dxa"/>
            <w:hideMark/>
          </w:tcPr>
          <w:p w:rsidR="00AA07DA" w:rsidRPr="00B75B77" w:rsidRDefault="00AA07DA" w:rsidP="0089385E">
            <w:pPr>
              <w:keepNext/>
              <w:jc w:val="left"/>
              <w:rPr>
                <w:rFonts w:ascii="Calibri" w:eastAsia="Times New Roman" w:hAnsi="Calibri"/>
                <w:b w:val="0"/>
                <w:color w:val="000000"/>
                <w:szCs w:val="18"/>
              </w:rPr>
            </w:pPr>
            <w:r w:rsidRPr="00B75B77">
              <w:rPr>
                <w:rFonts w:ascii="Calibri" w:eastAsia="Times New Roman" w:hAnsi="Calibri"/>
                <w:b w:val="0"/>
                <w:color w:val="000000"/>
                <w:szCs w:val="18"/>
              </w:rPr>
              <w:t>Smart Usage Profile</w:t>
            </w:r>
          </w:p>
        </w:tc>
        <w:tc>
          <w:tcPr>
            <w:tcW w:w="1800" w:type="dxa"/>
            <w:hideMark/>
          </w:tcPr>
          <w:p w:rsidR="00AA07DA" w:rsidRPr="00B75B77" w:rsidRDefault="00AA07DA" w:rsidP="0089385E">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132,289</w:t>
            </w:r>
          </w:p>
        </w:tc>
        <w:tc>
          <w:tcPr>
            <w:tcW w:w="1530" w:type="dxa"/>
            <w:hideMark/>
          </w:tcPr>
          <w:p w:rsidR="00AA07DA" w:rsidRPr="00B75B77" w:rsidRDefault="00AA07DA" w:rsidP="0089385E">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132,289</w:t>
            </w:r>
          </w:p>
        </w:tc>
        <w:tc>
          <w:tcPr>
            <w:tcW w:w="1620" w:type="dxa"/>
            <w:hideMark/>
          </w:tcPr>
          <w:p w:rsidR="00AA07DA" w:rsidRPr="00B75B77" w:rsidRDefault="00AA07DA" w:rsidP="0089385E">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36,690</w:t>
            </w:r>
          </w:p>
        </w:tc>
        <w:tc>
          <w:tcPr>
            <w:tcW w:w="1800" w:type="dxa"/>
            <w:hideMark/>
          </w:tcPr>
          <w:p w:rsidR="00AA07DA" w:rsidRPr="00B75B77" w:rsidRDefault="00AA07DA" w:rsidP="0089385E">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36,690</w:t>
            </w:r>
          </w:p>
        </w:tc>
      </w:tr>
      <w:tr w:rsidR="00AA07DA" w:rsidRPr="00B75B77" w:rsidTr="00AA07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5" w:type="dxa"/>
            <w:hideMark/>
          </w:tcPr>
          <w:p w:rsidR="00AA07DA" w:rsidRPr="00B75B77" w:rsidRDefault="00AA07DA" w:rsidP="0089385E">
            <w:pPr>
              <w:keepNext/>
              <w:jc w:val="left"/>
              <w:rPr>
                <w:rFonts w:ascii="Calibri" w:eastAsia="Times New Roman" w:hAnsi="Calibri"/>
                <w:b w:val="0"/>
                <w:color w:val="000000"/>
                <w:szCs w:val="18"/>
              </w:rPr>
            </w:pPr>
            <w:r w:rsidRPr="00B75B77">
              <w:rPr>
                <w:rFonts w:ascii="Calibri" w:eastAsia="Times New Roman" w:hAnsi="Calibri"/>
                <w:b w:val="0"/>
                <w:color w:val="000000"/>
                <w:szCs w:val="18"/>
              </w:rPr>
              <w:t>Low-Income Energy Efficiency</w:t>
            </w:r>
          </w:p>
        </w:tc>
        <w:tc>
          <w:tcPr>
            <w:tcW w:w="1800" w:type="dxa"/>
            <w:hideMark/>
          </w:tcPr>
          <w:p w:rsidR="00AA07DA" w:rsidRPr="00B75B77" w:rsidRDefault="00AA07DA" w:rsidP="0089385E">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222,711</w:t>
            </w:r>
          </w:p>
        </w:tc>
        <w:tc>
          <w:tcPr>
            <w:tcW w:w="1530" w:type="dxa"/>
            <w:hideMark/>
          </w:tcPr>
          <w:p w:rsidR="00AA07DA" w:rsidRPr="00B75B77" w:rsidRDefault="00AA07DA" w:rsidP="0089385E">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737,371</w:t>
            </w:r>
          </w:p>
        </w:tc>
        <w:tc>
          <w:tcPr>
            <w:tcW w:w="1620" w:type="dxa"/>
            <w:hideMark/>
          </w:tcPr>
          <w:p w:rsidR="00AA07DA" w:rsidRPr="00B75B77" w:rsidRDefault="00AA07DA" w:rsidP="0089385E">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19,801</w:t>
            </w:r>
          </w:p>
        </w:tc>
        <w:tc>
          <w:tcPr>
            <w:tcW w:w="1800" w:type="dxa"/>
            <w:hideMark/>
          </w:tcPr>
          <w:p w:rsidR="00AA07DA" w:rsidRPr="00B75B77" w:rsidRDefault="00AA07DA" w:rsidP="0089385E">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52,899</w:t>
            </w:r>
          </w:p>
        </w:tc>
      </w:tr>
      <w:tr w:rsidR="00AA07DA" w:rsidRPr="00B75B77" w:rsidTr="00AA07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5" w:type="dxa"/>
            <w:hideMark/>
          </w:tcPr>
          <w:p w:rsidR="00AA07DA" w:rsidRPr="00B75B77" w:rsidRDefault="00AA07DA" w:rsidP="0089385E">
            <w:pPr>
              <w:keepNext/>
              <w:jc w:val="left"/>
              <w:rPr>
                <w:rFonts w:ascii="Calibri" w:eastAsia="Times New Roman" w:hAnsi="Calibri"/>
                <w:b w:val="0"/>
                <w:color w:val="000000"/>
                <w:szCs w:val="18"/>
              </w:rPr>
            </w:pPr>
            <w:r w:rsidRPr="00B75B77">
              <w:rPr>
                <w:rFonts w:ascii="Calibri" w:eastAsia="Times New Roman" w:hAnsi="Calibri"/>
                <w:b w:val="0"/>
                <w:color w:val="000000"/>
                <w:szCs w:val="18"/>
              </w:rPr>
              <w:t>Residential Smart AC Saver</w:t>
            </w:r>
          </w:p>
        </w:tc>
        <w:tc>
          <w:tcPr>
            <w:tcW w:w="1800" w:type="dxa"/>
            <w:hideMark/>
          </w:tcPr>
          <w:p w:rsidR="00AA07DA" w:rsidRPr="00B75B77" w:rsidRDefault="00AA07DA" w:rsidP="0089385E">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65,274</w:t>
            </w:r>
          </w:p>
        </w:tc>
        <w:tc>
          <w:tcPr>
            <w:tcW w:w="1530" w:type="dxa"/>
            <w:hideMark/>
          </w:tcPr>
          <w:p w:rsidR="00AA07DA" w:rsidRPr="00B75B77" w:rsidRDefault="00AA07DA" w:rsidP="0089385E">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69,077</w:t>
            </w:r>
          </w:p>
        </w:tc>
        <w:tc>
          <w:tcPr>
            <w:tcW w:w="1620" w:type="dxa"/>
            <w:hideMark/>
          </w:tcPr>
          <w:p w:rsidR="00AA07DA" w:rsidRPr="00B75B77" w:rsidRDefault="00AA07DA" w:rsidP="0089385E">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0</w:t>
            </w:r>
          </w:p>
        </w:tc>
        <w:tc>
          <w:tcPr>
            <w:tcW w:w="1800" w:type="dxa"/>
            <w:hideMark/>
          </w:tcPr>
          <w:p w:rsidR="00AA07DA" w:rsidRPr="00B75B77" w:rsidRDefault="00AA07DA" w:rsidP="0089385E">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0</w:t>
            </w:r>
          </w:p>
        </w:tc>
      </w:tr>
      <w:tr w:rsidR="00AA07DA" w:rsidRPr="00B75B77" w:rsidTr="00AA07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5" w:type="dxa"/>
            <w:hideMark/>
          </w:tcPr>
          <w:p w:rsidR="00AA07DA" w:rsidRPr="00B75B77" w:rsidRDefault="00AA07DA" w:rsidP="0089385E">
            <w:pPr>
              <w:keepNext/>
              <w:jc w:val="left"/>
              <w:rPr>
                <w:rFonts w:ascii="Calibri" w:eastAsia="Times New Roman" w:hAnsi="Calibri"/>
                <w:b w:val="0"/>
                <w:color w:val="000000"/>
                <w:szCs w:val="18"/>
              </w:rPr>
            </w:pPr>
            <w:r w:rsidRPr="00B75B77">
              <w:rPr>
                <w:rFonts w:ascii="Calibri" w:eastAsia="Times New Roman" w:hAnsi="Calibri"/>
                <w:b w:val="0"/>
                <w:color w:val="000000"/>
                <w:szCs w:val="18"/>
              </w:rPr>
              <w:t>Smart Business Solutions</w:t>
            </w:r>
          </w:p>
        </w:tc>
        <w:tc>
          <w:tcPr>
            <w:tcW w:w="1800" w:type="dxa"/>
            <w:hideMark/>
          </w:tcPr>
          <w:p w:rsidR="00AA07DA" w:rsidRPr="00B75B77" w:rsidRDefault="00AA07DA" w:rsidP="0089385E">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189</w:t>
            </w:r>
          </w:p>
        </w:tc>
        <w:tc>
          <w:tcPr>
            <w:tcW w:w="1530" w:type="dxa"/>
            <w:hideMark/>
          </w:tcPr>
          <w:p w:rsidR="00AA07DA" w:rsidRPr="00B75B77" w:rsidRDefault="00AA07DA" w:rsidP="0089385E">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1,172</w:t>
            </w:r>
          </w:p>
        </w:tc>
        <w:tc>
          <w:tcPr>
            <w:tcW w:w="1620" w:type="dxa"/>
            <w:hideMark/>
          </w:tcPr>
          <w:p w:rsidR="00AA07DA" w:rsidRPr="00B75B77" w:rsidRDefault="00AA07DA" w:rsidP="0089385E">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5,114</w:t>
            </w:r>
          </w:p>
        </w:tc>
        <w:tc>
          <w:tcPr>
            <w:tcW w:w="1800" w:type="dxa"/>
            <w:hideMark/>
          </w:tcPr>
          <w:p w:rsidR="00AA07DA" w:rsidRPr="00B75B77" w:rsidRDefault="00AA07DA" w:rsidP="0089385E">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31,844</w:t>
            </w:r>
          </w:p>
        </w:tc>
      </w:tr>
      <w:tr w:rsidR="00AA07DA" w:rsidRPr="00B75B77" w:rsidTr="00AA07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5" w:type="dxa"/>
            <w:hideMark/>
          </w:tcPr>
          <w:p w:rsidR="00AA07DA" w:rsidRPr="00B75B77" w:rsidRDefault="00AA07DA" w:rsidP="0089385E">
            <w:pPr>
              <w:keepNext/>
              <w:jc w:val="left"/>
              <w:rPr>
                <w:rFonts w:ascii="Calibri" w:eastAsia="Times New Roman" w:hAnsi="Calibri"/>
                <w:b w:val="0"/>
                <w:color w:val="000000"/>
                <w:szCs w:val="18"/>
              </w:rPr>
            </w:pPr>
            <w:r w:rsidRPr="00B75B77">
              <w:rPr>
                <w:rFonts w:ascii="Calibri" w:eastAsia="Times New Roman" w:hAnsi="Calibri"/>
                <w:b w:val="0"/>
                <w:color w:val="000000"/>
                <w:szCs w:val="18"/>
              </w:rPr>
              <w:t>Smart Construction Incentives</w:t>
            </w:r>
          </w:p>
        </w:tc>
        <w:tc>
          <w:tcPr>
            <w:tcW w:w="1800" w:type="dxa"/>
            <w:hideMark/>
          </w:tcPr>
          <w:p w:rsidR="00AA07DA" w:rsidRPr="00B75B77" w:rsidRDefault="00AA07DA" w:rsidP="0089385E">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181</w:t>
            </w:r>
          </w:p>
        </w:tc>
        <w:tc>
          <w:tcPr>
            <w:tcW w:w="1530" w:type="dxa"/>
            <w:hideMark/>
          </w:tcPr>
          <w:p w:rsidR="00AA07DA" w:rsidRPr="00B75B77" w:rsidRDefault="00AA07DA" w:rsidP="0089385E">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283</w:t>
            </w:r>
          </w:p>
        </w:tc>
        <w:tc>
          <w:tcPr>
            <w:tcW w:w="1620" w:type="dxa"/>
            <w:hideMark/>
          </w:tcPr>
          <w:p w:rsidR="00AA07DA" w:rsidRPr="00B75B77" w:rsidRDefault="00AA07DA" w:rsidP="0089385E">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26,545</w:t>
            </w:r>
          </w:p>
        </w:tc>
        <w:tc>
          <w:tcPr>
            <w:tcW w:w="1800" w:type="dxa"/>
            <w:hideMark/>
          </w:tcPr>
          <w:p w:rsidR="00AA07DA" w:rsidRPr="00B75B77" w:rsidRDefault="00AA07DA" w:rsidP="0089385E">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45,254</w:t>
            </w:r>
          </w:p>
        </w:tc>
      </w:tr>
      <w:tr w:rsidR="00AA07DA" w:rsidRPr="00B75B77" w:rsidTr="00AA07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5" w:type="dxa"/>
            <w:hideMark/>
          </w:tcPr>
          <w:p w:rsidR="00AA07DA" w:rsidRPr="00B75B77" w:rsidRDefault="00AA07DA" w:rsidP="0089385E">
            <w:pPr>
              <w:keepNext/>
              <w:jc w:val="left"/>
              <w:rPr>
                <w:rFonts w:ascii="Calibri" w:eastAsia="Times New Roman" w:hAnsi="Calibri"/>
                <w:b w:val="0"/>
                <w:color w:val="000000"/>
                <w:szCs w:val="18"/>
              </w:rPr>
            </w:pPr>
            <w:r w:rsidRPr="00B75B77">
              <w:rPr>
                <w:rFonts w:ascii="Calibri" w:eastAsia="Times New Roman" w:hAnsi="Calibri"/>
                <w:b w:val="0"/>
                <w:color w:val="000000"/>
                <w:szCs w:val="18"/>
              </w:rPr>
              <w:t>Smart Equipment Incentives - C&amp;I</w:t>
            </w:r>
          </w:p>
        </w:tc>
        <w:tc>
          <w:tcPr>
            <w:tcW w:w="1800" w:type="dxa"/>
            <w:hideMark/>
          </w:tcPr>
          <w:p w:rsidR="00AA07DA" w:rsidRPr="00B75B77" w:rsidRDefault="00AA07DA" w:rsidP="0089385E">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1,329</w:t>
            </w:r>
          </w:p>
        </w:tc>
        <w:tc>
          <w:tcPr>
            <w:tcW w:w="1530" w:type="dxa"/>
            <w:hideMark/>
          </w:tcPr>
          <w:p w:rsidR="00AA07DA" w:rsidRPr="00B75B77" w:rsidRDefault="00AA07DA" w:rsidP="0089385E">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2,446</w:t>
            </w:r>
          </w:p>
        </w:tc>
        <w:tc>
          <w:tcPr>
            <w:tcW w:w="1620" w:type="dxa"/>
            <w:hideMark/>
          </w:tcPr>
          <w:p w:rsidR="00AA07DA" w:rsidRPr="00B75B77" w:rsidRDefault="00AA07DA" w:rsidP="0089385E">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119,944</w:t>
            </w:r>
          </w:p>
        </w:tc>
        <w:tc>
          <w:tcPr>
            <w:tcW w:w="1800" w:type="dxa"/>
            <w:hideMark/>
          </w:tcPr>
          <w:p w:rsidR="00AA07DA" w:rsidRPr="00B75B77" w:rsidRDefault="00AA07DA" w:rsidP="0089385E">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229,217</w:t>
            </w:r>
          </w:p>
        </w:tc>
      </w:tr>
      <w:tr w:rsidR="00AA07DA" w:rsidRPr="00B75B77" w:rsidTr="00AA07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5" w:type="dxa"/>
            <w:hideMark/>
          </w:tcPr>
          <w:p w:rsidR="00AA07DA" w:rsidRPr="00B75B77" w:rsidRDefault="00AA07DA" w:rsidP="0089385E">
            <w:pPr>
              <w:keepNext/>
              <w:jc w:val="left"/>
              <w:rPr>
                <w:rFonts w:ascii="Calibri" w:eastAsia="Times New Roman" w:hAnsi="Calibri"/>
                <w:b w:val="0"/>
                <w:color w:val="000000"/>
                <w:szCs w:val="18"/>
              </w:rPr>
            </w:pPr>
            <w:r w:rsidRPr="00B75B77">
              <w:rPr>
                <w:rFonts w:ascii="Calibri" w:eastAsia="Times New Roman" w:hAnsi="Calibri"/>
                <w:b w:val="0"/>
                <w:color w:val="000000"/>
                <w:szCs w:val="18"/>
              </w:rPr>
              <w:t>Smart Equipment Incentives - GNI</w:t>
            </w:r>
          </w:p>
        </w:tc>
        <w:tc>
          <w:tcPr>
            <w:tcW w:w="1800" w:type="dxa"/>
            <w:hideMark/>
          </w:tcPr>
          <w:p w:rsidR="00AA07DA" w:rsidRPr="00B75B77" w:rsidRDefault="00AA07DA" w:rsidP="0089385E">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469</w:t>
            </w:r>
          </w:p>
        </w:tc>
        <w:tc>
          <w:tcPr>
            <w:tcW w:w="1530" w:type="dxa"/>
            <w:hideMark/>
          </w:tcPr>
          <w:p w:rsidR="00AA07DA" w:rsidRPr="00B75B77" w:rsidRDefault="00AA07DA" w:rsidP="0089385E">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796</w:t>
            </w:r>
          </w:p>
        </w:tc>
        <w:tc>
          <w:tcPr>
            <w:tcW w:w="1620" w:type="dxa"/>
            <w:hideMark/>
          </w:tcPr>
          <w:p w:rsidR="00AA07DA" w:rsidRPr="00B75B77" w:rsidRDefault="00AA07DA" w:rsidP="0089385E">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97,768</w:t>
            </w:r>
          </w:p>
        </w:tc>
        <w:tc>
          <w:tcPr>
            <w:tcW w:w="1800" w:type="dxa"/>
            <w:hideMark/>
          </w:tcPr>
          <w:p w:rsidR="00AA07DA" w:rsidRPr="00B75B77" w:rsidRDefault="00AA07DA" w:rsidP="0089385E">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133,586</w:t>
            </w:r>
          </w:p>
        </w:tc>
      </w:tr>
      <w:tr w:rsidR="00AA07DA" w:rsidRPr="00B75B77" w:rsidTr="00AA07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5" w:type="dxa"/>
            <w:hideMark/>
          </w:tcPr>
          <w:p w:rsidR="00AA07DA" w:rsidRPr="00B75B77" w:rsidRDefault="00AA07DA" w:rsidP="0089385E">
            <w:pPr>
              <w:keepNext/>
              <w:jc w:val="left"/>
              <w:rPr>
                <w:rFonts w:ascii="Calibri" w:eastAsia="Times New Roman" w:hAnsi="Calibri"/>
                <w:b w:val="0"/>
                <w:color w:val="000000"/>
                <w:szCs w:val="18"/>
              </w:rPr>
            </w:pPr>
            <w:r w:rsidRPr="00B75B77">
              <w:rPr>
                <w:rFonts w:ascii="Calibri" w:eastAsia="Times New Roman" w:hAnsi="Calibri"/>
                <w:b w:val="0"/>
                <w:color w:val="000000"/>
                <w:szCs w:val="18"/>
              </w:rPr>
              <w:t>Smart On-Site</w:t>
            </w:r>
          </w:p>
        </w:tc>
        <w:tc>
          <w:tcPr>
            <w:tcW w:w="1800" w:type="dxa"/>
            <w:hideMark/>
          </w:tcPr>
          <w:p w:rsidR="00AA07DA" w:rsidRPr="00B75B77" w:rsidRDefault="00AA07DA" w:rsidP="0089385E">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6</w:t>
            </w:r>
          </w:p>
        </w:tc>
        <w:tc>
          <w:tcPr>
            <w:tcW w:w="1530" w:type="dxa"/>
            <w:hideMark/>
          </w:tcPr>
          <w:p w:rsidR="00AA07DA" w:rsidRPr="00B75B77" w:rsidRDefault="00AA07DA" w:rsidP="0089385E">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8</w:t>
            </w:r>
          </w:p>
        </w:tc>
        <w:tc>
          <w:tcPr>
            <w:tcW w:w="1620" w:type="dxa"/>
            <w:hideMark/>
          </w:tcPr>
          <w:p w:rsidR="00AA07DA" w:rsidRPr="00B75B77" w:rsidRDefault="00AA07DA" w:rsidP="0089385E">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34,043</w:t>
            </w:r>
          </w:p>
        </w:tc>
        <w:tc>
          <w:tcPr>
            <w:tcW w:w="1800" w:type="dxa"/>
            <w:hideMark/>
          </w:tcPr>
          <w:p w:rsidR="00AA07DA" w:rsidRPr="00B75B77" w:rsidRDefault="00AA07DA" w:rsidP="0089385E">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93,988</w:t>
            </w:r>
          </w:p>
        </w:tc>
      </w:tr>
      <w:tr w:rsidR="00AA07DA" w:rsidRPr="00B75B77" w:rsidTr="00AA07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5" w:type="dxa"/>
            <w:hideMark/>
          </w:tcPr>
          <w:p w:rsidR="00AA07DA" w:rsidRPr="00B75B77" w:rsidRDefault="00AA07DA" w:rsidP="0089385E">
            <w:pPr>
              <w:keepNext/>
              <w:jc w:val="left"/>
              <w:rPr>
                <w:rFonts w:ascii="Calibri" w:eastAsia="Times New Roman" w:hAnsi="Calibri"/>
                <w:b w:val="0"/>
                <w:color w:val="000000"/>
                <w:szCs w:val="18"/>
              </w:rPr>
            </w:pPr>
            <w:r w:rsidRPr="00B75B77">
              <w:rPr>
                <w:rFonts w:ascii="Calibri" w:eastAsia="Times New Roman" w:hAnsi="Calibri"/>
                <w:b w:val="0"/>
                <w:color w:val="000000"/>
                <w:szCs w:val="18"/>
              </w:rPr>
              <w:t>Commercial Smart AC Saver</w:t>
            </w:r>
          </w:p>
        </w:tc>
        <w:tc>
          <w:tcPr>
            <w:tcW w:w="1800" w:type="dxa"/>
            <w:hideMark/>
          </w:tcPr>
          <w:p w:rsidR="00AA07DA" w:rsidRPr="00B75B77" w:rsidRDefault="00AA07DA" w:rsidP="0089385E">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1,686</w:t>
            </w:r>
          </w:p>
        </w:tc>
        <w:tc>
          <w:tcPr>
            <w:tcW w:w="1530" w:type="dxa"/>
            <w:hideMark/>
          </w:tcPr>
          <w:p w:rsidR="00AA07DA" w:rsidRPr="00B75B77" w:rsidRDefault="00AA07DA" w:rsidP="0089385E">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1,834</w:t>
            </w:r>
          </w:p>
        </w:tc>
        <w:tc>
          <w:tcPr>
            <w:tcW w:w="1620" w:type="dxa"/>
            <w:hideMark/>
          </w:tcPr>
          <w:p w:rsidR="00AA07DA" w:rsidRPr="00B75B77" w:rsidRDefault="00AA07DA" w:rsidP="0089385E">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0</w:t>
            </w:r>
          </w:p>
        </w:tc>
        <w:tc>
          <w:tcPr>
            <w:tcW w:w="1800" w:type="dxa"/>
            <w:hideMark/>
          </w:tcPr>
          <w:p w:rsidR="00AA07DA" w:rsidRPr="00B75B77" w:rsidRDefault="00AA07DA" w:rsidP="0089385E">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0</w:t>
            </w:r>
          </w:p>
        </w:tc>
      </w:tr>
      <w:tr w:rsidR="00AA07DA" w:rsidRPr="00B75B77" w:rsidTr="00AA07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5" w:type="dxa"/>
            <w:hideMark/>
          </w:tcPr>
          <w:p w:rsidR="00AA07DA" w:rsidRPr="00B75B77" w:rsidRDefault="00AA07DA" w:rsidP="0089385E">
            <w:pPr>
              <w:keepNext/>
              <w:jc w:val="left"/>
              <w:rPr>
                <w:rFonts w:ascii="Calibri" w:eastAsia="Times New Roman" w:hAnsi="Calibri"/>
                <w:bCs w:val="0"/>
                <w:color w:val="000000"/>
                <w:szCs w:val="18"/>
              </w:rPr>
            </w:pPr>
            <w:r w:rsidRPr="00B75B77">
              <w:rPr>
                <w:rFonts w:ascii="Calibri" w:eastAsia="Times New Roman" w:hAnsi="Calibri"/>
                <w:bCs w:val="0"/>
                <w:color w:val="000000"/>
                <w:szCs w:val="18"/>
              </w:rPr>
              <w:t>TOTAL PORTFOLIO</w:t>
            </w:r>
          </w:p>
        </w:tc>
        <w:tc>
          <w:tcPr>
            <w:tcW w:w="1800" w:type="dxa"/>
            <w:hideMark/>
          </w:tcPr>
          <w:p w:rsidR="00AA07DA" w:rsidRPr="00B75B77" w:rsidRDefault="00AA07DA" w:rsidP="0089385E">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Cs w:val="18"/>
              </w:rPr>
            </w:pPr>
            <w:r w:rsidRPr="00B75B77">
              <w:rPr>
                <w:b/>
                <w:szCs w:val="18"/>
              </w:rPr>
              <w:t>4,097,270</w:t>
            </w:r>
          </w:p>
        </w:tc>
        <w:tc>
          <w:tcPr>
            <w:tcW w:w="1530" w:type="dxa"/>
            <w:hideMark/>
          </w:tcPr>
          <w:p w:rsidR="00AA07DA" w:rsidRPr="00B75B77" w:rsidRDefault="00AA07DA" w:rsidP="0089385E">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Cs w:val="18"/>
              </w:rPr>
            </w:pPr>
            <w:r w:rsidRPr="00B75B77">
              <w:rPr>
                <w:b/>
                <w:szCs w:val="18"/>
              </w:rPr>
              <w:t>8,713,451</w:t>
            </w:r>
          </w:p>
        </w:tc>
        <w:tc>
          <w:tcPr>
            <w:tcW w:w="1620" w:type="dxa"/>
            <w:hideMark/>
          </w:tcPr>
          <w:p w:rsidR="00AA07DA" w:rsidRPr="00B75B77" w:rsidRDefault="00AA07DA" w:rsidP="0089385E">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Cs w:val="18"/>
              </w:rPr>
            </w:pPr>
            <w:r w:rsidRPr="00B75B77">
              <w:rPr>
                <w:b/>
                <w:szCs w:val="18"/>
              </w:rPr>
              <w:t>507,165</w:t>
            </w:r>
          </w:p>
        </w:tc>
        <w:tc>
          <w:tcPr>
            <w:tcW w:w="1800" w:type="dxa"/>
            <w:hideMark/>
          </w:tcPr>
          <w:p w:rsidR="00AA07DA" w:rsidRPr="00B75B77" w:rsidRDefault="00AA07DA" w:rsidP="0089385E">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Cs w:val="18"/>
              </w:rPr>
            </w:pPr>
            <w:r w:rsidRPr="00B75B77">
              <w:rPr>
                <w:b/>
                <w:szCs w:val="18"/>
              </w:rPr>
              <w:t>1,001,723</w:t>
            </w:r>
          </w:p>
        </w:tc>
      </w:tr>
    </w:tbl>
    <w:p w:rsidR="000C1E59" w:rsidRPr="00B75B77" w:rsidRDefault="000C1E59" w:rsidP="0089385E">
      <w:pPr>
        <w:pStyle w:val="Source"/>
        <w:keepNext/>
        <w:spacing w:before="20" w:after="20"/>
        <w:ind w:left="187" w:firstLine="0"/>
        <w:rPr>
          <w:rStyle w:val="Strong"/>
          <w:b w:val="0"/>
          <w:bCs w:val="0"/>
          <w:i w:val="0"/>
        </w:rPr>
      </w:pPr>
      <w:r w:rsidRPr="00B75B77">
        <w:rPr>
          <w:rStyle w:val="Strong"/>
          <w:b w:val="0"/>
          <w:bCs w:val="0"/>
          <w:i w:val="0"/>
        </w:rPr>
        <w:t xml:space="preserve">Note: </w:t>
      </w:r>
      <w:r w:rsidRPr="00B75B77">
        <w:rPr>
          <w:rFonts w:ascii="Calibri" w:hAnsi="Calibri"/>
          <w:i w:val="0"/>
          <w:iCs/>
          <w:color w:val="000000"/>
          <w:szCs w:val="18"/>
        </w:rPr>
        <w:t>Values in tables may not reconcile exactly with the sum of more detailed level results or previously reported results due to rounding.</w:t>
      </w:r>
    </w:p>
    <w:p w:rsidR="000C1E59" w:rsidRPr="00B75B77" w:rsidRDefault="000C1E59" w:rsidP="0089385E">
      <w:pPr>
        <w:pStyle w:val="Source"/>
        <w:keepNext/>
      </w:pPr>
      <w:r w:rsidRPr="00B75B77">
        <w:rPr>
          <w:rStyle w:val="Strong"/>
          <w:b w:val="0"/>
          <w:bCs w:val="0"/>
        </w:rPr>
        <w:t>Source: Navigant analysis</w:t>
      </w:r>
    </w:p>
    <w:p w:rsidR="000C1E59" w:rsidRPr="00B75B77" w:rsidRDefault="000C1E59" w:rsidP="00242F9E"/>
    <w:p w:rsidR="005279FF" w:rsidRPr="00B75B77" w:rsidRDefault="005279FF" w:rsidP="005279FF">
      <w:r w:rsidRPr="00B75B77">
        <w:t>PECO achieved an overall PY7 energy savings realization rate of 1.04 with PYTD verified gross energy savings estimated at 528,301 MWh/</w:t>
      </w:r>
      <w:proofErr w:type="spellStart"/>
      <w:r w:rsidRPr="00B75B77">
        <w:t>yr</w:t>
      </w:r>
      <w:proofErr w:type="spellEnd"/>
      <w:r w:rsidRPr="00B75B77">
        <w:t xml:space="preserve"> with an achieved portfolio level precision of 3% at the 85% confidence interval (4% at the 90% confidence interval, exceeding the SWE Evaluation Framework requirements). PECO achieved Phase II verified gross energy savings of 1,090,505 MWh/</w:t>
      </w:r>
      <w:proofErr w:type="spellStart"/>
      <w:r w:rsidRPr="00B75B77">
        <w:t>yr</w:t>
      </w:r>
      <w:proofErr w:type="spellEnd"/>
      <w:r w:rsidRPr="00B75B77">
        <w:t xml:space="preserve"> with an achieved portfolio level precision of 1% at the 90% confidence interval, not including </w:t>
      </w:r>
      <w:proofErr w:type="gramStart"/>
      <w:r w:rsidRPr="00B75B77">
        <w:t>Phase</w:t>
      </w:r>
      <w:proofErr w:type="gramEnd"/>
      <w:r w:rsidRPr="00B75B77">
        <w:t xml:space="preserve"> I carryover, thus exceeding the SWE Evaluation Framework requirements.</w:t>
      </w:r>
    </w:p>
    <w:p w:rsidR="000C1E59" w:rsidRPr="00B75B77" w:rsidRDefault="000C1E59" w:rsidP="00242F9E">
      <w:pPr>
        <w:sectPr w:rsidR="000C1E59" w:rsidRPr="00B75B77" w:rsidSect="00F94CBE">
          <w:headerReference w:type="default" r:id="rId34"/>
          <w:footerReference w:type="default" r:id="rId35"/>
          <w:headerReference w:type="first" r:id="rId36"/>
          <w:footerReference w:type="first" r:id="rId37"/>
          <w:pgSz w:w="12240" w:h="15840" w:code="1"/>
          <w:pgMar w:top="1170" w:right="1440" w:bottom="1260" w:left="1440" w:header="576" w:footer="475" w:gutter="0"/>
          <w:pgNumType w:start="1"/>
          <w:cols w:space="720"/>
          <w:docGrid w:linePitch="360"/>
        </w:sectPr>
      </w:pPr>
    </w:p>
    <w:p w:rsidR="000C1E59" w:rsidRPr="00B75B77" w:rsidRDefault="00AA07DA" w:rsidP="00F94CBE">
      <w:pPr>
        <w:pStyle w:val="Caption"/>
      </w:pPr>
      <w:bookmarkStart w:id="107" w:name="_Ref464562594"/>
      <w:bookmarkStart w:id="108" w:name="_Ref449688769"/>
      <w:bookmarkStart w:id="109" w:name="_Toc453075281"/>
      <w:bookmarkStart w:id="110" w:name="_Toc466413493"/>
      <w:r w:rsidRPr="00B75B77">
        <w:lastRenderedPageBreak/>
        <w:t xml:space="preserve">Table </w:t>
      </w:r>
      <w:r w:rsidR="00237810">
        <w:fldChar w:fldCharType="begin"/>
      </w:r>
      <w:r w:rsidR="00237810">
        <w:instrText xml:space="preserve"> STYLEREF 1 \s </w:instrText>
      </w:r>
      <w:r w:rsidR="00237810">
        <w:fldChar w:fldCharType="separate"/>
      </w:r>
      <w:r w:rsidR="0004016D">
        <w:rPr>
          <w:noProof/>
        </w:rPr>
        <w:t>1</w:t>
      </w:r>
      <w:r w:rsidR="00237810">
        <w:rPr>
          <w:noProof/>
        </w:rPr>
        <w:fldChar w:fldCharType="end"/>
      </w:r>
      <w:r w:rsidR="00F1144C" w:rsidRPr="00B75B77">
        <w:noBreakHyphen/>
      </w:r>
      <w:r w:rsidR="00237810">
        <w:fldChar w:fldCharType="begin"/>
      </w:r>
      <w:r w:rsidR="00237810">
        <w:instrText xml:space="preserve"> SEQ Table \* ARABIC \s 1 </w:instrText>
      </w:r>
      <w:r w:rsidR="00237810">
        <w:fldChar w:fldCharType="separate"/>
      </w:r>
      <w:r w:rsidR="0004016D">
        <w:rPr>
          <w:noProof/>
        </w:rPr>
        <w:t>11</w:t>
      </w:r>
      <w:r w:rsidR="00237810">
        <w:rPr>
          <w:noProof/>
        </w:rPr>
        <w:fldChar w:fldCharType="end"/>
      </w:r>
      <w:bookmarkEnd w:id="107"/>
      <w:r w:rsidRPr="00B75B77">
        <w:t xml:space="preserve">: </w:t>
      </w:r>
      <w:bookmarkEnd w:id="108"/>
      <w:r w:rsidR="000C1E59" w:rsidRPr="00B75B77">
        <w:t>Verified Gross Energy Savings by Program</w:t>
      </w:r>
      <w:bookmarkEnd w:id="109"/>
      <w:bookmarkEnd w:id="110"/>
    </w:p>
    <w:tbl>
      <w:tblPr>
        <w:tblStyle w:val="PECOTeal"/>
        <w:tblW w:w="0" w:type="auto"/>
        <w:tblLook w:val="04A0" w:firstRow="1" w:lastRow="0" w:firstColumn="1" w:lastColumn="0" w:noHBand="0" w:noVBand="1"/>
      </w:tblPr>
      <w:tblGrid>
        <w:gridCol w:w="1671"/>
        <w:gridCol w:w="1199"/>
        <w:gridCol w:w="1170"/>
        <w:gridCol w:w="1411"/>
        <w:gridCol w:w="1191"/>
        <w:gridCol w:w="1502"/>
        <w:gridCol w:w="1196"/>
      </w:tblGrid>
      <w:tr w:rsidR="00625CF9" w:rsidRPr="00B75B77" w:rsidTr="00625C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rsidR="00625CF9" w:rsidRPr="00B75B77" w:rsidRDefault="00625CF9" w:rsidP="00625CF9">
            <w:pPr>
              <w:jc w:val="center"/>
            </w:pPr>
            <w:r w:rsidRPr="00B75B77">
              <w:rPr>
                <w:rFonts w:ascii="Calibri" w:eastAsia="Times New Roman" w:hAnsi="Calibri"/>
                <w:bCs w:val="0"/>
                <w:color w:val="FFFFFF"/>
                <w:szCs w:val="18"/>
              </w:rPr>
              <w:t>Program</w:t>
            </w:r>
          </w:p>
        </w:tc>
        <w:tc>
          <w:tcPr>
            <w:tcW w:w="1199" w:type="dxa"/>
          </w:tcPr>
          <w:p w:rsidR="00625CF9" w:rsidRPr="00B75B77" w:rsidRDefault="00625CF9" w:rsidP="00625CF9">
            <w:pPr>
              <w:jc w:val="center"/>
              <w:cnfStyle w:val="100000000000" w:firstRow="1" w:lastRow="0" w:firstColumn="0" w:lastColumn="0" w:oddVBand="0" w:evenVBand="0" w:oddHBand="0" w:evenHBand="0" w:firstRowFirstColumn="0" w:firstRowLastColumn="0" w:lastRowFirstColumn="0" w:lastRowLastColumn="0"/>
            </w:pPr>
            <w:r w:rsidRPr="00B75B77">
              <w:rPr>
                <w:rFonts w:ascii="Calibri" w:eastAsia="Times New Roman" w:hAnsi="Calibri"/>
                <w:bCs w:val="0"/>
                <w:color w:val="FFFFFF"/>
                <w:szCs w:val="18"/>
              </w:rPr>
              <w:t>PYTD Reported Gross Energy Savings (MWh/</w:t>
            </w:r>
            <w:proofErr w:type="spellStart"/>
            <w:r w:rsidRPr="00B75B77">
              <w:rPr>
                <w:rFonts w:ascii="Calibri" w:eastAsia="Times New Roman" w:hAnsi="Calibri"/>
                <w:bCs w:val="0"/>
                <w:color w:val="FFFFFF"/>
                <w:szCs w:val="18"/>
              </w:rPr>
              <w:t>yr</w:t>
            </w:r>
            <w:proofErr w:type="spellEnd"/>
            <w:r w:rsidRPr="00B75B77">
              <w:rPr>
                <w:rFonts w:ascii="Calibri" w:eastAsia="Times New Roman" w:hAnsi="Calibri"/>
                <w:bCs w:val="0"/>
                <w:color w:val="FFFFFF"/>
                <w:szCs w:val="18"/>
              </w:rPr>
              <w:t>)</w:t>
            </w:r>
          </w:p>
        </w:tc>
        <w:tc>
          <w:tcPr>
            <w:tcW w:w="1170" w:type="dxa"/>
          </w:tcPr>
          <w:p w:rsidR="00625CF9" w:rsidRPr="00B75B77" w:rsidRDefault="00625CF9" w:rsidP="00625CF9">
            <w:pPr>
              <w:jc w:val="center"/>
              <w:cnfStyle w:val="100000000000" w:firstRow="1" w:lastRow="0" w:firstColumn="0" w:lastColumn="0" w:oddVBand="0" w:evenVBand="0" w:oddHBand="0" w:evenHBand="0" w:firstRowFirstColumn="0" w:firstRowLastColumn="0" w:lastRowFirstColumn="0" w:lastRowLastColumn="0"/>
            </w:pPr>
            <w:r w:rsidRPr="00B75B77">
              <w:rPr>
                <w:rFonts w:ascii="Calibri" w:eastAsia="Times New Roman" w:hAnsi="Calibri"/>
                <w:bCs w:val="0"/>
                <w:color w:val="FFFFFF"/>
                <w:szCs w:val="18"/>
              </w:rPr>
              <w:t>PYTD Energy Realization Rate</w:t>
            </w:r>
          </w:p>
        </w:tc>
        <w:tc>
          <w:tcPr>
            <w:tcW w:w="1411" w:type="dxa"/>
          </w:tcPr>
          <w:p w:rsidR="00625CF9" w:rsidRPr="00B75B77" w:rsidRDefault="00625CF9" w:rsidP="00625CF9">
            <w:pPr>
              <w:jc w:val="center"/>
              <w:cnfStyle w:val="100000000000" w:firstRow="1" w:lastRow="0" w:firstColumn="0" w:lastColumn="0" w:oddVBand="0" w:evenVBand="0" w:oddHBand="0" w:evenHBand="0" w:firstRowFirstColumn="0" w:firstRowLastColumn="0" w:lastRowFirstColumn="0" w:lastRowLastColumn="0"/>
            </w:pPr>
            <w:r w:rsidRPr="00B75B77">
              <w:rPr>
                <w:rFonts w:ascii="Calibri" w:eastAsia="Times New Roman" w:hAnsi="Calibri"/>
                <w:bCs w:val="0"/>
                <w:color w:val="FFFFFF"/>
                <w:szCs w:val="18"/>
              </w:rPr>
              <w:t>PYTD Verified Gross Energy Savings (MWh/Year)</w:t>
            </w:r>
          </w:p>
        </w:tc>
        <w:tc>
          <w:tcPr>
            <w:tcW w:w="1191" w:type="dxa"/>
          </w:tcPr>
          <w:p w:rsidR="00625CF9" w:rsidRPr="00B75B77" w:rsidRDefault="00625CF9" w:rsidP="00625CF9">
            <w:pPr>
              <w:jc w:val="center"/>
              <w:cnfStyle w:val="100000000000" w:firstRow="1" w:lastRow="0" w:firstColumn="0" w:lastColumn="0" w:oddVBand="0" w:evenVBand="0" w:oddHBand="0" w:evenHBand="0" w:firstRowFirstColumn="0" w:firstRowLastColumn="0" w:lastRowFirstColumn="0" w:lastRowLastColumn="0"/>
            </w:pPr>
            <w:r w:rsidRPr="00B75B77">
              <w:rPr>
                <w:rFonts w:ascii="Calibri" w:eastAsia="Times New Roman" w:hAnsi="Calibri"/>
                <w:bCs w:val="0"/>
                <w:color w:val="FFFFFF"/>
                <w:szCs w:val="18"/>
              </w:rPr>
              <w:t>PYTD Achieved Precision</w:t>
            </w:r>
            <w:r w:rsidRPr="00B75B77">
              <w:rPr>
                <w:rFonts w:ascii="Calibri" w:eastAsia="Times New Roman" w:hAnsi="Calibri"/>
                <w:bCs w:val="0"/>
                <w:color w:val="FFFFFF"/>
                <w:szCs w:val="18"/>
                <w:vertAlign w:val="superscript"/>
              </w:rPr>
              <w:t>[1]</w:t>
            </w:r>
          </w:p>
        </w:tc>
        <w:tc>
          <w:tcPr>
            <w:tcW w:w="1502" w:type="dxa"/>
          </w:tcPr>
          <w:p w:rsidR="00625CF9" w:rsidRPr="00B75B77" w:rsidRDefault="00625CF9" w:rsidP="00625CF9">
            <w:pPr>
              <w:jc w:val="center"/>
              <w:cnfStyle w:val="100000000000" w:firstRow="1" w:lastRow="0" w:firstColumn="0" w:lastColumn="0" w:oddVBand="0" w:evenVBand="0" w:oddHBand="0" w:evenHBand="0" w:firstRowFirstColumn="0" w:firstRowLastColumn="0" w:lastRowFirstColumn="0" w:lastRowLastColumn="0"/>
            </w:pPr>
            <w:r w:rsidRPr="00B75B77">
              <w:rPr>
                <w:rFonts w:ascii="Calibri" w:eastAsia="Times New Roman" w:hAnsi="Calibri"/>
                <w:bCs w:val="0"/>
                <w:color w:val="FFFFFF"/>
                <w:szCs w:val="18"/>
              </w:rPr>
              <w:t>Phase II Verified Gross Energy Savings (MWh/Year)</w:t>
            </w:r>
          </w:p>
        </w:tc>
        <w:tc>
          <w:tcPr>
            <w:tcW w:w="1196" w:type="dxa"/>
          </w:tcPr>
          <w:p w:rsidR="00625CF9" w:rsidRPr="00B75B77" w:rsidRDefault="00625CF9" w:rsidP="00625CF9">
            <w:pPr>
              <w:jc w:val="center"/>
              <w:cnfStyle w:val="100000000000" w:firstRow="1" w:lastRow="0" w:firstColumn="0" w:lastColumn="0" w:oddVBand="0" w:evenVBand="0" w:oddHBand="0" w:evenHBand="0" w:firstRowFirstColumn="0" w:firstRowLastColumn="0" w:lastRowFirstColumn="0" w:lastRowLastColumn="0"/>
            </w:pPr>
            <w:r w:rsidRPr="00B75B77">
              <w:rPr>
                <w:rFonts w:ascii="Calibri" w:eastAsia="Times New Roman" w:hAnsi="Calibri"/>
                <w:bCs w:val="0"/>
                <w:color w:val="FFFFFF"/>
                <w:szCs w:val="18"/>
              </w:rPr>
              <w:t>Phase II Achieved Precision</w:t>
            </w:r>
            <w:r w:rsidRPr="00B75B77">
              <w:rPr>
                <w:rFonts w:ascii="Calibri" w:eastAsia="Times New Roman" w:hAnsi="Calibri"/>
                <w:bCs w:val="0"/>
                <w:color w:val="FFFFFF"/>
                <w:szCs w:val="18"/>
                <w:vertAlign w:val="superscript"/>
              </w:rPr>
              <w:t>[2]</w:t>
            </w:r>
          </w:p>
        </w:tc>
      </w:tr>
      <w:tr w:rsidR="00625CF9" w:rsidRPr="00B75B77" w:rsidTr="00625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rsidR="00625CF9" w:rsidRPr="00B75B77" w:rsidRDefault="00625CF9" w:rsidP="00625CF9">
            <w:pPr>
              <w:jc w:val="left"/>
              <w:rPr>
                <w:b w:val="0"/>
              </w:rPr>
            </w:pPr>
            <w:r w:rsidRPr="00B75B77">
              <w:rPr>
                <w:rFonts w:ascii="Calibri" w:eastAsia="Times New Roman" w:hAnsi="Calibri"/>
                <w:b w:val="0"/>
                <w:color w:val="000000"/>
                <w:szCs w:val="18"/>
              </w:rPr>
              <w:t>Smart Appliance Recycling</w:t>
            </w:r>
          </w:p>
        </w:tc>
        <w:tc>
          <w:tcPr>
            <w:tcW w:w="1199"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pPr>
            <w:r w:rsidRPr="00B75B77">
              <w:rPr>
                <w:szCs w:val="18"/>
              </w:rPr>
              <w:t>9,322</w:t>
            </w:r>
          </w:p>
        </w:tc>
        <w:tc>
          <w:tcPr>
            <w:tcW w:w="1170"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pPr>
            <w:r w:rsidRPr="00B75B77">
              <w:rPr>
                <w:szCs w:val="18"/>
              </w:rPr>
              <w:t>0.95</w:t>
            </w:r>
          </w:p>
        </w:tc>
        <w:tc>
          <w:tcPr>
            <w:tcW w:w="1411"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pPr>
            <w:r w:rsidRPr="00B75B77">
              <w:rPr>
                <w:szCs w:val="18"/>
              </w:rPr>
              <w:t>8,843</w:t>
            </w:r>
          </w:p>
        </w:tc>
        <w:tc>
          <w:tcPr>
            <w:tcW w:w="1191"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pPr>
            <w:r w:rsidRPr="00B75B77">
              <w:rPr>
                <w:szCs w:val="18"/>
              </w:rPr>
              <w:t>0%</w:t>
            </w:r>
          </w:p>
        </w:tc>
        <w:tc>
          <w:tcPr>
            <w:tcW w:w="1502"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pPr>
            <w:r w:rsidRPr="00B75B77">
              <w:rPr>
                <w:szCs w:val="18"/>
              </w:rPr>
              <w:t>24,212</w:t>
            </w:r>
          </w:p>
        </w:tc>
        <w:tc>
          <w:tcPr>
            <w:tcW w:w="1196"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pPr>
            <w:r w:rsidRPr="00B75B77">
              <w:rPr>
                <w:szCs w:val="18"/>
              </w:rPr>
              <w:t>0%</w:t>
            </w:r>
          </w:p>
        </w:tc>
      </w:tr>
      <w:tr w:rsidR="00625CF9" w:rsidRPr="00B75B77" w:rsidTr="00625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rsidR="00625CF9" w:rsidRPr="00B75B77" w:rsidRDefault="00625CF9" w:rsidP="00625CF9">
            <w:pPr>
              <w:jc w:val="left"/>
              <w:rPr>
                <w:b w:val="0"/>
              </w:rPr>
            </w:pPr>
            <w:r w:rsidRPr="00B75B77">
              <w:rPr>
                <w:rFonts w:ascii="Calibri" w:eastAsia="Times New Roman" w:hAnsi="Calibri"/>
                <w:b w:val="0"/>
                <w:color w:val="000000"/>
                <w:szCs w:val="18"/>
              </w:rPr>
              <w:t>Smart Builder Rebates</w:t>
            </w:r>
          </w:p>
        </w:tc>
        <w:tc>
          <w:tcPr>
            <w:tcW w:w="1199"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pPr>
            <w:r w:rsidRPr="00B75B77">
              <w:rPr>
                <w:szCs w:val="18"/>
              </w:rPr>
              <w:t>365</w:t>
            </w:r>
          </w:p>
        </w:tc>
        <w:tc>
          <w:tcPr>
            <w:tcW w:w="1170"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pPr>
            <w:r w:rsidRPr="00B75B77">
              <w:rPr>
                <w:szCs w:val="18"/>
              </w:rPr>
              <w:t>0.99</w:t>
            </w:r>
          </w:p>
        </w:tc>
        <w:tc>
          <w:tcPr>
            <w:tcW w:w="1411"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pPr>
            <w:r w:rsidRPr="00B75B77">
              <w:rPr>
                <w:szCs w:val="18"/>
              </w:rPr>
              <w:t>363</w:t>
            </w:r>
          </w:p>
        </w:tc>
        <w:tc>
          <w:tcPr>
            <w:tcW w:w="1191"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pPr>
            <w:r w:rsidRPr="00B75B77">
              <w:rPr>
                <w:szCs w:val="18"/>
              </w:rPr>
              <w:t>2%</w:t>
            </w:r>
          </w:p>
        </w:tc>
        <w:tc>
          <w:tcPr>
            <w:tcW w:w="1502"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pPr>
            <w:r w:rsidRPr="00B75B77">
              <w:rPr>
                <w:szCs w:val="18"/>
              </w:rPr>
              <w:t>592</w:t>
            </w:r>
          </w:p>
        </w:tc>
        <w:tc>
          <w:tcPr>
            <w:tcW w:w="1196"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pPr>
            <w:r w:rsidRPr="00B75B77">
              <w:rPr>
                <w:szCs w:val="18"/>
              </w:rPr>
              <w:t>1%</w:t>
            </w:r>
          </w:p>
        </w:tc>
      </w:tr>
      <w:tr w:rsidR="00625CF9" w:rsidRPr="00B75B77" w:rsidTr="00625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rsidR="00625CF9" w:rsidRPr="00B75B77" w:rsidRDefault="00625CF9" w:rsidP="00625CF9">
            <w:pPr>
              <w:jc w:val="left"/>
              <w:rPr>
                <w:b w:val="0"/>
              </w:rPr>
            </w:pPr>
            <w:r w:rsidRPr="00B75B77">
              <w:rPr>
                <w:rFonts w:ascii="Calibri" w:eastAsia="Times New Roman" w:hAnsi="Calibri"/>
                <w:b w:val="0"/>
                <w:color w:val="000000"/>
                <w:szCs w:val="18"/>
              </w:rPr>
              <w:t>Smart Energy Saver</w:t>
            </w:r>
          </w:p>
        </w:tc>
        <w:tc>
          <w:tcPr>
            <w:tcW w:w="1199"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pPr>
            <w:r w:rsidRPr="00B75B77">
              <w:rPr>
                <w:szCs w:val="18"/>
              </w:rPr>
              <w:t>2,786</w:t>
            </w:r>
          </w:p>
        </w:tc>
        <w:tc>
          <w:tcPr>
            <w:tcW w:w="1170"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pPr>
            <w:r w:rsidRPr="00B75B77">
              <w:rPr>
                <w:szCs w:val="18"/>
              </w:rPr>
              <w:t>0.87</w:t>
            </w:r>
          </w:p>
        </w:tc>
        <w:tc>
          <w:tcPr>
            <w:tcW w:w="1411"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pPr>
            <w:r w:rsidRPr="00B75B77">
              <w:rPr>
                <w:szCs w:val="18"/>
              </w:rPr>
              <w:t>2,413</w:t>
            </w:r>
          </w:p>
        </w:tc>
        <w:tc>
          <w:tcPr>
            <w:tcW w:w="1191"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pPr>
            <w:r w:rsidRPr="00B75B77">
              <w:rPr>
                <w:szCs w:val="18"/>
              </w:rPr>
              <w:t>1%</w:t>
            </w:r>
          </w:p>
        </w:tc>
        <w:tc>
          <w:tcPr>
            <w:tcW w:w="1502"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pPr>
            <w:r w:rsidRPr="00B75B77">
              <w:rPr>
                <w:szCs w:val="18"/>
              </w:rPr>
              <w:t>7,219</w:t>
            </w:r>
          </w:p>
        </w:tc>
        <w:tc>
          <w:tcPr>
            <w:tcW w:w="1196"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pPr>
            <w:r w:rsidRPr="00B75B77">
              <w:rPr>
                <w:szCs w:val="18"/>
              </w:rPr>
              <w:t>0%</w:t>
            </w:r>
          </w:p>
        </w:tc>
      </w:tr>
      <w:tr w:rsidR="00625CF9" w:rsidRPr="00B75B77" w:rsidTr="00625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rsidR="00625CF9" w:rsidRPr="00B75B77" w:rsidRDefault="00625CF9" w:rsidP="00625CF9">
            <w:pPr>
              <w:jc w:val="left"/>
              <w:rPr>
                <w:b w:val="0"/>
              </w:rPr>
            </w:pPr>
            <w:r w:rsidRPr="00B75B77">
              <w:rPr>
                <w:rFonts w:ascii="Calibri" w:eastAsia="Times New Roman" w:hAnsi="Calibri"/>
                <w:b w:val="0"/>
                <w:color w:val="000000"/>
                <w:szCs w:val="18"/>
              </w:rPr>
              <w:t>Smart Home Rebates</w:t>
            </w:r>
          </w:p>
        </w:tc>
        <w:tc>
          <w:tcPr>
            <w:tcW w:w="1199"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pPr>
            <w:r w:rsidRPr="00B75B77">
              <w:rPr>
                <w:szCs w:val="18"/>
              </w:rPr>
              <w:t>142,472</w:t>
            </w:r>
          </w:p>
        </w:tc>
        <w:tc>
          <w:tcPr>
            <w:tcW w:w="1170"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pPr>
            <w:r w:rsidRPr="00B75B77">
              <w:rPr>
                <w:szCs w:val="18"/>
              </w:rPr>
              <w:t>1.22</w:t>
            </w:r>
          </w:p>
        </w:tc>
        <w:tc>
          <w:tcPr>
            <w:tcW w:w="1411"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pPr>
            <w:r w:rsidRPr="00B75B77">
              <w:rPr>
                <w:szCs w:val="18"/>
              </w:rPr>
              <w:t>173,382</w:t>
            </w:r>
          </w:p>
        </w:tc>
        <w:tc>
          <w:tcPr>
            <w:tcW w:w="1191"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pPr>
            <w:r w:rsidRPr="00B75B77">
              <w:rPr>
                <w:szCs w:val="18"/>
              </w:rPr>
              <w:t>4%</w:t>
            </w:r>
          </w:p>
        </w:tc>
        <w:tc>
          <w:tcPr>
            <w:tcW w:w="1502"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pPr>
            <w:r w:rsidRPr="00B75B77">
              <w:rPr>
                <w:szCs w:val="18"/>
              </w:rPr>
              <w:t>403,631</w:t>
            </w:r>
          </w:p>
        </w:tc>
        <w:tc>
          <w:tcPr>
            <w:tcW w:w="1196"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pPr>
            <w:r w:rsidRPr="00B75B77">
              <w:rPr>
                <w:szCs w:val="18"/>
              </w:rPr>
              <w:t>2%</w:t>
            </w:r>
          </w:p>
        </w:tc>
      </w:tr>
      <w:tr w:rsidR="00625CF9" w:rsidRPr="00B75B77" w:rsidTr="00625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rsidR="00625CF9" w:rsidRPr="00B75B77" w:rsidRDefault="00625CF9" w:rsidP="00625CF9">
            <w:pPr>
              <w:jc w:val="left"/>
              <w:rPr>
                <w:rFonts w:ascii="Calibri" w:eastAsia="Times New Roman" w:hAnsi="Calibri"/>
                <w:b w:val="0"/>
                <w:color w:val="000000"/>
                <w:szCs w:val="18"/>
              </w:rPr>
            </w:pPr>
            <w:r w:rsidRPr="00B75B77">
              <w:rPr>
                <w:rFonts w:ascii="Calibri" w:eastAsia="Times New Roman" w:hAnsi="Calibri"/>
                <w:b w:val="0"/>
                <w:color w:val="000000"/>
                <w:szCs w:val="18"/>
              </w:rPr>
              <w:t>Smart House Call</w:t>
            </w:r>
          </w:p>
        </w:tc>
        <w:tc>
          <w:tcPr>
            <w:tcW w:w="1199"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szCs w:val="18"/>
              </w:rPr>
              <w:t>6,742</w:t>
            </w:r>
          </w:p>
        </w:tc>
        <w:tc>
          <w:tcPr>
            <w:tcW w:w="1170"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szCs w:val="18"/>
              </w:rPr>
              <w:t>0.98</w:t>
            </w:r>
          </w:p>
        </w:tc>
        <w:tc>
          <w:tcPr>
            <w:tcW w:w="1411"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szCs w:val="18"/>
              </w:rPr>
              <w:t>6,640</w:t>
            </w:r>
          </w:p>
        </w:tc>
        <w:tc>
          <w:tcPr>
            <w:tcW w:w="1191"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szCs w:val="18"/>
              </w:rPr>
              <w:t>1%</w:t>
            </w:r>
          </w:p>
        </w:tc>
        <w:tc>
          <w:tcPr>
            <w:tcW w:w="1502"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szCs w:val="18"/>
              </w:rPr>
              <w:t>10,566</w:t>
            </w:r>
          </w:p>
        </w:tc>
        <w:tc>
          <w:tcPr>
            <w:tcW w:w="1196"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szCs w:val="18"/>
              </w:rPr>
              <w:t>1%</w:t>
            </w:r>
          </w:p>
        </w:tc>
      </w:tr>
      <w:tr w:rsidR="00625CF9" w:rsidRPr="00B75B77" w:rsidTr="00625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rsidR="00625CF9" w:rsidRPr="00B75B77" w:rsidRDefault="00625CF9" w:rsidP="00625CF9">
            <w:pPr>
              <w:jc w:val="left"/>
              <w:rPr>
                <w:rFonts w:ascii="Calibri" w:eastAsia="Times New Roman" w:hAnsi="Calibri"/>
                <w:b w:val="0"/>
                <w:color w:val="000000"/>
                <w:szCs w:val="18"/>
              </w:rPr>
            </w:pPr>
            <w:r w:rsidRPr="00B75B77">
              <w:rPr>
                <w:rFonts w:ascii="Calibri" w:eastAsia="Times New Roman" w:hAnsi="Calibri"/>
                <w:b w:val="0"/>
                <w:color w:val="000000"/>
                <w:szCs w:val="18"/>
              </w:rPr>
              <w:t>Smart Multi-Family Solutions</w:t>
            </w:r>
          </w:p>
        </w:tc>
        <w:tc>
          <w:tcPr>
            <w:tcW w:w="1199"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rPr>
                <w:szCs w:val="18"/>
              </w:rPr>
            </w:pPr>
            <w:r w:rsidRPr="00B75B77">
              <w:rPr>
                <w:szCs w:val="18"/>
              </w:rPr>
              <w:t>5,573</w:t>
            </w:r>
          </w:p>
        </w:tc>
        <w:tc>
          <w:tcPr>
            <w:tcW w:w="1170"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rPr>
                <w:szCs w:val="18"/>
              </w:rPr>
            </w:pPr>
            <w:r w:rsidRPr="00B75B77">
              <w:rPr>
                <w:szCs w:val="18"/>
              </w:rPr>
              <w:t>0.90</w:t>
            </w:r>
          </w:p>
        </w:tc>
        <w:tc>
          <w:tcPr>
            <w:tcW w:w="1411"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rPr>
                <w:szCs w:val="18"/>
              </w:rPr>
            </w:pPr>
            <w:r w:rsidRPr="00B75B77">
              <w:rPr>
                <w:szCs w:val="18"/>
              </w:rPr>
              <w:t>5,038</w:t>
            </w:r>
          </w:p>
        </w:tc>
        <w:tc>
          <w:tcPr>
            <w:tcW w:w="1191"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rPr>
                <w:szCs w:val="18"/>
              </w:rPr>
            </w:pPr>
            <w:r w:rsidRPr="00B75B77">
              <w:rPr>
                <w:szCs w:val="18"/>
              </w:rPr>
              <w:t>3%</w:t>
            </w:r>
          </w:p>
        </w:tc>
        <w:tc>
          <w:tcPr>
            <w:tcW w:w="1502"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rPr>
                <w:szCs w:val="18"/>
              </w:rPr>
            </w:pPr>
            <w:r w:rsidRPr="00B75B77">
              <w:rPr>
                <w:szCs w:val="18"/>
              </w:rPr>
              <w:t>16,835</w:t>
            </w:r>
          </w:p>
        </w:tc>
        <w:tc>
          <w:tcPr>
            <w:tcW w:w="1196"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rPr>
                <w:szCs w:val="18"/>
              </w:rPr>
            </w:pPr>
            <w:r w:rsidRPr="00B75B77">
              <w:rPr>
                <w:szCs w:val="18"/>
              </w:rPr>
              <w:t>2%</w:t>
            </w:r>
          </w:p>
        </w:tc>
      </w:tr>
      <w:tr w:rsidR="00625CF9" w:rsidRPr="00B75B77" w:rsidTr="00625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rsidR="00625CF9" w:rsidRPr="00B75B77" w:rsidRDefault="00625CF9" w:rsidP="00625CF9">
            <w:pPr>
              <w:jc w:val="left"/>
              <w:rPr>
                <w:rFonts w:ascii="Calibri" w:eastAsia="Times New Roman" w:hAnsi="Calibri"/>
                <w:b w:val="0"/>
                <w:color w:val="000000"/>
                <w:szCs w:val="18"/>
              </w:rPr>
            </w:pPr>
            <w:r w:rsidRPr="00B75B77">
              <w:rPr>
                <w:rFonts w:ascii="Calibri" w:eastAsia="Times New Roman" w:hAnsi="Calibri"/>
                <w:b w:val="0"/>
                <w:color w:val="000000"/>
                <w:szCs w:val="18"/>
              </w:rPr>
              <w:t>Smart Usage Profile</w:t>
            </w:r>
          </w:p>
        </w:tc>
        <w:tc>
          <w:tcPr>
            <w:tcW w:w="1199"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szCs w:val="18"/>
              </w:rPr>
              <w:t>36,690</w:t>
            </w:r>
          </w:p>
        </w:tc>
        <w:tc>
          <w:tcPr>
            <w:tcW w:w="1170"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szCs w:val="18"/>
              </w:rPr>
              <w:t>1.06</w:t>
            </w:r>
          </w:p>
        </w:tc>
        <w:tc>
          <w:tcPr>
            <w:tcW w:w="1411"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szCs w:val="18"/>
              </w:rPr>
              <w:t>39,041</w:t>
            </w:r>
          </w:p>
        </w:tc>
        <w:tc>
          <w:tcPr>
            <w:tcW w:w="1191"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szCs w:val="18"/>
              </w:rPr>
              <w:t>0%</w:t>
            </w:r>
          </w:p>
        </w:tc>
        <w:tc>
          <w:tcPr>
            <w:tcW w:w="1502"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szCs w:val="18"/>
              </w:rPr>
              <w:t>39,041</w:t>
            </w:r>
          </w:p>
        </w:tc>
        <w:tc>
          <w:tcPr>
            <w:tcW w:w="1196"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szCs w:val="18"/>
              </w:rPr>
              <w:t>0%</w:t>
            </w:r>
          </w:p>
        </w:tc>
      </w:tr>
      <w:tr w:rsidR="00625CF9" w:rsidRPr="00B75B77" w:rsidTr="00625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rsidR="00625CF9" w:rsidRPr="00B75B77" w:rsidRDefault="00625CF9" w:rsidP="00625CF9">
            <w:pPr>
              <w:jc w:val="left"/>
              <w:rPr>
                <w:rFonts w:ascii="Calibri" w:eastAsia="Times New Roman" w:hAnsi="Calibri"/>
                <w:b w:val="0"/>
                <w:color w:val="000000"/>
                <w:szCs w:val="18"/>
              </w:rPr>
            </w:pPr>
            <w:r w:rsidRPr="00B75B77">
              <w:rPr>
                <w:rFonts w:ascii="Calibri" w:eastAsia="Times New Roman" w:hAnsi="Calibri"/>
                <w:b w:val="0"/>
                <w:color w:val="000000"/>
                <w:szCs w:val="18"/>
              </w:rPr>
              <w:t>Low-Income Energy Efficiency</w:t>
            </w:r>
          </w:p>
        </w:tc>
        <w:tc>
          <w:tcPr>
            <w:tcW w:w="1199"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rPr>
                <w:szCs w:val="18"/>
              </w:rPr>
            </w:pPr>
            <w:r w:rsidRPr="00B75B77">
              <w:rPr>
                <w:szCs w:val="18"/>
              </w:rPr>
              <w:t>19,801</w:t>
            </w:r>
          </w:p>
        </w:tc>
        <w:tc>
          <w:tcPr>
            <w:tcW w:w="1170"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rPr>
                <w:szCs w:val="18"/>
              </w:rPr>
            </w:pPr>
            <w:r w:rsidRPr="00B75B77">
              <w:rPr>
                <w:szCs w:val="18"/>
              </w:rPr>
              <w:t>0.92</w:t>
            </w:r>
          </w:p>
        </w:tc>
        <w:tc>
          <w:tcPr>
            <w:tcW w:w="1411"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rPr>
                <w:szCs w:val="18"/>
              </w:rPr>
            </w:pPr>
            <w:r w:rsidRPr="00B75B77">
              <w:rPr>
                <w:szCs w:val="18"/>
              </w:rPr>
              <w:t>18,304</w:t>
            </w:r>
          </w:p>
        </w:tc>
        <w:tc>
          <w:tcPr>
            <w:tcW w:w="1191"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rPr>
                <w:szCs w:val="18"/>
              </w:rPr>
            </w:pPr>
            <w:r w:rsidRPr="00B75B77">
              <w:rPr>
                <w:szCs w:val="18"/>
              </w:rPr>
              <w:t>0%</w:t>
            </w:r>
          </w:p>
        </w:tc>
        <w:tc>
          <w:tcPr>
            <w:tcW w:w="1502"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rPr>
                <w:szCs w:val="18"/>
              </w:rPr>
            </w:pPr>
            <w:r w:rsidRPr="00B75B77">
              <w:rPr>
                <w:szCs w:val="18"/>
              </w:rPr>
              <w:t>54,607</w:t>
            </w:r>
          </w:p>
        </w:tc>
        <w:tc>
          <w:tcPr>
            <w:tcW w:w="1196"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rPr>
                <w:szCs w:val="18"/>
              </w:rPr>
            </w:pPr>
            <w:r w:rsidRPr="00B75B77">
              <w:rPr>
                <w:szCs w:val="18"/>
              </w:rPr>
              <w:t>0%</w:t>
            </w:r>
          </w:p>
        </w:tc>
      </w:tr>
      <w:tr w:rsidR="00625CF9" w:rsidRPr="00B75B77" w:rsidTr="00625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rsidR="00625CF9" w:rsidRPr="00B75B77" w:rsidRDefault="00625CF9" w:rsidP="00625CF9">
            <w:pPr>
              <w:jc w:val="left"/>
              <w:rPr>
                <w:rFonts w:ascii="Calibri" w:eastAsia="Times New Roman" w:hAnsi="Calibri"/>
                <w:b w:val="0"/>
                <w:color w:val="000000"/>
                <w:szCs w:val="18"/>
              </w:rPr>
            </w:pPr>
            <w:r w:rsidRPr="00B75B77">
              <w:rPr>
                <w:rFonts w:ascii="Calibri" w:eastAsia="Times New Roman" w:hAnsi="Calibri"/>
                <w:b w:val="0"/>
                <w:color w:val="000000"/>
                <w:szCs w:val="18"/>
              </w:rPr>
              <w:t>Residential Smart AC Saver</w:t>
            </w:r>
          </w:p>
        </w:tc>
        <w:tc>
          <w:tcPr>
            <w:tcW w:w="1199"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szCs w:val="18"/>
              </w:rPr>
              <w:t>0</w:t>
            </w:r>
          </w:p>
        </w:tc>
        <w:tc>
          <w:tcPr>
            <w:tcW w:w="1170"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szCs w:val="18"/>
              </w:rPr>
              <w:t>0.00</w:t>
            </w:r>
          </w:p>
        </w:tc>
        <w:tc>
          <w:tcPr>
            <w:tcW w:w="1411"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szCs w:val="18"/>
              </w:rPr>
              <w:t>0</w:t>
            </w:r>
          </w:p>
        </w:tc>
        <w:tc>
          <w:tcPr>
            <w:tcW w:w="1191"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szCs w:val="18"/>
              </w:rPr>
              <w:t>N/A</w:t>
            </w:r>
          </w:p>
        </w:tc>
        <w:tc>
          <w:tcPr>
            <w:tcW w:w="1502"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szCs w:val="18"/>
              </w:rPr>
              <w:t>0</w:t>
            </w:r>
          </w:p>
        </w:tc>
        <w:tc>
          <w:tcPr>
            <w:tcW w:w="1196"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szCs w:val="18"/>
              </w:rPr>
              <w:t>N/A</w:t>
            </w:r>
          </w:p>
        </w:tc>
      </w:tr>
      <w:tr w:rsidR="00625CF9" w:rsidRPr="00B75B77" w:rsidTr="00625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rsidR="00625CF9" w:rsidRPr="00B75B77" w:rsidRDefault="00625CF9" w:rsidP="00625CF9">
            <w:pPr>
              <w:jc w:val="left"/>
              <w:rPr>
                <w:rFonts w:ascii="Calibri" w:eastAsia="Times New Roman" w:hAnsi="Calibri"/>
                <w:b w:val="0"/>
                <w:color w:val="000000"/>
                <w:szCs w:val="18"/>
              </w:rPr>
            </w:pPr>
            <w:r w:rsidRPr="00B75B77">
              <w:rPr>
                <w:rFonts w:ascii="Calibri" w:eastAsia="Times New Roman" w:hAnsi="Calibri"/>
                <w:b w:val="0"/>
                <w:color w:val="000000"/>
                <w:szCs w:val="18"/>
              </w:rPr>
              <w:t>Smart Business Solutions</w:t>
            </w:r>
          </w:p>
        </w:tc>
        <w:tc>
          <w:tcPr>
            <w:tcW w:w="1199"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rPr>
                <w:szCs w:val="18"/>
              </w:rPr>
            </w:pPr>
            <w:r w:rsidRPr="00B75B77">
              <w:rPr>
                <w:szCs w:val="18"/>
              </w:rPr>
              <w:t>5,114</w:t>
            </w:r>
          </w:p>
        </w:tc>
        <w:tc>
          <w:tcPr>
            <w:tcW w:w="1170"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rPr>
                <w:szCs w:val="18"/>
              </w:rPr>
            </w:pPr>
            <w:r w:rsidRPr="00B75B77">
              <w:rPr>
                <w:szCs w:val="18"/>
              </w:rPr>
              <w:t>0.97</w:t>
            </w:r>
          </w:p>
        </w:tc>
        <w:tc>
          <w:tcPr>
            <w:tcW w:w="1411"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rPr>
                <w:szCs w:val="18"/>
              </w:rPr>
            </w:pPr>
            <w:r w:rsidRPr="00B75B77">
              <w:rPr>
                <w:szCs w:val="18"/>
              </w:rPr>
              <w:t>4,971</w:t>
            </w:r>
          </w:p>
        </w:tc>
        <w:tc>
          <w:tcPr>
            <w:tcW w:w="1191"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rPr>
                <w:szCs w:val="18"/>
              </w:rPr>
            </w:pPr>
            <w:r w:rsidRPr="00B75B77">
              <w:rPr>
                <w:szCs w:val="18"/>
              </w:rPr>
              <w:t>11%</w:t>
            </w:r>
          </w:p>
        </w:tc>
        <w:tc>
          <w:tcPr>
            <w:tcW w:w="1502"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rPr>
                <w:szCs w:val="18"/>
              </w:rPr>
            </w:pPr>
            <w:r w:rsidRPr="00B75B77">
              <w:rPr>
                <w:szCs w:val="18"/>
              </w:rPr>
              <w:t>29,004</w:t>
            </w:r>
          </w:p>
        </w:tc>
        <w:tc>
          <w:tcPr>
            <w:tcW w:w="1196"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rPr>
                <w:szCs w:val="18"/>
              </w:rPr>
            </w:pPr>
            <w:r w:rsidRPr="00B75B77">
              <w:rPr>
                <w:szCs w:val="18"/>
              </w:rPr>
              <w:t>3%</w:t>
            </w:r>
          </w:p>
        </w:tc>
      </w:tr>
      <w:tr w:rsidR="00625CF9" w:rsidRPr="00B75B77" w:rsidTr="00625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rsidR="00625CF9" w:rsidRPr="00B75B77" w:rsidRDefault="00625CF9" w:rsidP="00625CF9">
            <w:pPr>
              <w:jc w:val="left"/>
              <w:rPr>
                <w:rFonts w:ascii="Calibri" w:eastAsia="Times New Roman" w:hAnsi="Calibri"/>
                <w:b w:val="0"/>
                <w:color w:val="000000"/>
                <w:szCs w:val="18"/>
              </w:rPr>
            </w:pPr>
            <w:r w:rsidRPr="00B75B77">
              <w:rPr>
                <w:rFonts w:ascii="Calibri" w:eastAsia="Times New Roman" w:hAnsi="Calibri"/>
                <w:b w:val="0"/>
                <w:color w:val="000000"/>
                <w:szCs w:val="18"/>
              </w:rPr>
              <w:t>Smart Construction Incentives</w:t>
            </w:r>
          </w:p>
        </w:tc>
        <w:tc>
          <w:tcPr>
            <w:tcW w:w="1199"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szCs w:val="18"/>
              </w:rPr>
              <w:t>26,545</w:t>
            </w:r>
          </w:p>
        </w:tc>
        <w:tc>
          <w:tcPr>
            <w:tcW w:w="1170"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szCs w:val="18"/>
              </w:rPr>
              <w:t>0.87</w:t>
            </w:r>
          </w:p>
        </w:tc>
        <w:tc>
          <w:tcPr>
            <w:tcW w:w="1411"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szCs w:val="18"/>
              </w:rPr>
              <w:t>22,995</w:t>
            </w:r>
          </w:p>
        </w:tc>
        <w:tc>
          <w:tcPr>
            <w:tcW w:w="1191"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szCs w:val="18"/>
              </w:rPr>
              <w:t>29%</w:t>
            </w:r>
          </w:p>
        </w:tc>
        <w:tc>
          <w:tcPr>
            <w:tcW w:w="1502"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szCs w:val="18"/>
              </w:rPr>
              <w:t>43,348</w:t>
            </w:r>
          </w:p>
        </w:tc>
        <w:tc>
          <w:tcPr>
            <w:tcW w:w="1196"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szCs w:val="18"/>
              </w:rPr>
              <w:t>6%</w:t>
            </w:r>
          </w:p>
        </w:tc>
      </w:tr>
      <w:tr w:rsidR="00625CF9" w:rsidRPr="00B75B77" w:rsidTr="00625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rsidR="00625CF9" w:rsidRPr="00B75B77" w:rsidRDefault="00625CF9" w:rsidP="00625CF9">
            <w:pPr>
              <w:jc w:val="left"/>
              <w:rPr>
                <w:rFonts w:ascii="Calibri" w:eastAsia="Times New Roman" w:hAnsi="Calibri"/>
                <w:b w:val="0"/>
                <w:color w:val="000000"/>
                <w:szCs w:val="18"/>
              </w:rPr>
            </w:pPr>
            <w:r w:rsidRPr="00B75B77">
              <w:rPr>
                <w:rFonts w:ascii="Calibri" w:eastAsia="Times New Roman" w:hAnsi="Calibri"/>
                <w:b w:val="0"/>
                <w:color w:val="000000"/>
                <w:szCs w:val="18"/>
              </w:rPr>
              <w:t>Smart Equipment Incentives - C&amp;I</w:t>
            </w:r>
          </w:p>
        </w:tc>
        <w:tc>
          <w:tcPr>
            <w:tcW w:w="1199"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rPr>
                <w:szCs w:val="18"/>
              </w:rPr>
            </w:pPr>
            <w:r w:rsidRPr="00B75B77">
              <w:rPr>
                <w:szCs w:val="18"/>
              </w:rPr>
              <w:t>119,944</w:t>
            </w:r>
          </w:p>
        </w:tc>
        <w:tc>
          <w:tcPr>
            <w:tcW w:w="1170"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rPr>
                <w:szCs w:val="18"/>
              </w:rPr>
            </w:pPr>
            <w:r w:rsidRPr="00B75B77">
              <w:rPr>
                <w:szCs w:val="18"/>
              </w:rPr>
              <w:t>1.00</w:t>
            </w:r>
          </w:p>
        </w:tc>
        <w:tc>
          <w:tcPr>
            <w:tcW w:w="1411"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rPr>
                <w:szCs w:val="18"/>
              </w:rPr>
            </w:pPr>
            <w:r w:rsidRPr="00B75B77">
              <w:rPr>
                <w:szCs w:val="18"/>
              </w:rPr>
              <w:t>119,579</w:t>
            </w:r>
          </w:p>
        </w:tc>
        <w:tc>
          <w:tcPr>
            <w:tcW w:w="1191"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rPr>
                <w:szCs w:val="18"/>
              </w:rPr>
            </w:pPr>
            <w:r w:rsidRPr="00B75B77">
              <w:rPr>
                <w:szCs w:val="18"/>
              </w:rPr>
              <w:t>11%</w:t>
            </w:r>
          </w:p>
        </w:tc>
        <w:tc>
          <w:tcPr>
            <w:tcW w:w="1502"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rPr>
                <w:szCs w:val="18"/>
              </w:rPr>
            </w:pPr>
            <w:r w:rsidRPr="00B75B77">
              <w:rPr>
                <w:szCs w:val="18"/>
              </w:rPr>
              <w:t>238,</w:t>
            </w:r>
            <w:r w:rsidR="009D24A1" w:rsidRPr="00B75B77">
              <w:rPr>
                <w:szCs w:val="18"/>
              </w:rPr>
              <w:t>518</w:t>
            </w:r>
          </w:p>
        </w:tc>
        <w:tc>
          <w:tcPr>
            <w:tcW w:w="1196"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rPr>
                <w:szCs w:val="18"/>
              </w:rPr>
            </w:pPr>
            <w:r w:rsidRPr="00B75B77">
              <w:rPr>
                <w:szCs w:val="18"/>
              </w:rPr>
              <w:t>4%</w:t>
            </w:r>
          </w:p>
        </w:tc>
      </w:tr>
      <w:tr w:rsidR="00625CF9" w:rsidRPr="00B75B77" w:rsidTr="00625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rsidR="00625CF9" w:rsidRPr="00B75B77" w:rsidRDefault="00625CF9" w:rsidP="00625CF9">
            <w:pPr>
              <w:jc w:val="left"/>
              <w:rPr>
                <w:rFonts w:ascii="Calibri" w:eastAsia="Times New Roman" w:hAnsi="Calibri"/>
                <w:b w:val="0"/>
                <w:color w:val="000000"/>
                <w:szCs w:val="18"/>
              </w:rPr>
            </w:pPr>
            <w:r w:rsidRPr="00B75B77">
              <w:rPr>
                <w:rFonts w:ascii="Calibri" w:eastAsia="Times New Roman" w:hAnsi="Calibri"/>
                <w:b w:val="0"/>
                <w:color w:val="000000"/>
                <w:szCs w:val="18"/>
              </w:rPr>
              <w:t>Smart Equipment Incentives - GNI</w:t>
            </w:r>
          </w:p>
        </w:tc>
        <w:tc>
          <w:tcPr>
            <w:tcW w:w="1199"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szCs w:val="18"/>
              </w:rPr>
              <w:t>97,768</w:t>
            </w:r>
          </w:p>
        </w:tc>
        <w:tc>
          <w:tcPr>
            <w:tcW w:w="1170"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szCs w:val="18"/>
              </w:rPr>
              <w:t>0.99</w:t>
            </w:r>
          </w:p>
        </w:tc>
        <w:tc>
          <w:tcPr>
            <w:tcW w:w="1411"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szCs w:val="18"/>
              </w:rPr>
              <w:t>97,110</w:t>
            </w:r>
          </w:p>
        </w:tc>
        <w:tc>
          <w:tcPr>
            <w:tcW w:w="1191"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szCs w:val="18"/>
              </w:rPr>
              <w:t>7%</w:t>
            </w:r>
          </w:p>
        </w:tc>
        <w:tc>
          <w:tcPr>
            <w:tcW w:w="1502"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szCs w:val="18"/>
              </w:rPr>
              <w:t>133,</w:t>
            </w:r>
            <w:r w:rsidR="009D24A1" w:rsidRPr="00B75B77">
              <w:rPr>
                <w:szCs w:val="18"/>
              </w:rPr>
              <w:t>883</w:t>
            </w:r>
          </w:p>
        </w:tc>
        <w:tc>
          <w:tcPr>
            <w:tcW w:w="1196"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szCs w:val="18"/>
              </w:rPr>
              <w:t>2%</w:t>
            </w:r>
          </w:p>
        </w:tc>
      </w:tr>
      <w:tr w:rsidR="00625CF9" w:rsidRPr="00B75B77" w:rsidTr="00625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rsidR="00625CF9" w:rsidRPr="00B75B77" w:rsidRDefault="00625CF9" w:rsidP="00625CF9">
            <w:pPr>
              <w:jc w:val="left"/>
              <w:rPr>
                <w:rFonts w:ascii="Calibri" w:eastAsia="Times New Roman" w:hAnsi="Calibri"/>
                <w:b w:val="0"/>
                <w:color w:val="000000"/>
                <w:szCs w:val="18"/>
              </w:rPr>
            </w:pPr>
            <w:r w:rsidRPr="00B75B77">
              <w:rPr>
                <w:rFonts w:ascii="Calibri" w:eastAsia="Times New Roman" w:hAnsi="Calibri"/>
                <w:b w:val="0"/>
                <w:color w:val="000000"/>
                <w:szCs w:val="18"/>
              </w:rPr>
              <w:t>Smart On-Site</w:t>
            </w:r>
          </w:p>
        </w:tc>
        <w:tc>
          <w:tcPr>
            <w:tcW w:w="1199"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rPr>
                <w:szCs w:val="18"/>
              </w:rPr>
            </w:pPr>
            <w:r w:rsidRPr="00B75B77">
              <w:rPr>
                <w:szCs w:val="18"/>
              </w:rPr>
              <w:t>34,043</w:t>
            </w:r>
          </w:p>
        </w:tc>
        <w:tc>
          <w:tcPr>
            <w:tcW w:w="1170"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rPr>
                <w:szCs w:val="18"/>
              </w:rPr>
            </w:pPr>
            <w:r w:rsidRPr="00B75B77">
              <w:rPr>
                <w:szCs w:val="18"/>
              </w:rPr>
              <w:t>0.87</w:t>
            </w:r>
          </w:p>
        </w:tc>
        <w:tc>
          <w:tcPr>
            <w:tcW w:w="1411"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rPr>
                <w:szCs w:val="18"/>
              </w:rPr>
            </w:pPr>
            <w:r w:rsidRPr="00B75B77">
              <w:rPr>
                <w:szCs w:val="18"/>
              </w:rPr>
              <w:t>29,621</w:t>
            </w:r>
          </w:p>
        </w:tc>
        <w:tc>
          <w:tcPr>
            <w:tcW w:w="1191"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rPr>
                <w:szCs w:val="18"/>
              </w:rPr>
            </w:pPr>
            <w:r w:rsidRPr="00B75B77">
              <w:rPr>
                <w:szCs w:val="18"/>
              </w:rPr>
              <w:t>0%</w:t>
            </w:r>
          </w:p>
        </w:tc>
        <w:tc>
          <w:tcPr>
            <w:tcW w:w="1502"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rPr>
                <w:szCs w:val="18"/>
              </w:rPr>
            </w:pPr>
            <w:r w:rsidRPr="00B75B77">
              <w:rPr>
                <w:szCs w:val="18"/>
              </w:rPr>
              <w:t>90,049</w:t>
            </w:r>
          </w:p>
        </w:tc>
        <w:tc>
          <w:tcPr>
            <w:tcW w:w="1196"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rPr>
                <w:szCs w:val="18"/>
              </w:rPr>
            </w:pPr>
            <w:r w:rsidRPr="00B75B77">
              <w:rPr>
                <w:szCs w:val="18"/>
              </w:rPr>
              <w:t>0%</w:t>
            </w:r>
          </w:p>
        </w:tc>
      </w:tr>
      <w:tr w:rsidR="00625CF9" w:rsidRPr="00B75B77" w:rsidTr="00625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rsidR="00625CF9" w:rsidRPr="00B75B77" w:rsidRDefault="00625CF9" w:rsidP="00625CF9">
            <w:pPr>
              <w:jc w:val="left"/>
              <w:rPr>
                <w:rFonts w:ascii="Calibri" w:eastAsia="Times New Roman" w:hAnsi="Calibri"/>
                <w:b w:val="0"/>
                <w:color w:val="000000"/>
                <w:szCs w:val="18"/>
              </w:rPr>
            </w:pPr>
            <w:r w:rsidRPr="00B75B77">
              <w:rPr>
                <w:rFonts w:ascii="Calibri" w:eastAsia="Times New Roman" w:hAnsi="Calibri"/>
                <w:b w:val="0"/>
                <w:color w:val="000000"/>
                <w:szCs w:val="18"/>
              </w:rPr>
              <w:t>Commercial Smart AC Saver</w:t>
            </w:r>
          </w:p>
        </w:tc>
        <w:tc>
          <w:tcPr>
            <w:tcW w:w="1199"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szCs w:val="18"/>
              </w:rPr>
              <w:t>0</w:t>
            </w:r>
          </w:p>
        </w:tc>
        <w:tc>
          <w:tcPr>
            <w:tcW w:w="1170"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szCs w:val="18"/>
              </w:rPr>
              <w:t>0.00</w:t>
            </w:r>
          </w:p>
        </w:tc>
        <w:tc>
          <w:tcPr>
            <w:tcW w:w="1411"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szCs w:val="18"/>
              </w:rPr>
              <w:t>0</w:t>
            </w:r>
          </w:p>
        </w:tc>
        <w:tc>
          <w:tcPr>
            <w:tcW w:w="1191"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szCs w:val="18"/>
              </w:rPr>
              <w:t>N/A</w:t>
            </w:r>
          </w:p>
        </w:tc>
        <w:tc>
          <w:tcPr>
            <w:tcW w:w="1502"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szCs w:val="18"/>
              </w:rPr>
              <w:t>0</w:t>
            </w:r>
          </w:p>
        </w:tc>
        <w:tc>
          <w:tcPr>
            <w:tcW w:w="1196"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szCs w:val="18"/>
              </w:rPr>
              <w:t>N/A</w:t>
            </w:r>
          </w:p>
        </w:tc>
      </w:tr>
      <w:tr w:rsidR="00625CF9" w:rsidRPr="00B75B77" w:rsidTr="00625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rsidR="00625CF9" w:rsidRPr="00B75B77" w:rsidRDefault="00625CF9" w:rsidP="00625CF9">
            <w:pPr>
              <w:jc w:val="left"/>
              <w:rPr>
                <w:rFonts w:ascii="Calibri" w:eastAsia="Times New Roman" w:hAnsi="Calibri"/>
                <w:color w:val="000000"/>
                <w:szCs w:val="18"/>
              </w:rPr>
            </w:pPr>
            <w:r w:rsidRPr="00B75B77">
              <w:rPr>
                <w:rFonts w:ascii="Calibri" w:eastAsia="Times New Roman" w:hAnsi="Calibri"/>
                <w:bCs w:val="0"/>
                <w:color w:val="000000"/>
                <w:szCs w:val="18"/>
              </w:rPr>
              <w:t>TOTAL PORTFOLIO</w:t>
            </w:r>
          </w:p>
        </w:tc>
        <w:tc>
          <w:tcPr>
            <w:tcW w:w="1199"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rPr>
                <w:b/>
                <w:szCs w:val="18"/>
              </w:rPr>
            </w:pPr>
            <w:r w:rsidRPr="00B75B77">
              <w:rPr>
                <w:b/>
                <w:szCs w:val="18"/>
              </w:rPr>
              <w:t>507,165</w:t>
            </w:r>
          </w:p>
        </w:tc>
        <w:tc>
          <w:tcPr>
            <w:tcW w:w="1170"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rPr>
                <w:b/>
                <w:szCs w:val="18"/>
              </w:rPr>
            </w:pPr>
            <w:r w:rsidRPr="00B75B77">
              <w:rPr>
                <w:b/>
                <w:szCs w:val="18"/>
              </w:rPr>
              <w:t>1.04</w:t>
            </w:r>
          </w:p>
        </w:tc>
        <w:tc>
          <w:tcPr>
            <w:tcW w:w="1411"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rPr>
                <w:b/>
                <w:szCs w:val="18"/>
              </w:rPr>
            </w:pPr>
            <w:r w:rsidRPr="00B75B77">
              <w:rPr>
                <w:b/>
                <w:szCs w:val="18"/>
              </w:rPr>
              <w:t>528,301</w:t>
            </w:r>
          </w:p>
        </w:tc>
        <w:tc>
          <w:tcPr>
            <w:tcW w:w="1191"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rPr>
                <w:b/>
                <w:szCs w:val="18"/>
              </w:rPr>
            </w:pPr>
            <w:r w:rsidRPr="00B75B77">
              <w:rPr>
                <w:b/>
                <w:szCs w:val="18"/>
              </w:rPr>
              <w:t>3%</w:t>
            </w:r>
          </w:p>
        </w:tc>
        <w:tc>
          <w:tcPr>
            <w:tcW w:w="1502"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rPr>
                <w:b/>
                <w:szCs w:val="18"/>
              </w:rPr>
            </w:pPr>
            <w:r w:rsidRPr="00B75B77">
              <w:rPr>
                <w:b/>
                <w:szCs w:val="18"/>
              </w:rPr>
              <w:t>1,090,505</w:t>
            </w:r>
          </w:p>
        </w:tc>
        <w:tc>
          <w:tcPr>
            <w:tcW w:w="1196"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rPr>
                <w:b/>
                <w:szCs w:val="18"/>
              </w:rPr>
            </w:pPr>
            <w:r w:rsidRPr="00B75B77">
              <w:rPr>
                <w:b/>
                <w:szCs w:val="18"/>
              </w:rPr>
              <w:t>1%</w:t>
            </w:r>
          </w:p>
        </w:tc>
      </w:tr>
      <w:tr w:rsidR="00625CF9" w:rsidRPr="00B75B77" w:rsidTr="00625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rsidR="00625CF9" w:rsidRPr="00B75B77" w:rsidRDefault="00625CF9" w:rsidP="00625CF9">
            <w:pPr>
              <w:jc w:val="left"/>
              <w:rPr>
                <w:rFonts w:ascii="Calibri" w:eastAsia="Times New Roman" w:hAnsi="Calibri"/>
                <w:b w:val="0"/>
                <w:bCs w:val="0"/>
                <w:color w:val="000000"/>
                <w:szCs w:val="18"/>
              </w:rPr>
            </w:pPr>
            <w:r w:rsidRPr="00B75B77">
              <w:rPr>
                <w:rFonts w:ascii="Calibri" w:eastAsia="Times New Roman" w:hAnsi="Calibri"/>
                <w:b w:val="0"/>
                <w:bCs w:val="0"/>
                <w:color w:val="000000"/>
                <w:szCs w:val="18"/>
              </w:rPr>
              <w:t>Phase I Carry-Over</w:t>
            </w:r>
          </w:p>
        </w:tc>
        <w:tc>
          <w:tcPr>
            <w:tcW w:w="1199"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rPr>
                <w:b/>
                <w:szCs w:val="18"/>
              </w:rPr>
            </w:pPr>
            <w:r w:rsidRPr="00B75B77">
              <w:rPr>
                <w:rFonts w:ascii="Calibri" w:eastAsia="Times New Roman" w:hAnsi="Calibri"/>
                <w:color w:val="000000"/>
                <w:szCs w:val="18"/>
              </w:rPr>
              <w:t>N/A</w:t>
            </w:r>
          </w:p>
        </w:tc>
        <w:tc>
          <w:tcPr>
            <w:tcW w:w="1170"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rPr>
                <w:b/>
                <w:szCs w:val="18"/>
              </w:rPr>
            </w:pPr>
            <w:r w:rsidRPr="00B75B77">
              <w:rPr>
                <w:szCs w:val="18"/>
              </w:rPr>
              <w:t>N/A</w:t>
            </w:r>
          </w:p>
        </w:tc>
        <w:tc>
          <w:tcPr>
            <w:tcW w:w="1411"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rPr>
                <w:b/>
                <w:szCs w:val="18"/>
              </w:rPr>
            </w:pPr>
            <w:r w:rsidRPr="00B75B77">
              <w:rPr>
                <w:szCs w:val="18"/>
              </w:rPr>
              <w:t>N/A</w:t>
            </w:r>
          </w:p>
        </w:tc>
        <w:tc>
          <w:tcPr>
            <w:tcW w:w="1191"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rPr>
                <w:b/>
                <w:szCs w:val="18"/>
              </w:rPr>
            </w:pPr>
            <w:r w:rsidRPr="00B75B77">
              <w:rPr>
                <w:szCs w:val="18"/>
              </w:rPr>
              <w:t>N/A</w:t>
            </w:r>
          </w:p>
        </w:tc>
        <w:tc>
          <w:tcPr>
            <w:tcW w:w="1502"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rPr>
                <w:b/>
                <w:szCs w:val="18"/>
              </w:rPr>
            </w:pPr>
            <w:r w:rsidRPr="00B75B77">
              <w:rPr>
                <w:szCs w:val="18"/>
              </w:rPr>
              <w:t>242,793</w:t>
            </w:r>
          </w:p>
        </w:tc>
        <w:tc>
          <w:tcPr>
            <w:tcW w:w="1196" w:type="dxa"/>
          </w:tcPr>
          <w:p w:rsidR="00625CF9" w:rsidRPr="00B75B77" w:rsidRDefault="00625CF9" w:rsidP="00625CF9">
            <w:pPr>
              <w:jc w:val="center"/>
              <w:cnfStyle w:val="000000100000" w:firstRow="0" w:lastRow="0" w:firstColumn="0" w:lastColumn="0" w:oddVBand="0" w:evenVBand="0" w:oddHBand="1" w:evenHBand="0" w:firstRowFirstColumn="0" w:firstRowLastColumn="0" w:lastRowFirstColumn="0" w:lastRowLastColumn="0"/>
              <w:rPr>
                <w:b/>
                <w:szCs w:val="18"/>
              </w:rPr>
            </w:pPr>
            <w:r w:rsidRPr="00B75B77">
              <w:rPr>
                <w:szCs w:val="18"/>
              </w:rPr>
              <w:t>N/A</w:t>
            </w:r>
          </w:p>
        </w:tc>
      </w:tr>
      <w:tr w:rsidR="00625CF9" w:rsidRPr="00B75B77" w:rsidTr="00625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rsidR="00625CF9" w:rsidRPr="00B75B77" w:rsidRDefault="00625CF9" w:rsidP="00625CF9">
            <w:pPr>
              <w:jc w:val="left"/>
              <w:rPr>
                <w:rFonts w:ascii="Calibri" w:eastAsia="Times New Roman" w:hAnsi="Calibri"/>
                <w:bCs w:val="0"/>
                <w:color w:val="000000"/>
                <w:szCs w:val="18"/>
              </w:rPr>
            </w:pPr>
            <w:r w:rsidRPr="00B75B77">
              <w:rPr>
                <w:rFonts w:ascii="Calibri" w:eastAsia="Times New Roman" w:hAnsi="Calibri"/>
                <w:bCs w:val="0"/>
                <w:color w:val="000000"/>
                <w:szCs w:val="18"/>
              </w:rPr>
              <w:t>Total Phase II+CO</w:t>
            </w:r>
          </w:p>
        </w:tc>
        <w:tc>
          <w:tcPr>
            <w:tcW w:w="1199"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color w:val="000000"/>
                <w:szCs w:val="18"/>
              </w:rPr>
            </w:pPr>
            <w:r w:rsidRPr="00B75B77">
              <w:rPr>
                <w:rFonts w:ascii="Calibri" w:eastAsia="Times New Roman" w:hAnsi="Calibri"/>
                <w:b/>
                <w:color w:val="000000"/>
                <w:szCs w:val="18"/>
              </w:rPr>
              <w:t>N/A</w:t>
            </w:r>
          </w:p>
        </w:tc>
        <w:tc>
          <w:tcPr>
            <w:tcW w:w="1170"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rPr>
                <w:b/>
                <w:szCs w:val="18"/>
              </w:rPr>
            </w:pPr>
            <w:r w:rsidRPr="00B75B77">
              <w:rPr>
                <w:b/>
                <w:szCs w:val="18"/>
              </w:rPr>
              <w:t>N/A</w:t>
            </w:r>
          </w:p>
        </w:tc>
        <w:tc>
          <w:tcPr>
            <w:tcW w:w="1411"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rPr>
                <w:b/>
                <w:szCs w:val="18"/>
              </w:rPr>
            </w:pPr>
            <w:r w:rsidRPr="00B75B77">
              <w:rPr>
                <w:b/>
                <w:szCs w:val="18"/>
              </w:rPr>
              <w:t>N/A</w:t>
            </w:r>
          </w:p>
        </w:tc>
        <w:tc>
          <w:tcPr>
            <w:tcW w:w="1191"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rPr>
                <w:b/>
                <w:szCs w:val="18"/>
              </w:rPr>
            </w:pPr>
            <w:r w:rsidRPr="00B75B77">
              <w:rPr>
                <w:b/>
                <w:szCs w:val="18"/>
              </w:rPr>
              <w:t>N/A</w:t>
            </w:r>
          </w:p>
        </w:tc>
        <w:tc>
          <w:tcPr>
            <w:tcW w:w="1502"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rPr>
                <w:b/>
                <w:szCs w:val="18"/>
              </w:rPr>
            </w:pPr>
            <w:r w:rsidRPr="00B75B77">
              <w:rPr>
                <w:b/>
                <w:szCs w:val="18"/>
              </w:rPr>
              <w:t>1,333,298</w:t>
            </w:r>
          </w:p>
        </w:tc>
        <w:tc>
          <w:tcPr>
            <w:tcW w:w="1196" w:type="dxa"/>
          </w:tcPr>
          <w:p w:rsidR="00625CF9" w:rsidRPr="00B75B77" w:rsidRDefault="00625CF9" w:rsidP="00625CF9">
            <w:pPr>
              <w:jc w:val="center"/>
              <w:cnfStyle w:val="000000010000" w:firstRow="0" w:lastRow="0" w:firstColumn="0" w:lastColumn="0" w:oddVBand="0" w:evenVBand="0" w:oddHBand="0" w:evenHBand="1" w:firstRowFirstColumn="0" w:firstRowLastColumn="0" w:lastRowFirstColumn="0" w:lastRowLastColumn="0"/>
              <w:rPr>
                <w:b/>
                <w:szCs w:val="18"/>
              </w:rPr>
            </w:pPr>
            <w:r w:rsidRPr="00B75B77">
              <w:rPr>
                <w:b/>
                <w:szCs w:val="18"/>
              </w:rPr>
              <w:t>N/A</w:t>
            </w:r>
          </w:p>
        </w:tc>
      </w:tr>
    </w:tbl>
    <w:p w:rsidR="000C1E59" w:rsidRPr="00B75B77" w:rsidRDefault="00625CF9" w:rsidP="00F94CBE">
      <w:pPr>
        <w:pStyle w:val="Source"/>
        <w:spacing w:after="0"/>
        <w:rPr>
          <w:i w:val="0"/>
        </w:rPr>
      </w:pPr>
      <w:r w:rsidRPr="00B75B77">
        <w:rPr>
          <w:i w:val="0"/>
          <w:vertAlign w:val="superscript"/>
        </w:rPr>
        <w:t xml:space="preserve"> </w:t>
      </w:r>
      <w:r w:rsidR="000C1E59" w:rsidRPr="00B75B77">
        <w:rPr>
          <w:i w:val="0"/>
          <w:vertAlign w:val="superscript"/>
        </w:rPr>
        <w:t>[1]</w:t>
      </w:r>
      <w:r w:rsidR="000C1E59" w:rsidRPr="00B75B77">
        <w:rPr>
          <w:i w:val="0"/>
        </w:rPr>
        <w:t xml:space="preserve"> At the 85% confidence level</w:t>
      </w:r>
    </w:p>
    <w:p w:rsidR="000C1E59" w:rsidRPr="00B75B77" w:rsidRDefault="000C1E59" w:rsidP="00F94CBE">
      <w:pPr>
        <w:pStyle w:val="Source"/>
        <w:spacing w:after="0"/>
        <w:rPr>
          <w:rStyle w:val="Strong"/>
          <w:b w:val="0"/>
          <w:bCs w:val="0"/>
          <w:i w:val="0"/>
        </w:rPr>
      </w:pPr>
      <w:r w:rsidRPr="00B75B77">
        <w:rPr>
          <w:i w:val="0"/>
        </w:rPr>
        <w:t xml:space="preserve"> </w:t>
      </w:r>
      <w:r w:rsidRPr="00B75B77">
        <w:rPr>
          <w:i w:val="0"/>
          <w:vertAlign w:val="superscript"/>
        </w:rPr>
        <w:t>[2]</w:t>
      </w:r>
      <w:r w:rsidRPr="00B75B77">
        <w:rPr>
          <w:i w:val="0"/>
        </w:rPr>
        <w:t xml:space="preserve"> At the 90% confidence level</w:t>
      </w:r>
    </w:p>
    <w:p w:rsidR="000C1E59" w:rsidRPr="00B75B77" w:rsidRDefault="000C1E59" w:rsidP="00F94CBE">
      <w:pPr>
        <w:pStyle w:val="Source"/>
        <w:spacing w:before="20" w:after="20"/>
        <w:ind w:left="187" w:firstLine="0"/>
        <w:rPr>
          <w:rStyle w:val="Strong"/>
          <w:b w:val="0"/>
          <w:bCs w:val="0"/>
          <w:i w:val="0"/>
        </w:rPr>
      </w:pPr>
      <w:r w:rsidRPr="00B75B77">
        <w:rPr>
          <w:rStyle w:val="Strong"/>
          <w:b w:val="0"/>
          <w:bCs w:val="0"/>
          <w:i w:val="0"/>
        </w:rPr>
        <w:t xml:space="preserve">Note: </w:t>
      </w:r>
      <w:r w:rsidRPr="00B75B77">
        <w:rPr>
          <w:rFonts w:ascii="Calibri" w:hAnsi="Calibri"/>
          <w:i w:val="0"/>
          <w:iCs/>
          <w:color w:val="000000"/>
          <w:szCs w:val="18"/>
        </w:rPr>
        <w:t>Values in tables may not reconcile exactly with the sum of more detailed level results or previously reported results due to rounding.</w:t>
      </w:r>
    </w:p>
    <w:p w:rsidR="000C1E59" w:rsidRPr="00B75B77" w:rsidRDefault="000C1E59" w:rsidP="00F94CBE">
      <w:pPr>
        <w:pStyle w:val="Source"/>
      </w:pPr>
      <w:r w:rsidRPr="00B75B77">
        <w:rPr>
          <w:rStyle w:val="Strong"/>
          <w:b w:val="0"/>
          <w:bCs w:val="0"/>
        </w:rPr>
        <w:t>Source: Navigant analysis</w:t>
      </w:r>
      <w:bookmarkStart w:id="111" w:name="_Toc390682404"/>
      <w:bookmarkStart w:id="112" w:name="_Toc389747542"/>
      <w:bookmarkStart w:id="113" w:name="_Toc390175488"/>
      <w:bookmarkStart w:id="114" w:name="_Toc390943350"/>
      <w:bookmarkStart w:id="115" w:name="_Toc390947279"/>
      <w:bookmarkStart w:id="116" w:name="_Toc453075169"/>
    </w:p>
    <w:p w:rsidR="000C1E59" w:rsidRPr="00B75B77" w:rsidRDefault="000C1E59" w:rsidP="00F94CBE">
      <w:pPr>
        <w:pStyle w:val="Heading2"/>
      </w:pPr>
      <w:r w:rsidRPr="00B75B77">
        <w:t xml:space="preserve"> </w:t>
      </w:r>
      <w:bookmarkStart w:id="117" w:name="_Toc466413263"/>
      <w:r w:rsidRPr="00B75B77">
        <w:t>Summary of Fuel Switching Impacts</w:t>
      </w:r>
      <w:bookmarkEnd w:id="111"/>
      <w:bookmarkEnd w:id="112"/>
      <w:bookmarkEnd w:id="113"/>
      <w:bookmarkEnd w:id="114"/>
      <w:bookmarkEnd w:id="115"/>
      <w:bookmarkEnd w:id="116"/>
      <w:bookmarkEnd w:id="117"/>
    </w:p>
    <w:p w:rsidR="005279FF" w:rsidRPr="00B75B77" w:rsidRDefault="005279FF" w:rsidP="00616468">
      <w:pPr>
        <w:spacing w:after="120"/>
      </w:pPr>
      <w:r w:rsidRPr="00B75B77">
        <w:t>PECO customers completed projects in PY7 in which services originally provided by electricity were converted to run on natural gas (i.e. “fuel switching measures”</w:t>
      </w:r>
      <w:r w:rsidRPr="00B75B77">
        <w:rPr>
          <w:vertAlign w:val="superscript"/>
        </w:rPr>
        <w:footnoteReference w:id="11"/>
      </w:r>
      <w:r w:rsidRPr="00B75B77">
        <w:t>). In PY5 and PY7, the Smart Home Rebate (SHR) and Smart On-Site (SOS) programs included fuel-switching measures, but in PY6 only SHR included fuel switching measures. Fuel switching measures in the phase included:</w:t>
      </w:r>
    </w:p>
    <w:p w:rsidR="005279FF" w:rsidRPr="00B75B77" w:rsidRDefault="005279FF" w:rsidP="005279FF">
      <w:pPr>
        <w:pStyle w:val="ListParagraph"/>
        <w:numPr>
          <w:ilvl w:val="0"/>
          <w:numId w:val="110"/>
        </w:numPr>
        <w:spacing w:after="200" w:line="276" w:lineRule="auto"/>
      </w:pPr>
      <w:r w:rsidRPr="00B75B77">
        <w:t>Combined heat and power</w:t>
      </w:r>
    </w:p>
    <w:p w:rsidR="000C1E59" w:rsidRPr="00B75B77" w:rsidRDefault="000C1E59" w:rsidP="009E08FB">
      <w:pPr>
        <w:pStyle w:val="ListParagraph"/>
        <w:numPr>
          <w:ilvl w:val="0"/>
          <w:numId w:val="110"/>
        </w:numPr>
        <w:spacing w:after="200" w:line="276" w:lineRule="auto"/>
      </w:pPr>
      <w:r w:rsidRPr="00B75B77">
        <w:t>Electric heat to gas/propane/oil heat (ASHP to gas)</w:t>
      </w:r>
    </w:p>
    <w:p w:rsidR="000C1E59" w:rsidRPr="00B75B77" w:rsidRDefault="000C1E59" w:rsidP="009E08FB">
      <w:pPr>
        <w:pStyle w:val="ListParagraph"/>
        <w:numPr>
          <w:ilvl w:val="0"/>
          <w:numId w:val="110"/>
        </w:numPr>
        <w:spacing w:after="200" w:line="276" w:lineRule="auto"/>
      </w:pPr>
      <w:r w:rsidRPr="00B75B77">
        <w:t xml:space="preserve">Electric Heat to gas/propane/oil heat (electric baseboard/electric furnace) </w:t>
      </w:r>
    </w:p>
    <w:p w:rsidR="000C1E59" w:rsidRPr="00B75B77" w:rsidRDefault="000C1E59" w:rsidP="009E08FB">
      <w:pPr>
        <w:pStyle w:val="ListParagraph"/>
        <w:numPr>
          <w:ilvl w:val="0"/>
          <w:numId w:val="110"/>
        </w:numPr>
        <w:spacing w:after="200" w:line="276" w:lineRule="auto"/>
      </w:pPr>
      <w:r w:rsidRPr="00B75B77">
        <w:t>Electric domestic hot water (DHW) heater to gas</w:t>
      </w:r>
    </w:p>
    <w:p w:rsidR="000C1E59" w:rsidRPr="00B75B77" w:rsidRDefault="000C1E59" w:rsidP="00616468">
      <w:pPr>
        <w:pStyle w:val="ListParagraph"/>
        <w:numPr>
          <w:ilvl w:val="0"/>
          <w:numId w:val="110"/>
        </w:numPr>
        <w:spacing w:line="276" w:lineRule="auto"/>
      </w:pPr>
      <w:r w:rsidRPr="00B75B77">
        <w:lastRenderedPageBreak/>
        <w:t>Electric clothes dryer to gas</w:t>
      </w:r>
    </w:p>
    <w:p w:rsidR="005279FF" w:rsidRPr="00B75B77" w:rsidRDefault="005279FF" w:rsidP="005279FF">
      <w:r w:rsidRPr="00B75B77">
        <w:t xml:space="preserve">Total </w:t>
      </w:r>
      <w:r w:rsidR="002D3689" w:rsidRPr="00B75B77">
        <w:t xml:space="preserve">verified gross </w:t>
      </w:r>
      <w:r w:rsidRPr="00B75B77">
        <w:t xml:space="preserve">energy and demand savings for SHR fuel-switching measures </w:t>
      </w:r>
      <w:r w:rsidR="00F50810" w:rsidRPr="00B75B77">
        <w:t xml:space="preserve">in PY7 </w:t>
      </w:r>
      <w:r w:rsidRPr="00B75B77">
        <w:t xml:space="preserve">were 783 MWh and 0.02 MW. The total </w:t>
      </w:r>
      <w:r w:rsidR="002D3689" w:rsidRPr="00B75B77">
        <w:t xml:space="preserve">verified gross </w:t>
      </w:r>
      <w:r w:rsidRPr="00B75B77">
        <w:t xml:space="preserve">energy and demand savings for SOS fuel-switching measures </w:t>
      </w:r>
      <w:r w:rsidR="00F50810" w:rsidRPr="00B75B77">
        <w:t xml:space="preserve">in PY7 </w:t>
      </w:r>
      <w:r w:rsidRPr="00B75B77">
        <w:t xml:space="preserve">were 29,621 MWh and 3.9 MW. This brings </w:t>
      </w:r>
      <w:r w:rsidR="0028325C" w:rsidRPr="00B75B77">
        <w:t xml:space="preserve">PECO’s </w:t>
      </w:r>
      <w:r w:rsidRPr="00B75B77">
        <w:t xml:space="preserve">total </w:t>
      </w:r>
      <w:r w:rsidR="002D3689" w:rsidRPr="00B75B77">
        <w:t xml:space="preserve">verified gross </w:t>
      </w:r>
      <w:r w:rsidRPr="00B75B77">
        <w:t>savings for fuel-switching</w:t>
      </w:r>
      <w:r w:rsidR="002D3689" w:rsidRPr="00B75B77">
        <w:t xml:space="preserve"> measures</w:t>
      </w:r>
      <w:r w:rsidRPr="00B75B77">
        <w:t xml:space="preserve"> in PY7 to 30,410 MWh and 3.9 MW.</w:t>
      </w:r>
      <w:r w:rsidR="00886BF5" w:rsidRPr="00B75B77">
        <w:t xml:space="preserve"> </w:t>
      </w:r>
      <w:r w:rsidRPr="00B75B77">
        <w:t xml:space="preserve">The </w:t>
      </w:r>
      <w:r w:rsidR="00AD38F9" w:rsidRPr="00B75B77">
        <w:t>ex-ante</w:t>
      </w:r>
      <w:r w:rsidRPr="00B75B77">
        <w:t xml:space="preserve"> and verified savings were based on the 2015 TRM</w:t>
      </w:r>
      <w:r w:rsidRPr="00B75B77">
        <w:rPr>
          <w:vertAlign w:val="superscript"/>
        </w:rPr>
        <w:footnoteReference w:id="12"/>
      </w:r>
      <w:r w:rsidRPr="00B75B77">
        <w:rPr>
          <w:vertAlign w:val="superscript"/>
        </w:rPr>
        <w:t xml:space="preserve"> </w:t>
      </w:r>
      <w:r w:rsidRPr="00B75B77">
        <w:t>algorithms. The total value of rebates for fuel-switching measures was $56,350 for SHR and $1,546,660 for SOS, for a total of $1,603,010 in fuel-switching rebates in PY7.</w:t>
      </w:r>
    </w:p>
    <w:p w:rsidR="000C1E59" w:rsidRPr="00B75B77" w:rsidRDefault="000C1E59" w:rsidP="00E86423"/>
    <w:p w:rsidR="000C1E59" w:rsidRPr="00B75B77" w:rsidRDefault="000C1E59" w:rsidP="00037FA3">
      <w:pPr>
        <w:pStyle w:val="Heading2"/>
      </w:pPr>
      <w:bookmarkStart w:id="118" w:name="_Toc390682405"/>
      <w:bookmarkStart w:id="119" w:name="_Toc389747543"/>
      <w:bookmarkStart w:id="120" w:name="_Toc390947280"/>
      <w:bookmarkStart w:id="121" w:name="_Toc390175489"/>
      <w:bookmarkStart w:id="122" w:name="_Toc390943351"/>
      <w:bookmarkStart w:id="123" w:name="_Toc453075170"/>
      <w:bookmarkStart w:id="124" w:name="_Ref464587653"/>
      <w:bookmarkStart w:id="125" w:name="_Toc466413264"/>
      <w:r w:rsidRPr="00B75B77">
        <w:t>Summary of Demand Impacts</w:t>
      </w:r>
      <w:bookmarkEnd w:id="118"/>
      <w:bookmarkEnd w:id="119"/>
      <w:bookmarkEnd w:id="120"/>
      <w:bookmarkEnd w:id="121"/>
      <w:bookmarkEnd w:id="122"/>
      <w:bookmarkEnd w:id="123"/>
      <w:bookmarkEnd w:id="124"/>
      <w:bookmarkEnd w:id="125"/>
      <w:r w:rsidRPr="00B75B77">
        <w:t xml:space="preserve"> </w:t>
      </w:r>
    </w:p>
    <w:p w:rsidR="000C1E59" w:rsidRPr="00B75B77" w:rsidRDefault="000C1E59" w:rsidP="00037FA3">
      <w:pPr>
        <w:keepNext/>
      </w:pPr>
      <w:bookmarkStart w:id="126" w:name="_Ref253480552"/>
      <w:bookmarkStart w:id="127" w:name="_Ref325678999"/>
      <w:bookmarkStart w:id="128" w:name="_Ref390947645"/>
      <w:r w:rsidRPr="00B75B77">
        <w:t xml:space="preserve">A summary of the reported and verified demand reduction by program for PY7 is presented in </w:t>
      </w:r>
      <w:r w:rsidRPr="00B75B77">
        <w:fldChar w:fldCharType="begin"/>
      </w:r>
      <w:r w:rsidRPr="00B75B77">
        <w:instrText xml:space="preserve"> REF _Ref448933373 \h </w:instrText>
      </w:r>
      <w:r w:rsidR="00B75B77">
        <w:instrText xml:space="preserve"> \* MERGEFORMAT </w:instrText>
      </w:r>
      <w:r w:rsidRPr="00B75B77">
        <w:fldChar w:fldCharType="separate"/>
      </w:r>
      <w:r w:rsidR="0004016D" w:rsidRPr="00B75B77">
        <w:t xml:space="preserve">Figure </w:t>
      </w:r>
      <w:r w:rsidR="0004016D">
        <w:rPr>
          <w:noProof/>
        </w:rPr>
        <w:t>1</w:t>
      </w:r>
      <w:r w:rsidR="0004016D" w:rsidRPr="00B75B77">
        <w:rPr>
          <w:noProof/>
        </w:rPr>
        <w:noBreakHyphen/>
      </w:r>
      <w:r w:rsidR="0004016D">
        <w:rPr>
          <w:noProof/>
        </w:rPr>
        <w:t>6</w:t>
      </w:r>
      <w:r w:rsidRPr="00B75B77">
        <w:fldChar w:fldCharType="end"/>
      </w:r>
      <w:r w:rsidRPr="00B75B77">
        <w:t xml:space="preserve">. The impacts below reflect the line loss factors shown in </w:t>
      </w:r>
      <w:r w:rsidR="002C3D01" w:rsidRPr="00B75B77">
        <w:fldChar w:fldCharType="begin"/>
      </w:r>
      <w:r w:rsidR="002C3D01" w:rsidRPr="00B75B77">
        <w:instrText xml:space="preserve"> REF _Ref464563593 \h </w:instrText>
      </w:r>
      <w:r w:rsidR="00B75B77">
        <w:instrText xml:space="preserve"> \* MERGEFORMAT </w:instrText>
      </w:r>
      <w:r w:rsidR="002C3D01" w:rsidRPr="00B75B77">
        <w:fldChar w:fldCharType="separate"/>
      </w:r>
      <w:r w:rsidR="0004016D" w:rsidRPr="00B75B77">
        <w:t xml:space="preserve">Table </w:t>
      </w:r>
      <w:r w:rsidR="0004016D">
        <w:rPr>
          <w:noProof/>
        </w:rPr>
        <w:t>1</w:t>
      </w:r>
      <w:r w:rsidR="0004016D" w:rsidRPr="00B75B77">
        <w:rPr>
          <w:noProof/>
        </w:rPr>
        <w:noBreakHyphen/>
      </w:r>
      <w:r w:rsidR="0004016D">
        <w:rPr>
          <w:noProof/>
        </w:rPr>
        <w:t>16</w:t>
      </w:r>
      <w:r w:rsidR="002C3D01" w:rsidRPr="00B75B77">
        <w:fldChar w:fldCharType="end"/>
      </w:r>
      <w:r w:rsidRPr="00B75B77">
        <w:t>.</w:t>
      </w:r>
    </w:p>
    <w:p w:rsidR="000C1E59" w:rsidRPr="00B75B77" w:rsidRDefault="000C1E59" w:rsidP="00037FA3"/>
    <w:p w:rsidR="000C1E59" w:rsidRPr="00B75B77" w:rsidRDefault="000C1E59" w:rsidP="007D4A93">
      <w:pPr>
        <w:pStyle w:val="Caption"/>
      </w:pPr>
      <w:bookmarkStart w:id="129" w:name="_Ref448933373"/>
      <w:bookmarkStart w:id="130" w:name="_Toc449689428"/>
      <w:bookmarkStart w:id="131" w:name="_Toc466413664"/>
      <w:bookmarkEnd w:id="126"/>
      <w:bookmarkEnd w:id="127"/>
      <w:bookmarkEnd w:id="128"/>
      <w:r w:rsidRPr="00B75B77">
        <w:t xml:space="preserve">Figure </w:t>
      </w:r>
      <w:fldSimple w:instr=" STYLEREF 1 \s ">
        <w:r w:rsidR="0004016D">
          <w:rPr>
            <w:noProof/>
          </w:rPr>
          <w:t>1</w:t>
        </w:r>
      </w:fldSimple>
      <w:r w:rsidRPr="00B75B77">
        <w:noBreakHyphen/>
      </w:r>
      <w:fldSimple w:instr=" SEQ Figure \* ARABIC \s 1 ">
        <w:r w:rsidR="0004016D">
          <w:rPr>
            <w:noProof/>
          </w:rPr>
          <w:t>6</w:t>
        </w:r>
      </w:fldSimple>
      <w:bookmarkEnd w:id="129"/>
      <w:r w:rsidRPr="00B75B77">
        <w:t>: PYTD Reported and Verified Gross Demand Reduction by Program</w:t>
      </w:r>
      <w:bookmarkEnd w:id="130"/>
      <w:bookmarkEnd w:id="131"/>
    </w:p>
    <w:p w:rsidR="000C1E59" w:rsidRPr="00B75B77" w:rsidRDefault="000C1E59" w:rsidP="00F94CBE">
      <w:pPr>
        <w:ind w:hanging="270"/>
        <w:jc w:val="left"/>
      </w:pPr>
      <w:bookmarkStart w:id="132" w:name="_MON_1398837405"/>
      <w:bookmarkStart w:id="133" w:name="_MON_1393658522"/>
      <w:bookmarkStart w:id="134" w:name="_MON_1399296488"/>
      <w:bookmarkStart w:id="135" w:name="_MON_1399107607"/>
      <w:bookmarkStart w:id="136" w:name="_MON_1399107637"/>
      <w:bookmarkEnd w:id="132"/>
      <w:bookmarkEnd w:id="133"/>
      <w:bookmarkEnd w:id="134"/>
      <w:bookmarkEnd w:id="135"/>
      <w:bookmarkEnd w:id="136"/>
      <w:r w:rsidRPr="00B75B77">
        <w:rPr>
          <w:noProof/>
        </w:rPr>
        <w:drawing>
          <wp:inline distT="0" distB="0" distL="0" distR="0" wp14:anchorId="6E5EDBFC" wp14:editId="482A46C3">
            <wp:extent cx="6803390" cy="5039995"/>
            <wp:effectExtent l="0" t="0" r="0" b="8255"/>
            <wp:docPr id="327" name="Chart 3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C1E59" w:rsidRPr="00B75B77" w:rsidRDefault="000C1E59" w:rsidP="00F94CBE">
      <w:pPr>
        <w:pStyle w:val="Source"/>
      </w:pPr>
      <w:r w:rsidRPr="00B75B77">
        <w:rPr>
          <w:rStyle w:val="Strong"/>
          <w:b w:val="0"/>
          <w:bCs w:val="0"/>
        </w:rPr>
        <w:t>Source: Navigant analysis</w:t>
      </w:r>
    </w:p>
    <w:p w:rsidR="000C1E59" w:rsidRPr="00B75B77" w:rsidRDefault="000C1E59" w:rsidP="005D5951">
      <w:pPr>
        <w:keepNext/>
      </w:pPr>
      <w:r w:rsidRPr="00B75B77">
        <w:lastRenderedPageBreak/>
        <w:t xml:space="preserve">A summary of the cumulative reported and verified demand reduction by program is presented in </w:t>
      </w:r>
      <w:r w:rsidRPr="00B75B77">
        <w:fldChar w:fldCharType="begin"/>
      </w:r>
      <w:r w:rsidRPr="00B75B77">
        <w:instrText xml:space="preserve"> REF _Ref448933387 \h </w:instrText>
      </w:r>
      <w:r w:rsidR="00B75B77">
        <w:instrText xml:space="preserve"> \* MERGEFORMAT </w:instrText>
      </w:r>
      <w:r w:rsidRPr="00B75B77">
        <w:fldChar w:fldCharType="separate"/>
      </w:r>
      <w:r w:rsidR="0004016D" w:rsidRPr="00B75B77">
        <w:t xml:space="preserve">Figure </w:t>
      </w:r>
      <w:r w:rsidR="0004016D">
        <w:rPr>
          <w:noProof/>
        </w:rPr>
        <w:t>1</w:t>
      </w:r>
      <w:r w:rsidR="0004016D" w:rsidRPr="00B75B77">
        <w:rPr>
          <w:noProof/>
        </w:rPr>
        <w:noBreakHyphen/>
      </w:r>
      <w:r w:rsidR="0004016D">
        <w:rPr>
          <w:noProof/>
        </w:rPr>
        <w:t>7</w:t>
      </w:r>
      <w:r w:rsidRPr="00B75B77">
        <w:fldChar w:fldCharType="end"/>
      </w:r>
      <w:r w:rsidRPr="00B75B77">
        <w:t xml:space="preserve">. </w:t>
      </w:r>
    </w:p>
    <w:p w:rsidR="000C1E59" w:rsidRPr="00B75B77" w:rsidRDefault="000C1E59" w:rsidP="005D5951">
      <w:pPr>
        <w:keepNext/>
      </w:pPr>
    </w:p>
    <w:p w:rsidR="000C1E59" w:rsidRPr="00B75B77" w:rsidRDefault="000C1E59" w:rsidP="007D4A93">
      <w:pPr>
        <w:pStyle w:val="Caption"/>
      </w:pPr>
      <w:bookmarkStart w:id="137" w:name="_Ref448933387"/>
      <w:bookmarkStart w:id="138" w:name="_Toc449689429"/>
      <w:bookmarkStart w:id="139" w:name="_Toc466413665"/>
      <w:r w:rsidRPr="00B75B77">
        <w:t xml:space="preserve">Figure </w:t>
      </w:r>
      <w:fldSimple w:instr=" STYLEREF 1 \s ">
        <w:r w:rsidR="0004016D">
          <w:rPr>
            <w:noProof/>
          </w:rPr>
          <w:t>1</w:t>
        </w:r>
      </w:fldSimple>
      <w:r w:rsidRPr="00B75B77">
        <w:noBreakHyphen/>
      </w:r>
      <w:fldSimple w:instr=" SEQ Figure \* ARABIC \s 1 ">
        <w:r w:rsidR="0004016D">
          <w:rPr>
            <w:noProof/>
          </w:rPr>
          <w:t>7</w:t>
        </w:r>
      </w:fldSimple>
      <w:bookmarkEnd w:id="137"/>
      <w:r w:rsidRPr="00B75B77">
        <w:t>: Phase II Reported and Verified Gross Demand Reduction by Program</w:t>
      </w:r>
      <w:bookmarkEnd w:id="138"/>
      <w:bookmarkEnd w:id="139"/>
    </w:p>
    <w:p w:rsidR="000C1E59" w:rsidRPr="00B75B77" w:rsidRDefault="000C1E59" w:rsidP="00567E28">
      <w:pPr>
        <w:jc w:val="center"/>
      </w:pPr>
      <w:bookmarkStart w:id="140" w:name="_MON_1393658575"/>
      <w:bookmarkStart w:id="141" w:name="_MON_1399296439"/>
      <w:bookmarkStart w:id="142" w:name="_MON_1399296504"/>
      <w:bookmarkStart w:id="143" w:name="_MON_1399296562"/>
      <w:bookmarkStart w:id="144" w:name="_MON_1399296569"/>
      <w:bookmarkStart w:id="145" w:name="_MON_1399296615"/>
      <w:bookmarkEnd w:id="140"/>
      <w:bookmarkEnd w:id="141"/>
      <w:bookmarkEnd w:id="142"/>
      <w:bookmarkEnd w:id="143"/>
      <w:bookmarkEnd w:id="144"/>
      <w:bookmarkEnd w:id="145"/>
      <w:r w:rsidRPr="00B75B77">
        <w:rPr>
          <w:noProof/>
        </w:rPr>
        <w:drawing>
          <wp:inline distT="0" distB="0" distL="0" distR="0" wp14:anchorId="18E97631" wp14:editId="4F67F6FD">
            <wp:extent cx="6335304" cy="6835775"/>
            <wp:effectExtent l="0" t="0" r="8890" b="3175"/>
            <wp:docPr id="328" name="Chart 3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C1E59" w:rsidRPr="00B75B77" w:rsidRDefault="000C1E59" w:rsidP="00F94CBE">
      <w:pPr>
        <w:pStyle w:val="Source"/>
      </w:pPr>
      <w:r w:rsidRPr="00B75B77">
        <w:rPr>
          <w:rStyle w:val="Strong"/>
          <w:b w:val="0"/>
          <w:bCs w:val="0"/>
        </w:rPr>
        <w:t>Source: Navigant analysis</w:t>
      </w:r>
    </w:p>
    <w:p w:rsidR="000C1E59" w:rsidRPr="00B75B77" w:rsidRDefault="000C1E59" w:rsidP="00567E28">
      <w:pPr>
        <w:jc w:val="center"/>
      </w:pPr>
    </w:p>
    <w:p w:rsidR="0004016D" w:rsidRPr="00B75B77" w:rsidRDefault="000C1E59" w:rsidP="005279FF">
      <w:bookmarkStart w:id="146" w:name="_Ref253150487"/>
      <w:bookmarkStart w:id="147" w:name="_Ref390947723"/>
      <w:r w:rsidRPr="00B75B77">
        <w:t xml:space="preserve">A summary of demand reduction impacts by program through PY7 is presented in </w:t>
      </w:r>
      <w:r w:rsidR="00F1144C" w:rsidRPr="00B75B77">
        <w:fldChar w:fldCharType="begin"/>
      </w:r>
      <w:r w:rsidR="00F1144C" w:rsidRPr="00B75B77">
        <w:instrText xml:space="preserve"> REF _Ref464563050 \h </w:instrText>
      </w:r>
      <w:r w:rsidR="00B75B77">
        <w:instrText xml:space="preserve"> \* MERGEFORMAT </w:instrText>
      </w:r>
      <w:r w:rsidR="00F1144C" w:rsidRPr="00B75B77">
        <w:fldChar w:fldCharType="separate"/>
      </w:r>
      <w:r w:rsidR="0004016D" w:rsidRPr="00B75B77">
        <w:t xml:space="preserve">Table </w:t>
      </w:r>
      <w:r w:rsidR="0004016D">
        <w:rPr>
          <w:noProof/>
        </w:rPr>
        <w:t>1</w:t>
      </w:r>
      <w:r w:rsidR="0004016D" w:rsidRPr="00B75B77">
        <w:rPr>
          <w:noProof/>
        </w:rPr>
        <w:noBreakHyphen/>
      </w:r>
      <w:r w:rsidR="0004016D">
        <w:rPr>
          <w:noProof/>
        </w:rPr>
        <w:t>12</w:t>
      </w:r>
      <w:r w:rsidR="00F1144C" w:rsidRPr="00B75B77">
        <w:fldChar w:fldCharType="end"/>
      </w:r>
      <w:r w:rsidRPr="00B75B77">
        <w:t xml:space="preserve"> and</w:t>
      </w:r>
      <w:r w:rsidR="00E511B9" w:rsidRPr="00B75B77">
        <w:rPr>
          <w:noProof/>
        </w:rPr>
        <w:t xml:space="preserve"> </w:t>
      </w:r>
      <w:r w:rsidR="00E511B9" w:rsidRPr="00B75B77">
        <w:rPr>
          <w:noProof/>
        </w:rPr>
        <w:fldChar w:fldCharType="begin"/>
      </w:r>
      <w:r w:rsidR="00E511B9" w:rsidRPr="00B75B77">
        <w:rPr>
          <w:noProof/>
        </w:rPr>
        <w:instrText xml:space="preserve"> REF _Ref464597281 \h </w:instrText>
      </w:r>
      <w:r w:rsidR="00B75B77">
        <w:rPr>
          <w:noProof/>
        </w:rPr>
        <w:instrText xml:space="preserve"> \* MERGEFORMAT </w:instrText>
      </w:r>
      <w:r w:rsidR="00E511B9" w:rsidRPr="00B75B77">
        <w:rPr>
          <w:noProof/>
        </w:rPr>
      </w:r>
      <w:r w:rsidR="00E511B9" w:rsidRPr="00B75B77">
        <w:rPr>
          <w:noProof/>
        </w:rPr>
        <w:fldChar w:fldCharType="separate"/>
      </w:r>
      <w:r w:rsidR="0004016D" w:rsidRPr="00B75B77">
        <w:t xml:space="preserve">Table </w:t>
      </w:r>
      <w:r w:rsidR="0004016D">
        <w:rPr>
          <w:noProof/>
        </w:rPr>
        <w:t>1</w:t>
      </w:r>
      <w:r w:rsidR="0004016D" w:rsidRPr="00B75B77">
        <w:rPr>
          <w:noProof/>
        </w:rPr>
        <w:noBreakHyphen/>
      </w:r>
      <w:r w:rsidR="0004016D">
        <w:rPr>
          <w:noProof/>
        </w:rPr>
        <w:t>13</w:t>
      </w:r>
      <w:r w:rsidR="00E511B9" w:rsidRPr="00B75B77">
        <w:rPr>
          <w:noProof/>
        </w:rPr>
        <w:fldChar w:fldCharType="end"/>
      </w:r>
      <w:r w:rsidR="00704A6B" w:rsidRPr="00B75B77">
        <w:rPr>
          <w:noProof/>
        </w:rPr>
        <w:t xml:space="preserve">. </w:t>
      </w:r>
      <w:r w:rsidR="00F1144C" w:rsidRPr="00B75B77">
        <w:fldChar w:fldCharType="begin"/>
      </w:r>
      <w:r w:rsidR="00F1144C" w:rsidRPr="00B75B77">
        <w:instrText xml:space="preserve"> REF _Ref464563303 \h </w:instrText>
      </w:r>
      <w:r w:rsidR="00B75B77">
        <w:instrText xml:space="preserve"> \* MERGEFORMAT </w:instrText>
      </w:r>
      <w:r w:rsidR="00F1144C" w:rsidRPr="00B75B77">
        <w:fldChar w:fldCharType="separate"/>
      </w:r>
      <w:r w:rsidR="0004016D" w:rsidRPr="00B75B77">
        <w:t xml:space="preserve">PECO achieved an overall PY7 demand reduction realization rate of 0.97 with PYTD verified gross </w:t>
      </w:r>
      <w:r w:rsidR="0004016D" w:rsidRPr="00B75B77">
        <w:lastRenderedPageBreak/>
        <w:t>demand reductions estimated at 124.8 MW with an achieved portfolio level precision of 3% at the 85% confidence interval (3.3% at the 90% confidence interval, exceeding the SWE Evaluation Framework requirements). PECO achieved Phase II verified gross demand reductions of 224.8 MW with an achieved portfolio level precision of 1% at the 90% confidence interval, thus exceeding the SWE Evaluation Framework requirements.</w:t>
      </w:r>
    </w:p>
    <w:p w:rsidR="0004016D" w:rsidRPr="00B75B77" w:rsidRDefault="0004016D" w:rsidP="0004016D">
      <w:pPr>
        <w:keepNext/>
        <w:keepLines/>
      </w:pPr>
    </w:p>
    <w:p w:rsidR="000C1E59" w:rsidRPr="00B75B77" w:rsidRDefault="0004016D" w:rsidP="00BE3580">
      <w:pPr>
        <w:keepNext/>
        <w:keepLines/>
      </w:pPr>
      <w:r w:rsidRPr="00B75B77">
        <w:t>Table</w:t>
      </w:r>
      <w:r w:rsidRPr="00B75B77">
        <w:rPr>
          <w:noProof/>
        </w:rPr>
        <w:t xml:space="preserve"> </w:t>
      </w:r>
      <w:r>
        <w:rPr>
          <w:noProof/>
        </w:rPr>
        <w:t>1</w:t>
      </w:r>
      <w:r w:rsidRPr="00B75B77">
        <w:rPr>
          <w:noProof/>
        </w:rPr>
        <w:noBreakHyphen/>
      </w:r>
      <w:r>
        <w:rPr>
          <w:noProof/>
        </w:rPr>
        <w:t>13</w:t>
      </w:r>
      <w:r w:rsidR="00F1144C" w:rsidRPr="00B75B77">
        <w:fldChar w:fldCharType="end"/>
      </w:r>
    </w:p>
    <w:p w:rsidR="00F1144C" w:rsidRPr="00B75B77" w:rsidRDefault="00F1144C" w:rsidP="00BE3580">
      <w:pPr>
        <w:keepNext/>
        <w:keepLines/>
      </w:pPr>
    </w:p>
    <w:p w:rsidR="000C1E59" w:rsidRPr="00B75B77" w:rsidRDefault="00F1144C" w:rsidP="00F1144C">
      <w:pPr>
        <w:pStyle w:val="Caption"/>
        <w:rPr>
          <w:rFonts w:ascii="Calibri" w:hAnsi="Calibri"/>
        </w:rPr>
      </w:pPr>
      <w:bookmarkStart w:id="148" w:name="_Ref464563050"/>
      <w:bookmarkStart w:id="149" w:name="_Toc466413494"/>
      <w:r w:rsidRPr="00B75B77">
        <w:t xml:space="preserve">Table </w:t>
      </w:r>
      <w:fldSimple w:instr=" STYLEREF 1 \s ">
        <w:r w:rsidR="0004016D">
          <w:rPr>
            <w:noProof/>
          </w:rPr>
          <w:t>1</w:t>
        </w:r>
      </w:fldSimple>
      <w:r w:rsidRPr="00B75B77">
        <w:noBreakHyphen/>
      </w:r>
      <w:fldSimple w:instr=" SEQ Table \* ARABIC \s 1 ">
        <w:r w:rsidR="0004016D">
          <w:rPr>
            <w:noProof/>
          </w:rPr>
          <w:t>12</w:t>
        </w:r>
      </w:fldSimple>
      <w:bookmarkEnd w:id="148"/>
      <w:r w:rsidRPr="00B75B77">
        <w:t>: Reported Participation and Gross Demand Reduction by Program</w:t>
      </w:r>
      <w:bookmarkEnd w:id="149"/>
      <w:r w:rsidRPr="00B75B77">
        <w:t xml:space="preserve"> </w:t>
      </w:r>
      <w:bookmarkEnd w:id="146"/>
      <w:bookmarkEnd w:id="147"/>
    </w:p>
    <w:tbl>
      <w:tblPr>
        <w:tblStyle w:val="PECOTeal"/>
        <w:tblW w:w="8995" w:type="dxa"/>
        <w:jc w:val="center"/>
        <w:tblLook w:val="04A0" w:firstRow="1" w:lastRow="0" w:firstColumn="1" w:lastColumn="0" w:noHBand="0" w:noVBand="1"/>
      </w:tblPr>
      <w:tblGrid>
        <w:gridCol w:w="3140"/>
        <w:gridCol w:w="1625"/>
        <w:gridCol w:w="1260"/>
        <w:gridCol w:w="1620"/>
        <w:gridCol w:w="1350"/>
      </w:tblGrid>
      <w:tr w:rsidR="00F1144C" w:rsidRPr="00B75B77" w:rsidTr="00F1144C">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40" w:type="dxa"/>
            <w:vMerge w:val="restart"/>
            <w:tcBorders>
              <w:left w:val="single" w:sz="4" w:space="0" w:color="000000" w:themeColor="text1"/>
              <w:bottom w:val="single" w:sz="4" w:space="0" w:color="000000" w:themeColor="text1"/>
              <w:right w:val="single" w:sz="4" w:space="0" w:color="000000" w:themeColor="text1"/>
            </w:tcBorders>
          </w:tcPr>
          <w:p w:rsidR="00F1144C" w:rsidRPr="00B75B77" w:rsidRDefault="00F1144C" w:rsidP="00F1144C">
            <w:pPr>
              <w:jc w:val="left"/>
              <w:rPr>
                <w:rFonts w:ascii="Calibri" w:eastAsia="Times New Roman" w:hAnsi="Calibri"/>
                <w:color w:val="000000"/>
                <w:szCs w:val="18"/>
              </w:rPr>
            </w:pPr>
            <w:r w:rsidRPr="00B75B77">
              <w:rPr>
                <w:rFonts w:ascii="Calibri" w:eastAsia="Times New Roman" w:hAnsi="Calibri"/>
                <w:bCs w:val="0"/>
                <w:color w:val="FFFFFF"/>
                <w:szCs w:val="18"/>
              </w:rPr>
              <w:t>Program</w:t>
            </w:r>
          </w:p>
        </w:tc>
        <w:tc>
          <w:tcPr>
            <w:tcW w:w="2885" w:type="dxa"/>
            <w:gridSpan w:val="2"/>
            <w:tcBorders>
              <w:left w:val="single" w:sz="4" w:space="0" w:color="000000" w:themeColor="text1"/>
              <w:bottom w:val="single" w:sz="4" w:space="0" w:color="000000" w:themeColor="text1"/>
              <w:right w:val="single" w:sz="4" w:space="0" w:color="000000" w:themeColor="text1"/>
            </w:tcBorders>
          </w:tcPr>
          <w:p w:rsidR="00F1144C" w:rsidRPr="00B75B77" w:rsidRDefault="00F1144C" w:rsidP="00F1144C">
            <w:pPr>
              <w:jc w:val="center"/>
              <w:cnfStyle w:val="100000000000" w:firstRow="1" w:lastRow="0" w:firstColumn="0" w:lastColumn="0" w:oddVBand="0" w:evenVBand="0" w:oddHBand="0" w:evenHBand="0" w:firstRowFirstColumn="0" w:firstRowLastColumn="0" w:lastRowFirstColumn="0" w:lastRowLastColumn="0"/>
              <w:rPr>
                <w:szCs w:val="18"/>
              </w:rPr>
            </w:pPr>
            <w:r w:rsidRPr="00B75B77">
              <w:rPr>
                <w:rFonts w:ascii="Calibri" w:eastAsia="Times New Roman" w:hAnsi="Calibri"/>
                <w:bCs w:val="0"/>
                <w:color w:val="FFFFFF"/>
                <w:szCs w:val="18"/>
              </w:rPr>
              <w:t>Participants</w:t>
            </w:r>
          </w:p>
        </w:tc>
        <w:tc>
          <w:tcPr>
            <w:tcW w:w="2970" w:type="dxa"/>
            <w:gridSpan w:val="2"/>
            <w:tcBorders>
              <w:left w:val="single" w:sz="4" w:space="0" w:color="000000" w:themeColor="text1"/>
              <w:bottom w:val="single" w:sz="4" w:space="0" w:color="000000" w:themeColor="text1"/>
              <w:right w:val="single" w:sz="4" w:space="0" w:color="000000" w:themeColor="text1"/>
            </w:tcBorders>
          </w:tcPr>
          <w:p w:rsidR="00F1144C" w:rsidRPr="00B75B77" w:rsidRDefault="00F1144C" w:rsidP="00F1144C">
            <w:pPr>
              <w:jc w:val="center"/>
              <w:cnfStyle w:val="100000000000" w:firstRow="1" w:lastRow="0" w:firstColumn="0" w:lastColumn="0" w:oddVBand="0" w:evenVBand="0" w:oddHBand="0" w:evenHBand="0" w:firstRowFirstColumn="0" w:firstRowLastColumn="0" w:lastRowFirstColumn="0" w:lastRowLastColumn="0"/>
              <w:rPr>
                <w:szCs w:val="18"/>
              </w:rPr>
            </w:pPr>
            <w:r w:rsidRPr="00B75B77">
              <w:rPr>
                <w:rFonts w:ascii="Calibri" w:eastAsia="Times New Roman" w:hAnsi="Calibri"/>
                <w:bCs w:val="0"/>
                <w:color w:val="FFFFFF"/>
                <w:szCs w:val="18"/>
              </w:rPr>
              <w:t>Reported Gross Impact (MW)</w:t>
            </w:r>
          </w:p>
        </w:tc>
      </w:tr>
      <w:tr w:rsidR="00F1144C" w:rsidRPr="00B75B77" w:rsidTr="00F1144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144C" w:rsidRPr="00B75B77" w:rsidRDefault="00F1144C" w:rsidP="00F1144C">
            <w:pPr>
              <w:jc w:val="left"/>
              <w:rPr>
                <w:rFonts w:ascii="Calibri" w:eastAsia="Times New Roman" w:hAnsi="Calibri"/>
                <w:color w:val="000000"/>
                <w:szCs w:val="18"/>
              </w:rPr>
            </w:pPr>
          </w:p>
        </w:tc>
        <w:tc>
          <w:tcPr>
            <w:tcW w:w="16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8A99"/>
          </w:tcPr>
          <w:p w:rsidR="00F1144C" w:rsidRPr="00B75B77" w:rsidRDefault="00F1144C" w:rsidP="00F1144C">
            <w:pPr>
              <w:jc w:val="center"/>
              <w:cnfStyle w:val="000000100000" w:firstRow="0" w:lastRow="0" w:firstColumn="0" w:lastColumn="0" w:oddVBand="0" w:evenVBand="0" w:oddHBand="1" w:evenHBand="0" w:firstRowFirstColumn="0" w:firstRowLastColumn="0" w:lastRowFirstColumn="0" w:lastRowLastColumn="0"/>
              <w:rPr>
                <w:b/>
                <w:szCs w:val="18"/>
              </w:rPr>
            </w:pPr>
            <w:r w:rsidRPr="00B75B77">
              <w:rPr>
                <w:rFonts w:ascii="Calibri" w:eastAsia="Times New Roman" w:hAnsi="Calibri"/>
                <w:b/>
                <w:bCs/>
                <w:color w:val="FFFFFF"/>
                <w:szCs w:val="18"/>
              </w:rPr>
              <w:t>PYTD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8A99"/>
          </w:tcPr>
          <w:p w:rsidR="00F1144C" w:rsidRPr="00B75B77" w:rsidRDefault="00F1144C" w:rsidP="00F1144C">
            <w:pPr>
              <w:jc w:val="center"/>
              <w:cnfStyle w:val="000000100000" w:firstRow="0" w:lastRow="0" w:firstColumn="0" w:lastColumn="0" w:oddVBand="0" w:evenVBand="0" w:oddHBand="1" w:evenHBand="0" w:firstRowFirstColumn="0" w:firstRowLastColumn="0" w:lastRowFirstColumn="0" w:lastRowLastColumn="0"/>
              <w:rPr>
                <w:b/>
                <w:szCs w:val="18"/>
              </w:rPr>
            </w:pPr>
            <w:r w:rsidRPr="00B75B77">
              <w:rPr>
                <w:rFonts w:ascii="Calibri" w:eastAsia="Times New Roman" w:hAnsi="Calibri"/>
                <w:b/>
                <w:bCs/>
                <w:color w:val="FFFFFF"/>
                <w:szCs w:val="18"/>
              </w:rPr>
              <w:t>Phase II</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8A99"/>
          </w:tcPr>
          <w:p w:rsidR="00F1144C" w:rsidRPr="00B75B77" w:rsidRDefault="00F1144C" w:rsidP="00F1144C">
            <w:pPr>
              <w:jc w:val="center"/>
              <w:cnfStyle w:val="000000100000" w:firstRow="0" w:lastRow="0" w:firstColumn="0" w:lastColumn="0" w:oddVBand="0" w:evenVBand="0" w:oddHBand="1" w:evenHBand="0" w:firstRowFirstColumn="0" w:firstRowLastColumn="0" w:lastRowFirstColumn="0" w:lastRowLastColumn="0"/>
              <w:rPr>
                <w:b/>
                <w:szCs w:val="18"/>
              </w:rPr>
            </w:pPr>
            <w:r w:rsidRPr="00B75B77">
              <w:rPr>
                <w:rFonts w:ascii="Calibri" w:eastAsia="Times New Roman" w:hAnsi="Calibri"/>
                <w:b/>
                <w:bCs/>
                <w:color w:val="FFFFFF"/>
                <w:szCs w:val="18"/>
              </w:rPr>
              <w:t>PYTD</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8A99"/>
          </w:tcPr>
          <w:p w:rsidR="00F1144C" w:rsidRPr="00B75B77" w:rsidRDefault="00F1144C" w:rsidP="00F1144C">
            <w:pPr>
              <w:jc w:val="center"/>
              <w:cnfStyle w:val="000000100000" w:firstRow="0" w:lastRow="0" w:firstColumn="0" w:lastColumn="0" w:oddVBand="0" w:evenVBand="0" w:oddHBand="1" w:evenHBand="0" w:firstRowFirstColumn="0" w:firstRowLastColumn="0" w:lastRowFirstColumn="0" w:lastRowLastColumn="0"/>
              <w:rPr>
                <w:b/>
                <w:szCs w:val="18"/>
              </w:rPr>
            </w:pPr>
            <w:r w:rsidRPr="00B75B77">
              <w:rPr>
                <w:rFonts w:ascii="Calibri" w:eastAsia="Times New Roman" w:hAnsi="Calibri"/>
                <w:b/>
                <w:bCs/>
                <w:color w:val="FFFFFF"/>
                <w:szCs w:val="18"/>
              </w:rPr>
              <w:t>Phase II</w:t>
            </w:r>
          </w:p>
        </w:tc>
      </w:tr>
      <w:tr w:rsidR="000C1E59" w:rsidRPr="00B75B77" w:rsidTr="00F1144C">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40" w:type="dxa"/>
            <w:tcBorders>
              <w:top w:val="single" w:sz="4" w:space="0" w:color="000000" w:themeColor="text1"/>
            </w:tcBorders>
            <w:hideMark/>
          </w:tcPr>
          <w:p w:rsidR="000C1E59" w:rsidRPr="00B75B77" w:rsidRDefault="000C1E59" w:rsidP="00F94CBE">
            <w:pPr>
              <w:jc w:val="left"/>
              <w:rPr>
                <w:rFonts w:ascii="Calibri" w:eastAsia="Times New Roman" w:hAnsi="Calibri"/>
                <w:b w:val="0"/>
                <w:color w:val="000000"/>
                <w:szCs w:val="18"/>
              </w:rPr>
            </w:pPr>
            <w:r w:rsidRPr="00B75B77">
              <w:rPr>
                <w:rFonts w:ascii="Calibri" w:eastAsia="Times New Roman" w:hAnsi="Calibri"/>
                <w:b w:val="0"/>
                <w:color w:val="000000"/>
                <w:szCs w:val="18"/>
              </w:rPr>
              <w:t>Smart Appliance Recycling</w:t>
            </w:r>
          </w:p>
        </w:tc>
        <w:tc>
          <w:tcPr>
            <w:tcW w:w="1625" w:type="dxa"/>
            <w:tcBorders>
              <w:top w:val="single" w:sz="4" w:space="0" w:color="000000" w:themeColor="text1"/>
            </w:tcBorders>
            <w:hideMark/>
          </w:tcPr>
          <w:p w:rsidR="000C1E59" w:rsidRPr="00B75B77" w:rsidRDefault="000C1E59" w:rsidP="00F94CB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9,367</w:t>
            </w:r>
          </w:p>
        </w:tc>
        <w:tc>
          <w:tcPr>
            <w:tcW w:w="1260" w:type="dxa"/>
            <w:tcBorders>
              <w:top w:val="single" w:sz="4" w:space="0" w:color="000000" w:themeColor="text1"/>
            </w:tcBorders>
            <w:hideMark/>
          </w:tcPr>
          <w:p w:rsidR="000C1E59" w:rsidRPr="00B75B77" w:rsidRDefault="000C1E59" w:rsidP="00F94CB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28,224</w:t>
            </w:r>
          </w:p>
        </w:tc>
        <w:tc>
          <w:tcPr>
            <w:tcW w:w="1620" w:type="dxa"/>
            <w:tcBorders>
              <w:top w:val="single" w:sz="4" w:space="0" w:color="000000" w:themeColor="text1"/>
            </w:tcBorders>
            <w:hideMark/>
          </w:tcPr>
          <w:p w:rsidR="000C1E59" w:rsidRPr="00B75B77" w:rsidRDefault="000C1E59" w:rsidP="00F94CB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1.3</w:t>
            </w:r>
          </w:p>
        </w:tc>
        <w:tc>
          <w:tcPr>
            <w:tcW w:w="1350" w:type="dxa"/>
            <w:tcBorders>
              <w:top w:val="single" w:sz="4" w:space="0" w:color="000000" w:themeColor="text1"/>
            </w:tcBorders>
            <w:hideMark/>
          </w:tcPr>
          <w:p w:rsidR="000C1E59" w:rsidRPr="00B75B77" w:rsidRDefault="000C1E59" w:rsidP="00F94CB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3.7</w:t>
            </w:r>
          </w:p>
        </w:tc>
      </w:tr>
      <w:tr w:rsidR="000C1E59" w:rsidRPr="00B75B77" w:rsidTr="00F1144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40" w:type="dxa"/>
            <w:hideMark/>
          </w:tcPr>
          <w:p w:rsidR="000C1E59" w:rsidRPr="00B75B77" w:rsidRDefault="000C1E59" w:rsidP="00F94CBE">
            <w:pPr>
              <w:jc w:val="left"/>
              <w:rPr>
                <w:rFonts w:ascii="Calibri" w:eastAsia="Times New Roman" w:hAnsi="Calibri"/>
                <w:b w:val="0"/>
                <w:color w:val="000000"/>
                <w:szCs w:val="18"/>
              </w:rPr>
            </w:pPr>
            <w:r w:rsidRPr="00B75B77">
              <w:rPr>
                <w:rFonts w:ascii="Calibri" w:eastAsia="Times New Roman" w:hAnsi="Calibri"/>
                <w:b w:val="0"/>
                <w:color w:val="000000"/>
                <w:szCs w:val="18"/>
              </w:rPr>
              <w:t>Smart Builder Rebates</w:t>
            </w:r>
          </w:p>
        </w:tc>
        <w:tc>
          <w:tcPr>
            <w:tcW w:w="1625" w:type="dxa"/>
            <w:hideMark/>
          </w:tcPr>
          <w:p w:rsidR="000C1E59" w:rsidRPr="00B75B77" w:rsidRDefault="000C1E59" w:rsidP="00F94C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158</w:t>
            </w:r>
          </w:p>
        </w:tc>
        <w:tc>
          <w:tcPr>
            <w:tcW w:w="1260" w:type="dxa"/>
            <w:hideMark/>
          </w:tcPr>
          <w:p w:rsidR="000C1E59" w:rsidRPr="00B75B77" w:rsidRDefault="000C1E59" w:rsidP="00F94C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248</w:t>
            </w:r>
          </w:p>
        </w:tc>
        <w:tc>
          <w:tcPr>
            <w:tcW w:w="1620" w:type="dxa"/>
            <w:hideMark/>
          </w:tcPr>
          <w:p w:rsidR="000C1E59" w:rsidRPr="00B75B77" w:rsidRDefault="000C1E59" w:rsidP="00F94C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0.1</w:t>
            </w:r>
          </w:p>
        </w:tc>
        <w:tc>
          <w:tcPr>
            <w:tcW w:w="1350" w:type="dxa"/>
            <w:hideMark/>
          </w:tcPr>
          <w:p w:rsidR="000C1E59" w:rsidRPr="00B75B77" w:rsidRDefault="000C1E59" w:rsidP="00F94C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0.2</w:t>
            </w:r>
          </w:p>
        </w:tc>
      </w:tr>
      <w:tr w:rsidR="000C1E59" w:rsidRPr="00B75B77" w:rsidTr="00F1144C">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40" w:type="dxa"/>
            <w:hideMark/>
          </w:tcPr>
          <w:p w:rsidR="000C1E59" w:rsidRPr="00B75B77" w:rsidRDefault="000C1E59" w:rsidP="00F94CBE">
            <w:pPr>
              <w:jc w:val="left"/>
              <w:rPr>
                <w:rFonts w:ascii="Calibri" w:eastAsia="Times New Roman" w:hAnsi="Calibri"/>
                <w:b w:val="0"/>
                <w:color w:val="000000"/>
                <w:szCs w:val="18"/>
              </w:rPr>
            </w:pPr>
            <w:r w:rsidRPr="00B75B77">
              <w:rPr>
                <w:rFonts w:ascii="Calibri" w:eastAsia="Times New Roman" w:hAnsi="Calibri"/>
                <w:b w:val="0"/>
                <w:color w:val="000000"/>
                <w:szCs w:val="18"/>
              </w:rPr>
              <w:t>Smart Energy Saver</w:t>
            </w:r>
          </w:p>
        </w:tc>
        <w:tc>
          <w:tcPr>
            <w:tcW w:w="1625" w:type="dxa"/>
            <w:hideMark/>
          </w:tcPr>
          <w:p w:rsidR="000C1E59" w:rsidRPr="00B75B77" w:rsidRDefault="000C1E59" w:rsidP="00F94CB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12,324</w:t>
            </w:r>
          </w:p>
        </w:tc>
        <w:tc>
          <w:tcPr>
            <w:tcW w:w="1260" w:type="dxa"/>
            <w:hideMark/>
          </w:tcPr>
          <w:p w:rsidR="000C1E59" w:rsidRPr="00B75B77" w:rsidRDefault="000C1E59" w:rsidP="00F94CB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37,827</w:t>
            </w:r>
          </w:p>
        </w:tc>
        <w:tc>
          <w:tcPr>
            <w:tcW w:w="1620" w:type="dxa"/>
            <w:hideMark/>
          </w:tcPr>
          <w:p w:rsidR="000C1E59" w:rsidRPr="00B75B77" w:rsidRDefault="000C1E59" w:rsidP="00F94CB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0.3</w:t>
            </w:r>
          </w:p>
        </w:tc>
        <w:tc>
          <w:tcPr>
            <w:tcW w:w="1350" w:type="dxa"/>
            <w:hideMark/>
          </w:tcPr>
          <w:p w:rsidR="000C1E59" w:rsidRPr="00B75B77" w:rsidRDefault="000C1E59" w:rsidP="00F94CB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0.9</w:t>
            </w:r>
          </w:p>
        </w:tc>
      </w:tr>
      <w:tr w:rsidR="000C1E59" w:rsidRPr="00B75B77" w:rsidTr="00F1144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40" w:type="dxa"/>
            <w:hideMark/>
          </w:tcPr>
          <w:p w:rsidR="000C1E59" w:rsidRPr="00B75B77" w:rsidRDefault="000C1E59" w:rsidP="00F94CBE">
            <w:pPr>
              <w:jc w:val="left"/>
              <w:rPr>
                <w:rFonts w:ascii="Calibri" w:eastAsia="Times New Roman" w:hAnsi="Calibri"/>
                <w:b w:val="0"/>
                <w:color w:val="000000"/>
                <w:szCs w:val="18"/>
              </w:rPr>
            </w:pPr>
            <w:r w:rsidRPr="00B75B77">
              <w:rPr>
                <w:rFonts w:ascii="Calibri" w:eastAsia="Times New Roman" w:hAnsi="Calibri"/>
                <w:b w:val="0"/>
                <w:color w:val="000000"/>
                <w:szCs w:val="18"/>
              </w:rPr>
              <w:t>Smart Home Rebates</w:t>
            </w:r>
          </w:p>
        </w:tc>
        <w:tc>
          <w:tcPr>
            <w:tcW w:w="1625" w:type="dxa"/>
            <w:hideMark/>
          </w:tcPr>
          <w:p w:rsidR="000C1E59" w:rsidRPr="00B75B77" w:rsidRDefault="000C1E59" w:rsidP="00F94C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3,640,919</w:t>
            </w:r>
          </w:p>
        </w:tc>
        <w:tc>
          <w:tcPr>
            <w:tcW w:w="1260" w:type="dxa"/>
            <w:hideMark/>
          </w:tcPr>
          <w:p w:rsidR="000C1E59" w:rsidRPr="00B75B77" w:rsidRDefault="000C1E59" w:rsidP="00F94C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7,667,436</w:t>
            </w:r>
          </w:p>
        </w:tc>
        <w:tc>
          <w:tcPr>
            <w:tcW w:w="1620" w:type="dxa"/>
            <w:hideMark/>
          </w:tcPr>
          <w:p w:rsidR="000C1E59" w:rsidRPr="00B75B77" w:rsidRDefault="000C1E59" w:rsidP="00F94C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20.6</w:t>
            </w:r>
          </w:p>
        </w:tc>
        <w:tc>
          <w:tcPr>
            <w:tcW w:w="1350" w:type="dxa"/>
            <w:hideMark/>
          </w:tcPr>
          <w:p w:rsidR="000C1E59" w:rsidRPr="00B75B77" w:rsidRDefault="000C1E59" w:rsidP="00F94C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41.7</w:t>
            </w:r>
          </w:p>
        </w:tc>
      </w:tr>
      <w:tr w:rsidR="000C1E59" w:rsidRPr="00B75B77" w:rsidTr="00F1144C">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40" w:type="dxa"/>
            <w:hideMark/>
          </w:tcPr>
          <w:p w:rsidR="000C1E59" w:rsidRPr="00B75B77" w:rsidRDefault="000C1E59" w:rsidP="00F94CBE">
            <w:pPr>
              <w:jc w:val="left"/>
              <w:rPr>
                <w:rFonts w:ascii="Calibri" w:eastAsia="Times New Roman" w:hAnsi="Calibri"/>
                <w:b w:val="0"/>
                <w:color w:val="000000"/>
                <w:szCs w:val="18"/>
              </w:rPr>
            </w:pPr>
            <w:r w:rsidRPr="00B75B77">
              <w:rPr>
                <w:rFonts w:ascii="Calibri" w:eastAsia="Times New Roman" w:hAnsi="Calibri"/>
                <w:b w:val="0"/>
                <w:color w:val="000000"/>
                <w:szCs w:val="18"/>
              </w:rPr>
              <w:t>Smart House Call</w:t>
            </w:r>
          </w:p>
        </w:tc>
        <w:tc>
          <w:tcPr>
            <w:tcW w:w="1625" w:type="dxa"/>
            <w:hideMark/>
          </w:tcPr>
          <w:p w:rsidR="000C1E59" w:rsidRPr="00B75B77" w:rsidRDefault="000C1E59" w:rsidP="00F94CB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6,479</w:t>
            </w:r>
          </w:p>
        </w:tc>
        <w:tc>
          <w:tcPr>
            <w:tcW w:w="1260" w:type="dxa"/>
            <w:hideMark/>
          </w:tcPr>
          <w:p w:rsidR="000C1E59" w:rsidRPr="00B75B77" w:rsidRDefault="000C1E59" w:rsidP="00F94CB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12,101</w:t>
            </w:r>
          </w:p>
        </w:tc>
        <w:tc>
          <w:tcPr>
            <w:tcW w:w="1620" w:type="dxa"/>
            <w:hideMark/>
          </w:tcPr>
          <w:p w:rsidR="000C1E59" w:rsidRPr="00B75B77" w:rsidRDefault="000C1E59" w:rsidP="00F94CB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1.0</w:t>
            </w:r>
          </w:p>
        </w:tc>
        <w:tc>
          <w:tcPr>
            <w:tcW w:w="1350" w:type="dxa"/>
            <w:hideMark/>
          </w:tcPr>
          <w:p w:rsidR="000C1E59" w:rsidRPr="00B75B77" w:rsidRDefault="000C1E59" w:rsidP="00F94CB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1.5</w:t>
            </w:r>
          </w:p>
        </w:tc>
      </w:tr>
      <w:tr w:rsidR="000C1E59" w:rsidRPr="00B75B77" w:rsidTr="00F1144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40" w:type="dxa"/>
            <w:hideMark/>
          </w:tcPr>
          <w:p w:rsidR="000C1E59" w:rsidRPr="00B75B77" w:rsidRDefault="000C1E59" w:rsidP="00F94CBE">
            <w:pPr>
              <w:jc w:val="left"/>
              <w:rPr>
                <w:rFonts w:ascii="Calibri" w:eastAsia="Times New Roman" w:hAnsi="Calibri"/>
                <w:b w:val="0"/>
                <w:color w:val="000000"/>
                <w:szCs w:val="18"/>
              </w:rPr>
            </w:pPr>
            <w:r w:rsidRPr="00B75B77">
              <w:rPr>
                <w:rFonts w:ascii="Calibri" w:eastAsia="Times New Roman" w:hAnsi="Calibri"/>
                <w:b w:val="0"/>
                <w:color w:val="000000"/>
                <w:szCs w:val="18"/>
              </w:rPr>
              <w:t>Smart Multi-Family Solutions</w:t>
            </w:r>
          </w:p>
        </w:tc>
        <w:tc>
          <w:tcPr>
            <w:tcW w:w="1625" w:type="dxa"/>
            <w:hideMark/>
          </w:tcPr>
          <w:p w:rsidR="000C1E59" w:rsidRPr="00B75B77" w:rsidRDefault="000C1E59" w:rsidP="00F94C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3,889</w:t>
            </w:r>
          </w:p>
        </w:tc>
        <w:tc>
          <w:tcPr>
            <w:tcW w:w="1260" w:type="dxa"/>
            <w:hideMark/>
          </w:tcPr>
          <w:p w:rsidR="000C1E59" w:rsidRPr="00B75B77" w:rsidRDefault="000C1E59" w:rsidP="00F94C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22,338</w:t>
            </w:r>
          </w:p>
        </w:tc>
        <w:tc>
          <w:tcPr>
            <w:tcW w:w="1620" w:type="dxa"/>
            <w:hideMark/>
          </w:tcPr>
          <w:p w:rsidR="000C1E59" w:rsidRPr="00B75B77" w:rsidRDefault="000C1E59" w:rsidP="00F94C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0.7</w:t>
            </w:r>
          </w:p>
        </w:tc>
        <w:tc>
          <w:tcPr>
            <w:tcW w:w="1350" w:type="dxa"/>
            <w:hideMark/>
          </w:tcPr>
          <w:p w:rsidR="000C1E59" w:rsidRPr="00B75B77" w:rsidRDefault="000C1E59" w:rsidP="00F94C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1.9</w:t>
            </w:r>
          </w:p>
        </w:tc>
      </w:tr>
      <w:tr w:rsidR="000C1E59" w:rsidRPr="00B75B77" w:rsidTr="00F1144C">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40" w:type="dxa"/>
            <w:hideMark/>
          </w:tcPr>
          <w:p w:rsidR="000C1E59" w:rsidRPr="00B75B77" w:rsidRDefault="000C1E59" w:rsidP="00F94CBE">
            <w:pPr>
              <w:jc w:val="left"/>
              <w:rPr>
                <w:rFonts w:ascii="Calibri" w:eastAsia="Times New Roman" w:hAnsi="Calibri"/>
                <w:b w:val="0"/>
                <w:color w:val="000000"/>
                <w:szCs w:val="18"/>
              </w:rPr>
            </w:pPr>
            <w:r w:rsidRPr="00B75B77">
              <w:rPr>
                <w:rFonts w:ascii="Calibri" w:eastAsia="Times New Roman" w:hAnsi="Calibri"/>
                <w:b w:val="0"/>
                <w:color w:val="000000"/>
                <w:szCs w:val="18"/>
              </w:rPr>
              <w:t>Smart Usage Profile</w:t>
            </w:r>
          </w:p>
        </w:tc>
        <w:tc>
          <w:tcPr>
            <w:tcW w:w="1625" w:type="dxa"/>
            <w:hideMark/>
          </w:tcPr>
          <w:p w:rsidR="000C1E59" w:rsidRPr="00B75B77" w:rsidRDefault="000C1E59" w:rsidP="00F94CB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132,289</w:t>
            </w:r>
          </w:p>
        </w:tc>
        <w:tc>
          <w:tcPr>
            <w:tcW w:w="1260" w:type="dxa"/>
            <w:hideMark/>
          </w:tcPr>
          <w:p w:rsidR="000C1E59" w:rsidRPr="00B75B77" w:rsidRDefault="000C1E59" w:rsidP="00F94CB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132,289</w:t>
            </w:r>
          </w:p>
        </w:tc>
        <w:tc>
          <w:tcPr>
            <w:tcW w:w="1620" w:type="dxa"/>
            <w:hideMark/>
          </w:tcPr>
          <w:p w:rsidR="000C1E59" w:rsidRPr="00B75B77" w:rsidRDefault="000C1E59" w:rsidP="00F94CB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0.0</w:t>
            </w:r>
          </w:p>
        </w:tc>
        <w:tc>
          <w:tcPr>
            <w:tcW w:w="1350" w:type="dxa"/>
            <w:hideMark/>
          </w:tcPr>
          <w:p w:rsidR="000C1E59" w:rsidRPr="00B75B77" w:rsidRDefault="000C1E59" w:rsidP="00F94CB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0.0</w:t>
            </w:r>
          </w:p>
        </w:tc>
      </w:tr>
      <w:tr w:rsidR="000C1E59" w:rsidRPr="00B75B77" w:rsidTr="00F1144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40" w:type="dxa"/>
            <w:hideMark/>
          </w:tcPr>
          <w:p w:rsidR="000C1E59" w:rsidRPr="00B75B77" w:rsidRDefault="000C1E59" w:rsidP="00F94CBE">
            <w:pPr>
              <w:jc w:val="left"/>
              <w:rPr>
                <w:rFonts w:ascii="Calibri" w:eastAsia="Times New Roman" w:hAnsi="Calibri"/>
                <w:b w:val="0"/>
                <w:color w:val="000000"/>
                <w:szCs w:val="18"/>
              </w:rPr>
            </w:pPr>
            <w:r w:rsidRPr="00B75B77">
              <w:rPr>
                <w:rFonts w:ascii="Calibri" w:eastAsia="Times New Roman" w:hAnsi="Calibri"/>
                <w:b w:val="0"/>
                <w:color w:val="000000"/>
                <w:szCs w:val="18"/>
              </w:rPr>
              <w:t>Low-Income Energy Efficiency</w:t>
            </w:r>
          </w:p>
        </w:tc>
        <w:tc>
          <w:tcPr>
            <w:tcW w:w="1625" w:type="dxa"/>
            <w:hideMark/>
          </w:tcPr>
          <w:p w:rsidR="000C1E59" w:rsidRPr="00B75B77" w:rsidRDefault="000C1E59" w:rsidP="00F94C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222,711</w:t>
            </w:r>
          </w:p>
        </w:tc>
        <w:tc>
          <w:tcPr>
            <w:tcW w:w="1260" w:type="dxa"/>
            <w:hideMark/>
          </w:tcPr>
          <w:p w:rsidR="000C1E59" w:rsidRPr="00B75B77" w:rsidRDefault="000C1E59" w:rsidP="00F94C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737,371</w:t>
            </w:r>
          </w:p>
        </w:tc>
        <w:tc>
          <w:tcPr>
            <w:tcW w:w="1620" w:type="dxa"/>
            <w:hideMark/>
          </w:tcPr>
          <w:p w:rsidR="000C1E59" w:rsidRPr="00B75B77" w:rsidRDefault="000C1E59" w:rsidP="00F94C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2.6</w:t>
            </w:r>
          </w:p>
        </w:tc>
        <w:tc>
          <w:tcPr>
            <w:tcW w:w="1350" w:type="dxa"/>
            <w:hideMark/>
          </w:tcPr>
          <w:p w:rsidR="000C1E59" w:rsidRPr="00B75B77" w:rsidRDefault="000C1E59" w:rsidP="00F94C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6.2</w:t>
            </w:r>
          </w:p>
        </w:tc>
      </w:tr>
      <w:tr w:rsidR="000C1E59" w:rsidRPr="00B75B77" w:rsidTr="00F1144C">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40" w:type="dxa"/>
            <w:hideMark/>
          </w:tcPr>
          <w:p w:rsidR="000C1E59" w:rsidRPr="00B75B77" w:rsidRDefault="000C1E59" w:rsidP="00F94CBE">
            <w:pPr>
              <w:jc w:val="left"/>
              <w:rPr>
                <w:rFonts w:ascii="Calibri" w:eastAsia="Times New Roman" w:hAnsi="Calibri"/>
                <w:b w:val="0"/>
                <w:color w:val="000000"/>
                <w:szCs w:val="18"/>
              </w:rPr>
            </w:pPr>
            <w:r w:rsidRPr="00B75B77">
              <w:rPr>
                <w:rFonts w:ascii="Calibri" w:eastAsia="Times New Roman" w:hAnsi="Calibri"/>
                <w:b w:val="0"/>
                <w:color w:val="000000"/>
                <w:szCs w:val="18"/>
              </w:rPr>
              <w:t>Residential Smart AC Saver</w:t>
            </w:r>
          </w:p>
        </w:tc>
        <w:tc>
          <w:tcPr>
            <w:tcW w:w="1625" w:type="dxa"/>
            <w:hideMark/>
          </w:tcPr>
          <w:p w:rsidR="000C1E59" w:rsidRPr="00B75B77" w:rsidRDefault="000C1E59" w:rsidP="00F94CB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65,274</w:t>
            </w:r>
          </w:p>
        </w:tc>
        <w:tc>
          <w:tcPr>
            <w:tcW w:w="1260" w:type="dxa"/>
            <w:hideMark/>
          </w:tcPr>
          <w:p w:rsidR="000C1E59" w:rsidRPr="00B75B77" w:rsidRDefault="000C1E59" w:rsidP="00F94CB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69,077</w:t>
            </w:r>
          </w:p>
        </w:tc>
        <w:tc>
          <w:tcPr>
            <w:tcW w:w="1620" w:type="dxa"/>
            <w:hideMark/>
          </w:tcPr>
          <w:p w:rsidR="000C1E59" w:rsidRPr="00B75B77" w:rsidRDefault="000C1E59" w:rsidP="00F94CB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49.6</w:t>
            </w:r>
          </w:p>
        </w:tc>
        <w:tc>
          <w:tcPr>
            <w:tcW w:w="1350" w:type="dxa"/>
            <w:hideMark/>
          </w:tcPr>
          <w:p w:rsidR="000C1E59" w:rsidRPr="00B75B77" w:rsidRDefault="000C1E59" w:rsidP="00F94CB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58.6</w:t>
            </w:r>
          </w:p>
        </w:tc>
      </w:tr>
      <w:tr w:rsidR="000C1E59" w:rsidRPr="00B75B77" w:rsidTr="00F1144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40" w:type="dxa"/>
            <w:hideMark/>
          </w:tcPr>
          <w:p w:rsidR="000C1E59" w:rsidRPr="00B75B77" w:rsidRDefault="000C1E59" w:rsidP="00F94CBE">
            <w:pPr>
              <w:jc w:val="left"/>
              <w:rPr>
                <w:rFonts w:ascii="Calibri" w:eastAsia="Times New Roman" w:hAnsi="Calibri"/>
                <w:b w:val="0"/>
                <w:color w:val="000000"/>
                <w:szCs w:val="18"/>
              </w:rPr>
            </w:pPr>
            <w:r w:rsidRPr="00B75B77">
              <w:rPr>
                <w:rFonts w:ascii="Calibri" w:eastAsia="Times New Roman" w:hAnsi="Calibri"/>
                <w:b w:val="0"/>
                <w:color w:val="000000"/>
                <w:szCs w:val="18"/>
              </w:rPr>
              <w:t>Smart Business Solutions</w:t>
            </w:r>
          </w:p>
        </w:tc>
        <w:tc>
          <w:tcPr>
            <w:tcW w:w="1625" w:type="dxa"/>
            <w:hideMark/>
          </w:tcPr>
          <w:p w:rsidR="000C1E59" w:rsidRPr="00B75B77" w:rsidRDefault="000C1E59" w:rsidP="00F94C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189</w:t>
            </w:r>
          </w:p>
        </w:tc>
        <w:tc>
          <w:tcPr>
            <w:tcW w:w="1260" w:type="dxa"/>
            <w:hideMark/>
          </w:tcPr>
          <w:p w:rsidR="000C1E59" w:rsidRPr="00B75B77" w:rsidRDefault="000C1E59" w:rsidP="00F94C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1,172</w:t>
            </w:r>
          </w:p>
        </w:tc>
        <w:tc>
          <w:tcPr>
            <w:tcW w:w="1620" w:type="dxa"/>
            <w:hideMark/>
          </w:tcPr>
          <w:p w:rsidR="000C1E59" w:rsidRPr="00B75B77" w:rsidRDefault="000C1E59" w:rsidP="00F94C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1.1</w:t>
            </w:r>
          </w:p>
        </w:tc>
        <w:tc>
          <w:tcPr>
            <w:tcW w:w="1350" w:type="dxa"/>
            <w:hideMark/>
          </w:tcPr>
          <w:p w:rsidR="000C1E59" w:rsidRPr="00B75B77" w:rsidRDefault="000C1E59" w:rsidP="00F94C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6.2</w:t>
            </w:r>
          </w:p>
        </w:tc>
      </w:tr>
      <w:tr w:rsidR="000C1E59" w:rsidRPr="00B75B77" w:rsidTr="00F1144C">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40" w:type="dxa"/>
            <w:hideMark/>
          </w:tcPr>
          <w:p w:rsidR="000C1E59" w:rsidRPr="00B75B77" w:rsidRDefault="000C1E59" w:rsidP="00F94CBE">
            <w:pPr>
              <w:jc w:val="left"/>
              <w:rPr>
                <w:rFonts w:ascii="Calibri" w:eastAsia="Times New Roman" w:hAnsi="Calibri"/>
                <w:b w:val="0"/>
                <w:color w:val="000000"/>
                <w:szCs w:val="18"/>
              </w:rPr>
            </w:pPr>
            <w:r w:rsidRPr="00B75B77">
              <w:rPr>
                <w:rFonts w:ascii="Calibri" w:eastAsia="Times New Roman" w:hAnsi="Calibri"/>
                <w:b w:val="0"/>
                <w:color w:val="000000"/>
                <w:szCs w:val="18"/>
              </w:rPr>
              <w:t>Smart Construction Incentives</w:t>
            </w:r>
          </w:p>
        </w:tc>
        <w:tc>
          <w:tcPr>
            <w:tcW w:w="1625" w:type="dxa"/>
            <w:hideMark/>
          </w:tcPr>
          <w:p w:rsidR="000C1E59" w:rsidRPr="00B75B77" w:rsidRDefault="000C1E59" w:rsidP="00F94CB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181</w:t>
            </w:r>
          </w:p>
        </w:tc>
        <w:tc>
          <w:tcPr>
            <w:tcW w:w="1260" w:type="dxa"/>
            <w:hideMark/>
          </w:tcPr>
          <w:p w:rsidR="000C1E59" w:rsidRPr="00B75B77" w:rsidRDefault="000C1E59" w:rsidP="00F94CB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283</w:t>
            </w:r>
          </w:p>
        </w:tc>
        <w:tc>
          <w:tcPr>
            <w:tcW w:w="1620" w:type="dxa"/>
            <w:hideMark/>
          </w:tcPr>
          <w:p w:rsidR="000C1E59" w:rsidRPr="00B75B77" w:rsidRDefault="000C1E59" w:rsidP="00F94CB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5.1</w:t>
            </w:r>
          </w:p>
        </w:tc>
        <w:tc>
          <w:tcPr>
            <w:tcW w:w="1350" w:type="dxa"/>
            <w:hideMark/>
          </w:tcPr>
          <w:p w:rsidR="000C1E59" w:rsidRPr="00B75B77" w:rsidRDefault="000C1E59" w:rsidP="00F94CB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8.0</w:t>
            </w:r>
          </w:p>
        </w:tc>
      </w:tr>
      <w:tr w:rsidR="000C1E59" w:rsidRPr="00B75B77" w:rsidTr="00F1144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40" w:type="dxa"/>
            <w:hideMark/>
          </w:tcPr>
          <w:p w:rsidR="000C1E59" w:rsidRPr="00B75B77" w:rsidRDefault="000C1E59" w:rsidP="00F94CBE">
            <w:pPr>
              <w:jc w:val="left"/>
              <w:rPr>
                <w:rFonts w:ascii="Calibri" w:eastAsia="Times New Roman" w:hAnsi="Calibri"/>
                <w:b w:val="0"/>
                <w:color w:val="000000"/>
                <w:szCs w:val="18"/>
              </w:rPr>
            </w:pPr>
            <w:r w:rsidRPr="00B75B77">
              <w:rPr>
                <w:rFonts w:ascii="Calibri" w:eastAsia="Times New Roman" w:hAnsi="Calibri"/>
                <w:b w:val="0"/>
                <w:color w:val="000000"/>
                <w:szCs w:val="18"/>
              </w:rPr>
              <w:t>Smart Equipment Incentives - C&amp;I</w:t>
            </w:r>
          </w:p>
        </w:tc>
        <w:tc>
          <w:tcPr>
            <w:tcW w:w="1625" w:type="dxa"/>
            <w:hideMark/>
          </w:tcPr>
          <w:p w:rsidR="000C1E59" w:rsidRPr="00B75B77" w:rsidRDefault="000C1E59" w:rsidP="00F94C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1,329</w:t>
            </w:r>
          </w:p>
        </w:tc>
        <w:tc>
          <w:tcPr>
            <w:tcW w:w="1260" w:type="dxa"/>
            <w:hideMark/>
          </w:tcPr>
          <w:p w:rsidR="000C1E59" w:rsidRPr="00B75B77" w:rsidRDefault="000C1E59" w:rsidP="00F94C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2,446</w:t>
            </w:r>
          </w:p>
        </w:tc>
        <w:tc>
          <w:tcPr>
            <w:tcW w:w="1620" w:type="dxa"/>
            <w:hideMark/>
          </w:tcPr>
          <w:p w:rsidR="000C1E59" w:rsidRPr="00B75B77" w:rsidRDefault="000C1E59" w:rsidP="00F94C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18.4</w:t>
            </w:r>
          </w:p>
        </w:tc>
        <w:tc>
          <w:tcPr>
            <w:tcW w:w="1350" w:type="dxa"/>
            <w:hideMark/>
          </w:tcPr>
          <w:p w:rsidR="000C1E59" w:rsidRPr="00B75B77" w:rsidRDefault="000C1E59" w:rsidP="00F94C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35.2</w:t>
            </w:r>
          </w:p>
        </w:tc>
      </w:tr>
      <w:tr w:rsidR="000C1E59" w:rsidRPr="00B75B77" w:rsidTr="00F1144C">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40" w:type="dxa"/>
            <w:hideMark/>
          </w:tcPr>
          <w:p w:rsidR="000C1E59" w:rsidRPr="00B75B77" w:rsidRDefault="000C1E59" w:rsidP="00F94CBE">
            <w:pPr>
              <w:jc w:val="left"/>
              <w:rPr>
                <w:rFonts w:ascii="Calibri" w:eastAsia="Times New Roman" w:hAnsi="Calibri"/>
                <w:b w:val="0"/>
                <w:color w:val="000000"/>
                <w:szCs w:val="18"/>
              </w:rPr>
            </w:pPr>
            <w:r w:rsidRPr="00B75B77">
              <w:rPr>
                <w:rFonts w:ascii="Calibri" w:eastAsia="Times New Roman" w:hAnsi="Calibri"/>
                <w:b w:val="0"/>
                <w:color w:val="000000"/>
                <w:szCs w:val="18"/>
              </w:rPr>
              <w:t>Smart Equipment Incentives - GNI</w:t>
            </w:r>
          </w:p>
        </w:tc>
        <w:tc>
          <w:tcPr>
            <w:tcW w:w="1625" w:type="dxa"/>
            <w:hideMark/>
          </w:tcPr>
          <w:p w:rsidR="000C1E59" w:rsidRPr="00B75B77" w:rsidRDefault="000C1E59" w:rsidP="00F94CB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469</w:t>
            </w:r>
          </w:p>
        </w:tc>
        <w:tc>
          <w:tcPr>
            <w:tcW w:w="1260" w:type="dxa"/>
            <w:hideMark/>
          </w:tcPr>
          <w:p w:rsidR="000C1E59" w:rsidRPr="00B75B77" w:rsidRDefault="000C1E59" w:rsidP="00F94CB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796</w:t>
            </w:r>
          </w:p>
        </w:tc>
        <w:tc>
          <w:tcPr>
            <w:tcW w:w="1620" w:type="dxa"/>
            <w:hideMark/>
          </w:tcPr>
          <w:p w:rsidR="000C1E59" w:rsidRPr="00B75B77" w:rsidRDefault="000C1E59" w:rsidP="00F94CB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20.6</w:t>
            </w:r>
          </w:p>
        </w:tc>
        <w:tc>
          <w:tcPr>
            <w:tcW w:w="1350" w:type="dxa"/>
            <w:hideMark/>
          </w:tcPr>
          <w:p w:rsidR="000C1E59" w:rsidRPr="00B75B77" w:rsidRDefault="000C1E59" w:rsidP="00F94CB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25.3</w:t>
            </w:r>
          </w:p>
        </w:tc>
      </w:tr>
      <w:tr w:rsidR="000C1E59" w:rsidRPr="00B75B77" w:rsidTr="00F1144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40" w:type="dxa"/>
            <w:hideMark/>
          </w:tcPr>
          <w:p w:rsidR="000C1E59" w:rsidRPr="00B75B77" w:rsidRDefault="000C1E59" w:rsidP="00F94CBE">
            <w:pPr>
              <w:jc w:val="left"/>
              <w:rPr>
                <w:rFonts w:ascii="Calibri" w:eastAsia="Times New Roman" w:hAnsi="Calibri"/>
                <w:b w:val="0"/>
                <w:color w:val="000000"/>
                <w:szCs w:val="18"/>
              </w:rPr>
            </w:pPr>
            <w:r w:rsidRPr="00B75B77">
              <w:rPr>
                <w:rFonts w:ascii="Calibri" w:eastAsia="Times New Roman" w:hAnsi="Calibri"/>
                <w:b w:val="0"/>
                <w:color w:val="000000"/>
                <w:szCs w:val="18"/>
              </w:rPr>
              <w:t>Smart On-Site</w:t>
            </w:r>
          </w:p>
        </w:tc>
        <w:tc>
          <w:tcPr>
            <w:tcW w:w="1625" w:type="dxa"/>
            <w:hideMark/>
          </w:tcPr>
          <w:p w:rsidR="000C1E59" w:rsidRPr="00B75B77" w:rsidRDefault="000C1E59" w:rsidP="00F94C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6</w:t>
            </w:r>
          </w:p>
        </w:tc>
        <w:tc>
          <w:tcPr>
            <w:tcW w:w="1260" w:type="dxa"/>
            <w:hideMark/>
          </w:tcPr>
          <w:p w:rsidR="000C1E59" w:rsidRPr="00B75B77" w:rsidRDefault="000C1E59" w:rsidP="00F94C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8</w:t>
            </w:r>
          </w:p>
        </w:tc>
        <w:tc>
          <w:tcPr>
            <w:tcW w:w="1620" w:type="dxa"/>
            <w:hideMark/>
          </w:tcPr>
          <w:p w:rsidR="000C1E59" w:rsidRPr="00B75B77" w:rsidRDefault="000C1E59" w:rsidP="00F94C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4.5</w:t>
            </w:r>
          </w:p>
        </w:tc>
        <w:tc>
          <w:tcPr>
            <w:tcW w:w="1350" w:type="dxa"/>
            <w:hideMark/>
          </w:tcPr>
          <w:p w:rsidR="000C1E59" w:rsidRPr="00B75B77" w:rsidRDefault="000C1E59" w:rsidP="00F94C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12.3</w:t>
            </w:r>
          </w:p>
        </w:tc>
      </w:tr>
      <w:tr w:rsidR="000C1E59" w:rsidRPr="00B75B77" w:rsidTr="00F1144C">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40" w:type="dxa"/>
            <w:hideMark/>
          </w:tcPr>
          <w:p w:rsidR="000C1E59" w:rsidRPr="00B75B77" w:rsidRDefault="000C1E59" w:rsidP="00F94CBE">
            <w:pPr>
              <w:jc w:val="left"/>
              <w:rPr>
                <w:rFonts w:ascii="Calibri" w:eastAsia="Times New Roman" w:hAnsi="Calibri"/>
                <w:b w:val="0"/>
                <w:color w:val="000000"/>
                <w:szCs w:val="18"/>
              </w:rPr>
            </w:pPr>
            <w:r w:rsidRPr="00B75B77">
              <w:rPr>
                <w:rFonts w:ascii="Calibri" w:eastAsia="Times New Roman" w:hAnsi="Calibri"/>
                <w:b w:val="0"/>
                <w:color w:val="000000"/>
                <w:szCs w:val="18"/>
              </w:rPr>
              <w:t>Commercial Smart AC Saver</w:t>
            </w:r>
          </w:p>
        </w:tc>
        <w:tc>
          <w:tcPr>
            <w:tcW w:w="1625" w:type="dxa"/>
            <w:hideMark/>
          </w:tcPr>
          <w:p w:rsidR="000C1E59" w:rsidRPr="00B75B77" w:rsidRDefault="000C1E59" w:rsidP="00F94CB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1,686</w:t>
            </w:r>
          </w:p>
        </w:tc>
        <w:tc>
          <w:tcPr>
            <w:tcW w:w="1260" w:type="dxa"/>
            <w:hideMark/>
          </w:tcPr>
          <w:p w:rsidR="000C1E59" w:rsidRPr="00B75B77" w:rsidRDefault="000C1E59" w:rsidP="00F94CB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1,834</w:t>
            </w:r>
          </w:p>
        </w:tc>
        <w:tc>
          <w:tcPr>
            <w:tcW w:w="1620" w:type="dxa"/>
            <w:hideMark/>
          </w:tcPr>
          <w:p w:rsidR="000C1E59" w:rsidRPr="00B75B77" w:rsidRDefault="000C1E59" w:rsidP="00F94CB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3.0</w:t>
            </w:r>
          </w:p>
        </w:tc>
        <w:tc>
          <w:tcPr>
            <w:tcW w:w="1350" w:type="dxa"/>
            <w:hideMark/>
          </w:tcPr>
          <w:p w:rsidR="000C1E59" w:rsidRPr="00B75B77" w:rsidRDefault="000C1E59" w:rsidP="00F94CB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2.3</w:t>
            </w:r>
          </w:p>
        </w:tc>
      </w:tr>
      <w:tr w:rsidR="000C1E59" w:rsidRPr="00B75B77" w:rsidTr="00F1144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40" w:type="dxa"/>
            <w:hideMark/>
          </w:tcPr>
          <w:p w:rsidR="000C1E59" w:rsidRPr="00B75B77" w:rsidRDefault="000C1E59" w:rsidP="00F94CBE">
            <w:pPr>
              <w:jc w:val="left"/>
              <w:rPr>
                <w:rFonts w:ascii="Calibri" w:eastAsia="Times New Roman" w:hAnsi="Calibri"/>
                <w:bCs w:val="0"/>
                <w:color w:val="000000"/>
                <w:szCs w:val="18"/>
              </w:rPr>
            </w:pPr>
            <w:r w:rsidRPr="00B75B77">
              <w:rPr>
                <w:rFonts w:ascii="Calibri" w:eastAsia="Times New Roman" w:hAnsi="Calibri"/>
                <w:bCs w:val="0"/>
                <w:color w:val="000000"/>
                <w:szCs w:val="18"/>
              </w:rPr>
              <w:t>TOTAL PORTFOLIO</w:t>
            </w:r>
          </w:p>
        </w:tc>
        <w:tc>
          <w:tcPr>
            <w:tcW w:w="1625" w:type="dxa"/>
            <w:hideMark/>
          </w:tcPr>
          <w:p w:rsidR="000C1E59" w:rsidRPr="00B75B77" w:rsidRDefault="000C1E59" w:rsidP="00F94C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Cs w:val="18"/>
              </w:rPr>
            </w:pPr>
            <w:r w:rsidRPr="00B75B77">
              <w:rPr>
                <w:b/>
                <w:szCs w:val="18"/>
              </w:rPr>
              <w:t>4,097,270</w:t>
            </w:r>
          </w:p>
        </w:tc>
        <w:tc>
          <w:tcPr>
            <w:tcW w:w="1260" w:type="dxa"/>
            <w:hideMark/>
          </w:tcPr>
          <w:p w:rsidR="000C1E59" w:rsidRPr="00B75B77" w:rsidRDefault="000C1E59" w:rsidP="00F94C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Cs w:val="18"/>
              </w:rPr>
            </w:pPr>
            <w:r w:rsidRPr="00B75B77">
              <w:rPr>
                <w:b/>
                <w:szCs w:val="18"/>
              </w:rPr>
              <w:t>8,713,451</w:t>
            </w:r>
          </w:p>
        </w:tc>
        <w:tc>
          <w:tcPr>
            <w:tcW w:w="1620" w:type="dxa"/>
            <w:hideMark/>
          </w:tcPr>
          <w:p w:rsidR="000C1E59" w:rsidRPr="00B75B77" w:rsidRDefault="000C1E59" w:rsidP="00F94C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Cs w:val="18"/>
              </w:rPr>
            </w:pPr>
            <w:r w:rsidRPr="00B75B77">
              <w:rPr>
                <w:b/>
                <w:szCs w:val="18"/>
              </w:rPr>
              <w:t>129.0</w:t>
            </w:r>
          </w:p>
        </w:tc>
        <w:tc>
          <w:tcPr>
            <w:tcW w:w="1350" w:type="dxa"/>
            <w:hideMark/>
          </w:tcPr>
          <w:p w:rsidR="000C1E59" w:rsidRPr="00B75B77" w:rsidRDefault="000C1E59" w:rsidP="00F94CB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Cs w:val="18"/>
              </w:rPr>
            </w:pPr>
            <w:r w:rsidRPr="00B75B77">
              <w:rPr>
                <w:b/>
                <w:szCs w:val="18"/>
              </w:rPr>
              <w:t>204.1</w:t>
            </w:r>
          </w:p>
        </w:tc>
      </w:tr>
    </w:tbl>
    <w:p w:rsidR="000C1E59" w:rsidRPr="00B75B77" w:rsidRDefault="000C1E59" w:rsidP="00F94CBE">
      <w:pPr>
        <w:pStyle w:val="Source"/>
        <w:spacing w:before="20" w:after="20"/>
        <w:ind w:left="187" w:firstLine="0"/>
        <w:rPr>
          <w:rStyle w:val="Strong"/>
          <w:b w:val="0"/>
          <w:bCs w:val="0"/>
          <w:i w:val="0"/>
        </w:rPr>
      </w:pPr>
      <w:r w:rsidRPr="00B75B77">
        <w:rPr>
          <w:rStyle w:val="Strong"/>
          <w:b w:val="0"/>
          <w:bCs w:val="0"/>
          <w:i w:val="0"/>
        </w:rPr>
        <w:t xml:space="preserve">Note: </w:t>
      </w:r>
      <w:r w:rsidRPr="00B75B77">
        <w:rPr>
          <w:rFonts w:ascii="Calibri" w:hAnsi="Calibri"/>
          <w:i w:val="0"/>
          <w:iCs/>
          <w:color w:val="000000"/>
          <w:szCs w:val="18"/>
        </w:rPr>
        <w:t>Values in tables may not reconcile exactly with the sum of more detailed level results or previously reported results due to rounding.</w:t>
      </w:r>
    </w:p>
    <w:p w:rsidR="000C1E59" w:rsidRPr="00B75B77" w:rsidRDefault="000C1E59" w:rsidP="00F94CBE">
      <w:pPr>
        <w:pStyle w:val="Source"/>
        <w:rPr>
          <w:rStyle w:val="Strong"/>
          <w:b w:val="0"/>
        </w:rPr>
      </w:pPr>
      <w:r w:rsidRPr="00B75B77">
        <w:rPr>
          <w:rStyle w:val="Strong"/>
          <w:b w:val="0"/>
          <w:bCs w:val="0"/>
        </w:rPr>
        <w:t>Source: Navigant analysis</w:t>
      </w:r>
    </w:p>
    <w:p w:rsidR="005279FF" w:rsidRPr="00B75B77" w:rsidRDefault="005279FF" w:rsidP="005279FF">
      <w:bookmarkStart w:id="150" w:name="_Ref464563303"/>
      <w:bookmarkStart w:id="151" w:name="_Ref448933479"/>
      <w:bookmarkStart w:id="152" w:name="_Toc453075283"/>
      <w:r w:rsidRPr="00B75B77">
        <w:t>PECO achieved an overall PY7 demand reduction realization rate of 0.97 with PYTD verified gross demand reductions estimated at 124.8 MW with an achieved portfolio level precision of 3% at the 85% confidence interval (3.3% at the 90% confidence interval, exceeding the SWE Evaluation Framework requirements). PECO achieved Phase II verified gross demand reductions of 224.8 MW with an achieved portfolio level precision of 1% at the 90% confidence interval, thus exceeding the SWE Evaluation Framework requirements.</w:t>
      </w:r>
    </w:p>
    <w:p w:rsidR="005279FF" w:rsidRPr="00B75B77" w:rsidRDefault="005279FF" w:rsidP="005279FF">
      <w:pPr>
        <w:pStyle w:val="Source"/>
        <w:ind w:left="0" w:firstLine="0"/>
      </w:pPr>
    </w:p>
    <w:p w:rsidR="000C1E59" w:rsidRPr="00B75B77" w:rsidRDefault="00F1144C" w:rsidP="00F1144C">
      <w:pPr>
        <w:pStyle w:val="Caption"/>
      </w:pPr>
      <w:bookmarkStart w:id="153" w:name="_Ref464597281"/>
      <w:bookmarkStart w:id="154" w:name="_Toc466413495"/>
      <w:r w:rsidRPr="00B75B77">
        <w:lastRenderedPageBreak/>
        <w:t xml:space="preserve">Table </w:t>
      </w:r>
      <w:fldSimple w:instr=" STYLEREF 1 \s ">
        <w:r w:rsidR="0004016D">
          <w:rPr>
            <w:noProof/>
          </w:rPr>
          <w:t>1</w:t>
        </w:r>
      </w:fldSimple>
      <w:r w:rsidRPr="00B75B77">
        <w:noBreakHyphen/>
      </w:r>
      <w:fldSimple w:instr=" SEQ Table \* ARABIC \s 1 ">
        <w:r w:rsidR="0004016D">
          <w:rPr>
            <w:noProof/>
          </w:rPr>
          <w:t>13</w:t>
        </w:r>
      </w:fldSimple>
      <w:bookmarkEnd w:id="150"/>
      <w:bookmarkEnd w:id="153"/>
      <w:r w:rsidRPr="00B75B77">
        <w:t xml:space="preserve">: </w:t>
      </w:r>
      <w:bookmarkEnd w:id="151"/>
      <w:r w:rsidR="000C1E59" w:rsidRPr="00B75B77">
        <w:t>Verified Gross Demand Reduction by Program</w:t>
      </w:r>
      <w:bookmarkEnd w:id="152"/>
      <w:bookmarkEnd w:id="154"/>
    </w:p>
    <w:tbl>
      <w:tblPr>
        <w:tblStyle w:val="PECOTeal"/>
        <w:tblW w:w="9792" w:type="dxa"/>
        <w:tblLook w:val="04A0" w:firstRow="1" w:lastRow="0" w:firstColumn="1" w:lastColumn="0" w:noHBand="0" w:noVBand="1"/>
      </w:tblPr>
      <w:tblGrid>
        <w:gridCol w:w="1815"/>
        <w:gridCol w:w="1415"/>
        <w:gridCol w:w="1285"/>
        <w:gridCol w:w="1274"/>
        <w:gridCol w:w="1131"/>
        <w:gridCol w:w="1430"/>
        <w:gridCol w:w="1442"/>
      </w:tblGrid>
      <w:tr w:rsidR="00F1144C" w:rsidRPr="00B75B77" w:rsidTr="00F1144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5" w:type="dxa"/>
          </w:tcPr>
          <w:p w:rsidR="00F1144C" w:rsidRPr="00B75B77" w:rsidRDefault="00F1144C" w:rsidP="00F1144C">
            <w:pPr>
              <w:keepNext/>
              <w:jc w:val="left"/>
              <w:rPr>
                <w:rFonts w:ascii="Calibri" w:eastAsia="Times New Roman" w:hAnsi="Calibri"/>
                <w:color w:val="000000"/>
                <w:szCs w:val="18"/>
              </w:rPr>
            </w:pPr>
            <w:r w:rsidRPr="00B75B77">
              <w:rPr>
                <w:rFonts w:ascii="Calibri" w:eastAsia="Times New Roman" w:hAnsi="Calibri"/>
                <w:bCs w:val="0"/>
                <w:color w:val="FFFFFF"/>
                <w:szCs w:val="18"/>
              </w:rPr>
              <w:t>Program</w:t>
            </w:r>
          </w:p>
        </w:tc>
        <w:tc>
          <w:tcPr>
            <w:tcW w:w="1415" w:type="dxa"/>
          </w:tcPr>
          <w:p w:rsidR="00F1144C" w:rsidRPr="00B75B77" w:rsidRDefault="00F1144C" w:rsidP="00F1144C">
            <w:pPr>
              <w:keepNext/>
              <w:jc w:val="center"/>
              <w:cnfStyle w:val="100000000000" w:firstRow="1" w:lastRow="0" w:firstColumn="0" w:lastColumn="0" w:oddVBand="0" w:evenVBand="0" w:oddHBand="0" w:evenHBand="0" w:firstRowFirstColumn="0" w:firstRowLastColumn="0" w:lastRowFirstColumn="0" w:lastRowLastColumn="0"/>
              <w:rPr>
                <w:szCs w:val="18"/>
              </w:rPr>
            </w:pPr>
            <w:r w:rsidRPr="00B75B77">
              <w:rPr>
                <w:rFonts w:ascii="Calibri" w:eastAsia="Times New Roman" w:hAnsi="Calibri"/>
                <w:bCs w:val="0"/>
                <w:color w:val="FFFFFF"/>
                <w:szCs w:val="18"/>
              </w:rPr>
              <w:t>PYTD Reported Demand Savings (MW)</w:t>
            </w:r>
          </w:p>
        </w:tc>
        <w:tc>
          <w:tcPr>
            <w:tcW w:w="1285" w:type="dxa"/>
          </w:tcPr>
          <w:p w:rsidR="00F1144C" w:rsidRPr="00B75B77" w:rsidRDefault="00F1144C" w:rsidP="00F1144C">
            <w:pPr>
              <w:keepNext/>
              <w:jc w:val="center"/>
              <w:cnfStyle w:val="100000000000" w:firstRow="1" w:lastRow="0" w:firstColumn="0" w:lastColumn="0" w:oddVBand="0" w:evenVBand="0" w:oddHBand="0" w:evenHBand="0" w:firstRowFirstColumn="0" w:firstRowLastColumn="0" w:lastRowFirstColumn="0" w:lastRowLastColumn="0"/>
              <w:rPr>
                <w:szCs w:val="18"/>
              </w:rPr>
            </w:pPr>
            <w:r w:rsidRPr="00B75B77">
              <w:rPr>
                <w:rFonts w:ascii="Calibri" w:eastAsia="Times New Roman" w:hAnsi="Calibri"/>
                <w:bCs w:val="0"/>
                <w:color w:val="FFFFFF"/>
                <w:szCs w:val="18"/>
              </w:rPr>
              <w:t>PYTD Demand Realization Rate</w:t>
            </w:r>
          </w:p>
        </w:tc>
        <w:tc>
          <w:tcPr>
            <w:tcW w:w="1274" w:type="dxa"/>
          </w:tcPr>
          <w:p w:rsidR="00F1144C" w:rsidRPr="00B75B77" w:rsidRDefault="00F1144C" w:rsidP="00F1144C">
            <w:pPr>
              <w:keepNext/>
              <w:jc w:val="center"/>
              <w:cnfStyle w:val="100000000000" w:firstRow="1" w:lastRow="0" w:firstColumn="0" w:lastColumn="0" w:oddVBand="0" w:evenVBand="0" w:oddHBand="0" w:evenHBand="0" w:firstRowFirstColumn="0" w:firstRowLastColumn="0" w:lastRowFirstColumn="0" w:lastRowLastColumn="0"/>
              <w:rPr>
                <w:szCs w:val="18"/>
              </w:rPr>
            </w:pPr>
            <w:r w:rsidRPr="00B75B77">
              <w:rPr>
                <w:rFonts w:ascii="Calibri" w:eastAsia="Times New Roman" w:hAnsi="Calibri"/>
                <w:bCs w:val="0"/>
                <w:color w:val="FFFFFF"/>
                <w:szCs w:val="18"/>
              </w:rPr>
              <w:t>PYTD Verified Gross Demand Savings (MW)</w:t>
            </w:r>
          </w:p>
        </w:tc>
        <w:tc>
          <w:tcPr>
            <w:tcW w:w="1131" w:type="dxa"/>
          </w:tcPr>
          <w:p w:rsidR="00F1144C" w:rsidRPr="00B75B77" w:rsidRDefault="00F1144C" w:rsidP="00F1144C">
            <w:pPr>
              <w:keepNext/>
              <w:jc w:val="center"/>
              <w:cnfStyle w:val="100000000000" w:firstRow="1" w:lastRow="0" w:firstColumn="0" w:lastColumn="0" w:oddVBand="0" w:evenVBand="0" w:oddHBand="0" w:evenHBand="0" w:firstRowFirstColumn="0" w:firstRowLastColumn="0" w:lastRowFirstColumn="0" w:lastRowLastColumn="0"/>
              <w:rPr>
                <w:szCs w:val="18"/>
              </w:rPr>
            </w:pPr>
            <w:r w:rsidRPr="00B75B77">
              <w:rPr>
                <w:rFonts w:ascii="Calibri" w:eastAsia="Times New Roman" w:hAnsi="Calibri"/>
                <w:bCs w:val="0"/>
                <w:color w:val="FFFFFF"/>
                <w:szCs w:val="18"/>
              </w:rPr>
              <w:t>PYTD Achieved Precision</w:t>
            </w:r>
            <w:r w:rsidRPr="00B75B77">
              <w:rPr>
                <w:rFonts w:ascii="Calibri" w:eastAsia="Times New Roman" w:hAnsi="Calibri"/>
                <w:bCs w:val="0"/>
                <w:color w:val="FFFFFF"/>
                <w:szCs w:val="18"/>
                <w:vertAlign w:val="superscript"/>
              </w:rPr>
              <w:t>[1]</w:t>
            </w:r>
          </w:p>
        </w:tc>
        <w:tc>
          <w:tcPr>
            <w:tcW w:w="1430" w:type="dxa"/>
          </w:tcPr>
          <w:p w:rsidR="00F1144C" w:rsidRPr="00B75B77" w:rsidRDefault="00F1144C" w:rsidP="00F1144C">
            <w:pPr>
              <w:keepNext/>
              <w:jc w:val="center"/>
              <w:cnfStyle w:val="100000000000" w:firstRow="1" w:lastRow="0" w:firstColumn="0" w:lastColumn="0" w:oddVBand="0" w:evenVBand="0" w:oddHBand="0" w:evenHBand="0" w:firstRowFirstColumn="0" w:firstRowLastColumn="0" w:lastRowFirstColumn="0" w:lastRowLastColumn="0"/>
              <w:rPr>
                <w:szCs w:val="18"/>
              </w:rPr>
            </w:pPr>
            <w:r w:rsidRPr="00B75B77">
              <w:rPr>
                <w:rFonts w:ascii="Calibri" w:eastAsia="Times New Roman" w:hAnsi="Calibri"/>
                <w:bCs w:val="0"/>
                <w:color w:val="FFFFFF"/>
                <w:szCs w:val="18"/>
              </w:rPr>
              <w:t>Phase II Verified Gross Demand Savings (MW)</w:t>
            </w:r>
          </w:p>
        </w:tc>
        <w:tc>
          <w:tcPr>
            <w:tcW w:w="1442" w:type="dxa"/>
          </w:tcPr>
          <w:p w:rsidR="00F1144C" w:rsidRPr="00B75B77" w:rsidRDefault="00F1144C" w:rsidP="00F1144C">
            <w:pPr>
              <w:keepNext/>
              <w:jc w:val="center"/>
              <w:cnfStyle w:val="100000000000" w:firstRow="1" w:lastRow="0" w:firstColumn="0" w:lastColumn="0" w:oddVBand="0" w:evenVBand="0" w:oddHBand="0" w:evenHBand="0" w:firstRowFirstColumn="0" w:firstRowLastColumn="0" w:lastRowFirstColumn="0" w:lastRowLastColumn="0"/>
              <w:rPr>
                <w:szCs w:val="18"/>
              </w:rPr>
            </w:pPr>
            <w:r w:rsidRPr="00B75B77">
              <w:rPr>
                <w:rFonts w:ascii="Calibri" w:eastAsia="Times New Roman" w:hAnsi="Calibri"/>
                <w:bCs w:val="0"/>
                <w:color w:val="FFFFFF"/>
                <w:szCs w:val="18"/>
              </w:rPr>
              <w:t>Phase II Achieved Precision</w:t>
            </w:r>
            <w:r w:rsidRPr="00B75B77">
              <w:rPr>
                <w:rFonts w:ascii="Calibri" w:eastAsia="Times New Roman" w:hAnsi="Calibri"/>
                <w:bCs w:val="0"/>
                <w:color w:val="FFFFFF"/>
                <w:szCs w:val="18"/>
                <w:vertAlign w:val="superscript"/>
              </w:rPr>
              <w:t>[2]</w:t>
            </w:r>
          </w:p>
        </w:tc>
      </w:tr>
      <w:tr w:rsidR="000C1E59" w:rsidRPr="00B75B77" w:rsidTr="00F114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5" w:type="dxa"/>
            <w:hideMark/>
          </w:tcPr>
          <w:p w:rsidR="000C1E59" w:rsidRPr="00B75B77" w:rsidRDefault="000C1E59" w:rsidP="00F1144C">
            <w:pPr>
              <w:keepNext/>
              <w:jc w:val="left"/>
              <w:rPr>
                <w:rFonts w:ascii="Calibri" w:eastAsia="Times New Roman" w:hAnsi="Calibri"/>
                <w:b w:val="0"/>
                <w:color w:val="000000"/>
                <w:szCs w:val="18"/>
              </w:rPr>
            </w:pPr>
            <w:r w:rsidRPr="00B75B77">
              <w:rPr>
                <w:rFonts w:ascii="Calibri" w:eastAsia="Times New Roman" w:hAnsi="Calibri"/>
                <w:b w:val="0"/>
                <w:color w:val="000000"/>
                <w:szCs w:val="18"/>
              </w:rPr>
              <w:t>Smart Appliance Recycling</w:t>
            </w:r>
          </w:p>
        </w:tc>
        <w:tc>
          <w:tcPr>
            <w:tcW w:w="1415"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1.3</w:t>
            </w:r>
          </w:p>
        </w:tc>
        <w:tc>
          <w:tcPr>
            <w:tcW w:w="1285"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0.95</w:t>
            </w:r>
          </w:p>
        </w:tc>
        <w:tc>
          <w:tcPr>
            <w:tcW w:w="1274"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1.2</w:t>
            </w:r>
          </w:p>
        </w:tc>
        <w:tc>
          <w:tcPr>
            <w:tcW w:w="1131"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0%</w:t>
            </w:r>
          </w:p>
        </w:tc>
        <w:tc>
          <w:tcPr>
            <w:tcW w:w="143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3.4</w:t>
            </w:r>
          </w:p>
        </w:tc>
        <w:tc>
          <w:tcPr>
            <w:tcW w:w="1442"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0%</w:t>
            </w:r>
          </w:p>
        </w:tc>
      </w:tr>
      <w:tr w:rsidR="000C1E59" w:rsidRPr="00B75B77" w:rsidTr="00F1144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5" w:type="dxa"/>
            <w:hideMark/>
          </w:tcPr>
          <w:p w:rsidR="000C1E59" w:rsidRPr="00B75B77" w:rsidRDefault="000C1E59" w:rsidP="00F1144C">
            <w:pPr>
              <w:keepNext/>
              <w:jc w:val="left"/>
              <w:rPr>
                <w:rFonts w:ascii="Calibri" w:eastAsia="Times New Roman" w:hAnsi="Calibri"/>
                <w:b w:val="0"/>
                <w:color w:val="000000"/>
                <w:szCs w:val="18"/>
              </w:rPr>
            </w:pPr>
            <w:r w:rsidRPr="00B75B77">
              <w:rPr>
                <w:rFonts w:ascii="Calibri" w:eastAsia="Times New Roman" w:hAnsi="Calibri"/>
                <w:b w:val="0"/>
                <w:color w:val="000000"/>
                <w:szCs w:val="18"/>
              </w:rPr>
              <w:t>Smart Builder Rebates</w:t>
            </w:r>
          </w:p>
        </w:tc>
        <w:tc>
          <w:tcPr>
            <w:tcW w:w="1415"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0.1</w:t>
            </w:r>
          </w:p>
        </w:tc>
        <w:tc>
          <w:tcPr>
            <w:tcW w:w="1285"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0.76</w:t>
            </w:r>
          </w:p>
        </w:tc>
        <w:tc>
          <w:tcPr>
            <w:tcW w:w="1274"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0.1</w:t>
            </w:r>
          </w:p>
        </w:tc>
        <w:tc>
          <w:tcPr>
            <w:tcW w:w="1131"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22%</w:t>
            </w:r>
          </w:p>
        </w:tc>
        <w:tc>
          <w:tcPr>
            <w:tcW w:w="143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0.2</w:t>
            </w:r>
          </w:p>
        </w:tc>
        <w:tc>
          <w:tcPr>
            <w:tcW w:w="1442"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9%</w:t>
            </w:r>
          </w:p>
        </w:tc>
      </w:tr>
      <w:tr w:rsidR="000C1E59" w:rsidRPr="00B75B77" w:rsidTr="00F114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5" w:type="dxa"/>
            <w:hideMark/>
          </w:tcPr>
          <w:p w:rsidR="000C1E59" w:rsidRPr="00B75B77" w:rsidRDefault="000C1E59" w:rsidP="00F1144C">
            <w:pPr>
              <w:keepNext/>
              <w:jc w:val="left"/>
              <w:rPr>
                <w:rFonts w:ascii="Calibri" w:eastAsia="Times New Roman" w:hAnsi="Calibri"/>
                <w:b w:val="0"/>
                <w:color w:val="000000"/>
                <w:szCs w:val="18"/>
              </w:rPr>
            </w:pPr>
            <w:r w:rsidRPr="00B75B77">
              <w:rPr>
                <w:rFonts w:ascii="Calibri" w:eastAsia="Times New Roman" w:hAnsi="Calibri"/>
                <w:b w:val="0"/>
                <w:color w:val="000000"/>
                <w:szCs w:val="18"/>
              </w:rPr>
              <w:t>Smart Energy Saver</w:t>
            </w:r>
          </w:p>
        </w:tc>
        <w:tc>
          <w:tcPr>
            <w:tcW w:w="1415"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0.3</w:t>
            </w:r>
          </w:p>
        </w:tc>
        <w:tc>
          <w:tcPr>
            <w:tcW w:w="1285"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0.90</w:t>
            </w:r>
          </w:p>
        </w:tc>
        <w:tc>
          <w:tcPr>
            <w:tcW w:w="1274"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0.3</w:t>
            </w:r>
          </w:p>
        </w:tc>
        <w:tc>
          <w:tcPr>
            <w:tcW w:w="1131"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w:t>
            </w:r>
          </w:p>
        </w:tc>
        <w:tc>
          <w:tcPr>
            <w:tcW w:w="143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0.8</w:t>
            </w:r>
          </w:p>
        </w:tc>
        <w:tc>
          <w:tcPr>
            <w:tcW w:w="1442"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w:t>
            </w:r>
          </w:p>
        </w:tc>
      </w:tr>
      <w:tr w:rsidR="000C1E59" w:rsidRPr="00B75B77" w:rsidTr="00F1144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5" w:type="dxa"/>
            <w:hideMark/>
          </w:tcPr>
          <w:p w:rsidR="000C1E59" w:rsidRPr="00B75B77" w:rsidRDefault="000C1E59" w:rsidP="00F1144C">
            <w:pPr>
              <w:keepNext/>
              <w:jc w:val="left"/>
              <w:rPr>
                <w:rFonts w:ascii="Calibri" w:eastAsia="Times New Roman" w:hAnsi="Calibri"/>
                <w:b w:val="0"/>
                <w:color w:val="000000"/>
                <w:szCs w:val="18"/>
              </w:rPr>
            </w:pPr>
            <w:r w:rsidRPr="00B75B77">
              <w:rPr>
                <w:rFonts w:ascii="Calibri" w:eastAsia="Times New Roman" w:hAnsi="Calibri"/>
                <w:b w:val="0"/>
                <w:color w:val="000000"/>
                <w:szCs w:val="18"/>
              </w:rPr>
              <w:t>Smart Home Rebates</w:t>
            </w:r>
          </w:p>
        </w:tc>
        <w:tc>
          <w:tcPr>
            <w:tcW w:w="1415"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20.6</w:t>
            </w:r>
          </w:p>
        </w:tc>
        <w:tc>
          <w:tcPr>
            <w:tcW w:w="1285"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1.36</w:t>
            </w:r>
          </w:p>
        </w:tc>
        <w:tc>
          <w:tcPr>
            <w:tcW w:w="1274"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27.9</w:t>
            </w:r>
          </w:p>
        </w:tc>
        <w:tc>
          <w:tcPr>
            <w:tcW w:w="1131"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4%</w:t>
            </w:r>
          </w:p>
        </w:tc>
        <w:tc>
          <w:tcPr>
            <w:tcW w:w="143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63.5</w:t>
            </w:r>
          </w:p>
        </w:tc>
        <w:tc>
          <w:tcPr>
            <w:tcW w:w="1442"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2%</w:t>
            </w:r>
          </w:p>
        </w:tc>
      </w:tr>
      <w:tr w:rsidR="000C1E59" w:rsidRPr="00B75B77" w:rsidTr="00F114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5" w:type="dxa"/>
            <w:hideMark/>
          </w:tcPr>
          <w:p w:rsidR="000C1E59" w:rsidRPr="00B75B77" w:rsidRDefault="000C1E59" w:rsidP="00F1144C">
            <w:pPr>
              <w:keepNext/>
              <w:jc w:val="left"/>
              <w:rPr>
                <w:rFonts w:ascii="Calibri" w:eastAsia="Times New Roman" w:hAnsi="Calibri"/>
                <w:b w:val="0"/>
                <w:color w:val="000000"/>
                <w:szCs w:val="18"/>
              </w:rPr>
            </w:pPr>
            <w:r w:rsidRPr="00B75B77">
              <w:rPr>
                <w:rFonts w:ascii="Calibri" w:eastAsia="Times New Roman" w:hAnsi="Calibri"/>
                <w:b w:val="0"/>
                <w:color w:val="000000"/>
                <w:szCs w:val="18"/>
              </w:rPr>
              <w:t>Smart House Call</w:t>
            </w:r>
          </w:p>
        </w:tc>
        <w:tc>
          <w:tcPr>
            <w:tcW w:w="1415"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1.0</w:t>
            </w:r>
          </w:p>
        </w:tc>
        <w:tc>
          <w:tcPr>
            <w:tcW w:w="1285"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0.99</w:t>
            </w:r>
          </w:p>
        </w:tc>
        <w:tc>
          <w:tcPr>
            <w:tcW w:w="1274"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0.9</w:t>
            </w:r>
          </w:p>
        </w:tc>
        <w:tc>
          <w:tcPr>
            <w:tcW w:w="1131"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w:t>
            </w:r>
          </w:p>
        </w:tc>
        <w:tc>
          <w:tcPr>
            <w:tcW w:w="143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1.5</w:t>
            </w:r>
          </w:p>
        </w:tc>
        <w:tc>
          <w:tcPr>
            <w:tcW w:w="1442"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w:t>
            </w:r>
          </w:p>
        </w:tc>
      </w:tr>
      <w:tr w:rsidR="000C1E59" w:rsidRPr="00B75B77" w:rsidTr="00F1144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5" w:type="dxa"/>
            <w:hideMark/>
          </w:tcPr>
          <w:p w:rsidR="000C1E59" w:rsidRPr="00B75B77" w:rsidRDefault="000C1E59" w:rsidP="00F1144C">
            <w:pPr>
              <w:keepNext/>
              <w:jc w:val="left"/>
              <w:rPr>
                <w:rFonts w:ascii="Calibri" w:eastAsia="Times New Roman" w:hAnsi="Calibri"/>
                <w:b w:val="0"/>
                <w:color w:val="000000"/>
                <w:szCs w:val="18"/>
              </w:rPr>
            </w:pPr>
            <w:r w:rsidRPr="00B75B77">
              <w:rPr>
                <w:rFonts w:ascii="Calibri" w:eastAsia="Times New Roman" w:hAnsi="Calibri"/>
                <w:b w:val="0"/>
                <w:color w:val="000000"/>
                <w:szCs w:val="18"/>
              </w:rPr>
              <w:t>Smart Multi-Family Solutions</w:t>
            </w:r>
          </w:p>
        </w:tc>
        <w:tc>
          <w:tcPr>
            <w:tcW w:w="1415"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0.7</w:t>
            </w:r>
          </w:p>
        </w:tc>
        <w:tc>
          <w:tcPr>
            <w:tcW w:w="1285"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1.80</w:t>
            </w:r>
          </w:p>
        </w:tc>
        <w:tc>
          <w:tcPr>
            <w:tcW w:w="1274"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1.2</w:t>
            </w:r>
          </w:p>
        </w:tc>
        <w:tc>
          <w:tcPr>
            <w:tcW w:w="1131"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3%</w:t>
            </w:r>
          </w:p>
        </w:tc>
        <w:tc>
          <w:tcPr>
            <w:tcW w:w="143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1.8</w:t>
            </w:r>
          </w:p>
        </w:tc>
        <w:tc>
          <w:tcPr>
            <w:tcW w:w="1442"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2%</w:t>
            </w:r>
          </w:p>
        </w:tc>
      </w:tr>
      <w:tr w:rsidR="000C1E59" w:rsidRPr="00B75B77" w:rsidTr="00F114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5" w:type="dxa"/>
            <w:hideMark/>
          </w:tcPr>
          <w:p w:rsidR="000C1E59" w:rsidRPr="00B75B77" w:rsidRDefault="000C1E59" w:rsidP="00F1144C">
            <w:pPr>
              <w:keepNext/>
              <w:jc w:val="left"/>
              <w:rPr>
                <w:rFonts w:ascii="Calibri" w:eastAsia="Times New Roman" w:hAnsi="Calibri"/>
                <w:b w:val="0"/>
                <w:color w:val="000000"/>
                <w:szCs w:val="18"/>
              </w:rPr>
            </w:pPr>
            <w:r w:rsidRPr="00B75B77">
              <w:rPr>
                <w:rFonts w:ascii="Calibri" w:eastAsia="Times New Roman" w:hAnsi="Calibri"/>
                <w:b w:val="0"/>
                <w:color w:val="000000"/>
                <w:szCs w:val="18"/>
              </w:rPr>
              <w:t>Smart Usage Profile</w:t>
            </w:r>
          </w:p>
        </w:tc>
        <w:tc>
          <w:tcPr>
            <w:tcW w:w="1415"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0.0</w:t>
            </w:r>
          </w:p>
        </w:tc>
        <w:tc>
          <w:tcPr>
            <w:tcW w:w="1285"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N/A</w:t>
            </w:r>
          </w:p>
        </w:tc>
        <w:tc>
          <w:tcPr>
            <w:tcW w:w="1274"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0.0</w:t>
            </w:r>
          </w:p>
        </w:tc>
        <w:tc>
          <w:tcPr>
            <w:tcW w:w="1131"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N/A</w:t>
            </w:r>
          </w:p>
        </w:tc>
        <w:tc>
          <w:tcPr>
            <w:tcW w:w="143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0.0</w:t>
            </w:r>
          </w:p>
        </w:tc>
        <w:tc>
          <w:tcPr>
            <w:tcW w:w="1442"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N/A</w:t>
            </w:r>
          </w:p>
        </w:tc>
      </w:tr>
      <w:tr w:rsidR="000C1E59" w:rsidRPr="00B75B77" w:rsidTr="00F1144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5" w:type="dxa"/>
            <w:hideMark/>
          </w:tcPr>
          <w:p w:rsidR="000C1E59" w:rsidRPr="00B75B77" w:rsidRDefault="000C1E59" w:rsidP="00F1144C">
            <w:pPr>
              <w:keepNext/>
              <w:jc w:val="left"/>
              <w:rPr>
                <w:rFonts w:ascii="Calibri" w:eastAsia="Times New Roman" w:hAnsi="Calibri"/>
                <w:b w:val="0"/>
                <w:color w:val="000000"/>
                <w:szCs w:val="18"/>
              </w:rPr>
            </w:pPr>
            <w:r w:rsidRPr="00B75B77">
              <w:rPr>
                <w:rFonts w:ascii="Calibri" w:eastAsia="Times New Roman" w:hAnsi="Calibri"/>
                <w:b w:val="0"/>
                <w:color w:val="000000"/>
                <w:szCs w:val="18"/>
              </w:rPr>
              <w:t>Low-Income Energy Efficiency</w:t>
            </w:r>
          </w:p>
        </w:tc>
        <w:tc>
          <w:tcPr>
            <w:tcW w:w="1415"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2.6</w:t>
            </w:r>
          </w:p>
        </w:tc>
        <w:tc>
          <w:tcPr>
            <w:tcW w:w="1285"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0.92</w:t>
            </w:r>
          </w:p>
        </w:tc>
        <w:tc>
          <w:tcPr>
            <w:tcW w:w="1274"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2.4</w:t>
            </w:r>
          </w:p>
        </w:tc>
        <w:tc>
          <w:tcPr>
            <w:tcW w:w="1131"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0%</w:t>
            </w:r>
          </w:p>
        </w:tc>
        <w:tc>
          <w:tcPr>
            <w:tcW w:w="143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6.2</w:t>
            </w:r>
          </w:p>
        </w:tc>
        <w:tc>
          <w:tcPr>
            <w:tcW w:w="1442"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0%</w:t>
            </w:r>
          </w:p>
        </w:tc>
      </w:tr>
      <w:tr w:rsidR="000C1E59" w:rsidRPr="00B75B77" w:rsidTr="00F114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5" w:type="dxa"/>
            <w:hideMark/>
          </w:tcPr>
          <w:p w:rsidR="000C1E59" w:rsidRPr="00B75B77" w:rsidRDefault="000C1E59" w:rsidP="00F1144C">
            <w:pPr>
              <w:keepNext/>
              <w:jc w:val="left"/>
              <w:rPr>
                <w:rFonts w:ascii="Calibri" w:eastAsia="Times New Roman" w:hAnsi="Calibri"/>
                <w:b w:val="0"/>
                <w:color w:val="000000"/>
                <w:szCs w:val="18"/>
              </w:rPr>
            </w:pPr>
            <w:r w:rsidRPr="00B75B77">
              <w:rPr>
                <w:rFonts w:ascii="Calibri" w:eastAsia="Times New Roman" w:hAnsi="Calibri"/>
                <w:b w:val="0"/>
                <w:color w:val="000000"/>
                <w:szCs w:val="18"/>
              </w:rPr>
              <w:t>Residential Smart AC Saver</w:t>
            </w:r>
          </w:p>
        </w:tc>
        <w:tc>
          <w:tcPr>
            <w:tcW w:w="1415"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49.6</w:t>
            </w:r>
          </w:p>
        </w:tc>
        <w:tc>
          <w:tcPr>
            <w:tcW w:w="1285"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0.82</w:t>
            </w:r>
          </w:p>
        </w:tc>
        <w:tc>
          <w:tcPr>
            <w:tcW w:w="1274"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40.5</w:t>
            </w:r>
          </w:p>
        </w:tc>
        <w:tc>
          <w:tcPr>
            <w:tcW w:w="1131"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0%</w:t>
            </w:r>
          </w:p>
        </w:tc>
        <w:tc>
          <w:tcPr>
            <w:tcW w:w="143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55.5</w:t>
            </w:r>
          </w:p>
        </w:tc>
        <w:tc>
          <w:tcPr>
            <w:tcW w:w="1442"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0%</w:t>
            </w:r>
          </w:p>
        </w:tc>
      </w:tr>
      <w:tr w:rsidR="000C1E59" w:rsidRPr="00B75B77" w:rsidTr="00F1144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5" w:type="dxa"/>
            <w:hideMark/>
          </w:tcPr>
          <w:p w:rsidR="000C1E59" w:rsidRPr="00B75B77" w:rsidRDefault="000C1E59" w:rsidP="00F1144C">
            <w:pPr>
              <w:keepNext/>
              <w:jc w:val="left"/>
              <w:rPr>
                <w:rFonts w:ascii="Calibri" w:eastAsia="Times New Roman" w:hAnsi="Calibri"/>
                <w:b w:val="0"/>
                <w:color w:val="000000"/>
                <w:szCs w:val="18"/>
              </w:rPr>
            </w:pPr>
            <w:r w:rsidRPr="00B75B77">
              <w:rPr>
                <w:rFonts w:ascii="Calibri" w:eastAsia="Times New Roman" w:hAnsi="Calibri"/>
                <w:b w:val="0"/>
                <w:color w:val="000000"/>
                <w:szCs w:val="18"/>
              </w:rPr>
              <w:t>Smart Business Solutions</w:t>
            </w:r>
          </w:p>
        </w:tc>
        <w:tc>
          <w:tcPr>
            <w:tcW w:w="1415"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1.1</w:t>
            </w:r>
          </w:p>
        </w:tc>
        <w:tc>
          <w:tcPr>
            <w:tcW w:w="1285"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0.97</w:t>
            </w:r>
          </w:p>
        </w:tc>
        <w:tc>
          <w:tcPr>
            <w:tcW w:w="1274"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1.1</w:t>
            </w:r>
          </w:p>
        </w:tc>
        <w:tc>
          <w:tcPr>
            <w:tcW w:w="1131"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8%</w:t>
            </w:r>
          </w:p>
        </w:tc>
        <w:tc>
          <w:tcPr>
            <w:tcW w:w="143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7.6</w:t>
            </w:r>
          </w:p>
        </w:tc>
        <w:tc>
          <w:tcPr>
            <w:tcW w:w="1442"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3%</w:t>
            </w:r>
          </w:p>
        </w:tc>
      </w:tr>
      <w:tr w:rsidR="000C1E59" w:rsidRPr="00B75B77" w:rsidTr="00F114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5" w:type="dxa"/>
            <w:hideMark/>
          </w:tcPr>
          <w:p w:rsidR="000C1E59" w:rsidRPr="00B75B77" w:rsidRDefault="000C1E59" w:rsidP="00F1144C">
            <w:pPr>
              <w:keepNext/>
              <w:jc w:val="left"/>
              <w:rPr>
                <w:rFonts w:ascii="Calibri" w:eastAsia="Times New Roman" w:hAnsi="Calibri"/>
                <w:b w:val="0"/>
                <w:color w:val="000000"/>
                <w:szCs w:val="18"/>
              </w:rPr>
            </w:pPr>
            <w:r w:rsidRPr="00B75B77">
              <w:rPr>
                <w:rFonts w:ascii="Calibri" w:eastAsia="Times New Roman" w:hAnsi="Calibri"/>
                <w:b w:val="0"/>
                <w:color w:val="000000"/>
                <w:szCs w:val="18"/>
              </w:rPr>
              <w:t>Smart Construction Incentives</w:t>
            </w:r>
          </w:p>
        </w:tc>
        <w:tc>
          <w:tcPr>
            <w:tcW w:w="1415"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5.1</w:t>
            </w:r>
          </w:p>
        </w:tc>
        <w:tc>
          <w:tcPr>
            <w:tcW w:w="1285"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0.72</w:t>
            </w:r>
          </w:p>
        </w:tc>
        <w:tc>
          <w:tcPr>
            <w:tcW w:w="1274"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3.7</w:t>
            </w:r>
          </w:p>
        </w:tc>
        <w:tc>
          <w:tcPr>
            <w:tcW w:w="1131"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22%</w:t>
            </w:r>
          </w:p>
        </w:tc>
        <w:tc>
          <w:tcPr>
            <w:tcW w:w="143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6.6</w:t>
            </w:r>
          </w:p>
        </w:tc>
        <w:tc>
          <w:tcPr>
            <w:tcW w:w="1442"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8%</w:t>
            </w:r>
          </w:p>
        </w:tc>
      </w:tr>
      <w:tr w:rsidR="000C1E59" w:rsidRPr="00B75B77" w:rsidTr="00F1144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5" w:type="dxa"/>
            <w:hideMark/>
          </w:tcPr>
          <w:p w:rsidR="000C1E59" w:rsidRPr="00B75B77" w:rsidRDefault="000C1E59" w:rsidP="00F1144C">
            <w:pPr>
              <w:keepNext/>
              <w:jc w:val="left"/>
              <w:rPr>
                <w:rFonts w:ascii="Calibri" w:eastAsia="Times New Roman" w:hAnsi="Calibri"/>
                <w:b w:val="0"/>
                <w:color w:val="000000"/>
                <w:szCs w:val="18"/>
              </w:rPr>
            </w:pPr>
            <w:r w:rsidRPr="00B75B77">
              <w:rPr>
                <w:rFonts w:ascii="Calibri" w:eastAsia="Times New Roman" w:hAnsi="Calibri"/>
                <w:b w:val="0"/>
                <w:color w:val="000000"/>
                <w:szCs w:val="18"/>
              </w:rPr>
              <w:t>Smart Equipment Incentives - C&amp;I</w:t>
            </w:r>
          </w:p>
        </w:tc>
        <w:tc>
          <w:tcPr>
            <w:tcW w:w="1415"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18.4</w:t>
            </w:r>
          </w:p>
        </w:tc>
        <w:tc>
          <w:tcPr>
            <w:tcW w:w="1285"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1.07</w:t>
            </w:r>
          </w:p>
        </w:tc>
        <w:tc>
          <w:tcPr>
            <w:tcW w:w="1274"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19.6</w:t>
            </w:r>
          </w:p>
        </w:tc>
        <w:tc>
          <w:tcPr>
            <w:tcW w:w="1131"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17%</w:t>
            </w:r>
          </w:p>
        </w:tc>
        <w:tc>
          <w:tcPr>
            <w:tcW w:w="143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3</w:t>
            </w:r>
            <w:r w:rsidR="00704A6B" w:rsidRPr="00B75B77">
              <w:rPr>
                <w:szCs w:val="18"/>
              </w:rPr>
              <w:t>9.1</w:t>
            </w:r>
          </w:p>
        </w:tc>
        <w:tc>
          <w:tcPr>
            <w:tcW w:w="1442"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7%</w:t>
            </w:r>
          </w:p>
        </w:tc>
      </w:tr>
      <w:tr w:rsidR="000C1E59" w:rsidRPr="00B75B77" w:rsidTr="00F114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5" w:type="dxa"/>
            <w:hideMark/>
          </w:tcPr>
          <w:p w:rsidR="000C1E59" w:rsidRPr="00B75B77" w:rsidRDefault="000C1E59" w:rsidP="00F1144C">
            <w:pPr>
              <w:keepNext/>
              <w:jc w:val="left"/>
              <w:rPr>
                <w:rFonts w:ascii="Calibri" w:eastAsia="Times New Roman" w:hAnsi="Calibri"/>
                <w:b w:val="0"/>
                <w:color w:val="000000"/>
                <w:szCs w:val="18"/>
              </w:rPr>
            </w:pPr>
            <w:r w:rsidRPr="00B75B77">
              <w:rPr>
                <w:rFonts w:ascii="Calibri" w:eastAsia="Times New Roman" w:hAnsi="Calibri"/>
                <w:b w:val="0"/>
                <w:color w:val="000000"/>
                <w:szCs w:val="18"/>
              </w:rPr>
              <w:t>Smart Equipment Incentives - GNI</w:t>
            </w:r>
          </w:p>
        </w:tc>
        <w:tc>
          <w:tcPr>
            <w:tcW w:w="1415"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20.6</w:t>
            </w:r>
          </w:p>
        </w:tc>
        <w:tc>
          <w:tcPr>
            <w:tcW w:w="1285"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1.04</w:t>
            </w:r>
          </w:p>
        </w:tc>
        <w:tc>
          <w:tcPr>
            <w:tcW w:w="1274"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21.4</w:t>
            </w:r>
          </w:p>
        </w:tc>
        <w:tc>
          <w:tcPr>
            <w:tcW w:w="1131"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6%</w:t>
            </w:r>
          </w:p>
        </w:tc>
        <w:tc>
          <w:tcPr>
            <w:tcW w:w="143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25.</w:t>
            </w:r>
            <w:r w:rsidR="00704A6B" w:rsidRPr="00B75B77">
              <w:rPr>
                <w:szCs w:val="18"/>
              </w:rPr>
              <w:t>5</w:t>
            </w:r>
          </w:p>
        </w:tc>
        <w:tc>
          <w:tcPr>
            <w:tcW w:w="1442"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4%</w:t>
            </w:r>
          </w:p>
        </w:tc>
      </w:tr>
      <w:tr w:rsidR="000C1E59" w:rsidRPr="00B75B77" w:rsidTr="00F1144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5" w:type="dxa"/>
            <w:hideMark/>
          </w:tcPr>
          <w:p w:rsidR="000C1E59" w:rsidRPr="00B75B77" w:rsidRDefault="000C1E59" w:rsidP="00F1144C">
            <w:pPr>
              <w:keepNext/>
              <w:jc w:val="left"/>
              <w:rPr>
                <w:rFonts w:ascii="Calibri" w:eastAsia="Times New Roman" w:hAnsi="Calibri"/>
                <w:b w:val="0"/>
                <w:color w:val="000000"/>
                <w:szCs w:val="18"/>
              </w:rPr>
            </w:pPr>
            <w:r w:rsidRPr="00B75B77">
              <w:rPr>
                <w:rFonts w:ascii="Calibri" w:eastAsia="Times New Roman" w:hAnsi="Calibri"/>
                <w:b w:val="0"/>
                <w:color w:val="000000"/>
                <w:szCs w:val="18"/>
              </w:rPr>
              <w:t>Smart On-Site</w:t>
            </w:r>
          </w:p>
        </w:tc>
        <w:tc>
          <w:tcPr>
            <w:tcW w:w="1415"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4.5</w:t>
            </w:r>
          </w:p>
        </w:tc>
        <w:tc>
          <w:tcPr>
            <w:tcW w:w="1285"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0.86</w:t>
            </w:r>
          </w:p>
        </w:tc>
        <w:tc>
          <w:tcPr>
            <w:tcW w:w="1274"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3.9</w:t>
            </w:r>
          </w:p>
        </w:tc>
        <w:tc>
          <w:tcPr>
            <w:tcW w:w="1131"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0%</w:t>
            </w:r>
          </w:p>
        </w:tc>
        <w:tc>
          <w:tcPr>
            <w:tcW w:w="143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11.6</w:t>
            </w:r>
          </w:p>
        </w:tc>
        <w:tc>
          <w:tcPr>
            <w:tcW w:w="1442"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0%</w:t>
            </w:r>
          </w:p>
        </w:tc>
      </w:tr>
      <w:tr w:rsidR="000C1E59" w:rsidRPr="00B75B77" w:rsidTr="00F114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5" w:type="dxa"/>
            <w:hideMark/>
          </w:tcPr>
          <w:p w:rsidR="000C1E59" w:rsidRPr="00B75B77" w:rsidRDefault="000C1E59" w:rsidP="00F1144C">
            <w:pPr>
              <w:keepNext/>
              <w:jc w:val="left"/>
              <w:rPr>
                <w:rFonts w:ascii="Calibri" w:eastAsia="Times New Roman" w:hAnsi="Calibri"/>
                <w:b w:val="0"/>
                <w:color w:val="000000"/>
                <w:szCs w:val="18"/>
              </w:rPr>
            </w:pPr>
            <w:r w:rsidRPr="00B75B77">
              <w:rPr>
                <w:rFonts w:ascii="Calibri" w:eastAsia="Times New Roman" w:hAnsi="Calibri"/>
                <w:b w:val="0"/>
                <w:color w:val="000000"/>
                <w:szCs w:val="18"/>
              </w:rPr>
              <w:t>Commercial Smart AC Saver</w:t>
            </w:r>
          </w:p>
        </w:tc>
        <w:tc>
          <w:tcPr>
            <w:tcW w:w="1415"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3.0</w:t>
            </w:r>
          </w:p>
        </w:tc>
        <w:tc>
          <w:tcPr>
            <w:tcW w:w="1285"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0.18</w:t>
            </w:r>
          </w:p>
        </w:tc>
        <w:tc>
          <w:tcPr>
            <w:tcW w:w="1274"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0.6</w:t>
            </w:r>
          </w:p>
        </w:tc>
        <w:tc>
          <w:tcPr>
            <w:tcW w:w="1131"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0%</w:t>
            </w:r>
          </w:p>
        </w:tc>
        <w:tc>
          <w:tcPr>
            <w:tcW w:w="143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1.5</w:t>
            </w:r>
          </w:p>
        </w:tc>
        <w:tc>
          <w:tcPr>
            <w:tcW w:w="1442"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0%</w:t>
            </w:r>
          </w:p>
        </w:tc>
      </w:tr>
      <w:tr w:rsidR="000C1E59" w:rsidRPr="00B75B77" w:rsidTr="00F1144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5" w:type="dxa"/>
            <w:hideMark/>
          </w:tcPr>
          <w:p w:rsidR="000C1E59" w:rsidRPr="00B75B77" w:rsidRDefault="000C1E59" w:rsidP="00F1144C">
            <w:pPr>
              <w:keepNext/>
              <w:jc w:val="left"/>
              <w:rPr>
                <w:rFonts w:ascii="Calibri" w:eastAsia="Times New Roman" w:hAnsi="Calibri"/>
                <w:bCs w:val="0"/>
                <w:color w:val="000000"/>
                <w:szCs w:val="18"/>
              </w:rPr>
            </w:pPr>
            <w:r w:rsidRPr="00B75B77">
              <w:rPr>
                <w:rFonts w:ascii="Calibri" w:eastAsia="Times New Roman" w:hAnsi="Calibri"/>
                <w:bCs w:val="0"/>
                <w:color w:val="000000"/>
                <w:szCs w:val="18"/>
              </w:rPr>
              <w:t>TOTAL PORTFOLIO</w:t>
            </w:r>
          </w:p>
        </w:tc>
        <w:tc>
          <w:tcPr>
            <w:tcW w:w="1415"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Cs w:val="18"/>
              </w:rPr>
            </w:pPr>
            <w:r w:rsidRPr="00B75B77">
              <w:rPr>
                <w:b/>
                <w:szCs w:val="18"/>
              </w:rPr>
              <w:t>129.0</w:t>
            </w:r>
          </w:p>
        </w:tc>
        <w:tc>
          <w:tcPr>
            <w:tcW w:w="1285"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Cs w:val="18"/>
              </w:rPr>
            </w:pPr>
            <w:r w:rsidRPr="00B75B77">
              <w:rPr>
                <w:b/>
                <w:szCs w:val="18"/>
              </w:rPr>
              <w:t>0.97</w:t>
            </w:r>
          </w:p>
        </w:tc>
        <w:tc>
          <w:tcPr>
            <w:tcW w:w="1274"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Cs w:val="18"/>
              </w:rPr>
            </w:pPr>
            <w:r w:rsidRPr="00B75B77">
              <w:rPr>
                <w:b/>
                <w:szCs w:val="18"/>
              </w:rPr>
              <w:t>124.8</w:t>
            </w:r>
          </w:p>
        </w:tc>
        <w:tc>
          <w:tcPr>
            <w:tcW w:w="1131"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Cs w:val="18"/>
              </w:rPr>
            </w:pPr>
            <w:r w:rsidRPr="00B75B77">
              <w:rPr>
                <w:b/>
                <w:szCs w:val="18"/>
              </w:rPr>
              <w:t>3%</w:t>
            </w:r>
          </w:p>
        </w:tc>
        <w:tc>
          <w:tcPr>
            <w:tcW w:w="143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Cs w:val="18"/>
              </w:rPr>
            </w:pPr>
            <w:r w:rsidRPr="00B75B77">
              <w:rPr>
                <w:b/>
                <w:szCs w:val="18"/>
              </w:rPr>
              <w:t>224.8</w:t>
            </w:r>
          </w:p>
        </w:tc>
        <w:tc>
          <w:tcPr>
            <w:tcW w:w="1442"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Cs w:val="18"/>
              </w:rPr>
            </w:pPr>
            <w:r w:rsidRPr="00B75B77">
              <w:rPr>
                <w:b/>
                <w:szCs w:val="18"/>
              </w:rPr>
              <w:t>1%</w:t>
            </w:r>
          </w:p>
        </w:tc>
      </w:tr>
      <w:tr w:rsidR="000C1E59" w:rsidRPr="00B75B77" w:rsidTr="00F114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5" w:type="dxa"/>
            <w:hideMark/>
          </w:tcPr>
          <w:p w:rsidR="000C1E59" w:rsidRPr="00B75B77" w:rsidRDefault="000C1E59" w:rsidP="00F1144C">
            <w:pPr>
              <w:keepNext/>
              <w:jc w:val="left"/>
              <w:rPr>
                <w:rFonts w:ascii="Calibri" w:eastAsia="Times New Roman" w:hAnsi="Calibri"/>
                <w:b w:val="0"/>
                <w:bCs w:val="0"/>
                <w:color w:val="000000"/>
                <w:szCs w:val="18"/>
              </w:rPr>
            </w:pPr>
            <w:r w:rsidRPr="00B75B77">
              <w:rPr>
                <w:rFonts w:ascii="Calibri" w:eastAsia="Times New Roman" w:hAnsi="Calibri"/>
                <w:b w:val="0"/>
                <w:bCs w:val="0"/>
                <w:color w:val="000000"/>
                <w:szCs w:val="18"/>
              </w:rPr>
              <w:t>Phase I Carry</w:t>
            </w:r>
            <w:r w:rsidR="00D06BF7" w:rsidRPr="00B75B77">
              <w:rPr>
                <w:rFonts w:ascii="Calibri" w:eastAsia="Times New Roman" w:hAnsi="Calibri"/>
                <w:b w:val="0"/>
                <w:bCs w:val="0"/>
                <w:color w:val="000000"/>
                <w:szCs w:val="18"/>
              </w:rPr>
              <w:t>-O</w:t>
            </w:r>
            <w:r w:rsidRPr="00B75B77">
              <w:rPr>
                <w:rFonts w:ascii="Calibri" w:eastAsia="Times New Roman" w:hAnsi="Calibri"/>
                <w:b w:val="0"/>
                <w:bCs w:val="0"/>
                <w:color w:val="000000"/>
                <w:szCs w:val="18"/>
              </w:rPr>
              <w:t>ver</w:t>
            </w:r>
          </w:p>
        </w:tc>
        <w:tc>
          <w:tcPr>
            <w:tcW w:w="1415"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N/A</w:t>
            </w:r>
          </w:p>
        </w:tc>
        <w:tc>
          <w:tcPr>
            <w:tcW w:w="1285"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N/A</w:t>
            </w:r>
          </w:p>
        </w:tc>
        <w:tc>
          <w:tcPr>
            <w:tcW w:w="1274"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N/A</w:t>
            </w:r>
          </w:p>
        </w:tc>
        <w:tc>
          <w:tcPr>
            <w:tcW w:w="1131"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N/A</w:t>
            </w:r>
          </w:p>
        </w:tc>
        <w:tc>
          <w:tcPr>
            <w:tcW w:w="143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N/A</w:t>
            </w:r>
          </w:p>
        </w:tc>
        <w:tc>
          <w:tcPr>
            <w:tcW w:w="1442"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N/A</w:t>
            </w:r>
          </w:p>
        </w:tc>
      </w:tr>
      <w:tr w:rsidR="000C1E59" w:rsidRPr="00B75B77" w:rsidTr="00F1144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5" w:type="dxa"/>
            <w:hideMark/>
          </w:tcPr>
          <w:p w:rsidR="000C1E59" w:rsidRPr="00B75B77" w:rsidRDefault="000C1E59" w:rsidP="00F1144C">
            <w:pPr>
              <w:keepNext/>
              <w:jc w:val="left"/>
              <w:rPr>
                <w:rFonts w:ascii="Calibri" w:eastAsia="Times New Roman" w:hAnsi="Calibri"/>
                <w:bCs w:val="0"/>
                <w:color w:val="000000"/>
                <w:szCs w:val="18"/>
              </w:rPr>
            </w:pPr>
            <w:r w:rsidRPr="00B75B77">
              <w:rPr>
                <w:rFonts w:ascii="Calibri" w:eastAsia="Times New Roman" w:hAnsi="Calibri"/>
                <w:bCs w:val="0"/>
                <w:color w:val="000000"/>
                <w:szCs w:val="18"/>
              </w:rPr>
              <w:t>Total Phase II+CO</w:t>
            </w:r>
          </w:p>
        </w:tc>
        <w:tc>
          <w:tcPr>
            <w:tcW w:w="1415"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b/>
              </w:rPr>
            </w:pPr>
            <w:r w:rsidRPr="00B75B77">
              <w:rPr>
                <w:b/>
              </w:rPr>
              <w:t>N/A</w:t>
            </w:r>
          </w:p>
        </w:tc>
        <w:tc>
          <w:tcPr>
            <w:tcW w:w="1285"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b/>
              </w:rPr>
            </w:pPr>
            <w:r w:rsidRPr="00B75B77">
              <w:rPr>
                <w:b/>
              </w:rPr>
              <w:t>N/A</w:t>
            </w:r>
          </w:p>
        </w:tc>
        <w:tc>
          <w:tcPr>
            <w:tcW w:w="1274"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b/>
              </w:rPr>
            </w:pPr>
            <w:r w:rsidRPr="00B75B77">
              <w:rPr>
                <w:b/>
              </w:rPr>
              <w:t>N/A</w:t>
            </w:r>
          </w:p>
        </w:tc>
        <w:tc>
          <w:tcPr>
            <w:tcW w:w="1131"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b/>
              </w:rPr>
            </w:pPr>
            <w:r w:rsidRPr="00B75B77">
              <w:rPr>
                <w:b/>
              </w:rPr>
              <w:t>N/A</w:t>
            </w:r>
          </w:p>
        </w:tc>
        <w:tc>
          <w:tcPr>
            <w:tcW w:w="143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b/>
              </w:rPr>
            </w:pPr>
            <w:r w:rsidRPr="00B75B77">
              <w:rPr>
                <w:b/>
              </w:rPr>
              <w:t>N/A</w:t>
            </w:r>
          </w:p>
        </w:tc>
        <w:tc>
          <w:tcPr>
            <w:tcW w:w="1442"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b/>
              </w:rPr>
            </w:pPr>
            <w:r w:rsidRPr="00B75B77">
              <w:rPr>
                <w:b/>
              </w:rPr>
              <w:t>N/A</w:t>
            </w:r>
          </w:p>
        </w:tc>
      </w:tr>
    </w:tbl>
    <w:p w:rsidR="000C1E59" w:rsidRPr="00B75B77" w:rsidRDefault="000C1E59" w:rsidP="00F1144C">
      <w:pPr>
        <w:pStyle w:val="Source"/>
        <w:keepNext/>
        <w:spacing w:after="0"/>
        <w:rPr>
          <w:i w:val="0"/>
        </w:rPr>
      </w:pPr>
      <w:bookmarkStart w:id="155" w:name="_Ref253150488"/>
      <w:r w:rsidRPr="00B75B77">
        <w:rPr>
          <w:i w:val="0"/>
          <w:vertAlign w:val="superscript"/>
        </w:rPr>
        <w:t>[1]</w:t>
      </w:r>
      <w:r w:rsidRPr="00B75B77">
        <w:rPr>
          <w:i w:val="0"/>
        </w:rPr>
        <w:t xml:space="preserve"> At the 85% confidence level </w:t>
      </w:r>
    </w:p>
    <w:p w:rsidR="000C1E59" w:rsidRPr="00B75B77" w:rsidRDefault="000C1E59" w:rsidP="00F1144C">
      <w:pPr>
        <w:pStyle w:val="Source"/>
        <w:keepNext/>
        <w:spacing w:before="20" w:after="20"/>
        <w:ind w:left="187" w:firstLine="0"/>
        <w:rPr>
          <w:rStyle w:val="Strong"/>
          <w:b w:val="0"/>
          <w:bCs w:val="0"/>
          <w:i w:val="0"/>
        </w:rPr>
      </w:pPr>
      <w:r w:rsidRPr="00B75B77">
        <w:rPr>
          <w:rFonts w:ascii="Calibri" w:hAnsi="Calibri"/>
          <w:i w:val="0"/>
          <w:color w:val="000000"/>
          <w:szCs w:val="18"/>
          <w:vertAlign w:val="superscript"/>
        </w:rPr>
        <w:t>[2]</w:t>
      </w:r>
      <w:r w:rsidRPr="00B75B77">
        <w:rPr>
          <w:rFonts w:ascii="Calibri" w:hAnsi="Calibri"/>
          <w:i w:val="0"/>
          <w:color w:val="000000"/>
          <w:szCs w:val="18"/>
        </w:rPr>
        <w:t xml:space="preserve"> At the 90% confidence level</w:t>
      </w:r>
    </w:p>
    <w:p w:rsidR="000C1E59" w:rsidRPr="00B75B77" w:rsidRDefault="000C1E59" w:rsidP="00F1144C">
      <w:pPr>
        <w:pStyle w:val="Source"/>
        <w:keepNext/>
        <w:spacing w:before="20" w:after="20"/>
        <w:ind w:left="187" w:firstLine="0"/>
        <w:rPr>
          <w:rStyle w:val="Strong"/>
          <w:b w:val="0"/>
          <w:bCs w:val="0"/>
          <w:i w:val="0"/>
        </w:rPr>
      </w:pPr>
      <w:r w:rsidRPr="00B75B77">
        <w:rPr>
          <w:rStyle w:val="Strong"/>
          <w:b w:val="0"/>
          <w:bCs w:val="0"/>
          <w:i w:val="0"/>
        </w:rPr>
        <w:t xml:space="preserve">Note: </w:t>
      </w:r>
      <w:r w:rsidRPr="00B75B77">
        <w:rPr>
          <w:rFonts w:ascii="Calibri" w:hAnsi="Calibri"/>
          <w:i w:val="0"/>
          <w:iCs/>
          <w:color w:val="000000"/>
          <w:szCs w:val="18"/>
        </w:rPr>
        <w:t>Values in tables may not reconcile exactly with the sum of more detailed level results or previously reported results due to rounding.</w:t>
      </w:r>
    </w:p>
    <w:p w:rsidR="000C1E59" w:rsidRPr="00B75B77" w:rsidRDefault="000C1E59" w:rsidP="00F1144C">
      <w:pPr>
        <w:pStyle w:val="Source"/>
        <w:keepNext/>
      </w:pPr>
      <w:r w:rsidRPr="00B75B77">
        <w:rPr>
          <w:rStyle w:val="Strong"/>
          <w:b w:val="0"/>
          <w:bCs w:val="0"/>
        </w:rPr>
        <w:t>Source: Navigant analysis</w:t>
      </w:r>
    </w:p>
    <w:p w:rsidR="000C1E59" w:rsidRPr="00B75B77" w:rsidRDefault="000C1E59" w:rsidP="003E6A9B">
      <w:pPr>
        <w:pStyle w:val="Heading2"/>
      </w:pPr>
      <w:bookmarkStart w:id="156" w:name="_Toc390682406"/>
      <w:bookmarkStart w:id="157" w:name="_Toc389747544"/>
      <w:bookmarkStart w:id="158" w:name="_Toc390947281"/>
      <w:bookmarkStart w:id="159" w:name="_Toc390175490"/>
      <w:bookmarkStart w:id="160" w:name="_Toc390943352"/>
      <w:bookmarkStart w:id="161" w:name="_Toc453075171"/>
      <w:bookmarkStart w:id="162" w:name="_Ref464577091"/>
      <w:bookmarkStart w:id="163" w:name="_Toc466413265"/>
      <w:bookmarkEnd w:id="155"/>
      <w:r w:rsidRPr="00B75B77">
        <w:t>Summary of PY7 Net-to-Gross Ratios</w:t>
      </w:r>
      <w:bookmarkEnd w:id="156"/>
      <w:bookmarkEnd w:id="157"/>
      <w:bookmarkEnd w:id="158"/>
      <w:bookmarkEnd w:id="159"/>
      <w:bookmarkEnd w:id="160"/>
      <w:bookmarkEnd w:id="161"/>
      <w:bookmarkEnd w:id="162"/>
      <w:bookmarkEnd w:id="163"/>
    </w:p>
    <w:p w:rsidR="000C1E59" w:rsidRPr="00B75B77" w:rsidRDefault="000C1E59" w:rsidP="0017398C">
      <w:bookmarkStart w:id="164" w:name="_Ref325678894"/>
      <w:r w:rsidRPr="00B75B77">
        <w:t>Per the 2013 TRC Order, EDCs are required to conduct net-to-gross (NTG) research. NTG ratios are not used for compliance purposes, but are used for cost</w:t>
      </w:r>
      <w:r w:rsidR="005F2D61" w:rsidRPr="00B75B77">
        <w:t>-</w:t>
      </w:r>
      <w:r w:rsidRPr="00B75B77">
        <w:t>effectiveness reporting and future program planning purposes and should be applied to gross savings in order to calculate net verified energy and demand savings. NTG should be estimated for all programs, including low-income and programs that distribute free measures. The only exception is if an EDC (or its evaluation consultant) provides an explanation, acceptable to the SWE, that estimating NTG for a given program would be inappropriate or unfeasible.</w:t>
      </w:r>
      <w:r w:rsidRPr="00B75B77" w:rsidDel="005F2D61">
        <w:t xml:space="preserve"> </w:t>
      </w:r>
      <w:r w:rsidR="00F1144C" w:rsidRPr="00B75B77">
        <w:fldChar w:fldCharType="begin"/>
      </w:r>
      <w:r w:rsidR="00F1144C" w:rsidRPr="00B75B77">
        <w:instrText xml:space="preserve"> REF _Ref464563451 \h </w:instrText>
      </w:r>
      <w:r w:rsidR="00B75B77">
        <w:instrText xml:space="preserve"> \* MERGEFORMAT </w:instrText>
      </w:r>
      <w:r w:rsidR="00F1144C" w:rsidRPr="00B75B77">
        <w:fldChar w:fldCharType="separate"/>
      </w:r>
      <w:r w:rsidR="0004016D" w:rsidRPr="00B75B77">
        <w:t xml:space="preserve">Table </w:t>
      </w:r>
      <w:r w:rsidR="0004016D">
        <w:rPr>
          <w:noProof/>
        </w:rPr>
        <w:t>1</w:t>
      </w:r>
      <w:r w:rsidR="0004016D" w:rsidRPr="00B75B77">
        <w:rPr>
          <w:noProof/>
        </w:rPr>
        <w:noBreakHyphen/>
      </w:r>
      <w:r w:rsidR="0004016D">
        <w:rPr>
          <w:noProof/>
        </w:rPr>
        <w:t>14</w:t>
      </w:r>
      <w:r w:rsidR="00F1144C" w:rsidRPr="00B75B77">
        <w:fldChar w:fldCharType="end"/>
      </w:r>
      <w:r w:rsidRPr="00B75B77">
        <w:t xml:space="preserve"> presents a summary of NTG ratios by program.</w:t>
      </w:r>
      <w:bookmarkStart w:id="165" w:name="_Ref390947801"/>
    </w:p>
    <w:p w:rsidR="000C1E59" w:rsidRPr="00B75B77" w:rsidRDefault="000C1E59" w:rsidP="00636B65"/>
    <w:p w:rsidR="000C1E59" w:rsidRPr="00B75B77" w:rsidRDefault="00F1144C" w:rsidP="00F1144C">
      <w:pPr>
        <w:pStyle w:val="Caption"/>
      </w:pPr>
      <w:bookmarkStart w:id="166" w:name="_Ref464563451"/>
      <w:bookmarkStart w:id="167" w:name="_Ref448933497"/>
      <w:bookmarkStart w:id="168" w:name="_Toc453075284"/>
      <w:bookmarkStart w:id="169" w:name="_Toc466413496"/>
      <w:bookmarkEnd w:id="164"/>
      <w:bookmarkEnd w:id="165"/>
      <w:r w:rsidRPr="00B75B77">
        <w:lastRenderedPageBreak/>
        <w:t xml:space="preserve">Table </w:t>
      </w:r>
      <w:fldSimple w:instr=" STYLEREF 1 \s ">
        <w:r w:rsidR="0004016D">
          <w:rPr>
            <w:noProof/>
          </w:rPr>
          <w:t>1</w:t>
        </w:r>
      </w:fldSimple>
      <w:r w:rsidRPr="00B75B77">
        <w:noBreakHyphen/>
      </w:r>
      <w:fldSimple w:instr=" SEQ Table \* ARABIC \s 1 ">
        <w:r w:rsidR="0004016D">
          <w:rPr>
            <w:noProof/>
          </w:rPr>
          <w:t>14</w:t>
        </w:r>
      </w:fldSimple>
      <w:bookmarkEnd w:id="166"/>
      <w:r w:rsidRPr="00B75B77">
        <w:t xml:space="preserve">: </w:t>
      </w:r>
      <w:bookmarkEnd w:id="167"/>
      <w:r w:rsidR="000C1E59" w:rsidRPr="00B75B77">
        <w:t>PY7 NTG Ratios by Program</w:t>
      </w:r>
      <w:bookmarkEnd w:id="168"/>
      <w:bookmarkEnd w:id="169"/>
    </w:p>
    <w:tbl>
      <w:tblPr>
        <w:tblStyle w:val="PECOTeal"/>
        <w:tblW w:w="8905" w:type="dxa"/>
        <w:jc w:val="center"/>
        <w:tblLook w:val="04A0" w:firstRow="1" w:lastRow="0" w:firstColumn="1" w:lastColumn="0" w:noHBand="0" w:noVBand="1"/>
      </w:tblPr>
      <w:tblGrid>
        <w:gridCol w:w="2515"/>
        <w:gridCol w:w="990"/>
        <w:gridCol w:w="990"/>
        <w:gridCol w:w="1170"/>
        <w:gridCol w:w="1710"/>
        <w:gridCol w:w="1530"/>
      </w:tblGrid>
      <w:tr w:rsidR="00F1144C" w:rsidRPr="00B75B77" w:rsidTr="002C3D0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15" w:type="dxa"/>
          </w:tcPr>
          <w:p w:rsidR="00F1144C" w:rsidRPr="00B75B77" w:rsidRDefault="00F1144C" w:rsidP="00F1144C">
            <w:pPr>
              <w:keepNext/>
              <w:jc w:val="left"/>
              <w:rPr>
                <w:rFonts w:ascii="Calibri" w:eastAsia="Times New Roman" w:hAnsi="Calibri"/>
                <w:color w:val="000000"/>
                <w:szCs w:val="18"/>
              </w:rPr>
            </w:pPr>
            <w:r w:rsidRPr="00B75B77">
              <w:rPr>
                <w:rFonts w:ascii="Calibri" w:eastAsia="Times New Roman" w:hAnsi="Calibri"/>
                <w:bCs w:val="0"/>
                <w:color w:val="FFFFFF"/>
                <w:szCs w:val="18"/>
              </w:rPr>
              <w:t>Program</w:t>
            </w:r>
          </w:p>
        </w:tc>
        <w:tc>
          <w:tcPr>
            <w:tcW w:w="990" w:type="dxa"/>
          </w:tcPr>
          <w:p w:rsidR="00F1144C" w:rsidRPr="00B75B77" w:rsidRDefault="00F1144C" w:rsidP="00F1144C">
            <w:pPr>
              <w:keepNext/>
              <w:jc w:val="center"/>
              <w:cnfStyle w:val="100000000000" w:firstRow="1" w:lastRow="0" w:firstColumn="0" w:lastColumn="0" w:oddVBand="0" w:evenVBand="0" w:oddHBand="0" w:evenHBand="0" w:firstRowFirstColumn="0" w:firstRowLastColumn="0" w:lastRowFirstColumn="0" w:lastRowLastColumn="0"/>
              <w:rPr>
                <w:szCs w:val="18"/>
              </w:rPr>
            </w:pPr>
            <w:r w:rsidRPr="00B75B77">
              <w:rPr>
                <w:rFonts w:ascii="Calibri" w:eastAsia="Times New Roman" w:hAnsi="Calibri"/>
                <w:bCs w:val="0"/>
                <w:color w:val="FFFFFF"/>
                <w:szCs w:val="18"/>
              </w:rPr>
              <w:t>Free Ridership (%)</w:t>
            </w:r>
          </w:p>
        </w:tc>
        <w:tc>
          <w:tcPr>
            <w:tcW w:w="990" w:type="dxa"/>
          </w:tcPr>
          <w:p w:rsidR="00F1144C" w:rsidRPr="00B75B77" w:rsidRDefault="00F1144C" w:rsidP="00F1144C">
            <w:pPr>
              <w:keepNext/>
              <w:jc w:val="center"/>
              <w:cnfStyle w:val="100000000000" w:firstRow="1" w:lastRow="0" w:firstColumn="0" w:lastColumn="0" w:oddVBand="0" w:evenVBand="0" w:oddHBand="0" w:evenHBand="0" w:firstRowFirstColumn="0" w:firstRowLastColumn="0" w:lastRowFirstColumn="0" w:lastRowLastColumn="0"/>
              <w:rPr>
                <w:szCs w:val="18"/>
              </w:rPr>
            </w:pPr>
            <w:r w:rsidRPr="00B75B77">
              <w:rPr>
                <w:rFonts w:ascii="Calibri" w:eastAsia="Times New Roman" w:hAnsi="Calibri"/>
                <w:bCs w:val="0"/>
                <w:color w:val="FFFFFF"/>
                <w:szCs w:val="18"/>
              </w:rPr>
              <w:t>Spillover (%)</w:t>
            </w:r>
          </w:p>
        </w:tc>
        <w:tc>
          <w:tcPr>
            <w:tcW w:w="1170" w:type="dxa"/>
          </w:tcPr>
          <w:p w:rsidR="00F1144C" w:rsidRPr="00B75B77" w:rsidRDefault="00F1144C" w:rsidP="00F1144C">
            <w:pPr>
              <w:keepNext/>
              <w:jc w:val="center"/>
              <w:cnfStyle w:val="100000000000" w:firstRow="1" w:lastRow="0" w:firstColumn="0" w:lastColumn="0" w:oddVBand="0" w:evenVBand="0" w:oddHBand="0" w:evenHBand="0" w:firstRowFirstColumn="0" w:firstRowLastColumn="0" w:lastRowFirstColumn="0" w:lastRowLastColumn="0"/>
              <w:rPr>
                <w:szCs w:val="18"/>
              </w:rPr>
            </w:pPr>
            <w:r w:rsidRPr="00B75B77">
              <w:rPr>
                <w:rFonts w:ascii="Calibri" w:eastAsia="Times New Roman" w:hAnsi="Calibri"/>
                <w:bCs w:val="0"/>
                <w:color w:val="FFFFFF"/>
                <w:szCs w:val="18"/>
              </w:rPr>
              <w:t>NTG Ratio PY7</w:t>
            </w:r>
          </w:p>
        </w:tc>
        <w:tc>
          <w:tcPr>
            <w:tcW w:w="1710" w:type="dxa"/>
          </w:tcPr>
          <w:p w:rsidR="00F1144C" w:rsidRPr="00B75B77" w:rsidRDefault="00F1144C" w:rsidP="00F1144C">
            <w:pPr>
              <w:keepNext/>
              <w:jc w:val="center"/>
              <w:cnfStyle w:val="100000000000" w:firstRow="1" w:lastRow="0" w:firstColumn="0" w:lastColumn="0" w:oddVBand="0" w:evenVBand="0" w:oddHBand="0" w:evenHBand="0" w:firstRowFirstColumn="0" w:firstRowLastColumn="0" w:lastRowFirstColumn="0" w:lastRowLastColumn="0"/>
              <w:rPr>
                <w:szCs w:val="18"/>
              </w:rPr>
            </w:pPr>
            <w:r w:rsidRPr="00B75B77">
              <w:rPr>
                <w:rFonts w:ascii="Calibri" w:eastAsia="Times New Roman" w:hAnsi="Calibri"/>
                <w:bCs w:val="0"/>
                <w:color w:val="FFFFFF"/>
                <w:szCs w:val="18"/>
              </w:rPr>
              <w:t>PY7 Verified Net Energy Savings (MWh/</w:t>
            </w:r>
            <w:proofErr w:type="spellStart"/>
            <w:r w:rsidRPr="00B75B77">
              <w:rPr>
                <w:rFonts w:ascii="Calibri" w:eastAsia="Times New Roman" w:hAnsi="Calibri"/>
                <w:bCs w:val="0"/>
                <w:color w:val="FFFFFF"/>
                <w:szCs w:val="18"/>
              </w:rPr>
              <w:t>Yr</w:t>
            </w:r>
            <w:proofErr w:type="spellEnd"/>
            <w:r w:rsidRPr="00B75B77">
              <w:rPr>
                <w:rFonts w:ascii="Calibri" w:eastAsia="Times New Roman" w:hAnsi="Calibri"/>
                <w:bCs w:val="0"/>
                <w:color w:val="FFFFFF"/>
                <w:szCs w:val="18"/>
              </w:rPr>
              <w:t>)</w:t>
            </w:r>
          </w:p>
        </w:tc>
        <w:tc>
          <w:tcPr>
            <w:tcW w:w="1530" w:type="dxa"/>
          </w:tcPr>
          <w:p w:rsidR="00F1144C" w:rsidRPr="00B75B77" w:rsidRDefault="00F1144C" w:rsidP="00F1144C">
            <w:pPr>
              <w:keepNext/>
              <w:jc w:val="center"/>
              <w:cnfStyle w:val="100000000000" w:firstRow="1" w:lastRow="0" w:firstColumn="0" w:lastColumn="0" w:oddVBand="0" w:evenVBand="0" w:oddHBand="0" w:evenHBand="0" w:firstRowFirstColumn="0" w:firstRowLastColumn="0" w:lastRowFirstColumn="0" w:lastRowLastColumn="0"/>
              <w:rPr>
                <w:szCs w:val="18"/>
              </w:rPr>
            </w:pPr>
            <w:r w:rsidRPr="00B75B77">
              <w:rPr>
                <w:rFonts w:ascii="Calibri" w:eastAsia="Times New Roman" w:hAnsi="Calibri"/>
                <w:bCs w:val="0"/>
                <w:color w:val="FFFFFF"/>
                <w:szCs w:val="18"/>
              </w:rPr>
              <w:t>PY7 Verified Net Demand Savings (MW/</w:t>
            </w:r>
            <w:proofErr w:type="spellStart"/>
            <w:r w:rsidRPr="00B75B77">
              <w:rPr>
                <w:rFonts w:ascii="Calibri" w:eastAsia="Times New Roman" w:hAnsi="Calibri"/>
                <w:bCs w:val="0"/>
                <w:color w:val="FFFFFF"/>
                <w:szCs w:val="18"/>
              </w:rPr>
              <w:t>Yr</w:t>
            </w:r>
            <w:proofErr w:type="spellEnd"/>
            <w:r w:rsidRPr="00B75B77">
              <w:rPr>
                <w:rFonts w:ascii="Calibri" w:eastAsia="Times New Roman" w:hAnsi="Calibri"/>
                <w:bCs w:val="0"/>
                <w:color w:val="FFFFFF"/>
                <w:szCs w:val="18"/>
              </w:rPr>
              <w:t>)</w:t>
            </w:r>
          </w:p>
        </w:tc>
      </w:tr>
      <w:tr w:rsidR="000C1E59" w:rsidRPr="00B75B77" w:rsidTr="002C3D0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15" w:type="dxa"/>
            <w:hideMark/>
          </w:tcPr>
          <w:p w:rsidR="000C1E59" w:rsidRPr="00B75B77" w:rsidRDefault="000C1E59" w:rsidP="00F1144C">
            <w:pPr>
              <w:keepNext/>
              <w:jc w:val="left"/>
              <w:rPr>
                <w:rFonts w:ascii="Calibri" w:eastAsia="Times New Roman" w:hAnsi="Calibri"/>
                <w:b w:val="0"/>
                <w:color w:val="000000"/>
                <w:szCs w:val="18"/>
              </w:rPr>
            </w:pPr>
            <w:r w:rsidRPr="00B75B77">
              <w:rPr>
                <w:rFonts w:ascii="Calibri" w:eastAsia="Times New Roman" w:hAnsi="Calibri"/>
                <w:b w:val="0"/>
                <w:color w:val="000000"/>
                <w:szCs w:val="18"/>
              </w:rPr>
              <w:t>Smart Appliance Recycling</w:t>
            </w:r>
          </w:p>
        </w:tc>
        <w:tc>
          <w:tcPr>
            <w:tcW w:w="99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50%</w:t>
            </w:r>
          </w:p>
        </w:tc>
        <w:tc>
          <w:tcPr>
            <w:tcW w:w="99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0%</w:t>
            </w:r>
          </w:p>
        </w:tc>
        <w:tc>
          <w:tcPr>
            <w:tcW w:w="117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0.50</w:t>
            </w:r>
          </w:p>
        </w:tc>
        <w:tc>
          <w:tcPr>
            <w:tcW w:w="171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4,408</w:t>
            </w:r>
          </w:p>
        </w:tc>
        <w:tc>
          <w:tcPr>
            <w:tcW w:w="153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0.6</w:t>
            </w:r>
          </w:p>
        </w:tc>
      </w:tr>
      <w:tr w:rsidR="000C1E59" w:rsidRPr="00B75B77" w:rsidTr="002C3D01">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15" w:type="dxa"/>
            <w:hideMark/>
          </w:tcPr>
          <w:p w:rsidR="000C1E59" w:rsidRPr="00B75B77" w:rsidRDefault="000C1E59" w:rsidP="00F1144C">
            <w:pPr>
              <w:keepNext/>
              <w:jc w:val="left"/>
              <w:rPr>
                <w:rFonts w:ascii="Calibri" w:eastAsia="Times New Roman" w:hAnsi="Calibri"/>
                <w:b w:val="0"/>
                <w:color w:val="000000"/>
                <w:szCs w:val="18"/>
              </w:rPr>
            </w:pPr>
            <w:r w:rsidRPr="00B75B77">
              <w:rPr>
                <w:rFonts w:ascii="Calibri" w:eastAsia="Times New Roman" w:hAnsi="Calibri"/>
                <w:b w:val="0"/>
                <w:color w:val="000000"/>
                <w:szCs w:val="18"/>
              </w:rPr>
              <w:t>Smart Builder Rebates</w:t>
            </w:r>
          </w:p>
        </w:tc>
        <w:tc>
          <w:tcPr>
            <w:tcW w:w="99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50%</w:t>
            </w:r>
          </w:p>
        </w:tc>
        <w:tc>
          <w:tcPr>
            <w:tcW w:w="99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0%</w:t>
            </w:r>
          </w:p>
        </w:tc>
        <w:tc>
          <w:tcPr>
            <w:tcW w:w="117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0.50</w:t>
            </w:r>
          </w:p>
        </w:tc>
        <w:tc>
          <w:tcPr>
            <w:tcW w:w="171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182</w:t>
            </w:r>
          </w:p>
        </w:tc>
        <w:tc>
          <w:tcPr>
            <w:tcW w:w="153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0.1</w:t>
            </w:r>
          </w:p>
        </w:tc>
      </w:tr>
      <w:tr w:rsidR="000C1E59" w:rsidRPr="00B75B77" w:rsidTr="002C3D0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15" w:type="dxa"/>
            <w:hideMark/>
          </w:tcPr>
          <w:p w:rsidR="000C1E59" w:rsidRPr="00B75B77" w:rsidRDefault="000C1E59" w:rsidP="00F1144C">
            <w:pPr>
              <w:keepNext/>
              <w:jc w:val="left"/>
              <w:rPr>
                <w:rFonts w:ascii="Calibri" w:eastAsia="Times New Roman" w:hAnsi="Calibri"/>
                <w:b w:val="0"/>
                <w:color w:val="000000"/>
                <w:szCs w:val="18"/>
              </w:rPr>
            </w:pPr>
            <w:r w:rsidRPr="00B75B77">
              <w:rPr>
                <w:rFonts w:ascii="Calibri" w:eastAsia="Times New Roman" w:hAnsi="Calibri"/>
                <w:b w:val="0"/>
                <w:color w:val="000000"/>
                <w:szCs w:val="18"/>
              </w:rPr>
              <w:t>Smart Energy Saver</w:t>
            </w:r>
            <w:r w:rsidRPr="00B75B77">
              <w:rPr>
                <w:rFonts w:ascii="Calibri" w:eastAsia="Times New Roman" w:hAnsi="Calibri"/>
                <w:b w:val="0"/>
                <w:color w:val="000000"/>
                <w:szCs w:val="18"/>
                <w:vertAlign w:val="superscript"/>
              </w:rPr>
              <w:t>[2]</w:t>
            </w:r>
          </w:p>
        </w:tc>
        <w:tc>
          <w:tcPr>
            <w:tcW w:w="99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0%</w:t>
            </w:r>
          </w:p>
        </w:tc>
        <w:tc>
          <w:tcPr>
            <w:tcW w:w="99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0%</w:t>
            </w:r>
          </w:p>
        </w:tc>
        <w:tc>
          <w:tcPr>
            <w:tcW w:w="117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1.00</w:t>
            </w:r>
          </w:p>
        </w:tc>
        <w:tc>
          <w:tcPr>
            <w:tcW w:w="171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2,413</w:t>
            </w:r>
          </w:p>
        </w:tc>
        <w:tc>
          <w:tcPr>
            <w:tcW w:w="153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0.3</w:t>
            </w:r>
          </w:p>
        </w:tc>
      </w:tr>
      <w:tr w:rsidR="000C1E59" w:rsidRPr="00B75B77" w:rsidTr="002C3D01">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15" w:type="dxa"/>
            <w:hideMark/>
          </w:tcPr>
          <w:p w:rsidR="000C1E59" w:rsidRPr="00B75B77" w:rsidRDefault="000C1E59" w:rsidP="00F1144C">
            <w:pPr>
              <w:keepNext/>
              <w:jc w:val="left"/>
              <w:rPr>
                <w:rFonts w:ascii="Calibri" w:eastAsia="Times New Roman" w:hAnsi="Calibri"/>
                <w:b w:val="0"/>
                <w:color w:val="000000"/>
                <w:szCs w:val="18"/>
              </w:rPr>
            </w:pPr>
            <w:r w:rsidRPr="00B75B77">
              <w:rPr>
                <w:rFonts w:ascii="Calibri" w:eastAsia="Times New Roman" w:hAnsi="Calibri"/>
                <w:b w:val="0"/>
                <w:color w:val="000000"/>
                <w:szCs w:val="18"/>
              </w:rPr>
              <w:t>Smart Home Rebates</w:t>
            </w:r>
          </w:p>
        </w:tc>
        <w:tc>
          <w:tcPr>
            <w:tcW w:w="99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49%</w:t>
            </w:r>
          </w:p>
        </w:tc>
        <w:tc>
          <w:tcPr>
            <w:tcW w:w="99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3%</w:t>
            </w:r>
          </w:p>
        </w:tc>
        <w:tc>
          <w:tcPr>
            <w:tcW w:w="117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0.54</w:t>
            </w:r>
          </w:p>
        </w:tc>
        <w:tc>
          <w:tcPr>
            <w:tcW w:w="171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92,</w:t>
            </w:r>
            <w:r w:rsidR="00DC42B3" w:rsidRPr="00B75B77">
              <w:rPr>
                <w:szCs w:val="18"/>
              </w:rPr>
              <w:t>818</w:t>
            </w:r>
          </w:p>
        </w:tc>
        <w:tc>
          <w:tcPr>
            <w:tcW w:w="1530" w:type="dxa"/>
            <w:hideMark/>
          </w:tcPr>
          <w:p w:rsidR="000C1E59" w:rsidRPr="00B75B77" w:rsidRDefault="000C1E59" w:rsidP="00DC42B3">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w:t>
            </w:r>
            <w:r w:rsidR="00DC42B3" w:rsidRPr="00B75B77">
              <w:rPr>
                <w:szCs w:val="18"/>
              </w:rPr>
              <w:t>4.9</w:t>
            </w:r>
          </w:p>
        </w:tc>
      </w:tr>
      <w:tr w:rsidR="000C1E59" w:rsidRPr="00B75B77" w:rsidTr="002C3D0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15" w:type="dxa"/>
            <w:hideMark/>
          </w:tcPr>
          <w:p w:rsidR="000C1E59" w:rsidRPr="00B75B77" w:rsidRDefault="000C1E59" w:rsidP="00F1144C">
            <w:pPr>
              <w:keepNext/>
              <w:jc w:val="left"/>
              <w:rPr>
                <w:rFonts w:ascii="Calibri" w:eastAsia="Times New Roman" w:hAnsi="Calibri"/>
                <w:b w:val="0"/>
                <w:color w:val="000000"/>
                <w:szCs w:val="18"/>
              </w:rPr>
            </w:pPr>
            <w:r w:rsidRPr="00B75B77">
              <w:rPr>
                <w:rFonts w:ascii="Calibri" w:eastAsia="Times New Roman" w:hAnsi="Calibri"/>
                <w:b w:val="0"/>
                <w:color w:val="000000"/>
                <w:szCs w:val="18"/>
              </w:rPr>
              <w:t>Smart House Call</w:t>
            </w:r>
          </w:p>
        </w:tc>
        <w:tc>
          <w:tcPr>
            <w:tcW w:w="99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13%</w:t>
            </w:r>
          </w:p>
        </w:tc>
        <w:tc>
          <w:tcPr>
            <w:tcW w:w="99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7%</w:t>
            </w:r>
          </w:p>
        </w:tc>
        <w:tc>
          <w:tcPr>
            <w:tcW w:w="117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0.94</w:t>
            </w:r>
          </w:p>
        </w:tc>
        <w:tc>
          <w:tcPr>
            <w:tcW w:w="171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6,214</w:t>
            </w:r>
          </w:p>
        </w:tc>
        <w:tc>
          <w:tcPr>
            <w:tcW w:w="153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0.9</w:t>
            </w:r>
          </w:p>
        </w:tc>
      </w:tr>
      <w:tr w:rsidR="000C1E59" w:rsidRPr="00B75B77" w:rsidTr="002C3D01">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15" w:type="dxa"/>
            <w:hideMark/>
          </w:tcPr>
          <w:p w:rsidR="000C1E59" w:rsidRPr="00B75B77" w:rsidRDefault="000C1E59" w:rsidP="00F1144C">
            <w:pPr>
              <w:keepNext/>
              <w:jc w:val="left"/>
              <w:rPr>
                <w:rFonts w:ascii="Calibri" w:eastAsia="Times New Roman" w:hAnsi="Calibri"/>
                <w:b w:val="0"/>
                <w:color w:val="000000"/>
                <w:szCs w:val="18"/>
              </w:rPr>
            </w:pPr>
            <w:r w:rsidRPr="00B75B77">
              <w:rPr>
                <w:rFonts w:ascii="Calibri" w:eastAsia="Times New Roman" w:hAnsi="Calibri"/>
                <w:b w:val="0"/>
                <w:color w:val="000000"/>
                <w:szCs w:val="18"/>
              </w:rPr>
              <w:t>Smart Multi-Family Solutions</w:t>
            </w:r>
          </w:p>
        </w:tc>
        <w:tc>
          <w:tcPr>
            <w:tcW w:w="99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40%</w:t>
            </w:r>
          </w:p>
        </w:tc>
        <w:tc>
          <w:tcPr>
            <w:tcW w:w="99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w:t>
            </w:r>
          </w:p>
        </w:tc>
        <w:tc>
          <w:tcPr>
            <w:tcW w:w="117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0.61</w:t>
            </w:r>
          </w:p>
        </w:tc>
        <w:tc>
          <w:tcPr>
            <w:tcW w:w="171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3,070</w:t>
            </w:r>
          </w:p>
        </w:tc>
        <w:tc>
          <w:tcPr>
            <w:tcW w:w="153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0.7</w:t>
            </w:r>
          </w:p>
        </w:tc>
      </w:tr>
      <w:tr w:rsidR="000C1E59" w:rsidRPr="00B75B77" w:rsidTr="002C3D0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15" w:type="dxa"/>
            <w:hideMark/>
          </w:tcPr>
          <w:p w:rsidR="000C1E59" w:rsidRPr="00B75B77" w:rsidRDefault="000C1E59" w:rsidP="00F1144C">
            <w:pPr>
              <w:keepNext/>
              <w:jc w:val="left"/>
              <w:rPr>
                <w:rFonts w:ascii="Calibri" w:eastAsia="Times New Roman" w:hAnsi="Calibri"/>
                <w:b w:val="0"/>
                <w:color w:val="000000"/>
                <w:szCs w:val="18"/>
              </w:rPr>
            </w:pPr>
            <w:r w:rsidRPr="00B75B77">
              <w:rPr>
                <w:rFonts w:ascii="Calibri" w:eastAsia="Times New Roman" w:hAnsi="Calibri"/>
                <w:b w:val="0"/>
                <w:color w:val="000000"/>
                <w:szCs w:val="18"/>
              </w:rPr>
              <w:t>Smart Usage Profile</w:t>
            </w:r>
            <w:r w:rsidRPr="00B75B77">
              <w:rPr>
                <w:rFonts w:ascii="Calibri" w:eastAsia="Times New Roman" w:hAnsi="Calibri"/>
                <w:b w:val="0"/>
                <w:color w:val="000000"/>
                <w:szCs w:val="18"/>
                <w:vertAlign w:val="superscript"/>
              </w:rPr>
              <w:t>[2]</w:t>
            </w:r>
          </w:p>
        </w:tc>
        <w:tc>
          <w:tcPr>
            <w:tcW w:w="99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0%</w:t>
            </w:r>
          </w:p>
        </w:tc>
        <w:tc>
          <w:tcPr>
            <w:tcW w:w="99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0%</w:t>
            </w:r>
          </w:p>
        </w:tc>
        <w:tc>
          <w:tcPr>
            <w:tcW w:w="117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1.00</w:t>
            </w:r>
          </w:p>
        </w:tc>
        <w:tc>
          <w:tcPr>
            <w:tcW w:w="171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39,041</w:t>
            </w:r>
          </w:p>
        </w:tc>
        <w:tc>
          <w:tcPr>
            <w:tcW w:w="153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0.0</w:t>
            </w:r>
          </w:p>
        </w:tc>
      </w:tr>
      <w:tr w:rsidR="000C1E59" w:rsidRPr="00B75B77" w:rsidTr="002C3D01">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15" w:type="dxa"/>
            <w:hideMark/>
          </w:tcPr>
          <w:p w:rsidR="000C1E59" w:rsidRPr="00B75B77" w:rsidRDefault="000C1E59" w:rsidP="00F1144C">
            <w:pPr>
              <w:keepNext/>
              <w:jc w:val="left"/>
              <w:rPr>
                <w:rFonts w:ascii="Calibri" w:eastAsia="Times New Roman" w:hAnsi="Calibri"/>
                <w:b w:val="0"/>
                <w:color w:val="000000"/>
                <w:szCs w:val="18"/>
              </w:rPr>
            </w:pPr>
            <w:r w:rsidRPr="00B75B77">
              <w:rPr>
                <w:rFonts w:ascii="Calibri" w:eastAsia="Times New Roman" w:hAnsi="Calibri"/>
                <w:b w:val="0"/>
                <w:color w:val="000000"/>
                <w:szCs w:val="18"/>
              </w:rPr>
              <w:t>Low-Income Energy Efficiency</w:t>
            </w:r>
          </w:p>
        </w:tc>
        <w:tc>
          <w:tcPr>
            <w:tcW w:w="990" w:type="dxa"/>
            <w:hideMark/>
          </w:tcPr>
          <w:p w:rsidR="000C1E59" w:rsidRPr="00B75B77" w:rsidRDefault="00CE2D3D"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19</w:t>
            </w:r>
            <w:r w:rsidR="000C1E59" w:rsidRPr="00B75B77">
              <w:rPr>
                <w:szCs w:val="18"/>
              </w:rPr>
              <w:t>%</w:t>
            </w:r>
          </w:p>
        </w:tc>
        <w:tc>
          <w:tcPr>
            <w:tcW w:w="99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0%</w:t>
            </w:r>
          </w:p>
        </w:tc>
        <w:tc>
          <w:tcPr>
            <w:tcW w:w="117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0.</w:t>
            </w:r>
            <w:r w:rsidR="00CE2D3D" w:rsidRPr="00B75B77">
              <w:rPr>
                <w:szCs w:val="18"/>
              </w:rPr>
              <w:t>81</w:t>
            </w:r>
          </w:p>
        </w:tc>
        <w:tc>
          <w:tcPr>
            <w:tcW w:w="1710" w:type="dxa"/>
            <w:hideMark/>
          </w:tcPr>
          <w:p w:rsidR="000C1E59" w:rsidRPr="00B75B77" w:rsidRDefault="00CE2D3D"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14,849</w:t>
            </w:r>
          </w:p>
        </w:tc>
        <w:tc>
          <w:tcPr>
            <w:tcW w:w="153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w:t>
            </w:r>
            <w:r w:rsidR="00CE2D3D" w:rsidRPr="00B75B77">
              <w:rPr>
                <w:szCs w:val="18"/>
              </w:rPr>
              <w:t>9</w:t>
            </w:r>
          </w:p>
        </w:tc>
      </w:tr>
      <w:tr w:rsidR="000C1E59" w:rsidRPr="00B75B77" w:rsidTr="002C3D0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15" w:type="dxa"/>
            <w:hideMark/>
          </w:tcPr>
          <w:p w:rsidR="000C1E59" w:rsidRPr="00B75B77" w:rsidRDefault="000C1E59" w:rsidP="00F1144C">
            <w:pPr>
              <w:keepNext/>
              <w:jc w:val="left"/>
              <w:rPr>
                <w:rFonts w:ascii="Calibri" w:eastAsia="Times New Roman" w:hAnsi="Calibri"/>
                <w:b w:val="0"/>
                <w:color w:val="000000"/>
                <w:szCs w:val="18"/>
              </w:rPr>
            </w:pPr>
            <w:r w:rsidRPr="00B75B77">
              <w:rPr>
                <w:rFonts w:ascii="Calibri" w:eastAsia="Times New Roman" w:hAnsi="Calibri"/>
                <w:b w:val="0"/>
                <w:color w:val="000000"/>
                <w:szCs w:val="18"/>
              </w:rPr>
              <w:t>Residential Smart AC Saver</w:t>
            </w:r>
            <w:r w:rsidRPr="00B75B77">
              <w:rPr>
                <w:rFonts w:ascii="Calibri" w:eastAsia="Times New Roman" w:hAnsi="Calibri"/>
                <w:b w:val="0"/>
                <w:color w:val="000000"/>
                <w:szCs w:val="18"/>
                <w:vertAlign w:val="superscript"/>
              </w:rPr>
              <w:t>[2]</w:t>
            </w:r>
          </w:p>
        </w:tc>
        <w:tc>
          <w:tcPr>
            <w:tcW w:w="99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0%</w:t>
            </w:r>
          </w:p>
        </w:tc>
        <w:tc>
          <w:tcPr>
            <w:tcW w:w="99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0%</w:t>
            </w:r>
          </w:p>
        </w:tc>
        <w:tc>
          <w:tcPr>
            <w:tcW w:w="117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1.00</w:t>
            </w:r>
          </w:p>
        </w:tc>
        <w:tc>
          <w:tcPr>
            <w:tcW w:w="171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0</w:t>
            </w:r>
          </w:p>
        </w:tc>
        <w:tc>
          <w:tcPr>
            <w:tcW w:w="153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40.5</w:t>
            </w:r>
          </w:p>
        </w:tc>
      </w:tr>
      <w:tr w:rsidR="000C1E59" w:rsidRPr="00B75B77" w:rsidTr="002C3D01">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15" w:type="dxa"/>
            <w:hideMark/>
          </w:tcPr>
          <w:p w:rsidR="000C1E59" w:rsidRPr="00B75B77" w:rsidRDefault="000C1E59" w:rsidP="00F1144C">
            <w:pPr>
              <w:keepNext/>
              <w:jc w:val="left"/>
              <w:rPr>
                <w:rFonts w:ascii="Calibri" w:eastAsia="Times New Roman" w:hAnsi="Calibri"/>
                <w:b w:val="0"/>
                <w:color w:val="000000"/>
                <w:szCs w:val="18"/>
              </w:rPr>
            </w:pPr>
            <w:r w:rsidRPr="00B75B77">
              <w:rPr>
                <w:rFonts w:ascii="Calibri" w:eastAsia="Times New Roman" w:hAnsi="Calibri"/>
                <w:b w:val="0"/>
                <w:color w:val="000000"/>
                <w:szCs w:val="18"/>
              </w:rPr>
              <w:t>Smart Business Solutions</w:t>
            </w:r>
            <w:r w:rsidRPr="00B75B77">
              <w:rPr>
                <w:rFonts w:ascii="Calibri" w:eastAsia="Times New Roman" w:hAnsi="Calibri"/>
                <w:b w:val="0"/>
                <w:color w:val="000000"/>
                <w:szCs w:val="18"/>
                <w:vertAlign w:val="superscript"/>
              </w:rPr>
              <w:t>[1]</w:t>
            </w:r>
          </w:p>
        </w:tc>
        <w:tc>
          <w:tcPr>
            <w:tcW w:w="99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10%</w:t>
            </w:r>
          </w:p>
        </w:tc>
        <w:tc>
          <w:tcPr>
            <w:tcW w:w="99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0%</w:t>
            </w:r>
          </w:p>
        </w:tc>
        <w:tc>
          <w:tcPr>
            <w:tcW w:w="117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0.90</w:t>
            </w:r>
          </w:p>
        </w:tc>
        <w:tc>
          <w:tcPr>
            <w:tcW w:w="171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4,474</w:t>
            </w:r>
          </w:p>
        </w:tc>
        <w:tc>
          <w:tcPr>
            <w:tcW w:w="153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1.0</w:t>
            </w:r>
          </w:p>
        </w:tc>
      </w:tr>
      <w:tr w:rsidR="000C1E59" w:rsidRPr="00B75B77" w:rsidTr="002C3D0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15" w:type="dxa"/>
            <w:hideMark/>
          </w:tcPr>
          <w:p w:rsidR="000C1E59" w:rsidRPr="00B75B77" w:rsidRDefault="000C1E59" w:rsidP="00F1144C">
            <w:pPr>
              <w:keepNext/>
              <w:jc w:val="left"/>
              <w:rPr>
                <w:rFonts w:ascii="Calibri" w:eastAsia="Times New Roman" w:hAnsi="Calibri"/>
                <w:b w:val="0"/>
                <w:color w:val="000000"/>
                <w:szCs w:val="18"/>
              </w:rPr>
            </w:pPr>
            <w:r w:rsidRPr="00B75B77">
              <w:rPr>
                <w:rFonts w:ascii="Calibri" w:eastAsia="Times New Roman" w:hAnsi="Calibri"/>
                <w:b w:val="0"/>
                <w:color w:val="000000"/>
                <w:szCs w:val="18"/>
              </w:rPr>
              <w:t>Smart Construction Incentives</w:t>
            </w:r>
            <w:r w:rsidRPr="00B75B77">
              <w:rPr>
                <w:rFonts w:ascii="Calibri" w:eastAsia="Times New Roman" w:hAnsi="Calibri"/>
                <w:b w:val="0"/>
                <w:color w:val="000000"/>
                <w:szCs w:val="18"/>
                <w:vertAlign w:val="superscript"/>
              </w:rPr>
              <w:t>[1]</w:t>
            </w:r>
          </w:p>
        </w:tc>
        <w:tc>
          <w:tcPr>
            <w:tcW w:w="99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48%</w:t>
            </w:r>
          </w:p>
        </w:tc>
        <w:tc>
          <w:tcPr>
            <w:tcW w:w="99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0%</w:t>
            </w:r>
          </w:p>
        </w:tc>
        <w:tc>
          <w:tcPr>
            <w:tcW w:w="117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0.52</w:t>
            </w:r>
          </w:p>
        </w:tc>
        <w:tc>
          <w:tcPr>
            <w:tcW w:w="171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12,033</w:t>
            </w:r>
          </w:p>
        </w:tc>
        <w:tc>
          <w:tcPr>
            <w:tcW w:w="153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1.9</w:t>
            </w:r>
          </w:p>
        </w:tc>
      </w:tr>
      <w:tr w:rsidR="000C1E59" w:rsidRPr="00B75B77" w:rsidTr="002C3D01">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15" w:type="dxa"/>
            <w:hideMark/>
          </w:tcPr>
          <w:p w:rsidR="000C1E59" w:rsidRPr="00B75B77" w:rsidRDefault="000C1E59" w:rsidP="00F1144C">
            <w:pPr>
              <w:keepNext/>
              <w:jc w:val="left"/>
              <w:rPr>
                <w:rFonts w:ascii="Calibri" w:eastAsia="Times New Roman" w:hAnsi="Calibri"/>
                <w:b w:val="0"/>
                <w:color w:val="000000"/>
                <w:szCs w:val="18"/>
              </w:rPr>
            </w:pPr>
            <w:r w:rsidRPr="00B75B77">
              <w:rPr>
                <w:rFonts w:ascii="Calibri" w:eastAsia="Times New Roman" w:hAnsi="Calibri"/>
                <w:b w:val="0"/>
                <w:color w:val="000000"/>
                <w:szCs w:val="18"/>
              </w:rPr>
              <w:t>Smart Equipment Incentives - C&amp;I</w:t>
            </w:r>
          </w:p>
        </w:tc>
        <w:tc>
          <w:tcPr>
            <w:tcW w:w="99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37%</w:t>
            </w:r>
          </w:p>
        </w:tc>
        <w:tc>
          <w:tcPr>
            <w:tcW w:w="99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w:t>
            </w:r>
          </w:p>
        </w:tc>
        <w:tc>
          <w:tcPr>
            <w:tcW w:w="117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0.64</w:t>
            </w:r>
          </w:p>
        </w:tc>
        <w:tc>
          <w:tcPr>
            <w:tcW w:w="171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77,055</w:t>
            </w:r>
          </w:p>
        </w:tc>
        <w:tc>
          <w:tcPr>
            <w:tcW w:w="153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12.7</w:t>
            </w:r>
          </w:p>
        </w:tc>
      </w:tr>
      <w:tr w:rsidR="000C1E59" w:rsidRPr="00B75B77" w:rsidTr="002C3D0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15" w:type="dxa"/>
            <w:hideMark/>
          </w:tcPr>
          <w:p w:rsidR="000C1E59" w:rsidRPr="00B75B77" w:rsidRDefault="000C1E59" w:rsidP="00F1144C">
            <w:pPr>
              <w:keepNext/>
              <w:jc w:val="left"/>
              <w:rPr>
                <w:rFonts w:ascii="Calibri" w:eastAsia="Times New Roman" w:hAnsi="Calibri"/>
                <w:b w:val="0"/>
                <w:color w:val="000000"/>
                <w:szCs w:val="18"/>
              </w:rPr>
            </w:pPr>
            <w:r w:rsidRPr="00B75B77">
              <w:rPr>
                <w:rFonts w:ascii="Calibri" w:eastAsia="Times New Roman" w:hAnsi="Calibri"/>
                <w:b w:val="0"/>
                <w:color w:val="000000"/>
                <w:szCs w:val="18"/>
              </w:rPr>
              <w:t>Smart Equipment Incentives - GNI</w:t>
            </w:r>
          </w:p>
        </w:tc>
        <w:tc>
          <w:tcPr>
            <w:tcW w:w="99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58%</w:t>
            </w:r>
          </w:p>
        </w:tc>
        <w:tc>
          <w:tcPr>
            <w:tcW w:w="99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w:t>
            </w:r>
          </w:p>
        </w:tc>
        <w:tc>
          <w:tcPr>
            <w:tcW w:w="117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0.43</w:t>
            </w:r>
          </w:p>
        </w:tc>
        <w:tc>
          <w:tcPr>
            <w:tcW w:w="171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41,552</w:t>
            </w:r>
          </w:p>
        </w:tc>
        <w:tc>
          <w:tcPr>
            <w:tcW w:w="153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9.2</w:t>
            </w:r>
          </w:p>
        </w:tc>
      </w:tr>
      <w:tr w:rsidR="000C1E59" w:rsidRPr="00B75B77" w:rsidTr="002C3D01">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15" w:type="dxa"/>
            <w:hideMark/>
          </w:tcPr>
          <w:p w:rsidR="000C1E59" w:rsidRPr="00B75B77" w:rsidRDefault="000C1E59" w:rsidP="00F1144C">
            <w:pPr>
              <w:keepNext/>
              <w:jc w:val="left"/>
              <w:rPr>
                <w:rFonts w:ascii="Calibri" w:eastAsia="Times New Roman" w:hAnsi="Calibri"/>
                <w:b w:val="0"/>
                <w:color w:val="000000"/>
                <w:szCs w:val="18"/>
              </w:rPr>
            </w:pPr>
            <w:r w:rsidRPr="00B75B77">
              <w:rPr>
                <w:rFonts w:ascii="Calibri" w:eastAsia="Times New Roman" w:hAnsi="Calibri"/>
                <w:b w:val="0"/>
                <w:color w:val="000000"/>
                <w:szCs w:val="18"/>
              </w:rPr>
              <w:t>Smart On-Site</w:t>
            </w:r>
          </w:p>
        </w:tc>
        <w:tc>
          <w:tcPr>
            <w:tcW w:w="99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11%</w:t>
            </w:r>
          </w:p>
        </w:tc>
        <w:tc>
          <w:tcPr>
            <w:tcW w:w="99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0%</w:t>
            </w:r>
          </w:p>
        </w:tc>
        <w:tc>
          <w:tcPr>
            <w:tcW w:w="117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0.89</w:t>
            </w:r>
          </w:p>
        </w:tc>
        <w:tc>
          <w:tcPr>
            <w:tcW w:w="171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26,342</w:t>
            </w:r>
          </w:p>
        </w:tc>
        <w:tc>
          <w:tcPr>
            <w:tcW w:w="153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3.5</w:t>
            </w:r>
          </w:p>
        </w:tc>
      </w:tr>
      <w:tr w:rsidR="000C1E59" w:rsidRPr="00B75B77" w:rsidTr="002C3D0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15" w:type="dxa"/>
            <w:hideMark/>
          </w:tcPr>
          <w:p w:rsidR="000C1E59" w:rsidRPr="00B75B77" w:rsidRDefault="000C1E59" w:rsidP="00F1144C">
            <w:pPr>
              <w:keepNext/>
              <w:jc w:val="left"/>
              <w:rPr>
                <w:rFonts w:ascii="Calibri" w:eastAsia="Times New Roman" w:hAnsi="Calibri"/>
                <w:b w:val="0"/>
                <w:color w:val="000000"/>
                <w:szCs w:val="18"/>
              </w:rPr>
            </w:pPr>
            <w:r w:rsidRPr="00B75B77">
              <w:rPr>
                <w:rFonts w:ascii="Calibri" w:eastAsia="Times New Roman" w:hAnsi="Calibri"/>
                <w:b w:val="0"/>
                <w:color w:val="000000"/>
                <w:szCs w:val="18"/>
              </w:rPr>
              <w:t>Commercial Smart AC Saver</w:t>
            </w:r>
            <w:r w:rsidRPr="00B75B77">
              <w:rPr>
                <w:rFonts w:ascii="Calibri" w:eastAsia="Times New Roman" w:hAnsi="Calibri"/>
                <w:b w:val="0"/>
                <w:color w:val="000000"/>
                <w:szCs w:val="18"/>
                <w:vertAlign w:val="superscript"/>
              </w:rPr>
              <w:t>[2]</w:t>
            </w:r>
          </w:p>
        </w:tc>
        <w:tc>
          <w:tcPr>
            <w:tcW w:w="99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0%</w:t>
            </w:r>
          </w:p>
        </w:tc>
        <w:tc>
          <w:tcPr>
            <w:tcW w:w="99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0%</w:t>
            </w:r>
          </w:p>
        </w:tc>
        <w:tc>
          <w:tcPr>
            <w:tcW w:w="117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1.00</w:t>
            </w:r>
          </w:p>
        </w:tc>
        <w:tc>
          <w:tcPr>
            <w:tcW w:w="171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0</w:t>
            </w:r>
          </w:p>
        </w:tc>
        <w:tc>
          <w:tcPr>
            <w:tcW w:w="153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0.6</w:t>
            </w:r>
          </w:p>
        </w:tc>
      </w:tr>
      <w:tr w:rsidR="000C1E59" w:rsidRPr="00B75B77" w:rsidTr="002C3D01">
        <w:trPr>
          <w:cnfStyle w:val="000000010000" w:firstRow="0" w:lastRow="0" w:firstColumn="0" w:lastColumn="0" w:oddVBand="0" w:evenVBand="0" w:oddHBand="0" w:evenHBand="1"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2515" w:type="dxa"/>
            <w:hideMark/>
          </w:tcPr>
          <w:p w:rsidR="000C1E59" w:rsidRPr="00B75B77" w:rsidRDefault="000C1E59" w:rsidP="00F1144C">
            <w:pPr>
              <w:keepNext/>
              <w:jc w:val="left"/>
              <w:rPr>
                <w:rFonts w:ascii="Calibri" w:eastAsia="Times New Roman" w:hAnsi="Calibri"/>
                <w:color w:val="000000"/>
                <w:szCs w:val="18"/>
              </w:rPr>
            </w:pPr>
            <w:r w:rsidRPr="00B75B77">
              <w:rPr>
                <w:rFonts w:ascii="Calibri" w:eastAsia="Times New Roman" w:hAnsi="Calibri"/>
                <w:bCs w:val="0"/>
                <w:color w:val="000000"/>
                <w:szCs w:val="18"/>
              </w:rPr>
              <w:t>TOTAL PORTFOLIO</w:t>
            </w:r>
            <w:r w:rsidRPr="00B75B77">
              <w:rPr>
                <w:rFonts w:ascii="Calibri" w:eastAsia="Times New Roman" w:hAnsi="Calibri"/>
                <w:color w:val="000000"/>
                <w:szCs w:val="18"/>
              </w:rPr>
              <w:br/>
            </w:r>
            <w:r w:rsidRPr="00B75B77">
              <w:rPr>
                <w:rFonts w:ascii="Calibri" w:eastAsia="Times New Roman" w:hAnsi="Calibri"/>
                <w:b w:val="0"/>
                <w:color w:val="000000"/>
                <w:szCs w:val="18"/>
              </w:rPr>
              <w:t>(Weighted by program savings for programs reporting NTG Ratios)</w:t>
            </w:r>
          </w:p>
        </w:tc>
        <w:tc>
          <w:tcPr>
            <w:tcW w:w="990" w:type="dxa"/>
            <w:hideMark/>
          </w:tcPr>
          <w:p w:rsidR="000C1E59" w:rsidRPr="00B75B77" w:rsidRDefault="00CE2D3D"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Cs w:val="18"/>
              </w:rPr>
            </w:pPr>
            <w:r w:rsidRPr="00B75B77">
              <w:rPr>
                <w:b/>
                <w:szCs w:val="18"/>
              </w:rPr>
              <w:t>39</w:t>
            </w:r>
            <w:r w:rsidR="000C1E59" w:rsidRPr="00B75B77">
              <w:rPr>
                <w:b/>
                <w:szCs w:val="18"/>
              </w:rPr>
              <w:t>%</w:t>
            </w:r>
          </w:p>
        </w:tc>
        <w:tc>
          <w:tcPr>
            <w:tcW w:w="99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Cs w:val="18"/>
              </w:rPr>
            </w:pPr>
            <w:r w:rsidRPr="00B75B77">
              <w:rPr>
                <w:b/>
                <w:szCs w:val="18"/>
              </w:rPr>
              <w:t>1%</w:t>
            </w:r>
          </w:p>
        </w:tc>
        <w:tc>
          <w:tcPr>
            <w:tcW w:w="117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Cs w:val="18"/>
              </w:rPr>
            </w:pPr>
            <w:r w:rsidRPr="00B75B77">
              <w:rPr>
                <w:b/>
                <w:szCs w:val="18"/>
              </w:rPr>
              <w:t>0.</w:t>
            </w:r>
            <w:r w:rsidR="00CE2D3D" w:rsidRPr="00B75B77">
              <w:rPr>
                <w:b/>
                <w:szCs w:val="18"/>
              </w:rPr>
              <w:t>62</w:t>
            </w:r>
          </w:p>
        </w:tc>
        <w:tc>
          <w:tcPr>
            <w:tcW w:w="1710" w:type="dxa"/>
            <w:hideMark/>
          </w:tcPr>
          <w:p w:rsidR="000C1E59" w:rsidRPr="00B75B77" w:rsidRDefault="00CE2D3D"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Cs w:val="18"/>
              </w:rPr>
            </w:pPr>
            <w:r w:rsidRPr="00B75B77">
              <w:rPr>
                <w:b/>
                <w:szCs w:val="18"/>
              </w:rPr>
              <w:t>324,</w:t>
            </w:r>
            <w:r w:rsidR="00DC42B3" w:rsidRPr="00B75B77">
              <w:rPr>
                <w:b/>
                <w:szCs w:val="18"/>
              </w:rPr>
              <w:t>450</w:t>
            </w:r>
          </w:p>
        </w:tc>
        <w:tc>
          <w:tcPr>
            <w:tcW w:w="153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Cs w:val="18"/>
              </w:rPr>
            </w:pPr>
            <w:r w:rsidRPr="00B75B77">
              <w:rPr>
                <w:b/>
                <w:szCs w:val="18"/>
              </w:rPr>
              <w:t>88.</w:t>
            </w:r>
            <w:r w:rsidR="00CE2D3D" w:rsidRPr="00B75B77">
              <w:rPr>
                <w:b/>
                <w:szCs w:val="18"/>
              </w:rPr>
              <w:t>7</w:t>
            </w:r>
          </w:p>
        </w:tc>
      </w:tr>
    </w:tbl>
    <w:p w:rsidR="000C1E59" w:rsidRPr="00B75B77" w:rsidRDefault="000C1E59" w:rsidP="00F1144C">
      <w:pPr>
        <w:pStyle w:val="Source"/>
        <w:keepNext/>
        <w:spacing w:after="0"/>
        <w:ind w:left="180" w:firstLine="0"/>
        <w:rPr>
          <w:i w:val="0"/>
        </w:rPr>
      </w:pPr>
      <w:bookmarkStart w:id="170" w:name="_Toc390682407"/>
      <w:bookmarkStart w:id="171" w:name="_Toc389747545"/>
      <w:bookmarkStart w:id="172" w:name="_Toc390947282"/>
      <w:bookmarkStart w:id="173" w:name="_Toc390175491"/>
      <w:bookmarkStart w:id="174" w:name="_Toc390943353"/>
      <w:r w:rsidRPr="00B75B77">
        <w:rPr>
          <w:i w:val="0"/>
          <w:vertAlign w:val="superscript"/>
        </w:rPr>
        <w:t>[1]</w:t>
      </w:r>
      <w:r w:rsidRPr="00B75B77">
        <w:rPr>
          <w:i w:val="0"/>
        </w:rPr>
        <w:t xml:space="preserve"> No NTG research was performed for this program in PY7. Therefore, the </w:t>
      </w:r>
      <w:r w:rsidR="00324A27" w:rsidRPr="00B75B77">
        <w:rPr>
          <w:i w:val="0"/>
        </w:rPr>
        <w:t xml:space="preserve">most recently evaluated </w:t>
      </w:r>
      <w:r w:rsidRPr="00B75B77">
        <w:rPr>
          <w:i w:val="0"/>
        </w:rPr>
        <w:t xml:space="preserve">NTG value is </w:t>
      </w:r>
      <w:r w:rsidR="00324A27" w:rsidRPr="00B75B77">
        <w:rPr>
          <w:i w:val="0"/>
        </w:rPr>
        <w:t>used</w:t>
      </w:r>
      <w:r w:rsidRPr="00B75B77">
        <w:rPr>
          <w:i w:val="0"/>
        </w:rPr>
        <w:t xml:space="preserve">. </w:t>
      </w:r>
    </w:p>
    <w:p w:rsidR="000C1E59" w:rsidRPr="00B75B77" w:rsidRDefault="000C1E59" w:rsidP="00F1144C">
      <w:pPr>
        <w:pStyle w:val="Source"/>
        <w:keepNext/>
        <w:spacing w:before="20" w:after="0"/>
        <w:ind w:left="187" w:firstLine="0"/>
        <w:rPr>
          <w:rStyle w:val="Strong"/>
          <w:b w:val="0"/>
          <w:bCs w:val="0"/>
          <w:i w:val="0"/>
        </w:rPr>
      </w:pPr>
      <w:r w:rsidRPr="00B75B77">
        <w:rPr>
          <w:rFonts w:ascii="Calibri" w:hAnsi="Calibri"/>
          <w:i w:val="0"/>
          <w:color w:val="000000"/>
          <w:szCs w:val="18"/>
          <w:vertAlign w:val="superscript"/>
        </w:rPr>
        <w:t>[2]</w:t>
      </w:r>
      <w:r w:rsidRPr="00B75B77">
        <w:rPr>
          <w:rFonts w:ascii="Calibri" w:hAnsi="Calibri"/>
          <w:i w:val="0"/>
          <w:color w:val="000000"/>
          <w:szCs w:val="18"/>
        </w:rPr>
        <w:t xml:space="preserve"> Due to the program design and prior years' evaluation efforts, the NTG ratio for SUP, SES, and Smart AC Saver is assumed be</w:t>
      </w:r>
      <w:r w:rsidRPr="00B75B77" w:rsidDel="00B25D8C">
        <w:rPr>
          <w:rFonts w:ascii="Calibri" w:hAnsi="Calibri"/>
          <w:i w:val="0"/>
          <w:color w:val="000000"/>
          <w:szCs w:val="18"/>
        </w:rPr>
        <w:t xml:space="preserve"> </w:t>
      </w:r>
      <w:r w:rsidRPr="00B75B77">
        <w:rPr>
          <w:rFonts w:ascii="Calibri" w:hAnsi="Calibri"/>
          <w:i w:val="0"/>
          <w:color w:val="000000"/>
          <w:szCs w:val="18"/>
        </w:rPr>
        <w:t>1.0</w:t>
      </w:r>
      <w:r w:rsidR="00B25D8C" w:rsidRPr="00B75B77">
        <w:rPr>
          <w:rFonts w:ascii="Calibri" w:hAnsi="Calibri"/>
          <w:i w:val="0"/>
          <w:color w:val="000000"/>
          <w:szCs w:val="18"/>
        </w:rPr>
        <w:t>.</w:t>
      </w:r>
    </w:p>
    <w:p w:rsidR="000C1E59" w:rsidRPr="00B75B77" w:rsidRDefault="000C1E59" w:rsidP="00F1144C">
      <w:pPr>
        <w:pStyle w:val="Source"/>
        <w:keepNext/>
        <w:spacing w:before="20" w:after="20"/>
        <w:ind w:left="187" w:firstLine="0"/>
        <w:rPr>
          <w:rStyle w:val="Strong"/>
          <w:b w:val="0"/>
          <w:bCs w:val="0"/>
          <w:i w:val="0"/>
        </w:rPr>
      </w:pPr>
      <w:r w:rsidRPr="00B75B77">
        <w:rPr>
          <w:rStyle w:val="Strong"/>
          <w:b w:val="0"/>
          <w:bCs w:val="0"/>
          <w:i w:val="0"/>
        </w:rPr>
        <w:t xml:space="preserve">Note: </w:t>
      </w:r>
      <w:r w:rsidRPr="00B75B77">
        <w:rPr>
          <w:rFonts w:ascii="Calibri" w:hAnsi="Calibri"/>
          <w:i w:val="0"/>
          <w:iCs/>
          <w:color w:val="000000"/>
          <w:szCs w:val="18"/>
        </w:rPr>
        <w:t>Values in tables may not reconcile exactly with the sum of more detailed level results or previously reported results due to rounding.</w:t>
      </w:r>
    </w:p>
    <w:p w:rsidR="000C1E59" w:rsidRPr="00B75B77" w:rsidRDefault="000C1E59" w:rsidP="00F1144C">
      <w:pPr>
        <w:pStyle w:val="Source"/>
        <w:keepNext/>
      </w:pPr>
      <w:r w:rsidRPr="00B75B77">
        <w:rPr>
          <w:rStyle w:val="Strong"/>
          <w:b w:val="0"/>
          <w:bCs w:val="0"/>
        </w:rPr>
        <w:t>Source: Navigant analysis</w:t>
      </w:r>
    </w:p>
    <w:p w:rsidR="0089385E" w:rsidRPr="00B75B77" w:rsidRDefault="0089385E">
      <w:pPr>
        <w:jc w:val="left"/>
        <w:rPr>
          <w:rFonts w:ascii="Century Gothic" w:hAnsi="Century Gothic"/>
          <w:b/>
          <w:smallCaps/>
          <w:sz w:val="24"/>
        </w:rPr>
      </w:pPr>
      <w:bookmarkStart w:id="175" w:name="_Toc453075172"/>
      <w:r w:rsidRPr="00B75B77">
        <w:br w:type="page"/>
      </w:r>
    </w:p>
    <w:p w:rsidR="000C1E59" w:rsidRPr="00B75B77" w:rsidRDefault="000C1E59" w:rsidP="003E6A9B">
      <w:pPr>
        <w:pStyle w:val="Heading2"/>
      </w:pPr>
      <w:bookmarkStart w:id="176" w:name="_Toc466413266"/>
      <w:r w:rsidRPr="00B75B77">
        <w:lastRenderedPageBreak/>
        <w:t>Summary of Portfolio Finances and Cost-Effectiveness</w:t>
      </w:r>
      <w:bookmarkEnd w:id="170"/>
      <w:bookmarkEnd w:id="171"/>
      <w:bookmarkEnd w:id="172"/>
      <w:bookmarkEnd w:id="173"/>
      <w:bookmarkEnd w:id="174"/>
      <w:bookmarkEnd w:id="175"/>
      <w:bookmarkEnd w:id="176"/>
    </w:p>
    <w:p w:rsidR="000C1E59" w:rsidRPr="00B75B77" w:rsidRDefault="000C1E59" w:rsidP="002C50C1">
      <w:r w:rsidRPr="00B75B77">
        <w:t xml:space="preserve">A breakdown of the portfolio finances is presented in </w:t>
      </w:r>
      <w:r w:rsidR="00D63028" w:rsidRPr="00B75B77">
        <w:fldChar w:fldCharType="begin"/>
      </w:r>
      <w:r w:rsidR="00D63028" w:rsidRPr="00B75B77">
        <w:instrText xml:space="preserve"> REF _Ref448933120 \h </w:instrText>
      </w:r>
      <w:r w:rsidR="00B75B77">
        <w:instrText xml:space="preserve"> \* MERGEFORMAT </w:instrText>
      </w:r>
      <w:r w:rsidR="00D63028" w:rsidRPr="00B75B77">
        <w:fldChar w:fldCharType="separate"/>
      </w:r>
      <w:r w:rsidR="0004016D" w:rsidRPr="00B75B77">
        <w:t xml:space="preserve">Table </w:t>
      </w:r>
      <w:r w:rsidR="0004016D">
        <w:rPr>
          <w:noProof/>
        </w:rPr>
        <w:t>1</w:t>
      </w:r>
      <w:r w:rsidR="0004016D" w:rsidRPr="00B75B77">
        <w:rPr>
          <w:noProof/>
        </w:rPr>
        <w:noBreakHyphen/>
      </w:r>
      <w:r w:rsidR="0004016D">
        <w:rPr>
          <w:noProof/>
        </w:rPr>
        <w:t>5</w:t>
      </w:r>
      <w:r w:rsidR="00D63028" w:rsidRPr="00B75B77">
        <w:fldChar w:fldCharType="end"/>
      </w:r>
      <w:r w:rsidR="00D63028" w:rsidRPr="00B75B77">
        <w:t>.</w:t>
      </w:r>
      <w:r w:rsidR="005279FF" w:rsidRPr="00B75B77">
        <w:t xml:space="preserve"> PECO’s portfolio was cost-effective based on a final Phase II TRC benefit-cost ratio of 1.76 and a PY7 ratio of 2.0</w:t>
      </w:r>
      <w:r w:rsidR="009F137E" w:rsidRPr="00B75B77">
        <w:t>5</w:t>
      </w:r>
      <w:r w:rsidR="005279FF" w:rsidRPr="00B75B77">
        <w:t>.</w:t>
      </w:r>
    </w:p>
    <w:p w:rsidR="000C1E59" w:rsidRPr="00B75B77" w:rsidRDefault="000C1E59" w:rsidP="002C50C1"/>
    <w:p w:rsidR="000C1E59" w:rsidRPr="00B75B77" w:rsidRDefault="00F1144C" w:rsidP="00F1144C">
      <w:pPr>
        <w:pStyle w:val="Caption"/>
      </w:pPr>
      <w:bookmarkStart w:id="177" w:name="_Ref464563474"/>
      <w:bookmarkStart w:id="178" w:name="_Ref448933517"/>
      <w:bookmarkStart w:id="179" w:name="_Toc453075285"/>
      <w:bookmarkStart w:id="180" w:name="_Toc466413497"/>
      <w:r w:rsidRPr="00B75B77">
        <w:t xml:space="preserve">Table </w:t>
      </w:r>
      <w:fldSimple w:instr=" STYLEREF 1 \s ">
        <w:r w:rsidR="0004016D">
          <w:rPr>
            <w:noProof/>
          </w:rPr>
          <w:t>1</w:t>
        </w:r>
      </w:fldSimple>
      <w:r w:rsidRPr="00B75B77">
        <w:noBreakHyphen/>
      </w:r>
      <w:fldSimple w:instr=" SEQ Table \* ARABIC \s 1 ">
        <w:r w:rsidR="0004016D">
          <w:rPr>
            <w:noProof/>
          </w:rPr>
          <w:t>15</w:t>
        </w:r>
      </w:fldSimple>
      <w:bookmarkEnd w:id="177"/>
      <w:r w:rsidRPr="00B75B77">
        <w:t xml:space="preserve">: </w:t>
      </w:r>
      <w:bookmarkEnd w:id="178"/>
      <w:r w:rsidR="000C1E59" w:rsidRPr="00B75B77">
        <w:t>Summary of Portfolio Finances</w:t>
      </w:r>
      <w:bookmarkEnd w:id="179"/>
      <w:bookmarkEnd w:id="180"/>
    </w:p>
    <w:tbl>
      <w:tblPr>
        <w:tblW w:w="9625" w:type="dxa"/>
        <w:tblLook w:val="04A0" w:firstRow="1" w:lastRow="0" w:firstColumn="1" w:lastColumn="0" w:noHBand="0" w:noVBand="1"/>
      </w:tblPr>
      <w:tblGrid>
        <w:gridCol w:w="805"/>
        <w:gridCol w:w="5670"/>
        <w:gridCol w:w="1440"/>
        <w:gridCol w:w="1710"/>
      </w:tblGrid>
      <w:tr w:rsidR="000C1E59" w:rsidRPr="00B75B77" w:rsidTr="00E639E7">
        <w:trPr>
          <w:divId w:val="932130811"/>
          <w:trHeight w:val="683"/>
        </w:trPr>
        <w:tc>
          <w:tcPr>
            <w:tcW w:w="805"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0C1E59" w:rsidRPr="00B75B77" w:rsidRDefault="000C1E59" w:rsidP="00F1144C">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Row #</w:t>
            </w:r>
          </w:p>
        </w:tc>
        <w:tc>
          <w:tcPr>
            <w:tcW w:w="5670"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0C1E59" w:rsidRPr="00B75B77" w:rsidRDefault="000C1E59" w:rsidP="00F1144C">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Cost Category</w:t>
            </w:r>
          </w:p>
        </w:tc>
        <w:tc>
          <w:tcPr>
            <w:tcW w:w="1440"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F1144C">
            <w:pPr>
              <w:keepNext/>
              <w:jc w:val="right"/>
              <w:rPr>
                <w:rFonts w:ascii="Calibri" w:eastAsia="Times New Roman" w:hAnsi="Calibri"/>
                <w:b/>
                <w:bCs/>
                <w:color w:val="FFFFFF"/>
                <w:sz w:val="18"/>
                <w:szCs w:val="18"/>
              </w:rPr>
            </w:pPr>
            <w:r w:rsidRPr="00B75B77">
              <w:rPr>
                <w:rFonts w:ascii="Calibri" w:eastAsia="Times New Roman" w:hAnsi="Calibri"/>
                <w:b/>
                <w:bCs/>
                <w:color w:val="FFFFFF"/>
                <w:sz w:val="18"/>
                <w:szCs w:val="18"/>
              </w:rPr>
              <w:t>Actual PYTD Costs</w:t>
            </w:r>
          </w:p>
        </w:tc>
        <w:tc>
          <w:tcPr>
            <w:tcW w:w="1710"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F1144C">
            <w:pPr>
              <w:keepNext/>
              <w:jc w:val="right"/>
              <w:rPr>
                <w:rFonts w:ascii="Calibri" w:eastAsia="Times New Roman" w:hAnsi="Calibri"/>
                <w:b/>
                <w:bCs/>
                <w:color w:val="FFFFFF"/>
                <w:sz w:val="18"/>
                <w:szCs w:val="18"/>
              </w:rPr>
            </w:pPr>
            <w:r w:rsidRPr="00B75B77">
              <w:rPr>
                <w:rFonts w:ascii="Calibri" w:eastAsia="Times New Roman" w:hAnsi="Calibri"/>
                <w:b/>
                <w:bCs/>
                <w:color w:val="FFFFFF"/>
                <w:sz w:val="18"/>
                <w:szCs w:val="18"/>
              </w:rPr>
              <w:t>Actual Phase II Costs</w:t>
            </w:r>
          </w:p>
        </w:tc>
      </w:tr>
      <w:tr w:rsidR="000C1E59" w:rsidRPr="00B75B77" w:rsidTr="00F94CBE">
        <w:trPr>
          <w:divId w:val="932130811"/>
          <w:trHeight w:val="288"/>
        </w:trPr>
        <w:tc>
          <w:tcPr>
            <w:tcW w:w="805" w:type="dxa"/>
            <w:vMerge/>
            <w:tcBorders>
              <w:top w:val="single" w:sz="4" w:space="0" w:color="auto"/>
              <w:left w:val="single" w:sz="4" w:space="0" w:color="auto"/>
              <w:bottom w:val="single" w:sz="4" w:space="0" w:color="auto"/>
              <w:right w:val="single" w:sz="4" w:space="0" w:color="auto"/>
            </w:tcBorders>
            <w:vAlign w:val="center"/>
            <w:hideMark/>
          </w:tcPr>
          <w:p w:rsidR="000C1E59" w:rsidRPr="00B75B77" w:rsidRDefault="000C1E59" w:rsidP="00F1144C">
            <w:pPr>
              <w:keepNext/>
              <w:jc w:val="left"/>
              <w:rPr>
                <w:rFonts w:ascii="Calibri" w:eastAsia="Times New Roman" w:hAnsi="Calibri"/>
                <w:b/>
                <w:bCs/>
                <w:color w:val="FFFFFF"/>
                <w:sz w:val="18"/>
                <w:szCs w:val="18"/>
              </w:rPr>
            </w:pP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0C1E59" w:rsidRPr="00B75B77" w:rsidRDefault="000C1E59" w:rsidP="00F1144C">
            <w:pPr>
              <w:keepNext/>
              <w:jc w:val="left"/>
              <w:rPr>
                <w:rFonts w:ascii="Calibri" w:eastAsia="Times New Roman" w:hAnsi="Calibri"/>
                <w:b/>
                <w:bCs/>
                <w:color w:val="FFFFFF"/>
                <w:sz w:val="18"/>
                <w:szCs w:val="18"/>
              </w:rPr>
            </w:pPr>
          </w:p>
        </w:tc>
        <w:tc>
          <w:tcPr>
            <w:tcW w:w="1440" w:type="dxa"/>
            <w:tcBorders>
              <w:top w:val="nil"/>
              <w:left w:val="nil"/>
              <w:bottom w:val="single" w:sz="4" w:space="0" w:color="auto"/>
              <w:right w:val="single" w:sz="4" w:space="0" w:color="auto"/>
            </w:tcBorders>
            <w:shd w:val="clear" w:color="000000" w:fill="448A99"/>
            <w:vAlign w:val="center"/>
            <w:hideMark/>
          </w:tcPr>
          <w:p w:rsidR="000C1E59" w:rsidRPr="00B75B77" w:rsidRDefault="000C1E59" w:rsidP="00F1144C">
            <w:pPr>
              <w:keepNext/>
              <w:jc w:val="right"/>
              <w:rPr>
                <w:rFonts w:ascii="Calibri" w:eastAsia="Times New Roman" w:hAnsi="Calibri"/>
                <w:b/>
                <w:bCs/>
                <w:color w:val="FFFFFF"/>
                <w:sz w:val="18"/>
                <w:szCs w:val="18"/>
              </w:rPr>
            </w:pPr>
            <w:r w:rsidRPr="00B75B77">
              <w:rPr>
                <w:rFonts w:ascii="Calibri" w:eastAsia="Times New Roman" w:hAnsi="Calibri"/>
                <w:b/>
                <w:bCs/>
                <w:color w:val="FFFFFF"/>
                <w:sz w:val="18"/>
                <w:szCs w:val="18"/>
              </w:rPr>
              <w:t>($1,000)</w:t>
            </w:r>
          </w:p>
        </w:tc>
        <w:tc>
          <w:tcPr>
            <w:tcW w:w="1710" w:type="dxa"/>
            <w:tcBorders>
              <w:top w:val="nil"/>
              <w:left w:val="nil"/>
              <w:bottom w:val="single" w:sz="4" w:space="0" w:color="auto"/>
              <w:right w:val="single" w:sz="4" w:space="0" w:color="auto"/>
            </w:tcBorders>
            <w:shd w:val="clear" w:color="000000" w:fill="448A99"/>
            <w:vAlign w:val="center"/>
            <w:hideMark/>
          </w:tcPr>
          <w:p w:rsidR="000C1E59" w:rsidRPr="00B75B77" w:rsidRDefault="000C1E59" w:rsidP="00F1144C">
            <w:pPr>
              <w:keepNext/>
              <w:jc w:val="right"/>
              <w:rPr>
                <w:rFonts w:ascii="Calibri" w:eastAsia="Times New Roman" w:hAnsi="Calibri"/>
                <w:b/>
                <w:bCs/>
                <w:color w:val="FFFFFF"/>
                <w:sz w:val="18"/>
                <w:szCs w:val="18"/>
              </w:rPr>
            </w:pPr>
            <w:r w:rsidRPr="00B75B77">
              <w:rPr>
                <w:rFonts w:ascii="Calibri" w:eastAsia="Times New Roman" w:hAnsi="Calibri"/>
                <w:b/>
                <w:bCs/>
                <w:color w:val="FFFFFF"/>
                <w:sz w:val="18"/>
                <w:szCs w:val="18"/>
              </w:rPr>
              <w:t>($1,000)</w:t>
            </w:r>
          </w:p>
        </w:tc>
      </w:tr>
      <w:tr w:rsidR="000C1E59" w:rsidRPr="00B75B77" w:rsidTr="00F94CBE">
        <w:trPr>
          <w:divId w:val="932130811"/>
          <w:trHeight w:val="300"/>
        </w:trPr>
        <w:tc>
          <w:tcPr>
            <w:tcW w:w="805"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F1144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w:t>
            </w:r>
          </w:p>
        </w:tc>
        <w:tc>
          <w:tcPr>
            <w:tcW w:w="56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1144C">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Incremental Measure Costs (Sum of Rows 2 through 4)</w:t>
            </w:r>
          </w:p>
        </w:tc>
        <w:tc>
          <w:tcPr>
            <w:tcW w:w="144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1144C">
            <w:pPr>
              <w:keepNext/>
              <w:jc w:val="center"/>
              <w:rPr>
                <w:rFonts w:ascii="Calibri" w:eastAsia="Times New Roman" w:hAnsi="Calibri"/>
                <w:color w:val="000000"/>
                <w:sz w:val="18"/>
                <w:szCs w:val="18"/>
              </w:rPr>
            </w:pPr>
            <w:r w:rsidRPr="00B75B77">
              <w:rPr>
                <w:sz w:val="18"/>
                <w:szCs w:val="18"/>
              </w:rPr>
              <w:t>163,964</w:t>
            </w:r>
          </w:p>
        </w:tc>
        <w:tc>
          <w:tcPr>
            <w:tcW w:w="171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1144C">
            <w:pPr>
              <w:keepNext/>
              <w:jc w:val="center"/>
              <w:rPr>
                <w:rFonts w:ascii="Calibri" w:eastAsia="Times New Roman" w:hAnsi="Calibri"/>
                <w:color w:val="000000"/>
                <w:sz w:val="18"/>
                <w:szCs w:val="18"/>
              </w:rPr>
            </w:pPr>
            <w:r w:rsidRPr="00B75B77">
              <w:rPr>
                <w:sz w:val="18"/>
                <w:szCs w:val="18"/>
              </w:rPr>
              <w:t>349,918</w:t>
            </w:r>
          </w:p>
        </w:tc>
      </w:tr>
      <w:tr w:rsidR="000C1E59" w:rsidRPr="00B75B77" w:rsidTr="00F94CBE">
        <w:trPr>
          <w:divId w:val="932130811"/>
          <w:trHeight w:val="300"/>
        </w:trPr>
        <w:tc>
          <w:tcPr>
            <w:tcW w:w="805"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F1144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2</w:t>
            </w:r>
          </w:p>
        </w:tc>
        <w:tc>
          <w:tcPr>
            <w:tcW w:w="56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1144C">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EDC Incentives to Participants</w:t>
            </w:r>
          </w:p>
        </w:tc>
        <w:tc>
          <w:tcPr>
            <w:tcW w:w="144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1144C">
            <w:pPr>
              <w:keepNext/>
              <w:jc w:val="center"/>
              <w:rPr>
                <w:rFonts w:ascii="Calibri" w:eastAsia="Times New Roman" w:hAnsi="Calibri"/>
                <w:color w:val="000000"/>
                <w:sz w:val="18"/>
                <w:szCs w:val="18"/>
              </w:rPr>
            </w:pPr>
            <w:r w:rsidRPr="00B75B77">
              <w:rPr>
                <w:sz w:val="18"/>
                <w:szCs w:val="18"/>
              </w:rPr>
              <w:t>41,321</w:t>
            </w:r>
          </w:p>
        </w:tc>
        <w:tc>
          <w:tcPr>
            <w:tcW w:w="171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1144C">
            <w:pPr>
              <w:keepNext/>
              <w:jc w:val="center"/>
              <w:rPr>
                <w:rFonts w:ascii="Calibri" w:eastAsia="Times New Roman" w:hAnsi="Calibri"/>
                <w:color w:val="000000"/>
                <w:sz w:val="18"/>
                <w:szCs w:val="18"/>
              </w:rPr>
            </w:pPr>
            <w:r w:rsidRPr="00B75B77">
              <w:rPr>
                <w:sz w:val="18"/>
                <w:szCs w:val="18"/>
              </w:rPr>
              <w:t>81,659</w:t>
            </w:r>
          </w:p>
        </w:tc>
      </w:tr>
      <w:tr w:rsidR="000C1E59" w:rsidRPr="00B75B77" w:rsidTr="00F94CBE">
        <w:trPr>
          <w:divId w:val="932130811"/>
          <w:trHeight w:val="300"/>
        </w:trPr>
        <w:tc>
          <w:tcPr>
            <w:tcW w:w="805"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F1144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3</w:t>
            </w:r>
          </w:p>
        </w:tc>
        <w:tc>
          <w:tcPr>
            <w:tcW w:w="56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1144C">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EDC Incentives to Trade Allies</w:t>
            </w:r>
          </w:p>
        </w:tc>
        <w:tc>
          <w:tcPr>
            <w:tcW w:w="144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1144C">
            <w:pPr>
              <w:keepNext/>
              <w:jc w:val="center"/>
              <w:rPr>
                <w:rFonts w:ascii="Calibri" w:eastAsia="Times New Roman" w:hAnsi="Calibri"/>
                <w:color w:val="000000"/>
                <w:sz w:val="18"/>
                <w:szCs w:val="18"/>
              </w:rPr>
            </w:pPr>
            <w:r w:rsidRPr="00B75B77">
              <w:rPr>
                <w:sz w:val="18"/>
                <w:szCs w:val="18"/>
              </w:rPr>
              <w:t>348</w:t>
            </w:r>
          </w:p>
        </w:tc>
        <w:tc>
          <w:tcPr>
            <w:tcW w:w="171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1144C">
            <w:pPr>
              <w:keepNext/>
              <w:jc w:val="center"/>
              <w:rPr>
                <w:rFonts w:ascii="Calibri" w:eastAsia="Times New Roman" w:hAnsi="Calibri"/>
                <w:color w:val="000000"/>
                <w:sz w:val="18"/>
                <w:szCs w:val="18"/>
              </w:rPr>
            </w:pPr>
            <w:r w:rsidRPr="00B75B77">
              <w:rPr>
                <w:sz w:val="18"/>
                <w:szCs w:val="18"/>
              </w:rPr>
              <w:t>659</w:t>
            </w:r>
          </w:p>
        </w:tc>
      </w:tr>
      <w:tr w:rsidR="000C1E59" w:rsidRPr="00B75B77" w:rsidTr="00F94CBE">
        <w:trPr>
          <w:divId w:val="932130811"/>
          <w:trHeight w:val="300"/>
        </w:trPr>
        <w:tc>
          <w:tcPr>
            <w:tcW w:w="805"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F1144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4</w:t>
            </w:r>
          </w:p>
        </w:tc>
        <w:tc>
          <w:tcPr>
            <w:tcW w:w="56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1144C">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Participant Costs (Net of Incentives/Rebates Paid by Utilities)</w:t>
            </w:r>
          </w:p>
        </w:tc>
        <w:tc>
          <w:tcPr>
            <w:tcW w:w="144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1144C">
            <w:pPr>
              <w:keepNext/>
              <w:jc w:val="center"/>
              <w:rPr>
                <w:rFonts w:ascii="Calibri" w:eastAsia="Times New Roman" w:hAnsi="Calibri"/>
                <w:color w:val="000000"/>
                <w:sz w:val="18"/>
                <w:szCs w:val="18"/>
              </w:rPr>
            </w:pPr>
            <w:r w:rsidRPr="00B75B77">
              <w:rPr>
                <w:sz w:val="18"/>
                <w:szCs w:val="18"/>
              </w:rPr>
              <w:t>122,295</w:t>
            </w:r>
          </w:p>
        </w:tc>
        <w:tc>
          <w:tcPr>
            <w:tcW w:w="171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1144C">
            <w:pPr>
              <w:keepNext/>
              <w:jc w:val="center"/>
              <w:rPr>
                <w:rFonts w:ascii="Calibri" w:eastAsia="Times New Roman" w:hAnsi="Calibri"/>
                <w:color w:val="000000"/>
                <w:sz w:val="18"/>
                <w:szCs w:val="18"/>
              </w:rPr>
            </w:pPr>
            <w:r w:rsidRPr="00B75B77">
              <w:rPr>
                <w:sz w:val="18"/>
                <w:szCs w:val="18"/>
              </w:rPr>
              <w:t>267,600</w:t>
            </w:r>
          </w:p>
        </w:tc>
      </w:tr>
      <w:tr w:rsidR="000C1E59" w:rsidRPr="00B75B77" w:rsidTr="00F94CBE">
        <w:trPr>
          <w:divId w:val="932130811"/>
          <w:trHeight w:val="204"/>
        </w:trPr>
        <w:tc>
          <w:tcPr>
            <w:tcW w:w="9625" w:type="dxa"/>
            <w:gridSpan w:val="4"/>
            <w:tcBorders>
              <w:top w:val="single" w:sz="4" w:space="0" w:color="448A99"/>
              <w:left w:val="single" w:sz="4" w:space="0" w:color="448A99"/>
              <w:bottom w:val="single" w:sz="4" w:space="0" w:color="448A99"/>
              <w:right w:val="single" w:sz="4" w:space="0" w:color="448A99"/>
            </w:tcBorders>
            <w:shd w:val="clear" w:color="000000" w:fill="AEAAAA"/>
            <w:vAlign w:val="center"/>
            <w:hideMark/>
          </w:tcPr>
          <w:p w:rsidR="000C1E59" w:rsidRPr="00B75B77" w:rsidRDefault="000C1E59" w:rsidP="00F1144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 </w:t>
            </w:r>
          </w:p>
        </w:tc>
      </w:tr>
      <w:tr w:rsidR="000C1E59" w:rsidRPr="00B75B77" w:rsidTr="00F94CBE">
        <w:trPr>
          <w:divId w:val="932130811"/>
          <w:trHeight w:val="300"/>
        </w:trPr>
        <w:tc>
          <w:tcPr>
            <w:tcW w:w="805"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F1144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5</w:t>
            </w:r>
          </w:p>
        </w:tc>
        <w:tc>
          <w:tcPr>
            <w:tcW w:w="56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1144C">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Program Overhead Costs (Sum of Rows 6 through 10)</w:t>
            </w:r>
          </w:p>
        </w:tc>
        <w:tc>
          <w:tcPr>
            <w:tcW w:w="144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1144C">
            <w:pPr>
              <w:keepNext/>
              <w:jc w:val="center"/>
              <w:rPr>
                <w:rFonts w:ascii="Calibri" w:eastAsia="Times New Roman" w:hAnsi="Calibri"/>
                <w:color w:val="000000"/>
                <w:sz w:val="18"/>
                <w:szCs w:val="18"/>
              </w:rPr>
            </w:pPr>
            <w:r w:rsidRPr="00B75B77">
              <w:rPr>
                <w:sz w:val="18"/>
                <w:szCs w:val="18"/>
              </w:rPr>
              <w:t>49,479</w:t>
            </w:r>
          </w:p>
        </w:tc>
        <w:tc>
          <w:tcPr>
            <w:tcW w:w="171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1144C">
            <w:pPr>
              <w:keepNext/>
              <w:jc w:val="center"/>
              <w:rPr>
                <w:rFonts w:ascii="Calibri" w:eastAsia="Times New Roman" w:hAnsi="Calibri"/>
                <w:color w:val="000000"/>
                <w:sz w:val="18"/>
                <w:szCs w:val="18"/>
              </w:rPr>
            </w:pPr>
            <w:r w:rsidRPr="00B75B77">
              <w:rPr>
                <w:sz w:val="18"/>
                <w:szCs w:val="18"/>
              </w:rPr>
              <w:t>147,530</w:t>
            </w:r>
          </w:p>
        </w:tc>
      </w:tr>
      <w:tr w:rsidR="000C1E59" w:rsidRPr="00B75B77" w:rsidTr="00F94CBE">
        <w:trPr>
          <w:divId w:val="932130811"/>
          <w:trHeight w:val="300"/>
        </w:trPr>
        <w:tc>
          <w:tcPr>
            <w:tcW w:w="805"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F1144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6</w:t>
            </w:r>
          </w:p>
        </w:tc>
        <w:tc>
          <w:tcPr>
            <w:tcW w:w="56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1144C">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Design </w:t>
            </w:r>
            <w:r w:rsidR="00F1144C" w:rsidRPr="00B75B77">
              <w:rPr>
                <w:rFonts w:ascii="Calibri" w:eastAsia="Times New Roman" w:hAnsi="Calibri"/>
                <w:color w:val="000000"/>
                <w:sz w:val="18"/>
                <w:szCs w:val="18"/>
              </w:rPr>
              <w:t>and</w:t>
            </w:r>
            <w:r w:rsidRPr="00B75B77">
              <w:rPr>
                <w:rFonts w:ascii="Calibri" w:eastAsia="Times New Roman" w:hAnsi="Calibri"/>
                <w:color w:val="000000"/>
                <w:sz w:val="18"/>
                <w:szCs w:val="18"/>
              </w:rPr>
              <w:t xml:space="preserve"> Development</w:t>
            </w:r>
          </w:p>
        </w:tc>
        <w:tc>
          <w:tcPr>
            <w:tcW w:w="144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1144C">
            <w:pPr>
              <w:keepNext/>
              <w:jc w:val="center"/>
              <w:rPr>
                <w:rFonts w:ascii="Calibri" w:eastAsia="Times New Roman" w:hAnsi="Calibri"/>
                <w:color w:val="000000"/>
                <w:sz w:val="18"/>
                <w:szCs w:val="18"/>
              </w:rPr>
            </w:pPr>
            <w:r w:rsidRPr="00B75B77">
              <w:rPr>
                <w:sz w:val="18"/>
                <w:szCs w:val="18"/>
              </w:rPr>
              <w:t>0</w:t>
            </w:r>
          </w:p>
        </w:tc>
        <w:tc>
          <w:tcPr>
            <w:tcW w:w="171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1144C">
            <w:pPr>
              <w:keepNext/>
              <w:jc w:val="center"/>
              <w:rPr>
                <w:rFonts w:ascii="Calibri" w:eastAsia="Times New Roman" w:hAnsi="Calibri"/>
                <w:color w:val="000000"/>
                <w:sz w:val="18"/>
                <w:szCs w:val="18"/>
              </w:rPr>
            </w:pPr>
            <w:r w:rsidRPr="00B75B77">
              <w:rPr>
                <w:sz w:val="18"/>
                <w:szCs w:val="18"/>
              </w:rPr>
              <w:t>0</w:t>
            </w:r>
          </w:p>
        </w:tc>
      </w:tr>
      <w:tr w:rsidR="000C1E59" w:rsidRPr="00B75B77" w:rsidTr="00F94CBE">
        <w:trPr>
          <w:divId w:val="932130811"/>
          <w:trHeight w:val="300"/>
        </w:trPr>
        <w:tc>
          <w:tcPr>
            <w:tcW w:w="805"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F1144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7</w:t>
            </w:r>
          </w:p>
        </w:tc>
        <w:tc>
          <w:tcPr>
            <w:tcW w:w="56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1144C">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Administration, Management, and Technical Assistance</w:t>
            </w:r>
          </w:p>
        </w:tc>
        <w:tc>
          <w:tcPr>
            <w:tcW w:w="144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1144C">
            <w:pPr>
              <w:keepNext/>
              <w:jc w:val="center"/>
              <w:rPr>
                <w:rFonts w:ascii="Calibri" w:eastAsia="Times New Roman" w:hAnsi="Calibri"/>
                <w:color w:val="000000"/>
                <w:sz w:val="18"/>
                <w:szCs w:val="18"/>
              </w:rPr>
            </w:pPr>
            <w:r w:rsidRPr="00B75B77">
              <w:rPr>
                <w:sz w:val="18"/>
                <w:szCs w:val="18"/>
              </w:rPr>
              <w:t>30,141</w:t>
            </w:r>
          </w:p>
        </w:tc>
        <w:tc>
          <w:tcPr>
            <w:tcW w:w="171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1144C">
            <w:pPr>
              <w:keepNext/>
              <w:jc w:val="center"/>
              <w:rPr>
                <w:rFonts w:ascii="Calibri" w:eastAsia="Times New Roman" w:hAnsi="Calibri"/>
                <w:color w:val="000000"/>
                <w:sz w:val="18"/>
                <w:szCs w:val="18"/>
              </w:rPr>
            </w:pPr>
            <w:r w:rsidRPr="00B75B77">
              <w:rPr>
                <w:sz w:val="18"/>
                <w:szCs w:val="18"/>
              </w:rPr>
              <w:t>94,112</w:t>
            </w:r>
          </w:p>
        </w:tc>
      </w:tr>
      <w:tr w:rsidR="000C1E59" w:rsidRPr="00B75B77" w:rsidTr="00F94CBE">
        <w:trPr>
          <w:divId w:val="932130811"/>
          <w:trHeight w:val="300"/>
        </w:trPr>
        <w:tc>
          <w:tcPr>
            <w:tcW w:w="805"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F1144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8</w:t>
            </w:r>
          </w:p>
        </w:tc>
        <w:tc>
          <w:tcPr>
            <w:tcW w:w="56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1144C">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Marketing</w:t>
            </w:r>
          </w:p>
        </w:tc>
        <w:tc>
          <w:tcPr>
            <w:tcW w:w="144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1144C">
            <w:pPr>
              <w:keepNext/>
              <w:jc w:val="center"/>
              <w:rPr>
                <w:rFonts w:ascii="Calibri" w:eastAsia="Times New Roman" w:hAnsi="Calibri"/>
                <w:color w:val="000000"/>
                <w:sz w:val="18"/>
                <w:szCs w:val="18"/>
              </w:rPr>
            </w:pPr>
            <w:r w:rsidRPr="00B75B77">
              <w:rPr>
                <w:sz w:val="18"/>
                <w:szCs w:val="18"/>
              </w:rPr>
              <w:t>13,228</w:t>
            </w:r>
          </w:p>
        </w:tc>
        <w:tc>
          <w:tcPr>
            <w:tcW w:w="171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1144C">
            <w:pPr>
              <w:keepNext/>
              <w:ind w:left="-33" w:firstLine="33"/>
              <w:jc w:val="center"/>
              <w:rPr>
                <w:rFonts w:ascii="Calibri" w:eastAsia="Times New Roman" w:hAnsi="Calibri"/>
                <w:color w:val="000000"/>
                <w:sz w:val="18"/>
                <w:szCs w:val="18"/>
              </w:rPr>
            </w:pPr>
            <w:r w:rsidRPr="00B75B77">
              <w:rPr>
                <w:sz w:val="18"/>
                <w:szCs w:val="18"/>
              </w:rPr>
              <w:t>39,240</w:t>
            </w:r>
          </w:p>
        </w:tc>
      </w:tr>
      <w:tr w:rsidR="000C1E59" w:rsidRPr="00B75B77" w:rsidTr="00F94CBE">
        <w:trPr>
          <w:divId w:val="932130811"/>
          <w:trHeight w:val="300"/>
        </w:trPr>
        <w:tc>
          <w:tcPr>
            <w:tcW w:w="805"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F1144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9</w:t>
            </w:r>
          </w:p>
        </w:tc>
        <w:tc>
          <w:tcPr>
            <w:tcW w:w="56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1144C">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EDC Evaluation Costs</w:t>
            </w:r>
          </w:p>
        </w:tc>
        <w:tc>
          <w:tcPr>
            <w:tcW w:w="144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1144C">
            <w:pPr>
              <w:keepNext/>
              <w:jc w:val="center"/>
              <w:rPr>
                <w:rFonts w:ascii="Calibri" w:eastAsia="Times New Roman" w:hAnsi="Calibri"/>
                <w:color w:val="000000"/>
                <w:sz w:val="18"/>
                <w:szCs w:val="18"/>
              </w:rPr>
            </w:pPr>
            <w:r w:rsidRPr="00B75B77">
              <w:rPr>
                <w:sz w:val="18"/>
                <w:szCs w:val="18"/>
              </w:rPr>
              <w:t>6,110</w:t>
            </w:r>
          </w:p>
        </w:tc>
        <w:tc>
          <w:tcPr>
            <w:tcW w:w="171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1144C">
            <w:pPr>
              <w:keepNext/>
              <w:jc w:val="center"/>
              <w:rPr>
                <w:rFonts w:ascii="Calibri" w:eastAsia="Times New Roman" w:hAnsi="Calibri"/>
                <w:color w:val="000000"/>
                <w:sz w:val="18"/>
                <w:szCs w:val="18"/>
              </w:rPr>
            </w:pPr>
            <w:r w:rsidRPr="00B75B77">
              <w:rPr>
                <w:sz w:val="18"/>
                <w:szCs w:val="18"/>
              </w:rPr>
              <w:t>14,178</w:t>
            </w:r>
          </w:p>
        </w:tc>
      </w:tr>
      <w:tr w:rsidR="000C1E59" w:rsidRPr="00B75B77" w:rsidTr="00F94CBE">
        <w:trPr>
          <w:divId w:val="932130811"/>
          <w:trHeight w:val="300"/>
        </w:trPr>
        <w:tc>
          <w:tcPr>
            <w:tcW w:w="805"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F1144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10</w:t>
            </w:r>
          </w:p>
        </w:tc>
        <w:tc>
          <w:tcPr>
            <w:tcW w:w="56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1144C">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SWE Audit Costs</w:t>
            </w:r>
          </w:p>
        </w:tc>
        <w:tc>
          <w:tcPr>
            <w:tcW w:w="144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1144C">
            <w:pPr>
              <w:keepNext/>
              <w:jc w:val="center"/>
              <w:rPr>
                <w:rFonts w:ascii="Calibri" w:eastAsia="Times New Roman" w:hAnsi="Calibri"/>
                <w:color w:val="000000"/>
                <w:sz w:val="18"/>
                <w:szCs w:val="18"/>
              </w:rPr>
            </w:pPr>
            <w:r w:rsidRPr="00B75B77">
              <w:rPr>
                <w:sz w:val="18"/>
                <w:szCs w:val="18"/>
              </w:rPr>
              <w:t>0</w:t>
            </w:r>
          </w:p>
        </w:tc>
        <w:tc>
          <w:tcPr>
            <w:tcW w:w="171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1144C">
            <w:pPr>
              <w:keepNext/>
              <w:jc w:val="center"/>
              <w:rPr>
                <w:rFonts w:ascii="Calibri" w:eastAsia="Times New Roman" w:hAnsi="Calibri"/>
                <w:color w:val="000000"/>
                <w:sz w:val="18"/>
                <w:szCs w:val="18"/>
              </w:rPr>
            </w:pPr>
            <w:r w:rsidRPr="00B75B77">
              <w:rPr>
                <w:sz w:val="18"/>
                <w:szCs w:val="18"/>
              </w:rPr>
              <w:t>0</w:t>
            </w:r>
          </w:p>
        </w:tc>
      </w:tr>
      <w:tr w:rsidR="000C1E59" w:rsidRPr="00B75B77" w:rsidTr="00F94CBE">
        <w:trPr>
          <w:divId w:val="932130811"/>
          <w:trHeight w:val="204"/>
        </w:trPr>
        <w:tc>
          <w:tcPr>
            <w:tcW w:w="9625" w:type="dxa"/>
            <w:gridSpan w:val="4"/>
            <w:tcBorders>
              <w:top w:val="single" w:sz="4" w:space="0" w:color="448A99"/>
              <w:left w:val="single" w:sz="4" w:space="0" w:color="448A99"/>
              <w:bottom w:val="single" w:sz="4" w:space="0" w:color="448A99"/>
              <w:right w:val="single" w:sz="4" w:space="0" w:color="448A99"/>
            </w:tcBorders>
            <w:shd w:val="clear" w:color="000000" w:fill="AEAAAA"/>
            <w:vAlign w:val="center"/>
            <w:hideMark/>
          </w:tcPr>
          <w:p w:rsidR="000C1E59" w:rsidRPr="00B75B77" w:rsidRDefault="000C1E59" w:rsidP="00F1144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 </w:t>
            </w:r>
          </w:p>
        </w:tc>
      </w:tr>
      <w:tr w:rsidR="000C1E59" w:rsidRPr="00B75B77" w:rsidTr="00F94CBE">
        <w:trPr>
          <w:divId w:val="932130811"/>
          <w:trHeight w:val="312"/>
        </w:trPr>
        <w:tc>
          <w:tcPr>
            <w:tcW w:w="805"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F1144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11</w:t>
            </w:r>
          </w:p>
        </w:tc>
        <w:tc>
          <w:tcPr>
            <w:tcW w:w="56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1144C">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Increase in Costs of Natural Gas (or Other Fuels) for Fuel-Switching Programs</w:t>
            </w:r>
          </w:p>
        </w:tc>
        <w:tc>
          <w:tcPr>
            <w:tcW w:w="144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1144C">
            <w:pPr>
              <w:keepNext/>
              <w:jc w:val="center"/>
              <w:rPr>
                <w:rFonts w:ascii="Calibri" w:eastAsia="Times New Roman" w:hAnsi="Calibri"/>
                <w:color w:val="000000"/>
                <w:sz w:val="18"/>
                <w:szCs w:val="18"/>
              </w:rPr>
            </w:pPr>
            <w:r w:rsidRPr="00B75B77">
              <w:rPr>
                <w:sz w:val="18"/>
                <w:szCs w:val="18"/>
              </w:rPr>
              <w:t>5,900</w:t>
            </w:r>
          </w:p>
        </w:tc>
        <w:tc>
          <w:tcPr>
            <w:tcW w:w="171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1144C">
            <w:pPr>
              <w:keepNext/>
              <w:jc w:val="center"/>
              <w:rPr>
                <w:rFonts w:ascii="Calibri" w:eastAsia="Times New Roman" w:hAnsi="Calibri"/>
                <w:color w:val="000000"/>
                <w:sz w:val="18"/>
                <w:szCs w:val="18"/>
              </w:rPr>
            </w:pPr>
            <w:r w:rsidRPr="00B75B77">
              <w:rPr>
                <w:sz w:val="18"/>
                <w:szCs w:val="18"/>
              </w:rPr>
              <w:t>18,944</w:t>
            </w:r>
          </w:p>
        </w:tc>
      </w:tr>
      <w:tr w:rsidR="000C1E59" w:rsidRPr="00B75B77" w:rsidTr="00F94CBE">
        <w:trPr>
          <w:divId w:val="932130811"/>
          <w:trHeight w:val="204"/>
        </w:trPr>
        <w:tc>
          <w:tcPr>
            <w:tcW w:w="9625" w:type="dxa"/>
            <w:gridSpan w:val="4"/>
            <w:tcBorders>
              <w:top w:val="single" w:sz="4" w:space="0" w:color="448A99"/>
              <w:left w:val="single" w:sz="4" w:space="0" w:color="448A99"/>
              <w:bottom w:val="single" w:sz="4" w:space="0" w:color="448A99"/>
              <w:right w:val="single" w:sz="4" w:space="0" w:color="448A99"/>
            </w:tcBorders>
            <w:shd w:val="clear" w:color="000000" w:fill="AEAAAA"/>
            <w:vAlign w:val="center"/>
            <w:hideMark/>
          </w:tcPr>
          <w:p w:rsidR="000C1E59" w:rsidRPr="00B75B77" w:rsidRDefault="000C1E59" w:rsidP="00F1144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 </w:t>
            </w:r>
          </w:p>
        </w:tc>
      </w:tr>
      <w:tr w:rsidR="000C1E59" w:rsidRPr="00B75B77" w:rsidTr="00F94CBE">
        <w:trPr>
          <w:divId w:val="932130811"/>
          <w:trHeight w:val="300"/>
        </w:trPr>
        <w:tc>
          <w:tcPr>
            <w:tcW w:w="805"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F1144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12</w:t>
            </w:r>
          </w:p>
        </w:tc>
        <w:tc>
          <w:tcPr>
            <w:tcW w:w="56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1144C">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Total TRC Costs (Sum of Rows 1, 5, and 11)</w:t>
            </w:r>
          </w:p>
        </w:tc>
        <w:tc>
          <w:tcPr>
            <w:tcW w:w="144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1144C">
            <w:pPr>
              <w:keepNext/>
              <w:jc w:val="center"/>
              <w:rPr>
                <w:rFonts w:ascii="Calibri" w:eastAsia="Times New Roman" w:hAnsi="Calibri"/>
                <w:color w:val="000000"/>
                <w:sz w:val="18"/>
                <w:szCs w:val="18"/>
              </w:rPr>
            </w:pPr>
            <w:r w:rsidRPr="00B75B77">
              <w:rPr>
                <w:sz w:val="18"/>
                <w:szCs w:val="18"/>
              </w:rPr>
              <w:t>219,343</w:t>
            </w:r>
          </w:p>
        </w:tc>
        <w:tc>
          <w:tcPr>
            <w:tcW w:w="171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1144C">
            <w:pPr>
              <w:keepNext/>
              <w:jc w:val="center"/>
              <w:rPr>
                <w:rFonts w:ascii="Calibri" w:eastAsia="Times New Roman" w:hAnsi="Calibri"/>
                <w:color w:val="000000"/>
                <w:sz w:val="18"/>
                <w:szCs w:val="18"/>
              </w:rPr>
            </w:pPr>
            <w:r w:rsidRPr="00B75B77">
              <w:rPr>
                <w:sz w:val="18"/>
                <w:szCs w:val="18"/>
              </w:rPr>
              <w:t>516,392</w:t>
            </w:r>
          </w:p>
        </w:tc>
      </w:tr>
      <w:tr w:rsidR="000C1E59" w:rsidRPr="00B75B77" w:rsidTr="00F94CBE">
        <w:trPr>
          <w:divId w:val="932130811"/>
          <w:trHeight w:val="300"/>
        </w:trPr>
        <w:tc>
          <w:tcPr>
            <w:tcW w:w="805"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F1144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13</w:t>
            </w:r>
          </w:p>
        </w:tc>
        <w:tc>
          <w:tcPr>
            <w:tcW w:w="56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1144C">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Total NPV Lifetime Energy Benefits</w:t>
            </w:r>
          </w:p>
        </w:tc>
        <w:tc>
          <w:tcPr>
            <w:tcW w:w="144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1144C">
            <w:pPr>
              <w:keepNext/>
              <w:jc w:val="center"/>
              <w:rPr>
                <w:rFonts w:ascii="Calibri" w:eastAsia="Times New Roman" w:hAnsi="Calibri"/>
                <w:color w:val="000000"/>
                <w:sz w:val="18"/>
                <w:szCs w:val="18"/>
              </w:rPr>
            </w:pPr>
            <w:r w:rsidRPr="00B75B77">
              <w:rPr>
                <w:sz w:val="18"/>
                <w:szCs w:val="18"/>
              </w:rPr>
              <w:t>39</w:t>
            </w:r>
            <w:r w:rsidR="009F137E" w:rsidRPr="00B75B77">
              <w:rPr>
                <w:sz w:val="18"/>
                <w:szCs w:val="18"/>
              </w:rPr>
              <w:t>1,364</w:t>
            </w:r>
          </w:p>
        </w:tc>
        <w:tc>
          <w:tcPr>
            <w:tcW w:w="171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1144C">
            <w:pPr>
              <w:keepNext/>
              <w:jc w:val="center"/>
              <w:rPr>
                <w:rFonts w:ascii="Calibri" w:eastAsia="Times New Roman" w:hAnsi="Calibri"/>
                <w:color w:val="000000"/>
                <w:sz w:val="18"/>
                <w:szCs w:val="18"/>
              </w:rPr>
            </w:pPr>
            <w:r w:rsidRPr="00B75B77">
              <w:rPr>
                <w:sz w:val="18"/>
                <w:szCs w:val="18"/>
              </w:rPr>
              <w:t>78</w:t>
            </w:r>
            <w:r w:rsidR="009F137E" w:rsidRPr="00B75B77">
              <w:rPr>
                <w:sz w:val="18"/>
                <w:szCs w:val="18"/>
              </w:rPr>
              <w:t>2,207</w:t>
            </w:r>
          </w:p>
        </w:tc>
      </w:tr>
      <w:tr w:rsidR="000C1E59" w:rsidRPr="00B75B77" w:rsidTr="00F94CBE">
        <w:trPr>
          <w:divId w:val="932130811"/>
          <w:trHeight w:val="300"/>
        </w:trPr>
        <w:tc>
          <w:tcPr>
            <w:tcW w:w="805"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F1144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14</w:t>
            </w:r>
          </w:p>
        </w:tc>
        <w:tc>
          <w:tcPr>
            <w:tcW w:w="56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1144C">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Total NPV Lifetime Capacity Benefits</w:t>
            </w:r>
          </w:p>
        </w:tc>
        <w:tc>
          <w:tcPr>
            <w:tcW w:w="144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1144C">
            <w:pPr>
              <w:keepNext/>
              <w:jc w:val="center"/>
              <w:rPr>
                <w:rFonts w:ascii="Calibri" w:eastAsia="Times New Roman" w:hAnsi="Calibri"/>
                <w:color w:val="000000"/>
                <w:sz w:val="18"/>
                <w:szCs w:val="18"/>
              </w:rPr>
            </w:pPr>
            <w:r w:rsidRPr="00B75B77">
              <w:rPr>
                <w:sz w:val="18"/>
                <w:szCs w:val="18"/>
              </w:rPr>
              <w:t>45</w:t>
            </w:r>
            <w:r w:rsidR="009F137E" w:rsidRPr="00B75B77">
              <w:rPr>
                <w:sz w:val="18"/>
                <w:szCs w:val="18"/>
              </w:rPr>
              <w:t>,030</w:t>
            </w:r>
          </w:p>
        </w:tc>
        <w:tc>
          <w:tcPr>
            <w:tcW w:w="171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1144C">
            <w:pPr>
              <w:keepNext/>
              <w:jc w:val="center"/>
              <w:rPr>
                <w:rFonts w:ascii="Calibri" w:eastAsia="Times New Roman" w:hAnsi="Calibri"/>
                <w:color w:val="000000"/>
                <w:sz w:val="18"/>
                <w:szCs w:val="18"/>
              </w:rPr>
            </w:pPr>
            <w:r w:rsidRPr="00B75B77">
              <w:rPr>
                <w:sz w:val="18"/>
                <w:szCs w:val="18"/>
              </w:rPr>
              <w:t>9</w:t>
            </w:r>
            <w:r w:rsidR="009F137E" w:rsidRPr="00B75B77">
              <w:rPr>
                <w:sz w:val="18"/>
                <w:szCs w:val="18"/>
              </w:rPr>
              <w:t>1,316</w:t>
            </w:r>
          </w:p>
        </w:tc>
      </w:tr>
      <w:tr w:rsidR="000C1E59" w:rsidRPr="00B75B77" w:rsidTr="00F94CBE">
        <w:trPr>
          <w:divId w:val="932130811"/>
          <w:trHeight w:val="300"/>
        </w:trPr>
        <w:tc>
          <w:tcPr>
            <w:tcW w:w="805"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F1144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15</w:t>
            </w:r>
          </w:p>
        </w:tc>
        <w:tc>
          <w:tcPr>
            <w:tcW w:w="56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1144C">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Total NPV TRC Benefits</w:t>
            </w:r>
          </w:p>
        </w:tc>
        <w:tc>
          <w:tcPr>
            <w:tcW w:w="144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F1144C">
            <w:pPr>
              <w:keepNext/>
              <w:jc w:val="center"/>
              <w:rPr>
                <w:rFonts w:ascii="Calibri" w:eastAsia="Times New Roman" w:hAnsi="Calibri"/>
                <w:color w:val="000000"/>
                <w:sz w:val="18"/>
                <w:szCs w:val="18"/>
              </w:rPr>
            </w:pPr>
            <w:r w:rsidRPr="00B75B77">
              <w:rPr>
                <w:sz w:val="18"/>
                <w:szCs w:val="18"/>
              </w:rPr>
              <w:t>4</w:t>
            </w:r>
            <w:r w:rsidR="009F137E" w:rsidRPr="00B75B77">
              <w:rPr>
                <w:sz w:val="18"/>
                <w:szCs w:val="18"/>
              </w:rPr>
              <w:t>49,835</w:t>
            </w:r>
          </w:p>
        </w:tc>
        <w:tc>
          <w:tcPr>
            <w:tcW w:w="171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9F137E">
            <w:pPr>
              <w:keepNext/>
              <w:jc w:val="center"/>
              <w:rPr>
                <w:rFonts w:ascii="Calibri" w:eastAsia="Times New Roman" w:hAnsi="Calibri"/>
                <w:color w:val="000000"/>
                <w:sz w:val="18"/>
                <w:szCs w:val="18"/>
              </w:rPr>
            </w:pPr>
            <w:r w:rsidRPr="00B75B77">
              <w:rPr>
                <w:sz w:val="18"/>
                <w:szCs w:val="18"/>
              </w:rPr>
              <w:t>9</w:t>
            </w:r>
            <w:r w:rsidR="009F137E" w:rsidRPr="00B75B77">
              <w:rPr>
                <w:sz w:val="18"/>
                <w:szCs w:val="18"/>
              </w:rPr>
              <w:t>06,714</w:t>
            </w:r>
          </w:p>
        </w:tc>
      </w:tr>
      <w:tr w:rsidR="000C1E59" w:rsidRPr="00B75B77" w:rsidTr="00F94CBE">
        <w:trPr>
          <w:divId w:val="932130811"/>
          <w:trHeight w:val="204"/>
        </w:trPr>
        <w:tc>
          <w:tcPr>
            <w:tcW w:w="9625" w:type="dxa"/>
            <w:gridSpan w:val="4"/>
            <w:tcBorders>
              <w:top w:val="single" w:sz="4" w:space="0" w:color="448A99"/>
              <w:left w:val="single" w:sz="4" w:space="0" w:color="448A99"/>
              <w:bottom w:val="single" w:sz="4" w:space="0" w:color="448A99"/>
              <w:right w:val="single" w:sz="4" w:space="0" w:color="448A99"/>
            </w:tcBorders>
            <w:shd w:val="clear" w:color="000000" w:fill="AEAAAA"/>
            <w:vAlign w:val="center"/>
            <w:hideMark/>
          </w:tcPr>
          <w:p w:rsidR="000C1E59" w:rsidRPr="00B75B77" w:rsidRDefault="000C1E59" w:rsidP="00F1144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 </w:t>
            </w:r>
          </w:p>
        </w:tc>
      </w:tr>
    </w:tbl>
    <w:tbl>
      <w:tblPr>
        <w:tblW w:w="9625" w:type="dxa"/>
        <w:tblLook w:val="04A0" w:firstRow="1" w:lastRow="0" w:firstColumn="1" w:lastColumn="0" w:noHBand="0" w:noVBand="1"/>
      </w:tblPr>
      <w:tblGrid>
        <w:gridCol w:w="805"/>
        <w:gridCol w:w="5670"/>
        <w:gridCol w:w="1440"/>
        <w:gridCol w:w="1710"/>
      </w:tblGrid>
      <w:tr w:rsidR="000C1E59" w:rsidRPr="00B75B77" w:rsidTr="00F94CBE">
        <w:trPr>
          <w:trHeight w:val="300"/>
        </w:trPr>
        <w:tc>
          <w:tcPr>
            <w:tcW w:w="805"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F1144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16</w:t>
            </w:r>
          </w:p>
        </w:tc>
        <w:tc>
          <w:tcPr>
            <w:tcW w:w="56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1144C">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TRC Benefit-Cost Ratio</w:t>
            </w:r>
          </w:p>
        </w:tc>
        <w:tc>
          <w:tcPr>
            <w:tcW w:w="144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1144C">
            <w:pPr>
              <w:keepNext/>
              <w:jc w:val="center"/>
              <w:rPr>
                <w:rFonts w:ascii="Calibri" w:eastAsia="Times New Roman" w:hAnsi="Calibri"/>
                <w:color w:val="000000"/>
                <w:sz w:val="18"/>
                <w:szCs w:val="18"/>
              </w:rPr>
            </w:pPr>
            <w:r w:rsidRPr="00B75B77">
              <w:rPr>
                <w:sz w:val="18"/>
                <w:szCs w:val="18"/>
              </w:rPr>
              <w:t>2.0</w:t>
            </w:r>
            <w:r w:rsidR="009F137E" w:rsidRPr="00B75B77">
              <w:rPr>
                <w:sz w:val="18"/>
                <w:szCs w:val="18"/>
              </w:rPr>
              <w:t>5</w:t>
            </w:r>
          </w:p>
        </w:tc>
        <w:tc>
          <w:tcPr>
            <w:tcW w:w="171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F1144C">
            <w:pPr>
              <w:keepNext/>
              <w:jc w:val="center"/>
              <w:rPr>
                <w:rFonts w:ascii="Calibri" w:eastAsia="Times New Roman" w:hAnsi="Calibri"/>
                <w:color w:val="000000"/>
                <w:sz w:val="18"/>
                <w:szCs w:val="18"/>
              </w:rPr>
            </w:pPr>
            <w:r w:rsidRPr="00B75B77">
              <w:rPr>
                <w:sz w:val="18"/>
                <w:szCs w:val="18"/>
              </w:rPr>
              <w:t>1.76</w:t>
            </w:r>
          </w:p>
        </w:tc>
      </w:tr>
    </w:tbl>
    <w:p w:rsidR="000C1E59" w:rsidRPr="00B75B77" w:rsidRDefault="000C1E59" w:rsidP="00F1144C">
      <w:pPr>
        <w:pStyle w:val="Source"/>
        <w:keepNext/>
      </w:pPr>
      <w:r w:rsidRPr="00B75B77">
        <w:rPr>
          <w:rStyle w:val="Strong"/>
          <w:b w:val="0"/>
          <w:bCs w:val="0"/>
        </w:rPr>
        <w:t xml:space="preserve"> Source: Navigant analysis</w:t>
      </w:r>
    </w:p>
    <w:p w:rsidR="0089385E" w:rsidRPr="00B75B77" w:rsidRDefault="0089385E">
      <w:pPr>
        <w:jc w:val="left"/>
        <w:rPr>
          <w:rFonts w:ascii="Century Gothic" w:hAnsi="Century Gothic"/>
          <w:b/>
          <w:smallCaps/>
          <w:sz w:val="24"/>
        </w:rPr>
      </w:pPr>
      <w:bookmarkStart w:id="181" w:name="_Toc390682408"/>
      <w:bookmarkStart w:id="182" w:name="_Toc389747546"/>
      <w:bookmarkStart w:id="183" w:name="_Toc390947283"/>
      <w:bookmarkStart w:id="184" w:name="_Toc390175492"/>
      <w:bookmarkStart w:id="185" w:name="_Toc390943354"/>
      <w:bookmarkStart w:id="186" w:name="_Toc453075173"/>
      <w:r w:rsidRPr="00B75B77">
        <w:br w:type="page"/>
      </w:r>
    </w:p>
    <w:p w:rsidR="000C1E59" w:rsidRPr="00B75B77" w:rsidRDefault="000C1E59" w:rsidP="003E6A9B">
      <w:pPr>
        <w:pStyle w:val="Heading2"/>
      </w:pPr>
      <w:bookmarkStart w:id="187" w:name="_Toc466413267"/>
      <w:r w:rsidRPr="00B75B77">
        <w:lastRenderedPageBreak/>
        <w:t>Summary of Cost-Effectiveness by Program</w:t>
      </w:r>
      <w:bookmarkEnd w:id="181"/>
      <w:bookmarkEnd w:id="182"/>
      <w:bookmarkEnd w:id="183"/>
      <w:bookmarkEnd w:id="184"/>
      <w:bookmarkEnd w:id="185"/>
      <w:r w:rsidRPr="00B75B77">
        <w:t xml:space="preserve"> in PY7</w:t>
      </w:r>
      <w:bookmarkEnd w:id="186"/>
      <w:bookmarkEnd w:id="187"/>
    </w:p>
    <w:p w:rsidR="000C1E59" w:rsidRPr="00B75B77" w:rsidRDefault="000C1E59" w:rsidP="00F1144C">
      <w:r w:rsidRPr="00B75B77">
        <w:t xml:space="preserve">TRC benefit-cost ratios </w:t>
      </w:r>
      <w:r w:rsidR="00E7061A" w:rsidRPr="00B75B77">
        <w:t>were</w:t>
      </w:r>
      <w:r w:rsidRPr="00B75B77">
        <w:t xml:space="preserve"> calculated by comparing the total NPV TRC benefits and the total NPV TRC costs. </w:t>
      </w:r>
      <w:r w:rsidR="0063130A" w:rsidRPr="00B75B77">
        <w:fldChar w:fldCharType="begin"/>
      </w:r>
      <w:r w:rsidR="0063130A" w:rsidRPr="00B75B77">
        <w:instrText xml:space="preserve"> REF _Ref464563593 \h </w:instrText>
      </w:r>
      <w:r w:rsidR="00B75B77">
        <w:instrText xml:space="preserve"> \* MERGEFORMAT </w:instrText>
      </w:r>
      <w:r w:rsidR="0063130A" w:rsidRPr="00B75B77">
        <w:fldChar w:fldCharType="separate"/>
      </w:r>
      <w:r w:rsidR="0004016D" w:rsidRPr="00B75B77">
        <w:t xml:space="preserve">Table </w:t>
      </w:r>
      <w:r w:rsidR="0004016D">
        <w:rPr>
          <w:noProof/>
        </w:rPr>
        <w:t>1</w:t>
      </w:r>
      <w:r w:rsidR="0004016D" w:rsidRPr="00B75B77">
        <w:rPr>
          <w:noProof/>
        </w:rPr>
        <w:noBreakHyphen/>
      </w:r>
      <w:r w:rsidR="0004016D">
        <w:rPr>
          <w:noProof/>
        </w:rPr>
        <w:t>16</w:t>
      </w:r>
      <w:r w:rsidR="0063130A" w:rsidRPr="00B75B77">
        <w:fldChar w:fldCharType="end"/>
      </w:r>
      <w:r w:rsidR="0063130A" w:rsidRPr="00B75B77">
        <w:t xml:space="preserve"> </w:t>
      </w:r>
      <w:r w:rsidRPr="00B75B77">
        <w:t>shows the TRC ratios by program and other key factors used in the TRC ratio calculation for Phase II programs.</w:t>
      </w:r>
    </w:p>
    <w:p w:rsidR="000C1E59" w:rsidRPr="00B75B77" w:rsidRDefault="000C1E59" w:rsidP="00F1144C"/>
    <w:p w:rsidR="000C1E59" w:rsidRPr="00B75B77" w:rsidRDefault="0063130A" w:rsidP="00F1144C">
      <w:pPr>
        <w:pStyle w:val="Caption"/>
        <w:rPr>
          <w:vertAlign w:val="superscript"/>
        </w:rPr>
      </w:pPr>
      <w:bookmarkStart w:id="188" w:name="_Ref464563593"/>
      <w:bookmarkStart w:id="189" w:name="_Ref448933532"/>
      <w:bookmarkStart w:id="190" w:name="_Toc453075286"/>
      <w:bookmarkStart w:id="191" w:name="_Toc466413498"/>
      <w:r w:rsidRPr="00B75B77">
        <w:t xml:space="preserve">Table </w:t>
      </w:r>
      <w:fldSimple w:instr=" STYLEREF 1 \s ">
        <w:r w:rsidR="0004016D">
          <w:rPr>
            <w:noProof/>
          </w:rPr>
          <w:t>1</w:t>
        </w:r>
      </w:fldSimple>
      <w:r w:rsidRPr="00B75B77">
        <w:noBreakHyphen/>
      </w:r>
      <w:fldSimple w:instr=" SEQ Table \* ARABIC \s 1 ">
        <w:r w:rsidR="0004016D">
          <w:rPr>
            <w:noProof/>
          </w:rPr>
          <w:t>16</w:t>
        </w:r>
      </w:fldSimple>
      <w:bookmarkEnd w:id="188"/>
      <w:r w:rsidRPr="00B75B77">
        <w:t xml:space="preserve">: </w:t>
      </w:r>
      <w:bookmarkEnd w:id="189"/>
      <w:r w:rsidR="000C1E59" w:rsidRPr="00B75B77">
        <w:t>PYTD TRC Ratios by Program</w:t>
      </w:r>
      <w:bookmarkEnd w:id="190"/>
      <w:bookmarkEnd w:id="191"/>
    </w:p>
    <w:tbl>
      <w:tblPr>
        <w:tblStyle w:val="PECOTeal"/>
        <w:tblW w:w="9450" w:type="dxa"/>
        <w:tblLook w:val="04A0" w:firstRow="1" w:lastRow="0" w:firstColumn="1" w:lastColumn="0" w:noHBand="0" w:noVBand="1"/>
      </w:tblPr>
      <w:tblGrid>
        <w:gridCol w:w="2049"/>
        <w:gridCol w:w="1191"/>
        <w:gridCol w:w="1080"/>
        <w:gridCol w:w="1170"/>
        <w:gridCol w:w="1170"/>
        <w:gridCol w:w="1350"/>
        <w:gridCol w:w="1440"/>
      </w:tblGrid>
      <w:tr w:rsidR="002C3D01" w:rsidRPr="00B75B77" w:rsidTr="002C3D0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9" w:type="dxa"/>
          </w:tcPr>
          <w:p w:rsidR="002C3D01" w:rsidRPr="00B75B77" w:rsidRDefault="002C3D01" w:rsidP="002C3D01">
            <w:pPr>
              <w:keepNext/>
              <w:jc w:val="left"/>
              <w:rPr>
                <w:rFonts w:ascii="Calibri" w:eastAsia="Times New Roman" w:hAnsi="Calibri"/>
                <w:color w:val="000000"/>
                <w:szCs w:val="18"/>
              </w:rPr>
            </w:pPr>
            <w:r w:rsidRPr="00B75B77">
              <w:rPr>
                <w:rFonts w:ascii="Calibri" w:eastAsia="Times New Roman" w:hAnsi="Calibri"/>
                <w:bCs w:val="0"/>
                <w:color w:val="FFFFFF"/>
                <w:szCs w:val="18"/>
              </w:rPr>
              <w:t>Program</w:t>
            </w:r>
          </w:p>
        </w:tc>
        <w:tc>
          <w:tcPr>
            <w:tcW w:w="1191" w:type="dxa"/>
          </w:tcPr>
          <w:p w:rsidR="002C3D01" w:rsidRPr="00B75B77" w:rsidRDefault="002C3D01" w:rsidP="002C3D01">
            <w:pPr>
              <w:keepNext/>
              <w:jc w:val="center"/>
              <w:cnfStyle w:val="100000000000" w:firstRow="1" w:lastRow="0" w:firstColumn="0" w:lastColumn="0" w:oddVBand="0" w:evenVBand="0" w:oddHBand="0" w:evenHBand="0" w:firstRowFirstColumn="0" w:firstRowLastColumn="0" w:lastRowFirstColumn="0" w:lastRowLastColumn="0"/>
              <w:rPr>
                <w:szCs w:val="18"/>
              </w:rPr>
            </w:pPr>
            <w:r w:rsidRPr="00B75B77">
              <w:rPr>
                <w:rFonts w:ascii="Calibri" w:eastAsia="Times New Roman" w:hAnsi="Calibri"/>
                <w:bCs w:val="0"/>
                <w:color w:val="FFFFFF"/>
                <w:szCs w:val="18"/>
              </w:rPr>
              <w:t>TRC NPV Benefits</w:t>
            </w:r>
            <w:r w:rsidRPr="00B75B77">
              <w:rPr>
                <w:rFonts w:ascii="Calibri" w:eastAsia="Times New Roman" w:hAnsi="Calibri"/>
                <w:bCs w:val="0"/>
                <w:color w:val="FFFFFF"/>
                <w:szCs w:val="18"/>
              </w:rPr>
              <w:br/>
              <w:t>($1000)</w:t>
            </w:r>
          </w:p>
        </w:tc>
        <w:tc>
          <w:tcPr>
            <w:tcW w:w="1080" w:type="dxa"/>
          </w:tcPr>
          <w:p w:rsidR="002C3D01" w:rsidRPr="00B75B77" w:rsidRDefault="002C3D01" w:rsidP="002C3D01">
            <w:pPr>
              <w:keepNext/>
              <w:jc w:val="center"/>
              <w:cnfStyle w:val="100000000000" w:firstRow="1" w:lastRow="0" w:firstColumn="0" w:lastColumn="0" w:oddVBand="0" w:evenVBand="0" w:oddHBand="0" w:evenHBand="0" w:firstRowFirstColumn="0" w:firstRowLastColumn="0" w:lastRowFirstColumn="0" w:lastRowLastColumn="0"/>
              <w:rPr>
                <w:szCs w:val="18"/>
              </w:rPr>
            </w:pPr>
            <w:r w:rsidRPr="00B75B77">
              <w:rPr>
                <w:rFonts w:ascii="Calibri" w:eastAsia="Times New Roman" w:hAnsi="Calibri"/>
                <w:bCs w:val="0"/>
                <w:color w:val="FFFFFF"/>
                <w:szCs w:val="18"/>
              </w:rPr>
              <w:t>TRC NPV Costs</w:t>
            </w:r>
            <w:r w:rsidRPr="00B75B77">
              <w:rPr>
                <w:rFonts w:ascii="Calibri" w:eastAsia="Times New Roman" w:hAnsi="Calibri"/>
                <w:bCs w:val="0"/>
                <w:color w:val="FFFFFF"/>
                <w:szCs w:val="18"/>
              </w:rPr>
              <w:br/>
              <w:t>($1000)</w:t>
            </w:r>
          </w:p>
        </w:tc>
        <w:tc>
          <w:tcPr>
            <w:tcW w:w="1170" w:type="dxa"/>
          </w:tcPr>
          <w:p w:rsidR="002C3D01" w:rsidRPr="00B75B77" w:rsidRDefault="002C3D01" w:rsidP="002C3D01">
            <w:pPr>
              <w:keepNext/>
              <w:jc w:val="center"/>
              <w:cnfStyle w:val="100000000000" w:firstRow="1" w:lastRow="0" w:firstColumn="0" w:lastColumn="0" w:oddVBand="0" w:evenVBand="0" w:oddHBand="0" w:evenHBand="0" w:firstRowFirstColumn="0" w:firstRowLastColumn="0" w:lastRowFirstColumn="0" w:lastRowLastColumn="0"/>
              <w:rPr>
                <w:szCs w:val="18"/>
              </w:rPr>
            </w:pPr>
            <w:r w:rsidRPr="00B75B77">
              <w:rPr>
                <w:rFonts w:ascii="Calibri" w:eastAsia="Times New Roman" w:hAnsi="Calibri"/>
                <w:bCs w:val="0"/>
                <w:color w:val="FFFFFF"/>
                <w:szCs w:val="18"/>
              </w:rPr>
              <w:t>TRC Benefit-Cost Ratio</w:t>
            </w:r>
          </w:p>
        </w:tc>
        <w:tc>
          <w:tcPr>
            <w:tcW w:w="1170" w:type="dxa"/>
          </w:tcPr>
          <w:p w:rsidR="002C3D01" w:rsidRPr="00B75B77" w:rsidRDefault="002C3D01" w:rsidP="002C3D01">
            <w:pPr>
              <w:keepNext/>
              <w:jc w:val="center"/>
              <w:cnfStyle w:val="100000000000" w:firstRow="1" w:lastRow="0" w:firstColumn="0" w:lastColumn="0" w:oddVBand="0" w:evenVBand="0" w:oddHBand="0" w:evenHBand="0" w:firstRowFirstColumn="0" w:firstRowLastColumn="0" w:lastRowFirstColumn="0" w:lastRowLastColumn="0"/>
              <w:rPr>
                <w:szCs w:val="18"/>
              </w:rPr>
            </w:pPr>
            <w:r w:rsidRPr="00B75B77">
              <w:rPr>
                <w:rFonts w:ascii="Calibri" w:eastAsia="Times New Roman" w:hAnsi="Calibri"/>
                <w:bCs w:val="0"/>
                <w:color w:val="FFFFFF"/>
                <w:szCs w:val="18"/>
              </w:rPr>
              <w:t>Discount Rate</w:t>
            </w:r>
          </w:p>
        </w:tc>
        <w:tc>
          <w:tcPr>
            <w:tcW w:w="1350" w:type="dxa"/>
          </w:tcPr>
          <w:p w:rsidR="002C3D01" w:rsidRPr="00B75B77" w:rsidRDefault="002C3D01" w:rsidP="002C3D01">
            <w:pPr>
              <w:keepNext/>
              <w:jc w:val="center"/>
              <w:cnfStyle w:val="100000000000" w:firstRow="1" w:lastRow="0" w:firstColumn="0" w:lastColumn="0" w:oddVBand="0" w:evenVBand="0" w:oddHBand="0" w:evenHBand="0" w:firstRowFirstColumn="0" w:firstRowLastColumn="0" w:lastRowFirstColumn="0" w:lastRowLastColumn="0"/>
              <w:rPr>
                <w:szCs w:val="18"/>
              </w:rPr>
            </w:pPr>
            <w:r w:rsidRPr="00B75B77">
              <w:rPr>
                <w:rFonts w:ascii="Calibri" w:eastAsia="Times New Roman" w:hAnsi="Calibri"/>
                <w:bCs w:val="0"/>
                <w:color w:val="FFFFFF"/>
                <w:szCs w:val="18"/>
              </w:rPr>
              <w:t>Energy Line Loss Factor</w:t>
            </w:r>
          </w:p>
        </w:tc>
        <w:tc>
          <w:tcPr>
            <w:tcW w:w="1440" w:type="dxa"/>
          </w:tcPr>
          <w:p w:rsidR="002C3D01" w:rsidRPr="00B75B77" w:rsidRDefault="002C3D01" w:rsidP="002C3D01">
            <w:pPr>
              <w:keepNext/>
              <w:jc w:val="center"/>
              <w:cnfStyle w:val="100000000000" w:firstRow="1" w:lastRow="0" w:firstColumn="0" w:lastColumn="0" w:oddVBand="0" w:evenVBand="0" w:oddHBand="0" w:evenHBand="0" w:firstRowFirstColumn="0" w:firstRowLastColumn="0" w:lastRowFirstColumn="0" w:lastRowLastColumn="0"/>
              <w:rPr>
                <w:szCs w:val="18"/>
              </w:rPr>
            </w:pPr>
            <w:r w:rsidRPr="00B75B77">
              <w:rPr>
                <w:rFonts w:ascii="Calibri" w:eastAsia="Times New Roman" w:hAnsi="Calibri"/>
                <w:bCs w:val="0"/>
                <w:color w:val="FFFFFF"/>
                <w:szCs w:val="18"/>
              </w:rPr>
              <w:t>Demand Line Loss Factor</w:t>
            </w:r>
          </w:p>
        </w:tc>
      </w:tr>
      <w:tr w:rsidR="000C1E59" w:rsidRPr="00B75B77" w:rsidTr="002C3D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9" w:type="dxa"/>
            <w:hideMark/>
          </w:tcPr>
          <w:p w:rsidR="000C1E59" w:rsidRPr="00B75B77" w:rsidRDefault="000C1E59" w:rsidP="00F1144C">
            <w:pPr>
              <w:keepNext/>
              <w:jc w:val="left"/>
              <w:rPr>
                <w:rFonts w:ascii="Calibri" w:eastAsia="Times New Roman" w:hAnsi="Calibri"/>
                <w:b w:val="0"/>
                <w:color w:val="000000"/>
                <w:szCs w:val="18"/>
              </w:rPr>
            </w:pPr>
            <w:r w:rsidRPr="00B75B77">
              <w:rPr>
                <w:rFonts w:ascii="Calibri" w:eastAsia="Times New Roman" w:hAnsi="Calibri"/>
                <w:b w:val="0"/>
                <w:color w:val="000000"/>
                <w:szCs w:val="18"/>
              </w:rPr>
              <w:t>Smart Appliance Recycling</w:t>
            </w:r>
          </w:p>
        </w:tc>
        <w:tc>
          <w:tcPr>
            <w:tcW w:w="1191"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6,606</w:t>
            </w:r>
          </w:p>
        </w:tc>
        <w:tc>
          <w:tcPr>
            <w:tcW w:w="108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1,381</w:t>
            </w:r>
          </w:p>
        </w:tc>
        <w:tc>
          <w:tcPr>
            <w:tcW w:w="117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4.78</w:t>
            </w:r>
          </w:p>
        </w:tc>
        <w:tc>
          <w:tcPr>
            <w:tcW w:w="117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7.6%</w:t>
            </w:r>
          </w:p>
        </w:tc>
        <w:tc>
          <w:tcPr>
            <w:tcW w:w="135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1.0760</w:t>
            </w:r>
          </w:p>
        </w:tc>
        <w:tc>
          <w:tcPr>
            <w:tcW w:w="144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1.1916</w:t>
            </w:r>
          </w:p>
        </w:tc>
      </w:tr>
      <w:tr w:rsidR="000C1E59" w:rsidRPr="00B75B77" w:rsidTr="002C3D0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9" w:type="dxa"/>
            <w:hideMark/>
          </w:tcPr>
          <w:p w:rsidR="000C1E59" w:rsidRPr="00B75B77" w:rsidRDefault="000C1E59" w:rsidP="00F1144C">
            <w:pPr>
              <w:keepNext/>
              <w:jc w:val="left"/>
              <w:rPr>
                <w:rFonts w:ascii="Calibri" w:eastAsia="Times New Roman" w:hAnsi="Calibri"/>
                <w:b w:val="0"/>
                <w:color w:val="000000"/>
                <w:szCs w:val="18"/>
              </w:rPr>
            </w:pPr>
            <w:r w:rsidRPr="00B75B77">
              <w:rPr>
                <w:rFonts w:ascii="Calibri" w:eastAsia="Times New Roman" w:hAnsi="Calibri"/>
                <w:b w:val="0"/>
                <w:color w:val="000000"/>
                <w:szCs w:val="18"/>
              </w:rPr>
              <w:t>Smart Builder Rebates</w:t>
            </w:r>
          </w:p>
        </w:tc>
        <w:tc>
          <w:tcPr>
            <w:tcW w:w="1191"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433</w:t>
            </w:r>
          </w:p>
        </w:tc>
        <w:tc>
          <w:tcPr>
            <w:tcW w:w="108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840</w:t>
            </w:r>
          </w:p>
        </w:tc>
        <w:tc>
          <w:tcPr>
            <w:tcW w:w="117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0.52</w:t>
            </w:r>
          </w:p>
        </w:tc>
        <w:tc>
          <w:tcPr>
            <w:tcW w:w="117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7.6%</w:t>
            </w:r>
          </w:p>
        </w:tc>
        <w:tc>
          <w:tcPr>
            <w:tcW w:w="135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1.0760</w:t>
            </w:r>
          </w:p>
        </w:tc>
        <w:tc>
          <w:tcPr>
            <w:tcW w:w="144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1.1916</w:t>
            </w:r>
          </w:p>
        </w:tc>
      </w:tr>
      <w:tr w:rsidR="000C1E59" w:rsidRPr="00B75B77" w:rsidTr="002C3D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9" w:type="dxa"/>
            <w:hideMark/>
          </w:tcPr>
          <w:p w:rsidR="000C1E59" w:rsidRPr="00B75B77" w:rsidRDefault="000C1E59" w:rsidP="00F1144C">
            <w:pPr>
              <w:keepNext/>
              <w:jc w:val="left"/>
              <w:rPr>
                <w:rFonts w:ascii="Calibri" w:eastAsia="Times New Roman" w:hAnsi="Calibri"/>
                <w:b w:val="0"/>
                <w:color w:val="000000"/>
                <w:szCs w:val="18"/>
              </w:rPr>
            </w:pPr>
            <w:r w:rsidRPr="00B75B77">
              <w:rPr>
                <w:rFonts w:ascii="Calibri" w:eastAsia="Times New Roman" w:hAnsi="Calibri"/>
                <w:b w:val="0"/>
                <w:color w:val="000000"/>
                <w:szCs w:val="18"/>
              </w:rPr>
              <w:t>Smart Energy Saver</w:t>
            </w:r>
          </w:p>
        </w:tc>
        <w:tc>
          <w:tcPr>
            <w:tcW w:w="1191"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1,775</w:t>
            </w:r>
          </w:p>
        </w:tc>
        <w:tc>
          <w:tcPr>
            <w:tcW w:w="108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450</w:t>
            </w:r>
          </w:p>
        </w:tc>
        <w:tc>
          <w:tcPr>
            <w:tcW w:w="117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3.94</w:t>
            </w:r>
          </w:p>
        </w:tc>
        <w:tc>
          <w:tcPr>
            <w:tcW w:w="117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7.6%</w:t>
            </w:r>
          </w:p>
        </w:tc>
        <w:tc>
          <w:tcPr>
            <w:tcW w:w="135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1.0760</w:t>
            </w:r>
          </w:p>
        </w:tc>
        <w:tc>
          <w:tcPr>
            <w:tcW w:w="144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1.1916</w:t>
            </w:r>
          </w:p>
        </w:tc>
      </w:tr>
      <w:tr w:rsidR="000C1E59" w:rsidRPr="00B75B77" w:rsidTr="002C3D0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9" w:type="dxa"/>
            <w:hideMark/>
          </w:tcPr>
          <w:p w:rsidR="000C1E59" w:rsidRPr="00B75B77" w:rsidRDefault="000C1E59" w:rsidP="00F1144C">
            <w:pPr>
              <w:keepNext/>
              <w:jc w:val="left"/>
              <w:rPr>
                <w:rFonts w:ascii="Calibri" w:eastAsia="Times New Roman" w:hAnsi="Calibri"/>
                <w:b w:val="0"/>
                <w:color w:val="000000"/>
                <w:szCs w:val="18"/>
              </w:rPr>
            </w:pPr>
            <w:r w:rsidRPr="00B75B77">
              <w:rPr>
                <w:rFonts w:ascii="Calibri" w:eastAsia="Times New Roman" w:hAnsi="Calibri"/>
                <w:b w:val="0"/>
                <w:color w:val="000000"/>
                <w:szCs w:val="18"/>
              </w:rPr>
              <w:t>Smart Home Rebates</w:t>
            </w:r>
          </w:p>
        </w:tc>
        <w:tc>
          <w:tcPr>
            <w:tcW w:w="1191"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187,505</w:t>
            </w:r>
          </w:p>
        </w:tc>
        <w:tc>
          <w:tcPr>
            <w:tcW w:w="108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74,069</w:t>
            </w:r>
          </w:p>
        </w:tc>
        <w:tc>
          <w:tcPr>
            <w:tcW w:w="117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2.53</w:t>
            </w:r>
          </w:p>
        </w:tc>
        <w:tc>
          <w:tcPr>
            <w:tcW w:w="117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7.6%</w:t>
            </w:r>
          </w:p>
        </w:tc>
        <w:tc>
          <w:tcPr>
            <w:tcW w:w="135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1.0760</w:t>
            </w:r>
          </w:p>
        </w:tc>
        <w:tc>
          <w:tcPr>
            <w:tcW w:w="144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Res = 1.1916; C&amp;I = 1.111; GNI = 1.117</w:t>
            </w:r>
          </w:p>
        </w:tc>
      </w:tr>
      <w:tr w:rsidR="000C1E59" w:rsidRPr="00B75B77" w:rsidTr="002C3D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9" w:type="dxa"/>
            <w:hideMark/>
          </w:tcPr>
          <w:p w:rsidR="000C1E59" w:rsidRPr="00B75B77" w:rsidRDefault="000C1E59" w:rsidP="00F1144C">
            <w:pPr>
              <w:keepNext/>
              <w:jc w:val="left"/>
              <w:rPr>
                <w:rFonts w:ascii="Calibri" w:eastAsia="Times New Roman" w:hAnsi="Calibri"/>
                <w:b w:val="0"/>
                <w:color w:val="000000"/>
                <w:szCs w:val="18"/>
              </w:rPr>
            </w:pPr>
            <w:r w:rsidRPr="00B75B77">
              <w:rPr>
                <w:rFonts w:ascii="Calibri" w:eastAsia="Times New Roman" w:hAnsi="Calibri"/>
                <w:b w:val="0"/>
                <w:color w:val="000000"/>
                <w:szCs w:val="18"/>
              </w:rPr>
              <w:t>Smart House Call</w:t>
            </w:r>
          </w:p>
        </w:tc>
        <w:tc>
          <w:tcPr>
            <w:tcW w:w="1191"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7,034</w:t>
            </w:r>
          </w:p>
        </w:tc>
        <w:tc>
          <w:tcPr>
            <w:tcW w:w="108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7,503</w:t>
            </w:r>
          </w:p>
        </w:tc>
        <w:tc>
          <w:tcPr>
            <w:tcW w:w="117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0.94</w:t>
            </w:r>
          </w:p>
        </w:tc>
        <w:tc>
          <w:tcPr>
            <w:tcW w:w="117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7.6%</w:t>
            </w:r>
          </w:p>
        </w:tc>
        <w:tc>
          <w:tcPr>
            <w:tcW w:w="135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1.0760</w:t>
            </w:r>
          </w:p>
        </w:tc>
        <w:tc>
          <w:tcPr>
            <w:tcW w:w="144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1.1916</w:t>
            </w:r>
          </w:p>
        </w:tc>
      </w:tr>
      <w:tr w:rsidR="000C1E59" w:rsidRPr="00B75B77" w:rsidTr="002C3D0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9" w:type="dxa"/>
            <w:hideMark/>
          </w:tcPr>
          <w:p w:rsidR="000C1E59" w:rsidRPr="00B75B77" w:rsidRDefault="000C1E59" w:rsidP="00F1144C">
            <w:pPr>
              <w:keepNext/>
              <w:jc w:val="left"/>
              <w:rPr>
                <w:rFonts w:ascii="Calibri" w:eastAsia="Times New Roman" w:hAnsi="Calibri"/>
                <w:b w:val="0"/>
                <w:color w:val="000000"/>
                <w:szCs w:val="18"/>
              </w:rPr>
            </w:pPr>
            <w:r w:rsidRPr="00B75B77">
              <w:rPr>
                <w:rFonts w:ascii="Calibri" w:eastAsia="Times New Roman" w:hAnsi="Calibri"/>
                <w:b w:val="0"/>
                <w:color w:val="000000"/>
                <w:szCs w:val="18"/>
              </w:rPr>
              <w:t>Smart Multi-Family Solutions</w:t>
            </w:r>
          </w:p>
        </w:tc>
        <w:tc>
          <w:tcPr>
            <w:tcW w:w="1191"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2,699</w:t>
            </w:r>
          </w:p>
        </w:tc>
        <w:tc>
          <w:tcPr>
            <w:tcW w:w="108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1,581</w:t>
            </w:r>
          </w:p>
        </w:tc>
        <w:tc>
          <w:tcPr>
            <w:tcW w:w="117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1.71</w:t>
            </w:r>
          </w:p>
        </w:tc>
        <w:tc>
          <w:tcPr>
            <w:tcW w:w="117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7.6%</w:t>
            </w:r>
          </w:p>
        </w:tc>
        <w:tc>
          <w:tcPr>
            <w:tcW w:w="135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1.0760</w:t>
            </w:r>
          </w:p>
        </w:tc>
        <w:tc>
          <w:tcPr>
            <w:tcW w:w="144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Res = 1.1916; C&amp;I = 1.111; GNI = 1.117</w:t>
            </w:r>
          </w:p>
        </w:tc>
      </w:tr>
      <w:tr w:rsidR="000C1E59" w:rsidRPr="00B75B77" w:rsidTr="002C3D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9" w:type="dxa"/>
            <w:hideMark/>
          </w:tcPr>
          <w:p w:rsidR="000C1E59" w:rsidRPr="00B75B77" w:rsidRDefault="000C1E59" w:rsidP="00F1144C">
            <w:pPr>
              <w:keepNext/>
              <w:jc w:val="left"/>
              <w:rPr>
                <w:rFonts w:ascii="Calibri" w:eastAsia="Times New Roman" w:hAnsi="Calibri"/>
                <w:b w:val="0"/>
                <w:color w:val="000000"/>
                <w:szCs w:val="18"/>
              </w:rPr>
            </w:pPr>
            <w:r w:rsidRPr="00B75B77">
              <w:rPr>
                <w:rFonts w:ascii="Calibri" w:eastAsia="Times New Roman" w:hAnsi="Calibri"/>
                <w:b w:val="0"/>
                <w:color w:val="000000"/>
                <w:szCs w:val="18"/>
              </w:rPr>
              <w:t>Smart Usage Profile</w:t>
            </w:r>
          </w:p>
        </w:tc>
        <w:tc>
          <w:tcPr>
            <w:tcW w:w="1191"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4,143</w:t>
            </w:r>
          </w:p>
        </w:tc>
        <w:tc>
          <w:tcPr>
            <w:tcW w:w="108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540</w:t>
            </w:r>
          </w:p>
        </w:tc>
        <w:tc>
          <w:tcPr>
            <w:tcW w:w="117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7.67</w:t>
            </w:r>
          </w:p>
        </w:tc>
        <w:tc>
          <w:tcPr>
            <w:tcW w:w="117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7.6%</w:t>
            </w:r>
          </w:p>
        </w:tc>
        <w:tc>
          <w:tcPr>
            <w:tcW w:w="135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1.0760</w:t>
            </w:r>
          </w:p>
        </w:tc>
        <w:tc>
          <w:tcPr>
            <w:tcW w:w="144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1.1916</w:t>
            </w:r>
          </w:p>
        </w:tc>
      </w:tr>
      <w:tr w:rsidR="000C1E59" w:rsidRPr="00B75B77" w:rsidTr="002C3D0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9" w:type="dxa"/>
            <w:hideMark/>
          </w:tcPr>
          <w:p w:rsidR="000C1E59" w:rsidRPr="00B75B77" w:rsidRDefault="000C1E59" w:rsidP="00F1144C">
            <w:pPr>
              <w:keepNext/>
              <w:jc w:val="left"/>
              <w:rPr>
                <w:rFonts w:ascii="Calibri" w:eastAsia="Times New Roman" w:hAnsi="Calibri"/>
                <w:b w:val="0"/>
                <w:color w:val="000000"/>
                <w:szCs w:val="18"/>
              </w:rPr>
            </w:pPr>
            <w:r w:rsidRPr="00B75B77">
              <w:rPr>
                <w:rFonts w:ascii="Calibri" w:eastAsia="Times New Roman" w:hAnsi="Calibri"/>
                <w:b w:val="0"/>
                <w:color w:val="000000"/>
                <w:szCs w:val="18"/>
              </w:rPr>
              <w:t>Low-Income Energy Efficiency</w:t>
            </w:r>
          </w:p>
        </w:tc>
        <w:tc>
          <w:tcPr>
            <w:tcW w:w="1191"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12,435</w:t>
            </w:r>
          </w:p>
        </w:tc>
        <w:tc>
          <w:tcPr>
            <w:tcW w:w="108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8,088</w:t>
            </w:r>
          </w:p>
        </w:tc>
        <w:tc>
          <w:tcPr>
            <w:tcW w:w="117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1.54</w:t>
            </w:r>
          </w:p>
        </w:tc>
        <w:tc>
          <w:tcPr>
            <w:tcW w:w="117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7.6%</w:t>
            </w:r>
          </w:p>
        </w:tc>
        <w:tc>
          <w:tcPr>
            <w:tcW w:w="135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1.0760</w:t>
            </w:r>
          </w:p>
        </w:tc>
        <w:tc>
          <w:tcPr>
            <w:tcW w:w="144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1.1916</w:t>
            </w:r>
          </w:p>
        </w:tc>
      </w:tr>
      <w:tr w:rsidR="000C1E59" w:rsidRPr="00B75B77" w:rsidTr="002C3D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9" w:type="dxa"/>
            <w:hideMark/>
          </w:tcPr>
          <w:p w:rsidR="000C1E59" w:rsidRPr="00B75B77" w:rsidRDefault="000C1E59" w:rsidP="00F1144C">
            <w:pPr>
              <w:keepNext/>
              <w:jc w:val="left"/>
              <w:rPr>
                <w:rFonts w:ascii="Calibri" w:eastAsia="Times New Roman" w:hAnsi="Calibri"/>
                <w:b w:val="0"/>
                <w:color w:val="000000"/>
                <w:szCs w:val="18"/>
              </w:rPr>
            </w:pPr>
            <w:r w:rsidRPr="00B75B77">
              <w:rPr>
                <w:rFonts w:ascii="Calibri" w:eastAsia="Times New Roman" w:hAnsi="Calibri"/>
                <w:b w:val="0"/>
                <w:color w:val="000000"/>
                <w:szCs w:val="18"/>
              </w:rPr>
              <w:t>Residential Smart AC Saver</w:t>
            </w:r>
          </w:p>
        </w:tc>
        <w:tc>
          <w:tcPr>
            <w:tcW w:w="1191"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18,387</w:t>
            </w:r>
          </w:p>
        </w:tc>
        <w:tc>
          <w:tcPr>
            <w:tcW w:w="108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6,754</w:t>
            </w:r>
          </w:p>
        </w:tc>
        <w:tc>
          <w:tcPr>
            <w:tcW w:w="117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2.72</w:t>
            </w:r>
          </w:p>
        </w:tc>
        <w:tc>
          <w:tcPr>
            <w:tcW w:w="117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7.6%</w:t>
            </w:r>
          </w:p>
        </w:tc>
        <w:tc>
          <w:tcPr>
            <w:tcW w:w="135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1.0760</w:t>
            </w:r>
          </w:p>
        </w:tc>
        <w:tc>
          <w:tcPr>
            <w:tcW w:w="144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1.1916</w:t>
            </w:r>
          </w:p>
        </w:tc>
      </w:tr>
      <w:tr w:rsidR="000C1E59" w:rsidRPr="00B75B77" w:rsidTr="002C3D0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9" w:type="dxa"/>
            <w:hideMark/>
          </w:tcPr>
          <w:p w:rsidR="000C1E59" w:rsidRPr="00B75B77" w:rsidRDefault="000C1E59" w:rsidP="00F1144C">
            <w:pPr>
              <w:keepNext/>
              <w:jc w:val="left"/>
              <w:rPr>
                <w:rFonts w:ascii="Calibri" w:eastAsia="Times New Roman" w:hAnsi="Calibri"/>
                <w:b w:val="0"/>
                <w:color w:val="000000"/>
                <w:szCs w:val="18"/>
              </w:rPr>
            </w:pPr>
            <w:r w:rsidRPr="00B75B77">
              <w:rPr>
                <w:rFonts w:ascii="Calibri" w:eastAsia="Times New Roman" w:hAnsi="Calibri"/>
                <w:b w:val="0"/>
                <w:color w:val="000000"/>
                <w:szCs w:val="18"/>
              </w:rPr>
              <w:t>Smart Business Solutions</w:t>
            </w:r>
          </w:p>
        </w:tc>
        <w:tc>
          <w:tcPr>
            <w:tcW w:w="1191"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3,410</w:t>
            </w:r>
          </w:p>
        </w:tc>
        <w:tc>
          <w:tcPr>
            <w:tcW w:w="108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1,779</w:t>
            </w:r>
          </w:p>
        </w:tc>
        <w:tc>
          <w:tcPr>
            <w:tcW w:w="117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1.92</w:t>
            </w:r>
          </w:p>
        </w:tc>
        <w:tc>
          <w:tcPr>
            <w:tcW w:w="117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7.6%</w:t>
            </w:r>
          </w:p>
        </w:tc>
        <w:tc>
          <w:tcPr>
            <w:tcW w:w="135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1.0760</w:t>
            </w:r>
          </w:p>
        </w:tc>
        <w:tc>
          <w:tcPr>
            <w:tcW w:w="144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C&amp;I = 1.111; GNI = 1.117</w:t>
            </w:r>
          </w:p>
        </w:tc>
      </w:tr>
      <w:tr w:rsidR="000C1E59" w:rsidRPr="00B75B77" w:rsidTr="002C3D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9" w:type="dxa"/>
            <w:hideMark/>
          </w:tcPr>
          <w:p w:rsidR="000C1E59" w:rsidRPr="00B75B77" w:rsidRDefault="000C1E59" w:rsidP="00F1144C">
            <w:pPr>
              <w:keepNext/>
              <w:jc w:val="left"/>
              <w:rPr>
                <w:rFonts w:ascii="Calibri" w:eastAsia="Times New Roman" w:hAnsi="Calibri"/>
                <w:b w:val="0"/>
                <w:color w:val="000000"/>
                <w:szCs w:val="18"/>
              </w:rPr>
            </w:pPr>
            <w:r w:rsidRPr="00B75B77">
              <w:rPr>
                <w:rFonts w:ascii="Calibri" w:eastAsia="Times New Roman" w:hAnsi="Calibri"/>
                <w:b w:val="0"/>
                <w:color w:val="000000"/>
                <w:szCs w:val="18"/>
              </w:rPr>
              <w:t>Smart Construction Incentives</w:t>
            </w:r>
          </w:p>
        </w:tc>
        <w:tc>
          <w:tcPr>
            <w:tcW w:w="1191"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18,312</w:t>
            </w:r>
          </w:p>
        </w:tc>
        <w:tc>
          <w:tcPr>
            <w:tcW w:w="108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13,316</w:t>
            </w:r>
          </w:p>
        </w:tc>
        <w:tc>
          <w:tcPr>
            <w:tcW w:w="117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1.38</w:t>
            </w:r>
          </w:p>
        </w:tc>
        <w:tc>
          <w:tcPr>
            <w:tcW w:w="117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7.6%</w:t>
            </w:r>
          </w:p>
        </w:tc>
        <w:tc>
          <w:tcPr>
            <w:tcW w:w="135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1.0760</w:t>
            </w:r>
          </w:p>
        </w:tc>
        <w:tc>
          <w:tcPr>
            <w:tcW w:w="144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C&amp;I = 1.111; GNI = 1.117</w:t>
            </w:r>
          </w:p>
        </w:tc>
      </w:tr>
      <w:tr w:rsidR="000C1E59" w:rsidRPr="00B75B77" w:rsidTr="002C3D0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9" w:type="dxa"/>
            <w:hideMark/>
          </w:tcPr>
          <w:p w:rsidR="000C1E59" w:rsidRPr="00B75B77" w:rsidRDefault="000C1E59" w:rsidP="00F1144C">
            <w:pPr>
              <w:keepNext/>
              <w:jc w:val="left"/>
              <w:rPr>
                <w:rFonts w:ascii="Calibri" w:eastAsia="Times New Roman" w:hAnsi="Calibri"/>
                <w:b w:val="0"/>
                <w:color w:val="000000"/>
                <w:szCs w:val="18"/>
              </w:rPr>
            </w:pPr>
            <w:r w:rsidRPr="00B75B77">
              <w:rPr>
                <w:rFonts w:ascii="Calibri" w:eastAsia="Times New Roman" w:hAnsi="Calibri"/>
                <w:b w:val="0"/>
                <w:color w:val="000000"/>
                <w:szCs w:val="18"/>
              </w:rPr>
              <w:t>Smart Equipment Incentives - C&amp;I</w:t>
            </w:r>
          </w:p>
        </w:tc>
        <w:tc>
          <w:tcPr>
            <w:tcW w:w="1191"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94,325</w:t>
            </w:r>
          </w:p>
        </w:tc>
        <w:tc>
          <w:tcPr>
            <w:tcW w:w="108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34,165</w:t>
            </w:r>
          </w:p>
        </w:tc>
        <w:tc>
          <w:tcPr>
            <w:tcW w:w="117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2.76</w:t>
            </w:r>
          </w:p>
        </w:tc>
        <w:tc>
          <w:tcPr>
            <w:tcW w:w="117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7.6%</w:t>
            </w:r>
          </w:p>
        </w:tc>
        <w:tc>
          <w:tcPr>
            <w:tcW w:w="135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1.0760</w:t>
            </w:r>
          </w:p>
        </w:tc>
        <w:tc>
          <w:tcPr>
            <w:tcW w:w="144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1.1110</w:t>
            </w:r>
          </w:p>
        </w:tc>
      </w:tr>
      <w:tr w:rsidR="000C1E59" w:rsidRPr="00B75B77" w:rsidTr="002C3D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9" w:type="dxa"/>
            <w:hideMark/>
          </w:tcPr>
          <w:p w:rsidR="000C1E59" w:rsidRPr="00B75B77" w:rsidRDefault="000C1E59" w:rsidP="00F1144C">
            <w:pPr>
              <w:keepNext/>
              <w:jc w:val="left"/>
              <w:rPr>
                <w:rFonts w:ascii="Calibri" w:eastAsia="Times New Roman" w:hAnsi="Calibri"/>
                <w:b w:val="0"/>
                <w:color w:val="000000"/>
                <w:szCs w:val="18"/>
              </w:rPr>
            </w:pPr>
            <w:r w:rsidRPr="00B75B77">
              <w:rPr>
                <w:rFonts w:ascii="Calibri" w:eastAsia="Times New Roman" w:hAnsi="Calibri"/>
                <w:b w:val="0"/>
                <w:color w:val="000000"/>
                <w:szCs w:val="18"/>
              </w:rPr>
              <w:t>Smart Equipment Incentives - GNI</w:t>
            </w:r>
          </w:p>
        </w:tc>
        <w:tc>
          <w:tcPr>
            <w:tcW w:w="1191" w:type="dxa"/>
            <w:hideMark/>
          </w:tcPr>
          <w:p w:rsidR="000C1E59" w:rsidRPr="00B75B77" w:rsidRDefault="00B756AA"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69,659</w:t>
            </w:r>
          </w:p>
        </w:tc>
        <w:tc>
          <w:tcPr>
            <w:tcW w:w="108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26,964</w:t>
            </w:r>
          </w:p>
        </w:tc>
        <w:tc>
          <w:tcPr>
            <w:tcW w:w="117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2.</w:t>
            </w:r>
            <w:r w:rsidR="00B756AA" w:rsidRPr="00B75B77">
              <w:rPr>
                <w:szCs w:val="18"/>
              </w:rPr>
              <w:t>58</w:t>
            </w:r>
          </w:p>
        </w:tc>
        <w:tc>
          <w:tcPr>
            <w:tcW w:w="117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7.6%</w:t>
            </w:r>
          </w:p>
        </w:tc>
        <w:tc>
          <w:tcPr>
            <w:tcW w:w="135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1.0760</w:t>
            </w:r>
          </w:p>
        </w:tc>
        <w:tc>
          <w:tcPr>
            <w:tcW w:w="144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1.1170</w:t>
            </w:r>
          </w:p>
        </w:tc>
      </w:tr>
      <w:tr w:rsidR="000C1E59" w:rsidRPr="00B75B77" w:rsidTr="002C3D0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9" w:type="dxa"/>
            <w:hideMark/>
          </w:tcPr>
          <w:p w:rsidR="000C1E59" w:rsidRPr="00B75B77" w:rsidRDefault="000C1E59" w:rsidP="00F1144C">
            <w:pPr>
              <w:keepNext/>
              <w:jc w:val="left"/>
              <w:rPr>
                <w:rFonts w:ascii="Calibri" w:eastAsia="Times New Roman" w:hAnsi="Calibri"/>
                <w:b w:val="0"/>
                <w:color w:val="000000"/>
                <w:szCs w:val="18"/>
              </w:rPr>
            </w:pPr>
            <w:r w:rsidRPr="00B75B77">
              <w:rPr>
                <w:rFonts w:ascii="Calibri" w:eastAsia="Times New Roman" w:hAnsi="Calibri"/>
                <w:b w:val="0"/>
                <w:color w:val="000000"/>
                <w:szCs w:val="18"/>
              </w:rPr>
              <w:t>Smart On-Site</w:t>
            </w:r>
          </w:p>
        </w:tc>
        <w:tc>
          <w:tcPr>
            <w:tcW w:w="1191"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2</w:t>
            </w:r>
            <w:r w:rsidR="00B756AA" w:rsidRPr="00B75B77">
              <w:rPr>
                <w:szCs w:val="18"/>
              </w:rPr>
              <w:t>2,861</w:t>
            </w:r>
          </w:p>
        </w:tc>
        <w:tc>
          <w:tcPr>
            <w:tcW w:w="108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30,571</w:t>
            </w:r>
          </w:p>
        </w:tc>
        <w:tc>
          <w:tcPr>
            <w:tcW w:w="117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0.</w:t>
            </w:r>
            <w:r w:rsidR="00B756AA" w:rsidRPr="00B75B77">
              <w:rPr>
                <w:szCs w:val="18"/>
              </w:rPr>
              <w:t>75</w:t>
            </w:r>
          </w:p>
        </w:tc>
        <w:tc>
          <w:tcPr>
            <w:tcW w:w="117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7.6%</w:t>
            </w:r>
          </w:p>
        </w:tc>
        <w:tc>
          <w:tcPr>
            <w:tcW w:w="135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1.0760</w:t>
            </w:r>
          </w:p>
        </w:tc>
        <w:tc>
          <w:tcPr>
            <w:tcW w:w="144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szCs w:val="18"/>
              </w:rPr>
              <w:t>C&amp;I = 1.111; GNI = 1.117</w:t>
            </w:r>
          </w:p>
        </w:tc>
      </w:tr>
      <w:tr w:rsidR="000C1E59" w:rsidRPr="00B75B77" w:rsidTr="002C3D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9" w:type="dxa"/>
            <w:hideMark/>
          </w:tcPr>
          <w:p w:rsidR="000C1E59" w:rsidRPr="00B75B77" w:rsidRDefault="000C1E59" w:rsidP="00F1144C">
            <w:pPr>
              <w:keepNext/>
              <w:jc w:val="left"/>
              <w:rPr>
                <w:rFonts w:ascii="Calibri" w:eastAsia="Times New Roman" w:hAnsi="Calibri"/>
                <w:b w:val="0"/>
                <w:color w:val="000000"/>
                <w:szCs w:val="18"/>
              </w:rPr>
            </w:pPr>
            <w:r w:rsidRPr="00B75B77">
              <w:rPr>
                <w:rFonts w:ascii="Calibri" w:eastAsia="Times New Roman" w:hAnsi="Calibri"/>
                <w:b w:val="0"/>
                <w:color w:val="000000"/>
                <w:szCs w:val="18"/>
              </w:rPr>
              <w:t>Commercial Smart AC Saver</w:t>
            </w:r>
          </w:p>
        </w:tc>
        <w:tc>
          <w:tcPr>
            <w:tcW w:w="1191"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251</w:t>
            </w:r>
          </w:p>
        </w:tc>
        <w:tc>
          <w:tcPr>
            <w:tcW w:w="108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313</w:t>
            </w:r>
          </w:p>
        </w:tc>
        <w:tc>
          <w:tcPr>
            <w:tcW w:w="117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0.80</w:t>
            </w:r>
          </w:p>
        </w:tc>
        <w:tc>
          <w:tcPr>
            <w:tcW w:w="117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7.6%</w:t>
            </w:r>
          </w:p>
        </w:tc>
        <w:tc>
          <w:tcPr>
            <w:tcW w:w="135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1.0760</w:t>
            </w:r>
          </w:p>
        </w:tc>
        <w:tc>
          <w:tcPr>
            <w:tcW w:w="1440" w:type="dxa"/>
            <w:hideMark/>
          </w:tcPr>
          <w:p w:rsidR="000C1E59" w:rsidRPr="00B75B77" w:rsidRDefault="000C1E59" w:rsidP="00F1144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szCs w:val="18"/>
              </w:rPr>
              <w:t>1.1916</w:t>
            </w:r>
          </w:p>
        </w:tc>
      </w:tr>
      <w:tr w:rsidR="000C1E59" w:rsidRPr="00B75B77" w:rsidTr="002C3D0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9" w:type="dxa"/>
            <w:hideMark/>
          </w:tcPr>
          <w:p w:rsidR="000C1E59" w:rsidRPr="00B75B77" w:rsidRDefault="000C1E59" w:rsidP="00F1144C">
            <w:pPr>
              <w:keepNext/>
              <w:jc w:val="left"/>
              <w:rPr>
                <w:rFonts w:ascii="Calibri" w:eastAsia="Times New Roman" w:hAnsi="Calibri"/>
                <w:bCs w:val="0"/>
                <w:color w:val="000000"/>
                <w:szCs w:val="18"/>
              </w:rPr>
            </w:pPr>
            <w:r w:rsidRPr="00B75B77">
              <w:rPr>
                <w:rFonts w:ascii="Calibri" w:eastAsia="Times New Roman" w:hAnsi="Calibri"/>
                <w:bCs w:val="0"/>
                <w:color w:val="000000"/>
                <w:szCs w:val="18"/>
              </w:rPr>
              <w:t>TOTAL</w:t>
            </w:r>
          </w:p>
        </w:tc>
        <w:tc>
          <w:tcPr>
            <w:tcW w:w="1191"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Cs w:val="18"/>
              </w:rPr>
            </w:pPr>
            <w:r w:rsidRPr="00B75B77">
              <w:rPr>
                <w:b/>
                <w:szCs w:val="18"/>
              </w:rPr>
              <w:t>4</w:t>
            </w:r>
            <w:r w:rsidR="00B756AA" w:rsidRPr="00B75B77">
              <w:rPr>
                <w:b/>
                <w:szCs w:val="18"/>
              </w:rPr>
              <w:t>49,835</w:t>
            </w:r>
          </w:p>
        </w:tc>
        <w:tc>
          <w:tcPr>
            <w:tcW w:w="108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Cs w:val="18"/>
              </w:rPr>
            </w:pPr>
            <w:r w:rsidRPr="00B75B77">
              <w:rPr>
                <w:b/>
                <w:szCs w:val="18"/>
              </w:rPr>
              <w:t>219,343</w:t>
            </w:r>
          </w:p>
        </w:tc>
        <w:tc>
          <w:tcPr>
            <w:tcW w:w="117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Cs w:val="18"/>
              </w:rPr>
            </w:pPr>
            <w:r w:rsidRPr="00B75B77">
              <w:rPr>
                <w:b/>
                <w:szCs w:val="18"/>
              </w:rPr>
              <w:t>2.0</w:t>
            </w:r>
            <w:r w:rsidR="00B756AA" w:rsidRPr="00B75B77">
              <w:rPr>
                <w:b/>
                <w:szCs w:val="18"/>
              </w:rPr>
              <w:t>5</w:t>
            </w:r>
          </w:p>
        </w:tc>
        <w:tc>
          <w:tcPr>
            <w:tcW w:w="117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Cs w:val="18"/>
              </w:rPr>
            </w:pPr>
            <w:r w:rsidRPr="00B75B77">
              <w:rPr>
                <w:b/>
                <w:szCs w:val="18"/>
              </w:rPr>
              <w:t>7.6%</w:t>
            </w:r>
          </w:p>
        </w:tc>
        <w:tc>
          <w:tcPr>
            <w:tcW w:w="135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Cs w:val="18"/>
              </w:rPr>
            </w:pPr>
            <w:r w:rsidRPr="00B75B77">
              <w:rPr>
                <w:b/>
                <w:szCs w:val="18"/>
              </w:rPr>
              <w:t>1.0760</w:t>
            </w:r>
          </w:p>
        </w:tc>
        <w:tc>
          <w:tcPr>
            <w:tcW w:w="1440" w:type="dxa"/>
            <w:hideMark/>
          </w:tcPr>
          <w:p w:rsidR="000C1E59" w:rsidRPr="00B75B77" w:rsidRDefault="000C1E59" w:rsidP="00F1144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Cs w:val="18"/>
              </w:rPr>
            </w:pPr>
            <w:r w:rsidRPr="00B75B77">
              <w:rPr>
                <w:b/>
                <w:szCs w:val="18"/>
              </w:rPr>
              <w:t>Res = 1.1916; C&amp;I = 1.111; GNI = 1.117</w:t>
            </w:r>
          </w:p>
        </w:tc>
      </w:tr>
    </w:tbl>
    <w:p w:rsidR="000C1E59" w:rsidRPr="00B75B77" w:rsidRDefault="000C1E59" w:rsidP="00F1144C">
      <w:pPr>
        <w:pStyle w:val="Source"/>
        <w:keepNext/>
        <w:spacing w:before="20" w:after="0"/>
        <w:ind w:left="180" w:firstLine="0"/>
        <w:rPr>
          <w:rStyle w:val="Strong"/>
          <w:b w:val="0"/>
          <w:bCs w:val="0"/>
          <w:i w:val="0"/>
        </w:rPr>
      </w:pPr>
      <w:r w:rsidRPr="00B75B77">
        <w:rPr>
          <w:rStyle w:val="Strong"/>
          <w:b w:val="0"/>
          <w:bCs w:val="0"/>
          <w:i w:val="0"/>
        </w:rPr>
        <w:t xml:space="preserve">Note: </w:t>
      </w:r>
      <w:r w:rsidRPr="00B75B77">
        <w:rPr>
          <w:rFonts w:ascii="Calibri" w:hAnsi="Calibri"/>
          <w:i w:val="0"/>
          <w:iCs/>
          <w:color w:val="000000"/>
          <w:szCs w:val="18"/>
        </w:rPr>
        <w:t>Values in tables may not reconcile exactly with the sum of more detailed level results or previously reported results due to rounding.</w:t>
      </w:r>
    </w:p>
    <w:p w:rsidR="000C1E59" w:rsidRPr="00B75B77" w:rsidRDefault="000C1E59" w:rsidP="00F1144C">
      <w:pPr>
        <w:pStyle w:val="Source"/>
        <w:keepNext/>
      </w:pPr>
      <w:r w:rsidRPr="00B75B77">
        <w:rPr>
          <w:rStyle w:val="Strong"/>
          <w:b w:val="0"/>
          <w:bCs w:val="0"/>
        </w:rPr>
        <w:t>Source: Navigant analysis</w:t>
      </w:r>
    </w:p>
    <w:p w:rsidR="0089385E" w:rsidRPr="00B75B77" w:rsidRDefault="0089385E">
      <w:pPr>
        <w:jc w:val="left"/>
        <w:rPr>
          <w:rFonts w:ascii="Century Gothic" w:hAnsi="Century Gothic"/>
          <w:b/>
          <w:smallCaps/>
          <w:sz w:val="24"/>
        </w:rPr>
      </w:pPr>
      <w:bookmarkStart w:id="192" w:name="_Toc389747547"/>
      <w:bookmarkStart w:id="193" w:name="_Toc390175493"/>
      <w:bookmarkStart w:id="194" w:name="_Toc390943355"/>
      <w:bookmarkStart w:id="195" w:name="_Toc390682409"/>
      <w:bookmarkStart w:id="196" w:name="_Toc390947284"/>
      <w:bookmarkStart w:id="197" w:name="_Toc453075174"/>
      <w:r w:rsidRPr="00B75B77">
        <w:br w:type="page"/>
      </w:r>
    </w:p>
    <w:p w:rsidR="000C1E59" w:rsidRPr="00B75B77" w:rsidRDefault="000C1E59" w:rsidP="003E6A9B">
      <w:pPr>
        <w:pStyle w:val="Heading2"/>
      </w:pPr>
      <w:bookmarkStart w:id="198" w:name="_Toc466413268"/>
      <w:r w:rsidRPr="00B75B77">
        <w:lastRenderedPageBreak/>
        <w:t>Comparison of PY7 Performance to Approved EE&amp;C Plan</w:t>
      </w:r>
      <w:bookmarkEnd w:id="192"/>
      <w:bookmarkEnd w:id="193"/>
      <w:bookmarkEnd w:id="194"/>
      <w:bookmarkEnd w:id="195"/>
      <w:bookmarkEnd w:id="196"/>
      <w:bookmarkEnd w:id="197"/>
      <w:bookmarkEnd w:id="198"/>
    </w:p>
    <w:p w:rsidR="000C1E59" w:rsidRPr="00B75B77" w:rsidRDefault="0063130A" w:rsidP="002635E4">
      <w:r w:rsidRPr="00B75B77">
        <w:fldChar w:fldCharType="begin"/>
      </w:r>
      <w:r w:rsidRPr="00B75B77">
        <w:instrText xml:space="preserve"> REF _Ref464563609 \h </w:instrText>
      </w:r>
      <w:r w:rsidR="00B75B77">
        <w:instrText xml:space="preserve"> \* MERGEFORMAT </w:instrText>
      </w:r>
      <w:r w:rsidRPr="00B75B77">
        <w:fldChar w:fldCharType="separate"/>
      </w:r>
      <w:r w:rsidR="0004016D" w:rsidRPr="00B75B77">
        <w:t xml:space="preserve">Table </w:t>
      </w:r>
      <w:r w:rsidR="0004016D">
        <w:rPr>
          <w:noProof/>
        </w:rPr>
        <w:t>1</w:t>
      </w:r>
      <w:r w:rsidR="0004016D" w:rsidRPr="00B75B77">
        <w:rPr>
          <w:noProof/>
        </w:rPr>
        <w:noBreakHyphen/>
      </w:r>
      <w:r w:rsidR="0004016D">
        <w:rPr>
          <w:noProof/>
        </w:rPr>
        <w:t>17</w:t>
      </w:r>
      <w:r w:rsidRPr="00B75B77">
        <w:fldChar w:fldCharType="end"/>
      </w:r>
      <w:r w:rsidRPr="00B75B77">
        <w:t xml:space="preserve"> </w:t>
      </w:r>
      <w:r w:rsidR="000C1E59" w:rsidRPr="00B75B77">
        <w:t xml:space="preserve"> shows PY7 expenditures compared to the budget estimates set forth in the EE&amp;C plan.</w:t>
      </w:r>
    </w:p>
    <w:p w:rsidR="000C1E59" w:rsidRPr="00B75B77" w:rsidRDefault="000C1E59" w:rsidP="002635E4"/>
    <w:p w:rsidR="000C1E59" w:rsidRPr="00B75B77" w:rsidRDefault="0063130A" w:rsidP="0063130A">
      <w:pPr>
        <w:pStyle w:val="Caption"/>
      </w:pPr>
      <w:bookmarkStart w:id="199" w:name="_Ref464563609"/>
      <w:bookmarkStart w:id="200" w:name="_Ref448933554"/>
      <w:bookmarkStart w:id="201" w:name="_Toc453075287"/>
      <w:bookmarkStart w:id="202" w:name="_Toc466413499"/>
      <w:r w:rsidRPr="00B75B77">
        <w:t xml:space="preserve">Table </w:t>
      </w:r>
      <w:r w:rsidR="00237810">
        <w:fldChar w:fldCharType="begin"/>
      </w:r>
      <w:r w:rsidR="00237810">
        <w:instrText xml:space="preserve"> STYLEREF 1 \s </w:instrText>
      </w:r>
      <w:r w:rsidR="00237810">
        <w:fldChar w:fldCharType="separate"/>
      </w:r>
      <w:r w:rsidR="0004016D">
        <w:rPr>
          <w:noProof/>
        </w:rPr>
        <w:t>1</w:t>
      </w:r>
      <w:r w:rsidR="00237810">
        <w:rPr>
          <w:noProof/>
        </w:rPr>
        <w:fldChar w:fldCharType="end"/>
      </w:r>
      <w:r w:rsidRPr="00B75B77">
        <w:noBreakHyphen/>
      </w:r>
      <w:r w:rsidR="00237810">
        <w:fldChar w:fldCharType="begin"/>
      </w:r>
      <w:r w:rsidR="00237810">
        <w:instrText xml:space="preserve"> SEQ Table \* ARABIC \s 1 </w:instrText>
      </w:r>
      <w:r w:rsidR="00237810">
        <w:fldChar w:fldCharType="separate"/>
      </w:r>
      <w:r w:rsidR="0004016D">
        <w:rPr>
          <w:noProof/>
        </w:rPr>
        <w:t>17</w:t>
      </w:r>
      <w:r w:rsidR="00237810">
        <w:rPr>
          <w:noProof/>
        </w:rPr>
        <w:fldChar w:fldCharType="end"/>
      </w:r>
      <w:bookmarkEnd w:id="199"/>
      <w:r w:rsidRPr="00B75B77">
        <w:t xml:space="preserve">: </w:t>
      </w:r>
      <w:bookmarkEnd w:id="200"/>
      <w:r w:rsidR="000C1E59" w:rsidRPr="00B75B77">
        <w:t>Comparison of PY7 Program Expenditures to PY7 EE&amp;C Plan</w:t>
      </w:r>
      <w:bookmarkEnd w:id="201"/>
      <w:bookmarkEnd w:id="202"/>
    </w:p>
    <w:tbl>
      <w:tblPr>
        <w:tblW w:w="9540" w:type="dxa"/>
        <w:tblLook w:val="04A0" w:firstRow="1" w:lastRow="0" w:firstColumn="1" w:lastColumn="0" w:noHBand="0" w:noVBand="1"/>
      </w:tblPr>
      <w:tblGrid>
        <w:gridCol w:w="2520"/>
        <w:gridCol w:w="2520"/>
        <w:gridCol w:w="2250"/>
        <w:gridCol w:w="2250"/>
      </w:tblGrid>
      <w:tr w:rsidR="000C1E59" w:rsidRPr="00B75B77" w:rsidTr="00F94CBE">
        <w:trPr>
          <w:divId w:val="1833569721"/>
          <w:trHeight w:val="720"/>
        </w:trPr>
        <w:tc>
          <w:tcPr>
            <w:tcW w:w="2520" w:type="dxa"/>
            <w:tcBorders>
              <w:top w:val="single" w:sz="4" w:space="0" w:color="auto"/>
              <w:left w:val="single" w:sz="4" w:space="0" w:color="auto"/>
              <w:bottom w:val="single" w:sz="4" w:space="0" w:color="auto"/>
              <w:right w:val="single" w:sz="4" w:space="0" w:color="auto"/>
            </w:tcBorders>
            <w:shd w:val="clear" w:color="000000" w:fill="448A99"/>
            <w:vAlign w:val="center"/>
            <w:hideMark/>
          </w:tcPr>
          <w:p w:rsidR="000C1E59" w:rsidRPr="00B75B77" w:rsidRDefault="000C1E59" w:rsidP="0063130A">
            <w:pPr>
              <w:keepNext/>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Program</w:t>
            </w:r>
          </w:p>
        </w:tc>
        <w:tc>
          <w:tcPr>
            <w:tcW w:w="2520"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63130A">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PY7 Budget from EE&amp;C Plan</w:t>
            </w:r>
          </w:p>
        </w:tc>
        <w:tc>
          <w:tcPr>
            <w:tcW w:w="2250"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63130A">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PY7 Actual Expenditures</w:t>
            </w:r>
          </w:p>
        </w:tc>
        <w:tc>
          <w:tcPr>
            <w:tcW w:w="2250"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63130A">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Difference from PY7 EE&amp;C Plan</w:t>
            </w:r>
            <w:r w:rsidRPr="00B75B77">
              <w:rPr>
                <w:rFonts w:ascii="Calibri" w:eastAsia="Times New Roman" w:hAnsi="Calibri"/>
                <w:b/>
                <w:bCs/>
                <w:color w:val="FFFFFF"/>
                <w:sz w:val="18"/>
                <w:szCs w:val="18"/>
              </w:rPr>
              <w:br/>
              <w:t>[(Planned - Actual)/Planned]</w:t>
            </w:r>
          </w:p>
        </w:tc>
      </w:tr>
      <w:tr w:rsidR="000C1E59" w:rsidRPr="00B75B77" w:rsidTr="00F94CBE">
        <w:trPr>
          <w:divId w:val="1833569721"/>
          <w:trHeight w:val="300"/>
        </w:trPr>
        <w:tc>
          <w:tcPr>
            <w:tcW w:w="2520"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Appliance Recycling</w:t>
            </w:r>
          </w:p>
        </w:tc>
        <w:tc>
          <w:tcPr>
            <w:tcW w:w="252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$1,768,891</w:t>
            </w:r>
          </w:p>
        </w:tc>
        <w:tc>
          <w:tcPr>
            <w:tcW w:w="225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$1,380,653</w:t>
            </w:r>
          </w:p>
        </w:tc>
        <w:tc>
          <w:tcPr>
            <w:tcW w:w="225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22%</w:t>
            </w:r>
          </w:p>
        </w:tc>
      </w:tr>
      <w:tr w:rsidR="000C1E59" w:rsidRPr="00B75B77" w:rsidTr="00F94CBE">
        <w:trPr>
          <w:divId w:val="1833569721"/>
          <w:trHeight w:val="300"/>
        </w:trPr>
        <w:tc>
          <w:tcPr>
            <w:tcW w:w="2520"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Builder Rebates</w:t>
            </w:r>
          </w:p>
        </w:tc>
        <w:tc>
          <w:tcPr>
            <w:tcW w:w="252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$596,406</w:t>
            </w:r>
          </w:p>
        </w:tc>
        <w:tc>
          <w:tcPr>
            <w:tcW w:w="225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$503,409</w:t>
            </w:r>
          </w:p>
        </w:tc>
        <w:tc>
          <w:tcPr>
            <w:tcW w:w="225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16%</w:t>
            </w:r>
          </w:p>
        </w:tc>
      </w:tr>
      <w:tr w:rsidR="000C1E59" w:rsidRPr="00B75B77" w:rsidTr="00F94CBE">
        <w:trPr>
          <w:divId w:val="1833569721"/>
          <w:trHeight w:val="300"/>
        </w:trPr>
        <w:tc>
          <w:tcPr>
            <w:tcW w:w="2520"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Energy Saver</w:t>
            </w:r>
          </w:p>
        </w:tc>
        <w:tc>
          <w:tcPr>
            <w:tcW w:w="252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$457,166</w:t>
            </w:r>
          </w:p>
        </w:tc>
        <w:tc>
          <w:tcPr>
            <w:tcW w:w="225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$450,255</w:t>
            </w:r>
          </w:p>
        </w:tc>
        <w:tc>
          <w:tcPr>
            <w:tcW w:w="225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w:t>
            </w:r>
          </w:p>
        </w:tc>
      </w:tr>
      <w:tr w:rsidR="000C1E59" w:rsidRPr="00B75B77" w:rsidTr="00F94CBE">
        <w:trPr>
          <w:divId w:val="1833569721"/>
          <w:trHeight w:val="300"/>
        </w:trPr>
        <w:tc>
          <w:tcPr>
            <w:tcW w:w="2520"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Home Rebates</w:t>
            </w:r>
          </w:p>
        </w:tc>
        <w:tc>
          <w:tcPr>
            <w:tcW w:w="252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$18,138,930</w:t>
            </w:r>
          </w:p>
        </w:tc>
        <w:tc>
          <w:tcPr>
            <w:tcW w:w="225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$22,560,597</w:t>
            </w:r>
          </w:p>
        </w:tc>
        <w:tc>
          <w:tcPr>
            <w:tcW w:w="225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-24%</w:t>
            </w:r>
          </w:p>
        </w:tc>
      </w:tr>
      <w:tr w:rsidR="000C1E59" w:rsidRPr="00B75B77" w:rsidTr="00F94CBE">
        <w:trPr>
          <w:divId w:val="1833569721"/>
          <w:trHeight w:val="300"/>
        </w:trPr>
        <w:tc>
          <w:tcPr>
            <w:tcW w:w="2520"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House Call</w:t>
            </w:r>
          </w:p>
        </w:tc>
        <w:tc>
          <w:tcPr>
            <w:tcW w:w="252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$6,365,387</w:t>
            </w:r>
          </w:p>
        </w:tc>
        <w:tc>
          <w:tcPr>
            <w:tcW w:w="225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$5,742,027</w:t>
            </w:r>
          </w:p>
        </w:tc>
        <w:tc>
          <w:tcPr>
            <w:tcW w:w="225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10%</w:t>
            </w:r>
          </w:p>
        </w:tc>
      </w:tr>
      <w:tr w:rsidR="000C1E59" w:rsidRPr="00B75B77" w:rsidTr="00F94CBE">
        <w:trPr>
          <w:divId w:val="1833569721"/>
          <w:trHeight w:val="300"/>
        </w:trPr>
        <w:tc>
          <w:tcPr>
            <w:tcW w:w="2520"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Multi-Family Solutions</w:t>
            </w:r>
          </w:p>
        </w:tc>
        <w:tc>
          <w:tcPr>
            <w:tcW w:w="252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$2,412,246</w:t>
            </w:r>
          </w:p>
        </w:tc>
        <w:tc>
          <w:tcPr>
            <w:tcW w:w="225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$1,581,443</w:t>
            </w:r>
          </w:p>
        </w:tc>
        <w:tc>
          <w:tcPr>
            <w:tcW w:w="225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34%</w:t>
            </w:r>
          </w:p>
        </w:tc>
      </w:tr>
      <w:tr w:rsidR="000C1E59" w:rsidRPr="00B75B77" w:rsidTr="00F94CBE">
        <w:trPr>
          <w:divId w:val="1833569721"/>
          <w:trHeight w:val="300"/>
        </w:trPr>
        <w:tc>
          <w:tcPr>
            <w:tcW w:w="2520"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Usage Profile</w:t>
            </w:r>
          </w:p>
        </w:tc>
        <w:tc>
          <w:tcPr>
            <w:tcW w:w="252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$1,384,872</w:t>
            </w:r>
          </w:p>
        </w:tc>
        <w:tc>
          <w:tcPr>
            <w:tcW w:w="225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$540,399</w:t>
            </w:r>
          </w:p>
        </w:tc>
        <w:tc>
          <w:tcPr>
            <w:tcW w:w="225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61%</w:t>
            </w:r>
          </w:p>
        </w:tc>
      </w:tr>
      <w:tr w:rsidR="000C1E59" w:rsidRPr="00B75B77" w:rsidTr="00F94CBE">
        <w:trPr>
          <w:divId w:val="1833569721"/>
          <w:trHeight w:val="300"/>
        </w:trPr>
        <w:tc>
          <w:tcPr>
            <w:tcW w:w="2520"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Low-Income Energy Efficiency</w:t>
            </w:r>
          </w:p>
        </w:tc>
        <w:tc>
          <w:tcPr>
            <w:tcW w:w="252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$8,592,892</w:t>
            </w:r>
          </w:p>
        </w:tc>
        <w:tc>
          <w:tcPr>
            <w:tcW w:w="225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$8,088,046</w:t>
            </w:r>
          </w:p>
        </w:tc>
        <w:tc>
          <w:tcPr>
            <w:tcW w:w="225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6%</w:t>
            </w:r>
          </w:p>
        </w:tc>
      </w:tr>
      <w:tr w:rsidR="000C1E59" w:rsidRPr="00B75B77" w:rsidTr="00F94CBE">
        <w:trPr>
          <w:divId w:val="1833569721"/>
          <w:trHeight w:val="300"/>
        </w:trPr>
        <w:tc>
          <w:tcPr>
            <w:tcW w:w="2520"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Residential Smart AC Saver</w:t>
            </w:r>
          </w:p>
        </w:tc>
        <w:tc>
          <w:tcPr>
            <w:tcW w:w="252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$9,646,570</w:t>
            </w:r>
          </w:p>
        </w:tc>
        <w:tc>
          <w:tcPr>
            <w:tcW w:w="225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$6,753,738</w:t>
            </w:r>
          </w:p>
        </w:tc>
        <w:tc>
          <w:tcPr>
            <w:tcW w:w="225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30%</w:t>
            </w:r>
          </w:p>
        </w:tc>
      </w:tr>
      <w:tr w:rsidR="000C1E59" w:rsidRPr="00B75B77" w:rsidTr="00F94CBE">
        <w:trPr>
          <w:divId w:val="1833569721"/>
          <w:trHeight w:val="300"/>
        </w:trPr>
        <w:tc>
          <w:tcPr>
            <w:tcW w:w="2520"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Business Solutions</w:t>
            </w:r>
          </w:p>
        </w:tc>
        <w:tc>
          <w:tcPr>
            <w:tcW w:w="252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$1,533,194</w:t>
            </w:r>
          </w:p>
        </w:tc>
        <w:tc>
          <w:tcPr>
            <w:tcW w:w="225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$999,845</w:t>
            </w:r>
          </w:p>
        </w:tc>
        <w:tc>
          <w:tcPr>
            <w:tcW w:w="225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35%</w:t>
            </w:r>
          </w:p>
        </w:tc>
      </w:tr>
      <w:tr w:rsidR="000C1E59" w:rsidRPr="00B75B77" w:rsidTr="00F94CBE">
        <w:trPr>
          <w:divId w:val="1833569721"/>
          <w:trHeight w:val="300"/>
        </w:trPr>
        <w:tc>
          <w:tcPr>
            <w:tcW w:w="2520"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Construction Incentives</w:t>
            </w:r>
          </w:p>
        </w:tc>
        <w:tc>
          <w:tcPr>
            <w:tcW w:w="252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$3,736,313</w:t>
            </w:r>
          </w:p>
        </w:tc>
        <w:tc>
          <w:tcPr>
            <w:tcW w:w="225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$4,026,623</w:t>
            </w:r>
          </w:p>
        </w:tc>
        <w:tc>
          <w:tcPr>
            <w:tcW w:w="225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-8%</w:t>
            </w:r>
          </w:p>
        </w:tc>
      </w:tr>
      <w:tr w:rsidR="000C1E59" w:rsidRPr="00B75B77" w:rsidTr="00F94CBE">
        <w:trPr>
          <w:divId w:val="1833569721"/>
          <w:trHeight w:val="300"/>
        </w:trPr>
        <w:tc>
          <w:tcPr>
            <w:tcW w:w="2520"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Equipment Incentives - C&amp;I</w:t>
            </w:r>
          </w:p>
        </w:tc>
        <w:tc>
          <w:tcPr>
            <w:tcW w:w="252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$11,944,426</w:t>
            </w:r>
          </w:p>
        </w:tc>
        <w:tc>
          <w:tcPr>
            <w:tcW w:w="225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$13,234,867</w:t>
            </w:r>
          </w:p>
        </w:tc>
        <w:tc>
          <w:tcPr>
            <w:tcW w:w="225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-11%</w:t>
            </w:r>
          </w:p>
        </w:tc>
      </w:tr>
      <w:tr w:rsidR="000C1E59" w:rsidRPr="00B75B77" w:rsidTr="00F94CBE">
        <w:trPr>
          <w:divId w:val="1833569721"/>
          <w:trHeight w:val="300"/>
        </w:trPr>
        <w:tc>
          <w:tcPr>
            <w:tcW w:w="2520"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Equipment Incentives - GNI</w:t>
            </w:r>
          </w:p>
        </w:tc>
        <w:tc>
          <w:tcPr>
            <w:tcW w:w="252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$7,005,850</w:t>
            </w:r>
          </w:p>
        </w:tc>
        <w:tc>
          <w:tcPr>
            <w:tcW w:w="225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$11,917,300</w:t>
            </w:r>
          </w:p>
        </w:tc>
        <w:tc>
          <w:tcPr>
            <w:tcW w:w="225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-70%</w:t>
            </w:r>
          </w:p>
        </w:tc>
      </w:tr>
      <w:tr w:rsidR="000C1E59" w:rsidRPr="00B75B77" w:rsidTr="00F94CBE">
        <w:trPr>
          <w:divId w:val="1833569721"/>
          <w:trHeight w:val="300"/>
        </w:trPr>
        <w:tc>
          <w:tcPr>
            <w:tcW w:w="2520"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On-Site</w:t>
            </w:r>
          </w:p>
        </w:tc>
        <w:tc>
          <w:tcPr>
            <w:tcW w:w="252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$1,898,161</w:t>
            </w:r>
          </w:p>
        </w:tc>
        <w:tc>
          <w:tcPr>
            <w:tcW w:w="225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$2,028,202</w:t>
            </w:r>
          </w:p>
        </w:tc>
        <w:tc>
          <w:tcPr>
            <w:tcW w:w="225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-7%</w:t>
            </w:r>
          </w:p>
        </w:tc>
      </w:tr>
      <w:tr w:rsidR="000C1E59" w:rsidRPr="00B75B77" w:rsidTr="00F94CBE">
        <w:trPr>
          <w:divId w:val="1833569721"/>
          <w:trHeight w:val="300"/>
        </w:trPr>
        <w:tc>
          <w:tcPr>
            <w:tcW w:w="2520"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Commercial Smart AC Saver</w:t>
            </w:r>
          </w:p>
        </w:tc>
        <w:tc>
          <w:tcPr>
            <w:tcW w:w="252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$544,554</w:t>
            </w:r>
          </w:p>
        </w:tc>
        <w:tc>
          <w:tcPr>
            <w:tcW w:w="225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$312,936</w:t>
            </w:r>
          </w:p>
        </w:tc>
        <w:tc>
          <w:tcPr>
            <w:tcW w:w="225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43%</w:t>
            </w:r>
          </w:p>
        </w:tc>
      </w:tr>
      <w:tr w:rsidR="00943F12" w:rsidRPr="00B75B77" w:rsidTr="00943F12">
        <w:trPr>
          <w:divId w:val="1833569721"/>
          <w:trHeight w:val="300"/>
        </w:trPr>
        <w:tc>
          <w:tcPr>
            <w:tcW w:w="2520" w:type="dxa"/>
            <w:tcBorders>
              <w:top w:val="nil"/>
              <w:left w:val="single" w:sz="4" w:space="0" w:color="448A99"/>
              <w:bottom w:val="single" w:sz="4" w:space="0" w:color="448A99"/>
              <w:right w:val="single" w:sz="4" w:space="0" w:color="448A99"/>
            </w:tcBorders>
            <w:shd w:val="clear" w:color="auto" w:fill="auto"/>
            <w:vAlign w:val="center"/>
          </w:tcPr>
          <w:p w:rsidR="00943F12" w:rsidRPr="00B75B77" w:rsidRDefault="00943F12"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Support Services</w:t>
            </w:r>
          </w:p>
        </w:tc>
        <w:tc>
          <w:tcPr>
            <w:tcW w:w="2520" w:type="dxa"/>
            <w:tcBorders>
              <w:top w:val="nil"/>
              <w:left w:val="nil"/>
              <w:bottom w:val="single" w:sz="4" w:space="0" w:color="448A99"/>
              <w:right w:val="single" w:sz="4" w:space="0" w:color="448A99"/>
            </w:tcBorders>
            <w:shd w:val="clear" w:color="auto" w:fill="auto"/>
            <w:vAlign w:val="center"/>
          </w:tcPr>
          <w:p w:rsidR="00943F12" w:rsidRPr="00B75B77" w:rsidRDefault="00943F12" w:rsidP="0063130A">
            <w:pPr>
              <w:keepNext/>
              <w:jc w:val="center"/>
              <w:rPr>
                <w:sz w:val="18"/>
                <w:szCs w:val="18"/>
              </w:rPr>
            </w:pPr>
            <w:r w:rsidRPr="00B75B77">
              <w:rPr>
                <w:sz w:val="18"/>
                <w:szCs w:val="18"/>
              </w:rPr>
              <w:t>$15,055,632</w:t>
            </w:r>
          </w:p>
        </w:tc>
        <w:tc>
          <w:tcPr>
            <w:tcW w:w="2250" w:type="dxa"/>
            <w:tcBorders>
              <w:top w:val="nil"/>
              <w:left w:val="nil"/>
              <w:bottom w:val="single" w:sz="4" w:space="0" w:color="448A99"/>
              <w:right w:val="single" w:sz="4" w:space="0" w:color="448A99"/>
            </w:tcBorders>
            <w:shd w:val="clear" w:color="auto" w:fill="auto"/>
            <w:vAlign w:val="center"/>
          </w:tcPr>
          <w:p w:rsidR="00943F12" w:rsidRPr="00B75B77" w:rsidRDefault="00943F12" w:rsidP="0063130A">
            <w:pPr>
              <w:keepNext/>
              <w:jc w:val="center"/>
              <w:rPr>
                <w:sz w:val="18"/>
                <w:szCs w:val="18"/>
              </w:rPr>
            </w:pPr>
            <w:r w:rsidRPr="00B75B77">
              <w:rPr>
                <w:sz w:val="18"/>
                <w:szCs w:val="18"/>
              </w:rPr>
              <w:t>$11,027,484</w:t>
            </w:r>
          </w:p>
        </w:tc>
        <w:tc>
          <w:tcPr>
            <w:tcW w:w="2250" w:type="dxa"/>
            <w:tcBorders>
              <w:top w:val="nil"/>
              <w:left w:val="nil"/>
              <w:bottom w:val="single" w:sz="4" w:space="0" w:color="448A99"/>
              <w:right w:val="single" w:sz="4" w:space="0" w:color="448A99"/>
            </w:tcBorders>
            <w:shd w:val="clear" w:color="auto" w:fill="auto"/>
            <w:vAlign w:val="center"/>
          </w:tcPr>
          <w:p w:rsidR="00943F12" w:rsidRPr="00B75B77" w:rsidRDefault="00943F12" w:rsidP="0063130A">
            <w:pPr>
              <w:keepNext/>
              <w:jc w:val="center"/>
              <w:rPr>
                <w:sz w:val="18"/>
                <w:szCs w:val="18"/>
              </w:rPr>
            </w:pPr>
            <w:r w:rsidRPr="00B75B77">
              <w:rPr>
                <w:sz w:val="18"/>
                <w:szCs w:val="18"/>
              </w:rPr>
              <w:t>9%</w:t>
            </w:r>
          </w:p>
        </w:tc>
      </w:tr>
      <w:tr w:rsidR="000C1E59" w:rsidRPr="00B75B77" w:rsidTr="00943F12">
        <w:trPr>
          <w:divId w:val="1833569721"/>
          <w:trHeight w:val="300"/>
        </w:trPr>
        <w:tc>
          <w:tcPr>
            <w:tcW w:w="2520" w:type="dxa"/>
            <w:tcBorders>
              <w:top w:val="nil"/>
              <w:left w:val="single" w:sz="4" w:space="0" w:color="448A99"/>
              <w:bottom w:val="single" w:sz="4" w:space="0" w:color="448A99"/>
              <w:right w:val="single" w:sz="4" w:space="0" w:color="448A99"/>
            </w:tcBorders>
            <w:shd w:val="clear" w:color="auto" w:fill="DAEEF3" w:themeFill="accent5" w:themeFillTint="33"/>
            <w:vAlign w:val="center"/>
            <w:hideMark/>
          </w:tcPr>
          <w:p w:rsidR="000C1E59" w:rsidRPr="00B75B77" w:rsidRDefault="000C1E59" w:rsidP="0063130A">
            <w:pPr>
              <w:keepNext/>
              <w:jc w:val="left"/>
              <w:rPr>
                <w:rFonts w:ascii="Calibri" w:eastAsia="Times New Roman" w:hAnsi="Calibri"/>
                <w:b/>
                <w:bCs/>
                <w:color w:val="000000"/>
                <w:sz w:val="18"/>
                <w:szCs w:val="18"/>
              </w:rPr>
            </w:pPr>
            <w:r w:rsidRPr="00B75B77">
              <w:rPr>
                <w:rFonts w:ascii="Calibri" w:eastAsia="Times New Roman" w:hAnsi="Calibri"/>
                <w:b/>
                <w:bCs/>
                <w:color w:val="000000"/>
                <w:sz w:val="18"/>
                <w:szCs w:val="18"/>
              </w:rPr>
              <w:t>TOTAL</w:t>
            </w:r>
          </w:p>
        </w:tc>
        <w:tc>
          <w:tcPr>
            <w:tcW w:w="2520" w:type="dxa"/>
            <w:tcBorders>
              <w:top w:val="nil"/>
              <w:left w:val="nil"/>
              <w:bottom w:val="single" w:sz="4" w:space="0" w:color="448A99"/>
              <w:right w:val="single" w:sz="4" w:space="0" w:color="448A99"/>
            </w:tcBorders>
            <w:shd w:val="clear" w:color="auto" w:fill="DAEEF3" w:themeFill="accent5" w:themeFillTint="33"/>
            <w:vAlign w:val="center"/>
            <w:hideMark/>
          </w:tcPr>
          <w:p w:rsidR="000C1E59" w:rsidRPr="00B75B77" w:rsidRDefault="00943F12" w:rsidP="0063130A">
            <w:pPr>
              <w:keepNext/>
              <w:jc w:val="center"/>
              <w:rPr>
                <w:rFonts w:ascii="Calibri" w:eastAsia="Times New Roman" w:hAnsi="Calibri"/>
                <w:b/>
                <w:bCs/>
                <w:color w:val="000000"/>
                <w:sz w:val="18"/>
                <w:szCs w:val="18"/>
              </w:rPr>
            </w:pPr>
            <w:r w:rsidRPr="00B75B77">
              <w:rPr>
                <w:b/>
                <w:sz w:val="18"/>
                <w:szCs w:val="18"/>
              </w:rPr>
              <w:t>$91,081,490</w:t>
            </w:r>
          </w:p>
        </w:tc>
        <w:tc>
          <w:tcPr>
            <w:tcW w:w="2250" w:type="dxa"/>
            <w:tcBorders>
              <w:top w:val="nil"/>
              <w:left w:val="nil"/>
              <w:bottom w:val="single" w:sz="4" w:space="0" w:color="448A99"/>
              <w:right w:val="single" w:sz="4" w:space="0" w:color="448A99"/>
            </w:tcBorders>
            <w:shd w:val="clear" w:color="auto" w:fill="DAEEF3" w:themeFill="accent5" w:themeFillTint="33"/>
            <w:vAlign w:val="center"/>
            <w:hideMark/>
          </w:tcPr>
          <w:p w:rsidR="000C1E59" w:rsidRPr="00B75B77" w:rsidRDefault="000C1E59" w:rsidP="0063130A">
            <w:pPr>
              <w:keepNext/>
              <w:jc w:val="center"/>
              <w:rPr>
                <w:rFonts w:ascii="Calibri" w:eastAsia="Times New Roman" w:hAnsi="Calibri"/>
                <w:b/>
                <w:bCs/>
                <w:color w:val="000000"/>
                <w:sz w:val="18"/>
                <w:szCs w:val="18"/>
              </w:rPr>
            </w:pPr>
            <w:r w:rsidRPr="00B75B77">
              <w:rPr>
                <w:b/>
                <w:sz w:val="18"/>
                <w:szCs w:val="18"/>
              </w:rPr>
              <w:t>$91,147,823</w:t>
            </w:r>
          </w:p>
        </w:tc>
        <w:tc>
          <w:tcPr>
            <w:tcW w:w="2250" w:type="dxa"/>
            <w:tcBorders>
              <w:top w:val="nil"/>
              <w:left w:val="nil"/>
              <w:bottom w:val="single" w:sz="4" w:space="0" w:color="448A99"/>
              <w:right w:val="single" w:sz="4" w:space="0" w:color="448A99"/>
            </w:tcBorders>
            <w:shd w:val="clear" w:color="auto" w:fill="DAEEF3" w:themeFill="accent5" w:themeFillTint="33"/>
            <w:vAlign w:val="center"/>
            <w:hideMark/>
          </w:tcPr>
          <w:p w:rsidR="000C1E59" w:rsidRPr="00B75B77" w:rsidRDefault="00943F12" w:rsidP="0063130A">
            <w:pPr>
              <w:keepNext/>
              <w:jc w:val="center"/>
              <w:rPr>
                <w:rFonts w:ascii="Calibri" w:eastAsia="Times New Roman" w:hAnsi="Calibri"/>
                <w:b/>
                <w:bCs/>
                <w:color w:val="000000"/>
                <w:sz w:val="18"/>
                <w:szCs w:val="18"/>
              </w:rPr>
            </w:pPr>
            <w:r w:rsidRPr="00B75B77">
              <w:rPr>
                <w:b/>
                <w:sz w:val="18"/>
                <w:szCs w:val="18"/>
              </w:rPr>
              <w:t>0</w:t>
            </w:r>
            <w:r w:rsidR="000C1E59" w:rsidRPr="00B75B77">
              <w:rPr>
                <w:b/>
                <w:sz w:val="18"/>
                <w:szCs w:val="18"/>
              </w:rPr>
              <w:t>%</w:t>
            </w:r>
          </w:p>
        </w:tc>
      </w:tr>
    </w:tbl>
    <w:p w:rsidR="000C1E59" w:rsidRPr="00B75B77" w:rsidRDefault="000C1E59" w:rsidP="0063130A">
      <w:pPr>
        <w:pStyle w:val="Source"/>
        <w:keepNext/>
        <w:spacing w:before="20" w:after="20"/>
        <w:ind w:left="187" w:firstLine="0"/>
        <w:rPr>
          <w:rStyle w:val="Strong"/>
          <w:b w:val="0"/>
          <w:bCs w:val="0"/>
          <w:i w:val="0"/>
        </w:rPr>
      </w:pPr>
      <w:r w:rsidRPr="00B75B77">
        <w:rPr>
          <w:rStyle w:val="Strong"/>
          <w:b w:val="0"/>
          <w:bCs w:val="0"/>
          <w:i w:val="0"/>
        </w:rPr>
        <w:t xml:space="preserve">Note: </w:t>
      </w:r>
      <w:r w:rsidRPr="00B75B77">
        <w:rPr>
          <w:rFonts w:ascii="Calibri" w:hAnsi="Calibri"/>
          <w:i w:val="0"/>
          <w:iCs/>
          <w:color w:val="000000"/>
          <w:szCs w:val="18"/>
        </w:rPr>
        <w:t>Values in tables may not reconcile exactly with the sum of more detailed level results or previously reported results due to rounding.</w:t>
      </w:r>
    </w:p>
    <w:p w:rsidR="000C1E59" w:rsidRPr="00B75B77" w:rsidRDefault="000C1E59" w:rsidP="0063130A">
      <w:pPr>
        <w:pStyle w:val="Source"/>
        <w:keepNext/>
      </w:pPr>
      <w:r w:rsidRPr="00B75B77">
        <w:rPr>
          <w:rStyle w:val="Strong"/>
          <w:b w:val="0"/>
          <w:bCs w:val="0"/>
        </w:rPr>
        <w:t>Source: Navigant analysis</w:t>
      </w:r>
    </w:p>
    <w:p w:rsidR="000C1E59" w:rsidRPr="00B75B77" w:rsidRDefault="0063130A" w:rsidP="00987B74">
      <w:r w:rsidRPr="00B75B77">
        <w:fldChar w:fldCharType="begin"/>
      </w:r>
      <w:r w:rsidRPr="00B75B77">
        <w:instrText xml:space="preserve"> REF _Ref464563646 \h </w:instrText>
      </w:r>
      <w:r w:rsidR="00B75B77">
        <w:instrText xml:space="preserve"> \* MERGEFORMAT </w:instrText>
      </w:r>
      <w:r w:rsidRPr="00B75B77">
        <w:fldChar w:fldCharType="separate"/>
      </w:r>
      <w:r w:rsidR="0004016D" w:rsidRPr="00B75B77">
        <w:t xml:space="preserve">Table </w:t>
      </w:r>
      <w:r w:rsidR="0004016D">
        <w:rPr>
          <w:noProof/>
        </w:rPr>
        <w:t>1</w:t>
      </w:r>
      <w:r w:rsidR="0004016D" w:rsidRPr="00B75B77">
        <w:rPr>
          <w:noProof/>
        </w:rPr>
        <w:noBreakHyphen/>
      </w:r>
      <w:r w:rsidR="0004016D">
        <w:rPr>
          <w:noProof/>
        </w:rPr>
        <w:t>18</w:t>
      </w:r>
      <w:r w:rsidRPr="00B75B77">
        <w:fldChar w:fldCharType="end"/>
      </w:r>
      <w:r w:rsidR="000C1E59" w:rsidRPr="00B75B77">
        <w:t xml:space="preserve"> shows PY7 program savings compared to the energy and demand savings estimates filed in the EE&amp;C plan. </w:t>
      </w:r>
    </w:p>
    <w:p w:rsidR="000C1E59" w:rsidRPr="00B75B77" w:rsidRDefault="000C1E59" w:rsidP="00987B74"/>
    <w:p w:rsidR="000C1E59" w:rsidRPr="00B75B77" w:rsidRDefault="0063130A" w:rsidP="0063130A">
      <w:pPr>
        <w:pStyle w:val="Caption"/>
        <w:rPr>
          <w:rFonts w:ascii="Calibri" w:hAnsi="Calibri"/>
        </w:rPr>
      </w:pPr>
      <w:bookmarkStart w:id="203" w:name="_Ref464563646"/>
      <w:bookmarkStart w:id="204" w:name="_Ref464562549"/>
      <w:bookmarkStart w:id="205" w:name="_Ref448933565"/>
      <w:bookmarkStart w:id="206" w:name="_Toc453075288"/>
      <w:bookmarkStart w:id="207" w:name="_Toc466413500"/>
      <w:r w:rsidRPr="00B75B77">
        <w:lastRenderedPageBreak/>
        <w:t xml:space="preserve">Table </w:t>
      </w:r>
      <w:r w:rsidR="00237810">
        <w:fldChar w:fldCharType="begin"/>
      </w:r>
      <w:r w:rsidR="00237810">
        <w:instrText xml:space="preserve"> STYLEREF 1 \s </w:instrText>
      </w:r>
      <w:r w:rsidR="00237810">
        <w:fldChar w:fldCharType="separate"/>
      </w:r>
      <w:r w:rsidR="0004016D">
        <w:rPr>
          <w:noProof/>
        </w:rPr>
        <w:t>1</w:t>
      </w:r>
      <w:r w:rsidR="00237810">
        <w:rPr>
          <w:noProof/>
        </w:rPr>
        <w:fldChar w:fldCharType="end"/>
      </w:r>
      <w:r w:rsidRPr="00B75B77">
        <w:noBreakHyphen/>
      </w:r>
      <w:r w:rsidR="00237810">
        <w:fldChar w:fldCharType="begin"/>
      </w:r>
      <w:r w:rsidR="00237810">
        <w:instrText xml:space="preserve"> SEQ Table \* ARABIC \s 1 </w:instrText>
      </w:r>
      <w:r w:rsidR="00237810">
        <w:fldChar w:fldCharType="separate"/>
      </w:r>
      <w:r w:rsidR="0004016D">
        <w:rPr>
          <w:noProof/>
        </w:rPr>
        <w:t>18</w:t>
      </w:r>
      <w:r w:rsidR="00237810">
        <w:rPr>
          <w:noProof/>
        </w:rPr>
        <w:fldChar w:fldCharType="end"/>
      </w:r>
      <w:bookmarkEnd w:id="203"/>
      <w:r w:rsidRPr="00B75B77">
        <w:t xml:space="preserve">: </w:t>
      </w:r>
      <w:bookmarkEnd w:id="204"/>
      <w:bookmarkEnd w:id="205"/>
      <w:r w:rsidR="000C1E59" w:rsidRPr="00B75B77">
        <w:t>Comparison of PY7 Actual Program Savings to EE&amp;C Plan for PY7</w:t>
      </w:r>
      <w:bookmarkEnd w:id="206"/>
      <w:bookmarkEnd w:id="207"/>
    </w:p>
    <w:tbl>
      <w:tblPr>
        <w:tblW w:w="9895" w:type="dxa"/>
        <w:tblLook w:val="04A0" w:firstRow="1" w:lastRow="0" w:firstColumn="1" w:lastColumn="0" w:noHBand="0" w:noVBand="1"/>
      </w:tblPr>
      <w:tblGrid>
        <w:gridCol w:w="2875"/>
        <w:gridCol w:w="1355"/>
        <w:gridCol w:w="1260"/>
        <w:gridCol w:w="1170"/>
        <w:gridCol w:w="990"/>
        <w:gridCol w:w="990"/>
        <w:gridCol w:w="1255"/>
      </w:tblGrid>
      <w:tr w:rsidR="000C1E59" w:rsidRPr="00B75B77" w:rsidTr="00F94CBE">
        <w:trPr>
          <w:divId w:val="1895193982"/>
          <w:trHeight w:val="720"/>
        </w:trPr>
        <w:tc>
          <w:tcPr>
            <w:tcW w:w="2875" w:type="dxa"/>
            <w:tcBorders>
              <w:top w:val="single" w:sz="4" w:space="0" w:color="auto"/>
              <w:left w:val="single" w:sz="4" w:space="0" w:color="auto"/>
              <w:bottom w:val="single" w:sz="4" w:space="0" w:color="auto"/>
              <w:right w:val="single" w:sz="4" w:space="0" w:color="auto"/>
            </w:tcBorders>
            <w:shd w:val="clear" w:color="000000" w:fill="448A99"/>
            <w:vAlign w:val="center"/>
            <w:hideMark/>
          </w:tcPr>
          <w:p w:rsidR="000C1E59" w:rsidRPr="00B75B77" w:rsidRDefault="000C1E59" w:rsidP="0063130A">
            <w:pPr>
              <w:keepNext/>
              <w:rPr>
                <w:rFonts w:ascii="Calibri" w:eastAsia="Times New Roman" w:hAnsi="Calibri"/>
                <w:b/>
                <w:bCs/>
                <w:color w:val="FFFFFF"/>
                <w:sz w:val="18"/>
                <w:szCs w:val="18"/>
              </w:rPr>
            </w:pPr>
            <w:r w:rsidRPr="00B75B77">
              <w:rPr>
                <w:rFonts w:ascii="Calibri" w:eastAsia="Times New Roman" w:hAnsi="Calibri"/>
                <w:b/>
                <w:bCs/>
                <w:color w:val="FFFFFF"/>
                <w:sz w:val="18"/>
                <w:szCs w:val="18"/>
              </w:rPr>
              <w:t>Program</w:t>
            </w:r>
          </w:p>
        </w:tc>
        <w:tc>
          <w:tcPr>
            <w:tcW w:w="1355"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63130A">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PY7 MWh Savings Projected in EE&amp;C Plan</w:t>
            </w:r>
          </w:p>
        </w:tc>
        <w:tc>
          <w:tcPr>
            <w:tcW w:w="1260"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63130A">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Actual Reported PY7 MWh Savings</w:t>
            </w:r>
          </w:p>
        </w:tc>
        <w:tc>
          <w:tcPr>
            <w:tcW w:w="1170"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63130A">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Difference [(PY7 Planned - PY7 Actual)/PY7 Planned]</w:t>
            </w:r>
          </w:p>
        </w:tc>
        <w:tc>
          <w:tcPr>
            <w:tcW w:w="990"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63130A">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PY7 MW Savings Projected in EE&amp;C Plan</w:t>
            </w:r>
          </w:p>
        </w:tc>
        <w:tc>
          <w:tcPr>
            <w:tcW w:w="990"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63130A">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Actual Reported PY7 MW Savings</w:t>
            </w:r>
          </w:p>
        </w:tc>
        <w:tc>
          <w:tcPr>
            <w:tcW w:w="1255"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63130A">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Difference [(PY7 Planned - PY7 Actual)/PY7 Planned]</w:t>
            </w:r>
          </w:p>
        </w:tc>
      </w:tr>
      <w:tr w:rsidR="000C1E59" w:rsidRPr="00B75B77" w:rsidTr="00F94CBE">
        <w:trPr>
          <w:divId w:val="1895193982"/>
          <w:trHeight w:val="300"/>
        </w:trPr>
        <w:tc>
          <w:tcPr>
            <w:tcW w:w="2875"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Appliance Recycling</w:t>
            </w:r>
          </w:p>
        </w:tc>
        <w:tc>
          <w:tcPr>
            <w:tcW w:w="1355"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10,666</w:t>
            </w:r>
          </w:p>
        </w:tc>
        <w:tc>
          <w:tcPr>
            <w:tcW w:w="126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9,322</w:t>
            </w:r>
          </w:p>
        </w:tc>
        <w:tc>
          <w:tcPr>
            <w:tcW w:w="11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13%</w:t>
            </w:r>
          </w:p>
        </w:tc>
        <w:tc>
          <w:tcPr>
            <w:tcW w:w="99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1.3</w:t>
            </w:r>
          </w:p>
        </w:tc>
        <w:tc>
          <w:tcPr>
            <w:tcW w:w="99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1.3</w:t>
            </w:r>
          </w:p>
        </w:tc>
        <w:tc>
          <w:tcPr>
            <w:tcW w:w="1255"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w:t>
            </w:r>
          </w:p>
        </w:tc>
      </w:tr>
      <w:tr w:rsidR="000C1E59" w:rsidRPr="00B75B77" w:rsidTr="00F94CBE">
        <w:trPr>
          <w:divId w:val="1895193982"/>
          <w:trHeight w:val="300"/>
        </w:trPr>
        <w:tc>
          <w:tcPr>
            <w:tcW w:w="2875"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Builder Rebates</w:t>
            </w:r>
          </w:p>
        </w:tc>
        <w:tc>
          <w:tcPr>
            <w:tcW w:w="1355"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162</w:t>
            </w:r>
          </w:p>
        </w:tc>
        <w:tc>
          <w:tcPr>
            <w:tcW w:w="126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365</w:t>
            </w:r>
          </w:p>
        </w:tc>
        <w:tc>
          <w:tcPr>
            <w:tcW w:w="11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-125%</w:t>
            </w:r>
          </w:p>
        </w:tc>
        <w:tc>
          <w:tcPr>
            <w:tcW w:w="99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0.0</w:t>
            </w:r>
          </w:p>
        </w:tc>
        <w:tc>
          <w:tcPr>
            <w:tcW w:w="99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0.1</w:t>
            </w:r>
          </w:p>
        </w:tc>
        <w:tc>
          <w:tcPr>
            <w:tcW w:w="1255"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-533%</w:t>
            </w:r>
          </w:p>
        </w:tc>
      </w:tr>
      <w:tr w:rsidR="000C1E59" w:rsidRPr="00B75B77" w:rsidTr="00F94CBE">
        <w:trPr>
          <w:divId w:val="1895193982"/>
          <w:trHeight w:val="300"/>
        </w:trPr>
        <w:tc>
          <w:tcPr>
            <w:tcW w:w="2875"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Energy Saver</w:t>
            </w:r>
          </w:p>
        </w:tc>
        <w:tc>
          <w:tcPr>
            <w:tcW w:w="1355"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1,936</w:t>
            </w:r>
          </w:p>
        </w:tc>
        <w:tc>
          <w:tcPr>
            <w:tcW w:w="126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2,786</w:t>
            </w:r>
          </w:p>
        </w:tc>
        <w:tc>
          <w:tcPr>
            <w:tcW w:w="11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-44%</w:t>
            </w:r>
          </w:p>
        </w:tc>
        <w:tc>
          <w:tcPr>
            <w:tcW w:w="99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0.2</w:t>
            </w:r>
          </w:p>
        </w:tc>
        <w:tc>
          <w:tcPr>
            <w:tcW w:w="99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0.3</w:t>
            </w:r>
          </w:p>
        </w:tc>
        <w:tc>
          <w:tcPr>
            <w:tcW w:w="1255"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-91%</w:t>
            </w:r>
          </w:p>
        </w:tc>
      </w:tr>
      <w:tr w:rsidR="000C1E59" w:rsidRPr="00B75B77" w:rsidTr="00F94CBE">
        <w:trPr>
          <w:divId w:val="1895193982"/>
          <w:trHeight w:val="300"/>
        </w:trPr>
        <w:tc>
          <w:tcPr>
            <w:tcW w:w="2875"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Home Rebates</w:t>
            </w:r>
          </w:p>
        </w:tc>
        <w:tc>
          <w:tcPr>
            <w:tcW w:w="1355"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65,583</w:t>
            </w:r>
          </w:p>
        </w:tc>
        <w:tc>
          <w:tcPr>
            <w:tcW w:w="126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142,472</w:t>
            </w:r>
          </w:p>
        </w:tc>
        <w:tc>
          <w:tcPr>
            <w:tcW w:w="11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-117%</w:t>
            </w:r>
          </w:p>
        </w:tc>
        <w:tc>
          <w:tcPr>
            <w:tcW w:w="99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17.3</w:t>
            </w:r>
          </w:p>
        </w:tc>
        <w:tc>
          <w:tcPr>
            <w:tcW w:w="99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20.6</w:t>
            </w:r>
          </w:p>
        </w:tc>
        <w:tc>
          <w:tcPr>
            <w:tcW w:w="1255"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-19%</w:t>
            </w:r>
          </w:p>
        </w:tc>
      </w:tr>
      <w:tr w:rsidR="000C1E59" w:rsidRPr="00B75B77" w:rsidTr="00F94CBE">
        <w:trPr>
          <w:divId w:val="1895193982"/>
          <w:trHeight w:val="300"/>
        </w:trPr>
        <w:tc>
          <w:tcPr>
            <w:tcW w:w="2875"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House Call</w:t>
            </w:r>
          </w:p>
        </w:tc>
        <w:tc>
          <w:tcPr>
            <w:tcW w:w="1355"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5,919</w:t>
            </w:r>
          </w:p>
        </w:tc>
        <w:tc>
          <w:tcPr>
            <w:tcW w:w="126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6,742</w:t>
            </w:r>
          </w:p>
        </w:tc>
        <w:tc>
          <w:tcPr>
            <w:tcW w:w="11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-14%</w:t>
            </w:r>
          </w:p>
        </w:tc>
        <w:tc>
          <w:tcPr>
            <w:tcW w:w="99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0.7</w:t>
            </w:r>
          </w:p>
        </w:tc>
        <w:tc>
          <w:tcPr>
            <w:tcW w:w="99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1.0</w:t>
            </w:r>
          </w:p>
        </w:tc>
        <w:tc>
          <w:tcPr>
            <w:tcW w:w="1255"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-37%</w:t>
            </w:r>
          </w:p>
        </w:tc>
      </w:tr>
      <w:tr w:rsidR="000C1E59" w:rsidRPr="00B75B77" w:rsidTr="00F94CBE">
        <w:trPr>
          <w:divId w:val="1895193982"/>
          <w:trHeight w:val="300"/>
        </w:trPr>
        <w:tc>
          <w:tcPr>
            <w:tcW w:w="2875"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Multi-Family Solutions</w:t>
            </w:r>
          </w:p>
        </w:tc>
        <w:tc>
          <w:tcPr>
            <w:tcW w:w="1355"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8,507</w:t>
            </w:r>
          </w:p>
        </w:tc>
        <w:tc>
          <w:tcPr>
            <w:tcW w:w="126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5,573</w:t>
            </w:r>
          </w:p>
        </w:tc>
        <w:tc>
          <w:tcPr>
            <w:tcW w:w="11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34%</w:t>
            </w:r>
          </w:p>
        </w:tc>
        <w:tc>
          <w:tcPr>
            <w:tcW w:w="99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1.5</w:t>
            </w:r>
          </w:p>
        </w:tc>
        <w:tc>
          <w:tcPr>
            <w:tcW w:w="99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0.7</w:t>
            </w:r>
          </w:p>
        </w:tc>
        <w:tc>
          <w:tcPr>
            <w:tcW w:w="1255"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55%</w:t>
            </w:r>
          </w:p>
        </w:tc>
      </w:tr>
      <w:tr w:rsidR="000C1E59" w:rsidRPr="00B75B77" w:rsidTr="00F94CBE">
        <w:trPr>
          <w:divId w:val="1895193982"/>
          <w:trHeight w:val="300"/>
        </w:trPr>
        <w:tc>
          <w:tcPr>
            <w:tcW w:w="2875"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Usage Profile</w:t>
            </w:r>
          </w:p>
        </w:tc>
        <w:tc>
          <w:tcPr>
            <w:tcW w:w="1355"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20,000</w:t>
            </w:r>
          </w:p>
        </w:tc>
        <w:tc>
          <w:tcPr>
            <w:tcW w:w="126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36,690</w:t>
            </w:r>
          </w:p>
        </w:tc>
        <w:tc>
          <w:tcPr>
            <w:tcW w:w="11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-83%</w:t>
            </w:r>
          </w:p>
        </w:tc>
        <w:tc>
          <w:tcPr>
            <w:tcW w:w="99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2.5</w:t>
            </w:r>
          </w:p>
        </w:tc>
        <w:tc>
          <w:tcPr>
            <w:tcW w:w="99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0.0</w:t>
            </w:r>
          </w:p>
        </w:tc>
        <w:tc>
          <w:tcPr>
            <w:tcW w:w="1255"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100%</w:t>
            </w:r>
          </w:p>
        </w:tc>
      </w:tr>
      <w:tr w:rsidR="000C1E59" w:rsidRPr="00B75B77" w:rsidTr="00F94CBE">
        <w:trPr>
          <w:divId w:val="1895193982"/>
          <w:trHeight w:val="300"/>
        </w:trPr>
        <w:tc>
          <w:tcPr>
            <w:tcW w:w="2875"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Low-Income Energy Efficiency</w:t>
            </w:r>
          </w:p>
        </w:tc>
        <w:tc>
          <w:tcPr>
            <w:tcW w:w="1355"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19,251</w:t>
            </w:r>
          </w:p>
        </w:tc>
        <w:tc>
          <w:tcPr>
            <w:tcW w:w="126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19,801</w:t>
            </w:r>
          </w:p>
        </w:tc>
        <w:tc>
          <w:tcPr>
            <w:tcW w:w="11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-3%</w:t>
            </w:r>
          </w:p>
        </w:tc>
        <w:tc>
          <w:tcPr>
            <w:tcW w:w="99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2.6</w:t>
            </w:r>
          </w:p>
        </w:tc>
        <w:tc>
          <w:tcPr>
            <w:tcW w:w="99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2.6</w:t>
            </w:r>
          </w:p>
        </w:tc>
        <w:tc>
          <w:tcPr>
            <w:tcW w:w="1255"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0%</w:t>
            </w:r>
          </w:p>
        </w:tc>
      </w:tr>
      <w:tr w:rsidR="000C1E59" w:rsidRPr="00B75B77" w:rsidTr="00F94CBE">
        <w:trPr>
          <w:divId w:val="1895193982"/>
          <w:trHeight w:val="300"/>
        </w:trPr>
        <w:tc>
          <w:tcPr>
            <w:tcW w:w="2875"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Residential Smart AC Saver</w:t>
            </w:r>
          </w:p>
        </w:tc>
        <w:tc>
          <w:tcPr>
            <w:tcW w:w="1355"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0</w:t>
            </w:r>
          </w:p>
        </w:tc>
        <w:tc>
          <w:tcPr>
            <w:tcW w:w="126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0</w:t>
            </w:r>
          </w:p>
        </w:tc>
        <w:tc>
          <w:tcPr>
            <w:tcW w:w="11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N/A</w:t>
            </w:r>
          </w:p>
        </w:tc>
        <w:tc>
          <w:tcPr>
            <w:tcW w:w="99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78.0</w:t>
            </w:r>
          </w:p>
        </w:tc>
        <w:tc>
          <w:tcPr>
            <w:tcW w:w="99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49.6</w:t>
            </w:r>
          </w:p>
        </w:tc>
        <w:tc>
          <w:tcPr>
            <w:tcW w:w="1255"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36%</w:t>
            </w:r>
          </w:p>
        </w:tc>
      </w:tr>
      <w:tr w:rsidR="000C1E59" w:rsidRPr="00B75B77" w:rsidTr="00F94CBE">
        <w:trPr>
          <w:divId w:val="1895193982"/>
          <w:trHeight w:val="300"/>
        </w:trPr>
        <w:tc>
          <w:tcPr>
            <w:tcW w:w="2875"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Business Solutions</w:t>
            </w:r>
          </w:p>
        </w:tc>
        <w:tc>
          <w:tcPr>
            <w:tcW w:w="1355"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12,636</w:t>
            </w:r>
          </w:p>
        </w:tc>
        <w:tc>
          <w:tcPr>
            <w:tcW w:w="126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5,114</w:t>
            </w:r>
          </w:p>
        </w:tc>
        <w:tc>
          <w:tcPr>
            <w:tcW w:w="11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60%</w:t>
            </w:r>
          </w:p>
        </w:tc>
        <w:tc>
          <w:tcPr>
            <w:tcW w:w="99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2.7</w:t>
            </w:r>
          </w:p>
        </w:tc>
        <w:tc>
          <w:tcPr>
            <w:tcW w:w="99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1.1</w:t>
            </w:r>
          </w:p>
        </w:tc>
        <w:tc>
          <w:tcPr>
            <w:tcW w:w="1255"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59%</w:t>
            </w:r>
          </w:p>
        </w:tc>
      </w:tr>
      <w:tr w:rsidR="000C1E59" w:rsidRPr="00B75B77" w:rsidTr="00F94CBE">
        <w:trPr>
          <w:divId w:val="1895193982"/>
          <w:trHeight w:val="300"/>
        </w:trPr>
        <w:tc>
          <w:tcPr>
            <w:tcW w:w="2875"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Construction Incentives</w:t>
            </w:r>
          </w:p>
        </w:tc>
        <w:tc>
          <w:tcPr>
            <w:tcW w:w="1355"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26,543</w:t>
            </w:r>
          </w:p>
        </w:tc>
        <w:tc>
          <w:tcPr>
            <w:tcW w:w="126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26,545</w:t>
            </w:r>
          </w:p>
        </w:tc>
        <w:tc>
          <w:tcPr>
            <w:tcW w:w="11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0%</w:t>
            </w:r>
          </w:p>
        </w:tc>
        <w:tc>
          <w:tcPr>
            <w:tcW w:w="99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6.3</w:t>
            </w:r>
          </w:p>
        </w:tc>
        <w:tc>
          <w:tcPr>
            <w:tcW w:w="99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5.1</w:t>
            </w:r>
          </w:p>
        </w:tc>
        <w:tc>
          <w:tcPr>
            <w:tcW w:w="1255"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19%</w:t>
            </w:r>
          </w:p>
        </w:tc>
      </w:tr>
      <w:tr w:rsidR="000C1E59" w:rsidRPr="00B75B77" w:rsidTr="00F94CBE">
        <w:trPr>
          <w:divId w:val="1895193982"/>
          <w:trHeight w:val="300"/>
        </w:trPr>
        <w:tc>
          <w:tcPr>
            <w:tcW w:w="2875"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Equipment Incentives - C&amp;I</w:t>
            </w:r>
          </w:p>
        </w:tc>
        <w:tc>
          <w:tcPr>
            <w:tcW w:w="1355"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78,985</w:t>
            </w:r>
          </w:p>
        </w:tc>
        <w:tc>
          <w:tcPr>
            <w:tcW w:w="126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119,944</w:t>
            </w:r>
          </w:p>
        </w:tc>
        <w:tc>
          <w:tcPr>
            <w:tcW w:w="11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-52%</w:t>
            </w:r>
          </w:p>
        </w:tc>
        <w:tc>
          <w:tcPr>
            <w:tcW w:w="99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17.8</w:t>
            </w:r>
          </w:p>
        </w:tc>
        <w:tc>
          <w:tcPr>
            <w:tcW w:w="99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18.4</w:t>
            </w:r>
          </w:p>
        </w:tc>
        <w:tc>
          <w:tcPr>
            <w:tcW w:w="1255"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-3%</w:t>
            </w:r>
          </w:p>
        </w:tc>
      </w:tr>
      <w:tr w:rsidR="000C1E59" w:rsidRPr="00B75B77" w:rsidTr="00F94CBE">
        <w:trPr>
          <w:divId w:val="1895193982"/>
          <w:trHeight w:val="300"/>
        </w:trPr>
        <w:tc>
          <w:tcPr>
            <w:tcW w:w="2875"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Equipment Incentives - GNI</w:t>
            </w:r>
          </w:p>
        </w:tc>
        <w:tc>
          <w:tcPr>
            <w:tcW w:w="1355"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29,574</w:t>
            </w:r>
          </w:p>
        </w:tc>
        <w:tc>
          <w:tcPr>
            <w:tcW w:w="126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97,768</w:t>
            </w:r>
          </w:p>
        </w:tc>
        <w:tc>
          <w:tcPr>
            <w:tcW w:w="11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-231%</w:t>
            </w:r>
          </w:p>
        </w:tc>
        <w:tc>
          <w:tcPr>
            <w:tcW w:w="99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9.9</w:t>
            </w:r>
          </w:p>
        </w:tc>
        <w:tc>
          <w:tcPr>
            <w:tcW w:w="99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20.6</w:t>
            </w:r>
          </w:p>
        </w:tc>
        <w:tc>
          <w:tcPr>
            <w:tcW w:w="1255"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-108%</w:t>
            </w:r>
          </w:p>
        </w:tc>
      </w:tr>
      <w:tr w:rsidR="000C1E59" w:rsidRPr="00B75B77" w:rsidTr="00F94CBE">
        <w:trPr>
          <w:divId w:val="1895193982"/>
          <w:trHeight w:val="300"/>
        </w:trPr>
        <w:tc>
          <w:tcPr>
            <w:tcW w:w="2875"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On-Site</w:t>
            </w:r>
          </w:p>
        </w:tc>
        <w:tc>
          <w:tcPr>
            <w:tcW w:w="1355"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27,485</w:t>
            </w:r>
          </w:p>
        </w:tc>
        <w:tc>
          <w:tcPr>
            <w:tcW w:w="126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34,043</w:t>
            </w:r>
          </w:p>
        </w:tc>
        <w:tc>
          <w:tcPr>
            <w:tcW w:w="11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-24%</w:t>
            </w:r>
          </w:p>
        </w:tc>
        <w:tc>
          <w:tcPr>
            <w:tcW w:w="99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3.4</w:t>
            </w:r>
          </w:p>
        </w:tc>
        <w:tc>
          <w:tcPr>
            <w:tcW w:w="99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4.5</w:t>
            </w:r>
          </w:p>
        </w:tc>
        <w:tc>
          <w:tcPr>
            <w:tcW w:w="1255"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-34%</w:t>
            </w:r>
          </w:p>
        </w:tc>
      </w:tr>
      <w:tr w:rsidR="000C1E59" w:rsidRPr="00B75B77" w:rsidTr="00F94CBE">
        <w:trPr>
          <w:divId w:val="1895193982"/>
          <w:trHeight w:val="300"/>
        </w:trPr>
        <w:tc>
          <w:tcPr>
            <w:tcW w:w="2875"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Commercial Smart AC Saver</w:t>
            </w:r>
          </w:p>
        </w:tc>
        <w:tc>
          <w:tcPr>
            <w:tcW w:w="1355"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0</w:t>
            </w:r>
          </w:p>
        </w:tc>
        <w:tc>
          <w:tcPr>
            <w:tcW w:w="126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0</w:t>
            </w:r>
          </w:p>
        </w:tc>
        <w:tc>
          <w:tcPr>
            <w:tcW w:w="11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N/A</w:t>
            </w:r>
          </w:p>
        </w:tc>
        <w:tc>
          <w:tcPr>
            <w:tcW w:w="99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2.6</w:t>
            </w:r>
          </w:p>
        </w:tc>
        <w:tc>
          <w:tcPr>
            <w:tcW w:w="99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3.0</w:t>
            </w:r>
          </w:p>
        </w:tc>
        <w:tc>
          <w:tcPr>
            <w:tcW w:w="1255"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-16%</w:t>
            </w:r>
          </w:p>
        </w:tc>
      </w:tr>
      <w:tr w:rsidR="000C1E59" w:rsidRPr="00B75B77" w:rsidTr="00F94CBE">
        <w:trPr>
          <w:divId w:val="1895193982"/>
          <w:trHeight w:val="300"/>
        </w:trPr>
        <w:tc>
          <w:tcPr>
            <w:tcW w:w="2875"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63130A">
            <w:pPr>
              <w:keepNext/>
              <w:jc w:val="left"/>
              <w:rPr>
                <w:rFonts w:ascii="Calibri" w:eastAsia="Times New Roman" w:hAnsi="Calibri"/>
                <w:b/>
                <w:bCs/>
                <w:color w:val="000000"/>
                <w:sz w:val="18"/>
                <w:szCs w:val="18"/>
              </w:rPr>
            </w:pPr>
            <w:r w:rsidRPr="00B75B77">
              <w:rPr>
                <w:rFonts w:ascii="Calibri" w:eastAsia="Times New Roman" w:hAnsi="Calibri"/>
                <w:b/>
                <w:bCs/>
                <w:color w:val="000000"/>
                <w:sz w:val="18"/>
                <w:szCs w:val="18"/>
              </w:rPr>
              <w:t>TOTAL</w:t>
            </w:r>
          </w:p>
        </w:tc>
        <w:tc>
          <w:tcPr>
            <w:tcW w:w="1355"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b/>
                <w:bCs/>
                <w:color w:val="000000"/>
                <w:sz w:val="18"/>
                <w:szCs w:val="18"/>
              </w:rPr>
            </w:pPr>
            <w:r w:rsidRPr="00B75B77">
              <w:rPr>
                <w:b/>
                <w:sz w:val="18"/>
                <w:szCs w:val="18"/>
              </w:rPr>
              <w:t>307,247</w:t>
            </w:r>
          </w:p>
        </w:tc>
        <w:tc>
          <w:tcPr>
            <w:tcW w:w="126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b/>
                <w:bCs/>
                <w:color w:val="000000"/>
                <w:sz w:val="18"/>
                <w:szCs w:val="18"/>
              </w:rPr>
            </w:pPr>
            <w:r w:rsidRPr="00B75B77">
              <w:rPr>
                <w:b/>
                <w:sz w:val="18"/>
                <w:szCs w:val="18"/>
              </w:rPr>
              <w:t>507,165</w:t>
            </w:r>
          </w:p>
        </w:tc>
        <w:tc>
          <w:tcPr>
            <w:tcW w:w="11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b/>
                <w:bCs/>
                <w:color w:val="000000"/>
                <w:sz w:val="18"/>
                <w:szCs w:val="18"/>
              </w:rPr>
            </w:pPr>
            <w:r w:rsidRPr="00B75B77">
              <w:rPr>
                <w:b/>
                <w:sz w:val="18"/>
                <w:szCs w:val="18"/>
              </w:rPr>
              <w:t>-65%</w:t>
            </w:r>
          </w:p>
        </w:tc>
        <w:tc>
          <w:tcPr>
            <w:tcW w:w="99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b/>
                <w:bCs/>
                <w:color w:val="000000"/>
                <w:sz w:val="18"/>
                <w:szCs w:val="18"/>
              </w:rPr>
            </w:pPr>
            <w:r w:rsidRPr="00B75B77">
              <w:rPr>
                <w:b/>
                <w:sz w:val="18"/>
                <w:szCs w:val="18"/>
              </w:rPr>
              <w:t>146.8</w:t>
            </w:r>
          </w:p>
        </w:tc>
        <w:tc>
          <w:tcPr>
            <w:tcW w:w="99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b/>
                <w:bCs/>
                <w:color w:val="000000"/>
                <w:sz w:val="18"/>
                <w:szCs w:val="18"/>
              </w:rPr>
            </w:pPr>
            <w:r w:rsidRPr="00B75B77">
              <w:rPr>
                <w:b/>
                <w:sz w:val="18"/>
                <w:szCs w:val="18"/>
              </w:rPr>
              <w:t>129.0</w:t>
            </w:r>
          </w:p>
        </w:tc>
        <w:tc>
          <w:tcPr>
            <w:tcW w:w="1255"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b/>
                <w:bCs/>
                <w:color w:val="000000"/>
                <w:sz w:val="18"/>
                <w:szCs w:val="18"/>
              </w:rPr>
            </w:pPr>
            <w:r w:rsidRPr="00B75B77">
              <w:rPr>
                <w:b/>
                <w:sz w:val="18"/>
                <w:szCs w:val="18"/>
              </w:rPr>
              <w:t>12%</w:t>
            </w:r>
          </w:p>
        </w:tc>
      </w:tr>
    </w:tbl>
    <w:p w:rsidR="000C1E59" w:rsidRPr="00B75B77" w:rsidRDefault="000C1E59" w:rsidP="0063130A">
      <w:pPr>
        <w:pStyle w:val="Source"/>
        <w:keepNext/>
        <w:spacing w:before="20" w:after="20"/>
        <w:ind w:left="187" w:firstLine="0"/>
        <w:rPr>
          <w:rStyle w:val="Strong"/>
          <w:b w:val="0"/>
          <w:bCs w:val="0"/>
          <w:i w:val="0"/>
        </w:rPr>
      </w:pPr>
      <w:r w:rsidRPr="00B75B77">
        <w:rPr>
          <w:rStyle w:val="Strong"/>
          <w:b w:val="0"/>
          <w:bCs w:val="0"/>
          <w:i w:val="0"/>
        </w:rPr>
        <w:t xml:space="preserve">Note: </w:t>
      </w:r>
      <w:r w:rsidRPr="00B75B77">
        <w:rPr>
          <w:rFonts w:ascii="Calibri" w:hAnsi="Calibri"/>
          <w:i w:val="0"/>
          <w:iCs/>
          <w:color w:val="000000"/>
          <w:szCs w:val="18"/>
        </w:rPr>
        <w:t>Values in tables may not reconcile exactly with the sum of more detailed level results or previously reported results due to rounding.</w:t>
      </w:r>
    </w:p>
    <w:p w:rsidR="000C1E59" w:rsidRPr="00B75B77" w:rsidRDefault="000C1E59" w:rsidP="0063130A">
      <w:pPr>
        <w:pStyle w:val="Source"/>
        <w:keepNext/>
      </w:pPr>
      <w:r w:rsidRPr="00B75B77">
        <w:rPr>
          <w:rStyle w:val="Strong"/>
          <w:b w:val="0"/>
          <w:bCs w:val="0"/>
        </w:rPr>
        <w:t>Source: Navigant analysis</w:t>
      </w:r>
    </w:p>
    <w:p w:rsidR="000E0B6C" w:rsidRPr="00B75B77" w:rsidRDefault="000E0B6C" w:rsidP="000E0B6C">
      <w:pPr>
        <w:spacing w:after="120"/>
      </w:pPr>
      <w:r w:rsidRPr="00B75B77">
        <w:t xml:space="preserve">Several programs exceeded or fell short of projected gross energy savings by </w:t>
      </w:r>
      <w:r w:rsidR="00E7061A" w:rsidRPr="00B75B77">
        <w:t>five</w:t>
      </w:r>
      <w:r w:rsidRPr="00B75B77">
        <w:t xml:space="preserve"> percent or more in PY7. Reasons for this variation differ from program to program, but there are several general factors that affected results </w:t>
      </w:r>
      <w:r w:rsidR="00BB5D77" w:rsidRPr="00B75B77">
        <w:t>across</w:t>
      </w:r>
      <w:r w:rsidRPr="00B75B77">
        <w:t xml:space="preserve"> the portfolio. These include, but are not limited to, the following: </w:t>
      </w:r>
    </w:p>
    <w:p w:rsidR="000E0B6C" w:rsidRPr="00B75B77" w:rsidRDefault="000E0B6C" w:rsidP="000E0B6C">
      <w:pPr>
        <w:pStyle w:val="ListParagraph"/>
        <w:numPr>
          <w:ilvl w:val="0"/>
          <w:numId w:val="112"/>
        </w:numPr>
        <w:spacing w:after="120"/>
      </w:pPr>
      <w:r w:rsidRPr="00B75B77">
        <w:tab/>
        <w:t>Higher or lower than projected adoption of planned program measures</w:t>
      </w:r>
    </w:p>
    <w:p w:rsidR="000E0B6C" w:rsidRPr="00B75B77" w:rsidRDefault="000E0B6C" w:rsidP="000E0B6C">
      <w:pPr>
        <w:pStyle w:val="ListParagraph"/>
        <w:numPr>
          <w:ilvl w:val="0"/>
          <w:numId w:val="112"/>
        </w:numPr>
        <w:spacing w:after="120"/>
      </w:pPr>
      <w:r w:rsidRPr="00B75B77">
        <w:tab/>
        <w:t>Higher or lower than projected participation in the programs</w:t>
      </w:r>
    </w:p>
    <w:p w:rsidR="000E0B6C" w:rsidRPr="00B75B77" w:rsidRDefault="000E0B6C" w:rsidP="000E0B6C">
      <w:pPr>
        <w:pStyle w:val="ListParagraph"/>
        <w:numPr>
          <w:ilvl w:val="0"/>
          <w:numId w:val="112"/>
        </w:numPr>
        <w:spacing w:after="120"/>
      </w:pPr>
      <w:r w:rsidRPr="00B75B77">
        <w:tab/>
        <w:t>Pauses or ramp</w:t>
      </w:r>
      <w:r w:rsidR="00E7061A" w:rsidRPr="00B75B77">
        <w:t>-</w:t>
      </w:r>
      <w:r w:rsidRPr="00B75B77">
        <w:t>ups in program implementation efforts due to strategy, market conditions, or CSP disruptions such as bankruptcy</w:t>
      </w:r>
    </w:p>
    <w:p w:rsidR="000E0B6C" w:rsidRPr="00B75B77" w:rsidRDefault="000E0B6C" w:rsidP="000E0B6C">
      <w:pPr>
        <w:pStyle w:val="ListParagraph"/>
        <w:numPr>
          <w:ilvl w:val="0"/>
          <w:numId w:val="112"/>
        </w:numPr>
        <w:spacing w:after="120"/>
      </w:pPr>
      <w:r w:rsidRPr="00B75B77">
        <w:tab/>
        <w:t>Implementation or elimination of special limited-time incentives for program participation</w:t>
      </w:r>
    </w:p>
    <w:p w:rsidR="000E0B6C" w:rsidRPr="00B75B77" w:rsidRDefault="000E0B6C" w:rsidP="000E0B6C">
      <w:pPr>
        <w:spacing w:after="120"/>
      </w:pPr>
      <w:r w:rsidRPr="00B75B77">
        <w:t>The list below briefly discusses several key reasons why programs exceeded or fell short of projected gross energy savings by 5 percent or more</w:t>
      </w:r>
      <w:r w:rsidR="00B8540D" w:rsidRPr="00B75B77">
        <w:t xml:space="preserve"> in PY7</w:t>
      </w:r>
      <w:r w:rsidRPr="00B75B77">
        <w:t>.</w:t>
      </w:r>
    </w:p>
    <w:p w:rsidR="00B4475B" w:rsidRPr="00B75B77" w:rsidRDefault="000E0B6C" w:rsidP="00B765A4">
      <w:pPr>
        <w:pStyle w:val="ListParagraph"/>
        <w:numPr>
          <w:ilvl w:val="0"/>
          <w:numId w:val="112"/>
        </w:numPr>
        <w:spacing w:after="120"/>
      </w:pPr>
      <w:r w:rsidRPr="00B75B77">
        <w:tab/>
        <w:t>Smart Appliance Recycling</w:t>
      </w:r>
      <w:r w:rsidR="00B4475B" w:rsidRPr="00B75B77">
        <w:t xml:space="preserve">: The SAR program’s implementation team, JACO, went through a bankruptcy in PY7. This caused a </w:t>
      </w:r>
      <w:r w:rsidR="00D25B77" w:rsidRPr="00B75B77">
        <w:t>disruption</w:t>
      </w:r>
      <w:r w:rsidR="00B4475B" w:rsidRPr="00B75B77">
        <w:t xml:space="preserve"> in implementation efforts</w:t>
      </w:r>
      <w:r w:rsidR="00B765A4" w:rsidRPr="00B75B77">
        <w:t xml:space="preserve"> and resulted in a shortfall in program savings.</w:t>
      </w:r>
    </w:p>
    <w:p w:rsidR="000E0B6C" w:rsidRPr="00B75B77" w:rsidRDefault="000E0B6C" w:rsidP="000E0B6C">
      <w:pPr>
        <w:pStyle w:val="ListParagraph"/>
        <w:numPr>
          <w:ilvl w:val="0"/>
          <w:numId w:val="112"/>
        </w:numPr>
        <w:spacing w:after="120"/>
      </w:pPr>
      <w:r w:rsidRPr="00B75B77">
        <w:tab/>
        <w:t>Smart Builder Rebates</w:t>
      </w:r>
      <w:r w:rsidR="000045D1" w:rsidRPr="00B75B77">
        <w:t>: The SBR program</w:t>
      </w:r>
      <w:r w:rsidR="00476BFF" w:rsidRPr="00B75B77">
        <w:t xml:space="preserve"> had </w:t>
      </w:r>
      <w:r w:rsidR="00FE2699" w:rsidRPr="00B75B77">
        <w:t>high</w:t>
      </w:r>
      <w:r w:rsidR="00D25B77" w:rsidRPr="00B75B77">
        <w:t xml:space="preserve"> adoption among a few key production builders, </w:t>
      </w:r>
      <w:r w:rsidR="00476BFF" w:rsidRPr="00B75B77">
        <w:t>boosting the program to exceed the planned savings.</w:t>
      </w:r>
    </w:p>
    <w:p w:rsidR="000E0B6C" w:rsidRPr="00B75B77" w:rsidRDefault="000E0B6C" w:rsidP="000E0B6C">
      <w:pPr>
        <w:pStyle w:val="ListParagraph"/>
        <w:numPr>
          <w:ilvl w:val="0"/>
          <w:numId w:val="112"/>
        </w:numPr>
        <w:spacing w:after="120"/>
      </w:pPr>
      <w:r w:rsidRPr="00B75B77">
        <w:tab/>
        <w:t>Smart Energy Saver</w:t>
      </w:r>
      <w:r w:rsidR="000045D1" w:rsidRPr="00B75B77">
        <w:t xml:space="preserve">: The SES program </w:t>
      </w:r>
      <w:r w:rsidR="00D25B77" w:rsidRPr="00B75B77">
        <w:t xml:space="preserve">had high </w:t>
      </w:r>
      <w:r w:rsidR="00FE2699" w:rsidRPr="00B75B77">
        <w:t>satisfaction among</w:t>
      </w:r>
      <w:r w:rsidR="00D25B77" w:rsidRPr="00B75B77">
        <w:t xml:space="preserve"> classroom teachers </w:t>
      </w:r>
      <w:r w:rsidR="00FE2699" w:rsidRPr="00B75B77">
        <w:t xml:space="preserve">that helped facilitate the program </w:t>
      </w:r>
      <w:r w:rsidR="00D25B77" w:rsidRPr="00B75B77">
        <w:t>and the measures had high adoptio</w:t>
      </w:r>
      <w:r w:rsidR="001E65D5" w:rsidRPr="00B75B77">
        <w:t>n among participating families, leading the program to exceed the planned savings.</w:t>
      </w:r>
    </w:p>
    <w:p w:rsidR="000E0B6C" w:rsidRPr="00B75B77" w:rsidRDefault="000E0B6C" w:rsidP="000E0B6C">
      <w:pPr>
        <w:pStyle w:val="ListParagraph"/>
        <w:numPr>
          <w:ilvl w:val="0"/>
          <w:numId w:val="112"/>
        </w:numPr>
        <w:spacing w:after="120"/>
      </w:pPr>
      <w:r w:rsidRPr="00B75B77">
        <w:lastRenderedPageBreak/>
        <w:tab/>
        <w:t>Smart Home Rebates</w:t>
      </w:r>
      <w:r w:rsidR="00B4475B" w:rsidRPr="00B75B77">
        <w:t>: The SHR program ramped up implementation efforts to help compensate for a forecast shortfall in overall C&amp;I sector participation</w:t>
      </w:r>
      <w:r w:rsidR="00B765A4" w:rsidRPr="00B75B77">
        <w:t>, causing the program to exceed planned savings.</w:t>
      </w:r>
      <w:r w:rsidR="00B4475B" w:rsidRPr="00B75B77">
        <w:t xml:space="preserve"> </w:t>
      </w:r>
    </w:p>
    <w:p w:rsidR="000E0B6C" w:rsidRPr="00B75B77" w:rsidRDefault="000E0B6C" w:rsidP="000E0B6C">
      <w:pPr>
        <w:pStyle w:val="ListParagraph"/>
        <w:numPr>
          <w:ilvl w:val="0"/>
          <w:numId w:val="112"/>
        </w:numPr>
        <w:spacing w:after="120"/>
      </w:pPr>
      <w:r w:rsidRPr="00B75B77">
        <w:tab/>
        <w:t>Smart House Call</w:t>
      </w:r>
      <w:r w:rsidR="000045D1" w:rsidRPr="00B75B77">
        <w:t xml:space="preserve">: </w:t>
      </w:r>
      <w:r w:rsidR="00011769" w:rsidRPr="00B75B77">
        <w:t xml:space="preserve">The SHC program </w:t>
      </w:r>
      <w:r w:rsidR="005578A7" w:rsidRPr="00B75B77">
        <w:t>had higher than projected participation</w:t>
      </w:r>
      <w:r w:rsidR="005B0172" w:rsidRPr="00B75B77">
        <w:t xml:space="preserve"> in PY7</w:t>
      </w:r>
      <w:r w:rsidR="005578A7" w:rsidRPr="00B75B77">
        <w:t>, helped by high customer satisfaction and effective marketing materials such as bill inserts and mailers. This led the program to exceed planned savings.</w:t>
      </w:r>
      <w:r w:rsidR="00011769" w:rsidRPr="00B75B77">
        <w:t xml:space="preserve"> </w:t>
      </w:r>
    </w:p>
    <w:p w:rsidR="00E7061A" w:rsidRPr="00B75B77" w:rsidRDefault="00E7061A" w:rsidP="00E7061A">
      <w:pPr>
        <w:pStyle w:val="ListParagraph"/>
        <w:numPr>
          <w:ilvl w:val="0"/>
          <w:numId w:val="112"/>
        </w:numPr>
        <w:spacing w:after="120"/>
      </w:pPr>
      <w:r w:rsidRPr="00B75B77">
        <w:tab/>
        <w:t>Smart Usage Profile: The SUP program ramped up implementation efforts to help compensate for a forecast shortfall in overall C&amp;I sector participation, causing the program to exceed planned savings.</w:t>
      </w:r>
    </w:p>
    <w:p w:rsidR="000E0B6C" w:rsidRPr="00B75B77" w:rsidRDefault="000E0B6C" w:rsidP="000E0B6C">
      <w:pPr>
        <w:pStyle w:val="ListParagraph"/>
        <w:numPr>
          <w:ilvl w:val="0"/>
          <w:numId w:val="112"/>
        </w:numPr>
        <w:spacing w:after="120"/>
      </w:pPr>
      <w:r w:rsidRPr="00B75B77">
        <w:tab/>
        <w:t>Smart Multi-Family Solutions</w:t>
      </w:r>
      <w:r w:rsidR="000045D1" w:rsidRPr="00B75B77">
        <w:t xml:space="preserve">: The SMF program had </w:t>
      </w:r>
      <w:r w:rsidR="005578A7" w:rsidRPr="00B75B77">
        <w:t xml:space="preserve">good adoption of DI measures but </w:t>
      </w:r>
      <w:r w:rsidR="000045D1" w:rsidRPr="00B75B77">
        <w:t xml:space="preserve">lower than projected </w:t>
      </w:r>
      <w:r w:rsidR="005578A7" w:rsidRPr="00B75B77">
        <w:t>adoption</w:t>
      </w:r>
      <w:r w:rsidR="000045D1" w:rsidRPr="00B75B77">
        <w:t xml:space="preserve"> </w:t>
      </w:r>
      <w:r w:rsidR="005578A7" w:rsidRPr="00B75B77">
        <w:t>of</w:t>
      </w:r>
      <w:r w:rsidR="000045D1" w:rsidRPr="00B75B77">
        <w:t xml:space="preserve"> the </w:t>
      </w:r>
      <w:r w:rsidR="005B0172" w:rsidRPr="00B75B77">
        <w:t xml:space="preserve">non-DI </w:t>
      </w:r>
      <w:r w:rsidR="000045D1" w:rsidRPr="00B75B77">
        <w:t>prescriptive measures offered</w:t>
      </w:r>
      <w:r w:rsidR="005578A7" w:rsidRPr="00B75B77">
        <w:t>, resulting</w:t>
      </w:r>
      <w:r w:rsidR="000045D1" w:rsidRPr="00B75B77">
        <w:t xml:space="preserve"> in a shortfall in program savings.</w:t>
      </w:r>
    </w:p>
    <w:p w:rsidR="000E0B6C" w:rsidRPr="00B75B77" w:rsidRDefault="000E0B6C" w:rsidP="000E0B6C">
      <w:pPr>
        <w:pStyle w:val="ListParagraph"/>
        <w:numPr>
          <w:ilvl w:val="0"/>
          <w:numId w:val="112"/>
        </w:numPr>
        <w:spacing w:after="120"/>
      </w:pPr>
      <w:r w:rsidRPr="00B75B77">
        <w:tab/>
        <w:t>Smart Business Solutions</w:t>
      </w:r>
      <w:r w:rsidR="00B4475B" w:rsidRPr="00B75B77">
        <w:t>: The SBS program</w:t>
      </w:r>
      <w:r w:rsidR="00134590" w:rsidRPr="00B75B77">
        <w:t xml:space="preserve"> had lower implementation of higher-savings non-fluorescent lighting measures than projected, leading to a shortfall in program savings.</w:t>
      </w:r>
      <w:r w:rsidR="00E7061A" w:rsidRPr="00B75B77">
        <w:t xml:space="preserve"> The SBS program also exceeded its Phase II budget by the end of PY6, and thus had to significantly ramp down outreach and participation in PY7 to compensate.</w:t>
      </w:r>
    </w:p>
    <w:p w:rsidR="00BB5D77" w:rsidRPr="00B75B77" w:rsidRDefault="000E0B6C" w:rsidP="00BB5D77">
      <w:pPr>
        <w:pStyle w:val="ListParagraph"/>
        <w:numPr>
          <w:ilvl w:val="0"/>
          <w:numId w:val="112"/>
        </w:numPr>
        <w:spacing w:after="120"/>
      </w:pPr>
      <w:r w:rsidRPr="00B75B77">
        <w:tab/>
        <w:t>Smart Equipment Incentives</w:t>
      </w:r>
      <w:r w:rsidR="00B4475B" w:rsidRPr="00B75B77">
        <w:t>: The SEI program</w:t>
      </w:r>
      <w:r w:rsidR="00E7061A" w:rsidRPr="00B75B77">
        <w:t>s</w:t>
      </w:r>
      <w:r w:rsidR="00B4475B" w:rsidRPr="00B75B77">
        <w:t xml:space="preserve"> had </w:t>
      </w:r>
      <w:r w:rsidR="000B5827" w:rsidRPr="00B75B77">
        <w:t>good adoption among</w:t>
      </w:r>
      <w:r w:rsidR="00134590" w:rsidRPr="00B75B77">
        <w:t xml:space="preserve"> C&amp;I </w:t>
      </w:r>
      <w:r w:rsidR="000B5827" w:rsidRPr="00B75B77">
        <w:t xml:space="preserve">and GNI </w:t>
      </w:r>
      <w:r w:rsidR="00134590" w:rsidRPr="00B75B77">
        <w:t xml:space="preserve">customers with large projects and had </w:t>
      </w:r>
      <w:r w:rsidR="00B4475B" w:rsidRPr="00B75B77">
        <w:t>more participation than projected in the GNI sector.</w:t>
      </w:r>
      <w:r w:rsidR="00134590" w:rsidRPr="00B75B77">
        <w:t xml:space="preserve"> </w:t>
      </w:r>
      <w:r w:rsidR="00E7061A" w:rsidRPr="00B75B77">
        <w:t xml:space="preserve">Further, initial forecasts for projects that would complete </w:t>
      </w:r>
      <w:r w:rsidR="0064569F" w:rsidRPr="00B75B77">
        <w:t xml:space="preserve">in PY7 </w:t>
      </w:r>
      <w:r w:rsidR="00E7061A" w:rsidRPr="00B75B77">
        <w:t xml:space="preserve">underestimated the final completion numbers for </w:t>
      </w:r>
      <w:r w:rsidR="0064569F" w:rsidRPr="00B75B77">
        <w:t>the year</w:t>
      </w:r>
      <w:r w:rsidR="00E7061A" w:rsidRPr="00B75B77">
        <w:t xml:space="preserve">. The program ramped up efforts to compensate for the forecast. </w:t>
      </w:r>
      <w:r w:rsidR="00134590" w:rsidRPr="00B75B77">
        <w:t xml:space="preserve">This led the program to exceed planned savings in both the C&amp;I and </w:t>
      </w:r>
      <w:r w:rsidR="00592B70" w:rsidRPr="00B75B77">
        <w:t>G</w:t>
      </w:r>
      <w:r w:rsidR="00134590" w:rsidRPr="00B75B77">
        <w:t>NI sectors.</w:t>
      </w:r>
    </w:p>
    <w:p w:rsidR="000E0B6C" w:rsidRPr="00B75B77" w:rsidRDefault="000E0B6C" w:rsidP="00BB5D77">
      <w:pPr>
        <w:pStyle w:val="ListParagraph"/>
        <w:numPr>
          <w:ilvl w:val="0"/>
          <w:numId w:val="112"/>
        </w:numPr>
        <w:spacing w:after="120"/>
      </w:pPr>
      <w:r w:rsidRPr="00B75B77">
        <w:tab/>
        <w:t>Smart On-Site</w:t>
      </w:r>
      <w:r w:rsidR="00B765A4" w:rsidRPr="00B75B77">
        <w:t>: The SOS had projects that were larger than projected, causing the program to exceed planned savings.</w:t>
      </w:r>
    </w:p>
    <w:p w:rsidR="000A3642" w:rsidRPr="00B75B77" w:rsidRDefault="000A3642" w:rsidP="000A3642">
      <w:r w:rsidRPr="00B75B77">
        <w:t xml:space="preserve">Navigant summarizes recommendations for Phase III based on these observations in Section </w:t>
      </w:r>
      <w:r w:rsidRPr="00B75B77">
        <w:fldChar w:fldCharType="begin"/>
      </w:r>
      <w:r w:rsidRPr="00B75B77">
        <w:instrText xml:space="preserve"> REF _Ref464557120 \n \h  \* MERGEFORMAT </w:instrText>
      </w:r>
      <w:r w:rsidRPr="00B75B77">
        <w:fldChar w:fldCharType="separate"/>
      </w:r>
      <w:r w:rsidR="0004016D">
        <w:t>0</w:t>
      </w:r>
      <w:r w:rsidRPr="00B75B77">
        <w:fldChar w:fldCharType="end"/>
      </w:r>
      <w:r w:rsidRPr="00B75B77">
        <w:t>. Additional details are included in the program-specific chapters contained in this report.</w:t>
      </w:r>
    </w:p>
    <w:p w:rsidR="000C1E59" w:rsidRPr="00B75B77" w:rsidRDefault="000C1E59" w:rsidP="00E4391A"/>
    <w:p w:rsidR="000C1E59" w:rsidRPr="00B75B77" w:rsidRDefault="000C1E59" w:rsidP="0077238E">
      <w:pPr>
        <w:pStyle w:val="Heading2"/>
      </w:pPr>
      <w:bookmarkStart w:id="208" w:name="_Toc453075175"/>
      <w:bookmarkStart w:id="209" w:name="_Toc466413269"/>
      <w:r w:rsidRPr="00B75B77">
        <w:t>Summary of Cost-Effectiveness by Program for Phase II</w:t>
      </w:r>
      <w:bookmarkEnd w:id="208"/>
      <w:bookmarkEnd w:id="209"/>
    </w:p>
    <w:p w:rsidR="000C1E59" w:rsidRPr="00B75B77" w:rsidRDefault="000C1E59" w:rsidP="0077238E">
      <w:r w:rsidRPr="00B75B77">
        <w:t xml:space="preserve">TRC benefit-cost ratios are calculated by comparing the total NPV TRC benefits and the total NPV TRC costs. </w:t>
      </w:r>
      <w:r w:rsidRPr="00B75B77">
        <w:fldChar w:fldCharType="begin"/>
      </w:r>
      <w:r w:rsidRPr="00B75B77">
        <w:instrText xml:space="preserve"> REF _Ref449104241 \h </w:instrText>
      </w:r>
      <w:r w:rsidR="00B75B77">
        <w:instrText xml:space="preserve"> \* MERGEFORMAT </w:instrText>
      </w:r>
      <w:r w:rsidRPr="00B75B77">
        <w:fldChar w:fldCharType="separate"/>
      </w:r>
      <w:r w:rsidR="0004016D" w:rsidRPr="00B75B77">
        <w:t xml:space="preserve">Table </w:t>
      </w:r>
      <w:r w:rsidR="0004016D">
        <w:rPr>
          <w:noProof/>
        </w:rPr>
        <w:t>1</w:t>
      </w:r>
      <w:r w:rsidR="0004016D" w:rsidRPr="00B75B77">
        <w:rPr>
          <w:noProof/>
        </w:rPr>
        <w:noBreakHyphen/>
      </w:r>
      <w:r w:rsidR="0004016D">
        <w:rPr>
          <w:noProof/>
        </w:rPr>
        <w:t>19</w:t>
      </w:r>
      <w:r w:rsidRPr="00B75B77">
        <w:fldChar w:fldCharType="end"/>
      </w:r>
      <w:r w:rsidRPr="00B75B77">
        <w:t xml:space="preserve"> shows the TRC ratios by program and other key factors used in the TRC ratio calculation for Phase II programs.</w:t>
      </w:r>
    </w:p>
    <w:p w:rsidR="000C1E59" w:rsidRPr="00B75B77" w:rsidRDefault="000C1E59" w:rsidP="00E4391A">
      <w:pPr>
        <w:keepNext/>
      </w:pPr>
    </w:p>
    <w:p w:rsidR="000C1E59" w:rsidRPr="00B75B77" w:rsidRDefault="000C1E59" w:rsidP="0063130A">
      <w:pPr>
        <w:pStyle w:val="Caption"/>
      </w:pPr>
      <w:bookmarkStart w:id="210" w:name="_Ref449104241"/>
      <w:bookmarkStart w:id="211" w:name="_Toc453075289"/>
      <w:bookmarkStart w:id="212" w:name="_Toc466413501"/>
      <w:r w:rsidRPr="00B75B77">
        <w:t xml:space="preserve">Table </w:t>
      </w:r>
      <w:fldSimple w:instr=" STYLEREF 1 \s ">
        <w:r w:rsidR="0004016D">
          <w:rPr>
            <w:noProof/>
          </w:rPr>
          <w:t>1</w:t>
        </w:r>
      </w:fldSimple>
      <w:r w:rsidR="00F1144C" w:rsidRPr="00B75B77">
        <w:noBreakHyphen/>
      </w:r>
      <w:fldSimple w:instr=" SEQ Table \* ARABIC \s 1 ">
        <w:r w:rsidR="0004016D">
          <w:rPr>
            <w:noProof/>
          </w:rPr>
          <w:t>19</w:t>
        </w:r>
      </w:fldSimple>
      <w:bookmarkEnd w:id="210"/>
      <w:r w:rsidRPr="00B75B77">
        <w:t>: Phase II TRC Ratios by Program</w:t>
      </w:r>
      <w:bookmarkEnd w:id="211"/>
      <w:bookmarkEnd w:id="212"/>
    </w:p>
    <w:tbl>
      <w:tblPr>
        <w:tblW w:w="9540" w:type="dxa"/>
        <w:tblLook w:val="04A0" w:firstRow="1" w:lastRow="0" w:firstColumn="1" w:lastColumn="0" w:noHBand="0" w:noVBand="1"/>
      </w:tblPr>
      <w:tblGrid>
        <w:gridCol w:w="2160"/>
        <w:gridCol w:w="1440"/>
        <w:gridCol w:w="1260"/>
        <w:gridCol w:w="1170"/>
        <w:gridCol w:w="900"/>
        <w:gridCol w:w="990"/>
        <w:gridCol w:w="1620"/>
      </w:tblGrid>
      <w:tr w:rsidR="000C1E59" w:rsidRPr="00B75B77" w:rsidTr="00F94CBE">
        <w:trPr>
          <w:divId w:val="1527595929"/>
          <w:trHeight w:val="720"/>
        </w:trPr>
        <w:tc>
          <w:tcPr>
            <w:tcW w:w="2160" w:type="dxa"/>
            <w:tcBorders>
              <w:top w:val="single" w:sz="4" w:space="0" w:color="auto"/>
              <w:left w:val="single" w:sz="4" w:space="0" w:color="auto"/>
              <w:bottom w:val="single" w:sz="4" w:space="0" w:color="auto"/>
              <w:right w:val="single" w:sz="4" w:space="0" w:color="auto"/>
            </w:tcBorders>
            <w:shd w:val="clear" w:color="000000" w:fill="448A99"/>
            <w:vAlign w:val="center"/>
            <w:hideMark/>
          </w:tcPr>
          <w:p w:rsidR="000C1E59" w:rsidRPr="00B75B77" w:rsidRDefault="000C1E59" w:rsidP="0063130A">
            <w:pPr>
              <w:keepNext/>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Program</w:t>
            </w:r>
          </w:p>
        </w:tc>
        <w:tc>
          <w:tcPr>
            <w:tcW w:w="1440"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63130A">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TRC NPV Benefits</w:t>
            </w:r>
            <w:r w:rsidRPr="00B75B77">
              <w:rPr>
                <w:rFonts w:ascii="Calibri" w:eastAsia="Times New Roman" w:hAnsi="Calibri"/>
                <w:b/>
                <w:bCs/>
                <w:color w:val="FFFFFF"/>
                <w:sz w:val="18"/>
                <w:szCs w:val="18"/>
              </w:rPr>
              <w:br/>
              <w:t>($1000)</w:t>
            </w:r>
          </w:p>
        </w:tc>
        <w:tc>
          <w:tcPr>
            <w:tcW w:w="1260"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63130A">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TRC NPV Costs</w:t>
            </w:r>
            <w:r w:rsidRPr="00B75B77">
              <w:rPr>
                <w:rFonts w:ascii="Calibri" w:eastAsia="Times New Roman" w:hAnsi="Calibri"/>
                <w:b/>
                <w:bCs/>
                <w:color w:val="FFFFFF"/>
                <w:sz w:val="18"/>
                <w:szCs w:val="18"/>
              </w:rPr>
              <w:br/>
              <w:t>($1000)</w:t>
            </w:r>
          </w:p>
        </w:tc>
        <w:tc>
          <w:tcPr>
            <w:tcW w:w="1170"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63130A">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TRC Benefit-Cost Ratio</w:t>
            </w:r>
          </w:p>
        </w:tc>
        <w:tc>
          <w:tcPr>
            <w:tcW w:w="900"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63130A">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Discount Rate</w:t>
            </w:r>
          </w:p>
        </w:tc>
        <w:tc>
          <w:tcPr>
            <w:tcW w:w="990"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63130A">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Energy Line Loss Factor</w:t>
            </w:r>
          </w:p>
        </w:tc>
        <w:tc>
          <w:tcPr>
            <w:tcW w:w="1620"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63130A">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Demand Line Loss Factor</w:t>
            </w:r>
          </w:p>
        </w:tc>
      </w:tr>
      <w:tr w:rsidR="000C1E59" w:rsidRPr="00B75B77" w:rsidTr="00F94CBE">
        <w:trPr>
          <w:divId w:val="1527595929"/>
          <w:trHeight w:val="300"/>
        </w:trPr>
        <w:tc>
          <w:tcPr>
            <w:tcW w:w="2160"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Appliance Recycling</w:t>
            </w:r>
          </w:p>
        </w:tc>
        <w:tc>
          <w:tcPr>
            <w:tcW w:w="144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17,471</w:t>
            </w:r>
          </w:p>
        </w:tc>
        <w:tc>
          <w:tcPr>
            <w:tcW w:w="126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4,101</w:t>
            </w:r>
          </w:p>
        </w:tc>
        <w:tc>
          <w:tcPr>
            <w:tcW w:w="11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4.26</w:t>
            </w:r>
          </w:p>
        </w:tc>
        <w:tc>
          <w:tcPr>
            <w:tcW w:w="90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7.6%</w:t>
            </w:r>
          </w:p>
        </w:tc>
        <w:tc>
          <w:tcPr>
            <w:tcW w:w="99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1.0760</w:t>
            </w:r>
          </w:p>
        </w:tc>
        <w:tc>
          <w:tcPr>
            <w:tcW w:w="162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1.1916</w:t>
            </w:r>
          </w:p>
        </w:tc>
      </w:tr>
      <w:tr w:rsidR="000C1E59" w:rsidRPr="00B75B77" w:rsidTr="00F94CBE">
        <w:trPr>
          <w:divId w:val="1527595929"/>
          <w:trHeight w:val="300"/>
        </w:trPr>
        <w:tc>
          <w:tcPr>
            <w:tcW w:w="2160"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Builder Rebates</w:t>
            </w:r>
          </w:p>
        </w:tc>
        <w:tc>
          <w:tcPr>
            <w:tcW w:w="144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698</w:t>
            </w:r>
          </w:p>
        </w:tc>
        <w:tc>
          <w:tcPr>
            <w:tcW w:w="126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1,736</w:t>
            </w:r>
          </w:p>
        </w:tc>
        <w:tc>
          <w:tcPr>
            <w:tcW w:w="11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0.40</w:t>
            </w:r>
          </w:p>
        </w:tc>
        <w:tc>
          <w:tcPr>
            <w:tcW w:w="90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7.6%</w:t>
            </w:r>
          </w:p>
        </w:tc>
        <w:tc>
          <w:tcPr>
            <w:tcW w:w="99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1.0760</w:t>
            </w:r>
          </w:p>
        </w:tc>
        <w:tc>
          <w:tcPr>
            <w:tcW w:w="162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1.1916</w:t>
            </w:r>
          </w:p>
        </w:tc>
      </w:tr>
      <w:tr w:rsidR="000C1E59" w:rsidRPr="00B75B77" w:rsidTr="00F94CBE">
        <w:trPr>
          <w:divId w:val="1527595929"/>
          <w:trHeight w:val="300"/>
        </w:trPr>
        <w:tc>
          <w:tcPr>
            <w:tcW w:w="2160"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Energy Saver</w:t>
            </w:r>
          </w:p>
        </w:tc>
        <w:tc>
          <w:tcPr>
            <w:tcW w:w="144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5,327</w:t>
            </w:r>
          </w:p>
        </w:tc>
        <w:tc>
          <w:tcPr>
            <w:tcW w:w="126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1,351</w:t>
            </w:r>
          </w:p>
        </w:tc>
        <w:tc>
          <w:tcPr>
            <w:tcW w:w="11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3.94</w:t>
            </w:r>
          </w:p>
        </w:tc>
        <w:tc>
          <w:tcPr>
            <w:tcW w:w="90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7.6%</w:t>
            </w:r>
          </w:p>
        </w:tc>
        <w:tc>
          <w:tcPr>
            <w:tcW w:w="99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1.0760</w:t>
            </w:r>
          </w:p>
        </w:tc>
        <w:tc>
          <w:tcPr>
            <w:tcW w:w="162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1.1916</w:t>
            </w:r>
          </w:p>
        </w:tc>
      </w:tr>
      <w:tr w:rsidR="000C1E59" w:rsidRPr="00B75B77" w:rsidTr="00F94CBE">
        <w:trPr>
          <w:divId w:val="1527595929"/>
          <w:trHeight w:val="300"/>
        </w:trPr>
        <w:tc>
          <w:tcPr>
            <w:tcW w:w="2160"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Home Rebates</w:t>
            </w:r>
          </w:p>
        </w:tc>
        <w:tc>
          <w:tcPr>
            <w:tcW w:w="144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362,999</w:t>
            </w:r>
          </w:p>
        </w:tc>
        <w:tc>
          <w:tcPr>
            <w:tcW w:w="126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162,126</w:t>
            </w:r>
          </w:p>
        </w:tc>
        <w:tc>
          <w:tcPr>
            <w:tcW w:w="11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2.24</w:t>
            </w:r>
          </w:p>
        </w:tc>
        <w:tc>
          <w:tcPr>
            <w:tcW w:w="90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7.6%</w:t>
            </w:r>
          </w:p>
        </w:tc>
        <w:tc>
          <w:tcPr>
            <w:tcW w:w="99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1.0760</w:t>
            </w:r>
          </w:p>
        </w:tc>
        <w:tc>
          <w:tcPr>
            <w:tcW w:w="162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Res = 1.1916; C&amp;I = 1.111; GNI = 1.117</w:t>
            </w:r>
          </w:p>
        </w:tc>
      </w:tr>
      <w:tr w:rsidR="000C1E59" w:rsidRPr="00B75B77" w:rsidTr="00F94CBE">
        <w:trPr>
          <w:divId w:val="1527595929"/>
          <w:trHeight w:val="300"/>
        </w:trPr>
        <w:tc>
          <w:tcPr>
            <w:tcW w:w="2160"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House Call</w:t>
            </w:r>
          </w:p>
        </w:tc>
        <w:tc>
          <w:tcPr>
            <w:tcW w:w="144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10,622</w:t>
            </w:r>
          </w:p>
        </w:tc>
        <w:tc>
          <w:tcPr>
            <w:tcW w:w="126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14,686</w:t>
            </w:r>
          </w:p>
        </w:tc>
        <w:tc>
          <w:tcPr>
            <w:tcW w:w="11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0.72</w:t>
            </w:r>
          </w:p>
        </w:tc>
        <w:tc>
          <w:tcPr>
            <w:tcW w:w="90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7.6%</w:t>
            </w:r>
          </w:p>
        </w:tc>
        <w:tc>
          <w:tcPr>
            <w:tcW w:w="99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1.0760</w:t>
            </w:r>
          </w:p>
        </w:tc>
        <w:tc>
          <w:tcPr>
            <w:tcW w:w="162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1.1916</w:t>
            </w:r>
          </w:p>
        </w:tc>
      </w:tr>
      <w:tr w:rsidR="000C1E59" w:rsidRPr="00B75B77" w:rsidTr="00F94CBE">
        <w:trPr>
          <w:divId w:val="1527595929"/>
          <w:trHeight w:val="300"/>
        </w:trPr>
        <w:tc>
          <w:tcPr>
            <w:tcW w:w="2160"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Multi-Family Solutions</w:t>
            </w:r>
          </w:p>
        </w:tc>
        <w:tc>
          <w:tcPr>
            <w:tcW w:w="144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9,358</w:t>
            </w:r>
          </w:p>
        </w:tc>
        <w:tc>
          <w:tcPr>
            <w:tcW w:w="126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6,141</w:t>
            </w:r>
          </w:p>
        </w:tc>
        <w:tc>
          <w:tcPr>
            <w:tcW w:w="11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1.52</w:t>
            </w:r>
          </w:p>
        </w:tc>
        <w:tc>
          <w:tcPr>
            <w:tcW w:w="90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7.6%</w:t>
            </w:r>
          </w:p>
        </w:tc>
        <w:tc>
          <w:tcPr>
            <w:tcW w:w="99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1.0760</w:t>
            </w:r>
          </w:p>
        </w:tc>
        <w:tc>
          <w:tcPr>
            <w:tcW w:w="162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Res = 1.1916; C&amp;I = 1.111; GNI = 1.117</w:t>
            </w:r>
          </w:p>
        </w:tc>
      </w:tr>
      <w:tr w:rsidR="000C1E59" w:rsidRPr="00B75B77" w:rsidTr="00F94CBE">
        <w:trPr>
          <w:divId w:val="1527595929"/>
          <w:trHeight w:val="300"/>
        </w:trPr>
        <w:tc>
          <w:tcPr>
            <w:tcW w:w="2160"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Usage Profile</w:t>
            </w:r>
          </w:p>
        </w:tc>
        <w:tc>
          <w:tcPr>
            <w:tcW w:w="144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4,143</w:t>
            </w:r>
          </w:p>
        </w:tc>
        <w:tc>
          <w:tcPr>
            <w:tcW w:w="126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2,903</w:t>
            </w:r>
          </w:p>
        </w:tc>
        <w:tc>
          <w:tcPr>
            <w:tcW w:w="11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1.43</w:t>
            </w:r>
          </w:p>
        </w:tc>
        <w:tc>
          <w:tcPr>
            <w:tcW w:w="90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7.6%</w:t>
            </w:r>
          </w:p>
        </w:tc>
        <w:tc>
          <w:tcPr>
            <w:tcW w:w="99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1.0760</w:t>
            </w:r>
          </w:p>
        </w:tc>
        <w:tc>
          <w:tcPr>
            <w:tcW w:w="162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1.1916</w:t>
            </w:r>
          </w:p>
        </w:tc>
      </w:tr>
      <w:tr w:rsidR="000C1E59" w:rsidRPr="00B75B77" w:rsidTr="00F94CBE">
        <w:trPr>
          <w:divId w:val="1527595929"/>
          <w:trHeight w:val="300"/>
        </w:trPr>
        <w:tc>
          <w:tcPr>
            <w:tcW w:w="2160"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Low-Income Energy Efficiency</w:t>
            </w:r>
          </w:p>
        </w:tc>
        <w:tc>
          <w:tcPr>
            <w:tcW w:w="144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36,409</w:t>
            </w:r>
          </w:p>
        </w:tc>
        <w:tc>
          <w:tcPr>
            <w:tcW w:w="126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23,453</w:t>
            </w:r>
          </w:p>
        </w:tc>
        <w:tc>
          <w:tcPr>
            <w:tcW w:w="11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1.55</w:t>
            </w:r>
          </w:p>
        </w:tc>
        <w:tc>
          <w:tcPr>
            <w:tcW w:w="90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7.6%</w:t>
            </w:r>
          </w:p>
        </w:tc>
        <w:tc>
          <w:tcPr>
            <w:tcW w:w="99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1.0760</w:t>
            </w:r>
          </w:p>
        </w:tc>
        <w:tc>
          <w:tcPr>
            <w:tcW w:w="162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1.1916</w:t>
            </w:r>
          </w:p>
        </w:tc>
      </w:tr>
      <w:tr w:rsidR="000C1E59" w:rsidRPr="00B75B77" w:rsidTr="00F94CBE">
        <w:trPr>
          <w:divId w:val="1527595929"/>
          <w:trHeight w:val="300"/>
        </w:trPr>
        <w:tc>
          <w:tcPr>
            <w:tcW w:w="2160"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Residential Smart AC Saver</w:t>
            </w:r>
          </w:p>
        </w:tc>
        <w:tc>
          <w:tcPr>
            <w:tcW w:w="144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57,316</w:t>
            </w:r>
          </w:p>
        </w:tc>
        <w:tc>
          <w:tcPr>
            <w:tcW w:w="126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20,598</w:t>
            </w:r>
          </w:p>
        </w:tc>
        <w:tc>
          <w:tcPr>
            <w:tcW w:w="11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2.78</w:t>
            </w:r>
          </w:p>
        </w:tc>
        <w:tc>
          <w:tcPr>
            <w:tcW w:w="90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7.6%</w:t>
            </w:r>
          </w:p>
        </w:tc>
        <w:tc>
          <w:tcPr>
            <w:tcW w:w="99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1.0760</w:t>
            </w:r>
          </w:p>
        </w:tc>
        <w:tc>
          <w:tcPr>
            <w:tcW w:w="162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1.1916</w:t>
            </w:r>
          </w:p>
        </w:tc>
      </w:tr>
      <w:tr w:rsidR="000C1E59" w:rsidRPr="00B75B77" w:rsidTr="00F94CBE">
        <w:trPr>
          <w:divId w:val="1527595929"/>
          <w:trHeight w:val="300"/>
        </w:trPr>
        <w:tc>
          <w:tcPr>
            <w:tcW w:w="2160"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Business Solutions</w:t>
            </w:r>
          </w:p>
        </w:tc>
        <w:tc>
          <w:tcPr>
            <w:tcW w:w="144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23,417</w:t>
            </w:r>
          </w:p>
        </w:tc>
        <w:tc>
          <w:tcPr>
            <w:tcW w:w="126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12,706</w:t>
            </w:r>
          </w:p>
        </w:tc>
        <w:tc>
          <w:tcPr>
            <w:tcW w:w="11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1.84</w:t>
            </w:r>
          </w:p>
        </w:tc>
        <w:tc>
          <w:tcPr>
            <w:tcW w:w="90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7.6%</w:t>
            </w:r>
          </w:p>
        </w:tc>
        <w:tc>
          <w:tcPr>
            <w:tcW w:w="99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1.0760</w:t>
            </w:r>
          </w:p>
        </w:tc>
        <w:tc>
          <w:tcPr>
            <w:tcW w:w="162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C&amp;I = 1.111; GNI = 1.117</w:t>
            </w:r>
          </w:p>
        </w:tc>
      </w:tr>
      <w:tr w:rsidR="000C1E59" w:rsidRPr="00B75B77" w:rsidTr="00F94CBE">
        <w:trPr>
          <w:divId w:val="1527595929"/>
          <w:trHeight w:val="300"/>
        </w:trPr>
        <w:tc>
          <w:tcPr>
            <w:tcW w:w="2160"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Construction Incentives</w:t>
            </w:r>
          </w:p>
        </w:tc>
        <w:tc>
          <w:tcPr>
            <w:tcW w:w="144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34,335</w:t>
            </w:r>
          </w:p>
        </w:tc>
        <w:tc>
          <w:tcPr>
            <w:tcW w:w="126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24,563</w:t>
            </w:r>
          </w:p>
        </w:tc>
        <w:tc>
          <w:tcPr>
            <w:tcW w:w="11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1.40</w:t>
            </w:r>
          </w:p>
        </w:tc>
        <w:tc>
          <w:tcPr>
            <w:tcW w:w="90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7.6%</w:t>
            </w:r>
          </w:p>
        </w:tc>
        <w:tc>
          <w:tcPr>
            <w:tcW w:w="99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1.0760</w:t>
            </w:r>
          </w:p>
        </w:tc>
        <w:tc>
          <w:tcPr>
            <w:tcW w:w="162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C&amp;I = 1.111; GNI = 1.117</w:t>
            </w:r>
          </w:p>
        </w:tc>
      </w:tr>
      <w:tr w:rsidR="000C1E59" w:rsidRPr="00B75B77" w:rsidTr="00F94CBE">
        <w:trPr>
          <w:divId w:val="1527595929"/>
          <w:trHeight w:val="300"/>
        </w:trPr>
        <w:tc>
          <w:tcPr>
            <w:tcW w:w="2160"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Equipment Incentives - C&amp;I</w:t>
            </w:r>
          </w:p>
        </w:tc>
        <w:tc>
          <w:tcPr>
            <w:tcW w:w="144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183,550</w:t>
            </w:r>
          </w:p>
        </w:tc>
        <w:tc>
          <w:tcPr>
            <w:tcW w:w="126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71,881</w:t>
            </w:r>
          </w:p>
        </w:tc>
        <w:tc>
          <w:tcPr>
            <w:tcW w:w="11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2.55</w:t>
            </w:r>
          </w:p>
        </w:tc>
        <w:tc>
          <w:tcPr>
            <w:tcW w:w="90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7.6%</w:t>
            </w:r>
          </w:p>
        </w:tc>
        <w:tc>
          <w:tcPr>
            <w:tcW w:w="99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1.0760</w:t>
            </w:r>
          </w:p>
        </w:tc>
        <w:tc>
          <w:tcPr>
            <w:tcW w:w="162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1.1110</w:t>
            </w:r>
          </w:p>
        </w:tc>
      </w:tr>
      <w:tr w:rsidR="000C1E59" w:rsidRPr="00B75B77" w:rsidTr="00F94CBE">
        <w:trPr>
          <w:divId w:val="1527595929"/>
          <w:trHeight w:val="300"/>
        </w:trPr>
        <w:tc>
          <w:tcPr>
            <w:tcW w:w="2160"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Equipment Incentives - GNI</w:t>
            </w:r>
          </w:p>
        </w:tc>
        <w:tc>
          <w:tcPr>
            <w:tcW w:w="144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B756AA">
            <w:pPr>
              <w:keepNext/>
              <w:jc w:val="center"/>
              <w:rPr>
                <w:rFonts w:ascii="Calibri" w:eastAsia="Times New Roman" w:hAnsi="Calibri"/>
                <w:color w:val="000000"/>
                <w:sz w:val="18"/>
                <w:szCs w:val="18"/>
              </w:rPr>
            </w:pPr>
            <w:r w:rsidRPr="00B75B77">
              <w:rPr>
                <w:sz w:val="18"/>
                <w:szCs w:val="18"/>
              </w:rPr>
              <w:t>9</w:t>
            </w:r>
            <w:r w:rsidR="00B756AA" w:rsidRPr="00B75B77">
              <w:rPr>
                <w:sz w:val="18"/>
                <w:szCs w:val="18"/>
              </w:rPr>
              <w:t>4,697</w:t>
            </w:r>
          </w:p>
        </w:tc>
        <w:tc>
          <w:tcPr>
            <w:tcW w:w="126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43,048</w:t>
            </w:r>
          </w:p>
        </w:tc>
        <w:tc>
          <w:tcPr>
            <w:tcW w:w="11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2.2</w:t>
            </w:r>
            <w:r w:rsidR="00896E4A" w:rsidRPr="00B75B77">
              <w:rPr>
                <w:sz w:val="18"/>
                <w:szCs w:val="18"/>
              </w:rPr>
              <w:t>0</w:t>
            </w:r>
          </w:p>
        </w:tc>
        <w:tc>
          <w:tcPr>
            <w:tcW w:w="90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7.6%</w:t>
            </w:r>
          </w:p>
        </w:tc>
        <w:tc>
          <w:tcPr>
            <w:tcW w:w="99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1.0760</w:t>
            </w:r>
          </w:p>
        </w:tc>
        <w:tc>
          <w:tcPr>
            <w:tcW w:w="162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1.1170</w:t>
            </w:r>
          </w:p>
        </w:tc>
      </w:tr>
      <w:tr w:rsidR="000C1E59" w:rsidRPr="00B75B77" w:rsidTr="00F94CBE">
        <w:trPr>
          <w:divId w:val="1527595929"/>
          <w:trHeight w:val="300"/>
        </w:trPr>
        <w:tc>
          <w:tcPr>
            <w:tcW w:w="2160"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On-Site</w:t>
            </w:r>
          </w:p>
        </w:tc>
        <w:tc>
          <w:tcPr>
            <w:tcW w:w="144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6</w:t>
            </w:r>
            <w:r w:rsidR="00B756AA" w:rsidRPr="00B75B77">
              <w:rPr>
                <w:sz w:val="18"/>
                <w:szCs w:val="18"/>
              </w:rPr>
              <w:t>5,384</w:t>
            </w:r>
          </w:p>
        </w:tc>
        <w:tc>
          <w:tcPr>
            <w:tcW w:w="126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93,699</w:t>
            </w:r>
          </w:p>
        </w:tc>
        <w:tc>
          <w:tcPr>
            <w:tcW w:w="11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0.7</w:t>
            </w:r>
            <w:r w:rsidR="00896E4A" w:rsidRPr="00B75B77">
              <w:rPr>
                <w:sz w:val="18"/>
                <w:szCs w:val="18"/>
              </w:rPr>
              <w:t>0</w:t>
            </w:r>
          </w:p>
        </w:tc>
        <w:tc>
          <w:tcPr>
            <w:tcW w:w="90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7.6%</w:t>
            </w:r>
          </w:p>
        </w:tc>
        <w:tc>
          <w:tcPr>
            <w:tcW w:w="99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1.0760</w:t>
            </w:r>
          </w:p>
        </w:tc>
        <w:tc>
          <w:tcPr>
            <w:tcW w:w="162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C&amp;I = 1.111; GNI = 1.117</w:t>
            </w:r>
          </w:p>
        </w:tc>
      </w:tr>
      <w:tr w:rsidR="000C1E59" w:rsidRPr="00B75B77" w:rsidTr="00F94CBE">
        <w:trPr>
          <w:divId w:val="1527595929"/>
          <w:trHeight w:val="300"/>
        </w:trPr>
        <w:tc>
          <w:tcPr>
            <w:tcW w:w="2160"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Commercial Smart AC Saver</w:t>
            </w:r>
          </w:p>
        </w:tc>
        <w:tc>
          <w:tcPr>
            <w:tcW w:w="144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988</w:t>
            </w:r>
          </w:p>
        </w:tc>
        <w:tc>
          <w:tcPr>
            <w:tcW w:w="126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932</w:t>
            </w:r>
          </w:p>
        </w:tc>
        <w:tc>
          <w:tcPr>
            <w:tcW w:w="11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1.06</w:t>
            </w:r>
          </w:p>
        </w:tc>
        <w:tc>
          <w:tcPr>
            <w:tcW w:w="90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7.6%</w:t>
            </w:r>
          </w:p>
        </w:tc>
        <w:tc>
          <w:tcPr>
            <w:tcW w:w="99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1.0760</w:t>
            </w:r>
          </w:p>
        </w:tc>
        <w:tc>
          <w:tcPr>
            <w:tcW w:w="162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1.1916</w:t>
            </w:r>
          </w:p>
        </w:tc>
      </w:tr>
      <w:tr w:rsidR="000C1E59" w:rsidRPr="00B75B77" w:rsidTr="00F94CBE">
        <w:trPr>
          <w:divId w:val="1527595929"/>
          <w:trHeight w:val="300"/>
        </w:trPr>
        <w:tc>
          <w:tcPr>
            <w:tcW w:w="2160"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63130A">
            <w:pPr>
              <w:keepNext/>
              <w:jc w:val="left"/>
              <w:rPr>
                <w:rFonts w:ascii="Calibri" w:eastAsia="Times New Roman" w:hAnsi="Calibri"/>
                <w:b/>
                <w:bCs/>
                <w:color w:val="000000"/>
                <w:sz w:val="18"/>
                <w:szCs w:val="18"/>
              </w:rPr>
            </w:pPr>
            <w:r w:rsidRPr="00B75B77">
              <w:rPr>
                <w:rFonts w:ascii="Calibri" w:eastAsia="Times New Roman" w:hAnsi="Calibri"/>
                <w:b/>
                <w:bCs/>
                <w:color w:val="000000"/>
                <w:sz w:val="18"/>
                <w:szCs w:val="18"/>
              </w:rPr>
              <w:t>TOTAL</w:t>
            </w:r>
          </w:p>
        </w:tc>
        <w:tc>
          <w:tcPr>
            <w:tcW w:w="144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b/>
                <w:color w:val="000000"/>
                <w:sz w:val="18"/>
                <w:szCs w:val="18"/>
              </w:rPr>
            </w:pPr>
            <w:r w:rsidRPr="00B75B77">
              <w:rPr>
                <w:b/>
                <w:sz w:val="18"/>
                <w:szCs w:val="18"/>
              </w:rPr>
              <w:t>9</w:t>
            </w:r>
            <w:r w:rsidR="00B756AA" w:rsidRPr="00B75B77">
              <w:rPr>
                <w:b/>
                <w:sz w:val="18"/>
                <w:szCs w:val="18"/>
              </w:rPr>
              <w:t>06,714</w:t>
            </w:r>
          </w:p>
        </w:tc>
        <w:tc>
          <w:tcPr>
            <w:tcW w:w="126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b/>
                <w:bCs/>
                <w:color w:val="000000"/>
                <w:sz w:val="18"/>
                <w:szCs w:val="18"/>
              </w:rPr>
            </w:pPr>
            <w:r w:rsidRPr="00B75B77">
              <w:rPr>
                <w:b/>
                <w:sz w:val="18"/>
                <w:szCs w:val="18"/>
              </w:rPr>
              <w:t>516,392</w:t>
            </w:r>
          </w:p>
        </w:tc>
        <w:tc>
          <w:tcPr>
            <w:tcW w:w="11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b/>
                <w:bCs/>
                <w:color w:val="000000"/>
                <w:sz w:val="18"/>
                <w:szCs w:val="18"/>
              </w:rPr>
            </w:pPr>
            <w:r w:rsidRPr="00B75B77">
              <w:rPr>
                <w:b/>
                <w:sz w:val="18"/>
                <w:szCs w:val="18"/>
              </w:rPr>
              <w:t>1.76</w:t>
            </w:r>
          </w:p>
        </w:tc>
        <w:tc>
          <w:tcPr>
            <w:tcW w:w="90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b/>
                <w:color w:val="000000"/>
                <w:sz w:val="18"/>
                <w:szCs w:val="18"/>
              </w:rPr>
            </w:pPr>
            <w:r w:rsidRPr="00B75B77">
              <w:rPr>
                <w:b/>
                <w:sz w:val="18"/>
                <w:szCs w:val="18"/>
              </w:rPr>
              <w:t>7.6%</w:t>
            </w:r>
          </w:p>
        </w:tc>
        <w:tc>
          <w:tcPr>
            <w:tcW w:w="99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b/>
                <w:color w:val="000000"/>
                <w:sz w:val="18"/>
                <w:szCs w:val="18"/>
              </w:rPr>
            </w:pPr>
            <w:r w:rsidRPr="00B75B77">
              <w:rPr>
                <w:b/>
                <w:sz w:val="18"/>
                <w:szCs w:val="18"/>
              </w:rPr>
              <w:t>1.0760</w:t>
            </w:r>
          </w:p>
        </w:tc>
        <w:tc>
          <w:tcPr>
            <w:tcW w:w="162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b/>
                <w:color w:val="000000"/>
                <w:sz w:val="18"/>
                <w:szCs w:val="18"/>
              </w:rPr>
            </w:pPr>
            <w:r w:rsidRPr="00B75B77">
              <w:rPr>
                <w:b/>
                <w:sz w:val="18"/>
                <w:szCs w:val="18"/>
              </w:rPr>
              <w:t>Res = 1.1916; C&amp;I = 1.111; GNI = 1.117</w:t>
            </w:r>
          </w:p>
        </w:tc>
      </w:tr>
    </w:tbl>
    <w:p w:rsidR="000C1E59" w:rsidRPr="00B75B77" w:rsidRDefault="000C1E59" w:rsidP="0063130A">
      <w:pPr>
        <w:pStyle w:val="Source"/>
        <w:keepNext/>
        <w:spacing w:before="20" w:after="20"/>
        <w:ind w:left="187" w:firstLine="0"/>
        <w:rPr>
          <w:rStyle w:val="Strong"/>
          <w:b w:val="0"/>
          <w:bCs w:val="0"/>
          <w:i w:val="0"/>
        </w:rPr>
      </w:pPr>
      <w:r w:rsidRPr="00B75B77">
        <w:rPr>
          <w:rStyle w:val="Strong"/>
          <w:b w:val="0"/>
          <w:bCs w:val="0"/>
          <w:i w:val="0"/>
        </w:rPr>
        <w:t xml:space="preserve">Note: </w:t>
      </w:r>
      <w:r w:rsidRPr="00B75B77">
        <w:rPr>
          <w:rFonts w:ascii="Calibri" w:hAnsi="Calibri"/>
          <w:i w:val="0"/>
          <w:iCs/>
          <w:color w:val="000000"/>
          <w:szCs w:val="18"/>
        </w:rPr>
        <w:t>Values in tables may not reconcile exactly with the sum of more detailed level results or previously reported results due to rounding.</w:t>
      </w:r>
    </w:p>
    <w:p w:rsidR="000C1E59" w:rsidRPr="00B75B77" w:rsidRDefault="000C1E59" w:rsidP="0063130A">
      <w:pPr>
        <w:pStyle w:val="Source"/>
        <w:keepNext/>
      </w:pPr>
      <w:r w:rsidRPr="00B75B77">
        <w:rPr>
          <w:rStyle w:val="Strong"/>
          <w:b w:val="0"/>
          <w:bCs w:val="0"/>
        </w:rPr>
        <w:t>Source: Navigant analysis</w:t>
      </w:r>
    </w:p>
    <w:p w:rsidR="000C1E59" w:rsidRPr="00B75B77" w:rsidRDefault="0045027C" w:rsidP="00E4391A">
      <w:r w:rsidRPr="00B75B77">
        <w:t xml:space="preserve">The portfolio TRC ratio of 1.76 for Phase II exceeded the TRC </w:t>
      </w:r>
      <w:r w:rsidR="00BA26B9" w:rsidRPr="00B75B77">
        <w:t>ratio</w:t>
      </w:r>
      <w:r w:rsidRPr="00B75B77">
        <w:t xml:space="preserve"> of 1.5 set forth in the EE&amp;C plan. </w:t>
      </w:r>
      <w:r w:rsidR="00A15C7D" w:rsidRPr="00B75B77">
        <w:t>T</w:t>
      </w:r>
      <w:r w:rsidRPr="00B75B77">
        <w:t>otal TRC benefits and TRC costs exceeded planned values by 8</w:t>
      </w:r>
      <w:r w:rsidR="00896E4A" w:rsidRPr="00B75B77">
        <w:t>0</w:t>
      </w:r>
      <w:r w:rsidRPr="00B75B77">
        <w:t xml:space="preserve"> percent and 58 percent, respectively.</w:t>
      </w:r>
      <w:r w:rsidR="00E51C4A" w:rsidRPr="00B75B77">
        <w:t xml:space="preserve"> Programs</w:t>
      </w:r>
      <w:r w:rsidR="00A15C7D" w:rsidRPr="00B75B77">
        <w:t xml:space="preserve"> that exceeded their planned TRC value</w:t>
      </w:r>
      <w:r w:rsidR="00E51C4A" w:rsidRPr="00B75B77">
        <w:t>, such as Smart Home Rebates, Smart Usage Profile, Smart Energy Saver, and Smart Equipment Incentives, boosted the overall cost-effectiveness of the portfolio. In contrast, Smart On-Site and Commercial Smart AC Saver fell short of their planned TRC ratios.</w:t>
      </w:r>
    </w:p>
    <w:p w:rsidR="0045027C" w:rsidRPr="00B75B77" w:rsidRDefault="0045027C" w:rsidP="00E4391A">
      <w:bookmarkStart w:id="213" w:name="_Toc453075176"/>
    </w:p>
    <w:p w:rsidR="000C1E59" w:rsidRPr="00B75B77" w:rsidRDefault="000C1E59" w:rsidP="00E4391A">
      <w:pPr>
        <w:pStyle w:val="Heading2"/>
      </w:pPr>
      <w:bookmarkStart w:id="214" w:name="_Toc466413270"/>
      <w:r w:rsidRPr="00B75B77">
        <w:t>Comparison of Phase II Performance to Approved EE&amp;C Plan</w:t>
      </w:r>
      <w:bookmarkEnd w:id="213"/>
      <w:bookmarkEnd w:id="214"/>
    </w:p>
    <w:p w:rsidR="000C1E59" w:rsidRPr="00B75B77" w:rsidRDefault="0063130A" w:rsidP="00E4391A">
      <w:r w:rsidRPr="00B75B77">
        <w:fldChar w:fldCharType="begin"/>
      </w:r>
      <w:r w:rsidRPr="00B75B77">
        <w:instrText xml:space="preserve"> REF _Ref464563701 \h </w:instrText>
      </w:r>
      <w:r w:rsidR="00B75B77">
        <w:instrText xml:space="preserve"> \* MERGEFORMAT </w:instrText>
      </w:r>
      <w:r w:rsidRPr="00B75B77">
        <w:fldChar w:fldCharType="separate"/>
      </w:r>
      <w:r w:rsidR="0004016D" w:rsidRPr="00B75B77">
        <w:t xml:space="preserve">Table </w:t>
      </w:r>
      <w:r w:rsidR="0004016D">
        <w:rPr>
          <w:noProof/>
        </w:rPr>
        <w:t>1</w:t>
      </w:r>
      <w:r w:rsidR="0004016D" w:rsidRPr="00B75B77">
        <w:rPr>
          <w:noProof/>
        </w:rPr>
        <w:noBreakHyphen/>
      </w:r>
      <w:r w:rsidR="0004016D">
        <w:rPr>
          <w:noProof/>
        </w:rPr>
        <w:t>20</w:t>
      </w:r>
      <w:r w:rsidRPr="00B75B77">
        <w:fldChar w:fldCharType="end"/>
      </w:r>
      <w:r w:rsidRPr="00B75B77">
        <w:t xml:space="preserve"> </w:t>
      </w:r>
      <w:r w:rsidR="000C1E59" w:rsidRPr="00B75B77">
        <w:t>shows Phase II expenditures compared to the budget estimates set forth in the EE&amp;C plan.</w:t>
      </w:r>
    </w:p>
    <w:p w:rsidR="0063130A" w:rsidRPr="00B75B77" w:rsidRDefault="0063130A" w:rsidP="00E4391A"/>
    <w:p w:rsidR="000C1E59" w:rsidRPr="00B75B77" w:rsidRDefault="0063130A" w:rsidP="0063130A">
      <w:pPr>
        <w:pStyle w:val="Caption"/>
        <w:rPr>
          <w:rFonts w:ascii="Calibri" w:hAnsi="Calibri"/>
        </w:rPr>
      </w:pPr>
      <w:bookmarkStart w:id="215" w:name="_Ref464563701"/>
      <w:bookmarkStart w:id="216" w:name="_Ref449104247"/>
      <w:bookmarkStart w:id="217" w:name="_Toc453075290"/>
      <w:bookmarkStart w:id="218" w:name="_Toc466413502"/>
      <w:r w:rsidRPr="00B75B77">
        <w:lastRenderedPageBreak/>
        <w:t xml:space="preserve">Table </w:t>
      </w:r>
      <w:fldSimple w:instr=" STYLEREF 1 \s ">
        <w:r w:rsidR="0004016D">
          <w:rPr>
            <w:noProof/>
          </w:rPr>
          <w:t>1</w:t>
        </w:r>
      </w:fldSimple>
      <w:r w:rsidRPr="00B75B77">
        <w:noBreakHyphen/>
      </w:r>
      <w:fldSimple w:instr=" SEQ Table \* ARABIC \s 1 ">
        <w:r w:rsidR="0004016D">
          <w:rPr>
            <w:noProof/>
          </w:rPr>
          <w:t>20</w:t>
        </w:r>
      </w:fldSimple>
      <w:bookmarkEnd w:id="215"/>
      <w:r w:rsidRPr="00B75B77">
        <w:t xml:space="preserve">: </w:t>
      </w:r>
      <w:bookmarkEnd w:id="216"/>
      <w:r w:rsidR="000C1E59" w:rsidRPr="00B75B77">
        <w:t>Comparison of Phase II Program Expenditures to Phase II EE&amp;C Plan</w:t>
      </w:r>
      <w:bookmarkEnd w:id="217"/>
      <w:bookmarkEnd w:id="218"/>
    </w:p>
    <w:tbl>
      <w:tblPr>
        <w:tblW w:w="8730" w:type="dxa"/>
        <w:jc w:val="center"/>
        <w:tblLook w:val="04A0" w:firstRow="1" w:lastRow="0" w:firstColumn="1" w:lastColumn="0" w:noHBand="0" w:noVBand="1"/>
      </w:tblPr>
      <w:tblGrid>
        <w:gridCol w:w="3140"/>
        <w:gridCol w:w="1625"/>
        <w:gridCol w:w="1585"/>
        <w:gridCol w:w="2380"/>
      </w:tblGrid>
      <w:tr w:rsidR="000C1E59" w:rsidRPr="00B75B77" w:rsidTr="0063130A">
        <w:trPr>
          <w:divId w:val="1030105965"/>
          <w:trHeight w:val="720"/>
          <w:jc w:val="center"/>
        </w:trPr>
        <w:tc>
          <w:tcPr>
            <w:tcW w:w="3140" w:type="dxa"/>
            <w:tcBorders>
              <w:top w:val="single" w:sz="4" w:space="0" w:color="auto"/>
              <w:left w:val="single" w:sz="4" w:space="0" w:color="auto"/>
              <w:bottom w:val="single" w:sz="4" w:space="0" w:color="auto"/>
              <w:right w:val="single" w:sz="4" w:space="0" w:color="auto"/>
            </w:tcBorders>
            <w:shd w:val="clear" w:color="000000" w:fill="448A99"/>
            <w:vAlign w:val="center"/>
            <w:hideMark/>
          </w:tcPr>
          <w:p w:rsidR="000C1E59" w:rsidRPr="00B75B77" w:rsidRDefault="000C1E59" w:rsidP="0063130A">
            <w:pPr>
              <w:keepNext/>
              <w:rPr>
                <w:rFonts w:ascii="Calibri" w:eastAsia="Times New Roman" w:hAnsi="Calibri"/>
                <w:b/>
                <w:bCs/>
                <w:color w:val="FFFFFF"/>
                <w:sz w:val="18"/>
                <w:szCs w:val="18"/>
              </w:rPr>
            </w:pPr>
            <w:r w:rsidRPr="00B75B77">
              <w:rPr>
                <w:rFonts w:ascii="Calibri" w:eastAsia="Times New Roman" w:hAnsi="Calibri"/>
                <w:b/>
                <w:bCs/>
                <w:color w:val="FFFFFF"/>
                <w:sz w:val="18"/>
                <w:szCs w:val="18"/>
              </w:rPr>
              <w:t>Program</w:t>
            </w:r>
          </w:p>
        </w:tc>
        <w:tc>
          <w:tcPr>
            <w:tcW w:w="1625"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63130A">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Phase II Budget from EE&amp;C Plan</w:t>
            </w:r>
          </w:p>
        </w:tc>
        <w:tc>
          <w:tcPr>
            <w:tcW w:w="1585"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63130A">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Phase II Actual Expenditures</w:t>
            </w:r>
          </w:p>
        </w:tc>
        <w:tc>
          <w:tcPr>
            <w:tcW w:w="2380"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63130A">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Difference from Phase II EE&amp;C Plan</w:t>
            </w:r>
            <w:r w:rsidRPr="00B75B77">
              <w:rPr>
                <w:rFonts w:ascii="Calibri" w:eastAsia="Times New Roman" w:hAnsi="Calibri"/>
                <w:b/>
                <w:bCs/>
                <w:color w:val="FFFFFF"/>
                <w:sz w:val="18"/>
                <w:szCs w:val="18"/>
              </w:rPr>
              <w:br/>
              <w:t>[(Planned - Actual)/Planned]</w:t>
            </w:r>
          </w:p>
        </w:tc>
      </w:tr>
      <w:tr w:rsidR="000C1E59" w:rsidRPr="00B75B77" w:rsidTr="0063130A">
        <w:trPr>
          <w:divId w:val="1030105965"/>
          <w:trHeight w:val="300"/>
          <w:jc w:val="center"/>
        </w:trPr>
        <w:tc>
          <w:tcPr>
            <w:tcW w:w="3140"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Appliance Recycling</w:t>
            </w:r>
          </w:p>
        </w:tc>
        <w:tc>
          <w:tcPr>
            <w:tcW w:w="1625"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$5,001,431</w:t>
            </w:r>
          </w:p>
        </w:tc>
        <w:tc>
          <w:tcPr>
            <w:tcW w:w="1585"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$4,086,165</w:t>
            </w:r>
          </w:p>
        </w:tc>
        <w:tc>
          <w:tcPr>
            <w:tcW w:w="238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18%</w:t>
            </w:r>
          </w:p>
        </w:tc>
      </w:tr>
      <w:tr w:rsidR="000C1E59" w:rsidRPr="00B75B77" w:rsidTr="0063130A">
        <w:trPr>
          <w:divId w:val="1030105965"/>
          <w:trHeight w:val="300"/>
          <w:jc w:val="center"/>
        </w:trPr>
        <w:tc>
          <w:tcPr>
            <w:tcW w:w="3140"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Builder Rebates</w:t>
            </w:r>
          </w:p>
        </w:tc>
        <w:tc>
          <w:tcPr>
            <w:tcW w:w="1625"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$1,710,536</w:t>
            </w:r>
          </w:p>
        </w:tc>
        <w:tc>
          <w:tcPr>
            <w:tcW w:w="1585"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$1,212,801</w:t>
            </w:r>
          </w:p>
        </w:tc>
        <w:tc>
          <w:tcPr>
            <w:tcW w:w="238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29%</w:t>
            </w:r>
          </w:p>
        </w:tc>
      </w:tr>
      <w:tr w:rsidR="000C1E59" w:rsidRPr="00B75B77" w:rsidTr="0063130A">
        <w:trPr>
          <w:divId w:val="1030105965"/>
          <w:trHeight w:val="300"/>
          <w:jc w:val="center"/>
        </w:trPr>
        <w:tc>
          <w:tcPr>
            <w:tcW w:w="3140"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Energy Saver</w:t>
            </w:r>
          </w:p>
        </w:tc>
        <w:tc>
          <w:tcPr>
            <w:tcW w:w="1625"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$1,363,555</w:t>
            </w:r>
          </w:p>
        </w:tc>
        <w:tc>
          <w:tcPr>
            <w:tcW w:w="1585"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$1,350,865</w:t>
            </w:r>
          </w:p>
        </w:tc>
        <w:tc>
          <w:tcPr>
            <w:tcW w:w="238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w:t>
            </w:r>
          </w:p>
        </w:tc>
      </w:tr>
      <w:tr w:rsidR="000C1E59" w:rsidRPr="00B75B77" w:rsidTr="0063130A">
        <w:trPr>
          <w:divId w:val="1030105965"/>
          <w:trHeight w:val="300"/>
          <w:jc w:val="center"/>
        </w:trPr>
        <w:tc>
          <w:tcPr>
            <w:tcW w:w="3140"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Home Rebates</w:t>
            </w:r>
          </w:p>
        </w:tc>
        <w:tc>
          <w:tcPr>
            <w:tcW w:w="1625"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$50,865,017</w:t>
            </w:r>
          </w:p>
        </w:tc>
        <w:tc>
          <w:tcPr>
            <w:tcW w:w="1585"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$50,483,467</w:t>
            </w:r>
          </w:p>
        </w:tc>
        <w:tc>
          <w:tcPr>
            <w:tcW w:w="238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w:t>
            </w:r>
          </w:p>
        </w:tc>
      </w:tr>
      <w:tr w:rsidR="000C1E59" w:rsidRPr="00B75B77" w:rsidTr="0063130A">
        <w:trPr>
          <w:divId w:val="1030105965"/>
          <w:trHeight w:val="300"/>
          <w:jc w:val="center"/>
        </w:trPr>
        <w:tc>
          <w:tcPr>
            <w:tcW w:w="3140"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House Call</w:t>
            </w:r>
          </w:p>
        </w:tc>
        <w:tc>
          <w:tcPr>
            <w:tcW w:w="1625"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$16,415,058</w:t>
            </w:r>
          </w:p>
        </w:tc>
        <w:tc>
          <w:tcPr>
            <w:tcW w:w="1585"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$11,923,966</w:t>
            </w:r>
          </w:p>
        </w:tc>
        <w:tc>
          <w:tcPr>
            <w:tcW w:w="238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27%</w:t>
            </w:r>
          </w:p>
        </w:tc>
      </w:tr>
      <w:tr w:rsidR="000C1E59" w:rsidRPr="00B75B77" w:rsidTr="0063130A">
        <w:trPr>
          <w:divId w:val="1030105965"/>
          <w:trHeight w:val="300"/>
          <w:jc w:val="center"/>
        </w:trPr>
        <w:tc>
          <w:tcPr>
            <w:tcW w:w="3140"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Multi-Family Solutions</w:t>
            </w:r>
          </w:p>
        </w:tc>
        <w:tc>
          <w:tcPr>
            <w:tcW w:w="1625"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$6,738,560</w:t>
            </w:r>
          </w:p>
        </w:tc>
        <w:tc>
          <w:tcPr>
            <w:tcW w:w="1585"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$6,140,800</w:t>
            </w:r>
          </w:p>
        </w:tc>
        <w:tc>
          <w:tcPr>
            <w:tcW w:w="238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9%</w:t>
            </w:r>
          </w:p>
        </w:tc>
      </w:tr>
      <w:tr w:rsidR="000C1E59" w:rsidRPr="00B75B77" w:rsidTr="0063130A">
        <w:trPr>
          <w:divId w:val="1030105965"/>
          <w:trHeight w:val="300"/>
          <w:jc w:val="center"/>
        </w:trPr>
        <w:tc>
          <w:tcPr>
            <w:tcW w:w="3140"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Usage Profile</w:t>
            </w:r>
          </w:p>
        </w:tc>
        <w:tc>
          <w:tcPr>
            <w:tcW w:w="1625"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$2,977,272</w:t>
            </w:r>
          </w:p>
        </w:tc>
        <w:tc>
          <w:tcPr>
            <w:tcW w:w="1585"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$2,902,613</w:t>
            </w:r>
          </w:p>
        </w:tc>
        <w:tc>
          <w:tcPr>
            <w:tcW w:w="238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3%</w:t>
            </w:r>
          </w:p>
        </w:tc>
      </w:tr>
      <w:tr w:rsidR="000C1E59" w:rsidRPr="00B75B77" w:rsidTr="0063130A">
        <w:trPr>
          <w:divId w:val="1030105965"/>
          <w:trHeight w:val="300"/>
          <w:jc w:val="center"/>
        </w:trPr>
        <w:tc>
          <w:tcPr>
            <w:tcW w:w="3140"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Low-Income Energy Efficiency</w:t>
            </w:r>
          </w:p>
        </w:tc>
        <w:tc>
          <w:tcPr>
            <w:tcW w:w="1625"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$23,843,896</w:t>
            </w:r>
          </w:p>
        </w:tc>
        <w:tc>
          <w:tcPr>
            <w:tcW w:w="1585"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$23,452,828</w:t>
            </w:r>
          </w:p>
        </w:tc>
        <w:tc>
          <w:tcPr>
            <w:tcW w:w="238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w:t>
            </w:r>
          </w:p>
        </w:tc>
      </w:tr>
      <w:tr w:rsidR="000C1E59" w:rsidRPr="00B75B77" w:rsidTr="0063130A">
        <w:trPr>
          <w:divId w:val="1030105965"/>
          <w:trHeight w:val="300"/>
          <w:jc w:val="center"/>
        </w:trPr>
        <w:tc>
          <w:tcPr>
            <w:tcW w:w="3140"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Residential Smart AC Saver</w:t>
            </w:r>
          </w:p>
        </w:tc>
        <w:tc>
          <w:tcPr>
            <w:tcW w:w="1625"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$28,651,944</w:t>
            </w:r>
          </w:p>
        </w:tc>
        <w:tc>
          <w:tcPr>
            <w:tcW w:w="1585"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$20,598,462</w:t>
            </w:r>
          </w:p>
        </w:tc>
        <w:tc>
          <w:tcPr>
            <w:tcW w:w="238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28%</w:t>
            </w:r>
          </w:p>
        </w:tc>
      </w:tr>
      <w:tr w:rsidR="000C1E59" w:rsidRPr="00B75B77" w:rsidTr="0063130A">
        <w:trPr>
          <w:divId w:val="1030105965"/>
          <w:trHeight w:val="300"/>
          <w:jc w:val="center"/>
        </w:trPr>
        <w:tc>
          <w:tcPr>
            <w:tcW w:w="3140"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Business Solutions</w:t>
            </w:r>
          </w:p>
        </w:tc>
        <w:tc>
          <w:tcPr>
            <w:tcW w:w="1625"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$4,364,398</w:t>
            </w:r>
          </w:p>
        </w:tc>
        <w:tc>
          <w:tcPr>
            <w:tcW w:w="1585"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$5,535,948</w:t>
            </w:r>
          </w:p>
        </w:tc>
        <w:tc>
          <w:tcPr>
            <w:tcW w:w="238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-27%</w:t>
            </w:r>
          </w:p>
        </w:tc>
      </w:tr>
      <w:tr w:rsidR="000C1E59" w:rsidRPr="00B75B77" w:rsidTr="0063130A">
        <w:trPr>
          <w:divId w:val="1030105965"/>
          <w:trHeight w:val="300"/>
          <w:jc w:val="center"/>
        </w:trPr>
        <w:tc>
          <w:tcPr>
            <w:tcW w:w="3140"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Construction Incentives</w:t>
            </w:r>
          </w:p>
        </w:tc>
        <w:tc>
          <w:tcPr>
            <w:tcW w:w="1625"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$10,606,956</w:t>
            </w:r>
          </w:p>
        </w:tc>
        <w:tc>
          <w:tcPr>
            <w:tcW w:w="1585"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$8,631,414</w:t>
            </w:r>
          </w:p>
        </w:tc>
        <w:tc>
          <w:tcPr>
            <w:tcW w:w="238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19%</w:t>
            </w:r>
          </w:p>
        </w:tc>
      </w:tr>
      <w:tr w:rsidR="000C1E59" w:rsidRPr="00B75B77" w:rsidTr="0063130A">
        <w:trPr>
          <w:divId w:val="1030105965"/>
          <w:trHeight w:val="300"/>
          <w:jc w:val="center"/>
        </w:trPr>
        <w:tc>
          <w:tcPr>
            <w:tcW w:w="3140"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Equipment Incentives - C&amp;I</w:t>
            </w:r>
          </w:p>
        </w:tc>
        <w:tc>
          <w:tcPr>
            <w:tcW w:w="1625"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$33,898,431</w:t>
            </w:r>
          </w:p>
        </w:tc>
        <w:tc>
          <w:tcPr>
            <w:tcW w:w="1585"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$30,959,918</w:t>
            </w:r>
          </w:p>
        </w:tc>
        <w:tc>
          <w:tcPr>
            <w:tcW w:w="238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9%</w:t>
            </w:r>
          </w:p>
        </w:tc>
      </w:tr>
      <w:tr w:rsidR="000C1E59" w:rsidRPr="00B75B77" w:rsidTr="0063130A">
        <w:trPr>
          <w:divId w:val="1030105965"/>
          <w:trHeight w:val="300"/>
          <w:jc w:val="center"/>
        </w:trPr>
        <w:tc>
          <w:tcPr>
            <w:tcW w:w="3140"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Equipment Incentives - GNI</w:t>
            </w:r>
          </w:p>
        </w:tc>
        <w:tc>
          <w:tcPr>
            <w:tcW w:w="1625"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$20,318,877</w:t>
            </w:r>
          </w:p>
        </w:tc>
        <w:tc>
          <w:tcPr>
            <w:tcW w:w="1585"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$21,360,676</w:t>
            </w:r>
          </w:p>
        </w:tc>
        <w:tc>
          <w:tcPr>
            <w:tcW w:w="238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-5%</w:t>
            </w:r>
          </w:p>
        </w:tc>
      </w:tr>
      <w:tr w:rsidR="000C1E59" w:rsidRPr="00B75B77" w:rsidTr="0063130A">
        <w:trPr>
          <w:divId w:val="1030105965"/>
          <w:trHeight w:val="300"/>
          <w:jc w:val="center"/>
        </w:trPr>
        <w:tc>
          <w:tcPr>
            <w:tcW w:w="3140"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On-Site</w:t>
            </w:r>
          </w:p>
        </w:tc>
        <w:tc>
          <w:tcPr>
            <w:tcW w:w="1625"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$9,162,725</w:t>
            </w:r>
          </w:p>
        </w:tc>
        <w:tc>
          <w:tcPr>
            <w:tcW w:w="1585"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$7,786,612</w:t>
            </w:r>
          </w:p>
        </w:tc>
        <w:tc>
          <w:tcPr>
            <w:tcW w:w="238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15%</w:t>
            </w:r>
          </w:p>
        </w:tc>
      </w:tr>
      <w:tr w:rsidR="000C1E59" w:rsidRPr="00B75B77" w:rsidTr="0063130A">
        <w:trPr>
          <w:divId w:val="1030105965"/>
          <w:trHeight w:val="300"/>
          <w:jc w:val="center"/>
        </w:trPr>
        <w:tc>
          <w:tcPr>
            <w:tcW w:w="3140"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Commercial Smart AC Saver</w:t>
            </w:r>
          </w:p>
        </w:tc>
        <w:tc>
          <w:tcPr>
            <w:tcW w:w="1625"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$1,620,329</w:t>
            </w:r>
          </w:p>
        </w:tc>
        <w:tc>
          <w:tcPr>
            <w:tcW w:w="1585"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$931,832</w:t>
            </w:r>
          </w:p>
        </w:tc>
        <w:tc>
          <w:tcPr>
            <w:tcW w:w="238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42%</w:t>
            </w:r>
          </w:p>
        </w:tc>
      </w:tr>
      <w:tr w:rsidR="007B2E36" w:rsidRPr="00B75B77" w:rsidTr="007B2E36">
        <w:trPr>
          <w:divId w:val="1030105965"/>
          <w:trHeight w:val="300"/>
          <w:jc w:val="center"/>
        </w:trPr>
        <w:tc>
          <w:tcPr>
            <w:tcW w:w="3140" w:type="dxa"/>
            <w:tcBorders>
              <w:top w:val="nil"/>
              <w:left w:val="single" w:sz="4" w:space="0" w:color="448A99"/>
              <w:bottom w:val="single" w:sz="4" w:space="0" w:color="448A99"/>
              <w:right w:val="single" w:sz="4" w:space="0" w:color="448A99"/>
            </w:tcBorders>
            <w:shd w:val="clear" w:color="auto" w:fill="FFFFFF" w:themeFill="background1"/>
            <w:vAlign w:val="center"/>
          </w:tcPr>
          <w:p w:rsidR="007B2E36" w:rsidRPr="00B75B77" w:rsidRDefault="007B2E36"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Support Services</w:t>
            </w:r>
          </w:p>
        </w:tc>
        <w:tc>
          <w:tcPr>
            <w:tcW w:w="1625" w:type="dxa"/>
            <w:tcBorders>
              <w:top w:val="nil"/>
              <w:left w:val="nil"/>
              <w:bottom w:val="single" w:sz="4" w:space="0" w:color="448A99"/>
              <w:right w:val="single" w:sz="4" w:space="0" w:color="448A99"/>
            </w:tcBorders>
            <w:shd w:val="clear" w:color="auto" w:fill="FFFFFF" w:themeFill="background1"/>
            <w:vAlign w:val="center"/>
          </w:tcPr>
          <w:p w:rsidR="007B2E36" w:rsidRPr="00B75B77" w:rsidRDefault="007B2E36" w:rsidP="0063130A">
            <w:pPr>
              <w:keepNext/>
              <w:jc w:val="center"/>
              <w:rPr>
                <w:sz w:val="18"/>
                <w:szCs w:val="18"/>
              </w:rPr>
            </w:pPr>
            <w:r w:rsidRPr="00B75B77">
              <w:rPr>
                <w:sz w:val="18"/>
                <w:szCs w:val="18"/>
              </w:rPr>
              <w:t>$37,799,127</w:t>
            </w:r>
          </w:p>
        </w:tc>
        <w:tc>
          <w:tcPr>
            <w:tcW w:w="1585" w:type="dxa"/>
            <w:tcBorders>
              <w:top w:val="nil"/>
              <w:left w:val="nil"/>
              <w:bottom w:val="single" w:sz="4" w:space="0" w:color="448A99"/>
              <w:right w:val="single" w:sz="4" w:space="0" w:color="448A99"/>
            </w:tcBorders>
            <w:shd w:val="clear" w:color="auto" w:fill="FFFFFF" w:themeFill="background1"/>
            <w:vAlign w:val="center"/>
          </w:tcPr>
          <w:p w:rsidR="007B2E36" w:rsidRPr="00B75B77" w:rsidRDefault="007B2E36" w:rsidP="0063130A">
            <w:pPr>
              <w:keepNext/>
              <w:jc w:val="center"/>
              <w:rPr>
                <w:sz w:val="18"/>
                <w:szCs w:val="18"/>
              </w:rPr>
            </w:pPr>
            <w:r w:rsidRPr="00B75B77">
              <w:rPr>
                <w:sz w:val="18"/>
                <w:szCs w:val="18"/>
              </w:rPr>
              <w:t>$32,468,970</w:t>
            </w:r>
          </w:p>
        </w:tc>
        <w:tc>
          <w:tcPr>
            <w:tcW w:w="2380" w:type="dxa"/>
            <w:tcBorders>
              <w:top w:val="nil"/>
              <w:left w:val="nil"/>
              <w:bottom w:val="single" w:sz="4" w:space="0" w:color="448A99"/>
              <w:right w:val="single" w:sz="4" w:space="0" w:color="448A99"/>
            </w:tcBorders>
            <w:shd w:val="clear" w:color="auto" w:fill="FFFFFF" w:themeFill="background1"/>
            <w:vAlign w:val="center"/>
          </w:tcPr>
          <w:p w:rsidR="007B2E36" w:rsidRPr="00B75B77" w:rsidRDefault="007B2E36" w:rsidP="0063130A">
            <w:pPr>
              <w:keepNext/>
              <w:jc w:val="center"/>
              <w:rPr>
                <w:sz w:val="18"/>
                <w:szCs w:val="18"/>
              </w:rPr>
            </w:pPr>
            <w:r w:rsidRPr="00B75B77">
              <w:rPr>
                <w:sz w:val="18"/>
                <w:szCs w:val="18"/>
              </w:rPr>
              <w:t>14%</w:t>
            </w:r>
          </w:p>
        </w:tc>
      </w:tr>
      <w:tr w:rsidR="000C1E59" w:rsidRPr="00B75B77" w:rsidTr="007B2E36">
        <w:trPr>
          <w:divId w:val="1030105965"/>
          <w:trHeight w:val="300"/>
          <w:jc w:val="center"/>
        </w:trPr>
        <w:tc>
          <w:tcPr>
            <w:tcW w:w="3140" w:type="dxa"/>
            <w:tcBorders>
              <w:top w:val="nil"/>
              <w:left w:val="single" w:sz="4" w:space="0" w:color="448A99"/>
              <w:bottom w:val="single" w:sz="4" w:space="0" w:color="448A99"/>
              <w:right w:val="single" w:sz="4" w:space="0" w:color="448A99"/>
            </w:tcBorders>
            <w:shd w:val="clear" w:color="auto" w:fill="DAEEF3" w:themeFill="accent5" w:themeFillTint="33"/>
            <w:vAlign w:val="center"/>
            <w:hideMark/>
          </w:tcPr>
          <w:p w:rsidR="000C1E59" w:rsidRPr="00B75B77" w:rsidRDefault="000C1E59" w:rsidP="0063130A">
            <w:pPr>
              <w:keepNext/>
              <w:jc w:val="left"/>
              <w:rPr>
                <w:rFonts w:ascii="Calibri" w:eastAsia="Times New Roman" w:hAnsi="Calibri"/>
                <w:b/>
                <w:bCs/>
                <w:color w:val="000000"/>
                <w:sz w:val="18"/>
                <w:szCs w:val="18"/>
              </w:rPr>
            </w:pPr>
            <w:r w:rsidRPr="00B75B77">
              <w:rPr>
                <w:rFonts w:ascii="Calibri" w:eastAsia="Times New Roman" w:hAnsi="Calibri"/>
                <w:b/>
                <w:bCs/>
                <w:color w:val="000000"/>
                <w:sz w:val="18"/>
                <w:szCs w:val="18"/>
              </w:rPr>
              <w:t>TOTAL</w:t>
            </w:r>
          </w:p>
        </w:tc>
        <w:tc>
          <w:tcPr>
            <w:tcW w:w="1625" w:type="dxa"/>
            <w:tcBorders>
              <w:top w:val="nil"/>
              <w:left w:val="nil"/>
              <w:bottom w:val="single" w:sz="4" w:space="0" w:color="448A99"/>
              <w:right w:val="single" w:sz="4" w:space="0" w:color="448A99"/>
            </w:tcBorders>
            <w:shd w:val="clear" w:color="auto" w:fill="DAEEF3" w:themeFill="accent5" w:themeFillTint="33"/>
            <w:vAlign w:val="center"/>
            <w:hideMark/>
          </w:tcPr>
          <w:p w:rsidR="000C1E59" w:rsidRPr="00B75B77" w:rsidRDefault="000C1E59" w:rsidP="0063130A">
            <w:pPr>
              <w:keepNext/>
              <w:jc w:val="center"/>
              <w:rPr>
                <w:rFonts w:ascii="Calibri" w:eastAsia="Times New Roman" w:hAnsi="Calibri"/>
                <w:b/>
                <w:bCs/>
                <w:color w:val="000000"/>
                <w:sz w:val="18"/>
                <w:szCs w:val="18"/>
              </w:rPr>
            </w:pPr>
            <w:r w:rsidRPr="00B75B77">
              <w:rPr>
                <w:b/>
                <w:sz w:val="18"/>
                <w:szCs w:val="18"/>
              </w:rPr>
              <w:t>$255,338,</w:t>
            </w:r>
            <w:r w:rsidR="007B2E36" w:rsidRPr="00B75B77">
              <w:rPr>
                <w:b/>
                <w:sz w:val="18"/>
                <w:szCs w:val="18"/>
              </w:rPr>
              <w:t>112</w:t>
            </w:r>
          </w:p>
        </w:tc>
        <w:tc>
          <w:tcPr>
            <w:tcW w:w="1585" w:type="dxa"/>
            <w:tcBorders>
              <w:top w:val="nil"/>
              <w:left w:val="nil"/>
              <w:bottom w:val="single" w:sz="4" w:space="0" w:color="448A99"/>
              <w:right w:val="single" w:sz="4" w:space="0" w:color="448A99"/>
            </w:tcBorders>
            <w:shd w:val="clear" w:color="auto" w:fill="DAEEF3" w:themeFill="accent5" w:themeFillTint="33"/>
            <w:vAlign w:val="center"/>
            <w:hideMark/>
          </w:tcPr>
          <w:p w:rsidR="000C1E59" w:rsidRPr="00B75B77" w:rsidRDefault="000C1E59" w:rsidP="0063130A">
            <w:pPr>
              <w:keepNext/>
              <w:jc w:val="center"/>
              <w:rPr>
                <w:rFonts w:ascii="Calibri" w:eastAsia="Times New Roman" w:hAnsi="Calibri"/>
                <w:b/>
                <w:bCs/>
                <w:color w:val="000000"/>
                <w:sz w:val="18"/>
                <w:szCs w:val="18"/>
              </w:rPr>
            </w:pPr>
            <w:r w:rsidRPr="00B75B77">
              <w:rPr>
                <w:b/>
                <w:sz w:val="18"/>
                <w:szCs w:val="18"/>
              </w:rPr>
              <w:t>$229,827,335</w:t>
            </w:r>
          </w:p>
        </w:tc>
        <w:tc>
          <w:tcPr>
            <w:tcW w:w="2380" w:type="dxa"/>
            <w:tcBorders>
              <w:top w:val="nil"/>
              <w:left w:val="nil"/>
              <w:bottom w:val="single" w:sz="4" w:space="0" w:color="448A99"/>
              <w:right w:val="single" w:sz="4" w:space="0" w:color="448A99"/>
            </w:tcBorders>
            <w:shd w:val="clear" w:color="auto" w:fill="DAEEF3" w:themeFill="accent5" w:themeFillTint="33"/>
            <w:vAlign w:val="center"/>
            <w:hideMark/>
          </w:tcPr>
          <w:p w:rsidR="000C1E59" w:rsidRPr="00B75B77" w:rsidRDefault="000C1E59" w:rsidP="0063130A">
            <w:pPr>
              <w:keepNext/>
              <w:jc w:val="center"/>
              <w:rPr>
                <w:rFonts w:ascii="Calibri" w:eastAsia="Times New Roman" w:hAnsi="Calibri"/>
                <w:b/>
                <w:bCs/>
                <w:color w:val="000000"/>
                <w:sz w:val="18"/>
                <w:szCs w:val="18"/>
              </w:rPr>
            </w:pPr>
            <w:r w:rsidRPr="00B75B77">
              <w:rPr>
                <w:b/>
                <w:sz w:val="18"/>
                <w:szCs w:val="18"/>
              </w:rPr>
              <w:t>10%</w:t>
            </w:r>
          </w:p>
        </w:tc>
      </w:tr>
    </w:tbl>
    <w:p w:rsidR="000C1E59" w:rsidRPr="00B75B77" w:rsidRDefault="000C1E59" w:rsidP="0063130A">
      <w:pPr>
        <w:pStyle w:val="Source"/>
        <w:keepNext/>
        <w:spacing w:before="20" w:after="20"/>
        <w:ind w:left="360" w:firstLine="0"/>
        <w:rPr>
          <w:rStyle w:val="Strong"/>
          <w:b w:val="0"/>
          <w:bCs w:val="0"/>
          <w:i w:val="0"/>
        </w:rPr>
      </w:pPr>
      <w:r w:rsidRPr="00B75B77">
        <w:rPr>
          <w:rStyle w:val="Strong"/>
          <w:b w:val="0"/>
          <w:bCs w:val="0"/>
          <w:i w:val="0"/>
        </w:rPr>
        <w:t xml:space="preserve">Note: </w:t>
      </w:r>
      <w:r w:rsidRPr="00B75B77">
        <w:rPr>
          <w:rFonts w:ascii="Calibri" w:hAnsi="Calibri"/>
          <w:i w:val="0"/>
          <w:iCs/>
          <w:color w:val="000000"/>
          <w:szCs w:val="18"/>
        </w:rPr>
        <w:t>Values in tables may not reconcile exactly with the sum of more detailed level results or previously reported results due to rounding.</w:t>
      </w:r>
    </w:p>
    <w:p w:rsidR="000C1E59" w:rsidRPr="00B75B77" w:rsidRDefault="000C1E59" w:rsidP="0063130A">
      <w:pPr>
        <w:pStyle w:val="Source"/>
        <w:keepNext/>
        <w:ind w:left="360" w:firstLine="0"/>
      </w:pPr>
      <w:r w:rsidRPr="00B75B77">
        <w:rPr>
          <w:rStyle w:val="Strong"/>
          <w:b w:val="0"/>
          <w:bCs w:val="0"/>
        </w:rPr>
        <w:t>Source: Navigant analysis</w:t>
      </w:r>
    </w:p>
    <w:p w:rsidR="000C1E59" w:rsidRPr="00B75B77" w:rsidRDefault="0063130A" w:rsidP="00E4391A">
      <w:r w:rsidRPr="00B75B77">
        <w:fldChar w:fldCharType="begin"/>
      </w:r>
      <w:r w:rsidRPr="00B75B77">
        <w:instrText xml:space="preserve"> REF _Ref464563734 \h </w:instrText>
      </w:r>
      <w:r w:rsidR="00B75B77">
        <w:instrText xml:space="preserve"> \* MERGEFORMAT </w:instrText>
      </w:r>
      <w:r w:rsidRPr="00B75B77">
        <w:fldChar w:fldCharType="separate"/>
      </w:r>
      <w:r w:rsidR="0004016D" w:rsidRPr="00B75B77">
        <w:t xml:space="preserve">Table </w:t>
      </w:r>
      <w:r w:rsidR="0004016D">
        <w:rPr>
          <w:noProof/>
        </w:rPr>
        <w:t>1</w:t>
      </w:r>
      <w:r w:rsidR="0004016D" w:rsidRPr="00B75B77">
        <w:rPr>
          <w:noProof/>
        </w:rPr>
        <w:noBreakHyphen/>
      </w:r>
      <w:r w:rsidR="0004016D">
        <w:rPr>
          <w:noProof/>
        </w:rPr>
        <w:t>21</w:t>
      </w:r>
      <w:r w:rsidRPr="00B75B77">
        <w:fldChar w:fldCharType="end"/>
      </w:r>
      <w:r w:rsidRPr="00B75B77">
        <w:t xml:space="preserve"> </w:t>
      </w:r>
      <w:r w:rsidR="000C1E59" w:rsidRPr="00B75B77">
        <w:t xml:space="preserve">shows Phase II program savings compare to the energy and demand savings estimates filed in the EE&amp;C plan. </w:t>
      </w:r>
    </w:p>
    <w:p w:rsidR="000C1E59" w:rsidRPr="00B75B77" w:rsidRDefault="000C1E59" w:rsidP="00E4391A"/>
    <w:p w:rsidR="000C1E59" w:rsidRPr="00B75B77" w:rsidRDefault="0063130A" w:rsidP="0063130A">
      <w:pPr>
        <w:pStyle w:val="Caption"/>
      </w:pPr>
      <w:bookmarkStart w:id="219" w:name="_Ref464563734"/>
      <w:bookmarkStart w:id="220" w:name="_Ref449104252"/>
      <w:bookmarkStart w:id="221" w:name="_Toc453075291"/>
      <w:bookmarkStart w:id="222" w:name="_Toc466413503"/>
      <w:r w:rsidRPr="00B75B77">
        <w:lastRenderedPageBreak/>
        <w:t xml:space="preserve">Table </w:t>
      </w:r>
      <w:fldSimple w:instr=" STYLEREF 1 \s ">
        <w:r w:rsidR="0004016D">
          <w:rPr>
            <w:noProof/>
          </w:rPr>
          <w:t>1</w:t>
        </w:r>
      </w:fldSimple>
      <w:r w:rsidRPr="00B75B77">
        <w:noBreakHyphen/>
      </w:r>
      <w:fldSimple w:instr=" SEQ Table \* ARABIC \s 1 ">
        <w:r w:rsidR="0004016D">
          <w:rPr>
            <w:noProof/>
          </w:rPr>
          <w:t>21</w:t>
        </w:r>
      </w:fldSimple>
      <w:bookmarkEnd w:id="219"/>
      <w:r w:rsidRPr="00B75B77">
        <w:t xml:space="preserve">: </w:t>
      </w:r>
      <w:bookmarkEnd w:id="220"/>
      <w:r w:rsidR="000C1E59" w:rsidRPr="00B75B77">
        <w:t>Comparison of Phase II Actual Program Savings to EE&amp;C Plan for Phase II</w:t>
      </w:r>
      <w:bookmarkEnd w:id="221"/>
      <w:bookmarkEnd w:id="222"/>
    </w:p>
    <w:tbl>
      <w:tblPr>
        <w:tblW w:w="9550" w:type="dxa"/>
        <w:tblLook w:val="04A0" w:firstRow="1" w:lastRow="0" w:firstColumn="1" w:lastColumn="0" w:noHBand="0" w:noVBand="1"/>
      </w:tblPr>
      <w:tblGrid>
        <w:gridCol w:w="2250"/>
        <w:gridCol w:w="1350"/>
        <w:gridCol w:w="1170"/>
        <w:gridCol w:w="1270"/>
        <w:gridCol w:w="1070"/>
        <w:gridCol w:w="1170"/>
        <w:gridCol w:w="1270"/>
      </w:tblGrid>
      <w:tr w:rsidR="000C1E59" w:rsidRPr="00B75B77" w:rsidTr="00F94CBE">
        <w:trPr>
          <w:divId w:val="468548199"/>
          <w:trHeight w:val="720"/>
        </w:trPr>
        <w:tc>
          <w:tcPr>
            <w:tcW w:w="2250" w:type="dxa"/>
            <w:tcBorders>
              <w:top w:val="single" w:sz="4" w:space="0" w:color="auto"/>
              <w:left w:val="single" w:sz="4" w:space="0" w:color="auto"/>
              <w:bottom w:val="single" w:sz="4" w:space="0" w:color="auto"/>
              <w:right w:val="single" w:sz="4" w:space="0" w:color="auto"/>
            </w:tcBorders>
            <w:shd w:val="clear" w:color="000000" w:fill="448A99"/>
            <w:vAlign w:val="center"/>
            <w:hideMark/>
          </w:tcPr>
          <w:p w:rsidR="000C1E59" w:rsidRPr="00B75B77" w:rsidRDefault="000C1E59" w:rsidP="0063130A">
            <w:pPr>
              <w:keepNext/>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Program</w:t>
            </w:r>
          </w:p>
        </w:tc>
        <w:tc>
          <w:tcPr>
            <w:tcW w:w="1350"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63130A">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Phase II MWh Savings Projected in EE&amp;C Plan</w:t>
            </w:r>
          </w:p>
        </w:tc>
        <w:tc>
          <w:tcPr>
            <w:tcW w:w="1170"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63130A">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Actual Reported Phase II MWh Savings</w:t>
            </w:r>
          </w:p>
        </w:tc>
        <w:tc>
          <w:tcPr>
            <w:tcW w:w="1270"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63130A">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Difference [(Phase II Planned - Phase II Actual)/Phase II Planned]</w:t>
            </w:r>
          </w:p>
        </w:tc>
        <w:tc>
          <w:tcPr>
            <w:tcW w:w="1070"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63130A">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Phase II MW Savings Projected in EE&amp;C Plan</w:t>
            </w:r>
          </w:p>
        </w:tc>
        <w:tc>
          <w:tcPr>
            <w:tcW w:w="1170"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63130A">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Actual Reported Phase II MW Savings</w:t>
            </w:r>
          </w:p>
        </w:tc>
        <w:tc>
          <w:tcPr>
            <w:tcW w:w="1270" w:type="dxa"/>
            <w:tcBorders>
              <w:top w:val="single" w:sz="4" w:space="0" w:color="auto"/>
              <w:left w:val="nil"/>
              <w:bottom w:val="single" w:sz="4" w:space="0" w:color="auto"/>
              <w:right w:val="single" w:sz="4" w:space="0" w:color="auto"/>
            </w:tcBorders>
            <w:shd w:val="clear" w:color="000000" w:fill="448A99"/>
            <w:vAlign w:val="center"/>
            <w:hideMark/>
          </w:tcPr>
          <w:p w:rsidR="000C1E59" w:rsidRPr="00B75B77" w:rsidRDefault="000C1E59" w:rsidP="0063130A">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Difference [(Phase II Planned - Phase II Actual)/Phase II Planned]</w:t>
            </w:r>
          </w:p>
        </w:tc>
      </w:tr>
      <w:tr w:rsidR="000C1E59" w:rsidRPr="00B75B77" w:rsidTr="00F94CBE">
        <w:trPr>
          <w:divId w:val="468548199"/>
          <w:trHeight w:val="300"/>
        </w:trPr>
        <w:tc>
          <w:tcPr>
            <w:tcW w:w="2250"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Appliance Recycling</w:t>
            </w:r>
          </w:p>
        </w:tc>
        <w:tc>
          <w:tcPr>
            <w:tcW w:w="135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29,960</w:t>
            </w:r>
          </w:p>
        </w:tc>
        <w:tc>
          <w:tcPr>
            <w:tcW w:w="11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25,834</w:t>
            </w:r>
          </w:p>
        </w:tc>
        <w:tc>
          <w:tcPr>
            <w:tcW w:w="12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14%</w:t>
            </w:r>
          </w:p>
        </w:tc>
        <w:tc>
          <w:tcPr>
            <w:tcW w:w="10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3.6</w:t>
            </w:r>
          </w:p>
        </w:tc>
        <w:tc>
          <w:tcPr>
            <w:tcW w:w="11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3.7</w:t>
            </w:r>
          </w:p>
        </w:tc>
        <w:tc>
          <w:tcPr>
            <w:tcW w:w="12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w:t>
            </w:r>
          </w:p>
        </w:tc>
      </w:tr>
      <w:tr w:rsidR="000C1E59" w:rsidRPr="00B75B77" w:rsidTr="00F94CBE">
        <w:trPr>
          <w:divId w:val="468548199"/>
          <w:trHeight w:val="300"/>
        </w:trPr>
        <w:tc>
          <w:tcPr>
            <w:tcW w:w="2250"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Builder Rebates</w:t>
            </w:r>
          </w:p>
        </w:tc>
        <w:tc>
          <w:tcPr>
            <w:tcW w:w="135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409</w:t>
            </w:r>
          </w:p>
        </w:tc>
        <w:tc>
          <w:tcPr>
            <w:tcW w:w="11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590</w:t>
            </w:r>
          </w:p>
        </w:tc>
        <w:tc>
          <w:tcPr>
            <w:tcW w:w="12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-44%</w:t>
            </w:r>
          </w:p>
        </w:tc>
        <w:tc>
          <w:tcPr>
            <w:tcW w:w="10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0.1</w:t>
            </w:r>
          </w:p>
        </w:tc>
        <w:tc>
          <w:tcPr>
            <w:tcW w:w="11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0.2</w:t>
            </w:r>
          </w:p>
        </w:tc>
        <w:tc>
          <w:tcPr>
            <w:tcW w:w="12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-285%</w:t>
            </w:r>
          </w:p>
        </w:tc>
      </w:tr>
      <w:tr w:rsidR="000C1E59" w:rsidRPr="00B75B77" w:rsidTr="00F94CBE">
        <w:trPr>
          <w:divId w:val="468548199"/>
          <w:trHeight w:val="300"/>
        </w:trPr>
        <w:tc>
          <w:tcPr>
            <w:tcW w:w="2250"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Energy Saver</w:t>
            </w:r>
          </w:p>
        </w:tc>
        <w:tc>
          <w:tcPr>
            <w:tcW w:w="135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5,939</w:t>
            </w:r>
          </w:p>
        </w:tc>
        <w:tc>
          <w:tcPr>
            <w:tcW w:w="11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9,017</w:t>
            </w:r>
          </w:p>
        </w:tc>
        <w:tc>
          <w:tcPr>
            <w:tcW w:w="12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-52%</w:t>
            </w:r>
          </w:p>
        </w:tc>
        <w:tc>
          <w:tcPr>
            <w:tcW w:w="10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0.5</w:t>
            </w:r>
          </w:p>
        </w:tc>
        <w:tc>
          <w:tcPr>
            <w:tcW w:w="11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0.9</w:t>
            </w:r>
          </w:p>
        </w:tc>
        <w:tc>
          <w:tcPr>
            <w:tcW w:w="12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-92%</w:t>
            </w:r>
          </w:p>
        </w:tc>
      </w:tr>
      <w:tr w:rsidR="000C1E59" w:rsidRPr="00B75B77" w:rsidTr="00F94CBE">
        <w:trPr>
          <w:divId w:val="468548199"/>
          <w:trHeight w:val="300"/>
        </w:trPr>
        <w:tc>
          <w:tcPr>
            <w:tcW w:w="2250"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Home Rebates</w:t>
            </w:r>
          </w:p>
        </w:tc>
        <w:tc>
          <w:tcPr>
            <w:tcW w:w="135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226,057</w:t>
            </w:r>
          </w:p>
        </w:tc>
        <w:tc>
          <w:tcPr>
            <w:tcW w:w="11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314,502</w:t>
            </w:r>
          </w:p>
        </w:tc>
        <w:tc>
          <w:tcPr>
            <w:tcW w:w="12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-39%</w:t>
            </w:r>
          </w:p>
        </w:tc>
        <w:tc>
          <w:tcPr>
            <w:tcW w:w="10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55.8</w:t>
            </w:r>
          </w:p>
        </w:tc>
        <w:tc>
          <w:tcPr>
            <w:tcW w:w="11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41.7</w:t>
            </w:r>
          </w:p>
        </w:tc>
        <w:tc>
          <w:tcPr>
            <w:tcW w:w="12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25%</w:t>
            </w:r>
          </w:p>
        </w:tc>
      </w:tr>
      <w:tr w:rsidR="000C1E59" w:rsidRPr="00B75B77" w:rsidTr="00F94CBE">
        <w:trPr>
          <w:divId w:val="468548199"/>
          <w:trHeight w:val="300"/>
        </w:trPr>
        <w:tc>
          <w:tcPr>
            <w:tcW w:w="2250"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House Call</w:t>
            </w:r>
          </w:p>
        </w:tc>
        <w:tc>
          <w:tcPr>
            <w:tcW w:w="135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13,717</w:t>
            </w:r>
          </w:p>
        </w:tc>
        <w:tc>
          <w:tcPr>
            <w:tcW w:w="11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10,566</w:t>
            </w:r>
          </w:p>
        </w:tc>
        <w:tc>
          <w:tcPr>
            <w:tcW w:w="12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23%</w:t>
            </w:r>
          </w:p>
        </w:tc>
        <w:tc>
          <w:tcPr>
            <w:tcW w:w="10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1.6</w:t>
            </w:r>
          </w:p>
        </w:tc>
        <w:tc>
          <w:tcPr>
            <w:tcW w:w="11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1.5</w:t>
            </w:r>
          </w:p>
        </w:tc>
        <w:tc>
          <w:tcPr>
            <w:tcW w:w="12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5%</w:t>
            </w:r>
          </w:p>
        </w:tc>
      </w:tr>
      <w:tr w:rsidR="000C1E59" w:rsidRPr="00B75B77" w:rsidTr="00F94CBE">
        <w:trPr>
          <w:divId w:val="468548199"/>
          <w:trHeight w:val="300"/>
        </w:trPr>
        <w:tc>
          <w:tcPr>
            <w:tcW w:w="2250"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Multi-Family Solutions</w:t>
            </w:r>
          </w:p>
        </w:tc>
        <w:tc>
          <w:tcPr>
            <w:tcW w:w="135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20,200</w:t>
            </w:r>
          </w:p>
        </w:tc>
        <w:tc>
          <w:tcPr>
            <w:tcW w:w="11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17,737</w:t>
            </w:r>
          </w:p>
        </w:tc>
        <w:tc>
          <w:tcPr>
            <w:tcW w:w="12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12%</w:t>
            </w:r>
          </w:p>
        </w:tc>
        <w:tc>
          <w:tcPr>
            <w:tcW w:w="10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3.4</w:t>
            </w:r>
          </w:p>
        </w:tc>
        <w:tc>
          <w:tcPr>
            <w:tcW w:w="11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1.9</w:t>
            </w:r>
          </w:p>
        </w:tc>
        <w:tc>
          <w:tcPr>
            <w:tcW w:w="12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43%</w:t>
            </w:r>
          </w:p>
        </w:tc>
      </w:tr>
      <w:tr w:rsidR="000C1E59" w:rsidRPr="00B75B77" w:rsidTr="00F94CBE">
        <w:trPr>
          <w:divId w:val="468548199"/>
          <w:trHeight w:val="300"/>
        </w:trPr>
        <w:tc>
          <w:tcPr>
            <w:tcW w:w="2250"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Usage Profile</w:t>
            </w:r>
          </w:p>
        </w:tc>
        <w:tc>
          <w:tcPr>
            <w:tcW w:w="135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20,000</w:t>
            </w:r>
          </w:p>
        </w:tc>
        <w:tc>
          <w:tcPr>
            <w:tcW w:w="11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36,690</w:t>
            </w:r>
          </w:p>
        </w:tc>
        <w:tc>
          <w:tcPr>
            <w:tcW w:w="12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-83%</w:t>
            </w:r>
          </w:p>
        </w:tc>
        <w:tc>
          <w:tcPr>
            <w:tcW w:w="10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2.5</w:t>
            </w:r>
          </w:p>
        </w:tc>
        <w:tc>
          <w:tcPr>
            <w:tcW w:w="11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0.0</w:t>
            </w:r>
          </w:p>
        </w:tc>
        <w:tc>
          <w:tcPr>
            <w:tcW w:w="12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100%</w:t>
            </w:r>
          </w:p>
        </w:tc>
      </w:tr>
      <w:tr w:rsidR="000C1E59" w:rsidRPr="00B75B77" w:rsidTr="00F94CBE">
        <w:trPr>
          <w:divId w:val="468548199"/>
          <w:trHeight w:val="300"/>
        </w:trPr>
        <w:tc>
          <w:tcPr>
            <w:tcW w:w="2250"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Low-Income Energy Efficiency</w:t>
            </w:r>
          </w:p>
        </w:tc>
        <w:tc>
          <w:tcPr>
            <w:tcW w:w="135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52,687</w:t>
            </w:r>
          </w:p>
        </w:tc>
        <w:tc>
          <w:tcPr>
            <w:tcW w:w="11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52,899</w:t>
            </w:r>
          </w:p>
        </w:tc>
        <w:tc>
          <w:tcPr>
            <w:tcW w:w="12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0%</w:t>
            </w:r>
          </w:p>
        </w:tc>
        <w:tc>
          <w:tcPr>
            <w:tcW w:w="10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7.0</w:t>
            </w:r>
          </w:p>
        </w:tc>
        <w:tc>
          <w:tcPr>
            <w:tcW w:w="11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6.2</w:t>
            </w:r>
          </w:p>
        </w:tc>
        <w:tc>
          <w:tcPr>
            <w:tcW w:w="12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11%</w:t>
            </w:r>
          </w:p>
        </w:tc>
      </w:tr>
      <w:tr w:rsidR="000C1E59" w:rsidRPr="00B75B77" w:rsidTr="00F94CBE">
        <w:trPr>
          <w:divId w:val="468548199"/>
          <w:trHeight w:val="300"/>
        </w:trPr>
        <w:tc>
          <w:tcPr>
            <w:tcW w:w="2250"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Residential Smart AC Saver</w:t>
            </w:r>
          </w:p>
        </w:tc>
        <w:tc>
          <w:tcPr>
            <w:tcW w:w="135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0</w:t>
            </w:r>
          </w:p>
        </w:tc>
        <w:tc>
          <w:tcPr>
            <w:tcW w:w="11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0</w:t>
            </w:r>
          </w:p>
        </w:tc>
        <w:tc>
          <w:tcPr>
            <w:tcW w:w="12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0%</w:t>
            </w:r>
          </w:p>
        </w:tc>
        <w:tc>
          <w:tcPr>
            <w:tcW w:w="10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78.0</w:t>
            </w:r>
          </w:p>
        </w:tc>
        <w:tc>
          <w:tcPr>
            <w:tcW w:w="11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58.6</w:t>
            </w:r>
          </w:p>
        </w:tc>
        <w:tc>
          <w:tcPr>
            <w:tcW w:w="12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25%</w:t>
            </w:r>
          </w:p>
        </w:tc>
      </w:tr>
      <w:tr w:rsidR="000C1E59" w:rsidRPr="00B75B77" w:rsidTr="00F94CBE">
        <w:trPr>
          <w:divId w:val="468548199"/>
          <w:trHeight w:val="300"/>
        </w:trPr>
        <w:tc>
          <w:tcPr>
            <w:tcW w:w="2250"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Business Solutions</w:t>
            </w:r>
          </w:p>
        </w:tc>
        <w:tc>
          <w:tcPr>
            <w:tcW w:w="135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37,483</w:t>
            </w:r>
          </w:p>
        </w:tc>
        <w:tc>
          <w:tcPr>
            <w:tcW w:w="11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31,844</w:t>
            </w:r>
          </w:p>
        </w:tc>
        <w:tc>
          <w:tcPr>
            <w:tcW w:w="12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15%</w:t>
            </w:r>
          </w:p>
        </w:tc>
        <w:tc>
          <w:tcPr>
            <w:tcW w:w="10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7.9</w:t>
            </w:r>
          </w:p>
        </w:tc>
        <w:tc>
          <w:tcPr>
            <w:tcW w:w="11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6.2</w:t>
            </w:r>
          </w:p>
        </w:tc>
        <w:tc>
          <w:tcPr>
            <w:tcW w:w="12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22%</w:t>
            </w:r>
          </w:p>
        </w:tc>
      </w:tr>
      <w:tr w:rsidR="000C1E59" w:rsidRPr="00B75B77" w:rsidTr="00F94CBE">
        <w:trPr>
          <w:divId w:val="468548199"/>
          <w:trHeight w:val="300"/>
        </w:trPr>
        <w:tc>
          <w:tcPr>
            <w:tcW w:w="2250"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Construction Incentives</w:t>
            </w:r>
          </w:p>
        </w:tc>
        <w:tc>
          <w:tcPr>
            <w:tcW w:w="135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72,768</w:t>
            </w:r>
          </w:p>
        </w:tc>
        <w:tc>
          <w:tcPr>
            <w:tcW w:w="11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45,254</w:t>
            </w:r>
          </w:p>
        </w:tc>
        <w:tc>
          <w:tcPr>
            <w:tcW w:w="12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38%</w:t>
            </w:r>
          </w:p>
        </w:tc>
        <w:tc>
          <w:tcPr>
            <w:tcW w:w="10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17.4</w:t>
            </w:r>
          </w:p>
        </w:tc>
        <w:tc>
          <w:tcPr>
            <w:tcW w:w="11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8.0</w:t>
            </w:r>
          </w:p>
        </w:tc>
        <w:tc>
          <w:tcPr>
            <w:tcW w:w="12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54%</w:t>
            </w:r>
          </w:p>
        </w:tc>
      </w:tr>
      <w:tr w:rsidR="000C1E59" w:rsidRPr="00B75B77" w:rsidTr="00F94CBE">
        <w:trPr>
          <w:divId w:val="468548199"/>
          <w:trHeight w:val="300"/>
        </w:trPr>
        <w:tc>
          <w:tcPr>
            <w:tcW w:w="2250"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Equipment Incentives - C&amp;I</w:t>
            </w:r>
          </w:p>
        </w:tc>
        <w:tc>
          <w:tcPr>
            <w:tcW w:w="135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211,937</w:t>
            </w:r>
          </w:p>
        </w:tc>
        <w:tc>
          <w:tcPr>
            <w:tcW w:w="11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229,217</w:t>
            </w:r>
          </w:p>
        </w:tc>
        <w:tc>
          <w:tcPr>
            <w:tcW w:w="12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-8%</w:t>
            </w:r>
          </w:p>
        </w:tc>
        <w:tc>
          <w:tcPr>
            <w:tcW w:w="10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47.9</w:t>
            </w:r>
          </w:p>
        </w:tc>
        <w:tc>
          <w:tcPr>
            <w:tcW w:w="11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35.2</w:t>
            </w:r>
          </w:p>
        </w:tc>
        <w:tc>
          <w:tcPr>
            <w:tcW w:w="12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27%</w:t>
            </w:r>
          </w:p>
        </w:tc>
      </w:tr>
      <w:tr w:rsidR="000C1E59" w:rsidRPr="00B75B77" w:rsidTr="00F94CBE">
        <w:trPr>
          <w:divId w:val="468548199"/>
          <w:trHeight w:val="300"/>
        </w:trPr>
        <w:tc>
          <w:tcPr>
            <w:tcW w:w="2250"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Equipment Incentives - GNI</w:t>
            </w:r>
          </w:p>
        </w:tc>
        <w:tc>
          <w:tcPr>
            <w:tcW w:w="135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83,012</w:t>
            </w:r>
          </w:p>
        </w:tc>
        <w:tc>
          <w:tcPr>
            <w:tcW w:w="11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133,586</w:t>
            </w:r>
          </w:p>
        </w:tc>
        <w:tc>
          <w:tcPr>
            <w:tcW w:w="12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-61%</w:t>
            </w:r>
          </w:p>
        </w:tc>
        <w:tc>
          <w:tcPr>
            <w:tcW w:w="10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27.8</w:t>
            </w:r>
          </w:p>
        </w:tc>
        <w:tc>
          <w:tcPr>
            <w:tcW w:w="11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25.3</w:t>
            </w:r>
          </w:p>
        </w:tc>
        <w:tc>
          <w:tcPr>
            <w:tcW w:w="12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9%</w:t>
            </w:r>
          </w:p>
        </w:tc>
      </w:tr>
      <w:tr w:rsidR="000C1E59" w:rsidRPr="00B75B77" w:rsidTr="00F94CBE">
        <w:trPr>
          <w:divId w:val="468548199"/>
          <w:trHeight w:val="300"/>
        </w:trPr>
        <w:tc>
          <w:tcPr>
            <w:tcW w:w="2250"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Smart On-Site</w:t>
            </w:r>
          </w:p>
        </w:tc>
        <w:tc>
          <w:tcPr>
            <w:tcW w:w="135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105,958</w:t>
            </w:r>
          </w:p>
        </w:tc>
        <w:tc>
          <w:tcPr>
            <w:tcW w:w="11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93,988</w:t>
            </w:r>
          </w:p>
        </w:tc>
        <w:tc>
          <w:tcPr>
            <w:tcW w:w="12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11%</w:t>
            </w:r>
          </w:p>
        </w:tc>
        <w:tc>
          <w:tcPr>
            <w:tcW w:w="10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13.3</w:t>
            </w:r>
          </w:p>
        </w:tc>
        <w:tc>
          <w:tcPr>
            <w:tcW w:w="11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12.3</w:t>
            </w:r>
          </w:p>
        </w:tc>
        <w:tc>
          <w:tcPr>
            <w:tcW w:w="12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8%</w:t>
            </w:r>
          </w:p>
        </w:tc>
      </w:tr>
      <w:tr w:rsidR="000C1E59" w:rsidRPr="00B75B77" w:rsidTr="00F94CBE">
        <w:trPr>
          <w:divId w:val="468548199"/>
          <w:trHeight w:val="300"/>
        </w:trPr>
        <w:tc>
          <w:tcPr>
            <w:tcW w:w="2250" w:type="dxa"/>
            <w:tcBorders>
              <w:top w:val="nil"/>
              <w:left w:val="single" w:sz="4" w:space="0" w:color="448A99"/>
              <w:bottom w:val="single" w:sz="4" w:space="0" w:color="448A99"/>
              <w:right w:val="single" w:sz="4" w:space="0" w:color="448A99"/>
            </w:tcBorders>
            <w:shd w:val="clear" w:color="000000" w:fill="D2EAF1"/>
            <w:vAlign w:val="center"/>
            <w:hideMark/>
          </w:tcPr>
          <w:p w:rsidR="000C1E59" w:rsidRPr="00B75B77" w:rsidRDefault="000C1E59" w:rsidP="0063130A">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Commercial Smart AC Saver</w:t>
            </w:r>
          </w:p>
        </w:tc>
        <w:tc>
          <w:tcPr>
            <w:tcW w:w="135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0</w:t>
            </w:r>
          </w:p>
        </w:tc>
        <w:tc>
          <w:tcPr>
            <w:tcW w:w="11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0</w:t>
            </w:r>
          </w:p>
        </w:tc>
        <w:tc>
          <w:tcPr>
            <w:tcW w:w="12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0%</w:t>
            </w:r>
          </w:p>
        </w:tc>
        <w:tc>
          <w:tcPr>
            <w:tcW w:w="10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2.6</w:t>
            </w:r>
          </w:p>
        </w:tc>
        <w:tc>
          <w:tcPr>
            <w:tcW w:w="11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2.3</w:t>
            </w:r>
          </w:p>
        </w:tc>
        <w:tc>
          <w:tcPr>
            <w:tcW w:w="1270" w:type="dxa"/>
            <w:tcBorders>
              <w:top w:val="nil"/>
              <w:left w:val="nil"/>
              <w:bottom w:val="single" w:sz="4" w:space="0" w:color="448A99"/>
              <w:right w:val="single" w:sz="4" w:space="0" w:color="448A99"/>
            </w:tcBorders>
            <w:shd w:val="clear" w:color="000000" w:fill="D2EAF1"/>
            <w:vAlign w:val="center"/>
            <w:hideMark/>
          </w:tcPr>
          <w:p w:rsidR="000C1E59" w:rsidRPr="00B75B77" w:rsidRDefault="000C1E59" w:rsidP="0063130A">
            <w:pPr>
              <w:keepNext/>
              <w:jc w:val="center"/>
              <w:rPr>
                <w:rFonts w:ascii="Calibri" w:eastAsia="Times New Roman" w:hAnsi="Calibri"/>
                <w:color w:val="000000"/>
                <w:sz w:val="18"/>
                <w:szCs w:val="18"/>
              </w:rPr>
            </w:pPr>
            <w:r w:rsidRPr="00B75B77">
              <w:rPr>
                <w:sz w:val="18"/>
                <w:szCs w:val="18"/>
              </w:rPr>
              <w:t>10%</w:t>
            </w:r>
          </w:p>
        </w:tc>
      </w:tr>
      <w:tr w:rsidR="000C1E59" w:rsidRPr="00B75B77" w:rsidTr="00F94CBE">
        <w:trPr>
          <w:divId w:val="468548199"/>
          <w:trHeight w:val="300"/>
        </w:trPr>
        <w:tc>
          <w:tcPr>
            <w:tcW w:w="2250" w:type="dxa"/>
            <w:tcBorders>
              <w:top w:val="nil"/>
              <w:left w:val="single" w:sz="4" w:space="0" w:color="448A99"/>
              <w:bottom w:val="single" w:sz="4" w:space="0" w:color="448A99"/>
              <w:right w:val="single" w:sz="4" w:space="0" w:color="448A99"/>
            </w:tcBorders>
            <w:shd w:val="clear" w:color="000000" w:fill="FFFFFF"/>
            <w:vAlign w:val="center"/>
            <w:hideMark/>
          </w:tcPr>
          <w:p w:rsidR="000C1E59" w:rsidRPr="00B75B77" w:rsidRDefault="000C1E59" w:rsidP="0063130A">
            <w:pPr>
              <w:keepNext/>
              <w:jc w:val="left"/>
              <w:rPr>
                <w:rFonts w:ascii="Calibri" w:eastAsia="Times New Roman" w:hAnsi="Calibri"/>
                <w:b/>
                <w:bCs/>
                <w:color w:val="000000"/>
                <w:sz w:val="18"/>
                <w:szCs w:val="18"/>
              </w:rPr>
            </w:pPr>
            <w:r w:rsidRPr="00B75B77">
              <w:rPr>
                <w:rFonts w:ascii="Calibri" w:eastAsia="Times New Roman" w:hAnsi="Calibri"/>
                <w:b/>
                <w:bCs/>
                <w:color w:val="000000"/>
                <w:sz w:val="18"/>
                <w:szCs w:val="18"/>
              </w:rPr>
              <w:t>TOTAL</w:t>
            </w:r>
          </w:p>
        </w:tc>
        <w:tc>
          <w:tcPr>
            <w:tcW w:w="135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b/>
                <w:color w:val="000000"/>
                <w:sz w:val="18"/>
                <w:szCs w:val="18"/>
              </w:rPr>
            </w:pPr>
            <w:r w:rsidRPr="00B75B77">
              <w:rPr>
                <w:b/>
                <w:sz w:val="18"/>
                <w:szCs w:val="18"/>
              </w:rPr>
              <w:t>880,127</w:t>
            </w:r>
          </w:p>
        </w:tc>
        <w:tc>
          <w:tcPr>
            <w:tcW w:w="11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b/>
                <w:color w:val="000000"/>
                <w:sz w:val="18"/>
                <w:szCs w:val="18"/>
              </w:rPr>
            </w:pPr>
            <w:r w:rsidRPr="00B75B77">
              <w:rPr>
                <w:b/>
                <w:sz w:val="18"/>
                <w:szCs w:val="18"/>
              </w:rPr>
              <w:t>1,001,723</w:t>
            </w:r>
          </w:p>
        </w:tc>
        <w:tc>
          <w:tcPr>
            <w:tcW w:w="12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b/>
                <w:color w:val="000000"/>
                <w:sz w:val="18"/>
                <w:szCs w:val="18"/>
              </w:rPr>
            </w:pPr>
            <w:r w:rsidRPr="00B75B77">
              <w:rPr>
                <w:b/>
                <w:sz w:val="18"/>
                <w:szCs w:val="18"/>
              </w:rPr>
              <w:t>-14%</w:t>
            </w:r>
          </w:p>
        </w:tc>
        <w:tc>
          <w:tcPr>
            <w:tcW w:w="10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b/>
                <w:color w:val="000000"/>
                <w:sz w:val="18"/>
                <w:szCs w:val="18"/>
              </w:rPr>
            </w:pPr>
            <w:r w:rsidRPr="00B75B77">
              <w:rPr>
                <w:b/>
                <w:sz w:val="18"/>
                <w:szCs w:val="18"/>
              </w:rPr>
              <w:t>269.3</w:t>
            </w:r>
          </w:p>
        </w:tc>
        <w:tc>
          <w:tcPr>
            <w:tcW w:w="11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b/>
                <w:color w:val="000000"/>
                <w:sz w:val="18"/>
                <w:szCs w:val="18"/>
              </w:rPr>
            </w:pPr>
            <w:r w:rsidRPr="00B75B77">
              <w:rPr>
                <w:b/>
                <w:sz w:val="18"/>
                <w:szCs w:val="18"/>
              </w:rPr>
              <w:t>204.1</w:t>
            </w:r>
          </w:p>
        </w:tc>
        <w:tc>
          <w:tcPr>
            <w:tcW w:w="1270" w:type="dxa"/>
            <w:tcBorders>
              <w:top w:val="nil"/>
              <w:left w:val="nil"/>
              <w:bottom w:val="single" w:sz="4" w:space="0" w:color="448A99"/>
              <w:right w:val="single" w:sz="4" w:space="0" w:color="448A99"/>
            </w:tcBorders>
            <w:shd w:val="clear" w:color="000000" w:fill="FFFFFF"/>
            <w:vAlign w:val="center"/>
            <w:hideMark/>
          </w:tcPr>
          <w:p w:rsidR="000C1E59" w:rsidRPr="00B75B77" w:rsidRDefault="000C1E59" w:rsidP="0063130A">
            <w:pPr>
              <w:keepNext/>
              <w:jc w:val="center"/>
              <w:rPr>
                <w:rFonts w:ascii="Calibri" w:eastAsia="Times New Roman" w:hAnsi="Calibri"/>
                <w:b/>
                <w:color w:val="000000"/>
                <w:sz w:val="18"/>
                <w:szCs w:val="18"/>
              </w:rPr>
            </w:pPr>
            <w:r w:rsidRPr="00B75B77">
              <w:rPr>
                <w:b/>
                <w:sz w:val="18"/>
                <w:szCs w:val="18"/>
              </w:rPr>
              <w:t>24%</w:t>
            </w:r>
          </w:p>
        </w:tc>
      </w:tr>
    </w:tbl>
    <w:p w:rsidR="000C1E59" w:rsidRPr="00B75B77" w:rsidRDefault="000C1E59" w:rsidP="0063130A">
      <w:pPr>
        <w:pStyle w:val="Source"/>
        <w:keepNext/>
        <w:spacing w:before="20" w:after="20"/>
        <w:ind w:left="187" w:firstLine="0"/>
        <w:rPr>
          <w:rStyle w:val="Strong"/>
          <w:b w:val="0"/>
          <w:bCs w:val="0"/>
          <w:i w:val="0"/>
        </w:rPr>
      </w:pPr>
      <w:r w:rsidRPr="00B75B77">
        <w:rPr>
          <w:rStyle w:val="Strong"/>
          <w:b w:val="0"/>
          <w:bCs w:val="0"/>
          <w:i w:val="0"/>
        </w:rPr>
        <w:t xml:space="preserve">Note: </w:t>
      </w:r>
      <w:r w:rsidRPr="00B75B77">
        <w:rPr>
          <w:rFonts w:ascii="Calibri" w:hAnsi="Calibri"/>
          <w:i w:val="0"/>
          <w:iCs/>
          <w:color w:val="000000"/>
          <w:szCs w:val="18"/>
        </w:rPr>
        <w:t>Values in tables may not reconcile exactly with the sum of more detailed level results or previously reported results due to rounding.</w:t>
      </w:r>
    </w:p>
    <w:p w:rsidR="000C1E59" w:rsidRPr="00B75B77" w:rsidRDefault="000C1E59" w:rsidP="00DB56F6">
      <w:pPr>
        <w:pStyle w:val="Source"/>
        <w:keepNext/>
      </w:pPr>
      <w:r w:rsidRPr="00B75B77">
        <w:rPr>
          <w:rStyle w:val="Strong"/>
          <w:b w:val="0"/>
          <w:bCs w:val="0"/>
        </w:rPr>
        <w:t>Source: Navigant analysis</w:t>
      </w:r>
    </w:p>
    <w:p w:rsidR="00DB56F6" w:rsidRPr="00B75B77" w:rsidRDefault="00DB56F6" w:rsidP="00DB56F6">
      <w:pPr>
        <w:spacing w:after="120"/>
      </w:pPr>
      <w:r w:rsidRPr="00B75B77">
        <w:t>Several programs exceeded or fell short of projected gross energy savings by 5 percent or more in Phase II. Reasons for this variation differ from program to program, but there are several general factors that affected results across the portfolio. These include, but are not limited to, the following:</w:t>
      </w:r>
    </w:p>
    <w:p w:rsidR="00DB56F6" w:rsidRPr="00B75B77" w:rsidRDefault="00DB56F6" w:rsidP="0055143E">
      <w:pPr>
        <w:pStyle w:val="ListParagraph"/>
        <w:numPr>
          <w:ilvl w:val="0"/>
          <w:numId w:val="113"/>
        </w:numPr>
        <w:spacing w:after="120"/>
      </w:pPr>
      <w:r w:rsidRPr="00B75B77">
        <w:t>Higher or lower than projected adoption of planned program measures</w:t>
      </w:r>
    </w:p>
    <w:p w:rsidR="00DB56F6" w:rsidRPr="00B75B77" w:rsidRDefault="00DB56F6" w:rsidP="0055143E">
      <w:pPr>
        <w:pStyle w:val="ListParagraph"/>
        <w:numPr>
          <w:ilvl w:val="0"/>
          <w:numId w:val="113"/>
        </w:numPr>
        <w:spacing w:after="120"/>
      </w:pPr>
      <w:r w:rsidRPr="00B75B77">
        <w:t>Higher or lower than projected participation in the programs</w:t>
      </w:r>
    </w:p>
    <w:p w:rsidR="00DB56F6" w:rsidRPr="00B75B77" w:rsidRDefault="00DB56F6" w:rsidP="0055143E">
      <w:pPr>
        <w:pStyle w:val="ListParagraph"/>
        <w:numPr>
          <w:ilvl w:val="0"/>
          <w:numId w:val="113"/>
        </w:numPr>
        <w:spacing w:after="120"/>
      </w:pPr>
      <w:r w:rsidRPr="00B75B77">
        <w:t>Pauses or ramp ups in program implementation efforts due to strategy, market conditions, or CSP disruptions such as bankruptcy</w:t>
      </w:r>
    </w:p>
    <w:p w:rsidR="00DB56F6" w:rsidRPr="00B75B77" w:rsidRDefault="00DB56F6" w:rsidP="0055143E">
      <w:pPr>
        <w:pStyle w:val="ListParagraph"/>
        <w:numPr>
          <w:ilvl w:val="0"/>
          <w:numId w:val="113"/>
        </w:numPr>
        <w:spacing w:after="120"/>
      </w:pPr>
      <w:r w:rsidRPr="00B75B77">
        <w:t>Implementation or elimination of special limited-time incentives for program participation</w:t>
      </w:r>
    </w:p>
    <w:p w:rsidR="00DB56F6" w:rsidRPr="00B75B77" w:rsidRDefault="00DB56F6" w:rsidP="00DB56F6">
      <w:pPr>
        <w:spacing w:after="120"/>
      </w:pPr>
      <w:r w:rsidRPr="00B75B77">
        <w:t>The list below briefly discusses several key reasons why programs exceeded or fell short of projected gross energy savings by 5 percent or more</w:t>
      </w:r>
      <w:r w:rsidR="00B8540D" w:rsidRPr="00B75B77">
        <w:t xml:space="preserve"> in Phase II</w:t>
      </w:r>
      <w:r w:rsidRPr="00B75B77">
        <w:t xml:space="preserve">. </w:t>
      </w:r>
    </w:p>
    <w:p w:rsidR="00B13040" w:rsidRPr="00B75B77" w:rsidRDefault="00B13040" w:rsidP="0055143E">
      <w:pPr>
        <w:pStyle w:val="ListParagraph"/>
        <w:numPr>
          <w:ilvl w:val="0"/>
          <w:numId w:val="114"/>
        </w:numPr>
        <w:spacing w:after="120"/>
      </w:pPr>
      <w:r w:rsidRPr="00B75B77">
        <w:t xml:space="preserve">Smart Appliance Recycling: The SAR program’s </w:t>
      </w:r>
      <w:r w:rsidR="006F46B1" w:rsidRPr="00B75B77">
        <w:t>CSP</w:t>
      </w:r>
      <w:r w:rsidRPr="00B75B77">
        <w:t xml:space="preserve">, JACO, went </w:t>
      </w:r>
      <w:r w:rsidR="006F46B1" w:rsidRPr="00B75B77">
        <w:t>into</w:t>
      </w:r>
      <w:r w:rsidRPr="00B75B77">
        <w:t xml:space="preserve"> bankruptcy </w:t>
      </w:r>
      <w:r w:rsidR="006F46B1" w:rsidRPr="00B75B77">
        <w:t>during</w:t>
      </w:r>
      <w:r w:rsidRPr="00B75B77">
        <w:t xml:space="preserve"> PY7. This caused a disruption in implementation efforts and resulted in a shortfall in program savings</w:t>
      </w:r>
      <w:r w:rsidR="00EF5768" w:rsidRPr="00B75B77">
        <w:t xml:space="preserve"> for Phase II</w:t>
      </w:r>
      <w:r w:rsidRPr="00B75B77">
        <w:t>.</w:t>
      </w:r>
    </w:p>
    <w:p w:rsidR="00B13040" w:rsidRPr="00B75B77" w:rsidRDefault="00B13040" w:rsidP="0055143E">
      <w:pPr>
        <w:pStyle w:val="ListParagraph"/>
        <w:numPr>
          <w:ilvl w:val="0"/>
          <w:numId w:val="114"/>
        </w:numPr>
        <w:spacing w:after="120"/>
      </w:pPr>
      <w:r w:rsidRPr="00B75B77">
        <w:tab/>
        <w:t xml:space="preserve">Smart Builder Rebates: The SBR program had </w:t>
      </w:r>
      <w:r w:rsidR="004B47A5" w:rsidRPr="00B75B77">
        <w:t xml:space="preserve">difficulty recruiting builders of electrically heated ENERGY STAR-certified homes in PY5, leading to a slow start to Phase II. SBR later expanded the </w:t>
      </w:r>
      <w:r w:rsidR="006F46B1" w:rsidRPr="00B75B77">
        <w:lastRenderedPageBreak/>
        <w:t>program</w:t>
      </w:r>
      <w:r w:rsidR="004B47A5" w:rsidRPr="00B75B77">
        <w:t xml:space="preserve"> eligibility to allow gas-heated homes in PY6 and had </w:t>
      </w:r>
      <w:r w:rsidRPr="00B75B77">
        <w:t>high adoption among a few key production builders</w:t>
      </w:r>
      <w:r w:rsidR="004B47A5" w:rsidRPr="00B75B77">
        <w:t xml:space="preserve"> in PY7</w:t>
      </w:r>
      <w:r w:rsidRPr="00B75B77">
        <w:t>, boosting the program to exceed the planned savings</w:t>
      </w:r>
      <w:r w:rsidR="00EF5768" w:rsidRPr="00B75B77">
        <w:t xml:space="preserve"> for Phase </w:t>
      </w:r>
      <w:r w:rsidR="004B47A5" w:rsidRPr="00B75B77">
        <w:t>II</w:t>
      </w:r>
      <w:r w:rsidRPr="00B75B77">
        <w:t>.</w:t>
      </w:r>
    </w:p>
    <w:p w:rsidR="00B13040" w:rsidRPr="00B75B77" w:rsidRDefault="00B13040" w:rsidP="0055143E">
      <w:pPr>
        <w:pStyle w:val="ListParagraph"/>
        <w:numPr>
          <w:ilvl w:val="0"/>
          <w:numId w:val="114"/>
        </w:numPr>
        <w:spacing w:after="120"/>
      </w:pPr>
      <w:r w:rsidRPr="00B75B77">
        <w:tab/>
        <w:t>Smart Energy Saver: The SES program had high</w:t>
      </w:r>
      <w:r w:rsidR="0061285E" w:rsidRPr="00B75B77">
        <w:t>er than projected participation in Phase II. It also had</w:t>
      </w:r>
      <w:r w:rsidRPr="00B75B77">
        <w:t xml:space="preserve"> high satisfaction among classroom teachers that helped facilitate the program and the measures had high adoption among participating families, leading the program to exceed the planned savings</w:t>
      </w:r>
      <w:r w:rsidR="00EF5768" w:rsidRPr="00B75B77">
        <w:t xml:space="preserve"> for Phase </w:t>
      </w:r>
      <w:r w:rsidR="004B47A5" w:rsidRPr="00B75B77">
        <w:t>I</w:t>
      </w:r>
      <w:r w:rsidR="00EF5768" w:rsidRPr="00B75B77">
        <w:t>I</w:t>
      </w:r>
      <w:r w:rsidRPr="00B75B77">
        <w:t>.</w:t>
      </w:r>
    </w:p>
    <w:p w:rsidR="00B13040" w:rsidRPr="00B75B77" w:rsidRDefault="00B13040" w:rsidP="0055143E">
      <w:pPr>
        <w:pStyle w:val="ListParagraph"/>
        <w:numPr>
          <w:ilvl w:val="0"/>
          <w:numId w:val="114"/>
        </w:numPr>
        <w:spacing w:after="120"/>
      </w:pPr>
      <w:r w:rsidRPr="00B75B77">
        <w:tab/>
        <w:t xml:space="preserve">Smart Home Rebates: The SHR program </w:t>
      </w:r>
      <w:r w:rsidR="009B5369" w:rsidRPr="00B75B77">
        <w:t>h</w:t>
      </w:r>
      <w:r w:rsidR="003771D9" w:rsidRPr="00B75B77">
        <w:t xml:space="preserve">ad high </w:t>
      </w:r>
      <w:r w:rsidR="00A15C7D" w:rsidRPr="00B75B77">
        <w:t xml:space="preserve">cross-sector </w:t>
      </w:r>
      <w:r w:rsidR="003771D9" w:rsidRPr="00B75B77">
        <w:t>installation rates</w:t>
      </w:r>
      <w:r w:rsidR="009B5369" w:rsidRPr="00B75B77">
        <w:t xml:space="preserve"> of non-residential lighting measures in Phase II</w:t>
      </w:r>
      <w:r w:rsidR="003771D9" w:rsidRPr="00B75B77">
        <w:t xml:space="preserve">, driving up </w:t>
      </w:r>
      <w:r w:rsidR="00A15C7D" w:rsidRPr="00B75B77">
        <w:t xml:space="preserve">verified </w:t>
      </w:r>
      <w:r w:rsidR="003771D9" w:rsidRPr="00B75B77">
        <w:t>program savings</w:t>
      </w:r>
      <w:r w:rsidR="009B5369" w:rsidRPr="00B75B77">
        <w:t xml:space="preserve">. In addition, </w:t>
      </w:r>
      <w:r w:rsidR="006F46B1" w:rsidRPr="00B75B77">
        <w:t xml:space="preserve">PECO </w:t>
      </w:r>
      <w:proofErr w:type="gramStart"/>
      <w:r w:rsidR="006F46B1" w:rsidRPr="00B75B77">
        <w:t>ramped</w:t>
      </w:r>
      <w:proofErr w:type="gramEnd"/>
      <w:r w:rsidR="009B5369" w:rsidRPr="00B75B77">
        <w:t xml:space="preserve"> the program </w:t>
      </w:r>
      <w:r w:rsidRPr="00B75B77">
        <w:t xml:space="preserve">up </w:t>
      </w:r>
      <w:r w:rsidR="009B5369" w:rsidRPr="00B75B77">
        <w:t>in PY7</w:t>
      </w:r>
      <w:r w:rsidRPr="00B75B77">
        <w:t xml:space="preserve"> to help compensate for a forecast shortfall in overall </w:t>
      </w:r>
      <w:r w:rsidR="006F46B1" w:rsidRPr="00B75B77">
        <w:t>portfolio</w:t>
      </w:r>
      <w:r w:rsidRPr="00B75B77">
        <w:t xml:space="preserve"> C&amp;I sector participation, causing the program to exceed planned savings</w:t>
      </w:r>
      <w:r w:rsidR="00EF5768" w:rsidRPr="00B75B77">
        <w:t xml:space="preserve"> for Phase </w:t>
      </w:r>
      <w:r w:rsidR="004B47A5" w:rsidRPr="00B75B77">
        <w:t>I</w:t>
      </w:r>
      <w:r w:rsidR="00EF5768" w:rsidRPr="00B75B77">
        <w:t>I</w:t>
      </w:r>
      <w:r w:rsidRPr="00B75B77">
        <w:t xml:space="preserve">. </w:t>
      </w:r>
    </w:p>
    <w:p w:rsidR="00B13040" w:rsidRPr="00B75B77" w:rsidRDefault="00B13040" w:rsidP="0055143E">
      <w:pPr>
        <w:pStyle w:val="ListParagraph"/>
        <w:numPr>
          <w:ilvl w:val="0"/>
          <w:numId w:val="114"/>
        </w:numPr>
        <w:spacing w:after="120"/>
      </w:pPr>
      <w:r w:rsidRPr="00B75B77">
        <w:tab/>
        <w:t>Smart House Call: The SHC program had higher than projected participation</w:t>
      </w:r>
      <w:r w:rsidR="00EF5768" w:rsidRPr="00B75B77">
        <w:t xml:space="preserve"> in PY7</w:t>
      </w:r>
      <w:r w:rsidR="005B0172" w:rsidRPr="00B75B77">
        <w:t>, but adoption of prescriptive non-DI measures was slower than projected in PY5</w:t>
      </w:r>
      <w:r w:rsidRPr="00B75B77">
        <w:t xml:space="preserve"> and </w:t>
      </w:r>
      <w:r w:rsidR="005B0172" w:rsidRPr="00B75B77">
        <w:t>PY6</w:t>
      </w:r>
      <w:r w:rsidR="00EF5768" w:rsidRPr="00B75B77">
        <w:t>.</w:t>
      </w:r>
      <w:r w:rsidRPr="00B75B77">
        <w:t xml:space="preserve"> This led the program to </w:t>
      </w:r>
      <w:r w:rsidR="005B0172" w:rsidRPr="00B75B77">
        <w:t>fall short of</w:t>
      </w:r>
      <w:r w:rsidRPr="00B75B77">
        <w:t xml:space="preserve"> planned savings</w:t>
      </w:r>
      <w:r w:rsidR="005B0172" w:rsidRPr="00B75B77">
        <w:t xml:space="preserve"> for Phase </w:t>
      </w:r>
      <w:r w:rsidR="004B47A5" w:rsidRPr="00B75B77">
        <w:t>II</w:t>
      </w:r>
      <w:r w:rsidRPr="00B75B77">
        <w:t xml:space="preserve">. </w:t>
      </w:r>
    </w:p>
    <w:p w:rsidR="00B13040" w:rsidRPr="00B75B77" w:rsidRDefault="00B13040" w:rsidP="0055143E">
      <w:pPr>
        <w:pStyle w:val="ListParagraph"/>
        <w:numPr>
          <w:ilvl w:val="0"/>
          <w:numId w:val="114"/>
        </w:numPr>
        <w:spacing w:after="120"/>
      </w:pPr>
      <w:r w:rsidRPr="00B75B77">
        <w:tab/>
        <w:t>Smart Multi-Family Solutions: The SMF program had good adoption of DI measures but lower than projected adoption of the prescriptive measures offered, resulting in a shortfall in program savings</w:t>
      </w:r>
      <w:r w:rsidR="00673228" w:rsidRPr="00B75B77">
        <w:t xml:space="preserve"> for Phase II</w:t>
      </w:r>
      <w:r w:rsidRPr="00B75B77">
        <w:t>.</w:t>
      </w:r>
    </w:p>
    <w:p w:rsidR="00B13040" w:rsidRPr="00B75B77" w:rsidRDefault="00B13040" w:rsidP="0055143E">
      <w:pPr>
        <w:pStyle w:val="ListParagraph"/>
        <w:numPr>
          <w:ilvl w:val="0"/>
          <w:numId w:val="114"/>
        </w:numPr>
        <w:spacing w:after="120"/>
      </w:pPr>
      <w:r w:rsidRPr="00B75B77">
        <w:tab/>
        <w:t xml:space="preserve">Smart Usage Profile: The SUP program ramped up implementation efforts to help compensate for a forecast shortfall in overall </w:t>
      </w:r>
      <w:r w:rsidR="006F46B1" w:rsidRPr="00B75B77">
        <w:t xml:space="preserve">portfolio </w:t>
      </w:r>
      <w:r w:rsidRPr="00B75B77">
        <w:t>C&amp;I sector participation, causing the program to exceed planned savings</w:t>
      </w:r>
      <w:r w:rsidR="00FE6039" w:rsidRPr="00B75B77">
        <w:t xml:space="preserve"> </w:t>
      </w:r>
      <w:r w:rsidR="00720BDD" w:rsidRPr="00B75B77">
        <w:t>fo</w:t>
      </w:r>
      <w:r w:rsidR="00FE6039" w:rsidRPr="00B75B77">
        <w:t>r Phase II</w:t>
      </w:r>
      <w:r w:rsidRPr="00B75B77">
        <w:t>.</w:t>
      </w:r>
    </w:p>
    <w:p w:rsidR="00B13040" w:rsidRPr="00B75B77" w:rsidRDefault="00B13040" w:rsidP="0055143E">
      <w:pPr>
        <w:pStyle w:val="ListParagraph"/>
        <w:numPr>
          <w:ilvl w:val="0"/>
          <w:numId w:val="114"/>
        </w:numPr>
        <w:spacing w:after="120"/>
      </w:pPr>
      <w:r w:rsidRPr="00B75B77">
        <w:tab/>
        <w:t>Smart Business Solutions: The SBS program had lower implementation of higher-savings non-fluorescent lighting measures than projected, leading to a shortfall in program savings</w:t>
      </w:r>
      <w:r w:rsidR="00C367F5" w:rsidRPr="00B75B77">
        <w:t xml:space="preserve"> </w:t>
      </w:r>
      <w:r w:rsidR="00720BDD" w:rsidRPr="00B75B77">
        <w:t>for</w:t>
      </w:r>
      <w:r w:rsidR="00C367F5" w:rsidRPr="00B75B77">
        <w:t xml:space="preserve"> Phase II</w:t>
      </w:r>
      <w:r w:rsidRPr="00B75B77">
        <w:t>.</w:t>
      </w:r>
    </w:p>
    <w:p w:rsidR="00B13040" w:rsidRPr="00B75B77" w:rsidRDefault="00B13040" w:rsidP="0055143E">
      <w:pPr>
        <w:pStyle w:val="ListParagraph"/>
        <w:numPr>
          <w:ilvl w:val="0"/>
          <w:numId w:val="114"/>
        </w:numPr>
        <w:spacing w:after="120"/>
      </w:pPr>
      <w:r w:rsidRPr="00B75B77">
        <w:t>Smart Construction Ince</w:t>
      </w:r>
      <w:r w:rsidR="00A33F19" w:rsidRPr="00B75B77">
        <w:t>n</w:t>
      </w:r>
      <w:r w:rsidRPr="00B75B77">
        <w:t>tives:</w:t>
      </w:r>
      <w:r w:rsidR="00C367F5" w:rsidRPr="00B75B77">
        <w:t xml:space="preserve"> The SCI program </w:t>
      </w:r>
      <w:r w:rsidR="006F46B1" w:rsidRPr="00B75B77">
        <w:t>paused</w:t>
      </w:r>
      <w:r w:rsidR="00C367F5" w:rsidRPr="00B75B77">
        <w:t xml:space="preserve"> recruiting and marketing efforts at the beginning of PY5</w:t>
      </w:r>
      <w:r w:rsidR="00A15C7D" w:rsidRPr="00B75B77">
        <w:t xml:space="preserve"> to revamp its messaging</w:t>
      </w:r>
      <w:r w:rsidR="00C367F5" w:rsidRPr="00B75B77">
        <w:t>, causing a slow ramp up for the program</w:t>
      </w:r>
      <w:r w:rsidR="00B26C70" w:rsidRPr="00B75B77">
        <w:t xml:space="preserve"> in Phase II</w:t>
      </w:r>
      <w:r w:rsidR="00C367F5" w:rsidRPr="00B75B77">
        <w:t>. This pause, combined with the long lead</w:t>
      </w:r>
      <w:r w:rsidR="006F46B1" w:rsidRPr="00B75B77">
        <w:t>-</w:t>
      </w:r>
      <w:r w:rsidR="00C367F5" w:rsidRPr="00B75B77">
        <w:t xml:space="preserve">time </w:t>
      </w:r>
      <w:r w:rsidR="006F46B1" w:rsidRPr="00B75B77">
        <w:t>that is</w:t>
      </w:r>
      <w:r w:rsidR="00C367F5" w:rsidRPr="00B75B77">
        <w:t xml:space="preserve"> typical for C&amp;I and GNI new construction projects, resulted in a shortfall in program savings for Phase II.</w:t>
      </w:r>
    </w:p>
    <w:p w:rsidR="00B13040" w:rsidRPr="00B75B77" w:rsidRDefault="00B13040" w:rsidP="0055143E">
      <w:pPr>
        <w:pStyle w:val="ListParagraph"/>
        <w:numPr>
          <w:ilvl w:val="0"/>
          <w:numId w:val="114"/>
        </w:numPr>
        <w:spacing w:after="120"/>
      </w:pPr>
      <w:r w:rsidRPr="00B75B77">
        <w:tab/>
        <w:t xml:space="preserve">Smart Equipment Incentives: The SEI program had </w:t>
      </w:r>
      <w:r w:rsidR="000B5827" w:rsidRPr="00B75B77">
        <w:t>good adoption among</w:t>
      </w:r>
      <w:r w:rsidRPr="00B75B77">
        <w:t xml:space="preserve"> C&amp;I </w:t>
      </w:r>
      <w:r w:rsidR="000B5827" w:rsidRPr="00B75B77">
        <w:t xml:space="preserve">and GNI </w:t>
      </w:r>
      <w:r w:rsidRPr="00B75B77">
        <w:t xml:space="preserve">customers with large projects and had more participation than projected in the GNI sector. </w:t>
      </w:r>
      <w:r w:rsidR="00A15C7D" w:rsidRPr="00B75B77">
        <w:t>Further, initial forecasts for projects that would complete in PY7 underestimated the final completion numbers for the year. The program ramped up efforts to compensate for the forecast. The combination of these factors led the program to exceed planned savings in both the C&amp;I and GNI sectors.</w:t>
      </w:r>
    </w:p>
    <w:p w:rsidR="00B13040" w:rsidRPr="00B75B77" w:rsidRDefault="00B13040" w:rsidP="0055143E">
      <w:pPr>
        <w:pStyle w:val="ListParagraph"/>
        <w:numPr>
          <w:ilvl w:val="0"/>
          <w:numId w:val="114"/>
        </w:numPr>
      </w:pPr>
      <w:r w:rsidRPr="00B75B77">
        <w:tab/>
        <w:t>Smart On-Site: The SOS had projects that were larger than projected, causing the program to exceed planned savings</w:t>
      </w:r>
      <w:r w:rsidR="00720BDD" w:rsidRPr="00B75B77">
        <w:t xml:space="preserve"> for Phase II</w:t>
      </w:r>
      <w:r w:rsidRPr="00B75B77">
        <w:t>.</w:t>
      </w:r>
    </w:p>
    <w:p w:rsidR="000045D1" w:rsidRPr="00B75B77" w:rsidRDefault="000045D1" w:rsidP="000045D1">
      <w:bookmarkStart w:id="223" w:name="_Toc390943356"/>
      <w:bookmarkStart w:id="224" w:name="_Toc453075177"/>
      <w:bookmarkStart w:id="225" w:name="_Ref464557120"/>
    </w:p>
    <w:p w:rsidR="000045D1" w:rsidRPr="00B75B77" w:rsidRDefault="000045D1" w:rsidP="000045D1">
      <w:r w:rsidRPr="00B75B77">
        <w:t xml:space="preserve">Navigant summarizes recommendations for Phase III based on these observations in Section </w:t>
      </w:r>
      <w:r w:rsidRPr="00B75B77">
        <w:fldChar w:fldCharType="begin"/>
      </w:r>
      <w:r w:rsidRPr="00B75B77">
        <w:instrText xml:space="preserve"> REF _Ref464557120 \n \h  \* MERGEFORMAT </w:instrText>
      </w:r>
      <w:r w:rsidRPr="00B75B77">
        <w:fldChar w:fldCharType="separate"/>
      </w:r>
      <w:r w:rsidR="0004016D">
        <w:t>0</w:t>
      </w:r>
      <w:r w:rsidRPr="00B75B77">
        <w:fldChar w:fldCharType="end"/>
      </w:r>
      <w:r w:rsidRPr="00B75B77">
        <w:t>.</w:t>
      </w:r>
    </w:p>
    <w:p w:rsidR="00DB56F6" w:rsidRPr="00B75B77" w:rsidRDefault="00DB56F6" w:rsidP="00E4391A"/>
    <w:p w:rsidR="000C1E59" w:rsidRPr="00B75B77" w:rsidRDefault="000C1E59" w:rsidP="003E6A9B">
      <w:pPr>
        <w:pStyle w:val="Heading2"/>
      </w:pPr>
      <w:bookmarkStart w:id="226" w:name="_Toc466413271"/>
      <w:r w:rsidRPr="00B75B77">
        <w:t>Portfolio Level/Cross-</w:t>
      </w:r>
      <w:r w:rsidR="00B25D8C" w:rsidRPr="00B75B77">
        <w:t>C</w:t>
      </w:r>
      <w:r w:rsidRPr="00B75B77">
        <w:t>utting Process and Impact Evaluation Summary for PY7</w:t>
      </w:r>
      <w:bookmarkEnd w:id="223"/>
      <w:bookmarkEnd w:id="224"/>
      <w:bookmarkEnd w:id="225"/>
      <w:bookmarkEnd w:id="226"/>
      <w:r w:rsidRPr="00B75B77">
        <w:t xml:space="preserve"> </w:t>
      </w:r>
    </w:p>
    <w:p w:rsidR="000C1E59" w:rsidRPr="00B75B77" w:rsidRDefault="000C1E59" w:rsidP="00F94CBE">
      <w:pPr>
        <w:keepNext/>
        <w:keepLines/>
      </w:pPr>
      <w:r w:rsidRPr="00B75B77">
        <w:t xml:space="preserve">The evaluation team completed the PY7 program-level evaluations using multiple techniques. The team reviewed over 4 million records, </w:t>
      </w:r>
      <w:r w:rsidR="0063130A" w:rsidRPr="00B75B77">
        <w:t>conducted</w:t>
      </w:r>
      <w:r w:rsidRPr="00B75B77">
        <w:t xml:space="preserve"> dozens of site visits, surveyed nearly 1,500 customers, and conducted interviews with PECO and </w:t>
      </w:r>
      <w:r w:rsidR="00B25D8C" w:rsidRPr="00B75B77">
        <w:t>c</w:t>
      </w:r>
      <w:r w:rsidRPr="00B75B77">
        <w:t xml:space="preserve">onservation </w:t>
      </w:r>
      <w:r w:rsidR="00B25D8C" w:rsidRPr="00B75B77">
        <w:t>s</w:t>
      </w:r>
      <w:r w:rsidRPr="00B75B77">
        <w:t xml:space="preserve">ervice </w:t>
      </w:r>
      <w:r w:rsidR="00B25D8C" w:rsidRPr="00B75B77">
        <w:t>p</w:t>
      </w:r>
      <w:r w:rsidRPr="00B75B77">
        <w:t>rovider (CSP) staff, trade allies, and other market actors. These various approaches help ensure both a thorough review of the PECO Smart Ideas portfolio as well as a cost-effective means of evaluation.</w:t>
      </w:r>
    </w:p>
    <w:p w:rsidR="000C1E59" w:rsidRPr="00B75B77" w:rsidRDefault="000C1E59" w:rsidP="00F94CBE"/>
    <w:p w:rsidR="000C1E59" w:rsidRPr="00B75B77" w:rsidRDefault="00B25D8C" w:rsidP="00F94CBE">
      <w:r w:rsidRPr="00B75B77">
        <w:t>T</w:t>
      </w:r>
      <w:r w:rsidR="000C1E59" w:rsidRPr="00B75B77">
        <w:t xml:space="preserve">he evaluation team provided various recommendations </w:t>
      </w:r>
      <w:r w:rsidRPr="00B75B77">
        <w:t xml:space="preserve">across PECO’s entire portfolio </w:t>
      </w:r>
      <w:r w:rsidR="000C1E59" w:rsidRPr="00B75B77">
        <w:t xml:space="preserve">that PECO will evaluate for implementation in Phase III. The evaluation team’s first recommendation is that PECO should strive for a </w:t>
      </w:r>
      <w:r w:rsidR="00EA756B" w:rsidRPr="00B75B77">
        <w:t xml:space="preserve">more </w:t>
      </w:r>
      <w:r w:rsidR="000C1E59" w:rsidRPr="00B75B77">
        <w:t xml:space="preserve">comprehensive Phase III </w:t>
      </w:r>
      <w:r w:rsidR="00EA756B" w:rsidRPr="00B75B77">
        <w:t xml:space="preserve">portfolio </w:t>
      </w:r>
      <w:r w:rsidR="000C1E59" w:rsidRPr="00B75B77">
        <w:t xml:space="preserve">to include </w:t>
      </w:r>
      <w:r w:rsidR="00EA756B" w:rsidRPr="00B75B77">
        <w:t xml:space="preserve">a more diverse </w:t>
      </w:r>
      <w:r w:rsidR="000C1E59" w:rsidRPr="00B75B77">
        <w:t xml:space="preserve">measure mix, </w:t>
      </w:r>
      <w:r w:rsidR="00EA756B" w:rsidRPr="00B75B77">
        <w:t>a more representative</w:t>
      </w:r>
      <w:r w:rsidR="000C1E59" w:rsidRPr="00B75B77">
        <w:t xml:space="preserve"> </w:t>
      </w:r>
      <w:r w:rsidR="00EA756B" w:rsidRPr="00B75B77">
        <w:t xml:space="preserve">mix of </w:t>
      </w:r>
      <w:r w:rsidR="000C1E59" w:rsidRPr="00B75B77">
        <w:t xml:space="preserve">business </w:t>
      </w:r>
      <w:r w:rsidR="00EA756B" w:rsidRPr="00B75B77">
        <w:t xml:space="preserve">types </w:t>
      </w:r>
      <w:r w:rsidR="000C1E59" w:rsidRPr="00B75B77">
        <w:t>and residential</w:t>
      </w:r>
      <w:r w:rsidR="00EA756B" w:rsidRPr="00B75B77">
        <w:t xml:space="preserve"> demographics</w:t>
      </w:r>
      <w:r w:rsidR="000C1E59" w:rsidRPr="00B75B77">
        <w:t xml:space="preserve">, and </w:t>
      </w:r>
      <w:r w:rsidR="00EA756B" w:rsidRPr="00B75B77">
        <w:t xml:space="preserve">strive to further penetrate </w:t>
      </w:r>
      <w:r w:rsidR="000C1E59" w:rsidRPr="00B75B77">
        <w:t>hard</w:t>
      </w:r>
      <w:r w:rsidRPr="00B75B77">
        <w:t>-</w:t>
      </w:r>
      <w:r w:rsidR="000C1E59" w:rsidRPr="00B75B77">
        <w:t>to</w:t>
      </w:r>
      <w:r w:rsidRPr="00B75B77">
        <w:t>-</w:t>
      </w:r>
      <w:r w:rsidR="000C1E59" w:rsidRPr="00B75B77">
        <w:t xml:space="preserve">reach market segments. PECO moved toward this comprehensive approach in Phase II and </w:t>
      </w:r>
      <w:r w:rsidR="000C1E59" w:rsidRPr="00B75B77">
        <w:lastRenderedPageBreak/>
        <w:t xml:space="preserve">should continue down </w:t>
      </w:r>
      <w:r w:rsidR="00EA756B" w:rsidRPr="00B75B77">
        <w:t xml:space="preserve">this </w:t>
      </w:r>
      <w:r w:rsidR="000C1E59" w:rsidRPr="00B75B77">
        <w:t>path in Phase III. Seven of the 13 program</w:t>
      </w:r>
      <w:r w:rsidR="00EA756B" w:rsidRPr="00B75B77">
        <w:t xml:space="preserve"> evaluations</w:t>
      </w:r>
      <w:r w:rsidR="000C1E59" w:rsidRPr="00B75B77">
        <w:t xml:space="preserve"> </w:t>
      </w:r>
      <w:r w:rsidR="00EA756B" w:rsidRPr="00B75B77">
        <w:t xml:space="preserve">include </w:t>
      </w:r>
      <w:r w:rsidR="000C1E59" w:rsidRPr="00B75B77">
        <w:t>a recommendation about comprehensiveness. Some focused on the measures (e</w:t>
      </w:r>
      <w:r w:rsidR="00845869" w:rsidRPr="00B75B77">
        <w:t>.</w:t>
      </w:r>
      <w:r w:rsidR="000C1E59" w:rsidRPr="00B75B77">
        <w:t>g</w:t>
      </w:r>
      <w:r w:rsidR="0063130A" w:rsidRPr="00B75B77">
        <w:t>.</w:t>
      </w:r>
      <w:r w:rsidR="000C1E59" w:rsidRPr="00B75B77">
        <w:t>, LED and TLED, moving beyond lighting projects) while others suggested applying outreach tactics to reach new customer segments and expand the reach of the programs.</w:t>
      </w:r>
    </w:p>
    <w:p w:rsidR="000C1E59" w:rsidRPr="00B75B77" w:rsidRDefault="000C1E59" w:rsidP="00F94CBE"/>
    <w:p w:rsidR="000C1E59" w:rsidRPr="00B75B77" w:rsidRDefault="000C1E59" w:rsidP="00F94CBE">
      <w:r w:rsidRPr="00B75B77">
        <w:t xml:space="preserve">Another recommendation is that PECO should approach some of its programs as channeling programs to enhance the customer experience across the portfolio. Programs that could be feeder programs include those that offer direct install measures to customers. These programs appear to be missing an opportunity to make the customers that </w:t>
      </w:r>
      <w:proofErr w:type="gramStart"/>
      <w:r w:rsidRPr="00B75B77">
        <w:t>participate</w:t>
      </w:r>
      <w:proofErr w:type="gramEnd"/>
      <w:r w:rsidRPr="00B75B77">
        <w:t xml:space="preserve"> an energy efficiency partner for life. </w:t>
      </w:r>
    </w:p>
    <w:p w:rsidR="000C1E59" w:rsidRPr="00B75B77" w:rsidRDefault="000C1E59" w:rsidP="00F94CBE"/>
    <w:p w:rsidR="000C1E59" w:rsidRPr="00B75B77" w:rsidRDefault="000C1E59" w:rsidP="00F94CBE">
      <w:r w:rsidRPr="00B75B77">
        <w:t xml:space="preserve">Several programs could benefit from insights derived from data on household and business characteristics, customer lifestyles and </w:t>
      </w:r>
      <w:r w:rsidR="00B25D8C" w:rsidRPr="00B75B77">
        <w:t>decision-making</w:t>
      </w:r>
      <w:r w:rsidRPr="00B75B77">
        <w:t>, and customer propensity to participate in PECO programs. This information will help PECO improve customer experience and achieve deeper energy savings across the portfolio in Phase III.</w:t>
      </w:r>
    </w:p>
    <w:p w:rsidR="000C1E59" w:rsidRPr="00B75B77" w:rsidRDefault="000C1E59" w:rsidP="00B85F3B"/>
    <w:p w:rsidR="000C1E59" w:rsidRPr="00B75B77" w:rsidRDefault="000C1E59" w:rsidP="007F0E4E">
      <w:r w:rsidRPr="00B75B77">
        <w:fldChar w:fldCharType="begin"/>
      </w:r>
      <w:r w:rsidRPr="00B75B77">
        <w:instrText xml:space="preserve"> REF _Ref448933594 \h </w:instrText>
      </w:r>
      <w:r w:rsidR="00B75B77">
        <w:instrText xml:space="preserve"> \* MERGEFORMAT </w:instrText>
      </w:r>
      <w:r w:rsidRPr="00B75B77">
        <w:fldChar w:fldCharType="separate"/>
      </w:r>
      <w:r w:rsidR="0004016D" w:rsidRPr="00B75B77">
        <w:t xml:space="preserve">Table </w:t>
      </w:r>
      <w:r w:rsidR="0004016D">
        <w:rPr>
          <w:noProof/>
        </w:rPr>
        <w:t>1</w:t>
      </w:r>
      <w:r w:rsidR="0004016D" w:rsidRPr="00B75B77">
        <w:rPr>
          <w:noProof/>
        </w:rPr>
        <w:noBreakHyphen/>
      </w:r>
      <w:r w:rsidR="0004016D">
        <w:rPr>
          <w:noProof/>
        </w:rPr>
        <w:t>22</w:t>
      </w:r>
      <w:r w:rsidRPr="00B75B77">
        <w:fldChar w:fldCharType="end"/>
      </w:r>
      <w:r w:rsidRPr="00B75B77">
        <w:t xml:space="preserve"> shows overarching process and impact recommendations that affect multiple programs or the portfolio.</w:t>
      </w:r>
      <w:r w:rsidR="00554A5E" w:rsidRPr="00B75B77">
        <w:t xml:space="preserve"> Program specific recommendations are </w:t>
      </w:r>
      <w:r w:rsidR="009340F9" w:rsidRPr="00B75B77">
        <w:t>listed</w:t>
      </w:r>
      <w:r w:rsidR="00554A5E" w:rsidRPr="00B75B77">
        <w:t xml:space="preserve"> in each program section of the report.</w:t>
      </w:r>
    </w:p>
    <w:p w:rsidR="000C1E59" w:rsidRPr="00B75B77" w:rsidRDefault="000C1E59" w:rsidP="007F0E4E"/>
    <w:p w:rsidR="000C1E59" w:rsidRPr="00B75B77" w:rsidRDefault="000C1E59" w:rsidP="007D4A93">
      <w:pPr>
        <w:pStyle w:val="Caption"/>
      </w:pPr>
      <w:bookmarkStart w:id="227" w:name="_Ref448933594"/>
      <w:bookmarkStart w:id="228" w:name="_Toc453075292"/>
      <w:bookmarkStart w:id="229" w:name="_Toc466413504"/>
      <w:r w:rsidRPr="00B75B77">
        <w:t xml:space="preserve">Table </w:t>
      </w:r>
      <w:fldSimple w:instr=" STYLEREF 1 \s ">
        <w:r w:rsidR="0004016D">
          <w:rPr>
            <w:noProof/>
          </w:rPr>
          <w:t>1</w:t>
        </w:r>
      </w:fldSimple>
      <w:r w:rsidR="00F1144C" w:rsidRPr="00B75B77">
        <w:noBreakHyphen/>
      </w:r>
      <w:fldSimple w:instr=" SEQ Table \* ARABIC \s 1 ">
        <w:r w:rsidR="0004016D">
          <w:rPr>
            <w:noProof/>
          </w:rPr>
          <w:t>22</w:t>
        </w:r>
      </w:fldSimple>
      <w:bookmarkEnd w:id="227"/>
      <w:r w:rsidRPr="00B75B77">
        <w:t>: Phase II Process and Impact Evaluation Recommendations from PY7 Evaluations</w:t>
      </w:r>
      <w:bookmarkEnd w:id="228"/>
      <w:bookmarkEnd w:id="229"/>
    </w:p>
    <w:tbl>
      <w:tblPr>
        <w:tblStyle w:val="MediumShading1-Accent5"/>
        <w:tblW w:w="4887" w:type="pct"/>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1874"/>
        <w:gridCol w:w="7486"/>
      </w:tblGrid>
      <w:tr w:rsidR="000C1E59" w:rsidRPr="00B75B77" w:rsidTr="009B1A56">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1001" w:type="pct"/>
            <w:tcBorders>
              <w:top w:val="single" w:sz="8" w:space="0" w:color="auto"/>
              <w:left w:val="single" w:sz="8" w:space="0" w:color="auto"/>
              <w:bottom w:val="single" w:sz="8" w:space="0" w:color="auto"/>
              <w:right w:val="single" w:sz="8" w:space="0" w:color="auto"/>
            </w:tcBorders>
            <w:shd w:val="clear" w:color="auto" w:fill="448A99"/>
            <w:vAlign w:val="center"/>
          </w:tcPr>
          <w:p w:rsidR="000C1E59" w:rsidRPr="00B75B77" w:rsidRDefault="000C1E59" w:rsidP="009B1A56">
            <w:pPr>
              <w:pStyle w:val="TableHeader"/>
              <w:jc w:val="left"/>
              <w:rPr>
                <w:rFonts w:eastAsia="Times New Roman"/>
                <w:b/>
                <w:color w:val="FFFFFF" w:themeColor="background1"/>
              </w:rPr>
            </w:pPr>
            <w:r w:rsidRPr="00B75B77">
              <w:rPr>
                <w:rFonts w:eastAsia="Times New Roman"/>
                <w:b/>
                <w:color w:val="FFFFFF" w:themeColor="background1"/>
              </w:rPr>
              <w:t>Applicability</w:t>
            </w:r>
          </w:p>
        </w:tc>
        <w:tc>
          <w:tcPr>
            <w:tcW w:w="3999" w:type="pct"/>
            <w:tcBorders>
              <w:top w:val="single" w:sz="8" w:space="0" w:color="auto"/>
              <w:left w:val="single" w:sz="8" w:space="0" w:color="auto"/>
              <w:bottom w:val="single" w:sz="8" w:space="0" w:color="auto"/>
              <w:right w:val="single" w:sz="8" w:space="0" w:color="auto"/>
            </w:tcBorders>
            <w:shd w:val="clear" w:color="auto" w:fill="448A99"/>
            <w:vAlign w:val="center"/>
          </w:tcPr>
          <w:p w:rsidR="000C1E59" w:rsidRPr="00B75B77" w:rsidRDefault="000C1E59" w:rsidP="009B1A56">
            <w:pPr>
              <w:pStyle w:val="TableHeader"/>
              <w:jc w:val="left"/>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Recommendations</w:t>
            </w:r>
          </w:p>
        </w:tc>
      </w:tr>
      <w:tr w:rsidR="000C1E59" w:rsidRPr="00B75B77" w:rsidTr="009B1A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01" w:type="pct"/>
            <w:tcBorders>
              <w:top w:val="single" w:sz="8" w:space="0" w:color="auto"/>
              <w:right w:val="none" w:sz="0" w:space="0" w:color="auto"/>
            </w:tcBorders>
            <w:vAlign w:val="center"/>
          </w:tcPr>
          <w:p w:rsidR="000C1E59" w:rsidRPr="00B75B77" w:rsidRDefault="000C1E59" w:rsidP="009B1A56">
            <w:pPr>
              <w:pStyle w:val="TableText"/>
            </w:pPr>
            <w:r w:rsidRPr="00B75B77">
              <w:t>Portfolio Level</w:t>
            </w:r>
          </w:p>
        </w:tc>
        <w:tc>
          <w:tcPr>
            <w:tcW w:w="3999" w:type="pct"/>
            <w:tcBorders>
              <w:top w:val="single" w:sz="8" w:space="0" w:color="auto"/>
              <w:left w:val="none" w:sz="0" w:space="0" w:color="auto"/>
            </w:tcBorders>
            <w:vAlign w:val="center"/>
          </w:tcPr>
          <w:p w:rsidR="000C1E59" w:rsidRPr="00B75B77" w:rsidRDefault="000C1E59" w:rsidP="00F94CBE">
            <w:pPr>
              <w:pStyle w:val="TableText"/>
              <w:cnfStyle w:val="000000100000" w:firstRow="0" w:lastRow="0" w:firstColumn="0" w:lastColumn="0" w:oddVBand="0" w:evenVBand="0" w:oddHBand="1" w:evenHBand="0" w:firstRowFirstColumn="0" w:firstRowLastColumn="0" w:lastRowFirstColumn="0" w:lastRowLastColumn="0"/>
            </w:pPr>
            <w:r w:rsidRPr="00B75B77">
              <w:t>Continue to build on Phase II to create comprehensive programs including programs with a wide measure mix, different business and residential types, and hard to reach market segments. Seven of the 13 programs suggested a recommendation pertaining to comprehensiveness.</w:t>
            </w:r>
          </w:p>
        </w:tc>
      </w:tr>
      <w:tr w:rsidR="000C1E59" w:rsidRPr="00B75B77" w:rsidTr="009B1A5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01" w:type="pct"/>
            <w:tcBorders>
              <w:right w:val="none" w:sz="0" w:space="0" w:color="auto"/>
            </w:tcBorders>
            <w:vAlign w:val="center"/>
          </w:tcPr>
          <w:p w:rsidR="000C1E59" w:rsidRPr="00B75B77" w:rsidRDefault="000C1E59" w:rsidP="009B1A56">
            <w:pPr>
              <w:pStyle w:val="TableText"/>
            </w:pPr>
            <w:r w:rsidRPr="00B75B77">
              <w:t>Portfolio Level</w:t>
            </w:r>
          </w:p>
        </w:tc>
        <w:tc>
          <w:tcPr>
            <w:tcW w:w="3999" w:type="pct"/>
            <w:tcBorders>
              <w:left w:val="none" w:sz="0" w:space="0" w:color="auto"/>
            </w:tcBorders>
            <w:vAlign w:val="center"/>
          </w:tcPr>
          <w:p w:rsidR="000C1E59" w:rsidRPr="00B75B77" w:rsidRDefault="000C1E59" w:rsidP="00F94CBE">
            <w:pPr>
              <w:pStyle w:val="TableText"/>
              <w:cnfStyle w:val="000000010000" w:firstRow="0" w:lastRow="0" w:firstColumn="0" w:lastColumn="0" w:oddVBand="0" w:evenVBand="0" w:oddHBand="0" w:evenHBand="1" w:firstRowFirstColumn="0" w:firstRowLastColumn="0" w:lastRowFirstColumn="0" w:lastRowLastColumn="0"/>
            </w:pPr>
            <w:r w:rsidRPr="00B75B77">
              <w:t xml:space="preserve">Build </w:t>
            </w:r>
            <w:r w:rsidR="00B25D8C" w:rsidRPr="00B75B77">
              <w:t>off</w:t>
            </w:r>
            <w:r w:rsidRPr="00B75B77">
              <w:t xml:space="preserve"> the successes of Phase II and continue to build strong trade ally relationships to enhance the customer experience. Five of the 13 programs had a recommendation relating to trade ally engagement.</w:t>
            </w:r>
          </w:p>
        </w:tc>
      </w:tr>
      <w:tr w:rsidR="000C1E59" w:rsidRPr="00B75B77" w:rsidTr="009B1A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01" w:type="pct"/>
            <w:tcBorders>
              <w:right w:val="none" w:sz="0" w:space="0" w:color="auto"/>
            </w:tcBorders>
            <w:vAlign w:val="center"/>
          </w:tcPr>
          <w:p w:rsidR="000C1E59" w:rsidRPr="00B75B77" w:rsidRDefault="000C1E59" w:rsidP="009B1A56">
            <w:pPr>
              <w:pStyle w:val="TableText"/>
            </w:pPr>
            <w:r w:rsidRPr="00B75B77">
              <w:t>SMF, SBS, SHC, SEI , LEEP</w:t>
            </w:r>
          </w:p>
        </w:tc>
        <w:tc>
          <w:tcPr>
            <w:tcW w:w="3999" w:type="pct"/>
            <w:tcBorders>
              <w:left w:val="none" w:sz="0" w:space="0" w:color="auto"/>
            </w:tcBorders>
            <w:vAlign w:val="center"/>
          </w:tcPr>
          <w:p w:rsidR="000C1E59" w:rsidRPr="00B75B77" w:rsidRDefault="000C1E59" w:rsidP="009B1A56">
            <w:pPr>
              <w:pStyle w:val="TableText"/>
              <w:cnfStyle w:val="000000100000" w:firstRow="0" w:lastRow="0" w:firstColumn="0" w:lastColumn="0" w:oddVBand="0" w:evenVBand="0" w:oddHBand="1" w:evenHBand="0" w:firstRowFirstColumn="0" w:firstRowLastColumn="0" w:lastRowFirstColumn="0" w:lastRowLastColumn="0"/>
            </w:pPr>
            <w:r w:rsidRPr="00B75B77">
              <w:t xml:space="preserve">Encourage cross program participation by building </w:t>
            </w:r>
            <w:r w:rsidR="00B25D8C" w:rsidRPr="00B75B77">
              <w:t>off</w:t>
            </w:r>
            <w:r w:rsidRPr="00B75B77">
              <w:t xml:space="preserve"> relationships established through direct install and other channeling programs to create customers that are energy efficiency partners for life. </w:t>
            </w:r>
          </w:p>
        </w:tc>
      </w:tr>
      <w:tr w:rsidR="000C1E59" w:rsidRPr="00B75B77" w:rsidTr="009B1A5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01" w:type="pct"/>
            <w:tcBorders>
              <w:right w:val="none" w:sz="0" w:space="0" w:color="auto"/>
            </w:tcBorders>
            <w:vAlign w:val="center"/>
          </w:tcPr>
          <w:p w:rsidR="000C1E59" w:rsidRPr="00B75B77" w:rsidRDefault="000C1E59" w:rsidP="009B1A56">
            <w:pPr>
              <w:pStyle w:val="TableHeader"/>
              <w:jc w:val="left"/>
              <w:rPr>
                <w:b/>
              </w:rPr>
            </w:pPr>
            <w:r w:rsidRPr="00B75B77">
              <w:rPr>
                <w:b/>
              </w:rPr>
              <w:t xml:space="preserve">SHC, SUP, LEEP, SEI </w:t>
            </w:r>
          </w:p>
        </w:tc>
        <w:tc>
          <w:tcPr>
            <w:tcW w:w="3999" w:type="pct"/>
            <w:tcBorders>
              <w:left w:val="none" w:sz="0" w:space="0" w:color="auto"/>
            </w:tcBorders>
            <w:vAlign w:val="center"/>
          </w:tcPr>
          <w:p w:rsidR="000C1E59" w:rsidRPr="00B75B77" w:rsidRDefault="000C1E59" w:rsidP="009B1A56">
            <w:pPr>
              <w:pStyle w:val="TableText"/>
              <w:cnfStyle w:val="000000010000" w:firstRow="0" w:lastRow="0" w:firstColumn="0" w:lastColumn="0" w:oddVBand="0" w:evenVBand="0" w:oddHBand="0" w:evenHBand="1" w:firstRowFirstColumn="0" w:firstRowLastColumn="0" w:lastRowFirstColumn="0" w:lastRowLastColumn="0"/>
            </w:pPr>
            <w:r w:rsidRPr="00B75B77">
              <w:t xml:space="preserve">Acquire and apply insights from data on household and business characteristics, customer lifestyles and </w:t>
            </w:r>
            <w:r w:rsidR="00B25D8C" w:rsidRPr="00B75B77">
              <w:t>decision-making</w:t>
            </w:r>
            <w:r w:rsidRPr="00B75B77">
              <w:t xml:space="preserve">, and customer propensity to participate in order to improve customer experience and achieve deeper energy savings across the portfolio. </w:t>
            </w:r>
          </w:p>
        </w:tc>
      </w:tr>
    </w:tbl>
    <w:p w:rsidR="000C1E59" w:rsidRPr="00B75B77" w:rsidRDefault="000C1E59" w:rsidP="00F94CBE">
      <w:pPr>
        <w:pStyle w:val="Source"/>
      </w:pPr>
      <w:r w:rsidRPr="00B75B77">
        <w:rPr>
          <w:rStyle w:val="Strong"/>
          <w:b w:val="0"/>
          <w:bCs w:val="0"/>
        </w:rPr>
        <w:t>Source: Navigant analysis</w:t>
      </w:r>
    </w:p>
    <w:p w:rsidR="000C1E59" w:rsidRPr="00B75B77" w:rsidRDefault="000C1E59" w:rsidP="001C1803">
      <w:pPr>
        <w:pStyle w:val="Heading2"/>
      </w:pPr>
      <w:bookmarkStart w:id="230" w:name="_Toc453075178"/>
      <w:bookmarkStart w:id="231" w:name="_Toc466413272"/>
      <w:r w:rsidRPr="00B75B77">
        <w:t>Site Inspections Summary</w:t>
      </w:r>
      <w:bookmarkEnd w:id="230"/>
      <w:bookmarkEnd w:id="231"/>
    </w:p>
    <w:p w:rsidR="000C1E59" w:rsidRPr="00B75B77" w:rsidRDefault="0063130A" w:rsidP="001C1803">
      <w:r w:rsidRPr="00B75B77">
        <w:fldChar w:fldCharType="begin"/>
      </w:r>
      <w:r w:rsidRPr="00B75B77">
        <w:instrText xml:space="preserve"> REF _Ref464563792 \h </w:instrText>
      </w:r>
      <w:r w:rsidR="00B75B77">
        <w:instrText xml:space="preserve"> \* MERGEFORMAT </w:instrText>
      </w:r>
      <w:r w:rsidRPr="00B75B77">
        <w:fldChar w:fldCharType="separate"/>
      </w:r>
      <w:r w:rsidR="0004016D" w:rsidRPr="00B75B77">
        <w:t xml:space="preserve">Table </w:t>
      </w:r>
      <w:r w:rsidR="0004016D">
        <w:rPr>
          <w:noProof/>
        </w:rPr>
        <w:t>1</w:t>
      </w:r>
      <w:r w:rsidR="0004016D" w:rsidRPr="00B75B77">
        <w:rPr>
          <w:noProof/>
        </w:rPr>
        <w:noBreakHyphen/>
      </w:r>
      <w:r w:rsidR="0004016D">
        <w:rPr>
          <w:noProof/>
        </w:rPr>
        <w:t>23</w:t>
      </w:r>
      <w:r w:rsidRPr="00B75B77">
        <w:fldChar w:fldCharType="end"/>
      </w:r>
      <w:r w:rsidRPr="00B75B77">
        <w:t xml:space="preserve"> </w:t>
      </w:r>
      <w:r w:rsidR="000C1E59" w:rsidRPr="00B75B77">
        <w:t xml:space="preserve">presents the information requested regarding onsite inspections conducted during PY7. </w:t>
      </w:r>
    </w:p>
    <w:p w:rsidR="000C1E59" w:rsidRPr="00B75B77" w:rsidRDefault="0063130A" w:rsidP="007D4A93">
      <w:pPr>
        <w:pStyle w:val="Caption"/>
      </w:pPr>
      <w:bookmarkStart w:id="232" w:name="_Ref464563792"/>
      <w:bookmarkStart w:id="233" w:name="_Ref448933602"/>
      <w:bookmarkStart w:id="234" w:name="_Toc453075293"/>
      <w:bookmarkStart w:id="235" w:name="_Toc466413505"/>
      <w:r w:rsidRPr="00B75B77">
        <w:lastRenderedPageBreak/>
        <w:t xml:space="preserve">Table </w:t>
      </w:r>
      <w:fldSimple w:instr=" STYLEREF 1 \s ">
        <w:r w:rsidR="0004016D">
          <w:rPr>
            <w:noProof/>
          </w:rPr>
          <w:t>1</w:t>
        </w:r>
      </w:fldSimple>
      <w:r w:rsidRPr="00B75B77">
        <w:noBreakHyphen/>
      </w:r>
      <w:fldSimple w:instr=" SEQ Table \* ARABIC \s 1 ">
        <w:r w:rsidR="0004016D">
          <w:rPr>
            <w:noProof/>
          </w:rPr>
          <w:t>23</w:t>
        </w:r>
      </w:fldSimple>
      <w:bookmarkEnd w:id="232"/>
      <w:r w:rsidRPr="00B75B77">
        <w:t xml:space="preserve">: </w:t>
      </w:r>
      <w:bookmarkEnd w:id="233"/>
      <w:r w:rsidR="000C1E59" w:rsidRPr="00B75B77">
        <w:t>Summary of PY7 Site Visits</w:t>
      </w:r>
      <w:bookmarkEnd w:id="234"/>
      <w:bookmarkEnd w:id="235"/>
    </w:p>
    <w:tbl>
      <w:tblPr>
        <w:tblStyle w:val="PECOTeal"/>
        <w:tblW w:w="9468" w:type="dxa"/>
        <w:tblLook w:val="04A0" w:firstRow="1" w:lastRow="0" w:firstColumn="1" w:lastColumn="0" w:noHBand="0" w:noVBand="1"/>
      </w:tblPr>
      <w:tblGrid>
        <w:gridCol w:w="1458"/>
        <w:gridCol w:w="1335"/>
        <w:gridCol w:w="1335"/>
        <w:gridCol w:w="1335"/>
        <w:gridCol w:w="1335"/>
        <w:gridCol w:w="1335"/>
        <w:gridCol w:w="1335"/>
      </w:tblGrid>
      <w:tr w:rsidR="000C1E59" w:rsidRPr="00B75B77" w:rsidTr="0063130A">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58" w:type="dxa"/>
            <w:hideMark/>
          </w:tcPr>
          <w:p w:rsidR="000C1E59" w:rsidRPr="00B75B77" w:rsidRDefault="000C1E59" w:rsidP="009B1A56">
            <w:pPr>
              <w:keepNext/>
              <w:spacing w:before="40" w:after="40"/>
              <w:jc w:val="left"/>
              <w:rPr>
                <w:rFonts w:ascii="Calibri" w:eastAsiaTheme="minorHAnsi" w:hAnsi="Calibri"/>
                <w:szCs w:val="18"/>
              </w:rPr>
            </w:pPr>
            <w:r w:rsidRPr="00B75B77">
              <w:rPr>
                <w:bCs w:val="0"/>
                <w:szCs w:val="18"/>
              </w:rPr>
              <w:t>Program</w:t>
            </w:r>
          </w:p>
        </w:tc>
        <w:tc>
          <w:tcPr>
            <w:tcW w:w="1335" w:type="dxa"/>
            <w:hideMark/>
          </w:tcPr>
          <w:p w:rsidR="000C1E59" w:rsidRPr="00B75B77" w:rsidRDefault="000C1E59" w:rsidP="009B1A56">
            <w:pPr>
              <w:keepNext/>
              <w:spacing w:before="40" w:after="40"/>
              <w:jc w:val="center"/>
              <w:cnfStyle w:val="100000000000" w:firstRow="1" w:lastRow="0" w:firstColumn="0" w:lastColumn="0" w:oddVBand="0" w:evenVBand="0" w:oddHBand="0" w:evenHBand="0" w:firstRowFirstColumn="0" w:firstRowLastColumn="0" w:lastRowFirstColumn="0" w:lastRowLastColumn="0"/>
              <w:rPr>
                <w:rFonts w:ascii="Calibri" w:eastAsiaTheme="minorHAnsi" w:hAnsi="Calibri"/>
                <w:szCs w:val="18"/>
              </w:rPr>
            </w:pPr>
            <w:r w:rsidRPr="00B75B77">
              <w:rPr>
                <w:bCs w:val="0"/>
                <w:szCs w:val="18"/>
              </w:rPr>
              <w:t>Measure</w:t>
            </w:r>
          </w:p>
        </w:tc>
        <w:tc>
          <w:tcPr>
            <w:tcW w:w="1335" w:type="dxa"/>
            <w:hideMark/>
          </w:tcPr>
          <w:p w:rsidR="000C1E59" w:rsidRPr="00B75B77" w:rsidRDefault="000C1E59" w:rsidP="009B1A56">
            <w:pPr>
              <w:keepNext/>
              <w:spacing w:before="40" w:after="40"/>
              <w:jc w:val="center"/>
              <w:cnfStyle w:val="100000000000" w:firstRow="1" w:lastRow="0" w:firstColumn="0" w:lastColumn="0" w:oddVBand="0" w:evenVBand="0" w:oddHBand="0" w:evenHBand="0" w:firstRowFirstColumn="0" w:firstRowLastColumn="0" w:lastRowFirstColumn="0" w:lastRowLastColumn="0"/>
              <w:rPr>
                <w:rFonts w:ascii="Calibri" w:eastAsiaTheme="minorHAnsi" w:hAnsi="Calibri"/>
                <w:szCs w:val="18"/>
              </w:rPr>
            </w:pPr>
            <w:r w:rsidRPr="00B75B77">
              <w:rPr>
                <w:bCs w:val="0"/>
                <w:szCs w:val="18"/>
              </w:rPr>
              <w:t>Inspection Firm</w:t>
            </w:r>
          </w:p>
        </w:tc>
        <w:tc>
          <w:tcPr>
            <w:tcW w:w="1335" w:type="dxa"/>
            <w:hideMark/>
          </w:tcPr>
          <w:p w:rsidR="000C1E59" w:rsidRPr="00B75B77" w:rsidRDefault="000C1E59" w:rsidP="009B1A56">
            <w:pPr>
              <w:keepNext/>
              <w:spacing w:before="40" w:after="40"/>
              <w:jc w:val="center"/>
              <w:cnfStyle w:val="100000000000" w:firstRow="1" w:lastRow="0" w:firstColumn="0" w:lastColumn="0" w:oddVBand="0" w:evenVBand="0" w:oddHBand="0" w:evenHBand="0" w:firstRowFirstColumn="0" w:firstRowLastColumn="0" w:lastRowFirstColumn="0" w:lastRowLastColumn="0"/>
              <w:rPr>
                <w:rFonts w:ascii="Calibri" w:eastAsiaTheme="minorHAnsi" w:hAnsi="Calibri"/>
                <w:szCs w:val="18"/>
              </w:rPr>
            </w:pPr>
            <w:r w:rsidRPr="00B75B77">
              <w:rPr>
                <w:bCs w:val="0"/>
                <w:szCs w:val="18"/>
              </w:rPr>
              <w:t>Number of Inspections Planned</w:t>
            </w:r>
          </w:p>
        </w:tc>
        <w:tc>
          <w:tcPr>
            <w:tcW w:w="1335" w:type="dxa"/>
            <w:hideMark/>
          </w:tcPr>
          <w:p w:rsidR="000C1E59" w:rsidRPr="00B75B77" w:rsidRDefault="000C1E59" w:rsidP="009B1A56">
            <w:pPr>
              <w:keepNext/>
              <w:spacing w:before="40" w:after="40"/>
              <w:jc w:val="center"/>
              <w:cnfStyle w:val="100000000000" w:firstRow="1" w:lastRow="0" w:firstColumn="0" w:lastColumn="0" w:oddVBand="0" w:evenVBand="0" w:oddHBand="0" w:evenHBand="0" w:firstRowFirstColumn="0" w:firstRowLastColumn="0" w:lastRowFirstColumn="0" w:lastRowLastColumn="0"/>
              <w:rPr>
                <w:rFonts w:ascii="Calibri" w:eastAsiaTheme="minorHAnsi" w:hAnsi="Calibri"/>
                <w:szCs w:val="18"/>
              </w:rPr>
            </w:pPr>
            <w:r w:rsidRPr="00B75B77">
              <w:rPr>
                <w:bCs w:val="0"/>
                <w:szCs w:val="18"/>
              </w:rPr>
              <w:t>Number of Inspections Conducted</w:t>
            </w:r>
          </w:p>
        </w:tc>
        <w:tc>
          <w:tcPr>
            <w:tcW w:w="1335" w:type="dxa"/>
            <w:hideMark/>
          </w:tcPr>
          <w:p w:rsidR="000C1E59" w:rsidRPr="00B75B77" w:rsidRDefault="000C1E59" w:rsidP="009B1A56">
            <w:pPr>
              <w:keepNext/>
              <w:spacing w:before="40" w:after="40"/>
              <w:jc w:val="center"/>
              <w:cnfStyle w:val="100000000000" w:firstRow="1" w:lastRow="0" w:firstColumn="0" w:lastColumn="0" w:oddVBand="0" w:evenVBand="0" w:oddHBand="0" w:evenHBand="0" w:firstRowFirstColumn="0" w:firstRowLastColumn="0" w:lastRowFirstColumn="0" w:lastRowLastColumn="0"/>
              <w:rPr>
                <w:rFonts w:ascii="Calibri" w:eastAsiaTheme="minorHAnsi" w:hAnsi="Calibri"/>
                <w:szCs w:val="18"/>
              </w:rPr>
            </w:pPr>
            <w:r w:rsidRPr="00B75B77">
              <w:rPr>
                <w:bCs w:val="0"/>
                <w:szCs w:val="18"/>
              </w:rPr>
              <w:t>Number of Sites with Discrepancies from Reports</w:t>
            </w:r>
          </w:p>
        </w:tc>
        <w:tc>
          <w:tcPr>
            <w:tcW w:w="1335" w:type="dxa"/>
            <w:hideMark/>
          </w:tcPr>
          <w:p w:rsidR="000C1E59" w:rsidRPr="00B75B77" w:rsidRDefault="000C1E59" w:rsidP="009B1A56">
            <w:pPr>
              <w:keepNext/>
              <w:spacing w:before="40" w:after="40"/>
              <w:jc w:val="center"/>
              <w:cnfStyle w:val="100000000000" w:firstRow="1" w:lastRow="0" w:firstColumn="0" w:lastColumn="0" w:oddVBand="0" w:evenVBand="0" w:oddHBand="0" w:evenHBand="0" w:firstRowFirstColumn="0" w:firstRowLastColumn="0" w:lastRowFirstColumn="0" w:lastRowLastColumn="0"/>
              <w:rPr>
                <w:rFonts w:ascii="Calibri" w:eastAsiaTheme="minorHAnsi" w:hAnsi="Calibri"/>
                <w:szCs w:val="18"/>
              </w:rPr>
            </w:pPr>
            <w:r w:rsidRPr="00B75B77">
              <w:rPr>
                <w:bCs w:val="0"/>
                <w:szCs w:val="18"/>
              </w:rPr>
              <w:t>Resolution of Discrepancies</w:t>
            </w:r>
          </w:p>
        </w:tc>
      </w:tr>
      <w:tr w:rsidR="000C1E59" w:rsidRPr="00B75B77" w:rsidTr="0063130A">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58" w:type="dxa"/>
          </w:tcPr>
          <w:p w:rsidR="000C1E59" w:rsidRPr="00B75B77" w:rsidRDefault="000C1E59" w:rsidP="009B1A56">
            <w:pPr>
              <w:keepNext/>
              <w:spacing w:before="40" w:after="40"/>
              <w:ind w:left="72"/>
              <w:jc w:val="left"/>
              <w:rPr>
                <w:rFonts w:ascii="Calibri" w:eastAsiaTheme="minorHAnsi" w:hAnsi="Calibri"/>
                <w:b w:val="0"/>
                <w:szCs w:val="18"/>
              </w:rPr>
            </w:pPr>
            <w:r w:rsidRPr="00B75B77">
              <w:rPr>
                <w:rFonts w:ascii="Calibri" w:eastAsiaTheme="minorHAnsi" w:hAnsi="Calibri"/>
                <w:b w:val="0"/>
                <w:szCs w:val="18"/>
              </w:rPr>
              <w:t>Low-Income Energy Efficiency Program</w:t>
            </w:r>
          </w:p>
        </w:tc>
        <w:tc>
          <w:tcPr>
            <w:tcW w:w="1335" w:type="dxa"/>
          </w:tcPr>
          <w:p w:rsidR="000C1E59" w:rsidRPr="00B75B77" w:rsidRDefault="000C1E59" w:rsidP="009B1A56">
            <w:pPr>
              <w:keepNext/>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szCs w:val="18"/>
              </w:rPr>
            </w:pPr>
            <w:r w:rsidRPr="00B75B77">
              <w:rPr>
                <w:rFonts w:ascii="Calibri" w:eastAsiaTheme="minorHAnsi" w:hAnsi="Calibri"/>
                <w:szCs w:val="18"/>
              </w:rPr>
              <w:t>CFL Bulb Inspections, Showerhead Installations, Aerator Installations, Refrigerator Installations</w:t>
            </w:r>
          </w:p>
        </w:tc>
        <w:tc>
          <w:tcPr>
            <w:tcW w:w="1335" w:type="dxa"/>
          </w:tcPr>
          <w:p w:rsidR="000C1E59" w:rsidRPr="00B75B77" w:rsidRDefault="000C1E59" w:rsidP="009B1A56">
            <w:pPr>
              <w:keepNext/>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szCs w:val="18"/>
              </w:rPr>
            </w:pPr>
            <w:r w:rsidRPr="00B75B77">
              <w:rPr>
                <w:rFonts w:ascii="Calibri" w:eastAsiaTheme="minorHAnsi" w:hAnsi="Calibri"/>
                <w:szCs w:val="18"/>
              </w:rPr>
              <w:t>Navigant Consulting</w:t>
            </w:r>
          </w:p>
        </w:tc>
        <w:tc>
          <w:tcPr>
            <w:tcW w:w="1335" w:type="dxa"/>
          </w:tcPr>
          <w:p w:rsidR="000C1E59" w:rsidRPr="00B75B77" w:rsidRDefault="000C1E59" w:rsidP="009B1A56">
            <w:pPr>
              <w:keepNext/>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szCs w:val="18"/>
              </w:rPr>
            </w:pPr>
            <w:r w:rsidRPr="00B75B77">
              <w:rPr>
                <w:rFonts w:ascii="Calibri" w:eastAsiaTheme="minorHAnsi" w:hAnsi="Calibri"/>
                <w:szCs w:val="18"/>
              </w:rPr>
              <w:t>19</w:t>
            </w:r>
          </w:p>
        </w:tc>
        <w:tc>
          <w:tcPr>
            <w:tcW w:w="1335" w:type="dxa"/>
          </w:tcPr>
          <w:p w:rsidR="000C1E59" w:rsidRPr="00B75B77" w:rsidRDefault="000C1E59" w:rsidP="009B1A56">
            <w:pPr>
              <w:keepNext/>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szCs w:val="18"/>
              </w:rPr>
            </w:pPr>
            <w:r w:rsidRPr="00B75B77">
              <w:rPr>
                <w:rFonts w:ascii="Calibri" w:eastAsiaTheme="minorHAnsi" w:hAnsi="Calibri"/>
                <w:szCs w:val="18"/>
              </w:rPr>
              <w:t>19</w:t>
            </w:r>
          </w:p>
        </w:tc>
        <w:tc>
          <w:tcPr>
            <w:tcW w:w="1335" w:type="dxa"/>
          </w:tcPr>
          <w:p w:rsidR="000C1E59" w:rsidRPr="00B75B77" w:rsidRDefault="000C1E59" w:rsidP="009B1A56">
            <w:pPr>
              <w:keepNext/>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szCs w:val="18"/>
              </w:rPr>
            </w:pPr>
            <w:r w:rsidRPr="00B75B77">
              <w:rPr>
                <w:rFonts w:ascii="Calibri" w:eastAsiaTheme="minorHAnsi" w:hAnsi="Calibri"/>
                <w:szCs w:val="18"/>
              </w:rPr>
              <w:t>1</w:t>
            </w:r>
          </w:p>
        </w:tc>
        <w:tc>
          <w:tcPr>
            <w:tcW w:w="1335" w:type="dxa"/>
          </w:tcPr>
          <w:p w:rsidR="000C1E59" w:rsidRPr="00B75B77" w:rsidRDefault="000C1E59" w:rsidP="009B1A56">
            <w:pPr>
              <w:keepNext/>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szCs w:val="18"/>
              </w:rPr>
            </w:pPr>
            <w:r w:rsidRPr="00B75B77">
              <w:rPr>
                <w:rFonts w:ascii="Calibri" w:eastAsiaTheme="minorHAnsi" w:hAnsi="Calibri"/>
                <w:szCs w:val="18"/>
              </w:rPr>
              <w:t>Resolved proper number of bulbs</w:t>
            </w:r>
          </w:p>
        </w:tc>
      </w:tr>
      <w:tr w:rsidR="000C1E59" w:rsidRPr="00B75B77" w:rsidTr="0063130A">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58" w:type="dxa"/>
          </w:tcPr>
          <w:p w:rsidR="000C1E59" w:rsidRPr="00B75B77" w:rsidRDefault="000C1E59" w:rsidP="009B1A56">
            <w:pPr>
              <w:keepNext/>
              <w:spacing w:before="40" w:after="40"/>
              <w:ind w:left="72"/>
              <w:jc w:val="left"/>
              <w:rPr>
                <w:rFonts w:ascii="Calibri" w:eastAsiaTheme="minorHAnsi" w:hAnsi="Calibri"/>
                <w:b w:val="0"/>
                <w:szCs w:val="18"/>
              </w:rPr>
            </w:pPr>
            <w:r w:rsidRPr="00B75B77">
              <w:rPr>
                <w:rFonts w:ascii="Calibri" w:eastAsiaTheme="minorHAnsi" w:hAnsi="Calibri"/>
                <w:b w:val="0"/>
                <w:szCs w:val="18"/>
              </w:rPr>
              <w:t>Smart Construction Incentives</w:t>
            </w:r>
          </w:p>
        </w:tc>
        <w:tc>
          <w:tcPr>
            <w:tcW w:w="1335" w:type="dxa"/>
          </w:tcPr>
          <w:p w:rsidR="000C1E59" w:rsidRPr="00B75B77" w:rsidRDefault="000C1E59" w:rsidP="00F94CBE">
            <w:pPr>
              <w:pStyle w:val="Default"/>
              <w:jc w:val="center"/>
              <w:cnfStyle w:val="000000010000" w:firstRow="0" w:lastRow="0" w:firstColumn="0" w:lastColumn="0" w:oddVBand="0" w:evenVBand="0" w:oddHBand="0" w:evenHBand="1" w:firstRowFirstColumn="0" w:firstRowLastColumn="0" w:lastRowFirstColumn="0" w:lastRowLastColumn="0"/>
              <w:rPr>
                <w:rFonts w:ascii="Calibri" w:eastAsiaTheme="minorHAnsi" w:hAnsi="Calibri"/>
                <w:color w:val="auto"/>
                <w:sz w:val="18"/>
                <w:szCs w:val="18"/>
              </w:rPr>
            </w:pPr>
            <w:r w:rsidRPr="00B75B77">
              <w:rPr>
                <w:rFonts w:ascii="Calibri" w:eastAsiaTheme="minorHAnsi" w:hAnsi="Calibri"/>
                <w:color w:val="auto"/>
                <w:sz w:val="18"/>
                <w:szCs w:val="18"/>
              </w:rPr>
              <w:t xml:space="preserve">Whole Building, HVAC, Lighting, Motors and Drives, Custom, Refrigeration </w:t>
            </w:r>
          </w:p>
          <w:p w:rsidR="000C1E59" w:rsidRPr="00B75B77" w:rsidRDefault="000C1E59" w:rsidP="009B1A56">
            <w:pPr>
              <w:keepNext/>
              <w:spacing w:before="40" w:after="40"/>
              <w:jc w:val="center"/>
              <w:cnfStyle w:val="000000010000" w:firstRow="0" w:lastRow="0" w:firstColumn="0" w:lastColumn="0" w:oddVBand="0" w:evenVBand="0" w:oddHBand="0" w:evenHBand="1" w:firstRowFirstColumn="0" w:firstRowLastColumn="0" w:lastRowFirstColumn="0" w:lastRowLastColumn="0"/>
              <w:rPr>
                <w:rFonts w:ascii="Calibri" w:eastAsiaTheme="minorHAnsi" w:hAnsi="Calibri"/>
                <w:szCs w:val="18"/>
              </w:rPr>
            </w:pPr>
          </w:p>
        </w:tc>
        <w:tc>
          <w:tcPr>
            <w:tcW w:w="1335" w:type="dxa"/>
          </w:tcPr>
          <w:p w:rsidR="000C1E59" w:rsidRPr="00B75B77" w:rsidRDefault="000C1E59" w:rsidP="009B1A56">
            <w:pPr>
              <w:keepNext/>
              <w:spacing w:before="40" w:after="40"/>
              <w:jc w:val="center"/>
              <w:cnfStyle w:val="000000010000" w:firstRow="0" w:lastRow="0" w:firstColumn="0" w:lastColumn="0" w:oddVBand="0" w:evenVBand="0" w:oddHBand="0" w:evenHBand="1" w:firstRowFirstColumn="0" w:firstRowLastColumn="0" w:lastRowFirstColumn="0" w:lastRowLastColumn="0"/>
              <w:rPr>
                <w:rFonts w:ascii="Calibri" w:eastAsiaTheme="minorHAnsi" w:hAnsi="Calibri"/>
                <w:szCs w:val="18"/>
              </w:rPr>
            </w:pPr>
            <w:r w:rsidRPr="00B75B77">
              <w:rPr>
                <w:rFonts w:ascii="Calibri" w:eastAsiaTheme="minorHAnsi" w:hAnsi="Calibri"/>
                <w:szCs w:val="18"/>
              </w:rPr>
              <w:t>Navigant Consulting, Warren Energy Engineering</w:t>
            </w:r>
          </w:p>
        </w:tc>
        <w:tc>
          <w:tcPr>
            <w:tcW w:w="1335" w:type="dxa"/>
          </w:tcPr>
          <w:p w:rsidR="000C1E59" w:rsidRPr="00B75B77" w:rsidRDefault="000C1E59" w:rsidP="009B1A56">
            <w:pPr>
              <w:keepNext/>
              <w:spacing w:before="40" w:after="40"/>
              <w:jc w:val="center"/>
              <w:cnfStyle w:val="000000010000" w:firstRow="0" w:lastRow="0" w:firstColumn="0" w:lastColumn="0" w:oddVBand="0" w:evenVBand="0" w:oddHBand="0" w:evenHBand="1" w:firstRowFirstColumn="0" w:firstRowLastColumn="0" w:lastRowFirstColumn="0" w:lastRowLastColumn="0"/>
              <w:rPr>
                <w:rFonts w:ascii="Calibri" w:eastAsiaTheme="minorHAnsi" w:hAnsi="Calibri"/>
                <w:szCs w:val="18"/>
              </w:rPr>
            </w:pPr>
            <w:r w:rsidRPr="00B75B77">
              <w:rPr>
                <w:rFonts w:ascii="Calibri" w:eastAsiaTheme="minorHAnsi" w:hAnsi="Calibri"/>
                <w:szCs w:val="18"/>
              </w:rPr>
              <w:t>20</w:t>
            </w:r>
          </w:p>
        </w:tc>
        <w:tc>
          <w:tcPr>
            <w:tcW w:w="1335" w:type="dxa"/>
          </w:tcPr>
          <w:p w:rsidR="000C1E59" w:rsidRPr="00B75B77" w:rsidRDefault="000C1E59" w:rsidP="009B1A56">
            <w:pPr>
              <w:keepNext/>
              <w:spacing w:before="40" w:after="40"/>
              <w:jc w:val="center"/>
              <w:cnfStyle w:val="000000010000" w:firstRow="0" w:lastRow="0" w:firstColumn="0" w:lastColumn="0" w:oddVBand="0" w:evenVBand="0" w:oddHBand="0" w:evenHBand="1" w:firstRowFirstColumn="0" w:firstRowLastColumn="0" w:lastRowFirstColumn="0" w:lastRowLastColumn="0"/>
              <w:rPr>
                <w:rFonts w:ascii="Calibri" w:eastAsiaTheme="minorHAnsi" w:hAnsi="Calibri"/>
                <w:szCs w:val="18"/>
              </w:rPr>
            </w:pPr>
            <w:r w:rsidRPr="00B75B77">
              <w:rPr>
                <w:rFonts w:ascii="Calibri" w:eastAsiaTheme="minorHAnsi" w:hAnsi="Calibri"/>
                <w:szCs w:val="18"/>
              </w:rPr>
              <w:t>20</w:t>
            </w:r>
          </w:p>
        </w:tc>
        <w:tc>
          <w:tcPr>
            <w:tcW w:w="1335" w:type="dxa"/>
          </w:tcPr>
          <w:p w:rsidR="000C1E59" w:rsidRPr="00B75B77" w:rsidRDefault="000C1E59" w:rsidP="009B1A56">
            <w:pPr>
              <w:keepNext/>
              <w:jc w:val="center"/>
              <w:cnfStyle w:val="000000010000" w:firstRow="0" w:lastRow="0" w:firstColumn="0" w:lastColumn="0" w:oddVBand="0" w:evenVBand="0" w:oddHBand="0" w:evenHBand="1" w:firstRowFirstColumn="0" w:firstRowLastColumn="0" w:lastRowFirstColumn="0" w:lastRowLastColumn="0"/>
              <w:rPr>
                <w:rFonts w:ascii="Calibri" w:eastAsiaTheme="minorHAnsi" w:hAnsi="Calibri"/>
              </w:rPr>
            </w:pPr>
            <w:r w:rsidRPr="00B75B77">
              <w:rPr>
                <w:rFonts w:ascii="Calibri" w:eastAsiaTheme="minorHAnsi" w:hAnsi="Calibri"/>
              </w:rPr>
              <w:t>5</w:t>
            </w:r>
          </w:p>
        </w:tc>
        <w:tc>
          <w:tcPr>
            <w:tcW w:w="1335" w:type="dxa"/>
          </w:tcPr>
          <w:p w:rsidR="000C1E59" w:rsidRPr="00B75B77" w:rsidRDefault="000C1E59" w:rsidP="009340F9">
            <w:pPr>
              <w:keepNext/>
              <w:jc w:val="center"/>
              <w:cnfStyle w:val="000000010000" w:firstRow="0" w:lastRow="0" w:firstColumn="0" w:lastColumn="0" w:oddVBand="0" w:evenVBand="0" w:oddHBand="0" w:evenHBand="1" w:firstRowFirstColumn="0" w:firstRowLastColumn="0" w:lastRowFirstColumn="0" w:lastRowLastColumn="0"/>
              <w:rPr>
                <w:rFonts w:ascii="Calibri" w:eastAsiaTheme="minorHAnsi" w:hAnsi="Calibri"/>
              </w:rPr>
            </w:pPr>
            <w:r w:rsidRPr="00B75B77">
              <w:rPr>
                <w:rFonts w:ascii="Calibri" w:eastAsia="Times New Roman" w:hAnsi="Calibri"/>
                <w:color w:val="000000"/>
                <w:szCs w:val="18"/>
              </w:rPr>
              <w:t xml:space="preserve">For projects not fully complete and occupied by 5/31/2016, verified savings </w:t>
            </w:r>
            <w:r w:rsidR="009340F9" w:rsidRPr="00B75B77">
              <w:rPr>
                <w:rFonts w:ascii="Calibri" w:eastAsia="Times New Roman" w:hAnsi="Calibri"/>
                <w:color w:val="000000"/>
                <w:szCs w:val="18"/>
              </w:rPr>
              <w:t xml:space="preserve">was verified </w:t>
            </w:r>
            <w:r w:rsidRPr="00B75B77">
              <w:rPr>
                <w:rFonts w:ascii="Calibri" w:eastAsia="Times New Roman" w:hAnsi="Calibri"/>
                <w:color w:val="000000"/>
                <w:szCs w:val="18"/>
              </w:rPr>
              <w:t xml:space="preserve">only in portions of the project that were both complete and </w:t>
            </w:r>
            <w:r w:rsidR="00324A27" w:rsidRPr="00B75B77">
              <w:rPr>
                <w:rFonts w:ascii="Calibri" w:eastAsia="Times New Roman" w:hAnsi="Calibri"/>
                <w:color w:val="000000"/>
                <w:szCs w:val="18"/>
              </w:rPr>
              <w:t>fully occupied</w:t>
            </w:r>
            <w:r w:rsidRPr="00B75B77">
              <w:rPr>
                <w:rFonts w:ascii="Calibri" w:eastAsia="Times New Roman" w:hAnsi="Calibri"/>
                <w:color w:val="000000"/>
                <w:szCs w:val="18"/>
              </w:rPr>
              <w:t>.</w:t>
            </w:r>
          </w:p>
        </w:tc>
      </w:tr>
      <w:tr w:rsidR="000C1E59" w:rsidRPr="00B75B77" w:rsidTr="0063130A">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58" w:type="dxa"/>
          </w:tcPr>
          <w:p w:rsidR="000C1E59" w:rsidRPr="00B75B77" w:rsidRDefault="000C1E59" w:rsidP="009B1A56">
            <w:pPr>
              <w:keepNext/>
              <w:spacing w:before="40" w:after="40"/>
              <w:ind w:left="72"/>
              <w:jc w:val="left"/>
              <w:rPr>
                <w:rFonts w:ascii="Calibri" w:eastAsiaTheme="minorHAnsi" w:hAnsi="Calibri"/>
                <w:b w:val="0"/>
                <w:szCs w:val="18"/>
              </w:rPr>
            </w:pPr>
            <w:r w:rsidRPr="00B75B77">
              <w:rPr>
                <w:rFonts w:ascii="Calibri" w:eastAsiaTheme="minorHAnsi" w:hAnsi="Calibri"/>
                <w:b w:val="0"/>
                <w:szCs w:val="18"/>
              </w:rPr>
              <w:t>Smart Equipment Incentives</w:t>
            </w:r>
          </w:p>
        </w:tc>
        <w:tc>
          <w:tcPr>
            <w:tcW w:w="1335" w:type="dxa"/>
          </w:tcPr>
          <w:p w:rsidR="000C1E59" w:rsidRPr="00B75B77" w:rsidRDefault="000C1E59" w:rsidP="009B1A56">
            <w:pPr>
              <w:keepNext/>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szCs w:val="18"/>
              </w:rPr>
            </w:pPr>
            <w:r w:rsidRPr="00B75B77">
              <w:rPr>
                <w:rFonts w:ascii="Calibri" w:eastAsiaTheme="minorHAnsi" w:hAnsi="Calibri"/>
                <w:szCs w:val="18"/>
              </w:rPr>
              <w:t>Lighting, HVAC, Motors &amp; Drives, Custom, Refrigeration</w:t>
            </w:r>
          </w:p>
        </w:tc>
        <w:tc>
          <w:tcPr>
            <w:tcW w:w="1335" w:type="dxa"/>
          </w:tcPr>
          <w:p w:rsidR="000C1E59" w:rsidRPr="00B75B77" w:rsidRDefault="000C1E59" w:rsidP="009B1A56">
            <w:pPr>
              <w:keepNext/>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szCs w:val="18"/>
              </w:rPr>
            </w:pPr>
            <w:r w:rsidRPr="00B75B77">
              <w:rPr>
                <w:rFonts w:ascii="Calibri" w:eastAsiaTheme="minorHAnsi" w:hAnsi="Calibri"/>
                <w:szCs w:val="18"/>
              </w:rPr>
              <w:t xml:space="preserve">Navigant Consulting, </w:t>
            </w:r>
            <w:proofErr w:type="spellStart"/>
            <w:r w:rsidRPr="00B75B77">
              <w:rPr>
                <w:rFonts w:ascii="Calibri" w:eastAsiaTheme="minorHAnsi" w:hAnsi="Calibri"/>
                <w:szCs w:val="18"/>
              </w:rPr>
              <w:t>Mondre</w:t>
            </w:r>
            <w:proofErr w:type="spellEnd"/>
            <w:r w:rsidRPr="00B75B77">
              <w:rPr>
                <w:rFonts w:ascii="Calibri" w:eastAsiaTheme="minorHAnsi" w:hAnsi="Calibri"/>
                <w:szCs w:val="18"/>
              </w:rPr>
              <w:t xml:space="preserve"> Energy</w:t>
            </w:r>
          </w:p>
        </w:tc>
        <w:tc>
          <w:tcPr>
            <w:tcW w:w="1335" w:type="dxa"/>
          </w:tcPr>
          <w:p w:rsidR="000C1E59" w:rsidRPr="00B75B77" w:rsidRDefault="000C1E59" w:rsidP="009B1A56">
            <w:pPr>
              <w:keepNext/>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szCs w:val="18"/>
              </w:rPr>
            </w:pPr>
            <w:r w:rsidRPr="00B75B77">
              <w:rPr>
                <w:rFonts w:ascii="Calibri" w:eastAsiaTheme="minorHAnsi" w:hAnsi="Calibri"/>
                <w:szCs w:val="18"/>
              </w:rPr>
              <w:t>49</w:t>
            </w:r>
          </w:p>
        </w:tc>
        <w:tc>
          <w:tcPr>
            <w:tcW w:w="1335" w:type="dxa"/>
          </w:tcPr>
          <w:p w:rsidR="000C1E59" w:rsidRPr="00B75B77" w:rsidRDefault="000C1E59" w:rsidP="009B1A56">
            <w:pPr>
              <w:keepNext/>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szCs w:val="18"/>
              </w:rPr>
            </w:pPr>
            <w:r w:rsidRPr="00B75B77">
              <w:rPr>
                <w:rFonts w:ascii="Calibri" w:eastAsiaTheme="minorHAnsi" w:hAnsi="Calibri"/>
                <w:szCs w:val="18"/>
              </w:rPr>
              <w:t>48</w:t>
            </w:r>
          </w:p>
        </w:tc>
        <w:tc>
          <w:tcPr>
            <w:tcW w:w="1335" w:type="dxa"/>
          </w:tcPr>
          <w:p w:rsidR="000C1E59" w:rsidRPr="00B75B77" w:rsidRDefault="000C1E59" w:rsidP="009B1A56">
            <w:pPr>
              <w:keepNext/>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szCs w:val="18"/>
              </w:rPr>
            </w:pPr>
            <w:r w:rsidRPr="00B75B77">
              <w:rPr>
                <w:rFonts w:ascii="Calibri" w:eastAsiaTheme="minorHAnsi" w:hAnsi="Calibri"/>
                <w:szCs w:val="18"/>
              </w:rPr>
              <w:t>19</w:t>
            </w:r>
          </w:p>
        </w:tc>
        <w:tc>
          <w:tcPr>
            <w:tcW w:w="1335" w:type="dxa"/>
          </w:tcPr>
          <w:p w:rsidR="000C1E59" w:rsidRPr="00B75B77" w:rsidRDefault="000C1E59" w:rsidP="009B1A56">
            <w:pPr>
              <w:keepNext/>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szCs w:val="18"/>
              </w:rPr>
            </w:pPr>
            <w:r w:rsidRPr="00B75B77">
              <w:rPr>
                <w:rFonts w:ascii="Calibri" w:eastAsiaTheme="minorHAnsi" w:hAnsi="Calibri"/>
                <w:szCs w:val="18"/>
              </w:rPr>
              <w:t>N/A</w:t>
            </w:r>
          </w:p>
        </w:tc>
      </w:tr>
      <w:tr w:rsidR="000C1E59" w:rsidRPr="00B75B77" w:rsidTr="0063130A">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58" w:type="dxa"/>
          </w:tcPr>
          <w:p w:rsidR="000C1E59" w:rsidRPr="00B75B77" w:rsidRDefault="000C1E59" w:rsidP="009B1A56">
            <w:pPr>
              <w:keepNext/>
              <w:spacing w:before="40" w:after="40"/>
              <w:ind w:left="72"/>
              <w:jc w:val="left"/>
              <w:rPr>
                <w:rFonts w:ascii="Calibri" w:eastAsiaTheme="minorHAnsi" w:hAnsi="Calibri"/>
                <w:b w:val="0"/>
                <w:color w:val="000000"/>
                <w:szCs w:val="18"/>
              </w:rPr>
            </w:pPr>
            <w:r w:rsidRPr="00B75B77">
              <w:rPr>
                <w:rFonts w:ascii="Calibri" w:eastAsiaTheme="minorHAnsi" w:hAnsi="Calibri"/>
                <w:b w:val="0"/>
                <w:color w:val="000000"/>
                <w:szCs w:val="18"/>
              </w:rPr>
              <w:t>Smart Multi-Family Solutions</w:t>
            </w:r>
          </w:p>
        </w:tc>
        <w:tc>
          <w:tcPr>
            <w:tcW w:w="1335" w:type="dxa"/>
          </w:tcPr>
          <w:p w:rsidR="000C1E59" w:rsidRPr="00B75B77" w:rsidRDefault="000C1E59" w:rsidP="009B1A56">
            <w:pPr>
              <w:keepNext/>
              <w:jc w:val="center"/>
              <w:cnfStyle w:val="000000010000" w:firstRow="0" w:lastRow="0" w:firstColumn="0" w:lastColumn="0" w:oddVBand="0" w:evenVBand="0" w:oddHBand="0" w:evenHBand="1" w:firstRowFirstColumn="0" w:firstRowLastColumn="0" w:lastRowFirstColumn="0" w:lastRowLastColumn="0"/>
              <w:rPr>
                <w:rFonts w:ascii="Calibri" w:eastAsiaTheme="minorHAnsi" w:hAnsi="Calibri"/>
                <w:color w:val="000000"/>
                <w:szCs w:val="18"/>
              </w:rPr>
            </w:pPr>
            <w:r w:rsidRPr="00B75B77">
              <w:rPr>
                <w:rFonts w:ascii="Calibri" w:eastAsiaTheme="minorHAnsi" w:hAnsi="Calibri"/>
                <w:color w:val="000000"/>
                <w:szCs w:val="18"/>
              </w:rPr>
              <w:t>CFLs, Low-Flow Faucet Aerators, Low-Flow Showerheads</w:t>
            </w:r>
          </w:p>
        </w:tc>
        <w:tc>
          <w:tcPr>
            <w:tcW w:w="1335" w:type="dxa"/>
          </w:tcPr>
          <w:p w:rsidR="000C1E59" w:rsidRPr="00B75B77" w:rsidRDefault="000C1E59" w:rsidP="009B1A56">
            <w:pPr>
              <w:keepNext/>
              <w:spacing w:before="40" w:after="40"/>
              <w:jc w:val="center"/>
              <w:cnfStyle w:val="000000010000" w:firstRow="0" w:lastRow="0" w:firstColumn="0" w:lastColumn="0" w:oddVBand="0" w:evenVBand="0" w:oddHBand="0" w:evenHBand="1" w:firstRowFirstColumn="0" w:firstRowLastColumn="0" w:lastRowFirstColumn="0" w:lastRowLastColumn="0"/>
              <w:rPr>
                <w:rFonts w:ascii="Calibri" w:eastAsiaTheme="minorHAnsi" w:hAnsi="Calibri"/>
                <w:szCs w:val="18"/>
              </w:rPr>
            </w:pPr>
            <w:r w:rsidRPr="00B75B77">
              <w:rPr>
                <w:rFonts w:ascii="Calibri" w:eastAsiaTheme="minorHAnsi" w:hAnsi="Calibri"/>
                <w:szCs w:val="18"/>
              </w:rPr>
              <w:t xml:space="preserve">Navigant Consulting, </w:t>
            </w:r>
            <w:proofErr w:type="spellStart"/>
            <w:r w:rsidRPr="00B75B77">
              <w:rPr>
                <w:rFonts w:ascii="Calibri" w:eastAsiaTheme="minorHAnsi" w:hAnsi="Calibri"/>
                <w:szCs w:val="18"/>
              </w:rPr>
              <w:t>Mondre</w:t>
            </w:r>
            <w:proofErr w:type="spellEnd"/>
            <w:r w:rsidRPr="00B75B77">
              <w:rPr>
                <w:rFonts w:ascii="Calibri" w:eastAsiaTheme="minorHAnsi" w:hAnsi="Calibri"/>
                <w:szCs w:val="18"/>
              </w:rPr>
              <w:t xml:space="preserve"> Energy</w:t>
            </w:r>
          </w:p>
        </w:tc>
        <w:tc>
          <w:tcPr>
            <w:tcW w:w="1335" w:type="dxa"/>
          </w:tcPr>
          <w:p w:rsidR="000C1E59" w:rsidRPr="00B75B77" w:rsidRDefault="000C1E59" w:rsidP="009B1A56">
            <w:pPr>
              <w:keepNext/>
              <w:jc w:val="center"/>
              <w:cnfStyle w:val="000000010000" w:firstRow="0" w:lastRow="0" w:firstColumn="0" w:lastColumn="0" w:oddVBand="0" w:evenVBand="0" w:oddHBand="0" w:evenHBand="1" w:firstRowFirstColumn="0" w:firstRowLastColumn="0" w:lastRowFirstColumn="0" w:lastRowLastColumn="0"/>
              <w:rPr>
                <w:rFonts w:ascii="Calibri" w:eastAsiaTheme="minorHAnsi" w:hAnsi="Calibri"/>
                <w:color w:val="000000"/>
                <w:szCs w:val="18"/>
              </w:rPr>
            </w:pPr>
            <w:r w:rsidRPr="00B75B77">
              <w:rPr>
                <w:rFonts w:ascii="Calibri" w:eastAsiaTheme="minorHAnsi" w:hAnsi="Calibri"/>
                <w:color w:val="000000"/>
                <w:szCs w:val="18"/>
              </w:rPr>
              <w:t>16</w:t>
            </w:r>
          </w:p>
        </w:tc>
        <w:tc>
          <w:tcPr>
            <w:tcW w:w="1335" w:type="dxa"/>
          </w:tcPr>
          <w:p w:rsidR="000C1E59" w:rsidRPr="00B75B77" w:rsidRDefault="000C1E59" w:rsidP="009B1A56">
            <w:pPr>
              <w:keepNext/>
              <w:jc w:val="center"/>
              <w:cnfStyle w:val="000000010000" w:firstRow="0" w:lastRow="0" w:firstColumn="0" w:lastColumn="0" w:oddVBand="0" w:evenVBand="0" w:oddHBand="0" w:evenHBand="1" w:firstRowFirstColumn="0" w:firstRowLastColumn="0" w:lastRowFirstColumn="0" w:lastRowLastColumn="0"/>
              <w:rPr>
                <w:rFonts w:ascii="Calibri" w:eastAsiaTheme="minorHAnsi" w:hAnsi="Calibri"/>
                <w:color w:val="000000"/>
                <w:szCs w:val="18"/>
              </w:rPr>
            </w:pPr>
            <w:r w:rsidRPr="00B75B77">
              <w:rPr>
                <w:rFonts w:ascii="Calibri" w:eastAsiaTheme="minorHAnsi" w:hAnsi="Calibri"/>
                <w:color w:val="000000"/>
                <w:szCs w:val="18"/>
              </w:rPr>
              <w:t>15</w:t>
            </w:r>
          </w:p>
        </w:tc>
        <w:tc>
          <w:tcPr>
            <w:tcW w:w="1335" w:type="dxa"/>
          </w:tcPr>
          <w:p w:rsidR="000C1E59" w:rsidRPr="00B75B77" w:rsidRDefault="000C1E59" w:rsidP="009B1A56">
            <w:pPr>
              <w:keepNext/>
              <w:jc w:val="center"/>
              <w:cnfStyle w:val="000000010000" w:firstRow="0" w:lastRow="0" w:firstColumn="0" w:lastColumn="0" w:oddVBand="0" w:evenVBand="0" w:oddHBand="0" w:evenHBand="1" w:firstRowFirstColumn="0" w:firstRowLastColumn="0" w:lastRowFirstColumn="0" w:lastRowLastColumn="0"/>
              <w:rPr>
                <w:rFonts w:ascii="Calibri" w:eastAsiaTheme="minorHAnsi" w:hAnsi="Calibri"/>
                <w:color w:val="000000"/>
                <w:szCs w:val="18"/>
              </w:rPr>
            </w:pPr>
            <w:r w:rsidRPr="00B75B77">
              <w:rPr>
                <w:rFonts w:ascii="Calibri" w:eastAsiaTheme="minorHAnsi" w:hAnsi="Calibri"/>
                <w:color w:val="000000"/>
                <w:szCs w:val="18"/>
              </w:rPr>
              <w:t>6</w:t>
            </w:r>
          </w:p>
        </w:tc>
        <w:tc>
          <w:tcPr>
            <w:tcW w:w="1335" w:type="dxa"/>
          </w:tcPr>
          <w:p w:rsidR="000C1E59" w:rsidRPr="00B75B77" w:rsidRDefault="007D4ABE" w:rsidP="007D4ABE">
            <w:pPr>
              <w:keepNext/>
              <w:jc w:val="center"/>
              <w:cnfStyle w:val="000000010000" w:firstRow="0" w:lastRow="0" w:firstColumn="0" w:lastColumn="0" w:oddVBand="0" w:evenVBand="0" w:oddHBand="0" w:evenHBand="1" w:firstRowFirstColumn="0" w:firstRowLastColumn="0" w:lastRowFirstColumn="0" w:lastRowLastColumn="0"/>
              <w:rPr>
                <w:rFonts w:ascii="Calibri" w:eastAsiaTheme="minorHAnsi" w:hAnsi="Calibri"/>
                <w:color w:val="000000"/>
                <w:szCs w:val="18"/>
              </w:rPr>
            </w:pPr>
            <w:r w:rsidRPr="00B75B77">
              <w:rPr>
                <w:rFonts w:ascii="Calibri" w:eastAsiaTheme="minorHAnsi" w:hAnsi="Calibri"/>
                <w:color w:val="000000"/>
                <w:szCs w:val="18"/>
              </w:rPr>
              <w:t xml:space="preserve">Direct install </w:t>
            </w:r>
            <w:r w:rsidR="000C1E59" w:rsidRPr="00B75B77">
              <w:rPr>
                <w:rFonts w:ascii="Calibri" w:eastAsiaTheme="minorHAnsi" w:hAnsi="Calibri"/>
                <w:color w:val="000000"/>
                <w:szCs w:val="18"/>
              </w:rPr>
              <w:t xml:space="preserve">measures removed after installation; </w:t>
            </w:r>
            <w:r w:rsidRPr="00B75B77">
              <w:rPr>
                <w:rFonts w:ascii="Calibri" w:eastAsiaTheme="minorHAnsi" w:hAnsi="Calibri"/>
                <w:color w:val="000000"/>
                <w:szCs w:val="18"/>
              </w:rPr>
              <w:t>n</w:t>
            </w:r>
            <w:r w:rsidR="000C1E59" w:rsidRPr="00B75B77">
              <w:rPr>
                <w:rFonts w:ascii="Calibri" w:eastAsiaTheme="minorHAnsi" w:hAnsi="Calibri"/>
                <w:color w:val="000000"/>
                <w:szCs w:val="18"/>
              </w:rPr>
              <w:t>o action</w:t>
            </w:r>
          </w:p>
        </w:tc>
      </w:tr>
      <w:tr w:rsidR="000C1E59" w:rsidRPr="00B75B77" w:rsidTr="0063130A">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58" w:type="dxa"/>
          </w:tcPr>
          <w:p w:rsidR="000C1E59" w:rsidRPr="00B75B77" w:rsidRDefault="000C1E59" w:rsidP="009B1A56">
            <w:pPr>
              <w:keepNext/>
              <w:spacing w:before="40" w:after="40"/>
              <w:ind w:left="72"/>
              <w:jc w:val="left"/>
              <w:rPr>
                <w:b w:val="0"/>
                <w:szCs w:val="18"/>
              </w:rPr>
            </w:pPr>
            <w:r w:rsidRPr="00B75B77">
              <w:rPr>
                <w:b w:val="0"/>
                <w:szCs w:val="18"/>
              </w:rPr>
              <w:t>Smart On-Site</w:t>
            </w:r>
          </w:p>
        </w:tc>
        <w:tc>
          <w:tcPr>
            <w:tcW w:w="1335" w:type="dxa"/>
          </w:tcPr>
          <w:p w:rsidR="000C1E59" w:rsidRPr="00B75B77" w:rsidRDefault="000C1E59" w:rsidP="009B1A56">
            <w:pPr>
              <w:keepNext/>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bCs/>
                <w:szCs w:val="18"/>
              </w:rPr>
            </w:pPr>
            <w:r w:rsidRPr="00B75B77">
              <w:rPr>
                <w:rFonts w:ascii="Calibri" w:eastAsiaTheme="minorHAnsi" w:hAnsi="Calibri"/>
                <w:bCs/>
                <w:szCs w:val="18"/>
              </w:rPr>
              <w:t>CHP</w:t>
            </w:r>
          </w:p>
        </w:tc>
        <w:tc>
          <w:tcPr>
            <w:tcW w:w="1335" w:type="dxa"/>
          </w:tcPr>
          <w:p w:rsidR="000C1E59" w:rsidRPr="00B75B77" w:rsidRDefault="000C1E59" w:rsidP="009B1A56">
            <w:pPr>
              <w:keepNext/>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bCs/>
                <w:color w:val="000000"/>
                <w:szCs w:val="18"/>
              </w:rPr>
            </w:pPr>
            <w:r w:rsidRPr="00B75B77">
              <w:rPr>
                <w:rFonts w:ascii="Calibri" w:eastAsiaTheme="minorHAnsi" w:hAnsi="Calibri"/>
                <w:bCs/>
                <w:color w:val="000000"/>
                <w:szCs w:val="18"/>
              </w:rPr>
              <w:t>Navigant</w:t>
            </w:r>
          </w:p>
        </w:tc>
        <w:tc>
          <w:tcPr>
            <w:tcW w:w="1335" w:type="dxa"/>
          </w:tcPr>
          <w:p w:rsidR="000C1E59" w:rsidRPr="00B75B77" w:rsidRDefault="000C1E59" w:rsidP="009B1A56">
            <w:pPr>
              <w:keepNext/>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bCs/>
                <w:color w:val="000000"/>
                <w:szCs w:val="18"/>
              </w:rPr>
            </w:pPr>
            <w:r w:rsidRPr="00B75B77">
              <w:rPr>
                <w:rFonts w:ascii="Calibri" w:eastAsiaTheme="minorHAnsi" w:hAnsi="Calibri"/>
                <w:bCs/>
                <w:color w:val="000000"/>
                <w:szCs w:val="18"/>
              </w:rPr>
              <w:t>6</w:t>
            </w:r>
          </w:p>
        </w:tc>
        <w:tc>
          <w:tcPr>
            <w:tcW w:w="1335" w:type="dxa"/>
          </w:tcPr>
          <w:p w:rsidR="000C1E59" w:rsidRPr="00B75B77" w:rsidRDefault="000C1E59" w:rsidP="009B1A56">
            <w:pPr>
              <w:keepNext/>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bCs/>
                <w:color w:val="000000"/>
                <w:szCs w:val="18"/>
              </w:rPr>
            </w:pPr>
            <w:r w:rsidRPr="00B75B77">
              <w:rPr>
                <w:rFonts w:ascii="Calibri" w:eastAsiaTheme="minorHAnsi" w:hAnsi="Calibri"/>
                <w:bCs/>
                <w:color w:val="000000"/>
                <w:szCs w:val="18"/>
              </w:rPr>
              <w:t>6</w:t>
            </w:r>
          </w:p>
        </w:tc>
        <w:tc>
          <w:tcPr>
            <w:tcW w:w="1335" w:type="dxa"/>
          </w:tcPr>
          <w:p w:rsidR="000C1E59" w:rsidRPr="00B75B77" w:rsidRDefault="000C1E59" w:rsidP="009B1A56">
            <w:pPr>
              <w:keepNext/>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bCs/>
                <w:color w:val="000000"/>
                <w:szCs w:val="18"/>
              </w:rPr>
            </w:pPr>
            <w:r w:rsidRPr="00B75B77">
              <w:rPr>
                <w:rFonts w:ascii="Calibri" w:eastAsiaTheme="minorHAnsi" w:hAnsi="Calibri"/>
                <w:bCs/>
                <w:color w:val="000000"/>
                <w:szCs w:val="18"/>
              </w:rPr>
              <w:t>0</w:t>
            </w:r>
          </w:p>
        </w:tc>
        <w:tc>
          <w:tcPr>
            <w:tcW w:w="1335" w:type="dxa"/>
          </w:tcPr>
          <w:p w:rsidR="000C1E59" w:rsidRPr="00B75B77" w:rsidRDefault="000C1E59" w:rsidP="009B1A56">
            <w:pPr>
              <w:keepNext/>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bCs/>
                <w:color w:val="000000"/>
                <w:szCs w:val="18"/>
              </w:rPr>
            </w:pPr>
            <w:r w:rsidRPr="00B75B77">
              <w:rPr>
                <w:rFonts w:ascii="Calibri" w:eastAsiaTheme="minorHAnsi" w:hAnsi="Calibri"/>
                <w:bCs/>
                <w:color w:val="000000"/>
                <w:szCs w:val="18"/>
              </w:rPr>
              <w:t>N/A</w:t>
            </w:r>
          </w:p>
        </w:tc>
      </w:tr>
      <w:tr w:rsidR="000C1E59" w:rsidRPr="00B75B77" w:rsidTr="0063130A">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58" w:type="dxa"/>
            <w:hideMark/>
          </w:tcPr>
          <w:p w:rsidR="000C1E59" w:rsidRPr="00B75B77" w:rsidRDefault="000C1E59" w:rsidP="009B1A56">
            <w:pPr>
              <w:keepNext/>
              <w:spacing w:before="40" w:after="40"/>
              <w:ind w:left="72"/>
              <w:jc w:val="left"/>
              <w:rPr>
                <w:rFonts w:ascii="Calibri" w:eastAsiaTheme="minorHAnsi" w:hAnsi="Calibri"/>
                <w:szCs w:val="18"/>
              </w:rPr>
            </w:pPr>
            <w:r w:rsidRPr="00B75B77">
              <w:rPr>
                <w:bCs w:val="0"/>
                <w:szCs w:val="18"/>
              </w:rPr>
              <w:t>TOTAL</w:t>
            </w:r>
          </w:p>
        </w:tc>
        <w:tc>
          <w:tcPr>
            <w:tcW w:w="1335" w:type="dxa"/>
          </w:tcPr>
          <w:p w:rsidR="000C1E59" w:rsidRPr="00B75B77" w:rsidRDefault="000C1E59" w:rsidP="009B1A56">
            <w:pPr>
              <w:keepNext/>
              <w:jc w:val="center"/>
              <w:cnfStyle w:val="000000010000" w:firstRow="0" w:lastRow="0" w:firstColumn="0" w:lastColumn="0" w:oddVBand="0" w:evenVBand="0" w:oddHBand="0" w:evenHBand="1" w:firstRowFirstColumn="0" w:firstRowLastColumn="0" w:lastRowFirstColumn="0" w:lastRowLastColumn="0"/>
              <w:rPr>
                <w:rFonts w:ascii="Calibri" w:eastAsiaTheme="minorHAnsi" w:hAnsi="Calibri"/>
                <w:b/>
                <w:bCs/>
                <w:szCs w:val="18"/>
              </w:rPr>
            </w:pPr>
          </w:p>
        </w:tc>
        <w:tc>
          <w:tcPr>
            <w:tcW w:w="1335" w:type="dxa"/>
          </w:tcPr>
          <w:p w:rsidR="000C1E59" w:rsidRPr="00B75B77" w:rsidRDefault="000C1E59" w:rsidP="009B1A56">
            <w:pPr>
              <w:keepNext/>
              <w:spacing w:before="40" w:after="40"/>
              <w:jc w:val="center"/>
              <w:cnfStyle w:val="000000010000" w:firstRow="0" w:lastRow="0" w:firstColumn="0" w:lastColumn="0" w:oddVBand="0" w:evenVBand="0" w:oddHBand="0" w:evenHBand="1" w:firstRowFirstColumn="0" w:firstRowLastColumn="0" w:lastRowFirstColumn="0" w:lastRowLastColumn="0"/>
              <w:rPr>
                <w:rFonts w:ascii="Calibri" w:eastAsiaTheme="minorHAnsi" w:hAnsi="Calibri"/>
                <w:b/>
                <w:bCs/>
                <w:color w:val="000000"/>
                <w:szCs w:val="18"/>
              </w:rPr>
            </w:pPr>
          </w:p>
        </w:tc>
        <w:tc>
          <w:tcPr>
            <w:tcW w:w="1335" w:type="dxa"/>
          </w:tcPr>
          <w:p w:rsidR="000C1E59" w:rsidRPr="00B75B77" w:rsidRDefault="000C1E59" w:rsidP="009B1A56">
            <w:pPr>
              <w:keepNext/>
              <w:jc w:val="center"/>
              <w:cnfStyle w:val="000000010000" w:firstRow="0" w:lastRow="0" w:firstColumn="0" w:lastColumn="0" w:oddVBand="0" w:evenVBand="0" w:oddHBand="0" w:evenHBand="1" w:firstRowFirstColumn="0" w:firstRowLastColumn="0" w:lastRowFirstColumn="0" w:lastRowLastColumn="0"/>
              <w:rPr>
                <w:rFonts w:ascii="Calibri" w:eastAsiaTheme="minorHAnsi" w:hAnsi="Calibri"/>
                <w:b/>
                <w:bCs/>
                <w:color w:val="000000"/>
                <w:szCs w:val="18"/>
              </w:rPr>
            </w:pPr>
            <w:r w:rsidRPr="00B75B77">
              <w:rPr>
                <w:rFonts w:ascii="Calibri" w:eastAsiaTheme="minorHAnsi" w:hAnsi="Calibri"/>
                <w:b/>
                <w:bCs/>
                <w:color w:val="000000"/>
                <w:szCs w:val="18"/>
              </w:rPr>
              <w:t>110</w:t>
            </w:r>
          </w:p>
        </w:tc>
        <w:tc>
          <w:tcPr>
            <w:tcW w:w="1335" w:type="dxa"/>
          </w:tcPr>
          <w:p w:rsidR="000C1E59" w:rsidRPr="00B75B77" w:rsidRDefault="000C1E59" w:rsidP="009B1A56">
            <w:pPr>
              <w:keepNext/>
              <w:jc w:val="center"/>
              <w:cnfStyle w:val="000000010000" w:firstRow="0" w:lastRow="0" w:firstColumn="0" w:lastColumn="0" w:oddVBand="0" w:evenVBand="0" w:oddHBand="0" w:evenHBand="1" w:firstRowFirstColumn="0" w:firstRowLastColumn="0" w:lastRowFirstColumn="0" w:lastRowLastColumn="0"/>
              <w:rPr>
                <w:rFonts w:ascii="Calibri" w:eastAsiaTheme="minorHAnsi" w:hAnsi="Calibri"/>
                <w:b/>
                <w:bCs/>
                <w:color w:val="000000"/>
                <w:szCs w:val="18"/>
              </w:rPr>
            </w:pPr>
            <w:r w:rsidRPr="00B75B77">
              <w:rPr>
                <w:rFonts w:ascii="Calibri" w:eastAsiaTheme="minorHAnsi" w:hAnsi="Calibri"/>
                <w:b/>
                <w:bCs/>
                <w:color w:val="000000"/>
                <w:szCs w:val="18"/>
              </w:rPr>
              <w:t>108</w:t>
            </w:r>
          </w:p>
        </w:tc>
        <w:tc>
          <w:tcPr>
            <w:tcW w:w="1335" w:type="dxa"/>
          </w:tcPr>
          <w:p w:rsidR="000C1E59" w:rsidRPr="00B75B77" w:rsidRDefault="000C1E59" w:rsidP="009B1A56">
            <w:pPr>
              <w:keepNext/>
              <w:jc w:val="center"/>
              <w:cnfStyle w:val="000000010000" w:firstRow="0" w:lastRow="0" w:firstColumn="0" w:lastColumn="0" w:oddVBand="0" w:evenVBand="0" w:oddHBand="0" w:evenHBand="1" w:firstRowFirstColumn="0" w:firstRowLastColumn="0" w:lastRowFirstColumn="0" w:lastRowLastColumn="0"/>
              <w:rPr>
                <w:rFonts w:ascii="Calibri" w:eastAsiaTheme="minorHAnsi" w:hAnsi="Calibri"/>
                <w:b/>
                <w:bCs/>
                <w:color w:val="000000"/>
                <w:szCs w:val="18"/>
              </w:rPr>
            </w:pPr>
            <w:r w:rsidRPr="00B75B77">
              <w:rPr>
                <w:rFonts w:ascii="Calibri" w:eastAsiaTheme="minorHAnsi" w:hAnsi="Calibri"/>
                <w:b/>
                <w:bCs/>
                <w:color w:val="000000"/>
                <w:szCs w:val="18"/>
              </w:rPr>
              <w:t>31</w:t>
            </w:r>
          </w:p>
        </w:tc>
        <w:tc>
          <w:tcPr>
            <w:tcW w:w="1335" w:type="dxa"/>
          </w:tcPr>
          <w:p w:rsidR="000C1E59" w:rsidRPr="00B75B77" w:rsidRDefault="000C1E59" w:rsidP="009B1A56">
            <w:pPr>
              <w:keepNext/>
              <w:jc w:val="center"/>
              <w:cnfStyle w:val="000000010000" w:firstRow="0" w:lastRow="0" w:firstColumn="0" w:lastColumn="0" w:oddVBand="0" w:evenVBand="0" w:oddHBand="0" w:evenHBand="1" w:firstRowFirstColumn="0" w:firstRowLastColumn="0" w:lastRowFirstColumn="0" w:lastRowLastColumn="0"/>
              <w:rPr>
                <w:rFonts w:ascii="Calibri" w:eastAsiaTheme="minorHAnsi" w:hAnsi="Calibri"/>
                <w:b/>
                <w:bCs/>
                <w:color w:val="000000"/>
                <w:szCs w:val="18"/>
              </w:rPr>
            </w:pPr>
          </w:p>
        </w:tc>
      </w:tr>
    </w:tbl>
    <w:p w:rsidR="000C1E59" w:rsidRPr="00B75B77" w:rsidRDefault="0063130A" w:rsidP="0063130A">
      <w:pPr>
        <w:pStyle w:val="Source"/>
      </w:pPr>
      <w:r w:rsidRPr="00B75B77">
        <w:t>Source: Navigant analysis</w:t>
      </w:r>
    </w:p>
    <w:p w:rsidR="00195B2F" w:rsidRPr="00B75B77" w:rsidRDefault="00195B2F" w:rsidP="00057B1C">
      <w:pPr>
        <w:jc w:val="left"/>
      </w:pPr>
    </w:p>
    <w:p w:rsidR="00195B2F" w:rsidRPr="00B75B77" w:rsidRDefault="00195B2F" w:rsidP="00057B1C">
      <w:pPr>
        <w:jc w:val="left"/>
      </w:pPr>
    </w:p>
    <w:p w:rsidR="00195B2F" w:rsidRPr="00B75B77" w:rsidRDefault="00195B2F" w:rsidP="00057B1C">
      <w:pPr>
        <w:jc w:val="left"/>
        <w:sectPr w:rsidR="00195B2F" w:rsidRPr="00B75B77" w:rsidSect="003001C5">
          <w:headerReference w:type="first" r:id="rId40"/>
          <w:footerReference w:type="first" r:id="rId41"/>
          <w:pgSz w:w="12240" w:h="15840" w:code="1"/>
          <w:pgMar w:top="1170" w:right="1440" w:bottom="1260" w:left="1440" w:header="576" w:footer="475" w:gutter="0"/>
          <w:cols w:space="720"/>
          <w:docGrid w:linePitch="360"/>
        </w:sectPr>
      </w:pPr>
    </w:p>
    <w:p w:rsidR="00156005" w:rsidRPr="00B75B77" w:rsidRDefault="00156005" w:rsidP="00722C85">
      <w:pPr>
        <w:pStyle w:val="Heading1"/>
      </w:pPr>
      <w:bookmarkStart w:id="236" w:name="_Toc466413273"/>
      <w:bookmarkEnd w:id="21"/>
      <w:bookmarkEnd w:id="22"/>
      <w:bookmarkEnd w:id="23"/>
      <w:bookmarkEnd w:id="24"/>
      <w:bookmarkEnd w:id="25"/>
      <w:r w:rsidRPr="00B75B77">
        <w:lastRenderedPageBreak/>
        <w:t>Smart Home Rebates</w:t>
      </w:r>
      <w:bookmarkEnd w:id="236"/>
    </w:p>
    <w:p w:rsidR="00156005" w:rsidRPr="00B75B77" w:rsidRDefault="00156005" w:rsidP="00722C85">
      <w:r w:rsidRPr="00B75B77">
        <w:t>The objective of the Smart Home Rebates (SHR) program is to assist residential PECO customers in becoming conscious consumers of energy by encouraging and facilitating their adoption of energy</w:t>
      </w:r>
      <w:r w:rsidR="007E072E" w:rsidRPr="00B75B77">
        <w:t xml:space="preserve"> </w:t>
      </w:r>
      <w:r w:rsidRPr="00B75B77">
        <w:t>efficient products. The program achieves this by providing incentives to increase the market share of high</w:t>
      </w:r>
      <w:r w:rsidR="00037B84" w:rsidRPr="00B75B77">
        <w:t xml:space="preserve"> </w:t>
      </w:r>
      <w:r w:rsidRPr="00B75B77">
        <w:t>efficiency lighting (CFLs and LEDs) and appliances sold through retail and heating, ventilation, and air conditioning (HVAC) installer sales channels, as well as by distributing educational materials for increasing customer awareness and acceptance.</w:t>
      </w:r>
      <w:r w:rsidRPr="00B75B77" w:rsidDel="003A6F78">
        <w:t xml:space="preserve"> </w:t>
      </w:r>
    </w:p>
    <w:p w:rsidR="00156005" w:rsidRPr="00B75B77" w:rsidRDefault="00156005" w:rsidP="00722C85"/>
    <w:p w:rsidR="00156005" w:rsidRPr="00B75B77" w:rsidRDefault="00156005" w:rsidP="00722C85">
      <w:r w:rsidRPr="00B75B77">
        <w:t>The target market for SHR is residential customers in the PECO service territory, especially those engaged in home improvement and new appliance purchases. In general, these consumers have access to many sales channels and are able to choose from competing brands and manufacturers. As such, this target market relies upon the advice of retail staff and HVAC installation contractors (trade allies) to make purchase decisions. For this reason, PECO leverages relationships with retailers and contractors to increase awareness and availability of energy</w:t>
      </w:r>
      <w:r w:rsidR="00363261" w:rsidRPr="00B75B77">
        <w:t xml:space="preserve"> </w:t>
      </w:r>
      <w:r w:rsidRPr="00B75B77">
        <w:t>efficient products to this target market.</w:t>
      </w:r>
    </w:p>
    <w:p w:rsidR="00156005" w:rsidRPr="00B75B77" w:rsidRDefault="00156005" w:rsidP="00722C85"/>
    <w:p w:rsidR="00156005" w:rsidRPr="00B75B77" w:rsidRDefault="00156005" w:rsidP="00722C85">
      <w:r w:rsidRPr="00B75B77">
        <w:rPr>
          <w:szCs w:val="20"/>
        </w:rPr>
        <w:t xml:space="preserve">PECO hired a </w:t>
      </w:r>
      <w:r w:rsidRPr="00B75B77">
        <w:t xml:space="preserve">CSP, </w:t>
      </w:r>
      <w:proofErr w:type="spellStart"/>
      <w:r w:rsidRPr="00B75B77">
        <w:t>Ecova</w:t>
      </w:r>
      <w:proofErr w:type="spellEnd"/>
      <w:r w:rsidRPr="00B75B77">
        <w:t>,</w:t>
      </w:r>
      <w:r w:rsidRPr="00B75B77">
        <w:rPr>
          <w:szCs w:val="20"/>
        </w:rPr>
        <w:t xml:space="preserve"> to implement and market the program throughout PECO’s service territory. The CSP was responsible for administering the upstream lighting portion of the program, including shelf</w:t>
      </w:r>
      <w:r w:rsidR="00363261" w:rsidRPr="00B75B77">
        <w:rPr>
          <w:szCs w:val="20"/>
        </w:rPr>
        <w:t>-</w:t>
      </w:r>
      <w:r w:rsidRPr="00B75B77">
        <w:rPr>
          <w:szCs w:val="20"/>
        </w:rPr>
        <w:t xml:space="preserve">level marketing, point-of-purchase displays, and price setting. They also handled the </w:t>
      </w:r>
      <w:r w:rsidRPr="00B75B77">
        <w:t>program marketing, rebate process, and contractor invoicing</w:t>
      </w:r>
      <w:r w:rsidRPr="00B75B77">
        <w:rPr>
          <w:szCs w:val="20"/>
        </w:rPr>
        <w:t xml:space="preserve"> for the HVAC </w:t>
      </w:r>
      <w:r w:rsidRPr="00B75B77">
        <w:t xml:space="preserve">installers and retail outlets for the non-lighting technologies offered by SHR. </w:t>
      </w:r>
    </w:p>
    <w:p w:rsidR="00156005" w:rsidRPr="00B75B77" w:rsidRDefault="00156005" w:rsidP="00722C85"/>
    <w:p w:rsidR="00156005" w:rsidRPr="00B75B77" w:rsidRDefault="00156005" w:rsidP="00722C85">
      <w:pPr>
        <w:pStyle w:val="Heading2"/>
      </w:pPr>
      <w:bookmarkStart w:id="237" w:name="_Toc466413274"/>
      <w:r w:rsidRPr="00B75B77">
        <w:t>Program Updates</w:t>
      </w:r>
      <w:bookmarkEnd w:id="237"/>
    </w:p>
    <w:p w:rsidR="00156005" w:rsidRPr="00B75B77" w:rsidRDefault="00156005" w:rsidP="00722C85">
      <w:r w:rsidRPr="00B75B77">
        <w:t xml:space="preserve">The overall structure of the SHR program remained consistent throughout Phase II, with savings accruing from lighting, appliance, and HVAC measures. </w:t>
      </w:r>
      <w:r w:rsidR="00363261" w:rsidRPr="00B75B77">
        <w:t>In PY7,</w:t>
      </w:r>
      <w:r w:rsidRPr="00B75B77">
        <w:t xml:space="preserve"> the program continued to shift emphasis from CFLs to LED bulbs.</w:t>
      </w:r>
    </w:p>
    <w:p w:rsidR="00156005" w:rsidRPr="00B75B77" w:rsidRDefault="00156005" w:rsidP="00286B52"/>
    <w:p w:rsidR="00156005" w:rsidRPr="00B75B77" w:rsidRDefault="00156005" w:rsidP="00722C85">
      <w:pPr>
        <w:pStyle w:val="Heading3"/>
      </w:pPr>
      <w:bookmarkStart w:id="238" w:name="_Toc466413275"/>
      <w:r w:rsidRPr="00B75B77">
        <w:t>Definition of Participant</w:t>
      </w:r>
      <w:bookmarkEnd w:id="238"/>
    </w:p>
    <w:p w:rsidR="00156005" w:rsidRPr="00B75B77" w:rsidRDefault="00156005" w:rsidP="00722C85">
      <w:r w:rsidRPr="00B75B77">
        <w:t xml:space="preserve">PECO defines program participation differently for lighting measures and non-lighting measures. </w:t>
      </w:r>
      <w:r w:rsidRPr="00B75B77">
        <w:rPr>
          <w:szCs w:val="20"/>
        </w:rPr>
        <w:t>PECO delivers the lighting component of the program upstream at the manufacturer and retailer levels, so the program does not collect customer</w:t>
      </w:r>
      <w:r w:rsidR="00363261" w:rsidRPr="00B75B77">
        <w:rPr>
          <w:szCs w:val="20"/>
        </w:rPr>
        <w:t>-</w:t>
      </w:r>
      <w:r w:rsidRPr="00B75B77">
        <w:rPr>
          <w:szCs w:val="20"/>
        </w:rPr>
        <w:t>identifying information to associate to a given purchase. The program</w:t>
      </w:r>
      <w:r w:rsidR="00363261" w:rsidRPr="00B75B77">
        <w:rPr>
          <w:szCs w:val="20"/>
        </w:rPr>
        <w:t>,</w:t>
      </w:r>
      <w:r w:rsidRPr="00B75B77">
        <w:rPr>
          <w:szCs w:val="20"/>
        </w:rPr>
        <w:t xml:space="preserve"> therefore</w:t>
      </w:r>
      <w:r w:rsidR="00363261" w:rsidRPr="00B75B77">
        <w:rPr>
          <w:szCs w:val="20"/>
        </w:rPr>
        <w:t>,</w:t>
      </w:r>
      <w:r w:rsidRPr="00B75B77">
        <w:rPr>
          <w:szCs w:val="20"/>
        </w:rPr>
        <w:t xml:space="preserve"> defines a lighting participant as one program bulb, or purchased measure</w:t>
      </w:r>
      <w:r w:rsidR="00037B84" w:rsidRPr="00B75B77">
        <w:rPr>
          <w:szCs w:val="20"/>
        </w:rPr>
        <w:t>.</w:t>
      </w:r>
      <w:r w:rsidRPr="00B75B77">
        <w:rPr>
          <w:szCs w:val="20"/>
        </w:rPr>
        <w:t xml:space="preserve"> For non-lighting, the program defines a participant as one installed measure</w:t>
      </w:r>
      <w:r w:rsidRPr="00B75B77">
        <w:t>.</w:t>
      </w:r>
    </w:p>
    <w:p w:rsidR="00156005" w:rsidRPr="00B75B77" w:rsidRDefault="00156005" w:rsidP="00722C85"/>
    <w:p w:rsidR="00156005" w:rsidRPr="00B75B77" w:rsidRDefault="00156005" w:rsidP="00722C85">
      <w:pPr>
        <w:pStyle w:val="Heading2"/>
      </w:pPr>
      <w:bookmarkStart w:id="239" w:name="_Ref464403439"/>
      <w:bookmarkStart w:id="240" w:name="_Toc466413276"/>
      <w:r w:rsidRPr="00B75B77">
        <w:t>Impact Evaluation Gross Savings</w:t>
      </w:r>
      <w:bookmarkEnd w:id="239"/>
      <w:bookmarkEnd w:id="240"/>
      <w:r w:rsidRPr="00B75B77">
        <w:t xml:space="preserve"> </w:t>
      </w:r>
    </w:p>
    <w:p w:rsidR="00156005" w:rsidRPr="00B75B77" w:rsidRDefault="00156005" w:rsidP="00363261">
      <w:r w:rsidRPr="00B75B77">
        <w:t xml:space="preserve">Verified Phase II gross energy savings for the SHR program were 403,631 MWh and verified gross demand savings were 63.5 MW. </w:t>
      </w:r>
      <w:r w:rsidRPr="00B75B77">
        <w:fldChar w:fldCharType="begin"/>
      </w:r>
      <w:r w:rsidRPr="00B75B77">
        <w:instrText xml:space="preserve"> REF _Ref463813252 \h </w:instrText>
      </w:r>
      <w:r w:rsidR="00B75B77">
        <w:instrText xml:space="preserve"> \* MERGEFORMAT </w:instrText>
      </w:r>
      <w:r w:rsidRPr="00B75B77">
        <w:fldChar w:fldCharType="separate"/>
      </w:r>
      <w:r w:rsidR="0004016D" w:rsidRPr="00B75B77">
        <w:t xml:space="preserve">Table </w:t>
      </w:r>
      <w:r w:rsidR="0004016D">
        <w:rPr>
          <w:noProof/>
        </w:rPr>
        <w:t>2</w:t>
      </w:r>
      <w:r w:rsidR="0004016D" w:rsidRPr="00B75B77">
        <w:rPr>
          <w:noProof/>
        </w:rPr>
        <w:noBreakHyphen/>
      </w:r>
      <w:r w:rsidR="0004016D">
        <w:rPr>
          <w:noProof/>
        </w:rPr>
        <w:t>1</w:t>
      </w:r>
      <w:r w:rsidRPr="00B75B77">
        <w:fldChar w:fldCharType="end"/>
      </w:r>
      <w:r w:rsidRPr="00B75B77">
        <w:t xml:space="preserve"> provides the Phase II totals at the close of PY7. </w:t>
      </w:r>
    </w:p>
    <w:p w:rsidR="00156005" w:rsidRPr="00B75B77" w:rsidRDefault="00156005" w:rsidP="00363261"/>
    <w:p w:rsidR="00156005" w:rsidRPr="00B75B77" w:rsidRDefault="00156005" w:rsidP="00363261">
      <w:pPr>
        <w:pStyle w:val="Caption"/>
      </w:pPr>
      <w:bookmarkStart w:id="241" w:name="_Ref463813252"/>
      <w:bookmarkStart w:id="242" w:name="_Toc466413506"/>
      <w:r w:rsidRPr="00B75B77">
        <w:lastRenderedPageBreak/>
        <w:t xml:space="preserve">Table </w:t>
      </w:r>
      <w:fldSimple w:instr=" STYLEREF 1 \s ">
        <w:r w:rsidR="0004016D">
          <w:rPr>
            <w:noProof/>
          </w:rPr>
          <w:t>2</w:t>
        </w:r>
      </w:fldSimple>
      <w:r w:rsidR="00F1144C" w:rsidRPr="00B75B77">
        <w:noBreakHyphen/>
      </w:r>
      <w:fldSimple w:instr=" SEQ Table \* ARABIC \s 1 ">
        <w:r w:rsidR="0004016D">
          <w:rPr>
            <w:noProof/>
          </w:rPr>
          <w:t>1</w:t>
        </w:r>
      </w:fldSimple>
      <w:bookmarkEnd w:id="241"/>
      <w:r w:rsidRPr="00B75B77">
        <w:t>: Phase II Smart Home Rebates Reported Results by Customer Sector</w:t>
      </w:r>
      <w:bookmarkEnd w:id="242"/>
    </w:p>
    <w:tbl>
      <w:tblPr>
        <w:tblW w:w="9985" w:type="dxa"/>
        <w:tblLook w:val="04A0" w:firstRow="1" w:lastRow="0" w:firstColumn="1" w:lastColumn="0" w:noHBand="0" w:noVBand="1"/>
      </w:tblPr>
      <w:tblGrid>
        <w:gridCol w:w="2065"/>
        <w:gridCol w:w="1260"/>
        <w:gridCol w:w="1440"/>
        <w:gridCol w:w="1350"/>
        <w:gridCol w:w="1590"/>
        <w:gridCol w:w="1290"/>
        <w:gridCol w:w="990"/>
      </w:tblGrid>
      <w:tr w:rsidR="00156005" w:rsidRPr="00B75B77" w:rsidTr="00722C85">
        <w:trPr>
          <w:trHeight w:val="648"/>
        </w:trPr>
        <w:tc>
          <w:tcPr>
            <w:tcW w:w="2065" w:type="dxa"/>
            <w:tcBorders>
              <w:top w:val="single" w:sz="4" w:space="0" w:color="auto"/>
              <w:left w:val="single" w:sz="4" w:space="0" w:color="auto"/>
              <w:bottom w:val="single" w:sz="4" w:space="0" w:color="auto"/>
              <w:right w:val="single" w:sz="4" w:space="0" w:color="auto"/>
            </w:tcBorders>
            <w:shd w:val="clear" w:color="000000" w:fill="448A99"/>
            <w:vAlign w:val="center"/>
            <w:hideMark/>
          </w:tcPr>
          <w:p w:rsidR="00156005" w:rsidRPr="00B75B77" w:rsidRDefault="00156005" w:rsidP="00363261">
            <w:pPr>
              <w:keepNext/>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Customer Sector</w:t>
            </w:r>
            <w:r w:rsidRPr="00B75B77">
              <w:rPr>
                <w:rFonts w:ascii="Calibri" w:eastAsia="Times New Roman" w:hAnsi="Calibri"/>
                <w:b/>
                <w:bCs/>
                <w:color w:val="FFFFFF"/>
                <w:sz w:val="18"/>
                <w:szCs w:val="18"/>
                <w:vertAlign w:val="superscript"/>
              </w:rPr>
              <w:t xml:space="preserve"> [1]</w:t>
            </w:r>
          </w:p>
        </w:tc>
        <w:tc>
          <w:tcPr>
            <w:tcW w:w="1260" w:type="dxa"/>
            <w:tcBorders>
              <w:top w:val="single" w:sz="4" w:space="0" w:color="auto"/>
              <w:left w:val="nil"/>
              <w:bottom w:val="single" w:sz="4" w:space="0" w:color="auto"/>
              <w:right w:val="single" w:sz="4" w:space="0" w:color="auto"/>
            </w:tcBorders>
            <w:shd w:val="clear" w:color="000000" w:fill="448A99"/>
            <w:vAlign w:val="center"/>
            <w:hideMark/>
          </w:tcPr>
          <w:p w:rsidR="00156005" w:rsidRPr="00B75B77" w:rsidRDefault="00156005" w:rsidP="00363261">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Participants</w:t>
            </w:r>
          </w:p>
        </w:tc>
        <w:tc>
          <w:tcPr>
            <w:tcW w:w="1440" w:type="dxa"/>
            <w:tcBorders>
              <w:top w:val="single" w:sz="4" w:space="0" w:color="auto"/>
              <w:left w:val="nil"/>
              <w:bottom w:val="single" w:sz="4" w:space="0" w:color="auto"/>
              <w:right w:val="single" w:sz="4" w:space="0" w:color="auto"/>
            </w:tcBorders>
            <w:shd w:val="clear" w:color="000000" w:fill="448A99"/>
            <w:vAlign w:val="center"/>
            <w:hideMark/>
          </w:tcPr>
          <w:p w:rsidR="00156005" w:rsidRPr="00B75B77" w:rsidRDefault="00156005" w:rsidP="00363261">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Reported Gross Energy Savings (MWh)</w:t>
            </w:r>
          </w:p>
        </w:tc>
        <w:tc>
          <w:tcPr>
            <w:tcW w:w="1350" w:type="dxa"/>
            <w:tcBorders>
              <w:top w:val="single" w:sz="4" w:space="0" w:color="auto"/>
              <w:left w:val="nil"/>
              <w:bottom w:val="single" w:sz="4" w:space="0" w:color="auto"/>
              <w:right w:val="single" w:sz="4" w:space="0" w:color="auto"/>
            </w:tcBorders>
            <w:shd w:val="clear" w:color="000000" w:fill="448A99"/>
            <w:vAlign w:val="center"/>
            <w:hideMark/>
          </w:tcPr>
          <w:p w:rsidR="00156005" w:rsidRPr="00B75B77" w:rsidRDefault="00156005" w:rsidP="00363261">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Reported Gross Demand Reduction (MW)</w:t>
            </w:r>
            <w:r w:rsidRPr="00B75B77">
              <w:rPr>
                <w:rFonts w:ascii="Calibri" w:eastAsia="Times New Roman" w:hAnsi="Calibri"/>
                <w:b/>
                <w:bCs/>
                <w:color w:val="FFFFFF"/>
                <w:sz w:val="18"/>
                <w:szCs w:val="18"/>
                <w:vertAlign w:val="superscript"/>
              </w:rPr>
              <w:t xml:space="preserve"> [2]</w:t>
            </w:r>
          </w:p>
        </w:tc>
        <w:tc>
          <w:tcPr>
            <w:tcW w:w="1590" w:type="dxa"/>
            <w:tcBorders>
              <w:top w:val="single" w:sz="4" w:space="0" w:color="auto"/>
              <w:left w:val="nil"/>
              <w:bottom w:val="single" w:sz="4" w:space="0" w:color="auto"/>
              <w:right w:val="single" w:sz="4" w:space="0" w:color="auto"/>
            </w:tcBorders>
            <w:shd w:val="clear" w:color="000000" w:fill="448A99"/>
            <w:vAlign w:val="center"/>
            <w:hideMark/>
          </w:tcPr>
          <w:p w:rsidR="00156005" w:rsidRPr="00B75B77" w:rsidRDefault="00156005" w:rsidP="00363261">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Verified Gross Energy Savings (MWh)</w:t>
            </w:r>
          </w:p>
        </w:tc>
        <w:tc>
          <w:tcPr>
            <w:tcW w:w="1290" w:type="dxa"/>
            <w:tcBorders>
              <w:top w:val="single" w:sz="4" w:space="0" w:color="auto"/>
              <w:left w:val="nil"/>
              <w:bottom w:val="single" w:sz="4" w:space="0" w:color="auto"/>
              <w:right w:val="single" w:sz="4" w:space="0" w:color="auto"/>
            </w:tcBorders>
            <w:shd w:val="clear" w:color="000000" w:fill="448A99"/>
            <w:vAlign w:val="center"/>
            <w:hideMark/>
          </w:tcPr>
          <w:p w:rsidR="00156005" w:rsidRPr="00B75B77" w:rsidRDefault="00156005" w:rsidP="00363261">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Verified Gross Demand Reduction (MW) </w:t>
            </w:r>
            <w:r w:rsidRPr="00B75B77">
              <w:rPr>
                <w:rFonts w:ascii="Calibri" w:eastAsia="Times New Roman" w:hAnsi="Calibri"/>
                <w:b/>
                <w:bCs/>
                <w:color w:val="FFFFFF"/>
                <w:sz w:val="18"/>
                <w:szCs w:val="18"/>
                <w:vertAlign w:val="superscript"/>
              </w:rPr>
              <w:t>[2]</w:t>
            </w:r>
          </w:p>
        </w:tc>
        <w:tc>
          <w:tcPr>
            <w:tcW w:w="990" w:type="dxa"/>
            <w:tcBorders>
              <w:top w:val="single" w:sz="4" w:space="0" w:color="auto"/>
              <w:left w:val="nil"/>
              <w:bottom w:val="single" w:sz="4" w:space="0" w:color="auto"/>
              <w:right w:val="single" w:sz="4" w:space="0" w:color="auto"/>
            </w:tcBorders>
            <w:shd w:val="clear" w:color="000000" w:fill="448A99"/>
            <w:vAlign w:val="center"/>
            <w:hideMark/>
          </w:tcPr>
          <w:p w:rsidR="00156005" w:rsidRPr="00B75B77" w:rsidRDefault="00156005" w:rsidP="00363261">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Incentives Paid</w:t>
            </w:r>
            <w:r w:rsidRPr="00B75B77">
              <w:rPr>
                <w:rFonts w:ascii="Calibri" w:eastAsia="Times New Roman" w:hAnsi="Calibri"/>
                <w:b/>
                <w:bCs/>
                <w:color w:val="FFFFFF"/>
                <w:sz w:val="18"/>
                <w:szCs w:val="18"/>
              </w:rPr>
              <w:br/>
              <w:t>($1,000)</w:t>
            </w:r>
          </w:p>
        </w:tc>
      </w:tr>
      <w:tr w:rsidR="00156005" w:rsidRPr="00B75B77" w:rsidTr="00722C85">
        <w:trPr>
          <w:trHeight w:val="372"/>
        </w:trPr>
        <w:tc>
          <w:tcPr>
            <w:tcW w:w="2065" w:type="dxa"/>
            <w:tcBorders>
              <w:top w:val="nil"/>
              <w:left w:val="single" w:sz="4" w:space="0" w:color="448A99"/>
              <w:bottom w:val="single" w:sz="4" w:space="0" w:color="448A99"/>
              <w:right w:val="single" w:sz="4" w:space="0" w:color="448A99"/>
            </w:tcBorders>
            <w:shd w:val="clear" w:color="000000" w:fill="D2EAF1"/>
            <w:vAlign w:val="center"/>
            <w:hideMark/>
          </w:tcPr>
          <w:p w:rsidR="00156005" w:rsidRPr="00B75B77" w:rsidRDefault="00156005" w:rsidP="00363261">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Residential</w:t>
            </w:r>
            <w:r w:rsidR="00442C8B" w:rsidRPr="00B75B77">
              <w:rPr>
                <w:rFonts w:ascii="Calibri" w:eastAsia="Times New Roman" w:hAnsi="Calibri"/>
                <w:bCs/>
                <w:color w:val="000000"/>
                <w:sz w:val="18"/>
                <w:szCs w:val="18"/>
              </w:rPr>
              <w:t xml:space="preserve"> (Non-Low-Income)</w:t>
            </w:r>
          </w:p>
        </w:tc>
        <w:tc>
          <w:tcPr>
            <w:tcW w:w="1260" w:type="dxa"/>
            <w:tcBorders>
              <w:top w:val="nil"/>
              <w:left w:val="nil"/>
              <w:bottom w:val="single" w:sz="4" w:space="0" w:color="448A99"/>
              <w:right w:val="single" w:sz="4" w:space="0" w:color="448A99"/>
            </w:tcBorders>
            <w:shd w:val="clear" w:color="000000" w:fill="D2EAF1"/>
            <w:vAlign w:val="center"/>
            <w:hideMark/>
          </w:tcPr>
          <w:p w:rsidR="00156005" w:rsidRPr="00B75B77" w:rsidRDefault="005B0842" w:rsidP="00363261">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7,785,480</w:t>
            </w:r>
          </w:p>
        </w:tc>
        <w:tc>
          <w:tcPr>
            <w:tcW w:w="144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363261">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314,485</w:t>
            </w:r>
          </w:p>
        </w:tc>
        <w:tc>
          <w:tcPr>
            <w:tcW w:w="135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363261">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41.7</w:t>
            </w:r>
          </w:p>
        </w:tc>
        <w:tc>
          <w:tcPr>
            <w:tcW w:w="1590" w:type="dxa"/>
            <w:tcBorders>
              <w:top w:val="nil"/>
              <w:left w:val="nil"/>
              <w:bottom w:val="single" w:sz="4" w:space="0" w:color="448A99"/>
              <w:right w:val="single" w:sz="4" w:space="0" w:color="448A99"/>
            </w:tcBorders>
            <w:shd w:val="clear" w:color="000000" w:fill="D2EAF1"/>
            <w:vAlign w:val="center"/>
            <w:hideMark/>
          </w:tcPr>
          <w:p w:rsidR="00156005" w:rsidRPr="00B75B77" w:rsidRDefault="00556E41" w:rsidP="00363261">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305,818</w:t>
            </w:r>
          </w:p>
        </w:tc>
        <w:tc>
          <w:tcPr>
            <w:tcW w:w="1290" w:type="dxa"/>
            <w:tcBorders>
              <w:top w:val="nil"/>
              <w:left w:val="nil"/>
              <w:bottom w:val="single" w:sz="4" w:space="0" w:color="448A99"/>
              <w:right w:val="single" w:sz="4" w:space="0" w:color="448A99"/>
            </w:tcBorders>
            <w:shd w:val="clear" w:color="000000" w:fill="D2EAF1"/>
            <w:vAlign w:val="center"/>
            <w:hideMark/>
          </w:tcPr>
          <w:p w:rsidR="00156005" w:rsidRPr="00B75B77" w:rsidRDefault="00556E41" w:rsidP="00363261">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43.9</w:t>
            </w:r>
          </w:p>
        </w:tc>
        <w:tc>
          <w:tcPr>
            <w:tcW w:w="990" w:type="dxa"/>
            <w:tcBorders>
              <w:top w:val="nil"/>
              <w:left w:val="nil"/>
              <w:bottom w:val="single" w:sz="4" w:space="0" w:color="448A99"/>
              <w:right w:val="single" w:sz="4" w:space="0" w:color="448A99"/>
            </w:tcBorders>
            <w:shd w:val="clear" w:color="000000" w:fill="D2EAF1"/>
            <w:vAlign w:val="center"/>
            <w:hideMark/>
          </w:tcPr>
          <w:p w:rsidR="00156005" w:rsidRPr="00B75B77" w:rsidRDefault="00556E41" w:rsidP="00363261">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$34,875</w:t>
            </w:r>
          </w:p>
        </w:tc>
      </w:tr>
      <w:tr w:rsidR="00156005" w:rsidRPr="00B75B77" w:rsidTr="00722C85">
        <w:trPr>
          <w:trHeight w:val="372"/>
        </w:trPr>
        <w:tc>
          <w:tcPr>
            <w:tcW w:w="2065" w:type="dxa"/>
            <w:tcBorders>
              <w:top w:val="nil"/>
              <w:left w:val="single" w:sz="4" w:space="0" w:color="448A99"/>
              <w:bottom w:val="single" w:sz="4" w:space="0" w:color="448A99"/>
              <w:right w:val="single" w:sz="4" w:space="0" w:color="448A99"/>
            </w:tcBorders>
            <w:shd w:val="clear" w:color="000000" w:fill="FFFFFF"/>
            <w:vAlign w:val="center"/>
            <w:hideMark/>
          </w:tcPr>
          <w:p w:rsidR="00156005" w:rsidRPr="00B75B77" w:rsidRDefault="00442C8B" w:rsidP="00442C8B">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Residential (</w:t>
            </w:r>
            <w:r w:rsidR="00156005" w:rsidRPr="00B75B77">
              <w:rPr>
                <w:rFonts w:ascii="Calibri" w:eastAsia="Times New Roman" w:hAnsi="Calibri"/>
                <w:bCs/>
                <w:color w:val="000000"/>
                <w:sz w:val="18"/>
                <w:szCs w:val="18"/>
              </w:rPr>
              <w:t>Low-Income</w:t>
            </w:r>
            <w:r w:rsidRPr="00B75B77">
              <w:rPr>
                <w:rFonts w:ascii="Calibri" w:eastAsia="Times New Roman" w:hAnsi="Calibri"/>
                <w:bCs/>
                <w:color w:val="000000"/>
                <w:sz w:val="18"/>
                <w:szCs w:val="18"/>
              </w:rPr>
              <w:t>)</w:t>
            </w:r>
            <w:r w:rsidRPr="00B75B77">
              <w:rPr>
                <w:rFonts w:ascii="Calibri" w:eastAsia="Times New Roman" w:hAnsi="Calibri"/>
                <w:b/>
                <w:bCs/>
                <w:sz w:val="18"/>
                <w:szCs w:val="18"/>
                <w:vertAlign w:val="superscript"/>
              </w:rPr>
              <w:t xml:space="preserve"> [3]</w:t>
            </w:r>
          </w:p>
        </w:tc>
        <w:tc>
          <w:tcPr>
            <w:tcW w:w="1260" w:type="dxa"/>
            <w:tcBorders>
              <w:top w:val="nil"/>
              <w:left w:val="nil"/>
              <w:bottom w:val="single" w:sz="4" w:space="0" w:color="448A99"/>
              <w:right w:val="single" w:sz="4" w:space="0" w:color="448A99"/>
            </w:tcBorders>
            <w:shd w:val="clear" w:color="000000" w:fill="FFFFFF"/>
            <w:vAlign w:val="center"/>
            <w:hideMark/>
          </w:tcPr>
          <w:p w:rsidR="00156005" w:rsidRPr="00B75B77" w:rsidRDefault="005B0842" w:rsidP="00363261">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806,475</w:t>
            </w:r>
          </w:p>
        </w:tc>
        <w:tc>
          <w:tcPr>
            <w:tcW w:w="144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363261">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5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363261">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590" w:type="dxa"/>
            <w:tcBorders>
              <w:top w:val="nil"/>
              <w:left w:val="nil"/>
              <w:bottom w:val="single" w:sz="4" w:space="0" w:color="448A99"/>
              <w:right w:val="single" w:sz="4" w:space="0" w:color="448A99"/>
            </w:tcBorders>
            <w:shd w:val="clear" w:color="000000" w:fill="FFFFFF"/>
            <w:vAlign w:val="center"/>
            <w:hideMark/>
          </w:tcPr>
          <w:p w:rsidR="00156005" w:rsidRPr="00B75B77" w:rsidRDefault="00556E41" w:rsidP="00363261">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36,515</w:t>
            </w:r>
          </w:p>
        </w:tc>
        <w:tc>
          <w:tcPr>
            <w:tcW w:w="1290" w:type="dxa"/>
            <w:tcBorders>
              <w:top w:val="nil"/>
              <w:left w:val="nil"/>
              <w:bottom w:val="single" w:sz="4" w:space="0" w:color="448A99"/>
              <w:right w:val="single" w:sz="4" w:space="0" w:color="448A99"/>
            </w:tcBorders>
            <w:shd w:val="clear" w:color="000000" w:fill="FFFFFF"/>
            <w:vAlign w:val="center"/>
            <w:hideMark/>
          </w:tcPr>
          <w:p w:rsidR="00156005" w:rsidRPr="00B75B77" w:rsidRDefault="00556E41" w:rsidP="00363261">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5.2</w:t>
            </w:r>
          </w:p>
        </w:tc>
        <w:tc>
          <w:tcPr>
            <w:tcW w:w="990" w:type="dxa"/>
            <w:tcBorders>
              <w:top w:val="nil"/>
              <w:left w:val="nil"/>
              <w:bottom w:val="single" w:sz="4" w:space="0" w:color="448A99"/>
              <w:right w:val="single" w:sz="4" w:space="0" w:color="448A99"/>
            </w:tcBorders>
            <w:shd w:val="clear" w:color="000000" w:fill="FFFFFF"/>
            <w:vAlign w:val="center"/>
            <w:hideMark/>
          </w:tcPr>
          <w:p w:rsidR="00156005" w:rsidRPr="00B75B77" w:rsidRDefault="00556E41" w:rsidP="00363261">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$4,089</w:t>
            </w:r>
          </w:p>
        </w:tc>
      </w:tr>
      <w:tr w:rsidR="00156005" w:rsidRPr="00B75B77" w:rsidTr="00722C85">
        <w:trPr>
          <w:trHeight w:val="372"/>
        </w:trPr>
        <w:tc>
          <w:tcPr>
            <w:tcW w:w="2065" w:type="dxa"/>
            <w:tcBorders>
              <w:top w:val="nil"/>
              <w:left w:val="single" w:sz="4" w:space="0" w:color="448A99"/>
              <w:bottom w:val="single" w:sz="4" w:space="0" w:color="448A99"/>
              <w:right w:val="single" w:sz="4" w:space="0" w:color="448A99"/>
            </w:tcBorders>
            <w:shd w:val="clear" w:color="000000" w:fill="D2EAF1"/>
            <w:vAlign w:val="center"/>
            <w:hideMark/>
          </w:tcPr>
          <w:p w:rsidR="00156005" w:rsidRPr="00B75B77" w:rsidRDefault="00156005" w:rsidP="00363261">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Small C</w:t>
            </w:r>
            <w:r w:rsidR="0054073E" w:rsidRPr="00B75B77">
              <w:rPr>
                <w:rFonts w:ascii="Calibri" w:eastAsia="Times New Roman" w:hAnsi="Calibri"/>
                <w:bCs/>
                <w:color w:val="000000"/>
                <w:sz w:val="18"/>
                <w:szCs w:val="18"/>
              </w:rPr>
              <w:t>&amp;I</w:t>
            </w:r>
          </w:p>
        </w:tc>
        <w:tc>
          <w:tcPr>
            <w:tcW w:w="1260" w:type="dxa"/>
            <w:tcBorders>
              <w:top w:val="nil"/>
              <w:left w:val="nil"/>
              <w:bottom w:val="single" w:sz="4" w:space="0" w:color="448A99"/>
              <w:right w:val="single" w:sz="4" w:space="0" w:color="448A99"/>
            </w:tcBorders>
            <w:shd w:val="clear" w:color="000000" w:fill="D2EAF1"/>
            <w:vAlign w:val="center"/>
            <w:hideMark/>
          </w:tcPr>
          <w:p w:rsidR="00156005" w:rsidRPr="00B75B77" w:rsidRDefault="005B0842" w:rsidP="00363261">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75,433</w:t>
            </w:r>
          </w:p>
        </w:tc>
        <w:tc>
          <w:tcPr>
            <w:tcW w:w="144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363261">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10</w:t>
            </w:r>
          </w:p>
        </w:tc>
        <w:tc>
          <w:tcPr>
            <w:tcW w:w="135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363261">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59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363261">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61,291</w:t>
            </w:r>
          </w:p>
        </w:tc>
        <w:tc>
          <w:tcPr>
            <w:tcW w:w="1290" w:type="dxa"/>
            <w:tcBorders>
              <w:top w:val="nil"/>
              <w:left w:val="nil"/>
              <w:bottom w:val="single" w:sz="4" w:space="0" w:color="448A99"/>
              <w:right w:val="single" w:sz="4" w:space="0" w:color="448A99"/>
            </w:tcBorders>
            <w:shd w:val="clear" w:color="000000" w:fill="D2EAF1"/>
            <w:vAlign w:val="center"/>
            <w:hideMark/>
          </w:tcPr>
          <w:p w:rsidR="00156005" w:rsidRPr="00B75B77" w:rsidRDefault="00556E41" w:rsidP="00363261">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14</w:t>
            </w:r>
            <w:r w:rsidR="00156005" w:rsidRPr="00B75B77">
              <w:rPr>
                <w:rFonts w:ascii="Calibri" w:eastAsia="Times New Roman" w:hAnsi="Calibri"/>
                <w:color w:val="000000"/>
                <w:sz w:val="18"/>
                <w:szCs w:val="18"/>
              </w:rPr>
              <w:t>.4</w:t>
            </w:r>
          </w:p>
        </w:tc>
        <w:tc>
          <w:tcPr>
            <w:tcW w:w="990" w:type="dxa"/>
            <w:tcBorders>
              <w:top w:val="nil"/>
              <w:left w:val="nil"/>
              <w:bottom w:val="single" w:sz="4" w:space="0" w:color="448A99"/>
              <w:right w:val="single" w:sz="4" w:space="0" w:color="448A99"/>
            </w:tcBorders>
            <w:shd w:val="clear" w:color="000000" w:fill="D2EAF1"/>
            <w:vAlign w:val="center"/>
            <w:hideMark/>
          </w:tcPr>
          <w:p w:rsidR="00156005" w:rsidRPr="00B75B77" w:rsidRDefault="00556E41" w:rsidP="00363261">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$268</w:t>
            </w:r>
          </w:p>
        </w:tc>
      </w:tr>
      <w:tr w:rsidR="00156005" w:rsidRPr="00B75B77" w:rsidTr="00722C85">
        <w:trPr>
          <w:trHeight w:val="372"/>
        </w:trPr>
        <w:tc>
          <w:tcPr>
            <w:tcW w:w="2065" w:type="dxa"/>
            <w:tcBorders>
              <w:top w:val="nil"/>
              <w:left w:val="single" w:sz="4" w:space="0" w:color="448A99"/>
              <w:bottom w:val="single" w:sz="4" w:space="0" w:color="448A99"/>
              <w:right w:val="single" w:sz="4" w:space="0" w:color="448A99"/>
            </w:tcBorders>
            <w:shd w:val="clear" w:color="000000" w:fill="FFFFFF"/>
            <w:vAlign w:val="center"/>
            <w:hideMark/>
          </w:tcPr>
          <w:p w:rsidR="00156005" w:rsidRPr="00B75B77" w:rsidRDefault="00156005" w:rsidP="00363261">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Large C</w:t>
            </w:r>
            <w:r w:rsidR="0054073E" w:rsidRPr="00B75B77">
              <w:rPr>
                <w:rFonts w:ascii="Calibri" w:eastAsia="Times New Roman" w:hAnsi="Calibri"/>
                <w:bCs/>
                <w:color w:val="000000"/>
                <w:sz w:val="18"/>
                <w:szCs w:val="18"/>
              </w:rPr>
              <w:t>&amp;I</w:t>
            </w:r>
          </w:p>
        </w:tc>
        <w:tc>
          <w:tcPr>
            <w:tcW w:w="1260" w:type="dxa"/>
            <w:tcBorders>
              <w:top w:val="nil"/>
              <w:left w:val="nil"/>
              <w:bottom w:val="single" w:sz="4" w:space="0" w:color="448A99"/>
              <w:right w:val="single" w:sz="4" w:space="0" w:color="448A99"/>
            </w:tcBorders>
            <w:shd w:val="clear" w:color="000000" w:fill="FFFFFF"/>
            <w:vAlign w:val="center"/>
            <w:hideMark/>
          </w:tcPr>
          <w:p w:rsidR="00156005" w:rsidRPr="00B75B77" w:rsidRDefault="005B0842" w:rsidP="00363261">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36</w:t>
            </w:r>
          </w:p>
        </w:tc>
        <w:tc>
          <w:tcPr>
            <w:tcW w:w="144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363261">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5</w:t>
            </w:r>
          </w:p>
        </w:tc>
        <w:tc>
          <w:tcPr>
            <w:tcW w:w="135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363261">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59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363261">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5</w:t>
            </w:r>
          </w:p>
        </w:tc>
        <w:tc>
          <w:tcPr>
            <w:tcW w:w="129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363261">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99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363261">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$5</w:t>
            </w:r>
          </w:p>
        </w:tc>
      </w:tr>
      <w:tr w:rsidR="00156005" w:rsidRPr="00B75B77" w:rsidTr="00722C85">
        <w:trPr>
          <w:trHeight w:val="372"/>
        </w:trPr>
        <w:tc>
          <w:tcPr>
            <w:tcW w:w="2065" w:type="dxa"/>
            <w:tcBorders>
              <w:top w:val="nil"/>
              <w:left w:val="single" w:sz="4" w:space="0" w:color="448A99"/>
              <w:bottom w:val="single" w:sz="4" w:space="0" w:color="448A99"/>
              <w:right w:val="single" w:sz="4" w:space="0" w:color="448A99"/>
            </w:tcBorders>
            <w:shd w:val="clear" w:color="000000" w:fill="D2EAF1"/>
            <w:vAlign w:val="center"/>
            <w:hideMark/>
          </w:tcPr>
          <w:p w:rsidR="00156005" w:rsidRPr="00B75B77" w:rsidRDefault="00156005" w:rsidP="00363261">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G</w:t>
            </w:r>
            <w:r w:rsidR="0054073E" w:rsidRPr="00B75B77">
              <w:rPr>
                <w:rFonts w:ascii="Calibri" w:eastAsia="Times New Roman" w:hAnsi="Calibri"/>
                <w:bCs/>
                <w:color w:val="000000"/>
                <w:sz w:val="18"/>
                <w:szCs w:val="18"/>
              </w:rPr>
              <w:t>NI</w:t>
            </w:r>
          </w:p>
        </w:tc>
        <w:tc>
          <w:tcPr>
            <w:tcW w:w="126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363261">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11</w:t>
            </w:r>
          </w:p>
        </w:tc>
        <w:tc>
          <w:tcPr>
            <w:tcW w:w="144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363261">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2</w:t>
            </w:r>
          </w:p>
        </w:tc>
        <w:tc>
          <w:tcPr>
            <w:tcW w:w="135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363261">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59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363261">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2</w:t>
            </w:r>
          </w:p>
        </w:tc>
        <w:tc>
          <w:tcPr>
            <w:tcW w:w="129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363261">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99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363261">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w:t>
            </w:r>
          </w:p>
        </w:tc>
      </w:tr>
      <w:tr w:rsidR="00156005" w:rsidRPr="00B75B77" w:rsidTr="00722C85">
        <w:trPr>
          <w:trHeight w:val="312"/>
        </w:trPr>
        <w:tc>
          <w:tcPr>
            <w:tcW w:w="2065" w:type="dxa"/>
            <w:tcBorders>
              <w:top w:val="nil"/>
              <w:left w:val="single" w:sz="4" w:space="0" w:color="448A99"/>
              <w:bottom w:val="single" w:sz="4" w:space="0" w:color="448A99"/>
              <w:right w:val="single" w:sz="4" w:space="0" w:color="448A99"/>
            </w:tcBorders>
            <w:shd w:val="clear" w:color="000000" w:fill="FFFFFF"/>
            <w:vAlign w:val="center"/>
            <w:hideMark/>
          </w:tcPr>
          <w:p w:rsidR="00156005" w:rsidRPr="00B75B77" w:rsidRDefault="00AF38EC" w:rsidP="00363261">
            <w:pPr>
              <w:keepNext/>
              <w:jc w:val="left"/>
              <w:rPr>
                <w:rFonts w:ascii="Calibri" w:eastAsia="Times New Roman" w:hAnsi="Calibri"/>
                <w:b/>
                <w:color w:val="000000"/>
                <w:sz w:val="18"/>
                <w:szCs w:val="18"/>
              </w:rPr>
            </w:pPr>
            <w:r w:rsidRPr="00B75B77">
              <w:rPr>
                <w:rFonts w:ascii="Calibri" w:eastAsia="Times New Roman" w:hAnsi="Calibri"/>
                <w:b/>
                <w:color w:val="000000"/>
                <w:sz w:val="18"/>
                <w:szCs w:val="18"/>
              </w:rPr>
              <w:t>PHASE II TOTAL</w:t>
            </w:r>
          </w:p>
        </w:tc>
        <w:tc>
          <w:tcPr>
            <w:tcW w:w="126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363261">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7</w:t>
            </w:r>
            <w:r w:rsidR="005B0842" w:rsidRPr="00B75B77">
              <w:rPr>
                <w:rFonts w:ascii="Calibri" w:eastAsia="Times New Roman" w:hAnsi="Calibri"/>
                <w:b/>
                <w:bCs/>
                <w:color w:val="000000"/>
                <w:sz w:val="18"/>
                <w:szCs w:val="18"/>
              </w:rPr>
              <w:t>,66</w:t>
            </w:r>
            <w:r w:rsidRPr="00B75B77">
              <w:rPr>
                <w:rFonts w:ascii="Calibri" w:eastAsia="Times New Roman" w:hAnsi="Calibri"/>
                <w:b/>
                <w:bCs/>
                <w:color w:val="000000"/>
                <w:sz w:val="18"/>
                <w:szCs w:val="18"/>
              </w:rPr>
              <w:t>7,</w:t>
            </w:r>
            <w:r w:rsidR="005B0842" w:rsidRPr="00B75B77">
              <w:rPr>
                <w:rFonts w:ascii="Calibri" w:eastAsia="Times New Roman" w:hAnsi="Calibri"/>
                <w:b/>
                <w:bCs/>
                <w:color w:val="000000"/>
                <w:sz w:val="18"/>
                <w:szCs w:val="18"/>
              </w:rPr>
              <w:t>436</w:t>
            </w:r>
          </w:p>
        </w:tc>
        <w:tc>
          <w:tcPr>
            <w:tcW w:w="144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363261">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314,502</w:t>
            </w:r>
          </w:p>
        </w:tc>
        <w:tc>
          <w:tcPr>
            <w:tcW w:w="135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363261">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41.7</w:t>
            </w:r>
          </w:p>
        </w:tc>
        <w:tc>
          <w:tcPr>
            <w:tcW w:w="159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363261">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403,631</w:t>
            </w:r>
          </w:p>
        </w:tc>
        <w:tc>
          <w:tcPr>
            <w:tcW w:w="129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363261">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63.5</w:t>
            </w:r>
          </w:p>
        </w:tc>
        <w:tc>
          <w:tcPr>
            <w:tcW w:w="990" w:type="dxa"/>
            <w:tcBorders>
              <w:top w:val="nil"/>
              <w:left w:val="nil"/>
              <w:bottom w:val="single" w:sz="4" w:space="0" w:color="448A99"/>
              <w:right w:val="single" w:sz="4" w:space="0" w:color="448A99"/>
            </w:tcBorders>
            <w:shd w:val="clear" w:color="000000" w:fill="FFFFFF"/>
            <w:vAlign w:val="center"/>
            <w:hideMark/>
          </w:tcPr>
          <w:p w:rsidR="00156005" w:rsidRPr="00B75B77" w:rsidRDefault="00FF63C4" w:rsidP="00363261">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w:t>
            </w:r>
            <w:r w:rsidR="00156005" w:rsidRPr="00B75B77">
              <w:rPr>
                <w:rFonts w:ascii="Calibri" w:eastAsia="Times New Roman" w:hAnsi="Calibri"/>
                <w:b/>
                <w:bCs/>
                <w:color w:val="000000"/>
                <w:sz w:val="18"/>
                <w:szCs w:val="18"/>
              </w:rPr>
              <w:t>39,237</w:t>
            </w:r>
          </w:p>
        </w:tc>
      </w:tr>
    </w:tbl>
    <w:p w:rsidR="00442C8B" w:rsidRPr="00B75B77" w:rsidRDefault="00156005" w:rsidP="00363261">
      <w:pPr>
        <w:keepNext/>
        <w:spacing w:before="20" w:after="20"/>
        <w:jc w:val="left"/>
        <w:rPr>
          <w:rFonts w:ascii="Calibri" w:eastAsia="Times New Roman" w:hAnsi="Calibri"/>
          <w:color w:val="000000"/>
          <w:sz w:val="18"/>
          <w:szCs w:val="18"/>
        </w:rPr>
      </w:pPr>
      <w:r w:rsidRPr="00B75B77">
        <w:rPr>
          <w:rFonts w:ascii="Calibri" w:eastAsia="Times New Roman" w:hAnsi="Calibri"/>
          <w:color w:val="000000"/>
          <w:sz w:val="18"/>
          <w:szCs w:val="18"/>
          <w:vertAlign w:val="superscript"/>
        </w:rPr>
        <w:t>[1]</w:t>
      </w:r>
      <w:r w:rsidRPr="00B75B77">
        <w:rPr>
          <w:rFonts w:ascii="Calibri" w:eastAsia="Times New Roman" w:hAnsi="Calibri"/>
          <w:color w:val="000000"/>
          <w:sz w:val="18"/>
          <w:szCs w:val="18"/>
        </w:rPr>
        <w:t xml:space="preserve"> All customer sector totals are exclusive of each other and may be added together to get the Phase II totals.</w:t>
      </w:r>
      <w:r w:rsidR="005C6BFF" w:rsidRPr="00B75B77">
        <w:rPr>
          <w:rFonts w:ascii="Calibri" w:eastAsia="Times New Roman" w:hAnsi="Calibri"/>
          <w:color w:val="000000"/>
          <w:sz w:val="18"/>
          <w:szCs w:val="18"/>
        </w:rPr>
        <w:t xml:space="preserve"> The evaluation team verified—through in-store intercept surveys—the number of participating bulbs installed in nonresidential sockets versus those installed in residential homes and discusses the results further in Section </w:t>
      </w:r>
      <w:r w:rsidR="00B25D8C" w:rsidRPr="00B75B77">
        <w:rPr>
          <w:rFonts w:ascii="Calibri" w:eastAsia="Times New Roman" w:hAnsi="Calibri"/>
          <w:color w:val="000000"/>
          <w:sz w:val="18"/>
          <w:szCs w:val="18"/>
        </w:rPr>
        <w:fldChar w:fldCharType="begin"/>
      </w:r>
      <w:r w:rsidR="00B25D8C" w:rsidRPr="00B75B77">
        <w:rPr>
          <w:rFonts w:ascii="Calibri" w:eastAsia="Times New Roman" w:hAnsi="Calibri"/>
          <w:color w:val="000000"/>
          <w:sz w:val="18"/>
          <w:szCs w:val="18"/>
        </w:rPr>
        <w:instrText xml:space="preserve"> REF _Ref464132701 \r \h </w:instrText>
      </w:r>
      <w:r w:rsidR="00B75B77">
        <w:rPr>
          <w:rFonts w:ascii="Calibri" w:eastAsia="Times New Roman" w:hAnsi="Calibri"/>
          <w:color w:val="000000"/>
          <w:sz w:val="18"/>
          <w:szCs w:val="18"/>
        </w:rPr>
        <w:instrText xml:space="preserve"> \* MERGEFORMAT </w:instrText>
      </w:r>
      <w:r w:rsidR="00B25D8C" w:rsidRPr="00B75B77">
        <w:rPr>
          <w:rFonts w:ascii="Calibri" w:eastAsia="Times New Roman" w:hAnsi="Calibri"/>
          <w:color w:val="000000"/>
          <w:sz w:val="18"/>
          <w:szCs w:val="18"/>
        </w:rPr>
      </w:r>
      <w:r w:rsidR="00B25D8C" w:rsidRPr="00B75B77">
        <w:rPr>
          <w:rFonts w:ascii="Calibri" w:eastAsia="Times New Roman" w:hAnsi="Calibri"/>
          <w:color w:val="000000"/>
          <w:sz w:val="18"/>
          <w:szCs w:val="18"/>
        </w:rPr>
        <w:fldChar w:fldCharType="separate"/>
      </w:r>
      <w:r w:rsidR="0004016D">
        <w:rPr>
          <w:rFonts w:ascii="Calibri" w:eastAsia="Times New Roman" w:hAnsi="Calibri"/>
          <w:color w:val="000000"/>
          <w:sz w:val="18"/>
          <w:szCs w:val="18"/>
        </w:rPr>
        <w:t>2.2.2</w:t>
      </w:r>
      <w:r w:rsidR="00B25D8C" w:rsidRPr="00B75B77">
        <w:rPr>
          <w:rFonts w:ascii="Calibri" w:eastAsia="Times New Roman" w:hAnsi="Calibri"/>
          <w:color w:val="000000"/>
          <w:sz w:val="18"/>
          <w:szCs w:val="18"/>
        </w:rPr>
        <w:fldChar w:fldCharType="end"/>
      </w:r>
      <w:r w:rsidR="005C6BFF" w:rsidRPr="00B75B77">
        <w:rPr>
          <w:rFonts w:ascii="Calibri" w:eastAsia="Times New Roman" w:hAnsi="Calibri"/>
          <w:color w:val="000000"/>
          <w:sz w:val="18"/>
          <w:szCs w:val="18"/>
        </w:rPr>
        <w:t>.</w:t>
      </w:r>
      <w:r w:rsidRPr="00B75B77">
        <w:rPr>
          <w:rFonts w:ascii="Calibri" w:eastAsia="Times New Roman" w:hAnsi="Calibri"/>
          <w:color w:val="000000"/>
          <w:sz w:val="18"/>
          <w:szCs w:val="18"/>
        </w:rPr>
        <w:br/>
      </w:r>
      <w:r w:rsidRPr="00B75B77">
        <w:rPr>
          <w:rFonts w:ascii="Calibri" w:eastAsia="Times New Roman" w:hAnsi="Calibri"/>
          <w:color w:val="000000"/>
          <w:sz w:val="18"/>
          <w:szCs w:val="18"/>
          <w:vertAlign w:val="superscript"/>
        </w:rPr>
        <w:t>[2]</w:t>
      </w:r>
      <w:r w:rsidRPr="00B75B77">
        <w:rPr>
          <w:rFonts w:ascii="Calibri" w:eastAsia="Times New Roman" w:hAnsi="Calibri"/>
          <w:color w:val="000000"/>
          <w:sz w:val="18"/>
          <w:szCs w:val="18"/>
        </w:rPr>
        <w:t xml:space="preserve"> All reported and verified demand savings in this report include line losses as required.</w:t>
      </w:r>
      <w:r w:rsidRPr="00B75B77">
        <w:rPr>
          <w:rFonts w:ascii="Calibri" w:eastAsia="Times New Roman" w:hAnsi="Calibri"/>
          <w:color w:val="000000"/>
          <w:sz w:val="18"/>
          <w:szCs w:val="18"/>
        </w:rPr>
        <w:br/>
      </w:r>
      <w:r w:rsidR="00442C8B" w:rsidRPr="00B75B77">
        <w:rPr>
          <w:rFonts w:ascii="Calibri" w:eastAsia="Times New Roman" w:hAnsi="Calibri"/>
          <w:color w:val="000000"/>
          <w:sz w:val="18"/>
          <w:szCs w:val="18"/>
          <w:vertAlign w:val="superscript"/>
        </w:rPr>
        <w:t>[3]</w:t>
      </w:r>
      <w:r w:rsidR="00442C8B" w:rsidRPr="00B75B77">
        <w:rPr>
          <w:rFonts w:ascii="Calibri" w:eastAsia="Times New Roman" w:hAnsi="Calibri"/>
          <w:color w:val="000000"/>
          <w:sz w:val="18"/>
          <w:szCs w:val="18"/>
        </w:rPr>
        <w:t xml:space="preserve"> The evaluation team verified the percentage of customers participating in the upstream lighting measures that were low-income qualified through in-store intercept surveys. The survey results were used to estimate program savings and incentives paid that went to low-income customers.</w:t>
      </w:r>
      <w:r w:rsidR="00442C8B" w:rsidRPr="00B75B77">
        <w:rPr>
          <w:rFonts w:ascii="Calibri" w:eastAsia="Times New Roman" w:hAnsi="Calibri"/>
          <w:color w:val="000000"/>
          <w:sz w:val="18"/>
          <w:szCs w:val="18"/>
        </w:rPr>
        <w:br/>
      </w:r>
      <w:r w:rsidRPr="00B75B77">
        <w:rPr>
          <w:rFonts w:ascii="Calibri" w:eastAsia="Times New Roman" w:hAnsi="Calibri"/>
          <w:iCs/>
          <w:color w:val="000000"/>
          <w:sz w:val="18"/>
          <w:szCs w:val="18"/>
        </w:rPr>
        <w:t>Note: Values in tables may not reconcile exactly with the sum of more detailed level results or previously reported results due to rounding.</w:t>
      </w:r>
    </w:p>
    <w:p w:rsidR="00156005" w:rsidRPr="00B75B77" w:rsidRDefault="00156005" w:rsidP="00AF38EC">
      <w:pPr>
        <w:pStyle w:val="Source"/>
        <w:ind w:hanging="720"/>
      </w:pPr>
      <w:r w:rsidRPr="00B75B77">
        <w:t>Source: Navigant analysis</w:t>
      </w:r>
    </w:p>
    <w:p w:rsidR="00156005" w:rsidRPr="00B75B77" w:rsidRDefault="00156005" w:rsidP="00722C85">
      <w:pPr>
        <w:pStyle w:val="Heading3"/>
      </w:pPr>
      <w:bookmarkStart w:id="243" w:name="_Toc466413277"/>
      <w:r w:rsidRPr="00B75B77">
        <w:t>Gross Verified Savings Methodology</w:t>
      </w:r>
      <w:bookmarkEnd w:id="243"/>
      <w:r w:rsidRPr="00B75B77">
        <w:t xml:space="preserve"> </w:t>
      </w:r>
    </w:p>
    <w:p w:rsidR="00156005" w:rsidRPr="00B75B77" w:rsidRDefault="00156005" w:rsidP="00722C85">
      <w:pPr>
        <w:rPr>
          <w:bCs/>
        </w:rPr>
      </w:pPr>
      <w:r w:rsidRPr="00B75B77">
        <w:t xml:space="preserve">This section details the activities and methodologies </w:t>
      </w:r>
      <w:r w:rsidR="00AF38EC" w:rsidRPr="00B75B77">
        <w:t>Navigant</w:t>
      </w:r>
      <w:r w:rsidRPr="00B75B77">
        <w:t xml:space="preserve"> employed for verifying gross savings for the lighting and non-lighting technologies offered by SHR. </w:t>
      </w:r>
      <w:r w:rsidRPr="00B75B77">
        <w:rPr>
          <w:bCs/>
        </w:rPr>
        <w:t>Verification of lighting measures included two evaluation efforts</w:t>
      </w:r>
      <w:r w:rsidR="00AF38EC" w:rsidRPr="00B75B77">
        <w:rPr>
          <w:bCs/>
        </w:rPr>
        <w:t>:</w:t>
      </w:r>
      <w:r w:rsidRPr="00B75B77">
        <w:rPr>
          <w:bCs/>
        </w:rPr>
        <w:t xml:space="preserve"> 1) </w:t>
      </w:r>
      <w:r w:rsidRPr="00B75B77">
        <w:t>a tracking data review</w:t>
      </w:r>
      <w:r w:rsidRPr="00B75B77">
        <w:rPr>
          <w:bCs/>
        </w:rPr>
        <w:t>, and 2) in-store intercept surveys. There were no site inspections conducted for SHR in PY7.</w:t>
      </w:r>
    </w:p>
    <w:p w:rsidR="00156005" w:rsidRPr="00B75B77" w:rsidRDefault="00156005" w:rsidP="00722C85"/>
    <w:p w:rsidR="00156005" w:rsidRPr="00B75B77" w:rsidRDefault="00156005" w:rsidP="009E08FB">
      <w:pPr>
        <w:pStyle w:val="ListParagraph"/>
        <w:numPr>
          <w:ilvl w:val="0"/>
          <w:numId w:val="91"/>
        </w:numPr>
      </w:pPr>
      <w:r w:rsidRPr="00B75B77">
        <w:rPr>
          <w:b/>
        </w:rPr>
        <w:t xml:space="preserve">Tracking data review. </w:t>
      </w:r>
      <w:r w:rsidRPr="00B75B77">
        <w:rPr>
          <w:color w:val="000000"/>
        </w:rPr>
        <w:t xml:space="preserve">The evaluation team reviewed </w:t>
      </w:r>
      <w:r w:rsidRPr="00B75B77">
        <w:t>the program tracking data</w:t>
      </w:r>
      <w:r w:rsidRPr="00B75B77">
        <w:rPr>
          <w:color w:val="000000"/>
        </w:rPr>
        <w:t xml:space="preserve"> to verify savings, develop an estimate of gross impacts, and understand the measure characteristics that drive savings (such as lamp type and wattage). This review and verification consisted of </w:t>
      </w:r>
      <w:r w:rsidRPr="00B75B77">
        <w:rPr>
          <w:szCs w:val="20"/>
        </w:rPr>
        <w:t>the following steps:</w:t>
      </w:r>
    </w:p>
    <w:p w:rsidR="00156005" w:rsidRPr="00B75B77" w:rsidRDefault="00156005" w:rsidP="009E08FB">
      <w:pPr>
        <w:pStyle w:val="ListParagraph"/>
        <w:numPr>
          <w:ilvl w:val="1"/>
          <w:numId w:val="91"/>
        </w:numPr>
        <w:spacing w:before="120"/>
        <w:contextualSpacing w:val="0"/>
        <w:jc w:val="left"/>
      </w:pPr>
      <w:r w:rsidRPr="00B75B77">
        <w:rPr>
          <w:b/>
        </w:rPr>
        <w:t>Re-creation of savings:</w:t>
      </w:r>
      <w:r w:rsidRPr="00B75B77">
        <w:t xml:space="preserve"> The evaluation team developed bottom-up calculations of program </w:t>
      </w:r>
      <w:r w:rsidR="00AF38EC" w:rsidRPr="00B75B77">
        <w:t>kilowatt-hour (</w:t>
      </w:r>
      <w:r w:rsidRPr="00B75B77">
        <w:t>kWh</w:t>
      </w:r>
      <w:r w:rsidR="00AF38EC" w:rsidRPr="00B75B77">
        <w:t>)</w:t>
      </w:r>
      <w:r w:rsidRPr="00B75B77">
        <w:t xml:space="preserve"> and </w:t>
      </w:r>
      <w:r w:rsidR="00AF38EC" w:rsidRPr="00B75B77">
        <w:t>kilowatt (</w:t>
      </w:r>
      <w:r w:rsidRPr="00B75B77">
        <w:t>kW</w:t>
      </w:r>
      <w:r w:rsidR="00AF38EC" w:rsidRPr="00B75B77">
        <w:t>)</w:t>
      </w:r>
      <w:r w:rsidRPr="00B75B77">
        <w:t xml:space="preserve"> savings based on the tracking data for bulb sales, bulb types, and bulb wattage using the savings input parameter values from the </w:t>
      </w:r>
      <w:r w:rsidR="004850CC" w:rsidRPr="00B75B77">
        <w:t xml:space="preserve">2015 </w:t>
      </w:r>
      <w:r w:rsidRPr="00B75B77">
        <w:t>PA</w:t>
      </w:r>
      <w:r w:rsidR="004850CC" w:rsidRPr="00B75B77">
        <w:t xml:space="preserve"> </w:t>
      </w:r>
      <w:r w:rsidRPr="00B75B77">
        <w:t>TRM</w:t>
      </w:r>
      <w:r w:rsidR="004850CC" w:rsidRPr="00B75B77">
        <w:t>)</w:t>
      </w:r>
      <w:r w:rsidRPr="00B75B77">
        <w:t>. To calculate the delta watts values used in the TRM-based savings calculations, the evaluation team followed the guidance in the TRM and assigned baseline wattages to each bulb using lumen bins defined by a combination of Energy Independence and Security Act (EISA) minimum efficacy requirements and ENERGY STAR qualification criteria for each lamp type in the program. These calculations were compared against reported kWh and kW savings at the measure level and for the whole program to identify records. Verification of non-lighting measures followed a similar methodology</w:t>
      </w:r>
      <w:r w:rsidR="00AF38EC" w:rsidRPr="00B75B77">
        <w:t>,</w:t>
      </w:r>
      <w:r w:rsidRPr="00B75B77">
        <w:t xml:space="preserve"> with a review of each tracking system record for accurate and appropriate application of the relevant TRM methodology. Interviews with the program manager and </w:t>
      </w:r>
      <w:r w:rsidR="00AF38EC" w:rsidRPr="00B75B77">
        <w:t>CSP</w:t>
      </w:r>
      <w:r w:rsidRPr="00B75B77">
        <w:t xml:space="preserve"> informed the evaluation regarding the </w:t>
      </w:r>
      <w:r w:rsidR="00750138" w:rsidRPr="00B75B77">
        <w:t>quality assurance/quality control (</w:t>
      </w:r>
      <w:r w:rsidRPr="00B75B77">
        <w:t>QA/QC</w:t>
      </w:r>
      <w:r w:rsidR="00750138" w:rsidRPr="00B75B77">
        <w:t>)</w:t>
      </w:r>
      <w:r w:rsidRPr="00B75B77">
        <w:t xml:space="preserve"> process for program tracking. In cases of any discrepancy between reported and re-created savings for a given measure, Navigant traced the source of the discrepancy and translated this into recommendations for calculation adjustments.</w:t>
      </w:r>
    </w:p>
    <w:p w:rsidR="00156005" w:rsidRPr="00B75B77" w:rsidRDefault="00156005" w:rsidP="009E08FB">
      <w:pPr>
        <w:pStyle w:val="ListParagraph"/>
        <w:numPr>
          <w:ilvl w:val="1"/>
          <w:numId w:val="91"/>
        </w:numPr>
        <w:spacing w:before="120"/>
        <w:contextualSpacing w:val="0"/>
        <w:jc w:val="left"/>
      </w:pPr>
      <w:r w:rsidRPr="00B75B77">
        <w:rPr>
          <w:b/>
        </w:rPr>
        <w:lastRenderedPageBreak/>
        <w:t xml:space="preserve">Invoice verification: </w:t>
      </w:r>
      <w:r w:rsidRPr="00B75B77">
        <w:t xml:space="preserve">For lighting measures, the evaluation team compared quarterly tracking data extracts against scanned manufacturer invoices for a census of all program bulbs to independently verify bulb counts in the tracking data. Via the quarterly compliance and annual reporting process, the evaluation team checked the program tracking data against scanned copies of manufacturer invoices associated with the sale of program bulbs. The evaluation team gave feedback to PECO and the CSP on any anomalies observed between these two data sources and tracked the process by which these anomalies were addressed. </w:t>
      </w:r>
    </w:p>
    <w:p w:rsidR="00156005" w:rsidRPr="00B75B77" w:rsidRDefault="00363261" w:rsidP="009E08FB">
      <w:pPr>
        <w:pStyle w:val="ListParagraph"/>
        <w:numPr>
          <w:ilvl w:val="1"/>
          <w:numId w:val="91"/>
        </w:numPr>
        <w:spacing w:before="120"/>
        <w:contextualSpacing w:val="0"/>
        <w:jc w:val="left"/>
        <w:rPr>
          <w:bCs/>
        </w:rPr>
      </w:pPr>
      <w:r w:rsidRPr="00B75B77">
        <w:rPr>
          <w:b/>
        </w:rPr>
        <w:t>Nonresidential</w:t>
      </w:r>
      <w:r w:rsidR="00156005" w:rsidRPr="00B75B77">
        <w:rPr>
          <w:b/>
        </w:rPr>
        <w:t xml:space="preserve"> installation of program bulbs: </w:t>
      </w:r>
      <w:r w:rsidR="00156005" w:rsidRPr="00B75B77">
        <w:t xml:space="preserve">The verified savings calculations differed from the TRM-based calculations in that Navigant verified that </w:t>
      </w:r>
      <w:r w:rsidR="00DE6546" w:rsidRPr="00B75B77">
        <w:t>some</w:t>
      </w:r>
      <w:r w:rsidR="00156005" w:rsidRPr="00B75B77">
        <w:t xml:space="preserve"> of the program bulbs were installed in </w:t>
      </w:r>
      <w:r w:rsidRPr="00B75B77">
        <w:t>nonresidential</w:t>
      </w:r>
      <w:r w:rsidR="00156005" w:rsidRPr="00B75B77">
        <w:t xml:space="preserve"> locations. To attribute the proportion of program bulbs going into </w:t>
      </w:r>
      <w:r w:rsidRPr="00B75B77">
        <w:t>nonresidential</w:t>
      </w:r>
      <w:r w:rsidR="00156005" w:rsidRPr="00B75B77">
        <w:t xml:space="preserve"> sockets, the evaluation team applied the cross-sector installation rates for each bulb type, as determined from the PY7 in-store intercept surveys. </w:t>
      </w:r>
      <w:r w:rsidRPr="00B75B77">
        <w:t>Nonresidential</w:t>
      </w:r>
      <w:r w:rsidR="00156005" w:rsidRPr="00B75B77">
        <w:t xml:space="preserve"> installation rates are discussed in </w:t>
      </w:r>
      <w:r w:rsidR="00845869" w:rsidRPr="00B75B77">
        <w:t>detail</w:t>
      </w:r>
      <w:r w:rsidR="00156005" w:rsidRPr="00B75B77">
        <w:t xml:space="preserve"> in</w:t>
      </w:r>
      <w:r w:rsidR="005C6BFF" w:rsidRPr="00B75B77">
        <w:t xml:space="preserve"> Section </w:t>
      </w:r>
      <w:r w:rsidR="005C6BFF" w:rsidRPr="00B75B77">
        <w:fldChar w:fldCharType="begin"/>
      </w:r>
      <w:r w:rsidR="005C6BFF" w:rsidRPr="00B75B77">
        <w:instrText xml:space="preserve"> REF _Ref464403439 \r \h </w:instrText>
      </w:r>
      <w:r w:rsidR="00B75B77">
        <w:instrText xml:space="preserve"> \* MERGEFORMAT </w:instrText>
      </w:r>
      <w:r w:rsidR="005C6BFF" w:rsidRPr="00B75B77">
        <w:fldChar w:fldCharType="separate"/>
      </w:r>
      <w:r w:rsidR="0004016D">
        <w:t>2.2</w:t>
      </w:r>
      <w:r w:rsidR="005C6BFF" w:rsidRPr="00B75B77">
        <w:fldChar w:fldCharType="end"/>
      </w:r>
      <w:r w:rsidR="005C6BFF" w:rsidRPr="00B75B77">
        <w:t>.</w:t>
      </w:r>
      <w:r w:rsidR="00156005" w:rsidRPr="00B75B77" w:rsidDel="002C3D01">
        <w:t xml:space="preserve"> </w:t>
      </w:r>
      <w:r w:rsidR="00156005" w:rsidRPr="00B75B77">
        <w:t xml:space="preserve">For the proportions of cross-sector LEDs and CFLs going into nonresidential buildings per the PY7 intercept surveys, the nonresidential kWh and kW savings were calculated using hours of use (HOU) and coincidence factor (CF) values that were </w:t>
      </w:r>
      <w:r w:rsidR="00DE6546" w:rsidRPr="00B75B77">
        <w:t xml:space="preserve">a </w:t>
      </w:r>
      <w:r w:rsidR="00156005" w:rsidRPr="00B75B77">
        <w:t xml:space="preserve">simple average of all building-specific HOU and CF values, respectively, in the </w:t>
      </w:r>
      <w:r w:rsidR="00DE6546" w:rsidRPr="00B75B77">
        <w:t xml:space="preserve">PA </w:t>
      </w:r>
      <w:r w:rsidR="00156005" w:rsidRPr="00B75B77">
        <w:t xml:space="preserve">TRM. All other parameter values used to calculate savings for the portion of bulbs estimated to be installed in </w:t>
      </w:r>
      <w:r w:rsidRPr="00B75B77">
        <w:t>nonresidential</w:t>
      </w:r>
      <w:r w:rsidR="00156005" w:rsidRPr="00B75B77">
        <w:t xml:space="preserve"> locations are equal to those used to calculate residential savings per TRM guidance.</w:t>
      </w:r>
    </w:p>
    <w:p w:rsidR="00156005" w:rsidRPr="00B75B77" w:rsidRDefault="00156005" w:rsidP="00722C85"/>
    <w:p w:rsidR="00156005" w:rsidRPr="00B75B77" w:rsidRDefault="00156005" w:rsidP="009E08FB">
      <w:pPr>
        <w:pStyle w:val="NormalSpacer"/>
        <w:numPr>
          <w:ilvl w:val="0"/>
          <w:numId w:val="91"/>
        </w:numPr>
      </w:pPr>
      <w:r w:rsidRPr="00B75B77">
        <w:rPr>
          <w:b/>
        </w:rPr>
        <w:t>In-</w:t>
      </w:r>
      <w:r w:rsidR="00DE6546" w:rsidRPr="00B75B77">
        <w:rPr>
          <w:b/>
        </w:rPr>
        <w:t>s</w:t>
      </w:r>
      <w:r w:rsidRPr="00B75B77">
        <w:rPr>
          <w:b/>
        </w:rPr>
        <w:t xml:space="preserve">tore </w:t>
      </w:r>
      <w:proofErr w:type="gramStart"/>
      <w:r w:rsidRPr="00B75B77">
        <w:rPr>
          <w:b/>
        </w:rPr>
        <w:t>intercept</w:t>
      </w:r>
      <w:proofErr w:type="gramEnd"/>
      <w:r w:rsidRPr="00B75B77">
        <w:rPr>
          <w:b/>
        </w:rPr>
        <w:t xml:space="preserve"> surveys. </w:t>
      </w:r>
      <w:r w:rsidRPr="00B75B77">
        <w:t xml:space="preserve">The evaluation team conducted 530 in-store intercept surveys across 23 retail stores with lighting purchasers irrespective of whether they were purchasing program bulbs, non-program bulbs, or both. Ultimately, the survey was conducted with 198 purchasers of program bulbs. Intercept survey data was collected </w:t>
      </w:r>
      <w:r w:rsidR="00DE6546" w:rsidRPr="00B75B77">
        <w:t xml:space="preserve">from </w:t>
      </w:r>
      <w:r w:rsidRPr="00B75B77">
        <w:t xml:space="preserve">March </w:t>
      </w:r>
      <w:r w:rsidR="00DE6546" w:rsidRPr="00B75B77">
        <w:t xml:space="preserve">2016 </w:t>
      </w:r>
      <w:r w:rsidRPr="00B75B77">
        <w:t xml:space="preserve">through early May 2016. The </w:t>
      </w:r>
      <w:r w:rsidR="00324A27" w:rsidRPr="00B75B77">
        <w:t>evaluation team developed the survey questionnaire</w:t>
      </w:r>
      <w:r w:rsidRPr="00B75B77">
        <w:t xml:space="preserve">, and average survey length was approximately 10 minutes. Survey respondents were given a $10 gift card in exchange for their willingness to participate in the survey. The in-store intercept surveys were the primary and sole data source for the estimation of </w:t>
      </w:r>
      <w:r w:rsidR="00363261" w:rsidRPr="00B75B77">
        <w:t>nonresidential</w:t>
      </w:r>
      <w:r w:rsidRPr="00B75B77">
        <w:t xml:space="preserve"> bulb installations and low-income program participation.</w:t>
      </w:r>
    </w:p>
    <w:p w:rsidR="00156005" w:rsidRPr="00B75B77" w:rsidRDefault="00156005" w:rsidP="00722C85">
      <w:pPr>
        <w:rPr>
          <w:color w:val="000000"/>
        </w:rPr>
      </w:pPr>
    </w:p>
    <w:p w:rsidR="00156005" w:rsidRPr="00B75B77" w:rsidRDefault="00156005" w:rsidP="00722C85">
      <w:pPr>
        <w:rPr>
          <w:bCs/>
        </w:rPr>
      </w:pPr>
      <w:r w:rsidRPr="00B75B77">
        <w:rPr>
          <w:bCs/>
        </w:rPr>
        <w:t>Verification of non-lighting measures included two evaluation efforts</w:t>
      </w:r>
      <w:r w:rsidR="00C9542C" w:rsidRPr="00B75B77">
        <w:rPr>
          <w:bCs/>
        </w:rPr>
        <w:t>:</w:t>
      </w:r>
      <w:r w:rsidRPr="00B75B77">
        <w:rPr>
          <w:bCs/>
        </w:rPr>
        <w:t xml:space="preserve"> 1) </w:t>
      </w:r>
      <w:r w:rsidRPr="00B75B77">
        <w:t>an engineering review of all measure-specific records in the tracking database</w:t>
      </w:r>
      <w:r w:rsidRPr="00B75B77">
        <w:rPr>
          <w:bCs/>
        </w:rPr>
        <w:t>, and 2) a project file review and follow</w:t>
      </w:r>
      <w:r w:rsidR="00C9542C" w:rsidRPr="00B75B77">
        <w:rPr>
          <w:bCs/>
        </w:rPr>
        <w:t>-</w:t>
      </w:r>
      <w:r w:rsidRPr="00B75B77">
        <w:rPr>
          <w:bCs/>
        </w:rPr>
        <w:t>up telephone verification of a sample of non-lighting project files. There were no site inspections conducted for SHR in PY7.</w:t>
      </w:r>
    </w:p>
    <w:p w:rsidR="00156005" w:rsidRPr="00B75B77" w:rsidRDefault="00156005" w:rsidP="00722C85">
      <w:pPr>
        <w:rPr>
          <w:b/>
        </w:rPr>
      </w:pPr>
    </w:p>
    <w:p w:rsidR="00156005" w:rsidRPr="00B75B77" w:rsidRDefault="00156005" w:rsidP="009E08FB">
      <w:pPr>
        <w:pStyle w:val="ListParagraph"/>
        <w:numPr>
          <w:ilvl w:val="0"/>
          <w:numId w:val="92"/>
        </w:numPr>
      </w:pPr>
      <w:r w:rsidRPr="00B75B77">
        <w:rPr>
          <w:b/>
        </w:rPr>
        <w:t xml:space="preserve">Engineering review. </w:t>
      </w:r>
      <w:r w:rsidRPr="00B75B77">
        <w:t xml:space="preserve">The </w:t>
      </w:r>
      <w:r w:rsidR="00423552" w:rsidRPr="00B75B77">
        <w:t xml:space="preserve">evaluation </w:t>
      </w:r>
      <w:r w:rsidRPr="00B75B77">
        <w:t>team conducted a comprehensive engineering review of all measure-specific records in the tracking database to verify proper application of TRM algorithms in reported savings values.</w:t>
      </w:r>
    </w:p>
    <w:p w:rsidR="00156005" w:rsidRPr="00B75B77" w:rsidRDefault="00156005" w:rsidP="00722C85"/>
    <w:p w:rsidR="00156005" w:rsidRPr="00B75B77" w:rsidRDefault="00156005" w:rsidP="009E08FB">
      <w:pPr>
        <w:pStyle w:val="ListParagraph"/>
        <w:numPr>
          <w:ilvl w:val="0"/>
          <w:numId w:val="92"/>
        </w:numPr>
      </w:pPr>
      <w:proofErr w:type="gramStart"/>
      <w:r w:rsidRPr="00B75B77">
        <w:rPr>
          <w:b/>
        </w:rPr>
        <w:t>Project file</w:t>
      </w:r>
      <w:proofErr w:type="gramEnd"/>
      <w:r w:rsidRPr="00B75B77">
        <w:rPr>
          <w:b/>
        </w:rPr>
        <w:t xml:space="preserve"> review and follow</w:t>
      </w:r>
      <w:r w:rsidR="00423552" w:rsidRPr="00B75B77">
        <w:rPr>
          <w:b/>
        </w:rPr>
        <w:t>-</w:t>
      </w:r>
      <w:r w:rsidRPr="00B75B77">
        <w:rPr>
          <w:b/>
        </w:rPr>
        <w:t xml:space="preserve">up phone verification. </w:t>
      </w:r>
      <w:r w:rsidRPr="00B75B77">
        <w:t xml:space="preserve">For partially deemed algorithms in the TRM, Navigant reviewed a sample of project files to verify savings. The </w:t>
      </w:r>
      <w:r w:rsidR="00423552" w:rsidRPr="00B75B77">
        <w:t xml:space="preserve">evaluation </w:t>
      </w:r>
      <w:r w:rsidRPr="00B75B77">
        <w:t>team designed a stratified random sample from the population of program participants in the PY7 tracking database at the project level. The team stratified the sample using two application end</w:t>
      </w:r>
      <w:r w:rsidR="00423552" w:rsidRPr="00B75B77">
        <w:t xml:space="preserve"> </w:t>
      </w:r>
      <w:r w:rsidRPr="00B75B77">
        <w:t>uses</w:t>
      </w:r>
      <w:r w:rsidR="00423552" w:rsidRPr="00B75B77">
        <w:t>:</w:t>
      </w:r>
      <w:r w:rsidRPr="00B75B77">
        <w:t xml:space="preserve"> appliances and HVAC. The team sorted the projects by end</w:t>
      </w:r>
      <w:r w:rsidR="00423552" w:rsidRPr="00B75B77">
        <w:t xml:space="preserve"> </w:t>
      </w:r>
      <w:r w:rsidRPr="00B75B77">
        <w:t xml:space="preserve">use and applied a random number to each. </w:t>
      </w:r>
    </w:p>
    <w:p w:rsidR="00156005" w:rsidRPr="00B75B77" w:rsidRDefault="00156005" w:rsidP="00722C85">
      <w:pPr>
        <w:pStyle w:val="NormalSpacer"/>
        <w:rPr>
          <w:b/>
        </w:rPr>
      </w:pPr>
    </w:p>
    <w:p w:rsidR="00156005" w:rsidRPr="00B75B77" w:rsidRDefault="00423552" w:rsidP="00722C85">
      <w:r w:rsidRPr="00B75B77">
        <w:lastRenderedPageBreak/>
        <w:fldChar w:fldCharType="begin"/>
      </w:r>
      <w:r w:rsidRPr="00B75B77">
        <w:instrText xml:space="preserve"> REF _Ref464209975 \h </w:instrText>
      </w:r>
      <w:r w:rsidR="00B75B77">
        <w:instrText xml:space="preserve"> \* MERGEFORMAT </w:instrText>
      </w:r>
      <w:r w:rsidRPr="00B75B77">
        <w:fldChar w:fldCharType="separate"/>
      </w:r>
      <w:r w:rsidR="0004016D" w:rsidRPr="00B75B77">
        <w:t xml:space="preserve">Table </w:t>
      </w:r>
      <w:r w:rsidR="0004016D">
        <w:rPr>
          <w:noProof/>
        </w:rPr>
        <w:t>2</w:t>
      </w:r>
      <w:r w:rsidR="0004016D" w:rsidRPr="00B75B77">
        <w:rPr>
          <w:noProof/>
        </w:rPr>
        <w:noBreakHyphen/>
      </w:r>
      <w:r w:rsidR="0004016D">
        <w:rPr>
          <w:noProof/>
        </w:rPr>
        <w:t>2</w:t>
      </w:r>
      <w:r w:rsidRPr="00B75B77">
        <w:fldChar w:fldCharType="end"/>
      </w:r>
      <w:r w:rsidR="00156005" w:rsidRPr="00B75B77">
        <w:t xml:space="preserve"> presents an overview of the target and achieved sample sizes for each lighting and non-lighting evaluation activity. </w:t>
      </w:r>
    </w:p>
    <w:p w:rsidR="00156005" w:rsidRPr="00B75B77" w:rsidRDefault="00156005" w:rsidP="00722C85"/>
    <w:p w:rsidR="00156005" w:rsidRPr="00B75B77" w:rsidRDefault="00156005" w:rsidP="00722C85">
      <w:pPr>
        <w:pStyle w:val="Caption"/>
      </w:pPr>
      <w:bookmarkStart w:id="244" w:name="_Ref464209975"/>
      <w:bookmarkStart w:id="245" w:name="_Toc466413507"/>
      <w:r w:rsidRPr="00B75B77">
        <w:t xml:space="preserve">Table </w:t>
      </w:r>
      <w:fldSimple w:instr=" STYLEREF 1 \s ">
        <w:r w:rsidR="0004016D">
          <w:rPr>
            <w:noProof/>
          </w:rPr>
          <w:t>2</w:t>
        </w:r>
      </w:fldSimple>
      <w:r w:rsidR="00F1144C" w:rsidRPr="00B75B77">
        <w:noBreakHyphen/>
      </w:r>
      <w:fldSimple w:instr=" SEQ Table \* ARABIC \s 1 ">
        <w:r w:rsidR="0004016D">
          <w:rPr>
            <w:noProof/>
          </w:rPr>
          <w:t>2</w:t>
        </w:r>
      </w:fldSimple>
      <w:bookmarkEnd w:id="244"/>
      <w:r w:rsidRPr="00B75B77">
        <w:t>: Smart Home Rebates Sampling Strategy for PY7</w:t>
      </w:r>
      <w:bookmarkEnd w:id="245"/>
    </w:p>
    <w:tbl>
      <w:tblPr>
        <w:tblW w:w="9665" w:type="dxa"/>
        <w:tblLook w:val="04A0" w:firstRow="1" w:lastRow="0" w:firstColumn="1" w:lastColumn="0" w:noHBand="0" w:noVBand="1"/>
      </w:tblPr>
      <w:tblGrid>
        <w:gridCol w:w="1615"/>
        <w:gridCol w:w="1260"/>
        <w:gridCol w:w="1530"/>
        <w:gridCol w:w="990"/>
        <w:gridCol w:w="1170"/>
        <w:gridCol w:w="3100"/>
      </w:tblGrid>
      <w:tr w:rsidR="00156005" w:rsidRPr="00B75B77" w:rsidTr="00722C85">
        <w:trPr>
          <w:trHeight w:val="660"/>
        </w:trPr>
        <w:tc>
          <w:tcPr>
            <w:tcW w:w="1615" w:type="dxa"/>
            <w:tcBorders>
              <w:top w:val="single" w:sz="4" w:space="0" w:color="auto"/>
              <w:left w:val="single" w:sz="4" w:space="0" w:color="auto"/>
              <w:bottom w:val="single" w:sz="4" w:space="0" w:color="auto"/>
              <w:right w:val="single" w:sz="4" w:space="0" w:color="auto"/>
            </w:tcBorders>
            <w:shd w:val="clear" w:color="000000" w:fill="448A99"/>
            <w:vAlign w:val="center"/>
            <w:hideMark/>
          </w:tcPr>
          <w:p w:rsidR="00156005" w:rsidRPr="00B75B77" w:rsidRDefault="00156005" w:rsidP="00423552">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Stratum</w:t>
            </w:r>
          </w:p>
        </w:tc>
        <w:tc>
          <w:tcPr>
            <w:tcW w:w="1260" w:type="dxa"/>
            <w:tcBorders>
              <w:top w:val="single" w:sz="4" w:space="0" w:color="auto"/>
              <w:left w:val="nil"/>
              <w:bottom w:val="single" w:sz="4" w:space="0" w:color="auto"/>
              <w:right w:val="single" w:sz="4" w:space="0" w:color="auto"/>
            </w:tcBorders>
            <w:shd w:val="clear" w:color="000000" w:fill="448A99"/>
            <w:vAlign w:val="center"/>
            <w:hideMark/>
          </w:tcPr>
          <w:p w:rsidR="00156005" w:rsidRPr="00B75B77" w:rsidRDefault="00156005" w:rsidP="00722C85">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Population Size</w:t>
            </w:r>
          </w:p>
        </w:tc>
        <w:tc>
          <w:tcPr>
            <w:tcW w:w="1530" w:type="dxa"/>
            <w:tcBorders>
              <w:top w:val="single" w:sz="4" w:space="0" w:color="auto"/>
              <w:left w:val="nil"/>
              <w:bottom w:val="single" w:sz="4" w:space="0" w:color="auto"/>
              <w:right w:val="single" w:sz="4" w:space="0" w:color="auto"/>
            </w:tcBorders>
            <w:shd w:val="clear" w:color="000000" w:fill="448A99"/>
            <w:vAlign w:val="center"/>
            <w:hideMark/>
          </w:tcPr>
          <w:p w:rsidR="00156005" w:rsidRPr="00B75B77" w:rsidRDefault="00156005" w:rsidP="00722C85">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Target Levels of Confidence </w:t>
            </w:r>
            <w:r w:rsidR="00423552" w:rsidRPr="00B75B77">
              <w:rPr>
                <w:rFonts w:ascii="Calibri" w:eastAsia="Times New Roman" w:hAnsi="Calibri"/>
                <w:b/>
                <w:bCs/>
                <w:color w:val="FFFFFF"/>
                <w:sz w:val="18"/>
                <w:szCs w:val="18"/>
              </w:rPr>
              <w:t>and</w:t>
            </w:r>
            <w:r w:rsidRPr="00B75B77">
              <w:rPr>
                <w:rFonts w:ascii="Calibri" w:eastAsia="Times New Roman" w:hAnsi="Calibri"/>
                <w:b/>
                <w:bCs/>
                <w:color w:val="FFFFFF"/>
                <w:sz w:val="18"/>
                <w:szCs w:val="18"/>
              </w:rPr>
              <w:t xml:space="preserve"> Precision</w:t>
            </w:r>
          </w:p>
        </w:tc>
        <w:tc>
          <w:tcPr>
            <w:tcW w:w="990" w:type="dxa"/>
            <w:tcBorders>
              <w:top w:val="single" w:sz="4" w:space="0" w:color="auto"/>
              <w:left w:val="nil"/>
              <w:bottom w:val="single" w:sz="4" w:space="0" w:color="auto"/>
              <w:right w:val="single" w:sz="4" w:space="0" w:color="auto"/>
            </w:tcBorders>
            <w:shd w:val="clear" w:color="000000" w:fill="448A99"/>
            <w:vAlign w:val="center"/>
            <w:hideMark/>
          </w:tcPr>
          <w:p w:rsidR="00156005" w:rsidRPr="00B75B77" w:rsidRDefault="00156005" w:rsidP="00722C85">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Target Sample Size</w:t>
            </w:r>
          </w:p>
        </w:tc>
        <w:tc>
          <w:tcPr>
            <w:tcW w:w="1170" w:type="dxa"/>
            <w:tcBorders>
              <w:top w:val="single" w:sz="4" w:space="0" w:color="auto"/>
              <w:left w:val="nil"/>
              <w:bottom w:val="single" w:sz="4" w:space="0" w:color="auto"/>
              <w:right w:val="single" w:sz="4" w:space="0" w:color="auto"/>
            </w:tcBorders>
            <w:shd w:val="clear" w:color="000000" w:fill="448A99"/>
            <w:vAlign w:val="center"/>
            <w:hideMark/>
          </w:tcPr>
          <w:p w:rsidR="00156005" w:rsidRPr="00B75B77" w:rsidRDefault="00156005" w:rsidP="00722C85">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Achieved Sample Size</w:t>
            </w:r>
          </w:p>
        </w:tc>
        <w:tc>
          <w:tcPr>
            <w:tcW w:w="3100" w:type="dxa"/>
            <w:tcBorders>
              <w:top w:val="single" w:sz="4" w:space="0" w:color="auto"/>
              <w:left w:val="nil"/>
              <w:bottom w:val="single" w:sz="4" w:space="0" w:color="auto"/>
              <w:right w:val="single" w:sz="4" w:space="0" w:color="auto"/>
            </w:tcBorders>
            <w:shd w:val="clear" w:color="000000" w:fill="448A99"/>
            <w:vAlign w:val="center"/>
            <w:hideMark/>
          </w:tcPr>
          <w:p w:rsidR="00156005" w:rsidRPr="00B75B77" w:rsidRDefault="00156005" w:rsidP="00423552">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Evaluation Activity</w:t>
            </w:r>
          </w:p>
        </w:tc>
      </w:tr>
      <w:tr w:rsidR="00156005" w:rsidRPr="00B75B77" w:rsidTr="00722C85">
        <w:trPr>
          <w:trHeight w:val="288"/>
        </w:trPr>
        <w:tc>
          <w:tcPr>
            <w:tcW w:w="1615" w:type="dxa"/>
            <w:tcBorders>
              <w:top w:val="nil"/>
              <w:left w:val="single" w:sz="4" w:space="0" w:color="448A99"/>
              <w:bottom w:val="single" w:sz="4" w:space="0" w:color="448A99"/>
              <w:right w:val="single" w:sz="4" w:space="0" w:color="448A99"/>
            </w:tcBorders>
            <w:shd w:val="clear" w:color="000000" w:fill="D2EAF1"/>
            <w:vAlign w:val="center"/>
            <w:hideMark/>
          </w:tcPr>
          <w:p w:rsidR="00156005" w:rsidRPr="00B75B77" w:rsidRDefault="00156005" w:rsidP="00722C85">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Appliances</w:t>
            </w:r>
          </w:p>
        </w:tc>
        <w:tc>
          <w:tcPr>
            <w:tcW w:w="126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15,181</w:t>
            </w:r>
          </w:p>
        </w:tc>
        <w:tc>
          <w:tcPr>
            <w:tcW w:w="153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99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14</w:t>
            </w:r>
          </w:p>
        </w:tc>
        <w:tc>
          <w:tcPr>
            <w:tcW w:w="117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14</w:t>
            </w:r>
          </w:p>
        </w:tc>
        <w:tc>
          <w:tcPr>
            <w:tcW w:w="310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423552">
            <w:pPr>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TRM </w:t>
            </w:r>
            <w:r w:rsidR="00423552" w:rsidRPr="00B75B77">
              <w:rPr>
                <w:rFonts w:ascii="Calibri" w:eastAsia="Times New Roman" w:hAnsi="Calibri"/>
                <w:color w:val="000000"/>
                <w:sz w:val="18"/>
                <w:szCs w:val="18"/>
              </w:rPr>
              <w:t>r</w:t>
            </w:r>
            <w:r w:rsidRPr="00B75B77">
              <w:rPr>
                <w:rFonts w:ascii="Calibri" w:eastAsia="Times New Roman" w:hAnsi="Calibri"/>
                <w:color w:val="000000"/>
                <w:sz w:val="18"/>
                <w:szCs w:val="18"/>
              </w:rPr>
              <w:t xml:space="preserve">eview and </w:t>
            </w:r>
            <w:r w:rsidR="00423552" w:rsidRPr="00B75B77">
              <w:rPr>
                <w:rFonts w:ascii="Calibri" w:eastAsia="Times New Roman" w:hAnsi="Calibri"/>
                <w:color w:val="000000"/>
                <w:sz w:val="18"/>
                <w:szCs w:val="18"/>
              </w:rPr>
              <w:t>f</w:t>
            </w:r>
            <w:r w:rsidRPr="00B75B77">
              <w:rPr>
                <w:rFonts w:ascii="Calibri" w:eastAsia="Times New Roman" w:hAnsi="Calibri"/>
                <w:color w:val="000000"/>
                <w:sz w:val="18"/>
                <w:szCs w:val="18"/>
              </w:rPr>
              <w:t xml:space="preserve">ile </w:t>
            </w:r>
            <w:r w:rsidR="00423552" w:rsidRPr="00B75B77">
              <w:rPr>
                <w:rFonts w:ascii="Calibri" w:eastAsia="Times New Roman" w:hAnsi="Calibri"/>
                <w:color w:val="000000"/>
                <w:sz w:val="18"/>
                <w:szCs w:val="18"/>
              </w:rPr>
              <w:t>r</w:t>
            </w:r>
            <w:r w:rsidRPr="00B75B77">
              <w:rPr>
                <w:rFonts w:ascii="Calibri" w:eastAsia="Times New Roman" w:hAnsi="Calibri"/>
                <w:color w:val="000000"/>
                <w:sz w:val="18"/>
                <w:szCs w:val="18"/>
              </w:rPr>
              <w:t>eview</w:t>
            </w:r>
          </w:p>
        </w:tc>
      </w:tr>
      <w:tr w:rsidR="00156005" w:rsidRPr="00B75B77" w:rsidTr="00722C85">
        <w:trPr>
          <w:trHeight w:val="288"/>
        </w:trPr>
        <w:tc>
          <w:tcPr>
            <w:tcW w:w="1615" w:type="dxa"/>
            <w:tcBorders>
              <w:top w:val="nil"/>
              <w:left w:val="single" w:sz="4" w:space="0" w:color="448A99"/>
              <w:bottom w:val="single" w:sz="4" w:space="0" w:color="448A99"/>
              <w:right w:val="single" w:sz="4" w:space="0" w:color="448A99"/>
            </w:tcBorders>
            <w:shd w:val="clear" w:color="000000" w:fill="FFFFFF"/>
            <w:vAlign w:val="center"/>
            <w:hideMark/>
          </w:tcPr>
          <w:p w:rsidR="00156005" w:rsidRPr="00B75B77" w:rsidRDefault="00156005" w:rsidP="00722C85">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HVAC</w:t>
            </w:r>
          </w:p>
        </w:tc>
        <w:tc>
          <w:tcPr>
            <w:tcW w:w="126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10,304</w:t>
            </w:r>
          </w:p>
        </w:tc>
        <w:tc>
          <w:tcPr>
            <w:tcW w:w="153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99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56</w:t>
            </w:r>
          </w:p>
        </w:tc>
        <w:tc>
          <w:tcPr>
            <w:tcW w:w="117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57</w:t>
            </w:r>
          </w:p>
        </w:tc>
        <w:tc>
          <w:tcPr>
            <w:tcW w:w="310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423552">
            <w:pPr>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TRM </w:t>
            </w:r>
            <w:r w:rsidR="00423552" w:rsidRPr="00B75B77">
              <w:rPr>
                <w:rFonts w:ascii="Calibri" w:eastAsia="Times New Roman" w:hAnsi="Calibri"/>
                <w:color w:val="000000"/>
                <w:sz w:val="18"/>
                <w:szCs w:val="18"/>
              </w:rPr>
              <w:t>r</w:t>
            </w:r>
            <w:r w:rsidRPr="00B75B77">
              <w:rPr>
                <w:rFonts w:ascii="Calibri" w:eastAsia="Times New Roman" w:hAnsi="Calibri"/>
                <w:color w:val="000000"/>
                <w:sz w:val="18"/>
                <w:szCs w:val="18"/>
              </w:rPr>
              <w:t xml:space="preserve">eview and </w:t>
            </w:r>
            <w:r w:rsidR="00423552" w:rsidRPr="00B75B77">
              <w:rPr>
                <w:rFonts w:ascii="Calibri" w:eastAsia="Times New Roman" w:hAnsi="Calibri"/>
                <w:color w:val="000000"/>
                <w:sz w:val="18"/>
                <w:szCs w:val="18"/>
              </w:rPr>
              <w:t>f</w:t>
            </w:r>
            <w:r w:rsidRPr="00B75B77">
              <w:rPr>
                <w:rFonts w:ascii="Calibri" w:eastAsia="Times New Roman" w:hAnsi="Calibri"/>
                <w:color w:val="000000"/>
                <w:sz w:val="18"/>
                <w:szCs w:val="18"/>
              </w:rPr>
              <w:t xml:space="preserve">ile </w:t>
            </w:r>
            <w:r w:rsidR="00423552" w:rsidRPr="00B75B77">
              <w:rPr>
                <w:rFonts w:ascii="Calibri" w:eastAsia="Times New Roman" w:hAnsi="Calibri"/>
                <w:color w:val="000000"/>
                <w:sz w:val="18"/>
                <w:szCs w:val="18"/>
              </w:rPr>
              <w:t>r</w:t>
            </w:r>
            <w:r w:rsidRPr="00B75B77">
              <w:rPr>
                <w:rFonts w:ascii="Calibri" w:eastAsia="Times New Roman" w:hAnsi="Calibri"/>
                <w:color w:val="000000"/>
                <w:sz w:val="18"/>
                <w:szCs w:val="18"/>
              </w:rPr>
              <w:t>eview</w:t>
            </w:r>
          </w:p>
        </w:tc>
      </w:tr>
      <w:tr w:rsidR="00156005" w:rsidRPr="00B75B77" w:rsidTr="00722C85">
        <w:trPr>
          <w:trHeight w:val="480"/>
        </w:trPr>
        <w:tc>
          <w:tcPr>
            <w:tcW w:w="1615" w:type="dxa"/>
            <w:tcBorders>
              <w:top w:val="nil"/>
              <w:left w:val="single" w:sz="4" w:space="0" w:color="448A99"/>
              <w:bottom w:val="single" w:sz="4" w:space="0" w:color="448A99"/>
              <w:right w:val="single" w:sz="4" w:space="0" w:color="448A99"/>
            </w:tcBorders>
            <w:shd w:val="clear" w:color="000000" w:fill="D2EAF1"/>
            <w:vAlign w:val="center"/>
            <w:hideMark/>
          </w:tcPr>
          <w:p w:rsidR="00156005" w:rsidRPr="00B75B77" w:rsidRDefault="00156005" w:rsidP="00722C85">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Lighting</w:t>
            </w:r>
          </w:p>
        </w:tc>
        <w:tc>
          <w:tcPr>
            <w:tcW w:w="126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3,614,906</w:t>
            </w:r>
          </w:p>
        </w:tc>
        <w:tc>
          <w:tcPr>
            <w:tcW w:w="153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99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360</w:t>
            </w:r>
          </w:p>
        </w:tc>
        <w:tc>
          <w:tcPr>
            <w:tcW w:w="117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198</w:t>
            </w:r>
          </w:p>
        </w:tc>
        <w:tc>
          <w:tcPr>
            <w:tcW w:w="310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423552">
            <w:pPr>
              <w:jc w:val="left"/>
              <w:rPr>
                <w:rFonts w:ascii="Calibri" w:eastAsia="Times New Roman" w:hAnsi="Calibri"/>
                <w:color w:val="000000"/>
                <w:sz w:val="18"/>
                <w:szCs w:val="18"/>
              </w:rPr>
            </w:pPr>
            <w:r w:rsidRPr="00B75B77">
              <w:rPr>
                <w:rFonts w:ascii="Calibri" w:eastAsia="Times New Roman" w:hAnsi="Calibri"/>
                <w:color w:val="000000"/>
                <w:sz w:val="18"/>
                <w:szCs w:val="18"/>
              </w:rPr>
              <w:t>Cross</w:t>
            </w:r>
            <w:r w:rsidR="00423552" w:rsidRPr="00B75B77">
              <w:rPr>
                <w:rFonts w:ascii="Calibri" w:eastAsia="Times New Roman" w:hAnsi="Calibri"/>
                <w:color w:val="000000"/>
                <w:sz w:val="18"/>
                <w:szCs w:val="18"/>
              </w:rPr>
              <w:t>-</w:t>
            </w:r>
            <w:r w:rsidRPr="00B75B77">
              <w:rPr>
                <w:rFonts w:ascii="Calibri" w:eastAsia="Times New Roman" w:hAnsi="Calibri"/>
                <w:color w:val="000000"/>
                <w:sz w:val="18"/>
                <w:szCs w:val="18"/>
              </w:rPr>
              <w:t>sector analysis (</w:t>
            </w:r>
            <w:r w:rsidR="00423552" w:rsidRPr="00B75B77">
              <w:rPr>
                <w:rFonts w:ascii="Calibri" w:eastAsia="Times New Roman" w:hAnsi="Calibri"/>
                <w:color w:val="000000"/>
                <w:sz w:val="18"/>
                <w:szCs w:val="18"/>
              </w:rPr>
              <w:t>i</w:t>
            </w:r>
            <w:r w:rsidRPr="00B75B77">
              <w:rPr>
                <w:rFonts w:ascii="Calibri" w:eastAsia="Times New Roman" w:hAnsi="Calibri"/>
                <w:color w:val="000000"/>
                <w:sz w:val="18"/>
                <w:szCs w:val="18"/>
              </w:rPr>
              <w:t>n-</w:t>
            </w:r>
            <w:r w:rsidR="00423552" w:rsidRPr="00B75B77">
              <w:rPr>
                <w:rFonts w:ascii="Calibri" w:eastAsia="Times New Roman" w:hAnsi="Calibri"/>
                <w:color w:val="000000"/>
                <w:sz w:val="18"/>
                <w:szCs w:val="18"/>
              </w:rPr>
              <w:t>s</w:t>
            </w:r>
            <w:r w:rsidRPr="00B75B77">
              <w:rPr>
                <w:rFonts w:ascii="Calibri" w:eastAsia="Times New Roman" w:hAnsi="Calibri"/>
                <w:color w:val="000000"/>
                <w:sz w:val="18"/>
                <w:szCs w:val="18"/>
              </w:rPr>
              <w:t xml:space="preserve">tore </w:t>
            </w:r>
            <w:r w:rsidR="00423552" w:rsidRPr="00B75B77">
              <w:rPr>
                <w:rFonts w:ascii="Calibri" w:eastAsia="Times New Roman" w:hAnsi="Calibri"/>
                <w:color w:val="000000"/>
                <w:sz w:val="18"/>
                <w:szCs w:val="18"/>
              </w:rPr>
              <w:t>i</w:t>
            </w:r>
            <w:r w:rsidRPr="00B75B77">
              <w:rPr>
                <w:rFonts w:ascii="Calibri" w:eastAsia="Times New Roman" w:hAnsi="Calibri"/>
                <w:color w:val="000000"/>
                <w:sz w:val="18"/>
                <w:szCs w:val="18"/>
              </w:rPr>
              <w:t xml:space="preserve">ntercept </w:t>
            </w:r>
            <w:r w:rsidR="00423552" w:rsidRPr="00B75B77">
              <w:rPr>
                <w:rFonts w:ascii="Calibri" w:eastAsia="Times New Roman" w:hAnsi="Calibri"/>
                <w:color w:val="000000"/>
                <w:sz w:val="18"/>
                <w:szCs w:val="18"/>
              </w:rPr>
              <w:t>s</w:t>
            </w:r>
            <w:r w:rsidRPr="00B75B77">
              <w:rPr>
                <w:rFonts w:ascii="Calibri" w:eastAsia="Times New Roman" w:hAnsi="Calibri"/>
                <w:color w:val="000000"/>
                <w:sz w:val="18"/>
                <w:szCs w:val="18"/>
              </w:rPr>
              <w:t>urvey)</w:t>
            </w:r>
          </w:p>
        </w:tc>
      </w:tr>
      <w:tr w:rsidR="00156005" w:rsidRPr="00B75B77" w:rsidTr="00722C85">
        <w:trPr>
          <w:trHeight w:val="480"/>
        </w:trPr>
        <w:tc>
          <w:tcPr>
            <w:tcW w:w="1615" w:type="dxa"/>
            <w:tcBorders>
              <w:top w:val="nil"/>
              <w:left w:val="single" w:sz="4" w:space="0" w:color="448A99"/>
              <w:bottom w:val="single" w:sz="4" w:space="0" w:color="448A99"/>
              <w:right w:val="single" w:sz="4" w:space="0" w:color="448A99"/>
            </w:tcBorders>
            <w:shd w:val="clear" w:color="000000" w:fill="FFFFFF"/>
            <w:vAlign w:val="center"/>
            <w:hideMark/>
          </w:tcPr>
          <w:p w:rsidR="00156005" w:rsidRPr="00B75B77" w:rsidRDefault="00156005" w:rsidP="00722C85">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Lighting</w:t>
            </w:r>
          </w:p>
        </w:tc>
        <w:tc>
          <w:tcPr>
            <w:tcW w:w="126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3,614,906</w:t>
            </w:r>
          </w:p>
        </w:tc>
        <w:tc>
          <w:tcPr>
            <w:tcW w:w="153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99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All</w:t>
            </w:r>
          </w:p>
        </w:tc>
        <w:tc>
          <w:tcPr>
            <w:tcW w:w="117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3,614,906</w:t>
            </w:r>
          </w:p>
        </w:tc>
        <w:tc>
          <w:tcPr>
            <w:tcW w:w="310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423552">
            <w:pPr>
              <w:jc w:val="left"/>
              <w:rPr>
                <w:rFonts w:ascii="Calibri" w:eastAsia="Times New Roman" w:hAnsi="Calibri"/>
                <w:color w:val="000000"/>
                <w:sz w:val="18"/>
                <w:szCs w:val="18"/>
              </w:rPr>
            </w:pPr>
            <w:r w:rsidRPr="00B75B77">
              <w:rPr>
                <w:rFonts w:ascii="Calibri" w:eastAsia="Times New Roman" w:hAnsi="Calibri"/>
                <w:color w:val="000000"/>
                <w:sz w:val="18"/>
                <w:szCs w:val="18"/>
              </w:rPr>
              <w:t>Verification of tracking data with scanned manufacturer invoices</w:t>
            </w:r>
          </w:p>
        </w:tc>
      </w:tr>
      <w:tr w:rsidR="00156005" w:rsidRPr="00B75B77" w:rsidTr="00722C85">
        <w:trPr>
          <w:trHeight w:val="288"/>
        </w:trPr>
        <w:tc>
          <w:tcPr>
            <w:tcW w:w="1615" w:type="dxa"/>
            <w:tcBorders>
              <w:top w:val="nil"/>
              <w:left w:val="single" w:sz="4" w:space="0" w:color="448A99"/>
              <w:bottom w:val="single" w:sz="4" w:space="0" w:color="448A99"/>
              <w:right w:val="single" w:sz="4" w:space="0" w:color="448A99"/>
            </w:tcBorders>
            <w:shd w:val="clear" w:color="000000" w:fill="D2EAF1"/>
            <w:vAlign w:val="center"/>
            <w:hideMark/>
          </w:tcPr>
          <w:p w:rsidR="00156005" w:rsidRPr="00B75B77" w:rsidRDefault="00423552" w:rsidP="00722C85">
            <w:pPr>
              <w:jc w:val="left"/>
              <w:rPr>
                <w:rFonts w:ascii="Calibri" w:eastAsia="Times New Roman" w:hAnsi="Calibri"/>
                <w:b/>
                <w:color w:val="000000"/>
                <w:sz w:val="18"/>
                <w:szCs w:val="18"/>
              </w:rPr>
            </w:pPr>
            <w:r w:rsidRPr="00B75B77">
              <w:rPr>
                <w:rFonts w:ascii="Calibri" w:eastAsia="Times New Roman" w:hAnsi="Calibri"/>
                <w:b/>
                <w:color w:val="000000"/>
                <w:sz w:val="18"/>
                <w:szCs w:val="18"/>
              </w:rPr>
              <w:t>PROGRAM TOTAL</w:t>
            </w:r>
          </w:p>
        </w:tc>
        <w:tc>
          <w:tcPr>
            <w:tcW w:w="126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722C85">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3,640,391</w:t>
            </w:r>
          </w:p>
        </w:tc>
        <w:tc>
          <w:tcPr>
            <w:tcW w:w="153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722C85">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0</w:t>
            </w:r>
          </w:p>
        </w:tc>
        <w:tc>
          <w:tcPr>
            <w:tcW w:w="99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722C85">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358</w:t>
            </w:r>
          </w:p>
        </w:tc>
        <w:tc>
          <w:tcPr>
            <w:tcW w:w="117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722C85">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3,614,977</w:t>
            </w:r>
          </w:p>
        </w:tc>
        <w:tc>
          <w:tcPr>
            <w:tcW w:w="310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423552">
            <w:pPr>
              <w:jc w:val="left"/>
              <w:rPr>
                <w:rFonts w:ascii="Calibri" w:eastAsia="Times New Roman" w:hAnsi="Calibri"/>
                <w:b/>
                <w:color w:val="000000"/>
                <w:sz w:val="18"/>
                <w:szCs w:val="18"/>
              </w:rPr>
            </w:pPr>
            <w:r w:rsidRPr="00B75B77">
              <w:rPr>
                <w:rFonts w:ascii="Calibri" w:eastAsia="Times New Roman" w:hAnsi="Calibri"/>
                <w:b/>
                <w:color w:val="000000"/>
                <w:sz w:val="18"/>
                <w:szCs w:val="18"/>
              </w:rPr>
              <w:t>N/A</w:t>
            </w:r>
          </w:p>
        </w:tc>
      </w:tr>
    </w:tbl>
    <w:p w:rsidR="00156005" w:rsidRPr="00B75B77" w:rsidRDefault="00156005" w:rsidP="00722C85">
      <w:pPr>
        <w:keepNext/>
        <w:spacing w:before="20" w:after="20"/>
        <w:ind w:left="180"/>
        <w:jc w:val="left"/>
        <w:rPr>
          <w:rFonts w:eastAsia="Times New Roman"/>
          <w:i/>
          <w:sz w:val="18"/>
          <w:szCs w:val="20"/>
        </w:rPr>
      </w:pPr>
      <w:r w:rsidRPr="00B75B77">
        <w:rPr>
          <w:rFonts w:ascii="Calibri" w:eastAsia="Times New Roman" w:hAnsi="Calibri"/>
          <w:sz w:val="18"/>
          <w:szCs w:val="18"/>
        </w:rPr>
        <w:t>Note: Values in tables may not reconcile exactly with the sum of more detailed level results or previously reported results due to rounding.</w:t>
      </w:r>
    </w:p>
    <w:p w:rsidR="00156005" w:rsidRPr="00B75B77" w:rsidRDefault="00156005" w:rsidP="00037B84">
      <w:pPr>
        <w:pStyle w:val="Source"/>
      </w:pPr>
      <w:r w:rsidRPr="00B75B77">
        <w:t>Source: Navigant analysis</w:t>
      </w:r>
    </w:p>
    <w:p w:rsidR="00156005" w:rsidRPr="00B75B77" w:rsidRDefault="00156005" w:rsidP="00722C85">
      <w:pPr>
        <w:pStyle w:val="Heading3"/>
      </w:pPr>
      <w:bookmarkStart w:id="246" w:name="_Ref464132701"/>
      <w:bookmarkStart w:id="247" w:name="_Toc466413278"/>
      <w:r w:rsidRPr="00B75B77">
        <w:t>Gross Verified Savings Results</w:t>
      </w:r>
      <w:bookmarkEnd w:id="246"/>
      <w:bookmarkEnd w:id="247"/>
      <w:r w:rsidRPr="00B75B77">
        <w:t xml:space="preserve"> </w:t>
      </w:r>
    </w:p>
    <w:p w:rsidR="00156005" w:rsidRPr="00B75B77" w:rsidRDefault="00156005" w:rsidP="00722C85">
      <w:pPr>
        <w:rPr>
          <w:rFonts w:cs="Arial"/>
          <w:color w:val="000000"/>
          <w:szCs w:val="20"/>
        </w:rPr>
      </w:pPr>
      <w:r w:rsidRPr="00B75B77">
        <w:rPr>
          <w:rFonts w:cs="Arial"/>
          <w:color w:val="000000"/>
          <w:szCs w:val="20"/>
        </w:rPr>
        <w:fldChar w:fldCharType="begin"/>
      </w:r>
      <w:r w:rsidRPr="00B75B77">
        <w:rPr>
          <w:rFonts w:cs="Arial"/>
          <w:color w:val="000000"/>
          <w:szCs w:val="20"/>
        </w:rPr>
        <w:instrText xml:space="preserve"> REF _Ref463812479 \h </w:instrText>
      </w:r>
      <w:r w:rsidR="00B75B77">
        <w:rPr>
          <w:rFonts w:cs="Arial"/>
          <w:color w:val="000000"/>
          <w:szCs w:val="20"/>
        </w:rPr>
        <w:instrText xml:space="preserve"> \* MERGEFORMAT </w:instrText>
      </w:r>
      <w:r w:rsidRPr="00B75B77">
        <w:rPr>
          <w:rFonts w:cs="Arial"/>
          <w:color w:val="000000"/>
          <w:szCs w:val="20"/>
        </w:rPr>
      </w:r>
      <w:r w:rsidRPr="00B75B77">
        <w:rPr>
          <w:rFonts w:cs="Arial"/>
          <w:color w:val="000000"/>
          <w:szCs w:val="20"/>
        </w:rPr>
        <w:fldChar w:fldCharType="separate"/>
      </w:r>
      <w:r w:rsidR="0004016D" w:rsidRPr="00B75B77">
        <w:t xml:space="preserve">Table </w:t>
      </w:r>
      <w:r w:rsidR="0004016D">
        <w:rPr>
          <w:noProof/>
        </w:rPr>
        <w:t>2</w:t>
      </w:r>
      <w:r w:rsidR="0004016D" w:rsidRPr="00B75B77">
        <w:rPr>
          <w:noProof/>
        </w:rPr>
        <w:noBreakHyphen/>
      </w:r>
      <w:r w:rsidR="0004016D">
        <w:rPr>
          <w:noProof/>
        </w:rPr>
        <w:t>3</w:t>
      </w:r>
      <w:r w:rsidRPr="00B75B77">
        <w:rPr>
          <w:rFonts w:cs="Arial"/>
          <w:color w:val="000000"/>
          <w:szCs w:val="20"/>
        </w:rPr>
        <w:fldChar w:fldCharType="end"/>
      </w:r>
      <w:r w:rsidRPr="00B75B77">
        <w:rPr>
          <w:rFonts w:cs="Arial"/>
          <w:color w:val="000000"/>
          <w:szCs w:val="20"/>
        </w:rPr>
        <w:t xml:space="preserve"> provides a summary of the energy savings impacts for both </w:t>
      </w:r>
      <w:r w:rsidR="00423552" w:rsidRPr="00B75B77">
        <w:rPr>
          <w:rFonts w:cs="Arial"/>
          <w:color w:val="000000"/>
          <w:szCs w:val="20"/>
        </w:rPr>
        <w:t xml:space="preserve">the </w:t>
      </w:r>
      <w:r w:rsidRPr="00B75B77">
        <w:rPr>
          <w:rFonts w:cs="Arial"/>
          <w:color w:val="000000"/>
          <w:szCs w:val="20"/>
        </w:rPr>
        <w:t>lighting and non-lighting measures. The realization rate for the SHR program as a whole was approximately 1.22, with lighting at 1.21. The primary reason for the high lighting realization rate was the verified installation of bulbs in non</w:t>
      </w:r>
      <w:r w:rsidR="00423552" w:rsidRPr="00B75B77">
        <w:rPr>
          <w:rFonts w:cs="Arial"/>
          <w:color w:val="000000"/>
          <w:szCs w:val="20"/>
        </w:rPr>
        <w:t>residential</w:t>
      </w:r>
      <w:r w:rsidRPr="00B75B77">
        <w:rPr>
          <w:rFonts w:cs="Arial"/>
          <w:color w:val="000000"/>
          <w:szCs w:val="20"/>
        </w:rPr>
        <w:t xml:space="preserve"> sockets as confirmed by the in-store intercept surveys. </w:t>
      </w:r>
    </w:p>
    <w:p w:rsidR="00156005" w:rsidRPr="00B75B77" w:rsidRDefault="00156005" w:rsidP="00722C85"/>
    <w:p w:rsidR="00156005" w:rsidRPr="00B75B77" w:rsidRDefault="00156005" w:rsidP="00722C85">
      <w:pPr>
        <w:pStyle w:val="Caption"/>
      </w:pPr>
      <w:bookmarkStart w:id="248" w:name="_Ref463812479"/>
      <w:bookmarkStart w:id="249" w:name="_Toc466413508"/>
      <w:r w:rsidRPr="00B75B77">
        <w:t xml:space="preserve">Table </w:t>
      </w:r>
      <w:fldSimple w:instr=" STYLEREF 1 \s ">
        <w:r w:rsidR="0004016D">
          <w:rPr>
            <w:noProof/>
          </w:rPr>
          <w:t>2</w:t>
        </w:r>
      </w:fldSimple>
      <w:r w:rsidR="00F1144C" w:rsidRPr="00B75B77">
        <w:noBreakHyphen/>
      </w:r>
      <w:fldSimple w:instr=" SEQ Table \* ARABIC \s 1 ">
        <w:r w:rsidR="0004016D">
          <w:rPr>
            <w:noProof/>
          </w:rPr>
          <w:t>3</w:t>
        </w:r>
      </w:fldSimple>
      <w:bookmarkEnd w:id="248"/>
      <w:r w:rsidRPr="00B75B77">
        <w:t>: PY7 Smart Home Rebates Summary of Evaluation Results for Energy</w:t>
      </w:r>
      <w:bookmarkEnd w:id="249"/>
    </w:p>
    <w:tbl>
      <w:tblPr>
        <w:tblW w:w="9265" w:type="dxa"/>
        <w:tblLook w:val="04A0" w:firstRow="1" w:lastRow="0" w:firstColumn="1" w:lastColumn="0" w:noHBand="0" w:noVBand="1"/>
      </w:tblPr>
      <w:tblGrid>
        <w:gridCol w:w="1615"/>
        <w:gridCol w:w="1710"/>
        <w:gridCol w:w="1260"/>
        <w:gridCol w:w="1260"/>
        <w:gridCol w:w="1890"/>
        <w:gridCol w:w="1530"/>
      </w:tblGrid>
      <w:tr w:rsidR="00156005" w:rsidRPr="00B75B77" w:rsidTr="00722C85">
        <w:trPr>
          <w:trHeight w:val="660"/>
        </w:trPr>
        <w:tc>
          <w:tcPr>
            <w:tcW w:w="1615"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156005" w:rsidRPr="00B75B77" w:rsidRDefault="00156005" w:rsidP="00423552">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Stratum</w:t>
            </w:r>
          </w:p>
        </w:tc>
        <w:tc>
          <w:tcPr>
            <w:tcW w:w="171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156005" w:rsidRPr="00B75B77" w:rsidRDefault="00156005" w:rsidP="00722C85">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Reported Gross Energy Savings (MWh/</w:t>
            </w:r>
            <w:proofErr w:type="spellStart"/>
            <w:r w:rsidRPr="00B75B77">
              <w:rPr>
                <w:rFonts w:ascii="Calibri" w:eastAsia="Times New Roman" w:hAnsi="Calibri"/>
                <w:b/>
                <w:bCs/>
                <w:color w:val="FFFFFF"/>
                <w:sz w:val="18"/>
                <w:szCs w:val="18"/>
              </w:rPr>
              <w:t>yr</w:t>
            </w:r>
            <w:proofErr w:type="spellEnd"/>
            <w:r w:rsidRPr="00B75B77">
              <w:rPr>
                <w:rFonts w:ascii="Calibri" w:eastAsia="Times New Roman" w:hAnsi="Calibri"/>
                <w:b/>
                <w:bCs/>
                <w:color w:val="FFFFFF"/>
                <w:sz w:val="18"/>
                <w:szCs w:val="18"/>
              </w:rPr>
              <w:t>)</w:t>
            </w:r>
          </w:p>
        </w:tc>
        <w:tc>
          <w:tcPr>
            <w:tcW w:w="126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156005" w:rsidRPr="00B75B77" w:rsidRDefault="00156005" w:rsidP="00722C85">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Energy Realization Rate (%)</w:t>
            </w:r>
          </w:p>
        </w:tc>
        <w:tc>
          <w:tcPr>
            <w:tcW w:w="126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156005" w:rsidRPr="00B75B77" w:rsidRDefault="00156005" w:rsidP="00722C85">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Verified Gross Energy Savings (MWh/</w:t>
            </w:r>
            <w:proofErr w:type="spellStart"/>
            <w:r w:rsidRPr="00B75B77">
              <w:rPr>
                <w:rFonts w:ascii="Calibri" w:eastAsia="Times New Roman" w:hAnsi="Calibri"/>
                <w:b/>
                <w:bCs/>
                <w:color w:val="FFFFFF"/>
                <w:sz w:val="18"/>
                <w:szCs w:val="18"/>
              </w:rPr>
              <w:t>yr</w:t>
            </w:r>
            <w:proofErr w:type="spellEnd"/>
            <w:r w:rsidRPr="00B75B77">
              <w:rPr>
                <w:rFonts w:ascii="Calibri" w:eastAsia="Times New Roman" w:hAnsi="Calibri"/>
                <w:b/>
                <w:bCs/>
                <w:color w:val="FFFFFF"/>
                <w:sz w:val="18"/>
                <w:szCs w:val="18"/>
              </w:rPr>
              <w:t>)</w:t>
            </w:r>
          </w:p>
        </w:tc>
        <w:tc>
          <w:tcPr>
            <w:tcW w:w="189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156005" w:rsidRPr="00B75B77" w:rsidRDefault="00156005" w:rsidP="00722C85">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Observed CV or Proportion in Sample Design</w:t>
            </w:r>
          </w:p>
        </w:tc>
        <w:tc>
          <w:tcPr>
            <w:tcW w:w="153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156005" w:rsidRPr="00B75B77" w:rsidRDefault="00156005" w:rsidP="00423552">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Relative Precision at 85% </w:t>
            </w:r>
            <w:r w:rsidR="00423552" w:rsidRPr="00B75B77">
              <w:rPr>
                <w:rFonts w:ascii="Calibri" w:eastAsia="Times New Roman" w:hAnsi="Calibri"/>
                <w:b/>
                <w:bCs/>
                <w:color w:val="FFFFFF"/>
                <w:sz w:val="18"/>
                <w:szCs w:val="18"/>
              </w:rPr>
              <w:t>Confidence Interval</w:t>
            </w:r>
          </w:p>
        </w:tc>
      </w:tr>
      <w:tr w:rsidR="00156005" w:rsidRPr="00B75B77" w:rsidTr="00722C85">
        <w:trPr>
          <w:trHeight w:val="288"/>
        </w:trPr>
        <w:tc>
          <w:tcPr>
            <w:tcW w:w="1615" w:type="dxa"/>
            <w:vMerge/>
            <w:tcBorders>
              <w:top w:val="single" w:sz="4" w:space="0" w:color="auto"/>
              <w:left w:val="single" w:sz="4" w:space="0" w:color="auto"/>
              <w:bottom w:val="single" w:sz="4" w:space="0" w:color="000000"/>
              <w:right w:val="single" w:sz="4" w:space="0" w:color="auto"/>
            </w:tcBorders>
            <w:vAlign w:val="center"/>
            <w:hideMark/>
          </w:tcPr>
          <w:p w:rsidR="00156005" w:rsidRPr="00B75B77" w:rsidRDefault="00156005" w:rsidP="00722C85">
            <w:pPr>
              <w:jc w:val="left"/>
              <w:rPr>
                <w:rFonts w:ascii="Calibri" w:eastAsia="Times New Roman" w:hAnsi="Calibri"/>
                <w:b/>
                <w:bCs/>
                <w:color w:val="FFFFFF"/>
                <w:sz w:val="18"/>
                <w:szCs w:val="18"/>
              </w:rPr>
            </w:pPr>
          </w:p>
        </w:tc>
        <w:tc>
          <w:tcPr>
            <w:tcW w:w="1710" w:type="dxa"/>
            <w:vMerge/>
            <w:tcBorders>
              <w:top w:val="single" w:sz="4" w:space="0" w:color="auto"/>
              <w:left w:val="single" w:sz="4" w:space="0" w:color="auto"/>
              <w:bottom w:val="single" w:sz="4" w:space="0" w:color="000000"/>
              <w:right w:val="single" w:sz="4" w:space="0" w:color="auto"/>
            </w:tcBorders>
            <w:vAlign w:val="center"/>
            <w:hideMark/>
          </w:tcPr>
          <w:p w:rsidR="00156005" w:rsidRPr="00B75B77" w:rsidRDefault="00156005" w:rsidP="00722C85">
            <w:pPr>
              <w:jc w:val="left"/>
              <w:rPr>
                <w:rFonts w:ascii="Calibri" w:eastAsia="Times New Roman" w:hAnsi="Calibri"/>
                <w:b/>
                <w:bCs/>
                <w:color w:val="FFFFFF"/>
                <w:sz w:val="18"/>
                <w:szCs w:val="18"/>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rsidR="00156005" w:rsidRPr="00B75B77" w:rsidRDefault="00156005" w:rsidP="00722C85">
            <w:pPr>
              <w:jc w:val="left"/>
              <w:rPr>
                <w:rFonts w:ascii="Calibri" w:eastAsia="Times New Roman" w:hAnsi="Calibri"/>
                <w:b/>
                <w:bCs/>
                <w:color w:val="FFFFFF"/>
                <w:sz w:val="18"/>
                <w:szCs w:val="18"/>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rsidR="00156005" w:rsidRPr="00B75B77" w:rsidRDefault="00156005" w:rsidP="00722C85">
            <w:pPr>
              <w:jc w:val="left"/>
              <w:rPr>
                <w:rFonts w:ascii="Calibri" w:eastAsia="Times New Roman" w:hAnsi="Calibri"/>
                <w:b/>
                <w:bCs/>
                <w:color w:val="FFFFFF"/>
                <w:sz w:val="18"/>
                <w:szCs w:val="18"/>
              </w:rPr>
            </w:pPr>
          </w:p>
        </w:tc>
        <w:tc>
          <w:tcPr>
            <w:tcW w:w="1890" w:type="dxa"/>
            <w:vMerge/>
            <w:tcBorders>
              <w:top w:val="single" w:sz="4" w:space="0" w:color="auto"/>
              <w:left w:val="single" w:sz="4" w:space="0" w:color="auto"/>
              <w:bottom w:val="single" w:sz="4" w:space="0" w:color="000000"/>
              <w:right w:val="single" w:sz="4" w:space="0" w:color="auto"/>
            </w:tcBorders>
            <w:vAlign w:val="center"/>
            <w:hideMark/>
          </w:tcPr>
          <w:p w:rsidR="00156005" w:rsidRPr="00B75B77" w:rsidRDefault="00156005" w:rsidP="00722C85">
            <w:pPr>
              <w:jc w:val="left"/>
              <w:rPr>
                <w:rFonts w:ascii="Calibri" w:eastAsia="Times New Roman" w:hAnsi="Calibri"/>
                <w:b/>
                <w:bCs/>
                <w:color w:val="FFFFFF"/>
                <w:sz w:val="18"/>
                <w:szCs w:val="18"/>
              </w:rPr>
            </w:pPr>
          </w:p>
        </w:tc>
        <w:tc>
          <w:tcPr>
            <w:tcW w:w="1530" w:type="dxa"/>
            <w:vMerge/>
            <w:tcBorders>
              <w:top w:val="single" w:sz="4" w:space="0" w:color="auto"/>
              <w:left w:val="single" w:sz="4" w:space="0" w:color="auto"/>
              <w:bottom w:val="single" w:sz="4" w:space="0" w:color="000000"/>
              <w:right w:val="single" w:sz="4" w:space="0" w:color="auto"/>
            </w:tcBorders>
            <w:vAlign w:val="center"/>
            <w:hideMark/>
          </w:tcPr>
          <w:p w:rsidR="00156005" w:rsidRPr="00B75B77" w:rsidRDefault="00156005" w:rsidP="00722C85">
            <w:pPr>
              <w:jc w:val="left"/>
              <w:rPr>
                <w:rFonts w:ascii="Calibri" w:eastAsia="Times New Roman" w:hAnsi="Calibri"/>
                <w:b/>
                <w:bCs/>
                <w:color w:val="FFFFFF"/>
                <w:sz w:val="18"/>
                <w:szCs w:val="18"/>
              </w:rPr>
            </w:pPr>
          </w:p>
        </w:tc>
      </w:tr>
      <w:tr w:rsidR="00156005" w:rsidRPr="00B75B77" w:rsidTr="00DB2FF2">
        <w:trPr>
          <w:trHeight w:val="269"/>
        </w:trPr>
        <w:tc>
          <w:tcPr>
            <w:tcW w:w="1615" w:type="dxa"/>
            <w:vMerge/>
            <w:tcBorders>
              <w:top w:val="single" w:sz="4" w:space="0" w:color="auto"/>
              <w:left w:val="single" w:sz="4" w:space="0" w:color="auto"/>
              <w:bottom w:val="single" w:sz="4" w:space="0" w:color="000000"/>
              <w:right w:val="single" w:sz="4" w:space="0" w:color="auto"/>
            </w:tcBorders>
            <w:vAlign w:val="center"/>
            <w:hideMark/>
          </w:tcPr>
          <w:p w:rsidR="00156005" w:rsidRPr="00B75B77" w:rsidRDefault="00156005" w:rsidP="00722C85">
            <w:pPr>
              <w:jc w:val="left"/>
              <w:rPr>
                <w:rFonts w:ascii="Calibri" w:eastAsia="Times New Roman" w:hAnsi="Calibri"/>
                <w:b/>
                <w:bCs/>
                <w:color w:val="FFFFFF"/>
                <w:sz w:val="18"/>
                <w:szCs w:val="18"/>
              </w:rPr>
            </w:pPr>
          </w:p>
        </w:tc>
        <w:tc>
          <w:tcPr>
            <w:tcW w:w="1710" w:type="dxa"/>
            <w:vMerge/>
            <w:tcBorders>
              <w:top w:val="single" w:sz="4" w:space="0" w:color="auto"/>
              <w:left w:val="single" w:sz="4" w:space="0" w:color="auto"/>
              <w:bottom w:val="single" w:sz="4" w:space="0" w:color="000000"/>
              <w:right w:val="single" w:sz="4" w:space="0" w:color="auto"/>
            </w:tcBorders>
            <w:vAlign w:val="center"/>
            <w:hideMark/>
          </w:tcPr>
          <w:p w:rsidR="00156005" w:rsidRPr="00B75B77" w:rsidRDefault="00156005" w:rsidP="00722C85">
            <w:pPr>
              <w:jc w:val="left"/>
              <w:rPr>
                <w:rFonts w:ascii="Calibri" w:eastAsia="Times New Roman" w:hAnsi="Calibri"/>
                <w:b/>
                <w:bCs/>
                <w:color w:val="FFFFFF"/>
                <w:sz w:val="18"/>
                <w:szCs w:val="18"/>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rsidR="00156005" w:rsidRPr="00B75B77" w:rsidRDefault="00156005" w:rsidP="00722C85">
            <w:pPr>
              <w:jc w:val="left"/>
              <w:rPr>
                <w:rFonts w:ascii="Calibri" w:eastAsia="Times New Roman" w:hAnsi="Calibri"/>
                <w:b/>
                <w:bCs/>
                <w:color w:val="FFFFFF"/>
                <w:sz w:val="18"/>
                <w:szCs w:val="18"/>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rsidR="00156005" w:rsidRPr="00B75B77" w:rsidRDefault="00156005" w:rsidP="00722C85">
            <w:pPr>
              <w:jc w:val="left"/>
              <w:rPr>
                <w:rFonts w:ascii="Calibri" w:eastAsia="Times New Roman" w:hAnsi="Calibri"/>
                <w:b/>
                <w:bCs/>
                <w:color w:val="FFFFFF"/>
                <w:sz w:val="18"/>
                <w:szCs w:val="18"/>
              </w:rPr>
            </w:pPr>
          </w:p>
        </w:tc>
        <w:tc>
          <w:tcPr>
            <w:tcW w:w="1890" w:type="dxa"/>
            <w:vMerge/>
            <w:tcBorders>
              <w:top w:val="single" w:sz="4" w:space="0" w:color="auto"/>
              <w:left w:val="single" w:sz="4" w:space="0" w:color="auto"/>
              <w:bottom w:val="single" w:sz="4" w:space="0" w:color="000000"/>
              <w:right w:val="single" w:sz="4" w:space="0" w:color="auto"/>
            </w:tcBorders>
            <w:vAlign w:val="center"/>
            <w:hideMark/>
          </w:tcPr>
          <w:p w:rsidR="00156005" w:rsidRPr="00B75B77" w:rsidRDefault="00156005" w:rsidP="00722C85">
            <w:pPr>
              <w:jc w:val="left"/>
              <w:rPr>
                <w:rFonts w:ascii="Calibri" w:eastAsia="Times New Roman" w:hAnsi="Calibri"/>
                <w:b/>
                <w:bCs/>
                <w:color w:val="FFFFFF"/>
                <w:sz w:val="18"/>
                <w:szCs w:val="18"/>
              </w:rPr>
            </w:pPr>
          </w:p>
        </w:tc>
        <w:tc>
          <w:tcPr>
            <w:tcW w:w="1530" w:type="dxa"/>
            <w:vMerge/>
            <w:tcBorders>
              <w:top w:val="single" w:sz="4" w:space="0" w:color="auto"/>
              <w:left w:val="single" w:sz="4" w:space="0" w:color="auto"/>
              <w:bottom w:val="single" w:sz="4" w:space="0" w:color="000000"/>
              <w:right w:val="single" w:sz="4" w:space="0" w:color="auto"/>
            </w:tcBorders>
            <w:vAlign w:val="center"/>
            <w:hideMark/>
          </w:tcPr>
          <w:p w:rsidR="00156005" w:rsidRPr="00B75B77" w:rsidRDefault="00156005" w:rsidP="00722C85">
            <w:pPr>
              <w:jc w:val="left"/>
              <w:rPr>
                <w:rFonts w:ascii="Calibri" w:eastAsia="Times New Roman" w:hAnsi="Calibri"/>
                <w:b/>
                <w:bCs/>
                <w:color w:val="FFFFFF"/>
                <w:sz w:val="18"/>
                <w:szCs w:val="18"/>
              </w:rPr>
            </w:pPr>
          </w:p>
        </w:tc>
      </w:tr>
      <w:tr w:rsidR="00156005" w:rsidRPr="00B75B77" w:rsidTr="00722C85">
        <w:trPr>
          <w:trHeight w:val="300"/>
        </w:trPr>
        <w:tc>
          <w:tcPr>
            <w:tcW w:w="1615" w:type="dxa"/>
            <w:tcBorders>
              <w:top w:val="nil"/>
              <w:left w:val="single" w:sz="4" w:space="0" w:color="448A99"/>
              <w:bottom w:val="single" w:sz="4" w:space="0" w:color="448A99"/>
              <w:right w:val="single" w:sz="4" w:space="0" w:color="448A99"/>
            </w:tcBorders>
            <w:shd w:val="clear" w:color="000000" w:fill="D2EAF1"/>
            <w:vAlign w:val="center"/>
            <w:hideMark/>
          </w:tcPr>
          <w:p w:rsidR="00156005" w:rsidRPr="00B75B77" w:rsidRDefault="00156005" w:rsidP="00722C85">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Appliances</w:t>
            </w:r>
          </w:p>
        </w:tc>
        <w:tc>
          <w:tcPr>
            <w:tcW w:w="171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2,562</w:t>
            </w:r>
          </w:p>
        </w:tc>
        <w:tc>
          <w:tcPr>
            <w:tcW w:w="126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0.99</w:t>
            </w:r>
          </w:p>
        </w:tc>
        <w:tc>
          <w:tcPr>
            <w:tcW w:w="126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2,546</w:t>
            </w:r>
          </w:p>
        </w:tc>
        <w:tc>
          <w:tcPr>
            <w:tcW w:w="189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0.03</w:t>
            </w:r>
          </w:p>
        </w:tc>
        <w:tc>
          <w:tcPr>
            <w:tcW w:w="153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722C85">
            <w:pPr>
              <w:jc w:val="center"/>
              <w:rPr>
                <w:rFonts w:ascii="Calibri" w:eastAsia="Times New Roman" w:hAnsi="Calibri"/>
                <w:color w:val="000000"/>
                <w:sz w:val="18"/>
                <w:szCs w:val="18"/>
              </w:rPr>
            </w:pPr>
            <w:bookmarkStart w:id="250" w:name="RANGE!G37:G42"/>
            <w:r w:rsidRPr="00B75B77">
              <w:rPr>
                <w:rFonts w:ascii="Calibri" w:eastAsia="Times New Roman" w:hAnsi="Calibri"/>
                <w:color w:val="000000"/>
                <w:sz w:val="18"/>
                <w:szCs w:val="18"/>
              </w:rPr>
              <w:t>1%</w:t>
            </w:r>
            <w:bookmarkEnd w:id="250"/>
          </w:p>
        </w:tc>
      </w:tr>
      <w:tr w:rsidR="00156005" w:rsidRPr="00B75B77" w:rsidTr="00722C85">
        <w:trPr>
          <w:trHeight w:val="300"/>
        </w:trPr>
        <w:tc>
          <w:tcPr>
            <w:tcW w:w="1615" w:type="dxa"/>
            <w:tcBorders>
              <w:top w:val="nil"/>
              <w:left w:val="single" w:sz="4" w:space="0" w:color="448A99"/>
              <w:bottom w:val="single" w:sz="4" w:space="0" w:color="448A99"/>
              <w:right w:val="single" w:sz="4" w:space="0" w:color="448A99"/>
            </w:tcBorders>
            <w:shd w:val="clear" w:color="000000" w:fill="FFFFFF"/>
            <w:vAlign w:val="center"/>
            <w:hideMark/>
          </w:tcPr>
          <w:p w:rsidR="00156005" w:rsidRPr="00B75B77" w:rsidRDefault="00156005" w:rsidP="00722C85">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HVAC</w:t>
            </w:r>
          </w:p>
        </w:tc>
        <w:tc>
          <w:tcPr>
            <w:tcW w:w="171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4,696</w:t>
            </w:r>
          </w:p>
        </w:tc>
        <w:tc>
          <w:tcPr>
            <w:tcW w:w="126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1.41</w:t>
            </w:r>
          </w:p>
        </w:tc>
        <w:tc>
          <w:tcPr>
            <w:tcW w:w="126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6,625</w:t>
            </w:r>
          </w:p>
        </w:tc>
        <w:tc>
          <w:tcPr>
            <w:tcW w:w="189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0.61</w:t>
            </w:r>
          </w:p>
        </w:tc>
        <w:tc>
          <w:tcPr>
            <w:tcW w:w="153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12%</w:t>
            </w:r>
          </w:p>
        </w:tc>
      </w:tr>
      <w:tr w:rsidR="00156005" w:rsidRPr="00B75B77" w:rsidTr="00722C85">
        <w:trPr>
          <w:trHeight w:val="300"/>
        </w:trPr>
        <w:tc>
          <w:tcPr>
            <w:tcW w:w="1615" w:type="dxa"/>
            <w:tcBorders>
              <w:top w:val="nil"/>
              <w:left w:val="single" w:sz="4" w:space="0" w:color="448A99"/>
              <w:bottom w:val="single" w:sz="4" w:space="0" w:color="448A99"/>
              <w:right w:val="single" w:sz="4" w:space="0" w:color="448A99"/>
            </w:tcBorders>
            <w:shd w:val="clear" w:color="000000" w:fill="D2EAF1"/>
            <w:vAlign w:val="center"/>
            <w:hideMark/>
          </w:tcPr>
          <w:p w:rsidR="00156005" w:rsidRPr="00B75B77" w:rsidRDefault="00156005" w:rsidP="00722C85">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Standard CFLs</w:t>
            </w:r>
          </w:p>
        </w:tc>
        <w:tc>
          <w:tcPr>
            <w:tcW w:w="171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44,960</w:t>
            </w:r>
          </w:p>
        </w:tc>
        <w:tc>
          <w:tcPr>
            <w:tcW w:w="126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1.32</w:t>
            </w:r>
          </w:p>
        </w:tc>
        <w:tc>
          <w:tcPr>
            <w:tcW w:w="126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59,251</w:t>
            </w:r>
          </w:p>
        </w:tc>
        <w:tc>
          <w:tcPr>
            <w:tcW w:w="189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0.35</w:t>
            </w:r>
          </w:p>
        </w:tc>
        <w:tc>
          <w:tcPr>
            <w:tcW w:w="153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11%</w:t>
            </w:r>
          </w:p>
        </w:tc>
      </w:tr>
      <w:tr w:rsidR="00156005" w:rsidRPr="00B75B77" w:rsidTr="00722C85">
        <w:trPr>
          <w:trHeight w:val="300"/>
        </w:trPr>
        <w:tc>
          <w:tcPr>
            <w:tcW w:w="1615" w:type="dxa"/>
            <w:tcBorders>
              <w:top w:val="nil"/>
              <w:left w:val="single" w:sz="4" w:space="0" w:color="448A99"/>
              <w:bottom w:val="single" w:sz="4" w:space="0" w:color="448A99"/>
              <w:right w:val="single" w:sz="4" w:space="0" w:color="448A99"/>
            </w:tcBorders>
            <w:shd w:val="clear" w:color="000000" w:fill="FFFFFF"/>
            <w:vAlign w:val="center"/>
            <w:hideMark/>
          </w:tcPr>
          <w:p w:rsidR="00156005" w:rsidRPr="00B75B77" w:rsidRDefault="00156005" w:rsidP="00722C85">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Specialty CFLs</w:t>
            </w:r>
          </w:p>
        </w:tc>
        <w:tc>
          <w:tcPr>
            <w:tcW w:w="171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6,460</w:t>
            </w:r>
          </w:p>
        </w:tc>
        <w:tc>
          <w:tcPr>
            <w:tcW w:w="126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1.32</w:t>
            </w:r>
          </w:p>
        </w:tc>
        <w:tc>
          <w:tcPr>
            <w:tcW w:w="126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8,513</w:t>
            </w:r>
          </w:p>
        </w:tc>
        <w:tc>
          <w:tcPr>
            <w:tcW w:w="189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0.35</w:t>
            </w:r>
          </w:p>
        </w:tc>
        <w:tc>
          <w:tcPr>
            <w:tcW w:w="153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11%</w:t>
            </w:r>
          </w:p>
        </w:tc>
      </w:tr>
      <w:tr w:rsidR="00156005" w:rsidRPr="00B75B77" w:rsidTr="00722C85">
        <w:trPr>
          <w:trHeight w:val="300"/>
        </w:trPr>
        <w:tc>
          <w:tcPr>
            <w:tcW w:w="1615" w:type="dxa"/>
            <w:tcBorders>
              <w:top w:val="nil"/>
              <w:left w:val="single" w:sz="4" w:space="0" w:color="448A99"/>
              <w:bottom w:val="single" w:sz="4" w:space="0" w:color="448A99"/>
              <w:right w:val="single" w:sz="4" w:space="0" w:color="448A99"/>
            </w:tcBorders>
            <w:shd w:val="clear" w:color="000000" w:fill="D2EAF1"/>
            <w:vAlign w:val="center"/>
            <w:hideMark/>
          </w:tcPr>
          <w:p w:rsidR="00156005" w:rsidRPr="00B75B77" w:rsidRDefault="00156005" w:rsidP="00722C85">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Standard LED</w:t>
            </w:r>
          </w:p>
        </w:tc>
        <w:tc>
          <w:tcPr>
            <w:tcW w:w="171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29,798</w:t>
            </w:r>
          </w:p>
        </w:tc>
        <w:tc>
          <w:tcPr>
            <w:tcW w:w="126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1.04</w:t>
            </w:r>
          </w:p>
        </w:tc>
        <w:tc>
          <w:tcPr>
            <w:tcW w:w="126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30,892</w:t>
            </w:r>
          </w:p>
        </w:tc>
        <w:tc>
          <w:tcPr>
            <w:tcW w:w="189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0.11</w:t>
            </w:r>
          </w:p>
        </w:tc>
        <w:tc>
          <w:tcPr>
            <w:tcW w:w="153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1%</w:t>
            </w:r>
          </w:p>
        </w:tc>
      </w:tr>
      <w:tr w:rsidR="00156005" w:rsidRPr="00B75B77" w:rsidTr="00722C85">
        <w:trPr>
          <w:trHeight w:val="300"/>
        </w:trPr>
        <w:tc>
          <w:tcPr>
            <w:tcW w:w="1615" w:type="dxa"/>
            <w:tcBorders>
              <w:top w:val="nil"/>
              <w:left w:val="single" w:sz="4" w:space="0" w:color="448A99"/>
              <w:bottom w:val="single" w:sz="4" w:space="0" w:color="448A99"/>
              <w:right w:val="single" w:sz="4" w:space="0" w:color="448A99"/>
            </w:tcBorders>
            <w:shd w:val="clear" w:color="000000" w:fill="FFFFFF"/>
            <w:vAlign w:val="center"/>
            <w:hideMark/>
          </w:tcPr>
          <w:p w:rsidR="00156005" w:rsidRPr="00B75B77" w:rsidRDefault="00156005" w:rsidP="00722C85">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Specialty LED</w:t>
            </w:r>
          </w:p>
        </w:tc>
        <w:tc>
          <w:tcPr>
            <w:tcW w:w="171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53,997</w:t>
            </w:r>
          </w:p>
        </w:tc>
        <w:tc>
          <w:tcPr>
            <w:tcW w:w="126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1.21</w:t>
            </w:r>
          </w:p>
        </w:tc>
        <w:tc>
          <w:tcPr>
            <w:tcW w:w="126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65,555</w:t>
            </w:r>
          </w:p>
        </w:tc>
        <w:tc>
          <w:tcPr>
            <w:tcW w:w="189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0.24</w:t>
            </w:r>
          </w:p>
        </w:tc>
        <w:tc>
          <w:tcPr>
            <w:tcW w:w="153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4%</w:t>
            </w:r>
          </w:p>
        </w:tc>
      </w:tr>
      <w:tr w:rsidR="00156005" w:rsidRPr="00B75B77" w:rsidTr="00722C85">
        <w:trPr>
          <w:trHeight w:val="288"/>
        </w:trPr>
        <w:tc>
          <w:tcPr>
            <w:tcW w:w="1615" w:type="dxa"/>
            <w:tcBorders>
              <w:top w:val="nil"/>
              <w:left w:val="single" w:sz="4" w:space="0" w:color="448A99"/>
              <w:bottom w:val="single" w:sz="4" w:space="0" w:color="448A99"/>
              <w:right w:val="single" w:sz="4" w:space="0" w:color="448A99"/>
            </w:tcBorders>
            <w:shd w:val="clear" w:color="000000" w:fill="D2EAF1"/>
            <w:vAlign w:val="center"/>
            <w:hideMark/>
          </w:tcPr>
          <w:p w:rsidR="00156005" w:rsidRPr="00B75B77" w:rsidRDefault="00423552" w:rsidP="00722C85">
            <w:pPr>
              <w:jc w:val="left"/>
              <w:rPr>
                <w:rFonts w:ascii="Calibri" w:eastAsia="Times New Roman" w:hAnsi="Calibri"/>
                <w:b/>
                <w:color w:val="000000"/>
                <w:sz w:val="18"/>
                <w:szCs w:val="18"/>
              </w:rPr>
            </w:pPr>
            <w:r w:rsidRPr="00B75B77">
              <w:rPr>
                <w:rFonts w:ascii="Calibri" w:eastAsia="Times New Roman" w:hAnsi="Calibri"/>
                <w:b/>
                <w:color w:val="000000"/>
                <w:sz w:val="18"/>
                <w:szCs w:val="18"/>
              </w:rPr>
              <w:t>PROGRAM TOTAL</w:t>
            </w:r>
          </w:p>
        </w:tc>
        <w:tc>
          <w:tcPr>
            <w:tcW w:w="171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722C85">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142,472</w:t>
            </w:r>
          </w:p>
        </w:tc>
        <w:tc>
          <w:tcPr>
            <w:tcW w:w="126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722C85">
            <w:pPr>
              <w:jc w:val="center"/>
              <w:rPr>
                <w:rFonts w:ascii="Calibri" w:eastAsia="Times New Roman" w:hAnsi="Calibri"/>
                <w:b/>
                <w:color w:val="000000"/>
                <w:sz w:val="18"/>
                <w:szCs w:val="18"/>
              </w:rPr>
            </w:pPr>
            <w:bookmarkStart w:id="251" w:name="RANGE!D43"/>
            <w:r w:rsidRPr="00B75B77">
              <w:rPr>
                <w:rFonts w:ascii="Calibri" w:eastAsia="Times New Roman" w:hAnsi="Calibri"/>
                <w:b/>
                <w:color w:val="000000"/>
                <w:sz w:val="18"/>
                <w:szCs w:val="18"/>
              </w:rPr>
              <w:t>1.22</w:t>
            </w:r>
            <w:bookmarkEnd w:id="251"/>
          </w:p>
        </w:tc>
        <w:tc>
          <w:tcPr>
            <w:tcW w:w="126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722C85">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173,382</w:t>
            </w:r>
          </w:p>
        </w:tc>
        <w:tc>
          <w:tcPr>
            <w:tcW w:w="189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722C85">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N/A</w:t>
            </w:r>
          </w:p>
        </w:tc>
        <w:tc>
          <w:tcPr>
            <w:tcW w:w="153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722C85">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4%</w:t>
            </w:r>
          </w:p>
        </w:tc>
      </w:tr>
    </w:tbl>
    <w:p w:rsidR="00156005" w:rsidRPr="00B75B77" w:rsidRDefault="00156005" w:rsidP="00722C85">
      <w:pPr>
        <w:keepNext/>
        <w:spacing w:before="20" w:after="20"/>
        <w:ind w:left="180"/>
        <w:jc w:val="left"/>
        <w:rPr>
          <w:rFonts w:eastAsia="Times New Roman"/>
          <w:i/>
          <w:sz w:val="18"/>
          <w:szCs w:val="20"/>
        </w:rPr>
      </w:pPr>
      <w:r w:rsidRPr="00B75B77">
        <w:rPr>
          <w:rFonts w:ascii="Calibri" w:eastAsia="Times New Roman" w:hAnsi="Calibri"/>
          <w:sz w:val="18"/>
          <w:szCs w:val="18"/>
        </w:rPr>
        <w:t>Note: Values in tables may not reconcile exactly with the sum of more detailed level results or previously reported results due to rounding.</w:t>
      </w:r>
    </w:p>
    <w:p w:rsidR="00156005" w:rsidRPr="00B75B77" w:rsidRDefault="00156005" w:rsidP="00037B84">
      <w:pPr>
        <w:pStyle w:val="Source"/>
      </w:pPr>
      <w:r w:rsidRPr="00B75B77">
        <w:t>Source: Navigant analysis</w:t>
      </w:r>
    </w:p>
    <w:p w:rsidR="00156005" w:rsidRPr="00B75B77" w:rsidRDefault="00156005" w:rsidP="00037B84">
      <w:pPr>
        <w:widowControl w:val="0"/>
        <w:rPr>
          <w:bCs/>
        </w:rPr>
      </w:pPr>
      <w:r w:rsidRPr="00B75B77">
        <w:t xml:space="preserve">Cross-sector bulb sales also drove high realization rates for demand savings. As </w:t>
      </w:r>
      <w:r w:rsidRPr="00B75B77">
        <w:fldChar w:fldCharType="begin"/>
      </w:r>
      <w:r w:rsidRPr="00B75B77">
        <w:instrText xml:space="preserve"> REF _Ref463807791 \h  \* MERGEFORMAT </w:instrText>
      </w:r>
      <w:r w:rsidRPr="00B75B77">
        <w:fldChar w:fldCharType="separate"/>
      </w:r>
      <w:r w:rsidR="0004016D" w:rsidRPr="00B75B77">
        <w:t xml:space="preserve">Table </w:t>
      </w:r>
      <w:r w:rsidR="0004016D">
        <w:rPr>
          <w:noProof/>
        </w:rPr>
        <w:t>2</w:t>
      </w:r>
      <w:r w:rsidR="0004016D" w:rsidRPr="00B75B77">
        <w:rPr>
          <w:noProof/>
        </w:rPr>
        <w:noBreakHyphen/>
      </w:r>
      <w:r w:rsidR="0004016D">
        <w:rPr>
          <w:noProof/>
        </w:rPr>
        <w:t>4</w:t>
      </w:r>
      <w:r w:rsidRPr="00B75B77">
        <w:fldChar w:fldCharType="end"/>
      </w:r>
      <w:r w:rsidRPr="00B75B77">
        <w:t xml:space="preserve"> shows, the SHR total realization rate was 1.36, with lighting at 1.39 since the HOU for commercial building lamps is higher than residential. Non-lighting demand savings accounted for approximately 3.6 MW for PY7. </w:t>
      </w:r>
    </w:p>
    <w:p w:rsidR="00156005" w:rsidRPr="00B75B77" w:rsidRDefault="00156005" w:rsidP="00037B84">
      <w:pPr>
        <w:widowControl w:val="0"/>
      </w:pPr>
    </w:p>
    <w:p w:rsidR="00156005" w:rsidRPr="00B75B77" w:rsidRDefault="00156005" w:rsidP="00037B84">
      <w:pPr>
        <w:pStyle w:val="Caption"/>
      </w:pPr>
      <w:bookmarkStart w:id="252" w:name="_Ref463807791"/>
      <w:bookmarkStart w:id="253" w:name="_Ref463807786"/>
      <w:bookmarkStart w:id="254" w:name="_Toc466413509"/>
      <w:r w:rsidRPr="00B75B77">
        <w:lastRenderedPageBreak/>
        <w:t xml:space="preserve">Table </w:t>
      </w:r>
      <w:fldSimple w:instr=" STYLEREF 1 \s ">
        <w:r w:rsidR="0004016D">
          <w:rPr>
            <w:noProof/>
          </w:rPr>
          <w:t>2</w:t>
        </w:r>
      </w:fldSimple>
      <w:r w:rsidR="00F1144C" w:rsidRPr="00B75B77">
        <w:noBreakHyphen/>
      </w:r>
      <w:fldSimple w:instr=" SEQ Table \* ARABIC \s 1 ">
        <w:r w:rsidR="0004016D">
          <w:rPr>
            <w:noProof/>
          </w:rPr>
          <w:t>4</w:t>
        </w:r>
      </w:fldSimple>
      <w:bookmarkEnd w:id="252"/>
      <w:r w:rsidRPr="00B75B77">
        <w:t>: PY7 Smart Home Rebates Summary of Evaluation Results for Demand (With Line Loss)</w:t>
      </w:r>
      <w:bookmarkEnd w:id="253"/>
      <w:bookmarkEnd w:id="254"/>
    </w:p>
    <w:tbl>
      <w:tblPr>
        <w:tblW w:w="9445" w:type="dxa"/>
        <w:tblLook w:val="04A0" w:firstRow="1" w:lastRow="0" w:firstColumn="1" w:lastColumn="0" w:noHBand="0" w:noVBand="1"/>
      </w:tblPr>
      <w:tblGrid>
        <w:gridCol w:w="1705"/>
        <w:gridCol w:w="1350"/>
        <w:gridCol w:w="1080"/>
        <w:gridCol w:w="1530"/>
        <w:gridCol w:w="2070"/>
        <w:gridCol w:w="1710"/>
      </w:tblGrid>
      <w:tr w:rsidR="00156005" w:rsidRPr="00B75B77" w:rsidTr="00722C85">
        <w:trPr>
          <w:trHeight w:val="588"/>
        </w:trPr>
        <w:tc>
          <w:tcPr>
            <w:tcW w:w="1705"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156005" w:rsidRPr="00B75B77" w:rsidRDefault="00156005" w:rsidP="00037B84">
            <w:pPr>
              <w:keepNext/>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Stratum</w:t>
            </w:r>
          </w:p>
        </w:tc>
        <w:tc>
          <w:tcPr>
            <w:tcW w:w="1350"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156005" w:rsidRPr="00B75B77" w:rsidRDefault="00156005" w:rsidP="00037B84">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Reported Gross Demand Savings </w:t>
            </w:r>
            <w:r w:rsidRPr="00B75B77">
              <w:rPr>
                <w:rFonts w:ascii="Calibri" w:eastAsia="Times New Roman" w:hAnsi="Calibri"/>
                <w:b/>
                <w:bCs/>
                <w:color w:val="FFFFFF"/>
                <w:sz w:val="18"/>
                <w:szCs w:val="18"/>
              </w:rPr>
              <w:br/>
              <w:t>(MW)</w:t>
            </w:r>
            <w:r w:rsidRPr="00B75B77">
              <w:rPr>
                <w:rFonts w:ascii="Calibri" w:eastAsia="Times New Roman" w:hAnsi="Calibri"/>
                <w:b/>
                <w:bCs/>
                <w:color w:val="FFFFFF"/>
                <w:sz w:val="18"/>
                <w:szCs w:val="18"/>
                <w:vertAlign w:val="superscript"/>
              </w:rPr>
              <w:t xml:space="preserve"> [1]</w:t>
            </w:r>
          </w:p>
        </w:tc>
        <w:tc>
          <w:tcPr>
            <w:tcW w:w="1080"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156005" w:rsidRPr="00B75B77" w:rsidRDefault="00156005" w:rsidP="00037B84">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Demand Realization Rate (%)</w:t>
            </w:r>
          </w:p>
        </w:tc>
        <w:tc>
          <w:tcPr>
            <w:tcW w:w="1530"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156005" w:rsidRPr="00B75B77" w:rsidRDefault="00156005" w:rsidP="00037B84">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Verified Gross Demand Savings (MW) </w:t>
            </w:r>
            <w:r w:rsidRPr="00B75B77">
              <w:rPr>
                <w:rFonts w:ascii="Calibri" w:eastAsia="Times New Roman" w:hAnsi="Calibri"/>
                <w:b/>
                <w:bCs/>
                <w:color w:val="FFFFFF"/>
                <w:sz w:val="18"/>
                <w:szCs w:val="18"/>
                <w:vertAlign w:val="superscript"/>
              </w:rPr>
              <w:t>[1]</w:t>
            </w:r>
          </w:p>
        </w:tc>
        <w:tc>
          <w:tcPr>
            <w:tcW w:w="2070"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156005" w:rsidRPr="00B75B77" w:rsidRDefault="00156005" w:rsidP="00037B84">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Observed CV or Proportion in Sample Design</w:t>
            </w:r>
          </w:p>
        </w:tc>
        <w:tc>
          <w:tcPr>
            <w:tcW w:w="1710"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156005" w:rsidRPr="00B75B77" w:rsidRDefault="00156005" w:rsidP="00037B84">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Relative Precision at 85% </w:t>
            </w:r>
            <w:r w:rsidR="00423552" w:rsidRPr="00B75B77">
              <w:rPr>
                <w:rFonts w:ascii="Calibri" w:eastAsia="Times New Roman" w:hAnsi="Calibri"/>
                <w:b/>
                <w:bCs/>
                <w:color w:val="FFFFFF"/>
                <w:sz w:val="18"/>
                <w:szCs w:val="18"/>
              </w:rPr>
              <w:t>Confidence Interval</w:t>
            </w:r>
          </w:p>
        </w:tc>
      </w:tr>
      <w:tr w:rsidR="00156005" w:rsidRPr="00B75B77" w:rsidTr="00722C85">
        <w:trPr>
          <w:trHeight w:val="288"/>
        </w:trPr>
        <w:tc>
          <w:tcPr>
            <w:tcW w:w="1705" w:type="dxa"/>
            <w:vMerge/>
            <w:tcBorders>
              <w:top w:val="single" w:sz="4" w:space="0" w:color="auto"/>
              <w:left w:val="single" w:sz="4" w:space="0" w:color="auto"/>
              <w:bottom w:val="single" w:sz="4" w:space="0" w:color="auto"/>
              <w:right w:val="single" w:sz="4" w:space="0" w:color="auto"/>
            </w:tcBorders>
            <w:vAlign w:val="center"/>
            <w:hideMark/>
          </w:tcPr>
          <w:p w:rsidR="00156005" w:rsidRPr="00B75B77" w:rsidRDefault="00156005" w:rsidP="00037B84">
            <w:pPr>
              <w:keepNext/>
              <w:jc w:val="left"/>
              <w:rPr>
                <w:rFonts w:ascii="Calibri" w:eastAsia="Times New Roman" w:hAnsi="Calibri"/>
                <w:b/>
                <w:bCs/>
                <w:color w:val="FFFFFF"/>
                <w:sz w:val="18"/>
                <w:szCs w:val="18"/>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156005" w:rsidRPr="00B75B77" w:rsidRDefault="00156005" w:rsidP="00037B84">
            <w:pPr>
              <w:keepNext/>
              <w:jc w:val="left"/>
              <w:rPr>
                <w:rFonts w:ascii="Calibri" w:eastAsia="Times New Roman" w:hAnsi="Calibri"/>
                <w:b/>
                <w:bCs/>
                <w:color w:val="FFFFFF"/>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156005" w:rsidRPr="00B75B77" w:rsidRDefault="00156005" w:rsidP="00037B84">
            <w:pPr>
              <w:keepNext/>
              <w:jc w:val="left"/>
              <w:rPr>
                <w:rFonts w:ascii="Calibri" w:eastAsia="Times New Roman" w:hAnsi="Calibri"/>
                <w:b/>
                <w:bCs/>
                <w:color w:val="FFFFFF"/>
                <w:sz w:val="18"/>
                <w:szCs w:val="18"/>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156005" w:rsidRPr="00B75B77" w:rsidRDefault="00156005" w:rsidP="00037B84">
            <w:pPr>
              <w:keepNext/>
              <w:jc w:val="left"/>
              <w:rPr>
                <w:rFonts w:ascii="Calibri" w:eastAsia="Times New Roman" w:hAnsi="Calibri"/>
                <w:b/>
                <w:bCs/>
                <w:color w:val="FFFFFF"/>
                <w:sz w:val="18"/>
                <w:szCs w:val="18"/>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rsidR="00156005" w:rsidRPr="00B75B77" w:rsidRDefault="00156005" w:rsidP="00037B84">
            <w:pPr>
              <w:keepNext/>
              <w:jc w:val="left"/>
              <w:rPr>
                <w:rFonts w:ascii="Calibri" w:eastAsia="Times New Roman" w:hAnsi="Calibri"/>
                <w:b/>
                <w:bCs/>
                <w:color w:val="FFFFFF"/>
                <w:sz w:val="18"/>
                <w:szCs w:val="18"/>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156005" w:rsidRPr="00B75B77" w:rsidRDefault="00156005" w:rsidP="00037B84">
            <w:pPr>
              <w:keepNext/>
              <w:jc w:val="left"/>
              <w:rPr>
                <w:rFonts w:ascii="Calibri" w:eastAsia="Times New Roman" w:hAnsi="Calibri"/>
                <w:b/>
                <w:bCs/>
                <w:color w:val="FFFFFF"/>
                <w:sz w:val="18"/>
                <w:szCs w:val="18"/>
              </w:rPr>
            </w:pPr>
          </w:p>
        </w:tc>
      </w:tr>
      <w:tr w:rsidR="00156005" w:rsidRPr="00B75B77" w:rsidTr="00722C85">
        <w:trPr>
          <w:trHeight w:val="300"/>
        </w:trPr>
        <w:tc>
          <w:tcPr>
            <w:tcW w:w="1705" w:type="dxa"/>
            <w:vMerge/>
            <w:tcBorders>
              <w:top w:val="single" w:sz="4" w:space="0" w:color="auto"/>
              <w:left w:val="single" w:sz="4" w:space="0" w:color="auto"/>
              <w:bottom w:val="single" w:sz="4" w:space="0" w:color="auto"/>
              <w:right w:val="single" w:sz="4" w:space="0" w:color="auto"/>
            </w:tcBorders>
            <w:vAlign w:val="center"/>
            <w:hideMark/>
          </w:tcPr>
          <w:p w:rsidR="00156005" w:rsidRPr="00B75B77" w:rsidRDefault="00156005" w:rsidP="00037B84">
            <w:pPr>
              <w:keepNext/>
              <w:jc w:val="left"/>
              <w:rPr>
                <w:rFonts w:ascii="Calibri" w:eastAsia="Times New Roman" w:hAnsi="Calibri"/>
                <w:b/>
                <w:bCs/>
                <w:color w:val="FFFFFF"/>
                <w:sz w:val="18"/>
                <w:szCs w:val="18"/>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156005" w:rsidRPr="00B75B77" w:rsidRDefault="00156005" w:rsidP="00037B84">
            <w:pPr>
              <w:keepNext/>
              <w:jc w:val="left"/>
              <w:rPr>
                <w:rFonts w:ascii="Calibri" w:eastAsia="Times New Roman" w:hAnsi="Calibri"/>
                <w:b/>
                <w:bCs/>
                <w:color w:val="FFFFFF"/>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156005" w:rsidRPr="00B75B77" w:rsidRDefault="00156005" w:rsidP="00037B84">
            <w:pPr>
              <w:keepNext/>
              <w:jc w:val="left"/>
              <w:rPr>
                <w:rFonts w:ascii="Calibri" w:eastAsia="Times New Roman" w:hAnsi="Calibri"/>
                <w:b/>
                <w:bCs/>
                <w:color w:val="FFFFFF"/>
                <w:sz w:val="18"/>
                <w:szCs w:val="18"/>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156005" w:rsidRPr="00B75B77" w:rsidRDefault="00156005" w:rsidP="00037B84">
            <w:pPr>
              <w:keepNext/>
              <w:jc w:val="left"/>
              <w:rPr>
                <w:rFonts w:ascii="Calibri" w:eastAsia="Times New Roman" w:hAnsi="Calibri"/>
                <w:b/>
                <w:bCs/>
                <w:color w:val="FFFFFF"/>
                <w:sz w:val="18"/>
                <w:szCs w:val="18"/>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rsidR="00156005" w:rsidRPr="00B75B77" w:rsidRDefault="00156005" w:rsidP="00037B84">
            <w:pPr>
              <w:keepNext/>
              <w:jc w:val="left"/>
              <w:rPr>
                <w:rFonts w:ascii="Calibri" w:eastAsia="Times New Roman" w:hAnsi="Calibri"/>
                <w:b/>
                <w:bCs/>
                <w:color w:val="FFFFFF"/>
                <w:sz w:val="18"/>
                <w:szCs w:val="18"/>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156005" w:rsidRPr="00B75B77" w:rsidRDefault="00156005" w:rsidP="00037B84">
            <w:pPr>
              <w:keepNext/>
              <w:jc w:val="left"/>
              <w:rPr>
                <w:rFonts w:ascii="Calibri" w:eastAsia="Times New Roman" w:hAnsi="Calibri"/>
                <w:b/>
                <w:bCs/>
                <w:color w:val="FFFFFF"/>
                <w:sz w:val="18"/>
                <w:szCs w:val="18"/>
              </w:rPr>
            </w:pPr>
          </w:p>
        </w:tc>
      </w:tr>
      <w:tr w:rsidR="00156005" w:rsidRPr="00B75B77" w:rsidTr="00722C85">
        <w:trPr>
          <w:trHeight w:val="300"/>
        </w:trPr>
        <w:tc>
          <w:tcPr>
            <w:tcW w:w="1705" w:type="dxa"/>
            <w:tcBorders>
              <w:top w:val="nil"/>
              <w:left w:val="single" w:sz="4" w:space="0" w:color="448A99"/>
              <w:bottom w:val="single" w:sz="4" w:space="0" w:color="448A99"/>
              <w:right w:val="single" w:sz="4" w:space="0" w:color="448A99"/>
            </w:tcBorders>
            <w:shd w:val="clear" w:color="000000" w:fill="D2EAF1"/>
            <w:vAlign w:val="center"/>
            <w:hideMark/>
          </w:tcPr>
          <w:p w:rsidR="00156005" w:rsidRPr="00B75B77" w:rsidRDefault="00156005" w:rsidP="00037B84">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Appliances</w:t>
            </w:r>
          </w:p>
        </w:tc>
        <w:tc>
          <w:tcPr>
            <w:tcW w:w="135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037B84">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0.4</w:t>
            </w:r>
          </w:p>
        </w:tc>
        <w:tc>
          <w:tcPr>
            <w:tcW w:w="108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037B84">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0.84</w:t>
            </w:r>
          </w:p>
        </w:tc>
        <w:tc>
          <w:tcPr>
            <w:tcW w:w="153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037B84">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0.4</w:t>
            </w:r>
          </w:p>
        </w:tc>
        <w:tc>
          <w:tcPr>
            <w:tcW w:w="207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037B84">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0.86</w:t>
            </w:r>
          </w:p>
        </w:tc>
        <w:tc>
          <w:tcPr>
            <w:tcW w:w="171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037B84">
            <w:pPr>
              <w:keepNext/>
              <w:jc w:val="center"/>
              <w:rPr>
                <w:rFonts w:ascii="Calibri" w:eastAsia="Times New Roman" w:hAnsi="Calibri"/>
                <w:color w:val="000000"/>
                <w:sz w:val="18"/>
                <w:szCs w:val="18"/>
              </w:rPr>
            </w:pPr>
            <w:bookmarkStart w:id="255" w:name="RANGE!G51:G56"/>
            <w:r w:rsidRPr="00B75B77">
              <w:rPr>
                <w:rFonts w:ascii="Calibri" w:eastAsia="Times New Roman" w:hAnsi="Calibri"/>
                <w:color w:val="000000"/>
                <w:sz w:val="18"/>
                <w:szCs w:val="18"/>
              </w:rPr>
              <w:t>35%</w:t>
            </w:r>
            <w:bookmarkEnd w:id="255"/>
          </w:p>
        </w:tc>
      </w:tr>
      <w:tr w:rsidR="00156005" w:rsidRPr="00B75B77" w:rsidTr="00722C85">
        <w:trPr>
          <w:trHeight w:val="300"/>
        </w:trPr>
        <w:tc>
          <w:tcPr>
            <w:tcW w:w="1705" w:type="dxa"/>
            <w:tcBorders>
              <w:top w:val="nil"/>
              <w:left w:val="single" w:sz="4" w:space="0" w:color="448A99"/>
              <w:bottom w:val="single" w:sz="4" w:space="0" w:color="448A99"/>
              <w:right w:val="single" w:sz="4" w:space="0" w:color="448A99"/>
            </w:tcBorders>
            <w:shd w:val="clear" w:color="000000" w:fill="FFFFFF"/>
            <w:vAlign w:val="center"/>
            <w:hideMark/>
          </w:tcPr>
          <w:p w:rsidR="00156005" w:rsidRPr="00B75B77" w:rsidRDefault="00156005" w:rsidP="00037B84">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HVAC</w:t>
            </w:r>
          </w:p>
        </w:tc>
        <w:tc>
          <w:tcPr>
            <w:tcW w:w="135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037B84">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2.7</w:t>
            </w:r>
          </w:p>
        </w:tc>
        <w:tc>
          <w:tcPr>
            <w:tcW w:w="108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037B84">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1.19</w:t>
            </w:r>
          </w:p>
        </w:tc>
        <w:tc>
          <w:tcPr>
            <w:tcW w:w="153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037B84">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3.2</w:t>
            </w:r>
          </w:p>
        </w:tc>
        <w:tc>
          <w:tcPr>
            <w:tcW w:w="207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037B84">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0.42</w:t>
            </w:r>
          </w:p>
        </w:tc>
        <w:tc>
          <w:tcPr>
            <w:tcW w:w="171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037B84">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8%</w:t>
            </w:r>
          </w:p>
        </w:tc>
      </w:tr>
      <w:tr w:rsidR="00156005" w:rsidRPr="00B75B77" w:rsidTr="00722C85">
        <w:trPr>
          <w:trHeight w:val="300"/>
        </w:trPr>
        <w:tc>
          <w:tcPr>
            <w:tcW w:w="1705" w:type="dxa"/>
            <w:tcBorders>
              <w:top w:val="nil"/>
              <w:left w:val="single" w:sz="4" w:space="0" w:color="448A99"/>
              <w:bottom w:val="single" w:sz="4" w:space="0" w:color="448A99"/>
              <w:right w:val="single" w:sz="4" w:space="0" w:color="448A99"/>
            </w:tcBorders>
            <w:shd w:val="clear" w:color="000000" w:fill="D2EAF1"/>
            <w:vAlign w:val="center"/>
            <w:hideMark/>
          </w:tcPr>
          <w:p w:rsidR="00156005" w:rsidRPr="00B75B77" w:rsidRDefault="00156005" w:rsidP="00037B84">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Standard CFLs</w:t>
            </w:r>
          </w:p>
        </w:tc>
        <w:tc>
          <w:tcPr>
            <w:tcW w:w="135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037B84">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5.8</w:t>
            </w:r>
          </w:p>
        </w:tc>
        <w:tc>
          <w:tcPr>
            <w:tcW w:w="108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037B84">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1.59</w:t>
            </w:r>
          </w:p>
        </w:tc>
        <w:tc>
          <w:tcPr>
            <w:tcW w:w="153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037B84">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9.2</w:t>
            </w:r>
          </w:p>
        </w:tc>
        <w:tc>
          <w:tcPr>
            <w:tcW w:w="207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037B84">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0.35</w:t>
            </w:r>
          </w:p>
        </w:tc>
        <w:tc>
          <w:tcPr>
            <w:tcW w:w="171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037B84">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11%</w:t>
            </w:r>
          </w:p>
        </w:tc>
      </w:tr>
      <w:tr w:rsidR="00156005" w:rsidRPr="00B75B77" w:rsidTr="00722C85">
        <w:trPr>
          <w:trHeight w:val="300"/>
        </w:trPr>
        <w:tc>
          <w:tcPr>
            <w:tcW w:w="1705" w:type="dxa"/>
            <w:tcBorders>
              <w:top w:val="nil"/>
              <w:left w:val="single" w:sz="4" w:space="0" w:color="448A99"/>
              <w:bottom w:val="single" w:sz="4" w:space="0" w:color="448A99"/>
              <w:right w:val="single" w:sz="4" w:space="0" w:color="448A99"/>
            </w:tcBorders>
            <w:shd w:val="clear" w:color="000000" w:fill="FFFFFF"/>
            <w:vAlign w:val="center"/>
            <w:hideMark/>
          </w:tcPr>
          <w:p w:rsidR="00156005" w:rsidRPr="00B75B77" w:rsidRDefault="00156005" w:rsidP="00037B84">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Specialty CFLs</w:t>
            </w:r>
          </w:p>
        </w:tc>
        <w:tc>
          <w:tcPr>
            <w:tcW w:w="135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037B84">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0.8</w:t>
            </w:r>
          </w:p>
        </w:tc>
        <w:tc>
          <w:tcPr>
            <w:tcW w:w="108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037B84">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1.59</w:t>
            </w:r>
          </w:p>
        </w:tc>
        <w:tc>
          <w:tcPr>
            <w:tcW w:w="153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037B84">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1.3</w:t>
            </w:r>
          </w:p>
        </w:tc>
        <w:tc>
          <w:tcPr>
            <w:tcW w:w="207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037B84">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0.35</w:t>
            </w:r>
          </w:p>
        </w:tc>
        <w:tc>
          <w:tcPr>
            <w:tcW w:w="171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037B84">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11%</w:t>
            </w:r>
          </w:p>
        </w:tc>
      </w:tr>
      <w:tr w:rsidR="00156005" w:rsidRPr="00B75B77" w:rsidTr="00722C85">
        <w:trPr>
          <w:trHeight w:val="300"/>
        </w:trPr>
        <w:tc>
          <w:tcPr>
            <w:tcW w:w="1705" w:type="dxa"/>
            <w:tcBorders>
              <w:top w:val="nil"/>
              <w:left w:val="single" w:sz="4" w:space="0" w:color="448A99"/>
              <w:bottom w:val="single" w:sz="4" w:space="0" w:color="448A99"/>
              <w:right w:val="single" w:sz="4" w:space="0" w:color="448A99"/>
            </w:tcBorders>
            <w:shd w:val="clear" w:color="000000" w:fill="D2EAF1"/>
            <w:vAlign w:val="center"/>
            <w:hideMark/>
          </w:tcPr>
          <w:p w:rsidR="00156005" w:rsidRPr="00B75B77" w:rsidRDefault="00156005" w:rsidP="00037B84">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Standard LED</w:t>
            </w:r>
          </w:p>
        </w:tc>
        <w:tc>
          <w:tcPr>
            <w:tcW w:w="135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037B84">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3.9</w:t>
            </w:r>
          </w:p>
        </w:tc>
        <w:tc>
          <w:tcPr>
            <w:tcW w:w="108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037B84">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1.07</w:t>
            </w:r>
          </w:p>
        </w:tc>
        <w:tc>
          <w:tcPr>
            <w:tcW w:w="153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037B84">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4.1</w:t>
            </w:r>
          </w:p>
        </w:tc>
        <w:tc>
          <w:tcPr>
            <w:tcW w:w="207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037B84">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0.11</w:t>
            </w:r>
          </w:p>
        </w:tc>
        <w:tc>
          <w:tcPr>
            <w:tcW w:w="171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037B84">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w:t>
            </w:r>
          </w:p>
        </w:tc>
      </w:tr>
      <w:tr w:rsidR="00156005" w:rsidRPr="00B75B77" w:rsidTr="00722C85">
        <w:trPr>
          <w:trHeight w:val="300"/>
        </w:trPr>
        <w:tc>
          <w:tcPr>
            <w:tcW w:w="1705" w:type="dxa"/>
            <w:tcBorders>
              <w:top w:val="nil"/>
              <w:left w:val="single" w:sz="4" w:space="0" w:color="448A99"/>
              <w:bottom w:val="single" w:sz="4" w:space="0" w:color="448A99"/>
              <w:right w:val="single" w:sz="4" w:space="0" w:color="448A99"/>
            </w:tcBorders>
            <w:shd w:val="clear" w:color="000000" w:fill="FFFFFF"/>
            <w:vAlign w:val="center"/>
            <w:hideMark/>
          </w:tcPr>
          <w:p w:rsidR="00156005" w:rsidRPr="00B75B77" w:rsidRDefault="00156005" w:rsidP="00037B84">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Specialty LED</w:t>
            </w:r>
          </w:p>
        </w:tc>
        <w:tc>
          <w:tcPr>
            <w:tcW w:w="135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037B84">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7.0</w:t>
            </w:r>
          </w:p>
        </w:tc>
        <w:tc>
          <w:tcPr>
            <w:tcW w:w="108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037B84">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1.39</w:t>
            </w:r>
          </w:p>
        </w:tc>
        <w:tc>
          <w:tcPr>
            <w:tcW w:w="153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037B84">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9.7</w:t>
            </w:r>
          </w:p>
        </w:tc>
        <w:tc>
          <w:tcPr>
            <w:tcW w:w="207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037B84">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0.24</w:t>
            </w:r>
          </w:p>
        </w:tc>
        <w:tc>
          <w:tcPr>
            <w:tcW w:w="171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037B84">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4%</w:t>
            </w:r>
          </w:p>
        </w:tc>
      </w:tr>
      <w:tr w:rsidR="00156005" w:rsidRPr="00B75B77" w:rsidTr="00722C85">
        <w:trPr>
          <w:trHeight w:val="288"/>
        </w:trPr>
        <w:tc>
          <w:tcPr>
            <w:tcW w:w="1705" w:type="dxa"/>
            <w:tcBorders>
              <w:top w:val="nil"/>
              <w:left w:val="single" w:sz="4" w:space="0" w:color="448A99"/>
              <w:bottom w:val="single" w:sz="4" w:space="0" w:color="448A99"/>
              <w:right w:val="single" w:sz="4" w:space="0" w:color="448A99"/>
            </w:tcBorders>
            <w:shd w:val="clear" w:color="000000" w:fill="D2EAF1"/>
            <w:vAlign w:val="center"/>
            <w:hideMark/>
          </w:tcPr>
          <w:p w:rsidR="00156005" w:rsidRPr="00B75B77" w:rsidRDefault="00423552" w:rsidP="00037B84">
            <w:pPr>
              <w:keepNext/>
              <w:jc w:val="left"/>
              <w:rPr>
                <w:rFonts w:ascii="Calibri" w:eastAsia="Times New Roman" w:hAnsi="Calibri"/>
                <w:b/>
                <w:color w:val="000000"/>
                <w:sz w:val="18"/>
                <w:szCs w:val="18"/>
              </w:rPr>
            </w:pPr>
            <w:r w:rsidRPr="00B75B77">
              <w:rPr>
                <w:rFonts w:ascii="Calibri" w:eastAsia="Times New Roman" w:hAnsi="Calibri"/>
                <w:b/>
                <w:color w:val="000000"/>
                <w:sz w:val="18"/>
                <w:szCs w:val="18"/>
              </w:rPr>
              <w:t>PROGRAM TOTAL</w:t>
            </w:r>
          </w:p>
        </w:tc>
        <w:tc>
          <w:tcPr>
            <w:tcW w:w="135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037B84">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20.6</w:t>
            </w:r>
          </w:p>
        </w:tc>
        <w:tc>
          <w:tcPr>
            <w:tcW w:w="108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037B84">
            <w:pPr>
              <w:keepNext/>
              <w:jc w:val="center"/>
              <w:rPr>
                <w:rFonts w:ascii="Calibri" w:eastAsia="Times New Roman" w:hAnsi="Calibri"/>
                <w:b/>
                <w:color w:val="000000"/>
                <w:sz w:val="18"/>
                <w:szCs w:val="18"/>
              </w:rPr>
            </w:pPr>
            <w:bookmarkStart w:id="256" w:name="RANGE!D57"/>
            <w:r w:rsidRPr="00B75B77">
              <w:rPr>
                <w:rFonts w:ascii="Calibri" w:eastAsia="Times New Roman" w:hAnsi="Calibri"/>
                <w:b/>
                <w:color w:val="000000"/>
                <w:sz w:val="18"/>
                <w:szCs w:val="18"/>
              </w:rPr>
              <w:t>1.36</w:t>
            </w:r>
            <w:bookmarkEnd w:id="256"/>
          </w:p>
        </w:tc>
        <w:tc>
          <w:tcPr>
            <w:tcW w:w="153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037B84">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28.0</w:t>
            </w:r>
          </w:p>
        </w:tc>
        <w:tc>
          <w:tcPr>
            <w:tcW w:w="207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037B84">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N/A</w:t>
            </w:r>
          </w:p>
        </w:tc>
        <w:tc>
          <w:tcPr>
            <w:tcW w:w="171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037B84">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4%</w:t>
            </w:r>
          </w:p>
        </w:tc>
      </w:tr>
    </w:tbl>
    <w:p w:rsidR="00442C8B" w:rsidRPr="00B75B77" w:rsidRDefault="00442C8B" w:rsidP="00037B84">
      <w:pPr>
        <w:keepNext/>
        <w:spacing w:before="20" w:after="20"/>
        <w:ind w:left="180"/>
        <w:jc w:val="left"/>
        <w:rPr>
          <w:rFonts w:ascii="Calibri" w:eastAsia="Times New Roman" w:hAnsi="Calibri"/>
          <w:sz w:val="18"/>
          <w:szCs w:val="18"/>
        </w:rPr>
      </w:pPr>
      <w:r w:rsidRPr="00B75B77">
        <w:rPr>
          <w:rFonts w:eastAsia="Times New Roman"/>
          <w:sz w:val="18"/>
          <w:szCs w:val="20"/>
          <w:vertAlign w:val="superscript"/>
        </w:rPr>
        <w:t>[1]</w:t>
      </w:r>
      <w:r w:rsidRPr="00B75B77">
        <w:t xml:space="preserve"> </w:t>
      </w:r>
      <w:r w:rsidRPr="00B75B77">
        <w:rPr>
          <w:rFonts w:ascii="Calibri" w:eastAsia="Times New Roman" w:hAnsi="Calibri"/>
          <w:sz w:val="18"/>
          <w:szCs w:val="18"/>
        </w:rPr>
        <w:t>All reported and verified demand savings in this report include line losses as required.</w:t>
      </w:r>
    </w:p>
    <w:p w:rsidR="00156005" w:rsidRPr="00B75B77" w:rsidRDefault="00156005" w:rsidP="00037B84">
      <w:pPr>
        <w:keepNext/>
        <w:spacing w:before="20" w:after="20"/>
        <w:ind w:left="180"/>
        <w:jc w:val="left"/>
        <w:rPr>
          <w:rFonts w:eastAsia="Times New Roman"/>
          <w:i/>
          <w:sz w:val="18"/>
          <w:szCs w:val="20"/>
        </w:rPr>
      </w:pPr>
      <w:r w:rsidRPr="00B75B77">
        <w:rPr>
          <w:rFonts w:ascii="Calibri" w:eastAsia="Times New Roman" w:hAnsi="Calibri"/>
          <w:sz w:val="18"/>
          <w:szCs w:val="18"/>
        </w:rPr>
        <w:t>Note: Values in tables may not reconcile exactly with the sum of more detailed level results or previously reported results due to rounding.</w:t>
      </w:r>
    </w:p>
    <w:p w:rsidR="00156005" w:rsidRPr="00B75B77" w:rsidRDefault="00156005" w:rsidP="00037B84">
      <w:pPr>
        <w:pStyle w:val="Source"/>
      </w:pPr>
      <w:r w:rsidRPr="00B75B77">
        <w:t>Source: Navigant analysis</w:t>
      </w:r>
    </w:p>
    <w:p w:rsidR="00156005" w:rsidRPr="00B75B77" w:rsidRDefault="00156005" w:rsidP="00423552">
      <w:r w:rsidRPr="00B75B77">
        <w:rPr>
          <w:rFonts w:eastAsia="Times New Roman"/>
          <w:color w:val="000000"/>
        </w:rPr>
        <w:fldChar w:fldCharType="begin"/>
      </w:r>
      <w:r w:rsidRPr="00B75B77">
        <w:rPr>
          <w:rFonts w:eastAsia="Times New Roman"/>
          <w:color w:val="000000"/>
        </w:rPr>
        <w:instrText xml:space="preserve"> REF _Ref464056620 \h </w:instrText>
      </w:r>
      <w:r w:rsidR="00B75B77">
        <w:rPr>
          <w:rFonts w:eastAsia="Times New Roman"/>
          <w:color w:val="000000"/>
        </w:rPr>
        <w:instrText xml:space="preserve"> \* MERGEFORMAT </w:instrText>
      </w:r>
      <w:r w:rsidRPr="00B75B77">
        <w:rPr>
          <w:rFonts w:eastAsia="Times New Roman"/>
          <w:color w:val="000000"/>
        </w:rPr>
      </w:r>
      <w:r w:rsidRPr="00B75B77">
        <w:rPr>
          <w:rFonts w:eastAsia="Times New Roman"/>
          <w:color w:val="000000"/>
        </w:rPr>
        <w:fldChar w:fldCharType="separate"/>
      </w:r>
      <w:r w:rsidR="0004016D" w:rsidRPr="00B75B77">
        <w:t xml:space="preserve">Table </w:t>
      </w:r>
      <w:r w:rsidR="0004016D">
        <w:rPr>
          <w:noProof/>
        </w:rPr>
        <w:t>2</w:t>
      </w:r>
      <w:r w:rsidR="0004016D" w:rsidRPr="00B75B77">
        <w:rPr>
          <w:noProof/>
        </w:rPr>
        <w:noBreakHyphen/>
      </w:r>
      <w:r w:rsidR="0004016D">
        <w:rPr>
          <w:noProof/>
        </w:rPr>
        <w:t>5</w:t>
      </w:r>
      <w:r w:rsidRPr="00B75B77">
        <w:rPr>
          <w:rFonts w:eastAsia="Times New Roman"/>
          <w:color w:val="000000"/>
        </w:rPr>
        <w:fldChar w:fldCharType="end"/>
      </w:r>
      <w:r w:rsidRPr="00B75B77">
        <w:rPr>
          <w:rFonts w:eastAsia="Times New Roman"/>
          <w:color w:val="000000"/>
        </w:rPr>
        <w:t xml:space="preserve"> and </w:t>
      </w:r>
      <w:r w:rsidRPr="00B75B77">
        <w:rPr>
          <w:rFonts w:eastAsia="Times New Roman"/>
          <w:color w:val="000000"/>
        </w:rPr>
        <w:fldChar w:fldCharType="begin"/>
      </w:r>
      <w:r w:rsidRPr="00B75B77">
        <w:rPr>
          <w:rFonts w:eastAsia="Times New Roman"/>
          <w:color w:val="000000"/>
        </w:rPr>
        <w:instrText xml:space="preserve"> REF _Ref464056632 \h </w:instrText>
      </w:r>
      <w:r w:rsidR="00B75B77">
        <w:rPr>
          <w:rFonts w:eastAsia="Times New Roman"/>
          <w:color w:val="000000"/>
        </w:rPr>
        <w:instrText xml:space="preserve"> \* MERGEFORMAT </w:instrText>
      </w:r>
      <w:r w:rsidRPr="00B75B77">
        <w:rPr>
          <w:rFonts w:eastAsia="Times New Roman"/>
          <w:color w:val="000000"/>
        </w:rPr>
      </w:r>
      <w:r w:rsidRPr="00B75B77">
        <w:rPr>
          <w:rFonts w:eastAsia="Times New Roman"/>
          <w:color w:val="000000"/>
        </w:rPr>
        <w:fldChar w:fldCharType="separate"/>
      </w:r>
      <w:r w:rsidR="0004016D" w:rsidRPr="00B75B77">
        <w:t xml:space="preserve">Table </w:t>
      </w:r>
      <w:r w:rsidR="0004016D">
        <w:rPr>
          <w:noProof/>
        </w:rPr>
        <w:t>2</w:t>
      </w:r>
      <w:r w:rsidR="0004016D" w:rsidRPr="00B75B77">
        <w:rPr>
          <w:noProof/>
        </w:rPr>
        <w:noBreakHyphen/>
      </w:r>
      <w:r w:rsidR="0004016D">
        <w:rPr>
          <w:noProof/>
        </w:rPr>
        <w:t>6</w:t>
      </w:r>
      <w:r w:rsidRPr="00B75B77">
        <w:rPr>
          <w:rFonts w:eastAsia="Times New Roman"/>
          <w:color w:val="000000"/>
        </w:rPr>
        <w:fldChar w:fldCharType="end"/>
      </w:r>
      <w:r w:rsidRPr="00B75B77">
        <w:rPr>
          <w:rFonts w:eastAsia="Times New Roman"/>
          <w:color w:val="000000"/>
        </w:rPr>
        <w:t xml:space="preserve"> present the </w:t>
      </w:r>
      <w:r w:rsidR="00363261" w:rsidRPr="00B75B77">
        <w:rPr>
          <w:rFonts w:eastAsia="Times New Roman"/>
          <w:color w:val="000000"/>
        </w:rPr>
        <w:t>nonresidential</w:t>
      </w:r>
      <w:r w:rsidRPr="00B75B77">
        <w:rPr>
          <w:rFonts w:eastAsia="Times New Roman"/>
          <w:color w:val="000000"/>
        </w:rPr>
        <w:t xml:space="preserve"> installation rates, verified energy savings (MWh), and verified demand reduction (MW) by bulb type. The evaluation team conducted the cross-sector analysis twice</w:t>
      </w:r>
      <w:r w:rsidR="00423552" w:rsidRPr="00B75B77">
        <w:rPr>
          <w:rFonts w:eastAsia="Times New Roman"/>
          <w:color w:val="000000"/>
        </w:rPr>
        <w:t xml:space="preserve">: </w:t>
      </w:r>
      <w:r w:rsidRPr="00B75B77">
        <w:rPr>
          <w:rFonts w:eastAsia="Times New Roman"/>
          <w:color w:val="000000"/>
        </w:rPr>
        <w:t>once using the responses of all bulb purchasers (</w:t>
      </w:r>
      <w:r w:rsidRPr="00B75B77">
        <w:rPr>
          <w:rFonts w:eastAsia="Times New Roman"/>
          <w:color w:val="000000"/>
        </w:rPr>
        <w:fldChar w:fldCharType="begin"/>
      </w:r>
      <w:r w:rsidRPr="00B75B77">
        <w:rPr>
          <w:rFonts w:eastAsia="Times New Roman"/>
          <w:color w:val="000000"/>
        </w:rPr>
        <w:instrText xml:space="preserve"> REF _Ref464056620 \h </w:instrText>
      </w:r>
      <w:r w:rsidR="00B75B77">
        <w:rPr>
          <w:rFonts w:eastAsia="Times New Roman"/>
          <w:color w:val="000000"/>
        </w:rPr>
        <w:instrText xml:space="preserve"> \* MERGEFORMAT </w:instrText>
      </w:r>
      <w:r w:rsidRPr="00B75B77">
        <w:rPr>
          <w:rFonts w:eastAsia="Times New Roman"/>
          <w:color w:val="000000"/>
        </w:rPr>
      </w:r>
      <w:r w:rsidRPr="00B75B77">
        <w:rPr>
          <w:rFonts w:eastAsia="Times New Roman"/>
          <w:color w:val="000000"/>
        </w:rPr>
        <w:fldChar w:fldCharType="separate"/>
      </w:r>
      <w:r w:rsidR="0004016D" w:rsidRPr="00B75B77">
        <w:t xml:space="preserve">Table </w:t>
      </w:r>
      <w:r w:rsidR="0004016D">
        <w:rPr>
          <w:noProof/>
        </w:rPr>
        <w:t>2</w:t>
      </w:r>
      <w:r w:rsidR="0004016D" w:rsidRPr="00B75B77">
        <w:rPr>
          <w:noProof/>
        </w:rPr>
        <w:noBreakHyphen/>
      </w:r>
      <w:r w:rsidR="0004016D">
        <w:rPr>
          <w:noProof/>
        </w:rPr>
        <w:t>5</w:t>
      </w:r>
      <w:r w:rsidRPr="00B75B77">
        <w:rPr>
          <w:rFonts w:eastAsia="Times New Roman"/>
          <w:color w:val="000000"/>
        </w:rPr>
        <w:fldChar w:fldCharType="end"/>
      </w:r>
      <w:r w:rsidRPr="00B75B77">
        <w:rPr>
          <w:rFonts w:eastAsia="Times New Roman"/>
          <w:color w:val="000000"/>
        </w:rPr>
        <w:t>), and once using only the responses of program bulb purchasers (</w:t>
      </w:r>
      <w:r w:rsidRPr="00B75B77">
        <w:rPr>
          <w:rFonts w:eastAsia="Times New Roman"/>
          <w:color w:val="000000"/>
        </w:rPr>
        <w:fldChar w:fldCharType="begin"/>
      </w:r>
      <w:r w:rsidRPr="00B75B77">
        <w:rPr>
          <w:rFonts w:eastAsia="Times New Roman"/>
          <w:color w:val="000000"/>
        </w:rPr>
        <w:instrText xml:space="preserve"> REF _Ref464056632 \h </w:instrText>
      </w:r>
      <w:r w:rsidR="00B75B77">
        <w:rPr>
          <w:rFonts w:eastAsia="Times New Roman"/>
          <w:color w:val="000000"/>
        </w:rPr>
        <w:instrText xml:space="preserve"> \* MERGEFORMAT </w:instrText>
      </w:r>
      <w:r w:rsidRPr="00B75B77">
        <w:rPr>
          <w:rFonts w:eastAsia="Times New Roman"/>
          <w:color w:val="000000"/>
        </w:rPr>
      </w:r>
      <w:r w:rsidRPr="00B75B77">
        <w:rPr>
          <w:rFonts w:eastAsia="Times New Roman"/>
          <w:color w:val="000000"/>
        </w:rPr>
        <w:fldChar w:fldCharType="separate"/>
      </w:r>
      <w:r w:rsidR="0004016D" w:rsidRPr="00B75B77">
        <w:t xml:space="preserve">Table </w:t>
      </w:r>
      <w:r w:rsidR="0004016D">
        <w:rPr>
          <w:noProof/>
        </w:rPr>
        <w:t>2</w:t>
      </w:r>
      <w:r w:rsidR="0004016D" w:rsidRPr="00B75B77">
        <w:rPr>
          <w:noProof/>
        </w:rPr>
        <w:noBreakHyphen/>
      </w:r>
      <w:r w:rsidR="0004016D">
        <w:rPr>
          <w:noProof/>
        </w:rPr>
        <w:t>6</w:t>
      </w:r>
      <w:r w:rsidRPr="00B75B77">
        <w:rPr>
          <w:rFonts w:eastAsia="Times New Roman"/>
          <w:color w:val="000000"/>
        </w:rPr>
        <w:fldChar w:fldCharType="end"/>
      </w:r>
      <w:r w:rsidRPr="00B75B77">
        <w:rPr>
          <w:rFonts w:eastAsia="Times New Roman"/>
          <w:color w:val="000000"/>
        </w:rPr>
        <w:t xml:space="preserve">). The analysis revealed that </w:t>
      </w:r>
      <w:r w:rsidRPr="00B75B77">
        <w:t xml:space="preserve">the </w:t>
      </w:r>
      <w:r w:rsidR="00363261" w:rsidRPr="00B75B77">
        <w:t>nonresidential</w:t>
      </w:r>
      <w:r w:rsidRPr="00B75B77">
        <w:t xml:space="preserve"> installation rate, energy savings</w:t>
      </w:r>
      <w:r w:rsidR="00423552" w:rsidRPr="00B75B77">
        <w:t>,</w:t>
      </w:r>
      <w:r w:rsidRPr="00B75B77">
        <w:t xml:space="preserve"> and demand reduction were similar regardless of analysis method. This is not surprising, as the evaluation team speculated that there should be no expected difference in the </w:t>
      </w:r>
      <w:r w:rsidR="00363261" w:rsidRPr="00B75B77">
        <w:t>nonresidential</w:t>
      </w:r>
      <w:r w:rsidRPr="00B75B77">
        <w:t xml:space="preserve"> installations of program</w:t>
      </w:r>
      <w:r w:rsidR="00423552" w:rsidRPr="00B75B77">
        <w:t xml:space="preserve"> </w:t>
      </w:r>
      <w:r w:rsidRPr="00B75B77">
        <w:t xml:space="preserve">bulbs installations </w:t>
      </w:r>
      <w:r w:rsidR="00423552" w:rsidRPr="00B75B77">
        <w:t xml:space="preserve">as </w:t>
      </w:r>
      <w:r w:rsidRPr="00B75B77">
        <w:t xml:space="preserve">compared to non-program bulbs. The results support the theory that program incentives do not greatly influence the proportion of bulbs that customers purchase for their homes versus their businesses. It is also worth noting that </w:t>
      </w:r>
      <w:r w:rsidR="00363261" w:rsidRPr="00B75B77">
        <w:t>nonresidential</w:t>
      </w:r>
      <w:r w:rsidRPr="00B75B77">
        <w:t xml:space="preserve"> installation of CFLs are greatly influenced by a single customer who purchased 12 program bulbs that were to be installed in the common areas of an apartment building. </w:t>
      </w:r>
    </w:p>
    <w:p w:rsidR="00156005" w:rsidRPr="00B75B77" w:rsidRDefault="00156005" w:rsidP="00722C85">
      <w:pPr>
        <w:keepNext/>
        <w:jc w:val="center"/>
      </w:pPr>
    </w:p>
    <w:p w:rsidR="00156005" w:rsidRPr="00B75B77" w:rsidRDefault="00156005" w:rsidP="00037B84">
      <w:pPr>
        <w:pStyle w:val="Caption"/>
        <w:keepNext w:val="0"/>
      </w:pPr>
      <w:bookmarkStart w:id="257" w:name="_Ref464056620"/>
      <w:bookmarkStart w:id="258" w:name="_Toc466413510"/>
      <w:r w:rsidRPr="00B75B77">
        <w:t xml:space="preserve">Table </w:t>
      </w:r>
      <w:r w:rsidR="00237810">
        <w:fldChar w:fldCharType="begin"/>
      </w:r>
      <w:r w:rsidR="00237810">
        <w:instrText xml:space="preserve"> STYLEREF</w:instrText>
      </w:r>
      <w:r w:rsidR="00237810">
        <w:instrText xml:space="preserve"> 1 \s </w:instrText>
      </w:r>
      <w:r w:rsidR="00237810">
        <w:fldChar w:fldCharType="separate"/>
      </w:r>
      <w:r w:rsidR="0004016D">
        <w:rPr>
          <w:noProof/>
        </w:rPr>
        <w:t>2</w:t>
      </w:r>
      <w:r w:rsidR="00237810">
        <w:rPr>
          <w:noProof/>
        </w:rPr>
        <w:fldChar w:fldCharType="end"/>
      </w:r>
      <w:r w:rsidR="00F1144C" w:rsidRPr="00B75B77">
        <w:noBreakHyphen/>
      </w:r>
      <w:r w:rsidR="00237810">
        <w:fldChar w:fldCharType="begin"/>
      </w:r>
      <w:r w:rsidR="00237810">
        <w:instrText xml:space="preserve"> SEQ Table \* ARABIC \s 1 </w:instrText>
      </w:r>
      <w:r w:rsidR="00237810">
        <w:fldChar w:fldCharType="separate"/>
      </w:r>
      <w:r w:rsidR="0004016D">
        <w:rPr>
          <w:noProof/>
        </w:rPr>
        <w:t>5</w:t>
      </w:r>
      <w:r w:rsidR="00237810">
        <w:rPr>
          <w:noProof/>
        </w:rPr>
        <w:fldChar w:fldCharType="end"/>
      </w:r>
      <w:bookmarkEnd w:id="257"/>
      <w:r w:rsidRPr="00B75B77">
        <w:t xml:space="preserve">: </w:t>
      </w:r>
      <w:r w:rsidR="00363261" w:rsidRPr="00B75B77">
        <w:t>Nonresidential</w:t>
      </w:r>
      <w:r w:rsidRPr="00B75B77">
        <w:t xml:space="preserve"> Installation Rate and Verified Energy and Demand Savings </w:t>
      </w:r>
      <w:r w:rsidR="00423552" w:rsidRPr="00B75B77">
        <w:t xml:space="preserve">for </w:t>
      </w:r>
      <w:r w:rsidRPr="00B75B77">
        <w:t>All Bulb Purchases</w:t>
      </w:r>
      <w:bookmarkEnd w:id="258"/>
    </w:p>
    <w:tbl>
      <w:tblPr>
        <w:tblStyle w:val="PECOTeal"/>
        <w:tblW w:w="9360" w:type="dxa"/>
        <w:jc w:val="center"/>
        <w:tblLook w:val="04A0" w:firstRow="1" w:lastRow="0" w:firstColumn="1" w:lastColumn="0" w:noHBand="0" w:noVBand="1"/>
      </w:tblPr>
      <w:tblGrid>
        <w:gridCol w:w="2267"/>
        <w:gridCol w:w="1329"/>
        <w:gridCol w:w="1329"/>
        <w:gridCol w:w="1329"/>
        <w:gridCol w:w="1616"/>
        <w:gridCol w:w="1490"/>
      </w:tblGrid>
      <w:tr w:rsidR="00156005" w:rsidRPr="00B75B77" w:rsidTr="0042355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1" w:type="pct"/>
          </w:tcPr>
          <w:p w:rsidR="00156005" w:rsidRPr="00B75B77" w:rsidRDefault="00156005" w:rsidP="00037B84">
            <w:pPr>
              <w:pStyle w:val="TableHeader"/>
              <w:keepNext w:val="0"/>
              <w:keepLines w:val="0"/>
              <w:spacing w:before="0"/>
              <w:jc w:val="left"/>
              <w:rPr>
                <w:b/>
                <w:color w:val="FFFFFF" w:themeColor="background1"/>
              </w:rPr>
            </w:pPr>
            <w:r w:rsidRPr="00B75B77">
              <w:rPr>
                <w:b/>
                <w:color w:val="FFFFFF" w:themeColor="background1"/>
              </w:rPr>
              <w:t>Bulb Type</w:t>
            </w:r>
          </w:p>
        </w:tc>
        <w:tc>
          <w:tcPr>
            <w:tcW w:w="710" w:type="pct"/>
          </w:tcPr>
          <w:p w:rsidR="00156005" w:rsidRPr="00B75B77" w:rsidRDefault="00156005" w:rsidP="00037B84">
            <w:pPr>
              <w:pStyle w:val="TableHeader"/>
              <w:keepNext w:val="0"/>
              <w:keepLines w:val="0"/>
              <w:spacing w:before="0"/>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Business Respondents</w:t>
            </w:r>
          </w:p>
        </w:tc>
        <w:tc>
          <w:tcPr>
            <w:tcW w:w="710" w:type="pct"/>
          </w:tcPr>
          <w:p w:rsidR="00156005" w:rsidRPr="00B75B77" w:rsidRDefault="00156005" w:rsidP="00037B84">
            <w:pPr>
              <w:pStyle w:val="TableHeader"/>
              <w:keepNext w:val="0"/>
              <w:keepLines w:val="0"/>
              <w:spacing w:before="0"/>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Business Bulbs</w:t>
            </w:r>
          </w:p>
        </w:tc>
        <w:tc>
          <w:tcPr>
            <w:tcW w:w="710" w:type="pct"/>
          </w:tcPr>
          <w:p w:rsidR="00156005" w:rsidRPr="00B75B77" w:rsidRDefault="00156005" w:rsidP="00442C8B">
            <w:pPr>
              <w:pStyle w:val="TableHeader"/>
              <w:keepNext w:val="0"/>
              <w:keepLines w:val="0"/>
              <w:spacing w:before="0"/>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Installation Rate</w:t>
            </w:r>
          </w:p>
        </w:tc>
        <w:tc>
          <w:tcPr>
            <w:tcW w:w="863" w:type="pct"/>
          </w:tcPr>
          <w:p w:rsidR="00156005" w:rsidRPr="00B75B77" w:rsidRDefault="00156005" w:rsidP="00442C8B">
            <w:pPr>
              <w:pStyle w:val="TableHeader"/>
              <w:keepNext w:val="0"/>
              <w:keepLines w:val="0"/>
              <w:spacing w:before="0"/>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Energy Savings (MWh)</w:t>
            </w:r>
            <w:r w:rsidR="00442C8B" w:rsidRPr="00B75B77">
              <w:rPr>
                <w:rFonts w:ascii="Calibri" w:eastAsia="Times New Roman" w:hAnsi="Calibri"/>
                <w:b/>
                <w:bCs/>
                <w:color w:val="FFFFFF"/>
                <w:vertAlign w:val="superscript"/>
              </w:rPr>
              <w:t xml:space="preserve"> </w:t>
            </w:r>
          </w:p>
        </w:tc>
        <w:tc>
          <w:tcPr>
            <w:tcW w:w="796" w:type="pct"/>
          </w:tcPr>
          <w:p w:rsidR="00156005" w:rsidRPr="00B75B77" w:rsidRDefault="00156005" w:rsidP="00037B84">
            <w:pPr>
              <w:pStyle w:val="TableHeader"/>
              <w:keepNext w:val="0"/>
              <w:keepLines w:val="0"/>
              <w:spacing w:before="0"/>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Demand Reduction (MW)</w:t>
            </w:r>
          </w:p>
        </w:tc>
      </w:tr>
      <w:tr w:rsidR="00156005" w:rsidRPr="00B75B77" w:rsidTr="00423552">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211" w:type="pct"/>
          </w:tcPr>
          <w:p w:rsidR="00156005" w:rsidRPr="00B75B77" w:rsidRDefault="00156005" w:rsidP="00037B84">
            <w:pPr>
              <w:pStyle w:val="TableText"/>
              <w:keepNext w:val="0"/>
              <w:keepLines w:val="0"/>
              <w:spacing w:before="0"/>
              <w:rPr>
                <w:b w:val="0"/>
              </w:rPr>
            </w:pPr>
            <w:r w:rsidRPr="00B75B77">
              <w:rPr>
                <w:b w:val="0"/>
              </w:rPr>
              <w:t>CFL</w:t>
            </w:r>
          </w:p>
        </w:tc>
        <w:tc>
          <w:tcPr>
            <w:tcW w:w="710" w:type="pct"/>
          </w:tcPr>
          <w:p w:rsidR="00156005" w:rsidRPr="00B75B77" w:rsidRDefault="00156005" w:rsidP="00037B84">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szCs w:val="18"/>
              </w:rPr>
              <w:t>7</w:t>
            </w:r>
          </w:p>
        </w:tc>
        <w:tc>
          <w:tcPr>
            <w:tcW w:w="710" w:type="pct"/>
          </w:tcPr>
          <w:p w:rsidR="00156005" w:rsidRPr="00B75B77" w:rsidRDefault="00156005" w:rsidP="00037B84">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szCs w:val="18"/>
              </w:rPr>
              <w:t>33</w:t>
            </w:r>
          </w:p>
        </w:tc>
        <w:tc>
          <w:tcPr>
            <w:tcW w:w="710" w:type="pct"/>
          </w:tcPr>
          <w:p w:rsidR="00156005" w:rsidRPr="00B75B77" w:rsidRDefault="00156005" w:rsidP="00037B84">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szCs w:val="18"/>
              </w:rPr>
              <w:t>9.8%</w:t>
            </w:r>
          </w:p>
        </w:tc>
        <w:tc>
          <w:tcPr>
            <w:tcW w:w="863" w:type="pct"/>
          </w:tcPr>
          <w:p w:rsidR="00156005" w:rsidRPr="00B75B77" w:rsidRDefault="00156005" w:rsidP="00037B84">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rFonts w:ascii="Calibri" w:hAnsi="Calibri"/>
                <w:color w:val="000000"/>
                <w:szCs w:val="18"/>
              </w:rPr>
              <w:t>19,580</w:t>
            </w:r>
          </w:p>
        </w:tc>
        <w:tc>
          <w:tcPr>
            <w:tcW w:w="796" w:type="pct"/>
          </w:tcPr>
          <w:p w:rsidR="00156005" w:rsidRPr="00B75B77" w:rsidRDefault="00156005" w:rsidP="00037B84">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rFonts w:ascii="Calibri" w:hAnsi="Calibri"/>
                <w:color w:val="000000"/>
                <w:szCs w:val="18"/>
              </w:rPr>
              <w:t>3.7</w:t>
            </w:r>
          </w:p>
        </w:tc>
      </w:tr>
      <w:tr w:rsidR="00156005" w:rsidRPr="00B75B77" w:rsidTr="00423552">
        <w:trPr>
          <w:cnfStyle w:val="000000010000" w:firstRow="0" w:lastRow="0" w:firstColumn="0" w:lastColumn="0" w:oddVBand="0" w:evenVBand="0" w:oddHBand="0" w:evenHBand="1"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211" w:type="pct"/>
          </w:tcPr>
          <w:p w:rsidR="00156005" w:rsidRPr="00B75B77" w:rsidRDefault="00156005" w:rsidP="00037B84">
            <w:pPr>
              <w:pStyle w:val="TableText"/>
              <w:keepNext w:val="0"/>
              <w:keepLines w:val="0"/>
              <w:spacing w:before="0"/>
              <w:rPr>
                <w:b w:val="0"/>
              </w:rPr>
            </w:pPr>
            <w:r w:rsidRPr="00B75B77">
              <w:rPr>
                <w:b w:val="0"/>
              </w:rPr>
              <w:t>LED (Standard)</w:t>
            </w:r>
          </w:p>
        </w:tc>
        <w:tc>
          <w:tcPr>
            <w:tcW w:w="710" w:type="pct"/>
          </w:tcPr>
          <w:p w:rsidR="00156005" w:rsidRPr="00B75B77" w:rsidRDefault="00156005" w:rsidP="00037B84">
            <w:pPr>
              <w:jc w:val="center"/>
              <w:cnfStyle w:val="000000010000" w:firstRow="0" w:lastRow="0" w:firstColumn="0" w:lastColumn="0" w:oddVBand="0" w:evenVBand="0" w:oddHBand="0" w:evenHBand="1" w:firstRowFirstColumn="0" w:firstRowLastColumn="0" w:lastRowFirstColumn="0" w:lastRowLastColumn="0"/>
              <w:rPr>
                <w:szCs w:val="18"/>
              </w:rPr>
            </w:pPr>
            <w:r w:rsidRPr="00B75B77">
              <w:rPr>
                <w:szCs w:val="18"/>
              </w:rPr>
              <w:t>3</w:t>
            </w:r>
          </w:p>
        </w:tc>
        <w:tc>
          <w:tcPr>
            <w:tcW w:w="710" w:type="pct"/>
          </w:tcPr>
          <w:p w:rsidR="00156005" w:rsidRPr="00B75B77" w:rsidRDefault="00156005" w:rsidP="00037B84">
            <w:pPr>
              <w:jc w:val="center"/>
              <w:cnfStyle w:val="000000010000" w:firstRow="0" w:lastRow="0" w:firstColumn="0" w:lastColumn="0" w:oddVBand="0" w:evenVBand="0" w:oddHBand="0" w:evenHBand="1" w:firstRowFirstColumn="0" w:firstRowLastColumn="0" w:lastRowFirstColumn="0" w:lastRowLastColumn="0"/>
              <w:rPr>
                <w:szCs w:val="18"/>
              </w:rPr>
            </w:pPr>
            <w:r w:rsidRPr="00B75B77">
              <w:rPr>
                <w:szCs w:val="18"/>
              </w:rPr>
              <w:t>11.5</w:t>
            </w:r>
          </w:p>
        </w:tc>
        <w:tc>
          <w:tcPr>
            <w:tcW w:w="710" w:type="pct"/>
          </w:tcPr>
          <w:p w:rsidR="00156005" w:rsidRPr="00B75B77" w:rsidRDefault="00156005" w:rsidP="00037B84">
            <w:pPr>
              <w:jc w:val="center"/>
              <w:cnfStyle w:val="000000010000" w:firstRow="0" w:lastRow="0" w:firstColumn="0" w:lastColumn="0" w:oddVBand="0" w:evenVBand="0" w:oddHBand="0" w:evenHBand="1" w:firstRowFirstColumn="0" w:firstRowLastColumn="0" w:lastRowFirstColumn="0" w:lastRowLastColumn="0"/>
              <w:rPr>
                <w:szCs w:val="18"/>
              </w:rPr>
            </w:pPr>
            <w:r w:rsidRPr="00B75B77">
              <w:rPr>
                <w:szCs w:val="18"/>
              </w:rPr>
              <w:t>1.8%</w:t>
            </w:r>
          </w:p>
        </w:tc>
        <w:tc>
          <w:tcPr>
            <w:tcW w:w="863" w:type="pct"/>
          </w:tcPr>
          <w:p w:rsidR="00156005" w:rsidRPr="00B75B77" w:rsidRDefault="00156005" w:rsidP="00037B84">
            <w:pPr>
              <w:jc w:val="center"/>
              <w:cnfStyle w:val="000000010000" w:firstRow="0" w:lastRow="0" w:firstColumn="0" w:lastColumn="0" w:oddVBand="0" w:evenVBand="0" w:oddHBand="0" w:evenHBand="1" w:firstRowFirstColumn="0" w:firstRowLastColumn="0" w:lastRowFirstColumn="0" w:lastRowLastColumn="0"/>
              <w:rPr>
                <w:szCs w:val="18"/>
              </w:rPr>
            </w:pPr>
            <w:r w:rsidRPr="00B75B77">
              <w:rPr>
                <w:rFonts w:ascii="Calibri" w:hAnsi="Calibri"/>
                <w:color w:val="000000"/>
                <w:szCs w:val="18"/>
              </w:rPr>
              <w:t>2,035</w:t>
            </w:r>
          </w:p>
        </w:tc>
        <w:tc>
          <w:tcPr>
            <w:tcW w:w="796" w:type="pct"/>
          </w:tcPr>
          <w:p w:rsidR="00156005" w:rsidRPr="00B75B77" w:rsidRDefault="00156005" w:rsidP="00037B84">
            <w:pPr>
              <w:jc w:val="center"/>
              <w:cnfStyle w:val="000000010000" w:firstRow="0" w:lastRow="0" w:firstColumn="0" w:lastColumn="0" w:oddVBand="0" w:evenVBand="0" w:oddHBand="0" w:evenHBand="1" w:firstRowFirstColumn="0" w:firstRowLastColumn="0" w:lastRowFirstColumn="0" w:lastRowLastColumn="0"/>
              <w:rPr>
                <w:szCs w:val="18"/>
              </w:rPr>
            </w:pPr>
            <w:r w:rsidRPr="00B75B77">
              <w:rPr>
                <w:rFonts w:ascii="Calibri" w:hAnsi="Calibri"/>
                <w:color w:val="000000"/>
                <w:szCs w:val="18"/>
              </w:rPr>
              <w:t>0.4</w:t>
            </w:r>
          </w:p>
        </w:tc>
      </w:tr>
      <w:tr w:rsidR="00156005" w:rsidRPr="00B75B77" w:rsidTr="00423552">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211" w:type="pct"/>
          </w:tcPr>
          <w:p w:rsidR="00156005" w:rsidRPr="00B75B77" w:rsidRDefault="00156005" w:rsidP="00037B84">
            <w:pPr>
              <w:pStyle w:val="TableText"/>
              <w:keepNext w:val="0"/>
              <w:keepLines w:val="0"/>
              <w:spacing w:before="0"/>
              <w:rPr>
                <w:b w:val="0"/>
              </w:rPr>
            </w:pPr>
            <w:r w:rsidRPr="00B75B77">
              <w:rPr>
                <w:b w:val="0"/>
              </w:rPr>
              <w:t>LED (Specialty)</w:t>
            </w:r>
          </w:p>
        </w:tc>
        <w:tc>
          <w:tcPr>
            <w:tcW w:w="710" w:type="pct"/>
          </w:tcPr>
          <w:p w:rsidR="00156005" w:rsidRPr="00B75B77" w:rsidRDefault="00156005" w:rsidP="00037B84">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szCs w:val="18"/>
              </w:rPr>
              <w:t>7</w:t>
            </w:r>
          </w:p>
        </w:tc>
        <w:tc>
          <w:tcPr>
            <w:tcW w:w="710" w:type="pct"/>
          </w:tcPr>
          <w:p w:rsidR="00156005" w:rsidRPr="00B75B77" w:rsidRDefault="00156005" w:rsidP="00037B84">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szCs w:val="18"/>
              </w:rPr>
              <w:t>21.5</w:t>
            </w:r>
          </w:p>
        </w:tc>
        <w:tc>
          <w:tcPr>
            <w:tcW w:w="710" w:type="pct"/>
          </w:tcPr>
          <w:p w:rsidR="00156005" w:rsidRPr="00B75B77" w:rsidRDefault="00156005" w:rsidP="00037B84">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szCs w:val="18"/>
              </w:rPr>
              <w:t>4.7%</w:t>
            </w:r>
          </w:p>
        </w:tc>
        <w:tc>
          <w:tcPr>
            <w:tcW w:w="863" w:type="pct"/>
          </w:tcPr>
          <w:p w:rsidR="00156005" w:rsidRPr="00B75B77" w:rsidRDefault="00156005" w:rsidP="00037B84">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rFonts w:ascii="Calibri" w:hAnsi="Calibri"/>
                <w:color w:val="000000"/>
                <w:szCs w:val="18"/>
              </w:rPr>
              <w:t>9,882</w:t>
            </w:r>
          </w:p>
        </w:tc>
        <w:tc>
          <w:tcPr>
            <w:tcW w:w="796" w:type="pct"/>
          </w:tcPr>
          <w:p w:rsidR="00156005" w:rsidRPr="00B75B77" w:rsidRDefault="00156005" w:rsidP="00037B84">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rFonts w:ascii="Calibri" w:hAnsi="Calibri"/>
                <w:color w:val="000000"/>
                <w:szCs w:val="18"/>
              </w:rPr>
              <w:t>1.9</w:t>
            </w:r>
          </w:p>
        </w:tc>
      </w:tr>
      <w:tr w:rsidR="00156005" w:rsidRPr="00B75B77" w:rsidTr="00423552">
        <w:trPr>
          <w:cnfStyle w:val="000000010000" w:firstRow="0" w:lastRow="0" w:firstColumn="0" w:lastColumn="0" w:oddVBand="0" w:evenVBand="0" w:oddHBand="0" w:evenHBand="1"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211" w:type="pct"/>
          </w:tcPr>
          <w:p w:rsidR="00156005" w:rsidRPr="00B75B77" w:rsidRDefault="00423552" w:rsidP="00037B84">
            <w:pPr>
              <w:pStyle w:val="TableHeader"/>
              <w:keepNext w:val="0"/>
              <w:keepLines w:val="0"/>
              <w:spacing w:before="0"/>
              <w:jc w:val="left"/>
              <w:rPr>
                <w:b/>
              </w:rPr>
            </w:pPr>
            <w:r w:rsidRPr="00B75B77">
              <w:rPr>
                <w:b/>
              </w:rPr>
              <w:t>ALL BULB TYPES</w:t>
            </w:r>
          </w:p>
        </w:tc>
        <w:tc>
          <w:tcPr>
            <w:tcW w:w="710" w:type="pct"/>
          </w:tcPr>
          <w:p w:rsidR="00156005" w:rsidRPr="00B75B77" w:rsidRDefault="00156005" w:rsidP="00037B84">
            <w:pPr>
              <w:jc w:val="center"/>
              <w:cnfStyle w:val="000000010000" w:firstRow="0" w:lastRow="0" w:firstColumn="0" w:lastColumn="0" w:oddVBand="0" w:evenVBand="0" w:oddHBand="0" w:evenHBand="1" w:firstRowFirstColumn="0" w:firstRowLastColumn="0" w:lastRowFirstColumn="0" w:lastRowLastColumn="0"/>
              <w:rPr>
                <w:b/>
                <w:szCs w:val="18"/>
              </w:rPr>
            </w:pPr>
            <w:r w:rsidRPr="00B75B77">
              <w:rPr>
                <w:b/>
                <w:szCs w:val="18"/>
              </w:rPr>
              <w:t>17</w:t>
            </w:r>
          </w:p>
        </w:tc>
        <w:tc>
          <w:tcPr>
            <w:tcW w:w="710" w:type="pct"/>
          </w:tcPr>
          <w:p w:rsidR="00156005" w:rsidRPr="00B75B77" w:rsidRDefault="00156005" w:rsidP="00037B84">
            <w:pPr>
              <w:jc w:val="center"/>
              <w:cnfStyle w:val="000000010000" w:firstRow="0" w:lastRow="0" w:firstColumn="0" w:lastColumn="0" w:oddVBand="0" w:evenVBand="0" w:oddHBand="0" w:evenHBand="1" w:firstRowFirstColumn="0" w:firstRowLastColumn="0" w:lastRowFirstColumn="0" w:lastRowLastColumn="0"/>
              <w:rPr>
                <w:b/>
                <w:szCs w:val="18"/>
              </w:rPr>
            </w:pPr>
            <w:r w:rsidRPr="00B75B77">
              <w:rPr>
                <w:b/>
                <w:szCs w:val="18"/>
              </w:rPr>
              <w:t>66</w:t>
            </w:r>
          </w:p>
        </w:tc>
        <w:tc>
          <w:tcPr>
            <w:tcW w:w="710" w:type="pct"/>
          </w:tcPr>
          <w:p w:rsidR="00156005" w:rsidRPr="00B75B77" w:rsidRDefault="00156005" w:rsidP="00037B84">
            <w:pPr>
              <w:jc w:val="center"/>
              <w:cnfStyle w:val="000000010000" w:firstRow="0" w:lastRow="0" w:firstColumn="0" w:lastColumn="0" w:oddVBand="0" w:evenVBand="0" w:oddHBand="0" w:evenHBand="1" w:firstRowFirstColumn="0" w:firstRowLastColumn="0" w:lastRowFirstColumn="0" w:lastRowLastColumn="0"/>
              <w:rPr>
                <w:b/>
                <w:szCs w:val="18"/>
                <w:vertAlign w:val="superscript"/>
              </w:rPr>
            </w:pPr>
            <w:r w:rsidRPr="00B75B77">
              <w:rPr>
                <w:b/>
                <w:szCs w:val="18"/>
              </w:rPr>
              <w:t>6.2%</w:t>
            </w:r>
            <w:r w:rsidRPr="00B75B77">
              <w:rPr>
                <w:b/>
                <w:szCs w:val="18"/>
                <w:vertAlign w:val="superscript"/>
              </w:rPr>
              <w:t>[1]</w:t>
            </w:r>
          </w:p>
        </w:tc>
        <w:tc>
          <w:tcPr>
            <w:tcW w:w="863" w:type="pct"/>
          </w:tcPr>
          <w:p w:rsidR="00156005" w:rsidRPr="00B75B77" w:rsidRDefault="00156005" w:rsidP="00037B84">
            <w:pPr>
              <w:jc w:val="center"/>
              <w:cnfStyle w:val="000000010000" w:firstRow="0" w:lastRow="0" w:firstColumn="0" w:lastColumn="0" w:oddVBand="0" w:evenVBand="0" w:oddHBand="0" w:evenHBand="1" w:firstRowFirstColumn="0" w:firstRowLastColumn="0" w:lastRowFirstColumn="0" w:lastRowLastColumn="0"/>
              <w:rPr>
                <w:b/>
                <w:szCs w:val="18"/>
                <w:vertAlign w:val="superscript"/>
              </w:rPr>
            </w:pPr>
            <w:r w:rsidRPr="00B75B77">
              <w:rPr>
                <w:b/>
                <w:szCs w:val="18"/>
              </w:rPr>
              <w:t>31,496</w:t>
            </w:r>
            <w:r w:rsidRPr="00B75B77">
              <w:rPr>
                <w:b/>
                <w:szCs w:val="18"/>
                <w:vertAlign w:val="superscript"/>
              </w:rPr>
              <w:t>[2]</w:t>
            </w:r>
          </w:p>
        </w:tc>
        <w:tc>
          <w:tcPr>
            <w:tcW w:w="796" w:type="pct"/>
          </w:tcPr>
          <w:p w:rsidR="00156005" w:rsidRPr="00B75B77" w:rsidRDefault="00156005" w:rsidP="00037B84">
            <w:pPr>
              <w:jc w:val="center"/>
              <w:cnfStyle w:val="000000010000" w:firstRow="0" w:lastRow="0" w:firstColumn="0" w:lastColumn="0" w:oddVBand="0" w:evenVBand="0" w:oddHBand="0" w:evenHBand="1" w:firstRowFirstColumn="0" w:firstRowLastColumn="0" w:lastRowFirstColumn="0" w:lastRowLastColumn="0"/>
              <w:rPr>
                <w:b/>
                <w:szCs w:val="18"/>
              </w:rPr>
            </w:pPr>
            <w:r w:rsidRPr="00B75B77">
              <w:rPr>
                <w:b/>
                <w:szCs w:val="18"/>
              </w:rPr>
              <w:t>6.0</w:t>
            </w:r>
          </w:p>
        </w:tc>
      </w:tr>
    </w:tbl>
    <w:p w:rsidR="00156005" w:rsidRPr="00B75B77" w:rsidRDefault="00156005" w:rsidP="00037B84">
      <w:pPr>
        <w:pStyle w:val="Source"/>
        <w:spacing w:after="20"/>
        <w:ind w:left="90" w:firstLine="0"/>
        <w:rPr>
          <w:i w:val="0"/>
        </w:rPr>
      </w:pPr>
      <w:r w:rsidRPr="00B75B77">
        <w:rPr>
          <w:i w:val="0"/>
          <w:vertAlign w:val="superscript"/>
        </w:rPr>
        <w:t>[1]</w:t>
      </w:r>
      <w:r w:rsidRPr="00B75B77">
        <w:rPr>
          <w:i w:val="0"/>
        </w:rPr>
        <w:t xml:space="preserve"> Total </w:t>
      </w:r>
      <w:r w:rsidR="00363261" w:rsidRPr="00B75B77">
        <w:rPr>
          <w:i w:val="0"/>
        </w:rPr>
        <w:t>nonresidential</w:t>
      </w:r>
      <w:r w:rsidRPr="00B75B77">
        <w:rPr>
          <w:i w:val="0"/>
        </w:rPr>
        <w:t xml:space="preserve"> installation rate is a weighted average of the bulb-level weights using the final program bulb sales, by type, as the weight. </w:t>
      </w:r>
      <w:r w:rsidRPr="00B75B77">
        <w:rPr>
          <w:i w:val="0"/>
        </w:rPr>
        <w:br/>
      </w:r>
      <w:r w:rsidRPr="00B75B77">
        <w:rPr>
          <w:i w:val="0"/>
          <w:vertAlign w:val="superscript"/>
        </w:rPr>
        <w:t>[2]</w:t>
      </w:r>
      <w:r w:rsidRPr="00B75B77">
        <w:rPr>
          <w:i w:val="0"/>
        </w:rPr>
        <w:t xml:space="preserve"> The total savings values are not equal to the sum of the savings per bulb type due to weighting. The total </w:t>
      </w:r>
      <w:r w:rsidR="00363261" w:rsidRPr="00B75B77">
        <w:rPr>
          <w:i w:val="0"/>
        </w:rPr>
        <w:t>nonresidential</w:t>
      </w:r>
      <w:r w:rsidRPr="00B75B77">
        <w:rPr>
          <w:i w:val="0"/>
        </w:rPr>
        <w:t xml:space="preserve"> savings </w:t>
      </w:r>
      <w:r w:rsidR="00324A27" w:rsidRPr="00B75B77">
        <w:rPr>
          <w:i w:val="0"/>
        </w:rPr>
        <w:t>were</w:t>
      </w:r>
      <w:r w:rsidRPr="00B75B77">
        <w:rPr>
          <w:i w:val="0"/>
        </w:rPr>
        <w:t xml:space="preserve"> calculated as the product of the total program savings and the sales-weighted average of the three bulb types’ </w:t>
      </w:r>
      <w:r w:rsidR="00363261" w:rsidRPr="00B75B77">
        <w:rPr>
          <w:i w:val="0"/>
        </w:rPr>
        <w:t>nonresidential</w:t>
      </w:r>
      <w:r w:rsidRPr="00B75B77">
        <w:rPr>
          <w:i w:val="0"/>
        </w:rPr>
        <w:t xml:space="preserve"> install percentages rather than the summing </w:t>
      </w:r>
      <w:r w:rsidR="008C6BF3" w:rsidRPr="00B75B77">
        <w:rPr>
          <w:i w:val="0"/>
        </w:rPr>
        <w:t xml:space="preserve">of </w:t>
      </w:r>
      <w:r w:rsidRPr="00B75B77">
        <w:rPr>
          <w:i w:val="0"/>
        </w:rPr>
        <w:t>the energy savings associated with each bulb type.</w:t>
      </w:r>
    </w:p>
    <w:p w:rsidR="00156005" w:rsidRPr="00B75B77" w:rsidRDefault="00156005" w:rsidP="00037B84">
      <w:pPr>
        <w:pStyle w:val="Source"/>
        <w:ind w:hanging="630"/>
      </w:pPr>
      <w:r w:rsidRPr="00B75B77">
        <w:t>Source: Navigant analysis</w:t>
      </w:r>
    </w:p>
    <w:p w:rsidR="00156005" w:rsidRPr="00B75B77" w:rsidRDefault="00156005" w:rsidP="00DB2FF2">
      <w:pPr>
        <w:pStyle w:val="Caption"/>
      </w:pPr>
      <w:bookmarkStart w:id="259" w:name="_Ref464056632"/>
      <w:bookmarkStart w:id="260" w:name="_Toc466413511"/>
      <w:r w:rsidRPr="00B75B77">
        <w:lastRenderedPageBreak/>
        <w:t xml:space="preserve">Table </w:t>
      </w:r>
      <w:r w:rsidR="00237810">
        <w:fldChar w:fldCharType="begin"/>
      </w:r>
      <w:r w:rsidR="00237810">
        <w:instrText xml:space="preserve"> STYLEREF 1 \s </w:instrText>
      </w:r>
      <w:r w:rsidR="00237810">
        <w:fldChar w:fldCharType="separate"/>
      </w:r>
      <w:r w:rsidR="0004016D">
        <w:rPr>
          <w:noProof/>
        </w:rPr>
        <w:t>2</w:t>
      </w:r>
      <w:r w:rsidR="00237810">
        <w:rPr>
          <w:noProof/>
        </w:rPr>
        <w:fldChar w:fldCharType="end"/>
      </w:r>
      <w:r w:rsidR="00F1144C" w:rsidRPr="00B75B77">
        <w:noBreakHyphen/>
      </w:r>
      <w:r w:rsidR="00237810">
        <w:fldChar w:fldCharType="begin"/>
      </w:r>
      <w:r w:rsidR="00237810">
        <w:instrText xml:space="preserve"> SEQ Table \* ARABIC \s 1 </w:instrText>
      </w:r>
      <w:r w:rsidR="00237810">
        <w:fldChar w:fldCharType="separate"/>
      </w:r>
      <w:r w:rsidR="0004016D">
        <w:rPr>
          <w:noProof/>
        </w:rPr>
        <w:t>6</w:t>
      </w:r>
      <w:r w:rsidR="00237810">
        <w:rPr>
          <w:noProof/>
        </w:rPr>
        <w:fldChar w:fldCharType="end"/>
      </w:r>
      <w:bookmarkEnd w:id="259"/>
      <w:r w:rsidRPr="00B75B77">
        <w:t xml:space="preserve">: </w:t>
      </w:r>
      <w:r w:rsidR="00363261" w:rsidRPr="00B75B77">
        <w:t>Nonresidential</w:t>
      </w:r>
      <w:r w:rsidRPr="00B75B77">
        <w:t xml:space="preserve"> Installation Rate and Verified Energy and Demand Savings Analyzed by Program Bulb Purchases Only</w:t>
      </w:r>
      <w:bookmarkEnd w:id="260"/>
    </w:p>
    <w:tbl>
      <w:tblPr>
        <w:tblStyle w:val="PECOTeal"/>
        <w:tblW w:w="9360" w:type="dxa"/>
        <w:jc w:val="center"/>
        <w:tblLook w:val="04A0" w:firstRow="1" w:lastRow="0" w:firstColumn="1" w:lastColumn="0" w:noHBand="0" w:noVBand="1"/>
      </w:tblPr>
      <w:tblGrid>
        <w:gridCol w:w="2267"/>
        <w:gridCol w:w="1329"/>
        <w:gridCol w:w="1329"/>
        <w:gridCol w:w="1329"/>
        <w:gridCol w:w="1616"/>
        <w:gridCol w:w="1490"/>
      </w:tblGrid>
      <w:tr w:rsidR="00156005" w:rsidRPr="00B75B77" w:rsidTr="0042355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1" w:type="pct"/>
          </w:tcPr>
          <w:p w:rsidR="00156005" w:rsidRPr="00B75B77" w:rsidRDefault="00156005" w:rsidP="00423552">
            <w:pPr>
              <w:pStyle w:val="TableHeader"/>
              <w:spacing w:before="0"/>
              <w:jc w:val="left"/>
              <w:rPr>
                <w:b/>
                <w:color w:val="FFFFFF" w:themeColor="background1"/>
              </w:rPr>
            </w:pPr>
            <w:r w:rsidRPr="00B75B77">
              <w:rPr>
                <w:b/>
                <w:color w:val="FFFFFF" w:themeColor="background1"/>
              </w:rPr>
              <w:t>Bulb Type</w:t>
            </w:r>
          </w:p>
        </w:tc>
        <w:tc>
          <w:tcPr>
            <w:tcW w:w="710" w:type="pct"/>
          </w:tcPr>
          <w:p w:rsidR="00156005" w:rsidRPr="00B75B77" w:rsidRDefault="00156005" w:rsidP="00423552">
            <w:pPr>
              <w:pStyle w:val="TableHeader"/>
              <w:spacing w:before="0"/>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Business Respondents</w:t>
            </w:r>
          </w:p>
        </w:tc>
        <w:tc>
          <w:tcPr>
            <w:tcW w:w="710" w:type="pct"/>
          </w:tcPr>
          <w:p w:rsidR="00156005" w:rsidRPr="00B75B77" w:rsidRDefault="00423552" w:rsidP="00423552">
            <w:pPr>
              <w:pStyle w:val="TableHeader"/>
              <w:spacing w:before="0"/>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 xml:space="preserve">Business Bulbs </w:t>
            </w:r>
          </w:p>
        </w:tc>
        <w:tc>
          <w:tcPr>
            <w:tcW w:w="710" w:type="pct"/>
          </w:tcPr>
          <w:p w:rsidR="00156005" w:rsidRPr="00B75B77" w:rsidRDefault="00156005" w:rsidP="00423552">
            <w:pPr>
              <w:pStyle w:val="TableHeader"/>
              <w:spacing w:before="0"/>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Installation Rate</w:t>
            </w:r>
          </w:p>
        </w:tc>
        <w:tc>
          <w:tcPr>
            <w:tcW w:w="863" w:type="pct"/>
          </w:tcPr>
          <w:p w:rsidR="00156005" w:rsidRPr="00B75B77" w:rsidRDefault="00156005" w:rsidP="00423552">
            <w:pPr>
              <w:pStyle w:val="TableHeader"/>
              <w:spacing w:before="0"/>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Energy Savings (MWh)</w:t>
            </w:r>
          </w:p>
        </w:tc>
        <w:tc>
          <w:tcPr>
            <w:tcW w:w="796" w:type="pct"/>
          </w:tcPr>
          <w:p w:rsidR="00156005" w:rsidRPr="00B75B77" w:rsidRDefault="00156005" w:rsidP="00423552">
            <w:pPr>
              <w:pStyle w:val="TableHeader"/>
              <w:spacing w:before="0"/>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Demand Reduction (MW)</w:t>
            </w:r>
          </w:p>
        </w:tc>
      </w:tr>
      <w:tr w:rsidR="00156005" w:rsidRPr="00B75B77" w:rsidTr="00423552">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211" w:type="pct"/>
          </w:tcPr>
          <w:p w:rsidR="00156005" w:rsidRPr="00B75B77" w:rsidRDefault="00156005" w:rsidP="00423552">
            <w:pPr>
              <w:pStyle w:val="TableText"/>
              <w:spacing w:before="0"/>
              <w:rPr>
                <w:b w:val="0"/>
              </w:rPr>
            </w:pPr>
            <w:r w:rsidRPr="00B75B77">
              <w:rPr>
                <w:b w:val="0"/>
              </w:rPr>
              <w:t>CFL</w:t>
            </w:r>
          </w:p>
        </w:tc>
        <w:tc>
          <w:tcPr>
            <w:tcW w:w="710" w:type="pct"/>
          </w:tcPr>
          <w:p w:rsidR="00156005" w:rsidRPr="00B75B77" w:rsidRDefault="00156005" w:rsidP="00423552">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szCs w:val="18"/>
              </w:rPr>
              <w:t>2</w:t>
            </w:r>
          </w:p>
        </w:tc>
        <w:tc>
          <w:tcPr>
            <w:tcW w:w="710" w:type="pct"/>
          </w:tcPr>
          <w:p w:rsidR="00156005" w:rsidRPr="00B75B77" w:rsidRDefault="00156005" w:rsidP="00423552">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rFonts w:ascii="Calibri" w:hAnsi="Calibri"/>
                <w:color w:val="000000"/>
                <w:szCs w:val="18"/>
              </w:rPr>
              <w:t>16</w:t>
            </w:r>
          </w:p>
        </w:tc>
        <w:tc>
          <w:tcPr>
            <w:tcW w:w="710" w:type="pct"/>
          </w:tcPr>
          <w:p w:rsidR="00156005" w:rsidRPr="00B75B77" w:rsidRDefault="00156005" w:rsidP="00423552">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rFonts w:ascii="Calibri" w:hAnsi="Calibri"/>
                <w:color w:val="000000"/>
                <w:szCs w:val="18"/>
              </w:rPr>
              <w:t>11.0%</w:t>
            </w:r>
          </w:p>
        </w:tc>
        <w:tc>
          <w:tcPr>
            <w:tcW w:w="863" w:type="pct"/>
          </w:tcPr>
          <w:p w:rsidR="00156005" w:rsidRPr="00B75B77" w:rsidRDefault="00156005" w:rsidP="00423552">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rFonts w:ascii="Calibri" w:hAnsi="Calibri"/>
                <w:color w:val="000000"/>
                <w:szCs w:val="18"/>
              </w:rPr>
              <w:t>21,977</w:t>
            </w:r>
          </w:p>
        </w:tc>
        <w:tc>
          <w:tcPr>
            <w:tcW w:w="796" w:type="pct"/>
          </w:tcPr>
          <w:p w:rsidR="00156005" w:rsidRPr="00B75B77" w:rsidRDefault="00156005" w:rsidP="00423552">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rFonts w:ascii="Calibri" w:hAnsi="Calibri"/>
                <w:color w:val="000000"/>
                <w:szCs w:val="18"/>
              </w:rPr>
              <w:t>4.2</w:t>
            </w:r>
          </w:p>
        </w:tc>
      </w:tr>
      <w:tr w:rsidR="00156005" w:rsidRPr="00B75B77" w:rsidTr="00423552">
        <w:trPr>
          <w:cnfStyle w:val="000000010000" w:firstRow="0" w:lastRow="0" w:firstColumn="0" w:lastColumn="0" w:oddVBand="0" w:evenVBand="0" w:oddHBand="0" w:evenHBand="1"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211" w:type="pct"/>
          </w:tcPr>
          <w:p w:rsidR="00156005" w:rsidRPr="00B75B77" w:rsidRDefault="00156005" w:rsidP="00423552">
            <w:pPr>
              <w:pStyle w:val="TableText"/>
              <w:spacing w:before="0"/>
              <w:rPr>
                <w:b w:val="0"/>
              </w:rPr>
            </w:pPr>
            <w:r w:rsidRPr="00B75B77">
              <w:rPr>
                <w:b w:val="0"/>
              </w:rPr>
              <w:t>LED (Standard)</w:t>
            </w:r>
          </w:p>
        </w:tc>
        <w:tc>
          <w:tcPr>
            <w:tcW w:w="710" w:type="pct"/>
          </w:tcPr>
          <w:p w:rsidR="00156005" w:rsidRPr="00B75B77" w:rsidRDefault="00156005" w:rsidP="00423552">
            <w:pPr>
              <w:jc w:val="center"/>
              <w:cnfStyle w:val="000000010000" w:firstRow="0" w:lastRow="0" w:firstColumn="0" w:lastColumn="0" w:oddVBand="0" w:evenVBand="0" w:oddHBand="0" w:evenHBand="1" w:firstRowFirstColumn="0" w:firstRowLastColumn="0" w:lastRowFirstColumn="0" w:lastRowLastColumn="0"/>
              <w:rPr>
                <w:szCs w:val="18"/>
              </w:rPr>
            </w:pPr>
            <w:r w:rsidRPr="00B75B77">
              <w:rPr>
                <w:szCs w:val="18"/>
              </w:rPr>
              <w:t>2</w:t>
            </w:r>
          </w:p>
        </w:tc>
        <w:tc>
          <w:tcPr>
            <w:tcW w:w="710" w:type="pct"/>
          </w:tcPr>
          <w:p w:rsidR="00156005" w:rsidRPr="00B75B77" w:rsidRDefault="00156005" w:rsidP="00423552">
            <w:pPr>
              <w:jc w:val="center"/>
              <w:cnfStyle w:val="000000010000" w:firstRow="0" w:lastRow="0" w:firstColumn="0" w:lastColumn="0" w:oddVBand="0" w:evenVBand="0" w:oddHBand="0" w:evenHBand="1" w:firstRowFirstColumn="0" w:firstRowLastColumn="0" w:lastRowFirstColumn="0" w:lastRowLastColumn="0"/>
              <w:rPr>
                <w:szCs w:val="18"/>
              </w:rPr>
            </w:pPr>
            <w:r w:rsidRPr="00B75B77">
              <w:rPr>
                <w:rFonts w:ascii="Calibri" w:hAnsi="Calibri"/>
                <w:color w:val="000000"/>
                <w:szCs w:val="18"/>
              </w:rPr>
              <w:t>5.5</w:t>
            </w:r>
          </w:p>
        </w:tc>
        <w:tc>
          <w:tcPr>
            <w:tcW w:w="710" w:type="pct"/>
          </w:tcPr>
          <w:p w:rsidR="00156005" w:rsidRPr="00B75B77" w:rsidRDefault="00156005" w:rsidP="00423552">
            <w:pPr>
              <w:jc w:val="center"/>
              <w:cnfStyle w:val="000000010000" w:firstRow="0" w:lastRow="0" w:firstColumn="0" w:lastColumn="0" w:oddVBand="0" w:evenVBand="0" w:oddHBand="0" w:evenHBand="1" w:firstRowFirstColumn="0" w:firstRowLastColumn="0" w:lastRowFirstColumn="0" w:lastRowLastColumn="0"/>
              <w:rPr>
                <w:szCs w:val="18"/>
              </w:rPr>
            </w:pPr>
            <w:r w:rsidRPr="00B75B77">
              <w:rPr>
                <w:rFonts w:ascii="Calibri" w:hAnsi="Calibri"/>
                <w:color w:val="000000"/>
                <w:szCs w:val="18"/>
              </w:rPr>
              <w:t>1.3%</w:t>
            </w:r>
          </w:p>
        </w:tc>
        <w:tc>
          <w:tcPr>
            <w:tcW w:w="863" w:type="pct"/>
          </w:tcPr>
          <w:p w:rsidR="00156005" w:rsidRPr="00B75B77" w:rsidRDefault="00156005" w:rsidP="00423552">
            <w:pPr>
              <w:jc w:val="center"/>
              <w:cnfStyle w:val="000000010000" w:firstRow="0" w:lastRow="0" w:firstColumn="0" w:lastColumn="0" w:oddVBand="0" w:evenVBand="0" w:oddHBand="0" w:evenHBand="1" w:firstRowFirstColumn="0" w:firstRowLastColumn="0" w:lastRowFirstColumn="0" w:lastRowLastColumn="0"/>
              <w:rPr>
                <w:szCs w:val="18"/>
              </w:rPr>
            </w:pPr>
            <w:r w:rsidRPr="00B75B77">
              <w:rPr>
                <w:rFonts w:ascii="Calibri" w:hAnsi="Calibri"/>
                <w:color w:val="000000"/>
                <w:szCs w:val="18"/>
              </w:rPr>
              <w:t>1,469</w:t>
            </w:r>
          </w:p>
        </w:tc>
        <w:tc>
          <w:tcPr>
            <w:tcW w:w="796" w:type="pct"/>
          </w:tcPr>
          <w:p w:rsidR="00156005" w:rsidRPr="00B75B77" w:rsidRDefault="00156005" w:rsidP="00423552">
            <w:pPr>
              <w:jc w:val="center"/>
              <w:cnfStyle w:val="000000010000" w:firstRow="0" w:lastRow="0" w:firstColumn="0" w:lastColumn="0" w:oddVBand="0" w:evenVBand="0" w:oddHBand="0" w:evenHBand="1" w:firstRowFirstColumn="0" w:firstRowLastColumn="0" w:lastRowFirstColumn="0" w:lastRowLastColumn="0"/>
              <w:rPr>
                <w:szCs w:val="18"/>
              </w:rPr>
            </w:pPr>
            <w:r w:rsidRPr="00B75B77">
              <w:rPr>
                <w:rFonts w:ascii="Calibri" w:hAnsi="Calibri"/>
                <w:color w:val="000000"/>
                <w:szCs w:val="18"/>
              </w:rPr>
              <w:t>0.3</w:t>
            </w:r>
          </w:p>
        </w:tc>
      </w:tr>
      <w:tr w:rsidR="00156005" w:rsidRPr="00B75B77" w:rsidTr="00423552">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211" w:type="pct"/>
          </w:tcPr>
          <w:p w:rsidR="00156005" w:rsidRPr="00B75B77" w:rsidRDefault="00156005" w:rsidP="00423552">
            <w:pPr>
              <w:pStyle w:val="TableText"/>
              <w:spacing w:before="0"/>
              <w:rPr>
                <w:b w:val="0"/>
              </w:rPr>
            </w:pPr>
            <w:r w:rsidRPr="00B75B77">
              <w:rPr>
                <w:b w:val="0"/>
              </w:rPr>
              <w:t>LED (Specialty)</w:t>
            </w:r>
          </w:p>
        </w:tc>
        <w:tc>
          <w:tcPr>
            <w:tcW w:w="710" w:type="pct"/>
          </w:tcPr>
          <w:p w:rsidR="00156005" w:rsidRPr="00B75B77" w:rsidRDefault="00156005" w:rsidP="00423552">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szCs w:val="18"/>
              </w:rPr>
              <w:t>5</w:t>
            </w:r>
          </w:p>
        </w:tc>
        <w:tc>
          <w:tcPr>
            <w:tcW w:w="710" w:type="pct"/>
          </w:tcPr>
          <w:p w:rsidR="00156005" w:rsidRPr="00B75B77" w:rsidRDefault="00156005" w:rsidP="00423552">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rFonts w:ascii="Calibri" w:hAnsi="Calibri"/>
                <w:color w:val="000000"/>
                <w:szCs w:val="18"/>
              </w:rPr>
              <w:t>16.5</w:t>
            </w:r>
          </w:p>
        </w:tc>
        <w:tc>
          <w:tcPr>
            <w:tcW w:w="710" w:type="pct"/>
          </w:tcPr>
          <w:p w:rsidR="00156005" w:rsidRPr="00B75B77" w:rsidRDefault="00156005" w:rsidP="00423552">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rFonts w:ascii="Calibri" w:hAnsi="Calibri"/>
                <w:color w:val="000000"/>
                <w:szCs w:val="18"/>
              </w:rPr>
              <w:t>7.3%</w:t>
            </w:r>
          </w:p>
        </w:tc>
        <w:tc>
          <w:tcPr>
            <w:tcW w:w="863" w:type="pct"/>
          </w:tcPr>
          <w:p w:rsidR="00156005" w:rsidRPr="00B75B77" w:rsidRDefault="00156005" w:rsidP="00423552">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rFonts w:ascii="Calibri" w:hAnsi="Calibri"/>
                <w:color w:val="000000"/>
                <w:szCs w:val="18"/>
              </w:rPr>
              <w:t>15,348</w:t>
            </w:r>
          </w:p>
        </w:tc>
        <w:tc>
          <w:tcPr>
            <w:tcW w:w="796" w:type="pct"/>
          </w:tcPr>
          <w:p w:rsidR="00156005" w:rsidRPr="00B75B77" w:rsidRDefault="00156005" w:rsidP="00423552">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rFonts w:ascii="Calibri" w:hAnsi="Calibri"/>
                <w:color w:val="000000"/>
                <w:szCs w:val="18"/>
              </w:rPr>
              <w:t>2.9</w:t>
            </w:r>
          </w:p>
        </w:tc>
      </w:tr>
      <w:tr w:rsidR="00156005" w:rsidRPr="00B75B77" w:rsidTr="00423552">
        <w:trPr>
          <w:cnfStyle w:val="000000010000" w:firstRow="0" w:lastRow="0" w:firstColumn="0" w:lastColumn="0" w:oddVBand="0" w:evenVBand="0" w:oddHBand="0" w:evenHBand="1"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211" w:type="pct"/>
          </w:tcPr>
          <w:p w:rsidR="00156005" w:rsidRPr="00B75B77" w:rsidRDefault="00423552" w:rsidP="00423552">
            <w:pPr>
              <w:pStyle w:val="TableHeader"/>
              <w:spacing w:before="0"/>
              <w:jc w:val="left"/>
              <w:rPr>
                <w:b/>
              </w:rPr>
            </w:pPr>
            <w:r w:rsidRPr="00B75B77">
              <w:rPr>
                <w:b/>
              </w:rPr>
              <w:t>ALL BULB TYPES</w:t>
            </w:r>
          </w:p>
        </w:tc>
        <w:tc>
          <w:tcPr>
            <w:tcW w:w="710" w:type="pct"/>
          </w:tcPr>
          <w:p w:rsidR="00156005" w:rsidRPr="00B75B77" w:rsidRDefault="00156005" w:rsidP="00423552">
            <w:pPr>
              <w:jc w:val="center"/>
              <w:cnfStyle w:val="000000010000" w:firstRow="0" w:lastRow="0" w:firstColumn="0" w:lastColumn="0" w:oddVBand="0" w:evenVBand="0" w:oddHBand="0" w:evenHBand="1" w:firstRowFirstColumn="0" w:firstRowLastColumn="0" w:lastRowFirstColumn="0" w:lastRowLastColumn="0"/>
              <w:rPr>
                <w:b/>
                <w:szCs w:val="18"/>
              </w:rPr>
            </w:pPr>
            <w:r w:rsidRPr="00B75B77">
              <w:rPr>
                <w:b/>
                <w:szCs w:val="18"/>
              </w:rPr>
              <w:t>9</w:t>
            </w:r>
          </w:p>
        </w:tc>
        <w:tc>
          <w:tcPr>
            <w:tcW w:w="710" w:type="pct"/>
          </w:tcPr>
          <w:p w:rsidR="00156005" w:rsidRPr="00B75B77" w:rsidRDefault="00156005" w:rsidP="00423552">
            <w:pPr>
              <w:jc w:val="center"/>
              <w:cnfStyle w:val="000000010000" w:firstRow="0" w:lastRow="0" w:firstColumn="0" w:lastColumn="0" w:oddVBand="0" w:evenVBand="0" w:oddHBand="0" w:evenHBand="1" w:firstRowFirstColumn="0" w:firstRowLastColumn="0" w:lastRowFirstColumn="0" w:lastRowLastColumn="0"/>
              <w:rPr>
                <w:b/>
                <w:szCs w:val="18"/>
              </w:rPr>
            </w:pPr>
            <w:r w:rsidRPr="00B75B77">
              <w:rPr>
                <w:rFonts w:ascii="Calibri" w:hAnsi="Calibri"/>
                <w:b/>
                <w:color w:val="000000"/>
                <w:szCs w:val="18"/>
              </w:rPr>
              <w:t>38</w:t>
            </w:r>
          </w:p>
        </w:tc>
        <w:tc>
          <w:tcPr>
            <w:tcW w:w="710" w:type="pct"/>
          </w:tcPr>
          <w:p w:rsidR="00156005" w:rsidRPr="00B75B77" w:rsidRDefault="00156005" w:rsidP="00423552">
            <w:pPr>
              <w:jc w:val="center"/>
              <w:cnfStyle w:val="000000010000" w:firstRow="0" w:lastRow="0" w:firstColumn="0" w:lastColumn="0" w:oddVBand="0" w:evenVBand="0" w:oddHBand="0" w:evenHBand="1" w:firstRowFirstColumn="0" w:firstRowLastColumn="0" w:lastRowFirstColumn="0" w:lastRowLastColumn="0"/>
              <w:rPr>
                <w:b/>
                <w:szCs w:val="18"/>
                <w:vertAlign w:val="superscript"/>
              </w:rPr>
            </w:pPr>
            <w:r w:rsidRPr="00B75B77">
              <w:rPr>
                <w:rFonts w:ascii="Calibri" w:hAnsi="Calibri"/>
                <w:b/>
                <w:color w:val="000000"/>
                <w:szCs w:val="18"/>
              </w:rPr>
              <w:t>7.3%</w:t>
            </w:r>
            <w:r w:rsidRPr="00B75B77">
              <w:rPr>
                <w:rFonts w:ascii="Calibri" w:hAnsi="Calibri"/>
                <w:b/>
                <w:color w:val="000000"/>
                <w:szCs w:val="18"/>
                <w:vertAlign w:val="superscript"/>
              </w:rPr>
              <w:t>[1]</w:t>
            </w:r>
          </w:p>
        </w:tc>
        <w:tc>
          <w:tcPr>
            <w:tcW w:w="863" w:type="pct"/>
          </w:tcPr>
          <w:p w:rsidR="00156005" w:rsidRPr="00B75B77" w:rsidRDefault="00156005" w:rsidP="00423552">
            <w:pPr>
              <w:jc w:val="center"/>
              <w:cnfStyle w:val="000000010000" w:firstRow="0" w:lastRow="0" w:firstColumn="0" w:lastColumn="0" w:oddVBand="0" w:evenVBand="0" w:oddHBand="0" w:evenHBand="1" w:firstRowFirstColumn="0" w:firstRowLastColumn="0" w:lastRowFirstColumn="0" w:lastRowLastColumn="0"/>
              <w:rPr>
                <w:b/>
                <w:szCs w:val="18"/>
              </w:rPr>
            </w:pPr>
            <w:r w:rsidRPr="00B75B77">
              <w:rPr>
                <w:rFonts w:ascii="Calibri" w:hAnsi="Calibri"/>
                <w:b/>
                <w:color w:val="000000"/>
                <w:szCs w:val="18"/>
              </w:rPr>
              <w:t>38,795</w:t>
            </w:r>
          </w:p>
        </w:tc>
        <w:tc>
          <w:tcPr>
            <w:tcW w:w="796" w:type="pct"/>
          </w:tcPr>
          <w:p w:rsidR="00156005" w:rsidRPr="00B75B77" w:rsidRDefault="00156005" w:rsidP="00423552">
            <w:pPr>
              <w:jc w:val="center"/>
              <w:cnfStyle w:val="000000010000" w:firstRow="0" w:lastRow="0" w:firstColumn="0" w:lastColumn="0" w:oddVBand="0" w:evenVBand="0" w:oddHBand="0" w:evenHBand="1" w:firstRowFirstColumn="0" w:firstRowLastColumn="0" w:lastRowFirstColumn="0" w:lastRowLastColumn="0"/>
              <w:rPr>
                <w:b/>
                <w:szCs w:val="18"/>
              </w:rPr>
            </w:pPr>
            <w:r w:rsidRPr="00B75B77">
              <w:rPr>
                <w:rFonts w:ascii="Calibri" w:hAnsi="Calibri"/>
                <w:b/>
                <w:color w:val="000000"/>
                <w:szCs w:val="18"/>
              </w:rPr>
              <w:t>7.3</w:t>
            </w:r>
          </w:p>
        </w:tc>
      </w:tr>
    </w:tbl>
    <w:p w:rsidR="00156005" w:rsidRPr="00B75B77" w:rsidRDefault="00156005" w:rsidP="00423552">
      <w:pPr>
        <w:pStyle w:val="Source"/>
        <w:spacing w:after="20"/>
        <w:ind w:left="90" w:firstLine="0"/>
        <w:rPr>
          <w:i w:val="0"/>
        </w:rPr>
      </w:pPr>
      <w:r w:rsidRPr="00B75B77">
        <w:rPr>
          <w:i w:val="0"/>
          <w:vertAlign w:val="superscript"/>
        </w:rPr>
        <w:t xml:space="preserve">[1] </w:t>
      </w:r>
      <w:r w:rsidRPr="00B75B77">
        <w:rPr>
          <w:i w:val="0"/>
        </w:rPr>
        <w:t xml:space="preserve">Total </w:t>
      </w:r>
      <w:r w:rsidR="00363261" w:rsidRPr="00B75B77">
        <w:rPr>
          <w:i w:val="0"/>
        </w:rPr>
        <w:t>nonresidential</w:t>
      </w:r>
      <w:r w:rsidRPr="00B75B77">
        <w:rPr>
          <w:i w:val="0"/>
        </w:rPr>
        <w:t xml:space="preserve"> installation rate is a weighted average of the bulb-level weights using the final program bulb sales, by type, as the weight. </w:t>
      </w:r>
    </w:p>
    <w:p w:rsidR="00156005" w:rsidRPr="00B75B77" w:rsidRDefault="00156005" w:rsidP="00423552">
      <w:pPr>
        <w:pStyle w:val="Source"/>
        <w:ind w:hanging="630"/>
      </w:pPr>
      <w:r w:rsidRPr="00B75B77">
        <w:t>Source: Navigant analysis</w:t>
      </w:r>
    </w:p>
    <w:p w:rsidR="00156005" w:rsidRPr="00B75B77" w:rsidRDefault="00156005" w:rsidP="00722C85">
      <w:pPr>
        <w:pStyle w:val="Heading2"/>
        <w:keepNext/>
        <w:keepLines/>
      </w:pPr>
      <w:bookmarkStart w:id="261" w:name="_Toc466413279"/>
      <w:r w:rsidRPr="00B75B77">
        <w:t>Impact Evaluation Net Savings</w:t>
      </w:r>
      <w:bookmarkEnd w:id="261"/>
    </w:p>
    <w:p w:rsidR="00156005" w:rsidRPr="00B75B77" w:rsidRDefault="00156005" w:rsidP="00722C85">
      <w:pPr>
        <w:keepNext/>
        <w:keepLines/>
      </w:pPr>
      <w:r w:rsidRPr="00B75B77">
        <w:t>This section describes the methods for calculating the PY7 NTG values for both lighting and non-lighting.</w:t>
      </w:r>
    </w:p>
    <w:p w:rsidR="00156005" w:rsidRPr="00B75B77" w:rsidRDefault="00156005" w:rsidP="00722C85">
      <w:pPr>
        <w:keepNext/>
        <w:keepLines/>
      </w:pPr>
    </w:p>
    <w:p w:rsidR="00156005" w:rsidRPr="00B75B77" w:rsidRDefault="00156005" w:rsidP="00DB2FF2">
      <w:pPr>
        <w:pStyle w:val="Heading3"/>
      </w:pPr>
      <w:bookmarkStart w:id="262" w:name="_Toc466413280"/>
      <w:r w:rsidRPr="00B75B77">
        <w:t>Net Verified Savings Methodology</w:t>
      </w:r>
      <w:bookmarkEnd w:id="262"/>
      <w:r w:rsidRPr="00B75B77">
        <w:t xml:space="preserve"> </w:t>
      </w:r>
    </w:p>
    <w:p w:rsidR="00156005" w:rsidRPr="00B75B77" w:rsidRDefault="00156005" w:rsidP="00722C85">
      <w:pPr>
        <w:pStyle w:val="NormalSpacer"/>
      </w:pPr>
      <w:r w:rsidRPr="00B75B77">
        <w:t>The evaluation team used several data sources in its evaluation of net impacts across the lighting and non-lighting end</w:t>
      </w:r>
      <w:r w:rsidR="00AF5657" w:rsidRPr="00B75B77">
        <w:t xml:space="preserve"> </w:t>
      </w:r>
      <w:r w:rsidRPr="00B75B77">
        <w:t xml:space="preserve">uses. </w:t>
      </w:r>
    </w:p>
    <w:p w:rsidR="00156005" w:rsidRPr="00B75B77" w:rsidRDefault="00156005" w:rsidP="00722C85">
      <w:pPr>
        <w:keepNext/>
        <w:keepLines/>
        <w:rPr>
          <w:rFonts w:ascii="Palatino Linotype" w:hAnsi="Palatino Linotype"/>
          <w:sz w:val="20"/>
          <w:szCs w:val="20"/>
        </w:rPr>
      </w:pPr>
    </w:p>
    <w:p w:rsidR="00156005" w:rsidRPr="00B75B77" w:rsidRDefault="00156005" w:rsidP="009E08FB">
      <w:pPr>
        <w:pStyle w:val="ListParagraph"/>
        <w:numPr>
          <w:ilvl w:val="0"/>
          <w:numId w:val="93"/>
        </w:numPr>
      </w:pPr>
      <w:r w:rsidRPr="00B75B77">
        <w:rPr>
          <w:b/>
        </w:rPr>
        <w:t xml:space="preserve">Intercept </w:t>
      </w:r>
      <w:r w:rsidR="00DB2FF2" w:rsidRPr="00B75B77">
        <w:rPr>
          <w:b/>
        </w:rPr>
        <w:t>s</w:t>
      </w:r>
      <w:r w:rsidRPr="00B75B77">
        <w:rPr>
          <w:b/>
        </w:rPr>
        <w:t>urveys.</w:t>
      </w:r>
      <w:r w:rsidRPr="00B75B77">
        <w:t xml:space="preserve"> Navigant based the sample of retail stores for the intercept surveys on the proportion of total PY7 program bulb sales by retail channel, subject to permission from individual store managers and retail chains to collect data in their stores. From a strict program compliance standpoint, the target sample size for completed in-store intercept surveys with program bulb purchasers was 76 based on an evaluation objective of meeting 85/15 confidence/precision for a customer self-reported NTG. The evaluation team planned to complete 360 intercept surveys with program bulb purchasers—800 surveys in total—to enable analysis at the bulb type level (</w:t>
      </w:r>
      <w:r w:rsidR="00653A61" w:rsidRPr="00B75B77">
        <w:t>s</w:t>
      </w:r>
      <w:r w:rsidRPr="00B75B77">
        <w:t xml:space="preserve">tandard LEDs, </w:t>
      </w:r>
      <w:r w:rsidR="00653A61" w:rsidRPr="00B75B77">
        <w:t>s</w:t>
      </w:r>
      <w:r w:rsidRPr="00B75B77">
        <w:t>pecialty LEDs, and CFLs).</w:t>
      </w:r>
      <w:r w:rsidRPr="00B75B77">
        <w:rPr>
          <w:rStyle w:val="FootnoteReference"/>
        </w:rPr>
        <w:footnoteReference w:id="13"/>
      </w:r>
      <w:r w:rsidRPr="00B75B77">
        <w:t xml:space="preserve"> However, as shown in </w:t>
      </w:r>
      <w:r w:rsidRPr="00B75B77">
        <w:fldChar w:fldCharType="begin"/>
      </w:r>
      <w:r w:rsidRPr="00B75B77">
        <w:instrText xml:space="preserve"> REF _Ref463813326 \h </w:instrText>
      </w:r>
      <w:r w:rsidR="00B75B77">
        <w:instrText xml:space="preserve"> \* MERGEFORMAT </w:instrText>
      </w:r>
      <w:r w:rsidRPr="00B75B77">
        <w:fldChar w:fldCharType="separate"/>
      </w:r>
      <w:r w:rsidR="0004016D" w:rsidRPr="00B75B77">
        <w:t xml:space="preserve">Table </w:t>
      </w:r>
      <w:r w:rsidR="0004016D">
        <w:rPr>
          <w:noProof/>
        </w:rPr>
        <w:t>2</w:t>
      </w:r>
      <w:r w:rsidR="0004016D" w:rsidRPr="00B75B77">
        <w:rPr>
          <w:noProof/>
        </w:rPr>
        <w:noBreakHyphen/>
      </w:r>
      <w:r w:rsidR="0004016D">
        <w:rPr>
          <w:noProof/>
        </w:rPr>
        <w:t>7</w:t>
      </w:r>
      <w:r w:rsidRPr="00B75B77">
        <w:fldChar w:fldCharType="end"/>
      </w:r>
      <w:r w:rsidRPr="00B75B77">
        <w:t>, the team was only able to complete 198 surveys with program bulb purchasers—330 surveys in total—due to less</w:t>
      </w:r>
      <w:r w:rsidR="00653A61" w:rsidRPr="00B75B77">
        <w:t>-</w:t>
      </w:r>
      <w:r w:rsidRPr="00B75B77">
        <w:t>than</w:t>
      </w:r>
      <w:r w:rsidR="00653A61" w:rsidRPr="00B75B77">
        <w:t>-</w:t>
      </w:r>
      <w:r w:rsidRPr="00B75B77">
        <w:t xml:space="preserve">expected store traffic and store scheduling issues. </w:t>
      </w:r>
    </w:p>
    <w:p w:rsidR="00156005" w:rsidRPr="00B75B77" w:rsidRDefault="00156005" w:rsidP="00722C85"/>
    <w:p w:rsidR="00156005" w:rsidRPr="00B75B77" w:rsidRDefault="00156005" w:rsidP="009E08FB">
      <w:pPr>
        <w:pStyle w:val="NormalSpacer"/>
        <w:numPr>
          <w:ilvl w:val="0"/>
          <w:numId w:val="93"/>
        </w:numPr>
      </w:pPr>
      <w:r w:rsidRPr="00B75B77">
        <w:rPr>
          <w:b/>
        </w:rPr>
        <w:t xml:space="preserve">Shelf </w:t>
      </w:r>
      <w:r w:rsidR="00DB2FF2" w:rsidRPr="00B75B77">
        <w:rPr>
          <w:b/>
        </w:rPr>
        <w:t>s</w:t>
      </w:r>
      <w:r w:rsidRPr="00B75B77">
        <w:rPr>
          <w:b/>
        </w:rPr>
        <w:t>urveys.</w:t>
      </w:r>
      <w:r w:rsidRPr="00B75B77">
        <w:t xml:space="preserve"> Navigant conducted most shelf surveys in the same stores as the intercept surveys. The </w:t>
      </w:r>
      <w:r w:rsidR="00653A61" w:rsidRPr="00B75B77">
        <w:t xml:space="preserve">evaluation </w:t>
      </w:r>
      <w:r w:rsidRPr="00B75B77">
        <w:t>team collected data for all CFL, LED, incandescent, and halogen bulbs, including bulb model number, manufacturer, bulb type, specialty type, wattage, baseline equivalent wattage, lumens, location in the store, approximate number of packages, price, original price (if discounted), and source of discount (if discounted). The shelf survey was conducted in tandem with the in-store intercept surveys. In total, the evaluation team conducted shelf surveys in 17 stores. By retailer, these store</w:t>
      </w:r>
      <w:r w:rsidR="00653A61" w:rsidRPr="00B75B77">
        <w:t>s</w:t>
      </w:r>
      <w:r w:rsidRPr="00B75B77">
        <w:t xml:space="preserve"> included Home Depot (7), Lowe</w:t>
      </w:r>
      <w:r w:rsidR="00653A61" w:rsidRPr="00B75B77">
        <w:t>’</w:t>
      </w:r>
      <w:r w:rsidRPr="00B75B77">
        <w:t xml:space="preserve">s (3), Walmart (2), Denney Electric (2), Sam’s Club (1), Target (1), and Goodwill (1). </w:t>
      </w:r>
    </w:p>
    <w:p w:rsidR="00156005" w:rsidRPr="00B75B77" w:rsidRDefault="00156005" w:rsidP="00722C85"/>
    <w:p w:rsidR="00156005" w:rsidRPr="00B75B77" w:rsidRDefault="00156005" w:rsidP="009E08FB">
      <w:pPr>
        <w:pStyle w:val="ListParagraph"/>
        <w:numPr>
          <w:ilvl w:val="0"/>
          <w:numId w:val="93"/>
        </w:numPr>
        <w:rPr>
          <w:b/>
        </w:rPr>
      </w:pPr>
      <w:r w:rsidRPr="00B75B77">
        <w:rPr>
          <w:b/>
        </w:rPr>
        <w:t>Non-</w:t>
      </w:r>
      <w:r w:rsidR="00DB2FF2" w:rsidRPr="00B75B77">
        <w:rPr>
          <w:b/>
        </w:rPr>
        <w:t>l</w:t>
      </w:r>
      <w:r w:rsidRPr="00B75B77">
        <w:rPr>
          <w:b/>
        </w:rPr>
        <w:t xml:space="preserve">ighting </w:t>
      </w:r>
      <w:r w:rsidR="00DB2FF2" w:rsidRPr="00B75B77">
        <w:rPr>
          <w:b/>
        </w:rPr>
        <w:t>p</w:t>
      </w:r>
      <w:r w:rsidRPr="00B75B77">
        <w:rPr>
          <w:b/>
        </w:rPr>
        <w:t xml:space="preserve">articipant </w:t>
      </w:r>
      <w:r w:rsidR="00DB2FF2" w:rsidRPr="00B75B77">
        <w:rPr>
          <w:b/>
        </w:rPr>
        <w:t>s</w:t>
      </w:r>
      <w:r w:rsidRPr="00B75B77">
        <w:rPr>
          <w:b/>
        </w:rPr>
        <w:t xml:space="preserve">urveys. </w:t>
      </w:r>
      <w:r w:rsidRPr="00B75B77">
        <w:t xml:space="preserve">The </w:t>
      </w:r>
      <w:r w:rsidR="00653A61" w:rsidRPr="00B75B77">
        <w:t xml:space="preserve">evaluation </w:t>
      </w:r>
      <w:r w:rsidRPr="00B75B77">
        <w:t>team stratified the non-lighting population of participants by end-use categor</w:t>
      </w:r>
      <w:r w:rsidR="00653A61" w:rsidRPr="00B75B77">
        <w:t>y–a</w:t>
      </w:r>
      <w:r w:rsidRPr="00B75B77">
        <w:t>ppliances and HVAC</w:t>
      </w:r>
      <w:r w:rsidR="00653A61" w:rsidRPr="00B75B77">
        <w:t>—</w:t>
      </w:r>
      <w:r w:rsidRPr="00B75B77">
        <w:t xml:space="preserve">and drew a sample of 100 participants </w:t>
      </w:r>
      <w:r w:rsidRPr="00B75B77">
        <w:lastRenderedPageBreak/>
        <w:t xml:space="preserve">from each </w:t>
      </w:r>
      <w:proofErr w:type="gramStart"/>
      <w:r w:rsidRPr="00B75B77">
        <w:t>strata</w:t>
      </w:r>
      <w:proofErr w:type="gramEnd"/>
      <w:r w:rsidRPr="00B75B77">
        <w:t>. The team asked these participants a battery of NTG questions to inform the final calculations (</w:t>
      </w:r>
      <w:r w:rsidRPr="00B75B77">
        <w:fldChar w:fldCharType="begin"/>
      </w:r>
      <w:r w:rsidRPr="00B75B77">
        <w:instrText xml:space="preserve"> REF _Ref463813326 \h </w:instrText>
      </w:r>
      <w:r w:rsidR="00B75B77">
        <w:instrText xml:space="preserve"> \* MERGEFORMAT </w:instrText>
      </w:r>
      <w:r w:rsidRPr="00B75B77">
        <w:fldChar w:fldCharType="separate"/>
      </w:r>
      <w:r w:rsidR="0004016D" w:rsidRPr="00B75B77">
        <w:t xml:space="preserve">Table </w:t>
      </w:r>
      <w:r w:rsidR="0004016D">
        <w:rPr>
          <w:noProof/>
        </w:rPr>
        <w:t>2</w:t>
      </w:r>
      <w:r w:rsidR="0004016D" w:rsidRPr="00B75B77">
        <w:rPr>
          <w:noProof/>
        </w:rPr>
        <w:noBreakHyphen/>
      </w:r>
      <w:r w:rsidR="0004016D">
        <w:rPr>
          <w:noProof/>
        </w:rPr>
        <w:t>7</w:t>
      </w:r>
      <w:r w:rsidRPr="00B75B77">
        <w:fldChar w:fldCharType="end"/>
      </w:r>
      <w:r w:rsidRPr="00B75B77">
        <w:t>).</w:t>
      </w:r>
      <w:r w:rsidRPr="00B75B77">
        <w:rPr>
          <w:b/>
        </w:rPr>
        <w:t xml:space="preserve"> </w:t>
      </w:r>
    </w:p>
    <w:p w:rsidR="00156005" w:rsidRPr="00B75B77" w:rsidRDefault="00156005" w:rsidP="00722C85">
      <w:pPr>
        <w:rPr>
          <w:b/>
        </w:rPr>
      </w:pPr>
    </w:p>
    <w:p w:rsidR="00156005" w:rsidRPr="00B75B77" w:rsidRDefault="00156005" w:rsidP="00722C85">
      <w:pPr>
        <w:pStyle w:val="Caption"/>
        <w:keepLines/>
      </w:pPr>
      <w:bookmarkStart w:id="263" w:name="_Ref463813326"/>
      <w:bookmarkStart w:id="264" w:name="_Toc466413512"/>
      <w:r w:rsidRPr="00B75B77">
        <w:t xml:space="preserve">Table </w:t>
      </w:r>
      <w:fldSimple w:instr=" STYLEREF 1 \s ">
        <w:r w:rsidR="0004016D">
          <w:rPr>
            <w:noProof/>
          </w:rPr>
          <w:t>2</w:t>
        </w:r>
      </w:fldSimple>
      <w:r w:rsidR="00F1144C" w:rsidRPr="00B75B77">
        <w:noBreakHyphen/>
      </w:r>
      <w:fldSimple w:instr=" SEQ Table \* ARABIC \s 1 ">
        <w:r w:rsidR="0004016D">
          <w:rPr>
            <w:noProof/>
          </w:rPr>
          <w:t>7</w:t>
        </w:r>
      </w:fldSimple>
      <w:bookmarkEnd w:id="263"/>
      <w:r w:rsidRPr="00B75B77">
        <w:t>: Smart Home Rebates Sampling Strategy for PY7 NTG Research</w:t>
      </w:r>
      <w:bookmarkEnd w:id="264"/>
    </w:p>
    <w:tbl>
      <w:tblPr>
        <w:tblW w:w="9355" w:type="dxa"/>
        <w:tblLook w:val="04A0" w:firstRow="1" w:lastRow="0" w:firstColumn="1" w:lastColumn="0" w:noHBand="0" w:noVBand="1"/>
      </w:tblPr>
      <w:tblGrid>
        <w:gridCol w:w="1615"/>
        <w:gridCol w:w="1170"/>
        <w:gridCol w:w="1440"/>
        <w:gridCol w:w="1260"/>
        <w:gridCol w:w="1260"/>
        <w:gridCol w:w="1440"/>
        <w:gridCol w:w="1170"/>
      </w:tblGrid>
      <w:tr w:rsidR="00156005" w:rsidRPr="00B75B77" w:rsidTr="00722C85">
        <w:trPr>
          <w:trHeight w:val="480"/>
        </w:trPr>
        <w:tc>
          <w:tcPr>
            <w:tcW w:w="1615" w:type="dxa"/>
            <w:tcBorders>
              <w:top w:val="single" w:sz="4" w:space="0" w:color="auto"/>
              <w:left w:val="single" w:sz="4" w:space="0" w:color="auto"/>
              <w:bottom w:val="single" w:sz="4" w:space="0" w:color="auto"/>
              <w:right w:val="single" w:sz="4" w:space="0" w:color="auto"/>
            </w:tcBorders>
            <w:shd w:val="clear" w:color="000000" w:fill="448A99"/>
            <w:vAlign w:val="center"/>
            <w:hideMark/>
          </w:tcPr>
          <w:p w:rsidR="00156005" w:rsidRPr="00B75B77" w:rsidRDefault="00156005" w:rsidP="00653A61">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Stratum</w:t>
            </w:r>
          </w:p>
        </w:tc>
        <w:tc>
          <w:tcPr>
            <w:tcW w:w="1170" w:type="dxa"/>
            <w:tcBorders>
              <w:top w:val="single" w:sz="4" w:space="0" w:color="auto"/>
              <w:left w:val="nil"/>
              <w:bottom w:val="single" w:sz="4" w:space="0" w:color="auto"/>
              <w:right w:val="single" w:sz="4" w:space="0" w:color="auto"/>
            </w:tcBorders>
            <w:shd w:val="clear" w:color="000000" w:fill="448A99"/>
            <w:vAlign w:val="center"/>
            <w:hideMark/>
          </w:tcPr>
          <w:p w:rsidR="00156005" w:rsidRPr="00B75B77" w:rsidRDefault="00156005" w:rsidP="00722C85">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Population Size</w:t>
            </w:r>
          </w:p>
        </w:tc>
        <w:tc>
          <w:tcPr>
            <w:tcW w:w="1440" w:type="dxa"/>
            <w:tcBorders>
              <w:top w:val="single" w:sz="4" w:space="0" w:color="auto"/>
              <w:left w:val="nil"/>
              <w:bottom w:val="single" w:sz="4" w:space="0" w:color="auto"/>
              <w:right w:val="single" w:sz="4" w:space="0" w:color="auto"/>
            </w:tcBorders>
            <w:shd w:val="clear" w:color="000000" w:fill="448A99"/>
            <w:vAlign w:val="center"/>
            <w:hideMark/>
          </w:tcPr>
          <w:p w:rsidR="00156005" w:rsidRPr="00B75B77" w:rsidRDefault="00156005" w:rsidP="00722C85">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Assumed CV or Proportion in Sample Design</w:t>
            </w:r>
          </w:p>
        </w:tc>
        <w:tc>
          <w:tcPr>
            <w:tcW w:w="1260" w:type="dxa"/>
            <w:tcBorders>
              <w:top w:val="single" w:sz="4" w:space="0" w:color="auto"/>
              <w:left w:val="nil"/>
              <w:bottom w:val="single" w:sz="4" w:space="0" w:color="auto"/>
              <w:right w:val="single" w:sz="4" w:space="0" w:color="auto"/>
            </w:tcBorders>
            <w:shd w:val="clear" w:color="000000" w:fill="448A99"/>
            <w:vAlign w:val="center"/>
            <w:hideMark/>
          </w:tcPr>
          <w:p w:rsidR="00156005" w:rsidRPr="00B75B77" w:rsidRDefault="00156005" w:rsidP="00722C85">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Assumed Levels of Confidence and Precision</w:t>
            </w:r>
          </w:p>
        </w:tc>
        <w:tc>
          <w:tcPr>
            <w:tcW w:w="1260" w:type="dxa"/>
            <w:tcBorders>
              <w:top w:val="single" w:sz="4" w:space="0" w:color="auto"/>
              <w:left w:val="nil"/>
              <w:bottom w:val="single" w:sz="4" w:space="0" w:color="auto"/>
              <w:right w:val="single" w:sz="4" w:space="0" w:color="auto"/>
            </w:tcBorders>
            <w:shd w:val="clear" w:color="000000" w:fill="448A99"/>
            <w:vAlign w:val="center"/>
            <w:hideMark/>
          </w:tcPr>
          <w:p w:rsidR="00156005" w:rsidRPr="00B75B77" w:rsidRDefault="00156005" w:rsidP="00722C85">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Target Sample </w:t>
            </w:r>
            <w:r w:rsidR="00FA45FF" w:rsidRPr="00B75B77">
              <w:rPr>
                <w:rFonts w:ascii="Calibri" w:eastAsia="Times New Roman" w:hAnsi="Calibri"/>
                <w:b/>
                <w:bCs/>
                <w:color w:val="FFFFFF"/>
                <w:sz w:val="18"/>
                <w:szCs w:val="18"/>
              </w:rPr>
              <w:t>S</w:t>
            </w:r>
            <w:r w:rsidRPr="00B75B77">
              <w:rPr>
                <w:rFonts w:ascii="Calibri" w:eastAsia="Times New Roman" w:hAnsi="Calibri"/>
                <w:b/>
                <w:bCs/>
                <w:color w:val="FFFFFF"/>
                <w:sz w:val="18"/>
                <w:szCs w:val="18"/>
              </w:rPr>
              <w:t>ize</w:t>
            </w:r>
          </w:p>
        </w:tc>
        <w:tc>
          <w:tcPr>
            <w:tcW w:w="1440" w:type="dxa"/>
            <w:tcBorders>
              <w:top w:val="single" w:sz="4" w:space="0" w:color="auto"/>
              <w:left w:val="nil"/>
              <w:bottom w:val="single" w:sz="4" w:space="0" w:color="auto"/>
              <w:right w:val="single" w:sz="4" w:space="0" w:color="auto"/>
            </w:tcBorders>
            <w:shd w:val="clear" w:color="000000" w:fill="448A99"/>
            <w:vAlign w:val="center"/>
            <w:hideMark/>
          </w:tcPr>
          <w:p w:rsidR="00156005" w:rsidRPr="00B75B77" w:rsidRDefault="00156005" w:rsidP="00722C85">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Achieved Sample Size</w:t>
            </w:r>
          </w:p>
        </w:tc>
        <w:tc>
          <w:tcPr>
            <w:tcW w:w="1170" w:type="dxa"/>
            <w:tcBorders>
              <w:top w:val="single" w:sz="4" w:space="0" w:color="auto"/>
              <w:left w:val="nil"/>
              <w:bottom w:val="single" w:sz="4" w:space="0" w:color="auto"/>
              <w:right w:val="single" w:sz="4" w:space="0" w:color="auto"/>
            </w:tcBorders>
            <w:shd w:val="clear" w:color="000000" w:fill="448A99"/>
            <w:vAlign w:val="center"/>
            <w:hideMark/>
          </w:tcPr>
          <w:p w:rsidR="00156005" w:rsidRPr="00B75B77" w:rsidRDefault="00237810" w:rsidP="00722C85">
            <w:pPr>
              <w:jc w:val="center"/>
              <w:rPr>
                <w:rFonts w:ascii="Calibri" w:eastAsia="Times New Roman" w:hAnsi="Calibri"/>
                <w:b/>
                <w:bCs/>
                <w:color w:val="FFFFFF"/>
                <w:sz w:val="18"/>
                <w:szCs w:val="18"/>
              </w:rPr>
            </w:pPr>
            <w:hyperlink r:id="rId42" w:anchor="RANGE!_ftn1" w:history="1">
              <w:r w:rsidR="00156005" w:rsidRPr="00B75B77">
                <w:rPr>
                  <w:rFonts w:ascii="Calibri" w:eastAsia="Times New Roman" w:hAnsi="Calibri"/>
                  <w:b/>
                  <w:bCs/>
                  <w:color w:val="FFFFFF"/>
                  <w:sz w:val="18"/>
                  <w:szCs w:val="18"/>
                </w:rPr>
                <w:t>Percent</w:t>
              </w:r>
              <w:r w:rsidR="00653A61" w:rsidRPr="00B75B77">
                <w:rPr>
                  <w:rFonts w:ascii="Calibri" w:eastAsia="Times New Roman" w:hAnsi="Calibri"/>
                  <w:b/>
                  <w:bCs/>
                  <w:color w:val="FFFFFF"/>
                  <w:sz w:val="18"/>
                  <w:szCs w:val="18"/>
                </w:rPr>
                <w:t>age</w:t>
              </w:r>
              <w:r w:rsidR="00156005" w:rsidRPr="00B75B77">
                <w:rPr>
                  <w:rFonts w:ascii="Calibri" w:eastAsia="Times New Roman" w:hAnsi="Calibri"/>
                  <w:b/>
                  <w:bCs/>
                  <w:color w:val="FFFFFF"/>
                  <w:sz w:val="18"/>
                  <w:szCs w:val="18"/>
                </w:rPr>
                <w:t xml:space="preserve"> of Sample Frame </w:t>
              </w:r>
              <w:r w:rsidR="00156005" w:rsidRPr="00B75B77">
                <w:rPr>
                  <w:rFonts w:ascii="Calibri" w:eastAsia="Times New Roman" w:hAnsi="Calibri"/>
                  <w:b/>
                  <w:bCs/>
                  <w:color w:val="FFFFFF"/>
                  <w:sz w:val="18"/>
                  <w:szCs w:val="18"/>
                  <w:vertAlign w:val="superscript"/>
                </w:rPr>
                <w:t xml:space="preserve"> [1]</w:t>
              </w:r>
              <w:r w:rsidR="00156005" w:rsidRPr="00B75B77">
                <w:rPr>
                  <w:rFonts w:ascii="Calibri" w:eastAsia="Times New Roman" w:hAnsi="Calibri"/>
                  <w:b/>
                  <w:bCs/>
                  <w:color w:val="FFFFFF"/>
                  <w:sz w:val="18"/>
                  <w:szCs w:val="18"/>
                </w:rPr>
                <w:t xml:space="preserve"> Contacted to Achieve Sample</w:t>
              </w:r>
            </w:hyperlink>
          </w:p>
        </w:tc>
      </w:tr>
      <w:tr w:rsidR="00156005" w:rsidRPr="00B75B77" w:rsidTr="00722C85">
        <w:trPr>
          <w:trHeight w:val="288"/>
        </w:trPr>
        <w:tc>
          <w:tcPr>
            <w:tcW w:w="1615" w:type="dxa"/>
            <w:tcBorders>
              <w:top w:val="nil"/>
              <w:left w:val="single" w:sz="4" w:space="0" w:color="448A99"/>
              <w:bottom w:val="single" w:sz="4" w:space="0" w:color="448A99"/>
              <w:right w:val="single" w:sz="4" w:space="0" w:color="448A99"/>
            </w:tcBorders>
            <w:shd w:val="clear" w:color="000000" w:fill="D2EAF1"/>
            <w:vAlign w:val="center"/>
            <w:hideMark/>
          </w:tcPr>
          <w:p w:rsidR="00156005" w:rsidRPr="00B75B77" w:rsidRDefault="00156005" w:rsidP="00722C85">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Appliances</w:t>
            </w:r>
          </w:p>
        </w:tc>
        <w:tc>
          <w:tcPr>
            <w:tcW w:w="1170" w:type="dxa"/>
            <w:tcBorders>
              <w:top w:val="nil"/>
              <w:left w:val="nil"/>
              <w:bottom w:val="single" w:sz="4" w:space="0" w:color="448A99"/>
              <w:right w:val="single" w:sz="4" w:space="0" w:color="448A99"/>
            </w:tcBorders>
            <w:shd w:val="clear" w:color="000000" w:fill="D2EAF1"/>
            <w:noWrap/>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15,181</w:t>
            </w:r>
          </w:p>
        </w:tc>
        <w:tc>
          <w:tcPr>
            <w:tcW w:w="1440" w:type="dxa"/>
            <w:tcBorders>
              <w:top w:val="nil"/>
              <w:left w:val="nil"/>
              <w:bottom w:val="single" w:sz="4" w:space="0" w:color="448A99"/>
              <w:right w:val="single" w:sz="4" w:space="0" w:color="448A99"/>
            </w:tcBorders>
            <w:shd w:val="clear" w:color="000000" w:fill="D2EAF1"/>
            <w:noWrap/>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1.00</w:t>
            </w:r>
          </w:p>
        </w:tc>
        <w:tc>
          <w:tcPr>
            <w:tcW w:w="1260" w:type="dxa"/>
            <w:tcBorders>
              <w:top w:val="nil"/>
              <w:left w:val="nil"/>
              <w:bottom w:val="single" w:sz="4" w:space="0" w:color="448A99"/>
              <w:right w:val="single" w:sz="4" w:space="0" w:color="448A99"/>
            </w:tcBorders>
            <w:shd w:val="clear" w:color="000000" w:fill="D2EAF1"/>
            <w:noWrap/>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1260" w:type="dxa"/>
            <w:tcBorders>
              <w:top w:val="nil"/>
              <w:left w:val="nil"/>
              <w:bottom w:val="single" w:sz="4" w:space="0" w:color="448A99"/>
              <w:right w:val="single" w:sz="4" w:space="0" w:color="448A99"/>
            </w:tcBorders>
            <w:shd w:val="clear" w:color="000000" w:fill="D2EAF1"/>
            <w:noWrap/>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100</w:t>
            </w:r>
          </w:p>
        </w:tc>
        <w:tc>
          <w:tcPr>
            <w:tcW w:w="1440" w:type="dxa"/>
            <w:tcBorders>
              <w:top w:val="nil"/>
              <w:left w:val="nil"/>
              <w:bottom w:val="single" w:sz="4" w:space="0" w:color="448A99"/>
              <w:right w:val="single" w:sz="4" w:space="0" w:color="448A99"/>
            </w:tcBorders>
            <w:shd w:val="clear" w:color="000000" w:fill="D2EAF1"/>
            <w:noWrap/>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10</w:t>
            </w:r>
            <w:r w:rsidR="00192A37" w:rsidRPr="00B75B77">
              <w:rPr>
                <w:rFonts w:ascii="Calibri" w:eastAsia="Times New Roman" w:hAnsi="Calibri"/>
                <w:color w:val="000000"/>
                <w:sz w:val="18"/>
                <w:szCs w:val="18"/>
              </w:rPr>
              <w:t>0</w:t>
            </w:r>
          </w:p>
        </w:tc>
        <w:tc>
          <w:tcPr>
            <w:tcW w:w="1170" w:type="dxa"/>
            <w:tcBorders>
              <w:top w:val="nil"/>
              <w:left w:val="nil"/>
              <w:bottom w:val="single" w:sz="4" w:space="0" w:color="448A99"/>
              <w:right w:val="single" w:sz="4" w:space="0" w:color="448A99"/>
            </w:tcBorders>
            <w:shd w:val="clear" w:color="000000" w:fill="D2EAF1"/>
            <w:noWrap/>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 </w:t>
            </w:r>
            <w:r w:rsidR="00192A37" w:rsidRPr="00B75B77">
              <w:rPr>
                <w:rFonts w:ascii="Calibri" w:eastAsia="Times New Roman" w:hAnsi="Calibri"/>
                <w:color w:val="000000"/>
                <w:sz w:val="18"/>
                <w:szCs w:val="18"/>
              </w:rPr>
              <w:t>100</w:t>
            </w:r>
          </w:p>
        </w:tc>
      </w:tr>
      <w:tr w:rsidR="00156005" w:rsidRPr="00B75B77" w:rsidTr="00722C85">
        <w:trPr>
          <w:trHeight w:val="288"/>
        </w:trPr>
        <w:tc>
          <w:tcPr>
            <w:tcW w:w="1615" w:type="dxa"/>
            <w:tcBorders>
              <w:top w:val="nil"/>
              <w:left w:val="single" w:sz="4" w:space="0" w:color="448A99"/>
              <w:bottom w:val="single" w:sz="4" w:space="0" w:color="448A99"/>
              <w:right w:val="single" w:sz="4" w:space="0" w:color="448A99"/>
            </w:tcBorders>
            <w:shd w:val="clear" w:color="000000" w:fill="FFFFFF"/>
            <w:vAlign w:val="center"/>
            <w:hideMark/>
          </w:tcPr>
          <w:p w:rsidR="00156005" w:rsidRPr="00B75B77" w:rsidRDefault="00156005" w:rsidP="00722C85">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HVAC</w:t>
            </w:r>
          </w:p>
        </w:tc>
        <w:tc>
          <w:tcPr>
            <w:tcW w:w="1170" w:type="dxa"/>
            <w:tcBorders>
              <w:top w:val="nil"/>
              <w:left w:val="nil"/>
              <w:bottom w:val="single" w:sz="4" w:space="0" w:color="448A99"/>
              <w:right w:val="single" w:sz="4" w:space="0" w:color="448A99"/>
            </w:tcBorders>
            <w:shd w:val="clear" w:color="000000" w:fill="FFFFFF"/>
            <w:noWrap/>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10,304</w:t>
            </w:r>
          </w:p>
        </w:tc>
        <w:tc>
          <w:tcPr>
            <w:tcW w:w="1440" w:type="dxa"/>
            <w:tcBorders>
              <w:top w:val="nil"/>
              <w:left w:val="nil"/>
              <w:bottom w:val="single" w:sz="4" w:space="0" w:color="448A99"/>
              <w:right w:val="single" w:sz="4" w:space="0" w:color="448A99"/>
            </w:tcBorders>
            <w:shd w:val="clear" w:color="000000" w:fill="FFFFFF"/>
            <w:noWrap/>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1.00</w:t>
            </w:r>
          </w:p>
        </w:tc>
        <w:tc>
          <w:tcPr>
            <w:tcW w:w="1260" w:type="dxa"/>
            <w:tcBorders>
              <w:top w:val="nil"/>
              <w:left w:val="nil"/>
              <w:bottom w:val="single" w:sz="4" w:space="0" w:color="448A99"/>
              <w:right w:val="single" w:sz="4" w:space="0" w:color="448A99"/>
            </w:tcBorders>
            <w:shd w:val="clear" w:color="000000" w:fill="FFFFFF"/>
            <w:noWrap/>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1260" w:type="dxa"/>
            <w:tcBorders>
              <w:top w:val="nil"/>
              <w:left w:val="nil"/>
              <w:bottom w:val="single" w:sz="4" w:space="0" w:color="448A99"/>
              <w:right w:val="single" w:sz="4" w:space="0" w:color="448A99"/>
            </w:tcBorders>
            <w:shd w:val="clear" w:color="000000" w:fill="FFFFFF"/>
            <w:noWrap/>
            <w:vAlign w:val="bottom"/>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100</w:t>
            </w:r>
          </w:p>
        </w:tc>
        <w:tc>
          <w:tcPr>
            <w:tcW w:w="1440" w:type="dxa"/>
            <w:tcBorders>
              <w:top w:val="nil"/>
              <w:left w:val="nil"/>
              <w:bottom w:val="single" w:sz="4" w:space="0" w:color="448A99"/>
              <w:right w:val="single" w:sz="4" w:space="0" w:color="448A99"/>
            </w:tcBorders>
            <w:shd w:val="clear" w:color="000000" w:fill="FFFFFF"/>
            <w:noWrap/>
            <w:vAlign w:val="center"/>
            <w:hideMark/>
          </w:tcPr>
          <w:p w:rsidR="00156005" w:rsidRPr="00B75B77" w:rsidRDefault="00192A37"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100</w:t>
            </w:r>
          </w:p>
        </w:tc>
        <w:tc>
          <w:tcPr>
            <w:tcW w:w="1170" w:type="dxa"/>
            <w:tcBorders>
              <w:top w:val="nil"/>
              <w:left w:val="nil"/>
              <w:bottom w:val="single" w:sz="4" w:space="0" w:color="448A99"/>
              <w:right w:val="single" w:sz="4" w:space="0" w:color="448A99"/>
            </w:tcBorders>
            <w:shd w:val="clear" w:color="000000" w:fill="FFFFFF"/>
            <w:noWrap/>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 </w:t>
            </w:r>
            <w:r w:rsidR="00192A37" w:rsidRPr="00B75B77">
              <w:rPr>
                <w:rFonts w:ascii="Calibri" w:eastAsia="Times New Roman" w:hAnsi="Calibri"/>
                <w:color w:val="000000"/>
                <w:sz w:val="18"/>
                <w:szCs w:val="18"/>
              </w:rPr>
              <w:t>100</w:t>
            </w:r>
          </w:p>
        </w:tc>
      </w:tr>
      <w:tr w:rsidR="00156005" w:rsidRPr="00B75B77" w:rsidTr="00722C85">
        <w:trPr>
          <w:trHeight w:val="288"/>
        </w:trPr>
        <w:tc>
          <w:tcPr>
            <w:tcW w:w="1615" w:type="dxa"/>
            <w:tcBorders>
              <w:top w:val="nil"/>
              <w:left w:val="single" w:sz="4" w:space="0" w:color="448A99"/>
              <w:bottom w:val="single" w:sz="4" w:space="0" w:color="448A99"/>
              <w:right w:val="single" w:sz="4" w:space="0" w:color="448A99"/>
            </w:tcBorders>
            <w:shd w:val="clear" w:color="000000" w:fill="D2EAF1"/>
            <w:vAlign w:val="center"/>
            <w:hideMark/>
          </w:tcPr>
          <w:p w:rsidR="00156005" w:rsidRPr="00B75B77" w:rsidRDefault="00156005" w:rsidP="00722C85">
            <w:pPr>
              <w:rPr>
                <w:rFonts w:ascii="Calibri" w:eastAsia="Times New Roman" w:hAnsi="Calibri"/>
                <w:bCs/>
                <w:color w:val="000000"/>
                <w:sz w:val="18"/>
                <w:szCs w:val="18"/>
              </w:rPr>
            </w:pPr>
            <w:r w:rsidRPr="00B75B77">
              <w:rPr>
                <w:rFonts w:ascii="Calibri" w:eastAsia="Times New Roman" w:hAnsi="Calibri"/>
                <w:bCs/>
                <w:color w:val="000000"/>
                <w:sz w:val="18"/>
                <w:szCs w:val="18"/>
              </w:rPr>
              <w:t>Lighting</w:t>
            </w:r>
          </w:p>
        </w:tc>
        <w:tc>
          <w:tcPr>
            <w:tcW w:w="1170" w:type="dxa"/>
            <w:tcBorders>
              <w:top w:val="nil"/>
              <w:left w:val="nil"/>
              <w:bottom w:val="single" w:sz="4" w:space="0" w:color="448A99"/>
              <w:right w:val="single" w:sz="4" w:space="0" w:color="448A99"/>
            </w:tcBorders>
            <w:shd w:val="clear" w:color="000000" w:fill="D2EAF1"/>
            <w:noWrap/>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3,614,906</w:t>
            </w:r>
          </w:p>
        </w:tc>
        <w:tc>
          <w:tcPr>
            <w:tcW w:w="1440" w:type="dxa"/>
            <w:tcBorders>
              <w:top w:val="nil"/>
              <w:left w:val="nil"/>
              <w:bottom w:val="single" w:sz="4" w:space="0" w:color="448A99"/>
              <w:right w:val="single" w:sz="4" w:space="0" w:color="448A99"/>
            </w:tcBorders>
            <w:shd w:val="clear" w:color="000000" w:fill="D2EAF1"/>
            <w:noWrap/>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0.92</w:t>
            </w:r>
          </w:p>
        </w:tc>
        <w:tc>
          <w:tcPr>
            <w:tcW w:w="1260" w:type="dxa"/>
            <w:tcBorders>
              <w:top w:val="nil"/>
              <w:left w:val="nil"/>
              <w:bottom w:val="single" w:sz="4" w:space="0" w:color="448A99"/>
              <w:right w:val="single" w:sz="4" w:space="0" w:color="448A99"/>
            </w:tcBorders>
            <w:shd w:val="clear" w:color="000000" w:fill="D2EAF1"/>
            <w:noWrap/>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1260" w:type="dxa"/>
            <w:tcBorders>
              <w:top w:val="nil"/>
              <w:left w:val="nil"/>
              <w:bottom w:val="single" w:sz="4" w:space="0" w:color="448A99"/>
              <w:right w:val="single" w:sz="4" w:space="0" w:color="448A99"/>
            </w:tcBorders>
            <w:shd w:val="clear" w:color="000000" w:fill="D2EAF1"/>
            <w:noWrap/>
            <w:vAlign w:val="bottom"/>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79</w:t>
            </w:r>
          </w:p>
        </w:tc>
        <w:tc>
          <w:tcPr>
            <w:tcW w:w="1440" w:type="dxa"/>
            <w:tcBorders>
              <w:top w:val="nil"/>
              <w:left w:val="nil"/>
              <w:bottom w:val="single" w:sz="4" w:space="0" w:color="448A99"/>
              <w:right w:val="single" w:sz="4" w:space="0" w:color="448A99"/>
            </w:tcBorders>
            <w:shd w:val="clear" w:color="000000" w:fill="D2EAF1"/>
            <w:noWrap/>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330</w:t>
            </w:r>
          </w:p>
        </w:tc>
        <w:tc>
          <w:tcPr>
            <w:tcW w:w="1170" w:type="dxa"/>
            <w:tcBorders>
              <w:top w:val="nil"/>
              <w:left w:val="nil"/>
              <w:bottom w:val="single" w:sz="4" w:space="0" w:color="448A99"/>
              <w:right w:val="single" w:sz="4" w:space="0" w:color="448A99"/>
            </w:tcBorders>
            <w:shd w:val="clear" w:color="000000" w:fill="D2EAF1"/>
            <w:noWrap/>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r>
      <w:tr w:rsidR="00156005" w:rsidRPr="00B75B77" w:rsidTr="00722C85">
        <w:trPr>
          <w:trHeight w:val="240"/>
        </w:trPr>
        <w:tc>
          <w:tcPr>
            <w:tcW w:w="1615" w:type="dxa"/>
            <w:tcBorders>
              <w:top w:val="nil"/>
              <w:left w:val="single" w:sz="4" w:space="0" w:color="448A99"/>
              <w:bottom w:val="single" w:sz="4" w:space="0" w:color="448A99"/>
              <w:right w:val="single" w:sz="4" w:space="0" w:color="448A99"/>
            </w:tcBorders>
            <w:shd w:val="clear" w:color="000000" w:fill="FFFFFF"/>
            <w:noWrap/>
            <w:vAlign w:val="center"/>
            <w:hideMark/>
          </w:tcPr>
          <w:p w:rsidR="00156005" w:rsidRPr="00B75B77" w:rsidRDefault="00653A61" w:rsidP="00722C85">
            <w:pPr>
              <w:jc w:val="left"/>
              <w:rPr>
                <w:rFonts w:ascii="Calibri" w:eastAsia="Times New Roman" w:hAnsi="Calibri"/>
                <w:b/>
                <w:color w:val="000000"/>
                <w:sz w:val="18"/>
                <w:szCs w:val="18"/>
              </w:rPr>
            </w:pPr>
            <w:r w:rsidRPr="00B75B77">
              <w:rPr>
                <w:rFonts w:ascii="Calibri" w:eastAsia="Times New Roman" w:hAnsi="Calibri"/>
                <w:b/>
                <w:color w:val="000000"/>
                <w:sz w:val="18"/>
                <w:szCs w:val="18"/>
              </w:rPr>
              <w:t>PROGRAM TOTAL</w:t>
            </w:r>
          </w:p>
        </w:tc>
        <w:tc>
          <w:tcPr>
            <w:tcW w:w="1170" w:type="dxa"/>
            <w:tcBorders>
              <w:top w:val="nil"/>
              <w:left w:val="nil"/>
              <w:bottom w:val="single" w:sz="4" w:space="0" w:color="448A99"/>
              <w:right w:val="single" w:sz="4" w:space="0" w:color="448A99"/>
            </w:tcBorders>
            <w:shd w:val="clear" w:color="000000" w:fill="FFFFFF"/>
            <w:noWrap/>
            <w:vAlign w:val="center"/>
            <w:hideMark/>
          </w:tcPr>
          <w:p w:rsidR="00156005" w:rsidRPr="00B75B77" w:rsidRDefault="00156005" w:rsidP="00722C85">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3,640,391</w:t>
            </w:r>
          </w:p>
        </w:tc>
        <w:tc>
          <w:tcPr>
            <w:tcW w:w="1440" w:type="dxa"/>
            <w:tcBorders>
              <w:top w:val="nil"/>
              <w:left w:val="nil"/>
              <w:bottom w:val="single" w:sz="4" w:space="0" w:color="448A99"/>
              <w:right w:val="single" w:sz="4" w:space="0" w:color="448A99"/>
            </w:tcBorders>
            <w:shd w:val="clear" w:color="000000" w:fill="FFFFFF"/>
            <w:noWrap/>
            <w:vAlign w:val="center"/>
            <w:hideMark/>
          </w:tcPr>
          <w:p w:rsidR="00156005" w:rsidRPr="00B75B77" w:rsidRDefault="00156005" w:rsidP="00722C85">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 </w:t>
            </w:r>
            <w:r w:rsidR="0089366F" w:rsidRPr="00B75B77">
              <w:rPr>
                <w:rFonts w:ascii="Calibri" w:eastAsia="Times New Roman" w:hAnsi="Calibri"/>
                <w:b/>
                <w:color w:val="000000"/>
                <w:sz w:val="18"/>
                <w:szCs w:val="18"/>
              </w:rPr>
              <w:t>N/A</w:t>
            </w:r>
          </w:p>
        </w:tc>
        <w:tc>
          <w:tcPr>
            <w:tcW w:w="1260" w:type="dxa"/>
            <w:tcBorders>
              <w:top w:val="nil"/>
              <w:left w:val="nil"/>
              <w:bottom w:val="single" w:sz="4" w:space="0" w:color="448A99"/>
              <w:right w:val="single" w:sz="4" w:space="0" w:color="448A99"/>
            </w:tcBorders>
            <w:shd w:val="clear" w:color="000000" w:fill="FFFFFF"/>
            <w:noWrap/>
            <w:vAlign w:val="center"/>
            <w:hideMark/>
          </w:tcPr>
          <w:p w:rsidR="00156005" w:rsidRPr="00B75B77" w:rsidRDefault="0089366F" w:rsidP="00722C85">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85/15</w:t>
            </w:r>
            <w:r w:rsidR="00156005" w:rsidRPr="00B75B77">
              <w:rPr>
                <w:rFonts w:ascii="Calibri" w:eastAsia="Times New Roman" w:hAnsi="Calibri"/>
                <w:b/>
                <w:color w:val="000000"/>
                <w:sz w:val="18"/>
                <w:szCs w:val="18"/>
              </w:rPr>
              <w:t> </w:t>
            </w:r>
          </w:p>
        </w:tc>
        <w:tc>
          <w:tcPr>
            <w:tcW w:w="1260" w:type="dxa"/>
            <w:tcBorders>
              <w:top w:val="nil"/>
              <w:left w:val="nil"/>
              <w:bottom w:val="single" w:sz="4" w:space="0" w:color="448A99"/>
              <w:right w:val="single" w:sz="4" w:space="0" w:color="448A99"/>
            </w:tcBorders>
            <w:shd w:val="clear" w:color="000000" w:fill="FFFFFF"/>
            <w:noWrap/>
            <w:vAlign w:val="bottom"/>
            <w:hideMark/>
          </w:tcPr>
          <w:p w:rsidR="00156005" w:rsidRPr="00B75B77" w:rsidRDefault="00156005" w:rsidP="00722C85">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279</w:t>
            </w:r>
          </w:p>
        </w:tc>
        <w:tc>
          <w:tcPr>
            <w:tcW w:w="1440" w:type="dxa"/>
            <w:tcBorders>
              <w:top w:val="nil"/>
              <w:left w:val="nil"/>
              <w:bottom w:val="single" w:sz="4" w:space="0" w:color="448A99"/>
              <w:right w:val="single" w:sz="4" w:space="0" w:color="448A99"/>
            </w:tcBorders>
            <w:shd w:val="clear" w:color="000000" w:fill="FFFFFF"/>
            <w:noWrap/>
            <w:vAlign w:val="center"/>
            <w:hideMark/>
          </w:tcPr>
          <w:p w:rsidR="00156005" w:rsidRPr="00B75B77" w:rsidRDefault="00156005" w:rsidP="00722C85">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542</w:t>
            </w:r>
          </w:p>
        </w:tc>
        <w:tc>
          <w:tcPr>
            <w:tcW w:w="1170" w:type="dxa"/>
            <w:tcBorders>
              <w:top w:val="nil"/>
              <w:left w:val="nil"/>
              <w:bottom w:val="single" w:sz="4" w:space="0" w:color="448A99"/>
              <w:right w:val="single" w:sz="4" w:space="0" w:color="448A99"/>
            </w:tcBorders>
            <w:shd w:val="clear" w:color="000000" w:fill="FFFFFF"/>
            <w:noWrap/>
            <w:vAlign w:val="center"/>
            <w:hideMark/>
          </w:tcPr>
          <w:p w:rsidR="00156005" w:rsidRPr="00B75B77" w:rsidRDefault="009D5AFB" w:rsidP="00722C85">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N/A</w:t>
            </w:r>
            <w:r w:rsidR="00156005" w:rsidRPr="00B75B77">
              <w:rPr>
                <w:rFonts w:ascii="Calibri" w:eastAsia="Times New Roman" w:hAnsi="Calibri"/>
                <w:b/>
                <w:color w:val="000000"/>
                <w:sz w:val="18"/>
                <w:szCs w:val="18"/>
              </w:rPr>
              <w:t> </w:t>
            </w:r>
          </w:p>
        </w:tc>
      </w:tr>
    </w:tbl>
    <w:p w:rsidR="00156005" w:rsidRPr="00B75B77" w:rsidRDefault="00156005" w:rsidP="00722C85">
      <w:pPr>
        <w:keepNext/>
        <w:jc w:val="left"/>
        <w:rPr>
          <w:rFonts w:ascii="Calibri" w:eastAsia="Times New Roman" w:hAnsi="Calibri"/>
          <w:color w:val="000000"/>
          <w:sz w:val="18"/>
          <w:szCs w:val="18"/>
        </w:rPr>
      </w:pPr>
      <w:r w:rsidRPr="00B75B77">
        <w:rPr>
          <w:rFonts w:ascii="Calibri" w:eastAsia="Times New Roman" w:hAnsi="Calibri"/>
          <w:color w:val="000000"/>
          <w:sz w:val="18"/>
          <w:szCs w:val="18"/>
          <w:vertAlign w:val="superscript"/>
        </w:rPr>
        <w:t>[1]</w:t>
      </w:r>
      <w:r w:rsidRPr="00B75B77">
        <w:rPr>
          <w:rFonts w:ascii="Calibri" w:eastAsia="Times New Roman" w:hAnsi="Calibri"/>
          <w:color w:val="000000"/>
          <w:sz w:val="18"/>
          <w:szCs w:val="18"/>
        </w:rPr>
        <w:t xml:space="preserve"> </w:t>
      </w:r>
      <w:r w:rsidR="00653A61" w:rsidRPr="00B75B77">
        <w:rPr>
          <w:rFonts w:ascii="Calibri" w:eastAsia="Times New Roman" w:hAnsi="Calibri"/>
          <w:color w:val="000000"/>
          <w:sz w:val="18"/>
          <w:szCs w:val="18"/>
        </w:rPr>
        <w:t>The sample frame is a list of contacts that have a chance to be selected into the sample. Percentage contacted means of all the sample frame the percentage that were contacted to get the completed surveys.</w:t>
      </w:r>
    </w:p>
    <w:p w:rsidR="00156005" w:rsidRPr="00B75B77" w:rsidRDefault="00156005" w:rsidP="00722C85">
      <w:pPr>
        <w:pStyle w:val="Source"/>
        <w:keepNext/>
        <w:spacing w:before="20" w:after="20"/>
        <w:ind w:left="0" w:firstLine="0"/>
        <w:rPr>
          <w:i w:val="0"/>
        </w:rPr>
      </w:pPr>
      <w:r w:rsidRPr="00B75B77">
        <w:rPr>
          <w:i w:val="0"/>
        </w:rPr>
        <w:t>Note: Values in tables may not reconcile exactly with the sum of more detailed level results or previously reported results due to rounding.</w:t>
      </w:r>
    </w:p>
    <w:p w:rsidR="00156005" w:rsidRPr="00B75B77" w:rsidRDefault="00156005" w:rsidP="00653A61">
      <w:pPr>
        <w:pStyle w:val="Source"/>
        <w:ind w:hanging="720"/>
      </w:pPr>
      <w:r w:rsidRPr="00B75B77">
        <w:t>Source: Navigant analysis</w:t>
      </w:r>
    </w:p>
    <w:p w:rsidR="00156005" w:rsidRPr="00B75B77" w:rsidRDefault="00156005" w:rsidP="00722C85">
      <w:r w:rsidRPr="00B75B77">
        <w:t>The primary objective of the net savings analysis was to determine the program's net effect on customers’ electricity usage. Navigant derived net program impacts by estimating a NTG ratio that quantifies the percentage of the gross program impacts that can reliably be attributed to the program. For lighting measures, Navigant pursued enhanced rigor through customer self-reported data collected via</w:t>
      </w:r>
      <w:r w:rsidR="00653A61" w:rsidRPr="00B75B77">
        <w:t xml:space="preserve"> </w:t>
      </w:r>
      <w:r w:rsidRPr="00B75B77">
        <w:t>the in-store intercept</w:t>
      </w:r>
      <w:r w:rsidR="00653A61" w:rsidRPr="00B75B77">
        <w:t xml:space="preserve"> survey</w:t>
      </w:r>
      <w:r w:rsidRPr="00B75B77">
        <w:t>s, supported by demand modeling based on data from both the in-store intercepts and shelf inventory surveys. For non-lighting measures, Navigant pursued a basic level of rigor using self-reports from the participant telephone survey.</w:t>
      </w:r>
    </w:p>
    <w:p w:rsidR="00156005" w:rsidRPr="00B75B77" w:rsidRDefault="00156005" w:rsidP="00722C85"/>
    <w:p w:rsidR="00156005" w:rsidRPr="00B75B77" w:rsidRDefault="00156005" w:rsidP="00722C85">
      <w:pPr>
        <w:rPr>
          <w:szCs w:val="20"/>
        </w:rPr>
      </w:pPr>
      <w:r w:rsidRPr="00B75B77">
        <w:t>Free ridership is defined as those participants who would have purchased the equipment anyway, without the program rebate. The key questions determining free</w:t>
      </w:r>
      <w:r w:rsidR="00653A61" w:rsidRPr="00B75B77">
        <w:t xml:space="preserve"> </w:t>
      </w:r>
      <w:r w:rsidRPr="00B75B77">
        <w:t>ridership focus on the influence of key program interventions such as discounted prices, program information regarding efficient products, and placement of program</w:t>
      </w:r>
      <w:r w:rsidR="00653A61" w:rsidRPr="00B75B77">
        <w:t>-</w:t>
      </w:r>
      <w:r w:rsidRPr="00B75B77">
        <w:t>discounted products in the store</w:t>
      </w:r>
      <w:r w:rsidR="00653A61" w:rsidRPr="00B75B77">
        <w:t>,</w:t>
      </w:r>
      <w:r w:rsidRPr="00B75B77">
        <w:t xml:space="preserve"> as well as the customer’s perception of what they would most likely have done in the absence of the program. The free ridership section of the in-store intercept survey was structured based on guidance from the Energy Trust of Oregon (ETO) NTG methodology</w:t>
      </w:r>
      <w:r w:rsidR="00653A61" w:rsidRPr="00B75B77">
        <w:t>. Using this methodology,</w:t>
      </w:r>
      <w:r w:rsidRPr="00B75B77">
        <w:t xml:space="preserve"> customers were asked if they would have purchased all, some, or none of the same program bulbs in the absence of the program</w:t>
      </w:r>
      <w:r w:rsidR="00653A61" w:rsidRPr="00B75B77">
        <w:t>; they were also asked</w:t>
      </w:r>
      <w:r w:rsidRPr="00B75B77">
        <w:t xml:space="preserve"> to rate the influence of several key program elements in their decision to purchase program bulbs.</w:t>
      </w:r>
      <w:r w:rsidRPr="00B75B77">
        <w:rPr>
          <w:rStyle w:val="FootnoteReference"/>
        </w:rPr>
        <w:footnoteReference w:id="14"/>
      </w:r>
      <w:r w:rsidRPr="00B75B77">
        <w:t xml:space="preserve"> The program elements that customers were asked to rate on a 0 to 10 scale, where 0 meant </w:t>
      </w:r>
      <w:r w:rsidR="00653A61" w:rsidRPr="00B75B77">
        <w:t>“N</w:t>
      </w:r>
      <w:r w:rsidRPr="00B75B77">
        <w:t>ot at all influential</w:t>
      </w:r>
      <w:r w:rsidR="00653A61" w:rsidRPr="00B75B77">
        <w:t>”</w:t>
      </w:r>
      <w:r w:rsidRPr="00B75B77">
        <w:t xml:space="preserve"> and 10 meant </w:t>
      </w:r>
      <w:r w:rsidR="00653A61" w:rsidRPr="00B75B77">
        <w:t>“E</w:t>
      </w:r>
      <w:r w:rsidRPr="00B75B77">
        <w:t>xtremely influential</w:t>
      </w:r>
      <w:r w:rsidR="00653A61" w:rsidRPr="00B75B77">
        <w:t>”</w:t>
      </w:r>
      <w:r w:rsidRPr="00B75B77">
        <w:t xml:space="preserve"> included the discount offered by the program, the placement of program bulbs in the store, and the program information provided in the store. Using the customers’ responses to the free ridership questions, the evaluation team calculated a non-program score and a program influence score, which could each have a value between 0 and 0.5 and when added together made up the overall free ridership score.</w:t>
      </w:r>
      <w:r w:rsidRPr="00B75B77">
        <w:rPr>
          <w:szCs w:val="20"/>
        </w:rPr>
        <w:t xml:space="preserve"> </w:t>
      </w:r>
      <w:r w:rsidRPr="00B75B77">
        <w:t>Using this approach, free ridership can take on values ranging from 0.0 to 1.0 for each respondent and for the program overall. High free rider scores are associated with survey respondents who reported they would have purchased all of the same program bulbs in the absence of the program and who rated the influence of the program on their decision</w:t>
      </w:r>
      <w:r w:rsidR="008E5423" w:rsidRPr="00B75B77">
        <w:t>-</w:t>
      </w:r>
      <w:r w:rsidRPr="00B75B77">
        <w:t>making as very low or zero.</w:t>
      </w:r>
    </w:p>
    <w:p w:rsidR="00156005" w:rsidRPr="00B75B77" w:rsidRDefault="00156005" w:rsidP="00722C85"/>
    <w:p w:rsidR="00156005" w:rsidRPr="00B75B77" w:rsidRDefault="00156005" w:rsidP="00722C85">
      <w:pPr>
        <w:rPr>
          <w:szCs w:val="20"/>
        </w:rPr>
      </w:pPr>
      <w:r w:rsidRPr="00B75B77">
        <w:lastRenderedPageBreak/>
        <w:t>Spillover is defined as those participants who were influenced by the program to purchase and install additional energy</w:t>
      </w:r>
      <w:r w:rsidR="008E5423" w:rsidRPr="00B75B77">
        <w:t xml:space="preserve"> </w:t>
      </w:r>
      <w:r w:rsidRPr="00B75B77">
        <w:t xml:space="preserve">efficient equipment that saves electricity without a rebate. The </w:t>
      </w:r>
      <w:r w:rsidR="008E5423" w:rsidRPr="00B75B77">
        <w:t xml:space="preserve">evaluation </w:t>
      </w:r>
      <w:r w:rsidRPr="00B75B77">
        <w:t xml:space="preserve">team analyzed the participant responses to a battery of spillover questions. The intent of these questions was to </w:t>
      </w:r>
      <w:r w:rsidRPr="00B75B77">
        <w:rPr>
          <w:szCs w:val="20"/>
        </w:rPr>
        <w:t xml:space="preserve">identify what types and amounts of equipment customers purchased and installed on their own to inform a quantitative estimate of program spillover within the overall </w:t>
      </w:r>
      <w:r w:rsidR="00DB2FF2" w:rsidRPr="00B75B77">
        <w:rPr>
          <w:szCs w:val="20"/>
        </w:rPr>
        <w:t>NTG</w:t>
      </w:r>
      <w:r w:rsidRPr="00B75B77">
        <w:rPr>
          <w:szCs w:val="20"/>
        </w:rPr>
        <w:t xml:space="preserve"> calculation. Spillover was estimated from the intercepts based on the quantity and type of efficient lighting equipment purchased without a rebate, the degree of self-reported influence of the program on the decision to purchase the efficient lighting equipment, and confirmation via the intercepts data, the shelf survey data, the program tracking data, and online lookups that the measure was not rebated. The participant spillover rate was calculated by summing the spillover adoptions over all intercept respondents and then dividing it by the total number of program bulbs in the baskets of intercept respondents. </w:t>
      </w:r>
    </w:p>
    <w:p w:rsidR="00156005" w:rsidRPr="00B75B77" w:rsidRDefault="00156005" w:rsidP="00722C85">
      <w:pPr>
        <w:rPr>
          <w:szCs w:val="20"/>
        </w:rPr>
      </w:pPr>
    </w:p>
    <w:p w:rsidR="00156005" w:rsidRPr="00B75B77" w:rsidRDefault="00156005" w:rsidP="00722C85">
      <w:pPr>
        <w:rPr>
          <w:szCs w:val="20"/>
        </w:rPr>
      </w:pPr>
      <w:r w:rsidRPr="00B75B77">
        <w:rPr>
          <w:szCs w:val="20"/>
        </w:rPr>
        <w:t xml:space="preserve">The evaluation team used </w:t>
      </w:r>
      <w:r w:rsidR="008E5423" w:rsidRPr="00B75B77">
        <w:rPr>
          <w:szCs w:val="20"/>
        </w:rPr>
        <w:fldChar w:fldCharType="begin"/>
      </w:r>
      <w:r w:rsidR="008E5423" w:rsidRPr="00B75B77">
        <w:rPr>
          <w:szCs w:val="20"/>
        </w:rPr>
        <w:instrText xml:space="preserve"> REF _Ref464215027 \h </w:instrText>
      </w:r>
      <w:r w:rsidR="00B75B77">
        <w:rPr>
          <w:szCs w:val="20"/>
        </w:rPr>
        <w:instrText xml:space="preserve"> \* MERGEFORMAT </w:instrText>
      </w:r>
      <w:r w:rsidR="008E5423" w:rsidRPr="00B75B77">
        <w:rPr>
          <w:szCs w:val="20"/>
        </w:rPr>
      </w:r>
      <w:r w:rsidR="008E5423" w:rsidRPr="00B75B77">
        <w:rPr>
          <w:szCs w:val="20"/>
        </w:rPr>
        <w:fldChar w:fldCharType="separate"/>
      </w:r>
      <w:r w:rsidR="0004016D" w:rsidRPr="00B75B77">
        <w:t xml:space="preserve">Equation </w:t>
      </w:r>
      <w:r w:rsidR="0004016D">
        <w:rPr>
          <w:noProof/>
        </w:rPr>
        <w:t>2</w:t>
      </w:r>
      <w:r w:rsidR="0004016D" w:rsidRPr="00B75B77">
        <w:rPr>
          <w:noProof/>
        </w:rPr>
        <w:noBreakHyphen/>
      </w:r>
      <w:r w:rsidR="0004016D">
        <w:rPr>
          <w:noProof/>
        </w:rPr>
        <w:t>1</w:t>
      </w:r>
      <w:r w:rsidR="008E5423" w:rsidRPr="00B75B77">
        <w:rPr>
          <w:szCs w:val="20"/>
        </w:rPr>
        <w:fldChar w:fldCharType="end"/>
      </w:r>
      <w:r w:rsidRPr="00B75B77">
        <w:rPr>
          <w:szCs w:val="20"/>
        </w:rPr>
        <w:t xml:space="preserve"> to calculate NTG:</w:t>
      </w:r>
    </w:p>
    <w:p w:rsidR="00156005" w:rsidRPr="00B75B77" w:rsidRDefault="00156005" w:rsidP="00722C85">
      <w:pPr>
        <w:rPr>
          <w:szCs w:val="20"/>
        </w:rPr>
      </w:pPr>
    </w:p>
    <w:p w:rsidR="008E5423" w:rsidRPr="00B75B77" w:rsidRDefault="008E5423" w:rsidP="008E5423">
      <w:pPr>
        <w:pStyle w:val="Caption"/>
      </w:pPr>
      <w:bookmarkStart w:id="265" w:name="_Ref464215027"/>
      <w:bookmarkStart w:id="266" w:name="_Toc466413696"/>
      <w:r w:rsidRPr="00B75B77">
        <w:t xml:space="preserve">Equation </w:t>
      </w:r>
      <w:fldSimple w:instr=" STYLEREF 1 \s ">
        <w:r w:rsidR="0004016D">
          <w:rPr>
            <w:noProof/>
          </w:rPr>
          <w:t>2</w:t>
        </w:r>
      </w:fldSimple>
      <w:r w:rsidRPr="00B75B77">
        <w:noBreakHyphen/>
      </w:r>
      <w:fldSimple w:instr=" SEQ Equation \* ARABIC \s 1 ">
        <w:r w:rsidR="0004016D">
          <w:rPr>
            <w:noProof/>
          </w:rPr>
          <w:t>1</w:t>
        </w:r>
      </w:fldSimple>
      <w:bookmarkEnd w:id="265"/>
      <w:r w:rsidRPr="00B75B77">
        <w:t>: Total NTG Ratio</w:t>
      </w:r>
      <w:bookmarkEnd w:id="266"/>
    </w:p>
    <w:p w:rsidR="008E5423" w:rsidRPr="00B75B77" w:rsidRDefault="008E5423" w:rsidP="008E5423">
      <w:pPr>
        <w:jc w:val="center"/>
        <w:rPr>
          <w:i/>
        </w:rPr>
      </w:pPr>
      <w:r w:rsidRPr="00B75B77">
        <w:rPr>
          <w:i/>
        </w:rPr>
        <w:t>NTG Ratio = 1 – Free Ridership Rate + Spillover Rate</w:t>
      </w:r>
    </w:p>
    <w:p w:rsidR="00156005" w:rsidRPr="00B75B77" w:rsidRDefault="00156005" w:rsidP="00722C85">
      <w:pPr>
        <w:rPr>
          <w:szCs w:val="20"/>
        </w:rPr>
      </w:pPr>
    </w:p>
    <w:p w:rsidR="00156005" w:rsidRPr="00B75B77" w:rsidRDefault="00156005" w:rsidP="00722C85">
      <w:r w:rsidRPr="00B75B77">
        <w:t xml:space="preserve">Consistent with the PY7 evaluation plan for lighting measures, the </w:t>
      </w:r>
      <w:r w:rsidR="008E5423" w:rsidRPr="00B75B77">
        <w:t xml:space="preserve">evaluation </w:t>
      </w:r>
      <w:r w:rsidRPr="00B75B77">
        <w:t>team ran a revealed preference demand model to serve as additional perspective to the customer self-report NTG approach. However, the final NTG values came from the customer self-report approach for PY7.</w:t>
      </w:r>
    </w:p>
    <w:p w:rsidR="00156005" w:rsidRPr="00B75B77" w:rsidRDefault="00156005" w:rsidP="00722C85"/>
    <w:p w:rsidR="00156005" w:rsidRPr="00B75B77" w:rsidRDefault="00156005" w:rsidP="00722C85">
      <w:pPr>
        <w:pStyle w:val="Heading3"/>
      </w:pPr>
      <w:bookmarkStart w:id="267" w:name="_Toc466413281"/>
      <w:r w:rsidRPr="00B75B77">
        <w:t>Net Verified Savings Results</w:t>
      </w:r>
      <w:bookmarkEnd w:id="267"/>
    </w:p>
    <w:p w:rsidR="00156005" w:rsidRPr="00B75B77" w:rsidRDefault="00156005" w:rsidP="00722C85">
      <w:r w:rsidRPr="00B75B77">
        <w:t>Free</w:t>
      </w:r>
      <w:r w:rsidR="008E5423" w:rsidRPr="00B75B77">
        <w:t xml:space="preserve"> </w:t>
      </w:r>
      <w:r w:rsidRPr="00B75B77">
        <w:t>ridership, spillover, and NTG values for lighting measures from the in-store intercept</w:t>
      </w:r>
      <w:r w:rsidR="008E5423" w:rsidRPr="00B75B77">
        <w:t xml:space="preserve"> survey</w:t>
      </w:r>
      <w:r w:rsidRPr="00B75B77">
        <w:t xml:space="preserve">s are shown by program bulb type in </w:t>
      </w:r>
      <w:r w:rsidR="008E5423" w:rsidRPr="00B75B77">
        <w:fldChar w:fldCharType="begin"/>
      </w:r>
      <w:r w:rsidR="008E5423" w:rsidRPr="00B75B77">
        <w:instrText xml:space="preserve"> REF _Ref464067815 \h </w:instrText>
      </w:r>
      <w:r w:rsidR="00B75B77">
        <w:instrText xml:space="preserve"> \* MERGEFORMAT </w:instrText>
      </w:r>
      <w:r w:rsidR="008E5423" w:rsidRPr="00B75B77">
        <w:fldChar w:fldCharType="separate"/>
      </w:r>
      <w:r w:rsidR="0004016D" w:rsidRPr="00B75B77">
        <w:t xml:space="preserve">Table </w:t>
      </w:r>
      <w:r w:rsidR="0004016D">
        <w:rPr>
          <w:noProof/>
        </w:rPr>
        <w:t>2</w:t>
      </w:r>
      <w:r w:rsidR="0004016D" w:rsidRPr="00B75B77">
        <w:rPr>
          <w:noProof/>
        </w:rPr>
        <w:noBreakHyphen/>
      </w:r>
      <w:r w:rsidR="0004016D">
        <w:rPr>
          <w:noProof/>
        </w:rPr>
        <w:t>8</w:t>
      </w:r>
      <w:r w:rsidR="008E5423" w:rsidRPr="00B75B77">
        <w:fldChar w:fldCharType="end"/>
      </w:r>
      <w:r w:rsidRPr="00B75B77">
        <w:t>. Free ridership was lowest for LEDs at 0.4 and higher for CFLs at 0.6. In general, residential lighting has inherently high free</w:t>
      </w:r>
      <w:r w:rsidR="008E5423" w:rsidRPr="00B75B77">
        <w:t xml:space="preserve"> </w:t>
      </w:r>
      <w:r w:rsidRPr="00B75B77">
        <w:t>ridership, as many bulb purchasers are familiar with the benefits of energy</w:t>
      </w:r>
      <w:r w:rsidR="008E5423" w:rsidRPr="00B75B77">
        <w:t xml:space="preserve"> </w:t>
      </w:r>
      <w:r w:rsidRPr="00B75B77">
        <w:t>efficient models and the EISA of 2007 phased out many inefficient bulb options o</w:t>
      </w:r>
      <w:r w:rsidR="008E5423" w:rsidRPr="00B75B77">
        <w:t>ver</w:t>
      </w:r>
      <w:r w:rsidRPr="00B75B77">
        <w:t xml:space="preserve"> the past few years. For spillover, CFLs yielded a spillover rate of 0.01 and LEDs yielded a spillover rate of 0.04. </w:t>
      </w:r>
      <w:r w:rsidRPr="00B75B77">
        <w:rPr>
          <w:bCs/>
        </w:rPr>
        <w:t>For non-lighting</w:t>
      </w:r>
      <w:r w:rsidR="008E5423" w:rsidRPr="00B75B77">
        <w:rPr>
          <w:bCs/>
        </w:rPr>
        <w:t>,</w:t>
      </w:r>
      <w:r w:rsidRPr="00B75B77">
        <w:rPr>
          <w:bCs/>
        </w:rPr>
        <w:t xml:space="preserve"> the NTG result was 0.3</w:t>
      </w:r>
      <w:r w:rsidR="00532A62" w:rsidRPr="00B75B77">
        <w:rPr>
          <w:bCs/>
        </w:rPr>
        <w:t>1</w:t>
      </w:r>
      <w:r w:rsidRPr="00B75B77">
        <w:rPr>
          <w:bCs/>
        </w:rPr>
        <w:t xml:space="preserve"> for HVAC customers and 0.4</w:t>
      </w:r>
      <w:r w:rsidR="00532A62" w:rsidRPr="00B75B77">
        <w:rPr>
          <w:bCs/>
        </w:rPr>
        <w:t>3</w:t>
      </w:r>
      <w:r w:rsidRPr="00B75B77">
        <w:rPr>
          <w:bCs/>
        </w:rPr>
        <w:t xml:space="preserve"> for appliance customers (</w:t>
      </w:r>
      <w:r w:rsidRPr="00B75B77">
        <w:rPr>
          <w:bCs/>
        </w:rPr>
        <w:fldChar w:fldCharType="begin"/>
      </w:r>
      <w:r w:rsidRPr="00B75B77">
        <w:rPr>
          <w:bCs/>
        </w:rPr>
        <w:instrText xml:space="preserve"> REF _Ref464067815 \h </w:instrText>
      </w:r>
      <w:r w:rsidR="00B75B77">
        <w:rPr>
          <w:bCs/>
        </w:rPr>
        <w:instrText xml:space="preserve"> \* MERGEFORMAT </w:instrText>
      </w:r>
      <w:r w:rsidRPr="00B75B77">
        <w:rPr>
          <w:bCs/>
        </w:rPr>
      </w:r>
      <w:r w:rsidRPr="00B75B77">
        <w:rPr>
          <w:bCs/>
        </w:rPr>
        <w:fldChar w:fldCharType="separate"/>
      </w:r>
      <w:r w:rsidR="0004016D" w:rsidRPr="00B75B77">
        <w:t xml:space="preserve">Table </w:t>
      </w:r>
      <w:r w:rsidR="0004016D">
        <w:rPr>
          <w:noProof/>
        </w:rPr>
        <w:t>2</w:t>
      </w:r>
      <w:r w:rsidR="0004016D" w:rsidRPr="00B75B77">
        <w:rPr>
          <w:noProof/>
        </w:rPr>
        <w:noBreakHyphen/>
      </w:r>
      <w:r w:rsidR="0004016D">
        <w:rPr>
          <w:noProof/>
        </w:rPr>
        <w:t>8</w:t>
      </w:r>
      <w:r w:rsidRPr="00B75B77">
        <w:rPr>
          <w:bCs/>
        </w:rPr>
        <w:fldChar w:fldCharType="end"/>
      </w:r>
      <w:r w:rsidRPr="00B75B77">
        <w:rPr>
          <w:bCs/>
        </w:rPr>
        <w:t xml:space="preserve">). </w:t>
      </w:r>
    </w:p>
    <w:p w:rsidR="00156005" w:rsidRPr="00B75B77" w:rsidRDefault="00156005" w:rsidP="00722C85"/>
    <w:p w:rsidR="00156005" w:rsidRPr="00B75B77" w:rsidRDefault="00156005" w:rsidP="00722C85">
      <w:pPr>
        <w:pStyle w:val="Caption"/>
      </w:pPr>
      <w:bookmarkStart w:id="268" w:name="_Ref464067815"/>
      <w:bookmarkStart w:id="269" w:name="_Toc466413513"/>
      <w:r w:rsidRPr="00B75B77">
        <w:t xml:space="preserve">Table </w:t>
      </w:r>
      <w:fldSimple w:instr=" STYLEREF 1 \s ">
        <w:r w:rsidR="0004016D">
          <w:rPr>
            <w:noProof/>
          </w:rPr>
          <w:t>2</w:t>
        </w:r>
      </w:fldSimple>
      <w:r w:rsidR="00F1144C" w:rsidRPr="00B75B77">
        <w:noBreakHyphen/>
      </w:r>
      <w:fldSimple w:instr=" SEQ Table \* ARABIC \s 1 ">
        <w:r w:rsidR="0004016D">
          <w:rPr>
            <w:noProof/>
          </w:rPr>
          <w:t>8</w:t>
        </w:r>
      </w:fldSimple>
      <w:bookmarkEnd w:id="268"/>
      <w:r w:rsidRPr="00B75B77">
        <w:t>: PY7 Smart Home Rebates Summary of Evaluation Results for Lighting NTG Research</w:t>
      </w:r>
      <w:bookmarkEnd w:id="269"/>
    </w:p>
    <w:tbl>
      <w:tblPr>
        <w:tblW w:w="9265" w:type="dxa"/>
        <w:tblLook w:val="04A0" w:firstRow="1" w:lastRow="0" w:firstColumn="1" w:lastColumn="0" w:noHBand="0" w:noVBand="1"/>
      </w:tblPr>
      <w:tblGrid>
        <w:gridCol w:w="1615"/>
        <w:gridCol w:w="1350"/>
        <w:gridCol w:w="1440"/>
        <w:gridCol w:w="1260"/>
        <w:gridCol w:w="1800"/>
        <w:gridCol w:w="1800"/>
      </w:tblGrid>
      <w:tr w:rsidR="00156005" w:rsidRPr="00B75B77" w:rsidTr="008E5423">
        <w:trPr>
          <w:trHeight w:val="420"/>
        </w:trPr>
        <w:tc>
          <w:tcPr>
            <w:tcW w:w="1615"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156005" w:rsidRPr="00B75B77" w:rsidRDefault="00156005" w:rsidP="008E5423">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Stratum </w:t>
            </w:r>
          </w:p>
        </w:tc>
        <w:tc>
          <w:tcPr>
            <w:tcW w:w="135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156005" w:rsidRPr="00B75B77" w:rsidRDefault="00156005" w:rsidP="00722C85">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Estimated Free Ridership</w:t>
            </w:r>
          </w:p>
        </w:tc>
        <w:tc>
          <w:tcPr>
            <w:tcW w:w="144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156005" w:rsidRPr="00B75B77" w:rsidRDefault="00156005" w:rsidP="00722C85">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Estimated Participant Spillover</w:t>
            </w:r>
          </w:p>
        </w:tc>
        <w:tc>
          <w:tcPr>
            <w:tcW w:w="126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156005" w:rsidRPr="00B75B77" w:rsidRDefault="00156005" w:rsidP="00722C85">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NTG Ratio</w:t>
            </w:r>
          </w:p>
        </w:tc>
        <w:tc>
          <w:tcPr>
            <w:tcW w:w="180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156005" w:rsidRPr="00B75B77" w:rsidRDefault="00156005" w:rsidP="00722C85">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Observed CV or Proportion</w:t>
            </w:r>
          </w:p>
        </w:tc>
        <w:tc>
          <w:tcPr>
            <w:tcW w:w="180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156005" w:rsidRPr="00B75B77" w:rsidRDefault="00156005" w:rsidP="00722C85">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Relative Precision</w:t>
            </w:r>
          </w:p>
        </w:tc>
      </w:tr>
      <w:tr w:rsidR="00156005" w:rsidRPr="00B75B77" w:rsidTr="008E5423">
        <w:trPr>
          <w:trHeight w:val="300"/>
        </w:trPr>
        <w:tc>
          <w:tcPr>
            <w:tcW w:w="1615" w:type="dxa"/>
            <w:vMerge/>
            <w:tcBorders>
              <w:top w:val="single" w:sz="4" w:space="0" w:color="auto"/>
              <w:left w:val="single" w:sz="4" w:space="0" w:color="auto"/>
              <w:bottom w:val="single" w:sz="4" w:space="0" w:color="000000"/>
              <w:right w:val="single" w:sz="4" w:space="0" w:color="auto"/>
            </w:tcBorders>
            <w:vAlign w:val="center"/>
            <w:hideMark/>
          </w:tcPr>
          <w:p w:rsidR="00156005" w:rsidRPr="00B75B77" w:rsidRDefault="00156005" w:rsidP="00722C85">
            <w:pPr>
              <w:jc w:val="left"/>
              <w:rPr>
                <w:rFonts w:ascii="Calibri" w:eastAsia="Times New Roman" w:hAnsi="Calibri"/>
                <w:b/>
                <w:bCs/>
                <w:color w:val="FFFFFF"/>
                <w:sz w:val="18"/>
                <w:szCs w:val="18"/>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rsidR="00156005" w:rsidRPr="00B75B77" w:rsidRDefault="00156005" w:rsidP="00722C85">
            <w:pPr>
              <w:jc w:val="left"/>
              <w:rPr>
                <w:rFonts w:ascii="Calibri" w:eastAsia="Times New Roman" w:hAnsi="Calibri"/>
                <w:b/>
                <w:bCs/>
                <w:color w:val="FFFFFF"/>
                <w:sz w:val="18"/>
                <w:szCs w:val="18"/>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rsidR="00156005" w:rsidRPr="00B75B77" w:rsidRDefault="00156005" w:rsidP="00722C85">
            <w:pPr>
              <w:jc w:val="left"/>
              <w:rPr>
                <w:rFonts w:ascii="Calibri" w:eastAsia="Times New Roman" w:hAnsi="Calibri"/>
                <w:b/>
                <w:bCs/>
                <w:color w:val="FFFFFF"/>
                <w:sz w:val="18"/>
                <w:szCs w:val="18"/>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rsidR="00156005" w:rsidRPr="00B75B77" w:rsidRDefault="00156005" w:rsidP="00722C85">
            <w:pPr>
              <w:jc w:val="left"/>
              <w:rPr>
                <w:rFonts w:ascii="Calibri" w:eastAsia="Times New Roman" w:hAnsi="Calibri"/>
                <w:b/>
                <w:bCs/>
                <w:color w:val="FFFFFF"/>
                <w:sz w:val="18"/>
                <w:szCs w:val="18"/>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156005" w:rsidRPr="00B75B77" w:rsidRDefault="00156005" w:rsidP="00722C85">
            <w:pPr>
              <w:jc w:val="left"/>
              <w:rPr>
                <w:rFonts w:ascii="Calibri" w:eastAsia="Times New Roman" w:hAnsi="Calibri"/>
                <w:b/>
                <w:bCs/>
                <w:color w:val="FFFFFF"/>
                <w:sz w:val="18"/>
                <w:szCs w:val="18"/>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156005" w:rsidRPr="00B75B77" w:rsidRDefault="00156005" w:rsidP="00722C85">
            <w:pPr>
              <w:jc w:val="left"/>
              <w:rPr>
                <w:rFonts w:ascii="Calibri" w:eastAsia="Times New Roman" w:hAnsi="Calibri"/>
                <w:b/>
                <w:bCs/>
                <w:color w:val="FFFFFF"/>
                <w:sz w:val="18"/>
                <w:szCs w:val="18"/>
              </w:rPr>
            </w:pPr>
          </w:p>
        </w:tc>
      </w:tr>
      <w:tr w:rsidR="00156005" w:rsidRPr="00B75B77" w:rsidTr="008E5423">
        <w:trPr>
          <w:trHeight w:val="300"/>
        </w:trPr>
        <w:tc>
          <w:tcPr>
            <w:tcW w:w="1615" w:type="dxa"/>
            <w:tcBorders>
              <w:top w:val="nil"/>
              <w:left w:val="single" w:sz="4" w:space="0" w:color="448A99"/>
              <w:bottom w:val="single" w:sz="4" w:space="0" w:color="448A99"/>
              <w:right w:val="single" w:sz="4" w:space="0" w:color="448A99"/>
            </w:tcBorders>
            <w:shd w:val="clear" w:color="000000" w:fill="D2EAF1"/>
            <w:vAlign w:val="center"/>
            <w:hideMark/>
          </w:tcPr>
          <w:p w:rsidR="00156005" w:rsidRPr="00B75B77" w:rsidRDefault="00156005" w:rsidP="00722C85">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Appliances</w:t>
            </w:r>
          </w:p>
        </w:tc>
        <w:tc>
          <w:tcPr>
            <w:tcW w:w="135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0.5</w:t>
            </w:r>
            <w:r w:rsidR="00532A62" w:rsidRPr="00B75B77">
              <w:rPr>
                <w:rFonts w:ascii="Calibri" w:eastAsia="Times New Roman" w:hAnsi="Calibri"/>
                <w:color w:val="000000"/>
                <w:sz w:val="18"/>
                <w:szCs w:val="18"/>
              </w:rPr>
              <w:t>7</w:t>
            </w:r>
          </w:p>
        </w:tc>
        <w:tc>
          <w:tcPr>
            <w:tcW w:w="144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0.01</w:t>
            </w:r>
          </w:p>
        </w:tc>
        <w:tc>
          <w:tcPr>
            <w:tcW w:w="126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0.4</w:t>
            </w:r>
            <w:r w:rsidR="00532A62" w:rsidRPr="00B75B77">
              <w:rPr>
                <w:rFonts w:ascii="Calibri" w:eastAsia="Times New Roman" w:hAnsi="Calibri"/>
                <w:color w:val="000000"/>
                <w:sz w:val="18"/>
                <w:szCs w:val="18"/>
              </w:rPr>
              <w:t>3</w:t>
            </w:r>
          </w:p>
        </w:tc>
        <w:tc>
          <w:tcPr>
            <w:tcW w:w="180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0.4</w:t>
            </w:r>
            <w:r w:rsidR="00532A62" w:rsidRPr="00B75B77">
              <w:rPr>
                <w:rFonts w:ascii="Calibri" w:eastAsia="Times New Roman" w:hAnsi="Calibri"/>
                <w:color w:val="000000"/>
                <w:sz w:val="18"/>
                <w:szCs w:val="18"/>
              </w:rPr>
              <w:t>6</w:t>
            </w:r>
          </w:p>
        </w:tc>
        <w:tc>
          <w:tcPr>
            <w:tcW w:w="1800" w:type="dxa"/>
            <w:tcBorders>
              <w:top w:val="nil"/>
              <w:left w:val="nil"/>
              <w:bottom w:val="single" w:sz="4" w:space="0" w:color="448A99"/>
              <w:right w:val="single" w:sz="4" w:space="0" w:color="448A99"/>
            </w:tcBorders>
            <w:shd w:val="clear" w:color="000000" w:fill="D2EAF1"/>
            <w:vAlign w:val="center"/>
            <w:hideMark/>
          </w:tcPr>
          <w:p w:rsidR="00156005" w:rsidRPr="00B75B77" w:rsidRDefault="00532A62"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9</w:t>
            </w:r>
            <w:r w:rsidR="00156005" w:rsidRPr="00B75B77">
              <w:rPr>
                <w:rFonts w:ascii="Calibri" w:eastAsia="Times New Roman" w:hAnsi="Calibri"/>
                <w:color w:val="000000"/>
                <w:sz w:val="18"/>
                <w:szCs w:val="18"/>
              </w:rPr>
              <w:t>%</w:t>
            </w:r>
          </w:p>
        </w:tc>
      </w:tr>
      <w:tr w:rsidR="00156005" w:rsidRPr="00B75B77" w:rsidTr="008E5423">
        <w:trPr>
          <w:trHeight w:val="300"/>
        </w:trPr>
        <w:tc>
          <w:tcPr>
            <w:tcW w:w="1615" w:type="dxa"/>
            <w:tcBorders>
              <w:top w:val="nil"/>
              <w:left w:val="single" w:sz="4" w:space="0" w:color="448A99"/>
              <w:bottom w:val="single" w:sz="4" w:space="0" w:color="448A99"/>
              <w:right w:val="single" w:sz="4" w:space="0" w:color="448A99"/>
            </w:tcBorders>
            <w:shd w:val="clear" w:color="000000" w:fill="FFFFFF"/>
            <w:vAlign w:val="center"/>
            <w:hideMark/>
          </w:tcPr>
          <w:p w:rsidR="00156005" w:rsidRPr="00B75B77" w:rsidRDefault="00156005" w:rsidP="00722C85">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HVAC</w:t>
            </w:r>
          </w:p>
        </w:tc>
        <w:tc>
          <w:tcPr>
            <w:tcW w:w="135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0.6</w:t>
            </w:r>
            <w:r w:rsidR="00532A62" w:rsidRPr="00B75B77">
              <w:rPr>
                <w:rFonts w:ascii="Calibri" w:eastAsia="Times New Roman" w:hAnsi="Calibri"/>
                <w:color w:val="000000"/>
                <w:sz w:val="18"/>
                <w:szCs w:val="18"/>
              </w:rPr>
              <w:t>9</w:t>
            </w:r>
          </w:p>
        </w:tc>
        <w:tc>
          <w:tcPr>
            <w:tcW w:w="144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0.00</w:t>
            </w:r>
          </w:p>
        </w:tc>
        <w:tc>
          <w:tcPr>
            <w:tcW w:w="126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0.3</w:t>
            </w:r>
            <w:r w:rsidR="00532A62" w:rsidRPr="00B75B77">
              <w:rPr>
                <w:rFonts w:ascii="Calibri" w:eastAsia="Times New Roman" w:hAnsi="Calibri"/>
                <w:color w:val="000000"/>
                <w:sz w:val="18"/>
                <w:szCs w:val="18"/>
              </w:rPr>
              <w:t>1</w:t>
            </w:r>
          </w:p>
        </w:tc>
        <w:tc>
          <w:tcPr>
            <w:tcW w:w="180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r w:rsidR="00532A62" w:rsidRPr="00B75B77">
              <w:rPr>
                <w:rFonts w:ascii="Calibri" w:eastAsia="Times New Roman" w:hAnsi="Calibri"/>
                <w:color w:val="000000"/>
                <w:sz w:val="18"/>
                <w:szCs w:val="18"/>
              </w:rPr>
              <w:t>37</w:t>
            </w:r>
          </w:p>
        </w:tc>
        <w:tc>
          <w:tcPr>
            <w:tcW w:w="180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12%</w:t>
            </w:r>
          </w:p>
        </w:tc>
      </w:tr>
      <w:tr w:rsidR="00156005" w:rsidRPr="00B75B77" w:rsidTr="008E5423">
        <w:trPr>
          <w:trHeight w:val="300"/>
        </w:trPr>
        <w:tc>
          <w:tcPr>
            <w:tcW w:w="1615" w:type="dxa"/>
            <w:tcBorders>
              <w:top w:val="nil"/>
              <w:left w:val="single" w:sz="4" w:space="0" w:color="448A99"/>
              <w:bottom w:val="single" w:sz="4" w:space="0" w:color="448A99"/>
              <w:right w:val="single" w:sz="4" w:space="0" w:color="448A99"/>
            </w:tcBorders>
            <w:shd w:val="clear" w:color="000000" w:fill="D2EAF1"/>
            <w:noWrap/>
            <w:vAlign w:val="center"/>
            <w:hideMark/>
          </w:tcPr>
          <w:p w:rsidR="00156005" w:rsidRPr="00B75B77" w:rsidRDefault="00156005" w:rsidP="00722C85">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Standard CFL</w:t>
            </w:r>
          </w:p>
        </w:tc>
        <w:tc>
          <w:tcPr>
            <w:tcW w:w="135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0.61</w:t>
            </w:r>
          </w:p>
        </w:tc>
        <w:tc>
          <w:tcPr>
            <w:tcW w:w="144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0.01</w:t>
            </w:r>
          </w:p>
        </w:tc>
        <w:tc>
          <w:tcPr>
            <w:tcW w:w="126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0.40</w:t>
            </w:r>
          </w:p>
        </w:tc>
        <w:tc>
          <w:tcPr>
            <w:tcW w:w="180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1.01</w:t>
            </w:r>
          </w:p>
        </w:tc>
        <w:tc>
          <w:tcPr>
            <w:tcW w:w="180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18%</w:t>
            </w:r>
          </w:p>
        </w:tc>
      </w:tr>
      <w:tr w:rsidR="00156005" w:rsidRPr="00B75B77" w:rsidTr="008E5423">
        <w:trPr>
          <w:trHeight w:val="300"/>
        </w:trPr>
        <w:tc>
          <w:tcPr>
            <w:tcW w:w="1615" w:type="dxa"/>
            <w:tcBorders>
              <w:top w:val="nil"/>
              <w:left w:val="single" w:sz="4" w:space="0" w:color="448A99"/>
              <w:bottom w:val="single" w:sz="4" w:space="0" w:color="448A99"/>
              <w:right w:val="single" w:sz="4" w:space="0" w:color="448A99"/>
            </w:tcBorders>
            <w:shd w:val="clear" w:color="000000" w:fill="FFFFFF"/>
            <w:noWrap/>
            <w:vAlign w:val="center"/>
            <w:hideMark/>
          </w:tcPr>
          <w:p w:rsidR="00156005" w:rsidRPr="00B75B77" w:rsidRDefault="00156005" w:rsidP="00722C85">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Standard LED</w:t>
            </w:r>
          </w:p>
        </w:tc>
        <w:tc>
          <w:tcPr>
            <w:tcW w:w="135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0.38</w:t>
            </w:r>
          </w:p>
        </w:tc>
        <w:tc>
          <w:tcPr>
            <w:tcW w:w="144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0.04</w:t>
            </w:r>
          </w:p>
        </w:tc>
        <w:tc>
          <w:tcPr>
            <w:tcW w:w="126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0.66</w:t>
            </w:r>
          </w:p>
        </w:tc>
        <w:tc>
          <w:tcPr>
            <w:tcW w:w="180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0.80</w:t>
            </w:r>
          </w:p>
        </w:tc>
        <w:tc>
          <w:tcPr>
            <w:tcW w:w="180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7%</w:t>
            </w:r>
          </w:p>
        </w:tc>
      </w:tr>
      <w:tr w:rsidR="00156005" w:rsidRPr="00B75B77" w:rsidTr="008E5423">
        <w:trPr>
          <w:trHeight w:val="300"/>
        </w:trPr>
        <w:tc>
          <w:tcPr>
            <w:tcW w:w="1615" w:type="dxa"/>
            <w:tcBorders>
              <w:top w:val="nil"/>
              <w:left w:val="single" w:sz="4" w:space="0" w:color="448A99"/>
              <w:bottom w:val="single" w:sz="4" w:space="0" w:color="448A99"/>
              <w:right w:val="single" w:sz="4" w:space="0" w:color="448A99"/>
            </w:tcBorders>
            <w:shd w:val="clear" w:color="000000" w:fill="D2EAF1"/>
            <w:noWrap/>
            <w:vAlign w:val="center"/>
            <w:hideMark/>
          </w:tcPr>
          <w:p w:rsidR="00156005" w:rsidRPr="00B75B77" w:rsidRDefault="00156005" w:rsidP="00722C85">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Specialty LED</w:t>
            </w:r>
          </w:p>
        </w:tc>
        <w:tc>
          <w:tcPr>
            <w:tcW w:w="135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0.42</w:t>
            </w:r>
          </w:p>
        </w:tc>
        <w:tc>
          <w:tcPr>
            <w:tcW w:w="144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0.04</w:t>
            </w:r>
          </w:p>
        </w:tc>
        <w:tc>
          <w:tcPr>
            <w:tcW w:w="126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0.62</w:t>
            </w:r>
          </w:p>
        </w:tc>
        <w:tc>
          <w:tcPr>
            <w:tcW w:w="180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0.93</w:t>
            </w:r>
          </w:p>
        </w:tc>
        <w:tc>
          <w:tcPr>
            <w:tcW w:w="1800" w:type="dxa"/>
            <w:tcBorders>
              <w:top w:val="nil"/>
              <w:left w:val="nil"/>
              <w:bottom w:val="single" w:sz="4" w:space="0" w:color="448A99"/>
              <w:right w:val="single" w:sz="4" w:space="0" w:color="448A99"/>
            </w:tcBorders>
            <w:shd w:val="clear" w:color="000000" w:fill="D2EAF1"/>
            <w:vAlign w:val="center"/>
            <w:hideMark/>
          </w:tcPr>
          <w:p w:rsidR="00156005" w:rsidRPr="00B75B77" w:rsidRDefault="00156005" w:rsidP="00722C85">
            <w:pPr>
              <w:jc w:val="center"/>
              <w:rPr>
                <w:rFonts w:ascii="Calibri" w:eastAsia="Times New Roman" w:hAnsi="Calibri"/>
                <w:color w:val="000000"/>
                <w:sz w:val="18"/>
                <w:szCs w:val="18"/>
              </w:rPr>
            </w:pPr>
            <w:r w:rsidRPr="00B75B77">
              <w:rPr>
                <w:rFonts w:ascii="Calibri" w:eastAsia="Times New Roman" w:hAnsi="Calibri"/>
                <w:color w:val="000000"/>
                <w:sz w:val="18"/>
                <w:szCs w:val="18"/>
              </w:rPr>
              <w:t>8%</w:t>
            </w:r>
          </w:p>
        </w:tc>
      </w:tr>
      <w:tr w:rsidR="00156005" w:rsidRPr="00B75B77" w:rsidTr="008E5423">
        <w:trPr>
          <w:trHeight w:val="288"/>
        </w:trPr>
        <w:tc>
          <w:tcPr>
            <w:tcW w:w="1615" w:type="dxa"/>
            <w:tcBorders>
              <w:top w:val="nil"/>
              <w:left w:val="single" w:sz="4" w:space="0" w:color="448A99"/>
              <w:bottom w:val="single" w:sz="4" w:space="0" w:color="448A99"/>
              <w:right w:val="single" w:sz="4" w:space="0" w:color="448A99"/>
            </w:tcBorders>
            <w:shd w:val="clear" w:color="000000" w:fill="FFFFFF"/>
            <w:noWrap/>
            <w:vAlign w:val="center"/>
            <w:hideMark/>
          </w:tcPr>
          <w:p w:rsidR="00156005" w:rsidRPr="00B75B77" w:rsidRDefault="008E5423" w:rsidP="00722C85">
            <w:pPr>
              <w:jc w:val="left"/>
              <w:rPr>
                <w:rFonts w:ascii="Calibri" w:eastAsia="Times New Roman" w:hAnsi="Calibri"/>
                <w:b/>
                <w:color w:val="000000"/>
                <w:sz w:val="18"/>
                <w:szCs w:val="18"/>
              </w:rPr>
            </w:pPr>
            <w:r w:rsidRPr="00B75B77">
              <w:rPr>
                <w:rFonts w:ascii="Calibri" w:eastAsia="Times New Roman" w:hAnsi="Calibri"/>
                <w:b/>
                <w:color w:val="000000"/>
                <w:sz w:val="18"/>
                <w:szCs w:val="18"/>
              </w:rPr>
              <w:t>PROGRAM TOTAL</w:t>
            </w:r>
          </w:p>
        </w:tc>
        <w:tc>
          <w:tcPr>
            <w:tcW w:w="135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722C85">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0.49</w:t>
            </w:r>
          </w:p>
        </w:tc>
        <w:tc>
          <w:tcPr>
            <w:tcW w:w="144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722C85">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0.03</w:t>
            </w:r>
          </w:p>
        </w:tc>
        <w:tc>
          <w:tcPr>
            <w:tcW w:w="126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722C85">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0.54</w:t>
            </w:r>
          </w:p>
        </w:tc>
        <w:tc>
          <w:tcPr>
            <w:tcW w:w="180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722C85">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0.28</w:t>
            </w:r>
          </w:p>
        </w:tc>
        <w:tc>
          <w:tcPr>
            <w:tcW w:w="1800" w:type="dxa"/>
            <w:tcBorders>
              <w:top w:val="nil"/>
              <w:left w:val="nil"/>
              <w:bottom w:val="single" w:sz="4" w:space="0" w:color="448A99"/>
              <w:right w:val="single" w:sz="4" w:space="0" w:color="448A99"/>
            </w:tcBorders>
            <w:shd w:val="clear" w:color="000000" w:fill="FFFFFF"/>
            <w:vAlign w:val="center"/>
            <w:hideMark/>
          </w:tcPr>
          <w:p w:rsidR="00156005" w:rsidRPr="00B75B77" w:rsidRDefault="00156005" w:rsidP="00722C85">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7%</w:t>
            </w:r>
          </w:p>
        </w:tc>
      </w:tr>
    </w:tbl>
    <w:p w:rsidR="00156005" w:rsidRPr="00B75B77" w:rsidRDefault="00156005" w:rsidP="00722C85">
      <w:pPr>
        <w:pStyle w:val="Source"/>
        <w:spacing w:before="20" w:after="20"/>
        <w:ind w:left="0" w:firstLine="0"/>
      </w:pPr>
      <w:r w:rsidRPr="00B75B77">
        <w:rPr>
          <w:rFonts w:ascii="Calibri" w:hAnsi="Calibri"/>
          <w:i w:val="0"/>
          <w:iCs/>
          <w:color w:val="000000"/>
          <w:szCs w:val="18"/>
        </w:rPr>
        <w:t>Note: Values in tables may not reconcile exactly with the sum of more detailed level results or previously reported results due to rounding.</w:t>
      </w:r>
    </w:p>
    <w:p w:rsidR="00156005" w:rsidRPr="00B75B77" w:rsidRDefault="00156005" w:rsidP="00722C85">
      <w:pPr>
        <w:pStyle w:val="Source"/>
        <w:ind w:left="0" w:firstLine="0"/>
      </w:pPr>
      <w:r w:rsidRPr="00B75B77">
        <w:t>Source: Navigant analysis</w:t>
      </w:r>
    </w:p>
    <w:p w:rsidR="00156005" w:rsidRPr="00B75B77" w:rsidRDefault="00156005" w:rsidP="00722C85">
      <w:pPr>
        <w:pStyle w:val="Heading2"/>
      </w:pPr>
      <w:bookmarkStart w:id="270" w:name="_Toc466413282"/>
      <w:r w:rsidRPr="00B75B77">
        <w:t>Process Evaluation</w:t>
      </w:r>
      <w:bookmarkEnd w:id="270"/>
    </w:p>
    <w:p w:rsidR="00156005" w:rsidRPr="00B75B77" w:rsidRDefault="00156005" w:rsidP="00722C85">
      <w:r w:rsidRPr="00B75B77">
        <w:t xml:space="preserve">Navigant employed a number of data collection methods for both lighting and non-lighting measures as part of the PY7 process evaluation. The team interviewed program staff from PECO and the CSP, </w:t>
      </w:r>
      <w:r w:rsidRPr="00B75B77">
        <w:lastRenderedPageBreak/>
        <w:t xml:space="preserve">conducted in-store shelf and intercept surveys, surveyed program participants, and spoke with HVAC installation contractors to gather feedback regarding the state of the SHR program. </w:t>
      </w:r>
    </w:p>
    <w:p w:rsidR="00156005" w:rsidRPr="00B75B77" w:rsidRDefault="00156005" w:rsidP="00722C85"/>
    <w:p w:rsidR="00156005" w:rsidRPr="00B75B77" w:rsidRDefault="00156005" w:rsidP="00722C85">
      <w:pPr>
        <w:pStyle w:val="Heading3"/>
        <w:keepNext/>
      </w:pPr>
      <w:bookmarkStart w:id="271" w:name="_Toc466413283"/>
      <w:r w:rsidRPr="00B75B77">
        <w:t>Process Evaluation Methodology</w:t>
      </w:r>
      <w:bookmarkEnd w:id="271"/>
      <w:r w:rsidRPr="00B75B77">
        <w:t xml:space="preserve"> </w:t>
      </w:r>
    </w:p>
    <w:p w:rsidR="00156005" w:rsidRPr="00B75B77" w:rsidRDefault="00156005" w:rsidP="00722C85">
      <w:pPr>
        <w:keepNext/>
      </w:pPr>
      <w:r w:rsidRPr="00B75B77">
        <w:t xml:space="preserve">The PECO staff and CSP interviews, conducted in March 2016, allowed </w:t>
      </w:r>
      <w:r w:rsidR="00F41372" w:rsidRPr="00B75B77">
        <w:t>Navigant</w:t>
      </w:r>
      <w:r w:rsidRPr="00B75B77">
        <w:t xml:space="preserve"> to collect information regarding program structure, program marketing, tracking data issues, and progress relative to program goals. The lighting</w:t>
      </w:r>
      <w:r w:rsidR="00F41372" w:rsidRPr="00B75B77">
        <w:t>-</w:t>
      </w:r>
      <w:r w:rsidRPr="00B75B77">
        <w:t xml:space="preserve">focused in-store intercept and shelf surveys collected information on customer awareness, satisfaction, purchase intentions, and shelf bulb mixes. The non-lighting participant surveys queried customers on their satisfaction with PECO and the SHR program, as well as the </w:t>
      </w:r>
      <w:r w:rsidR="00F41372" w:rsidRPr="00B75B77">
        <w:t xml:space="preserve">types </w:t>
      </w:r>
      <w:r w:rsidRPr="00B75B77">
        <w:t xml:space="preserve">of efficiency upgrades they would have done in </w:t>
      </w:r>
      <w:r w:rsidR="00F41372" w:rsidRPr="00B75B77">
        <w:t xml:space="preserve">the </w:t>
      </w:r>
      <w:r w:rsidRPr="00B75B77">
        <w:t xml:space="preserve">absence of the program. </w:t>
      </w:r>
    </w:p>
    <w:p w:rsidR="00156005" w:rsidRPr="00B75B77" w:rsidRDefault="00156005" w:rsidP="00722C85">
      <w:pPr>
        <w:keepNext/>
      </w:pPr>
    </w:p>
    <w:p w:rsidR="00156005" w:rsidRPr="00B75B77" w:rsidRDefault="00156005" w:rsidP="00722C85">
      <w:r w:rsidRPr="00B75B77">
        <w:t xml:space="preserve">Navigant also interviewed </w:t>
      </w:r>
      <w:r w:rsidR="00F41372" w:rsidRPr="00B75B77">
        <w:t xml:space="preserve">11 </w:t>
      </w:r>
      <w:r w:rsidRPr="00B75B77">
        <w:t xml:space="preserve">HVAC contractors and installers across PECO’s territory who installed equipment as part of the SHR program in PY7. The </w:t>
      </w:r>
      <w:r w:rsidR="00F41372" w:rsidRPr="00B75B77">
        <w:t xml:space="preserve">evaluation </w:t>
      </w:r>
      <w:r w:rsidRPr="00B75B77">
        <w:t>team wanted to understand how the program operated from a trade ally perspective given that a number of SHR</w:t>
      </w:r>
      <w:r w:rsidR="00F41372" w:rsidRPr="00B75B77">
        <w:t>-</w:t>
      </w:r>
      <w:r w:rsidRPr="00B75B77">
        <w:t xml:space="preserve">rebated measures require professional installations (e.g., air conditioners, heat pumps, etc.). </w:t>
      </w:r>
    </w:p>
    <w:p w:rsidR="00156005" w:rsidRPr="00B75B77" w:rsidRDefault="00156005" w:rsidP="00722C85"/>
    <w:p w:rsidR="00156005" w:rsidRPr="00B75B77" w:rsidRDefault="00156005" w:rsidP="00722C85">
      <w:pPr>
        <w:rPr>
          <w:b/>
          <w:bCs/>
        </w:rPr>
      </w:pPr>
      <w:r w:rsidRPr="00B75B77">
        <w:fldChar w:fldCharType="begin"/>
      </w:r>
      <w:r w:rsidRPr="00B75B77">
        <w:instrText xml:space="preserve"> REF _Ref464068743 \h </w:instrText>
      </w:r>
      <w:r w:rsidR="00B75B77">
        <w:instrText xml:space="preserve"> \* MERGEFORMAT </w:instrText>
      </w:r>
      <w:r w:rsidRPr="00B75B77">
        <w:fldChar w:fldCharType="separate"/>
      </w:r>
      <w:r w:rsidR="0004016D" w:rsidRPr="00B75B77">
        <w:t xml:space="preserve">Table </w:t>
      </w:r>
      <w:r w:rsidR="0004016D">
        <w:rPr>
          <w:noProof/>
        </w:rPr>
        <w:t>2</w:t>
      </w:r>
      <w:r w:rsidR="0004016D" w:rsidRPr="00B75B77">
        <w:rPr>
          <w:noProof/>
        </w:rPr>
        <w:noBreakHyphen/>
      </w:r>
      <w:r w:rsidR="0004016D">
        <w:rPr>
          <w:noProof/>
        </w:rPr>
        <w:t>9</w:t>
      </w:r>
      <w:r w:rsidRPr="00B75B77">
        <w:fldChar w:fldCharType="end"/>
      </w:r>
      <w:r w:rsidRPr="00B75B77">
        <w:t xml:space="preserve"> shows target sample sizes and achieved sample sizes for each data collection method where sampling was employed.</w:t>
      </w:r>
    </w:p>
    <w:p w:rsidR="00156005" w:rsidRPr="00B75B77" w:rsidRDefault="00156005" w:rsidP="00722C85">
      <w:pPr>
        <w:ind w:left="360"/>
        <w:rPr>
          <w:rFonts w:eastAsia="Times New Roman"/>
          <w:color w:val="000000"/>
        </w:rPr>
      </w:pPr>
    </w:p>
    <w:p w:rsidR="00156005" w:rsidRPr="00B75B77" w:rsidRDefault="00156005" w:rsidP="00F41372">
      <w:pPr>
        <w:pStyle w:val="Caption"/>
      </w:pPr>
      <w:bookmarkStart w:id="272" w:name="_Ref464068743"/>
      <w:bookmarkStart w:id="273" w:name="_Toc466413514"/>
      <w:r w:rsidRPr="00B75B77">
        <w:t xml:space="preserve">Table </w:t>
      </w:r>
      <w:fldSimple w:instr=" STYLEREF 1 \s ">
        <w:r w:rsidR="0004016D">
          <w:rPr>
            <w:noProof/>
          </w:rPr>
          <w:t>2</w:t>
        </w:r>
      </w:fldSimple>
      <w:r w:rsidR="00F1144C" w:rsidRPr="00B75B77">
        <w:noBreakHyphen/>
      </w:r>
      <w:fldSimple w:instr=" SEQ Table \* ARABIC \s 1 ">
        <w:r w:rsidR="0004016D">
          <w:rPr>
            <w:noProof/>
          </w:rPr>
          <w:t>9</w:t>
        </w:r>
      </w:fldSimple>
      <w:bookmarkEnd w:id="272"/>
      <w:r w:rsidRPr="00B75B77">
        <w:t>: Smart Home Rebates Process Sampling Strategy for PY7</w:t>
      </w:r>
      <w:bookmarkEnd w:id="273"/>
      <w:r w:rsidRPr="00B75B77">
        <w:t xml:space="preserve"> </w:t>
      </w:r>
    </w:p>
    <w:tbl>
      <w:tblPr>
        <w:tblStyle w:val="PECOTeal"/>
        <w:tblW w:w="9675" w:type="dxa"/>
        <w:tblLook w:val="04A0" w:firstRow="1" w:lastRow="0" w:firstColumn="1" w:lastColumn="0" w:noHBand="0" w:noVBand="1"/>
      </w:tblPr>
      <w:tblGrid>
        <w:gridCol w:w="1665"/>
        <w:gridCol w:w="1035"/>
        <w:gridCol w:w="1350"/>
        <w:gridCol w:w="1260"/>
        <w:gridCol w:w="990"/>
        <w:gridCol w:w="905"/>
        <w:gridCol w:w="1057"/>
        <w:gridCol w:w="1413"/>
      </w:tblGrid>
      <w:tr w:rsidR="00156005" w:rsidRPr="00B75B77" w:rsidTr="00635B17">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705" w:type="dxa"/>
            <w:hideMark/>
          </w:tcPr>
          <w:p w:rsidR="00156005" w:rsidRPr="00B75B77" w:rsidRDefault="00156005" w:rsidP="00F41372">
            <w:pPr>
              <w:keepNext/>
              <w:jc w:val="left"/>
              <w:rPr>
                <w:rFonts w:ascii="Calibri" w:eastAsia="Times New Roman" w:hAnsi="Calibri"/>
                <w:color w:val="FFFFFF"/>
                <w:szCs w:val="18"/>
              </w:rPr>
            </w:pPr>
            <w:r w:rsidRPr="00B75B77">
              <w:rPr>
                <w:rFonts w:ascii="Calibri" w:eastAsia="Times New Roman" w:hAnsi="Calibri"/>
                <w:color w:val="FFFFFF"/>
                <w:szCs w:val="18"/>
              </w:rPr>
              <w:t>Stratum</w:t>
            </w:r>
          </w:p>
        </w:tc>
        <w:tc>
          <w:tcPr>
            <w:tcW w:w="1035" w:type="dxa"/>
            <w:hideMark/>
          </w:tcPr>
          <w:p w:rsidR="00156005" w:rsidRPr="00B75B77" w:rsidRDefault="00156005" w:rsidP="00F41372">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FFFFFF"/>
                <w:szCs w:val="18"/>
              </w:rPr>
            </w:pPr>
            <w:r w:rsidRPr="00B75B77">
              <w:rPr>
                <w:rFonts w:ascii="Calibri" w:eastAsia="Times New Roman" w:hAnsi="Calibri"/>
                <w:color w:val="FFFFFF"/>
                <w:szCs w:val="18"/>
              </w:rPr>
              <w:t>Population Size</w:t>
            </w:r>
          </w:p>
        </w:tc>
        <w:tc>
          <w:tcPr>
            <w:tcW w:w="1350" w:type="dxa"/>
            <w:hideMark/>
          </w:tcPr>
          <w:p w:rsidR="00156005" w:rsidRPr="00B75B77" w:rsidRDefault="00156005" w:rsidP="00F41372">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FFFFFF"/>
                <w:szCs w:val="18"/>
              </w:rPr>
            </w:pPr>
            <w:r w:rsidRPr="00B75B77">
              <w:rPr>
                <w:rFonts w:ascii="Calibri" w:eastAsia="Times New Roman" w:hAnsi="Calibri"/>
                <w:color w:val="FFFFFF"/>
                <w:szCs w:val="18"/>
              </w:rPr>
              <w:t>Assumed Proportion or CV in Sample Design</w:t>
            </w:r>
          </w:p>
        </w:tc>
        <w:tc>
          <w:tcPr>
            <w:tcW w:w="1260" w:type="dxa"/>
            <w:hideMark/>
          </w:tcPr>
          <w:p w:rsidR="00156005" w:rsidRPr="00B75B77" w:rsidRDefault="00156005" w:rsidP="00F41372">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FFFFFF"/>
                <w:szCs w:val="18"/>
              </w:rPr>
            </w:pPr>
            <w:r w:rsidRPr="00B75B77">
              <w:rPr>
                <w:rFonts w:ascii="Calibri" w:eastAsia="Times New Roman" w:hAnsi="Calibri"/>
                <w:color w:val="FFFFFF"/>
                <w:szCs w:val="18"/>
              </w:rPr>
              <w:t>Assumed Levels of Confidence  and Precision</w:t>
            </w:r>
          </w:p>
        </w:tc>
        <w:tc>
          <w:tcPr>
            <w:tcW w:w="990" w:type="dxa"/>
            <w:hideMark/>
          </w:tcPr>
          <w:p w:rsidR="00156005" w:rsidRPr="00B75B77" w:rsidRDefault="00156005" w:rsidP="00F41372">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FFFFFF"/>
                <w:szCs w:val="18"/>
              </w:rPr>
            </w:pPr>
            <w:r w:rsidRPr="00B75B77">
              <w:rPr>
                <w:rFonts w:ascii="Calibri" w:eastAsia="Times New Roman" w:hAnsi="Calibri"/>
                <w:color w:val="FFFFFF"/>
                <w:szCs w:val="18"/>
              </w:rPr>
              <w:t>Target Sample Size</w:t>
            </w:r>
          </w:p>
        </w:tc>
        <w:tc>
          <w:tcPr>
            <w:tcW w:w="905" w:type="dxa"/>
            <w:hideMark/>
          </w:tcPr>
          <w:p w:rsidR="00156005" w:rsidRPr="00B75B77" w:rsidRDefault="00156005" w:rsidP="00F41372">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FFFFFF"/>
                <w:szCs w:val="18"/>
              </w:rPr>
            </w:pPr>
            <w:r w:rsidRPr="00B75B77">
              <w:rPr>
                <w:rFonts w:ascii="Calibri" w:eastAsia="Times New Roman" w:hAnsi="Calibri"/>
                <w:color w:val="FFFFFF"/>
                <w:szCs w:val="18"/>
              </w:rPr>
              <w:t>Achieved Sample Size</w:t>
            </w:r>
          </w:p>
        </w:tc>
        <w:tc>
          <w:tcPr>
            <w:tcW w:w="990" w:type="dxa"/>
            <w:hideMark/>
          </w:tcPr>
          <w:p w:rsidR="00156005" w:rsidRPr="00B75B77" w:rsidRDefault="00237810" w:rsidP="00F41372">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FFFFFF"/>
                <w:szCs w:val="18"/>
              </w:rPr>
            </w:pPr>
            <w:hyperlink r:id="rId43" w:anchor="RANGE!_ftn1" w:history="1">
              <w:r w:rsidR="00156005" w:rsidRPr="00B75B77">
                <w:rPr>
                  <w:rFonts w:ascii="Calibri" w:eastAsia="Times New Roman" w:hAnsi="Calibri"/>
                  <w:color w:val="FFFFFF"/>
                  <w:szCs w:val="18"/>
                </w:rPr>
                <w:t>Percent</w:t>
              </w:r>
              <w:r w:rsidR="00F41372" w:rsidRPr="00B75B77">
                <w:rPr>
                  <w:rFonts w:ascii="Calibri" w:eastAsia="Times New Roman" w:hAnsi="Calibri"/>
                  <w:color w:val="FFFFFF"/>
                  <w:szCs w:val="18"/>
                </w:rPr>
                <w:t>age</w:t>
              </w:r>
              <w:r w:rsidR="00156005" w:rsidRPr="00B75B77">
                <w:rPr>
                  <w:rFonts w:ascii="Calibri" w:eastAsia="Times New Roman" w:hAnsi="Calibri"/>
                  <w:color w:val="FFFFFF"/>
                  <w:szCs w:val="18"/>
                </w:rPr>
                <w:t xml:space="preserve"> of Sample Frame Contacted to Achieve Sample</w:t>
              </w:r>
            </w:hyperlink>
          </w:p>
        </w:tc>
        <w:tc>
          <w:tcPr>
            <w:tcW w:w="1440" w:type="dxa"/>
            <w:hideMark/>
          </w:tcPr>
          <w:p w:rsidR="00156005" w:rsidRPr="00B75B77" w:rsidRDefault="00156005" w:rsidP="00F41372">
            <w:pPr>
              <w:keepNext/>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FFFFFF"/>
                <w:szCs w:val="18"/>
              </w:rPr>
            </w:pPr>
            <w:r w:rsidRPr="00B75B77">
              <w:rPr>
                <w:rFonts w:ascii="Calibri" w:eastAsia="Times New Roman" w:hAnsi="Calibri"/>
                <w:color w:val="FFFFFF"/>
                <w:szCs w:val="18"/>
              </w:rPr>
              <w:t>Used For Evaluation Activities (Impact, Process, NTG)</w:t>
            </w:r>
          </w:p>
        </w:tc>
      </w:tr>
      <w:tr w:rsidR="00156005" w:rsidRPr="00B75B77" w:rsidTr="00635B1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5" w:type="dxa"/>
            <w:hideMark/>
          </w:tcPr>
          <w:p w:rsidR="00156005" w:rsidRPr="00B75B77" w:rsidRDefault="00635B17" w:rsidP="00F41372">
            <w:pPr>
              <w:keepNext/>
              <w:jc w:val="left"/>
              <w:rPr>
                <w:rFonts w:ascii="Calibri" w:eastAsia="Times New Roman" w:hAnsi="Calibri"/>
                <w:b w:val="0"/>
                <w:color w:val="000000"/>
                <w:szCs w:val="18"/>
              </w:rPr>
            </w:pPr>
            <w:r w:rsidRPr="00B75B77">
              <w:rPr>
                <w:rFonts w:ascii="Calibri" w:eastAsia="Times New Roman" w:hAnsi="Calibri"/>
                <w:b w:val="0"/>
                <w:bCs w:val="0"/>
                <w:color w:val="000000"/>
                <w:szCs w:val="18"/>
              </w:rPr>
              <w:t>Appliance Participants</w:t>
            </w:r>
          </w:p>
        </w:tc>
        <w:tc>
          <w:tcPr>
            <w:tcW w:w="1035" w:type="dxa"/>
            <w:hideMark/>
          </w:tcPr>
          <w:p w:rsidR="00156005" w:rsidRPr="00B75B77" w:rsidRDefault="00156005" w:rsidP="00F41372">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15,181</w:t>
            </w:r>
          </w:p>
        </w:tc>
        <w:tc>
          <w:tcPr>
            <w:tcW w:w="1350" w:type="dxa"/>
            <w:noWrap/>
            <w:hideMark/>
          </w:tcPr>
          <w:p w:rsidR="00156005" w:rsidRPr="00B75B77" w:rsidRDefault="00156005" w:rsidP="00F41372">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1.00</w:t>
            </w:r>
          </w:p>
        </w:tc>
        <w:tc>
          <w:tcPr>
            <w:tcW w:w="1260" w:type="dxa"/>
            <w:noWrap/>
            <w:hideMark/>
          </w:tcPr>
          <w:p w:rsidR="00156005" w:rsidRPr="00B75B77" w:rsidRDefault="00156005" w:rsidP="00F41372">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85/15</w:t>
            </w:r>
          </w:p>
        </w:tc>
        <w:tc>
          <w:tcPr>
            <w:tcW w:w="990" w:type="dxa"/>
            <w:noWrap/>
            <w:hideMark/>
          </w:tcPr>
          <w:p w:rsidR="00156005" w:rsidRPr="00B75B77" w:rsidRDefault="00156005" w:rsidP="00F41372">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100</w:t>
            </w:r>
          </w:p>
        </w:tc>
        <w:tc>
          <w:tcPr>
            <w:tcW w:w="905" w:type="dxa"/>
            <w:hideMark/>
          </w:tcPr>
          <w:p w:rsidR="00156005" w:rsidRPr="00B75B77" w:rsidRDefault="00156005" w:rsidP="00F41372">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1</w:t>
            </w:r>
            <w:r w:rsidR="00192A37" w:rsidRPr="00B75B77">
              <w:rPr>
                <w:rFonts w:ascii="Calibri" w:eastAsia="Times New Roman" w:hAnsi="Calibri"/>
                <w:color w:val="000000"/>
                <w:szCs w:val="18"/>
              </w:rPr>
              <w:t>00</w:t>
            </w:r>
          </w:p>
        </w:tc>
        <w:tc>
          <w:tcPr>
            <w:tcW w:w="990" w:type="dxa"/>
            <w:hideMark/>
          </w:tcPr>
          <w:p w:rsidR="00156005" w:rsidRPr="00B75B77" w:rsidRDefault="00192A37" w:rsidP="00F41372">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100</w:t>
            </w:r>
          </w:p>
        </w:tc>
        <w:tc>
          <w:tcPr>
            <w:tcW w:w="1440" w:type="dxa"/>
            <w:hideMark/>
          </w:tcPr>
          <w:p w:rsidR="00156005" w:rsidRPr="00B75B77" w:rsidRDefault="00156005" w:rsidP="00F41372">
            <w:pPr>
              <w:keepNext/>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Process evaluation</w:t>
            </w:r>
          </w:p>
        </w:tc>
      </w:tr>
      <w:tr w:rsidR="00156005" w:rsidRPr="00B75B77" w:rsidTr="00635B1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5" w:type="dxa"/>
            <w:hideMark/>
          </w:tcPr>
          <w:p w:rsidR="00156005" w:rsidRPr="00B75B77" w:rsidRDefault="00156005" w:rsidP="00F41372">
            <w:pPr>
              <w:keepNext/>
              <w:jc w:val="left"/>
              <w:rPr>
                <w:rFonts w:ascii="Calibri" w:eastAsia="Times New Roman" w:hAnsi="Calibri"/>
                <w:b w:val="0"/>
                <w:color w:val="000000"/>
                <w:szCs w:val="18"/>
              </w:rPr>
            </w:pPr>
            <w:r w:rsidRPr="00B75B77">
              <w:rPr>
                <w:rFonts w:ascii="Calibri" w:eastAsia="Times New Roman" w:hAnsi="Calibri"/>
                <w:b w:val="0"/>
                <w:bCs w:val="0"/>
                <w:color w:val="000000"/>
                <w:szCs w:val="18"/>
              </w:rPr>
              <w:t>HVAC</w:t>
            </w:r>
            <w:r w:rsidR="00635B17" w:rsidRPr="00B75B77">
              <w:rPr>
                <w:rFonts w:ascii="Calibri" w:eastAsia="Times New Roman" w:hAnsi="Calibri"/>
                <w:b w:val="0"/>
                <w:bCs w:val="0"/>
                <w:color w:val="000000"/>
                <w:szCs w:val="18"/>
              </w:rPr>
              <w:t xml:space="preserve"> Participants </w:t>
            </w:r>
          </w:p>
        </w:tc>
        <w:tc>
          <w:tcPr>
            <w:tcW w:w="1035" w:type="dxa"/>
            <w:hideMark/>
          </w:tcPr>
          <w:p w:rsidR="00156005" w:rsidRPr="00B75B77" w:rsidRDefault="00156005" w:rsidP="00F41372">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10,304</w:t>
            </w:r>
          </w:p>
        </w:tc>
        <w:tc>
          <w:tcPr>
            <w:tcW w:w="1350" w:type="dxa"/>
            <w:noWrap/>
            <w:hideMark/>
          </w:tcPr>
          <w:p w:rsidR="00156005" w:rsidRPr="00B75B77" w:rsidRDefault="00156005" w:rsidP="00F41372">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1.00</w:t>
            </w:r>
          </w:p>
        </w:tc>
        <w:tc>
          <w:tcPr>
            <w:tcW w:w="1260" w:type="dxa"/>
            <w:noWrap/>
            <w:hideMark/>
          </w:tcPr>
          <w:p w:rsidR="00156005" w:rsidRPr="00B75B77" w:rsidRDefault="00156005" w:rsidP="00F41372">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85/15</w:t>
            </w:r>
          </w:p>
        </w:tc>
        <w:tc>
          <w:tcPr>
            <w:tcW w:w="990" w:type="dxa"/>
            <w:noWrap/>
            <w:hideMark/>
          </w:tcPr>
          <w:p w:rsidR="00156005" w:rsidRPr="00B75B77" w:rsidRDefault="00156005" w:rsidP="00F41372">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100</w:t>
            </w:r>
          </w:p>
        </w:tc>
        <w:tc>
          <w:tcPr>
            <w:tcW w:w="905" w:type="dxa"/>
            <w:hideMark/>
          </w:tcPr>
          <w:p w:rsidR="00156005" w:rsidRPr="00B75B77" w:rsidRDefault="00192A37" w:rsidP="00F41372">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100</w:t>
            </w:r>
          </w:p>
        </w:tc>
        <w:tc>
          <w:tcPr>
            <w:tcW w:w="990" w:type="dxa"/>
            <w:hideMark/>
          </w:tcPr>
          <w:p w:rsidR="00156005" w:rsidRPr="00B75B77" w:rsidRDefault="00192A37" w:rsidP="00F41372">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100</w:t>
            </w:r>
          </w:p>
        </w:tc>
        <w:tc>
          <w:tcPr>
            <w:tcW w:w="1440" w:type="dxa"/>
            <w:hideMark/>
          </w:tcPr>
          <w:p w:rsidR="00156005" w:rsidRPr="00B75B77" w:rsidRDefault="00156005" w:rsidP="00F41372">
            <w:pPr>
              <w:keepNext/>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Process evaluation</w:t>
            </w:r>
          </w:p>
        </w:tc>
      </w:tr>
      <w:tr w:rsidR="00156005" w:rsidRPr="00B75B77" w:rsidTr="00635B1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5" w:type="dxa"/>
            <w:hideMark/>
          </w:tcPr>
          <w:p w:rsidR="00156005" w:rsidRPr="00B75B77" w:rsidRDefault="00156005" w:rsidP="00F41372">
            <w:pPr>
              <w:keepNext/>
              <w:jc w:val="left"/>
              <w:rPr>
                <w:rFonts w:ascii="Calibri" w:eastAsia="Times New Roman" w:hAnsi="Calibri"/>
                <w:b w:val="0"/>
                <w:color w:val="000000"/>
                <w:szCs w:val="18"/>
              </w:rPr>
            </w:pPr>
            <w:r w:rsidRPr="00B75B77">
              <w:rPr>
                <w:rFonts w:ascii="Calibri" w:eastAsia="Times New Roman" w:hAnsi="Calibri"/>
                <w:b w:val="0"/>
                <w:color w:val="000000"/>
                <w:szCs w:val="18"/>
              </w:rPr>
              <w:t>Participant In-</w:t>
            </w:r>
            <w:r w:rsidR="00F41372" w:rsidRPr="00B75B77">
              <w:rPr>
                <w:rFonts w:ascii="Calibri" w:eastAsia="Times New Roman" w:hAnsi="Calibri"/>
                <w:b w:val="0"/>
                <w:color w:val="000000"/>
                <w:szCs w:val="18"/>
              </w:rPr>
              <w:t>S</w:t>
            </w:r>
            <w:r w:rsidRPr="00B75B77">
              <w:rPr>
                <w:rFonts w:ascii="Calibri" w:eastAsia="Times New Roman" w:hAnsi="Calibri"/>
                <w:b w:val="0"/>
                <w:color w:val="000000"/>
                <w:szCs w:val="18"/>
              </w:rPr>
              <w:t xml:space="preserve">tore </w:t>
            </w:r>
            <w:r w:rsidR="00F41372" w:rsidRPr="00B75B77">
              <w:rPr>
                <w:rFonts w:ascii="Calibri" w:eastAsia="Times New Roman" w:hAnsi="Calibri"/>
                <w:b w:val="0"/>
                <w:color w:val="000000"/>
                <w:szCs w:val="18"/>
              </w:rPr>
              <w:t>I</w:t>
            </w:r>
            <w:r w:rsidRPr="00B75B77">
              <w:rPr>
                <w:rFonts w:ascii="Calibri" w:eastAsia="Times New Roman" w:hAnsi="Calibri"/>
                <w:b w:val="0"/>
                <w:color w:val="000000"/>
                <w:szCs w:val="18"/>
              </w:rPr>
              <w:t xml:space="preserve">ntercept </w:t>
            </w:r>
            <w:r w:rsidR="00F41372" w:rsidRPr="00B75B77">
              <w:rPr>
                <w:rFonts w:ascii="Calibri" w:eastAsia="Times New Roman" w:hAnsi="Calibri"/>
                <w:b w:val="0"/>
                <w:color w:val="000000"/>
                <w:szCs w:val="18"/>
              </w:rPr>
              <w:t>S</w:t>
            </w:r>
            <w:r w:rsidRPr="00B75B77">
              <w:rPr>
                <w:rFonts w:ascii="Calibri" w:eastAsia="Times New Roman" w:hAnsi="Calibri"/>
                <w:b w:val="0"/>
                <w:color w:val="000000"/>
                <w:szCs w:val="18"/>
              </w:rPr>
              <w:t>urvey</w:t>
            </w:r>
          </w:p>
        </w:tc>
        <w:tc>
          <w:tcPr>
            <w:tcW w:w="1035" w:type="dxa"/>
            <w:hideMark/>
          </w:tcPr>
          <w:p w:rsidR="00156005" w:rsidRPr="00B75B77" w:rsidRDefault="00156005" w:rsidP="00F41372">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3,614,906</w:t>
            </w:r>
          </w:p>
        </w:tc>
        <w:tc>
          <w:tcPr>
            <w:tcW w:w="1350" w:type="dxa"/>
            <w:hideMark/>
          </w:tcPr>
          <w:p w:rsidR="00156005" w:rsidRPr="00B75B77" w:rsidRDefault="00156005" w:rsidP="00F41372">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0.92</w:t>
            </w:r>
          </w:p>
        </w:tc>
        <w:tc>
          <w:tcPr>
            <w:tcW w:w="1260" w:type="dxa"/>
            <w:hideMark/>
          </w:tcPr>
          <w:p w:rsidR="00156005" w:rsidRPr="00B75B77" w:rsidRDefault="00156005" w:rsidP="00F41372">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85/15</w:t>
            </w:r>
          </w:p>
        </w:tc>
        <w:tc>
          <w:tcPr>
            <w:tcW w:w="990" w:type="dxa"/>
            <w:hideMark/>
          </w:tcPr>
          <w:p w:rsidR="00156005" w:rsidRPr="00B75B77" w:rsidRDefault="00156005" w:rsidP="00F41372">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800</w:t>
            </w:r>
          </w:p>
        </w:tc>
        <w:tc>
          <w:tcPr>
            <w:tcW w:w="905" w:type="dxa"/>
            <w:hideMark/>
          </w:tcPr>
          <w:p w:rsidR="00156005" w:rsidRPr="00B75B77" w:rsidRDefault="00156005" w:rsidP="00F41372">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530</w:t>
            </w:r>
          </w:p>
        </w:tc>
        <w:tc>
          <w:tcPr>
            <w:tcW w:w="990" w:type="dxa"/>
            <w:hideMark/>
          </w:tcPr>
          <w:p w:rsidR="00156005" w:rsidRPr="00B75B77" w:rsidRDefault="00156005" w:rsidP="00F41372">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66%</w:t>
            </w:r>
          </w:p>
        </w:tc>
        <w:tc>
          <w:tcPr>
            <w:tcW w:w="1440" w:type="dxa"/>
            <w:hideMark/>
          </w:tcPr>
          <w:p w:rsidR="00156005" w:rsidRPr="00B75B77" w:rsidRDefault="00156005" w:rsidP="00F41372">
            <w:pPr>
              <w:keepNext/>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Process evaluation</w:t>
            </w:r>
          </w:p>
        </w:tc>
      </w:tr>
      <w:tr w:rsidR="00156005" w:rsidRPr="00B75B77" w:rsidTr="00635B1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5" w:type="dxa"/>
            <w:hideMark/>
          </w:tcPr>
          <w:p w:rsidR="00156005" w:rsidRPr="00B75B77" w:rsidRDefault="00156005" w:rsidP="00F41372">
            <w:pPr>
              <w:keepNext/>
              <w:jc w:val="left"/>
              <w:rPr>
                <w:rFonts w:ascii="Calibri" w:eastAsia="Times New Roman" w:hAnsi="Calibri"/>
                <w:b w:val="0"/>
                <w:color w:val="000000"/>
                <w:szCs w:val="18"/>
              </w:rPr>
            </w:pPr>
            <w:r w:rsidRPr="00B75B77">
              <w:rPr>
                <w:rFonts w:ascii="Calibri" w:eastAsia="Times New Roman" w:hAnsi="Calibri"/>
                <w:b w:val="0"/>
                <w:color w:val="000000"/>
                <w:szCs w:val="18"/>
              </w:rPr>
              <w:t>Program</w:t>
            </w:r>
            <w:r w:rsidR="00F41372" w:rsidRPr="00B75B77">
              <w:rPr>
                <w:rFonts w:ascii="Calibri" w:eastAsia="Times New Roman" w:hAnsi="Calibri"/>
                <w:b w:val="0"/>
                <w:color w:val="000000"/>
                <w:szCs w:val="18"/>
              </w:rPr>
              <w:t xml:space="preserve"> </w:t>
            </w:r>
            <w:r w:rsidRPr="00B75B77">
              <w:rPr>
                <w:rFonts w:ascii="Calibri" w:eastAsia="Times New Roman" w:hAnsi="Calibri"/>
                <w:b w:val="0"/>
                <w:color w:val="000000"/>
                <w:szCs w:val="18"/>
              </w:rPr>
              <w:t>Manager Interview</w:t>
            </w:r>
          </w:p>
        </w:tc>
        <w:tc>
          <w:tcPr>
            <w:tcW w:w="1035" w:type="dxa"/>
            <w:hideMark/>
          </w:tcPr>
          <w:p w:rsidR="00156005" w:rsidRPr="00B75B77" w:rsidRDefault="00156005" w:rsidP="00F41372">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1</w:t>
            </w:r>
          </w:p>
        </w:tc>
        <w:tc>
          <w:tcPr>
            <w:tcW w:w="1350" w:type="dxa"/>
            <w:hideMark/>
          </w:tcPr>
          <w:p w:rsidR="00156005" w:rsidRPr="00B75B77" w:rsidRDefault="00156005" w:rsidP="00F41372">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N/A</w:t>
            </w:r>
          </w:p>
        </w:tc>
        <w:tc>
          <w:tcPr>
            <w:tcW w:w="1260" w:type="dxa"/>
            <w:hideMark/>
          </w:tcPr>
          <w:p w:rsidR="00156005" w:rsidRPr="00B75B77" w:rsidRDefault="00156005" w:rsidP="00F41372">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N/A</w:t>
            </w:r>
          </w:p>
        </w:tc>
        <w:tc>
          <w:tcPr>
            <w:tcW w:w="990" w:type="dxa"/>
            <w:hideMark/>
          </w:tcPr>
          <w:p w:rsidR="00156005" w:rsidRPr="00B75B77" w:rsidRDefault="00156005" w:rsidP="00F41372">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1</w:t>
            </w:r>
          </w:p>
        </w:tc>
        <w:tc>
          <w:tcPr>
            <w:tcW w:w="905" w:type="dxa"/>
            <w:hideMark/>
          </w:tcPr>
          <w:p w:rsidR="00156005" w:rsidRPr="00B75B77" w:rsidRDefault="00156005" w:rsidP="00F41372">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1</w:t>
            </w:r>
          </w:p>
        </w:tc>
        <w:tc>
          <w:tcPr>
            <w:tcW w:w="990" w:type="dxa"/>
            <w:hideMark/>
          </w:tcPr>
          <w:p w:rsidR="00156005" w:rsidRPr="00B75B77" w:rsidRDefault="00156005" w:rsidP="00F41372">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100%</w:t>
            </w:r>
          </w:p>
        </w:tc>
        <w:tc>
          <w:tcPr>
            <w:tcW w:w="1440" w:type="dxa"/>
            <w:hideMark/>
          </w:tcPr>
          <w:p w:rsidR="00156005" w:rsidRPr="00B75B77" w:rsidRDefault="00156005" w:rsidP="00F41372">
            <w:pPr>
              <w:keepNext/>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Process evaluation</w:t>
            </w:r>
          </w:p>
        </w:tc>
      </w:tr>
      <w:tr w:rsidR="00156005" w:rsidRPr="00B75B77" w:rsidTr="00635B1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5" w:type="dxa"/>
            <w:hideMark/>
          </w:tcPr>
          <w:p w:rsidR="00156005" w:rsidRPr="00B75B77" w:rsidRDefault="00635B17" w:rsidP="00F41372">
            <w:pPr>
              <w:keepNext/>
              <w:jc w:val="left"/>
              <w:rPr>
                <w:rFonts w:ascii="Calibri" w:eastAsia="Times New Roman" w:hAnsi="Calibri"/>
                <w:b w:val="0"/>
                <w:color w:val="000000"/>
                <w:szCs w:val="18"/>
              </w:rPr>
            </w:pPr>
            <w:r w:rsidRPr="00B75B77">
              <w:rPr>
                <w:rFonts w:ascii="Calibri" w:eastAsia="Times New Roman" w:hAnsi="Calibri"/>
                <w:b w:val="0"/>
                <w:bCs w:val="0"/>
                <w:color w:val="000000"/>
                <w:szCs w:val="18"/>
              </w:rPr>
              <w:t>CSP</w:t>
            </w:r>
            <w:r w:rsidR="00156005" w:rsidRPr="00B75B77">
              <w:rPr>
                <w:rFonts w:ascii="Calibri" w:eastAsia="Times New Roman" w:hAnsi="Calibri"/>
                <w:b w:val="0"/>
                <w:bCs w:val="0"/>
                <w:color w:val="000000"/>
                <w:szCs w:val="18"/>
              </w:rPr>
              <w:t xml:space="preserve"> Interview</w:t>
            </w:r>
          </w:p>
        </w:tc>
        <w:tc>
          <w:tcPr>
            <w:tcW w:w="1035" w:type="dxa"/>
            <w:hideMark/>
          </w:tcPr>
          <w:p w:rsidR="00156005" w:rsidRPr="00B75B77" w:rsidRDefault="00156005" w:rsidP="00F41372">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1</w:t>
            </w:r>
          </w:p>
        </w:tc>
        <w:tc>
          <w:tcPr>
            <w:tcW w:w="1350" w:type="dxa"/>
            <w:hideMark/>
          </w:tcPr>
          <w:p w:rsidR="00156005" w:rsidRPr="00B75B77" w:rsidRDefault="00156005" w:rsidP="00F41372">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N/A</w:t>
            </w:r>
          </w:p>
        </w:tc>
        <w:tc>
          <w:tcPr>
            <w:tcW w:w="1260" w:type="dxa"/>
            <w:hideMark/>
          </w:tcPr>
          <w:p w:rsidR="00156005" w:rsidRPr="00B75B77" w:rsidRDefault="00156005" w:rsidP="00F41372">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N/A</w:t>
            </w:r>
          </w:p>
        </w:tc>
        <w:tc>
          <w:tcPr>
            <w:tcW w:w="990" w:type="dxa"/>
            <w:hideMark/>
          </w:tcPr>
          <w:p w:rsidR="00156005" w:rsidRPr="00B75B77" w:rsidRDefault="00156005" w:rsidP="00F41372">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1</w:t>
            </w:r>
          </w:p>
        </w:tc>
        <w:tc>
          <w:tcPr>
            <w:tcW w:w="905" w:type="dxa"/>
            <w:hideMark/>
          </w:tcPr>
          <w:p w:rsidR="00156005" w:rsidRPr="00B75B77" w:rsidRDefault="00156005" w:rsidP="00F41372">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1</w:t>
            </w:r>
          </w:p>
        </w:tc>
        <w:tc>
          <w:tcPr>
            <w:tcW w:w="990" w:type="dxa"/>
            <w:hideMark/>
          </w:tcPr>
          <w:p w:rsidR="00156005" w:rsidRPr="00B75B77" w:rsidRDefault="00156005" w:rsidP="00F41372">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100%</w:t>
            </w:r>
          </w:p>
        </w:tc>
        <w:tc>
          <w:tcPr>
            <w:tcW w:w="1440" w:type="dxa"/>
            <w:hideMark/>
          </w:tcPr>
          <w:p w:rsidR="00156005" w:rsidRPr="00B75B77" w:rsidRDefault="00156005" w:rsidP="00F41372">
            <w:pPr>
              <w:keepNext/>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Process evaluation</w:t>
            </w:r>
          </w:p>
        </w:tc>
      </w:tr>
      <w:tr w:rsidR="00635B17" w:rsidRPr="00B75B77" w:rsidTr="00635B1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5" w:type="dxa"/>
          </w:tcPr>
          <w:p w:rsidR="00635B17" w:rsidRPr="00B75B77" w:rsidRDefault="00635B17" w:rsidP="00635B17">
            <w:pPr>
              <w:keepNext/>
              <w:jc w:val="left"/>
              <w:rPr>
                <w:rFonts w:ascii="Calibri" w:eastAsia="Times New Roman" w:hAnsi="Calibri"/>
                <w:b w:val="0"/>
                <w:bCs w:val="0"/>
                <w:color w:val="000000"/>
                <w:szCs w:val="18"/>
              </w:rPr>
            </w:pPr>
            <w:r w:rsidRPr="00B75B77">
              <w:rPr>
                <w:rFonts w:ascii="Calibri" w:eastAsia="Times New Roman" w:hAnsi="Calibri"/>
                <w:b w:val="0"/>
                <w:bCs w:val="0"/>
                <w:color w:val="000000"/>
                <w:szCs w:val="18"/>
              </w:rPr>
              <w:t xml:space="preserve">Participant HVAC Installer Interviews  </w:t>
            </w:r>
          </w:p>
        </w:tc>
        <w:tc>
          <w:tcPr>
            <w:tcW w:w="1035" w:type="dxa"/>
          </w:tcPr>
          <w:p w:rsidR="00635B17" w:rsidRPr="00B75B77" w:rsidRDefault="00FC4CE8" w:rsidP="00F41372">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614</w:t>
            </w:r>
          </w:p>
        </w:tc>
        <w:tc>
          <w:tcPr>
            <w:tcW w:w="1350" w:type="dxa"/>
          </w:tcPr>
          <w:p w:rsidR="00635B17" w:rsidRPr="00B75B77" w:rsidRDefault="00FC4CE8" w:rsidP="00F41372">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1.00</w:t>
            </w:r>
          </w:p>
        </w:tc>
        <w:tc>
          <w:tcPr>
            <w:tcW w:w="1260" w:type="dxa"/>
          </w:tcPr>
          <w:p w:rsidR="00635B17" w:rsidRPr="00B75B77" w:rsidRDefault="00FC4CE8" w:rsidP="00F41372">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85/15</w:t>
            </w:r>
          </w:p>
        </w:tc>
        <w:tc>
          <w:tcPr>
            <w:tcW w:w="990" w:type="dxa"/>
          </w:tcPr>
          <w:p w:rsidR="00635B17" w:rsidRPr="00B75B77" w:rsidRDefault="00FC4CE8" w:rsidP="00F41372">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12</w:t>
            </w:r>
          </w:p>
        </w:tc>
        <w:tc>
          <w:tcPr>
            <w:tcW w:w="905" w:type="dxa"/>
          </w:tcPr>
          <w:p w:rsidR="00635B17" w:rsidRPr="00B75B77" w:rsidRDefault="00FC4CE8" w:rsidP="00F41372">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11</w:t>
            </w:r>
          </w:p>
        </w:tc>
        <w:tc>
          <w:tcPr>
            <w:tcW w:w="990" w:type="dxa"/>
          </w:tcPr>
          <w:p w:rsidR="00635B17" w:rsidRPr="00B75B77" w:rsidRDefault="00FC4CE8" w:rsidP="00F41372">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92%</w:t>
            </w:r>
          </w:p>
        </w:tc>
        <w:tc>
          <w:tcPr>
            <w:tcW w:w="1440" w:type="dxa"/>
          </w:tcPr>
          <w:p w:rsidR="00635B17" w:rsidRPr="00B75B77" w:rsidRDefault="00635B17" w:rsidP="00F41372">
            <w:pPr>
              <w:keepNext/>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Process evaluation</w:t>
            </w:r>
          </w:p>
        </w:tc>
      </w:tr>
      <w:tr w:rsidR="00156005" w:rsidRPr="00B75B77" w:rsidTr="00635B1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5" w:type="dxa"/>
            <w:hideMark/>
          </w:tcPr>
          <w:p w:rsidR="00156005" w:rsidRPr="00B75B77" w:rsidRDefault="00F41372" w:rsidP="00F41372">
            <w:pPr>
              <w:keepNext/>
              <w:jc w:val="left"/>
              <w:rPr>
                <w:rFonts w:ascii="Calibri" w:eastAsia="Times New Roman" w:hAnsi="Calibri"/>
                <w:color w:val="000000"/>
                <w:szCs w:val="18"/>
              </w:rPr>
            </w:pPr>
            <w:r w:rsidRPr="00B75B77">
              <w:rPr>
                <w:rFonts w:ascii="Calibri" w:eastAsia="Times New Roman" w:hAnsi="Calibri"/>
                <w:color w:val="000000"/>
                <w:szCs w:val="18"/>
              </w:rPr>
              <w:t>PROGRAM TOTAL</w:t>
            </w:r>
          </w:p>
        </w:tc>
        <w:tc>
          <w:tcPr>
            <w:tcW w:w="1035" w:type="dxa"/>
            <w:hideMark/>
          </w:tcPr>
          <w:p w:rsidR="00156005" w:rsidRPr="00B75B77" w:rsidRDefault="00A34118" w:rsidP="00F41372">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Cs w:val="18"/>
              </w:rPr>
            </w:pPr>
            <w:r w:rsidRPr="00B75B77">
              <w:rPr>
                <w:rFonts w:ascii="Calibri" w:eastAsia="Times New Roman" w:hAnsi="Calibri"/>
                <w:b/>
                <w:color w:val="000000"/>
                <w:szCs w:val="18"/>
              </w:rPr>
              <w:t>3,641,007</w:t>
            </w:r>
          </w:p>
        </w:tc>
        <w:tc>
          <w:tcPr>
            <w:tcW w:w="1350" w:type="dxa"/>
            <w:hideMark/>
          </w:tcPr>
          <w:p w:rsidR="00156005" w:rsidRPr="00B75B77" w:rsidRDefault="0089366F" w:rsidP="00F41372">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Cs w:val="18"/>
              </w:rPr>
            </w:pPr>
            <w:r w:rsidRPr="00B75B77">
              <w:rPr>
                <w:rFonts w:ascii="Calibri" w:eastAsia="Times New Roman" w:hAnsi="Calibri"/>
                <w:b/>
                <w:color w:val="000000"/>
                <w:szCs w:val="18"/>
              </w:rPr>
              <w:t>N/A</w:t>
            </w:r>
          </w:p>
        </w:tc>
        <w:tc>
          <w:tcPr>
            <w:tcW w:w="1260" w:type="dxa"/>
            <w:hideMark/>
          </w:tcPr>
          <w:p w:rsidR="00156005" w:rsidRPr="00B75B77" w:rsidRDefault="0089366F" w:rsidP="00F41372">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Cs w:val="18"/>
              </w:rPr>
            </w:pPr>
            <w:r w:rsidRPr="00B75B77">
              <w:rPr>
                <w:rFonts w:ascii="Calibri" w:eastAsia="Times New Roman" w:hAnsi="Calibri"/>
                <w:b/>
                <w:color w:val="000000"/>
                <w:szCs w:val="18"/>
              </w:rPr>
              <w:t>N/A</w:t>
            </w:r>
          </w:p>
        </w:tc>
        <w:tc>
          <w:tcPr>
            <w:tcW w:w="990" w:type="dxa"/>
            <w:hideMark/>
          </w:tcPr>
          <w:p w:rsidR="00156005" w:rsidRPr="00B75B77" w:rsidRDefault="00156005" w:rsidP="00F41372">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Cs w:val="18"/>
              </w:rPr>
            </w:pPr>
            <w:r w:rsidRPr="00B75B77">
              <w:rPr>
                <w:rFonts w:ascii="Calibri" w:eastAsia="Times New Roman" w:hAnsi="Calibri"/>
                <w:b/>
                <w:color w:val="000000"/>
                <w:szCs w:val="18"/>
              </w:rPr>
              <w:t>1,0</w:t>
            </w:r>
            <w:r w:rsidR="00A34118" w:rsidRPr="00B75B77">
              <w:rPr>
                <w:rFonts w:ascii="Calibri" w:eastAsia="Times New Roman" w:hAnsi="Calibri"/>
                <w:b/>
                <w:color w:val="000000"/>
                <w:szCs w:val="18"/>
              </w:rPr>
              <w:t>14</w:t>
            </w:r>
          </w:p>
        </w:tc>
        <w:tc>
          <w:tcPr>
            <w:tcW w:w="905" w:type="dxa"/>
            <w:hideMark/>
          </w:tcPr>
          <w:p w:rsidR="00156005" w:rsidRPr="00B75B77" w:rsidRDefault="00A34118" w:rsidP="00F41372">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Cs w:val="18"/>
              </w:rPr>
            </w:pPr>
            <w:r w:rsidRPr="00B75B77">
              <w:rPr>
                <w:rFonts w:ascii="Calibri" w:eastAsia="Times New Roman" w:hAnsi="Calibri"/>
                <w:b/>
                <w:color w:val="000000"/>
                <w:szCs w:val="18"/>
              </w:rPr>
              <w:t>755</w:t>
            </w:r>
          </w:p>
        </w:tc>
        <w:tc>
          <w:tcPr>
            <w:tcW w:w="990" w:type="dxa"/>
            <w:hideMark/>
          </w:tcPr>
          <w:p w:rsidR="00156005" w:rsidRPr="00B75B77" w:rsidRDefault="009D5AFB" w:rsidP="00F41372">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Cs w:val="18"/>
              </w:rPr>
            </w:pPr>
            <w:r w:rsidRPr="00B75B77">
              <w:rPr>
                <w:rFonts w:ascii="Calibri" w:eastAsia="Times New Roman" w:hAnsi="Calibri"/>
                <w:b/>
                <w:color w:val="000000"/>
                <w:szCs w:val="18"/>
              </w:rPr>
              <w:t>N/A</w:t>
            </w:r>
          </w:p>
        </w:tc>
        <w:tc>
          <w:tcPr>
            <w:tcW w:w="1440" w:type="dxa"/>
            <w:hideMark/>
          </w:tcPr>
          <w:p w:rsidR="00156005" w:rsidRPr="00B75B77" w:rsidRDefault="009D5AFB" w:rsidP="00F41372">
            <w:pPr>
              <w:keepNext/>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Cs w:val="18"/>
              </w:rPr>
            </w:pPr>
            <w:r w:rsidRPr="00B75B77">
              <w:rPr>
                <w:rFonts w:ascii="Calibri" w:eastAsia="Times New Roman" w:hAnsi="Calibri"/>
                <w:b/>
                <w:color w:val="000000"/>
                <w:szCs w:val="18"/>
              </w:rPr>
              <w:t>N/A</w:t>
            </w:r>
            <w:r w:rsidR="00156005" w:rsidRPr="00B75B77">
              <w:rPr>
                <w:rFonts w:ascii="Calibri" w:eastAsia="Times New Roman" w:hAnsi="Calibri"/>
                <w:b/>
                <w:color w:val="000000"/>
                <w:szCs w:val="18"/>
              </w:rPr>
              <w:t> </w:t>
            </w:r>
          </w:p>
        </w:tc>
      </w:tr>
    </w:tbl>
    <w:p w:rsidR="00156005" w:rsidRPr="00B75B77" w:rsidRDefault="00156005" w:rsidP="00F41372">
      <w:pPr>
        <w:pStyle w:val="Source"/>
        <w:keepNext/>
        <w:spacing w:before="20" w:after="20"/>
        <w:ind w:left="0" w:firstLine="0"/>
      </w:pPr>
      <w:r w:rsidRPr="00B75B77">
        <w:rPr>
          <w:rFonts w:ascii="Calibri" w:hAnsi="Calibri"/>
          <w:i w:val="0"/>
          <w:iCs/>
          <w:color w:val="000000"/>
          <w:szCs w:val="18"/>
        </w:rPr>
        <w:t>Note: Values in tables may not reconcile exactly with the sum of more detailed level results or previously reported results due to rounding.</w:t>
      </w:r>
    </w:p>
    <w:p w:rsidR="00156005" w:rsidRPr="00B75B77" w:rsidRDefault="00156005" w:rsidP="00F41372">
      <w:pPr>
        <w:pStyle w:val="Source"/>
        <w:keepNext/>
        <w:ind w:left="0" w:firstLine="0"/>
      </w:pPr>
      <w:r w:rsidRPr="00B75B77">
        <w:t>Source: Navigant analysis</w:t>
      </w:r>
    </w:p>
    <w:p w:rsidR="00156005" w:rsidRPr="00B75B77" w:rsidRDefault="00156005" w:rsidP="00722C85">
      <w:pPr>
        <w:pStyle w:val="Heading3"/>
      </w:pPr>
      <w:bookmarkStart w:id="274" w:name="_Toc466413284"/>
      <w:r w:rsidRPr="00B75B77">
        <w:t>Process Findings and Recommendations</w:t>
      </w:r>
      <w:bookmarkEnd w:id="274"/>
      <w:r w:rsidRPr="00B75B77">
        <w:t xml:space="preserve"> </w:t>
      </w:r>
    </w:p>
    <w:p w:rsidR="00156005" w:rsidRPr="00B75B77" w:rsidRDefault="00156005" w:rsidP="00722C85">
      <w:pPr>
        <w:pStyle w:val="NormalSpacer"/>
        <w:keepNext/>
      </w:pPr>
      <w:r w:rsidRPr="00B75B77">
        <w:t>The process evaluation yielded several findings and potential program improvements. Below are specific recommendations and the associated process evaluation findings on which the recommendations are based.</w:t>
      </w:r>
      <w:r w:rsidRPr="00B75B77">
        <w:rPr>
          <w:rStyle w:val="Heading3Char"/>
        </w:rPr>
        <w:t xml:space="preserve"> </w:t>
      </w:r>
    </w:p>
    <w:p w:rsidR="00156005" w:rsidRPr="00B75B77" w:rsidRDefault="00156005" w:rsidP="00AE0F3F">
      <w:pPr>
        <w:pStyle w:val="ListParagraph"/>
        <w:numPr>
          <w:ilvl w:val="0"/>
          <w:numId w:val="20"/>
        </w:numPr>
        <w:spacing w:before="120" w:after="120"/>
        <w:ind w:left="720" w:hanging="360"/>
        <w:contextualSpacing w:val="0"/>
      </w:pPr>
      <w:r w:rsidRPr="00B75B77">
        <w:rPr>
          <w:b/>
        </w:rPr>
        <w:t xml:space="preserve">Finding: </w:t>
      </w:r>
      <w:r w:rsidRPr="00B75B77">
        <w:t xml:space="preserve">The evaluation team’s review of the PY7 lighting tracking data found a number of inconsistencies and data gaps, which were communicated in an interim report delivered to PECO in June 2016. These included zeroed out savings for some records, different lumen ranges appearing for the same bulb model number, and inconsistencies in data tracking fields. </w:t>
      </w:r>
      <w:r w:rsidRPr="00B75B77">
        <w:lastRenderedPageBreak/>
        <w:t>Ultimately, these issues were minor</w:t>
      </w:r>
      <w:r w:rsidR="00F41372" w:rsidRPr="00B75B77">
        <w:t xml:space="preserve"> and</w:t>
      </w:r>
      <w:r w:rsidRPr="00B75B77">
        <w:t xml:space="preserve"> did not </w:t>
      </w:r>
      <w:r w:rsidR="00F41372" w:rsidRPr="00B75B77">
        <w:t>affect</w:t>
      </w:r>
      <w:r w:rsidRPr="00B75B77">
        <w:t xml:space="preserve"> evaluation results</w:t>
      </w:r>
      <w:r w:rsidR="00F41372" w:rsidRPr="00B75B77">
        <w:t>; thus</w:t>
      </w:r>
      <w:r w:rsidR="00F41372" w:rsidRPr="00B75B77" w:rsidDel="00845869">
        <w:t xml:space="preserve">, </w:t>
      </w:r>
      <w:r w:rsidR="00845869" w:rsidRPr="00B75B77">
        <w:t>Navigant</w:t>
      </w:r>
      <w:r w:rsidRPr="00B75B77">
        <w:t xml:space="preserve"> was able to find correct information for its analysis. </w:t>
      </w:r>
    </w:p>
    <w:p w:rsidR="00156005" w:rsidRPr="00B75B77" w:rsidRDefault="00156005" w:rsidP="009E08FB">
      <w:pPr>
        <w:pStyle w:val="ListParagraph"/>
        <w:numPr>
          <w:ilvl w:val="1"/>
          <w:numId w:val="94"/>
        </w:numPr>
        <w:spacing w:before="120" w:after="120"/>
        <w:ind w:left="1440" w:hanging="360"/>
        <w:contextualSpacing w:val="0"/>
      </w:pPr>
      <w:r w:rsidRPr="00B75B77">
        <w:rPr>
          <w:b/>
        </w:rPr>
        <w:t>Recommendation:</w:t>
      </w:r>
      <w:r w:rsidRPr="00B75B77">
        <w:t xml:space="preserve"> Navigant recommends that the PECO program managers and CSP continue to monitor the SHR lighting data and conduct regular </w:t>
      </w:r>
      <w:r w:rsidR="00750138" w:rsidRPr="00B75B77">
        <w:t>QC</w:t>
      </w:r>
      <w:r w:rsidRPr="00B75B77">
        <w:t xml:space="preserve"> checks to minimize these errors.</w:t>
      </w:r>
    </w:p>
    <w:p w:rsidR="00156005" w:rsidRPr="00B75B77" w:rsidRDefault="00156005" w:rsidP="00AE0F3F">
      <w:pPr>
        <w:pStyle w:val="ListParagraph"/>
        <w:numPr>
          <w:ilvl w:val="0"/>
          <w:numId w:val="20"/>
        </w:numPr>
        <w:spacing w:before="120" w:after="120"/>
        <w:ind w:left="720" w:hanging="360"/>
        <w:contextualSpacing w:val="0"/>
      </w:pPr>
      <w:r w:rsidRPr="00B75B77">
        <w:rPr>
          <w:b/>
        </w:rPr>
        <w:t xml:space="preserve">Finding: </w:t>
      </w:r>
      <w:r w:rsidRPr="00B75B77">
        <w:rPr>
          <w:bCs/>
        </w:rPr>
        <w:t xml:space="preserve">The review of the non-lighting tracking system data </w:t>
      </w:r>
      <w:r w:rsidRPr="00B75B77">
        <w:t>identified differences between reported and verified savings for central air conditioners and ENERGY STAR room air conditioners. Gaps in the tracking system data for unit-specific information (e.g., SEER or EER values) caused the discrepancies for both technology types.</w:t>
      </w:r>
    </w:p>
    <w:p w:rsidR="00156005" w:rsidRPr="00B75B77" w:rsidRDefault="00156005" w:rsidP="009E08FB">
      <w:pPr>
        <w:pStyle w:val="ListParagraph"/>
        <w:numPr>
          <w:ilvl w:val="0"/>
          <w:numId w:val="98"/>
        </w:numPr>
        <w:spacing w:before="120" w:after="120"/>
        <w:ind w:left="1440" w:hanging="360"/>
        <w:contextualSpacing w:val="0"/>
      </w:pPr>
      <w:r w:rsidRPr="00B75B77">
        <w:rPr>
          <w:b/>
        </w:rPr>
        <w:t>Recommendation:</w:t>
      </w:r>
      <w:r w:rsidRPr="00B75B77">
        <w:t xml:space="preserve"> PECO and the CSP must capture all unit-specific data relating to energy savings estimates in the tracking data for all projects. </w:t>
      </w:r>
    </w:p>
    <w:p w:rsidR="00156005" w:rsidRPr="00B75B77" w:rsidRDefault="00156005" w:rsidP="00AE0F3F">
      <w:pPr>
        <w:pStyle w:val="ListParagraph"/>
        <w:numPr>
          <w:ilvl w:val="0"/>
          <w:numId w:val="20"/>
        </w:numPr>
        <w:spacing w:before="120" w:after="120"/>
        <w:ind w:left="720" w:hanging="360"/>
        <w:contextualSpacing w:val="0"/>
      </w:pPr>
      <w:r w:rsidRPr="00B75B77">
        <w:rPr>
          <w:b/>
        </w:rPr>
        <w:t>Finding:</w:t>
      </w:r>
      <w:r w:rsidRPr="00B75B77">
        <w:t xml:space="preserve"> Approximately 12% of PY7 lighting participant customers were identified as low income via the income qualification battery seen in </w:t>
      </w:r>
      <w:r w:rsidR="00F41372" w:rsidRPr="00B75B77">
        <w:fldChar w:fldCharType="begin"/>
      </w:r>
      <w:r w:rsidR="00F41372" w:rsidRPr="00B75B77">
        <w:instrText xml:space="preserve"> REF _Ref464215775 \n \h </w:instrText>
      </w:r>
      <w:r w:rsidR="00B75B77">
        <w:instrText xml:space="preserve"> \* MERGEFORMAT </w:instrText>
      </w:r>
      <w:r w:rsidR="00F41372" w:rsidRPr="00B75B77">
        <w:fldChar w:fldCharType="separate"/>
      </w:r>
      <w:r w:rsidR="0004016D">
        <w:t>Appendix C</w:t>
      </w:r>
      <w:r w:rsidR="00F41372" w:rsidRPr="00B75B77">
        <w:fldChar w:fldCharType="end"/>
      </w:r>
      <w:r w:rsidRPr="00B75B77">
        <w:t xml:space="preserve">. </w:t>
      </w:r>
      <w:r w:rsidR="00F41372" w:rsidRPr="00B75B77">
        <w:t>C</w:t>
      </w:r>
      <w:r w:rsidRPr="00B75B77">
        <w:t xml:space="preserve">osts are a significant concern for all bulb purchasers, but especially </w:t>
      </w:r>
      <w:r w:rsidR="00F41372" w:rsidRPr="00B75B77">
        <w:t xml:space="preserve">those </w:t>
      </w:r>
      <w:r w:rsidRPr="00B75B77">
        <w:t>low</w:t>
      </w:r>
      <w:r w:rsidR="00F41372" w:rsidRPr="00B75B77">
        <w:t>-</w:t>
      </w:r>
      <w:r w:rsidRPr="00B75B77">
        <w:t>income</w:t>
      </w:r>
      <w:r w:rsidR="00F41372" w:rsidRPr="00B75B77">
        <w:t xml:space="preserve"> purchasers</w:t>
      </w:r>
      <w:r w:rsidRPr="00B75B77">
        <w:t xml:space="preserve">. While no energy and demand savings from these participants are being claimed as low-income savings, this is an important finding for PECO to consider for future program implementation. </w:t>
      </w:r>
    </w:p>
    <w:p w:rsidR="00156005" w:rsidRPr="00B75B77" w:rsidRDefault="00156005" w:rsidP="00F41372">
      <w:pPr>
        <w:pStyle w:val="ListParagraph"/>
        <w:numPr>
          <w:ilvl w:val="1"/>
          <w:numId w:val="20"/>
        </w:numPr>
        <w:spacing w:before="120" w:after="120"/>
        <w:ind w:left="1440" w:hanging="360"/>
        <w:contextualSpacing w:val="0"/>
      </w:pPr>
      <w:r w:rsidRPr="00B75B77">
        <w:rPr>
          <w:b/>
        </w:rPr>
        <w:t>Recommendation:</w:t>
      </w:r>
      <w:r w:rsidRPr="00B75B77">
        <w:t xml:space="preserve">  If additional </w:t>
      </w:r>
      <w:r w:rsidR="00F41372" w:rsidRPr="00B75B77">
        <w:t>low-income</w:t>
      </w:r>
      <w:r w:rsidRPr="00B75B77">
        <w:t xml:space="preserve"> savings are needed by PECO, provide </w:t>
      </w:r>
      <w:r w:rsidR="00F41372" w:rsidRPr="00B75B77">
        <w:t>low-income</w:t>
      </w:r>
      <w:r w:rsidRPr="00B75B77">
        <w:t xml:space="preserve"> customers with mail-in rebate incentives on LEDs. Mail-in rebates in the form of coupons can educate and motivate participation.</w:t>
      </w:r>
    </w:p>
    <w:p w:rsidR="00156005" w:rsidRPr="00B75B77" w:rsidRDefault="00156005" w:rsidP="009E08FB">
      <w:pPr>
        <w:pStyle w:val="ListParagraph"/>
        <w:keepNext/>
        <w:numPr>
          <w:ilvl w:val="0"/>
          <w:numId w:val="93"/>
        </w:numPr>
        <w:spacing w:before="120" w:after="120"/>
        <w:contextualSpacing w:val="0"/>
        <w:jc w:val="left"/>
      </w:pPr>
      <w:r w:rsidRPr="00B75B77">
        <w:rPr>
          <w:b/>
        </w:rPr>
        <w:t xml:space="preserve">Finding: </w:t>
      </w:r>
      <w:r w:rsidRPr="00B75B77">
        <w:t xml:space="preserve"> The shelf surveys indicate that increasing shelf space occupied by LEDs has corresponded with decreasing shelf space occupied by CFLs. As a result, the total proportion of lighting shelf space dedicated to efficient bulbs has remained approximately unchanged at 45% over the past </w:t>
      </w:r>
      <w:r w:rsidR="00AF5657" w:rsidRPr="00B75B77">
        <w:t>5</w:t>
      </w:r>
      <w:r w:rsidRPr="00B75B77">
        <w:t xml:space="preserve"> years of the lighting portion of the SHR program, as shown in </w:t>
      </w:r>
      <w:r w:rsidRPr="00B75B77">
        <w:fldChar w:fldCharType="begin"/>
      </w:r>
      <w:r w:rsidRPr="00B75B77">
        <w:instrText xml:space="preserve"> REF _Ref431995356 \h </w:instrText>
      </w:r>
      <w:r w:rsidR="00B75B77">
        <w:instrText xml:space="preserve"> \* MERGEFORMAT </w:instrText>
      </w:r>
      <w:r w:rsidRPr="00B75B77">
        <w:fldChar w:fldCharType="separate"/>
      </w:r>
      <w:r w:rsidR="0004016D" w:rsidRPr="00B75B77">
        <w:t xml:space="preserve">Figure </w:t>
      </w:r>
      <w:r w:rsidR="0004016D">
        <w:rPr>
          <w:noProof/>
        </w:rPr>
        <w:t>2</w:t>
      </w:r>
      <w:r w:rsidR="0004016D" w:rsidRPr="00B75B77">
        <w:rPr>
          <w:noProof/>
        </w:rPr>
        <w:noBreakHyphen/>
      </w:r>
      <w:r w:rsidR="0004016D">
        <w:rPr>
          <w:noProof/>
        </w:rPr>
        <w:t>1</w:t>
      </w:r>
      <w:r w:rsidRPr="00B75B77">
        <w:fldChar w:fldCharType="end"/>
      </w:r>
      <w:r w:rsidRPr="00B75B77">
        <w:t>.</w:t>
      </w:r>
    </w:p>
    <w:p w:rsidR="00156005" w:rsidRPr="00B75B77" w:rsidRDefault="00156005" w:rsidP="00722C85">
      <w:pPr>
        <w:keepNext/>
        <w:spacing w:before="120"/>
        <w:jc w:val="left"/>
      </w:pPr>
    </w:p>
    <w:p w:rsidR="00156005" w:rsidRPr="00B75B77" w:rsidRDefault="00156005" w:rsidP="00722C85">
      <w:pPr>
        <w:pStyle w:val="Caption"/>
      </w:pPr>
      <w:bookmarkStart w:id="275" w:name="_Ref431995356"/>
      <w:bookmarkStart w:id="276" w:name="_Toc434597496"/>
      <w:bookmarkStart w:id="277" w:name="_Toc466413666"/>
      <w:r w:rsidRPr="00B75B77">
        <w:t xml:space="preserve">Figure </w:t>
      </w:r>
      <w:fldSimple w:instr=" STYLEREF 1 \s ">
        <w:r w:rsidR="0004016D">
          <w:rPr>
            <w:noProof/>
          </w:rPr>
          <w:t>2</w:t>
        </w:r>
      </w:fldSimple>
      <w:r w:rsidR="00BA3BA9" w:rsidRPr="00B75B77">
        <w:noBreakHyphen/>
      </w:r>
      <w:fldSimple w:instr=" SEQ Figure \* ARABIC \s 1 ">
        <w:r w:rsidR="0004016D">
          <w:rPr>
            <w:noProof/>
          </w:rPr>
          <w:t>1</w:t>
        </w:r>
      </w:fldSimple>
      <w:bookmarkEnd w:id="275"/>
      <w:r w:rsidRPr="00B75B77">
        <w:t>: Lighting Shelf Space by Lamp Type, PY2</w:t>
      </w:r>
      <w:r w:rsidR="00201476" w:rsidRPr="00B75B77">
        <w:t xml:space="preserve"> and PY5</w:t>
      </w:r>
      <w:r w:rsidR="00706936" w:rsidRPr="00B75B77">
        <w:rPr>
          <w:rFonts w:ascii="Palatino Linotype" w:hAnsi="Palatino Linotype"/>
        </w:rPr>
        <w:t>-</w:t>
      </w:r>
      <w:r w:rsidRPr="00B75B77">
        <w:t>PY7</w:t>
      </w:r>
      <w:bookmarkEnd w:id="276"/>
      <w:bookmarkEnd w:id="277"/>
    </w:p>
    <w:p w:rsidR="00156005" w:rsidRPr="00B75B77" w:rsidRDefault="00156005" w:rsidP="00722C85">
      <w:pPr>
        <w:keepNext/>
        <w:spacing w:before="120"/>
        <w:jc w:val="center"/>
      </w:pPr>
      <w:r w:rsidRPr="00B75B77">
        <w:rPr>
          <w:noProof/>
        </w:rPr>
        <w:drawing>
          <wp:inline distT="0" distB="0" distL="0" distR="0" wp14:anchorId="627B22CC" wp14:editId="28F2D29D">
            <wp:extent cx="4800600" cy="2575560"/>
            <wp:effectExtent l="0" t="0" r="0" b="0"/>
            <wp:docPr id="315" name="Chart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56005" w:rsidRPr="00B75B77" w:rsidRDefault="00156005" w:rsidP="00722C85">
      <w:pPr>
        <w:pStyle w:val="Source"/>
        <w:keepNext/>
        <w:ind w:firstLine="720"/>
      </w:pPr>
      <w:r w:rsidRPr="00B75B77">
        <w:t>Source: Navigant analysis</w:t>
      </w:r>
      <w:r w:rsidR="00D34129" w:rsidRPr="00B75B77">
        <w:t xml:space="preserve"> of shelving stock</w:t>
      </w:r>
      <w:r w:rsidRPr="00B75B77">
        <w:t>, PY2</w:t>
      </w:r>
      <w:r w:rsidR="00201476" w:rsidRPr="00B75B77">
        <w:t xml:space="preserve"> and PY5</w:t>
      </w:r>
      <w:r w:rsidR="00706936" w:rsidRPr="00B75B77">
        <w:rPr>
          <w:rFonts w:ascii="Palatino Linotype" w:hAnsi="Palatino Linotype"/>
        </w:rPr>
        <w:t>-</w:t>
      </w:r>
      <w:r w:rsidRPr="00B75B77">
        <w:t>PY7</w:t>
      </w:r>
    </w:p>
    <w:p w:rsidR="00156005" w:rsidRPr="00B75B77" w:rsidRDefault="00156005" w:rsidP="009E08FB">
      <w:pPr>
        <w:pStyle w:val="ListParagraph"/>
        <w:numPr>
          <w:ilvl w:val="0"/>
          <w:numId w:val="99"/>
        </w:numPr>
        <w:spacing w:after="120"/>
        <w:ind w:left="720" w:hanging="360"/>
        <w:contextualSpacing w:val="0"/>
      </w:pPr>
      <w:r w:rsidRPr="00B75B77">
        <w:rPr>
          <w:b/>
        </w:rPr>
        <w:t>Finding:</w:t>
      </w:r>
      <w:r w:rsidRPr="00B75B77">
        <w:t xml:space="preserve"> Customers relayed outdated perceptions and confusion about LEDs during the in-store intercept surveys. Survey responses also indicated confusion about PECO’s role in providing bulb discounts. </w:t>
      </w:r>
    </w:p>
    <w:p w:rsidR="00156005" w:rsidRPr="00B75B77" w:rsidRDefault="00156005" w:rsidP="00037B84">
      <w:pPr>
        <w:pStyle w:val="ListParagraph"/>
        <w:keepNext/>
      </w:pPr>
      <w:r w:rsidRPr="00B75B77">
        <w:lastRenderedPageBreak/>
        <w:t xml:space="preserve">The customer in-store intercept surveys found that of the 109 respondents purchasing program bulbs who indicated they knew they were receiving a discount, 71% said they were aware the discount was provided by PECO. Compared to PY5 results for the same question (86%), it appears that customer awareness has declined in the past few years (see </w:t>
      </w:r>
      <w:r w:rsidRPr="00B75B77">
        <w:fldChar w:fldCharType="begin"/>
      </w:r>
      <w:r w:rsidRPr="00B75B77">
        <w:instrText xml:space="preserve"> REF _Ref464129317 \h </w:instrText>
      </w:r>
      <w:r w:rsidR="00B75B77">
        <w:instrText xml:space="preserve"> \* MERGEFORMAT </w:instrText>
      </w:r>
      <w:r w:rsidRPr="00B75B77">
        <w:fldChar w:fldCharType="separate"/>
      </w:r>
      <w:r w:rsidR="0004016D" w:rsidRPr="00B75B77">
        <w:t xml:space="preserve">Table </w:t>
      </w:r>
      <w:r w:rsidR="0004016D">
        <w:rPr>
          <w:noProof/>
        </w:rPr>
        <w:t>2</w:t>
      </w:r>
      <w:r w:rsidR="0004016D" w:rsidRPr="00B75B77">
        <w:rPr>
          <w:noProof/>
        </w:rPr>
        <w:noBreakHyphen/>
      </w:r>
      <w:r w:rsidR="0004016D">
        <w:rPr>
          <w:noProof/>
        </w:rPr>
        <w:t>10</w:t>
      </w:r>
      <w:r w:rsidRPr="00B75B77">
        <w:fldChar w:fldCharType="end"/>
      </w:r>
      <w:r w:rsidR="00706936" w:rsidRPr="00B75B77">
        <w:t>)</w:t>
      </w:r>
      <w:r w:rsidRPr="00B75B77">
        <w:t>. This indicates that confusion exists for some customers during their lighting selection experience.</w:t>
      </w:r>
    </w:p>
    <w:p w:rsidR="00156005" w:rsidRPr="00B75B77" w:rsidRDefault="00156005" w:rsidP="00722C85">
      <w:pPr>
        <w:keepNext/>
      </w:pPr>
    </w:p>
    <w:p w:rsidR="00156005" w:rsidRPr="00B75B77" w:rsidRDefault="00156005" w:rsidP="00722C85">
      <w:pPr>
        <w:pStyle w:val="Caption"/>
      </w:pPr>
      <w:bookmarkStart w:id="278" w:name="_Ref464129317"/>
      <w:bookmarkStart w:id="279" w:name="_Toc466413515"/>
      <w:r w:rsidRPr="00B75B77">
        <w:t xml:space="preserve">Table </w:t>
      </w:r>
      <w:fldSimple w:instr=" STYLEREF 1 \s ">
        <w:r w:rsidR="0004016D">
          <w:rPr>
            <w:noProof/>
          </w:rPr>
          <w:t>2</w:t>
        </w:r>
      </w:fldSimple>
      <w:r w:rsidR="00F1144C" w:rsidRPr="00B75B77">
        <w:noBreakHyphen/>
      </w:r>
      <w:fldSimple w:instr=" SEQ Table \* ARABIC \s 1 ">
        <w:r w:rsidR="0004016D">
          <w:rPr>
            <w:noProof/>
          </w:rPr>
          <w:t>10</w:t>
        </w:r>
      </w:fldSimple>
      <w:bookmarkEnd w:id="278"/>
      <w:r w:rsidR="00706936" w:rsidRPr="00B75B77">
        <w:t>:</w:t>
      </w:r>
      <w:r w:rsidRPr="00B75B77">
        <w:t xml:space="preserve"> In-Store Participant Awareness of PECO as Source of Lighting Discounts</w:t>
      </w:r>
      <w:r w:rsidR="00201476" w:rsidRPr="00B75B77">
        <w:t xml:space="preserve"> (n = 109)</w:t>
      </w:r>
      <w:bookmarkEnd w:id="279"/>
    </w:p>
    <w:tbl>
      <w:tblPr>
        <w:tblStyle w:val="PECOTeal"/>
        <w:tblW w:w="0" w:type="auto"/>
        <w:jc w:val="center"/>
        <w:tblLook w:val="04A0" w:firstRow="1" w:lastRow="0" w:firstColumn="1" w:lastColumn="0" w:noHBand="0" w:noVBand="1"/>
      </w:tblPr>
      <w:tblGrid>
        <w:gridCol w:w="4706"/>
        <w:gridCol w:w="621"/>
        <w:gridCol w:w="621"/>
      </w:tblGrid>
      <w:tr w:rsidR="00706936" w:rsidRPr="00B75B77" w:rsidTr="00201476">
        <w:trPr>
          <w:cnfStyle w:val="100000000000" w:firstRow="1" w:lastRow="0" w:firstColumn="0" w:lastColumn="0" w:oddVBand="0" w:evenVBand="0" w:oddHBand="0"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706936" w:rsidRPr="00B75B77" w:rsidRDefault="00706936" w:rsidP="00722C85">
            <w:pPr>
              <w:keepNext/>
              <w:jc w:val="left"/>
              <w:rPr>
                <w:bCs w:val="0"/>
                <w:color w:val="FFFFFF"/>
              </w:rPr>
            </w:pPr>
            <w:r w:rsidRPr="00B75B77">
              <w:rPr>
                <w:bCs w:val="0"/>
                <w:color w:val="FFFFFF"/>
              </w:rPr>
              <w:t>Where you aware that PECO provided the lighting discount?</w:t>
            </w:r>
          </w:p>
        </w:tc>
        <w:tc>
          <w:tcPr>
            <w:tcW w:w="0" w:type="auto"/>
          </w:tcPr>
          <w:p w:rsidR="00706936" w:rsidRPr="00B75B77" w:rsidRDefault="00706936" w:rsidP="00706936">
            <w:pPr>
              <w:keepNext/>
              <w:jc w:val="right"/>
              <w:cnfStyle w:val="100000000000" w:firstRow="1" w:lastRow="0" w:firstColumn="0" w:lastColumn="0" w:oddVBand="0" w:evenVBand="0" w:oddHBand="0" w:evenHBand="0" w:firstRowFirstColumn="0" w:firstRowLastColumn="0" w:lastRowFirstColumn="0" w:lastRowLastColumn="0"/>
              <w:rPr>
                <w:bCs w:val="0"/>
              </w:rPr>
            </w:pPr>
            <w:r w:rsidRPr="00B75B77">
              <w:rPr>
                <w:bCs w:val="0"/>
                <w:color w:val="FFFFFF"/>
              </w:rPr>
              <w:t>PY5</w:t>
            </w:r>
          </w:p>
        </w:tc>
        <w:tc>
          <w:tcPr>
            <w:tcW w:w="0" w:type="auto"/>
          </w:tcPr>
          <w:p w:rsidR="00706936" w:rsidRPr="00B75B77" w:rsidRDefault="00706936" w:rsidP="00706936">
            <w:pPr>
              <w:keepNext/>
              <w:jc w:val="right"/>
              <w:cnfStyle w:val="100000000000" w:firstRow="1" w:lastRow="0" w:firstColumn="0" w:lastColumn="0" w:oddVBand="0" w:evenVBand="0" w:oddHBand="0" w:evenHBand="0" w:firstRowFirstColumn="0" w:firstRowLastColumn="0" w:lastRowFirstColumn="0" w:lastRowLastColumn="0"/>
              <w:rPr>
                <w:bCs w:val="0"/>
              </w:rPr>
            </w:pPr>
            <w:r w:rsidRPr="00B75B77">
              <w:rPr>
                <w:bCs w:val="0"/>
                <w:color w:val="FFFFFF"/>
              </w:rPr>
              <w:t>PY7</w:t>
            </w:r>
          </w:p>
        </w:tc>
      </w:tr>
      <w:tr w:rsidR="00156005" w:rsidRPr="00B75B77" w:rsidTr="002014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156005" w:rsidRPr="00B75B77" w:rsidRDefault="00156005" w:rsidP="00722C85">
            <w:pPr>
              <w:keepNext/>
              <w:rPr>
                <w:b w:val="0"/>
                <w:color w:val="000000"/>
                <w:szCs w:val="18"/>
              </w:rPr>
            </w:pPr>
            <w:r w:rsidRPr="00B75B77">
              <w:rPr>
                <w:b w:val="0"/>
                <w:color w:val="000000"/>
                <w:szCs w:val="18"/>
              </w:rPr>
              <w:t>Yes</w:t>
            </w:r>
          </w:p>
        </w:tc>
        <w:tc>
          <w:tcPr>
            <w:tcW w:w="0" w:type="auto"/>
          </w:tcPr>
          <w:p w:rsidR="00156005" w:rsidRPr="00B75B77" w:rsidRDefault="00156005" w:rsidP="00201476">
            <w:pPr>
              <w:keepNext/>
              <w:jc w:val="center"/>
              <w:cnfStyle w:val="000000100000" w:firstRow="0" w:lastRow="0" w:firstColumn="0" w:lastColumn="0" w:oddVBand="0" w:evenVBand="0" w:oddHBand="1" w:evenHBand="0" w:firstRowFirstColumn="0" w:firstRowLastColumn="0" w:lastRowFirstColumn="0" w:lastRowLastColumn="0"/>
              <w:rPr>
                <w:color w:val="000000"/>
                <w:szCs w:val="18"/>
              </w:rPr>
            </w:pPr>
            <w:r w:rsidRPr="00B75B77">
              <w:rPr>
                <w:rFonts w:ascii="Calibri" w:hAnsi="Calibri"/>
                <w:color w:val="000000"/>
                <w:szCs w:val="18"/>
              </w:rPr>
              <w:t>86%</w:t>
            </w:r>
          </w:p>
        </w:tc>
        <w:tc>
          <w:tcPr>
            <w:tcW w:w="0" w:type="auto"/>
            <w:hideMark/>
          </w:tcPr>
          <w:p w:rsidR="00156005" w:rsidRPr="00B75B77" w:rsidRDefault="00156005" w:rsidP="00201476">
            <w:pPr>
              <w:keepNext/>
              <w:jc w:val="center"/>
              <w:cnfStyle w:val="000000100000" w:firstRow="0" w:lastRow="0" w:firstColumn="0" w:lastColumn="0" w:oddVBand="0" w:evenVBand="0" w:oddHBand="1" w:evenHBand="0" w:firstRowFirstColumn="0" w:firstRowLastColumn="0" w:lastRowFirstColumn="0" w:lastRowLastColumn="0"/>
              <w:rPr>
                <w:color w:val="000000"/>
                <w:szCs w:val="18"/>
              </w:rPr>
            </w:pPr>
            <w:r w:rsidRPr="00B75B77">
              <w:rPr>
                <w:color w:val="000000"/>
                <w:szCs w:val="18"/>
              </w:rPr>
              <w:t>71%</w:t>
            </w:r>
          </w:p>
        </w:tc>
      </w:tr>
      <w:tr w:rsidR="00156005" w:rsidRPr="00B75B77" w:rsidTr="00201476">
        <w:trPr>
          <w:cnfStyle w:val="000000010000" w:firstRow="0" w:lastRow="0" w:firstColumn="0" w:lastColumn="0" w:oddVBand="0" w:evenVBand="0" w:oddHBand="0" w:evenHBand="1"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156005" w:rsidRPr="00B75B77" w:rsidRDefault="00156005" w:rsidP="00722C85">
            <w:pPr>
              <w:keepNext/>
              <w:rPr>
                <w:b w:val="0"/>
                <w:color w:val="000000"/>
                <w:szCs w:val="18"/>
              </w:rPr>
            </w:pPr>
            <w:r w:rsidRPr="00B75B77">
              <w:rPr>
                <w:b w:val="0"/>
                <w:color w:val="000000"/>
                <w:szCs w:val="18"/>
              </w:rPr>
              <w:t>No</w:t>
            </w:r>
          </w:p>
        </w:tc>
        <w:tc>
          <w:tcPr>
            <w:tcW w:w="0" w:type="auto"/>
          </w:tcPr>
          <w:p w:rsidR="00156005" w:rsidRPr="00B75B77" w:rsidRDefault="00156005" w:rsidP="00201476">
            <w:pPr>
              <w:keepNext/>
              <w:jc w:val="center"/>
              <w:cnfStyle w:val="000000010000" w:firstRow="0" w:lastRow="0" w:firstColumn="0" w:lastColumn="0" w:oddVBand="0" w:evenVBand="0" w:oddHBand="0" w:evenHBand="1" w:firstRowFirstColumn="0" w:firstRowLastColumn="0" w:lastRowFirstColumn="0" w:lastRowLastColumn="0"/>
              <w:rPr>
                <w:color w:val="000000"/>
                <w:szCs w:val="18"/>
              </w:rPr>
            </w:pPr>
            <w:r w:rsidRPr="00B75B77">
              <w:rPr>
                <w:rFonts w:ascii="Calibri" w:hAnsi="Calibri"/>
                <w:color w:val="000000"/>
                <w:szCs w:val="18"/>
              </w:rPr>
              <w:t>14%</w:t>
            </w:r>
          </w:p>
        </w:tc>
        <w:tc>
          <w:tcPr>
            <w:tcW w:w="0" w:type="auto"/>
            <w:hideMark/>
          </w:tcPr>
          <w:p w:rsidR="00156005" w:rsidRPr="00B75B77" w:rsidRDefault="00156005" w:rsidP="00201476">
            <w:pPr>
              <w:keepNext/>
              <w:jc w:val="center"/>
              <w:cnfStyle w:val="000000010000" w:firstRow="0" w:lastRow="0" w:firstColumn="0" w:lastColumn="0" w:oddVBand="0" w:evenVBand="0" w:oddHBand="0" w:evenHBand="1" w:firstRowFirstColumn="0" w:firstRowLastColumn="0" w:lastRowFirstColumn="0" w:lastRowLastColumn="0"/>
              <w:rPr>
                <w:color w:val="000000"/>
                <w:szCs w:val="18"/>
              </w:rPr>
            </w:pPr>
            <w:r w:rsidRPr="00B75B77">
              <w:rPr>
                <w:color w:val="000000"/>
                <w:szCs w:val="18"/>
              </w:rPr>
              <w:t>29%</w:t>
            </w:r>
          </w:p>
        </w:tc>
      </w:tr>
      <w:tr w:rsidR="00156005" w:rsidRPr="00B75B77" w:rsidTr="00201476">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156005" w:rsidRPr="00B75B77" w:rsidRDefault="00706936" w:rsidP="00722C85">
            <w:pPr>
              <w:keepNext/>
              <w:jc w:val="left"/>
              <w:rPr>
                <w:bCs w:val="0"/>
                <w:color w:val="000000"/>
                <w:szCs w:val="18"/>
              </w:rPr>
            </w:pPr>
            <w:r w:rsidRPr="00B75B77">
              <w:rPr>
                <w:bCs w:val="0"/>
                <w:color w:val="000000"/>
                <w:szCs w:val="18"/>
              </w:rPr>
              <w:t>TOTAL</w:t>
            </w:r>
          </w:p>
        </w:tc>
        <w:tc>
          <w:tcPr>
            <w:tcW w:w="0" w:type="auto"/>
          </w:tcPr>
          <w:p w:rsidR="00156005" w:rsidRPr="00B75B77" w:rsidRDefault="00156005" w:rsidP="00201476">
            <w:pPr>
              <w:keepNext/>
              <w:jc w:val="center"/>
              <w:cnfStyle w:val="000000100000" w:firstRow="0" w:lastRow="0" w:firstColumn="0" w:lastColumn="0" w:oddVBand="0" w:evenVBand="0" w:oddHBand="1" w:evenHBand="0" w:firstRowFirstColumn="0" w:firstRowLastColumn="0" w:lastRowFirstColumn="0" w:lastRowLastColumn="0"/>
              <w:rPr>
                <w:b/>
                <w:bCs/>
                <w:color w:val="000000"/>
                <w:szCs w:val="18"/>
              </w:rPr>
            </w:pPr>
            <w:r w:rsidRPr="00B75B77">
              <w:rPr>
                <w:rFonts w:ascii="Calibri" w:hAnsi="Calibri"/>
                <w:b/>
                <w:color w:val="000000"/>
                <w:szCs w:val="18"/>
              </w:rPr>
              <w:t>100%</w:t>
            </w:r>
          </w:p>
        </w:tc>
        <w:tc>
          <w:tcPr>
            <w:tcW w:w="0" w:type="auto"/>
            <w:hideMark/>
          </w:tcPr>
          <w:p w:rsidR="00156005" w:rsidRPr="00B75B77" w:rsidRDefault="00156005" w:rsidP="00201476">
            <w:pPr>
              <w:keepNext/>
              <w:jc w:val="center"/>
              <w:cnfStyle w:val="000000100000" w:firstRow="0" w:lastRow="0" w:firstColumn="0" w:lastColumn="0" w:oddVBand="0" w:evenVBand="0" w:oddHBand="1" w:evenHBand="0" w:firstRowFirstColumn="0" w:firstRowLastColumn="0" w:lastRowFirstColumn="0" w:lastRowLastColumn="0"/>
              <w:rPr>
                <w:b/>
                <w:bCs/>
                <w:color w:val="000000"/>
                <w:szCs w:val="18"/>
              </w:rPr>
            </w:pPr>
            <w:r w:rsidRPr="00B75B77">
              <w:rPr>
                <w:b/>
                <w:bCs/>
                <w:color w:val="000000"/>
                <w:szCs w:val="18"/>
              </w:rPr>
              <w:t>100%</w:t>
            </w:r>
          </w:p>
        </w:tc>
      </w:tr>
    </w:tbl>
    <w:p w:rsidR="00156005" w:rsidRPr="00B75B77" w:rsidRDefault="00156005" w:rsidP="00201476">
      <w:pPr>
        <w:pStyle w:val="Source"/>
        <w:ind w:left="1980" w:hanging="270"/>
      </w:pPr>
      <w:r w:rsidRPr="00B75B77">
        <w:t xml:space="preserve">Source: Navigant </w:t>
      </w:r>
      <w:proofErr w:type="gramStart"/>
      <w:r w:rsidRPr="00B75B77">
        <w:t xml:space="preserve">analysis </w:t>
      </w:r>
      <w:r w:rsidR="00D34129" w:rsidRPr="00B75B77">
        <w:t>of in-store intercept</w:t>
      </w:r>
      <w:proofErr w:type="gramEnd"/>
      <w:r w:rsidR="00D34129" w:rsidRPr="00B75B77">
        <w:t xml:space="preserve"> surveys </w:t>
      </w:r>
    </w:p>
    <w:p w:rsidR="00156005" w:rsidRPr="00B75B77" w:rsidRDefault="00156005" w:rsidP="00037B84">
      <w:pPr>
        <w:pStyle w:val="ListParagraph"/>
        <w:keepNext/>
      </w:pPr>
      <w:r w:rsidRPr="00B75B77">
        <w:t xml:space="preserve">Those who were aware the discount was coming from PECO indicated that they had first learned of the PECO program from a variety of sources. By far the most common source, as shown in </w:t>
      </w:r>
      <w:fldSimple w:instr=" REF _Ref463495396  \* MERGEFORMAT ">
        <w:r w:rsidR="0004016D" w:rsidRPr="00B75B77">
          <w:t xml:space="preserve">Table </w:t>
        </w:r>
        <w:r w:rsidR="0004016D">
          <w:t>2</w:t>
        </w:r>
        <w:r w:rsidR="0004016D" w:rsidRPr="00B75B77">
          <w:noBreakHyphen/>
        </w:r>
        <w:r w:rsidR="0004016D">
          <w:t>11</w:t>
        </w:r>
      </w:fldSimple>
      <w:r w:rsidRPr="00B75B77">
        <w:t>, was seeing the PECO sticker on the lighting shelf alongside the discounted bulb price (</w:t>
      </w:r>
      <w:r w:rsidR="00DE73E9" w:rsidRPr="00B75B77">
        <w:t>65</w:t>
      </w:r>
      <w:r w:rsidRPr="00B75B77">
        <w:t>% of responses). These include</w:t>
      </w:r>
      <w:r w:rsidR="00706936" w:rsidRPr="00B75B77">
        <w:t>d</w:t>
      </w:r>
      <w:r w:rsidRPr="00B75B77">
        <w:t xml:space="preserve"> seeing additional marketing materials in the store, learning from a store employee, or having seen a retail lighting demonstration in the store.</w:t>
      </w:r>
    </w:p>
    <w:p w:rsidR="00156005" w:rsidRPr="00B75B77" w:rsidRDefault="00156005" w:rsidP="00722C85">
      <w:pPr>
        <w:pStyle w:val="Caption"/>
      </w:pPr>
    </w:p>
    <w:p w:rsidR="00156005" w:rsidRPr="00B75B77" w:rsidRDefault="00156005" w:rsidP="00722C85">
      <w:pPr>
        <w:pStyle w:val="Caption"/>
      </w:pPr>
      <w:bookmarkStart w:id="280" w:name="_Ref463495396"/>
      <w:bookmarkStart w:id="281" w:name="_Toc466413516"/>
      <w:r w:rsidRPr="00B75B77">
        <w:t xml:space="preserve">Table </w:t>
      </w:r>
      <w:fldSimple w:instr=" STYLEREF 1 \s ">
        <w:r w:rsidR="0004016D">
          <w:rPr>
            <w:noProof/>
          </w:rPr>
          <w:t>2</w:t>
        </w:r>
      </w:fldSimple>
      <w:r w:rsidR="00F1144C" w:rsidRPr="00B75B77">
        <w:noBreakHyphen/>
      </w:r>
      <w:fldSimple w:instr=" SEQ Table \* ARABIC \s 1 ">
        <w:r w:rsidR="0004016D">
          <w:rPr>
            <w:noProof/>
          </w:rPr>
          <w:t>11</w:t>
        </w:r>
      </w:fldSimple>
      <w:bookmarkEnd w:id="280"/>
      <w:r w:rsidR="00706936" w:rsidRPr="00B75B77">
        <w:t>:</w:t>
      </w:r>
      <w:r w:rsidRPr="00B75B77">
        <w:t xml:space="preserve"> Source of First Learning of PECO’s Lighting Discounts</w:t>
      </w:r>
      <w:r w:rsidR="00201476" w:rsidRPr="00B75B77">
        <w:t xml:space="preserve"> (n = 77)</w:t>
      </w:r>
      <w:bookmarkEnd w:id="281"/>
    </w:p>
    <w:tbl>
      <w:tblPr>
        <w:tblStyle w:val="PECOTeal"/>
        <w:tblW w:w="0" w:type="auto"/>
        <w:jc w:val="center"/>
        <w:tblLook w:val="04A0" w:firstRow="1" w:lastRow="0" w:firstColumn="1" w:lastColumn="0" w:noHBand="0" w:noVBand="1"/>
      </w:tblPr>
      <w:tblGrid>
        <w:gridCol w:w="3776"/>
        <w:gridCol w:w="2263"/>
      </w:tblGrid>
      <w:tr w:rsidR="00201476" w:rsidRPr="00B75B77" w:rsidTr="0020147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Pr>
          <w:p w:rsidR="00201476" w:rsidRPr="00B75B77" w:rsidRDefault="00201476" w:rsidP="00201476">
            <w:pPr>
              <w:keepNext/>
              <w:jc w:val="left"/>
            </w:pPr>
            <w:r w:rsidRPr="00B75B77">
              <w:t xml:space="preserve">Where did you first learn of the PECO program? </w:t>
            </w:r>
          </w:p>
        </w:tc>
        <w:tc>
          <w:tcPr>
            <w:tcW w:w="0" w:type="auto"/>
          </w:tcPr>
          <w:p w:rsidR="00201476" w:rsidRPr="00B75B77" w:rsidRDefault="00201476" w:rsidP="00722C85">
            <w:pPr>
              <w:keepNext/>
              <w:cnfStyle w:val="100000000000" w:firstRow="1" w:lastRow="0" w:firstColumn="0" w:lastColumn="0" w:oddVBand="0" w:evenVBand="0" w:oddHBand="0" w:evenHBand="0" w:firstRowFirstColumn="0" w:firstRowLastColumn="0" w:lastRowFirstColumn="0" w:lastRowLastColumn="0"/>
            </w:pPr>
            <w:r w:rsidRPr="00B75B77">
              <w:t>Percentage of Respondents</w:t>
            </w:r>
          </w:p>
        </w:tc>
      </w:tr>
      <w:tr w:rsidR="00706936" w:rsidRPr="00B75B77" w:rsidTr="002014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706936" w:rsidRPr="00B75B77" w:rsidRDefault="00706936" w:rsidP="00722C85">
            <w:pPr>
              <w:keepNext/>
              <w:rPr>
                <w:b w:val="0"/>
                <w:color w:val="000000"/>
              </w:rPr>
            </w:pPr>
            <w:r w:rsidRPr="00B75B77">
              <w:rPr>
                <w:b w:val="0"/>
                <w:color w:val="000000"/>
              </w:rPr>
              <w:t>PECO sticker on the shelf</w:t>
            </w:r>
          </w:p>
        </w:tc>
        <w:tc>
          <w:tcPr>
            <w:tcW w:w="0" w:type="auto"/>
            <w:hideMark/>
          </w:tcPr>
          <w:p w:rsidR="00706936" w:rsidRPr="00B75B77" w:rsidRDefault="00DE73E9" w:rsidP="00201476">
            <w:pPr>
              <w:keepNext/>
              <w:jc w:val="center"/>
              <w:cnfStyle w:val="000000100000" w:firstRow="0" w:lastRow="0" w:firstColumn="0" w:lastColumn="0" w:oddVBand="0" w:evenVBand="0" w:oddHBand="1" w:evenHBand="0" w:firstRowFirstColumn="0" w:firstRowLastColumn="0" w:lastRowFirstColumn="0" w:lastRowLastColumn="0"/>
              <w:rPr>
                <w:color w:val="000000"/>
              </w:rPr>
            </w:pPr>
            <w:r w:rsidRPr="00B75B77">
              <w:rPr>
                <w:color w:val="000000"/>
              </w:rPr>
              <w:t>65</w:t>
            </w:r>
            <w:r w:rsidR="00706936" w:rsidRPr="00B75B77">
              <w:rPr>
                <w:color w:val="000000"/>
              </w:rPr>
              <w:t>%</w:t>
            </w:r>
          </w:p>
        </w:tc>
      </w:tr>
      <w:tr w:rsidR="00706936" w:rsidRPr="00B75B77" w:rsidTr="00201476">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Pr>
          <w:p w:rsidR="00706936" w:rsidRPr="00B75B77" w:rsidRDefault="00706936" w:rsidP="00722C85">
            <w:pPr>
              <w:keepNext/>
              <w:rPr>
                <w:b w:val="0"/>
                <w:color w:val="000000"/>
              </w:rPr>
            </w:pPr>
            <w:r w:rsidRPr="00B75B77">
              <w:rPr>
                <w:b w:val="0"/>
                <w:color w:val="000000"/>
              </w:rPr>
              <w:t xml:space="preserve">PECO </w:t>
            </w:r>
            <w:r w:rsidR="005E04AB" w:rsidRPr="00B75B77">
              <w:rPr>
                <w:b w:val="0"/>
                <w:color w:val="000000"/>
              </w:rPr>
              <w:t>r</w:t>
            </w:r>
            <w:r w:rsidRPr="00B75B77">
              <w:rPr>
                <w:b w:val="0"/>
                <w:color w:val="000000"/>
              </w:rPr>
              <w:t>epresentative</w:t>
            </w:r>
          </w:p>
        </w:tc>
        <w:tc>
          <w:tcPr>
            <w:tcW w:w="0" w:type="auto"/>
          </w:tcPr>
          <w:p w:rsidR="00706936" w:rsidRPr="00B75B77" w:rsidRDefault="00DE73E9" w:rsidP="00201476">
            <w:pPr>
              <w:keepNext/>
              <w:jc w:val="center"/>
              <w:cnfStyle w:val="000000010000" w:firstRow="0" w:lastRow="0" w:firstColumn="0" w:lastColumn="0" w:oddVBand="0" w:evenVBand="0" w:oddHBand="0" w:evenHBand="1" w:firstRowFirstColumn="0" w:firstRowLastColumn="0" w:lastRowFirstColumn="0" w:lastRowLastColumn="0"/>
              <w:rPr>
                <w:color w:val="000000"/>
              </w:rPr>
            </w:pPr>
            <w:r w:rsidRPr="00B75B77">
              <w:rPr>
                <w:color w:val="000000"/>
              </w:rPr>
              <w:t>11</w:t>
            </w:r>
            <w:r w:rsidR="00706936" w:rsidRPr="00B75B77">
              <w:rPr>
                <w:color w:val="000000"/>
              </w:rPr>
              <w:t>%</w:t>
            </w:r>
          </w:p>
        </w:tc>
      </w:tr>
      <w:tr w:rsidR="00706936" w:rsidRPr="00B75B77" w:rsidTr="002014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Pr>
          <w:p w:rsidR="00706936" w:rsidRPr="00B75B77" w:rsidRDefault="00706936" w:rsidP="00722C85">
            <w:pPr>
              <w:keepNext/>
              <w:rPr>
                <w:b w:val="0"/>
                <w:color w:val="000000"/>
              </w:rPr>
            </w:pPr>
            <w:r w:rsidRPr="00B75B77">
              <w:rPr>
                <w:b w:val="0"/>
                <w:color w:val="000000"/>
              </w:rPr>
              <w:t>Store employee made me aware of the discount</w:t>
            </w:r>
          </w:p>
        </w:tc>
        <w:tc>
          <w:tcPr>
            <w:tcW w:w="0" w:type="auto"/>
          </w:tcPr>
          <w:p w:rsidR="00706936" w:rsidRPr="00B75B77" w:rsidRDefault="00706936" w:rsidP="00201476">
            <w:pPr>
              <w:keepNext/>
              <w:jc w:val="center"/>
              <w:cnfStyle w:val="000000100000" w:firstRow="0" w:lastRow="0" w:firstColumn="0" w:lastColumn="0" w:oddVBand="0" w:evenVBand="0" w:oddHBand="1" w:evenHBand="0" w:firstRowFirstColumn="0" w:firstRowLastColumn="0" w:lastRowFirstColumn="0" w:lastRowLastColumn="0"/>
              <w:rPr>
                <w:color w:val="000000"/>
              </w:rPr>
            </w:pPr>
            <w:r w:rsidRPr="00B75B77">
              <w:rPr>
                <w:color w:val="000000"/>
              </w:rPr>
              <w:t>11%</w:t>
            </w:r>
          </w:p>
        </w:tc>
      </w:tr>
      <w:tr w:rsidR="00706936" w:rsidRPr="00B75B77" w:rsidTr="00201476">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706936" w:rsidRPr="00B75B77" w:rsidRDefault="00706936" w:rsidP="00722C85">
            <w:pPr>
              <w:keepNext/>
              <w:rPr>
                <w:b w:val="0"/>
                <w:color w:val="000000"/>
              </w:rPr>
            </w:pPr>
            <w:r w:rsidRPr="00B75B77">
              <w:rPr>
                <w:b w:val="0"/>
                <w:color w:val="000000"/>
              </w:rPr>
              <w:t>Saw marketing materials in the store</w:t>
            </w:r>
          </w:p>
        </w:tc>
        <w:tc>
          <w:tcPr>
            <w:tcW w:w="0" w:type="auto"/>
            <w:hideMark/>
          </w:tcPr>
          <w:p w:rsidR="00706936" w:rsidRPr="00B75B77" w:rsidRDefault="00706936" w:rsidP="00201476">
            <w:pPr>
              <w:keepNext/>
              <w:jc w:val="center"/>
              <w:cnfStyle w:val="000000010000" w:firstRow="0" w:lastRow="0" w:firstColumn="0" w:lastColumn="0" w:oddVBand="0" w:evenVBand="0" w:oddHBand="0" w:evenHBand="1" w:firstRowFirstColumn="0" w:firstRowLastColumn="0" w:lastRowFirstColumn="0" w:lastRowLastColumn="0"/>
              <w:rPr>
                <w:color w:val="000000"/>
              </w:rPr>
            </w:pPr>
            <w:r w:rsidRPr="00B75B77">
              <w:rPr>
                <w:color w:val="000000"/>
              </w:rPr>
              <w:t>3%</w:t>
            </w:r>
          </w:p>
        </w:tc>
      </w:tr>
      <w:tr w:rsidR="00706936" w:rsidRPr="00B75B77" w:rsidTr="002014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Pr>
          <w:p w:rsidR="00706936" w:rsidRPr="00B75B77" w:rsidRDefault="00706936" w:rsidP="00722C85">
            <w:pPr>
              <w:keepNext/>
              <w:rPr>
                <w:b w:val="0"/>
                <w:color w:val="000000"/>
              </w:rPr>
            </w:pPr>
            <w:r w:rsidRPr="00B75B77">
              <w:rPr>
                <w:b w:val="0"/>
                <w:color w:val="000000"/>
              </w:rPr>
              <w:t>Friend</w:t>
            </w:r>
          </w:p>
        </w:tc>
        <w:tc>
          <w:tcPr>
            <w:tcW w:w="0" w:type="auto"/>
          </w:tcPr>
          <w:p w:rsidR="00706936" w:rsidRPr="00B75B77" w:rsidRDefault="00DE73E9" w:rsidP="00201476">
            <w:pPr>
              <w:keepNext/>
              <w:jc w:val="center"/>
              <w:cnfStyle w:val="000000100000" w:firstRow="0" w:lastRow="0" w:firstColumn="0" w:lastColumn="0" w:oddVBand="0" w:evenVBand="0" w:oddHBand="1" w:evenHBand="0" w:firstRowFirstColumn="0" w:firstRowLastColumn="0" w:lastRowFirstColumn="0" w:lastRowLastColumn="0"/>
              <w:rPr>
                <w:color w:val="000000"/>
              </w:rPr>
            </w:pPr>
            <w:r w:rsidRPr="00B75B77">
              <w:rPr>
                <w:color w:val="000000"/>
              </w:rPr>
              <w:t>3</w:t>
            </w:r>
            <w:r w:rsidR="00706936" w:rsidRPr="00B75B77">
              <w:rPr>
                <w:color w:val="000000"/>
              </w:rPr>
              <w:t>%</w:t>
            </w:r>
          </w:p>
        </w:tc>
      </w:tr>
      <w:tr w:rsidR="00706936" w:rsidRPr="00B75B77" w:rsidTr="00201476">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706936" w:rsidRPr="00B75B77" w:rsidRDefault="00706936" w:rsidP="00722C85">
            <w:pPr>
              <w:keepNext/>
              <w:rPr>
                <w:b w:val="0"/>
                <w:color w:val="000000"/>
              </w:rPr>
            </w:pPr>
            <w:r w:rsidRPr="00B75B77">
              <w:rPr>
                <w:b w:val="0"/>
                <w:color w:val="000000"/>
              </w:rPr>
              <w:t>Read about it in my bill from PECO</w:t>
            </w:r>
          </w:p>
        </w:tc>
        <w:tc>
          <w:tcPr>
            <w:tcW w:w="0" w:type="auto"/>
            <w:hideMark/>
          </w:tcPr>
          <w:p w:rsidR="00706936" w:rsidRPr="00B75B77" w:rsidRDefault="00706936" w:rsidP="00201476">
            <w:pPr>
              <w:keepNext/>
              <w:jc w:val="center"/>
              <w:cnfStyle w:val="000000010000" w:firstRow="0" w:lastRow="0" w:firstColumn="0" w:lastColumn="0" w:oddVBand="0" w:evenVBand="0" w:oddHBand="0" w:evenHBand="1" w:firstRowFirstColumn="0" w:firstRowLastColumn="0" w:lastRowFirstColumn="0" w:lastRowLastColumn="0"/>
              <w:rPr>
                <w:color w:val="000000"/>
              </w:rPr>
            </w:pPr>
            <w:r w:rsidRPr="00B75B77">
              <w:rPr>
                <w:color w:val="000000"/>
              </w:rPr>
              <w:t>2%</w:t>
            </w:r>
          </w:p>
        </w:tc>
      </w:tr>
      <w:tr w:rsidR="00706936" w:rsidRPr="00B75B77" w:rsidTr="002014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Pr>
          <w:p w:rsidR="00706936" w:rsidRPr="00B75B77" w:rsidRDefault="00706936" w:rsidP="00722C85">
            <w:pPr>
              <w:keepNext/>
              <w:rPr>
                <w:b w:val="0"/>
                <w:color w:val="000000"/>
              </w:rPr>
            </w:pPr>
            <w:r w:rsidRPr="00B75B77">
              <w:rPr>
                <w:b w:val="0"/>
                <w:color w:val="000000"/>
              </w:rPr>
              <w:t>Prior experience with program</w:t>
            </w:r>
          </w:p>
        </w:tc>
        <w:tc>
          <w:tcPr>
            <w:tcW w:w="0" w:type="auto"/>
          </w:tcPr>
          <w:p w:rsidR="00706936" w:rsidRPr="00B75B77" w:rsidRDefault="00706936" w:rsidP="00201476">
            <w:pPr>
              <w:keepNext/>
              <w:jc w:val="center"/>
              <w:cnfStyle w:val="000000100000" w:firstRow="0" w:lastRow="0" w:firstColumn="0" w:lastColumn="0" w:oddVBand="0" w:evenVBand="0" w:oddHBand="1" w:evenHBand="0" w:firstRowFirstColumn="0" w:firstRowLastColumn="0" w:lastRowFirstColumn="0" w:lastRowLastColumn="0"/>
              <w:rPr>
                <w:color w:val="000000"/>
              </w:rPr>
            </w:pPr>
            <w:r w:rsidRPr="00B75B77">
              <w:rPr>
                <w:color w:val="000000"/>
              </w:rPr>
              <w:t>2%</w:t>
            </w:r>
          </w:p>
        </w:tc>
      </w:tr>
      <w:tr w:rsidR="00706936" w:rsidRPr="00B75B77" w:rsidTr="00201476">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Pr>
          <w:p w:rsidR="00706936" w:rsidRPr="00B75B77" w:rsidRDefault="00706936" w:rsidP="00722C85">
            <w:pPr>
              <w:keepNext/>
              <w:rPr>
                <w:b w:val="0"/>
                <w:color w:val="000000"/>
              </w:rPr>
            </w:pPr>
            <w:r w:rsidRPr="00B75B77">
              <w:rPr>
                <w:b w:val="0"/>
                <w:color w:val="000000"/>
              </w:rPr>
              <w:t>Other</w:t>
            </w:r>
          </w:p>
        </w:tc>
        <w:tc>
          <w:tcPr>
            <w:tcW w:w="0" w:type="auto"/>
          </w:tcPr>
          <w:p w:rsidR="00706936" w:rsidRPr="00B75B77" w:rsidRDefault="00706936" w:rsidP="00201476">
            <w:pPr>
              <w:keepNext/>
              <w:jc w:val="center"/>
              <w:cnfStyle w:val="000000010000" w:firstRow="0" w:lastRow="0" w:firstColumn="0" w:lastColumn="0" w:oddVBand="0" w:evenVBand="0" w:oddHBand="0" w:evenHBand="1" w:firstRowFirstColumn="0" w:firstRowLastColumn="0" w:lastRowFirstColumn="0" w:lastRowLastColumn="0"/>
              <w:rPr>
                <w:color w:val="000000"/>
              </w:rPr>
            </w:pPr>
            <w:r w:rsidRPr="00B75B77">
              <w:rPr>
                <w:color w:val="000000"/>
              </w:rPr>
              <w:t>2%</w:t>
            </w:r>
          </w:p>
        </w:tc>
      </w:tr>
      <w:tr w:rsidR="00706936" w:rsidRPr="00B75B77" w:rsidTr="002014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Pr>
          <w:p w:rsidR="00706936" w:rsidRPr="00B75B77" w:rsidRDefault="00706936" w:rsidP="00722C85">
            <w:pPr>
              <w:keepNext/>
              <w:rPr>
                <w:b w:val="0"/>
                <w:color w:val="000000"/>
              </w:rPr>
            </w:pPr>
            <w:r w:rsidRPr="00B75B77">
              <w:rPr>
                <w:b w:val="0"/>
                <w:color w:val="000000"/>
              </w:rPr>
              <w:t>Internet</w:t>
            </w:r>
          </w:p>
        </w:tc>
        <w:tc>
          <w:tcPr>
            <w:tcW w:w="0" w:type="auto"/>
          </w:tcPr>
          <w:p w:rsidR="00706936" w:rsidRPr="00B75B77" w:rsidRDefault="00706936" w:rsidP="00201476">
            <w:pPr>
              <w:keepNext/>
              <w:jc w:val="center"/>
              <w:cnfStyle w:val="000000100000" w:firstRow="0" w:lastRow="0" w:firstColumn="0" w:lastColumn="0" w:oddVBand="0" w:evenVBand="0" w:oddHBand="1" w:evenHBand="0" w:firstRowFirstColumn="0" w:firstRowLastColumn="0" w:lastRowFirstColumn="0" w:lastRowLastColumn="0"/>
              <w:rPr>
                <w:color w:val="000000"/>
              </w:rPr>
            </w:pPr>
            <w:r w:rsidRPr="00B75B77">
              <w:rPr>
                <w:color w:val="000000"/>
              </w:rPr>
              <w:t>1%</w:t>
            </w:r>
          </w:p>
        </w:tc>
      </w:tr>
      <w:tr w:rsidR="00706936" w:rsidRPr="00B75B77" w:rsidTr="00201476">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706936" w:rsidRPr="00B75B77" w:rsidRDefault="00706936" w:rsidP="00722C85">
            <w:pPr>
              <w:keepNext/>
              <w:rPr>
                <w:b w:val="0"/>
                <w:color w:val="000000"/>
              </w:rPr>
            </w:pPr>
            <w:r w:rsidRPr="00B75B77">
              <w:rPr>
                <w:b w:val="0"/>
                <w:color w:val="000000"/>
              </w:rPr>
              <w:t>Saw a retail lighting demonstration</w:t>
            </w:r>
          </w:p>
        </w:tc>
        <w:tc>
          <w:tcPr>
            <w:tcW w:w="0" w:type="auto"/>
            <w:hideMark/>
          </w:tcPr>
          <w:p w:rsidR="00706936" w:rsidRPr="00B75B77" w:rsidRDefault="00706936" w:rsidP="00201476">
            <w:pPr>
              <w:keepNext/>
              <w:jc w:val="center"/>
              <w:cnfStyle w:val="000000010000" w:firstRow="0" w:lastRow="0" w:firstColumn="0" w:lastColumn="0" w:oddVBand="0" w:evenVBand="0" w:oddHBand="0" w:evenHBand="1" w:firstRowFirstColumn="0" w:firstRowLastColumn="0" w:lastRowFirstColumn="0" w:lastRowLastColumn="0"/>
              <w:rPr>
                <w:color w:val="000000"/>
              </w:rPr>
            </w:pPr>
            <w:r w:rsidRPr="00B75B77">
              <w:rPr>
                <w:color w:val="000000"/>
              </w:rPr>
              <w:t>0%</w:t>
            </w:r>
          </w:p>
        </w:tc>
      </w:tr>
      <w:tr w:rsidR="00706936" w:rsidRPr="00B75B77" w:rsidTr="0020147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Pr>
          <w:p w:rsidR="00706936" w:rsidRPr="00B75B77" w:rsidRDefault="00706936" w:rsidP="00722C85">
            <w:pPr>
              <w:keepNext/>
              <w:rPr>
                <w:color w:val="000000"/>
              </w:rPr>
            </w:pPr>
            <w:r w:rsidRPr="00B75B77">
              <w:rPr>
                <w:color w:val="000000"/>
              </w:rPr>
              <w:t>TOTAL</w:t>
            </w:r>
          </w:p>
        </w:tc>
        <w:tc>
          <w:tcPr>
            <w:tcW w:w="0" w:type="auto"/>
          </w:tcPr>
          <w:p w:rsidR="00706936" w:rsidRPr="00B75B77" w:rsidRDefault="00706936" w:rsidP="00201476">
            <w:pPr>
              <w:keepNext/>
              <w:jc w:val="center"/>
              <w:cnfStyle w:val="000000100000" w:firstRow="0" w:lastRow="0" w:firstColumn="0" w:lastColumn="0" w:oddVBand="0" w:evenVBand="0" w:oddHBand="1" w:evenHBand="0" w:firstRowFirstColumn="0" w:firstRowLastColumn="0" w:lastRowFirstColumn="0" w:lastRowLastColumn="0"/>
              <w:rPr>
                <w:b/>
                <w:color w:val="000000"/>
              </w:rPr>
            </w:pPr>
            <w:r w:rsidRPr="00B75B77">
              <w:rPr>
                <w:b/>
                <w:color w:val="000000"/>
              </w:rPr>
              <w:t>100%</w:t>
            </w:r>
          </w:p>
        </w:tc>
      </w:tr>
    </w:tbl>
    <w:p w:rsidR="00156005" w:rsidRPr="00B75B77" w:rsidRDefault="00156005" w:rsidP="00201476">
      <w:pPr>
        <w:pStyle w:val="Source"/>
        <w:ind w:left="1350" w:firstLine="270"/>
      </w:pPr>
      <w:r w:rsidRPr="00B75B77">
        <w:t xml:space="preserve">Source:  </w:t>
      </w:r>
      <w:r w:rsidR="00D34129" w:rsidRPr="00B75B77">
        <w:t xml:space="preserve">Navigant </w:t>
      </w:r>
      <w:proofErr w:type="gramStart"/>
      <w:r w:rsidR="00D34129" w:rsidRPr="00B75B77">
        <w:t>analysis of in-store intercept</w:t>
      </w:r>
      <w:proofErr w:type="gramEnd"/>
      <w:r w:rsidR="00D34129" w:rsidRPr="00B75B77">
        <w:t xml:space="preserve"> surveys</w:t>
      </w:r>
    </w:p>
    <w:p w:rsidR="00156005" w:rsidRPr="00B75B77" w:rsidRDefault="00156005" w:rsidP="00037B84">
      <w:pPr>
        <w:pStyle w:val="ListParagraph"/>
        <w:keepNext/>
      </w:pPr>
      <w:r w:rsidRPr="00B75B77">
        <w:t xml:space="preserve">Customers who indicated they had the intention to buy some kind of light bulb upon entering the store were asked what type of bulbs they were intending to buy. As shown in </w:t>
      </w:r>
      <w:r w:rsidR="005E04AB" w:rsidRPr="00B75B77">
        <w:fldChar w:fldCharType="begin"/>
      </w:r>
      <w:r w:rsidR="005E04AB" w:rsidRPr="00B75B77">
        <w:instrText xml:space="preserve"> REF _Ref464216883 \h </w:instrText>
      </w:r>
      <w:r w:rsidR="00037B84" w:rsidRPr="00B75B77">
        <w:instrText xml:space="preserve"> \* MERGEFORMAT </w:instrText>
      </w:r>
      <w:r w:rsidR="005E04AB" w:rsidRPr="00B75B77">
        <w:fldChar w:fldCharType="separate"/>
      </w:r>
      <w:r w:rsidR="0004016D" w:rsidRPr="00B75B77">
        <w:t xml:space="preserve">Table </w:t>
      </w:r>
      <w:r w:rsidR="0004016D">
        <w:t>2</w:t>
      </w:r>
      <w:r w:rsidR="0004016D" w:rsidRPr="00B75B77">
        <w:noBreakHyphen/>
      </w:r>
      <w:r w:rsidR="0004016D">
        <w:t>12</w:t>
      </w:r>
      <w:r w:rsidR="005E04AB" w:rsidRPr="00B75B77">
        <w:fldChar w:fldCharType="end"/>
      </w:r>
      <w:r w:rsidRPr="00B75B77">
        <w:t>, the most common answers were LEDs (43%) and non-energy</w:t>
      </w:r>
      <w:r w:rsidR="005E04AB" w:rsidRPr="00B75B77">
        <w:t xml:space="preserve"> </w:t>
      </w:r>
      <w:r w:rsidRPr="00B75B77">
        <w:t>efficient bulbs (43%).</w:t>
      </w:r>
    </w:p>
    <w:p w:rsidR="00156005" w:rsidRPr="00B75B77" w:rsidRDefault="00156005" w:rsidP="00722C85"/>
    <w:p w:rsidR="00156005" w:rsidRPr="00B75B77" w:rsidRDefault="00156005" w:rsidP="00722C85">
      <w:pPr>
        <w:pStyle w:val="Caption"/>
      </w:pPr>
      <w:bookmarkStart w:id="282" w:name="_Ref464216883"/>
      <w:bookmarkStart w:id="283" w:name="_Toc466413517"/>
      <w:r w:rsidRPr="00B75B77">
        <w:t xml:space="preserve">Table </w:t>
      </w:r>
      <w:fldSimple w:instr=" STYLEREF 1 \s ">
        <w:r w:rsidR="0004016D">
          <w:rPr>
            <w:noProof/>
          </w:rPr>
          <w:t>2</w:t>
        </w:r>
      </w:fldSimple>
      <w:r w:rsidR="00F1144C" w:rsidRPr="00B75B77">
        <w:noBreakHyphen/>
      </w:r>
      <w:fldSimple w:instr=" SEQ Table \* ARABIC \s 1 ">
        <w:r w:rsidR="0004016D">
          <w:rPr>
            <w:noProof/>
          </w:rPr>
          <w:t>12</w:t>
        </w:r>
      </w:fldSimple>
      <w:bookmarkEnd w:id="282"/>
      <w:r w:rsidRPr="00B75B77">
        <w:t>: Customer Light Bulb Purchase Intentions</w:t>
      </w:r>
      <w:bookmarkEnd w:id="283"/>
    </w:p>
    <w:tbl>
      <w:tblPr>
        <w:tblStyle w:val="PECOTeal"/>
        <w:tblW w:w="5396" w:type="dxa"/>
        <w:jc w:val="center"/>
        <w:tblLook w:val="04A0" w:firstRow="1" w:lastRow="0" w:firstColumn="1" w:lastColumn="0" w:noHBand="0" w:noVBand="1"/>
      </w:tblPr>
      <w:tblGrid>
        <w:gridCol w:w="2023"/>
        <w:gridCol w:w="1710"/>
        <w:gridCol w:w="1663"/>
      </w:tblGrid>
      <w:tr w:rsidR="005E04AB" w:rsidRPr="00B75B77" w:rsidTr="005E04AB">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023" w:type="dxa"/>
            <w:hideMark/>
          </w:tcPr>
          <w:p w:rsidR="005E04AB" w:rsidRPr="00B75B77" w:rsidRDefault="00201476" w:rsidP="00201476">
            <w:pPr>
              <w:jc w:val="left"/>
              <w:rPr>
                <w:rFonts w:ascii="Calibri" w:eastAsia="Times New Roman" w:hAnsi="Calibri"/>
                <w:szCs w:val="18"/>
              </w:rPr>
            </w:pPr>
            <w:r w:rsidRPr="00B75B77">
              <w:rPr>
                <w:rFonts w:ascii="Calibri" w:eastAsia="Times New Roman" w:hAnsi="Calibri"/>
                <w:bCs w:val="0"/>
                <w:szCs w:val="18"/>
              </w:rPr>
              <w:t xml:space="preserve">What type of bulb do you intend to purchase today? </w:t>
            </w:r>
          </w:p>
        </w:tc>
        <w:tc>
          <w:tcPr>
            <w:tcW w:w="1710" w:type="dxa"/>
            <w:hideMark/>
          </w:tcPr>
          <w:p w:rsidR="005E04AB" w:rsidRPr="00B75B77" w:rsidRDefault="005E04AB" w:rsidP="00722C8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Cs w:val="18"/>
              </w:rPr>
            </w:pPr>
            <w:r w:rsidRPr="00B75B77">
              <w:rPr>
                <w:rFonts w:ascii="Calibri" w:eastAsia="Times New Roman" w:hAnsi="Calibri"/>
                <w:bCs w:val="0"/>
                <w:szCs w:val="18"/>
              </w:rPr>
              <w:t>PY5</w:t>
            </w:r>
            <w:r w:rsidR="00201476" w:rsidRPr="00B75B77">
              <w:rPr>
                <w:rFonts w:ascii="Calibri" w:eastAsia="Times New Roman" w:hAnsi="Calibri"/>
                <w:bCs w:val="0"/>
                <w:szCs w:val="18"/>
              </w:rPr>
              <w:t xml:space="preserve"> </w:t>
            </w:r>
            <w:r w:rsidR="00201476" w:rsidRPr="00B75B77">
              <w:rPr>
                <w:rFonts w:ascii="Calibri" w:eastAsia="Times New Roman" w:hAnsi="Calibri"/>
                <w:bCs w:val="0"/>
                <w:szCs w:val="18"/>
              </w:rPr>
              <w:br/>
              <w:t>(n</w:t>
            </w:r>
            <w:r w:rsidR="00FC4CE8" w:rsidRPr="00B75B77">
              <w:rPr>
                <w:rFonts w:ascii="Calibri" w:eastAsia="Times New Roman" w:hAnsi="Calibri"/>
                <w:bCs w:val="0"/>
                <w:szCs w:val="18"/>
              </w:rPr>
              <w:t>=569</w:t>
            </w:r>
            <w:r w:rsidR="00201476" w:rsidRPr="00B75B77">
              <w:rPr>
                <w:rFonts w:ascii="Calibri" w:eastAsia="Times New Roman" w:hAnsi="Calibri"/>
                <w:bCs w:val="0"/>
                <w:szCs w:val="18"/>
              </w:rPr>
              <w:t>)</w:t>
            </w:r>
          </w:p>
        </w:tc>
        <w:tc>
          <w:tcPr>
            <w:tcW w:w="1663" w:type="dxa"/>
            <w:hideMark/>
          </w:tcPr>
          <w:p w:rsidR="005E04AB" w:rsidRPr="00B75B77" w:rsidRDefault="005E04AB" w:rsidP="00722C8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Cs w:val="18"/>
              </w:rPr>
            </w:pPr>
            <w:r w:rsidRPr="00B75B77">
              <w:rPr>
                <w:rFonts w:ascii="Calibri" w:eastAsia="Times New Roman" w:hAnsi="Calibri"/>
                <w:bCs w:val="0"/>
                <w:szCs w:val="18"/>
              </w:rPr>
              <w:t>PY7</w:t>
            </w:r>
            <w:r w:rsidR="00201476" w:rsidRPr="00B75B77">
              <w:rPr>
                <w:rFonts w:ascii="Calibri" w:eastAsia="Times New Roman" w:hAnsi="Calibri"/>
                <w:bCs w:val="0"/>
                <w:szCs w:val="18"/>
              </w:rPr>
              <w:br/>
              <w:t>(n</w:t>
            </w:r>
            <w:r w:rsidR="00DE73E9" w:rsidRPr="00B75B77">
              <w:rPr>
                <w:rFonts w:ascii="Calibri" w:eastAsia="Times New Roman" w:hAnsi="Calibri"/>
                <w:bCs w:val="0"/>
                <w:szCs w:val="18"/>
              </w:rPr>
              <w:t>=396</w:t>
            </w:r>
            <w:r w:rsidR="00201476" w:rsidRPr="00B75B77">
              <w:rPr>
                <w:rFonts w:ascii="Calibri" w:eastAsia="Times New Roman" w:hAnsi="Calibri"/>
                <w:bCs w:val="0"/>
                <w:szCs w:val="18"/>
              </w:rPr>
              <w:t>)</w:t>
            </w:r>
          </w:p>
        </w:tc>
      </w:tr>
      <w:tr w:rsidR="00156005" w:rsidRPr="00B75B77" w:rsidTr="005E04AB">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2023" w:type="dxa"/>
            <w:noWrap/>
            <w:hideMark/>
          </w:tcPr>
          <w:p w:rsidR="00156005" w:rsidRPr="00B75B77" w:rsidRDefault="00156005" w:rsidP="00722C85">
            <w:pPr>
              <w:jc w:val="left"/>
              <w:rPr>
                <w:rFonts w:ascii="Calibri" w:eastAsia="Times New Roman" w:hAnsi="Calibri"/>
                <w:b w:val="0"/>
                <w:color w:val="000000"/>
                <w:szCs w:val="18"/>
              </w:rPr>
            </w:pPr>
            <w:r w:rsidRPr="00B75B77">
              <w:rPr>
                <w:rFonts w:ascii="Calibri" w:hAnsi="Calibri"/>
                <w:b w:val="0"/>
                <w:color w:val="000000"/>
                <w:szCs w:val="18"/>
              </w:rPr>
              <w:t>CFL</w:t>
            </w:r>
          </w:p>
        </w:tc>
        <w:tc>
          <w:tcPr>
            <w:tcW w:w="1710" w:type="dxa"/>
          </w:tcPr>
          <w:p w:rsidR="00156005" w:rsidRPr="00B75B77" w:rsidRDefault="00FC4CE8" w:rsidP="00722C8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43</w:t>
            </w:r>
            <w:r w:rsidR="00156005" w:rsidRPr="00B75B77">
              <w:rPr>
                <w:rFonts w:ascii="Calibri" w:eastAsia="Times New Roman" w:hAnsi="Calibri"/>
                <w:color w:val="000000"/>
                <w:szCs w:val="18"/>
              </w:rPr>
              <w:t>%</w:t>
            </w:r>
          </w:p>
        </w:tc>
        <w:tc>
          <w:tcPr>
            <w:tcW w:w="1663" w:type="dxa"/>
          </w:tcPr>
          <w:p w:rsidR="00156005" w:rsidRPr="00B75B77" w:rsidRDefault="00DE73E9" w:rsidP="00722C8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12</w:t>
            </w:r>
            <w:r w:rsidR="00156005" w:rsidRPr="00B75B77">
              <w:rPr>
                <w:rFonts w:ascii="Calibri" w:eastAsia="Times New Roman" w:hAnsi="Calibri"/>
                <w:color w:val="000000"/>
                <w:szCs w:val="18"/>
              </w:rPr>
              <w:t>%</w:t>
            </w:r>
          </w:p>
        </w:tc>
      </w:tr>
      <w:tr w:rsidR="00156005" w:rsidRPr="00B75B77" w:rsidTr="005E04AB">
        <w:trPr>
          <w:cnfStyle w:val="000000010000" w:firstRow="0" w:lastRow="0" w:firstColumn="0" w:lastColumn="0" w:oddVBand="0" w:evenVBand="0" w:oddHBand="0" w:evenHBand="1"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2023" w:type="dxa"/>
            <w:noWrap/>
            <w:hideMark/>
          </w:tcPr>
          <w:p w:rsidR="00156005" w:rsidRPr="00B75B77" w:rsidRDefault="00156005" w:rsidP="00722C85">
            <w:pPr>
              <w:jc w:val="left"/>
              <w:rPr>
                <w:rFonts w:ascii="Calibri" w:eastAsia="Times New Roman" w:hAnsi="Calibri"/>
                <w:b w:val="0"/>
                <w:color w:val="000000"/>
                <w:szCs w:val="18"/>
              </w:rPr>
            </w:pPr>
            <w:r w:rsidRPr="00B75B77">
              <w:rPr>
                <w:rFonts w:ascii="Calibri" w:hAnsi="Calibri"/>
                <w:b w:val="0"/>
                <w:color w:val="000000"/>
                <w:szCs w:val="18"/>
              </w:rPr>
              <w:t>LED</w:t>
            </w:r>
          </w:p>
        </w:tc>
        <w:tc>
          <w:tcPr>
            <w:tcW w:w="1710" w:type="dxa"/>
          </w:tcPr>
          <w:p w:rsidR="00156005" w:rsidRPr="00B75B77" w:rsidRDefault="00156005" w:rsidP="00722C8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1</w:t>
            </w:r>
            <w:r w:rsidR="00FC4CE8" w:rsidRPr="00B75B77">
              <w:rPr>
                <w:rFonts w:ascii="Calibri" w:eastAsia="Times New Roman" w:hAnsi="Calibri"/>
                <w:color w:val="000000"/>
                <w:szCs w:val="18"/>
              </w:rPr>
              <w:t>5</w:t>
            </w:r>
            <w:r w:rsidRPr="00B75B77">
              <w:rPr>
                <w:rFonts w:ascii="Calibri" w:eastAsia="Times New Roman" w:hAnsi="Calibri"/>
                <w:color w:val="000000"/>
                <w:szCs w:val="18"/>
              </w:rPr>
              <w:t>%</w:t>
            </w:r>
          </w:p>
        </w:tc>
        <w:tc>
          <w:tcPr>
            <w:tcW w:w="1663" w:type="dxa"/>
          </w:tcPr>
          <w:p w:rsidR="00156005" w:rsidRPr="00B75B77" w:rsidRDefault="00156005" w:rsidP="00722C8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4</w:t>
            </w:r>
            <w:r w:rsidR="00DE73E9" w:rsidRPr="00B75B77">
              <w:rPr>
                <w:rFonts w:ascii="Calibri" w:eastAsia="Times New Roman" w:hAnsi="Calibri"/>
                <w:color w:val="000000"/>
                <w:szCs w:val="18"/>
              </w:rPr>
              <w:t>7</w:t>
            </w:r>
            <w:r w:rsidRPr="00B75B77">
              <w:rPr>
                <w:rFonts w:ascii="Calibri" w:eastAsia="Times New Roman" w:hAnsi="Calibri"/>
                <w:color w:val="000000"/>
                <w:szCs w:val="18"/>
              </w:rPr>
              <w:t>%</w:t>
            </w:r>
          </w:p>
        </w:tc>
      </w:tr>
      <w:tr w:rsidR="00156005" w:rsidRPr="00B75B77" w:rsidTr="005E04AB">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2023" w:type="dxa"/>
            <w:noWrap/>
            <w:hideMark/>
          </w:tcPr>
          <w:p w:rsidR="00156005" w:rsidRPr="00B75B77" w:rsidRDefault="00156005" w:rsidP="00722C85">
            <w:pPr>
              <w:jc w:val="left"/>
              <w:rPr>
                <w:rFonts w:ascii="Calibri" w:eastAsia="Times New Roman" w:hAnsi="Calibri"/>
                <w:b w:val="0"/>
                <w:color w:val="000000"/>
                <w:szCs w:val="18"/>
              </w:rPr>
            </w:pPr>
            <w:r w:rsidRPr="00B75B77">
              <w:rPr>
                <w:rFonts w:ascii="Calibri" w:hAnsi="Calibri"/>
                <w:b w:val="0"/>
                <w:color w:val="000000"/>
                <w:szCs w:val="18"/>
              </w:rPr>
              <w:t>Non-EE</w:t>
            </w:r>
          </w:p>
        </w:tc>
        <w:tc>
          <w:tcPr>
            <w:tcW w:w="1710" w:type="dxa"/>
          </w:tcPr>
          <w:p w:rsidR="00156005" w:rsidRPr="00B75B77" w:rsidRDefault="00FC4CE8" w:rsidP="00722C8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42</w:t>
            </w:r>
            <w:r w:rsidR="00156005" w:rsidRPr="00B75B77">
              <w:rPr>
                <w:rFonts w:ascii="Calibri" w:eastAsia="Times New Roman" w:hAnsi="Calibri"/>
                <w:color w:val="000000"/>
                <w:szCs w:val="18"/>
              </w:rPr>
              <w:t>%</w:t>
            </w:r>
          </w:p>
        </w:tc>
        <w:tc>
          <w:tcPr>
            <w:tcW w:w="1663" w:type="dxa"/>
          </w:tcPr>
          <w:p w:rsidR="00156005" w:rsidRPr="00B75B77" w:rsidRDefault="00156005" w:rsidP="00722C8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4</w:t>
            </w:r>
            <w:r w:rsidR="00DE73E9" w:rsidRPr="00B75B77">
              <w:rPr>
                <w:rFonts w:ascii="Calibri" w:eastAsia="Times New Roman" w:hAnsi="Calibri"/>
                <w:color w:val="000000"/>
                <w:szCs w:val="18"/>
              </w:rPr>
              <w:t>1</w:t>
            </w:r>
            <w:r w:rsidRPr="00B75B77">
              <w:rPr>
                <w:rFonts w:ascii="Calibri" w:eastAsia="Times New Roman" w:hAnsi="Calibri"/>
                <w:color w:val="000000"/>
                <w:szCs w:val="18"/>
              </w:rPr>
              <w:t>%</w:t>
            </w:r>
          </w:p>
        </w:tc>
      </w:tr>
    </w:tbl>
    <w:p w:rsidR="00156005" w:rsidRPr="00B75B77" w:rsidRDefault="00156005" w:rsidP="005E04AB">
      <w:pPr>
        <w:pStyle w:val="Source"/>
        <w:ind w:firstLine="1350"/>
      </w:pPr>
      <w:r w:rsidRPr="00B75B77">
        <w:lastRenderedPageBreak/>
        <w:t xml:space="preserve">Source: </w:t>
      </w:r>
      <w:r w:rsidR="00D34129" w:rsidRPr="00B75B77">
        <w:t xml:space="preserve">Navigant </w:t>
      </w:r>
      <w:proofErr w:type="gramStart"/>
      <w:r w:rsidR="00D34129" w:rsidRPr="00B75B77">
        <w:t>analysis of in-store intercept</w:t>
      </w:r>
      <w:proofErr w:type="gramEnd"/>
      <w:r w:rsidR="00D34129" w:rsidRPr="00B75B77">
        <w:t xml:space="preserve"> surveys</w:t>
      </w:r>
    </w:p>
    <w:p w:rsidR="00156005" w:rsidRPr="00B75B77" w:rsidRDefault="00156005" w:rsidP="00AE0F3F">
      <w:pPr>
        <w:pStyle w:val="ListParagraph"/>
        <w:keepNext/>
      </w:pPr>
      <w:r w:rsidRPr="00B75B77">
        <w:t>Respondents who indicated they were aware of energy</w:t>
      </w:r>
      <w:r w:rsidR="005E04AB" w:rsidRPr="00B75B77">
        <w:t xml:space="preserve"> </w:t>
      </w:r>
      <w:r w:rsidRPr="00B75B77">
        <w:t xml:space="preserve">efficient bulb types but had not purchased them were asked why they chose not to purchase CFLs or LEDs. </w:t>
      </w:r>
      <w:r w:rsidR="005E04AB" w:rsidRPr="00B75B77">
        <w:fldChar w:fldCharType="begin"/>
      </w:r>
      <w:r w:rsidR="005E04AB" w:rsidRPr="00B75B77">
        <w:instrText xml:space="preserve"> REF _Ref464217160 \h </w:instrText>
      </w:r>
      <w:r w:rsidR="00AE0F3F" w:rsidRPr="00B75B77">
        <w:instrText xml:space="preserve"> \* MERGEFORMAT </w:instrText>
      </w:r>
      <w:r w:rsidR="005E04AB" w:rsidRPr="00B75B77">
        <w:fldChar w:fldCharType="separate"/>
      </w:r>
      <w:r w:rsidR="0004016D" w:rsidRPr="00B75B77">
        <w:t xml:space="preserve">Table </w:t>
      </w:r>
      <w:r w:rsidR="0004016D">
        <w:t>2</w:t>
      </w:r>
      <w:r w:rsidR="0004016D" w:rsidRPr="00B75B77">
        <w:noBreakHyphen/>
      </w:r>
      <w:r w:rsidR="0004016D">
        <w:t>13</w:t>
      </w:r>
      <w:r w:rsidR="005E04AB" w:rsidRPr="00B75B77">
        <w:fldChar w:fldCharType="end"/>
      </w:r>
      <w:r w:rsidRPr="00B75B77">
        <w:t xml:space="preserve"> shows responses. Perceived high costs (“too expensive”) were cited by most for LEDs and second most for CFLs. Additionally for CFLs and LEDs, respondents said they needed a specialty bulb</w:t>
      </w:r>
      <w:r w:rsidR="005E04AB" w:rsidRPr="00B75B77">
        <w:t>,</w:t>
      </w:r>
      <w:r w:rsidRPr="00B75B77">
        <w:t xml:space="preserve"> implying that they did not think a CFL or LED existed to fit their needs.</w:t>
      </w:r>
    </w:p>
    <w:p w:rsidR="00156005" w:rsidRPr="00B75B77" w:rsidRDefault="00156005" w:rsidP="00722C85">
      <w:pPr>
        <w:keepNext/>
      </w:pPr>
    </w:p>
    <w:p w:rsidR="00156005" w:rsidRPr="00B75B77" w:rsidRDefault="00156005" w:rsidP="00722C85">
      <w:pPr>
        <w:pStyle w:val="Caption"/>
      </w:pPr>
      <w:bookmarkStart w:id="284" w:name="_Ref464217160"/>
      <w:bookmarkStart w:id="285" w:name="_Toc466413518"/>
      <w:r w:rsidRPr="00B75B77">
        <w:t xml:space="preserve">Table </w:t>
      </w:r>
      <w:fldSimple w:instr=" STYLEREF 1 \s ">
        <w:r w:rsidR="0004016D">
          <w:rPr>
            <w:noProof/>
          </w:rPr>
          <w:t>2</w:t>
        </w:r>
      </w:fldSimple>
      <w:r w:rsidR="00F1144C" w:rsidRPr="00B75B77">
        <w:noBreakHyphen/>
      </w:r>
      <w:fldSimple w:instr=" SEQ Table \* ARABIC \s 1 ">
        <w:r w:rsidR="0004016D">
          <w:rPr>
            <w:noProof/>
          </w:rPr>
          <w:t>13</w:t>
        </w:r>
      </w:fldSimple>
      <w:bookmarkEnd w:id="284"/>
      <w:r w:rsidR="005E04AB" w:rsidRPr="00B75B77">
        <w:t>:</w:t>
      </w:r>
      <w:r w:rsidRPr="00B75B77">
        <w:t xml:space="preserve"> Reasons Cited for Not Purchasing Energy</w:t>
      </w:r>
      <w:r w:rsidR="00AF5657" w:rsidRPr="00B75B77">
        <w:t xml:space="preserve"> </w:t>
      </w:r>
      <w:r w:rsidRPr="00B75B77">
        <w:t>Efficient Bulb Types</w:t>
      </w:r>
      <w:bookmarkEnd w:id="285"/>
    </w:p>
    <w:tbl>
      <w:tblPr>
        <w:tblStyle w:val="PECOTeal"/>
        <w:tblW w:w="7200" w:type="dxa"/>
        <w:jc w:val="center"/>
        <w:tblLook w:val="04A0" w:firstRow="1" w:lastRow="0" w:firstColumn="1" w:lastColumn="0" w:noHBand="0" w:noVBand="1"/>
      </w:tblPr>
      <w:tblGrid>
        <w:gridCol w:w="3241"/>
        <w:gridCol w:w="1974"/>
        <w:gridCol w:w="1985"/>
      </w:tblGrid>
      <w:tr w:rsidR="00156005" w:rsidRPr="00B75B77" w:rsidTr="005E04A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41" w:type="dxa"/>
            <w:hideMark/>
          </w:tcPr>
          <w:p w:rsidR="00156005" w:rsidRPr="00B75B77" w:rsidRDefault="00201476" w:rsidP="00722C85">
            <w:pPr>
              <w:keepNext/>
              <w:rPr>
                <w:bCs w:val="0"/>
                <w:color w:val="FFFFFF"/>
              </w:rPr>
            </w:pPr>
            <w:r w:rsidRPr="00B75B77">
              <w:rPr>
                <w:bCs w:val="0"/>
                <w:color w:val="FFFFFF"/>
              </w:rPr>
              <w:t xml:space="preserve">Why did you choose not to purchase a CFL or LED bulb? </w:t>
            </w:r>
          </w:p>
        </w:tc>
        <w:tc>
          <w:tcPr>
            <w:tcW w:w="0" w:type="auto"/>
            <w:hideMark/>
          </w:tcPr>
          <w:p w:rsidR="00156005" w:rsidRPr="00B75B77" w:rsidRDefault="005E04AB" w:rsidP="00201476">
            <w:pPr>
              <w:keepNext/>
              <w:jc w:val="center"/>
              <w:cnfStyle w:val="100000000000" w:firstRow="1" w:lastRow="0" w:firstColumn="0" w:lastColumn="0" w:oddVBand="0" w:evenVBand="0" w:oddHBand="0" w:evenHBand="0" w:firstRowFirstColumn="0" w:firstRowLastColumn="0" w:lastRowFirstColumn="0" w:lastRowLastColumn="0"/>
              <w:rPr>
                <w:bCs w:val="0"/>
                <w:color w:val="FFFFFF"/>
              </w:rPr>
            </w:pPr>
            <w:r w:rsidRPr="00B75B77">
              <w:rPr>
                <w:bCs w:val="0"/>
                <w:color w:val="FFFFFF"/>
              </w:rPr>
              <w:t>Percentage</w:t>
            </w:r>
            <w:r w:rsidR="00156005" w:rsidRPr="00B75B77">
              <w:rPr>
                <w:bCs w:val="0"/>
                <w:color w:val="FFFFFF"/>
              </w:rPr>
              <w:t xml:space="preserve"> of </w:t>
            </w:r>
            <w:r w:rsidRPr="00B75B77">
              <w:rPr>
                <w:bCs w:val="0"/>
                <w:color w:val="FFFFFF"/>
              </w:rPr>
              <w:t>R</w:t>
            </w:r>
            <w:r w:rsidR="00156005" w:rsidRPr="00B75B77">
              <w:rPr>
                <w:bCs w:val="0"/>
                <w:color w:val="FFFFFF"/>
              </w:rPr>
              <w:t>esponses for CFLs</w:t>
            </w:r>
            <w:r w:rsidR="00022EDF" w:rsidRPr="00B75B77">
              <w:rPr>
                <w:bCs w:val="0"/>
                <w:color w:val="FFFFFF"/>
                <w:vertAlign w:val="superscript"/>
              </w:rPr>
              <w:t>[1]</w:t>
            </w:r>
            <w:r w:rsidR="00FC4CE8" w:rsidRPr="00B75B77">
              <w:rPr>
                <w:bCs w:val="0"/>
                <w:color w:val="FFFFFF"/>
              </w:rPr>
              <w:br/>
              <w:t>(n=</w:t>
            </w:r>
            <w:r w:rsidR="00022EDF" w:rsidRPr="00B75B77">
              <w:rPr>
                <w:bCs w:val="0"/>
                <w:color w:val="FFFFFF"/>
              </w:rPr>
              <w:t>164 respondents</w:t>
            </w:r>
            <w:r w:rsidR="00FC4CE8" w:rsidRPr="00B75B77">
              <w:rPr>
                <w:bCs w:val="0"/>
                <w:color w:val="FFFFFF"/>
              </w:rPr>
              <w:t>)</w:t>
            </w:r>
          </w:p>
        </w:tc>
        <w:tc>
          <w:tcPr>
            <w:tcW w:w="0" w:type="auto"/>
            <w:hideMark/>
          </w:tcPr>
          <w:p w:rsidR="00156005" w:rsidRPr="00B75B77" w:rsidRDefault="005E04AB" w:rsidP="00201476">
            <w:pPr>
              <w:keepNext/>
              <w:jc w:val="center"/>
              <w:cnfStyle w:val="100000000000" w:firstRow="1" w:lastRow="0" w:firstColumn="0" w:lastColumn="0" w:oddVBand="0" w:evenVBand="0" w:oddHBand="0" w:evenHBand="0" w:firstRowFirstColumn="0" w:firstRowLastColumn="0" w:lastRowFirstColumn="0" w:lastRowLastColumn="0"/>
              <w:rPr>
                <w:bCs w:val="0"/>
                <w:color w:val="FFFFFF"/>
              </w:rPr>
            </w:pPr>
            <w:r w:rsidRPr="00B75B77">
              <w:rPr>
                <w:bCs w:val="0"/>
                <w:color w:val="FFFFFF"/>
              </w:rPr>
              <w:t xml:space="preserve">Percentage </w:t>
            </w:r>
            <w:r w:rsidR="00156005" w:rsidRPr="00B75B77">
              <w:rPr>
                <w:bCs w:val="0"/>
                <w:color w:val="FFFFFF"/>
              </w:rPr>
              <w:t xml:space="preserve">of </w:t>
            </w:r>
            <w:r w:rsidRPr="00B75B77">
              <w:rPr>
                <w:bCs w:val="0"/>
                <w:color w:val="FFFFFF"/>
              </w:rPr>
              <w:t>R</w:t>
            </w:r>
            <w:r w:rsidR="00156005" w:rsidRPr="00B75B77">
              <w:rPr>
                <w:bCs w:val="0"/>
                <w:color w:val="FFFFFF"/>
              </w:rPr>
              <w:t>esponses for LEDs</w:t>
            </w:r>
            <w:r w:rsidR="00022EDF" w:rsidRPr="00B75B77">
              <w:rPr>
                <w:bCs w:val="0"/>
                <w:color w:val="FFFFFF"/>
                <w:vertAlign w:val="superscript"/>
              </w:rPr>
              <w:t>[1]</w:t>
            </w:r>
            <w:r w:rsidR="00FC4CE8" w:rsidRPr="00B75B77">
              <w:rPr>
                <w:bCs w:val="0"/>
                <w:color w:val="FFFFFF"/>
              </w:rPr>
              <w:br/>
              <w:t>(n=</w:t>
            </w:r>
            <w:r w:rsidR="00022EDF" w:rsidRPr="00B75B77">
              <w:rPr>
                <w:bCs w:val="0"/>
                <w:color w:val="FFFFFF"/>
              </w:rPr>
              <w:t>18</w:t>
            </w:r>
            <w:r w:rsidR="00FC4CE8" w:rsidRPr="00B75B77">
              <w:rPr>
                <w:bCs w:val="0"/>
                <w:color w:val="FFFFFF"/>
              </w:rPr>
              <w:t>7</w:t>
            </w:r>
            <w:r w:rsidR="00022EDF" w:rsidRPr="00B75B77">
              <w:rPr>
                <w:bCs w:val="0"/>
                <w:color w:val="FFFFFF"/>
              </w:rPr>
              <w:t xml:space="preserve"> respondents</w:t>
            </w:r>
            <w:r w:rsidR="00FC4CE8" w:rsidRPr="00B75B77">
              <w:rPr>
                <w:bCs w:val="0"/>
                <w:color w:val="FFFFFF"/>
              </w:rPr>
              <w:t>)</w:t>
            </w:r>
          </w:p>
        </w:tc>
      </w:tr>
      <w:tr w:rsidR="00156005" w:rsidRPr="00B75B77" w:rsidTr="005E04AB">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3241" w:type="dxa"/>
            <w:hideMark/>
          </w:tcPr>
          <w:p w:rsidR="00156005" w:rsidRPr="00B75B77" w:rsidRDefault="00156005" w:rsidP="005E04AB">
            <w:pPr>
              <w:keepNext/>
              <w:jc w:val="left"/>
              <w:rPr>
                <w:b w:val="0"/>
                <w:color w:val="000000"/>
              </w:rPr>
            </w:pPr>
            <w:r w:rsidRPr="00B75B77">
              <w:rPr>
                <w:b w:val="0"/>
                <w:color w:val="000000"/>
              </w:rPr>
              <w:t>Need other specialty bulb</w:t>
            </w:r>
          </w:p>
        </w:tc>
        <w:tc>
          <w:tcPr>
            <w:tcW w:w="0" w:type="auto"/>
          </w:tcPr>
          <w:p w:rsidR="00156005" w:rsidRPr="00B75B77" w:rsidRDefault="00156005" w:rsidP="00201476">
            <w:pPr>
              <w:keepNext/>
              <w:jc w:val="center"/>
              <w:cnfStyle w:val="000000100000" w:firstRow="0" w:lastRow="0" w:firstColumn="0" w:lastColumn="0" w:oddVBand="0" w:evenVBand="0" w:oddHBand="1" w:evenHBand="0" w:firstRowFirstColumn="0" w:firstRowLastColumn="0" w:lastRowFirstColumn="0" w:lastRowLastColumn="0"/>
              <w:rPr>
                <w:color w:val="000000"/>
              </w:rPr>
            </w:pPr>
            <w:r w:rsidRPr="00B75B77">
              <w:rPr>
                <w:color w:val="000000"/>
              </w:rPr>
              <w:t>19%</w:t>
            </w:r>
          </w:p>
        </w:tc>
        <w:tc>
          <w:tcPr>
            <w:tcW w:w="0" w:type="auto"/>
          </w:tcPr>
          <w:p w:rsidR="00156005" w:rsidRPr="00B75B77" w:rsidRDefault="00156005" w:rsidP="00201476">
            <w:pPr>
              <w:keepNext/>
              <w:jc w:val="center"/>
              <w:cnfStyle w:val="000000100000" w:firstRow="0" w:lastRow="0" w:firstColumn="0" w:lastColumn="0" w:oddVBand="0" w:evenVBand="0" w:oddHBand="1" w:evenHBand="0" w:firstRowFirstColumn="0" w:firstRowLastColumn="0" w:lastRowFirstColumn="0" w:lastRowLastColumn="0"/>
              <w:rPr>
                <w:color w:val="000000"/>
              </w:rPr>
            </w:pPr>
            <w:r w:rsidRPr="00B75B77">
              <w:rPr>
                <w:color w:val="000000"/>
              </w:rPr>
              <w:t>21%</w:t>
            </w:r>
          </w:p>
        </w:tc>
      </w:tr>
      <w:tr w:rsidR="00156005" w:rsidRPr="00B75B77" w:rsidTr="005E04AB">
        <w:trPr>
          <w:cnfStyle w:val="000000010000" w:firstRow="0" w:lastRow="0" w:firstColumn="0" w:lastColumn="0" w:oddVBand="0" w:evenVBand="0" w:oddHBand="0" w:evenHBand="1"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3241" w:type="dxa"/>
            <w:hideMark/>
          </w:tcPr>
          <w:p w:rsidR="00156005" w:rsidRPr="00B75B77" w:rsidRDefault="00156005" w:rsidP="005E04AB">
            <w:pPr>
              <w:keepNext/>
              <w:jc w:val="left"/>
              <w:rPr>
                <w:b w:val="0"/>
                <w:color w:val="000000"/>
              </w:rPr>
            </w:pPr>
            <w:r w:rsidRPr="00B75B77">
              <w:rPr>
                <w:b w:val="0"/>
                <w:color w:val="000000"/>
              </w:rPr>
              <w:t>Too expensive</w:t>
            </w:r>
          </w:p>
        </w:tc>
        <w:tc>
          <w:tcPr>
            <w:tcW w:w="0" w:type="auto"/>
          </w:tcPr>
          <w:p w:rsidR="00156005" w:rsidRPr="00B75B77" w:rsidRDefault="00156005" w:rsidP="00201476">
            <w:pPr>
              <w:keepNext/>
              <w:jc w:val="center"/>
              <w:cnfStyle w:val="000000010000" w:firstRow="0" w:lastRow="0" w:firstColumn="0" w:lastColumn="0" w:oddVBand="0" w:evenVBand="0" w:oddHBand="0" w:evenHBand="1" w:firstRowFirstColumn="0" w:firstRowLastColumn="0" w:lastRowFirstColumn="0" w:lastRowLastColumn="0"/>
              <w:rPr>
                <w:color w:val="000000"/>
              </w:rPr>
            </w:pPr>
            <w:r w:rsidRPr="00B75B77">
              <w:rPr>
                <w:color w:val="000000"/>
              </w:rPr>
              <w:t>13%</w:t>
            </w:r>
          </w:p>
        </w:tc>
        <w:tc>
          <w:tcPr>
            <w:tcW w:w="0" w:type="auto"/>
          </w:tcPr>
          <w:p w:rsidR="00156005" w:rsidRPr="00B75B77" w:rsidRDefault="00156005" w:rsidP="00201476">
            <w:pPr>
              <w:keepNext/>
              <w:jc w:val="center"/>
              <w:cnfStyle w:val="000000010000" w:firstRow="0" w:lastRow="0" w:firstColumn="0" w:lastColumn="0" w:oddVBand="0" w:evenVBand="0" w:oddHBand="0" w:evenHBand="1" w:firstRowFirstColumn="0" w:firstRowLastColumn="0" w:lastRowFirstColumn="0" w:lastRowLastColumn="0"/>
              <w:rPr>
                <w:color w:val="000000"/>
              </w:rPr>
            </w:pPr>
            <w:r w:rsidRPr="00B75B77">
              <w:rPr>
                <w:color w:val="000000"/>
              </w:rPr>
              <w:t>34%</w:t>
            </w:r>
          </w:p>
        </w:tc>
      </w:tr>
      <w:tr w:rsidR="00156005" w:rsidRPr="00B75B77" w:rsidTr="005E04AB">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3241" w:type="dxa"/>
            <w:hideMark/>
          </w:tcPr>
          <w:p w:rsidR="00156005" w:rsidRPr="00B75B77" w:rsidRDefault="00156005" w:rsidP="005E04AB">
            <w:pPr>
              <w:keepNext/>
              <w:jc w:val="left"/>
              <w:rPr>
                <w:b w:val="0"/>
                <w:color w:val="000000"/>
              </w:rPr>
            </w:pPr>
            <w:r w:rsidRPr="00B75B77">
              <w:rPr>
                <w:b w:val="0"/>
                <w:color w:val="000000"/>
              </w:rPr>
              <w:t>Accustomed to incandescent bulbs</w:t>
            </w:r>
          </w:p>
        </w:tc>
        <w:tc>
          <w:tcPr>
            <w:tcW w:w="0" w:type="auto"/>
          </w:tcPr>
          <w:p w:rsidR="00156005" w:rsidRPr="00B75B77" w:rsidRDefault="00156005" w:rsidP="00201476">
            <w:pPr>
              <w:keepNext/>
              <w:jc w:val="center"/>
              <w:cnfStyle w:val="000000100000" w:firstRow="0" w:lastRow="0" w:firstColumn="0" w:lastColumn="0" w:oddVBand="0" w:evenVBand="0" w:oddHBand="1" w:evenHBand="0" w:firstRowFirstColumn="0" w:firstRowLastColumn="0" w:lastRowFirstColumn="0" w:lastRowLastColumn="0"/>
              <w:rPr>
                <w:color w:val="000000"/>
              </w:rPr>
            </w:pPr>
            <w:r w:rsidRPr="00B75B77">
              <w:rPr>
                <w:color w:val="000000"/>
              </w:rPr>
              <w:t>11%</w:t>
            </w:r>
          </w:p>
        </w:tc>
        <w:tc>
          <w:tcPr>
            <w:tcW w:w="0" w:type="auto"/>
          </w:tcPr>
          <w:p w:rsidR="00156005" w:rsidRPr="00B75B77" w:rsidRDefault="00156005" w:rsidP="00201476">
            <w:pPr>
              <w:keepNext/>
              <w:jc w:val="center"/>
              <w:cnfStyle w:val="000000100000" w:firstRow="0" w:lastRow="0" w:firstColumn="0" w:lastColumn="0" w:oddVBand="0" w:evenVBand="0" w:oddHBand="1" w:evenHBand="0" w:firstRowFirstColumn="0" w:firstRowLastColumn="0" w:lastRowFirstColumn="0" w:lastRowLastColumn="0"/>
              <w:rPr>
                <w:color w:val="000000"/>
              </w:rPr>
            </w:pPr>
            <w:r w:rsidRPr="00B75B77">
              <w:rPr>
                <w:color w:val="000000"/>
              </w:rPr>
              <w:t>9%</w:t>
            </w:r>
          </w:p>
        </w:tc>
      </w:tr>
      <w:tr w:rsidR="00156005" w:rsidRPr="00B75B77" w:rsidTr="005E04AB">
        <w:trPr>
          <w:cnfStyle w:val="000000010000" w:firstRow="0" w:lastRow="0" w:firstColumn="0" w:lastColumn="0" w:oddVBand="0" w:evenVBand="0" w:oddHBand="0" w:evenHBand="1"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3241" w:type="dxa"/>
            <w:hideMark/>
          </w:tcPr>
          <w:p w:rsidR="00156005" w:rsidRPr="00B75B77" w:rsidRDefault="00156005" w:rsidP="005E04AB">
            <w:pPr>
              <w:keepNext/>
              <w:jc w:val="left"/>
              <w:rPr>
                <w:b w:val="0"/>
                <w:color w:val="000000"/>
              </w:rPr>
            </w:pPr>
            <w:r w:rsidRPr="00B75B77">
              <w:rPr>
                <w:b w:val="0"/>
                <w:color w:val="000000"/>
              </w:rPr>
              <w:t>Don’t like the way bulbs fit or look in fixtures</w:t>
            </w:r>
          </w:p>
        </w:tc>
        <w:tc>
          <w:tcPr>
            <w:tcW w:w="0" w:type="auto"/>
          </w:tcPr>
          <w:p w:rsidR="00156005" w:rsidRPr="00B75B77" w:rsidRDefault="00022EDF" w:rsidP="00201476">
            <w:pPr>
              <w:keepNext/>
              <w:jc w:val="center"/>
              <w:cnfStyle w:val="000000010000" w:firstRow="0" w:lastRow="0" w:firstColumn="0" w:lastColumn="0" w:oddVBand="0" w:evenVBand="0" w:oddHBand="0" w:evenHBand="1" w:firstRowFirstColumn="0" w:firstRowLastColumn="0" w:lastRowFirstColumn="0" w:lastRowLastColumn="0"/>
              <w:rPr>
                <w:color w:val="000000"/>
              </w:rPr>
            </w:pPr>
            <w:r w:rsidRPr="00B75B77">
              <w:rPr>
                <w:color w:val="000000"/>
              </w:rPr>
              <w:t>10</w:t>
            </w:r>
            <w:r w:rsidR="00156005" w:rsidRPr="00B75B77">
              <w:rPr>
                <w:color w:val="000000"/>
              </w:rPr>
              <w:t>%</w:t>
            </w:r>
          </w:p>
        </w:tc>
        <w:tc>
          <w:tcPr>
            <w:tcW w:w="0" w:type="auto"/>
          </w:tcPr>
          <w:p w:rsidR="00156005" w:rsidRPr="00B75B77" w:rsidRDefault="00156005" w:rsidP="00201476">
            <w:pPr>
              <w:keepNext/>
              <w:jc w:val="center"/>
              <w:cnfStyle w:val="000000010000" w:firstRow="0" w:lastRow="0" w:firstColumn="0" w:lastColumn="0" w:oddVBand="0" w:evenVBand="0" w:oddHBand="0" w:evenHBand="1" w:firstRowFirstColumn="0" w:firstRowLastColumn="0" w:lastRowFirstColumn="0" w:lastRowLastColumn="0"/>
              <w:rPr>
                <w:color w:val="000000"/>
              </w:rPr>
            </w:pPr>
            <w:r w:rsidRPr="00B75B77">
              <w:rPr>
                <w:color w:val="000000"/>
              </w:rPr>
              <w:t>10%</w:t>
            </w:r>
          </w:p>
        </w:tc>
      </w:tr>
      <w:tr w:rsidR="00156005" w:rsidRPr="00B75B77" w:rsidTr="005E04AB">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3241" w:type="dxa"/>
            <w:hideMark/>
          </w:tcPr>
          <w:p w:rsidR="00156005" w:rsidRPr="00B75B77" w:rsidRDefault="00156005" w:rsidP="005E04AB">
            <w:pPr>
              <w:keepNext/>
              <w:jc w:val="left"/>
              <w:rPr>
                <w:b w:val="0"/>
                <w:color w:val="000000"/>
              </w:rPr>
            </w:pPr>
            <w:r w:rsidRPr="00B75B77">
              <w:rPr>
                <w:b w:val="0"/>
                <w:color w:val="000000"/>
              </w:rPr>
              <w:t>Don’t know enough about them</w:t>
            </w:r>
          </w:p>
        </w:tc>
        <w:tc>
          <w:tcPr>
            <w:tcW w:w="0" w:type="auto"/>
          </w:tcPr>
          <w:p w:rsidR="00156005" w:rsidRPr="00B75B77" w:rsidRDefault="00156005" w:rsidP="00201476">
            <w:pPr>
              <w:keepNext/>
              <w:jc w:val="center"/>
              <w:cnfStyle w:val="000000100000" w:firstRow="0" w:lastRow="0" w:firstColumn="0" w:lastColumn="0" w:oddVBand="0" w:evenVBand="0" w:oddHBand="1" w:evenHBand="0" w:firstRowFirstColumn="0" w:firstRowLastColumn="0" w:lastRowFirstColumn="0" w:lastRowLastColumn="0"/>
              <w:rPr>
                <w:color w:val="000000"/>
              </w:rPr>
            </w:pPr>
            <w:r w:rsidRPr="00B75B77">
              <w:rPr>
                <w:color w:val="000000"/>
              </w:rPr>
              <w:t>9%</w:t>
            </w:r>
          </w:p>
        </w:tc>
        <w:tc>
          <w:tcPr>
            <w:tcW w:w="0" w:type="auto"/>
          </w:tcPr>
          <w:p w:rsidR="00156005" w:rsidRPr="00B75B77" w:rsidRDefault="00156005" w:rsidP="00201476">
            <w:pPr>
              <w:keepNext/>
              <w:jc w:val="center"/>
              <w:cnfStyle w:val="000000100000" w:firstRow="0" w:lastRow="0" w:firstColumn="0" w:lastColumn="0" w:oddVBand="0" w:evenVBand="0" w:oddHBand="1" w:evenHBand="0" w:firstRowFirstColumn="0" w:firstRowLastColumn="0" w:lastRowFirstColumn="0" w:lastRowLastColumn="0"/>
              <w:rPr>
                <w:color w:val="000000"/>
              </w:rPr>
            </w:pPr>
            <w:r w:rsidRPr="00B75B77">
              <w:rPr>
                <w:color w:val="000000"/>
              </w:rPr>
              <w:t>8%</w:t>
            </w:r>
          </w:p>
        </w:tc>
      </w:tr>
      <w:tr w:rsidR="00156005" w:rsidRPr="00B75B77" w:rsidTr="005E04AB">
        <w:trPr>
          <w:cnfStyle w:val="000000010000" w:firstRow="0" w:lastRow="0" w:firstColumn="0" w:lastColumn="0" w:oddVBand="0" w:evenVBand="0" w:oddHBand="0" w:evenHBand="1"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3241" w:type="dxa"/>
            <w:hideMark/>
          </w:tcPr>
          <w:p w:rsidR="00156005" w:rsidRPr="00B75B77" w:rsidRDefault="00156005" w:rsidP="005E04AB">
            <w:pPr>
              <w:keepNext/>
              <w:jc w:val="left"/>
              <w:rPr>
                <w:b w:val="0"/>
                <w:color w:val="000000"/>
              </w:rPr>
            </w:pPr>
            <w:r w:rsidRPr="00B75B77">
              <w:rPr>
                <w:b w:val="0"/>
                <w:color w:val="000000"/>
              </w:rPr>
              <w:t>Dislike the light quality/color</w:t>
            </w:r>
          </w:p>
        </w:tc>
        <w:tc>
          <w:tcPr>
            <w:tcW w:w="0" w:type="auto"/>
          </w:tcPr>
          <w:p w:rsidR="00156005" w:rsidRPr="00B75B77" w:rsidRDefault="00156005" w:rsidP="00201476">
            <w:pPr>
              <w:keepNext/>
              <w:jc w:val="center"/>
              <w:cnfStyle w:val="000000010000" w:firstRow="0" w:lastRow="0" w:firstColumn="0" w:lastColumn="0" w:oddVBand="0" w:evenVBand="0" w:oddHBand="0" w:evenHBand="1" w:firstRowFirstColumn="0" w:firstRowLastColumn="0" w:lastRowFirstColumn="0" w:lastRowLastColumn="0"/>
              <w:rPr>
                <w:color w:val="000000"/>
              </w:rPr>
            </w:pPr>
            <w:r w:rsidRPr="00B75B77">
              <w:rPr>
                <w:color w:val="000000"/>
              </w:rPr>
              <w:t>9%</w:t>
            </w:r>
          </w:p>
        </w:tc>
        <w:tc>
          <w:tcPr>
            <w:tcW w:w="0" w:type="auto"/>
          </w:tcPr>
          <w:p w:rsidR="00156005" w:rsidRPr="00B75B77" w:rsidRDefault="00156005" w:rsidP="00201476">
            <w:pPr>
              <w:keepNext/>
              <w:jc w:val="center"/>
              <w:cnfStyle w:val="000000010000" w:firstRow="0" w:lastRow="0" w:firstColumn="0" w:lastColumn="0" w:oddVBand="0" w:evenVBand="0" w:oddHBand="0" w:evenHBand="1" w:firstRowFirstColumn="0" w:firstRowLastColumn="0" w:lastRowFirstColumn="0" w:lastRowLastColumn="0"/>
              <w:rPr>
                <w:color w:val="000000"/>
              </w:rPr>
            </w:pPr>
            <w:r w:rsidRPr="00B75B77">
              <w:rPr>
                <w:color w:val="000000"/>
              </w:rPr>
              <w:t>7%</w:t>
            </w:r>
          </w:p>
        </w:tc>
      </w:tr>
      <w:tr w:rsidR="00FC4CE8" w:rsidRPr="00B75B77" w:rsidTr="005E04AB">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3241" w:type="dxa"/>
          </w:tcPr>
          <w:p w:rsidR="00FC4CE8" w:rsidRPr="00B75B77" w:rsidRDefault="00FC4CE8" w:rsidP="005E04AB">
            <w:pPr>
              <w:keepNext/>
              <w:jc w:val="left"/>
              <w:rPr>
                <w:b w:val="0"/>
                <w:color w:val="000000"/>
              </w:rPr>
            </w:pPr>
            <w:r w:rsidRPr="00B75B77">
              <w:rPr>
                <w:b w:val="0"/>
                <w:color w:val="000000"/>
              </w:rPr>
              <w:t xml:space="preserve">Already have enough / don’t need any </w:t>
            </w:r>
          </w:p>
        </w:tc>
        <w:tc>
          <w:tcPr>
            <w:tcW w:w="0" w:type="auto"/>
          </w:tcPr>
          <w:p w:rsidR="00FC4CE8" w:rsidRPr="00B75B77" w:rsidRDefault="00FC4CE8" w:rsidP="00201476">
            <w:pPr>
              <w:keepNext/>
              <w:jc w:val="center"/>
              <w:cnfStyle w:val="000000100000" w:firstRow="0" w:lastRow="0" w:firstColumn="0" w:lastColumn="0" w:oddVBand="0" w:evenVBand="0" w:oddHBand="1" w:evenHBand="0" w:firstRowFirstColumn="0" w:firstRowLastColumn="0" w:lastRowFirstColumn="0" w:lastRowLastColumn="0"/>
              <w:rPr>
                <w:color w:val="000000"/>
              </w:rPr>
            </w:pPr>
            <w:r w:rsidRPr="00B75B77">
              <w:rPr>
                <w:color w:val="000000"/>
              </w:rPr>
              <w:t>8%</w:t>
            </w:r>
          </w:p>
        </w:tc>
        <w:tc>
          <w:tcPr>
            <w:tcW w:w="0" w:type="auto"/>
          </w:tcPr>
          <w:p w:rsidR="00FC4CE8" w:rsidRPr="00B75B77" w:rsidRDefault="00FC4CE8" w:rsidP="00201476">
            <w:pPr>
              <w:keepNext/>
              <w:jc w:val="center"/>
              <w:cnfStyle w:val="000000100000" w:firstRow="0" w:lastRow="0" w:firstColumn="0" w:lastColumn="0" w:oddVBand="0" w:evenVBand="0" w:oddHBand="1" w:evenHBand="0" w:firstRowFirstColumn="0" w:firstRowLastColumn="0" w:lastRowFirstColumn="0" w:lastRowLastColumn="0"/>
              <w:rPr>
                <w:color w:val="000000"/>
              </w:rPr>
            </w:pPr>
            <w:r w:rsidRPr="00B75B77">
              <w:rPr>
                <w:color w:val="000000"/>
              </w:rPr>
              <w:t>6%</w:t>
            </w:r>
          </w:p>
        </w:tc>
      </w:tr>
      <w:tr w:rsidR="00156005" w:rsidRPr="00B75B77" w:rsidTr="005E04AB">
        <w:trPr>
          <w:cnfStyle w:val="000000010000" w:firstRow="0" w:lastRow="0" w:firstColumn="0" w:lastColumn="0" w:oddVBand="0" w:evenVBand="0" w:oddHBand="0" w:evenHBand="1"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3241" w:type="dxa"/>
            <w:hideMark/>
          </w:tcPr>
          <w:p w:rsidR="00156005" w:rsidRPr="00B75B77" w:rsidRDefault="00156005" w:rsidP="005E04AB">
            <w:pPr>
              <w:keepNext/>
              <w:jc w:val="left"/>
              <w:rPr>
                <w:b w:val="0"/>
                <w:color w:val="000000"/>
              </w:rPr>
            </w:pPr>
            <w:r w:rsidRPr="00B75B77">
              <w:rPr>
                <w:b w:val="0"/>
                <w:color w:val="000000"/>
              </w:rPr>
              <w:t>Not aware of them before today</w:t>
            </w:r>
          </w:p>
        </w:tc>
        <w:tc>
          <w:tcPr>
            <w:tcW w:w="0" w:type="auto"/>
          </w:tcPr>
          <w:p w:rsidR="00156005" w:rsidRPr="00B75B77" w:rsidRDefault="00156005" w:rsidP="00201476">
            <w:pPr>
              <w:keepNext/>
              <w:jc w:val="center"/>
              <w:cnfStyle w:val="000000010000" w:firstRow="0" w:lastRow="0" w:firstColumn="0" w:lastColumn="0" w:oddVBand="0" w:evenVBand="0" w:oddHBand="0" w:evenHBand="1" w:firstRowFirstColumn="0" w:firstRowLastColumn="0" w:lastRowFirstColumn="0" w:lastRowLastColumn="0"/>
              <w:rPr>
                <w:color w:val="000000"/>
              </w:rPr>
            </w:pPr>
            <w:r w:rsidRPr="00B75B77">
              <w:rPr>
                <w:color w:val="000000"/>
              </w:rPr>
              <w:t>4%</w:t>
            </w:r>
          </w:p>
        </w:tc>
        <w:tc>
          <w:tcPr>
            <w:tcW w:w="0" w:type="auto"/>
          </w:tcPr>
          <w:p w:rsidR="00156005" w:rsidRPr="00B75B77" w:rsidRDefault="00156005" w:rsidP="00201476">
            <w:pPr>
              <w:keepNext/>
              <w:jc w:val="center"/>
              <w:cnfStyle w:val="000000010000" w:firstRow="0" w:lastRow="0" w:firstColumn="0" w:lastColumn="0" w:oddVBand="0" w:evenVBand="0" w:oddHBand="0" w:evenHBand="1" w:firstRowFirstColumn="0" w:firstRowLastColumn="0" w:lastRowFirstColumn="0" w:lastRowLastColumn="0"/>
              <w:rPr>
                <w:color w:val="000000"/>
              </w:rPr>
            </w:pPr>
            <w:r w:rsidRPr="00B75B77">
              <w:rPr>
                <w:color w:val="000000"/>
              </w:rPr>
              <w:t>2%</w:t>
            </w:r>
          </w:p>
        </w:tc>
      </w:tr>
      <w:tr w:rsidR="00FC4CE8" w:rsidRPr="00B75B77" w:rsidTr="005E04AB">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3241" w:type="dxa"/>
          </w:tcPr>
          <w:p w:rsidR="00FC4CE8" w:rsidRPr="00B75B77" w:rsidRDefault="00FC4CE8" w:rsidP="005E04AB">
            <w:pPr>
              <w:keepNext/>
              <w:jc w:val="left"/>
              <w:rPr>
                <w:b w:val="0"/>
                <w:color w:val="000000"/>
              </w:rPr>
            </w:pPr>
            <w:r w:rsidRPr="00B75B77">
              <w:rPr>
                <w:b w:val="0"/>
                <w:color w:val="000000"/>
              </w:rPr>
              <w:t xml:space="preserve">They have mercury / are dangerous </w:t>
            </w:r>
          </w:p>
        </w:tc>
        <w:tc>
          <w:tcPr>
            <w:tcW w:w="0" w:type="auto"/>
          </w:tcPr>
          <w:p w:rsidR="00FC4CE8" w:rsidRPr="00B75B77" w:rsidRDefault="00FC4CE8" w:rsidP="00201476">
            <w:pPr>
              <w:keepNext/>
              <w:jc w:val="center"/>
              <w:cnfStyle w:val="000000100000" w:firstRow="0" w:lastRow="0" w:firstColumn="0" w:lastColumn="0" w:oddVBand="0" w:evenVBand="0" w:oddHBand="1" w:evenHBand="0" w:firstRowFirstColumn="0" w:firstRowLastColumn="0" w:lastRowFirstColumn="0" w:lastRowLastColumn="0"/>
              <w:rPr>
                <w:color w:val="000000"/>
              </w:rPr>
            </w:pPr>
            <w:r w:rsidRPr="00B75B77">
              <w:rPr>
                <w:color w:val="000000"/>
              </w:rPr>
              <w:t>4%</w:t>
            </w:r>
          </w:p>
        </w:tc>
        <w:tc>
          <w:tcPr>
            <w:tcW w:w="0" w:type="auto"/>
          </w:tcPr>
          <w:p w:rsidR="00FC4CE8" w:rsidRPr="00B75B77" w:rsidRDefault="00FC4CE8" w:rsidP="00201476">
            <w:pPr>
              <w:keepNext/>
              <w:jc w:val="center"/>
              <w:cnfStyle w:val="000000100000" w:firstRow="0" w:lastRow="0" w:firstColumn="0" w:lastColumn="0" w:oddVBand="0" w:evenVBand="0" w:oddHBand="1" w:evenHBand="0" w:firstRowFirstColumn="0" w:firstRowLastColumn="0" w:lastRowFirstColumn="0" w:lastRowLastColumn="0"/>
              <w:rPr>
                <w:color w:val="000000"/>
              </w:rPr>
            </w:pPr>
            <w:r w:rsidRPr="00B75B77">
              <w:rPr>
                <w:color w:val="000000"/>
              </w:rPr>
              <w:t>0%</w:t>
            </w:r>
          </w:p>
        </w:tc>
      </w:tr>
      <w:tr w:rsidR="00156005" w:rsidRPr="00B75B77" w:rsidTr="005E04AB">
        <w:trPr>
          <w:cnfStyle w:val="000000010000" w:firstRow="0" w:lastRow="0" w:firstColumn="0" w:lastColumn="0" w:oddVBand="0" w:evenVBand="0" w:oddHBand="0" w:evenHBand="1"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3241" w:type="dxa"/>
            <w:hideMark/>
          </w:tcPr>
          <w:p w:rsidR="00156005" w:rsidRPr="00B75B77" w:rsidRDefault="00156005" w:rsidP="005E04AB">
            <w:pPr>
              <w:keepNext/>
              <w:jc w:val="left"/>
              <w:rPr>
                <w:b w:val="0"/>
                <w:color w:val="000000"/>
              </w:rPr>
            </w:pPr>
            <w:r w:rsidRPr="00B75B77">
              <w:rPr>
                <w:b w:val="0"/>
                <w:color w:val="000000"/>
              </w:rPr>
              <w:t>Need 3-way bulbs</w:t>
            </w:r>
          </w:p>
        </w:tc>
        <w:tc>
          <w:tcPr>
            <w:tcW w:w="0" w:type="auto"/>
          </w:tcPr>
          <w:p w:rsidR="00156005" w:rsidRPr="00B75B77" w:rsidRDefault="00156005" w:rsidP="00201476">
            <w:pPr>
              <w:keepNext/>
              <w:jc w:val="center"/>
              <w:cnfStyle w:val="000000010000" w:firstRow="0" w:lastRow="0" w:firstColumn="0" w:lastColumn="0" w:oddVBand="0" w:evenVBand="0" w:oddHBand="0" w:evenHBand="1" w:firstRowFirstColumn="0" w:firstRowLastColumn="0" w:lastRowFirstColumn="0" w:lastRowLastColumn="0"/>
              <w:rPr>
                <w:color w:val="000000"/>
              </w:rPr>
            </w:pPr>
            <w:r w:rsidRPr="00B75B77">
              <w:rPr>
                <w:color w:val="000000"/>
              </w:rPr>
              <w:t>3%</w:t>
            </w:r>
          </w:p>
        </w:tc>
        <w:tc>
          <w:tcPr>
            <w:tcW w:w="0" w:type="auto"/>
          </w:tcPr>
          <w:p w:rsidR="00156005" w:rsidRPr="00B75B77" w:rsidRDefault="00FC4CE8" w:rsidP="00201476">
            <w:pPr>
              <w:keepNext/>
              <w:jc w:val="center"/>
              <w:cnfStyle w:val="000000010000" w:firstRow="0" w:lastRow="0" w:firstColumn="0" w:lastColumn="0" w:oddVBand="0" w:evenVBand="0" w:oddHBand="0" w:evenHBand="1" w:firstRowFirstColumn="0" w:firstRowLastColumn="0" w:lastRowFirstColumn="0" w:lastRowLastColumn="0"/>
              <w:rPr>
                <w:color w:val="000000"/>
              </w:rPr>
            </w:pPr>
            <w:r w:rsidRPr="00B75B77">
              <w:rPr>
                <w:color w:val="000000"/>
              </w:rPr>
              <w:t>3</w:t>
            </w:r>
            <w:r w:rsidR="00156005" w:rsidRPr="00B75B77">
              <w:rPr>
                <w:color w:val="000000"/>
              </w:rPr>
              <w:t>%</w:t>
            </w:r>
          </w:p>
        </w:tc>
      </w:tr>
      <w:tr w:rsidR="00156005" w:rsidRPr="00B75B77" w:rsidTr="005E04AB">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3241" w:type="dxa"/>
            <w:hideMark/>
          </w:tcPr>
          <w:p w:rsidR="00156005" w:rsidRPr="00B75B77" w:rsidRDefault="00156005" w:rsidP="005E04AB">
            <w:pPr>
              <w:keepNext/>
              <w:jc w:val="left"/>
              <w:rPr>
                <w:b w:val="0"/>
                <w:color w:val="000000"/>
              </w:rPr>
            </w:pPr>
            <w:r w:rsidRPr="00B75B77">
              <w:rPr>
                <w:b w:val="0"/>
                <w:color w:val="000000"/>
              </w:rPr>
              <w:t>Need dimmable bulbs</w:t>
            </w:r>
          </w:p>
        </w:tc>
        <w:tc>
          <w:tcPr>
            <w:tcW w:w="0" w:type="auto"/>
          </w:tcPr>
          <w:p w:rsidR="00156005" w:rsidRPr="00B75B77" w:rsidRDefault="00156005" w:rsidP="00201476">
            <w:pPr>
              <w:keepNext/>
              <w:jc w:val="center"/>
              <w:cnfStyle w:val="000000100000" w:firstRow="0" w:lastRow="0" w:firstColumn="0" w:lastColumn="0" w:oddVBand="0" w:evenVBand="0" w:oddHBand="1" w:evenHBand="0" w:firstRowFirstColumn="0" w:firstRowLastColumn="0" w:lastRowFirstColumn="0" w:lastRowLastColumn="0"/>
              <w:rPr>
                <w:color w:val="000000"/>
              </w:rPr>
            </w:pPr>
            <w:r w:rsidRPr="00B75B77">
              <w:rPr>
                <w:color w:val="000000"/>
              </w:rPr>
              <w:t>2%</w:t>
            </w:r>
          </w:p>
        </w:tc>
        <w:tc>
          <w:tcPr>
            <w:tcW w:w="0" w:type="auto"/>
          </w:tcPr>
          <w:p w:rsidR="00156005" w:rsidRPr="00B75B77" w:rsidRDefault="00156005" w:rsidP="00201476">
            <w:pPr>
              <w:keepNext/>
              <w:jc w:val="center"/>
              <w:cnfStyle w:val="000000100000" w:firstRow="0" w:lastRow="0" w:firstColumn="0" w:lastColumn="0" w:oddVBand="0" w:evenVBand="0" w:oddHBand="1" w:evenHBand="0" w:firstRowFirstColumn="0" w:firstRowLastColumn="0" w:lastRowFirstColumn="0" w:lastRowLastColumn="0"/>
              <w:rPr>
                <w:color w:val="000000"/>
              </w:rPr>
            </w:pPr>
            <w:r w:rsidRPr="00B75B77">
              <w:rPr>
                <w:color w:val="000000"/>
              </w:rPr>
              <w:t>4%</w:t>
            </w:r>
          </w:p>
        </w:tc>
      </w:tr>
      <w:tr w:rsidR="00FC4CE8" w:rsidRPr="00B75B77" w:rsidTr="005E04AB">
        <w:trPr>
          <w:cnfStyle w:val="000000010000" w:firstRow="0" w:lastRow="0" w:firstColumn="0" w:lastColumn="0" w:oddVBand="0" w:evenVBand="0" w:oddHBand="0" w:evenHBand="1"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3241" w:type="dxa"/>
          </w:tcPr>
          <w:p w:rsidR="00FC4CE8" w:rsidRPr="00B75B77" w:rsidRDefault="00FC4CE8" w:rsidP="005E04AB">
            <w:pPr>
              <w:keepNext/>
              <w:jc w:val="left"/>
              <w:rPr>
                <w:b w:val="0"/>
                <w:color w:val="000000"/>
              </w:rPr>
            </w:pPr>
            <w:r w:rsidRPr="00B75B77">
              <w:rPr>
                <w:b w:val="0"/>
                <w:color w:val="000000"/>
              </w:rPr>
              <w:t xml:space="preserve">Burn out too quickly </w:t>
            </w:r>
          </w:p>
        </w:tc>
        <w:tc>
          <w:tcPr>
            <w:tcW w:w="0" w:type="auto"/>
          </w:tcPr>
          <w:p w:rsidR="00FC4CE8" w:rsidRPr="00B75B77" w:rsidRDefault="00022EDF" w:rsidP="00201476">
            <w:pPr>
              <w:keepNext/>
              <w:jc w:val="center"/>
              <w:cnfStyle w:val="000000010000" w:firstRow="0" w:lastRow="0" w:firstColumn="0" w:lastColumn="0" w:oddVBand="0" w:evenVBand="0" w:oddHBand="0" w:evenHBand="1" w:firstRowFirstColumn="0" w:firstRowLastColumn="0" w:lastRowFirstColumn="0" w:lastRowLastColumn="0"/>
              <w:rPr>
                <w:color w:val="000000"/>
              </w:rPr>
            </w:pPr>
            <w:r w:rsidRPr="00B75B77">
              <w:rPr>
                <w:color w:val="000000"/>
              </w:rPr>
              <w:t>3</w:t>
            </w:r>
            <w:r w:rsidR="00FC4CE8" w:rsidRPr="00B75B77">
              <w:rPr>
                <w:color w:val="000000"/>
              </w:rPr>
              <w:t>%</w:t>
            </w:r>
          </w:p>
        </w:tc>
        <w:tc>
          <w:tcPr>
            <w:tcW w:w="0" w:type="auto"/>
          </w:tcPr>
          <w:p w:rsidR="00FC4CE8" w:rsidRPr="00B75B77" w:rsidRDefault="00FC4CE8" w:rsidP="00201476">
            <w:pPr>
              <w:keepNext/>
              <w:jc w:val="center"/>
              <w:cnfStyle w:val="000000010000" w:firstRow="0" w:lastRow="0" w:firstColumn="0" w:lastColumn="0" w:oddVBand="0" w:evenVBand="0" w:oddHBand="0" w:evenHBand="1" w:firstRowFirstColumn="0" w:firstRowLastColumn="0" w:lastRowFirstColumn="0" w:lastRowLastColumn="0"/>
              <w:rPr>
                <w:color w:val="000000"/>
              </w:rPr>
            </w:pPr>
            <w:r w:rsidRPr="00B75B77">
              <w:rPr>
                <w:color w:val="000000"/>
              </w:rPr>
              <w:t>0%</w:t>
            </w:r>
          </w:p>
        </w:tc>
      </w:tr>
      <w:tr w:rsidR="00FC4CE8" w:rsidRPr="00B75B77" w:rsidTr="005E04AB">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3241" w:type="dxa"/>
          </w:tcPr>
          <w:p w:rsidR="00FC4CE8" w:rsidRPr="00B75B77" w:rsidRDefault="00FC4CE8" w:rsidP="005E04AB">
            <w:pPr>
              <w:keepNext/>
              <w:jc w:val="left"/>
              <w:rPr>
                <w:b w:val="0"/>
                <w:color w:val="000000"/>
              </w:rPr>
            </w:pPr>
            <w:r w:rsidRPr="00B75B77">
              <w:rPr>
                <w:b w:val="0"/>
                <w:color w:val="000000"/>
              </w:rPr>
              <w:t>Waiting for technology to go mainstream</w:t>
            </w:r>
          </w:p>
        </w:tc>
        <w:tc>
          <w:tcPr>
            <w:tcW w:w="0" w:type="auto"/>
          </w:tcPr>
          <w:p w:rsidR="00FC4CE8" w:rsidRPr="00B75B77" w:rsidRDefault="00FC4CE8" w:rsidP="00201476">
            <w:pPr>
              <w:keepNext/>
              <w:jc w:val="center"/>
              <w:cnfStyle w:val="000000100000" w:firstRow="0" w:lastRow="0" w:firstColumn="0" w:lastColumn="0" w:oddVBand="0" w:evenVBand="0" w:oddHBand="1" w:evenHBand="0" w:firstRowFirstColumn="0" w:firstRowLastColumn="0" w:lastRowFirstColumn="0" w:lastRowLastColumn="0"/>
              <w:rPr>
                <w:color w:val="000000"/>
              </w:rPr>
            </w:pPr>
            <w:r w:rsidRPr="00B75B77">
              <w:rPr>
                <w:color w:val="000000"/>
              </w:rPr>
              <w:t>0%</w:t>
            </w:r>
          </w:p>
        </w:tc>
        <w:tc>
          <w:tcPr>
            <w:tcW w:w="0" w:type="auto"/>
          </w:tcPr>
          <w:p w:rsidR="00FC4CE8" w:rsidRPr="00B75B77" w:rsidRDefault="00FC4CE8" w:rsidP="00201476">
            <w:pPr>
              <w:keepNext/>
              <w:jc w:val="center"/>
              <w:cnfStyle w:val="000000100000" w:firstRow="0" w:lastRow="0" w:firstColumn="0" w:lastColumn="0" w:oddVBand="0" w:evenVBand="0" w:oddHBand="1" w:evenHBand="0" w:firstRowFirstColumn="0" w:firstRowLastColumn="0" w:lastRowFirstColumn="0" w:lastRowLastColumn="0"/>
              <w:rPr>
                <w:color w:val="000000"/>
              </w:rPr>
            </w:pPr>
            <w:r w:rsidRPr="00B75B77">
              <w:rPr>
                <w:color w:val="000000"/>
              </w:rPr>
              <w:t>1%</w:t>
            </w:r>
          </w:p>
        </w:tc>
      </w:tr>
      <w:tr w:rsidR="00FC4CE8" w:rsidRPr="00B75B77" w:rsidTr="005E04AB">
        <w:trPr>
          <w:cnfStyle w:val="000000010000" w:firstRow="0" w:lastRow="0" w:firstColumn="0" w:lastColumn="0" w:oddVBand="0" w:evenVBand="0" w:oddHBand="0" w:evenHBand="1"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3241" w:type="dxa"/>
          </w:tcPr>
          <w:p w:rsidR="00FC4CE8" w:rsidRPr="00B75B77" w:rsidRDefault="00FC4CE8" w:rsidP="005E04AB">
            <w:pPr>
              <w:keepNext/>
              <w:jc w:val="left"/>
              <w:rPr>
                <w:b w:val="0"/>
                <w:color w:val="000000"/>
              </w:rPr>
            </w:pPr>
            <w:r w:rsidRPr="00B75B77">
              <w:rPr>
                <w:b w:val="0"/>
                <w:color w:val="000000"/>
              </w:rPr>
              <w:t xml:space="preserve">Technology is too complicated </w:t>
            </w:r>
          </w:p>
        </w:tc>
        <w:tc>
          <w:tcPr>
            <w:tcW w:w="0" w:type="auto"/>
          </w:tcPr>
          <w:p w:rsidR="00FC4CE8" w:rsidRPr="00B75B77" w:rsidRDefault="00FC4CE8" w:rsidP="00201476">
            <w:pPr>
              <w:keepNext/>
              <w:jc w:val="center"/>
              <w:cnfStyle w:val="000000010000" w:firstRow="0" w:lastRow="0" w:firstColumn="0" w:lastColumn="0" w:oddVBand="0" w:evenVBand="0" w:oddHBand="0" w:evenHBand="1" w:firstRowFirstColumn="0" w:firstRowLastColumn="0" w:lastRowFirstColumn="0" w:lastRowLastColumn="0"/>
              <w:rPr>
                <w:color w:val="000000"/>
              </w:rPr>
            </w:pPr>
            <w:r w:rsidRPr="00B75B77">
              <w:rPr>
                <w:color w:val="000000"/>
              </w:rPr>
              <w:t>0%</w:t>
            </w:r>
          </w:p>
        </w:tc>
        <w:tc>
          <w:tcPr>
            <w:tcW w:w="0" w:type="auto"/>
          </w:tcPr>
          <w:p w:rsidR="00FC4CE8" w:rsidRPr="00B75B77" w:rsidRDefault="00FC4CE8" w:rsidP="00201476">
            <w:pPr>
              <w:keepNext/>
              <w:jc w:val="center"/>
              <w:cnfStyle w:val="000000010000" w:firstRow="0" w:lastRow="0" w:firstColumn="0" w:lastColumn="0" w:oddVBand="0" w:evenVBand="0" w:oddHBand="0" w:evenHBand="1" w:firstRowFirstColumn="0" w:firstRowLastColumn="0" w:lastRowFirstColumn="0" w:lastRowLastColumn="0"/>
              <w:rPr>
                <w:color w:val="000000"/>
              </w:rPr>
            </w:pPr>
            <w:r w:rsidRPr="00B75B77">
              <w:rPr>
                <w:color w:val="000000"/>
              </w:rPr>
              <w:t>2%</w:t>
            </w:r>
          </w:p>
        </w:tc>
      </w:tr>
      <w:tr w:rsidR="00FC4CE8" w:rsidRPr="00B75B77" w:rsidTr="005E04AB">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3241" w:type="dxa"/>
          </w:tcPr>
          <w:p w:rsidR="00FC4CE8" w:rsidRPr="00B75B77" w:rsidRDefault="00FC4CE8" w:rsidP="005E04AB">
            <w:pPr>
              <w:keepNext/>
              <w:jc w:val="left"/>
              <w:rPr>
                <w:b w:val="0"/>
                <w:color w:val="000000"/>
              </w:rPr>
            </w:pPr>
            <w:r w:rsidRPr="00B75B77">
              <w:rPr>
                <w:b w:val="0"/>
                <w:color w:val="000000"/>
              </w:rPr>
              <w:t xml:space="preserve">Other </w:t>
            </w:r>
          </w:p>
        </w:tc>
        <w:tc>
          <w:tcPr>
            <w:tcW w:w="0" w:type="auto"/>
          </w:tcPr>
          <w:p w:rsidR="00FC4CE8" w:rsidRPr="00B75B77" w:rsidRDefault="00FC4CE8" w:rsidP="00201476">
            <w:pPr>
              <w:keepNext/>
              <w:jc w:val="center"/>
              <w:cnfStyle w:val="000000100000" w:firstRow="0" w:lastRow="0" w:firstColumn="0" w:lastColumn="0" w:oddVBand="0" w:evenVBand="0" w:oddHBand="1" w:evenHBand="0" w:firstRowFirstColumn="0" w:firstRowLastColumn="0" w:lastRowFirstColumn="0" w:lastRowLastColumn="0"/>
              <w:rPr>
                <w:color w:val="000000"/>
              </w:rPr>
            </w:pPr>
            <w:r w:rsidRPr="00B75B77">
              <w:rPr>
                <w:color w:val="000000"/>
              </w:rPr>
              <w:t>2%</w:t>
            </w:r>
          </w:p>
        </w:tc>
        <w:tc>
          <w:tcPr>
            <w:tcW w:w="0" w:type="auto"/>
          </w:tcPr>
          <w:p w:rsidR="00FC4CE8" w:rsidRPr="00B75B77" w:rsidRDefault="00FC4CE8" w:rsidP="00201476">
            <w:pPr>
              <w:keepNext/>
              <w:jc w:val="center"/>
              <w:cnfStyle w:val="000000100000" w:firstRow="0" w:lastRow="0" w:firstColumn="0" w:lastColumn="0" w:oddVBand="0" w:evenVBand="0" w:oddHBand="1" w:evenHBand="0" w:firstRowFirstColumn="0" w:firstRowLastColumn="0" w:lastRowFirstColumn="0" w:lastRowLastColumn="0"/>
              <w:rPr>
                <w:color w:val="000000"/>
              </w:rPr>
            </w:pPr>
            <w:r w:rsidRPr="00B75B77">
              <w:rPr>
                <w:color w:val="000000"/>
              </w:rPr>
              <w:t xml:space="preserve">2% </w:t>
            </w:r>
          </w:p>
        </w:tc>
      </w:tr>
    </w:tbl>
    <w:p w:rsidR="00022EDF" w:rsidRPr="00B75B77" w:rsidRDefault="00022EDF" w:rsidP="00530239">
      <w:pPr>
        <w:pStyle w:val="Source"/>
        <w:tabs>
          <w:tab w:val="left" w:pos="1080"/>
        </w:tabs>
        <w:spacing w:after="40"/>
        <w:ind w:firstLine="360"/>
        <w:rPr>
          <w:i w:val="0"/>
        </w:rPr>
      </w:pPr>
      <w:r w:rsidRPr="00B75B77">
        <w:rPr>
          <w:i w:val="0"/>
          <w:vertAlign w:val="superscript"/>
        </w:rPr>
        <w:t>[1]</w:t>
      </w:r>
      <w:r w:rsidRPr="00B75B77">
        <w:rPr>
          <w:i w:val="0"/>
        </w:rPr>
        <w:t xml:space="preserve"> Multiple responses allowed; columns show percent</w:t>
      </w:r>
      <w:r w:rsidR="00530239" w:rsidRPr="00B75B77">
        <w:rPr>
          <w:i w:val="0"/>
        </w:rPr>
        <w:t>age</w:t>
      </w:r>
      <w:r w:rsidRPr="00B75B77">
        <w:rPr>
          <w:i w:val="0"/>
        </w:rPr>
        <w:t xml:space="preserve"> of responses</w:t>
      </w:r>
      <w:r w:rsidR="00530239" w:rsidRPr="00B75B77">
        <w:rPr>
          <w:i w:val="0"/>
        </w:rPr>
        <w:t>.</w:t>
      </w:r>
      <w:r w:rsidRPr="00B75B77">
        <w:rPr>
          <w:i w:val="0"/>
        </w:rPr>
        <w:t xml:space="preserve"> </w:t>
      </w:r>
    </w:p>
    <w:p w:rsidR="00156005" w:rsidRPr="00B75B77" w:rsidRDefault="00156005" w:rsidP="00022EDF">
      <w:pPr>
        <w:pStyle w:val="Source"/>
        <w:tabs>
          <w:tab w:val="left" w:pos="1080"/>
        </w:tabs>
        <w:ind w:firstLine="360"/>
      </w:pPr>
      <w:r w:rsidRPr="00B75B77">
        <w:t xml:space="preserve">Source: </w:t>
      </w:r>
      <w:r w:rsidR="00D34129" w:rsidRPr="00B75B77">
        <w:t xml:space="preserve">Navigant </w:t>
      </w:r>
      <w:proofErr w:type="gramStart"/>
      <w:r w:rsidR="00D34129" w:rsidRPr="00B75B77">
        <w:t>analysis of in-store intercept</w:t>
      </w:r>
      <w:proofErr w:type="gramEnd"/>
      <w:r w:rsidR="00D34129" w:rsidRPr="00B75B77">
        <w:t xml:space="preserve"> surveys</w:t>
      </w:r>
      <w:r w:rsidR="00393138" w:rsidRPr="00B75B77">
        <w:t>.</w:t>
      </w:r>
    </w:p>
    <w:p w:rsidR="00156005" w:rsidRPr="00B75B77" w:rsidRDefault="00156005" w:rsidP="009E08FB">
      <w:pPr>
        <w:pStyle w:val="ListParagraph"/>
        <w:numPr>
          <w:ilvl w:val="1"/>
          <w:numId w:val="96"/>
        </w:numPr>
        <w:spacing w:before="120" w:after="120"/>
        <w:contextualSpacing w:val="0"/>
      </w:pPr>
      <w:r w:rsidRPr="00B75B77">
        <w:rPr>
          <w:b/>
        </w:rPr>
        <w:t>Recommendation:</w:t>
      </w:r>
      <w:r w:rsidRPr="00B75B77">
        <w:t xml:space="preserve"> Use focused marketing efforts to improve the perceptions of LEDs and overcome confusion hindering LED adoption. Focused marketing can highlight the benefits of efficient lighting, educate customers on LED capabilities, and help customers understand how to navigate the range of options. Marketing outside of the store (web-based, emails, etc.) may help overcome confusion.</w:t>
      </w:r>
    </w:p>
    <w:p w:rsidR="00156005" w:rsidRPr="00B75B77" w:rsidRDefault="00156005" w:rsidP="009E08FB">
      <w:pPr>
        <w:pStyle w:val="ListParagraph"/>
        <w:numPr>
          <w:ilvl w:val="1"/>
          <w:numId w:val="96"/>
        </w:numPr>
        <w:spacing w:before="120" w:after="120"/>
        <w:contextualSpacing w:val="0"/>
      </w:pPr>
      <w:r w:rsidRPr="00B75B77">
        <w:rPr>
          <w:b/>
        </w:rPr>
        <w:t>Recommendation:</w:t>
      </w:r>
      <w:r w:rsidRPr="00B75B77">
        <w:t xml:space="preserve"> Continue to engage customers at store locations. Use direct, in-person interactions to educate and motivate customers </w:t>
      </w:r>
      <w:r w:rsidR="00992C75" w:rsidRPr="00B75B77">
        <w:t xml:space="preserve">to </w:t>
      </w:r>
      <w:r w:rsidRPr="00B75B77">
        <w:t>adopt energy</w:t>
      </w:r>
      <w:r w:rsidR="00992C75" w:rsidRPr="00B75B77">
        <w:t xml:space="preserve"> </w:t>
      </w:r>
      <w:r w:rsidRPr="00B75B77">
        <w:t>efficient products. This can also help overcome confusion that may arise from the wide variety of products in the market.</w:t>
      </w:r>
    </w:p>
    <w:p w:rsidR="00305DB7" w:rsidRPr="00B75B77" w:rsidRDefault="00305DB7" w:rsidP="009E08FB">
      <w:pPr>
        <w:pStyle w:val="ListParagraph"/>
        <w:numPr>
          <w:ilvl w:val="1"/>
          <w:numId w:val="96"/>
        </w:numPr>
        <w:spacing w:before="120" w:after="120"/>
        <w:contextualSpacing w:val="0"/>
      </w:pPr>
      <w:r w:rsidRPr="00B75B77">
        <w:rPr>
          <w:b/>
        </w:rPr>
        <w:t>Recommendation:</w:t>
      </w:r>
      <w:r w:rsidRPr="00B75B77">
        <w:t xml:space="preserve"> Monitor LED acquisition costs on a quarterly basis to identify when to fully transition incentive dollars from CFLs to LEDs to make them competitive with halogen and other non-energy efficient bulbs.  </w:t>
      </w:r>
    </w:p>
    <w:p w:rsidR="00156005" w:rsidRPr="00B75B77" w:rsidRDefault="00156005" w:rsidP="009E08FB">
      <w:pPr>
        <w:pStyle w:val="ListParagraph"/>
        <w:numPr>
          <w:ilvl w:val="0"/>
          <w:numId w:val="99"/>
        </w:numPr>
        <w:spacing w:before="120" w:after="120"/>
        <w:ind w:left="720" w:hanging="360"/>
        <w:contextualSpacing w:val="0"/>
      </w:pPr>
      <w:r w:rsidRPr="00B75B77">
        <w:rPr>
          <w:b/>
        </w:rPr>
        <w:t>Finding:</w:t>
      </w:r>
      <w:r w:rsidRPr="00B75B77">
        <w:t xml:space="preserve"> Non-lighting SHR participants reported little change in satisfaction across the three program years, and satisfaction with PECO overall remains strong at</w:t>
      </w:r>
      <w:r w:rsidR="00B0712E" w:rsidRPr="00B75B77">
        <w:t xml:space="preserve"> an average of</w:t>
      </w:r>
      <w:r w:rsidRPr="00B75B77">
        <w:t xml:space="preserve"> 4.3 out of 5. The </w:t>
      </w:r>
      <w:r w:rsidR="00992C75" w:rsidRPr="00B75B77">
        <w:t xml:space="preserve">light teal </w:t>
      </w:r>
      <w:r w:rsidRPr="00B75B77">
        <w:t xml:space="preserve">bars in </w:t>
      </w:r>
      <w:r w:rsidRPr="00B75B77">
        <w:fldChar w:fldCharType="begin"/>
      </w:r>
      <w:r w:rsidRPr="00B75B77">
        <w:instrText xml:space="preserve"> REF _Ref464041352 \h </w:instrText>
      </w:r>
      <w:r w:rsidR="00B75B77">
        <w:instrText xml:space="preserve"> \* MERGEFORMAT </w:instrText>
      </w:r>
      <w:r w:rsidRPr="00B75B77">
        <w:fldChar w:fldCharType="separate"/>
      </w:r>
      <w:r w:rsidR="0004016D" w:rsidRPr="00B75B77">
        <w:t xml:space="preserve">Figure </w:t>
      </w:r>
      <w:r w:rsidR="0004016D">
        <w:rPr>
          <w:noProof/>
        </w:rPr>
        <w:t>2</w:t>
      </w:r>
      <w:r w:rsidR="0004016D" w:rsidRPr="00B75B77">
        <w:rPr>
          <w:noProof/>
        </w:rPr>
        <w:noBreakHyphen/>
      </w:r>
      <w:r w:rsidR="0004016D">
        <w:rPr>
          <w:noProof/>
        </w:rPr>
        <w:t>2</w:t>
      </w:r>
      <w:r w:rsidRPr="00B75B77">
        <w:fldChar w:fldCharType="end"/>
      </w:r>
      <w:r w:rsidRPr="00B75B77">
        <w:t xml:space="preserve"> show the results of these questions for PY7 and compares the </w:t>
      </w:r>
      <w:r w:rsidRPr="00B75B77">
        <w:lastRenderedPageBreak/>
        <w:t xml:space="preserve">results to </w:t>
      </w:r>
      <w:r w:rsidR="00992C75" w:rsidRPr="00B75B77">
        <w:t>PY5 and PY6</w:t>
      </w:r>
      <w:r w:rsidRPr="00B75B77">
        <w:t>.</w:t>
      </w:r>
      <w:r w:rsidR="00D34129" w:rsidRPr="00B75B77">
        <w:rPr>
          <w:vertAlign w:val="superscript"/>
        </w:rPr>
        <w:t xml:space="preserve"> </w:t>
      </w:r>
      <w:r w:rsidR="00D34129" w:rsidRPr="00B75B77">
        <w:t xml:space="preserve">The questionnaire used a scale of 0 to 5, where 5 </w:t>
      </w:r>
      <w:proofErr w:type="gramStart"/>
      <w:r w:rsidR="00D34129" w:rsidRPr="00B75B77">
        <w:t>is</w:t>
      </w:r>
      <w:proofErr w:type="gramEnd"/>
      <w:r w:rsidR="00D34129" w:rsidRPr="00B75B77">
        <w:t xml:space="preserve"> “Extremely satisfied” and 0 is “Extremely dissatisfied.”</w:t>
      </w:r>
      <w:r w:rsidRPr="00B75B77">
        <w:t xml:space="preserve"> </w:t>
      </w:r>
    </w:p>
    <w:p w:rsidR="00156005" w:rsidRPr="00B75B77" w:rsidRDefault="00156005" w:rsidP="00722C85">
      <w:pPr>
        <w:keepNext/>
      </w:pPr>
    </w:p>
    <w:p w:rsidR="00156005" w:rsidRPr="00B75B77" w:rsidRDefault="00156005" w:rsidP="00722C85">
      <w:pPr>
        <w:pStyle w:val="Caption"/>
      </w:pPr>
      <w:bookmarkStart w:id="286" w:name="_Ref464041352"/>
      <w:bookmarkStart w:id="287" w:name="_Toc466413667"/>
      <w:r w:rsidRPr="00B75B77">
        <w:t xml:space="preserve">Figure </w:t>
      </w:r>
      <w:fldSimple w:instr=" STYLEREF 1 \s ">
        <w:r w:rsidR="0004016D">
          <w:rPr>
            <w:noProof/>
          </w:rPr>
          <w:t>2</w:t>
        </w:r>
      </w:fldSimple>
      <w:r w:rsidR="00BA3BA9" w:rsidRPr="00B75B77">
        <w:noBreakHyphen/>
      </w:r>
      <w:fldSimple w:instr=" SEQ Figure \* ARABIC \s 1 ">
        <w:r w:rsidR="0004016D">
          <w:rPr>
            <w:noProof/>
          </w:rPr>
          <w:t>2</w:t>
        </w:r>
      </w:fldSimple>
      <w:bookmarkEnd w:id="286"/>
      <w:r w:rsidRPr="00B75B77">
        <w:t xml:space="preserve">: </w:t>
      </w:r>
      <w:r w:rsidR="00B0712E" w:rsidRPr="00B75B77">
        <w:t xml:space="preserve">Smart Home Rebates </w:t>
      </w:r>
      <w:r w:rsidRPr="00B75B77">
        <w:t xml:space="preserve">Non-Lighting </w:t>
      </w:r>
      <w:r w:rsidR="00B0712E" w:rsidRPr="00B75B77">
        <w:t xml:space="preserve">Average </w:t>
      </w:r>
      <w:r w:rsidRPr="00B75B77">
        <w:t>Customer Satisfaction Responses</w:t>
      </w:r>
      <w:r w:rsidR="00B0712E" w:rsidRPr="00B75B77">
        <w:t xml:space="preserve"> (</w:t>
      </w:r>
      <w:r w:rsidR="009E677B" w:rsidRPr="00B75B77">
        <w:t>n=200</w:t>
      </w:r>
      <w:r w:rsidR="00B0712E" w:rsidRPr="00B75B77">
        <w:t>)</w:t>
      </w:r>
      <w:bookmarkEnd w:id="287"/>
    </w:p>
    <w:p w:rsidR="00156005" w:rsidRPr="00B75B77" w:rsidRDefault="00156005" w:rsidP="00722C85">
      <w:pPr>
        <w:keepNext/>
        <w:jc w:val="center"/>
        <w:rPr>
          <w:color w:val="1F497D" w:themeColor="text2"/>
        </w:rPr>
      </w:pPr>
      <w:r w:rsidRPr="00B75B77">
        <w:rPr>
          <w:noProof/>
        </w:rPr>
        <w:drawing>
          <wp:inline distT="0" distB="0" distL="0" distR="0" wp14:anchorId="06869719" wp14:editId="745F4730">
            <wp:extent cx="5920740" cy="2964180"/>
            <wp:effectExtent l="0" t="0" r="3810" b="7620"/>
            <wp:docPr id="316" name="Chart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56005" w:rsidRPr="00B75B77" w:rsidRDefault="00156005" w:rsidP="00722C85">
      <w:pPr>
        <w:pStyle w:val="Source"/>
        <w:ind w:firstLine="0"/>
      </w:pPr>
      <w:r w:rsidRPr="00B75B77">
        <w:t xml:space="preserve">Source: </w:t>
      </w:r>
      <w:r w:rsidR="00D34129" w:rsidRPr="00B75B77">
        <w:t xml:space="preserve">Navigant </w:t>
      </w:r>
      <w:proofErr w:type="gramStart"/>
      <w:r w:rsidR="00D34129" w:rsidRPr="00B75B77">
        <w:t>analysis of in-store intercept</w:t>
      </w:r>
      <w:proofErr w:type="gramEnd"/>
      <w:r w:rsidR="00D34129" w:rsidRPr="00B75B77">
        <w:t xml:space="preserve"> surveys</w:t>
      </w:r>
    </w:p>
    <w:p w:rsidR="00156005" w:rsidRPr="00B75B77" w:rsidRDefault="00156005" w:rsidP="009E08FB">
      <w:pPr>
        <w:pStyle w:val="ListParagraph"/>
        <w:numPr>
          <w:ilvl w:val="0"/>
          <w:numId w:val="99"/>
        </w:numPr>
        <w:ind w:left="720" w:hanging="360"/>
      </w:pPr>
      <w:r w:rsidRPr="00B75B77">
        <w:rPr>
          <w:b/>
        </w:rPr>
        <w:t xml:space="preserve">Finding: </w:t>
      </w:r>
      <w:r w:rsidRPr="00B75B77">
        <w:t xml:space="preserve">HVAC contractors and installers are the key point of contact </w:t>
      </w:r>
      <w:r w:rsidR="00EA4FDA" w:rsidRPr="00B75B77">
        <w:t xml:space="preserve">for </w:t>
      </w:r>
      <w:r w:rsidRPr="00B75B77">
        <w:t xml:space="preserve">SHR participants who purchase non-lighting equipment. The </w:t>
      </w:r>
      <w:r w:rsidR="00EA4FDA" w:rsidRPr="00B75B77">
        <w:t xml:space="preserve">evaluation </w:t>
      </w:r>
      <w:r w:rsidRPr="00B75B77">
        <w:t xml:space="preserve">team asked participants about how they came to learn about the SHR program. </w:t>
      </w:r>
      <w:r w:rsidRPr="00B75B77">
        <w:fldChar w:fldCharType="begin"/>
      </w:r>
      <w:r w:rsidRPr="00B75B77">
        <w:instrText xml:space="preserve"> REF _Ref464041473 \h </w:instrText>
      </w:r>
      <w:r w:rsidR="00B75B77">
        <w:instrText xml:space="preserve"> \* MERGEFORMAT </w:instrText>
      </w:r>
      <w:r w:rsidRPr="00B75B77">
        <w:fldChar w:fldCharType="separate"/>
      </w:r>
      <w:r w:rsidR="0004016D" w:rsidRPr="00B75B77">
        <w:t xml:space="preserve">Figure </w:t>
      </w:r>
      <w:r w:rsidR="0004016D">
        <w:rPr>
          <w:noProof/>
        </w:rPr>
        <w:t>2</w:t>
      </w:r>
      <w:r w:rsidR="0004016D" w:rsidRPr="00B75B77">
        <w:rPr>
          <w:noProof/>
        </w:rPr>
        <w:noBreakHyphen/>
      </w:r>
      <w:r w:rsidR="0004016D">
        <w:rPr>
          <w:noProof/>
        </w:rPr>
        <w:t>3</w:t>
      </w:r>
      <w:r w:rsidRPr="00B75B77">
        <w:fldChar w:fldCharType="end"/>
      </w:r>
      <w:r w:rsidRPr="00B75B77">
        <w:t xml:space="preserve"> provides the results, split out by participants who installed new HVAC equipment through an installation contractor and those purchasing a rebated appliance. For HVAC participants, the overwhelming majority (71%) learned of the program from a contractor/installer/home builder, indicating that HVAC installers have a major impact on how the non-lighting aspe</w:t>
      </w:r>
      <w:r w:rsidR="00EA4FDA" w:rsidRPr="00B75B77">
        <w:t>c</w:t>
      </w:r>
      <w:r w:rsidRPr="00B75B77">
        <w:t xml:space="preserve">t of SHR is promoted throughout PECO’s territory. </w:t>
      </w:r>
    </w:p>
    <w:p w:rsidR="00156005" w:rsidRPr="00B75B77" w:rsidRDefault="00156005" w:rsidP="00722C85">
      <w:pPr>
        <w:keepNext/>
        <w:rPr>
          <w:color w:val="1F497D" w:themeColor="text2"/>
        </w:rPr>
      </w:pPr>
    </w:p>
    <w:p w:rsidR="00156005" w:rsidRPr="00B75B77" w:rsidRDefault="00156005" w:rsidP="00722C85">
      <w:pPr>
        <w:pStyle w:val="Caption"/>
      </w:pPr>
      <w:bookmarkStart w:id="288" w:name="_Ref464041473"/>
      <w:bookmarkStart w:id="289" w:name="_Toc466413668"/>
      <w:r w:rsidRPr="00B75B77">
        <w:t xml:space="preserve">Figure </w:t>
      </w:r>
      <w:fldSimple w:instr=" STYLEREF 1 \s ">
        <w:r w:rsidR="0004016D">
          <w:rPr>
            <w:noProof/>
          </w:rPr>
          <w:t>2</w:t>
        </w:r>
      </w:fldSimple>
      <w:r w:rsidR="00BA3BA9" w:rsidRPr="00B75B77">
        <w:noBreakHyphen/>
      </w:r>
      <w:fldSimple w:instr=" SEQ Figure \* ARABIC \s 1 ">
        <w:r w:rsidR="0004016D">
          <w:rPr>
            <w:noProof/>
          </w:rPr>
          <w:t>3</w:t>
        </w:r>
      </w:fldSimple>
      <w:bookmarkEnd w:id="288"/>
      <w:r w:rsidRPr="00B75B77">
        <w:t xml:space="preserve">: </w:t>
      </w:r>
      <w:r w:rsidR="00B0712E" w:rsidRPr="00B75B77">
        <w:t xml:space="preserve">Smart Home Rebates </w:t>
      </w:r>
      <w:r w:rsidRPr="00B75B77">
        <w:t>Non-Lighting Participant Knowledge of Program</w:t>
      </w:r>
      <w:r w:rsidR="00F023E5" w:rsidRPr="00B75B77">
        <w:t xml:space="preserve"> (</w:t>
      </w:r>
      <w:r w:rsidR="009E677B" w:rsidRPr="00B75B77">
        <w:t>n=250</w:t>
      </w:r>
      <w:r w:rsidR="00F023E5" w:rsidRPr="00B75B77">
        <w:t>)</w:t>
      </w:r>
      <w:bookmarkEnd w:id="289"/>
    </w:p>
    <w:p w:rsidR="00156005" w:rsidRPr="00B75B77" w:rsidRDefault="00156005" w:rsidP="00722C85">
      <w:pPr>
        <w:keepNext/>
        <w:jc w:val="center"/>
        <w:rPr>
          <w:color w:val="FF0000"/>
        </w:rPr>
      </w:pPr>
      <w:r w:rsidRPr="00B75B77">
        <w:rPr>
          <w:noProof/>
        </w:rPr>
        <w:drawing>
          <wp:inline distT="0" distB="0" distL="0" distR="0" wp14:anchorId="063AE39E" wp14:editId="1C3ADC86">
            <wp:extent cx="5486400" cy="3657600"/>
            <wp:effectExtent l="0" t="0" r="0" b="0"/>
            <wp:docPr id="317" name="Chart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61BFE" w:rsidRPr="00B75B77" w:rsidRDefault="00156005" w:rsidP="00661BFE">
      <w:pPr>
        <w:pStyle w:val="Source"/>
        <w:spacing w:after="20"/>
        <w:ind w:left="1440" w:firstLine="0"/>
      </w:pPr>
      <w:r w:rsidRPr="00B75B77">
        <w:rPr>
          <w:i w:val="0"/>
        </w:rPr>
        <w:t xml:space="preserve">Note: </w:t>
      </w:r>
      <w:r w:rsidR="00EA4FDA" w:rsidRPr="00B75B77">
        <w:rPr>
          <w:i w:val="0"/>
        </w:rPr>
        <w:t>T</w:t>
      </w:r>
      <w:r w:rsidRPr="00B75B77">
        <w:rPr>
          <w:i w:val="0"/>
        </w:rPr>
        <w:t>he survey allowed for multiple responses.</w:t>
      </w:r>
      <w:r w:rsidR="00661BFE" w:rsidRPr="00B75B77">
        <w:t xml:space="preserve"> </w:t>
      </w:r>
    </w:p>
    <w:p w:rsidR="00156005" w:rsidRPr="00B75B77" w:rsidRDefault="00156005" w:rsidP="00F46D40">
      <w:pPr>
        <w:pStyle w:val="Source"/>
        <w:ind w:left="1440" w:firstLine="0"/>
      </w:pPr>
      <w:r w:rsidRPr="00B75B77">
        <w:t>Source: Navigant analysis</w:t>
      </w:r>
      <w:r w:rsidR="00A36947" w:rsidRPr="00B75B77">
        <w:t xml:space="preserve"> of participant survey </w:t>
      </w:r>
    </w:p>
    <w:p w:rsidR="00156005" w:rsidRPr="00B75B77" w:rsidRDefault="00156005" w:rsidP="009E08FB">
      <w:pPr>
        <w:pStyle w:val="ListParagraph"/>
        <w:numPr>
          <w:ilvl w:val="0"/>
          <w:numId w:val="100"/>
        </w:numPr>
        <w:spacing w:before="120" w:after="120"/>
        <w:ind w:left="720" w:hanging="360"/>
        <w:contextualSpacing w:val="0"/>
      </w:pPr>
      <w:r w:rsidRPr="00B75B77">
        <w:rPr>
          <w:b/>
        </w:rPr>
        <w:t xml:space="preserve">Finding: </w:t>
      </w:r>
      <w:r w:rsidRPr="00B75B77">
        <w:t>Changes in program activity, either seasonal or PECO</w:t>
      </w:r>
      <w:r w:rsidR="00661BFE" w:rsidRPr="00B75B77">
        <w:t>-</w:t>
      </w:r>
      <w:r w:rsidRPr="00B75B77">
        <w:t xml:space="preserve">initiated, </w:t>
      </w:r>
      <w:r w:rsidR="00661BFE" w:rsidRPr="00B75B77">
        <w:t xml:space="preserve">affects </w:t>
      </w:r>
      <w:r w:rsidRPr="00B75B77">
        <w:t xml:space="preserve">HVAC installers. Navigant asked installers about their involvement with the SHR program in general. Almost half of the interviewees (45%) reported having limited interactions with program personnel, but all installers said that any interactions they did have were positive. Two installers (18%) mentioned they felt as though the larger installation companies were pushing out the smaller, “mom and pop” businesses. Analysis shows that downturns in the number of installations, either from seasonal shifts or from PECO scaling back the program, </w:t>
      </w:r>
      <w:r w:rsidR="00661BFE" w:rsidRPr="00B75B77">
        <w:t xml:space="preserve">affects </w:t>
      </w:r>
      <w:r w:rsidRPr="00B75B77">
        <w:t xml:space="preserve">these smaller </w:t>
      </w:r>
      <w:r w:rsidR="00B0712E" w:rsidRPr="00B75B77">
        <w:t xml:space="preserve">HVAC </w:t>
      </w:r>
      <w:r w:rsidRPr="00B75B77">
        <w:t>installation companies much more than the more established firms.</w:t>
      </w:r>
    </w:p>
    <w:p w:rsidR="00156005" w:rsidRPr="00B75B77" w:rsidRDefault="00156005" w:rsidP="009E08FB">
      <w:pPr>
        <w:pStyle w:val="ListParagraph"/>
        <w:numPr>
          <w:ilvl w:val="1"/>
          <w:numId w:val="95"/>
        </w:numPr>
        <w:spacing w:before="120" w:after="120"/>
        <w:contextualSpacing w:val="0"/>
      </w:pPr>
      <w:r w:rsidRPr="00B75B77">
        <w:rPr>
          <w:b/>
        </w:rPr>
        <w:t>Recommendation:</w:t>
      </w:r>
      <w:r w:rsidRPr="00B75B77">
        <w:t xml:space="preserve"> Leverage strong working relationships with HVAC contractors and installers to increase participation in the non-lighting aspect of SHR</w:t>
      </w:r>
      <w:r w:rsidR="00661BFE" w:rsidRPr="00B75B77">
        <w:t>.</w:t>
      </w:r>
    </w:p>
    <w:p w:rsidR="00156005" w:rsidRPr="00B75B77" w:rsidRDefault="00156005" w:rsidP="009E08FB">
      <w:pPr>
        <w:pStyle w:val="ListParagraph"/>
        <w:numPr>
          <w:ilvl w:val="0"/>
          <w:numId w:val="100"/>
        </w:numPr>
        <w:spacing w:before="120" w:after="120"/>
        <w:ind w:left="720" w:hanging="360"/>
        <w:contextualSpacing w:val="0"/>
      </w:pPr>
      <w:r w:rsidRPr="00B75B77">
        <w:rPr>
          <w:b/>
        </w:rPr>
        <w:t xml:space="preserve">Finding: </w:t>
      </w:r>
      <w:r w:rsidR="00661BFE" w:rsidRPr="00B75B77">
        <w:t>The evaluation team asked</w:t>
      </w:r>
      <w:r w:rsidRPr="00B75B77">
        <w:t xml:space="preserve"> about HVAC equipment sales over the last year</w:t>
      </w:r>
      <w:r w:rsidR="00661BFE" w:rsidRPr="00B75B77">
        <w:t>, including</w:t>
      </w:r>
      <w:r w:rsidRPr="00B75B77">
        <w:t xml:space="preserve"> what percent</w:t>
      </w:r>
      <w:r w:rsidR="00661BFE" w:rsidRPr="00B75B77">
        <w:t>age</w:t>
      </w:r>
      <w:r w:rsidRPr="00B75B77">
        <w:t xml:space="preserve"> of those sales came from high efficiency equipment. Six of the 11 installers (55%) reported an increase in overall sales </w:t>
      </w:r>
      <w:r w:rsidR="00661BFE" w:rsidRPr="00B75B77">
        <w:t xml:space="preserve">during </w:t>
      </w:r>
      <w:r w:rsidRPr="00B75B77">
        <w:t xml:space="preserve">that time, </w:t>
      </w:r>
      <w:r w:rsidR="00661BFE" w:rsidRPr="00B75B77">
        <w:t>three</w:t>
      </w:r>
      <w:r w:rsidRPr="00B75B77">
        <w:t xml:space="preserve"> installers (27%) said their sales stayed the same, and </w:t>
      </w:r>
      <w:r w:rsidR="00661BFE" w:rsidRPr="00B75B77">
        <w:t>two</w:t>
      </w:r>
      <w:r w:rsidRPr="00B75B77">
        <w:t xml:space="preserve"> installers (18%) were unsure. Installers also reported that 45% of their equipment sales met high efficiency standards.</w:t>
      </w:r>
      <w:r w:rsidRPr="00B75B77">
        <w:rPr>
          <w:vertAlign w:val="superscript"/>
        </w:rPr>
        <w:footnoteReference w:id="15"/>
      </w:r>
      <w:r w:rsidRPr="00B75B77">
        <w:t xml:space="preserve"> This percentage is down from the 63% of high efficiency sales reported in PY6</w:t>
      </w:r>
      <w:r w:rsidR="00661BFE" w:rsidRPr="00B75B77">
        <w:t>;</w:t>
      </w:r>
      <w:r w:rsidRPr="00B75B77">
        <w:rPr>
          <w:vertAlign w:val="superscript"/>
        </w:rPr>
        <w:footnoteReference w:id="16"/>
      </w:r>
      <w:r w:rsidRPr="00B75B77">
        <w:t xml:space="preserve"> however</w:t>
      </w:r>
      <w:r w:rsidR="00661BFE" w:rsidRPr="00B75B77">
        <w:t>,</w:t>
      </w:r>
      <w:r w:rsidRPr="00B75B77">
        <w:t xml:space="preserve"> this is likely </w:t>
      </w:r>
      <w:r w:rsidR="00661BFE" w:rsidRPr="00B75B77">
        <w:t>because</w:t>
      </w:r>
      <w:r w:rsidRPr="00B75B77">
        <w:t xml:space="preserve"> the total number of participants installing high efficiency HVAC equipment through the SHR program dropped from </w:t>
      </w:r>
      <w:r w:rsidRPr="00B75B77">
        <w:lastRenderedPageBreak/>
        <w:t xml:space="preserve">over 13,000 in PY6 to just over 9,000 in PY7. PECO intentionally ramped down program participation in PY7 to meet efficiency targets. </w:t>
      </w:r>
    </w:p>
    <w:p w:rsidR="00156005" w:rsidRPr="00B75B77" w:rsidRDefault="00156005" w:rsidP="009E08FB">
      <w:pPr>
        <w:pStyle w:val="ListParagraph"/>
        <w:numPr>
          <w:ilvl w:val="0"/>
          <w:numId w:val="104"/>
        </w:numPr>
        <w:spacing w:before="120" w:after="120"/>
        <w:contextualSpacing w:val="0"/>
      </w:pPr>
      <w:r w:rsidRPr="00B75B77">
        <w:rPr>
          <w:b/>
        </w:rPr>
        <w:t>Recommendation:</w:t>
      </w:r>
      <w:r w:rsidRPr="00B75B77">
        <w:t xml:space="preserve"> Focus education and marketing efforts on HVAC installers for the non-lighting aspect of SHR in Phase III as the program ramps back up and invites new installation companies to the program. </w:t>
      </w:r>
    </w:p>
    <w:p w:rsidR="00156005" w:rsidRPr="00B75B77" w:rsidRDefault="00156005" w:rsidP="00722C85"/>
    <w:p w:rsidR="00156005" w:rsidRPr="00B75B77" w:rsidRDefault="00156005" w:rsidP="00CF1606">
      <w:pPr>
        <w:pStyle w:val="Heading2"/>
        <w:spacing w:after="240"/>
      </w:pPr>
      <w:bookmarkStart w:id="290" w:name="_Toc466413285"/>
      <w:r w:rsidRPr="00B75B77">
        <w:t>Status of Recommendations for Program</w:t>
      </w:r>
      <w:bookmarkEnd w:id="290"/>
    </w:p>
    <w:p w:rsidR="00156005" w:rsidRPr="00B75B77" w:rsidRDefault="00156005" w:rsidP="00CF1606">
      <w:pPr>
        <w:pStyle w:val="Caption"/>
        <w:spacing w:before="120"/>
      </w:pPr>
      <w:bookmarkStart w:id="291" w:name="_Toc466413519"/>
      <w:r w:rsidRPr="00B75B77">
        <w:t xml:space="preserve">Table </w:t>
      </w:r>
      <w:fldSimple w:instr=" STYLEREF 1 \s ">
        <w:r w:rsidR="0004016D">
          <w:rPr>
            <w:noProof/>
          </w:rPr>
          <w:t>2</w:t>
        </w:r>
      </w:fldSimple>
      <w:r w:rsidR="00F1144C" w:rsidRPr="00B75B77">
        <w:noBreakHyphen/>
      </w:r>
      <w:fldSimple w:instr=" SEQ Table \* ARABIC \s 1 ">
        <w:r w:rsidR="0004016D">
          <w:rPr>
            <w:noProof/>
          </w:rPr>
          <w:t>14</w:t>
        </w:r>
      </w:fldSimple>
      <w:r w:rsidRPr="00B75B77">
        <w:t>: Smart Home Rebates Status Report on Process and Impact Recommendations</w:t>
      </w:r>
      <w:bookmarkEnd w:id="291"/>
      <w:r w:rsidRPr="00B75B77">
        <w:t xml:space="preserve"> </w:t>
      </w:r>
    </w:p>
    <w:tbl>
      <w:tblPr>
        <w:tblStyle w:val="MediumShading1-Accent5"/>
        <w:tblW w:w="936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4680"/>
        <w:gridCol w:w="4680"/>
      </w:tblGrid>
      <w:tr w:rsidR="00156005" w:rsidRPr="00B75B77" w:rsidTr="00722C85">
        <w:trPr>
          <w:cnfStyle w:val="100000000000" w:firstRow="1" w:lastRow="0" w:firstColumn="0" w:lastColumn="0" w:oddVBand="0" w:evenVBand="0" w:oddHBand="0"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auto"/>
              <w:left w:val="single" w:sz="4" w:space="0" w:color="auto"/>
              <w:bottom w:val="single" w:sz="4" w:space="0" w:color="auto"/>
              <w:right w:val="single" w:sz="4" w:space="0" w:color="auto"/>
            </w:tcBorders>
            <w:shd w:val="clear" w:color="auto" w:fill="448A99"/>
            <w:vAlign w:val="center"/>
            <w:hideMark/>
          </w:tcPr>
          <w:p w:rsidR="00156005" w:rsidRPr="00B75B77" w:rsidRDefault="00156005" w:rsidP="00722C85">
            <w:pPr>
              <w:jc w:val="left"/>
              <w:rPr>
                <w:rFonts w:ascii="Calibri" w:eastAsia="Times New Roman" w:hAnsi="Calibri"/>
                <w:bCs w:val="0"/>
                <w:sz w:val="18"/>
              </w:rPr>
            </w:pPr>
            <w:r w:rsidRPr="00B75B77">
              <w:rPr>
                <w:rFonts w:ascii="Calibri" w:eastAsia="Times New Roman" w:hAnsi="Calibri"/>
                <w:bCs w:val="0"/>
                <w:sz w:val="18"/>
              </w:rPr>
              <w:t>Recommendations</w:t>
            </w:r>
          </w:p>
        </w:tc>
        <w:tc>
          <w:tcPr>
            <w:tcW w:w="4680" w:type="dxa"/>
            <w:tcBorders>
              <w:top w:val="single" w:sz="4" w:space="0" w:color="auto"/>
              <w:left w:val="single" w:sz="4" w:space="0" w:color="auto"/>
              <w:bottom w:val="single" w:sz="4" w:space="0" w:color="auto"/>
              <w:right w:val="single" w:sz="4" w:space="0" w:color="auto"/>
            </w:tcBorders>
            <w:shd w:val="clear" w:color="auto" w:fill="448A99"/>
            <w:vAlign w:val="center"/>
            <w:hideMark/>
          </w:tcPr>
          <w:p w:rsidR="00156005" w:rsidRPr="00B75B77" w:rsidRDefault="00156005" w:rsidP="00722C85">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rPr>
            </w:pPr>
            <w:r w:rsidRPr="00B75B77">
              <w:rPr>
                <w:rFonts w:ascii="Calibri" w:eastAsia="Times New Roman" w:hAnsi="Calibri"/>
                <w:bCs w:val="0"/>
                <w:sz w:val="18"/>
              </w:rPr>
              <w:t>EDC Status of Recommendation (Implemented, Being Considered, Rejected AND Explanation of Action Taken by EDC)</w:t>
            </w:r>
          </w:p>
        </w:tc>
      </w:tr>
      <w:tr w:rsidR="00156005" w:rsidRPr="00B75B77" w:rsidTr="00722C8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auto"/>
              <w:bottom w:val="single" w:sz="6" w:space="0" w:color="448A99"/>
              <w:right w:val="single" w:sz="6" w:space="0" w:color="448A99"/>
            </w:tcBorders>
            <w:noWrap/>
            <w:vAlign w:val="center"/>
          </w:tcPr>
          <w:p w:rsidR="00156005" w:rsidRPr="00B75B77" w:rsidRDefault="00954489" w:rsidP="00954489">
            <w:pPr>
              <w:jc w:val="left"/>
              <w:rPr>
                <w:rFonts w:ascii="Calibri" w:eastAsia="Times New Roman" w:hAnsi="Calibri"/>
                <w:b w:val="0"/>
                <w:color w:val="000000"/>
                <w:sz w:val="18"/>
              </w:rPr>
            </w:pPr>
            <w:r w:rsidRPr="00B75B77">
              <w:rPr>
                <w:rFonts w:ascii="Calibri" w:eastAsia="Times New Roman" w:hAnsi="Calibri"/>
                <w:color w:val="000000"/>
                <w:sz w:val="18"/>
              </w:rPr>
              <w:t>Recommendation 1:</w:t>
            </w:r>
            <w:r w:rsidRPr="00B75B77">
              <w:rPr>
                <w:rFonts w:ascii="Calibri" w:eastAsia="Times New Roman" w:hAnsi="Calibri"/>
                <w:b w:val="0"/>
                <w:color w:val="000000"/>
                <w:sz w:val="18"/>
              </w:rPr>
              <w:t xml:space="preserve"> </w:t>
            </w:r>
            <w:r w:rsidR="00156005" w:rsidRPr="00B75B77">
              <w:rPr>
                <w:rFonts w:ascii="Calibri" w:eastAsia="Times New Roman" w:hAnsi="Calibri"/>
                <w:b w:val="0"/>
                <w:color w:val="000000"/>
                <w:sz w:val="18"/>
              </w:rPr>
              <w:t xml:space="preserve">PECO program managers and </w:t>
            </w:r>
            <w:r w:rsidRPr="00B75B77">
              <w:rPr>
                <w:rFonts w:ascii="Calibri" w:eastAsia="Times New Roman" w:hAnsi="Calibri"/>
                <w:b w:val="0"/>
                <w:color w:val="000000"/>
                <w:sz w:val="18"/>
              </w:rPr>
              <w:t xml:space="preserve">the </w:t>
            </w:r>
            <w:r w:rsidR="00156005" w:rsidRPr="00B75B77">
              <w:rPr>
                <w:rFonts w:ascii="Calibri" w:eastAsia="Times New Roman" w:hAnsi="Calibri"/>
                <w:b w:val="0"/>
                <w:color w:val="000000"/>
                <w:sz w:val="18"/>
              </w:rPr>
              <w:t xml:space="preserve">CSP </w:t>
            </w:r>
            <w:r w:rsidRPr="00B75B77">
              <w:rPr>
                <w:rFonts w:ascii="Calibri" w:eastAsia="Times New Roman" w:hAnsi="Calibri"/>
                <w:b w:val="0"/>
                <w:color w:val="000000"/>
                <w:sz w:val="18"/>
              </w:rPr>
              <w:t xml:space="preserve">should </w:t>
            </w:r>
            <w:r w:rsidR="00156005" w:rsidRPr="00B75B77">
              <w:rPr>
                <w:rFonts w:ascii="Calibri" w:eastAsia="Times New Roman" w:hAnsi="Calibri"/>
                <w:b w:val="0"/>
                <w:color w:val="000000"/>
                <w:sz w:val="18"/>
              </w:rPr>
              <w:t xml:space="preserve">continue to monitor the SHR lighting data and conduct regular </w:t>
            </w:r>
            <w:r w:rsidR="00750138" w:rsidRPr="00B75B77">
              <w:rPr>
                <w:rFonts w:ascii="Calibri" w:eastAsia="Times New Roman" w:hAnsi="Calibri"/>
                <w:b w:val="0"/>
                <w:color w:val="000000"/>
                <w:sz w:val="18"/>
              </w:rPr>
              <w:t>QC</w:t>
            </w:r>
            <w:r w:rsidR="00156005" w:rsidRPr="00B75B77">
              <w:rPr>
                <w:rFonts w:ascii="Calibri" w:eastAsia="Times New Roman" w:hAnsi="Calibri"/>
                <w:b w:val="0"/>
                <w:color w:val="000000"/>
                <w:sz w:val="18"/>
              </w:rPr>
              <w:t xml:space="preserve"> checks to minimize errors.</w:t>
            </w:r>
          </w:p>
        </w:tc>
        <w:tc>
          <w:tcPr>
            <w:tcW w:w="4680" w:type="dxa"/>
            <w:tcBorders>
              <w:top w:val="single" w:sz="4" w:space="0" w:color="auto"/>
              <w:left w:val="single" w:sz="6" w:space="0" w:color="448A99"/>
              <w:bottom w:val="single" w:sz="6" w:space="0" w:color="448A99"/>
            </w:tcBorders>
            <w:noWrap/>
            <w:vAlign w:val="center"/>
            <w:hideMark/>
          </w:tcPr>
          <w:p w:rsidR="00156005" w:rsidRPr="00B75B77" w:rsidRDefault="008C3974" w:rsidP="008C397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rPr>
            </w:pPr>
            <w:r w:rsidRPr="00B75B77">
              <w:rPr>
                <w:rFonts w:ascii="Calibri" w:eastAsia="Times New Roman" w:hAnsi="Calibri"/>
                <w:b/>
                <w:color w:val="000000"/>
                <w:sz w:val="18"/>
              </w:rPr>
              <w:t xml:space="preserve">Being Considered: </w:t>
            </w:r>
            <w:r w:rsidRPr="00B75B77">
              <w:rPr>
                <w:rFonts w:ascii="Calibri" w:eastAsia="Times New Roman" w:hAnsi="Calibri"/>
                <w:color w:val="000000"/>
                <w:sz w:val="18"/>
              </w:rPr>
              <w:t>PECO is working with implementation CSP and tracking system CSP to ensure errors are caught before placed into the tracking system.</w:t>
            </w:r>
          </w:p>
        </w:tc>
      </w:tr>
      <w:tr w:rsidR="00156005" w:rsidRPr="00B75B77" w:rsidTr="00722C85">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tcBorders>
              <w:top w:val="single" w:sz="6" w:space="0" w:color="448A99"/>
              <w:bottom w:val="single" w:sz="6" w:space="0" w:color="448A99"/>
              <w:right w:val="single" w:sz="6" w:space="0" w:color="448A99"/>
            </w:tcBorders>
            <w:noWrap/>
            <w:vAlign w:val="center"/>
          </w:tcPr>
          <w:p w:rsidR="00156005" w:rsidRPr="00B75B77" w:rsidRDefault="00954489" w:rsidP="00722C85">
            <w:pPr>
              <w:jc w:val="left"/>
              <w:rPr>
                <w:rFonts w:ascii="Calibri" w:eastAsia="Times New Roman" w:hAnsi="Calibri"/>
                <w:b w:val="0"/>
                <w:color w:val="000000"/>
                <w:sz w:val="18"/>
              </w:rPr>
            </w:pPr>
            <w:r w:rsidRPr="00B75B77">
              <w:rPr>
                <w:rFonts w:ascii="Calibri" w:eastAsia="Times New Roman" w:hAnsi="Calibri"/>
                <w:color w:val="000000"/>
                <w:sz w:val="18"/>
              </w:rPr>
              <w:t>Recommendation 2:</w:t>
            </w:r>
            <w:r w:rsidRPr="00B75B77">
              <w:rPr>
                <w:rFonts w:ascii="Calibri" w:eastAsia="Times New Roman" w:hAnsi="Calibri"/>
                <w:b w:val="0"/>
                <w:color w:val="000000"/>
                <w:sz w:val="18"/>
              </w:rPr>
              <w:t xml:space="preserve"> </w:t>
            </w:r>
            <w:r w:rsidR="00156005" w:rsidRPr="00B75B77">
              <w:rPr>
                <w:rFonts w:ascii="Calibri" w:eastAsia="Times New Roman" w:hAnsi="Calibri"/>
                <w:b w:val="0"/>
                <w:color w:val="000000"/>
                <w:sz w:val="18"/>
              </w:rPr>
              <w:t>PECO and the CSP must capture all unit-specific data relating to energy savings estimates in the tracking data for all projects.</w:t>
            </w:r>
          </w:p>
        </w:tc>
        <w:tc>
          <w:tcPr>
            <w:tcW w:w="4680" w:type="dxa"/>
            <w:tcBorders>
              <w:top w:val="single" w:sz="6" w:space="0" w:color="448A99"/>
              <w:left w:val="single" w:sz="6" w:space="0" w:color="448A99"/>
              <w:bottom w:val="single" w:sz="6" w:space="0" w:color="448A99"/>
            </w:tcBorders>
            <w:noWrap/>
            <w:vAlign w:val="center"/>
            <w:hideMark/>
          </w:tcPr>
          <w:p w:rsidR="00156005" w:rsidRPr="00B75B77" w:rsidRDefault="008C3974" w:rsidP="008C3974">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rPr>
            </w:pPr>
            <w:r w:rsidRPr="00B75B77">
              <w:rPr>
                <w:rFonts w:ascii="Calibri" w:eastAsia="Times New Roman" w:hAnsi="Calibri"/>
                <w:b/>
                <w:color w:val="000000"/>
                <w:sz w:val="18"/>
              </w:rPr>
              <w:t xml:space="preserve">Implemented: </w:t>
            </w:r>
            <w:r w:rsidR="00094AFF" w:rsidRPr="00B75B77">
              <w:rPr>
                <w:rFonts w:ascii="Calibri" w:eastAsia="Times New Roman" w:hAnsi="Calibri"/>
                <w:color w:val="000000"/>
                <w:sz w:val="18"/>
              </w:rPr>
              <w:t xml:space="preserve">In Phase III, </w:t>
            </w:r>
            <w:r w:rsidRPr="00B75B77">
              <w:rPr>
                <w:rFonts w:ascii="Calibri" w:eastAsia="Times New Roman" w:hAnsi="Calibri"/>
                <w:color w:val="000000"/>
                <w:sz w:val="18"/>
              </w:rPr>
              <w:t>we have done a complete review of data inputs and will ensure that all relevant data points are captured in the tracking system.</w:t>
            </w:r>
          </w:p>
        </w:tc>
      </w:tr>
      <w:tr w:rsidR="00156005" w:rsidRPr="00B75B77" w:rsidTr="008C3974">
        <w:trPr>
          <w:cnfStyle w:val="000000100000" w:firstRow="0" w:lastRow="0" w:firstColumn="0" w:lastColumn="0" w:oddVBand="0" w:evenVBand="0" w:oddHBand="1" w:evenHBand="0" w:firstRowFirstColumn="0" w:firstRowLastColumn="0" w:lastRowFirstColumn="0" w:lastRowLastColumn="0"/>
          <w:trHeight w:val="1056"/>
        </w:trPr>
        <w:tc>
          <w:tcPr>
            <w:cnfStyle w:val="001000000000" w:firstRow="0" w:lastRow="0" w:firstColumn="1" w:lastColumn="0" w:oddVBand="0" w:evenVBand="0" w:oddHBand="0" w:evenHBand="0" w:firstRowFirstColumn="0" w:firstRowLastColumn="0" w:lastRowFirstColumn="0" w:lastRowLastColumn="0"/>
            <w:tcW w:w="4680" w:type="dxa"/>
            <w:tcBorders>
              <w:top w:val="single" w:sz="6" w:space="0" w:color="448A99"/>
              <w:bottom w:val="single" w:sz="6" w:space="0" w:color="448A99"/>
              <w:right w:val="single" w:sz="6" w:space="0" w:color="448A99"/>
            </w:tcBorders>
            <w:noWrap/>
            <w:vAlign w:val="center"/>
          </w:tcPr>
          <w:p w:rsidR="00156005" w:rsidRPr="00B75B77" w:rsidRDefault="00954489" w:rsidP="00394404">
            <w:pPr>
              <w:jc w:val="left"/>
              <w:rPr>
                <w:rFonts w:ascii="Calibri" w:eastAsia="Times New Roman" w:hAnsi="Calibri"/>
                <w:b w:val="0"/>
                <w:color w:val="000000"/>
                <w:sz w:val="18"/>
              </w:rPr>
            </w:pPr>
            <w:r w:rsidRPr="00B75B77">
              <w:rPr>
                <w:rFonts w:ascii="Calibri" w:eastAsia="Times New Roman" w:hAnsi="Calibri"/>
                <w:color w:val="000000"/>
                <w:sz w:val="18"/>
              </w:rPr>
              <w:t>R</w:t>
            </w:r>
            <w:r w:rsidR="00394404" w:rsidRPr="00B75B77">
              <w:rPr>
                <w:rFonts w:ascii="Calibri" w:eastAsia="Times New Roman" w:hAnsi="Calibri"/>
                <w:color w:val="000000"/>
                <w:sz w:val="18"/>
              </w:rPr>
              <w:t>ecommendation 3</w:t>
            </w:r>
            <w:r w:rsidRPr="00B75B77">
              <w:rPr>
                <w:rFonts w:ascii="Calibri" w:eastAsia="Times New Roman" w:hAnsi="Calibri"/>
                <w:color w:val="000000"/>
                <w:sz w:val="18"/>
              </w:rPr>
              <w:t>:</w:t>
            </w:r>
            <w:r w:rsidRPr="00B75B77">
              <w:rPr>
                <w:rFonts w:ascii="Calibri" w:eastAsia="Times New Roman" w:hAnsi="Calibri"/>
                <w:b w:val="0"/>
                <w:color w:val="000000"/>
                <w:sz w:val="18"/>
              </w:rPr>
              <w:t xml:space="preserve"> </w:t>
            </w:r>
            <w:r w:rsidR="00156005" w:rsidRPr="00B75B77">
              <w:rPr>
                <w:rFonts w:ascii="Calibri" w:eastAsia="Times New Roman" w:hAnsi="Calibri"/>
                <w:b w:val="0"/>
                <w:color w:val="000000"/>
                <w:sz w:val="18"/>
              </w:rPr>
              <w:t>If additional low</w:t>
            </w:r>
            <w:r w:rsidR="00394404" w:rsidRPr="00B75B77">
              <w:rPr>
                <w:rFonts w:ascii="Calibri" w:eastAsia="Times New Roman" w:hAnsi="Calibri"/>
                <w:b w:val="0"/>
                <w:color w:val="000000"/>
                <w:sz w:val="18"/>
              </w:rPr>
              <w:t>-</w:t>
            </w:r>
            <w:r w:rsidR="00156005" w:rsidRPr="00B75B77">
              <w:rPr>
                <w:rFonts w:ascii="Calibri" w:eastAsia="Times New Roman" w:hAnsi="Calibri"/>
                <w:b w:val="0"/>
                <w:color w:val="000000"/>
                <w:sz w:val="18"/>
              </w:rPr>
              <w:t xml:space="preserve">income savings are needed by PECO, provide </w:t>
            </w:r>
            <w:r w:rsidR="00394404" w:rsidRPr="00B75B77">
              <w:rPr>
                <w:rFonts w:ascii="Calibri" w:eastAsia="Times New Roman" w:hAnsi="Calibri"/>
                <w:b w:val="0"/>
                <w:color w:val="000000"/>
                <w:sz w:val="18"/>
              </w:rPr>
              <w:t>low-income</w:t>
            </w:r>
            <w:r w:rsidR="00156005" w:rsidRPr="00B75B77">
              <w:rPr>
                <w:rFonts w:ascii="Calibri" w:eastAsia="Times New Roman" w:hAnsi="Calibri"/>
                <w:b w:val="0"/>
                <w:color w:val="000000"/>
                <w:sz w:val="18"/>
              </w:rPr>
              <w:t xml:space="preserve"> customers with mail-in rebate incentives on LEDs. Mail-in rebates in the form of coupons can educate and motivate participation.</w:t>
            </w:r>
          </w:p>
        </w:tc>
        <w:tc>
          <w:tcPr>
            <w:tcW w:w="4680" w:type="dxa"/>
            <w:tcBorders>
              <w:top w:val="single" w:sz="6" w:space="0" w:color="448A99"/>
              <w:left w:val="single" w:sz="6" w:space="0" w:color="448A99"/>
              <w:bottom w:val="single" w:sz="6" w:space="0" w:color="448A99"/>
            </w:tcBorders>
            <w:noWrap/>
            <w:vAlign w:val="center"/>
            <w:hideMark/>
          </w:tcPr>
          <w:p w:rsidR="00156005" w:rsidRPr="00B75B77" w:rsidRDefault="00C6645B" w:rsidP="00722C8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rPr>
            </w:pPr>
            <w:r w:rsidRPr="00B75B77">
              <w:rPr>
                <w:rFonts w:ascii="Calibri" w:eastAsia="Times New Roman" w:hAnsi="Calibri"/>
                <w:b/>
                <w:color w:val="000000"/>
                <w:sz w:val="18"/>
              </w:rPr>
              <w:t xml:space="preserve">Being Considered: </w:t>
            </w:r>
            <w:r w:rsidR="008C3974" w:rsidRPr="00B75B77">
              <w:rPr>
                <w:rFonts w:ascii="Calibri" w:eastAsia="Times New Roman" w:hAnsi="Calibri"/>
                <w:color w:val="000000"/>
                <w:sz w:val="18"/>
              </w:rPr>
              <w:t xml:space="preserve">PECO is </w:t>
            </w:r>
            <w:r w:rsidRPr="00B75B77">
              <w:rPr>
                <w:rFonts w:ascii="Calibri" w:eastAsia="Times New Roman" w:hAnsi="Calibri"/>
                <w:color w:val="000000"/>
                <w:sz w:val="18"/>
              </w:rPr>
              <w:t xml:space="preserve">already </w:t>
            </w:r>
            <w:r w:rsidR="008C3974" w:rsidRPr="00B75B77">
              <w:rPr>
                <w:rFonts w:ascii="Calibri" w:eastAsia="Times New Roman" w:hAnsi="Calibri"/>
                <w:color w:val="000000"/>
                <w:sz w:val="18"/>
              </w:rPr>
              <w:t>offering a targeted retail lighting program that is bringing LED bulbs in retail stores that may be non-traditional lighting in heavy low-income areas.  These LEDs have greater discounts applied.</w:t>
            </w:r>
          </w:p>
        </w:tc>
      </w:tr>
      <w:tr w:rsidR="00156005" w:rsidRPr="00B75B77" w:rsidTr="008C3974">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tcBorders>
              <w:top w:val="single" w:sz="6" w:space="0" w:color="448A99"/>
              <w:bottom w:val="single" w:sz="6" w:space="0" w:color="448A99"/>
              <w:right w:val="single" w:sz="6" w:space="0" w:color="448A99"/>
            </w:tcBorders>
            <w:noWrap/>
            <w:vAlign w:val="center"/>
          </w:tcPr>
          <w:p w:rsidR="00954489" w:rsidRPr="00B75B77" w:rsidRDefault="00954489" w:rsidP="00722C85">
            <w:pPr>
              <w:jc w:val="left"/>
              <w:rPr>
                <w:rFonts w:ascii="Calibri" w:eastAsia="Times New Roman" w:hAnsi="Calibri"/>
                <w:color w:val="000000"/>
                <w:sz w:val="18"/>
              </w:rPr>
            </w:pPr>
            <w:r w:rsidRPr="00B75B77">
              <w:rPr>
                <w:rFonts w:ascii="Calibri" w:eastAsia="Times New Roman" w:hAnsi="Calibri"/>
                <w:color w:val="000000"/>
                <w:sz w:val="18"/>
              </w:rPr>
              <w:t>R</w:t>
            </w:r>
            <w:r w:rsidR="00394404" w:rsidRPr="00B75B77">
              <w:rPr>
                <w:rFonts w:ascii="Calibri" w:eastAsia="Times New Roman" w:hAnsi="Calibri"/>
                <w:color w:val="000000"/>
                <w:sz w:val="18"/>
              </w:rPr>
              <w:t>ecommen</w:t>
            </w:r>
            <w:r w:rsidR="00305DB7" w:rsidRPr="00B75B77">
              <w:rPr>
                <w:rFonts w:ascii="Calibri" w:eastAsia="Times New Roman" w:hAnsi="Calibri"/>
                <w:color w:val="000000"/>
                <w:sz w:val="18"/>
              </w:rPr>
              <w:t>dation 4</w:t>
            </w:r>
            <w:r w:rsidRPr="00B75B77">
              <w:rPr>
                <w:rFonts w:ascii="Calibri" w:eastAsia="Times New Roman" w:hAnsi="Calibri"/>
                <w:color w:val="000000"/>
                <w:sz w:val="18"/>
              </w:rPr>
              <w:t xml:space="preserve">: </w:t>
            </w:r>
          </w:p>
          <w:p w:rsidR="00954489" w:rsidRPr="00B75B77" w:rsidRDefault="00156005" w:rsidP="009E08FB">
            <w:pPr>
              <w:pStyle w:val="ListParagraph"/>
              <w:numPr>
                <w:ilvl w:val="1"/>
                <w:numId w:val="91"/>
              </w:numPr>
              <w:ind w:left="517" w:hanging="270"/>
              <w:jc w:val="left"/>
              <w:rPr>
                <w:rFonts w:ascii="Calibri" w:eastAsia="Times New Roman" w:hAnsi="Calibri"/>
                <w:b w:val="0"/>
                <w:color w:val="000000"/>
                <w:sz w:val="18"/>
              </w:rPr>
            </w:pPr>
            <w:r w:rsidRPr="00B75B77">
              <w:rPr>
                <w:rFonts w:ascii="Calibri" w:eastAsia="Times New Roman" w:hAnsi="Calibri"/>
                <w:b w:val="0"/>
                <w:color w:val="000000"/>
                <w:sz w:val="18"/>
              </w:rPr>
              <w:t>Use focused marketing efforts to improve the perceptions of LEDs and overcome confusion hindering LED adoption. Focused marketing can highlight the benefits of efficient lighting, educate customers on LED capabilities, and help customers understand how to navigate the range of options. Marketing outside of the store (web-based, emails, etc.) may help overcome confusion.</w:t>
            </w:r>
          </w:p>
          <w:p w:rsidR="00156005" w:rsidRPr="00B75B77" w:rsidRDefault="00394404" w:rsidP="009E08FB">
            <w:pPr>
              <w:pStyle w:val="ListParagraph"/>
              <w:numPr>
                <w:ilvl w:val="1"/>
                <w:numId w:val="91"/>
              </w:numPr>
              <w:ind w:left="517" w:hanging="270"/>
              <w:jc w:val="left"/>
              <w:rPr>
                <w:rFonts w:ascii="Calibri" w:eastAsia="Times New Roman" w:hAnsi="Calibri"/>
                <w:color w:val="000000"/>
                <w:sz w:val="18"/>
              </w:rPr>
            </w:pPr>
            <w:r w:rsidRPr="00B75B77">
              <w:rPr>
                <w:rFonts w:ascii="Calibri" w:eastAsia="Times New Roman" w:hAnsi="Calibri"/>
                <w:b w:val="0"/>
                <w:color w:val="000000"/>
                <w:sz w:val="18"/>
              </w:rPr>
              <w:t>Continue to engage customers at store locations. Use direct, in-person interactions t</w:t>
            </w:r>
            <w:r w:rsidR="00305DB7" w:rsidRPr="00B75B77">
              <w:rPr>
                <w:rFonts w:ascii="Calibri" w:eastAsia="Times New Roman" w:hAnsi="Calibri"/>
                <w:b w:val="0"/>
                <w:color w:val="000000"/>
                <w:sz w:val="18"/>
              </w:rPr>
              <w:t>o educate and motivate customer</w:t>
            </w:r>
            <w:r w:rsidRPr="00B75B77">
              <w:rPr>
                <w:rFonts w:ascii="Calibri" w:eastAsia="Times New Roman" w:hAnsi="Calibri"/>
                <w:b w:val="0"/>
                <w:color w:val="000000"/>
                <w:sz w:val="18"/>
              </w:rPr>
              <w:t xml:space="preserve"> adoption of energy</w:t>
            </w:r>
            <w:r w:rsidR="00AF5657" w:rsidRPr="00B75B77">
              <w:rPr>
                <w:rFonts w:ascii="Calibri" w:eastAsia="Times New Roman" w:hAnsi="Calibri"/>
                <w:b w:val="0"/>
                <w:color w:val="000000"/>
                <w:sz w:val="18"/>
              </w:rPr>
              <w:t xml:space="preserve"> efficient</w:t>
            </w:r>
            <w:r w:rsidRPr="00B75B77">
              <w:rPr>
                <w:rFonts w:ascii="Calibri" w:eastAsia="Times New Roman" w:hAnsi="Calibri"/>
                <w:b w:val="0"/>
                <w:color w:val="000000"/>
                <w:sz w:val="18"/>
              </w:rPr>
              <w:t xml:space="preserve"> products. This can also help overcome confusion that may arise from the wide variety of products in the market.</w:t>
            </w:r>
          </w:p>
          <w:p w:rsidR="00305DB7" w:rsidRPr="00B75B77" w:rsidRDefault="00305DB7" w:rsidP="009E08FB">
            <w:pPr>
              <w:pStyle w:val="ListParagraph"/>
              <w:numPr>
                <w:ilvl w:val="1"/>
                <w:numId w:val="91"/>
              </w:numPr>
              <w:ind w:left="517" w:hanging="270"/>
              <w:jc w:val="left"/>
              <w:rPr>
                <w:rFonts w:ascii="Calibri" w:eastAsia="Times New Roman" w:hAnsi="Calibri"/>
                <w:color w:val="000000"/>
                <w:sz w:val="18"/>
              </w:rPr>
            </w:pPr>
            <w:r w:rsidRPr="00B75B77">
              <w:rPr>
                <w:rFonts w:ascii="Calibri" w:eastAsia="Times New Roman" w:hAnsi="Calibri"/>
                <w:b w:val="0"/>
                <w:color w:val="000000"/>
                <w:sz w:val="18"/>
              </w:rPr>
              <w:t>Monitor LED acquisition costs on a quarterly basis to identify when to fully transition incentive dollars from CFLs to LEDs to make them competitive with halogen and other non-energy efficient bulbs.</w:t>
            </w:r>
          </w:p>
        </w:tc>
        <w:tc>
          <w:tcPr>
            <w:tcW w:w="4680" w:type="dxa"/>
            <w:tcBorders>
              <w:top w:val="single" w:sz="6" w:space="0" w:color="448A99"/>
              <w:left w:val="single" w:sz="6" w:space="0" w:color="448A99"/>
              <w:bottom w:val="single" w:sz="6" w:space="0" w:color="448A99"/>
            </w:tcBorders>
            <w:noWrap/>
          </w:tcPr>
          <w:p w:rsidR="008C3974" w:rsidRPr="00B75B77" w:rsidRDefault="00094AFF" w:rsidP="008C3974">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b/>
                <w:color w:val="000000"/>
                <w:sz w:val="18"/>
              </w:rPr>
            </w:pPr>
            <w:r w:rsidRPr="00B75B77">
              <w:rPr>
                <w:rFonts w:ascii="Calibri" w:eastAsia="Times New Roman" w:hAnsi="Calibri"/>
                <w:b/>
                <w:color w:val="000000"/>
                <w:sz w:val="18"/>
              </w:rPr>
              <w:t>Being Considered/</w:t>
            </w:r>
            <w:r w:rsidR="008C3974" w:rsidRPr="00B75B77">
              <w:rPr>
                <w:rFonts w:ascii="Calibri" w:eastAsia="Times New Roman" w:hAnsi="Calibri"/>
                <w:b/>
                <w:color w:val="000000"/>
                <w:sz w:val="18"/>
              </w:rPr>
              <w:t>Implemented</w:t>
            </w:r>
            <w:r w:rsidR="004164D3" w:rsidRPr="00B75B77">
              <w:rPr>
                <w:rFonts w:ascii="Calibri" w:eastAsia="Times New Roman" w:hAnsi="Calibri"/>
                <w:b/>
                <w:color w:val="000000"/>
                <w:sz w:val="18"/>
              </w:rPr>
              <w:t>:</w:t>
            </w:r>
          </w:p>
          <w:p w:rsidR="008C3974" w:rsidRPr="00B75B77" w:rsidRDefault="008C3974" w:rsidP="0055143E">
            <w:pPr>
              <w:pStyle w:val="ListParagraph"/>
              <w:numPr>
                <w:ilvl w:val="0"/>
                <w:numId w:val="115"/>
              </w:num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b/>
                <w:color w:val="000000"/>
                <w:sz w:val="18"/>
              </w:rPr>
            </w:pPr>
            <w:r w:rsidRPr="00B75B77">
              <w:rPr>
                <w:rFonts w:ascii="Calibri" w:eastAsia="Times New Roman" w:hAnsi="Calibri"/>
                <w:color w:val="000000"/>
                <w:sz w:val="18"/>
              </w:rPr>
              <w:t>Will work with ICF to develop more education and focused marketing around LED benefits and technologies.</w:t>
            </w:r>
          </w:p>
          <w:p w:rsidR="008C3974" w:rsidRPr="00B75B77" w:rsidRDefault="008C3974" w:rsidP="0055143E">
            <w:pPr>
              <w:pStyle w:val="ListParagraph"/>
              <w:numPr>
                <w:ilvl w:val="0"/>
                <w:numId w:val="115"/>
              </w:num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b/>
                <w:color w:val="000000"/>
                <w:sz w:val="18"/>
              </w:rPr>
            </w:pPr>
            <w:r w:rsidRPr="00B75B77">
              <w:rPr>
                <w:rFonts w:ascii="Calibri" w:eastAsia="Times New Roman" w:hAnsi="Calibri"/>
                <w:color w:val="000000"/>
                <w:sz w:val="18"/>
              </w:rPr>
              <w:t>We continue to have our retail field team for outreach and customer engagement. We are looking to supplement the staffing with additional resources.</w:t>
            </w:r>
          </w:p>
          <w:p w:rsidR="00156005" w:rsidRPr="00B75B77" w:rsidRDefault="008C3974" w:rsidP="0055143E">
            <w:pPr>
              <w:pStyle w:val="ListParagraph"/>
              <w:numPr>
                <w:ilvl w:val="0"/>
                <w:numId w:val="115"/>
              </w:num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b/>
                <w:color w:val="000000"/>
                <w:sz w:val="18"/>
              </w:rPr>
            </w:pPr>
            <w:r w:rsidRPr="00B75B77">
              <w:rPr>
                <w:rFonts w:ascii="Calibri" w:eastAsia="Times New Roman" w:hAnsi="Calibri"/>
                <w:color w:val="000000"/>
                <w:sz w:val="18"/>
              </w:rPr>
              <w:t>By the end of 2016</w:t>
            </w:r>
            <w:r w:rsidR="00094AFF" w:rsidRPr="00B75B77">
              <w:rPr>
                <w:rFonts w:ascii="Calibri" w:eastAsia="Times New Roman" w:hAnsi="Calibri"/>
                <w:color w:val="000000"/>
                <w:sz w:val="18"/>
              </w:rPr>
              <w:t>,</w:t>
            </w:r>
            <w:r w:rsidRPr="00B75B77">
              <w:rPr>
                <w:rFonts w:ascii="Calibri" w:eastAsia="Times New Roman" w:hAnsi="Calibri"/>
                <w:color w:val="000000"/>
                <w:sz w:val="18"/>
              </w:rPr>
              <w:t xml:space="preserve"> we will phase CFLs out of this program and are carefully monitoring the acquisition cost of the LEDs</w:t>
            </w:r>
            <w:r w:rsidR="00094AFF" w:rsidRPr="00B75B77">
              <w:rPr>
                <w:rFonts w:ascii="Calibri" w:eastAsia="Times New Roman" w:hAnsi="Calibri"/>
                <w:color w:val="000000"/>
                <w:sz w:val="18"/>
              </w:rPr>
              <w:t>.</w:t>
            </w:r>
          </w:p>
        </w:tc>
      </w:tr>
      <w:tr w:rsidR="00156005" w:rsidRPr="00B75B77" w:rsidTr="00722C8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tcBorders>
              <w:top w:val="single" w:sz="6" w:space="0" w:color="448A99"/>
              <w:bottom w:val="single" w:sz="6" w:space="0" w:color="448A99"/>
              <w:right w:val="single" w:sz="6" w:space="0" w:color="448A99"/>
            </w:tcBorders>
            <w:noWrap/>
            <w:vAlign w:val="center"/>
          </w:tcPr>
          <w:p w:rsidR="00156005" w:rsidRPr="00B75B77" w:rsidRDefault="00954489" w:rsidP="00722C85">
            <w:pPr>
              <w:jc w:val="left"/>
              <w:rPr>
                <w:rFonts w:ascii="Calibri" w:eastAsia="Times New Roman" w:hAnsi="Calibri"/>
                <w:b w:val="0"/>
                <w:color w:val="000000"/>
                <w:sz w:val="18"/>
              </w:rPr>
            </w:pPr>
            <w:r w:rsidRPr="00B75B77">
              <w:rPr>
                <w:rFonts w:ascii="Calibri" w:eastAsia="Times New Roman" w:hAnsi="Calibri"/>
                <w:color w:val="000000"/>
                <w:sz w:val="18"/>
              </w:rPr>
              <w:t>R</w:t>
            </w:r>
            <w:r w:rsidR="00305DB7" w:rsidRPr="00B75B77">
              <w:rPr>
                <w:rFonts w:ascii="Calibri" w:eastAsia="Times New Roman" w:hAnsi="Calibri"/>
                <w:color w:val="000000"/>
                <w:sz w:val="18"/>
              </w:rPr>
              <w:t>ecommendation 5</w:t>
            </w:r>
            <w:r w:rsidRPr="00B75B77">
              <w:rPr>
                <w:rFonts w:ascii="Calibri" w:eastAsia="Times New Roman" w:hAnsi="Calibri"/>
                <w:color w:val="000000"/>
                <w:sz w:val="18"/>
              </w:rPr>
              <w:t>:</w:t>
            </w:r>
            <w:r w:rsidRPr="00B75B77">
              <w:rPr>
                <w:rFonts w:ascii="Calibri" w:eastAsia="Times New Roman" w:hAnsi="Calibri"/>
                <w:b w:val="0"/>
                <w:color w:val="000000"/>
                <w:sz w:val="18"/>
              </w:rPr>
              <w:t xml:space="preserve"> </w:t>
            </w:r>
            <w:r w:rsidR="00156005" w:rsidRPr="00B75B77">
              <w:rPr>
                <w:rFonts w:ascii="Calibri" w:eastAsia="Times New Roman" w:hAnsi="Calibri"/>
                <w:b w:val="0"/>
                <w:color w:val="000000"/>
                <w:sz w:val="18"/>
              </w:rPr>
              <w:t>Leverage strong working relationships with HVAC contractors and installers to increase participation in the non-lighting aspect of SHR.</w:t>
            </w:r>
          </w:p>
        </w:tc>
        <w:tc>
          <w:tcPr>
            <w:tcW w:w="4680" w:type="dxa"/>
            <w:tcBorders>
              <w:top w:val="single" w:sz="6" w:space="0" w:color="448A99"/>
              <w:left w:val="single" w:sz="6" w:space="0" w:color="448A99"/>
              <w:bottom w:val="single" w:sz="6" w:space="0" w:color="448A99"/>
            </w:tcBorders>
            <w:noWrap/>
            <w:vAlign w:val="center"/>
          </w:tcPr>
          <w:p w:rsidR="00156005" w:rsidRPr="00B75B77" w:rsidRDefault="008C3974" w:rsidP="008C397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rPr>
            </w:pPr>
            <w:r w:rsidRPr="00B75B77">
              <w:rPr>
                <w:rFonts w:ascii="Calibri" w:eastAsia="Times New Roman" w:hAnsi="Calibri"/>
                <w:b/>
                <w:color w:val="000000"/>
                <w:sz w:val="18"/>
              </w:rPr>
              <w:t xml:space="preserve">Implemented: </w:t>
            </w:r>
            <w:r w:rsidRPr="00B75B77">
              <w:rPr>
                <w:rFonts w:ascii="Calibri" w:eastAsia="Times New Roman" w:hAnsi="Calibri"/>
                <w:color w:val="000000"/>
                <w:sz w:val="18"/>
              </w:rPr>
              <w:t>We are working with distributors and manufacturers to help communicate program offers and education to contractors in addition to continuing the relationships with contractors.</w:t>
            </w:r>
          </w:p>
        </w:tc>
      </w:tr>
      <w:tr w:rsidR="00156005" w:rsidRPr="00B75B77" w:rsidTr="00722C85">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tcBorders>
              <w:top w:val="single" w:sz="6" w:space="0" w:color="448A99"/>
              <w:bottom w:val="single" w:sz="6" w:space="0" w:color="448A99"/>
              <w:right w:val="single" w:sz="6" w:space="0" w:color="448A99"/>
            </w:tcBorders>
            <w:noWrap/>
            <w:vAlign w:val="center"/>
          </w:tcPr>
          <w:p w:rsidR="00156005" w:rsidRPr="00B75B77" w:rsidRDefault="00954489" w:rsidP="00722C85">
            <w:pPr>
              <w:jc w:val="left"/>
              <w:rPr>
                <w:rFonts w:ascii="Calibri" w:eastAsia="Times New Roman" w:hAnsi="Calibri"/>
                <w:b w:val="0"/>
                <w:color w:val="000000"/>
                <w:sz w:val="18"/>
              </w:rPr>
            </w:pPr>
            <w:r w:rsidRPr="00B75B77">
              <w:rPr>
                <w:rFonts w:ascii="Calibri" w:eastAsia="Times New Roman" w:hAnsi="Calibri"/>
                <w:color w:val="000000"/>
                <w:sz w:val="18"/>
              </w:rPr>
              <w:t>R</w:t>
            </w:r>
            <w:r w:rsidR="00305DB7" w:rsidRPr="00B75B77">
              <w:rPr>
                <w:rFonts w:ascii="Calibri" w:eastAsia="Times New Roman" w:hAnsi="Calibri"/>
                <w:color w:val="000000"/>
                <w:sz w:val="18"/>
              </w:rPr>
              <w:t>ecommendation 6</w:t>
            </w:r>
            <w:r w:rsidRPr="00B75B77">
              <w:rPr>
                <w:rFonts w:ascii="Calibri" w:eastAsia="Times New Roman" w:hAnsi="Calibri"/>
                <w:color w:val="000000"/>
                <w:sz w:val="18"/>
              </w:rPr>
              <w:t>:</w:t>
            </w:r>
            <w:r w:rsidRPr="00B75B77">
              <w:rPr>
                <w:rFonts w:ascii="Calibri" w:eastAsia="Times New Roman" w:hAnsi="Calibri"/>
                <w:b w:val="0"/>
                <w:color w:val="000000"/>
                <w:sz w:val="18"/>
              </w:rPr>
              <w:t xml:space="preserve"> </w:t>
            </w:r>
            <w:r w:rsidR="00156005" w:rsidRPr="00B75B77">
              <w:rPr>
                <w:rFonts w:ascii="Calibri" w:eastAsia="Times New Roman" w:hAnsi="Calibri"/>
                <w:b w:val="0"/>
                <w:color w:val="000000"/>
                <w:sz w:val="18"/>
              </w:rPr>
              <w:t>Focus education and marketing efforts on HVAC installers for the non-lighting aspect of SHR in Phase III as the program ramps back up and invites new installation companies to the program.</w:t>
            </w:r>
          </w:p>
        </w:tc>
        <w:tc>
          <w:tcPr>
            <w:tcW w:w="4680" w:type="dxa"/>
            <w:tcBorders>
              <w:top w:val="single" w:sz="6" w:space="0" w:color="448A99"/>
              <w:left w:val="single" w:sz="6" w:space="0" w:color="448A99"/>
              <w:bottom w:val="single" w:sz="6" w:space="0" w:color="448A99"/>
            </w:tcBorders>
            <w:noWrap/>
            <w:vAlign w:val="center"/>
          </w:tcPr>
          <w:p w:rsidR="00156005" w:rsidRPr="00B75B77" w:rsidRDefault="008C3974" w:rsidP="00094AFF">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rPr>
            </w:pPr>
            <w:r w:rsidRPr="00B75B77">
              <w:rPr>
                <w:rFonts w:ascii="Calibri" w:eastAsia="Times New Roman" w:hAnsi="Calibri"/>
                <w:b/>
                <w:color w:val="000000"/>
                <w:sz w:val="18"/>
              </w:rPr>
              <w:t xml:space="preserve">Implemented: </w:t>
            </w:r>
            <w:r w:rsidRPr="00B75B77">
              <w:rPr>
                <w:rFonts w:ascii="Calibri" w:eastAsia="Times New Roman" w:hAnsi="Calibri"/>
                <w:color w:val="000000"/>
                <w:sz w:val="18"/>
              </w:rPr>
              <w:t xml:space="preserve"> We are working closer with contractors to help them increase efficient products in the market place. We expect challenges due</w:t>
            </w:r>
            <w:r w:rsidR="00D93A77" w:rsidRPr="00B75B77">
              <w:rPr>
                <w:rFonts w:ascii="Calibri" w:eastAsia="Times New Roman" w:hAnsi="Calibri"/>
                <w:color w:val="000000"/>
                <w:sz w:val="18"/>
              </w:rPr>
              <w:t xml:space="preserve"> to the lower rebate levels in P</w:t>
            </w:r>
            <w:r w:rsidRPr="00B75B77">
              <w:rPr>
                <w:rFonts w:ascii="Calibri" w:eastAsia="Times New Roman" w:hAnsi="Calibri"/>
                <w:color w:val="000000"/>
                <w:sz w:val="18"/>
              </w:rPr>
              <w:t xml:space="preserve">hase </w:t>
            </w:r>
            <w:r w:rsidR="00094AFF" w:rsidRPr="00B75B77">
              <w:rPr>
                <w:rFonts w:ascii="Calibri" w:eastAsia="Times New Roman" w:hAnsi="Calibri"/>
                <w:color w:val="000000"/>
                <w:sz w:val="18"/>
              </w:rPr>
              <w:t>III</w:t>
            </w:r>
            <w:r w:rsidRPr="00B75B77">
              <w:rPr>
                <w:rFonts w:ascii="Calibri" w:eastAsia="Times New Roman" w:hAnsi="Calibri"/>
                <w:color w:val="000000"/>
                <w:sz w:val="18"/>
              </w:rPr>
              <w:t>, however are leveraging our relationships to promote non-lighting products.</w:t>
            </w:r>
          </w:p>
        </w:tc>
      </w:tr>
    </w:tbl>
    <w:p w:rsidR="00156005" w:rsidRPr="00B75B77" w:rsidRDefault="00156005" w:rsidP="00394404">
      <w:pPr>
        <w:pStyle w:val="Source"/>
        <w:ind w:left="90" w:firstLine="0"/>
      </w:pPr>
      <w:r w:rsidRPr="00B75B77">
        <w:t>Source: Navigant analysis</w:t>
      </w:r>
    </w:p>
    <w:p w:rsidR="00156005" w:rsidRPr="00B75B77" w:rsidRDefault="00156005" w:rsidP="00394404">
      <w:pPr>
        <w:pStyle w:val="Heading2"/>
        <w:keepNext/>
      </w:pPr>
      <w:bookmarkStart w:id="292" w:name="_Toc466413286"/>
      <w:r w:rsidRPr="00B75B77">
        <w:lastRenderedPageBreak/>
        <w:t>Financial Reporting</w:t>
      </w:r>
      <w:bookmarkEnd w:id="292"/>
    </w:p>
    <w:p w:rsidR="00156005" w:rsidRPr="00B75B77" w:rsidRDefault="00156005" w:rsidP="00394404">
      <w:pPr>
        <w:keepNext/>
      </w:pPr>
      <w:r w:rsidRPr="00B75B77">
        <w:t xml:space="preserve">For the third year of Phase II, the SHR program exceeded its expected TRC of 1.3. This is due primarily to the low and reducing costs of efficient bulbs and the shift of the program to more efficient and longer lifetime LEDs. </w:t>
      </w:r>
      <w:r w:rsidR="00472AA0" w:rsidRPr="00B75B77">
        <w:t>The</w:t>
      </w:r>
      <w:r w:rsidRPr="00B75B77">
        <w:t xml:space="preserve"> program </w:t>
      </w:r>
      <w:r w:rsidR="00472AA0" w:rsidRPr="00B75B77">
        <w:t xml:space="preserve">also </w:t>
      </w:r>
      <w:r w:rsidRPr="00B75B77">
        <w:t>maintained stable administrative and overhead cost</w:t>
      </w:r>
      <w:r w:rsidR="00472AA0" w:rsidRPr="00B75B77">
        <w:t>s,</w:t>
      </w:r>
      <w:r w:rsidRPr="00B75B77">
        <w:t xml:space="preserve"> even as activities ramped up in PY7. A breakdown of SHR program finances is presented in the following table.</w:t>
      </w:r>
    </w:p>
    <w:p w:rsidR="00156005" w:rsidRPr="00B75B77" w:rsidRDefault="00156005" w:rsidP="00722C85">
      <w:pPr>
        <w:keepNext/>
      </w:pPr>
    </w:p>
    <w:p w:rsidR="00156005" w:rsidRPr="00B75B77" w:rsidRDefault="00156005" w:rsidP="00722C85">
      <w:pPr>
        <w:pStyle w:val="Caption"/>
      </w:pPr>
      <w:bookmarkStart w:id="293" w:name="_Toc466413520"/>
      <w:r w:rsidRPr="00B75B77">
        <w:t xml:space="preserve">Table </w:t>
      </w:r>
      <w:fldSimple w:instr=" STYLEREF 1 \s ">
        <w:r w:rsidR="0004016D">
          <w:rPr>
            <w:noProof/>
          </w:rPr>
          <w:t>2</w:t>
        </w:r>
      </w:fldSimple>
      <w:r w:rsidR="00F1144C" w:rsidRPr="00B75B77">
        <w:noBreakHyphen/>
      </w:r>
      <w:fldSimple w:instr=" SEQ Table \* ARABIC \s 1 ">
        <w:r w:rsidR="0004016D">
          <w:rPr>
            <w:noProof/>
          </w:rPr>
          <w:t>15</w:t>
        </w:r>
      </w:fldSimple>
      <w:r w:rsidRPr="00B75B77">
        <w:t>: Summary of Smart Home Rebates Program Finances</w:t>
      </w:r>
      <w:bookmarkEnd w:id="293"/>
    </w:p>
    <w:tbl>
      <w:tblPr>
        <w:tblStyle w:val="MediumShading1-Accent5"/>
        <w:tblW w:w="9360" w:type="dxa"/>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0A0" w:firstRow="1" w:lastRow="0" w:firstColumn="1" w:lastColumn="0" w:noHBand="0" w:noVBand="0"/>
      </w:tblPr>
      <w:tblGrid>
        <w:gridCol w:w="1062"/>
        <w:gridCol w:w="6269"/>
        <w:gridCol w:w="1014"/>
        <w:gridCol w:w="1015"/>
      </w:tblGrid>
      <w:tr w:rsidR="00156005" w:rsidRPr="00B75B77" w:rsidTr="00D23AC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2" w:type="dxa"/>
            <w:vMerge w:val="restart"/>
            <w:tcBorders>
              <w:top w:val="single" w:sz="8" w:space="0" w:color="auto"/>
              <w:left w:val="single" w:sz="8" w:space="0" w:color="auto"/>
              <w:bottom w:val="single" w:sz="8" w:space="0" w:color="auto"/>
              <w:right w:val="single" w:sz="8" w:space="0" w:color="auto"/>
            </w:tcBorders>
            <w:shd w:val="clear" w:color="auto" w:fill="448A99"/>
            <w:vAlign w:val="center"/>
          </w:tcPr>
          <w:p w:rsidR="00156005" w:rsidRPr="00B75B77" w:rsidRDefault="00156005" w:rsidP="00722C85">
            <w:pPr>
              <w:jc w:val="center"/>
              <w:rPr>
                <w:rFonts w:ascii="Calibri" w:eastAsia="Times New Roman" w:hAnsi="Calibri"/>
                <w:bCs w:val="0"/>
                <w:sz w:val="18"/>
                <w:szCs w:val="18"/>
              </w:rPr>
            </w:pPr>
            <w:r w:rsidRPr="00B75B77">
              <w:rPr>
                <w:rFonts w:ascii="Calibri" w:eastAsia="Times New Roman" w:hAnsi="Calibri"/>
                <w:bCs w:val="0"/>
                <w:sz w:val="18"/>
                <w:szCs w:val="18"/>
              </w:rPr>
              <w:t>Row #</w:t>
            </w:r>
          </w:p>
        </w:tc>
        <w:tc>
          <w:tcPr>
            <w:cnfStyle w:val="000010000000" w:firstRow="0" w:lastRow="0" w:firstColumn="0" w:lastColumn="0" w:oddVBand="1" w:evenVBand="0" w:oddHBand="0" w:evenHBand="0" w:firstRowFirstColumn="0" w:firstRowLastColumn="0" w:lastRowFirstColumn="0" w:lastRowLastColumn="0"/>
            <w:tcW w:w="6269" w:type="dxa"/>
            <w:vMerge w:val="restart"/>
            <w:tcBorders>
              <w:top w:val="single" w:sz="8" w:space="0" w:color="auto"/>
              <w:left w:val="single" w:sz="8" w:space="0" w:color="auto"/>
              <w:bottom w:val="single" w:sz="8" w:space="0" w:color="auto"/>
              <w:right w:val="single" w:sz="8" w:space="0" w:color="auto"/>
            </w:tcBorders>
            <w:shd w:val="clear" w:color="auto" w:fill="448A99"/>
            <w:noWrap/>
            <w:vAlign w:val="center"/>
            <w:hideMark/>
          </w:tcPr>
          <w:p w:rsidR="00156005" w:rsidRPr="00B75B77" w:rsidRDefault="00156005" w:rsidP="00722C85">
            <w:pPr>
              <w:jc w:val="left"/>
              <w:rPr>
                <w:rFonts w:ascii="Calibri" w:eastAsia="Times New Roman" w:hAnsi="Calibri"/>
                <w:bCs w:val="0"/>
                <w:sz w:val="18"/>
                <w:szCs w:val="18"/>
              </w:rPr>
            </w:pPr>
            <w:r w:rsidRPr="00B75B77">
              <w:rPr>
                <w:rFonts w:ascii="Calibri" w:eastAsia="Times New Roman" w:hAnsi="Calibri"/>
                <w:bCs w:val="0"/>
                <w:sz w:val="18"/>
                <w:szCs w:val="18"/>
              </w:rPr>
              <w:t>Cost Category </w:t>
            </w:r>
          </w:p>
        </w:tc>
        <w:tc>
          <w:tcPr>
            <w:tcW w:w="1014" w:type="dxa"/>
            <w:tcBorders>
              <w:top w:val="single" w:sz="8" w:space="0" w:color="auto"/>
              <w:left w:val="single" w:sz="8" w:space="0" w:color="auto"/>
              <w:bottom w:val="single" w:sz="8" w:space="0" w:color="auto"/>
              <w:right w:val="single" w:sz="8" w:space="0" w:color="auto"/>
            </w:tcBorders>
            <w:shd w:val="clear" w:color="auto" w:fill="448A99"/>
            <w:vAlign w:val="center"/>
            <w:hideMark/>
          </w:tcPr>
          <w:p w:rsidR="00156005" w:rsidRPr="00B75B77" w:rsidRDefault="00156005" w:rsidP="005E445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Actual PYTD</w:t>
            </w:r>
          </w:p>
          <w:p w:rsidR="00156005" w:rsidRPr="00B75B77" w:rsidRDefault="00156005" w:rsidP="005E445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Costs</w:t>
            </w:r>
          </w:p>
        </w:tc>
        <w:tc>
          <w:tcPr>
            <w:cnfStyle w:val="000010000000" w:firstRow="0" w:lastRow="0" w:firstColumn="0" w:lastColumn="0" w:oddVBand="1" w:evenVBand="0" w:oddHBand="0" w:evenHBand="0" w:firstRowFirstColumn="0" w:firstRowLastColumn="0" w:lastRowFirstColumn="0" w:lastRowLastColumn="0"/>
            <w:tcW w:w="1015" w:type="dxa"/>
            <w:tcBorders>
              <w:top w:val="single" w:sz="8" w:space="0" w:color="auto"/>
              <w:left w:val="single" w:sz="8" w:space="0" w:color="auto"/>
              <w:bottom w:val="single" w:sz="8" w:space="0" w:color="auto"/>
              <w:right w:val="single" w:sz="8" w:space="0" w:color="auto"/>
            </w:tcBorders>
            <w:shd w:val="clear" w:color="auto" w:fill="448A99"/>
            <w:vAlign w:val="center"/>
            <w:hideMark/>
          </w:tcPr>
          <w:p w:rsidR="00156005" w:rsidRPr="00B75B77" w:rsidRDefault="00156005" w:rsidP="005E4455">
            <w:pPr>
              <w:jc w:val="center"/>
              <w:rPr>
                <w:rFonts w:ascii="Calibri" w:eastAsia="Times New Roman" w:hAnsi="Calibri"/>
                <w:bCs w:val="0"/>
                <w:sz w:val="18"/>
                <w:szCs w:val="18"/>
              </w:rPr>
            </w:pPr>
            <w:r w:rsidRPr="00B75B77">
              <w:rPr>
                <w:rFonts w:ascii="Calibri" w:eastAsia="Times New Roman" w:hAnsi="Calibri"/>
                <w:bCs w:val="0"/>
                <w:sz w:val="18"/>
                <w:szCs w:val="18"/>
              </w:rPr>
              <w:t>Actual Phase II</w:t>
            </w:r>
          </w:p>
          <w:p w:rsidR="00156005" w:rsidRPr="00B75B77" w:rsidRDefault="00156005" w:rsidP="005E4455">
            <w:pPr>
              <w:jc w:val="center"/>
              <w:rPr>
                <w:rFonts w:ascii="Calibri" w:eastAsia="Times New Roman" w:hAnsi="Calibri"/>
                <w:bCs w:val="0"/>
                <w:sz w:val="18"/>
                <w:szCs w:val="18"/>
              </w:rPr>
            </w:pPr>
            <w:r w:rsidRPr="00B75B77">
              <w:rPr>
                <w:rFonts w:ascii="Calibri" w:eastAsia="Times New Roman" w:hAnsi="Calibri"/>
                <w:bCs w:val="0"/>
                <w:sz w:val="18"/>
                <w:szCs w:val="18"/>
              </w:rPr>
              <w:t>Costs</w:t>
            </w:r>
          </w:p>
        </w:tc>
      </w:tr>
      <w:tr w:rsidR="00156005" w:rsidRPr="00B75B77" w:rsidTr="00D23AC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vMerge/>
            <w:tcBorders>
              <w:top w:val="single" w:sz="8" w:space="0" w:color="auto"/>
              <w:left w:val="single" w:sz="8" w:space="0" w:color="auto"/>
              <w:bottom w:val="single" w:sz="8" w:space="0" w:color="auto"/>
              <w:right w:val="single" w:sz="8" w:space="0" w:color="auto"/>
            </w:tcBorders>
            <w:shd w:val="clear" w:color="auto" w:fill="448A99"/>
            <w:vAlign w:val="center"/>
          </w:tcPr>
          <w:p w:rsidR="00156005" w:rsidRPr="00B75B77" w:rsidRDefault="00156005" w:rsidP="00722C85">
            <w:pPr>
              <w:jc w:val="center"/>
              <w:rPr>
                <w:rFonts w:ascii="Calibri" w:eastAsia="Times New Roman" w:hAnsi="Calibri"/>
                <w:bCs w:val="0"/>
                <w:color w:val="FFFFFF" w:themeColor="background1"/>
                <w:sz w:val="18"/>
                <w:szCs w:val="18"/>
              </w:rPr>
            </w:pPr>
          </w:p>
        </w:tc>
        <w:tc>
          <w:tcPr>
            <w:cnfStyle w:val="000010000000" w:firstRow="0" w:lastRow="0" w:firstColumn="0" w:lastColumn="0" w:oddVBand="1" w:evenVBand="0" w:oddHBand="0" w:evenHBand="0" w:firstRowFirstColumn="0" w:firstRowLastColumn="0" w:lastRowFirstColumn="0" w:lastRowLastColumn="0"/>
            <w:tcW w:w="6269" w:type="dxa"/>
            <w:vMerge/>
            <w:tcBorders>
              <w:top w:val="single" w:sz="8" w:space="0" w:color="auto"/>
              <w:left w:val="single" w:sz="8" w:space="0" w:color="auto"/>
              <w:bottom w:val="single" w:sz="8" w:space="0" w:color="auto"/>
              <w:right w:val="single" w:sz="8" w:space="0" w:color="auto"/>
            </w:tcBorders>
            <w:shd w:val="clear" w:color="auto" w:fill="448A99"/>
            <w:vAlign w:val="center"/>
            <w:hideMark/>
          </w:tcPr>
          <w:p w:rsidR="00156005" w:rsidRPr="00B75B77" w:rsidRDefault="00156005" w:rsidP="00722C85">
            <w:pPr>
              <w:jc w:val="left"/>
              <w:rPr>
                <w:rFonts w:ascii="Calibri" w:eastAsia="Times New Roman" w:hAnsi="Calibri"/>
                <w:b/>
                <w:bCs/>
                <w:color w:val="FFFFFF" w:themeColor="background1"/>
                <w:sz w:val="18"/>
                <w:szCs w:val="18"/>
              </w:rPr>
            </w:pPr>
          </w:p>
        </w:tc>
        <w:tc>
          <w:tcPr>
            <w:tcW w:w="1014" w:type="dxa"/>
            <w:tcBorders>
              <w:top w:val="single" w:sz="8" w:space="0" w:color="auto"/>
              <w:left w:val="single" w:sz="8" w:space="0" w:color="auto"/>
              <w:bottom w:val="single" w:sz="8" w:space="0" w:color="auto"/>
              <w:right w:val="single" w:sz="8" w:space="0" w:color="auto"/>
            </w:tcBorders>
            <w:shd w:val="clear" w:color="auto" w:fill="448A99"/>
            <w:vAlign w:val="center"/>
            <w:hideMark/>
          </w:tcPr>
          <w:p w:rsidR="00156005" w:rsidRPr="00B75B77" w:rsidRDefault="00156005" w:rsidP="00D23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FFFFFF" w:themeColor="background1"/>
                <w:sz w:val="18"/>
                <w:szCs w:val="18"/>
              </w:rPr>
            </w:pPr>
            <w:r w:rsidRPr="00B75B77">
              <w:rPr>
                <w:rFonts w:ascii="Calibri" w:eastAsia="Times New Roman" w:hAnsi="Calibri"/>
                <w:b/>
                <w:bCs/>
                <w:color w:val="FFFFFF" w:themeColor="background1"/>
                <w:sz w:val="18"/>
                <w:szCs w:val="18"/>
              </w:rPr>
              <w:t>($1,000)</w:t>
            </w:r>
          </w:p>
        </w:tc>
        <w:tc>
          <w:tcPr>
            <w:cnfStyle w:val="000010000000" w:firstRow="0" w:lastRow="0" w:firstColumn="0" w:lastColumn="0" w:oddVBand="1" w:evenVBand="0" w:oddHBand="0" w:evenHBand="0" w:firstRowFirstColumn="0" w:firstRowLastColumn="0" w:lastRowFirstColumn="0" w:lastRowLastColumn="0"/>
            <w:tcW w:w="1015" w:type="dxa"/>
            <w:tcBorders>
              <w:top w:val="single" w:sz="8" w:space="0" w:color="auto"/>
              <w:left w:val="single" w:sz="8" w:space="0" w:color="auto"/>
              <w:bottom w:val="single" w:sz="8" w:space="0" w:color="auto"/>
              <w:right w:val="single" w:sz="8" w:space="0" w:color="auto"/>
            </w:tcBorders>
            <w:shd w:val="clear" w:color="auto" w:fill="448A99"/>
            <w:vAlign w:val="center"/>
            <w:hideMark/>
          </w:tcPr>
          <w:p w:rsidR="00156005" w:rsidRPr="00B75B77" w:rsidRDefault="00156005" w:rsidP="00D23ACD">
            <w:pPr>
              <w:jc w:val="right"/>
              <w:rPr>
                <w:rFonts w:ascii="Calibri" w:eastAsia="Times New Roman" w:hAnsi="Calibri"/>
                <w:b/>
                <w:bCs/>
                <w:color w:val="FFFFFF" w:themeColor="background1"/>
                <w:sz w:val="18"/>
                <w:szCs w:val="18"/>
              </w:rPr>
            </w:pPr>
            <w:r w:rsidRPr="00B75B77">
              <w:rPr>
                <w:rFonts w:ascii="Calibri" w:eastAsia="Times New Roman" w:hAnsi="Calibri"/>
                <w:b/>
                <w:bCs/>
                <w:color w:val="FFFFFF" w:themeColor="background1"/>
                <w:sz w:val="18"/>
                <w:szCs w:val="18"/>
              </w:rPr>
              <w:t>($1,000)</w:t>
            </w:r>
          </w:p>
        </w:tc>
      </w:tr>
      <w:tr w:rsidR="00156005" w:rsidRPr="00B75B77" w:rsidTr="00D23AC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top w:val="single" w:sz="8" w:space="0" w:color="auto"/>
              <w:right w:val="none" w:sz="0" w:space="0" w:color="auto"/>
            </w:tcBorders>
            <w:shd w:val="clear" w:color="auto" w:fill="auto"/>
            <w:vAlign w:val="center"/>
          </w:tcPr>
          <w:p w:rsidR="00156005" w:rsidRPr="00B75B77" w:rsidRDefault="00156005" w:rsidP="00722C85">
            <w:pPr>
              <w:jc w:val="center"/>
              <w:rPr>
                <w:rFonts w:eastAsia="Times New Roman"/>
                <w:color w:val="000000"/>
                <w:sz w:val="18"/>
                <w:szCs w:val="18"/>
              </w:rPr>
            </w:pPr>
            <w:r w:rsidRPr="00B75B77">
              <w:rPr>
                <w:rFonts w:eastAsia="Times New Roman"/>
                <w:color w:val="000000"/>
                <w:sz w:val="18"/>
                <w:szCs w:val="18"/>
              </w:rPr>
              <w:t>1</w:t>
            </w:r>
          </w:p>
        </w:tc>
        <w:tc>
          <w:tcPr>
            <w:cnfStyle w:val="000010000000" w:firstRow="0" w:lastRow="0" w:firstColumn="0" w:lastColumn="0" w:oddVBand="1" w:evenVBand="0" w:oddHBand="0" w:evenHBand="0" w:firstRowFirstColumn="0" w:firstRowLastColumn="0" w:lastRowFirstColumn="0" w:lastRowLastColumn="0"/>
            <w:tcW w:w="6269" w:type="dxa"/>
            <w:tcBorders>
              <w:top w:val="single" w:sz="8" w:space="0" w:color="auto"/>
              <w:left w:val="none" w:sz="0" w:space="0" w:color="auto"/>
              <w:right w:val="none" w:sz="0" w:space="0" w:color="auto"/>
            </w:tcBorders>
            <w:shd w:val="clear" w:color="auto" w:fill="auto"/>
            <w:noWrap/>
            <w:vAlign w:val="center"/>
          </w:tcPr>
          <w:p w:rsidR="00156005" w:rsidRPr="00B75B77" w:rsidRDefault="00156005" w:rsidP="00722C85">
            <w:pPr>
              <w:jc w:val="left"/>
              <w:rPr>
                <w:rFonts w:eastAsia="Times New Roman"/>
                <w:color w:val="000000"/>
                <w:sz w:val="18"/>
                <w:szCs w:val="18"/>
              </w:rPr>
            </w:pPr>
            <w:r w:rsidRPr="00B75B77">
              <w:rPr>
                <w:rFonts w:eastAsia="Times New Roman"/>
                <w:color w:val="000000"/>
                <w:sz w:val="18"/>
                <w:szCs w:val="18"/>
              </w:rPr>
              <w:t>Incremental Measure Costs (Sum of Rows 2 through 4)</w:t>
            </w:r>
          </w:p>
        </w:tc>
        <w:tc>
          <w:tcPr>
            <w:tcW w:w="1014" w:type="dxa"/>
            <w:tcBorders>
              <w:top w:val="single" w:sz="8" w:space="0" w:color="auto"/>
              <w:left w:val="none" w:sz="0" w:space="0" w:color="auto"/>
              <w:right w:val="none" w:sz="0" w:space="0" w:color="auto"/>
            </w:tcBorders>
            <w:shd w:val="clear" w:color="auto" w:fill="auto"/>
            <w:noWrap/>
            <w:vAlign w:val="center"/>
          </w:tcPr>
          <w:p w:rsidR="00156005" w:rsidRPr="00B75B77" w:rsidRDefault="00156005" w:rsidP="00D23ACD">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B75B77">
              <w:rPr>
                <w:sz w:val="18"/>
                <w:szCs w:val="18"/>
              </w:rPr>
              <w:t>70,112</w:t>
            </w:r>
          </w:p>
        </w:tc>
        <w:tc>
          <w:tcPr>
            <w:cnfStyle w:val="000010000000" w:firstRow="0" w:lastRow="0" w:firstColumn="0" w:lastColumn="0" w:oddVBand="1" w:evenVBand="0" w:oddHBand="0" w:evenHBand="0" w:firstRowFirstColumn="0" w:firstRowLastColumn="0" w:lastRowFirstColumn="0" w:lastRowLastColumn="0"/>
            <w:tcW w:w="1015" w:type="dxa"/>
            <w:tcBorders>
              <w:top w:val="single" w:sz="8" w:space="0" w:color="auto"/>
              <w:left w:val="none" w:sz="0" w:space="0" w:color="auto"/>
            </w:tcBorders>
            <w:shd w:val="clear" w:color="auto" w:fill="auto"/>
            <w:vAlign w:val="center"/>
          </w:tcPr>
          <w:p w:rsidR="00156005" w:rsidRPr="00B75B77" w:rsidRDefault="00156005" w:rsidP="00D23ACD">
            <w:pPr>
              <w:jc w:val="right"/>
              <w:rPr>
                <w:rFonts w:eastAsia="Times New Roman"/>
                <w:color w:val="000000"/>
                <w:sz w:val="18"/>
                <w:szCs w:val="18"/>
              </w:rPr>
            </w:pPr>
            <w:r w:rsidRPr="00B75B77">
              <w:rPr>
                <w:sz w:val="18"/>
                <w:szCs w:val="18"/>
              </w:rPr>
              <w:t>150,864</w:t>
            </w:r>
          </w:p>
        </w:tc>
      </w:tr>
      <w:tr w:rsidR="00156005" w:rsidRPr="00B75B77" w:rsidTr="00D23AC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vAlign w:val="center"/>
          </w:tcPr>
          <w:p w:rsidR="00156005" w:rsidRPr="00B75B77" w:rsidRDefault="00156005" w:rsidP="00722C85">
            <w:pPr>
              <w:jc w:val="center"/>
              <w:rPr>
                <w:rFonts w:eastAsia="Times New Roman"/>
                <w:color w:val="000000"/>
                <w:sz w:val="18"/>
                <w:szCs w:val="18"/>
              </w:rPr>
            </w:pPr>
            <w:r w:rsidRPr="00B75B77">
              <w:rPr>
                <w:rFonts w:eastAsia="Times New Roman"/>
                <w:color w:val="000000"/>
                <w:sz w:val="18"/>
                <w:szCs w:val="18"/>
              </w:rPr>
              <w:t>2</w:t>
            </w:r>
          </w:p>
        </w:tc>
        <w:tc>
          <w:tcPr>
            <w:cnfStyle w:val="000010000000" w:firstRow="0" w:lastRow="0" w:firstColumn="0" w:lastColumn="0" w:oddVBand="1" w:evenVBand="0" w:oddHBand="0" w:evenHBand="0" w:firstRowFirstColumn="0" w:firstRowLastColumn="0" w:lastRowFirstColumn="0" w:lastRowLastColumn="0"/>
            <w:tcW w:w="6269" w:type="dxa"/>
            <w:tcBorders>
              <w:left w:val="none" w:sz="0" w:space="0" w:color="auto"/>
              <w:right w:val="none" w:sz="0" w:space="0" w:color="auto"/>
            </w:tcBorders>
            <w:noWrap/>
            <w:vAlign w:val="center"/>
            <w:hideMark/>
          </w:tcPr>
          <w:p w:rsidR="00156005" w:rsidRPr="00B75B77" w:rsidRDefault="00156005" w:rsidP="00722C85">
            <w:pPr>
              <w:jc w:val="left"/>
              <w:rPr>
                <w:rFonts w:eastAsia="Times New Roman"/>
                <w:color w:val="000000"/>
                <w:sz w:val="18"/>
                <w:szCs w:val="18"/>
              </w:rPr>
            </w:pPr>
            <w:r w:rsidRPr="00B75B77">
              <w:rPr>
                <w:rFonts w:eastAsia="Times New Roman"/>
                <w:color w:val="000000"/>
                <w:sz w:val="18"/>
                <w:szCs w:val="18"/>
              </w:rPr>
              <w:t>EDC Incentives to Participants</w:t>
            </w:r>
          </w:p>
        </w:tc>
        <w:tc>
          <w:tcPr>
            <w:tcW w:w="1014" w:type="dxa"/>
            <w:tcBorders>
              <w:left w:val="none" w:sz="0" w:space="0" w:color="auto"/>
              <w:right w:val="none" w:sz="0" w:space="0" w:color="auto"/>
            </w:tcBorders>
            <w:noWrap/>
            <w:vAlign w:val="center"/>
          </w:tcPr>
          <w:p w:rsidR="00156005" w:rsidRPr="00B75B77" w:rsidRDefault="00156005" w:rsidP="00D23ACD">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75B77">
              <w:rPr>
                <w:sz w:val="18"/>
                <w:szCs w:val="18"/>
              </w:rPr>
              <w:t>18,604</w:t>
            </w:r>
          </w:p>
        </w:tc>
        <w:tc>
          <w:tcPr>
            <w:cnfStyle w:val="000010000000" w:firstRow="0" w:lastRow="0" w:firstColumn="0" w:lastColumn="0" w:oddVBand="1" w:evenVBand="0" w:oddHBand="0" w:evenHBand="0" w:firstRowFirstColumn="0" w:firstRowLastColumn="0" w:lastRowFirstColumn="0" w:lastRowLastColumn="0"/>
            <w:tcW w:w="1015" w:type="dxa"/>
            <w:tcBorders>
              <w:left w:val="none" w:sz="0" w:space="0" w:color="auto"/>
            </w:tcBorders>
            <w:vAlign w:val="center"/>
          </w:tcPr>
          <w:p w:rsidR="00156005" w:rsidRPr="00B75B77" w:rsidRDefault="00156005" w:rsidP="00D23ACD">
            <w:pPr>
              <w:jc w:val="right"/>
              <w:rPr>
                <w:rFonts w:eastAsia="Times New Roman"/>
                <w:color w:val="000000"/>
                <w:sz w:val="18"/>
                <w:szCs w:val="18"/>
              </w:rPr>
            </w:pPr>
            <w:r w:rsidRPr="00B75B77">
              <w:rPr>
                <w:sz w:val="18"/>
                <w:szCs w:val="18"/>
              </w:rPr>
              <w:t>39,227</w:t>
            </w:r>
          </w:p>
        </w:tc>
      </w:tr>
      <w:tr w:rsidR="00156005" w:rsidRPr="00B75B77" w:rsidTr="00D23AC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auto"/>
            <w:vAlign w:val="center"/>
          </w:tcPr>
          <w:p w:rsidR="00156005" w:rsidRPr="00B75B77" w:rsidRDefault="00156005" w:rsidP="00722C85">
            <w:pPr>
              <w:jc w:val="center"/>
              <w:rPr>
                <w:rFonts w:eastAsia="Times New Roman"/>
                <w:color w:val="000000"/>
                <w:sz w:val="18"/>
                <w:szCs w:val="18"/>
              </w:rPr>
            </w:pPr>
            <w:r w:rsidRPr="00B75B77">
              <w:rPr>
                <w:rFonts w:eastAsia="Times New Roman"/>
                <w:color w:val="000000"/>
                <w:sz w:val="18"/>
                <w:szCs w:val="18"/>
              </w:rPr>
              <w:t>3</w:t>
            </w:r>
          </w:p>
        </w:tc>
        <w:tc>
          <w:tcPr>
            <w:cnfStyle w:val="000010000000" w:firstRow="0" w:lastRow="0" w:firstColumn="0" w:lastColumn="0" w:oddVBand="1" w:evenVBand="0" w:oddHBand="0" w:evenHBand="0" w:firstRowFirstColumn="0" w:firstRowLastColumn="0" w:lastRowFirstColumn="0" w:lastRowLastColumn="0"/>
            <w:tcW w:w="6269" w:type="dxa"/>
            <w:tcBorders>
              <w:left w:val="none" w:sz="0" w:space="0" w:color="auto"/>
              <w:right w:val="none" w:sz="0" w:space="0" w:color="auto"/>
            </w:tcBorders>
            <w:shd w:val="clear" w:color="auto" w:fill="auto"/>
            <w:noWrap/>
            <w:vAlign w:val="center"/>
            <w:hideMark/>
          </w:tcPr>
          <w:p w:rsidR="00156005" w:rsidRPr="00B75B77" w:rsidRDefault="00156005" w:rsidP="00722C85">
            <w:pPr>
              <w:jc w:val="left"/>
              <w:rPr>
                <w:rFonts w:eastAsia="Times New Roman"/>
                <w:color w:val="000000"/>
                <w:sz w:val="18"/>
                <w:szCs w:val="18"/>
              </w:rPr>
            </w:pPr>
            <w:r w:rsidRPr="00B75B77">
              <w:rPr>
                <w:rFonts w:eastAsia="Times New Roman"/>
                <w:color w:val="000000"/>
                <w:sz w:val="18"/>
                <w:szCs w:val="18"/>
              </w:rPr>
              <w:t>EDC Incentives to Trade Allies</w:t>
            </w:r>
          </w:p>
        </w:tc>
        <w:tc>
          <w:tcPr>
            <w:tcW w:w="1014" w:type="dxa"/>
            <w:tcBorders>
              <w:left w:val="none" w:sz="0" w:space="0" w:color="auto"/>
              <w:right w:val="none" w:sz="0" w:space="0" w:color="auto"/>
            </w:tcBorders>
            <w:shd w:val="clear" w:color="auto" w:fill="auto"/>
            <w:noWrap/>
            <w:vAlign w:val="center"/>
          </w:tcPr>
          <w:p w:rsidR="00156005" w:rsidRPr="00B75B77" w:rsidRDefault="00156005" w:rsidP="00D23ACD">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B75B77">
              <w:rPr>
                <w:sz w:val="18"/>
                <w:szCs w:val="18"/>
              </w:rPr>
              <w:t>0</w:t>
            </w:r>
          </w:p>
        </w:tc>
        <w:tc>
          <w:tcPr>
            <w:cnfStyle w:val="000010000000" w:firstRow="0" w:lastRow="0" w:firstColumn="0" w:lastColumn="0" w:oddVBand="1" w:evenVBand="0" w:oddHBand="0" w:evenHBand="0" w:firstRowFirstColumn="0" w:firstRowLastColumn="0" w:lastRowFirstColumn="0" w:lastRowLastColumn="0"/>
            <w:tcW w:w="1015" w:type="dxa"/>
            <w:tcBorders>
              <w:left w:val="none" w:sz="0" w:space="0" w:color="auto"/>
            </w:tcBorders>
            <w:shd w:val="clear" w:color="auto" w:fill="auto"/>
            <w:vAlign w:val="center"/>
          </w:tcPr>
          <w:p w:rsidR="00156005" w:rsidRPr="00B75B77" w:rsidRDefault="00156005" w:rsidP="00D23ACD">
            <w:pPr>
              <w:jc w:val="right"/>
              <w:rPr>
                <w:rFonts w:eastAsia="Times New Roman"/>
                <w:color w:val="000000"/>
                <w:sz w:val="18"/>
                <w:szCs w:val="18"/>
              </w:rPr>
            </w:pPr>
            <w:r w:rsidRPr="00B75B77">
              <w:rPr>
                <w:sz w:val="18"/>
                <w:szCs w:val="18"/>
              </w:rPr>
              <w:t>0</w:t>
            </w:r>
          </w:p>
        </w:tc>
      </w:tr>
      <w:tr w:rsidR="00156005" w:rsidRPr="00B75B77" w:rsidTr="00D23AC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vAlign w:val="center"/>
          </w:tcPr>
          <w:p w:rsidR="00156005" w:rsidRPr="00B75B77" w:rsidDel="00B4154B" w:rsidRDefault="00156005" w:rsidP="00722C85">
            <w:pPr>
              <w:jc w:val="center"/>
              <w:rPr>
                <w:rFonts w:eastAsia="Times New Roman"/>
                <w:bCs w:val="0"/>
                <w:color w:val="000000"/>
                <w:sz w:val="18"/>
                <w:szCs w:val="18"/>
              </w:rPr>
            </w:pPr>
            <w:r w:rsidRPr="00B75B77">
              <w:rPr>
                <w:rFonts w:eastAsia="Times New Roman"/>
                <w:bCs w:val="0"/>
                <w:color w:val="000000"/>
                <w:sz w:val="18"/>
                <w:szCs w:val="18"/>
              </w:rPr>
              <w:t>4</w:t>
            </w:r>
          </w:p>
        </w:tc>
        <w:tc>
          <w:tcPr>
            <w:cnfStyle w:val="000010000000" w:firstRow="0" w:lastRow="0" w:firstColumn="0" w:lastColumn="0" w:oddVBand="1" w:evenVBand="0" w:oddHBand="0" w:evenHBand="0" w:firstRowFirstColumn="0" w:firstRowLastColumn="0" w:lastRowFirstColumn="0" w:lastRowLastColumn="0"/>
            <w:tcW w:w="6269" w:type="dxa"/>
            <w:tcBorders>
              <w:left w:val="none" w:sz="0" w:space="0" w:color="auto"/>
              <w:right w:val="none" w:sz="0" w:space="0" w:color="auto"/>
            </w:tcBorders>
            <w:noWrap/>
            <w:vAlign w:val="center"/>
            <w:hideMark/>
          </w:tcPr>
          <w:p w:rsidR="00156005" w:rsidRPr="00B75B77" w:rsidRDefault="00156005" w:rsidP="00722C85">
            <w:pPr>
              <w:jc w:val="left"/>
              <w:rPr>
                <w:rFonts w:eastAsia="Times New Roman"/>
                <w:bCs/>
                <w:color w:val="000000"/>
                <w:sz w:val="18"/>
                <w:szCs w:val="18"/>
              </w:rPr>
            </w:pPr>
            <w:r w:rsidRPr="00B75B77">
              <w:rPr>
                <w:rFonts w:eastAsia="Times New Roman"/>
                <w:bCs/>
                <w:color w:val="000000"/>
                <w:sz w:val="18"/>
                <w:szCs w:val="18"/>
              </w:rPr>
              <w:t>Participant Costs (Net of Incentives/Rebates Paid by Utilities)</w:t>
            </w:r>
          </w:p>
        </w:tc>
        <w:tc>
          <w:tcPr>
            <w:tcW w:w="1014" w:type="dxa"/>
            <w:tcBorders>
              <w:left w:val="none" w:sz="0" w:space="0" w:color="auto"/>
              <w:right w:val="none" w:sz="0" w:space="0" w:color="auto"/>
            </w:tcBorders>
            <w:vAlign w:val="center"/>
          </w:tcPr>
          <w:p w:rsidR="00156005" w:rsidRPr="00B75B77" w:rsidRDefault="00156005" w:rsidP="00D23ACD">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75B77">
              <w:rPr>
                <w:sz w:val="18"/>
                <w:szCs w:val="18"/>
              </w:rPr>
              <w:t>51,509</w:t>
            </w:r>
          </w:p>
        </w:tc>
        <w:tc>
          <w:tcPr>
            <w:cnfStyle w:val="000010000000" w:firstRow="0" w:lastRow="0" w:firstColumn="0" w:lastColumn="0" w:oddVBand="1" w:evenVBand="0" w:oddHBand="0" w:evenHBand="0" w:firstRowFirstColumn="0" w:firstRowLastColumn="0" w:lastRowFirstColumn="0" w:lastRowLastColumn="0"/>
            <w:tcW w:w="1015" w:type="dxa"/>
            <w:tcBorders>
              <w:left w:val="none" w:sz="0" w:space="0" w:color="auto"/>
            </w:tcBorders>
            <w:vAlign w:val="center"/>
          </w:tcPr>
          <w:p w:rsidR="00156005" w:rsidRPr="00B75B77" w:rsidRDefault="00156005" w:rsidP="00D23ACD">
            <w:pPr>
              <w:jc w:val="right"/>
              <w:rPr>
                <w:rFonts w:eastAsia="Times New Roman"/>
                <w:color w:val="000000"/>
                <w:sz w:val="18"/>
                <w:szCs w:val="18"/>
              </w:rPr>
            </w:pPr>
            <w:r w:rsidRPr="00B75B77">
              <w:rPr>
                <w:sz w:val="18"/>
                <w:szCs w:val="18"/>
              </w:rPr>
              <w:t>111,638</w:t>
            </w:r>
          </w:p>
        </w:tc>
      </w:tr>
      <w:tr w:rsidR="00156005" w:rsidRPr="00B75B77" w:rsidTr="00C15945">
        <w:trPr>
          <w:cnfStyle w:val="000000010000" w:firstRow="0" w:lastRow="0" w:firstColumn="0" w:lastColumn="0" w:oddVBand="0" w:evenVBand="0" w:oddHBand="0" w:evenHBand="1"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9360" w:type="dxa"/>
            <w:gridSpan w:val="4"/>
            <w:shd w:val="clear" w:color="auto" w:fill="AEAAAA"/>
            <w:vAlign w:val="center"/>
          </w:tcPr>
          <w:p w:rsidR="00156005" w:rsidRPr="00B75B77" w:rsidRDefault="00156005" w:rsidP="00D23ACD">
            <w:pPr>
              <w:jc w:val="right"/>
              <w:rPr>
                <w:rFonts w:eastAsia="Times New Roman"/>
                <w:color w:val="000000"/>
                <w:sz w:val="18"/>
                <w:szCs w:val="18"/>
              </w:rPr>
            </w:pPr>
          </w:p>
        </w:tc>
      </w:tr>
      <w:tr w:rsidR="00156005" w:rsidRPr="00B75B77" w:rsidTr="00D23AC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auto"/>
            <w:vAlign w:val="center"/>
          </w:tcPr>
          <w:p w:rsidR="00156005" w:rsidRPr="00B75B77" w:rsidRDefault="00156005" w:rsidP="00722C85">
            <w:pPr>
              <w:jc w:val="center"/>
              <w:rPr>
                <w:rFonts w:eastAsia="Times New Roman"/>
                <w:color w:val="000000"/>
                <w:sz w:val="18"/>
                <w:szCs w:val="18"/>
              </w:rPr>
            </w:pPr>
            <w:r w:rsidRPr="00B75B77">
              <w:rPr>
                <w:rFonts w:eastAsia="Times New Roman"/>
                <w:color w:val="000000"/>
                <w:sz w:val="18"/>
                <w:szCs w:val="18"/>
              </w:rPr>
              <w:t>5</w:t>
            </w:r>
          </w:p>
        </w:tc>
        <w:tc>
          <w:tcPr>
            <w:cnfStyle w:val="000010000000" w:firstRow="0" w:lastRow="0" w:firstColumn="0" w:lastColumn="0" w:oddVBand="1" w:evenVBand="0" w:oddHBand="0" w:evenHBand="0" w:firstRowFirstColumn="0" w:firstRowLastColumn="0" w:lastRowFirstColumn="0" w:lastRowLastColumn="0"/>
            <w:tcW w:w="6269" w:type="dxa"/>
            <w:tcBorders>
              <w:left w:val="none" w:sz="0" w:space="0" w:color="auto"/>
              <w:right w:val="none" w:sz="0" w:space="0" w:color="auto"/>
            </w:tcBorders>
            <w:shd w:val="clear" w:color="auto" w:fill="auto"/>
            <w:noWrap/>
            <w:vAlign w:val="center"/>
          </w:tcPr>
          <w:p w:rsidR="00156005" w:rsidRPr="00B75B77" w:rsidRDefault="00156005" w:rsidP="00722C85">
            <w:pPr>
              <w:jc w:val="left"/>
              <w:rPr>
                <w:rFonts w:eastAsia="Times New Roman"/>
                <w:color w:val="000000"/>
                <w:sz w:val="18"/>
                <w:szCs w:val="18"/>
              </w:rPr>
            </w:pPr>
            <w:r w:rsidRPr="00B75B77">
              <w:rPr>
                <w:rFonts w:eastAsia="Times New Roman"/>
                <w:color w:val="000000"/>
                <w:sz w:val="18"/>
                <w:szCs w:val="18"/>
              </w:rPr>
              <w:t>Program Overhead Costs (Sum of Rows 6 through 10 )</w:t>
            </w:r>
          </w:p>
        </w:tc>
        <w:tc>
          <w:tcPr>
            <w:tcW w:w="1014" w:type="dxa"/>
            <w:tcBorders>
              <w:left w:val="none" w:sz="0" w:space="0" w:color="auto"/>
              <w:right w:val="none" w:sz="0" w:space="0" w:color="auto"/>
            </w:tcBorders>
            <w:shd w:val="clear" w:color="auto" w:fill="auto"/>
            <w:noWrap/>
            <w:vAlign w:val="center"/>
          </w:tcPr>
          <w:p w:rsidR="00156005" w:rsidRPr="00B75B77" w:rsidRDefault="00156005" w:rsidP="00D23ACD">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75B77">
              <w:rPr>
                <w:sz w:val="18"/>
                <w:szCs w:val="18"/>
              </w:rPr>
              <w:t>3,957</w:t>
            </w:r>
          </w:p>
        </w:tc>
        <w:tc>
          <w:tcPr>
            <w:cnfStyle w:val="000010000000" w:firstRow="0" w:lastRow="0" w:firstColumn="0" w:lastColumn="0" w:oddVBand="1" w:evenVBand="0" w:oddHBand="0" w:evenHBand="0" w:firstRowFirstColumn="0" w:firstRowLastColumn="0" w:lastRowFirstColumn="0" w:lastRowLastColumn="0"/>
            <w:tcW w:w="1015" w:type="dxa"/>
            <w:tcBorders>
              <w:left w:val="none" w:sz="0" w:space="0" w:color="auto"/>
            </w:tcBorders>
            <w:shd w:val="clear" w:color="auto" w:fill="auto"/>
            <w:vAlign w:val="center"/>
          </w:tcPr>
          <w:p w:rsidR="00156005" w:rsidRPr="00B75B77" w:rsidRDefault="00156005" w:rsidP="00D23ACD">
            <w:pPr>
              <w:jc w:val="right"/>
              <w:rPr>
                <w:rFonts w:eastAsia="Times New Roman"/>
                <w:color w:val="000000"/>
                <w:sz w:val="18"/>
                <w:szCs w:val="18"/>
              </w:rPr>
            </w:pPr>
            <w:r w:rsidRPr="00B75B77">
              <w:rPr>
                <w:sz w:val="18"/>
                <w:szCs w:val="18"/>
              </w:rPr>
              <w:t>11,262</w:t>
            </w:r>
          </w:p>
        </w:tc>
      </w:tr>
      <w:tr w:rsidR="00156005" w:rsidRPr="00B75B77" w:rsidTr="00D23AC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D2EAF1"/>
            <w:vAlign w:val="center"/>
          </w:tcPr>
          <w:p w:rsidR="00156005" w:rsidRPr="00B75B77" w:rsidRDefault="00156005" w:rsidP="00722C85">
            <w:pPr>
              <w:jc w:val="center"/>
              <w:rPr>
                <w:rFonts w:eastAsia="Times New Roman"/>
                <w:color w:val="000000"/>
                <w:sz w:val="18"/>
                <w:szCs w:val="18"/>
              </w:rPr>
            </w:pPr>
            <w:r w:rsidRPr="00B75B77">
              <w:rPr>
                <w:rFonts w:eastAsia="Times New Roman"/>
                <w:color w:val="000000"/>
                <w:sz w:val="18"/>
                <w:szCs w:val="18"/>
              </w:rPr>
              <w:t>6</w:t>
            </w:r>
          </w:p>
        </w:tc>
        <w:tc>
          <w:tcPr>
            <w:cnfStyle w:val="000010000000" w:firstRow="0" w:lastRow="0" w:firstColumn="0" w:lastColumn="0" w:oddVBand="1" w:evenVBand="0" w:oddHBand="0" w:evenHBand="0" w:firstRowFirstColumn="0" w:firstRowLastColumn="0" w:lastRowFirstColumn="0" w:lastRowLastColumn="0"/>
            <w:tcW w:w="6269" w:type="dxa"/>
            <w:tcBorders>
              <w:left w:val="none" w:sz="0" w:space="0" w:color="auto"/>
              <w:right w:val="none" w:sz="0" w:space="0" w:color="auto"/>
            </w:tcBorders>
            <w:shd w:val="clear" w:color="auto" w:fill="D2EAF1"/>
            <w:noWrap/>
            <w:vAlign w:val="center"/>
            <w:hideMark/>
          </w:tcPr>
          <w:p w:rsidR="00156005" w:rsidRPr="00B75B77" w:rsidRDefault="00156005" w:rsidP="00722C85">
            <w:pPr>
              <w:jc w:val="left"/>
              <w:rPr>
                <w:rFonts w:eastAsia="Times New Roman"/>
                <w:color w:val="000000"/>
                <w:sz w:val="18"/>
                <w:szCs w:val="18"/>
              </w:rPr>
            </w:pPr>
            <w:r w:rsidRPr="00B75B77">
              <w:rPr>
                <w:rFonts w:eastAsia="Times New Roman"/>
                <w:color w:val="000000"/>
                <w:sz w:val="18"/>
                <w:szCs w:val="18"/>
              </w:rPr>
              <w:t xml:space="preserve">Design </w:t>
            </w:r>
            <w:r w:rsidR="00472AA0" w:rsidRPr="00B75B77">
              <w:rPr>
                <w:rFonts w:eastAsia="Times New Roman"/>
                <w:color w:val="000000"/>
                <w:sz w:val="18"/>
                <w:szCs w:val="18"/>
              </w:rPr>
              <w:t>and</w:t>
            </w:r>
            <w:r w:rsidRPr="00B75B77">
              <w:rPr>
                <w:rFonts w:eastAsia="Times New Roman"/>
                <w:color w:val="000000"/>
                <w:sz w:val="18"/>
                <w:szCs w:val="18"/>
              </w:rPr>
              <w:t xml:space="preserve"> Development</w:t>
            </w:r>
          </w:p>
        </w:tc>
        <w:tc>
          <w:tcPr>
            <w:tcW w:w="1014" w:type="dxa"/>
            <w:tcBorders>
              <w:left w:val="none" w:sz="0" w:space="0" w:color="auto"/>
              <w:right w:val="none" w:sz="0" w:space="0" w:color="auto"/>
            </w:tcBorders>
            <w:shd w:val="clear" w:color="auto" w:fill="D2EAF1"/>
            <w:noWrap/>
            <w:vAlign w:val="center"/>
          </w:tcPr>
          <w:p w:rsidR="00156005" w:rsidRPr="00B75B77" w:rsidRDefault="00156005" w:rsidP="00D23ACD">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B75B77">
              <w:rPr>
                <w:sz w:val="18"/>
                <w:szCs w:val="18"/>
              </w:rPr>
              <w:t>0</w:t>
            </w:r>
          </w:p>
        </w:tc>
        <w:tc>
          <w:tcPr>
            <w:cnfStyle w:val="000010000000" w:firstRow="0" w:lastRow="0" w:firstColumn="0" w:lastColumn="0" w:oddVBand="1" w:evenVBand="0" w:oddHBand="0" w:evenHBand="0" w:firstRowFirstColumn="0" w:firstRowLastColumn="0" w:lastRowFirstColumn="0" w:lastRowLastColumn="0"/>
            <w:tcW w:w="1015" w:type="dxa"/>
            <w:tcBorders>
              <w:left w:val="none" w:sz="0" w:space="0" w:color="auto"/>
            </w:tcBorders>
            <w:shd w:val="clear" w:color="auto" w:fill="D2EAF1"/>
            <w:vAlign w:val="center"/>
          </w:tcPr>
          <w:p w:rsidR="00156005" w:rsidRPr="00B75B77" w:rsidRDefault="00156005" w:rsidP="00D23ACD">
            <w:pPr>
              <w:jc w:val="right"/>
              <w:rPr>
                <w:rFonts w:eastAsia="Times New Roman"/>
                <w:color w:val="000000"/>
                <w:sz w:val="18"/>
                <w:szCs w:val="18"/>
              </w:rPr>
            </w:pPr>
            <w:r w:rsidRPr="00B75B77">
              <w:rPr>
                <w:sz w:val="18"/>
                <w:szCs w:val="18"/>
              </w:rPr>
              <w:t>0</w:t>
            </w:r>
          </w:p>
        </w:tc>
      </w:tr>
      <w:tr w:rsidR="00156005" w:rsidRPr="00B75B77" w:rsidTr="00D23A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auto"/>
            <w:vAlign w:val="center"/>
          </w:tcPr>
          <w:p w:rsidR="00156005" w:rsidRPr="00B75B77" w:rsidRDefault="00156005" w:rsidP="00722C85">
            <w:pPr>
              <w:jc w:val="center"/>
              <w:rPr>
                <w:rFonts w:eastAsia="Times New Roman"/>
                <w:color w:val="000000"/>
                <w:sz w:val="18"/>
                <w:szCs w:val="18"/>
              </w:rPr>
            </w:pPr>
            <w:r w:rsidRPr="00B75B77">
              <w:rPr>
                <w:rFonts w:eastAsia="Times New Roman"/>
                <w:color w:val="000000"/>
                <w:sz w:val="18"/>
                <w:szCs w:val="18"/>
              </w:rPr>
              <w:t>7</w:t>
            </w:r>
          </w:p>
        </w:tc>
        <w:tc>
          <w:tcPr>
            <w:cnfStyle w:val="000010000000" w:firstRow="0" w:lastRow="0" w:firstColumn="0" w:lastColumn="0" w:oddVBand="1" w:evenVBand="0" w:oddHBand="0" w:evenHBand="0" w:firstRowFirstColumn="0" w:firstRowLastColumn="0" w:lastRowFirstColumn="0" w:lastRowLastColumn="0"/>
            <w:tcW w:w="6269" w:type="dxa"/>
            <w:tcBorders>
              <w:left w:val="none" w:sz="0" w:space="0" w:color="auto"/>
              <w:right w:val="none" w:sz="0" w:space="0" w:color="auto"/>
            </w:tcBorders>
            <w:shd w:val="clear" w:color="auto" w:fill="auto"/>
            <w:noWrap/>
            <w:vAlign w:val="center"/>
            <w:hideMark/>
          </w:tcPr>
          <w:p w:rsidR="00156005" w:rsidRPr="00B75B77" w:rsidRDefault="00156005" w:rsidP="00722C85">
            <w:pPr>
              <w:jc w:val="left"/>
              <w:rPr>
                <w:rFonts w:eastAsia="Times New Roman"/>
                <w:color w:val="000000"/>
                <w:sz w:val="18"/>
                <w:szCs w:val="18"/>
              </w:rPr>
            </w:pPr>
            <w:r w:rsidRPr="00B75B77">
              <w:rPr>
                <w:rFonts w:eastAsia="Times New Roman"/>
                <w:color w:val="000000"/>
                <w:sz w:val="18"/>
                <w:szCs w:val="18"/>
              </w:rPr>
              <w:t>Administration, Management, and Technical Assistance</w:t>
            </w:r>
            <w:r w:rsidRPr="00B75B77">
              <w:rPr>
                <w:rFonts w:eastAsia="Times New Roman"/>
                <w:b/>
                <w:bCs/>
                <w:color w:val="000000"/>
                <w:sz w:val="18"/>
                <w:szCs w:val="18"/>
                <w:vertAlign w:val="superscript"/>
              </w:rPr>
              <w:t>[1]</w:t>
            </w:r>
          </w:p>
        </w:tc>
        <w:tc>
          <w:tcPr>
            <w:tcW w:w="1014" w:type="dxa"/>
            <w:tcBorders>
              <w:left w:val="none" w:sz="0" w:space="0" w:color="auto"/>
              <w:right w:val="none" w:sz="0" w:space="0" w:color="auto"/>
            </w:tcBorders>
            <w:shd w:val="clear" w:color="auto" w:fill="auto"/>
            <w:noWrap/>
            <w:vAlign w:val="center"/>
          </w:tcPr>
          <w:p w:rsidR="00156005" w:rsidRPr="00B75B77" w:rsidRDefault="00156005" w:rsidP="00D23ACD">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75B77">
              <w:rPr>
                <w:sz w:val="18"/>
                <w:szCs w:val="18"/>
              </w:rPr>
              <w:t>3,420</w:t>
            </w:r>
          </w:p>
        </w:tc>
        <w:tc>
          <w:tcPr>
            <w:cnfStyle w:val="000010000000" w:firstRow="0" w:lastRow="0" w:firstColumn="0" w:lastColumn="0" w:oddVBand="1" w:evenVBand="0" w:oddHBand="0" w:evenHBand="0" w:firstRowFirstColumn="0" w:firstRowLastColumn="0" w:lastRowFirstColumn="0" w:lastRowLastColumn="0"/>
            <w:tcW w:w="1015" w:type="dxa"/>
            <w:tcBorders>
              <w:left w:val="none" w:sz="0" w:space="0" w:color="auto"/>
            </w:tcBorders>
            <w:shd w:val="clear" w:color="auto" w:fill="auto"/>
            <w:vAlign w:val="center"/>
          </w:tcPr>
          <w:p w:rsidR="00156005" w:rsidRPr="00B75B77" w:rsidRDefault="00156005" w:rsidP="00D23ACD">
            <w:pPr>
              <w:jc w:val="right"/>
              <w:rPr>
                <w:rFonts w:eastAsia="Times New Roman"/>
                <w:color w:val="000000"/>
                <w:sz w:val="18"/>
                <w:szCs w:val="18"/>
              </w:rPr>
            </w:pPr>
            <w:r w:rsidRPr="00B75B77">
              <w:rPr>
                <w:sz w:val="18"/>
                <w:szCs w:val="18"/>
              </w:rPr>
              <w:t>10,337</w:t>
            </w:r>
          </w:p>
        </w:tc>
      </w:tr>
      <w:tr w:rsidR="00156005" w:rsidRPr="00B75B77" w:rsidTr="00D23AC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D2EAF1"/>
            <w:vAlign w:val="center"/>
          </w:tcPr>
          <w:p w:rsidR="00156005" w:rsidRPr="00B75B77" w:rsidRDefault="00156005" w:rsidP="00722C85">
            <w:pPr>
              <w:jc w:val="center"/>
              <w:rPr>
                <w:rFonts w:eastAsia="Times New Roman"/>
                <w:color w:val="000000"/>
                <w:sz w:val="18"/>
                <w:szCs w:val="18"/>
              </w:rPr>
            </w:pPr>
            <w:r w:rsidRPr="00B75B77">
              <w:rPr>
                <w:rFonts w:eastAsia="Times New Roman"/>
                <w:color w:val="000000"/>
                <w:sz w:val="18"/>
                <w:szCs w:val="18"/>
              </w:rPr>
              <w:t>8</w:t>
            </w:r>
          </w:p>
        </w:tc>
        <w:tc>
          <w:tcPr>
            <w:cnfStyle w:val="000010000000" w:firstRow="0" w:lastRow="0" w:firstColumn="0" w:lastColumn="0" w:oddVBand="1" w:evenVBand="0" w:oddHBand="0" w:evenHBand="0" w:firstRowFirstColumn="0" w:firstRowLastColumn="0" w:lastRowFirstColumn="0" w:lastRowLastColumn="0"/>
            <w:tcW w:w="6269" w:type="dxa"/>
            <w:tcBorders>
              <w:left w:val="none" w:sz="0" w:space="0" w:color="auto"/>
              <w:right w:val="none" w:sz="0" w:space="0" w:color="auto"/>
            </w:tcBorders>
            <w:shd w:val="clear" w:color="auto" w:fill="D2EAF1"/>
            <w:noWrap/>
            <w:vAlign w:val="center"/>
            <w:hideMark/>
          </w:tcPr>
          <w:p w:rsidR="00156005" w:rsidRPr="00B75B77" w:rsidRDefault="00156005" w:rsidP="00722C85">
            <w:pPr>
              <w:jc w:val="left"/>
              <w:rPr>
                <w:rFonts w:eastAsia="Times New Roman"/>
                <w:color w:val="000000"/>
                <w:sz w:val="18"/>
                <w:szCs w:val="18"/>
              </w:rPr>
            </w:pPr>
            <w:r w:rsidRPr="00B75B77">
              <w:rPr>
                <w:rFonts w:eastAsia="Times New Roman"/>
                <w:color w:val="000000"/>
                <w:sz w:val="18"/>
                <w:szCs w:val="18"/>
              </w:rPr>
              <w:t>Marketing</w:t>
            </w:r>
            <w:r w:rsidRPr="00B75B77">
              <w:rPr>
                <w:rFonts w:eastAsia="Times New Roman"/>
                <w:b/>
                <w:bCs/>
                <w:color w:val="000000"/>
                <w:sz w:val="18"/>
                <w:szCs w:val="18"/>
                <w:vertAlign w:val="superscript"/>
              </w:rPr>
              <w:t>[2]</w:t>
            </w:r>
          </w:p>
        </w:tc>
        <w:tc>
          <w:tcPr>
            <w:tcW w:w="1014" w:type="dxa"/>
            <w:tcBorders>
              <w:left w:val="none" w:sz="0" w:space="0" w:color="auto"/>
              <w:right w:val="none" w:sz="0" w:space="0" w:color="auto"/>
            </w:tcBorders>
            <w:shd w:val="clear" w:color="auto" w:fill="D2EAF1"/>
            <w:noWrap/>
            <w:vAlign w:val="center"/>
          </w:tcPr>
          <w:p w:rsidR="00156005" w:rsidRPr="00B75B77" w:rsidRDefault="00156005" w:rsidP="00D23ACD">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B75B77">
              <w:rPr>
                <w:sz w:val="18"/>
                <w:szCs w:val="18"/>
              </w:rPr>
              <w:t>537</w:t>
            </w:r>
          </w:p>
        </w:tc>
        <w:tc>
          <w:tcPr>
            <w:cnfStyle w:val="000010000000" w:firstRow="0" w:lastRow="0" w:firstColumn="0" w:lastColumn="0" w:oddVBand="1" w:evenVBand="0" w:oddHBand="0" w:evenHBand="0" w:firstRowFirstColumn="0" w:firstRowLastColumn="0" w:lastRowFirstColumn="0" w:lastRowLastColumn="0"/>
            <w:tcW w:w="1015" w:type="dxa"/>
            <w:tcBorders>
              <w:left w:val="none" w:sz="0" w:space="0" w:color="auto"/>
            </w:tcBorders>
            <w:shd w:val="clear" w:color="auto" w:fill="D2EAF1"/>
            <w:vAlign w:val="center"/>
          </w:tcPr>
          <w:p w:rsidR="00156005" w:rsidRPr="00B75B77" w:rsidRDefault="00156005" w:rsidP="00D23ACD">
            <w:pPr>
              <w:jc w:val="right"/>
              <w:rPr>
                <w:rFonts w:eastAsia="Times New Roman"/>
                <w:color w:val="000000"/>
                <w:sz w:val="18"/>
                <w:szCs w:val="18"/>
              </w:rPr>
            </w:pPr>
            <w:r w:rsidRPr="00B75B77">
              <w:rPr>
                <w:sz w:val="18"/>
                <w:szCs w:val="18"/>
              </w:rPr>
              <w:t>925</w:t>
            </w:r>
          </w:p>
        </w:tc>
      </w:tr>
      <w:tr w:rsidR="00156005" w:rsidRPr="00B75B77" w:rsidTr="00D23AC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auto"/>
            <w:vAlign w:val="center"/>
          </w:tcPr>
          <w:p w:rsidR="00156005" w:rsidRPr="00B75B77" w:rsidRDefault="00156005" w:rsidP="00722C85">
            <w:pPr>
              <w:jc w:val="center"/>
              <w:rPr>
                <w:rFonts w:eastAsia="Times New Roman"/>
                <w:bCs w:val="0"/>
                <w:color w:val="000000"/>
                <w:sz w:val="18"/>
                <w:szCs w:val="18"/>
              </w:rPr>
            </w:pPr>
            <w:r w:rsidRPr="00B75B77">
              <w:rPr>
                <w:rFonts w:eastAsia="Times New Roman"/>
                <w:bCs w:val="0"/>
                <w:color w:val="000000"/>
                <w:sz w:val="18"/>
                <w:szCs w:val="18"/>
              </w:rPr>
              <w:t>9</w:t>
            </w:r>
          </w:p>
        </w:tc>
        <w:tc>
          <w:tcPr>
            <w:cnfStyle w:val="000010000000" w:firstRow="0" w:lastRow="0" w:firstColumn="0" w:lastColumn="0" w:oddVBand="1" w:evenVBand="0" w:oddHBand="0" w:evenHBand="0" w:firstRowFirstColumn="0" w:firstRowLastColumn="0" w:lastRowFirstColumn="0" w:lastRowLastColumn="0"/>
            <w:tcW w:w="6269" w:type="dxa"/>
            <w:tcBorders>
              <w:left w:val="none" w:sz="0" w:space="0" w:color="auto"/>
              <w:right w:val="none" w:sz="0" w:space="0" w:color="auto"/>
            </w:tcBorders>
            <w:shd w:val="clear" w:color="auto" w:fill="auto"/>
            <w:noWrap/>
            <w:vAlign w:val="center"/>
          </w:tcPr>
          <w:p w:rsidR="00156005" w:rsidRPr="00B75B77" w:rsidRDefault="00156005" w:rsidP="00722C85">
            <w:pPr>
              <w:jc w:val="left"/>
              <w:rPr>
                <w:rFonts w:eastAsia="Times New Roman"/>
                <w:bCs/>
                <w:color w:val="000000"/>
                <w:sz w:val="18"/>
                <w:szCs w:val="18"/>
              </w:rPr>
            </w:pPr>
            <w:r w:rsidRPr="00B75B77">
              <w:rPr>
                <w:rFonts w:eastAsia="Times New Roman"/>
                <w:bCs/>
                <w:color w:val="000000"/>
                <w:sz w:val="18"/>
                <w:szCs w:val="18"/>
              </w:rPr>
              <w:t>EDC Evaluation Costs</w:t>
            </w:r>
          </w:p>
        </w:tc>
        <w:tc>
          <w:tcPr>
            <w:tcW w:w="1014" w:type="dxa"/>
            <w:tcBorders>
              <w:left w:val="none" w:sz="0" w:space="0" w:color="auto"/>
              <w:right w:val="none" w:sz="0" w:space="0" w:color="auto"/>
            </w:tcBorders>
            <w:shd w:val="clear" w:color="auto" w:fill="auto"/>
            <w:noWrap/>
            <w:vAlign w:val="center"/>
          </w:tcPr>
          <w:p w:rsidR="00156005" w:rsidRPr="00B75B77" w:rsidRDefault="00156005" w:rsidP="00D23ACD">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B75B77">
              <w:rPr>
                <w:sz w:val="18"/>
                <w:szCs w:val="18"/>
              </w:rPr>
              <w:t>0</w:t>
            </w:r>
          </w:p>
        </w:tc>
        <w:tc>
          <w:tcPr>
            <w:cnfStyle w:val="000010000000" w:firstRow="0" w:lastRow="0" w:firstColumn="0" w:lastColumn="0" w:oddVBand="1" w:evenVBand="0" w:oddHBand="0" w:evenHBand="0" w:firstRowFirstColumn="0" w:firstRowLastColumn="0" w:lastRowFirstColumn="0" w:lastRowLastColumn="0"/>
            <w:tcW w:w="1015" w:type="dxa"/>
            <w:tcBorders>
              <w:left w:val="none" w:sz="0" w:space="0" w:color="auto"/>
            </w:tcBorders>
            <w:shd w:val="clear" w:color="auto" w:fill="auto"/>
            <w:vAlign w:val="center"/>
          </w:tcPr>
          <w:p w:rsidR="00156005" w:rsidRPr="00B75B77" w:rsidRDefault="00156005" w:rsidP="00D23ACD">
            <w:pPr>
              <w:jc w:val="right"/>
              <w:rPr>
                <w:rFonts w:eastAsia="Times New Roman"/>
                <w:b/>
                <w:bCs/>
                <w:color w:val="000000"/>
                <w:sz w:val="18"/>
                <w:szCs w:val="18"/>
              </w:rPr>
            </w:pPr>
            <w:r w:rsidRPr="00B75B77">
              <w:rPr>
                <w:sz w:val="18"/>
                <w:szCs w:val="18"/>
              </w:rPr>
              <w:t>0</w:t>
            </w:r>
          </w:p>
        </w:tc>
      </w:tr>
      <w:tr w:rsidR="00156005" w:rsidRPr="00B75B77" w:rsidTr="00D23AC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D2EAF1"/>
            <w:vAlign w:val="center"/>
          </w:tcPr>
          <w:p w:rsidR="00156005" w:rsidRPr="00B75B77" w:rsidRDefault="00156005" w:rsidP="00722C85">
            <w:pPr>
              <w:jc w:val="center"/>
              <w:rPr>
                <w:rFonts w:eastAsia="Times New Roman"/>
                <w:bCs w:val="0"/>
                <w:color w:val="000000"/>
                <w:sz w:val="18"/>
                <w:szCs w:val="18"/>
              </w:rPr>
            </w:pPr>
            <w:r w:rsidRPr="00B75B77">
              <w:rPr>
                <w:rFonts w:eastAsia="Times New Roman"/>
                <w:bCs w:val="0"/>
                <w:color w:val="000000"/>
                <w:sz w:val="18"/>
                <w:szCs w:val="18"/>
              </w:rPr>
              <w:t>10</w:t>
            </w:r>
          </w:p>
        </w:tc>
        <w:tc>
          <w:tcPr>
            <w:cnfStyle w:val="000010000000" w:firstRow="0" w:lastRow="0" w:firstColumn="0" w:lastColumn="0" w:oddVBand="1" w:evenVBand="0" w:oddHBand="0" w:evenHBand="0" w:firstRowFirstColumn="0" w:firstRowLastColumn="0" w:lastRowFirstColumn="0" w:lastRowLastColumn="0"/>
            <w:tcW w:w="6269" w:type="dxa"/>
            <w:tcBorders>
              <w:left w:val="none" w:sz="0" w:space="0" w:color="auto"/>
              <w:right w:val="none" w:sz="0" w:space="0" w:color="auto"/>
            </w:tcBorders>
            <w:shd w:val="clear" w:color="auto" w:fill="D2EAF1"/>
            <w:noWrap/>
            <w:vAlign w:val="center"/>
          </w:tcPr>
          <w:p w:rsidR="00156005" w:rsidRPr="00B75B77" w:rsidRDefault="00156005" w:rsidP="00722C85">
            <w:pPr>
              <w:jc w:val="left"/>
              <w:rPr>
                <w:rFonts w:eastAsia="Times New Roman"/>
                <w:bCs/>
                <w:color w:val="000000"/>
                <w:sz w:val="18"/>
                <w:szCs w:val="18"/>
              </w:rPr>
            </w:pPr>
            <w:r w:rsidRPr="00B75B77">
              <w:rPr>
                <w:rFonts w:eastAsia="Times New Roman"/>
                <w:bCs/>
                <w:color w:val="000000"/>
                <w:sz w:val="18"/>
                <w:szCs w:val="18"/>
              </w:rPr>
              <w:t>SWE Audit Costs</w:t>
            </w:r>
          </w:p>
        </w:tc>
        <w:tc>
          <w:tcPr>
            <w:tcW w:w="1014" w:type="dxa"/>
            <w:tcBorders>
              <w:left w:val="none" w:sz="0" w:space="0" w:color="auto"/>
              <w:right w:val="none" w:sz="0" w:space="0" w:color="auto"/>
            </w:tcBorders>
            <w:shd w:val="clear" w:color="auto" w:fill="D2EAF1"/>
            <w:noWrap/>
            <w:vAlign w:val="center"/>
          </w:tcPr>
          <w:p w:rsidR="00156005" w:rsidRPr="00B75B77" w:rsidRDefault="00156005" w:rsidP="00D23ACD">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B75B77">
              <w:rPr>
                <w:sz w:val="18"/>
                <w:szCs w:val="18"/>
              </w:rPr>
              <w:t>0</w:t>
            </w:r>
          </w:p>
        </w:tc>
        <w:tc>
          <w:tcPr>
            <w:cnfStyle w:val="000010000000" w:firstRow="0" w:lastRow="0" w:firstColumn="0" w:lastColumn="0" w:oddVBand="1" w:evenVBand="0" w:oddHBand="0" w:evenHBand="0" w:firstRowFirstColumn="0" w:firstRowLastColumn="0" w:lastRowFirstColumn="0" w:lastRowLastColumn="0"/>
            <w:tcW w:w="1015" w:type="dxa"/>
            <w:tcBorders>
              <w:left w:val="none" w:sz="0" w:space="0" w:color="auto"/>
            </w:tcBorders>
            <w:shd w:val="clear" w:color="auto" w:fill="D2EAF1"/>
            <w:vAlign w:val="center"/>
          </w:tcPr>
          <w:p w:rsidR="00156005" w:rsidRPr="00B75B77" w:rsidRDefault="00156005" w:rsidP="00D23ACD">
            <w:pPr>
              <w:jc w:val="right"/>
              <w:rPr>
                <w:rFonts w:eastAsia="Times New Roman"/>
                <w:color w:val="000000"/>
                <w:sz w:val="18"/>
                <w:szCs w:val="18"/>
              </w:rPr>
            </w:pPr>
            <w:r w:rsidRPr="00B75B77">
              <w:rPr>
                <w:sz w:val="18"/>
                <w:szCs w:val="18"/>
              </w:rPr>
              <w:t>0</w:t>
            </w:r>
          </w:p>
        </w:tc>
      </w:tr>
      <w:tr w:rsidR="00156005" w:rsidRPr="00B75B77" w:rsidTr="00C15945">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9360" w:type="dxa"/>
            <w:gridSpan w:val="4"/>
            <w:shd w:val="clear" w:color="auto" w:fill="AEAAAA"/>
            <w:vAlign w:val="center"/>
          </w:tcPr>
          <w:p w:rsidR="00156005" w:rsidRPr="00B75B77" w:rsidRDefault="00156005" w:rsidP="00D23ACD">
            <w:pPr>
              <w:jc w:val="right"/>
              <w:rPr>
                <w:rFonts w:eastAsia="Times New Roman"/>
                <w:b w:val="0"/>
                <w:bCs w:val="0"/>
                <w:color w:val="000000"/>
                <w:sz w:val="18"/>
                <w:szCs w:val="18"/>
              </w:rPr>
            </w:pPr>
          </w:p>
        </w:tc>
      </w:tr>
      <w:tr w:rsidR="00156005" w:rsidRPr="00B75B77" w:rsidTr="00D23AC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auto"/>
            <w:vAlign w:val="center"/>
          </w:tcPr>
          <w:p w:rsidR="00156005" w:rsidRPr="00B75B77" w:rsidRDefault="00156005" w:rsidP="00722C85">
            <w:pPr>
              <w:jc w:val="center"/>
              <w:rPr>
                <w:rFonts w:eastAsia="Times New Roman"/>
                <w:bCs w:val="0"/>
                <w:color w:val="000000"/>
                <w:sz w:val="18"/>
                <w:szCs w:val="18"/>
              </w:rPr>
            </w:pPr>
            <w:r w:rsidRPr="00B75B77">
              <w:rPr>
                <w:rFonts w:eastAsia="Times New Roman"/>
                <w:bCs w:val="0"/>
                <w:color w:val="000000"/>
                <w:sz w:val="18"/>
                <w:szCs w:val="18"/>
              </w:rPr>
              <w:t>11</w:t>
            </w:r>
          </w:p>
        </w:tc>
        <w:tc>
          <w:tcPr>
            <w:cnfStyle w:val="000010000000" w:firstRow="0" w:lastRow="0" w:firstColumn="0" w:lastColumn="0" w:oddVBand="1" w:evenVBand="0" w:oddHBand="0" w:evenHBand="0" w:firstRowFirstColumn="0" w:firstRowLastColumn="0" w:lastRowFirstColumn="0" w:lastRowLastColumn="0"/>
            <w:tcW w:w="6269" w:type="dxa"/>
            <w:tcBorders>
              <w:left w:val="none" w:sz="0" w:space="0" w:color="auto"/>
              <w:right w:val="none" w:sz="0" w:space="0" w:color="auto"/>
            </w:tcBorders>
            <w:shd w:val="clear" w:color="auto" w:fill="auto"/>
            <w:noWrap/>
            <w:vAlign w:val="center"/>
          </w:tcPr>
          <w:p w:rsidR="00156005" w:rsidRPr="00B75B77" w:rsidRDefault="00156005" w:rsidP="00722C85">
            <w:pPr>
              <w:jc w:val="left"/>
              <w:rPr>
                <w:rFonts w:eastAsia="Times New Roman"/>
                <w:bCs/>
                <w:color w:val="000000"/>
                <w:sz w:val="18"/>
                <w:szCs w:val="18"/>
              </w:rPr>
            </w:pPr>
            <w:r w:rsidRPr="00B75B77">
              <w:rPr>
                <w:rFonts w:eastAsia="Times New Roman"/>
                <w:bCs/>
                <w:color w:val="000000"/>
                <w:sz w:val="18"/>
                <w:szCs w:val="18"/>
              </w:rPr>
              <w:t>Increases in Costs of Natural Gas (or Other Fuels) for Fuel-Switching Programs</w:t>
            </w:r>
          </w:p>
        </w:tc>
        <w:tc>
          <w:tcPr>
            <w:tcW w:w="1014" w:type="dxa"/>
            <w:tcBorders>
              <w:left w:val="none" w:sz="0" w:space="0" w:color="auto"/>
              <w:right w:val="none" w:sz="0" w:space="0" w:color="auto"/>
            </w:tcBorders>
            <w:shd w:val="clear" w:color="auto" w:fill="auto"/>
            <w:noWrap/>
            <w:vAlign w:val="center"/>
          </w:tcPr>
          <w:p w:rsidR="00156005" w:rsidRPr="00B75B77" w:rsidRDefault="00156005" w:rsidP="00D23ACD">
            <w:pPr>
              <w:jc w:val="right"/>
              <w:cnfStyle w:val="000000010000" w:firstRow="0" w:lastRow="0" w:firstColumn="0" w:lastColumn="0" w:oddVBand="0" w:evenVBand="0" w:oddHBand="0" w:evenHBand="1" w:firstRowFirstColumn="0" w:firstRowLastColumn="0" w:lastRowFirstColumn="0" w:lastRowLastColumn="0"/>
              <w:rPr>
                <w:rFonts w:eastAsia="Times New Roman"/>
                <w:b/>
                <w:bCs/>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015" w:type="dxa"/>
            <w:tcBorders>
              <w:left w:val="none" w:sz="0" w:space="0" w:color="auto"/>
            </w:tcBorders>
            <w:shd w:val="clear" w:color="auto" w:fill="auto"/>
            <w:vAlign w:val="center"/>
          </w:tcPr>
          <w:p w:rsidR="00156005" w:rsidRPr="00B75B77" w:rsidRDefault="00156005" w:rsidP="00D23ACD">
            <w:pPr>
              <w:jc w:val="right"/>
              <w:rPr>
                <w:rFonts w:eastAsia="Times New Roman"/>
                <w:b/>
                <w:bCs/>
                <w:color w:val="000000"/>
                <w:sz w:val="18"/>
                <w:szCs w:val="18"/>
              </w:rPr>
            </w:pPr>
          </w:p>
        </w:tc>
      </w:tr>
      <w:tr w:rsidR="00156005" w:rsidRPr="00B75B77" w:rsidTr="00C15945">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9360" w:type="dxa"/>
            <w:gridSpan w:val="4"/>
            <w:shd w:val="clear" w:color="auto" w:fill="AEAAAA"/>
            <w:vAlign w:val="center"/>
          </w:tcPr>
          <w:p w:rsidR="00156005" w:rsidRPr="00B75B77" w:rsidRDefault="00156005" w:rsidP="00D23ACD">
            <w:pPr>
              <w:jc w:val="right"/>
              <w:rPr>
                <w:rFonts w:eastAsia="Times New Roman"/>
                <w:b w:val="0"/>
                <w:bCs w:val="0"/>
                <w:color w:val="000000"/>
                <w:sz w:val="18"/>
                <w:szCs w:val="18"/>
              </w:rPr>
            </w:pPr>
          </w:p>
        </w:tc>
      </w:tr>
      <w:tr w:rsidR="00156005" w:rsidRPr="00B75B77" w:rsidTr="00D23AC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D2EAF1"/>
            <w:vAlign w:val="center"/>
          </w:tcPr>
          <w:p w:rsidR="00156005" w:rsidRPr="00B75B77" w:rsidRDefault="00156005" w:rsidP="00722C85">
            <w:pPr>
              <w:jc w:val="center"/>
              <w:rPr>
                <w:rFonts w:eastAsia="Times New Roman"/>
                <w:bCs w:val="0"/>
                <w:color w:val="000000"/>
                <w:sz w:val="18"/>
                <w:szCs w:val="18"/>
              </w:rPr>
            </w:pPr>
            <w:r w:rsidRPr="00B75B77">
              <w:rPr>
                <w:rFonts w:eastAsia="Times New Roman"/>
                <w:bCs w:val="0"/>
                <w:color w:val="000000"/>
                <w:sz w:val="18"/>
                <w:szCs w:val="18"/>
              </w:rPr>
              <w:t>12</w:t>
            </w:r>
          </w:p>
        </w:tc>
        <w:tc>
          <w:tcPr>
            <w:cnfStyle w:val="000010000000" w:firstRow="0" w:lastRow="0" w:firstColumn="0" w:lastColumn="0" w:oddVBand="1" w:evenVBand="0" w:oddHBand="0" w:evenHBand="0" w:firstRowFirstColumn="0" w:firstRowLastColumn="0" w:lastRowFirstColumn="0" w:lastRowLastColumn="0"/>
            <w:tcW w:w="6269" w:type="dxa"/>
            <w:tcBorders>
              <w:left w:val="none" w:sz="0" w:space="0" w:color="auto"/>
              <w:right w:val="none" w:sz="0" w:space="0" w:color="auto"/>
            </w:tcBorders>
            <w:noWrap/>
            <w:vAlign w:val="center"/>
            <w:hideMark/>
          </w:tcPr>
          <w:p w:rsidR="00156005" w:rsidRPr="00B75B77" w:rsidRDefault="00156005" w:rsidP="00722C85">
            <w:pPr>
              <w:jc w:val="left"/>
              <w:rPr>
                <w:rFonts w:eastAsia="Times New Roman"/>
                <w:bCs/>
                <w:color w:val="000000"/>
                <w:sz w:val="18"/>
                <w:szCs w:val="18"/>
              </w:rPr>
            </w:pPr>
            <w:r w:rsidRPr="00B75B77">
              <w:rPr>
                <w:rFonts w:eastAsia="Times New Roman"/>
                <w:bCs/>
                <w:color w:val="000000"/>
                <w:sz w:val="18"/>
                <w:szCs w:val="18"/>
              </w:rPr>
              <w:t>Total  TRC Costs</w:t>
            </w:r>
            <w:r w:rsidRPr="00B75B77">
              <w:rPr>
                <w:rFonts w:eastAsia="Times New Roman"/>
                <w:bCs/>
                <w:color w:val="000000"/>
                <w:sz w:val="18"/>
                <w:szCs w:val="18"/>
                <w:vertAlign w:val="superscript"/>
              </w:rPr>
              <w:t xml:space="preserve">[3] </w:t>
            </w:r>
            <w:r w:rsidRPr="00B75B77">
              <w:rPr>
                <w:rFonts w:eastAsia="Times New Roman"/>
                <w:bCs/>
                <w:color w:val="000000"/>
                <w:sz w:val="18"/>
                <w:szCs w:val="18"/>
              </w:rPr>
              <w:t>(Sum of Rows 1, 5, and 11)</w:t>
            </w:r>
          </w:p>
        </w:tc>
        <w:tc>
          <w:tcPr>
            <w:tcW w:w="1014" w:type="dxa"/>
            <w:tcBorders>
              <w:left w:val="none" w:sz="0" w:space="0" w:color="auto"/>
              <w:right w:val="none" w:sz="0" w:space="0" w:color="auto"/>
            </w:tcBorders>
            <w:shd w:val="clear" w:color="auto" w:fill="DAEEF3" w:themeFill="accent5" w:themeFillTint="33"/>
            <w:noWrap/>
            <w:vAlign w:val="center"/>
          </w:tcPr>
          <w:p w:rsidR="00156005" w:rsidRPr="00B75B77" w:rsidRDefault="00156005" w:rsidP="00D23ACD">
            <w:pPr>
              <w:jc w:val="right"/>
              <w:cnfStyle w:val="000000010000" w:firstRow="0" w:lastRow="0" w:firstColumn="0" w:lastColumn="0" w:oddVBand="0" w:evenVBand="0" w:oddHBand="0" w:evenHBand="1" w:firstRowFirstColumn="0" w:firstRowLastColumn="0" w:lastRowFirstColumn="0" w:lastRowLastColumn="0"/>
              <w:rPr>
                <w:rFonts w:eastAsia="Times New Roman"/>
                <w:b/>
                <w:bCs/>
                <w:color w:val="000000"/>
                <w:sz w:val="18"/>
                <w:szCs w:val="18"/>
              </w:rPr>
            </w:pPr>
            <w:r w:rsidRPr="00B75B77">
              <w:rPr>
                <w:sz w:val="18"/>
                <w:szCs w:val="18"/>
              </w:rPr>
              <w:t>74,069</w:t>
            </w:r>
          </w:p>
        </w:tc>
        <w:tc>
          <w:tcPr>
            <w:cnfStyle w:val="000010000000" w:firstRow="0" w:lastRow="0" w:firstColumn="0" w:lastColumn="0" w:oddVBand="1" w:evenVBand="0" w:oddHBand="0" w:evenHBand="0" w:firstRowFirstColumn="0" w:firstRowLastColumn="0" w:lastRowFirstColumn="0" w:lastRowLastColumn="0"/>
            <w:tcW w:w="1015" w:type="dxa"/>
            <w:tcBorders>
              <w:left w:val="none" w:sz="0" w:space="0" w:color="auto"/>
            </w:tcBorders>
            <w:vAlign w:val="center"/>
          </w:tcPr>
          <w:p w:rsidR="00156005" w:rsidRPr="00B75B77" w:rsidRDefault="00156005" w:rsidP="00D23ACD">
            <w:pPr>
              <w:jc w:val="right"/>
              <w:rPr>
                <w:rFonts w:eastAsia="Times New Roman"/>
                <w:b/>
                <w:bCs/>
                <w:color w:val="000000"/>
                <w:sz w:val="18"/>
                <w:szCs w:val="18"/>
              </w:rPr>
            </w:pPr>
            <w:r w:rsidRPr="00B75B77">
              <w:rPr>
                <w:sz w:val="18"/>
                <w:szCs w:val="18"/>
              </w:rPr>
              <w:t>162,126</w:t>
            </w:r>
          </w:p>
        </w:tc>
      </w:tr>
      <w:tr w:rsidR="00156005" w:rsidRPr="00B75B77" w:rsidTr="00D23AC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auto"/>
            <w:vAlign w:val="center"/>
          </w:tcPr>
          <w:p w:rsidR="00156005" w:rsidRPr="00B75B77" w:rsidRDefault="00156005" w:rsidP="00722C85">
            <w:pPr>
              <w:jc w:val="center"/>
              <w:rPr>
                <w:rFonts w:eastAsia="Times New Roman"/>
                <w:bCs w:val="0"/>
                <w:color w:val="000000"/>
                <w:sz w:val="18"/>
                <w:szCs w:val="18"/>
              </w:rPr>
            </w:pPr>
            <w:r w:rsidRPr="00B75B77">
              <w:rPr>
                <w:rFonts w:eastAsia="Times New Roman"/>
                <w:bCs w:val="0"/>
                <w:color w:val="000000"/>
                <w:sz w:val="18"/>
                <w:szCs w:val="18"/>
              </w:rPr>
              <w:t>13</w:t>
            </w:r>
          </w:p>
        </w:tc>
        <w:tc>
          <w:tcPr>
            <w:cnfStyle w:val="000010000000" w:firstRow="0" w:lastRow="0" w:firstColumn="0" w:lastColumn="0" w:oddVBand="1" w:evenVBand="0" w:oddHBand="0" w:evenHBand="0" w:firstRowFirstColumn="0" w:firstRowLastColumn="0" w:lastRowFirstColumn="0" w:lastRowLastColumn="0"/>
            <w:tcW w:w="6269" w:type="dxa"/>
            <w:tcBorders>
              <w:left w:val="none" w:sz="0" w:space="0" w:color="auto"/>
              <w:right w:val="none" w:sz="0" w:space="0" w:color="auto"/>
            </w:tcBorders>
            <w:shd w:val="clear" w:color="auto" w:fill="auto"/>
            <w:noWrap/>
            <w:vAlign w:val="center"/>
            <w:hideMark/>
          </w:tcPr>
          <w:p w:rsidR="00156005" w:rsidRPr="00B75B77" w:rsidRDefault="00156005" w:rsidP="00722C85">
            <w:pPr>
              <w:jc w:val="left"/>
              <w:rPr>
                <w:rFonts w:eastAsia="Times New Roman"/>
                <w:color w:val="000000"/>
                <w:sz w:val="18"/>
                <w:szCs w:val="18"/>
              </w:rPr>
            </w:pPr>
            <w:r w:rsidRPr="00B75B77">
              <w:rPr>
                <w:rFonts w:eastAsia="Times New Roman"/>
                <w:bCs/>
                <w:color w:val="000000"/>
                <w:sz w:val="18"/>
                <w:szCs w:val="18"/>
              </w:rPr>
              <w:t>Total NPV Lifetime Energy Benefits</w:t>
            </w:r>
          </w:p>
        </w:tc>
        <w:tc>
          <w:tcPr>
            <w:tcW w:w="1014" w:type="dxa"/>
            <w:tcBorders>
              <w:left w:val="none" w:sz="0" w:space="0" w:color="auto"/>
              <w:bottom w:val="single" w:sz="8" w:space="0" w:color="448A99"/>
              <w:right w:val="none" w:sz="0" w:space="0" w:color="auto"/>
            </w:tcBorders>
            <w:shd w:val="clear" w:color="auto" w:fill="auto"/>
            <w:noWrap/>
            <w:vAlign w:val="center"/>
          </w:tcPr>
          <w:p w:rsidR="00156005" w:rsidRPr="00B75B77" w:rsidRDefault="00156005" w:rsidP="00D23ACD">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B75B77">
              <w:rPr>
                <w:sz w:val="18"/>
                <w:szCs w:val="18"/>
              </w:rPr>
              <w:t>162,306</w:t>
            </w:r>
          </w:p>
        </w:tc>
        <w:tc>
          <w:tcPr>
            <w:cnfStyle w:val="000010000000" w:firstRow="0" w:lastRow="0" w:firstColumn="0" w:lastColumn="0" w:oddVBand="1" w:evenVBand="0" w:oddHBand="0" w:evenHBand="0" w:firstRowFirstColumn="0" w:firstRowLastColumn="0" w:lastRowFirstColumn="0" w:lastRowLastColumn="0"/>
            <w:tcW w:w="1015" w:type="dxa"/>
            <w:tcBorders>
              <w:left w:val="none" w:sz="0" w:space="0" w:color="auto"/>
            </w:tcBorders>
            <w:shd w:val="clear" w:color="auto" w:fill="auto"/>
            <w:vAlign w:val="center"/>
          </w:tcPr>
          <w:p w:rsidR="00156005" w:rsidRPr="00B75B77" w:rsidRDefault="00156005" w:rsidP="00D23ACD">
            <w:pPr>
              <w:jc w:val="right"/>
              <w:rPr>
                <w:rFonts w:eastAsia="Times New Roman"/>
                <w:b/>
                <w:bCs/>
                <w:color w:val="000000"/>
                <w:sz w:val="18"/>
                <w:szCs w:val="18"/>
              </w:rPr>
            </w:pPr>
            <w:r w:rsidRPr="00B75B77">
              <w:rPr>
                <w:sz w:val="18"/>
                <w:szCs w:val="18"/>
              </w:rPr>
              <w:t>307,751</w:t>
            </w:r>
          </w:p>
        </w:tc>
      </w:tr>
      <w:tr w:rsidR="00156005" w:rsidRPr="00B75B77" w:rsidTr="00D23AC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D2EAF1"/>
            <w:vAlign w:val="center"/>
          </w:tcPr>
          <w:p w:rsidR="00156005" w:rsidRPr="00B75B77" w:rsidRDefault="00156005" w:rsidP="00722C85">
            <w:pPr>
              <w:jc w:val="center"/>
              <w:rPr>
                <w:rFonts w:eastAsia="Times New Roman"/>
                <w:bCs w:val="0"/>
                <w:color w:val="000000"/>
                <w:sz w:val="18"/>
                <w:szCs w:val="18"/>
              </w:rPr>
            </w:pPr>
            <w:r w:rsidRPr="00B75B77">
              <w:rPr>
                <w:rFonts w:eastAsia="Times New Roman"/>
                <w:bCs w:val="0"/>
                <w:color w:val="000000"/>
                <w:sz w:val="18"/>
                <w:szCs w:val="18"/>
              </w:rPr>
              <w:t>14</w:t>
            </w:r>
          </w:p>
        </w:tc>
        <w:tc>
          <w:tcPr>
            <w:cnfStyle w:val="000010000000" w:firstRow="0" w:lastRow="0" w:firstColumn="0" w:lastColumn="0" w:oddVBand="1" w:evenVBand="0" w:oddHBand="0" w:evenHBand="0" w:firstRowFirstColumn="0" w:firstRowLastColumn="0" w:lastRowFirstColumn="0" w:lastRowLastColumn="0"/>
            <w:tcW w:w="6269" w:type="dxa"/>
            <w:tcBorders>
              <w:left w:val="none" w:sz="0" w:space="0" w:color="auto"/>
              <w:right w:val="none" w:sz="0" w:space="0" w:color="auto"/>
            </w:tcBorders>
            <w:noWrap/>
            <w:vAlign w:val="center"/>
            <w:hideMark/>
          </w:tcPr>
          <w:p w:rsidR="00156005" w:rsidRPr="00B75B77" w:rsidRDefault="00156005" w:rsidP="00722C85">
            <w:pPr>
              <w:jc w:val="left"/>
              <w:rPr>
                <w:rFonts w:eastAsia="Times New Roman"/>
                <w:color w:val="000000"/>
                <w:sz w:val="18"/>
                <w:szCs w:val="18"/>
              </w:rPr>
            </w:pPr>
            <w:r w:rsidRPr="00B75B77">
              <w:rPr>
                <w:rFonts w:eastAsia="Times New Roman"/>
                <w:bCs/>
                <w:color w:val="000000"/>
                <w:sz w:val="18"/>
                <w:szCs w:val="18"/>
              </w:rPr>
              <w:t>Total NPV Lifetime Capacity Benefits</w:t>
            </w:r>
          </w:p>
        </w:tc>
        <w:tc>
          <w:tcPr>
            <w:tcW w:w="1014" w:type="dxa"/>
            <w:tcBorders>
              <w:left w:val="none" w:sz="0" w:space="0" w:color="auto"/>
              <w:right w:val="none" w:sz="0" w:space="0" w:color="auto"/>
            </w:tcBorders>
            <w:shd w:val="clear" w:color="auto" w:fill="DAEEF3" w:themeFill="accent5" w:themeFillTint="33"/>
            <w:noWrap/>
            <w:vAlign w:val="center"/>
          </w:tcPr>
          <w:p w:rsidR="00156005" w:rsidRPr="00B75B77" w:rsidRDefault="00156005" w:rsidP="00D23ACD">
            <w:pPr>
              <w:jc w:val="right"/>
              <w:cnfStyle w:val="000000010000" w:firstRow="0" w:lastRow="0" w:firstColumn="0" w:lastColumn="0" w:oddVBand="0" w:evenVBand="0" w:oddHBand="0" w:evenHBand="1" w:firstRowFirstColumn="0" w:firstRowLastColumn="0" w:lastRowFirstColumn="0" w:lastRowLastColumn="0"/>
              <w:rPr>
                <w:rFonts w:eastAsia="Times New Roman"/>
                <w:b/>
                <w:bCs/>
                <w:color w:val="000000"/>
                <w:sz w:val="18"/>
                <w:szCs w:val="18"/>
              </w:rPr>
            </w:pPr>
            <w:r w:rsidRPr="00B75B77">
              <w:rPr>
                <w:sz w:val="18"/>
                <w:szCs w:val="18"/>
              </w:rPr>
              <w:t>13,312</w:t>
            </w:r>
          </w:p>
        </w:tc>
        <w:tc>
          <w:tcPr>
            <w:cnfStyle w:val="000010000000" w:firstRow="0" w:lastRow="0" w:firstColumn="0" w:lastColumn="0" w:oddVBand="1" w:evenVBand="0" w:oddHBand="0" w:evenHBand="0" w:firstRowFirstColumn="0" w:firstRowLastColumn="0" w:lastRowFirstColumn="0" w:lastRowLastColumn="0"/>
            <w:tcW w:w="1015" w:type="dxa"/>
            <w:tcBorders>
              <w:left w:val="none" w:sz="0" w:space="0" w:color="auto"/>
            </w:tcBorders>
            <w:vAlign w:val="center"/>
          </w:tcPr>
          <w:p w:rsidR="00156005" w:rsidRPr="00B75B77" w:rsidRDefault="00156005" w:rsidP="00D23ACD">
            <w:pPr>
              <w:jc w:val="right"/>
              <w:rPr>
                <w:rFonts w:eastAsia="Times New Roman"/>
                <w:b/>
                <w:bCs/>
                <w:color w:val="000000"/>
                <w:sz w:val="18"/>
                <w:szCs w:val="18"/>
              </w:rPr>
            </w:pPr>
            <w:r w:rsidRPr="00B75B77">
              <w:rPr>
                <w:sz w:val="18"/>
                <w:szCs w:val="18"/>
              </w:rPr>
              <w:t>26,373</w:t>
            </w:r>
          </w:p>
        </w:tc>
      </w:tr>
      <w:tr w:rsidR="00156005" w:rsidRPr="00B75B77" w:rsidTr="00D23AC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auto"/>
            <w:vAlign w:val="center"/>
          </w:tcPr>
          <w:p w:rsidR="00156005" w:rsidRPr="00B75B77" w:rsidRDefault="00156005" w:rsidP="00722C85">
            <w:pPr>
              <w:jc w:val="center"/>
              <w:rPr>
                <w:rFonts w:eastAsia="Times New Roman"/>
                <w:bCs w:val="0"/>
                <w:color w:val="000000"/>
                <w:sz w:val="18"/>
                <w:szCs w:val="18"/>
              </w:rPr>
            </w:pPr>
            <w:r w:rsidRPr="00B75B77">
              <w:rPr>
                <w:rFonts w:eastAsia="Times New Roman"/>
                <w:bCs w:val="0"/>
                <w:color w:val="000000"/>
                <w:sz w:val="18"/>
                <w:szCs w:val="18"/>
              </w:rPr>
              <w:t>15</w:t>
            </w:r>
          </w:p>
        </w:tc>
        <w:tc>
          <w:tcPr>
            <w:cnfStyle w:val="000010000000" w:firstRow="0" w:lastRow="0" w:firstColumn="0" w:lastColumn="0" w:oddVBand="1" w:evenVBand="0" w:oddHBand="0" w:evenHBand="0" w:firstRowFirstColumn="0" w:firstRowLastColumn="0" w:lastRowFirstColumn="0" w:lastRowLastColumn="0"/>
            <w:tcW w:w="6269" w:type="dxa"/>
            <w:tcBorders>
              <w:left w:val="none" w:sz="0" w:space="0" w:color="auto"/>
              <w:right w:val="none" w:sz="0" w:space="0" w:color="auto"/>
            </w:tcBorders>
            <w:shd w:val="clear" w:color="auto" w:fill="auto"/>
            <w:noWrap/>
            <w:vAlign w:val="center"/>
            <w:hideMark/>
          </w:tcPr>
          <w:p w:rsidR="00156005" w:rsidRPr="00B75B77" w:rsidRDefault="00156005" w:rsidP="00722C85">
            <w:pPr>
              <w:jc w:val="left"/>
              <w:rPr>
                <w:rFonts w:eastAsia="Times New Roman"/>
                <w:bCs/>
                <w:color w:val="000000"/>
                <w:sz w:val="18"/>
                <w:szCs w:val="18"/>
              </w:rPr>
            </w:pPr>
            <w:r w:rsidRPr="00B75B77">
              <w:rPr>
                <w:rFonts w:eastAsia="Times New Roman"/>
                <w:bCs/>
                <w:color w:val="000000"/>
                <w:sz w:val="18"/>
                <w:szCs w:val="18"/>
              </w:rPr>
              <w:t>Total NPV TRC Benefits</w:t>
            </w:r>
            <w:r w:rsidRPr="00B75B77">
              <w:rPr>
                <w:rFonts w:eastAsia="Times New Roman"/>
                <w:bCs/>
                <w:color w:val="000000"/>
                <w:sz w:val="18"/>
                <w:szCs w:val="18"/>
                <w:vertAlign w:val="superscript"/>
              </w:rPr>
              <w:t>[4]</w:t>
            </w:r>
          </w:p>
        </w:tc>
        <w:tc>
          <w:tcPr>
            <w:tcW w:w="1014" w:type="dxa"/>
            <w:tcBorders>
              <w:left w:val="none" w:sz="0" w:space="0" w:color="auto"/>
              <w:right w:val="none" w:sz="0" w:space="0" w:color="auto"/>
            </w:tcBorders>
            <w:shd w:val="clear" w:color="auto" w:fill="auto"/>
            <w:noWrap/>
            <w:vAlign w:val="center"/>
          </w:tcPr>
          <w:p w:rsidR="00156005" w:rsidRPr="00B75B77" w:rsidRDefault="00156005" w:rsidP="00D23ACD">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B75B77">
              <w:rPr>
                <w:sz w:val="18"/>
                <w:szCs w:val="18"/>
              </w:rPr>
              <w:t>187,505</w:t>
            </w:r>
          </w:p>
        </w:tc>
        <w:tc>
          <w:tcPr>
            <w:cnfStyle w:val="000010000000" w:firstRow="0" w:lastRow="0" w:firstColumn="0" w:lastColumn="0" w:oddVBand="1" w:evenVBand="0" w:oddHBand="0" w:evenHBand="0" w:firstRowFirstColumn="0" w:firstRowLastColumn="0" w:lastRowFirstColumn="0" w:lastRowLastColumn="0"/>
            <w:tcW w:w="1015" w:type="dxa"/>
            <w:tcBorders>
              <w:left w:val="none" w:sz="0" w:space="0" w:color="auto"/>
            </w:tcBorders>
            <w:shd w:val="clear" w:color="auto" w:fill="auto"/>
            <w:vAlign w:val="center"/>
          </w:tcPr>
          <w:p w:rsidR="00156005" w:rsidRPr="00B75B77" w:rsidRDefault="00156005" w:rsidP="00D23ACD">
            <w:pPr>
              <w:jc w:val="right"/>
              <w:rPr>
                <w:rFonts w:eastAsia="Times New Roman"/>
                <w:b/>
                <w:bCs/>
                <w:color w:val="000000"/>
                <w:sz w:val="18"/>
                <w:szCs w:val="18"/>
              </w:rPr>
            </w:pPr>
            <w:r w:rsidRPr="00B75B77">
              <w:rPr>
                <w:sz w:val="18"/>
                <w:szCs w:val="18"/>
              </w:rPr>
              <w:t>362,999</w:t>
            </w:r>
          </w:p>
        </w:tc>
      </w:tr>
      <w:tr w:rsidR="00156005" w:rsidRPr="00B75B77" w:rsidTr="00C15945">
        <w:trPr>
          <w:cnfStyle w:val="000000010000" w:firstRow="0" w:lastRow="0" w:firstColumn="0" w:lastColumn="0" w:oddVBand="0" w:evenVBand="0" w:oddHBand="0" w:evenHBand="1"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360" w:type="dxa"/>
            <w:gridSpan w:val="4"/>
            <w:shd w:val="clear" w:color="auto" w:fill="AEAAAA"/>
            <w:vAlign w:val="center"/>
          </w:tcPr>
          <w:p w:rsidR="00156005" w:rsidRPr="00B75B77" w:rsidRDefault="00156005" w:rsidP="00D23ACD">
            <w:pPr>
              <w:jc w:val="right"/>
              <w:rPr>
                <w:rFonts w:eastAsia="Times New Roman"/>
                <w:b w:val="0"/>
                <w:bCs w:val="0"/>
                <w:color w:val="000000"/>
                <w:sz w:val="18"/>
                <w:szCs w:val="18"/>
              </w:rPr>
            </w:pPr>
          </w:p>
        </w:tc>
      </w:tr>
      <w:tr w:rsidR="00156005" w:rsidRPr="00B75B77" w:rsidTr="00D23AC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D2EAF1"/>
            <w:vAlign w:val="center"/>
          </w:tcPr>
          <w:p w:rsidR="00156005" w:rsidRPr="00B75B77" w:rsidRDefault="00156005" w:rsidP="00722C85">
            <w:pPr>
              <w:jc w:val="center"/>
              <w:rPr>
                <w:rFonts w:eastAsia="Times New Roman"/>
                <w:bCs w:val="0"/>
                <w:color w:val="000000"/>
                <w:sz w:val="18"/>
                <w:szCs w:val="18"/>
              </w:rPr>
            </w:pPr>
            <w:r w:rsidRPr="00B75B77">
              <w:rPr>
                <w:rFonts w:eastAsia="Times New Roman"/>
                <w:bCs w:val="0"/>
                <w:color w:val="000000"/>
                <w:sz w:val="18"/>
                <w:szCs w:val="18"/>
              </w:rPr>
              <w:t>16</w:t>
            </w:r>
          </w:p>
        </w:tc>
        <w:tc>
          <w:tcPr>
            <w:cnfStyle w:val="000010000000" w:firstRow="0" w:lastRow="0" w:firstColumn="0" w:lastColumn="0" w:oddVBand="1" w:evenVBand="0" w:oddHBand="0" w:evenHBand="0" w:firstRowFirstColumn="0" w:firstRowLastColumn="0" w:lastRowFirstColumn="0" w:lastRowLastColumn="0"/>
            <w:tcW w:w="6269" w:type="dxa"/>
            <w:tcBorders>
              <w:left w:val="none" w:sz="0" w:space="0" w:color="auto"/>
              <w:right w:val="none" w:sz="0" w:space="0" w:color="auto"/>
            </w:tcBorders>
            <w:shd w:val="clear" w:color="auto" w:fill="D2EAF1"/>
            <w:noWrap/>
            <w:vAlign w:val="center"/>
            <w:hideMark/>
          </w:tcPr>
          <w:p w:rsidR="00156005" w:rsidRPr="00B75B77" w:rsidRDefault="00156005" w:rsidP="00722C85">
            <w:pPr>
              <w:jc w:val="left"/>
              <w:rPr>
                <w:rFonts w:eastAsia="Times New Roman"/>
                <w:bCs/>
                <w:color w:val="000000"/>
                <w:sz w:val="18"/>
                <w:szCs w:val="18"/>
              </w:rPr>
            </w:pPr>
            <w:r w:rsidRPr="00B75B77">
              <w:rPr>
                <w:rFonts w:eastAsia="Times New Roman"/>
                <w:bCs/>
                <w:color w:val="000000"/>
                <w:sz w:val="18"/>
                <w:szCs w:val="18"/>
              </w:rPr>
              <w:t>TRC Benefit-Cost Ratio</w:t>
            </w:r>
            <w:r w:rsidRPr="00B75B77">
              <w:rPr>
                <w:rFonts w:eastAsia="Times New Roman"/>
                <w:bCs/>
                <w:color w:val="000000"/>
                <w:sz w:val="18"/>
                <w:szCs w:val="18"/>
                <w:vertAlign w:val="superscript"/>
              </w:rPr>
              <w:t>[5]</w:t>
            </w:r>
          </w:p>
        </w:tc>
        <w:tc>
          <w:tcPr>
            <w:tcW w:w="1014" w:type="dxa"/>
            <w:tcBorders>
              <w:left w:val="none" w:sz="0" w:space="0" w:color="auto"/>
              <w:right w:val="none" w:sz="0" w:space="0" w:color="auto"/>
            </w:tcBorders>
            <w:shd w:val="clear" w:color="auto" w:fill="D2EAF1"/>
            <w:noWrap/>
            <w:vAlign w:val="center"/>
          </w:tcPr>
          <w:p w:rsidR="00156005" w:rsidRPr="00B75B77" w:rsidRDefault="00156005" w:rsidP="00D23ACD">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B75B77">
              <w:rPr>
                <w:sz w:val="18"/>
                <w:szCs w:val="18"/>
              </w:rPr>
              <w:t>2.53</w:t>
            </w:r>
          </w:p>
        </w:tc>
        <w:tc>
          <w:tcPr>
            <w:cnfStyle w:val="000010000000" w:firstRow="0" w:lastRow="0" w:firstColumn="0" w:lastColumn="0" w:oddVBand="1" w:evenVBand="0" w:oddHBand="0" w:evenHBand="0" w:firstRowFirstColumn="0" w:firstRowLastColumn="0" w:lastRowFirstColumn="0" w:lastRowLastColumn="0"/>
            <w:tcW w:w="1015" w:type="dxa"/>
            <w:tcBorders>
              <w:left w:val="none" w:sz="0" w:space="0" w:color="auto"/>
            </w:tcBorders>
            <w:shd w:val="clear" w:color="auto" w:fill="D2EAF1"/>
            <w:vAlign w:val="center"/>
          </w:tcPr>
          <w:p w:rsidR="00156005" w:rsidRPr="00B75B77" w:rsidRDefault="00156005" w:rsidP="00D23ACD">
            <w:pPr>
              <w:jc w:val="right"/>
              <w:rPr>
                <w:rFonts w:eastAsia="Times New Roman"/>
                <w:b/>
                <w:bCs/>
                <w:color w:val="000000"/>
                <w:sz w:val="18"/>
                <w:szCs w:val="18"/>
              </w:rPr>
            </w:pPr>
            <w:r w:rsidRPr="00B75B77">
              <w:rPr>
                <w:sz w:val="18"/>
                <w:szCs w:val="18"/>
              </w:rPr>
              <w:t>2.24</w:t>
            </w:r>
          </w:p>
        </w:tc>
      </w:tr>
      <w:tr w:rsidR="00156005" w:rsidRPr="00B75B77" w:rsidTr="00722C8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60" w:type="dxa"/>
            <w:gridSpan w:val="4"/>
            <w:shd w:val="clear" w:color="auto" w:fill="auto"/>
          </w:tcPr>
          <w:p w:rsidR="00156005" w:rsidRPr="00B75B77" w:rsidRDefault="00156005" w:rsidP="00722C85">
            <w:pPr>
              <w:jc w:val="left"/>
              <w:rPr>
                <w:rFonts w:ascii="Calibri" w:eastAsia="Times New Roman" w:hAnsi="Calibri"/>
                <w:b w:val="0"/>
                <w:iCs/>
                <w:color w:val="000000"/>
                <w:sz w:val="18"/>
                <w:szCs w:val="18"/>
              </w:rPr>
            </w:pPr>
            <w:r w:rsidRPr="00B75B77">
              <w:rPr>
                <w:rFonts w:ascii="Calibri" w:eastAsia="Times New Roman" w:hAnsi="Calibri"/>
                <w:b w:val="0"/>
                <w:iCs/>
                <w:color w:val="000000"/>
                <w:sz w:val="18"/>
                <w:szCs w:val="18"/>
              </w:rPr>
              <w:t>Per PUC direction, TRC inputs and calculations are required in the Annual Report only and should comply with the 2013 Total Resource Cost Test Order. Please see the “Report Definitions” section of this report for more details.</w:t>
            </w:r>
          </w:p>
          <w:p w:rsidR="00156005" w:rsidRPr="00B75B77" w:rsidRDefault="00156005" w:rsidP="00722C85">
            <w:pPr>
              <w:jc w:val="left"/>
              <w:rPr>
                <w:rFonts w:ascii="Calibri" w:eastAsia="Times New Roman" w:hAnsi="Calibri"/>
                <w:b w:val="0"/>
                <w:i/>
                <w:iCs/>
                <w:color w:val="000000"/>
                <w:sz w:val="18"/>
                <w:szCs w:val="18"/>
              </w:rPr>
            </w:pPr>
          </w:p>
          <w:p w:rsidR="00156005" w:rsidRPr="00B75B77" w:rsidRDefault="00156005" w:rsidP="00722C85">
            <w:pPr>
              <w:jc w:val="left"/>
              <w:rPr>
                <w:rFonts w:ascii="Calibri" w:eastAsia="Times New Roman" w:hAnsi="Calibri"/>
                <w:b w:val="0"/>
                <w:color w:val="000000"/>
                <w:sz w:val="18"/>
                <w:szCs w:val="18"/>
              </w:rPr>
            </w:pPr>
            <w:r w:rsidRPr="00B75B77">
              <w:rPr>
                <w:rFonts w:ascii="Calibri" w:eastAsia="Times New Roman" w:hAnsi="Calibri"/>
                <w:b w:val="0"/>
                <w:color w:val="000000"/>
                <w:sz w:val="18"/>
                <w:szCs w:val="18"/>
                <w:vertAlign w:val="superscript"/>
              </w:rPr>
              <w:t>[1]</w:t>
            </w:r>
            <w:r w:rsidRPr="00B75B77">
              <w:rPr>
                <w:rFonts w:ascii="Calibri" w:eastAsia="Times New Roman" w:hAnsi="Calibri"/>
                <w:b w:val="0"/>
                <w:color w:val="000000"/>
                <w:sz w:val="18"/>
                <w:szCs w:val="18"/>
              </w:rPr>
              <w:t xml:space="preserve"> Includes rebate processing, tracking system, general administration, EDC and CSP program management, general management</w:t>
            </w:r>
            <w:r w:rsidR="00472AA0" w:rsidRPr="00B75B77">
              <w:rPr>
                <w:rFonts w:ascii="Calibri" w:eastAsia="Times New Roman" w:hAnsi="Calibri"/>
                <w:b w:val="0"/>
                <w:color w:val="000000"/>
                <w:sz w:val="18"/>
                <w:szCs w:val="18"/>
              </w:rPr>
              <w:t>,</w:t>
            </w:r>
            <w:r w:rsidRPr="00B75B77">
              <w:rPr>
                <w:rFonts w:ascii="Calibri" w:eastAsia="Times New Roman" w:hAnsi="Calibri"/>
                <w:b w:val="0"/>
                <w:color w:val="000000"/>
                <w:sz w:val="18"/>
                <w:szCs w:val="18"/>
              </w:rPr>
              <w:t xml:space="preserve"> and legal</w:t>
            </w:r>
            <w:r w:rsidR="00D23ACD" w:rsidRPr="00B75B77">
              <w:rPr>
                <w:rFonts w:ascii="Calibri" w:eastAsia="Times New Roman" w:hAnsi="Calibri"/>
                <w:b w:val="0"/>
                <w:color w:val="000000"/>
                <w:sz w:val="18"/>
                <w:szCs w:val="18"/>
              </w:rPr>
              <w:t xml:space="preserve"> and technical assistance. </w:t>
            </w:r>
            <w:r w:rsidRPr="00B75B77">
              <w:rPr>
                <w:rFonts w:ascii="Calibri" w:eastAsia="Times New Roman" w:hAnsi="Calibri"/>
                <w:b w:val="0"/>
                <w:color w:val="000000"/>
                <w:sz w:val="18"/>
                <w:szCs w:val="18"/>
              </w:rPr>
              <w:br/>
            </w:r>
            <w:r w:rsidRPr="00B75B77">
              <w:rPr>
                <w:rFonts w:ascii="Calibri" w:eastAsia="Times New Roman" w:hAnsi="Calibri"/>
                <w:b w:val="0"/>
                <w:color w:val="000000"/>
                <w:sz w:val="18"/>
                <w:szCs w:val="18"/>
                <w:vertAlign w:val="superscript"/>
              </w:rPr>
              <w:t>[2]</w:t>
            </w:r>
            <w:r w:rsidRPr="00B75B77">
              <w:rPr>
                <w:rFonts w:ascii="Calibri" w:eastAsia="Times New Roman" w:hAnsi="Calibri"/>
                <w:b w:val="0"/>
                <w:color w:val="000000"/>
                <w:sz w:val="18"/>
                <w:szCs w:val="18"/>
              </w:rPr>
              <w:t xml:space="preserve"> Includes the marketing CSP and marketing costs by program CSPs. </w:t>
            </w:r>
            <w:r w:rsidRPr="00B75B77">
              <w:rPr>
                <w:rFonts w:ascii="Calibri" w:eastAsia="Times New Roman" w:hAnsi="Calibri"/>
                <w:b w:val="0"/>
                <w:color w:val="000000"/>
                <w:sz w:val="18"/>
                <w:szCs w:val="18"/>
              </w:rPr>
              <w:br/>
            </w:r>
            <w:r w:rsidRPr="00B75B77">
              <w:rPr>
                <w:rFonts w:ascii="Calibri" w:eastAsia="Times New Roman" w:hAnsi="Calibri"/>
                <w:b w:val="0"/>
                <w:color w:val="000000"/>
                <w:sz w:val="18"/>
                <w:szCs w:val="18"/>
                <w:vertAlign w:val="superscript"/>
              </w:rPr>
              <w:t>[3]</w:t>
            </w:r>
            <w:r w:rsidRPr="00B75B77">
              <w:rPr>
                <w:rFonts w:ascii="Calibri" w:eastAsia="Times New Roman" w:hAnsi="Calibri"/>
                <w:b w:val="0"/>
                <w:color w:val="000000"/>
                <w:sz w:val="18"/>
                <w:szCs w:val="18"/>
              </w:rPr>
              <w:t xml:space="preserve"> Total TRC Costs includes Total EDC Costs and Participant Costs.</w:t>
            </w:r>
            <w:r w:rsidRPr="00B75B77">
              <w:rPr>
                <w:rFonts w:ascii="Calibri" w:eastAsia="Times New Roman" w:hAnsi="Calibri"/>
                <w:b w:val="0"/>
                <w:color w:val="000000"/>
                <w:sz w:val="18"/>
                <w:szCs w:val="18"/>
              </w:rPr>
              <w:br/>
            </w:r>
            <w:r w:rsidRPr="00B75B77">
              <w:rPr>
                <w:rFonts w:ascii="Calibri" w:eastAsia="Times New Roman" w:hAnsi="Calibri"/>
                <w:b w:val="0"/>
                <w:color w:val="000000"/>
                <w:sz w:val="18"/>
                <w:szCs w:val="18"/>
                <w:vertAlign w:val="superscript"/>
              </w:rPr>
              <w:t>[4]</w:t>
            </w:r>
            <w:r w:rsidRPr="00B75B77">
              <w:rPr>
                <w:rFonts w:ascii="Calibri" w:eastAsia="Times New Roman" w:hAnsi="Calibri"/>
                <w:b w:val="0"/>
                <w:color w:val="000000"/>
                <w:sz w:val="18"/>
                <w:szCs w:val="18"/>
              </w:rPr>
              <w:t xml:space="preserve"> Total TRC Benefits equals the sum of Total Lifetime Energy Benefits and Total Lifetime Capacity Benefits</w:t>
            </w:r>
            <w:r w:rsidR="00472AA0" w:rsidRPr="00B75B77">
              <w:rPr>
                <w:rFonts w:ascii="Calibri" w:eastAsia="Times New Roman" w:hAnsi="Calibri"/>
                <w:b w:val="0"/>
                <w:color w:val="000000"/>
                <w:sz w:val="18"/>
                <w:szCs w:val="18"/>
              </w:rPr>
              <w:t xml:space="preserve"> b</w:t>
            </w:r>
            <w:r w:rsidRPr="00B75B77">
              <w:rPr>
                <w:rFonts w:ascii="Calibri" w:eastAsia="Times New Roman" w:hAnsi="Calibri"/>
                <w:b w:val="0"/>
                <w:color w:val="000000"/>
                <w:sz w:val="18"/>
                <w:szCs w:val="18"/>
              </w:rPr>
              <w:t>ased upon verified gross kWh and kW savings. Benefits include avoided supply costs, including the reduction in costs of electric energy, generation, transmission, and distribution capacity, and natural gas valued at marginal cost for periods when there is a load reduction. NOTE: Savings carried over from Phase I are not to be included as a part of Total TRC Benefits for Phase II.</w:t>
            </w:r>
            <w:r w:rsidRPr="00B75B77">
              <w:rPr>
                <w:rFonts w:ascii="Calibri" w:eastAsia="Times New Roman" w:hAnsi="Calibri"/>
                <w:b w:val="0"/>
                <w:color w:val="000000"/>
                <w:sz w:val="18"/>
                <w:szCs w:val="18"/>
              </w:rPr>
              <w:br/>
            </w:r>
            <w:r w:rsidRPr="00B75B77">
              <w:rPr>
                <w:rFonts w:ascii="Calibri" w:eastAsia="Times New Roman" w:hAnsi="Calibri"/>
                <w:b w:val="0"/>
                <w:color w:val="000000"/>
                <w:sz w:val="18"/>
                <w:szCs w:val="18"/>
                <w:vertAlign w:val="superscript"/>
              </w:rPr>
              <w:t>[5]</w:t>
            </w:r>
            <w:r w:rsidRPr="00B75B77">
              <w:rPr>
                <w:rFonts w:ascii="Calibri" w:eastAsia="Times New Roman" w:hAnsi="Calibri"/>
                <w:b w:val="0"/>
                <w:color w:val="000000"/>
                <w:sz w:val="18"/>
                <w:szCs w:val="18"/>
              </w:rPr>
              <w:t xml:space="preserve"> TRC Ratio equals Total NPV TRC Benefits divided by Total NPV TRC Costs.</w:t>
            </w:r>
          </w:p>
          <w:p w:rsidR="00156005" w:rsidRPr="00B75B77" w:rsidRDefault="00156005" w:rsidP="00722C85">
            <w:pPr>
              <w:jc w:val="left"/>
              <w:rPr>
                <w:rFonts w:ascii="Calibri" w:eastAsia="Times New Roman" w:hAnsi="Calibri"/>
                <w:b w:val="0"/>
                <w:color w:val="000000"/>
                <w:sz w:val="14"/>
                <w:szCs w:val="14"/>
              </w:rPr>
            </w:pPr>
          </w:p>
          <w:p w:rsidR="00156005" w:rsidRPr="00B75B77" w:rsidRDefault="00156005" w:rsidP="00722C85">
            <w:pPr>
              <w:jc w:val="left"/>
              <w:rPr>
                <w:rFonts w:ascii="Calibri" w:eastAsia="Times New Roman" w:hAnsi="Calibri"/>
                <w:b w:val="0"/>
                <w:bCs w:val="0"/>
                <w:color w:val="000000"/>
                <w:sz w:val="20"/>
                <w:szCs w:val="20"/>
              </w:rPr>
            </w:pPr>
            <w:r w:rsidRPr="00B75B77">
              <w:rPr>
                <w:rFonts w:ascii="Calibri" w:hAnsi="Calibri"/>
                <w:b w:val="0"/>
                <w:color w:val="000000"/>
                <w:sz w:val="18"/>
                <w:szCs w:val="18"/>
              </w:rPr>
              <w:t xml:space="preserve">Values in tables may not reconcile exactly with </w:t>
            </w:r>
            <w:r w:rsidR="00472AA0" w:rsidRPr="00B75B77">
              <w:rPr>
                <w:rFonts w:ascii="Calibri" w:hAnsi="Calibri"/>
                <w:b w:val="0"/>
                <w:color w:val="000000"/>
                <w:sz w:val="18"/>
                <w:szCs w:val="18"/>
              </w:rPr>
              <w:t xml:space="preserve">the </w:t>
            </w:r>
            <w:r w:rsidRPr="00B75B77">
              <w:rPr>
                <w:rFonts w:ascii="Calibri" w:hAnsi="Calibri"/>
                <w:b w:val="0"/>
                <w:color w:val="000000"/>
                <w:sz w:val="18"/>
                <w:szCs w:val="18"/>
              </w:rPr>
              <w:t>sum of more detailed level results or previously reported results due to rounding.</w:t>
            </w:r>
          </w:p>
        </w:tc>
      </w:tr>
    </w:tbl>
    <w:p w:rsidR="00195B2F" w:rsidRPr="00B75B77" w:rsidRDefault="00156005" w:rsidP="00156005">
      <w:pPr>
        <w:pStyle w:val="Source"/>
        <w:widowControl w:val="0"/>
        <w:ind w:left="270" w:hanging="90"/>
      </w:pPr>
      <w:r w:rsidRPr="00B75B77">
        <w:t>Source: Navigant analysis</w:t>
      </w:r>
    </w:p>
    <w:p w:rsidR="00195B2F" w:rsidRPr="00B75B77" w:rsidRDefault="00195B2F">
      <w:pPr>
        <w:jc w:val="left"/>
        <w:sectPr w:rsidR="00195B2F" w:rsidRPr="00B75B77" w:rsidSect="00B5438D">
          <w:pgSz w:w="12240" w:h="15840" w:code="1"/>
          <w:pgMar w:top="1170" w:right="1440" w:bottom="1260" w:left="1440" w:header="576" w:footer="475" w:gutter="0"/>
          <w:cols w:space="720"/>
          <w:docGrid w:linePitch="360"/>
        </w:sectPr>
      </w:pPr>
    </w:p>
    <w:p w:rsidR="00751A38" w:rsidRPr="00B75B77" w:rsidRDefault="00751A38" w:rsidP="00D12857">
      <w:pPr>
        <w:pStyle w:val="Heading1"/>
      </w:pPr>
      <w:bookmarkStart w:id="294" w:name="_Toc466413287"/>
      <w:r w:rsidRPr="00B75B77">
        <w:lastRenderedPageBreak/>
        <w:t>Smart House Call</w:t>
      </w:r>
      <w:r w:rsidR="002922A4" w:rsidRPr="00B75B77">
        <w:t xml:space="preserve"> Program</w:t>
      </w:r>
      <w:bookmarkEnd w:id="294"/>
    </w:p>
    <w:p w:rsidR="00751A38" w:rsidRPr="00B75B77" w:rsidRDefault="00751A38" w:rsidP="00751A38">
      <w:r w:rsidRPr="00B75B77">
        <w:t xml:space="preserve">PECO’s Smart House Call (SHC) program is a two-tiered home audit program where PECO residential electric customers are eligible for a general home assessment (assessment level), and PECO residential electric heat customers and customers with central air conditioning </w:t>
      </w:r>
      <w:r w:rsidR="00AE0446" w:rsidRPr="00B75B77">
        <w:t>(CAC)</w:t>
      </w:r>
      <w:r w:rsidR="003B6964" w:rsidRPr="00B75B77">
        <w:t xml:space="preserve"> </w:t>
      </w:r>
      <w:r w:rsidRPr="00B75B77">
        <w:t>are eligible for a more comprehensive audit (audit level). The SHC program</w:t>
      </w:r>
      <w:r w:rsidR="00B5438D" w:rsidRPr="00B75B77">
        <w:t>’s objectives</w:t>
      </w:r>
      <w:r w:rsidRPr="00B75B77">
        <w:t xml:space="preserve"> are to educate PECO residential customers about their current energy use, inform </w:t>
      </w:r>
      <w:r w:rsidR="00B5438D" w:rsidRPr="00B75B77">
        <w:t xml:space="preserve">customers </w:t>
      </w:r>
      <w:r w:rsidRPr="00B75B77">
        <w:t>of ways they can reduce their energy use, and encourage and facilitate the adoption of energy efficient technology</w:t>
      </w:r>
      <w:r w:rsidR="00B5438D" w:rsidRPr="00B75B77">
        <w:t>,</w:t>
      </w:r>
      <w:r w:rsidRPr="00B75B77">
        <w:t xml:space="preserve"> including through other PECO programs. </w:t>
      </w:r>
      <w:r w:rsidR="004C6E54" w:rsidRPr="00B75B77">
        <w:t xml:space="preserve">The program </w:t>
      </w:r>
      <w:r w:rsidR="00B5438D" w:rsidRPr="00B75B77">
        <w:t>offers a</w:t>
      </w:r>
      <w:r w:rsidRPr="00B75B77">
        <w:t>ll SHC participants direct install (DI) measures during their home visit</w:t>
      </w:r>
      <w:r w:rsidR="00B5438D" w:rsidRPr="00B75B77">
        <w:t>;</w:t>
      </w:r>
      <w:r w:rsidRPr="00B75B77">
        <w:t xml:space="preserve"> audit participants are offered PECO rebates on additional, contractor-installed measures. DI measures include ENERGY STAR CFL bulbs, ENERGY STAR </w:t>
      </w:r>
      <w:r w:rsidR="00B5438D" w:rsidRPr="00B75B77">
        <w:t>light-emitting diode (</w:t>
      </w:r>
      <w:r w:rsidRPr="00B75B77">
        <w:t>LED</w:t>
      </w:r>
      <w:r w:rsidR="00B5438D" w:rsidRPr="00B75B77">
        <w:t>) lamp</w:t>
      </w:r>
      <w:r w:rsidRPr="00B75B77">
        <w:t xml:space="preserve">s, LED nightlights, low-flow faucet aerators, low-flow showerheads, and smart strip plug outlets. Contractor-installed measures include </w:t>
      </w:r>
      <w:r w:rsidR="00A11B93" w:rsidRPr="00B75B77">
        <w:t>a</w:t>
      </w:r>
      <w:r w:rsidRPr="00B75B77">
        <w:t>ir source heat pump (ASHP) duct sealing, ASHP maintenance, air sealing, attic insulation, and wall insulation.</w:t>
      </w:r>
    </w:p>
    <w:p w:rsidR="00751A38" w:rsidRPr="00B75B77" w:rsidRDefault="00751A38" w:rsidP="00751A38"/>
    <w:p w:rsidR="00751A38" w:rsidRPr="00B75B77" w:rsidRDefault="00751A38" w:rsidP="00751A38">
      <w:r w:rsidRPr="00B75B77">
        <w:rPr>
          <w:szCs w:val="20"/>
        </w:rPr>
        <w:t xml:space="preserve">PECO hired a </w:t>
      </w:r>
      <w:r w:rsidRPr="00B75B77">
        <w:t xml:space="preserve">CSP, </w:t>
      </w:r>
      <w:proofErr w:type="spellStart"/>
      <w:r w:rsidRPr="00B75B77">
        <w:t>CLEAResult</w:t>
      </w:r>
      <w:proofErr w:type="spellEnd"/>
      <w:r w:rsidRPr="00B75B77">
        <w:t>,</w:t>
      </w:r>
      <w:r w:rsidRPr="00B75B77">
        <w:rPr>
          <w:szCs w:val="20"/>
        </w:rPr>
        <w:t xml:space="preserve"> to implement and market the program throughout PECO</w:t>
      </w:r>
      <w:r w:rsidR="00A11B93" w:rsidRPr="00B75B77">
        <w:rPr>
          <w:szCs w:val="20"/>
        </w:rPr>
        <w:t>’s</w:t>
      </w:r>
      <w:r w:rsidRPr="00B75B77">
        <w:rPr>
          <w:szCs w:val="20"/>
        </w:rPr>
        <w:t xml:space="preserve"> service territory. </w:t>
      </w:r>
      <w:r w:rsidR="00711ED8" w:rsidRPr="00B75B77">
        <w:rPr>
          <w:szCs w:val="20"/>
        </w:rPr>
        <w:t>The CSP</w:t>
      </w:r>
      <w:r w:rsidRPr="00B75B77">
        <w:rPr>
          <w:szCs w:val="20"/>
        </w:rPr>
        <w:t xml:space="preserve"> was responsible for h</w:t>
      </w:r>
      <w:r w:rsidRPr="00B75B77">
        <w:t xml:space="preserve">iring and training the </w:t>
      </w:r>
      <w:r w:rsidR="00A11B93" w:rsidRPr="00B75B77">
        <w:t>e</w:t>
      </w:r>
      <w:r w:rsidRPr="00B75B77">
        <w:t xml:space="preserve">nergy </w:t>
      </w:r>
      <w:r w:rsidR="00A11B93" w:rsidRPr="00B75B77">
        <w:t>a</w:t>
      </w:r>
      <w:r w:rsidRPr="00B75B77">
        <w:t xml:space="preserve">dvisors who performed the in-home energy assessments and audits, employing the customer service staff who responded to program inquiries and performed intake interviews, and maintaining a list of program-approved contractors. </w:t>
      </w:r>
      <w:r w:rsidR="00711ED8" w:rsidRPr="00B75B77">
        <w:t>The CSP</w:t>
      </w:r>
      <w:r w:rsidRPr="00B75B77">
        <w:t xml:space="preserve"> also managed the program marketing, rebate process, contractor invoicing, and provided biweekly program participation data that feeds into PECO’s </w:t>
      </w:r>
      <w:r w:rsidR="0052409F" w:rsidRPr="00B75B77">
        <w:t>Smart Ideas Database System (</w:t>
      </w:r>
      <w:r w:rsidRPr="00B75B77">
        <w:t>SIDS</w:t>
      </w:r>
      <w:r w:rsidR="0052409F" w:rsidRPr="00B75B77">
        <w:t xml:space="preserve">). </w:t>
      </w:r>
    </w:p>
    <w:p w:rsidR="00751A38" w:rsidRPr="00B75B77" w:rsidRDefault="00751A38" w:rsidP="00751A38"/>
    <w:p w:rsidR="00751A38" w:rsidRPr="00B75B77" w:rsidRDefault="00751A38" w:rsidP="00751A38">
      <w:r w:rsidRPr="00B75B77">
        <w:t xml:space="preserve">PECO customers living in single-family homes or multifamily dwellings with three or fewer units are eligible for the program. Customers </w:t>
      </w:r>
      <w:r w:rsidR="00A11B93" w:rsidRPr="00B75B77">
        <w:t>participating</w:t>
      </w:r>
      <w:r w:rsidRPr="00B75B77">
        <w:t xml:space="preserve"> at the assessment level pay $50 and receive a walkthrough of their home during which an energy advisor installs appropriate DI measures and provides a set of additional verbal recommendations for the homeowner to consider on a </w:t>
      </w:r>
      <w:r w:rsidR="001F3326" w:rsidRPr="00B75B77">
        <w:t>non-</w:t>
      </w:r>
      <w:r w:rsidRPr="00B75B77">
        <w:t xml:space="preserve">incentivized basis. Customers </w:t>
      </w:r>
      <w:r w:rsidR="00A11B93" w:rsidRPr="00B75B77">
        <w:t>participating</w:t>
      </w:r>
      <w:r w:rsidRPr="00B75B77">
        <w:t xml:space="preserve"> </w:t>
      </w:r>
      <w:r w:rsidR="00A11B93" w:rsidRPr="00B75B77">
        <w:t>at</w:t>
      </w:r>
      <w:r w:rsidRPr="00B75B77">
        <w:t xml:space="preserve"> the audit level of the program pay $</w:t>
      </w:r>
      <w:proofErr w:type="gramStart"/>
      <w:r w:rsidRPr="00B75B77">
        <w:t>100</w:t>
      </w:r>
      <w:r w:rsidR="00A11B93" w:rsidRPr="00B75B77">
        <w:t>,</w:t>
      </w:r>
      <w:proofErr w:type="gramEnd"/>
      <w:r w:rsidR="00A11B93" w:rsidRPr="00B75B77">
        <w:t xml:space="preserve"> receive the assessment-level walkthro</w:t>
      </w:r>
      <w:r w:rsidR="00AE0446" w:rsidRPr="00B75B77">
        <w:t>ugh and DI measure installation</w:t>
      </w:r>
      <w:r w:rsidR="001B7CCE" w:rsidRPr="00B75B77">
        <w:t xml:space="preserve">, and </w:t>
      </w:r>
      <w:r w:rsidRPr="00B75B77">
        <w:t xml:space="preserve">a more in-depth </w:t>
      </w:r>
      <w:r w:rsidR="00A11B93" w:rsidRPr="00B75B77">
        <w:t xml:space="preserve">home </w:t>
      </w:r>
      <w:r w:rsidRPr="00B75B77">
        <w:t xml:space="preserve">review </w:t>
      </w:r>
      <w:r w:rsidR="00A11B93" w:rsidRPr="00B75B77">
        <w:t>that</w:t>
      </w:r>
      <w:r w:rsidRPr="00B75B77">
        <w:t xml:space="preserve"> includ</w:t>
      </w:r>
      <w:r w:rsidR="00A11B93" w:rsidRPr="00B75B77">
        <w:t>es</w:t>
      </w:r>
      <w:r w:rsidRPr="00B75B77">
        <w:t xml:space="preserve"> blower door and combustion safety test</w:t>
      </w:r>
      <w:r w:rsidR="00A11B93" w:rsidRPr="00B75B77">
        <w:t>s</w:t>
      </w:r>
      <w:r w:rsidRPr="00B75B77">
        <w:t>. Audit</w:t>
      </w:r>
      <w:r w:rsidR="00A11B93" w:rsidRPr="00B75B77">
        <w:t>-</w:t>
      </w:r>
      <w:r w:rsidRPr="00B75B77">
        <w:t>level participants also receive a report that provides the full cost, incentive amount, and discounted cost for recommended contractor-installed measures, as well as r</w:t>
      </w:r>
      <w:r w:rsidR="001F3326" w:rsidRPr="00B75B77">
        <w:t>ecommendations to consider on a</w:t>
      </w:r>
      <w:r w:rsidRPr="00B75B77">
        <w:t xml:space="preserve"> </w:t>
      </w:r>
      <w:r w:rsidR="001F3326" w:rsidRPr="00B75B77">
        <w:t>non-</w:t>
      </w:r>
      <w:r w:rsidRPr="00B75B77">
        <w:t xml:space="preserve">incentivized basis. </w:t>
      </w:r>
    </w:p>
    <w:p w:rsidR="00751A38" w:rsidRPr="00B75B77" w:rsidRDefault="00751A38" w:rsidP="00286B52">
      <w:pPr>
        <w:rPr>
          <w:color w:val="FF0000"/>
        </w:rPr>
      </w:pPr>
    </w:p>
    <w:p w:rsidR="00751A38" w:rsidRPr="00B75B77" w:rsidRDefault="00751A38" w:rsidP="003E6A9B">
      <w:pPr>
        <w:pStyle w:val="Heading2"/>
      </w:pPr>
      <w:bookmarkStart w:id="295" w:name="_Toc453075180"/>
      <w:bookmarkStart w:id="296" w:name="_Toc466413288"/>
      <w:r w:rsidRPr="00B75B77">
        <w:t>Program Updates</w:t>
      </w:r>
      <w:bookmarkEnd w:id="295"/>
      <w:bookmarkEnd w:id="296"/>
    </w:p>
    <w:p w:rsidR="00751A38" w:rsidRPr="00B75B77" w:rsidRDefault="00751A38" w:rsidP="00751A38">
      <w:r w:rsidRPr="00B75B77">
        <w:t xml:space="preserve">Starting June 1, 2015, PECO expanded the </w:t>
      </w:r>
      <w:r w:rsidR="00AE0446" w:rsidRPr="00B75B77">
        <w:t xml:space="preserve">PY7 </w:t>
      </w:r>
      <w:r w:rsidRPr="00B75B77">
        <w:t xml:space="preserve">SHC audit offering to customers with </w:t>
      </w:r>
      <w:r w:rsidR="00AE0446" w:rsidRPr="00B75B77">
        <w:t>CAC;</w:t>
      </w:r>
      <w:r w:rsidRPr="00B75B77">
        <w:t xml:space="preserve"> previously only residential heat rate customers had been eligible. CAC audit participants are eligible for contractor-installed measure incentives on air sealing, duct sealing on </w:t>
      </w:r>
      <w:r w:rsidR="00707B64" w:rsidRPr="00B75B77">
        <w:t>CAC</w:t>
      </w:r>
      <w:r w:rsidR="00AE0446" w:rsidRPr="00B75B77">
        <w:t xml:space="preserve"> </w:t>
      </w:r>
      <w:r w:rsidRPr="00B75B77">
        <w:t>units, and wall and attic insulation.</w:t>
      </w:r>
    </w:p>
    <w:p w:rsidR="00751A38" w:rsidRPr="00B75B77" w:rsidRDefault="00751A38" w:rsidP="00286B52"/>
    <w:p w:rsidR="00751A38" w:rsidRPr="00B75B77" w:rsidRDefault="00751A38" w:rsidP="00751A38">
      <w:pPr>
        <w:pStyle w:val="Heading3"/>
      </w:pPr>
      <w:bookmarkStart w:id="297" w:name="_Toc453075181"/>
      <w:bookmarkStart w:id="298" w:name="_Toc466413289"/>
      <w:r w:rsidRPr="00B75B77">
        <w:t>Definition of a Participant</w:t>
      </w:r>
      <w:bookmarkEnd w:id="297"/>
      <w:bookmarkEnd w:id="298"/>
    </w:p>
    <w:p w:rsidR="00751A38" w:rsidRPr="00B75B77" w:rsidRDefault="00751A38" w:rsidP="00751A38">
      <w:r w:rsidRPr="00B75B77">
        <w:rPr>
          <w:snapToGrid w:val="0"/>
        </w:rPr>
        <w:t>At the beginning of Phase II, PECO defined SHC participant</w:t>
      </w:r>
      <w:r w:rsidR="008C1DCF" w:rsidRPr="00B75B77">
        <w:rPr>
          <w:snapToGrid w:val="0"/>
        </w:rPr>
        <w:t>s</w:t>
      </w:r>
      <w:r w:rsidRPr="00B75B77">
        <w:rPr>
          <w:snapToGrid w:val="0"/>
        </w:rPr>
        <w:t xml:space="preserve"> as being a combination of unique premise number and invoice number</w:t>
      </w:r>
      <w:r w:rsidR="00AE0446" w:rsidRPr="00B75B77">
        <w:rPr>
          <w:snapToGrid w:val="0"/>
        </w:rPr>
        <w:t>;</w:t>
      </w:r>
      <w:r w:rsidRPr="00B75B77">
        <w:rPr>
          <w:snapToGrid w:val="0"/>
        </w:rPr>
        <w:t xml:space="preserve"> however</w:t>
      </w:r>
      <w:r w:rsidR="00AE0446" w:rsidRPr="00B75B77">
        <w:rPr>
          <w:snapToGrid w:val="0"/>
        </w:rPr>
        <w:t>,</w:t>
      </w:r>
      <w:r w:rsidRPr="00B75B77">
        <w:rPr>
          <w:snapToGrid w:val="0"/>
        </w:rPr>
        <w:t xml:space="preserve"> in PY7 both the evaluation team and PECO identified several cases where this definition did not provide an accurate count of participants. The evaluation team and PECO worked together to develop a new participant definition where the participant count is equal to the </w:t>
      </w:r>
      <w:r w:rsidRPr="00B75B77">
        <w:t>count of unique project numbers, excluding all measur</w:t>
      </w:r>
      <w:r w:rsidR="005C7FA8" w:rsidRPr="00B75B77">
        <w:t xml:space="preserve">e installation project numbers </w:t>
      </w:r>
      <w:r w:rsidRPr="00B75B77">
        <w:t xml:space="preserve">denoted as “other installation” projects in </w:t>
      </w:r>
      <w:r w:rsidR="005C7FA8" w:rsidRPr="00B75B77">
        <w:t>program tracking data</w:t>
      </w:r>
      <w:r w:rsidRPr="00B75B77">
        <w:t>, by program year and confirmed that this updated operational definition successfully distinguishes unique participants.</w:t>
      </w:r>
    </w:p>
    <w:p w:rsidR="00751A38" w:rsidRPr="00B75B77" w:rsidRDefault="00751A38" w:rsidP="00286B52"/>
    <w:p w:rsidR="00751A38" w:rsidRPr="00B75B77" w:rsidRDefault="00751A38" w:rsidP="00193BF4">
      <w:pPr>
        <w:pStyle w:val="Heading2"/>
        <w:keepNext/>
      </w:pPr>
      <w:bookmarkStart w:id="299" w:name="_Toc453075182"/>
      <w:bookmarkStart w:id="300" w:name="_Toc466413290"/>
      <w:r w:rsidRPr="00B75B77">
        <w:lastRenderedPageBreak/>
        <w:t>Impact Evaluation Gross Savings</w:t>
      </w:r>
      <w:bookmarkEnd w:id="299"/>
      <w:bookmarkEnd w:id="300"/>
      <w:r w:rsidRPr="00B75B77">
        <w:t xml:space="preserve"> </w:t>
      </w:r>
    </w:p>
    <w:p w:rsidR="00751A38" w:rsidRPr="00B75B77" w:rsidRDefault="00751A38" w:rsidP="003C5D51">
      <w:pPr>
        <w:keepNext/>
        <w:spacing w:before="240"/>
      </w:pPr>
      <w:r w:rsidRPr="00B75B77">
        <w:t xml:space="preserve">The total </w:t>
      </w:r>
      <w:r w:rsidR="00BF29D2" w:rsidRPr="00B75B77">
        <w:t xml:space="preserve">SHC program </w:t>
      </w:r>
      <w:r w:rsidR="003C5D51" w:rsidRPr="00B75B77">
        <w:t>verified</w:t>
      </w:r>
      <w:r w:rsidRPr="00B75B77">
        <w:t xml:space="preserve"> energy savings for Phase II were 10,566 MWh, </w:t>
      </w:r>
      <w:r w:rsidR="003C5D51" w:rsidRPr="00B75B77">
        <w:t xml:space="preserve">verified </w:t>
      </w:r>
      <w:r w:rsidRPr="00B75B77">
        <w:t xml:space="preserve">gross demand savings were 1.5 MW, and total incentives paid to customers were $921,070. </w:t>
      </w:r>
      <w:r w:rsidR="00711ED8" w:rsidRPr="00B75B77">
        <w:fldChar w:fldCharType="begin"/>
      </w:r>
      <w:r w:rsidR="00711ED8" w:rsidRPr="00B75B77">
        <w:instrText xml:space="preserve"> REF _Ref461809864 \h </w:instrText>
      </w:r>
      <w:r w:rsidR="00B75B77">
        <w:instrText xml:space="preserve"> \* MERGEFORMAT </w:instrText>
      </w:r>
      <w:r w:rsidR="00711ED8" w:rsidRPr="00B75B77">
        <w:fldChar w:fldCharType="separate"/>
      </w:r>
      <w:r w:rsidR="0004016D" w:rsidRPr="00B75B77">
        <w:t xml:space="preserve">Table </w:t>
      </w:r>
      <w:r w:rsidR="0004016D">
        <w:rPr>
          <w:noProof/>
        </w:rPr>
        <w:t>3</w:t>
      </w:r>
      <w:r w:rsidR="0004016D" w:rsidRPr="00B75B77">
        <w:rPr>
          <w:noProof/>
        </w:rPr>
        <w:noBreakHyphen/>
      </w:r>
      <w:r w:rsidR="0004016D">
        <w:rPr>
          <w:noProof/>
        </w:rPr>
        <w:t>1</w:t>
      </w:r>
      <w:r w:rsidR="00711ED8" w:rsidRPr="00B75B77">
        <w:fldChar w:fldCharType="end"/>
      </w:r>
      <w:r w:rsidR="00711ED8" w:rsidRPr="00B75B77">
        <w:t xml:space="preserve"> </w:t>
      </w:r>
      <w:r w:rsidR="00711ED8" w:rsidRPr="00B75B77">
        <w:rPr>
          <w:noProof/>
        </w:rPr>
        <w:t>shows the Phase II savings and incentive results for the SHC program</w:t>
      </w:r>
      <w:r w:rsidR="00711ED8" w:rsidRPr="00B75B77">
        <w:t>.</w:t>
      </w:r>
    </w:p>
    <w:p w:rsidR="00751A38" w:rsidRPr="00B75B77" w:rsidRDefault="00751A38" w:rsidP="00286B52"/>
    <w:p w:rsidR="00751A38" w:rsidRPr="00B75B77" w:rsidRDefault="00751A38" w:rsidP="00751A38">
      <w:pPr>
        <w:pStyle w:val="Caption"/>
      </w:pPr>
      <w:bookmarkStart w:id="301" w:name="_Ref461809864"/>
      <w:bookmarkStart w:id="302" w:name="_Ref461809820"/>
      <w:bookmarkStart w:id="303" w:name="_Toc466413521"/>
      <w:r w:rsidRPr="00B75B77">
        <w:t xml:space="preserve">Table </w:t>
      </w:r>
      <w:fldSimple w:instr=" STYLEREF 1 \s ">
        <w:r w:rsidR="0004016D">
          <w:rPr>
            <w:noProof/>
          </w:rPr>
          <w:t>3</w:t>
        </w:r>
      </w:fldSimple>
      <w:r w:rsidR="00F1144C" w:rsidRPr="00B75B77">
        <w:noBreakHyphen/>
      </w:r>
      <w:fldSimple w:instr=" SEQ Table \* ARABIC \s 1 ">
        <w:r w:rsidR="0004016D">
          <w:rPr>
            <w:noProof/>
          </w:rPr>
          <w:t>1</w:t>
        </w:r>
      </w:fldSimple>
      <w:bookmarkEnd w:id="301"/>
      <w:r w:rsidRPr="00B75B77">
        <w:t>: Phase II Smart House Call Reported Results by Customer Sector</w:t>
      </w:r>
      <w:bookmarkEnd w:id="302"/>
      <w:bookmarkEnd w:id="303"/>
    </w:p>
    <w:tbl>
      <w:tblPr>
        <w:tblW w:w="9805" w:type="dxa"/>
        <w:tblLook w:val="04A0" w:firstRow="1" w:lastRow="0" w:firstColumn="1" w:lastColumn="0" w:noHBand="0" w:noVBand="1"/>
      </w:tblPr>
      <w:tblGrid>
        <w:gridCol w:w="2629"/>
        <w:gridCol w:w="1236"/>
        <w:gridCol w:w="1270"/>
        <w:gridCol w:w="1179"/>
        <w:gridCol w:w="1389"/>
        <w:gridCol w:w="1115"/>
        <w:gridCol w:w="987"/>
      </w:tblGrid>
      <w:tr w:rsidR="00751A38" w:rsidRPr="00B75B77" w:rsidTr="00850B3A">
        <w:trPr>
          <w:divId w:val="1579440158"/>
          <w:trHeight w:val="648"/>
        </w:trPr>
        <w:tc>
          <w:tcPr>
            <w:tcW w:w="2629" w:type="dxa"/>
            <w:tcBorders>
              <w:top w:val="single" w:sz="4" w:space="0" w:color="auto"/>
              <w:left w:val="single" w:sz="4" w:space="0" w:color="auto"/>
              <w:bottom w:val="single" w:sz="4" w:space="0" w:color="auto"/>
              <w:right w:val="single" w:sz="4" w:space="0" w:color="auto"/>
            </w:tcBorders>
            <w:shd w:val="clear" w:color="000000" w:fill="448A99"/>
            <w:vAlign w:val="center"/>
            <w:hideMark/>
          </w:tcPr>
          <w:p w:rsidR="00751A38" w:rsidRPr="00B75B77" w:rsidRDefault="001623DE" w:rsidP="0009500C">
            <w:pPr>
              <w:jc w:val="left"/>
              <w:rPr>
                <w:rFonts w:ascii="Calibri" w:eastAsia="Times New Roman" w:hAnsi="Calibri"/>
                <w:b/>
                <w:bCs/>
                <w:color w:val="FFFFFF"/>
                <w:sz w:val="18"/>
                <w:szCs w:val="18"/>
                <w:vertAlign w:val="superscript"/>
              </w:rPr>
            </w:pPr>
            <w:r w:rsidRPr="00B75B77">
              <w:rPr>
                <w:rFonts w:ascii="Calibri" w:eastAsia="Times New Roman" w:hAnsi="Calibri"/>
                <w:b/>
                <w:bCs/>
                <w:color w:val="FFFFFF"/>
                <w:sz w:val="18"/>
                <w:szCs w:val="18"/>
              </w:rPr>
              <w:t>Customer Sector</w:t>
            </w:r>
            <w:r w:rsidR="00751A38" w:rsidRPr="00B75B77">
              <w:rPr>
                <w:rFonts w:ascii="Calibri" w:eastAsia="Times New Roman" w:hAnsi="Calibri"/>
                <w:b/>
                <w:bCs/>
                <w:color w:val="FFFFFF"/>
                <w:sz w:val="18"/>
                <w:szCs w:val="18"/>
                <w:vertAlign w:val="superscript"/>
              </w:rPr>
              <w:t>[1]</w:t>
            </w:r>
          </w:p>
        </w:tc>
        <w:tc>
          <w:tcPr>
            <w:tcW w:w="1236" w:type="dxa"/>
            <w:tcBorders>
              <w:top w:val="single" w:sz="4" w:space="0" w:color="auto"/>
              <w:left w:val="nil"/>
              <w:bottom w:val="single" w:sz="4" w:space="0" w:color="auto"/>
              <w:right w:val="single" w:sz="4" w:space="0" w:color="auto"/>
            </w:tcBorders>
            <w:shd w:val="clear" w:color="000000" w:fill="448A99"/>
            <w:vAlign w:val="center"/>
            <w:hideMark/>
          </w:tcPr>
          <w:p w:rsidR="00751A38" w:rsidRPr="00B75B77" w:rsidRDefault="00751A38"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Participants</w:t>
            </w:r>
          </w:p>
        </w:tc>
        <w:tc>
          <w:tcPr>
            <w:tcW w:w="1270" w:type="dxa"/>
            <w:tcBorders>
              <w:top w:val="single" w:sz="4" w:space="0" w:color="auto"/>
              <w:left w:val="nil"/>
              <w:bottom w:val="single" w:sz="4" w:space="0" w:color="auto"/>
              <w:right w:val="single" w:sz="4" w:space="0" w:color="auto"/>
            </w:tcBorders>
            <w:shd w:val="clear" w:color="000000" w:fill="448A99"/>
            <w:vAlign w:val="center"/>
            <w:hideMark/>
          </w:tcPr>
          <w:p w:rsidR="00751A38" w:rsidRPr="00B75B77" w:rsidRDefault="00751A38"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Reported Gross Energy Savings (MWh)</w:t>
            </w:r>
          </w:p>
        </w:tc>
        <w:tc>
          <w:tcPr>
            <w:tcW w:w="1179" w:type="dxa"/>
            <w:tcBorders>
              <w:top w:val="single" w:sz="4" w:space="0" w:color="auto"/>
              <w:left w:val="nil"/>
              <w:bottom w:val="single" w:sz="4" w:space="0" w:color="auto"/>
              <w:right w:val="single" w:sz="4" w:space="0" w:color="auto"/>
            </w:tcBorders>
            <w:shd w:val="clear" w:color="000000" w:fill="448A99"/>
            <w:vAlign w:val="center"/>
            <w:hideMark/>
          </w:tcPr>
          <w:p w:rsidR="00751A38" w:rsidRPr="00B75B77" w:rsidRDefault="00751A38"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Reported Gross Demand Reduction (MW)</w:t>
            </w:r>
            <w:r w:rsidRPr="00B75B77">
              <w:rPr>
                <w:rFonts w:ascii="Calibri" w:eastAsia="Times New Roman" w:hAnsi="Calibri"/>
                <w:b/>
                <w:bCs/>
                <w:color w:val="FFFFFF"/>
                <w:sz w:val="18"/>
                <w:szCs w:val="18"/>
                <w:vertAlign w:val="superscript"/>
              </w:rPr>
              <w:t>[2]</w:t>
            </w:r>
          </w:p>
        </w:tc>
        <w:tc>
          <w:tcPr>
            <w:tcW w:w="1389" w:type="dxa"/>
            <w:tcBorders>
              <w:top w:val="single" w:sz="4" w:space="0" w:color="auto"/>
              <w:left w:val="nil"/>
              <w:bottom w:val="single" w:sz="4" w:space="0" w:color="auto"/>
              <w:right w:val="single" w:sz="4" w:space="0" w:color="auto"/>
            </w:tcBorders>
            <w:shd w:val="clear" w:color="000000" w:fill="448A99"/>
            <w:vAlign w:val="center"/>
            <w:hideMark/>
          </w:tcPr>
          <w:p w:rsidR="00751A38" w:rsidRPr="00B75B77" w:rsidRDefault="00751A38"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Verified Gross Energy Savings (MWh)</w:t>
            </w:r>
          </w:p>
        </w:tc>
        <w:tc>
          <w:tcPr>
            <w:tcW w:w="1115" w:type="dxa"/>
            <w:tcBorders>
              <w:top w:val="single" w:sz="4" w:space="0" w:color="auto"/>
              <w:left w:val="nil"/>
              <w:bottom w:val="single" w:sz="4" w:space="0" w:color="auto"/>
              <w:right w:val="single" w:sz="4" w:space="0" w:color="auto"/>
            </w:tcBorders>
            <w:shd w:val="clear" w:color="000000" w:fill="448A99"/>
            <w:vAlign w:val="center"/>
            <w:hideMark/>
          </w:tcPr>
          <w:p w:rsidR="00751A38" w:rsidRPr="00B75B77" w:rsidRDefault="00751A38"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Verified Gross Demand Reduction (MW)</w:t>
            </w:r>
            <w:r w:rsidRPr="00B75B77">
              <w:rPr>
                <w:rFonts w:ascii="Calibri" w:eastAsia="Times New Roman" w:hAnsi="Calibri"/>
                <w:b/>
                <w:bCs/>
                <w:color w:val="FFFFFF"/>
                <w:sz w:val="18"/>
                <w:szCs w:val="18"/>
                <w:vertAlign w:val="superscript"/>
              </w:rPr>
              <w:t>[2]</w:t>
            </w:r>
          </w:p>
        </w:tc>
        <w:tc>
          <w:tcPr>
            <w:tcW w:w="987" w:type="dxa"/>
            <w:tcBorders>
              <w:top w:val="single" w:sz="4" w:space="0" w:color="auto"/>
              <w:left w:val="nil"/>
              <w:bottom w:val="single" w:sz="4" w:space="0" w:color="auto"/>
              <w:right w:val="single" w:sz="4" w:space="0" w:color="auto"/>
            </w:tcBorders>
            <w:shd w:val="clear" w:color="000000" w:fill="448A99"/>
            <w:vAlign w:val="center"/>
            <w:hideMark/>
          </w:tcPr>
          <w:p w:rsidR="00751A38" w:rsidRPr="00B75B77" w:rsidRDefault="00751A38" w:rsidP="00AE0F3F">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Incentives Paid</w:t>
            </w:r>
            <w:r w:rsidRPr="00B75B77">
              <w:rPr>
                <w:rFonts w:ascii="Calibri" w:eastAsia="Times New Roman" w:hAnsi="Calibri"/>
                <w:b/>
                <w:bCs/>
                <w:color w:val="FFFFFF"/>
                <w:sz w:val="18"/>
                <w:szCs w:val="18"/>
              </w:rPr>
              <w:br/>
              <w:t>($1,000)</w:t>
            </w:r>
          </w:p>
        </w:tc>
      </w:tr>
      <w:tr w:rsidR="00442C8B" w:rsidRPr="00B75B77" w:rsidTr="00850B3A">
        <w:trPr>
          <w:divId w:val="1579440158"/>
          <w:trHeight w:val="372"/>
        </w:trPr>
        <w:tc>
          <w:tcPr>
            <w:tcW w:w="2629" w:type="dxa"/>
            <w:tcBorders>
              <w:top w:val="nil"/>
              <w:left w:val="single" w:sz="4" w:space="0" w:color="448A99"/>
              <w:bottom w:val="single" w:sz="4" w:space="0" w:color="448A99"/>
              <w:right w:val="single" w:sz="4" w:space="0" w:color="448A99"/>
            </w:tcBorders>
            <w:shd w:val="clear" w:color="000000" w:fill="D2EAF1"/>
            <w:vAlign w:val="center"/>
            <w:hideMark/>
          </w:tcPr>
          <w:p w:rsidR="00442C8B" w:rsidRPr="00B75B77" w:rsidRDefault="00442C8B" w:rsidP="00442C8B">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Residential (Non-Low-Income)</w:t>
            </w:r>
          </w:p>
        </w:tc>
        <w:tc>
          <w:tcPr>
            <w:tcW w:w="1236"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12,</w:t>
            </w:r>
            <w:r w:rsidR="00202193" w:rsidRPr="00B75B77">
              <w:rPr>
                <w:rFonts w:ascii="Calibri" w:eastAsia="Times New Roman" w:hAnsi="Calibri"/>
                <w:color w:val="000000"/>
                <w:sz w:val="18"/>
                <w:szCs w:val="18"/>
              </w:rPr>
              <w:t>047</w:t>
            </w:r>
          </w:p>
        </w:tc>
        <w:tc>
          <w:tcPr>
            <w:tcW w:w="1270"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10,566</w:t>
            </w:r>
          </w:p>
        </w:tc>
        <w:tc>
          <w:tcPr>
            <w:tcW w:w="1179"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1.5</w:t>
            </w:r>
          </w:p>
        </w:tc>
        <w:tc>
          <w:tcPr>
            <w:tcW w:w="1389"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10,5</w:t>
            </w:r>
            <w:r w:rsidR="00202193" w:rsidRPr="00B75B77">
              <w:rPr>
                <w:rFonts w:ascii="Calibri" w:eastAsia="Times New Roman" w:hAnsi="Calibri"/>
                <w:color w:val="000000"/>
                <w:sz w:val="18"/>
                <w:szCs w:val="18"/>
              </w:rPr>
              <w:t>21</w:t>
            </w:r>
          </w:p>
        </w:tc>
        <w:tc>
          <w:tcPr>
            <w:tcW w:w="1115"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1.5</w:t>
            </w:r>
          </w:p>
        </w:tc>
        <w:tc>
          <w:tcPr>
            <w:tcW w:w="987"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$9</w:t>
            </w:r>
            <w:r w:rsidR="00202193" w:rsidRPr="00B75B77">
              <w:rPr>
                <w:rFonts w:ascii="Calibri" w:eastAsia="Times New Roman" w:hAnsi="Calibri"/>
                <w:color w:val="000000"/>
                <w:sz w:val="18"/>
                <w:szCs w:val="18"/>
              </w:rPr>
              <w:t>18</w:t>
            </w:r>
          </w:p>
        </w:tc>
      </w:tr>
      <w:tr w:rsidR="00442C8B" w:rsidRPr="00B75B77" w:rsidTr="00850B3A">
        <w:trPr>
          <w:divId w:val="1579440158"/>
          <w:trHeight w:val="372"/>
        </w:trPr>
        <w:tc>
          <w:tcPr>
            <w:tcW w:w="2629" w:type="dxa"/>
            <w:tcBorders>
              <w:top w:val="nil"/>
              <w:left w:val="single" w:sz="4" w:space="0" w:color="448A99"/>
              <w:bottom w:val="single" w:sz="4" w:space="0" w:color="448A99"/>
              <w:right w:val="single" w:sz="4" w:space="0" w:color="448A99"/>
            </w:tcBorders>
            <w:shd w:val="clear" w:color="000000" w:fill="FFFFFF"/>
            <w:vAlign w:val="center"/>
            <w:hideMark/>
          </w:tcPr>
          <w:p w:rsidR="00442C8B" w:rsidRPr="00B75B77" w:rsidRDefault="00442C8B" w:rsidP="00442C8B">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Residential (Low-Income)</w:t>
            </w:r>
            <w:r w:rsidRPr="00B75B77">
              <w:rPr>
                <w:rFonts w:ascii="Calibri" w:eastAsia="Times New Roman" w:hAnsi="Calibri"/>
                <w:b/>
                <w:bCs/>
                <w:sz w:val="18"/>
                <w:szCs w:val="18"/>
                <w:vertAlign w:val="superscript"/>
              </w:rPr>
              <w:t xml:space="preserve"> [3]</w:t>
            </w:r>
          </w:p>
        </w:tc>
        <w:tc>
          <w:tcPr>
            <w:tcW w:w="1236" w:type="dxa"/>
            <w:tcBorders>
              <w:top w:val="nil"/>
              <w:left w:val="nil"/>
              <w:bottom w:val="single" w:sz="4" w:space="0" w:color="448A99"/>
              <w:right w:val="single" w:sz="4" w:space="0" w:color="448A99"/>
            </w:tcBorders>
            <w:shd w:val="clear" w:color="000000" w:fill="FFFFFF"/>
            <w:vAlign w:val="center"/>
            <w:hideMark/>
          </w:tcPr>
          <w:p w:rsidR="00442C8B" w:rsidRPr="00B75B77" w:rsidRDefault="00202193"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54</w:t>
            </w:r>
          </w:p>
        </w:tc>
        <w:tc>
          <w:tcPr>
            <w:tcW w:w="1270"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179"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389" w:type="dxa"/>
            <w:tcBorders>
              <w:top w:val="nil"/>
              <w:left w:val="nil"/>
              <w:bottom w:val="single" w:sz="4" w:space="0" w:color="448A99"/>
              <w:right w:val="single" w:sz="4" w:space="0" w:color="448A99"/>
            </w:tcBorders>
            <w:shd w:val="clear" w:color="000000" w:fill="FFFFFF"/>
            <w:vAlign w:val="center"/>
            <w:hideMark/>
          </w:tcPr>
          <w:p w:rsidR="00442C8B" w:rsidRPr="00B75B77" w:rsidRDefault="00202193"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45</w:t>
            </w:r>
          </w:p>
        </w:tc>
        <w:tc>
          <w:tcPr>
            <w:tcW w:w="1115"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987"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w:t>
            </w:r>
            <w:r w:rsidR="00202193" w:rsidRPr="00B75B77">
              <w:rPr>
                <w:rFonts w:ascii="Calibri" w:eastAsia="Times New Roman" w:hAnsi="Calibri"/>
                <w:color w:val="000000"/>
                <w:sz w:val="18"/>
                <w:szCs w:val="18"/>
              </w:rPr>
              <w:t>3</w:t>
            </w:r>
          </w:p>
        </w:tc>
      </w:tr>
      <w:tr w:rsidR="00751A38" w:rsidRPr="00B75B77" w:rsidTr="00850B3A">
        <w:trPr>
          <w:divId w:val="1579440158"/>
          <w:trHeight w:val="372"/>
        </w:trPr>
        <w:tc>
          <w:tcPr>
            <w:tcW w:w="2629" w:type="dxa"/>
            <w:tcBorders>
              <w:top w:val="nil"/>
              <w:left w:val="single" w:sz="4" w:space="0" w:color="448A99"/>
              <w:bottom w:val="single" w:sz="4" w:space="0" w:color="448A99"/>
              <w:right w:val="single" w:sz="4" w:space="0" w:color="448A99"/>
            </w:tcBorders>
            <w:shd w:val="clear" w:color="000000" w:fill="D2EAF1"/>
            <w:vAlign w:val="center"/>
            <w:hideMark/>
          </w:tcPr>
          <w:p w:rsidR="00751A38" w:rsidRPr="00B75B77" w:rsidRDefault="00751A38" w:rsidP="00751A38">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Small C</w:t>
            </w:r>
            <w:r w:rsidR="0054073E" w:rsidRPr="00B75B77">
              <w:rPr>
                <w:rFonts w:ascii="Calibri" w:eastAsia="Times New Roman" w:hAnsi="Calibri"/>
                <w:bCs/>
                <w:color w:val="000000"/>
                <w:sz w:val="18"/>
                <w:szCs w:val="18"/>
              </w:rPr>
              <w:t>&amp;I</w:t>
            </w:r>
          </w:p>
        </w:tc>
        <w:tc>
          <w:tcPr>
            <w:tcW w:w="1236"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270"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179"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389"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115"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987"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AE0F3F">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751A38" w:rsidRPr="00B75B77" w:rsidTr="00850B3A">
        <w:trPr>
          <w:divId w:val="1579440158"/>
          <w:trHeight w:val="372"/>
        </w:trPr>
        <w:tc>
          <w:tcPr>
            <w:tcW w:w="2629" w:type="dxa"/>
            <w:tcBorders>
              <w:top w:val="nil"/>
              <w:left w:val="single" w:sz="4" w:space="0" w:color="448A99"/>
              <w:bottom w:val="single" w:sz="4" w:space="0" w:color="448A99"/>
              <w:right w:val="single" w:sz="4" w:space="0" w:color="448A99"/>
            </w:tcBorders>
            <w:shd w:val="clear" w:color="000000" w:fill="FFFFFF"/>
            <w:vAlign w:val="center"/>
            <w:hideMark/>
          </w:tcPr>
          <w:p w:rsidR="00751A38" w:rsidRPr="00B75B77" w:rsidRDefault="00751A38" w:rsidP="00751A38">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Large C</w:t>
            </w:r>
            <w:r w:rsidR="0054073E" w:rsidRPr="00B75B77">
              <w:rPr>
                <w:rFonts w:ascii="Calibri" w:eastAsia="Times New Roman" w:hAnsi="Calibri"/>
                <w:bCs/>
                <w:color w:val="000000"/>
                <w:sz w:val="18"/>
                <w:szCs w:val="18"/>
              </w:rPr>
              <w:t>&amp;I</w:t>
            </w:r>
          </w:p>
        </w:tc>
        <w:tc>
          <w:tcPr>
            <w:tcW w:w="1236" w:type="dxa"/>
            <w:tcBorders>
              <w:top w:val="nil"/>
              <w:left w:val="nil"/>
              <w:bottom w:val="single" w:sz="4" w:space="0" w:color="448A99"/>
              <w:right w:val="single" w:sz="4" w:space="0" w:color="448A99"/>
            </w:tcBorders>
            <w:shd w:val="clear" w:color="000000" w:fill="FFFFFF"/>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270" w:type="dxa"/>
            <w:tcBorders>
              <w:top w:val="nil"/>
              <w:left w:val="nil"/>
              <w:bottom w:val="single" w:sz="4" w:space="0" w:color="448A99"/>
              <w:right w:val="single" w:sz="4" w:space="0" w:color="448A99"/>
            </w:tcBorders>
            <w:shd w:val="clear" w:color="000000" w:fill="FFFFFF"/>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179" w:type="dxa"/>
            <w:tcBorders>
              <w:top w:val="nil"/>
              <w:left w:val="nil"/>
              <w:bottom w:val="single" w:sz="4" w:space="0" w:color="448A99"/>
              <w:right w:val="single" w:sz="4" w:space="0" w:color="448A99"/>
            </w:tcBorders>
            <w:shd w:val="clear" w:color="000000" w:fill="FFFFFF"/>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389" w:type="dxa"/>
            <w:tcBorders>
              <w:top w:val="nil"/>
              <w:left w:val="nil"/>
              <w:bottom w:val="single" w:sz="4" w:space="0" w:color="448A99"/>
              <w:right w:val="single" w:sz="4" w:space="0" w:color="448A99"/>
            </w:tcBorders>
            <w:shd w:val="clear" w:color="000000" w:fill="FFFFFF"/>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115" w:type="dxa"/>
            <w:tcBorders>
              <w:top w:val="nil"/>
              <w:left w:val="nil"/>
              <w:bottom w:val="single" w:sz="4" w:space="0" w:color="448A99"/>
              <w:right w:val="single" w:sz="4" w:space="0" w:color="448A99"/>
            </w:tcBorders>
            <w:shd w:val="clear" w:color="000000" w:fill="FFFFFF"/>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987" w:type="dxa"/>
            <w:tcBorders>
              <w:top w:val="nil"/>
              <w:left w:val="nil"/>
              <w:bottom w:val="single" w:sz="4" w:space="0" w:color="448A99"/>
              <w:right w:val="single" w:sz="4" w:space="0" w:color="448A99"/>
            </w:tcBorders>
            <w:shd w:val="clear" w:color="000000" w:fill="FFFFFF"/>
            <w:vAlign w:val="center"/>
            <w:hideMark/>
          </w:tcPr>
          <w:p w:rsidR="00751A38" w:rsidRPr="00B75B77" w:rsidRDefault="00751A38" w:rsidP="00AE0F3F">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751A38" w:rsidRPr="00B75B77" w:rsidTr="00850B3A">
        <w:trPr>
          <w:divId w:val="1579440158"/>
          <w:trHeight w:val="372"/>
        </w:trPr>
        <w:tc>
          <w:tcPr>
            <w:tcW w:w="2629" w:type="dxa"/>
            <w:tcBorders>
              <w:top w:val="nil"/>
              <w:left w:val="single" w:sz="4" w:space="0" w:color="448A99"/>
              <w:bottom w:val="single" w:sz="4" w:space="0" w:color="448A99"/>
              <w:right w:val="single" w:sz="4" w:space="0" w:color="448A99"/>
            </w:tcBorders>
            <w:shd w:val="clear" w:color="000000" w:fill="D2EAF1"/>
            <w:vAlign w:val="center"/>
            <w:hideMark/>
          </w:tcPr>
          <w:p w:rsidR="00751A38" w:rsidRPr="00B75B77" w:rsidRDefault="00751A38" w:rsidP="00751A38">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G</w:t>
            </w:r>
            <w:r w:rsidR="0054073E" w:rsidRPr="00B75B77">
              <w:rPr>
                <w:rFonts w:ascii="Calibri" w:eastAsia="Times New Roman" w:hAnsi="Calibri"/>
                <w:bCs/>
                <w:color w:val="000000"/>
                <w:sz w:val="18"/>
                <w:szCs w:val="18"/>
              </w:rPr>
              <w:t>NI</w:t>
            </w:r>
          </w:p>
        </w:tc>
        <w:tc>
          <w:tcPr>
            <w:tcW w:w="1236"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270"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179"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389"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115"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987"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AE0F3F">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751A38" w:rsidRPr="00B75B77" w:rsidTr="00850B3A">
        <w:trPr>
          <w:divId w:val="1579440158"/>
          <w:trHeight w:val="312"/>
        </w:trPr>
        <w:tc>
          <w:tcPr>
            <w:tcW w:w="2629" w:type="dxa"/>
            <w:tcBorders>
              <w:top w:val="nil"/>
              <w:left w:val="single" w:sz="4" w:space="0" w:color="448A99"/>
              <w:bottom w:val="single" w:sz="4" w:space="0" w:color="448A99"/>
              <w:right w:val="single" w:sz="4" w:space="0" w:color="448A99"/>
            </w:tcBorders>
            <w:shd w:val="clear" w:color="000000" w:fill="FFFFFF"/>
            <w:vAlign w:val="center"/>
            <w:hideMark/>
          </w:tcPr>
          <w:p w:rsidR="00751A38" w:rsidRPr="00B75B77" w:rsidRDefault="00796A52" w:rsidP="00751A38">
            <w:pPr>
              <w:jc w:val="left"/>
              <w:rPr>
                <w:rFonts w:ascii="Calibri" w:eastAsia="Times New Roman" w:hAnsi="Calibri"/>
                <w:b/>
                <w:color w:val="000000"/>
                <w:sz w:val="18"/>
                <w:szCs w:val="18"/>
              </w:rPr>
            </w:pPr>
            <w:r w:rsidRPr="00B75B77">
              <w:rPr>
                <w:rFonts w:ascii="Calibri" w:eastAsia="Times New Roman" w:hAnsi="Calibri"/>
                <w:b/>
                <w:color w:val="000000"/>
                <w:sz w:val="18"/>
                <w:szCs w:val="18"/>
              </w:rPr>
              <w:t>PHASE II TOTAL</w:t>
            </w:r>
          </w:p>
        </w:tc>
        <w:tc>
          <w:tcPr>
            <w:tcW w:w="1236" w:type="dxa"/>
            <w:tcBorders>
              <w:top w:val="nil"/>
              <w:left w:val="nil"/>
              <w:bottom w:val="single" w:sz="4" w:space="0" w:color="448A99"/>
              <w:right w:val="single" w:sz="4" w:space="0" w:color="448A99"/>
            </w:tcBorders>
            <w:shd w:val="clear" w:color="000000" w:fill="FFFFFF"/>
            <w:vAlign w:val="center"/>
            <w:hideMark/>
          </w:tcPr>
          <w:p w:rsidR="00751A38" w:rsidRPr="00B75B77" w:rsidRDefault="00751A38" w:rsidP="00751A38">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12,101</w:t>
            </w:r>
          </w:p>
        </w:tc>
        <w:tc>
          <w:tcPr>
            <w:tcW w:w="1270" w:type="dxa"/>
            <w:tcBorders>
              <w:top w:val="nil"/>
              <w:left w:val="nil"/>
              <w:bottom w:val="single" w:sz="4" w:space="0" w:color="448A99"/>
              <w:right w:val="single" w:sz="4" w:space="0" w:color="448A99"/>
            </w:tcBorders>
            <w:shd w:val="clear" w:color="000000" w:fill="FFFFFF"/>
            <w:vAlign w:val="center"/>
            <w:hideMark/>
          </w:tcPr>
          <w:p w:rsidR="00751A38" w:rsidRPr="00B75B77" w:rsidRDefault="00751A38" w:rsidP="00751A38">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10,566</w:t>
            </w:r>
          </w:p>
        </w:tc>
        <w:tc>
          <w:tcPr>
            <w:tcW w:w="1179" w:type="dxa"/>
            <w:tcBorders>
              <w:top w:val="nil"/>
              <w:left w:val="nil"/>
              <w:bottom w:val="single" w:sz="4" w:space="0" w:color="448A99"/>
              <w:right w:val="single" w:sz="4" w:space="0" w:color="448A99"/>
            </w:tcBorders>
            <w:shd w:val="clear" w:color="000000" w:fill="FFFFFF"/>
            <w:vAlign w:val="center"/>
            <w:hideMark/>
          </w:tcPr>
          <w:p w:rsidR="00751A38" w:rsidRPr="00B75B77" w:rsidRDefault="00751A38" w:rsidP="00751A38">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1.5</w:t>
            </w:r>
          </w:p>
        </w:tc>
        <w:tc>
          <w:tcPr>
            <w:tcW w:w="1389" w:type="dxa"/>
            <w:tcBorders>
              <w:top w:val="nil"/>
              <w:left w:val="nil"/>
              <w:bottom w:val="single" w:sz="4" w:space="0" w:color="448A99"/>
              <w:right w:val="single" w:sz="4" w:space="0" w:color="448A99"/>
            </w:tcBorders>
            <w:shd w:val="clear" w:color="000000" w:fill="FFFFFF"/>
            <w:vAlign w:val="center"/>
            <w:hideMark/>
          </w:tcPr>
          <w:p w:rsidR="00751A38" w:rsidRPr="00B75B77" w:rsidRDefault="00751A38" w:rsidP="00751A38">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10,566</w:t>
            </w:r>
          </w:p>
        </w:tc>
        <w:tc>
          <w:tcPr>
            <w:tcW w:w="1115" w:type="dxa"/>
            <w:tcBorders>
              <w:top w:val="nil"/>
              <w:left w:val="nil"/>
              <w:bottom w:val="single" w:sz="4" w:space="0" w:color="448A99"/>
              <w:right w:val="single" w:sz="4" w:space="0" w:color="448A99"/>
            </w:tcBorders>
            <w:shd w:val="clear" w:color="000000" w:fill="FFFFFF"/>
            <w:vAlign w:val="center"/>
            <w:hideMark/>
          </w:tcPr>
          <w:p w:rsidR="00751A38" w:rsidRPr="00B75B77" w:rsidRDefault="00751A38" w:rsidP="00751A38">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1.5</w:t>
            </w:r>
          </w:p>
        </w:tc>
        <w:tc>
          <w:tcPr>
            <w:tcW w:w="987" w:type="dxa"/>
            <w:tcBorders>
              <w:top w:val="nil"/>
              <w:left w:val="nil"/>
              <w:bottom w:val="single" w:sz="4" w:space="0" w:color="448A99"/>
              <w:right w:val="single" w:sz="4" w:space="0" w:color="448A99"/>
            </w:tcBorders>
            <w:shd w:val="clear" w:color="000000" w:fill="FFFFFF"/>
            <w:vAlign w:val="center"/>
            <w:hideMark/>
          </w:tcPr>
          <w:p w:rsidR="00751A38" w:rsidRPr="00B75B77" w:rsidRDefault="00751A38" w:rsidP="00AE0F3F">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$921</w:t>
            </w:r>
          </w:p>
        </w:tc>
      </w:tr>
    </w:tbl>
    <w:p w:rsidR="00850B3A" w:rsidRPr="00B75B77" w:rsidRDefault="00850B3A" w:rsidP="00850B3A">
      <w:pPr>
        <w:pStyle w:val="Source"/>
        <w:spacing w:before="20" w:after="20"/>
        <w:ind w:left="187" w:firstLine="0"/>
        <w:rPr>
          <w:rFonts w:ascii="Calibri" w:hAnsi="Calibri"/>
          <w:i w:val="0"/>
          <w:color w:val="000000"/>
          <w:szCs w:val="18"/>
        </w:rPr>
      </w:pPr>
      <w:r w:rsidRPr="00B75B77">
        <w:rPr>
          <w:rFonts w:ascii="Calibri" w:hAnsi="Calibri"/>
          <w:i w:val="0"/>
          <w:color w:val="000000"/>
          <w:szCs w:val="18"/>
          <w:vertAlign w:val="superscript"/>
        </w:rPr>
        <w:t>[1]</w:t>
      </w:r>
      <w:r w:rsidRPr="00B75B77">
        <w:rPr>
          <w:rFonts w:ascii="Calibri" w:hAnsi="Calibri"/>
          <w:i w:val="0"/>
          <w:color w:val="000000"/>
          <w:szCs w:val="18"/>
        </w:rPr>
        <w:t xml:space="preserve"> All customer sector totals are exclusive of each other and may be added together to get the Phase II totals.</w:t>
      </w:r>
      <w:r w:rsidRPr="00B75B77">
        <w:rPr>
          <w:rFonts w:ascii="Calibri" w:hAnsi="Calibri"/>
          <w:i w:val="0"/>
          <w:color w:val="000000"/>
          <w:szCs w:val="18"/>
        </w:rPr>
        <w:br/>
      </w:r>
      <w:r w:rsidRPr="00B75B77">
        <w:rPr>
          <w:rFonts w:ascii="Calibri" w:hAnsi="Calibri"/>
          <w:i w:val="0"/>
          <w:color w:val="000000"/>
          <w:szCs w:val="18"/>
          <w:vertAlign w:val="superscript"/>
        </w:rPr>
        <w:t>[2]</w:t>
      </w:r>
      <w:r w:rsidRPr="00B75B77">
        <w:rPr>
          <w:rFonts w:ascii="Calibri" w:hAnsi="Calibri"/>
          <w:i w:val="0"/>
          <w:color w:val="000000"/>
          <w:szCs w:val="18"/>
        </w:rPr>
        <w:t xml:space="preserve"> All reported and verified demand savings in </w:t>
      </w:r>
      <w:r w:rsidR="00B26791" w:rsidRPr="00B75B77">
        <w:rPr>
          <w:rFonts w:ascii="Calibri" w:hAnsi="Calibri"/>
          <w:i w:val="0"/>
          <w:color w:val="000000"/>
          <w:szCs w:val="18"/>
        </w:rPr>
        <w:t>this report include line losses</w:t>
      </w:r>
      <w:r w:rsidRPr="00B75B77">
        <w:rPr>
          <w:rFonts w:ascii="Calibri" w:hAnsi="Calibri"/>
          <w:i w:val="0"/>
          <w:color w:val="000000"/>
          <w:szCs w:val="18"/>
        </w:rPr>
        <w:t xml:space="preserve"> as required.</w:t>
      </w:r>
    </w:p>
    <w:p w:rsidR="00442C8B" w:rsidRPr="00B75B77" w:rsidRDefault="00442C8B" w:rsidP="00850B3A">
      <w:pPr>
        <w:pStyle w:val="Source"/>
        <w:spacing w:before="20" w:after="20"/>
        <w:ind w:left="187" w:firstLine="0"/>
        <w:rPr>
          <w:rStyle w:val="Strong"/>
          <w:b w:val="0"/>
          <w:bCs w:val="0"/>
          <w:i w:val="0"/>
        </w:rPr>
      </w:pPr>
      <w:r w:rsidRPr="00B75B77">
        <w:rPr>
          <w:rFonts w:ascii="Calibri" w:hAnsi="Calibri"/>
          <w:i w:val="0"/>
          <w:color w:val="000000"/>
          <w:szCs w:val="18"/>
          <w:vertAlign w:val="superscript"/>
        </w:rPr>
        <w:t>[3]</w:t>
      </w:r>
      <w:r w:rsidRPr="00B75B77">
        <w:rPr>
          <w:rFonts w:ascii="Calibri" w:hAnsi="Calibri"/>
          <w:i w:val="0"/>
          <w:color w:val="000000"/>
          <w:szCs w:val="18"/>
        </w:rPr>
        <w:t xml:space="preserve"> The evaluation team verified the percentage of customers participating in the program that were low-income qualified through participant surveys. The survey results were used to estimate program savings and incentives paid that went to low-income customers.</w:t>
      </w:r>
    </w:p>
    <w:p w:rsidR="00850B3A" w:rsidRPr="00B75B77" w:rsidRDefault="00850B3A" w:rsidP="00850B3A">
      <w:pPr>
        <w:pStyle w:val="Source"/>
        <w:spacing w:before="20" w:after="20"/>
        <w:ind w:left="187" w:firstLine="0"/>
        <w:rPr>
          <w:rStyle w:val="Strong"/>
          <w:b w:val="0"/>
          <w:bCs w:val="0"/>
          <w:i w:val="0"/>
        </w:rPr>
      </w:pPr>
      <w:r w:rsidRPr="00B75B77">
        <w:rPr>
          <w:rStyle w:val="Strong"/>
          <w:b w:val="0"/>
          <w:bCs w:val="0"/>
          <w:i w:val="0"/>
        </w:rPr>
        <w:t xml:space="preserve">Note: </w:t>
      </w:r>
      <w:r w:rsidRPr="00B75B77">
        <w:rPr>
          <w:rFonts w:ascii="Calibri" w:hAnsi="Calibri"/>
          <w:i w:val="0"/>
          <w:iCs/>
          <w:color w:val="000000"/>
          <w:szCs w:val="18"/>
        </w:rPr>
        <w:t>Values in tables may not reconcile exactly with the sum of more detailed level results or previously reported results due to rounding.</w:t>
      </w:r>
    </w:p>
    <w:p w:rsidR="00751A38" w:rsidRPr="00B75B77" w:rsidRDefault="00751A38" w:rsidP="00E64E08">
      <w:pPr>
        <w:pStyle w:val="Source"/>
        <w:rPr>
          <w:rStyle w:val="Strong"/>
          <w:b w:val="0"/>
          <w:bCs w:val="0"/>
        </w:rPr>
      </w:pPr>
      <w:r w:rsidRPr="00B75B77">
        <w:rPr>
          <w:rStyle w:val="Strong"/>
          <w:b w:val="0"/>
          <w:bCs w:val="0"/>
        </w:rPr>
        <w:t>Source: Navigant analysis</w:t>
      </w:r>
    </w:p>
    <w:p w:rsidR="00751A38" w:rsidRPr="00B75B77" w:rsidRDefault="00751A38" w:rsidP="00751A38">
      <w:pPr>
        <w:pStyle w:val="Heading3"/>
      </w:pPr>
      <w:bookmarkStart w:id="304" w:name="_Ref462043479"/>
      <w:bookmarkStart w:id="305" w:name="_Toc466413291"/>
      <w:r w:rsidRPr="00B75B77">
        <w:t>Gross Verified Savings Methodology</w:t>
      </w:r>
      <w:bookmarkEnd w:id="304"/>
      <w:bookmarkEnd w:id="305"/>
      <w:r w:rsidRPr="00B75B77">
        <w:t xml:space="preserve"> </w:t>
      </w:r>
    </w:p>
    <w:p w:rsidR="0009500C" w:rsidRPr="00B75B77" w:rsidRDefault="00751A38" w:rsidP="00751A38">
      <w:r w:rsidRPr="00B75B77">
        <w:t xml:space="preserve">The evaluation team employed several methods to verify the reported savings values. This verification work served to measure the level of agreement between program tracking data and available independent documentation, </w:t>
      </w:r>
      <w:r w:rsidR="00E64E08" w:rsidRPr="00B75B77">
        <w:t xml:space="preserve">as well as </w:t>
      </w:r>
      <w:r w:rsidRPr="00B75B77">
        <w:t xml:space="preserve">to gauge the proportion of program measures still in place relative to what was </w:t>
      </w:r>
      <w:r w:rsidR="0009500C" w:rsidRPr="00B75B77">
        <w:t xml:space="preserve">reported in the tracking data. </w:t>
      </w:r>
    </w:p>
    <w:p w:rsidR="00F308B3" w:rsidRPr="00B75B77" w:rsidRDefault="00F308B3" w:rsidP="00751A38"/>
    <w:p w:rsidR="00751A38" w:rsidRPr="00B75B77" w:rsidRDefault="00751A38" w:rsidP="009E08FB">
      <w:pPr>
        <w:pStyle w:val="NormalSpacer"/>
        <w:numPr>
          <w:ilvl w:val="0"/>
          <w:numId w:val="36"/>
        </w:numPr>
        <w:spacing w:after="120"/>
      </w:pPr>
      <w:r w:rsidRPr="00B75B77">
        <w:rPr>
          <w:b/>
        </w:rPr>
        <w:t>Invoice reviews.</w:t>
      </w:r>
      <w:r w:rsidRPr="00B75B77">
        <w:t xml:space="preserve"> </w:t>
      </w:r>
      <w:r w:rsidR="00961984" w:rsidRPr="00B75B77">
        <w:t xml:space="preserve">The evaluation team </w:t>
      </w:r>
      <w:r w:rsidRPr="00B75B77">
        <w:t xml:space="preserve">conducted a comprehensive review of </w:t>
      </w:r>
      <w:r w:rsidR="00E44910" w:rsidRPr="00B75B77">
        <w:t xml:space="preserve">CSP </w:t>
      </w:r>
      <w:r w:rsidRPr="00B75B77">
        <w:t xml:space="preserve">invoices and compared them against quarterly program tracking data. </w:t>
      </w:r>
      <w:r w:rsidR="00115D01" w:rsidRPr="00B75B77">
        <w:t xml:space="preserve">During </w:t>
      </w:r>
      <w:r w:rsidRPr="00B75B77">
        <w:t>this review</w:t>
      </w:r>
      <w:r w:rsidR="00115D01" w:rsidRPr="00B75B77">
        <w:t>,</w:t>
      </w:r>
      <w:r w:rsidRPr="00B75B77">
        <w:t xml:space="preserve"> the evaluation team compared the number and date of assessments and audits performed and the program costs associated with that work between the two data source</w:t>
      </w:r>
      <w:r w:rsidR="0009500C" w:rsidRPr="00B75B77">
        <w:t>s.</w:t>
      </w:r>
    </w:p>
    <w:p w:rsidR="00751A38" w:rsidRPr="00B75B77" w:rsidRDefault="00751A38" w:rsidP="009E08FB">
      <w:pPr>
        <w:pStyle w:val="NormalSpacer"/>
        <w:numPr>
          <w:ilvl w:val="0"/>
          <w:numId w:val="36"/>
        </w:numPr>
        <w:spacing w:after="120"/>
      </w:pPr>
      <w:r w:rsidRPr="00B75B77">
        <w:rPr>
          <w:b/>
        </w:rPr>
        <w:t>Desk reviews.</w:t>
      </w:r>
      <w:r w:rsidRPr="00B75B77">
        <w:t xml:space="preserve"> The evaluation team verified that all measure calculations </w:t>
      </w:r>
      <w:r w:rsidR="00845869" w:rsidRPr="00B75B77">
        <w:t>complied</w:t>
      </w:r>
      <w:r w:rsidRPr="00B75B77">
        <w:t xml:space="preserve"> with the </w:t>
      </w:r>
      <w:r w:rsidR="00115D01" w:rsidRPr="00B75B77">
        <w:t>2</w:t>
      </w:r>
      <w:r w:rsidR="00961984" w:rsidRPr="00B75B77">
        <w:t xml:space="preserve">015 </w:t>
      </w:r>
      <w:r w:rsidR="00115D01" w:rsidRPr="00B75B77">
        <w:t>TRM</w:t>
      </w:r>
      <w:r w:rsidRPr="00B75B77">
        <w:t xml:space="preserve">. </w:t>
      </w:r>
      <w:r w:rsidR="00961984" w:rsidRPr="00B75B77">
        <w:t>T</w:t>
      </w:r>
      <w:r w:rsidRPr="00B75B77">
        <w:t>his review included all records in the program tracking database</w:t>
      </w:r>
      <w:r w:rsidR="00961984" w:rsidRPr="00B75B77">
        <w:t xml:space="preserve">, as shown in </w:t>
      </w:r>
      <w:r w:rsidR="00961984" w:rsidRPr="00B75B77">
        <w:fldChar w:fldCharType="begin"/>
      </w:r>
      <w:r w:rsidR="00961984" w:rsidRPr="00B75B77">
        <w:instrText xml:space="preserve"> REF _Ref463268325 \h  \* MERGEFORMAT </w:instrText>
      </w:r>
      <w:r w:rsidR="00961984" w:rsidRPr="00B75B77">
        <w:fldChar w:fldCharType="separate"/>
      </w:r>
      <w:r w:rsidR="0004016D" w:rsidRPr="00B75B77">
        <w:t xml:space="preserve">Table </w:t>
      </w:r>
      <w:r w:rsidR="0004016D">
        <w:rPr>
          <w:noProof/>
        </w:rPr>
        <w:t>3</w:t>
      </w:r>
      <w:r w:rsidR="0004016D" w:rsidRPr="00B75B77">
        <w:rPr>
          <w:noProof/>
        </w:rPr>
        <w:noBreakHyphen/>
      </w:r>
      <w:r w:rsidR="0004016D">
        <w:rPr>
          <w:noProof/>
        </w:rPr>
        <w:t>2</w:t>
      </w:r>
      <w:r w:rsidR="00961984" w:rsidRPr="00B75B77">
        <w:fldChar w:fldCharType="end"/>
      </w:r>
      <w:r w:rsidRPr="00B75B77">
        <w:t xml:space="preserve">. For both energy and demand savings, the evaluation team applied algorithms as specified in the TRM and parameter values from a combination of TRM default inputs and customer-specific values as provided in the tracking data. The evaluation team compared reported savings and TRM-verified savings for each record, measure, and for the program </w:t>
      </w:r>
      <w:r w:rsidR="0009500C" w:rsidRPr="00B75B77">
        <w:t>overall.</w:t>
      </w:r>
    </w:p>
    <w:p w:rsidR="00751A38" w:rsidRPr="00B75B77" w:rsidRDefault="00751A38" w:rsidP="009E08FB">
      <w:pPr>
        <w:pStyle w:val="NormalSpacer"/>
        <w:numPr>
          <w:ilvl w:val="0"/>
          <w:numId w:val="36"/>
        </w:numPr>
      </w:pPr>
      <w:r w:rsidRPr="00B75B77">
        <w:rPr>
          <w:b/>
        </w:rPr>
        <w:lastRenderedPageBreak/>
        <w:t>Verification interviews</w:t>
      </w:r>
      <w:r w:rsidR="00961984" w:rsidRPr="00B75B77">
        <w:rPr>
          <w:b/>
        </w:rPr>
        <w:t xml:space="preserve"> (phone)</w:t>
      </w:r>
      <w:r w:rsidRPr="00B75B77">
        <w:rPr>
          <w:b/>
        </w:rPr>
        <w:t>.</w:t>
      </w:r>
      <w:r w:rsidRPr="00B75B77">
        <w:t xml:space="preserve"> The evaluation team conducted telephone interviews with a stratified random sample of 130 program participants to verify </w:t>
      </w:r>
      <w:r w:rsidR="008552EC" w:rsidRPr="00B75B77">
        <w:t xml:space="preserve">if </w:t>
      </w:r>
      <w:r w:rsidRPr="00B75B77">
        <w:t xml:space="preserve">program-incentivized measures </w:t>
      </w:r>
      <w:r w:rsidR="00961984" w:rsidRPr="00B75B77">
        <w:t>(</w:t>
      </w:r>
      <w:r w:rsidRPr="00B75B77">
        <w:t>as recorded in the program tracking data</w:t>
      </w:r>
      <w:r w:rsidR="00961984" w:rsidRPr="00B75B77">
        <w:t>)</w:t>
      </w:r>
      <w:r w:rsidRPr="00B75B77">
        <w:t xml:space="preserve"> were still installed and functioning.</w:t>
      </w:r>
      <w:r w:rsidRPr="00B75B77">
        <w:rPr>
          <w:rStyle w:val="FootnoteReference"/>
        </w:rPr>
        <w:footnoteReference w:id="17"/>
      </w:r>
      <w:r w:rsidRPr="00B75B77">
        <w:t xml:space="preserve"> Stratification was based on whether customers had participated at the assessment level or </w:t>
      </w:r>
      <w:r w:rsidR="008552EC" w:rsidRPr="00B75B77">
        <w:t xml:space="preserve">the </w:t>
      </w:r>
      <w:r w:rsidRPr="00B75B77">
        <w:t xml:space="preserve">audit level and, within the audit level, whether the program tracking data indicated </w:t>
      </w:r>
      <w:r w:rsidR="008552EC" w:rsidRPr="00B75B77">
        <w:t xml:space="preserve">customers </w:t>
      </w:r>
      <w:r w:rsidRPr="00B75B77">
        <w:t xml:space="preserve">had installed one or more of the contractor-installed major measures. For each measure type where tracking data indicated the participant had one or more measures installed, </w:t>
      </w:r>
      <w:r w:rsidR="00877C73" w:rsidRPr="00B75B77">
        <w:t xml:space="preserve">the evaluation team asked </w:t>
      </w:r>
      <w:r w:rsidRPr="00B75B77">
        <w:t xml:space="preserve">the respondent to verify the number of program measures that remained installed and whether they remained functioning. In cases where participants reported </w:t>
      </w:r>
      <w:r w:rsidR="008552EC" w:rsidRPr="00B75B77">
        <w:t>uninstalling</w:t>
      </w:r>
      <w:r w:rsidRPr="00B75B77">
        <w:t xml:space="preserve"> measures</w:t>
      </w:r>
      <w:r w:rsidR="008552EC" w:rsidRPr="00B75B77">
        <w:t>,</w:t>
      </w:r>
      <w:r w:rsidRPr="00B75B77">
        <w:t xml:space="preserve"> the</w:t>
      </w:r>
      <w:r w:rsidR="008552EC" w:rsidRPr="00B75B77">
        <w:t xml:space="preserve"> evaluation team</w:t>
      </w:r>
      <w:r w:rsidRPr="00B75B77">
        <w:t xml:space="preserve"> asked </w:t>
      </w:r>
      <w:r w:rsidR="008552EC" w:rsidRPr="00B75B77">
        <w:t xml:space="preserve">for </w:t>
      </w:r>
      <w:r w:rsidRPr="00B75B77">
        <w:t>the reason</w:t>
      </w:r>
      <w:r w:rsidR="008552EC" w:rsidRPr="00B75B77">
        <w:t xml:space="preserve"> why</w:t>
      </w:r>
      <w:r w:rsidRPr="00B75B77">
        <w:t xml:space="preserve">. As part of the phone verification, the evaluation team reviewed the program files for all 130 interviewees and compared the materials in each participant’s file against the tracking data to verify the measures installed in each home. </w:t>
      </w:r>
    </w:p>
    <w:p w:rsidR="00751A38" w:rsidRPr="00B75B77" w:rsidRDefault="00751A38" w:rsidP="00751A38">
      <w:pPr>
        <w:pStyle w:val="ListParagraph"/>
        <w:jc w:val="left"/>
      </w:pPr>
    </w:p>
    <w:p w:rsidR="00751A38" w:rsidRPr="00B75B77" w:rsidRDefault="00751A38" w:rsidP="008552EC">
      <w:r w:rsidRPr="00B75B77">
        <w:t xml:space="preserve">Final targeted and achieved sample sizes for verification activities </w:t>
      </w:r>
      <w:r w:rsidR="008552EC" w:rsidRPr="00B75B77">
        <w:t>involving</w:t>
      </w:r>
      <w:r w:rsidRPr="00B75B77">
        <w:t xml:space="preserve"> sampling are shown in </w:t>
      </w:r>
      <w:r w:rsidR="00792D48" w:rsidRPr="00B75B77">
        <w:fldChar w:fldCharType="begin"/>
      </w:r>
      <w:r w:rsidR="00792D48" w:rsidRPr="00B75B77">
        <w:instrText xml:space="preserve"> REF _Ref463268325 \h </w:instrText>
      </w:r>
      <w:r w:rsidR="008552EC" w:rsidRPr="00B75B77">
        <w:instrText xml:space="preserve"> \* MERGEFORMAT </w:instrText>
      </w:r>
      <w:r w:rsidR="00792D48" w:rsidRPr="00B75B77">
        <w:fldChar w:fldCharType="separate"/>
      </w:r>
      <w:r w:rsidR="0004016D" w:rsidRPr="00B75B77">
        <w:t xml:space="preserve">Table </w:t>
      </w:r>
      <w:r w:rsidR="0004016D">
        <w:rPr>
          <w:noProof/>
        </w:rPr>
        <w:t>3</w:t>
      </w:r>
      <w:r w:rsidR="0004016D" w:rsidRPr="00B75B77">
        <w:rPr>
          <w:noProof/>
        </w:rPr>
        <w:noBreakHyphen/>
      </w:r>
      <w:r w:rsidR="0004016D">
        <w:rPr>
          <w:noProof/>
        </w:rPr>
        <w:t>2</w:t>
      </w:r>
      <w:r w:rsidR="00792D48" w:rsidRPr="00B75B77">
        <w:fldChar w:fldCharType="end"/>
      </w:r>
      <w:r w:rsidRPr="00B75B77">
        <w:t>.</w:t>
      </w:r>
    </w:p>
    <w:p w:rsidR="00751A38" w:rsidRPr="00B75B77" w:rsidRDefault="00751A38" w:rsidP="00653A61">
      <w:pPr>
        <w:pStyle w:val="Caption"/>
        <w:spacing w:before="120"/>
      </w:pPr>
      <w:bookmarkStart w:id="306" w:name="_Ref463268325"/>
      <w:bookmarkStart w:id="307" w:name="_Toc466413522"/>
      <w:r w:rsidRPr="00B75B77">
        <w:t xml:space="preserve">Table </w:t>
      </w:r>
      <w:fldSimple w:instr=" STYLEREF 1 \s ">
        <w:r w:rsidR="0004016D">
          <w:rPr>
            <w:noProof/>
          </w:rPr>
          <w:t>3</w:t>
        </w:r>
      </w:fldSimple>
      <w:r w:rsidR="00F1144C" w:rsidRPr="00B75B77">
        <w:noBreakHyphen/>
      </w:r>
      <w:fldSimple w:instr=" SEQ Table \* ARABIC \s 1 ">
        <w:r w:rsidR="0004016D">
          <w:rPr>
            <w:noProof/>
          </w:rPr>
          <w:t>2</w:t>
        </w:r>
      </w:fldSimple>
      <w:bookmarkEnd w:id="306"/>
      <w:r w:rsidRPr="00B75B77">
        <w:t>: Smart House Call Sampling Strategy for PY7</w:t>
      </w:r>
      <w:bookmarkEnd w:id="307"/>
    </w:p>
    <w:tbl>
      <w:tblPr>
        <w:tblW w:w="9355" w:type="dxa"/>
        <w:tblLook w:val="04A0" w:firstRow="1" w:lastRow="0" w:firstColumn="1" w:lastColumn="0" w:noHBand="0" w:noVBand="1"/>
      </w:tblPr>
      <w:tblGrid>
        <w:gridCol w:w="2256"/>
        <w:gridCol w:w="1035"/>
        <w:gridCol w:w="2028"/>
        <w:gridCol w:w="990"/>
        <w:gridCol w:w="1170"/>
        <w:gridCol w:w="1876"/>
      </w:tblGrid>
      <w:tr w:rsidR="00751A38" w:rsidRPr="00B75B77" w:rsidTr="00850B3A">
        <w:trPr>
          <w:divId w:val="1060399888"/>
          <w:trHeight w:val="660"/>
        </w:trPr>
        <w:tc>
          <w:tcPr>
            <w:tcW w:w="2256" w:type="dxa"/>
            <w:tcBorders>
              <w:top w:val="single" w:sz="4" w:space="0" w:color="auto"/>
              <w:left w:val="single" w:sz="4" w:space="0" w:color="auto"/>
              <w:bottom w:val="single" w:sz="4" w:space="0" w:color="auto"/>
              <w:right w:val="single" w:sz="4" w:space="0" w:color="auto"/>
            </w:tcBorders>
            <w:shd w:val="clear" w:color="000000" w:fill="448A99"/>
            <w:vAlign w:val="center"/>
            <w:hideMark/>
          </w:tcPr>
          <w:p w:rsidR="00751A38" w:rsidRPr="00B75B77" w:rsidRDefault="00751A38" w:rsidP="00574CD1">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Stratum</w:t>
            </w:r>
          </w:p>
        </w:tc>
        <w:tc>
          <w:tcPr>
            <w:tcW w:w="1035" w:type="dxa"/>
            <w:tcBorders>
              <w:top w:val="single" w:sz="4" w:space="0" w:color="auto"/>
              <w:left w:val="nil"/>
              <w:bottom w:val="single" w:sz="4" w:space="0" w:color="auto"/>
              <w:right w:val="single" w:sz="4" w:space="0" w:color="auto"/>
            </w:tcBorders>
            <w:shd w:val="clear" w:color="000000" w:fill="448A99"/>
            <w:vAlign w:val="center"/>
            <w:hideMark/>
          </w:tcPr>
          <w:p w:rsidR="00751A38" w:rsidRPr="00B75B77" w:rsidRDefault="00751A38"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Population Size</w:t>
            </w:r>
          </w:p>
        </w:tc>
        <w:tc>
          <w:tcPr>
            <w:tcW w:w="2028" w:type="dxa"/>
            <w:tcBorders>
              <w:top w:val="single" w:sz="4" w:space="0" w:color="auto"/>
              <w:left w:val="nil"/>
              <w:bottom w:val="single" w:sz="4" w:space="0" w:color="auto"/>
              <w:right w:val="single" w:sz="4" w:space="0" w:color="auto"/>
            </w:tcBorders>
            <w:shd w:val="clear" w:color="000000" w:fill="448A99"/>
            <w:vAlign w:val="center"/>
            <w:hideMark/>
          </w:tcPr>
          <w:p w:rsidR="00751A38" w:rsidRPr="00B75B77" w:rsidRDefault="00751A38"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Target Levels of Confidence </w:t>
            </w:r>
            <w:r w:rsidR="00961984" w:rsidRPr="00B75B77">
              <w:rPr>
                <w:rFonts w:ascii="Calibri" w:eastAsia="Times New Roman" w:hAnsi="Calibri"/>
                <w:b/>
                <w:bCs/>
                <w:color w:val="FFFFFF"/>
                <w:sz w:val="18"/>
                <w:szCs w:val="18"/>
              </w:rPr>
              <w:t>and</w:t>
            </w:r>
            <w:r w:rsidRPr="00B75B77">
              <w:rPr>
                <w:rFonts w:ascii="Calibri" w:eastAsia="Times New Roman" w:hAnsi="Calibri"/>
                <w:b/>
                <w:bCs/>
                <w:color w:val="FFFFFF"/>
                <w:sz w:val="18"/>
                <w:szCs w:val="18"/>
              </w:rPr>
              <w:t xml:space="preserve"> Precision</w:t>
            </w:r>
          </w:p>
        </w:tc>
        <w:tc>
          <w:tcPr>
            <w:tcW w:w="990" w:type="dxa"/>
            <w:tcBorders>
              <w:top w:val="single" w:sz="4" w:space="0" w:color="auto"/>
              <w:left w:val="nil"/>
              <w:bottom w:val="single" w:sz="4" w:space="0" w:color="auto"/>
              <w:right w:val="single" w:sz="4" w:space="0" w:color="auto"/>
            </w:tcBorders>
            <w:shd w:val="clear" w:color="000000" w:fill="448A99"/>
            <w:vAlign w:val="center"/>
            <w:hideMark/>
          </w:tcPr>
          <w:p w:rsidR="00751A38" w:rsidRPr="00B75B77" w:rsidRDefault="00751A38"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Target Sample Size</w:t>
            </w:r>
          </w:p>
        </w:tc>
        <w:tc>
          <w:tcPr>
            <w:tcW w:w="1170" w:type="dxa"/>
            <w:tcBorders>
              <w:top w:val="single" w:sz="4" w:space="0" w:color="auto"/>
              <w:left w:val="nil"/>
              <w:bottom w:val="single" w:sz="4" w:space="0" w:color="auto"/>
              <w:right w:val="single" w:sz="4" w:space="0" w:color="auto"/>
            </w:tcBorders>
            <w:shd w:val="clear" w:color="000000" w:fill="448A99"/>
            <w:vAlign w:val="center"/>
            <w:hideMark/>
          </w:tcPr>
          <w:p w:rsidR="00751A38" w:rsidRPr="00B75B77" w:rsidRDefault="00751A38"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Achieved Sample Size</w:t>
            </w:r>
          </w:p>
        </w:tc>
        <w:tc>
          <w:tcPr>
            <w:tcW w:w="1876" w:type="dxa"/>
            <w:tcBorders>
              <w:top w:val="single" w:sz="4" w:space="0" w:color="auto"/>
              <w:left w:val="nil"/>
              <w:bottom w:val="single" w:sz="4" w:space="0" w:color="auto"/>
              <w:right w:val="single" w:sz="4" w:space="0" w:color="auto"/>
            </w:tcBorders>
            <w:shd w:val="clear" w:color="000000" w:fill="448A99"/>
            <w:vAlign w:val="center"/>
            <w:hideMark/>
          </w:tcPr>
          <w:p w:rsidR="00751A38" w:rsidRPr="00B75B77" w:rsidRDefault="00751A38" w:rsidP="00574CD1">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Evaluation Activity</w:t>
            </w:r>
          </w:p>
        </w:tc>
      </w:tr>
      <w:tr w:rsidR="00751A38" w:rsidRPr="00B75B77" w:rsidTr="00850B3A">
        <w:trPr>
          <w:divId w:val="1060399888"/>
          <w:trHeight w:val="468"/>
        </w:trPr>
        <w:tc>
          <w:tcPr>
            <w:tcW w:w="2256" w:type="dxa"/>
            <w:tcBorders>
              <w:top w:val="nil"/>
              <w:left w:val="single" w:sz="4" w:space="0" w:color="448A99"/>
              <w:bottom w:val="single" w:sz="4" w:space="0" w:color="448A99"/>
              <w:right w:val="single" w:sz="4" w:space="0" w:color="448A99"/>
            </w:tcBorders>
            <w:shd w:val="clear" w:color="000000" w:fill="D2EAF1"/>
            <w:vAlign w:val="center"/>
            <w:hideMark/>
          </w:tcPr>
          <w:p w:rsidR="00751A38" w:rsidRPr="00B75B77" w:rsidRDefault="00751A38" w:rsidP="00751A38">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 xml:space="preserve">All </w:t>
            </w:r>
            <w:r w:rsidR="00FC150A" w:rsidRPr="00B75B77">
              <w:rPr>
                <w:rFonts w:ascii="Calibri" w:eastAsia="Times New Roman" w:hAnsi="Calibri"/>
                <w:bCs/>
                <w:color w:val="000000"/>
                <w:sz w:val="18"/>
                <w:szCs w:val="18"/>
              </w:rPr>
              <w:t xml:space="preserve">Program </w:t>
            </w:r>
            <w:r w:rsidRPr="00B75B77">
              <w:rPr>
                <w:rFonts w:ascii="Calibri" w:eastAsia="Times New Roman" w:hAnsi="Calibri"/>
                <w:bCs/>
                <w:color w:val="000000"/>
                <w:sz w:val="18"/>
                <w:szCs w:val="18"/>
              </w:rPr>
              <w:t>Participants</w:t>
            </w:r>
          </w:p>
        </w:tc>
        <w:tc>
          <w:tcPr>
            <w:tcW w:w="1035"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6,479</w:t>
            </w:r>
          </w:p>
        </w:tc>
        <w:tc>
          <w:tcPr>
            <w:tcW w:w="2028"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990"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6,479</w:t>
            </w:r>
          </w:p>
        </w:tc>
        <w:tc>
          <w:tcPr>
            <w:tcW w:w="1170"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6,479</w:t>
            </w:r>
          </w:p>
        </w:tc>
        <w:tc>
          <w:tcPr>
            <w:tcW w:w="1876"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574CD1">
            <w:pPr>
              <w:jc w:val="left"/>
              <w:rPr>
                <w:rFonts w:ascii="Calibri" w:eastAsia="Times New Roman" w:hAnsi="Calibri"/>
                <w:color w:val="000000"/>
                <w:sz w:val="18"/>
                <w:szCs w:val="18"/>
              </w:rPr>
            </w:pPr>
            <w:r w:rsidRPr="00B75B77">
              <w:rPr>
                <w:rFonts w:ascii="Calibri" w:eastAsia="Times New Roman" w:hAnsi="Calibri"/>
                <w:color w:val="000000"/>
                <w:sz w:val="18"/>
                <w:szCs w:val="18"/>
              </w:rPr>
              <w:t>TRM verification of savings calculations</w:t>
            </w:r>
          </w:p>
        </w:tc>
      </w:tr>
      <w:tr w:rsidR="00751A38" w:rsidRPr="00B75B77" w:rsidTr="00850B3A">
        <w:trPr>
          <w:divId w:val="1060399888"/>
          <w:trHeight w:val="288"/>
        </w:trPr>
        <w:tc>
          <w:tcPr>
            <w:tcW w:w="2256" w:type="dxa"/>
            <w:tcBorders>
              <w:top w:val="nil"/>
              <w:left w:val="single" w:sz="4" w:space="0" w:color="448A99"/>
              <w:bottom w:val="single" w:sz="4" w:space="0" w:color="448A99"/>
              <w:right w:val="single" w:sz="4" w:space="0" w:color="448A99"/>
            </w:tcBorders>
            <w:shd w:val="clear" w:color="000000" w:fill="FFFFFF"/>
            <w:vAlign w:val="center"/>
            <w:hideMark/>
          </w:tcPr>
          <w:p w:rsidR="00751A38" w:rsidRPr="00B75B77" w:rsidRDefault="00751A38" w:rsidP="00751A38">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Assessment</w:t>
            </w:r>
          </w:p>
        </w:tc>
        <w:tc>
          <w:tcPr>
            <w:tcW w:w="1035" w:type="dxa"/>
            <w:tcBorders>
              <w:top w:val="nil"/>
              <w:left w:val="nil"/>
              <w:bottom w:val="single" w:sz="4" w:space="0" w:color="448A99"/>
              <w:right w:val="single" w:sz="4" w:space="0" w:color="448A99"/>
            </w:tcBorders>
            <w:shd w:val="clear" w:color="000000" w:fill="FFFFFF"/>
            <w:vAlign w:val="center"/>
            <w:hideMark/>
          </w:tcPr>
          <w:p w:rsidR="00751A38" w:rsidRPr="00B75B77" w:rsidRDefault="00030C65"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2,813</w:t>
            </w:r>
          </w:p>
        </w:tc>
        <w:tc>
          <w:tcPr>
            <w:tcW w:w="2028" w:type="dxa"/>
            <w:tcBorders>
              <w:top w:val="nil"/>
              <w:left w:val="nil"/>
              <w:bottom w:val="single" w:sz="4" w:space="0" w:color="448A99"/>
              <w:right w:val="single" w:sz="4" w:space="0" w:color="448A99"/>
            </w:tcBorders>
            <w:shd w:val="clear" w:color="000000" w:fill="FFFFFF"/>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990" w:type="dxa"/>
            <w:tcBorders>
              <w:top w:val="nil"/>
              <w:left w:val="nil"/>
              <w:bottom w:val="single" w:sz="4" w:space="0" w:color="448A99"/>
              <w:right w:val="single" w:sz="4" w:space="0" w:color="448A99"/>
            </w:tcBorders>
            <w:shd w:val="clear" w:color="000000" w:fill="FFFFFF"/>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52</w:t>
            </w:r>
          </w:p>
        </w:tc>
        <w:tc>
          <w:tcPr>
            <w:tcW w:w="1170" w:type="dxa"/>
            <w:tcBorders>
              <w:top w:val="nil"/>
              <w:left w:val="nil"/>
              <w:bottom w:val="single" w:sz="4" w:space="0" w:color="448A99"/>
              <w:right w:val="single" w:sz="4" w:space="0" w:color="448A99"/>
            </w:tcBorders>
            <w:shd w:val="clear" w:color="000000" w:fill="FFFFFF"/>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52</w:t>
            </w:r>
          </w:p>
        </w:tc>
        <w:tc>
          <w:tcPr>
            <w:tcW w:w="1876" w:type="dxa"/>
            <w:tcBorders>
              <w:top w:val="nil"/>
              <w:left w:val="nil"/>
              <w:bottom w:val="single" w:sz="4" w:space="0" w:color="448A99"/>
              <w:right w:val="single" w:sz="4" w:space="0" w:color="448A99"/>
            </w:tcBorders>
            <w:shd w:val="clear" w:color="000000" w:fill="FFFFFF"/>
            <w:vAlign w:val="center"/>
            <w:hideMark/>
          </w:tcPr>
          <w:p w:rsidR="00751A38" w:rsidRPr="00B75B77" w:rsidRDefault="00751A38" w:rsidP="00574CD1">
            <w:pPr>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Phone interview </w:t>
            </w:r>
            <w:r w:rsidR="00574CD1" w:rsidRPr="00B75B77">
              <w:rPr>
                <w:rFonts w:ascii="Calibri" w:eastAsia="Times New Roman" w:hAnsi="Calibri"/>
                <w:color w:val="000000"/>
                <w:sz w:val="18"/>
                <w:szCs w:val="18"/>
              </w:rPr>
              <w:t>and</w:t>
            </w:r>
            <w:r w:rsidRPr="00B75B77">
              <w:rPr>
                <w:rFonts w:ascii="Calibri" w:eastAsia="Times New Roman" w:hAnsi="Calibri"/>
                <w:color w:val="000000"/>
                <w:sz w:val="18"/>
                <w:szCs w:val="18"/>
              </w:rPr>
              <w:t xml:space="preserve"> file review</w:t>
            </w:r>
          </w:p>
        </w:tc>
      </w:tr>
      <w:tr w:rsidR="00751A38" w:rsidRPr="00B75B77" w:rsidTr="00850B3A">
        <w:trPr>
          <w:divId w:val="1060399888"/>
          <w:trHeight w:val="288"/>
        </w:trPr>
        <w:tc>
          <w:tcPr>
            <w:tcW w:w="2256" w:type="dxa"/>
            <w:tcBorders>
              <w:top w:val="nil"/>
              <w:left w:val="single" w:sz="4" w:space="0" w:color="448A99"/>
              <w:bottom w:val="single" w:sz="4" w:space="0" w:color="448A99"/>
              <w:right w:val="single" w:sz="4" w:space="0" w:color="448A99"/>
            </w:tcBorders>
            <w:shd w:val="clear" w:color="000000" w:fill="D2EAF1"/>
            <w:vAlign w:val="center"/>
            <w:hideMark/>
          </w:tcPr>
          <w:p w:rsidR="00751A38" w:rsidRPr="00B75B77" w:rsidRDefault="00751A38" w:rsidP="00751A38">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Audit Only</w:t>
            </w:r>
          </w:p>
        </w:tc>
        <w:tc>
          <w:tcPr>
            <w:tcW w:w="1035"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1,</w:t>
            </w:r>
            <w:r w:rsidR="00030C65" w:rsidRPr="00B75B77">
              <w:rPr>
                <w:rFonts w:ascii="Calibri" w:eastAsia="Times New Roman" w:hAnsi="Calibri"/>
                <w:color w:val="000000"/>
                <w:sz w:val="18"/>
                <w:szCs w:val="18"/>
              </w:rPr>
              <w:t>609</w:t>
            </w:r>
          </w:p>
        </w:tc>
        <w:tc>
          <w:tcPr>
            <w:tcW w:w="2028"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990"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47</w:t>
            </w:r>
          </w:p>
        </w:tc>
        <w:tc>
          <w:tcPr>
            <w:tcW w:w="1170"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47</w:t>
            </w:r>
          </w:p>
        </w:tc>
        <w:tc>
          <w:tcPr>
            <w:tcW w:w="1876"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574CD1">
            <w:pPr>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Phone interview </w:t>
            </w:r>
            <w:r w:rsidR="00574CD1" w:rsidRPr="00B75B77">
              <w:rPr>
                <w:rFonts w:ascii="Calibri" w:eastAsia="Times New Roman" w:hAnsi="Calibri"/>
                <w:color w:val="000000"/>
                <w:sz w:val="18"/>
                <w:szCs w:val="18"/>
              </w:rPr>
              <w:t>and</w:t>
            </w:r>
            <w:r w:rsidRPr="00B75B77">
              <w:rPr>
                <w:rFonts w:ascii="Calibri" w:eastAsia="Times New Roman" w:hAnsi="Calibri"/>
                <w:color w:val="000000"/>
                <w:sz w:val="18"/>
                <w:szCs w:val="18"/>
              </w:rPr>
              <w:t xml:space="preserve"> file review</w:t>
            </w:r>
          </w:p>
        </w:tc>
      </w:tr>
      <w:tr w:rsidR="00751A38" w:rsidRPr="00B75B77" w:rsidTr="00850B3A">
        <w:trPr>
          <w:divId w:val="1060399888"/>
          <w:trHeight w:val="288"/>
        </w:trPr>
        <w:tc>
          <w:tcPr>
            <w:tcW w:w="2256" w:type="dxa"/>
            <w:tcBorders>
              <w:top w:val="nil"/>
              <w:left w:val="single" w:sz="4" w:space="0" w:color="448A99"/>
              <w:bottom w:val="single" w:sz="4" w:space="0" w:color="448A99"/>
              <w:right w:val="single" w:sz="4" w:space="0" w:color="448A99"/>
            </w:tcBorders>
            <w:shd w:val="clear" w:color="000000" w:fill="FFFFFF"/>
            <w:vAlign w:val="center"/>
            <w:hideMark/>
          </w:tcPr>
          <w:p w:rsidR="00751A38" w:rsidRPr="00B75B77" w:rsidRDefault="00751A38" w:rsidP="00751A38">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Audit + Install Major Measures</w:t>
            </w:r>
          </w:p>
        </w:tc>
        <w:tc>
          <w:tcPr>
            <w:tcW w:w="1035" w:type="dxa"/>
            <w:tcBorders>
              <w:top w:val="nil"/>
              <w:left w:val="nil"/>
              <w:bottom w:val="single" w:sz="4" w:space="0" w:color="448A99"/>
              <w:right w:val="single" w:sz="4" w:space="0" w:color="448A99"/>
            </w:tcBorders>
            <w:shd w:val="clear" w:color="000000" w:fill="FFFFFF"/>
            <w:vAlign w:val="center"/>
            <w:hideMark/>
          </w:tcPr>
          <w:p w:rsidR="00751A38" w:rsidRPr="00B75B77" w:rsidRDefault="00030C65"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284</w:t>
            </w:r>
          </w:p>
        </w:tc>
        <w:tc>
          <w:tcPr>
            <w:tcW w:w="2028" w:type="dxa"/>
            <w:tcBorders>
              <w:top w:val="nil"/>
              <w:left w:val="nil"/>
              <w:bottom w:val="single" w:sz="4" w:space="0" w:color="448A99"/>
              <w:right w:val="single" w:sz="4" w:space="0" w:color="448A99"/>
            </w:tcBorders>
            <w:shd w:val="clear" w:color="000000" w:fill="FFFFFF"/>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990" w:type="dxa"/>
            <w:tcBorders>
              <w:top w:val="nil"/>
              <w:left w:val="nil"/>
              <w:bottom w:val="single" w:sz="4" w:space="0" w:color="448A99"/>
              <w:right w:val="single" w:sz="4" w:space="0" w:color="448A99"/>
            </w:tcBorders>
            <w:shd w:val="clear" w:color="000000" w:fill="FFFFFF"/>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31</w:t>
            </w:r>
          </w:p>
        </w:tc>
        <w:tc>
          <w:tcPr>
            <w:tcW w:w="1170" w:type="dxa"/>
            <w:tcBorders>
              <w:top w:val="nil"/>
              <w:left w:val="nil"/>
              <w:bottom w:val="single" w:sz="4" w:space="0" w:color="448A99"/>
              <w:right w:val="single" w:sz="4" w:space="0" w:color="448A99"/>
            </w:tcBorders>
            <w:shd w:val="clear" w:color="000000" w:fill="FFFFFF"/>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31</w:t>
            </w:r>
          </w:p>
        </w:tc>
        <w:tc>
          <w:tcPr>
            <w:tcW w:w="1876" w:type="dxa"/>
            <w:tcBorders>
              <w:top w:val="nil"/>
              <w:left w:val="nil"/>
              <w:bottom w:val="single" w:sz="4" w:space="0" w:color="448A99"/>
              <w:right w:val="single" w:sz="4" w:space="0" w:color="448A99"/>
            </w:tcBorders>
            <w:shd w:val="clear" w:color="000000" w:fill="FFFFFF"/>
            <w:vAlign w:val="center"/>
            <w:hideMark/>
          </w:tcPr>
          <w:p w:rsidR="00751A38" w:rsidRPr="00B75B77" w:rsidRDefault="00751A38" w:rsidP="00574CD1">
            <w:pPr>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Phone interview </w:t>
            </w:r>
            <w:r w:rsidR="00574CD1" w:rsidRPr="00B75B77">
              <w:rPr>
                <w:rFonts w:ascii="Calibri" w:eastAsia="Times New Roman" w:hAnsi="Calibri"/>
                <w:color w:val="000000"/>
                <w:sz w:val="18"/>
                <w:szCs w:val="18"/>
              </w:rPr>
              <w:t>and</w:t>
            </w:r>
            <w:r w:rsidRPr="00B75B77">
              <w:rPr>
                <w:rFonts w:ascii="Calibri" w:eastAsia="Times New Roman" w:hAnsi="Calibri"/>
                <w:color w:val="000000"/>
                <w:sz w:val="18"/>
                <w:szCs w:val="18"/>
              </w:rPr>
              <w:t xml:space="preserve"> file review</w:t>
            </w:r>
          </w:p>
        </w:tc>
      </w:tr>
      <w:tr w:rsidR="00751A38" w:rsidRPr="00B75B77" w:rsidTr="00850B3A">
        <w:trPr>
          <w:divId w:val="1060399888"/>
          <w:trHeight w:val="288"/>
        </w:trPr>
        <w:tc>
          <w:tcPr>
            <w:tcW w:w="2256" w:type="dxa"/>
            <w:tcBorders>
              <w:top w:val="nil"/>
              <w:left w:val="single" w:sz="4" w:space="0" w:color="448A99"/>
              <w:bottom w:val="single" w:sz="4" w:space="0" w:color="448A99"/>
              <w:right w:val="single" w:sz="4" w:space="0" w:color="448A99"/>
            </w:tcBorders>
            <w:shd w:val="clear" w:color="000000" w:fill="D2EAF1"/>
            <w:vAlign w:val="center"/>
            <w:hideMark/>
          </w:tcPr>
          <w:p w:rsidR="00751A38" w:rsidRPr="00B75B77" w:rsidRDefault="00796A52" w:rsidP="00751A38">
            <w:pPr>
              <w:jc w:val="left"/>
              <w:rPr>
                <w:rFonts w:ascii="Calibri" w:eastAsia="Times New Roman" w:hAnsi="Calibri"/>
                <w:b/>
                <w:color w:val="000000"/>
                <w:sz w:val="18"/>
                <w:szCs w:val="18"/>
              </w:rPr>
            </w:pPr>
            <w:r w:rsidRPr="00B75B77">
              <w:rPr>
                <w:rFonts w:ascii="Calibri" w:eastAsia="Times New Roman" w:hAnsi="Calibri"/>
                <w:b/>
                <w:color w:val="000000"/>
                <w:sz w:val="18"/>
                <w:szCs w:val="18"/>
              </w:rPr>
              <w:t>PROGRAM TOTAL</w:t>
            </w:r>
          </w:p>
        </w:tc>
        <w:tc>
          <w:tcPr>
            <w:tcW w:w="1035" w:type="dxa"/>
            <w:tcBorders>
              <w:top w:val="nil"/>
              <w:left w:val="nil"/>
              <w:bottom w:val="single" w:sz="4" w:space="0" w:color="448A99"/>
              <w:right w:val="single" w:sz="4" w:space="0" w:color="448A99"/>
            </w:tcBorders>
            <w:shd w:val="clear" w:color="000000" w:fill="D2EAF1"/>
            <w:vAlign w:val="center"/>
            <w:hideMark/>
          </w:tcPr>
          <w:p w:rsidR="00751A38" w:rsidRPr="00B75B77" w:rsidRDefault="00030C65" w:rsidP="00751A38">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4,706</w:t>
            </w:r>
          </w:p>
        </w:tc>
        <w:tc>
          <w:tcPr>
            <w:tcW w:w="2028"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85/15</w:t>
            </w:r>
          </w:p>
        </w:tc>
        <w:tc>
          <w:tcPr>
            <w:tcW w:w="990"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130</w:t>
            </w:r>
          </w:p>
        </w:tc>
        <w:tc>
          <w:tcPr>
            <w:tcW w:w="1170"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130</w:t>
            </w:r>
          </w:p>
        </w:tc>
        <w:tc>
          <w:tcPr>
            <w:tcW w:w="1876"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574CD1">
            <w:pPr>
              <w:jc w:val="left"/>
              <w:rPr>
                <w:rFonts w:ascii="Calibri" w:eastAsia="Times New Roman" w:hAnsi="Calibri"/>
                <w:b/>
                <w:bCs/>
                <w:color w:val="000000"/>
                <w:sz w:val="18"/>
                <w:szCs w:val="18"/>
              </w:rPr>
            </w:pPr>
            <w:r w:rsidRPr="00B75B77">
              <w:rPr>
                <w:rFonts w:ascii="Calibri" w:eastAsia="Times New Roman" w:hAnsi="Calibri"/>
                <w:b/>
                <w:bCs/>
                <w:color w:val="000000"/>
                <w:sz w:val="18"/>
                <w:szCs w:val="18"/>
              </w:rPr>
              <w:t>N/A</w:t>
            </w:r>
          </w:p>
        </w:tc>
      </w:tr>
    </w:tbl>
    <w:p w:rsidR="00850B3A" w:rsidRPr="00B75B77" w:rsidRDefault="00850B3A" w:rsidP="00850B3A">
      <w:pPr>
        <w:pStyle w:val="Source"/>
        <w:spacing w:before="20" w:after="20"/>
        <w:ind w:left="187" w:firstLine="0"/>
        <w:rPr>
          <w:i w:val="0"/>
        </w:rPr>
      </w:pPr>
      <w:r w:rsidRPr="00B75B77">
        <w:rPr>
          <w:i w:val="0"/>
        </w:rPr>
        <w:t xml:space="preserve">Note: </w:t>
      </w:r>
      <w:r w:rsidRPr="00B75B77">
        <w:rPr>
          <w:rFonts w:ascii="Calibri" w:hAnsi="Calibri"/>
          <w:i w:val="0"/>
          <w:iCs/>
          <w:color w:val="000000"/>
          <w:szCs w:val="18"/>
        </w:rPr>
        <w:t>Values in tables may not reconcile exactly with the sum of more detailed level results or previously reported results due to rounding.</w:t>
      </w:r>
    </w:p>
    <w:p w:rsidR="00751A38" w:rsidRPr="00B75B77" w:rsidRDefault="00751A38" w:rsidP="001B37EF">
      <w:pPr>
        <w:pStyle w:val="Source"/>
      </w:pPr>
      <w:r w:rsidRPr="00B75B77">
        <w:t>Source: Navigant analysis</w:t>
      </w:r>
    </w:p>
    <w:p w:rsidR="00751A38" w:rsidRPr="00B75B77" w:rsidRDefault="005C7FA8" w:rsidP="00751A38">
      <w:pPr>
        <w:pStyle w:val="Source"/>
        <w:spacing w:after="120"/>
        <w:ind w:left="90" w:firstLine="0"/>
      </w:pPr>
      <w:r w:rsidRPr="00B75B77">
        <w:rPr>
          <w:rFonts w:eastAsia="Calibri"/>
          <w:i w:val="0"/>
          <w:sz w:val="22"/>
          <w:szCs w:val="22"/>
        </w:rPr>
        <w:t>T</w:t>
      </w:r>
      <w:r w:rsidR="00877C73" w:rsidRPr="00B75B77">
        <w:rPr>
          <w:rFonts w:eastAsia="Calibri"/>
          <w:i w:val="0"/>
          <w:sz w:val="22"/>
          <w:szCs w:val="22"/>
        </w:rPr>
        <w:t>he evaluation team did not conduct</w:t>
      </w:r>
      <w:r w:rsidR="00751A38" w:rsidRPr="00B75B77">
        <w:rPr>
          <w:rFonts w:eastAsia="Calibri"/>
          <w:i w:val="0"/>
          <w:sz w:val="22"/>
          <w:szCs w:val="22"/>
        </w:rPr>
        <w:t xml:space="preserve"> onsite inspections for this program, which is consistent with the evaluation plan.</w:t>
      </w:r>
    </w:p>
    <w:p w:rsidR="00751A38" w:rsidRPr="00B75B77" w:rsidRDefault="00751A38" w:rsidP="00751A38">
      <w:pPr>
        <w:pStyle w:val="Heading3"/>
      </w:pPr>
      <w:bookmarkStart w:id="308" w:name="_Toc466413292"/>
      <w:r w:rsidRPr="00B75B77">
        <w:t>Gross Verified Savings Results</w:t>
      </w:r>
      <w:bookmarkEnd w:id="308"/>
      <w:r w:rsidRPr="00B75B77">
        <w:t xml:space="preserve"> </w:t>
      </w:r>
    </w:p>
    <w:p w:rsidR="00751A38" w:rsidRPr="00B75B77" w:rsidDel="00AA00B8" w:rsidRDefault="00751A38" w:rsidP="00751A38">
      <w:r w:rsidRPr="00B75B77" w:rsidDel="00AA00B8">
        <w:t xml:space="preserve">The </w:t>
      </w:r>
      <w:r w:rsidRPr="00B75B77">
        <w:t>evaluation team</w:t>
      </w:r>
      <w:r w:rsidRPr="00B75B77" w:rsidDel="00AA00B8">
        <w:t xml:space="preserve"> calculated verified savings based on the combined realization rate from the activities described </w:t>
      </w:r>
      <w:r w:rsidRPr="00B75B77">
        <w:t xml:space="preserve">in Section </w:t>
      </w:r>
      <w:r w:rsidRPr="00B75B77">
        <w:fldChar w:fldCharType="begin"/>
      </w:r>
      <w:r w:rsidRPr="00B75B77">
        <w:instrText xml:space="preserve"> REF _Ref462043479 \r \h </w:instrText>
      </w:r>
      <w:r w:rsidR="00B75B77">
        <w:instrText xml:space="preserve"> \* MERGEFORMAT </w:instrText>
      </w:r>
      <w:r w:rsidRPr="00B75B77">
        <w:fldChar w:fldCharType="separate"/>
      </w:r>
      <w:r w:rsidR="0004016D">
        <w:t>3.2.1</w:t>
      </w:r>
      <w:r w:rsidRPr="00B75B77">
        <w:fldChar w:fldCharType="end"/>
      </w:r>
      <w:r w:rsidRPr="00B75B77">
        <w:t>.</w:t>
      </w:r>
      <w:r w:rsidRPr="00B75B77" w:rsidDel="00AA00B8">
        <w:t xml:space="preserve"> Hence</w:t>
      </w:r>
      <w:r w:rsidRPr="00B75B77">
        <w:t>,</w:t>
      </w:r>
      <w:r w:rsidRPr="00B75B77" w:rsidDel="00AA00B8">
        <w:t xml:space="preserve"> each of these activities is described below as yielding </w:t>
      </w:r>
      <w:r w:rsidR="001B37EF" w:rsidRPr="00B75B77">
        <w:t xml:space="preserve">a </w:t>
      </w:r>
      <w:r w:rsidRPr="00B75B77" w:rsidDel="00AA00B8">
        <w:t>partial realization rate (i.e.</w:t>
      </w:r>
      <w:r w:rsidRPr="00B75B77">
        <w:t>,</w:t>
      </w:r>
      <w:r w:rsidRPr="00B75B77" w:rsidDel="00AA00B8">
        <w:t xml:space="preserve"> </w:t>
      </w:r>
      <w:r w:rsidR="001B37EF" w:rsidRPr="00B75B77">
        <w:t>the</w:t>
      </w:r>
      <w:r w:rsidRPr="00B75B77" w:rsidDel="00AA00B8">
        <w:t xml:space="preserve"> realization rate from that specific evaluation activity), and the combination of these partial realization rates yields the overall program</w:t>
      </w:r>
      <w:r w:rsidR="00AF5657" w:rsidRPr="00B75B77">
        <w:t>-</w:t>
      </w:r>
      <w:r w:rsidRPr="00B75B77" w:rsidDel="00AA00B8">
        <w:t xml:space="preserve">level realization rate. </w:t>
      </w:r>
      <w:r w:rsidR="001B37EF" w:rsidRPr="00B75B77">
        <w:t>Therefore, the e</w:t>
      </w:r>
      <w:r w:rsidR="00FB3C66" w:rsidRPr="00B75B77">
        <w:t>valuation team calculated</w:t>
      </w:r>
      <w:r w:rsidR="001B37EF" w:rsidRPr="00B75B77">
        <w:t xml:space="preserve"> r</w:t>
      </w:r>
      <w:r w:rsidRPr="00B75B77" w:rsidDel="00AA00B8">
        <w:t>ealization rates by project type and overall.</w:t>
      </w:r>
    </w:p>
    <w:p w:rsidR="00751A38" w:rsidRPr="00B75B77" w:rsidRDefault="00751A38" w:rsidP="00751A38"/>
    <w:p w:rsidR="00751A38" w:rsidRPr="00B75B77" w:rsidRDefault="008A6491" w:rsidP="00751A38">
      <w:r w:rsidRPr="00B75B77">
        <w:t>For energy savings, t</w:t>
      </w:r>
      <w:r w:rsidR="00751A38" w:rsidRPr="00B75B77">
        <w:t xml:space="preserve">he TRM-based recreation of savings calculations matched to within </w:t>
      </w:r>
      <w:r w:rsidR="0009500C" w:rsidRPr="00B75B77">
        <w:t>1%</w:t>
      </w:r>
      <w:r w:rsidR="00751A38" w:rsidRPr="00B75B77">
        <w:t xml:space="preserve"> of reported savings for all program measures except for air sealing, </w:t>
      </w:r>
      <w:r w:rsidR="001B37EF" w:rsidRPr="00B75B77">
        <w:t xml:space="preserve">which had </w:t>
      </w:r>
      <w:r w:rsidR="00751A38" w:rsidRPr="00B75B77">
        <w:t xml:space="preserve">verified savings that were </w:t>
      </w:r>
      <w:r w:rsidR="00792D48" w:rsidRPr="00B75B77">
        <w:t xml:space="preserve">2% </w:t>
      </w:r>
      <w:r w:rsidR="00751A38" w:rsidRPr="00B75B77">
        <w:t>greater than reported savings. Th</w:t>
      </w:r>
      <w:r w:rsidR="00FB3C66" w:rsidRPr="00B75B77">
        <w:t>is</w:t>
      </w:r>
      <w:r w:rsidR="00751A38" w:rsidRPr="00B75B77">
        <w:t xml:space="preserve"> difference was attributed to the fact that reported savings for air sealing measures invoiced in PY7 but installed during PY6 were generated by</w:t>
      </w:r>
      <w:r w:rsidR="005C7FA8" w:rsidRPr="00B75B77">
        <w:t xml:space="preserve"> the CSP’s </w:t>
      </w:r>
      <w:r w:rsidR="00751A38" w:rsidRPr="00B75B77">
        <w:t xml:space="preserve">proprietary building energy modeling software, while the verified savings were calculated based on the savings algorithm </w:t>
      </w:r>
      <w:r w:rsidR="00751A38" w:rsidRPr="00B75B77">
        <w:lastRenderedPageBreak/>
        <w:t xml:space="preserve">defined in the 2016 TRM </w:t>
      </w:r>
      <w:r w:rsidR="00751A38" w:rsidRPr="00B75B77" w:rsidDel="0054073E">
        <w:t>IMP</w:t>
      </w:r>
      <w:r w:rsidR="00751A38" w:rsidRPr="00B75B77">
        <w:t xml:space="preserve">. </w:t>
      </w:r>
      <w:r w:rsidR="00C1554B" w:rsidRPr="00B75B77">
        <w:t>(</w:t>
      </w:r>
      <w:r w:rsidR="00751A38" w:rsidRPr="00B75B77">
        <w:t>Based on a recommendation from the PY6 evaluation, the PY7 evaluation used the algorithms in the IMP.</w:t>
      </w:r>
      <w:r w:rsidR="00C1554B" w:rsidRPr="00B75B77">
        <w:t>)</w:t>
      </w:r>
      <w:r w:rsidR="00751A38" w:rsidRPr="00B75B77">
        <w:t xml:space="preserve"> The evaluation team also noted that PECO used a per unit savings value of 25 kWh/unit to calculate savings for LED nightlight measures, whereas the 2015 PA TRM deemed per unit savings for LED </w:t>
      </w:r>
      <w:r w:rsidR="00C1554B" w:rsidRPr="00B75B77">
        <w:t>n</w:t>
      </w:r>
      <w:r w:rsidR="00751A38" w:rsidRPr="00B75B77">
        <w:t xml:space="preserve">ightlights </w:t>
      </w:r>
      <w:r w:rsidR="00C1554B" w:rsidRPr="00B75B77">
        <w:t>as</w:t>
      </w:r>
      <w:r w:rsidR="00751A38" w:rsidRPr="00B75B77">
        <w:t xml:space="preserve"> 25.49 kWh/unit. </w:t>
      </w:r>
    </w:p>
    <w:p w:rsidR="00751A38" w:rsidRPr="00B75B77" w:rsidRDefault="00751A38" w:rsidP="00751A38"/>
    <w:p w:rsidR="00751A38" w:rsidRPr="00B75B77" w:rsidRDefault="00751A38" w:rsidP="00751A38">
      <w:pPr>
        <w:spacing w:after="240"/>
      </w:pPr>
      <w:r w:rsidRPr="00B75B77">
        <w:t xml:space="preserve">The verification interviews yielded partial realization rates for assessments, audits, and contractor-installed major measures of 0.98, 0.98, and 0.99, respectively. These were driven by </w:t>
      </w:r>
      <w:r w:rsidR="00BC406C" w:rsidRPr="00B75B77">
        <w:t xml:space="preserve">customer </w:t>
      </w:r>
      <w:r w:rsidRPr="00B75B77">
        <w:t xml:space="preserve">reports </w:t>
      </w:r>
      <w:r w:rsidR="00BC406C" w:rsidRPr="00B75B77">
        <w:t>of</w:t>
      </w:r>
      <w:r w:rsidRPr="00B75B77">
        <w:t xml:space="preserve"> remov</w:t>
      </w:r>
      <w:r w:rsidR="00BC406C" w:rsidRPr="00B75B77">
        <w:t>ing</w:t>
      </w:r>
      <w:r w:rsidRPr="00B75B77">
        <w:t xml:space="preserve"> a total of seven CFLs, 17 LEDs, one smart power strip, three low</w:t>
      </w:r>
      <w:r w:rsidR="000B1147" w:rsidRPr="00B75B77">
        <w:t>-</w:t>
      </w:r>
      <w:r w:rsidRPr="00B75B77">
        <w:t>flow shower heads, one low</w:t>
      </w:r>
      <w:r w:rsidR="0044162C" w:rsidRPr="00B75B77">
        <w:t>-</w:t>
      </w:r>
      <w:r w:rsidRPr="00B75B77">
        <w:t>flow faucet aerator, and three smart strip outlets.</w:t>
      </w:r>
      <w:r w:rsidRPr="00B75B77">
        <w:rPr>
          <w:rStyle w:val="FootnoteReference"/>
        </w:rPr>
        <w:footnoteReference w:id="18"/>
      </w:r>
      <w:r w:rsidRPr="00B75B77">
        <w:t xml:space="preserve"> Reasons cited for removals included dissatisfaction with bulb light quality, burnout of bulbs, </w:t>
      </w:r>
      <w:proofErr w:type="gramStart"/>
      <w:r w:rsidRPr="00B75B77">
        <w:t>another</w:t>
      </w:r>
      <w:proofErr w:type="gramEnd"/>
      <w:r w:rsidRPr="00B75B77">
        <w:t xml:space="preserve"> bulb type</w:t>
      </w:r>
      <w:r w:rsidR="00BC406C" w:rsidRPr="00B75B77">
        <w:t xml:space="preserve"> preference</w:t>
      </w:r>
      <w:r w:rsidRPr="00B75B77">
        <w:t>, disruption of normal appliance functioning by the power strips, and inadequate water flow with low</w:t>
      </w:r>
      <w:r w:rsidR="00BC406C" w:rsidRPr="00B75B77">
        <w:t>-</w:t>
      </w:r>
      <w:r w:rsidRPr="00B75B77">
        <w:t>flow devices in place</w:t>
      </w:r>
      <w:r w:rsidR="002E49B3" w:rsidRPr="00B75B77">
        <w:t xml:space="preserve">. </w:t>
      </w:r>
    </w:p>
    <w:p w:rsidR="00751A38" w:rsidRPr="00B75B77" w:rsidRDefault="00751A38" w:rsidP="00751A38">
      <w:pPr>
        <w:spacing w:after="240"/>
      </w:pPr>
      <w:r w:rsidRPr="00B75B77">
        <w:t xml:space="preserve">The evaluation team did not find any discrepancies </w:t>
      </w:r>
      <w:r w:rsidR="00BC406C" w:rsidRPr="00B75B77">
        <w:t xml:space="preserve">between </w:t>
      </w:r>
      <w:r w:rsidRPr="00B75B77">
        <w:t xml:space="preserve">the measures listed in the participant files and the tracking data, so the file review yielded energy savings realization rates of 1.0 for each stratum. </w:t>
      </w:r>
    </w:p>
    <w:p w:rsidR="00751A38" w:rsidRPr="00B75B77" w:rsidRDefault="00751A38" w:rsidP="000B1147">
      <w:r w:rsidRPr="00B75B77">
        <w:t xml:space="preserve">As mentioned above, the evaluation team calculated the full realization rate for verified energy savings as the combination of the partial realization rates </w:t>
      </w:r>
      <w:r w:rsidR="00796A52" w:rsidRPr="00B75B77">
        <w:t xml:space="preserve">for each </w:t>
      </w:r>
      <w:r w:rsidRPr="00B75B77">
        <w:t xml:space="preserve">evaluation activity. </w:t>
      </w:r>
      <w:r w:rsidR="00792D48" w:rsidRPr="00B75B77">
        <w:fldChar w:fldCharType="begin"/>
      </w:r>
      <w:r w:rsidR="00792D48" w:rsidRPr="00B75B77">
        <w:instrText xml:space="preserve"> REF _Ref461816763 \h </w:instrText>
      </w:r>
      <w:r w:rsidR="000B1147" w:rsidRPr="00B75B77">
        <w:instrText xml:space="preserve"> \* MERGEFORMAT </w:instrText>
      </w:r>
      <w:r w:rsidR="00792D48" w:rsidRPr="00B75B77">
        <w:fldChar w:fldCharType="separate"/>
      </w:r>
      <w:r w:rsidR="0004016D" w:rsidRPr="00B75B77">
        <w:t xml:space="preserve">Table </w:t>
      </w:r>
      <w:r w:rsidR="0004016D">
        <w:rPr>
          <w:noProof/>
        </w:rPr>
        <w:t>3</w:t>
      </w:r>
      <w:r w:rsidR="0004016D" w:rsidRPr="00B75B77">
        <w:rPr>
          <w:noProof/>
        </w:rPr>
        <w:noBreakHyphen/>
      </w:r>
      <w:r w:rsidR="0004016D">
        <w:rPr>
          <w:noProof/>
        </w:rPr>
        <w:t>3</w:t>
      </w:r>
      <w:r w:rsidR="00792D48" w:rsidRPr="00B75B77">
        <w:fldChar w:fldCharType="end"/>
      </w:r>
      <w:r w:rsidRPr="00B75B77">
        <w:t xml:space="preserve"> summarize</w:t>
      </w:r>
      <w:r w:rsidR="00792D48" w:rsidRPr="00B75B77">
        <w:t>s</w:t>
      </w:r>
      <w:r w:rsidRPr="00B75B77">
        <w:t xml:space="preserve"> the verified energy savings and final realization rates by project type and </w:t>
      </w:r>
      <w:r w:rsidR="00796A52" w:rsidRPr="00B75B77">
        <w:t xml:space="preserve">for the </w:t>
      </w:r>
      <w:r w:rsidRPr="00B75B77">
        <w:t>overall</w:t>
      </w:r>
      <w:r w:rsidR="00796A52" w:rsidRPr="00B75B77">
        <w:t xml:space="preserve"> program</w:t>
      </w:r>
      <w:r w:rsidRPr="00B75B77">
        <w:t xml:space="preserve">. </w:t>
      </w:r>
      <w:r w:rsidR="00796A52" w:rsidRPr="00B75B77">
        <w:t xml:space="preserve">The </w:t>
      </w:r>
      <w:r w:rsidR="006A7891" w:rsidRPr="00B75B77">
        <w:t xml:space="preserve">overall </w:t>
      </w:r>
      <w:r w:rsidR="00796A52" w:rsidRPr="00B75B77">
        <w:t>program’s a</w:t>
      </w:r>
      <w:r w:rsidRPr="00B75B77">
        <w:t xml:space="preserve">chieved relative precision was </w:t>
      </w:r>
      <w:r w:rsidR="00792D48" w:rsidRPr="00B75B77">
        <w:t xml:space="preserve">1% </w:t>
      </w:r>
      <w:r w:rsidRPr="00B75B77">
        <w:t xml:space="preserve">at the </w:t>
      </w:r>
      <w:r w:rsidR="00792D48" w:rsidRPr="00B75B77">
        <w:t>85%</w:t>
      </w:r>
      <w:r w:rsidRPr="00B75B77">
        <w:t xml:space="preserve"> confidence interval.</w:t>
      </w:r>
    </w:p>
    <w:p w:rsidR="000B1147" w:rsidRPr="00B75B77" w:rsidRDefault="000B1147" w:rsidP="000B1147"/>
    <w:p w:rsidR="00751A38" w:rsidRPr="00B75B77" w:rsidRDefault="00751A38" w:rsidP="00751A38">
      <w:pPr>
        <w:pStyle w:val="Caption"/>
      </w:pPr>
      <w:bookmarkStart w:id="309" w:name="_Ref461816763"/>
      <w:bookmarkStart w:id="310" w:name="_Toc466413523"/>
      <w:r w:rsidRPr="00B75B77">
        <w:t xml:space="preserve">Table </w:t>
      </w:r>
      <w:fldSimple w:instr=" STYLEREF 1 \s ">
        <w:r w:rsidR="0004016D">
          <w:rPr>
            <w:noProof/>
          </w:rPr>
          <w:t>3</w:t>
        </w:r>
      </w:fldSimple>
      <w:r w:rsidR="00F1144C" w:rsidRPr="00B75B77">
        <w:noBreakHyphen/>
      </w:r>
      <w:fldSimple w:instr=" SEQ Table \* ARABIC \s 1 ">
        <w:r w:rsidR="0004016D">
          <w:rPr>
            <w:noProof/>
          </w:rPr>
          <w:t>3</w:t>
        </w:r>
      </w:fldSimple>
      <w:bookmarkEnd w:id="309"/>
      <w:r w:rsidRPr="00B75B77">
        <w:t>: PY7 Smart House Call Summary of Evaluation Results for Energy</w:t>
      </w:r>
      <w:bookmarkEnd w:id="310"/>
    </w:p>
    <w:tbl>
      <w:tblPr>
        <w:tblW w:w="9445" w:type="dxa"/>
        <w:tblLook w:val="04A0" w:firstRow="1" w:lastRow="0" w:firstColumn="1" w:lastColumn="0" w:noHBand="0" w:noVBand="1"/>
      </w:tblPr>
      <w:tblGrid>
        <w:gridCol w:w="2544"/>
        <w:gridCol w:w="1260"/>
        <w:gridCol w:w="1080"/>
        <w:gridCol w:w="1620"/>
        <w:gridCol w:w="1617"/>
        <w:gridCol w:w="1324"/>
      </w:tblGrid>
      <w:tr w:rsidR="00751A38" w:rsidRPr="00B75B77" w:rsidTr="00850B3A">
        <w:trPr>
          <w:divId w:val="919102574"/>
          <w:trHeight w:val="660"/>
        </w:trPr>
        <w:tc>
          <w:tcPr>
            <w:tcW w:w="2544"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751A38" w:rsidRPr="00B75B77" w:rsidRDefault="00751A38" w:rsidP="00796A52">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Stratum</w:t>
            </w:r>
          </w:p>
        </w:tc>
        <w:tc>
          <w:tcPr>
            <w:tcW w:w="126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751A38" w:rsidRPr="00B75B77" w:rsidRDefault="00751A38"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Reported Gross Energy Savings (MWh/</w:t>
            </w:r>
            <w:proofErr w:type="spellStart"/>
            <w:r w:rsidRPr="00B75B77">
              <w:rPr>
                <w:rFonts w:ascii="Calibri" w:eastAsia="Times New Roman" w:hAnsi="Calibri"/>
                <w:b/>
                <w:bCs/>
                <w:color w:val="FFFFFF"/>
                <w:sz w:val="18"/>
                <w:szCs w:val="18"/>
              </w:rPr>
              <w:t>yr</w:t>
            </w:r>
            <w:proofErr w:type="spellEnd"/>
            <w:r w:rsidRPr="00B75B77">
              <w:rPr>
                <w:rFonts w:ascii="Calibri" w:eastAsia="Times New Roman" w:hAnsi="Calibri"/>
                <w:b/>
                <w:bCs/>
                <w:color w:val="FFFFFF"/>
                <w:sz w:val="18"/>
                <w:szCs w:val="18"/>
              </w:rPr>
              <w:t>)</w:t>
            </w:r>
          </w:p>
        </w:tc>
        <w:tc>
          <w:tcPr>
            <w:tcW w:w="108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751A38" w:rsidRPr="00B75B77" w:rsidRDefault="00751A38"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Energy Realization Rate (%)</w:t>
            </w:r>
          </w:p>
        </w:tc>
        <w:tc>
          <w:tcPr>
            <w:tcW w:w="162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751A38" w:rsidRPr="00B75B77" w:rsidRDefault="00751A38"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Verified Gross Energy Savings (MWh/</w:t>
            </w:r>
            <w:proofErr w:type="spellStart"/>
            <w:r w:rsidRPr="00B75B77">
              <w:rPr>
                <w:rFonts w:ascii="Calibri" w:eastAsia="Times New Roman" w:hAnsi="Calibri"/>
                <w:b/>
                <w:bCs/>
                <w:color w:val="FFFFFF"/>
                <w:sz w:val="18"/>
                <w:szCs w:val="18"/>
              </w:rPr>
              <w:t>yr</w:t>
            </w:r>
            <w:proofErr w:type="spellEnd"/>
            <w:r w:rsidRPr="00B75B77">
              <w:rPr>
                <w:rFonts w:ascii="Calibri" w:eastAsia="Times New Roman" w:hAnsi="Calibri"/>
                <w:b/>
                <w:bCs/>
                <w:color w:val="FFFFFF"/>
                <w:sz w:val="18"/>
                <w:szCs w:val="18"/>
              </w:rPr>
              <w:t>)</w:t>
            </w:r>
          </w:p>
        </w:tc>
        <w:tc>
          <w:tcPr>
            <w:tcW w:w="1617"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751A38" w:rsidRPr="00B75B77" w:rsidRDefault="00751A38"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Observed Coefficient of Variation (C</w:t>
            </w:r>
            <w:r w:rsidR="00FC150A" w:rsidRPr="00B75B77">
              <w:rPr>
                <w:rFonts w:ascii="Calibri" w:eastAsia="Times New Roman" w:hAnsi="Calibri"/>
                <w:b/>
                <w:bCs/>
                <w:color w:val="FFFFFF"/>
                <w:sz w:val="18"/>
                <w:szCs w:val="18"/>
              </w:rPr>
              <w:t>V</w:t>
            </w:r>
            <w:r w:rsidRPr="00B75B77">
              <w:rPr>
                <w:rFonts w:ascii="Calibri" w:eastAsia="Times New Roman" w:hAnsi="Calibri"/>
                <w:b/>
                <w:bCs/>
                <w:color w:val="FFFFFF"/>
                <w:sz w:val="18"/>
                <w:szCs w:val="18"/>
              </w:rPr>
              <w:t>) or Proportion in Sample Design</w:t>
            </w:r>
          </w:p>
        </w:tc>
        <w:tc>
          <w:tcPr>
            <w:tcW w:w="1324"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751A38" w:rsidRPr="00B75B77" w:rsidRDefault="00751A38" w:rsidP="00796A52">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Relative Precision at 85% </w:t>
            </w:r>
            <w:r w:rsidR="00796A52" w:rsidRPr="00B75B77">
              <w:rPr>
                <w:rFonts w:ascii="Calibri" w:eastAsia="Times New Roman" w:hAnsi="Calibri"/>
                <w:b/>
                <w:bCs/>
                <w:color w:val="FFFFFF"/>
                <w:sz w:val="18"/>
                <w:szCs w:val="18"/>
              </w:rPr>
              <w:t>Confidence Interval</w:t>
            </w:r>
          </w:p>
        </w:tc>
      </w:tr>
      <w:tr w:rsidR="00751A38" w:rsidRPr="00B75B77" w:rsidTr="00850B3A">
        <w:trPr>
          <w:divId w:val="919102574"/>
          <w:trHeight w:val="288"/>
        </w:trPr>
        <w:tc>
          <w:tcPr>
            <w:tcW w:w="2544" w:type="dxa"/>
            <w:vMerge/>
            <w:tcBorders>
              <w:top w:val="single" w:sz="4" w:space="0" w:color="auto"/>
              <w:left w:val="single" w:sz="4" w:space="0" w:color="auto"/>
              <w:bottom w:val="single" w:sz="4" w:space="0" w:color="000000"/>
              <w:right w:val="single" w:sz="4" w:space="0" w:color="auto"/>
            </w:tcBorders>
            <w:vAlign w:val="center"/>
            <w:hideMark/>
          </w:tcPr>
          <w:p w:rsidR="00751A38" w:rsidRPr="00B75B77" w:rsidRDefault="00751A38" w:rsidP="00751A38">
            <w:pPr>
              <w:jc w:val="left"/>
              <w:rPr>
                <w:rFonts w:ascii="Calibri" w:eastAsia="Times New Roman" w:hAnsi="Calibri"/>
                <w:b/>
                <w:bCs/>
                <w:color w:val="FFFFFF"/>
                <w:sz w:val="18"/>
                <w:szCs w:val="18"/>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rsidR="00751A38" w:rsidRPr="00B75B77" w:rsidRDefault="00751A38" w:rsidP="00751A38">
            <w:pPr>
              <w:jc w:val="left"/>
              <w:rPr>
                <w:rFonts w:ascii="Calibri" w:eastAsia="Times New Roman" w:hAnsi="Calibri"/>
                <w:b/>
                <w:bCs/>
                <w:color w:val="FFFFFF"/>
                <w:sz w:val="18"/>
                <w:szCs w:val="18"/>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751A38" w:rsidRPr="00B75B77" w:rsidRDefault="00751A38" w:rsidP="00751A38">
            <w:pPr>
              <w:jc w:val="left"/>
              <w:rPr>
                <w:rFonts w:ascii="Calibri" w:eastAsia="Times New Roman" w:hAnsi="Calibri"/>
                <w:b/>
                <w:bCs/>
                <w:color w:val="FFFFFF"/>
                <w:sz w:val="18"/>
                <w:szCs w:val="18"/>
              </w:rPr>
            </w:pPr>
          </w:p>
        </w:tc>
        <w:tc>
          <w:tcPr>
            <w:tcW w:w="1620" w:type="dxa"/>
            <w:vMerge/>
            <w:tcBorders>
              <w:top w:val="single" w:sz="4" w:space="0" w:color="auto"/>
              <w:left w:val="single" w:sz="4" w:space="0" w:color="auto"/>
              <w:bottom w:val="single" w:sz="4" w:space="0" w:color="000000"/>
              <w:right w:val="single" w:sz="4" w:space="0" w:color="auto"/>
            </w:tcBorders>
            <w:vAlign w:val="center"/>
            <w:hideMark/>
          </w:tcPr>
          <w:p w:rsidR="00751A38" w:rsidRPr="00B75B77" w:rsidRDefault="00751A38" w:rsidP="00751A38">
            <w:pPr>
              <w:jc w:val="left"/>
              <w:rPr>
                <w:rFonts w:ascii="Calibri" w:eastAsia="Times New Roman" w:hAnsi="Calibri"/>
                <w:b/>
                <w:bCs/>
                <w:color w:val="FFFFFF"/>
                <w:sz w:val="18"/>
                <w:szCs w:val="18"/>
              </w:rPr>
            </w:pPr>
          </w:p>
        </w:tc>
        <w:tc>
          <w:tcPr>
            <w:tcW w:w="1617" w:type="dxa"/>
            <w:vMerge/>
            <w:tcBorders>
              <w:top w:val="single" w:sz="4" w:space="0" w:color="auto"/>
              <w:left w:val="single" w:sz="4" w:space="0" w:color="auto"/>
              <w:bottom w:val="single" w:sz="4" w:space="0" w:color="000000"/>
              <w:right w:val="single" w:sz="4" w:space="0" w:color="auto"/>
            </w:tcBorders>
            <w:vAlign w:val="center"/>
            <w:hideMark/>
          </w:tcPr>
          <w:p w:rsidR="00751A38" w:rsidRPr="00B75B77" w:rsidRDefault="00751A38" w:rsidP="00751A38">
            <w:pPr>
              <w:jc w:val="left"/>
              <w:rPr>
                <w:rFonts w:ascii="Calibri" w:eastAsia="Times New Roman" w:hAnsi="Calibri"/>
                <w:b/>
                <w:bCs/>
                <w:color w:val="FFFFFF"/>
                <w:sz w:val="18"/>
                <w:szCs w:val="18"/>
              </w:rPr>
            </w:pPr>
          </w:p>
        </w:tc>
        <w:tc>
          <w:tcPr>
            <w:tcW w:w="1324" w:type="dxa"/>
            <w:vMerge/>
            <w:tcBorders>
              <w:top w:val="single" w:sz="4" w:space="0" w:color="auto"/>
              <w:left w:val="single" w:sz="4" w:space="0" w:color="auto"/>
              <w:bottom w:val="single" w:sz="4" w:space="0" w:color="000000"/>
              <w:right w:val="single" w:sz="4" w:space="0" w:color="auto"/>
            </w:tcBorders>
            <w:vAlign w:val="center"/>
            <w:hideMark/>
          </w:tcPr>
          <w:p w:rsidR="00751A38" w:rsidRPr="00B75B77" w:rsidRDefault="00751A38" w:rsidP="00751A38">
            <w:pPr>
              <w:jc w:val="left"/>
              <w:rPr>
                <w:rFonts w:ascii="Calibri" w:eastAsia="Times New Roman" w:hAnsi="Calibri"/>
                <w:b/>
                <w:bCs/>
                <w:color w:val="FFFFFF"/>
                <w:sz w:val="18"/>
                <w:szCs w:val="18"/>
              </w:rPr>
            </w:pPr>
          </w:p>
        </w:tc>
      </w:tr>
      <w:tr w:rsidR="00751A38" w:rsidRPr="00B75B77" w:rsidTr="00850B3A">
        <w:trPr>
          <w:divId w:val="919102574"/>
          <w:trHeight w:val="269"/>
        </w:trPr>
        <w:tc>
          <w:tcPr>
            <w:tcW w:w="2544" w:type="dxa"/>
            <w:vMerge/>
            <w:tcBorders>
              <w:top w:val="single" w:sz="4" w:space="0" w:color="auto"/>
              <w:left w:val="single" w:sz="4" w:space="0" w:color="auto"/>
              <w:bottom w:val="single" w:sz="4" w:space="0" w:color="000000"/>
              <w:right w:val="single" w:sz="4" w:space="0" w:color="auto"/>
            </w:tcBorders>
            <w:vAlign w:val="center"/>
            <w:hideMark/>
          </w:tcPr>
          <w:p w:rsidR="00751A38" w:rsidRPr="00B75B77" w:rsidRDefault="00751A38" w:rsidP="00751A38">
            <w:pPr>
              <w:jc w:val="left"/>
              <w:rPr>
                <w:rFonts w:ascii="Calibri" w:eastAsia="Times New Roman" w:hAnsi="Calibri"/>
                <w:b/>
                <w:bCs/>
                <w:color w:val="FFFFFF"/>
                <w:sz w:val="18"/>
                <w:szCs w:val="18"/>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rsidR="00751A38" w:rsidRPr="00B75B77" w:rsidRDefault="00751A38" w:rsidP="00751A38">
            <w:pPr>
              <w:jc w:val="left"/>
              <w:rPr>
                <w:rFonts w:ascii="Calibri" w:eastAsia="Times New Roman" w:hAnsi="Calibri"/>
                <w:b/>
                <w:bCs/>
                <w:color w:val="FFFFFF"/>
                <w:sz w:val="18"/>
                <w:szCs w:val="18"/>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751A38" w:rsidRPr="00B75B77" w:rsidRDefault="00751A38" w:rsidP="00751A38">
            <w:pPr>
              <w:jc w:val="left"/>
              <w:rPr>
                <w:rFonts w:ascii="Calibri" w:eastAsia="Times New Roman" w:hAnsi="Calibri"/>
                <w:b/>
                <w:bCs/>
                <w:color w:val="FFFFFF"/>
                <w:sz w:val="18"/>
                <w:szCs w:val="18"/>
              </w:rPr>
            </w:pPr>
          </w:p>
        </w:tc>
        <w:tc>
          <w:tcPr>
            <w:tcW w:w="1620" w:type="dxa"/>
            <w:vMerge/>
            <w:tcBorders>
              <w:top w:val="single" w:sz="4" w:space="0" w:color="auto"/>
              <w:left w:val="single" w:sz="4" w:space="0" w:color="auto"/>
              <w:bottom w:val="single" w:sz="4" w:space="0" w:color="000000"/>
              <w:right w:val="single" w:sz="4" w:space="0" w:color="auto"/>
            </w:tcBorders>
            <w:vAlign w:val="center"/>
            <w:hideMark/>
          </w:tcPr>
          <w:p w:rsidR="00751A38" w:rsidRPr="00B75B77" w:rsidRDefault="00751A38" w:rsidP="00751A38">
            <w:pPr>
              <w:jc w:val="left"/>
              <w:rPr>
                <w:rFonts w:ascii="Calibri" w:eastAsia="Times New Roman" w:hAnsi="Calibri"/>
                <w:b/>
                <w:bCs/>
                <w:color w:val="FFFFFF"/>
                <w:sz w:val="18"/>
                <w:szCs w:val="18"/>
              </w:rPr>
            </w:pPr>
          </w:p>
        </w:tc>
        <w:tc>
          <w:tcPr>
            <w:tcW w:w="1617" w:type="dxa"/>
            <w:vMerge/>
            <w:tcBorders>
              <w:top w:val="single" w:sz="4" w:space="0" w:color="auto"/>
              <w:left w:val="single" w:sz="4" w:space="0" w:color="auto"/>
              <w:bottom w:val="single" w:sz="4" w:space="0" w:color="000000"/>
              <w:right w:val="single" w:sz="4" w:space="0" w:color="auto"/>
            </w:tcBorders>
            <w:vAlign w:val="center"/>
            <w:hideMark/>
          </w:tcPr>
          <w:p w:rsidR="00751A38" w:rsidRPr="00B75B77" w:rsidRDefault="00751A38" w:rsidP="00751A38">
            <w:pPr>
              <w:jc w:val="left"/>
              <w:rPr>
                <w:rFonts w:ascii="Calibri" w:eastAsia="Times New Roman" w:hAnsi="Calibri"/>
                <w:b/>
                <w:bCs/>
                <w:color w:val="FFFFFF"/>
                <w:sz w:val="18"/>
                <w:szCs w:val="18"/>
              </w:rPr>
            </w:pPr>
          </w:p>
        </w:tc>
        <w:tc>
          <w:tcPr>
            <w:tcW w:w="1324" w:type="dxa"/>
            <w:vMerge/>
            <w:tcBorders>
              <w:top w:val="single" w:sz="4" w:space="0" w:color="auto"/>
              <w:left w:val="single" w:sz="4" w:space="0" w:color="auto"/>
              <w:bottom w:val="single" w:sz="4" w:space="0" w:color="000000"/>
              <w:right w:val="single" w:sz="4" w:space="0" w:color="auto"/>
            </w:tcBorders>
            <w:vAlign w:val="center"/>
            <w:hideMark/>
          </w:tcPr>
          <w:p w:rsidR="00751A38" w:rsidRPr="00B75B77" w:rsidRDefault="00751A38" w:rsidP="00751A38">
            <w:pPr>
              <w:jc w:val="left"/>
              <w:rPr>
                <w:rFonts w:ascii="Calibri" w:eastAsia="Times New Roman" w:hAnsi="Calibri"/>
                <w:b/>
                <w:bCs/>
                <w:color w:val="FFFFFF"/>
                <w:sz w:val="18"/>
                <w:szCs w:val="18"/>
              </w:rPr>
            </w:pPr>
          </w:p>
        </w:tc>
      </w:tr>
      <w:tr w:rsidR="00751A38" w:rsidRPr="00B75B77" w:rsidTr="00850B3A">
        <w:trPr>
          <w:divId w:val="919102574"/>
          <w:trHeight w:val="300"/>
        </w:trPr>
        <w:tc>
          <w:tcPr>
            <w:tcW w:w="2544" w:type="dxa"/>
            <w:tcBorders>
              <w:top w:val="nil"/>
              <w:left w:val="single" w:sz="4" w:space="0" w:color="448A99"/>
              <w:bottom w:val="single" w:sz="4" w:space="0" w:color="448A99"/>
              <w:right w:val="single" w:sz="4" w:space="0" w:color="448A99"/>
            </w:tcBorders>
            <w:shd w:val="clear" w:color="000000" w:fill="D2EAF1"/>
            <w:vAlign w:val="center"/>
            <w:hideMark/>
          </w:tcPr>
          <w:p w:rsidR="00751A38" w:rsidRPr="00B75B77" w:rsidRDefault="00751A38" w:rsidP="00751A38">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Assessment</w:t>
            </w:r>
          </w:p>
        </w:tc>
        <w:tc>
          <w:tcPr>
            <w:tcW w:w="1260"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2,567</w:t>
            </w:r>
          </w:p>
        </w:tc>
        <w:tc>
          <w:tcPr>
            <w:tcW w:w="1080"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0.98</w:t>
            </w:r>
          </w:p>
        </w:tc>
        <w:tc>
          <w:tcPr>
            <w:tcW w:w="1620"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2,510</w:t>
            </w:r>
          </w:p>
        </w:tc>
        <w:tc>
          <w:tcPr>
            <w:tcW w:w="1617"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0.09</w:t>
            </w:r>
          </w:p>
        </w:tc>
        <w:tc>
          <w:tcPr>
            <w:tcW w:w="1324"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color w:val="000000"/>
                <w:sz w:val="18"/>
                <w:szCs w:val="18"/>
              </w:rPr>
            </w:pPr>
            <w:bookmarkStart w:id="311" w:name="RANGE!G39:G41"/>
            <w:r w:rsidRPr="00B75B77">
              <w:rPr>
                <w:rFonts w:ascii="Calibri" w:eastAsia="Times New Roman" w:hAnsi="Calibri"/>
                <w:color w:val="000000"/>
                <w:sz w:val="18"/>
                <w:szCs w:val="18"/>
              </w:rPr>
              <w:t>2%</w:t>
            </w:r>
            <w:bookmarkEnd w:id="311"/>
          </w:p>
        </w:tc>
      </w:tr>
      <w:tr w:rsidR="00751A38" w:rsidRPr="00B75B77" w:rsidTr="00850B3A">
        <w:trPr>
          <w:divId w:val="919102574"/>
          <w:trHeight w:val="300"/>
        </w:trPr>
        <w:tc>
          <w:tcPr>
            <w:tcW w:w="2544" w:type="dxa"/>
            <w:tcBorders>
              <w:top w:val="nil"/>
              <w:left w:val="single" w:sz="4" w:space="0" w:color="448A99"/>
              <w:bottom w:val="single" w:sz="4" w:space="0" w:color="448A99"/>
              <w:right w:val="single" w:sz="4" w:space="0" w:color="448A99"/>
            </w:tcBorders>
            <w:shd w:val="clear" w:color="000000" w:fill="FFFFFF"/>
            <w:vAlign w:val="center"/>
            <w:hideMark/>
          </w:tcPr>
          <w:p w:rsidR="00751A38" w:rsidRPr="00B75B77" w:rsidRDefault="00751A38" w:rsidP="00751A38">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Audit Only</w:t>
            </w:r>
          </w:p>
        </w:tc>
        <w:tc>
          <w:tcPr>
            <w:tcW w:w="1260" w:type="dxa"/>
            <w:tcBorders>
              <w:top w:val="nil"/>
              <w:left w:val="nil"/>
              <w:bottom w:val="single" w:sz="4" w:space="0" w:color="448A99"/>
              <w:right w:val="single" w:sz="4" w:space="0" w:color="448A99"/>
            </w:tcBorders>
            <w:shd w:val="clear" w:color="000000" w:fill="FFFFFF"/>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1,724</w:t>
            </w:r>
          </w:p>
        </w:tc>
        <w:tc>
          <w:tcPr>
            <w:tcW w:w="1080" w:type="dxa"/>
            <w:tcBorders>
              <w:top w:val="nil"/>
              <w:left w:val="nil"/>
              <w:bottom w:val="single" w:sz="4" w:space="0" w:color="448A99"/>
              <w:right w:val="single" w:sz="4" w:space="0" w:color="448A99"/>
            </w:tcBorders>
            <w:shd w:val="clear" w:color="000000" w:fill="FFFFFF"/>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0.98</w:t>
            </w:r>
          </w:p>
        </w:tc>
        <w:tc>
          <w:tcPr>
            <w:tcW w:w="1620" w:type="dxa"/>
            <w:tcBorders>
              <w:top w:val="nil"/>
              <w:left w:val="nil"/>
              <w:bottom w:val="single" w:sz="4" w:space="0" w:color="448A99"/>
              <w:right w:val="single" w:sz="4" w:space="0" w:color="448A99"/>
            </w:tcBorders>
            <w:shd w:val="clear" w:color="000000" w:fill="FFFFFF"/>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1,692</w:t>
            </w:r>
          </w:p>
        </w:tc>
        <w:tc>
          <w:tcPr>
            <w:tcW w:w="1617" w:type="dxa"/>
            <w:tcBorders>
              <w:top w:val="nil"/>
              <w:left w:val="nil"/>
              <w:bottom w:val="single" w:sz="4" w:space="0" w:color="448A99"/>
              <w:right w:val="single" w:sz="4" w:space="0" w:color="448A99"/>
            </w:tcBorders>
            <w:shd w:val="clear" w:color="000000" w:fill="FFFFFF"/>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0.07</w:t>
            </w:r>
          </w:p>
        </w:tc>
        <w:tc>
          <w:tcPr>
            <w:tcW w:w="1324" w:type="dxa"/>
            <w:tcBorders>
              <w:top w:val="nil"/>
              <w:left w:val="nil"/>
              <w:bottom w:val="single" w:sz="4" w:space="0" w:color="448A99"/>
              <w:right w:val="single" w:sz="4" w:space="0" w:color="448A99"/>
            </w:tcBorders>
            <w:shd w:val="clear" w:color="000000" w:fill="FFFFFF"/>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1%</w:t>
            </w:r>
          </w:p>
        </w:tc>
      </w:tr>
      <w:tr w:rsidR="00751A38" w:rsidRPr="00B75B77" w:rsidTr="00850B3A">
        <w:trPr>
          <w:divId w:val="919102574"/>
          <w:trHeight w:val="300"/>
        </w:trPr>
        <w:tc>
          <w:tcPr>
            <w:tcW w:w="2544" w:type="dxa"/>
            <w:tcBorders>
              <w:top w:val="nil"/>
              <w:left w:val="single" w:sz="4" w:space="0" w:color="448A99"/>
              <w:bottom w:val="single" w:sz="4" w:space="0" w:color="448A99"/>
              <w:right w:val="single" w:sz="4" w:space="0" w:color="448A99"/>
            </w:tcBorders>
            <w:shd w:val="clear" w:color="000000" w:fill="D2EAF1"/>
            <w:vAlign w:val="center"/>
            <w:hideMark/>
          </w:tcPr>
          <w:p w:rsidR="00751A38" w:rsidRPr="00B75B77" w:rsidRDefault="00751A38" w:rsidP="00751A38">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Audit + Install Major Measures</w:t>
            </w:r>
          </w:p>
        </w:tc>
        <w:tc>
          <w:tcPr>
            <w:tcW w:w="1260"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2,451</w:t>
            </w:r>
          </w:p>
        </w:tc>
        <w:tc>
          <w:tcPr>
            <w:tcW w:w="1080"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0.99</w:t>
            </w:r>
          </w:p>
        </w:tc>
        <w:tc>
          <w:tcPr>
            <w:tcW w:w="1620"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2,438</w:t>
            </w:r>
          </w:p>
        </w:tc>
        <w:tc>
          <w:tcPr>
            <w:tcW w:w="1617"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0.04</w:t>
            </w:r>
          </w:p>
        </w:tc>
        <w:tc>
          <w:tcPr>
            <w:tcW w:w="1324"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1%</w:t>
            </w:r>
          </w:p>
        </w:tc>
      </w:tr>
      <w:tr w:rsidR="00751A38" w:rsidRPr="00B75B77" w:rsidTr="00850B3A">
        <w:trPr>
          <w:divId w:val="919102574"/>
          <w:trHeight w:val="288"/>
        </w:trPr>
        <w:tc>
          <w:tcPr>
            <w:tcW w:w="2544" w:type="dxa"/>
            <w:tcBorders>
              <w:top w:val="nil"/>
              <w:left w:val="single" w:sz="4" w:space="0" w:color="448A99"/>
              <w:bottom w:val="single" w:sz="4" w:space="0" w:color="448A99"/>
              <w:right w:val="single" w:sz="4" w:space="0" w:color="448A99"/>
            </w:tcBorders>
            <w:shd w:val="clear" w:color="000000" w:fill="FFFFFF"/>
            <w:vAlign w:val="center"/>
            <w:hideMark/>
          </w:tcPr>
          <w:p w:rsidR="00751A38" w:rsidRPr="00B75B77" w:rsidRDefault="00796A52" w:rsidP="00751A38">
            <w:pPr>
              <w:jc w:val="left"/>
              <w:rPr>
                <w:rFonts w:ascii="Calibri" w:eastAsia="Times New Roman" w:hAnsi="Calibri"/>
                <w:b/>
                <w:color w:val="000000"/>
                <w:sz w:val="18"/>
                <w:szCs w:val="18"/>
              </w:rPr>
            </w:pPr>
            <w:r w:rsidRPr="00B75B77">
              <w:rPr>
                <w:rFonts w:ascii="Calibri" w:eastAsia="Times New Roman" w:hAnsi="Calibri"/>
                <w:b/>
                <w:color w:val="000000"/>
                <w:sz w:val="18"/>
                <w:szCs w:val="18"/>
              </w:rPr>
              <w:t>PROGRAM TOTAL</w:t>
            </w:r>
          </w:p>
        </w:tc>
        <w:tc>
          <w:tcPr>
            <w:tcW w:w="1260" w:type="dxa"/>
            <w:tcBorders>
              <w:top w:val="nil"/>
              <w:left w:val="nil"/>
              <w:bottom w:val="single" w:sz="4" w:space="0" w:color="448A99"/>
              <w:right w:val="single" w:sz="4" w:space="0" w:color="448A99"/>
            </w:tcBorders>
            <w:shd w:val="clear" w:color="000000" w:fill="FFFFFF"/>
            <w:vAlign w:val="center"/>
            <w:hideMark/>
          </w:tcPr>
          <w:p w:rsidR="00751A38" w:rsidRPr="00B75B77" w:rsidRDefault="00751A38" w:rsidP="00751A38">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6,742</w:t>
            </w:r>
          </w:p>
        </w:tc>
        <w:tc>
          <w:tcPr>
            <w:tcW w:w="1080" w:type="dxa"/>
            <w:tcBorders>
              <w:top w:val="nil"/>
              <w:left w:val="nil"/>
              <w:bottom w:val="single" w:sz="4" w:space="0" w:color="448A99"/>
              <w:right w:val="single" w:sz="4" w:space="0" w:color="448A99"/>
            </w:tcBorders>
            <w:shd w:val="clear" w:color="000000" w:fill="FFFFFF"/>
            <w:vAlign w:val="center"/>
            <w:hideMark/>
          </w:tcPr>
          <w:p w:rsidR="00751A38" w:rsidRPr="00B75B77" w:rsidRDefault="00751A38" w:rsidP="00751A38">
            <w:pPr>
              <w:jc w:val="center"/>
              <w:rPr>
                <w:rFonts w:ascii="Calibri" w:eastAsia="Times New Roman" w:hAnsi="Calibri"/>
                <w:b/>
                <w:color w:val="000000"/>
                <w:sz w:val="18"/>
                <w:szCs w:val="18"/>
              </w:rPr>
            </w:pPr>
            <w:bookmarkStart w:id="312" w:name="RANGE!D42"/>
            <w:r w:rsidRPr="00B75B77">
              <w:rPr>
                <w:rFonts w:ascii="Calibri" w:eastAsia="Times New Roman" w:hAnsi="Calibri"/>
                <w:b/>
                <w:color w:val="000000"/>
                <w:sz w:val="18"/>
                <w:szCs w:val="18"/>
              </w:rPr>
              <w:t>0.98</w:t>
            </w:r>
            <w:bookmarkEnd w:id="312"/>
          </w:p>
        </w:tc>
        <w:tc>
          <w:tcPr>
            <w:tcW w:w="1620" w:type="dxa"/>
            <w:tcBorders>
              <w:top w:val="nil"/>
              <w:left w:val="nil"/>
              <w:bottom w:val="single" w:sz="4" w:space="0" w:color="448A99"/>
              <w:right w:val="single" w:sz="4" w:space="0" w:color="448A99"/>
            </w:tcBorders>
            <w:shd w:val="clear" w:color="000000" w:fill="FFFFFF"/>
            <w:vAlign w:val="center"/>
            <w:hideMark/>
          </w:tcPr>
          <w:p w:rsidR="00751A38" w:rsidRPr="00B75B77" w:rsidRDefault="00751A38" w:rsidP="00751A38">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6,640</w:t>
            </w:r>
          </w:p>
        </w:tc>
        <w:tc>
          <w:tcPr>
            <w:tcW w:w="1617" w:type="dxa"/>
            <w:tcBorders>
              <w:top w:val="nil"/>
              <w:left w:val="nil"/>
              <w:bottom w:val="single" w:sz="4" w:space="0" w:color="448A99"/>
              <w:right w:val="single" w:sz="4" w:space="0" w:color="448A99"/>
            </w:tcBorders>
            <w:shd w:val="clear" w:color="000000" w:fill="FFFFFF"/>
            <w:vAlign w:val="center"/>
            <w:hideMark/>
          </w:tcPr>
          <w:p w:rsidR="00751A38" w:rsidRPr="00B75B77" w:rsidRDefault="00751A38" w:rsidP="00751A38">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N/A</w:t>
            </w:r>
          </w:p>
        </w:tc>
        <w:tc>
          <w:tcPr>
            <w:tcW w:w="1324" w:type="dxa"/>
            <w:tcBorders>
              <w:top w:val="nil"/>
              <w:left w:val="nil"/>
              <w:bottom w:val="single" w:sz="4" w:space="0" w:color="448A99"/>
              <w:right w:val="single" w:sz="4" w:space="0" w:color="448A99"/>
            </w:tcBorders>
            <w:shd w:val="clear" w:color="000000" w:fill="FFFFFF"/>
            <w:vAlign w:val="center"/>
            <w:hideMark/>
          </w:tcPr>
          <w:p w:rsidR="00751A38" w:rsidRPr="00B75B77" w:rsidRDefault="00751A38" w:rsidP="00751A38">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1%</w:t>
            </w:r>
          </w:p>
        </w:tc>
      </w:tr>
    </w:tbl>
    <w:p w:rsidR="00850B3A" w:rsidRPr="00B75B77" w:rsidRDefault="00850B3A" w:rsidP="00850B3A">
      <w:pPr>
        <w:pStyle w:val="Source"/>
        <w:spacing w:before="20" w:after="20"/>
        <w:ind w:left="187" w:firstLine="0"/>
        <w:rPr>
          <w:i w:val="0"/>
        </w:rPr>
      </w:pPr>
      <w:r w:rsidRPr="00B75B77">
        <w:rPr>
          <w:i w:val="0"/>
        </w:rPr>
        <w:t xml:space="preserve">Note: </w:t>
      </w:r>
      <w:r w:rsidRPr="00B75B77">
        <w:rPr>
          <w:rFonts w:ascii="Calibri" w:hAnsi="Calibri"/>
          <w:i w:val="0"/>
          <w:iCs/>
          <w:color w:val="000000"/>
          <w:szCs w:val="18"/>
        </w:rPr>
        <w:t>Values in tables may not reconcile exactly with the sum of more detailed level results or previously reported results due to rounding.</w:t>
      </w:r>
    </w:p>
    <w:p w:rsidR="00751A38" w:rsidRPr="00B75B77" w:rsidRDefault="00751A38" w:rsidP="00BC406C">
      <w:pPr>
        <w:pStyle w:val="Source"/>
      </w:pPr>
      <w:r w:rsidRPr="00B75B77">
        <w:t>Source: Navigant analysis</w:t>
      </w:r>
    </w:p>
    <w:p w:rsidR="00751A38" w:rsidRPr="00B75B77" w:rsidRDefault="00751A38" w:rsidP="00751A38">
      <w:r w:rsidRPr="00B75B77">
        <w:t xml:space="preserve">Similar to energy savings, the TRM-based recreation of demand savings calculations matched to within </w:t>
      </w:r>
      <w:r w:rsidR="0009500C" w:rsidRPr="00B75B77">
        <w:t>1%</w:t>
      </w:r>
      <w:r w:rsidRPr="00B75B77">
        <w:t xml:space="preserve"> of reported savings for all program measures except air sealing, </w:t>
      </w:r>
      <w:r w:rsidR="008A315A" w:rsidRPr="00B75B77">
        <w:t xml:space="preserve">which had </w:t>
      </w:r>
      <w:r w:rsidRPr="00B75B77">
        <w:t>verified demand savings 2% below reported demand savings. The demand savings discrepancy for air sealing is rooted in the same issue of report</w:t>
      </w:r>
      <w:r w:rsidR="008A315A" w:rsidRPr="00B75B77">
        <w:t>ed</w:t>
      </w:r>
      <w:r w:rsidRPr="00B75B77">
        <w:t xml:space="preserve"> savings generated by</w:t>
      </w:r>
      <w:r w:rsidR="008A6491" w:rsidRPr="00B75B77">
        <w:t xml:space="preserve"> the CSP’s</w:t>
      </w:r>
      <w:r w:rsidRPr="00B75B77">
        <w:t xml:space="preserve"> building energy modeling software,</w:t>
      </w:r>
      <w:r w:rsidR="008A315A" w:rsidRPr="00B75B77">
        <w:t xml:space="preserve"> while </w:t>
      </w:r>
      <w:r w:rsidRPr="00B75B77">
        <w:t xml:space="preserve">the evaluation team calculated savings using algorithms defined in the IMP. </w:t>
      </w:r>
    </w:p>
    <w:p w:rsidR="00751A38" w:rsidRPr="00B75B77" w:rsidRDefault="00751A38" w:rsidP="00751A38"/>
    <w:p w:rsidR="00751A38" w:rsidRPr="00B75B77" w:rsidRDefault="00751A38" w:rsidP="00751A38">
      <w:r w:rsidRPr="00B75B77">
        <w:t>The verification interviews yielded partial demand realization rates for assessments, audits, and contractor-installed major measures of 0.98, 0.98, and 0.99, respectively</w:t>
      </w:r>
      <w:r w:rsidR="006A7891" w:rsidRPr="00B75B77">
        <w:t>.</w:t>
      </w:r>
      <w:r w:rsidRPr="00B75B77">
        <w:t xml:space="preserve"> </w:t>
      </w:r>
      <w:r w:rsidR="006A7891" w:rsidRPr="00B75B77">
        <w:t xml:space="preserve">These were </w:t>
      </w:r>
      <w:r w:rsidRPr="00B75B77">
        <w:t>driven by the removal of some measures</w:t>
      </w:r>
      <w:r w:rsidR="006A7891" w:rsidRPr="00B75B77">
        <w:t>,</w:t>
      </w:r>
      <w:r w:rsidRPr="00B75B77">
        <w:t xml:space="preserve"> as noted above. As previously described, the evaluation team did not find any discrepancies </w:t>
      </w:r>
      <w:r w:rsidR="006A7891" w:rsidRPr="00B75B77">
        <w:t xml:space="preserve">between </w:t>
      </w:r>
      <w:r w:rsidRPr="00B75B77">
        <w:t>the measures listed in the participant files and the tracking data, so the participant file review yielded demand savings realization rates of 1.0 for each stratum.</w:t>
      </w:r>
    </w:p>
    <w:p w:rsidR="00751A38" w:rsidRPr="00B75B77" w:rsidRDefault="00751A38" w:rsidP="00751A38"/>
    <w:p w:rsidR="00751A38" w:rsidRPr="00B75B77" w:rsidRDefault="00751A38" w:rsidP="00751A38">
      <w:r w:rsidRPr="00B75B77">
        <w:lastRenderedPageBreak/>
        <w:t xml:space="preserve">The evaluation team calculated the full realization rate for verified demand savings as the combination of the partial realization rates </w:t>
      </w:r>
      <w:r w:rsidR="006A7891" w:rsidRPr="00B75B77">
        <w:t>for each</w:t>
      </w:r>
      <w:r w:rsidRPr="00B75B77">
        <w:t xml:space="preserve"> evaluation activity. </w:t>
      </w:r>
      <w:r w:rsidR="00792D48" w:rsidRPr="00B75B77">
        <w:fldChar w:fldCharType="begin"/>
      </w:r>
      <w:r w:rsidR="00792D48" w:rsidRPr="00B75B77">
        <w:instrText xml:space="preserve"> REF _Ref461817418 \h </w:instrText>
      </w:r>
      <w:r w:rsidR="00B75B77">
        <w:instrText xml:space="preserve"> \* MERGEFORMAT </w:instrText>
      </w:r>
      <w:r w:rsidR="00792D48" w:rsidRPr="00B75B77">
        <w:fldChar w:fldCharType="separate"/>
      </w:r>
      <w:r w:rsidR="0004016D" w:rsidRPr="00B75B77">
        <w:t xml:space="preserve">Table </w:t>
      </w:r>
      <w:r w:rsidR="0004016D">
        <w:rPr>
          <w:noProof/>
        </w:rPr>
        <w:t>3</w:t>
      </w:r>
      <w:r w:rsidR="0004016D" w:rsidRPr="00B75B77">
        <w:rPr>
          <w:noProof/>
        </w:rPr>
        <w:noBreakHyphen/>
      </w:r>
      <w:r w:rsidR="0004016D">
        <w:rPr>
          <w:noProof/>
        </w:rPr>
        <w:t>4</w:t>
      </w:r>
      <w:r w:rsidR="00792D48" w:rsidRPr="00B75B77">
        <w:fldChar w:fldCharType="end"/>
      </w:r>
      <w:r w:rsidR="00792D48" w:rsidRPr="00B75B77">
        <w:t xml:space="preserve"> </w:t>
      </w:r>
      <w:r w:rsidRPr="00B75B77">
        <w:t xml:space="preserve">shows </w:t>
      </w:r>
      <w:r w:rsidR="006A7891" w:rsidRPr="00B75B77">
        <w:t xml:space="preserve">the </w:t>
      </w:r>
      <w:r w:rsidRPr="00B75B77">
        <w:t xml:space="preserve">verified demand savings and the final demand realization rate by project type and </w:t>
      </w:r>
      <w:r w:rsidR="006A7891" w:rsidRPr="00B75B77">
        <w:t xml:space="preserve">for the </w:t>
      </w:r>
      <w:r w:rsidRPr="00B75B77">
        <w:t>overall</w:t>
      </w:r>
      <w:r w:rsidR="006A7891" w:rsidRPr="00B75B77">
        <w:t xml:space="preserve"> program</w:t>
      </w:r>
      <w:r w:rsidRPr="00B75B77">
        <w:t xml:space="preserve">. </w:t>
      </w:r>
      <w:r w:rsidR="006A7891" w:rsidRPr="00B75B77">
        <w:t>The overall program’s a</w:t>
      </w:r>
      <w:r w:rsidRPr="00B75B77">
        <w:t xml:space="preserve">chieved relative precision was </w:t>
      </w:r>
      <w:r w:rsidR="0009500C" w:rsidRPr="00B75B77">
        <w:t xml:space="preserve">1% </w:t>
      </w:r>
      <w:r w:rsidRPr="00B75B77">
        <w:t>at the 85</w:t>
      </w:r>
      <w:r w:rsidR="0009500C" w:rsidRPr="00B75B77">
        <w:t>%</w:t>
      </w:r>
      <w:r w:rsidRPr="00B75B77">
        <w:t xml:space="preserve"> confidence interval.</w:t>
      </w:r>
    </w:p>
    <w:p w:rsidR="00751A38" w:rsidRPr="00B75B77" w:rsidRDefault="00751A38" w:rsidP="00286B52"/>
    <w:p w:rsidR="00751A38" w:rsidRPr="00B75B77" w:rsidRDefault="00751A38" w:rsidP="00751A38">
      <w:pPr>
        <w:pStyle w:val="Caption"/>
      </w:pPr>
      <w:bookmarkStart w:id="313" w:name="_Ref461817418"/>
      <w:bookmarkStart w:id="314" w:name="_Toc466413524"/>
      <w:r w:rsidRPr="00B75B77">
        <w:t xml:space="preserve">Table </w:t>
      </w:r>
      <w:fldSimple w:instr=" STYLEREF 1 \s ">
        <w:r w:rsidR="0004016D">
          <w:rPr>
            <w:noProof/>
          </w:rPr>
          <w:t>3</w:t>
        </w:r>
      </w:fldSimple>
      <w:r w:rsidR="00F1144C" w:rsidRPr="00B75B77">
        <w:noBreakHyphen/>
      </w:r>
      <w:fldSimple w:instr=" SEQ Table \* ARABIC \s 1 ">
        <w:r w:rsidR="0004016D">
          <w:rPr>
            <w:noProof/>
          </w:rPr>
          <w:t>4</w:t>
        </w:r>
      </w:fldSimple>
      <w:bookmarkEnd w:id="313"/>
      <w:r w:rsidRPr="00B75B77">
        <w:t>: PY7 Smart House Call Summary of Evaluation Results for Demand</w:t>
      </w:r>
      <w:bookmarkEnd w:id="314"/>
    </w:p>
    <w:tbl>
      <w:tblPr>
        <w:tblW w:w="9355" w:type="dxa"/>
        <w:tblLook w:val="04A0" w:firstRow="1" w:lastRow="0" w:firstColumn="1" w:lastColumn="0" w:noHBand="0" w:noVBand="1"/>
      </w:tblPr>
      <w:tblGrid>
        <w:gridCol w:w="2515"/>
        <w:gridCol w:w="1350"/>
        <w:gridCol w:w="1170"/>
        <w:gridCol w:w="1350"/>
        <w:gridCol w:w="1530"/>
        <w:gridCol w:w="1440"/>
      </w:tblGrid>
      <w:tr w:rsidR="00751A38" w:rsidRPr="00B75B77" w:rsidTr="00751A38">
        <w:trPr>
          <w:divId w:val="802037956"/>
          <w:trHeight w:val="588"/>
        </w:trPr>
        <w:tc>
          <w:tcPr>
            <w:tcW w:w="2515"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751A38" w:rsidRPr="00B75B77" w:rsidRDefault="00751A38" w:rsidP="00850B3A">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Stratum</w:t>
            </w:r>
          </w:p>
        </w:tc>
        <w:tc>
          <w:tcPr>
            <w:tcW w:w="1350"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751A38" w:rsidRPr="00B75B77" w:rsidRDefault="00751A38"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Reported Gross Demand Savings </w:t>
            </w:r>
            <w:r w:rsidRPr="00B75B77">
              <w:rPr>
                <w:rFonts w:ascii="Calibri" w:eastAsia="Times New Roman" w:hAnsi="Calibri"/>
                <w:b/>
                <w:bCs/>
                <w:color w:val="FFFFFF"/>
                <w:sz w:val="18"/>
                <w:szCs w:val="18"/>
              </w:rPr>
              <w:br/>
              <w:t>(MW)</w:t>
            </w:r>
            <w:r w:rsidRPr="00B75B77">
              <w:rPr>
                <w:rFonts w:ascii="Calibri" w:eastAsia="Times New Roman" w:hAnsi="Calibri"/>
                <w:b/>
                <w:bCs/>
                <w:color w:val="FFFFFF"/>
                <w:sz w:val="18"/>
                <w:szCs w:val="18"/>
                <w:vertAlign w:val="superscript"/>
              </w:rPr>
              <w:t>[1]</w:t>
            </w:r>
          </w:p>
        </w:tc>
        <w:tc>
          <w:tcPr>
            <w:tcW w:w="1170"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751A38" w:rsidRPr="00B75B77" w:rsidRDefault="00751A38"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Demand Realization Rate (%)</w:t>
            </w:r>
          </w:p>
        </w:tc>
        <w:tc>
          <w:tcPr>
            <w:tcW w:w="1350"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751A38" w:rsidRPr="00B75B77" w:rsidRDefault="00751A38"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Verified Gross Demand Savings (MW)</w:t>
            </w:r>
            <w:r w:rsidRPr="00B75B77">
              <w:rPr>
                <w:rFonts w:ascii="Calibri" w:eastAsia="Times New Roman" w:hAnsi="Calibri"/>
                <w:b/>
                <w:bCs/>
                <w:color w:val="FFFFFF"/>
                <w:sz w:val="18"/>
                <w:szCs w:val="18"/>
                <w:vertAlign w:val="superscript"/>
              </w:rPr>
              <w:t>[1]</w:t>
            </w:r>
          </w:p>
        </w:tc>
        <w:tc>
          <w:tcPr>
            <w:tcW w:w="1530"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751A38" w:rsidRPr="00B75B77" w:rsidRDefault="00751A38" w:rsidP="00FC150A">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Observed C</w:t>
            </w:r>
            <w:r w:rsidR="00FC150A" w:rsidRPr="00B75B77">
              <w:rPr>
                <w:rFonts w:ascii="Calibri" w:eastAsia="Times New Roman" w:hAnsi="Calibri"/>
                <w:b/>
                <w:bCs/>
                <w:color w:val="FFFFFF"/>
                <w:sz w:val="18"/>
                <w:szCs w:val="18"/>
              </w:rPr>
              <w:t>V</w:t>
            </w:r>
            <w:r w:rsidR="00F92686" w:rsidRPr="00B75B77">
              <w:rPr>
                <w:rFonts w:ascii="Calibri" w:eastAsia="Times New Roman" w:hAnsi="Calibri"/>
                <w:b/>
                <w:bCs/>
                <w:color w:val="FFFFFF"/>
                <w:sz w:val="18"/>
                <w:szCs w:val="18"/>
              </w:rPr>
              <w:t xml:space="preserve"> </w:t>
            </w:r>
            <w:r w:rsidRPr="00B75B77">
              <w:rPr>
                <w:rFonts w:ascii="Calibri" w:eastAsia="Times New Roman" w:hAnsi="Calibri"/>
                <w:b/>
                <w:bCs/>
                <w:color w:val="FFFFFF"/>
                <w:sz w:val="18"/>
                <w:szCs w:val="18"/>
              </w:rPr>
              <w:t>or Proportion in Sample Design</w:t>
            </w:r>
          </w:p>
        </w:tc>
        <w:tc>
          <w:tcPr>
            <w:tcW w:w="1440"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751A38" w:rsidRPr="00B75B77" w:rsidRDefault="00751A38" w:rsidP="00850B3A">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Relative Precision at 85% </w:t>
            </w:r>
            <w:r w:rsidR="00850B3A" w:rsidRPr="00B75B77">
              <w:rPr>
                <w:rFonts w:ascii="Calibri" w:eastAsia="Times New Roman" w:hAnsi="Calibri"/>
                <w:b/>
                <w:bCs/>
                <w:color w:val="FFFFFF"/>
                <w:sz w:val="18"/>
                <w:szCs w:val="18"/>
              </w:rPr>
              <w:t>Confidence Interval</w:t>
            </w:r>
          </w:p>
        </w:tc>
      </w:tr>
      <w:tr w:rsidR="00751A38" w:rsidRPr="00B75B77" w:rsidTr="00751A38">
        <w:trPr>
          <w:divId w:val="802037956"/>
          <w:trHeight w:val="288"/>
        </w:trPr>
        <w:tc>
          <w:tcPr>
            <w:tcW w:w="2515" w:type="dxa"/>
            <w:vMerge/>
            <w:tcBorders>
              <w:top w:val="single" w:sz="4" w:space="0" w:color="auto"/>
              <w:left w:val="single" w:sz="4" w:space="0" w:color="auto"/>
              <w:bottom w:val="single" w:sz="4" w:space="0" w:color="auto"/>
              <w:right w:val="single" w:sz="4" w:space="0" w:color="auto"/>
            </w:tcBorders>
            <w:vAlign w:val="center"/>
            <w:hideMark/>
          </w:tcPr>
          <w:p w:rsidR="00751A38" w:rsidRPr="00B75B77" w:rsidRDefault="00751A38" w:rsidP="00751A38">
            <w:pPr>
              <w:jc w:val="left"/>
              <w:rPr>
                <w:rFonts w:ascii="Calibri" w:eastAsia="Times New Roman" w:hAnsi="Calibri"/>
                <w:b/>
                <w:bCs/>
                <w:color w:val="FFFFFF"/>
                <w:sz w:val="18"/>
                <w:szCs w:val="18"/>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751A38" w:rsidRPr="00B75B77" w:rsidRDefault="00751A38" w:rsidP="00751A38">
            <w:pPr>
              <w:jc w:val="left"/>
              <w:rPr>
                <w:rFonts w:ascii="Calibri" w:eastAsia="Times New Roman" w:hAnsi="Calibri"/>
                <w:b/>
                <w:bCs/>
                <w:color w:val="FFFFFF"/>
                <w:sz w:val="18"/>
                <w:szCs w:val="18"/>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751A38" w:rsidRPr="00B75B77" w:rsidRDefault="00751A38" w:rsidP="00751A38">
            <w:pPr>
              <w:jc w:val="left"/>
              <w:rPr>
                <w:rFonts w:ascii="Calibri" w:eastAsia="Times New Roman" w:hAnsi="Calibri"/>
                <w:b/>
                <w:bCs/>
                <w:color w:val="FFFFFF"/>
                <w:sz w:val="18"/>
                <w:szCs w:val="18"/>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751A38" w:rsidRPr="00B75B77" w:rsidRDefault="00751A38" w:rsidP="00751A38">
            <w:pPr>
              <w:jc w:val="left"/>
              <w:rPr>
                <w:rFonts w:ascii="Calibri" w:eastAsia="Times New Roman" w:hAnsi="Calibri"/>
                <w:b/>
                <w:bCs/>
                <w:color w:val="FFFFFF"/>
                <w:sz w:val="18"/>
                <w:szCs w:val="18"/>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751A38" w:rsidRPr="00B75B77" w:rsidRDefault="00751A38" w:rsidP="00751A38">
            <w:pPr>
              <w:jc w:val="left"/>
              <w:rPr>
                <w:rFonts w:ascii="Calibri" w:eastAsia="Times New Roman" w:hAnsi="Calibri"/>
                <w:b/>
                <w:bCs/>
                <w:color w:val="FFFFFF"/>
                <w:sz w:val="18"/>
                <w:szCs w:val="18"/>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751A38" w:rsidRPr="00B75B77" w:rsidRDefault="00751A38" w:rsidP="00751A38">
            <w:pPr>
              <w:jc w:val="left"/>
              <w:rPr>
                <w:rFonts w:ascii="Calibri" w:eastAsia="Times New Roman" w:hAnsi="Calibri"/>
                <w:b/>
                <w:bCs/>
                <w:color w:val="FFFFFF"/>
                <w:sz w:val="18"/>
                <w:szCs w:val="18"/>
              </w:rPr>
            </w:pPr>
          </w:p>
        </w:tc>
      </w:tr>
      <w:tr w:rsidR="00751A38" w:rsidRPr="00B75B77" w:rsidTr="00AE0F3F">
        <w:trPr>
          <w:divId w:val="802037956"/>
          <w:trHeight w:val="269"/>
        </w:trPr>
        <w:tc>
          <w:tcPr>
            <w:tcW w:w="2515" w:type="dxa"/>
            <w:vMerge/>
            <w:tcBorders>
              <w:top w:val="single" w:sz="4" w:space="0" w:color="auto"/>
              <w:left w:val="single" w:sz="4" w:space="0" w:color="auto"/>
              <w:bottom w:val="single" w:sz="4" w:space="0" w:color="auto"/>
              <w:right w:val="single" w:sz="4" w:space="0" w:color="auto"/>
            </w:tcBorders>
            <w:vAlign w:val="center"/>
            <w:hideMark/>
          </w:tcPr>
          <w:p w:rsidR="00751A38" w:rsidRPr="00B75B77" w:rsidRDefault="00751A38" w:rsidP="00751A38">
            <w:pPr>
              <w:jc w:val="left"/>
              <w:rPr>
                <w:rFonts w:ascii="Calibri" w:eastAsia="Times New Roman" w:hAnsi="Calibri"/>
                <w:b/>
                <w:bCs/>
                <w:color w:val="FFFFFF"/>
                <w:sz w:val="18"/>
                <w:szCs w:val="18"/>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751A38" w:rsidRPr="00B75B77" w:rsidRDefault="00751A38" w:rsidP="00751A38">
            <w:pPr>
              <w:jc w:val="left"/>
              <w:rPr>
                <w:rFonts w:ascii="Calibri" w:eastAsia="Times New Roman" w:hAnsi="Calibri"/>
                <w:b/>
                <w:bCs/>
                <w:color w:val="FFFFFF"/>
                <w:sz w:val="18"/>
                <w:szCs w:val="18"/>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751A38" w:rsidRPr="00B75B77" w:rsidRDefault="00751A38" w:rsidP="00751A38">
            <w:pPr>
              <w:jc w:val="left"/>
              <w:rPr>
                <w:rFonts w:ascii="Calibri" w:eastAsia="Times New Roman" w:hAnsi="Calibri"/>
                <w:b/>
                <w:bCs/>
                <w:color w:val="FFFFFF"/>
                <w:sz w:val="18"/>
                <w:szCs w:val="18"/>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751A38" w:rsidRPr="00B75B77" w:rsidRDefault="00751A38" w:rsidP="00751A38">
            <w:pPr>
              <w:jc w:val="left"/>
              <w:rPr>
                <w:rFonts w:ascii="Calibri" w:eastAsia="Times New Roman" w:hAnsi="Calibri"/>
                <w:b/>
                <w:bCs/>
                <w:color w:val="FFFFFF"/>
                <w:sz w:val="18"/>
                <w:szCs w:val="18"/>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751A38" w:rsidRPr="00B75B77" w:rsidRDefault="00751A38" w:rsidP="00751A38">
            <w:pPr>
              <w:jc w:val="left"/>
              <w:rPr>
                <w:rFonts w:ascii="Calibri" w:eastAsia="Times New Roman" w:hAnsi="Calibri"/>
                <w:b/>
                <w:bCs/>
                <w:color w:val="FFFFFF"/>
                <w:sz w:val="18"/>
                <w:szCs w:val="18"/>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751A38" w:rsidRPr="00B75B77" w:rsidRDefault="00751A38" w:rsidP="00751A38">
            <w:pPr>
              <w:jc w:val="left"/>
              <w:rPr>
                <w:rFonts w:ascii="Calibri" w:eastAsia="Times New Roman" w:hAnsi="Calibri"/>
                <w:b/>
                <w:bCs/>
                <w:color w:val="FFFFFF"/>
                <w:sz w:val="18"/>
                <w:szCs w:val="18"/>
              </w:rPr>
            </w:pPr>
          </w:p>
        </w:tc>
      </w:tr>
      <w:tr w:rsidR="00751A38" w:rsidRPr="00B75B77" w:rsidTr="00751A38">
        <w:trPr>
          <w:divId w:val="802037956"/>
          <w:trHeight w:val="300"/>
        </w:trPr>
        <w:tc>
          <w:tcPr>
            <w:tcW w:w="2515" w:type="dxa"/>
            <w:tcBorders>
              <w:top w:val="nil"/>
              <w:left w:val="single" w:sz="4" w:space="0" w:color="448A99"/>
              <w:bottom w:val="single" w:sz="4" w:space="0" w:color="448A99"/>
              <w:right w:val="single" w:sz="4" w:space="0" w:color="448A99"/>
            </w:tcBorders>
            <w:shd w:val="clear" w:color="000000" w:fill="D2EAF1"/>
            <w:vAlign w:val="center"/>
            <w:hideMark/>
          </w:tcPr>
          <w:p w:rsidR="00751A38" w:rsidRPr="00B75B77" w:rsidRDefault="00751A38" w:rsidP="00751A38">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Assessment</w:t>
            </w:r>
          </w:p>
        </w:tc>
        <w:tc>
          <w:tcPr>
            <w:tcW w:w="1350"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0.3</w:t>
            </w:r>
          </w:p>
        </w:tc>
        <w:tc>
          <w:tcPr>
            <w:tcW w:w="1170"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0.98</w:t>
            </w:r>
          </w:p>
        </w:tc>
        <w:tc>
          <w:tcPr>
            <w:tcW w:w="1350"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0.3</w:t>
            </w:r>
          </w:p>
        </w:tc>
        <w:tc>
          <w:tcPr>
            <w:tcW w:w="1530"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0.09</w:t>
            </w:r>
          </w:p>
        </w:tc>
        <w:tc>
          <w:tcPr>
            <w:tcW w:w="1440"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color w:val="000000"/>
                <w:sz w:val="18"/>
                <w:szCs w:val="18"/>
              </w:rPr>
            </w:pPr>
            <w:bookmarkStart w:id="315" w:name="RANGE!G51:G53"/>
            <w:r w:rsidRPr="00B75B77">
              <w:rPr>
                <w:rFonts w:ascii="Calibri" w:eastAsia="Times New Roman" w:hAnsi="Calibri"/>
                <w:color w:val="000000"/>
                <w:sz w:val="18"/>
                <w:szCs w:val="18"/>
              </w:rPr>
              <w:t>2%</w:t>
            </w:r>
            <w:bookmarkEnd w:id="315"/>
          </w:p>
        </w:tc>
      </w:tr>
      <w:tr w:rsidR="00751A38" w:rsidRPr="00B75B77" w:rsidTr="00751A38">
        <w:trPr>
          <w:divId w:val="802037956"/>
          <w:trHeight w:val="300"/>
        </w:trPr>
        <w:tc>
          <w:tcPr>
            <w:tcW w:w="2515" w:type="dxa"/>
            <w:tcBorders>
              <w:top w:val="nil"/>
              <w:left w:val="single" w:sz="4" w:space="0" w:color="448A99"/>
              <w:bottom w:val="single" w:sz="4" w:space="0" w:color="448A99"/>
              <w:right w:val="single" w:sz="4" w:space="0" w:color="448A99"/>
            </w:tcBorders>
            <w:shd w:val="clear" w:color="000000" w:fill="FFFFFF"/>
            <w:vAlign w:val="center"/>
            <w:hideMark/>
          </w:tcPr>
          <w:p w:rsidR="00751A38" w:rsidRPr="00B75B77" w:rsidRDefault="00751A38" w:rsidP="00751A38">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Audit Only</w:t>
            </w:r>
          </w:p>
        </w:tc>
        <w:tc>
          <w:tcPr>
            <w:tcW w:w="1350" w:type="dxa"/>
            <w:tcBorders>
              <w:top w:val="nil"/>
              <w:left w:val="nil"/>
              <w:bottom w:val="single" w:sz="4" w:space="0" w:color="448A99"/>
              <w:right w:val="single" w:sz="4" w:space="0" w:color="448A99"/>
            </w:tcBorders>
            <w:shd w:val="clear" w:color="000000" w:fill="FFFFFF"/>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0.2</w:t>
            </w:r>
          </w:p>
        </w:tc>
        <w:tc>
          <w:tcPr>
            <w:tcW w:w="1170" w:type="dxa"/>
            <w:tcBorders>
              <w:top w:val="nil"/>
              <w:left w:val="nil"/>
              <w:bottom w:val="single" w:sz="4" w:space="0" w:color="448A99"/>
              <w:right w:val="single" w:sz="4" w:space="0" w:color="448A99"/>
            </w:tcBorders>
            <w:shd w:val="clear" w:color="000000" w:fill="FFFFFF"/>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0.98</w:t>
            </w:r>
          </w:p>
        </w:tc>
        <w:tc>
          <w:tcPr>
            <w:tcW w:w="1350" w:type="dxa"/>
            <w:tcBorders>
              <w:top w:val="nil"/>
              <w:left w:val="nil"/>
              <w:bottom w:val="single" w:sz="4" w:space="0" w:color="448A99"/>
              <w:right w:val="single" w:sz="4" w:space="0" w:color="448A99"/>
            </w:tcBorders>
            <w:shd w:val="clear" w:color="000000" w:fill="FFFFFF"/>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0.2</w:t>
            </w:r>
          </w:p>
        </w:tc>
        <w:tc>
          <w:tcPr>
            <w:tcW w:w="1530" w:type="dxa"/>
            <w:tcBorders>
              <w:top w:val="nil"/>
              <w:left w:val="nil"/>
              <w:bottom w:val="single" w:sz="4" w:space="0" w:color="448A99"/>
              <w:right w:val="single" w:sz="4" w:space="0" w:color="448A99"/>
            </w:tcBorders>
            <w:shd w:val="clear" w:color="000000" w:fill="FFFFFF"/>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0.06</w:t>
            </w:r>
          </w:p>
        </w:tc>
        <w:tc>
          <w:tcPr>
            <w:tcW w:w="1440" w:type="dxa"/>
            <w:tcBorders>
              <w:top w:val="nil"/>
              <w:left w:val="nil"/>
              <w:bottom w:val="single" w:sz="4" w:space="0" w:color="448A99"/>
              <w:right w:val="single" w:sz="4" w:space="0" w:color="448A99"/>
            </w:tcBorders>
            <w:shd w:val="clear" w:color="000000" w:fill="FFFFFF"/>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1%</w:t>
            </w:r>
          </w:p>
        </w:tc>
      </w:tr>
      <w:tr w:rsidR="00751A38" w:rsidRPr="00B75B77" w:rsidTr="00751A38">
        <w:trPr>
          <w:divId w:val="802037956"/>
          <w:trHeight w:val="300"/>
        </w:trPr>
        <w:tc>
          <w:tcPr>
            <w:tcW w:w="2515" w:type="dxa"/>
            <w:tcBorders>
              <w:top w:val="nil"/>
              <w:left w:val="single" w:sz="4" w:space="0" w:color="448A99"/>
              <w:bottom w:val="single" w:sz="4" w:space="0" w:color="448A99"/>
              <w:right w:val="single" w:sz="4" w:space="0" w:color="448A99"/>
            </w:tcBorders>
            <w:shd w:val="clear" w:color="000000" w:fill="D2EAF1"/>
            <w:vAlign w:val="center"/>
            <w:hideMark/>
          </w:tcPr>
          <w:p w:rsidR="00751A38" w:rsidRPr="00B75B77" w:rsidRDefault="00751A38" w:rsidP="00751A38">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Audit + Install Major Measures</w:t>
            </w:r>
          </w:p>
        </w:tc>
        <w:tc>
          <w:tcPr>
            <w:tcW w:w="1350"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0.4</w:t>
            </w:r>
          </w:p>
        </w:tc>
        <w:tc>
          <w:tcPr>
            <w:tcW w:w="1170"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0.99</w:t>
            </w:r>
          </w:p>
        </w:tc>
        <w:tc>
          <w:tcPr>
            <w:tcW w:w="1350"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0.4</w:t>
            </w:r>
          </w:p>
        </w:tc>
        <w:tc>
          <w:tcPr>
            <w:tcW w:w="1530"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0.02</w:t>
            </w:r>
          </w:p>
        </w:tc>
        <w:tc>
          <w:tcPr>
            <w:tcW w:w="1440"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751A38" w:rsidRPr="00B75B77" w:rsidTr="00751A38">
        <w:trPr>
          <w:divId w:val="802037956"/>
          <w:trHeight w:val="288"/>
        </w:trPr>
        <w:tc>
          <w:tcPr>
            <w:tcW w:w="2515" w:type="dxa"/>
            <w:tcBorders>
              <w:top w:val="nil"/>
              <w:left w:val="single" w:sz="4" w:space="0" w:color="448A99"/>
              <w:bottom w:val="single" w:sz="4" w:space="0" w:color="448A99"/>
              <w:right w:val="single" w:sz="4" w:space="0" w:color="448A99"/>
            </w:tcBorders>
            <w:shd w:val="clear" w:color="000000" w:fill="FFFFFF"/>
            <w:vAlign w:val="center"/>
            <w:hideMark/>
          </w:tcPr>
          <w:p w:rsidR="00751A38" w:rsidRPr="00B75B77" w:rsidRDefault="00850B3A" w:rsidP="00751A38">
            <w:pPr>
              <w:jc w:val="left"/>
              <w:rPr>
                <w:rFonts w:ascii="Calibri" w:eastAsia="Times New Roman" w:hAnsi="Calibri"/>
                <w:b/>
                <w:color w:val="000000"/>
                <w:sz w:val="18"/>
                <w:szCs w:val="18"/>
              </w:rPr>
            </w:pPr>
            <w:r w:rsidRPr="00B75B77">
              <w:rPr>
                <w:rFonts w:ascii="Calibri" w:eastAsia="Times New Roman" w:hAnsi="Calibri"/>
                <w:b/>
                <w:color w:val="000000"/>
                <w:sz w:val="18"/>
                <w:szCs w:val="18"/>
              </w:rPr>
              <w:t>PROGRAM TOTAL</w:t>
            </w:r>
          </w:p>
        </w:tc>
        <w:tc>
          <w:tcPr>
            <w:tcW w:w="1350" w:type="dxa"/>
            <w:tcBorders>
              <w:top w:val="nil"/>
              <w:left w:val="nil"/>
              <w:bottom w:val="single" w:sz="4" w:space="0" w:color="448A99"/>
              <w:right w:val="single" w:sz="4" w:space="0" w:color="448A99"/>
            </w:tcBorders>
            <w:shd w:val="clear" w:color="000000" w:fill="FFFFFF"/>
            <w:vAlign w:val="center"/>
            <w:hideMark/>
          </w:tcPr>
          <w:p w:rsidR="00751A38" w:rsidRPr="00B75B77" w:rsidRDefault="00751A38" w:rsidP="00751A38">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1.0</w:t>
            </w:r>
          </w:p>
        </w:tc>
        <w:tc>
          <w:tcPr>
            <w:tcW w:w="1170" w:type="dxa"/>
            <w:tcBorders>
              <w:top w:val="nil"/>
              <w:left w:val="nil"/>
              <w:bottom w:val="single" w:sz="4" w:space="0" w:color="448A99"/>
              <w:right w:val="single" w:sz="4" w:space="0" w:color="448A99"/>
            </w:tcBorders>
            <w:shd w:val="clear" w:color="000000" w:fill="FFFFFF"/>
            <w:vAlign w:val="center"/>
            <w:hideMark/>
          </w:tcPr>
          <w:p w:rsidR="00751A38" w:rsidRPr="00B75B77" w:rsidRDefault="00751A38" w:rsidP="00751A38">
            <w:pPr>
              <w:jc w:val="center"/>
              <w:rPr>
                <w:rFonts w:ascii="Calibri" w:eastAsia="Times New Roman" w:hAnsi="Calibri"/>
                <w:b/>
                <w:color w:val="000000"/>
                <w:sz w:val="18"/>
                <w:szCs w:val="18"/>
              </w:rPr>
            </w:pPr>
            <w:bookmarkStart w:id="316" w:name="RANGE!D54"/>
            <w:r w:rsidRPr="00B75B77">
              <w:rPr>
                <w:rFonts w:ascii="Calibri" w:eastAsia="Times New Roman" w:hAnsi="Calibri"/>
                <w:b/>
                <w:color w:val="000000"/>
                <w:sz w:val="18"/>
                <w:szCs w:val="18"/>
              </w:rPr>
              <w:t>0.99</w:t>
            </w:r>
            <w:bookmarkEnd w:id="316"/>
          </w:p>
        </w:tc>
        <w:tc>
          <w:tcPr>
            <w:tcW w:w="1350" w:type="dxa"/>
            <w:tcBorders>
              <w:top w:val="nil"/>
              <w:left w:val="nil"/>
              <w:bottom w:val="single" w:sz="4" w:space="0" w:color="448A99"/>
              <w:right w:val="single" w:sz="4" w:space="0" w:color="448A99"/>
            </w:tcBorders>
            <w:shd w:val="clear" w:color="000000" w:fill="FFFFFF"/>
            <w:vAlign w:val="center"/>
            <w:hideMark/>
          </w:tcPr>
          <w:p w:rsidR="00751A38" w:rsidRPr="00B75B77" w:rsidRDefault="00751A38" w:rsidP="00751A38">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0.9</w:t>
            </w:r>
          </w:p>
        </w:tc>
        <w:tc>
          <w:tcPr>
            <w:tcW w:w="1530" w:type="dxa"/>
            <w:tcBorders>
              <w:top w:val="nil"/>
              <w:left w:val="nil"/>
              <w:bottom w:val="single" w:sz="4" w:space="0" w:color="448A99"/>
              <w:right w:val="single" w:sz="4" w:space="0" w:color="448A99"/>
            </w:tcBorders>
            <w:shd w:val="clear" w:color="000000" w:fill="FFFFFF"/>
            <w:vAlign w:val="center"/>
            <w:hideMark/>
          </w:tcPr>
          <w:p w:rsidR="00751A38" w:rsidRPr="00B75B77" w:rsidRDefault="00751A38" w:rsidP="00751A38">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N/A</w:t>
            </w:r>
          </w:p>
        </w:tc>
        <w:tc>
          <w:tcPr>
            <w:tcW w:w="1440" w:type="dxa"/>
            <w:tcBorders>
              <w:top w:val="nil"/>
              <w:left w:val="nil"/>
              <w:bottom w:val="single" w:sz="4" w:space="0" w:color="448A99"/>
              <w:right w:val="single" w:sz="4" w:space="0" w:color="448A99"/>
            </w:tcBorders>
            <w:shd w:val="clear" w:color="000000" w:fill="FFFFFF"/>
            <w:vAlign w:val="center"/>
            <w:hideMark/>
          </w:tcPr>
          <w:p w:rsidR="00751A38" w:rsidRPr="00B75B77" w:rsidRDefault="00751A38" w:rsidP="00751A38">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1%</w:t>
            </w:r>
          </w:p>
        </w:tc>
      </w:tr>
    </w:tbl>
    <w:p w:rsidR="00850B3A" w:rsidRPr="00B75B77" w:rsidRDefault="00850B3A" w:rsidP="00850B3A">
      <w:pPr>
        <w:pStyle w:val="Source"/>
        <w:spacing w:before="20" w:after="20"/>
        <w:ind w:left="86" w:firstLine="0"/>
        <w:rPr>
          <w:rFonts w:ascii="Calibri" w:hAnsi="Calibri"/>
          <w:i w:val="0"/>
          <w:color w:val="000000"/>
          <w:szCs w:val="18"/>
        </w:rPr>
      </w:pPr>
      <w:r w:rsidRPr="00B75B77">
        <w:rPr>
          <w:rFonts w:ascii="Calibri" w:hAnsi="Calibri"/>
          <w:i w:val="0"/>
          <w:color w:val="000000"/>
          <w:szCs w:val="18"/>
          <w:vertAlign w:val="superscript"/>
        </w:rPr>
        <w:t>[1]</w:t>
      </w:r>
      <w:r w:rsidRPr="00B75B77">
        <w:rPr>
          <w:rFonts w:ascii="Calibri" w:hAnsi="Calibri"/>
          <w:i w:val="0"/>
          <w:color w:val="000000"/>
          <w:szCs w:val="18"/>
        </w:rPr>
        <w:t xml:space="preserve"> All reported and verified demand savings in this report include line losses as required.</w:t>
      </w:r>
    </w:p>
    <w:p w:rsidR="00850B3A" w:rsidRPr="00B75B77" w:rsidRDefault="00850B3A" w:rsidP="00850B3A">
      <w:pPr>
        <w:pStyle w:val="Source"/>
        <w:spacing w:before="20" w:after="20"/>
        <w:ind w:left="86" w:firstLine="0"/>
        <w:rPr>
          <w:i w:val="0"/>
        </w:rPr>
      </w:pPr>
      <w:r w:rsidRPr="00B75B77">
        <w:rPr>
          <w:rFonts w:ascii="Calibri" w:hAnsi="Calibri"/>
          <w:i w:val="0"/>
          <w:color w:val="000000"/>
          <w:szCs w:val="18"/>
        </w:rPr>
        <w:t xml:space="preserve">Note: </w:t>
      </w:r>
      <w:r w:rsidRPr="00B75B77">
        <w:rPr>
          <w:rFonts w:ascii="Calibri" w:hAnsi="Calibri"/>
          <w:i w:val="0"/>
          <w:iCs/>
          <w:color w:val="000000"/>
          <w:szCs w:val="18"/>
        </w:rPr>
        <w:t xml:space="preserve">Values in tables may not reconcile exactly </w:t>
      </w:r>
      <w:r w:rsidR="00493C06" w:rsidRPr="00B75B77">
        <w:rPr>
          <w:rFonts w:ascii="Calibri" w:hAnsi="Calibri"/>
          <w:i w:val="0"/>
          <w:iCs/>
          <w:color w:val="000000"/>
          <w:szCs w:val="18"/>
        </w:rPr>
        <w:t>with the sum of</w:t>
      </w:r>
      <w:r w:rsidRPr="00B75B77">
        <w:rPr>
          <w:rFonts w:ascii="Calibri" w:hAnsi="Calibri"/>
          <w:i w:val="0"/>
          <w:iCs/>
          <w:color w:val="000000"/>
          <w:szCs w:val="18"/>
        </w:rPr>
        <w:t xml:space="preserve"> more detailed level results or previously reported results due to rounding.</w:t>
      </w:r>
    </w:p>
    <w:p w:rsidR="00751A38" w:rsidRPr="00B75B77" w:rsidRDefault="00751A38" w:rsidP="00D6635C">
      <w:pPr>
        <w:pStyle w:val="Source"/>
        <w:ind w:hanging="630"/>
      </w:pPr>
      <w:r w:rsidRPr="00B75B77">
        <w:t>Source: Navigant analysis</w:t>
      </w:r>
    </w:p>
    <w:p w:rsidR="00751A38" w:rsidRPr="00B75B77" w:rsidRDefault="00751A38" w:rsidP="00751A38">
      <w:pPr>
        <w:pStyle w:val="Heading3"/>
      </w:pPr>
      <w:bookmarkStart w:id="317" w:name="_Toc466413293"/>
      <w:r w:rsidRPr="00B75B77">
        <w:t>Gross Savings Verification Findings and Recommendations</w:t>
      </w:r>
      <w:bookmarkEnd w:id="317"/>
    </w:p>
    <w:p w:rsidR="00751A38" w:rsidRPr="00B75B77" w:rsidRDefault="00751A38" w:rsidP="00751A38">
      <w:pPr>
        <w:rPr>
          <w:snapToGrid w:val="0"/>
        </w:rPr>
      </w:pPr>
      <w:r w:rsidRPr="00B75B77">
        <w:rPr>
          <w:snapToGrid w:val="0"/>
        </w:rPr>
        <w:t>During PY7 the evaluation team identified several issues with the tracking data</w:t>
      </w:r>
      <w:r w:rsidR="00877C73" w:rsidRPr="00B75B77">
        <w:rPr>
          <w:snapToGrid w:val="0"/>
        </w:rPr>
        <w:t>, which the team</w:t>
      </w:r>
      <w:r w:rsidRPr="00B75B77">
        <w:rPr>
          <w:snapToGrid w:val="0"/>
        </w:rPr>
        <w:t xml:space="preserve"> ha</w:t>
      </w:r>
      <w:r w:rsidR="00877C73" w:rsidRPr="00B75B77">
        <w:rPr>
          <w:snapToGrid w:val="0"/>
        </w:rPr>
        <w:t>s</w:t>
      </w:r>
      <w:r w:rsidRPr="00B75B77">
        <w:rPr>
          <w:snapToGrid w:val="0"/>
        </w:rPr>
        <w:t xml:space="preserve"> communicated with the data management team at PECO. A summary of these issues is provided below. </w:t>
      </w:r>
    </w:p>
    <w:p w:rsidR="00751A38" w:rsidRPr="00B75B77" w:rsidRDefault="00751A38" w:rsidP="00751A38">
      <w:pPr>
        <w:rPr>
          <w:snapToGrid w:val="0"/>
        </w:rPr>
      </w:pPr>
    </w:p>
    <w:p w:rsidR="00751A38" w:rsidRPr="00B75B77" w:rsidRDefault="00751A38" w:rsidP="00751A38">
      <w:pPr>
        <w:spacing w:after="240"/>
        <w:rPr>
          <w:snapToGrid w:val="0"/>
        </w:rPr>
      </w:pPr>
      <w:r w:rsidRPr="00B75B77">
        <w:rPr>
          <w:snapToGrid w:val="0"/>
        </w:rPr>
        <w:t>The evaluation team observed duplicate tracking data records for six projects that were reclassified from an audit to a CAC audit. In each of these six cases, the customers claimed to have electric heating when they called to schedule an audit</w:t>
      </w:r>
      <w:r w:rsidR="009B458E" w:rsidRPr="00B75B77">
        <w:rPr>
          <w:snapToGrid w:val="0"/>
        </w:rPr>
        <w:t>; however, during</w:t>
      </w:r>
      <w:r w:rsidRPr="00B75B77">
        <w:rPr>
          <w:snapToGrid w:val="0"/>
        </w:rPr>
        <w:t xml:space="preserve"> the home visit the energy advisor found that the participant should instead be classified as a CAC audit. </w:t>
      </w:r>
      <w:r w:rsidR="009B458E" w:rsidRPr="00B75B77">
        <w:rPr>
          <w:snapToGrid w:val="0"/>
        </w:rPr>
        <w:t xml:space="preserve">After </w:t>
      </w:r>
      <w:r w:rsidRPr="00B75B77">
        <w:rPr>
          <w:snapToGrid w:val="0"/>
        </w:rPr>
        <w:t>these projects were reclassified the original audit records were not deleted</w:t>
      </w:r>
      <w:r w:rsidR="006A7891" w:rsidRPr="00B75B77">
        <w:rPr>
          <w:snapToGrid w:val="0"/>
        </w:rPr>
        <w:t>; thus, they were</w:t>
      </w:r>
      <w:r w:rsidRPr="00B75B77">
        <w:rPr>
          <w:snapToGrid w:val="0"/>
        </w:rPr>
        <w:t xml:space="preserve"> sent to the evaluation team as duplicate records. PECO is updating their tracking system to avoid this issue in the future. </w:t>
      </w:r>
    </w:p>
    <w:p w:rsidR="00751A38" w:rsidRPr="00B75B77" w:rsidRDefault="008F0500" w:rsidP="00751A38">
      <w:pPr>
        <w:rPr>
          <w:snapToGrid w:val="0"/>
        </w:rPr>
      </w:pPr>
      <w:r w:rsidRPr="00B75B77">
        <w:rPr>
          <w:snapToGrid w:val="0"/>
        </w:rPr>
        <w:t>Additionally, n</w:t>
      </w:r>
      <w:r w:rsidR="00751A38" w:rsidRPr="00B75B77">
        <w:rPr>
          <w:snapToGrid w:val="0"/>
        </w:rPr>
        <w:t>egative savings were erroneously entered into the tracking database for CFLs and LEDs that energy advisors installed in empty sockets</w:t>
      </w:r>
      <w:r w:rsidRPr="00B75B77">
        <w:rPr>
          <w:snapToGrid w:val="0"/>
        </w:rPr>
        <w:t>.</w:t>
      </w:r>
      <w:r w:rsidR="00A31035" w:rsidRPr="00B75B77">
        <w:rPr>
          <w:snapToGrid w:val="0"/>
        </w:rPr>
        <w:t xml:space="preserve"> </w:t>
      </w:r>
      <w:r w:rsidRPr="00B75B77">
        <w:rPr>
          <w:snapToGrid w:val="0"/>
        </w:rPr>
        <w:t xml:space="preserve">The </w:t>
      </w:r>
      <w:r w:rsidR="00751A38" w:rsidRPr="00B75B77">
        <w:t xml:space="preserve">evaluation team </w:t>
      </w:r>
      <w:r w:rsidRPr="00B75B77">
        <w:t xml:space="preserve">previously </w:t>
      </w:r>
      <w:r w:rsidR="00751A38" w:rsidRPr="00B75B77">
        <w:t>determined that the negative savings should be zeroed out in these cases</w:t>
      </w:r>
      <w:r w:rsidR="00751A38" w:rsidRPr="00B75B77">
        <w:rPr>
          <w:snapToGrid w:val="0"/>
        </w:rPr>
        <w:t>.</w:t>
      </w:r>
      <w:r w:rsidR="00751A38" w:rsidRPr="00B75B77">
        <w:rPr>
          <w:rStyle w:val="FootnoteReference"/>
          <w:snapToGrid w:val="0"/>
        </w:rPr>
        <w:footnoteReference w:id="19"/>
      </w:r>
      <w:r w:rsidR="00751A38" w:rsidRPr="00B75B77">
        <w:rPr>
          <w:snapToGrid w:val="0"/>
        </w:rPr>
        <w:t xml:space="preserve"> The negative savings values were zeroed out for lighting measures in the </w:t>
      </w:r>
      <w:r w:rsidRPr="00B75B77">
        <w:rPr>
          <w:snapToGrid w:val="0"/>
        </w:rPr>
        <w:t>M</w:t>
      </w:r>
      <w:r w:rsidR="00751A38" w:rsidRPr="00B75B77">
        <w:rPr>
          <w:snapToGrid w:val="0"/>
        </w:rPr>
        <w:t xml:space="preserve">easures tab but not in the </w:t>
      </w:r>
      <w:r w:rsidRPr="00B75B77">
        <w:rPr>
          <w:snapToGrid w:val="0"/>
        </w:rPr>
        <w:t>P</w:t>
      </w:r>
      <w:r w:rsidR="00751A38" w:rsidRPr="00B75B77">
        <w:rPr>
          <w:snapToGrid w:val="0"/>
        </w:rPr>
        <w:t xml:space="preserve">rojects tab of the tracking data workbook, </w:t>
      </w:r>
      <w:r w:rsidR="00751A38" w:rsidRPr="00B75B77">
        <w:t>resulting in a 557 kWh and 0.0604 kW difference between the two tabs</w:t>
      </w:r>
      <w:r w:rsidRPr="00B75B77">
        <w:t>. Thus,</w:t>
      </w:r>
      <w:r w:rsidR="00751A38" w:rsidRPr="00B75B77">
        <w:t xml:space="preserve"> the evaluation team accepted the savings values reported in the </w:t>
      </w:r>
      <w:r w:rsidRPr="00B75B77">
        <w:t>M</w:t>
      </w:r>
      <w:r w:rsidR="00751A38" w:rsidRPr="00B75B77">
        <w:t xml:space="preserve">easures tab. </w:t>
      </w:r>
    </w:p>
    <w:p w:rsidR="00751A38" w:rsidRPr="00B75B77" w:rsidRDefault="00751A38" w:rsidP="00751A38">
      <w:pPr>
        <w:ind w:left="360"/>
        <w:rPr>
          <w:snapToGrid w:val="0"/>
        </w:rPr>
      </w:pPr>
    </w:p>
    <w:p w:rsidR="00751A38" w:rsidRPr="00B75B77" w:rsidRDefault="008F0500" w:rsidP="00751A38">
      <w:r w:rsidRPr="00B75B77">
        <w:rPr>
          <w:snapToGrid w:val="0"/>
        </w:rPr>
        <w:t xml:space="preserve">Finally, </w:t>
      </w:r>
      <w:r w:rsidR="00751A38" w:rsidRPr="00B75B77">
        <w:rPr>
          <w:snapToGrid w:val="0"/>
        </w:rPr>
        <w:t>energy advisors did not collect the correct Seasonal Energy Efficiency Ratios (SEER</w:t>
      </w:r>
      <w:r w:rsidRPr="00B75B77">
        <w:rPr>
          <w:snapToGrid w:val="0"/>
        </w:rPr>
        <w:t>s</w:t>
      </w:r>
      <w:r w:rsidR="00751A38" w:rsidRPr="00B75B77">
        <w:rPr>
          <w:snapToGrid w:val="0"/>
        </w:rPr>
        <w:t xml:space="preserve">) and </w:t>
      </w:r>
      <w:r w:rsidR="00751A38" w:rsidRPr="00B75B77">
        <w:rPr>
          <w:rFonts w:cs="Arial"/>
          <w:szCs w:val="18"/>
        </w:rPr>
        <w:t>Heating Seasonal Performance Factors (HSPF</w:t>
      </w:r>
      <w:r w:rsidRPr="00B75B77">
        <w:rPr>
          <w:rFonts w:cs="Arial"/>
          <w:szCs w:val="18"/>
        </w:rPr>
        <w:t>s</w:t>
      </w:r>
      <w:r w:rsidR="00751A38" w:rsidRPr="00B75B77">
        <w:rPr>
          <w:rFonts w:cs="Arial"/>
          <w:szCs w:val="18"/>
        </w:rPr>
        <w:t>) for the ASHP maintenance measures</w:t>
      </w:r>
      <w:r w:rsidR="00751A38" w:rsidRPr="00B75B77">
        <w:rPr>
          <w:snapToGrid w:val="0"/>
        </w:rPr>
        <w:t xml:space="preserve">. In PY6, the </w:t>
      </w:r>
      <w:r w:rsidR="00A31035" w:rsidRPr="00B75B77" w:rsidDel="0054073E">
        <w:rPr>
          <w:snapToGrid w:val="0"/>
        </w:rPr>
        <w:t>SWE</w:t>
      </w:r>
      <w:r w:rsidR="00A31035" w:rsidRPr="00B75B77">
        <w:rPr>
          <w:snapToGrid w:val="0"/>
        </w:rPr>
        <w:t xml:space="preserve"> </w:t>
      </w:r>
      <w:r w:rsidR="00751A38" w:rsidRPr="00B75B77">
        <w:rPr>
          <w:snapToGrid w:val="0"/>
        </w:rPr>
        <w:t xml:space="preserve">noted that the SEER and </w:t>
      </w:r>
      <w:r w:rsidR="00751A38" w:rsidRPr="00B75B77">
        <w:rPr>
          <w:rFonts w:cs="Arial"/>
          <w:szCs w:val="18"/>
        </w:rPr>
        <w:t>HSPF values that were collected onsite for the program’s ASHP maintenance measures were only applicable to newly installed units and not to maintained units.</w:t>
      </w:r>
      <w:r w:rsidR="00751A38" w:rsidRPr="00B75B77">
        <w:rPr>
          <w:snapToGrid w:val="0"/>
        </w:rPr>
        <w:t xml:space="preserve"> In PY7, the CSP did not make an adjustment to its data collection and tracking data to collect the unit-specific SEER and HSPF during the ASHP maintenance service calls</w:t>
      </w:r>
      <w:r w:rsidR="0049470D" w:rsidRPr="00B75B77">
        <w:rPr>
          <w:snapToGrid w:val="0"/>
        </w:rPr>
        <w:t>; rather, it</w:t>
      </w:r>
      <w:r w:rsidR="00751A38" w:rsidRPr="00B75B77">
        <w:rPr>
          <w:snapToGrid w:val="0"/>
        </w:rPr>
        <w:t xml:space="preserve"> continued using the less precise 2015 PA TRM default values to calculate energy savings. </w:t>
      </w:r>
    </w:p>
    <w:p w:rsidR="00751A38" w:rsidRPr="00B75B77" w:rsidRDefault="00751A38" w:rsidP="000E74B9"/>
    <w:p w:rsidR="00751A38" w:rsidRPr="00B75B77" w:rsidRDefault="00751A38" w:rsidP="00AE0F3F">
      <w:pPr>
        <w:pStyle w:val="Heading2"/>
        <w:keepNext/>
      </w:pPr>
      <w:bookmarkStart w:id="318" w:name="_Toc453075183"/>
      <w:bookmarkStart w:id="319" w:name="_Toc466413294"/>
      <w:r w:rsidRPr="00B75B77">
        <w:lastRenderedPageBreak/>
        <w:t>Impact Evaluation Net Savings</w:t>
      </w:r>
      <w:bookmarkEnd w:id="318"/>
      <w:bookmarkEnd w:id="319"/>
      <w:r w:rsidRPr="00B75B77">
        <w:t xml:space="preserve"> </w:t>
      </w:r>
    </w:p>
    <w:p w:rsidR="00751A38" w:rsidRPr="00B75B77" w:rsidRDefault="00751A38" w:rsidP="00AE0F3F">
      <w:pPr>
        <w:keepNext/>
        <w:spacing w:after="240"/>
      </w:pPr>
      <w:r w:rsidRPr="00B75B77">
        <w:t xml:space="preserve">Once gross program impacts have been estimated, net program impacts are calculated by multiplying the gross impact estimate by the NTG ratio. The NTG ratio is equal to one minus the percentage of free riders plus spillover for this program. The methodology used to calculate free ridership and spillover for SHC in PY7 are described in Section </w:t>
      </w:r>
      <w:r w:rsidRPr="00B75B77">
        <w:fldChar w:fldCharType="begin"/>
      </w:r>
      <w:r w:rsidRPr="00B75B77">
        <w:instrText xml:space="preserve"> REF _Ref463089599 \r \h </w:instrText>
      </w:r>
      <w:r w:rsidR="00B75B77">
        <w:instrText xml:space="preserve"> \* MERGEFORMAT </w:instrText>
      </w:r>
      <w:r w:rsidRPr="00B75B77">
        <w:fldChar w:fldCharType="separate"/>
      </w:r>
      <w:r w:rsidR="0004016D">
        <w:t>3.3.1</w:t>
      </w:r>
      <w:r w:rsidRPr="00B75B77">
        <w:fldChar w:fldCharType="end"/>
      </w:r>
      <w:r w:rsidR="008F1CBE" w:rsidRPr="00B75B77">
        <w:t>, which is</w:t>
      </w:r>
      <w:r w:rsidRPr="00B75B77">
        <w:t xml:space="preserve"> followed by the results in Section </w:t>
      </w:r>
      <w:r w:rsidRPr="00B75B77">
        <w:fldChar w:fldCharType="begin"/>
      </w:r>
      <w:r w:rsidRPr="00B75B77">
        <w:instrText xml:space="preserve"> REF _Ref463089588 \r \h </w:instrText>
      </w:r>
      <w:r w:rsidR="00B75B77">
        <w:instrText xml:space="preserve"> \* MERGEFORMAT </w:instrText>
      </w:r>
      <w:r w:rsidRPr="00B75B77">
        <w:fldChar w:fldCharType="separate"/>
      </w:r>
      <w:r w:rsidR="0004016D">
        <w:t>3.3.2</w:t>
      </w:r>
      <w:r w:rsidRPr="00B75B77">
        <w:fldChar w:fldCharType="end"/>
      </w:r>
      <w:r w:rsidRPr="00B75B77">
        <w:t xml:space="preserve">. </w:t>
      </w:r>
    </w:p>
    <w:p w:rsidR="00751A38" w:rsidRPr="00B75B77" w:rsidRDefault="00751A38" w:rsidP="00A07393">
      <w:pPr>
        <w:pStyle w:val="Heading3"/>
      </w:pPr>
      <w:bookmarkStart w:id="320" w:name="_Ref463089599"/>
      <w:bookmarkStart w:id="321" w:name="_Toc466413295"/>
      <w:r w:rsidRPr="00B75B77">
        <w:t>Net Verified Savings Methodology</w:t>
      </w:r>
      <w:bookmarkEnd w:id="320"/>
      <w:bookmarkEnd w:id="321"/>
      <w:r w:rsidRPr="00B75B77">
        <w:t xml:space="preserve"> </w:t>
      </w:r>
    </w:p>
    <w:p w:rsidR="00751A38" w:rsidRPr="00B75B77" w:rsidRDefault="00751A38" w:rsidP="00751A38">
      <w:pPr>
        <w:spacing w:after="240"/>
      </w:pPr>
      <w:r w:rsidRPr="00B75B77">
        <w:t>The evaluation team used a customer self-report approach to estimate free ridership and spillover. Free ridership was estimated based on responses provided during participant phone interviews, and spillover was estimated based on responses to both participant phone interviews and follow-up calls conducted to discuss spillover in</w:t>
      </w:r>
      <w:r w:rsidR="008F1CBE" w:rsidRPr="00B75B77">
        <w:t xml:space="preserve"> </w:t>
      </w:r>
      <w:r w:rsidRPr="00B75B77">
        <w:t>depth. The sample frame for the interviews and spillover follow-up calls was the program’s PY7 participant population as of April 2016, when the interviews began</w:t>
      </w:r>
      <w:r w:rsidR="00FC150A" w:rsidRPr="00B75B77">
        <w:t xml:space="preserve">. The final frame </w:t>
      </w:r>
      <w:r w:rsidRPr="00B75B77">
        <w:t>consisted of the 4,706 participants included in the Q1</w:t>
      </w:r>
      <w:r w:rsidR="00FC150A" w:rsidRPr="00B75B77">
        <w:t>-</w:t>
      </w:r>
      <w:r w:rsidRPr="00B75B77">
        <w:t xml:space="preserve">Q3 tracking data that </w:t>
      </w:r>
      <w:r w:rsidR="003B6D5D" w:rsidRPr="00B75B77">
        <w:t xml:space="preserve">PECO </w:t>
      </w:r>
      <w:r w:rsidRPr="00B75B77">
        <w:t xml:space="preserve">made available to the evaluation team and </w:t>
      </w:r>
      <w:r w:rsidR="00FC150A" w:rsidRPr="00B75B77">
        <w:t xml:space="preserve">that </w:t>
      </w:r>
      <w:r w:rsidRPr="00B75B77">
        <w:t>had operable phone numbers</w:t>
      </w:r>
      <w:r w:rsidR="002E49B3" w:rsidRPr="00B75B77">
        <w:t xml:space="preserve">. </w:t>
      </w:r>
    </w:p>
    <w:p w:rsidR="00751A38" w:rsidRPr="00B75B77" w:rsidRDefault="00751A38" w:rsidP="00751A38">
      <w:pPr>
        <w:spacing w:after="240"/>
      </w:pPr>
      <w:r w:rsidRPr="00B75B77">
        <w:t>For the phone interviews, the evaluation team developed a random, stratified interview sample of participants for which phone numbers were available. Interviewers then worked through the sample file by calling each participant</w:t>
      </w:r>
      <w:r w:rsidR="00FC150A" w:rsidRPr="00B75B77">
        <w:t>,</w:t>
      </w:r>
      <w:r w:rsidRPr="00B75B77">
        <w:t xml:space="preserve"> starting at the top and moving down the list</w:t>
      </w:r>
      <w:r w:rsidR="00FC150A" w:rsidRPr="00B75B77">
        <w:t>,</w:t>
      </w:r>
      <w:r w:rsidRPr="00B75B77">
        <w:t xml:space="preserve"> until each stratum quota was reached. The evaluation team then completed spillover follow</w:t>
      </w:r>
      <w:r w:rsidR="00FC150A" w:rsidRPr="00B75B77">
        <w:t>-</w:t>
      </w:r>
      <w:r w:rsidRPr="00B75B77">
        <w:t xml:space="preserve">up calls with 27 of 33 interview respondents who reported that they had installed spillover measures and agreed to an additional call. </w:t>
      </w:r>
    </w:p>
    <w:p w:rsidR="00751A38" w:rsidRPr="00B75B77" w:rsidRDefault="003B6D5D" w:rsidP="00751A38">
      <w:pPr>
        <w:spacing w:after="240"/>
      </w:pPr>
      <w:r w:rsidRPr="00B75B77">
        <w:t>The evaluation team designed i</w:t>
      </w:r>
      <w:r w:rsidR="00751A38" w:rsidRPr="00B75B77">
        <w:t xml:space="preserve">nterview quotas to provide free ridership estimates consistent with gross savings estimate requirements for </w:t>
      </w:r>
      <w:r w:rsidR="0009500C" w:rsidRPr="00B75B77">
        <w:t>85%</w:t>
      </w:r>
      <w:r w:rsidR="00751A38" w:rsidRPr="00B75B77">
        <w:t xml:space="preserve"> confidence with</w:t>
      </w:r>
      <w:r w:rsidR="00451FB1" w:rsidRPr="00B75B77">
        <w:t xml:space="preserve"> </w:t>
      </w:r>
      <w:r w:rsidR="00751A38" w:rsidRPr="00B75B77">
        <w:t>15</w:t>
      </w:r>
      <w:r w:rsidR="0009500C" w:rsidRPr="00B75B77">
        <w:t>%</w:t>
      </w:r>
      <w:r w:rsidR="00751A38" w:rsidRPr="00B75B77">
        <w:t xml:space="preserve"> precision at the program level, as shown in </w:t>
      </w:r>
      <w:r w:rsidR="00792D48" w:rsidRPr="00B75B77">
        <w:fldChar w:fldCharType="begin"/>
      </w:r>
      <w:r w:rsidR="00792D48" w:rsidRPr="00B75B77">
        <w:instrText xml:space="preserve"> REF _Ref462045171 \h </w:instrText>
      </w:r>
      <w:r w:rsidR="00B75B77">
        <w:instrText xml:space="preserve"> \* MERGEFORMAT </w:instrText>
      </w:r>
      <w:r w:rsidR="00792D48" w:rsidRPr="00B75B77">
        <w:fldChar w:fldCharType="separate"/>
      </w:r>
      <w:r w:rsidR="0004016D" w:rsidRPr="00B75B77">
        <w:t xml:space="preserve">Table </w:t>
      </w:r>
      <w:r w:rsidR="0004016D">
        <w:rPr>
          <w:noProof/>
        </w:rPr>
        <w:t>3</w:t>
      </w:r>
      <w:r w:rsidR="0004016D" w:rsidRPr="00B75B77">
        <w:rPr>
          <w:noProof/>
        </w:rPr>
        <w:noBreakHyphen/>
      </w:r>
      <w:r w:rsidR="0004016D">
        <w:rPr>
          <w:noProof/>
        </w:rPr>
        <w:t>5</w:t>
      </w:r>
      <w:r w:rsidR="00792D48" w:rsidRPr="00B75B77">
        <w:fldChar w:fldCharType="end"/>
      </w:r>
      <w:r w:rsidR="00751A38" w:rsidRPr="00B75B77">
        <w:t>.</w:t>
      </w:r>
    </w:p>
    <w:p w:rsidR="00751A38" w:rsidRPr="00B75B77" w:rsidRDefault="00751A38" w:rsidP="00751A38">
      <w:pPr>
        <w:pStyle w:val="Caption"/>
      </w:pPr>
      <w:bookmarkStart w:id="322" w:name="_Ref462045171"/>
      <w:bookmarkStart w:id="323" w:name="_Toc466413525"/>
      <w:r w:rsidRPr="00B75B77">
        <w:t xml:space="preserve">Table </w:t>
      </w:r>
      <w:fldSimple w:instr=" STYLEREF 1 \s ">
        <w:r w:rsidR="0004016D">
          <w:rPr>
            <w:noProof/>
          </w:rPr>
          <w:t>3</w:t>
        </w:r>
      </w:fldSimple>
      <w:r w:rsidR="00F1144C" w:rsidRPr="00B75B77">
        <w:noBreakHyphen/>
      </w:r>
      <w:fldSimple w:instr=" SEQ Table \* ARABIC \s 1 ">
        <w:r w:rsidR="0004016D">
          <w:rPr>
            <w:noProof/>
          </w:rPr>
          <w:t>5</w:t>
        </w:r>
      </w:fldSimple>
      <w:bookmarkEnd w:id="322"/>
      <w:r w:rsidRPr="00B75B77">
        <w:t>: Smart House Call Sampling Strategy for PY7 NTG Research</w:t>
      </w:r>
      <w:bookmarkEnd w:id="323"/>
    </w:p>
    <w:tbl>
      <w:tblPr>
        <w:tblW w:w="9607" w:type="dxa"/>
        <w:tblLook w:val="04A0" w:firstRow="1" w:lastRow="0" w:firstColumn="1" w:lastColumn="0" w:noHBand="0" w:noVBand="1"/>
      </w:tblPr>
      <w:tblGrid>
        <w:gridCol w:w="1791"/>
        <w:gridCol w:w="1350"/>
        <w:gridCol w:w="1039"/>
        <w:gridCol w:w="1305"/>
        <w:gridCol w:w="1350"/>
        <w:gridCol w:w="810"/>
        <w:gridCol w:w="905"/>
        <w:gridCol w:w="1057"/>
      </w:tblGrid>
      <w:tr w:rsidR="00751A38" w:rsidRPr="00B75B77" w:rsidTr="00030C65">
        <w:trPr>
          <w:divId w:val="1625385567"/>
          <w:trHeight w:val="480"/>
        </w:trPr>
        <w:tc>
          <w:tcPr>
            <w:tcW w:w="1791" w:type="dxa"/>
            <w:tcBorders>
              <w:top w:val="single" w:sz="4" w:space="0" w:color="auto"/>
              <w:left w:val="single" w:sz="4" w:space="0" w:color="auto"/>
              <w:bottom w:val="single" w:sz="4" w:space="0" w:color="auto"/>
              <w:right w:val="single" w:sz="4" w:space="0" w:color="auto"/>
            </w:tcBorders>
            <w:shd w:val="clear" w:color="000000" w:fill="448A99"/>
            <w:vAlign w:val="center"/>
            <w:hideMark/>
          </w:tcPr>
          <w:p w:rsidR="00751A38" w:rsidRPr="00B75B77" w:rsidRDefault="00751A38" w:rsidP="00FC150A">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Stratum</w:t>
            </w:r>
          </w:p>
        </w:tc>
        <w:tc>
          <w:tcPr>
            <w:tcW w:w="1350" w:type="dxa"/>
            <w:tcBorders>
              <w:top w:val="single" w:sz="4" w:space="0" w:color="auto"/>
              <w:left w:val="nil"/>
              <w:bottom w:val="single" w:sz="4" w:space="0" w:color="auto"/>
              <w:right w:val="single" w:sz="4" w:space="0" w:color="auto"/>
            </w:tcBorders>
            <w:shd w:val="clear" w:color="000000" w:fill="448A99"/>
            <w:vAlign w:val="center"/>
            <w:hideMark/>
          </w:tcPr>
          <w:p w:rsidR="00751A38" w:rsidRPr="00B75B77" w:rsidRDefault="00751A38"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Stratum Boundaries</w:t>
            </w:r>
          </w:p>
        </w:tc>
        <w:tc>
          <w:tcPr>
            <w:tcW w:w="1039" w:type="dxa"/>
            <w:tcBorders>
              <w:top w:val="single" w:sz="4" w:space="0" w:color="auto"/>
              <w:left w:val="nil"/>
              <w:bottom w:val="single" w:sz="4" w:space="0" w:color="auto"/>
              <w:right w:val="single" w:sz="4" w:space="0" w:color="auto"/>
            </w:tcBorders>
            <w:shd w:val="clear" w:color="000000" w:fill="448A99"/>
            <w:vAlign w:val="center"/>
            <w:hideMark/>
          </w:tcPr>
          <w:p w:rsidR="00751A38" w:rsidRPr="00B75B77" w:rsidRDefault="00751A38"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Population Size</w:t>
            </w:r>
          </w:p>
        </w:tc>
        <w:tc>
          <w:tcPr>
            <w:tcW w:w="1305" w:type="dxa"/>
            <w:tcBorders>
              <w:top w:val="single" w:sz="4" w:space="0" w:color="auto"/>
              <w:left w:val="nil"/>
              <w:bottom w:val="single" w:sz="4" w:space="0" w:color="auto"/>
              <w:right w:val="single" w:sz="4" w:space="0" w:color="auto"/>
            </w:tcBorders>
            <w:shd w:val="clear" w:color="000000" w:fill="448A99"/>
            <w:vAlign w:val="center"/>
            <w:hideMark/>
          </w:tcPr>
          <w:p w:rsidR="00751A38" w:rsidRPr="00B75B77" w:rsidRDefault="00751A38"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Assumed CV or Proportion in Sample Design</w:t>
            </w:r>
          </w:p>
        </w:tc>
        <w:tc>
          <w:tcPr>
            <w:tcW w:w="1350" w:type="dxa"/>
            <w:tcBorders>
              <w:top w:val="single" w:sz="4" w:space="0" w:color="auto"/>
              <w:left w:val="nil"/>
              <w:bottom w:val="single" w:sz="4" w:space="0" w:color="auto"/>
              <w:right w:val="single" w:sz="4" w:space="0" w:color="auto"/>
            </w:tcBorders>
            <w:shd w:val="clear" w:color="000000" w:fill="448A99"/>
            <w:vAlign w:val="center"/>
            <w:hideMark/>
          </w:tcPr>
          <w:p w:rsidR="00751A38" w:rsidRPr="00B75B77" w:rsidRDefault="00751A38"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Assumed Levels of Confidence </w:t>
            </w:r>
            <w:r w:rsidR="00FC150A" w:rsidRPr="00B75B77">
              <w:rPr>
                <w:rFonts w:ascii="Calibri" w:eastAsia="Times New Roman" w:hAnsi="Calibri"/>
                <w:b/>
                <w:bCs/>
                <w:color w:val="FFFFFF"/>
                <w:sz w:val="18"/>
                <w:szCs w:val="18"/>
              </w:rPr>
              <w:t>and</w:t>
            </w:r>
            <w:r w:rsidRPr="00B75B77">
              <w:rPr>
                <w:rFonts w:ascii="Calibri" w:eastAsia="Times New Roman" w:hAnsi="Calibri"/>
                <w:b/>
                <w:bCs/>
                <w:color w:val="FFFFFF"/>
                <w:sz w:val="18"/>
                <w:szCs w:val="18"/>
              </w:rPr>
              <w:t xml:space="preserve"> Precision</w:t>
            </w:r>
          </w:p>
        </w:tc>
        <w:tc>
          <w:tcPr>
            <w:tcW w:w="810" w:type="dxa"/>
            <w:tcBorders>
              <w:top w:val="single" w:sz="4" w:space="0" w:color="auto"/>
              <w:left w:val="nil"/>
              <w:bottom w:val="single" w:sz="4" w:space="0" w:color="auto"/>
              <w:right w:val="single" w:sz="4" w:space="0" w:color="auto"/>
            </w:tcBorders>
            <w:shd w:val="clear" w:color="000000" w:fill="448A99"/>
            <w:vAlign w:val="center"/>
            <w:hideMark/>
          </w:tcPr>
          <w:p w:rsidR="00751A38" w:rsidRPr="00B75B77" w:rsidRDefault="00751A38"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Target Sample </w:t>
            </w:r>
            <w:r w:rsidR="00FC150A" w:rsidRPr="00B75B77">
              <w:rPr>
                <w:rFonts w:ascii="Calibri" w:eastAsia="Times New Roman" w:hAnsi="Calibri"/>
                <w:b/>
                <w:bCs/>
                <w:color w:val="FFFFFF"/>
                <w:sz w:val="18"/>
                <w:szCs w:val="18"/>
              </w:rPr>
              <w:t>S</w:t>
            </w:r>
            <w:r w:rsidRPr="00B75B77">
              <w:rPr>
                <w:rFonts w:ascii="Calibri" w:eastAsia="Times New Roman" w:hAnsi="Calibri"/>
                <w:b/>
                <w:bCs/>
                <w:color w:val="FFFFFF"/>
                <w:sz w:val="18"/>
                <w:szCs w:val="18"/>
              </w:rPr>
              <w:t>ize</w:t>
            </w:r>
          </w:p>
        </w:tc>
        <w:tc>
          <w:tcPr>
            <w:tcW w:w="905" w:type="dxa"/>
            <w:tcBorders>
              <w:top w:val="single" w:sz="4" w:space="0" w:color="auto"/>
              <w:left w:val="nil"/>
              <w:bottom w:val="single" w:sz="4" w:space="0" w:color="auto"/>
              <w:right w:val="single" w:sz="4" w:space="0" w:color="auto"/>
            </w:tcBorders>
            <w:shd w:val="clear" w:color="000000" w:fill="448A99"/>
            <w:vAlign w:val="center"/>
            <w:hideMark/>
          </w:tcPr>
          <w:p w:rsidR="00751A38" w:rsidRPr="00B75B77" w:rsidRDefault="00751A38"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Achieved Sample Size</w:t>
            </w:r>
          </w:p>
        </w:tc>
        <w:tc>
          <w:tcPr>
            <w:tcW w:w="1057" w:type="dxa"/>
            <w:tcBorders>
              <w:top w:val="single" w:sz="4" w:space="0" w:color="auto"/>
              <w:left w:val="nil"/>
              <w:bottom w:val="single" w:sz="4" w:space="0" w:color="auto"/>
              <w:right w:val="single" w:sz="4" w:space="0" w:color="auto"/>
            </w:tcBorders>
            <w:shd w:val="clear" w:color="000000" w:fill="448A99"/>
            <w:vAlign w:val="center"/>
            <w:hideMark/>
          </w:tcPr>
          <w:p w:rsidR="00751A38" w:rsidRPr="00B75B77" w:rsidRDefault="00237810" w:rsidP="00751A38">
            <w:pPr>
              <w:jc w:val="center"/>
              <w:rPr>
                <w:rFonts w:ascii="Calibri" w:eastAsia="Times New Roman" w:hAnsi="Calibri"/>
                <w:b/>
                <w:bCs/>
                <w:color w:val="FFFFFF"/>
                <w:sz w:val="18"/>
                <w:szCs w:val="18"/>
              </w:rPr>
            </w:pPr>
            <w:hyperlink r:id="rId47" w:anchor="RANGE!_ftn1" w:history="1">
              <w:r w:rsidR="00751A38" w:rsidRPr="00B75B77">
                <w:rPr>
                  <w:b/>
                  <w:color w:val="FFFFFF" w:themeColor="background1"/>
                  <w:sz w:val="18"/>
                  <w:szCs w:val="18"/>
                </w:rPr>
                <w:t>Percent</w:t>
              </w:r>
              <w:r w:rsidR="00FC150A" w:rsidRPr="00B75B77">
                <w:rPr>
                  <w:b/>
                  <w:color w:val="FFFFFF" w:themeColor="background1"/>
                  <w:sz w:val="18"/>
                  <w:szCs w:val="18"/>
                </w:rPr>
                <w:t>age</w:t>
              </w:r>
              <w:r w:rsidR="00751A38" w:rsidRPr="00B75B77">
                <w:rPr>
                  <w:rFonts w:eastAsia="Times New Roman"/>
                  <w:b/>
                  <w:bCs/>
                  <w:color w:val="FFFFFF" w:themeColor="background1"/>
                  <w:sz w:val="18"/>
                  <w:szCs w:val="18"/>
                </w:rPr>
                <w:t xml:space="preserve"> of Sample</w:t>
              </w:r>
              <w:r w:rsidR="00751A38" w:rsidRPr="00B75B77">
                <w:rPr>
                  <w:rFonts w:ascii="Calibri" w:eastAsia="Times New Roman" w:hAnsi="Calibri"/>
                  <w:b/>
                  <w:bCs/>
                  <w:color w:val="FFFFFF"/>
                  <w:sz w:val="18"/>
                  <w:szCs w:val="18"/>
                </w:rPr>
                <w:t xml:space="preserve"> Frame</w:t>
              </w:r>
              <w:r w:rsidR="004F4B5C" w:rsidRPr="00B75B77">
                <w:rPr>
                  <w:rFonts w:ascii="Calibri" w:eastAsia="Times New Roman" w:hAnsi="Calibri"/>
                  <w:b/>
                  <w:bCs/>
                  <w:color w:val="FFFFFF"/>
                  <w:sz w:val="18"/>
                  <w:szCs w:val="18"/>
                  <w:vertAlign w:val="superscript"/>
                </w:rPr>
                <w:t>[1]</w:t>
              </w:r>
              <w:r w:rsidR="00751A38" w:rsidRPr="00B75B77">
                <w:rPr>
                  <w:rFonts w:ascii="Calibri" w:eastAsia="Times New Roman" w:hAnsi="Calibri"/>
                  <w:b/>
                  <w:bCs/>
                  <w:color w:val="FFFFFF"/>
                  <w:sz w:val="18"/>
                  <w:szCs w:val="18"/>
                  <w:vertAlign w:val="superscript"/>
                </w:rPr>
                <w:t xml:space="preserve"> </w:t>
              </w:r>
              <w:r w:rsidR="00751A38" w:rsidRPr="00B75B77">
                <w:rPr>
                  <w:rFonts w:ascii="Calibri" w:eastAsia="Times New Roman" w:hAnsi="Calibri"/>
                  <w:b/>
                  <w:bCs/>
                  <w:color w:val="FFFFFF"/>
                  <w:sz w:val="18"/>
                  <w:szCs w:val="18"/>
                </w:rPr>
                <w:t>Contacted to Achieve Sample</w:t>
              </w:r>
            </w:hyperlink>
          </w:p>
        </w:tc>
      </w:tr>
      <w:tr w:rsidR="00751A38" w:rsidRPr="00B75B77" w:rsidTr="00030C65">
        <w:trPr>
          <w:divId w:val="1625385567"/>
          <w:trHeight w:val="288"/>
        </w:trPr>
        <w:tc>
          <w:tcPr>
            <w:tcW w:w="1791" w:type="dxa"/>
            <w:tcBorders>
              <w:top w:val="nil"/>
              <w:left w:val="single" w:sz="4" w:space="0" w:color="448A99"/>
              <w:bottom w:val="single" w:sz="4" w:space="0" w:color="448A99"/>
              <w:right w:val="single" w:sz="4" w:space="0" w:color="448A99"/>
            </w:tcBorders>
            <w:shd w:val="clear" w:color="000000" w:fill="D2EAF1"/>
            <w:vAlign w:val="center"/>
            <w:hideMark/>
          </w:tcPr>
          <w:p w:rsidR="00751A38" w:rsidRPr="00B75B77" w:rsidRDefault="00751A38" w:rsidP="00751A38">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Assessment</w:t>
            </w:r>
          </w:p>
        </w:tc>
        <w:tc>
          <w:tcPr>
            <w:tcW w:w="1350" w:type="dxa"/>
            <w:tcBorders>
              <w:top w:val="nil"/>
              <w:left w:val="nil"/>
              <w:bottom w:val="single" w:sz="4" w:space="0" w:color="448A99"/>
              <w:right w:val="single" w:sz="4" w:space="0" w:color="448A99"/>
            </w:tcBorders>
            <w:shd w:val="clear" w:color="000000" w:fill="D2EAF1"/>
            <w:noWrap/>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039" w:type="dxa"/>
            <w:tcBorders>
              <w:top w:val="nil"/>
              <w:left w:val="nil"/>
              <w:bottom w:val="single" w:sz="4" w:space="0" w:color="448A99"/>
              <w:right w:val="single" w:sz="4" w:space="0" w:color="448A99"/>
            </w:tcBorders>
            <w:shd w:val="clear" w:color="000000" w:fill="D2EAF1"/>
            <w:noWrap/>
            <w:vAlign w:val="center"/>
            <w:hideMark/>
          </w:tcPr>
          <w:p w:rsidR="00751A38" w:rsidRPr="00B75B77" w:rsidRDefault="00030C65"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2,813</w:t>
            </w:r>
          </w:p>
        </w:tc>
        <w:tc>
          <w:tcPr>
            <w:tcW w:w="1305" w:type="dxa"/>
            <w:tcBorders>
              <w:top w:val="nil"/>
              <w:left w:val="nil"/>
              <w:bottom w:val="single" w:sz="4" w:space="0" w:color="448A99"/>
              <w:right w:val="single" w:sz="4" w:space="0" w:color="448A99"/>
            </w:tcBorders>
            <w:shd w:val="clear" w:color="000000" w:fill="D2EAF1"/>
            <w:noWrap/>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1.00</w:t>
            </w:r>
          </w:p>
        </w:tc>
        <w:tc>
          <w:tcPr>
            <w:tcW w:w="1350"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810" w:type="dxa"/>
            <w:tcBorders>
              <w:top w:val="nil"/>
              <w:left w:val="nil"/>
              <w:bottom w:val="single" w:sz="4" w:space="0" w:color="448A99"/>
              <w:right w:val="single" w:sz="4" w:space="0" w:color="448A99"/>
            </w:tcBorders>
            <w:shd w:val="clear" w:color="000000" w:fill="D2EAF1"/>
            <w:noWrap/>
            <w:vAlign w:val="bottom"/>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52</w:t>
            </w:r>
          </w:p>
        </w:tc>
        <w:tc>
          <w:tcPr>
            <w:tcW w:w="905" w:type="dxa"/>
            <w:tcBorders>
              <w:top w:val="nil"/>
              <w:left w:val="nil"/>
              <w:bottom w:val="single" w:sz="4" w:space="0" w:color="448A99"/>
              <w:right w:val="single" w:sz="4" w:space="0" w:color="448A99"/>
            </w:tcBorders>
            <w:shd w:val="clear" w:color="000000" w:fill="D2EAF1"/>
            <w:noWrap/>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52</w:t>
            </w:r>
          </w:p>
        </w:tc>
        <w:tc>
          <w:tcPr>
            <w:tcW w:w="1057" w:type="dxa"/>
            <w:tcBorders>
              <w:top w:val="nil"/>
              <w:left w:val="nil"/>
              <w:bottom w:val="single" w:sz="4" w:space="0" w:color="448A99"/>
              <w:right w:val="single" w:sz="4" w:space="0" w:color="448A99"/>
            </w:tcBorders>
            <w:shd w:val="clear" w:color="000000" w:fill="D2EAF1"/>
            <w:noWrap/>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28%</w:t>
            </w:r>
          </w:p>
        </w:tc>
      </w:tr>
      <w:tr w:rsidR="00751A38" w:rsidRPr="00B75B77" w:rsidTr="00030C65">
        <w:trPr>
          <w:divId w:val="1625385567"/>
          <w:trHeight w:val="288"/>
        </w:trPr>
        <w:tc>
          <w:tcPr>
            <w:tcW w:w="1791" w:type="dxa"/>
            <w:tcBorders>
              <w:top w:val="nil"/>
              <w:left w:val="single" w:sz="4" w:space="0" w:color="448A99"/>
              <w:bottom w:val="single" w:sz="4" w:space="0" w:color="448A99"/>
              <w:right w:val="single" w:sz="4" w:space="0" w:color="448A99"/>
            </w:tcBorders>
            <w:shd w:val="clear" w:color="000000" w:fill="FFFFFF"/>
            <w:vAlign w:val="center"/>
            <w:hideMark/>
          </w:tcPr>
          <w:p w:rsidR="00751A38" w:rsidRPr="00B75B77" w:rsidRDefault="00751A38" w:rsidP="00751A38">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Audit Only</w:t>
            </w:r>
          </w:p>
        </w:tc>
        <w:tc>
          <w:tcPr>
            <w:tcW w:w="1350" w:type="dxa"/>
            <w:tcBorders>
              <w:top w:val="nil"/>
              <w:left w:val="nil"/>
              <w:bottom w:val="single" w:sz="4" w:space="0" w:color="448A99"/>
              <w:right w:val="single" w:sz="4" w:space="0" w:color="448A99"/>
            </w:tcBorders>
            <w:shd w:val="clear" w:color="000000" w:fill="FFFFFF"/>
            <w:noWrap/>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039" w:type="dxa"/>
            <w:tcBorders>
              <w:top w:val="nil"/>
              <w:left w:val="nil"/>
              <w:bottom w:val="single" w:sz="4" w:space="0" w:color="448A99"/>
              <w:right w:val="single" w:sz="4" w:space="0" w:color="448A99"/>
            </w:tcBorders>
            <w:shd w:val="clear" w:color="000000" w:fill="FFFFFF"/>
            <w:noWrap/>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1,</w:t>
            </w:r>
            <w:r w:rsidR="00030C65" w:rsidRPr="00B75B77">
              <w:rPr>
                <w:rFonts w:ascii="Calibri" w:eastAsia="Times New Roman" w:hAnsi="Calibri"/>
                <w:color w:val="000000"/>
                <w:sz w:val="18"/>
                <w:szCs w:val="18"/>
              </w:rPr>
              <w:t>609</w:t>
            </w:r>
          </w:p>
        </w:tc>
        <w:tc>
          <w:tcPr>
            <w:tcW w:w="1305" w:type="dxa"/>
            <w:tcBorders>
              <w:top w:val="nil"/>
              <w:left w:val="nil"/>
              <w:bottom w:val="single" w:sz="4" w:space="0" w:color="448A99"/>
              <w:right w:val="single" w:sz="4" w:space="0" w:color="448A99"/>
            </w:tcBorders>
            <w:shd w:val="clear" w:color="000000" w:fill="FFFFFF"/>
            <w:noWrap/>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1.00</w:t>
            </w:r>
          </w:p>
        </w:tc>
        <w:tc>
          <w:tcPr>
            <w:tcW w:w="1350" w:type="dxa"/>
            <w:tcBorders>
              <w:top w:val="nil"/>
              <w:left w:val="nil"/>
              <w:bottom w:val="single" w:sz="4" w:space="0" w:color="448A99"/>
              <w:right w:val="single" w:sz="4" w:space="0" w:color="448A99"/>
            </w:tcBorders>
            <w:shd w:val="clear" w:color="000000" w:fill="FFFFFF"/>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810" w:type="dxa"/>
            <w:tcBorders>
              <w:top w:val="nil"/>
              <w:left w:val="nil"/>
              <w:bottom w:val="single" w:sz="4" w:space="0" w:color="448A99"/>
              <w:right w:val="single" w:sz="4" w:space="0" w:color="448A99"/>
            </w:tcBorders>
            <w:shd w:val="clear" w:color="000000" w:fill="FFFFFF"/>
            <w:noWrap/>
            <w:vAlign w:val="bottom"/>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47</w:t>
            </w:r>
          </w:p>
        </w:tc>
        <w:tc>
          <w:tcPr>
            <w:tcW w:w="905" w:type="dxa"/>
            <w:tcBorders>
              <w:top w:val="nil"/>
              <w:left w:val="nil"/>
              <w:bottom w:val="single" w:sz="4" w:space="0" w:color="448A99"/>
              <w:right w:val="single" w:sz="4" w:space="0" w:color="448A99"/>
            </w:tcBorders>
            <w:shd w:val="clear" w:color="000000" w:fill="FFFFFF"/>
            <w:noWrap/>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47</w:t>
            </w:r>
          </w:p>
        </w:tc>
        <w:tc>
          <w:tcPr>
            <w:tcW w:w="1057" w:type="dxa"/>
            <w:tcBorders>
              <w:top w:val="nil"/>
              <w:left w:val="nil"/>
              <w:bottom w:val="single" w:sz="4" w:space="0" w:color="448A99"/>
              <w:right w:val="single" w:sz="4" w:space="0" w:color="448A99"/>
            </w:tcBorders>
            <w:shd w:val="clear" w:color="000000" w:fill="FFFFFF"/>
            <w:noWrap/>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55%</w:t>
            </w:r>
          </w:p>
        </w:tc>
      </w:tr>
      <w:tr w:rsidR="00751A38" w:rsidRPr="00B75B77" w:rsidTr="00030C65">
        <w:trPr>
          <w:divId w:val="1625385567"/>
          <w:trHeight w:val="288"/>
        </w:trPr>
        <w:tc>
          <w:tcPr>
            <w:tcW w:w="1791" w:type="dxa"/>
            <w:tcBorders>
              <w:top w:val="nil"/>
              <w:left w:val="single" w:sz="4" w:space="0" w:color="448A99"/>
              <w:bottom w:val="single" w:sz="4" w:space="0" w:color="448A99"/>
              <w:right w:val="single" w:sz="4" w:space="0" w:color="448A99"/>
            </w:tcBorders>
            <w:shd w:val="clear" w:color="000000" w:fill="D2EAF1"/>
            <w:vAlign w:val="center"/>
            <w:hideMark/>
          </w:tcPr>
          <w:p w:rsidR="00751A38" w:rsidRPr="00B75B77" w:rsidRDefault="00751A38" w:rsidP="00751A38">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Audit + Install Major Measures</w:t>
            </w:r>
          </w:p>
        </w:tc>
        <w:tc>
          <w:tcPr>
            <w:tcW w:w="1350" w:type="dxa"/>
            <w:tcBorders>
              <w:top w:val="nil"/>
              <w:left w:val="nil"/>
              <w:bottom w:val="single" w:sz="4" w:space="0" w:color="448A99"/>
              <w:right w:val="single" w:sz="4" w:space="0" w:color="448A99"/>
            </w:tcBorders>
            <w:shd w:val="clear" w:color="000000" w:fill="D2EAF1"/>
            <w:noWrap/>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039" w:type="dxa"/>
            <w:tcBorders>
              <w:top w:val="nil"/>
              <w:left w:val="nil"/>
              <w:bottom w:val="single" w:sz="4" w:space="0" w:color="448A99"/>
              <w:right w:val="single" w:sz="4" w:space="0" w:color="448A99"/>
            </w:tcBorders>
            <w:shd w:val="clear" w:color="000000" w:fill="D2EAF1"/>
            <w:noWrap/>
            <w:vAlign w:val="center"/>
            <w:hideMark/>
          </w:tcPr>
          <w:p w:rsidR="00751A38" w:rsidRPr="00B75B77" w:rsidRDefault="00030C65"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284</w:t>
            </w:r>
          </w:p>
        </w:tc>
        <w:tc>
          <w:tcPr>
            <w:tcW w:w="1305" w:type="dxa"/>
            <w:tcBorders>
              <w:top w:val="nil"/>
              <w:left w:val="nil"/>
              <w:bottom w:val="single" w:sz="4" w:space="0" w:color="448A99"/>
              <w:right w:val="single" w:sz="4" w:space="0" w:color="448A99"/>
            </w:tcBorders>
            <w:shd w:val="clear" w:color="000000" w:fill="D2EAF1"/>
            <w:noWrap/>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1.00</w:t>
            </w:r>
          </w:p>
        </w:tc>
        <w:tc>
          <w:tcPr>
            <w:tcW w:w="1350"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810" w:type="dxa"/>
            <w:tcBorders>
              <w:top w:val="nil"/>
              <w:left w:val="nil"/>
              <w:bottom w:val="single" w:sz="4" w:space="0" w:color="448A99"/>
              <w:right w:val="single" w:sz="4" w:space="0" w:color="448A99"/>
            </w:tcBorders>
            <w:shd w:val="clear" w:color="000000" w:fill="D2EAF1"/>
            <w:noWrap/>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31</w:t>
            </w:r>
          </w:p>
        </w:tc>
        <w:tc>
          <w:tcPr>
            <w:tcW w:w="905" w:type="dxa"/>
            <w:tcBorders>
              <w:top w:val="nil"/>
              <w:left w:val="nil"/>
              <w:bottom w:val="single" w:sz="4" w:space="0" w:color="448A99"/>
              <w:right w:val="single" w:sz="4" w:space="0" w:color="448A99"/>
            </w:tcBorders>
            <w:shd w:val="clear" w:color="000000" w:fill="D2EAF1"/>
            <w:noWrap/>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31</w:t>
            </w:r>
          </w:p>
        </w:tc>
        <w:tc>
          <w:tcPr>
            <w:tcW w:w="1057" w:type="dxa"/>
            <w:tcBorders>
              <w:top w:val="nil"/>
              <w:left w:val="nil"/>
              <w:bottom w:val="single" w:sz="4" w:space="0" w:color="448A99"/>
              <w:right w:val="single" w:sz="4" w:space="0" w:color="448A99"/>
            </w:tcBorders>
            <w:shd w:val="clear" w:color="000000" w:fill="D2EAF1"/>
            <w:noWrap/>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41%</w:t>
            </w:r>
          </w:p>
        </w:tc>
      </w:tr>
      <w:tr w:rsidR="00751A38" w:rsidRPr="00B75B77" w:rsidTr="00030C65">
        <w:trPr>
          <w:divId w:val="1625385567"/>
          <w:trHeight w:val="240"/>
        </w:trPr>
        <w:tc>
          <w:tcPr>
            <w:tcW w:w="1791" w:type="dxa"/>
            <w:tcBorders>
              <w:top w:val="nil"/>
              <w:left w:val="single" w:sz="4" w:space="0" w:color="448A99"/>
              <w:bottom w:val="single" w:sz="4" w:space="0" w:color="448A99"/>
              <w:right w:val="single" w:sz="4" w:space="0" w:color="448A99"/>
            </w:tcBorders>
            <w:shd w:val="clear" w:color="000000" w:fill="FFFFFF"/>
            <w:vAlign w:val="center"/>
            <w:hideMark/>
          </w:tcPr>
          <w:p w:rsidR="00751A38" w:rsidRPr="00B75B77" w:rsidRDefault="00FC150A" w:rsidP="00751A38">
            <w:pPr>
              <w:jc w:val="left"/>
              <w:rPr>
                <w:rFonts w:ascii="Calibri" w:eastAsia="Times New Roman" w:hAnsi="Calibri"/>
                <w:b/>
                <w:color w:val="000000"/>
                <w:sz w:val="18"/>
                <w:szCs w:val="18"/>
              </w:rPr>
            </w:pPr>
            <w:r w:rsidRPr="00B75B77">
              <w:rPr>
                <w:rFonts w:ascii="Calibri" w:eastAsia="Times New Roman" w:hAnsi="Calibri"/>
                <w:b/>
                <w:color w:val="000000"/>
                <w:sz w:val="18"/>
                <w:szCs w:val="18"/>
              </w:rPr>
              <w:t>PROGRAM TOTAL</w:t>
            </w:r>
          </w:p>
        </w:tc>
        <w:tc>
          <w:tcPr>
            <w:tcW w:w="1350" w:type="dxa"/>
            <w:tcBorders>
              <w:top w:val="nil"/>
              <w:left w:val="nil"/>
              <w:bottom w:val="single" w:sz="4" w:space="0" w:color="448A99"/>
              <w:right w:val="single" w:sz="4" w:space="0" w:color="448A99"/>
            </w:tcBorders>
            <w:shd w:val="clear" w:color="000000" w:fill="FFFFFF"/>
            <w:noWrap/>
            <w:vAlign w:val="center"/>
            <w:hideMark/>
          </w:tcPr>
          <w:p w:rsidR="00751A38" w:rsidRPr="00B75B77" w:rsidRDefault="00751A38" w:rsidP="00751A38">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 </w:t>
            </w:r>
            <w:r w:rsidR="00FC4CE8" w:rsidRPr="00B75B77">
              <w:rPr>
                <w:rFonts w:ascii="Calibri" w:eastAsia="Times New Roman" w:hAnsi="Calibri"/>
                <w:b/>
                <w:color w:val="000000"/>
                <w:sz w:val="18"/>
                <w:szCs w:val="18"/>
              </w:rPr>
              <w:t>N/A</w:t>
            </w:r>
          </w:p>
        </w:tc>
        <w:tc>
          <w:tcPr>
            <w:tcW w:w="1039" w:type="dxa"/>
            <w:tcBorders>
              <w:top w:val="nil"/>
              <w:left w:val="nil"/>
              <w:bottom w:val="single" w:sz="4" w:space="0" w:color="448A99"/>
              <w:right w:val="single" w:sz="4" w:space="0" w:color="448A99"/>
            </w:tcBorders>
            <w:shd w:val="clear" w:color="000000" w:fill="FFFFFF"/>
            <w:noWrap/>
            <w:vAlign w:val="center"/>
            <w:hideMark/>
          </w:tcPr>
          <w:p w:rsidR="00751A38" w:rsidRPr="00B75B77" w:rsidRDefault="00030C65" w:rsidP="00751A38">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4,706</w:t>
            </w:r>
          </w:p>
        </w:tc>
        <w:tc>
          <w:tcPr>
            <w:tcW w:w="1305" w:type="dxa"/>
            <w:tcBorders>
              <w:top w:val="nil"/>
              <w:left w:val="nil"/>
              <w:bottom w:val="single" w:sz="4" w:space="0" w:color="448A99"/>
              <w:right w:val="single" w:sz="4" w:space="0" w:color="448A99"/>
            </w:tcBorders>
            <w:shd w:val="clear" w:color="000000" w:fill="FFFFFF"/>
            <w:noWrap/>
            <w:vAlign w:val="center"/>
            <w:hideMark/>
          </w:tcPr>
          <w:p w:rsidR="00751A38" w:rsidRPr="00B75B77" w:rsidRDefault="009D5AFB" w:rsidP="00751A38">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N/A</w:t>
            </w:r>
            <w:r w:rsidR="00751A38" w:rsidRPr="00B75B77">
              <w:rPr>
                <w:rFonts w:ascii="Calibri" w:eastAsia="Times New Roman" w:hAnsi="Calibri"/>
                <w:b/>
                <w:color w:val="000000"/>
                <w:sz w:val="18"/>
                <w:szCs w:val="18"/>
              </w:rPr>
              <w:t> </w:t>
            </w:r>
          </w:p>
        </w:tc>
        <w:tc>
          <w:tcPr>
            <w:tcW w:w="1350" w:type="dxa"/>
            <w:tcBorders>
              <w:top w:val="nil"/>
              <w:left w:val="nil"/>
              <w:bottom w:val="single" w:sz="4" w:space="0" w:color="448A99"/>
              <w:right w:val="single" w:sz="4" w:space="0" w:color="448A99"/>
            </w:tcBorders>
            <w:shd w:val="clear" w:color="000000" w:fill="FFFFFF"/>
            <w:noWrap/>
            <w:vAlign w:val="center"/>
            <w:hideMark/>
          </w:tcPr>
          <w:p w:rsidR="00751A38" w:rsidRPr="00B75B77" w:rsidRDefault="009D5AFB" w:rsidP="00751A38">
            <w:pPr>
              <w:jc w:val="center"/>
              <w:rPr>
                <w:rFonts w:ascii="Calibri" w:eastAsia="Times New Roman" w:hAnsi="Calibri"/>
                <w:b/>
                <w:color w:val="000000"/>
                <w:sz w:val="18"/>
                <w:szCs w:val="18"/>
              </w:rPr>
            </w:pPr>
            <w:r w:rsidRPr="00B75B77">
              <w:rPr>
                <w:rStyle w:val="CommentReference"/>
                <w:b/>
              </w:rPr>
              <w:t>85/15</w:t>
            </w:r>
          </w:p>
        </w:tc>
        <w:tc>
          <w:tcPr>
            <w:tcW w:w="810" w:type="dxa"/>
            <w:tcBorders>
              <w:top w:val="nil"/>
              <w:left w:val="nil"/>
              <w:bottom w:val="single" w:sz="4" w:space="0" w:color="448A99"/>
              <w:right w:val="single" w:sz="4" w:space="0" w:color="448A99"/>
            </w:tcBorders>
            <w:shd w:val="clear" w:color="000000" w:fill="FFFFFF"/>
            <w:noWrap/>
            <w:vAlign w:val="bottom"/>
            <w:hideMark/>
          </w:tcPr>
          <w:p w:rsidR="00751A38" w:rsidRPr="00B75B77" w:rsidRDefault="00751A38" w:rsidP="00751A38">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130</w:t>
            </w:r>
          </w:p>
        </w:tc>
        <w:tc>
          <w:tcPr>
            <w:tcW w:w="905" w:type="dxa"/>
            <w:tcBorders>
              <w:top w:val="nil"/>
              <w:left w:val="nil"/>
              <w:bottom w:val="single" w:sz="4" w:space="0" w:color="448A99"/>
              <w:right w:val="single" w:sz="4" w:space="0" w:color="448A99"/>
            </w:tcBorders>
            <w:shd w:val="clear" w:color="000000" w:fill="FFFFFF"/>
            <w:noWrap/>
            <w:vAlign w:val="center"/>
            <w:hideMark/>
          </w:tcPr>
          <w:p w:rsidR="00751A38" w:rsidRPr="00B75B77" w:rsidRDefault="00751A38" w:rsidP="00751A38">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130</w:t>
            </w:r>
          </w:p>
        </w:tc>
        <w:tc>
          <w:tcPr>
            <w:tcW w:w="1057" w:type="dxa"/>
            <w:tcBorders>
              <w:top w:val="nil"/>
              <w:left w:val="nil"/>
              <w:bottom w:val="single" w:sz="4" w:space="0" w:color="448A99"/>
              <w:right w:val="single" w:sz="4" w:space="0" w:color="448A99"/>
            </w:tcBorders>
            <w:shd w:val="clear" w:color="000000" w:fill="FFFFFF"/>
            <w:noWrap/>
            <w:vAlign w:val="center"/>
            <w:hideMark/>
          </w:tcPr>
          <w:p w:rsidR="00751A38" w:rsidRPr="00B75B77" w:rsidRDefault="00751A38" w:rsidP="00751A38">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37%</w:t>
            </w:r>
          </w:p>
        </w:tc>
      </w:tr>
    </w:tbl>
    <w:p w:rsidR="00FC150A" w:rsidRPr="00B75B77" w:rsidRDefault="00FC150A" w:rsidP="00FC150A">
      <w:pPr>
        <w:pStyle w:val="Source"/>
        <w:spacing w:before="20" w:after="20"/>
        <w:ind w:left="86" w:firstLine="0"/>
        <w:rPr>
          <w:rFonts w:ascii="Calibri" w:hAnsi="Calibri"/>
          <w:i w:val="0"/>
          <w:color w:val="000000"/>
          <w:szCs w:val="18"/>
        </w:rPr>
      </w:pPr>
      <w:r w:rsidRPr="00B75B77">
        <w:rPr>
          <w:rFonts w:ascii="Calibri" w:hAnsi="Calibri"/>
          <w:i w:val="0"/>
          <w:color w:val="000000"/>
          <w:szCs w:val="18"/>
          <w:vertAlign w:val="superscript"/>
        </w:rPr>
        <w:t>[1]</w:t>
      </w:r>
      <w:r w:rsidR="004F4B5C" w:rsidRPr="00B75B77">
        <w:rPr>
          <w:rFonts w:ascii="Calibri" w:hAnsi="Calibri"/>
          <w:i w:val="0"/>
          <w:color w:val="000000"/>
          <w:szCs w:val="18"/>
        </w:rPr>
        <w:t xml:space="preserve"> The s</w:t>
      </w:r>
      <w:r w:rsidRPr="00B75B77">
        <w:rPr>
          <w:rFonts w:ascii="Calibri" w:hAnsi="Calibri"/>
          <w:i w:val="0"/>
          <w:color w:val="000000"/>
          <w:szCs w:val="18"/>
        </w:rPr>
        <w:t xml:space="preserve">ample frame is a list of contacts that have a chance to be selected into the sample. Percentage contacted means of all the sample frame </w:t>
      </w:r>
      <w:r w:rsidR="004F4B5C" w:rsidRPr="00B75B77">
        <w:rPr>
          <w:rFonts w:ascii="Calibri" w:hAnsi="Calibri"/>
          <w:i w:val="0"/>
          <w:color w:val="000000"/>
          <w:szCs w:val="18"/>
        </w:rPr>
        <w:t xml:space="preserve">the percentage that were </w:t>
      </w:r>
      <w:r w:rsidR="00D6635C" w:rsidRPr="00B75B77">
        <w:rPr>
          <w:rFonts w:ascii="Calibri" w:hAnsi="Calibri"/>
          <w:i w:val="0"/>
          <w:color w:val="000000"/>
          <w:szCs w:val="18"/>
        </w:rPr>
        <w:t>contacted</w:t>
      </w:r>
      <w:r w:rsidR="004F4B5C" w:rsidRPr="00B75B77">
        <w:rPr>
          <w:rFonts w:ascii="Calibri" w:hAnsi="Calibri"/>
          <w:i w:val="0"/>
          <w:color w:val="000000"/>
          <w:szCs w:val="18"/>
        </w:rPr>
        <w:t xml:space="preserve"> to get the completed surveys</w:t>
      </w:r>
      <w:r w:rsidRPr="00B75B77">
        <w:rPr>
          <w:rFonts w:ascii="Calibri" w:hAnsi="Calibri"/>
          <w:i w:val="0"/>
          <w:color w:val="000000"/>
          <w:szCs w:val="18"/>
        </w:rPr>
        <w:t>.</w:t>
      </w:r>
    </w:p>
    <w:p w:rsidR="00FC150A" w:rsidRPr="00B75B77" w:rsidRDefault="00D6635C" w:rsidP="00FC150A">
      <w:pPr>
        <w:pStyle w:val="Source"/>
        <w:spacing w:before="20" w:after="20"/>
        <w:ind w:left="86" w:firstLine="0"/>
        <w:rPr>
          <w:i w:val="0"/>
        </w:rPr>
      </w:pPr>
      <w:r w:rsidRPr="00B75B77">
        <w:rPr>
          <w:rFonts w:ascii="Calibri" w:hAnsi="Calibri"/>
          <w:i w:val="0"/>
          <w:iCs/>
          <w:color w:val="000000"/>
          <w:szCs w:val="18"/>
        </w:rPr>
        <w:t xml:space="preserve">Note: </w:t>
      </w:r>
      <w:r w:rsidR="00FC150A" w:rsidRPr="00B75B77">
        <w:rPr>
          <w:rFonts w:ascii="Calibri" w:hAnsi="Calibri"/>
          <w:i w:val="0"/>
          <w:iCs/>
          <w:color w:val="000000"/>
          <w:szCs w:val="18"/>
        </w:rPr>
        <w:t xml:space="preserve">Values in tables may not reconcile exactly with </w:t>
      </w:r>
      <w:r w:rsidR="004F4B5C" w:rsidRPr="00B75B77">
        <w:rPr>
          <w:rFonts w:ascii="Calibri" w:hAnsi="Calibri"/>
          <w:i w:val="0"/>
          <w:iCs/>
          <w:color w:val="000000"/>
          <w:szCs w:val="18"/>
        </w:rPr>
        <w:t xml:space="preserve">the </w:t>
      </w:r>
      <w:r w:rsidR="00FC150A" w:rsidRPr="00B75B77">
        <w:rPr>
          <w:rFonts w:ascii="Calibri" w:hAnsi="Calibri"/>
          <w:i w:val="0"/>
          <w:iCs/>
          <w:color w:val="000000"/>
          <w:szCs w:val="18"/>
        </w:rPr>
        <w:t>sum of more detailed level results or previously reported results due to rounding.</w:t>
      </w:r>
    </w:p>
    <w:p w:rsidR="00751A38" w:rsidRPr="00B75B77" w:rsidRDefault="00751A38" w:rsidP="00751A38">
      <w:pPr>
        <w:pStyle w:val="Source"/>
        <w:spacing w:after="120"/>
        <w:ind w:left="90" w:firstLine="0"/>
      </w:pPr>
      <w:r w:rsidRPr="00B75B77">
        <w:t>Source: Navigant analysis</w:t>
      </w:r>
    </w:p>
    <w:p w:rsidR="00751A38" w:rsidRPr="00B75B77" w:rsidRDefault="00751A38" w:rsidP="00AE0F3F">
      <w:pPr>
        <w:keepNext/>
        <w:spacing w:before="120"/>
        <w:jc w:val="left"/>
      </w:pPr>
      <w:r w:rsidRPr="00B75B77">
        <w:lastRenderedPageBreak/>
        <w:t xml:space="preserve">The </w:t>
      </w:r>
      <w:r w:rsidR="003B6D5D" w:rsidRPr="00B75B77">
        <w:t xml:space="preserve">evaluation team structured the </w:t>
      </w:r>
      <w:r w:rsidRPr="00B75B77">
        <w:t>free ridership section of the phone interviews based on guidance from the ETO NTG methodology.</w:t>
      </w:r>
      <w:r w:rsidRPr="00B75B77">
        <w:rPr>
          <w:rStyle w:val="FootnoteReference"/>
        </w:rPr>
        <w:footnoteReference w:id="20"/>
      </w:r>
      <w:r w:rsidRPr="00B75B77">
        <w:t xml:space="preserve"> Participants were asked a series of questions to target how many of the program measures they would have installed in the absence of the program and to rate the influence of five key program elements on a scale of </w:t>
      </w:r>
      <w:r w:rsidR="004F4B5C" w:rsidRPr="00B75B77">
        <w:t xml:space="preserve">1 </w:t>
      </w:r>
      <w:r w:rsidRPr="00B75B77">
        <w:t xml:space="preserve">to </w:t>
      </w:r>
      <w:r w:rsidR="004F4B5C" w:rsidRPr="00B75B77">
        <w:t>5</w:t>
      </w:r>
      <w:r w:rsidRPr="00B75B77">
        <w:t xml:space="preserve">, where </w:t>
      </w:r>
      <w:r w:rsidR="004F4B5C" w:rsidRPr="00B75B77">
        <w:t xml:space="preserve">1 </w:t>
      </w:r>
      <w:r w:rsidRPr="00B75B77">
        <w:t>meant that the program was “</w:t>
      </w:r>
      <w:r w:rsidR="004F4B5C" w:rsidRPr="00B75B77">
        <w:t>N</w:t>
      </w:r>
      <w:r w:rsidRPr="00B75B77">
        <w:t xml:space="preserve">ot at all influential” and </w:t>
      </w:r>
      <w:r w:rsidR="004F4B5C" w:rsidRPr="00B75B77">
        <w:t xml:space="preserve">5 </w:t>
      </w:r>
      <w:r w:rsidRPr="00B75B77">
        <w:t>meant that the program was “</w:t>
      </w:r>
      <w:r w:rsidR="004F4B5C" w:rsidRPr="00B75B77">
        <w:t>E</w:t>
      </w:r>
      <w:r w:rsidRPr="00B75B77">
        <w:t>xtremely influential” on their decision to install the program measures. The five program elements included</w:t>
      </w:r>
      <w:r w:rsidR="004F4B5C" w:rsidRPr="00B75B77">
        <w:t xml:space="preserve"> the following</w:t>
      </w:r>
      <w:r w:rsidRPr="00B75B77">
        <w:t xml:space="preserve">: </w:t>
      </w:r>
    </w:p>
    <w:p w:rsidR="00751A38" w:rsidRPr="00B75B77" w:rsidRDefault="004F4B5C" w:rsidP="00AE0F3F">
      <w:pPr>
        <w:pStyle w:val="ListParagraph"/>
        <w:keepNext/>
        <w:numPr>
          <w:ilvl w:val="0"/>
          <w:numId w:val="28"/>
        </w:numPr>
        <w:spacing w:before="120"/>
        <w:jc w:val="left"/>
      </w:pPr>
      <w:r w:rsidRPr="00B75B77">
        <w:t>P</w:t>
      </w:r>
      <w:r w:rsidR="00751A38" w:rsidRPr="00B75B77">
        <w:t>rogram incentives</w:t>
      </w:r>
    </w:p>
    <w:p w:rsidR="00751A38" w:rsidRPr="00B75B77" w:rsidRDefault="004F4B5C" w:rsidP="00AE0F3F">
      <w:pPr>
        <w:pStyle w:val="ListParagraph"/>
        <w:keepNext/>
        <w:numPr>
          <w:ilvl w:val="0"/>
          <w:numId w:val="28"/>
        </w:numPr>
        <w:spacing w:before="120"/>
        <w:contextualSpacing w:val="0"/>
        <w:jc w:val="left"/>
      </w:pPr>
      <w:r w:rsidRPr="00B75B77">
        <w:t>C</w:t>
      </w:r>
      <w:r w:rsidR="00751A38" w:rsidRPr="00B75B77">
        <w:t>hange in energy bills associated with having the efficient equipment installed</w:t>
      </w:r>
    </w:p>
    <w:p w:rsidR="00751A38" w:rsidRPr="00B75B77" w:rsidRDefault="004F4B5C" w:rsidP="00AE0F3F">
      <w:pPr>
        <w:pStyle w:val="ListParagraph"/>
        <w:keepNext/>
        <w:numPr>
          <w:ilvl w:val="0"/>
          <w:numId w:val="28"/>
        </w:numPr>
        <w:spacing w:before="120"/>
        <w:contextualSpacing w:val="0"/>
        <w:jc w:val="left"/>
      </w:pPr>
      <w:r w:rsidRPr="00B75B77">
        <w:t>I</w:t>
      </w:r>
      <w:r w:rsidR="00751A38" w:rsidRPr="00B75B77">
        <w:t>nformation provided by the energy advisor</w:t>
      </w:r>
    </w:p>
    <w:p w:rsidR="00751A38" w:rsidRPr="00B75B77" w:rsidRDefault="004F4B5C" w:rsidP="00AE0F3F">
      <w:pPr>
        <w:pStyle w:val="ListParagraph"/>
        <w:keepNext/>
        <w:numPr>
          <w:ilvl w:val="0"/>
          <w:numId w:val="28"/>
        </w:numPr>
        <w:spacing w:before="120"/>
        <w:contextualSpacing w:val="0"/>
        <w:jc w:val="left"/>
      </w:pPr>
      <w:r w:rsidRPr="00B75B77">
        <w:t>F</w:t>
      </w:r>
      <w:r w:rsidR="00751A38" w:rsidRPr="00B75B77">
        <w:t>act that free energy efficient equipment was directly installed in their home</w:t>
      </w:r>
    </w:p>
    <w:p w:rsidR="00751A38" w:rsidRPr="00B75B77" w:rsidRDefault="00751A38" w:rsidP="00AE0F3F">
      <w:pPr>
        <w:pStyle w:val="ListParagraph"/>
        <w:keepNext/>
        <w:numPr>
          <w:ilvl w:val="0"/>
          <w:numId w:val="28"/>
        </w:numPr>
        <w:spacing w:before="120" w:after="240"/>
        <w:contextualSpacing w:val="0"/>
        <w:jc w:val="left"/>
      </w:pPr>
      <w:r w:rsidRPr="00B75B77">
        <w:t xml:space="preserve">Any additional specific program element that the participant reported had influence on their decision to install energy efficient equipment through the program </w:t>
      </w:r>
    </w:p>
    <w:p w:rsidR="00751A38" w:rsidRPr="00B75B77" w:rsidRDefault="00751A38" w:rsidP="00751A38">
      <w:r w:rsidRPr="00B75B77">
        <w:t xml:space="preserve">Using this approach, free ridership can take on values ranging from 0.0 to 1.0 for each respondent and for the program overall. Customers received a score of </w:t>
      </w:r>
      <w:r w:rsidR="004F4B5C" w:rsidRPr="00B75B77">
        <w:t>0</w:t>
      </w:r>
      <w:r w:rsidR="0051258A" w:rsidRPr="00B75B77">
        <w:t>.0</w:t>
      </w:r>
      <w:r w:rsidR="004F4B5C" w:rsidRPr="00B75B77">
        <w:t xml:space="preserve"> </w:t>
      </w:r>
      <w:r w:rsidRPr="00B75B77">
        <w:t>when they said that they would not have installed any of the same measures in the absence of the program and rated at least one of the program elements with a score of 5 (“</w:t>
      </w:r>
      <w:r w:rsidR="004F4B5C" w:rsidRPr="00B75B77">
        <w:t>H</w:t>
      </w:r>
      <w:r w:rsidRPr="00B75B77">
        <w:t xml:space="preserve">ighly influential”) for having impacted their decision to install the program measures. Conversely, </w:t>
      </w:r>
      <w:r w:rsidR="00F10287" w:rsidRPr="00B75B77">
        <w:t xml:space="preserve">the evaluation team assigned </w:t>
      </w:r>
      <w:r w:rsidRPr="00B75B77">
        <w:t xml:space="preserve">respondents a score of 1.0 when they said that they would have installed all of the same measures in the absence of the program and said that no aspect of the program influenced their decision to install the program measures (the respondent gave all program elements a score of </w:t>
      </w:r>
      <w:r w:rsidR="0051258A" w:rsidRPr="00B75B77">
        <w:t>1</w:t>
      </w:r>
      <w:r w:rsidRPr="00B75B77">
        <w:t xml:space="preserve">). Customers who received a free ridership score between 0.0 and 1.0 said that they would have installed at least some of the same measures in the absence of the program and/or reported that at least one program element had some influence on their decision to install the program measures (program influence scores of </w:t>
      </w:r>
      <w:r w:rsidR="0051258A" w:rsidRPr="00B75B77">
        <w:t xml:space="preserve">2 </w:t>
      </w:r>
      <w:r w:rsidRPr="00B75B77">
        <w:t xml:space="preserve">or more). </w:t>
      </w:r>
    </w:p>
    <w:p w:rsidR="00751A38" w:rsidRPr="00B75B77" w:rsidRDefault="00751A38" w:rsidP="00751A38">
      <w:pPr>
        <w:tabs>
          <w:tab w:val="left" w:pos="540"/>
        </w:tabs>
        <w:spacing w:before="240"/>
      </w:pPr>
      <w:r w:rsidRPr="00B75B77">
        <w:t xml:space="preserve">The phone interviews also included a spillover section in which </w:t>
      </w:r>
      <w:r w:rsidR="00F10287" w:rsidRPr="00B75B77">
        <w:t xml:space="preserve">the evaluation team asked </w:t>
      </w:r>
      <w:r w:rsidRPr="00B75B77">
        <w:t xml:space="preserve">customers if they installed additional energy efficiency measures </w:t>
      </w:r>
      <w:r w:rsidR="0051258A" w:rsidRPr="00B75B77">
        <w:t>that</w:t>
      </w:r>
      <w:r w:rsidRPr="00B75B77">
        <w:t xml:space="preserve"> ha</w:t>
      </w:r>
      <w:r w:rsidR="00664294" w:rsidRPr="00B75B77">
        <w:t>d</w:t>
      </w:r>
      <w:r w:rsidRPr="00B75B77">
        <w:t xml:space="preserve"> not been discounted or incentivized </w:t>
      </w:r>
      <w:r w:rsidR="00664294" w:rsidRPr="00B75B77">
        <w:t xml:space="preserve">by </w:t>
      </w:r>
      <w:r w:rsidRPr="00B75B77">
        <w:t xml:space="preserve">participating in the SHC program, and if they </w:t>
      </w:r>
      <w:proofErr w:type="gramStart"/>
      <w:r w:rsidRPr="00B75B77">
        <w:t>had,</w:t>
      </w:r>
      <w:proofErr w:type="gramEnd"/>
      <w:r w:rsidRPr="00B75B77">
        <w:t xml:space="preserve"> what kind of measures were installed. The customers who reported spillover were also asked to participate in a follow-up interview to help the evaluation team gather more information about the spillover measures they installed in their homes</w:t>
      </w:r>
      <w:r w:rsidR="002E49B3" w:rsidRPr="00B75B77">
        <w:t xml:space="preserve">. </w:t>
      </w:r>
      <w:r w:rsidRPr="00B75B77">
        <w:t xml:space="preserve">Evaluation team interviewers attempted to contact all 33 of the participants who agreed to the follow-up interview and completed 27 interviews. During the follow-up calls the interviewer verbally verified the installation of the spillover measures reported, including the type, location, and quantity. Customers were then asked to measure the program’s influence on their decision to install the spillover measures on a </w:t>
      </w:r>
      <w:r w:rsidR="00664294" w:rsidRPr="00B75B77">
        <w:t xml:space="preserve">0 </w:t>
      </w:r>
      <w:r w:rsidRPr="00B75B77">
        <w:t xml:space="preserve">to </w:t>
      </w:r>
      <w:r w:rsidR="00664294" w:rsidRPr="00B75B77">
        <w:t>5</w:t>
      </w:r>
      <w:r w:rsidRPr="00B75B77">
        <w:t>scale</w:t>
      </w:r>
      <w:r w:rsidR="00664294" w:rsidRPr="00B75B77">
        <w:t>,</w:t>
      </w:r>
      <w:r w:rsidRPr="00B75B77">
        <w:t xml:space="preserve"> where </w:t>
      </w:r>
      <w:r w:rsidR="00664294" w:rsidRPr="00B75B77">
        <w:t xml:space="preserve">0 </w:t>
      </w:r>
      <w:r w:rsidRPr="00B75B77">
        <w:t>meant that the program was “</w:t>
      </w:r>
      <w:r w:rsidR="00664294" w:rsidRPr="00B75B77">
        <w:t>N</w:t>
      </w:r>
      <w:r w:rsidRPr="00B75B77">
        <w:t xml:space="preserve">ot at all influential” and </w:t>
      </w:r>
      <w:r w:rsidR="00664294" w:rsidRPr="00B75B77">
        <w:t xml:space="preserve">5 </w:t>
      </w:r>
      <w:r w:rsidRPr="00B75B77">
        <w:t>meant that the program was “</w:t>
      </w:r>
      <w:r w:rsidR="00664294" w:rsidRPr="00B75B77">
        <w:t>E</w:t>
      </w:r>
      <w:r w:rsidRPr="00B75B77">
        <w:t>xtremely influential</w:t>
      </w:r>
      <w:r w:rsidR="00664294" w:rsidRPr="00B75B77">
        <w:t>.</w:t>
      </w:r>
      <w:r w:rsidRPr="00B75B77">
        <w:t xml:space="preserve">” The evaluation team then calculated energy and demand savings for each reported spillover measure based on home specifications from the customer files provided by </w:t>
      </w:r>
      <w:r w:rsidR="008A6491" w:rsidRPr="00B75B77">
        <w:t>CSP and</w:t>
      </w:r>
      <w:r w:rsidRPr="00B75B77">
        <w:t xml:space="preserve"> spillover measure details from </w:t>
      </w:r>
      <w:r w:rsidR="00664294" w:rsidRPr="00B75B77">
        <w:t xml:space="preserve">the </w:t>
      </w:r>
      <w:r w:rsidRPr="00B75B77">
        <w:t>customer files and the spillover follow-up interviews. To determine the amount of spillover savings to attribute to the program, the team divided the program influence score by five and applied the resulting percentage to the savings calculated for each spillover measure</w:t>
      </w:r>
      <w:r w:rsidR="002E49B3" w:rsidRPr="00B75B77">
        <w:t xml:space="preserve">. </w:t>
      </w:r>
      <w:r w:rsidRPr="00B75B77">
        <w:t xml:space="preserve">  </w:t>
      </w:r>
    </w:p>
    <w:p w:rsidR="00751A38" w:rsidRPr="00B75B77" w:rsidRDefault="00751A38">
      <w:pPr>
        <w:jc w:val="left"/>
        <w:rPr>
          <w:b/>
          <w:bCs/>
        </w:rPr>
      </w:pPr>
    </w:p>
    <w:p w:rsidR="00751A38" w:rsidRPr="00B75B77" w:rsidRDefault="00751A38" w:rsidP="00792D48">
      <w:pPr>
        <w:pStyle w:val="Heading3"/>
        <w:keepNext/>
      </w:pPr>
      <w:bookmarkStart w:id="324" w:name="_Ref463089588"/>
      <w:bookmarkStart w:id="325" w:name="_Toc466413296"/>
      <w:r w:rsidRPr="00B75B77">
        <w:lastRenderedPageBreak/>
        <w:t>Net Verified Savings Results</w:t>
      </w:r>
      <w:bookmarkEnd w:id="324"/>
      <w:bookmarkEnd w:id="325"/>
      <w:r w:rsidRPr="00B75B77">
        <w:t xml:space="preserve"> </w:t>
      </w:r>
    </w:p>
    <w:p w:rsidR="00751A38" w:rsidRPr="00B75B77" w:rsidRDefault="00664294" w:rsidP="00792D48">
      <w:pPr>
        <w:keepNext/>
        <w:spacing w:after="240"/>
      </w:pPr>
      <w:r w:rsidRPr="00B75B77">
        <w:t>F</w:t>
      </w:r>
      <w:r w:rsidR="00751A38" w:rsidRPr="00B75B77">
        <w:t xml:space="preserve">ree ridership in PY7 </w:t>
      </w:r>
      <w:r w:rsidRPr="00B75B77">
        <w:t>was</w:t>
      </w:r>
      <w:r w:rsidR="00751A38" w:rsidRPr="00B75B77">
        <w:t xml:space="preserve"> low overall</w:t>
      </w:r>
      <w:r w:rsidRPr="00B75B77">
        <w:t xml:space="preserve"> (0.13)</w:t>
      </w:r>
      <w:r w:rsidR="00F10287" w:rsidRPr="00B75B77">
        <w:t xml:space="preserve">, </w:t>
      </w:r>
      <w:r w:rsidRPr="00B75B77">
        <w:t xml:space="preserve">as well as </w:t>
      </w:r>
      <w:r w:rsidR="00751A38" w:rsidRPr="00B75B77">
        <w:t>among the three strata groups individually. In addition, participants reported low program spillover, at 0.07</w:t>
      </w:r>
      <w:r w:rsidRPr="00B75B77">
        <w:t>,</w:t>
      </w:r>
      <w:r w:rsidR="00751A38" w:rsidRPr="00B75B77">
        <w:t xml:space="preserve"> overall. The resulting weighted average NTG for the whole program, weighted by </w:t>
      </w:r>
      <w:r w:rsidRPr="00B75B77">
        <w:t xml:space="preserve">kilowatt-hour </w:t>
      </w:r>
      <w:r w:rsidR="00751A38" w:rsidRPr="00B75B77">
        <w:t xml:space="preserve">savings across all respondents, </w:t>
      </w:r>
      <w:r w:rsidR="00F10287" w:rsidRPr="00B75B77">
        <w:t>wa</w:t>
      </w:r>
      <w:r w:rsidR="00751A38" w:rsidRPr="00B75B77">
        <w:t xml:space="preserve">s 0.94. </w:t>
      </w:r>
    </w:p>
    <w:p w:rsidR="00751A38" w:rsidRPr="00B75B77" w:rsidRDefault="00751A38" w:rsidP="00751A38">
      <w:r w:rsidRPr="00B75B77">
        <w:t xml:space="preserve">The PY7 free ridership rate was calculated using the same method </w:t>
      </w:r>
      <w:r w:rsidR="00664294" w:rsidRPr="00B75B77">
        <w:t>that</w:t>
      </w:r>
      <w:r w:rsidRPr="00B75B77">
        <w:t xml:space="preserve"> derive</w:t>
      </w:r>
      <w:r w:rsidR="00664294" w:rsidRPr="00B75B77">
        <w:t>d</w:t>
      </w:r>
      <w:r w:rsidRPr="00B75B77">
        <w:t xml:space="preserve"> the PY5/PY6 rate of 0.19 but is lower primarily because 52</w:t>
      </w:r>
      <w:r w:rsidR="0015550B" w:rsidRPr="00B75B77">
        <w:t>%</w:t>
      </w:r>
      <w:r w:rsidRPr="00B75B77">
        <w:t xml:space="preserve"> of PY7 respondents received a free ridership score of </w:t>
      </w:r>
      <w:r w:rsidR="00AA614D" w:rsidRPr="00B75B77">
        <w:t xml:space="preserve">0.0 </w:t>
      </w:r>
      <w:r w:rsidRPr="00B75B77">
        <w:t>compared to 34</w:t>
      </w:r>
      <w:r w:rsidR="0009500C" w:rsidRPr="00B75B77">
        <w:t>%</w:t>
      </w:r>
      <w:r w:rsidRPr="00B75B77">
        <w:t xml:space="preserve"> in PY5, as shown in </w:t>
      </w:r>
      <w:r w:rsidRPr="00B75B77">
        <w:fldChar w:fldCharType="begin"/>
      </w:r>
      <w:r w:rsidRPr="00B75B77">
        <w:instrText xml:space="preserve"> REF _Ref463090125 \h </w:instrText>
      </w:r>
      <w:r w:rsidR="00B75B77">
        <w:instrText xml:space="preserve"> \* MERGEFORMAT </w:instrText>
      </w:r>
      <w:r w:rsidRPr="00B75B77">
        <w:fldChar w:fldCharType="separate"/>
      </w:r>
      <w:r w:rsidR="0004016D" w:rsidRPr="00B75B77">
        <w:t xml:space="preserve">Figure </w:t>
      </w:r>
      <w:r w:rsidR="0004016D">
        <w:rPr>
          <w:noProof/>
        </w:rPr>
        <w:t>3</w:t>
      </w:r>
      <w:r w:rsidR="0004016D" w:rsidRPr="00B75B77">
        <w:rPr>
          <w:noProof/>
        </w:rPr>
        <w:noBreakHyphen/>
      </w:r>
      <w:r w:rsidR="0004016D">
        <w:rPr>
          <w:noProof/>
        </w:rPr>
        <w:t>1</w:t>
      </w:r>
      <w:r w:rsidRPr="00B75B77">
        <w:fldChar w:fldCharType="end"/>
      </w:r>
      <w:r w:rsidRPr="00B75B77">
        <w:t>.</w:t>
      </w:r>
      <w:r w:rsidRPr="00B75B77">
        <w:rPr>
          <w:rStyle w:val="FootnoteReference"/>
        </w:rPr>
        <w:footnoteReference w:id="21"/>
      </w:r>
      <w:r w:rsidRPr="00B75B77">
        <w:t xml:space="preserve"> Overall, in PY7 the participants who were assigned a score of 0.0 or 0.25 represented the majority of respondents and energy savings in the survey sample. No participants were scored as full free riders, and the highest free ridership score in the sample was 0.75.</w:t>
      </w:r>
    </w:p>
    <w:p w:rsidR="00792D48" w:rsidRPr="00B75B77" w:rsidRDefault="00792D48" w:rsidP="00751A38"/>
    <w:p w:rsidR="00751A38" w:rsidRPr="00B75B77" w:rsidRDefault="00751A38" w:rsidP="00792D48">
      <w:pPr>
        <w:pStyle w:val="Caption"/>
      </w:pPr>
      <w:bookmarkStart w:id="326" w:name="_Ref463090125"/>
      <w:bookmarkStart w:id="327" w:name="_Toc466413669"/>
      <w:r w:rsidRPr="00B75B77">
        <w:t xml:space="preserve">Figure </w:t>
      </w:r>
      <w:fldSimple w:instr=" STYLEREF 1 \s ">
        <w:r w:rsidR="0004016D">
          <w:rPr>
            <w:noProof/>
          </w:rPr>
          <w:t>3</w:t>
        </w:r>
      </w:fldSimple>
      <w:r w:rsidR="00BA3BA9" w:rsidRPr="00B75B77">
        <w:noBreakHyphen/>
      </w:r>
      <w:fldSimple w:instr=" SEQ Figure \* ARABIC \s 1 ">
        <w:r w:rsidR="0004016D">
          <w:rPr>
            <w:noProof/>
          </w:rPr>
          <w:t>1</w:t>
        </w:r>
      </w:fldSimple>
      <w:bookmarkEnd w:id="326"/>
      <w:r w:rsidR="0015550B" w:rsidRPr="00B75B77">
        <w:t>:</w:t>
      </w:r>
      <w:r w:rsidRPr="00B75B77">
        <w:t xml:space="preserve"> </w:t>
      </w:r>
      <w:r w:rsidR="00A36947" w:rsidRPr="00B75B77">
        <w:t xml:space="preserve">Smart House Call </w:t>
      </w:r>
      <w:r w:rsidRPr="00B75B77">
        <w:t>Distribution of Free Ridership Scores in PY5</w:t>
      </w:r>
      <w:r w:rsidR="00483F2F" w:rsidRPr="00B75B77">
        <w:t xml:space="preserve"> </w:t>
      </w:r>
      <w:r w:rsidR="0015550B" w:rsidRPr="00B75B77">
        <w:t xml:space="preserve">vs. </w:t>
      </w:r>
      <w:r w:rsidRPr="00B75B77">
        <w:t>PY7</w:t>
      </w:r>
      <w:bookmarkEnd w:id="327"/>
    </w:p>
    <w:p w:rsidR="00751A38" w:rsidRPr="00B75B77" w:rsidRDefault="00751A38" w:rsidP="0015550B">
      <w:pPr>
        <w:jc w:val="center"/>
      </w:pPr>
      <w:r w:rsidRPr="00B75B77">
        <w:rPr>
          <w:noProof/>
        </w:rPr>
        <w:drawing>
          <wp:inline distT="0" distB="0" distL="0" distR="0" wp14:anchorId="192AB608" wp14:editId="169610F9">
            <wp:extent cx="5486400" cy="3200400"/>
            <wp:effectExtent l="0" t="0" r="0" b="0"/>
            <wp:docPr id="293" name="Chart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83F2F" w:rsidRPr="00B75B77" w:rsidRDefault="00483F2F" w:rsidP="0015550B">
      <w:pPr>
        <w:pStyle w:val="Source"/>
      </w:pPr>
      <w:r w:rsidRPr="00B75B77">
        <w:t xml:space="preserve">Source: </w:t>
      </w:r>
      <w:r w:rsidR="00464189" w:rsidRPr="00B75B77">
        <w:t xml:space="preserve">Navigant </w:t>
      </w:r>
      <w:r w:rsidRPr="00B75B77">
        <w:t>analysis</w:t>
      </w:r>
      <w:r w:rsidR="00464189" w:rsidRPr="00B75B77">
        <w:t xml:space="preserve"> of </w:t>
      </w:r>
      <w:r w:rsidR="00A36947" w:rsidRPr="00B75B77">
        <w:t xml:space="preserve">participant </w:t>
      </w:r>
      <w:r w:rsidR="00464189" w:rsidRPr="00B75B77">
        <w:t xml:space="preserve">survey responses </w:t>
      </w:r>
    </w:p>
    <w:p w:rsidR="00751A38" w:rsidRPr="00B75B77" w:rsidRDefault="00751A38" w:rsidP="00751A38">
      <w:r w:rsidRPr="00B75B77">
        <w:t xml:space="preserve">It is not surprising that free ridership for </w:t>
      </w:r>
      <w:r w:rsidR="00AA614D" w:rsidRPr="00B75B77">
        <w:t xml:space="preserve">the </w:t>
      </w:r>
      <w:r w:rsidRPr="00B75B77">
        <w:t xml:space="preserve">SHC </w:t>
      </w:r>
      <w:r w:rsidR="00AA614D" w:rsidRPr="00B75B77">
        <w:t xml:space="preserve">program </w:t>
      </w:r>
      <w:r w:rsidRPr="00B75B77">
        <w:t xml:space="preserve">is low given that the majority of the customers reported that they participated in the program to learn about the efficiency of their homes and ways in which they can save more energy. </w:t>
      </w:r>
    </w:p>
    <w:p w:rsidR="00751A38" w:rsidRPr="00B75B77" w:rsidRDefault="00751A38" w:rsidP="00751A38">
      <w:pPr>
        <w:spacing w:before="240" w:after="240"/>
      </w:pPr>
      <w:r w:rsidRPr="00B75B77">
        <w:t xml:space="preserve">Out of the 33 participant telephone survey respondents who reported spillover, 27 </w:t>
      </w:r>
      <w:r w:rsidRPr="00B75B77">
        <w:rPr>
          <w:rFonts w:eastAsia="Times New Roman"/>
          <w:color w:val="000000"/>
        </w:rPr>
        <w:t>provided clear enough responses where a determination of the presence or absence of spillover could be made. Of these, 18 participant</w:t>
      </w:r>
      <w:r w:rsidR="0052409F" w:rsidRPr="00B75B77">
        <w:rPr>
          <w:rFonts w:eastAsia="Times New Roman"/>
          <w:color w:val="000000"/>
        </w:rPr>
        <w:t xml:space="preserve"> responses</w:t>
      </w:r>
      <w:r w:rsidRPr="00B75B77">
        <w:rPr>
          <w:rFonts w:eastAsia="Times New Roman"/>
          <w:color w:val="000000"/>
        </w:rPr>
        <w:t xml:space="preserve"> </w:t>
      </w:r>
      <w:r w:rsidR="0052409F" w:rsidRPr="00B75B77">
        <w:rPr>
          <w:rFonts w:eastAsia="Times New Roman"/>
          <w:color w:val="000000"/>
        </w:rPr>
        <w:t>indicated</w:t>
      </w:r>
      <w:r w:rsidRPr="00B75B77">
        <w:rPr>
          <w:rFonts w:eastAsia="Times New Roman"/>
          <w:color w:val="000000"/>
        </w:rPr>
        <w:t xml:space="preserve"> evidence of program spillover. Among participants who implemented spillover measures, the average attribution score for program influence on their actions was 92</w:t>
      </w:r>
      <w:r w:rsidR="0009500C" w:rsidRPr="00B75B77">
        <w:rPr>
          <w:rFonts w:eastAsia="Times New Roman"/>
          <w:color w:val="000000"/>
        </w:rPr>
        <w:t>%</w:t>
      </w:r>
      <w:r w:rsidRPr="00B75B77">
        <w:rPr>
          <w:rFonts w:eastAsia="Times New Roman"/>
          <w:color w:val="000000"/>
        </w:rPr>
        <w:t>.</w:t>
      </w:r>
    </w:p>
    <w:p w:rsidR="00751A38" w:rsidRPr="00B75B77" w:rsidRDefault="00751A38" w:rsidP="00751A38">
      <w:pPr>
        <w:spacing w:after="240"/>
      </w:pPr>
      <w:r w:rsidRPr="00B75B77">
        <w:t xml:space="preserve">In addition to the overall free ridership, spillover, and NTG score, </w:t>
      </w:r>
      <w:r w:rsidR="0015550B" w:rsidRPr="00B75B77">
        <w:fldChar w:fldCharType="begin"/>
      </w:r>
      <w:r w:rsidR="0015550B" w:rsidRPr="00B75B77">
        <w:instrText xml:space="preserve"> REF _Ref462051609 \h </w:instrText>
      </w:r>
      <w:r w:rsidR="00B75B77">
        <w:instrText xml:space="preserve"> \* MERGEFORMAT </w:instrText>
      </w:r>
      <w:r w:rsidR="0015550B" w:rsidRPr="00B75B77">
        <w:fldChar w:fldCharType="separate"/>
      </w:r>
      <w:r w:rsidR="0004016D" w:rsidRPr="00B75B77">
        <w:t xml:space="preserve">Table </w:t>
      </w:r>
      <w:r w:rsidR="0004016D">
        <w:rPr>
          <w:noProof/>
        </w:rPr>
        <w:t>3</w:t>
      </w:r>
      <w:r w:rsidR="0004016D" w:rsidRPr="00B75B77">
        <w:rPr>
          <w:noProof/>
        </w:rPr>
        <w:noBreakHyphen/>
      </w:r>
      <w:r w:rsidR="0004016D">
        <w:rPr>
          <w:noProof/>
        </w:rPr>
        <w:t>6</w:t>
      </w:r>
      <w:r w:rsidR="0015550B" w:rsidRPr="00B75B77">
        <w:fldChar w:fldCharType="end"/>
      </w:r>
      <w:r w:rsidR="0015550B" w:rsidRPr="00B75B77">
        <w:t xml:space="preserve"> </w:t>
      </w:r>
      <w:r w:rsidRPr="00B75B77">
        <w:t>details the strata-level scores calculated based on participants’ self-report</w:t>
      </w:r>
      <w:r w:rsidR="00AA614D" w:rsidRPr="00B75B77">
        <w:t>ed</w:t>
      </w:r>
      <w:r w:rsidRPr="00B75B77">
        <w:t xml:space="preserve"> data. </w:t>
      </w:r>
    </w:p>
    <w:p w:rsidR="00751A38" w:rsidRPr="00B75B77" w:rsidRDefault="00751A38" w:rsidP="00751A38">
      <w:pPr>
        <w:pStyle w:val="Caption"/>
      </w:pPr>
      <w:bookmarkStart w:id="328" w:name="_Ref462051609"/>
      <w:bookmarkStart w:id="329" w:name="_Toc466413526"/>
      <w:r w:rsidRPr="00B75B77">
        <w:lastRenderedPageBreak/>
        <w:t xml:space="preserve">Table </w:t>
      </w:r>
      <w:fldSimple w:instr=" STYLEREF 1 \s ">
        <w:r w:rsidR="0004016D">
          <w:rPr>
            <w:noProof/>
          </w:rPr>
          <w:t>3</w:t>
        </w:r>
      </w:fldSimple>
      <w:r w:rsidR="00F1144C" w:rsidRPr="00B75B77">
        <w:noBreakHyphen/>
      </w:r>
      <w:fldSimple w:instr=" SEQ Table \* ARABIC \s 1 ">
        <w:r w:rsidR="0004016D">
          <w:rPr>
            <w:noProof/>
          </w:rPr>
          <w:t>6</w:t>
        </w:r>
      </w:fldSimple>
      <w:bookmarkEnd w:id="328"/>
      <w:r w:rsidRPr="00B75B77">
        <w:t>: PY7 Smart House Call Summary of Evaluation Results for NTG Research</w:t>
      </w:r>
      <w:bookmarkEnd w:id="329"/>
    </w:p>
    <w:tbl>
      <w:tblPr>
        <w:tblW w:w="9265" w:type="dxa"/>
        <w:tblLook w:val="04A0" w:firstRow="1" w:lastRow="0" w:firstColumn="1" w:lastColumn="0" w:noHBand="0" w:noVBand="1"/>
      </w:tblPr>
      <w:tblGrid>
        <w:gridCol w:w="2065"/>
        <w:gridCol w:w="1260"/>
        <w:gridCol w:w="1260"/>
        <w:gridCol w:w="1350"/>
        <w:gridCol w:w="1710"/>
        <w:gridCol w:w="1620"/>
      </w:tblGrid>
      <w:tr w:rsidR="00751A38" w:rsidRPr="00B75B77" w:rsidTr="00AE0F3F">
        <w:trPr>
          <w:divId w:val="1207525420"/>
          <w:trHeight w:val="420"/>
        </w:trPr>
        <w:tc>
          <w:tcPr>
            <w:tcW w:w="2065"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751A38" w:rsidRPr="00B75B77" w:rsidRDefault="00751A38" w:rsidP="00AA614D">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Stratum </w:t>
            </w:r>
          </w:p>
        </w:tc>
        <w:tc>
          <w:tcPr>
            <w:tcW w:w="126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751A38" w:rsidRPr="00B75B77" w:rsidRDefault="00751A38"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Estimated Free Ridership</w:t>
            </w:r>
          </w:p>
        </w:tc>
        <w:tc>
          <w:tcPr>
            <w:tcW w:w="126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751A38" w:rsidRPr="00B75B77" w:rsidRDefault="00751A38"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Estimated Participant Spillover</w:t>
            </w:r>
          </w:p>
        </w:tc>
        <w:tc>
          <w:tcPr>
            <w:tcW w:w="135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751A38" w:rsidRPr="00B75B77" w:rsidRDefault="00751A38"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NTG Ratio</w:t>
            </w:r>
          </w:p>
        </w:tc>
        <w:tc>
          <w:tcPr>
            <w:tcW w:w="171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751A38" w:rsidRPr="00B75B77" w:rsidRDefault="00751A38" w:rsidP="00AA614D">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Observed </w:t>
            </w:r>
            <w:r w:rsidR="00AA614D" w:rsidRPr="00B75B77">
              <w:rPr>
                <w:rFonts w:ascii="Calibri" w:eastAsia="Times New Roman" w:hAnsi="Calibri"/>
                <w:b/>
                <w:bCs/>
                <w:color w:val="FFFFFF"/>
                <w:sz w:val="18"/>
                <w:szCs w:val="18"/>
              </w:rPr>
              <w:t>CV</w:t>
            </w:r>
            <w:r w:rsidRPr="00B75B77">
              <w:rPr>
                <w:rFonts w:ascii="Calibri" w:eastAsia="Times New Roman" w:hAnsi="Calibri"/>
                <w:b/>
                <w:bCs/>
                <w:color w:val="FFFFFF"/>
                <w:sz w:val="18"/>
                <w:szCs w:val="18"/>
              </w:rPr>
              <w:t xml:space="preserve"> or Proportion</w:t>
            </w:r>
          </w:p>
        </w:tc>
        <w:tc>
          <w:tcPr>
            <w:tcW w:w="162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751A38" w:rsidRPr="00B75B77" w:rsidRDefault="00751A38"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Relative Precision</w:t>
            </w:r>
          </w:p>
        </w:tc>
      </w:tr>
      <w:tr w:rsidR="00751A38" w:rsidRPr="00B75B77" w:rsidTr="00AE0F3F">
        <w:trPr>
          <w:divId w:val="1207525420"/>
          <w:trHeight w:val="288"/>
        </w:trPr>
        <w:tc>
          <w:tcPr>
            <w:tcW w:w="2065" w:type="dxa"/>
            <w:vMerge/>
            <w:tcBorders>
              <w:top w:val="single" w:sz="4" w:space="0" w:color="auto"/>
              <w:left w:val="single" w:sz="4" w:space="0" w:color="auto"/>
              <w:bottom w:val="single" w:sz="4" w:space="0" w:color="000000"/>
              <w:right w:val="single" w:sz="4" w:space="0" w:color="auto"/>
            </w:tcBorders>
            <w:vAlign w:val="center"/>
            <w:hideMark/>
          </w:tcPr>
          <w:p w:rsidR="00751A38" w:rsidRPr="00B75B77" w:rsidRDefault="00751A38" w:rsidP="00751A38">
            <w:pPr>
              <w:jc w:val="left"/>
              <w:rPr>
                <w:rFonts w:ascii="Calibri" w:eastAsia="Times New Roman" w:hAnsi="Calibri"/>
                <w:b/>
                <w:bCs/>
                <w:color w:val="FFFFFF"/>
                <w:sz w:val="18"/>
                <w:szCs w:val="18"/>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rsidR="00751A38" w:rsidRPr="00B75B77" w:rsidRDefault="00751A38" w:rsidP="00751A38">
            <w:pPr>
              <w:jc w:val="left"/>
              <w:rPr>
                <w:rFonts w:ascii="Calibri" w:eastAsia="Times New Roman" w:hAnsi="Calibri"/>
                <w:b/>
                <w:bCs/>
                <w:color w:val="FFFFFF"/>
                <w:sz w:val="18"/>
                <w:szCs w:val="18"/>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rsidR="00751A38" w:rsidRPr="00B75B77" w:rsidRDefault="00751A38" w:rsidP="00751A38">
            <w:pPr>
              <w:jc w:val="left"/>
              <w:rPr>
                <w:rFonts w:ascii="Calibri" w:eastAsia="Times New Roman" w:hAnsi="Calibri"/>
                <w:b/>
                <w:bCs/>
                <w:color w:val="FFFFFF"/>
                <w:sz w:val="18"/>
                <w:szCs w:val="18"/>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rsidR="00751A38" w:rsidRPr="00B75B77" w:rsidRDefault="00751A38" w:rsidP="00751A38">
            <w:pPr>
              <w:jc w:val="left"/>
              <w:rPr>
                <w:rFonts w:ascii="Calibri" w:eastAsia="Times New Roman" w:hAnsi="Calibri"/>
                <w:b/>
                <w:bCs/>
                <w:color w:val="FFFFFF"/>
                <w:sz w:val="18"/>
                <w:szCs w:val="18"/>
              </w:rPr>
            </w:pPr>
          </w:p>
        </w:tc>
        <w:tc>
          <w:tcPr>
            <w:tcW w:w="1710" w:type="dxa"/>
            <w:vMerge/>
            <w:tcBorders>
              <w:top w:val="single" w:sz="4" w:space="0" w:color="auto"/>
              <w:left w:val="single" w:sz="4" w:space="0" w:color="auto"/>
              <w:bottom w:val="single" w:sz="4" w:space="0" w:color="000000"/>
              <w:right w:val="single" w:sz="4" w:space="0" w:color="auto"/>
            </w:tcBorders>
            <w:vAlign w:val="center"/>
            <w:hideMark/>
          </w:tcPr>
          <w:p w:rsidR="00751A38" w:rsidRPr="00B75B77" w:rsidRDefault="00751A38" w:rsidP="00751A38">
            <w:pPr>
              <w:jc w:val="left"/>
              <w:rPr>
                <w:rFonts w:ascii="Calibri" w:eastAsia="Times New Roman" w:hAnsi="Calibri"/>
                <w:b/>
                <w:bCs/>
                <w:color w:val="FFFFFF"/>
                <w:sz w:val="18"/>
                <w:szCs w:val="18"/>
              </w:rPr>
            </w:pPr>
          </w:p>
        </w:tc>
        <w:tc>
          <w:tcPr>
            <w:tcW w:w="1620" w:type="dxa"/>
            <w:vMerge/>
            <w:tcBorders>
              <w:top w:val="single" w:sz="4" w:space="0" w:color="auto"/>
              <w:left w:val="single" w:sz="4" w:space="0" w:color="auto"/>
              <w:bottom w:val="single" w:sz="4" w:space="0" w:color="000000"/>
              <w:right w:val="single" w:sz="4" w:space="0" w:color="auto"/>
            </w:tcBorders>
            <w:vAlign w:val="center"/>
            <w:hideMark/>
          </w:tcPr>
          <w:p w:rsidR="00751A38" w:rsidRPr="00B75B77" w:rsidRDefault="00751A38" w:rsidP="00751A38">
            <w:pPr>
              <w:jc w:val="left"/>
              <w:rPr>
                <w:rFonts w:ascii="Calibri" w:eastAsia="Times New Roman" w:hAnsi="Calibri"/>
                <w:b/>
                <w:bCs/>
                <w:color w:val="FFFFFF"/>
                <w:sz w:val="18"/>
                <w:szCs w:val="18"/>
              </w:rPr>
            </w:pPr>
          </w:p>
        </w:tc>
      </w:tr>
      <w:tr w:rsidR="00751A38" w:rsidRPr="00B75B77" w:rsidTr="00AE0F3F">
        <w:trPr>
          <w:divId w:val="1207525420"/>
          <w:trHeight w:val="288"/>
        </w:trPr>
        <w:tc>
          <w:tcPr>
            <w:tcW w:w="2065" w:type="dxa"/>
            <w:tcBorders>
              <w:top w:val="nil"/>
              <w:left w:val="single" w:sz="4" w:space="0" w:color="448A99"/>
              <w:bottom w:val="single" w:sz="4" w:space="0" w:color="448A99"/>
              <w:right w:val="single" w:sz="4" w:space="0" w:color="448A99"/>
            </w:tcBorders>
            <w:shd w:val="clear" w:color="000000" w:fill="D2EAF1"/>
            <w:vAlign w:val="center"/>
            <w:hideMark/>
          </w:tcPr>
          <w:p w:rsidR="00751A38" w:rsidRPr="00B75B77" w:rsidRDefault="00751A38" w:rsidP="00751A38">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Assessment</w:t>
            </w:r>
          </w:p>
        </w:tc>
        <w:tc>
          <w:tcPr>
            <w:tcW w:w="1260"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0.10</w:t>
            </w:r>
          </w:p>
        </w:tc>
        <w:tc>
          <w:tcPr>
            <w:tcW w:w="1260"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0.09</w:t>
            </w:r>
          </w:p>
        </w:tc>
        <w:tc>
          <w:tcPr>
            <w:tcW w:w="1350"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0.99</w:t>
            </w:r>
          </w:p>
        </w:tc>
        <w:tc>
          <w:tcPr>
            <w:tcW w:w="1710"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0.36</w:t>
            </w:r>
          </w:p>
        </w:tc>
        <w:tc>
          <w:tcPr>
            <w:tcW w:w="1620"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7%</w:t>
            </w:r>
          </w:p>
        </w:tc>
      </w:tr>
      <w:tr w:rsidR="00751A38" w:rsidRPr="00B75B77" w:rsidTr="00AE0F3F">
        <w:trPr>
          <w:divId w:val="1207525420"/>
          <w:trHeight w:val="288"/>
        </w:trPr>
        <w:tc>
          <w:tcPr>
            <w:tcW w:w="2065" w:type="dxa"/>
            <w:tcBorders>
              <w:top w:val="nil"/>
              <w:left w:val="single" w:sz="4" w:space="0" w:color="448A99"/>
              <w:bottom w:val="single" w:sz="4" w:space="0" w:color="448A99"/>
              <w:right w:val="single" w:sz="4" w:space="0" w:color="448A99"/>
            </w:tcBorders>
            <w:shd w:val="clear" w:color="000000" w:fill="FFFFFF"/>
            <w:vAlign w:val="center"/>
            <w:hideMark/>
          </w:tcPr>
          <w:p w:rsidR="00751A38" w:rsidRPr="00B75B77" w:rsidRDefault="00751A38" w:rsidP="00751A38">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Audit Only</w:t>
            </w:r>
          </w:p>
        </w:tc>
        <w:tc>
          <w:tcPr>
            <w:tcW w:w="1260" w:type="dxa"/>
            <w:tcBorders>
              <w:top w:val="nil"/>
              <w:left w:val="nil"/>
              <w:bottom w:val="single" w:sz="4" w:space="0" w:color="448A99"/>
              <w:right w:val="single" w:sz="4" w:space="0" w:color="448A99"/>
            </w:tcBorders>
            <w:shd w:val="clear" w:color="000000" w:fill="FFFFFF"/>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0.18</w:t>
            </w:r>
          </w:p>
        </w:tc>
        <w:tc>
          <w:tcPr>
            <w:tcW w:w="1260" w:type="dxa"/>
            <w:tcBorders>
              <w:top w:val="nil"/>
              <w:left w:val="nil"/>
              <w:bottom w:val="single" w:sz="4" w:space="0" w:color="448A99"/>
              <w:right w:val="single" w:sz="4" w:space="0" w:color="448A99"/>
            </w:tcBorders>
            <w:shd w:val="clear" w:color="000000" w:fill="FFFFFF"/>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0.04</w:t>
            </w:r>
          </w:p>
        </w:tc>
        <w:tc>
          <w:tcPr>
            <w:tcW w:w="1350" w:type="dxa"/>
            <w:tcBorders>
              <w:top w:val="nil"/>
              <w:left w:val="nil"/>
              <w:bottom w:val="single" w:sz="4" w:space="0" w:color="448A99"/>
              <w:right w:val="single" w:sz="4" w:space="0" w:color="448A99"/>
            </w:tcBorders>
            <w:shd w:val="clear" w:color="000000" w:fill="FFFFFF"/>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0.85</w:t>
            </w:r>
          </w:p>
        </w:tc>
        <w:tc>
          <w:tcPr>
            <w:tcW w:w="1710" w:type="dxa"/>
            <w:tcBorders>
              <w:top w:val="nil"/>
              <w:left w:val="nil"/>
              <w:bottom w:val="single" w:sz="4" w:space="0" w:color="448A99"/>
              <w:right w:val="single" w:sz="4" w:space="0" w:color="448A99"/>
            </w:tcBorders>
            <w:shd w:val="clear" w:color="000000" w:fill="FFFFFF"/>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0.30</w:t>
            </w:r>
          </w:p>
        </w:tc>
        <w:tc>
          <w:tcPr>
            <w:tcW w:w="1620" w:type="dxa"/>
            <w:tcBorders>
              <w:top w:val="nil"/>
              <w:left w:val="nil"/>
              <w:bottom w:val="single" w:sz="4" w:space="0" w:color="448A99"/>
              <w:right w:val="single" w:sz="4" w:space="0" w:color="448A99"/>
            </w:tcBorders>
            <w:shd w:val="clear" w:color="000000" w:fill="FFFFFF"/>
            <w:vAlign w:val="center"/>
            <w:hideMark/>
          </w:tcPr>
          <w:p w:rsidR="00751A38" w:rsidRPr="00B75B77" w:rsidRDefault="00751A38"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6%</w:t>
            </w:r>
          </w:p>
        </w:tc>
      </w:tr>
      <w:tr w:rsidR="00751A38" w:rsidRPr="00B75B77" w:rsidTr="00AE0F3F">
        <w:trPr>
          <w:divId w:val="1207525420"/>
          <w:trHeight w:val="288"/>
        </w:trPr>
        <w:tc>
          <w:tcPr>
            <w:tcW w:w="2065" w:type="dxa"/>
            <w:tcBorders>
              <w:top w:val="nil"/>
              <w:left w:val="single" w:sz="4" w:space="0" w:color="448A99"/>
              <w:bottom w:val="single" w:sz="4" w:space="0" w:color="448A99"/>
              <w:right w:val="single" w:sz="4" w:space="0" w:color="448A99"/>
            </w:tcBorders>
            <w:shd w:val="clear" w:color="000000" w:fill="D2EAF1"/>
            <w:vAlign w:val="center"/>
            <w:hideMark/>
          </w:tcPr>
          <w:p w:rsidR="00751A38" w:rsidRPr="00B75B77" w:rsidRDefault="00751A38" w:rsidP="00751A38">
            <w:pPr>
              <w:jc w:val="left"/>
              <w:rPr>
                <w:rFonts w:ascii="Calibri" w:eastAsia="Times New Roman" w:hAnsi="Calibri"/>
                <w:bCs/>
                <w:sz w:val="18"/>
                <w:szCs w:val="18"/>
              </w:rPr>
            </w:pPr>
            <w:r w:rsidRPr="00B75B77">
              <w:rPr>
                <w:rFonts w:ascii="Calibri" w:eastAsia="Times New Roman" w:hAnsi="Calibri"/>
                <w:bCs/>
                <w:sz w:val="18"/>
                <w:szCs w:val="18"/>
              </w:rPr>
              <w:t>Audit + Install Major Measures</w:t>
            </w:r>
          </w:p>
        </w:tc>
        <w:tc>
          <w:tcPr>
            <w:tcW w:w="1260"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sz w:val="18"/>
                <w:szCs w:val="18"/>
              </w:rPr>
            </w:pPr>
            <w:r w:rsidRPr="00B75B77">
              <w:rPr>
                <w:rFonts w:ascii="Calibri" w:eastAsia="Times New Roman" w:hAnsi="Calibri"/>
                <w:sz w:val="18"/>
                <w:szCs w:val="18"/>
              </w:rPr>
              <w:t>0.13</w:t>
            </w:r>
          </w:p>
        </w:tc>
        <w:tc>
          <w:tcPr>
            <w:tcW w:w="1260"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sz w:val="18"/>
                <w:szCs w:val="18"/>
              </w:rPr>
            </w:pPr>
            <w:r w:rsidRPr="00B75B77">
              <w:rPr>
                <w:rFonts w:ascii="Calibri" w:eastAsia="Times New Roman" w:hAnsi="Calibri"/>
                <w:sz w:val="18"/>
                <w:szCs w:val="18"/>
              </w:rPr>
              <w:t>0.01</w:t>
            </w:r>
          </w:p>
        </w:tc>
        <w:tc>
          <w:tcPr>
            <w:tcW w:w="1350"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sz w:val="18"/>
                <w:szCs w:val="18"/>
              </w:rPr>
            </w:pPr>
            <w:r w:rsidRPr="00B75B77">
              <w:rPr>
                <w:rFonts w:ascii="Calibri" w:eastAsia="Times New Roman" w:hAnsi="Calibri"/>
                <w:sz w:val="18"/>
                <w:szCs w:val="18"/>
              </w:rPr>
              <w:t>0.87</w:t>
            </w:r>
          </w:p>
        </w:tc>
        <w:tc>
          <w:tcPr>
            <w:tcW w:w="1710"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sz w:val="18"/>
                <w:szCs w:val="18"/>
              </w:rPr>
            </w:pPr>
            <w:r w:rsidRPr="00B75B77">
              <w:rPr>
                <w:rFonts w:ascii="Calibri" w:eastAsia="Times New Roman" w:hAnsi="Calibri"/>
                <w:sz w:val="18"/>
                <w:szCs w:val="18"/>
              </w:rPr>
              <w:t>0.23</w:t>
            </w:r>
          </w:p>
        </w:tc>
        <w:tc>
          <w:tcPr>
            <w:tcW w:w="1620"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center"/>
              <w:rPr>
                <w:rFonts w:ascii="Calibri" w:eastAsia="Times New Roman" w:hAnsi="Calibri"/>
                <w:sz w:val="18"/>
                <w:szCs w:val="18"/>
              </w:rPr>
            </w:pPr>
            <w:r w:rsidRPr="00B75B77">
              <w:rPr>
                <w:rFonts w:ascii="Calibri" w:eastAsia="Times New Roman" w:hAnsi="Calibri"/>
                <w:sz w:val="18"/>
                <w:szCs w:val="18"/>
              </w:rPr>
              <w:t>6%</w:t>
            </w:r>
          </w:p>
        </w:tc>
      </w:tr>
      <w:tr w:rsidR="00751A38" w:rsidRPr="00B75B77" w:rsidTr="00AE0F3F">
        <w:trPr>
          <w:divId w:val="1207525420"/>
          <w:trHeight w:val="288"/>
        </w:trPr>
        <w:tc>
          <w:tcPr>
            <w:tcW w:w="2065" w:type="dxa"/>
            <w:tcBorders>
              <w:top w:val="nil"/>
              <w:left w:val="single" w:sz="4" w:space="0" w:color="448A99"/>
              <w:bottom w:val="single" w:sz="4" w:space="0" w:color="448A99"/>
              <w:right w:val="single" w:sz="4" w:space="0" w:color="448A99"/>
            </w:tcBorders>
            <w:shd w:val="clear" w:color="000000" w:fill="FFFFFF"/>
            <w:noWrap/>
            <w:vAlign w:val="center"/>
            <w:hideMark/>
          </w:tcPr>
          <w:p w:rsidR="00751A38" w:rsidRPr="00B75B77" w:rsidRDefault="00237810" w:rsidP="00751A38">
            <w:pPr>
              <w:jc w:val="left"/>
              <w:rPr>
                <w:rFonts w:ascii="Calibri" w:eastAsia="Times New Roman" w:hAnsi="Calibri"/>
                <w:b/>
                <w:color w:val="000000"/>
                <w:sz w:val="18"/>
                <w:szCs w:val="18"/>
              </w:rPr>
            </w:pPr>
            <w:hyperlink r:id="rId49" w:anchor="RANGE!_ftn1" w:history="1">
              <w:r w:rsidR="00AA614D" w:rsidRPr="00B75B77">
                <w:rPr>
                  <w:rFonts w:ascii="Calibri" w:eastAsia="Times New Roman" w:hAnsi="Calibri"/>
                  <w:b/>
                  <w:color w:val="000000"/>
                  <w:sz w:val="18"/>
                  <w:szCs w:val="18"/>
                </w:rPr>
                <w:t>PROGRAM TOTAL</w:t>
              </w:r>
            </w:hyperlink>
          </w:p>
        </w:tc>
        <w:tc>
          <w:tcPr>
            <w:tcW w:w="1260" w:type="dxa"/>
            <w:tcBorders>
              <w:top w:val="nil"/>
              <w:left w:val="nil"/>
              <w:bottom w:val="single" w:sz="4" w:space="0" w:color="448A99"/>
              <w:right w:val="single" w:sz="4" w:space="0" w:color="448A99"/>
            </w:tcBorders>
            <w:shd w:val="clear" w:color="000000" w:fill="FFFFFF"/>
            <w:vAlign w:val="center"/>
            <w:hideMark/>
          </w:tcPr>
          <w:p w:rsidR="00751A38" w:rsidRPr="00B75B77" w:rsidRDefault="00751A38" w:rsidP="00751A38">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0.13</w:t>
            </w:r>
          </w:p>
        </w:tc>
        <w:tc>
          <w:tcPr>
            <w:tcW w:w="1260" w:type="dxa"/>
            <w:tcBorders>
              <w:top w:val="nil"/>
              <w:left w:val="nil"/>
              <w:bottom w:val="single" w:sz="4" w:space="0" w:color="448A99"/>
              <w:right w:val="single" w:sz="4" w:space="0" w:color="448A99"/>
            </w:tcBorders>
            <w:shd w:val="clear" w:color="auto" w:fill="auto"/>
            <w:vAlign w:val="center"/>
            <w:hideMark/>
          </w:tcPr>
          <w:p w:rsidR="00751A38" w:rsidRPr="00B75B77" w:rsidRDefault="00751A38" w:rsidP="00751A38">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0.07</w:t>
            </w:r>
          </w:p>
        </w:tc>
        <w:tc>
          <w:tcPr>
            <w:tcW w:w="1350" w:type="dxa"/>
            <w:tcBorders>
              <w:top w:val="nil"/>
              <w:left w:val="nil"/>
              <w:bottom w:val="single" w:sz="4" w:space="0" w:color="448A99"/>
              <w:right w:val="single" w:sz="4" w:space="0" w:color="448A99"/>
            </w:tcBorders>
            <w:shd w:val="clear" w:color="auto" w:fill="auto"/>
            <w:vAlign w:val="center"/>
            <w:hideMark/>
          </w:tcPr>
          <w:p w:rsidR="00751A38" w:rsidRPr="00B75B77" w:rsidRDefault="00751A38" w:rsidP="00751A38">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0.94</w:t>
            </w:r>
          </w:p>
        </w:tc>
        <w:tc>
          <w:tcPr>
            <w:tcW w:w="1710" w:type="dxa"/>
            <w:tcBorders>
              <w:top w:val="nil"/>
              <w:left w:val="nil"/>
              <w:bottom w:val="single" w:sz="4" w:space="0" w:color="448A99"/>
              <w:right w:val="single" w:sz="4" w:space="0" w:color="448A99"/>
            </w:tcBorders>
            <w:shd w:val="clear" w:color="auto" w:fill="auto"/>
            <w:vAlign w:val="center"/>
            <w:hideMark/>
          </w:tcPr>
          <w:p w:rsidR="00751A38" w:rsidRPr="00B75B77" w:rsidRDefault="00751A38" w:rsidP="00751A38">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0.40</w:t>
            </w:r>
          </w:p>
        </w:tc>
        <w:tc>
          <w:tcPr>
            <w:tcW w:w="1620" w:type="dxa"/>
            <w:tcBorders>
              <w:top w:val="nil"/>
              <w:left w:val="nil"/>
              <w:bottom w:val="single" w:sz="4" w:space="0" w:color="448A99"/>
              <w:right w:val="single" w:sz="4" w:space="0" w:color="448A99"/>
            </w:tcBorders>
            <w:shd w:val="clear" w:color="auto" w:fill="auto"/>
            <w:vAlign w:val="center"/>
            <w:hideMark/>
          </w:tcPr>
          <w:p w:rsidR="00751A38" w:rsidRPr="00B75B77" w:rsidRDefault="00751A38" w:rsidP="00751A38">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5%</w:t>
            </w:r>
          </w:p>
        </w:tc>
      </w:tr>
    </w:tbl>
    <w:p w:rsidR="00AA614D" w:rsidRPr="00B75B77" w:rsidRDefault="00AA614D" w:rsidP="00AA614D">
      <w:pPr>
        <w:pStyle w:val="Source"/>
        <w:spacing w:before="20" w:after="20"/>
        <w:ind w:left="86" w:firstLine="0"/>
        <w:rPr>
          <w:i w:val="0"/>
        </w:rPr>
      </w:pPr>
      <w:r w:rsidRPr="00B75B77">
        <w:rPr>
          <w:i w:val="0"/>
        </w:rPr>
        <w:t xml:space="preserve">Note: </w:t>
      </w:r>
      <w:r w:rsidRPr="00B75B77">
        <w:rPr>
          <w:rFonts w:ascii="Calibri" w:hAnsi="Calibri"/>
          <w:i w:val="0"/>
          <w:iCs/>
          <w:color w:val="000000"/>
          <w:szCs w:val="18"/>
        </w:rPr>
        <w:t>Values in tables may not reconcile exactly with the sum of more detailed level results or previously reported results due to rounding.</w:t>
      </w:r>
    </w:p>
    <w:p w:rsidR="00751A38" w:rsidRPr="00B75B77" w:rsidRDefault="00751A38" w:rsidP="00AA614D">
      <w:pPr>
        <w:pStyle w:val="Source"/>
        <w:ind w:left="540" w:hanging="450"/>
      </w:pPr>
      <w:r w:rsidRPr="00B75B77">
        <w:t>Source: Navigant analysis</w:t>
      </w:r>
    </w:p>
    <w:p w:rsidR="00751A38" w:rsidRPr="00B75B77" w:rsidRDefault="00751A38" w:rsidP="00963027">
      <w:pPr>
        <w:pStyle w:val="Heading2"/>
        <w:keepNext/>
      </w:pPr>
      <w:bookmarkStart w:id="330" w:name="_Toc453075184"/>
      <w:bookmarkStart w:id="331" w:name="_Toc466413297"/>
      <w:r w:rsidRPr="00B75B77">
        <w:t>Process Evaluation</w:t>
      </w:r>
      <w:bookmarkEnd w:id="330"/>
      <w:bookmarkEnd w:id="331"/>
    </w:p>
    <w:p w:rsidR="00751A38" w:rsidRPr="00B75B77" w:rsidRDefault="00751A38" w:rsidP="00751A38">
      <w:pPr>
        <w:rPr>
          <w:rFonts w:eastAsia="Times New Roman"/>
          <w:color w:val="000000"/>
        </w:rPr>
      </w:pPr>
      <w:r w:rsidRPr="00B75B77">
        <w:rPr>
          <w:rFonts w:eastAsia="Times New Roman"/>
          <w:color w:val="000000"/>
        </w:rPr>
        <w:t>The PY7 process evaluation leveraged the 130 SHC participant</w:t>
      </w:r>
      <w:r w:rsidR="00465052" w:rsidRPr="00B75B77">
        <w:rPr>
          <w:rFonts w:eastAsia="Times New Roman"/>
          <w:color w:val="000000"/>
        </w:rPr>
        <w:t xml:space="preserve"> phone interviews</w:t>
      </w:r>
      <w:r w:rsidRPr="00B75B77">
        <w:rPr>
          <w:rFonts w:eastAsia="Times New Roman"/>
          <w:color w:val="000000"/>
        </w:rPr>
        <w:t xml:space="preserve"> as well as in-depth interviews with the program manager and the CSP</w:t>
      </w:r>
      <w:r w:rsidR="00465052" w:rsidRPr="00B75B77">
        <w:rPr>
          <w:rFonts w:eastAsia="Times New Roman"/>
          <w:color w:val="000000"/>
        </w:rPr>
        <w:t xml:space="preserve">, </w:t>
      </w:r>
      <w:proofErr w:type="spellStart"/>
      <w:r w:rsidR="00465052" w:rsidRPr="00B75B77">
        <w:t>CLEAResult</w:t>
      </w:r>
      <w:proofErr w:type="spellEnd"/>
      <w:r w:rsidRPr="00B75B77">
        <w:rPr>
          <w:rFonts w:eastAsia="Times New Roman"/>
          <w:color w:val="000000"/>
        </w:rPr>
        <w:t xml:space="preserve">. The </w:t>
      </w:r>
      <w:r w:rsidR="00465052" w:rsidRPr="00B75B77">
        <w:rPr>
          <w:rFonts w:eastAsia="Times New Roman"/>
          <w:color w:val="000000"/>
        </w:rPr>
        <w:t xml:space="preserve">evaluation team also conducted a </w:t>
      </w:r>
      <w:r w:rsidRPr="00B75B77">
        <w:rPr>
          <w:rFonts w:eastAsia="Times New Roman"/>
          <w:color w:val="000000"/>
        </w:rPr>
        <w:t xml:space="preserve">materials review </w:t>
      </w:r>
      <w:r w:rsidR="00465052" w:rsidRPr="00B75B77">
        <w:rPr>
          <w:rFonts w:eastAsia="Times New Roman"/>
          <w:color w:val="000000"/>
        </w:rPr>
        <w:t xml:space="preserve">that </w:t>
      </w:r>
      <w:r w:rsidRPr="00B75B77">
        <w:rPr>
          <w:rFonts w:eastAsia="Times New Roman"/>
          <w:color w:val="000000"/>
        </w:rPr>
        <w:t xml:space="preserve">was based on a representative sampling of program marketing materials provided to the team by the program manager and </w:t>
      </w:r>
      <w:r w:rsidR="00846ADA" w:rsidRPr="00B75B77">
        <w:t>the CSP</w:t>
      </w:r>
      <w:r w:rsidR="00465052" w:rsidRPr="00B75B77">
        <w:rPr>
          <w:rFonts w:eastAsia="Times New Roman"/>
          <w:color w:val="000000"/>
        </w:rPr>
        <w:t>.</w:t>
      </w:r>
      <w:r w:rsidR="002E49B3" w:rsidRPr="00B75B77">
        <w:rPr>
          <w:rFonts w:eastAsia="Times New Roman"/>
          <w:color w:val="000000"/>
        </w:rPr>
        <w:t xml:space="preserve"> </w:t>
      </w:r>
    </w:p>
    <w:p w:rsidR="00751A38" w:rsidRPr="00B75B77" w:rsidRDefault="00751A38" w:rsidP="00963027">
      <w:pPr>
        <w:keepNext/>
        <w:rPr>
          <w:color w:val="000000"/>
        </w:rPr>
      </w:pPr>
    </w:p>
    <w:p w:rsidR="00751A38" w:rsidRPr="00B75B77" w:rsidRDefault="00751A38" w:rsidP="00751A38">
      <w:pPr>
        <w:pStyle w:val="Heading3"/>
      </w:pPr>
      <w:bookmarkStart w:id="332" w:name="_Toc466413298"/>
      <w:r w:rsidRPr="00B75B77">
        <w:t>Process Evaluation Methodology</w:t>
      </w:r>
      <w:bookmarkEnd w:id="332"/>
      <w:r w:rsidRPr="00B75B77">
        <w:t xml:space="preserve"> </w:t>
      </w:r>
    </w:p>
    <w:p w:rsidR="00751A38" w:rsidRPr="00B75B77" w:rsidRDefault="00846ADA" w:rsidP="00751A38">
      <w:r w:rsidRPr="00B75B77">
        <w:t>T</w:t>
      </w:r>
      <w:r w:rsidR="00E4546E" w:rsidRPr="00B75B77">
        <w:t xml:space="preserve">he evaluation team </w:t>
      </w:r>
      <w:r w:rsidRPr="00B75B77">
        <w:t xml:space="preserve">conducted phone interviews </w:t>
      </w:r>
      <w:r w:rsidR="00751A38" w:rsidRPr="00B75B77">
        <w:t xml:space="preserve">in April and May 2016 with a stratified sample of 130 total program participants, including 52 assessment participants, 47 audit participants who had not installed major measures at the time of the interview, and 31 audit participants who had contractors install major measures at the time of the interview. </w:t>
      </w:r>
      <w:r w:rsidR="00751A38" w:rsidRPr="00B75B77">
        <w:rPr>
          <w:snapToGrid w:val="0"/>
        </w:rPr>
        <w:t xml:space="preserve">The evaluation team also conducted in-depth interviews with the PECO program manager and </w:t>
      </w:r>
      <w:r w:rsidR="00E4546E" w:rsidRPr="00B75B77">
        <w:rPr>
          <w:snapToGrid w:val="0"/>
        </w:rPr>
        <w:t>the CSP, in April 2016</w:t>
      </w:r>
      <w:r w:rsidR="00751A38" w:rsidRPr="00B75B77">
        <w:rPr>
          <w:snapToGrid w:val="0"/>
        </w:rPr>
        <w:t>. The objective of these interviews was to collect information about the program structure, customer satisfaction, program marketing, tracking data issues, progress relative to program goals, and areas of interest for the evaluation itself</w:t>
      </w:r>
      <w:r w:rsidR="002E49B3" w:rsidRPr="00B75B77">
        <w:rPr>
          <w:snapToGrid w:val="0"/>
        </w:rPr>
        <w:t xml:space="preserve">. </w:t>
      </w:r>
      <w:r w:rsidR="0015550B" w:rsidRPr="00B75B77">
        <w:fldChar w:fldCharType="begin"/>
      </w:r>
      <w:r w:rsidR="0015550B" w:rsidRPr="00B75B77">
        <w:rPr>
          <w:snapToGrid w:val="0"/>
        </w:rPr>
        <w:instrText xml:space="preserve"> REF _Ref462057428 \h </w:instrText>
      </w:r>
      <w:r w:rsidR="00B75B77">
        <w:instrText xml:space="preserve"> \* MERGEFORMAT </w:instrText>
      </w:r>
      <w:r w:rsidR="0015550B" w:rsidRPr="00B75B77">
        <w:fldChar w:fldCharType="separate"/>
      </w:r>
      <w:r w:rsidR="0004016D" w:rsidRPr="00B75B77">
        <w:t xml:space="preserve">Table </w:t>
      </w:r>
      <w:r w:rsidR="0004016D">
        <w:rPr>
          <w:noProof/>
        </w:rPr>
        <w:t>3</w:t>
      </w:r>
      <w:r w:rsidR="0004016D" w:rsidRPr="00B75B77">
        <w:rPr>
          <w:noProof/>
        </w:rPr>
        <w:noBreakHyphen/>
      </w:r>
      <w:r w:rsidR="0004016D">
        <w:rPr>
          <w:noProof/>
        </w:rPr>
        <w:t>7</w:t>
      </w:r>
      <w:r w:rsidR="0015550B" w:rsidRPr="00B75B77">
        <w:fldChar w:fldCharType="end"/>
      </w:r>
      <w:r w:rsidR="0015550B" w:rsidRPr="00B75B77">
        <w:t xml:space="preserve"> </w:t>
      </w:r>
      <w:r w:rsidR="00751A38" w:rsidRPr="00B75B77">
        <w:t xml:space="preserve"> shows the sampling strategy for each of the process evaluation activities conducted for PY7.</w:t>
      </w:r>
    </w:p>
    <w:p w:rsidR="00751A38" w:rsidRPr="00B75B77" w:rsidRDefault="00751A38" w:rsidP="00AE45CC">
      <w:pPr>
        <w:ind w:left="360"/>
        <w:rPr>
          <w:rFonts w:eastAsia="Times New Roman"/>
          <w:color w:val="000000"/>
        </w:rPr>
      </w:pPr>
    </w:p>
    <w:p w:rsidR="00751A38" w:rsidRPr="00B75B77" w:rsidRDefault="00751A38" w:rsidP="00751A38">
      <w:pPr>
        <w:pStyle w:val="Caption"/>
      </w:pPr>
      <w:bookmarkStart w:id="333" w:name="_Ref462057428"/>
      <w:bookmarkStart w:id="334" w:name="_Toc466413527"/>
      <w:r w:rsidRPr="00B75B77">
        <w:t xml:space="preserve">Table </w:t>
      </w:r>
      <w:fldSimple w:instr=" STYLEREF 1 \s ">
        <w:r w:rsidR="0004016D">
          <w:rPr>
            <w:noProof/>
          </w:rPr>
          <w:t>3</w:t>
        </w:r>
      </w:fldSimple>
      <w:r w:rsidR="00F1144C" w:rsidRPr="00B75B77">
        <w:noBreakHyphen/>
      </w:r>
      <w:fldSimple w:instr=" SEQ Table \* ARABIC \s 1 ">
        <w:r w:rsidR="0004016D">
          <w:rPr>
            <w:noProof/>
          </w:rPr>
          <w:t>7</w:t>
        </w:r>
      </w:fldSimple>
      <w:bookmarkEnd w:id="333"/>
      <w:r w:rsidRPr="00B75B77">
        <w:t>: Smart House Call Process Sampling Strategy for PY7</w:t>
      </w:r>
      <w:bookmarkEnd w:id="334"/>
      <w:r w:rsidRPr="00B75B77">
        <w:t xml:space="preserve"> </w:t>
      </w:r>
    </w:p>
    <w:tbl>
      <w:tblPr>
        <w:tblW w:w="9150" w:type="dxa"/>
        <w:jc w:val="center"/>
        <w:tblLayout w:type="fixed"/>
        <w:tblLook w:val="04A0" w:firstRow="1" w:lastRow="0" w:firstColumn="1" w:lastColumn="0" w:noHBand="0" w:noVBand="1"/>
      </w:tblPr>
      <w:tblGrid>
        <w:gridCol w:w="1885"/>
        <w:gridCol w:w="1080"/>
        <w:gridCol w:w="1080"/>
        <w:gridCol w:w="1080"/>
        <w:gridCol w:w="810"/>
        <w:gridCol w:w="990"/>
        <w:gridCol w:w="1150"/>
        <w:gridCol w:w="1075"/>
      </w:tblGrid>
      <w:tr w:rsidR="00E4546E" w:rsidRPr="00B75B77" w:rsidTr="00E4546E">
        <w:trPr>
          <w:divId w:val="1741903315"/>
          <w:trHeight w:val="480"/>
          <w:jc w:val="center"/>
        </w:trPr>
        <w:tc>
          <w:tcPr>
            <w:tcW w:w="1885" w:type="dxa"/>
            <w:tcBorders>
              <w:top w:val="single" w:sz="4" w:space="0" w:color="auto"/>
              <w:left w:val="single" w:sz="4" w:space="0" w:color="auto"/>
              <w:bottom w:val="single" w:sz="4" w:space="0" w:color="auto"/>
              <w:right w:val="single" w:sz="4" w:space="0" w:color="auto"/>
            </w:tcBorders>
            <w:shd w:val="clear" w:color="000000" w:fill="448A99"/>
            <w:vAlign w:val="center"/>
            <w:hideMark/>
          </w:tcPr>
          <w:p w:rsidR="00E4546E" w:rsidRPr="00B75B77" w:rsidRDefault="00E4546E" w:rsidP="00E4546E">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Stratum</w:t>
            </w:r>
          </w:p>
        </w:tc>
        <w:tc>
          <w:tcPr>
            <w:tcW w:w="1080" w:type="dxa"/>
            <w:tcBorders>
              <w:top w:val="single" w:sz="4" w:space="0" w:color="auto"/>
              <w:left w:val="nil"/>
              <w:bottom w:val="single" w:sz="4" w:space="0" w:color="auto"/>
              <w:right w:val="single" w:sz="4" w:space="0" w:color="auto"/>
            </w:tcBorders>
            <w:shd w:val="clear" w:color="000000" w:fill="448A99"/>
            <w:vAlign w:val="center"/>
            <w:hideMark/>
          </w:tcPr>
          <w:p w:rsidR="00E4546E" w:rsidRPr="00B75B77" w:rsidRDefault="00E4546E"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Population Size</w:t>
            </w:r>
          </w:p>
        </w:tc>
        <w:tc>
          <w:tcPr>
            <w:tcW w:w="1080" w:type="dxa"/>
            <w:tcBorders>
              <w:top w:val="single" w:sz="4" w:space="0" w:color="auto"/>
              <w:left w:val="nil"/>
              <w:bottom w:val="single" w:sz="4" w:space="0" w:color="auto"/>
              <w:right w:val="single" w:sz="4" w:space="0" w:color="auto"/>
            </w:tcBorders>
            <w:shd w:val="clear" w:color="000000" w:fill="448A99"/>
            <w:vAlign w:val="center"/>
            <w:hideMark/>
          </w:tcPr>
          <w:p w:rsidR="00E4546E" w:rsidRPr="00B75B77" w:rsidRDefault="00E4546E"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Assumed Proportion or CV in Sample Design</w:t>
            </w:r>
          </w:p>
        </w:tc>
        <w:tc>
          <w:tcPr>
            <w:tcW w:w="1080" w:type="dxa"/>
            <w:tcBorders>
              <w:top w:val="single" w:sz="4" w:space="0" w:color="auto"/>
              <w:left w:val="nil"/>
              <w:bottom w:val="single" w:sz="4" w:space="0" w:color="auto"/>
              <w:right w:val="single" w:sz="4" w:space="0" w:color="auto"/>
            </w:tcBorders>
            <w:shd w:val="clear" w:color="000000" w:fill="448A99"/>
            <w:vAlign w:val="center"/>
            <w:hideMark/>
          </w:tcPr>
          <w:p w:rsidR="00E4546E" w:rsidRPr="00B75B77" w:rsidRDefault="00E4546E"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Assumed Levels of Confidence and Precision</w:t>
            </w:r>
          </w:p>
        </w:tc>
        <w:tc>
          <w:tcPr>
            <w:tcW w:w="810" w:type="dxa"/>
            <w:tcBorders>
              <w:top w:val="single" w:sz="4" w:space="0" w:color="auto"/>
              <w:left w:val="nil"/>
              <w:bottom w:val="single" w:sz="4" w:space="0" w:color="auto"/>
              <w:right w:val="single" w:sz="4" w:space="0" w:color="auto"/>
            </w:tcBorders>
            <w:shd w:val="clear" w:color="000000" w:fill="448A99"/>
            <w:vAlign w:val="center"/>
            <w:hideMark/>
          </w:tcPr>
          <w:p w:rsidR="00E4546E" w:rsidRPr="00B75B77" w:rsidRDefault="00E4546E"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Target Sample Size</w:t>
            </w:r>
          </w:p>
        </w:tc>
        <w:tc>
          <w:tcPr>
            <w:tcW w:w="990" w:type="dxa"/>
            <w:tcBorders>
              <w:top w:val="single" w:sz="4" w:space="0" w:color="auto"/>
              <w:left w:val="nil"/>
              <w:bottom w:val="single" w:sz="4" w:space="0" w:color="auto"/>
              <w:right w:val="single" w:sz="4" w:space="0" w:color="auto"/>
            </w:tcBorders>
            <w:shd w:val="clear" w:color="000000" w:fill="448A99"/>
            <w:vAlign w:val="center"/>
            <w:hideMark/>
          </w:tcPr>
          <w:p w:rsidR="00E4546E" w:rsidRPr="00B75B77" w:rsidRDefault="00E4546E"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Achieved Sample Size</w:t>
            </w:r>
          </w:p>
        </w:tc>
        <w:tc>
          <w:tcPr>
            <w:tcW w:w="1150" w:type="dxa"/>
            <w:tcBorders>
              <w:top w:val="single" w:sz="4" w:space="0" w:color="auto"/>
              <w:left w:val="nil"/>
              <w:bottom w:val="single" w:sz="4" w:space="0" w:color="auto"/>
              <w:right w:val="single" w:sz="4" w:space="0" w:color="auto"/>
            </w:tcBorders>
            <w:shd w:val="clear" w:color="000000" w:fill="448A99"/>
            <w:vAlign w:val="center"/>
            <w:hideMark/>
          </w:tcPr>
          <w:p w:rsidR="00E4546E" w:rsidRPr="00B75B77" w:rsidRDefault="00237810" w:rsidP="00751A38">
            <w:pPr>
              <w:jc w:val="center"/>
              <w:rPr>
                <w:rFonts w:ascii="Calibri" w:eastAsia="Times New Roman" w:hAnsi="Calibri"/>
                <w:b/>
                <w:bCs/>
                <w:color w:val="FFFFFF"/>
                <w:sz w:val="18"/>
                <w:szCs w:val="18"/>
              </w:rPr>
            </w:pPr>
            <w:hyperlink r:id="rId50" w:anchor="RANGE!_ftn1" w:history="1">
              <w:r w:rsidR="00E4546E" w:rsidRPr="00B75B77">
                <w:rPr>
                  <w:rFonts w:ascii="Calibri" w:eastAsia="Times New Roman" w:hAnsi="Calibri"/>
                  <w:b/>
                  <w:bCs/>
                  <w:color w:val="FFFFFF"/>
                  <w:sz w:val="18"/>
                  <w:szCs w:val="18"/>
                </w:rPr>
                <w:t>Percentage of Sample Frame Contacted to Achieve Sample</w:t>
              </w:r>
            </w:hyperlink>
          </w:p>
        </w:tc>
        <w:tc>
          <w:tcPr>
            <w:tcW w:w="1075" w:type="dxa"/>
            <w:tcBorders>
              <w:top w:val="single" w:sz="4" w:space="0" w:color="auto"/>
              <w:left w:val="nil"/>
              <w:bottom w:val="single" w:sz="4" w:space="0" w:color="auto"/>
              <w:right w:val="single" w:sz="4" w:space="0" w:color="auto"/>
            </w:tcBorders>
            <w:shd w:val="clear" w:color="000000" w:fill="448A99"/>
            <w:vAlign w:val="center"/>
            <w:hideMark/>
          </w:tcPr>
          <w:p w:rsidR="00E4546E" w:rsidRPr="00B75B77" w:rsidRDefault="00E4546E" w:rsidP="00E4546E">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Used for Evaluation Activities (Impact, Process, NTG)</w:t>
            </w:r>
          </w:p>
        </w:tc>
      </w:tr>
      <w:tr w:rsidR="00E4546E" w:rsidRPr="00B75B77" w:rsidTr="00E4546E">
        <w:trPr>
          <w:divId w:val="1741903315"/>
          <w:trHeight w:val="288"/>
          <w:jc w:val="center"/>
        </w:trPr>
        <w:tc>
          <w:tcPr>
            <w:tcW w:w="1885" w:type="dxa"/>
            <w:tcBorders>
              <w:top w:val="nil"/>
              <w:left w:val="single" w:sz="4" w:space="0" w:color="448A99"/>
              <w:bottom w:val="single" w:sz="4" w:space="0" w:color="448A99"/>
              <w:right w:val="single" w:sz="4" w:space="0" w:color="448A99"/>
            </w:tcBorders>
            <w:shd w:val="clear" w:color="000000" w:fill="D2EAF1"/>
            <w:vAlign w:val="center"/>
            <w:hideMark/>
          </w:tcPr>
          <w:p w:rsidR="00E4546E" w:rsidRPr="00B75B77" w:rsidRDefault="00E4546E" w:rsidP="00751A38">
            <w:pPr>
              <w:rPr>
                <w:rFonts w:ascii="Calibri" w:eastAsia="Times New Roman" w:hAnsi="Calibri"/>
                <w:bCs/>
                <w:color w:val="000000"/>
                <w:sz w:val="18"/>
                <w:szCs w:val="18"/>
              </w:rPr>
            </w:pPr>
            <w:r w:rsidRPr="00B75B77">
              <w:rPr>
                <w:rFonts w:ascii="Calibri" w:eastAsia="Times New Roman" w:hAnsi="Calibri"/>
                <w:bCs/>
                <w:color w:val="000000"/>
                <w:sz w:val="18"/>
                <w:szCs w:val="18"/>
              </w:rPr>
              <w:t>Program Participants</w:t>
            </w:r>
          </w:p>
        </w:tc>
        <w:tc>
          <w:tcPr>
            <w:tcW w:w="1080" w:type="dxa"/>
            <w:tcBorders>
              <w:top w:val="nil"/>
              <w:left w:val="nil"/>
              <w:bottom w:val="single" w:sz="4" w:space="0" w:color="448A99"/>
              <w:right w:val="single" w:sz="4" w:space="0" w:color="448A99"/>
            </w:tcBorders>
            <w:shd w:val="clear" w:color="000000" w:fill="D2EAF1"/>
            <w:vAlign w:val="center"/>
            <w:hideMark/>
          </w:tcPr>
          <w:p w:rsidR="00E4546E" w:rsidRPr="00B75B77" w:rsidRDefault="00EC7E3B" w:rsidP="00751A38">
            <w:pPr>
              <w:jc w:val="center"/>
              <w:rPr>
                <w:rFonts w:ascii="Calibri" w:eastAsia="Times New Roman" w:hAnsi="Calibri"/>
                <w:color w:val="000000"/>
                <w:sz w:val="18"/>
                <w:szCs w:val="18"/>
              </w:rPr>
            </w:pPr>
            <w:r w:rsidRPr="00B75B77">
              <w:rPr>
                <w:rFonts w:ascii="Calibri" w:eastAsia="Times New Roman" w:hAnsi="Calibri"/>
                <w:b/>
                <w:color w:val="000000"/>
                <w:sz w:val="18"/>
                <w:szCs w:val="18"/>
              </w:rPr>
              <w:t>4,706</w:t>
            </w:r>
          </w:p>
        </w:tc>
        <w:tc>
          <w:tcPr>
            <w:tcW w:w="1080" w:type="dxa"/>
            <w:tcBorders>
              <w:top w:val="nil"/>
              <w:left w:val="nil"/>
              <w:bottom w:val="single" w:sz="4" w:space="0" w:color="448A99"/>
              <w:right w:val="single" w:sz="4" w:space="0" w:color="448A99"/>
            </w:tcBorders>
            <w:shd w:val="clear" w:color="000000" w:fill="D2EAF1"/>
            <w:noWrap/>
            <w:vAlign w:val="center"/>
            <w:hideMark/>
          </w:tcPr>
          <w:p w:rsidR="00E4546E" w:rsidRPr="00B75B77" w:rsidRDefault="00E4546E"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1.16</w:t>
            </w:r>
          </w:p>
        </w:tc>
        <w:tc>
          <w:tcPr>
            <w:tcW w:w="1080" w:type="dxa"/>
            <w:tcBorders>
              <w:top w:val="nil"/>
              <w:left w:val="nil"/>
              <w:bottom w:val="single" w:sz="4" w:space="0" w:color="448A99"/>
              <w:right w:val="single" w:sz="4" w:space="0" w:color="448A99"/>
            </w:tcBorders>
            <w:shd w:val="clear" w:color="000000" w:fill="D2EAF1"/>
            <w:vAlign w:val="center"/>
            <w:hideMark/>
          </w:tcPr>
          <w:p w:rsidR="00E4546E" w:rsidRPr="00B75B77" w:rsidRDefault="00E4546E"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810" w:type="dxa"/>
            <w:tcBorders>
              <w:top w:val="nil"/>
              <w:left w:val="nil"/>
              <w:bottom w:val="single" w:sz="4" w:space="0" w:color="448A99"/>
              <w:right w:val="single" w:sz="4" w:space="0" w:color="448A99"/>
            </w:tcBorders>
            <w:shd w:val="clear" w:color="000000" w:fill="D2EAF1"/>
            <w:vAlign w:val="center"/>
            <w:hideMark/>
          </w:tcPr>
          <w:p w:rsidR="00E4546E" w:rsidRPr="00B75B77" w:rsidRDefault="00E4546E"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130</w:t>
            </w:r>
          </w:p>
        </w:tc>
        <w:tc>
          <w:tcPr>
            <w:tcW w:w="990" w:type="dxa"/>
            <w:tcBorders>
              <w:top w:val="nil"/>
              <w:left w:val="nil"/>
              <w:bottom w:val="single" w:sz="4" w:space="0" w:color="448A99"/>
              <w:right w:val="single" w:sz="4" w:space="0" w:color="448A99"/>
            </w:tcBorders>
            <w:shd w:val="clear" w:color="000000" w:fill="D2EAF1"/>
            <w:vAlign w:val="center"/>
            <w:hideMark/>
          </w:tcPr>
          <w:p w:rsidR="00E4546E" w:rsidRPr="00B75B77" w:rsidRDefault="00E4546E"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130</w:t>
            </w:r>
          </w:p>
        </w:tc>
        <w:tc>
          <w:tcPr>
            <w:tcW w:w="1150" w:type="dxa"/>
            <w:tcBorders>
              <w:top w:val="nil"/>
              <w:left w:val="nil"/>
              <w:bottom w:val="single" w:sz="4" w:space="0" w:color="448A99"/>
              <w:right w:val="single" w:sz="4" w:space="0" w:color="448A99"/>
            </w:tcBorders>
            <w:shd w:val="clear" w:color="000000" w:fill="D2EAF1"/>
            <w:vAlign w:val="center"/>
            <w:hideMark/>
          </w:tcPr>
          <w:p w:rsidR="00E4546E" w:rsidRPr="00B75B77" w:rsidRDefault="00E4546E"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37%</w:t>
            </w:r>
          </w:p>
        </w:tc>
        <w:tc>
          <w:tcPr>
            <w:tcW w:w="1075" w:type="dxa"/>
            <w:tcBorders>
              <w:top w:val="nil"/>
              <w:left w:val="nil"/>
              <w:bottom w:val="single" w:sz="4" w:space="0" w:color="448A99"/>
              <w:right w:val="single" w:sz="4" w:space="0" w:color="448A99"/>
            </w:tcBorders>
            <w:shd w:val="clear" w:color="000000" w:fill="D2EAF1"/>
            <w:vAlign w:val="center"/>
            <w:hideMark/>
          </w:tcPr>
          <w:p w:rsidR="00E4546E" w:rsidRPr="00B75B77" w:rsidRDefault="00093474" w:rsidP="00E4546E">
            <w:pPr>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Process </w:t>
            </w:r>
            <w:r w:rsidR="00AE0F3F" w:rsidRPr="00B75B77">
              <w:rPr>
                <w:rFonts w:ascii="Calibri" w:eastAsia="Times New Roman" w:hAnsi="Calibri"/>
                <w:color w:val="000000"/>
                <w:sz w:val="18"/>
                <w:szCs w:val="18"/>
              </w:rPr>
              <w:t>e</w:t>
            </w:r>
            <w:r w:rsidRPr="00B75B77">
              <w:rPr>
                <w:rFonts w:ascii="Calibri" w:eastAsia="Times New Roman" w:hAnsi="Calibri"/>
                <w:color w:val="000000"/>
                <w:sz w:val="18"/>
                <w:szCs w:val="18"/>
              </w:rPr>
              <w:t>valuation</w:t>
            </w:r>
          </w:p>
        </w:tc>
      </w:tr>
      <w:tr w:rsidR="00E4546E" w:rsidRPr="00B75B77" w:rsidTr="00E4546E">
        <w:trPr>
          <w:divId w:val="1741903315"/>
          <w:trHeight w:val="288"/>
          <w:jc w:val="center"/>
        </w:trPr>
        <w:tc>
          <w:tcPr>
            <w:tcW w:w="1885" w:type="dxa"/>
            <w:tcBorders>
              <w:top w:val="nil"/>
              <w:left w:val="single" w:sz="4" w:space="0" w:color="448A99"/>
              <w:bottom w:val="single" w:sz="4" w:space="0" w:color="448A99"/>
              <w:right w:val="single" w:sz="4" w:space="0" w:color="448A99"/>
            </w:tcBorders>
            <w:shd w:val="clear" w:color="000000" w:fill="FFFFFF"/>
            <w:vAlign w:val="center"/>
            <w:hideMark/>
          </w:tcPr>
          <w:p w:rsidR="00E4546E" w:rsidRPr="00B75B77" w:rsidRDefault="00E4546E" w:rsidP="00751A38">
            <w:pPr>
              <w:rPr>
                <w:rFonts w:ascii="Calibri" w:eastAsia="Times New Roman" w:hAnsi="Calibri"/>
                <w:bCs/>
                <w:color w:val="000000"/>
                <w:sz w:val="18"/>
                <w:szCs w:val="18"/>
              </w:rPr>
            </w:pPr>
            <w:r w:rsidRPr="00B75B77">
              <w:rPr>
                <w:rFonts w:ascii="Calibri" w:eastAsia="Times New Roman" w:hAnsi="Calibri"/>
                <w:bCs/>
                <w:color w:val="000000"/>
                <w:sz w:val="18"/>
                <w:szCs w:val="18"/>
              </w:rPr>
              <w:t>Program Manager</w:t>
            </w:r>
          </w:p>
        </w:tc>
        <w:tc>
          <w:tcPr>
            <w:tcW w:w="1080" w:type="dxa"/>
            <w:tcBorders>
              <w:top w:val="nil"/>
              <w:left w:val="nil"/>
              <w:bottom w:val="single" w:sz="4" w:space="0" w:color="448A99"/>
              <w:right w:val="single" w:sz="4" w:space="0" w:color="448A99"/>
            </w:tcBorders>
            <w:shd w:val="clear" w:color="000000" w:fill="FFFFFF"/>
            <w:vAlign w:val="center"/>
            <w:hideMark/>
          </w:tcPr>
          <w:p w:rsidR="00E4546E" w:rsidRPr="00B75B77" w:rsidRDefault="00E4546E"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1</w:t>
            </w:r>
          </w:p>
        </w:tc>
        <w:tc>
          <w:tcPr>
            <w:tcW w:w="1080" w:type="dxa"/>
            <w:tcBorders>
              <w:top w:val="nil"/>
              <w:left w:val="nil"/>
              <w:bottom w:val="single" w:sz="4" w:space="0" w:color="448A99"/>
              <w:right w:val="single" w:sz="4" w:space="0" w:color="448A99"/>
            </w:tcBorders>
            <w:shd w:val="clear" w:color="000000" w:fill="FFFFFF"/>
            <w:vAlign w:val="center"/>
            <w:hideMark/>
          </w:tcPr>
          <w:p w:rsidR="00E4546E" w:rsidRPr="00B75B77" w:rsidRDefault="00E4546E"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080" w:type="dxa"/>
            <w:tcBorders>
              <w:top w:val="nil"/>
              <w:left w:val="nil"/>
              <w:bottom w:val="single" w:sz="4" w:space="0" w:color="448A99"/>
              <w:right w:val="single" w:sz="4" w:space="0" w:color="448A99"/>
            </w:tcBorders>
            <w:shd w:val="clear" w:color="000000" w:fill="FFFFFF"/>
            <w:vAlign w:val="center"/>
            <w:hideMark/>
          </w:tcPr>
          <w:p w:rsidR="00E4546E" w:rsidRPr="00B75B77" w:rsidRDefault="00E4546E"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810" w:type="dxa"/>
            <w:tcBorders>
              <w:top w:val="nil"/>
              <w:left w:val="nil"/>
              <w:bottom w:val="single" w:sz="4" w:space="0" w:color="448A99"/>
              <w:right w:val="single" w:sz="4" w:space="0" w:color="448A99"/>
            </w:tcBorders>
            <w:shd w:val="clear" w:color="000000" w:fill="FFFFFF"/>
            <w:vAlign w:val="center"/>
            <w:hideMark/>
          </w:tcPr>
          <w:p w:rsidR="00E4546E" w:rsidRPr="00B75B77" w:rsidRDefault="00E4546E"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1</w:t>
            </w:r>
          </w:p>
        </w:tc>
        <w:tc>
          <w:tcPr>
            <w:tcW w:w="990" w:type="dxa"/>
            <w:tcBorders>
              <w:top w:val="nil"/>
              <w:left w:val="nil"/>
              <w:bottom w:val="single" w:sz="4" w:space="0" w:color="448A99"/>
              <w:right w:val="single" w:sz="4" w:space="0" w:color="448A99"/>
            </w:tcBorders>
            <w:shd w:val="clear" w:color="000000" w:fill="FFFFFF"/>
            <w:vAlign w:val="center"/>
            <w:hideMark/>
          </w:tcPr>
          <w:p w:rsidR="00E4546E" w:rsidRPr="00B75B77" w:rsidRDefault="00E4546E"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1</w:t>
            </w:r>
          </w:p>
        </w:tc>
        <w:tc>
          <w:tcPr>
            <w:tcW w:w="1150" w:type="dxa"/>
            <w:tcBorders>
              <w:top w:val="nil"/>
              <w:left w:val="nil"/>
              <w:bottom w:val="single" w:sz="4" w:space="0" w:color="448A99"/>
              <w:right w:val="single" w:sz="4" w:space="0" w:color="448A99"/>
            </w:tcBorders>
            <w:shd w:val="clear" w:color="000000" w:fill="FFFFFF"/>
            <w:vAlign w:val="center"/>
            <w:hideMark/>
          </w:tcPr>
          <w:p w:rsidR="00E4546E" w:rsidRPr="00B75B77" w:rsidRDefault="00E4546E"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100%</w:t>
            </w:r>
          </w:p>
        </w:tc>
        <w:tc>
          <w:tcPr>
            <w:tcW w:w="1075" w:type="dxa"/>
            <w:tcBorders>
              <w:top w:val="nil"/>
              <w:left w:val="nil"/>
              <w:bottom w:val="single" w:sz="4" w:space="0" w:color="448A99"/>
              <w:right w:val="single" w:sz="4" w:space="0" w:color="448A99"/>
            </w:tcBorders>
            <w:shd w:val="clear" w:color="000000" w:fill="FFFFFF"/>
            <w:vAlign w:val="center"/>
            <w:hideMark/>
          </w:tcPr>
          <w:p w:rsidR="00E4546E" w:rsidRPr="00B75B77" w:rsidRDefault="00093474" w:rsidP="00E4546E">
            <w:pPr>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Process </w:t>
            </w:r>
            <w:r w:rsidR="00AE0F3F" w:rsidRPr="00B75B77">
              <w:rPr>
                <w:rFonts w:ascii="Calibri" w:eastAsia="Times New Roman" w:hAnsi="Calibri"/>
                <w:color w:val="000000"/>
                <w:sz w:val="18"/>
                <w:szCs w:val="18"/>
              </w:rPr>
              <w:t>e</w:t>
            </w:r>
            <w:r w:rsidRPr="00B75B77">
              <w:rPr>
                <w:rFonts w:ascii="Calibri" w:eastAsia="Times New Roman" w:hAnsi="Calibri"/>
                <w:color w:val="000000"/>
                <w:sz w:val="18"/>
                <w:szCs w:val="18"/>
              </w:rPr>
              <w:t>valuation</w:t>
            </w:r>
          </w:p>
        </w:tc>
      </w:tr>
      <w:tr w:rsidR="00E4546E" w:rsidRPr="00B75B77" w:rsidTr="00E4546E">
        <w:trPr>
          <w:divId w:val="1741903315"/>
          <w:trHeight w:val="288"/>
          <w:jc w:val="center"/>
        </w:trPr>
        <w:tc>
          <w:tcPr>
            <w:tcW w:w="1885" w:type="dxa"/>
            <w:tcBorders>
              <w:top w:val="nil"/>
              <w:left w:val="single" w:sz="4" w:space="0" w:color="448A99"/>
              <w:bottom w:val="single" w:sz="4" w:space="0" w:color="448A99"/>
              <w:right w:val="single" w:sz="4" w:space="0" w:color="448A99"/>
            </w:tcBorders>
            <w:shd w:val="clear" w:color="000000" w:fill="D2EAF1"/>
            <w:vAlign w:val="center"/>
            <w:hideMark/>
          </w:tcPr>
          <w:p w:rsidR="00E4546E" w:rsidRPr="00B75B77" w:rsidRDefault="00E4546E" w:rsidP="00E44910">
            <w:pPr>
              <w:rPr>
                <w:rFonts w:ascii="Calibri" w:eastAsia="Times New Roman" w:hAnsi="Calibri"/>
                <w:bCs/>
                <w:color w:val="000000"/>
                <w:sz w:val="18"/>
                <w:szCs w:val="18"/>
              </w:rPr>
            </w:pPr>
            <w:r w:rsidRPr="00B75B77">
              <w:rPr>
                <w:rFonts w:ascii="Calibri" w:eastAsia="Times New Roman" w:hAnsi="Calibri"/>
                <w:bCs/>
                <w:color w:val="000000"/>
                <w:sz w:val="18"/>
                <w:szCs w:val="18"/>
              </w:rPr>
              <w:t xml:space="preserve">Program </w:t>
            </w:r>
            <w:r w:rsidR="00E44910" w:rsidRPr="00B75B77">
              <w:rPr>
                <w:rFonts w:ascii="Calibri" w:eastAsia="Times New Roman" w:hAnsi="Calibri"/>
                <w:bCs/>
                <w:color w:val="000000"/>
                <w:sz w:val="18"/>
                <w:szCs w:val="18"/>
              </w:rPr>
              <w:t>CSP</w:t>
            </w:r>
          </w:p>
        </w:tc>
        <w:tc>
          <w:tcPr>
            <w:tcW w:w="1080" w:type="dxa"/>
            <w:tcBorders>
              <w:top w:val="nil"/>
              <w:left w:val="nil"/>
              <w:bottom w:val="single" w:sz="4" w:space="0" w:color="448A99"/>
              <w:right w:val="single" w:sz="4" w:space="0" w:color="448A99"/>
            </w:tcBorders>
            <w:shd w:val="clear" w:color="000000" w:fill="D2EAF1"/>
            <w:vAlign w:val="center"/>
            <w:hideMark/>
          </w:tcPr>
          <w:p w:rsidR="00E4546E" w:rsidRPr="00B75B77" w:rsidRDefault="00E4546E"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1</w:t>
            </w:r>
          </w:p>
        </w:tc>
        <w:tc>
          <w:tcPr>
            <w:tcW w:w="1080" w:type="dxa"/>
            <w:tcBorders>
              <w:top w:val="nil"/>
              <w:left w:val="nil"/>
              <w:bottom w:val="single" w:sz="4" w:space="0" w:color="448A99"/>
              <w:right w:val="single" w:sz="4" w:space="0" w:color="448A99"/>
            </w:tcBorders>
            <w:shd w:val="clear" w:color="000000" w:fill="D2EAF1"/>
            <w:vAlign w:val="center"/>
            <w:hideMark/>
          </w:tcPr>
          <w:p w:rsidR="00E4546E" w:rsidRPr="00B75B77" w:rsidRDefault="00E4546E"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080" w:type="dxa"/>
            <w:tcBorders>
              <w:top w:val="nil"/>
              <w:left w:val="nil"/>
              <w:bottom w:val="single" w:sz="4" w:space="0" w:color="448A99"/>
              <w:right w:val="single" w:sz="4" w:space="0" w:color="448A99"/>
            </w:tcBorders>
            <w:shd w:val="clear" w:color="000000" w:fill="D2EAF1"/>
            <w:vAlign w:val="center"/>
            <w:hideMark/>
          </w:tcPr>
          <w:p w:rsidR="00E4546E" w:rsidRPr="00B75B77" w:rsidRDefault="00E4546E"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810" w:type="dxa"/>
            <w:tcBorders>
              <w:top w:val="nil"/>
              <w:left w:val="nil"/>
              <w:bottom w:val="single" w:sz="4" w:space="0" w:color="448A99"/>
              <w:right w:val="single" w:sz="4" w:space="0" w:color="448A99"/>
            </w:tcBorders>
            <w:shd w:val="clear" w:color="000000" w:fill="D2EAF1"/>
            <w:vAlign w:val="center"/>
            <w:hideMark/>
          </w:tcPr>
          <w:p w:rsidR="00E4546E" w:rsidRPr="00B75B77" w:rsidRDefault="00E4546E"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1</w:t>
            </w:r>
          </w:p>
        </w:tc>
        <w:tc>
          <w:tcPr>
            <w:tcW w:w="990" w:type="dxa"/>
            <w:tcBorders>
              <w:top w:val="nil"/>
              <w:left w:val="nil"/>
              <w:bottom w:val="single" w:sz="4" w:space="0" w:color="448A99"/>
              <w:right w:val="single" w:sz="4" w:space="0" w:color="448A99"/>
            </w:tcBorders>
            <w:shd w:val="clear" w:color="000000" w:fill="D2EAF1"/>
            <w:vAlign w:val="center"/>
            <w:hideMark/>
          </w:tcPr>
          <w:p w:rsidR="00E4546E" w:rsidRPr="00B75B77" w:rsidRDefault="00E4546E"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1</w:t>
            </w:r>
          </w:p>
        </w:tc>
        <w:tc>
          <w:tcPr>
            <w:tcW w:w="1150" w:type="dxa"/>
            <w:tcBorders>
              <w:top w:val="nil"/>
              <w:left w:val="nil"/>
              <w:bottom w:val="single" w:sz="4" w:space="0" w:color="448A99"/>
              <w:right w:val="single" w:sz="4" w:space="0" w:color="448A99"/>
            </w:tcBorders>
            <w:shd w:val="clear" w:color="000000" w:fill="D2EAF1"/>
            <w:vAlign w:val="center"/>
            <w:hideMark/>
          </w:tcPr>
          <w:p w:rsidR="00E4546E" w:rsidRPr="00B75B77" w:rsidRDefault="00E4546E"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100%</w:t>
            </w:r>
          </w:p>
        </w:tc>
        <w:tc>
          <w:tcPr>
            <w:tcW w:w="1075" w:type="dxa"/>
            <w:tcBorders>
              <w:top w:val="nil"/>
              <w:left w:val="nil"/>
              <w:bottom w:val="single" w:sz="4" w:space="0" w:color="448A99"/>
              <w:right w:val="single" w:sz="4" w:space="0" w:color="448A99"/>
            </w:tcBorders>
            <w:shd w:val="clear" w:color="000000" w:fill="D2EAF1"/>
            <w:vAlign w:val="center"/>
            <w:hideMark/>
          </w:tcPr>
          <w:p w:rsidR="00E4546E" w:rsidRPr="00B75B77" w:rsidRDefault="00093474" w:rsidP="00E4546E">
            <w:pPr>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Process </w:t>
            </w:r>
            <w:r w:rsidR="00AE0F3F" w:rsidRPr="00B75B77">
              <w:rPr>
                <w:rFonts w:ascii="Calibri" w:eastAsia="Times New Roman" w:hAnsi="Calibri"/>
                <w:color w:val="000000"/>
                <w:sz w:val="18"/>
                <w:szCs w:val="18"/>
              </w:rPr>
              <w:t>e</w:t>
            </w:r>
            <w:r w:rsidRPr="00B75B77">
              <w:rPr>
                <w:rFonts w:ascii="Calibri" w:eastAsia="Times New Roman" w:hAnsi="Calibri"/>
                <w:color w:val="000000"/>
                <w:sz w:val="18"/>
                <w:szCs w:val="18"/>
              </w:rPr>
              <w:t>valuation</w:t>
            </w:r>
          </w:p>
        </w:tc>
      </w:tr>
      <w:tr w:rsidR="00E4546E" w:rsidRPr="00B75B77" w:rsidTr="00E4546E">
        <w:trPr>
          <w:divId w:val="1741903315"/>
          <w:trHeight w:val="288"/>
          <w:jc w:val="center"/>
        </w:trPr>
        <w:tc>
          <w:tcPr>
            <w:tcW w:w="1885" w:type="dxa"/>
            <w:tcBorders>
              <w:top w:val="nil"/>
              <w:left w:val="single" w:sz="4" w:space="0" w:color="448A99"/>
              <w:bottom w:val="single" w:sz="4" w:space="0" w:color="448A99"/>
              <w:right w:val="single" w:sz="4" w:space="0" w:color="448A99"/>
            </w:tcBorders>
            <w:shd w:val="clear" w:color="000000" w:fill="FFFFFF"/>
            <w:vAlign w:val="center"/>
            <w:hideMark/>
          </w:tcPr>
          <w:p w:rsidR="00E4546E" w:rsidRPr="00B75B77" w:rsidRDefault="00E4546E" w:rsidP="00751A38">
            <w:pPr>
              <w:jc w:val="left"/>
              <w:rPr>
                <w:rFonts w:ascii="Calibri" w:eastAsia="Times New Roman" w:hAnsi="Calibri"/>
                <w:b/>
                <w:color w:val="000000"/>
                <w:sz w:val="18"/>
                <w:szCs w:val="18"/>
              </w:rPr>
            </w:pPr>
            <w:r w:rsidRPr="00B75B77">
              <w:rPr>
                <w:rFonts w:ascii="Calibri" w:eastAsia="Times New Roman" w:hAnsi="Calibri"/>
                <w:b/>
                <w:color w:val="000000"/>
                <w:sz w:val="18"/>
                <w:szCs w:val="18"/>
              </w:rPr>
              <w:t>PROGRAM TOTAL</w:t>
            </w:r>
          </w:p>
        </w:tc>
        <w:tc>
          <w:tcPr>
            <w:tcW w:w="1080" w:type="dxa"/>
            <w:tcBorders>
              <w:top w:val="nil"/>
              <w:left w:val="nil"/>
              <w:bottom w:val="single" w:sz="4" w:space="0" w:color="448A99"/>
              <w:right w:val="single" w:sz="4" w:space="0" w:color="448A99"/>
            </w:tcBorders>
            <w:shd w:val="clear" w:color="000000" w:fill="FFFFFF"/>
            <w:vAlign w:val="center"/>
            <w:hideMark/>
          </w:tcPr>
          <w:p w:rsidR="00E4546E" w:rsidRPr="00B75B77" w:rsidRDefault="00EC7E3B" w:rsidP="00751A38">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4,708</w:t>
            </w:r>
          </w:p>
        </w:tc>
        <w:tc>
          <w:tcPr>
            <w:tcW w:w="1080" w:type="dxa"/>
            <w:tcBorders>
              <w:top w:val="nil"/>
              <w:left w:val="nil"/>
              <w:bottom w:val="single" w:sz="4" w:space="0" w:color="448A99"/>
              <w:right w:val="single" w:sz="4" w:space="0" w:color="448A99"/>
            </w:tcBorders>
            <w:shd w:val="clear" w:color="000000" w:fill="FFFFFF"/>
            <w:vAlign w:val="center"/>
            <w:hideMark/>
          </w:tcPr>
          <w:p w:rsidR="00E4546E" w:rsidRPr="00B75B77" w:rsidRDefault="00E4546E" w:rsidP="00751A38">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 </w:t>
            </w:r>
            <w:r w:rsidR="009D5AFB" w:rsidRPr="00B75B77">
              <w:rPr>
                <w:rFonts w:ascii="Calibri" w:eastAsia="Times New Roman" w:hAnsi="Calibri"/>
                <w:b/>
                <w:bCs/>
                <w:color w:val="000000"/>
                <w:sz w:val="18"/>
                <w:szCs w:val="18"/>
              </w:rPr>
              <w:t>N/A</w:t>
            </w:r>
          </w:p>
        </w:tc>
        <w:tc>
          <w:tcPr>
            <w:tcW w:w="1080" w:type="dxa"/>
            <w:tcBorders>
              <w:top w:val="nil"/>
              <w:left w:val="nil"/>
              <w:bottom w:val="single" w:sz="4" w:space="0" w:color="448A99"/>
              <w:right w:val="single" w:sz="4" w:space="0" w:color="448A99"/>
            </w:tcBorders>
            <w:shd w:val="clear" w:color="000000" w:fill="FFFFFF"/>
            <w:vAlign w:val="center"/>
            <w:hideMark/>
          </w:tcPr>
          <w:p w:rsidR="00E4546E" w:rsidRPr="00B75B77" w:rsidRDefault="009D5AFB" w:rsidP="00751A38">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N/A</w:t>
            </w:r>
            <w:r w:rsidR="00E4546E" w:rsidRPr="00B75B77">
              <w:rPr>
                <w:rFonts w:ascii="Calibri" w:eastAsia="Times New Roman" w:hAnsi="Calibri"/>
                <w:b/>
                <w:bCs/>
                <w:color w:val="000000"/>
                <w:sz w:val="18"/>
                <w:szCs w:val="18"/>
              </w:rPr>
              <w:t> </w:t>
            </w:r>
          </w:p>
        </w:tc>
        <w:tc>
          <w:tcPr>
            <w:tcW w:w="810" w:type="dxa"/>
            <w:tcBorders>
              <w:top w:val="nil"/>
              <w:left w:val="nil"/>
              <w:bottom w:val="single" w:sz="4" w:space="0" w:color="448A99"/>
              <w:right w:val="single" w:sz="4" w:space="0" w:color="448A99"/>
            </w:tcBorders>
            <w:shd w:val="clear" w:color="000000" w:fill="FFFFFF"/>
            <w:vAlign w:val="center"/>
            <w:hideMark/>
          </w:tcPr>
          <w:p w:rsidR="00E4546E" w:rsidRPr="00B75B77" w:rsidRDefault="00E4546E" w:rsidP="00751A38">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132</w:t>
            </w:r>
          </w:p>
        </w:tc>
        <w:tc>
          <w:tcPr>
            <w:tcW w:w="990" w:type="dxa"/>
            <w:tcBorders>
              <w:top w:val="nil"/>
              <w:left w:val="nil"/>
              <w:bottom w:val="single" w:sz="4" w:space="0" w:color="448A99"/>
              <w:right w:val="single" w:sz="4" w:space="0" w:color="448A99"/>
            </w:tcBorders>
            <w:shd w:val="clear" w:color="000000" w:fill="FFFFFF"/>
            <w:vAlign w:val="center"/>
            <w:hideMark/>
          </w:tcPr>
          <w:p w:rsidR="00E4546E" w:rsidRPr="00B75B77" w:rsidRDefault="00E4546E" w:rsidP="00751A38">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132</w:t>
            </w:r>
          </w:p>
        </w:tc>
        <w:tc>
          <w:tcPr>
            <w:tcW w:w="1150" w:type="dxa"/>
            <w:tcBorders>
              <w:top w:val="nil"/>
              <w:left w:val="nil"/>
              <w:bottom w:val="single" w:sz="4" w:space="0" w:color="448A99"/>
              <w:right w:val="single" w:sz="4" w:space="0" w:color="448A99"/>
            </w:tcBorders>
            <w:shd w:val="clear" w:color="000000" w:fill="FFFFFF"/>
            <w:vAlign w:val="center"/>
            <w:hideMark/>
          </w:tcPr>
          <w:p w:rsidR="00E4546E" w:rsidRPr="00B75B77" w:rsidRDefault="009D5AFB" w:rsidP="00751A38">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N/A</w:t>
            </w:r>
            <w:r w:rsidR="00E4546E" w:rsidRPr="00B75B77">
              <w:rPr>
                <w:rFonts w:ascii="Calibri" w:eastAsia="Times New Roman" w:hAnsi="Calibri"/>
                <w:b/>
                <w:bCs/>
                <w:color w:val="000000"/>
                <w:sz w:val="18"/>
                <w:szCs w:val="18"/>
              </w:rPr>
              <w:t> </w:t>
            </w:r>
          </w:p>
        </w:tc>
        <w:tc>
          <w:tcPr>
            <w:tcW w:w="1075" w:type="dxa"/>
            <w:tcBorders>
              <w:top w:val="nil"/>
              <w:left w:val="nil"/>
              <w:bottom w:val="single" w:sz="4" w:space="0" w:color="448A99"/>
              <w:right w:val="single" w:sz="4" w:space="0" w:color="448A99"/>
            </w:tcBorders>
            <w:shd w:val="clear" w:color="auto" w:fill="auto"/>
            <w:vAlign w:val="center"/>
            <w:hideMark/>
          </w:tcPr>
          <w:p w:rsidR="00E4546E" w:rsidRPr="00B75B77" w:rsidRDefault="009D5AFB" w:rsidP="00751A38">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N/A</w:t>
            </w:r>
            <w:r w:rsidR="00E4546E" w:rsidRPr="00B75B77">
              <w:rPr>
                <w:rFonts w:ascii="Calibri" w:eastAsia="Times New Roman" w:hAnsi="Calibri"/>
                <w:b/>
                <w:bCs/>
                <w:color w:val="000000"/>
                <w:sz w:val="18"/>
                <w:szCs w:val="18"/>
              </w:rPr>
              <w:t> </w:t>
            </w:r>
          </w:p>
        </w:tc>
      </w:tr>
    </w:tbl>
    <w:p w:rsidR="00E4546E" w:rsidRPr="00B75B77" w:rsidRDefault="00E4546E" w:rsidP="00E4546E">
      <w:pPr>
        <w:pStyle w:val="Source"/>
        <w:keepNext/>
        <w:spacing w:before="20" w:after="20"/>
        <w:ind w:left="270" w:firstLine="0"/>
        <w:rPr>
          <w:i w:val="0"/>
        </w:rPr>
      </w:pPr>
      <w:r w:rsidRPr="00B75B77">
        <w:rPr>
          <w:i w:val="0"/>
        </w:rPr>
        <w:lastRenderedPageBreak/>
        <w:t xml:space="preserve">Note: </w:t>
      </w:r>
      <w:r w:rsidRPr="00B75B77">
        <w:rPr>
          <w:rFonts w:ascii="Calibri" w:hAnsi="Calibri"/>
          <w:i w:val="0"/>
          <w:iCs/>
          <w:color w:val="000000"/>
          <w:szCs w:val="18"/>
        </w:rPr>
        <w:t>Values in tables may not reconcile exactly with the sum of more detailed level results or previously reported results due to rounding.</w:t>
      </w:r>
    </w:p>
    <w:p w:rsidR="00751A38" w:rsidRPr="00B75B77" w:rsidRDefault="00751A38" w:rsidP="00E4546E">
      <w:pPr>
        <w:pStyle w:val="Source"/>
        <w:keepNext/>
        <w:ind w:left="270" w:firstLine="0"/>
      </w:pPr>
      <w:r w:rsidRPr="00B75B77">
        <w:t>Source: Navigant analysis</w:t>
      </w:r>
    </w:p>
    <w:p w:rsidR="00751A38" w:rsidRPr="00B75B77" w:rsidRDefault="00751A38" w:rsidP="0015550B">
      <w:pPr>
        <w:pStyle w:val="Heading3"/>
        <w:keepNext/>
      </w:pPr>
      <w:bookmarkStart w:id="335" w:name="_Toc466413299"/>
      <w:r w:rsidRPr="00B75B77">
        <w:rPr>
          <w:rStyle w:val="Heading3Char"/>
          <w:b/>
        </w:rPr>
        <w:t>Proces</w:t>
      </w:r>
      <w:r w:rsidRPr="00B75B77">
        <w:t>s</w:t>
      </w:r>
      <w:r w:rsidRPr="00B75B77">
        <w:rPr>
          <w:rStyle w:val="Heading3Char"/>
          <w:b/>
        </w:rPr>
        <w:t xml:space="preserve"> Findings and Recommendations</w:t>
      </w:r>
      <w:bookmarkEnd w:id="335"/>
      <w:r w:rsidRPr="00B75B77">
        <w:t xml:space="preserve">  </w:t>
      </w:r>
    </w:p>
    <w:p w:rsidR="00751A38" w:rsidRPr="00B75B77" w:rsidRDefault="00751A38" w:rsidP="0015550B">
      <w:pPr>
        <w:pStyle w:val="NormalSpacer"/>
        <w:keepNext/>
      </w:pPr>
      <w:r w:rsidRPr="00B75B77">
        <w:t>The process evaluation yielded several findings and potential program improvements. Below are specific recommendations and the associated process evaluation findings on which the recommendations are based.</w:t>
      </w:r>
      <w:r w:rsidRPr="00B75B77">
        <w:rPr>
          <w:rStyle w:val="Heading3Char"/>
        </w:rPr>
        <w:t xml:space="preserve"> </w:t>
      </w:r>
    </w:p>
    <w:p w:rsidR="00751A38" w:rsidRPr="00B75B77" w:rsidRDefault="00751A38" w:rsidP="00751A38"/>
    <w:p w:rsidR="00751A38" w:rsidRPr="00B75B77" w:rsidRDefault="00751A38" w:rsidP="009E08FB">
      <w:pPr>
        <w:pStyle w:val="ListParagraph"/>
        <w:numPr>
          <w:ilvl w:val="0"/>
          <w:numId w:val="37"/>
        </w:numPr>
      </w:pPr>
      <w:r w:rsidRPr="00B75B77">
        <w:rPr>
          <w:b/>
        </w:rPr>
        <w:t xml:space="preserve">Finding: </w:t>
      </w:r>
      <w:r w:rsidRPr="00B75B77">
        <w:t xml:space="preserve">Customer satisfaction was high in PY7 and </w:t>
      </w:r>
      <w:r w:rsidR="0009500C" w:rsidRPr="00B75B77">
        <w:t>96%</w:t>
      </w:r>
      <w:r w:rsidRPr="00B75B77">
        <w:t xml:space="preserve"> of participants noted that they would recommend the SHC program to others. When asked to rate several elements of the program on a scale of 1 to 5</w:t>
      </w:r>
      <w:r w:rsidR="00996B00" w:rsidRPr="00B75B77">
        <w:t>,</w:t>
      </w:r>
      <w:r w:rsidRPr="00B75B77">
        <w:t xml:space="preserve"> where 1 is “</w:t>
      </w:r>
      <w:r w:rsidR="00996B00" w:rsidRPr="00B75B77">
        <w:t>N</w:t>
      </w:r>
      <w:r w:rsidRPr="00B75B77">
        <w:t>ot satisfied” and 5 is “</w:t>
      </w:r>
      <w:r w:rsidR="00996B00" w:rsidRPr="00B75B77">
        <w:t>E</w:t>
      </w:r>
      <w:r w:rsidRPr="00B75B77">
        <w:t>xtremely satisfied</w:t>
      </w:r>
      <w:r w:rsidR="00996B00" w:rsidRPr="00B75B77">
        <w:t>,</w:t>
      </w:r>
      <w:r w:rsidRPr="00B75B77">
        <w:t xml:space="preserve">” program participants reported high rates of customer satisfaction with the SHC program, as shown in </w:t>
      </w:r>
      <w:r w:rsidRPr="00B75B77">
        <w:fldChar w:fldCharType="begin"/>
      </w:r>
      <w:r w:rsidRPr="00B75B77">
        <w:instrText xml:space="preserve"> REF _Ref463090963 \h </w:instrText>
      </w:r>
      <w:r w:rsidR="00996B00" w:rsidRPr="00B75B77">
        <w:instrText xml:space="preserve"> \* MERGEFORMAT </w:instrText>
      </w:r>
      <w:r w:rsidRPr="00B75B77">
        <w:fldChar w:fldCharType="separate"/>
      </w:r>
      <w:r w:rsidR="0004016D" w:rsidRPr="00B75B77">
        <w:t xml:space="preserve">Figure </w:t>
      </w:r>
      <w:r w:rsidR="0004016D">
        <w:rPr>
          <w:noProof/>
        </w:rPr>
        <w:t>3</w:t>
      </w:r>
      <w:r w:rsidR="0004016D" w:rsidRPr="00B75B77">
        <w:rPr>
          <w:noProof/>
        </w:rPr>
        <w:noBreakHyphen/>
      </w:r>
      <w:r w:rsidR="0004016D">
        <w:rPr>
          <w:noProof/>
        </w:rPr>
        <w:t>2</w:t>
      </w:r>
      <w:r w:rsidRPr="00B75B77">
        <w:fldChar w:fldCharType="end"/>
      </w:r>
      <w:r w:rsidRPr="00B75B77">
        <w:t>.</w:t>
      </w:r>
      <w:r w:rsidRPr="00B75B77">
        <w:rPr>
          <w:b/>
        </w:rPr>
        <w:t xml:space="preserve"> </w:t>
      </w:r>
    </w:p>
    <w:p w:rsidR="00751A38" w:rsidRPr="00B75B77" w:rsidRDefault="00751A38" w:rsidP="00751A38">
      <w:pPr>
        <w:pStyle w:val="ListParagraph"/>
      </w:pPr>
    </w:p>
    <w:p w:rsidR="00751A38" w:rsidRPr="00B75B77" w:rsidRDefault="00751A38" w:rsidP="0015550B">
      <w:pPr>
        <w:pStyle w:val="Caption"/>
      </w:pPr>
      <w:bookmarkStart w:id="336" w:name="_Ref463090963"/>
      <w:bookmarkStart w:id="337" w:name="_Toc466413670"/>
      <w:r w:rsidRPr="00B75B77">
        <w:t xml:space="preserve">Figure </w:t>
      </w:r>
      <w:fldSimple w:instr=" STYLEREF 1 \s ">
        <w:r w:rsidR="0004016D">
          <w:rPr>
            <w:noProof/>
          </w:rPr>
          <w:t>3</w:t>
        </w:r>
      </w:fldSimple>
      <w:r w:rsidR="00BA3BA9" w:rsidRPr="00B75B77">
        <w:noBreakHyphen/>
      </w:r>
      <w:fldSimple w:instr=" SEQ Figure \* ARABIC \s 1 ">
        <w:r w:rsidR="0004016D">
          <w:rPr>
            <w:noProof/>
          </w:rPr>
          <w:t>2</w:t>
        </w:r>
      </w:fldSimple>
      <w:bookmarkEnd w:id="336"/>
      <w:r w:rsidR="0009500C" w:rsidRPr="00B75B77">
        <w:t>:</w:t>
      </w:r>
      <w:r w:rsidRPr="00B75B77">
        <w:t xml:space="preserve"> Customer Satisfaction with Elements of the SHC Program (n=130)</w:t>
      </w:r>
      <w:bookmarkEnd w:id="337"/>
    </w:p>
    <w:p w:rsidR="00751A38" w:rsidRPr="00B75B77" w:rsidRDefault="00751A38" w:rsidP="0015550B">
      <w:pPr>
        <w:ind w:left="720"/>
        <w:jc w:val="center"/>
      </w:pPr>
      <w:r w:rsidRPr="00B75B77">
        <w:rPr>
          <w:noProof/>
        </w:rPr>
        <w:drawing>
          <wp:inline distT="0" distB="0" distL="0" distR="0" wp14:anchorId="1615DF8D" wp14:editId="602DD573">
            <wp:extent cx="5486400" cy="3200400"/>
            <wp:effectExtent l="0" t="0" r="0" b="0"/>
            <wp:docPr id="294" name="Chart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83F2F" w:rsidRPr="00B75B77" w:rsidRDefault="00483F2F" w:rsidP="0015550B">
      <w:pPr>
        <w:pStyle w:val="Source"/>
        <w:ind w:left="1800"/>
      </w:pPr>
      <w:r w:rsidRPr="00B75B77">
        <w:t xml:space="preserve">Source: </w:t>
      </w:r>
      <w:r w:rsidR="00464189" w:rsidRPr="00B75B77">
        <w:t>Navigant</w:t>
      </w:r>
      <w:r w:rsidRPr="00B75B77">
        <w:t xml:space="preserve"> analysis</w:t>
      </w:r>
      <w:r w:rsidR="00464189" w:rsidRPr="00B75B77">
        <w:t xml:space="preserve"> of</w:t>
      </w:r>
      <w:r w:rsidR="00A36947" w:rsidRPr="00B75B77">
        <w:t xml:space="preserve"> participant</w:t>
      </w:r>
      <w:r w:rsidR="00464189" w:rsidRPr="00B75B77">
        <w:t xml:space="preserve"> survey responses </w:t>
      </w:r>
    </w:p>
    <w:p w:rsidR="00996B00" w:rsidRPr="00B75B77" w:rsidRDefault="00751A38" w:rsidP="00F10287">
      <w:pPr>
        <w:spacing w:after="120"/>
        <w:ind w:left="720"/>
      </w:pPr>
      <w:r w:rsidRPr="00B75B77">
        <w:t xml:space="preserve">While overall satisfaction with the program and its individual components </w:t>
      </w:r>
      <w:r w:rsidR="00996B00" w:rsidRPr="00B75B77">
        <w:t>wa</w:t>
      </w:r>
      <w:r w:rsidRPr="00B75B77">
        <w:t xml:space="preserve">s high, there is potential value to be gained from exploring specific areas of low satisfaction. </w:t>
      </w:r>
      <w:r w:rsidR="00F10287" w:rsidRPr="00B75B77">
        <w:t>The evaluation team asked p</w:t>
      </w:r>
      <w:r w:rsidRPr="00B75B77">
        <w:t xml:space="preserve">articipants who gave a rating of </w:t>
      </w:r>
      <w:r w:rsidR="00996B00" w:rsidRPr="00B75B77">
        <w:t>3</w:t>
      </w:r>
      <w:r w:rsidRPr="00B75B77">
        <w:t xml:space="preserve"> or less to explain their reason for the low rating, and the primary reasons that participants provided </w:t>
      </w:r>
      <w:r w:rsidR="00996B00" w:rsidRPr="00B75B77">
        <w:t>included the following</w:t>
      </w:r>
      <w:r w:rsidRPr="00B75B77">
        <w:t xml:space="preserve">: </w:t>
      </w:r>
    </w:p>
    <w:p w:rsidR="00751A38" w:rsidRPr="00B75B77" w:rsidRDefault="00751A38" w:rsidP="009E08FB">
      <w:pPr>
        <w:pStyle w:val="ListParagraph"/>
        <w:numPr>
          <w:ilvl w:val="0"/>
          <w:numId w:val="38"/>
        </w:numPr>
      </w:pPr>
      <w:r w:rsidRPr="00B75B77">
        <w:t>Several customers did not like how much their water pressure declined after low</w:t>
      </w:r>
      <w:r w:rsidR="00996B00" w:rsidRPr="00B75B77">
        <w:t>-</w:t>
      </w:r>
      <w:r w:rsidRPr="00B75B77">
        <w:t>flow faucet aerators and low</w:t>
      </w:r>
      <w:r w:rsidR="00996B00" w:rsidRPr="00B75B77">
        <w:t>-</w:t>
      </w:r>
      <w:r w:rsidRPr="00B75B77">
        <w:t>flow showerheads were installed</w:t>
      </w:r>
      <w:r w:rsidR="00996B00" w:rsidRPr="00B75B77">
        <w:t>. Additionally,</w:t>
      </w:r>
      <w:r w:rsidRPr="00B75B77">
        <w:t xml:space="preserve"> participants complained that the low</w:t>
      </w:r>
      <w:r w:rsidR="00996B00" w:rsidRPr="00B75B77">
        <w:t>-</w:t>
      </w:r>
      <w:r w:rsidRPr="00B75B77">
        <w:t xml:space="preserve">flow faucet aerators sprayed water on their countertops, creating a mess. </w:t>
      </w:r>
    </w:p>
    <w:p w:rsidR="00751A38" w:rsidRPr="00B75B77" w:rsidRDefault="00751A38" w:rsidP="009E08FB">
      <w:pPr>
        <w:pStyle w:val="ListParagraph"/>
        <w:numPr>
          <w:ilvl w:val="0"/>
          <w:numId w:val="38"/>
        </w:numPr>
      </w:pPr>
      <w:r w:rsidRPr="00B75B77">
        <w:t xml:space="preserve">Participants noted that CFLs and LEDs did not reach full brightness fast enough, and some mentioned that the bulbs did not work well with dimmers. </w:t>
      </w:r>
    </w:p>
    <w:p w:rsidR="00751A38" w:rsidRPr="00B75B77" w:rsidRDefault="00751A38" w:rsidP="009E08FB">
      <w:pPr>
        <w:pStyle w:val="ListParagraph"/>
        <w:numPr>
          <w:ilvl w:val="0"/>
          <w:numId w:val="38"/>
        </w:numPr>
      </w:pPr>
      <w:r w:rsidRPr="00B75B77">
        <w:t xml:space="preserve">Customers complained that their TVs and other entertainment electronics did not function properly when they were all plugged into the same smart strip plug outlet. </w:t>
      </w:r>
    </w:p>
    <w:p w:rsidR="00751A38" w:rsidRPr="00B75B77" w:rsidRDefault="00996B00" w:rsidP="009E08FB">
      <w:pPr>
        <w:pStyle w:val="ListParagraph"/>
        <w:numPr>
          <w:ilvl w:val="0"/>
          <w:numId w:val="38"/>
        </w:numPr>
        <w:spacing w:before="120" w:after="240"/>
      </w:pPr>
      <w:r w:rsidRPr="00B75B77">
        <w:lastRenderedPageBreak/>
        <w:t xml:space="preserve">Several </w:t>
      </w:r>
      <w:r w:rsidR="00751A38" w:rsidRPr="00B75B77">
        <w:t xml:space="preserve">participants reported that they did not see energy savings on their bill as a result of several measures, including ASHP maintenance, ASHP duct sealing, attic/wall insulation, and air sealing. </w:t>
      </w:r>
    </w:p>
    <w:p w:rsidR="00751A38" w:rsidRPr="00B75B77" w:rsidRDefault="00751A38" w:rsidP="009E08FB">
      <w:pPr>
        <w:pStyle w:val="ListParagraph"/>
        <w:numPr>
          <w:ilvl w:val="0"/>
          <w:numId w:val="38"/>
        </w:numPr>
        <w:spacing w:before="120" w:after="120"/>
        <w:contextualSpacing w:val="0"/>
      </w:pPr>
      <w:r w:rsidRPr="00B75B77">
        <w:t>Several customers felt like the information they received did not have enough depth and that they did not learn anything new. Several other customers noted that they felt like the energy advisor did not do a thorough job during the home visit a</w:t>
      </w:r>
      <w:r w:rsidR="00464189" w:rsidRPr="00B75B77">
        <w:t>nd follow</w:t>
      </w:r>
      <w:r w:rsidR="00996B00" w:rsidRPr="00B75B77">
        <w:t xml:space="preserve"> </w:t>
      </w:r>
      <w:r w:rsidRPr="00B75B77">
        <w:t>up.</w:t>
      </w:r>
    </w:p>
    <w:p w:rsidR="00751A38" w:rsidRPr="00B75B77" w:rsidRDefault="00751A38" w:rsidP="00403110">
      <w:pPr>
        <w:spacing w:before="120" w:after="120"/>
        <w:ind w:left="720"/>
      </w:pPr>
      <w:r w:rsidRPr="00B75B77">
        <w:t>Additionally, nearly all audit-level interview respondents were satisfied with the audit report that they received following their home visit. With the exception of a handful of respondents, those who received the audit report reported that they found it to be useful and that they felt like the energy advisors explained the results of the audit “extremely well.” Participants reported a number of reasons why they thought the audit report was useful, but noted that the primary benefits were the energy savings recommendations (59</w:t>
      </w:r>
      <w:r w:rsidR="0009500C" w:rsidRPr="00B75B77">
        <w:t>%</w:t>
      </w:r>
      <w:r w:rsidRPr="00B75B77">
        <w:t>, n=130) and estimated energy losses and uses throughout their homes (36</w:t>
      </w:r>
      <w:r w:rsidR="0009500C" w:rsidRPr="00B75B77">
        <w:t>%</w:t>
      </w:r>
      <w:r w:rsidRPr="00B75B77">
        <w:t>, n=130).</w:t>
      </w:r>
    </w:p>
    <w:p w:rsidR="00751A38" w:rsidRPr="00B75B77" w:rsidRDefault="00751A38" w:rsidP="009E08FB">
      <w:pPr>
        <w:pStyle w:val="ListParagraph"/>
        <w:numPr>
          <w:ilvl w:val="1"/>
          <w:numId w:val="32"/>
        </w:numPr>
      </w:pPr>
      <w:r w:rsidRPr="00B75B77">
        <w:rPr>
          <w:b/>
        </w:rPr>
        <w:t xml:space="preserve">Recommendation: </w:t>
      </w:r>
      <w:r w:rsidR="00403110" w:rsidRPr="00B75B77">
        <w:t>M</w:t>
      </w:r>
      <w:r w:rsidRPr="00B75B77">
        <w:t>aintain the high rates of customer satisfaction a</w:t>
      </w:r>
      <w:r w:rsidR="00403110" w:rsidRPr="00B75B77">
        <w:t>s well as the</w:t>
      </w:r>
      <w:r w:rsidRPr="00B75B77">
        <w:t xml:space="preserve"> rapport that energy advisors have built with customers through </w:t>
      </w:r>
      <w:r w:rsidR="00403110" w:rsidRPr="00B75B77">
        <w:t>preserving</w:t>
      </w:r>
      <w:r w:rsidRPr="00B75B77">
        <w:t xml:space="preserve"> the personalized nature of the program and </w:t>
      </w:r>
      <w:r w:rsidR="00403110" w:rsidRPr="00B75B77">
        <w:t xml:space="preserve">by </w:t>
      </w:r>
      <w:r w:rsidRPr="00B75B77">
        <w:t>providing a learning experience to customers with varying degrees of knowledge about energy efficiency</w:t>
      </w:r>
    </w:p>
    <w:p w:rsidR="00751A38" w:rsidRPr="00B75B77" w:rsidRDefault="00751A38" w:rsidP="009E08FB">
      <w:pPr>
        <w:pStyle w:val="ListParagraph"/>
        <w:numPr>
          <w:ilvl w:val="1"/>
          <w:numId w:val="32"/>
        </w:numPr>
      </w:pPr>
      <w:r w:rsidRPr="00B75B77">
        <w:rPr>
          <w:b/>
        </w:rPr>
        <w:t>Recommendation:</w:t>
      </w:r>
      <w:r w:rsidRPr="00B75B77">
        <w:t xml:space="preserve"> Develop and implement an energy advisor checklist that includes each of the actions an </w:t>
      </w:r>
      <w:r w:rsidR="00403110" w:rsidRPr="00B75B77">
        <w:t>e</w:t>
      </w:r>
      <w:r w:rsidRPr="00B75B77">
        <w:t xml:space="preserve">nergy </w:t>
      </w:r>
      <w:r w:rsidR="00403110" w:rsidRPr="00B75B77">
        <w:t>a</w:t>
      </w:r>
      <w:r w:rsidRPr="00B75B77">
        <w:t>dvisor must take to complete a successful site visit.</w:t>
      </w:r>
      <w:r w:rsidR="00403110" w:rsidRPr="00B75B77">
        <w:t xml:space="preserve"> Example items to include:</w:t>
      </w:r>
    </w:p>
    <w:p w:rsidR="00751A38" w:rsidRPr="00B75B77" w:rsidRDefault="00751A38" w:rsidP="009E08FB">
      <w:pPr>
        <w:pStyle w:val="ListParagraph"/>
        <w:numPr>
          <w:ilvl w:val="2"/>
          <w:numId w:val="32"/>
        </w:numPr>
      </w:pPr>
      <w:r w:rsidRPr="00B75B77">
        <w:t>Provide thorough home visits with insightful information offered to participants</w:t>
      </w:r>
    </w:p>
    <w:p w:rsidR="00751A38" w:rsidRPr="00B75B77" w:rsidRDefault="00751A38" w:rsidP="009E08FB">
      <w:pPr>
        <w:pStyle w:val="ListParagraph"/>
        <w:numPr>
          <w:ilvl w:val="2"/>
          <w:numId w:val="32"/>
        </w:numPr>
      </w:pPr>
      <w:r w:rsidRPr="00B75B77">
        <w:t>Install measure</w:t>
      </w:r>
      <w:r w:rsidR="00403110" w:rsidRPr="00B75B77">
        <w:t>s</w:t>
      </w:r>
      <w:r w:rsidRPr="00B75B77">
        <w:t xml:space="preserve"> that are compatible with customers’ homes and test installations</w:t>
      </w:r>
    </w:p>
    <w:p w:rsidR="00751A38" w:rsidRPr="00B75B77" w:rsidRDefault="00751A38" w:rsidP="009E08FB">
      <w:pPr>
        <w:pStyle w:val="ListParagraph"/>
        <w:numPr>
          <w:ilvl w:val="2"/>
          <w:numId w:val="32"/>
        </w:numPr>
      </w:pPr>
      <w:r w:rsidRPr="00B75B77">
        <w:t xml:space="preserve">Send </w:t>
      </w:r>
      <w:r w:rsidR="00403110" w:rsidRPr="00B75B77">
        <w:t>a</w:t>
      </w:r>
      <w:r w:rsidRPr="00B75B77">
        <w:t>udit report to all audit participants</w:t>
      </w:r>
    </w:p>
    <w:p w:rsidR="00751A38" w:rsidRPr="00B75B77" w:rsidRDefault="00751A38" w:rsidP="009E08FB">
      <w:pPr>
        <w:pStyle w:val="ListParagraph"/>
        <w:numPr>
          <w:ilvl w:val="2"/>
          <w:numId w:val="32"/>
        </w:numPr>
      </w:pPr>
      <w:r w:rsidRPr="00B75B77">
        <w:t>Follow</w:t>
      </w:r>
      <w:r w:rsidR="00403110" w:rsidRPr="00B75B77">
        <w:t xml:space="preserve"> </w:t>
      </w:r>
      <w:r w:rsidRPr="00B75B77">
        <w:t>up with customers to check on installed measures and encourage additional action.</w:t>
      </w:r>
    </w:p>
    <w:p w:rsidR="00751A38" w:rsidRPr="00B75B77" w:rsidRDefault="00751A38" w:rsidP="009E08FB">
      <w:pPr>
        <w:pStyle w:val="ListParagraph"/>
        <w:numPr>
          <w:ilvl w:val="0"/>
          <w:numId w:val="32"/>
        </w:numPr>
        <w:spacing w:before="120" w:after="120"/>
        <w:contextualSpacing w:val="0"/>
      </w:pPr>
      <w:r w:rsidRPr="00B75B77">
        <w:rPr>
          <w:b/>
          <w:snapToGrid w:val="0"/>
        </w:rPr>
        <w:t xml:space="preserve">Finding: </w:t>
      </w:r>
      <w:r w:rsidRPr="00B75B77">
        <w:t xml:space="preserve">Nearly all respondents reported that their energy advisor recommended one or more ways to improve the energy efficiency of their homes beyond the </w:t>
      </w:r>
      <w:r w:rsidR="00403110" w:rsidRPr="00B75B77">
        <w:t>DI</w:t>
      </w:r>
      <w:r w:rsidRPr="00B75B77">
        <w:t xml:space="preserve"> measures. </w:t>
      </w:r>
      <w:r w:rsidR="00403110" w:rsidRPr="00B75B77">
        <w:t>E</w:t>
      </w:r>
      <w:r w:rsidRPr="00B75B77">
        <w:t>nergy advisors are trained to make recommendations includ</w:t>
      </w:r>
      <w:r w:rsidR="00403110" w:rsidRPr="00B75B77">
        <w:t>ing</w:t>
      </w:r>
      <w:r w:rsidRPr="00B75B77">
        <w:t xml:space="preserve"> installing SHC</w:t>
      </w:r>
      <w:r w:rsidR="00403110" w:rsidRPr="00B75B77">
        <w:t>-</w:t>
      </w:r>
      <w:r w:rsidRPr="00B75B77">
        <w:t>incentivized major measures, installing measures that are incentivized through other Smart Ideas programs, and practicing energy- and money</w:t>
      </w:r>
      <w:r w:rsidR="00403110" w:rsidRPr="00B75B77">
        <w:t>-</w:t>
      </w:r>
      <w:r w:rsidRPr="00B75B77">
        <w:t>saving habits or actions not incentivized by a program. Participants recalled receiving the recommendations focused on installing additional energy efficient measures and practicing energy</w:t>
      </w:r>
      <w:r w:rsidR="00403110" w:rsidRPr="00B75B77">
        <w:t>-</w:t>
      </w:r>
      <w:r w:rsidRPr="00B75B77">
        <w:t xml:space="preserve">saving habits, but </w:t>
      </w:r>
      <w:r w:rsidR="00403110" w:rsidRPr="00B75B77">
        <w:t xml:space="preserve">they </w:t>
      </w:r>
      <w:r w:rsidRPr="00B75B77">
        <w:t xml:space="preserve">did not commonly cite having been referred to other Smart Ideas programs </w:t>
      </w:r>
      <w:r w:rsidR="00403110" w:rsidRPr="00B75B77">
        <w:t xml:space="preserve">for which </w:t>
      </w:r>
      <w:r w:rsidRPr="00B75B77">
        <w:t>they may be eligible</w:t>
      </w:r>
      <w:r w:rsidR="00403110" w:rsidRPr="00B75B77">
        <w:t>.</w:t>
      </w:r>
      <w:r w:rsidRPr="00B75B77">
        <w:t xml:space="preserve">  </w:t>
      </w:r>
    </w:p>
    <w:p w:rsidR="00751A38" w:rsidRPr="00B75B77" w:rsidRDefault="00751A38" w:rsidP="009E08FB">
      <w:pPr>
        <w:pStyle w:val="ListParagraph"/>
        <w:numPr>
          <w:ilvl w:val="0"/>
          <w:numId w:val="39"/>
        </w:numPr>
        <w:spacing w:before="120"/>
      </w:pPr>
      <w:r w:rsidRPr="00B75B77">
        <w:rPr>
          <w:b/>
        </w:rPr>
        <w:t xml:space="preserve">Recommendations included in </w:t>
      </w:r>
      <w:r w:rsidR="00403110" w:rsidRPr="00B75B77">
        <w:rPr>
          <w:b/>
        </w:rPr>
        <w:t xml:space="preserve">the </w:t>
      </w:r>
      <w:r w:rsidRPr="00B75B77">
        <w:rPr>
          <w:b/>
        </w:rPr>
        <w:t>audit report</w:t>
      </w:r>
      <w:r w:rsidR="0015550B" w:rsidRPr="00B75B77">
        <w:rPr>
          <w:b/>
        </w:rPr>
        <w:t>:</w:t>
      </w:r>
      <w:r w:rsidRPr="00B75B77">
        <w:t xml:space="preserve"> Audit participants were asked if the audit report they received during their home visit included recommendations for additional ways to improve the energy efficiency in their homes, and 96</w:t>
      </w:r>
      <w:r w:rsidR="0015550B" w:rsidRPr="00B75B77">
        <w:t>%</w:t>
      </w:r>
      <w:r w:rsidRPr="00B75B77">
        <w:t xml:space="preserve"> said yes (n=78).</w:t>
      </w:r>
    </w:p>
    <w:p w:rsidR="00751A38" w:rsidRPr="00B75B77" w:rsidRDefault="00751A38" w:rsidP="009E08FB">
      <w:pPr>
        <w:pStyle w:val="ListParagraph"/>
        <w:numPr>
          <w:ilvl w:val="0"/>
          <w:numId w:val="39"/>
        </w:numPr>
        <w:spacing w:before="120"/>
      </w:pPr>
      <w:r w:rsidRPr="00B75B77">
        <w:rPr>
          <w:b/>
        </w:rPr>
        <w:t>Participation in other Smart Ideas programs recommended</w:t>
      </w:r>
      <w:r w:rsidR="0015550B" w:rsidRPr="00B75B77">
        <w:rPr>
          <w:b/>
        </w:rPr>
        <w:t>:</w:t>
      </w:r>
      <w:r w:rsidRPr="00B75B77">
        <w:rPr>
          <w:b/>
        </w:rPr>
        <w:t xml:space="preserve"> </w:t>
      </w:r>
      <w:r w:rsidRPr="00B75B77">
        <w:t>Respondents were asked if their energy advisor recommended other Smart Ideas programs that they may be eligible for and 61</w:t>
      </w:r>
      <w:r w:rsidR="0009500C" w:rsidRPr="00B75B77">
        <w:t>%</w:t>
      </w:r>
      <w:r w:rsidRPr="00B75B77">
        <w:t xml:space="preserve"> said no, 18</w:t>
      </w:r>
      <w:r w:rsidR="0009500C" w:rsidRPr="00B75B77">
        <w:t>%</w:t>
      </w:r>
      <w:r w:rsidRPr="00B75B77">
        <w:t xml:space="preserve"> said yes, and the remaining respondents didn’t know or refused to respond (n=130). </w:t>
      </w:r>
    </w:p>
    <w:p w:rsidR="00751A38" w:rsidRPr="00B75B77" w:rsidRDefault="00751A38" w:rsidP="009E08FB">
      <w:pPr>
        <w:pStyle w:val="ListParagraph"/>
        <w:numPr>
          <w:ilvl w:val="0"/>
          <w:numId w:val="39"/>
        </w:numPr>
        <w:spacing w:before="120"/>
      </w:pPr>
      <w:r w:rsidRPr="00B75B77">
        <w:rPr>
          <w:b/>
        </w:rPr>
        <w:t>Energy</w:t>
      </w:r>
      <w:r w:rsidR="00CF072D" w:rsidRPr="00B75B77">
        <w:rPr>
          <w:b/>
        </w:rPr>
        <w:t>-</w:t>
      </w:r>
      <w:r w:rsidRPr="00B75B77">
        <w:rPr>
          <w:b/>
        </w:rPr>
        <w:t>saving habits or actions recommended</w:t>
      </w:r>
      <w:r w:rsidR="0015550B" w:rsidRPr="00B75B77">
        <w:rPr>
          <w:b/>
        </w:rPr>
        <w:t>:</w:t>
      </w:r>
      <w:r w:rsidRPr="00B75B77">
        <w:rPr>
          <w:b/>
        </w:rPr>
        <w:t xml:space="preserve"> </w:t>
      </w:r>
      <w:r w:rsidRPr="00B75B77">
        <w:t>Respondents were asked if the energy advisor recommended actions to reduce their energy use, such as turning down the furnace thermostat a few degrees or making sure to turn off electronic devices when not in use, and 71</w:t>
      </w:r>
      <w:r w:rsidR="0009500C" w:rsidRPr="00B75B77">
        <w:t>%</w:t>
      </w:r>
      <w:r w:rsidRPr="00B75B77">
        <w:t xml:space="preserve"> said yes, 19</w:t>
      </w:r>
      <w:r w:rsidR="0009500C" w:rsidRPr="00B75B77">
        <w:t>%</w:t>
      </w:r>
      <w:r w:rsidRPr="00B75B77">
        <w:t xml:space="preserve"> said no, and the remaining respondents didn’t know (n=130). </w:t>
      </w:r>
    </w:p>
    <w:p w:rsidR="00751A38" w:rsidRPr="00B75B77" w:rsidRDefault="00751A38" w:rsidP="00BA578B">
      <w:pPr>
        <w:spacing w:before="120" w:after="120"/>
        <w:ind w:left="720"/>
      </w:pPr>
      <w:r w:rsidRPr="00B75B77">
        <w:lastRenderedPageBreak/>
        <w:t>Participants were also asked if they planned to follow</w:t>
      </w:r>
      <w:r w:rsidR="00BA578B" w:rsidRPr="00B75B77">
        <w:t xml:space="preserve"> </w:t>
      </w:r>
      <w:r w:rsidRPr="00B75B77">
        <w:t>through with any of the recommendations provided by their energy advisor. Many respondents reported they have already implemented or plan to implement many of the recommendations that the received. Among the participants who received recommendations to participate in other Smart Ideas program recommendations, 72</w:t>
      </w:r>
      <w:r w:rsidR="0009500C" w:rsidRPr="00B75B77">
        <w:t>%</w:t>
      </w:r>
      <w:r w:rsidRPr="00B75B77">
        <w:t xml:space="preserve"> (n=25) said that they had either already participated or planned to participate in one of the recommended programs. Similarly, 74</w:t>
      </w:r>
      <w:r w:rsidR="0009500C" w:rsidRPr="00B75B77">
        <w:t>%</w:t>
      </w:r>
      <w:r w:rsidRPr="00B75B77">
        <w:t xml:space="preserve"> (n=130) of participants reported that they had already implemented at least some of the recommended energy</w:t>
      </w:r>
      <w:r w:rsidR="00BA578B" w:rsidRPr="00B75B77">
        <w:t>-</w:t>
      </w:r>
      <w:r w:rsidRPr="00B75B77">
        <w:t>saving habits</w:t>
      </w:r>
      <w:r w:rsidR="00BA578B" w:rsidRPr="00B75B77">
        <w:t>. T</w:t>
      </w:r>
      <w:r w:rsidRPr="00B75B77">
        <w:t xml:space="preserve">he most common actions that participants implemented after participating in the program were turning off appliances and lights when not in use and turning down or reprogramming their thermostats to be more efficient. </w:t>
      </w:r>
      <w:r w:rsidR="00BA578B" w:rsidRPr="00B75B77">
        <w:t>However, n</w:t>
      </w:r>
      <w:r w:rsidRPr="00B75B77">
        <w:t xml:space="preserve">early two-thirds of respondents (n=130) reported that they did not plan to </w:t>
      </w:r>
      <w:r w:rsidR="00BA578B" w:rsidRPr="00B75B77">
        <w:t xml:space="preserve">utilize </w:t>
      </w:r>
      <w:r w:rsidRPr="00B75B77">
        <w:t xml:space="preserve">any recommended energy efficient equipment not yet installed in their home. </w:t>
      </w:r>
    </w:p>
    <w:p w:rsidR="001E72E8" w:rsidRPr="00B75B77" w:rsidRDefault="00751A38" w:rsidP="009E08FB">
      <w:pPr>
        <w:pStyle w:val="ListParagraph"/>
        <w:numPr>
          <w:ilvl w:val="1"/>
          <w:numId w:val="33"/>
        </w:numPr>
        <w:spacing w:before="120" w:after="120"/>
        <w:ind w:left="1440"/>
        <w:contextualSpacing w:val="0"/>
      </w:pPr>
      <w:r w:rsidRPr="00B75B77">
        <w:rPr>
          <w:b/>
        </w:rPr>
        <w:t xml:space="preserve">Recommendation: </w:t>
      </w:r>
      <w:r w:rsidRPr="00B75B77">
        <w:t xml:space="preserve">Train the </w:t>
      </w:r>
      <w:r w:rsidR="00BA578B" w:rsidRPr="00B75B77">
        <w:t>e</w:t>
      </w:r>
      <w:r w:rsidRPr="00B75B77">
        <w:t xml:space="preserve">nergy </w:t>
      </w:r>
      <w:r w:rsidR="00BA578B" w:rsidRPr="00B75B77">
        <w:t>a</w:t>
      </w:r>
      <w:r w:rsidRPr="00B75B77">
        <w:t xml:space="preserve">dvisors to tailor the experience to the customer and how informed that are about the energy efficiency of their homes. </w:t>
      </w:r>
      <w:r w:rsidR="00BA578B" w:rsidRPr="00B75B77">
        <w:t>Well-informed c</w:t>
      </w:r>
      <w:r w:rsidRPr="00B75B77">
        <w:t xml:space="preserve">ustomers will look to the energy advisor to provide additional depth to what they already know, while less-informed customers are seeking guidance from their </w:t>
      </w:r>
      <w:r w:rsidR="00BA578B" w:rsidRPr="00B75B77">
        <w:t>e</w:t>
      </w:r>
      <w:r w:rsidRPr="00B75B77">
        <w:t xml:space="preserve">nergy </w:t>
      </w:r>
      <w:r w:rsidR="00BA578B" w:rsidRPr="00B75B77">
        <w:t>a</w:t>
      </w:r>
      <w:r w:rsidRPr="00B75B77">
        <w:t>dvisors. The advisors should be prepared to adjust their guidance and information to meet the customer’s needs.</w:t>
      </w:r>
      <w:r w:rsidRPr="00B75B77">
        <w:rPr>
          <w:b/>
        </w:rPr>
        <w:t xml:space="preserve"> </w:t>
      </w:r>
    </w:p>
    <w:p w:rsidR="001E72E8" w:rsidRPr="00B75B77" w:rsidRDefault="00751A38" w:rsidP="009E08FB">
      <w:pPr>
        <w:pStyle w:val="ListParagraph"/>
        <w:numPr>
          <w:ilvl w:val="0"/>
          <w:numId w:val="32"/>
        </w:numPr>
        <w:spacing w:before="120" w:after="120"/>
        <w:contextualSpacing w:val="0"/>
      </w:pPr>
      <w:r w:rsidRPr="00B75B77">
        <w:rPr>
          <w:b/>
        </w:rPr>
        <w:t>Finding:</w:t>
      </w:r>
      <w:r w:rsidRPr="00B75B77">
        <w:rPr>
          <w:rFonts w:ascii="Calibri" w:eastAsia="Times New Roman" w:hAnsi="Calibri"/>
          <w:color w:val="000000"/>
        </w:rPr>
        <w:t xml:space="preserve"> </w:t>
      </w:r>
      <w:r w:rsidRPr="00B75B77">
        <w:t>PECO reduced SHC expenditures in PY7</w:t>
      </w:r>
      <w:r w:rsidR="00BA578B" w:rsidRPr="00B75B77">
        <w:t>; however,</w:t>
      </w:r>
      <w:r w:rsidRPr="00B75B77">
        <w:t xml:space="preserve"> after interviewing program participants</w:t>
      </w:r>
      <w:r w:rsidR="00BA578B" w:rsidRPr="00B75B77">
        <w:t>,</w:t>
      </w:r>
      <w:r w:rsidRPr="00B75B77">
        <w:t xml:space="preserve"> the evaluation team identified two examples of </w:t>
      </w:r>
      <w:r w:rsidR="000B1D4E" w:rsidRPr="00B75B77">
        <w:t xml:space="preserve">program changes </w:t>
      </w:r>
      <w:r w:rsidRPr="00B75B77">
        <w:t xml:space="preserve">that could </w:t>
      </w:r>
      <w:r w:rsidR="00845869" w:rsidRPr="00B75B77">
        <w:t>affect</w:t>
      </w:r>
      <w:r w:rsidRPr="00B75B77">
        <w:t xml:space="preserve"> customer satisfaction going forward. Based on anecdotal reports, customers found the LED installations to be one of most valuable components of the program and preferred LEDs over CFLs. However, </w:t>
      </w:r>
      <w:r w:rsidR="000B1D4E" w:rsidRPr="00B75B77">
        <w:t xml:space="preserve">in a cost-cutting adjustment </w:t>
      </w:r>
      <w:r w:rsidRPr="00B75B77">
        <w:t xml:space="preserve">PECO continued to install CFLs in customers’ homes to reduce the lighting budget. Furthermore, </w:t>
      </w:r>
      <w:r w:rsidR="000B1D4E" w:rsidRPr="00B75B77">
        <w:t xml:space="preserve">in Phase III PECO is shifting the marketing responsibility and associated budget from the Solution CSP to a marketing CSP. The impacts of this is unclear, but PECO and the marketing firm should be aware that </w:t>
      </w:r>
      <w:r w:rsidRPr="00B75B77">
        <w:t>a small group of customers recommended increasing marketing to improve the visibility of the program (8</w:t>
      </w:r>
      <w:r w:rsidR="0009500C" w:rsidRPr="00B75B77">
        <w:t>%</w:t>
      </w:r>
      <w:r w:rsidRPr="00B75B77">
        <w:t>, n=130).</w:t>
      </w:r>
    </w:p>
    <w:p w:rsidR="001E72E8" w:rsidRPr="00B75B77" w:rsidRDefault="00751A38" w:rsidP="009E08FB">
      <w:pPr>
        <w:pStyle w:val="ListParagraph"/>
        <w:numPr>
          <w:ilvl w:val="0"/>
          <w:numId w:val="105"/>
        </w:numPr>
        <w:spacing w:before="120" w:after="120"/>
        <w:ind w:left="1440"/>
        <w:contextualSpacing w:val="0"/>
      </w:pPr>
      <w:r w:rsidRPr="00B75B77">
        <w:rPr>
          <w:rFonts w:eastAsia="Times New Roman"/>
          <w:b/>
          <w:color w:val="000000"/>
        </w:rPr>
        <w:t xml:space="preserve">Recommendation: </w:t>
      </w:r>
      <w:r w:rsidRPr="00B75B77">
        <w:rPr>
          <w:rFonts w:eastAsia="Times New Roman"/>
          <w:color w:val="000000"/>
        </w:rPr>
        <w:t xml:space="preserve">Do not let goals for improving TRC compromise positive customer experience and satisfaction. </w:t>
      </w:r>
    </w:p>
    <w:p w:rsidR="001E72E8" w:rsidRPr="00B75B77" w:rsidRDefault="00BA578B" w:rsidP="009E08FB">
      <w:pPr>
        <w:pStyle w:val="ListParagraph"/>
        <w:numPr>
          <w:ilvl w:val="2"/>
          <w:numId w:val="33"/>
        </w:numPr>
        <w:spacing w:before="120" w:after="120"/>
        <w:ind w:left="2250" w:hanging="270"/>
        <w:contextualSpacing w:val="0"/>
      </w:pPr>
      <w:r w:rsidRPr="00B75B77">
        <w:rPr>
          <w:rFonts w:eastAsia="Times New Roman"/>
          <w:color w:val="000000"/>
        </w:rPr>
        <w:t xml:space="preserve">Discontinue </w:t>
      </w:r>
      <w:r w:rsidR="00751A38" w:rsidRPr="00B75B77">
        <w:rPr>
          <w:rFonts w:eastAsia="Times New Roman"/>
          <w:color w:val="000000"/>
        </w:rPr>
        <w:t>CFL installations and install 100% LEDs. The price of LEDs has come down significantly</w:t>
      </w:r>
      <w:r w:rsidRPr="00B75B77">
        <w:rPr>
          <w:rFonts w:eastAsia="Times New Roman"/>
          <w:color w:val="000000"/>
        </w:rPr>
        <w:t>,</w:t>
      </w:r>
      <w:r w:rsidR="00751A38" w:rsidRPr="00B75B77">
        <w:rPr>
          <w:rFonts w:eastAsia="Times New Roman"/>
          <w:color w:val="000000"/>
        </w:rPr>
        <w:t xml:space="preserve"> and the program plans to install value LEDs in Phase III, which are nearly 1:1 in </w:t>
      </w:r>
      <w:r w:rsidRPr="00B75B77">
        <w:rPr>
          <w:rFonts w:eastAsia="Times New Roman"/>
          <w:color w:val="000000"/>
        </w:rPr>
        <w:t xml:space="preserve">terms of </w:t>
      </w:r>
      <w:r w:rsidR="00751A38" w:rsidRPr="00B75B77">
        <w:rPr>
          <w:rFonts w:eastAsia="Times New Roman"/>
          <w:color w:val="000000"/>
        </w:rPr>
        <w:t xml:space="preserve">cost </w:t>
      </w:r>
      <w:r w:rsidRPr="00B75B77">
        <w:rPr>
          <w:rFonts w:eastAsia="Times New Roman"/>
          <w:color w:val="000000"/>
        </w:rPr>
        <w:t xml:space="preserve">ratio </w:t>
      </w:r>
      <w:r w:rsidR="00751A38" w:rsidRPr="00B75B77">
        <w:rPr>
          <w:rFonts w:eastAsia="Times New Roman"/>
          <w:color w:val="000000"/>
        </w:rPr>
        <w:t>with CFLs.</w:t>
      </w:r>
    </w:p>
    <w:p w:rsidR="00751A38" w:rsidRPr="00B75B77" w:rsidRDefault="00751A38" w:rsidP="009E08FB">
      <w:pPr>
        <w:pStyle w:val="ListParagraph"/>
        <w:numPr>
          <w:ilvl w:val="2"/>
          <w:numId w:val="33"/>
        </w:numPr>
        <w:spacing w:before="120" w:after="120"/>
        <w:ind w:left="2250" w:hanging="270"/>
        <w:contextualSpacing w:val="0"/>
      </w:pPr>
      <w:r w:rsidRPr="00B75B77">
        <w:rPr>
          <w:rFonts w:eastAsia="Times New Roman"/>
          <w:color w:val="000000"/>
        </w:rPr>
        <w:t xml:space="preserve">Continue to market the program using past strategies that have proven to be effective and test new targeted marketing tactics to continue to reach the </w:t>
      </w:r>
      <w:r w:rsidR="00BE0FF8" w:rsidRPr="00B75B77">
        <w:rPr>
          <w:rFonts w:eastAsia="Times New Roman"/>
          <w:color w:val="000000"/>
        </w:rPr>
        <w:t xml:space="preserve">program’s </w:t>
      </w:r>
      <w:r w:rsidRPr="00B75B77">
        <w:rPr>
          <w:rFonts w:eastAsia="Times New Roman"/>
          <w:color w:val="000000"/>
        </w:rPr>
        <w:t xml:space="preserve">core audience </w:t>
      </w:r>
      <w:r w:rsidR="00BE0FF8" w:rsidRPr="00B75B77">
        <w:rPr>
          <w:rFonts w:eastAsia="Times New Roman"/>
          <w:color w:val="000000"/>
        </w:rPr>
        <w:t xml:space="preserve">while </w:t>
      </w:r>
      <w:r w:rsidRPr="00B75B77">
        <w:rPr>
          <w:rFonts w:eastAsia="Times New Roman"/>
          <w:color w:val="000000"/>
        </w:rPr>
        <w:t>expand</w:t>
      </w:r>
      <w:r w:rsidR="00BE0FF8" w:rsidRPr="00B75B77">
        <w:rPr>
          <w:rFonts w:eastAsia="Times New Roman"/>
          <w:color w:val="000000"/>
        </w:rPr>
        <w:t>ing</w:t>
      </w:r>
      <w:r w:rsidRPr="00B75B77">
        <w:rPr>
          <w:rFonts w:eastAsia="Times New Roman"/>
          <w:color w:val="000000"/>
        </w:rPr>
        <w:t xml:space="preserve"> the reach of the program to customers in other demographics</w:t>
      </w:r>
      <w:r w:rsidRPr="00B75B77">
        <w:t>.</w:t>
      </w:r>
    </w:p>
    <w:p w:rsidR="00751A38" w:rsidRPr="00B75B77" w:rsidRDefault="00751A38" w:rsidP="009E08FB">
      <w:pPr>
        <w:pStyle w:val="ListParagraph"/>
        <w:numPr>
          <w:ilvl w:val="0"/>
          <w:numId w:val="32"/>
        </w:numPr>
        <w:spacing w:before="120" w:after="120"/>
        <w:contextualSpacing w:val="0"/>
      </w:pPr>
      <w:r w:rsidRPr="00B75B77">
        <w:rPr>
          <w:b/>
        </w:rPr>
        <w:t>Finding:</w:t>
      </w:r>
      <w:r w:rsidRPr="00B75B77">
        <w:t xml:space="preserve"> Respondents </w:t>
      </w:r>
      <w:r w:rsidR="00BE0FF8" w:rsidRPr="00B75B77">
        <w:t xml:space="preserve">generally </w:t>
      </w:r>
      <w:r w:rsidRPr="00B75B77">
        <w:t>described having heard about the SHC program through several channels</w:t>
      </w:r>
      <w:r w:rsidR="00BE0FF8" w:rsidRPr="00B75B77">
        <w:t>,</w:t>
      </w:r>
      <w:r w:rsidRPr="00B75B77">
        <w:t xml:space="preserve"> but </w:t>
      </w:r>
      <w:r w:rsidR="0009500C" w:rsidRPr="00B75B77">
        <w:t>8%</w:t>
      </w:r>
      <w:r w:rsidRPr="00B75B77">
        <w:t xml:space="preserve"> (n=130) </w:t>
      </w:r>
      <w:r w:rsidR="00BE0FF8" w:rsidRPr="00B75B77">
        <w:t xml:space="preserve">recommended </w:t>
      </w:r>
      <w:r w:rsidRPr="00B75B77">
        <w:t xml:space="preserve">increasing marketing to improve the visibility of the program. The top three channels </w:t>
      </w:r>
      <w:r w:rsidR="006131F0" w:rsidRPr="00B75B77">
        <w:t xml:space="preserve">respondents </w:t>
      </w:r>
      <w:r w:rsidRPr="00B75B77">
        <w:t>reported were bill inserts (48</w:t>
      </w:r>
      <w:r w:rsidR="0009500C" w:rsidRPr="00B75B77">
        <w:t>%</w:t>
      </w:r>
      <w:r w:rsidRPr="00B75B77">
        <w:t>), mailers (16</w:t>
      </w:r>
      <w:r w:rsidR="0009500C" w:rsidRPr="00B75B77">
        <w:t>%</w:t>
      </w:r>
      <w:r w:rsidRPr="00B75B77">
        <w:t>), and word of mouth (10</w:t>
      </w:r>
      <w:r w:rsidR="0009500C" w:rsidRPr="00B75B77">
        <w:t>%</w:t>
      </w:r>
      <w:r w:rsidRPr="00B75B77">
        <w:t>). Participants noted that once they learned about the program, they were primarily driven to schedule an audit or assessment to reduce their energy use and energy bills.</w:t>
      </w:r>
    </w:p>
    <w:p w:rsidR="00751A38" w:rsidRPr="00B75B77" w:rsidRDefault="00751A38" w:rsidP="00751A38">
      <w:pPr>
        <w:spacing w:before="120"/>
        <w:ind w:left="720"/>
        <w:rPr>
          <w:snapToGrid w:val="0"/>
        </w:rPr>
      </w:pPr>
      <w:r w:rsidRPr="00B75B77">
        <w:rPr>
          <w:rFonts w:eastAsia="Times New Roman"/>
          <w:color w:val="000000"/>
        </w:rPr>
        <w:t xml:space="preserve">PECO continued to implement the marketing tactics that </w:t>
      </w:r>
      <w:r w:rsidR="00BE0FF8" w:rsidRPr="00B75B77">
        <w:rPr>
          <w:rFonts w:eastAsia="Times New Roman"/>
          <w:color w:val="000000"/>
        </w:rPr>
        <w:t xml:space="preserve">were </w:t>
      </w:r>
      <w:r w:rsidRPr="00B75B77">
        <w:rPr>
          <w:rFonts w:eastAsia="Times New Roman"/>
          <w:color w:val="000000"/>
        </w:rPr>
        <w:t>successful in PY6, and successfully tested new targeted marketing strategies</w:t>
      </w:r>
      <w:r w:rsidRPr="00B75B77">
        <w:rPr>
          <w:snapToGrid w:val="0"/>
        </w:rPr>
        <w:t>, including</w:t>
      </w:r>
      <w:r w:rsidR="00BE0FF8" w:rsidRPr="00B75B77">
        <w:rPr>
          <w:snapToGrid w:val="0"/>
        </w:rPr>
        <w:t xml:space="preserve"> the following</w:t>
      </w:r>
      <w:r w:rsidRPr="00B75B77">
        <w:rPr>
          <w:snapToGrid w:val="0"/>
        </w:rPr>
        <w:t xml:space="preserve">: </w:t>
      </w:r>
    </w:p>
    <w:p w:rsidR="00751A38" w:rsidRPr="00B75B77" w:rsidRDefault="00751A38" w:rsidP="00153ECC">
      <w:pPr>
        <w:pStyle w:val="ListParagraph"/>
        <w:numPr>
          <w:ilvl w:val="0"/>
          <w:numId w:val="27"/>
        </w:numPr>
        <w:spacing w:before="120"/>
        <w:ind w:left="1440"/>
        <w:rPr>
          <w:snapToGrid w:val="0"/>
        </w:rPr>
      </w:pPr>
      <w:r w:rsidRPr="00B75B77">
        <w:rPr>
          <w:b/>
          <w:snapToGrid w:val="0"/>
        </w:rPr>
        <w:t>Discounts on the home visit</w:t>
      </w:r>
      <w:r w:rsidR="0015550B" w:rsidRPr="00B75B77">
        <w:rPr>
          <w:b/>
          <w:snapToGrid w:val="0"/>
        </w:rPr>
        <w:t>:</w:t>
      </w:r>
      <w:r w:rsidRPr="00B75B77">
        <w:rPr>
          <w:snapToGrid w:val="0"/>
        </w:rPr>
        <w:t xml:space="preserve"> PECO offered audits and assessments to customers at a discounted price, including to those who previously declined to participate in the </w:t>
      </w:r>
      <w:r w:rsidRPr="00B75B77">
        <w:rPr>
          <w:snapToGrid w:val="0"/>
        </w:rPr>
        <w:lastRenderedPageBreak/>
        <w:t xml:space="preserve">program due to cost </w:t>
      </w:r>
      <w:r w:rsidR="00BE0FF8" w:rsidRPr="00B75B77">
        <w:rPr>
          <w:snapToGrid w:val="0"/>
        </w:rPr>
        <w:t>or</w:t>
      </w:r>
      <w:r w:rsidRPr="00B75B77">
        <w:rPr>
          <w:snapToGrid w:val="0"/>
        </w:rPr>
        <w:t xml:space="preserve"> those who had previously participated in the SHR program for non-lighting measures.</w:t>
      </w:r>
    </w:p>
    <w:p w:rsidR="00751A38" w:rsidRPr="00B75B77" w:rsidRDefault="00751A38" w:rsidP="00153ECC">
      <w:pPr>
        <w:pStyle w:val="ListParagraph"/>
        <w:numPr>
          <w:ilvl w:val="0"/>
          <w:numId w:val="27"/>
        </w:numPr>
        <w:spacing w:before="120"/>
        <w:ind w:left="1440"/>
        <w:rPr>
          <w:snapToGrid w:val="0"/>
        </w:rPr>
      </w:pPr>
      <w:r w:rsidRPr="00B75B77">
        <w:rPr>
          <w:b/>
          <w:snapToGrid w:val="0"/>
        </w:rPr>
        <w:t>Targeted marketing</w:t>
      </w:r>
      <w:r w:rsidR="0015550B" w:rsidRPr="00B75B77">
        <w:rPr>
          <w:b/>
          <w:snapToGrid w:val="0"/>
        </w:rPr>
        <w:t>:</w:t>
      </w:r>
      <w:r w:rsidRPr="00B75B77">
        <w:rPr>
          <w:snapToGrid w:val="0"/>
        </w:rPr>
        <w:t xml:space="preserve"> The program staff reviewed the program data each week to identify participation trends that could be used to inform the marketing strategy. PECO sent mailers to customers in the top 20 </w:t>
      </w:r>
      <w:r w:rsidR="0015550B" w:rsidRPr="00B75B77">
        <w:rPr>
          <w:snapToGrid w:val="0"/>
        </w:rPr>
        <w:t xml:space="preserve">ZIP </w:t>
      </w:r>
      <w:r w:rsidRPr="00B75B77">
        <w:rPr>
          <w:snapToGrid w:val="0"/>
        </w:rPr>
        <w:t xml:space="preserve">codes of historical participation, </w:t>
      </w:r>
      <w:r w:rsidR="00BE0FF8" w:rsidRPr="00B75B77">
        <w:rPr>
          <w:snapToGrid w:val="0"/>
        </w:rPr>
        <w:t xml:space="preserve">as well as </w:t>
      </w:r>
      <w:r w:rsidRPr="00B75B77">
        <w:rPr>
          <w:snapToGrid w:val="0"/>
        </w:rPr>
        <w:t xml:space="preserve">to other customers who were likely to participate based on the characteristic trends of past participants. In PY7, PECO also sent smaller batches of mailers more frequently than to previous program years to stabilize the incoming flow of customers. </w:t>
      </w:r>
    </w:p>
    <w:p w:rsidR="00751A38" w:rsidRPr="00B75B77" w:rsidRDefault="00751A38" w:rsidP="00153ECC">
      <w:pPr>
        <w:pStyle w:val="ListParagraph"/>
        <w:numPr>
          <w:ilvl w:val="0"/>
          <w:numId w:val="27"/>
        </w:numPr>
        <w:spacing w:before="120"/>
        <w:ind w:left="1440"/>
        <w:rPr>
          <w:snapToGrid w:val="0"/>
        </w:rPr>
      </w:pPr>
      <w:r w:rsidRPr="00B75B77">
        <w:rPr>
          <w:b/>
          <w:snapToGrid w:val="0"/>
        </w:rPr>
        <w:t>HOA partnership promotion</w:t>
      </w:r>
      <w:r w:rsidR="0015550B" w:rsidRPr="00B75B77">
        <w:rPr>
          <w:b/>
          <w:snapToGrid w:val="0"/>
        </w:rPr>
        <w:t>:</w:t>
      </w:r>
      <w:r w:rsidRPr="00B75B77">
        <w:rPr>
          <w:b/>
          <w:snapToGrid w:val="0"/>
        </w:rPr>
        <w:t xml:space="preserve"> </w:t>
      </w:r>
      <w:r w:rsidRPr="00B75B77">
        <w:rPr>
          <w:snapToGrid w:val="0"/>
        </w:rPr>
        <w:t xml:space="preserve">PECO sponsored a block party for </w:t>
      </w:r>
      <w:r w:rsidR="00BE0FF8" w:rsidRPr="00B75B77">
        <w:rPr>
          <w:snapToGrid w:val="0"/>
        </w:rPr>
        <w:t>a homeowner’s association (HOA)</w:t>
      </w:r>
      <w:r w:rsidRPr="00B75B77">
        <w:rPr>
          <w:snapToGrid w:val="0"/>
        </w:rPr>
        <w:t xml:space="preserve"> whose residents were interested in saving energy in their homes. During the event PECO representatives promoted the SHC program and provided residents with information. The block party was a successful marketing event and resulted in 200 participants from the HOA community.</w:t>
      </w:r>
      <w:r w:rsidRPr="00B75B77">
        <w:rPr>
          <w:b/>
          <w:snapToGrid w:val="0"/>
        </w:rPr>
        <w:t xml:space="preserve"> </w:t>
      </w:r>
    </w:p>
    <w:p w:rsidR="00751A38" w:rsidRPr="00B75B77" w:rsidRDefault="00751A38" w:rsidP="00153ECC">
      <w:pPr>
        <w:pStyle w:val="ListParagraph"/>
        <w:numPr>
          <w:ilvl w:val="0"/>
          <w:numId w:val="27"/>
        </w:numPr>
        <w:tabs>
          <w:tab w:val="left" w:pos="1080"/>
        </w:tabs>
        <w:spacing w:before="120"/>
        <w:ind w:left="1440"/>
        <w:rPr>
          <w:snapToGrid w:val="0"/>
        </w:rPr>
      </w:pPr>
      <w:r w:rsidRPr="00B75B77">
        <w:rPr>
          <w:b/>
          <w:snapToGrid w:val="0"/>
        </w:rPr>
        <w:t>Cross-promotion</w:t>
      </w:r>
      <w:r w:rsidR="0015550B" w:rsidRPr="00B75B77">
        <w:rPr>
          <w:b/>
          <w:snapToGrid w:val="0"/>
        </w:rPr>
        <w:t>:</w:t>
      </w:r>
      <w:r w:rsidRPr="00B75B77">
        <w:rPr>
          <w:snapToGrid w:val="0"/>
        </w:rPr>
        <w:t xml:space="preserve"> The SHC program was advertised in the materials that customers received when they participated in other Smart Ideas programs. </w:t>
      </w:r>
    </w:p>
    <w:p w:rsidR="00751A38" w:rsidRPr="00B75B77" w:rsidRDefault="00751A38" w:rsidP="00751A38">
      <w:pPr>
        <w:tabs>
          <w:tab w:val="left" w:pos="1080"/>
        </w:tabs>
        <w:spacing w:before="120"/>
        <w:ind w:left="630"/>
        <w:rPr>
          <w:b/>
        </w:rPr>
      </w:pPr>
      <w:r w:rsidRPr="00B75B77">
        <w:rPr>
          <w:snapToGrid w:val="0"/>
        </w:rPr>
        <w:t xml:space="preserve">Since implementing the program discounts and targeted marketing strategies, PECO </w:t>
      </w:r>
      <w:proofErr w:type="gramStart"/>
      <w:r w:rsidRPr="00B75B77">
        <w:rPr>
          <w:snapToGrid w:val="0"/>
        </w:rPr>
        <w:t>staff have</w:t>
      </w:r>
      <w:proofErr w:type="gramEnd"/>
      <w:r w:rsidRPr="00B75B77">
        <w:rPr>
          <w:snapToGrid w:val="0"/>
        </w:rPr>
        <w:t xml:space="preserve"> observed an increase in SHC participation. The </w:t>
      </w:r>
      <w:r w:rsidR="006131F0" w:rsidRPr="00B75B77">
        <w:rPr>
          <w:snapToGrid w:val="0"/>
        </w:rPr>
        <w:t>p</w:t>
      </w:r>
      <w:r w:rsidRPr="00B75B77">
        <w:rPr>
          <w:snapToGrid w:val="0"/>
        </w:rPr>
        <w:t xml:space="preserve">rogram </w:t>
      </w:r>
      <w:r w:rsidR="006131F0" w:rsidRPr="00B75B77">
        <w:rPr>
          <w:snapToGrid w:val="0"/>
        </w:rPr>
        <w:t>m</w:t>
      </w:r>
      <w:r w:rsidRPr="00B75B77">
        <w:rPr>
          <w:snapToGrid w:val="0"/>
        </w:rPr>
        <w:t>anager noted that the 50</w:t>
      </w:r>
      <w:r w:rsidR="0009500C" w:rsidRPr="00B75B77">
        <w:rPr>
          <w:snapToGrid w:val="0"/>
        </w:rPr>
        <w:t>%</w:t>
      </w:r>
      <w:r w:rsidRPr="00B75B77">
        <w:rPr>
          <w:snapToGrid w:val="0"/>
        </w:rPr>
        <w:t xml:space="preserve"> limited</w:t>
      </w:r>
      <w:r w:rsidR="00AF5657" w:rsidRPr="00B75B77">
        <w:rPr>
          <w:snapToGrid w:val="0"/>
        </w:rPr>
        <w:t xml:space="preserve"> </w:t>
      </w:r>
      <w:r w:rsidRPr="00B75B77">
        <w:rPr>
          <w:snapToGrid w:val="0"/>
        </w:rPr>
        <w:t>time discounts have been particularly successful in increasing customers’ interest in assessments and program participation.</w:t>
      </w:r>
    </w:p>
    <w:p w:rsidR="00751A38" w:rsidRPr="00B75B77" w:rsidRDefault="00751A38" w:rsidP="009E08FB">
      <w:pPr>
        <w:pStyle w:val="ListParagraph"/>
        <w:numPr>
          <w:ilvl w:val="0"/>
          <w:numId w:val="34"/>
        </w:numPr>
        <w:spacing w:before="120"/>
        <w:jc w:val="left"/>
        <w:rPr>
          <w:rFonts w:ascii="Calibri" w:eastAsia="Times New Roman" w:hAnsi="Calibri"/>
          <w:color w:val="000000"/>
        </w:rPr>
      </w:pPr>
      <w:r w:rsidRPr="00B75B77">
        <w:rPr>
          <w:rFonts w:ascii="Calibri" w:eastAsia="Times New Roman" w:hAnsi="Calibri"/>
          <w:b/>
          <w:color w:val="000000"/>
        </w:rPr>
        <w:t>Recommendation:</w:t>
      </w:r>
      <w:r w:rsidRPr="00B75B77">
        <w:rPr>
          <w:rFonts w:ascii="Calibri" w:eastAsia="Times New Roman" w:hAnsi="Calibri"/>
          <w:color w:val="000000"/>
        </w:rPr>
        <w:t xml:space="preserve"> Build on PY7’s successful marketing tactics to maintain impacts among core demographics through smaller, more frequent direct mail events</w:t>
      </w:r>
      <w:r w:rsidR="002E49B3" w:rsidRPr="00B75B77">
        <w:rPr>
          <w:rFonts w:ascii="Calibri" w:eastAsia="Times New Roman" w:hAnsi="Calibri"/>
          <w:color w:val="000000"/>
        </w:rPr>
        <w:t xml:space="preserve">. </w:t>
      </w:r>
      <w:r w:rsidRPr="00B75B77">
        <w:rPr>
          <w:rFonts w:ascii="Calibri" w:eastAsia="Times New Roman" w:hAnsi="Calibri"/>
          <w:color w:val="000000"/>
        </w:rPr>
        <w:t xml:space="preserve"> </w:t>
      </w:r>
    </w:p>
    <w:p w:rsidR="00751A38" w:rsidRPr="00B75B77" w:rsidRDefault="00751A38" w:rsidP="009E08FB">
      <w:pPr>
        <w:pStyle w:val="ListParagraph"/>
        <w:numPr>
          <w:ilvl w:val="0"/>
          <w:numId w:val="34"/>
        </w:numPr>
        <w:spacing w:before="120"/>
        <w:jc w:val="left"/>
        <w:rPr>
          <w:snapToGrid w:val="0"/>
        </w:rPr>
      </w:pPr>
      <w:r w:rsidRPr="00B75B77">
        <w:rPr>
          <w:rFonts w:ascii="Calibri" w:eastAsia="Times New Roman" w:hAnsi="Calibri"/>
          <w:b/>
          <w:color w:val="000000"/>
        </w:rPr>
        <w:t>Recommendation:</w:t>
      </w:r>
      <w:r w:rsidRPr="00B75B77">
        <w:rPr>
          <w:rFonts w:ascii="Calibri" w:eastAsia="Times New Roman" w:hAnsi="Calibri"/>
          <w:color w:val="000000"/>
        </w:rPr>
        <w:t xml:space="preserve"> Implement targeted marketing to engage new demographic groups at higher rates and expand the reach of the program.</w:t>
      </w:r>
    </w:p>
    <w:p w:rsidR="00751A38" w:rsidRPr="00B75B77" w:rsidRDefault="00751A38" w:rsidP="009E08FB">
      <w:pPr>
        <w:pStyle w:val="ListParagraph"/>
        <w:numPr>
          <w:ilvl w:val="0"/>
          <w:numId w:val="32"/>
        </w:numPr>
        <w:spacing w:before="120" w:after="120"/>
        <w:contextualSpacing w:val="0"/>
        <w:rPr>
          <w:snapToGrid w:val="0"/>
        </w:rPr>
      </w:pPr>
      <w:r w:rsidRPr="00B75B77">
        <w:rPr>
          <w:b/>
          <w:snapToGrid w:val="0"/>
        </w:rPr>
        <w:t xml:space="preserve">Finding: </w:t>
      </w:r>
      <w:r w:rsidRPr="00B75B77">
        <w:rPr>
          <w:snapToGrid w:val="0"/>
        </w:rPr>
        <w:t>PECO envisions the SHC program as a gateway to other Smart Ideas programs since the energy advisors have an opportunity to interact with customers during the home assessments and recommend additional energy efficiency upgrades incentivized by other PECO programs. PECO staff also mentioned that energy advisors provide program participants with a packet that includes marketing materials and offers for other programs in the Smart Ideas portfolio. However, only 19</w:t>
      </w:r>
      <w:r w:rsidR="0009500C" w:rsidRPr="00B75B77">
        <w:rPr>
          <w:snapToGrid w:val="0"/>
        </w:rPr>
        <w:t>%</w:t>
      </w:r>
      <w:r w:rsidRPr="00B75B77">
        <w:rPr>
          <w:snapToGrid w:val="0"/>
        </w:rPr>
        <w:t xml:space="preserve"> of PY7 interview respondents (n=1</w:t>
      </w:r>
      <w:r w:rsidR="00001E26" w:rsidRPr="00B75B77">
        <w:rPr>
          <w:snapToGrid w:val="0"/>
        </w:rPr>
        <w:t>30</w:t>
      </w:r>
      <w:r w:rsidRPr="00B75B77">
        <w:rPr>
          <w:snapToGrid w:val="0"/>
        </w:rPr>
        <w:t>) recalled having other Smart Ideas programs recommended to them and only 11</w:t>
      </w:r>
      <w:r w:rsidR="0009500C" w:rsidRPr="00B75B77">
        <w:rPr>
          <w:snapToGrid w:val="0"/>
        </w:rPr>
        <w:t>%</w:t>
      </w:r>
      <w:r w:rsidRPr="00B75B77">
        <w:rPr>
          <w:snapToGrid w:val="0"/>
        </w:rPr>
        <w:t xml:space="preserve"> (n=</w:t>
      </w:r>
      <w:r w:rsidR="00001E26" w:rsidRPr="00B75B77">
        <w:rPr>
          <w:snapToGrid w:val="0"/>
        </w:rPr>
        <w:t>130</w:t>
      </w:r>
      <w:r w:rsidRPr="00B75B77">
        <w:rPr>
          <w:snapToGrid w:val="0"/>
        </w:rPr>
        <w:t xml:space="preserve">) said that they planned to participate in another program. These low </w:t>
      </w:r>
      <w:r w:rsidR="001E20FA" w:rsidRPr="00B75B77">
        <w:rPr>
          <w:snapToGrid w:val="0"/>
        </w:rPr>
        <w:t xml:space="preserve">awareness </w:t>
      </w:r>
      <w:r w:rsidRPr="00B75B77">
        <w:rPr>
          <w:snapToGrid w:val="0"/>
        </w:rPr>
        <w:t>rates of other program recommendations indicated that there is an opportunity to offer more cross-program marketing.</w:t>
      </w:r>
    </w:p>
    <w:p w:rsidR="00751A38" w:rsidRPr="00B75B77" w:rsidRDefault="00751A38" w:rsidP="009E08FB">
      <w:pPr>
        <w:pStyle w:val="ListParagraph"/>
        <w:numPr>
          <w:ilvl w:val="0"/>
          <w:numId w:val="35"/>
        </w:numPr>
        <w:spacing w:before="120" w:afterLines="120" w:after="288"/>
        <w:contextualSpacing w:val="0"/>
        <w:jc w:val="left"/>
      </w:pPr>
      <w:r w:rsidRPr="00B75B77">
        <w:rPr>
          <w:b/>
          <w:snapToGrid w:val="0"/>
        </w:rPr>
        <w:t>Recommendation:</w:t>
      </w:r>
      <w:r w:rsidRPr="00B75B77">
        <w:rPr>
          <w:snapToGrid w:val="0"/>
        </w:rPr>
        <w:t xml:space="preserve"> </w:t>
      </w:r>
      <w:r w:rsidR="00305DB7" w:rsidRPr="00B75B77">
        <w:rPr>
          <w:snapToGrid w:val="0"/>
        </w:rPr>
        <w:t xml:space="preserve">Shape the SHC program as a gateway to the Smart Ideas portfolio of programs. </w:t>
      </w:r>
      <w:r w:rsidR="00305DB7" w:rsidRPr="00B75B77">
        <w:rPr>
          <w:rFonts w:ascii="Calibri" w:eastAsia="Times New Roman" w:hAnsi="Calibri"/>
          <w:color w:val="000000"/>
        </w:rPr>
        <w:t>Engage more effectively in cross-program promotion by improving the ability of energy advisors to educate customers.</w:t>
      </w:r>
    </w:p>
    <w:p w:rsidR="00751A38" w:rsidRPr="00B75B77" w:rsidRDefault="00751A38" w:rsidP="00751A38">
      <w:pPr>
        <w:pStyle w:val="Heading2"/>
        <w:spacing w:before="240"/>
      </w:pPr>
      <w:bookmarkStart w:id="338" w:name="_Toc453075185"/>
      <w:bookmarkStart w:id="339" w:name="_Toc466413300"/>
      <w:r w:rsidRPr="00B75B77">
        <w:t>Status of Recommendations for Program</w:t>
      </w:r>
      <w:bookmarkEnd w:id="338"/>
      <w:bookmarkEnd w:id="339"/>
    </w:p>
    <w:p w:rsidR="00751A38" w:rsidRPr="00B75B77" w:rsidRDefault="00751A38" w:rsidP="00751A38">
      <w:r w:rsidRPr="00B75B77">
        <w:rPr>
          <w:rFonts w:eastAsia="Times New Roman"/>
          <w:color w:val="000000"/>
        </w:rPr>
        <w:t xml:space="preserve">The evaluation team’s recommendations for the SHC program are provided in </w:t>
      </w:r>
      <w:r w:rsidR="0015550B" w:rsidRPr="00B75B77">
        <w:fldChar w:fldCharType="begin"/>
      </w:r>
      <w:r w:rsidR="0015550B" w:rsidRPr="00B75B77">
        <w:rPr>
          <w:rFonts w:eastAsia="Times New Roman"/>
          <w:color w:val="000000"/>
        </w:rPr>
        <w:instrText xml:space="preserve"> REF _Ref462059842 \h </w:instrText>
      </w:r>
      <w:r w:rsidR="00B75B77">
        <w:instrText xml:space="preserve"> \* MERGEFORMAT </w:instrText>
      </w:r>
      <w:r w:rsidR="0015550B" w:rsidRPr="00B75B77">
        <w:fldChar w:fldCharType="separate"/>
      </w:r>
      <w:r w:rsidR="0004016D" w:rsidRPr="00B75B77">
        <w:t xml:space="preserve">Table </w:t>
      </w:r>
      <w:r w:rsidR="0004016D">
        <w:rPr>
          <w:noProof/>
        </w:rPr>
        <w:t>3</w:t>
      </w:r>
      <w:r w:rsidR="0004016D" w:rsidRPr="00B75B77">
        <w:rPr>
          <w:noProof/>
        </w:rPr>
        <w:noBreakHyphen/>
      </w:r>
      <w:r w:rsidR="0004016D">
        <w:rPr>
          <w:noProof/>
        </w:rPr>
        <w:t>8</w:t>
      </w:r>
      <w:r w:rsidR="0015550B" w:rsidRPr="00B75B77">
        <w:fldChar w:fldCharType="end"/>
      </w:r>
      <w:r w:rsidRPr="00B75B77">
        <w:rPr>
          <w:rFonts w:eastAsia="Times New Roman"/>
          <w:color w:val="000000"/>
        </w:rPr>
        <w:t xml:space="preserve">. </w:t>
      </w:r>
      <w:r w:rsidR="00031089" w:rsidRPr="00B75B77">
        <w:rPr>
          <w:rFonts w:eastAsia="Times New Roman"/>
          <w:color w:val="000000"/>
        </w:rPr>
        <w:t>Navigant based t</w:t>
      </w:r>
      <w:r w:rsidRPr="00B75B77">
        <w:rPr>
          <w:rFonts w:eastAsia="Times New Roman"/>
          <w:color w:val="000000"/>
        </w:rPr>
        <w:t xml:space="preserve">hese recommendations on the results of the PY7 evaluation and PECO’s vision for the program </w:t>
      </w:r>
      <w:r w:rsidR="001E20FA" w:rsidRPr="00B75B77">
        <w:rPr>
          <w:rFonts w:eastAsia="Times New Roman"/>
          <w:color w:val="000000"/>
        </w:rPr>
        <w:t xml:space="preserve">moving </w:t>
      </w:r>
      <w:r w:rsidRPr="00B75B77">
        <w:rPr>
          <w:rFonts w:eastAsia="Times New Roman"/>
          <w:color w:val="000000"/>
        </w:rPr>
        <w:t>forward into Phase III</w:t>
      </w:r>
      <w:r w:rsidR="002E49B3" w:rsidRPr="00B75B77">
        <w:rPr>
          <w:rFonts w:eastAsia="Times New Roman"/>
          <w:color w:val="000000"/>
        </w:rPr>
        <w:t xml:space="preserve">. </w:t>
      </w:r>
      <w:r w:rsidRPr="00B75B77">
        <w:rPr>
          <w:rFonts w:eastAsia="Times New Roman"/>
          <w:color w:val="000000"/>
        </w:rPr>
        <w:t xml:space="preserve"> </w:t>
      </w:r>
      <w:r w:rsidRPr="00B75B77">
        <w:t xml:space="preserve"> </w:t>
      </w:r>
    </w:p>
    <w:p w:rsidR="00751A38" w:rsidRPr="00B75B77" w:rsidRDefault="00751A38" w:rsidP="0004543D"/>
    <w:p w:rsidR="00751A38" w:rsidRPr="00B75B77" w:rsidRDefault="00751A38" w:rsidP="0015550B">
      <w:pPr>
        <w:pStyle w:val="Caption"/>
      </w:pPr>
      <w:bookmarkStart w:id="340" w:name="_Ref462059842"/>
      <w:bookmarkStart w:id="341" w:name="_Toc466413528"/>
      <w:r w:rsidRPr="00B75B77">
        <w:lastRenderedPageBreak/>
        <w:t xml:space="preserve">Table </w:t>
      </w:r>
      <w:fldSimple w:instr=" STYLEREF 1 \s ">
        <w:r w:rsidR="0004016D">
          <w:rPr>
            <w:noProof/>
          </w:rPr>
          <w:t>3</w:t>
        </w:r>
      </w:fldSimple>
      <w:r w:rsidR="00F1144C" w:rsidRPr="00B75B77">
        <w:noBreakHyphen/>
      </w:r>
      <w:fldSimple w:instr=" SEQ Table \* ARABIC \s 1 ">
        <w:r w:rsidR="0004016D">
          <w:rPr>
            <w:noProof/>
          </w:rPr>
          <w:t>8</w:t>
        </w:r>
      </w:fldSimple>
      <w:bookmarkEnd w:id="340"/>
      <w:r w:rsidRPr="00B75B77">
        <w:t>: Smart House Call Status Report on Process and Impact Recommendations</w:t>
      </w:r>
      <w:bookmarkEnd w:id="341"/>
      <w:r w:rsidRPr="00B75B77">
        <w:t xml:space="preserve"> </w:t>
      </w:r>
    </w:p>
    <w:tbl>
      <w:tblPr>
        <w:tblStyle w:val="MediumShading1-Accent5"/>
        <w:tblW w:w="936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4680"/>
        <w:gridCol w:w="4680"/>
      </w:tblGrid>
      <w:tr w:rsidR="00751A38" w:rsidRPr="00B75B77" w:rsidTr="00594255">
        <w:trPr>
          <w:cnfStyle w:val="100000000000" w:firstRow="1" w:lastRow="0" w:firstColumn="0" w:lastColumn="0" w:oddVBand="0" w:evenVBand="0" w:oddHBand="0"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4680" w:type="dxa"/>
            <w:tcBorders>
              <w:top w:val="single" w:sz="8" w:space="0" w:color="auto"/>
              <w:left w:val="single" w:sz="8" w:space="0" w:color="auto"/>
              <w:bottom w:val="single" w:sz="8" w:space="0" w:color="auto"/>
              <w:right w:val="single" w:sz="8" w:space="0" w:color="auto"/>
            </w:tcBorders>
            <w:shd w:val="clear" w:color="auto" w:fill="448A99"/>
            <w:vAlign w:val="center"/>
            <w:hideMark/>
          </w:tcPr>
          <w:p w:rsidR="00751A38" w:rsidRPr="00B75B77" w:rsidRDefault="00751A38" w:rsidP="0015550B">
            <w:pPr>
              <w:keepNext/>
              <w:jc w:val="left"/>
              <w:rPr>
                <w:rFonts w:ascii="Calibri" w:eastAsia="Times New Roman" w:hAnsi="Calibri"/>
                <w:bCs w:val="0"/>
                <w:sz w:val="18"/>
              </w:rPr>
            </w:pPr>
            <w:r w:rsidRPr="00B75B77">
              <w:rPr>
                <w:rFonts w:ascii="Calibri" w:eastAsia="Times New Roman" w:hAnsi="Calibri"/>
                <w:bCs w:val="0"/>
                <w:sz w:val="18"/>
              </w:rPr>
              <w:t>Recommendations</w:t>
            </w:r>
          </w:p>
        </w:tc>
        <w:tc>
          <w:tcPr>
            <w:tcW w:w="4680" w:type="dxa"/>
            <w:tcBorders>
              <w:top w:val="single" w:sz="8" w:space="0" w:color="auto"/>
              <w:left w:val="single" w:sz="8" w:space="0" w:color="auto"/>
              <w:bottom w:val="single" w:sz="8" w:space="0" w:color="auto"/>
              <w:right w:val="single" w:sz="8" w:space="0" w:color="auto"/>
            </w:tcBorders>
            <w:shd w:val="clear" w:color="auto" w:fill="448A99"/>
            <w:vAlign w:val="center"/>
            <w:hideMark/>
          </w:tcPr>
          <w:p w:rsidR="00751A38" w:rsidRPr="00B75B77" w:rsidRDefault="00751A38" w:rsidP="0015550B">
            <w:pPr>
              <w:keepNext/>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rPr>
            </w:pPr>
            <w:r w:rsidRPr="00B75B77">
              <w:rPr>
                <w:rFonts w:ascii="Calibri" w:eastAsia="Times New Roman" w:hAnsi="Calibri"/>
                <w:bCs w:val="0"/>
                <w:sz w:val="18"/>
              </w:rPr>
              <w:t>EDC Status of Recommendation (Implemented, Being Considered, Rejected AND Explanation of Action Taken by EDC)</w:t>
            </w:r>
          </w:p>
        </w:tc>
      </w:tr>
      <w:tr w:rsidR="00751A38" w:rsidRPr="00B75B77" w:rsidTr="00460DC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tcBorders>
              <w:top w:val="single" w:sz="8" w:space="0" w:color="auto"/>
              <w:bottom w:val="single" w:sz="4" w:space="0" w:color="448A99"/>
              <w:right w:val="none" w:sz="0" w:space="0" w:color="auto"/>
            </w:tcBorders>
            <w:noWrap/>
            <w:vAlign w:val="center"/>
            <w:hideMark/>
          </w:tcPr>
          <w:p w:rsidR="00751A38" w:rsidRPr="00B75B77" w:rsidRDefault="00751A38" w:rsidP="0015550B">
            <w:pPr>
              <w:keepNext/>
              <w:jc w:val="left"/>
              <w:rPr>
                <w:rFonts w:ascii="Calibri" w:eastAsia="Times New Roman" w:hAnsi="Calibri"/>
                <w:b w:val="0"/>
                <w:color w:val="000000"/>
                <w:sz w:val="18"/>
              </w:rPr>
            </w:pPr>
            <w:r w:rsidRPr="00B75B77">
              <w:rPr>
                <w:rFonts w:ascii="Calibri" w:eastAsia="Times New Roman" w:hAnsi="Calibri"/>
                <w:color w:val="000000"/>
                <w:sz w:val="18"/>
              </w:rPr>
              <w:t>Recommendation 1</w:t>
            </w:r>
            <w:r w:rsidR="00105A12" w:rsidRPr="00B75B77">
              <w:rPr>
                <w:rFonts w:ascii="Calibri" w:eastAsia="Times New Roman" w:hAnsi="Calibri"/>
                <w:color w:val="000000"/>
                <w:sz w:val="18"/>
              </w:rPr>
              <w:t>:</w:t>
            </w:r>
            <w:r w:rsidRPr="00B75B77">
              <w:rPr>
                <w:rFonts w:ascii="Calibri" w:eastAsia="Times New Roman" w:hAnsi="Calibri"/>
                <w:color w:val="000000"/>
                <w:sz w:val="18"/>
              </w:rPr>
              <w:t xml:space="preserve"> </w:t>
            </w:r>
            <w:r w:rsidRPr="00B75B77">
              <w:rPr>
                <w:rFonts w:ascii="Calibri" w:eastAsia="Times New Roman" w:hAnsi="Calibri"/>
                <w:b w:val="0"/>
                <w:color w:val="000000"/>
                <w:sz w:val="18"/>
              </w:rPr>
              <w:t>Continue to maintain the high rates of customer satisfaction and rapport that energy advisors have built with customers, through</w:t>
            </w:r>
            <w:r w:rsidR="00561219" w:rsidRPr="00B75B77">
              <w:rPr>
                <w:rFonts w:ascii="Calibri" w:eastAsia="Times New Roman" w:hAnsi="Calibri"/>
                <w:b w:val="0"/>
                <w:color w:val="000000"/>
                <w:sz w:val="18"/>
              </w:rPr>
              <w:t xml:space="preserve"> the following</w:t>
            </w:r>
            <w:r w:rsidRPr="00B75B77">
              <w:rPr>
                <w:rFonts w:ascii="Calibri" w:eastAsia="Times New Roman" w:hAnsi="Calibri"/>
                <w:b w:val="0"/>
                <w:color w:val="000000"/>
                <w:sz w:val="18"/>
              </w:rPr>
              <w:t>:</w:t>
            </w:r>
          </w:p>
          <w:p w:rsidR="00751A38" w:rsidRPr="00B75B77" w:rsidRDefault="00751A38" w:rsidP="00153ECC">
            <w:pPr>
              <w:pStyle w:val="ListParagraph"/>
              <w:keepNext/>
              <w:numPr>
                <w:ilvl w:val="0"/>
                <w:numId w:val="29"/>
              </w:numPr>
              <w:ind w:left="422" w:hanging="270"/>
              <w:jc w:val="left"/>
              <w:rPr>
                <w:rFonts w:ascii="Calibri" w:eastAsia="Times New Roman" w:hAnsi="Calibri"/>
                <w:b w:val="0"/>
                <w:color w:val="000000"/>
                <w:sz w:val="18"/>
              </w:rPr>
            </w:pPr>
            <w:r w:rsidRPr="00B75B77">
              <w:rPr>
                <w:rFonts w:ascii="Calibri" w:eastAsia="Times New Roman" w:hAnsi="Calibri"/>
                <w:b w:val="0"/>
                <w:color w:val="000000"/>
                <w:sz w:val="18"/>
              </w:rPr>
              <w:t xml:space="preserve">Maintaining the personalized feel of the program </w:t>
            </w:r>
          </w:p>
          <w:p w:rsidR="00751A38" w:rsidRPr="00B75B77" w:rsidRDefault="00751A38" w:rsidP="00153ECC">
            <w:pPr>
              <w:pStyle w:val="ListParagraph"/>
              <w:keepNext/>
              <w:numPr>
                <w:ilvl w:val="0"/>
                <w:numId w:val="29"/>
              </w:numPr>
              <w:ind w:left="422" w:hanging="270"/>
              <w:jc w:val="left"/>
              <w:rPr>
                <w:rFonts w:ascii="Calibri" w:eastAsia="Times New Roman" w:hAnsi="Calibri"/>
                <w:color w:val="000000"/>
                <w:sz w:val="18"/>
              </w:rPr>
            </w:pPr>
            <w:r w:rsidRPr="00B75B77">
              <w:rPr>
                <w:rFonts w:ascii="Calibri" w:eastAsia="Times New Roman" w:hAnsi="Calibri"/>
                <w:b w:val="0"/>
                <w:color w:val="000000"/>
                <w:sz w:val="18"/>
              </w:rPr>
              <w:t>Provid</w:t>
            </w:r>
            <w:r w:rsidR="00561219" w:rsidRPr="00B75B77">
              <w:rPr>
                <w:rFonts w:ascii="Calibri" w:eastAsia="Times New Roman" w:hAnsi="Calibri"/>
                <w:b w:val="0"/>
                <w:color w:val="000000"/>
                <w:sz w:val="18"/>
              </w:rPr>
              <w:t>ing</w:t>
            </w:r>
            <w:r w:rsidRPr="00B75B77">
              <w:rPr>
                <w:rFonts w:ascii="Calibri" w:eastAsia="Times New Roman" w:hAnsi="Calibri"/>
                <w:b w:val="0"/>
                <w:color w:val="000000"/>
                <w:sz w:val="18"/>
              </w:rPr>
              <w:t xml:space="preserve"> a learning experience to customers with varying degrees of knowledge about energy efficiency</w:t>
            </w:r>
          </w:p>
        </w:tc>
        <w:tc>
          <w:tcPr>
            <w:tcW w:w="4680" w:type="dxa"/>
            <w:tcBorders>
              <w:top w:val="single" w:sz="8" w:space="0" w:color="auto"/>
              <w:left w:val="none" w:sz="0" w:space="0" w:color="auto"/>
              <w:bottom w:val="single" w:sz="4" w:space="0" w:color="448A99"/>
            </w:tcBorders>
            <w:noWrap/>
            <w:hideMark/>
          </w:tcPr>
          <w:p w:rsidR="008C3974" w:rsidRPr="00B75B77" w:rsidRDefault="008C3974" w:rsidP="0055143E">
            <w:pPr>
              <w:pStyle w:val="ListParagraph"/>
              <w:numPr>
                <w:ilvl w:val="0"/>
                <w:numId w:val="116"/>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18"/>
              </w:rPr>
            </w:pPr>
            <w:r w:rsidRPr="00B75B77">
              <w:rPr>
                <w:rFonts w:ascii="Calibri" w:eastAsia="Times New Roman" w:hAnsi="Calibri"/>
                <w:b/>
                <w:color w:val="000000"/>
                <w:sz w:val="18"/>
              </w:rPr>
              <w:t>Implemented</w:t>
            </w:r>
          </w:p>
          <w:p w:rsidR="00751A38" w:rsidRPr="00B75B77" w:rsidRDefault="008C3974" w:rsidP="0055143E">
            <w:pPr>
              <w:pStyle w:val="ListParagraph"/>
              <w:numPr>
                <w:ilvl w:val="0"/>
                <w:numId w:val="116"/>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18"/>
              </w:rPr>
            </w:pPr>
            <w:r w:rsidRPr="00B75B77">
              <w:rPr>
                <w:rFonts w:ascii="Calibri" w:eastAsia="Times New Roman" w:hAnsi="Calibri"/>
                <w:b/>
                <w:color w:val="000000"/>
                <w:sz w:val="18"/>
              </w:rPr>
              <w:t>Implemented</w:t>
            </w:r>
          </w:p>
        </w:tc>
      </w:tr>
      <w:tr w:rsidR="00751A38" w:rsidRPr="00B75B77" w:rsidTr="00460DCF">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448A99"/>
              <w:right w:val="single" w:sz="4" w:space="0" w:color="448A99"/>
            </w:tcBorders>
            <w:noWrap/>
            <w:vAlign w:val="center"/>
          </w:tcPr>
          <w:p w:rsidR="00105A12" w:rsidRPr="00B75B77" w:rsidRDefault="00751A38" w:rsidP="0015550B">
            <w:pPr>
              <w:keepNext/>
              <w:jc w:val="left"/>
              <w:rPr>
                <w:rFonts w:ascii="Calibri" w:eastAsia="Times New Roman" w:hAnsi="Calibri"/>
                <w:color w:val="000000"/>
                <w:sz w:val="18"/>
              </w:rPr>
            </w:pPr>
            <w:r w:rsidRPr="00B75B77">
              <w:rPr>
                <w:rFonts w:ascii="Calibri" w:eastAsia="Times New Roman" w:hAnsi="Calibri"/>
                <w:color w:val="000000"/>
                <w:sz w:val="18"/>
              </w:rPr>
              <w:t>Recommendation 2</w:t>
            </w:r>
            <w:r w:rsidR="00105A12" w:rsidRPr="00B75B77">
              <w:rPr>
                <w:rFonts w:ascii="Calibri" w:eastAsia="Times New Roman" w:hAnsi="Calibri"/>
                <w:color w:val="000000"/>
                <w:sz w:val="18"/>
              </w:rPr>
              <w:t>:</w:t>
            </w:r>
          </w:p>
          <w:p w:rsidR="00105A12" w:rsidRPr="00B75B77" w:rsidRDefault="001F649F" w:rsidP="0055143E">
            <w:pPr>
              <w:pStyle w:val="ListParagraph"/>
              <w:keepNext/>
              <w:numPr>
                <w:ilvl w:val="1"/>
                <w:numId w:val="116"/>
              </w:numPr>
              <w:ind w:left="422" w:hanging="270"/>
              <w:jc w:val="left"/>
              <w:rPr>
                <w:rFonts w:ascii="Calibri" w:eastAsia="Times New Roman" w:hAnsi="Calibri"/>
                <w:b w:val="0"/>
                <w:color w:val="000000"/>
                <w:sz w:val="18"/>
              </w:rPr>
            </w:pPr>
            <w:r w:rsidRPr="00B75B77">
              <w:rPr>
                <w:rFonts w:ascii="Calibri" w:eastAsia="Times New Roman" w:hAnsi="Calibri"/>
                <w:b w:val="0"/>
                <w:color w:val="000000"/>
                <w:sz w:val="18"/>
              </w:rPr>
              <w:t xml:space="preserve">Maintain relationships with customers and keep them open by marketing PECO and other program opportunities. </w:t>
            </w:r>
          </w:p>
          <w:p w:rsidR="00751A38" w:rsidRPr="00B75B77" w:rsidRDefault="00751A38" w:rsidP="0055143E">
            <w:pPr>
              <w:pStyle w:val="ListParagraph"/>
              <w:keepNext/>
              <w:numPr>
                <w:ilvl w:val="1"/>
                <w:numId w:val="116"/>
              </w:numPr>
              <w:ind w:left="422" w:hanging="270"/>
              <w:jc w:val="left"/>
              <w:rPr>
                <w:rFonts w:ascii="Calibri" w:eastAsia="Times New Roman" w:hAnsi="Calibri"/>
                <w:b w:val="0"/>
                <w:color w:val="000000"/>
                <w:sz w:val="18"/>
              </w:rPr>
            </w:pPr>
            <w:r w:rsidRPr="00B75B77">
              <w:rPr>
                <w:rFonts w:ascii="Calibri" w:eastAsia="Times New Roman" w:hAnsi="Calibri"/>
                <w:b w:val="0"/>
                <w:color w:val="000000"/>
                <w:sz w:val="18"/>
              </w:rPr>
              <w:t xml:space="preserve">Develop and implement an energy advisor checklist that includes each of the actions an </w:t>
            </w:r>
            <w:r w:rsidR="00561219" w:rsidRPr="00B75B77">
              <w:rPr>
                <w:rFonts w:ascii="Calibri" w:eastAsia="Times New Roman" w:hAnsi="Calibri"/>
                <w:b w:val="0"/>
                <w:color w:val="000000"/>
                <w:sz w:val="18"/>
              </w:rPr>
              <w:t>e</w:t>
            </w:r>
            <w:r w:rsidRPr="00B75B77">
              <w:rPr>
                <w:rFonts w:ascii="Calibri" w:eastAsia="Times New Roman" w:hAnsi="Calibri"/>
                <w:b w:val="0"/>
                <w:color w:val="000000"/>
                <w:sz w:val="18"/>
              </w:rPr>
              <w:t xml:space="preserve">nergy </w:t>
            </w:r>
            <w:r w:rsidR="00561219" w:rsidRPr="00B75B77">
              <w:rPr>
                <w:rFonts w:ascii="Calibri" w:eastAsia="Times New Roman" w:hAnsi="Calibri"/>
                <w:b w:val="0"/>
                <w:color w:val="000000"/>
                <w:sz w:val="18"/>
              </w:rPr>
              <w:t>a</w:t>
            </w:r>
            <w:r w:rsidRPr="00B75B77">
              <w:rPr>
                <w:rFonts w:ascii="Calibri" w:eastAsia="Times New Roman" w:hAnsi="Calibri"/>
                <w:b w:val="0"/>
                <w:color w:val="000000"/>
                <w:sz w:val="18"/>
              </w:rPr>
              <w:t>dvisor must take to complete a successful site visit</w:t>
            </w:r>
            <w:r w:rsidR="00561219" w:rsidRPr="00B75B77">
              <w:rPr>
                <w:rFonts w:ascii="Calibri" w:eastAsia="Times New Roman" w:hAnsi="Calibri"/>
                <w:b w:val="0"/>
                <w:color w:val="000000"/>
                <w:sz w:val="18"/>
              </w:rPr>
              <w:t>; items that may be included:</w:t>
            </w:r>
          </w:p>
          <w:p w:rsidR="00751A38" w:rsidRPr="00B75B77" w:rsidRDefault="00751A38" w:rsidP="009E08FB">
            <w:pPr>
              <w:pStyle w:val="ListParagraph"/>
              <w:keepNext/>
              <w:numPr>
                <w:ilvl w:val="0"/>
                <w:numId w:val="42"/>
              </w:numPr>
              <w:ind w:left="872" w:hanging="270"/>
              <w:jc w:val="left"/>
              <w:rPr>
                <w:rFonts w:ascii="Calibri" w:eastAsia="Times New Roman" w:hAnsi="Calibri"/>
                <w:b w:val="0"/>
                <w:color w:val="000000"/>
                <w:sz w:val="18"/>
              </w:rPr>
            </w:pPr>
            <w:r w:rsidRPr="00B75B77">
              <w:rPr>
                <w:rFonts w:ascii="Calibri" w:eastAsia="Times New Roman" w:hAnsi="Calibri"/>
                <w:b w:val="0"/>
                <w:color w:val="000000"/>
                <w:sz w:val="18"/>
              </w:rPr>
              <w:t>Provide thorough home visits with insightful information offered to participants</w:t>
            </w:r>
          </w:p>
          <w:p w:rsidR="00751A38" w:rsidRPr="00B75B77" w:rsidRDefault="00751A38" w:rsidP="009E08FB">
            <w:pPr>
              <w:pStyle w:val="ListParagraph"/>
              <w:keepNext/>
              <w:numPr>
                <w:ilvl w:val="0"/>
                <w:numId w:val="42"/>
              </w:numPr>
              <w:ind w:left="872" w:hanging="270"/>
              <w:jc w:val="left"/>
              <w:rPr>
                <w:rFonts w:ascii="Calibri" w:eastAsia="Times New Roman" w:hAnsi="Calibri"/>
                <w:b w:val="0"/>
                <w:color w:val="000000"/>
                <w:sz w:val="18"/>
              </w:rPr>
            </w:pPr>
            <w:r w:rsidRPr="00B75B77">
              <w:rPr>
                <w:rFonts w:ascii="Calibri" w:eastAsia="Times New Roman" w:hAnsi="Calibri"/>
                <w:b w:val="0"/>
                <w:color w:val="000000"/>
                <w:sz w:val="18"/>
              </w:rPr>
              <w:t>Install measure</w:t>
            </w:r>
            <w:r w:rsidR="00561219" w:rsidRPr="00B75B77">
              <w:rPr>
                <w:rFonts w:ascii="Calibri" w:eastAsia="Times New Roman" w:hAnsi="Calibri"/>
                <w:b w:val="0"/>
                <w:color w:val="000000"/>
                <w:sz w:val="18"/>
              </w:rPr>
              <w:t>s</w:t>
            </w:r>
            <w:r w:rsidRPr="00B75B77">
              <w:rPr>
                <w:rFonts w:ascii="Calibri" w:eastAsia="Times New Roman" w:hAnsi="Calibri"/>
                <w:b w:val="0"/>
                <w:color w:val="000000"/>
                <w:sz w:val="18"/>
              </w:rPr>
              <w:t xml:space="preserve"> that are compatible with customers’ homes</w:t>
            </w:r>
            <w:r w:rsidR="00561219" w:rsidRPr="00B75B77">
              <w:rPr>
                <w:rFonts w:ascii="Calibri" w:eastAsia="Times New Roman" w:hAnsi="Calibri"/>
                <w:b w:val="0"/>
                <w:color w:val="000000"/>
                <w:sz w:val="18"/>
              </w:rPr>
              <w:t xml:space="preserve">; </w:t>
            </w:r>
            <w:r w:rsidRPr="00B75B77">
              <w:rPr>
                <w:rFonts w:ascii="Calibri" w:eastAsia="Times New Roman" w:hAnsi="Calibri"/>
                <w:b w:val="0"/>
                <w:color w:val="000000"/>
                <w:sz w:val="18"/>
              </w:rPr>
              <w:t>test installations</w:t>
            </w:r>
          </w:p>
          <w:p w:rsidR="00751A38" w:rsidRPr="00B75B77" w:rsidRDefault="00751A38" w:rsidP="009E08FB">
            <w:pPr>
              <w:pStyle w:val="ListParagraph"/>
              <w:keepNext/>
              <w:numPr>
                <w:ilvl w:val="0"/>
                <w:numId w:val="42"/>
              </w:numPr>
              <w:ind w:left="872" w:hanging="270"/>
              <w:jc w:val="left"/>
              <w:rPr>
                <w:rFonts w:ascii="Calibri" w:eastAsia="Times New Roman" w:hAnsi="Calibri"/>
                <w:b w:val="0"/>
                <w:color w:val="000000"/>
                <w:sz w:val="18"/>
              </w:rPr>
            </w:pPr>
            <w:r w:rsidRPr="00B75B77">
              <w:rPr>
                <w:rFonts w:ascii="Calibri" w:eastAsia="Times New Roman" w:hAnsi="Calibri"/>
                <w:b w:val="0"/>
                <w:color w:val="000000"/>
                <w:sz w:val="18"/>
              </w:rPr>
              <w:t xml:space="preserve">Send </w:t>
            </w:r>
            <w:r w:rsidR="00561219" w:rsidRPr="00B75B77">
              <w:rPr>
                <w:rFonts w:ascii="Calibri" w:eastAsia="Times New Roman" w:hAnsi="Calibri"/>
                <w:b w:val="0"/>
                <w:color w:val="000000"/>
                <w:sz w:val="18"/>
              </w:rPr>
              <w:t>a</w:t>
            </w:r>
            <w:r w:rsidRPr="00B75B77">
              <w:rPr>
                <w:rFonts w:ascii="Calibri" w:eastAsia="Times New Roman" w:hAnsi="Calibri"/>
                <w:b w:val="0"/>
                <w:color w:val="000000"/>
                <w:sz w:val="18"/>
              </w:rPr>
              <w:t>udit report to all audit participants</w:t>
            </w:r>
          </w:p>
          <w:p w:rsidR="00751A38" w:rsidRPr="00B75B77" w:rsidRDefault="00751A38" w:rsidP="009E08FB">
            <w:pPr>
              <w:pStyle w:val="ListParagraph"/>
              <w:keepNext/>
              <w:numPr>
                <w:ilvl w:val="0"/>
                <w:numId w:val="42"/>
              </w:numPr>
              <w:ind w:left="872" w:hanging="270"/>
              <w:jc w:val="left"/>
              <w:rPr>
                <w:rFonts w:ascii="Calibri" w:eastAsia="Times New Roman" w:hAnsi="Calibri"/>
                <w:color w:val="000000"/>
                <w:sz w:val="18"/>
              </w:rPr>
            </w:pPr>
            <w:r w:rsidRPr="00B75B77">
              <w:rPr>
                <w:rFonts w:ascii="Calibri" w:eastAsia="Times New Roman" w:hAnsi="Calibri"/>
                <w:b w:val="0"/>
                <w:color w:val="000000"/>
                <w:sz w:val="18"/>
              </w:rPr>
              <w:t>Follow</w:t>
            </w:r>
            <w:r w:rsidR="00561219" w:rsidRPr="00B75B77">
              <w:rPr>
                <w:rFonts w:ascii="Calibri" w:eastAsia="Times New Roman" w:hAnsi="Calibri"/>
                <w:b w:val="0"/>
                <w:color w:val="000000"/>
                <w:sz w:val="18"/>
              </w:rPr>
              <w:t xml:space="preserve"> </w:t>
            </w:r>
            <w:r w:rsidRPr="00B75B77">
              <w:rPr>
                <w:rFonts w:ascii="Calibri" w:eastAsia="Times New Roman" w:hAnsi="Calibri"/>
                <w:b w:val="0"/>
                <w:color w:val="000000"/>
                <w:sz w:val="18"/>
              </w:rPr>
              <w:t>up with customers to check on installed measures and encourage additional action</w:t>
            </w:r>
          </w:p>
        </w:tc>
        <w:tc>
          <w:tcPr>
            <w:tcW w:w="4680" w:type="dxa"/>
            <w:tcBorders>
              <w:top w:val="single" w:sz="4" w:space="0" w:color="448A99"/>
              <w:left w:val="single" w:sz="4" w:space="0" w:color="448A99"/>
            </w:tcBorders>
            <w:noWrap/>
          </w:tcPr>
          <w:p w:rsidR="00460DCF" w:rsidRPr="00B75B77" w:rsidRDefault="00460DCF" w:rsidP="0055143E">
            <w:pPr>
              <w:pStyle w:val="ListParagraph"/>
              <w:numPr>
                <w:ilvl w:val="0"/>
                <w:numId w:val="117"/>
              </w:numPr>
              <w:cnfStyle w:val="000000010000" w:firstRow="0" w:lastRow="0" w:firstColumn="0" w:lastColumn="0" w:oddVBand="0" w:evenVBand="0" w:oddHBand="0" w:evenHBand="1" w:firstRowFirstColumn="0" w:firstRowLastColumn="0" w:lastRowFirstColumn="0" w:lastRowLastColumn="0"/>
              <w:rPr>
                <w:rFonts w:ascii="Calibri" w:eastAsia="Times New Roman" w:hAnsi="Calibri"/>
                <w:b/>
                <w:color w:val="000000"/>
                <w:sz w:val="18"/>
              </w:rPr>
            </w:pPr>
            <w:r w:rsidRPr="00B75B77">
              <w:rPr>
                <w:rFonts w:ascii="Calibri" w:eastAsia="Times New Roman" w:hAnsi="Calibri"/>
                <w:b/>
                <w:color w:val="000000"/>
                <w:sz w:val="18"/>
              </w:rPr>
              <w:t>Implemented</w:t>
            </w:r>
          </w:p>
          <w:p w:rsidR="00751A38" w:rsidRPr="00B75B77" w:rsidRDefault="00460DCF" w:rsidP="0055143E">
            <w:pPr>
              <w:pStyle w:val="ListParagraph"/>
              <w:keepNext/>
              <w:numPr>
                <w:ilvl w:val="0"/>
                <w:numId w:val="117"/>
              </w:num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b/>
                <w:color w:val="000000"/>
                <w:sz w:val="18"/>
              </w:rPr>
            </w:pPr>
            <w:r w:rsidRPr="00B75B77">
              <w:rPr>
                <w:rFonts w:ascii="Calibri" w:eastAsia="Times New Roman" w:hAnsi="Calibri"/>
                <w:b/>
                <w:color w:val="000000"/>
                <w:sz w:val="18"/>
              </w:rPr>
              <w:t>Implemented</w:t>
            </w:r>
          </w:p>
        </w:tc>
      </w:tr>
      <w:tr w:rsidR="00751A38" w:rsidRPr="00B75B77" w:rsidTr="00751A3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tcBorders>
              <w:right w:val="none" w:sz="0" w:space="0" w:color="auto"/>
            </w:tcBorders>
            <w:noWrap/>
            <w:vAlign w:val="center"/>
            <w:hideMark/>
          </w:tcPr>
          <w:p w:rsidR="00751A38" w:rsidRPr="00B75B77" w:rsidRDefault="00751A38" w:rsidP="0015550B">
            <w:pPr>
              <w:keepNext/>
              <w:jc w:val="left"/>
              <w:rPr>
                <w:rFonts w:ascii="Calibri" w:eastAsia="Times New Roman" w:hAnsi="Calibri"/>
                <w:b w:val="0"/>
                <w:color w:val="000000"/>
                <w:sz w:val="18"/>
              </w:rPr>
            </w:pPr>
            <w:r w:rsidRPr="00B75B77">
              <w:rPr>
                <w:rFonts w:ascii="Calibri" w:eastAsia="Times New Roman" w:hAnsi="Calibri"/>
                <w:color w:val="000000"/>
                <w:sz w:val="18"/>
              </w:rPr>
              <w:t>Recommendation 3</w:t>
            </w:r>
            <w:r w:rsidR="00105A12" w:rsidRPr="00B75B77">
              <w:rPr>
                <w:rFonts w:ascii="Calibri" w:eastAsia="Times New Roman" w:hAnsi="Calibri"/>
                <w:color w:val="000000"/>
                <w:sz w:val="18"/>
              </w:rPr>
              <w:t>:</w:t>
            </w:r>
            <w:r w:rsidRPr="00B75B77">
              <w:rPr>
                <w:rFonts w:ascii="Calibri" w:eastAsia="Times New Roman" w:hAnsi="Calibri"/>
                <w:color w:val="000000"/>
                <w:sz w:val="18"/>
              </w:rPr>
              <w:t xml:space="preserve"> </w:t>
            </w:r>
            <w:r w:rsidRPr="00B75B77">
              <w:rPr>
                <w:rFonts w:ascii="Calibri" w:eastAsia="Times New Roman" w:hAnsi="Calibri"/>
                <w:b w:val="0"/>
                <w:color w:val="000000"/>
                <w:sz w:val="18"/>
              </w:rPr>
              <w:t xml:space="preserve">Do not let goals for improving TRC compromise positive customer experience and satisfaction. </w:t>
            </w:r>
          </w:p>
          <w:p w:rsidR="00751A38" w:rsidRPr="00B75B77" w:rsidRDefault="00751A38" w:rsidP="00153ECC">
            <w:pPr>
              <w:pStyle w:val="ListParagraph"/>
              <w:keepNext/>
              <w:numPr>
                <w:ilvl w:val="0"/>
                <w:numId w:val="30"/>
              </w:numPr>
              <w:ind w:left="422" w:hanging="270"/>
              <w:jc w:val="left"/>
              <w:rPr>
                <w:rFonts w:ascii="Calibri" w:eastAsia="Times New Roman" w:hAnsi="Calibri"/>
                <w:b w:val="0"/>
                <w:color w:val="000000"/>
                <w:sz w:val="18"/>
              </w:rPr>
            </w:pPr>
            <w:r w:rsidRPr="00B75B77">
              <w:rPr>
                <w:rFonts w:ascii="Calibri" w:eastAsia="Times New Roman" w:hAnsi="Calibri"/>
                <w:b w:val="0"/>
                <w:color w:val="000000"/>
                <w:sz w:val="18"/>
              </w:rPr>
              <w:t>Discontinue CFL installations and install 100% LEDs</w:t>
            </w:r>
          </w:p>
          <w:p w:rsidR="00751A38" w:rsidRPr="00B75B77" w:rsidRDefault="00751A38" w:rsidP="00153ECC">
            <w:pPr>
              <w:pStyle w:val="ListParagraph"/>
              <w:keepNext/>
              <w:numPr>
                <w:ilvl w:val="0"/>
                <w:numId w:val="30"/>
              </w:numPr>
              <w:ind w:left="422" w:hanging="270"/>
              <w:jc w:val="left"/>
              <w:rPr>
                <w:rFonts w:ascii="Calibri" w:eastAsia="Times New Roman" w:hAnsi="Calibri"/>
                <w:color w:val="000000"/>
                <w:sz w:val="18"/>
              </w:rPr>
            </w:pPr>
            <w:r w:rsidRPr="00B75B77">
              <w:rPr>
                <w:rFonts w:ascii="Calibri" w:eastAsia="Times New Roman" w:hAnsi="Calibri"/>
                <w:b w:val="0"/>
                <w:color w:val="000000"/>
                <w:sz w:val="18"/>
              </w:rPr>
              <w:t>Continue to market the program using past strategies that have proven effective and test new targeted marketing tactics</w:t>
            </w:r>
          </w:p>
        </w:tc>
        <w:tc>
          <w:tcPr>
            <w:tcW w:w="4680" w:type="dxa"/>
            <w:tcBorders>
              <w:left w:val="none" w:sz="0" w:space="0" w:color="auto"/>
              <w:bottom w:val="single" w:sz="4" w:space="0" w:color="448A99"/>
            </w:tcBorders>
            <w:noWrap/>
            <w:vAlign w:val="center"/>
            <w:hideMark/>
          </w:tcPr>
          <w:p w:rsidR="00460DCF" w:rsidRPr="00B75B77" w:rsidRDefault="00460DCF" w:rsidP="0055143E">
            <w:pPr>
              <w:pStyle w:val="ListParagraph"/>
              <w:keepNext/>
              <w:numPr>
                <w:ilvl w:val="0"/>
                <w:numId w:val="118"/>
              </w:num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rPr>
            </w:pPr>
            <w:r w:rsidRPr="00B75B77">
              <w:rPr>
                <w:rFonts w:ascii="Calibri" w:eastAsia="Times New Roman" w:hAnsi="Calibri"/>
                <w:b/>
                <w:color w:val="000000"/>
                <w:sz w:val="18"/>
              </w:rPr>
              <w:t>Being Considered:</w:t>
            </w:r>
            <w:r w:rsidRPr="00B75B77">
              <w:rPr>
                <w:rFonts w:ascii="Calibri" w:eastAsia="Times New Roman" w:hAnsi="Calibri"/>
                <w:color w:val="000000"/>
                <w:sz w:val="18"/>
              </w:rPr>
              <w:t xml:space="preserve"> Working with CSP to find alternative solutions in the lighting market to provide LED solutions that fall within the designed budget for </w:t>
            </w:r>
            <w:r w:rsidR="00D93A77" w:rsidRPr="00B75B77">
              <w:rPr>
                <w:rFonts w:ascii="Calibri" w:eastAsia="Times New Roman" w:hAnsi="Calibri"/>
                <w:color w:val="000000"/>
                <w:sz w:val="18"/>
              </w:rPr>
              <w:t>P</w:t>
            </w:r>
            <w:r w:rsidRPr="00B75B77">
              <w:rPr>
                <w:rFonts w:ascii="Calibri" w:eastAsia="Times New Roman" w:hAnsi="Calibri"/>
                <w:color w:val="000000"/>
                <w:sz w:val="18"/>
              </w:rPr>
              <w:t>hase III</w:t>
            </w:r>
            <w:r w:rsidR="00D93A77" w:rsidRPr="00B75B77">
              <w:rPr>
                <w:rFonts w:ascii="Calibri" w:eastAsia="Times New Roman" w:hAnsi="Calibri"/>
                <w:color w:val="000000"/>
                <w:sz w:val="18"/>
              </w:rPr>
              <w:t>.</w:t>
            </w:r>
          </w:p>
          <w:p w:rsidR="00751A38" w:rsidRPr="00B75B77" w:rsidRDefault="00460DCF" w:rsidP="0055143E">
            <w:pPr>
              <w:pStyle w:val="ListParagraph"/>
              <w:keepNext/>
              <w:numPr>
                <w:ilvl w:val="0"/>
                <w:numId w:val="118"/>
              </w:num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rPr>
            </w:pPr>
            <w:r w:rsidRPr="00B75B77">
              <w:rPr>
                <w:rFonts w:ascii="Calibri" w:eastAsia="Times New Roman" w:hAnsi="Calibri"/>
                <w:b/>
                <w:color w:val="000000"/>
                <w:sz w:val="18"/>
              </w:rPr>
              <w:t>Implemented</w:t>
            </w:r>
          </w:p>
        </w:tc>
      </w:tr>
      <w:tr w:rsidR="00751A38" w:rsidRPr="00B75B77" w:rsidTr="00F30290">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tcBorders>
              <w:right w:val="none" w:sz="0" w:space="0" w:color="auto"/>
            </w:tcBorders>
            <w:shd w:val="clear" w:color="auto" w:fill="auto"/>
            <w:noWrap/>
            <w:vAlign w:val="center"/>
            <w:hideMark/>
          </w:tcPr>
          <w:p w:rsidR="00105A12" w:rsidRPr="00B75B77" w:rsidRDefault="00751A38" w:rsidP="0015550B">
            <w:pPr>
              <w:keepNext/>
              <w:jc w:val="left"/>
              <w:rPr>
                <w:rFonts w:ascii="Calibri" w:eastAsia="Times New Roman" w:hAnsi="Calibri"/>
                <w:color w:val="000000"/>
                <w:sz w:val="18"/>
              </w:rPr>
            </w:pPr>
            <w:r w:rsidRPr="00B75B77">
              <w:rPr>
                <w:rFonts w:ascii="Calibri" w:eastAsia="Times New Roman" w:hAnsi="Calibri"/>
                <w:color w:val="000000"/>
                <w:sz w:val="18"/>
              </w:rPr>
              <w:t xml:space="preserve">Recommendation </w:t>
            </w:r>
            <w:r w:rsidR="001F649F" w:rsidRPr="00B75B77">
              <w:rPr>
                <w:rFonts w:ascii="Calibri" w:eastAsia="Times New Roman" w:hAnsi="Calibri"/>
                <w:color w:val="000000"/>
                <w:sz w:val="18"/>
              </w:rPr>
              <w:t>4</w:t>
            </w:r>
            <w:r w:rsidR="00105A12" w:rsidRPr="00B75B77">
              <w:rPr>
                <w:rFonts w:ascii="Calibri" w:eastAsia="Times New Roman" w:hAnsi="Calibri"/>
                <w:color w:val="000000"/>
                <w:sz w:val="18"/>
              </w:rPr>
              <w:t>:</w:t>
            </w:r>
            <w:r w:rsidRPr="00B75B77">
              <w:rPr>
                <w:rFonts w:ascii="Calibri" w:eastAsia="Times New Roman" w:hAnsi="Calibri"/>
                <w:color w:val="000000"/>
                <w:sz w:val="18"/>
              </w:rPr>
              <w:t xml:space="preserve"> </w:t>
            </w:r>
          </w:p>
          <w:p w:rsidR="00751A38" w:rsidRPr="00B75B77" w:rsidRDefault="00751A38" w:rsidP="0055143E">
            <w:pPr>
              <w:pStyle w:val="ListParagraph"/>
              <w:keepNext/>
              <w:numPr>
                <w:ilvl w:val="1"/>
                <w:numId w:val="117"/>
              </w:numPr>
              <w:ind w:left="422" w:hanging="270"/>
              <w:jc w:val="left"/>
              <w:rPr>
                <w:rFonts w:ascii="Calibri" w:eastAsia="Times New Roman" w:hAnsi="Calibri"/>
                <w:b w:val="0"/>
                <w:color w:val="000000"/>
                <w:sz w:val="18"/>
              </w:rPr>
            </w:pPr>
            <w:r w:rsidRPr="00B75B77">
              <w:rPr>
                <w:rFonts w:ascii="Calibri" w:eastAsia="Times New Roman" w:hAnsi="Calibri"/>
                <w:b w:val="0"/>
                <w:color w:val="000000"/>
                <w:sz w:val="18"/>
              </w:rPr>
              <w:t>Build on PY7’s successful marketing tactics to maintain impacts among core demographics.</w:t>
            </w:r>
          </w:p>
          <w:p w:rsidR="00751A38" w:rsidRPr="00B75B77" w:rsidRDefault="00751A38" w:rsidP="009E08FB">
            <w:pPr>
              <w:pStyle w:val="ListParagraph"/>
              <w:keepNext/>
              <w:numPr>
                <w:ilvl w:val="0"/>
                <w:numId w:val="41"/>
              </w:numPr>
              <w:ind w:left="872" w:hanging="270"/>
              <w:jc w:val="left"/>
              <w:rPr>
                <w:rFonts w:ascii="Calibri" w:eastAsia="Times New Roman" w:hAnsi="Calibri"/>
                <w:b w:val="0"/>
                <w:color w:val="000000"/>
                <w:sz w:val="18"/>
              </w:rPr>
            </w:pPr>
            <w:r w:rsidRPr="00B75B77">
              <w:rPr>
                <w:rFonts w:ascii="Calibri" w:eastAsia="Times New Roman" w:hAnsi="Calibri"/>
                <w:b w:val="0"/>
                <w:color w:val="000000"/>
                <w:sz w:val="18"/>
              </w:rPr>
              <w:t>Smaller, more frequent direct mail events yielde</w:t>
            </w:r>
            <w:r w:rsidR="00AE0F3F" w:rsidRPr="00B75B77">
              <w:rPr>
                <w:rFonts w:ascii="Calibri" w:eastAsia="Times New Roman" w:hAnsi="Calibri"/>
                <w:b w:val="0"/>
                <w:color w:val="000000"/>
                <w:sz w:val="18"/>
              </w:rPr>
              <w:t>d a steady flow of participants</w:t>
            </w:r>
          </w:p>
          <w:p w:rsidR="00105A12" w:rsidRPr="00B75B77" w:rsidRDefault="00751A38" w:rsidP="009E08FB">
            <w:pPr>
              <w:pStyle w:val="ListParagraph"/>
              <w:keepNext/>
              <w:numPr>
                <w:ilvl w:val="0"/>
                <w:numId w:val="41"/>
              </w:numPr>
              <w:ind w:left="872" w:hanging="270"/>
              <w:jc w:val="left"/>
              <w:rPr>
                <w:rFonts w:ascii="Calibri" w:eastAsia="Times New Roman" w:hAnsi="Calibri"/>
                <w:color w:val="000000"/>
                <w:sz w:val="18"/>
              </w:rPr>
            </w:pPr>
            <w:r w:rsidRPr="00B75B77">
              <w:rPr>
                <w:rFonts w:ascii="Calibri" w:eastAsia="Times New Roman" w:hAnsi="Calibri"/>
                <w:b w:val="0"/>
                <w:color w:val="000000"/>
                <w:sz w:val="18"/>
              </w:rPr>
              <w:t>Word</w:t>
            </w:r>
            <w:r w:rsidR="00AE0F3F" w:rsidRPr="00B75B77">
              <w:rPr>
                <w:rFonts w:ascii="Calibri" w:eastAsia="Times New Roman" w:hAnsi="Calibri"/>
                <w:b w:val="0"/>
                <w:color w:val="000000"/>
                <w:sz w:val="18"/>
              </w:rPr>
              <w:t xml:space="preserve"> of mouth is strong and growing</w:t>
            </w:r>
          </w:p>
          <w:p w:rsidR="00751A38" w:rsidRPr="00B75B77" w:rsidRDefault="00105A12" w:rsidP="0055143E">
            <w:pPr>
              <w:pStyle w:val="ListParagraph"/>
              <w:keepNext/>
              <w:numPr>
                <w:ilvl w:val="1"/>
                <w:numId w:val="117"/>
              </w:numPr>
              <w:ind w:left="422" w:hanging="270"/>
              <w:jc w:val="left"/>
              <w:rPr>
                <w:rFonts w:ascii="Calibri" w:eastAsia="Times New Roman" w:hAnsi="Calibri"/>
                <w:b w:val="0"/>
                <w:color w:val="000000"/>
                <w:sz w:val="18"/>
              </w:rPr>
            </w:pPr>
            <w:r w:rsidRPr="00B75B77">
              <w:rPr>
                <w:rFonts w:ascii="Calibri" w:eastAsia="Times New Roman" w:hAnsi="Calibri"/>
                <w:b w:val="0"/>
                <w:color w:val="000000"/>
                <w:sz w:val="18"/>
              </w:rPr>
              <w:t>Implement targeted marketing to engage new demographic groups at higher rates.</w:t>
            </w:r>
          </w:p>
        </w:tc>
        <w:tc>
          <w:tcPr>
            <w:tcW w:w="4680" w:type="dxa"/>
            <w:tcBorders>
              <w:top w:val="single" w:sz="4" w:space="0" w:color="448A99"/>
              <w:left w:val="none" w:sz="0" w:space="0" w:color="auto"/>
            </w:tcBorders>
            <w:shd w:val="clear" w:color="auto" w:fill="auto"/>
            <w:noWrap/>
            <w:vAlign w:val="center"/>
            <w:hideMark/>
          </w:tcPr>
          <w:p w:rsidR="00460DCF" w:rsidRPr="00B75B77" w:rsidRDefault="00460DCF" w:rsidP="0055143E">
            <w:pPr>
              <w:pStyle w:val="ListParagraph"/>
              <w:keepNext/>
              <w:numPr>
                <w:ilvl w:val="0"/>
                <w:numId w:val="119"/>
              </w:num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rPr>
            </w:pPr>
            <w:r w:rsidRPr="00B75B77">
              <w:rPr>
                <w:rFonts w:ascii="Calibri" w:eastAsia="Times New Roman" w:hAnsi="Calibri"/>
                <w:b/>
                <w:color w:val="000000"/>
                <w:sz w:val="18"/>
              </w:rPr>
              <w:t>Being Considered:</w:t>
            </w:r>
            <w:r w:rsidRPr="00B75B77">
              <w:rPr>
                <w:rFonts w:ascii="Calibri" w:eastAsia="Times New Roman" w:hAnsi="Calibri"/>
                <w:color w:val="000000"/>
                <w:sz w:val="18"/>
              </w:rPr>
              <w:t xml:space="preserve"> We are working with the EEMF to try additional marketing tactics that yield same results at a lower cost. However, the core marketing tactics deemed valuable are still part of the overall marketing plan</w:t>
            </w:r>
            <w:r w:rsidR="00D93A77" w:rsidRPr="00B75B77">
              <w:rPr>
                <w:rFonts w:ascii="Calibri" w:eastAsia="Times New Roman" w:hAnsi="Calibri"/>
                <w:color w:val="000000"/>
                <w:sz w:val="18"/>
              </w:rPr>
              <w:t>.</w:t>
            </w:r>
          </w:p>
          <w:p w:rsidR="00751A38" w:rsidRPr="00B75B77" w:rsidRDefault="00460DCF" w:rsidP="0055143E">
            <w:pPr>
              <w:pStyle w:val="ListParagraph"/>
              <w:keepNext/>
              <w:numPr>
                <w:ilvl w:val="0"/>
                <w:numId w:val="119"/>
              </w:num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b/>
                <w:color w:val="000000"/>
                <w:sz w:val="18"/>
              </w:rPr>
            </w:pPr>
            <w:r w:rsidRPr="00B75B77">
              <w:rPr>
                <w:rFonts w:ascii="Calibri" w:eastAsia="Times New Roman" w:hAnsi="Calibri"/>
                <w:b/>
                <w:color w:val="000000"/>
                <w:sz w:val="18"/>
              </w:rPr>
              <w:t>Implemented</w:t>
            </w:r>
          </w:p>
        </w:tc>
      </w:tr>
      <w:tr w:rsidR="00751A38" w:rsidRPr="00B75B77" w:rsidTr="00460DC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tcBorders>
              <w:right w:val="single" w:sz="4" w:space="0" w:color="448A99"/>
            </w:tcBorders>
            <w:noWrap/>
            <w:vAlign w:val="center"/>
          </w:tcPr>
          <w:p w:rsidR="00751A38" w:rsidRPr="00B75B77" w:rsidRDefault="00751A38" w:rsidP="00305DB7">
            <w:pPr>
              <w:keepNext/>
              <w:jc w:val="left"/>
              <w:rPr>
                <w:rFonts w:eastAsia="Times New Roman"/>
                <w:b w:val="0"/>
                <w:color w:val="000000"/>
                <w:sz w:val="18"/>
                <w:szCs w:val="18"/>
              </w:rPr>
            </w:pPr>
            <w:r w:rsidRPr="00B75B77">
              <w:rPr>
                <w:rFonts w:eastAsia="Times New Roman"/>
                <w:color w:val="000000"/>
                <w:sz w:val="18"/>
                <w:szCs w:val="18"/>
              </w:rPr>
              <w:t xml:space="preserve">Recommendation </w:t>
            </w:r>
            <w:r w:rsidR="00105A12" w:rsidRPr="00B75B77">
              <w:rPr>
                <w:rFonts w:eastAsia="Times New Roman"/>
                <w:color w:val="000000"/>
                <w:sz w:val="18"/>
                <w:szCs w:val="18"/>
              </w:rPr>
              <w:t>5:</w:t>
            </w:r>
            <w:r w:rsidRPr="00B75B77">
              <w:rPr>
                <w:rFonts w:eastAsia="Times New Roman"/>
                <w:color w:val="000000"/>
                <w:sz w:val="18"/>
                <w:szCs w:val="18"/>
              </w:rPr>
              <w:t xml:space="preserve"> </w:t>
            </w:r>
            <w:r w:rsidRPr="00B75B77">
              <w:rPr>
                <w:rFonts w:eastAsia="Times New Roman"/>
                <w:b w:val="0"/>
                <w:color w:val="000000"/>
                <w:sz w:val="18"/>
                <w:szCs w:val="18"/>
              </w:rPr>
              <w:t>Shape the SHC program as a gateway to the Smart Ideas portfolio</w:t>
            </w:r>
            <w:r w:rsidR="00561219" w:rsidRPr="00B75B77">
              <w:rPr>
                <w:rFonts w:eastAsia="Times New Roman"/>
                <w:b w:val="0"/>
                <w:color w:val="000000"/>
                <w:sz w:val="18"/>
                <w:szCs w:val="18"/>
              </w:rPr>
              <w:t xml:space="preserve"> of programs</w:t>
            </w:r>
            <w:r w:rsidRPr="00B75B77">
              <w:rPr>
                <w:rFonts w:eastAsia="Times New Roman"/>
                <w:b w:val="0"/>
                <w:color w:val="000000"/>
                <w:sz w:val="18"/>
                <w:szCs w:val="18"/>
              </w:rPr>
              <w:t xml:space="preserve">. Engage more effectively in cross-program promotion by improving the ability of energy advisors to educate </w:t>
            </w:r>
            <w:r w:rsidR="00561219" w:rsidRPr="00B75B77">
              <w:rPr>
                <w:rFonts w:eastAsia="Times New Roman"/>
                <w:b w:val="0"/>
                <w:color w:val="000000"/>
                <w:sz w:val="18"/>
                <w:szCs w:val="18"/>
              </w:rPr>
              <w:t>customers</w:t>
            </w:r>
            <w:r w:rsidRPr="00B75B77">
              <w:rPr>
                <w:rFonts w:eastAsia="Times New Roman"/>
                <w:b w:val="0"/>
                <w:color w:val="000000"/>
                <w:sz w:val="18"/>
                <w:szCs w:val="18"/>
              </w:rPr>
              <w:t>.</w:t>
            </w:r>
          </w:p>
        </w:tc>
        <w:tc>
          <w:tcPr>
            <w:tcW w:w="4680" w:type="dxa"/>
            <w:tcBorders>
              <w:top w:val="single" w:sz="4" w:space="0" w:color="448A99"/>
              <w:left w:val="single" w:sz="4" w:space="0" w:color="448A99"/>
              <w:bottom w:val="single" w:sz="4" w:space="0" w:color="448A99"/>
              <w:right w:val="single" w:sz="4" w:space="0" w:color="448A99"/>
            </w:tcBorders>
            <w:noWrap/>
          </w:tcPr>
          <w:p w:rsidR="00751A38" w:rsidRPr="00B75B77" w:rsidRDefault="00460DCF" w:rsidP="0015550B">
            <w:pPr>
              <w:keepNext/>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18"/>
              </w:rPr>
            </w:pPr>
            <w:r w:rsidRPr="00B75B77">
              <w:rPr>
                <w:rFonts w:ascii="Calibri" w:eastAsia="Times New Roman" w:hAnsi="Calibri"/>
                <w:b/>
                <w:color w:val="000000"/>
                <w:sz w:val="18"/>
              </w:rPr>
              <w:t xml:space="preserve">Implemented  </w:t>
            </w:r>
          </w:p>
        </w:tc>
      </w:tr>
    </w:tbl>
    <w:p w:rsidR="00751A38" w:rsidRPr="00B75B77" w:rsidRDefault="00751A38" w:rsidP="0015550B">
      <w:pPr>
        <w:pStyle w:val="Source"/>
        <w:keepNext/>
        <w:ind w:left="90" w:firstLine="0"/>
      </w:pPr>
      <w:r w:rsidRPr="00B75B77">
        <w:t>Source: Navigant analysis</w:t>
      </w:r>
    </w:p>
    <w:p w:rsidR="00751A38" w:rsidRPr="00B75B77" w:rsidRDefault="00751A38" w:rsidP="00751A38">
      <w:pPr>
        <w:pStyle w:val="Heading2"/>
      </w:pPr>
      <w:bookmarkStart w:id="342" w:name="_Toc453075186"/>
      <w:bookmarkStart w:id="343" w:name="_Toc466413301"/>
      <w:r w:rsidRPr="00B75B77">
        <w:t>Financial Reporting</w:t>
      </w:r>
      <w:bookmarkEnd w:id="342"/>
      <w:bookmarkEnd w:id="343"/>
    </w:p>
    <w:p w:rsidR="00751A38" w:rsidRPr="00B75B77" w:rsidRDefault="00751A38" w:rsidP="00751A38">
      <w:pPr>
        <w:keepNext/>
      </w:pPr>
      <w:r w:rsidRPr="00B75B77">
        <w:lastRenderedPageBreak/>
        <w:t>The SHC program continues to underspend its budget allocation but exceed the planned program savings</w:t>
      </w:r>
      <w:r w:rsidR="00031089" w:rsidRPr="00B75B77">
        <w:t>. D</w:t>
      </w:r>
      <w:r w:rsidR="003B2DA8" w:rsidRPr="00B75B77">
        <w:t>uring PY7</w:t>
      </w:r>
      <w:r w:rsidR="00031089" w:rsidRPr="00B75B77">
        <w:t xml:space="preserve"> the program</w:t>
      </w:r>
      <w:r w:rsidR="003B2DA8" w:rsidRPr="00B75B77">
        <w:t xml:space="preserve"> </w:t>
      </w:r>
      <w:r w:rsidRPr="00B75B77">
        <w:t>yielded a savings acquisition cost in line with the PY7 plan. Based on total budget expenditures for the program, approximately 8</w:t>
      </w:r>
      <w:r w:rsidR="0009500C" w:rsidRPr="00B75B77">
        <w:t>%</w:t>
      </w:r>
      <w:r w:rsidRPr="00B75B77">
        <w:t xml:space="preserve"> of the program budget is spent on incentives to customers</w:t>
      </w:r>
      <w:r w:rsidR="00561219" w:rsidRPr="00B75B77">
        <w:t xml:space="preserve"> while</w:t>
      </w:r>
      <w:r w:rsidRPr="00B75B77">
        <w:t xml:space="preserve"> 51</w:t>
      </w:r>
      <w:r w:rsidR="0009500C" w:rsidRPr="00B75B77">
        <w:t>%</w:t>
      </w:r>
      <w:r w:rsidRPr="00B75B77">
        <w:t xml:space="preserve"> and 16</w:t>
      </w:r>
      <w:r w:rsidR="0009500C" w:rsidRPr="00B75B77">
        <w:t>%</w:t>
      </w:r>
      <w:r w:rsidRPr="00B75B77">
        <w:t xml:space="preserve"> </w:t>
      </w:r>
      <w:r w:rsidR="00561219" w:rsidRPr="00B75B77">
        <w:t xml:space="preserve">goes </w:t>
      </w:r>
      <w:r w:rsidRPr="00B75B77">
        <w:t xml:space="preserve">to program administration and marketing, respectively. </w:t>
      </w:r>
      <w:r w:rsidRPr="00B75B77">
        <w:rPr>
          <w:snapToGrid w:val="0"/>
        </w:rPr>
        <w:t xml:space="preserve">PECO put considerable effort into reducing the program expenditures in PY7 through working with vendors to negotiate lower prices on </w:t>
      </w:r>
      <w:r w:rsidR="00561219" w:rsidRPr="00B75B77">
        <w:rPr>
          <w:snapToGrid w:val="0"/>
        </w:rPr>
        <w:t>DI</w:t>
      </w:r>
      <w:r w:rsidRPr="00B75B77">
        <w:rPr>
          <w:snapToGrid w:val="0"/>
        </w:rPr>
        <w:t xml:space="preserve"> measures, centralizing the call center, and streamlining marketing efforts and administrative tasks. </w:t>
      </w:r>
      <w:r w:rsidRPr="00B75B77">
        <w:t xml:space="preserve">The program’s steady growth throughout PY7 and streamlined spending yielded favorable acquisition costs. </w:t>
      </w:r>
    </w:p>
    <w:p w:rsidR="00751A38" w:rsidRPr="00B75B77" w:rsidRDefault="00751A38" w:rsidP="00751A38">
      <w:pPr>
        <w:keepNext/>
      </w:pPr>
    </w:p>
    <w:p w:rsidR="00751A38" w:rsidRPr="00B75B77" w:rsidRDefault="00751A38" w:rsidP="00751A38">
      <w:pPr>
        <w:spacing w:after="240"/>
      </w:pPr>
      <w:r w:rsidRPr="00B75B77">
        <w:t>In PY5 and PY6</w:t>
      </w:r>
      <w:r w:rsidR="00AE0F3F" w:rsidRPr="00B75B77">
        <w:t>,</w:t>
      </w:r>
      <w:r w:rsidRPr="00B75B77">
        <w:t xml:space="preserve"> the program was below its TRC goal</w:t>
      </w:r>
      <w:r w:rsidR="00561219" w:rsidRPr="00B75B77">
        <w:t>; however,</w:t>
      </w:r>
      <w:r w:rsidRPr="00B75B77">
        <w:t xml:space="preserve"> in PY7 the program achieved a TRC of 0.9</w:t>
      </w:r>
      <w:r w:rsidR="009D186E" w:rsidRPr="00B75B77">
        <w:t>4</w:t>
      </w:r>
      <w:r w:rsidRPr="00B75B77">
        <w:t>, which brought the Phase II TRC to 0.7</w:t>
      </w:r>
      <w:r w:rsidR="009D186E" w:rsidRPr="00B75B77">
        <w:t>2</w:t>
      </w:r>
      <w:r w:rsidR="00561219" w:rsidRPr="00B75B77">
        <w:t>. This</w:t>
      </w:r>
      <w:r w:rsidRPr="00B75B77">
        <w:t xml:space="preserve"> is above the Phase II TRC goal of 0.61, </w:t>
      </w:r>
      <w:r w:rsidR="00561219" w:rsidRPr="00B75B77">
        <w:t xml:space="preserve">which is </w:t>
      </w:r>
      <w:r w:rsidRPr="00B75B77">
        <w:t xml:space="preserve">laid out in the March 2014 revision of the Phase II Energy Efficiency and Conservation Plan. A breakdown of the program finances (by </w:t>
      </w:r>
      <w:r w:rsidR="00561219" w:rsidRPr="00B75B77">
        <w:t>cost category</w:t>
      </w:r>
      <w:r w:rsidRPr="00B75B77">
        <w:t xml:space="preserve">) is presented in </w:t>
      </w:r>
      <w:r w:rsidR="005362A5" w:rsidRPr="00B75B77">
        <w:fldChar w:fldCharType="begin"/>
      </w:r>
      <w:r w:rsidR="005362A5" w:rsidRPr="00B75B77">
        <w:instrText xml:space="preserve"> REF _Ref463269545 \h </w:instrText>
      </w:r>
      <w:r w:rsidR="00B75B77">
        <w:instrText xml:space="preserve"> \* MERGEFORMAT </w:instrText>
      </w:r>
      <w:r w:rsidR="005362A5" w:rsidRPr="00B75B77">
        <w:fldChar w:fldCharType="separate"/>
      </w:r>
      <w:r w:rsidR="0004016D" w:rsidRPr="00B75B77">
        <w:t xml:space="preserve">Table </w:t>
      </w:r>
      <w:r w:rsidR="0004016D">
        <w:rPr>
          <w:noProof/>
        </w:rPr>
        <w:t>3</w:t>
      </w:r>
      <w:r w:rsidR="0004016D" w:rsidRPr="00B75B77">
        <w:rPr>
          <w:noProof/>
        </w:rPr>
        <w:noBreakHyphen/>
      </w:r>
      <w:r w:rsidR="0004016D">
        <w:rPr>
          <w:noProof/>
        </w:rPr>
        <w:t>9</w:t>
      </w:r>
      <w:r w:rsidR="005362A5" w:rsidRPr="00B75B77">
        <w:fldChar w:fldCharType="end"/>
      </w:r>
      <w:r w:rsidRPr="00B75B77">
        <w:t>.</w:t>
      </w:r>
    </w:p>
    <w:p w:rsidR="00751A38" w:rsidRPr="00B75B77" w:rsidRDefault="00751A38" w:rsidP="00751A38">
      <w:pPr>
        <w:pStyle w:val="Caption"/>
      </w:pPr>
      <w:bookmarkStart w:id="344" w:name="_Ref463269545"/>
      <w:bookmarkStart w:id="345" w:name="_Toc466413529"/>
      <w:r w:rsidRPr="00B75B77">
        <w:t xml:space="preserve">Table </w:t>
      </w:r>
      <w:fldSimple w:instr=" STYLEREF 1 \s ">
        <w:r w:rsidR="0004016D">
          <w:rPr>
            <w:noProof/>
          </w:rPr>
          <w:t>3</w:t>
        </w:r>
      </w:fldSimple>
      <w:r w:rsidR="00F1144C" w:rsidRPr="00B75B77">
        <w:noBreakHyphen/>
      </w:r>
      <w:fldSimple w:instr=" SEQ Table \* ARABIC \s 1 ">
        <w:r w:rsidR="0004016D">
          <w:rPr>
            <w:noProof/>
          </w:rPr>
          <w:t>9</w:t>
        </w:r>
      </w:fldSimple>
      <w:bookmarkEnd w:id="344"/>
      <w:r w:rsidRPr="00B75B77">
        <w:t>: Summary of Smart House Call Program Finances</w:t>
      </w:r>
      <w:bookmarkEnd w:id="345"/>
    </w:p>
    <w:tbl>
      <w:tblPr>
        <w:tblW w:w="9805" w:type="dxa"/>
        <w:tblLook w:val="04A0" w:firstRow="1" w:lastRow="0" w:firstColumn="1" w:lastColumn="0" w:noHBand="0" w:noVBand="1"/>
      </w:tblPr>
      <w:tblGrid>
        <w:gridCol w:w="805"/>
        <w:gridCol w:w="6570"/>
        <w:gridCol w:w="1080"/>
        <w:gridCol w:w="1350"/>
      </w:tblGrid>
      <w:tr w:rsidR="00751A38" w:rsidRPr="00B75B77" w:rsidTr="005E4455">
        <w:trPr>
          <w:trHeight w:val="480"/>
        </w:trPr>
        <w:tc>
          <w:tcPr>
            <w:tcW w:w="805" w:type="dxa"/>
            <w:vMerge w:val="restart"/>
            <w:tcBorders>
              <w:top w:val="single" w:sz="4" w:space="0" w:color="auto"/>
              <w:left w:val="single" w:sz="4" w:space="0" w:color="auto"/>
              <w:bottom w:val="single" w:sz="4" w:space="0" w:color="auto"/>
              <w:right w:val="single" w:sz="4" w:space="0" w:color="auto"/>
            </w:tcBorders>
            <w:shd w:val="clear" w:color="auto" w:fill="448A99"/>
            <w:noWrap/>
            <w:vAlign w:val="center"/>
            <w:hideMark/>
          </w:tcPr>
          <w:p w:rsidR="00751A38" w:rsidRPr="00B75B77" w:rsidRDefault="00751A38"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Row #</w:t>
            </w:r>
          </w:p>
        </w:tc>
        <w:tc>
          <w:tcPr>
            <w:tcW w:w="6570" w:type="dxa"/>
            <w:vMerge w:val="restart"/>
            <w:tcBorders>
              <w:top w:val="single" w:sz="4" w:space="0" w:color="auto"/>
              <w:left w:val="single" w:sz="4" w:space="0" w:color="auto"/>
              <w:bottom w:val="single" w:sz="4" w:space="0" w:color="auto"/>
              <w:right w:val="single" w:sz="4" w:space="0" w:color="auto"/>
            </w:tcBorders>
            <w:shd w:val="clear" w:color="auto" w:fill="448A99"/>
            <w:noWrap/>
            <w:vAlign w:val="center"/>
            <w:hideMark/>
          </w:tcPr>
          <w:p w:rsidR="00751A38" w:rsidRPr="00B75B77" w:rsidRDefault="00751A38" w:rsidP="00751A38">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Cost Category </w:t>
            </w:r>
          </w:p>
        </w:tc>
        <w:tc>
          <w:tcPr>
            <w:tcW w:w="1080" w:type="dxa"/>
            <w:tcBorders>
              <w:top w:val="single" w:sz="4" w:space="0" w:color="auto"/>
              <w:left w:val="nil"/>
              <w:bottom w:val="single" w:sz="4" w:space="0" w:color="auto"/>
              <w:right w:val="single" w:sz="4" w:space="0" w:color="auto"/>
            </w:tcBorders>
            <w:shd w:val="clear" w:color="000000" w:fill="448A99"/>
            <w:vAlign w:val="center"/>
            <w:hideMark/>
          </w:tcPr>
          <w:p w:rsidR="00751A38" w:rsidRPr="00B75B77" w:rsidRDefault="00751A38" w:rsidP="00D526D2">
            <w:pPr>
              <w:jc w:val="right"/>
              <w:rPr>
                <w:rFonts w:ascii="Calibri" w:eastAsia="Times New Roman" w:hAnsi="Calibri"/>
                <w:b/>
                <w:bCs/>
                <w:color w:val="FFFFFF"/>
                <w:sz w:val="18"/>
                <w:szCs w:val="18"/>
              </w:rPr>
            </w:pPr>
            <w:r w:rsidRPr="00B75B77">
              <w:rPr>
                <w:rFonts w:ascii="Calibri" w:eastAsia="Times New Roman" w:hAnsi="Calibri"/>
                <w:b/>
                <w:bCs/>
                <w:color w:val="FFFFFF"/>
                <w:sz w:val="18"/>
                <w:szCs w:val="18"/>
              </w:rPr>
              <w:t>Actual PY7 Costs</w:t>
            </w:r>
          </w:p>
        </w:tc>
        <w:tc>
          <w:tcPr>
            <w:tcW w:w="1350" w:type="dxa"/>
            <w:tcBorders>
              <w:top w:val="single" w:sz="4" w:space="0" w:color="auto"/>
              <w:left w:val="nil"/>
              <w:bottom w:val="single" w:sz="4" w:space="0" w:color="auto"/>
              <w:right w:val="single" w:sz="4" w:space="0" w:color="auto"/>
            </w:tcBorders>
            <w:shd w:val="clear" w:color="000000" w:fill="448A99"/>
            <w:vAlign w:val="center"/>
            <w:hideMark/>
          </w:tcPr>
          <w:p w:rsidR="00751A38" w:rsidRPr="00B75B77" w:rsidRDefault="00751A38" w:rsidP="00D526D2">
            <w:pPr>
              <w:jc w:val="right"/>
              <w:rPr>
                <w:rFonts w:ascii="Calibri" w:eastAsia="Times New Roman" w:hAnsi="Calibri"/>
                <w:b/>
                <w:bCs/>
                <w:color w:val="FFFFFF"/>
                <w:sz w:val="18"/>
                <w:szCs w:val="18"/>
              </w:rPr>
            </w:pPr>
            <w:r w:rsidRPr="00B75B77">
              <w:rPr>
                <w:rFonts w:ascii="Calibri" w:eastAsia="Times New Roman" w:hAnsi="Calibri"/>
                <w:b/>
                <w:bCs/>
                <w:color w:val="FFFFFF"/>
                <w:sz w:val="18"/>
                <w:szCs w:val="18"/>
              </w:rPr>
              <w:t>Actual Phase II Costs</w:t>
            </w:r>
          </w:p>
        </w:tc>
      </w:tr>
      <w:tr w:rsidR="00751A38" w:rsidRPr="00B75B77" w:rsidTr="005E4455">
        <w:trPr>
          <w:trHeight w:val="288"/>
        </w:trPr>
        <w:tc>
          <w:tcPr>
            <w:tcW w:w="805" w:type="dxa"/>
            <w:vMerge/>
            <w:tcBorders>
              <w:top w:val="single" w:sz="4" w:space="0" w:color="auto"/>
              <w:left w:val="single" w:sz="4" w:space="0" w:color="auto"/>
              <w:bottom w:val="single" w:sz="4" w:space="0" w:color="auto"/>
              <w:right w:val="single" w:sz="4" w:space="0" w:color="auto"/>
            </w:tcBorders>
            <w:shd w:val="clear" w:color="auto" w:fill="448A99"/>
            <w:vAlign w:val="center"/>
            <w:hideMark/>
          </w:tcPr>
          <w:p w:rsidR="00751A38" w:rsidRPr="00B75B77" w:rsidRDefault="00751A38" w:rsidP="00751A38">
            <w:pPr>
              <w:jc w:val="left"/>
              <w:rPr>
                <w:rFonts w:ascii="Calibri" w:eastAsia="Times New Roman" w:hAnsi="Calibri"/>
                <w:b/>
                <w:bCs/>
                <w:color w:val="FFFFFF"/>
                <w:sz w:val="18"/>
                <w:szCs w:val="18"/>
              </w:rPr>
            </w:pPr>
          </w:p>
        </w:tc>
        <w:tc>
          <w:tcPr>
            <w:tcW w:w="6570" w:type="dxa"/>
            <w:vMerge/>
            <w:tcBorders>
              <w:top w:val="single" w:sz="4" w:space="0" w:color="auto"/>
              <w:left w:val="single" w:sz="4" w:space="0" w:color="auto"/>
              <w:bottom w:val="single" w:sz="4" w:space="0" w:color="auto"/>
              <w:right w:val="single" w:sz="4" w:space="0" w:color="auto"/>
            </w:tcBorders>
            <w:shd w:val="clear" w:color="auto" w:fill="448A99"/>
            <w:vAlign w:val="center"/>
            <w:hideMark/>
          </w:tcPr>
          <w:p w:rsidR="00751A38" w:rsidRPr="00B75B77" w:rsidRDefault="00751A38" w:rsidP="00751A38">
            <w:pPr>
              <w:jc w:val="left"/>
              <w:rPr>
                <w:rFonts w:ascii="Calibri" w:eastAsia="Times New Roman" w:hAnsi="Calibri"/>
                <w:b/>
                <w:bCs/>
                <w:color w:val="FFFFFF"/>
                <w:sz w:val="18"/>
                <w:szCs w:val="18"/>
              </w:rPr>
            </w:pPr>
          </w:p>
        </w:tc>
        <w:tc>
          <w:tcPr>
            <w:tcW w:w="1080" w:type="dxa"/>
            <w:tcBorders>
              <w:top w:val="nil"/>
              <w:left w:val="nil"/>
              <w:bottom w:val="single" w:sz="4" w:space="0" w:color="auto"/>
              <w:right w:val="single" w:sz="4" w:space="0" w:color="auto"/>
            </w:tcBorders>
            <w:shd w:val="clear" w:color="auto" w:fill="448A99"/>
            <w:vAlign w:val="center"/>
            <w:hideMark/>
          </w:tcPr>
          <w:p w:rsidR="00751A38" w:rsidRPr="00B75B77" w:rsidRDefault="00751A38" w:rsidP="00561219">
            <w:pPr>
              <w:jc w:val="right"/>
              <w:rPr>
                <w:rFonts w:ascii="Calibri" w:eastAsia="Times New Roman" w:hAnsi="Calibri"/>
                <w:b/>
                <w:bCs/>
                <w:color w:val="FFFFFF" w:themeColor="background1"/>
                <w:sz w:val="18"/>
                <w:szCs w:val="18"/>
              </w:rPr>
            </w:pPr>
            <w:r w:rsidRPr="00B75B77">
              <w:rPr>
                <w:rFonts w:ascii="Calibri" w:eastAsia="Times New Roman" w:hAnsi="Calibri"/>
                <w:b/>
                <w:bCs/>
                <w:color w:val="FFFFFF" w:themeColor="background1"/>
                <w:sz w:val="18"/>
                <w:szCs w:val="18"/>
              </w:rPr>
              <w:t>($1,000)</w:t>
            </w:r>
          </w:p>
        </w:tc>
        <w:tc>
          <w:tcPr>
            <w:tcW w:w="1350" w:type="dxa"/>
            <w:tcBorders>
              <w:top w:val="nil"/>
              <w:left w:val="nil"/>
              <w:bottom w:val="single" w:sz="4" w:space="0" w:color="auto"/>
              <w:right w:val="single" w:sz="4" w:space="0" w:color="auto"/>
            </w:tcBorders>
            <w:shd w:val="clear" w:color="auto" w:fill="448A99"/>
            <w:vAlign w:val="center"/>
            <w:hideMark/>
          </w:tcPr>
          <w:p w:rsidR="00751A38" w:rsidRPr="00B75B77" w:rsidRDefault="00751A38" w:rsidP="00561219">
            <w:pPr>
              <w:jc w:val="right"/>
              <w:rPr>
                <w:rFonts w:ascii="Calibri" w:eastAsia="Times New Roman" w:hAnsi="Calibri"/>
                <w:b/>
                <w:bCs/>
                <w:color w:val="FFFFFF" w:themeColor="background1"/>
                <w:sz w:val="18"/>
                <w:szCs w:val="18"/>
              </w:rPr>
            </w:pPr>
            <w:r w:rsidRPr="00B75B77">
              <w:rPr>
                <w:rFonts w:ascii="Calibri" w:eastAsia="Times New Roman" w:hAnsi="Calibri"/>
                <w:b/>
                <w:bCs/>
                <w:color w:val="FFFFFF" w:themeColor="background1"/>
                <w:sz w:val="18"/>
                <w:szCs w:val="18"/>
              </w:rPr>
              <w:t>($1,000)</w:t>
            </w:r>
          </w:p>
        </w:tc>
      </w:tr>
      <w:tr w:rsidR="00751A38" w:rsidRPr="00B75B77" w:rsidTr="005E4455">
        <w:trPr>
          <w:trHeight w:val="288"/>
        </w:trPr>
        <w:tc>
          <w:tcPr>
            <w:tcW w:w="805" w:type="dxa"/>
            <w:tcBorders>
              <w:top w:val="nil"/>
              <w:left w:val="single" w:sz="4" w:space="0" w:color="448A99"/>
              <w:bottom w:val="single" w:sz="4" w:space="0" w:color="448A99"/>
              <w:right w:val="single" w:sz="4" w:space="0" w:color="448A99"/>
            </w:tcBorders>
            <w:shd w:val="clear" w:color="auto" w:fill="auto"/>
            <w:noWrap/>
            <w:vAlign w:val="center"/>
            <w:hideMark/>
          </w:tcPr>
          <w:p w:rsidR="00751A38" w:rsidRPr="00B75B77" w:rsidRDefault="00751A38" w:rsidP="00751A38">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w:t>
            </w:r>
          </w:p>
        </w:tc>
        <w:tc>
          <w:tcPr>
            <w:tcW w:w="6570" w:type="dxa"/>
            <w:tcBorders>
              <w:top w:val="nil"/>
              <w:left w:val="nil"/>
              <w:bottom w:val="single" w:sz="4" w:space="0" w:color="448A99"/>
              <w:right w:val="single" w:sz="4" w:space="0" w:color="448A99"/>
            </w:tcBorders>
            <w:shd w:val="clear" w:color="auto" w:fill="auto"/>
            <w:noWrap/>
            <w:vAlign w:val="center"/>
            <w:hideMark/>
          </w:tcPr>
          <w:p w:rsidR="00751A38" w:rsidRPr="00B75B77" w:rsidRDefault="00751A38" w:rsidP="00751A38">
            <w:pPr>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Incremental Measure Costs  </w:t>
            </w:r>
          </w:p>
        </w:tc>
        <w:tc>
          <w:tcPr>
            <w:tcW w:w="1080" w:type="dxa"/>
            <w:tcBorders>
              <w:top w:val="nil"/>
              <w:left w:val="nil"/>
              <w:bottom w:val="single" w:sz="4" w:space="0" w:color="448A99"/>
              <w:right w:val="single" w:sz="4" w:space="0" w:color="448A99"/>
            </w:tcBorders>
            <w:shd w:val="clear" w:color="auto" w:fill="auto"/>
            <w:noWrap/>
            <w:vAlign w:val="center"/>
            <w:hideMark/>
          </w:tcPr>
          <w:p w:rsidR="00751A38" w:rsidRPr="00B75B77" w:rsidRDefault="00751A38" w:rsidP="00751A38">
            <w:pPr>
              <w:jc w:val="right"/>
              <w:rPr>
                <w:rFonts w:ascii="Calibri" w:eastAsia="Times New Roman" w:hAnsi="Calibri"/>
                <w:color w:val="000000"/>
                <w:sz w:val="18"/>
                <w:szCs w:val="18"/>
              </w:rPr>
            </w:pPr>
            <w:r w:rsidRPr="00B75B77">
              <w:rPr>
                <w:rFonts w:ascii="Calibri" w:eastAsia="Times New Roman" w:hAnsi="Calibri"/>
                <w:color w:val="000000"/>
                <w:sz w:val="18"/>
                <w:szCs w:val="18"/>
              </w:rPr>
              <w:t>2,428</w:t>
            </w:r>
          </w:p>
        </w:tc>
        <w:tc>
          <w:tcPr>
            <w:tcW w:w="1350" w:type="dxa"/>
            <w:tcBorders>
              <w:top w:val="nil"/>
              <w:left w:val="nil"/>
              <w:bottom w:val="single" w:sz="4" w:space="0" w:color="448A99"/>
              <w:right w:val="single" w:sz="4" w:space="0" w:color="448A99"/>
            </w:tcBorders>
            <w:shd w:val="clear" w:color="auto" w:fill="auto"/>
            <w:noWrap/>
            <w:vAlign w:val="center"/>
            <w:hideMark/>
          </w:tcPr>
          <w:p w:rsidR="00751A38" w:rsidRPr="00B75B77" w:rsidRDefault="00751A38" w:rsidP="00751A38">
            <w:pPr>
              <w:jc w:val="right"/>
              <w:rPr>
                <w:rFonts w:ascii="Calibri" w:eastAsia="Times New Roman" w:hAnsi="Calibri"/>
                <w:color w:val="000000"/>
                <w:sz w:val="18"/>
                <w:szCs w:val="18"/>
              </w:rPr>
            </w:pPr>
            <w:r w:rsidRPr="00B75B77">
              <w:rPr>
                <w:rFonts w:ascii="Calibri" w:eastAsia="Times New Roman" w:hAnsi="Calibri"/>
                <w:color w:val="000000"/>
                <w:sz w:val="18"/>
                <w:szCs w:val="18"/>
              </w:rPr>
              <w:t>3,750</w:t>
            </w:r>
          </w:p>
        </w:tc>
      </w:tr>
      <w:tr w:rsidR="00751A38" w:rsidRPr="00B75B77" w:rsidTr="005E4455">
        <w:trPr>
          <w:trHeight w:val="288"/>
        </w:trPr>
        <w:tc>
          <w:tcPr>
            <w:tcW w:w="805" w:type="dxa"/>
            <w:tcBorders>
              <w:top w:val="nil"/>
              <w:left w:val="single" w:sz="4" w:space="0" w:color="448A99"/>
              <w:bottom w:val="single" w:sz="4" w:space="0" w:color="448A99"/>
              <w:right w:val="single" w:sz="4" w:space="0" w:color="448A99"/>
            </w:tcBorders>
            <w:shd w:val="clear" w:color="000000" w:fill="D2EAF1"/>
            <w:noWrap/>
            <w:vAlign w:val="center"/>
            <w:hideMark/>
          </w:tcPr>
          <w:p w:rsidR="00751A38" w:rsidRPr="00B75B77" w:rsidRDefault="00751A38" w:rsidP="00751A38">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2</w:t>
            </w:r>
          </w:p>
        </w:tc>
        <w:tc>
          <w:tcPr>
            <w:tcW w:w="6570" w:type="dxa"/>
            <w:tcBorders>
              <w:top w:val="nil"/>
              <w:left w:val="nil"/>
              <w:bottom w:val="single" w:sz="4" w:space="0" w:color="448A99"/>
              <w:right w:val="single" w:sz="4" w:space="0" w:color="448A99"/>
            </w:tcBorders>
            <w:shd w:val="clear" w:color="000000" w:fill="D2EAF1"/>
            <w:noWrap/>
            <w:vAlign w:val="center"/>
            <w:hideMark/>
          </w:tcPr>
          <w:p w:rsidR="00751A38" w:rsidRPr="00B75B77" w:rsidRDefault="00751A38" w:rsidP="00751A38">
            <w:pPr>
              <w:jc w:val="left"/>
              <w:rPr>
                <w:rFonts w:ascii="Calibri" w:eastAsia="Times New Roman" w:hAnsi="Calibri"/>
                <w:color w:val="000000"/>
                <w:sz w:val="18"/>
                <w:szCs w:val="18"/>
              </w:rPr>
            </w:pPr>
            <w:r w:rsidRPr="00B75B77">
              <w:rPr>
                <w:rFonts w:ascii="Calibri" w:eastAsia="Times New Roman" w:hAnsi="Calibri"/>
                <w:color w:val="000000"/>
                <w:sz w:val="18"/>
                <w:szCs w:val="18"/>
              </w:rPr>
              <w:t>EDC Incentives to Participants</w:t>
            </w:r>
          </w:p>
        </w:tc>
        <w:tc>
          <w:tcPr>
            <w:tcW w:w="1080" w:type="dxa"/>
            <w:tcBorders>
              <w:top w:val="nil"/>
              <w:left w:val="nil"/>
              <w:bottom w:val="single" w:sz="4" w:space="0" w:color="448A99"/>
              <w:right w:val="single" w:sz="4" w:space="0" w:color="448A99"/>
            </w:tcBorders>
            <w:shd w:val="clear" w:color="000000" w:fill="D2EAF1"/>
            <w:noWrap/>
            <w:vAlign w:val="center"/>
            <w:hideMark/>
          </w:tcPr>
          <w:p w:rsidR="00751A38" w:rsidRPr="00B75B77" w:rsidRDefault="009D5AFB" w:rsidP="00751A38">
            <w:pPr>
              <w:jc w:val="right"/>
              <w:rPr>
                <w:rFonts w:ascii="Calibri" w:eastAsia="Times New Roman" w:hAnsi="Calibri"/>
                <w:color w:val="000000"/>
                <w:sz w:val="18"/>
                <w:szCs w:val="18"/>
              </w:rPr>
            </w:pPr>
            <w:r w:rsidRPr="00B75B77">
              <w:rPr>
                <w:rFonts w:ascii="Calibri" w:eastAsia="Times New Roman" w:hAnsi="Calibri"/>
                <w:color w:val="000000"/>
                <w:sz w:val="18"/>
                <w:szCs w:val="18"/>
              </w:rPr>
              <w:t>667</w:t>
            </w:r>
          </w:p>
        </w:tc>
        <w:tc>
          <w:tcPr>
            <w:tcW w:w="1350" w:type="dxa"/>
            <w:tcBorders>
              <w:top w:val="nil"/>
              <w:left w:val="nil"/>
              <w:bottom w:val="single" w:sz="4" w:space="0" w:color="448A99"/>
              <w:right w:val="single" w:sz="4" w:space="0" w:color="448A99"/>
            </w:tcBorders>
            <w:shd w:val="clear" w:color="000000" w:fill="D2EAF1"/>
            <w:noWrap/>
            <w:vAlign w:val="center"/>
            <w:hideMark/>
          </w:tcPr>
          <w:p w:rsidR="00751A38" w:rsidRPr="00B75B77" w:rsidRDefault="00751A38" w:rsidP="00751A38">
            <w:pPr>
              <w:jc w:val="right"/>
              <w:rPr>
                <w:rFonts w:ascii="Calibri" w:eastAsia="Times New Roman" w:hAnsi="Calibri"/>
                <w:color w:val="000000"/>
                <w:sz w:val="18"/>
                <w:szCs w:val="18"/>
              </w:rPr>
            </w:pPr>
            <w:r w:rsidRPr="00B75B77">
              <w:rPr>
                <w:rFonts w:ascii="Calibri" w:eastAsia="Times New Roman" w:hAnsi="Calibri"/>
                <w:color w:val="000000"/>
                <w:sz w:val="18"/>
                <w:szCs w:val="18"/>
              </w:rPr>
              <w:t>9</w:t>
            </w:r>
            <w:r w:rsidR="009D5AFB" w:rsidRPr="00B75B77">
              <w:rPr>
                <w:rFonts w:ascii="Calibri" w:eastAsia="Times New Roman" w:hAnsi="Calibri"/>
                <w:color w:val="000000"/>
                <w:sz w:val="18"/>
                <w:szCs w:val="18"/>
              </w:rPr>
              <w:t>88</w:t>
            </w:r>
          </w:p>
        </w:tc>
      </w:tr>
      <w:tr w:rsidR="00751A38" w:rsidRPr="00B75B77" w:rsidTr="005E4455">
        <w:trPr>
          <w:trHeight w:val="288"/>
        </w:trPr>
        <w:tc>
          <w:tcPr>
            <w:tcW w:w="805" w:type="dxa"/>
            <w:tcBorders>
              <w:top w:val="nil"/>
              <w:left w:val="single" w:sz="4" w:space="0" w:color="448A99"/>
              <w:bottom w:val="single" w:sz="4" w:space="0" w:color="448A99"/>
              <w:right w:val="single" w:sz="4" w:space="0" w:color="448A99"/>
            </w:tcBorders>
            <w:shd w:val="clear" w:color="auto" w:fill="auto"/>
            <w:noWrap/>
            <w:vAlign w:val="center"/>
            <w:hideMark/>
          </w:tcPr>
          <w:p w:rsidR="00751A38" w:rsidRPr="00B75B77" w:rsidRDefault="00751A38" w:rsidP="00751A38">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3</w:t>
            </w:r>
          </w:p>
        </w:tc>
        <w:tc>
          <w:tcPr>
            <w:tcW w:w="6570" w:type="dxa"/>
            <w:tcBorders>
              <w:top w:val="nil"/>
              <w:left w:val="nil"/>
              <w:bottom w:val="single" w:sz="4" w:space="0" w:color="448A99"/>
              <w:right w:val="single" w:sz="4" w:space="0" w:color="448A99"/>
            </w:tcBorders>
            <w:shd w:val="clear" w:color="auto" w:fill="auto"/>
            <w:noWrap/>
            <w:vAlign w:val="center"/>
            <w:hideMark/>
          </w:tcPr>
          <w:p w:rsidR="00751A38" w:rsidRPr="00B75B77" w:rsidRDefault="00751A38" w:rsidP="00751A38">
            <w:pPr>
              <w:jc w:val="left"/>
              <w:rPr>
                <w:rFonts w:ascii="Calibri" w:eastAsia="Times New Roman" w:hAnsi="Calibri"/>
                <w:color w:val="000000"/>
                <w:sz w:val="18"/>
                <w:szCs w:val="18"/>
              </w:rPr>
            </w:pPr>
            <w:r w:rsidRPr="00B75B77">
              <w:rPr>
                <w:rFonts w:ascii="Calibri" w:eastAsia="Times New Roman" w:hAnsi="Calibri"/>
                <w:color w:val="000000"/>
                <w:sz w:val="18"/>
                <w:szCs w:val="18"/>
              </w:rPr>
              <w:t>EDC Incentives to Trade Allies</w:t>
            </w:r>
          </w:p>
        </w:tc>
        <w:tc>
          <w:tcPr>
            <w:tcW w:w="1080" w:type="dxa"/>
            <w:tcBorders>
              <w:top w:val="nil"/>
              <w:left w:val="nil"/>
              <w:bottom w:val="single" w:sz="4" w:space="0" w:color="448A99"/>
              <w:right w:val="single" w:sz="4" w:space="0" w:color="448A99"/>
            </w:tcBorders>
            <w:shd w:val="clear" w:color="auto" w:fill="auto"/>
            <w:noWrap/>
            <w:vAlign w:val="center"/>
            <w:hideMark/>
          </w:tcPr>
          <w:p w:rsidR="00751A38" w:rsidRPr="00B75B77" w:rsidRDefault="00751A38" w:rsidP="00751A38">
            <w:pPr>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50" w:type="dxa"/>
            <w:tcBorders>
              <w:top w:val="nil"/>
              <w:left w:val="nil"/>
              <w:bottom w:val="single" w:sz="4" w:space="0" w:color="448A99"/>
              <w:right w:val="single" w:sz="4" w:space="0" w:color="448A99"/>
            </w:tcBorders>
            <w:shd w:val="clear" w:color="auto" w:fill="auto"/>
            <w:noWrap/>
            <w:vAlign w:val="center"/>
            <w:hideMark/>
          </w:tcPr>
          <w:p w:rsidR="00751A38" w:rsidRPr="00B75B77" w:rsidRDefault="00751A38" w:rsidP="00751A38">
            <w:pPr>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751A38" w:rsidRPr="00B75B77" w:rsidTr="005E4455">
        <w:trPr>
          <w:trHeight w:val="288"/>
        </w:trPr>
        <w:tc>
          <w:tcPr>
            <w:tcW w:w="805" w:type="dxa"/>
            <w:tcBorders>
              <w:top w:val="nil"/>
              <w:left w:val="single" w:sz="4" w:space="0" w:color="448A99"/>
              <w:bottom w:val="single" w:sz="4" w:space="0" w:color="448A99"/>
              <w:right w:val="single" w:sz="4" w:space="0" w:color="448A99"/>
            </w:tcBorders>
            <w:shd w:val="clear" w:color="000000" w:fill="D2EAF1"/>
            <w:noWrap/>
            <w:vAlign w:val="center"/>
            <w:hideMark/>
          </w:tcPr>
          <w:p w:rsidR="00751A38" w:rsidRPr="00B75B77" w:rsidRDefault="00751A38" w:rsidP="00751A38">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4</w:t>
            </w:r>
          </w:p>
        </w:tc>
        <w:tc>
          <w:tcPr>
            <w:tcW w:w="6570" w:type="dxa"/>
            <w:tcBorders>
              <w:top w:val="nil"/>
              <w:left w:val="nil"/>
              <w:bottom w:val="single" w:sz="4" w:space="0" w:color="448A99"/>
              <w:right w:val="single" w:sz="4" w:space="0" w:color="448A99"/>
            </w:tcBorders>
            <w:shd w:val="clear" w:color="000000" w:fill="D2EAF1"/>
            <w:noWrap/>
            <w:vAlign w:val="center"/>
            <w:hideMark/>
          </w:tcPr>
          <w:p w:rsidR="00751A38" w:rsidRPr="00B75B77" w:rsidRDefault="00751A38" w:rsidP="00751A38">
            <w:pPr>
              <w:jc w:val="left"/>
              <w:rPr>
                <w:rFonts w:ascii="Calibri" w:eastAsia="Times New Roman" w:hAnsi="Calibri"/>
                <w:color w:val="000000"/>
                <w:sz w:val="18"/>
                <w:szCs w:val="18"/>
              </w:rPr>
            </w:pPr>
            <w:r w:rsidRPr="00B75B77">
              <w:rPr>
                <w:rFonts w:ascii="Calibri" w:eastAsia="Times New Roman" w:hAnsi="Calibri"/>
                <w:color w:val="000000"/>
                <w:sz w:val="18"/>
                <w:szCs w:val="18"/>
              </w:rPr>
              <w:t>Participant Costs (Net of Incentives/Rebates Paid by Utilities)</w:t>
            </w:r>
          </w:p>
        </w:tc>
        <w:tc>
          <w:tcPr>
            <w:tcW w:w="1080"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right"/>
              <w:rPr>
                <w:rFonts w:ascii="Calibri" w:eastAsia="Times New Roman" w:hAnsi="Calibri"/>
                <w:color w:val="000000"/>
                <w:sz w:val="18"/>
                <w:szCs w:val="18"/>
              </w:rPr>
            </w:pPr>
            <w:r w:rsidRPr="00B75B77">
              <w:rPr>
                <w:rFonts w:ascii="Calibri" w:eastAsia="Times New Roman" w:hAnsi="Calibri"/>
                <w:color w:val="000000"/>
                <w:sz w:val="18"/>
                <w:szCs w:val="18"/>
              </w:rPr>
              <w:t>1,</w:t>
            </w:r>
            <w:r w:rsidR="009D5AFB" w:rsidRPr="00B75B77">
              <w:rPr>
                <w:rFonts w:ascii="Calibri" w:eastAsia="Times New Roman" w:hAnsi="Calibri"/>
                <w:color w:val="000000"/>
                <w:sz w:val="18"/>
                <w:szCs w:val="18"/>
              </w:rPr>
              <w:t>761</w:t>
            </w:r>
          </w:p>
        </w:tc>
        <w:tc>
          <w:tcPr>
            <w:tcW w:w="1350"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right"/>
              <w:rPr>
                <w:rFonts w:ascii="Calibri" w:eastAsia="Times New Roman" w:hAnsi="Calibri"/>
                <w:color w:val="000000"/>
                <w:sz w:val="18"/>
                <w:szCs w:val="18"/>
              </w:rPr>
            </w:pPr>
            <w:r w:rsidRPr="00B75B77">
              <w:rPr>
                <w:rFonts w:ascii="Calibri" w:eastAsia="Times New Roman" w:hAnsi="Calibri"/>
                <w:color w:val="000000"/>
                <w:sz w:val="18"/>
                <w:szCs w:val="18"/>
              </w:rPr>
              <w:t>2,</w:t>
            </w:r>
            <w:r w:rsidR="009D5AFB" w:rsidRPr="00B75B77">
              <w:rPr>
                <w:rFonts w:ascii="Calibri" w:eastAsia="Times New Roman" w:hAnsi="Calibri"/>
                <w:color w:val="000000"/>
                <w:sz w:val="18"/>
                <w:szCs w:val="18"/>
              </w:rPr>
              <w:t>762</w:t>
            </w:r>
          </w:p>
        </w:tc>
      </w:tr>
      <w:tr w:rsidR="002E73D2" w:rsidRPr="00B75B77" w:rsidTr="005E4455">
        <w:trPr>
          <w:trHeight w:val="115"/>
        </w:trPr>
        <w:tc>
          <w:tcPr>
            <w:tcW w:w="9805" w:type="dxa"/>
            <w:gridSpan w:val="4"/>
            <w:tcBorders>
              <w:top w:val="nil"/>
              <w:left w:val="single" w:sz="4" w:space="0" w:color="448A99"/>
              <w:bottom w:val="single" w:sz="4" w:space="0" w:color="448A99"/>
              <w:right w:val="single" w:sz="4" w:space="0" w:color="448A99"/>
            </w:tcBorders>
            <w:shd w:val="clear" w:color="auto" w:fill="AEAAAA"/>
            <w:noWrap/>
            <w:vAlign w:val="center"/>
            <w:hideMark/>
          </w:tcPr>
          <w:p w:rsidR="002E73D2" w:rsidRPr="00B75B77" w:rsidRDefault="002E73D2" w:rsidP="00751A38">
            <w:pPr>
              <w:jc w:val="left"/>
              <w:rPr>
                <w:rFonts w:ascii="Calibri" w:eastAsia="Times New Roman" w:hAnsi="Calibri"/>
                <w:b/>
                <w:bCs/>
                <w:color w:val="FFFFFF"/>
                <w:sz w:val="18"/>
                <w:szCs w:val="18"/>
              </w:rPr>
            </w:pPr>
          </w:p>
        </w:tc>
      </w:tr>
      <w:tr w:rsidR="00751A38" w:rsidRPr="00B75B77" w:rsidTr="005E4455">
        <w:trPr>
          <w:trHeight w:val="288"/>
        </w:trPr>
        <w:tc>
          <w:tcPr>
            <w:tcW w:w="805" w:type="dxa"/>
            <w:tcBorders>
              <w:top w:val="nil"/>
              <w:left w:val="single" w:sz="4" w:space="0" w:color="448A99"/>
              <w:bottom w:val="single" w:sz="4" w:space="0" w:color="448A99"/>
              <w:right w:val="single" w:sz="4" w:space="0" w:color="448A99"/>
            </w:tcBorders>
            <w:shd w:val="clear" w:color="auto" w:fill="auto"/>
            <w:noWrap/>
            <w:vAlign w:val="center"/>
            <w:hideMark/>
          </w:tcPr>
          <w:p w:rsidR="00751A38" w:rsidRPr="00B75B77" w:rsidRDefault="00751A38" w:rsidP="00751A38">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5</w:t>
            </w:r>
          </w:p>
        </w:tc>
        <w:tc>
          <w:tcPr>
            <w:tcW w:w="6570" w:type="dxa"/>
            <w:tcBorders>
              <w:top w:val="nil"/>
              <w:left w:val="nil"/>
              <w:bottom w:val="single" w:sz="4" w:space="0" w:color="448A99"/>
              <w:right w:val="single" w:sz="4" w:space="0" w:color="448A99"/>
            </w:tcBorders>
            <w:shd w:val="clear" w:color="auto" w:fill="auto"/>
            <w:noWrap/>
            <w:vAlign w:val="center"/>
            <w:hideMark/>
          </w:tcPr>
          <w:p w:rsidR="00751A38" w:rsidRPr="00B75B77" w:rsidRDefault="00751A38" w:rsidP="00751A38">
            <w:pPr>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Program Overhead Costs </w:t>
            </w:r>
          </w:p>
        </w:tc>
        <w:tc>
          <w:tcPr>
            <w:tcW w:w="1080" w:type="dxa"/>
            <w:tcBorders>
              <w:top w:val="nil"/>
              <w:left w:val="nil"/>
              <w:bottom w:val="single" w:sz="4" w:space="0" w:color="448A99"/>
              <w:right w:val="single" w:sz="4" w:space="0" w:color="448A99"/>
            </w:tcBorders>
            <w:shd w:val="clear" w:color="auto" w:fill="auto"/>
            <w:noWrap/>
            <w:vAlign w:val="center"/>
            <w:hideMark/>
          </w:tcPr>
          <w:p w:rsidR="00751A38" w:rsidRPr="00B75B77" w:rsidRDefault="009D5AFB" w:rsidP="00751A38">
            <w:pPr>
              <w:jc w:val="right"/>
              <w:rPr>
                <w:rFonts w:ascii="Calibri" w:eastAsia="Times New Roman" w:hAnsi="Calibri"/>
                <w:color w:val="000000"/>
                <w:sz w:val="18"/>
                <w:szCs w:val="18"/>
              </w:rPr>
            </w:pPr>
            <w:r w:rsidRPr="00B75B77">
              <w:rPr>
                <w:rFonts w:ascii="Calibri" w:eastAsia="Times New Roman" w:hAnsi="Calibri"/>
                <w:color w:val="000000"/>
                <w:sz w:val="18"/>
                <w:szCs w:val="18"/>
              </w:rPr>
              <w:t>5,075</w:t>
            </w:r>
          </w:p>
        </w:tc>
        <w:tc>
          <w:tcPr>
            <w:tcW w:w="1350" w:type="dxa"/>
            <w:tcBorders>
              <w:top w:val="nil"/>
              <w:left w:val="nil"/>
              <w:bottom w:val="single" w:sz="4" w:space="0" w:color="448A99"/>
              <w:right w:val="single" w:sz="4" w:space="0" w:color="448A99"/>
            </w:tcBorders>
            <w:shd w:val="clear" w:color="auto" w:fill="auto"/>
            <w:noWrap/>
            <w:vAlign w:val="center"/>
            <w:hideMark/>
          </w:tcPr>
          <w:p w:rsidR="00751A38" w:rsidRPr="00B75B77" w:rsidRDefault="00751A38" w:rsidP="00751A38">
            <w:pPr>
              <w:jc w:val="right"/>
              <w:rPr>
                <w:rFonts w:ascii="Calibri" w:eastAsia="Times New Roman" w:hAnsi="Calibri"/>
                <w:color w:val="000000"/>
                <w:sz w:val="18"/>
                <w:szCs w:val="18"/>
              </w:rPr>
            </w:pPr>
            <w:r w:rsidRPr="00B75B77">
              <w:rPr>
                <w:rFonts w:ascii="Calibri" w:eastAsia="Times New Roman" w:hAnsi="Calibri"/>
                <w:color w:val="000000"/>
                <w:sz w:val="18"/>
                <w:szCs w:val="18"/>
              </w:rPr>
              <w:t>10,</w:t>
            </w:r>
            <w:r w:rsidR="009D5AFB" w:rsidRPr="00B75B77">
              <w:rPr>
                <w:rFonts w:ascii="Calibri" w:eastAsia="Times New Roman" w:hAnsi="Calibri"/>
                <w:color w:val="000000"/>
                <w:sz w:val="18"/>
                <w:szCs w:val="18"/>
              </w:rPr>
              <w:t>936</w:t>
            </w:r>
          </w:p>
        </w:tc>
      </w:tr>
      <w:tr w:rsidR="00751A38" w:rsidRPr="00B75B77" w:rsidTr="005E4455">
        <w:trPr>
          <w:trHeight w:val="288"/>
        </w:trPr>
        <w:tc>
          <w:tcPr>
            <w:tcW w:w="805" w:type="dxa"/>
            <w:tcBorders>
              <w:top w:val="nil"/>
              <w:left w:val="single" w:sz="4" w:space="0" w:color="448A99"/>
              <w:bottom w:val="single" w:sz="4" w:space="0" w:color="448A99"/>
              <w:right w:val="single" w:sz="4" w:space="0" w:color="448A99"/>
            </w:tcBorders>
            <w:shd w:val="clear" w:color="000000" w:fill="D2EAF1"/>
            <w:noWrap/>
            <w:vAlign w:val="center"/>
            <w:hideMark/>
          </w:tcPr>
          <w:p w:rsidR="00751A38" w:rsidRPr="00B75B77" w:rsidRDefault="00751A38" w:rsidP="00751A38">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6</w:t>
            </w:r>
          </w:p>
        </w:tc>
        <w:tc>
          <w:tcPr>
            <w:tcW w:w="6570" w:type="dxa"/>
            <w:tcBorders>
              <w:top w:val="nil"/>
              <w:left w:val="nil"/>
              <w:bottom w:val="single" w:sz="4" w:space="0" w:color="448A99"/>
              <w:right w:val="single" w:sz="4" w:space="0" w:color="448A99"/>
            </w:tcBorders>
            <w:shd w:val="clear" w:color="000000" w:fill="D2EAF1"/>
            <w:noWrap/>
            <w:vAlign w:val="center"/>
            <w:hideMark/>
          </w:tcPr>
          <w:p w:rsidR="00751A38" w:rsidRPr="00B75B77" w:rsidRDefault="00751A38" w:rsidP="00751A38">
            <w:pPr>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Design </w:t>
            </w:r>
            <w:r w:rsidR="00561219" w:rsidRPr="00B75B77">
              <w:rPr>
                <w:rFonts w:ascii="Calibri" w:eastAsia="Times New Roman" w:hAnsi="Calibri"/>
                <w:color w:val="000000"/>
                <w:sz w:val="18"/>
                <w:szCs w:val="18"/>
              </w:rPr>
              <w:t>and</w:t>
            </w:r>
            <w:r w:rsidRPr="00B75B77">
              <w:rPr>
                <w:rFonts w:ascii="Calibri" w:eastAsia="Times New Roman" w:hAnsi="Calibri"/>
                <w:color w:val="000000"/>
                <w:sz w:val="18"/>
                <w:szCs w:val="18"/>
              </w:rPr>
              <w:t xml:space="preserve"> Development</w:t>
            </w:r>
          </w:p>
        </w:tc>
        <w:tc>
          <w:tcPr>
            <w:tcW w:w="1080" w:type="dxa"/>
            <w:tcBorders>
              <w:top w:val="nil"/>
              <w:left w:val="nil"/>
              <w:bottom w:val="single" w:sz="4" w:space="0" w:color="448A99"/>
              <w:right w:val="single" w:sz="4" w:space="0" w:color="448A99"/>
            </w:tcBorders>
            <w:shd w:val="clear" w:color="000000" w:fill="D2EAF1"/>
            <w:noWrap/>
            <w:vAlign w:val="center"/>
            <w:hideMark/>
          </w:tcPr>
          <w:p w:rsidR="00751A38" w:rsidRPr="00B75B77" w:rsidRDefault="00751A38" w:rsidP="00751A38">
            <w:pPr>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50" w:type="dxa"/>
            <w:tcBorders>
              <w:top w:val="nil"/>
              <w:left w:val="nil"/>
              <w:bottom w:val="single" w:sz="4" w:space="0" w:color="448A99"/>
              <w:right w:val="single" w:sz="4" w:space="0" w:color="448A99"/>
            </w:tcBorders>
            <w:shd w:val="clear" w:color="000000" w:fill="D2EAF1"/>
            <w:noWrap/>
            <w:vAlign w:val="center"/>
            <w:hideMark/>
          </w:tcPr>
          <w:p w:rsidR="00751A38" w:rsidRPr="00B75B77" w:rsidRDefault="00751A38" w:rsidP="00751A38">
            <w:pPr>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751A38" w:rsidRPr="00B75B77" w:rsidTr="005E4455">
        <w:trPr>
          <w:trHeight w:val="288"/>
        </w:trPr>
        <w:tc>
          <w:tcPr>
            <w:tcW w:w="805" w:type="dxa"/>
            <w:tcBorders>
              <w:top w:val="nil"/>
              <w:left w:val="single" w:sz="4" w:space="0" w:color="448A99"/>
              <w:bottom w:val="single" w:sz="4" w:space="0" w:color="448A99"/>
              <w:right w:val="single" w:sz="4" w:space="0" w:color="448A99"/>
            </w:tcBorders>
            <w:shd w:val="clear" w:color="auto" w:fill="auto"/>
            <w:noWrap/>
            <w:vAlign w:val="center"/>
            <w:hideMark/>
          </w:tcPr>
          <w:p w:rsidR="00751A38" w:rsidRPr="00B75B77" w:rsidRDefault="00751A38" w:rsidP="00751A38">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7</w:t>
            </w:r>
          </w:p>
        </w:tc>
        <w:tc>
          <w:tcPr>
            <w:tcW w:w="6570" w:type="dxa"/>
            <w:tcBorders>
              <w:top w:val="nil"/>
              <w:left w:val="nil"/>
              <w:bottom w:val="single" w:sz="4" w:space="0" w:color="448A99"/>
              <w:right w:val="single" w:sz="4" w:space="0" w:color="448A99"/>
            </w:tcBorders>
            <w:shd w:val="clear" w:color="auto" w:fill="auto"/>
            <w:noWrap/>
            <w:vAlign w:val="center"/>
            <w:hideMark/>
          </w:tcPr>
          <w:p w:rsidR="00751A38" w:rsidRPr="00B75B77" w:rsidRDefault="00751A38" w:rsidP="00751A38">
            <w:pPr>
              <w:jc w:val="left"/>
              <w:rPr>
                <w:rFonts w:ascii="Calibri" w:eastAsia="Times New Roman" w:hAnsi="Calibri"/>
                <w:color w:val="000000"/>
                <w:sz w:val="18"/>
                <w:szCs w:val="18"/>
              </w:rPr>
            </w:pPr>
            <w:r w:rsidRPr="00B75B77">
              <w:rPr>
                <w:rFonts w:ascii="Calibri" w:eastAsia="Times New Roman" w:hAnsi="Calibri"/>
                <w:color w:val="000000"/>
                <w:sz w:val="18"/>
                <w:szCs w:val="18"/>
              </w:rPr>
              <w:t>Administration, Management, and Technical Assistance</w:t>
            </w:r>
            <w:r w:rsidRPr="00B75B77">
              <w:rPr>
                <w:rFonts w:ascii="Calibri" w:eastAsia="Times New Roman" w:hAnsi="Calibri"/>
                <w:b/>
                <w:bCs/>
                <w:color w:val="000000"/>
                <w:sz w:val="18"/>
                <w:szCs w:val="18"/>
                <w:vertAlign w:val="superscript"/>
              </w:rPr>
              <w:t>[1]</w:t>
            </w:r>
          </w:p>
        </w:tc>
        <w:tc>
          <w:tcPr>
            <w:tcW w:w="1080" w:type="dxa"/>
            <w:tcBorders>
              <w:top w:val="nil"/>
              <w:left w:val="nil"/>
              <w:bottom w:val="single" w:sz="4" w:space="0" w:color="448A99"/>
              <w:right w:val="single" w:sz="4" w:space="0" w:color="448A99"/>
            </w:tcBorders>
            <w:shd w:val="clear" w:color="auto" w:fill="auto"/>
            <w:noWrap/>
            <w:vAlign w:val="center"/>
            <w:hideMark/>
          </w:tcPr>
          <w:p w:rsidR="00751A38" w:rsidRPr="00B75B77" w:rsidRDefault="00751A38" w:rsidP="00751A38">
            <w:pPr>
              <w:jc w:val="right"/>
              <w:rPr>
                <w:rFonts w:ascii="Calibri" w:eastAsia="Times New Roman" w:hAnsi="Calibri"/>
                <w:color w:val="000000"/>
                <w:sz w:val="18"/>
                <w:szCs w:val="18"/>
              </w:rPr>
            </w:pPr>
            <w:r w:rsidRPr="00B75B77">
              <w:rPr>
                <w:rFonts w:ascii="Calibri" w:eastAsia="Times New Roman" w:hAnsi="Calibri"/>
                <w:color w:val="000000"/>
                <w:sz w:val="18"/>
                <w:szCs w:val="18"/>
              </w:rPr>
              <w:t>3,</w:t>
            </w:r>
            <w:r w:rsidR="009D5AFB" w:rsidRPr="00B75B77">
              <w:rPr>
                <w:rFonts w:ascii="Calibri" w:eastAsia="Times New Roman" w:hAnsi="Calibri"/>
                <w:color w:val="000000"/>
                <w:sz w:val="18"/>
                <w:szCs w:val="18"/>
              </w:rPr>
              <w:t>938</w:t>
            </w:r>
          </w:p>
        </w:tc>
        <w:tc>
          <w:tcPr>
            <w:tcW w:w="1350" w:type="dxa"/>
            <w:tcBorders>
              <w:top w:val="nil"/>
              <w:left w:val="nil"/>
              <w:bottom w:val="single" w:sz="4" w:space="0" w:color="448A99"/>
              <w:right w:val="single" w:sz="4" w:space="0" w:color="448A99"/>
            </w:tcBorders>
            <w:shd w:val="clear" w:color="auto" w:fill="auto"/>
            <w:noWrap/>
            <w:vAlign w:val="center"/>
            <w:hideMark/>
          </w:tcPr>
          <w:p w:rsidR="00751A38" w:rsidRPr="00B75B77" w:rsidRDefault="00751A38" w:rsidP="00751A38">
            <w:pPr>
              <w:jc w:val="right"/>
              <w:rPr>
                <w:rFonts w:ascii="Calibri" w:eastAsia="Times New Roman" w:hAnsi="Calibri"/>
                <w:color w:val="000000"/>
                <w:sz w:val="18"/>
                <w:szCs w:val="18"/>
              </w:rPr>
            </w:pPr>
            <w:r w:rsidRPr="00B75B77">
              <w:rPr>
                <w:rFonts w:ascii="Calibri" w:eastAsia="Times New Roman" w:hAnsi="Calibri"/>
                <w:color w:val="000000"/>
                <w:sz w:val="18"/>
                <w:szCs w:val="18"/>
              </w:rPr>
              <w:t>8,</w:t>
            </w:r>
            <w:r w:rsidR="009D5AFB" w:rsidRPr="00B75B77">
              <w:rPr>
                <w:rFonts w:ascii="Calibri" w:eastAsia="Times New Roman" w:hAnsi="Calibri"/>
                <w:color w:val="000000"/>
                <w:sz w:val="18"/>
                <w:szCs w:val="18"/>
              </w:rPr>
              <w:t>387</w:t>
            </w:r>
          </w:p>
        </w:tc>
      </w:tr>
      <w:tr w:rsidR="00751A38" w:rsidRPr="00B75B77" w:rsidTr="005E4455">
        <w:trPr>
          <w:trHeight w:val="288"/>
        </w:trPr>
        <w:tc>
          <w:tcPr>
            <w:tcW w:w="805" w:type="dxa"/>
            <w:tcBorders>
              <w:top w:val="nil"/>
              <w:left w:val="single" w:sz="4" w:space="0" w:color="448A99"/>
              <w:bottom w:val="single" w:sz="4" w:space="0" w:color="448A99"/>
              <w:right w:val="single" w:sz="4" w:space="0" w:color="448A99"/>
            </w:tcBorders>
            <w:shd w:val="clear" w:color="000000" w:fill="D2EAF1"/>
            <w:noWrap/>
            <w:vAlign w:val="center"/>
            <w:hideMark/>
          </w:tcPr>
          <w:p w:rsidR="00751A38" w:rsidRPr="00B75B77" w:rsidRDefault="00751A38" w:rsidP="00751A38">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8</w:t>
            </w:r>
          </w:p>
        </w:tc>
        <w:tc>
          <w:tcPr>
            <w:tcW w:w="6570" w:type="dxa"/>
            <w:tcBorders>
              <w:top w:val="nil"/>
              <w:left w:val="nil"/>
              <w:bottom w:val="single" w:sz="4" w:space="0" w:color="448A99"/>
              <w:right w:val="single" w:sz="4" w:space="0" w:color="448A99"/>
            </w:tcBorders>
            <w:shd w:val="clear" w:color="000000" w:fill="D2EAF1"/>
            <w:noWrap/>
            <w:vAlign w:val="center"/>
            <w:hideMark/>
          </w:tcPr>
          <w:p w:rsidR="00751A38" w:rsidRPr="00B75B77" w:rsidRDefault="00751A38" w:rsidP="00751A38">
            <w:pPr>
              <w:jc w:val="left"/>
              <w:rPr>
                <w:rFonts w:ascii="Calibri" w:eastAsia="Times New Roman" w:hAnsi="Calibri"/>
                <w:color w:val="000000"/>
                <w:sz w:val="18"/>
                <w:szCs w:val="18"/>
              </w:rPr>
            </w:pPr>
            <w:r w:rsidRPr="00B75B77">
              <w:rPr>
                <w:rFonts w:ascii="Calibri" w:eastAsia="Times New Roman" w:hAnsi="Calibri"/>
                <w:color w:val="000000"/>
                <w:sz w:val="18"/>
                <w:szCs w:val="18"/>
              </w:rPr>
              <w:t>Marketing</w:t>
            </w:r>
            <w:r w:rsidRPr="00B75B77">
              <w:rPr>
                <w:rFonts w:ascii="Calibri" w:eastAsia="Times New Roman" w:hAnsi="Calibri"/>
                <w:color w:val="000000"/>
                <w:sz w:val="18"/>
                <w:szCs w:val="18"/>
                <w:vertAlign w:val="superscript"/>
              </w:rPr>
              <w:t>[2]</w:t>
            </w:r>
          </w:p>
        </w:tc>
        <w:tc>
          <w:tcPr>
            <w:tcW w:w="1080" w:type="dxa"/>
            <w:tcBorders>
              <w:top w:val="nil"/>
              <w:left w:val="nil"/>
              <w:bottom w:val="single" w:sz="4" w:space="0" w:color="448A99"/>
              <w:right w:val="single" w:sz="4" w:space="0" w:color="448A99"/>
            </w:tcBorders>
            <w:shd w:val="clear" w:color="000000" w:fill="D2EAF1"/>
            <w:noWrap/>
            <w:vAlign w:val="center"/>
            <w:hideMark/>
          </w:tcPr>
          <w:p w:rsidR="00751A38" w:rsidRPr="00B75B77" w:rsidRDefault="00751A38" w:rsidP="00751A38">
            <w:pPr>
              <w:jc w:val="right"/>
              <w:rPr>
                <w:rFonts w:ascii="Calibri" w:eastAsia="Times New Roman" w:hAnsi="Calibri"/>
                <w:color w:val="000000"/>
                <w:sz w:val="18"/>
                <w:szCs w:val="18"/>
              </w:rPr>
            </w:pPr>
            <w:r w:rsidRPr="00B75B77">
              <w:rPr>
                <w:rFonts w:ascii="Calibri" w:eastAsia="Times New Roman" w:hAnsi="Calibri"/>
                <w:color w:val="000000"/>
                <w:sz w:val="18"/>
                <w:szCs w:val="18"/>
              </w:rPr>
              <w:t>1,1</w:t>
            </w:r>
            <w:r w:rsidR="009D5AFB" w:rsidRPr="00B75B77">
              <w:rPr>
                <w:rFonts w:ascii="Calibri" w:eastAsia="Times New Roman" w:hAnsi="Calibri"/>
                <w:color w:val="000000"/>
                <w:sz w:val="18"/>
                <w:szCs w:val="18"/>
              </w:rPr>
              <w:t>37</w:t>
            </w:r>
          </w:p>
        </w:tc>
        <w:tc>
          <w:tcPr>
            <w:tcW w:w="1350" w:type="dxa"/>
            <w:tcBorders>
              <w:top w:val="nil"/>
              <w:left w:val="nil"/>
              <w:bottom w:val="single" w:sz="4" w:space="0" w:color="448A99"/>
              <w:right w:val="single" w:sz="4" w:space="0" w:color="448A99"/>
            </w:tcBorders>
            <w:shd w:val="clear" w:color="000000" w:fill="D2EAF1"/>
            <w:noWrap/>
            <w:vAlign w:val="center"/>
            <w:hideMark/>
          </w:tcPr>
          <w:p w:rsidR="00751A38" w:rsidRPr="00B75B77" w:rsidRDefault="00751A38" w:rsidP="00751A38">
            <w:pPr>
              <w:jc w:val="right"/>
              <w:rPr>
                <w:rFonts w:ascii="Calibri" w:eastAsia="Times New Roman" w:hAnsi="Calibri"/>
                <w:color w:val="000000"/>
                <w:sz w:val="18"/>
                <w:szCs w:val="18"/>
              </w:rPr>
            </w:pPr>
            <w:r w:rsidRPr="00B75B77">
              <w:rPr>
                <w:rFonts w:ascii="Calibri" w:eastAsia="Times New Roman" w:hAnsi="Calibri"/>
                <w:color w:val="000000"/>
                <w:sz w:val="18"/>
                <w:szCs w:val="18"/>
              </w:rPr>
              <w:t>2,5</w:t>
            </w:r>
            <w:r w:rsidR="009D5AFB" w:rsidRPr="00B75B77">
              <w:rPr>
                <w:rFonts w:ascii="Calibri" w:eastAsia="Times New Roman" w:hAnsi="Calibri"/>
                <w:color w:val="000000"/>
                <w:sz w:val="18"/>
                <w:szCs w:val="18"/>
              </w:rPr>
              <w:t>49</w:t>
            </w:r>
          </w:p>
        </w:tc>
      </w:tr>
      <w:tr w:rsidR="00751A38" w:rsidRPr="00B75B77" w:rsidTr="005E4455">
        <w:trPr>
          <w:trHeight w:val="288"/>
        </w:trPr>
        <w:tc>
          <w:tcPr>
            <w:tcW w:w="805" w:type="dxa"/>
            <w:tcBorders>
              <w:top w:val="nil"/>
              <w:left w:val="single" w:sz="4" w:space="0" w:color="448A99"/>
              <w:bottom w:val="single" w:sz="4" w:space="0" w:color="448A99"/>
              <w:right w:val="single" w:sz="4" w:space="0" w:color="448A99"/>
            </w:tcBorders>
            <w:shd w:val="clear" w:color="auto" w:fill="auto"/>
            <w:noWrap/>
            <w:vAlign w:val="center"/>
            <w:hideMark/>
          </w:tcPr>
          <w:p w:rsidR="00751A38" w:rsidRPr="00B75B77" w:rsidRDefault="00751A38" w:rsidP="00751A38">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9</w:t>
            </w:r>
          </w:p>
        </w:tc>
        <w:tc>
          <w:tcPr>
            <w:tcW w:w="6570" w:type="dxa"/>
            <w:tcBorders>
              <w:top w:val="nil"/>
              <w:left w:val="nil"/>
              <w:bottom w:val="single" w:sz="4" w:space="0" w:color="448A99"/>
              <w:right w:val="single" w:sz="4" w:space="0" w:color="448A99"/>
            </w:tcBorders>
            <w:shd w:val="clear" w:color="auto" w:fill="auto"/>
            <w:noWrap/>
            <w:vAlign w:val="center"/>
            <w:hideMark/>
          </w:tcPr>
          <w:p w:rsidR="00751A38" w:rsidRPr="00B75B77" w:rsidRDefault="00751A38" w:rsidP="00751A38">
            <w:pPr>
              <w:jc w:val="left"/>
              <w:rPr>
                <w:rFonts w:ascii="Calibri" w:eastAsia="Times New Roman" w:hAnsi="Calibri"/>
                <w:color w:val="000000"/>
                <w:sz w:val="18"/>
                <w:szCs w:val="18"/>
              </w:rPr>
            </w:pPr>
            <w:r w:rsidRPr="00B75B77">
              <w:rPr>
                <w:rFonts w:ascii="Calibri" w:eastAsia="Times New Roman" w:hAnsi="Calibri"/>
                <w:color w:val="000000"/>
                <w:sz w:val="18"/>
                <w:szCs w:val="18"/>
              </w:rPr>
              <w:t>EDC Evaluation Costs</w:t>
            </w:r>
          </w:p>
        </w:tc>
        <w:tc>
          <w:tcPr>
            <w:tcW w:w="1080" w:type="dxa"/>
            <w:tcBorders>
              <w:top w:val="nil"/>
              <w:left w:val="nil"/>
              <w:bottom w:val="single" w:sz="4" w:space="0" w:color="448A99"/>
              <w:right w:val="single" w:sz="4" w:space="0" w:color="448A99"/>
            </w:tcBorders>
            <w:shd w:val="clear" w:color="auto" w:fill="auto"/>
            <w:noWrap/>
            <w:vAlign w:val="center"/>
            <w:hideMark/>
          </w:tcPr>
          <w:p w:rsidR="00751A38" w:rsidRPr="00B75B77" w:rsidRDefault="00751A38" w:rsidP="00751A38">
            <w:pPr>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50" w:type="dxa"/>
            <w:tcBorders>
              <w:top w:val="nil"/>
              <w:left w:val="nil"/>
              <w:bottom w:val="single" w:sz="4" w:space="0" w:color="448A99"/>
              <w:right w:val="single" w:sz="4" w:space="0" w:color="448A99"/>
            </w:tcBorders>
            <w:shd w:val="clear" w:color="auto" w:fill="auto"/>
            <w:noWrap/>
            <w:vAlign w:val="center"/>
            <w:hideMark/>
          </w:tcPr>
          <w:p w:rsidR="00751A38" w:rsidRPr="00B75B77" w:rsidRDefault="00751A38" w:rsidP="00751A38">
            <w:pPr>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751A38" w:rsidRPr="00B75B77" w:rsidTr="005E4455">
        <w:trPr>
          <w:trHeight w:val="288"/>
        </w:trPr>
        <w:tc>
          <w:tcPr>
            <w:tcW w:w="805" w:type="dxa"/>
            <w:tcBorders>
              <w:top w:val="nil"/>
              <w:left w:val="single" w:sz="4" w:space="0" w:color="448A99"/>
              <w:bottom w:val="single" w:sz="4" w:space="0" w:color="448A99"/>
              <w:right w:val="single" w:sz="4" w:space="0" w:color="448A99"/>
            </w:tcBorders>
            <w:shd w:val="clear" w:color="000000" w:fill="D2EAF1"/>
            <w:noWrap/>
            <w:vAlign w:val="center"/>
            <w:hideMark/>
          </w:tcPr>
          <w:p w:rsidR="00751A38" w:rsidRPr="00B75B77" w:rsidRDefault="00751A38" w:rsidP="00751A38">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10</w:t>
            </w:r>
          </w:p>
        </w:tc>
        <w:tc>
          <w:tcPr>
            <w:tcW w:w="6570" w:type="dxa"/>
            <w:tcBorders>
              <w:top w:val="nil"/>
              <w:left w:val="nil"/>
              <w:bottom w:val="single" w:sz="4" w:space="0" w:color="448A99"/>
              <w:right w:val="single" w:sz="4" w:space="0" w:color="448A99"/>
            </w:tcBorders>
            <w:shd w:val="clear" w:color="000000" w:fill="D2EAF1"/>
            <w:noWrap/>
            <w:vAlign w:val="center"/>
            <w:hideMark/>
          </w:tcPr>
          <w:p w:rsidR="00751A38" w:rsidRPr="00B75B77" w:rsidRDefault="00751A38" w:rsidP="00751A38">
            <w:pPr>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SWE Audit Costs </w:t>
            </w:r>
          </w:p>
        </w:tc>
        <w:tc>
          <w:tcPr>
            <w:tcW w:w="1080" w:type="dxa"/>
            <w:tcBorders>
              <w:top w:val="nil"/>
              <w:left w:val="nil"/>
              <w:bottom w:val="single" w:sz="4" w:space="0" w:color="448A99"/>
              <w:right w:val="single" w:sz="4" w:space="0" w:color="448A99"/>
            </w:tcBorders>
            <w:shd w:val="clear" w:color="000000" w:fill="D2EAF1"/>
            <w:noWrap/>
            <w:vAlign w:val="center"/>
            <w:hideMark/>
          </w:tcPr>
          <w:p w:rsidR="00751A38" w:rsidRPr="00B75B77" w:rsidRDefault="00751A38" w:rsidP="00751A38">
            <w:pPr>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50" w:type="dxa"/>
            <w:tcBorders>
              <w:top w:val="nil"/>
              <w:left w:val="nil"/>
              <w:bottom w:val="single" w:sz="4" w:space="0" w:color="448A99"/>
              <w:right w:val="single" w:sz="4" w:space="0" w:color="448A99"/>
            </w:tcBorders>
            <w:shd w:val="clear" w:color="000000" w:fill="D2EAF1"/>
            <w:noWrap/>
            <w:vAlign w:val="center"/>
            <w:hideMark/>
          </w:tcPr>
          <w:p w:rsidR="00751A38" w:rsidRPr="00B75B77" w:rsidRDefault="00751A38" w:rsidP="00751A38">
            <w:pPr>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2E73D2" w:rsidRPr="00B75B77" w:rsidTr="005E4455">
        <w:trPr>
          <w:trHeight w:val="115"/>
        </w:trPr>
        <w:tc>
          <w:tcPr>
            <w:tcW w:w="9805" w:type="dxa"/>
            <w:gridSpan w:val="4"/>
            <w:tcBorders>
              <w:top w:val="nil"/>
              <w:left w:val="single" w:sz="4" w:space="0" w:color="448A99"/>
              <w:bottom w:val="single" w:sz="4" w:space="0" w:color="448A99"/>
              <w:right w:val="single" w:sz="4" w:space="0" w:color="448A99"/>
            </w:tcBorders>
            <w:shd w:val="clear" w:color="auto" w:fill="AEAAAA"/>
            <w:noWrap/>
            <w:vAlign w:val="center"/>
            <w:hideMark/>
          </w:tcPr>
          <w:p w:rsidR="002E73D2" w:rsidRPr="00B75B77" w:rsidRDefault="002E73D2" w:rsidP="002E73D2">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w:t>
            </w:r>
          </w:p>
        </w:tc>
      </w:tr>
      <w:tr w:rsidR="00751A38" w:rsidRPr="00B75B77" w:rsidTr="005E4455">
        <w:trPr>
          <w:trHeight w:val="288"/>
        </w:trPr>
        <w:tc>
          <w:tcPr>
            <w:tcW w:w="805" w:type="dxa"/>
            <w:tcBorders>
              <w:top w:val="nil"/>
              <w:left w:val="single" w:sz="4" w:space="0" w:color="448A99"/>
              <w:bottom w:val="single" w:sz="4" w:space="0" w:color="448A99"/>
              <w:right w:val="single" w:sz="4" w:space="0" w:color="448A99"/>
            </w:tcBorders>
            <w:shd w:val="clear" w:color="auto" w:fill="auto"/>
            <w:noWrap/>
            <w:vAlign w:val="center"/>
            <w:hideMark/>
          </w:tcPr>
          <w:p w:rsidR="00751A38" w:rsidRPr="00B75B77" w:rsidRDefault="00751A38" w:rsidP="00751A38">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11</w:t>
            </w:r>
          </w:p>
        </w:tc>
        <w:tc>
          <w:tcPr>
            <w:tcW w:w="6570" w:type="dxa"/>
            <w:tcBorders>
              <w:top w:val="nil"/>
              <w:left w:val="nil"/>
              <w:bottom w:val="single" w:sz="4" w:space="0" w:color="448A99"/>
              <w:right w:val="single" w:sz="4" w:space="0" w:color="448A99"/>
            </w:tcBorders>
            <w:shd w:val="clear" w:color="auto" w:fill="auto"/>
            <w:noWrap/>
            <w:vAlign w:val="center"/>
            <w:hideMark/>
          </w:tcPr>
          <w:p w:rsidR="00751A38" w:rsidRPr="00B75B77" w:rsidRDefault="00751A38" w:rsidP="00751A38">
            <w:pPr>
              <w:jc w:val="left"/>
              <w:rPr>
                <w:rFonts w:ascii="Calibri" w:eastAsia="Times New Roman" w:hAnsi="Calibri"/>
                <w:color w:val="000000"/>
                <w:sz w:val="18"/>
                <w:szCs w:val="18"/>
              </w:rPr>
            </w:pPr>
            <w:r w:rsidRPr="00B75B77">
              <w:rPr>
                <w:rFonts w:ascii="Calibri" w:eastAsia="Times New Roman" w:hAnsi="Calibri"/>
                <w:color w:val="000000"/>
                <w:sz w:val="18"/>
                <w:szCs w:val="18"/>
              </w:rPr>
              <w:t>Increases in Costs of Natural Gas (or Other Fuels) for Fuel-Switching Programs</w:t>
            </w:r>
          </w:p>
        </w:tc>
        <w:tc>
          <w:tcPr>
            <w:tcW w:w="1080" w:type="dxa"/>
            <w:tcBorders>
              <w:top w:val="nil"/>
              <w:left w:val="nil"/>
              <w:bottom w:val="single" w:sz="4" w:space="0" w:color="448A99"/>
              <w:right w:val="single" w:sz="4" w:space="0" w:color="448A99"/>
            </w:tcBorders>
            <w:shd w:val="clear" w:color="auto" w:fill="auto"/>
            <w:vAlign w:val="center"/>
            <w:hideMark/>
          </w:tcPr>
          <w:p w:rsidR="00751A38" w:rsidRPr="00B75B77" w:rsidRDefault="00751A38" w:rsidP="00751A38">
            <w:pPr>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50" w:type="dxa"/>
            <w:tcBorders>
              <w:top w:val="nil"/>
              <w:left w:val="nil"/>
              <w:bottom w:val="single" w:sz="4" w:space="0" w:color="448A99"/>
              <w:right w:val="single" w:sz="4" w:space="0" w:color="448A99"/>
            </w:tcBorders>
            <w:shd w:val="clear" w:color="auto" w:fill="auto"/>
            <w:vAlign w:val="center"/>
            <w:hideMark/>
          </w:tcPr>
          <w:p w:rsidR="00751A38" w:rsidRPr="00B75B77" w:rsidRDefault="00751A38" w:rsidP="00751A38">
            <w:pPr>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2E73D2" w:rsidRPr="00B75B77" w:rsidTr="005E4455">
        <w:trPr>
          <w:trHeight w:val="115"/>
        </w:trPr>
        <w:tc>
          <w:tcPr>
            <w:tcW w:w="9805" w:type="dxa"/>
            <w:gridSpan w:val="4"/>
            <w:tcBorders>
              <w:top w:val="nil"/>
              <w:left w:val="single" w:sz="4" w:space="0" w:color="448A99"/>
              <w:bottom w:val="single" w:sz="4" w:space="0" w:color="448A99"/>
              <w:right w:val="single" w:sz="4" w:space="0" w:color="448A99"/>
            </w:tcBorders>
            <w:shd w:val="clear" w:color="auto" w:fill="AEAAAA"/>
            <w:noWrap/>
            <w:vAlign w:val="center"/>
            <w:hideMark/>
          </w:tcPr>
          <w:p w:rsidR="002E73D2" w:rsidRPr="00B75B77" w:rsidRDefault="002E73D2" w:rsidP="002E73D2">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w:t>
            </w:r>
          </w:p>
        </w:tc>
      </w:tr>
      <w:tr w:rsidR="00751A38" w:rsidRPr="00B75B77" w:rsidTr="005E4455">
        <w:trPr>
          <w:trHeight w:val="288"/>
        </w:trPr>
        <w:tc>
          <w:tcPr>
            <w:tcW w:w="805" w:type="dxa"/>
            <w:tcBorders>
              <w:top w:val="nil"/>
              <w:left w:val="single" w:sz="4" w:space="0" w:color="448A99"/>
              <w:bottom w:val="single" w:sz="4" w:space="0" w:color="448A99"/>
              <w:right w:val="single" w:sz="4" w:space="0" w:color="448A99"/>
            </w:tcBorders>
            <w:shd w:val="clear" w:color="000000" w:fill="D2EAF1"/>
            <w:noWrap/>
            <w:vAlign w:val="center"/>
            <w:hideMark/>
          </w:tcPr>
          <w:p w:rsidR="00751A38" w:rsidRPr="00B75B77" w:rsidRDefault="00751A38" w:rsidP="00751A38">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12</w:t>
            </w:r>
          </w:p>
        </w:tc>
        <w:tc>
          <w:tcPr>
            <w:tcW w:w="6570" w:type="dxa"/>
            <w:tcBorders>
              <w:top w:val="nil"/>
              <w:left w:val="nil"/>
              <w:bottom w:val="single" w:sz="4" w:space="0" w:color="448A99"/>
              <w:right w:val="single" w:sz="4" w:space="0" w:color="448A99"/>
            </w:tcBorders>
            <w:shd w:val="clear" w:color="000000" w:fill="D2EAF1"/>
            <w:noWrap/>
            <w:vAlign w:val="center"/>
            <w:hideMark/>
          </w:tcPr>
          <w:p w:rsidR="00751A38" w:rsidRPr="00B75B77" w:rsidRDefault="00751A38" w:rsidP="00751A38">
            <w:pPr>
              <w:jc w:val="left"/>
              <w:rPr>
                <w:rFonts w:ascii="Calibri" w:eastAsia="Times New Roman" w:hAnsi="Calibri"/>
                <w:color w:val="000000"/>
                <w:sz w:val="18"/>
                <w:szCs w:val="18"/>
              </w:rPr>
            </w:pPr>
            <w:r w:rsidRPr="00B75B77">
              <w:rPr>
                <w:rFonts w:ascii="Calibri" w:eastAsia="Times New Roman" w:hAnsi="Calibri"/>
                <w:color w:val="000000"/>
                <w:sz w:val="18"/>
                <w:szCs w:val="18"/>
              </w:rPr>
              <w:t>Total TRC Costs</w:t>
            </w:r>
            <w:r w:rsidRPr="00B75B77">
              <w:rPr>
                <w:rFonts w:ascii="Calibri" w:eastAsia="Times New Roman" w:hAnsi="Calibri"/>
                <w:color w:val="000000"/>
                <w:sz w:val="18"/>
                <w:szCs w:val="18"/>
                <w:vertAlign w:val="superscript"/>
              </w:rPr>
              <w:t>[5]</w:t>
            </w:r>
          </w:p>
        </w:tc>
        <w:tc>
          <w:tcPr>
            <w:tcW w:w="1080"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right"/>
              <w:rPr>
                <w:rFonts w:ascii="Calibri" w:eastAsia="Times New Roman" w:hAnsi="Calibri"/>
                <w:color w:val="000000"/>
                <w:sz w:val="18"/>
                <w:szCs w:val="18"/>
              </w:rPr>
            </w:pPr>
            <w:r w:rsidRPr="00B75B77">
              <w:rPr>
                <w:rFonts w:ascii="Calibri" w:eastAsia="Times New Roman" w:hAnsi="Calibri"/>
                <w:color w:val="000000"/>
                <w:sz w:val="18"/>
                <w:szCs w:val="18"/>
              </w:rPr>
              <w:t>7,</w:t>
            </w:r>
            <w:r w:rsidR="009D5AFB" w:rsidRPr="00B75B77">
              <w:rPr>
                <w:rFonts w:ascii="Calibri" w:eastAsia="Times New Roman" w:hAnsi="Calibri"/>
                <w:color w:val="000000"/>
                <w:sz w:val="18"/>
                <w:szCs w:val="18"/>
              </w:rPr>
              <w:t>503</w:t>
            </w:r>
          </w:p>
        </w:tc>
        <w:tc>
          <w:tcPr>
            <w:tcW w:w="1350"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right"/>
              <w:rPr>
                <w:rFonts w:ascii="Calibri" w:eastAsia="Times New Roman" w:hAnsi="Calibri"/>
                <w:color w:val="000000"/>
                <w:sz w:val="18"/>
                <w:szCs w:val="18"/>
              </w:rPr>
            </w:pPr>
            <w:r w:rsidRPr="00B75B77">
              <w:rPr>
                <w:rFonts w:ascii="Calibri" w:eastAsia="Times New Roman" w:hAnsi="Calibri"/>
                <w:color w:val="000000"/>
                <w:sz w:val="18"/>
                <w:szCs w:val="18"/>
              </w:rPr>
              <w:t>14,</w:t>
            </w:r>
            <w:r w:rsidR="009D5AFB" w:rsidRPr="00B75B77">
              <w:rPr>
                <w:rFonts w:ascii="Calibri" w:eastAsia="Times New Roman" w:hAnsi="Calibri"/>
                <w:color w:val="000000"/>
                <w:sz w:val="18"/>
                <w:szCs w:val="18"/>
              </w:rPr>
              <w:t>686</w:t>
            </w:r>
          </w:p>
        </w:tc>
      </w:tr>
      <w:tr w:rsidR="00751A38" w:rsidRPr="00B75B77" w:rsidTr="005E4455">
        <w:trPr>
          <w:trHeight w:val="288"/>
        </w:trPr>
        <w:tc>
          <w:tcPr>
            <w:tcW w:w="805" w:type="dxa"/>
            <w:tcBorders>
              <w:top w:val="nil"/>
              <w:left w:val="single" w:sz="4" w:space="0" w:color="448A99"/>
              <w:bottom w:val="single" w:sz="4" w:space="0" w:color="448A99"/>
              <w:right w:val="single" w:sz="4" w:space="0" w:color="448A99"/>
            </w:tcBorders>
            <w:shd w:val="clear" w:color="auto" w:fill="auto"/>
            <w:noWrap/>
            <w:vAlign w:val="center"/>
            <w:hideMark/>
          </w:tcPr>
          <w:p w:rsidR="00751A38" w:rsidRPr="00B75B77" w:rsidRDefault="00751A38" w:rsidP="00751A38">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13</w:t>
            </w:r>
          </w:p>
        </w:tc>
        <w:tc>
          <w:tcPr>
            <w:tcW w:w="6570" w:type="dxa"/>
            <w:tcBorders>
              <w:top w:val="nil"/>
              <w:left w:val="nil"/>
              <w:bottom w:val="single" w:sz="4" w:space="0" w:color="448A99"/>
              <w:right w:val="single" w:sz="4" w:space="0" w:color="448A99"/>
            </w:tcBorders>
            <w:shd w:val="clear" w:color="auto" w:fill="auto"/>
            <w:noWrap/>
            <w:vAlign w:val="center"/>
            <w:hideMark/>
          </w:tcPr>
          <w:p w:rsidR="00751A38" w:rsidRPr="00B75B77" w:rsidRDefault="00751A38" w:rsidP="00751A38">
            <w:pPr>
              <w:jc w:val="left"/>
              <w:rPr>
                <w:rFonts w:ascii="Calibri" w:eastAsia="Times New Roman" w:hAnsi="Calibri"/>
                <w:color w:val="000000"/>
                <w:sz w:val="18"/>
                <w:szCs w:val="18"/>
              </w:rPr>
            </w:pPr>
            <w:r w:rsidRPr="00B75B77">
              <w:rPr>
                <w:rFonts w:ascii="Calibri" w:eastAsia="Times New Roman" w:hAnsi="Calibri"/>
                <w:color w:val="000000"/>
                <w:sz w:val="18"/>
                <w:szCs w:val="18"/>
              </w:rPr>
              <w:t>Total NPV Lifetime Energy Benefits</w:t>
            </w:r>
          </w:p>
        </w:tc>
        <w:tc>
          <w:tcPr>
            <w:tcW w:w="1080" w:type="dxa"/>
            <w:tcBorders>
              <w:top w:val="nil"/>
              <w:left w:val="nil"/>
              <w:bottom w:val="single" w:sz="4" w:space="0" w:color="448A99"/>
              <w:right w:val="single" w:sz="4" w:space="0" w:color="448A99"/>
            </w:tcBorders>
            <w:shd w:val="clear" w:color="auto" w:fill="auto"/>
            <w:vAlign w:val="center"/>
            <w:hideMark/>
          </w:tcPr>
          <w:p w:rsidR="00751A38" w:rsidRPr="00B75B77" w:rsidRDefault="00751A38" w:rsidP="00751A38">
            <w:pPr>
              <w:jc w:val="right"/>
              <w:rPr>
                <w:rFonts w:ascii="Calibri" w:eastAsia="Times New Roman" w:hAnsi="Calibri"/>
                <w:color w:val="000000"/>
                <w:sz w:val="18"/>
                <w:szCs w:val="18"/>
              </w:rPr>
            </w:pPr>
            <w:r w:rsidRPr="00B75B77">
              <w:rPr>
                <w:rFonts w:ascii="Calibri" w:eastAsia="Times New Roman" w:hAnsi="Calibri"/>
                <w:color w:val="000000"/>
                <w:sz w:val="18"/>
                <w:szCs w:val="18"/>
              </w:rPr>
              <w:t>6,289</w:t>
            </w:r>
          </w:p>
        </w:tc>
        <w:tc>
          <w:tcPr>
            <w:tcW w:w="1350" w:type="dxa"/>
            <w:tcBorders>
              <w:top w:val="nil"/>
              <w:left w:val="nil"/>
              <w:bottom w:val="single" w:sz="4" w:space="0" w:color="448A99"/>
              <w:right w:val="single" w:sz="4" w:space="0" w:color="448A99"/>
            </w:tcBorders>
            <w:shd w:val="clear" w:color="auto" w:fill="auto"/>
            <w:vAlign w:val="center"/>
            <w:hideMark/>
          </w:tcPr>
          <w:p w:rsidR="00751A38" w:rsidRPr="00B75B77" w:rsidRDefault="00751A38" w:rsidP="00751A38">
            <w:pPr>
              <w:jc w:val="right"/>
              <w:rPr>
                <w:rFonts w:ascii="Calibri" w:eastAsia="Times New Roman" w:hAnsi="Calibri"/>
                <w:color w:val="000000"/>
                <w:sz w:val="18"/>
                <w:szCs w:val="18"/>
              </w:rPr>
            </w:pPr>
            <w:r w:rsidRPr="00B75B77">
              <w:rPr>
                <w:rFonts w:ascii="Calibri" w:eastAsia="Times New Roman" w:hAnsi="Calibri"/>
                <w:color w:val="000000"/>
                <w:sz w:val="18"/>
                <w:szCs w:val="18"/>
              </w:rPr>
              <w:t>9,470</w:t>
            </w:r>
          </w:p>
        </w:tc>
      </w:tr>
      <w:tr w:rsidR="00751A38" w:rsidRPr="00B75B77" w:rsidTr="005E4455">
        <w:trPr>
          <w:trHeight w:val="288"/>
        </w:trPr>
        <w:tc>
          <w:tcPr>
            <w:tcW w:w="805" w:type="dxa"/>
            <w:tcBorders>
              <w:top w:val="nil"/>
              <w:left w:val="single" w:sz="4" w:space="0" w:color="448A99"/>
              <w:bottom w:val="single" w:sz="4" w:space="0" w:color="448A99"/>
              <w:right w:val="single" w:sz="4" w:space="0" w:color="448A99"/>
            </w:tcBorders>
            <w:shd w:val="clear" w:color="000000" w:fill="D2EAF1"/>
            <w:noWrap/>
            <w:vAlign w:val="center"/>
            <w:hideMark/>
          </w:tcPr>
          <w:p w:rsidR="00751A38" w:rsidRPr="00B75B77" w:rsidRDefault="00751A38" w:rsidP="00751A38">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14</w:t>
            </w:r>
          </w:p>
        </w:tc>
        <w:tc>
          <w:tcPr>
            <w:tcW w:w="6570" w:type="dxa"/>
            <w:tcBorders>
              <w:top w:val="nil"/>
              <w:left w:val="nil"/>
              <w:bottom w:val="single" w:sz="4" w:space="0" w:color="448A99"/>
              <w:right w:val="single" w:sz="4" w:space="0" w:color="448A99"/>
            </w:tcBorders>
            <w:shd w:val="clear" w:color="000000" w:fill="D2EAF1"/>
            <w:noWrap/>
            <w:vAlign w:val="center"/>
            <w:hideMark/>
          </w:tcPr>
          <w:p w:rsidR="00751A38" w:rsidRPr="00B75B77" w:rsidRDefault="00751A38" w:rsidP="00751A38">
            <w:pPr>
              <w:jc w:val="left"/>
              <w:rPr>
                <w:rFonts w:ascii="Calibri" w:eastAsia="Times New Roman" w:hAnsi="Calibri"/>
                <w:color w:val="000000"/>
                <w:sz w:val="18"/>
                <w:szCs w:val="18"/>
              </w:rPr>
            </w:pPr>
            <w:r w:rsidRPr="00B75B77">
              <w:rPr>
                <w:rFonts w:ascii="Calibri" w:eastAsia="Times New Roman" w:hAnsi="Calibri"/>
                <w:color w:val="000000"/>
                <w:sz w:val="18"/>
                <w:szCs w:val="18"/>
              </w:rPr>
              <w:t>Total NPV Lifetime Capacity Benefits</w:t>
            </w:r>
          </w:p>
        </w:tc>
        <w:tc>
          <w:tcPr>
            <w:tcW w:w="1080"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right"/>
              <w:rPr>
                <w:rFonts w:ascii="Calibri" w:eastAsia="Times New Roman" w:hAnsi="Calibri"/>
                <w:color w:val="000000"/>
                <w:sz w:val="18"/>
                <w:szCs w:val="18"/>
              </w:rPr>
            </w:pPr>
            <w:r w:rsidRPr="00B75B77">
              <w:rPr>
                <w:rFonts w:ascii="Calibri" w:eastAsia="Times New Roman" w:hAnsi="Calibri"/>
                <w:color w:val="000000"/>
                <w:sz w:val="18"/>
                <w:szCs w:val="18"/>
              </w:rPr>
              <w:t>457</w:t>
            </w:r>
          </w:p>
        </w:tc>
        <w:tc>
          <w:tcPr>
            <w:tcW w:w="1350"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right"/>
              <w:rPr>
                <w:rFonts w:ascii="Calibri" w:eastAsia="Times New Roman" w:hAnsi="Calibri"/>
                <w:color w:val="000000"/>
                <w:sz w:val="18"/>
                <w:szCs w:val="18"/>
              </w:rPr>
            </w:pPr>
            <w:r w:rsidRPr="00B75B77">
              <w:rPr>
                <w:rFonts w:ascii="Calibri" w:eastAsia="Times New Roman" w:hAnsi="Calibri"/>
                <w:color w:val="000000"/>
                <w:sz w:val="18"/>
                <w:szCs w:val="18"/>
              </w:rPr>
              <w:t>698</w:t>
            </w:r>
          </w:p>
        </w:tc>
      </w:tr>
      <w:tr w:rsidR="00751A38" w:rsidRPr="00B75B77" w:rsidTr="005E4455">
        <w:trPr>
          <w:trHeight w:val="288"/>
        </w:trPr>
        <w:tc>
          <w:tcPr>
            <w:tcW w:w="805" w:type="dxa"/>
            <w:tcBorders>
              <w:top w:val="nil"/>
              <w:left w:val="single" w:sz="4" w:space="0" w:color="448A99"/>
              <w:bottom w:val="single" w:sz="4" w:space="0" w:color="448A99"/>
              <w:right w:val="single" w:sz="4" w:space="0" w:color="448A99"/>
            </w:tcBorders>
            <w:shd w:val="clear" w:color="auto" w:fill="auto"/>
            <w:noWrap/>
            <w:vAlign w:val="center"/>
            <w:hideMark/>
          </w:tcPr>
          <w:p w:rsidR="00751A38" w:rsidRPr="00B75B77" w:rsidRDefault="00751A38" w:rsidP="00751A38">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15</w:t>
            </w:r>
          </w:p>
        </w:tc>
        <w:tc>
          <w:tcPr>
            <w:tcW w:w="6570" w:type="dxa"/>
            <w:tcBorders>
              <w:top w:val="nil"/>
              <w:left w:val="nil"/>
              <w:bottom w:val="single" w:sz="4" w:space="0" w:color="448A99"/>
              <w:right w:val="single" w:sz="4" w:space="0" w:color="448A99"/>
            </w:tcBorders>
            <w:shd w:val="clear" w:color="auto" w:fill="auto"/>
            <w:noWrap/>
            <w:vAlign w:val="center"/>
            <w:hideMark/>
          </w:tcPr>
          <w:p w:rsidR="00751A38" w:rsidRPr="00B75B77" w:rsidRDefault="00751A38" w:rsidP="00751A38">
            <w:pPr>
              <w:jc w:val="left"/>
              <w:rPr>
                <w:rFonts w:ascii="Calibri" w:eastAsia="Times New Roman" w:hAnsi="Calibri"/>
                <w:color w:val="000000"/>
                <w:sz w:val="18"/>
                <w:szCs w:val="18"/>
              </w:rPr>
            </w:pPr>
            <w:r w:rsidRPr="00B75B77">
              <w:rPr>
                <w:rFonts w:ascii="Calibri" w:eastAsia="Times New Roman" w:hAnsi="Calibri"/>
                <w:color w:val="000000"/>
                <w:sz w:val="18"/>
                <w:szCs w:val="18"/>
              </w:rPr>
              <w:t>Total NPV TRC Benefits</w:t>
            </w:r>
            <w:r w:rsidRPr="00B75B77">
              <w:rPr>
                <w:rFonts w:ascii="Calibri" w:eastAsia="Times New Roman" w:hAnsi="Calibri"/>
                <w:color w:val="000000"/>
                <w:sz w:val="18"/>
                <w:szCs w:val="18"/>
                <w:vertAlign w:val="superscript"/>
              </w:rPr>
              <w:t>[6]</w:t>
            </w:r>
          </w:p>
        </w:tc>
        <w:tc>
          <w:tcPr>
            <w:tcW w:w="1080" w:type="dxa"/>
            <w:tcBorders>
              <w:top w:val="nil"/>
              <w:left w:val="nil"/>
              <w:bottom w:val="single" w:sz="4" w:space="0" w:color="448A99"/>
              <w:right w:val="single" w:sz="4" w:space="0" w:color="448A99"/>
            </w:tcBorders>
            <w:shd w:val="clear" w:color="auto" w:fill="auto"/>
            <w:vAlign w:val="center"/>
            <w:hideMark/>
          </w:tcPr>
          <w:p w:rsidR="00751A38" w:rsidRPr="00B75B77" w:rsidRDefault="00751A38" w:rsidP="00751A38">
            <w:pPr>
              <w:jc w:val="right"/>
              <w:rPr>
                <w:rFonts w:ascii="Calibri" w:eastAsia="Times New Roman" w:hAnsi="Calibri"/>
                <w:color w:val="000000"/>
                <w:sz w:val="18"/>
                <w:szCs w:val="18"/>
              </w:rPr>
            </w:pPr>
            <w:r w:rsidRPr="00B75B77">
              <w:rPr>
                <w:rFonts w:ascii="Calibri" w:eastAsia="Times New Roman" w:hAnsi="Calibri"/>
                <w:color w:val="000000"/>
                <w:sz w:val="18"/>
                <w:szCs w:val="18"/>
              </w:rPr>
              <w:t>7,03</w:t>
            </w:r>
            <w:r w:rsidR="009D5AFB" w:rsidRPr="00B75B77">
              <w:rPr>
                <w:rFonts w:ascii="Calibri" w:eastAsia="Times New Roman" w:hAnsi="Calibri"/>
                <w:color w:val="000000"/>
                <w:sz w:val="18"/>
                <w:szCs w:val="18"/>
              </w:rPr>
              <w:t>4</w:t>
            </w:r>
          </w:p>
        </w:tc>
        <w:tc>
          <w:tcPr>
            <w:tcW w:w="1350" w:type="dxa"/>
            <w:tcBorders>
              <w:top w:val="nil"/>
              <w:left w:val="nil"/>
              <w:bottom w:val="single" w:sz="4" w:space="0" w:color="448A99"/>
              <w:right w:val="single" w:sz="4" w:space="0" w:color="448A99"/>
            </w:tcBorders>
            <w:shd w:val="clear" w:color="auto" w:fill="auto"/>
            <w:vAlign w:val="center"/>
            <w:hideMark/>
          </w:tcPr>
          <w:p w:rsidR="00751A38" w:rsidRPr="00B75B77" w:rsidRDefault="00751A38" w:rsidP="00751A38">
            <w:pPr>
              <w:jc w:val="right"/>
              <w:rPr>
                <w:rFonts w:ascii="Calibri" w:eastAsia="Times New Roman" w:hAnsi="Calibri"/>
                <w:color w:val="000000"/>
                <w:sz w:val="18"/>
                <w:szCs w:val="18"/>
              </w:rPr>
            </w:pPr>
            <w:r w:rsidRPr="00B75B77">
              <w:rPr>
                <w:rFonts w:ascii="Calibri" w:eastAsia="Times New Roman" w:hAnsi="Calibri"/>
                <w:color w:val="000000"/>
                <w:sz w:val="18"/>
                <w:szCs w:val="18"/>
              </w:rPr>
              <w:t>10,62</w:t>
            </w:r>
            <w:r w:rsidR="009D5AFB" w:rsidRPr="00B75B77">
              <w:rPr>
                <w:rFonts w:ascii="Calibri" w:eastAsia="Times New Roman" w:hAnsi="Calibri"/>
                <w:color w:val="000000"/>
                <w:sz w:val="18"/>
                <w:szCs w:val="18"/>
              </w:rPr>
              <w:t>2</w:t>
            </w:r>
          </w:p>
        </w:tc>
      </w:tr>
      <w:tr w:rsidR="002E73D2" w:rsidRPr="00B75B77" w:rsidTr="005E4455">
        <w:trPr>
          <w:trHeight w:val="115"/>
        </w:trPr>
        <w:tc>
          <w:tcPr>
            <w:tcW w:w="9805" w:type="dxa"/>
            <w:gridSpan w:val="4"/>
            <w:tcBorders>
              <w:top w:val="nil"/>
              <w:left w:val="single" w:sz="4" w:space="0" w:color="448A99"/>
              <w:bottom w:val="single" w:sz="4" w:space="0" w:color="448A99"/>
              <w:right w:val="single" w:sz="4" w:space="0" w:color="448A99"/>
            </w:tcBorders>
            <w:shd w:val="clear" w:color="auto" w:fill="AEAAAA"/>
            <w:noWrap/>
            <w:vAlign w:val="center"/>
            <w:hideMark/>
          </w:tcPr>
          <w:p w:rsidR="002E73D2" w:rsidRPr="00B75B77" w:rsidRDefault="002E73D2" w:rsidP="00751A38">
            <w:pPr>
              <w:jc w:val="left"/>
              <w:rPr>
                <w:rFonts w:ascii="Calibri" w:eastAsia="Times New Roman" w:hAnsi="Calibri"/>
                <w:b/>
                <w:bCs/>
                <w:color w:val="FFFFFF"/>
                <w:sz w:val="18"/>
                <w:szCs w:val="18"/>
              </w:rPr>
            </w:pPr>
          </w:p>
        </w:tc>
      </w:tr>
      <w:tr w:rsidR="00751A38" w:rsidRPr="00B75B77" w:rsidTr="005E4455">
        <w:trPr>
          <w:trHeight w:val="288"/>
        </w:trPr>
        <w:tc>
          <w:tcPr>
            <w:tcW w:w="805" w:type="dxa"/>
            <w:tcBorders>
              <w:top w:val="nil"/>
              <w:left w:val="single" w:sz="4" w:space="0" w:color="448A99"/>
              <w:bottom w:val="single" w:sz="4" w:space="0" w:color="448A99"/>
              <w:right w:val="single" w:sz="4" w:space="0" w:color="448A99"/>
            </w:tcBorders>
            <w:shd w:val="clear" w:color="000000" w:fill="D2EAF1"/>
            <w:noWrap/>
            <w:vAlign w:val="center"/>
            <w:hideMark/>
          </w:tcPr>
          <w:p w:rsidR="00751A38" w:rsidRPr="00B75B77" w:rsidRDefault="00751A38" w:rsidP="00751A38">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16</w:t>
            </w:r>
          </w:p>
        </w:tc>
        <w:tc>
          <w:tcPr>
            <w:tcW w:w="6570" w:type="dxa"/>
            <w:tcBorders>
              <w:top w:val="nil"/>
              <w:left w:val="nil"/>
              <w:bottom w:val="single" w:sz="4" w:space="0" w:color="448A99"/>
              <w:right w:val="single" w:sz="4" w:space="0" w:color="448A99"/>
            </w:tcBorders>
            <w:shd w:val="clear" w:color="000000" w:fill="D2EAF1"/>
            <w:noWrap/>
            <w:vAlign w:val="center"/>
            <w:hideMark/>
          </w:tcPr>
          <w:p w:rsidR="00751A38" w:rsidRPr="00B75B77" w:rsidRDefault="00751A38" w:rsidP="00751A38">
            <w:pPr>
              <w:jc w:val="left"/>
              <w:rPr>
                <w:rFonts w:ascii="Calibri" w:eastAsia="Times New Roman" w:hAnsi="Calibri"/>
                <w:color w:val="000000"/>
                <w:sz w:val="18"/>
                <w:szCs w:val="18"/>
              </w:rPr>
            </w:pPr>
            <w:r w:rsidRPr="00B75B77">
              <w:rPr>
                <w:rFonts w:ascii="Calibri" w:eastAsia="Times New Roman" w:hAnsi="Calibri"/>
                <w:color w:val="000000"/>
                <w:sz w:val="18"/>
                <w:szCs w:val="18"/>
              </w:rPr>
              <w:t>TRC Benefit-Cost Ratio</w:t>
            </w:r>
          </w:p>
        </w:tc>
        <w:tc>
          <w:tcPr>
            <w:tcW w:w="1080"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right"/>
              <w:rPr>
                <w:rFonts w:ascii="Calibri" w:eastAsia="Times New Roman" w:hAnsi="Calibri"/>
                <w:color w:val="000000"/>
                <w:sz w:val="18"/>
                <w:szCs w:val="18"/>
              </w:rPr>
            </w:pPr>
            <w:r w:rsidRPr="00B75B77">
              <w:rPr>
                <w:rFonts w:ascii="Calibri" w:eastAsia="Times New Roman" w:hAnsi="Calibri"/>
                <w:color w:val="000000"/>
                <w:sz w:val="18"/>
                <w:szCs w:val="18"/>
              </w:rPr>
              <w:t>0.9</w:t>
            </w:r>
            <w:r w:rsidR="009D5AFB" w:rsidRPr="00B75B77">
              <w:rPr>
                <w:rFonts w:ascii="Calibri" w:eastAsia="Times New Roman" w:hAnsi="Calibri"/>
                <w:color w:val="000000"/>
                <w:sz w:val="18"/>
                <w:szCs w:val="18"/>
              </w:rPr>
              <w:t>4</w:t>
            </w:r>
          </w:p>
        </w:tc>
        <w:tc>
          <w:tcPr>
            <w:tcW w:w="1350" w:type="dxa"/>
            <w:tcBorders>
              <w:top w:val="nil"/>
              <w:left w:val="nil"/>
              <w:bottom w:val="single" w:sz="4" w:space="0" w:color="448A99"/>
              <w:right w:val="single" w:sz="4" w:space="0" w:color="448A99"/>
            </w:tcBorders>
            <w:shd w:val="clear" w:color="000000" w:fill="D2EAF1"/>
            <w:vAlign w:val="center"/>
            <w:hideMark/>
          </w:tcPr>
          <w:p w:rsidR="00751A38" w:rsidRPr="00B75B77" w:rsidRDefault="00751A38" w:rsidP="00751A38">
            <w:pPr>
              <w:jc w:val="right"/>
              <w:rPr>
                <w:rFonts w:ascii="Calibri" w:eastAsia="Times New Roman" w:hAnsi="Calibri"/>
                <w:color w:val="000000"/>
                <w:sz w:val="18"/>
                <w:szCs w:val="18"/>
              </w:rPr>
            </w:pPr>
            <w:r w:rsidRPr="00B75B77">
              <w:rPr>
                <w:rFonts w:ascii="Calibri" w:eastAsia="Times New Roman" w:hAnsi="Calibri"/>
                <w:color w:val="000000"/>
                <w:sz w:val="18"/>
                <w:szCs w:val="18"/>
              </w:rPr>
              <w:t>0.7</w:t>
            </w:r>
            <w:r w:rsidR="009D5AFB" w:rsidRPr="00B75B77">
              <w:rPr>
                <w:rFonts w:ascii="Calibri" w:eastAsia="Times New Roman" w:hAnsi="Calibri"/>
                <w:color w:val="000000"/>
                <w:sz w:val="18"/>
                <w:szCs w:val="18"/>
              </w:rPr>
              <w:t>2</w:t>
            </w:r>
          </w:p>
        </w:tc>
      </w:tr>
      <w:tr w:rsidR="00751A38" w:rsidRPr="00B75B77" w:rsidTr="005E4455">
        <w:trPr>
          <w:trHeight w:val="3300"/>
        </w:trPr>
        <w:tc>
          <w:tcPr>
            <w:tcW w:w="9805" w:type="dxa"/>
            <w:gridSpan w:val="4"/>
            <w:tcBorders>
              <w:top w:val="single" w:sz="4" w:space="0" w:color="448A99"/>
              <w:left w:val="single" w:sz="4" w:space="0" w:color="448A99"/>
              <w:bottom w:val="single" w:sz="4" w:space="0" w:color="448A99"/>
              <w:right w:val="single" w:sz="4" w:space="0" w:color="448A99"/>
            </w:tcBorders>
            <w:shd w:val="clear" w:color="auto" w:fill="auto"/>
            <w:hideMark/>
          </w:tcPr>
          <w:p w:rsidR="005362A5" w:rsidRPr="00B75B77" w:rsidRDefault="005362A5" w:rsidP="00751A38">
            <w:pPr>
              <w:jc w:val="left"/>
              <w:rPr>
                <w:rFonts w:ascii="Calibri" w:eastAsia="Times New Roman" w:hAnsi="Calibri"/>
                <w:b/>
                <w:iCs/>
                <w:color w:val="000000"/>
                <w:sz w:val="18"/>
                <w:szCs w:val="18"/>
              </w:rPr>
            </w:pPr>
            <w:r w:rsidRPr="00B75B77">
              <w:rPr>
                <w:rFonts w:ascii="Calibri" w:eastAsia="Times New Roman" w:hAnsi="Calibri"/>
                <w:b/>
                <w:iCs/>
                <w:color w:val="000000"/>
                <w:sz w:val="18"/>
                <w:szCs w:val="18"/>
              </w:rPr>
              <w:lastRenderedPageBreak/>
              <w:t>Notes:</w:t>
            </w:r>
          </w:p>
          <w:p w:rsidR="00751A38" w:rsidRPr="00B75B77" w:rsidRDefault="00751A38" w:rsidP="00561219">
            <w:pPr>
              <w:jc w:val="left"/>
              <w:rPr>
                <w:rFonts w:ascii="Calibri" w:eastAsia="Times New Roman" w:hAnsi="Calibri"/>
                <w:color w:val="000000"/>
                <w:sz w:val="18"/>
                <w:szCs w:val="18"/>
              </w:rPr>
            </w:pPr>
            <w:r w:rsidRPr="00B75B77">
              <w:rPr>
                <w:rFonts w:ascii="Calibri" w:eastAsia="Times New Roman" w:hAnsi="Calibri"/>
                <w:iCs/>
                <w:color w:val="000000"/>
                <w:sz w:val="18"/>
                <w:szCs w:val="18"/>
              </w:rPr>
              <w:t xml:space="preserve">Per PUC direction, TRC inputs and calculations are required in the Annual Report only and should comply with the 2013 </w:t>
            </w:r>
            <w:r w:rsidR="00561219" w:rsidRPr="00B75B77">
              <w:rPr>
                <w:rFonts w:ascii="Calibri" w:eastAsia="Times New Roman" w:hAnsi="Calibri"/>
                <w:iCs/>
                <w:color w:val="000000"/>
                <w:sz w:val="18"/>
                <w:szCs w:val="18"/>
              </w:rPr>
              <w:t>TRC</w:t>
            </w:r>
            <w:r w:rsidRPr="00B75B77">
              <w:rPr>
                <w:rFonts w:ascii="Calibri" w:eastAsia="Times New Roman" w:hAnsi="Calibri"/>
                <w:iCs/>
                <w:color w:val="000000"/>
                <w:sz w:val="18"/>
                <w:szCs w:val="18"/>
              </w:rPr>
              <w:t xml:space="preserve"> Test Order. Please see the “Report Definitions” section of this report for more details.</w:t>
            </w:r>
            <w:r w:rsidRPr="00B75B77">
              <w:rPr>
                <w:rFonts w:ascii="Calibri" w:eastAsia="Times New Roman" w:hAnsi="Calibri"/>
                <w:color w:val="000000"/>
                <w:sz w:val="18"/>
                <w:szCs w:val="18"/>
              </w:rPr>
              <w:br/>
            </w:r>
            <w:r w:rsidRPr="00B75B77">
              <w:rPr>
                <w:rFonts w:ascii="Calibri" w:eastAsia="Times New Roman" w:hAnsi="Calibri"/>
                <w:color w:val="000000"/>
                <w:sz w:val="8"/>
                <w:szCs w:val="8"/>
              </w:rPr>
              <w:br/>
            </w:r>
            <w:r w:rsidRPr="00B75B77">
              <w:rPr>
                <w:rFonts w:ascii="Calibri" w:eastAsia="Times New Roman" w:hAnsi="Calibri"/>
                <w:color w:val="000000"/>
                <w:sz w:val="18"/>
                <w:szCs w:val="18"/>
                <w:vertAlign w:val="superscript"/>
              </w:rPr>
              <w:t>[1]</w:t>
            </w:r>
            <w:r w:rsidRPr="00B75B77">
              <w:rPr>
                <w:rFonts w:ascii="Calibri" w:eastAsia="Times New Roman" w:hAnsi="Calibri"/>
                <w:color w:val="000000"/>
                <w:sz w:val="18"/>
                <w:szCs w:val="18"/>
              </w:rPr>
              <w:t xml:space="preserve"> Includes rebate processing, tracking system, general administration, EDC and CSP program management, general management</w:t>
            </w:r>
            <w:r w:rsidR="008841E5" w:rsidRPr="00B75B77">
              <w:rPr>
                <w:rFonts w:ascii="Calibri" w:eastAsia="Times New Roman" w:hAnsi="Calibri"/>
                <w:color w:val="000000"/>
                <w:sz w:val="18"/>
                <w:szCs w:val="18"/>
              </w:rPr>
              <w:t>,</w:t>
            </w:r>
            <w:r w:rsidRPr="00B75B77">
              <w:rPr>
                <w:rFonts w:ascii="Calibri" w:eastAsia="Times New Roman" w:hAnsi="Calibri"/>
                <w:color w:val="000000"/>
                <w:sz w:val="18"/>
                <w:szCs w:val="18"/>
              </w:rPr>
              <w:t xml:space="preserve"> and legal and technical assistance</w:t>
            </w:r>
            <w:r w:rsidR="002E49B3" w:rsidRPr="00B75B77">
              <w:rPr>
                <w:rFonts w:ascii="Calibri" w:eastAsia="Times New Roman" w:hAnsi="Calibri"/>
                <w:color w:val="000000"/>
                <w:sz w:val="18"/>
                <w:szCs w:val="18"/>
              </w:rPr>
              <w:t xml:space="preserve">. </w:t>
            </w:r>
            <w:r w:rsidRPr="00B75B77">
              <w:rPr>
                <w:rFonts w:ascii="Calibri" w:eastAsia="Times New Roman" w:hAnsi="Calibri"/>
                <w:color w:val="000000"/>
                <w:sz w:val="18"/>
                <w:szCs w:val="18"/>
              </w:rPr>
              <w:br/>
            </w:r>
            <w:r w:rsidRPr="00B75B77">
              <w:rPr>
                <w:rFonts w:ascii="Calibri" w:eastAsia="Times New Roman" w:hAnsi="Calibri"/>
                <w:color w:val="000000"/>
                <w:sz w:val="18"/>
                <w:szCs w:val="18"/>
                <w:vertAlign w:val="superscript"/>
              </w:rPr>
              <w:t>[2]</w:t>
            </w:r>
            <w:r w:rsidRPr="00B75B77">
              <w:rPr>
                <w:rFonts w:ascii="Calibri" w:eastAsia="Times New Roman" w:hAnsi="Calibri"/>
                <w:color w:val="000000"/>
                <w:sz w:val="18"/>
                <w:szCs w:val="18"/>
              </w:rPr>
              <w:t xml:space="preserve"> Includes the marketing CSP and marketing costs by program CSPs. </w:t>
            </w:r>
            <w:r w:rsidRPr="00B75B77">
              <w:rPr>
                <w:rFonts w:ascii="Calibri" w:eastAsia="Times New Roman" w:hAnsi="Calibri"/>
                <w:color w:val="000000"/>
                <w:sz w:val="18"/>
                <w:szCs w:val="18"/>
              </w:rPr>
              <w:br/>
            </w:r>
            <w:r w:rsidRPr="00B75B77">
              <w:rPr>
                <w:rFonts w:ascii="Calibri" w:eastAsia="Times New Roman" w:hAnsi="Calibri"/>
                <w:color w:val="000000"/>
                <w:sz w:val="18"/>
                <w:szCs w:val="18"/>
                <w:vertAlign w:val="superscript"/>
              </w:rPr>
              <w:t>[3]</w:t>
            </w:r>
            <w:r w:rsidRPr="00B75B77">
              <w:rPr>
                <w:rFonts w:ascii="Calibri" w:eastAsia="Times New Roman" w:hAnsi="Calibri"/>
                <w:color w:val="000000"/>
                <w:sz w:val="18"/>
                <w:szCs w:val="18"/>
              </w:rPr>
              <w:t xml:space="preserve"> Total TRC Costs includes Total EDC Costs and Participant Costs.</w:t>
            </w:r>
            <w:r w:rsidRPr="00B75B77">
              <w:rPr>
                <w:rFonts w:ascii="Calibri" w:eastAsia="Times New Roman" w:hAnsi="Calibri"/>
                <w:color w:val="000000"/>
                <w:sz w:val="18"/>
                <w:szCs w:val="18"/>
              </w:rPr>
              <w:br/>
            </w:r>
            <w:r w:rsidRPr="00B75B77">
              <w:rPr>
                <w:rFonts w:ascii="Calibri" w:eastAsia="Times New Roman" w:hAnsi="Calibri"/>
                <w:color w:val="000000"/>
                <w:sz w:val="18"/>
                <w:szCs w:val="18"/>
                <w:vertAlign w:val="superscript"/>
              </w:rPr>
              <w:t>[4]</w:t>
            </w:r>
            <w:r w:rsidRPr="00B75B77">
              <w:rPr>
                <w:rFonts w:ascii="Calibri" w:eastAsia="Times New Roman" w:hAnsi="Calibri"/>
                <w:color w:val="000000"/>
                <w:sz w:val="18"/>
                <w:szCs w:val="18"/>
              </w:rPr>
              <w:t xml:space="preserve"> Total TRC Benefits equals the sum of Total Lifetime Energy Benefits and Total Lifetime Capacity Benefits</w:t>
            </w:r>
            <w:r w:rsidR="00A21256" w:rsidRPr="00B75B77">
              <w:rPr>
                <w:rFonts w:ascii="Calibri" w:eastAsia="Times New Roman" w:hAnsi="Calibri"/>
                <w:color w:val="000000"/>
                <w:sz w:val="18"/>
                <w:szCs w:val="18"/>
              </w:rPr>
              <w:t xml:space="preserve"> b</w:t>
            </w:r>
            <w:r w:rsidRPr="00B75B77">
              <w:rPr>
                <w:rFonts w:ascii="Calibri" w:eastAsia="Times New Roman" w:hAnsi="Calibri"/>
                <w:color w:val="000000"/>
                <w:sz w:val="18"/>
                <w:szCs w:val="18"/>
              </w:rPr>
              <w:t>ased upon verified gross kWh and kW savings. Benefits include avoided supply costs, including the reduction in costs of electric energy, generation, transmission, and distribution capacity, and natural gas valued at marginal cost for periods when there is a load reduction. NOTE: Savings carried over from Phase I are not to be included as a part of Total TRC Benefits for Phase II.</w:t>
            </w:r>
            <w:r w:rsidRPr="00B75B77">
              <w:rPr>
                <w:rFonts w:ascii="Calibri" w:eastAsia="Times New Roman" w:hAnsi="Calibri"/>
                <w:color w:val="000000"/>
                <w:sz w:val="18"/>
                <w:szCs w:val="18"/>
              </w:rPr>
              <w:br/>
            </w:r>
            <w:r w:rsidRPr="00B75B77">
              <w:rPr>
                <w:rFonts w:ascii="Calibri" w:eastAsia="Times New Roman" w:hAnsi="Calibri"/>
                <w:color w:val="000000"/>
                <w:sz w:val="18"/>
                <w:szCs w:val="18"/>
                <w:vertAlign w:val="superscript"/>
              </w:rPr>
              <w:t>[5]</w:t>
            </w:r>
            <w:r w:rsidRPr="00B75B77">
              <w:rPr>
                <w:rFonts w:ascii="Calibri" w:eastAsia="Times New Roman" w:hAnsi="Calibri"/>
                <w:color w:val="000000"/>
                <w:sz w:val="18"/>
                <w:szCs w:val="18"/>
              </w:rPr>
              <w:t xml:space="preserve"> TRC Ratio equals Total NPV TRC Benefits divided by Total NPV TRC Costs.</w:t>
            </w:r>
            <w:r w:rsidRPr="00B75B77">
              <w:rPr>
                <w:rFonts w:ascii="Calibri" w:eastAsia="Times New Roman" w:hAnsi="Calibri"/>
                <w:color w:val="000000"/>
                <w:sz w:val="18"/>
                <w:szCs w:val="18"/>
              </w:rPr>
              <w:br/>
            </w:r>
            <w:r w:rsidRPr="00B75B77">
              <w:rPr>
                <w:rFonts w:ascii="Calibri" w:eastAsia="Times New Roman" w:hAnsi="Calibri"/>
                <w:color w:val="000000"/>
                <w:sz w:val="8"/>
                <w:szCs w:val="8"/>
              </w:rPr>
              <w:br/>
            </w:r>
            <w:r w:rsidRPr="00B75B77">
              <w:rPr>
                <w:rFonts w:ascii="Calibri" w:eastAsia="Times New Roman" w:hAnsi="Calibri"/>
                <w:iCs/>
                <w:color w:val="000000"/>
                <w:sz w:val="18"/>
                <w:szCs w:val="18"/>
              </w:rPr>
              <w:t xml:space="preserve">Values in tables may not reconcile exactly with </w:t>
            </w:r>
            <w:r w:rsidR="00A21256" w:rsidRPr="00B75B77">
              <w:rPr>
                <w:rFonts w:ascii="Calibri" w:eastAsia="Times New Roman" w:hAnsi="Calibri"/>
                <w:iCs/>
                <w:color w:val="000000"/>
                <w:sz w:val="18"/>
                <w:szCs w:val="18"/>
              </w:rPr>
              <w:t xml:space="preserve">the </w:t>
            </w:r>
            <w:r w:rsidRPr="00B75B77">
              <w:rPr>
                <w:rFonts w:ascii="Calibri" w:eastAsia="Times New Roman" w:hAnsi="Calibri"/>
                <w:iCs/>
                <w:color w:val="000000"/>
                <w:sz w:val="18"/>
                <w:szCs w:val="18"/>
              </w:rPr>
              <w:t>sum of more detailed level results or previously reported results due to rounding.</w:t>
            </w:r>
          </w:p>
        </w:tc>
      </w:tr>
    </w:tbl>
    <w:p w:rsidR="00195B2F" w:rsidRPr="00B75B77" w:rsidRDefault="00751A38" w:rsidP="003B2DA8">
      <w:pPr>
        <w:pStyle w:val="Source"/>
        <w:keepNext/>
        <w:spacing w:after="0"/>
        <w:ind w:left="273" w:hanging="86"/>
        <w:sectPr w:rsidR="00195B2F" w:rsidRPr="00B75B77" w:rsidSect="00B5438D">
          <w:pgSz w:w="12240" w:h="15840" w:code="1"/>
          <w:pgMar w:top="1170" w:right="1440" w:bottom="1260" w:left="1440" w:header="576" w:footer="475" w:gutter="0"/>
          <w:cols w:space="720"/>
          <w:docGrid w:linePitch="360"/>
        </w:sectPr>
      </w:pPr>
      <w:r w:rsidRPr="00B75B77">
        <w:t>Source: Navigant analysis</w:t>
      </w:r>
    </w:p>
    <w:p w:rsidR="006D21FB" w:rsidRPr="00B75B77" w:rsidRDefault="00636577" w:rsidP="006D21FB">
      <w:pPr>
        <w:pStyle w:val="Heading1"/>
      </w:pPr>
      <w:bookmarkStart w:id="346" w:name="_Toc466413302"/>
      <w:r w:rsidRPr="00B75B77">
        <w:lastRenderedPageBreak/>
        <w:t>Smart Appliance Recycling</w:t>
      </w:r>
      <w:r w:rsidR="002922A4" w:rsidRPr="00B75B77">
        <w:t xml:space="preserve"> Program</w:t>
      </w:r>
      <w:bookmarkEnd w:id="346"/>
    </w:p>
    <w:p w:rsidR="008B4879" w:rsidRPr="00B75B77" w:rsidRDefault="003B2DA8" w:rsidP="00751A38">
      <w:r w:rsidRPr="00B75B77">
        <w:t>PECO’s</w:t>
      </w:r>
      <w:r w:rsidR="008B4879" w:rsidRPr="00B75B77">
        <w:t xml:space="preserve"> Smart Appliance Recycling (SAR) program removes and recycles operating, inefficient refrigerators and freezers from residential and nonresidential customer sites at no cost to participants. The program intends to offer PECO customers a convenient and environmentally friendly alternative to reselling an old appliance or taking it to a landfill. </w:t>
      </w:r>
      <w:r w:rsidRPr="00B75B77">
        <w:t xml:space="preserve">Thus, </w:t>
      </w:r>
      <w:r w:rsidR="008B4879" w:rsidRPr="00B75B77">
        <w:t xml:space="preserve">SAR offers participants a financial incentive for recycling up to two appliances per household per year. Unlike some low-income appliance recycling programs, SAR provides no replacement appliance. Customers sign up by scheduling an appointment for pickup with the independent CSP </w:t>
      </w:r>
      <w:r w:rsidRPr="00B75B77">
        <w:t xml:space="preserve">that </w:t>
      </w:r>
      <w:r w:rsidR="008B4879" w:rsidRPr="00B75B77">
        <w:t>operates the program</w:t>
      </w:r>
      <w:r w:rsidRPr="00B75B77">
        <w:t xml:space="preserve">. The CSP </w:t>
      </w:r>
      <w:r w:rsidR="008B4879" w:rsidRPr="00B75B77">
        <w:t>handl</w:t>
      </w:r>
      <w:r w:rsidRPr="00B75B77">
        <w:t>es</w:t>
      </w:r>
      <w:r w:rsidR="008B4879" w:rsidRPr="00B75B77">
        <w:t xml:space="preserve"> all of the application and pickup processes, collect</w:t>
      </w:r>
      <w:r w:rsidRPr="00B75B77">
        <w:t>s</w:t>
      </w:r>
      <w:r w:rsidR="008B4879" w:rsidRPr="00B75B77">
        <w:t xml:space="preserve"> data about participants and their appliances, and physically recycl</w:t>
      </w:r>
      <w:r w:rsidRPr="00B75B77">
        <w:t>es</w:t>
      </w:r>
      <w:r w:rsidR="008B4879" w:rsidRPr="00B75B77">
        <w:t xml:space="preserve"> the retrieved appliances at a regional facility. </w:t>
      </w:r>
      <w:r w:rsidR="00E44910" w:rsidRPr="00B75B77">
        <w:t xml:space="preserve">JACO </w:t>
      </w:r>
      <w:r w:rsidR="008B4879" w:rsidRPr="00B75B77">
        <w:t>Environmental, Inc. (JACO) implemented the program until the second quarter of PY7, when it became insolvent. Thereafter</w:t>
      </w:r>
      <w:r w:rsidR="00AE0F3F" w:rsidRPr="00B75B77">
        <w:t>,</w:t>
      </w:r>
      <w:r w:rsidR="008B4879" w:rsidRPr="00B75B77">
        <w:t xml:space="preserve"> Appliance Recycling Centers of America (ARCA) collected any outstanding units and will continue to implement SAR in Phase III. </w:t>
      </w:r>
      <w:r w:rsidR="00E44910" w:rsidRPr="00B75B77">
        <w:t>After collecting the appliance, t</w:t>
      </w:r>
      <w:r w:rsidR="008B4879" w:rsidRPr="00B75B77">
        <w:t xml:space="preserve">he </w:t>
      </w:r>
      <w:r w:rsidR="006047DD" w:rsidRPr="00B75B77">
        <w:t xml:space="preserve">implementer </w:t>
      </w:r>
      <w:r w:rsidR="008B4879" w:rsidRPr="00B75B77">
        <w:t xml:space="preserve">mails the customer a check </w:t>
      </w:r>
      <w:r w:rsidR="00E44910" w:rsidRPr="00B75B77">
        <w:t>4-6</w:t>
      </w:r>
      <w:r w:rsidR="008B4879" w:rsidRPr="00B75B77">
        <w:t xml:space="preserve"> weeks after </w:t>
      </w:r>
      <w:r w:rsidR="006047DD" w:rsidRPr="00B75B77">
        <w:t xml:space="preserve">they retrieve a </w:t>
      </w:r>
      <w:r w:rsidR="008B4879" w:rsidRPr="00B75B77">
        <w:t>customer’s unit.</w:t>
      </w:r>
    </w:p>
    <w:p w:rsidR="008B4879" w:rsidRPr="00B75B77" w:rsidRDefault="008B4879" w:rsidP="00751A38">
      <w:r w:rsidRPr="00B75B77">
        <w:t xml:space="preserve"> </w:t>
      </w:r>
    </w:p>
    <w:p w:rsidR="008B4879" w:rsidRPr="00B75B77" w:rsidRDefault="008B4879" w:rsidP="003E6A9B">
      <w:pPr>
        <w:pStyle w:val="Heading2"/>
      </w:pPr>
      <w:bookmarkStart w:id="347" w:name="_Toc331591680"/>
      <w:bookmarkStart w:id="348" w:name="_Toc390682411"/>
      <w:bookmarkStart w:id="349" w:name="_Toc389747549"/>
      <w:bookmarkStart w:id="350" w:name="_Toc390947286"/>
      <w:bookmarkStart w:id="351" w:name="_Toc390175495"/>
      <w:bookmarkStart w:id="352" w:name="_Toc390943358"/>
      <w:bookmarkStart w:id="353" w:name="_Toc466413303"/>
      <w:r w:rsidRPr="00B75B77">
        <w:t>Program Updates</w:t>
      </w:r>
      <w:bookmarkEnd w:id="347"/>
      <w:bookmarkEnd w:id="348"/>
      <w:bookmarkEnd w:id="349"/>
      <w:bookmarkEnd w:id="350"/>
      <w:bookmarkEnd w:id="351"/>
      <w:bookmarkEnd w:id="352"/>
      <w:bookmarkEnd w:id="353"/>
    </w:p>
    <w:p w:rsidR="008B4879" w:rsidRPr="00B75B77" w:rsidRDefault="008B4879" w:rsidP="00751A38">
      <w:r w:rsidRPr="00B75B77">
        <w:t xml:space="preserve">The SAR program operated in accordance with the Phase II plan until November 16, 2015, when JACO abruptly ceased daily operations and subsequently declared bankruptcy. JACO did not have sufficient funds at the time it ceased operation to cover outstanding incentive payments to some PECO customers, leaving </w:t>
      </w:r>
      <w:r w:rsidR="00E44910" w:rsidRPr="00B75B77">
        <w:t xml:space="preserve">approximately </w:t>
      </w:r>
      <w:r w:rsidRPr="00B75B77">
        <w:t xml:space="preserve">800 customers without a rebate and as many as 1,000 customers with a rebate check that would bounce when deposited. </w:t>
      </w:r>
    </w:p>
    <w:p w:rsidR="008B4879" w:rsidRPr="00B75B77" w:rsidRDefault="008B4879" w:rsidP="00751A38"/>
    <w:p w:rsidR="008B4879" w:rsidRPr="00B75B77" w:rsidRDefault="008B4879" w:rsidP="00751A38">
      <w:r w:rsidRPr="00B75B77">
        <w:t xml:space="preserve">In addition, </w:t>
      </w:r>
      <w:r w:rsidR="00E44910" w:rsidRPr="00B75B77">
        <w:t xml:space="preserve">approximately </w:t>
      </w:r>
      <w:r w:rsidRPr="00B75B77">
        <w:t xml:space="preserve">750 PECO customers had scheduled an appliance pickup appointment during the weeks leading up to the closure and had no one show up to their home. To rescue these stranded units, PECO secured an interim recycler, ARCA, on February 26, 2015. In March, April, and May ARCA contacted each of the 750 customers whose appliances were previously scheduled for pickup and </w:t>
      </w:r>
      <w:r w:rsidR="00B672AF" w:rsidRPr="00B75B77">
        <w:t xml:space="preserve">also </w:t>
      </w:r>
      <w:r w:rsidRPr="00B75B77">
        <w:t>scheduled new pickup appointments with customers who had been waitlisted between November and February. After a temporary contract to do this work through the end of PY7, PECO hired ARCA to begin fully implementing the program during Phase III. For six customers extraordinarily inconvenienced by JACO failing to pick up their appliance, SAR staff arranged for an appliance retailer to come out and remove their appliances earlier than ARCA could.</w:t>
      </w:r>
    </w:p>
    <w:p w:rsidR="008B4879" w:rsidRPr="00B75B77" w:rsidRDefault="008B4879" w:rsidP="00751A38"/>
    <w:p w:rsidR="008B4879" w:rsidRPr="00B75B77" w:rsidRDefault="008B4879" w:rsidP="00751A38">
      <w:r w:rsidRPr="00B75B77">
        <w:t xml:space="preserve">After its </w:t>
      </w:r>
      <w:r w:rsidRPr="00B75B77" w:rsidDel="00845869">
        <w:t>closure</w:t>
      </w:r>
      <w:r w:rsidRPr="00B75B77">
        <w:t xml:space="preserve"> JACO was not able to identify exactly which of the impacted PECO customers had received rebates and which had not</w:t>
      </w:r>
      <w:r w:rsidR="006047DD" w:rsidRPr="00B75B77">
        <w:t>. W</w:t>
      </w:r>
      <w:r w:rsidRPr="00B75B77">
        <w:t xml:space="preserve">orking with </w:t>
      </w:r>
      <w:r w:rsidR="006047DD" w:rsidRPr="00B75B77">
        <w:t xml:space="preserve">a temporary rebate processor, </w:t>
      </w:r>
      <w:proofErr w:type="spellStart"/>
      <w:r w:rsidRPr="00B75B77">
        <w:t>Ecova</w:t>
      </w:r>
      <w:proofErr w:type="spellEnd"/>
      <w:r w:rsidRPr="00B75B77">
        <w:t>, PECO contacted 2,818 customers to ensure they received and successfully deposited their rebate checks. These 2,818 customers were composed of two groups: those successfully served by JACO whose outstanding checks</w:t>
      </w:r>
      <w:r w:rsidR="0052409F" w:rsidRPr="00B75B77">
        <w:t xml:space="preserve"> bounced or</w:t>
      </w:r>
      <w:r w:rsidRPr="00B75B77">
        <w:t xml:space="preserve"> would</w:t>
      </w:r>
      <w:r w:rsidR="0052409F" w:rsidRPr="00B75B77">
        <w:t xml:space="preserve"> have</w:t>
      </w:r>
      <w:r w:rsidRPr="00B75B77">
        <w:t xml:space="preserve"> bounce</w:t>
      </w:r>
      <w:r w:rsidR="0052409F" w:rsidRPr="00B75B77">
        <w:t>d</w:t>
      </w:r>
      <w:r w:rsidRPr="00B75B77">
        <w:t xml:space="preserve"> if deposited, and those whose appliances were picked up in the month before JACO’s bankruptcy but </w:t>
      </w:r>
      <w:r w:rsidR="00B672AF" w:rsidRPr="00B75B77">
        <w:t>that m</w:t>
      </w:r>
      <w:r w:rsidRPr="00B75B77">
        <w:t>ay or may not have received a rebate. Among these, 126 customers were unwilling to wait for PECO to reissue a check, so PECO issued gift cards to cover the rebate—$50 per appliance—</w:t>
      </w:r>
      <w:r w:rsidR="00B672AF" w:rsidRPr="00B75B77">
        <w:t xml:space="preserve">as well as the </w:t>
      </w:r>
      <w:r w:rsidRPr="00B75B77">
        <w:t>$20 bounced check</w:t>
      </w:r>
      <w:r w:rsidR="00B672AF" w:rsidRPr="00B75B77">
        <w:t xml:space="preserve"> bank fees</w:t>
      </w:r>
      <w:r w:rsidRPr="00B75B77">
        <w:t xml:space="preserve">. </w:t>
      </w:r>
    </w:p>
    <w:p w:rsidR="008B4879" w:rsidRPr="00B75B77" w:rsidRDefault="008B4879" w:rsidP="00286B52"/>
    <w:p w:rsidR="008B4879" w:rsidRPr="00B75B77" w:rsidRDefault="008B4879" w:rsidP="0045485C">
      <w:pPr>
        <w:pStyle w:val="Heading3"/>
      </w:pPr>
      <w:bookmarkStart w:id="354" w:name="_Toc466413304"/>
      <w:r w:rsidRPr="00B75B77">
        <w:t>Definition of Participant</w:t>
      </w:r>
      <w:bookmarkEnd w:id="354"/>
    </w:p>
    <w:p w:rsidR="008B4879" w:rsidRPr="00B75B77" w:rsidRDefault="008B4879" w:rsidP="00286B52">
      <w:r w:rsidRPr="00B75B77">
        <w:t xml:space="preserve">Each customer who schedules a pickup for one or more units is considered a single participant, unless the customer initiates more than one order in the same day. In that case, </w:t>
      </w:r>
      <w:r w:rsidR="00CF2D62" w:rsidRPr="00B75B77">
        <w:t>even if a customer initiates more than one order in the same day, they are only counted as one participant</w:t>
      </w:r>
      <w:r w:rsidRPr="00B75B77">
        <w:t xml:space="preserve">. This participant definition held in PY7 for every customer whose appliance(s) were successfully recycled by either JACO </w:t>
      </w:r>
      <w:r w:rsidRPr="00B75B77">
        <w:lastRenderedPageBreak/>
        <w:t>or ARCA. If a customer withdrew their participation after JACO failed to pick</w:t>
      </w:r>
      <w:r w:rsidR="00031089" w:rsidRPr="00B75B77">
        <w:t xml:space="preserve"> </w:t>
      </w:r>
      <w:r w:rsidRPr="00B75B77">
        <w:t>up their unit</w:t>
      </w:r>
      <w:r w:rsidR="00B672AF" w:rsidRPr="00B75B77">
        <w:t>,</w:t>
      </w:r>
      <w:r w:rsidRPr="00B75B77">
        <w:t xml:space="preserve"> they are not considered a participant. Every participant received a rebate or </w:t>
      </w:r>
      <w:r w:rsidR="00B672AF" w:rsidRPr="00B75B77">
        <w:t xml:space="preserve">a </w:t>
      </w:r>
      <w:r w:rsidRPr="00B75B77">
        <w:t>gift card.</w:t>
      </w:r>
    </w:p>
    <w:p w:rsidR="00B672AF" w:rsidRPr="00B75B77" w:rsidRDefault="00B672AF" w:rsidP="00286B52"/>
    <w:p w:rsidR="008B4879" w:rsidRPr="00B75B77" w:rsidRDefault="008B4879" w:rsidP="00751A38">
      <w:pPr>
        <w:pStyle w:val="Heading2"/>
      </w:pPr>
      <w:bookmarkStart w:id="355" w:name="_Toc331591681"/>
      <w:bookmarkStart w:id="356" w:name="_Toc390682412"/>
      <w:bookmarkStart w:id="357" w:name="_Toc389747550"/>
      <w:bookmarkStart w:id="358" w:name="_Toc390947287"/>
      <w:bookmarkStart w:id="359" w:name="_Toc390175496"/>
      <w:bookmarkStart w:id="360" w:name="_Toc390943359"/>
      <w:bookmarkStart w:id="361" w:name="_Toc466413305"/>
      <w:r w:rsidRPr="00B75B77">
        <w:t>Impact Evaluation Gross Savings</w:t>
      </w:r>
      <w:bookmarkEnd w:id="355"/>
      <w:bookmarkEnd w:id="356"/>
      <w:bookmarkEnd w:id="357"/>
      <w:bookmarkEnd w:id="358"/>
      <w:bookmarkEnd w:id="359"/>
      <w:bookmarkEnd w:id="360"/>
      <w:bookmarkEnd w:id="361"/>
      <w:r w:rsidRPr="00B75B77">
        <w:t xml:space="preserve"> </w:t>
      </w:r>
    </w:p>
    <w:p w:rsidR="008B4879" w:rsidRPr="00B75B77" w:rsidRDefault="008B4879" w:rsidP="00286B52">
      <w:r w:rsidRPr="00B75B77">
        <w:t xml:space="preserve">JACO’s bankruptcy in </w:t>
      </w:r>
      <w:r w:rsidR="00B672AF" w:rsidRPr="00B75B77">
        <w:t xml:space="preserve">the </w:t>
      </w:r>
      <w:r w:rsidRPr="00B75B77">
        <w:t xml:space="preserve">second quarter </w:t>
      </w:r>
      <w:r w:rsidR="00B672AF" w:rsidRPr="00B75B77">
        <w:t xml:space="preserve">of PY7 </w:t>
      </w:r>
      <w:r w:rsidRPr="00B75B77">
        <w:t>curtailed the program</w:t>
      </w:r>
      <w:r w:rsidR="00B672AF" w:rsidRPr="00B75B77">
        <w:t>’s</w:t>
      </w:r>
      <w:r w:rsidRPr="00B75B77">
        <w:t xml:space="preserve"> energy savings impacts. While </w:t>
      </w:r>
      <w:r w:rsidR="00B672AF" w:rsidRPr="00B75B77">
        <w:t xml:space="preserve">ARCA </w:t>
      </w:r>
      <w:r w:rsidRPr="00B75B77">
        <w:t xml:space="preserve">did contribute some savings toward the end of PY7, the program was essentially suspended </w:t>
      </w:r>
      <w:r w:rsidR="00B672AF" w:rsidRPr="00B75B77">
        <w:t xml:space="preserve">from </w:t>
      </w:r>
      <w:r w:rsidRPr="00B75B77">
        <w:t>November 16, 2015 until the end of the program year. During PY7 the SAR program served 9,</w:t>
      </w:r>
      <w:r w:rsidR="006F629C" w:rsidRPr="00B75B77">
        <w:t>693</w:t>
      </w:r>
      <w:r w:rsidRPr="00B75B77">
        <w:t xml:space="preserve"> participants</w:t>
      </w:r>
      <w:r w:rsidR="0081064C" w:rsidRPr="00B75B77">
        <w:t>,</w:t>
      </w:r>
      <w:r w:rsidRPr="00B75B77">
        <w:t xml:space="preserve"> and Navigant verified energy and demand savings of 8,843 MWh and 1.2 MW</w:t>
      </w:r>
      <w:r w:rsidR="0081064C" w:rsidRPr="00B75B77">
        <w:t>, respectively</w:t>
      </w:r>
      <w:r w:rsidRPr="00B75B77">
        <w:t>. For the entirety of Phase II, the SAR program served 28,224 participants</w:t>
      </w:r>
      <w:r w:rsidR="0081064C" w:rsidRPr="00B75B77">
        <w:t>,</w:t>
      </w:r>
      <w:r w:rsidRPr="00B75B77">
        <w:t xml:space="preserve"> and Navigant verified energy and demand savings of 24,212 MWh and 3.4 MW</w:t>
      </w:r>
      <w:r w:rsidR="0081064C" w:rsidRPr="00B75B77">
        <w:t>, respectively</w:t>
      </w:r>
      <w:r w:rsidRPr="00B75B77">
        <w:t xml:space="preserve">. </w:t>
      </w:r>
      <w:r w:rsidR="005362A5" w:rsidRPr="00B75B77">
        <w:fldChar w:fldCharType="begin"/>
      </w:r>
      <w:r w:rsidR="005362A5" w:rsidRPr="00B75B77">
        <w:instrText xml:space="preserve"> REF _Ref462118321 \h </w:instrText>
      </w:r>
      <w:r w:rsidR="00B75B77">
        <w:instrText xml:space="preserve"> \* MERGEFORMAT </w:instrText>
      </w:r>
      <w:r w:rsidR="005362A5" w:rsidRPr="00B75B77">
        <w:fldChar w:fldCharType="separate"/>
      </w:r>
      <w:r w:rsidR="0004016D" w:rsidRPr="00B75B77">
        <w:t xml:space="preserve">Table </w:t>
      </w:r>
      <w:r w:rsidR="0004016D">
        <w:rPr>
          <w:noProof/>
        </w:rPr>
        <w:t>4</w:t>
      </w:r>
      <w:r w:rsidR="0004016D" w:rsidRPr="00B75B77">
        <w:rPr>
          <w:noProof/>
        </w:rPr>
        <w:noBreakHyphen/>
      </w:r>
      <w:r w:rsidR="0004016D">
        <w:rPr>
          <w:noProof/>
        </w:rPr>
        <w:t>1</w:t>
      </w:r>
      <w:r w:rsidR="005362A5" w:rsidRPr="00B75B77">
        <w:fldChar w:fldCharType="end"/>
      </w:r>
      <w:r w:rsidR="005362A5" w:rsidRPr="00B75B77">
        <w:t xml:space="preserve"> </w:t>
      </w:r>
      <w:r w:rsidRPr="00B75B77">
        <w:t xml:space="preserve">presents both the reported and verified Phase II savings results for the SAR program. </w:t>
      </w:r>
      <w:r w:rsidR="005362A5" w:rsidRPr="00B75B77">
        <w:t>It</w:t>
      </w:r>
      <w:r w:rsidRPr="00B75B77">
        <w:t xml:space="preserve"> also presents the gross reported energy and demand savings for the SAR program by customer sector. As the table demonstrates, more than 99</w:t>
      </w:r>
      <w:r w:rsidR="0009500C" w:rsidRPr="00B75B77">
        <w:t>%</w:t>
      </w:r>
      <w:r w:rsidRPr="00B75B77">
        <w:t xml:space="preserve"> of program activity occurs in the residential sector, </w:t>
      </w:r>
      <w:r w:rsidR="0081064C" w:rsidRPr="00B75B77">
        <w:t xml:space="preserve">while </w:t>
      </w:r>
      <w:r w:rsidRPr="00B75B77">
        <w:t xml:space="preserve">the rest </w:t>
      </w:r>
      <w:r w:rsidR="0081064C" w:rsidRPr="00B75B77">
        <w:t xml:space="preserve">is </w:t>
      </w:r>
      <w:r w:rsidRPr="00B75B77">
        <w:t xml:space="preserve">distributed between the C&amp;I and </w:t>
      </w:r>
      <w:r w:rsidR="0054073E" w:rsidRPr="00B75B77">
        <w:t>GNI</w:t>
      </w:r>
      <w:r w:rsidRPr="00B75B77">
        <w:t xml:space="preserve"> sectors.</w:t>
      </w:r>
    </w:p>
    <w:p w:rsidR="008B4879" w:rsidRPr="00B75B77" w:rsidRDefault="008B4879" w:rsidP="00286B52"/>
    <w:p w:rsidR="008B4879" w:rsidRPr="00B75B77" w:rsidRDefault="008B4879" w:rsidP="00751A38">
      <w:pPr>
        <w:pStyle w:val="Caption"/>
      </w:pPr>
      <w:bookmarkStart w:id="362" w:name="_Ref462118321"/>
      <w:bookmarkStart w:id="363" w:name="_Toc466413530"/>
      <w:r w:rsidRPr="00B75B77">
        <w:t xml:space="preserve">Table </w:t>
      </w:r>
      <w:fldSimple w:instr=" STYLEREF 1 \s ">
        <w:r w:rsidR="0004016D">
          <w:rPr>
            <w:noProof/>
          </w:rPr>
          <w:t>4</w:t>
        </w:r>
      </w:fldSimple>
      <w:r w:rsidR="00F1144C" w:rsidRPr="00B75B77">
        <w:noBreakHyphen/>
      </w:r>
      <w:fldSimple w:instr=" SEQ Table \* ARABIC \s 1 ">
        <w:r w:rsidR="0004016D">
          <w:rPr>
            <w:noProof/>
          </w:rPr>
          <w:t>1</w:t>
        </w:r>
      </w:fldSimple>
      <w:bookmarkEnd w:id="362"/>
      <w:r w:rsidRPr="00B75B77">
        <w:t>: Phase II Smart Appliance Recycling Reported Results by Customer Sector</w:t>
      </w:r>
      <w:bookmarkEnd w:id="363"/>
    </w:p>
    <w:tbl>
      <w:tblPr>
        <w:tblW w:w="9715" w:type="dxa"/>
        <w:tblLook w:val="04A0" w:firstRow="1" w:lastRow="0" w:firstColumn="1" w:lastColumn="0" w:noHBand="0" w:noVBand="1"/>
      </w:tblPr>
      <w:tblGrid>
        <w:gridCol w:w="1966"/>
        <w:gridCol w:w="1165"/>
        <w:gridCol w:w="1397"/>
        <w:gridCol w:w="1402"/>
        <w:gridCol w:w="1394"/>
        <w:gridCol w:w="1402"/>
        <w:gridCol w:w="989"/>
      </w:tblGrid>
      <w:tr w:rsidR="008B4879" w:rsidRPr="00B75B77" w:rsidTr="0081064C">
        <w:trPr>
          <w:divId w:val="226960535"/>
          <w:trHeight w:val="648"/>
        </w:trPr>
        <w:tc>
          <w:tcPr>
            <w:tcW w:w="1966" w:type="dxa"/>
            <w:tcBorders>
              <w:top w:val="single" w:sz="4" w:space="0" w:color="auto"/>
              <w:left w:val="single" w:sz="4" w:space="0" w:color="auto"/>
              <w:bottom w:val="single" w:sz="4" w:space="0" w:color="auto"/>
              <w:right w:val="single" w:sz="4" w:space="0" w:color="auto"/>
            </w:tcBorders>
            <w:shd w:val="clear" w:color="000000" w:fill="448A99"/>
            <w:vAlign w:val="center"/>
            <w:hideMark/>
          </w:tcPr>
          <w:p w:rsidR="008B4879" w:rsidRPr="00B75B77" w:rsidRDefault="008B4879" w:rsidP="00F308B3">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Customer </w:t>
            </w:r>
            <w:r w:rsidR="00F308B3" w:rsidRPr="00B75B77">
              <w:rPr>
                <w:rFonts w:ascii="Calibri" w:eastAsia="Times New Roman" w:hAnsi="Calibri"/>
                <w:b/>
                <w:bCs/>
                <w:color w:val="FFFFFF"/>
                <w:sz w:val="18"/>
                <w:szCs w:val="18"/>
              </w:rPr>
              <w:t>Sector</w:t>
            </w:r>
            <w:r w:rsidRPr="00B75B77">
              <w:rPr>
                <w:rFonts w:ascii="Calibri" w:eastAsia="Times New Roman" w:hAnsi="Calibri"/>
                <w:b/>
                <w:bCs/>
                <w:color w:val="FFFFFF"/>
                <w:sz w:val="18"/>
                <w:szCs w:val="18"/>
                <w:vertAlign w:val="superscript"/>
              </w:rPr>
              <w:t>[1]</w:t>
            </w:r>
          </w:p>
        </w:tc>
        <w:tc>
          <w:tcPr>
            <w:tcW w:w="1165" w:type="dxa"/>
            <w:tcBorders>
              <w:top w:val="single" w:sz="4" w:space="0" w:color="auto"/>
              <w:left w:val="nil"/>
              <w:bottom w:val="single" w:sz="4" w:space="0" w:color="auto"/>
              <w:right w:val="single" w:sz="4" w:space="0" w:color="auto"/>
            </w:tcBorders>
            <w:shd w:val="clear" w:color="000000" w:fill="448A99"/>
            <w:vAlign w:val="center"/>
            <w:hideMark/>
          </w:tcPr>
          <w:p w:rsidR="008B4879" w:rsidRPr="00B75B77" w:rsidRDefault="008B4879"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Participants</w:t>
            </w:r>
          </w:p>
        </w:tc>
        <w:tc>
          <w:tcPr>
            <w:tcW w:w="1397" w:type="dxa"/>
            <w:tcBorders>
              <w:top w:val="single" w:sz="4" w:space="0" w:color="auto"/>
              <w:left w:val="nil"/>
              <w:bottom w:val="single" w:sz="4" w:space="0" w:color="auto"/>
              <w:right w:val="single" w:sz="4" w:space="0" w:color="auto"/>
            </w:tcBorders>
            <w:shd w:val="clear" w:color="000000" w:fill="448A99"/>
            <w:vAlign w:val="center"/>
            <w:hideMark/>
          </w:tcPr>
          <w:p w:rsidR="008B4879" w:rsidRPr="00B75B77" w:rsidRDefault="008B4879"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Reported Gross Energy Savings (MWh)</w:t>
            </w:r>
            <w:r w:rsidRPr="00B75B77">
              <w:rPr>
                <w:rFonts w:ascii="Calibri" w:eastAsia="Times New Roman" w:hAnsi="Calibri"/>
                <w:b/>
                <w:bCs/>
                <w:color w:val="FFFFFF"/>
                <w:sz w:val="18"/>
                <w:szCs w:val="18"/>
                <w:vertAlign w:val="superscript"/>
              </w:rPr>
              <w:t>[2]</w:t>
            </w:r>
          </w:p>
        </w:tc>
        <w:tc>
          <w:tcPr>
            <w:tcW w:w="1402" w:type="dxa"/>
            <w:tcBorders>
              <w:top w:val="single" w:sz="4" w:space="0" w:color="auto"/>
              <w:left w:val="nil"/>
              <w:bottom w:val="single" w:sz="4" w:space="0" w:color="auto"/>
              <w:right w:val="single" w:sz="4" w:space="0" w:color="auto"/>
            </w:tcBorders>
            <w:shd w:val="clear" w:color="000000" w:fill="448A99"/>
            <w:vAlign w:val="center"/>
            <w:hideMark/>
          </w:tcPr>
          <w:p w:rsidR="008B4879" w:rsidRPr="00B75B77" w:rsidRDefault="008B4879"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Reported Gross Demand Reduction (MW)</w:t>
            </w:r>
          </w:p>
        </w:tc>
        <w:tc>
          <w:tcPr>
            <w:tcW w:w="1394" w:type="dxa"/>
            <w:tcBorders>
              <w:top w:val="single" w:sz="4" w:space="0" w:color="auto"/>
              <w:left w:val="nil"/>
              <w:bottom w:val="single" w:sz="4" w:space="0" w:color="auto"/>
              <w:right w:val="single" w:sz="4" w:space="0" w:color="auto"/>
            </w:tcBorders>
            <w:shd w:val="clear" w:color="000000" w:fill="448A99"/>
            <w:vAlign w:val="center"/>
            <w:hideMark/>
          </w:tcPr>
          <w:p w:rsidR="008B4879" w:rsidRPr="00B75B77" w:rsidRDefault="008B4879"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Verified Gross Energy Savings (MWh)</w:t>
            </w:r>
            <w:r w:rsidRPr="00B75B77">
              <w:rPr>
                <w:rFonts w:ascii="Calibri" w:eastAsia="Times New Roman" w:hAnsi="Calibri"/>
                <w:b/>
                <w:bCs/>
                <w:color w:val="FFFFFF"/>
                <w:sz w:val="18"/>
                <w:szCs w:val="18"/>
                <w:vertAlign w:val="superscript"/>
              </w:rPr>
              <w:t>[2]</w:t>
            </w:r>
          </w:p>
        </w:tc>
        <w:tc>
          <w:tcPr>
            <w:tcW w:w="1402" w:type="dxa"/>
            <w:tcBorders>
              <w:top w:val="single" w:sz="4" w:space="0" w:color="auto"/>
              <w:left w:val="nil"/>
              <w:bottom w:val="single" w:sz="4" w:space="0" w:color="auto"/>
              <w:right w:val="single" w:sz="4" w:space="0" w:color="auto"/>
            </w:tcBorders>
            <w:shd w:val="clear" w:color="000000" w:fill="448A99"/>
            <w:vAlign w:val="center"/>
            <w:hideMark/>
          </w:tcPr>
          <w:p w:rsidR="008B4879" w:rsidRPr="00B75B77" w:rsidRDefault="008B4879"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Verified Gross Demand Reduction (MW)</w:t>
            </w:r>
          </w:p>
        </w:tc>
        <w:tc>
          <w:tcPr>
            <w:tcW w:w="989" w:type="dxa"/>
            <w:tcBorders>
              <w:top w:val="single" w:sz="4" w:space="0" w:color="auto"/>
              <w:left w:val="nil"/>
              <w:bottom w:val="single" w:sz="4" w:space="0" w:color="auto"/>
              <w:right w:val="single" w:sz="4" w:space="0" w:color="auto"/>
            </w:tcBorders>
            <w:shd w:val="clear" w:color="000000" w:fill="448A99"/>
            <w:vAlign w:val="center"/>
            <w:hideMark/>
          </w:tcPr>
          <w:p w:rsidR="008B4879" w:rsidRPr="00B75B77" w:rsidRDefault="008B4879"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Incentives Paid</w:t>
            </w:r>
            <w:r w:rsidRPr="00B75B77">
              <w:rPr>
                <w:rFonts w:ascii="Calibri" w:eastAsia="Times New Roman" w:hAnsi="Calibri"/>
                <w:b/>
                <w:bCs/>
                <w:color w:val="FFFFFF"/>
                <w:sz w:val="18"/>
                <w:szCs w:val="18"/>
              </w:rPr>
              <w:br/>
              <w:t>($1,000)</w:t>
            </w:r>
          </w:p>
        </w:tc>
      </w:tr>
      <w:tr w:rsidR="00442C8B" w:rsidRPr="00B75B77" w:rsidTr="0081064C">
        <w:trPr>
          <w:divId w:val="226960535"/>
          <w:trHeight w:val="372"/>
        </w:trPr>
        <w:tc>
          <w:tcPr>
            <w:tcW w:w="1966" w:type="dxa"/>
            <w:tcBorders>
              <w:top w:val="nil"/>
              <w:left w:val="single" w:sz="4" w:space="0" w:color="448A99"/>
              <w:bottom w:val="single" w:sz="4" w:space="0" w:color="448A99"/>
              <w:right w:val="single" w:sz="4" w:space="0" w:color="448A99"/>
            </w:tcBorders>
            <w:shd w:val="clear" w:color="000000" w:fill="D2EAF1"/>
            <w:vAlign w:val="center"/>
            <w:hideMark/>
          </w:tcPr>
          <w:p w:rsidR="00442C8B" w:rsidRPr="00B75B77" w:rsidRDefault="00442C8B" w:rsidP="00442C8B">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Residential (Non-Low-Income)</w:t>
            </w:r>
          </w:p>
        </w:tc>
        <w:tc>
          <w:tcPr>
            <w:tcW w:w="1165"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27,</w:t>
            </w:r>
            <w:r w:rsidR="00DC58FA" w:rsidRPr="00B75B77">
              <w:rPr>
                <w:rFonts w:ascii="Calibri" w:eastAsia="Times New Roman" w:hAnsi="Calibri"/>
                <w:color w:val="000000"/>
                <w:sz w:val="18"/>
                <w:szCs w:val="18"/>
              </w:rPr>
              <w:t>067</w:t>
            </w:r>
          </w:p>
        </w:tc>
        <w:tc>
          <w:tcPr>
            <w:tcW w:w="1397" w:type="dxa"/>
            <w:tcBorders>
              <w:top w:val="nil"/>
              <w:left w:val="nil"/>
              <w:bottom w:val="nil"/>
              <w:right w:val="single" w:sz="4" w:space="0" w:color="448A99"/>
            </w:tcBorders>
            <w:shd w:val="clear" w:color="000000" w:fill="D2EAF1"/>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25,539</w:t>
            </w:r>
          </w:p>
        </w:tc>
        <w:tc>
          <w:tcPr>
            <w:tcW w:w="1402" w:type="dxa"/>
            <w:tcBorders>
              <w:top w:val="nil"/>
              <w:left w:val="nil"/>
              <w:bottom w:val="nil"/>
              <w:right w:val="nil"/>
            </w:tcBorders>
            <w:shd w:val="clear" w:color="000000" w:fill="D2EAF1"/>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3.6</w:t>
            </w:r>
          </w:p>
        </w:tc>
        <w:tc>
          <w:tcPr>
            <w:tcW w:w="1394" w:type="dxa"/>
            <w:tcBorders>
              <w:top w:val="nil"/>
              <w:left w:val="single" w:sz="4" w:space="0" w:color="448A99"/>
              <w:bottom w:val="single" w:sz="4" w:space="0" w:color="448A99"/>
              <w:right w:val="single" w:sz="4" w:space="0" w:color="448A99"/>
            </w:tcBorders>
            <w:shd w:val="clear" w:color="000000" w:fill="D2EAF1"/>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23,</w:t>
            </w:r>
            <w:r w:rsidR="00DC58FA" w:rsidRPr="00B75B77">
              <w:rPr>
                <w:rFonts w:ascii="Calibri" w:eastAsia="Times New Roman" w:hAnsi="Calibri"/>
                <w:color w:val="000000"/>
                <w:sz w:val="18"/>
                <w:szCs w:val="18"/>
              </w:rPr>
              <w:t>227</w:t>
            </w:r>
          </w:p>
        </w:tc>
        <w:tc>
          <w:tcPr>
            <w:tcW w:w="1402" w:type="dxa"/>
            <w:tcBorders>
              <w:top w:val="nil"/>
              <w:left w:val="nil"/>
              <w:bottom w:val="nil"/>
              <w:right w:val="single" w:sz="4" w:space="0" w:color="448A99"/>
            </w:tcBorders>
            <w:shd w:val="clear" w:color="000000" w:fill="D2EAF1"/>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3.</w:t>
            </w:r>
            <w:r w:rsidR="00DC58FA" w:rsidRPr="00B75B77">
              <w:rPr>
                <w:rFonts w:ascii="Calibri" w:eastAsia="Times New Roman" w:hAnsi="Calibri"/>
                <w:color w:val="000000"/>
                <w:sz w:val="18"/>
                <w:szCs w:val="18"/>
              </w:rPr>
              <w:t>3</w:t>
            </w:r>
          </w:p>
        </w:tc>
        <w:tc>
          <w:tcPr>
            <w:tcW w:w="989" w:type="dxa"/>
            <w:tcBorders>
              <w:top w:val="nil"/>
              <w:left w:val="nil"/>
              <w:bottom w:val="nil"/>
              <w:right w:val="single" w:sz="4" w:space="0" w:color="448A99"/>
            </w:tcBorders>
            <w:shd w:val="clear" w:color="000000" w:fill="D2EAF1"/>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$1,</w:t>
            </w:r>
            <w:r w:rsidR="00DC58FA" w:rsidRPr="00B75B77">
              <w:rPr>
                <w:rFonts w:ascii="Calibri" w:eastAsia="Times New Roman" w:hAnsi="Calibri"/>
                <w:color w:val="000000"/>
                <w:sz w:val="18"/>
                <w:szCs w:val="18"/>
              </w:rPr>
              <w:t>244</w:t>
            </w:r>
          </w:p>
        </w:tc>
      </w:tr>
      <w:tr w:rsidR="00442C8B" w:rsidRPr="00B75B77" w:rsidTr="0081064C">
        <w:trPr>
          <w:divId w:val="226960535"/>
          <w:trHeight w:val="372"/>
        </w:trPr>
        <w:tc>
          <w:tcPr>
            <w:tcW w:w="1966" w:type="dxa"/>
            <w:tcBorders>
              <w:top w:val="nil"/>
              <w:left w:val="single" w:sz="4" w:space="0" w:color="448A99"/>
              <w:bottom w:val="single" w:sz="4" w:space="0" w:color="448A99"/>
              <w:right w:val="single" w:sz="4" w:space="0" w:color="448A99"/>
            </w:tcBorders>
            <w:shd w:val="clear" w:color="000000" w:fill="FFFFFF"/>
            <w:vAlign w:val="center"/>
            <w:hideMark/>
          </w:tcPr>
          <w:p w:rsidR="00442C8B" w:rsidRPr="00B75B77" w:rsidRDefault="00442C8B" w:rsidP="00442C8B">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Residential (Low-Income)</w:t>
            </w:r>
            <w:r w:rsidRPr="00B75B77">
              <w:rPr>
                <w:rFonts w:ascii="Calibri" w:eastAsia="Times New Roman" w:hAnsi="Calibri"/>
                <w:b/>
                <w:bCs/>
                <w:sz w:val="18"/>
                <w:szCs w:val="18"/>
                <w:vertAlign w:val="superscript"/>
              </w:rPr>
              <w:t xml:space="preserve"> [3]</w:t>
            </w:r>
          </w:p>
        </w:tc>
        <w:tc>
          <w:tcPr>
            <w:tcW w:w="1165" w:type="dxa"/>
            <w:tcBorders>
              <w:top w:val="nil"/>
              <w:left w:val="nil"/>
              <w:bottom w:val="single" w:sz="4" w:space="0" w:color="448A99"/>
              <w:right w:val="single" w:sz="4" w:space="0" w:color="448A99"/>
            </w:tcBorders>
            <w:shd w:val="clear" w:color="000000" w:fill="FFFFFF"/>
            <w:vAlign w:val="center"/>
            <w:hideMark/>
          </w:tcPr>
          <w:p w:rsidR="00442C8B" w:rsidRPr="00B75B77" w:rsidRDefault="00DC58FA"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882</w:t>
            </w:r>
          </w:p>
        </w:tc>
        <w:tc>
          <w:tcPr>
            <w:tcW w:w="1397" w:type="dxa"/>
            <w:tcBorders>
              <w:top w:val="single" w:sz="4" w:space="0" w:color="448A99"/>
              <w:left w:val="nil"/>
              <w:bottom w:val="single" w:sz="4" w:space="0" w:color="448A99"/>
              <w:right w:val="single" w:sz="4" w:space="0" w:color="448A99"/>
            </w:tcBorders>
            <w:shd w:val="clear" w:color="000000" w:fill="FFFFFF"/>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402" w:type="dxa"/>
            <w:tcBorders>
              <w:top w:val="single" w:sz="4" w:space="0" w:color="448A99"/>
              <w:left w:val="nil"/>
              <w:bottom w:val="nil"/>
              <w:right w:val="single" w:sz="4" w:space="0" w:color="448A99"/>
            </w:tcBorders>
            <w:shd w:val="clear" w:color="000000" w:fill="FFFFFF"/>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394" w:type="dxa"/>
            <w:tcBorders>
              <w:top w:val="nil"/>
              <w:left w:val="nil"/>
              <w:bottom w:val="single" w:sz="4" w:space="0" w:color="448A99"/>
              <w:right w:val="single" w:sz="4" w:space="0" w:color="448A99"/>
            </w:tcBorders>
            <w:shd w:val="clear" w:color="000000" w:fill="FFFFFF"/>
            <w:vAlign w:val="center"/>
            <w:hideMark/>
          </w:tcPr>
          <w:p w:rsidR="00442C8B" w:rsidRPr="00B75B77" w:rsidRDefault="00DC58FA"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721</w:t>
            </w:r>
          </w:p>
        </w:tc>
        <w:tc>
          <w:tcPr>
            <w:tcW w:w="1402" w:type="dxa"/>
            <w:tcBorders>
              <w:top w:val="single" w:sz="4" w:space="0" w:color="448A99"/>
              <w:left w:val="nil"/>
              <w:bottom w:val="single" w:sz="4" w:space="0" w:color="448A99"/>
              <w:right w:val="single" w:sz="4" w:space="0" w:color="448A99"/>
            </w:tcBorders>
            <w:shd w:val="clear" w:color="000000" w:fill="FFFFFF"/>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r w:rsidR="00DC58FA" w:rsidRPr="00B75B77">
              <w:rPr>
                <w:rFonts w:ascii="Calibri" w:eastAsia="Times New Roman" w:hAnsi="Calibri"/>
                <w:color w:val="000000"/>
                <w:sz w:val="18"/>
                <w:szCs w:val="18"/>
              </w:rPr>
              <w:t>1</w:t>
            </w:r>
          </w:p>
        </w:tc>
        <w:tc>
          <w:tcPr>
            <w:tcW w:w="989" w:type="dxa"/>
            <w:tcBorders>
              <w:top w:val="single" w:sz="4" w:space="0" w:color="448A99"/>
              <w:left w:val="nil"/>
              <w:bottom w:val="single" w:sz="4" w:space="0" w:color="448A99"/>
              <w:right w:val="single" w:sz="4" w:space="0" w:color="448A99"/>
            </w:tcBorders>
            <w:shd w:val="clear" w:color="000000" w:fill="FFFFFF"/>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w:t>
            </w:r>
            <w:r w:rsidR="00DC58FA" w:rsidRPr="00B75B77">
              <w:rPr>
                <w:rFonts w:ascii="Calibri" w:eastAsia="Times New Roman" w:hAnsi="Calibri"/>
                <w:color w:val="000000"/>
                <w:sz w:val="18"/>
                <w:szCs w:val="18"/>
              </w:rPr>
              <w:t>37</w:t>
            </w:r>
          </w:p>
        </w:tc>
      </w:tr>
      <w:tr w:rsidR="008B4879" w:rsidRPr="00B75B77" w:rsidTr="0081064C">
        <w:trPr>
          <w:divId w:val="226960535"/>
          <w:trHeight w:val="372"/>
        </w:trPr>
        <w:tc>
          <w:tcPr>
            <w:tcW w:w="1966" w:type="dxa"/>
            <w:tcBorders>
              <w:top w:val="nil"/>
              <w:left w:val="single" w:sz="4" w:space="0" w:color="448A99"/>
              <w:bottom w:val="single" w:sz="4" w:space="0" w:color="448A99"/>
              <w:right w:val="single" w:sz="4" w:space="0" w:color="448A99"/>
            </w:tcBorders>
            <w:shd w:val="clear" w:color="000000" w:fill="D2EAF1"/>
            <w:vAlign w:val="center"/>
            <w:hideMark/>
          </w:tcPr>
          <w:p w:rsidR="008B4879" w:rsidRPr="00B75B77" w:rsidRDefault="008B4879" w:rsidP="005362A5">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Small C</w:t>
            </w:r>
            <w:r w:rsidR="0054073E" w:rsidRPr="00B75B77">
              <w:rPr>
                <w:rFonts w:ascii="Calibri" w:eastAsia="Times New Roman" w:hAnsi="Calibri"/>
                <w:bCs/>
                <w:color w:val="000000"/>
                <w:sz w:val="18"/>
                <w:szCs w:val="18"/>
              </w:rPr>
              <w:t>&amp;I</w:t>
            </w:r>
          </w:p>
        </w:tc>
        <w:tc>
          <w:tcPr>
            <w:tcW w:w="1165"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224</w:t>
            </w:r>
          </w:p>
        </w:tc>
        <w:tc>
          <w:tcPr>
            <w:tcW w:w="1397"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243</w:t>
            </w:r>
          </w:p>
        </w:tc>
        <w:tc>
          <w:tcPr>
            <w:tcW w:w="1402" w:type="dxa"/>
            <w:tcBorders>
              <w:top w:val="single" w:sz="4" w:space="0" w:color="448A99"/>
              <w:left w:val="nil"/>
              <w:bottom w:val="single" w:sz="4" w:space="0" w:color="448A99"/>
              <w:right w:val="single" w:sz="4" w:space="0" w:color="448A99"/>
            </w:tcBorders>
            <w:shd w:val="clear" w:color="000000" w:fill="D2EAF1"/>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394"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218</w:t>
            </w:r>
          </w:p>
        </w:tc>
        <w:tc>
          <w:tcPr>
            <w:tcW w:w="1402"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989"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$12</w:t>
            </w:r>
          </w:p>
        </w:tc>
      </w:tr>
      <w:tr w:rsidR="008B4879" w:rsidRPr="00B75B77" w:rsidTr="0081064C">
        <w:trPr>
          <w:divId w:val="226960535"/>
          <w:trHeight w:val="372"/>
        </w:trPr>
        <w:tc>
          <w:tcPr>
            <w:tcW w:w="1966" w:type="dxa"/>
            <w:tcBorders>
              <w:top w:val="nil"/>
              <w:left w:val="single" w:sz="4" w:space="0" w:color="448A99"/>
              <w:bottom w:val="single" w:sz="4" w:space="0" w:color="448A99"/>
              <w:right w:val="single" w:sz="4" w:space="0" w:color="448A99"/>
            </w:tcBorders>
            <w:shd w:val="clear" w:color="000000" w:fill="FFFFFF"/>
            <w:vAlign w:val="center"/>
            <w:hideMark/>
          </w:tcPr>
          <w:p w:rsidR="008B4879" w:rsidRPr="00B75B77" w:rsidRDefault="008B4879" w:rsidP="005362A5">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Large C</w:t>
            </w:r>
            <w:r w:rsidR="0054073E" w:rsidRPr="00B75B77">
              <w:rPr>
                <w:rFonts w:ascii="Calibri" w:eastAsia="Times New Roman" w:hAnsi="Calibri"/>
                <w:bCs/>
                <w:color w:val="000000"/>
                <w:sz w:val="18"/>
                <w:szCs w:val="18"/>
              </w:rPr>
              <w:t>&amp;I</w:t>
            </w:r>
          </w:p>
        </w:tc>
        <w:tc>
          <w:tcPr>
            <w:tcW w:w="1165"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16</w:t>
            </w:r>
          </w:p>
        </w:tc>
        <w:tc>
          <w:tcPr>
            <w:tcW w:w="1397"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15</w:t>
            </w:r>
          </w:p>
        </w:tc>
        <w:tc>
          <w:tcPr>
            <w:tcW w:w="1402"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394"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13</w:t>
            </w:r>
          </w:p>
        </w:tc>
        <w:tc>
          <w:tcPr>
            <w:tcW w:w="1402" w:type="dxa"/>
            <w:tcBorders>
              <w:top w:val="nil"/>
              <w:left w:val="nil"/>
              <w:bottom w:val="nil"/>
              <w:right w:val="single" w:sz="4" w:space="0" w:color="448A99"/>
            </w:tcBorders>
            <w:shd w:val="clear" w:color="000000" w:fill="FFFFFF"/>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989" w:type="dxa"/>
            <w:tcBorders>
              <w:top w:val="nil"/>
              <w:left w:val="nil"/>
              <w:bottom w:val="nil"/>
              <w:right w:val="single" w:sz="4" w:space="0" w:color="448A99"/>
            </w:tcBorders>
            <w:shd w:val="clear" w:color="000000" w:fill="FFFFFF"/>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8B4879" w:rsidRPr="00B75B77" w:rsidTr="0081064C">
        <w:trPr>
          <w:divId w:val="226960535"/>
          <w:trHeight w:val="372"/>
        </w:trPr>
        <w:tc>
          <w:tcPr>
            <w:tcW w:w="1966" w:type="dxa"/>
            <w:tcBorders>
              <w:top w:val="nil"/>
              <w:left w:val="single" w:sz="4" w:space="0" w:color="448A99"/>
              <w:bottom w:val="single" w:sz="4" w:space="0" w:color="448A99"/>
              <w:right w:val="single" w:sz="4" w:space="0" w:color="448A99"/>
            </w:tcBorders>
            <w:shd w:val="clear" w:color="000000" w:fill="D2EAF1"/>
            <w:vAlign w:val="center"/>
            <w:hideMark/>
          </w:tcPr>
          <w:p w:rsidR="008B4879" w:rsidRPr="00B75B77" w:rsidRDefault="008B4879" w:rsidP="005362A5">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G</w:t>
            </w:r>
            <w:r w:rsidR="0054073E" w:rsidRPr="00B75B77">
              <w:rPr>
                <w:rFonts w:ascii="Calibri" w:eastAsia="Times New Roman" w:hAnsi="Calibri"/>
                <w:bCs/>
                <w:color w:val="000000"/>
                <w:sz w:val="18"/>
                <w:szCs w:val="18"/>
              </w:rPr>
              <w:t>NI</w:t>
            </w:r>
          </w:p>
        </w:tc>
        <w:tc>
          <w:tcPr>
            <w:tcW w:w="1165"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35</w:t>
            </w:r>
          </w:p>
        </w:tc>
        <w:tc>
          <w:tcPr>
            <w:tcW w:w="1397" w:type="dxa"/>
            <w:tcBorders>
              <w:top w:val="nil"/>
              <w:left w:val="nil"/>
              <w:bottom w:val="nil"/>
              <w:right w:val="single" w:sz="4" w:space="0" w:color="448A99"/>
            </w:tcBorders>
            <w:shd w:val="clear" w:color="000000" w:fill="D2EAF1"/>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37</w:t>
            </w:r>
          </w:p>
        </w:tc>
        <w:tc>
          <w:tcPr>
            <w:tcW w:w="1402" w:type="dxa"/>
            <w:tcBorders>
              <w:top w:val="nil"/>
              <w:left w:val="nil"/>
              <w:bottom w:val="single" w:sz="4" w:space="0" w:color="448A99"/>
              <w:right w:val="nil"/>
            </w:tcBorders>
            <w:shd w:val="clear" w:color="000000" w:fill="D2EAF1"/>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394" w:type="dxa"/>
            <w:tcBorders>
              <w:top w:val="nil"/>
              <w:left w:val="single" w:sz="4" w:space="0" w:color="448A99"/>
              <w:bottom w:val="single" w:sz="4" w:space="0" w:color="448A99"/>
              <w:right w:val="single" w:sz="4" w:space="0" w:color="448A99"/>
            </w:tcBorders>
            <w:shd w:val="clear" w:color="000000" w:fill="D2EAF1"/>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33</w:t>
            </w:r>
          </w:p>
        </w:tc>
        <w:tc>
          <w:tcPr>
            <w:tcW w:w="1402" w:type="dxa"/>
            <w:tcBorders>
              <w:top w:val="single" w:sz="4" w:space="0" w:color="448A99"/>
              <w:left w:val="nil"/>
              <w:bottom w:val="single" w:sz="4" w:space="0" w:color="448A99"/>
              <w:right w:val="single" w:sz="4" w:space="0" w:color="448A99"/>
            </w:tcBorders>
            <w:shd w:val="clear" w:color="000000" w:fill="D2EAF1"/>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989" w:type="dxa"/>
            <w:tcBorders>
              <w:top w:val="single" w:sz="4" w:space="0" w:color="448A99"/>
              <w:left w:val="nil"/>
              <w:bottom w:val="single" w:sz="4" w:space="0" w:color="448A99"/>
              <w:right w:val="single" w:sz="4" w:space="0" w:color="448A99"/>
            </w:tcBorders>
            <w:shd w:val="clear" w:color="000000" w:fill="D2EAF1"/>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$2</w:t>
            </w:r>
          </w:p>
        </w:tc>
      </w:tr>
      <w:tr w:rsidR="008B4879" w:rsidRPr="00B75B77" w:rsidTr="0081064C">
        <w:trPr>
          <w:divId w:val="226960535"/>
          <w:trHeight w:val="312"/>
        </w:trPr>
        <w:tc>
          <w:tcPr>
            <w:tcW w:w="1966" w:type="dxa"/>
            <w:tcBorders>
              <w:top w:val="nil"/>
              <w:left w:val="single" w:sz="4" w:space="0" w:color="448A99"/>
              <w:bottom w:val="single" w:sz="4" w:space="0" w:color="448A99"/>
              <w:right w:val="single" w:sz="4" w:space="0" w:color="448A99"/>
            </w:tcBorders>
            <w:shd w:val="clear" w:color="000000" w:fill="FFFFFF"/>
            <w:vAlign w:val="center"/>
            <w:hideMark/>
          </w:tcPr>
          <w:p w:rsidR="008B4879" w:rsidRPr="00B75B77" w:rsidRDefault="0081064C" w:rsidP="005362A5">
            <w:pPr>
              <w:jc w:val="left"/>
              <w:rPr>
                <w:rFonts w:ascii="Calibri" w:eastAsia="Times New Roman" w:hAnsi="Calibri"/>
                <w:b/>
                <w:color w:val="000000"/>
                <w:sz w:val="18"/>
                <w:szCs w:val="18"/>
              </w:rPr>
            </w:pPr>
            <w:r w:rsidRPr="00B75B77">
              <w:rPr>
                <w:rFonts w:ascii="Calibri" w:eastAsia="Times New Roman" w:hAnsi="Calibri"/>
                <w:b/>
                <w:color w:val="000000"/>
                <w:sz w:val="18"/>
                <w:szCs w:val="18"/>
              </w:rPr>
              <w:t>PHASE II TOTAL</w:t>
            </w:r>
          </w:p>
        </w:tc>
        <w:tc>
          <w:tcPr>
            <w:tcW w:w="1165"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751A38">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28,224</w:t>
            </w:r>
          </w:p>
        </w:tc>
        <w:tc>
          <w:tcPr>
            <w:tcW w:w="1397" w:type="dxa"/>
            <w:tcBorders>
              <w:top w:val="single" w:sz="4" w:space="0" w:color="448A99"/>
              <w:left w:val="nil"/>
              <w:bottom w:val="single" w:sz="4" w:space="0" w:color="448A99"/>
              <w:right w:val="single" w:sz="4" w:space="0" w:color="448A99"/>
            </w:tcBorders>
            <w:shd w:val="clear" w:color="000000" w:fill="FFFFFF"/>
            <w:vAlign w:val="center"/>
            <w:hideMark/>
          </w:tcPr>
          <w:p w:rsidR="008B4879" w:rsidRPr="00B75B77" w:rsidRDefault="008B4879" w:rsidP="00751A38">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25,834</w:t>
            </w:r>
          </w:p>
        </w:tc>
        <w:tc>
          <w:tcPr>
            <w:tcW w:w="1402" w:type="dxa"/>
            <w:tcBorders>
              <w:top w:val="nil"/>
              <w:left w:val="nil"/>
              <w:bottom w:val="single" w:sz="4" w:space="0" w:color="448A99"/>
              <w:right w:val="nil"/>
            </w:tcBorders>
            <w:shd w:val="clear" w:color="000000" w:fill="FFFFFF"/>
            <w:vAlign w:val="center"/>
            <w:hideMark/>
          </w:tcPr>
          <w:p w:rsidR="008B4879" w:rsidRPr="00B75B77" w:rsidRDefault="008B4879" w:rsidP="00751A38">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3.7</w:t>
            </w:r>
          </w:p>
        </w:tc>
        <w:tc>
          <w:tcPr>
            <w:tcW w:w="1394" w:type="dxa"/>
            <w:tcBorders>
              <w:top w:val="nil"/>
              <w:left w:val="single" w:sz="4" w:space="0" w:color="448A99"/>
              <w:bottom w:val="single" w:sz="4" w:space="0" w:color="448A99"/>
              <w:right w:val="single" w:sz="4" w:space="0" w:color="448A99"/>
            </w:tcBorders>
            <w:shd w:val="clear" w:color="000000" w:fill="FFFFFF"/>
            <w:vAlign w:val="center"/>
            <w:hideMark/>
          </w:tcPr>
          <w:p w:rsidR="008B4879" w:rsidRPr="00B75B77" w:rsidRDefault="008B4879" w:rsidP="00751A38">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24,212</w:t>
            </w:r>
          </w:p>
        </w:tc>
        <w:tc>
          <w:tcPr>
            <w:tcW w:w="1402"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751A38">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3.4</w:t>
            </w:r>
          </w:p>
        </w:tc>
        <w:tc>
          <w:tcPr>
            <w:tcW w:w="989"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751A38">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$1,295</w:t>
            </w:r>
          </w:p>
        </w:tc>
      </w:tr>
    </w:tbl>
    <w:p w:rsidR="00EF6477" w:rsidRPr="00B75B77" w:rsidRDefault="0081064C" w:rsidP="00EF6477">
      <w:pPr>
        <w:pStyle w:val="Source"/>
        <w:spacing w:before="20" w:after="20"/>
        <w:ind w:left="86" w:firstLine="0"/>
        <w:rPr>
          <w:i w:val="0"/>
        </w:rPr>
      </w:pPr>
      <w:r w:rsidRPr="00B75B77">
        <w:rPr>
          <w:rFonts w:ascii="Calibri" w:hAnsi="Calibri"/>
          <w:i w:val="0"/>
          <w:color w:val="000000"/>
          <w:szCs w:val="18"/>
          <w:vertAlign w:val="superscript"/>
        </w:rPr>
        <w:t>[1]</w:t>
      </w:r>
      <w:r w:rsidRPr="00B75B77">
        <w:rPr>
          <w:rFonts w:ascii="Calibri" w:hAnsi="Calibri"/>
          <w:i w:val="0"/>
          <w:color w:val="000000"/>
          <w:szCs w:val="18"/>
        </w:rPr>
        <w:t xml:space="preserve"> All customer sector totals are exclusive of each other and may be added together to get the Phase II totals.</w:t>
      </w:r>
      <w:r w:rsidRPr="00B75B77">
        <w:rPr>
          <w:rFonts w:ascii="Calibri" w:hAnsi="Calibri"/>
          <w:i w:val="0"/>
          <w:color w:val="000000"/>
          <w:szCs w:val="18"/>
        </w:rPr>
        <w:br/>
      </w:r>
      <w:r w:rsidRPr="00B75B77">
        <w:rPr>
          <w:rFonts w:ascii="Calibri" w:hAnsi="Calibri"/>
          <w:i w:val="0"/>
          <w:color w:val="000000"/>
          <w:szCs w:val="18"/>
          <w:vertAlign w:val="superscript"/>
        </w:rPr>
        <w:t>[2]</w:t>
      </w:r>
      <w:r w:rsidRPr="00B75B77">
        <w:rPr>
          <w:rFonts w:ascii="Calibri" w:hAnsi="Calibri"/>
          <w:i w:val="0"/>
          <w:color w:val="000000"/>
          <w:szCs w:val="18"/>
        </w:rPr>
        <w:t xml:space="preserve"> All reported and verified demand savings in this report include line losses as required.</w:t>
      </w:r>
      <w:r w:rsidRPr="00B75B77">
        <w:rPr>
          <w:rFonts w:ascii="Calibri" w:hAnsi="Calibri"/>
          <w:i w:val="0"/>
          <w:color w:val="000000"/>
          <w:szCs w:val="18"/>
        </w:rPr>
        <w:br/>
      </w:r>
      <w:r w:rsidR="00EF6477" w:rsidRPr="00B75B77">
        <w:rPr>
          <w:rFonts w:ascii="Calibri" w:hAnsi="Calibri"/>
          <w:i w:val="0"/>
          <w:color w:val="000000"/>
          <w:szCs w:val="18"/>
          <w:vertAlign w:val="superscript"/>
        </w:rPr>
        <w:t>[3]</w:t>
      </w:r>
      <w:r w:rsidR="00EF6477" w:rsidRPr="00B75B77">
        <w:rPr>
          <w:rFonts w:ascii="Calibri" w:hAnsi="Calibri"/>
          <w:i w:val="0"/>
          <w:color w:val="000000"/>
          <w:szCs w:val="18"/>
        </w:rPr>
        <w:t xml:space="preserve"> The evaluation team verified the percentage of customers participating in the program that were low-income qualified through participant surveys. The survey results were used to estimate program savings and incentives paid that went to low-income customers.</w:t>
      </w:r>
    </w:p>
    <w:p w:rsidR="0081064C" w:rsidRPr="00B75B77" w:rsidRDefault="0081064C" w:rsidP="0081064C">
      <w:pPr>
        <w:pStyle w:val="Source"/>
        <w:spacing w:before="20" w:after="20"/>
        <w:ind w:left="86" w:firstLine="0"/>
        <w:rPr>
          <w:rFonts w:ascii="Calibri" w:hAnsi="Calibri"/>
          <w:i w:val="0"/>
          <w:iCs/>
          <w:color w:val="000000"/>
          <w:szCs w:val="18"/>
        </w:rPr>
      </w:pPr>
      <w:r w:rsidRPr="00B75B77">
        <w:rPr>
          <w:rFonts w:ascii="Calibri" w:hAnsi="Calibri"/>
          <w:i w:val="0"/>
          <w:iCs/>
          <w:color w:val="000000"/>
          <w:szCs w:val="18"/>
        </w:rPr>
        <w:t>Note: Values in tables may not reconcile exactly with the sum of more detailed level results or previously reported results due to rounding.</w:t>
      </w:r>
    </w:p>
    <w:p w:rsidR="008B4879" w:rsidRPr="00B75B77" w:rsidRDefault="008B4879" w:rsidP="0081064C">
      <w:pPr>
        <w:pStyle w:val="Source"/>
        <w:ind w:hanging="630"/>
      </w:pPr>
      <w:r w:rsidRPr="00B75B77">
        <w:t>Source: Navigant analysis</w:t>
      </w:r>
    </w:p>
    <w:p w:rsidR="008B4879" w:rsidRPr="00B75B77" w:rsidRDefault="008B4879" w:rsidP="00751A38">
      <w:pPr>
        <w:pStyle w:val="Heading3"/>
      </w:pPr>
      <w:bookmarkStart w:id="364" w:name="_Toc466413306"/>
      <w:r w:rsidRPr="00B75B77">
        <w:t>Gross Verified Savings Methodology</w:t>
      </w:r>
      <w:bookmarkEnd w:id="364"/>
      <w:r w:rsidRPr="00B75B77">
        <w:t xml:space="preserve"> </w:t>
      </w:r>
    </w:p>
    <w:p w:rsidR="008B4879" w:rsidRPr="00B75B77" w:rsidRDefault="008B4879" w:rsidP="00151466">
      <w:bookmarkStart w:id="365" w:name="_Ref430162535"/>
      <w:bookmarkStart w:id="366" w:name="_Ref390948068"/>
      <w:r w:rsidRPr="00B75B77">
        <w:t>Navigant determined the SAR program’s gross verified savings by performing an algorithm review of 98% of units in the tracking database to verify correct application of Pennsylvania TRM algorithms used to calculate gross reported savings.</w:t>
      </w:r>
      <w:r w:rsidRPr="00B75B77">
        <w:rPr>
          <w:rStyle w:val="FootnoteReference"/>
        </w:rPr>
        <w:footnoteReference w:id="22"/>
      </w:r>
      <w:r w:rsidRPr="00B75B77">
        <w:t xml:space="preserve"> Residential units </w:t>
      </w:r>
      <w:r w:rsidR="0081064C" w:rsidRPr="00B75B77">
        <w:t xml:space="preserve">make up </w:t>
      </w:r>
      <w:r w:rsidRPr="00B75B77">
        <w:t xml:space="preserve">98% of the appliances recycled by the program and 98% of the energy savings. The remaining 2% of units are recorded as </w:t>
      </w:r>
      <w:r w:rsidR="00363261" w:rsidRPr="00B75B77">
        <w:t>nonresidential</w:t>
      </w:r>
      <w:r w:rsidRPr="00B75B77">
        <w:t xml:space="preserve"> in the tracking database and were not part of the algorithm review. Navigant applied the verified savings realization rate for residential units to compute the overall gross verified savings. The TRM algorithms under review use default values provided by the PA TRM for each </w:t>
      </w:r>
      <w:r w:rsidR="0081064C" w:rsidRPr="00B75B77" w:rsidDel="0054073E">
        <w:t>EDC</w:t>
      </w:r>
      <w:r w:rsidRPr="00B75B77">
        <w:t xml:space="preserve"> to calculate the annual </w:t>
      </w:r>
      <w:r w:rsidR="00410581" w:rsidRPr="00B75B77">
        <w:t>u</w:t>
      </w:r>
      <w:r w:rsidRPr="00B75B77">
        <w:t xml:space="preserve">nit </w:t>
      </w:r>
      <w:r w:rsidR="00410581" w:rsidRPr="00B75B77">
        <w:t>e</w:t>
      </w:r>
      <w:r w:rsidRPr="00B75B77">
        <w:t xml:space="preserve">nergy </w:t>
      </w:r>
      <w:r w:rsidR="00410581" w:rsidRPr="00B75B77">
        <w:t>c</w:t>
      </w:r>
      <w:r w:rsidRPr="00B75B77">
        <w:t>onsumption (UEC) average for refrigerators and freezers in the EDC</w:t>
      </w:r>
      <w:r w:rsidR="00410581" w:rsidRPr="00B75B77">
        <w:t>’s</w:t>
      </w:r>
      <w:r w:rsidRPr="00B75B77">
        <w:t xml:space="preserve"> territory. This UEC is then </w:t>
      </w:r>
      <w:r w:rsidRPr="00B75B77">
        <w:lastRenderedPageBreak/>
        <w:t>multiplied by a part-use factor that represents the percentage of the year an average unit is in use—96.9</w:t>
      </w:r>
      <w:r w:rsidR="0009500C" w:rsidRPr="00B75B77">
        <w:t>%</w:t>
      </w:r>
      <w:r w:rsidRPr="00B75B77">
        <w:t xml:space="preserve"> for refrigerators and 98.5</w:t>
      </w:r>
      <w:r w:rsidR="0009500C" w:rsidRPr="00B75B77">
        <w:t>%</w:t>
      </w:r>
      <w:r w:rsidRPr="00B75B77">
        <w:t xml:space="preserve"> for freezers. This yields a savings value per unit </w:t>
      </w:r>
      <w:r w:rsidR="00410581" w:rsidRPr="00B75B77">
        <w:t xml:space="preserve">that </w:t>
      </w:r>
      <w:r w:rsidRPr="00B75B77">
        <w:t xml:space="preserve">can be multiplied by the number of units recycled during the program year. In the 2013 and 2014 PA TRMs, gross savings values were awarded </w:t>
      </w:r>
      <w:r w:rsidR="00774084" w:rsidRPr="00B75B77">
        <w:t xml:space="preserve">if </w:t>
      </w:r>
      <w:r w:rsidRPr="00B75B77">
        <w:t>a participant replaced their recycled unit with another refrigerator or freezer and whether that replacement was standard efficiency or ENERGY STAR</w:t>
      </w:r>
      <w:r w:rsidR="00410581" w:rsidRPr="00B75B77">
        <w:t>-</w:t>
      </w:r>
      <w:r w:rsidRPr="00B75B77">
        <w:t xml:space="preserve">certified. In contrast, the 2015 PA TRM makes no distinction </w:t>
      </w:r>
      <w:r w:rsidR="00774084" w:rsidRPr="00B75B77">
        <w:t xml:space="preserve">between standard efficiency </w:t>
      </w:r>
      <w:r w:rsidR="00031089" w:rsidRPr="00B75B77">
        <w:t>and</w:t>
      </w:r>
      <w:r w:rsidR="00774084" w:rsidRPr="00B75B77">
        <w:t xml:space="preserve"> ENERGY STAR if </w:t>
      </w:r>
      <w:r w:rsidR="00031089" w:rsidRPr="00B75B77">
        <w:t>the participant replaced a unit</w:t>
      </w:r>
      <w:r w:rsidR="00774084" w:rsidRPr="00B75B77">
        <w:t>.</w:t>
      </w:r>
      <w:r w:rsidRPr="00B75B77">
        <w:t xml:space="preserve"> </w:t>
      </w:r>
      <w:r w:rsidR="00774084" w:rsidRPr="00B75B77">
        <w:t>B</w:t>
      </w:r>
      <w:r w:rsidRPr="00B75B77">
        <w:t>y default</w:t>
      </w:r>
      <w:r w:rsidR="00774084" w:rsidRPr="00B75B77">
        <w:t xml:space="preserve"> in the 2015 PA TRM</w:t>
      </w:r>
      <w:r w:rsidRPr="00B75B77">
        <w:t>, if a refrigerator is recycled it is worth 959 kWh and if a freezer is recycled it is worth 866 kWh.</w:t>
      </w:r>
      <w:r w:rsidRPr="00B75B77">
        <w:rPr>
          <w:rStyle w:val="FootnoteReference"/>
        </w:rPr>
        <w:footnoteReference w:id="23"/>
      </w:r>
      <w:r w:rsidRPr="00B75B77">
        <w:t xml:space="preserve"> The 2014 TRM</w:t>
      </w:r>
      <w:r w:rsidRPr="00B75B77" w:rsidDel="00980868">
        <w:t xml:space="preserve"> </w:t>
      </w:r>
      <w:r w:rsidRPr="00B75B77">
        <w:t>governs 4% of units recycled through the SAR program during PY7</w:t>
      </w:r>
      <w:r w:rsidR="00774084" w:rsidRPr="00B75B77">
        <w:t>, while t</w:t>
      </w:r>
      <w:r w:rsidRPr="00B75B77">
        <w:t xml:space="preserve">he </w:t>
      </w:r>
      <w:r w:rsidR="00774084" w:rsidRPr="00B75B77">
        <w:t xml:space="preserve">remaining </w:t>
      </w:r>
      <w:r w:rsidRPr="00B75B77">
        <w:t>96</w:t>
      </w:r>
      <w:r w:rsidR="0009500C" w:rsidRPr="00B75B77">
        <w:t>%</w:t>
      </w:r>
      <w:r w:rsidRPr="00B75B77">
        <w:t xml:space="preserve"> of units recycled through the SAR program during PY7 </w:t>
      </w:r>
      <w:r w:rsidR="00774084" w:rsidRPr="00B75B77">
        <w:t>are governed by the</w:t>
      </w:r>
      <w:r w:rsidRPr="00B75B77">
        <w:t xml:space="preserve"> 2015 TRM. </w:t>
      </w:r>
    </w:p>
    <w:p w:rsidR="008B4879" w:rsidRPr="00B75B77" w:rsidRDefault="008B4879" w:rsidP="00751A38"/>
    <w:p w:rsidR="008B4879" w:rsidRPr="00B75B77" w:rsidRDefault="008B4879" w:rsidP="00751A38">
      <w:r w:rsidRPr="00B75B77">
        <w:t xml:space="preserve">Navigant also took into account the characteristics of the PY7 appliance stock: average age, number of cubic feet, </w:t>
      </w:r>
      <w:r w:rsidR="00774084" w:rsidRPr="00B75B77">
        <w:t xml:space="preserve">and </w:t>
      </w:r>
      <w:r w:rsidRPr="00B75B77">
        <w:t>configuration, a</w:t>
      </w:r>
      <w:r w:rsidR="00774084" w:rsidRPr="00B75B77">
        <w:t>mong</w:t>
      </w:r>
      <w:r w:rsidRPr="00B75B77">
        <w:t xml:space="preserve"> others, to develop a more accurate estimate of savings. The evaluation team multiplied these characteristics by the PA TRM refrigerator and freezer regression coefficients to determine each appliance’s average UEC. These regression-based UECs, multiplied by the TRM default part-use factors, represent the verified savings per unit. The verified savings per unit is divided by the reported savings per unit to calculate a realization rate for </w:t>
      </w:r>
      <w:r w:rsidR="00774084" w:rsidRPr="00B75B77">
        <w:t xml:space="preserve">both </w:t>
      </w:r>
      <w:r w:rsidRPr="00B75B77">
        <w:t xml:space="preserve">refrigerators </w:t>
      </w:r>
      <w:r w:rsidR="00774084" w:rsidRPr="00B75B77">
        <w:t>and</w:t>
      </w:r>
      <w:r w:rsidRPr="00B75B77">
        <w:t xml:space="preserve"> freezers.</w:t>
      </w:r>
      <w:r w:rsidRPr="00B75B77">
        <w:rPr>
          <w:rStyle w:val="FootnoteReference"/>
        </w:rPr>
        <w:footnoteReference w:id="24"/>
      </w:r>
      <w:r w:rsidRPr="00B75B77">
        <w:t xml:space="preserve"> Navigant applied the residential sector realization rate to units from the C&amp;I and GNI sector</w:t>
      </w:r>
      <w:r w:rsidR="00774084" w:rsidRPr="00B75B77">
        <w:t>s</w:t>
      </w:r>
      <w:r w:rsidRPr="00B75B77">
        <w:t>.</w:t>
      </w:r>
    </w:p>
    <w:p w:rsidR="008B4879" w:rsidRPr="00B75B77" w:rsidRDefault="008B4879" w:rsidP="00751A38"/>
    <w:p w:rsidR="008B4879" w:rsidRPr="00B75B77" w:rsidRDefault="00B0035B" w:rsidP="00751A38">
      <w:r w:rsidRPr="00B75B77">
        <w:t>To review PECO’s application of TRM algorithms to estimate program savings, Navigant reviewed all the residential units in the program tracking data. These residential units represent 99</w:t>
      </w:r>
      <w:r w:rsidR="00530239" w:rsidRPr="00B75B77">
        <w:t>%</w:t>
      </w:r>
      <w:r w:rsidRPr="00B75B77" w:rsidDel="00530239">
        <w:t xml:space="preserve"> </w:t>
      </w:r>
      <w:r w:rsidRPr="00B75B77">
        <w:t xml:space="preserve">of all program units. </w:t>
      </w:r>
      <w:r w:rsidR="008B4879" w:rsidRPr="00B75B77">
        <w:t xml:space="preserve">To verify the stock characteristics found in the tracking data, Navigant conducted a telephone survey of 200 PY7 participants. The sample frame was limited to residential customers who participated in </w:t>
      </w:r>
      <w:r w:rsidR="00774084" w:rsidRPr="00B75B77">
        <w:t>Q</w:t>
      </w:r>
      <w:r w:rsidR="00774084" w:rsidRPr="00B75B77">
        <w:tab/>
        <w:t>1 and Q2</w:t>
      </w:r>
      <w:r w:rsidR="008B4879" w:rsidRPr="00B75B77">
        <w:t>, which represented over 80</w:t>
      </w:r>
      <w:r w:rsidR="0009500C" w:rsidRPr="00B75B77">
        <w:t>%</w:t>
      </w:r>
      <w:r w:rsidR="008B4879" w:rsidRPr="00B75B77">
        <w:t xml:space="preserve"> of the program year</w:t>
      </w:r>
      <w:r w:rsidR="00774084" w:rsidRPr="00B75B77">
        <w:t>’s</w:t>
      </w:r>
      <w:r w:rsidR="008B4879" w:rsidRPr="00B75B77">
        <w:t xml:space="preserve"> savings. The team randomly selected customers to fulfill several </w:t>
      </w:r>
      <w:proofErr w:type="gramStart"/>
      <w:r w:rsidR="008B4879" w:rsidRPr="00B75B77">
        <w:t>stratum</w:t>
      </w:r>
      <w:proofErr w:type="gramEnd"/>
      <w:r w:rsidR="008B4879" w:rsidRPr="00B75B77">
        <w:t xml:space="preserve">, as outlined in </w:t>
      </w:r>
      <w:r w:rsidR="000C1E59" w:rsidRPr="00B75B77">
        <w:fldChar w:fldCharType="begin"/>
      </w:r>
      <w:r w:rsidR="000C1E59" w:rsidRPr="00B75B77">
        <w:instrText xml:space="preserve"> REF _Ref464560212 \h </w:instrText>
      </w:r>
      <w:r w:rsidR="00B75B77">
        <w:instrText xml:space="preserve"> \* MERGEFORMAT </w:instrText>
      </w:r>
      <w:r w:rsidR="000C1E59" w:rsidRPr="00B75B77">
        <w:fldChar w:fldCharType="separate"/>
      </w:r>
      <w:r w:rsidR="0004016D" w:rsidRPr="00B75B77">
        <w:t xml:space="preserve">Table </w:t>
      </w:r>
      <w:r w:rsidR="0004016D">
        <w:rPr>
          <w:noProof/>
        </w:rPr>
        <w:t>4</w:t>
      </w:r>
      <w:r w:rsidR="0004016D" w:rsidRPr="00B75B77">
        <w:rPr>
          <w:noProof/>
        </w:rPr>
        <w:noBreakHyphen/>
      </w:r>
      <w:r w:rsidR="0004016D">
        <w:rPr>
          <w:noProof/>
        </w:rPr>
        <w:t>2</w:t>
      </w:r>
      <w:r w:rsidR="000C1E59" w:rsidRPr="00B75B77">
        <w:fldChar w:fldCharType="end"/>
      </w:r>
      <w:r w:rsidR="008B4879" w:rsidRPr="00B75B77">
        <w:rPr>
          <w:noProof/>
        </w:rPr>
        <w:t>.</w:t>
      </w:r>
      <w:r w:rsidR="008B4879" w:rsidRPr="00B75B77">
        <w:t xml:space="preserve"> Navigant targeted a precision of 15</w:t>
      </w:r>
      <w:r w:rsidR="0009500C" w:rsidRPr="00B75B77">
        <w:t>%</w:t>
      </w:r>
      <w:r w:rsidR="008B4879" w:rsidRPr="00B75B77">
        <w:t xml:space="preserve"> at the 85</w:t>
      </w:r>
      <w:r w:rsidR="0009500C" w:rsidRPr="00B75B77">
        <w:t>%</w:t>
      </w:r>
      <w:r w:rsidR="008B4879" w:rsidRPr="00B75B77">
        <w:t xml:space="preserve"> confidence level for f</w:t>
      </w:r>
      <w:r w:rsidRPr="00B75B77">
        <w:t>ive</w:t>
      </w:r>
      <w:r w:rsidR="008B4879" w:rsidRPr="00B75B77">
        <w:t xml:space="preserve"> strata: refrigerator participants, freezer participants, participants whose rebates may have been delayed, and those who withdrew their participation. Navigant based its target sample size on its predicted response rate of 155 participants. This stratum’s population size was larger than initially estimated.</w:t>
      </w:r>
    </w:p>
    <w:p w:rsidR="008B4879" w:rsidRPr="00B75B77" w:rsidRDefault="008B4879" w:rsidP="00751A38">
      <w:r w:rsidRPr="00B75B77">
        <w:t xml:space="preserve"> </w:t>
      </w:r>
    </w:p>
    <w:p w:rsidR="000C1E59" w:rsidRPr="00B75B77" w:rsidRDefault="000C1E59" w:rsidP="000C1E59">
      <w:pPr>
        <w:pStyle w:val="Caption"/>
      </w:pPr>
      <w:bookmarkStart w:id="367" w:name="_Ref464560212"/>
      <w:bookmarkStart w:id="368" w:name="_Toc466413531"/>
      <w:bookmarkEnd w:id="365"/>
      <w:bookmarkEnd w:id="366"/>
      <w:r w:rsidRPr="00B75B77">
        <w:t xml:space="preserve">Table </w:t>
      </w:r>
      <w:fldSimple w:instr=" STYLEREF 1 \s ">
        <w:r w:rsidR="0004016D">
          <w:rPr>
            <w:noProof/>
          </w:rPr>
          <w:t>4</w:t>
        </w:r>
      </w:fldSimple>
      <w:r w:rsidR="00F1144C" w:rsidRPr="00B75B77">
        <w:noBreakHyphen/>
      </w:r>
      <w:fldSimple w:instr=" SEQ Table \* ARABIC \s 1 ">
        <w:r w:rsidR="0004016D">
          <w:rPr>
            <w:noProof/>
          </w:rPr>
          <w:t>2</w:t>
        </w:r>
      </w:fldSimple>
      <w:bookmarkEnd w:id="367"/>
      <w:r w:rsidRPr="00B75B77">
        <w:t>: Smart Appliance Recycling Sampling Strategy for PY7</w:t>
      </w:r>
      <w:bookmarkEnd w:id="368"/>
    </w:p>
    <w:tbl>
      <w:tblPr>
        <w:tblW w:w="9355" w:type="dxa"/>
        <w:tblLook w:val="04A0" w:firstRow="1" w:lastRow="0" w:firstColumn="1" w:lastColumn="0" w:noHBand="0" w:noVBand="1"/>
      </w:tblPr>
      <w:tblGrid>
        <w:gridCol w:w="1975"/>
        <w:gridCol w:w="1035"/>
        <w:gridCol w:w="1485"/>
        <w:gridCol w:w="1080"/>
        <w:gridCol w:w="1170"/>
        <w:gridCol w:w="2610"/>
      </w:tblGrid>
      <w:tr w:rsidR="008B4879" w:rsidRPr="00B75B77" w:rsidTr="001D3945">
        <w:trPr>
          <w:divId w:val="2076967418"/>
          <w:trHeight w:val="660"/>
        </w:trPr>
        <w:tc>
          <w:tcPr>
            <w:tcW w:w="1975" w:type="dxa"/>
            <w:tcBorders>
              <w:top w:val="single" w:sz="4" w:space="0" w:color="auto"/>
              <w:left w:val="single" w:sz="4" w:space="0" w:color="auto"/>
              <w:bottom w:val="single" w:sz="4" w:space="0" w:color="auto"/>
              <w:right w:val="single" w:sz="4" w:space="0" w:color="auto"/>
            </w:tcBorders>
            <w:shd w:val="clear" w:color="000000" w:fill="448A99"/>
            <w:vAlign w:val="center"/>
            <w:hideMark/>
          </w:tcPr>
          <w:p w:rsidR="008B4879" w:rsidRPr="00B75B77" w:rsidRDefault="008B4879" w:rsidP="005362A5">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Stratum</w:t>
            </w:r>
          </w:p>
        </w:tc>
        <w:tc>
          <w:tcPr>
            <w:tcW w:w="1035" w:type="dxa"/>
            <w:tcBorders>
              <w:top w:val="single" w:sz="4" w:space="0" w:color="auto"/>
              <w:left w:val="nil"/>
              <w:bottom w:val="single" w:sz="4" w:space="0" w:color="auto"/>
              <w:right w:val="single" w:sz="4" w:space="0" w:color="auto"/>
            </w:tcBorders>
            <w:shd w:val="clear" w:color="000000" w:fill="448A99"/>
            <w:vAlign w:val="center"/>
            <w:hideMark/>
          </w:tcPr>
          <w:p w:rsidR="008B4879" w:rsidRPr="00B75B77" w:rsidRDefault="008B4879"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Population Size</w:t>
            </w:r>
          </w:p>
        </w:tc>
        <w:tc>
          <w:tcPr>
            <w:tcW w:w="1485" w:type="dxa"/>
            <w:tcBorders>
              <w:top w:val="single" w:sz="4" w:space="0" w:color="auto"/>
              <w:left w:val="nil"/>
              <w:bottom w:val="single" w:sz="4" w:space="0" w:color="auto"/>
              <w:right w:val="single" w:sz="4" w:space="0" w:color="auto"/>
            </w:tcBorders>
            <w:shd w:val="clear" w:color="000000" w:fill="448A99"/>
            <w:vAlign w:val="center"/>
            <w:hideMark/>
          </w:tcPr>
          <w:p w:rsidR="008B4879" w:rsidRPr="00B75B77" w:rsidRDefault="008B4879"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Target Levels of Confidence </w:t>
            </w:r>
            <w:r w:rsidR="00BC406C" w:rsidRPr="00B75B77">
              <w:rPr>
                <w:rFonts w:ascii="Calibri" w:eastAsia="Times New Roman" w:hAnsi="Calibri"/>
                <w:b/>
                <w:bCs/>
                <w:color w:val="FFFFFF"/>
                <w:sz w:val="18"/>
                <w:szCs w:val="18"/>
              </w:rPr>
              <w:t xml:space="preserve">and </w:t>
            </w:r>
            <w:r w:rsidRPr="00B75B77">
              <w:rPr>
                <w:rFonts w:ascii="Calibri" w:eastAsia="Times New Roman" w:hAnsi="Calibri"/>
                <w:b/>
                <w:bCs/>
                <w:color w:val="FFFFFF"/>
                <w:sz w:val="18"/>
                <w:szCs w:val="18"/>
              </w:rPr>
              <w:t>Precision</w:t>
            </w:r>
          </w:p>
        </w:tc>
        <w:tc>
          <w:tcPr>
            <w:tcW w:w="1080" w:type="dxa"/>
            <w:tcBorders>
              <w:top w:val="single" w:sz="4" w:space="0" w:color="auto"/>
              <w:left w:val="nil"/>
              <w:bottom w:val="single" w:sz="4" w:space="0" w:color="auto"/>
              <w:right w:val="single" w:sz="4" w:space="0" w:color="auto"/>
            </w:tcBorders>
            <w:shd w:val="clear" w:color="000000" w:fill="448A99"/>
            <w:vAlign w:val="center"/>
            <w:hideMark/>
          </w:tcPr>
          <w:p w:rsidR="008B4879" w:rsidRPr="00B75B77" w:rsidRDefault="008B4879"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Target Sample Size</w:t>
            </w:r>
          </w:p>
        </w:tc>
        <w:tc>
          <w:tcPr>
            <w:tcW w:w="1170" w:type="dxa"/>
            <w:tcBorders>
              <w:top w:val="single" w:sz="4" w:space="0" w:color="auto"/>
              <w:left w:val="nil"/>
              <w:bottom w:val="single" w:sz="4" w:space="0" w:color="auto"/>
              <w:right w:val="single" w:sz="4" w:space="0" w:color="auto"/>
            </w:tcBorders>
            <w:shd w:val="clear" w:color="000000" w:fill="448A99"/>
            <w:vAlign w:val="center"/>
            <w:hideMark/>
          </w:tcPr>
          <w:p w:rsidR="008B4879" w:rsidRPr="00B75B77" w:rsidRDefault="008B4879"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Achieved Sample Size</w:t>
            </w:r>
          </w:p>
        </w:tc>
        <w:tc>
          <w:tcPr>
            <w:tcW w:w="2610" w:type="dxa"/>
            <w:tcBorders>
              <w:top w:val="single" w:sz="4" w:space="0" w:color="auto"/>
              <w:left w:val="nil"/>
              <w:bottom w:val="single" w:sz="4" w:space="0" w:color="auto"/>
              <w:right w:val="single" w:sz="4" w:space="0" w:color="auto"/>
            </w:tcBorders>
            <w:shd w:val="clear" w:color="000000" w:fill="448A99"/>
            <w:vAlign w:val="center"/>
            <w:hideMark/>
          </w:tcPr>
          <w:p w:rsidR="008B4879" w:rsidRPr="00B75B77" w:rsidRDefault="008B4879" w:rsidP="005362A5">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Evaluation Activity</w:t>
            </w:r>
          </w:p>
        </w:tc>
      </w:tr>
      <w:tr w:rsidR="008B4879" w:rsidRPr="00B75B77" w:rsidTr="001D3945">
        <w:trPr>
          <w:divId w:val="2076967418"/>
          <w:trHeight w:val="480"/>
        </w:trPr>
        <w:tc>
          <w:tcPr>
            <w:tcW w:w="1975" w:type="dxa"/>
            <w:tcBorders>
              <w:top w:val="nil"/>
              <w:left w:val="single" w:sz="4" w:space="0" w:color="448A99"/>
              <w:bottom w:val="single" w:sz="4" w:space="0" w:color="448A99"/>
              <w:right w:val="single" w:sz="4" w:space="0" w:color="448A99"/>
            </w:tcBorders>
            <w:shd w:val="clear" w:color="000000" w:fill="FFFFFF"/>
            <w:vAlign w:val="center"/>
            <w:hideMark/>
          </w:tcPr>
          <w:p w:rsidR="008B4879" w:rsidRPr="00B75B77" w:rsidRDefault="008B4879" w:rsidP="00751A38">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Refrigerators</w:t>
            </w:r>
          </w:p>
        </w:tc>
        <w:tc>
          <w:tcPr>
            <w:tcW w:w="1035"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6,479</w:t>
            </w:r>
          </w:p>
        </w:tc>
        <w:tc>
          <w:tcPr>
            <w:tcW w:w="1485"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1080"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70</w:t>
            </w:r>
          </w:p>
        </w:tc>
        <w:tc>
          <w:tcPr>
            <w:tcW w:w="1170"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70</w:t>
            </w:r>
          </w:p>
        </w:tc>
        <w:tc>
          <w:tcPr>
            <w:tcW w:w="2610"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3E669B">
            <w:pPr>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Verification, </w:t>
            </w:r>
            <w:r w:rsidR="003E669B" w:rsidRPr="00B75B77">
              <w:rPr>
                <w:rFonts w:ascii="Calibri" w:eastAsia="Times New Roman" w:hAnsi="Calibri"/>
                <w:color w:val="000000"/>
                <w:sz w:val="18"/>
                <w:szCs w:val="18"/>
              </w:rPr>
              <w:t>NTG</w:t>
            </w:r>
            <w:r w:rsidRPr="00B75B77">
              <w:rPr>
                <w:rFonts w:ascii="Calibri" w:eastAsia="Times New Roman" w:hAnsi="Calibri"/>
                <w:color w:val="000000"/>
                <w:sz w:val="18"/>
                <w:szCs w:val="18"/>
              </w:rPr>
              <w:t xml:space="preserve">, and </w:t>
            </w:r>
            <w:r w:rsidR="003E669B" w:rsidRPr="00B75B77">
              <w:rPr>
                <w:rFonts w:ascii="Calibri" w:eastAsia="Times New Roman" w:hAnsi="Calibri"/>
                <w:color w:val="000000"/>
                <w:sz w:val="18"/>
                <w:szCs w:val="18"/>
              </w:rPr>
              <w:t>s</w:t>
            </w:r>
            <w:r w:rsidRPr="00B75B77">
              <w:rPr>
                <w:rFonts w:ascii="Calibri" w:eastAsia="Times New Roman" w:hAnsi="Calibri"/>
                <w:color w:val="000000"/>
                <w:sz w:val="18"/>
                <w:szCs w:val="18"/>
              </w:rPr>
              <w:t>atisfaction</w:t>
            </w:r>
          </w:p>
        </w:tc>
      </w:tr>
      <w:tr w:rsidR="008B4879" w:rsidRPr="00B75B77" w:rsidTr="001D3945">
        <w:trPr>
          <w:divId w:val="2076967418"/>
          <w:trHeight w:val="480"/>
        </w:trPr>
        <w:tc>
          <w:tcPr>
            <w:tcW w:w="1975" w:type="dxa"/>
            <w:tcBorders>
              <w:top w:val="nil"/>
              <w:left w:val="single" w:sz="4" w:space="0" w:color="448A99"/>
              <w:bottom w:val="single" w:sz="4" w:space="0" w:color="448A99"/>
              <w:right w:val="single" w:sz="4" w:space="0" w:color="448A99"/>
            </w:tcBorders>
            <w:shd w:val="clear" w:color="000000" w:fill="D2EAF1"/>
            <w:vAlign w:val="center"/>
            <w:hideMark/>
          </w:tcPr>
          <w:p w:rsidR="008B4879" w:rsidRPr="00B75B77" w:rsidRDefault="008B4879" w:rsidP="00751A38">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Freezers</w:t>
            </w:r>
          </w:p>
        </w:tc>
        <w:tc>
          <w:tcPr>
            <w:tcW w:w="1035"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1,143</w:t>
            </w:r>
          </w:p>
        </w:tc>
        <w:tc>
          <w:tcPr>
            <w:tcW w:w="1485"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1080"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70</w:t>
            </w:r>
          </w:p>
        </w:tc>
        <w:tc>
          <w:tcPr>
            <w:tcW w:w="1170"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70</w:t>
            </w:r>
          </w:p>
        </w:tc>
        <w:tc>
          <w:tcPr>
            <w:tcW w:w="2610"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3E669B">
            <w:pPr>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Verification, </w:t>
            </w:r>
            <w:r w:rsidR="003E669B" w:rsidRPr="00B75B77">
              <w:rPr>
                <w:rFonts w:ascii="Calibri" w:eastAsia="Times New Roman" w:hAnsi="Calibri"/>
                <w:color w:val="000000"/>
                <w:sz w:val="18"/>
                <w:szCs w:val="18"/>
              </w:rPr>
              <w:t>NTG</w:t>
            </w:r>
            <w:r w:rsidRPr="00B75B77">
              <w:rPr>
                <w:rFonts w:ascii="Calibri" w:eastAsia="Times New Roman" w:hAnsi="Calibri"/>
                <w:color w:val="000000"/>
                <w:sz w:val="18"/>
                <w:szCs w:val="18"/>
              </w:rPr>
              <w:t xml:space="preserve">, and </w:t>
            </w:r>
            <w:r w:rsidR="003E669B" w:rsidRPr="00B75B77">
              <w:rPr>
                <w:rFonts w:ascii="Calibri" w:eastAsia="Times New Roman" w:hAnsi="Calibri"/>
                <w:color w:val="000000"/>
                <w:sz w:val="18"/>
                <w:szCs w:val="18"/>
              </w:rPr>
              <w:t>s</w:t>
            </w:r>
            <w:r w:rsidRPr="00B75B77">
              <w:rPr>
                <w:rFonts w:ascii="Calibri" w:eastAsia="Times New Roman" w:hAnsi="Calibri"/>
                <w:color w:val="000000"/>
                <w:sz w:val="18"/>
                <w:szCs w:val="18"/>
              </w:rPr>
              <w:t>atisfaction</w:t>
            </w:r>
          </w:p>
        </w:tc>
      </w:tr>
      <w:tr w:rsidR="008B4879" w:rsidRPr="00B75B77" w:rsidTr="001D3945">
        <w:trPr>
          <w:divId w:val="2076967418"/>
          <w:trHeight w:val="288"/>
        </w:trPr>
        <w:tc>
          <w:tcPr>
            <w:tcW w:w="1975" w:type="dxa"/>
            <w:tcBorders>
              <w:top w:val="nil"/>
              <w:left w:val="single" w:sz="4" w:space="0" w:color="448A99"/>
              <w:bottom w:val="single" w:sz="4" w:space="0" w:color="448A99"/>
              <w:right w:val="single" w:sz="4" w:space="0" w:color="448A99"/>
            </w:tcBorders>
            <w:shd w:val="clear" w:color="000000" w:fill="FFFFFF"/>
            <w:vAlign w:val="center"/>
            <w:hideMark/>
          </w:tcPr>
          <w:p w:rsidR="008B4879" w:rsidRPr="00B75B77" w:rsidRDefault="008B4879" w:rsidP="00751A38">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Rebate Delayed</w:t>
            </w:r>
          </w:p>
        </w:tc>
        <w:tc>
          <w:tcPr>
            <w:tcW w:w="1035"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2,818</w:t>
            </w:r>
          </w:p>
        </w:tc>
        <w:tc>
          <w:tcPr>
            <w:tcW w:w="1485"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1080"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25</w:t>
            </w:r>
          </w:p>
        </w:tc>
        <w:tc>
          <w:tcPr>
            <w:tcW w:w="1170"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25</w:t>
            </w:r>
          </w:p>
        </w:tc>
        <w:tc>
          <w:tcPr>
            <w:tcW w:w="2610"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5362A5">
            <w:pPr>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Satisfaction, </w:t>
            </w:r>
            <w:r w:rsidR="003E669B" w:rsidRPr="00B75B77">
              <w:rPr>
                <w:rFonts w:ascii="Calibri" w:eastAsia="Times New Roman" w:hAnsi="Calibri"/>
                <w:color w:val="000000"/>
                <w:sz w:val="18"/>
                <w:szCs w:val="18"/>
              </w:rPr>
              <w:t>d</w:t>
            </w:r>
            <w:r w:rsidRPr="00B75B77">
              <w:rPr>
                <w:rFonts w:ascii="Calibri" w:eastAsia="Times New Roman" w:hAnsi="Calibri"/>
                <w:color w:val="000000"/>
                <w:sz w:val="18"/>
                <w:szCs w:val="18"/>
              </w:rPr>
              <w:t>ue diligence</w:t>
            </w:r>
          </w:p>
        </w:tc>
      </w:tr>
      <w:tr w:rsidR="008B4879" w:rsidRPr="00B75B77" w:rsidTr="001D3945">
        <w:trPr>
          <w:divId w:val="2076967418"/>
          <w:trHeight w:val="288"/>
        </w:trPr>
        <w:tc>
          <w:tcPr>
            <w:tcW w:w="1975" w:type="dxa"/>
            <w:tcBorders>
              <w:top w:val="nil"/>
              <w:left w:val="single" w:sz="4" w:space="0" w:color="448A99"/>
              <w:bottom w:val="single" w:sz="4" w:space="0" w:color="448A99"/>
              <w:right w:val="single" w:sz="4" w:space="0" w:color="448A99"/>
            </w:tcBorders>
            <w:shd w:val="clear" w:color="000000" w:fill="D2EAF1"/>
            <w:vAlign w:val="center"/>
            <w:hideMark/>
          </w:tcPr>
          <w:p w:rsidR="008B4879" w:rsidRPr="00B75B77" w:rsidRDefault="008B4879" w:rsidP="00751A38">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Withdrew Participation</w:t>
            </w:r>
          </w:p>
        </w:tc>
        <w:tc>
          <w:tcPr>
            <w:tcW w:w="1035"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623</w:t>
            </w:r>
          </w:p>
        </w:tc>
        <w:tc>
          <w:tcPr>
            <w:tcW w:w="1485"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1080"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25</w:t>
            </w:r>
          </w:p>
        </w:tc>
        <w:tc>
          <w:tcPr>
            <w:tcW w:w="1170"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25</w:t>
            </w:r>
          </w:p>
        </w:tc>
        <w:tc>
          <w:tcPr>
            <w:tcW w:w="2610"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3E669B">
            <w:pPr>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Satisfaction, </w:t>
            </w:r>
            <w:r w:rsidR="003E669B" w:rsidRPr="00B75B77">
              <w:rPr>
                <w:rFonts w:ascii="Calibri" w:eastAsia="Times New Roman" w:hAnsi="Calibri"/>
                <w:color w:val="000000"/>
                <w:sz w:val="18"/>
                <w:szCs w:val="18"/>
              </w:rPr>
              <w:t>NTG</w:t>
            </w:r>
          </w:p>
        </w:tc>
      </w:tr>
      <w:tr w:rsidR="008B4879" w:rsidRPr="00B75B77" w:rsidTr="001D3945">
        <w:trPr>
          <w:divId w:val="2076967418"/>
          <w:trHeight w:val="288"/>
        </w:trPr>
        <w:tc>
          <w:tcPr>
            <w:tcW w:w="1975" w:type="dxa"/>
            <w:tcBorders>
              <w:top w:val="nil"/>
              <w:left w:val="single" w:sz="4" w:space="0" w:color="448A99"/>
              <w:bottom w:val="single" w:sz="4" w:space="0" w:color="448A99"/>
              <w:right w:val="single" w:sz="4" w:space="0" w:color="448A99"/>
            </w:tcBorders>
            <w:shd w:val="clear" w:color="000000" w:fill="FFFFFF"/>
            <w:vAlign w:val="center"/>
            <w:hideMark/>
          </w:tcPr>
          <w:p w:rsidR="008B4879" w:rsidRPr="00B75B77" w:rsidRDefault="008B4879" w:rsidP="00751A38">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Pickup Delayed</w:t>
            </w:r>
          </w:p>
        </w:tc>
        <w:tc>
          <w:tcPr>
            <w:tcW w:w="1035"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293</w:t>
            </w:r>
          </w:p>
        </w:tc>
        <w:tc>
          <w:tcPr>
            <w:tcW w:w="1485"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1080"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10</w:t>
            </w:r>
          </w:p>
        </w:tc>
        <w:tc>
          <w:tcPr>
            <w:tcW w:w="1170"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10</w:t>
            </w:r>
          </w:p>
        </w:tc>
        <w:tc>
          <w:tcPr>
            <w:tcW w:w="2610"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5362A5">
            <w:pPr>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Satisfaction, </w:t>
            </w:r>
            <w:r w:rsidR="003E669B" w:rsidRPr="00B75B77">
              <w:rPr>
                <w:rFonts w:ascii="Calibri" w:eastAsia="Times New Roman" w:hAnsi="Calibri"/>
                <w:color w:val="000000"/>
                <w:sz w:val="18"/>
                <w:szCs w:val="18"/>
              </w:rPr>
              <w:t>d</w:t>
            </w:r>
            <w:r w:rsidRPr="00B75B77">
              <w:rPr>
                <w:rFonts w:ascii="Calibri" w:eastAsia="Times New Roman" w:hAnsi="Calibri"/>
                <w:color w:val="000000"/>
                <w:sz w:val="18"/>
                <w:szCs w:val="18"/>
              </w:rPr>
              <w:t>ue diligence</w:t>
            </w:r>
          </w:p>
        </w:tc>
      </w:tr>
      <w:tr w:rsidR="008B4879" w:rsidRPr="00B75B77" w:rsidTr="001D3945">
        <w:trPr>
          <w:divId w:val="2076967418"/>
          <w:trHeight w:val="288"/>
        </w:trPr>
        <w:tc>
          <w:tcPr>
            <w:tcW w:w="1975" w:type="dxa"/>
            <w:tcBorders>
              <w:top w:val="nil"/>
              <w:left w:val="single" w:sz="4" w:space="0" w:color="448A99"/>
              <w:bottom w:val="single" w:sz="4" w:space="0" w:color="448A99"/>
              <w:right w:val="single" w:sz="4" w:space="0" w:color="448A99"/>
            </w:tcBorders>
            <w:shd w:val="clear" w:color="000000" w:fill="D2EAF1"/>
            <w:vAlign w:val="center"/>
            <w:hideMark/>
          </w:tcPr>
          <w:p w:rsidR="008B4879" w:rsidRPr="00B75B77" w:rsidRDefault="003E669B" w:rsidP="00751A38">
            <w:pPr>
              <w:jc w:val="left"/>
              <w:rPr>
                <w:rFonts w:ascii="Calibri" w:eastAsia="Times New Roman" w:hAnsi="Calibri"/>
                <w:b/>
                <w:color w:val="000000"/>
                <w:sz w:val="18"/>
                <w:szCs w:val="18"/>
              </w:rPr>
            </w:pPr>
            <w:r w:rsidRPr="00B75B77">
              <w:rPr>
                <w:rFonts w:ascii="Calibri" w:eastAsia="Times New Roman" w:hAnsi="Calibri"/>
                <w:b/>
                <w:color w:val="000000"/>
                <w:sz w:val="18"/>
                <w:szCs w:val="18"/>
              </w:rPr>
              <w:t>PROGRAM TOTAL</w:t>
            </w:r>
          </w:p>
        </w:tc>
        <w:tc>
          <w:tcPr>
            <w:tcW w:w="1035"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751A38">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9,693</w:t>
            </w:r>
          </w:p>
        </w:tc>
        <w:tc>
          <w:tcPr>
            <w:tcW w:w="1485"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751A38">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85/15</w:t>
            </w:r>
          </w:p>
        </w:tc>
        <w:tc>
          <w:tcPr>
            <w:tcW w:w="1080"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751A38">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200</w:t>
            </w:r>
          </w:p>
        </w:tc>
        <w:tc>
          <w:tcPr>
            <w:tcW w:w="1170"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751A38">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200</w:t>
            </w:r>
          </w:p>
        </w:tc>
        <w:tc>
          <w:tcPr>
            <w:tcW w:w="2610"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5362A5">
            <w:pPr>
              <w:jc w:val="left"/>
              <w:rPr>
                <w:rFonts w:ascii="Calibri" w:eastAsia="Times New Roman" w:hAnsi="Calibri"/>
                <w:b/>
                <w:color w:val="000000"/>
                <w:sz w:val="18"/>
                <w:szCs w:val="18"/>
              </w:rPr>
            </w:pPr>
            <w:r w:rsidRPr="00B75B77">
              <w:rPr>
                <w:rFonts w:ascii="Calibri" w:eastAsia="Times New Roman" w:hAnsi="Calibri"/>
                <w:b/>
                <w:color w:val="000000"/>
                <w:sz w:val="18"/>
                <w:szCs w:val="18"/>
              </w:rPr>
              <w:t>N/A</w:t>
            </w:r>
          </w:p>
        </w:tc>
      </w:tr>
    </w:tbl>
    <w:p w:rsidR="003E669B" w:rsidRPr="00B75B77" w:rsidRDefault="003E669B" w:rsidP="003E669B">
      <w:pPr>
        <w:pStyle w:val="Source"/>
        <w:spacing w:before="20" w:after="20"/>
        <w:ind w:left="86" w:firstLine="0"/>
        <w:rPr>
          <w:i w:val="0"/>
        </w:rPr>
      </w:pPr>
      <w:r w:rsidRPr="00B75B77">
        <w:rPr>
          <w:i w:val="0"/>
        </w:rPr>
        <w:lastRenderedPageBreak/>
        <w:t xml:space="preserve">Note: </w:t>
      </w:r>
      <w:r w:rsidRPr="00B75B77">
        <w:rPr>
          <w:rFonts w:ascii="Calibri" w:hAnsi="Calibri"/>
          <w:i w:val="0"/>
          <w:iCs/>
          <w:color w:val="000000"/>
          <w:szCs w:val="18"/>
        </w:rPr>
        <w:t xml:space="preserve">Values in tables may not reconcile exactly </w:t>
      </w:r>
      <w:r w:rsidR="00493C06" w:rsidRPr="00B75B77">
        <w:rPr>
          <w:rFonts w:ascii="Calibri" w:hAnsi="Calibri"/>
          <w:i w:val="0"/>
          <w:iCs/>
          <w:color w:val="000000"/>
          <w:szCs w:val="18"/>
        </w:rPr>
        <w:t>with the sum of</w:t>
      </w:r>
      <w:r w:rsidRPr="00B75B77">
        <w:rPr>
          <w:rFonts w:ascii="Calibri" w:hAnsi="Calibri"/>
          <w:i w:val="0"/>
          <w:iCs/>
          <w:color w:val="000000"/>
          <w:szCs w:val="18"/>
        </w:rPr>
        <w:t xml:space="preserve"> more detailed level results or previously reported results due to rounding.</w:t>
      </w:r>
    </w:p>
    <w:p w:rsidR="008B4879" w:rsidRPr="00B75B77" w:rsidRDefault="008B4879" w:rsidP="003E669B">
      <w:pPr>
        <w:pStyle w:val="Source"/>
        <w:ind w:hanging="630"/>
      </w:pPr>
      <w:r w:rsidRPr="00B75B77">
        <w:t>Source: Navigant analysis</w:t>
      </w:r>
    </w:p>
    <w:p w:rsidR="002C4E2F" w:rsidRPr="00B75B77" w:rsidRDefault="008B4879" w:rsidP="00751A38">
      <w:r w:rsidRPr="00B75B77">
        <w:t>Navigant conducted no onsite inspections for the PY7 SAR program evaluation</w:t>
      </w:r>
      <w:r w:rsidR="00A8353E" w:rsidRPr="00B75B77">
        <w:t>, per the evaluation plan</w:t>
      </w:r>
      <w:r w:rsidRPr="00B75B77">
        <w:t>.</w:t>
      </w:r>
    </w:p>
    <w:p w:rsidR="008B4879" w:rsidRPr="00B75B77" w:rsidRDefault="008B4879" w:rsidP="003E669B"/>
    <w:p w:rsidR="008B4879" w:rsidRPr="00B75B77" w:rsidRDefault="008B4879" w:rsidP="00751A38">
      <w:pPr>
        <w:pStyle w:val="Heading3"/>
      </w:pPr>
      <w:bookmarkStart w:id="369" w:name="_Toc466413307"/>
      <w:r w:rsidRPr="00B75B77">
        <w:t>Gross Verified Savings Results</w:t>
      </w:r>
      <w:bookmarkEnd w:id="369"/>
      <w:r w:rsidRPr="00B75B77">
        <w:t xml:space="preserve"> </w:t>
      </w:r>
    </w:p>
    <w:p w:rsidR="008B4879" w:rsidRPr="00B75B77" w:rsidRDefault="008B4879" w:rsidP="00751A38">
      <w:r w:rsidRPr="00B75B77">
        <w:t xml:space="preserve">Navigant verified gross </w:t>
      </w:r>
      <w:r w:rsidR="003E669B" w:rsidRPr="00B75B77">
        <w:t xml:space="preserve">energy and demand </w:t>
      </w:r>
      <w:r w:rsidRPr="00B75B77">
        <w:t>savings of 8,843 MWh and 1.2 MW</w:t>
      </w:r>
      <w:r w:rsidR="003E669B" w:rsidRPr="00B75B77">
        <w:t>, respectively</w:t>
      </w:r>
      <w:r w:rsidRPr="00B75B77">
        <w:t xml:space="preserve">. The regression analysis calculated a lower UEC for both refrigerators and </w:t>
      </w:r>
      <w:proofErr w:type="gramStart"/>
      <w:r w:rsidRPr="00B75B77">
        <w:t>freezers,</w:t>
      </w:r>
      <w:proofErr w:type="gramEnd"/>
      <w:r w:rsidRPr="00B75B77">
        <w:t xml:space="preserve"> hence energy and demand realization rates of </w:t>
      </w:r>
      <w:r w:rsidR="0055762B" w:rsidRPr="00B75B77">
        <w:t>0.</w:t>
      </w:r>
      <w:r w:rsidRPr="00B75B77">
        <w:t xml:space="preserve">96 and </w:t>
      </w:r>
      <w:r w:rsidR="0055762B" w:rsidRPr="00B75B77">
        <w:t>0.</w:t>
      </w:r>
      <w:r w:rsidRPr="00B75B77">
        <w:t xml:space="preserve">86, respectively. The overall PY7 realization rate is </w:t>
      </w:r>
      <w:r w:rsidR="0055762B" w:rsidRPr="00B75B77">
        <w:t>0.</w:t>
      </w:r>
      <w:r w:rsidRPr="00B75B77">
        <w:t>95</w:t>
      </w:r>
      <w:r w:rsidR="003E669B" w:rsidRPr="00B75B77">
        <w:t xml:space="preserve">, </w:t>
      </w:r>
      <w:r w:rsidR="00BD0CD6" w:rsidRPr="00B75B77">
        <w:t>which is</w:t>
      </w:r>
      <w:r w:rsidRPr="00B75B77">
        <w:t xml:space="preserve"> comparable to the PY5 realization rate of </w:t>
      </w:r>
      <w:r w:rsidR="0055762B" w:rsidRPr="00B75B77">
        <w:t>0.</w:t>
      </w:r>
      <w:r w:rsidRPr="00B75B77">
        <w:t xml:space="preserve">99 and the PY6 realization rate of </w:t>
      </w:r>
      <w:r w:rsidR="0055762B" w:rsidRPr="00B75B77">
        <w:t>0.</w:t>
      </w:r>
      <w:r w:rsidRPr="00B75B77">
        <w:t>89. Navigant’s algorithm review found no errors in the application of the 2014 and 2015 TRMs to determine PECO’s reported savings. Based on the participant telephone survey</w:t>
      </w:r>
      <w:r w:rsidR="001D3945" w:rsidRPr="00B75B77">
        <w:t>,</w:t>
      </w:r>
      <w:r w:rsidRPr="00B75B77">
        <w:t xml:space="preserve"> </w:t>
      </w:r>
      <w:r w:rsidR="001D3945" w:rsidRPr="00B75B77">
        <w:t>the evaluation team</w:t>
      </w:r>
      <w:r w:rsidRPr="00B75B77">
        <w:t xml:space="preserve"> made no changes to the appliance stock inputs used in the regression analysis.</w:t>
      </w:r>
    </w:p>
    <w:p w:rsidR="008B4879" w:rsidRPr="00B75B77" w:rsidRDefault="008B4879" w:rsidP="00751A38"/>
    <w:p w:rsidR="008B4879" w:rsidRPr="00B75B77" w:rsidRDefault="005362A5" w:rsidP="00751A38">
      <w:r w:rsidRPr="00B75B77">
        <w:fldChar w:fldCharType="begin"/>
      </w:r>
      <w:r w:rsidRPr="00B75B77">
        <w:instrText xml:space="preserve"> REF _Ref462125820 \h </w:instrText>
      </w:r>
      <w:r w:rsidR="00B75B77">
        <w:instrText xml:space="preserve"> \* MERGEFORMAT </w:instrText>
      </w:r>
      <w:r w:rsidRPr="00B75B77">
        <w:fldChar w:fldCharType="separate"/>
      </w:r>
      <w:r w:rsidR="0004016D" w:rsidRPr="00B75B77">
        <w:t xml:space="preserve">Table </w:t>
      </w:r>
      <w:r w:rsidR="0004016D">
        <w:rPr>
          <w:noProof/>
        </w:rPr>
        <w:t>4</w:t>
      </w:r>
      <w:r w:rsidR="0004016D" w:rsidRPr="00B75B77">
        <w:rPr>
          <w:noProof/>
        </w:rPr>
        <w:noBreakHyphen/>
      </w:r>
      <w:r w:rsidR="0004016D">
        <w:rPr>
          <w:noProof/>
        </w:rPr>
        <w:t>3</w:t>
      </w:r>
      <w:r w:rsidRPr="00B75B77">
        <w:fldChar w:fldCharType="end"/>
      </w:r>
      <w:r w:rsidRPr="00B75B77">
        <w:t xml:space="preserve"> </w:t>
      </w:r>
      <w:r w:rsidR="008B4879" w:rsidRPr="00B75B77">
        <w:t>presents a summary of the verified energy savings at the measure</w:t>
      </w:r>
      <w:r w:rsidR="001D3945" w:rsidRPr="00B75B77">
        <w:t xml:space="preserve"> </w:t>
      </w:r>
      <w:r w:rsidR="008B4879" w:rsidRPr="00B75B77">
        <w:t xml:space="preserve">level. As mentioned previously, the 2014 TRM, which distinguished between recycled units and units recycled but replaced, only applies </w:t>
      </w:r>
      <w:r w:rsidR="001D3945" w:rsidRPr="00B75B77">
        <w:t>to the</w:t>
      </w:r>
      <w:r w:rsidR="008B4879" w:rsidRPr="00B75B77">
        <w:t xml:space="preserve"> small number of appliances recycled in June 2015. Thus, the majority of savings are lumped as either refrigerator or freezer retirements.</w:t>
      </w:r>
    </w:p>
    <w:p w:rsidR="008B4879" w:rsidRPr="00B75B77" w:rsidRDefault="008B4879" w:rsidP="00751A38"/>
    <w:p w:rsidR="008B4879" w:rsidRPr="00B75B77" w:rsidRDefault="008B4879" w:rsidP="00751A38">
      <w:pPr>
        <w:pStyle w:val="Caption"/>
      </w:pPr>
      <w:bookmarkStart w:id="370" w:name="_Ref462125820"/>
      <w:bookmarkStart w:id="371" w:name="_Toc466413532"/>
      <w:r w:rsidRPr="00B75B77">
        <w:t xml:space="preserve">Table </w:t>
      </w:r>
      <w:fldSimple w:instr=" STYLEREF 1 \s ">
        <w:r w:rsidR="0004016D">
          <w:rPr>
            <w:noProof/>
          </w:rPr>
          <w:t>4</w:t>
        </w:r>
      </w:fldSimple>
      <w:r w:rsidR="00F1144C" w:rsidRPr="00B75B77">
        <w:noBreakHyphen/>
      </w:r>
      <w:fldSimple w:instr=" SEQ Table \* ARABIC \s 1 ">
        <w:r w:rsidR="0004016D">
          <w:rPr>
            <w:noProof/>
          </w:rPr>
          <w:t>3</w:t>
        </w:r>
      </w:fldSimple>
      <w:bookmarkEnd w:id="370"/>
      <w:r w:rsidRPr="00B75B77">
        <w:t>: PY7 Smart Appliance Recycling Summary of Evaluation Results for Energy</w:t>
      </w:r>
      <w:bookmarkEnd w:id="371"/>
    </w:p>
    <w:tbl>
      <w:tblPr>
        <w:tblW w:w="8635" w:type="dxa"/>
        <w:jc w:val="center"/>
        <w:tblLook w:val="04A0" w:firstRow="1" w:lastRow="0" w:firstColumn="1" w:lastColumn="0" w:noHBand="0" w:noVBand="1"/>
      </w:tblPr>
      <w:tblGrid>
        <w:gridCol w:w="1885"/>
        <w:gridCol w:w="1260"/>
        <w:gridCol w:w="1080"/>
        <w:gridCol w:w="1530"/>
        <w:gridCol w:w="1440"/>
        <w:gridCol w:w="1440"/>
      </w:tblGrid>
      <w:tr w:rsidR="008B4879" w:rsidRPr="00B75B77" w:rsidTr="001D3945">
        <w:trPr>
          <w:divId w:val="217474266"/>
          <w:trHeight w:val="660"/>
          <w:jc w:val="center"/>
        </w:trPr>
        <w:tc>
          <w:tcPr>
            <w:tcW w:w="1885"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8B4879" w:rsidRPr="00B75B77" w:rsidRDefault="008B4879" w:rsidP="005362A5">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Stratum</w:t>
            </w:r>
          </w:p>
        </w:tc>
        <w:tc>
          <w:tcPr>
            <w:tcW w:w="126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8B4879" w:rsidRPr="00B75B77" w:rsidRDefault="008B4879"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Reported Gross Energy Savings (MWh/</w:t>
            </w:r>
            <w:proofErr w:type="spellStart"/>
            <w:r w:rsidRPr="00B75B77">
              <w:rPr>
                <w:rFonts w:ascii="Calibri" w:eastAsia="Times New Roman" w:hAnsi="Calibri"/>
                <w:b/>
                <w:bCs/>
                <w:color w:val="FFFFFF"/>
                <w:sz w:val="18"/>
                <w:szCs w:val="18"/>
              </w:rPr>
              <w:t>yr</w:t>
            </w:r>
            <w:proofErr w:type="spellEnd"/>
            <w:r w:rsidRPr="00B75B77">
              <w:rPr>
                <w:rFonts w:ascii="Calibri" w:eastAsia="Times New Roman" w:hAnsi="Calibri"/>
                <w:b/>
                <w:bCs/>
                <w:color w:val="FFFFFF"/>
                <w:sz w:val="18"/>
                <w:szCs w:val="18"/>
              </w:rPr>
              <w:t>)</w:t>
            </w:r>
          </w:p>
        </w:tc>
        <w:tc>
          <w:tcPr>
            <w:tcW w:w="108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8B4879" w:rsidRPr="00B75B77" w:rsidRDefault="008B4879"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Energy Realization Rate (%)</w:t>
            </w:r>
          </w:p>
        </w:tc>
        <w:tc>
          <w:tcPr>
            <w:tcW w:w="153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8B4879" w:rsidRPr="00B75B77" w:rsidRDefault="008B4879"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Verified Gross Energy Savings (MWh/</w:t>
            </w:r>
            <w:proofErr w:type="spellStart"/>
            <w:r w:rsidRPr="00B75B77">
              <w:rPr>
                <w:rFonts w:ascii="Calibri" w:eastAsia="Times New Roman" w:hAnsi="Calibri"/>
                <w:b/>
                <w:bCs/>
                <w:color w:val="FFFFFF"/>
                <w:sz w:val="18"/>
                <w:szCs w:val="18"/>
              </w:rPr>
              <w:t>yr</w:t>
            </w:r>
            <w:proofErr w:type="spellEnd"/>
            <w:r w:rsidRPr="00B75B77">
              <w:rPr>
                <w:rFonts w:ascii="Calibri" w:eastAsia="Times New Roman" w:hAnsi="Calibri"/>
                <w:b/>
                <w:bCs/>
                <w:color w:val="FFFFFF"/>
                <w:sz w:val="18"/>
                <w:szCs w:val="18"/>
              </w:rPr>
              <w:t>)</w:t>
            </w:r>
          </w:p>
        </w:tc>
        <w:tc>
          <w:tcPr>
            <w:tcW w:w="1440"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8B4879" w:rsidRPr="00B75B77" w:rsidRDefault="008B4879" w:rsidP="003E669B">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Observed </w:t>
            </w:r>
            <w:r w:rsidR="003E669B" w:rsidRPr="00B75B77">
              <w:rPr>
                <w:rFonts w:ascii="Calibri" w:eastAsia="Times New Roman" w:hAnsi="Calibri"/>
                <w:b/>
                <w:bCs/>
                <w:color w:val="FFFFFF"/>
                <w:sz w:val="18"/>
                <w:szCs w:val="18"/>
              </w:rPr>
              <w:t>CV</w:t>
            </w:r>
            <w:r w:rsidRPr="00B75B77">
              <w:rPr>
                <w:rFonts w:ascii="Calibri" w:eastAsia="Times New Roman" w:hAnsi="Calibri"/>
                <w:b/>
                <w:bCs/>
                <w:color w:val="FFFFFF"/>
                <w:sz w:val="18"/>
                <w:szCs w:val="18"/>
              </w:rPr>
              <w:t xml:space="preserve"> or Proportion in Sample Design</w:t>
            </w:r>
            <w:r w:rsidR="007224A0" w:rsidRPr="00B75B77">
              <w:rPr>
                <w:rFonts w:ascii="Calibri" w:eastAsia="Times New Roman" w:hAnsi="Calibri"/>
                <w:b/>
                <w:bCs/>
                <w:color w:val="FFFFFF"/>
                <w:sz w:val="18"/>
                <w:szCs w:val="18"/>
                <w:vertAlign w:val="superscript"/>
              </w:rPr>
              <w:t>[1]</w:t>
            </w:r>
          </w:p>
        </w:tc>
        <w:tc>
          <w:tcPr>
            <w:tcW w:w="1440"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8B4879" w:rsidRPr="00B75B77" w:rsidRDefault="008B4879" w:rsidP="001D3945">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Relative Precision at 85% </w:t>
            </w:r>
            <w:r w:rsidR="001D3945" w:rsidRPr="00B75B77">
              <w:rPr>
                <w:rFonts w:ascii="Calibri" w:eastAsia="Times New Roman" w:hAnsi="Calibri"/>
                <w:b/>
                <w:bCs/>
                <w:color w:val="FFFFFF"/>
                <w:sz w:val="18"/>
                <w:szCs w:val="18"/>
              </w:rPr>
              <w:t>Confidence Interval</w:t>
            </w:r>
          </w:p>
        </w:tc>
      </w:tr>
      <w:tr w:rsidR="008B4879" w:rsidRPr="00B75B77" w:rsidTr="001D3945">
        <w:trPr>
          <w:divId w:val="217474266"/>
          <w:trHeight w:val="288"/>
          <w:jc w:val="center"/>
        </w:trPr>
        <w:tc>
          <w:tcPr>
            <w:tcW w:w="1885" w:type="dxa"/>
            <w:vMerge/>
            <w:tcBorders>
              <w:top w:val="single" w:sz="4" w:space="0" w:color="auto"/>
              <w:left w:val="single" w:sz="4" w:space="0" w:color="auto"/>
              <w:bottom w:val="single" w:sz="4" w:space="0" w:color="auto"/>
              <w:right w:val="single" w:sz="4" w:space="0" w:color="auto"/>
            </w:tcBorders>
            <w:vAlign w:val="center"/>
            <w:hideMark/>
          </w:tcPr>
          <w:p w:rsidR="008B4879" w:rsidRPr="00B75B77" w:rsidRDefault="008B4879" w:rsidP="00751A38">
            <w:pPr>
              <w:jc w:val="left"/>
              <w:rPr>
                <w:rFonts w:ascii="Calibri" w:eastAsia="Times New Roman" w:hAnsi="Calibri"/>
                <w:b/>
                <w:bCs/>
                <w:color w:val="FFFFFF"/>
                <w:sz w:val="18"/>
                <w:szCs w:val="18"/>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rsidR="008B4879" w:rsidRPr="00B75B77" w:rsidRDefault="008B4879" w:rsidP="00751A38">
            <w:pPr>
              <w:jc w:val="left"/>
              <w:rPr>
                <w:rFonts w:ascii="Calibri" w:eastAsia="Times New Roman" w:hAnsi="Calibri"/>
                <w:b/>
                <w:bCs/>
                <w:color w:val="FFFFFF"/>
                <w:sz w:val="18"/>
                <w:szCs w:val="18"/>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8B4879" w:rsidRPr="00B75B77" w:rsidRDefault="008B4879" w:rsidP="00751A38">
            <w:pPr>
              <w:jc w:val="left"/>
              <w:rPr>
                <w:rFonts w:ascii="Calibri" w:eastAsia="Times New Roman" w:hAnsi="Calibri"/>
                <w:b/>
                <w:bCs/>
                <w:color w:val="FFFFFF"/>
                <w:sz w:val="18"/>
                <w:szCs w:val="18"/>
              </w:rPr>
            </w:pPr>
          </w:p>
        </w:tc>
        <w:tc>
          <w:tcPr>
            <w:tcW w:w="1530" w:type="dxa"/>
            <w:vMerge/>
            <w:tcBorders>
              <w:top w:val="single" w:sz="4" w:space="0" w:color="auto"/>
              <w:left w:val="single" w:sz="4" w:space="0" w:color="auto"/>
              <w:bottom w:val="single" w:sz="4" w:space="0" w:color="000000"/>
              <w:right w:val="single" w:sz="4" w:space="0" w:color="auto"/>
            </w:tcBorders>
            <w:vAlign w:val="center"/>
            <w:hideMark/>
          </w:tcPr>
          <w:p w:rsidR="008B4879" w:rsidRPr="00B75B77" w:rsidRDefault="008B4879" w:rsidP="00751A38">
            <w:pPr>
              <w:jc w:val="left"/>
              <w:rPr>
                <w:rFonts w:ascii="Calibri" w:eastAsia="Times New Roman" w:hAnsi="Calibri"/>
                <w:b/>
                <w:bCs/>
                <w:color w:val="FFFFFF"/>
                <w:sz w:val="18"/>
                <w:szCs w:val="18"/>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B4879" w:rsidRPr="00B75B77" w:rsidRDefault="008B4879" w:rsidP="00751A38">
            <w:pPr>
              <w:jc w:val="left"/>
              <w:rPr>
                <w:rFonts w:ascii="Calibri" w:eastAsia="Times New Roman" w:hAnsi="Calibri"/>
                <w:b/>
                <w:bCs/>
                <w:color w:val="FFFFFF"/>
                <w:sz w:val="18"/>
                <w:szCs w:val="18"/>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B4879" w:rsidRPr="00B75B77" w:rsidRDefault="008B4879" w:rsidP="00751A38">
            <w:pPr>
              <w:jc w:val="left"/>
              <w:rPr>
                <w:rFonts w:ascii="Calibri" w:eastAsia="Times New Roman" w:hAnsi="Calibri"/>
                <w:b/>
                <w:bCs/>
                <w:color w:val="FFFFFF"/>
                <w:sz w:val="18"/>
                <w:szCs w:val="18"/>
              </w:rPr>
            </w:pPr>
          </w:p>
        </w:tc>
      </w:tr>
      <w:tr w:rsidR="008B4879" w:rsidRPr="00B75B77" w:rsidTr="001D3945">
        <w:trPr>
          <w:divId w:val="217474266"/>
          <w:trHeight w:val="300"/>
          <w:jc w:val="center"/>
        </w:trPr>
        <w:tc>
          <w:tcPr>
            <w:tcW w:w="1885" w:type="dxa"/>
            <w:vMerge/>
            <w:tcBorders>
              <w:top w:val="single" w:sz="4" w:space="0" w:color="auto"/>
              <w:left w:val="single" w:sz="4" w:space="0" w:color="auto"/>
              <w:bottom w:val="single" w:sz="4" w:space="0" w:color="auto"/>
              <w:right w:val="single" w:sz="4" w:space="0" w:color="auto"/>
            </w:tcBorders>
            <w:vAlign w:val="center"/>
            <w:hideMark/>
          </w:tcPr>
          <w:p w:rsidR="008B4879" w:rsidRPr="00B75B77" w:rsidRDefault="008B4879" w:rsidP="00751A38">
            <w:pPr>
              <w:jc w:val="left"/>
              <w:rPr>
                <w:rFonts w:ascii="Calibri" w:eastAsia="Times New Roman" w:hAnsi="Calibri"/>
                <w:b/>
                <w:bCs/>
                <w:color w:val="FFFFFF"/>
                <w:sz w:val="18"/>
                <w:szCs w:val="18"/>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rsidR="008B4879" w:rsidRPr="00B75B77" w:rsidRDefault="008B4879" w:rsidP="00751A38">
            <w:pPr>
              <w:jc w:val="left"/>
              <w:rPr>
                <w:rFonts w:ascii="Calibri" w:eastAsia="Times New Roman" w:hAnsi="Calibri"/>
                <w:b/>
                <w:bCs/>
                <w:color w:val="FFFFFF"/>
                <w:sz w:val="18"/>
                <w:szCs w:val="18"/>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8B4879" w:rsidRPr="00B75B77" w:rsidRDefault="008B4879" w:rsidP="00751A38">
            <w:pPr>
              <w:jc w:val="left"/>
              <w:rPr>
                <w:rFonts w:ascii="Calibri" w:eastAsia="Times New Roman" w:hAnsi="Calibri"/>
                <w:b/>
                <w:bCs/>
                <w:color w:val="FFFFFF"/>
                <w:sz w:val="18"/>
                <w:szCs w:val="18"/>
              </w:rPr>
            </w:pPr>
          </w:p>
        </w:tc>
        <w:tc>
          <w:tcPr>
            <w:tcW w:w="1530" w:type="dxa"/>
            <w:vMerge/>
            <w:tcBorders>
              <w:top w:val="single" w:sz="4" w:space="0" w:color="auto"/>
              <w:left w:val="single" w:sz="4" w:space="0" w:color="auto"/>
              <w:bottom w:val="single" w:sz="4" w:space="0" w:color="000000"/>
              <w:right w:val="single" w:sz="4" w:space="0" w:color="auto"/>
            </w:tcBorders>
            <w:vAlign w:val="center"/>
            <w:hideMark/>
          </w:tcPr>
          <w:p w:rsidR="008B4879" w:rsidRPr="00B75B77" w:rsidRDefault="008B4879" w:rsidP="00751A38">
            <w:pPr>
              <w:jc w:val="left"/>
              <w:rPr>
                <w:rFonts w:ascii="Calibri" w:eastAsia="Times New Roman" w:hAnsi="Calibri"/>
                <w:b/>
                <w:bCs/>
                <w:color w:val="FFFFFF"/>
                <w:sz w:val="18"/>
                <w:szCs w:val="18"/>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B4879" w:rsidRPr="00B75B77" w:rsidRDefault="008B4879" w:rsidP="00751A38">
            <w:pPr>
              <w:jc w:val="left"/>
              <w:rPr>
                <w:rFonts w:ascii="Calibri" w:eastAsia="Times New Roman" w:hAnsi="Calibri"/>
                <w:b/>
                <w:bCs/>
                <w:color w:val="FFFFFF"/>
                <w:sz w:val="18"/>
                <w:szCs w:val="18"/>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B4879" w:rsidRPr="00B75B77" w:rsidRDefault="008B4879" w:rsidP="00751A38">
            <w:pPr>
              <w:jc w:val="left"/>
              <w:rPr>
                <w:rFonts w:ascii="Calibri" w:eastAsia="Times New Roman" w:hAnsi="Calibri"/>
                <w:b/>
                <w:bCs/>
                <w:color w:val="FFFFFF"/>
                <w:sz w:val="18"/>
                <w:szCs w:val="18"/>
              </w:rPr>
            </w:pPr>
          </w:p>
        </w:tc>
      </w:tr>
      <w:tr w:rsidR="008B4879" w:rsidRPr="00B75B77" w:rsidTr="001D3945">
        <w:trPr>
          <w:divId w:val="217474266"/>
          <w:trHeight w:val="300"/>
          <w:jc w:val="center"/>
        </w:trPr>
        <w:tc>
          <w:tcPr>
            <w:tcW w:w="1885" w:type="dxa"/>
            <w:tcBorders>
              <w:top w:val="nil"/>
              <w:left w:val="single" w:sz="4" w:space="0" w:color="448A99"/>
              <w:bottom w:val="single" w:sz="4" w:space="0" w:color="448A99"/>
              <w:right w:val="single" w:sz="4" w:space="0" w:color="448A99"/>
            </w:tcBorders>
            <w:shd w:val="clear" w:color="000000" w:fill="D2EAF1"/>
            <w:vAlign w:val="center"/>
            <w:hideMark/>
          </w:tcPr>
          <w:p w:rsidR="008B4879" w:rsidRPr="00B75B77" w:rsidRDefault="008B4879" w:rsidP="00751A38">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Refrigerator Retired</w:t>
            </w:r>
          </w:p>
        </w:tc>
        <w:tc>
          <w:tcPr>
            <w:tcW w:w="1260"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7,077</w:t>
            </w:r>
          </w:p>
        </w:tc>
        <w:tc>
          <w:tcPr>
            <w:tcW w:w="1080"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0.96</w:t>
            </w:r>
          </w:p>
        </w:tc>
        <w:tc>
          <w:tcPr>
            <w:tcW w:w="1530"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6,820</w:t>
            </w:r>
          </w:p>
        </w:tc>
        <w:tc>
          <w:tcPr>
            <w:tcW w:w="1440"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440"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8B4879" w:rsidRPr="00B75B77" w:rsidTr="001D3945">
        <w:trPr>
          <w:divId w:val="217474266"/>
          <w:trHeight w:val="300"/>
          <w:jc w:val="center"/>
        </w:trPr>
        <w:tc>
          <w:tcPr>
            <w:tcW w:w="1885" w:type="dxa"/>
            <w:tcBorders>
              <w:top w:val="nil"/>
              <w:left w:val="single" w:sz="4" w:space="0" w:color="448A99"/>
              <w:bottom w:val="single" w:sz="4" w:space="0" w:color="448A99"/>
              <w:right w:val="single" w:sz="4" w:space="0" w:color="448A99"/>
            </w:tcBorders>
            <w:shd w:val="clear" w:color="000000" w:fill="FFFFFF"/>
            <w:vAlign w:val="center"/>
            <w:hideMark/>
          </w:tcPr>
          <w:p w:rsidR="008B4879" w:rsidRPr="00B75B77" w:rsidRDefault="008B4879" w:rsidP="00751A38">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Freezer Retired</w:t>
            </w:r>
          </w:p>
        </w:tc>
        <w:tc>
          <w:tcPr>
            <w:tcW w:w="1260"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1,218</w:t>
            </w:r>
          </w:p>
        </w:tc>
        <w:tc>
          <w:tcPr>
            <w:tcW w:w="1080"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0.86</w:t>
            </w:r>
          </w:p>
        </w:tc>
        <w:tc>
          <w:tcPr>
            <w:tcW w:w="1530"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1,047</w:t>
            </w:r>
          </w:p>
        </w:tc>
        <w:tc>
          <w:tcPr>
            <w:tcW w:w="1440"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440"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8B4879" w:rsidRPr="00B75B77" w:rsidTr="001D3945">
        <w:trPr>
          <w:divId w:val="217474266"/>
          <w:trHeight w:val="300"/>
          <w:jc w:val="center"/>
        </w:trPr>
        <w:tc>
          <w:tcPr>
            <w:tcW w:w="1885" w:type="dxa"/>
            <w:tcBorders>
              <w:top w:val="nil"/>
              <w:left w:val="single" w:sz="4" w:space="0" w:color="448A99"/>
              <w:bottom w:val="single" w:sz="4" w:space="0" w:color="448A99"/>
              <w:right w:val="single" w:sz="4" w:space="0" w:color="448A99"/>
            </w:tcBorders>
            <w:shd w:val="clear" w:color="000000" w:fill="D2EAF1"/>
            <w:vAlign w:val="center"/>
            <w:hideMark/>
          </w:tcPr>
          <w:p w:rsidR="008B4879" w:rsidRPr="00B75B77" w:rsidRDefault="008B4879" w:rsidP="00751A38">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Refrigerator Replacement, Non-E</w:t>
            </w:r>
            <w:r w:rsidR="001D3945" w:rsidRPr="00B75B77">
              <w:rPr>
                <w:rFonts w:ascii="Calibri" w:eastAsia="Times New Roman" w:hAnsi="Calibri"/>
                <w:bCs/>
                <w:color w:val="000000"/>
                <w:sz w:val="18"/>
                <w:szCs w:val="18"/>
              </w:rPr>
              <w:t xml:space="preserve">NERGY </w:t>
            </w:r>
            <w:r w:rsidRPr="00B75B77">
              <w:rPr>
                <w:rFonts w:ascii="Calibri" w:eastAsia="Times New Roman" w:hAnsi="Calibri"/>
                <w:bCs/>
                <w:color w:val="000000"/>
                <w:sz w:val="18"/>
                <w:szCs w:val="18"/>
              </w:rPr>
              <w:t>S</w:t>
            </w:r>
            <w:r w:rsidR="001D3945" w:rsidRPr="00B75B77">
              <w:rPr>
                <w:rFonts w:ascii="Calibri" w:eastAsia="Times New Roman" w:hAnsi="Calibri"/>
                <w:bCs/>
                <w:color w:val="000000"/>
                <w:sz w:val="18"/>
                <w:szCs w:val="18"/>
              </w:rPr>
              <w:t>TAR</w:t>
            </w:r>
          </w:p>
        </w:tc>
        <w:tc>
          <w:tcPr>
            <w:tcW w:w="1260"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178</w:t>
            </w:r>
          </w:p>
        </w:tc>
        <w:tc>
          <w:tcPr>
            <w:tcW w:w="1080"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0.95</w:t>
            </w:r>
          </w:p>
        </w:tc>
        <w:tc>
          <w:tcPr>
            <w:tcW w:w="1530"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170</w:t>
            </w:r>
          </w:p>
        </w:tc>
        <w:tc>
          <w:tcPr>
            <w:tcW w:w="1440"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440"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8B4879" w:rsidRPr="00B75B77" w:rsidTr="001D3945">
        <w:trPr>
          <w:divId w:val="217474266"/>
          <w:trHeight w:val="300"/>
          <w:jc w:val="center"/>
        </w:trPr>
        <w:tc>
          <w:tcPr>
            <w:tcW w:w="1885" w:type="dxa"/>
            <w:tcBorders>
              <w:top w:val="nil"/>
              <w:left w:val="single" w:sz="4" w:space="0" w:color="448A99"/>
              <w:bottom w:val="single" w:sz="4" w:space="0" w:color="448A99"/>
              <w:right w:val="single" w:sz="4" w:space="0" w:color="448A99"/>
            </w:tcBorders>
            <w:shd w:val="clear" w:color="000000" w:fill="FFFFFF"/>
            <w:vAlign w:val="center"/>
            <w:hideMark/>
          </w:tcPr>
          <w:p w:rsidR="008B4879" w:rsidRPr="00B75B77" w:rsidRDefault="008B4879" w:rsidP="00751A38">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Refrigerator Replacement, E</w:t>
            </w:r>
            <w:r w:rsidR="001D3945" w:rsidRPr="00B75B77">
              <w:rPr>
                <w:rFonts w:ascii="Calibri" w:eastAsia="Times New Roman" w:hAnsi="Calibri"/>
                <w:bCs/>
                <w:color w:val="000000"/>
                <w:sz w:val="18"/>
                <w:szCs w:val="18"/>
              </w:rPr>
              <w:t xml:space="preserve">NERGY </w:t>
            </w:r>
            <w:r w:rsidRPr="00B75B77">
              <w:rPr>
                <w:rFonts w:ascii="Calibri" w:eastAsia="Times New Roman" w:hAnsi="Calibri"/>
                <w:bCs/>
                <w:color w:val="000000"/>
                <w:sz w:val="18"/>
                <w:szCs w:val="18"/>
              </w:rPr>
              <w:t>S</w:t>
            </w:r>
            <w:r w:rsidR="001D3945" w:rsidRPr="00B75B77">
              <w:rPr>
                <w:rFonts w:ascii="Calibri" w:eastAsia="Times New Roman" w:hAnsi="Calibri"/>
                <w:bCs/>
                <w:color w:val="000000"/>
                <w:sz w:val="18"/>
                <w:szCs w:val="18"/>
              </w:rPr>
              <w:t>TAR</w:t>
            </w:r>
            <w:r w:rsidRPr="00B75B77">
              <w:rPr>
                <w:rFonts w:ascii="Calibri" w:eastAsia="Times New Roman" w:hAnsi="Calibri"/>
                <w:bCs/>
                <w:color w:val="000000"/>
                <w:sz w:val="18"/>
                <w:szCs w:val="18"/>
              </w:rPr>
              <w:t xml:space="preserve"> </w:t>
            </w:r>
          </w:p>
        </w:tc>
        <w:tc>
          <w:tcPr>
            <w:tcW w:w="1260"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646</w:t>
            </w:r>
          </w:p>
        </w:tc>
        <w:tc>
          <w:tcPr>
            <w:tcW w:w="1080"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0.96</w:t>
            </w:r>
          </w:p>
        </w:tc>
        <w:tc>
          <w:tcPr>
            <w:tcW w:w="1530"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620</w:t>
            </w:r>
          </w:p>
        </w:tc>
        <w:tc>
          <w:tcPr>
            <w:tcW w:w="1440"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440"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8B4879" w:rsidRPr="00B75B77" w:rsidTr="001D3945">
        <w:trPr>
          <w:divId w:val="217474266"/>
          <w:trHeight w:val="300"/>
          <w:jc w:val="center"/>
        </w:trPr>
        <w:tc>
          <w:tcPr>
            <w:tcW w:w="1885" w:type="dxa"/>
            <w:tcBorders>
              <w:top w:val="nil"/>
              <w:left w:val="single" w:sz="4" w:space="0" w:color="448A99"/>
              <w:bottom w:val="single" w:sz="4" w:space="0" w:color="448A99"/>
              <w:right w:val="single" w:sz="4" w:space="0" w:color="448A99"/>
            </w:tcBorders>
            <w:shd w:val="clear" w:color="000000" w:fill="D2EAF1"/>
            <w:vAlign w:val="center"/>
            <w:hideMark/>
          </w:tcPr>
          <w:p w:rsidR="008B4879" w:rsidRPr="00B75B77" w:rsidRDefault="008B4879" w:rsidP="00751A38">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Freezer Replacement, Non-E</w:t>
            </w:r>
            <w:r w:rsidR="001D3945" w:rsidRPr="00B75B77">
              <w:rPr>
                <w:rFonts w:ascii="Calibri" w:eastAsia="Times New Roman" w:hAnsi="Calibri"/>
                <w:bCs/>
                <w:color w:val="000000"/>
                <w:sz w:val="18"/>
                <w:szCs w:val="18"/>
              </w:rPr>
              <w:t xml:space="preserve">NERGY </w:t>
            </w:r>
            <w:r w:rsidRPr="00B75B77">
              <w:rPr>
                <w:rFonts w:ascii="Calibri" w:eastAsia="Times New Roman" w:hAnsi="Calibri"/>
                <w:bCs/>
                <w:color w:val="000000"/>
                <w:sz w:val="18"/>
                <w:szCs w:val="18"/>
              </w:rPr>
              <w:t>S</w:t>
            </w:r>
            <w:r w:rsidR="001D3945" w:rsidRPr="00B75B77">
              <w:rPr>
                <w:rFonts w:ascii="Calibri" w:eastAsia="Times New Roman" w:hAnsi="Calibri"/>
                <w:bCs/>
                <w:color w:val="000000"/>
                <w:sz w:val="18"/>
                <w:szCs w:val="18"/>
              </w:rPr>
              <w:t>TAR</w:t>
            </w:r>
          </w:p>
        </w:tc>
        <w:tc>
          <w:tcPr>
            <w:tcW w:w="1260"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22</w:t>
            </w:r>
          </w:p>
        </w:tc>
        <w:tc>
          <w:tcPr>
            <w:tcW w:w="1080"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0.84</w:t>
            </w:r>
          </w:p>
        </w:tc>
        <w:tc>
          <w:tcPr>
            <w:tcW w:w="1530"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18</w:t>
            </w:r>
          </w:p>
        </w:tc>
        <w:tc>
          <w:tcPr>
            <w:tcW w:w="1440"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440"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8B4879" w:rsidRPr="00B75B77" w:rsidTr="001D3945">
        <w:trPr>
          <w:divId w:val="217474266"/>
          <w:trHeight w:val="300"/>
          <w:jc w:val="center"/>
        </w:trPr>
        <w:tc>
          <w:tcPr>
            <w:tcW w:w="1885" w:type="dxa"/>
            <w:tcBorders>
              <w:top w:val="nil"/>
              <w:left w:val="single" w:sz="4" w:space="0" w:color="448A99"/>
              <w:bottom w:val="single" w:sz="4" w:space="0" w:color="448A99"/>
              <w:right w:val="single" w:sz="4" w:space="0" w:color="448A99"/>
            </w:tcBorders>
            <w:shd w:val="clear" w:color="000000" w:fill="FFFFFF"/>
            <w:vAlign w:val="center"/>
            <w:hideMark/>
          </w:tcPr>
          <w:p w:rsidR="008B4879" w:rsidRPr="00B75B77" w:rsidRDefault="008B4879" w:rsidP="00751A38">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Freezer Replacement, E</w:t>
            </w:r>
            <w:r w:rsidR="001D3945" w:rsidRPr="00B75B77">
              <w:rPr>
                <w:rFonts w:ascii="Calibri" w:eastAsia="Times New Roman" w:hAnsi="Calibri"/>
                <w:bCs/>
                <w:color w:val="000000"/>
                <w:sz w:val="18"/>
                <w:szCs w:val="18"/>
              </w:rPr>
              <w:t xml:space="preserve">NERGY </w:t>
            </w:r>
            <w:r w:rsidRPr="00B75B77">
              <w:rPr>
                <w:rFonts w:ascii="Calibri" w:eastAsia="Times New Roman" w:hAnsi="Calibri"/>
                <w:bCs/>
                <w:color w:val="000000"/>
                <w:sz w:val="18"/>
                <w:szCs w:val="18"/>
              </w:rPr>
              <w:t>S</w:t>
            </w:r>
            <w:r w:rsidR="001D3945" w:rsidRPr="00B75B77">
              <w:rPr>
                <w:rFonts w:ascii="Calibri" w:eastAsia="Times New Roman" w:hAnsi="Calibri"/>
                <w:bCs/>
                <w:color w:val="000000"/>
                <w:sz w:val="18"/>
                <w:szCs w:val="18"/>
              </w:rPr>
              <w:t>TAR</w:t>
            </w:r>
            <w:r w:rsidRPr="00B75B77">
              <w:rPr>
                <w:rFonts w:ascii="Calibri" w:eastAsia="Times New Roman" w:hAnsi="Calibri"/>
                <w:bCs/>
                <w:color w:val="000000"/>
                <w:sz w:val="18"/>
                <w:szCs w:val="18"/>
              </w:rPr>
              <w:t xml:space="preserve"> </w:t>
            </w:r>
          </w:p>
        </w:tc>
        <w:tc>
          <w:tcPr>
            <w:tcW w:w="1260"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27</w:t>
            </w:r>
          </w:p>
        </w:tc>
        <w:tc>
          <w:tcPr>
            <w:tcW w:w="1080"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0.83</w:t>
            </w:r>
          </w:p>
        </w:tc>
        <w:tc>
          <w:tcPr>
            <w:tcW w:w="1530"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22</w:t>
            </w:r>
          </w:p>
        </w:tc>
        <w:tc>
          <w:tcPr>
            <w:tcW w:w="1440"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440"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8B4879" w:rsidRPr="00B75B77" w:rsidTr="001D3945">
        <w:trPr>
          <w:divId w:val="217474266"/>
          <w:trHeight w:val="300"/>
          <w:jc w:val="center"/>
        </w:trPr>
        <w:tc>
          <w:tcPr>
            <w:tcW w:w="1885" w:type="dxa"/>
            <w:tcBorders>
              <w:top w:val="nil"/>
              <w:left w:val="single" w:sz="4" w:space="0" w:color="448A99"/>
              <w:bottom w:val="single" w:sz="4" w:space="0" w:color="448A99"/>
              <w:right w:val="single" w:sz="4" w:space="0" w:color="448A99"/>
            </w:tcBorders>
            <w:shd w:val="clear" w:color="000000" w:fill="D2EAF1"/>
            <w:vAlign w:val="center"/>
            <w:hideMark/>
          </w:tcPr>
          <w:p w:rsidR="008B4879" w:rsidRPr="00B75B77" w:rsidRDefault="008B4879" w:rsidP="00751A38">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Non</w:t>
            </w:r>
            <w:r w:rsidR="00156982" w:rsidRPr="00B75B77">
              <w:rPr>
                <w:rFonts w:ascii="Calibri" w:eastAsia="Times New Roman" w:hAnsi="Calibri"/>
                <w:bCs/>
                <w:color w:val="000000"/>
                <w:sz w:val="18"/>
                <w:szCs w:val="18"/>
              </w:rPr>
              <w:t>r</w:t>
            </w:r>
            <w:r w:rsidRPr="00B75B77">
              <w:rPr>
                <w:rFonts w:ascii="Calibri" w:eastAsia="Times New Roman" w:hAnsi="Calibri"/>
                <w:bCs/>
                <w:color w:val="000000"/>
                <w:sz w:val="18"/>
                <w:szCs w:val="18"/>
              </w:rPr>
              <w:t>esidential Measures</w:t>
            </w:r>
          </w:p>
        </w:tc>
        <w:tc>
          <w:tcPr>
            <w:tcW w:w="1260"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153</w:t>
            </w:r>
          </w:p>
        </w:tc>
        <w:tc>
          <w:tcPr>
            <w:tcW w:w="1080"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0.95</w:t>
            </w:r>
          </w:p>
        </w:tc>
        <w:tc>
          <w:tcPr>
            <w:tcW w:w="1530"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145</w:t>
            </w:r>
          </w:p>
        </w:tc>
        <w:tc>
          <w:tcPr>
            <w:tcW w:w="1440"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440"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8B4879" w:rsidRPr="00B75B77" w:rsidTr="001D3945">
        <w:trPr>
          <w:divId w:val="217474266"/>
          <w:trHeight w:val="288"/>
          <w:jc w:val="center"/>
        </w:trPr>
        <w:tc>
          <w:tcPr>
            <w:tcW w:w="1885" w:type="dxa"/>
            <w:tcBorders>
              <w:top w:val="nil"/>
              <w:left w:val="single" w:sz="4" w:space="0" w:color="448A99"/>
              <w:bottom w:val="single" w:sz="4" w:space="0" w:color="448A99"/>
              <w:right w:val="single" w:sz="4" w:space="0" w:color="448A99"/>
            </w:tcBorders>
            <w:shd w:val="clear" w:color="000000" w:fill="FFFFFF"/>
            <w:vAlign w:val="center"/>
            <w:hideMark/>
          </w:tcPr>
          <w:p w:rsidR="008B4879" w:rsidRPr="00B75B77" w:rsidRDefault="001D3945" w:rsidP="00751A38">
            <w:pPr>
              <w:jc w:val="left"/>
              <w:rPr>
                <w:rFonts w:ascii="Calibri" w:eastAsia="Times New Roman" w:hAnsi="Calibri"/>
                <w:b/>
                <w:color w:val="000000"/>
                <w:sz w:val="18"/>
                <w:szCs w:val="18"/>
              </w:rPr>
            </w:pPr>
            <w:r w:rsidRPr="00B75B77">
              <w:rPr>
                <w:rFonts w:ascii="Calibri" w:eastAsia="Times New Roman" w:hAnsi="Calibri"/>
                <w:b/>
                <w:color w:val="000000"/>
                <w:sz w:val="18"/>
                <w:szCs w:val="18"/>
              </w:rPr>
              <w:t>PROGRAM TOTAL</w:t>
            </w:r>
          </w:p>
        </w:tc>
        <w:tc>
          <w:tcPr>
            <w:tcW w:w="1260"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751A38">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9,322</w:t>
            </w:r>
          </w:p>
        </w:tc>
        <w:tc>
          <w:tcPr>
            <w:tcW w:w="1080"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751A38">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0.95</w:t>
            </w:r>
          </w:p>
        </w:tc>
        <w:tc>
          <w:tcPr>
            <w:tcW w:w="1530"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751A38">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8,843</w:t>
            </w:r>
          </w:p>
        </w:tc>
        <w:tc>
          <w:tcPr>
            <w:tcW w:w="1440"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751A38">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N/A</w:t>
            </w:r>
          </w:p>
        </w:tc>
        <w:tc>
          <w:tcPr>
            <w:tcW w:w="1440"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751A38">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0%</w:t>
            </w:r>
          </w:p>
        </w:tc>
      </w:tr>
    </w:tbl>
    <w:p w:rsidR="001D3945" w:rsidRPr="00B75B77" w:rsidRDefault="001D3945" w:rsidP="001D3945">
      <w:pPr>
        <w:spacing w:before="20" w:after="20"/>
        <w:ind w:left="360"/>
        <w:rPr>
          <w:rFonts w:ascii="Arial" w:hAnsi="Arial"/>
          <w:color w:val="000000"/>
          <w:sz w:val="18"/>
          <w:szCs w:val="18"/>
        </w:rPr>
      </w:pPr>
      <w:r w:rsidRPr="00B75B77">
        <w:rPr>
          <w:color w:val="000000"/>
          <w:sz w:val="18"/>
          <w:szCs w:val="18"/>
          <w:vertAlign w:val="superscript"/>
        </w:rPr>
        <w:t>[1]</w:t>
      </w:r>
      <w:r w:rsidRPr="00B75B77">
        <w:rPr>
          <w:color w:val="000000"/>
          <w:sz w:val="18"/>
          <w:szCs w:val="18"/>
        </w:rPr>
        <w:t xml:space="preserve"> Because the verified savings of SAR units </w:t>
      </w:r>
      <w:r w:rsidR="00EF6477" w:rsidRPr="00B75B77">
        <w:rPr>
          <w:color w:val="000000"/>
          <w:sz w:val="18"/>
          <w:szCs w:val="18"/>
        </w:rPr>
        <w:t>are</w:t>
      </w:r>
      <w:r w:rsidRPr="00B75B77">
        <w:rPr>
          <w:color w:val="000000"/>
          <w:sz w:val="18"/>
          <w:szCs w:val="18"/>
        </w:rPr>
        <w:t xml:space="preserve"> based on a census of all residential units and not just a sampling of them, SAR does not need a CV or percent precision to quantify the uncertainty of a sample.</w:t>
      </w:r>
    </w:p>
    <w:p w:rsidR="001D3945" w:rsidRPr="00B75B77" w:rsidRDefault="001D3945" w:rsidP="001D3945">
      <w:pPr>
        <w:pStyle w:val="Source"/>
        <w:spacing w:before="20" w:after="20"/>
        <w:ind w:left="360" w:firstLine="0"/>
      </w:pPr>
      <w:r w:rsidRPr="00B75B77">
        <w:rPr>
          <w:rFonts w:ascii="Calibri" w:hAnsi="Calibri"/>
          <w:i w:val="0"/>
          <w:iCs/>
          <w:color w:val="000000"/>
          <w:szCs w:val="18"/>
        </w:rPr>
        <w:t>Note: Values in tables may not reconcile exactly with the sum of more detailed level results or previously reported results due to rounding.</w:t>
      </w:r>
    </w:p>
    <w:p w:rsidR="008B4879" w:rsidRPr="00B75B77" w:rsidRDefault="008B4879" w:rsidP="001D3945">
      <w:pPr>
        <w:pStyle w:val="Source"/>
        <w:ind w:hanging="360"/>
      </w:pPr>
      <w:r w:rsidRPr="00B75B77">
        <w:t>Source: Navigant analysis</w:t>
      </w:r>
    </w:p>
    <w:p w:rsidR="008B4879" w:rsidRPr="00B75B77" w:rsidRDefault="005362A5" w:rsidP="00751A38">
      <w:r w:rsidRPr="00B75B77">
        <w:fldChar w:fldCharType="begin"/>
      </w:r>
      <w:r w:rsidRPr="00B75B77">
        <w:instrText xml:space="preserve"> REF _Ref462126312 \h </w:instrText>
      </w:r>
      <w:r w:rsidR="00B75B77">
        <w:instrText xml:space="preserve"> \* MERGEFORMAT </w:instrText>
      </w:r>
      <w:r w:rsidRPr="00B75B77">
        <w:fldChar w:fldCharType="separate"/>
      </w:r>
      <w:r w:rsidR="0004016D" w:rsidRPr="00B75B77">
        <w:t xml:space="preserve">Table </w:t>
      </w:r>
      <w:r w:rsidR="0004016D">
        <w:rPr>
          <w:noProof/>
        </w:rPr>
        <w:t>4</w:t>
      </w:r>
      <w:r w:rsidR="0004016D" w:rsidRPr="00B75B77">
        <w:rPr>
          <w:noProof/>
        </w:rPr>
        <w:noBreakHyphen/>
      </w:r>
      <w:r w:rsidR="0004016D">
        <w:rPr>
          <w:noProof/>
        </w:rPr>
        <w:t>4</w:t>
      </w:r>
      <w:r w:rsidRPr="00B75B77">
        <w:fldChar w:fldCharType="end"/>
      </w:r>
      <w:r w:rsidRPr="00B75B77">
        <w:t xml:space="preserve"> </w:t>
      </w:r>
      <w:r w:rsidR="008B4879" w:rsidRPr="00B75B77">
        <w:t>presents a summary of the verified demand savings at the measure</w:t>
      </w:r>
      <w:r w:rsidR="001D3945" w:rsidRPr="00B75B77">
        <w:t xml:space="preserve"> </w:t>
      </w:r>
      <w:r w:rsidR="008B4879" w:rsidRPr="00B75B77">
        <w:t>level.</w:t>
      </w:r>
    </w:p>
    <w:p w:rsidR="008B4879" w:rsidRPr="00B75B77" w:rsidRDefault="008B4879" w:rsidP="00286B52"/>
    <w:p w:rsidR="008B4879" w:rsidRPr="00B75B77" w:rsidRDefault="008B4879" w:rsidP="005362A5">
      <w:pPr>
        <w:pStyle w:val="Caption"/>
      </w:pPr>
      <w:bookmarkStart w:id="372" w:name="_Ref462126312"/>
      <w:bookmarkStart w:id="373" w:name="_Toc466413533"/>
      <w:r w:rsidRPr="00B75B77">
        <w:lastRenderedPageBreak/>
        <w:t xml:space="preserve">Table </w:t>
      </w:r>
      <w:fldSimple w:instr=" STYLEREF 1 \s ">
        <w:r w:rsidR="0004016D">
          <w:rPr>
            <w:noProof/>
          </w:rPr>
          <w:t>4</w:t>
        </w:r>
      </w:fldSimple>
      <w:r w:rsidR="00F1144C" w:rsidRPr="00B75B77">
        <w:noBreakHyphen/>
      </w:r>
      <w:fldSimple w:instr=" SEQ Table \* ARABIC \s 1 ">
        <w:r w:rsidR="0004016D">
          <w:rPr>
            <w:noProof/>
          </w:rPr>
          <w:t>4</w:t>
        </w:r>
      </w:fldSimple>
      <w:bookmarkEnd w:id="372"/>
      <w:r w:rsidRPr="00B75B77">
        <w:t>: PY7 Smart Appliance Recycling Summary of Evaluation Results for Demand</w:t>
      </w:r>
      <w:bookmarkStart w:id="374" w:name="_Toc331591682"/>
      <w:bookmarkStart w:id="375" w:name="_Toc390682413"/>
      <w:bookmarkStart w:id="376" w:name="_Toc389747551"/>
      <w:bookmarkStart w:id="377" w:name="_Toc390947288"/>
      <w:bookmarkStart w:id="378" w:name="_Toc390175497"/>
      <w:bookmarkStart w:id="379" w:name="_Toc390943360"/>
      <w:bookmarkEnd w:id="373"/>
    </w:p>
    <w:tbl>
      <w:tblPr>
        <w:tblW w:w="8905" w:type="dxa"/>
        <w:jc w:val="center"/>
        <w:tblLayout w:type="fixed"/>
        <w:tblLook w:val="04A0" w:firstRow="1" w:lastRow="0" w:firstColumn="1" w:lastColumn="0" w:noHBand="0" w:noVBand="1"/>
      </w:tblPr>
      <w:tblGrid>
        <w:gridCol w:w="1885"/>
        <w:gridCol w:w="1097"/>
        <w:gridCol w:w="1046"/>
        <w:gridCol w:w="1881"/>
        <w:gridCol w:w="1497"/>
        <w:gridCol w:w="1499"/>
      </w:tblGrid>
      <w:tr w:rsidR="008B4879" w:rsidRPr="00B75B77" w:rsidTr="001D3945">
        <w:trPr>
          <w:divId w:val="592132442"/>
          <w:trHeight w:val="588"/>
          <w:jc w:val="center"/>
        </w:trPr>
        <w:tc>
          <w:tcPr>
            <w:tcW w:w="1885"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8B4879" w:rsidRPr="00B75B77" w:rsidRDefault="008B4879" w:rsidP="005362A5">
            <w:pPr>
              <w:keepNext/>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Stratum</w:t>
            </w:r>
          </w:p>
        </w:tc>
        <w:tc>
          <w:tcPr>
            <w:tcW w:w="1097"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8B4879" w:rsidRPr="00B75B77" w:rsidRDefault="008B4879" w:rsidP="005362A5">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Reported Gross Demand Savings </w:t>
            </w:r>
            <w:r w:rsidRPr="00B75B77">
              <w:rPr>
                <w:rFonts w:ascii="Calibri" w:eastAsia="Times New Roman" w:hAnsi="Calibri"/>
                <w:b/>
                <w:bCs/>
                <w:color w:val="FFFFFF"/>
                <w:sz w:val="18"/>
                <w:szCs w:val="18"/>
              </w:rPr>
              <w:br/>
              <w:t>(MW)</w:t>
            </w:r>
            <w:r w:rsidRPr="00B75B77">
              <w:rPr>
                <w:rFonts w:ascii="Calibri" w:eastAsia="Times New Roman" w:hAnsi="Calibri"/>
                <w:b/>
                <w:bCs/>
                <w:color w:val="FFFFFF"/>
                <w:sz w:val="18"/>
                <w:szCs w:val="18"/>
                <w:vertAlign w:val="superscript"/>
              </w:rPr>
              <w:t>[1]</w:t>
            </w:r>
          </w:p>
        </w:tc>
        <w:tc>
          <w:tcPr>
            <w:tcW w:w="1046"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8B4879" w:rsidRPr="00B75B77" w:rsidRDefault="008B4879" w:rsidP="005362A5">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Demand Realization Rate (%)</w:t>
            </w:r>
          </w:p>
        </w:tc>
        <w:tc>
          <w:tcPr>
            <w:tcW w:w="1881"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8B4879" w:rsidRPr="00B75B77" w:rsidRDefault="008B4879" w:rsidP="005362A5">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Verified Gross Demand Savings (MW)</w:t>
            </w:r>
            <w:r w:rsidRPr="00B75B77">
              <w:rPr>
                <w:rFonts w:ascii="Calibri" w:eastAsia="Times New Roman" w:hAnsi="Calibri"/>
                <w:b/>
                <w:bCs/>
                <w:color w:val="FFFFFF"/>
                <w:sz w:val="18"/>
                <w:szCs w:val="18"/>
                <w:vertAlign w:val="superscript"/>
              </w:rPr>
              <w:t>[1]</w:t>
            </w:r>
          </w:p>
        </w:tc>
        <w:tc>
          <w:tcPr>
            <w:tcW w:w="1497"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8B4879" w:rsidRPr="00B75B77" w:rsidRDefault="008B4879" w:rsidP="001D3945">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Observed </w:t>
            </w:r>
            <w:r w:rsidR="001D3945" w:rsidRPr="00B75B77">
              <w:rPr>
                <w:rFonts w:ascii="Calibri" w:eastAsia="Times New Roman" w:hAnsi="Calibri"/>
                <w:b/>
                <w:bCs/>
                <w:color w:val="FFFFFF"/>
                <w:sz w:val="18"/>
                <w:szCs w:val="18"/>
              </w:rPr>
              <w:t>CV</w:t>
            </w:r>
            <w:r w:rsidRPr="00B75B77">
              <w:rPr>
                <w:rFonts w:ascii="Calibri" w:eastAsia="Times New Roman" w:hAnsi="Calibri"/>
                <w:b/>
                <w:bCs/>
                <w:color w:val="FFFFFF"/>
                <w:sz w:val="18"/>
                <w:szCs w:val="18"/>
              </w:rPr>
              <w:t xml:space="preserve"> or Proportion in Sample Design</w:t>
            </w:r>
            <w:r w:rsidR="007224A0" w:rsidRPr="00B75B77">
              <w:rPr>
                <w:rFonts w:ascii="Calibri" w:eastAsia="Times New Roman" w:hAnsi="Calibri"/>
                <w:b/>
                <w:bCs/>
                <w:color w:val="FFFFFF"/>
                <w:sz w:val="18"/>
                <w:szCs w:val="18"/>
                <w:vertAlign w:val="superscript"/>
              </w:rPr>
              <w:t>[2]</w:t>
            </w:r>
          </w:p>
        </w:tc>
        <w:tc>
          <w:tcPr>
            <w:tcW w:w="1499"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8B4879" w:rsidRPr="00B75B77" w:rsidRDefault="008B4879" w:rsidP="001D3945">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Relative Precision at 85% </w:t>
            </w:r>
            <w:r w:rsidR="001D3945" w:rsidRPr="00B75B77">
              <w:rPr>
                <w:rFonts w:ascii="Calibri" w:eastAsia="Times New Roman" w:hAnsi="Calibri"/>
                <w:b/>
                <w:bCs/>
                <w:color w:val="FFFFFF"/>
                <w:sz w:val="18"/>
                <w:szCs w:val="18"/>
              </w:rPr>
              <w:t>Confidence Interval</w:t>
            </w:r>
          </w:p>
        </w:tc>
      </w:tr>
      <w:tr w:rsidR="008B4879" w:rsidRPr="00B75B77" w:rsidTr="001D3945">
        <w:trPr>
          <w:divId w:val="592132442"/>
          <w:trHeight w:val="288"/>
          <w:jc w:val="center"/>
        </w:trPr>
        <w:tc>
          <w:tcPr>
            <w:tcW w:w="1885" w:type="dxa"/>
            <w:vMerge/>
            <w:tcBorders>
              <w:top w:val="single" w:sz="4" w:space="0" w:color="auto"/>
              <w:left w:val="single" w:sz="4" w:space="0" w:color="auto"/>
              <w:bottom w:val="single" w:sz="4" w:space="0" w:color="auto"/>
              <w:right w:val="single" w:sz="4" w:space="0" w:color="auto"/>
            </w:tcBorders>
            <w:vAlign w:val="center"/>
            <w:hideMark/>
          </w:tcPr>
          <w:p w:rsidR="008B4879" w:rsidRPr="00B75B77" w:rsidRDefault="008B4879" w:rsidP="005362A5">
            <w:pPr>
              <w:keepNext/>
              <w:jc w:val="left"/>
              <w:rPr>
                <w:rFonts w:ascii="Calibri" w:eastAsia="Times New Roman" w:hAnsi="Calibri"/>
                <w:b/>
                <w:bCs/>
                <w:color w:val="FFFFFF"/>
                <w:sz w:val="18"/>
                <w:szCs w:val="18"/>
              </w:rPr>
            </w:pPr>
          </w:p>
        </w:tc>
        <w:tc>
          <w:tcPr>
            <w:tcW w:w="1097" w:type="dxa"/>
            <w:vMerge/>
            <w:tcBorders>
              <w:top w:val="single" w:sz="4" w:space="0" w:color="auto"/>
              <w:left w:val="single" w:sz="4" w:space="0" w:color="auto"/>
              <w:bottom w:val="single" w:sz="4" w:space="0" w:color="auto"/>
              <w:right w:val="single" w:sz="4" w:space="0" w:color="auto"/>
            </w:tcBorders>
            <w:vAlign w:val="center"/>
            <w:hideMark/>
          </w:tcPr>
          <w:p w:rsidR="008B4879" w:rsidRPr="00B75B77" w:rsidRDefault="008B4879" w:rsidP="005362A5">
            <w:pPr>
              <w:keepNext/>
              <w:jc w:val="left"/>
              <w:rPr>
                <w:rFonts w:ascii="Calibri" w:eastAsia="Times New Roman" w:hAnsi="Calibri"/>
                <w:b/>
                <w:bCs/>
                <w:color w:val="FFFFFF"/>
                <w:sz w:val="18"/>
                <w:szCs w:val="18"/>
              </w:rPr>
            </w:pPr>
          </w:p>
        </w:tc>
        <w:tc>
          <w:tcPr>
            <w:tcW w:w="1046" w:type="dxa"/>
            <w:vMerge/>
            <w:tcBorders>
              <w:top w:val="single" w:sz="4" w:space="0" w:color="auto"/>
              <w:left w:val="single" w:sz="4" w:space="0" w:color="auto"/>
              <w:bottom w:val="single" w:sz="4" w:space="0" w:color="auto"/>
              <w:right w:val="single" w:sz="4" w:space="0" w:color="auto"/>
            </w:tcBorders>
            <w:vAlign w:val="center"/>
            <w:hideMark/>
          </w:tcPr>
          <w:p w:rsidR="008B4879" w:rsidRPr="00B75B77" w:rsidRDefault="008B4879" w:rsidP="005362A5">
            <w:pPr>
              <w:keepNext/>
              <w:jc w:val="left"/>
              <w:rPr>
                <w:rFonts w:ascii="Calibri" w:eastAsia="Times New Roman" w:hAnsi="Calibri"/>
                <w:b/>
                <w:bCs/>
                <w:color w:val="FFFFFF"/>
                <w:sz w:val="18"/>
                <w:szCs w:val="18"/>
              </w:rPr>
            </w:pPr>
          </w:p>
        </w:tc>
        <w:tc>
          <w:tcPr>
            <w:tcW w:w="1881" w:type="dxa"/>
            <w:vMerge/>
            <w:tcBorders>
              <w:top w:val="single" w:sz="4" w:space="0" w:color="auto"/>
              <w:left w:val="single" w:sz="4" w:space="0" w:color="auto"/>
              <w:bottom w:val="single" w:sz="4" w:space="0" w:color="auto"/>
              <w:right w:val="single" w:sz="4" w:space="0" w:color="auto"/>
            </w:tcBorders>
            <w:vAlign w:val="center"/>
            <w:hideMark/>
          </w:tcPr>
          <w:p w:rsidR="008B4879" w:rsidRPr="00B75B77" w:rsidRDefault="008B4879" w:rsidP="005362A5">
            <w:pPr>
              <w:keepNext/>
              <w:jc w:val="left"/>
              <w:rPr>
                <w:rFonts w:ascii="Calibri" w:eastAsia="Times New Roman" w:hAnsi="Calibri"/>
                <w:b/>
                <w:bCs/>
                <w:color w:val="FFFFFF"/>
                <w:sz w:val="18"/>
                <w:szCs w:val="18"/>
              </w:rPr>
            </w:pPr>
          </w:p>
        </w:tc>
        <w:tc>
          <w:tcPr>
            <w:tcW w:w="1497" w:type="dxa"/>
            <w:vMerge/>
            <w:tcBorders>
              <w:top w:val="single" w:sz="4" w:space="0" w:color="auto"/>
              <w:left w:val="single" w:sz="4" w:space="0" w:color="auto"/>
              <w:bottom w:val="single" w:sz="4" w:space="0" w:color="auto"/>
              <w:right w:val="single" w:sz="4" w:space="0" w:color="auto"/>
            </w:tcBorders>
            <w:vAlign w:val="center"/>
            <w:hideMark/>
          </w:tcPr>
          <w:p w:rsidR="008B4879" w:rsidRPr="00B75B77" w:rsidRDefault="008B4879" w:rsidP="005362A5">
            <w:pPr>
              <w:keepNext/>
              <w:jc w:val="left"/>
              <w:rPr>
                <w:rFonts w:ascii="Calibri" w:eastAsia="Times New Roman" w:hAnsi="Calibri"/>
                <w:b/>
                <w:bCs/>
                <w:color w:val="FFFFFF"/>
                <w:sz w:val="18"/>
                <w:szCs w:val="18"/>
              </w:rPr>
            </w:pPr>
          </w:p>
        </w:tc>
        <w:tc>
          <w:tcPr>
            <w:tcW w:w="1499" w:type="dxa"/>
            <w:vMerge/>
            <w:tcBorders>
              <w:top w:val="single" w:sz="4" w:space="0" w:color="auto"/>
              <w:left w:val="single" w:sz="4" w:space="0" w:color="auto"/>
              <w:bottom w:val="single" w:sz="4" w:space="0" w:color="auto"/>
              <w:right w:val="single" w:sz="4" w:space="0" w:color="auto"/>
            </w:tcBorders>
            <w:vAlign w:val="center"/>
            <w:hideMark/>
          </w:tcPr>
          <w:p w:rsidR="008B4879" w:rsidRPr="00B75B77" w:rsidRDefault="008B4879" w:rsidP="005362A5">
            <w:pPr>
              <w:keepNext/>
              <w:jc w:val="left"/>
              <w:rPr>
                <w:rFonts w:ascii="Calibri" w:eastAsia="Times New Roman" w:hAnsi="Calibri"/>
                <w:b/>
                <w:bCs/>
                <w:color w:val="FFFFFF"/>
                <w:sz w:val="18"/>
                <w:szCs w:val="18"/>
              </w:rPr>
            </w:pPr>
          </w:p>
        </w:tc>
      </w:tr>
      <w:tr w:rsidR="008B4879" w:rsidRPr="00B75B77" w:rsidTr="001D3945">
        <w:trPr>
          <w:divId w:val="592132442"/>
          <w:trHeight w:val="300"/>
          <w:jc w:val="center"/>
        </w:trPr>
        <w:tc>
          <w:tcPr>
            <w:tcW w:w="1885" w:type="dxa"/>
            <w:vMerge/>
            <w:tcBorders>
              <w:top w:val="single" w:sz="4" w:space="0" w:color="auto"/>
              <w:left w:val="single" w:sz="4" w:space="0" w:color="auto"/>
              <w:bottom w:val="single" w:sz="4" w:space="0" w:color="auto"/>
              <w:right w:val="single" w:sz="4" w:space="0" w:color="auto"/>
            </w:tcBorders>
            <w:vAlign w:val="center"/>
            <w:hideMark/>
          </w:tcPr>
          <w:p w:rsidR="008B4879" w:rsidRPr="00B75B77" w:rsidRDefault="008B4879" w:rsidP="005362A5">
            <w:pPr>
              <w:keepNext/>
              <w:jc w:val="left"/>
              <w:rPr>
                <w:rFonts w:ascii="Calibri" w:eastAsia="Times New Roman" w:hAnsi="Calibri"/>
                <w:b/>
                <w:bCs/>
                <w:color w:val="FFFFFF"/>
                <w:sz w:val="18"/>
                <w:szCs w:val="18"/>
              </w:rPr>
            </w:pPr>
          </w:p>
        </w:tc>
        <w:tc>
          <w:tcPr>
            <w:tcW w:w="1097" w:type="dxa"/>
            <w:vMerge/>
            <w:tcBorders>
              <w:top w:val="single" w:sz="4" w:space="0" w:color="auto"/>
              <w:left w:val="single" w:sz="4" w:space="0" w:color="auto"/>
              <w:bottom w:val="single" w:sz="4" w:space="0" w:color="auto"/>
              <w:right w:val="single" w:sz="4" w:space="0" w:color="auto"/>
            </w:tcBorders>
            <w:vAlign w:val="center"/>
            <w:hideMark/>
          </w:tcPr>
          <w:p w:rsidR="008B4879" w:rsidRPr="00B75B77" w:rsidRDefault="008B4879" w:rsidP="005362A5">
            <w:pPr>
              <w:keepNext/>
              <w:jc w:val="left"/>
              <w:rPr>
                <w:rFonts w:ascii="Calibri" w:eastAsia="Times New Roman" w:hAnsi="Calibri"/>
                <w:b/>
                <w:bCs/>
                <w:color w:val="FFFFFF"/>
                <w:sz w:val="18"/>
                <w:szCs w:val="18"/>
              </w:rPr>
            </w:pPr>
          </w:p>
        </w:tc>
        <w:tc>
          <w:tcPr>
            <w:tcW w:w="1046" w:type="dxa"/>
            <w:vMerge/>
            <w:tcBorders>
              <w:top w:val="single" w:sz="4" w:space="0" w:color="auto"/>
              <w:left w:val="single" w:sz="4" w:space="0" w:color="auto"/>
              <w:bottom w:val="single" w:sz="4" w:space="0" w:color="auto"/>
              <w:right w:val="single" w:sz="4" w:space="0" w:color="auto"/>
            </w:tcBorders>
            <w:vAlign w:val="center"/>
            <w:hideMark/>
          </w:tcPr>
          <w:p w:rsidR="008B4879" w:rsidRPr="00B75B77" w:rsidRDefault="008B4879" w:rsidP="005362A5">
            <w:pPr>
              <w:keepNext/>
              <w:jc w:val="left"/>
              <w:rPr>
                <w:rFonts w:ascii="Calibri" w:eastAsia="Times New Roman" w:hAnsi="Calibri"/>
                <w:b/>
                <w:bCs/>
                <w:color w:val="FFFFFF"/>
                <w:sz w:val="18"/>
                <w:szCs w:val="18"/>
              </w:rPr>
            </w:pPr>
          </w:p>
        </w:tc>
        <w:tc>
          <w:tcPr>
            <w:tcW w:w="1881" w:type="dxa"/>
            <w:vMerge/>
            <w:tcBorders>
              <w:top w:val="single" w:sz="4" w:space="0" w:color="auto"/>
              <w:left w:val="single" w:sz="4" w:space="0" w:color="auto"/>
              <w:bottom w:val="single" w:sz="4" w:space="0" w:color="auto"/>
              <w:right w:val="single" w:sz="4" w:space="0" w:color="auto"/>
            </w:tcBorders>
            <w:vAlign w:val="center"/>
            <w:hideMark/>
          </w:tcPr>
          <w:p w:rsidR="008B4879" w:rsidRPr="00B75B77" w:rsidRDefault="008B4879" w:rsidP="005362A5">
            <w:pPr>
              <w:keepNext/>
              <w:jc w:val="left"/>
              <w:rPr>
                <w:rFonts w:ascii="Calibri" w:eastAsia="Times New Roman" w:hAnsi="Calibri"/>
                <w:b/>
                <w:bCs/>
                <w:color w:val="FFFFFF"/>
                <w:sz w:val="18"/>
                <w:szCs w:val="18"/>
              </w:rPr>
            </w:pPr>
          </w:p>
        </w:tc>
        <w:tc>
          <w:tcPr>
            <w:tcW w:w="1497" w:type="dxa"/>
            <w:vMerge/>
            <w:tcBorders>
              <w:top w:val="single" w:sz="4" w:space="0" w:color="auto"/>
              <w:left w:val="single" w:sz="4" w:space="0" w:color="auto"/>
              <w:bottom w:val="single" w:sz="4" w:space="0" w:color="auto"/>
              <w:right w:val="single" w:sz="4" w:space="0" w:color="auto"/>
            </w:tcBorders>
            <w:vAlign w:val="center"/>
            <w:hideMark/>
          </w:tcPr>
          <w:p w:rsidR="008B4879" w:rsidRPr="00B75B77" w:rsidRDefault="008B4879" w:rsidP="005362A5">
            <w:pPr>
              <w:keepNext/>
              <w:jc w:val="left"/>
              <w:rPr>
                <w:rFonts w:ascii="Calibri" w:eastAsia="Times New Roman" w:hAnsi="Calibri"/>
                <w:b/>
                <w:bCs/>
                <w:color w:val="FFFFFF"/>
                <w:sz w:val="18"/>
                <w:szCs w:val="18"/>
              </w:rPr>
            </w:pPr>
          </w:p>
        </w:tc>
        <w:tc>
          <w:tcPr>
            <w:tcW w:w="1499" w:type="dxa"/>
            <w:vMerge/>
            <w:tcBorders>
              <w:top w:val="single" w:sz="4" w:space="0" w:color="auto"/>
              <w:left w:val="single" w:sz="4" w:space="0" w:color="auto"/>
              <w:bottom w:val="single" w:sz="4" w:space="0" w:color="auto"/>
              <w:right w:val="single" w:sz="4" w:space="0" w:color="auto"/>
            </w:tcBorders>
            <w:vAlign w:val="center"/>
            <w:hideMark/>
          </w:tcPr>
          <w:p w:rsidR="008B4879" w:rsidRPr="00B75B77" w:rsidRDefault="008B4879" w:rsidP="005362A5">
            <w:pPr>
              <w:keepNext/>
              <w:jc w:val="left"/>
              <w:rPr>
                <w:rFonts w:ascii="Calibri" w:eastAsia="Times New Roman" w:hAnsi="Calibri"/>
                <w:b/>
                <w:bCs/>
                <w:color w:val="FFFFFF"/>
                <w:sz w:val="18"/>
                <w:szCs w:val="18"/>
              </w:rPr>
            </w:pPr>
          </w:p>
        </w:tc>
      </w:tr>
      <w:tr w:rsidR="008B4879" w:rsidRPr="00B75B77" w:rsidTr="001D3945">
        <w:trPr>
          <w:divId w:val="592132442"/>
          <w:trHeight w:val="300"/>
          <w:jc w:val="center"/>
        </w:trPr>
        <w:tc>
          <w:tcPr>
            <w:tcW w:w="1885" w:type="dxa"/>
            <w:tcBorders>
              <w:top w:val="nil"/>
              <w:left w:val="single" w:sz="4" w:space="0" w:color="448A99"/>
              <w:bottom w:val="single" w:sz="4" w:space="0" w:color="448A99"/>
              <w:right w:val="single" w:sz="4" w:space="0" w:color="448A99"/>
            </w:tcBorders>
            <w:shd w:val="clear" w:color="000000" w:fill="D2EAF1"/>
            <w:vAlign w:val="center"/>
            <w:hideMark/>
          </w:tcPr>
          <w:p w:rsidR="008B4879" w:rsidRPr="00B75B77" w:rsidRDefault="008B4879" w:rsidP="005362A5">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Refrigerator Retired</w:t>
            </w:r>
          </w:p>
        </w:tc>
        <w:tc>
          <w:tcPr>
            <w:tcW w:w="1097"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5362A5">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1.0</w:t>
            </w:r>
          </w:p>
        </w:tc>
        <w:tc>
          <w:tcPr>
            <w:tcW w:w="1046"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5362A5">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0.96</w:t>
            </w:r>
          </w:p>
        </w:tc>
        <w:tc>
          <w:tcPr>
            <w:tcW w:w="1881"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5362A5">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0.9</w:t>
            </w:r>
          </w:p>
        </w:tc>
        <w:tc>
          <w:tcPr>
            <w:tcW w:w="1497"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5362A5">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499"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5362A5">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8B4879" w:rsidRPr="00B75B77" w:rsidTr="001D3945">
        <w:trPr>
          <w:divId w:val="592132442"/>
          <w:trHeight w:val="300"/>
          <w:jc w:val="center"/>
        </w:trPr>
        <w:tc>
          <w:tcPr>
            <w:tcW w:w="1885" w:type="dxa"/>
            <w:tcBorders>
              <w:top w:val="nil"/>
              <w:left w:val="single" w:sz="4" w:space="0" w:color="448A99"/>
              <w:bottom w:val="single" w:sz="4" w:space="0" w:color="448A99"/>
              <w:right w:val="single" w:sz="4" w:space="0" w:color="448A99"/>
            </w:tcBorders>
            <w:shd w:val="clear" w:color="000000" w:fill="FFFFFF"/>
            <w:vAlign w:val="center"/>
            <w:hideMark/>
          </w:tcPr>
          <w:p w:rsidR="008B4879" w:rsidRPr="00B75B77" w:rsidRDefault="008B4879" w:rsidP="005362A5">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Freezer Retired</w:t>
            </w:r>
          </w:p>
        </w:tc>
        <w:tc>
          <w:tcPr>
            <w:tcW w:w="1097"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5362A5">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0.2</w:t>
            </w:r>
          </w:p>
        </w:tc>
        <w:tc>
          <w:tcPr>
            <w:tcW w:w="1046"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5362A5">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0.86</w:t>
            </w:r>
          </w:p>
        </w:tc>
        <w:tc>
          <w:tcPr>
            <w:tcW w:w="1881"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5362A5">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0.1</w:t>
            </w:r>
          </w:p>
        </w:tc>
        <w:tc>
          <w:tcPr>
            <w:tcW w:w="1497"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5362A5">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499"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5362A5">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8B4879" w:rsidRPr="00B75B77" w:rsidTr="001D3945">
        <w:trPr>
          <w:divId w:val="592132442"/>
          <w:trHeight w:val="300"/>
          <w:jc w:val="center"/>
        </w:trPr>
        <w:tc>
          <w:tcPr>
            <w:tcW w:w="1885" w:type="dxa"/>
            <w:tcBorders>
              <w:top w:val="nil"/>
              <w:left w:val="single" w:sz="4" w:space="0" w:color="448A99"/>
              <w:bottom w:val="single" w:sz="4" w:space="0" w:color="448A99"/>
              <w:right w:val="single" w:sz="4" w:space="0" w:color="448A99"/>
            </w:tcBorders>
            <w:shd w:val="clear" w:color="000000" w:fill="D2EAF1"/>
            <w:vAlign w:val="center"/>
            <w:hideMark/>
          </w:tcPr>
          <w:p w:rsidR="008B4879" w:rsidRPr="00B75B77" w:rsidRDefault="008B4879" w:rsidP="005362A5">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Refrigerator Replacement, Non-E</w:t>
            </w:r>
            <w:r w:rsidR="001D3945" w:rsidRPr="00B75B77">
              <w:rPr>
                <w:rFonts w:ascii="Calibri" w:eastAsia="Times New Roman" w:hAnsi="Calibri"/>
                <w:bCs/>
                <w:color w:val="000000"/>
                <w:sz w:val="18"/>
                <w:szCs w:val="18"/>
              </w:rPr>
              <w:t xml:space="preserve">NERGY </w:t>
            </w:r>
            <w:r w:rsidRPr="00B75B77">
              <w:rPr>
                <w:rFonts w:ascii="Calibri" w:eastAsia="Times New Roman" w:hAnsi="Calibri"/>
                <w:bCs/>
                <w:color w:val="000000"/>
                <w:sz w:val="18"/>
                <w:szCs w:val="18"/>
              </w:rPr>
              <w:t>S</w:t>
            </w:r>
            <w:r w:rsidR="001D3945" w:rsidRPr="00B75B77">
              <w:rPr>
                <w:rFonts w:ascii="Calibri" w:eastAsia="Times New Roman" w:hAnsi="Calibri"/>
                <w:bCs/>
                <w:color w:val="000000"/>
                <w:sz w:val="18"/>
                <w:szCs w:val="18"/>
              </w:rPr>
              <w:t>TAR</w:t>
            </w:r>
          </w:p>
        </w:tc>
        <w:tc>
          <w:tcPr>
            <w:tcW w:w="1097"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5362A5">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046"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5362A5">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0.95</w:t>
            </w:r>
          </w:p>
        </w:tc>
        <w:tc>
          <w:tcPr>
            <w:tcW w:w="1881"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5362A5">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497"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5362A5">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499"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5362A5">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8B4879" w:rsidRPr="00B75B77" w:rsidTr="001D3945">
        <w:trPr>
          <w:divId w:val="592132442"/>
          <w:trHeight w:val="300"/>
          <w:jc w:val="center"/>
        </w:trPr>
        <w:tc>
          <w:tcPr>
            <w:tcW w:w="1885" w:type="dxa"/>
            <w:tcBorders>
              <w:top w:val="nil"/>
              <w:left w:val="single" w:sz="4" w:space="0" w:color="448A99"/>
              <w:bottom w:val="single" w:sz="4" w:space="0" w:color="448A99"/>
              <w:right w:val="single" w:sz="4" w:space="0" w:color="448A99"/>
            </w:tcBorders>
            <w:shd w:val="clear" w:color="000000" w:fill="FFFFFF"/>
            <w:vAlign w:val="center"/>
            <w:hideMark/>
          </w:tcPr>
          <w:p w:rsidR="008B4879" w:rsidRPr="00B75B77" w:rsidRDefault="008B4879" w:rsidP="005362A5">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Refrigerator Replacement, E</w:t>
            </w:r>
            <w:r w:rsidR="001D3945" w:rsidRPr="00B75B77">
              <w:rPr>
                <w:rFonts w:ascii="Calibri" w:eastAsia="Times New Roman" w:hAnsi="Calibri"/>
                <w:bCs/>
                <w:color w:val="000000"/>
                <w:sz w:val="18"/>
                <w:szCs w:val="18"/>
              </w:rPr>
              <w:t xml:space="preserve">NERGY </w:t>
            </w:r>
            <w:r w:rsidRPr="00B75B77">
              <w:rPr>
                <w:rFonts w:ascii="Calibri" w:eastAsia="Times New Roman" w:hAnsi="Calibri"/>
                <w:bCs/>
                <w:color w:val="000000"/>
                <w:sz w:val="18"/>
                <w:szCs w:val="18"/>
              </w:rPr>
              <w:t>S</w:t>
            </w:r>
            <w:r w:rsidR="001D3945" w:rsidRPr="00B75B77">
              <w:rPr>
                <w:rFonts w:ascii="Calibri" w:eastAsia="Times New Roman" w:hAnsi="Calibri"/>
                <w:bCs/>
                <w:color w:val="000000"/>
                <w:sz w:val="18"/>
                <w:szCs w:val="18"/>
              </w:rPr>
              <w:t>TAR</w:t>
            </w:r>
            <w:r w:rsidRPr="00B75B77">
              <w:rPr>
                <w:rFonts w:ascii="Calibri" w:eastAsia="Times New Roman" w:hAnsi="Calibri"/>
                <w:bCs/>
                <w:color w:val="000000"/>
                <w:sz w:val="18"/>
                <w:szCs w:val="18"/>
              </w:rPr>
              <w:t xml:space="preserve"> </w:t>
            </w:r>
          </w:p>
        </w:tc>
        <w:tc>
          <w:tcPr>
            <w:tcW w:w="1097"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5362A5">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0.1</w:t>
            </w:r>
          </w:p>
        </w:tc>
        <w:tc>
          <w:tcPr>
            <w:tcW w:w="1046"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5362A5">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0.96</w:t>
            </w:r>
          </w:p>
        </w:tc>
        <w:tc>
          <w:tcPr>
            <w:tcW w:w="1881"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5362A5">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0.1</w:t>
            </w:r>
          </w:p>
        </w:tc>
        <w:tc>
          <w:tcPr>
            <w:tcW w:w="1497"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5362A5">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499"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5362A5">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8B4879" w:rsidRPr="00B75B77" w:rsidTr="001D3945">
        <w:trPr>
          <w:divId w:val="592132442"/>
          <w:trHeight w:val="300"/>
          <w:jc w:val="center"/>
        </w:trPr>
        <w:tc>
          <w:tcPr>
            <w:tcW w:w="1885" w:type="dxa"/>
            <w:tcBorders>
              <w:top w:val="nil"/>
              <w:left w:val="single" w:sz="4" w:space="0" w:color="448A99"/>
              <w:bottom w:val="single" w:sz="4" w:space="0" w:color="448A99"/>
              <w:right w:val="single" w:sz="4" w:space="0" w:color="448A99"/>
            </w:tcBorders>
            <w:shd w:val="clear" w:color="000000" w:fill="D2EAF1"/>
            <w:vAlign w:val="center"/>
            <w:hideMark/>
          </w:tcPr>
          <w:p w:rsidR="008B4879" w:rsidRPr="00B75B77" w:rsidRDefault="008B4879" w:rsidP="005362A5">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Freezer Replacement, Non-E</w:t>
            </w:r>
            <w:r w:rsidR="001D3945" w:rsidRPr="00B75B77">
              <w:rPr>
                <w:rFonts w:ascii="Calibri" w:eastAsia="Times New Roman" w:hAnsi="Calibri"/>
                <w:bCs/>
                <w:color w:val="000000"/>
                <w:sz w:val="18"/>
                <w:szCs w:val="18"/>
              </w:rPr>
              <w:t xml:space="preserve">NERGY </w:t>
            </w:r>
            <w:r w:rsidRPr="00B75B77">
              <w:rPr>
                <w:rFonts w:ascii="Calibri" w:eastAsia="Times New Roman" w:hAnsi="Calibri"/>
                <w:bCs/>
                <w:color w:val="000000"/>
                <w:sz w:val="18"/>
                <w:szCs w:val="18"/>
              </w:rPr>
              <w:t>S</w:t>
            </w:r>
            <w:r w:rsidR="001D3945" w:rsidRPr="00B75B77">
              <w:rPr>
                <w:rFonts w:ascii="Calibri" w:eastAsia="Times New Roman" w:hAnsi="Calibri"/>
                <w:bCs/>
                <w:color w:val="000000"/>
                <w:sz w:val="18"/>
                <w:szCs w:val="18"/>
              </w:rPr>
              <w:t>TAR</w:t>
            </w:r>
          </w:p>
        </w:tc>
        <w:tc>
          <w:tcPr>
            <w:tcW w:w="1097"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5362A5">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046"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5362A5">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0.84</w:t>
            </w:r>
          </w:p>
        </w:tc>
        <w:tc>
          <w:tcPr>
            <w:tcW w:w="1881"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5362A5">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497"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5362A5">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499"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5362A5">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8B4879" w:rsidRPr="00B75B77" w:rsidTr="001D3945">
        <w:trPr>
          <w:divId w:val="592132442"/>
          <w:trHeight w:val="300"/>
          <w:jc w:val="center"/>
        </w:trPr>
        <w:tc>
          <w:tcPr>
            <w:tcW w:w="1885" w:type="dxa"/>
            <w:tcBorders>
              <w:top w:val="nil"/>
              <w:left w:val="single" w:sz="4" w:space="0" w:color="448A99"/>
              <w:bottom w:val="single" w:sz="4" w:space="0" w:color="448A99"/>
              <w:right w:val="single" w:sz="4" w:space="0" w:color="448A99"/>
            </w:tcBorders>
            <w:shd w:val="clear" w:color="000000" w:fill="FFFFFF"/>
            <w:vAlign w:val="center"/>
            <w:hideMark/>
          </w:tcPr>
          <w:p w:rsidR="008B4879" w:rsidRPr="00B75B77" w:rsidRDefault="008B4879" w:rsidP="005362A5">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Freezer Replacement, E</w:t>
            </w:r>
            <w:r w:rsidR="001D3945" w:rsidRPr="00B75B77">
              <w:rPr>
                <w:rFonts w:ascii="Calibri" w:eastAsia="Times New Roman" w:hAnsi="Calibri"/>
                <w:bCs/>
                <w:color w:val="000000"/>
                <w:sz w:val="18"/>
                <w:szCs w:val="18"/>
              </w:rPr>
              <w:t xml:space="preserve">NERGY </w:t>
            </w:r>
            <w:r w:rsidRPr="00B75B77">
              <w:rPr>
                <w:rFonts w:ascii="Calibri" w:eastAsia="Times New Roman" w:hAnsi="Calibri"/>
                <w:bCs/>
                <w:color w:val="000000"/>
                <w:sz w:val="18"/>
                <w:szCs w:val="18"/>
              </w:rPr>
              <w:t>S</w:t>
            </w:r>
            <w:r w:rsidR="001D3945" w:rsidRPr="00B75B77">
              <w:rPr>
                <w:rFonts w:ascii="Calibri" w:eastAsia="Times New Roman" w:hAnsi="Calibri"/>
                <w:bCs/>
                <w:color w:val="000000"/>
                <w:sz w:val="18"/>
                <w:szCs w:val="18"/>
              </w:rPr>
              <w:t>TAR</w:t>
            </w:r>
            <w:r w:rsidRPr="00B75B77">
              <w:rPr>
                <w:rFonts w:ascii="Calibri" w:eastAsia="Times New Roman" w:hAnsi="Calibri"/>
                <w:bCs/>
                <w:color w:val="000000"/>
                <w:sz w:val="18"/>
                <w:szCs w:val="18"/>
              </w:rPr>
              <w:t xml:space="preserve"> </w:t>
            </w:r>
          </w:p>
        </w:tc>
        <w:tc>
          <w:tcPr>
            <w:tcW w:w="1097"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5362A5">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046"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5362A5">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0.83</w:t>
            </w:r>
          </w:p>
        </w:tc>
        <w:tc>
          <w:tcPr>
            <w:tcW w:w="1881"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5362A5">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497"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5362A5">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499"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5362A5">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8B4879" w:rsidRPr="00B75B77" w:rsidTr="001D3945">
        <w:trPr>
          <w:divId w:val="592132442"/>
          <w:trHeight w:val="300"/>
          <w:jc w:val="center"/>
        </w:trPr>
        <w:tc>
          <w:tcPr>
            <w:tcW w:w="1885" w:type="dxa"/>
            <w:tcBorders>
              <w:top w:val="nil"/>
              <w:left w:val="single" w:sz="4" w:space="0" w:color="448A99"/>
              <w:bottom w:val="single" w:sz="4" w:space="0" w:color="448A99"/>
              <w:right w:val="single" w:sz="4" w:space="0" w:color="448A99"/>
            </w:tcBorders>
            <w:shd w:val="clear" w:color="000000" w:fill="D2EAF1"/>
            <w:vAlign w:val="center"/>
            <w:hideMark/>
          </w:tcPr>
          <w:p w:rsidR="008B4879" w:rsidRPr="00B75B77" w:rsidRDefault="008B4879" w:rsidP="005362A5">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Non</w:t>
            </w:r>
            <w:r w:rsidR="00156982" w:rsidRPr="00B75B77">
              <w:rPr>
                <w:rFonts w:ascii="Calibri" w:eastAsia="Times New Roman" w:hAnsi="Calibri"/>
                <w:bCs/>
                <w:color w:val="000000"/>
                <w:sz w:val="18"/>
                <w:szCs w:val="18"/>
              </w:rPr>
              <w:t>r</w:t>
            </w:r>
            <w:r w:rsidRPr="00B75B77">
              <w:rPr>
                <w:rFonts w:ascii="Calibri" w:eastAsia="Times New Roman" w:hAnsi="Calibri"/>
                <w:bCs/>
                <w:color w:val="000000"/>
                <w:sz w:val="18"/>
                <w:szCs w:val="18"/>
              </w:rPr>
              <w:t>esidential Measures</w:t>
            </w:r>
          </w:p>
        </w:tc>
        <w:tc>
          <w:tcPr>
            <w:tcW w:w="1097"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5362A5">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046"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5362A5">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0.95</w:t>
            </w:r>
          </w:p>
        </w:tc>
        <w:tc>
          <w:tcPr>
            <w:tcW w:w="1881"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5362A5">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497"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5362A5">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499"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5362A5">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8B4879" w:rsidRPr="00B75B77" w:rsidTr="001D3945">
        <w:trPr>
          <w:divId w:val="592132442"/>
          <w:trHeight w:val="288"/>
          <w:jc w:val="center"/>
        </w:trPr>
        <w:tc>
          <w:tcPr>
            <w:tcW w:w="1885" w:type="dxa"/>
            <w:tcBorders>
              <w:top w:val="nil"/>
              <w:left w:val="single" w:sz="4" w:space="0" w:color="448A99"/>
              <w:bottom w:val="single" w:sz="4" w:space="0" w:color="448A99"/>
              <w:right w:val="single" w:sz="4" w:space="0" w:color="448A99"/>
            </w:tcBorders>
            <w:shd w:val="clear" w:color="000000" w:fill="FFFFFF"/>
            <w:vAlign w:val="center"/>
            <w:hideMark/>
          </w:tcPr>
          <w:p w:rsidR="008B4879" w:rsidRPr="00B75B77" w:rsidRDefault="001D3945" w:rsidP="005362A5">
            <w:pPr>
              <w:keepNext/>
              <w:jc w:val="left"/>
              <w:rPr>
                <w:rFonts w:ascii="Calibri" w:eastAsia="Times New Roman" w:hAnsi="Calibri"/>
                <w:b/>
                <w:color w:val="000000"/>
                <w:sz w:val="18"/>
                <w:szCs w:val="18"/>
              </w:rPr>
            </w:pPr>
            <w:r w:rsidRPr="00B75B77">
              <w:rPr>
                <w:rFonts w:ascii="Calibri" w:eastAsia="Times New Roman" w:hAnsi="Calibri"/>
                <w:b/>
                <w:color w:val="000000"/>
                <w:sz w:val="18"/>
                <w:szCs w:val="18"/>
              </w:rPr>
              <w:t>PROGRAM TOTAL</w:t>
            </w:r>
          </w:p>
        </w:tc>
        <w:tc>
          <w:tcPr>
            <w:tcW w:w="1097"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5362A5">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1.3</w:t>
            </w:r>
          </w:p>
        </w:tc>
        <w:tc>
          <w:tcPr>
            <w:tcW w:w="1046"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5362A5">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0.95</w:t>
            </w:r>
          </w:p>
        </w:tc>
        <w:tc>
          <w:tcPr>
            <w:tcW w:w="1881"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5362A5">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1.2</w:t>
            </w:r>
          </w:p>
        </w:tc>
        <w:tc>
          <w:tcPr>
            <w:tcW w:w="1497"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5362A5">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N/A</w:t>
            </w:r>
          </w:p>
        </w:tc>
        <w:tc>
          <w:tcPr>
            <w:tcW w:w="1499" w:type="dxa"/>
            <w:tcBorders>
              <w:top w:val="nil"/>
              <w:left w:val="nil"/>
              <w:bottom w:val="single" w:sz="4" w:space="0" w:color="448A99"/>
              <w:right w:val="single" w:sz="4" w:space="0" w:color="448A99"/>
            </w:tcBorders>
            <w:shd w:val="clear" w:color="000000" w:fill="FFFFFF"/>
            <w:vAlign w:val="center"/>
            <w:hideMark/>
          </w:tcPr>
          <w:p w:rsidR="008B4879" w:rsidRPr="00B75B77" w:rsidRDefault="008B4879" w:rsidP="005362A5">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0%</w:t>
            </w:r>
          </w:p>
        </w:tc>
      </w:tr>
    </w:tbl>
    <w:p w:rsidR="001D3945" w:rsidRPr="00B75B77" w:rsidRDefault="001D3945" w:rsidP="001D3945">
      <w:pPr>
        <w:pStyle w:val="Source"/>
        <w:spacing w:before="20" w:after="20"/>
        <w:ind w:left="187" w:firstLine="0"/>
        <w:rPr>
          <w:i w:val="0"/>
        </w:rPr>
      </w:pPr>
      <w:r w:rsidRPr="00B75B77">
        <w:rPr>
          <w:i w:val="0"/>
          <w:vertAlign w:val="superscript"/>
        </w:rPr>
        <w:t>[1]</w:t>
      </w:r>
      <w:r w:rsidRPr="00B75B77">
        <w:rPr>
          <w:i w:val="0"/>
        </w:rPr>
        <w:t xml:space="preserve"> All reported and verified demand savings in this report include line losses as required.</w:t>
      </w:r>
    </w:p>
    <w:p w:rsidR="001D3945" w:rsidRPr="00B75B77" w:rsidRDefault="001D3945" w:rsidP="001D3945">
      <w:pPr>
        <w:pStyle w:val="Source"/>
        <w:spacing w:before="20" w:after="20"/>
        <w:ind w:left="187" w:firstLine="0"/>
        <w:rPr>
          <w:i w:val="0"/>
        </w:rPr>
      </w:pPr>
      <w:r w:rsidRPr="00B75B77">
        <w:rPr>
          <w:i w:val="0"/>
          <w:vertAlign w:val="superscript"/>
        </w:rPr>
        <w:t>[2]</w:t>
      </w:r>
      <w:r w:rsidRPr="00B75B77">
        <w:rPr>
          <w:i w:val="0"/>
        </w:rPr>
        <w:t xml:space="preserve"> Because the verified savings of SAR units </w:t>
      </w:r>
      <w:r w:rsidR="00EF6477" w:rsidRPr="00B75B77">
        <w:rPr>
          <w:i w:val="0"/>
        </w:rPr>
        <w:t>are</w:t>
      </w:r>
      <w:r w:rsidRPr="00B75B77">
        <w:rPr>
          <w:i w:val="0"/>
        </w:rPr>
        <w:t xml:space="preserve"> based on a census of all residential units and not just a sampling of them, SAR does not need a CV or percent precision to quantify the uncertainty of a sample.</w:t>
      </w:r>
    </w:p>
    <w:p w:rsidR="001D3945" w:rsidRPr="00B75B77" w:rsidRDefault="001D3945" w:rsidP="001D3945">
      <w:pPr>
        <w:pStyle w:val="Source"/>
        <w:spacing w:before="20" w:after="20"/>
        <w:ind w:left="187" w:firstLine="0"/>
        <w:rPr>
          <w:i w:val="0"/>
        </w:rPr>
      </w:pPr>
      <w:r w:rsidRPr="00B75B77">
        <w:rPr>
          <w:i w:val="0"/>
        </w:rPr>
        <w:t>Note: Values in tables may not reconcile exactly with the sum of more detailed level results or previously reported results due to rounding.</w:t>
      </w:r>
    </w:p>
    <w:p w:rsidR="008B4879" w:rsidRPr="00B75B77" w:rsidRDefault="008B4879" w:rsidP="005362A5">
      <w:pPr>
        <w:pStyle w:val="Source"/>
      </w:pPr>
      <w:r w:rsidRPr="00B75B77">
        <w:t>Source: Navigant analysis</w:t>
      </w:r>
    </w:p>
    <w:p w:rsidR="008B4879" w:rsidRPr="00B75B77" w:rsidRDefault="008B4879" w:rsidP="003E6A9B">
      <w:pPr>
        <w:pStyle w:val="Heading2"/>
      </w:pPr>
      <w:bookmarkStart w:id="380" w:name="_Toc466413308"/>
      <w:r w:rsidRPr="00B75B77">
        <w:t>Impact Evaluation Net Savings</w:t>
      </w:r>
      <w:bookmarkEnd w:id="374"/>
      <w:bookmarkEnd w:id="375"/>
      <w:bookmarkEnd w:id="376"/>
      <w:bookmarkEnd w:id="377"/>
      <w:bookmarkEnd w:id="378"/>
      <w:bookmarkEnd w:id="379"/>
      <w:bookmarkEnd w:id="380"/>
      <w:r w:rsidRPr="00B75B77">
        <w:t xml:space="preserve"> </w:t>
      </w:r>
    </w:p>
    <w:p w:rsidR="008B4879" w:rsidRPr="00B75B77" w:rsidRDefault="008B4879" w:rsidP="00751A38">
      <w:r w:rsidRPr="00B75B77">
        <w:t xml:space="preserve">Whereas gross savings represents what energy was saved, net savings estimates what portion of that savings are attributable to the program instead of savings that would have occurred naturally. Once gross program impacts have been verified, </w:t>
      </w:r>
      <w:r w:rsidR="002C4E2F" w:rsidRPr="00B75B77">
        <w:t xml:space="preserve">the evaluation team calculates </w:t>
      </w:r>
      <w:r w:rsidRPr="00B75B77">
        <w:t>net program impacts by multiplying the gross impact estimate by the NTG ratio. For SAR, the PY7 NTG ratio is 0.48 for refrigerators and 0.62 for freezers.</w:t>
      </w:r>
    </w:p>
    <w:p w:rsidR="008B4879" w:rsidRPr="00B75B77" w:rsidRDefault="008B4879" w:rsidP="00751A38"/>
    <w:p w:rsidR="008B4879" w:rsidRPr="00B75B77" w:rsidRDefault="008B4879" w:rsidP="00751A38">
      <w:pPr>
        <w:pStyle w:val="Heading3"/>
      </w:pPr>
      <w:bookmarkStart w:id="381" w:name="_Toc466413309"/>
      <w:r w:rsidRPr="00B75B77">
        <w:t>Net Verified Savings Methodology</w:t>
      </w:r>
      <w:bookmarkEnd w:id="381"/>
      <w:r w:rsidRPr="00B75B77">
        <w:t xml:space="preserve"> </w:t>
      </w:r>
    </w:p>
    <w:p w:rsidR="008B4879" w:rsidRPr="00B75B77" w:rsidRDefault="008B4879" w:rsidP="004D2FBE">
      <w:r w:rsidRPr="00B75B77">
        <w:t>Per the 2015 TRM and 2014 SWE Common Method,</w:t>
      </w:r>
      <w:r w:rsidRPr="00B75B77">
        <w:rPr>
          <w:rStyle w:val="FootnoteReference"/>
        </w:rPr>
        <w:footnoteReference w:id="25"/>
      </w:r>
      <w:r w:rsidRPr="00B75B77">
        <w:t xml:space="preserve"> Navigant calculated a net savings per refrigerator or freezer based on a battery of questions asked during the participant telephone surveys. Participants </w:t>
      </w:r>
      <w:r w:rsidR="00BF79DE" w:rsidRPr="00B75B77">
        <w:t>we</w:t>
      </w:r>
      <w:r w:rsidRPr="00B75B77">
        <w:t xml:space="preserve">re separated into one of four categories: the small </w:t>
      </w:r>
      <w:proofErr w:type="gramStart"/>
      <w:r w:rsidRPr="00B75B77">
        <w:t>subset who were</w:t>
      </w:r>
      <w:proofErr w:type="gramEnd"/>
      <w:r w:rsidRPr="00B75B77">
        <w:t xml:space="preserve"> induced to replace their appliance by the SAR program, those who would have kept their unit in lieu of the program, those who would have transferred the appliance to a second party, and those who would have destroyed the appliance.</w:t>
      </w:r>
      <w:r w:rsidRPr="00B75B77" w:rsidDel="00EA1CCC">
        <w:t xml:space="preserve"> </w:t>
      </w:r>
      <w:r w:rsidRPr="00B75B77">
        <w:t xml:space="preserve">In the Common Method terminology, these four categories correspond to Scenario A, Scenario B, Scenario C, and Scenario D. See Figure </w:t>
      </w:r>
      <w:r w:rsidRPr="00B75B77">
        <w:rPr>
          <w:noProof/>
        </w:rPr>
        <w:t>2</w:t>
      </w:r>
      <w:r w:rsidRPr="00B75B77">
        <w:noBreakHyphen/>
      </w:r>
      <w:r w:rsidRPr="00B75B77">
        <w:rPr>
          <w:noProof/>
        </w:rPr>
        <w:t>1</w:t>
      </w:r>
      <w:r w:rsidRPr="00B75B77">
        <w:t xml:space="preserve"> and Figure </w:t>
      </w:r>
      <w:r w:rsidRPr="00B75B77">
        <w:rPr>
          <w:noProof/>
        </w:rPr>
        <w:t>2</w:t>
      </w:r>
      <w:r w:rsidRPr="00B75B77">
        <w:noBreakHyphen/>
      </w:r>
      <w:r w:rsidRPr="00B75B77">
        <w:rPr>
          <w:noProof/>
        </w:rPr>
        <w:t>2</w:t>
      </w:r>
      <w:r w:rsidRPr="00B75B77">
        <w:t xml:space="preserve"> </w:t>
      </w:r>
      <w:r w:rsidR="00BF79DE" w:rsidRPr="00B75B77">
        <w:t xml:space="preserve">in Section </w:t>
      </w:r>
      <w:r w:rsidR="00BF79DE" w:rsidRPr="00B75B77">
        <w:fldChar w:fldCharType="begin"/>
      </w:r>
      <w:r w:rsidR="00BF79DE" w:rsidRPr="00B75B77">
        <w:instrText xml:space="preserve"> REF _Ref463428468 \r \h  \* MERGEFORMAT </w:instrText>
      </w:r>
      <w:r w:rsidR="00BF79DE" w:rsidRPr="00B75B77">
        <w:fldChar w:fldCharType="separate"/>
      </w:r>
      <w:r w:rsidR="0004016D">
        <w:t>4.3.2</w:t>
      </w:r>
      <w:r w:rsidR="00BF79DE" w:rsidRPr="00B75B77">
        <w:fldChar w:fldCharType="end"/>
      </w:r>
      <w:r w:rsidRPr="00B75B77">
        <w:t xml:space="preserve"> for flow charts depicting the distribution of participants within these categories.</w:t>
      </w:r>
      <w:r w:rsidR="000C1E59" w:rsidRPr="00B75B77">
        <w:t xml:space="preserve"> </w:t>
      </w:r>
      <w:r w:rsidR="005362A5" w:rsidRPr="00B75B77">
        <w:fldChar w:fldCharType="begin"/>
      </w:r>
      <w:r w:rsidR="005362A5" w:rsidRPr="00B75B77">
        <w:instrText xml:space="preserve"> REF _Ref462129236 \h </w:instrText>
      </w:r>
      <w:r w:rsidR="00B75B77">
        <w:instrText xml:space="preserve"> \* MERGEFORMAT </w:instrText>
      </w:r>
      <w:r w:rsidR="005362A5" w:rsidRPr="00B75B77">
        <w:fldChar w:fldCharType="separate"/>
      </w:r>
      <w:r w:rsidR="0004016D" w:rsidRPr="00B75B77">
        <w:t xml:space="preserve">Table </w:t>
      </w:r>
      <w:r w:rsidR="0004016D">
        <w:rPr>
          <w:noProof/>
        </w:rPr>
        <w:t>4</w:t>
      </w:r>
      <w:r w:rsidR="0004016D" w:rsidRPr="00B75B77">
        <w:rPr>
          <w:noProof/>
        </w:rPr>
        <w:noBreakHyphen/>
      </w:r>
      <w:r w:rsidR="0004016D">
        <w:rPr>
          <w:noProof/>
        </w:rPr>
        <w:t>5</w:t>
      </w:r>
      <w:r w:rsidR="005362A5" w:rsidRPr="00B75B77">
        <w:fldChar w:fldCharType="end"/>
      </w:r>
      <w:r w:rsidR="005362A5" w:rsidRPr="00B75B77">
        <w:t xml:space="preserve"> </w:t>
      </w:r>
      <w:r w:rsidRPr="00B75B77">
        <w:t xml:space="preserve">summarizes the level of precision in each phone survey sample strata relevant to </w:t>
      </w:r>
      <w:r w:rsidR="00BF79DE" w:rsidRPr="00B75B77">
        <w:t xml:space="preserve">the </w:t>
      </w:r>
      <w:r w:rsidRPr="00B75B77">
        <w:t>NTG research.</w:t>
      </w:r>
    </w:p>
    <w:p w:rsidR="008B4879" w:rsidRPr="00B75B77" w:rsidRDefault="008B4879" w:rsidP="004D2FBE"/>
    <w:p w:rsidR="008B4879" w:rsidRPr="00B75B77" w:rsidRDefault="008B4879" w:rsidP="005362A5">
      <w:pPr>
        <w:pStyle w:val="Caption"/>
      </w:pPr>
      <w:bookmarkStart w:id="382" w:name="_Ref462129236"/>
      <w:bookmarkStart w:id="383" w:name="_Toc466413534"/>
      <w:r w:rsidRPr="00B75B77">
        <w:lastRenderedPageBreak/>
        <w:t xml:space="preserve">Table </w:t>
      </w:r>
      <w:fldSimple w:instr=" STYLEREF 1 \s ">
        <w:r w:rsidR="0004016D">
          <w:rPr>
            <w:noProof/>
          </w:rPr>
          <w:t>4</w:t>
        </w:r>
      </w:fldSimple>
      <w:r w:rsidR="00F1144C" w:rsidRPr="00B75B77">
        <w:noBreakHyphen/>
      </w:r>
      <w:fldSimple w:instr=" SEQ Table \* ARABIC \s 1 ">
        <w:r w:rsidR="0004016D">
          <w:rPr>
            <w:noProof/>
          </w:rPr>
          <w:t>5</w:t>
        </w:r>
      </w:fldSimple>
      <w:bookmarkEnd w:id="382"/>
      <w:r w:rsidRPr="00B75B77">
        <w:t>: Smart Appliance Recycling Sampling Strategy for PY7 NTG Research</w:t>
      </w:r>
      <w:bookmarkEnd w:id="383"/>
    </w:p>
    <w:tbl>
      <w:tblPr>
        <w:tblW w:w="9090" w:type="dxa"/>
        <w:tblLayout w:type="fixed"/>
        <w:tblLook w:val="04A0" w:firstRow="1" w:lastRow="0" w:firstColumn="1" w:lastColumn="0" w:noHBand="0" w:noVBand="1"/>
      </w:tblPr>
      <w:tblGrid>
        <w:gridCol w:w="1795"/>
        <w:gridCol w:w="1080"/>
        <w:gridCol w:w="1080"/>
        <w:gridCol w:w="1170"/>
        <w:gridCol w:w="1080"/>
        <w:gridCol w:w="810"/>
        <w:gridCol w:w="990"/>
        <w:gridCol w:w="1085"/>
      </w:tblGrid>
      <w:tr w:rsidR="008B4879" w:rsidRPr="00B75B77" w:rsidTr="00BF79DE">
        <w:trPr>
          <w:divId w:val="1753509583"/>
          <w:trHeight w:val="480"/>
        </w:trPr>
        <w:tc>
          <w:tcPr>
            <w:tcW w:w="1795" w:type="dxa"/>
            <w:tcBorders>
              <w:top w:val="single" w:sz="4" w:space="0" w:color="auto"/>
              <w:left w:val="single" w:sz="4" w:space="0" w:color="auto"/>
              <w:bottom w:val="single" w:sz="4" w:space="0" w:color="auto"/>
              <w:right w:val="single" w:sz="4" w:space="0" w:color="auto"/>
            </w:tcBorders>
            <w:shd w:val="clear" w:color="000000" w:fill="448A99"/>
            <w:vAlign w:val="center"/>
            <w:hideMark/>
          </w:tcPr>
          <w:p w:rsidR="008B4879" w:rsidRPr="00B75B77" w:rsidRDefault="008B4879" w:rsidP="005362A5">
            <w:pPr>
              <w:keepNext/>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Stratum</w:t>
            </w:r>
          </w:p>
        </w:tc>
        <w:tc>
          <w:tcPr>
            <w:tcW w:w="1080" w:type="dxa"/>
            <w:tcBorders>
              <w:top w:val="single" w:sz="4" w:space="0" w:color="auto"/>
              <w:left w:val="nil"/>
              <w:bottom w:val="single" w:sz="4" w:space="0" w:color="auto"/>
              <w:right w:val="single" w:sz="4" w:space="0" w:color="auto"/>
            </w:tcBorders>
            <w:shd w:val="clear" w:color="000000" w:fill="448A99"/>
            <w:vAlign w:val="center"/>
            <w:hideMark/>
          </w:tcPr>
          <w:p w:rsidR="008B4879" w:rsidRPr="00B75B77" w:rsidRDefault="008B4879" w:rsidP="005362A5">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Stratum Boundaries</w:t>
            </w:r>
          </w:p>
        </w:tc>
        <w:tc>
          <w:tcPr>
            <w:tcW w:w="1080" w:type="dxa"/>
            <w:tcBorders>
              <w:top w:val="single" w:sz="4" w:space="0" w:color="auto"/>
              <w:left w:val="nil"/>
              <w:bottom w:val="single" w:sz="4" w:space="0" w:color="auto"/>
              <w:right w:val="single" w:sz="4" w:space="0" w:color="auto"/>
            </w:tcBorders>
            <w:shd w:val="clear" w:color="000000" w:fill="448A99"/>
            <w:vAlign w:val="center"/>
            <w:hideMark/>
          </w:tcPr>
          <w:p w:rsidR="008B4879" w:rsidRPr="00B75B77" w:rsidRDefault="008B4879" w:rsidP="005362A5">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Population Size</w:t>
            </w:r>
          </w:p>
        </w:tc>
        <w:tc>
          <w:tcPr>
            <w:tcW w:w="1170" w:type="dxa"/>
            <w:tcBorders>
              <w:top w:val="single" w:sz="4" w:space="0" w:color="auto"/>
              <w:left w:val="nil"/>
              <w:bottom w:val="single" w:sz="4" w:space="0" w:color="auto"/>
              <w:right w:val="single" w:sz="4" w:space="0" w:color="auto"/>
            </w:tcBorders>
            <w:shd w:val="clear" w:color="000000" w:fill="448A99"/>
            <w:vAlign w:val="center"/>
            <w:hideMark/>
          </w:tcPr>
          <w:p w:rsidR="008B4879" w:rsidRPr="00B75B77" w:rsidRDefault="008B4879" w:rsidP="005362A5">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Assumed CV or Proportion in Sample Design</w:t>
            </w:r>
          </w:p>
        </w:tc>
        <w:tc>
          <w:tcPr>
            <w:tcW w:w="1080" w:type="dxa"/>
            <w:tcBorders>
              <w:top w:val="single" w:sz="4" w:space="0" w:color="auto"/>
              <w:left w:val="nil"/>
              <w:bottom w:val="single" w:sz="4" w:space="0" w:color="auto"/>
              <w:right w:val="single" w:sz="4" w:space="0" w:color="auto"/>
            </w:tcBorders>
            <w:shd w:val="clear" w:color="000000" w:fill="448A99"/>
            <w:vAlign w:val="center"/>
            <w:hideMark/>
          </w:tcPr>
          <w:p w:rsidR="008B4879" w:rsidRPr="00B75B77" w:rsidRDefault="008B4879" w:rsidP="005362A5">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Assumed Levels of Confidence </w:t>
            </w:r>
            <w:r w:rsidR="00BF79DE" w:rsidRPr="00B75B77">
              <w:rPr>
                <w:rFonts w:ascii="Calibri" w:eastAsia="Times New Roman" w:hAnsi="Calibri"/>
                <w:b/>
                <w:bCs/>
                <w:color w:val="FFFFFF"/>
                <w:sz w:val="18"/>
                <w:szCs w:val="18"/>
              </w:rPr>
              <w:t>and</w:t>
            </w:r>
            <w:r w:rsidRPr="00B75B77">
              <w:rPr>
                <w:rFonts w:ascii="Calibri" w:eastAsia="Times New Roman" w:hAnsi="Calibri"/>
                <w:b/>
                <w:bCs/>
                <w:color w:val="FFFFFF"/>
                <w:sz w:val="18"/>
                <w:szCs w:val="18"/>
              </w:rPr>
              <w:t xml:space="preserve"> Precision</w:t>
            </w:r>
          </w:p>
        </w:tc>
        <w:tc>
          <w:tcPr>
            <w:tcW w:w="810" w:type="dxa"/>
            <w:tcBorders>
              <w:top w:val="single" w:sz="4" w:space="0" w:color="auto"/>
              <w:left w:val="nil"/>
              <w:bottom w:val="single" w:sz="4" w:space="0" w:color="auto"/>
              <w:right w:val="single" w:sz="4" w:space="0" w:color="auto"/>
            </w:tcBorders>
            <w:shd w:val="clear" w:color="000000" w:fill="448A99"/>
            <w:vAlign w:val="center"/>
            <w:hideMark/>
          </w:tcPr>
          <w:p w:rsidR="008B4879" w:rsidRPr="00B75B77" w:rsidRDefault="008B4879" w:rsidP="005362A5">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Target Sample </w:t>
            </w:r>
            <w:r w:rsidR="00BF79DE" w:rsidRPr="00B75B77">
              <w:rPr>
                <w:rFonts w:ascii="Calibri" w:eastAsia="Times New Roman" w:hAnsi="Calibri"/>
                <w:b/>
                <w:bCs/>
                <w:color w:val="FFFFFF"/>
                <w:sz w:val="18"/>
                <w:szCs w:val="18"/>
              </w:rPr>
              <w:t>S</w:t>
            </w:r>
            <w:r w:rsidRPr="00B75B77">
              <w:rPr>
                <w:rFonts w:ascii="Calibri" w:eastAsia="Times New Roman" w:hAnsi="Calibri"/>
                <w:b/>
                <w:bCs/>
                <w:color w:val="FFFFFF"/>
                <w:sz w:val="18"/>
                <w:szCs w:val="18"/>
              </w:rPr>
              <w:t>ize</w:t>
            </w:r>
          </w:p>
        </w:tc>
        <w:tc>
          <w:tcPr>
            <w:tcW w:w="990" w:type="dxa"/>
            <w:tcBorders>
              <w:top w:val="single" w:sz="4" w:space="0" w:color="auto"/>
              <w:left w:val="nil"/>
              <w:bottom w:val="single" w:sz="4" w:space="0" w:color="auto"/>
              <w:right w:val="single" w:sz="4" w:space="0" w:color="auto"/>
            </w:tcBorders>
            <w:shd w:val="clear" w:color="000000" w:fill="448A99"/>
            <w:vAlign w:val="center"/>
            <w:hideMark/>
          </w:tcPr>
          <w:p w:rsidR="008B4879" w:rsidRPr="00B75B77" w:rsidRDefault="008B4879" w:rsidP="005362A5">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Achieved Sample Size</w:t>
            </w:r>
          </w:p>
        </w:tc>
        <w:tc>
          <w:tcPr>
            <w:tcW w:w="1085" w:type="dxa"/>
            <w:tcBorders>
              <w:top w:val="single" w:sz="4" w:space="0" w:color="auto"/>
              <w:left w:val="nil"/>
              <w:bottom w:val="single" w:sz="4" w:space="0" w:color="auto"/>
              <w:right w:val="single" w:sz="4" w:space="0" w:color="auto"/>
            </w:tcBorders>
            <w:shd w:val="clear" w:color="000000" w:fill="448A99"/>
            <w:vAlign w:val="center"/>
            <w:hideMark/>
          </w:tcPr>
          <w:p w:rsidR="008B4879" w:rsidRPr="00B75B77" w:rsidRDefault="00237810" w:rsidP="005362A5">
            <w:pPr>
              <w:keepNext/>
              <w:jc w:val="center"/>
              <w:rPr>
                <w:rFonts w:ascii="Calibri" w:eastAsia="Times New Roman" w:hAnsi="Calibri"/>
                <w:b/>
                <w:bCs/>
                <w:color w:val="FFFFFF"/>
                <w:sz w:val="18"/>
                <w:szCs w:val="18"/>
              </w:rPr>
            </w:pPr>
            <w:hyperlink r:id="rId52" w:anchor="RANGE!_ftn1" w:history="1">
              <w:r w:rsidR="008B4879" w:rsidRPr="00B75B77">
                <w:rPr>
                  <w:rFonts w:ascii="Calibri" w:eastAsia="Times New Roman" w:hAnsi="Calibri"/>
                  <w:b/>
                  <w:bCs/>
                  <w:color w:val="FFFFFF"/>
                  <w:sz w:val="18"/>
                  <w:szCs w:val="18"/>
                </w:rPr>
                <w:t>Percent</w:t>
              </w:r>
              <w:r w:rsidR="00BF79DE" w:rsidRPr="00B75B77">
                <w:rPr>
                  <w:rFonts w:ascii="Calibri" w:eastAsia="Times New Roman" w:hAnsi="Calibri"/>
                  <w:b/>
                  <w:bCs/>
                  <w:color w:val="FFFFFF"/>
                  <w:sz w:val="18"/>
                  <w:szCs w:val="18"/>
                </w:rPr>
                <w:t>age</w:t>
              </w:r>
              <w:r w:rsidR="008B4879" w:rsidRPr="00B75B77">
                <w:rPr>
                  <w:rFonts w:ascii="Calibri" w:eastAsia="Times New Roman" w:hAnsi="Calibri"/>
                  <w:b/>
                  <w:bCs/>
                  <w:color w:val="FFFFFF"/>
                  <w:sz w:val="18"/>
                  <w:szCs w:val="18"/>
                </w:rPr>
                <w:t xml:space="preserve"> of Sample Frame Contacted to Achieve Sample</w:t>
              </w:r>
            </w:hyperlink>
            <w:r w:rsidR="00A704A5" w:rsidRPr="00B75B77">
              <w:rPr>
                <w:rFonts w:ascii="Calibri" w:eastAsia="Times New Roman" w:hAnsi="Calibri"/>
                <w:b/>
                <w:bCs/>
                <w:color w:val="FFFFFF"/>
                <w:sz w:val="18"/>
                <w:szCs w:val="18"/>
                <w:vertAlign w:val="superscript"/>
              </w:rPr>
              <w:t>[1]</w:t>
            </w:r>
          </w:p>
        </w:tc>
      </w:tr>
      <w:tr w:rsidR="008B4879" w:rsidRPr="00B75B77" w:rsidTr="00BF79DE">
        <w:trPr>
          <w:divId w:val="1753509583"/>
          <w:trHeight w:val="288"/>
        </w:trPr>
        <w:tc>
          <w:tcPr>
            <w:tcW w:w="1795" w:type="dxa"/>
            <w:tcBorders>
              <w:top w:val="nil"/>
              <w:left w:val="single" w:sz="4" w:space="0" w:color="448A99"/>
              <w:bottom w:val="single" w:sz="4" w:space="0" w:color="448A99"/>
              <w:right w:val="single" w:sz="4" w:space="0" w:color="448A99"/>
            </w:tcBorders>
            <w:shd w:val="clear" w:color="000000" w:fill="D2EAF1"/>
            <w:vAlign w:val="center"/>
            <w:hideMark/>
          </w:tcPr>
          <w:p w:rsidR="008B4879" w:rsidRPr="00B75B77" w:rsidRDefault="008B4879" w:rsidP="005362A5">
            <w:pPr>
              <w:keepNext/>
              <w:rPr>
                <w:rFonts w:ascii="Calibri" w:eastAsia="Times New Roman" w:hAnsi="Calibri"/>
                <w:bCs/>
                <w:color w:val="000000"/>
                <w:sz w:val="18"/>
                <w:szCs w:val="18"/>
              </w:rPr>
            </w:pPr>
            <w:r w:rsidRPr="00B75B77">
              <w:rPr>
                <w:rFonts w:ascii="Calibri" w:eastAsia="Times New Roman" w:hAnsi="Calibri"/>
                <w:bCs/>
                <w:color w:val="000000"/>
                <w:sz w:val="18"/>
                <w:szCs w:val="18"/>
              </w:rPr>
              <w:t>Refrigerators</w:t>
            </w:r>
          </w:p>
        </w:tc>
        <w:tc>
          <w:tcPr>
            <w:tcW w:w="1080" w:type="dxa"/>
            <w:tcBorders>
              <w:top w:val="nil"/>
              <w:left w:val="nil"/>
              <w:bottom w:val="single" w:sz="4" w:space="0" w:color="448A99"/>
              <w:right w:val="single" w:sz="4" w:space="0" w:color="448A99"/>
            </w:tcBorders>
            <w:shd w:val="clear" w:color="000000" w:fill="D2EAF1"/>
            <w:noWrap/>
            <w:vAlign w:val="center"/>
            <w:hideMark/>
          </w:tcPr>
          <w:p w:rsidR="008B4879" w:rsidRPr="00B75B77" w:rsidRDefault="008B4879" w:rsidP="005362A5">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080" w:type="dxa"/>
            <w:tcBorders>
              <w:top w:val="nil"/>
              <w:left w:val="nil"/>
              <w:bottom w:val="single" w:sz="4" w:space="0" w:color="448A99"/>
              <w:right w:val="single" w:sz="4" w:space="0" w:color="448A99"/>
            </w:tcBorders>
            <w:shd w:val="clear" w:color="000000" w:fill="D2EAF1"/>
            <w:noWrap/>
            <w:vAlign w:val="center"/>
            <w:hideMark/>
          </w:tcPr>
          <w:p w:rsidR="008B4879" w:rsidRPr="00B75B77" w:rsidRDefault="008B4879" w:rsidP="005362A5">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8,237</w:t>
            </w:r>
          </w:p>
        </w:tc>
        <w:tc>
          <w:tcPr>
            <w:tcW w:w="1170" w:type="dxa"/>
            <w:tcBorders>
              <w:top w:val="nil"/>
              <w:left w:val="nil"/>
              <w:bottom w:val="single" w:sz="4" w:space="0" w:color="448A99"/>
              <w:right w:val="single" w:sz="4" w:space="0" w:color="448A99"/>
            </w:tcBorders>
            <w:shd w:val="clear" w:color="000000" w:fill="D2EAF1"/>
            <w:noWrap/>
            <w:vAlign w:val="center"/>
            <w:hideMark/>
          </w:tcPr>
          <w:p w:rsidR="008B4879" w:rsidRPr="00B75B77" w:rsidRDefault="008B4879" w:rsidP="005362A5">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0.50</w:t>
            </w:r>
          </w:p>
        </w:tc>
        <w:tc>
          <w:tcPr>
            <w:tcW w:w="1080" w:type="dxa"/>
            <w:tcBorders>
              <w:top w:val="nil"/>
              <w:left w:val="nil"/>
              <w:bottom w:val="single" w:sz="4" w:space="0" w:color="448A99"/>
              <w:right w:val="single" w:sz="4" w:space="0" w:color="448A99"/>
            </w:tcBorders>
            <w:shd w:val="clear" w:color="000000" w:fill="D2EAF1"/>
            <w:noWrap/>
            <w:vAlign w:val="center"/>
            <w:hideMark/>
          </w:tcPr>
          <w:p w:rsidR="008B4879" w:rsidRPr="00B75B77" w:rsidRDefault="008B4879" w:rsidP="005362A5">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810" w:type="dxa"/>
            <w:tcBorders>
              <w:top w:val="nil"/>
              <w:left w:val="nil"/>
              <w:bottom w:val="single" w:sz="4" w:space="0" w:color="448A99"/>
              <w:right w:val="single" w:sz="4" w:space="0" w:color="448A99"/>
            </w:tcBorders>
            <w:shd w:val="clear" w:color="000000" w:fill="D2EAF1"/>
            <w:noWrap/>
            <w:vAlign w:val="bottom"/>
            <w:hideMark/>
          </w:tcPr>
          <w:p w:rsidR="008B4879" w:rsidRPr="00B75B77" w:rsidRDefault="008B4879" w:rsidP="005362A5">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70</w:t>
            </w:r>
          </w:p>
        </w:tc>
        <w:tc>
          <w:tcPr>
            <w:tcW w:w="990" w:type="dxa"/>
            <w:tcBorders>
              <w:top w:val="nil"/>
              <w:left w:val="nil"/>
              <w:bottom w:val="single" w:sz="4" w:space="0" w:color="448A99"/>
              <w:right w:val="single" w:sz="4" w:space="0" w:color="448A99"/>
            </w:tcBorders>
            <w:shd w:val="clear" w:color="000000" w:fill="D2EAF1"/>
            <w:noWrap/>
            <w:vAlign w:val="center"/>
            <w:hideMark/>
          </w:tcPr>
          <w:p w:rsidR="008B4879" w:rsidRPr="00B75B77" w:rsidRDefault="008B4879" w:rsidP="005362A5">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70</w:t>
            </w:r>
          </w:p>
        </w:tc>
        <w:tc>
          <w:tcPr>
            <w:tcW w:w="1085" w:type="dxa"/>
            <w:tcBorders>
              <w:top w:val="nil"/>
              <w:left w:val="nil"/>
              <w:bottom w:val="single" w:sz="4" w:space="0" w:color="448A99"/>
              <w:right w:val="single" w:sz="4" w:space="0" w:color="448A99"/>
            </w:tcBorders>
            <w:shd w:val="clear" w:color="000000" w:fill="D2EAF1"/>
            <w:noWrap/>
            <w:vAlign w:val="center"/>
            <w:hideMark/>
          </w:tcPr>
          <w:p w:rsidR="008B4879" w:rsidRPr="00B75B77" w:rsidRDefault="008B4879" w:rsidP="005362A5">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100%</w:t>
            </w:r>
          </w:p>
        </w:tc>
      </w:tr>
      <w:tr w:rsidR="008B4879" w:rsidRPr="00B75B77" w:rsidTr="00BF79DE">
        <w:trPr>
          <w:divId w:val="1753509583"/>
          <w:trHeight w:val="288"/>
        </w:trPr>
        <w:tc>
          <w:tcPr>
            <w:tcW w:w="1795" w:type="dxa"/>
            <w:tcBorders>
              <w:top w:val="nil"/>
              <w:left w:val="single" w:sz="4" w:space="0" w:color="448A99"/>
              <w:bottom w:val="single" w:sz="4" w:space="0" w:color="448A99"/>
              <w:right w:val="single" w:sz="4" w:space="0" w:color="448A99"/>
            </w:tcBorders>
            <w:shd w:val="clear" w:color="000000" w:fill="FFFFFF"/>
            <w:vAlign w:val="center"/>
            <w:hideMark/>
          </w:tcPr>
          <w:p w:rsidR="008B4879" w:rsidRPr="00B75B77" w:rsidRDefault="008B4879" w:rsidP="005362A5">
            <w:pPr>
              <w:keepNext/>
              <w:rPr>
                <w:rFonts w:ascii="Calibri" w:eastAsia="Times New Roman" w:hAnsi="Calibri"/>
                <w:bCs/>
                <w:color w:val="000000"/>
                <w:sz w:val="18"/>
                <w:szCs w:val="18"/>
              </w:rPr>
            </w:pPr>
            <w:r w:rsidRPr="00B75B77">
              <w:rPr>
                <w:rFonts w:ascii="Calibri" w:eastAsia="Times New Roman" w:hAnsi="Calibri"/>
                <w:bCs/>
                <w:color w:val="000000"/>
                <w:sz w:val="18"/>
                <w:szCs w:val="18"/>
              </w:rPr>
              <w:t>Freezers</w:t>
            </w:r>
          </w:p>
        </w:tc>
        <w:tc>
          <w:tcPr>
            <w:tcW w:w="1080" w:type="dxa"/>
            <w:tcBorders>
              <w:top w:val="nil"/>
              <w:left w:val="nil"/>
              <w:bottom w:val="single" w:sz="4" w:space="0" w:color="448A99"/>
              <w:right w:val="single" w:sz="4" w:space="0" w:color="448A99"/>
            </w:tcBorders>
            <w:shd w:val="clear" w:color="000000" w:fill="FFFFFF"/>
            <w:noWrap/>
            <w:vAlign w:val="center"/>
            <w:hideMark/>
          </w:tcPr>
          <w:p w:rsidR="008B4879" w:rsidRPr="00B75B77" w:rsidRDefault="008B4879" w:rsidP="005362A5">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080" w:type="dxa"/>
            <w:tcBorders>
              <w:top w:val="nil"/>
              <w:left w:val="nil"/>
              <w:bottom w:val="single" w:sz="4" w:space="0" w:color="448A99"/>
              <w:right w:val="single" w:sz="4" w:space="0" w:color="448A99"/>
            </w:tcBorders>
            <w:shd w:val="clear" w:color="000000" w:fill="FFFFFF"/>
            <w:noWrap/>
            <w:vAlign w:val="center"/>
            <w:hideMark/>
          </w:tcPr>
          <w:p w:rsidR="008B4879" w:rsidRPr="00B75B77" w:rsidRDefault="008B4879" w:rsidP="005362A5">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1,456</w:t>
            </w:r>
          </w:p>
        </w:tc>
        <w:tc>
          <w:tcPr>
            <w:tcW w:w="1170" w:type="dxa"/>
            <w:tcBorders>
              <w:top w:val="nil"/>
              <w:left w:val="nil"/>
              <w:bottom w:val="single" w:sz="4" w:space="0" w:color="448A99"/>
              <w:right w:val="single" w:sz="4" w:space="0" w:color="448A99"/>
            </w:tcBorders>
            <w:shd w:val="clear" w:color="000000" w:fill="FFFFFF"/>
            <w:noWrap/>
            <w:vAlign w:val="center"/>
            <w:hideMark/>
          </w:tcPr>
          <w:p w:rsidR="008B4879" w:rsidRPr="00B75B77" w:rsidRDefault="008B4879" w:rsidP="005362A5">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0.50</w:t>
            </w:r>
          </w:p>
        </w:tc>
        <w:tc>
          <w:tcPr>
            <w:tcW w:w="1080" w:type="dxa"/>
            <w:tcBorders>
              <w:top w:val="nil"/>
              <w:left w:val="nil"/>
              <w:bottom w:val="single" w:sz="4" w:space="0" w:color="448A99"/>
              <w:right w:val="single" w:sz="4" w:space="0" w:color="448A99"/>
            </w:tcBorders>
            <w:shd w:val="clear" w:color="000000" w:fill="FFFFFF"/>
            <w:noWrap/>
            <w:vAlign w:val="center"/>
            <w:hideMark/>
          </w:tcPr>
          <w:p w:rsidR="008B4879" w:rsidRPr="00B75B77" w:rsidRDefault="008B4879" w:rsidP="005362A5">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810" w:type="dxa"/>
            <w:tcBorders>
              <w:top w:val="nil"/>
              <w:left w:val="nil"/>
              <w:bottom w:val="single" w:sz="4" w:space="0" w:color="448A99"/>
              <w:right w:val="single" w:sz="4" w:space="0" w:color="448A99"/>
            </w:tcBorders>
            <w:shd w:val="clear" w:color="000000" w:fill="FFFFFF"/>
            <w:noWrap/>
            <w:vAlign w:val="bottom"/>
            <w:hideMark/>
          </w:tcPr>
          <w:p w:rsidR="008B4879" w:rsidRPr="00B75B77" w:rsidRDefault="008B4879" w:rsidP="005362A5">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70</w:t>
            </w:r>
          </w:p>
        </w:tc>
        <w:tc>
          <w:tcPr>
            <w:tcW w:w="990" w:type="dxa"/>
            <w:tcBorders>
              <w:top w:val="nil"/>
              <w:left w:val="nil"/>
              <w:bottom w:val="single" w:sz="4" w:space="0" w:color="448A99"/>
              <w:right w:val="single" w:sz="4" w:space="0" w:color="448A99"/>
            </w:tcBorders>
            <w:shd w:val="clear" w:color="000000" w:fill="FFFFFF"/>
            <w:noWrap/>
            <w:vAlign w:val="center"/>
            <w:hideMark/>
          </w:tcPr>
          <w:p w:rsidR="008B4879" w:rsidRPr="00B75B77" w:rsidRDefault="008B4879" w:rsidP="005362A5">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70</w:t>
            </w:r>
          </w:p>
        </w:tc>
        <w:tc>
          <w:tcPr>
            <w:tcW w:w="1085" w:type="dxa"/>
            <w:tcBorders>
              <w:top w:val="nil"/>
              <w:left w:val="nil"/>
              <w:bottom w:val="single" w:sz="4" w:space="0" w:color="448A99"/>
              <w:right w:val="single" w:sz="4" w:space="0" w:color="448A99"/>
            </w:tcBorders>
            <w:shd w:val="clear" w:color="000000" w:fill="FFFFFF"/>
            <w:noWrap/>
            <w:vAlign w:val="center"/>
            <w:hideMark/>
          </w:tcPr>
          <w:p w:rsidR="008B4879" w:rsidRPr="00B75B77" w:rsidRDefault="008B4879" w:rsidP="005362A5">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100%</w:t>
            </w:r>
          </w:p>
        </w:tc>
      </w:tr>
      <w:tr w:rsidR="008B4879" w:rsidRPr="00B75B77" w:rsidTr="00BF79DE">
        <w:trPr>
          <w:divId w:val="1753509583"/>
          <w:trHeight w:val="240"/>
        </w:trPr>
        <w:tc>
          <w:tcPr>
            <w:tcW w:w="1795" w:type="dxa"/>
            <w:tcBorders>
              <w:top w:val="nil"/>
              <w:left w:val="single" w:sz="4" w:space="0" w:color="448A99"/>
              <w:bottom w:val="single" w:sz="4" w:space="0" w:color="448A99"/>
              <w:right w:val="single" w:sz="4" w:space="0" w:color="448A99"/>
            </w:tcBorders>
            <w:shd w:val="clear" w:color="000000" w:fill="D2EAF1"/>
            <w:noWrap/>
            <w:vAlign w:val="center"/>
            <w:hideMark/>
          </w:tcPr>
          <w:p w:rsidR="008B4879" w:rsidRPr="00B75B77" w:rsidRDefault="00BF79DE" w:rsidP="00A704A5">
            <w:pPr>
              <w:keepNext/>
              <w:jc w:val="left"/>
              <w:rPr>
                <w:rFonts w:ascii="Calibri" w:eastAsia="Times New Roman" w:hAnsi="Calibri"/>
                <w:b/>
                <w:color w:val="000000"/>
                <w:sz w:val="18"/>
                <w:szCs w:val="18"/>
              </w:rPr>
            </w:pPr>
            <w:r w:rsidRPr="00B75B77">
              <w:rPr>
                <w:rFonts w:ascii="Calibri" w:eastAsia="Times New Roman" w:hAnsi="Calibri"/>
                <w:b/>
                <w:color w:val="000000"/>
                <w:sz w:val="18"/>
                <w:szCs w:val="18"/>
              </w:rPr>
              <w:t xml:space="preserve">PROGRAM TOTAL </w:t>
            </w:r>
          </w:p>
        </w:tc>
        <w:tc>
          <w:tcPr>
            <w:tcW w:w="1080" w:type="dxa"/>
            <w:tcBorders>
              <w:top w:val="nil"/>
              <w:left w:val="nil"/>
              <w:bottom w:val="single" w:sz="4" w:space="0" w:color="448A99"/>
              <w:right w:val="single" w:sz="4" w:space="0" w:color="448A99"/>
            </w:tcBorders>
            <w:shd w:val="clear" w:color="000000" w:fill="D2EAF1"/>
            <w:noWrap/>
            <w:vAlign w:val="center"/>
            <w:hideMark/>
          </w:tcPr>
          <w:p w:rsidR="008B4879" w:rsidRPr="00B75B77" w:rsidRDefault="00EE07C1" w:rsidP="005362A5">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N/A</w:t>
            </w:r>
            <w:r w:rsidR="008B4879" w:rsidRPr="00B75B77">
              <w:rPr>
                <w:rFonts w:ascii="Calibri" w:eastAsia="Times New Roman" w:hAnsi="Calibri"/>
                <w:b/>
                <w:color w:val="000000"/>
                <w:sz w:val="18"/>
                <w:szCs w:val="18"/>
              </w:rPr>
              <w:t> </w:t>
            </w:r>
          </w:p>
        </w:tc>
        <w:tc>
          <w:tcPr>
            <w:tcW w:w="1080" w:type="dxa"/>
            <w:tcBorders>
              <w:top w:val="nil"/>
              <w:left w:val="nil"/>
              <w:bottom w:val="single" w:sz="4" w:space="0" w:color="448A99"/>
              <w:right w:val="single" w:sz="4" w:space="0" w:color="448A99"/>
            </w:tcBorders>
            <w:shd w:val="clear" w:color="000000" w:fill="D2EAF1"/>
            <w:noWrap/>
            <w:vAlign w:val="center"/>
            <w:hideMark/>
          </w:tcPr>
          <w:p w:rsidR="008B4879" w:rsidRPr="00B75B77" w:rsidRDefault="008B4879" w:rsidP="005362A5">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9,693</w:t>
            </w:r>
          </w:p>
        </w:tc>
        <w:tc>
          <w:tcPr>
            <w:tcW w:w="1170" w:type="dxa"/>
            <w:tcBorders>
              <w:top w:val="nil"/>
              <w:left w:val="nil"/>
              <w:bottom w:val="single" w:sz="4" w:space="0" w:color="448A99"/>
              <w:right w:val="single" w:sz="4" w:space="0" w:color="448A99"/>
            </w:tcBorders>
            <w:shd w:val="clear" w:color="000000" w:fill="D2EAF1"/>
            <w:noWrap/>
            <w:vAlign w:val="center"/>
            <w:hideMark/>
          </w:tcPr>
          <w:p w:rsidR="008B4879" w:rsidRPr="00B75B77" w:rsidRDefault="00EE07C1" w:rsidP="005362A5">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N/A</w:t>
            </w:r>
            <w:r w:rsidR="008B4879" w:rsidRPr="00B75B77">
              <w:rPr>
                <w:rFonts w:ascii="Calibri" w:eastAsia="Times New Roman" w:hAnsi="Calibri"/>
                <w:b/>
                <w:color w:val="000000"/>
                <w:sz w:val="18"/>
                <w:szCs w:val="18"/>
              </w:rPr>
              <w:t> </w:t>
            </w:r>
          </w:p>
        </w:tc>
        <w:tc>
          <w:tcPr>
            <w:tcW w:w="1080" w:type="dxa"/>
            <w:tcBorders>
              <w:top w:val="nil"/>
              <w:left w:val="nil"/>
              <w:bottom w:val="single" w:sz="4" w:space="0" w:color="448A99"/>
              <w:right w:val="single" w:sz="4" w:space="0" w:color="448A99"/>
            </w:tcBorders>
            <w:shd w:val="clear" w:color="000000" w:fill="D2EAF1"/>
            <w:noWrap/>
            <w:vAlign w:val="center"/>
            <w:hideMark/>
          </w:tcPr>
          <w:p w:rsidR="008B4879" w:rsidRPr="00B75B77" w:rsidRDefault="00EE07C1" w:rsidP="005362A5">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85/15</w:t>
            </w:r>
            <w:r w:rsidR="008B4879" w:rsidRPr="00B75B77">
              <w:rPr>
                <w:rFonts w:ascii="Calibri" w:eastAsia="Times New Roman" w:hAnsi="Calibri"/>
                <w:b/>
                <w:color w:val="000000"/>
                <w:sz w:val="18"/>
                <w:szCs w:val="18"/>
              </w:rPr>
              <w:t> </w:t>
            </w:r>
          </w:p>
        </w:tc>
        <w:tc>
          <w:tcPr>
            <w:tcW w:w="810" w:type="dxa"/>
            <w:tcBorders>
              <w:top w:val="nil"/>
              <w:left w:val="nil"/>
              <w:bottom w:val="single" w:sz="4" w:space="0" w:color="448A99"/>
              <w:right w:val="single" w:sz="4" w:space="0" w:color="448A99"/>
            </w:tcBorders>
            <w:shd w:val="clear" w:color="000000" w:fill="D2EAF1"/>
            <w:noWrap/>
            <w:vAlign w:val="bottom"/>
            <w:hideMark/>
          </w:tcPr>
          <w:p w:rsidR="008B4879" w:rsidRPr="00B75B77" w:rsidRDefault="008B4879" w:rsidP="005362A5">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140</w:t>
            </w:r>
          </w:p>
        </w:tc>
        <w:tc>
          <w:tcPr>
            <w:tcW w:w="990" w:type="dxa"/>
            <w:tcBorders>
              <w:top w:val="nil"/>
              <w:left w:val="nil"/>
              <w:bottom w:val="single" w:sz="4" w:space="0" w:color="448A99"/>
              <w:right w:val="single" w:sz="4" w:space="0" w:color="448A99"/>
            </w:tcBorders>
            <w:shd w:val="clear" w:color="000000" w:fill="D2EAF1"/>
            <w:noWrap/>
            <w:vAlign w:val="center"/>
            <w:hideMark/>
          </w:tcPr>
          <w:p w:rsidR="008B4879" w:rsidRPr="00B75B77" w:rsidRDefault="008B4879" w:rsidP="005362A5">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140</w:t>
            </w:r>
          </w:p>
        </w:tc>
        <w:tc>
          <w:tcPr>
            <w:tcW w:w="1085" w:type="dxa"/>
            <w:tcBorders>
              <w:top w:val="nil"/>
              <w:left w:val="nil"/>
              <w:bottom w:val="single" w:sz="4" w:space="0" w:color="448A99"/>
              <w:right w:val="single" w:sz="4" w:space="0" w:color="448A99"/>
            </w:tcBorders>
            <w:shd w:val="clear" w:color="000000" w:fill="D2EAF1"/>
            <w:noWrap/>
            <w:vAlign w:val="center"/>
            <w:hideMark/>
          </w:tcPr>
          <w:p w:rsidR="008B4879" w:rsidRPr="00B75B77" w:rsidRDefault="00EE07C1" w:rsidP="005362A5">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100%</w:t>
            </w:r>
            <w:r w:rsidR="008B4879" w:rsidRPr="00B75B77">
              <w:rPr>
                <w:rFonts w:ascii="Calibri" w:eastAsia="Times New Roman" w:hAnsi="Calibri"/>
                <w:b/>
                <w:color w:val="000000"/>
                <w:sz w:val="18"/>
                <w:szCs w:val="18"/>
              </w:rPr>
              <w:t> </w:t>
            </w:r>
          </w:p>
        </w:tc>
      </w:tr>
    </w:tbl>
    <w:p w:rsidR="00BF79DE" w:rsidRPr="00B75B77" w:rsidRDefault="00BF79DE" w:rsidP="00BF79DE">
      <w:pPr>
        <w:pStyle w:val="Source"/>
        <w:keepNext/>
        <w:spacing w:before="20" w:after="20"/>
        <w:ind w:left="0" w:firstLine="0"/>
        <w:rPr>
          <w:i w:val="0"/>
        </w:rPr>
      </w:pPr>
      <w:r w:rsidRPr="00B75B77">
        <w:rPr>
          <w:i w:val="0"/>
        </w:rPr>
        <w:t>Note: Values in tables may not reconcile exactly with the sum of more detailed level results or previously reported results due to rounding.</w:t>
      </w:r>
    </w:p>
    <w:p w:rsidR="008B4879" w:rsidRPr="00B75B77" w:rsidRDefault="008B4879" w:rsidP="00BF79DE">
      <w:pPr>
        <w:pStyle w:val="Source"/>
        <w:keepNext/>
        <w:spacing w:after="120"/>
        <w:ind w:left="0" w:firstLine="0"/>
      </w:pPr>
      <w:r w:rsidRPr="00B75B77">
        <w:t>Source: Navigant analysis</w:t>
      </w:r>
    </w:p>
    <w:p w:rsidR="008B4879" w:rsidRPr="00B75B77" w:rsidRDefault="008B4879">
      <w:pPr>
        <w:jc w:val="left"/>
        <w:rPr>
          <w:bCs/>
        </w:rPr>
      </w:pPr>
      <w:r w:rsidRPr="00B75B77">
        <w:rPr>
          <w:bCs/>
        </w:rPr>
        <w:t xml:space="preserve">The PY7 NTG calculation </w:t>
      </w:r>
      <w:r w:rsidR="00D6635C" w:rsidRPr="00B75B77">
        <w:rPr>
          <w:bCs/>
        </w:rPr>
        <w:t>wa</w:t>
      </w:r>
      <w:r w:rsidRPr="00B75B77">
        <w:rPr>
          <w:bCs/>
        </w:rPr>
        <w:t xml:space="preserve">s enhanced by primary data collected by ARCA while attempting to schedule appointments with customers stranded by the JACO closure. Of the 529 customers ARCA was able to reach, 244 said they were uninterested in scheduling another pickup. Navigant leveraged the reasons these customers gave for not wanting to reschedule as a way to understand what nonparticipants might do with their old refrigerators and freezers in the absence of the SAR program. Of the 244 respondents, 97 indicated they transferred their appliance by selling or giving it away, 128 indicated they destroyed their appliance, and 19 indicated they decided to keep their appliance. The evaluation team weighted these nonparticipant actions against how refrigerator and freezer survey participants reported they would have acted in lieu of the program. </w:t>
      </w:r>
      <w:r w:rsidR="005362A5" w:rsidRPr="00B75B77">
        <w:fldChar w:fldCharType="begin"/>
      </w:r>
      <w:r w:rsidR="005362A5" w:rsidRPr="00B75B77">
        <w:rPr>
          <w:bCs/>
        </w:rPr>
        <w:instrText xml:space="preserve"> REF _Ref462139377 \h </w:instrText>
      </w:r>
      <w:r w:rsidR="00B75B77">
        <w:instrText xml:space="preserve"> \* MERGEFORMAT </w:instrText>
      </w:r>
      <w:r w:rsidR="005362A5" w:rsidRPr="00B75B77">
        <w:fldChar w:fldCharType="separate"/>
      </w:r>
      <w:r w:rsidR="0004016D" w:rsidRPr="00B75B77">
        <w:t xml:space="preserve">Table </w:t>
      </w:r>
      <w:r w:rsidR="0004016D">
        <w:rPr>
          <w:noProof/>
        </w:rPr>
        <w:t>4</w:t>
      </w:r>
      <w:r w:rsidR="0004016D" w:rsidRPr="00B75B77">
        <w:rPr>
          <w:noProof/>
        </w:rPr>
        <w:noBreakHyphen/>
      </w:r>
      <w:r w:rsidR="0004016D">
        <w:rPr>
          <w:noProof/>
        </w:rPr>
        <w:t>6</w:t>
      </w:r>
      <w:r w:rsidR="005362A5" w:rsidRPr="00B75B77">
        <w:fldChar w:fldCharType="end"/>
      </w:r>
      <w:r w:rsidR="005362A5" w:rsidRPr="00B75B77">
        <w:t xml:space="preserve"> </w:t>
      </w:r>
      <w:r w:rsidR="005362A5" w:rsidRPr="00B75B77">
        <w:rPr>
          <w:bCs/>
        </w:rPr>
        <w:t xml:space="preserve"> and </w:t>
      </w:r>
      <w:r w:rsidR="005362A5" w:rsidRPr="00B75B77">
        <w:rPr>
          <w:bCs/>
        </w:rPr>
        <w:fldChar w:fldCharType="begin"/>
      </w:r>
      <w:r w:rsidR="005362A5" w:rsidRPr="00B75B77">
        <w:rPr>
          <w:bCs/>
        </w:rPr>
        <w:instrText xml:space="preserve"> REF _Ref462964540 \h </w:instrText>
      </w:r>
      <w:r w:rsidR="00B75B77">
        <w:rPr>
          <w:bCs/>
        </w:rPr>
        <w:instrText xml:space="preserve"> \* MERGEFORMAT </w:instrText>
      </w:r>
      <w:r w:rsidR="005362A5" w:rsidRPr="00B75B77">
        <w:rPr>
          <w:bCs/>
        </w:rPr>
      </w:r>
      <w:r w:rsidR="005362A5" w:rsidRPr="00B75B77">
        <w:rPr>
          <w:bCs/>
        </w:rPr>
        <w:fldChar w:fldCharType="separate"/>
      </w:r>
      <w:r w:rsidR="0004016D" w:rsidRPr="00B75B77">
        <w:t xml:space="preserve">Table </w:t>
      </w:r>
      <w:r w:rsidR="0004016D">
        <w:rPr>
          <w:noProof/>
        </w:rPr>
        <w:t>4</w:t>
      </w:r>
      <w:r w:rsidR="0004016D" w:rsidRPr="00B75B77">
        <w:rPr>
          <w:noProof/>
        </w:rPr>
        <w:noBreakHyphen/>
      </w:r>
      <w:r w:rsidR="0004016D">
        <w:rPr>
          <w:noProof/>
        </w:rPr>
        <w:t>7</w:t>
      </w:r>
      <w:r w:rsidR="005362A5" w:rsidRPr="00B75B77">
        <w:rPr>
          <w:bCs/>
        </w:rPr>
        <w:fldChar w:fldCharType="end"/>
      </w:r>
      <w:r w:rsidRPr="00B75B77">
        <w:rPr>
          <w:bCs/>
        </w:rPr>
        <w:t xml:space="preserve"> show the weighting applied to each data source and the portion of units each source reported were transferred versus destroyed. These proportions of discards are only used to refine the percentage of SAR program participants who report they would have discarded their appliance. The percentage of program participants who said they would have kept their appliance comes solely from the participant survey. </w:t>
      </w:r>
    </w:p>
    <w:p w:rsidR="008B4879" w:rsidRPr="00B75B77" w:rsidRDefault="008B4879">
      <w:pPr>
        <w:jc w:val="left"/>
        <w:rPr>
          <w:bCs/>
        </w:rPr>
      </w:pPr>
    </w:p>
    <w:p w:rsidR="008B4879" w:rsidRPr="00B75B77" w:rsidRDefault="008B4879" w:rsidP="00751A38">
      <w:pPr>
        <w:pStyle w:val="Caption"/>
      </w:pPr>
      <w:bookmarkStart w:id="384" w:name="_Ref462139377"/>
      <w:bookmarkStart w:id="385" w:name="_Toc466413535"/>
      <w:r w:rsidRPr="00B75B77">
        <w:t xml:space="preserve">Table </w:t>
      </w:r>
      <w:fldSimple w:instr=" STYLEREF 1 \s ">
        <w:r w:rsidR="0004016D">
          <w:rPr>
            <w:noProof/>
          </w:rPr>
          <w:t>4</w:t>
        </w:r>
      </w:fldSimple>
      <w:r w:rsidR="00F1144C" w:rsidRPr="00B75B77">
        <w:noBreakHyphen/>
      </w:r>
      <w:fldSimple w:instr=" SEQ Table \* ARABIC \s 1 ">
        <w:r w:rsidR="0004016D">
          <w:rPr>
            <w:noProof/>
          </w:rPr>
          <w:t>6</w:t>
        </w:r>
      </w:fldSimple>
      <w:bookmarkEnd w:id="384"/>
      <w:r w:rsidR="005362A5" w:rsidRPr="00B75B77">
        <w:t>:</w:t>
      </w:r>
      <w:r w:rsidRPr="00B75B77">
        <w:t xml:space="preserve"> Smart Appliance Recycling Refrigerator Discard/Keep Proportions</w:t>
      </w:r>
      <w:bookmarkEnd w:id="385"/>
    </w:p>
    <w:tbl>
      <w:tblPr>
        <w:tblStyle w:val="PECOTeal"/>
        <w:tblW w:w="9442" w:type="dxa"/>
        <w:tblLayout w:type="fixed"/>
        <w:tblLook w:val="04A0" w:firstRow="1" w:lastRow="0" w:firstColumn="1" w:lastColumn="0" w:noHBand="0" w:noVBand="1"/>
      </w:tblPr>
      <w:tblGrid>
        <w:gridCol w:w="892"/>
        <w:gridCol w:w="1080"/>
        <w:gridCol w:w="1350"/>
        <w:gridCol w:w="990"/>
        <w:gridCol w:w="1258"/>
        <w:gridCol w:w="902"/>
        <w:gridCol w:w="810"/>
        <w:gridCol w:w="1080"/>
        <w:gridCol w:w="1080"/>
      </w:tblGrid>
      <w:tr w:rsidR="00DA145F" w:rsidRPr="00B75B77" w:rsidTr="00A704A5">
        <w:trPr>
          <w:cnfStyle w:val="100000000000" w:firstRow="1" w:lastRow="0" w:firstColumn="0" w:lastColumn="0" w:oddVBand="0" w:evenVBand="0" w:oddHBand="0"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892"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8B4879" w:rsidRPr="00B75B77" w:rsidRDefault="008B4879" w:rsidP="000D5E51">
            <w:pPr>
              <w:jc w:val="left"/>
              <w:rPr>
                <w:rFonts w:ascii="Calibri" w:eastAsia="Times New Roman" w:hAnsi="Calibri"/>
                <w:lang w:eastAsia="zh-CN"/>
              </w:rPr>
            </w:pPr>
            <w:r w:rsidRPr="00B75B77">
              <w:rPr>
                <w:rFonts w:ascii="Calibri" w:eastAsia="Times New Roman" w:hAnsi="Calibri"/>
                <w:lang w:eastAsia="zh-CN"/>
              </w:rPr>
              <w:t>Discard/ Keep</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8B4879" w:rsidRPr="00B75B77" w:rsidRDefault="008B4879" w:rsidP="00751A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lang w:eastAsia="zh-CN"/>
              </w:rPr>
            </w:pPr>
            <w:r w:rsidRPr="00B75B77">
              <w:rPr>
                <w:rFonts w:ascii="Calibri" w:eastAsia="Times New Roman" w:hAnsi="Calibri"/>
                <w:lang w:eastAsia="zh-CN"/>
              </w:rPr>
              <w:t>Proportion of Participant Sample</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8B4879" w:rsidRPr="00B75B77" w:rsidRDefault="008B4879" w:rsidP="00751A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lang w:eastAsia="zh-CN"/>
              </w:rPr>
            </w:pPr>
            <w:r w:rsidRPr="00B75B77">
              <w:rPr>
                <w:rFonts w:ascii="Calibri" w:eastAsia="Times New Roman" w:hAnsi="Calibri"/>
                <w:lang w:eastAsia="zh-CN"/>
              </w:rPr>
              <w:t>Sample</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8B4879" w:rsidRPr="00B75B77" w:rsidRDefault="008B4879" w:rsidP="00751A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lang w:eastAsia="zh-CN"/>
              </w:rPr>
            </w:pPr>
            <w:r w:rsidRPr="00B75B77">
              <w:rPr>
                <w:rFonts w:ascii="Calibri" w:eastAsia="Times New Roman" w:hAnsi="Calibri"/>
                <w:lang w:eastAsia="zh-CN"/>
              </w:rPr>
              <w:t>Discard Scenario</w:t>
            </w:r>
          </w:p>
        </w:tc>
        <w:tc>
          <w:tcPr>
            <w:tcW w:w="1258"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8B4879" w:rsidRPr="00B75B77" w:rsidRDefault="00DA145F" w:rsidP="00751A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lang w:eastAsia="zh-CN"/>
              </w:rPr>
            </w:pPr>
            <w:r w:rsidRPr="00B75B77">
              <w:rPr>
                <w:rFonts w:ascii="Calibri" w:eastAsia="Times New Roman" w:hAnsi="Calibri"/>
                <w:lang w:eastAsia="zh-CN"/>
              </w:rPr>
              <w:t>No. of Participants</w:t>
            </w:r>
          </w:p>
        </w:tc>
        <w:tc>
          <w:tcPr>
            <w:tcW w:w="902"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8B4879" w:rsidRPr="00B75B77" w:rsidRDefault="008B4879" w:rsidP="00751A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lang w:eastAsia="zh-CN"/>
              </w:rPr>
            </w:pPr>
            <w:r w:rsidRPr="00B75B77">
              <w:rPr>
                <w:rFonts w:ascii="Calibri" w:eastAsia="Times New Roman" w:hAnsi="Calibri"/>
                <w:lang w:eastAsia="zh-CN"/>
              </w:rPr>
              <w:t>S</w:t>
            </w:r>
            <w:r w:rsidR="00A704A5" w:rsidRPr="00B75B77">
              <w:rPr>
                <w:rFonts w:ascii="Calibri" w:eastAsia="Times New Roman" w:hAnsi="Calibri"/>
                <w:lang w:eastAsia="zh-CN"/>
              </w:rPr>
              <w:t xml:space="preserve">tandard </w:t>
            </w:r>
            <w:r w:rsidRPr="00B75B77">
              <w:rPr>
                <w:rFonts w:ascii="Calibri" w:eastAsia="Times New Roman" w:hAnsi="Calibri"/>
                <w:lang w:eastAsia="zh-CN"/>
              </w:rPr>
              <w:t>E</w:t>
            </w:r>
            <w:r w:rsidR="00A704A5" w:rsidRPr="00B75B77">
              <w:rPr>
                <w:rFonts w:ascii="Calibri" w:eastAsia="Times New Roman" w:hAnsi="Calibri"/>
                <w:lang w:eastAsia="zh-CN"/>
              </w:rPr>
              <w:t>rror</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8B4879" w:rsidRPr="00B75B77" w:rsidRDefault="008B4879" w:rsidP="00751A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lang w:eastAsia="zh-CN"/>
              </w:rPr>
            </w:pPr>
            <w:r w:rsidRPr="00B75B77">
              <w:rPr>
                <w:rFonts w:ascii="Calibri" w:eastAsia="Times New Roman" w:hAnsi="Calibri"/>
                <w:lang w:eastAsia="zh-CN"/>
              </w:rPr>
              <w:t>Weight</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8B4879" w:rsidRPr="00B75B77" w:rsidRDefault="008B4879" w:rsidP="00751A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lang w:eastAsia="zh-CN"/>
              </w:rPr>
            </w:pPr>
            <w:r w:rsidRPr="00B75B77">
              <w:rPr>
                <w:rFonts w:ascii="Calibri" w:eastAsia="Times New Roman" w:hAnsi="Calibri"/>
                <w:lang w:eastAsia="zh-CN"/>
              </w:rPr>
              <w:t>Proportion of Discards</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8B4879" w:rsidRPr="00B75B77" w:rsidRDefault="008B4879" w:rsidP="00751A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lang w:eastAsia="zh-CN"/>
              </w:rPr>
            </w:pPr>
            <w:r w:rsidRPr="00B75B77">
              <w:rPr>
                <w:rFonts w:ascii="Calibri" w:eastAsia="Times New Roman" w:hAnsi="Calibri"/>
                <w:lang w:eastAsia="zh-CN"/>
              </w:rPr>
              <w:t>Overall Proportion</w:t>
            </w:r>
          </w:p>
        </w:tc>
      </w:tr>
      <w:tr w:rsidR="00DA145F" w:rsidRPr="00B75B77" w:rsidTr="00A704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2" w:type="dxa"/>
            <w:vMerge w:val="restart"/>
            <w:tcBorders>
              <w:top w:val="single" w:sz="6" w:space="0" w:color="000000" w:themeColor="text1"/>
            </w:tcBorders>
            <w:noWrap/>
            <w:hideMark/>
          </w:tcPr>
          <w:p w:rsidR="008B4879" w:rsidRPr="00B75B77" w:rsidRDefault="008B4879" w:rsidP="000147F5">
            <w:pPr>
              <w:jc w:val="left"/>
              <w:rPr>
                <w:rFonts w:ascii="Calibri" w:eastAsia="Times New Roman" w:hAnsi="Calibri"/>
                <w:b w:val="0"/>
                <w:color w:val="000000"/>
                <w:lang w:eastAsia="zh-CN"/>
              </w:rPr>
            </w:pPr>
            <w:r w:rsidRPr="00B75B77">
              <w:rPr>
                <w:rFonts w:ascii="Calibri" w:eastAsia="Times New Roman" w:hAnsi="Calibri"/>
                <w:b w:val="0"/>
                <w:color w:val="000000"/>
                <w:lang w:eastAsia="zh-CN"/>
              </w:rPr>
              <w:t>Discard</w:t>
            </w:r>
          </w:p>
        </w:tc>
        <w:tc>
          <w:tcPr>
            <w:tcW w:w="1080" w:type="dxa"/>
            <w:vMerge w:val="restart"/>
            <w:tcBorders>
              <w:top w:val="single" w:sz="6" w:space="0" w:color="000000" w:themeColor="text1"/>
            </w:tcBorders>
            <w:noWrap/>
            <w:hideMark/>
          </w:tcPr>
          <w:p w:rsidR="008B4879" w:rsidRPr="00B75B77" w:rsidRDefault="008B4879" w:rsidP="00751A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72%</w:t>
            </w:r>
          </w:p>
        </w:tc>
        <w:tc>
          <w:tcPr>
            <w:tcW w:w="1350" w:type="dxa"/>
            <w:vMerge w:val="restart"/>
            <w:tcBorders>
              <w:top w:val="single" w:sz="6" w:space="0" w:color="000000" w:themeColor="text1"/>
            </w:tcBorders>
            <w:noWrap/>
            <w:hideMark/>
          </w:tcPr>
          <w:p w:rsidR="008B4879" w:rsidRPr="00B75B77" w:rsidRDefault="008B4879" w:rsidP="00751A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Participant</w:t>
            </w:r>
          </w:p>
        </w:tc>
        <w:tc>
          <w:tcPr>
            <w:tcW w:w="990" w:type="dxa"/>
            <w:tcBorders>
              <w:top w:val="single" w:sz="6" w:space="0" w:color="000000" w:themeColor="text1"/>
            </w:tcBorders>
            <w:noWrap/>
            <w:hideMark/>
          </w:tcPr>
          <w:p w:rsidR="008B4879" w:rsidRPr="00B75B77" w:rsidRDefault="008B4879" w:rsidP="00751A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Transfer</w:t>
            </w:r>
          </w:p>
        </w:tc>
        <w:tc>
          <w:tcPr>
            <w:tcW w:w="1258" w:type="dxa"/>
            <w:tcBorders>
              <w:top w:val="single" w:sz="6" w:space="0" w:color="000000" w:themeColor="text1"/>
            </w:tcBorders>
            <w:noWrap/>
            <w:hideMark/>
          </w:tcPr>
          <w:p w:rsidR="008B4879" w:rsidRPr="00B75B77" w:rsidRDefault="008B4879" w:rsidP="00751A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14</w:t>
            </w:r>
            <w:r w:rsidRPr="00B75B77">
              <w:rPr>
                <w:rFonts w:ascii="Calibri" w:eastAsia="Times New Roman" w:hAnsi="Calibri"/>
                <w:color w:val="000000"/>
                <w:vertAlign w:val="superscript"/>
                <w:lang w:eastAsia="zh-CN"/>
              </w:rPr>
              <w:t>[1]</w:t>
            </w:r>
          </w:p>
        </w:tc>
        <w:tc>
          <w:tcPr>
            <w:tcW w:w="902" w:type="dxa"/>
            <w:vMerge w:val="restart"/>
            <w:tcBorders>
              <w:top w:val="single" w:sz="6" w:space="0" w:color="000000" w:themeColor="text1"/>
            </w:tcBorders>
            <w:noWrap/>
            <w:hideMark/>
          </w:tcPr>
          <w:p w:rsidR="008B4879" w:rsidRPr="00B75B77" w:rsidRDefault="008B4879" w:rsidP="00751A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0.09</w:t>
            </w:r>
          </w:p>
        </w:tc>
        <w:tc>
          <w:tcPr>
            <w:tcW w:w="810" w:type="dxa"/>
            <w:vMerge w:val="restart"/>
            <w:tcBorders>
              <w:top w:val="single" w:sz="6" w:space="0" w:color="000000" w:themeColor="text1"/>
            </w:tcBorders>
            <w:noWrap/>
            <w:hideMark/>
          </w:tcPr>
          <w:p w:rsidR="008B4879" w:rsidRPr="00B75B77" w:rsidRDefault="008B4879" w:rsidP="00751A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49.5%</w:t>
            </w:r>
          </w:p>
        </w:tc>
        <w:tc>
          <w:tcPr>
            <w:tcW w:w="1080" w:type="dxa"/>
            <w:tcBorders>
              <w:top w:val="single" w:sz="6" w:space="0" w:color="000000" w:themeColor="text1"/>
            </w:tcBorders>
            <w:noWrap/>
            <w:hideMark/>
          </w:tcPr>
          <w:p w:rsidR="008B4879" w:rsidRPr="00B75B77" w:rsidRDefault="008B4879" w:rsidP="00751A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50%</w:t>
            </w:r>
          </w:p>
        </w:tc>
        <w:tc>
          <w:tcPr>
            <w:tcW w:w="1080" w:type="dxa"/>
            <w:vMerge w:val="restart"/>
            <w:tcBorders>
              <w:top w:val="single" w:sz="6" w:space="0" w:color="000000" w:themeColor="text1"/>
            </w:tcBorders>
            <w:noWrap/>
            <w:hideMark/>
          </w:tcPr>
          <w:p w:rsidR="008B4879" w:rsidRPr="00B75B77" w:rsidRDefault="008B4879" w:rsidP="00751A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 </w:t>
            </w:r>
          </w:p>
        </w:tc>
      </w:tr>
      <w:tr w:rsidR="00DA145F" w:rsidRPr="00B75B77" w:rsidTr="00A704A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2" w:type="dxa"/>
            <w:vMerge/>
            <w:shd w:val="clear" w:color="auto" w:fill="D2EAF1"/>
            <w:hideMark/>
          </w:tcPr>
          <w:p w:rsidR="008B4879" w:rsidRPr="00B75B77" w:rsidRDefault="008B4879" w:rsidP="000147F5">
            <w:pPr>
              <w:jc w:val="left"/>
              <w:rPr>
                <w:rFonts w:ascii="Calibri" w:eastAsia="Times New Roman" w:hAnsi="Calibri"/>
                <w:b w:val="0"/>
                <w:color w:val="000000"/>
                <w:lang w:eastAsia="zh-CN"/>
              </w:rPr>
            </w:pPr>
          </w:p>
        </w:tc>
        <w:tc>
          <w:tcPr>
            <w:tcW w:w="1080" w:type="dxa"/>
            <w:vMerge/>
            <w:shd w:val="clear" w:color="auto" w:fill="D2EAF1"/>
            <w:hideMark/>
          </w:tcPr>
          <w:p w:rsidR="008B4879" w:rsidRPr="00B75B77" w:rsidRDefault="008B4879" w:rsidP="00751A38">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zh-CN"/>
              </w:rPr>
            </w:pPr>
          </w:p>
        </w:tc>
        <w:tc>
          <w:tcPr>
            <w:tcW w:w="1350" w:type="dxa"/>
            <w:vMerge/>
            <w:shd w:val="clear" w:color="auto" w:fill="D2EAF1"/>
            <w:hideMark/>
          </w:tcPr>
          <w:p w:rsidR="008B4879" w:rsidRPr="00B75B77" w:rsidRDefault="008B4879" w:rsidP="00751A38">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zh-CN"/>
              </w:rPr>
            </w:pPr>
          </w:p>
        </w:tc>
        <w:tc>
          <w:tcPr>
            <w:tcW w:w="990" w:type="dxa"/>
            <w:shd w:val="clear" w:color="auto" w:fill="D2EAF1"/>
            <w:noWrap/>
            <w:hideMark/>
          </w:tcPr>
          <w:p w:rsidR="008B4879" w:rsidRPr="00B75B77" w:rsidRDefault="008B4879" w:rsidP="00751A3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Destroy</w:t>
            </w:r>
          </w:p>
        </w:tc>
        <w:tc>
          <w:tcPr>
            <w:tcW w:w="1258" w:type="dxa"/>
            <w:shd w:val="clear" w:color="auto" w:fill="D2EAF1"/>
            <w:noWrap/>
            <w:hideMark/>
          </w:tcPr>
          <w:p w:rsidR="008B4879" w:rsidRPr="00B75B77" w:rsidRDefault="008B4879" w:rsidP="00751A3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14</w:t>
            </w:r>
            <w:r w:rsidRPr="00B75B77">
              <w:rPr>
                <w:rFonts w:ascii="Calibri" w:eastAsia="Times New Roman" w:hAnsi="Calibri"/>
                <w:color w:val="000000"/>
                <w:vertAlign w:val="superscript"/>
                <w:lang w:eastAsia="zh-CN"/>
              </w:rPr>
              <w:t>[2]</w:t>
            </w:r>
          </w:p>
        </w:tc>
        <w:tc>
          <w:tcPr>
            <w:tcW w:w="902" w:type="dxa"/>
            <w:vMerge/>
            <w:shd w:val="clear" w:color="auto" w:fill="D2EAF1"/>
            <w:hideMark/>
          </w:tcPr>
          <w:p w:rsidR="008B4879" w:rsidRPr="00B75B77" w:rsidRDefault="008B4879" w:rsidP="00751A38">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zh-CN"/>
              </w:rPr>
            </w:pPr>
          </w:p>
        </w:tc>
        <w:tc>
          <w:tcPr>
            <w:tcW w:w="810" w:type="dxa"/>
            <w:vMerge/>
            <w:shd w:val="clear" w:color="auto" w:fill="D2EAF1"/>
            <w:hideMark/>
          </w:tcPr>
          <w:p w:rsidR="008B4879" w:rsidRPr="00B75B77" w:rsidRDefault="008B4879" w:rsidP="00751A38">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zh-CN"/>
              </w:rPr>
            </w:pPr>
          </w:p>
        </w:tc>
        <w:tc>
          <w:tcPr>
            <w:tcW w:w="1080" w:type="dxa"/>
            <w:shd w:val="clear" w:color="auto" w:fill="D2EAF1"/>
            <w:noWrap/>
            <w:hideMark/>
          </w:tcPr>
          <w:p w:rsidR="008B4879" w:rsidRPr="00B75B77" w:rsidRDefault="008B4879" w:rsidP="00751A3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50%</w:t>
            </w:r>
          </w:p>
        </w:tc>
        <w:tc>
          <w:tcPr>
            <w:tcW w:w="1080" w:type="dxa"/>
            <w:vMerge/>
            <w:shd w:val="clear" w:color="auto" w:fill="D2EAF1"/>
            <w:hideMark/>
          </w:tcPr>
          <w:p w:rsidR="008B4879" w:rsidRPr="00B75B77" w:rsidRDefault="008B4879" w:rsidP="00751A38">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zh-CN"/>
              </w:rPr>
            </w:pPr>
          </w:p>
        </w:tc>
      </w:tr>
      <w:tr w:rsidR="00DA145F" w:rsidRPr="00B75B77" w:rsidTr="00A704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2" w:type="dxa"/>
            <w:vMerge/>
            <w:hideMark/>
          </w:tcPr>
          <w:p w:rsidR="008B4879" w:rsidRPr="00B75B77" w:rsidRDefault="008B4879" w:rsidP="000147F5">
            <w:pPr>
              <w:jc w:val="left"/>
              <w:rPr>
                <w:rFonts w:ascii="Calibri" w:eastAsia="Times New Roman" w:hAnsi="Calibri"/>
                <w:b w:val="0"/>
                <w:color w:val="000000"/>
                <w:lang w:eastAsia="zh-CN"/>
              </w:rPr>
            </w:pPr>
          </w:p>
        </w:tc>
        <w:tc>
          <w:tcPr>
            <w:tcW w:w="1080" w:type="dxa"/>
            <w:vMerge/>
            <w:hideMark/>
          </w:tcPr>
          <w:p w:rsidR="008B4879" w:rsidRPr="00B75B77" w:rsidRDefault="008B4879" w:rsidP="00751A38">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zh-CN"/>
              </w:rPr>
            </w:pPr>
          </w:p>
        </w:tc>
        <w:tc>
          <w:tcPr>
            <w:tcW w:w="1350" w:type="dxa"/>
            <w:vMerge w:val="restart"/>
            <w:shd w:val="clear" w:color="auto" w:fill="auto"/>
            <w:hideMark/>
          </w:tcPr>
          <w:p w:rsidR="008B4879" w:rsidRPr="00B75B77" w:rsidRDefault="008B4879" w:rsidP="00751A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Nonparticipant</w:t>
            </w:r>
          </w:p>
        </w:tc>
        <w:tc>
          <w:tcPr>
            <w:tcW w:w="990" w:type="dxa"/>
            <w:shd w:val="clear" w:color="auto" w:fill="auto"/>
            <w:noWrap/>
            <w:hideMark/>
          </w:tcPr>
          <w:p w:rsidR="008B4879" w:rsidRPr="00B75B77" w:rsidRDefault="008B4879" w:rsidP="00751A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Transfer</w:t>
            </w:r>
          </w:p>
        </w:tc>
        <w:tc>
          <w:tcPr>
            <w:tcW w:w="1258" w:type="dxa"/>
            <w:shd w:val="clear" w:color="auto" w:fill="auto"/>
            <w:noWrap/>
            <w:hideMark/>
          </w:tcPr>
          <w:p w:rsidR="008B4879" w:rsidRPr="00B75B77" w:rsidRDefault="008B4879" w:rsidP="00751A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97</w:t>
            </w:r>
          </w:p>
        </w:tc>
        <w:tc>
          <w:tcPr>
            <w:tcW w:w="902" w:type="dxa"/>
            <w:vMerge w:val="restart"/>
            <w:shd w:val="clear" w:color="auto" w:fill="auto"/>
            <w:noWrap/>
            <w:hideMark/>
          </w:tcPr>
          <w:p w:rsidR="008B4879" w:rsidRPr="00B75B77" w:rsidRDefault="008B4879" w:rsidP="00751A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0.03</w:t>
            </w:r>
          </w:p>
        </w:tc>
        <w:tc>
          <w:tcPr>
            <w:tcW w:w="810" w:type="dxa"/>
            <w:vMerge w:val="restart"/>
            <w:shd w:val="clear" w:color="auto" w:fill="auto"/>
            <w:noWrap/>
            <w:hideMark/>
          </w:tcPr>
          <w:p w:rsidR="008B4879" w:rsidRPr="00B75B77" w:rsidRDefault="008B4879" w:rsidP="00751A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50.5%</w:t>
            </w:r>
          </w:p>
        </w:tc>
        <w:tc>
          <w:tcPr>
            <w:tcW w:w="1080" w:type="dxa"/>
            <w:shd w:val="clear" w:color="auto" w:fill="auto"/>
            <w:noWrap/>
            <w:hideMark/>
          </w:tcPr>
          <w:p w:rsidR="008B4879" w:rsidRPr="00B75B77" w:rsidRDefault="008B4879" w:rsidP="00751A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43%</w:t>
            </w:r>
          </w:p>
        </w:tc>
        <w:tc>
          <w:tcPr>
            <w:tcW w:w="1080" w:type="dxa"/>
            <w:vMerge/>
            <w:hideMark/>
          </w:tcPr>
          <w:p w:rsidR="008B4879" w:rsidRPr="00B75B77" w:rsidRDefault="008B4879" w:rsidP="00751A38">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zh-CN"/>
              </w:rPr>
            </w:pPr>
          </w:p>
        </w:tc>
      </w:tr>
      <w:tr w:rsidR="00DA145F" w:rsidRPr="00B75B77" w:rsidTr="00A704A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92" w:type="dxa"/>
            <w:vMerge/>
            <w:shd w:val="clear" w:color="auto" w:fill="D2EAF1"/>
            <w:hideMark/>
          </w:tcPr>
          <w:p w:rsidR="008B4879" w:rsidRPr="00B75B77" w:rsidRDefault="008B4879" w:rsidP="000147F5">
            <w:pPr>
              <w:jc w:val="left"/>
              <w:rPr>
                <w:rFonts w:ascii="Calibri" w:eastAsia="Times New Roman" w:hAnsi="Calibri"/>
                <w:b w:val="0"/>
                <w:color w:val="000000"/>
                <w:lang w:eastAsia="zh-CN"/>
              </w:rPr>
            </w:pPr>
          </w:p>
        </w:tc>
        <w:tc>
          <w:tcPr>
            <w:tcW w:w="1080" w:type="dxa"/>
            <w:vMerge/>
            <w:shd w:val="clear" w:color="auto" w:fill="D2EAF1"/>
            <w:hideMark/>
          </w:tcPr>
          <w:p w:rsidR="008B4879" w:rsidRPr="00B75B77" w:rsidRDefault="008B4879" w:rsidP="00751A38">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zh-CN"/>
              </w:rPr>
            </w:pPr>
          </w:p>
        </w:tc>
        <w:tc>
          <w:tcPr>
            <w:tcW w:w="1350" w:type="dxa"/>
            <w:vMerge/>
            <w:shd w:val="clear" w:color="auto" w:fill="auto"/>
            <w:hideMark/>
          </w:tcPr>
          <w:p w:rsidR="008B4879" w:rsidRPr="00B75B77" w:rsidRDefault="008B4879" w:rsidP="00751A38">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zh-CN"/>
              </w:rPr>
            </w:pPr>
          </w:p>
        </w:tc>
        <w:tc>
          <w:tcPr>
            <w:tcW w:w="990" w:type="dxa"/>
            <w:shd w:val="clear" w:color="auto" w:fill="auto"/>
            <w:noWrap/>
            <w:hideMark/>
          </w:tcPr>
          <w:p w:rsidR="008B4879" w:rsidRPr="00B75B77" w:rsidRDefault="008B4879" w:rsidP="00751A3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Destroy</w:t>
            </w:r>
          </w:p>
        </w:tc>
        <w:tc>
          <w:tcPr>
            <w:tcW w:w="1258" w:type="dxa"/>
            <w:shd w:val="clear" w:color="auto" w:fill="auto"/>
            <w:noWrap/>
            <w:hideMark/>
          </w:tcPr>
          <w:p w:rsidR="008B4879" w:rsidRPr="00B75B77" w:rsidRDefault="008B4879" w:rsidP="00751A3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128</w:t>
            </w:r>
          </w:p>
        </w:tc>
        <w:tc>
          <w:tcPr>
            <w:tcW w:w="902" w:type="dxa"/>
            <w:vMerge/>
            <w:shd w:val="clear" w:color="auto" w:fill="auto"/>
            <w:hideMark/>
          </w:tcPr>
          <w:p w:rsidR="008B4879" w:rsidRPr="00B75B77" w:rsidRDefault="008B4879" w:rsidP="00751A38">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zh-CN"/>
              </w:rPr>
            </w:pPr>
          </w:p>
        </w:tc>
        <w:tc>
          <w:tcPr>
            <w:tcW w:w="810" w:type="dxa"/>
            <w:vMerge/>
            <w:shd w:val="clear" w:color="auto" w:fill="auto"/>
            <w:hideMark/>
          </w:tcPr>
          <w:p w:rsidR="008B4879" w:rsidRPr="00B75B77" w:rsidRDefault="008B4879" w:rsidP="00751A38">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zh-CN"/>
              </w:rPr>
            </w:pPr>
          </w:p>
        </w:tc>
        <w:tc>
          <w:tcPr>
            <w:tcW w:w="1080" w:type="dxa"/>
            <w:shd w:val="clear" w:color="auto" w:fill="auto"/>
            <w:noWrap/>
            <w:hideMark/>
          </w:tcPr>
          <w:p w:rsidR="008B4879" w:rsidRPr="00B75B77" w:rsidRDefault="008B4879" w:rsidP="00751A3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57%</w:t>
            </w:r>
          </w:p>
        </w:tc>
        <w:tc>
          <w:tcPr>
            <w:tcW w:w="1080" w:type="dxa"/>
            <w:vMerge/>
            <w:shd w:val="clear" w:color="auto" w:fill="D2EAF1"/>
            <w:hideMark/>
          </w:tcPr>
          <w:p w:rsidR="008B4879" w:rsidRPr="00B75B77" w:rsidRDefault="008B4879" w:rsidP="00751A38">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zh-CN"/>
              </w:rPr>
            </w:pPr>
          </w:p>
        </w:tc>
      </w:tr>
      <w:tr w:rsidR="0083011A" w:rsidRPr="00B75B77" w:rsidTr="008301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2" w:type="dxa"/>
            <w:vMerge/>
            <w:hideMark/>
          </w:tcPr>
          <w:p w:rsidR="008B4879" w:rsidRPr="00B75B77" w:rsidRDefault="008B4879" w:rsidP="000147F5">
            <w:pPr>
              <w:jc w:val="left"/>
              <w:rPr>
                <w:rFonts w:ascii="Calibri" w:eastAsia="Times New Roman" w:hAnsi="Calibri"/>
                <w:b w:val="0"/>
                <w:color w:val="000000"/>
                <w:lang w:eastAsia="zh-CN"/>
              </w:rPr>
            </w:pPr>
          </w:p>
        </w:tc>
        <w:tc>
          <w:tcPr>
            <w:tcW w:w="1080" w:type="dxa"/>
            <w:vMerge/>
            <w:hideMark/>
          </w:tcPr>
          <w:p w:rsidR="008B4879" w:rsidRPr="00B75B77" w:rsidRDefault="008B4879" w:rsidP="00751A38">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zh-CN"/>
              </w:rPr>
            </w:pPr>
          </w:p>
        </w:tc>
        <w:tc>
          <w:tcPr>
            <w:tcW w:w="1350" w:type="dxa"/>
            <w:vMerge w:val="restart"/>
            <w:hideMark/>
          </w:tcPr>
          <w:p w:rsidR="008B4879" w:rsidRPr="00B75B77" w:rsidRDefault="008B4879" w:rsidP="00751A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Weighted Average</w:t>
            </w:r>
          </w:p>
        </w:tc>
        <w:tc>
          <w:tcPr>
            <w:tcW w:w="990" w:type="dxa"/>
            <w:noWrap/>
            <w:hideMark/>
          </w:tcPr>
          <w:p w:rsidR="008B4879" w:rsidRPr="00B75B77" w:rsidRDefault="008B4879" w:rsidP="00751A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Transfer</w:t>
            </w:r>
          </w:p>
        </w:tc>
        <w:tc>
          <w:tcPr>
            <w:tcW w:w="2970" w:type="dxa"/>
            <w:gridSpan w:val="3"/>
            <w:vMerge w:val="restart"/>
            <w:noWrap/>
            <w:hideMark/>
          </w:tcPr>
          <w:p w:rsidR="008B4879" w:rsidRPr="00B75B77" w:rsidRDefault="008B4879" w:rsidP="00751A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 </w:t>
            </w:r>
          </w:p>
        </w:tc>
        <w:tc>
          <w:tcPr>
            <w:tcW w:w="1080" w:type="dxa"/>
            <w:noWrap/>
            <w:hideMark/>
          </w:tcPr>
          <w:p w:rsidR="008B4879" w:rsidRPr="00B75B77" w:rsidRDefault="008B4879" w:rsidP="00751A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47%</w:t>
            </w:r>
          </w:p>
        </w:tc>
        <w:tc>
          <w:tcPr>
            <w:tcW w:w="1080" w:type="dxa"/>
            <w:noWrap/>
            <w:hideMark/>
          </w:tcPr>
          <w:p w:rsidR="008B4879" w:rsidRPr="00B75B77" w:rsidRDefault="008B4879" w:rsidP="00751A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33%</w:t>
            </w:r>
          </w:p>
        </w:tc>
      </w:tr>
      <w:tr w:rsidR="0083011A" w:rsidRPr="00B75B77" w:rsidTr="008301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2" w:type="dxa"/>
            <w:vMerge/>
            <w:shd w:val="clear" w:color="auto" w:fill="D2EAF1"/>
            <w:hideMark/>
          </w:tcPr>
          <w:p w:rsidR="008B4879" w:rsidRPr="00B75B77" w:rsidRDefault="008B4879" w:rsidP="000147F5">
            <w:pPr>
              <w:jc w:val="left"/>
              <w:rPr>
                <w:rFonts w:ascii="Calibri" w:eastAsia="Times New Roman" w:hAnsi="Calibri"/>
                <w:b w:val="0"/>
                <w:color w:val="000000"/>
                <w:lang w:eastAsia="zh-CN"/>
              </w:rPr>
            </w:pPr>
          </w:p>
        </w:tc>
        <w:tc>
          <w:tcPr>
            <w:tcW w:w="1080" w:type="dxa"/>
            <w:vMerge/>
            <w:shd w:val="clear" w:color="auto" w:fill="D2EAF1"/>
            <w:hideMark/>
          </w:tcPr>
          <w:p w:rsidR="008B4879" w:rsidRPr="00B75B77" w:rsidRDefault="008B4879" w:rsidP="00751A38">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zh-CN"/>
              </w:rPr>
            </w:pPr>
          </w:p>
        </w:tc>
        <w:tc>
          <w:tcPr>
            <w:tcW w:w="1350" w:type="dxa"/>
            <w:vMerge/>
            <w:shd w:val="clear" w:color="auto" w:fill="D2EAF1"/>
            <w:hideMark/>
          </w:tcPr>
          <w:p w:rsidR="008B4879" w:rsidRPr="00B75B77" w:rsidRDefault="008B4879" w:rsidP="00751A38">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zh-CN"/>
              </w:rPr>
            </w:pPr>
          </w:p>
        </w:tc>
        <w:tc>
          <w:tcPr>
            <w:tcW w:w="990" w:type="dxa"/>
            <w:shd w:val="clear" w:color="auto" w:fill="D2EAF1"/>
            <w:noWrap/>
            <w:hideMark/>
          </w:tcPr>
          <w:p w:rsidR="008B4879" w:rsidRPr="00B75B77" w:rsidRDefault="008B4879" w:rsidP="00751A3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Destroy</w:t>
            </w:r>
          </w:p>
        </w:tc>
        <w:tc>
          <w:tcPr>
            <w:tcW w:w="2970" w:type="dxa"/>
            <w:gridSpan w:val="3"/>
            <w:vMerge/>
            <w:shd w:val="clear" w:color="auto" w:fill="D2EAF1"/>
            <w:hideMark/>
          </w:tcPr>
          <w:p w:rsidR="008B4879" w:rsidRPr="00B75B77" w:rsidRDefault="008B4879" w:rsidP="00751A38">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zh-CN"/>
              </w:rPr>
            </w:pPr>
          </w:p>
        </w:tc>
        <w:tc>
          <w:tcPr>
            <w:tcW w:w="1080" w:type="dxa"/>
            <w:shd w:val="clear" w:color="auto" w:fill="D2EAF1"/>
            <w:noWrap/>
            <w:hideMark/>
          </w:tcPr>
          <w:p w:rsidR="008B4879" w:rsidRPr="00B75B77" w:rsidRDefault="008B4879" w:rsidP="00751A3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53%</w:t>
            </w:r>
          </w:p>
        </w:tc>
        <w:tc>
          <w:tcPr>
            <w:tcW w:w="1080" w:type="dxa"/>
            <w:shd w:val="clear" w:color="auto" w:fill="D2EAF1"/>
            <w:noWrap/>
            <w:hideMark/>
          </w:tcPr>
          <w:p w:rsidR="008B4879" w:rsidRPr="00B75B77" w:rsidRDefault="008B4879" w:rsidP="00751A3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38%</w:t>
            </w:r>
          </w:p>
        </w:tc>
      </w:tr>
      <w:tr w:rsidR="008B4879" w:rsidRPr="00B75B77" w:rsidTr="008301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2" w:type="dxa"/>
            <w:shd w:val="clear" w:color="auto" w:fill="auto"/>
            <w:noWrap/>
            <w:hideMark/>
          </w:tcPr>
          <w:p w:rsidR="008B4879" w:rsidRPr="00B75B77" w:rsidRDefault="008B4879" w:rsidP="000147F5">
            <w:pPr>
              <w:jc w:val="left"/>
              <w:rPr>
                <w:rFonts w:ascii="Calibri" w:eastAsia="Times New Roman" w:hAnsi="Calibri"/>
                <w:b w:val="0"/>
                <w:color w:val="000000"/>
                <w:lang w:eastAsia="zh-CN"/>
              </w:rPr>
            </w:pPr>
            <w:r w:rsidRPr="00B75B77">
              <w:rPr>
                <w:rFonts w:ascii="Calibri" w:eastAsia="Times New Roman" w:hAnsi="Calibri"/>
                <w:b w:val="0"/>
                <w:color w:val="000000"/>
                <w:lang w:eastAsia="zh-CN"/>
              </w:rPr>
              <w:t>Ke</w:t>
            </w:r>
            <w:r w:rsidR="00DA145F" w:rsidRPr="00B75B77">
              <w:rPr>
                <w:rFonts w:ascii="Calibri" w:eastAsia="Times New Roman" w:hAnsi="Calibri"/>
                <w:b w:val="0"/>
                <w:color w:val="000000"/>
                <w:lang w:eastAsia="zh-CN"/>
              </w:rPr>
              <w:t>ep</w:t>
            </w:r>
          </w:p>
        </w:tc>
        <w:tc>
          <w:tcPr>
            <w:tcW w:w="1080" w:type="dxa"/>
            <w:shd w:val="clear" w:color="auto" w:fill="auto"/>
            <w:noWrap/>
            <w:hideMark/>
          </w:tcPr>
          <w:p w:rsidR="008B4879" w:rsidRPr="00B75B77" w:rsidRDefault="008B4879" w:rsidP="00751A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28%</w:t>
            </w:r>
          </w:p>
        </w:tc>
        <w:tc>
          <w:tcPr>
            <w:tcW w:w="6390" w:type="dxa"/>
            <w:gridSpan w:val="6"/>
            <w:shd w:val="clear" w:color="auto" w:fill="auto"/>
            <w:noWrap/>
            <w:hideMark/>
          </w:tcPr>
          <w:p w:rsidR="008B4879" w:rsidRPr="00B75B77" w:rsidRDefault="008B4879" w:rsidP="00751A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 </w:t>
            </w:r>
          </w:p>
        </w:tc>
        <w:tc>
          <w:tcPr>
            <w:tcW w:w="1080" w:type="dxa"/>
            <w:shd w:val="clear" w:color="auto" w:fill="auto"/>
            <w:noWrap/>
            <w:hideMark/>
          </w:tcPr>
          <w:p w:rsidR="008B4879" w:rsidRPr="00B75B77" w:rsidRDefault="008B4879" w:rsidP="00751A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28%</w:t>
            </w:r>
          </w:p>
        </w:tc>
      </w:tr>
    </w:tbl>
    <w:p w:rsidR="000D5E51" w:rsidRPr="00B75B77" w:rsidRDefault="000D5E51" w:rsidP="000D5E51">
      <w:pPr>
        <w:pStyle w:val="Source"/>
        <w:spacing w:before="20" w:after="20"/>
        <w:ind w:left="734" w:hanging="644"/>
        <w:rPr>
          <w:i w:val="0"/>
          <w:lang w:eastAsia="zh-CN"/>
        </w:rPr>
      </w:pPr>
      <w:r w:rsidRPr="00B75B77">
        <w:rPr>
          <w:i w:val="0"/>
          <w:vertAlign w:val="superscript"/>
          <w:lang w:eastAsia="zh-CN"/>
        </w:rPr>
        <w:t>[1]</w:t>
      </w:r>
      <w:r w:rsidRPr="00B75B77">
        <w:rPr>
          <w:i w:val="0"/>
          <w:lang w:eastAsia="zh-CN"/>
        </w:rPr>
        <w:t xml:space="preserve"> This represents the number of refrigerator participants classified as Scenario C.</w:t>
      </w:r>
    </w:p>
    <w:p w:rsidR="000D5E51" w:rsidRPr="00B75B77" w:rsidRDefault="000D5E51" w:rsidP="000D5E51">
      <w:pPr>
        <w:pStyle w:val="Source"/>
        <w:spacing w:before="20" w:after="20"/>
        <w:ind w:left="734" w:hanging="644"/>
        <w:rPr>
          <w:i w:val="0"/>
          <w:lang w:eastAsia="zh-CN"/>
        </w:rPr>
      </w:pPr>
      <w:r w:rsidRPr="00B75B77">
        <w:rPr>
          <w:i w:val="0"/>
          <w:vertAlign w:val="superscript"/>
          <w:lang w:eastAsia="zh-CN"/>
        </w:rPr>
        <w:t>[2]</w:t>
      </w:r>
      <w:r w:rsidRPr="00B75B77">
        <w:rPr>
          <w:i w:val="0"/>
          <w:lang w:eastAsia="zh-CN"/>
        </w:rPr>
        <w:t xml:space="preserve"> This represents the number of refrigerator participants classified as Scenario D.</w:t>
      </w:r>
    </w:p>
    <w:p w:rsidR="000D5E51" w:rsidRPr="00B75B77" w:rsidRDefault="000D5E51" w:rsidP="000D5E51">
      <w:pPr>
        <w:pStyle w:val="Source"/>
        <w:spacing w:before="20" w:after="20"/>
        <w:ind w:left="734" w:hanging="644"/>
        <w:rPr>
          <w:i w:val="0"/>
        </w:rPr>
      </w:pPr>
      <w:r w:rsidRPr="00B75B77">
        <w:rPr>
          <w:i w:val="0"/>
          <w:lang w:eastAsia="zh-CN"/>
        </w:rPr>
        <w:t>Note: The remainder of participants are Scenario A or B, or those that could not be classified.</w:t>
      </w:r>
    </w:p>
    <w:p w:rsidR="008B4879" w:rsidRPr="00B75B77" w:rsidRDefault="008B4879" w:rsidP="00DA145F">
      <w:pPr>
        <w:pStyle w:val="Source"/>
        <w:ind w:hanging="630"/>
      </w:pPr>
      <w:r w:rsidRPr="00B75B77">
        <w:t>Source: Navigant analysis</w:t>
      </w:r>
    </w:p>
    <w:p w:rsidR="008B4879" w:rsidRPr="00B75B77" w:rsidRDefault="008B4879" w:rsidP="00502659">
      <w:pPr>
        <w:pStyle w:val="Caption"/>
      </w:pPr>
      <w:bookmarkStart w:id="386" w:name="_Ref462964540"/>
      <w:bookmarkStart w:id="387" w:name="_Toc466413536"/>
      <w:r w:rsidRPr="00B75B77">
        <w:lastRenderedPageBreak/>
        <w:t xml:space="preserve">Table </w:t>
      </w:r>
      <w:fldSimple w:instr=" STYLEREF 1 \s ">
        <w:r w:rsidR="0004016D">
          <w:rPr>
            <w:noProof/>
          </w:rPr>
          <w:t>4</w:t>
        </w:r>
      </w:fldSimple>
      <w:r w:rsidR="00F1144C" w:rsidRPr="00B75B77">
        <w:noBreakHyphen/>
      </w:r>
      <w:fldSimple w:instr=" SEQ Table \* ARABIC \s 1 ">
        <w:r w:rsidR="0004016D">
          <w:rPr>
            <w:noProof/>
          </w:rPr>
          <w:t>7</w:t>
        </w:r>
      </w:fldSimple>
      <w:bookmarkEnd w:id="386"/>
      <w:r w:rsidR="005362A5" w:rsidRPr="00B75B77">
        <w:t>:</w:t>
      </w:r>
      <w:r w:rsidRPr="00B75B77">
        <w:t xml:space="preserve"> Smart Appliance Recycling Freezer Discard/Keep Proportions</w:t>
      </w:r>
      <w:bookmarkEnd w:id="387"/>
    </w:p>
    <w:tbl>
      <w:tblPr>
        <w:tblStyle w:val="PECOTeal"/>
        <w:tblW w:w="9344" w:type="dxa"/>
        <w:tblLayout w:type="fixed"/>
        <w:tblLook w:val="04A0" w:firstRow="1" w:lastRow="0" w:firstColumn="1" w:lastColumn="0" w:noHBand="0" w:noVBand="1"/>
      </w:tblPr>
      <w:tblGrid>
        <w:gridCol w:w="912"/>
        <w:gridCol w:w="1060"/>
        <w:gridCol w:w="1350"/>
        <w:gridCol w:w="900"/>
        <w:gridCol w:w="1260"/>
        <w:gridCol w:w="900"/>
        <w:gridCol w:w="810"/>
        <w:gridCol w:w="1080"/>
        <w:gridCol w:w="1072"/>
      </w:tblGrid>
      <w:tr w:rsidR="00DA145F" w:rsidRPr="00B75B77" w:rsidTr="00A704A5">
        <w:trPr>
          <w:cnfStyle w:val="100000000000" w:firstRow="1" w:lastRow="0" w:firstColumn="0" w:lastColumn="0" w:oddVBand="0" w:evenVBand="0" w:oddHBand="0"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912"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8B4879" w:rsidRPr="00B75B77" w:rsidRDefault="008B4879" w:rsidP="00502659">
            <w:pPr>
              <w:keepNext/>
              <w:jc w:val="left"/>
              <w:rPr>
                <w:rFonts w:ascii="Calibri" w:eastAsia="Times New Roman" w:hAnsi="Calibri"/>
                <w:lang w:eastAsia="zh-CN"/>
              </w:rPr>
            </w:pPr>
            <w:r w:rsidRPr="00B75B77">
              <w:rPr>
                <w:rFonts w:ascii="Calibri" w:eastAsia="Times New Roman" w:hAnsi="Calibri"/>
                <w:lang w:eastAsia="zh-CN"/>
              </w:rPr>
              <w:t>Discard/ Keep</w:t>
            </w:r>
          </w:p>
        </w:tc>
        <w:tc>
          <w:tcPr>
            <w:tcW w:w="106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8B4879" w:rsidRPr="00B75B77" w:rsidRDefault="008B4879" w:rsidP="00502659">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lang w:eastAsia="zh-CN"/>
              </w:rPr>
            </w:pPr>
            <w:r w:rsidRPr="00B75B77">
              <w:rPr>
                <w:rFonts w:ascii="Calibri" w:eastAsia="Times New Roman" w:hAnsi="Calibri"/>
                <w:lang w:eastAsia="zh-CN"/>
              </w:rPr>
              <w:t>Proportion of Participant Sample</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8B4879" w:rsidRPr="00B75B77" w:rsidRDefault="008B4879" w:rsidP="00502659">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lang w:eastAsia="zh-CN"/>
              </w:rPr>
            </w:pPr>
            <w:r w:rsidRPr="00B75B77">
              <w:rPr>
                <w:rFonts w:ascii="Calibri" w:eastAsia="Times New Roman" w:hAnsi="Calibri"/>
                <w:lang w:eastAsia="zh-CN"/>
              </w:rPr>
              <w:t>Sample</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8B4879" w:rsidRPr="00B75B77" w:rsidRDefault="008B4879" w:rsidP="00502659">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lang w:eastAsia="zh-CN"/>
              </w:rPr>
            </w:pPr>
            <w:r w:rsidRPr="00B75B77">
              <w:rPr>
                <w:rFonts w:ascii="Calibri" w:eastAsia="Times New Roman" w:hAnsi="Calibri"/>
                <w:lang w:eastAsia="zh-CN"/>
              </w:rPr>
              <w:t>Discard Scenario</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8B4879" w:rsidRPr="00B75B77" w:rsidRDefault="00DA145F" w:rsidP="00502659">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lang w:eastAsia="zh-CN"/>
              </w:rPr>
            </w:pPr>
            <w:r w:rsidRPr="00B75B77">
              <w:rPr>
                <w:rFonts w:ascii="Calibri" w:eastAsia="Times New Roman" w:hAnsi="Calibri"/>
                <w:lang w:eastAsia="zh-CN"/>
              </w:rPr>
              <w:t>No. of Participants</w:t>
            </w:r>
          </w:p>
        </w:tc>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8B4879" w:rsidRPr="00B75B77" w:rsidRDefault="008B4879" w:rsidP="00502659">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lang w:eastAsia="zh-CN"/>
              </w:rPr>
            </w:pPr>
            <w:r w:rsidRPr="00B75B77">
              <w:rPr>
                <w:rFonts w:ascii="Calibri" w:eastAsia="Times New Roman" w:hAnsi="Calibri"/>
                <w:lang w:eastAsia="zh-CN"/>
              </w:rPr>
              <w:t>S</w:t>
            </w:r>
            <w:r w:rsidR="00A704A5" w:rsidRPr="00B75B77">
              <w:rPr>
                <w:rFonts w:ascii="Calibri" w:eastAsia="Times New Roman" w:hAnsi="Calibri"/>
                <w:lang w:eastAsia="zh-CN"/>
              </w:rPr>
              <w:t xml:space="preserve">tandard </w:t>
            </w:r>
            <w:r w:rsidRPr="00B75B77">
              <w:rPr>
                <w:rFonts w:ascii="Calibri" w:eastAsia="Times New Roman" w:hAnsi="Calibri"/>
                <w:lang w:eastAsia="zh-CN"/>
              </w:rPr>
              <w:t>E</w:t>
            </w:r>
            <w:r w:rsidR="00A704A5" w:rsidRPr="00B75B77">
              <w:rPr>
                <w:rFonts w:ascii="Calibri" w:eastAsia="Times New Roman" w:hAnsi="Calibri"/>
                <w:lang w:eastAsia="zh-CN"/>
              </w:rPr>
              <w:t>rror</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8B4879" w:rsidRPr="00B75B77" w:rsidRDefault="008B4879" w:rsidP="00502659">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lang w:eastAsia="zh-CN"/>
              </w:rPr>
            </w:pPr>
            <w:r w:rsidRPr="00B75B77">
              <w:rPr>
                <w:rFonts w:ascii="Calibri" w:eastAsia="Times New Roman" w:hAnsi="Calibri"/>
                <w:lang w:eastAsia="zh-CN"/>
              </w:rPr>
              <w:t>Weight</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8B4879" w:rsidRPr="00B75B77" w:rsidRDefault="008B4879" w:rsidP="00502659">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lang w:eastAsia="zh-CN"/>
              </w:rPr>
            </w:pPr>
            <w:r w:rsidRPr="00B75B77">
              <w:rPr>
                <w:rFonts w:ascii="Calibri" w:eastAsia="Times New Roman" w:hAnsi="Calibri"/>
                <w:lang w:eastAsia="zh-CN"/>
              </w:rPr>
              <w:t>Proportion of Discards</w:t>
            </w:r>
          </w:p>
        </w:tc>
        <w:tc>
          <w:tcPr>
            <w:tcW w:w="1072"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8B4879" w:rsidRPr="00B75B77" w:rsidRDefault="008B4879" w:rsidP="00502659">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lang w:eastAsia="zh-CN"/>
              </w:rPr>
            </w:pPr>
            <w:r w:rsidRPr="00B75B77">
              <w:rPr>
                <w:rFonts w:ascii="Calibri" w:eastAsia="Times New Roman" w:hAnsi="Calibri"/>
                <w:lang w:eastAsia="zh-CN"/>
              </w:rPr>
              <w:t>Overall Proportion</w:t>
            </w:r>
          </w:p>
        </w:tc>
      </w:tr>
      <w:tr w:rsidR="00DA145F" w:rsidRPr="00B75B77" w:rsidTr="00A704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2" w:type="dxa"/>
            <w:vMerge w:val="restart"/>
            <w:tcBorders>
              <w:top w:val="single" w:sz="6" w:space="0" w:color="000000" w:themeColor="text1"/>
            </w:tcBorders>
            <w:noWrap/>
            <w:hideMark/>
          </w:tcPr>
          <w:p w:rsidR="008B4879" w:rsidRPr="00B75B77" w:rsidRDefault="008B4879" w:rsidP="00502659">
            <w:pPr>
              <w:keepNext/>
              <w:jc w:val="left"/>
              <w:rPr>
                <w:rFonts w:ascii="Calibri" w:eastAsia="Times New Roman" w:hAnsi="Calibri"/>
                <w:b w:val="0"/>
                <w:color w:val="000000"/>
                <w:lang w:eastAsia="zh-CN"/>
              </w:rPr>
            </w:pPr>
            <w:r w:rsidRPr="00B75B77">
              <w:rPr>
                <w:rFonts w:ascii="Calibri" w:eastAsia="Times New Roman" w:hAnsi="Calibri"/>
                <w:b w:val="0"/>
                <w:color w:val="000000"/>
                <w:lang w:eastAsia="zh-CN"/>
              </w:rPr>
              <w:t>Discard</w:t>
            </w:r>
          </w:p>
        </w:tc>
        <w:tc>
          <w:tcPr>
            <w:tcW w:w="1060" w:type="dxa"/>
            <w:vMerge w:val="restart"/>
            <w:tcBorders>
              <w:top w:val="single" w:sz="6" w:space="0" w:color="000000" w:themeColor="text1"/>
            </w:tcBorders>
            <w:noWrap/>
            <w:hideMark/>
          </w:tcPr>
          <w:p w:rsidR="008B4879" w:rsidRPr="00B75B77" w:rsidRDefault="008B4879"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43%</w:t>
            </w:r>
          </w:p>
        </w:tc>
        <w:tc>
          <w:tcPr>
            <w:tcW w:w="1350" w:type="dxa"/>
            <w:vMerge w:val="restart"/>
            <w:tcBorders>
              <w:top w:val="single" w:sz="6" w:space="0" w:color="000000" w:themeColor="text1"/>
            </w:tcBorders>
            <w:noWrap/>
            <w:hideMark/>
          </w:tcPr>
          <w:p w:rsidR="008B4879" w:rsidRPr="00B75B77" w:rsidRDefault="008B4879"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Participant</w:t>
            </w:r>
          </w:p>
        </w:tc>
        <w:tc>
          <w:tcPr>
            <w:tcW w:w="900" w:type="dxa"/>
            <w:tcBorders>
              <w:top w:val="single" w:sz="6" w:space="0" w:color="000000" w:themeColor="text1"/>
            </w:tcBorders>
            <w:noWrap/>
            <w:hideMark/>
          </w:tcPr>
          <w:p w:rsidR="008B4879" w:rsidRPr="00B75B77" w:rsidRDefault="008B4879"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Transfer</w:t>
            </w:r>
          </w:p>
        </w:tc>
        <w:tc>
          <w:tcPr>
            <w:tcW w:w="1260" w:type="dxa"/>
            <w:tcBorders>
              <w:top w:val="single" w:sz="6" w:space="0" w:color="000000" w:themeColor="text1"/>
            </w:tcBorders>
            <w:noWrap/>
            <w:hideMark/>
          </w:tcPr>
          <w:p w:rsidR="008B4879" w:rsidRPr="00B75B77" w:rsidRDefault="008B4879"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5</w:t>
            </w:r>
            <w:r w:rsidRPr="00B75B77">
              <w:rPr>
                <w:rFonts w:ascii="Calibri" w:eastAsia="Times New Roman" w:hAnsi="Calibri"/>
                <w:color w:val="000000"/>
                <w:vertAlign w:val="superscript"/>
                <w:lang w:eastAsia="zh-CN"/>
              </w:rPr>
              <w:t>[1]</w:t>
            </w:r>
          </w:p>
        </w:tc>
        <w:tc>
          <w:tcPr>
            <w:tcW w:w="900" w:type="dxa"/>
            <w:vMerge w:val="restart"/>
            <w:tcBorders>
              <w:top w:val="single" w:sz="6" w:space="0" w:color="000000" w:themeColor="text1"/>
            </w:tcBorders>
            <w:noWrap/>
            <w:hideMark/>
          </w:tcPr>
          <w:p w:rsidR="008B4879" w:rsidRPr="00B75B77" w:rsidRDefault="008B4879"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0.11</w:t>
            </w:r>
          </w:p>
        </w:tc>
        <w:tc>
          <w:tcPr>
            <w:tcW w:w="810" w:type="dxa"/>
            <w:vMerge w:val="restart"/>
            <w:tcBorders>
              <w:top w:val="single" w:sz="6" w:space="0" w:color="000000" w:themeColor="text1"/>
            </w:tcBorders>
            <w:noWrap/>
            <w:hideMark/>
          </w:tcPr>
          <w:p w:rsidR="008B4879" w:rsidRPr="00B75B77" w:rsidRDefault="008B4879"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58.3%</w:t>
            </w:r>
          </w:p>
        </w:tc>
        <w:tc>
          <w:tcPr>
            <w:tcW w:w="1080" w:type="dxa"/>
            <w:tcBorders>
              <w:top w:val="single" w:sz="6" w:space="0" w:color="000000" w:themeColor="text1"/>
            </w:tcBorders>
            <w:noWrap/>
            <w:hideMark/>
          </w:tcPr>
          <w:p w:rsidR="008B4879" w:rsidRPr="00B75B77" w:rsidRDefault="008B4879"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23%</w:t>
            </w:r>
          </w:p>
        </w:tc>
        <w:tc>
          <w:tcPr>
            <w:tcW w:w="1072" w:type="dxa"/>
            <w:vMerge w:val="restart"/>
            <w:tcBorders>
              <w:top w:val="single" w:sz="6" w:space="0" w:color="000000" w:themeColor="text1"/>
            </w:tcBorders>
            <w:noWrap/>
            <w:hideMark/>
          </w:tcPr>
          <w:p w:rsidR="008B4879" w:rsidRPr="00B75B77" w:rsidRDefault="008B4879"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 </w:t>
            </w:r>
          </w:p>
        </w:tc>
      </w:tr>
      <w:tr w:rsidR="00DA145F" w:rsidRPr="00B75B77" w:rsidTr="00A704A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2" w:type="dxa"/>
            <w:vMerge/>
            <w:shd w:val="clear" w:color="auto" w:fill="D2EAF1"/>
            <w:hideMark/>
          </w:tcPr>
          <w:p w:rsidR="008B4879" w:rsidRPr="00B75B77" w:rsidRDefault="008B4879" w:rsidP="00502659">
            <w:pPr>
              <w:keepNext/>
              <w:jc w:val="left"/>
              <w:rPr>
                <w:rFonts w:ascii="Calibri" w:eastAsia="Times New Roman" w:hAnsi="Calibri"/>
                <w:b w:val="0"/>
                <w:color w:val="000000"/>
                <w:lang w:eastAsia="zh-CN"/>
              </w:rPr>
            </w:pPr>
          </w:p>
        </w:tc>
        <w:tc>
          <w:tcPr>
            <w:tcW w:w="1060" w:type="dxa"/>
            <w:vMerge/>
            <w:shd w:val="clear" w:color="auto" w:fill="D2EAF1"/>
            <w:hideMark/>
          </w:tcPr>
          <w:p w:rsidR="008B4879" w:rsidRPr="00B75B77" w:rsidRDefault="008B4879" w:rsidP="00502659">
            <w:pPr>
              <w:keepNext/>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zh-CN"/>
              </w:rPr>
            </w:pPr>
          </w:p>
        </w:tc>
        <w:tc>
          <w:tcPr>
            <w:tcW w:w="1350" w:type="dxa"/>
            <w:vMerge/>
            <w:shd w:val="clear" w:color="auto" w:fill="D2EAF1"/>
            <w:hideMark/>
          </w:tcPr>
          <w:p w:rsidR="008B4879" w:rsidRPr="00B75B77" w:rsidRDefault="008B4879" w:rsidP="00502659">
            <w:pPr>
              <w:keepNext/>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zh-CN"/>
              </w:rPr>
            </w:pPr>
          </w:p>
        </w:tc>
        <w:tc>
          <w:tcPr>
            <w:tcW w:w="900" w:type="dxa"/>
            <w:shd w:val="clear" w:color="auto" w:fill="D2EAF1"/>
            <w:noWrap/>
            <w:hideMark/>
          </w:tcPr>
          <w:p w:rsidR="008B4879" w:rsidRPr="00B75B77" w:rsidRDefault="008B4879" w:rsidP="00502659">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Destroy</w:t>
            </w:r>
          </w:p>
        </w:tc>
        <w:tc>
          <w:tcPr>
            <w:tcW w:w="1260" w:type="dxa"/>
            <w:shd w:val="clear" w:color="auto" w:fill="D2EAF1"/>
            <w:noWrap/>
            <w:hideMark/>
          </w:tcPr>
          <w:p w:rsidR="008B4879" w:rsidRPr="00B75B77" w:rsidRDefault="008B4879" w:rsidP="00502659">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17</w:t>
            </w:r>
            <w:r w:rsidRPr="00B75B77">
              <w:rPr>
                <w:rFonts w:ascii="Calibri" w:eastAsia="Times New Roman" w:hAnsi="Calibri"/>
                <w:color w:val="000000"/>
                <w:vertAlign w:val="superscript"/>
                <w:lang w:eastAsia="zh-CN"/>
              </w:rPr>
              <w:t>[2]</w:t>
            </w:r>
          </w:p>
        </w:tc>
        <w:tc>
          <w:tcPr>
            <w:tcW w:w="900" w:type="dxa"/>
            <w:vMerge/>
            <w:shd w:val="clear" w:color="auto" w:fill="D2EAF1"/>
            <w:hideMark/>
          </w:tcPr>
          <w:p w:rsidR="008B4879" w:rsidRPr="00B75B77" w:rsidRDefault="008B4879" w:rsidP="00502659">
            <w:pPr>
              <w:keepNext/>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zh-CN"/>
              </w:rPr>
            </w:pPr>
          </w:p>
        </w:tc>
        <w:tc>
          <w:tcPr>
            <w:tcW w:w="810" w:type="dxa"/>
            <w:vMerge/>
            <w:shd w:val="clear" w:color="auto" w:fill="D2EAF1"/>
            <w:hideMark/>
          </w:tcPr>
          <w:p w:rsidR="008B4879" w:rsidRPr="00B75B77" w:rsidRDefault="008B4879" w:rsidP="00502659">
            <w:pPr>
              <w:keepNext/>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zh-CN"/>
              </w:rPr>
            </w:pPr>
          </w:p>
        </w:tc>
        <w:tc>
          <w:tcPr>
            <w:tcW w:w="1080" w:type="dxa"/>
            <w:shd w:val="clear" w:color="auto" w:fill="D2EAF1"/>
            <w:noWrap/>
            <w:hideMark/>
          </w:tcPr>
          <w:p w:rsidR="008B4879" w:rsidRPr="00B75B77" w:rsidRDefault="008B4879" w:rsidP="00502659">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77%</w:t>
            </w:r>
          </w:p>
        </w:tc>
        <w:tc>
          <w:tcPr>
            <w:tcW w:w="1072" w:type="dxa"/>
            <w:vMerge/>
            <w:shd w:val="clear" w:color="auto" w:fill="D2EAF1"/>
            <w:hideMark/>
          </w:tcPr>
          <w:p w:rsidR="008B4879" w:rsidRPr="00B75B77" w:rsidRDefault="008B4879" w:rsidP="00502659">
            <w:pPr>
              <w:keepNext/>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zh-CN"/>
              </w:rPr>
            </w:pPr>
          </w:p>
        </w:tc>
      </w:tr>
      <w:tr w:rsidR="00DA145F" w:rsidRPr="00B75B77" w:rsidTr="00A704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2" w:type="dxa"/>
            <w:vMerge/>
            <w:hideMark/>
          </w:tcPr>
          <w:p w:rsidR="008B4879" w:rsidRPr="00B75B77" w:rsidRDefault="008B4879" w:rsidP="00502659">
            <w:pPr>
              <w:keepNext/>
              <w:jc w:val="left"/>
              <w:rPr>
                <w:rFonts w:ascii="Calibri" w:eastAsia="Times New Roman" w:hAnsi="Calibri"/>
                <w:b w:val="0"/>
                <w:color w:val="000000"/>
                <w:lang w:eastAsia="zh-CN"/>
              </w:rPr>
            </w:pPr>
          </w:p>
        </w:tc>
        <w:tc>
          <w:tcPr>
            <w:tcW w:w="1060" w:type="dxa"/>
            <w:vMerge/>
            <w:hideMark/>
          </w:tcPr>
          <w:p w:rsidR="008B4879" w:rsidRPr="00B75B77" w:rsidRDefault="008B4879" w:rsidP="00502659">
            <w:pPr>
              <w:keepNext/>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zh-CN"/>
              </w:rPr>
            </w:pPr>
          </w:p>
        </w:tc>
        <w:tc>
          <w:tcPr>
            <w:tcW w:w="1350" w:type="dxa"/>
            <w:vMerge w:val="restart"/>
            <w:shd w:val="clear" w:color="auto" w:fill="auto"/>
            <w:hideMark/>
          </w:tcPr>
          <w:p w:rsidR="008B4879" w:rsidRPr="00B75B77" w:rsidRDefault="008B4879"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Nonparticipant</w:t>
            </w:r>
          </w:p>
        </w:tc>
        <w:tc>
          <w:tcPr>
            <w:tcW w:w="900" w:type="dxa"/>
            <w:shd w:val="clear" w:color="auto" w:fill="auto"/>
            <w:noWrap/>
            <w:hideMark/>
          </w:tcPr>
          <w:p w:rsidR="008B4879" w:rsidRPr="00B75B77" w:rsidRDefault="008B4879"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Transfer</w:t>
            </w:r>
          </w:p>
        </w:tc>
        <w:tc>
          <w:tcPr>
            <w:tcW w:w="1260" w:type="dxa"/>
            <w:shd w:val="clear" w:color="auto" w:fill="auto"/>
            <w:noWrap/>
            <w:hideMark/>
          </w:tcPr>
          <w:p w:rsidR="008B4879" w:rsidRPr="00B75B77" w:rsidRDefault="008B4879"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97</w:t>
            </w:r>
          </w:p>
        </w:tc>
        <w:tc>
          <w:tcPr>
            <w:tcW w:w="900" w:type="dxa"/>
            <w:vMerge w:val="restart"/>
            <w:shd w:val="clear" w:color="auto" w:fill="auto"/>
            <w:noWrap/>
            <w:hideMark/>
          </w:tcPr>
          <w:p w:rsidR="008B4879" w:rsidRPr="00B75B77" w:rsidRDefault="008B4879"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0.03</w:t>
            </w:r>
          </w:p>
        </w:tc>
        <w:tc>
          <w:tcPr>
            <w:tcW w:w="810" w:type="dxa"/>
            <w:vMerge w:val="restart"/>
            <w:shd w:val="clear" w:color="auto" w:fill="auto"/>
            <w:noWrap/>
            <w:hideMark/>
          </w:tcPr>
          <w:p w:rsidR="008B4879" w:rsidRPr="00B75B77" w:rsidRDefault="008B4879"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41.7%</w:t>
            </w:r>
          </w:p>
        </w:tc>
        <w:tc>
          <w:tcPr>
            <w:tcW w:w="1080" w:type="dxa"/>
            <w:shd w:val="clear" w:color="auto" w:fill="auto"/>
            <w:noWrap/>
            <w:hideMark/>
          </w:tcPr>
          <w:p w:rsidR="008B4879" w:rsidRPr="00B75B77" w:rsidRDefault="008B4879"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43%</w:t>
            </w:r>
          </w:p>
        </w:tc>
        <w:tc>
          <w:tcPr>
            <w:tcW w:w="1072" w:type="dxa"/>
            <w:vMerge/>
            <w:hideMark/>
          </w:tcPr>
          <w:p w:rsidR="008B4879" w:rsidRPr="00B75B77" w:rsidRDefault="008B4879" w:rsidP="00502659">
            <w:pPr>
              <w:keepNext/>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zh-CN"/>
              </w:rPr>
            </w:pPr>
          </w:p>
        </w:tc>
      </w:tr>
      <w:tr w:rsidR="00DA145F" w:rsidRPr="00B75B77" w:rsidTr="00A704A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12" w:type="dxa"/>
            <w:vMerge/>
            <w:shd w:val="clear" w:color="auto" w:fill="D2EAF1"/>
            <w:hideMark/>
          </w:tcPr>
          <w:p w:rsidR="008B4879" w:rsidRPr="00B75B77" w:rsidRDefault="008B4879" w:rsidP="00502659">
            <w:pPr>
              <w:keepNext/>
              <w:jc w:val="left"/>
              <w:rPr>
                <w:rFonts w:ascii="Calibri" w:eastAsia="Times New Roman" w:hAnsi="Calibri"/>
                <w:b w:val="0"/>
                <w:color w:val="000000"/>
                <w:lang w:eastAsia="zh-CN"/>
              </w:rPr>
            </w:pPr>
          </w:p>
        </w:tc>
        <w:tc>
          <w:tcPr>
            <w:tcW w:w="1060" w:type="dxa"/>
            <w:vMerge/>
            <w:shd w:val="clear" w:color="auto" w:fill="D2EAF1"/>
            <w:hideMark/>
          </w:tcPr>
          <w:p w:rsidR="008B4879" w:rsidRPr="00B75B77" w:rsidRDefault="008B4879" w:rsidP="00502659">
            <w:pPr>
              <w:keepNext/>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zh-CN"/>
              </w:rPr>
            </w:pPr>
          </w:p>
        </w:tc>
        <w:tc>
          <w:tcPr>
            <w:tcW w:w="1350" w:type="dxa"/>
            <w:vMerge/>
            <w:shd w:val="clear" w:color="auto" w:fill="auto"/>
            <w:hideMark/>
          </w:tcPr>
          <w:p w:rsidR="008B4879" w:rsidRPr="00B75B77" w:rsidRDefault="008B4879" w:rsidP="00502659">
            <w:pPr>
              <w:keepNext/>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zh-CN"/>
              </w:rPr>
            </w:pPr>
          </w:p>
        </w:tc>
        <w:tc>
          <w:tcPr>
            <w:tcW w:w="900" w:type="dxa"/>
            <w:shd w:val="clear" w:color="auto" w:fill="auto"/>
            <w:noWrap/>
            <w:hideMark/>
          </w:tcPr>
          <w:p w:rsidR="008B4879" w:rsidRPr="00B75B77" w:rsidRDefault="008B4879" w:rsidP="00502659">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Destroy</w:t>
            </w:r>
          </w:p>
        </w:tc>
        <w:tc>
          <w:tcPr>
            <w:tcW w:w="1260" w:type="dxa"/>
            <w:shd w:val="clear" w:color="auto" w:fill="auto"/>
            <w:noWrap/>
            <w:hideMark/>
          </w:tcPr>
          <w:p w:rsidR="008B4879" w:rsidRPr="00B75B77" w:rsidRDefault="008B4879" w:rsidP="00502659">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128</w:t>
            </w:r>
          </w:p>
        </w:tc>
        <w:tc>
          <w:tcPr>
            <w:tcW w:w="900" w:type="dxa"/>
            <w:vMerge/>
            <w:shd w:val="clear" w:color="auto" w:fill="auto"/>
            <w:hideMark/>
          </w:tcPr>
          <w:p w:rsidR="008B4879" w:rsidRPr="00B75B77" w:rsidRDefault="008B4879" w:rsidP="00502659">
            <w:pPr>
              <w:keepNext/>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zh-CN"/>
              </w:rPr>
            </w:pPr>
          </w:p>
        </w:tc>
        <w:tc>
          <w:tcPr>
            <w:tcW w:w="810" w:type="dxa"/>
            <w:vMerge/>
            <w:shd w:val="clear" w:color="auto" w:fill="auto"/>
            <w:hideMark/>
          </w:tcPr>
          <w:p w:rsidR="008B4879" w:rsidRPr="00B75B77" w:rsidRDefault="008B4879" w:rsidP="00502659">
            <w:pPr>
              <w:keepNext/>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zh-CN"/>
              </w:rPr>
            </w:pPr>
          </w:p>
        </w:tc>
        <w:tc>
          <w:tcPr>
            <w:tcW w:w="1080" w:type="dxa"/>
            <w:shd w:val="clear" w:color="auto" w:fill="auto"/>
            <w:noWrap/>
            <w:hideMark/>
          </w:tcPr>
          <w:p w:rsidR="008B4879" w:rsidRPr="00B75B77" w:rsidRDefault="008B4879" w:rsidP="00502659">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57%</w:t>
            </w:r>
          </w:p>
        </w:tc>
        <w:tc>
          <w:tcPr>
            <w:tcW w:w="1072" w:type="dxa"/>
            <w:vMerge/>
            <w:shd w:val="clear" w:color="auto" w:fill="D2EAF1"/>
            <w:hideMark/>
          </w:tcPr>
          <w:p w:rsidR="008B4879" w:rsidRPr="00B75B77" w:rsidRDefault="008B4879" w:rsidP="00502659">
            <w:pPr>
              <w:keepNext/>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zh-CN"/>
              </w:rPr>
            </w:pPr>
          </w:p>
        </w:tc>
      </w:tr>
      <w:tr w:rsidR="00DA145F" w:rsidRPr="00B75B77" w:rsidTr="00A704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2" w:type="dxa"/>
            <w:vMerge/>
            <w:hideMark/>
          </w:tcPr>
          <w:p w:rsidR="008B4879" w:rsidRPr="00B75B77" w:rsidRDefault="008B4879" w:rsidP="00502659">
            <w:pPr>
              <w:keepNext/>
              <w:jc w:val="left"/>
              <w:rPr>
                <w:rFonts w:ascii="Calibri" w:eastAsia="Times New Roman" w:hAnsi="Calibri"/>
                <w:b w:val="0"/>
                <w:color w:val="000000"/>
                <w:lang w:eastAsia="zh-CN"/>
              </w:rPr>
            </w:pPr>
          </w:p>
        </w:tc>
        <w:tc>
          <w:tcPr>
            <w:tcW w:w="1060" w:type="dxa"/>
            <w:vMerge/>
            <w:hideMark/>
          </w:tcPr>
          <w:p w:rsidR="008B4879" w:rsidRPr="00B75B77" w:rsidRDefault="008B4879" w:rsidP="00502659">
            <w:pPr>
              <w:keepNext/>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zh-CN"/>
              </w:rPr>
            </w:pPr>
          </w:p>
        </w:tc>
        <w:tc>
          <w:tcPr>
            <w:tcW w:w="1350" w:type="dxa"/>
            <w:vMerge w:val="restart"/>
            <w:hideMark/>
          </w:tcPr>
          <w:p w:rsidR="008B4879" w:rsidRPr="00B75B77" w:rsidRDefault="008B4879"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Weighted Average</w:t>
            </w:r>
          </w:p>
        </w:tc>
        <w:tc>
          <w:tcPr>
            <w:tcW w:w="900" w:type="dxa"/>
            <w:noWrap/>
            <w:hideMark/>
          </w:tcPr>
          <w:p w:rsidR="008B4879" w:rsidRPr="00B75B77" w:rsidRDefault="008B4879"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Transfer</w:t>
            </w:r>
          </w:p>
        </w:tc>
        <w:tc>
          <w:tcPr>
            <w:tcW w:w="2970" w:type="dxa"/>
            <w:gridSpan w:val="3"/>
            <w:vMerge w:val="restart"/>
            <w:noWrap/>
            <w:hideMark/>
          </w:tcPr>
          <w:p w:rsidR="008B4879" w:rsidRPr="00B75B77" w:rsidRDefault="008B4879"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 </w:t>
            </w:r>
          </w:p>
        </w:tc>
        <w:tc>
          <w:tcPr>
            <w:tcW w:w="1080" w:type="dxa"/>
            <w:noWrap/>
            <w:hideMark/>
          </w:tcPr>
          <w:p w:rsidR="008B4879" w:rsidRPr="00B75B77" w:rsidRDefault="008B4879"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31%</w:t>
            </w:r>
          </w:p>
        </w:tc>
        <w:tc>
          <w:tcPr>
            <w:tcW w:w="1072" w:type="dxa"/>
            <w:noWrap/>
            <w:hideMark/>
          </w:tcPr>
          <w:p w:rsidR="008B4879" w:rsidRPr="00B75B77" w:rsidRDefault="008B4879"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13%</w:t>
            </w:r>
          </w:p>
        </w:tc>
      </w:tr>
      <w:tr w:rsidR="00DA145F" w:rsidRPr="00B75B77" w:rsidTr="00A704A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2" w:type="dxa"/>
            <w:vMerge/>
            <w:shd w:val="clear" w:color="auto" w:fill="D2EAF1"/>
            <w:hideMark/>
          </w:tcPr>
          <w:p w:rsidR="008B4879" w:rsidRPr="00B75B77" w:rsidRDefault="008B4879" w:rsidP="00502659">
            <w:pPr>
              <w:keepNext/>
              <w:jc w:val="left"/>
              <w:rPr>
                <w:rFonts w:ascii="Calibri" w:eastAsia="Times New Roman" w:hAnsi="Calibri"/>
                <w:b w:val="0"/>
                <w:color w:val="000000"/>
                <w:lang w:eastAsia="zh-CN"/>
              </w:rPr>
            </w:pPr>
          </w:p>
        </w:tc>
        <w:tc>
          <w:tcPr>
            <w:tcW w:w="1060" w:type="dxa"/>
            <w:vMerge/>
            <w:shd w:val="clear" w:color="auto" w:fill="D2EAF1"/>
            <w:hideMark/>
          </w:tcPr>
          <w:p w:rsidR="008B4879" w:rsidRPr="00B75B77" w:rsidRDefault="008B4879" w:rsidP="00502659">
            <w:pPr>
              <w:keepNext/>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zh-CN"/>
              </w:rPr>
            </w:pPr>
          </w:p>
        </w:tc>
        <w:tc>
          <w:tcPr>
            <w:tcW w:w="1350" w:type="dxa"/>
            <w:vMerge/>
            <w:shd w:val="clear" w:color="auto" w:fill="D2EAF1"/>
            <w:hideMark/>
          </w:tcPr>
          <w:p w:rsidR="008B4879" w:rsidRPr="00B75B77" w:rsidRDefault="008B4879" w:rsidP="00502659">
            <w:pPr>
              <w:keepNext/>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zh-CN"/>
              </w:rPr>
            </w:pPr>
          </w:p>
        </w:tc>
        <w:tc>
          <w:tcPr>
            <w:tcW w:w="900" w:type="dxa"/>
            <w:shd w:val="clear" w:color="auto" w:fill="D2EAF1"/>
            <w:noWrap/>
            <w:hideMark/>
          </w:tcPr>
          <w:p w:rsidR="008B4879" w:rsidRPr="00B75B77" w:rsidRDefault="008B4879" w:rsidP="00502659">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Destroy</w:t>
            </w:r>
          </w:p>
        </w:tc>
        <w:tc>
          <w:tcPr>
            <w:tcW w:w="2970" w:type="dxa"/>
            <w:gridSpan w:val="3"/>
            <w:vMerge/>
            <w:shd w:val="clear" w:color="auto" w:fill="D2EAF1"/>
            <w:hideMark/>
          </w:tcPr>
          <w:p w:rsidR="008B4879" w:rsidRPr="00B75B77" w:rsidRDefault="008B4879" w:rsidP="00502659">
            <w:pPr>
              <w:keepNext/>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zh-CN"/>
              </w:rPr>
            </w:pPr>
          </w:p>
        </w:tc>
        <w:tc>
          <w:tcPr>
            <w:tcW w:w="1080" w:type="dxa"/>
            <w:shd w:val="clear" w:color="auto" w:fill="D2EAF1"/>
            <w:noWrap/>
            <w:hideMark/>
          </w:tcPr>
          <w:p w:rsidR="008B4879" w:rsidRPr="00B75B77" w:rsidRDefault="008B4879" w:rsidP="00502659">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69%</w:t>
            </w:r>
          </w:p>
        </w:tc>
        <w:tc>
          <w:tcPr>
            <w:tcW w:w="1072" w:type="dxa"/>
            <w:shd w:val="clear" w:color="auto" w:fill="D2EAF1"/>
            <w:noWrap/>
            <w:hideMark/>
          </w:tcPr>
          <w:p w:rsidR="008B4879" w:rsidRPr="00B75B77" w:rsidRDefault="008B4879" w:rsidP="00502659">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30%</w:t>
            </w:r>
          </w:p>
        </w:tc>
      </w:tr>
      <w:tr w:rsidR="008B4879" w:rsidRPr="00B75B77" w:rsidTr="00DA14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2" w:type="dxa"/>
            <w:shd w:val="clear" w:color="auto" w:fill="auto"/>
            <w:noWrap/>
            <w:hideMark/>
          </w:tcPr>
          <w:p w:rsidR="008B4879" w:rsidRPr="00B75B77" w:rsidRDefault="00DA145F" w:rsidP="00502659">
            <w:pPr>
              <w:keepNext/>
              <w:jc w:val="left"/>
              <w:rPr>
                <w:rFonts w:ascii="Calibri" w:eastAsia="Times New Roman" w:hAnsi="Calibri"/>
                <w:b w:val="0"/>
                <w:color w:val="000000"/>
                <w:lang w:eastAsia="zh-CN"/>
              </w:rPr>
            </w:pPr>
            <w:r w:rsidRPr="00B75B77">
              <w:rPr>
                <w:rFonts w:ascii="Calibri" w:eastAsia="Times New Roman" w:hAnsi="Calibri"/>
                <w:b w:val="0"/>
                <w:color w:val="000000"/>
                <w:lang w:eastAsia="zh-CN"/>
              </w:rPr>
              <w:t>Keep</w:t>
            </w:r>
          </w:p>
        </w:tc>
        <w:tc>
          <w:tcPr>
            <w:tcW w:w="1060" w:type="dxa"/>
            <w:shd w:val="clear" w:color="auto" w:fill="auto"/>
            <w:noWrap/>
            <w:hideMark/>
          </w:tcPr>
          <w:p w:rsidR="008B4879" w:rsidRPr="00B75B77" w:rsidRDefault="008B4879"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57%</w:t>
            </w:r>
          </w:p>
        </w:tc>
        <w:tc>
          <w:tcPr>
            <w:tcW w:w="6300" w:type="dxa"/>
            <w:gridSpan w:val="6"/>
            <w:shd w:val="clear" w:color="auto" w:fill="auto"/>
            <w:noWrap/>
            <w:hideMark/>
          </w:tcPr>
          <w:p w:rsidR="008B4879" w:rsidRPr="00B75B77" w:rsidRDefault="008B4879"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 </w:t>
            </w:r>
          </w:p>
        </w:tc>
        <w:tc>
          <w:tcPr>
            <w:tcW w:w="1072" w:type="dxa"/>
            <w:shd w:val="clear" w:color="auto" w:fill="auto"/>
            <w:noWrap/>
            <w:hideMark/>
          </w:tcPr>
          <w:p w:rsidR="008B4879" w:rsidRPr="00B75B77" w:rsidRDefault="008B4879"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zh-CN"/>
              </w:rPr>
            </w:pPr>
            <w:r w:rsidRPr="00B75B77">
              <w:rPr>
                <w:rFonts w:ascii="Calibri" w:eastAsia="Times New Roman" w:hAnsi="Calibri"/>
                <w:color w:val="000000"/>
                <w:lang w:eastAsia="zh-CN"/>
              </w:rPr>
              <w:t>57%</w:t>
            </w:r>
          </w:p>
        </w:tc>
      </w:tr>
    </w:tbl>
    <w:p w:rsidR="00DA145F" w:rsidRPr="00B75B77" w:rsidRDefault="00DA145F" w:rsidP="00502659">
      <w:pPr>
        <w:pStyle w:val="Source"/>
        <w:keepNext/>
        <w:spacing w:before="20" w:after="20"/>
        <w:ind w:left="734" w:hanging="644"/>
        <w:rPr>
          <w:i w:val="0"/>
          <w:lang w:eastAsia="zh-CN"/>
        </w:rPr>
      </w:pPr>
      <w:r w:rsidRPr="00B75B77">
        <w:rPr>
          <w:i w:val="0"/>
          <w:vertAlign w:val="superscript"/>
          <w:lang w:eastAsia="zh-CN"/>
        </w:rPr>
        <w:t>[1]</w:t>
      </w:r>
      <w:r w:rsidRPr="00B75B77">
        <w:rPr>
          <w:i w:val="0"/>
          <w:lang w:eastAsia="zh-CN"/>
        </w:rPr>
        <w:t xml:space="preserve"> This represents the number of refrigerator participants classified as Scenario C.</w:t>
      </w:r>
    </w:p>
    <w:p w:rsidR="00DA145F" w:rsidRPr="00B75B77" w:rsidRDefault="00DA145F" w:rsidP="00502659">
      <w:pPr>
        <w:pStyle w:val="Source"/>
        <w:keepNext/>
        <w:spacing w:before="20" w:after="20"/>
        <w:ind w:left="734" w:hanging="644"/>
        <w:rPr>
          <w:i w:val="0"/>
          <w:lang w:eastAsia="zh-CN"/>
        </w:rPr>
      </w:pPr>
      <w:r w:rsidRPr="00B75B77">
        <w:rPr>
          <w:i w:val="0"/>
          <w:vertAlign w:val="superscript"/>
          <w:lang w:eastAsia="zh-CN"/>
        </w:rPr>
        <w:t>[2]</w:t>
      </w:r>
      <w:r w:rsidRPr="00B75B77">
        <w:rPr>
          <w:i w:val="0"/>
          <w:lang w:eastAsia="zh-CN"/>
        </w:rPr>
        <w:t xml:space="preserve"> This represents the number of refrigerator participants classified as Scenario D.</w:t>
      </w:r>
    </w:p>
    <w:p w:rsidR="00DA145F" w:rsidRPr="00B75B77" w:rsidRDefault="00DA145F" w:rsidP="00502659">
      <w:pPr>
        <w:pStyle w:val="Source"/>
        <w:keepNext/>
        <w:spacing w:before="20" w:after="20"/>
        <w:ind w:left="734" w:hanging="644"/>
        <w:rPr>
          <w:i w:val="0"/>
        </w:rPr>
      </w:pPr>
      <w:r w:rsidRPr="00B75B77">
        <w:rPr>
          <w:i w:val="0"/>
          <w:lang w:eastAsia="zh-CN"/>
        </w:rPr>
        <w:t>Note: The remainder of participants are Scenario A or B, or those that could not be classified.</w:t>
      </w:r>
    </w:p>
    <w:p w:rsidR="008B4879" w:rsidRPr="00B75B77" w:rsidRDefault="008B4879" w:rsidP="00502659">
      <w:pPr>
        <w:pStyle w:val="Source"/>
        <w:keepNext/>
        <w:ind w:hanging="630"/>
      </w:pPr>
      <w:r w:rsidRPr="00B75B77">
        <w:t>Source: Navigant analysis</w:t>
      </w:r>
    </w:p>
    <w:p w:rsidR="008B4879" w:rsidRPr="00B75B77" w:rsidRDefault="008B4879" w:rsidP="00751A38">
      <w:pPr>
        <w:pStyle w:val="Heading3"/>
      </w:pPr>
      <w:bookmarkStart w:id="388" w:name="_Ref463428462"/>
      <w:bookmarkStart w:id="389" w:name="_Ref463428468"/>
      <w:bookmarkStart w:id="390" w:name="_Toc466413310"/>
      <w:r w:rsidRPr="00B75B77">
        <w:t>Net Verified Savings Results</w:t>
      </w:r>
      <w:bookmarkEnd w:id="388"/>
      <w:bookmarkEnd w:id="389"/>
      <w:bookmarkEnd w:id="390"/>
    </w:p>
    <w:p w:rsidR="008B4879" w:rsidRPr="00B75B77" w:rsidRDefault="008B4879" w:rsidP="00751A38">
      <w:r w:rsidRPr="00B75B77">
        <w:t>Navigant estimated a NTG ratio of 0.48 for refrigerators and 0.61 for freezers. This is based on the overall proportions of participants who would keep their unit or discard it as described above. Navigant use</w:t>
      </w:r>
      <w:r w:rsidR="0083011A" w:rsidRPr="00B75B77">
        <w:t>d</w:t>
      </w:r>
      <w:r w:rsidRPr="00B75B77">
        <w:t xml:space="preserve"> those overall proportions</w:t>
      </w:r>
      <w:r w:rsidR="0083011A" w:rsidRPr="00B75B77">
        <w:t>,</w:t>
      </w:r>
      <w:r w:rsidRPr="00B75B77">
        <w:t xml:space="preserve"> along with the verified UEC of PY7 appliances</w:t>
      </w:r>
      <w:r w:rsidR="0083011A" w:rsidRPr="00B75B77">
        <w:t>,</w:t>
      </w:r>
      <w:r w:rsidRPr="00B75B77">
        <w:t xml:space="preserve"> to estimate the net savings of each scenario</w:t>
      </w:r>
      <w:r w:rsidR="002E49B3" w:rsidRPr="00B75B77">
        <w:t xml:space="preserve">. </w:t>
      </w:r>
      <w:r w:rsidR="000147F5" w:rsidRPr="00B75B77">
        <w:fldChar w:fldCharType="begin"/>
      </w:r>
      <w:r w:rsidR="000147F5" w:rsidRPr="00B75B77">
        <w:instrText xml:space="preserve"> REF _Ref463270262 \h </w:instrText>
      </w:r>
      <w:r w:rsidR="00B75B77">
        <w:instrText xml:space="preserve"> \* MERGEFORMAT </w:instrText>
      </w:r>
      <w:r w:rsidR="000147F5" w:rsidRPr="00B75B77">
        <w:fldChar w:fldCharType="separate"/>
      </w:r>
      <w:r w:rsidR="0004016D" w:rsidRPr="00B75B77">
        <w:t xml:space="preserve">Figure </w:t>
      </w:r>
      <w:r w:rsidR="0004016D">
        <w:rPr>
          <w:noProof/>
        </w:rPr>
        <w:t>4</w:t>
      </w:r>
      <w:r w:rsidR="0004016D" w:rsidRPr="00B75B77">
        <w:rPr>
          <w:noProof/>
        </w:rPr>
        <w:noBreakHyphen/>
      </w:r>
      <w:r w:rsidR="0004016D">
        <w:rPr>
          <w:noProof/>
        </w:rPr>
        <w:t>1</w:t>
      </w:r>
      <w:r w:rsidR="000147F5" w:rsidRPr="00B75B77">
        <w:fldChar w:fldCharType="end"/>
      </w:r>
      <w:r w:rsidR="00410DA1" w:rsidRPr="00B75B77">
        <w:t xml:space="preserve"> </w:t>
      </w:r>
      <w:r w:rsidRPr="00B75B77">
        <w:t xml:space="preserve">and </w:t>
      </w:r>
      <w:r w:rsidR="000147F5" w:rsidRPr="00B75B77">
        <w:rPr>
          <w:noProof/>
        </w:rPr>
        <w:fldChar w:fldCharType="begin"/>
      </w:r>
      <w:r w:rsidR="000147F5" w:rsidRPr="00B75B77">
        <w:instrText xml:space="preserve"> REF _Ref463270267 \h </w:instrText>
      </w:r>
      <w:r w:rsidR="00B75B77">
        <w:rPr>
          <w:noProof/>
        </w:rPr>
        <w:instrText xml:space="preserve"> \* MERGEFORMAT </w:instrText>
      </w:r>
      <w:r w:rsidR="000147F5" w:rsidRPr="00B75B77">
        <w:rPr>
          <w:noProof/>
        </w:rPr>
      </w:r>
      <w:r w:rsidR="000147F5" w:rsidRPr="00B75B77">
        <w:rPr>
          <w:noProof/>
        </w:rPr>
        <w:fldChar w:fldCharType="separate"/>
      </w:r>
      <w:r w:rsidR="0004016D" w:rsidRPr="00B75B77">
        <w:t xml:space="preserve">Figure </w:t>
      </w:r>
      <w:r w:rsidR="0004016D">
        <w:rPr>
          <w:noProof/>
        </w:rPr>
        <w:t>4</w:t>
      </w:r>
      <w:r w:rsidR="0004016D" w:rsidRPr="00B75B77">
        <w:rPr>
          <w:noProof/>
        </w:rPr>
        <w:noBreakHyphen/>
      </w:r>
      <w:r w:rsidR="0004016D">
        <w:rPr>
          <w:noProof/>
        </w:rPr>
        <w:t>2</w:t>
      </w:r>
      <w:r w:rsidR="000147F5" w:rsidRPr="00B75B77">
        <w:rPr>
          <w:noProof/>
        </w:rPr>
        <w:fldChar w:fldCharType="end"/>
      </w:r>
      <w:r w:rsidR="00A93D30" w:rsidRPr="00B75B77">
        <w:rPr>
          <w:noProof/>
        </w:rPr>
        <w:t xml:space="preserve"> </w:t>
      </w:r>
      <w:r w:rsidRPr="00B75B77">
        <w:t xml:space="preserve">show how the savings of each scenario, </w:t>
      </w:r>
      <w:r w:rsidR="0083011A" w:rsidRPr="00B75B77">
        <w:t xml:space="preserve">multiplied by </w:t>
      </w:r>
      <w:r w:rsidRPr="00B75B77">
        <w:t>the proportion of PY7 participants who would have followed that scenario if SAR did not recycle their appliance</w:t>
      </w:r>
      <w:r w:rsidR="0083011A" w:rsidRPr="00B75B77">
        <w:t xml:space="preserve"> and</w:t>
      </w:r>
      <w:r w:rsidRPr="00B75B77">
        <w:t xml:space="preserve"> minus any induced replacement appliance purchases, determine the net savings per unit. The net savings per refrigerator is 444 kWh per year. </w:t>
      </w:r>
    </w:p>
    <w:p w:rsidR="008B4879" w:rsidRPr="00B75B77" w:rsidRDefault="008B4879" w:rsidP="00751A38"/>
    <w:p w:rsidR="008B4879" w:rsidRPr="00B75B77" w:rsidRDefault="008B4879" w:rsidP="00751A38">
      <w:pPr>
        <w:pStyle w:val="Caption"/>
      </w:pPr>
      <w:bookmarkStart w:id="391" w:name="_Ref463270262"/>
      <w:bookmarkStart w:id="392" w:name="_Ref462129148"/>
      <w:bookmarkStart w:id="393" w:name="_Toc466413671"/>
      <w:r w:rsidRPr="00B75B77">
        <w:lastRenderedPageBreak/>
        <w:t xml:space="preserve">Figure </w:t>
      </w:r>
      <w:fldSimple w:instr=" STYLEREF 1 \s ">
        <w:r w:rsidR="0004016D">
          <w:rPr>
            <w:noProof/>
          </w:rPr>
          <w:t>4</w:t>
        </w:r>
      </w:fldSimple>
      <w:r w:rsidR="00BA3BA9" w:rsidRPr="00B75B77">
        <w:noBreakHyphen/>
      </w:r>
      <w:fldSimple w:instr=" SEQ Figure \* ARABIC \s 1 ">
        <w:r w:rsidR="0004016D">
          <w:rPr>
            <w:noProof/>
          </w:rPr>
          <w:t>1</w:t>
        </w:r>
      </w:fldSimple>
      <w:bookmarkEnd w:id="391"/>
      <w:bookmarkEnd w:id="392"/>
      <w:r w:rsidR="000147F5" w:rsidRPr="00B75B77">
        <w:t>:</w:t>
      </w:r>
      <w:r w:rsidRPr="00B75B77">
        <w:t xml:space="preserve"> Smart Appliance Recycling Refrigerator Net Savings Calculation</w:t>
      </w:r>
      <w:bookmarkEnd w:id="393"/>
    </w:p>
    <w:p w:rsidR="008B4879" w:rsidRPr="00B75B77" w:rsidRDefault="008B4879" w:rsidP="00751A38">
      <w:pPr>
        <w:jc w:val="left"/>
      </w:pPr>
      <w:r w:rsidRPr="00B75B77">
        <w:object w:dxaOrig="15076" w:dyaOrig="11701" w14:anchorId="47F6A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5in" o:ole="">
            <v:imagedata r:id="rId53" o:title=""/>
          </v:shape>
          <o:OLEObject Type="Embed" ProgID="Visio.Drawing.15" ShapeID="_x0000_i1025" DrawAspect="Content" ObjectID="_1540726950" r:id="rId54"/>
        </w:object>
      </w:r>
    </w:p>
    <w:p w:rsidR="008B4879" w:rsidRPr="00B75B77" w:rsidRDefault="008B4879" w:rsidP="00751A38">
      <w:pPr>
        <w:pStyle w:val="Source"/>
      </w:pPr>
      <w:r w:rsidRPr="00B75B77">
        <w:t>Source: Navigant analysis</w:t>
      </w:r>
    </w:p>
    <w:p w:rsidR="008B4879" w:rsidRPr="00B75B77" w:rsidRDefault="008B4879" w:rsidP="009A1E1A">
      <w:pPr>
        <w:jc w:val="left"/>
      </w:pPr>
      <w:r w:rsidRPr="00B75B77">
        <w:t xml:space="preserve">As shown in </w:t>
      </w:r>
      <w:r w:rsidR="000147F5" w:rsidRPr="00B75B77">
        <w:fldChar w:fldCharType="begin"/>
      </w:r>
      <w:r w:rsidR="000147F5" w:rsidRPr="00B75B77">
        <w:instrText xml:space="preserve"> REF _Ref463270267 \h </w:instrText>
      </w:r>
      <w:r w:rsidR="00B75B77">
        <w:instrText xml:space="preserve"> \* MERGEFORMAT </w:instrText>
      </w:r>
      <w:r w:rsidR="000147F5" w:rsidRPr="00B75B77">
        <w:fldChar w:fldCharType="separate"/>
      </w:r>
      <w:r w:rsidR="0004016D" w:rsidRPr="00B75B77">
        <w:t xml:space="preserve">Figure </w:t>
      </w:r>
      <w:r w:rsidR="0004016D">
        <w:rPr>
          <w:noProof/>
        </w:rPr>
        <w:t>4</w:t>
      </w:r>
      <w:r w:rsidR="0004016D" w:rsidRPr="00B75B77">
        <w:rPr>
          <w:noProof/>
        </w:rPr>
        <w:noBreakHyphen/>
      </w:r>
      <w:r w:rsidR="0004016D">
        <w:rPr>
          <w:noProof/>
        </w:rPr>
        <w:t>2</w:t>
      </w:r>
      <w:r w:rsidR="000147F5" w:rsidRPr="00B75B77">
        <w:fldChar w:fldCharType="end"/>
      </w:r>
      <w:r w:rsidRPr="00B75B77">
        <w:t xml:space="preserve">, once induced replacement is deducted, the net savings per freezer </w:t>
      </w:r>
      <w:r w:rsidR="0083011A" w:rsidRPr="00B75B77">
        <w:t xml:space="preserve">becomes </w:t>
      </w:r>
      <w:r w:rsidRPr="00B75B77">
        <w:t>458 kWh per year. This amount expressed as a ratio of the verified savings per freezer yield</w:t>
      </w:r>
      <w:r w:rsidR="0083011A" w:rsidRPr="00B75B77">
        <w:t>ed</w:t>
      </w:r>
      <w:r w:rsidRPr="00B75B77">
        <w:t xml:space="preserve"> the NTG ratio of 0.61.</w:t>
      </w:r>
    </w:p>
    <w:p w:rsidR="008B4879" w:rsidRPr="00B75B77" w:rsidRDefault="008B4879" w:rsidP="00751A38">
      <w:pPr>
        <w:pStyle w:val="Caption"/>
      </w:pPr>
      <w:bookmarkStart w:id="394" w:name="_Ref463270267"/>
      <w:bookmarkStart w:id="395" w:name="_Ref462129153"/>
      <w:bookmarkStart w:id="396" w:name="_Toc466413672"/>
      <w:r w:rsidRPr="00B75B77">
        <w:lastRenderedPageBreak/>
        <w:t xml:space="preserve">Figure </w:t>
      </w:r>
      <w:fldSimple w:instr=" STYLEREF 1 \s ">
        <w:r w:rsidR="0004016D">
          <w:rPr>
            <w:noProof/>
          </w:rPr>
          <w:t>4</w:t>
        </w:r>
      </w:fldSimple>
      <w:r w:rsidR="00BA3BA9" w:rsidRPr="00B75B77">
        <w:noBreakHyphen/>
      </w:r>
      <w:fldSimple w:instr=" SEQ Figure \* ARABIC \s 1 ">
        <w:r w:rsidR="0004016D">
          <w:rPr>
            <w:noProof/>
          </w:rPr>
          <w:t>2</w:t>
        </w:r>
      </w:fldSimple>
      <w:bookmarkEnd w:id="394"/>
      <w:bookmarkEnd w:id="395"/>
      <w:r w:rsidR="000147F5" w:rsidRPr="00B75B77">
        <w:t>:</w:t>
      </w:r>
      <w:r w:rsidRPr="00B75B77">
        <w:t xml:space="preserve"> Smart Appliance Recycling Freezer Net Savings Calculation</w:t>
      </w:r>
      <w:bookmarkEnd w:id="396"/>
    </w:p>
    <w:p w:rsidR="008B4879" w:rsidRPr="00B75B77" w:rsidRDefault="008B4879" w:rsidP="00751A38">
      <w:r w:rsidRPr="00B75B77">
        <w:object w:dxaOrig="15076" w:dyaOrig="11701" w14:anchorId="5CCDCE53">
          <v:shape id="_x0000_i1026" type="#_x0000_t75" style="width:468pt;height:5in" o:ole="">
            <v:imagedata r:id="rId55" o:title=""/>
          </v:shape>
          <o:OLEObject Type="Embed" ProgID="Visio.Drawing.15" ShapeID="_x0000_i1026" DrawAspect="Content" ObjectID="_1540726951" r:id="rId56"/>
        </w:object>
      </w:r>
    </w:p>
    <w:p w:rsidR="008B4879" w:rsidRPr="00B75B77" w:rsidRDefault="008B4879" w:rsidP="00751A38">
      <w:pPr>
        <w:pStyle w:val="Source"/>
      </w:pPr>
      <w:r w:rsidRPr="00B75B77">
        <w:t>Source: Navigant analysis</w:t>
      </w:r>
    </w:p>
    <w:p w:rsidR="008B4879" w:rsidRPr="00B75B77" w:rsidRDefault="000147F5" w:rsidP="00751A38">
      <w:r w:rsidRPr="00B75B77">
        <w:fldChar w:fldCharType="begin"/>
      </w:r>
      <w:r w:rsidRPr="00B75B77">
        <w:instrText xml:space="preserve"> REF _Ref463270400 \h </w:instrText>
      </w:r>
      <w:r w:rsidR="00B75B77">
        <w:instrText xml:space="preserve"> \* MERGEFORMAT </w:instrText>
      </w:r>
      <w:r w:rsidRPr="00B75B77">
        <w:fldChar w:fldCharType="separate"/>
      </w:r>
      <w:r w:rsidR="0004016D" w:rsidRPr="00B75B77">
        <w:t xml:space="preserve">Table </w:t>
      </w:r>
      <w:r w:rsidR="0004016D">
        <w:rPr>
          <w:noProof/>
        </w:rPr>
        <w:t>4</w:t>
      </w:r>
      <w:r w:rsidR="0004016D" w:rsidRPr="00B75B77">
        <w:rPr>
          <w:noProof/>
        </w:rPr>
        <w:noBreakHyphen/>
      </w:r>
      <w:r w:rsidR="0004016D">
        <w:rPr>
          <w:noProof/>
        </w:rPr>
        <w:t>8</w:t>
      </w:r>
      <w:r w:rsidRPr="00B75B77">
        <w:fldChar w:fldCharType="end"/>
      </w:r>
      <w:r w:rsidRPr="00B75B77">
        <w:t xml:space="preserve"> </w:t>
      </w:r>
      <w:r w:rsidR="008B4879" w:rsidRPr="00B75B77">
        <w:t>shows the statistical precision of these NTG</w:t>
      </w:r>
      <w:r w:rsidR="0083011A" w:rsidRPr="00B75B77">
        <w:t xml:space="preserve"> ratio</w:t>
      </w:r>
      <w:r w:rsidR="008B4879" w:rsidRPr="00B75B77">
        <w:t>s.</w:t>
      </w:r>
      <w:r w:rsidR="0055762B" w:rsidRPr="00B75B77">
        <w:t xml:space="preserve"> Navigant was unable to reach the target precision level of 15% at an 85% confidence level because of a large number of “don’t know” responses. The SWE recommended using a question such as, “</w:t>
      </w:r>
      <w:r w:rsidR="0055762B" w:rsidRPr="00B75B77">
        <w:rPr>
          <w:i/>
        </w:rPr>
        <w:t xml:space="preserve">If the appliance pickup program was not available, which one of the following alternatives would you have most likely done with your [appliance] when you were ready to dispose of it? Would have: a. Sold it, b. </w:t>
      </w:r>
      <w:proofErr w:type="gramStart"/>
      <w:r w:rsidR="0055762B" w:rsidRPr="00B75B77">
        <w:rPr>
          <w:i/>
        </w:rPr>
        <w:t>Given</w:t>
      </w:r>
      <w:proofErr w:type="gramEnd"/>
      <w:r w:rsidR="0055762B" w:rsidRPr="00B75B77">
        <w:rPr>
          <w:i/>
        </w:rPr>
        <w:t xml:space="preserve"> it away for free</w:t>
      </w:r>
      <w:r w:rsidR="0055762B" w:rsidRPr="00B75B77">
        <w:t>, etc.” Navigant’s instrument used a similarly phrased question</w:t>
      </w:r>
      <w:r w:rsidR="00DC611B" w:rsidRPr="00B75B77">
        <w:t xml:space="preserve"> that </w:t>
      </w:r>
      <w:r w:rsidR="0055762B" w:rsidRPr="00B75B77">
        <w:t xml:space="preserve">did not </w:t>
      </w:r>
      <w:r w:rsidR="00DC611B" w:rsidRPr="00B75B77">
        <w:t xml:space="preserve">list </w:t>
      </w:r>
      <w:r w:rsidR="0055762B" w:rsidRPr="00B75B77">
        <w:t xml:space="preserve">the possible disposal options to survey respondents. This increased the number of “don’t know” responses, which prevented differentiation between those who would have </w:t>
      </w:r>
      <w:r w:rsidR="0055762B" w:rsidRPr="00B75B77">
        <w:rPr>
          <w:i/>
        </w:rPr>
        <w:t>transferred</w:t>
      </w:r>
      <w:r w:rsidR="0055762B" w:rsidRPr="00B75B77">
        <w:t xml:space="preserve"> their unit from those who would have </w:t>
      </w:r>
      <w:r w:rsidR="0055762B" w:rsidRPr="00B75B77">
        <w:rPr>
          <w:i/>
        </w:rPr>
        <w:t>destroyed</w:t>
      </w:r>
      <w:r w:rsidR="0055762B" w:rsidRPr="00B75B77">
        <w:t xml:space="preserve"> their unit. This technique ensured only respondents with a clear plan to discard their unit were used to estimate NTG, but reduced the classifiable number of responses by 26 (of 140 </w:t>
      </w:r>
      <w:proofErr w:type="gramStart"/>
      <w:r w:rsidR="0055762B" w:rsidRPr="00B75B77">
        <w:t>total</w:t>
      </w:r>
      <w:proofErr w:type="gramEnd"/>
      <w:r w:rsidR="0055762B" w:rsidRPr="00B75B77">
        <w:t>). Additionally, a programming error on this same question prevented the surveyors from recording a verbatim response if the respondent chose “other</w:t>
      </w:r>
      <w:r w:rsidR="00DC611B" w:rsidRPr="00B75B77">
        <w:t>,</w:t>
      </w:r>
      <w:r w:rsidR="0055762B" w:rsidRPr="00B75B77">
        <w:t>” prevent</w:t>
      </w:r>
      <w:r w:rsidR="00DC611B" w:rsidRPr="00B75B77">
        <w:t>ing</w:t>
      </w:r>
      <w:r w:rsidR="0055762B" w:rsidRPr="00B75B77">
        <w:t xml:space="preserve"> Navigant from classifying another 20 responses.</w:t>
      </w:r>
    </w:p>
    <w:p w:rsidR="008B4879" w:rsidRPr="00B75B77" w:rsidRDefault="008B4879" w:rsidP="00751A38">
      <w:pPr>
        <w:jc w:val="left"/>
        <w:rPr>
          <w:b/>
          <w:bCs/>
        </w:rPr>
      </w:pPr>
    </w:p>
    <w:p w:rsidR="008B4879" w:rsidRPr="00B75B77" w:rsidRDefault="008B4879" w:rsidP="00502659">
      <w:pPr>
        <w:pStyle w:val="Caption"/>
      </w:pPr>
      <w:bookmarkStart w:id="397" w:name="_Ref463270400"/>
      <w:bookmarkStart w:id="398" w:name="_Toc466413537"/>
      <w:r w:rsidRPr="00B75B77">
        <w:lastRenderedPageBreak/>
        <w:t xml:space="preserve">Table </w:t>
      </w:r>
      <w:fldSimple w:instr=" STYLEREF 1 \s ">
        <w:r w:rsidR="0004016D">
          <w:rPr>
            <w:noProof/>
          </w:rPr>
          <w:t>4</w:t>
        </w:r>
      </w:fldSimple>
      <w:r w:rsidR="00F1144C" w:rsidRPr="00B75B77">
        <w:noBreakHyphen/>
      </w:r>
      <w:fldSimple w:instr=" SEQ Table \* ARABIC \s 1 ">
        <w:r w:rsidR="0004016D">
          <w:rPr>
            <w:noProof/>
          </w:rPr>
          <w:t>8</w:t>
        </w:r>
      </w:fldSimple>
      <w:bookmarkEnd w:id="397"/>
      <w:r w:rsidRPr="00B75B77">
        <w:t>: PY7 Smart Appliance Recycling Summary of Evaluation Results for NTG Research</w:t>
      </w:r>
      <w:bookmarkEnd w:id="398"/>
    </w:p>
    <w:tbl>
      <w:tblPr>
        <w:tblW w:w="9175" w:type="dxa"/>
        <w:tblLook w:val="04A0" w:firstRow="1" w:lastRow="0" w:firstColumn="1" w:lastColumn="0" w:noHBand="0" w:noVBand="1"/>
      </w:tblPr>
      <w:tblGrid>
        <w:gridCol w:w="2220"/>
        <w:gridCol w:w="1326"/>
        <w:gridCol w:w="1331"/>
        <w:gridCol w:w="1135"/>
        <w:gridCol w:w="1395"/>
        <w:gridCol w:w="1768"/>
      </w:tblGrid>
      <w:tr w:rsidR="000147F5" w:rsidRPr="00B75B77" w:rsidTr="0083011A">
        <w:trPr>
          <w:trHeight w:val="420"/>
        </w:trPr>
        <w:tc>
          <w:tcPr>
            <w:tcW w:w="222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0147F5" w:rsidRPr="00B75B77" w:rsidRDefault="0083011A" w:rsidP="00502659">
            <w:pPr>
              <w:keepNext/>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Stratum</w:t>
            </w:r>
          </w:p>
        </w:tc>
        <w:tc>
          <w:tcPr>
            <w:tcW w:w="1326"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0147F5" w:rsidRPr="00B75B77" w:rsidRDefault="000147F5" w:rsidP="00502659">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Estimated Free Ridership</w:t>
            </w:r>
          </w:p>
        </w:tc>
        <w:tc>
          <w:tcPr>
            <w:tcW w:w="1331"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0147F5" w:rsidRPr="00B75B77" w:rsidRDefault="000147F5" w:rsidP="00502659">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Estimated Participant Spillover</w:t>
            </w:r>
          </w:p>
        </w:tc>
        <w:tc>
          <w:tcPr>
            <w:tcW w:w="1135"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0147F5" w:rsidRPr="00B75B77" w:rsidRDefault="000147F5" w:rsidP="00502659">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NTG Ratio</w:t>
            </w:r>
          </w:p>
        </w:tc>
        <w:tc>
          <w:tcPr>
            <w:tcW w:w="1395"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0147F5" w:rsidRPr="00B75B77" w:rsidRDefault="000147F5" w:rsidP="00502659">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Observed </w:t>
            </w:r>
            <w:r w:rsidR="0083011A" w:rsidRPr="00B75B77">
              <w:rPr>
                <w:rFonts w:ascii="Calibri" w:eastAsia="Times New Roman" w:hAnsi="Calibri"/>
                <w:b/>
                <w:bCs/>
                <w:color w:val="FFFFFF"/>
                <w:sz w:val="18"/>
                <w:szCs w:val="18"/>
              </w:rPr>
              <w:t>CV</w:t>
            </w:r>
            <w:r w:rsidRPr="00B75B77">
              <w:rPr>
                <w:rFonts w:ascii="Calibri" w:eastAsia="Times New Roman" w:hAnsi="Calibri"/>
                <w:b/>
                <w:bCs/>
                <w:color w:val="FFFFFF"/>
                <w:sz w:val="18"/>
                <w:szCs w:val="18"/>
              </w:rPr>
              <w:t xml:space="preserve"> or Proportion</w:t>
            </w:r>
          </w:p>
        </w:tc>
        <w:tc>
          <w:tcPr>
            <w:tcW w:w="1768"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0147F5" w:rsidRPr="00B75B77" w:rsidRDefault="000147F5" w:rsidP="00502659">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Relative Precision</w:t>
            </w:r>
          </w:p>
        </w:tc>
      </w:tr>
      <w:tr w:rsidR="000147F5" w:rsidRPr="00B75B77" w:rsidTr="0083011A">
        <w:trPr>
          <w:trHeight w:val="288"/>
        </w:trPr>
        <w:tc>
          <w:tcPr>
            <w:tcW w:w="2220" w:type="dxa"/>
            <w:vMerge/>
            <w:tcBorders>
              <w:top w:val="single" w:sz="4" w:space="0" w:color="auto"/>
              <w:left w:val="single" w:sz="4" w:space="0" w:color="auto"/>
              <w:bottom w:val="single" w:sz="4" w:space="0" w:color="000000"/>
              <w:right w:val="single" w:sz="4" w:space="0" w:color="auto"/>
            </w:tcBorders>
            <w:vAlign w:val="center"/>
            <w:hideMark/>
          </w:tcPr>
          <w:p w:rsidR="000147F5" w:rsidRPr="00B75B77" w:rsidRDefault="000147F5" w:rsidP="00502659">
            <w:pPr>
              <w:keepNext/>
              <w:jc w:val="left"/>
              <w:rPr>
                <w:rFonts w:ascii="Calibri" w:eastAsia="Times New Roman" w:hAnsi="Calibri"/>
                <w:b/>
                <w:bCs/>
                <w:color w:val="FFFFFF"/>
                <w:sz w:val="18"/>
                <w:szCs w:val="18"/>
              </w:rPr>
            </w:pPr>
          </w:p>
        </w:tc>
        <w:tc>
          <w:tcPr>
            <w:tcW w:w="1326" w:type="dxa"/>
            <w:vMerge/>
            <w:tcBorders>
              <w:top w:val="single" w:sz="4" w:space="0" w:color="auto"/>
              <w:left w:val="single" w:sz="4" w:space="0" w:color="auto"/>
              <w:bottom w:val="single" w:sz="4" w:space="0" w:color="000000"/>
              <w:right w:val="single" w:sz="4" w:space="0" w:color="auto"/>
            </w:tcBorders>
            <w:vAlign w:val="center"/>
            <w:hideMark/>
          </w:tcPr>
          <w:p w:rsidR="000147F5" w:rsidRPr="00B75B77" w:rsidRDefault="000147F5" w:rsidP="00502659">
            <w:pPr>
              <w:keepNext/>
              <w:jc w:val="left"/>
              <w:rPr>
                <w:rFonts w:ascii="Calibri" w:eastAsia="Times New Roman" w:hAnsi="Calibri"/>
                <w:b/>
                <w:bCs/>
                <w:color w:val="FFFFFF"/>
                <w:sz w:val="18"/>
                <w:szCs w:val="18"/>
              </w:rPr>
            </w:pPr>
          </w:p>
        </w:tc>
        <w:tc>
          <w:tcPr>
            <w:tcW w:w="1331" w:type="dxa"/>
            <w:vMerge/>
            <w:tcBorders>
              <w:top w:val="single" w:sz="4" w:space="0" w:color="auto"/>
              <w:left w:val="single" w:sz="4" w:space="0" w:color="auto"/>
              <w:bottom w:val="single" w:sz="4" w:space="0" w:color="000000"/>
              <w:right w:val="single" w:sz="4" w:space="0" w:color="auto"/>
            </w:tcBorders>
            <w:vAlign w:val="center"/>
            <w:hideMark/>
          </w:tcPr>
          <w:p w:rsidR="000147F5" w:rsidRPr="00B75B77" w:rsidRDefault="000147F5" w:rsidP="00502659">
            <w:pPr>
              <w:keepNext/>
              <w:jc w:val="left"/>
              <w:rPr>
                <w:rFonts w:ascii="Calibri" w:eastAsia="Times New Roman" w:hAnsi="Calibri"/>
                <w:b/>
                <w:bCs/>
                <w:color w:val="FFFFFF"/>
                <w:sz w:val="18"/>
                <w:szCs w:val="18"/>
              </w:rPr>
            </w:pPr>
          </w:p>
        </w:tc>
        <w:tc>
          <w:tcPr>
            <w:tcW w:w="1135" w:type="dxa"/>
            <w:vMerge/>
            <w:tcBorders>
              <w:top w:val="single" w:sz="4" w:space="0" w:color="auto"/>
              <w:left w:val="single" w:sz="4" w:space="0" w:color="auto"/>
              <w:bottom w:val="single" w:sz="4" w:space="0" w:color="000000"/>
              <w:right w:val="single" w:sz="4" w:space="0" w:color="auto"/>
            </w:tcBorders>
            <w:vAlign w:val="center"/>
            <w:hideMark/>
          </w:tcPr>
          <w:p w:rsidR="000147F5" w:rsidRPr="00B75B77" w:rsidRDefault="000147F5" w:rsidP="00502659">
            <w:pPr>
              <w:keepNext/>
              <w:jc w:val="left"/>
              <w:rPr>
                <w:rFonts w:ascii="Calibri" w:eastAsia="Times New Roman" w:hAnsi="Calibri"/>
                <w:b/>
                <w:bCs/>
                <w:color w:val="FFFFFF"/>
                <w:sz w:val="18"/>
                <w:szCs w:val="18"/>
              </w:rPr>
            </w:pPr>
          </w:p>
        </w:tc>
        <w:tc>
          <w:tcPr>
            <w:tcW w:w="1395" w:type="dxa"/>
            <w:vMerge/>
            <w:tcBorders>
              <w:top w:val="single" w:sz="4" w:space="0" w:color="auto"/>
              <w:left w:val="single" w:sz="4" w:space="0" w:color="auto"/>
              <w:bottom w:val="single" w:sz="4" w:space="0" w:color="000000"/>
              <w:right w:val="single" w:sz="4" w:space="0" w:color="auto"/>
            </w:tcBorders>
            <w:vAlign w:val="center"/>
            <w:hideMark/>
          </w:tcPr>
          <w:p w:rsidR="000147F5" w:rsidRPr="00B75B77" w:rsidRDefault="000147F5" w:rsidP="00502659">
            <w:pPr>
              <w:keepNext/>
              <w:jc w:val="left"/>
              <w:rPr>
                <w:rFonts w:ascii="Calibri" w:eastAsia="Times New Roman" w:hAnsi="Calibri"/>
                <w:b/>
                <w:bCs/>
                <w:color w:val="FFFFFF"/>
                <w:sz w:val="18"/>
                <w:szCs w:val="18"/>
              </w:rPr>
            </w:pPr>
          </w:p>
        </w:tc>
        <w:tc>
          <w:tcPr>
            <w:tcW w:w="1768" w:type="dxa"/>
            <w:vMerge/>
            <w:tcBorders>
              <w:top w:val="single" w:sz="4" w:space="0" w:color="auto"/>
              <w:left w:val="single" w:sz="4" w:space="0" w:color="auto"/>
              <w:bottom w:val="single" w:sz="4" w:space="0" w:color="000000"/>
              <w:right w:val="single" w:sz="4" w:space="0" w:color="auto"/>
            </w:tcBorders>
            <w:vAlign w:val="center"/>
            <w:hideMark/>
          </w:tcPr>
          <w:p w:rsidR="000147F5" w:rsidRPr="00B75B77" w:rsidRDefault="000147F5" w:rsidP="00502659">
            <w:pPr>
              <w:keepNext/>
              <w:jc w:val="left"/>
              <w:rPr>
                <w:rFonts w:ascii="Calibri" w:eastAsia="Times New Roman" w:hAnsi="Calibri"/>
                <w:b/>
                <w:bCs/>
                <w:color w:val="FFFFFF"/>
                <w:sz w:val="18"/>
                <w:szCs w:val="18"/>
              </w:rPr>
            </w:pPr>
          </w:p>
        </w:tc>
      </w:tr>
      <w:tr w:rsidR="000147F5" w:rsidRPr="00B75B77" w:rsidTr="0083011A">
        <w:trPr>
          <w:trHeight w:val="288"/>
        </w:trPr>
        <w:tc>
          <w:tcPr>
            <w:tcW w:w="2220" w:type="dxa"/>
            <w:tcBorders>
              <w:top w:val="nil"/>
              <w:left w:val="single" w:sz="4" w:space="0" w:color="448A99"/>
              <w:bottom w:val="single" w:sz="4" w:space="0" w:color="448A99"/>
              <w:right w:val="single" w:sz="4" w:space="0" w:color="448A99"/>
            </w:tcBorders>
            <w:shd w:val="clear" w:color="000000" w:fill="D2EAF1"/>
            <w:noWrap/>
            <w:vAlign w:val="center"/>
            <w:hideMark/>
          </w:tcPr>
          <w:p w:rsidR="000147F5" w:rsidRPr="00B75B77" w:rsidRDefault="000147F5" w:rsidP="00502659">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Refrigerators</w:t>
            </w:r>
          </w:p>
        </w:tc>
        <w:tc>
          <w:tcPr>
            <w:tcW w:w="1326" w:type="dxa"/>
            <w:tcBorders>
              <w:top w:val="nil"/>
              <w:left w:val="nil"/>
              <w:bottom w:val="single" w:sz="4" w:space="0" w:color="448A99"/>
              <w:right w:val="single" w:sz="4" w:space="0" w:color="448A99"/>
            </w:tcBorders>
            <w:shd w:val="clear" w:color="000000" w:fill="D2EAF1"/>
            <w:vAlign w:val="center"/>
            <w:hideMark/>
          </w:tcPr>
          <w:p w:rsidR="000147F5" w:rsidRPr="00B75B77" w:rsidRDefault="000147F5"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0.52</w:t>
            </w:r>
          </w:p>
        </w:tc>
        <w:tc>
          <w:tcPr>
            <w:tcW w:w="1331" w:type="dxa"/>
            <w:tcBorders>
              <w:top w:val="nil"/>
              <w:left w:val="nil"/>
              <w:bottom w:val="single" w:sz="4" w:space="0" w:color="448A99"/>
              <w:right w:val="single" w:sz="4" w:space="0" w:color="448A99"/>
            </w:tcBorders>
            <w:shd w:val="clear" w:color="000000" w:fill="D2EAF1"/>
            <w:vAlign w:val="center"/>
            <w:hideMark/>
          </w:tcPr>
          <w:p w:rsidR="000147F5" w:rsidRPr="00B75B77" w:rsidRDefault="000147F5"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0.00</w:t>
            </w:r>
          </w:p>
        </w:tc>
        <w:tc>
          <w:tcPr>
            <w:tcW w:w="1135" w:type="dxa"/>
            <w:tcBorders>
              <w:top w:val="nil"/>
              <w:left w:val="nil"/>
              <w:bottom w:val="single" w:sz="4" w:space="0" w:color="448A99"/>
              <w:right w:val="single" w:sz="4" w:space="0" w:color="448A99"/>
            </w:tcBorders>
            <w:shd w:val="clear" w:color="000000" w:fill="D2EAF1"/>
            <w:vAlign w:val="center"/>
            <w:hideMark/>
          </w:tcPr>
          <w:p w:rsidR="000147F5" w:rsidRPr="00B75B77" w:rsidRDefault="000147F5"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0.48</w:t>
            </w:r>
          </w:p>
        </w:tc>
        <w:tc>
          <w:tcPr>
            <w:tcW w:w="1395" w:type="dxa"/>
            <w:tcBorders>
              <w:top w:val="nil"/>
              <w:left w:val="nil"/>
              <w:bottom w:val="single" w:sz="4" w:space="0" w:color="448A99"/>
              <w:right w:val="single" w:sz="4" w:space="0" w:color="448A99"/>
            </w:tcBorders>
            <w:shd w:val="clear" w:color="000000" w:fill="D2EAF1"/>
            <w:vAlign w:val="center"/>
            <w:hideMark/>
          </w:tcPr>
          <w:p w:rsidR="000147F5" w:rsidRPr="00B75B77" w:rsidRDefault="000147F5"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52%</w:t>
            </w:r>
          </w:p>
        </w:tc>
        <w:tc>
          <w:tcPr>
            <w:tcW w:w="1768" w:type="dxa"/>
            <w:tcBorders>
              <w:top w:val="nil"/>
              <w:left w:val="nil"/>
              <w:bottom w:val="single" w:sz="4" w:space="0" w:color="448A99"/>
              <w:right w:val="single" w:sz="4" w:space="0" w:color="448A99"/>
            </w:tcBorders>
            <w:shd w:val="clear" w:color="000000" w:fill="D2EAF1"/>
            <w:vAlign w:val="center"/>
            <w:hideMark/>
          </w:tcPr>
          <w:p w:rsidR="000147F5" w:rsidRPr="00B75B77" w:rsidRDefault="000147F5"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2</w:t>
            </w:r>
            <w:r w:rsidR="009E677B" w:rsidRPr="00B75B77">
              <w:rPr>
                <w:rFonts w:ascii="Calibri" w:eastAsia="Times New Roman" w:hAnsi="Calibri"/>
                <w:color w:val="000000"/>
                <w:sz w:val="18"/>
                <w:szCs w:val="18"/>
              </w:rPr>
              <w:t>4</w:t>
            </w:r>
            <w:r w:rsidRPr="00B75B77">
              <w:rPr>
                <w:rFonts w:ascii="Calibri" w:eastAsia="Times New Roman" w:hAnsi="Calibri"/>
                <w:color w:val="000000"/>
                <w:sz w:val="18"/>
                <w:szCs w:val="18"/>
              </w:rPr>
              <w:t>%</w:t>
            </w:r>
          </w:p>
        </w:tc>
      </w:tr>
      <w:tr w:rsidR="000147F5" w:rsidRPr="00B75B77" w:rsidTr="0083011A">
        <w:trPr>
          <w:trHeight w:val="288"/>
        </w:trPr>
        <w:tc>
          <w:tcPr>
            <w:tcW w:w="2220" w:type="dxa"/>
            <w:tcBorders>
              <w:top w:val="nil"/>
              <w:left w:val="single" w:sz="4" w:space="0" w:color="448A99"/>
              <w:bottom w:val="single" w:sz="4" w:space="0" w:color="448A99"/>
              <w:right w:val="single" w:sz="4" w:space="0" w:color="448A99"/>
            </w:tcBorders>
            <w:shd w:val="clear" w:color="auto" w:fill="auto"/>
            <w:noWrap/>
            <w:vAlign w:val="center"/>
            <w:hideMark/>
          </w:tcPr>
          <w:p w:rsidR="000147F5" w:rsidRPr="00B75B77" w:rsidRDefault="000147F5" w:rsidP="00502659">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Freezers</w:t>
            </w:r>
          </w:p>
        </w:tc>
        <w:tc>
          <w:tcPr>
            <w:tcW w:w="1326" w:type="dxa"/>
            <w:tcBorders>
              <w:top w:val="nil"/>
              <w:left w:val="nil"/>
              <w:bottom w:val="single" w:sz="4" w:space="0" w:color="448A99"/>
              <w:right w:val="single" w:sz="4" w:space="0" w:color="448A99"/>
            </w:tcBorders>
            <w:shd w:val="clear" w:color="auto" w:fill="auto"/>
            <w:vAlign w:val="center"/>
            <w:hideMark/>
          </w:tcPr>
          <w:p w:rsidR="000147F5" w:rsidRPr="00B75B77" w:rsidRDefault="000147F5"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0.39</w:t>
            </w:r>
          </w:p>
        </w:tc>
        <w:tc>
          <w:tcPr>
            <w:tcW w:w="1331" w:type="dxa"/>
            <w:tcBorders>
              <w:top w:val="nil"/>
              <w:left w:val="nil"/>
              <w:bottom w:val="single" w:sz="4" w:space="0" w:color="448A99"/>
              <w:right w:val="single" w:sz="4" w:space="0" w:color="448A99"/>
            </w:tcBorders>
            <w:shd w:val="clear" w:color="auto" w:fill="auto"/>
            <w:vAlign w:val="center"/>
            <w:hideMark/>
          </w:tcPr>
          <w:p w:rsidR="000147F5" w:rsidRPr="00B75B77" w:rsidRDefault="000147F5"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0.00</w:t>
            </w:r>
          </w:p>
        </w:tc>
        <w:tc>
          <w:tcPr>
            <w:tcW w:w="1135" w:type="dxa"/>
            <w:tcBorders>
              <w:top w:val="nil"/>
              <w:left w:val="nil"/>
              <w:bottom w:val="single" w:sz="4" w:space="0" w:color="448A99"/>
              <w:right w:val="single" w:sz="4" w:space="0" w:color="448A99"/>
            </w:tcBorders>
            <w:shd w:val="clear" w:color="auto" w:fill="auto"/>
            <w:vAlign w:val="center"/>
            <w:hideMark/>
          </w:tcPr>
          <w:p w:rsidR="000147F5" w:rsidRPr="00B75B77" w:rsidRDefault="000147F5"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0.61</w:t>
            </w:r>
          </w:p>
        </w:tc>
        <w:tc>
          <w:tcPr>
            <w:tcW w:w="1395" w:type="dxa"/>
            <w:tcBorders>
              <w:top w:val="nil"/>
              <w:left w:val="nil"/>
              <w:bottom w:val="single" w:sz="4" w:space="0" w:color="448A99"/>
              <w:right w:val="single" w:sz="4" w:space="0" w:color="448A99"/>
            </w:tcBorders>
            <w:shd w:val="clear" w:color="auto" w:fill="auto"/>
            <w:vAlign w:val="center"/>
            <w:hideMark/>
          </w:tcPr>
          <w:p w:rsidR="000147F5" w:rsidRPr="00B75B77" w:rsidRDefault="000147F5"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39%</w:t>
            </w:r>
          </w:p>
        </w:tc>
        <w:tc>
          <w:tcPr>
            <w:tcW w:w="1768" w:type="dxa"/>
            <w:tcBorders>
              <w:top w:val="nil"/>
              <w:left w:val="nil"/>
              <w:bottom w:val="single" w:sz="4" w:space="0" w:color="448A99"/>
              <w:right w:val="single" w:sz="4" w:space="0" w:color="448A99"/>
            </w:tcBorders>
            <w:shd w:val="clear" w:color="auto" w:fill="auto"/>
            <w:vAlign w:val="center"/>
            <w:hideMark/>
          </w:tcPr>
          <w:p w:rsidR="000147F5" w:rsidRPr="00B75B77" w:rsidRDefault="009E677B"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16</w:t>
            </w:r>
            <w:r w:rsidR="000147F5" w:rsidRPr="00B75B77">
              <w:rPr>
                <w:rFonts w:ascii="Calibri" w:eastAsia="Times New Roman" w:hAnsi="Calibri"/>
                <w:color w:val="000000"/>
                <w:sz w:val="18"/>
                <w:szCs w:val="18"/>
              </w:rPr>
              <w:t>%</w:t>
            </w:r>
          </w:p>
        </w:tc>
      </w:tr>
      <w:tr w:rsidR="000147F5" w:rsidRPr="00B75B77" w:rsidTr="0083011A">
        <w:trPr>
          <w:trHeight w:val="288"/>
        </w:trPr>
        <w:tc>
          <w:tcPr>
            <w:tcW w:w="2220" w:type="dxa"/>
            <w:tcBorders>
              <w:top w:val="nil"/>
              <w:left w:val="single" w:sz="4" w:space="0" w:color="448A99"/>
              <w:bottom w:val="single" w:sz="4" w:space="0" w:color="448A99"/>
              <w:right w:val="single" w:sz="4" w:space="0" w:color="448A99"/>
            </w:tcBorders>
            <w:shd w:val="clear" w:color="000000" w:fill="D2EAF1"/>
            <w:noWrap/>
            <w:vAlign w:val="center"/>
            <w:hideMark/>
          </w:tcPr>
          <w:p w:rsidR="000147F5" w:rsidRPr="00B75B77" w:rsidRDefault="00237810" w:rsidP="00502659">
            <w:pPr>
              <w:keepNext/>
              <w:jc w:val="left"/>
              <w:rPr>
                <w:rFonts w:ascii="Calibri" w:eastAsia="Times New Roman" w:hAnsi="Calibri"/>
                <w:b/>
                <w:color w:val="000000"/>
                <w:sz w:val="18"/>
                <w:szCs w:val="18"/>
              </w:rPr>
            </w:pPr>
            <w:hyperlink r:id="rId57" w:anchor="RANGE!_ftn1" w:history="1">
              <w:r w:rsidR="0083011A" w:rsidRPr="00B75B77">
                <w:rPr>
                  <w:rFonts w:ascii="Calibri" w:eastAsia="Times New Roman" w:hAnsi="Calibri"/>
                  <w:b/>
                  <w:color w:val="000000"/>
                  <w:sz w:val="18"/>
                  <w:szCs w:val="18"/>
                </w:rPr>
                <w:t xml:space="preserve">PROGRAM TOTAL </w:t>
              </w:r>
            </w:hyperlink>
          </w:p>
        </w:tc>
        <w:tc>
          <w:tcPr>
            <w:tcW w:w="1326" w:type="dxa"/>
            <w:tcBorders>
              <w:top w:val="nil"/>
              <w:left w:val="nil"/>
              <w:bottom w:val="single" w:sz="4" w:space="0" w:color="448A99"/>
              <w:right w:val="single" w:sz="4" w:space="0" w:color="448A99"/>
            </w:tcBorders>
            <w:shd w:val="clear" w:color="000000" w:fill="D2EAF1"/>
            <w:vAlign w:val="center"/>
            <w:hideMark/>
          </w:tcPr>
          <w:p w:rsidR="000147F5" w:rsidRPr="00B75B77" w:rsidRDefault="000147F5" w:rsidP="00502659">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 </w:t>
            </w:r>
            <w:r w:rsidR="009E677B" w:rsidRPr="00B75B77">
              <w:rPr>
                <w:rFonts w:ascii="Calibri" w:eastAsia="Times New Roman" w:hAnsi="Calibri"/>
                <w:b/>
                <w:color w:val="000000"/>
                <w:sz w:val="18"/>
                <w:szCs w:val="18"/>
              </w:rPr>
              <w:t>0.50</w:t>
            </w:r>
          </w:p>
        </w:tc>
        <w:tc>
          <w:tcPr>
            <w:tcW w:w="1331" w:type="dxa"/>
            <w:tcBorders>
              <w:top w:val="nil"/>
              <w:left w:val="nil"/>
              <w:bottom w:val="single" w:sz="4" w:space="0" w:color="448A99"/>
              <w:right w:val="single" w:sz="4" w:space="0" w:color="448A99"/>
            </w:tcBorders>
            <w:shd w:val="clear" w:color="000000" w:fill="D2EAF1"/>
            <w:vAlign w:val="center"/>
            <w:hideMark/>
          </w:tcPr>
          <w:p w:rsidR="000147F5" w:rsidRPr="00B75B77" w:rsidRDefault="009E677B" w:rsidP="00502659">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0.00</w:t>
            </w:r>
          </w:p>
        </w:tc>
        <w:tc>
          <w:tcPr>
            <w:tcW w:w="1135" w:type="dxa"/>
            <w:tcBorders>
              <w:top w:val="nil"/>
              <w:left w:val="nil"/>
              <w:bottom w:val="single" w:sz="4" w:space="0" w:color="448A99"/>
              <w:right w:val="single" w:sz="4" w:space="0" w:color="448A99"/>
            </w:tcBorders>
            <w:shd w:val="clear" w:color="000000" w:fill="D2EAF1"/>
            <w:vAlign w:val="center"/>
            <w:hideMark/>
          </w:tcPr>
          <w:p w:rsidR="000147F5" w:rsidRPr="00B75B77" w:rsidRDefault="009E677B" w:rsidP="00502659">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0.50</w:t>
            </w:r>
          </w:p>
        </w:tc>
        <w:tc>
          <w:tcPr>
            <w:tcW w:w="1395" w:type="dxa"/>
            <w:tcBorders>
              <w:top w:val="nil"/>
              <w:left w:val="nil"/>
              <w:bottom w:val="single" w:sz="4" w:space="0" w:color="448A99"/>
              <w:right w:val="single" w:sz="4" w:space="0" w:color="448A99"/>
            </w:tcBorders>
            <w:shd w:val="clear" w:color="000000" w:fill="D2EAF1"/>
            <w:vAlign w:val="center"/>
            <w:hideMark/>
          </w:tcPr>
          <w:p w:rsidR="000147F5" w:rsidRPr="00B75B77" w:rsidRDefault="009D186E" w:rsidP="00502659">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N/A</w:t>
            </w:r>
            <w:r w:rsidR="000147F5" w:rsidRPr="00B75B77">
              <w:rPr>
                <w:rFonts w:ascii="Calibri" w:eastAsia="Times New Roman" w:hAnsi="Calibri"/>
                <w:b/>
                <w:color w:val="000000"/>
                <w:sz w:val="18"/>
                <w:szCs w:val="18"/>
              </w:rPr>
              <w:t> </w:t>
            </w:r>
          </w:p>
        </w:tc>
        <w:tc>
          <w:tcPr>
            <w:tcW w:w="1768" w:type="dxa"/>
            <w:tcBorders>
              <w:top w:val="nil"/>
              <w:left w:val="nil"/>
              <w:bottom w:val="single" w:sz="4" w:space="0" w:color="448A99"/>
              <w:right w:val="single" w:sz="4" w:space="0" w:color="448A99"/>
            </w:tcBorders>
            <w:shd w:val="clear" w:color="000000" w:fill="D2EAF1"/>
            <w:vAlign w:val="center"/>
            <w:hideMark/>
          </w:tcPr>
          <w:p w:rsidR="000147F5" w:rsidRPr="00B75B77" w:rsidRDefault="009E677B" w:rsidP="00502659">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21%</w:t>
            </w:r>
          </w:p>
        </w:tc>
      </w:tr>
    </w:tbl>
    <w:p w:rsidR="0083011A" w:rsidRPr="00B75B77" w:rsidRDefault="00EF6477" w:rsidP="00502659">
      <w:pPr>
        <w:pStyle w:val="Source"/>
        <w:keepNext/>
        <w:spacing w:before="20" w:after="20"/>
        <w:ind w:left="86" w:firstLine="0"/>
        <w:rPr>
          <w:i w:val="0"/>
        </w:rPr>
      </w:pPr>
      <w:r w:rsidRPr="00B75B77">
        <w:rPr>
          <w:rFonts w:ascii="Calibri" w:hAnsi="Calibri"/>
          <w:i w:val="0"/>
          <w:iCs/>
          <w:color w:val="000000"/>
          <w:szCs w:val="18"/>
        </w:rPr>
        <w:t>Note: Values in tables may not reconcile exactly with the sum of more detailed level results or previously reported results due to rounding.</w:t>
      </w:r>
    </w:p>
    <w:p w:rsidR="008B4879" w:rsidRPr="00B75B77" w:rsidRDefault="008B4879" w:rsidP="00502659">
      <w:pPr>
        <w:pStyle w:val="Source"/>
        <w:keepNext/>
        <w:spacing w:after="120"/>
        <w:ind w:left="90" w:firstLine="0"/>
      </w:pPr>
      <w:r w:rsidRPr="00B75B77">
        <w:t>Source: Navigant analysis</w:t>
      </w:r>
    </w:p>
    <w:p w:rsidR="008B4879" w:rsidRPr="00B75B77" w:rsidRDefault="008B4879" w:rsidP="00751A38">
      <w:pPr>
        <w:tabs>
          <w:tab w:val="left" w:pos="2790"/>
        </w:tabs>
        <w:jc w:val="left"/>
      </w:pPr>
    </w:p>
    <w:p w:rsidR="008B4879" w:rsidRPr="00B75B77" w:rsidRDefault="008B4879" w:rsidP="00963027">
      <w:pPr>
        <w:pStyle w:val="Heading2"/>
        <w:keepNext/>
      </w:pPr>
      <w:bookmarkStart w:id="399" w:name="_Toc331591683"/>
      <w:bookmarkStart w:id="400" w:name="_Toc390682414"/>
      <w:bookmarkStart w:id="401" w:name="_Toc389747552"/>
      <w:bookmarkStart w:id="402" w:name="_Toc390175498"/>
      <w:bookmarkStart w:id="403" w:name="_Toc390943361"/>
      <w:bookmarkStart w:id="404" w:name="_Toc390947289"/>
      <w:bookmarkStart w:id="405" w:name="_Toc466413311"/>
      <w:r w:rsidRPr="00B75B77">
        <w:t>Process Evaluation</w:t>
      </w:r>
      <w:bookmarkEnd w:id="399"/>
      <w:bookmarkEnd w:id="400"/>
      <w:bookmarkEnd w:id="401"/>
      <w:bookmarkEnd w:id="402"/>
      <w:bookmarkEnd w:id="403"/>
      <w:bookmarkEnd w:id="404"/>
      <w:bookmarkEnd w:id="405"/>
    </w:p>
    <w:p w:rsidR="008B4879" w:rsidRPr="00B75B77" w:rsidRDefault="008B4879" w:rsidP="00404813">
      <w:r w:rsidRPr="00B75B77">
        <w:t xml:space="preserve">Navigant found the program operated effectively in PY7 Q1 and Q2. It generated greater savings each month than in PY5 and PY6 and had high customer satisfaction. The interruption caused by JACO’s closure had a major impact </w:t>
      </w:r>
      <w:r w:rsidR="0083011A" w:rsidRPr="00B75B77">
        <w:t>o</w:t>
      </w:r>
      <w:r w:rsidRPr="00B75B77">
        <w:t>n Q3 and Q4 savings, though customer satisfaction among those affected remained high.</w:t>
      </w:r>
      <w:bookmarkStart w:id="406" w:name="_Toc331591684"/>
    </w:p>
    <w:p w:rsidR="0083011A" w:rsidRPr="00B75B77" w:rsidRDefault="0083011A" w:rsidP="00404813"/>
    <w:p w:rsidR="008B4879" w:rsidRPr="00B75B77" w:rsidRDefault="008B4879" w:rsidP="00751A38">
      <w:pPr>
        <w:pStyle w:val="Heading3"/>
      </w:pPr>
      <w:bookmarkStart w:id="407" w:name="_Toc466413312"/>
      <w:r w:rsidRPr="00B75B77">
        <w:t>Process Evaluation Methodology</w:t>
      </w:r>
      <w:bookmarkEnd w:id="407"/>
      <w:r w:rsidRPr="00B75B77">
        <w:t xml:space="preserve"> </w:t>
      </w:r>
    </w:p>
    <w:p w:rsidR="008B4879" w:rsidRPr="00B75B77" w:rsidRDefault="008B4879" w:rsidP="00751A38">
      <w:r w:rsidRPr="00B75B77">
        <w:t>Navigant performed the process evaluation using the following methods:</w:t>
      </w:r>
    </w:p>
    <w:p w:rsidR="008B4879" w:rsidRPr="00B75B77" w:rsidRDefault="0083011A" w:rsidP="009E08FB">
      <w:pPr>
        <w:pStyle w:val="NormalSpacer"/>
        <w:numPr>
          <w:ilvl w:val="0"/>
          <w:numId w:val="40"/>
        </w:numPr>
        <w:spacing w:before="120"/>
      </w:pPr>
      <w:r w:rsidRPr="00B75B77">
        <w:t>Interviewing</w:t>
      </w:r>
      <w:r w:rsidR="008B4879" w:rsidRPr="00B75B77">
        <w:t xml:space="preserve"> the PECO program managers </w:t>
      </w:r>
    </w:p>
    <w:p w:rsidR="008B4879" w:rsidRPr="00B75B77" w:rsidRDefault="008B4879" w:rsidP="009E08FB">
      <w:pPr>
        <w:pStyle w:val="NormalSpacer"/>
        <w:numPr>
          <w:ilvl w:val="0"/>
          <w:numId w:val="40"/>
        </w:numPr>
      </w:pPr>
      <w:r w:rsidRPr="00B75B77">
        <w:t>Projecting PY7 Q1-Q2 activity through Q3-Q4</w:t>
      </w:r>
    </w:p>
    <w:p w:rsidR="008B4879" w:rsidRPr="00B75B77" w:rsidRDefault="0083011A" w:rsidP="009E08FB">
      <w:pPr>
        <w:pStyle w:val="NormalSpacer"/>
        <w:numPr>
          <w:ilvl w:val="0"/>
          <w:numId w:val="40"/>
        </w:numPr>
      </w:pPr>
      <w:r w:rsidRPr="00B75B77">
        <w:t xml:space="preserve">Comparing </w:t>
      </w:r>
      <w:r w:rsidR="00A93D30" w:rsidRPr="00B75B77">
        <w:t xml:space="preserve">the SAR NTG methodology </w:t>
      </w:r>
      <w:r w:rsidR="008B4879" w:rsidRPr="00B75B77">
        <w:t>to other NTG methodologies</w:t>
      </w:r>
    </w:p>
    <w:p w:rsidR="008B4879" w:rsidRPr="00B75B77" w:rsidRDefault="0083011A" w:rsidP="009E08FB">
      <w:pPr>
        <w:pStyle w:val="NormalSpacer"/>
        <w:numPr>
          <w:ilvl w:val="0"/>
          <w:numId w:val="40"/>
        </w:numPr>
        <w:spacing w:after="120"/>
      </w:pPr>
      <w:r w:rsidRPr="00B75B77">
        <w:t>Surveying (via phone)</w:t>
      </w:r>
      <w:r w:rsidR="008B4879" w:rsidRPr="00B75B77">
        <w:t xml:space="preserve"> 200 PECO customers</w:t>
      </w:r>
    </w:p>
    <w:p w:rsidR="008B4879" w:rsidRPr="00B75B77" w:rsidRDefault="008B4879" w:rsidP="00751A38">
      <w:r w:rsidRPr="00B75B77">
        <w:t xml:space="preserve">Due to JACO’s closure and the timing of ARCA’s </w:t>
      </w:r>
      <w:r w:rsidR="00512BA4" w:rsidRPr="00B75B77">
        <w:t>contractual</w:t>
      </w:r>
      <w:r w:rsidRPr="00B75B77">
        <w:t xml:space="preserve"> agreement with PECO, Navigant was unable to interview a CSP for the PY7 evaluation. </w:t>
      </w:r>
    </w:p>
    <w:p w:rsidR="008B4879" w:rsidRPr="00B75B77" w:rsidRDefault="008B4879" w:rsidP="00751A38"/>
    <w:p w:rsidR="008B4879" w:rsidRPr="00B75B77" w:rsidRDefault="008B4879" w:rsidP="00751A38">
      <w:r w:rsidRPr="00B75B77">
        <w:t xml:space="preserve">For its review of NTG methodologies, Navigant examined the NTG methods in Maryland, Illinois, </w:t>
      </w:r>
      <w:r w:rsidR="004129EE" w:rsidRPr="00B75B77">
        <w:t xml:space="preserve">and </w:t>
      </w:r>
      <w:r w:rsidRPr="00B75B77">
        <w:t xml:space="preserve">California, </w:t>
      </w:r>
      <w:r w:rsidR="004129EE" w:rsidRPr="00B75B77">
        <w:t xml:space="preserve">as well as </w:t>
      </w:r>
      <w:r w:rsidRPr="00B75B77">
        <w:t>the application of the Pennsylvania TRM at another utility, Duquesne Light.</w:t>
      </w:r>
    </w:p>
    <w:p w:rsidR="008B4879" w:rsidRPr="00B75B77" w:rsidRDefault="008B4879" w:rsidP="00751A38"/>
    <w:p w:rsidR="008B4879" w:rsidRPr="00B75B77" w:rsidRDefault="000147F5" w:rsidP="00751A38">
      <w:r w:rsidRPr="00B75B77">
        <w:fldChar w:fldCharType="begin"/>
      </w:r>
      <w:r w:rsidRPr="00B75B77">
        <w:instrText xml:space="preserve"> REF _Ref462131850 \h </w:instrText>
      </w:r>
      <w:r w:rsidR="00B75B77">
        <w:instrText xml:space="preserve"> \* MERGEFORMAT </w:instrText>
      </w:r>
      <w:r w:rsidRPr="00B75B77">
        <w:fldChar w:fldCharType="separate"/>
      </w:r>
      <w:r w:rsidR="0004016D" w:rsidRPr="00B75B77">
        <w:t xml:space="preserve">Table </w:t>
      </w:r>
      <w:r w:rsidR="0004016D">
        <w:rPr>
          <w:noProof/>
        </w:rPr>
        <w:t>4</w:t>
      </w:r>
      <w:r w:rsidR="0004016D" w:rsidRPr="00B75B77">
        <w:rPr>
          <w:noProof/>
        </w:rPr>
        <w:noBreakHyphen/>
      </w:r>
      <w:r w:rsidR="0004016D">
        <w:rPr>
          <w:noProof/>
        </w:rPr>
        <w:t>9</w:t>
      </w:r>
      <w:r w:rsidRPr="00B75B77">
        <w:fldChar w:fldCharType="end"/>
      </w:r>
      <w:r w:rsidRPr="00B75B77">
        <w:t xml:space="preserve"> </w:t>
      </w:r>
      <w:r w:rsidR="008B4879" w:rsidRPr="00B75B77">
        <w:t xml:space="preserve">shows how the 200 completed surveys were distributed among regular program participants—the refrigerator and freezer strata—and customers affected by JACO’s closure. </w:t>
      </w:r>
      <w:r w:rsidR="00595696" w:rsidRPr="00B75B77">
        <w:t>C</w:t>
      </w:r>
      <w:r w:rsidR="008B4879" w:rsidRPr="00B75B77">
        <w:t>ustomers with an impacted experience include</w:t>
      </w:r>
      <w:r w:rsidR="00595696" w:rsidRPr="00B75B77">
        <w:t>d</w:t>
      </w:r>
      <w:r w:rsidR="008B4879" w:rsidRPr="00B75B77">
        <w:t xml:space="preserve"> participants whose rebates were delayed because their checks did not arrive or bounced when deposited, customers who withdrew their participation by declining a rescheduled appointment with ARCA, and participants who were stranded by the JACO closure but did eventually have their appliance successfully picked up and recycled by ARCA.</w:t>
      </w:r>
    </w:p>
    <w:p w:rsidR="008B4879" w:rsidRPr="00B75B77" w:rsidRDefault="008B4879" w:rsidP="00AE45CC">
      <w:pPr>
        <w:ind w:left="360"/>
        <w:rPr>
          <w:rFonts w:eastAsia="Times New Roman"/>
          <w:color w:val="000000"/>
        </w:rPr>
      </w:pPr>
    </w:p>
    <w:p w:rsidR="008B4879" w:rsidRPr="00B75B77" w:rsidRDefault="008B4879" w:rsidP="00502659">
      <w:pPr>
        <w:pStyle w:val="Caption"/>
      </w:pPr>
      <w:bookmarkStart w:id="408" w:name="_Ref462131850"/>
      <w:bookmarkStart w:id="409" w:name="_Ref462131844"/>
      <w:bookmarkStart w:id="410" w:name="_Toc466413538"/>
      <w:r w:rsidRPr="00B75B77">
        <w:lastRenderedPageBreak/>
        <w:t xml:space="preserve">Table </w:t>
      </w:r>
      <w:fldSimple w:instr=" STYLEREF 1 \s ">
        <w:r w:rsidR="0004016D">
          <w:rPr>
            <w:noProof/>
          </w:rPr>
          <w:t>4</w:t>
        </w:r>
      </w:fldSimple>
      <w:r w:rsidR="00F1144C" w:rsidRPr="00B75B77">
        <w:noBreakHyphen/>
      </w:r>
      <w:fldSimple w:instr=" SEQ Table \* ARABIC \s 1 ">
        <w:r w:rsidR="0004016D">
          <w:rPr>
            <w:noProof/>
          </w:rPr>
          <w:t>9</w:t>
        </w:r>
      </w:fldSimple>
      <w:bookmarkEnd w:id="408"/>
      <w:r w:rsidR="0055762B" w:rsidRPr="00B75B77">
        <w:t xml:space="preserve">: </w:t>
      </w:r>
      <w:r w:rsidRPr="00B75B77">
        <w:t>Smart Appliance Recycling Process Sampling Strategy for PY7</w:t>
      </w:r>
      <w:bookmarkEnd w:id="409"/>
      <w:bookmarkEnd w:id="410"/>
      <w:r w:rsidRPr="00B75B77">
        <w:t xml:space="preserve"> </w:t>
      </w:r>
    </w:p>
    <w:tbl>
      <w:tblPr>
        <w:tblW w:w="0" w:type="auto"/>
        <w:tblLook w:val="04A0" w:firstRow="1" w:lastRow="0" w:firstColumn="1" w:lastColumn="0" w:noHBand="0" w:noVBand="1"/>
      </w:tblPr>
      <w:tblGrid>
        <w:gridCol w:w="1259"/>
        <w:gridCol w:w="1072"/>
        <w:gridCol w:w="1310"/>
        <w:gridCol w:w="1333"/>
        <w:gridCol w:w="864"/>
        <w:gridCol w:w="905"/>
        <w:gridCol w:w="1471"/>
        <w:gridCol w:w="1362"/>
      </w:tblGrid>
      <w:tr w:rsidR="00A93D30" w:rsidRPr="00B75B77" w:rsidTr="005D6D34">
        <w:trPr>
          <w:divId w:val="1262644518"/>
          <w:trHeight w:val="480"/>
        </w:trPr>
        <w:tc>
          <w:tcPr>
            <w:tcW w:w="0" w:type="auto"/>
            <w:tcBorders>
              <w:top w:val="single" w:sz="4" w:space="0" w:color="auto"/>
              <w:left w:val="single" w:sz="4" w:space="0" w:color="auto"/>
              <w:bottom w:val="single" w:sz="4" w:space="0" w:color="auto"/>
              <w:right w:val="single" w:sz="4" w:space="0" w:color="auto"/>
            </w:tcBorders>
            <w:shd w:val="clear" w:color="000000" w:fill="448A99"/>
            <w:vAlign w:val="center"/>
            <w:hideMark/>
          </w:tcPr>
          <w:p w:rsidR="00A93D30" w:rsidRPr="00B75B77" w:rsidRDefault="00A93D30" w:rsidP="00502659">
            <w:pPr>
              <w:keepNext/>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Stratum</w:t>
            </w:r>
          </w:p>
        </w:tc>
        <w:tc>
          <w:tcPr>
            <w:tcW w:w="0" w:type="auto"/>
            <w:tcBorders>
              <w:top w:val="single" w:sz="4" w:space="0" w:color="auto"/>
              <w:left w:val="nil"/>
              <w:bottom w:val="single" w:sz="4" w:space="0" w:color="auto"/>
              <w:right w:val="single" w:sz="4" w:space="0" w:color="auto"/>
            </w:tcBorders>
            <w:shd w:val="clear" w:color="000000" w:fill="448A99"/>
            <w:vAlign w:val="center"/>
            <w:hideMark/>
          </w:tcPr>
          <w:p w:rsidR="00A93D30" w:rsidRPr="00B75B77" w:rsidRDefault="00A93D30" w:rsidP="00502659">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Population Size</w:t>
            </w:r>
          </w:p>
        </w:tc>
        <w:tc>
          <w:tcPr>
            <w:tcW w:w="0" w:type="auto"/>
            <w:tcBorders>
              <w:top w:val="single" w:sz="4" w:space="0" w:color="auto"/>
              <w:left w:val="nil"/>
              <w:bottom w:val="single" w:sz="4" w:space="0" w:color="auto"/>
              <w:right w:val="single" w:sz="4" w:space="0" w:color="auto"/>
            </w:tcBorders>
            <w:shd w:val="clear" w:color="000000" w:fill="448A99"/>
            <w:vAlign w:val="center"/>
            <w:hideMark/>
          </w:tcPr>
          <w:p w:rsidR="00A93D30" w:rsidRPr="00B75B77" w:rsidRDefault="00A93D30" w:rsidP="00502659">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Assumed Proportion or CV in Sample Design</w:t>
            </w:r>
          </w:p>
        </w:tc>
        <w:tc>
          <w:tcPr>
            <w:tcW w:w="0" w:type="auto"/>
            <w:tcBorders>
              <w:top w:val="single" w:sz="4" w:space="0" w:color="auto"/>
              <w:left w:val="nil"/>
              <w:bottom w:val="single" w:sz="4" w:space="0" w:color="auto"/>
              <w:right w:val="single" w:sz="4" w:space="0" w:color="auto"/>
            </w:tcBorders>
            <w:shd w:val="clear" w:color="000000" w:fill="448A99"/>
            <w:vAlign w:val="center"/>
            <w:hideMark/>
          </w:tcPr>
          <w:p w:rsidR="00A93D30" w:rsidRPr="00B75B77" w:rsidRDefault="00A93D30" w:rsidP="00502659">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Assumed Levels of Confidence and Precision</w:t>
            </w:r>
          </w:p>
        </w:tc>
        <w:tc>
          <w:tcPr>
            <w:tcW w:w="0" w:type="auto"/>
            <w:tcBorders>
              <w:top w:val="single" w:sz="4" w:space="0" w:color="auto"/>
              <w:left w:val="nil"/>
              <w:bottom w:val="single" w:sz="4" w:space="0" w:color="auto"/>
              <w:right w:val="single" w:sz="4" w:space="0" w:color="auto"/>
            </w:tcBorders>
            <w:shd w:val="clear" w:color="000000" w:fill="448A99"/>
            <w:vAlign w:val="center"/>
            <w:hideMark/>
          </w:tcPr>
          <w:p w:rsidR="00A93D30" w:rsidRPr="00B75B77" w:rsidRDefault="00A93D30" w:rsidP="00502659">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Target Sample Size</w:t>
            </w:r>
          </w:p>
        </w:tc>
        <w:tc>
          <w:tcPr>
            <w:tcW w:w="905" w:type="dxa"/>
            <w:tcBorders>
              <w:top w:val="single" w:sz="4" w:space="0" w:color="auto"/>
              <w:left w:val="nil"/>
              <w:bottom w:val="single" w:sz="4" w:space="0" w:color="auto"/>
              <w:right w:val="single" w:sz="4" w:space="0" w:color="auto"/>
            </w:tcBorders>
            <w:shd w:val="clear" w:color="000000" w:fill="448A99"/>
            <w:vAlign w:val="center"/>
            <w:hideMark/>
          </w:tcPr>
          <w:p w:rsidR="00A93D30" w:rsidRPr="00B75B77" w:rsidRDefault="00A93D30" w:rsidP="00502659">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Achieved Sample Size</w:t>
            </w:r>
          </w:p>
        </w:tc>
        <w:tc>
          <w:tcPr>
            <w:tcW w:w="0" w:type="auto"/>
            <w:tcBorders>
              <w:top w:val="single" w:sz="4" w:space="0" w:color="auto"/>
              <w:left w:val="nil"/>
              <w:bottom w:val="single" w:sz="4" w:space="0" w:color="auto"/>
              <w:right w:val="single" w:sz="4" w:space="0" w:color="auto"/>
            </w:tcBorders>
            <w:shd w:val="clear" w:color="000000" w:fill="448A99"/>
            <w:vAlign w:val="center"/>
            <w:hideMark/>
          </w:tcPr>
          <w:p w:rsidR="00A93D30" w:rsidRPr="00B75B77" w:rsidRDefault="00237810" w:rsidP="00502659">
            <w:pPr>
              <w:keepNext/>
              <w:jc w:val="center"/>
              <w:rPr>
                <w:rFonts w:ascii="Calibri" w:eastAsia="Times New Roman" w:hAnsi="Calibri"/>
                <w:b/>
                <w:bCs/>
                <w:color w:val="FFFFFF"/>
                <w:sz w:val="18"/>
                <w:szCs w:val="18"/>
              </w:rPr>
            </w:pPr>
            <w:hyperlink r:id="rId58" w:anchor="RANGE!_ftn1" w:history="1">
              <w:r w:rsidR="00A93D30" w:rsidRPr="00B75B77">
                <w:rPr>
                  <w:rFonts w:ascii="Calibri" w:eastAsia="Times New Roman" w:hAnsi="Calibri"/>
                  <w:b/>
                  <w:bCs/>
                  <w:color w:val="FFFFFF"/>
                  <w:sz w:val="18"/>
                  <w:szCs w:val="18"/>
                </w:rPr>
                <w:t>Percentage of Sample Frame</w:t>
              </w:r>
              <w:r w:rsidR="005D6D34" w:rsidRPr="00B75B77">
                <w:rPr>
                  <w:rFonts w:ascii="Calibri" w:eastAsia="Times New Roman" w:hAnsi="Calibri"/>
                  <w:b/>
                  <w:bCs/>
                  <w:color w:val="FFFFFF"/>
                  <w:sz w:val="18"/>
                  <w:szCs w:val="18"/>
                  <w:vertAlign w:val="superscript"/>
                </w:rPr>
                <w:t>[1]</w:t>
              </w:r>
              <w:r w:rsidR="00A93D30" w:rsidRPr="00B75B77">
                <w:rPr>
                  <w:rFonts w:ascii="Calibri" w:eastAsia="Times New Roman" w:hAnsi="Calibri"/>
                  <w:b/>
                  <w:bCs/>
                  <w:color w:val="FFFFFF"/>
                  <w:sz w:val="18"/>
                  <w:szCs w:val="18"/>
                </w:rPr>
                <w:t xml:space="preserve"> Contacted to Achieve Sample</w:t>
              </w:r>
            </w:hyperlink>
          </w:p>
        </w:tc>
        <w:tc>
          <w:tcPr>
            <w:tcW w:w="0" w:type="auto"/>
            <w:tcBorders>
              <w:top w:val="single" w:sz="4" w:space="0" w:color="auto"/>
              <w:left w:val="nil"/>
              <w:bottom w:val="single" w:sz="4" w:space="0" w:color="auto"/>
              <w:right w:val="single" w:sz="4" w:space="0" w:color="auto"/>
            </w:tcBorders>
            <w:shd w:val="clear" w:color="000000" w:fill="448A99"/>
            <w:vAlign w:val="center"/>
            <w:hideMark/>
          </w:tcPr>
          <w:p w:rsidR="00A93D30" w:rsidRPr="00B75B77" w:rsidRDefault="00A93D30" w:rsidP="00502659">
            <w:pPr>
              <w:keepNext/>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Used for Evaluation Activities (Impact, Process, NTG)</w:t>
            </w:r>
          </w:p>
        </w:tc>
      </w:tr>
      <w:tr w:rsidR="00A93D30" w:rsidRPr="00B75B77" w:rsidTr="005D6D34">
        <w:trPr>
          <w:divId w:val="1262644518"/>
          <w:trHeight w:val="288"/>
        </w:trPr>
        <w:tc>
          <w:tcPr>
            <w:tcW w:w="0" w:type="auto"/>
            <w:tcBorders>
              <w:top w:val="nil"/>
              <w:left w:val="single" w:sz="4" w:space="0" w:color="448A99"/>
              <w:bottom w:val="single" w:sz="4" w:space="0" w:color="448A99"/>
              <w:right w:val="single" w:sz="4" w:space="0" w:color="448A99"/>
            </w:tcBorders>
            <w:shd w:val="clear" w:color="000000" w:fill="D2EAF1"/>
            <w:vAlign w:val="center"/>
            <w:hideMark/>
          </w:tcPr>
          <w:p w:rsidR="00A93D30" w:rsidRPr="00B75B77" w:rsidRDefault="00A93D30" w:rsidP="00502659">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Refrigerators</w:t>
            </w:r>
          </w:p>
        </w:tc>
        <w:tc>
          <w:tcPr>
            <w:tcW w:w="0" w:type="auto"/>
            <w:tcBorders>
              <w:top w:val="nil"/>
              <w:left w:val="nil"/>
              <w:bottom w:val="single" w:sz="4" w:space="0" w:color="448A99"/>
              <w:right w:val="single" w:sz="4" w:space="0" w:color="448A99"/>
            </w:tcBorders>
            <w:shd w:val="clear" w:color="000000" w:fill="D2EAF1"/>
            <w:vAlign w:val="center"/>
            <w:hideMark/>
          </w:tcPr>
          <w:p w:rsidR="00A93D30" w:rsidRPr="00B75B77" w:rsidRDefault="00A93D30"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6,479</w:t>
            </w:r>
          </w:p>
        </w:tc>
        <w:tc>
          <w:tcPr>
            <w:tcW w:w="0" w:type="auto"/>
            <w:tcBorders>
              <w:top w:val="nil"/>
              <w:left w:val="nil"/>
              <w:bottom w:val="single" w:sz="4" w:space="0" w:color="448A99"/>
              <w:right w:val="single" w:sz="4" w:space="0" w:color="448A99"/>
            </w:tcBorders>
            <w:shd w:val="clear" w:color="000000" w:fill="D2EAF1"/>
            <w:vAlign w:val="center"/>
            <w:hideMark/>
          </w:tcPr>
          <w:p w:rsidR="00A93D30" w:rsidRPr="00B75B77" w:rsidRDefault="00A93D30"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0.26</w:t>
            </w:r>
          </w:p>
        </w:tc>
        <w:tc>
          <w:tcPr>
            <w:tcW w:w="0" w:type="auto"/>
            <w:tcBorders>
              <w:top w:val="nil"/>
              <w:left w:val="nil"/>
              <w:bottom w:val="single" w:sz="4" w:space="0" w:color="448A99"/>
              <w:right w:val="single" w:sz="4" w:space="0" w:color="448A99"/>
            </w:tcBorders>
            <w:shd w:val="clear" w:color="000000" w:fill="D2EAF1"/>
            <w:vAlign w:val="center"/>
            <w:hideMark/>
          </w:tcPr>
          <w:p w:rsidR="00A93D30" w:rsidRPr="00B75B77" w:rsidRDefault="00A93D30"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0" w:type="auto"/>
            <w:tcBorders>
              <w:top w:val="nil"/>
              <w:left w:val="nil"/>
              <w:bottom w:val="single" w:sz="4" w:space="0" w:color="448A99"/>
              <w:right w:val="nil"/>
            </w:tcBorders>
            <w:shd w:val="clear" w:color="000000" w:fill="D2EAF1"/>
            <w:vAlign w:val="center"/>
            <w:hideMark/>
          </w:tcPr>
          <w:p w:rsidR="00A93D30" w:rsidRPr="00B75B77" w:rsidRDefault="00A93D30"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70</w:t>
            </w:r>
          </w:p>
        </w:tc>
        <w:tc>
          <w:tcPr>
            <w:tcW w:w="905" w:type="dxa"/>
            <w:tcBorders>
              <w:top w:val="nil"/>
              <w:left w:val="single" w:sz="4" w:space="0" w:color="448A99"/>
              <w:bottom w:val="single" w:sz="4" w:space="0" w:color="448A99"/>
              <w:right w:val="single" w:sz="4" w:space="0" w:color="448A99"/>
            </w:tcBorders>
            <w:shd w:val="clear" w:color="000000" w:fill="D2EAF1"/>
            <w:vAlign w:val="center"/>
            <w:hideMark/>
          </w:tcPr>
          <w:p w:rsidR="00A93D30" w:rsidRPr="00B75B77" w:rsidRDefault="00A93D30"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70</w:t>
            </w:r>
          </w:p>
        </w:tc>
        <w:tc>
          <w:tcPr>
            <w:tcW w:w="0" w:type="auto"/>
            <w:tcBorders>
              <w:top w:val="nil"/>
              <w:left w:val="nil"/>
              <w:bottom w:val="single" w:sz="4" w:space="0" w:color="448A99"/>
              <w:right w:val="single" w:sz="4" w:space="0" w:color="448A99"/>
            </w:tcBorders>
            <w:shd w:val="clear" w:color="000000" w:fill="D2EAF1"/>
            <w:noWrap/>
            <w:vAlign w:val="center"/>
            <w:hideMark/>
          </w:tcPr>
          <w:p w:rsidR="00A93D30" w:rsidRPr="00B75B77" w:rsidRDefault="00A93D30"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100%</w:t>
            </w:r>
          </w:p>
        </w:tc>
        <w:tc>
          <w:tcPr>
            <w:tcW w:w="0" w:type="auto"/>
            <w:tcBorders>
              <w:top w:val="nil"/>
              <w:left w:val="nil"/>
              <w:bottom w:val="single" w:sz="4" w:space="0" w:color="448A99"/>
              <w:right w:val="single" w:sz="4" w:space="0" w:color="448A99"/>
            </w:tcBorders>
            <w:shd w:val="clear" w:color="000000" w:fill="D2EAF1"/>
            <w:vAlign w:val="center"/>
            <w:hideMark/>
          </w:tcPr>
          <w:p w:rsidR="00A93D30" w:rsidRPr="00B75B77" w:rsidRDefault="00A93D30" w:rsidP="00502659">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Process, NTG</w:t>
            </w:r>
          </w:p>
        </w:tc>
      </w:tr>
      <w:tr w:rsidR="00A93D30" w:rsidRPr="00B75B77" w:rsidTr="005D6D34">
        <w:trPr>
          <w:divId w:val="1262644518"/>
          <w:trHeight w:val="288"/>
        </w:trPr>
        <w:tc>
          <w:tcPr>
            <w:tcW w:w="0" w:type="auto"/>
            <w:tcBorders>
              <w:top w:val="nil"/>
              <w:left w:val="single" w:sz="4" w:space="0" w:color="448A99"/>
              <w:bottom w:val="single" w:sz="4" w:space="0" w:color="448A99"/>
              <w:right w:val="single" w:sz="4" w:space="0" w:color="448A99"/>
            </w:tcBorders>
            <w:shd w:val="clear" w:color="000000" w:fill="FFFFFF"/>
            <w:vAlign w:val="center"/>
            <w:hideMark/>
          </w:tcPr>
          <w:p w:rsidR="00A93D30" w:rsidRPr="00B75B77" w:rsidRDefault="00A93D30" w:rsidP="00502659">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Freezers</w:t>
            </w:r>
          </w:p>
        </w:tc>
        <w:tc>
          <w:tcPr>
            <w:tcW w:w="0" w:type="auto"/>
            <w:tcBorders>
              <w:top w:val="nil"/>
              <w:left w:val="nil"/>
              <w:bottom w:val="single" w:sz="4" w:space="0" w:color="448A99"/>
              <w:right w:val="single" w:sz="4" w:space="0" w:color="448A99"/>
            </w:tcBorders>
            <w:shd w:val="clear" w:color="000000" w:fill="FFFFFF"/>
            <w:vAlign w:val="center"/>
            <w:hideMark/>
          </w:tcPr>
          <w:p w:rsidR="00A93D30" w:rsidRPr="00B75B77" w:rsidRDefault="00A93D30"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1,143</w:t>
            </w:r>
          </w:p>
        </w:tc>
        <w:tc>
          <w:tcPr>
            <w:tcW w:w="0" w:type="auto"/>
            <w:tcBorders>
              <w:top w:val="nil"/>
              <w:left w:val="nil"/>
              <w:bottom w:val="single" w:sz="4" w:space="0" w:color="448A99"/>
              <w:right w:val="single" w:sz="4" w:space="0" w:color="448A99"/>
            </w:tcBorders>
            <w:shd w:val="clear" w:color="000000" w:fill="FFFFFF"/>
            <w:vAlign w:val="center"/>
            <w:hideMark/>
          </w:tcPr>
          <w:p w:rsidR="00A93D30" w:rsidRPr="00B75B77" w:rsidRDefault="00A93D30"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0.18</w:t>
            </w:r>
          </w:p>
        </w:tc>
        <w:tc>
          <w:tcPr>
            <w:tcW w:w="0" w:type="auto"/>
            <w:tcBorders>
              <w:top w:val="nil"/>
              <w:left w:val="nil"/>
              <w:bottom w:val="single" w:sz="4" w:space="0" w:color="448A99"/>
              <w:right w:val="single" w:sz="4" w:space="0" w:color="448A99"/>
            </w:tcBorders>
            <w:shd w:val="clear" w:color="000000" w:fill="FFFFFF"/>
            <w:vAlign w:val="center"/>
            <w:hideMark/>
          </w:tcPr>
          <w:p w:rsidR="00A93D30" w:rsidRPr="00B75B77" w:rsidRDefault="00A93D30"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0" w:type="auto"/>
            <w:tcBorders>
              <w:top w:val="nil"/>
              <w:left w:val="nil"/>
              <w:bottom w:val="single" w:sz="4" w:space="0" w:color="448A99"/>
              <w:right w:val="nil"/>
            </w:tcBorders>
            <w:shd w:val="clear" w:color="000000" w:fill="FFFFFF"/>
            <w:vAlign w:val="center"/>
            <w:hideMark/>
          </w:tcPr>
          <w:p w:rsidR="00A93D30" w:rsidRPr="00B75B77" w:rsidRDefault="00A93D30"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70</w:t>
            </w:r>
          </w:p>
        </w:tc>
        <w:tc>
          <w:tcPr>
            <w:tcW w:w="905" w:type="dxa"/>
            <w:tcBorders>
              <w:top w:val="nil"/>
              <w:left w:val="single" w:sz="4" w:space="0" w:color="448A99"/>
              <w:bottom w:val="single" w:sz="4" w:space="0" w:color="448A99"/>
              <w:right w:val="single" w:sz="4" w:space="0" w:color="448A99"/>
            </w:tcBorders>
            <w:shd w:val="clear" w:color="000000" w:fill="FFFFFF"/>
            <w:vAlign w:val="center"/>
            <w:hideMark/>
          </w:tcPr>
          <w:p w:rsidR="00A93D30" w:rsidRPr="00B75B77" w:rsidRDefault="00A93D30"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70</w:t>
            </w:r>
          </w:p>
        </w:tc>
        <w:tc>
          <w:tcPr>
            <w:tcW w:w="0" w:type="auto"/>
            <w:tcBorders>
              <w:top w:val="nil"/>
              <w:left w:val="nil"/>
              <w:bottom w:val="single" w:sz="4" w:space="0" w:color="448A99"/>
              <w:right w:val="single" w:sz="4" w:space="0" w:color="448A99"/>
            </w:tcBorders>
            <w:shd w:val="clear" w:color="000000" w:fill="FFFFFF"/>
            <w:noWrap/>
            <w:vAlign w:val="center"/>
            <w:hideMark/>
          </w:tcPr>
          <w:p w:rsidR="00A93D30" w:rsidRPr="00B75B77" w:rsidRDefault="00A93D30"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100%</w:t>
            </w:r>
          </w:p>
        </w:tc>
        <w:tc>
          <w:tcPr>
            <w:tcW w:w="0" w:type="auto"/>
            <w:tcBorders>
              <w:top w:val="nil"/>
              <w:left w:val="nil"/>
              <w:bottom w:val="single" w:sz="4" w:space="0" w:color="448A99"/>
              <w:right w:val="single" w:sz="4" w:space="0" w:color="448A99"/>
            </w:tcBorders>
            <w:shd w:val="clear" w:color="000000" w:fill="FFFFFF"/>
            <w:vAlign w:val="center"/>
            <w:hideMark/>
          </w:tcPr>
          <w:p w:rsidR="00A93D30" w:rsidRPr="00B75B77" w:rsidRDefault="00A93D30" w:rsidP="00502659">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Process, NTG</w:t>
            </w:r>
          </w:p>
        </w:tc>
      </w:tr>
      <w:tr w:rsidR="00A93D30" w:rsidRPr="00B75B77" w:rsidTr="005D6D34">
        <w:trPr>
          <w:divId w:val="1262644518"/>
          <w:trHeight w:val="288"/>
        </w:trPr>
        <w:tc>
          <w:tcPr>
            <w:tcW w:w="0" w:type="auto"/>
            <w:tcBorders>
              <w:top w:val="nil"/>
              <w:left w:val="single" w:sz="4" w:space="0" w:color="448A99"/>
              <w:bottom w:val="single" w:sz="4" w:space="0" w:color="448A99"/>
              <w:right w:val="single" w:sz="4" w:space="0" w:color="448A99"/>
            </w:tcBorders>
            <w:shd w:val="clear" w:color="000000" w:fill="D2EAF1"/>
            <w:vAlign w:val="center"/>
            <w:hideMark/>
          </w:tcPr>
          <w:p w:rsidR="00A93D30" w:rsidRPr="00B75B77" w:rsidRDefault="00A93D30" w:rsidP="00502659">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Rebate Delayed</w:t>
            </w:r>
          </w:p>
        </w:tc>
        <w:tc>
          <w:tcPr>
            <w:tcW w:w="0" w:type="auto"/>
            <w:tcBorders>
              <w:top w:val="nil"/>
              <w:left w:val="nil"/>
              <w:bottom w:val="single" w:sz="4" w:space="0" w:color="448A99"/>
              <w:right w:val="single" w:sz="4" w:space="0" w:color="448A99"/>
            </w:tcBorders>
            <w:shd w:val="clear" w:color="000000" w:fill="D2EAF1"/>
            <w:vAlign w:val="center"/>
            <w:hideMark/>
          </w:tcPr>
          <w:p w:rsidR="00A93D30" w:rsidRPr="00B75B77" w:rsidRDefault="00A93D30"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2,818</w:t>
            </w:r>
          </w:p>
        </w:tc>
        <w:tc>
          <w:tcPr>
            <w:tcW w:w="0" w:type="auto"/>
            <w:tcBorders>
              <w:top w:val="nil"/>
              <w:left w:val="nil"/>
              <w:bottom w:val="single" w:sz="4" w:space="0" w:color="448A99"/>
              <w:right w:val="single" w:sz="4" w:space="0" w:color="448A99"/>
            </w:tcBorders>
            <w:shd w:val="clear" w:color="000000" w:fill="D2EAF1"/>
            <w:vAlign w:val="center"/>
            <w:hideMark/>
          </w:tcPr>
          <w:p w:rsidR="00A93D30" w:rsidRPr="00B75B77" w:rsidRDefault="00A93D30"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0.50</w:t>
            </w:r>
          </w:p>
        </w:tc>
        <w:tc>
          <w:tcPr>
            <w:tcW w:w="0" w:type="auto"/>
            <w:tcBorders>
              <w:top w:val="nil"/>
              <w:left w:val="nil"/>
              <w:bottom w:val="single" w:sz="4" w:space="0" w:color="448A99"/>
              <w:right w:val="single" w:sz="4" w:space="0" w:color="448A99"/>
            </w:tcBorders>
            <w:shd w:val="clear" w:color="000000" w:fill="D2EAF1"/>
            <w:vAlign w:val="center"/>
            <w:hideMark/>
          </w:tcPr>
          <w:p w:rsidR="00A93D30" w:rsidRPr="00B75B77" w:rsidRDefault="00A93D30"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0" w:type="auto"/>
            <w:tcBorders>
              <w:top w:val="nil"/>
              <w:left w:val="nil"/>
              <w:bottom w:val="single" w:sz="4" w:space="0" w:color="448A99"/>
              <w:right w:val="nil"/>
            </w:tcBorders>
            <w:shd w:val="clear" w:color="000000" w:fill="D2EAF1"/>
            <w:vAlign w:val="center"/>
            <w:hideMark/>
          </w:tcPr>
          <w:p w:rsidR="00A93D30" w:rsidRPr="00B75B77" w:rsidRDefault="00A93D30"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25</w:t>
            </w:r>
          </w:p>
        </w:tc>
        <w:tc>
          <w:tcPr>
            <w:tcW w:w="905" w:type="dxa"/>
            <w:tcBorders>
              <w:top w:val="nil"/>
              <w:left w:val="single" w:sz="4" w:space="0" w:color="448A99"/>
              <w:bottom w:val="single" w:sz="4" w:space="0" w:color="448A99"/>
              <w:right w:val="single" w:sz="4" w:space="0" w:color="448A99"/>
            </w:tcBorders>
            <w:shd w:val="clear" w:color="000000" w:fill="D2EAF1"/>
            <w:vAlign w:val="center"/>
            <w:hideMark/>
          </w:tcPr>
          <w:p w:rsidR="00A93D30" w:rsidRPr="00B75B77" w:rsidRDefault="00A93D30"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25</w:t>
            </w:r>
          </w:p>
        </w:tc>
        <w:tc>
          <w:tcPr>
            <w:tcW w:w="0" w:type="auto"/>
            <w:tcBorders>
              <w:top w:val="nil"/>
              <w:left w:val="nil"/>
              <w:bottom w:val="single" w:sz="4" w:space="0" w:color="448A99"/>
              <w:right w:val="single" w:sz="4" w:space="0" w:color="448A99"/>
            </w:tcBorders>
            <w:shd w:val="clear" w:color="000000" w:fill="D2EAF1"/>
            <w:noWrap/>
            <w:vAlign w:val="center"/>
            <w:hideMark/>
          </w:tcPr>
          <w:p w:rsidR="00A93D30" w:rsidRPr="00B75B77" w:rsidRDefault="00A93D30"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50%</w:t>
            </w:r>
          </w:p>
        </w:tc>
        <w:tc>
          <w:tcPr>
            <w:tcW w:w="0" w:type="auto"/>
            <w:tcBorders>
              <w:top w:val="nil"/>
              <w:left w:val="nil"/>
              <w:bottom w:val="single" w:sz="4" w:space="0" w:color="448A99"/>
              <w:right w:val="single" w:sz="4" w:space="0" w:color="448A99"/>
            </w:tcBorders>
            <w:shd w:val="clear" w:color="000000" w:fill="D2EAF1"/>
            <w:vAlign w:val="center"/>
            <w:hideMark/>
          </w:tcPr>
          <w:p w:rsidR="00A93D30" w:rsidRPr="00B75B77" w:rsidRDefault="00A93D30" w:rsidP="00502659">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Process</w:t>
            </w:r>
          </w:p>
        </w:tc>
      </w:tr>
      <w:tr w:rsidR="00A93D30" w:rsidRPr="00B75B77" w:rsidTr="005D6D34">
        <w:trPr>
          <w:divId w:val="1262644518"/>
          <w:trHeight w:val="288"/>
        </w:trPr>
        <w:tc>
          <w:tcPr>
            <w:tcW w:w="0" w:type="auto"/>
            <w:tcBorders>
              <w:top w:val="nil"/>
              <w:left w:val="single" w:sz="4" w:space="0" w:color="448A99"/>
              <w:bottom w:val="single" w:sz="4" w:space="0" w:color="448A99"/>
              <w:right w:val="single" w:sz="4" w:space="0" w:color="448A99"/>
            </w:tcBorders>
            <w:shd w:val="clear" w:color="000000" w:fill="FFFFFF"/>
            <w:vAlign w:val="center"/>
            <w:hideMark/>
          </w:tcPr>
          <w:p w:rsidR="00A93D30" w:rsidRPr="00B75B77" w:rsidRDefault="00A93D30" w:rsidP="00502659">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Withdrew Participation</w:t>
            </w:r>
          </w:p>
        </w:tc>
        <w:tc>
          <w:tcPr>
            <w:tcW w:w="0" w:type="auto"/>
            <w:tcBorders>
              <w:top w:val="nil"/>
              <w:left w:val="nil"/>
              <w:bottom w:val="single" w:sz="4" w:space="0" w:color="448A99"/>
              <w:right w:val="single" w:sz="4" w:space="0" w:color="448A99"/>
            </w:tcBorders>
            <w:shd w:val="clear" w:color="000000" w:fill="FFFFFF"/>
            <w:vAlign w:val="center"/>
            <w:hideMark/>
          </w:tcPr>
          <w:p w:rsidR="00A93D30" w:rsidRPr="00B75B77" w:rsidRDefault="00A93D30"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623</w:t>
            </w:r>
          </w:p>
        </w:tc>
        <w:tc>
          <w:tcPr>
            <w:tcW w:w="0" w:type="auto"/>
            <w:tcBorders>
              <w:top w:val="nil"/>
              <w:left w:val="nil"/>
              <w:bottom w:val="single" w:sz="4" w:space="0" w:color="448A99"/>
              <w:right w:val="single" w:sz="4" w:space="0" w:color="448A99"/>
            </w:tcBorders>
            <w:shd w:val="clear" w:color="000000" w:fill="FFFFFF"/>
            <w:vAlign w:val="center"/>
            <w:hideMark/>
          </w:tcPr>
          <w:p w:rsidR="00A93D30" w:rsidRPr="00B75B77" w:rsidRDefault="00A93D30"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0.50</w:t>
            </w:r>
          </w:p>
        </w:tc>
        <w:tc>
          <w:tcPr>
            <w:tcW w:w="0" w:type="auto"/>
            <w:tcBorders>
              <w:top w:val="nil"/>
              <w:left w:val="nil"/>
              <w:bottom w:val="single" w:sz="4" w:space="0" w:color="448A99"/>
              <w:right w:val="single" w:sz="4" w:space="0" w:color="448A99"/>
            </w:tcBorders>
            <w:shd w:val="clear" w:color="000000" w:fill="FFFFFF"/>
            <w:vAlign w:val="center"/>
            <w:hideMark/>
          </w:tcPr>
          <w:p w:rsidR="00A93D30" w:rsidRPr="00B75B77" w:rsidRDefault="00A93D30"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0" w:type="auto"/>
            <w:tcBorders>
              <w:top w:val="nil"/>
              <w:left w:val="nil"/>
              <w:bottom w:val="single" w:sz="4" w:space="0" w:color="448A99"/>
              <w:right w:val="nil"/>
            </w:tcBorders>
            <w:shd w:val="clear" w:color="000000" w:fill="FFFFFF"/>
            <w:vAlign w:val="center"/>
            <w:hideMark/>
          </w:tcPr>
          <w:p w:rsidR="00A93D30" w:rsidRPr="00B75B77" w:rsidRDefault="00A93D30"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25</w:t>
            </w:r>
          </w:p>
        </w:tc>
        <w:tc>
          <w:tcPr>
            <w:tcW w:w="905" w:type="dxa"/>
            <w:tcBorders>
              <w:top w:val="nil"/>
              <w:left w:val="single" w:sz="4" w:space="0" w:color="448A99"/>
              <w:bottom w:val="single" w:sz="4" w:space="0" w:color="448A99"/>
              <w:right w:val="single" w:sz="4" w:space="0" w:color="448A99"/>
            </w:tcBorders>
            <w:shd w:val="clear" w:color="000000" w:fill="FFFFFF"/>
            <w:vAlign w:val="center"/>
            <w:hideMark/>
          </w:tcPr>
          <w:p w:rsidR="00A93D30" w:rsidRPr="00B75B77" w:rsidRDefault="00A93D30"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25</w:t>
            </w:r>
          </w:p>
        </w:tc>
        <w:tc>
          <w:tcPr>
            <w:tcW w:w="0" w:type="auto"/>
            <w:tcBorders>
              <w:top w:val="nil"/>
              <w:left w:val="nil"/>
              <w:bottom w:val="single" w:sz="4" w:space="0" w:color="448A99"/>
              <w:right w:val="single" w:sz="4" w:space="0" w:color="448A99"/>
            </w:tcBorders>
            <w:shd w:val="clear" w:color="000000" w:fill="FFFFFF"/>
            <w:noWrap/>
            <w:vAlign w:val="center"/>
            <w:hideMark/>
          </w:tcPr>
          <w:p w:rsidR="00A93D30" w:rsidRPr="00B75B77" w:rsidRDefault="00A93D30"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86%</w:t>
            </w:r>
          </w:p>
        </w:tc>
        <w:tc>
          <w:tcPr>
            <w:tcW w:w="0" w:type="auto"/>
            <w:tcBorders>
              <w:top w:val="nil"/>
              <w:left w:val="nil"/>
              <w:bottom w:val="single" w:sz="4" w:space="0" w:color="448A99"/>
              <w:right w:val="single" w:sz="4" w:space="0" w:color="448A99"/>
            </w:tcBorders>
            <w:shd w:val="clear" w:color="000000" w:fill="FFFFFF"/>
            <w:vAlign w:val="center"/>
            <w:hideMark/>
          </w:tcPr>
          <w:p w:rsidR="00A93D30" w:rsidRPr="00B75B77" w:rsidRDefault="00A93D30" w:rsidP="00502659">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Process</w:t>
            </w:r>
          </w:p>
        </w:tc>
      </w:tr>
      <w:tr w:rsidR="00A93D30" w:rsidRPr="00B75B77" w:rsidTr="005D6D34">
        <w:trPr>
          <w:divId w:val="1262644518"/>
          <w:trHeight w:val="288"/>
        </w:trPr>
        <w:tc>
          <w:tcPr>
            <w:tcW w:w="0" w:type="auto"/>
            <w:tcBorders>
              <w:top w:val="nil"/>
              <w:left w:val="single" w:sz="4" w:space="0" w:color="448A99"/>
              <w:bottom w:val="single" w:sz="4" w:space="0" w:color="448A99"/>
              <w:right w:val="single" w:sz="4" w:space="0" w:color="448A99"/>
            </w:tcBorders>
            <w:shd w:val="clear" w:color="000000" w:fill="D2EAF1"/>
            <w:vAlign w:val="center"/>
            <w:hideMark/>
          </w:tcPr>
          <w:p w:rsidR="00A93D30" w:rsidRPr="00B75B77" w:rsidRDefault="00A93D30" w:rsidP="00502659">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Pickup Delayed</w:t>
            </w:r>
          </w:p>
        </w:tc>
        <w:tc>
          <w:tcPr>
            <w:tcW w:w="0" w:type="auto"/>
            <w:tcBorders>
              <w:top w:val="nil"/>
              <w:left w:val="nil"/>
              <w:bottom w:val="single" w:sz="4" w:space="0" w:color="448A99"/>
              <w:right w:val="single" w:sz="4" w:space="0" w:color="448A99"/>
            </w:tcBorders>
            <w:shd w:val="clear" w:color="000000" w:fill="D2EAF1"/>
            <w:vAlign w:val="center"/>
            <w:hideMark/>
          </w:tcPr>
          <w:p w:rsidR="00A93D30" w:rsidRPr="00B75B77" w:rsidRDefault="00A93D30"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293</w:t>
            </w:r>
          </w:p>
        </w:tc>
        <w:tc>
          <w:tcPr>
            <w:tcW w:w="0" w:type="auto"/>
            <w:tcBorders>
              <w:top w:val="nil"/>
              <w:left w:val="nil"/>
              <w:bottom w:val="single" w:sz="4" w:space="0" w:color="448A99"/>
              <w:right w:val="single" w:sz="4" w:space="0" w:color="448A99"/>
            </w:tcBorders>
            <w:shd w:val="clear" w:color="000000" w:fill="D2EAF1"/>
            <w:vAlign w:val="center"/>
            <w:hideMark/>
          </w:tcPr>
          <w:p w:rsidR="00A93D30" w:rsidRPr="00B75B77" w:rsidRDefault="00A93D30"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0.50</w:t>
            </w:r>
          </w:p>
        </w:tc>
        <w:tc>
          <w:tcPr>
            <w:tcW w:w="0" w:type="auto"/>
            <w:tcBorders>
              <w:top w:val="nil"/>
              <w:left w:val="nil"/>
              <w:bottom w:val="single" w:sz="4" w:space="0" w:color="448A99"/>
              <w:right w:val="single" w:sz="4" w:space="0" w:color="448A99"/>
            </w:tcBorders>
            <w:shd w:val="clear" w:color="000000" w:fill="D2EAF1"/>
            <w:vAlign w:val="center"/>
            <w:hideMark/>
          </w:tcPr>
          <w:p w:rsidR="00A93D30" w:rsidRPr="00B75B77" w:rsidRDefault="00A93D30"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0" w:type="auto"/>
            <w:tcBorders>
              <w:top w:val="nil"/>
              <w:left w:val="nil"/>
              <w:bottom w:val="single" w:sz="4" w:space="0" w:color="448A99"/>
              <w:right w:val="nil"/>
            </w:tcBorders>
            <w:shd w:val="clear" w:color="000000" w:fill="D2EAF1"/>
            <w:vAlign w:val="center"/>
            <w:hideMark/>
          </w:tcPr>
          <w:p w:rsidR="00A93D30" w:rsidRPr="00B75B77" w:rsidRDefault="00A93D30"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10</w:t>
            </w:r>
          </w:p>
        </w:tc>
        <w:tc>
          <w:tcPr>
            <w:tcW w:w="905" w:type="dxa"/>
            <w:tcBorders>
              <w:top w:val="nil"/>
              <w:left w:val="single" w:sz="4" w:space="0" w:color="448A99"/>
              <w:bottom w:val="single" w:sz="4" w:space="0" w:color="448A99"/>
              <w:right w:val="single" w:sz="4" w:space="0" w:color="448A99"/>
            </w:tcBorders>
            <w:shd w:val="clear" w:color="000000" w:fill="D2EAF1"/>
            <w:vAlign w:val="center"/>
            <w:hideMark/>
          </w:tcPr>
          <w:p w:rsidR="00A93D30" w:rsidRPr="00B75B77" w:rsidRDefault="00A93D30"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10</w:t>
            </w:r>
          </w:p>
        </w:tc>
        <w:tc>
          <w:tcPr>
            <w:tcW w:w="0" w:type="auto"/>
            <w:tcBorders>
              <w:top w:val="nil"/>
              <w:left w:val="nil"/>
              <w:bottom w:val="single" w:sz="4" w:space="0" w:color="448A99"/>
              <w:right w:val="single" w:sz="4" w:space="0" w:color="448A99"/>
            </w:tcBorders>
            <w:shd w:val="clear" w:color="000000" w:fill="D2EAF1"/>
            <w:noWrap/>
            <w:vAlign w:val="center"/>
            <w:hideMark/>
          </w:tcPr>
          <w:p w:rsidR="00A93D30" w:rsidRPr="00B75B77" w:rsidRDefault="00A93D30"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77%</w:t>
            </w:r>
          </w:p>
        </w:tc>
        <w:tc>
          <w:tcPr>
            <w:tcW w:w="0" w:type="auto"/>
            <w:tcBorders>
              <w:top w:val="nil"/>
              <w:left w:val="nil"/>
              <w:bottom w:val="single" w:sz="4" w:space="0" w:color="448A99"/>
              <w:right w:val="single" w:sz="4" w:space="0" w:color="448A99"/>
            </w:tcBorders>
            <w:shd w:val="clear" w:color="000000" w:fill="D2EAF1"/>
            <w:vAlign w:val="center"/>
            <w:hideMark/>
          </w:tcPr>
          <w:p w:rsidR="00A93D30" w:rsidRPr="00B75B77" w:rsidRDefault="00A93D30" w:rsidP="00502659">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Process</w:t>
            </w:r>
          </w:p>
        </w:tc>
      </w:tr>
      <w:tr w:rsidR="00A93D30" w:rsidRPr="00B75B77" w:rsidTr="005D6D34">
        <w:trPr>
          <w:divId w:val="1262644518"/>
          <w:trHeight w:val="288"/>
        </w:trPr>
        <w:tc>
          <w:tcPr>
            <w:tcW w:w="0" w:type="auto"/>
            <w:tcBorders>
              <w:top w:val="nil"/>
              <w:left w:val="single" w:sz="4" w:space="0" w:color="448A99"/>
              <w:bottom w:val="single" w:sz="4" w:space="0" w:color="448A99"/>
              <w:right w:val="single" w:sz="4" w:space="0" w:color="448A99"/>
            </w:tcBorders>
            <w:shd w:val="clear" w:color="000000" w:fill="FFFFFF"/>
            <w:vAlign w:val="center"/>
            <w:hideMark/>
          </w:tcPr>
          <w:p w:rsidR="00A93D30" w:rsidRPr="00B75B77" w:rsidRDefault="00A93D30" w:rsidP="00502659">
            <w:pPr>
              <w:keepNext/>
              <w:jc w:val="left"/>
              <w:rPr>
                <w:rFonts w:ascii="Calibri" w:eastAsia="Times New Roman" w:hAnsi="Calibri"/>
                <w:b/>
                <w:color w:val="000000"/>
                <w:sz w:val="18"/>
                <w:szCs w:val="18"/>
              </w:rPr>
            </w:pPr>
            <w:r w:rsidRPr="00B75B77">
              <w:rPr>
                <w:rFonts w:ascii="Calibri" w:eastAsia="Times New Roman" w:hAnsi="Calibri"/>
                <w:b/>
                <w:color w:val="000000"/>
                <w:sz w:val="18"/>
                <w:szCs w:val="18"/>
              </w:rPr>
              <w:t>PROGRAM TOTAL</w:t>
            </w:r>
          </w:p>
        </w:tc>
        <w:tc>
          <w:tcPr>
            <w:tcW w:w="0" w:type="auto"/>
            <w:tcBorders>
              <w:top w:val="nil"/>
              <w:left w:val="nil"/>
              <w:bottom w:val="single" w:sz="4" w:space="0" w:color="448A99"/>
              <w:right w:val="single" w:sz="4" w:space="0" w:color="448A99"/>
            </w:tcBorders>
            <w:shd w:val="clear" w:color="000000" w:fill="FFFFFF"/>
            <w:vAlign w:val="center"/>
            <w:hideMark/>
          </w:tcPr>
          <w:p w:rsidR="00A93D30" w:rsidRPr="00B75B77" w:rsidRDefault="00A93D30" w:rsidP="00502659">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9,693</w:t>
            </w:r>
          </w:p>
        </w:tc>
        <w:tc>
          <w:tcPr>
            <w:tcW w:w="0" w:type="auto"/>
            <w:tcBorders>
              <w:top w:val="nil"/>
              <w:left w:val="nil"/>
              <w:bottom w:val="single" w:sz="4" w:space="0" w:color="448A99"/>
              <w:right w:val="single" w:sz="4" w:space="0" w:color="448A99"/>
            </w:tcBorders>
            <w:shd w:val="clear" w:color="000000" w:fill="FFFFFF"/>
            <w:vAlign w:val="center"/>
            <w:hideMark/>
          </w:tcPr>
          <w:p w:rsidR="00A93D30" w:rsidRPr="00B75B77" w:rsidRDefault="00A93D30" w:rsidP="00502659">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N/A</w:t>
            </w:r>
          </w:p>
        </w:tc>
        <w:tc>
          <w:tcPr>
            <w:tcW w:w="0" w:type="auto"/>
            <w:tcBorders>
              <w:top w:val="nil"/>
              <w:left w:val="nil"/>
              <w:bottom w:val="single" w:sz="4" w:space="0" w:color="448A99"/>
              <w:right w:val="single" w:sz="4" w:space="0" w:color="448A99"/>
            </w:tcBorders>
            <w:shd w:val="clear" w:color="000000" w:fill="FFFFFF"/>
            <w:vAlign w:val="center"/>
            <w:hideMark/>
          </w:tcPr>
          <w:p w:rsidR="00A93D30" w:rsidRPr="00B75B77" w:rsidRDefault="00A93D30" w:rsidP="00502659">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85/15</w:t>
            </w:r>
          </w:p>
        </w:tc>
        <w:tc>
          <w:tcPr>
            <w:tcW w:w="0" w:type="auto"/>
            <w:tcBorders>
              <w:top w:val="nil"/>
              <w:left w:val="nil"/>
              <w:bottom w:val="single" w:sz="4" w:space="0" w:color="448A99"/>
              <w:right w:val="nil"/>
            </w:tcBorders>
            <w:shd w:val="clear" w:color="000000" w:fill="FFFFFF"/>
            <w:vAlign w:val="center"/>
            <w:hideMark/>
          </w:tcPr>
          <w:p w:rsidR="00A93D30" w:rsidRPr="00B75B77" w:rsidRDefault="00A93D30" w:rsidP="00502659">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200</w:t>
            </w:r>
          </w:p>
        </w:tc>
        <w:tc>
          <w:tcPr>
            <w:tcW w:w="905" w:type="dxa"/>
            <w:tcBorders>
              <w:top w:val="nil"/>
              <w:left w:val="single" w:sz="4" w:space="0" w:color="448A99"/>
              <w:bottom w:val="single" w:sz="4" w:space="0" w:color="448A99"/>
              <w:right w:val="single" w:sz="4" w:space="0" w:color="448A99"/>
            </w:tcBorders>
            <w:shd w:val="clear" w:color="000000" w:fill="FFFFFF"/>
            <w:vAlign w:val="center"/>
            <w:hideMark/>
          </w:tcPr>
          <w:p w:rsidR="00A93D30" w:rsidRPr="00B75B77" w:rsidRDefault="00A93D30" w:rsidP="00502659">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200</w:t>
            </w:r>
          </w:p>
        </w:tc>
        <w:tc>
          <w:tcPr>
            <w:tcW w:w="0" w:type="auto"/>
            <w:tcBorders>
              <w:top w:val="nil"/>
              <w:left w:val="nil"/>
              <w:bottom w:val="single" w:sz="4" w:space="0" w:color="448A99"/>
              <w:right w:val="single" w:sz="4" w:space="0" w:color="448A99"/>
            </w:tcBorders>
            <w:shd w:val="clear" w:color="000000" w:fill="FFFFFF"/>
            <w:vAlign w:val="center"/>
            <w:hideMark/>
          </w:tcPr>
          <w:p w:rsidR="00A93D30" w:rsidRPr="00B75B77" w:rsidRDefault="00A93D30" w:rsidP="00502659">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 </w:t>
            </w:r>
            <w:r w:rsidR="00ED1E2C" w:rsidRPr="00B75B77">
              <w:rPr>
                <w:rFonts w:ascii="Calibri" w:eastAsia="Times New Roman" w:hAnsi="Calibri"/>
                <w:b/>
                <w:color w:val="000000"/>
                <w:sz w:val="18"/>
                <w:szCs w:val="18"/>
              </w:rPr>
              <w:t>N/A</w:t>
            </w:r>
          </w:p>
        </w:tc>
        <w:tc>
          <w:tcPr>
            <w:tcW w:w="0" w:type="auto"/>
            <w:tcBorders>
              <w:top w:val="nil"/>
              <w:left w:val="nil"/>
              <w:bottom w:val="single" w:sz="4" w:space="0" w:color="448A99"/>
              <w:right w:val="single" w:sz="4" w:space="0" w:color="448A99"/>
            </w:tcBorders>
            <w:shd w:val="clear" w:color="000000" w:fill="FFFFFF"/>
            <w:vAlign w:val="center"/>
            <w:hideMark/>
          </w:tcPr>
          <w:p w:rsidR="00A93D30" w:rsidRPr="00B75B77" w:rsidRDefault="00A93D30" w:rsidP="00502659">
            <w:pPr>
              <w:keepNext/>
              <w:jc w:val="left"/>
              <w:rPr>
                <w:rFonts w:ascii="Calibri" w:eastAsia="Times New Roman" w:hAnsi="Calibri"/>
                <w:b/>
                <w:color w:val="000000"/>
                <w:sz w:val="18"/>
                <w:szCs w:val="18"/>
              </w:rPr>
            </w:pPr>
            <w:r w:rsidRPr="00B75B77">
              <w:rPr>
                <w:rFonts w:ascii="Calibri" w:eastAsia="Times New Roman" w:hAnsi="Calibri"/>
                <w:b/>
                <w:color w:val="000000"/>
                <w:sz w:val="18"/>
                <w:szCs w:val="18"/>
              </w:rPr>
              <w:t> </w:t>
            </w:r>
            <w:r w:rsidR="006B2FEA" w:rsidRPr="00B75B77">
              <w:rPr>
                <w:rFonts w:ascii="Calibri" w:eastAsia="Times New Roman" w:hAnsi="Calibri"/>
                <w:b/>
                <w:color w:val="000000"/>
                <w:sz w:val="18"/>
                <w:szCs w:val="18"/>
              </w:rPr>
              <w:t>N/A</w:t>
            </w:r>
          </w:p>
        </w:tc>
      </w:tr>
    </w:tbl>
    <w:p w:rsidR="00EF6477" w:rsidRPr="00B75B77" w:rsidRDefault="00EF6477" w:rsidP="00502659">
      <w:pPr>
        <w:pStyle w:val="Source"/>
        <w:keepNext/>
        <w:spacing w:before="20" w:after="20"/>
        <w:ind w:left="0" w:firstLine="0"/>
        <w:rPr>
          <w:rFonts w:ascii="Calibri" w:hAnsi="Calibri"/>
          <w:i w:val="0"/>
          <w:color w:val="000000"/>
          <w:szCs w:val="18"/>
        </w:rPr>
      </w:pPr>
      <w:r w:rsidRPr="00B75B77">
        <w:rPr>
          <w:rFonts w:ascii="Calibri" w:hAnsi="Calibri"/>
          <w:i w:val="0"/>
          <w:color w:val="000000"/>
          <w:szCs w:val="18"/>
          <w:vertAlign w:val="superscript"/>
        </w:rPr>
        <w:t>[1]</w:t>
      </w:r>
      <w:r w:rsidRPr="00B75B77">
        <w:rPr>
          <w:rFonts w:ascii="Calibri" w:hAnsi="Calibri"/>
          <w:i w:val="0"/>
          <w:color w:val="000000"/>
          <w:szCs w:val="18"/>
        </w:rPr>
        <w:t xml:space="preserve"> Sample frame is a list of contacts that have a chance to be selected into the sample. Percentage contacted means of all the sample frame the percentage that were contacted to get the completed surveys.</w:t>
      </w:r>
    </w:p>
    <w:p w:rsidR="00595696" w:rsidRPr="00B75B77" w:rsidRDefault="00973F88" w:rsidP="00502659">
      <w:pPr>
        <w:pStyle w:val="Source"/>
        <w:keepNext/>
        <w:spacing w:before="20" w:after="20"/>
        <w:ind w:left="0" w:firstLine="0"/>
      </w:pPr>
      <w:r w:rsidRPr="00B75B77">
        <w:rPr>
          <w:rFonts w:ascii="Calibri" w:hAnsi="Calibri"/>
          <w:i w:val="0"/>
          <w:iCs/>
          <w:color w:val="000000"/>
          <w:szCs w:val="18"/>
        </w:rPr>
        <w:t xml:space="preserve">Note: </w:t>
      </w:r>
      <w:r w:rsidR="00595696" w:rsidRPr="00B75B77">
        <w:rPr>
          <w:rFonts w:ascii="Calibri" w:hAnsi="Calibri"/>
          <w:i w:val="0"/>
          <w:iCs/>
          <w:color w:val="000000"/>
          <w:szCs w:val="18"/>
        </w:rPr>
        <w:t>Values in tables may not reconcile exactly with the sum of more detailed level results or previously reported results due to rounding.</w:t>
      </w:r>
    </w:p>
    <w:p w:rsidR="008B4879" w:rsidRPr="00B75B77" w:rsidRDefault="008B4879" w:rsidP="00502659">
      <w:pPr>
        <w:pStyle w:val="Source"/>
        <w:keepNext/>
        <w:ind w:left="0" w:firstLine="0"/>
      </w:pPr>
      <w:r w:rsidRPr="00B75B77">
        <w:t>Source: Navigant analysis</w:t>
      </w:r>
    </w:p>
    <w:p w:rsidR="008B4879" w:rsidRPr="00B75B77" w:rsidRDefault="008B4879" w:rsidP="00595696">
      <w:pPr>
        <w:pStyle w:val="Heading3"/>
        <w:keepNext/>
      </w:pPr>
      <w:bookmarkStart w:id="411" w:name="_Toc466413313"/>
      <w:r w:rsidRPr="00B75B77">
        <w:t>Process Findings and Recommendations</w:t>
      </w:r>
      <w:bookmarkEnd w:id="411"/>
      <w:r w:rsidRPr="00B75B77">
        <w:t xml:space="preserve"> </w:t>
      </w:r>
    </w:p>
    <w:p w:rsidR="008B4879" w:rsidRPr="00B75B77" w:rsidRDefault="008B4879" w:rsidP="00595696">
      <w:pPr>
        <w:keepNext/>
      </w:pPr>
      <w:r w:rsidRPr="00B75B77">
        <w:rPr>
          <w:color w:val="000000"/>
        </w:rPr>
        <w:t xml:space="preserve">Based on the process research described in the previous section and on the impact evaluation results, the evaluation team developed several recommendations. </w:t>
      </w:r>
    </w:p>
    <w:p w:rsidR="005D3F9A" w:rsidRPr="00B75B77" w:rsidRDefault="008B4879" w:rsidP="009E08FB">
      <w:pPr>
        <w:pStyle w:val="ListParagraph"/>
        <w:numPr>
          <w:ilvl w:val="0"/>
          <w:numId w:val="106"/>
        </w:numPr>
        <w:spacing w:before="120" w:after="120"/>
        <w:ind w:left="720" w:hanging="360"/>
        <w:contextualSpacing w:val="0"/>
        <w:jc w:val="left"/>
      </w:pPr>
      <w:r w:rsidRPr="00B75B77">
        <w:rPr>
          <w:b/>
        </w:rPr>
        <w:t xml:space="preserve">Finding: </w:t>
      </w:r>
      <w:r w:rsidRPr="00B75B77">
        <w:t xml:space="preserve"> It is likely that JACO’s closure is solely responsible for SAR failing to reach its PY7 </w:t>
      </w:r>
      <w:r w:rsidR="00876272" w:rsidRPr="00B75B77">
        <w:t>and</w:t>
      </w:r>
      <w:r w:rsidRPr="00B75B77">
        <w:t xml:space="preserve"> Phase II goals. Though PY5 and PY6 had also fallen short of their savings goals, the activity level of PY7 Q1 and Q2, if sustained through the latter half of the year, would have been sufficient to exceed Phase II targets. JACO’s closure also interfered with the delivery of participant rebates. This emphasizes the vulnerability of SAR and other programs that have a single CSP.</w:t>
      </w:r>
    </w:p>
    <w:p w:rsidR="008B4879" w:rsidRPr="00B75B77" w:rsidRDefault="008B4879" w:rsidP="009E08FB">
      <w:pPr>
        <w:pStyle w:val="ListParagraph"/>
        <w:numPr>
          <w:ilvl w:val="1"/>
          <w:numId w:val="106"/>
        </w:numPr>
        <w:spacing w:before="120" w:after="120"/>
        <w:contextualSpacing w:val="0"/>
      </w:pPr>
      <w:r w:rsidRPr="00B75B77">
        <w:rPr>
          <w:b/>
        </w:rPr>
        <w:t xml:space="preserve">Recommendation: </w:t>
      </w:r>
      <w:r w:rsidRPr="00B75B77">
        <w:t xml:space="preserve">PECO should monitor the financial health of their </w:t>
      </w:r>
      <w:r w:rsidR="00876272" w:rsidRPr="00B75B77">
        <w:t>CSP</w:t>
      </w:r>
      <w:r w:rsidRPr="00B75B77">
        <w:t xml:space="preserve"> to avoid program interruptions in Phase III. To this end, PECO developed a cost-of-service arrangement with ARCA </w:t>
      </w:r>
      <w:r w:rsidR="00876272" w:rsidRPr="00B75B77">
        <w:t xml:space="preserve">that </w:t>
      </w:r>
      <w:r w:rsidRPr="00B75B77">
        <w:t>should allow them to continue operating even if global scrap prices remain low during Phase III.</w:t>
      </w:r>
    </w:p>
    <w:p w:rsidR="005D3F9A" w:rsidRPr="00B75B77" w:rsidRDefault="008B4879" w:rsidP="009E08FB">
      <w:pPr>
        <w:pStyle w:val="ListParagraph"/>
        <w:numPr>
          <w:ilvl w:val="1"/>
          <w:numId w:val="106"/>
        </w:numPr>
        <w:spacing w:before="120" w:after="120"/>
        <w:contextualSpacing w:val="0"/>
      </w:pPr>
      <w:r w:rsidRPr="00B75B77">
        <w:rPr>
          <w:b/>
        </w:rPr>
        <w:t>Recommendation:</w:t>
      </w:r>
      <w:r w:rsidRPr="00B75B77">
        <w:t xml:space="preserve"> PECO should develop response plans for programs relying on a single CSP</w:t>
      </w:r>
      <w:r w:rsidR="00876272" w:rsidRPr="00B75B77">
        <w:t>.</w:t>
      </w:r>
      <w:r w:rsidRPr="00B75B77">
        <w:t xml:space="preserve"> </w:t>
      </w:r>
      <w:r w:rsidR="00876272" w:rsidRPr="00B75B77">
        <w:t xml:space="preserve">These plans should </w:t>
      </w:r>
      <w:r w:rsidRPr="00B75B77">
        <w:t>define the protocol for data transfers between a departing CSP and PECO.</w:t>
      </w:r>
    </w:p>
    <w:p w:rsidR="008B4879" w:rsidRPr="00B75B77" w:rsidRDefault="008B4879" w:rsidP="009E08FB">
      <w:pPr>
        <w:pStyle w:val="ListParagraph"/>
        <w:numPr>
          <w:ilvl w:val="0"/>
          <w:numId w:val="106"/>
        </w:numPr>
        <w:spacing w:before="120" w:after="120"/>
        <w:ind w:left="720" w:hanging="360"/>
        <w:contextualSpacing w:val="0"/>
        <w:jc w:val="left"/>
      </w:pPr>
      <w:r w:rsidRPr="00B75B77">
        <w:rPr>
          <w:b/>
        </w:rPr>
        <w:t>Finding:</w:t>
      </w:r>
      <w:r w:rsidRPr="00B75B77">
        <w:t xml:space="preserve"> On average, the regular program participants who participated prior to the program interruption in Q1 and Q2 rated the program 4.7 on a scale of </w:t>
      </w:r>
      <w:r w:rsidR="00876272" w:rsidRPr="00B75B77">
        <w:t xml:space="preserve">1 </w:t>
      </w:r>
      <w:r w:rsidRPr="00B75B77">
        <w:t xml:space="preserve">to </w:t>
      </w:r>
      <w:r w:rsidR="00876272" w:rsidRPr="00B75B77">
        <w:t>5</w:t>
      </w:r>
      <w:r w:rsidRPr="00B75B77">
        <w:t xml:space="preserve">, where </w:t>
      </w:r>
      <w:r w:rsidR="00876272" w:rsidRPr="00B75B77">
        <w:t xml:space="preserve">5 </w:t>
      </w:r>
      <w:r w:rsidRPr="00B75B77">
        <w:t xml:space="preserve">is </w:t>
      </w:r>
      <w:r w:rsidR="00876272" w:rsidRPr="00B75B77">
        <w:t>“</w:t>
      </w:r>
      <w:r w:rsidRPr="00B75B77">
        <w:t>highly satisfied.</w:t>
      </w:r>
      <w:r w:rsidR="00876272" w:rsidRPr="00B75B77">
        <w:t>”</w:t>
      </w:r>
      <w:r w:rsidRPr="00B75B77">
        <w:t xml:space="preserve"> Navigant also found that despite the inconvenience of JACO’s closure, satisfaction </w:t>
      </w:r>
      <w:r w:rsidR="00876272" w:rsidRPr="00B75B77">
        <w:t xml:space="preserve">was </w:t>
      </w:r>
      <w:r w:rsidRPr="00B75B77">
        <w:t xml:space="preserve">not significantly reduced in impacted customers. Among the customers whose rebates were delayed, average satisfaction </w:t>
      </w:r>
      <w:r w:rsidR="00876272" w:rsidRPr="00B75B77">
        <w:t>wa</w:t>
      </w:r>
      <w:r w:rsidRPr="00B75B77">
        <w:t xml:space="preserve">s </w:t>
      </w:r>
      <w:r w:rsidR="00876272" w:rsidRPr="00B75B77">
        <w:t xml:space="preserve">only </w:t>
      </w:r>
      <w:r w:rsidRPr="00B75B77">
        <w:t xml:space="preserve">4% lower than regular participants. Customers in </w:t>
      </w:r>
      <w:proofErr w:type="gramStart"/>
      <w:r w:rsidRPr="00B75B77">
        <w:t>this strata</w:t>
      </w:r>
      <w:proofErr w:type="gramEnd"/>
      <w:r w:rsidRPr="00B75B77">
        <w:t xml:space="preserve"> actually reported higher satisfaction with the speed of the rebate due to their perception of PECO working on their behalf. Among the customers whose units were picked up months after originally scheduled, average satisfaction </w:t>
      </w:r>
      <w:r w:rsidR="00876272" w:rsidRPr="00B75B77">
        <w:t>wa</w:t>
      </w:r>
      <w:r w:rsidRPr="00B75B77">
        <w:t>s 10% lower than regular participants. These customers exhibit</w:t>
      </w:r>
      <w:r w:rsidR="00876272" w:rsidRPr="00B75B77">
        <w:t>ed</w:t>
      </w:r>
      <w:r w:rsidRPr="00B75B77">
        <w:t xml:space="preserve"> the greatest decrease in satisfaction with the speed of the rebate</w:t>
      </w:r>
      <w:r w:rsidR="00903866" w:rsidRPr="00B75B77">
        <w:t xml:space="preserve">, as </w:t>
      </w:r>
      <w:r w:rsidRPr="00B75B77">
        <w:t>they had to wait the longest. These decreases in satisfaction suggest PECO’s response to the emergency was successful and its customer communication strategy should be shared with other programs that may need to suspend program operations suddenly.</w:t>
      </w:r>
    </w:p>
    <w:p w:rsidR="008B4879" w:rsidRPr="00B75B77" w:rsidRDefault="008B4879" w:rsidP="009E08FB">
      <w:pPr>
        <w:pStyle w:val="ListParagraph"/>
        <w:numPr>
          <w:ilvl w:val="1"/>
          <w:numId w:val="106"/>
        </w:numPr>
        <w:spacing w:before="120" w:after="120"/>
        <w:contextualSpacing w:val="0"/>
        <w:jc w:val="left"/>
      </w:pPr>
      <w:r w:rsidRPr="00B75B77">
        <w:rPr>
          <w:b/>
        </w:rPr>
        <w:lastRenderedPageBreak/>
        <w:t>Recommendation:</w:t>
      </w:r>
      <w:r w:rsidRPr="00B75B77">
        <w:t xml:space="preserve"> PECO’s response to JACO’s closure can inform the response plans of other programs reliant on a turnkey </w:t>
      </w:r>
      <w:r w:rsidR="00E44910" w:rsidRPr="00B75B77">
        <w:t>CSP</w:t>
      </w:r>
      <w:r w:rsidRPr="00B75B77">
        <w:t>.</w:t>
      </w:r>
    </w:p>
    <w:p w:rsidR="008B4879" w:rsidRPr="00B75B77" w:rsidRDefault="008B4879" w:rsidP="00751A38">
      <w:pPr>
        <w:jc w:val="left"/>
      </w:pPr>
    </w:p>
    <w:p w:rsidR="008B4879" w:rsidRPr="00B75B77" w:rsidRDefault="008B4879" w:rsidP="00751A38">
      <w:pPr>
        <w:pStyle w:val="Caption"/>
      </w:pPr>
      <w:bookmarkStart w:id="412" w:name="_Toc466413673"/>
      <w:r w:rsidRPr="00B75B77">
        <w:t xml:space="preserve">Figure </w:t>
      </w:r>
      <w:fldSimple w:instr=" STYLEREF 1 \s ">
        <w:r w:rsidR="0004016D">
          <w:rPr>
            <w:noProof/>
          </w:rPr>
          <w:t>4</w:t>
        </w:r>
      </w:fldSimple>
      <w:r w:rsidR="00BA3BA9" w:rsidRPr="00B75B77">
        <w:noBreakHyphen/>
      </w:r>
      <w:fldSimple w:instr=" SEQ Figure \* ARABIC \s 1 ">
        <w:r w:rsidR="0004016D">
          <w:rPr>
            <w:noProof/>
          </w:rPr>
          <w:t>3</w:t>
        </w:r>
      </w:fldSimple>
      <w:r w:rsidR="0009500C" w:rsidRPr="00B75B77">
        <w:t>:</w:t>
      </w:r>
      <w:r w:rsidRPr="00B75B77">
        <w:t xml:space="preserve"> Smart Appliance Recycling Regular Customer vs. Impacted </w:t>
      </w:r>
      <w:r w:rsidR="00CF2D62" w:rsidRPr="00B75B77">
        <w:t xml:space="preserve">Average </w:t>
      </w:r>
      <w:r w:rsidRPr="00B75B77">
        <w:t>Customer Satisfaction</w:t>
      </w:r>
      <w:bookmarkEnd w:id="412"/>
      <w:r w:rsidRPr="00B75B77">
        <w:t xml:space="preserve"> </w:t>
      </w:r>
    </w:p>
    <w:p w:rsidR="008B4879" w:rsidRPr="00B75B77" w:rsidRDefault="008B4879" w:rsidP="00751A38">
      <w:pPr>
        <w:jc w:val="center"/>
      </w:pPr>
      <w:r w:rsidRPr="00B75B77">
        <w:rPr>
          <w:noProof/>
        </w:rPr>
        <w:drawing>
          <wp:inline distT="0" distB="0" distL="0" distR="0" wp14:anchorId="59628394" wp14:editId="335EA6B3">
            <wp:extent cx="5264785" cy="340042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B4879" w:rsidRPr="00B75B77" w:rsidRDefault="009E677B" w:rsidP="00DC611B">
      <w:pPr>
        <w:pStyle w:val="Source"/>
        <w:ind w:left="0" w:firstLine="0"/>
      </w:pPr>
      <w:r w:rsidRPr="00B75B77">
        <w:rPr>
          <w:iCs/>
        </w:rPr>
        <w:t>Regular Participants (n=140), Rebate Delayed (n=10), and Pickup Delayed (n=21</w:t>
      </w:r>
      <w:proofErr w:type="gramStart"/>
      <w:r w:rsidR="001F3326" w:rsidRPr="00B75B77">
        <w:rPr>
          <w:iCs/>
        </w:rPr>
        <w:t>)</w:t>
      </w:r>
      <w:proofErr w:type="gramEnd"/>
      <w:r w:rsidRPr="00B75B77">
        <w:rPr>
          <w:iCs/>
        </w:rPr>
        <w:br/>
      </w:r>
      <w:r w:rsidR="008B4879" w:rsidRPr="00B75B77">
        <w:t xml:space="preserve">Source: Navigant </w:t>
      </w:r>
      <w:r w:rsidR="0009500C" w:rsidRPr="00B75B77">
        <w:t>a</w:t>
      </w:r>
      <w:r w:rsidR="008B4879" w:rsidRPr="00B75B77">
        <w:t>nalysis</w:t>
      </w:r>
      <w:r w:rsidRPr="00B75B77">
        <w:t xml:space="preserve"> of participant surveys</w:t>
      </w:r>
      <w:r w:rsidRPr="00B75B77">
        <w:br/>
      </w:r>
    </w:p>
    <w:p w:rsidR="008B4879" w:rsidRPr="00B75B77" w:rsidRDefault="008B4879" w:rsidP="009E08FB">
      <w:pPr>
        <w:pStyle w:val="ListParagraph"/>
        <w:numPr>
          <w:ilvl w:val="0"/>
          <w:numId w:val="106"/>
        </w:numPr>
        <w:spacing w:after="120"/>
        <w:ind w:left="720" w:hanging="360"/>
        <w:contextualSpacing w:val="0"/>
        <w:jc w:val="left"/>
        <w:rPr>
          <w:b/>
        </w:rPr>
      </w:pPr>
      <w:r w:rsidRPr="00B75B77">
        <w:rPr>
          <w:b/>
        </w:rPr>
        <w:t>Finding:</w:t>
      </w:r>
      <w:r w:rsidRPr="00B75B77">
        <w:t xml:space="preserve"> </w:t>
      </w:r>
      <w:r w:rsidRPr="00B75B77">
        <w:fldChar w:fldCharType="begin"/>
      </w:r>
      <w:r w:rsidRPr="00B75B77">
        <w:instrText xml:space="preserve"> REF _Ref462915961 \h </w:instrText>
      </w:r>
      <w:r w:rsidR="00B75B77">
        <w:instrText xml:space="preserve"> \* MERGEFORMAT </w:instrText>
      </w:r>
      <w:r w:rsidRPr="00B75B77">
        <w:fldChar w:fldCharType="separate"/>
      </w:r>
      <w:r w:rsidR="0004016D" w:rsidRPr="00B75B77">
        <w:t xml:space="preserve">Table </w:t>
      </w:r>
      <w:r w:rsidR="0004016D">
        <w:rPr>
          <w:noProof/>
        </w:rPr>
        <w:t>4</w:t>
      </w:r>
      <w:r w:rsidR="0004016D" w:rsidRPr="00B75B77">
        <w:rPr>
          <w:noProof/>
        </w:rPr>
        <w:noBreakHyphen/>
      </w:r>
      <w:r w:rsidR="0004016D">
        <w:rPr>
          <w:noProof/>
        </w:rPr>
        <w:t>10</w:t>
      </w:r>
      <w:r w:rsidRPr="00B75B77">
        <w:fldChar w:fldCharType="end"/>
      </w:r>
      <w:r w:rsidRPr="00B75B77">
        <w:t xml:space="preserve"> summarizes the NTG methods in other Exelon territories and California. It shows that NTG results are comparable between regions using the Unified Methods Protocol</w:t>
      </w:r>
      <w:r w:rsidRPr="00B75B77">
        <w:rPr>
          <w:vertAlign w:val="superscript"/>
        </w:rPr>
        <w:footnoteReference w:id="26"/>
      </w:r>
      <w:r w:rsidRPr="00B75B77">
        <w:rPr>
          <w:vertAlign w:val="superscript"/>
        </w:rPr>
        <w:t xml:space="preserve"> </w:t>
      </w:r>
      <w:r w:rsidRPr="00B75B77">
        <w:t xml:space="preserve">that defines how the PA TRM evaluates appliance recycling. Navigant’s research suggests a different methodology, such as that used in California in its last evaluation, would create different net savings results. </w:t>
      </w:r>
    </w:p>
    <w:p w:rsidR="008B4879" w:rsidRPr="00B75B77" w:rsidRDefault="008B4879" w:rsidP="009E08FB">
      <w:pPr>
        <w:pStyle w:val="ListParagraph"/>
        <w:numPr>
          <w:ilvl w:val="1"/>
          <w:numId w:val="106"/>
        </w:numPr>
        <w:spacing w:after="120"/>
        <w:contextualSpacing w:val="0"/>
        <w:jc w:val="left"/>
      </w:pPr>
      <w:r w:rsidRPr="00B75B77">
        <w:rPr>
          <w:b/>
        </w:rPr>
        <w:t>Recommendation:</w:t>
      </w:r>
      <w:r w:rsidR="00CF2D62" w:rsidRPr="00B75B77">
        <w:rPr>
          <w:b/>
        </w:rPr>
        <w:t xml:space="preserve"> </w:t>
      </w:r>
      <w:r w:rsidR="00CF2D62" w:rsidRPr="00B75B77">
        <w:t>PECO should engage in statewide discussions to develop a more robust method for estimating net savings.</w:t>
      </w:r>
    </w:p>
    <w:p w:rsidR="008B4879" w:rsidRPr="00B75B77" w:rsidRDefault="008B4879" w:rsidP="00502659">
      <w:pPr>
        <w:pStyle w:val="Caption"/>
        <w:spacing w:before="200"/>
      </w:pPr>
      <w:bookmarkStart w:id="413" w:name="_Ref462915961"/>
      <w:bookmarkStart w:id="414" w:name="_Toc466413539"/>
      <w:r w:rsidRPr="00B75B77">
        <w:lastRenderedPageBreak/>
        <w:t xml:space="preserve">Table </w:t>
      </w:r>
      <w:fldSimple w:instr=" STYLEREF 1 \s ">
        <w:r w:rsidR="0004016D">
          <w:rPr>
            <w:noProof/>
          </w:rPr>
          <w:t>4</w:t>
        </w:r>
      </w:fldSimple>
      <w:r w:rsidR="00F1144C" w:rsidRPr="00B75B77">
        <w:noBreakHyphen/>
      </w:r>
      <w:fldSimple w:instr=" SEQ Table \* ARABIC \s 1 ">
        <w:r w:rsidR="0004016D">
          <w:rPr>
            <w:noProof/>
          </w:rPr>
          <w:t>10</w:t>
        </w:r>
      </w:fldSimple>
      <w:bookmarkEnd w:id="413"/>
      <w:r w:rsidRPr="00B75B77">
        <w:t>: Net-to-Gross Method Benchmarking</w:t>
      </w:r>
      <w:bookmarkEnd w:id="414"/>
      <w:r w:rsidRPr="00B75B77">
        <w:t xml:space="preserve"> </w:t>
      </w:r>
    </w:p>
    <w:tbl>
      <w:tblPr>
        <w:tblStyle w:val="MediumShading1-Accent5"/>
        <w:tblW w:w="5000" w:type="pct"/>
        <w:tblInd w:w="-1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498"/>
        <w:gridCol w:w="3457"/>
        <w:gridCol w:w="1293"/>
        <w:gridCol w:w="1660"/>
        <w:gridCol w:w="1668"/>
      </w:tblGrid>
      <w:tr w:rsidR="008B4879" w:rsidRPr="00B75B77" w:rsidTr="001F649F">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782" w:type="pct"/>
            <w:tcBorders>
              <w:top w:val="single" w:sz="4" w:space="0" w:color="auto"/>
              <w:left w:val="single" w:sz="4" w:space="0" w:color="auto"/>
              <w:bottom w:val="single" w:sz="4" w:space="0" w:color="auto"/>
              <w:right w:val="single" w:sz="4" w:space="0" w:color="auto"/>
            </w:tcBorders>
            <w:shd w:val="clear" w:color="auto" w:fill="448A99"/>
            <w:vAlign w:val="center"/>
          </w:tcPr>
          <w:p w:rsidR="008B4879" w:rsidRPr="00B75B77" w:rsidRDefault="008B4879" w:rsidP="00502659">
            <w:pPr>
              <w:keepNext/>
              <w:jc w:val="left"/>
              <w:rPr>
                <w:bCs w:val="0"/>
                <w:sz w:val="18"/>
                <w:szCs w:val="18"/>
              </w:rPr>
            </w:pPr>
            <w:r w:rsidRPr="00B75B77">
              <w:rPr>
                <w:bCs w:val="0"/>
                <w:sz w:val="18"/>
                <w:szCs w:val="18"/>
              </w:rPr>
              <w:t>Region</w:t>
            </w:r>
          </w:p>
        </w:tc>
        <w:tc>
          <w:tcPr>
            <w:tcW w:w="1805" w:type="pct"/>
            <w:tcBorders>
              <w:top w:val="single" w:sz="4" w:space="0" w:color="auto"/>
              <w:left w:val="single" w:sz="4" w:space="0" w:color="auto"/>
              <w:bottom w:val="single" w:sz="4" w:space="0" w:color="auto"/>
              <w:right w:val="single" w:sz="4" w:space="0" w:color="auto"/>
            </w:tcBorders>
            <w:shd w:val="clear" w:color="auto" w:fill="448A99"/>
            <w:vAlign w:val="center"/>
          </w:tcPr>
          <w:p w:rsidR="008B4879" w:rsidRPr="00B75B77" w:rsidRDefault="008B4879" w:rsidP="00502659">
            <w:pPr>
              <w:keepNext/>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B75B77">
              <w:rPr>
                <w:bCs w:val="0"/>
                <w:sz w:val="18"/>
                <w:szCs w:val="18"/>
              </w:rPr>
              <w:t>Utilities Covered</w:t>
            </w:r>
          </w:p>
        </w:tc>
        <w:tc>
          <w:tcPr>
            <w:tcW w:w="675" w:type="pct"/>
            <w:tcBorders>
              <w:top w:val="single" w:sz="4" w:space="0" w:color="auto"/>
              <w:left w:val="single" w:sz="4" w:space="0" w:color="auto"/>
              <w:bottom w:val="single" w:sz="4" w:space="0" w:color="auto"/>
              <w:right w:val="single" w:sz="4" w:space="0" w:color="auto"/>
            </w:tcBorders>
            <w:shd w:val="clear" w:color="auto" w:fill="448A99"/>
            <w:vAlign w:val="center"/>
          </w:tcPr>
          <w:p w:rsidR="008B4879" w:rsidRPr="00B75B77" w:rsidRDefault="008B4879" w:rsidP="00502659">
            <w:pPr>
              <w:keepNext/>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B75B77">
              <w:rPr>
                <w:bCs w:val="0"/>
                <w:sz w:val="18"/>
                <w:szCs w:val="18"/>
              </w:rPr>
              <w:t>Method</w:t>
            </w:r>
          </w:p>
        </w:tc>
        <w:tc>
          <w:tcPr>
            <w:tcW w:w="867" w:type="pct"/>
            <w:tcBorders>
              <w:top w:val="single" w:sz="4" w:space="0" w:color="auto"/>
              <w:left w:val="single" w:sz="4" w:space="0" w:color="auto"/>
              <w:bottom w:val="single" w:sz="4" w:space="0" w:color="auto"/>
              <w:right w:val="single" w:sz="4" w:space="0" w:color="auto"/>
            </w:tcBorders>
            <w:shd w:val="clear" w:color="auto" w:fill="448A99"/>
            <w:vAlign w:val="center"/>
          </w:tcPr>
          <w:p w:rsidR="008B4879" w:rsidRPr="00B75B77" w:rsidRDefault="008B4879" w:rsidP="00502659">
            <w:pPr>
              <w:keepNext/>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B75B77">
              <w:rPr>
                <w:bCs w:val="0"/>
                <w:sz w:val="18"/>
                <w:szCs w:val="18"/>
              </w:rPr>
              <w:t>Refrigerator NTGR</w:t>
            </w:r>
          </w:p>
        </w:tc>
        <w:tc>
          <w:tcPr>
            <w:tcW w:w="871" w:type="pct"/>
            <w:tcBorders>
              <w:top w:val="single" w:sz="4" w:space="0" w:color="auto"/>
              <w:left w:val="single" w:sz="4" w:space="0" w:color="auto"/>
              <w:bottom w:val="single" w:sz="4" w:space="0" w:color="auto"/>
              <w:right w:val="single" w:sz="4" w:space="0" w:color="auto"/>
            </w:tcBorders>
            <w:shd w:val="clear" w:color="auto" w:fill="448A99"/>
            <w:vAlign w:val="center"/>
          </w:tcPr>
          <w:p w:rsidR="008B4879" w:rsidRPr="00B75B77" w:rsidRDefault="008B4879" w:rsidP="00502659">
            <w:pPr>
              <w:keepNext/>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B75B77">
              <w:rPr>
                <w:bCs w:val="0"/>
                <w:sz w:val="18"/>
                <w:szCs w:val="18"/>
              </w:rPr>
              <w:t>Freezer NTGR</w:t>
            </w:r>
          </w:p>
        </w:tc>
      </w:tr>
      <w:tr w:rsidR="008B4879" w:rsidRPr="00B75B77" w:rsidTr="0090386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82" w:type="pct"/>
            <w:vMerge w:val="restart"/>
            <w:tcBorders>
              <w:top w:val="single" w:sz="4" w:space="0" w:color="auto"/>
              <w:right w:val="single" w:sz="8" w:space="0" w:color="448A99"/>
            </w:tcBorders>
            <w:vAlign w:val="center"/>
          </w:tcPr>
          <w:p w:rsidR="008B4879" w:rsidRPr="00B75B77" w:rsidRDefault="008B4879" w:rsidP="00502659">
            <w:pPr>
              <w:keepNext/>
              <w:jc w:val="left"/>
              <w:rPr>
                <w:b w:val="0"/>
                <w:sz w:val="18"/>
                <w:szCs w:val="18"/>
              </w:rPr>
            </w:pPr>
            <w:r w:rsidRPr="00B75B77">
              <w:rPr>
                <w:b w:val="0"/>
                <w:sz w:val="18"/>
                <w:szCs w:val="18"/>
              </w:rPr>
              <w:t>Pennsylvania</w:t>
            </w:r>
          </w:p>
        </w:tc>
        <w:tc>
          <w:tcPr>
            <w:tcW w:w="1805" w:type="pct"/>
            <w:tcBorders>
              <w:top w:val="single" w:sz="4" w:space="0" w:color="auto"/>
              <w:left w:val="single" w:sz="8" w:space="0" w:color="448A99"/>
              <w:right w:val="single" w:sz="8" w:space="0" w:color="448A99"/>
            </w:tcBorders>
            <w:vAlign w:val="center"/>
          </w:tcPr>
          <w:p w:rsidR="008B4879" w:rsidRPr="00B75B77" w:rsidRDefault="008B4879" w:rsidP="00502659">
            <w:pPr>
              <w:keepNext/>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PECO</w:t>
            </w:r>
          </w:p>
        </w:tc>
        <w:tc>
          <w:tcPr>
            <w:tcW w:w="675" w:type="pct"/>
            <w:vMerge w:val="restart"/>
            <w:tcBorders>
              <w:top w:val="single" w:sz="4" w:space="0" w:color="auto"/>
              <w:left w:val="single" w:sz="8" w:space="0" w:color="448A99"/>
              <w:right w:val="single" w:sz="8" w:space="0" w:color="448A99"/>
            </w:tcBorders>
            <w:shd w:val="clear" w:color="auto" w:fill="D2EAF1"/>
            <w:vAlign w:val="center"/>
          </w:tcPr>
          <w:p w:rsidR="008B4879" w:rsidRPr="00B75B77" w:rsidRDefault="008B4879" w:rsidP="00502659">
            <w:pPr>
              <w:keepNext/>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UMP</w:t>
            </w:r>
          </w:p>
        </w:tc>
        <w:tc>
          <w:tcPr>
            <w:tcW w:w="867" w:type="pct"/>
            <w:tcBorders>
              <w:top w:val="single" w:sz="4" w:space="0" w:color="auto"/>
              <w:left w:val="single" w:sz="8" w:space="0" w:color="448A99"/>
              <w:right w:val="single" w:sz="8" w:space="0" w:color="448A99"/>
            </w:tcBorders>
            <w:vAlign w:val="center"/>
          </w:tcPr>
          <w:p w:rsidR="008B4879" w:rsidRPr="00B75B77" w:rsidRDefault="008B4879" w:rsidP="00502659">
            <w:pPr>
              <w:keepNext/>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0.48</w:t>
            </w:r>
          </w:p>
        </w:tc>
        <w:tc>
          <w:tcPr>
            <w:tcW w:w="871" w:type="pct"/>
            <w:tcBorders>
              <w:top w:val="single" w:sz="4" w:space="0" w:color="auto"/>
              <w:left w:val="single" w:sz="8" w:space="0" w:color="448A99"/>
              <w:right w:val="single" w:sz="8" w:space="0" w:color="448A99"/>
            </w:tcBorders>
            <w:vAlign w:val="center"/>
          </w:tcPr>
          <w:p w:rsidR="008B4879" w:rsidRPr="00B75B77" w:rsidRDefault="008B4879" w:rsidP="00502659">
            <w:pPr>
              <w:keepNext/>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0.61</w:t>
            </w:r>
          </w:p>
        </w:tc>
      </w:tr>
      <w:tr w:rsidR="008B4879" w:rsidRPr="00B75B77" w:rsidTr="00903866">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82" w:type="pct"/>
            <w:vMerge/>
            <w:tcBorders>
              <w:right w:val="single" w:sz="8" w:space="0" w:color="448A99"/>
            </w:tcBorders>
            <w:vAlign w:val="center"/>
          </w:tcPr>
          <w:p w:rsidR="008B4879" w:rsidRPr="00B75B77" w:rsidRDefault="008B4879" w:rsidP="00502659">
            <w:pPr>
              <w:keepNext/>
              <w:jc w:val="left"/>
              <w:rPr>
                <w:b w:val="0"/>
                <w:sz w:val="18"/>
                <w:szCs w:val="18"/>
              </w:rPr>
            </w:pPr>
          </w:p>
        </w:tc>
        <w:tc>
          <w:tcPr>
            <w:tcW w:w="1805" w:type="pct"/>
            <w:tcBorders>
              <w:top w:val="single" w:sz="8" w:space="0" w:color="448A99"/>
              <w:left w:val="single" w:sz="8" w:space="0" w:color="448A99"/>
              <w:right w:val="single" w:sz="8" w:space="0" w:color="448A99"/>
            </w:tcBorders>
            <w:shd w:val="clear" w:color="auto" w:fill="D2EAF1"/>
            <w:vAlign w:val="center"/>
          </w:tcPr>
          <w:p w:rsidR="008B4879" w:rsidRPr="00B75B77" w:rsidRDefault="008B4879" w:rsidP="00502659">
            <w:pPr>
              <w:keepNext/>
              <w:jc w:val="center"/>
              <w:cnfStyle w:val="000000010000" w:firstRow="0" w:lastRow="0" w:firstColumn="0" w:lastColumn="0" w:oddVBand="0" w:evenVBand="0" w:oddHBand="0" w:evenHBand="1" w:firstRowFirstColumn="0" w:firstRowLastColumn="0" w:lastRowFirstColumn="0" w:lastRowLastColumn="0"/>
              <w:rPr>
                <w:sz w:val="18"/>
                <w:szCs w:val="18"/>
              </w:rPr>
            </w:pPr>
            <w:r w:rsidRPr="00B75B77">
              <w:rPr>
                <w:sz w:val="18"/>
                <w:szCs w:val="18"/>
              </w:rPr>
              <w:t>Duquesne Light</w:t>
            </w:r>
          </w:p>
        </w:tc>
        <w:tc>
          <w:tcPr>
            <w:tcW w:w="675" w:type="pct"/>
            <w:vMerge/>
            <w:tcBorders>
              <w:left w:val="single" w:sz="8" w:space="0" w:color="448A99"/>
              <w:right w:val="single" w:sz="8" w:space="0" w:color="448A99"/>
            </w:tcBorders>
            <w:shd w:val="clear" w:color="auto" w:fill="D2EAF1"/>
            <w:vAlign w:val="center"/>
          </w:tcPr>
          <w:p w:rsidR="008B4879" w:rsidRPr="00B75B77" w:rsidRDefault="008B4879" w:rsidP="00502659">
            <w:pPr>
              <w:keepNext/>
              <w:jc w:val="center"/>
              <w:cnfStyle w:val="000000010000" w:firstRow="0" w:lastRow="0" w:firstColumn="0" w:lastColumn="0" w:oddVBand="0" w:evenVBand="0" w:oddHBand="0" w:evenHBand="1" w:firstRowFirstColumn="0" w:firstRowLastColumn="0" w:lastRowFirstColumn="0" w:lastRowLastColumn="0"/>
              <w:rPr>
                <w:sz w:val="18"/>
                <w:szCs w:val="18"/>
              </w:rPr>
            </w:pPr>
          </w:p>
        </w:tc>
        <w:tc>
          <w:tcPr>
            <w:tcW w:w="1738" w:type="pct"/>
            <w:gridSpan w:val="2"/>
            <w:tcBorders>
              <w:top w:val="single" w:sz="8" w:space="0" w:color="448A99"/>
              <w:left w:val="single" w:sz="8" w:space="0" w:color="448A99"/>
              <w:right w:val="single" w:sz="8" w:space="0" w:color="448A99"/>
            </w:tcBorders>
            <w:shd w:val="clear" w:color="auto" w:fill="D2EAF1"/>
            <w:vAlign w:val="center"/>
          </w:tcPr>
          <w:p w:rsidR="008B4879" w:rsidRPr="00B75B77" w:rsidRDefault="008B4879" w:rsidP="00502659">
            <w:pPr>
              <w:keepNext/>
              <w:jc w:val="center"/>
              <w:cnfStyle w:val="000000010000" w:firstRow="0" w:lastRow="0" w:firstColumn="0" w:lastColumn="0" w:oddVBand="0" w:evenVBand="0" w:oddHBand="0" w:evenHBand="1" w:firstRowFirstColumn="0" w:firstRowLastColumn="0" w:lastRowFirstColumn="0" w:lastRowLastColumn="0"/>
              <w:rPr>
                <w:sz w:val="18"/>
                <w:szCs w:val="18"/>
              </w:rPr>
            </w:pPr>
            <w:r w:rsidRPr="00B75B77">
              <w:rPr>
                <w:sz w:val="18"/>
                <w:szCs w:val="18"/>
              </w:rPr>
              <w:t>0.49</w:t>
            </w:r>
          </w:p>
        </w:tc>
      </w:tr>
      <w:tr w:rsidR="008B4879" w:rsidRPr="00B75B77" w:rsidTr="0090386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82" w:type="pct"/>
            <w:tcBorders>
              <w:right w:val="single" w:sz="8" w:space="0" w:color="448A99"/>
            </w:tcBorders>
            <w:shd w:val="clear" w:color="auto" w:fill="auto"/>
            <w:vAlign w:val="center"/>
          </w:tcPr>
          <w:p w:rsidR="008B4879" w:rsidRPr="00B75B77" w:rsidRDefault="008B4879" w:rsidP="00502659">
            <w:pPr>
              <w:keepNext/>
              <w:jc w:val="left"/>
              <w:rPr>
                <w:b w:val="0"/>
                <w:sz w:val="18"/>
                <w:szCs w:val="18"/>
              </w:rPr>
            </w:pPr>
            <w:r w:rsidRPr="00B75B77">
              <w:rPr>
                <w:b w:val="0"/>
                <w:sz w:val="18"/>
                <w:szCs w:val="18"/>
              </w:rPr>
              <w:t>Maryland</w:t>
            </w:r>
          </w:p>
        </w:tc>
        <w:tc>
          <w:tcPr>
            <w:tcW w:w="1805" w:type="pct"/>
            <w:tcBorders>
              <w:left w:val="single" w:sz="8" w:space="0" w:color="448A99"/>
              <w:right w:val="single" w:sz="8" w:space="0" w:color="448A99"/>
            </w:tcBorders>
            <w:shd w:val="clear" w:color="auto" w:fill="auto"/>
            <w:vAlign w:val="center"/>
          </w:tcPr>
          <w:p w:rsidR="008B4879" w:rsidRPr="00B75B77" w:rsidRDefault="008B4879" w:rsidP="00502659">
            <w:pPr>
              <w:keepNext/>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BGR, Pepco, Delmarva Power, PE, SMECO</w:t>
            </w:r>
          </w:p>
        </w:tc>
        <w:tc>
          <w:tcPr>
            <w:tcW w:w="675" w:type="pct"/>
            <w:vMerge/>
            <w:tcBorders>
              <w:left w:val="single" w:sz="8" w:space="0" w:color="448A99"/>
              <w:right w:val="single" w:sz="8" w:space="0" w:color="448A99"/>
            </w:tcBorders>
            <w:shd w:val="clear" w:color="auto" w:fill="D2EAF1"/>
            <w:vAlign w:val="center"/>
          </w:tcPr>
          <w:p w:rsidR="008B4879" w:rsidRPr="00B75B77" w:rsidRDefault="008B4879" w:rsidP="00502659">
            <w:pPr>
              <w:keepNext/>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867" w:type="pct"/>
            <w:tcBorders>
              <w:left w:val="single" w:sz="8" w:space="0" w:color="448A99"/>
              <w:right w:val="single" w:sz="8" w:space="0" w:color="448A99"/>
            </w:tcBorders>
            <w:shd w:val="clear" w:color="auto" w:fill="auto"/>
            <w:vAlign w:val="center"/>
          </w:tcPr>
          <w:p w:rsidR="008B4879" w:rsidRPr="00B75B77" w:rsidRDefault="008B4879" w:rsidP="00502659">
            <w:pPr>
              <w:keepNext/>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0.54</w:t>
            </w:r>
          </w:p>
        </w:tc>
        <w:tc>
          <w:tcPr>
            <w:tcW w:w="871" w:type="pct"/>
            <w:tcBorders>
              <w:left w:val="single" w:sz="8" w:space="0" w:color="448A99"/>
              <w:right w:val="single" w:sz="8" w:space="0" w:color="448A99"/>
            </w:tcBorders>
            <w:shd w:val="clear" w:color="auto" w:fill="auto"/>
            <w:vAlign w:val="center"/>
          </w:tcPr>
          <w:p w:rsidR="008B4879" w:rsidRPr="00B75B77" w:rsidRDefault="008B4879" w:rsidP="00502659">
            <w:pPr>
              <w:keepNext/>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0.55</w:t>
            </w:r>
          </w:p>
        </w:tc>
      </w:tr>
      <w:tr w:rsidR="008B4879" w:rsidRPr="00B75B77" w:rsidTr="00903866">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82" w:type="pct"/>
            <w:tcBorders>
              <w:right w:val="single" w:sz="8" w:space="0" w:color="448A99"/>
            </w:tcBorders>
            <w:shd w:val="clear" w:color="auto" w:fill="D2EAF1"/>
            <w:vAlign w:val="center"/>
          </w:tcPr>
          <w:p w:rsidR="008B4879" w:rsidRPr="00B75B77" w:rsidRDefault="008B4879" w:rsidP="00502659">
            <w:pPr>
              <w:keepNext/>
              <w:jc w:val="left"/>
              <w:rPr>
                <w:b w:val="0"/>
                <w:sz w:val="18"/>
                <w:szCs w:val="18"/>
              </w:rPr>
            </w:pPr>
            <w:r w:rsidRPr="00B75B77">
              <w:rPr>
                <w:b w:val="0"/>
                <w:sz w:val="18"/>
                <w:szCs w:val="18"/>
              </w:rPr>
              <w:t>Illinois</w:t>
            </w:r>
          </w:p>
        </w:tc>
        <w:tc>
          <w:tcPr>
            <w:tcW w:w="1805" w:type="pct"/>
            <w:tcBorders>
              <w:left w:val="single" w:sz="8" w:space="0" w:color="448A99"/>
              <w:right w:val="single" w:sz="8" w:space="0" w:color="448A99"/>
            </w:tcBorders>
            <w:shd w:val="clear" w:color="auto" w:fill="D2EAF1"/>
            <w:vAlign w:val="center"/>
          </w:tcPr>
          <w:p w:rsidR="008B4879" w:rsidRPr="00B75B77" w:rsidRDefault="008B4879" w:rsidP="00502659">
            <w:pPr>
              <w:keepNext/>
              <w:jc w:val="center"/>
              <w:cnfStyle w:val="000000010000" w:firstRow="0" w:lastRow="0" w:firstColumn="0" w:lastColumn="0" w:oddVBand="0" w:evenVBand="0" w:oddHBand="0" w:evenHBand="1" w:firstRowFirstColumn="0" w:firstRowLastColumn="0" w:lastRowFirstColumn="0" w:lastRowLastColumn="0"/>
              <w:rPr>
                <w:sz w:val="18"/>
                <w:szCs w:val="18"/>
              </w:rPr>
            </w:pPr>
            <w:r w:rsidRPr="00B75B77">
              <w:rPr>
                <w:sz w:val="18"/>
                <w:szCs w:val="18"/>
              </w:rPr>
              <w:t>ComEd, Ameren</w:t>
            </w:r>
          </w:p>
        </w:tc>
        <w:tc>
          <w:tcPr>
            <w:tcW w:w="675" w:type="pct"/>
            <w:vMerge/>
            <w:tcBorders>
              <w:left w:val="single" w:sz="8" w:space="0" w:color="448A99"/>
              <w:right w:val="single" w:sz="8" w:space="0" w:color="448A99"/>
            </w:tcBorders>
            <w:shd w:val="clear" w:color="auto" w:fill="D2EAF1"/>
            <w:vAlign w:val="center"/>
          </w:tcPr>
          <w:p w:rsidR="008B4879" w:rsidRPr="00B75B77" w:rsidRDefault="008B4879" w:rsidP="00502659">
            <w:pPr>
              <w:keepNext/>
              <w:jc w:val="center"/>
              <w:cnfStyle w:val="000000010000" w:firstRow="0" w:lastRow="0" w:firstColumn="0" w:lastColumn="0" w:oddVBand="0" w:evenVBand="0" w:oddHBand="0" w:evenHBand="1" w:firstRowFirstColumn="0" w:firstRowLastColumn="0" w:lastRowFirstColumn="0" w:lastRowLastColumn="0"/>
              <w:rPr>
                <w:sz w:val="18"/>
                <w:szCs w:val="18"/>
              </w:rPr>
            </w:pPr>
          </w:p>
        </w:tc>
        <w:tc>
          <w:tcPr>
            <w:tcW w:w="867" w:type="pct"/>
            <w:tcBorders>
              <w:left w:val="single" w:sz="8" w:space="0" w:color="448A99"/>
              <w:right w:val="single" w:sz="8" w:space="0" w:color="448A99"/>
            </w:tcBorders>
            <w:shd w:val="clear" w:color="auto" w:fill="D2EAF1"/>
            <w:vAlign w:val="center"/>
          </w:tcPr>
          <w:p w:rsidR="008B4879" w:rsidRPr="00B75B77" w:rsidRDefault="008B4879" w:rsidP="00502659">
            <w:pPr>
              <w:keepNext/>
              <w:jc w:val="center"/>
              <w:cnfStyle w:val="000000010000" w:firstRow="0" w:lastRow="0" w:firstColumn="0" w:lastColumn="0" w:oddVBand="0" w:evenVBand="0" w:oddHBand="0" w:evenHBand="1" w:firstRowFirstColumn="0" w:firstRowLastColumn="0" w:lastRowFirstColumn="0" w:lastRowLastColumn="0"/>
              <w:rPr>
                <w:sz w:val="18"/>
                <w:szCs w:val="18"/>
              </w:rPr>
            </w:pPr>
            <w:r w:rsidRPr="00B75B77">
              <w:rPr>
                <w:sz w:val="18"/>
                <w:szCs w:val="18"/>
              </w:rPr>
              <w:t>0.52</w:t>
            </w:r>
          </w:p>
        </w:tc>
        <w:tc>
          <w:tcPr>
            <w:tcW w:w="871" w:type="pct"/>
            <w:tcBorders>
              <w:left w:val="single" w:sz="8" w:space="0" w:color="448A99"/>
              <w:right w:val="single" w:sz="8" w:space="0" w:color="448A99"/>
            </w:tcBorders>
            <w:shd w:val="clear" w:color="auto" w:fill="D2EAF1"/>
            <w:vAlign w:val="center"/>
          </w:tcPr>
          <w:p w:rsidR="008B4879" w:rsidRPr="00B75B77" w:rsidRDefault="008B4879" w:rsidP="00502659">
            <w:pPr>
              <w:keepNext/>
              <w:jc w:val="center"/>
              <w:cnfStyle w:val="000000010000" w:firstRow="0" w:lastRow="0" w:firstColumn="0" w:lastColumn="0" w:oddVBand="0" w:evenVBand="0" w:oddHBand="0" w:evenHBand="1" w:firstRowFirstColumn="0" w:firstRowLastColumn="0" w:lastRowFirstColumn="0" w:lastRowLastColumn="0"/>
              <w:rPr>
                <w:sz w:val="18"/>
                <w:szCs w:val="18"/>
              </w:rPr>
            </w:pPr>
            <w:r w:rsidRPr="00B75B77">
              <w:rPr>
                <w:sz w:val="18"/>
                <w:szCs w:val="18"/>
              </w:rPr>
              <w:t>0.58</w:t>
            </w:r>
          </w:p>
        </w:tc>
      </w:tr>
      <w:tr w:rsidR="008B4879" w:rsidRPr="00B75B77" w:rsidTr="0090386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82" w:type="pct"/>
            <w:tcBorders>
              <w:right w:val="single" w:sz="8" w:space="0" w:color="448A99"/>
            </w:tcBorders>
            <w:shd w:val="clear" w:color="auto" w:fill="auto"/>
            <w:vAlign w:val="center"/>
          </w:tcPr>
          <w:p w:rsidR="008B4879" w:rsidRPr="00B75B77" w:rsidRDefault="008B4879" w:rsidP="00502659">
            <w:pPr>
              <w:keepNext/>
              <w:jc w:val="left"/>
              <w:rPr>
                <w:b w:val="0"/>
                <w:bCs w:val="0"/>
                <w:caps/>
                <w:sz w:val="18"/>
                <w:szCs w:val="18"/>
              </w:rPr>
            </w:pPr>
            <w:r w:rsidRPr="00B75B77">
              <w:rPr>
                <w:b w:val="0"/>
                <w:bCs w:val="0"/>
                <w:sz w:val="18"/>
                <w:szCs w:val="18"/>
              </w:rPr>
              <w:t>California</w:t>
            </w:r>
          </w:p>
        </w:tc>
        <w:tc>
          <w:tcPr>
            <w:tcW w:w="1805" w:type="pct"/>
            <w:tcBorders>
              <w:left w:val="single" w:sz="8" w:space="0" w:color="448A99"/>
              <w:right w:val="single" w:sz="8" w:space="0" w:color="448A99"/>
            </w:tcBorders>
            <w:shd w:val="clear" w:color="auto" w:fill="auto"/>
            <w:vAlign w:val="center"/>
          </w:tcPr>
          <w:p w:rsidR="008B4879" w:rsidRPr="00B75B77" w:rsidRDefault="008B4879" w:rsidP="00502659">
            <w:pPr>
              <w:keepNext/>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PG&amp;E, SCE, SDG&amp;E</w:t>
            </w:r>
          </w:p>
        </w:tc>
        <w:tc>
          <w:tcPr>
            <w:tcW w:w="675" w:type="pct"/>
            <w:tcBorders>
              <w:left w:val="single" w:sz="8" w:space="0" w:color="448A99"/>
              <w:right w:val="single" w:sz="8" w:space="0" w:color="448A99"/>
            </w:tcBorders>
            <w:shd w:val="clear" w:color="auto" w:fill="auto"/>
            <w:vAlign w:val="center"/>
          </w:tcPr>
          <w:p w:rsidR="008B4879" w:rsidRPr="00B75B77" w:rsidRDefault="008B4879" w:rsidP="00502659">
            <w:pPr>
              <w:keepNext/>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DNV</w:t>
            </w:r>
            <w:r w:rsidR="00B31A11" w:rsidRPr="00B75B77">
              <w:rPr>
                <w:sz w:val="18"/>
                <w:szCs w:val="18"/>
              </w:rPr>
              <w:t xml:space="preserve"> </w:t>
            </w:r>
            <w:r w:rsidRPr="00B75B77">
              <w:rPr>
                <w:sz w:val="18"/>
                <w:szCs w:val="18"/>
              </w:rPr>
              <w:t>GL</w:t>
            </w:r>
          </w:p>
        </w:tc>
        <w:tc>
          <w:tcPr>
            <w:tcW w:w="867" w:type="pct"/>
            <w:tcBorders>
              <w:left w:val="single" w:sz="8" w:space="0" w:color="448A99"/>
              <w:right w:val="single" w:sz="8" w:space="0" w:color="448A99"/>
            </w:tcBorders>
            <w:shd w:val="clear" w:color="auto" w:fill="auto"/>
            <w:vAlign w:val="center"/>
          </w:tcPr>
          <w:p w:rsidR="008B4879" w:rsidRPr="00B75B77" w:rsidRDefault="008B4879" w:rsidP="00502659">
            <w:pPr>
              <w:keepNext/>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0.68</w:t>
            </w:r>
          </w:p>
        </w:tc>
        <w:tc>
          <w:tcPr>
            <w:tcW w:w="871" w:type="pct"/>
            <w:tcBorders>
              <w:left w:val="single" w:sz="8" w:space="0" w:color="448A99"/>
              <w:right w:val="single" w:sz="8" w:space="0" w:color="448A99"/>
            </w:tcBorders>
            <w:shd w:val="clear" w:color="auto" w:fill="auto"/>
            <w:vAlign w:val="center"/>
          </w:tcPr>
          <w:p w:rsidR="008B4879" w:rsidRPr="00B75B77" w:rsidRDefault="008B4879" w:rsidP="00502659">
            <w:pPr>
              <w:keepNext/>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0.75</w:t>
            </w:r>
          </w:p>
        </w:tc>
      </w:tr>
    </w:tbl>
    <w:p w:rsidR="008B4879" w:rsidRPr="00B75B77" w:rsidRDefault="008B4879" w:rsidP="00502659">
      <w:pPr>
        <w:pStyle w:val="Source"/>
        <w:keepNext/>
        <w:ind w:left="180" w:firstLine="0"/>
      </w:pPr>
      <w:r w:rsidRPr="00B75B77">
        <w:t>Source</w:t>
      </w:r>
      <w:r w:rsidR="000147F5" w:rsidRPr="00B75B77">
        <w:t>s</w:t>
      </w:r>
      <w:r w:rsidRPr="00B75B77">
        <w:t xml:space="preserve">: </w:t>
      </w:r>
      <w:r w:rsidR="000147F5" w:rsidRPr="00B75B77">
        <w:t xml:space="preserve">Navigant, Duquesne Light Residential Energy Efficiency Programs – PY6 Process Evaluation, November 16, 2015; Cadmus, </w:t>
      </w:r>
      <w:proofErr w:type="spellStart"/>
      <w:r w:rsidR="000147F5" w:rsidRPr="00B75B77">
        <w:t>EmPower</w:t>
      </w:r>
      <w:proofErr w:type="spellEnd"/>
      <w:r w:rsidR="000147F5" w:rsidRPr="00B75B77">
        <w:t xml:space="preserve"> Maryland Evaluation Year 6 Appliance Recycling Program, May 13, 2016; Illinois Energy Efficiency Stakeholder Advisory Group, Ameren_PY8_NTGR_Recommendations, May, 4, 2015; Illinois Energy Efficiency Stakeholder Advisory Group, </w:t>
      </w:r>
      <w:proofErr w:type="spellStart"/>
      <w:r w:rsidR="000147F5" w:rsidRPr="00B75B77">
        <w:t>ComEd_NTG_History_and</w:t>
      </w:r>
      <w:proofErr w:type="spellEnd"/>
      <w:r w:rsidR="000147F5" w:rsidRPr="00B75B77">
        <w:t xml:space="preserve"> PY8_Recommendations, Feb., 24, 2015; DNV</w:t>
      </w:r>
      <w:r w:rsidR="00B31A11" w:rsidRPr="00B75B77">
        <w:t xml:space="preserve"> </w:t>
      </w:r>
      <w:r w:rsidR="000147F5" w:rsidRPr="00B75B77">
        <w:t>GL, California Public Utility Commission Appliance Recycling Program Impact evaluation, October 24, 2014</w:t>
      </w:r>
    </w:p>
    <w:p w:rsidR="008B4879" w:rsidRPr="00B75B77" w:rsidRDefault="008B4879" w:rsidP="003E6A9B">
      <w:pPr>
        <w:pStyle w:val="Heading2"/>
      </w:pPr>
      <w:bookmarkStart w:id="415" w:name="_Ref423077752"/>
      <w:bookmarkStart w:id="416" w:name="_Toc466413314"/>
      <w:r w:rsidRPr="00B75B77">
        <w:t>Status of Recommendations for Program</w:t>
      </w:r>
      <w:bookmarkEnd w:id="415"/>
      <w:bookmarkEnd w:id="416"/>
    </w:p>
    <w:p w:rsidR="008B4879" w:rsidRPr="00B75B77" w:rsidRDefault="00B4241E" w:rsidP="00751A38">
      <w:r w:rsidRPr="00B75B77">
        <w:fldChar w:fldCharType="begin"/>
      </w:r>
      <w:r w:rsidRPr="00B75B77">
        <w:instrText xml:space="preserve"> REF _Ref462145068 \h </w:instrText>
      </w:r>
      <w:r w:rsidR="00B75B77">
        <w:instrText xml:space="preserve"> \* MERGEFORMAT </w:instrText>
      </w:r>
      <w:r w:rsidRPr="00B75B77">
        <w:fldChar w:fldCharType="separate"/>
      </w:r>
      <w:r w:rsidR="0004016D" w:rsidRPr="00B75B77">
        <w:t xml:space="preserve">Table </w:t>
      </w:r>
      <w:r w:rsidR="0004016D">
        <w:rPr>
          <w:noProof/>
        </w:rPr>
        <w:t>4</w:t>
      </w:r>
      <w:r w:rsidR="0004016D" w:rsidRPr="00B75B77">
        <w:rPr>
          <w:noProof/>
        </w:rPr>
        <w:noBreakHyphen/>
      </w:r>
      <w:r w:rsidR="0004016D">
        <w:rPr>
          <w:noProof/>
        </w:rPr>
        <w:t>11</w:t>
      </w:r>
      <w:r w:rsidRPr="00B75B77">
        <w:fldChar w:fldCharType="end"/>
      </w:r>
      <w:r w:rsidRPr="00B75B77">
        <w:t xml:space="preserve"> </w:t>
      </w:r>
      <w:r w:rsidR="008B4879" w:rsidRPr="00B75B77">
        <w:t xml:space="preserve">summarizes the recommendations stemming from </w:t>
      </w:r>
      <w:r w:rsidR="001F649F" w:rsidRPr="00B75B77">
        <w:t xml:space="preserve">Navigant’s </w:t>
      </w:r>
      <w:r w:rsidR="008B4879" w:rsidRPr="00B75B77">
        <w:t>evaluation findings.</w:t>
      </w:r>
    </w:p>
    <w:p w:rsidR="008B4879" w:rsidRPr="00B75B77" w:rsidRDefault="008B4879" w:rsidP="0004543D"/>
    <w:p w:rsidR="008B4879" w:rsidRPr="00B75B77" w:rsidRDefault="008B4879" w:rsidP="00D512F8">
      <w:pPr>
        <w:pStyle w:val="Caption"/>
      </w:pPr>
      <w:bookmarkStart w:id="417" w:name="_Ref462145068"/>
      <w:bookmarkStart w:id="418" w:name="_Toc466413540"/>
      <w:r w:rsidRPr="00B75B77">
        <w:t xml:space="preserve">Table </w:t>
      </w:r>
      <w:fldSimple w:instr=" STYLEREF 1 \s ">
        <w:r w:rsidR="0004016D">
          <w:rPr>
            <w:noProof/>
          </w:rPr>
          <w:t>4</w:t>
        </w:r>
      </w:fldSimple>
      <w:r w:rsidR="00F1144C" w:rsidRPr="00B75B77">
        <w:noBreakHyphen/>
      </w:r>
      <w:fldSimple w:instr=" SEQ Table \* ARABIC \s 1 ">
        <w:r w:rsidR="0004016D">
          <w:rPr>
            <w:noProof/>
          </w:rPr>
          <w:t>11</w:t>
        </w:r>
      </w:fldSimple>
      <w:bookmarkEnd w:id="417"/>
      <w:r w:rsidRPr="00B75B77">
        <w:t>: Smart Appliance Recycling Status Report on Process and Impact Recommendations</w:t>
      </w:r>
      <w:bookmarkEnd w:id="418"/>
      <w:r w:rsidRPr="00B75B77">
        <w:t xml:space="preserve"> </w:t>
      </w:r>
    </w:p>
    <w:tbl>
      <w:tblPr>
        <w:tblStyle w:val="MediumShading1-Accent5"/>
        <w:tblW w:w="936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4680"/>
        <w:gridCol w:w="4680"/>
      </w:tblGrid>
      <w:tr w:rsidR="008B4879" w:rsidRPr="00B75B77" w:rsidTr="00751A38">
        <w:trPr>
          <w:cnfStyle w:val="100000000000" w:firstRow="1" w:lastRow="0" w:firstColumn="0" w:lastColumn="0" w:oddVBand="0" w:evenVBand="0" w:oddHBand="0"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4680" w:type="dxa"/>
            <w:tcBorders>
              <w:top w:val="single" w:sz="6" w:space="0" w:color="auto"/>
              <w:left w:val="single" w:sz="6" w:space="0" w:color="auto"/>
              <w:bottom w:val="single" w:sz="6" w:space="0" w:color="auto"/>
              <w:right w:val="single" w:sz="6" w:space="0" w:color="auto"/>
            </w:tcBorders>
            <w:shd w:val="clear" w:color="auto" w:fill="448A99"/>
            <w:vAlign w:val="center"/>
            <w:hideMark/>
          </w:tcPr>
          <w:p w:rsidR="008B4879" w:rsidRPr="00B75B77" w:rsidRDefault="008B4879" w:rsidP="00D512F8">
            <w:pPr>
              <w:keepNext/>
              <w:jc w:val="left"/>
              <w:rPr>
                <w:rFonts w:ascii="Calibri" w:eastAsia="Times New Roman" w:hAnsi="Calibri"/>
                <w:bCs w:val="0"/>
                <w:sz w:val="18"/>
              </w:rPr>
            </w:pPr>
            <w:r w:rsidRPr="00B75B77">
              <w:rPr>
                <w:rFonts w:ascii="Calibri" w:eastAsia="Times New Roman" w:hAnsi="Calibri"/>
                <w:bCs w:val="0"/>
                <w:sz w:val="18"/>
              </w:rPr>
              <w:t>Recommendations</w:t>
            </w:r>
          </w:p>
        </w:tc>
        <w:tc>
          <w:tcPr>
            <w:tcW w:w="4680" w:type="dxa"/>
            <w:tcBorders>
              <w:top w:val="single" w:sz="6" w:space="0" w:color="auto"/>
              <w:left w:val="single" w:sz="6" w:space="0" w:color="auto"/>
              <w:bottom w:val="single" w:sz="6" w:space="0" w:color="auto"/>
              <w:right w:val="single" w:sz="6" w:space="0" w:color="auto"/>
            </w:tcBorders>
            <w:shd w:val="clear" w:color="auto" w:fill="448A99"/>
            <w:vAlign w:val="center"/>
            <w:hideMark/>
          </w:tcPr>
          <w:p w:rsidR="008B4879" w:rsidRPr="00B75B77" w:rsidRDefault="008B4879" w:rsidP="00D512F8">
            <w:pPr>
              <w:keepNext/>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rPr>
            </w:pPr>
            <w:r w:rsidRPr="00B75B77">
              <w:rPr>
                <w:rFonts w:ascii="Calibri" w:eastAsia="Times New Roman" w:hAnsi="Calibri"/>
                <w:bCs w:val="0"/>
                <w:sz w:val="18"/>
              </w:rPr>
              <w:t>EDC Status of Recommendation (Implemented, Being Considered, Rejected AND Explanation of Action Taken by EDC)</w:t>
            </w:r>
          </w:p>
        </w:tc>
      </w:tr>
      <w:tr w:rsidR="008B4879" w:rsidRPr="00B75B77" w:rsidTr="00460DC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tcBorders>
              <w:top w:val="single" w:sz="6" w:space="0" w:color="auto"/>
              <w:bottom w:val="single" w:sz="8" w:space="0" w:color="448A99"/>
              <w:right w:val="none" w:sz="0" w:space="0" w:color="auto"/>
            </w:tcBorders>
            <w:noWrap/>
            <w:vAlign w:val="center"/>
            <w:hideMark/>
          </w:tcPr>
          <w:p w:rsidR="001F649F" w:rsidRPr="00B75B77" w:rsidRDefault="008B4879" w:rsidP="00D512F8">
            <w:pPr>
              <w:keepNext/>
              <w:jc w:val="left"/>
              <w:rPr>
                <w:rFonts w:ascii="Calibri" w:eastAsia="Times New Roman" w:hAnsi="Calibri"/>
                <w:b w:val="0"/>
                <w:color w:val="000000"/>
                <w:sz w:val="18"/>
              </w:rPr>
            </w:pPr>
            <w:r w:rsidRPr="00B75B77">
              <w:rPr>
                <w:rFonts w:ascii="Calibri" w:eastAsia="Times New Roman" w:hAnsi="Calibri"/>
                <w:color w:val="000000"/>
                <w:sz w:val="18"/>
              </w:rPr>
              <w:t>Recommendation 1:</w:t>
            </w:r>
            <w:r w:rsidRPr="00B75B77">
              <w:rPr>
                <w:rFonts w:ascii="Calibri" w:eastAsia="Times New Roman" w:hAnsi="Calibri"/>
                <w:b w:val="0"/>
                <w:color w:val="000000"/>
                <w:sz w:val="18"/>
              </w:rPr>
              <w:t xml:space="preserve"> </w:t>
            </w:r>
          </w:p>
          <w:p w:rsidR="008B4879" w:rsidRPr="00B75B77" w:rsidRDefault="008B4879" w:rsidP="00153ECC">
            <w:pPr>
              <w:pStyle w:val="ListParagraph"/>
              <w:keepNext/>
              <w:numPr>
                <w:ilvl w:val="1"/>
                <w:numId w:val="31"/>
              </w:numPr>
              <w:ind w:left="424" w:hanging="270"/>
              <w:jc w:val="left"/>
              <w:rPr>
                <w:rFonts w:ascii="Calibri" w:eastAsia="Times New Roman" w:hAnsi="Calibri"/>
                <w:b w:val="0"/>
                <w:color w:val="000000"/>
                <w:sz w:val="18"/>
              </w:rPr>
            </w:pPr>
            <w:r w:rsidRPr="00B75B77">
              <w:rPr>
                <w:rFonts w:ascii="Calibri" w:eastAsia="Times New Roman" w:hAnsi="Calibri"/>
                <w:b w:val="0"/>
                <w:color w:val="000000"/>
                <w:sz w:val="18"/>
              </w:rPr>
              <w:t xml:space="preserve">PECO should monitor the financial health of their </w:t>
            </w:r>
            <w:r w:rsidR="001F649F" w:rsidRPr="00B75B77">
              <w:rPr>
                <w:rFonts w:ascii="Calibri" w:eastAsia="Times New Roman" w:hAnsi="Calibri"/>
                <w:b w:val="0"/>
                <w:color w:val="000000"/>
                <w:sz w:val="18"/>
              </w:rPr>
              <w:t>CSP</w:t>
            </w:r>
            <w:r w:rsidRPr="00B75B77">
              <w:rPr>
                <w:rFonts w:ascii="Calibri" w:eastAsia="Times New Roman" w:hAnsi="Calibri"/>
                <w:b w:val="0"/>
                <w:color w:val="000000"/>
                <w:sz w:val="18"/>
              </w:rPr>
              <w:t xml:space="preserve"> to avoid program interruptions in Phase III</w:t>
            </w:r>
            <w:r w:rsidR="001F649F" w:rsidRPr="00B75B77">
              <w:rPr>
                <w:rFonts w:ascii="Calibri" w:eastAsia="Times New Roman" w:hAnsi="Calibri"/>
                <w:b w:val="0"/>
                <w:color w:val="000000"/>
                <w:sz w:val="18"/>
              </w:rPr>
              <w:t>.</w:t>
            </w:r>
          </w:p>
          <w:p w:rsidR="001F649F" w:rsidRPr="00B75B77" w:rsidRDefault="001F649F" w:rsidP="00153ECC">
            <w:pPr>
              <w:pStyle w:val="ListParagraph"/>
              <w:keepNext/>
              <w:numPr>
                <w:ilvl w:val="1"/>
                <w:numId w:val="31"/>
              </w:numPr>
              <w:ind w:left="424" w:hanging="270"/>
              <w:jc w:val="left"/>
              <w:rPr>
                <w:rFonts w:ascii="Calibri" w:eastAsia="Times New Roman" w:hAnsi="Calibri"/>
                <w:color w:val="000000"/>
                <w:sz w:val="18"/>
              </w:rPr>
            </w:pPr>
            <w:r w:rsidRPr="00B75B77">
              <w:rPr>
                <w:rFonts w:ascii="Calibri" w:eastAsia="Times New Roman" w:hAnsi="Calibri"/>
                <w:b w:val="0"/>
                <w:color w:val="000000"/>
                <w:sz w:val="18"/>
              </w:rPr>
              <w:t>PECO should develop response plans for programs relying on a single CSP. These plans should define the protocol for data transfers between a departing CSP and PECO.</w:t>
            </w:r>
          </w:p>
        </w:tc>
        <w:tc>
          <w:tcPr>
            <w:tcW w:w="4680" w:type="dxa"/>
            <w:tcBorders>
              <w:top w:val="single" w:sz="6" w:space="0" w:color="auto"/>
              <w:left w:val="none" w:sz="0" w:space="0" w:color="auto"/>
              <w:bottom w:val="single" w:sz="8" w:space="0" w:color="448A99"/>
            </w:tcBorders>
            <w:noWrap/>
            <w:hideMark/>
          </w:tcPr>
          <w:p w:rsidR="00460DCF" w:rsidRPr="00B75B77" w:rsidRDefault="00460DCF" w:rsidP="0055143E">
            <w:pPr>
              <w:pStyle w:val="ListParagraph"/>
              <w:keepNext/>
              <w:numPr>
                <w:ilvl w:val="0"/>
                <w:numId w:val="120"/>
              </w:num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rPr>
            </w:pPr>
            <w:r w:rsidRPr="00B75B77">
              <w:rPr>
                <w:rFonts w:ascii="Calibri" w:eastAsia="Times New Roman" w:hAnsi="Calibri"/>
                <w:b/>
                <w:color w:val="000000"/>
                <w:sz w:val="18"/>
              </w:rPr>
              <w:t>Implemented:</w:t>
            </w:r>
            <w:r w:rsidRPr="00B75B77">
              <w:rPr>
                <w:rFonts w:ascii="Calibri" w:eastAsia="Times New Roman" w:hAnsi="Calibri"/>
                <w:color w:val="000000"/>
                <w:sz w:val="18"/>
              </w:rPr>
              <w:t xml:space="preserve"> PECO is monitoring the financial health of the CSP to avoid program interruptions in Phase III.</w:t>
            </w:r>
          </w:p>
          <w:p w:rsidR="008B4879" w:rsidRPr="00B75B77" w:rsidRDefault="00460DCF" w:rsidP="0055143E">
            <w:pPr>
              <w:pStyle w:val="ListParagraph"/>
              <w:keepNext/>
              <w:numPr>
                <w:ilvl w:val="0"/>
                <w:numId w:val="120"/>
              </w:num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18"/>
              </w:rPr>
            </w:pPr>
            <w:r w:rsidRPr="00B75B77">
              <w:rPr>
                <w:rFonts w:ascii="Calibri" w:eastAsia="Times New Roman" w:hAnsi="Calibri"/>
                <w:b/>
                <w:color w:val="000000"/>
                <w:sz w:val="18"/>
              </w:rPr>
              <w:t>Being Considered</w:t>
            </w:r>
          </w:p>
        </w:tc>
      </w:tr>
      <w:tr w:rsidR="008B4879" w:rsidRPr="00B75B77" w:rsidTr="0055143E">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tcBorders>
              <w:right w:val="none" w:sz="0" w:space="0" w:color="auto"/>
            </w:tcBorders>
            <w:noWrap/>
            <w:vAlign w:val="center"/>
            <w:hideMark/>
          </w:tcPr>
          <w:p w:rsidR="008B4879" w:rsidRPr="00B75B77" w:rsidRDefault="008B4879" w:rsidP="00D512F8">
            <w:pPr>
              <w:keepNext/>
              <w:jc w:val="left"/>
              <w:rPr>
                <w:rFonts w:ascii="Calibri" w:eastAsia="Times New Roman" w:hAnsi="Calibri"/>
                <w:color w:val="000000"/>
                <w:sz w:val="18"/>
              </w:rPr>
            </w:pPr>
            <w:r w:rsidRPr="00B75B77">
              <w:rPr>
                <w:rFonts w:ascii="Calibri" w:eastAsia="Times New Roman" w:hAnsi="Calibri"/>
                <w:color w:val="000000"/>
                <w:sz w:val="18"/>
              </w:rPr>
              <w:t xml:space="preserve">Recommendation </w:t>
            </w:r>
            <w:r w:rsidR="00DC611B" w:rsidRPr="00B75B77">
              <w:rPr>
                <w:rFonts w:ascii="Calibri" w:eastAsia="Times New Roman" w:hAnsi="Calibri"/>
                <w:color w:val="000000"/>
                <w:sz w:val="18"/>
              </w:rPr>
              <w:t>2</w:t>
            </w:r>
            <w:r w:rsidRPr="00B75B77">
              <w:rPr>
                <w:rFonts w:ascii="Calibri" w:eastAsia="Times New Roman" w:hAnsi="Calibri"/>
                <w:color w:val="000000"/>
                <w:sz w:val="18"/>
              </w:rPr>
              <w:t xml:space="preserve">: </w:t>
            </w:r>
            <w:r w:rsidRPr="00B75B77">
              <w:rPr>
                <w:rFonts w:ascii="Calibri" w:eastAsia="Times New Roman" w:hAnsi="Calibri"/>
                <w:b w:val="0"/>
                <w:color w:val="000000"/>
                <w:sz w:val="18"/>
              </w:rPr>
              <w:t xml:space="preserve">PECO’s response to JACO’s closure can inform the response plans of other programs reliant on a turnkey </w:t>
            </w:r>
            <w:r w:rsidR="001F649F" w:rsidRPr="00B75B77">
              <w:rPr>
                <w:rFonts w:ascii="Calibri" w:eastAsia="Times New Roman" w:hAnsi="Calibri"/>
                <w:b w:val="0"/>
                <w:color w:val="000000"/>
                <w:sz w:val="18"/>
              </w:rPr>
              <w:t>CSP.</w:t>
            </w:r>
          </w:p>
        </w:tc>
        <w:tc>
          <w:tcPr>
            <w:tcW w:w="4680" w:type="dxa"/>
            <w:tcBorders>
              <w:left w:val="none" w:sz="0" w:space="0" w:color="auto"/>
            </w:tcBorders>
            <w:noWrap/>
            <w:hideMark/>
          </w:tcPr>
          <w:p w:rsidR="008B4879" w:rsidRPr="00B75B77" w:rsidRDefault="008B4879" w:rsidP="00D512F8">
            <w:pPr>
              <w:keepNext/>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rPr>
            </w:pPr>
            <w:r w:rsidRPr="00B75B77">
              <w:rPr>
                <w:rFonts w:ascii="Calibri" w:eastAsia="Times New Roman" w:hAnsi="Calibri"/>
                <w:color w:val="000000"/>
                <w:sz w:val="18"/>
              </w:rPr>
              <w:t> </w:t>
            </w:r>
            <w:r w:rsidR="0055143E" w:rsidRPr="00B75B77">
              <w:rPr>
                <w:rFonts w:ascii="Calibri" w:eastAsia="Times New Roman" w:hAnsi="Calibri"/>
                <w:b/>
                <w:color w:val="000000"/>
                <w:sz w:val="18"/>
              </w:rPr>
              <w:t>Being Considered</w:t>
            </w:r>
          </w:p>
        </w:tc>
      </w:tr>
      <w:tr w:rsidR="008B4879" w:rsidRPr="00B75B77" w:rsidTr="005514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tcBorders>
              <w:right w:val="none" w:sz="0" w:space="0" w:color="auto"/>
            </w:tcBorders>
            <w:noWrap/>
            <w:vAlign w:val="center"/>
            <w:hideMark/>
          </w:tcPr>
          <w:p w:rsidR="008B4879" w:rsidRPr="00B75B77" w:rsidRDefault="008B4879" w:rsidP="00D512F8">
            <w:pPr>
              <w:keepNext/>
              <w:jc w:val="left"/>
              <w:rPr>
                <w:rFonts w:ascii="Calibri" w:eastAsia="Times New Roman" w:hAnsi="Calibri"/>
                <w:color w:val="000000"/>
                <w:sz w:val="18"/>
              </w:rPr>
            </w:pPr>
            <w:r w:rsidRPr="00B75B77">
              <w:rPr>
                <w:rFonts w:ascii="Calibri" w:eastAsia="Times New Roman" w:hAnsi="Calibri"/>
                <w:color w:val="000000"/>
                <w:sz w:val="18"/>
              </w:rPr>
              <w:t xml:space="preserve">Recommendation </w:t>
            </w:r>
            <w:r w:rsidR="00DC611B" w:rsidRPr="00B75B77">
              <w:rPr>
                <w:rFonts w:ascii="Calibri" w:eastAsia="Times New Roman" w:hAnsi="Calibri"/>
                <w:color w:val="000000"/>
                <w:sz w:val="18"/>
              </w:rPr>
              <w:t>3</w:t>
            </w:r>
            <w:r w:rsidRPr="00B75B77">
              <w:rPr>
                <w:rFonts w:ascii="Calibri" w:eastAsia="Times New Roman" w:hAnsi="Calibri"/>
                <w:color w:val="000000"/>
                <w:sz w:val="18"/>
              </w:rPr>
              <w:t>:</w:t>
            </w:r>
            <w:r w:rsidRPr="00B75B77">
              <w:rPr>
                <w:rFonts w:ascii="Calibri" w:eastAsia="Times New Roman" w:hAnsi="Calibri"/>
                <w:b w:val="0"/>
                <w:color w:val="000000"/>
                <w:sz w:val="18"/>
              </w:rPr>
              <w:t xml:space="preserve"> PECO should engage in statewide discussions to develop a more robust method for estimating net savings</w:t>
            </w:r>
            <w:r w:rsidR="00105A12" w:rsidRPr="00B75B77">
              <w:rPr>
                <w:rFonts w:ascii="Calibri" w:eastAsia="Times New Roman" w:hAnsi="Calibri"/>
                <w:b w:val="0"/>
                <w:color w:val="000000"/>
                <w:sz w:val="18"/>
              </w:rPr>
              <w:t>.</w:t>
            </w:r>
          </w:p>
        </w:tc>
        <w:tc>
          <w:tcPr>
            <w:tcW w:w="4680" w:type="dxa"/>
            <w:tcBorders>
              <w:left w:val="none" w:sz="0" w:space="0" w:color="auto"/>
            </w:tcBorders>
            <w:noWrap/>
            <w:hideMark/>
          </w:tcPr>
          <w:p w:rsidR="008B4879" w:rsidRPr="00B75B77" w:rsidRDefault="008B4879" w:rsidP="00D512F8">
            <w:pPr>
              <w:keepNext/>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rPr>
            </w:pPr>
            <w:r w:rsidRPr="00B75B77">
              <w:rPr>
                <w:rFonts w:ascii="Calibri" w:eastAsia="Times New Roman" w:hAnsi="Calibri"/>
                <w:color w:val="000000"/>
                <w:sz w:val="18"/>
              </w:rPr>
              <w:t> </w:t>
            </w:r>
            <w:r w:rsidR="0055143E" w:rsidRPr="00B75B77">
              <w:rPr>
                <w:rFonts w:ascii="Calibri" w:eastAsia="Times New Roman" w:hAnsi="Calibri"/>
                <w:b/>
                <w:color w:val="000000"/>
                <w:sz w:val="18"/>
              </w:rPr>
              <w:t>Being Considered</w:t>
            </w:r>
          </w:p>
        </w:tc>
      </w:tr>
    </w:tbl>
    <w:p w:rsidR="008B4879" w:rsidRPr="00B75B77" w:rsidRDefault="008B4879" w:rsidP="00D512F8">
      <w:pPr>
        <w:pStyle w:val="Source"/>
        <w:keepNext/>
        <w:ind w:left="90" w:firstLine="0"/>
      </w:pPr>
      <w:bookmarkStart w:id="419" w:name="_Toc390682415"/>
      <w:bookmarkStart w:id="420" w:name="_Toc389747553"/>
      <w:bookmarkStart w:id="421" w:name="_Toc390947290"/>
      <w:bookmarkStart w:id="422" w:name="_Toc390175499"/>
      <w:bookmarkStart w:id="423" w:name="_Toc390943362"/>
      <w:r w:rsidRPr="00B75B77">
        <w:t>Source: Navigant analysis</w:t>
      </w:r>
    </w:p>
    <w:p w:rsidR="008B4879" w:rsidRPr="00B75B77" w:rsidRDefault="008B4879" w:rsidP="00D12857">
      <w:pPr>
        <w:pStyle w:val="Heading2"/>
      </w:pPr>
      <w:bookmarkStart w:id="424" w:name="_Toc466413315"/>
      <w:r w:rsidRPr="00B75B77">
        <w:t>Financial Reporting</w:t>
      </w:r>
      <w:bookmarkEnd w:id="406"/>
      <w:bookmarkEnd w:id="419"/>
      <w:bookmarkEnd w:id="420"/>
      <w:bookmarkEnd w:id="421"/>
      <w:bookmarkEnd w:id="422"/>
      <w:bookmarkEnd w:id="423"/>
      <w:bookmarkEnd w:id="424"/>
    </w:p>
    <w:p w:rsidR="008B4879" w:rsidRPr="00B75B77" w:rsidRDefault="008B4879" w:rsidP="00751A38">
      <w:r w:rsidRPr="00B75B77">
        <w:t>SAR spending was 18</w:t>
      </w:r>
      <w:r w:rsidR="0009500C" w:rsidRPr="00B75B77">
        <w:t>%</w:t>
      </w:r>
      <w:r w:rsidRPr="00B75B77">
        <w:t xml:space="preserve"> under budget for</w:t>
      </w:r>
      <w:r w:rsidR="00A93D30" w:rsidRPr="00B75B77">
        <w:t xml:space="preserve"> Phase II</w:t>
      </w:r>
      <w:r w:rsidR="00105A12" w:rsidRPr="00B75B77">
        <w:t xml:space="preserve"> due to the program interruption caused by JACO’s closure</w:t>
      </w:r>
      <w:r w:rsidRPr="00B75B77">
        <w:t xml:space="preserve">. </w:t>
      </w:r>
      <w:r w:rsidR="00B4241E" w:rsidRPr="00B75B77">
        <w:fldChar w:fldCharType="begin"/>
      </w:r>
      <w:r w:rsidR="00B4241E" w:rsidRPr="00B75B77">
        <w:instrText xml:space="preserve"> REF _Ref423076615 \h </w:instrText>
      </w:r>
      <w:r w:rsidR="00B75B77">
        <w:instrText xml:space="preserve"> \* MERGEFORMAT </w:instrText>
      </w:r>
      <w:r w:rsidR="00B4241E" w:rsidRPr="00B75B77">
        <w:fldChar w:fldCharType="separate"/>
      </w:r>
      <w:r w:rsidR="0004016D" w:rsidRPr="00B75B77">
        <w:t xml:space="preserve">Table </w:t>
      </w:r>
      <w:r w:rsidR="0004016D">
        <w:rPr>
          <w:noProof/>
        </w:rPr>
        <w:t>4</w:t>
      </w:r>
      <w:r w:rsidR="0004016D" w:rsidRPr="00B75B77">
        <w:rPr>
          <w:noProof/>
        </w:rPr>
        <w:noBreakHyphen/>
      </w:r>
      <w:r w:rsidR="0004016D">
        <w:rPr>
          <w:noProof/>
        </w:rPr>
        <w:t>12</w:t>
      </w:r>
      <w:r w:rsidR="00B4241E" w:rsidRPr="00B75B77">
        <w:fldChar w:fldCharType="end"/>
      </w:r>
      <w:r w:rsidR="00B4241E" w:rsidRPr="00B75B77">
        <w:t xml:space="preserve"> </w:t>
      </w:r>
      <w:r w:rsidRPr="00B75B77">
        <w:t>breaks this spending into 11 cost categories. Rows 12-16 present the results of Navigant</w:t>
      </w:r>
      <w:r w:rsidR="00105A12" w:rsidRPr="00B75B77">
        <w:t>’s</w:t>
      </w:r>
      <w:r w:rsidRPr="00B75B77">
        <w:t xml:space="preserve"> TRC analysis </w:t>
      </w:r>
      <w:r w:rsidR="00105A12" w:rsidRPr="00B75B77">
        <w:t xml:space="preserve">and </w:t>
      </w:r>
      <w:r w:rsidRPr="00B75B77">
        <w:t xml:space="preserve">show </w:t>
      </w:r>
      <w:r w:rsidR="00105A12" w:rsidRPr="00B75B77">
        <w:t xml:space="preserve">that </w:t>
      </w:r>
      <w:r w:rsidRPr="00B75B77">
        <w:t>PY7 had 4.7</w:t>
      </w:r>
      <w:r w:rsidR="009D186E" w:rsidRPr="00B75B77">
        <w:t>8</w:t>
      </w:r>
      <w:r w:rsidRPr="00B75B77">
        <w:t xml:space="preserve"> more benefits than costs</w:t>
      </w:r>
      <w:r w:rsidR="00105A12" w:rsidRPr="00B75B77">
        <w:t>; Phase II overall had 4.2</w:t>
      </w:r>
      <w:r w:rsidR="009D186E" w:rsidRPr="00B75B77">
        <w:t>6</w:t>
      </w:r>
      <w:r w:rsidR="00105A12" w:rsidRPr="00B75B77">
        <w:t xml:space="preserve"> times more benefits than costs</w:t>
      </w:r>
      <w:r w:rsidRPr="00B75B77">
        <w:t xml:space="preserve">. For comparison, the PY5 TRC was 4.75 and PY6 was 3.59. The cost-effectiveness of the program may decrease in Phase III due to a cost-of-service arrangement with </w:t>
      </w:r>
      <w:r w:rsidR="00105A12" w:rsidRPr="00B75B77">
        <w:t>ARCA</w:t>
      </w:r>
      <w:r w:rsidR="00B4241E" w:rsidRPr="00B75B77">
        <w:t>,</w:t>
      </w:r>
      <w:r w:rsidRPr="00B75B77">
        <w:t xml:space="preserve"> which is more expensive per</w:t>
      </w:r>
      <w:r w:rsidR="00B4241E" w:rsidRPr="00B75B77">
        <w:t xml:space="preserve"> </w:t>
      </w:r>
      <w:r w:rsidRPr="00B75B77">
        <w:t>unit.</w:t>
      </w:r>
    </w:p>
    <w:p w:rsidR="008B4879" w:rsidRPr="00B75B77" w:rsidRDefault="008B4879" w:rsidP="00B4241E">
      <w:pPr>
        <w:pStyle w:val="Caption"/>
      </w:pPr>
      <w:bookmarkStart w:id="425" w:name="_Ref423076615"/>
      <w:bookmarkStart w:id="426" w:name="_Toc466413541"/>
      <w:r w:rsidRPr="00B75B77">
        <w:lastRenderedPageBreak/>
        <w:t xml:space="preserve">Table </w:t>
      </w:r>
      <w:fldSimple w:instr=" STYLEREF 1 \s ">
        <w:r w:rsidR="0004016D">
          <w:rPr>
            <w:noProof/>
          </w:rPr>
          <w:t>4</w:t>
        </w:r>
      </w:fldSimple>
      <w:r w:rsidR="00F1144C" w:rsidRPr="00B75B77">
        <w:noBreakHyphen/>
      </w:r>
      <w:fldSimple w:instr=" SEQ Table \* ARABIC \s 1 ">
        <w:r w:rsidR="0004016D">
          <w:rPr>
            <w:noProof/>
          </w:rPr>
          <w:t>12</w:t>
        </w:r>
      </w:fldSimple>
      <w:bookmarkEnd w:id="425"/>
      <w:r w:rsidRPr="00B75B77">
        <w:t>: Summary of Smart Appliance Recycling Program Finances</w:t>
      </w:r>
      <w:bookmarkEnd w:id="426"/>
    </w:p>
    <w:tbl>
      <w:tblPr>
        <w:tblW w:w="9355" w:type="dxa"/>
        <w:tblLook w:val="04A0" w:firstRow="1" w:lastRow="0" w:firstColumn="1" w:lastColumn="0" w:noHBand="0" w:noVBand="1"/>
      </w:tblPr>
      <w:tblGrid>
        <w:gridCol w:w="1075"/>
        <w:gridCol w:w="5850"/>
        <w:gridCol w:w="1080"/>
        <w:gridCol w:w="1350"/>
      </w:tblGrid>
      <w:tr w:rsidR="008B4879" w:rsidRPr="00B75B77" w:rsidTr="00751A38">
        <w:trPr>
          <w:trHeight w:val="480"/>
        </w:trPr>
        <w:tc>
          <w:tcPr>
            <w:tcW w:w="1075" w:type="dxa"/>
            <w:vMerge w:val="restart"/>
            <w:tcBorders>
              <w:top w:val="single" w:sz="4" w:space="0" w:color="auto"/>
              <w:left w:val="single" w:sz="4" w:space="0" w:color="auto"/>
              <w:bottom w:val="single" w:sz="4" w:space="0" w:color="auto"/>
              <w:right w:val="single" w:sz="4" w:space="0" w:color="auto"/>
            </w:tcBorders>
            <w:shd w:val="clear" w:color="000000" w:fill="448A99"/>
            <w:noWrap/>
            <w:vAlign w:val="center"/>
            <w:hideMark/>
          </w:tcPr>
          <w:p w:rsidR="008B4879" w:rsidRPr="00B75B77" w:rsidRDefault="008B4879" w:rsidP="00B4241E">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Row #</w:t>
            </w:r>
          </w:p>
        </w:tc>
        <w:tc>
          <w:tcPr>
            <w:tcW w:w="5850" w:type="dxa"/>
            <w:vMerge w:val="restart"/>
            <w:tcBorders>
              <w:top w:val="single" w:sz="4" w:space="0" w:color="auto"/>
              <w:left w:val="single" w:sz="4" w:space="0" w:color="auto"/>
              <w:bottom w:val="single" w:sz="4" w:space="0" w:color="auto"/>
              <w:right w:val="single" w:sz="4" w:space="0" w:color="auto"/>
            </w:tcBorders>
            <w:shd w:val="clear" w:color="000000" w:fill="448A99"/>
            <w:noWrap/>
            <w:vAlign w:val="center"/>
            <w:hideMark/>
          </w:tcPr>
          <w:p w:rsidR="008B4879" w:rsidRPr="00B75B77" w:rsidRDefault="008B4879" w:rsidP="00B4241E">
            <w:pPr>
              <w:keepNext/>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Cost Category </w:t>
            </w:r>
          </w:p>
        </w:tc>
        <w:tc>
          <w:tcPr>
            <w:tcW w:w="1080" w:type="dxa"/>
            <w:tcBorders>
              <w:top w:val="single" w:sz="4" w:space="0" w:color="auto"/>
              <w:left w:val="nil"/>
              <w:bottom w:val="single" w:sz="4" w:space="0" w:color="auto"/>
              <w:right w:val="single" w:sz="4" w:space="0" w:color="auto"/>
            </w:tcBorders>
            <w:shd w:val="clear" w:color="000000" w:fill="448A99"/>
            <w:vAlign w:val="center"/>
            <w:hideMark/>
          </w:tcPr>
          <w:p w:rsidR="008B4879" w:rsidRPr="00B75B77" w:rsidRDefault="008B4879" w:rsidP="00105A12">
            <w:pPr>
              <w:keepNext/>
              <w:jc w:val="right"/>
              <w:rPr>
                <w:rFonts w:ascii="Calibri" w:eastAsia="Times New Roman" w:hAnsi="Calibri"/>
                <w:b/>
                <w:bCs/>
                <w:color w:val="FFFFFF"/>
                <w:sz w:val="18"/>
                <w:szCs w:val="18"/>
              </w:rPr>
            </w:pPr>
            <w:r w:rsidRPr="00B75B77">
              <w:rPr>
                <w:rFonts w:ascii="Calibri" w:eastAsia="Times New Roman" w:hAnsi="Calibri"/>
                <w:b/>
                <w:bCs/>
                <w:color w:val="FFFFFF"/>
                <w:sz w:val="18"/>
                <w:szCs w:val="18"/>
              </w:rPr>
              <w:t>Actual PY7 Costs</w:t>
            </w:r>
          </w:p>
        </w:tc>
        <w:tc>
          <w:tcPr>
            <w:tcW w:w="1350" w:type="dxa"/>
            <w:tcBorders>
              <w:top w:val="single" w:sz="4" w:space="0" w:color="auto"/>
              <w:left w:val="nil"/>
              <w:bottom w:val="single" w:sz="4" w:space="0" w:color="auto"/>
              <w:right w:val="single" w:sz="4" w:space="0" w:color="auto"/>
            </w:tcBorders>
            <w:shd w:val="clear" w:color="000000" w:fill="448A99"/>
            <w:vAlign w:val="center"/>
            <w:hideMark/>
          </w:tcPr>
          <w:p w:rsidR="008B4879" w:rsidRPr="00B75B77" w:rsidRDefault="008B4879" w:rsidP="00105A12">
            <w:pPr>
              <w:keepNext/>
              <w:jc w:val="right"/>
              <w:rPr>
                <w:rFonts w:ascii="Calibri" w:eastAsia="Times New Roman" w:hAnsi="Calibri"/>
                <w:b/>
                <w:bCs/>
                <w:color w:val="FFFFFF"/>
                <w:sz w:val="18"/>
                <w:szCs w:val="18"/>
              </w:rPr>
            </w:pPr>
            <w:r w:rsidRPr="00B75B77">
              <w:rPr>
                <w:rFonts w:ascii="Calibri" w:eastAsia="Times New Roman" w:hAnsi="Calibri"/>
                <w:b/>
                <w:bCs/>
                <w:color w:val="FFFFFF"/>
                <w:sz w:val="18"/>
                <w:szCs w:val="18"/>
              </w:rPr>
              <w:t>Actual Phase II Costs</w:t>
            </w:r>
          </w:p>
        </w:tc>
      </w:tr>
      <w:tr w:rsidR="008B4879" w:rsidRPr="00B75B77" w:rsidTr="00105A12">
        <w:trPr>
          <w:trHeight w:val="288"/>
        </w:trPr>
        <w:tc>
          <w:tcPr>
            <w:tcW w:w="1075" w:type="dxa"/>
            <w:vMerge/>
            <w:tcBorders>
              <w:top w:val="single" w:sz="4" w:space="0" w:color="auto"/>
              <w:left w:val="single" w:sz="4" w:space="0" w:color="auto"/>
              <w:bottom w:val="single" w:sz="4" w:space="0" w:color="auto"/>
              <w:right w:val="single" w:sz="4" w:space="0" w:color="auto"/>
            </w:tcBorders>
            <w:vAlign w:val="center"/>
            <w:hideMark/>
          </w:tcPr>
          <w:p w:rsidR="008B4879" w:rsidRPr="00B75B77" w:rsidRDefault="008B4879" w:rsidP="00B4241E">
            <w:pPr>
              <w:keepNext/>
              <w:jc w:val="left"/>
              <w:rPr>
                <w:rFonts w:ascii="Calibri" w:eastAsia="Times New Roman" w:hAnsi="Calibri"/>
                <w:b/>
                <w:bCs/>
                <w:color w:val="FFFFFF"/>
                <w:sz w:val="18"/>
                <w:szCs w:val="18"/>
              </w:rPr>
            </w:pPr>
          </w:p>
        </w:tc>
        <w:tc>
          <w:tcPr>
            <w:tcW w:w="5850" w:type="dxa"/>
            <w:vMerge/>
            <w:tcBorders>
              <w:top w:val="single" w:sz="4" w:space="0" w:color="auto"/>
              <w:left w:val="single" w:sz="4" w:space="0" w:color="auto"/>
              <w:bottom w:val="single" w:sz="4" w:space="0" w:color="auto"/>
              <w:right w:val="single" w:sz="4" w:space="0" w:color="auto"/>
            </w:tcBorders>
            <w:vAlign w:val="center"/>
            <w:hideMark/>
          </w:tcPr>
          <w:p w:rsidR="008B4879" w:rsidRPr="00B75B77" w:rsidRDefault="008B4879" w:rsidP="00B4241E">
            <w:pPr>
              <w:keepNext/>
              <w:jc w:val="left"/>
              <w:rPr>
                <w:rFonts w:ascii="Calibri" w:eastAsia="Times New Roman" w:hAnsi="Calibri"/>
                <w:b/>
                <w:bCs/>
                <w:color w:val="FFFFFF"/>
                <w:sz w:val="18"/>
                <w:szCs w:val="18"/>
              </w:rPr>
            </w:pPr>
          </w:p>
        </w:tc>
        <w:tc>
          <w:tcPr>
            <w:tcW w:w="1080" w:type="dxa"/>
            <w:tcBorders>
              <w:top w:val="nil"/>
              <w:left w:val="nil"/>
              <w:bottom w:val="single" w:sz="4" w:space="0" w:color="auto"/>
              <w:right w:val="single" w:sz="4" w:space="0" w:color="auto"/>
            </w:tcBorders>
            <w:shd w:val="clear" w:color="auto" w:fill="448A99"/>
            <w:vAlign w:val="center"/>
            <w:hideMark/>
          </w:tcPr>
          <w:p w:rsidR="008B4879" w:rsidRPr="00B75B77" w:rsidRDefault="008B4879" w:rsidP="00105A12">
            <w:pPr>
              <w:keepNext/>
              <w:jc w:val="right"/>
              <w:rPr>
                <w:rFonts w:ascii="Calibri" w:eastAsia="Times New Roman" w:hAnsi="Calibri"/>
                <w:b/>
                <w:bCs/>
                <w:color w:val="FFFFFF" w:themeColor="background1"/>
                <w:sz w:val="18"/>
                <w:szCs w:val="18"/>
              </w:rPr>
            </w:pPr>
            <w:r w:rsidRPr="00B75B77">
              <w:rPr>
                <w:rFonts w:ascii="Calibri" w:eastAsia="Times New Roman" w:hAnsi="Calibri"/>
                <w:b/>
                <w:bCs/>
                <w:color w:val="FFFFFF" w:themeColor="background1"/>
                <w:sz w:val="18"/>
                <w:szCs w:val="18"/>
              </w:rPr>
              <w:t>($1,000)</w:t>
            </w:r>
          </w:p>
        </w:tc>
        <w:tc>
          <w:tcPr>
            <w:tcW w:w="1350" w:type="dxa"/>
            <w:tcBorders>
              <w:top w:val="nil"/>
              <w:left w:val="nil"/>
              <w:bottom w:val="single" w:sz="4" w:space="0" w:color="auto"/>
              <w:right w:val="single" w:sz="4" w:space="0" w:color="auto"/>
            </w:tcBorders>
            <w:shd w:val="clear" w:color="auto" w:fill="448A99"/>
            <w:vAlign w:val="center"/>
            <w:hideMark/>
          </w:tcPr>
          <w:p w:rsidR="008B4879" w:rsidRPr="00B75B77" w:rsidRDefault="008B4879" w:rsidP="00105A12">
            <w:pPr>
              <w:keepNext/>
              <w:jc w:val="right"/>
              <w:rPr>
                <w:rFonts w:ascii="Calibri" w:eastAsia="Times New Roman" w:hAnsi="Calibri"/>
                <w:b/>
                <w:bCs/>
                <w:color w:val="FFFFFF" w:themeColor="background1"/>
                <w:sz w:val="18"/>
                <w:szCs w:val="18"/>
              </w:rPr>
            </w:pPr>
            <w:r w:rsidRPr="00B75B77">
              <w:rPr>
                <w:rFonts w:ascii="Calibri" w:eastAsia="Times New Roman" w:hAnsi="Calibri"/>
                <w:b/>
                <w:bCs/>
                <w:color w:val="FFFFFF" w:themeColor="background1"/>
                <w:sz w:val="18"/>
                <w:szCs w:val="18"/>
              </w:rPr>
              <w:t>($1,000)</w:t>
            </w:r>
          </w:p>
        </w:tc>
      </w:tr>
      <w:tr w:rsidR="008B4879" w:rsidRPr="00B75B77" w:rsidTr="00751A38">
        <w:trPr>
          <w:trHeight w:val="288"/>
        </w:trPr>
        <w:tc>
          <w:tcPr>
            <w:tcW w:w="1075" w:type="dxa"/>
            <w:tcBorders>
              <w:top w:val="nil"/>
              <w:left w:val="single" w:sz="4" w:space="0" w:color="448A99"/>
              <w:bottom w:val="single" w:sz="4" w:space="0" w:color="448A99"/>
              <w:right w:val="single" w:sz="4" w:space="0" w:color="448A99"/>
            </w:tcBorders>
            <w:shd w:val="clear" w:color="auto" w:fill="auto"/>
            <w:noWrap/>
            <w:vAlign w:val="center"/>
            <w:hideMark/>
          </w:tcPr>
          <w:p w:rsidR="008B4879" w:rsidRPr="00B75B77" w:rsidRDefault="008B4879" w:rsidP="00B4241E">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w:t>
            </w:r>
          </w:p>
        </w:tc>
        <w:tc>
          <w:tcPr>
            <w:tcW w:w="5850" w:type="dxa"/>
            <w:tcBorders>
              <w:top w:val="nil"/>
              <w:left w:val="nil"/>
              <w:bottom w:val="single" w:sz="4" w:space="0" w:color="448A99"/>
              <w:right w:val="single" w:sz="4" w:space="0" w:color="448A99"/>
            </w:tcBorders>
            <w:shd w:val="clear" w:color="auto" w:fill="auto"/>
            <w:noWrap/>
            <w:vAlign w:val="center"/>
            <w:hideMark/>
          </w:tcPr>
          <w:p w:rsidR="008B4879" w:rsidRPr="00B75B77" w:rsidRDefault="008B4879" w:rsidP="00B4241E">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Incremental Measure Costs  </w:t>
            </w:r>
          </w:p>
        </w:tc>
        <w:tc>
          <w:tcPr>
            <w:tcW w:w="1080" w:type="dxa"/>
            <w:tcBorders>
              <w:top w:val="nil"/>
              <w:left w:val="nil"/>
              <w:bottom w:val="single" w:sz="4" w:space="0" w:color="448A99"/>
              <w:right w:val="single" w:sz="4" w:space="0" w:color="448A99"/>
            </w:tcBorders>
            <w:shd w:val="clear" w:color="auto" w:fill="auto"/>
            <w:noWrap/>
            <w:vAlign w:val="center"/>
            <w:hideMark/>
          </w:tcPr>
          <w:p w:rsidR="008B4879" w:rsidRPr="00B75B77" w:rsidRDefault="008B4879" w:rsidP="00B4241E">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50" w:type="dxa"/>
            <w:tcBorders>
              <w:top w:val="nil"/>
              <w:left w:val="nil"/>
              <w:bottom w:val="single" w:sz="4" w:space="0" w:color="448A99"/>
              <w:right w:val="single" w:sz="4" w:space="0" w:color="448A99"/>
            </w:tcBorders>
            <w:shd w:val="clear" w:color="auto" w:fill="auto"/>
            <w:noWrap/>
            <w:vAlign w:val="center"/>
            <w:hideMark/>
          </w:tcPr>
          <w:p w:rsidR="008B4879" w:rsidRPr="00B75B77" w:rsidRDefault="008B4879" w:rsidP="00B4241E">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8B4879" w:rsidRPr="00B75B77" w:rsidTr="00751A38">
        <w:trPr>
          <w:trHeight w:val="288"/>
        </w:trPr>
        <w:tc>
          <w:tcPr>
            <w:tcW w:w="1075" w:type="dxa"/>
            <w:tcBorders>
              <w:top w:val="nil"/>
              <w:left w:val="single" w:sz="4" w:space="0" w:color="448A99"/>
              <w:bottom w:val="single" w:sz="4" w:space="0" w:color="448A99"/>
              <w:right w:val="single" w:sz="4" w:space="0" w:color="448A99"/>
            </w:tcBorders>
            <w:shd w:val="clear" w:color="000000" w:fill="D2EAF1"/>
            <w:noWrap/>
            <w:vAlign w:val="center"/>
            <w:hideMark/>
          </w:tcPr>
          <w:p w:rsidR="008B4879" w:rsidRPr="00B75B77" w:rsidRDefault="008B4879" w:rsidP="00B4241E">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2</w:t>
            </w:r>
          </w:p>
        </w:tc>
        <w:tc>
          <w:tcPr>
            <w:tcW w:w="5850" w:type="dxa"/>
            <w:tcBorders>
              <w:top w:val="nil"/>
              <w:left w:val="nil"/>
              <w:bottom w:val="single" w:sz="4" w:space="0" w:color="448A99"/>
              <w:right w:val="single" w:sz="4" w:space="0" w:color="448A99"/>
            </w:tcBorders>
            <w:shd w:val="clear" w:color="000000" w:fill="D2EAF1"/>
            <w:noWrap/>
            <w:vAlign w:val="center"/>
            <w:hideMark/>
          </w:tcPr>
          <w:p w:rsidR="008B4879" w:rsidRPr="00B75B77" w:rsidRDefault="008B4879" w:rsidP="00B4241E">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EDC Incentives to Participants</w:t>
            </w:r>
          </w:p>
        </w:tc>
        <w:tc>
          <w:tcPr>
            <w:tcW w:w="1080" w:type="dxa"/>
            <w:tcBorders>
              <w:top w:val="nil"/>
              <w:left w:val="nil"/>
              <w:bottom w:val="single" w:sz="4" w:space="0" w:color="448A99"/>
              <w:right w:val="single" w:sz="4" w:space="0" w:color="448A99"/>
            </w:tcBorders>
            <w:shd w:val="clear" w:color="000000" w:fill="D2EAF1"/>
            <w:noWrap/>
            <w:vAlign w:val="center"/>
            <w:hideMark/>
          </w:tcPr>
          <w:p w:rsidR="008B4879" w:rsidRPr="00B75B77" w:rsidRDefault="008B4879" w:rsidP="00B4241E">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50" w:type="dxa"/>
            <w:tcBorders>
              <w:top w:val="nil"/>
              <w:left w:val="nil"/>
              <w:bottom w:val="single" w:sz="4" w:space="0" w:color="448A99"/>
              <w:right w:val="single" w:sz="4" w:space="0" w:color="448A99"/>
            </w:tcBorders>
            <w:shd w:val="clear" w:color="000000" w:fill="D2EAF1"/>
            <w:noWrap/>
            <w:vAlign w:val="center"/>
            <w:hideMark/>
          </w:tcPr>
          <w:p w:rsidR="008B4879" w:rsidRPr="00B75B77" w:rsidRDefault="008B4879" w:rsidP="00B4241E">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8B4879" w:rsidRPr="00B75B77" w:rsidTr="00751A38">
        <w:trPr>
          <w:trHeight w:val="288"/>
        </w:trPr>
        <w:tc>
          <w:tcPr>
            <w:tcW w:w="1075" w:type="dxa"/>
            <w:tcBorders>
              <w:top w:val="nil"/>
              <w:left w:val="single" w:sz="4" w:space="0" w:color="448A99"/>
              <w:bottom w:val="single" w:sz="4" w:space="0" w:color="448A99"/>
              <w:right w:val="single" w:sz="4" w:space="0" w:color="448A99"/>
            </w:tcBorders>
            <w:shd w:val="clear" w:color="auto" w:fill="auto"/>
            <w:noWrap/>
            <w:vAlign w:val="center"/>
            <w:hideMark/>
          </w:tcPr>
          <w:p w:rsidR="008B4879" w:rsidRPr="00B75B77" w:rsidRDefault="008B4879" w:rsidP="00B4241E">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3</w:t>
            </w:r>
          </w:p>
        </w:tc>
        <w:tc>
          <w:tcPr>
            <w:tcW w:w="5850" w:type="dxa"/>
            <w:tcBorders>
              <w:top w:val="nil"/>
              <w:left w:val="nil"/>
              <w:bottom w:val="single" w:sz="4" w:space="0" w:color="448A99"/>
              <w:right w:val="single" w:sz="4" w:space="0" w:color="448A99"/>
            </w:tcBorders>
            <w:shd w:val="clear" w:color="auto" w:fill="auto"/>
            <w:noWrap/>
            <w:vAlign w:val="center"/>
            <w:hideMark/>
          </w:tcPr>
          <w:p w:rsidR="008B4879" w:rsidRPr="00B75B77" w:rsidRDefault="008B4879" w:rsidP="00B4241E">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EDC Incentives to Trade Allies</w:t>
            </w:r>
          </w:p>
        </w:tc>
        <w:tc>
          <w:tcPr>
            <w:tcW w:w="1080" w:type="dxa"/>
            <w:tcBorders>
              <w:top w:val="nil"/>
              <w:left w:val="nil"/>
              <w:bottom w:val="single" w:sz="4" w:space="0" w:color="448A99"/>
              <w:right w:val="single" w:sz="4" w:space="0" w:color="448A99"/>
            </w:tcBorders>
            <w:shd w:val="clear" w:color="auto" w:fill="auto"/>
            <w:noWrap/>
            <w:vAlign w:val="center"/>
            <w:hideMark/>
          </w:tcPr>
          <w:p w:rsidR="008B4879" w:rsidRPr="00B75B77" w:rsidRDefault="008B4879" w:rsidP="00B4241E">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50" w:type="dxa"/>
            <w:tcBorders>
              <w:top w:val="nil"/>
              <w:left w:val="nil"/>
              <w:bottom w:val="single" w:sz="4" w:space="0" w:color="448A99"/>
              <w:right w:val="single" w:sz="4" w:space="0" w:color="448A99"/>
            </w:tcBorders>
            <w:shd w:val="clear" w:color="auto" w:fill="auto"/>
            <w:noWrap/>
            <w:vAlign w:val="center"/>
            <w:hideMark/>
          </w:tcPr>
          <w:p w:rsidR="008B4879" w:rsidRPr="00B75B77" w:rsidRDefault="008B4879" w:rsidP="00B4241E">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8B4879" w:rsidRPr="00B75B77" w:rsidTr="00751A38">
        <w:trPr>
          <w:trHeight w:val="288"/>
        </w:trPr>
        <w:tc>
          <w:tcPr>
            <w:tcW w:w="1075" w:type="dxa"/>
            <w:tcBorders>
              <w:top w:val="nil"/>
              <w:left w:val="single" w:sz="4" w:space="0" w:color="448A99"/>
              <w:bottom w:val="single" w:sz="4" w:space="0" w:color="448A99"/>
              <w:right w:val="single" w:sz="4" w:space="0" w:color="448A99"/>
            </w:tcBorders>
            <w:shd w:val="clear" w:color="000000" w:fill="D2EAF1"/>
            <w:noWrap/>
            <w:vAlign w:val="center"/>
            <w:hideMark/>
          </w:tcPr>
          <w:p w:rsidR="008B4879" w:rsidRPr="00B75B77" w:rsidRDefault="008B4879" w:rsidP="00B4241E">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4</w:t>
            </w:r>
          </w:p>
        </w:tc>
        <w:tc>
          <w:tcPr>
            <w:tcW w:w="5850" w:type="dxa"/>
            <w:tcBorders>
              <w:top w:val="nil"/>
              <w:left w:val="nil"/>
              <w:bottom w:val="single" w:sz="4" w:space="0" w:color="448A99"/>
              <w:right w:val="single" w:sz="4" w:space="0" w:color="448A99"/>
            </w:tcBorders>
            <w:shd w:val="clear" w:color="000000" w:fill="D2EAF1"/>
            <w:noWrap/>
            <w:vAlign w:val="center"/>
            <w:hideMark/>
          </w:tcPr>
          <w:p w:rsidR="008B4879" w:rsidRPr="00B75B77" w:rsidRDefault="008B4879" w:rsidP="00B4241E">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Participant Costs (Net of Incentives/Rebates Paid by Utilities)</w:t>
            </w:r>
          </w:p>
        </w:tc>
        <w:tc>
          <w:tcPr>
            <w:tcW w:w="1080"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B4241E">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50"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B4241E">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2E73D2" w:rsidRPr="00B75B77" w:rsidTr="00C15945">
        <w:trPr>
          <w:trHeight w:val="115"/>
        </w:trPr>
        <w:tc>
          <w:tcPr>
            <w:tcW w:w="9355" w:type="dxa"/>
            <w:gridSpan w:val="4"/>
            <w:tcBorders>
              <w:top w:val="nil"/>
              <w:left w:val="single" w:sz="4" w:space="0" w:color="448A99"/>
              <w:bottom w:val="single" w:sz="4" w:space="0" w:color="448A99"/>
              <w:right w:val="single" w:sz="4" w:space="0" w:color="448A99"/>
            </w:tcBorders>
            <w:shd w:val="clear" w:color="auto" w:fill="AEAAAA"/>
            <w:noWrap/>
            <w:vAlign w:val="center"/>
            <w:hideMark/>
          </w:tcPr>
          <w:p w:rsidR="002E73D2" w:rsidRPr="00B75B77" w:rsidRDefault="002E73D2" w:rsidP="00B4241E">
            <w:pPr>
              <w:keepNext/>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 </w:t>
            </w:r>
          </w:p>
        </w:tc>
      </w:tr>
      <w:tr w:rsidR="008B4879" w:rsidRPr="00B75B77" w:rsidTr="00751A38">
        <w:trPr>
          <w:trHeight w:val="288"/>
        </w:trPr>
        <w:tc>
          <w:tcPr>
            <w:tcW w:w="1075" w:type="dxa"/>
            <w:tcBorders>
              <w:top w:val="nil"/>
              <w:left w:val="single" w:sz="4" w:space="0" w:color="448A99"/>
              <w:bottom w:val="single" w:sz="4" w:space="0" w:color="448A99"/>
              <w:right w:val="single" w:sz="4" w:space="0" w:color="448A99"/>
            </w:tcBorders>
            <w:shd w:val="clear" w:color="auto" w:fill="auto"/>
            <w:noWrap/>
            <w:vAlign w:val="center"/>
            <w:hideMark/>
          </w:tcPr>
          <w:p w:rsidR="008B4879" w:rsidRPr="00B75B77" w:rsidRDefault="008B4879" w:rsidP="00B4241E">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5</w:t>
            </w:r>
          </w:p>
        </w:tc>
        <w:tc>
          <w:tcPr>
            <w:tcW w:w="5850" w:type="dxa"/>
            <w:tcBorders>
              <w:top w:val="nil"/>
              <w:left w:val="nil"/>
              <w:bottom w:val="single" w:sz="4" w:space="0" w:color="448A99"/>
              <w:right w:val="single" w:sz="4" w:space="0" w:color="448A99"/>
            </w:tcBorders>
            <w:shd w:val="clear" w:color="auto" w:fill="auto"/>
            <w:noWrap/>
            <w:vAlign w:val="center"/>
            <w:hideMark/>
          </w:tcPr>
          <w:p w:rsidR="008B4879" w:rsidRPr="00B75B77" w:rsidRDefault="008B4879" w:rsidP="00B4241E">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Program Overhead Costs </w:t>
            </w:r>
          </w:p>
        </w:tc>
        <w:tc>
          <w:tcPr>
            <w:tcW w:w="1080" w:type="dxa"/>
            <w:tcBorders>
              <w:top w:val="nil"/>
              <w:left w:val="nil"/>
              <w:bottom w:val="single" w:sz="4" w:space="0" w:color="448A99"/>
              <w:right w:val="single" w:sz="4" w:space="0" w:color="448A99"/>
            </w:tcBorders>
            <w:shd w:val="clear" w:color="auto" w:fill="auto"/>
            <w:noWrap/>
            <w:vAlign w:val="center"/>
            <w:hideMark/>
          </w:tcPr>
          <w:p w:rsidR="008B4879" w:rsidRPr="00B75B77" w:rsidRDefault="008B4879" w:rsidP="00B4241E">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1,</w:t>
            </w:r>
            <w:r w:rsidR="006B2FEA" w:rsidRPr="00B75B77">
              <w:rPr>
                <w:rFonts w:ascii="Calibri" w:eastAsia="Times New Roman" w:hAnsi="Calibri"/>
                <w:color w:val="000000"/>
                <w:sz w:val="18"/>
                <w:szCs w:val="18"/>
              </w:rPr>
              <w:t>381</w:t>
            </w:r>
          </w:p>
        </w:tc>
        <w:tc>
          <w:tcPr>
            <w:tcW w:w="1350" w:type="dxa"/>
            <w:tcBorders>
              <w:top w:val="nil"/>
              <w:left w:val="nil"/>
              <w:bottom w:val="single" w:sz="4" w:space="0" w:color="448A99"/>
              <w:right w:val="single" w:sz="4" w:space="0" w:color="448A99"/>
            </w:tcBorders>
            <w:shd w:val="clear" w:color="auto" w:fill="auto"/>
            <w:noWrap/>
            <w:vAlign w:val="center"/>
            <w:hideMark/>
          </w:tcPr>
          <w:p w:rsidR="008B4879" w:rsidRPr="00B75B77" w:rsidRDefault="008B4879" w:rsidP="00B4241E">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4,1</w:t>
            </w:r>
            <w:r w:rsidR="006B2FEA" w:rsidRPr="00B75B77">
              <w:rPr>
                <w:rFonts w:ascii="Calibri" w:eastAsia="Times New Roman" w:hAnsi="Calibri"/>
                <w:color w:val="000000"/>
                <w:sz w:val="18"/>
                <w:szCs w:val="18"/>
              </w:rPr>
              <w:t>0</w:t>
            </w:r>
            <w:r w:rsidRPr="00B75B77">
              <w:rPr>
                <w:rFonts w:ascii="Calibri" w:eastAsia="Times New Roman" w:hAnsi="Calibri"/>
                <w:color w:val="000000"/>
                <w:sz w:val="18"/>
                <w:szCs w:val="18"/>
              </w:rPr>
              <w:t>1</w:t>
            </w:r>
          </w:p>
        </w:tc>
      </w:tr>
      <w:tr w:rsidR="008B4879" w:rsidRPr="00B75B77" w:rsidTr="00751A38">
        <w:trPr>
          <w:trHeight w:val="288"/>
        </w:trPr>
        <w:tc>
          <w:tcPr>
            <w:tcW w:w="1075" w:type="dxa"/>
            <w:tcBorders>
              <w:top w:val="nil"/>
              <w:left w:val="single" w:sz="4" w:space="0" w:color="448A99"/>
              <w:bottom w:val="single" w:sz="4" w:space="0" w:color="448A99"/>
              <w:right w:val="single" w:sz="4" w:space="0" w:color="448A99"/>
            </w:tcBorders>
            <w:shd w:val="clear" w:color="000000" w:fill="D2EAF1"/>
            <w:noWrap/>
            <w:vAlign w:val="center"/>
            <w:hideMark/>
          </w:tcPr>
          <w:p w:rsidR="008B4879" w:rsidRPr="00B75B77" w:rsidRDefault="008B4879" w:rsidP="00B4241E">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6</w:t>
            </w:r>
          </w:p>
        </w:tc>
        <w:tc>
          <w:tcPr>
            <w:tcW w:w="5850" w:type="dxa"/>
            <w:tcBorders>
              <w:top w:val="nil"/>
              <w:left w:val="nil"/>
              <w:bottom w:val="single" w:sz="4" w:space="0" w:color="448A99"/>
              <w:right w:val="single" w:sz="4" w:space="0" w:color="448A99"/>
            </w:tcBorders>
            <w:shd w:val="clear" w:color="000000" w:fill="D2EAF1"/>
            <w:noWrap/>
            <w:vAlign w:val="center"/>
            <w:hideMark/>
          </w:tcPr>
          <w:p w:rsidR="008B4879" w:rsidRPr="00B75B77" w:rsidRDefault="008B4879" w:rsidP="00B4241E">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Design </w:t>
            </w:r>
            <w:r w:rsidR="00105A12" w:rsidRPr="00B75B77">
              <w:rPr>
                <w:rFonts w:ascii="Calibri" w:eastAsia="Times New Roman" w:hAnsi="Calibri"/>
                <w:color w:val="000000"/>
                <w:sz w:val="18"/>
                <w:szCs w:val="18"/>
              </w:rPr>
              <w:t>and</w:t>
            </w:r>
            <w:r w:rsidRPr="00B75B77">
              <w:rPr>
                <w:rFonts w:ascii="Calibri" w:eastAsia="Times New Roman" w:hAnsi="Calibri"/>
                <w:color w:val="000000"/>
                <w:sz w:val="18"/>
                <w:szCs w:val="18"/>
              </w:rPr>
              <w:t xml:space="preserve"> Development</w:t>
            </w:r>
          </w:p>
        </w:tc>
        <w:tc>
          <w:tcPr>
            <w:tcW w:w="1080" w:type="dxa"/>
            <w:tcBorders>
              <w:top w:val="nil"/>
              <w:left w:val="nil"/>
              <w:bottom w:val="single" w:sz="4" w:space="0" w:color="448A99"/>
              <w:right w:val="single" w:sz="4" w:space="0" w:color="448A99"/>
            </w:tcBorders>
            <w:shd w:val="clear" w:color="000000" w:fill="D2EAF1"/>
            <w:noWrap/>
            <w:vAlign w:val="center"/>
            <w:hideMark/>
          </w:tcPr>
          <w:p w:rsidR="008B4879" w:rsidRPr="00B75B77" w:rsidRDefault="008B4879" w:rsidP="00B4241E">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50" w:type="dxa"/>
            <w:tcBorders>
              <w:top w:val="nil"/>
              <w:left w:val="nil"/>
              <w:bottom w:val="single" w:sz="4" w:space="0" w:color="448A99"/>
              <w:right w:val="single" w:sz="4" w:space="0" w:color="448A99"/>
            </w:tcBorders>
            <w:shd w:val="clear" w:color="000000" w:fill="D2EAF1"/>
            <w:noWrap/>
            <w:vAlign w:val="center"/>
            <w:hideMark/>
          </w:tcPr>
          <w:p w:rsidR="008B4879" w:rsidRPr="00B75B77" w:rsidRDefault="008B4879" w:rsidP="00B4241E">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8B4879" w:rsidRPr="00B75B77" w:rsidTr="00751A38">
        <w:trPr>
          <w:trHeight w:val="288"/>
        </w:trPr>
        <w:tc>
          <w:tcPr>
            <w:tcW w:w="1075" w:type="dxa"/>
            <w:tcBorders>
              <w:top w:val="nil"/>
              <w:left w:val="single" w:sz="4" w:space="0" w:color="448A99"/>
              <w:bottom w:val="single" w:sz="4" w:space="0" w:color="448A99"/>
              <w:right w:val="single" w:sz="4" w:space="0" w:color="448A99"/>
            </w:tcBorders>
            <w:shd w:val="clear" w:color="auto" w:fill="auto"/>
            <w:noWrap/>
            <w:vAlign w:val="center"/>
            <w:hideMark/>
          </w:tcPr>
          <w:p w:rsidR="008B4879" w:rsidRPr="00B75B77" w:rsidRDefault="008B4879" w:rsidP="00B4241E">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7</w:t>
            </w:r>
          </w:p>
        </w:tc>
        <w:tc>
          <w:tcPr>
            <w:tcW w:w="5850" w:type="dxa"/>
            <w:tcBorders>
              <w:top w:val="nil"/>
              <w:left w:val="nil"/>
              <w:bottom w:val="single" w:sz="4" w:space="0" w:color="448A99"/>
              <w:right w:val="single" w:sz="4" w:space="0" w:color="448A99"/>
            </w:tcBorders>
            <w:shd w:val="clear" w:color="auto" w:fill="auto"/>
            <w:noWrap/>
            <w:vAlign w:val="center"/>
            <w:hideMark/>
          </w:tcPr>
          <w:p w:rsidR="008B4879" w:rsidRPr="00B75B77" w:rsidRDefault="008B4879" w:rsidP="00B4241E">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Administration, Management, and Technical Assistance</w:t>
            </w:r>
            <w:r w:rsidRPr="00B75B77">
              <w:rPr>
                <w:rFonts w:ascii="Calibri" w:eastAsia="Times New Roman" w:hAnsi="Calibri"/>
                <w:b/>
                <w:bCs/>
                <w:color w:val="000000"/>
                <w:sz w:val="18"/>
                <w:szCs w:val="18"/>
                <w:vertAlign w:val="superscript"/>
              </w:rPr>
              <w:t>[1]</w:t>
            </w:r>
          </w:p>
        </w:tc>
        <w:tc>
          <w:tcPr>
            <w:tcW w:w="1080" w:type="dxa"/>
            <w:tcBorders>
              <w:top w:val="nil"/>
              <w:left w:val="nil"/>
              <w:bottom w:val="single" w:sz="4" w:space="0" w:color="448A99"/>
              <w:right w:val="single" w:sz="4" w:space="0" w:color="448A99"/>
            </w:tcBorders>
            <w:shd w:val="clear" w:color="auto" w:fill="auto"/>
            <w:noWrap/>
            <w:vAlign w:val="center"/>
            <w:hideMark/>
          </w:tcPr>
          <w:p w:rsidR="008B4879" w:rsidRPr="00B75B77" w:rsidRDefault="008B4879" w:rsidP="00B4241E">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8</w:t>
            </w:r>
            <w:r w:rsidR="006B2FEA" w:rsidRPr="00B75B77">
              <w:rPr>
                <w:rFonts w:ascii="Calibri" w:eastAsia="Times New Roman" w:hAnsi="Calibri"/>
                <w:color w:val="000000"/>
                <w:sz w:val="18"/>
                <w:szCs w:val="18"/>
              </w:rPr>
              <w:t>69</w:t>
            </w:r>
          </w:p>
        </w:tc>
        <w:tc>
          <w:tcPr>
            <w:tcW w:w="1350" w:type="dxa"/>
            <w:tcBorders>
              <w:top w:val="nil"/>
              <w:left w:val="nil"/>
              <w:bottom w:val="single" w:sz="4" w:space="0" w:color="448A99"/>
              <w:right w:val="single" w:sz="4" w:space="0" w:color="448A99"/>
            </w:tcBorders>
            <w:shd w:val="clear" w:color="auto" w:fill="auto"/>
            <w:noWrap/>
            <w:vAlign w:val="center"/>
            <w:hideMark/>
          </w:tcPr>
          <w:p w:rsidR="008B4879" w:rsidRPr="00B75B77" w:rsidRDefault="008B4879" w:rsidP="00B4241E">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2,</w:t>
            </w:r>
            <w:r w:rsidR="006B2FEA" w:rsidRPr="00B75B77">
              <w:rPr>
                <w:rFonts w:ascii="Calibri" w:eastAsia="Times New Roman" w:hAnsi="Calibri"/>
                <w:color w:val="000000"/>
                <w:sz w:val="18"/>
                <w:szCs w:val="18"/>
              </w:rPr>
              <w:t>587</w:t>
            </w:r>
          </w:p>
        </w:tc>
      </w:tr>
      <w:tr w:rsidR="008B4879" w:rsidRPr="00B75B77" w:rsidTr="00751A38">
        <w:trPr>
          <w:trHeight w:val="288"/>
        </w:trPr>
        <w:tc>
          <w:tcPr>
            <w:tcW w:w="1075" w:type="dxa"/>
            <w:tcBorders>
              <w:top w:val="nil"/>
              <w:left w:val="single" w:sz="4" w:space="0" w:color="448A99"/>
              <w:bottom w:val="single" w:sz="4" w:space="0" w:color="448A99"/>
              <w:right w:val="single" w:sz="4" w:space="0" w:color="448A99"/>
            </w:tcBorders>
            <w:shd w:val="clear" w:color="000000" w:fill="D2EAF1"/>
            <w:noWrap/>
            <w:vAlign w:val="center"/>
            <w:hideMark/>
          </w:tcPr>
          <w:p w:rsidR="008B4879" w:rsidRPr="00B75B77" w:rsidRDefault="008B4879" w:rsidP="00B4241E">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8</w:t>
            </w:r>
          </w:p>
        </w:tc>
        <w:tc>
          <w:tcPr>
            <w:tcW w:w="5850" w:type="dxa"/>
            <w:tcBorders>
              <w:top w:val="nil"/>
              <w:left w:val="nil"/>
              <w:bottom w:val="single" w:sz="4" w:space="0" w:color="448A99"/>
              <w:right w:val="single" w:sz="4" w:space="0" w:color="448A99"/>
            </w:tcBorders>
            <w:shd w:val="clear" w:color="000000" w:fill="D2EAF1"/>
            <w:noWrap/>
            <w:vAlign w:val="center"/>
            <w:hideMark/>
          </w:tcPr>
          <w:p w:rsidR="008B4879" w:rsidRPr="00B75B77" w:rsidRDefault="008B4879" w:rsidP="00B4241E">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Marketing</w:t>
            </w:r>
            <w:r w:rsidRPr="00B75B77">
              <w:rPr>
                <w:rFonts w:ascii="Calibri" w:eastAsia="Times New Roman" w:hAnsi="Calibri"/>
                <w:color w:val="000000"/>
                <w:sz w:val="18"/>
                <w:szCs w:val="18"/>
                <w:vertAlign w:val="superscript"/>
              </w:rPr>
              <w:t>[2]</w:t>
            </w:r>
          </w:p>
        </w:tc>
        <w:tc>
          <w:tcPr>
            <w:tcW w:w="1080" w:type="dxa"/>
            <w:tcBorders>
              <w:top w:val="nil"/>
              <w:left w:val="nil"/>
              <w:bottom w:val="single" w:sz="4" w:space="0" w:color="448A99"/>
              <w:right w:val="single" w:sz="4" w:space="0" w:color="448A99"/>
            </w:tcBorders>
            <w:shd w:val="clear" w:color="000000" w:fill="D2EAF1"/>
            <w:noWrap/>
            <w:vAlign w:val="center"/>
            <w:hideMark/>
          </w:tcPr>
          <w:p w:rsidR="008B4879" w:rsidRPr="00B75B77" w:rsidRDefault="008B4879" w:rsidP="00B4241E">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51</w:t>
            </w:r>
            <w:r w:rsidR="006B2FEA" w:rsidRPr="00B75B77">
              <w:rPr>
                <w:rFonts w:ascii="Calibri" w:eastAsia="Times New Roman" w:hAnsi="Calibri"/>
                <w:color w:val="000000"/>
                <w:sz w:val="18"/>
                <w:szCs w:val="18"/>
              </w:rPr>
              <w:t>1</w:t>
            </w:r>
          </w:p>
        </w:tc>
        <w:tc>
          <w:tcPr>
            <w:tcW w:w="1350" w:type="dxa"/>
            <w:tcBorders>
              <w:top w:val="nil"/>
              <w:left w:val="nil"/>
              <w:bottom w:val="single" w:sz="4" w:space="0" w:color="448A99"/>
              <w:right w:val="single" w:sz="4" w:space="0" w:color="448A99"/>
            </w:tcBorders>
            <w:shd w:val="clear" w:color="000000" w:fill="D2EAF1"/>
            <w:noWrap/>
            <w:vAlign w:val="center"/>
            <w:hideMark/>
          </w:tcPr>
          <w:p w:rsidR="008B4879" w:rsidRPr="00B75B77" w:rsidRDefault="008B4879" w:rsidP="00B4241E">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1,5</w:t>
            </w:r>
            <w:r w:rsidR="006B2FEA" w:rsidRPr="00B75B77">
              <w:rPr>
                <w:rFonts w:ascii="Calibri" w:eastAsia="Times New Roman" w:hAnsi="Calibri"/>
                <w:color w:val="000000"/>
                <w:sz w:val="18"/>
                <w:szCs w:val="18"/>
              </w:rPr>
              <w:t>14</w:t>
            </w:r>
          </w:p>
        </w:tc>
      </w:tr>
      <w:tr w:rsidR="008B4879" w:rsidRPr="00B75B77" w:rsidTr="00751A38">
        <w:trPr>
          <w:trHeight w:val="288"/>
        </w:trPr>
        <w:tc>
          <w:tcPr>
            <w:tcW w:w="1075" w:type="dxa"/>
            <w:tcBorders>
              <w:top w:val="nil"/>
              <w:left w:val="single" w:sz="4" w:space="0" w:color="448A99"/>
              <w:bottom w:val="single" w:sz="4" w:space="0" w:color="448A99"/>
              <w:right w:val="single" w:sz="4" w:space="0" w:color="448A99"/>
            </w:tcBorders>
            <w:shd w:val="clear" w:color="auto" w:fill="auto"/>
            <w:noWrap/>
            <w:vAlign w:val="center"/>
            <w:hideMark/>
          </w:tcPr>
          <w:p w:rsidR="008B4879" w:rsidRPr="00B75B77" w:rsidRDefault="008B4879" w:rsidP="00B4241E">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9</w:t>
            </w:r>
          </w:p>
        </w:tc>
        <w:tc>
          <w:tcPr>
            <w:tcW w:w="5850" w:type="dxa"/>
            <w:tcBorders>
              <w:top w:val="nil"/>
              <w:left w:val="nil"/>
              <w:bottom w:val="single" w:sz="4" w:space="0" w:color="448A99"/>
              <w:right w:val="single" w:sz="4" w:space="0" w:color="448A99"/>
            </w:tcBorders>
            <w:shd w:val="clear" w:color="auto" w:fill="auto"/>
            <w:noWrap/>
            <w:vAlign w:val="center"/>
            <w:hideMark/>
          </w:tcPr>
          <w:p w:rsidR="008B4879" w:rsidRPr="00B75B77" w:rsidRDefault="008B4879" w:rsidP="00B4241E">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EDC Evaluation Costs</w:t>
            </w:r>
          </w:p>
        </w:tc>
        <w:tc>
          <w:tcPr>
            <w:tcW w:w="1080" w:type="dxa"/>
            <w:tcBorders>
              <w:top w:val="nil"/>
              <w:left w:val="nil"/>
              <w:bottom w:val="single" w:sz="4" w:space="0" w:color="448A99"/>
              <w:right w:val="single" w:sz="4" w:space="0" w:color="448A99"/>
            </w:tcBorders>
            <w:shd w:val="clear" w:color="auto" w:fill="auto"/>
            <w:noWrap/>
            <w:vAlign w:val="center"/>
            <w:hideMark/>
          </w:tcPr>
          <w:p w:rsidR="008B4879" w:rsidRPr="00B75B77" w:rsidRDefault="008B4879" w:rsidP="00B4241E">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50" w:type="dxa"/>
            <w:tcBorders>
              <w:top w:val="nil"/>
              <w:left w:val="nil"/>
              <w:bottom w:val="single" w:sz="4" w:space="0" w:color="448A99"/>
              <w:right w:val="single" w:sz="4" w:space="0" w:color="448A99"/>
            </w:tcBorders>
            <w:shd w:val="clear" w:color="auto" w:fill="auto"/>
            <w:noWrap/>
            <w:vAlign w:val="center"/>
            <w:hideMark/>
          </w:tcPr>
          <w:p w:rsidR="008B4879" w:rsidRPr="00B75B77" w:rsidRDefault="008B4879" w:rsidP="00B4241E">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8B4879" w:rsidRPr="00B75B77" w:rsidTr="00751A38">
        <w:trPr>
          <w:trHeight w:val="288"/>
        </w:trPr>
        <w:tc>
          <w:tcPr>
            <w:tcW w:w="1075" w:type="dxa"/>
            <w:tcBorders>
              <w:top w:val="nil"/>
              <w:left w:val="single" w:sz="4" w:space="0" w:color="448A99"/>
              <w:bottom w:val="single" w:sz="4" w:space="0" w:color="448A99"/>
              <w:right w:val="single" w:sz="4" w:space="0" w:color="448A99"/>
            </w:tcBorders>
            <w:shd w:val="clear" w:color="000000" w:fill="D2EAF1"/>
            <w:noWrap/>
            <w:vAlign w:val="center"/>
            <w:hideMark/>
          </w:tcPr>
          <w:p w:rsidR="008B4879" w:rsidRPr="00B75B77" w:rsidRDefault="008B4879" w:rsidP="00B4241E">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10</w:t>
            </w:r>
          </w:p>
        </w:tc>
        <w:tc>
          <w:tcPr>
            <w:tcW w:w="5850" w:type="dxa"/>
            <w:tcBorders>
              <w:top w:val="nil"/>
              <w:left w:val="nil"/>
              <w:bottom w:val="single" w:sz="4" w:space="0" w:color="448A99"/>
              <w:right w:val="single" w:sz="4" w:space="0" w:color="448A99"/>
            </w:tcBorders>
            <w:shd w:val="clear" w:color="000000" w:fill="D2EAF1"/>
            <w:noWrap/>
            <w:vAlign w:val="center"/>
            <w:hideMark/>
          </w:tcPr>
          <w:p w:rsidR="008B4879" w:rsidRPr="00B75B77" w:rsidRDefault="008B4879" w:rsidP="00B4241E">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SWE Audit Costs </w:t>
            </w:r>
          </w:p>
        </w:tc>
        <w:tc>
          <w:tcPr>
            <w:tcW w:w="1080" w:type="dxa"/>
            <w:tcBorders>
              <w:top w:val="nil"/>
              <w:left w:val="nil"/>
              <w:bottom w:val="single" w:sz="4" w:space="0" w:color="448A99"/>
              <w:right w:val="single" w:sz="4" w:space="0" w:color="448A99"/>
            </w:tcBorders>
            <w:shd w:val="clear" w:color="000000" w:fill="D2EAF1"/>
            <w:noWrap/>
            <w:vAlign w:val="center"/>
            <w:hideMark/>
          </w:tcPr>
          <w:p w:rsidR="008B4879" w:rsidRPr="00B75B77" w:rsidRDefault="008B4879" w:rsidP="00B4241E">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50" w:type="dxa"/>
            <w:tcBorders>
              <w:top w:val="nil"/>
              <w:left w:val="nil"/>
              <w:bottom w:val="single" w:sz="4" w:space="0" w:color="448A99"/>
              <w:right w:val="single" w:sz="4" w:space="0" w:color="448A99"/>
            </w:tcBorders>
            <w:shd w:val="clear" w:color="000000" w:fill="D2EAF1"/>
            <w:noWrap/>
            <w:vAlign w:val="center"/>
            <w:hideMark/>
          </w:tcPr>
          <w:p w:rsidR="008B4879" w:rsidRPr="00B75B77" w:rsidRDefault="008B4879" w:rsidP="00B4241E">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2E73D2" w:rsidRPr="00B75B77" w:rsidTr="00C15945">
        <w:trPr>
          <w:trHeight w:val="115"/>
        </w:trPr>
        <w:tc>
          <w:tcPr>
            <w:tcW w:w="9355" w:type="dxa"/>
            <w:gridSpan w:val="4"/>
            <w:tcBorders>
              <w:top w:val="nil"/>
              <w:left w:val="single" w:sz="4" w:space="0" w:color="448A99"/>
              <w:bottom w:val="single" w:sz="4" w:space="0" w:color="448A99"/>
              <w:right w:val="single" w:sz="4" w:space="0" w:color="448A99"/>
            </w:tcBorders>
            <w:shd w:val="clear" w:color="auto" w:fill="AEAAAA"/>
            <w:noWrap/>
            <w:vAlign w:val="center"/>
            <w:hideMark/>
          </w:tcPr>
          <w:p w:rsidR="002E73D2" w:rsidRPr="00B75B77" w:rsidRDefault="002E73D2" w:rsidP="002E73D2">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w:t>
            </w:r>
          </w:p>
        </w:tc>
      </w:tr>
      <w:tr w:rsidR="008B4879" w:rsidRPr="00B75B77" w:rsidTr="00751A38">
        <w:trPr>
          <w:trHeight w:val="288"/>
        </w:trPr>
        <w:tc>
          <w:tcPr>
            <w:tcW w:w="1075" w:type="dxa"/>
            <w:tcBorders>
              <w:top w:val="nil"/>
              <w:left w:val="single" w:sz="4" w:space="0" w:color="448A99"/>
              <w:bottom w:val="single" w:sz="4" w:space="0" w:color="448A99"/>
              <w:right w:val="single" w:sz="4" w:space="0" w:color="448A99"/>
            </w:tcBorders>
            <w:shd w:val="clear" w:color="auto" w:fill="auto"/>
            <w:noWrap/>
            <w:vAlign w:val="center"/>
            <w:hideMark/>
          </w:tcPr>
          <w:p w:rsidR="008B4879" w:rsidRPr="00B75B77" w:rsidRDefault="008B4879" w:rsidP="00B4241E">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11</w:t>
            </w:r>
          </w:p>
        </w:tc>
        <w:tc>
          <w:tcPr>
            <w:tcW w:w="5850" w:type="dxa"/>
            <w:tcBorders>
              <w:top w:val="nil"/>
              <w:left w:val="nil"/>
              <w:bottom w:val="single" w:sz="4" w:space="0" w:color="448A99"/>
              <w:right w:val="single" w:sz="4" w:space="0" w:color="448A99"/>
            </w:tcBorders>
            <w:shd w:val="clear" w:color="auto" w:fill="auto"/>
            <w:noWrap/>
            <w:vAlign w:val="center"/>
            <w:hideMark/>
          </w:tcPr>
          <w:p w:rsidR="008B4879" w:rsidRPr="00B75B77" w:rsidRDefault="008B4879" w:rsidP="00B4241E">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Increases in Costs of Natural Gas (or Other Fuels) for Fuel-Switching Programs</w:t>
            </w:r>
          </w:p>
        </w:tc>
        <w:tc>
          <w:tcPr>
            <w:tcW w:w="1080" w:type="dxa"/>
            <w:tcBorders>
              <w:top w:val="nil"/>
              <w:left w:val="nil"/>
              <w:bottom w:val="single" w:sz="4" w:space="0" w:color="448A99"/>
              <w:right w:val="single" w:sz="4" w:space="0" w:color="448A99"/>
            </w:tcBorders>
            <w:shd w:val="clear" w:color="auto" w:fill="auto"/>
            <w:vAlign w:val="center"/>
            <w:hideMark/>
          </w:tcPr>
          <w:p w:rsidR="008B4879" w:rsidRPr="00B75B77" w:rsidRDefault="008B4879" w:rsidP="00B4241E">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50" w:type="dxa"/>
            <w:tcBorders>
              <w:top w:val="nil"/>
              <w:left w:val="nil"/>
              <w:bottom w:val="single" w:sz="4" w:space="0" w:color="448A99"/>
              <w:right w:val="single" w:sz="4" w:space="0" w:color="448A99"/>
            </w:tcBorders>
            <w:shd w:val="clear" w:color="auto" w:fill="auto"/>
            <w:vAlign w:val="center"/>
            <w:hideMark/>
          </w:tcPr>
          <w:p w:rsidR="008B4879" w:rsidRPr="00B75B77" w:rsidRDefault="008B4879" w:rsidP="00B4241E">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2E73D2" w:rsidRPr="00B75B77" w:rsidTr="00C15945">
        <w:trPr>
          <w:trHeight w:val="115"/>
        </w:trPr>
        <w:tc>
          <w:tcPr>
            <w:tcW w:w="9355" w:type="dxa"/>
            <w:gridSpan w:val="4"/>
            <w:tcBorders>
              <w:top w:val="nil"/>
              <w:left w:val="single" w:sz="4" w:space="0" w:color="448A99"/>
              <w:bottom w:val="single" w:sz="4" w:space="0" w:color="448A99"/>
              <w:right w:val="single" w:sz="4" w:space="0" w:color="448A99"/>
            </w:tcBorders>
            <w:shd w:val="clear" w:color="auto" w:fill="AEAAAA"/>
            <w:noWrap/>
            <w:vAlign w:val="center"/>
            <w:hideMark/>
          </w:tcPr>
          <w:p w:rsidR="002E73D2" w:rsidRPr="00B75B77" w:rsidRDefault="002E73D2" w:rsidP="00B4241E">
            <w:pPr>
              <w:keepNext/>
              <w:jc w:val="left"/>
              <w:rPr>
                <w:rFonts w:ascii="Calibri" w:eastAsia="Times New Roman" w:hAnsi="Calibri"/>
                <w:b/>
                <w:bCs/>
                <w:color w:val="FFFFFF"/>
                <w:sz w:val="18"/>
                <w:szCs w:val="18"/>
              </w:rPr>
            </w:pPr>
          </w:p>
        </w:tc>
      </w:tr>
      <w:tr w:rsidR="008B4879" w:rsidRPr="00B75B77" w:rsidTr="00751A38">
        <w:trPr>
          <w:trHeight w:val="288"/>
        </w:trPr>
        <w:tc>
          <w:tcPr>
            <w:tcW w:w="1075" w:type="dxa"/>
            <w:tcBorders>
              <w:top w:val="nil"/>
              <w:left w:val="single" w:sz="4" w:space="0" w:color="448A99"/>
              <w:bottom w:val="single" w:sz="4" w:space="0" w:color="448A99"/>
              <w:right w:val="single" w:sz="4" w:space="0" w:color="448A99"/>
            </w:tcBorders>
            <w:shd w:val="clear" w:color="000000" w:fill="D2EAF1"/>
            <w:noWrap/>
            <w:vAlign w:val="center"/>
            <w:hideMark/>
          </w:tcPr>
          <w:p w:rsidR="008B4879" w:rsidRPr="00B75B77" w:rsidRDefault="008B4879" w:rsidP="00B4241E">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12</w:t>
            </w:r>
          </w:p>
        </w:tc>
        <w:tc>
          <w:tcPr>
            <w:tcW w:w="5850" w:type="dxa"/>
            <w:tcBorders>
              <w:top w:val="nil"/>
              <w:left w:val="nil"/>
              <w:bottom w:val="single" w:sz="4" w:space="0" w:color="448A99"/>
              <w:right w:val="single" w:sz="4" w:space="0" w:color="448A99"/>
            </w:tcBorders>
            <w:shd w:val="clear" w:color="000000" w:fill="D2EAF1"/>
            <w:noWrap/>
            <w:vAlign w:val="center"/>
            <w:hideMark/>
          </w:tcPr>
          <w:p w:rsidR="008B4879" w:rsidRPr="00B75B77" w:rsidRDefault="008B4879" w:rsidP="00B4241E">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Total TRC Costs</w:t>
            </w:r>
            <w:r w:rsidRPr="00B75B77">
              <w:rPr>
                <w:rFonts w:ascii="Calibri" w:eastAsia="Times New Roman" w:hAnsi="Calibri"/>
                <w:color w:val="000000"/>
                <w:sz w:val="18"/>
                <w:szCs w:val="18"/>
                <w:vertAlign w:val="superscript"/>
              </w:rPr>
              <w:t>[5]</w:t>
            </w:r>
          </w:p>
        </w:tc>
        <w:tc>
          <w:tcPr>
            <w:tcW w:w="1080"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B4241E">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1,</w:t>
            </w:r>
            <w:r w:rsidR="006B2FEA" w:rsidRPr="00B75B77">
              <w:rPr>
                <w:rFonts w:ascii="Calibri" w:eastAsia="Times New Roman" w:hAnsi="Calibri"/>
                <w:color w:val="000000"/>
                <w:sz w:val="18"/>
                <w:szCs w:val="18"/>
              </w:rPr>
              <w:t>381</w:t>
            </w:r>
          </w:p>
        </w:tc>
        <w:tc>
          <w:tcPr>
            <w:tcW w:w="1350"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B4241E">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4,1</w:t>
            </w:r>
            <w:r w:rsidR="006B2FEA" w:rsidRPr="00B75B77">
              <w:rPr>
                <w:rFonts w:ascii="Calibri" w:eastAsia="Times New Roman" w:hAnsi="Calibri"/>
                <w:color w:val="000000"/>
                <w:sz w:val="18"/>
                <w:szCs w:val="18"/>
              </w:rPr>
              <w:t>0</w:t>
            </w:r>
            <w:r w:rsidRPr="00B75B77">
              <w:rPr>
                <w:rFonts w:ascii="Calibri" w:eastAsia="Times New Roman" w:hAnsi="Calibri"/>
                <w:color w:val="000000"/>
                <w:sz w:val="18"/>
                <w:szCs w:val="18"/>
              </w:rPr>
              <w:t>1</w:t>
            </w:r>
          </w:p>
        </w:tc>
      </w:tr>
      <w:tr w:rsidR="008B4879" w:rsidRPr="00B75B77" w:rsidTr="00751A38">
        <w:trPr>
          <w:trHeight w:val="288"/>
        </w:trPr>
        <w:tc>
          <w:tcPr>
            <w:tcW w:w="1075" w:type="dxa"/>
            <w:tcBorders>
              <w:top w:val="nil"/>
              <w:left w:val="single" w:sz="4" w:space="0" w:color="448A99"/>
              <w:bottom w:val="single" w:sz="4" w:space="0" w:color="448A99"/>
              <w:right w:val="single" w:sz="4" w:space="0" w:color="448A99"/>
            </w:tcBorders>
            <w:shd w:val="clear" w:color="auto" w:fill="auto"/>
            <w:noWrap/>
            <w:vAlign w:val="center"/>
            <w:hideMark/>
          </w:tcPr>
          <w:p w:rsidR="008B4879" w:rsidRPr="00B75B77" w:rsidRDefault="008B4879" w:rsidP="00B4241E">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13</w:t>
            </w:r>
          </w:p>
        </w:tc>
        <w:tc>
          <w:tcPr>
            <w:tcW w:w="5850" w:type="dxa"/>
            <w:tcBorders>
              <w:top w:val="nil"/>
              <w:left w:val="nil"/>
              <w:bottom w:val="single" w:sz="4" w:space="0" w:color="448A99"/>
              <w:right w:val="single" w:sz="4" w:space="0" w:color="448A99"/>
            </w:tcBorders>
            <w:shd w:val="clear" w:color="auto" w:fill="auto"/>
            <w:noWrap/>
            <w:vAlign w:val="center"/>
            <w:hideMark/>
          </w:tcPr>
          <w:p w:rsidR="008B4879" w:rsidRPr="00B75B77" w:rsidRDefault="008B4879" w:rsidP="00B4241E">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Total NPV Lifetime Energy Benefits</w:t>
            </w:r>
          </w:p>
        </w:tc>
        <w:tc>
          <w:tcPr>
            <w:tcW w:w="1080" w:type="dxa"/>
            <w:tcBorders>
              <w:top w:val="nil"/>
              <w:left w:val="nil"/>
              <w:bottom w:val="single" w:sz="4" w:space="0" w:color="448A99"/>
              <w:right w:val="single" w:sz="4" w:space="0" w:color="448A99"/>
            </w:tcBorders>
            <w:shd w:val="clear" w:color="auto" w:fill="auto"/>
            <w:vAlign w:val="center"/>
            <w:hideMark/>
          </w:tcPr>
          <w:p w:rsidR="008B4879" w:rsidRPr="00B75B77" w:rsidRDefault="008B4879" w:rsidP="00B4241E">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6,1</w:t>
            </w:r>
            <w:r w:rsidR="006B2FEA" w:rsidRPr="00B75B77">
              <w:rPr>
                <w:rFonts w:ascii="Calibri" w:eastAsia="Times New Roman" w:hAnsi="Calibri"/>
                <w:color w:val="000000"/>
                <w:sz w:val="18"/>
                <w:szCs w:val="18"/>
              </w:rPr>
              <w:t>68</w:t>
            </w:r>
          </w:p>
        </w:tc>
        <w:tc>
          <w:tcPr>
            <w:tcW w:w="1350" w:type="dxa"/>
            <w:tcBorders>
              <w:top w:val="nil"/>
              <w:left w:val="nil"/>
              <w:bottom w:val="single" w:sz="4" w:space="0" w:color="448A99"/>
              <w:right w:val="single" w:sz="4" w:space="0" w:color="448A99"/>
            </w:tcBorders>
            <w:shd w:val="clear" w:color="auto" w:fill="auto"/>
            <w:vAlign w:val="center"/>
            <w:hideMark/>
          </w:tcPr>
          <w:p w:rsidR="008B4879" w:rsidRPr="00B75B77" w:rsidRDefault="008B4879" w:rsidP="00B4241E">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16,26</w:t>
            </w:r>
            <w:r w:rsidR="006B2FEA" w:rsidRPr="00B75B77">
              <w:rPr>
                <w:rFonts w:ascii="Calibri" w:eastAsia="Times New Roman" w:hAnsi="Calibri"/>
                <w:color w:val="000000"/>
                <w:sz w:val="18"/>
                <w:szCs w:val="18"/>
              </w:rPr>
              <w:t>2</w:t>
            </w:r>
          </w:p>
        </w:tc>
      </w:tr>
      <w:tr w:rsidR="008B4879" w:rsidRPr="00B75B77" w:rsidTr="00751A38">
        <w:trPr>
          <w:trHeight w:val="288"/>
        </w:trPr>
        <w:tc>
          <w:tcPr>
            <w:tcW w:w="1075" w:type="dxa"/>
            <w:tcBorders>
              <w:top w:val="nil"/>
              <w:left w:val="single" w:sz="4" w:space="0" w:color="448A99"/>
              <w:bottom w:val="single" w:sz="4" w:space="0" w:color="448A99"/>
              <w:right w:val="single" w:sz="4" w:space="0" w:color="448A99"/>
            </w:tcBorders>
            <w:shd w:val="clear" w:color="000000" w:fill="D2EAF1"/>
            <w:noWrap/>
            <w:vAlign w:val="center"/>
            <w:hideMark/>
          </w:tcPr>
          <w:p w:rsidR="008B4879" w:rsidRPr="00B75B77" w:rsidRDefault="008B4879" w:rsidP="00B4241E">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14</w:t>
            </w:r>
          </w:p>
        </w:tc>
        <w:tc>
          <w:tcPr>
            <w:tcW w:w="5850" w:type="dxa"/>
            <w:tcBorders>
              <w:top w:val="nil"/>
              <w:left w:val="nil"/>
              <w:bottom w:val="single" w:sz="4" w:space="0" w:color="448A99"/>
              <w:right w:val="single" w:sz="4" w:space="0" w:color="448A99"/>
            </w:tcBorders>
            <w:shd w:val="clear" w:color="000000" w:fill="D2EAF1"/>
            <w:noWrap/>
            <w:vAlign w:val="center"/>
            <w:hideMark/>
          </w:tcPr>
          <w:p w:rsidR="008B4879" w:rsidRPr="00B75B77" w:rsidRDefault="008B4879" w:rsidP="00B4241E">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Total NPV Lifetime Capacity Benefits</w:t>
            </w:r>
          </w:p>
        </w:tc>
        <w:tc>
          <w:tcPr>
            <w:tcW w:w="1080"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B4241E">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438</w:t>
            </w:r>
          </w:p>
        </w:tc>
        <w:tc>
          <w:tcPr>
            <w:tcW w:w="1350"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B4241E">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1,210</w:t>
            </w:r>
          </w:p>
        </w:tc>
      </w:tr>
      <w:tr w:rsidR="008B4879" w:rsidRPr="00B75B77" w:rsidTr="00751A38">
        <w:trPr>
          <w:trHeight w:val="288"/>
        </w:trPr>
        <w:tc>
          <w:tcPr>
            <w:tcW w:w="1075" w:type="dxa"/>
            <w:tcBorders>
              <w:top w:val="nil"/>
              <w:left w:val="single" w:sz="4" w:space="0" w:color="448A99"/>
              <w:bottom w:val="single" w:sz="4" w:space="0" w:color="448A99"/>
              <w:right w:val="single" w:sz="4" w:space="0" w:color="448A99"/>
            </w:tcBorders>
            <w:shd w:val="clear" w:color="auto" w:fill="auto"/>
            <w:noWrap/>
            <w:vAlign w:val="center"/>
            <w:hideMark/>
          </w:tcPr>
          <w:p w:rsidR="008B4879" w:rsidRPr="00B75B77" w:rsidRDefault="008B4879" w:rsidP="00B4241E">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15</w:t>
            </w:r>
          </w:p>
        </w:tc>
        <w:tc>
          <w:tcPr>
            <w:tcW w:w="5850" w:type="dxa"/>
            <w:tcBorders>
              <w:top w:val="nil"/>
              <w:left w:val="nil"/>
              <w:bottom w:val="single" w:sz="4" w:space="0" w:color="448A99"/>
              <w:right w:val="single" w:sz="4" w:space="0" w:color="448A99"/>
            </w:tcBorders>
            <w:shd w:val="clear" w:color="auto" w:fill="auto"/>
            <w:noWrap/>
            <w:vAlign w:val="center"/>
            <w:hideMark/>
          </w:tcPr>
          <w:p w:rsidR="008B4879" w:rsidRPr="00B75B77" w:rsidRDefault="008B4879" w:rsidP="00B4241E">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Total NPV TRC Benefits</w:t>
            </w:r>
            <w:r w:rsidRPr="00B75B77">
              <w:rPr>
                <w:rFonts w:ascii="Calibri" w:eastAsia="Times New Roman" w:hAnsi="Calibri"/>
                <w:color w:val="000000"/>
                <w:sz w:val="18"/>
                <w:szCs w:val="18"/>
                <w:vertAlign w:val="superscript"/>
              </w:rPr>
              <w:t>[6]</w:t>
            </w:r>
          </w:p>
        </w:tc>
        <w:tc>
          <w:tcPr>
            <w:tcW w:w="1080" w:type="dxa"/>
            <w:tcBorders>
              <w:top w:val="nil"/>
              <w:left w:val="nil"/>
              <w:bottom w:val="single" w:sz="4" w:space="0" w:color="448A99"/>
              <w:right w:val="single" w:sz="4" w:space="0" w:color="448A99"/>
            </w:tcBorders>
            <w:shd w:val="clear" w:color="auto" w:fill="auto"/>
            <w:vAlign w:val="center"/>
            <w:hideMark/>
          </w:tcPr>
          <w:p w:rsidR="008B4879" w:rsidRPr="00B75B77" w:rsidRDefault="008B4879" w:rsidP="00B4241E">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6,6</w:t>
            </w:r>
            <w:r w:rsidR="006B2FEA" w:rsidRPr="00B75B77">
              <w:rPr>
                <w:rFonts w:ascii="Calibri" w:eastAsia="Times New Roman" w:hAnsi="Calibri"/>
                <w:color w:val="000000"/>
                <w:sz w:val="18"/>
                <w:szCs w:val="18"/>
              </w:rPr>
              <w:t>06</w:t>
            </w:r>
          </w:p>
        </w:tc>
        <w:tc>
          <w:tcPr>
            <w:tcW w:w="1350" w:type="dxa"/>
            <w:tcBorders>
              <w:top w:val="nil"/>
              <w:left w:val="nil"/>
              <w:bottom w:val="single" w:sz="4" w:space="0" w:color="448A99"/>
              <w:right w:val="single" w:sz="4" w:space="0" w:color="448A99"/>
            </w:tcBorders>
            <w:shd w:val="clear" w:color="auto" w:fill="auto"/>
            <w:vAlign w:val="center"/>
            <w:hideMark/>
          </w:tcPr>
          <w:p w:rsidR="008B4879" w:rsidRPr="00B75B77" w:rsidRDefault="008B4879" w:rsidP="00B4241E">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17,47</w:t>
            </w:r>
            <w:r w:rsidR="006B2FEA" w:rsidRPr="00B75B77">
              <w:rPr>
                <w:rFonts w:ascii="Calibri" w:eastAsia="Times New Roman" w:hAnsi="Calibri"/>
                <w:color w:val="000000"/>
                <w:sz w:val="18"/>
                <w:szCs w:val="18"/>
              </w:rPr>
              <w:t>1</w:t>
            </w:r>
          </w:p>
        </w:tc>
      </w:tr>
      <w:tr w:rsidR="002E73D2" w:rsidRPr="00B75B77" w:rsidTr="00C15945">
        <w:trPr>
          <w:trHeight w:val="115"/>
        </w:trPr>
        <w:tc>
          <w:tcPr>
            <w:tcW w:w="9355" w:type="dxa"/>
            <w:gridSpan w:val="4"/>
            <w:tcBorders>
              <w:top w:val="nil"/>
              <w:left w:val="single" w:sz="4" w:space="0" w:color="448A99"/>
              <w:bottom w:val="single" w:sz="4" w:space="0" w:color="448A99"/>
              <w:right w:val="single" w:sz="4" w:space="0" w:color="448A99"/>
            </w:tcBorders>
            <w:shd w:val="clear" w:color="auto" w:fill="AEAAAA"/>
            <w:noWrap/>
            <w:vAlign w:val="center"/>
            <w:hideMark/>
          </w:tcPr>
          <w:p w:rsidR="002E73D2" w:rsidRPr="00B75B77" w:rsidRDefault="002E73D2" w:rsidP="002E73D2">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w:t>
            </w:r>
          </w:p>
        </w:tc>
      </w:tr>
      <w:tr w:rsidR="008B4879" w:rsidRPr="00B75B77" w:rsidTr="00751A38">
        <w:trPr>
          <w:trHeight w:val="288"/>
        </w:trPr>
        <w:tc>
          <w:tcPr>
            <w:tcW w:w="1075" w:type="dxa"/>
            <w:tcBorders>
              <w:top w:val="nil"/>
              <w:left w:val="single" w:sz="4" w:space="0" w:color="448A99"/>
              <w:bottom w:val="single" w:sz="4" w:space="0" w:color="448A99"/>
              <w:right w:val="single" w:sz="4" w:space="0" w:color="448A99"/>
            </w:tcBorders>
            <w:shd w:val="clear" w:color="000000" w:fill="D2EAF1"/>
            <w:noWrap/>
            <w:vAlign w:val="center"/>
            <w:hideMark/>
          </w:tcPr>
          <w:p w:rsidR="008B4879" w:rsidRPr="00B75B77" w:rsidRDefault="008B4879" w:rsidP="00B4241E">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16</w:t>
            </w:r>
          </w:p>
        </w:tc>
        <w:tc>
          <w:tcPr>
            <w:tcW w:w="5850" w:type="dxa"/>
            <w:tcBorders>
              <w:top w:val="nil"/>
              <w:left w:val="nil"/>
              <w:bottom w:val="single" w:sz="4" w:space="0" w:color="448A99"/>
              <w:right w:val="single" w:sz="4" w:space="0" w:color="448A99"/>
            </w:tcBorders>
            <w:shd w:val="clear" w:color="000000" w:fill="D2EAF1"/>
            <w:noWrap/>
            <w:vAlign w:val="center"/>
            <w:hideMark/>
          </w:tcPr>
          <w:p w:rsidR="008B4879" w:rsidRPr="00B75B77" w:rsidRDefault="008B4879" w:rsidP="00B4241E">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TRC Benefit-Cost Ratio</w:t>
            </w:r>
          </w:p>
        </w:tc>
        <w:tc>
          <w:tcPr>
            <w:tcW w:w="1080"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B4241E">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4.7</w:t>
            </w:r>
            <w:r w:rsidR="006B2FEA" w:rsidRPr="00B75B77">
              <w:rPr>
                <w:rFonts w:ascii="Calibri" w:eastAsia="Times New Roman" w:hAnsi="Calibri"/>
                <w:color w:val="000000"/>
                <w:sz w:val="18"/>
                <w:szCs w:val="18"/>
              </w:rPr>
              <w:t>8</w:t>
            </w:r>
          </w:p>
        </w:tc>
        <w:tc>
          <w:tcPr>
            <w:tcW w:w="1350" w:type="dxa"/>
            <w:tcBorders>
              <w:top w:val="nil"/>
              <w:left w:val="nil"/>
              <w:bottom w:val="single" w:sz="4" w:space="0" w:color="448A99"/>
              <w:right w:val="single" w:sz="4" w:space="0" w:color="448A99"/>
            </w:tcBorders>
            <w:shd w:val="clear" w:color="000000" w:fill="D2EAF1"/>
            <w:vAlign w:val="center"/>
            <w:hideMark/>
          </w:tcPr>
          <w:p w:rsidR="008B4879" w:rsidRPr="00B75B77" w:rsidRDefault="008B4879" w:rsidP="00B4241E">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4.2</w:t>
            </w:r>
            <w:r w:rsidR="006B2FEA" w:rsidRPr="00B75B77">
              <w:rPr>
                <w:rFonts w:ascii="Calibri" w:eastAsia="Times New Roman" w:hAnsi="Calibri"/>
                <w:color w:val="000000"/>
                <w:sz w:val="18"/>
                <w:szCs w:val="18"/>
              </w:rPr>
              <w:t>6</w:t>
            </w:r>
          </w:p>
        </w:tc>
      </w:tr>
      <w:tr w:rsidR="008B4879" w:rsidRPr="00B75B77" w:rsidTr="00751A38">
        <w:trPr>
          <w:trHeight w:val="3240"/>
        </w:trPr>
        <w:tc>
          <w:tcPr>
            <w:tcW w:w="9355" w:type="dxa"/>
            <w:gridSpan w:val="4"/>
            <w:tcBorders>
              <w:top w:val="single" w:sz="4" w:space="0" w:color="448A99"/>
              <w:left w:val="single" w:sz="4" w:space="0" w:color="448A99"/>
              <w:bottom w:val="single" w:sz="4" w:space="0" w:color="448A99"/>
              <w:right w:val="single" w:sz="4" w:space="0" w:color="448A99"/>
            </w:tcBorders>
            <w:shd w:val="clear" w:color="auto" w:fill="auto"/>
            <w:hideMark/>
          </w:tcPr>
          <w:p w:rsidR="00B4241E" w:rsidRPr="00B75B77" w:rsidRDefault="00B4241E" w:rsidP="00B4241E">
            <w:pPr>
              <w:keepNext/>
              <w:jc w:val="left"/>
              <w:rPr>
                <w:rFonts w:ascii="Calibri" w:eastAsia="Times New Roman" w:hAnsi="Calibri"/>
                <w:b/>
                <w:iCs/>
                <w:color w:val="000000"/>
                <w:sz w:val="18"/>
                <w:szCs w:val="18"/>
              </w:rPr>
            </w:pPr>
            <w:r w:rsidRPr="00B75B77">
              <w:rPr>
                <w:rFonts w:ascii="Calibri" w:eastAsia="Times New Roman" w:hAnsi="Calibri"/>
                <w:b/>
                <w:iCs/>
                <w:color w:val="000000"/>
                <w:sz w:val="18"/>
                <w:szCs w:val="18"/>
              </w:rPr>
              <w:t xml:space="preserve">Notes: </w:t>
            </w:r>
          </w:p>
          <w:p w:rsidR="008B4879" w:rsidRPr="00B75B77" w:rsidRDefault="008B4879" w:rsidP="00B92155">
            <w:pPr>
              <w:keepNext/>
              <w:jc w:val="left"/>
              <w:rPr>
                <w:rFonts w:ascii="Calibri" w:eastAsia="Times New Roman" w:hAnsi="Calibri"/>
                <w:color w:val="000000"/>
                <w:sz w:val="18"/>
                <w:szCs w:val="18"/>
              </w:rPr>
            </w:pPr>
            <w:r w:rsidRPr="00B75B77">
              <w:rPr>
                <w:rFonts w:ascii="Calibri" w:eastAsia="Times New Roman" w:hAnsi="Calibri"/>
                <w:iCs/>
                <w:color w:val="000000"/>
                <w:sz w:val="18"/>
                <w:szCs w:val="18"/>
              </w:rPr>
              <w:t xml:space="preserve">Per PUC direction, TRC inputs and calculations are required in the Annual Report only and should comply with the 2013 </w:t>
            </w:r>
            <w:r w:rsidR="00B92155" w:rsidRPr="00B75B77">
              <w:rPr>
                <w:rFonts w:ascii="Calibri" w:eastAsia="Times New Roman" w:hAnsi="Calibri"/>
                <w:iCs/>
                <w:color w:val="000000"/>
                <w:sz w:val="18"/>
                <w:szCs w:val="18"/>
              </w:rPr>
              <w:t>TRC</w:t>
            </w:r>
            <w:r w:rsidRPr="00B75B77">
              <w:rPr>
                <w:rFonts w:ascii="Calibri" w:eastAsia="Times New Roman" w:hAnsi="Calibri"/>
                <w:iCs/>
                <w:color w:val="000000"/>
                <w:sz w:val="18"/>
                <w:szCs w:val="18"/>
              </w:rPr>
              <w:t xml:space="preserve"> Test Order. Please see the “Report Definitions” section of this report for more details.</w:t>
            </w:r>
            <w:r w:rsidRPr="00B75B77">
              <w:rPr>
                <w:rFonts w:ascii="Calibri" w:eastAsia="Times New Roman" w:hAnsi="Calibri"/>
                <w:color w:val="000000"/>
                <w:sz w:val="18"/>
                <w:szCs w:val="18"/>
              </w:rPr>
              <w:br/>
            </w:r>
            <w:r w:rsidRPr="00B75B77">
              <w:rPr>
                <w:rFonts w:ascii="Calibri" w:eastAsia="Times New Roman" w:hAnsi="Calibri"/>
                <w:color w:val="000000"/>
                <w:sz w:val="8"/>
                <w:szCs w:val="8"/>
              </w:rPr>
              <w:br/>
            </w:r>
            <w:r w:rsidRPr="00B75B77">
              <w:rPr>
                <w:rFonts w:ascii="Calibri" w:eastAsia="Times New Roman" w:hAnsi="Calibri"/>
                <w:color w:val="000000"/>
                <w:sz w:val="18"/>
                <w:szCs w:val="18"/>
                <w:vertAlign w:val="superscript"/>
              </w:rPr>
              <w:t>[1]</w:t>
            </w:r>
            <w:r w:rsidRPr="00B75B77">
              <w:rPr>
                <w:rFonts w:ascii="Calibri" w:eastAsia="Times New Roman" w:hAnsi="Calibri"/>
                <w:color w:val="000000"/>
                <w:sz w:val="18"/>
                <w:szCs w:val="18"/>
              </w:rPr>
              <w:t xml:space="preserve"> Includes rebate processing, tracking system, general administration, EDC and CSP program management, general management</w:t>
            </w:r>
            <w:r w:rsidR="008841E5" w:rsidRPr="00B75B77">
              <w:rPr>
                <w:rFonts w:ascii="Calibri" w:eastAsia="Times New Roman" w:hAnsi="Calibri"/>
                <w:color w:val="000000"/>
                <w:sz w:val="18"/>
                <w:szCs w:val="18"/>
              </w:rPr>
              <w:t>,</w:t>
            </w:r>
            <w:r w:rsidRPr="00B75B77">
              <w:rPr>
                <w:rFonts w:ascii="Calibri" w:eastAsia="Times New Roman" w:hAnsi="Calibri"/>
                <w:color w:val="000000"/>
                <w:sz w:val="18"/>
                <w:szCs w:val="18"/>
              </w:rPr>
              <w:t xml:space="preserve"> and legal and technical assistance</w:t>
            </w:r>
            <w:r w:rsidR="002E49B3" w:rsidRPr="00B75B77">
              <w:rPr>
                <w:rFonts w:ascii="Calibri" w:eastAsia="Times New Roman" w:hAnsi="Calibri"/>
                <w:color w:val="000000"/>
                <w:sz w:val="18"/>
                <w:szCs w:val="18"/>
              </w:rPr>
              <w:t xml:space="preserve">. </w:t>
            </w:r>
            <w:r w:rsidRPr="00B75B77">
              <w:rPr>
                <w:rFonts w:ascii="Calibri" w:eastAsia="Times New Roman" w:hAnsi="Calibri"/>
                <w:color w:val="000000"/>
                <w:sz w:val="18"/>
                <w:szCs w:val="18"/>
              </w:rPr>
              <w:br/>
            </w:r>
            <w:r w:rsidRPr="00B75B77">
              <w:rPr>
                <w:rFonts w:ascii="Calibri" w:eastAsia="Times New Roman" w:hAnsi="Calibri"/>
                <w:color w:val="000000"/>
                <w:sz w:val="18"/>
                <w:szCs w:val="18"/>
                <w:vertAlign w:val="superscript"/>
              </w:rPr>
              <w:t>[2]</w:t>
            </w:r>
            <w:r w:rsidRPr="00B75B77">
              <w:rPr>
                <w:rFonts w:ascii="Calibri" w:eastAsia="Times New Roman" w:hAnsi="Calibri"/>
                <w:color w:val="000000"/>
                <w:sz w:val="18"/>
                <w:szCs w:val="18"/>
              </w:rPr>
              <w:t xml:space="preserve"> Includes the marketing CSP and marketing costs by program CSPs. </w:t>
            </w:r>
            <w:r w:rsidRPr="00B75B77">
              <w:rPr>
                <w:rFonts w:ascii="Calibri" w:eastAsia="Times New Roman" w:hAnsi="Calibri"/>
                <w:color w:val="000000"/>
                <w:sz w:val="18"/>
                <w:szCs w:val="18"/>
              </w:rPr>
              <w:br/>
            </w:r>
            <w:r w:rsidRPr="00B75B77">
              <w:rPr>
                <w:rFonts w:ascii="Calibri" w:eastAsia="Times New Roman" w:hAnsi="Calibri"/>
                <w:color w:val="000000"/>
                <w:sz w:val="18"/>
                <w:szCs w:val="18"/>
                <w:vertAlign w:val="superscript"/>
              </w:rPr>
              <w:t>[3]</w:t>
            </w:r>
            <w:r w:rsidRPr="00B75B77">
              <w:rPr>
                <w:rFonts w:ascii="Calibri" w:eastAsia="Times New Roman" w:hAnsi="Calibri"/>
                <w:color w:val="000000"/>
                <w:sz w:val="18"/>
                <w:szCs w:val="18"/>
              </w:rPr>
              <w:t xml:space="preserve"> Total TRC Costs includes Total EDC Costs and Participant Costs.</w:t>
            </w:r>
            <w:r w:rsidRPr="00B75B77">
              <w:rPr>
                <w:rFonts w:ascii="Calibri" w:eastAsia="Times New Roman" w:hAnsi="Calibri"/>
                <w:color w:val="000000"/>
                <w:sz w:val="18"/>
                <w:szCs w:val="18"/>
              </w:rPr>
              <w:br/>
            </w:r>
            <w:r w:rsidRPr="00B75B77">
              <w:rPr>
                <w:rFonts w:ascii="Calibri" w:eastAsia="Times New Roman" w:hAnsi="Calibri"/>
                <w:color w:val="000000"/>
                <w:sz w:val="18"/>
                <w:szCs w:val="18"/>
                <w:vertAlign w:val="superscript"/>
              </w:rPr>
              <w:t>[4]</w:t>
            </w:r>
            <w:r w:rsidRPr="00B75B77">
              <w:rPr>
                <w:rFonts w:ascii="Calibri" w:eastAsia="Times New Roman" w:hAnsi="Calibri"/>
                <w:color w:val="000000"/>
                <w:sz w:val="18"/>
                <w:szCs w:val="18"/>
              </w:rPr>
              <w:t xml:space="preserve"> Total TRC Benefits equals the sum of Total Lifetime Energy Benefits and Total Lifetime Capacity Benefits</w:t>
            </w:r>
            <w:r w:rsidR="00B92155" w:rsidRPr="00B75B77">
              <w:rPr>
                <w:rFonts w:ascii="Calibri" w:eastAsia="Times New Roman" w:hAnsi="Calibri"/>
                <w:color w:val="000000"/>
                <w:sz w:val="18"/>
                <w:szCs w:val="18"/>
              </w:rPr>
              <w:t xml:space="preserve"> b</w:t>
            </w:r>
            <w:r w:rsidRPr="00B75B77">
              <w:rPr>
                <w:rFonts w:ascii="Calibri" w:eastAsia="Times New Roman" w:hAnsi="Calibri"/>
                <w:color w:val="000000"/>
                <w:sz w:val="18"/>
                <w:szCs w:val="18"/>
              </w:rPr>
              <w:t>ased upon verified gross kWh and kW savings. Benefits include avoided supply costs, including the reduction in costs of electric energy, generation, transmission, and distribution capacity, and natural gas valued at marginal cost for periods when there is a load reduction. NOTE: Savings carried over from Phase I are not to be included as a part of Total TRC Benefits for Phase II.</w:t>
            </w:r>
            <w:r w:rsidRPr="00B75B77">
              <w:rPr>
                <w:rFonts w:ascii="Calibri" w:eastAsia="Times New Roman" w:hAnsi="Calibri"/>
                <w:color w:val="000000"/>
                <w:sz w:val="18"/>
                <w:szCs w:val="18"/>
              </w:rPr>
              <w:br/>
            </w:r>
            <w:r w:rsidRPr="00B75B77">
              <w:rPr>
                <w:rFonts w:ascii="Calibri" w:eastAsia="Times New Roman" w:hAnsi="Calibri"/>
                <w:color w:val="000000"/>
                <w:sz w:val="18"/>
                <w:szCs w:val="18"/>
                <w:vertAlign w:val="superscript"/>
              </w:rPr>
              <w:t>[5]</w:t>
            </w:r>
            <w:r w:rsidRPr="00B75B77">
              <w:rPr>
                <w:rFonts w:ascii="Calibri" w:eastAsia="Times New Roman" w:hAnsi="Calibri"/>
                <w:color w:val="000000"/>
                <w:sz w:val="18"/>
                <w:szCs w:val="18"/>
              </w:rPr>
              <w:t xml:space="preserve"> TRC Ratio equals Total NPV TRC Benefits divided by Total NPV TRC Costs.</w:t>
            </w:r>
            <w:r w:rsidRPr="00B75B77">
              <w:rPr>
                <w:rFonts w:ascii="Calibri" w:eastAsia="Times New Roman" w:hAnsi="Calibri"/>
                <w:color w:val="000000"/>
                <w:sz w:val="18"/>
                <w:szCs w:val="18"/>
              </w:rPr>
              <w:br/>
            </w:r>
            <w:r w:rsidRPr="00B75B77">
              <w:rPr>
                <w:rFonts w:ascii="Calibri" w:eastAsia="Times New Roman" w:hAnsi="Calibri"/>
                <w:color w:val="000000"/>
                <w:sz w:val="8"/>
                <w:szCs w:val="8"/>
              </w:rPr>
              <w:br/>
            </w:r>
            <w:r w:rsidRPr="00B75B77">
              <w:rPr>
                <w:rFonts w:ascii="Calibri" w:eastAsia="Times New Roman" w:hAnsi="Calibri"/>
                <w:iCs/>
                <w:color w:val="000000"/>
                <w:sz w:val="18"/>
                <w:szCs w:val="18"/>
              </w:rPr>
              <w:t xml:space="preserve">Values in tables may not reconcile exactly with </w:t>
            </w:r>
            <w:r w:rsidR="00B92155" w:rsidRPr="00B75B77">
              <w:rPr>
                <w:rFonts w:ascii="Calibri" w:eastAsia="Times New Roman" w:hAnsi="Calibri"/>
                <w:iCs/>
                <w:color w:val="000000"/>
                <w:sz w:val="18"/>
                <w:szCs w:val="18"/>
              </w:rPr>
              <w:t xml:space="preserve">the </w:t>
            </w:r>
            <w:r w:rsidRPr="00B75B77">
              <w:rPr>
                <w:rFonts w:ascii="Calibri" w:eastAsia="Times New Roman" w:hAnsi="Calibri"/>
                <w:iCs/>
                <w:color w:val="000000"/>
                <w:sz w:val="18"/>
                <w:szCs w:val="18"/>
              </w:rPr>
              <w:t>sum of more detailed level results or previously reported results due to rounding.</w:t>
            </w:r>
          </w:p>
        </w:tc>
      </w:tr>
    </w:tbl>
    <w:p w:rsidR="008B4879" w:rsidRPr="00B75B77" w:rsidRDefault="008B4879" w:rsidP="00B4241E">
      <w:pPr>
        <w:pStyle w:val="Source"/>
        <w:keepNext/>
        <w:ind w:left="270" w:hanging="90"/>
      </w:pPr>
      <w:r w:rsidRPr="00B75B77">
        <w:t>Source: Navigant analysis</w:t>
      </w:r>
    </w:p>
    <w:p w:rsidR="008B4879" w:rsidRPr="00B75B77" w:rsidRDefault="008B4879" w:rsidP="00751A38"/>
    <w:p w:rsidR="008B4879" w:rsidRPr="00B75B77" w:rsidRDefault="008B4879"/>
    <w:p w:rsidR="006D21FB" w:rsidRPr="00B75B77" w:rsidRDefault="008B4879">
      <w:pPr>
        <w:jc w:val="left"/>
      </w:pPr>
      <w:r w:rsidRPr="00B75B77">
        <w:br w:type="page"/>
      </w:r>
    </w:p>
    <w:p w:rsidR="00811E5F" w:rsidRPr="00B75B77" w:rsidRDefault="00811E5F" w:rsidP="00636577">
      <w:pPr>
        <w:pStyle w:val="Heading1"/>
      </w:pPr>
      <w:bookmarkStart w:id="427" w:name="_Toc466413316"/>
      <w:r w:rsidRPr="00B75B77">
        <w:lastRenderedPageBreak/>
        <w:t>Smart Usage Profile</w:t>
      </w:r>
      <w:r w:rsidR="002922A4" w:rsidRPr="00B75B77">
        <w:t xml:space="preserve"> Program</w:t>
      </w:r>
      <w:bookmarkEnd w:id="427"/>
    </w:p>
    <w:p w:rsidR="00811E5F" w:rsidRPr="00B75B77" w:rsidRDefault="00811E5F" w:rsidP="00811E5F">
      <w:r w:rsidRPr="00B75B77">
        <w:t xml:space="preserve">The primary goal of </w:t>
      </w:r>
      <w:r w:rsidR="002922A4" w:rsidRPr="00B75B77">
        <w:t>PECO’s</w:t>
      </w:r>
      <w:r w:rsidRPr="00B75B77">
        <w:t xml:space="preserve"> Smart Usage Profile (SUP) program is to achieve cost-effective energy savings by helping residential customers understand their energy use and adopt energy</w:t>
      </w:r>
      <w:r w:rsidR="002922A4" w:rsidRPr="00B75B77">
        <w:t xml:space="preserve"> </w:t>
      </w:r>
      <w:r w:rsidRPr="00B75B77">
        <w:t xml:space="preserve">efficient behavior changes. Additionally, PECO uses the program as a tool to enhance customer engagement and encourage participation in other PECO energy efficiency programs. The SUP program is an opt-out program in which the CSP, </w:t>
      </w:r>
      <w:proofErr w:type="spellStart"/>
      <w:r w:rsidRPr="00B75B77">
        <w:t>Opower</w:t>
      </w:r>
      <w:proofErr w:type="spellEnd"/>
      <w:r w:rsidRPr="00B75B77">
        <w:t xml:space="preserve">, enrolls participants in the program based on a randomized control trial (RCT) program design. Enrolled customers can opt out of the program by calling or emailing </w:t>
      </w:r>
      <w:r w:rsidR="000A791A" w:rsidRPr="00B75B77">
        <w:t>the CSP</w:t>
      </w:r>
      <w:r w:rsidRPr="00B75B77">
        <w:t xml:space="preserve">. </w:t>
      </w:r>
    </w:p>
    <w:p w:rsidR="00811E5F" w:rsidRPr="00B75B77" w:rsidRDefault="00057B1C" w:rsidP="00057B1C">
      <w:pPr>
        <w:tabs>
          <w:tab w:val="left" w:pos="6555"/>
        </w:tabs>
      </w:pPr>
      <w:r w:rsidRPr="00B75B77">
        <w:tab/>
      </w:r>
    </w:p>
    <w:p w:rsidR="00811E5F" w:rsidRPr="00B75B77" w:rsidRDefault="00811E5F" w:rsidP="00811E5F">
      <w:r w:rsidRPr="00B75B77">
        <w:t>The SUP program influences behavior change in customers by providing information in the form of a printed home energy report (HER) mailed bimonthly to participants. The HERs provide participants with information about their recent energy use and compare the usage to that of similar homes. The HERs also provide participants with energy-saving tips, some of which are tailored to the participants’ circumstances. In addition to the printed reports, the program also sends abbreviated email reports to participants for whom PECO has an email address and who have not opted out of receiving email communication. All participants also have access to an online web portal where they can track changes in their usage over time, establish energy-saving goals, and review tips for saving energy and money. The web portal is also available to nonparticipant PECO customers who sign up to access their bill online.</w:t>
      </w:r>
    </w:p>
    <w:p w:rsidR="00811E5F" w:rsidRPr="00B75B77" w:rsidRDefault="00811E5F" w:rsidP="00811E5F"/>
    <w:p w:rsidR="00811E5F" w:rsidRPr="00B75B77" w:rsidRDefault="00811E5F" w:rsidP="00811E5F">
      <w:r w:rsidRPr="00B75B77">
        <w:t xml:space="preserve">Energy savings are the primary metric for gauging program success and are determined via a regression analysis performed on the billing records of participant households. Savings from behavioral programs such as the SUP program are typically considered to have a </w:t>
      </w:r>
      <w:r w:rsidR="000A791A" w:rsidRPr="00B75B77">
        <w:t>1</w:t>
      </w:r>
      <w:r w:rsidRPr="00B75B77">
        <w:t>-year lifetime for as long as the reports are being delivered. Section A.2.c.2 of the Commission’s Phase II Final Implementation Order</w:t>
      </w:r>
      <w:r w:rsidRPr="00B75B77">
        <w:rPr>
          <w:rStyle w:val="FootnoteReference"/>
        </w:rPr>
        <w:footnoteReference w:id="27"/>
      </w:r>
      <w:r w:rsidRPr="00B75B77">
        <w:t xml:space="preserve"> indicates that savings are only counted for those measures for which the useful life is not expired at the end of the phase. Therefore, only savings from the SUP program in PY7 will count toward PECO’s compliance goals for Phase II</w:t>
      </w:r>
      <w:r w:rsidR="000A791A" w:rsidRPr="00B75B77">
        <w:t>;</w:t>
      </w:r>
      <w:r w:rsidRPr="00B75B77">
        <w:t xml:space="preserve"> program savings from PY5 and PY6 will not count toward the compliance goals.</w:t>
      </w:r>
    </w:p>
    <w:p w:rsidR="00811E5F" w:rsidRPr="00B75B77" w:rsidRDefault="00811E5F" w:rsidP="00286B52"/>
    <w:p w:rsidR="00811E5F" w:rsidRPr="00B75B77" w:rsidRDefault="00811E5F" w:rsidP="003E6A9B">
      <w:pPr>
        <w:pStyle w:val="Heading2"/>
      </w:pPr>
      <w:bookmarkStart w:id="428" w:name="_Toc466413317"/>
      <w:r w:rsidRPr="00B75B77">
        <w:t>Program Updates</w:t>
      </w:r>
      <w:bookmarkEnd w:id="428"/>
    </w:p>
    <w:p w:rsidR="00811E5F" w:rsidRPr="00B75B77" w:rsidRDefault="00811E5F" w:rsidP="00811E5F">
      <w:r w:rsidRPr="00B75B77">
        <w:t>PECO launched this program in PY5 and has not made any major changes to the program offerings outlined in the Phase II plan. The program added a wave of customer participants at or near the beginning of each program year during P</w:t>
      </w:r>
      <w:r w:rsidR="00D441B7" w:rsidRPr="00B75B77">
        <w:t xml:space="preserve">hase </w:t>
      </w:r>
      <w:r w:rsidRPr="00B75B77">
        <w:t>II. As such, three waves of customer participants are included in the PY7 evaluation of the SUP program.</w:t>
      </w:r>
    </w:p>
    <w:p w:rsidR="00811E5F" w:rsidRPr="00B75B77" w:rsidRDefault="00811E5F" w:rsidP="00286B52"/>
    <w:p w:rsidR="00811E5F" w:rsidRPr="00B75B77" w:rsidRDefault="00811E5F" w:rsidP="0045485C">
      <w:pPr>
        <w:pStyle w:val="Heading3"/>
      </w:pPr>
      <w:bookmarkStart w:id="429" w:name="_Toc466413318"/>
      <w:r w:rsidRPr="00B75B77">
        <w:t>Definition of Participant</w:t>
      </w:r>
      <w:bookmarkEnd w:id="429"/>
    </w:p>
    <w:p w:rsidR="00811E5F" w:rsidRPr="00B75B77" w:rsidRDefault="00811E5F" w:rsidP="00811E5F">
      <w:r w:rsidRPr="00B75B77">
        <w:t>A key feature of the SUP program is the use of an RCT design, in which eligible customers are randomly assigned to treatment and control groups. Due to random assignment, any difference in usage between treatment participants and control customers is a result of participation in the program. PECO defines participation based on the number of customer households assigned to the treatment group. One treatment group home equals one participant. To ensure the program achieves the highest amount of savings possible, PECO defines target SUP program customers as high-use</w:t>
      </w:r>
      <w:r w:rsidR="000A791A" w:rsidRPr="00B75B77">
        <w:t>,</w:t>
      </w:r>
      <w:r w:rsidRPr="00B75B77">
        <w:t xml:space="preserve"> residential customers that receive electricity from PECO.</w:t>
      </w:r>
      <w:r w:rsidRPr="00B75B77">
        <w:rPr>
          <w:rStyle w:val="FootnoteReference"/>
          <w:rFonts w:eastAsiaTheme="majorEastAsia"/>
        </w:rPr>
        <w:footnoteReference w:id="28"/>
      </w:r>
      <w:r w:rsidRPr="00B75B77">
        <w:t xml:space="preserve"> </w:t>
      </w:r>
      <w:r w:rsidR="00C56913" w:rsidRPr="00B75B77">
        <w:t>A</w:t>
      </w:r>
      <w:r w:rsidRPr="00B75B77">
        <w:t xml:space="preserve">s of this report, </w:t>
      </w:r>
      <w:r w:rsidR="0009500C" w:rsidRPr="00B75B77">
        <w:t>8%</w:t>
      </w:r>
      <w:r w:rsidRPr="00B75B77">
        <w:t xml:space="preserve"> of the SUP program target population includes low-</w:t>
      </w:r>
      <w:r w:rsidRPr="00B75B77">
        <w:lastRenderedPageBreak/>
        <w:t xml:space="preserve">income customers </w:t>
      </w:r>
      <w:r w:rsidR="00C56913" w:rsidRPr="00B75B77">
        <w:t>so that the</w:t>
      </w:r>
      <w:r w:rsidRPr="00B75B77">
        <w:t xml:space="preserve"> target population is representative of PECO’s aggregate low-income customer base.</w:t>
      </w:r>
      <w:r w:rsidRPr="00B75B77">
        <w:rPr>
          <w:rStyle w:val="FootnoteReference"/>
        </w:rPr>
        <w:footnoteReference w:id="29"/>
      </w:r>
      <w:r w:rsidRPr="00B75B77">
        <w:t xml:space="preserve"> </w:t>
      </w:r>
    </w:p>
    <w:p w:rsidR="00811E5F" w:rsidRPr="00B75B77" w:rsidRDefault="00811E5F" w:rsidP="00811E5F"/>
    <w:p w:rsidR="00811E5F" w:rsidRPr="00B75B77" w:rsidRDefault="00811E5F" w:rsidP="00811E5F">
      <w:pPr>
        <w:keepNext/>
      </w:pPr>
      <w:r w:rsidRPr="00B75B77">
        <w:t xml:space="preserve">Prior to the launch of each </w:t>
      </w:r>
      <w:r w:rsidR="0044162C" w:rsidRPr="00B75B77">
        <w:t>program year</w:t>
      </w:r>
      <w:r w:rsidRPr="00B75B77">
        <w:t xml:space="preserve"> participant wave, </w:t>
      </w:r>
      <w:proofErr w:type="spellStart"/>
      <w:r w:rsidR="00C56913" w:rsidRPr="00B75B77">
        <w:t>Opower</w:t>
      </w:r>
      <w:proofErr w:type="spellEnd"/>
      <w:r w:rsidRPr="00B75B77">
        <w:t xml:space="preserve"> selected a representative sample of target customers and randomly assigned them into either </w:t>
      </w:r>
      <w:r w:rsidR="00C56913" w:rsidRPr="00B75B77">
        <w:t>a</w:t>
      </w:r>
      <w:r w:rsidR="00512BA4" w:rsidRPr="00B75B77">
        <w:t xml:space="preserve"> </w:t>
      </w:r>
      <w:r w:rsidRPr="00B75B77">
        <w:t xml:space="preserve">treatment </w:t>
      </w:r>
      <w:r w:rsidR="00C56913" w:rsidRPr="00B75B77">
        <w:t xml:space="preserve">group </w:t>
      </w:r>
      <w:r w:rsidRPr="00B75B77">
        <w:t>or control group; treatment group customers receive the HERs and control group customers do not.</w:t>
      </w:r>
      <w:r w:rsidRPr="00B75B77">
        <w:rPr>
          <w:rStyle w:val="FootnoteReference"/>
        </w:rPr>
        <w:footnoteReference w:id="30"/>
      </w:r>
      <w:r w:rsidRPr="00B75B77">
        <w:t xml:space="preserve"> Customers assigned to the </w:t>
      </w:r>
      <w:r w:rsidR="008D7483" w:rsidRPr="00B75B77">
        <w:t>treatment/participant</w:t>
      </w:r>
      <w:r w:rsidRPr="00B75B77">
        <w:t xml:space="preserve"> group may opt out if they no longer want to receive the HERs. The evaluation, measurement, and verification </w:t>
      </w:r>
      <w:r w:rsidR="00C56913" w:rsidRPr="00B75B77">
        <w:t xml:space="preserve">(EM&amp;V) </w:t>
      </w:r>
      <w:r w:rsidRPr="00B75B77">
        <w:t>industry considers this RCT strategy to be the best way to enable accurate evaluation of the impacts of behavioral programs.</w:t>
      </w:r>
      <w:r w:rsidRPr="00B75B77">
        <w:rPr>
          <w:rStyle w:val="FootnoteReference"/>
          <w:rFonts w:eastAsiaTheme="majorEastAsia"/>
        </w:rPr>
        <w:footnoteReference w:id="31"/>
      </w:r>
      <w:r w:rsidRPr="00B75B77">
        <w:t xml:space="preserve"> The RCT strategy also aids the CSP and PECO in monitoring progress toward program goals. </w:t>
      </w:r>
    </w:p>
    <w:p w:rsidR="00811E5F" w:rsidRPr="00B75B77" w:rsidRDefault="00811E5F" w:rsidP="00811E5F"/>
    <w:p w:rsidR="00811E5F" w:rsidRPr="00B75B77" w:rsidRDefault="00811E5F" w:rsidP="00811E5F">
      <w:r w:rsidRPr="00B75B77">
        <w:t xml:space="preserve">In August 2013, </w:t>
      </w:r>
      <w:r w:rsidR="008D7483" w:rsidRPr="00B75B77">
        <w:t xml:space="preserve">the CSP </w:t>
      </w:r>
      <w:r w:rsidRPr="00B75B77">
        <w:t>enrolled 44,79</w:t>
      </w:r>
      <w:r w:rsidR="00EA6A21" w:rsidRPr="00B75B77">
        <w:t>5</w:t>
      </w:r>
      <w:r w:rsidRPr="00B75B77">
        <w:t xml:space="preserve"> PECO customers in the first wave treatment group (Wave 1). In June 2014, </w:t>
      </w:r>
      <w:r w:rsidR="008D7483" w:rsidRPr="00B75B77">
        <w:t xml:space="preserve">the CSP </w:t>
      </w:r>
      <w:r w:rsidRPr="00B75B77">
        <w:t>enrolled an additional 4</w:t>
      </w:r>
      <w:r w:rsidR="00CD50A6" w:rsidRPr="00B75B77">
        <w:t>4</w:t>
      </w:r>
      <w:r w:rsidRPr="00B75B77">
        <w:t>,</w:t>
      </w:r>
      <w:r w:rsidR="00EA6A21" w:rsidRPr="00B75B77">
        <w:t>983</w:t>
      </w:r>
      <w:r w:rsidRPr="00B75B77">
        <w:t xml:space="preserve"> customers in a second wave treatment group for PY6 (Wave 2)</w:t>
      </w:r>
      <w:r w:rsidR="00EA6A21" w:rsidRPr="00B75B77">
        <w:t>.</w:t>
      </w:r>
      <w:r w:rsidRPr="00B75B77">
        <w:t xml:space="preserve"> In June 2015, </w:t>
      </w:r>
      <w:r w:rsidR="008D7483" w:rsidRPr="00B75B77">
        <w:t>the CSP</w:t>
      </w:r>
      <w:r w:rsidRPr="00B75B77">
        <w:t xml:space="preserve"> enrolled a third wave of 69,</w:t>
      </w:r>
      <w:r w:rsidR="00EA6A21" w:rsidRPr="00B75B77">
        <w:t>298</w:t>
      </w:r>
      <w:r w:rsidRPr="00B75B77">
        <w:t xml:space="preserve"> participants for PY7 (Wave 3). </w:t>
      </w:r>
    </w:p>
    <w:p w:rsidR="00811E5F" w:rsidRPr="00B75B77" w:rsidRDefault="00811E5F" w:rsidP="00811E5F"/>
    <w:p w:rsidR="00811E5F" w:rsidRPr="00B75B77" w:rsidRDefault="00811E5F" w:rsidP="00811E5F">
      <w:pPr>
        <w:pStyle w:val="Heading2"/>
      </w:pPr>
      <w:bookmarkStart w:id="430" w:name="_Toc466413319"/>
      <w:r w:rsidRPr="00B75B77">
        <w:t>Impact Evaluation Gross Savings</w:t>
      </w:r>
      <w:bookmarkEnd w:id="430"/>
      <w:r w:rsidRPr="00B75B77">
        <w:t xml:space="preserve"> </w:t>
      </w:r>
    </w:p>
    <w:p w:rsidR="00811E5F" w:rsidRPr="00B75B77" w:rsidRDefault="00811E5F" w:rsidP="00811E5F">
      <w:r w:rsidRPr="00B75B77">
        <w:t xml:space="preserve">As mentioned, because this behavior program is assumed to have a </w:t>
      </w:r>
      <w:r w:rsidR="0032092F" w:rsidRPr="00B75B77">
        <w:t>1</w:t>
      </w:r>
      <w:r w:rsidRPr="00B75B77">
        <w:t xml:space="preserve">-year measure life, savings that accrue to this program are reported and verified each year but decay to zero at the completion of the program year. Therefore, only savings from the SUP program in PY7 will count toward PECO’s compliance goals for Phase II. </w:t>
      </w:r>
      <w:r w:rsidR="0032092F" w:rsidRPr="00B75B77">
        <w:t>During PY7</w:t>
      </w:r>
      <w:r w:rsidRPr="00B75B77">
        <w:t xml:space="preserve"> the program significantly exceeded its Phase II savings target of 20,0</w:t>
      </w:r>
      <w:r w:rsidR="00D34129" w:rsidRPr="00B75B77">
        <w:t xml:space="preserve">00 MWh of gross energy savings. </w:t>
      </w:r>
      <w:r w:rsidRPr="00B75B77">
        <w:t>During PY7</w:t>
      </w:r>
      <w:r w:rsidR="00D34129" w:rsidRPr="00B75B77">
        <w:t>, and therefore during Phase II,</w:t>
      </w:r>
      <w:r w:rsidRPr="00B75B77">
        <w:t xml:space="preserve"> the SUP program</w:t>
      </w:r>
      <w:r w:rsidR="00D34129" w:rsidRPr="00B75B77">
        <w:t xml:space="preserve"> achieved verified savings</w:t>
      </w:r>
      <w:r w:rsidRPr="00B75B77">
        <w:t xml:space="preserve"> of 3</w:t>
      </w:r>
      <w:r w:rsidR="00D34129" w:rsidRPr="00B75B77">
        <w:t>9,041</w:t>
      </w:r>
      <w:r w:rsidRPr="00B75B77">
        <w:t xml:space="preserve"> MWh. The savings results for the entirety of Phase II are summarized in </w:t>
      </w:r>
      <w:r w:rsidR="00B4241E" w:rsidRPr="00B75B77">
        <w:fldChar w:fldCharType="begin"/>
      </w:r>
      <w:r w:rsidR="00B4241E" w:rsidRPr="00B75B77">
        <w:instrText xml:space="preserve"> REF _Ref462218932 \h </w:instrText>
      </w:r>
      <w:r w:rsidR="00B75B77">
        <w:instrText xml:space="preserve"> \* MERGEFORMAT </w:instrText>
      </w:r>
      <w:r w:rsidR="00B4241E" w:rsidRPr="00B75B77">
        <w:fldChar w:fldCharType="separate"/>
      </w:r>
      <w:r w:rsidR="0004016D" w:rsidRPr="00B75B77">
        <w:t xml:space="preserve">Table </w:t>
      </w:r>
      <w:r w:rsidR="0004016D">
        <w:rPr>
          <w:noProof/>
        </w:rPr>
        <w:t>5</w:t>
      </w:r>
      <w:r w:rsidR="0004016D" w:rsidRPr="00B75B77">
        <w:rPr>
          <w:noProof/>
        </w:rPr>
        <w:noBreakHyphen/>
      </w:r>
      <w:r w:rsidR="0004016D">
        <w:rPr>
          <w:noProof/>
        </w:rPr>
        <w:t>1</w:t>
      </w:r>
      <w:r w:rsidR="00B4241E" w:rsidRPr="00B75B77">
        <w:fldChar w:fldCharType="end"/>
      </w:r>
      <w:r w:rsidRPr="00B75B77">
        <w:t>.</w:t>
      </w:r>
    </w:p>
    <w:p w:rsidR="00811E5F" w:rsidRPr="00B75B77" w:rsidRDefault="00811E5F" w:rsidP="00286B52"/>
    <w:p w:rsidR="00811E5F" w:rsidRPr="00B75B77" w:rsidRDefault="00811E5F" w:rsidP="00502659">
      <w:pPr>
        <w:pStyle w:val="Caption"/>
        <w:keepLines/>
      </w:pPr>
      <w:bookmarkStart w:id="431" w:name="_Ref462218932"/>
      <w:bookmarkStart w:id="432" w:name="_Toc466413542"/>
      <w:r w:rsidRPr="00B75B77">
        <w:lastRenderedPageBreak/>
        <w:t xml:space="preserve">Table </w:t>
      </w:r>
      <w:fldSimple w:instr=" STYLEREF 1 \s ">
        <w:r w:rsidR="0004016D">
          <w:rPr>
            <w:noProof/>
          </w:rPr>
          <w:t>5</w:t>
        </w:r>
      </w:fldSimple>
      <w:r w:rsidR="00F1144C" w:rsidRPr="00B75B77">
        <w:noBreakHyphen/>
      </w:r>
      <w:fldSimple w:instr=" SEQ Table \* ARABIC \s 1 ">
        <w:r w:rsidR="0004016D">
          <w:rPr>
            <w:noProof/>
          </w:rPr>
          <w:t>1</w:t>
        </w:r>
      </w:fldSimple>
      <w:bookmarkEnd w:id="431"/>
      <w:r w:rsidRPr="00B75B77">
        <w:t>: Phase II Smart Usage Profile Reported Results by Customer Sector</w:t>
      </w:r>
      <w:bookmarkEnd w:id="432"/>
    </w:p>
    <w:tbl>
      <w:tblPr>
        <w:tblW w:w="9085" w:type="dxa"/>
        <w:tblLook w:val="04A0" w:firstRow="1" w:lastRow="0" w:firstColumn="1" w:lastColumn="0" w:noHBand="0" w:noVBand="1"/>
      </w:tblPr>
      <w:tblGrid>
        <w:gridCol w:w="1615"/>
        <w:gridCol w:w="1350"/>
        <w:gridCol w:w="1530"/>
        <w:gridCol w:w="1080"/>
        <w:gridCol w:w="1170"/>
        <w:gridCol w:w="1013"/>
        <w:gridCol w:w="1327"/>
      </w:tblGrid>
      <w:tr w:rsidR="00811E5F" w:rsidRPr="00B75B77" w:rsidTr="00811E5F">
        <w:trPr>
          <w:divId w:val="266275674"/>
          <w:trHeight w:val="648"/>
        </w:trPr>
        <w:tc>
          <w:tcPr>
            <w:tcW w:w="1615" w:type="dxa"/>
            <w:tcBorders>
              <w:top w:val="single" w:sz="4" w:space="0" w:color="auto"/>
              <w:left w:val="single" w:sz="4" w:space="0" w:color="auto"/>
              <w:bottom w:val="single" w:sz="4" w:space="0" w:color="auto"/>
              <w:right w:val="single" w:sz="4" w:space="0" w:color="auto"/>
            </w:tcBorders>
            <w:shd w:val="clear" w:color="000000" w:fill="448A99"/>
            <w:vAlign w:val="center"/>
            <w:hideMark/>
          </w:tcPr>
          <w:p w:rsidR="00811E5F" w:rsidRPr="00B75B77" w:rsidRDefault="0043277A" w:rsidP="00502659">
            <w:pPr>
              <w:keepNext/>
              <w:keepLines/>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Customer </w:t>
            </w:r>
            <w:r w:rsidR="00811E5F" w:rsidRPr="00B75B77">
              <w:rPr>
                <w:rFonts w:ascii="Calibri" w:eastAsia="Times New Roman" w:hAnsi="Calibri"/>
                <w:b/>
                <w:bCs/>
                <w:color w:val="FFFFFF"/>
                <w:sz w:val="18"/>
                <w:szCs w:val="18"/>
              </w:rPr>
              <w:t>Sector</w:t>
            </w:r>
            <w:r w:rsidR="00811E5F" w:rsidRPr="00B75B77">
              <w:rPr>
                <w:rFonts w:ascii="Calibri" w:eastAsia="Times New Roman" w:hAnsi="Calibri"/>
                <w:b/>
                <w:bCs/>
                <w:color w:val="FFFFFF"/>
                <w:sz w:val="18"/>
                <w:szCs w:val="18"/>
                <w:vertAlign w:val="superscript"/>
              </w:rPr>
              <w:t>[1]</w:t>
            </w:r>
          </w:p>
        </w:tc>
        <w:tc>
          <w:tcPr>
            <w:tcW w:w="1350" w:type="dxa"/>
            <w:tcBorders>
              <w:top w:val="single" w:sz="4" w:space="0" w:color="auto"/>
              <w:left w:val="nil"/>
              <w:bottom w:val="single" w:sz="4" w:space="0" w:color="auto"/>
              <w:right w:val="single" w:sz="4" w:space="0" w:color="auto"/>
            </w:tcBorders>
            <w:shd w:val="clear" w:color="000000" w:fill="448A99"/>
            <w:vAlign w:val="center"/>
            <w:hideMark/>
          </w:tcPr>
          <w:p w:rsidR="00811E5F" w:rsidRPr="00B75B77" w:rsidRDefault="00811E5F" w:rsidP="00502659">
            <w:pPr>
              <w:keepNext/>
              <w:keepLines/>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Participants</w:t>
            </w:r>
          </w:p>
        </w:tc>
        <w:tc>
          <w:tcPr>
            <w:tcW w:w="1530" w:type="dxa"/>
            <w:tcBorders>
              <w:top w:val="single" w:sz="4" w:space="0" w:color="auto"/>
              <w:left w:val="nil"/>
              <w:bottom w:val="single" w:sz="4" w:space="0" w:color="auto"/>
              <w:right w:val="single" w:sz="4" w:space="0" w:color="auto"/>
            </w:tcBorders>
            <w:shd w:val="clear" w:color="000000" w:fill="448A99"/>
            <w:vAlign w:val="center"/>
            <w:hideMark/>
          </w:tcPr>
          <w:p w:rsidR="00811E5F" w:rsidRPr="00B75B77" w:rsidRDefault="00811E5F" w:rsidP="00502659">
            <w:pPr>
              <w:keepNext/>
              <w:keepLines/>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Reported Gross Energy Savings (MWh)</w:t>
            </w:r>
          </w:p>
        </w:tc>
        <w:tc>
          <w:tcPr>
            <w:tcW w:w="1080" w:type="dxa"/>
            <w:tcBorders>
              <w:top w:val="single" w:sz="4" w:space="0" w:color="auto"/>
              <w:left w:val="nil"/>
              <w:bottom w:val="single" w:sz="4" w:space="0" w:color="auto"/>
              <w:right w:val="single" w:sz="4" w:space="0" w:color="auto"/>
            </w:tcBorders>
            <w:shd w:val="clear" w:color="000000" w:fill="448A99"/>
            <w:vAlign w:val="center"/>
            <w:hideMark/>
          </w:tcPr>
          <w:p w:rsidR="00811E5F" w:rsidRPr="00B75B77" w:rsidRDefault="00811E5F" w:rsidP="00502659">
            <w:pPr>
              <w:keepNext/>
              <w:keepLines/>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Reported Gross Demand Reduction (MW)</w:t>
            </w:r>
            <w:r w:rsidRPr="00B75B77">
              <w:rPr>
                <w:rFonts w:ascii="Calibri" w:eastAsia="Times New Roman" w:hAnsi="Calibri"/>
                <w:b/>
                <w:bCs/>
                <w:color w:val="FFFFFF"/>
                <w:sz w:val="18"/>
                <w:szCs w:val="18"/>
                <w:vertAlign w:val="superscript"/>
              </w:rPr>
              <w:t>[2]</w:t>
            </w:r>
          </w:p>
        </w:tc>
        <w:tc>
          <w:tcPr>
            <w:tcW w:w="1170" w:type="dxa"/>
            <w:tcBorders>
              <w:top w:val="single" w:sz="4" w:space="0" w:color="auto"/>
              <w:left w:val="nil"/>
              <w:bottom w:val="single" w:sz="4" w:space="0" w:color="auto"/>
              <w:right w:val="single" w:sz="4" w:space="0" w:color="auto"/>
            </w:tcBorders>
            <w:shd w:val="clear" w:color="000000" w:fill="448A99"/>
            <w:vAlign w:val="center"/>
            <w:hideMark/>
          </w:tcPr>
          <w:p w:rsidR="00811E5F" w:rsidRPr="00B75B77" w:rsidRDefault="00811E5F" w:rsidP="00502659">
            <w:pPr>
              <w:keepNext/>
              <w:keepLines/>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Verified Gross Energy Savings (MWh)</w:t>
            </w:r>
          </w:p>
        </w:tc>
        <w:tc>
          <w:tcPr>
            <w:tcW w:w="1013" w:type="dxa"/>
            <w:tcBorders>
              <w:top w:val="single" w:sz="4" w:space="0" w:color="auto"/>
              <w:left w:val="nil"/>
              <w:bottom w:val="single" w:sz="4" w:space="0" w:color="auto"/>
              <w:right w:val="single" w:sz="4" w:space="0" w:color="auto"/>
            </w:tcBorders>
            <w:shd w:val="clear" w:color="000000" w:fill="448A99"/>
            <w:vAlign w:val="center"/>
            <w:hideMark/>
          </w:tcPr>
          <w:p w:rsidR="00811E5F" w:rsidRPr="00B75B77" w:rsidRDefault="00811E5F" w:rsidP="00502659">
            <w:pPr>
              <w:keepNext/>
              <w:keepLines/>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Verified Gross Demand Reduction (MW)</w:t>
            </w:r>
            <w:r w:rsidRPr="00B75B77">
              <w:rPr>
                <w:rFonts w:ascii="Calibri" w:eastAsia="Times New Roman" w:hAnsi="Calibri"/>
                <w:b/>
                <w:bCs/>
                <w:color w:val="FFFFFF"/>
                <w:sz w:val="18"/>
                <w:szCs w:val="18"/>
                <w:vertAlign w:val="superscript"/>
              </w:rPr>
              <w:t>[2]</w:t>
            </w:r>
          </w:p>
        </w:tc>
        <w:tc>
          <w:tcPr>
            <w:tcW w:w="1327" w:type="dxa"/>
            <w:tcBorders>
              <w:top w:val="single" w:sz="4" w:space="0" w:color="auto"/>
              <w:left w:val="nil"/>
              <w:bottom w:val="single" w:sz="4" w:space="0" w:color="auto"/>
              <w:right w:val="single" w:sz="4" w:space="0" w:color="auto"/>
            </w:tcBorders>
            <w:shd w:val="clear" w:color="000000" w:fill="448A99"/>
            <w:vAlign w:val="center"/>
            <w:hideMark/>
          </w:tcPr>
          <w:p w:rsidR="00811E5F" w:rsidRPr="00B75B77" w:rsidRDefault="00811E5F" w:rsidP="00502659">
            <w:pPr>
              <w:keepNext/>
              <w:keepLines/>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Incentives Paid</w:t>
            </w:r>
            <w:r w:rsidRPr="00B75B77">
              <w:rPr>
                <w:rFonts w:ascii="Calibri" w:eastAsia="Times New Roman" w:hAnsi="Calibri"/>
                <w:b/>
                <w:bCs/>
                <w:color w:val="FFFFFF"/>
                <w:sz w:val="18"/>
                <w:szCs w:val="18"/>
              </w:rPr>
              <w:br/>
              <w:t>($1,000)</w:t>
            </w:r>
          </w:p>
        </w:tc>
      </w:tr>
      <w:tr w:rsidR="00442C8B" w:rsidRPr="00B75B77" w:rsidTr="00811E5F">
        <w:trPr>
          <w:divId w:val="266275674"/>
          <w:trHeight w:val="372"/>
        </w:trPr>
        <w:tc>
          <w:tcPr>
            <w:tcW w:w="1615" w:type="dxa"/>
            <w:tcBorders>
              <w:top w:val="nil"/>
              <w:left w:val="single" w:sz="4" w:space="0" w:color="448A99"/>
              <w:bottom w:val="single" w:sz="4" w:space="0" w:color="448A99"/>
              <w:right w:val="single" w:sz="4" w:space="0" w:color="448A99"/>
            </w:tcBorders>
            <w:shd w:val="clear" w:color="000000" w:fill="D2EAF1"/>
            <w:vAlign w:val="center"/>
            <w:hideMark/>
          </w:tcPr>
          <w:p w:rsidR="00442C8B" w:rsidRPr="00B75B77" w:rsidRDefault="00442C8B" w:rsidP="00502659">
            <w:pPr>
              <w:keepNext/>
              <w:keepLines/>
              <w:jc w:val="left"/>
              <w:rPr>
                <w:rFonts w:ascii="Calibri" w:eastAsia="Times New Roman" w:hAnsi="Calibri"/>
                <w:bCs/>
                <w:color w:val="000000"/>
                <w:sz w:val="18"/>
                <w:szCs w:val="18"/>
              </w:rPr>
            </w:pPr>
            <w:r w:rsidRPr="00B75B77">
              <w:rPr>
                <w:rFonts w:ascii="Calibri" w:eastAsia="Times New Roman" w:hAnsi="Calibri"/>
                <w:bCs/>
                <w:color w:val="000000"/>
                <w:sz w:val="18"/>
                <w:szCs w:val="18"/>
              </w:rPr>
              <w:t>Residential (Non-Low-Income)</w:t>
            </w:r>
          </w:p>
        </w:tc>
        <w:tc>
          <w:tcPr>
            <w:tcW w:w="1350"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502659">
            <w:pPr>
              <w:keepNext/>
              <w:keepLines/>
              <w:jc w:val="center"/>
              <w:rPr>
                <w:rFonts w:ascii="Calibri" w:eastAsia="Times New Roman" w:hAnsi="Calibri"/>
                <w:color w:val="000000"/>
                <w:sz w:val="18"/>
                <w:szCs w:val="18"/>
              </w:rPr>
            </w:pPr>
            <w:r w:rsidRPr="00B75B77">
              <w:rPr>
                <w:rFonts w:ascii="Calibri" w:eastAsia="Times New Roman" w:hAnsi="Calibri"/>
                <w:color w:val="000000"/>
                <w:sz w:val="18"/>
                <w:szCs w:val="18"/>
              </w:rPr>
              <w:t>132,289</w:t>
            </w:r>
          </w:p>
        </w:tc>
        <w:tc>
          <w:tcPr>
            <w:tcW w:w="1530"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502659">
            <w:pPr>
              <w:keepNext/>
              <w:keepLines/>
              <w:jc w:val="center"/>
              <w:rPr>
                <w:rFonts w:ascii="Calibri" w:eastAsia="Times New Roman" w:hAnsi="Calibri"/>
                <w:color w:val="000000"/>
                <w:sz w:val="18"/>
                <w:szCs w:val="18"/>
              </w:rPr>
            </w:pPr>
            <w:r w:rsidRPr="00B75B77">
              <w:rPr>
                <w:rFonts w:ascii="Calibri" w:eastAsia="Times New Roman" w:hAnsi="Calibri"/>
                <w:color w:val="000000"/>
                <w:sz w:val="18"/>
                <w:szCs w:val="18"/>
              </w:rPr>
              <w:t>36,690</w:t>
            </w:r>
          </w:p>
        </w:tc>
        <w:tc>
          <w:tcPr>
            <w:tcW w:w="1080"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502659">
            <w:pPr>
              <w:keepNext/>
              <w:keepLines/>
              <w:jc w:val="center"/>
              <w:rPr>
                <w:rFonts w:ascii="Calibri" w:eastAsia="Times New Roman" w:hAnsi="Calibri"/>
                <w:color w:val="000000"/>
                <w:sz w:val="18"/>
                <w:szCs w:val="18"/>
              </w:rPr>
            </w:pPr>
            <w:r w:rsidRPr="00B75B77">
              <w:rPr>
                <w:rFonts w:ascii="Calibri" w:eastAsia="Times New Roman" w:hAnsi="Calibri"/>
                <w:color w:val="000000"/>
                <w:sz w:val="18"/>
                <w:szCs w:val="18"/>
              </w:rPr>
              <w:t>0.00</w:t>
            </w:r>
          </w:p>
        </w:tc>
        <w:tc>
          <w:tcPr>
            <w:tcW w:w="1170"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502659">
            <w:pPr>
              <w:keepNext/>
              <w:keepLines/>
              <w:jc w:val="center"/>
              <w:rPr>
                <w:rFonts w:ascii="Calibri" w:eastAsia="Times New Roman" w:hAnsi="Calibri"/>
                <w:color w:val="000000"/>
                <w:sz w:val="18"/>
                <w:szCs w:val="18"/>
              </w:rPr>
            </w:pPr>
            <w:r w:rsidRPr="00B75B77">
              <w:rPr>
                <w:rFonts w:ascii="Calibri" w:eastAsia="Times New Roman" w:hAnsi="Calibri"/>
                <w:color w:val="000000"/>
                <w:sz w:val="18"/>
                <w:szCs w:val="18"/>
              </w:rPr>
              <w:t>39,041</w:t>
            </w:r>
          </w:p>
        </w:tc>
        <w:tc>
          <w:tcPr>
            <w:tcW w:w="1013" w:type="dxa"/>
            <w:tcBorders>
              <w:top w:val="nil"/>
              <w:left w:val="nil"/>
              <w:bottom w:val="single" w:sz="4" w:space="0" w:color="448A99"/>
              <w:right w:val="nil"/>
            </w:tcBorders>
            <w:shd w:val="clear" w:color="000000" w:fill="D2EAF1"/>
            <w:vAlign w:val="center"/>
            <w:hideMark/>
          </w:tcPr>
          <w:p w:rsidR="00442C8B" w:rsidRPr="00B75B77" w:rsidRDefault="00442C8B" w:rsidP="00502659">
            <w:pPr>
              <w:keepNext/>
              <w:keepLines/>
              <w:jc w:val="center"/>
              <w:rPr>
                <w:rFonts w:ascii="Calibri" w:eastAsia="Times New Roman" w:hAnsi="Calibri"/>
                <w:color w:val="000000"/>
                <w:sz w:val="18"/>
                <w:szCs w:val="18"/>
              </w:rPr>
            </w:pPr>
            <w:r w:rsidRPr="00B75B77">
              <w:rPr>
                <w:rFonts w:ascii="Calibri" w:eastAsia="Times New Roman" w:hAnsi="Calibri"/>
                <w:color w:val="000000"/>
                <w:sz w:val="18"/>
                <w:szCs w:val="18"/>
              </w:rPr>
              <w:t>0.00</w:t>
            </w:r>
          </w:p>
        </w:tc>
        <w:tc>
          <w:tcPr>
            <w:tcW w:w="1327" w:type="dxa"/>
            <w:tcBorders>
              <w:top w:val="nil"/>
              <w:left w:val="single" w:sz="4" w:space="0" w:color="448A99"/>
              <w:bottom w:val="single" w:sz="4" w:space="0" w:color="448A99"/>
              <w:right w:val="single" w:sz="4" w:space="0" w:color="448A99"/>
            </w:tcBorders>
            <w:shd w:val="clear" w:color="000000" w:fill="D2EAF1"/>
            <w:vAlign w:val="center"/>
            <w:hideMark/>
          </w:tcPr>
          <w:p w:rsidR="00442C8B" w:rsidRPr="00B75B77" w:rsidRDefault="00442C8B" w:rsidP="00502659">
            <w:pPr>
              <w:keepNext/>
              <w:keepLines/>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442C8B" w:rsidRPr="00B75B77" w:rsidTr="00811E5F">
        <w:trPr>
          <w:divId w:val="266275674"/>
          <w:trHeight w:val="372"/>
        </w:trPr>
        <w:tc>
          <w:tcPr>
            <w:tcW w:w="1615" w:type="dxa"/>
            <w:tcBorders>
              <w:top w:val="nil"/>
              <w:left w:val="single" w:sz="4" w:space="0" w:color="448A99"/>
              <w:bottom w:val="single" w:sz="4" w:space="0" w:color="448A99"/>
              <w:right w:val="single" w:sz="4" w:space="0" w:color="448A99"/>
            </w:tcBorders>
            <w:shd w:val="clear" w:color="000000" w:fill="FFFFFF"/>
            <w:vAlign w:val="center"/>
            <w:hideMark/>
          </w:tcPr>
          <w:p w:rsidR="00442C8B" w:rsidRPr="00B75B77" w:rsidRDefault="00442C8B" w:rsidP="00502659">
            <w:pPr>
              <w:keepNext/>
              <w:keepLines/>
              <w:jc w:val="left"/>
              <w:rPr>
                <w:rFonts w:ascii="Calibri" w:eastAsia="Times New Roman" w:hAnsi="Calibri"/>
                <w:bCs/>
                <w:color w:val="000000"/>
                <w:sz w:val="18"/>
                <w:szCs w:val="18"/>
              </w:rPr>
            </w:pPr>
            <w:r w:rsidRPr="00B75B77">
              <w:rPr>
                <w:rFonts w:ascii="Calibri" w:eastAsia="Times New Roman" w:hAnsi="Calibri"/>
                <w:bCs/>
                <w:color w:val="000000"/>
                <w:sz w:val="18"/>
                <w:szCs w:val="18"/>
              </w:rPr>
              <w:t>Residential (Low-Income)</w:t>
            </w:r>
          </w:p>
        </w:tc>
        <w:tc>
          <w:tcPr>
            <w:tcW w:w="1350"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502659">
            <w:pPr>
              <w:keepNext/>
              <w:keepLines/>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530"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502659">
            <w:pPr>
              <w:keepNext/>
              <w:keepLines/>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080"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502659">
            <w:pPr>
              <w:keepNext/>
              <w:keepLines/>
              <w:jc w:val="center"/>
              <w:rPr>
                <w:rFonts w:ascii="Calibri" w:eastAsia="Times New Roman" w:hAnsi="Calibri"/>
                <w:color w:val="000000"/>
                <w:sz w:val="18"/>
                <w:szCs w:val="18"/>
              </w:rPr>
            </w:pPr>
            <w:r w:rsidRPr="00B75B77">
              <w:rPr>
                <w:rFonts w:ascii="Calibri" w:eastAsia="Times New Roman" w:hAnsi="Calibri"/>
                <w:color w:val="000000"/>
                <w:sz w:val="18"/>
                <w:szCs w:val="18"/>
              </w:rPr>
              <w:t>0.00</w:t>
            </w:r>
          </w:p>
        </w:tc>
        <w:tc>
          <w:tcPr>
            <w:tcW w:w="1170"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502659">
            <w:pPr>
              <w:keepNext/>
              <w:keepLines/>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013" w:type="dxa"/>
            <w:tcBorders>
              <w:top w:val="nil"/>
              <w:left w:val="nil"/>
              <w:bottom w:val="single" w:sz="4" w:space="0" w:color="448A99"/>
              <w:right w:val="nil"/>
            </w:tcBorders>
            <w:shd w:val="clear" w:color="000000" w:fill="FFFFFF"/>
            <w:vAlign w:val="center"/>
            <w:hideMark/>
          </w:tcPr>
          <w:p w:rsidR="00442C8B" w:rsidRPr="00B75B77" w:rsidRDefault="00442C8B" w:rsidP="00502659">
            <w:pPr>
              <w:keepNext/>
              <w:keepLines/>
              <w:jc w:val="center"/>
              <w:rPr>
                <w:rFonts w:ascii="Calibri" w:eastAsia="Times New Roman" w:hAnsi="Calibri"/>
                <w:color w:val="000000"/>
                <w:sz w:val="18"/>
                <w:szCs w:val="18"/>
              </w:rPr>
            </w:pPr>
            <w:r w:rsidRPr="00B75B77">
              <w:rPr>
                <w:rFonts w:ascii="Calibri" w:eastAsia="Times New Roman" w:hAnsi="Calibri"/>
                <w:color w:val="000000"/>
                <w:sz w:val="18"/>
                <w:szCs w:val="18"/>
              </w:rPr>
              <w:t>0.00</w:t>
            </w:r>
          </w:p>
        </w:tc>
        <w:tc>
          <w:tcPr>
            <w:tcW w:w="1327" w:type="dxa"/>
            <w:tcBorders>
              <w:top w:val="nil"/>
              <w:left w:val="single" w:sz="4" w:space="0" w:color="448A99"/>
              <w:bottom w:val="single" w:sz="4" w:space="0" w:color="448A99"/>
              <w:right w:val="single" w:sz="4" w:space="0" w:color="448A99"/>
            </w:tcBorders>
            <w:shd w:val="clear" w:color="000000" w:fill="FFFFFF"/>
            <w:vAlign w:val="center"/>
            <w:hideMark/>
          </w:tcPr>
          <w:p w:rsidR="00442C8B" w:rsidRPr="00B75B77" w:rsidRDefault="00442C8B" w:rsidP="00502659">
            <w:pPr>
              <w:keepNext/>
              <w:keepLines/>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811E5F" w:rsidRPr="00B75B77" w:rsidTr="00811E5F">
        <w:trPr>
          <w:divId w:val="266275674"/>
          <w:trHeight w:val="372"/>
        </w:trPr>
        <w:tc>
          <w:tcPr>
            <w:tcW w:w="1615" w:type="dxa"/>
            <w:tcBorders>
              <w:top w:val="nil"/>
              <w:left w:val="single" w:sz="4" w:space="0" w:color="448A99"/>
              <w:bottom w:val="single" w:sz="4" w:space="0" w:color="448A99"/>
              <w:right w:val="single" w:sz="4" w:space="0" w:color="448A99"/>
            </w:tcBorders>
            <w:shd w:val="clear" w:color="000000" w:fill="D2EAF1"/>
            <w:vAlign w:val="center"/>
            <w:hideMark/>
          </w:tcPr>
          <w:p w:rsidR="00811E5F" w:rsidRPr="00B75B77" w:rsidRDefault="00811E5F" w:rsidP="00502659">
            <w:pPr>
              <w:keepNext/>
              <w:keepLines/>
              <w:jc w:val="left"/>
              <w:rPr>
                <w:rFonts w:ascii="Calibri" w:eastAsia="Times New Roman" w:hAnsi="Calibri"/>
                <w:bCs/>
                <w:color w:val="000000"/>
                <w:sz w:val="18"/>
                <w:szCs w:val="18"/>
              </w:rPr>
            </w:pPr>
            <w:r w:rsidRPr="00B75B77">
              <w:rPr>
                <w:rFonts w:ascii="Calibri" w:eastAsia="Times New Roman" w:hAnsi="Calibri"/>
                <w:bCs/>
                <w:color w:val="000000"/>
                <w:sz w:val="18"/>
                <w:szCs w:val="18"/>
              </w:rPr>
              <w:t>Small C</w:t>
            </w:r>
            <w:r w:rsidR="0054073E" w:rsidRPr="00B75B77">
              <w:rPr>
                <w:rFonts w:ascii="Calibri" w:eastAsia="Times New Roman" w:hAnsi="Calibri"/>
                <w:bCs/>
                <w:color w:val="000000"/>
                <w:sz w:val="18"/>
                <w:szCs w:val="18"/>
              </w:rPr>
              <w:t>&amp;I</w:t>
            </w:r>
          </w:p>
        </w:tc>
        <w:tc>
          <w:tcPr>
            <w:tcW w:w="1350" w:type="dxa"/>
            <w:tcBorders>
              <w:top w:val="nil"/>
              <w:left w:val="nil"/>
              <w:bottom w:val="single" w:sz="4" w:space="0" w:color="448A99"/>
              <w:right w:val="single" w:sz="4" w:space="0" w:color="448A99"/>
            </w:tcBorders>
            <w:shd w:val="clear" w:color="000000" w:fill="D2EAF1"/>
            <w:vAlign w:val="center"/>
            <w:hideMark/>
          </w:tcPr>
          <w:p w:rsidR="00811E5F" w:rsidRPr="00B75B77" w:rsidRDefault="00811E5F" w:rsidP="00502659">
            <w:pPr>
              <w:keepNext/>
              <w:keepLines/>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530" w:type="dxa"/>
            <w:tcBorders>
              <w:top w:val="nil"/>
              <w:left w:val="nil"/>
              <w:bottom w:val="single" w:sz="4" w:space="0" w:color="448A99"/>
              <w:right w:val="single" w:sz="4" w:space="0" w:color="448A99"/>
            </w:tcBorders>
            <w:shd w:val="clear" w:color="000000" w:fill="D2EAF1"/>
            <w:vAlign w:val="center"/>
            <w:hideMark/>
          </w:tcPr>
          <w:p w:rsidR="00811E5F" w:rsidRPr="00B75B77" w:rsidRDefault="00811E5F" w:rsidP="00502659">
            <w:pPr>
              <w:keepNext/>
              <w:keepLines/>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080" w:type="dxa"/>
            <w:tcBorders>
              <w:top w:val="nil"/>
              <w:left w:val="nil"/>
              <w:bottom w:val="single" w:sz="4" w:space="0" w:color="448A99"/>
              <w:right w:val="single" w:sz="4" w:space="0" w:color="448A99"/>
            </w:tcBorders>
            <w:shd w:val="clear" w:color="000000" w:fill="D2EAF1"/>
            <w:vAlign w:val="center"/>
            <w:hideMark/>
          </w:tcPr>
          <w:p w:rsidR="00811E5F" w:rsidRPr="00B75B77" w:rsidRDefault="00811E5F" w:rsidP="00502659">
            <w:pPr>
              <w:keepNext/>
              <w:keepLines/>
              <w:jc w:val="center"/>
              <w:rPr>
                <w:rFonts w:ascii="Calibri" w:eastAsia="Times New Roman" w:hAnsi="Calibri"/>
                <w:color w:val="000000"/>
                <w:sz w:val="18"/>
                <w:szCs w:val="18"/>
              </w:rPr>
            </w:pPr>
            <w:r w:rsidRPr="00B75B77">
              <w:rPr>
                <w:rFonts w:ascii="Calibri" w:eastAsia="Times New Roman" w:hAnsi="Calibri"/>
                <w:color w:val="000000"/>
                <w:sz w:val="18"/>
                <w:szCs w:val="18"/>
              </w:rPr>
              <w:t>0.00</w:t>
            </w:r>
          </w:p>
        </w:tc>
        <w:tc>
          <w:tcPr>
            <w:tcW w:w="1170" w:type="dxa"/>
            <w:tcBorders>
              <w:top w:val="nil"/>
              <w:left w:val="nil"/>
              <w:bottom w:val="single" w:sz="4" w:space="0" w:color="448A99"/>
              <w:right w:val="single" w:sz="4" w:space="0" w:color="448A99"/>
            </w:tcBorders>
            <w:shd w:val="clear" w:color="000000" w:fill="D2EAF1"/>
            <w:vAlign w:val="center"/>
            <w:hideMark/>
          </w:tcPr>
          <w:p w:rsidR="00811E5F" w:rsidRPr="00B75B77" w:rsidRDefault="00811E5F" w:rsidP="00502659">
            <w:pPr>
              <w:keepNext/>
              <w:keepLines/>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013" w:type="dxa"/>
            <w:tcBorders>
              <w:top w:val="nil"/>
              <w:left w:val="nil"/>
              <w:bottom w:val="single" w:sz="4" w:space="0" w:color="448A99"/>
              <w:right w:val="nil"/>
            </w:tcBorders>
            <w:shd w:val="clear" w:color="000000" w:fill="D2EAF1"/>
            <w:vAlign w:val="center"/>
            <w:hideMark/>
          </w:tcPr>
          <w:p w:rsidR="00811E5F" w:rsidRPr="00B75B77" w:rsidRDefault="00811E5F" w:rsidP="00502659">
            <w:pPr>
              <w:keepNext/>
              <w:keepLines/>
              <w:jc w:val="center"/>
              <w:rPr>
                <w:rFonts w:ascii="Calibri" w:eastAsia="Times New Roman" w:hAnsi="Calibri"/>
                <w:color w:val="000000"/>
                <w:sz w:val="18"/>
                <w:szCs w:val="18"/>
              </w:rPr>
            </w:pPr>
            <w:r w:rsidRPr="00B75B77">
              <w:rPr>
                <w:rFonts w:ascii="Calibri" w:eastAsia="Times New Roman" w:hAnsi="Calibri"/>
                <w:color w:val="000000"/>
                <w:sz w:val="18"/>
                <w:szCs w:val="18"/>
              </w:rPr>
              <w:t>0.00</w:t>
            </w:r>
          </w:p>
        </w:tc>
        <w:tc>
          <w:tcPr>
            <w:tcW w:w="1327" w:type="dxa"/>
            <w:tcBorders>
              <w:top w:val="nil"/>
              <w:left w:val="single" w:sz="4" w:space="0" w:color="448A99"/>
              <w:bottom w:val="single" w:sz="4" w:space="0" w:color="448A99"/>
              <w:right w:val="single" w:sz="4" w:space="0" w:color="448A99"/>
            </w:tcBorders>
            <w:shd w:val="clear" w:color="000000" w:fill="D2EAF1"/>
            <w:vAlign w:val="center"/>
            <w:hideMark/>
          </w:tcPr>
          <w:p w:rsidR="00811E5F" w:rsidRPr="00B75B77" w:rsidRDefault="00811E5F" w:rsidP="00502659">
            <w:pPr>
              <w:keepNext/>
              <w:keepLines/>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811E5F" w:rsidRPr="00B75B77" w:rsidTr="00811E5F">
        <w:trPr>
          <w:divId w:val="266275674"/>
          <w:trHeight w:val="372"/>
        </w:trPr>
        <w:tc>
          <w:tcPr>
            <w:tcW w:w="1615" w:type="dxa"/>
            <w:tcBorders>
              <w:top w:val="nil"/>
              <w:left w:val="single" w:sz="4" w:space="0" w:color="448A99"/>
              <w:bottom w:val="single" w:sz="4" w:space="0" w:color="448A99"/>
              <w:right w:val="single" w:sz="4" w:space="0" w:color="448A99"/>
            </w:tcBorders>
            <w:shd w:val="clear" w:color="000000" w:fill="FFFFFF"/>
            <w:vAlign w:val="center"/>
            <w:hideMark/>
          </w:tcPr>
          <w:p w:rsidR="00811E5F" w:rsidRPr="00B75B77" w:rsidRDefault="00811E5F" w:rsidP="00502659">
            <w:pPr>
              <w:keepNext/>
              <w:keepLines/>
              <w:jc w:val="left"/>
              <w:rPr>
                <w:rFonts w:ascii="Calibri" w:eastAsia="Times New Roman" w:hAnsi="Calibri"/>
                <w:bCs/>
                <w:color w:val="000000"/>
                <w:sz w:val="18"/>
                <w:szCs w:val="18"/>
              </w:rPr>
            </w:pPr>
            <w:r w:rsidRPr="00B75B77">
              <w:rPr>
                <w:rFonts w:ascii="Calibri" w:eastAsia="Times New Roman" w:hAnsi="Calibri"/>
                <w:bCs/>
                <w:color w:val="000000"/>
                <w:sz w:val="18"/>
                <w:szCs w:val="18"/>
              </w:rPr>
              <w:t>Large C</w:t>
            </w:r>
            <w:r w:rsidR="0054073E" w:rsidRPr="00B75B77">
              <w:rPr>
                <w:rFonts w:ascii="Calibri" w:eastAsia="Times New Roman" w:hAnsi="Calibri"/>
                <w:bCs/>
                <w:color w:val="000000"/>
                <w:sz w:val="18"/>
                <w:szCs w:val="18"/>
              </w:rPr>
              <w:t>&amp;I</w:t>
            </w:r>
          </w:p>
        </w:tc>
        <w:tc>
          <w:tcPr>
            <w:tcW w:w="1350" w:type="dxa"/>
            <w:tcBorders>
              <w:top w:val="nil"/>
              <w:left w:val="nil"/>
              <w:bottom w:val="single" w:sz="4" w:space="0" w:color="448A99"/>
              <w:right w:val="single" w:sz="4" w:space="0" w:color="448A99"/>
            </w:tcBorders>
            <w:shd w:val="clear" w:color="000000" w:fill="FFFFFF"/>
            <w:vAlign w:val="center"/>
            <w:hideMark/>
          </w:tcPr>
          <w:p w:rsidR="00811E5F" w:rsidRPr="00B75B77" w:rsidRDefault="00811E5F" w:rsidP="00502659">
            <w:pPr>
              <w:keepNext/>
              <w:keepLines/>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530" w:type="dxa"/>
            <w:tcBorders>
              <w:top w:val="nil"/>
              <w:left w:val="nil"/>
              <w:bottom w:val="single" w:sz="4" w:space="0" w:color="448A99"/>
              <w:right w:val="single" w:sz="4" w:space="0" w:color="448A99"/>
            </w:tcBorders>
            <w:shd w:val="clear" w:color="000000" w:fill="FFFFFF"/>
            <w:vAlign w:val="center"/>
            <w:hideMark/>
          </w:tcPr>
          <w:p w:rsidR="00811E5F" w:rsidRPr="00B75B77" w:rsidRDefault="00811E5F" w:rsidP="00502659">
            <w:pPr>
              <w:keepNext/>
              <w:keepLines/>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080" w:type="dxa"/>
            <w:tcBorders>
              <w:top w:val="nil"/>
              <w:left w:val="nil"/>
              <w:bottom w:val="single" w:sz="4" w:space="0" w:color="448A99"/>
              <w:right w:val="single" w:sz="4" w:space="0" w:color="448A99"/>
            </w:tcBorders>
            <w:shd w:val="clear" w:color="000000" w:fill="FFFFFF"/>
            <w:vAlign w:val="center"/>
            <w:hideMark/>
          </w:tcPr>
          <w:p w:rsidR="00811E5F" w:rsidRPr="00B75B77" w:rsidRDefault="00811E5F" w:rsidP="00502659">
            <w:pPr>
              <w:keepNext/>
              <w:keepLines/>
              <w:jc w:val="center"/>
              <w:rPr>
                <w:rFonts w:ascii="Calibri" w:eastAsia="Times New Roman" w:hAnsi="Calibri"/>
                <w:color w:val="000000"/>
                <w:sz w:val="18"/>
                <w:szCs w:val="18"/>
              </w:rPr>
            </w:pPr>
            <w:r w:rsidRPr="00B75B77">
              <w:rPr>
                <w:rFonts w:ascii="Calibri" w:eastAsia="Times New Roman" w:hAnsi="Calibri"/>
                <w:color w:val="000000"/>
                <w:sz w:val="18"/>
                <w:szCs w:val="18"/>
              </w:rPr>
              <w:t>0.00</w:t>
            </w:r>
          </w:p>
        </w:tc>
        <w:tc>
          <w:tcPr>
            <w:tcW w:w="1170" w:type="dxa"/>
            <w:tcBorders>
              <w:top w:val="nil"/>
              <w:left w:val="nil"/>
              <w:bottom w:val="single" w:sz="4" w:space="0" w:color="448A99"/>
              <w:right w:val="single" w:sz="4" w:space="0" w:color="448A99"/>
            </w:tcBorders>
            <w:shd w:val="clear" w:color="000000" w:fill="FFFFFF"/>
            <w:vAlign w:val="center"/>
            <w:hideMark/>
          </w:tcPr>
          <w:p w:rsidR="00811E5F" w:rsidRPr="00B75B77" w:rsidRDefault="00811E5F" w:rsidP="00502659">
            <w:pPr>
              <w:keepNext/>
              <w:keepLines/>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013" w:type="dxa"/>
            <w:tcBorders>
              <w:top w:val="nil"/>
              <w:left w:val="nil"/>
              <w:bottom w:val="single" w:sz="4" w:space="0" w:color="448A99"/>
              <w:right w:val="nil"/>
            </w:tcBorders>
            <w:shd w:val="clear" w:color="000000" w:fill="FFFFFF"/>
            <w:vAlign w:val="center"/>
            <w:hideMark/>
          </w:tcPr>
          <w:p w:rsidR="00811E5F" w:rsidRPr="00B75B77" w:rsidRDefault="00811E5F" w:rsidP="00502659">
            <w:pPr>
              <w:keepNext/>
              <w:keepLines/>
              <w:jc w:val="center"/>
              <w:rPr>
                <w:rFonts w:ascii="Calibri" w:eastAsia="Times New Roman" w:hAnsi="Calibri"/>
                <w:color w:val="000000"/>
                <w:sz w:val="18"/>
                <w:szCs w:val="18"/>
              </w:rPr>
            </w:pPr>
            <w:r w:rsidRPr="00B75B77">
              <w:rPr>
                <w:rFonts w:ascii="Calibri" w:eastAsia="Times New Roman" w:hAnsi="Calibri"/>
                <w:color w:val="000000"/>
                <w:sz w:val="18"/>
                <w:szCs w:val="18"/>
              </w:rPr>
              <w:t>0.00</w:t>
            </w:r>
          </w:p>
        </w:tc>
        <w:tc>
          <w:tcPr>
            <w:tcW w:w="1327" w:type="dxa"/>
            <w:tcBorders>
              <w:top w:val="nil"/>
              <w:left w:val="single" w:sz="4" w:space="0" w:color="448A99"/>
              <w:bottom w:val="single" w:sz="4" w:space="0" w:color="448A99"/>
              <w:right w:val="single" w:sz="4" w:space="0" w:color="448A99"/>
            </w:tcBorders>
            <w:shd w:val="clear" w:color="000000" w:fill="FFFFFF"/>
            <w:vAlign w:val="center"/>
            <w:hideMark/>
          </w:tcPr>
          <w:p w:rsidR="00811E5F" w:rsidRPr="00B75B77" w:rsidRDefault="00811E5F" w:rsidP="00502659">
            <w:pPr>
              <w:keepNext/>
              <w:keepLines/>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811E5F" w:rsidRPr="00B75B77" w:rsidTr="00811E5F">
        <w:trPr>
          <w:divId w:val="266275674"/>
          <w:trHeight w:val="372"/>
        </w:trPr>
        <w:tc>
          <w:tcPr>
            <w:tcW w:w="1615" w:type="dxa"/>
            <w:tcBorders>
              <w:top w:val="nil"/>
              <w:left w:val="single" w:sz="4" w:space="0" w:color="448A99"/>
              <w:bottom w:val="single" w:sz="4" w:space="0" w:color="448A99"/>
              <w:right w:val="single" w:sz="4" w:space="0" w:color="448A99"/>
            </w:tcBorders>
            <w:shd w:val="clear" w:color="000000" w:fill="D2EAF1"/>
            <w:vAlign w:val="center"/>
            <w:hideMark/>
          </w:tcPr>
          <w:p w:rsidR="00811E5F" w:rsidRPr="00B75B77" w:rsidRDefault="00811E5F" w:rsidP="00502659">
            <w:pPr>
              <w:keepNext/>
              <w:keepLines/>
              <w:jc w:val="left"/>
              <w:rPr>
                <w:rFonts w:ascii="Calibri" w:eastAsia="Times New Roman" w:hAnsi="Calibri"/>
                <w:bCs/>
                <w:color w:val="000000"/>
                <w:sz w:val="18"/>
                <w:szCs w:val="18"/>
              </w:rPr>
            </w:pPr>
            <w:r w:rsidRPr="00B75B77">
              <w:rPr>
                <w:rFonts w:ascii="Calibri" w:eastAsia="Times New Roman" w:hAnsi="Calibri"/>
                <w:bCs/>
                <w:color w:val="000000"/>
                <w:sz w:val="18"/>
                <w:szCs w:val="18"/>
              </w:rPr>
              <w:t>G</w:t>
            </w:r>
            <w:r w:rsidR="0054073E" w:rsidRPr="00B75B77">
              <w:rPr>
                <w:rFonts w:ascii="Calibri" w:eastAsia="Times New Roman" w:hAnsi="Calibri"/>
                <w:bCs/>
                <w:color w:val="000000"/>
                <w:sz w:val="18"/>
                <w:szCs w:val="18"/>
              </w:rPr>
              <w:t>NI</w:t>
            </w:r>
          </w:p>
        </w:tc>
        <w:tc>
          <w:tcPr>
            <w:tcW w:w="1350" w:type="dxa"/>
            <w:tcBorders>
              <w:top w:val="nil"/>
              <w:left w:val="nil"/>
              <w:bottom w:val="single" w:sz="4" w:space="0" w:color="448A99"/>
              <w:right w:val="single" w:sz="4" w:space="0" w:color="448A99"/>
            </w:tcBorders>
            <w:shd w:val="clear" w:color="000000" w:fill="D2EAF1"/>
            <w:vAlign w:val="center"/>
            <w:hideMark/>
          </w:tcPr>
          <w:p w:rsidR="00811E5F" w:rsidRPr="00B75B77" w:rsidRDefault="00811E5F" w:rsidP="00502659">
            <w:pPr>
              <w:keepNext/>
              <w:keepLines/>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530" w:type="dxa"/>
            <w:tcBorders>
              <w:top w:val="nil"/>
              <w:left w:val="nil"/>
              <w:bottom w:val="single" w:sz="4" w:space="0" w:color="448A99"/>
              <w:right w:val="single" w:sz="4" w:space="0" w:color="448A99"/>
            </w:tcBorders>
            <w:shd w:val="clear" w:color="000000" w:fill="D2EAF1"/>
            <w:vAlign w:val="center"/>
            <w:hideMark/>
          </w:tcPr>
          <w:p w:rsidR="00811E5F" w:rsidRPr="00B75B77" w:rsidRDefault="00811E5F" w:rsidP="00502659">
            <w:pPr>
              <w:keepNext/>
              <w:keepLines/>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080" w:type="dxa"/>
            <w:tcBorders>
              <w:top w:val="nil"/>
              <w:left w:val="nil"/>
              <w:bottom w:val="single" w:sz="4" w:space="0" w:color="448A99"/>
              <w:right w:val="single" w:sz="4" w:space="0" w:color="448A99"/>
            </w:tcBorders>
            <w:shd w:val="clear" w:color="000000" w:fill="D2EAF1"/>
            <w:vAlign w:val="center"/>
            <w:hideMark/>
          </w:tcPr>
          <w:p w:rsidR="00811E5F" w:rsidRPr="00B75B77" w:rsidRDefault="00811E5F" w:rsidP="00502659">
            <w:pPr>
              <w:keepNext/>
              <w:keepLines/>
              <w:jc w:val="center"/>
              <w:rPr>
                <w:rFonts w:ascii="Calibri" w:eastAsia="Times New Roman" w:hAnsi="Calibri"/>
                <w:color w:val="000000"/>
                <w:sz w:val="18"/>
                <w:szCs w:val="18"/>
              </w:rPr>
            </w:pPr>
            <w:r w:rsidRPr="00B75B77">
              <w:rPr>
                <w:rFonts w:ascii="Calibri" w:eastAsia="Times New Roman" w:hAnsi="Calibri"/>
                <w:color w:val="000000"/>
                <w:sz w:val="18"/>
                <w:szCs w:val="18"/>
              </w:rPr>
              <w:t>0.00</w:t>
            </w:r>
          </w:p>
        </w:tc>
        <w:tc>
          <w:tcPr>
            <w:tcW w:w="1170" w:type="dxa"/>
            <w:tcBorders>
              <w:top w:val="nil"/>
              <w:left w:val="nil"/>
              <w:bottom w:val="single" w:sz="4" w:space="0" w:color="448A99"/>
              <w:right w:val="single" w:sz="4" w:space="0" w:color="448A99"/>
            </w:tcBorders>
            <w:shd w:val="clear" w:color="000000" w:fill="D2EAF1"/>
            <w:vAlign w:val="center"/>
            <w:hideMark/>
          </w:tcPr>
          <w:p w:rsidR="00811E5F" w:rsidRPr="00B75B77" w:rsidRDefault="00811E5F" w:rsidP="00502659">
            <w:pPr>
              <w:keepNext/>
              <w:keepLines/>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013" w:type="dxa"/>
            <w:tcBorders>
              <w:top w:val="nil"/>
              <w:left w:val="nil"/>
              <w:bottom w:val="single" w:sz="4" w:space="0" w:color="448A99"/>
              <w:right w:val="nil"/>
            </w:tcBorders>
            <w:shd w:val="clear" w:color="000000" w:fill="D2EAF1"/>
            <w:vAlign w:val="center"/>
            <w:hideMark/>
          </w:tcPr>
          <w:p w:rsidR="00811E5F" w:rsidRPr="00B75B77" w:rsidRDefault="00811E5F" w:rsidP="00502659">
            <w:pPr>
              <w:keepNext/>
              <w:keepLines/>
              <w:jc w:val="center"/>
              <w:rPr>
                <w:rFonts w:ascii="Calibri" w:eastAsia="Times New Roman" w:hAnsi="Calibri"/>
                <w:color w:val="000000"/>
                <w:sz w:val="18"/>
                <w:szCs w:val="18"/>
              </w:rPr>
            </w:pPr>
            <w:r w:rsidRPr="00B75B77">
              <w:rPr>
                <w:rFonts w:ascii="Calibri" w:eastAsia="Times New Roman" w:hAnsi="Calibri"/>
                <w:color w:val="000000"/>
                <w:sz w:val="18"/>
                <w:szCs w:val="18"/>
              </w:rPr>
              <w:t>0.00</w:t>
            </w:r>
          </w:p>
        </w:tc>
        <w:tc>
          <w:tcPr>
            <w:tcW w:w="1327" w:type="dxa"/>
            <w:tcBorders>
              <w:top w:val="nil"/>
              <w:left w:val="single" w:sz="4" w:space="0" w:color="448A99"/>
              <w:bottom w:val="single" w:sz="4" w:space="0" w:color="448A99"/>
              <w:right w:val="single" w:sz="4" w:space="0" w:color="448A99"/>
            </w:tcBorders>
            <w:shd w:val="clear" w:color="000000" w:fill="D2EAF1"/>
            <w:vAlign w:val="center"/>
            <w:hideMark/>
          </w:tcPr>
          <w:p w:rsidR="00811E5F" w:rsidRPr="00B75B77" w:rsidRDefault="00811E5F" w:rsidP="00502659">
            <w:pPr>
              <w:keepNext/>
              <w:keepLines/>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811E5F" w:rsidRPr="00B75B77" w:rsidTr="00811E5F">
        <w:trPr>
          <w:divId w:val="266275674"/>
          <w:trHeight w:val="312"/>
        </w:trPr>
        <w:tc>
          <w:tcPr>
            <w:tcW w:w="1615" w:type="dxa"/>
            <w:tcBorders>
              <w:top w:val="nil"/>
              <w:left w:val="single" w:sz="4" w:space="0" w:color="448A99"/>
              <w:bottom w:val="single" w:sz="4" w:space="0" w:color="448A99"/>
              <w:right w:val="single" w:sz="4" w:space="0" w:color="448A99"/>
            </w:tcBorders>
            <w:shd w:val="clear" w:color="000000" w:fill="FFFFFF"/>
            <w:vAlign w:val="center"/>
            <w:hideMark/>
          </w:tcPr>
          <w:p w:rsidR="00811E5F" w:rsidRPr="00B75B77" w:rsidRDefault="0032092F" w:rsidP="00502659">
            <w:pPr>
              <w:keepNext/>
              <w:keepLines/>
              <w:jc w:val="left"/>
              <w:rPr>
                <w:rFonts w:ascii="Calibri" w:eastAsia="Times New Roman" w:hAnsi="Calibri"/>
                <w:b/>
                <w:color w:val="000000"/>
                <w:sz w:val="18"/>
                <w:szCs w:val="18"/>
              </w:rPr>
            </w:pPr>
            <w:r w:rsidRPr="00B75B77">
              <w:rPr>
                <w:rFonts w:ascii="Calibri" w:eastAsia="Times New Roman" w:hAnsi="Calibri"/>
                <w:b/>
                <w:color w:val="000000"/>
                <w:sz w:val="18"/>
                <w:szCs w:val="18"/>
              </w:rPr>
              <w:t>PHASE II TOTAL</w:t>
            </w:r>
          </w:p>
        </w:tc>
        <w:tc>
          <w:tcPr>
            <w:tcW w:w="1350" w:type="dxa"/>
            <w:tcBorders>
              <w:top w:val="nil"/>
              <w:left w:val="nil"/>
              <w:bottom w:val="single" w:sz="4" w:space="0" w:color="448A99"/>
              <w:right w:val="single" w:sz="4" w:space="0" w:color="448A99"/>
            </w:tcBorders>
            <w:shd w:val="clear" w:color="000000" w:fill="FFFFFF"/>
            <w:vAlign w:val="center"/>
            <w:hideMark/>
          </w:tcPr>
          <w:p w:rsidR="00811E5F" w:rsidRPr="00B75B77" w:rsidRDefault="00811E5F" w:rsidP="00502659">
            <w:pPr>
              <w:keepNext/>
              <w:keepLines/>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132,289</w:t>
            </w:r>
          </w:p>
        </w:tc>
        <w:tc>
          <w:tcPr>
            <w:tcW w:w="1530" w:type="dxa"/>
            <w:tcBorders>
              <w:top w:val="nil"/>
              <w:left w:val="nil"/>
              <w:bottom w:val="single" w:sz="4" w:space="0" w:color="448A99"/>
              <w:right w:val="single" w:sz="4" w:space="0" w:color="448A99"/>
            </w:tcBorders>
            <w:shd w:val="clear" w:color="000000" w:fill="FFFFFF"/>
            <w:vAlign w:val="center"/>
            <w:hideMark/>
          </w:tcPr>
          <w:p w:rsidR="00811E5F" w:rsidRPr="00B75B77" w:rsidRDefault="00811E5F" w:rsidP="00502659">
            <w:pPr>
              <w:keepNext/>
              <w:keepLines/>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36,690</w:t>
            </w:r>
          </w:p>
        </w:tc>
        <w:tc>
          <w:tcPr>
            <w:tcW w:w="1080" w:type="dxa"/>
            <w:tcBorders>
              <w:top w:val="nil"/>
              <w:left w:val="nil"/>
              <w:bottom w:val="single" w:sz="4" w:space="0" w:color="448A99"/>
              <w:right w:val="single" w:sz="4" w:space="0" w:color="448A99"/>
            </w:tcBorders>
            <w:shd w:val="clear" w:color="000000" w:fill="FFFFFF"/>
            <w:vAlign w:val="center"/>
            <w:hideMark/>
          </w:tcPr>
          <w:p w:rsidR="00811E5F" w:rsidRPr="00B75B77" w:rsidRDefault="00811E5F" w:rsidP="00502659">
            <w:pPr>
              <w:keepNext/>
              <w:keepLines/>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0.00</w:t>
            </w:r>
          </w:p>
        </w:tc>
        <w:tc>
          <w:tcPr>
            <w:tcW w:w="1170" w:type="dxa"/>
            <w:tcBorders>
              <w:top w:val="nil"/>
              <w:left w:val="nil"/>
              <w:bottom w:val="single" w:sz="4" w:space="0" w:color="448A99"/>
              <w:right w:val="single" w:sz="4" w:space="0" w:color="448A99"/>
            </w:tcBorders>
            <w:shd w:val="clear" w:color="000000" w:fill="FFFFFF"/>
            <w:vAlign w:val="center"/>
            <w:hideMark/>
          </w:tcPr>
          <w:p w:rsidR="00811E5F" w:rsidRPr="00B75B77" w:rsidRDefault="00811E5F" w:rsidP="00502659">
            <w:pPr>
              <w:keepNext/>
              <w:keepLines/>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39,041</w:t>
            </w:r>
          </w:p>
        </w:tc>
        <w:tc>
          <w:tcPr>
            <w:tcW w:w="1013" w:type="dxa"/>
            <w:tcBorders>
              <w:top w:val="nil"/>
              <w:left w:val="nil"/>
              <w:bottom w:val="single" w:sz="4" w:space="0" w:color="448A99"/>
              <w:right w:val="nil"/>
            </w:tcBorders>
            <w:shd w:val="clear" w:color="000000" w:fill="FFFFFF"/>
            <w:vAlign w:val="center"/>
            <w:hideMark/>
          </w:tcPr>
          <w:p w:rsidR="00811E5F" w:rsidRPr="00B75B77" w:rsidRDefault="00811E5F" w:rsidP="00502659">
            <w:pPr>
              <w:keepNext/>
              <w:keepLines/>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0.00</w:t>
            </w:r>
          </w:p>
        </w:tc>
        <w:tc>
          <w:tcPr>
            <w:tcW w:w="1327" w:type="dxa"/>
            <w:tcBorders>
              <w:top w:val="nil"/>
              <w:left w:val="single" w:sz="4" w:space="0" w:color="448A99"/>
              <w:bottom w:val="single" w:sz="4" w:space="0" w:color="448A99"/>
              <w:right w:val="single" w:sz="4" w:space="0" w:color="448A99"/>
            </w:tcBorders>
            <w:shd w:val="clear" w:color="000000" w:fill="FFFFFF"/>
            <w:vAlign w:val="center"/>
            <w:hideMark/>
          </w:tcPr>
          <w:p w:rsidR="00811E5F" w:rsidRPr="00B75B77" w:rsidRDefault="00811E5F" w:rsidP="00502659">
            <w:pPr>
              <w:keepNext/>
              <w:keepLines/>
              <w:jc w:val="center"/>
              <w:rPr>
                <w:rFonts w:ascii="Calibri" w:eastAsia="Times New Roman" w:hAnsi="Calibri"/>
                <w:b/>
                <w:color w:val="000000"/>
                <w:sz w:val="18"/>
                <w:szCs w:val="18"/>
              </w:rPr>
            </w:pPr>
            <w:r w:rsidRPr="00B75B77">
              <w:rPr>
                <w:rFonts w:ascii="Calibri" w:eastAsia="Times New Roman" w:hAnsi="Calibri"/>
                <w:b/>
                <w:bCs/>
                <w:color w:val="000000"/>
                <w:sz w:val="18"/>
                <w:szCs w:val="18"/>
              </w:rPr>
              <w:t>$0</w:t>
            </w:r>
          </w:p>
        </w:tc>
      </w:tr>
    </w:tbl>
    <w:p w:rsidR="00DB7BFD" w:rsidRPr="00B75B77" w:rsidRDefault="00DB7BFD" w:rsidP="00502659">
      <w:pPr>
        <w:pStyle w:val="Source"/>
        <w:keepNext/>
        <w:keepLines/>
        <w:spacing w:before="20" w:after="20"/>
        <w:ind w:left="0" w:firstLine="0"/>
        <w:rPr>
          <w:i w:val="0"/>
        </w:rPr>
      </w:pPr>
      <w:r w:rsidRPr="00B75B77">
        <w:rPr>
          <w:rFonts w:ascii="Calibri" w:hAnsi="Calibri"/>
          <w:i w:val="0"/>
          <w:color w:val="000000"/>
          <w:szCs w:val="18"/>
          <w:vertAlign w:val="superscript"/>
        </w:rPr>
        <w:t>[1]</w:t>
      </w:r>
      <w:r w:rsidRPr="00B75B77">
        <w:rPr>
          <w:rFonts w:ascii="Calibri" w:hAnsi="Calibri"/>
          <w:i w:val="0"/>
          <w:color w:val="000000"/>
          <w:szCs w:val="18"/>
        </w:rPr>
        <w:t xml:space="preserve"> All customer </w:t>
      </w:r>
      <w:r w:rsidR="0043277A" w:rsidRPr="00B75B77">
        <w:rPr>
          <w:rFonts w:ascii="Calibri" w:hAnsi="Calibri"/>
          <w:i w:val="0"/>
          <w:color w:val="000000"/>
          <w:szCs w:val="18"/>
        </w:rPr>
        <w:t>sector</w:t>
      </w:r>
      <w:r w:rsidRPr="00B75B77">
        <w:rPr>
          <w:rFonts w:ascii="Calibri" w:hAnsi="Calibri"/>
          <w:i w:val="0"/>
          <w:color w:val="000000"/>
          <w:szCs w:val="18"/>
        </w:rPr>
        <w:t xml:space="preserve"> totals are exclusive of each other and may be added together to get the Phase II totals.</w:t>
      </w:r>
      <w:r w:rsidRPr="00B75B77">
        <w:rPr>
          <w:rFonts w:ascii="Calibri" w:hAnsi="Calibri"/>
          <w:i w:val="0"/>
          <w:color w:val="000000"/>
          <w:szCs w:val="18"/>
        </w:rPr>
        <w:br/>
      </w:r>
      <w:r w:rsidRPr="00B75B77">
        <w:rPr>
          <w:rFonts w:ascii="Calibri" w:hAnsi="Calibri"/>
          <w:i w:val="0"/>
          <w:color w:val="000000"/>
          <w:szCs w:val="18"/>
          <w:vertAlign w:val="superscript"/>
        </w:rPr>
        <w:t>[2]</w:t>
      </w:r>
      <w:r w:rsidRPr="00B75B77">
        <w:rPr>
          <w:rFonts w:ascii="Calibri" w:hAnsi="Calibri"/>
          <w:i w:val="0"/>
          <w:color w:val="000000"/>
          <w:szCs w:val="18"/>
        </w:rPr>
        <w:t xml:space="preserve"> All reported and verified demand savings are zero for the SUP program due to the nature of the </w:t>
      </w:r>
      <w:r w:rsidR="00CC7458" w:rsidRPr="00B75B77">
        <w:rPr>
          <w:rFonts w:ascii="Calibri" w:hAnsi="Calibri"/>
          <w:i w:val="0"/>
          <w:color w:val="000000"/>
          <w:szCs w:val="18"/>
        </w:rPr>
        <w:t>HERs</w:t>
      </w:r>
      <w:r w:rsidRPr="00B75B77">
        <w:rPr>
          <w:rFonts w:ascii="Calibri" w:hAnsi="Calibri"/>
          <w:i w:val="0"/>
          <w:color w:val="000000"/>
          <w:szCs w:val="18"/>
        </w:rPr>
        <w:t xml:space="preserve"> and how the corresponding energy savings are </w:t>
      </w:r>
      <w:r w:rsidR="005D6D34" w:rsidRPr="00B75B77">
        <w:rPr>
          <w:rFonts w:ascii="Calibri" w:hAnsi="Calibri"/>
          <w:i w:val="0"/>
          <w:color w:val="000000"/>
          <w:szCs w:val="18"/>
        </w:rPr>
        <w:t>estimated</w:t>
      </w:r>
      <w:r w:rsidRPr="00B75B77">
        <w:rPr>
          <w:rFonts w:ascii="Calibri" w:hAnsi="Calibri"/>
          <w:i w:val="0"/>
          <w:color w:val="000000"/>
          <w:szCs w:val="18"/>
        </w:rPr>
        <w:t>. The program does not claim</w:t>
      </w:r>
      <w:r w:rsidR="00CC7458" w:rsidRPr="00B75B77">
        <w:rPr>
          <w:rFonts w:ascii="Calibri" w:hAnsi="Calibri"/>
          <w:i w:val="0"/>
          <w:color w:val="000000"/>
          <w:szCs w:val="18"/>
        </w:rPr>
        <w:t xml:space="preserve"> </w:t>
      </w:r>
      <w:r w:rsidRPr="00B75B77">
        <w:rPr>
          <w:rFonts w:ascii="Calibri" w:hAnsi="Calibri"/>
          <w:i w:val="0"/>
          <w:color w:val="000000"/>
          <w:szCs w:val="18"/>
        </w:rPr>
        <w:t>any reported demand savings, and demand savings were not verified by Navigant</w:t>
      </w:r>
      <w:r w:rsidR="00CC7458" w:rsidRPr="00B75B77">
        <w:rPr>
          <w:rFonts w:ascii="Calibri" w:hAnsi="Calibri"/>
          <w:i w:val="0"/>
          <w:color w:val="000000"/>
          <w:szCs w:val="18"/>
        </w:rPr>
        <w:t>.</w:t>
      </w:r>
      <w:r w:rsidRPr="00B75B77">
        <w:rPr>
          <w:rFonts w:ascii="Calibri" w:hAnsi="Calibri"/>
          <w:i w:val="0"/>
          <w:color w:val="000000"/>
          <w:szCs w:val="18"/>
        </w:rPr>
        <w:br/>
        <w:t>Note: Values in tables may not reconcile exactly with the sum of more detailed level results or previously reported results due to rounding.</w:t>
      </w:r>
    </w:p>
    <w:p w:rsidR="00811E5F" w:rsidRPr="00B75B77" w:rsidRDefault="00811E5F" w:rsidP="00502659">
      <w:pPr>
        <w:pStyle w:val="Source"/>
        <w:keepNext/>
        <w:keepLines/>
        <w:ind w:left="0" w:firstLine="0"/>
      </w:pPr>
      <w:r w:rsidRPr="00B75B77">
        <w:t>Source: Navigant analysis</w:t>
      </w:r>
    </w:p>
    <w:p w:rsidR="00811E5F" w:rsidRPr="00B75B77" w:rsidRDefault="00811E5F" w:rsidP="00811E5F">
      <w:pPr>
        <w:pStyle w:val="Heading3"/>
      </w:pPr>
      <w:bookmarkStart w:id="433" w:name="_Toc466413320"/>
      <w:r w:rsidRPr="00B75B77">
        <w:t>Gross Verified Savings Methodology</w:t>
      </w:r>
      <w:bookmarkEnd w:id="433"/>
      <w:r w:rsidRPr="00B75B77">
        <w:t xml:space="preserve"> </w:t>
      </w:r>
    </w:p>
    <w:p w:rsidR="00811E5F" w:rsidRPr="00B75B77" w:rsidRDefault="00C57207" w:rsidP="00811E5F">
      <w:r w:rsidRPr="00B75B77">
        <w:t>T</w:t>
      </w:r>
      <w:r w:rsidR="00811E5F" w:rsidRPr="00B75B77">
        <w:t xml:space="preserve">he impact evaluation </w:t>
      </w:r>
      <w:r w:rsidRPr="00B75B77">
        <w:t xml:space="preserve">of the SUP program </w:t>
      </w:r>
      <w:r w:rsidR="00811E5F" w:rsidRPr="00B75B77">
        <w:t>compares actual energy usage against the estimated energy that participating households would have used in the absence of the program.</w:t>
      </w:r>
      <w:r w:rsidR="00811E5F" w:rsidRPr="00B75B77">
        <w:rPr>
          <w:i/>
        </w:rPr>
        <w:t xml:space="preserve"> </w:t>
      </w:r>
      <w:r w:rsidR="00811E5F" w:rsidRPr="00B75B77">
        <w:t>The program utilized an RCT experimental design, meaning that households were randomly allocated to the control and treatment groups. This eliminated the issue of selection bias that complicates the evaluation of many behavioral programs. The random assignment of households means the control group should serve as a robust baseline against which the energy use of the treatment households can be compared to estimate savings from enrollment in the SUP program.</w:t>
      </w:r>
    </w:p>
    <w:p w:rsidR="00811E5F" w:rsidRPr="00B75B77" w:rsidRDefault="00811E5F" w:rsidP="00811E5F">
      <w:pPr>
        <w:spacing w:before="240"/>
        <w:jc w:val="left"/>
      </w:pPr>
      <w:r w:rsidRPr="00B75B77">
        <w:t xml:space="preserve">Navigant estimated program savings through the use of a linear fixed-effects regression (LFER) analysis. In the LFER model, average daily consumption (ADC) of </w:t>
      </w:r>
      <w:r w:rsidR="00C57207" w:rsidRPr="00B75B77">
        <w:t xml:space="preserve">kilowatt-hours </w:t>
      </w:r>
      <w:r w:rsidRPr="00B75B77">
        <w:t xml:space="preserve">by participant and nonparticipant </w:t>
      </w:r>
      <w:r w:rsidRPr="00B75B77">
        <w:rPr>
          <w:i/>
        </w:rPr>
        <w:t xml:space="preserve">k </w:t>
      </w:r>
      <w:r w:rsidRPr="00B75B77">
        <w:t xml:space="preserve">in billing period </w:t>
      </w:r>
      <w:r w:rsidRPr="00B75B77">
        <w:rPr>
          <w:i/>
        </w:rPr>
        <w:t>t</w:t>
      </w:r>
      <w:r w:rsidRPr="00B75B77">
        <w:t xml:space="preserve">, denoted by </w:t>
      </w:r>
      <w:proofErr w:type="spellStart"/>
      <w:r w:rsidRPr="00B75B77">
        <w:t>ADC</w:t>
      </w:r>
      <w:r w:rsidRPr="00B75B77">
        <w:rPr>
          <w:vertAlign w:val="subscript"/>
        </w:rPr>
        <w:t>kt</w:t>
      </w:r>
      <w:proofErr w:type="spellEnd"/>
      <w:r w:rsidRPr="00B75B77">
        <w:t xml:space="preserve">, is a function of three terms: </w:t>
      </w:r>
      <w:r w:rsidRPr="00B75B77">
        <w:br/>
      </w:r>
    </w:p>
    <w:p w:rsidR="00811E5F" w:rsidRPr="00B75B77" w:rsidRDefault="00811E5F" w:rsidP="00153ECC">
      <w:pPr>
        <w:pStyle w:val="ListParagraph"/>
        <w:numPr>
          <w:ilvl w:val="0"/>
          <w:numId w:val="21"/>
        </w:numPr>
        <w:spacing w:after="200" w:line="276" w:lineRule="auto"/>
      </w:pPr>
      <w:r w:rsidRPr="00B75B77">
        <w:t>The binary variable Treatment, taking a value of 0 if household k is assigned to the control group, and 1 if household k is assigned to the participant group</w:t>
      </w:r>
    </w:p>
    <w:p w:rsidR="00811E5F" w:rsidRPr="00B75B77" w:rsidRDefault="00811E5F" w:rsidP="00153ECC">
      <w:pPr>
        <w:pStyle w:val="ListParagraph"/>
        <w:numPr>
          <w:ilvl w:val="0"/>
          <w:numId w:val="21"/>
        </w:numPr>
        <w:spacing w:after="200" w:line="276" w:lineRule="auto"/>
      </w:pPr>
      <w:r w:rsidRPr="00B75B77">
        <w:t>The binary variable Post, taking a value of 0 if bill t is before the household’s program start date and 1 if the bill is received on or after the program start date</w:t>
      </w:r>
    </w:p>
    <w:p w:rsidR="00811E5F" w:rsidRPr="00B75B77" w:rsidRDefault="00811E5F" w:rsidP="00153ECC">
      <w:pPr>
        <w:pStyle w:val="ListParagraph"/>
        <w:numPr>
          <w:ilvl w:val="0"/>
          <w:numId w:val="21"/>
        </w:numPr>
        <w:spacing w:after="200" w:line="276" w:lineRule="auto"/>
      </w:pPr>
      <w:r w:rsidRPr="00B75B77">
        <w:t xml:space="preserve">The interaction between these variables, Post Treatment </w:t>
      </w:r>
    </w:p>
    <w:p w:rsidR="00811E5F" w:rsidRPr="00B75B77" w:rsidRDefault="00811E5F" w:rsidP="00811E5F">
      <w:pPr>
        <w:keepNext/>
      </w:pPr>
      <w:r w:rsidRPr="00B75B77">
        <w:lastRenderedPageBreak/>
        <w:t xml:space="preserve">This is referred to as a one-way fixed-effects model because it includes a household-specific fixed-effects term. </w:t>
      </w:r>
      <w:r w:rsidR="00B4241E" w:rsidRPr="00B75B77">
        <w:fldChar w:fldCharType="begin"/>
      </w:r>
      <w:r w:rsidR="00B4241E" w:rsidRPr="00B75B77">
        <w:instrText xml:space="preserve"> REF _Ref432352407 \h </w:instrText>
      </w:r>
      <w:r w:rsidR="00B75B77">
        <w:instrText xml:space="preserve"> \* MERGEFORMAT </w:instrText>
      </w:r>
      <w:r w:rsidR="00B4241E" w:rsidRPr="00B75B77">
        <w:fldChar w:fldCharType="separate"/>
      </w:r>
      <w:r w:rsidR="0004016D" w:rsidRPr="00B75B77">
        <w:t xml:space="preserve">Equation </w:t>
      </w:r>
      <w:r w:rsidR="0004016D">
        <w:rPr>
          <w:noProof/>
        </w:rPr>
        <w:t>5</w:t>
      </w:r>
      <w:r w:rsidR="0004016D" w:rsidRPr="00B75B77">
        <w:rPr>
          <w:noProof/>
        </w:rPr>
        <w:noBreakHyphen/>
      </w:r>
      <w:r w:rsidR="0004016D">
        <w:rPr>
          <w:noProof/>
        </w:rPr>
        <w:t>1</w:t>
      </w:r>
      <w:r w:rsidR="00B4241E" w:rsidRPr="00B75B77">
        <w:fldChar w:fldCharType="end"/>
      </w:r>
      <w:r w:rsidR="00B4241E" w:rsidRPr="00B75B77">
        <w:t xml:space="preserve"> </w:t>
      </w:r>
      <w:r w:rsidRPr="00B75B77">
        <w:t xml:space="preserve"> formally presents the equation for this model.</w:t>
      </w:r>
      <w:r w:rsidRPr="00B75B77">
        <w:rPr>
          <w:rStyle w:val="FootnoteReference"/>
        </w:rPr>
        <w:t xml:space="preserve"> </w:t>
      </w:r>
      <w:r w:rsidRPr="00B75B77">
        <w:rPr>
          <w:rStyle w:val="FootnoteReference"/>
        </w:rPr>
        <w:footnoteReference w:id="32"/>
      </w:r>
    </w:p>
    <w:p w:rsidR="00811E5F" w:rsidRPr="00B75B77" w:rsidRDefault="00811E5F" w:rsidP="00811E5F">
      <w:pPr>
        <w:pStyle w:val="Caption"/>
        <w:jc w:val="both"/>
      </w:pPr>
    </w:p>
    <w:p w:rsidR="00811E5F" w:rsidRPr="00B75B77" w:rsidRDefault="00811E5F" w:rsidP="00811E5F">
      <w:pPr>
        <w:pStyle w:val="Caption"/>
      </w:pPr>
      <w:bookmarkStart w:id="434" w:name="_Ref432352407"/>
      <w:bookmarkStart w:id="435" w:name="_Toc466413697"/>
      <w:r w:rsidRPr="00B75B77">
        <w:t xml:space="preserve">Equation </w:t>
      </w:r>
      <w:fldSimple w:instr=" STYLEREF 1 \s ">
        <w:r w:rsidR="0004016D">
          <w:rPr>
            <w:noProof/>
          </w:rPr>
          <w:t>5</w:t>
        </w:r>
      </w:fldSimple>
      <w:r w:rsidRPr="00B75B77">
        <w:noBreakHyphen/>
      </w:r>
      <w:fldSimple w:instr=" SEQ Equation \* ARABIC \s 1 ">
        <w:r w:rsidR="0004016D">
          <w:rPr>
            <w:noProof/>
          </w:rPr>
          <w:t>1</w:t>
        </w:r>
      </w:fldSimple>
      <w:bookmarkEnd w:id="434"/>
      <w:r w:rsidR="00B4241E" w:rsidRPr="00B75B77">
        <w:t>:</w:t>
      </w:r>
      <w:r w:rsidRPr="00B75B77">
        <w:t xml:space="preserve"> One-Way Fixed-Effects Regression Model</w:t>
      </w:r>
      <w:bookmarkEnd w:id="435"/>
    </w:p>
    <w:p w:rsidR="00811E5F" w:rsidRPr="00B75B77" w:rsidRDefault="00C57207" w:rsidP="00811E5F">
      <w:pPr>
        <w:keepNext/>
        <w:jc w:val="center"/>
      </w:pPr>
      <m:oMathPara>
        <m:oMath>
          <m:r>
            <m:rPr>
              <m:nor/>
            </m:rPr>
            <m:t>AD</m:t>
          </m:r>
          <m:sSub>
            <m:sSubPr>
              <m:ctrlPr>
                <w:rPr>
                  <w:rFonts w:ascii="Cambria Math" w:hAnsi="Cambria Math"/>
                </w:rPr>
              </m:ctrlPr>
            </m:sSubPr>
            <m:e>
              <m:r>
                <m:rPr>
                  <m:nor/>
                </m:rPr>
                <m:t>C</m:t>
              </m:r>
            </m:e>
            <m:sub>
              <m:r>
                <m:rPr>
                  <m:nor/>
                </m:rPr>
                <m:t>kt</m:t>
              </m:r>
            </m:sub>
          </m:sSub>
          <m:r>
            <m:rPr>
              <m:nor/>
            </m:rPr>
            <m:t>=</m:t>
          </m:r>
          <m:sSub>
            <m:sSubPr>
              <m:ctrlPr>
                <w:rPr>
                  <w:rFonts w:ascii="Cambria Math" w:hAnsi="Cambria Math"/>
                </w:rPr>
              </m:ctrlPr>
            </m:sSubPr>
            <m:e>
              <m:r>
                <m:rPr>
                  <m:nor/>
                </m:rPr>
                <m:t>α</m:t>
              </m:r>
            </m:e>
            <m:sub>
              <m:r>
                <m:rPr>
                  <m:nor/>
                </m:rPr>
                <m:t>0k</m:t>
              </m:r>
            </m:sub>
          </m:sSub>
          <m:r>
            <m:rPr>
              <m:nor/>
            </m:rPr>
            <m:t>+</m:t>
          </m:r>
          <m:sSub>
            <m:sSubPr>
              <m:ctrlPr>
                <w:rPr>
                  <w:rFonts w:ascii="Cambria Math" w:hAnsi="Cambria Math"/>
                </w:rPr>
              </m:ctrlPr>
            </m:sSubPr>
            <m:e>
              <m:r>
                <m:rPr>
                  <m:nor/>
                </m:rPr>
                <m:t>α</m:t>
              </m:r>
            </m:e>
            <m:sub>
              <m:r>
                <m:rPr>
                  <m:nor/>
                </m:rPr>
                <m:t>1</m:t>
              </m:r>
            </m:sub>
          </m:sSub>
          <w:proofErr w:type="spellStart"/>
          <m:r>
            <m:rPr>
              <m:nor/>
            </m:rPr>
            <m:t>Pos</m:t>
          </m:r>
          <w:proofErr w:type="spellEnd"/>
          <m:sSub>
            <m:sSubPr>
              <m:ctrlPr>
                <w:rPr>
                  <w:rFonts w:ascii="Cambria Math" w:hAnsi="Cambria Math"/>
                </w:rPr>
              </m:ctrlPr>
            </m:sSubPr>
            <m:e>
              <m:r>
                <m:rPr>
                  <m:nor/>
                </m:rPr>
                <m:t>t</m:t>
              </m:r>
            </m:e>
            <m:sub>
              <w:proofErr w:type="spellStart"/>
              <m:r>
                <m:rPr>
                  <m:nor/>
                </m:rPr>
                <m:t>t</m:t>
              </m:r>
              <w:proofErr w:type="spellEnd"/>
            </m:sub>
          </m:sSub>
          <m:r>
            <m:rPr>
              <m:nor/>
            </m:rPr>
            <m:t>+</m:t>
          </m:r>
          <m:sSub>
            <m:sSubPr>
              <m:ctrlPr>
                <w:rPr>
                  <w:rFonts w:ascii="Cambria Math" w:hAnsi="Cambria Math"/>
                </w:rPr>
              </m:ctrlPr>
            </m:sSubPr>
            <m:e>
              <m:r>
                <m:rPr>
                  <m:nor/>
                </m:rPr>
                <m:t>α</m:t>
              </m:r>
            </m:e>
            <m:sub>
              <m:r>
                <m:rPr>
                  <m:nor/>
                </m:rPr>
                <m:t>2</m:t>
              </m:r>
            </m:sub>
          </m:sSub>
          <m:sSub>
            <m:sSubPr>
              <m:ctrlPr>
                <w:rPr>
                  <w:rFonts w:ascii="Cambria Math" w:hAnsi="Cambria Math"/>
                </w:rPr>
              </m:ctrlPr>
            </m:sSubPr>
            <m:e>
              <m:r>
                <m:rPr>
                  <m:nor/>
                </m:rPr>
                <m:t>Participant</m:t>
              </m:r>
            </m:e>
            <m:sub>
              <m:r>
                <m:rPr>
                  <m:nor/>
                </m:rPr>
                <m:t>k</m:t>
              </m:r>
            </m:sub>
          </m:sSub>
          <m:r>
            <m:rPr>
              <m:nor/>
            </m:rPr>
            <m:t>∙</m:t>
          </m:r>
          <w:proofErr w:type="spellStart"/>
          <m:r>
            <m:rPr>
              <m:nor/>
            </m:rPr>
            <m:t>Pos</m:t>
          </m:r>
          <w:proofErr w:type="spellEnd"/>
          <m:sSub>
            <m:sSubPr>
              <m:ctrlPr>
                <w:rPr>
                  <w:rFonts w:ascii="Cambria Math" w:hAnsi="Cambria Math"/>
                </w:rPr>
              </m:ctrlPr>
            </m:sSubPr>
            <m:e>
              <m:r>
                <m:rPr>
                  <m:nor/>
                </m:rPr>
                <m:t>t</m:t>
              </m:r>
            </m:e>
            <m:sub>
              <w:proofErr w:type="spellStart"/>
              <m:r>
                <m:rPr>
                  <m:nor/>
                </m:rPr>
                <m:t>t</m:t>
              </m:r>
              <w:proofErr w:type="spellEnd"/>
            </m:sub>
          </m:sSub>
          <m:r>
            <m:rPr>
              <m:nor/>
            </m:rPr>
            <m:t>+</m:t>
          </m:r>
          <m:sSub>
            <m:sSubPr>
              <m:ctrlPr>
                <w:rPr>
                  <w:rFonts w:ascii="Cambria Math" w:hAnsi="Cambria Math"/>
                </w:rPr>
              </m:ctrlPr>
            </m:sSubPr>
            <m:e>
              <m:r>
                <m:rPr>
                  <m:nor/>
                </m:rPr>
                <m:t>ε</m:t>
              </m:r>
            </m:e>
            <m:sub>
              <w:proofErr w:type="spellStart"/>
              <m:r>
                <m:rPr>
                  <m:nor/>
                </m:rPr>
                <m:t>kt</m:t>
              </m:r>
              <w:proofErr w:type="spellEnd"/>
            </m:sub>
          </m:sSub>
        </m:oMath>
      </m:oMathPara>
    </w:p>
    <w:p w:rsidR="00811E5F" w:rsidRPr="00B75B77" w:rsidRDefault="00C57207" w:rsidP="00811E5F">
      <w:pPr>
        <w:keepNext/>
      </w:pPr>
      <w:r w:rsidRPr="00B75B77">
        <w:t>W</w:t>
      </w:r>
      <w:r w:rsidR="00811E5F" w:rsidRPr="00B75B77">
        <w:t>here</w:t>
      </w:r>
      <w:r w:rsidRPr="00B75B77">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6210"/>
      </w:tblGrid>
      <w:tr w:rsidR="00811E5F" w:rsidRPr="00B75B77" w:rsidTr="00811E5F">
        <w:trPr>
          <w:jc w:val="center"/>
        </w:trPr>
        <w:tc>
          <w:tcPr>
            <w:tcW w:w="1458" w:type="dxa"/>
          </w:tcPr>
          <w:p w:rsidR="00811E5F" w:rsidRPr="00B75B77" w:rsidRDefault="00811E5F" w:rsidP="00811E5F">
            <w:pPr>
              <w:keepNext/>
            </w:pPr>
            <w:proofErr w:type="spellStart"/>
            <w:r w:rsidRPr="00B75B77">
              <w:t>ADC</w:t>
            </w:r>
            <w:r w:rsidRPr="00B75B77">
              <w:rPr>
                <w:vertAlign w:val="subscript"/>
              </w:rPr>
              <w:t>kt</w:t>
            </w:r>
            <w:proofErr w:type="spellEnd"/>
            <w:r w:rsidRPr="00B75B77">
              <w:t xml:space="preserve"> =</w:t>
            </w:r>
          </w:p>
        </w:tc>
        <w:tc>
          <w:tcPr>
            <w:tcW w:w="6210" w:type="dxa"/>
          </w:tcPr>
          <w:p w:rsidR="00811E5F" w:rsidRPr="00B75B77" w:rsidRDefault="00811E5F" w:rsidP="00C57207">
            <w:pPr>
              <w:keepNext/>
            </w:pPr>
            <w:r w:rsidRPr="00B75B77">
              <w:t xml:space="preserve">The average daily use in </w:t>
            </w:r>
            <w:r w:rsidR="00C57207" w:rsidRPr="00B75B77">
              <w:t xml:space="preserve">kilowatt-hours </w:t>
            </w:r>
            <w:r w:rsidRPr="00B75B77">
              <w:t xml:space="preserve">for participant or nonparticipant </w:t>
            </w:r>
            <w:r w:rsidRPr="00B75B77">
              <w:rPr>
                <w:i/>
              </w:rPr>
              <w:t>k</w:t>
            </w:r>
            <w:r w:rsidRPr="00B75B77">
              <w:t xml:space="preserve"> during billing cycle </w:t>
            </w:r>
            <w:r w:rsidRPr="00B75B77">
              <w:rPr>
                <w:i/>
              </w:rPr>
              <w:t>t</w:t>
            </w:r>
            <w:r w:rsidRPr="00B75B77">
              <w:t>. This is the dependent variable in the model.</w:t>
            </w:r>
          </w:p>
        </w:tc>
      </w:tr>
      <w:tr w:rsidR="00811E5F" w:rsidRPr="00B75B77" w:rsidTr="00811E5F">
        <w:trPr>
          <w:jc w:val="center"/>
        </w:trPr>
        <w:tc>
          <w:tcPr>
            <w:tcW w:w="1458" w:type="dxa"/>
          </w:tcPr>
          <w:p w:rsidR="00811E5F" w:rsidRPr="00B75B77" w:rsidRDefault="00811E5F" w:rsidP="00811E5F">
            <w:pPr>
              <w:keepNext/>
            </w:pPr>
            <w:proofErr w:type="spellStart"/>
            <w:r w:rsidRPr="00B75B77">
              <w:t>Post</w:t>
            </w:r>
            <w:r w:rsidRPr="00B75B77">
              <w:rPr>
                <w:vertAlign w:val="subscript"/>
              </w:rPr>
              <w:t>t</w:t>
            </w:r>
            <w:proofErr w:type="spellEnd"/>
            <w:r w:rsidRPr="00B75B77">
              <w:t xml:space="preserve"> =</w:t>
            </w:r>
          </w:p>
        </w:tc>
        <w:tc>
          <w:tcPr>
            <w:tcW w:w="6210" w:type="dxa"/>
          </w:tcPr>
          <w:p w:rsidR="00811E5F" w:rsidRPr="00B75B77" w:rsidRDefault="00811E5F" w:rsidP="00811E5F">
            <w:pPr>
              <w:keepNext/>
            </w:pPr>
            <w:r w:rsidRPr="00B75B77">
              <w:t xml:space="preserve">A binary variable indicating whether bill cycle </w:t>
            </w:r>
            <w:r w:rsidRPr="00B75B77">
              <w:rPr>
                <w:i/>
              </w:rPr>
              <w:t>t</w:t>
            </w:r>
            <w:r w:rsidRPr="00B75B77">
              <w:t xml:space="preserve"> is in the post-program period (taking a value of 1) or in the pre-program period (taking a value of 0).</w:t>
            </w:r>
          </w:p>
        </w:tc>
      </w:tr>
      <w:tr w:rsidR="00811E5F" w:rsidRPr="00B75B77" w:rsidTr="00811E5F">
        <w:trPr>
          <w:jc w:val="center"/>
        </w:trPr>
        <w:tc>
          <w:tcPr>
            <w:tcW w:w="1458" w:type="dxa"/>
          </w:tcPr>
          <w:p w:rsidR="00811E5F" w:rsidRPr="00B75B77" w:rsidRDefault="00811E5F" w:rsidP="00811E5F">
            <w:pPr>
              <w:keepNext/>
            </w:pPr>
            <w:proofErr w:type="spellStart"/>
            <w:r w:rsidRPr="00B75B77">
              <w:t>Participant</w:t>
            </w:r>
            <w:r w:rsidRPr="00B75B77">
              <w:rPr>
                <w:vertAlign w:val="subscript"/>
              </w:rPr>
              <w:t>k</w:t>
            </w:r>
            <w:proofErr w:type="spellEnd"/>
            <w:r w:rsidRPr="00B75B77">
              <w:rPr>
                <w:vertAlign w:val="subscript"/>
              </w:rPr>
              <w:t xml:space="preserve"> </w:t>
            </w:r>
            <w:r w:rsidRPr="00B75B77">
              <w:t>=</w:t>
            </w:r>
            <w:r w:rsidRPr="00B75B77">
              <w:rPr>
                <w:vertAlign w:val="subscript"/>
              </w:rPr>
              <w:t xml:space="preserve"> </w:t>
            </w:r>
          </w:p>
        </w:tc>
        <w:tc>
          <w:tcPr>
            <w:tcW w:w="6210" w:type="dxa"/>
          </w:tcPr>
          <w:p w:rsidR="00811E5F" w:rsidRPr="00B75B77" w:rsidRDefault="00811E5F" w:rsidP="00811E5F">
            <w:pPr>
              <w:keepNext/>
            </w:pPr>
            <w:r w:rsidRPr="00B75B77">
              <w:t xml:space="preserve">A binary variable indicating whether household </w:t>
            </w:r>
            <w:r w:rsidRPr="00B75B77">
              <w:rPr>
                <w:i/>
              </w:rPr>
              <w:t>k</w:t>
            </w:r>
            <w:r w:rsidRPr="00B75B77">
              <w:t xml:space="preserve"> is in the participant group (taking a value of 1) or in the nonparticipant group (taking a value of 0). </w:t>
            </w:r>
          </w:p>
        </w:tc>
      </w:tr>
      <w:tr w:rsidR="00811E5F" w:rsidRPr="00B75B77" w:rsidTr="00811E5F">
        <w:trPr>
          <w:jc w:val="center"/>
        </w:trPr>
        <w:tc>
          <w:tcPr>
            <w:tcW w:w="1458" w:type="dxa"/>
          </w:tcPr>
          <w:p w:rsidR="00811E5F" w:rsidRPr="00B75B77" w:rsidRDefault="00237810" w:rsidP="00811E5F">
            <w:pPr>
              <w:keepNext/>
            </w:pPr>
            <m:oMath>
              <m:sSub>
                <m:sSubPr>
                  <m:ctrlPr>
                    <w:rPr>
                      <w:rFonts w:ascii="Cambria Math" w:hAnsi="Cambria Math"/>
                      <w:i/>
                    </w:rPr>
                  </m:ctrlPr>
                </m:sSubPr>
                <m:e>
                  <m:r>
                    <w:rPr>
                      <w:rFonts w:ascii="Cambria Math" w:hAnsi="Cambria Math"/>
                    </w:rPr>
                    <m:t>α</m:t>
                  </m:r>
                </m:e>
                <m:sub>
                  <m:r>
                    <w:rPr>
                      <w:rFonts w:ascii="Cambria Math" w:hAnsi="Cambria Math"/>
                    </w:rPr>
                    <m:t>0k</m:t>
                  </m:r>
                </m:sub>
              </m:sSub>
            </m:oMath>
            <w:r w:rsidR="00811E5F" w:rsidRPr="00B75B77">
              <w:t xml:space="preserve"> =</w:t>
            </w:r>
          </w:p>
        </w:tc>
        <w:tc>
          <w:tcPr>
            <w:tcW w:w="6210" w:type="dxa"/>
          </w:tcPr>
          <w:p w:rsidR="00811E5F" w:rsidRPr="00B75B77" w:rsidRDefault="00811E5F" w:rsidP="00811E5F">
            <w:pPr>
              <w:keepNext/>
            </w:pPr>
            <w:r w:rsidRPr="00B75B77">
              <w:t xml:space="preserve">The household-specific fixed effect (constant term) for household </w:t>
            </w:r>
            <w:r w:rsidRPr="00B75B77">
              <w:rPr>
                <w:i/>
              </w:rPr>
              <w:t>k</w:t>
            </w:r>
            <w:r w:rsidRPr="00B75B77">
              <w:t>. The fixed</w:t>
            </w:r>
            <w:r w:rsidR="00AF5657" w:rsidRPr="00B75B77">
              <w:t xml:space="preserve"> </w:t>
            </w:r>
            <w:r w:rsidRPr="00B75B77">
              <w:t>effect controls for all participant</w:t>
            </w:r>
            <w:r w:rsidR="00C57207" w:rsidRPr="00B75B77">
              <w:t>-</w:t>
            </w:r>
            <w:r w:rsidRPr="00B75B77">
              <w:t xml:space="preserve"> or nonparticipant-specific effects on energy consumption that do not change over time, such as the number of household members or the size of the dwelling.</w:t>
            </w:r>
          </w:p>
        </w:tc>
      </w:tr>
      <w:tr w:rsidR="00811E5F" w:rsidRPr="00B75B77" w:rsidTr="00811E5F">
        <w:trPr>
          <w:jc w:val="center"/>
        </w:trPr>
        <w:tc>
          <w:tcPr>
            <w:tcW w:w="1458" w:type="dxa"/>
          </w:tcPr>
          <w:p w:rsidR="00811E5F" w:rsidRPr="00B75B77" w:rsidRDefault="00237810" w:rsidP="00811E5F">
            <m:oMath>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2</m:t>
                  </m:r>
                </m:sub>
              </m:sSub>
            </m:oMath>
            <w:r w:rsidR="00811E5F" w:rsidRPr="00B75B77">
              <w:t xml:space="preserve"> =</w:t>
            </w:r>
          </w:p>
        </w:tc>
        <w:tc>
          <w:tcPr>
            <w:tcW w:w="6210" w:type="dxa"/>
          </w:tcPr>
          <w:p w:rsidR="00811E5F" w:rsidRPr="00B75B77" w:rsidRDefault="00811E5F" w:rsidP="00811E5F">
            <w:r w:rsidRPr="00B75B77">
              <w:t>Regression parameters corresponding to the independent variables.</w:t>
            </w:r>
          </w:p>
        </w:tc>
      </w:tr>
    </w:tbl>
    <w:p w:rsidR="00811E5F" w:rsidRPr="00B75B77" w:rsidRDefault="00811E5F" w:rsidP="00811E5F"/>
    <w:p w:rsidR="00811E5F" w:rsidRPr="00B75B77" w:rsidRDefault="00811E5F" w:rsidP="00811E5F">
      <w:r w:rsidRPr="00B75B77">
        <w:t>The coefficient α</w:t>
      </w:r>
      <w:r w:rsidRPr="00B75B77">
        <w:rPr>
          <w:vertAlign w:val="subscript"/>
        </w:rPr>
        <w:t>0k</w:t>
      </w:r>
      <w:r w:rsidRPr="00B75B77">
        <w:t xml:space="preserve"> is the household-specific fixed</w:t>
      </w:r>
      <w:r w:rsidR="0044162C" w:rsidRPr="00B75B77">
        <w:t xml:space="preserve"> </w:t>
      </w:r>
      <w:r w:rsidRPr="00B75B77">
        <w:t>effect that implicitly captures all participant-specific and nonparticipant-specific effects on electricity use that do not change over time. The calculation of the fixed</w:t>
      </w:r>
      <w:r w:rsidR="0044162C" w:rsidRPr="00B75B77">
        <w:t xml:space="preserve"> </w:t>
      </w:r>
      <w:r w:rsidRPr="00B75B77">
        <w:t>effect term does not require knowledge of which characteristics at each household are unchanged; the regression model uses billing data to implicitly estimate the aggregate impact upon energy use of all characteristics that are unchanged over time. Second, α</w:t>
      </w:r>
      <w:r w:rsidRPr="00B75B77">
        <w:rPr>
          <w:vertAlign w:val="subscript"/>
        </w:rPr>
        <w:t xml:space="preserve">1 </w:t>
      </w:r>
      <w:r w:rsidRPr="00B75B77">
        <w:t>captures the average effect among nonparticipants of being in the post-treatment period. In other words, it captures the effects of exogenous factors, such as economic conditions, that affect all nonparticipants in the program period but not in the pre-program period. Third, α</w:t>
      </w:r>
      <w:r w:rsidRPr="00B75B77">
        <w:rPr>
          <w:vertAlign w:val="subscript"/>
        </w:rPr>
        <w:t>1</w:t>
      </w:r>
      <w:r w:rsidRPr="00B75B77">
        <w:t xml:space="preserve"> + α</w:t>
      </w:r>
      <w:r w:rsidRPr="00B75B77">
        <w:rPr>
          <w:vertAlign w:val="subscript"/>
        </w:rPr>
        <w:t xml:space="preserve">2 </w:t>
      </w:r>
      <w:proofErr w:type="gramStart"/>
      <w:r w:rsidRPr="00B75B77">
        <w:t>captures</w:t>
      </w:r>
      <w:proofErr w:type="gramEnd"/>
      <w:r w:rsidRPr="00B75B77">
        <w:t xml:space="preserve"> the average effect among participants of being in the post-program period, and so the effect directly attributable to the SUP program is captured by the coefficient α</w:t>
      </w:r>
      <w:r w:rsidRPr="00B75B77">
        <w:rPr>
          <w:vertAlign w:val="subscript"/>
        </w:rPr>
        <w:t>2</w:t>
      </w:r>
      <w:r w:rsidRPr="00B75B77">
        <w:t>. In other words, this coefficient captures the difference-in-difference (DID) in average daily</w:t>
      </w:r>
      <w:r w:rsidR="0051755B" w:rsidRPr="00B75B77">
        <w:t xml:space="preserve"> kilowatt-hour</w:t>
      </w:r>
      <w:r w:rsidRPr="00B75B77">
        <w:t xml:space="preserve"> use between the participants and nonparticipants across the pre-program and treatment periods.</w:t>
      </w:r>
      <w:bookmarkStart w:id="436" w:name="_Toc274136254"/>
      <w:r w:rsidRPr="00B75B77">
        <w:t xml:space="preserve"> Consequently, the DID statistic is considered the best indicator of program effects in a program evaluation</w:t>
      </w:r>
      <w:bookmarkEnd w:id="436"/>
      <w:r w:rsidRPr="00B75B77">
        <w:t>. The evaluation team generated average savings for PY7 by multiplying the estimate of household average daily savings (α</w:t>
      </w:r>
      <w:r w:rsidRPr="00B75B77">
        <w:rPr>
          <w:vertAlign w:val="subscript"/>
        </w:rPr>
        <w:t>2</w:t>
      </w:r>
      <w:r w:rsidRPr="00B75B77">
        <w:t>) by the average number of post days per participant.</w:t>
      </w:r>
    </w:p>
    <w:p w:rsidR="00811E5F" w:rsidRPr="00B75B77" w:rsidRDefault="00811E5F" w:rsidP="00811E5F"/>
    <w:p w:rsidR="00811E5F" w:rsidRPr="00B75B77" w:rsidRDefault="00811E5F" w:rsidP="00811E5F">
      <w:r w:rsidRPr="00B75B77">
        <w:t xml:space="preserve">The one-way fixed-effects model is the preferred model used for reporting savings. As a check on the robustness of the savings estimates, Navigant also modeled SUP program savings utilizing a post-only model. Due to the experimental design of the program, the two models should generate similar results. The second model uses post-enrollment program observations only and replaces the household fixed effect with the household’s energy use in the same calendar month of the pre-program year to account for household-level variation in energy use. Navigant refers to this model as the post-program regression (PPR) model. Formally, defining </w:t>
      </w:r>
      <m:oMath>
        <m:sSub>
          <m:sSubPr>
            <m:ctrlPr>
              <w:rPr>
                <w:rFonts w:ascii="Cambria Math" w:hAnsi="Cambria Math"/>
                <w:i/>
              </w:rPr>
            </m:ctrlPr>
          </m:sSubPr>
          <m:e>
            <m:r>
              <w:rPr>
                <w:rFonts w:ascii="Cambria Math" w:hAnsi="Cambria Math"/>
              </w:rPr>
              <m:t>Preconsumption</m:t>
            </m:r>
          </m:e>
          <m:sub>
            <m:r>
              <w:rPr>
                <w:rFonts w:ascii="Cambria Math" w:hAnsi="Cambria Math"/>
              </w:rPr>
              <m:t>kt</m:t>
            </m:r>
          </m:sub>
        </m:sSub>
      </m:oMath>
      <w:r w:rsidRPr="00B75B77">
        <w:t xml:space="preserve"> as household </w:t>
      </w:r>
      <w:r w:rsidRPr="00B75B77">
        <w:rPr>
          <w:i/>
        </w:rPr>
        <w:t>k</w:t>
      </w:r>
      <w:r w:rsidRPr="00B75B77">
        <w:t xml:space="preserve">’s energy use in month </w:t>
      </w:r>
      <w:r w:rsidRPr="00B75B77">
        <w:rPr>
          <w:i/>
        </w:rPr>
        <w:t>t</w:t>
      </w:r>
      <w:r w:rsidRPr="00B75B77">
        <w:t xml:space="preserve"> and letting </w:t>
      </w:r>
      <m:oMath>
        <m:sSub>
          <m:sSubPr>
            <m:ctrlPr>
              <w:rPr>
                <w:rFonts w:ascii="Cambria Math" w:hAnsi="Cambria Math"/>
                <w:i/>
              </w:rPr>
            </m:ctrlPr>
          </m:sSubPr>
          <m:e>
            <m:r>
              <w:rPr>
                <w:rFonts w:ascii="Cambria Math" w:hAnsi="Cambria Math"/>
              </w:rPr>
              <m:t>γ</m:t>
            </m:r>
          </m:e>
          <m:sub>
            <m:r>
              <w:rPr>
                <w:rFonts w:ascii="Cambria Math" w:hAnsi="Cambria Math"/>
              </w:rPr>
              <m:t>t</m:t>
            </m:r>
          </m:sub>
        </m:sSub>
      </m:oMath>
      <w:r w:rsidRPr="00B75B77">
        <w:t xml:space="preserve"> denote the fixed effect for month </w:t>
      </w:r>
      <w:r w:rsidRPr="00B75B77">
        <w:rPr>
          <w:i/>
        </w:rPr>
        <w:t>t</w:t>
      </w:r>
      <w:r w:rsidRPr="00B75B77">
        <w:t xml:space="preserve">, the model takes the form shown in </w:t>
      </w:r>
      <w:r w:rsidR="00B4241E" w:rsidRPr="00B75B77">
        <w:fldChar w:fldCharType="begin"/>
      </w:r>
      <w:r w:rsidR="00B4241E" w:rsidRPr="00B75B77">
        <w:instrText xml:space="preserve"> REF _Ref395777887 \h </w:instrText>
      </w:r>
      <w:r w:rsidR="00B75B77">
        <w:instrText xml:space="preserve"> \* MERGEFORMAT </w:instrText>
      </w:r>
      <w:r w:rsidR="00B4241E" w:rsidRPr="00B75B77">
        <w:fldChar w:fldCharType="separate"/>
      </w:r>
      <w:r w:rsidR="0004016D" w:rsidRPr="00B75B77">
        <w:t xml:space="preserve">Equation </w:t>
      </w:r>
      <w:r w:rsidR="0004016D">
        <w:rPr>
          <w:noProof/>
        </w:rPr>
        <w:t>5</w:t>
      </w:r>
      <w:r w:rsidR="0004016D" w:rsidRPr="00B75B77">
        <w:rPr>
          <w:noProof/>
        </w:rPr>
        <w:noBreakHyphen/>
      </w:r>
      <w:r w:rsidR="0004016D">
        <w:rPr>
          <w:noProof/>
        </w:rPr>
        <w:t>2</w:t>
      </w:r>
      <w:r w:rsidR="00B4241E" w:rsidRPr="00B75B77">
        <w:fldChar w:fldCharType="end"/>
      </w:r>
      <w:r w:rsidRPr="00B75B77">
        <w:t xml:space="preserve">. </w:t>
      </w:r>
    </w:p>
    <w:p w:rsidR="00811E5F" w:rsidRPr="00B75B77" w:rsidRDefault="00811E5F" w:rsidP="00811E5F"/>
    <w:p w:rsidR="00811E5F" w:rsidRPr="00B75B77" w:rsidRDefault="00811E5F" w:rsidP="0051755B">
      <w:pPr>
        <w:pStyle w:val="Caption"/>
      </w:pPr>
      <w:bookmarkStart w:id="437" w:name="_Ref395777887"/>
      <w:bookmarkStart w:id="438" w:name="_Toc466413698"/>
      <w:r w:rsidRPr="00B75B77">
        <w:t xml:space="preserve">Equation </w:t>
      </w:r>
      <w:fldSimple w:instr=" STYLEREF 1 \s ">
        <w:r w:rsidR="0004016D">
          <w:rPr>
            <w:noProof/>
          </w:rPr>
          <w:t>5</w:t>
        </w:r>
      </w:fldSimple>
      <w:r w:rsidRPr="00B75B77">
        <w:noBreakHyphen/>
      </w:r>
      <w:fldSimple w:instr=" SEQ Equation \* ARABIC \s 1 ">
        <w:r w:rsidR="0004016D">
          <w:rPr>
            <w:noProof/>
          </w:rPr>
          <w:t>2</w:t>
        </w:r>
      </w:fldSimple>
      <w:bookmarkEnd w:id="437"/>
      <w:r w:rsidR="00B4241E" w:rsidRPr="00B75B77">
        <w:t>:</w:t>
      </w:r>
      <w:r w:rsidRPr="00B75B77">
        <w:t xml:space="preserve"> PPR Model with Monthly Fixed Effects</w:t>
      </w:r>
      <w:bookmarkEnd w:id="438"/>
    </w:p>
    <w:p w:rsidR="00811E5F" w:rsidRPr="00B75B77" w:rsidRDefault="0051755B" w:rsidP="0051755B">
      <w:pPr>
        <w:jc w:val="center"/>
      </w:pPr>
      <m:oMathPara>
        <m:oMath>
          <m:r>
            <m:rPr>
              <m:nor/>
            </m:rPr>
            <m:t>AD</m:t>
          </m:r>
          <m:sSub>
            <m:sSubPr>
              <m:ctrlPr>
                <w:rPr>
                  <w:rFonts w:ascii="Cambria Math" w:hAnsi="Cambria Math"/>
                </w:rPr>
              </m:ctrlPr>
            </m:sSubPr>
            <m:e>
              <m:r>
                <m:rPr>
                  <m:nor/>
                </m:rPr>
                <m:t>C</m:t>
              </m:r>
            </m:e>
            <m:sub>
              <m:r>
                <m:rPr>
                  <m:nor/>
                </m:rPr>
                <m:t>kt</m:t>
              </m:r>
            </m:sub>
          </m:sSub>
          <m:r>
            <m:rPr>
              <m:nor/>
            </m:rPr>
            <m:t>=</m:t>
          </m:r>
          <m:sSub>
            <m:sSubPr>
              <m:ctrlPr>
                <w:rPr>
                  <w:rFonts w:ascii="Cambria Math" w:hAnsi="Cambria Math"/>
                </w:rPr>
              </m:ctrlPr>
            </m:sSubPr>
            <m:e>
              <m:r>
                <m:rPr>
                  <m:nor/>
                </m:rPr>
                <m:t>α</m:t>
              </m:r>
            </m:e>
            <m:sub>
              <m:r>
                <m:rPr>
                  <m:nor/>
                </m:rPr>
                <m:t>ot</m:t>
              </m:r>
            </m:sub>
          </m:sSub>
          <m:r>
            <m:rPr>
              <m:nor/>
            </m:rPr>
            <m:t>+</m:t>
          </m:r>
          <m:sSub>
            <m:sSubPr>
              <m:ctrlPr>
                <w:rPr>
                  <w:rFonts w:ascii="Cambria Math" w:hAnsi="Cambria Math"/>
                </w:rPr>
              </m:ctrlPr>
            </m:sSubPr>
            <m:e>
              <m:r>
                <m:rPr>
                  <m:nor/>
                </m:rPr>
                <m:t>α</m:t>
              </m:r>
            </m:e>
            <m:sub>
              <m:r>
                <m:rPr>
                  <m:nor/>
                </m:rPr>
                <m:t>1</m:t>
              </m:r>
            </m:sub>
          </m:sSub>
          <m:sSub>
            <m:sSubPr>
              <m:ctrlPr>
                <w:rPr>
                  <w:rFonts w:ascii="Cambria Math" w:hAnsi="Cambria Math"/>
                </w:rPr>
              </m:ctrlPr>
            </m:sSubPr>
            <m:e>
              <m:r>
                <m:rPr>
                  <m:nor/>
                </m:rPr>
                <m:t>Preconsumption</m:t>
              </m:r>
            </m:e>
            <m:sub>
              <m:r>
                <m:rPr>
                  <m:nor/>
                </m:rPr>
                <m:t>tk</m:t>
              </m:r>
            </m:sub>
          </m:sSub>
          <m:r>
            <m:rPr>
              <m:nor/>
            </m:rPr>
            <m:t>+</m:t>
          </m:r>
          <m:sSub>
            <m:sSubPr>
              <m:ctrlPr>
                <w:rPr>
                  <w:rFonts w:ascii="Cambria Math" w:hAnsi="Cambria Math"/>
                </w:rPr>
              </m:ctrlPr>
            </m:sSubPr>
            <m:e>
              <m:r>
                <m:rPr>
                  <m:nor/>
                </m:rPr>
                <m:t>α</m:t>
              </m:r>
            </m:e>
            <m:sub>
              <m:r>
                <m:rPr>
                  <m:nor/>
                </m:rPr>
                <m:t>2</m:t>
              </m:r>
            </m:sub>
          </m:sSub>
          <m:sSub>
            <m:sSubPr>
              <m:ctrlPr>
                <w:rPr>
                  <w:rFonts w:ascii="Cambria Math" w:hAnsi="Cambria Math"/>
                </w:rPr>
              </m:ctrlPr>
            </m:sSubPr>
            <m:e>
              <m:r>
                <m:rPr>
                  <m:nor/>
                </m:rPr>
                <m:t>Participant</m:t>
              </m:r>
            </m:e>
            <m:sub>
              <m:r>
                <m:rPr>
                  <m:nor/>
                </m:rPr>
                <m:t>k</m:t>
              </m:r>
            </m:sub>
          </m:sSub>
          <m:r>
            <m:rPr>
              <m:nor/>
            </m:rPr>
            <m:t>+</m:t>
          </m:r>
          <m:sSub>
            <m:sSubPr>
              <m:ctrlPr>
                <w:rPr>
                  <w:rFonts w:ascii="Cambria Math" w:hAnsi="Cambria Math"/>
                </w:rPr>
              </m:ctrlPr>
            </m:sSubPr>
            <m:e>
              <m:r>
                <m:rPr>
                  <m:nor/>
                </m:rPr>
                <m:t>γ</m:t>
              </m:r>
            </m:e>
            <m:sub>
              <m:r>
                <m:rPr>
                  <m:nor/>
                </m:rPr>
                <m:t>t</m:t>
              </m:r>
            </m:sub>
          </m:sSub>
          <m:r>
            <m:rPr>
              <m:nor/>
            </m:rPr>
            <m:t>+</m:t>
          </m:r>
          <m:sSub>
            <m:sSubPr>
              <m:ctrlPr>
                <w:rPr>
                  <w:rFonts w:ascii="Cambria Math" w:hAnsi="Cambria Math"/>
                </w:rPr>
              </m:ctrlPr>
            </m:sSubPr>
            <m:e>
              <m:r>
                <m:rPr>
                  <m:nor/>
                </m:rPr>
                <m:t>ε</m:t>
              </m:r>
            </m:e>
            <m:sub>
              <m:r>
                <m:rPr>
                  <m:nor/>
                </m:rPr>
                <m:t>kt</m:t>
              </m:r>
            </m:sub>
          </m:sSub>
        </m:oMath>
      </m:oMathPara>
    </w:p>
    <w:p w:rsidR="00451FB1" w:rsidRPr="00B75B77" w:rsidRDefault="00451FB1" w:rsidP="0051755B">
      <w:pPr>
        <w:jc w:val="center"/>
      </w:pPr>
    </w:p>
    <w:p w:rsidR="00811E5F" w:rsidRPr="00B75B77" w:rsidRDefault="00811E5F" w:rsidP="00811E5F">
      <w:r w:rsidRPr="00B75B77">
        <w:t>Participants and nonparticipants that moved out of PECO territory during the course of the program (PY5, PY6, or PY7) were omitted from the regression analysis to estimate program effects but were included in the estimate of total program savings for the time prior to when they moved away from PECO territory. Navigant assumed that until a participant move</w:t>
      </w:r>
      <w:r w:rsidR="0051755B" w:rsidRPr="00B75B77">
        <w:t>d</w:t>
      </w:r>
      <w:r w:rsidRPr="00B75B77">
        <w:t xml:space="preserve"> out, their program savings </w:t>
      </w:r>
      <w:r w:rsidR="0051755B" w:rsidRPr="00B75B77">
        <w:t>we</w:t>
      </w:r>
      <w:r w:rsidRPr="00B75B77">
        <w:t>re equal to savings over the same period for participants that remain</w:t>
      </w:r>
      <w:r w:rsidR="0051755B" w:rsidRPr="00B75B77">
        <w:t>ed</w:t>
      </w:r>
      <w:r w:rsidRPr="00B75B77">
        <w:t xml:space="preserve"> in the program for the program</w:t>
      </w:r>
      <w:r w:rsidR="0051755B" w:rsidRPr="00B75B77">
        <w:t>’s</w:t>
      </w:r>
      <w:r w:rsidRPr="00B75B77">
        <w:t xml:space="preserve"> duration. </w:t>
      </w:r>
      <w:r w:rsidR="0051755B" w:rsidRPr="00B75B77">
        <w:fldChar w:fldCharType="begin"/>
      </w:r>
      <w:r w:rsidR="0051755B" w:rsidRPr="00B75B77">
        <w:instrText xml:space="preserve"> REF _Ref463271158 \h </w:instrText>
      </w:r>
      <w:r w:rsidR="00B75B77">
        <w:instrText xml:space="preserve"> \* MERGEFORMAT </w:instrText>
      </w:r>
      <w:r w:rsidR="0051755B" w:rsidRPr="00B75B77">
        <w:fldChar w:fldCharType="separate"/>
      </w:r>
      <w:r w:rsidR="0004016D" w:rsidRPr="00B75B77">
        <w:t xml:space="preserve">Table </w:t>
      </w:r>
      <w:r w:rsidR="0004016D">
        <w:rPr>
          <w:noProof/>
        </w:rPr>
        <w:t>5</w:t>
      </w:r>
      <w:r w:rsidR="0004016D" w:rsidRPr="00B75B77">
        <w:rPr>
          <w:noProof/>
        </w:rPr>
        <w:noBreakHyphen/>
      </w:r>
      <w:r w:rsidR="0004016D">
        <w:rPr>
          <w:noProof/>
        </w:rPr>
        <w:t>2</w:t>
      </w:r>
      <w:r w:rsidR="0051755B" w:rsidRPr="00B75B77">
        <w:fldChar w:fldCharType="end"/>
      </w:r>
      <w:r w:rsidRPr="00B75B77">
        <w:t xml:space="preserve"> summarizes the sampling strategy for the PY7 evaluation. </w:t>
      </w:r>
    </w:p>
    <w:p w:rsidR="00811E5F" w:rsidRPr="00B75B77" w:rsidRDefault="00811E5F" w:rsidP="00811E5F"/>
    <w:p w:rsidR="00811E5F" w:rsidRPr="00B75B77" w:rsidRDefault="00811E5F" w:rsidP="00811E5F">
      <w:r w:rsidRPr="00B75B77">
        <w:t xml:space="preserve">Both regression models utilize billing data from all treatment and control households enrolled in the SUP program. Thus, the sampling strategy is a census approach where data from all households is utilized in the analysis, as shown in </w:t>
      </w:r>
      <w:r w:rsidR="00B4241E" w:rsidRPr="00B75B77">
        <w:fldChar w:fldCharType="begin"/>
      </w:r>
      <w:r w:rsidR="00B4241E" w:rsidRPr="00B75B77">
        <w:instrText xml:space="preserve"> REF _Ref463271158 \h </w:instrText>
      </w:r>
      <w:r w:rsidR="00B75B77">
        <w:instrText xml:space="preserve"> \* MERGEFORMAT </w:instrText>
      </w:r>
      <w:r w:rsidR="00B4241E" w:rsidRPr="00B75B77">
        <w:fldChar w:fldCharType="separate"/>
      </w:r>
      <w:r w:rsidR="0004016D" w:rsidRPr="00B75B77">
        <w:t xml:space="preserve">Table </w:t>
      </w:r>
      <w:r w:rsidR="0004016D">
        <w:rPr>
          <w:noProof/>
        </w:rPr>
        <w:t>5</w:t>
      </w:r>
      <w:r w:rsidR="0004016D" w:rsidRPr="00B75B77">
        <w:rPr>
          <w:noProof/>
        </w:rPr>
        <w:noBreakHyphen/>
      </w:r>
      <w:r w:rsidR="0004016D">
        <w:rPr>
          <w:noProof/>
        </w:rPr>
        <w:t>2</w:t>
      </w:r>
      <w:r w:rsidR="00B4241E" w:rsidRPr="00B75B77">
        <w:fldChar w:fldCharType="end"/>
      </w:r>
      <w:r w:rsidRPr="00B75B77">
        <w:t>.</w:t>
      </w:r>
    </w:p>
    <w:p w:rsidR="00811E5F" w:rsidRPr="00B75B77" w:rsidRDefault="00811E5F" w:rsidP="00811E5F"/>
    <w:p w:rsidR="00811E5F" w:rsidRPr="00B75B77" w:rsidRDefault="00811E5F" w:rsidP="00811E5F">
      <w:pPr>
        <w:pStyle w:val="Caption"/>
        <w:rPr>
          <w:rFonts w:ascii="Calibri" w:hAnsi="Calibri"/>
          <w:b w:val="0"/>
          <w:bCs w:val="0"/>
          <w:color w:val="auto"/>
          <w:sz w:val="22"/>
          <w:szCs w:val="22"/>
        </w:rPr>
      </w:pPr>
      <w:bookmarkStart w:id="439" w:name="_Ref463271158"/>
      <w:bookmarkStart w:id="440" w:name="_Toc466413543"/>
      <w:r w:rsidRPr="00B75B77">
        <w:t xml:space="preserve">Table </w:t>
      </w:r>
      <w:fldSimple w:instr=" STYLEREF 1 \s ">
        <w:r w:rsidR="0004016D">
          <w:rPr>
            <w:noProof/>
          </w:rPr>
          <w:t>5</w:t>
        </w:r>
      </w:fldSimple>
      <w:r w:rsidR="00F1144C" w:rsidRPr="00B75B77">
        <w:noBreakHyphen/>
      </w:r>
      <w:fldSimple w:instr=" SEQ Table \* ARABIC \s 1 ">
        <w:r w:rsidR="0004016D">
          <w:rPr>
            <w:noProof/>
          </w:rPr>
          <w:t>2</w:t>
        </w:r>
      </w:fldSimple>
      <w:bookmarkEnd w:id="439"/>
      <w:r w:rsidRPr="00B75B77">
        <w:t>: Smart Usage Profile Sampling Strategy for PY7</w:t>
      </w:r>
      <w:bookmarkEnd w:id="440"/>
    </w:p>
    <w:tbl>
      <w:tblPr>
        <w:tblW w:w="8455" w:type="dxa"/>
        <w:jc w:val="center"/>
        <w:tblLayout w:type="fixed"/>
        <w:tblLook w:val="04A0" w:firstRow="1" w:lastRow="0" w:firstColumn="1" w:lastColumn="0" w:noHBand="0" w:noVBand="1"/>
      </w:tblPr>
      <w:tblGrid>
        <w:gridCol w:w="1221"/>
        <w:gridCol w:w="1384"/>
        <w:gridCol w:w="1530"/>
        <w:gridCol w:w="1350"/>
        <w:gridCol w:w="1260"/>
        <w:gridCol w:w="1710"/>
      </w:tblGrid>
      <w:tr w:rsidR="00811E5F" w:rsidRPr="00B75B77" w:rsidTr="0051755B">
        <w:trPr>
          <w:divId w:val="1769545867"/>
          <w:trHeight w:val="660"/>
          <w:jc w:val="center"/>
        </w:trPr>
        <w:tc>
          <w:tcPr>
            <w:tcW w:w="1221" w:type="dxa"/>
            <w:tcBorders>
              <w:top w:val="single" w:sz="4" w:space="0" w:color="auto"/>
              <w:left w:val="single" w:sz="4" w:space="0" w:color="auto"/>
              <w:bottom w:val="single" w:sz="4" w:space="0" w:color="auto"/>
              <w:right w:val="single" w:sz="4" w:space="0" w:color="auto"/>
            </w:tcBorders>
            <w:shd w:val="clear" w:color="000000" w:fill="448A99"/>
            <w:vAlign w:val="center"/>
            <w:hideMark/>
          </w:tcPr>
          <w:p w:rsidR="00811E5F" w:rsidRPr="00B75B77" w:rsidRDefault="00811E5F" w:rsidP="00811E5F">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Stratum</w:t>
            </w:r>
          </w:p>
        </w:tc>
        <w:tc>
          <w:tcPr>
            <w:tcW w:w="1384" w:type="dxa"/>
            <w:tcBorders>
              <w:top w:val="single" w:sz="4" w:space="0" w:color="auto"/>
              <w:left w:val="nil"/>
              <w:bottom w:val="single" w:sz="4" w:space="0" w:color="auto"/>
              <w:right w:val="single" w:sz="4" w:space="0" w:color="auto"/>
            </w:tcBorders>
            <w:shd w:val="clear" w:color="000000" w:fill="448A99"/>
            <w:vAlign w:val="center"/>
            <w:hideMark/>
          </w:tcPr>
          <w:p w:rsidR="00811E5F" w:rsidRPr="00B75B77" w:rsidRDefault="00811E5F" w:rsidP="00811E5F">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Population Size</w:t>
            </w:r>
          </w:p>
        </w:tc>
        <w:tc>
          <w:tcPr>
            <w:tcW w:w="1530" w:type="dxa"/>
            <w:tcBorders>
              <w:top w:val="single" w:sz="4" w:space="0" w:color="auto"/>
              <w:left w:val="nil"/>
              <w:bottom w:val="single" w:sz="4" w:space="0" w:color="auto"/>
              <w:right w:val="single" w:sz="4" w:space="0" w:color="auto"/>
            </w:tcBorders>
            <w:shd w:val="clear" w:color="000000" w:fill="448A99"/>
            <w:vAlign w:val="center"/>
            <w:hideMark/>
          </w:tcPr>
          <w:p w:rsidR="00811E5F" w:rsidRPr="00B75B77" w:rsidRDefault="00811E5F" w:rsidP="00811E5F">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Target Levels of Confidence </w:t>
            </w:r>
            <w:r w:rsidR="0051755B" w:rsidRPr="00B75B77">
              <w:rPr>
                <w:rFonts w:ascii="Calibri" w:eastAsia="Times New Roman" w:hAnsi="Calibri"/>
                <w:b/>
                <w:bCs/>
                <w:color w:val="FFFFFF"/>
                <w:sz w:val="18"/>
                <w:szCs w:val="18"/>
              </w:rPr>
              <w:t>and</w:t>
            </w:r>
            <w:r w:rsidRPr="00B75B77">
              <w:rPr>
                <w:rFonts w:ascii="Calibri" w:eastAsia="Times New Roman" w:hAnsi="Calibri"/>
                <w:b/>
                <w:bCs/>
                <w:color w:val="FFFFFF"/>
                <w:sz w:val="18"/>
                <w:szCs w:val="18"/>
              </w:rPr>
              <w:t xml:space="preserve"> Precision</w:t>
            </w:r>
            <w:r w:rsidRPr="00B75B77">
              <w:rPr>
                <w:rFonts w:ascii="Calibri" w:eastAsia="Times New Roman" w:hAnsi="Calibri"/>
                <w:b/>
                <w:bCs/>
                <w:color w:val="FFFFFF"/>
                <w:sz w:val="18"/>
                <w:szCs w:val="18"/>
                <w:vertAlign w:val="superscript"/>
              </w:rPr>
              <w:t>[1]</w:t>
            </w:r>
          </w:p>
        </w:tc>
        <w:tc>
          <w:tcPr>
            <w:tcW w:w="1350" w:type="dxa"/>
            <w:tcBorders>
              <w:top w:val="single" w:sz="4" w:space="0" w:color="auto"/>
              <w:left w:val="nil"/>
              <w:bottom w:val="single" w:sz="4" w:space="0" w:color="auto"/>
              <w:right w:val="single" w:sz="4" w:space="0" w:color="auto"/>
            </w:tcBorders>
            <w:shd w:val="clear" w:color="000000" w:fill="448A99"/>
            <w:vAlign w:val="center"/>
            <w:hideMark/>
          </w:tcPr>
          <w:p w:rsidR="00811E5F" w:rsidRPr="00B75B77" w:rsidRDefault="00811E5F" w:rsidP="00811E5F">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Target Sample Size</w:t>
            </w:r>
          </w:p>
        </w:tc>
        <w:tc>
          <w:tcPr>
            <w:tcW w:w="1260" w:type="dxa"/>
            <w:tcBorders>
              <w:top w:val="single" w:sz="4" w:space="0" w:color="auto"/>
              <w:left w:val="nil"/>
              <w:bottom w:val="single" w:sz="4" w:space="0" w:color="auto"/>
              <w:right w:val="single" w:sz="4" w:space="0" w:color="auto"/>
            </w:tcBorders>
            <w:shd w:val="clear" w:color="000000" w:fill="448A99"/>
            <w:vAlign w:val="center"/>
            <w:hideMark/>
          </w:tcPr>
          <w:p w:rsidR="00811E5F" w:rsidRPr="00B75B77" w:rsidRDefault="00811E5F" w:rsidP="00811E5F">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Achieved Sample Size</w:t>
            </w:r>
          </w:p>
        </w:tc>
        <w:tc>
          <w:tcPr>
            <w:tcW w:w="1710" w:type="dxa"/>
            <w:tcBorders>
              <w:top w:val="single" w:sz="4" w:space="0" w:color="auto"/>
              <w:left w:val="nil"/>
              <w:bottom w:val="single" w:sz="4" w:space="0" w:color="auto"/>
              <w:right w:val="single" w:sz="4" w:space="0" w:color="auto"/>
            </w:tcBorders>
            <w:shd w:val="clear" w:color="000000" w:fill="448A99"/>
            <w:vAlign w:val="center"/>
            <w:hideMark/>
          </w:tcPr>
          <w:p w:rsidR="00811E5F" w:rsidRPr="00B75B77" w:rsidRDefault="00811E5F" w:rsidP="0051755B">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Evaluation Activity</w:t>
            </w:r>
          </w:p>
        </w:tc>
      </w:tr>
      <w:tr w:rsidR="00811E5F" w:rsidRPr="00B75B77" w:rsidTr="0051755B">
        <w:trPr>
          <w:divId w:val="1769545867"/>
          <w:trHeight w:val="288"/>
          <w:jc w:val="center"/>
        </w:trPr>
        <w:tc>
          <w:tcPr>
            <w:tcW w:w="1221" w:type="dxa"/>
            <w:tcBorders>
              <w:top w:val="nil"/>
              <w:left w:val="single" w:sz="4" w:space="0" w:color="448A99"/>
              <w:bottom w:val="single" w:sz="4" w:space="0" w:color="448A99"/>
              <w:right w:val="single" w:sz="4" w:space="0" w:color="448A99"/>
            </w:tcBorders>
            <w:shd w:val="clear" w:color="000000" w:fill="D2EAF1"/>
            <w:vAlign w:val="center"/>
            <w:hideMark/>
          </w:tcPr>
          <w:p w:rsidR="00811E5F" w:rsidRPr="00B75B77" w:rsidRDefault="00811E5F" w:rsidP="00811E5F">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Wave 1</w:t>
            </w:r>
          </w:p>
        </w:tc>
        <w:tc>
          <w:tcPr>
            <w:tcW w:w="1384" w:type="dxa"/>
            <w:tcBorders>
              <w:top w:val="nil"/>
              <w:left w:val="nil"/>
              <w:bottom w:val="single" w:sz="4" w:space="0" w:color="448A99"/>
              <w:right w:val="single" w:sz="4" w:space="0" w:color="448A99"/>
            </w:tcBorders>
            <w:shd w:val="clear" w:color="000000" w:fill="D2EAF1"/>
            <w:vAlign w:val="center"/>
            <w:hideMark/>
          </w:tcPr>
          <w:p w:rsidR="00811E5F" w:rsidRPr="00B75B77" w:rsidRDefault="00811E5F"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44,795</w:t>
            </w:r>
          </w:p>
        </w:tc>
        <w:tc>
          <w:tcPr>
            <w:tcW w:w="1530" w:type="dxa"/>
            <w:tcBorders>
              <w:top w:val="nil"/>
              <w:left w:val="nil"/>
              <w:bottom w:val="single" w:sz="4" w:space="0" w:color="448A99"/>
              <w:right w:val="single" w:sz="4" w:space="0" w:color="448A99"/>
            </w:tcBorders>
            <w:shd w:val="clear" w:color="000000" w:fill="D2EAF1"/>
            <w:vAlign w:val="center"/>
            <w:hideMark/>
          </w:tcPr>
          <w:p w:rsidR="00811E5F" w:rsidRPr="00B75B77" w:rsidRDefault="00811E5F"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350" w:type="dxa"/>
            <w:tcBorders>
              <w:top w:val="nil"/>
              <w:left w:val="nil"/>
              <w:bottom w:val="single" w:sz="4" w:space="0" w:color="448A99"/>
              <w:right w:val="single" w:sz="4" w:space="0" w:color="448A99"/>
            </w:tcBorders>
            <w:shd w:val="clear" w:color="000000" w:fill="D2EAF1"/>
            <w:vAlign w:val="center"/>
            <w:hideMark/>
          </w:tcPr>
          <w:p w:rsidR="00811E5F" w:rsidRPr="00B75B77" w:rsidRDefault="00811E5F"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All</w:t>
            </w:r>
          </w:p>
        </w:tc>
        <w:tc>
          <w:tcPr>
            <w:tcW w:w="1260" w:type="dxa"/>
            <w:tcBorders>
              <w:top w:val="nil"/>
              <w:left w:val="nil"/>
              <w:bottom w:val="single" w:sz="4" w:space="0" w:color="448A99"/>
              <w:right w:val="single" w:sz="4" w:space="0" w:color="448A99"/>
            </w:tcBorders>
            <w:shd w:val="clear" w:color="000000" w:fill="D2EAF1"/>
            <w:vAlign w:val="center"/>
            <w:hideMark/>
          </w:tcPr>
          <w:p w:rsidR="00811E5F" w:rsidRPr="00B75B77" w:rsidRDefault="00811E5F"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All</w:t>
            </w:r>
          </w:p>
        </w:tc>
        <w:tc>
          <w:tcPr>
            <w:tcW w:w="1710" w:type="dxa"/>
            <w:tcBorders>
              <w:top w:val="nil"/>
              <w:left w:val="nil"/>
              <w:bottom w:val="single" w:sz="4" w:space="0" w:color="448A99"/>
              <w:right w:val="single" w:sz="4" w:space="0" w:color="448A99"/>
            </w:tcBorders>
            <w:shd w:val="clear" w:color="000000" w:fill="D2EAF1"/>
            <w:vAlign w:val="center"/>
            <w:hideMark/>
          </w:tcPr>
          <w:p w:rsidR="00811E5F" w:rsidRPr="00B75B77" w:rsidRDefault="00811E5F" w:rsidP="0051755B">
            <w:pPr>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Billing </w:t>
            </w:r>
            <w:r w:rsidR="0051755B" w:rsidRPr="00B75B77">
              <w:rPr>
                <w:rFonts w:ascii="Calibri" w:eastAsia="Times New Roman" w:hAnsi="Calibri"/>
                <w:color w:val="000000"/>
                <w:sz w:val="18"/>
                <w:szCs w:val="18"/>
              </w:rPr>
              <w:t>a</w:t>
            </w:r>
            <w:r w:rsidRPr="00B75B77">
              <w:rPr>
                <w:rFonts w:ascii="Calibri" w:eastAsia="Times New Roman" w:hAnsi="Calibri"/>
                <w:color w:val="000000"/>
                <w:sz w:val="18"/>
                <w:szCs w:val="18"/>
              </w:rPr>
              <w:t>nalysis</w:t>
            </w:r>
          </w:p>
        </w:tc>
      </w:tr>
      <w:tr w:rsidR="00811E5F" w:rsidRPr="00B75B77" w:rsidTr="0051755B">
        <w:trPr>
          <w:divId w:val="1769545867"/>
          <w:trHeight w:val="288"/>
          <w:jc w:val="center"/>
        </w:trPr>
        <w:tc>
          <w:tcPr>
            <w:tcW w:w="1221" w:type="dxa"/>
            <w:tcBorders>
              <w:top w:val="nil"/>
              <w:left w:val="single" w:sz="4" w:space="0" w:color="448A99"/>
              <w:bottom w:val="single" w:sz="4" w:space="0" w:color="448A99"/>
              <w:right w:val="single" w:sz="4" w:space="0" w:color="448A99"/>
            </w:tcBorders>
            <w:shd w:val="clear" w:color="000000" w:fill="FFFFFF"/>
            <w:vAlign w:val="center"/>
            <w:hideMark/>
          </w:tcPr>
          <w:p w:rsidR="00811E5F" w:rsidRPr="00B75B77" w:rsidRDefault="00811E5F" w:rsidP="00811E5F">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Wave 2</w:t>
            </w:r>
          </w:p>
        </w:tc>
        <w:tc>
          <w:tcPr>
            <w:tcW w:w="1384" w:type="dxa"/>
            <w:tcBorders>
              <w:top w:val="nil"/>
              <w:left w:val="nil"/>
              <w:bottom w:val="single" w:sz="4" w:space="0" w:color="448A99"/>
              <w:right w:val="single" w:sz="4" w:space="0" w:color="448A99"/>
            </w:tcBorders>
            <w:shd w:val="clear" w:color="000000" w:fill="FFFFFF"/>
            <w:vAlign w:val="center"/>
            <w:hideMark/>
          </w:tcPr>
          <w:p w:rsidR="00811E5F" w:rsidRPr="00B75B77" w:rsidRDefault="00811E5F"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44,983</w:t>
            </w:r>
          </w:p>
        </w:tc>
        <w:tc>
          <w:tcPr>
            <w:tcW w:w="1530" w:type="dxa"/>
            <w:tcBorders>
              <w:top w:val="nil"/>
              <w:left w:val="nil"/>
              <w:bottom w:val="single" w:sz="4" w:space="0" w:color="448A99"/>
              <w:right w:val="single" w:sz="4" w:space="0" w:color="448A99"/>
            </w:tcBorders>
            <w:shd w:val="clear" w:color="000000" w:fill="FFFFFF"/>
            <w:vAlign w:val="center"/>
            <w:hideMark/>
          </w:tcPr>
          <w:p w:rsidR="00811E5F" w:rsidRPr="00B75B77" w:rsidRDefault="00811E5F"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350" w:type="dxa"/>
            <w:tcBorders>
              <w:top w:val="nil"/>
              <w:left w:val="nil"/>
              <w:bottom w:val="single" w:sz="4" w:space="0" w:color="448A99"/>
              <w:right w:val="single" w:sz="4" w:space="0" w:color="448A99"/>
            </w:tcBorders>
            <w:shd w:val="clear" w:color="000000" w:fill="FFFFFF"/>
            <w:vAlign w:val="center"/>
            <w:hideMark/>
          </w:tcPr>
          <w:p w:rsidR="00811E5F" w:rsidRPr="00B75B77" w:rsidRDefault="00811E5F"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All</w:t>
            </w:r>
          </w:p>
        </w:tc>
        <w:tc>
          <w:tcPr>
            <w:tcW w:w="1260" w:type="dxa"/>
            <w:tcBorders>
              <w:top w:val="nil"/>
              <w:left w:val="nil"/>
              <w:bottom w:val="single" w:sz="4" w:space="0" w:color="448A99"/>
              <w:right w:val="single" w:sz="4" w:space="0" w:color="448A99"/>
            </w:tcBorders>
            <w:shd w:val="clear" w:color="000000" w:fill="FFFFFF"/>
            <w:vAlign w:val="center"/>
            <w:hideMark/>
          </w:tcPr>
          <w:p w:rsidR="00811E5F" w:rsidRPr="00B75B77" w:rsidRDefault="00811E5F"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All</w:t>
            </w:r>
          </w:p>
        </w:tc>
        <w:tc>
          <w:tcPr>
            <w:tcW w:w="1710" w:type="dxa"/>
            <w:tcBorders>
              <w:top w:val="nil"/>
              <w:left w:val="nil"/>
              <w:bottom w:val="single" w:sz="4" w:space="0" w:color="448A99"/>
              <w:right w:val="single" w:sz="4" w:space="0" w:color="448A99"/>
            </w:tcBorders>
            <w:shd w:val="clear" w:color="000000" w:fill="FFFFFF"/>
            <w:vAlign w:val="center"/>
            <w:hideMark/>
          </w:tcPr>
          <w:p w:rsidR="00811E5F" w:rsidRPr="00B75B77" w:rsidRDefault="00811E5F" w:rsidP="0051755B">
            <w:pPr>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Billing </w:t>
            </w:r>
            <w:r w:rsidR="0051755B" w:rsidRPr="00B75B77">
              <w:rPr>
                <w:rFonts w:ascii="Calibri" w:eastAsia="Times New Roman" w:hAnsi="Calibri"/>
                <w:color w:val="000000"/>
                <w:sz w:val="18"/>
                <w:szCs w:val="18"/>
              </w:rPr>
              <w:t>a</w:t>
            </w:r>
            <w:r w:rsidRPr="00B75B77">
              <w:rPr>
                <w:rFonts w:ascii="Calibri" w:eastAsia="Times New Roman" w:hAnsi="Calibri"/>
                <w:color w:val="000000"/>
                <w:sz w:val="18"/>
                <w:szCs w:val="18"/>
              </w:rPr>
              <w:t>nalysis</w:t>
            </w:r>
          </w:p>
        </w:tc>
      </w:tr>
      <w:tr w:rsidR="00811E5F" w:rsidRPr="00B75B77" w:rsidTr="0051755B">
        <w:trPr>
          <w:divId w:val="1769545867"/>
          <w:trHeight w:val="288"/>
          <w:jc w:val="center"/>
        </w:trPr>
        <w:tc>
          <w:tcPr>
            <w:tcW w:w="1221" w:type="dxa"/>
            <w:tcBorders>
              <w:top w:val="nil"/>
              <w:left w:val="single" w:sz="4" w:space="0" w:color="448A99"/>
              <w:bottom w:val="single" w:sz="4" w:space="0" w:color="448A99"/>
              <w:right w:val="single" w:sz="4" w:space="0" w:color="448A99"/>
            </w:tcBorders>
            <w:shd w:val="clear" w:color="000000" w:fill="D2EAF1"/>
            <w:vAlign w:val="center"/>
            <w:hideMark/>
          </w:tcPr>
          <w:p w:rsidR="00811E5F" w:rsidRPr="00B75B77" w:rsidRDefault="00811E5F" w:rsidP="00811E5F">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Wave 3</w:t>
            </w:r>
          </w:p>
        </w:tc>
        <w:tc>
          <w:tcPr>
            <w:tcW w:w="1384" w:type="dxa"/>
            <w:tcBorders>
              <w:top w:val="nil"/>
              <w:left w:val="nil"/>
              <w:bottom w:val="single" w:sz="4" w:space="0" w:color="448A99"/>
              <w:right w:val="single" w:sz="4" w:space="0" w:color="448A99"/>
            </w:tcBorders>
            <w:shd w:val="clear" w:color="000000" w:fill="D2EAF1"/>
            <w:vAlign w:val="center"/>
            <w:hideMark/>
          </w:tcPr>
          <w:p w:rsidR="00811E5F" w:rsidRPr="00B75B77" w:rsidRDefault="00811E5F"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69,298</w:t>
            </w:r>
          </w:p>
        </w:tc>
        <w:tc>
          <w:tcPr>
            <w:tcW w:w="1530" w:type="dxa"/>
            <w:tcBorders>
              <w:top w:val="nil"/>
              <w:left w:val="nil"/>
              <w:bottom w:val="single" w:sz="4" w:space="0" w:color="448A99"/>
              <w:right w:val="single" w:sz="4" w:space="0" w:color="448A99"/>
            </w:tcBorders>
            <w:shd w:val="clear" w:color="000000" w:fill="D2EAF1"/>
            <w:vAlign w:val="center"/>
            <w:hideMark/>
          </w:tcPr>
          <w:p w:rsidR="00811E5F" w:rsidRPr="00B75B77" w:rsidRDefault="00811E5F"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350" w:type="dxa"/>
            <w:tcBorders>
              <w:top w:val="nil"/>
              <w:left w:val="nil"/>
              <w:bottom w:val="single" w:sz="4" w:space="0" w:color="448A99"/>
              <w:right w:val="single" w:sz="4" w:space="0" w:color="448A99"/>
            </w:tcBorders>
            <w:shd w:val="clear" w:color="000000" w:fill="D2EAF1"/>
            <w:vAlign w:val="center"/>
            <w:hideMark/>
          </w:tcPr>
          <w:p w:rsidR="00811E5F" w:rsidRPr="00B75B77" w:rsidRDefault="00811E5F"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All</w:t>
            </w:r>
          </w:p>
        </w:tc>
        <w:tc>
          <w:tcPr>
            <w:tcW w:w="1260" w:type="dxa"/>
            <w:tcBorders>
              <w:top w:val="nil"/>
              <w:left w:val="nil"/>
              <w:bottom w:val="single" w:sz="4" w:space="0" w:color="448A99"/>
              <w:right w:val="single" w:sz="4" w:space="0" w:color="448A99"/>
            </w:tcBorders>
            <w:shd w:val="clear" w:color="000000" w:fill="D2EAF1"/>
            <w:vAlign w:val="center"/>
            <w:hideMark/>
          </w:tcPr>
          <w:p w:rsidR="00811E5F" w:rsidRPr="00B75B77" w:rsidRDefault="00811E5F"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All</w:t>
            </w:r>
          </w:p>
        </w:tc>
        <w:tc>
          <w:tcPr>
            <w:tcW w:w="1710" w:type="dxa"/>
            <w:tcBorders>
              <w:top w:val="nil"/>
              <w:left w:val="nil"/>
              <w:bottom w:val="single" w:sz="4" w:space="0" w:color="448A99"/>
              <w:right w:val="single" w:sz="4" w:space="0" w:color="448A99"/>
            </w:tcBorders>
            <w:shd w:val="clear" w:color="000000" w:fill="D2EAF1"/>
            <w:vAlign w:val="center"/>
            <w:hideMark/>
          </w:tcPr>
          <w:p w:rsidR="00811E5F" w:rsidRPr="00B75B77" w:rsidRDefault="00811E5F" w:rsidP="0051755B">
            <w:pPr>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Billing </w:t>
            </w:r>
            <w:r w:rsidR="0051755B" w:rsidRPr="00B75B77">
              <w:rPr>
                <w:rFonts w:ascii="Calibri" w:eastAsia="Times New Roman" w:hAnsi="Calibri"/>
                <w:color w:val="000000"/>
                <w:sz w:val="18"/>
                <w:szCs w:val="18"/>
              </w:rPr>
              <w:t>a</w:t>
            </w:r>
            <w:r w:rsidRPr="00B75B77">
              <w:rPr>
                <w:rFonts w:ascii="Calibri" w:eastAsia="Times New Roman" w:hAnsi="Calibri"/>
                <w:color w:val="000000"/>
                <w:sz w:val="18"/>
                <w:szCs w:val="18"/>
              </w:rPr>
              <w:t>nalysis</w:t>
            </w:r>
          </w:p>
        </w:tc>
      </w:tr>
      <w:tr w:rsidR="00811E5F" w:rsidRPr="00B75B77" w:rsidTr="0051755B">
        <w:trPr>
          <w:divId w:val="1769545867"/>
          <w:trHeight w:val="288"/>
          <w:jc w:val="center"/>
        </w:trPr>
        <w:tc>
          <w:tcPr>
            <w:tcW w:w="1221" w:type="dxa"/>
            <w:tcBorders>
              <w:top w:val="nil"/>
              <w:left w:val="single" w:sz="4" w:space="0" w:color="448A99"/>
              <w:bottom w:val="single" w:sz="4" w:space="0" w:color="448A99"/>
              <w:right w:val="single" w:sz="4" w:space="0" w:color="448A99"/>
            </w:tcBorders>
            <w:shd w:val="clear" w:color="000000" w:fill="FFFFFF"/>
            <w:vAlign w:val="center"/>
            <w:hideMark/>
          </w:tcPr>
          <w:p w:rsidR="00811E5F" w:rsidRPr="00B75B77" w:rsidRDefault="0051755B" w:rsidP="00811E5F">
            <w:pPr>
              <w:jc w:val="left"/>
              <w:rPr>
                <w:rFonts w:ascii="Calibri" w:eastAsia="Times New Roman" w:hAnsi="Calibri"/>
                <w:b/>
                <w:color w:val="000000"/>
                <w:sz w:val="18"/>
                <w:szCs w:val="18"/>
              </w:rPr>
            </w:pPr>
            <w:r w:rsidRPr="00B75B77">
              <w:rPr>
                <w:rFonts w:ascii="Calibri" w:eastAsia="Times New Roman" w:hAnsi="Calibri"/>
                <w:b/>
                <w:color w:val="000000"/>
                <w:sz w:val="18"/>
                <w:szCs w:val="18"/>
              </w:rPr>
              <w:t>PROGRAM TOTAL</w:t>
            </w:r>
          </w:p>
        </w:tc>
        <w:tc>
          <w:tcPr>
            <w:tcW w:w="1384" w:type="dxa"/>
            <w:tcBorders>
              <w:top w:val="nil"/>
              <w:left w:val="nil"/>
              <w:bottom w:val="single" w:sz="4" w:space="0" w:color="448A99"/>
              <w:right w:val="single" w:sz="4" w:space="0" w:color="448A99"/>
            </w:tcBorders>
            <w:shd w:val="clear" w:color="000000" w:fill="FFFFFF"/>
            <w:vAlign w:val="center"/>
            <w:hideMark/>
          </w:tcPr>
          <w:p w:rsidR="00811E5F" w:rsidRPr="00B75B77" w:rsidRDefault="00811E5F" w:rsidP="00811E5F">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159,076</w:t>
            </w:r>
          </w:p>
        </w:tc>
        <w:tc>
          <w:tcPr>
            <w:tcW w:w="1530" w:type="dxa"/>
            <w:tcBorders>
              <w:top w:val="nil"/>
              <w:left w:val="nil"/>
              <w:bottom w:val="single" w:sz="4" w:space="0" w:color="448A99"/>
              <w:right w:val="single" w:sz="4" w:space="0" w:color="448A99"/>
            </w:tcBorders>
            <w:shd w:val="clear" w:color="000000" w:fill="FFFFFF"/>
            <w:vAlign w:val="center"/>
            <w:hideMark/>
          </w:tcPr>
          <w:p w:rsidR="00811E5F" w:rsidRPr="00B75B77" w:rsidRDefault="00811E5F" w:rsidP="00811E5F">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N/A</w:t>
            </w:r>
          </w:p>
        </w:tc>
        <w:tc>
          <w:tcPr>
            <w:tcW w:w="1350" w:type="dxa"/>
            <w:tcBorders>
              <w:top w:val="nil"/>
              <w:left w:val="nil"/>
              <w:bottom w:val="single" w:sz="4" w:space="0" w:color="448A99"/>
              <w:right w:val="single" w:sz="4" w:space="0" w:color="448A99"/>
            </w:tcBorders>
            <w:shd w:val="clear" w:color="000000" w:fill="FFFFFF"/>
            <w:vAlign w:val="center"/>
            <w:hideMark/>
          </w:tcPr>
          <w:p w:rsidR="00811E5F" w:rsidRPr="00B75B77" w:rsidRDefault="00811E5F" w:rsidP="00811E5F">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All</w:t>
            </w:r>
          </w:p>
        </w:tc>
        <w:tc>
          <w:tcPr>
            <w:tcW w:w="1260" w:type="dxa"/>
            <w:tcBorders>
              <w:top w:val="nil"/>
              <w:left w:val="nil"/>
              <w:bottom w:val="single" w:sz="4" w:space="0" w:color="448A99"/>
              <w:right w:val="single" w:sz="4" w:space="0" w:color="448A99"/>
            </w:tcBorders>
            <w:shd w:val="clear" w:color="000000" w:fill="FFFFFF"/>
            <w:vAlign w:val="center"/>
            <w:hideMark/>
          </w:tcPr>
          <w:p w:rsidR="00811E5F" w:rsidRPr="00B75B77" w:rsidRDefault="00811E5F" w:rsidP="00811E5F">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All</w:t>
            </w:r>
          </w:p>
        </w:tc>
        <w:tc>
          <w:tcPr>
            <w:tcW w:w="1710" w:type="dxa"/>
            <w:tcBorders>
              <w:top w:val="nil"/>
              <w:left w:val="nil"/>
              <w:bottom w:val="single" w:sz="4" w:space="0" w:color="448A99"/>
              <w:right w:val="single" w:sz="4" w:space="0" w:color="448A99"/>
            </w:tcBorders>
            <w:shd w:val="clear" w:color="000000" w:fill="FFFFFF"/>
            <w:vAlign w:val="center"/>
            <w:hideMark/>
          </w:tcPr>
          <w:p w:rsidR="00811E5F" w:rsidRPr="00B75B77" w:rsidRDefault="00811E5F" w:rsidP="0051755B">
            <w:pPr>
              <w:jc w:val="left"/>
              <w:rPr>
                <w:rFonts w:ascii="Calibri" w:eastAsia="Times New Roman" w:hAnsi="Calibri"/>
                <w:b/>
                <w:color w:val="000000"/>
                <w:sz w:val="18"/>
                <w:szCs w:val="18"/>
              </w:rPr>
            </w:pPr>
            <w:r w:rsidRPr="00B75B77">
              <w:rPr>
                <w:rFonts w:ascii="Calibri" w:eastAsia="Times New Roman" w:hAnsi="Calibri"/>
                <w:b/>
                <w:color w:val="000000"/>
                <w:sz w:val="18"/>
                <w:szCs w:val="18"/>
              </w:rPr>
              <w:t>N/A</w:t>
            </w:r>
          </w:p>
        </w:tc>
      </w:tr>
    </w:tbl>
    <w:p w:rsidR="0051755B" w:rsidRPr="00B75B77" w:rsidRDefault="0051755B" w:rsidP="0051755B">
      <w:pPr>
        <w:spacing w:before="20" w:after="20"/>
        <w:ind w:left="450"/>
        <w:jc w:val="left"/>
        <w:rPr>
          <w:rFonts w:ascii="Calibri" w:eastAsia="Times New Roman" w:hAnsi="Calibri"/>
          <w:bCs/>
          <w:color w:val="FFFFFF"/>
          <w:sz w:val="18"/>
          <w:szCs w:val="18"/>
        </w:rPr>
      </w:pPr>
      <w:r w:rsidRPr="00B75B77">
        <w:rPr>
          <w:rFonts w:ascii="Calibri" w:eastAsia="Times New Roman" w:hAnsi="Calibri"/>
          <w:bCs/>
          <w:sz w:val="18"/>
          <w:szCs w:val="18"/>
          <w:vertAlign w:val="superscript"/>
        </w:rPr>
        <w:t>[1]</w:t>
      </w:r>
      <w:r w:rsidRPr="00B75B77">
        <w:rPr>
          <w:rFonts w:ascii="Calibri" w:eastAsia="Times New Roman" w:hAnsi="Calibri"/>
          <w:bCs/>
          <w:sz w:val="18"/>
          <w:szCs w:val="18"/>
        </w:rPr>
        <w:t xml:space="preserve"> There were no confidence and precision targets for the billing analysis since it utilized a census approach with records from all program participant treatment and control households</w:t>
      </w:r>
      <w:r w:rsidRPr="00B75B77">
        <w:rPr>
          <w:rFonts w:ascii="Calibri" w:eastAsia="Times New Roman" w:hAnsi="Calibri"/>
          <w:bCs/>
          <w:color w:val="FFFFFF"/>
          <w:sz w:val="18"/>
          <w:szCs w:val="18"/>
        </w:rPr>
        <w:t>.</w:t>
      </w:r>
    </w:p>
    <w:p w:rsidR="0051755B" w:rsidRPr="00B75B77" w:rsidRDefault="0051755B" w:rsidP="0051755B">
      <w:pPr>
        <w:pStyle w:val="Source"/>
        <w:spacing w:before="20" w:after="20"/>
        <w:ind w:left="450" w:firstLine="0"/>
        <w:rPr>
          <w:rFonts w:ascii="Calibri" w:hAnsi="Calibri"/>
          <w:i w:val="0"/>
          <w:iCs/>
          <w:color w:val="000000"/>
          <w:szCs w:val="18"/>
        </w:rPr>
      </w:pPr>
      <w:r w:rsidRPr="00B75B77">
        <w:rPr>
          <w:rFonts w:ascii="Calibri" w:hAnsi="Calibri"/>
          <w:i w:val="0"/>
          <w:iCs/>
          <w:color w:val="000000"/>
          <w:szCs w:val="18"/>
        </w:rPr>
        <w:t>Note: Values in tables may not reconcile exactly with the sum of more detailed level results or previously reported results due to rounding.</w:t>
      </w:r>
    </w:p>
    <w:p w:rsidR="00811E5F" w:rsidRPr="00B75B77" w:rsidRDefault="00811E5F" w:rsidP="0051755B">
      <w:pPr>
        <w:pStyle w:val="Source"/>
        <w:ind w:left="450" w:firstLine="0"/>
      </w:pPr>
      <w:r w:rsidRPr="00B75B77">
        <w:t>Source: Navigant analysis</w:t>
      </w:r>
    </w:p>
    <w:p w:rsidR="00811E5F" w:rsidRPr="00B75B77" w:rsidRDefault="0051755B" w:rsidP="00811E5F">
      <w:r w:rsidRPr="00B75B77">
        <w:t>The evaluation team did not conduct</w:t>
      </w:r>
      <w:r w:rsidR="00811E5F" w:rsidRPr="00B75B77">
        <w:t xml:space="preserve"> onsite inspections for the PY7 SUP program evaluation.</w:t>
      </w:r>
    </w:p>
    <w:p w:rsidR="00811E5F" w:rsidRPr="00B75B77" w:rsidRDefault="00811E5F" w:rsidP="00811E5F"/>
    <w:p w:rsidR="00811E5F" w:rsidRPr="00B75B77" w:rsidRDefault="00811E5F" w:rsidP="00811E5F">
      <w:pPr>
        <w:pStyle w:val="Heading4"/>
        <w:ind w:left="864" w:hanging="864"/>
      </w:pPr>
      <w:bookmarkStart w:id="441" w:name="_Ref463007185"/>
      <w:r w:rsidRPr="00B75B77">
        <w:t>Double Counted Savings and Channeling Effects</w:t>
      </w:r>
      <w:bookmarkEnd w:id="441"/>
      <w:r w:rsidRPr="00B75B77">
        <w:t xml:space="preserve"> </w:t>
      </w:r>
    </w:p>
    <w:p w:rsidR="00811E5F" w:rsidRPr="00B75B77" w:rsidRDefault="00811E5F" w:rsidP="00811E5F">
      <w:r w:rsidRPr="00B75B77">
        <w:t xml:space="preserve">One of the ways the SUP program encourages participants to reduce energy consumption is by channeling them into other energy efficiency programs offered by PECO, notably the SAR, SHC, SHR, and Smart Multi-Family (SMF) programs. Navigant investigated the effect of the SUP program on increasing participation in these four programs in order to account for the possibility of double counted savings (DCS) as well as to understand the SUP’s ability to channel participants into other programs. </w:t>
      </w:r>
    </w:p>
    <w:p w:rsidR="00811E5F" w:rsidRPr="00B75B77" w:rsidRDefault="00811E5F" w:rsidP="00811E5F"/>
    <w:p w:rsidR="00811E5F" w:rsidRPr="00B75B77" w:rsidRDefault="00811E5F" w:rsidP="00811E5F">
      <w:r w:rsidRPr="00B75B77">
        <w:t>For each wave of customers enrolled in the SUP program, Navigant compared the change in the rate of participation</w:t>
      </w:r>
      <w:r w:rsidR="008D7483" w:rsidRPr="00B75B77">
        <w:t xml:space="preserve"> in the other Smart Ideas programs</w:t>
      </w:r>
      <w:r w:rsidRPr="00B75B77">
        <w:t xml:space="preserve"> for the treatment group and the control group in the 12 months prior to program enrollment and PY6 via the DID statistic:</w:t>
      </w:r>
    </w:p>
    <w:p w:rsidR="00811E5F" w:rsidRPr="00B75B77" w:rsidRDefault="00811E5F" w:rsidP="00811E5F"/>
    <w:p w:rsidR="00811E5F" w:rsidRPr="00B75B77" w:rsidRDefault="00811E5F" w:rsidP="00811E5F">
      <w:pPr>
        <w:ind w:left="1440" w:hanging="720"/>
      </w:pPr>
      <w:r w:rsidRPr="00B75B77">
        <w:t>DID =</w:t>
      </w:r>
      <w:r w:rsidRPr="00B75B77">
        <w:tab/>
        <w:t xml:space="preserve">(Treatment: Pre/Post change in </w:t>
      </w:r>
      <w:r w:rsidR="00C42EEC" w:rsidRPr="00B75B77">
        <w:t>no.</w:t>
      </w:r>
      <w:r w:rsidRPr="00B75B77">
        <w:t xml:space="preserve"> of participants as % of total HER participants) – </w:t>
      </w:r>
      <w:r w:rsidRPr="00B75B77">
        <w:br/>
        <w:t xml:space="preserve">(Control: Pre/Post change in </w:t>
      </w:r>
      <w:r w:rsidR="00C42EEC" w:rsidRPr="00B75B77">
        <w:t>no.</w:t>
      </w:r>
      <w:r w:rsidRPr="00B75B77">
        <w:t xml:space="preserve"> of participants as % of total control households)</w:t>
      </w:r>
    </w:p>
    <w:p w:rsidR="00811E5F" w:rsidRPr="00B75B77" w:rsidRDefault="00811E5F" w:rsidP="00811E5F">
      <w:pPr>
        <w:ind w:left="1440" w:hanging="720"/>
      </w:pPr>
    </w:p>
    <w:p w:rsidR="00811E5F" w:rsidRPr="00B75B77" w:rsidRDefault="00811E5F" w:rsidP="00811E5F">
      <w:r w:rsidRPr="00B75B77">
        <w:t xml:space="preserve">The SHC and </w:t>
      </w:r>
      <w:r w:rsidR="00C42EEC" w:rsidRPr="00B75B77">
        <w:t>SMF</w:t>
      </w:r>
      <w:r w:rsidRPr="00B75B77">
        <w:t xml:space="preserve"> programs did not exist prior to the start of the SUP program in PY5. Therefore, the rate of participation in the pre-program year is set to zero for the DID calculation for</w:t>
      </w:r>
      <w:r w:rsidR="00512BA4" w:rsidRPr="00B75B77">
        <w:t xml:space="preserve"> </w:t>
      </w:r>
      <w:r w:rsidRPr="00B75B77">
        <w:t xml:space="preserve">participant and control households enrolled during PY5. The evaluation team then multiplied the DID statistic by the number of treatment households to change participation in each of the five other PECO programs due to the SUP program. The change in participation in the other programs, referred to as uplift, was then multiplied by the average participant savings for each program to estimate the total DCS. The calculation of the DID statistic and </w:t>
      </w:r>
      <w:r w:rsidR="00C42EEC" w:rsidRPr="00B75B77">
        <w:t xml:space="preserve">the </w:t>
      </w:r>
      <w:r w:rsidRPr="00B75B77">
        <w:t xml:space="preserve">resulting program uptake was performed separately for each of the other </w:t>
      </w:r>
      <w:r w:rsidRPr="00B75B77">
        <w:lastRenderedPageBreak/>
        <w:t>five programs. From a theoretical standpoint, the DCS may be allocated to either the SUP program or to each of the other energy efficiency programs since the savings would not have occurred in the absence of either program. The industry standard is to subtract the amount of the DCS from the behavioral program</w:t>
      </w:r>
      <w:r w:rsidR="00C42EEC" w:rsidRPr="00B75B77">
        <w:t>’s</w:t>
      </w:r>
      <w:r w:rsidRPr="00B75B77">
        <w:t xml:space="preserve"> savings</w:t>
      </w:r>
      <w:r w:rsidR="00C42EEC" w:rsidRPr="00B75B77">
        <w:t>.</w:t>
      </w:r>
      <w:r w:rsidRPr="00B75B77">
        <w:t xml:space="preserve"> Navigant followed this approach in the SUP impact evaluation. Following the guidance given in Section 3.4.1 of the Phase II Evaluation Framework, if the 85</w:t>
      </w:r>
      <w:r w:rsidR="0009500C" w:rsidRPr="00B75B77">
        <w:t>%</w:t>
      </w:r>
      <w:r w:rsidRPr="00B75B77">
        <w:t xml:space="preserve"> confidence interval around the estimated uplift includes zero, there is no evidence of uplift for a given program</w:t>
      </w:r>
      <w:r w:rsidR="00C42EEC" w:rsidRPr="00B75B77">
        <w:t>; thus, Navigant</w:t>
      </w:r>
      <w:r w:rsidRPr="00B75B77">
        <w:t xml:space="preserve"> did not adjust for DCS.</w:t>
      </w:r>
      <w:r w:rsidRPr="00B75B77">
        <w:rPr>
          <w:rStyle w:val="FootnoteReference"/>
        </w:rPr>
        <w:t xml:space="preserve"> </w:t>
      </w:r>
      <w:r w:rsidRPr="00B75B77">
        <w:rPr>
          <w:rStyle w:val="FootnoteReference"/>
        </w:rPr>
        <w:footnoteReference w:id="33"/>
      </w:r>
      <w:r w:rsidRPr="00B75B77">
        <w:t xml:space="preserve"> </w:t>
      </w:r>
    </w:p>
    <w:p w:rsidR="00811E5F" w:rsidRPr="00B75B77" w:rsidRDefault="00811E5F" w:rsidP="00811E5F"/>
    <w:p w:rsidR="00811E5F" w:rsidRPr="00B75B77" w:rsidRDefault="00811E5F" w:rsidP="00811E5F">
      <w:pPr>
        <w:pStyle w:val="Heading4"/>
        <w:ind w:left="864" w:hanging="864"/>
      </w:pPr>
      <w:r w:rsidRPr="00B75B77">
        <w:t xml:space="preserve">Opt-Out Rate </w:t>
      </w:r>
    </w:p>
    <w:p w:rsidR="00811E5F" w:rsidRPr="00B75B77" w:rsidRDefault="00811E5F" w:rsidP="00811E5F">
      <w:pPr>
        <w:jc w:val="left"/>
        <w:rPr>
          <w:szCs w:val="20"/>
        </w:rPr>
      </w:pPr>
      <w:r w:rsidRPr="00B75B77">
        <w:t xml:space="preserve">The SUP program allows participants to opt out of receiving </w:t>
      </w:r>
      <w:proofErr w:type="gramStart"/>
      <w:r w:rsidRPr="00B75B77">
        <w:t>HERs</w:t>
      </w:r>
      <w:proofErr w:type="gramEnd"/>
      <w:r w:rsidRPr="00B75B77">
        <w:t xml:space="preserve">. Participants that opt out are part of the original RCT design and, therefore, are not excluded from the regression analysis. </w:t>
      </w:r>
      <w:r w:rsidRPr="00B75B77">
        <w:rPr>
          <w:szCs w:val="20"/>
        </w:rPr>
        <w:t>Navigant’s analysis showed that 148 customers opted out of the SUP program during PY7, or approximately 0.1</w:t>
      </w:r>
      <w:r w:rsidR="0009500C" w:rsidRPr="00B75B77">
        <w:rPr>
          <w:szCs w:val="20"/>
        </w:rPr>
        <w:t>%</w:t>
      </w:r>
      <w:r w:rsidRPr="00B75B77">
        <w:rPr>
          <w:szCs w:val="20"/>
        </w:rPr>
        <w:t xml:space="preserve">. This rate is low compared to the evaluation team’s experience evaluating other opt-out programs. </w:t>
      </w:r>
    </w:p>
    <w:p w:rsidR="00811E5F" w:rsidRPr="00B75B77" w:rsidRDefault="00811E5F" w:rsidP="00923656"/>
    <w:p w:rsidR="00811E5F" w:rsidRPr="00B75B77" w:rsidRDefault="00811E5F" w:rsidP="00811E5F">
      <w:pPr>
        <w:jc w:val="left"/>
        <w:rPr>
          <w:szCs w:val="20"/>
        </w:rPr>
      </w:pPr>
      <w:r w:rsidRPr="00B75B77">
        <w:rPr>
          <w:szCs w:val="20"/>
        </w:rPr>
        <w:t xml:space="preserve">After a participant opts out of receiving the HERs, they may continue to be influenced by their initial exposure to the program. </w:t>
      </w:r>
      <w:r w:rsidR="00923656" w:rsidRPr="00B75B77">
        <w:rPr>
          <w:szCs w:val="20"/>
        </w:rPr>
        <w:t>Thus, a</w:t>
      </w:r>
      <w:r w:rsidRPr="00B75B77">
        <w:rPr>
          <w:szCs w:val="20"/>
        </w:rPr>
        <w:t xml:space="preserve">ny savings that persist after </w:t>
      </w:r>
      <w:proofErr w:type="gramStart"/>
      <w:r w:rsidRPr="00B75B77">
        <w:rPr>
          <w:szCs w:val="20"/>
        </w:rPr>
        <w:t>the opt</w:t>
      </w:r>
      <w:proofErr w:type="gramEnd"/>
      <w:r w:rsidR="00923656" w:rsidRPr="00B75B77">
        <w:rPr>
          <w:szCs w:val="20"/>
        </w:rPr>
        <w:t xml:space="preserve"> </w:t>
      </w:r>
      <w:r w:rsidRPr="00B75B77">
        <w:rPr>
          <w:szCs w:val="20"/>
        </w:rPr>
        <w:t>out were counted in the regression analysis described in this report. Due to the RCT design, any savings by these opt-out customers are indeed attributable to the SUP program. In the likely event that savings decay after a participant opts out of receiving reports, this will lower the estimate of average savings.</w:t>
      </w:r>
      <w:r w:rsidRPr="00B75B77">
        <w:rPr>
          <w:rStyle w:val="FootnoteReference"/>
          <w:szCs w:val="20"/>
        </w:rPr>
        <w:footnoteReference w:id="34"/>
      </w:r>
      <w:r w:rsidRPr="00B75B77">
        <w:rPr>
          <w:szCs w:val="20"/>
        </w:rPr>
        <w:t xml:space="preserve"> Total program savings are calculated by multiplying the average savings by the number of participants; although the average estimate of savings may be slightly lower, the number of participants includes both active participants and those that have opted out of receiving reports. Inclusion of opt-out participants in the calculation of program savings is consistent with the industry standard. </w:t>
      </w:r>
    </w:p>
    <w:p w:rsidR="00811E5F" w:rsidRPr="00B75B77" w:rsidRDefault="00811E5F" w:rsidP="00811E5F"/>
    <w:p w:rsidR="00811E5F" w:rsidRPr="00B75B77" w:rsidRDefault="00811E5F" w:rsidP="00811E5F">
      <w:pPr>
        <w:pStyle w:val="Heading3"/>
      </w:pPr>
      <w:bookmarkStart w:id="442" w:name="_Toc466413321"/>
      <w:r w:rsidRPr="00B75B77">
        <w:t>Gross Verified Savings Results</w:t>
      </w:r>
      <w:bookmarkEnd w:id="442"/>
      <w:r w:rsidRPr="00B75B77">
        <w:t xml:space="preserve"> </w:t>
      </w:r>
    </w:p>
    <w:p w:rsidR="00811E5F" w:rsidRPr="00B75B77" w:rsidRDefault="00811E5F" w:rsidP="00811E5F">
      <w:pPr>
        <w:rPr>
          <w:i/>
        </w:rPr>
      </w:pPr>
      <w:r w:rsidRPr="00B75B77">
        <w:t xml:space="preserve">The verified ex post energy savings for SUP in PY7 were 39,041 MWh. A summary of verified ex post SUP program savings is shown in </w:t>
      </w:r>
      <w:r w:rsidR="004B5477" w:rsidRPr="00B75B77">
        <w:fldChar w:fldCharType="begin"/>
      </w:r>
      <w:r w:rsidR="004B5477" w:rsidRPr="00B75B77">
        <w:instrText xml:space="preserve"> REF _Ref462233969 \h </w:instrText>
      </w:r>
      <w:r w:rsidR="00B75B77">
        <w:instrText xml:space="preserve"> \* MERGEFORMAT </w:instrText>
      </w:r>
      <w:r w:rsidR="004B5477" w:rsidRPr="00B75B77">
        <w:fldChar w:fldCharType="separate"/>
      </w:r>
      <w:r w:rsidR="0004016D" w:rsidRPr="00B75B77">
        <w:t xml:space="preserve">Table </w:t>
      </w:r>
      <w:r w:rsidR="0004016D">
        <w:rPr>
          <w:noProof/>
        </w:rPr>
        <w:t>5</w:t>
      </w:r>
      <w:r w:rsidR="0004016D" w:rsidRPr="00B75B77">
        <w:rPr>
          <w:noProof/>
        </w:rPr>
        <w:noBreakHyphen/>
      </w:r>
      <w:r w:rsidR="0004016D">
        <w:rPr>
          <w:noProof/>
        </w:rPr>
        <w:t>3</w:t>
      </w:r>
      <w:r w:rsidR="004B5477" w:rsidRPr="00B75B77">
        <w:fldChar w:fldCharType="end"/>
      </w:r>
      <w:r w:rsidR="00512BA4" w:rsidRPr="00B75B77">
        <w:t xml:space="preserve"> </w:t>
      </w:r>
      <w:r w:rsidRPr="00B75B77">
        <w:t xml:space="preserve">and </w:t>
      </w:r>
      <w:r w:rsidR="004B5477" w:rsidRPr="00B75B77">
        <w:fldChar w:fldCharType="begin"/>
      </w:r>
      <w:r w:rsidR="004B5477" w:rsidRPr="00B75B77">
        <w:instrText xml:space="preserve"> REF _Ref463271463 \h </w:instrText>
      </w:r>
      <w:r w:rsidR="00B75B77">
        <w:instrText xml:space="preserve"> \* MERGEFORMAT </w:instrText>
      </w:r>
      <w:r w:rsidR="004B5477" w:rsidRPr="00B75B77">
        <w:fldChar w:fldCharType="separate"/>
      </w:r>
      <w:r w:rsidR="0004016D" w:rsidRPr="00B75B77">
        <w:t xml:space="preserve">Table </w:t>
      </w:r>
      <w:r w:rsidR="0004016D">
        <w:rPr>
          <w:noProof/>
        </w:rPr>
        <w:t>5</w:t>
      </w:r>
      <w:r w:rsidR="0004016D" w:rsidRPr="00B75B77">
        <w:rPr>
          <w:noProof/>
        </w:rPr>
        <w:noBreakHyphen/>
      </w:r>
      <w:r w:rsidR="0004016D">
        <w:rPr>
          <w:noProof/>
        </w:rPr>
        <w:t>4</w:t>
      </w:r>
      <w:r w:rsidR="004B5477" w:rsidRPr="00B75B77">
        <w:fldChar w:fldCharType="end"/>
      </w:r>
      <w:r w:rsidRPr="00B75B77">
        <w:t>.</w:t>
      </w:r>
    </w:p>
    <w:p w:rsidR="00811E5F" w:rsidRPr="00B75B77" w:rsidRDefault="00811E5F" w:rsidP="00811E5F"/>
    <w:p w:rsidR="00811E5F" w:rsidRPr="00B75B77" w:rsidRDefault="00811E5F" w:rsidP="004B5477">
      <w:pPr>
        <w:pStyle w:val="Caption"/>
      </w:pPr>
      <w:bookmarkStart w:id="443" w:name="_Ref462233969"/>
      <w:bookmarkStart w:id="444" w:name="_Toc466413544"/>
      <w:r w:rsidRPr="00B75B77">
        <w:lastRenderedPageBreak/>
        <w:t xml:space="preserve">Table </w:t>
      </w:r>
      <w:fldSimple w:instr=" STYLEREF 1 \s ">
        <w:r w:rsidR="0004016D">
          <w:rPr>
            <w:noProof/>
          </w:rPr>
          <w:t>5</w:t>
        </w:r>
      </w:fldSimple>
      <w:r w:rsidR="00F1144C" w:rsidRPr="00B75B77">
        <w:noBreakHyphen/>
      </w:r>
      <w:fldSimple w:instr=" SEQ Table \* ARABIC \s 1 ">
        <w:r w:rsidR="0004016D">
          <w:rPr>
            <w:noProof/>
          </w:rPr>
          <w:t>3</w:t>
        </w:r>
      </w:fldSimple>
      <w:bookmarkEnd w:id="443"/>
      <w:r w:rsidRPr="00B75B77">
        <w:t>: PY7 Smart Usage Profile Summary of Evaluation Results for Energy</w:t>
      </w:r>
      <w:bookmarkEnd w:id="444"/>
    </w:p>
    <w:tbl>
      <w:tblPr>
        <w:tblW w:w="9265" w:type="dxa"/>
        <w:tblLook w:val="04A0" w:firstRow="1" w:lastRow="0" w:firstColumn="1" w:lastColumn="0" w:noHBand="0" w:noVBand="1"/>
      </w:tblPr>
      <w:tblGrid>
        <w:gridCol w:w="1355"/>
        <w:gridCol w:w="1340"/>
        <w:gridCol w:w="1064"/>
        <w:gridCol w:w="1882"/>
        <w:gridCol w:w="1864"/>
        <w:gridCol w:w="1760"/>
      </w:tblGrid>
      <w:tr w:rsidR="00811E5F" w:rsidRPr="00B75B77" w:rsidTr="00811E5F">
        <w:trPr>
          <w:divId w:val="83189870"/>
          <w:trHeight w:val="660"/>
        </w:trPr>
        <w:tc>
          <w:tcPr>
            <w:tcW w:w="1355"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811E5F" w:rsidRPr="00B75B77" w:rsidRDefault="00811E5F" w:rsidP="004B5477">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Stratum</w:t>
            </w:r>
          </w:p>
        </w:tc>
        <w:tc>
          <w:tcPr>
            <w:tcW w:w="134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811E5F" w:rsidRPr="00B75B77" w:rsidRDefault="00811E5F" w:rsidP="004B5477">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Reported Gross Energy Savings (MWh/</w:t>
            </w:r>
            <w:proofErr w:type="spellStart"/>
            <w:r w:rsidRPr="00B75B77">
              <w:rPr>
                <w:rFonts w:ascii="Calibri" w:eastAsia="Times New Roman" w:hAnsi="Calibri"/>
                <w:b/>
                <w:bCs/>
                <w:color w:val="FFFFFF"/>
                <w:sz w:val="18"/>
                <w:szCs w:val="18"/>
              </w:rPr>
              <w:t>yr</w:t>
            </w:r>
            <w:proofErr w:type="spellEnd"/>
            <w:r w:rsidRPr="00B75B77">
              <w:rPr>
                <w:rFonts w:ascii="Calibri" w:eastAsia="Times New Roman" w:hAnsi="Calibri"/>
                <w:b/>
                <w:bCs/>
                <w:color w:val="FFFFFF"/>
                <w:sz w:val="18"/>
                <w:szCs w:val="18"/>
              </w:rPr>
              <w:t>)</w:t>
            </w:r>
            <w:r w:rsidRPr="00B75B77">
              <w:rPr>
                <w:rFonts w:ascii="Calibri" w:eastAsia="Times New Roman" w:hAnsi="Calibri"/>
                <w:b/>
                <w:bCs/>
                <w:color w:val="FFFFFF"/>
                <w:sz w:val="18"/>
                <w:szCs w:val="18"/>
                <w:vertAlign w:val="superscript"/>
              </w:rPr>
              <w:t>[1]</w:t>
            </w:r>
          </w:p>
        </w:tc>
        <w:tc>
          <w:tcPr>
            <w:tcW w:w="1064"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811E5F" w:rsidRPr="00B75B77" w:rsidRDefault="00811E5F" w:rsidP="004B5477">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Energy Realization Rate (%)</w:t>
            </w:r>
            <w:r w:rsidRPr="00B75B77">
              <w:rPr>
                <w:rFonts w:ascii="Calibri" w:eastAsia="Times New Roman" w:hAnsi="Calibri"/>
                <w:b/>
                <w:bCs/>
                <w:color w:val="FFFFFF"/>
                <w:sz w:val="18"/>
                <w:szCs w:val="18"/>
                <w:vertAlign w:val="superscript"/>
              </w:rPr>
              <w:t>[1]</w:t>
            </w:r>
          </w:p>
        </w:tc>
        <w:tc>
          <w:tcPr>
            <w:tcW w:w="1882"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811E5F" w:rsidRPr="00B75B77" w:rsidRDefault="00811E5F" w:rsidP="004B5477">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Verified Gross Energy Savings (MWh/</w:t>
            </w:r>
            <w:proofErr w:type="spellStart"/>
            <w:r w:rsidRPr="00B75B77">
              <w:rPr>
                <w:rFonts w:ascii="Calibri" w:eastAsia="Times New Roman" w:hAnsi="Calibri"/>
                <w:b/>
                <w:bCs/>
                <w:color w:val="FFFFFF"/>
                <w:sz w:val="18"/>
                <w:szCs w:val="18"/>
              </w:rPr>
              <w:t>yr</w:t>
            </w:r>
            <w:proofErr w:type="spellEnd"/>
            <w:r w:rsidRPr="00B75B77">
              <w:rPr>
                <w:rFonts w:ascii="Calibri" w:eastAsia="Times New Roman" w:hAnsi="Calibri"/>
                <w:b/>
                <w:bCs/>
                <w:color w:val="FFFFFF"/>
                <w:sz w:val="18"/>
                <w:szCs w:val="18"/>
              </w:rPr>
              <w:t>)</w:t>
            </w:r>
          </w:p>
        </w:tc>
        <w:tc>
          <w:tcPr>
            <w:tcW w:w="1864"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811E5F" w:rsidRPr="00B75B77" w:rsidRDefault="00811E5F" w:rsidP="00923656">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Observed C</w:t>
            </w:r>
            <w:r w:rsidR="00923656" w:rsidRPr="00B75B77">
              <w:rPr>
                <w:rFonts w:ascii="Calibri" w:eastAsia="Times New Roman" w:hAnsi="Calibri"/>
                <w:b/>
                <w:bCs/>
                <w:color w:val="FFFFFF"/>
                <w:sz w:val="18"/>
                <w:szCs w:val="18"/>
              </w:rPr>
              <w:t>V</w:t>
            </w:r>
            <w:r w:rsidRPr="00B75B77">
              <w:rPr>
                <w:rFonts w:ascii="Calibri" w:eastAsia="Times New Roman" w:hAnsi="Calibri"/>
                <w:b/>
                <w:bCs/>
                <w:color w:val="FFFFFF"/>
                <w:sz w:val="18"/>
                <w:szCs w:val="18"/>
              </w:rPr>
              <w:t xml:space="preserve"> or Proportion in Sample Design</w:t>
            </w:r>
            <w:r w:rsidRPr="00B75B77">
              <w:rPr>
                <w:rFonts w:ascii="Calibri" w:eastAsia="Times New Roman" w:hAnsi="Calibri"/>
                <w:b/>
                <w:bCs/>
                <w:color w:val="FFFFFF"/>
                <w:sz w:val="18"/>
                <w:szCs w:val="18"/>
                <w:vertAlign w:val="superscript"/>
              </w:rPr>
              <w:t>[2]</w:t>
            </w:r>
          </w:p>
        </w:tc>
        <w:tc>
          <w:tcPr>
            <w:tcW w:w="1760"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811E5F" w:rsidRPr="00B75B77" w:rsidRDefault="00811E5F" w:rsidP="00923656">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Relative Precision at 85% </w:t>
            </w:r>
            <w:r w:rsidR="00923656" w:rsidRPr="00B75B77">
              <w:rPr>
                <w:rFonts w:ascii="Calibri" w:eastAsia="Times New Roman" w:hAnsi="Calibri"/>
                <w:b/>
                <w:bCs/>
                <w:color w:val="FFFFFF"/>
                <w:sz w:val="18"/>
                <w:szCs w:val="18"/>
              </w:rPr>
              <w:t>Confidence Interval</w:t>
            </w:r>
            <w:r w:rsidRPr="00B75B77">
              <w:rPr>
                <w:rFonts w:ascii="Calibri" w:eastAsia="Times New Roman" w:hAnsi="Calibri"/>
                <w:b/>
                <w:bCs/>
                <w:color w:val="FFFFFF"/>
                <w:sz w:val="18"/>
                <w:szCs w:val="18"/>
                <w:vertAlign w:val="superscript"/>
              </w:rPr>
              <w:t>[2]</w:t>
            </w:r>
          </w:p>
        </w:tc>
      </w:tr>
      <w:tr w:rsidR="00811E5F" w:rsidRPr="00B75B77" w:rsidTr="00811E5F">
        <w:trPr>
          <w:divId w:val="83189870"/>
          <w:trHeight w:val="288"/>
        </w:trPr>
        <w:tc>
          <w:tcPr>
            <w:tcW w:w="1355" w:type="dxa"/>
            <w:vMerge/>
            <w:tcBorders>
              <w:top w:val="single" w:sz="4" w:space="0" w:color="auto"/>
              <w:left w:val="single" w:sz="4" w:space="0" w:color="auto"/>
              <w:bottom w:val="single" w:sz="4" w:space="0" w:color="auto"/>
              <w:right w:val="single" w:sz="4" w:space="0" w:color="auto"/>
            </w:tcBorders>
            <w:vAlign w:val="center"/>
            <w:hideMark/>
          </w:tcPr>
          <w:p w:rsidR="00811E5F" w:rsidRPr="00B75B77" w:rsidRDefault="00811E5F" w:rsidP="004B5477">
            <w:pPr>
              <w:keepNext/>
              <w:jc w:val="left"/>
              <w:rPr>
                <w:rFonts w:ascii="Calibri" w:eastAsia="Times New Roman" w:hAnsi="Calibri"/>
                <w:b/>
                <w:bCs/>
                <w:color w:val="FFFFFF"/>
                <w:sz w:val="18"/>
                <w:szCs w:val="18"/>
              </w:rPr>
            </w:pPr>
          </w:p>
        </w:tc>
        <w:tc>
          <w:tcPr>
            <w:tcW w:w="1340" w:type="dxa"/>
            <w:vMerge/>
            <w:tcBorders>
              <w:top w:val="single" w:sz="4" w:space="0" w:color="auto"/>
              <w:left w:val="single" w:sz="4" w:space="0" w:color="auto"/>
              <w:bottom w:val="single" w:sz="4" w:space="0" w:color="000000"/>
              <w:right w:val="single" w:sz="4" w:space="0" w:color="auto"/>
            </w:tcBorders>
            <w:vAlign w:val="center"/>
            <w:hideMark/>
          </w:tcPr>
          <w:p w:rsidR="00811E5F" w:rsidRPr="00B75B77" w:rsidRDefault="00811E5F" w:rsidP="004B5477">
            <w:pPr>
              <w:keepNext/>
              <w:jc w:val="left"/>
              <w:rPr>
                <w:rFonts w:ascii="Calibri" w:eastAsia="Times New Roman" w:hAnsi="Calibri"/>
                <w:b/>
                <w:bCs/>
                <w:color w:val="FFFFFF"/>
                <w:sz w:val="18"/>
                <w:szCs w:val="18"/>
              </w:rPr>
            </w:pPr>
          </w:p>
        </w:tc>
        <w:tc>
          <w:tcPr>
            <w:tcW w:w="1064" w:type="dxa"/>
            <w:vMerge/>
            <w:tcBorders>
              <w:top w:val="single" w:sz="4" w:space="0" w:color="auto"/>
              <w:left w:val="single" w:sz="4" w:space="0" w:color="auto"/>
              <w:bottom w:val="single" w:sz="4" w:space="0" w:color="000000"/>
              <w:right w:val="single" w:sz="4" w:space="0" w:color="auto"/>
            </w:tcBorders>
            <w:vAlign w:val="center"/>
            <w:hideMark/>
          </w:tcPr>
          <w:p w:rsidR="00811E5F" w:rsidRPr="00B75B77" w:rsidRDefault="00811E5F" w:rsidP="004B5477">
            <w:pPr>
              <w:keepNext/>
              <w:jc w:val="left"/>
              <w:rPr>
                <w:rFonts w:ascii="Calibri" w:eastAsia="Times New Roman" w:hAnsi="Calibri"/>
                <w:b/>
                <w:bCs/>
                <w:color w:val="FFFFFF"/>
                <w:sz w:val="18"/>
                <w:szCs w:val="18"/>
              </w:rPr>
            </w:pPr>
          </w:p>
        </w:tc>
        <w:tc>
          <w:tcPr>
            <w:tcW w:w="1882" w:type="dxa"/>
            <w:vMerge/>
            <w:tcBorders>
              <w:top w:val="single" w:sz="4" w:space="0" w:color="auto"/>
              <w:left w:val="single" w:sz="4" w:space="0" w:color="auto"/>
              <w:bottom w:val="single" w:sz="4" w:space="0" w:color="auto"/>
              <w:right w:val="single" w:sz="4" w:space="0" w:color="auto"/>
            </w:tcBorders>
            <w:vAlign w:val="center"/>
            <w:hideMark/>
          </w:tcPr>
          <w:p w:rsidR="00811E5F" w:rsidRPr="00B75B77" w:rsidRDefault="00811E5F" w:rsidP="004B5477">
            <w:pPr>
              <w:keepNext/>
              <w:jc w:val="left"/>
              <w:rPr>
                <w:rFonts w:ascii="Calibri" w:eastAsia="Times New Roman" w:hAnsi="Calibri"/>
                <w:b/>
                <w:bCs/>
                <w:color w:val="FFFFFF"/>
                <w:sz w:val="18"/>
                <w:szCs w:val="18"/>
              </w:rPr>
            </w:pPr>
          </w:p>
        </w:tc>
        <w:tc>
          <w:tcPr>
            <w:tcW w:w="1864" w:type="dxa"/>
            <w:vMerge/>
            <w:tcBorders>
              <w:top w:val="single" w:sz="4" w:space="0" w:color="auto"/>
              <w:left w:val="single" w:sz="4" w:space="0" w:color="auto"/>
              <w:bottom w:val="single" w:sz="4" w:space="0" w:color="auto"/>
              <w:right w:val="single" w:sz="4" w:space="0" w:color="auto"/>
            </w:tcBorders>
            <w:vAlign w:val="center"/>
            <w:hideMark/>
          </w:tcPr>
          <w:p w:rsidR="00811E5F" w:rsidRPr="00B75B77" w:rsidRDefault="00811E5F" w:rsidP="004B5477">
            <w:pPr>
              <w:keepNext/>
              <w:jc w:val="left"/>
              <w:rPr>
                <w:rFonts w:ascii="Calibri" w:eastAsia="Times New Roman" w:hAnsi="Calibri"/>
                <w:b/>
                <w:bCs/>
                <w:color w:val="FFFFFF"/>
                <w:sz w:val="18"/>
                <w:szCs w:val="18"/>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811E5F" w:rsidRPr="00B75B77" w:rsidRDefault="00811E5F" w:rsidP="004B5477">
            <w:pPr>
              <w:keepNext/>
              <w:jc w:val="left"/>
              <w:rPr>
                <w:rFonts w:ascii="Calibri" w:eastAsia="Times New Roman" w:hAnsi="Calibri"/>
                <w:b/>
                <w:bCs/>
                <w:color w:val="FFFFFF"/>
                <w:sz w:val="18"/>
                <w:szCs w:val="18"/>
              </w:rPr>
            </w:pPr>
          </w:p>
        </w:tc>
      </w:tr>
      <w:tr w:rsidR="00811E5F" w:rsidRPr="00B75B77" w:rsidTr="004943C7">
        <w:trPr>
          <w:divId w:val="83189870"/>
          <w:trHeight w:val="269"/>
        </w:trPr>
        <w:tc>
          <w:tcPr>
            <w:tcW w:w="1355" w:type="dxa"/>
            <w:vMerge/>
            <w:tcBorders>
              <w:top w:val="single" w:sz="4" w:space="0" w:color="auto"/>
              <w:left w:val="single" w:sz="4" w:space="0" w:color="auto"/>
              <w:bottom w:val="single" w:sz="4" w:space="0" w:color="auto"/>
              <w:right w:val="single" w:sz="4" w:space="0" w:color="auto"/>
            </w:tcBorders>
            <w:vAlign w:val="center"/>
            <w:hideMark/>
          </w:tcPr>
          <w:p w:rsidR="00811E5F" w:rsidRPr="00B75B77" w:rsidRDefault="00811E5F" w:rsidP="004B5477">
            <w:pPr>
              <w:keepNext/>
              <w:jc w:val="left"/>
              <w:rPr>
                <w:rFonts w:ascii="Calibri" w:eastAsia="Times New Roman" w:hAnsi="Calibri"/>
                <w:b/>
                <w:bCs/>
                <w:color w:val="FFFFFF"/>
                <w:sz w:val="18"/>
                <w:szCs w:val="18"/>
              </w:rPr>
            </w:pPr>
          </w:p>
        </w:tc>
        <w:tc>
          <w:tcPr>
            <w:tcW w:w="1340" w:type="dxa"/>
            <w:vMerge/>
            <w:tcBorders>
              <w:top w:val="single" w:sz="4" w:space="0" w:color="auto"/>
              <w:left w:val="single" w:sz="4" w:space="0" w:color="auto"/>
              <w:bottom w:val="single" w:sz="4" w:space="0" w:color="000000"/>
              <w:right w:val="single" w:sz="4" w:space="0" w:color="auto"/>
            </w:tcBorders>
            <w:vAlign w:val="center"/>
            <w:hideMark/>
          </w:tcPr>
          <w:p w:rsidR="00811E5F" w:rsidRPr="00B75B77" w:rsidRDefault="00811E5F" w:rsidP="004B5477">
            <w:pPr>
              <w:keepNext/>
              <w:jc w:val="left"/>
              <w:rPr>
                <w:rFonts w:ascii="Calibri" w:eastAsia="Times New Roman" w:hAnsi="Calibri"/>
                <w:b/>
                <w:bCs/>
                <w:color w:val="FFFFFF"/>
                <w:sz w:val="18"/>
                <w:szCs w:val="18"/>
              </w:rPr>
            </w:pPr>
          </w:p>
        </w:tc>
        <w:tc>
          <w:tcPr>
            <w:tcW w:w="1064" w:type="dxa"/>
            <w:vMerge/>
            <w:tcBorders>
              <w:top w:val="single" w:sz="4" w:space="0" w:color="auto"/>
              <w:left w:val="single" w:sz="4" w:space="0" w:color="auto"/>
              <w:bottom w:val="single" w:sz="4" w:space="0" w:color="000000"/>
              <w:right w:val="single" w:sz="4" w:space="0" w:color="auto"/>
            </w:tcBorders>
            <w:vAlign w:val="center"/>
            <w:hideMark/>
          </w:tcPr>
          <w:p w:rsidR="00811E5F" w:rsidRPr="00B75B77" w:rsidRDefault="00811E5F" w:rsidP="004B5477">
            <w:pPr>
              <w:keepNext/>
              <w:jc w:val="left"/>
              <w:rPr>
                <w:rFonts w:ascii="Calibri" w:eastAsia="Times New Roman" w:hAnsi="Calibri"/>
                <w:b/>
                <w:bCs/>
                <w:color w:val="FFFFFF"/>
                <w:sz w:val="18"/>
                <w:szCs w:val="18"/>
              </w:rPr>
            </w:pPr>
          </w:p>
        </w:tc>
        <w:tc>
          <w:tcPr>
            <w:tcW w:w="1882" w:type="dxa"/>
            <w:vMerge/>
            <w:tcBorders>
              <w:top w:val="single" w:sz="4" w:space="0" w:color="auto"/>
              <w:left w:val="single" w:sz="4" w:space="0" w:color="auto"/>
              <w:bottom w:val="single" w:sz="4" w:space="0" w:color="auto"/>
              <w:right w:val="single" w:sz="4" w:space="0" w:color="auto"/>
            </w:tcBorders>
            <w:vAlign w:val="center"/>
            <w:hideMark/>
          </w:tcPr>
          <w:p w:rsidR="00811E5F" w:rsidRPr="00B75B77" w:rsidRDefault="00811E5F" w:rsidP="004B5477">
            <w:pPr>
              <w:keepNext/>
              <w:jc w:val="left"/>
              <w:rPr>
                <w:rFonts w:ascii="Calibri" w:eastAsia="Times New Roman" w:hAnsi="Calibri"/>
                <w:b/>
                <w:bCs/>
                <w:color w:val="FFFFFF"/>
                <w:sz w:val="18"/>
                <w:szCs w:val="18"/>
              </w:rPr>
            </w:pPr>
          </w:p>
        </w:tc>
        <w:tc>
          <w:tcPr>
            <w:tcW w:w="1864" w:type="dxa"/>
            <w:vMerge/>
            <w:tcBorders>
              <w:top w:val="single" w:sz="4" w:space="0" w:color="auto"/>
              <w:left w:val="single" w:sz="4" w:space="0" w:color="auto"/>
              <w:bottom w:val="single" w:sz="4" w:space="0" w:color="auto"/>
              <w:right w:val="single" w:sz="4" w:space="0" w:color="auto"/>
            </w:tcBorders>
            <w:vAlign w:val="center"/>
            <w:hideMark/>
          </w:tcPr>
          <w:p w:rsidR="00811E5F" w:rsidRPr="00B75B77" w:rsidRDefault="00811E5F" w:rsidP="004B5477">
            <w:pPr>
              <w:keepNext/>
              <w:jc w:val="left"/>
              <w:rPr>
                <w:rFonts w:ascii="Calibri" w:eastAsia="Times New Roman" w:hAnsi="Calibri"/>
                <w:b/>
                <w:bCs/>
                <w:color w:val="FFFFFF"/>
                <w:sz w:val="18"/>
                <w:szCs w:val="18"/>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811E5F" w:rsidRPr="00B75B77" w:rsidRDefault="00811E5F" w:rsidP="004B5477">
            <w:pPr>
              <w:keepNext/>
              <w:jc w:val="left"/>
              <w:rPr>
                <w:rFonts w:ascii="Calibri" w:eastAsia="Times New Roman" w:hAnsi="Calibri"/>
                <w:b/>
                <w:bCs/>
                <w:color w:val="FFFFFF"/>
                <w:sz w:val="18"/>
                <w:szCs w:val="18"/>
              </w:rPr>
            </w:pPr>
          </w:p>
        </w:tc>
      </w:tr>
      <w:tr w:rsidR="00811E5F" w:rsidRPr="00B75B77" w:rsidTr="00811E5F">
        <w:trPr>
          <w:divId w:val="83189870"/>
          <w:trHeight w:val="300"/>
        </w:trPr>
        <w:tc>
          <w:tcPr>
            <w:tcW w:w="1355" w:type="dxa"/>
            <w:tcBorders>
              <w:top w:val="nil"/>
              <w:left w:val="single" w:sz="4" w:space="0" w:color="448A99"/>
              <w:bottom w:val="single" w:sz="4" w:space="0" w:color="448A99"/>
              <w:right w:val="single" w:sz="4" w:space="0" w:color="448A99"/>
            </w:tcBorders>
            <w:shd w:val="clear" w:color="000000" w:fill="D2EAF1"/>
            <w:vAlign w:val="center"/>
            <w:hideMark/>
          </w:tcPr>
          <w:p w:rsidR="00811E5F" w:rsidRPr="00B75B77" w:rsidRDefault="00811E5F" w:rsidP="004B5477">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Wave 1</w:t>
            </w:r>
          </w:p>
        </w:tc>
        <w:tc>
          <w:tcPr>
            <w:tcW w:w="1340" w:type="dxa"/>
            <w:tcBorders>
              <w:top w:val="nil"/>
              <w:left w:val="nil"/>
              <w:bottom w:val="single" w:sz="4" w:space="0" w:color="448A99"/>
              <w:right w:val="single" w:sz="4" w:space="0" w:color="448A99"/>
            </w:tcBorders>
            <w:shd w:val="clear" w:color="000000" w:fill="D2EAF1"/>
            <w:vAlign w:val="center"/>
            <w:hideMark/>
          </w:tcPr>
          <w:p w:rsidR="00811E5F" w:rsidRPr="00B75B77" w:rsidRDefault="00811E5F" w:rsidP="004B5477">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064" w:type="dxa"/>
            <w:tcBorders>
              <w:top w:val="nil"/>
              <w:left w:val="nil"/>
              <w:bottom w:val="single" w:sz="4" w:space="0" w:color="448A99"/>
              <w:right w:val="single" w:sz="4" w:space="0" w:color="448A99"/>
            </w:tcBorders>
            <w:shd w:val="clear" w:color="000000" w:fill="D2EAF1"/>
            <w:vAlign w:val="center"/>
            <w:hideMark/>
          </w:tcPr>
          <w:p w:rsidR="00811E5F" w:rsidRPr="00B75B77" w:rsidRDefault="00811E5F" w:rsidP="004B5477">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882" w:type="dxa"/>
            <w:tcBorders>
              <w:top w:val="nil"/>
              <w:left w:val="nil"/>
              <w:bottom w:val="single" w:sz="4" w:space="0" w:color="448A99"/>
              <w:right w:val="single" w:sz="4" w:space="0" w:color="448A99"/>
            </w:tcBorders>
            <w:shd w:val="clear" w:color="000000" w:fill="D2EAF1"/>
            <w:vAlign w:val="center"/>
            <w:hideMark/>
          </w:tcPr>
          <w:p w:rsidR="00811E5F" w:rsidRPr="00B75B77" w:rsidRDefault="00811E5F" w:rsidP="004B5477">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6,847</w:t>
            </w:r>
          </w:p>
        </w:tc>
        <w:tc>
          <w:tcPr>
            <w:tcW w:w="1864" w:type="dxa"/>
            <w:tcBorders>
              <w:top w:val="nil"/>
              <w:left w:val="nil"/>
              <w:bottom w:val="single" w:sz="4" w:space="0" w:color="448A99"/>
              <w:right w:val="single" w:sz="4" w:space="0" w:color="448A99"/>
            </w:tcBorders>
            <w:shd w:val="clear" w:color="000000" w:fill="D2EAF1"/>
            <w:vAlign w:val="center"/>
            <w:hideMark/>
          </w:tcPr>
          <w:p w:rsidR="00811E5F" w:rsidRPr="00B75B77" w:rsidRDefault="00811E5F" w:rsidP="004B5477">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760" w:type="dxa"/>
            <w:tcBorders>
              <w:top w:val="nil"/>
              <w:left w:val="nil"/>
              <w:bottom w:val="single" w:sz="4" w:space="0" w:color="448A99"/>
              <w:right w:val="single" w:sz="4" w:space="0" w:color="448A99"/>
            </w:tcBorders>
            <w:shd w:val="clear" w:color="000000" w:fill="D2EAF1"/>
            <w:vAlign w:val="center"/>
            <w:hideMark/>
          </w:tcPr>
          <w:p w:rsidR="00811E5F" w:rsidRPr="00B75B77" w:rsidRDefault="00811E5F" w:rsidP="004B5477">
            <w:pPr>
              <w:keepNext/>
              <w:jc w:val="center"/>
              <w:rPr>
                <w:rFonts w:ascii="Calibri" w:eastAsia="Times New Roman" w:hAnsi="Calibri"/>
                <w:color w:val="000000"/>
                <w:sz w:val="18"/>
                <w:szCs w:val="18"/>
              </w:rPr>
            </w:pPr>
            <w:bookmarkStart w:id="445" w:name="RANGE!G37:G39"/>
            <w:r w:rsidRPr="00B75B77">
              <w:rPr>
                <w:rFonts w:ascii="Calibri" w:eastAsia="Times New Roman" w:hAnsi="Calibri"/>
                <w:color w:val="000000"/>
                <w:sz w:val="18"/>
                <w:szCs w:val="18"/>
              </w:rPr>
              <w:t>0%</w:t>
            </w:r>
            <w:bookmarkEnd w:id="445"/>
          </w:p>
        </w:tc>
      </w:tr>
      <w:tr w:rsidR="00811E5F" w:rsidRPr="00B75B77" w:rsidTr="00811E5F">
        <w:trPr>
          <w:divId w:val="83189870"/>
          <w:trHeight w:val="300"/>
        </w:trPr>
        <w:tc>
          <w:tcPr>
            <w:tcW w:w="1355" w:type="dxa"/>
            <w:tcBorders>
              <w:top w:val="nil"/>
              <w:left w:val="single" w:sz="4" w:space="0" w:color="448A99"/>
              <w:bottom w:val="single" w:sz="4" w:space="0" w:color="448A99"/>
              <w:right w:val="single" w:sz="4" w:space="0" w:color="448A99"/>
            </w:tcBorders>
            <w:shd w:val="clear" w:color="000000" w:fill="FFFFFF"/>
            <w:vAlign w:val="center"/>
            <w:hideMark/>
          </w:tcPr>
          <w:p w:rsidR="00811E5F" w:rsidRPr="00B75B77" w:rsidRDefault="00811E5F" w:rsidP="004B5477">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Wave 2</w:t>
            </w:r>
          </w:p>
        </w:tc>
        <w:tc>
          <w:tcPr>
            <w:tcW w:w="1340" w:type="dxa"/>
            <w:tcBorders>
              <w:top w:val="nil"/>
              <w:left w:val="nil"/>
              <w:bottom w:val="single" w:sz="4" w:space="0" w:color="448A99"/>
              <w:right w:val="single" w:sz="4" w:space="0" w:color="448A99"/>
            </w:tcBorders>
            <w:shd w:val="clear" w:color="000000" w:fill="FFFFFF"/>
            <w:vAlign w:val="center"/>
            <w:hideMark/>
          </w:tcPr>
          <w:p w:rsidR="00811E5F" w:rsidRPr="00B75B77" w:rsidRDefault="00811E5F" w:rsidP="004B5477">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064" w:type="dxa"/>
            <w:tcBorders>
              <w:top w:val="nil"/>
              <w:left w:val="nil"/>
              <w:bottom w:val="single" w:sz="4" w:space="0" w:color="448A99"/>
              <w:right w:val="single" w:sz="4" w:space="0" w:color="448A99"/>
            </w:tcBorders>
            <w:shd w:val="clear" w:color="000000" w:fill="FFFFFF"/>
            <w:vAlign w:val="center"/>
            <w:hideMark/>
          </w:tcPr>
          <w:p w:rsidR="00811E5F" w:rsidRPr="00B75B77" w:rsidRDefault="00811E5F" w:rsidP="004B5477">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882" w:type="dxa"/>
            <w:tcBorders>
              <w:top w:val="nil"/>
              <w:left w:val="nil"/>
              <w:bottom w:val="single" w:sz="4" w:space="0" w:color="448A99"/>
              <w:right w:val="single" w:sz="4" w:space="0" w:color="448A99"/>
            </w:tcBorders>
            <w:shd w:val="clear" w:color="000000" w:fill="FFFFFF"/>
            <w:vAlign w:val="center"/>
            <w:hideMark/>
          </w:tcPr>
          <w:p w:rsidR="00811E5F" w:rsidRPr="00B75B77" w:rsidRDefault="00811E5F" w:rsidP="004B5477">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16,842</w:t>
            </w:r>
          </w:p>
        </w:tc>
        <w:tc>
          <w:tcPr>
            <w:tcW w:w="1864" w:type="dxa"/>
            <w:tcBorders>
              <w:top w:val="nil"/>
              <w:left w:val="nil"/>
              <w:bottom w:val="single" w:sz="4" w:space="0" w:color="448A99"/>
              <w:right w:val="single" w:sz="4" w:space="0" w:color="448A99"/>
            </w:tcBorders>
            <w:shd w:val="clear" w:color="000000" w:fill="FFFFFF"/>
            <w:vAlign w:val="center"/>
            <w:hideMark/>
          </w:tcPr>
          <w:p w:rsidR="00811E5F" w:rsidRPr="00B75B77" w:rsidRDefault="00811E5F" w:rsidP="004B5477">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760" w:type="dxa"/>
            <w:tcBorders>
              <w:top w:val="nil"/>
              <w:left w:val="nil"/>
              <w:bottom w:val="single" w:sz="4" w:space="0" w:color="448A99"/>
              <w:right w:val="single" w:sz="4" w:space="0" w:color="448A99"/>
            </w:tcBorders>
            <w:shd w:val="clear" w:color="000000" w:fill="FFFFFF"/>
            <w:vAlign w:val="center"/>
            <w:hideMark/>
          </w:tcPr>
          <w:p w:rsidR="00811E5F" w:rsidRPr="00B75B77" w:rsidRDefault="00811E5F" w:rsidP="004B5477">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811E5F" w:rsidRPr="00B75B77" w:rsidTr="00811E5F">
        <w:trPr>
          <w:divId w:val="83189870"/>
          <w:trHeight w:val="300"/>
        </w:trPr>
        <w:tc>
          <w:tcPr>
            <w:tcW w:w="1355" w:type="dxa"/>
            <w:tcBorders>
              <w:top w:val="nil"/>
              <w:left w:val="single" w:sz="4" w:space="0" w:color="448A99"/>
              <w:bottom w:val="single" w:sz="4" w:space="0" w:color="448A99"/>
              <w:right w:val="single" w:sz="4" w:space="0" w:color="448A99"/>
            </w:tcBorders>
            <w:shd w:val="clear" w:color="000000" w:fill="D2EAF1"/>
            <w:vAlign w:val="center"/>
            <w:hideMark/>
          </w:tcPr>
          <w:p w:rsidR="00811E5F" w:rsidRPr="00B75B77" w:rsidRDefault="00811E5F" w:rsidP="004B5477">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Wave 3</w:t>
            </w:r>
          </w:p>
        </w:tc>
        <w:tc>
          <w:tcPr>
            <w:tcW w:w="1340" w:type="dxa"/>
            <w:tcBorders>
              <w:top w:val="nil"/>
              <w:left w:val="nil"/>
              <w:bottom w:val="single" w:sz="4" w:space="0" w:color="448A99"/>
              <w:right w:val="single" w:sz="4" w:space="0" w:color="448A99"/>
            </w:tcBorders>
            <w:shd w:val="clear" w:color="000000" w:fill="D2EAF1"/>
            <w:vAlign w:val="center"/>
            <w:hideMark/>
          </w:tcPr>
          <w:p w:rsidR="00811E5F" w:rsidRPr="00B75B77" w:rsidRDefault="00811E5F" w:rsidP="004B5477">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064" w:type="dxa"/>
            <w:tcBorders>
              <w:top w:val="nil"/>
              <w:left w:val="nil"/>
              <w:bottom w:val="single" w:sz="4" w:space="0" w:color="448A99"/>
              <w:right w:val="single" w:sz="4" w:space="0" w:color="448A99"/>
            </w:tcBorders>
            <w:shd w:val="clear" w:color="000000" w:fill="D2EAF1"/>
            <w:vAlign w:val="center"/>
            <w:hideMark/>
          </w:tcPr>
          <w:p w:rsidR="00811E5F" w:rsidRPr="00B75B77" w:rsidRDefault="00811E5F" w:rsidP="004B5477">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882" w:type="dxa"/>
            <w:tcBorders>
              <w:top w:val="nil"/>
              <w:left w:val="nil"/>
              <w:bottom w:val="single" w:sz="4" w:space="0" w:color="448A99"/>
              <w:right w:val="single" w:sz="4" w:space="0" w:color="448A99"/>
            </w:tcBorders>
            <w:shd w:val="clear" w:color="000000" w:fill="D2EAF1"/>
            <w:vAlign w:val="center"/>
            <w:hideMark/>
          </w:tcPr>
          <w:p w:rsidR="00811E5F" w:rsidRPr="00B75B77" w:rsidRDefault="00811E5F" w:rsidP="004B5477">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15,352</w:t>
            </w:r>
          </w:p>
        </w:tc>
        <w:tc>
          <w:tcPr>
            <w:tcW w:w="1864" w:type="dxa"/>
            <w:tcBorders>
              <w:top w:val="nil"/>
              <w:left w:val="nil"/>
              <w:bottom w:val="single" w:sz="4" w:space="0" w:color="448A99"/>
              <w:right w:val="single" w:sz="4" w:space="0" w:color="448A99"/>
            </w:tcBorders>
            <w:shd w:val="clear" w:color="000000" w:fill="D2EAF1"/>
            <w:vAlign w:val="center"/>
            <w:hideMark/>
          </w:tcPr>
          <w:p w:rsidR="00811E5F" w:rsidRPr="00B75B77" w:rsidRDefault="00811E5F" w:rsidP="004B5477">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760" w:type="dxa"/>
            <w:tcBorders>
              <w:top w:val="nil"/>
              <w:left w:val="nil"/>
              <w:bottom w:val="single" w:sz="4" w:space="0" w:color="448A99"/>
              <w:right w:val="single" w:sz="4" w:space="0" w:color="448A99"/>
            </w:tcBorders>
            <w:shd w:val="clear" w:color="000000" w:fill="D2EAF1"/>
            <w:vAlign w:val="center"/>
            <w:hideMark/>
          </w:tcPr>
          <w:p w:rsidR="00811E5F" w:rsidRPr="00B75B77" w:rsidRDefault="00811E5F" w:rsidP="004B5477">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811E5F" w:rsidRPr="00B75B77" w:rsidTr="00811E5F">
        <w:trPr>
          <w:divId w:val="83189870"/>
          <w:trHeight w:val="288"/>
        </w:trPr>
        <w:tc>
          <w:tcPr>
            <w:tcW w:w="1355" w:type="dxa"/>
            <w:tcBorders>
              <w:top w:val="nil"/>
              <w:left w:val="single" w:sz="4" w:space="0" w:color="448A99"/>
              <w:bottom w:val="single" w:sz="4" w:space="0" w:color="448A99"/>
              <w:right w:val="single" w:sz="4" w:space="0" w:color="448A99"/>
            </w:tcBorders>
            <w:shd w:val="clear" w:color="000000" w:fill="FFFFFF"/>
            <w:vAlign w:val="center"/>
            <w:hideMark/>
          </w:tcPr>
          <w:p w:rsidR="00811E5F" w:rsidRPr="00B75B77" w:rsidRDefault="001464DC" w:rsidP="004B5477">
            <w:pPr>
              <w:keepNext/>
              <w:jc w:val="left"/>
              <w:rPr>
                <w:rFonts w:ascii="Calibri" w:eastAsia="Times New Roman" w:hAnsi="Calibri"/>
                <w:b/>
                <w:color w:val="000000"/>
                <w:sz w:val="18"/>
                <w:szCs w:val="18"/>
              </w:rPr>
            </w:pPr>
            <w:r w:rsidRPr="00B75B77">
              <w:rPr>
                <w:rFonts w:ascii="Calibri" w:eastAsia="Times New Roman" w:hAnsi="Calibri"/>
                <w:b/>
                <w:color w:val="000000"/>
                <w:sz w:val="18"/>
                <w:szCs w:val="18"/>
              </w:rPr>
              <w:t>PROGRAM TOTAL</w:t>
            </w:r>
          </w:p>
        </w:tc>
        <w:tc>
          <w:tcPr>
            <w:tcW w:w="1340" w:type="dxa"/>
            <w:tcBorders>
              <w:top w:val="nil"/>
              <w:left w:val="nil"/>
              <w:bottom w:val="single" w:sz="4" w:space="0" w:color="448A99"/>
              <w:right w:val="single" w:sz="4" w:space="0" w:color="448A99"/>
            </w:tcBorders>
            <w:shd w:val="clear" w:color="000000" w:fill="FFFFFF"/>
            <w:vAlign w:val="center"/>
            <w:hideMark/>
          </w:tcPr>
          <w:p w:rsidR="00811E5F" w:rsidRPr="00B75B77" w:rsidRDefault="00811E5F" w:rsidP="004B5477">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36,690</w:t>
            </w:r>
          </w:p>
        </w:tc>
        <w:tc>
          <w:tcPr>
            <w:tcW w:w="1064" w:type="dxa"/>
            <w:tcBorders>
              <w:top w:val="nil"/>
              <w:left w:val="nil"/>
              <w:bottom w:val="single" w:sz="4" w:space="0" w:color="448A99"/>
              <w:right w:val="single" w:sz="4" w:space="0" w:color="448A99"/>
            </w:tcBorders>
            <w:shd w:val="clear" w:color="000000" w:fill="FFFFFF"/>
            <w:vAlign w:val="center"/>
            <w:hideMark/>
          </w:tcPr>
          <w:p w:rsidR="00811E5F" w:rsidRPr="00B75B77" w:rsidRDefault="00811E5F" w:rsidP="004B5477">
            <w:pPr>
              <w:keepNext/>
              <w:jc w:val="center"/>
              <w:rPr>
                <w:rFonts w:ascii="Calibri" w:eastAsia="Times New Roman" w:hAnsi="Calibri"/>
                <w:b/>
                <w:color w:val="000000"/>
                <w:sz w:val="18"/>
                <w:szCs w:val="18"/>
              </w:rPr>
            </w:pPr>
            <w:bookmarkStart w:id="446" w:name="RANGE!D40"/>
            <w:r w:rsidRPr="00B75B77">
              <w:rPr>
                <w:rFonts w:ascii="Calibri" w:eastAsia="Times New Roman" w:hAnsi="Calibri"/>
                <w:b/>
                <w:color w:val="000000"/>
                <w:sz w:val="18"/>
                <w:szCs w:val="18"/>
              </w:rPr>
              <w:t>1.06</w:t>
            </w:r>
            <w:bookmarkEnd w:id="446"/>
          </w:p>
        </w:tc>
        <w:tc>
          <w:tcPr>
            <w:tcW w:w="1882" w:type="dxa"/>
            <w:tcBorders>
              <w:top w:val="nil"/>
              <w:left w:val="nil"/>
              <w:bottom w:val="single" w:sz="4" w:space="0" w:color="448A99"/>
              <w:right w:val="single" w:sz="4" w:space="0" w:color="448A99"/>
            </w:tcBorders>
            <w:shd w:val="clear" w:color="000000" w:fill="FFFFFF"/>
            <w:vAlign w:val="center"/>
            <w:hideMark/>
          </w:tcPr>
          <w:p w:rsidR="00811E5F" w:rsidRPr="00B75B77" w:rsidRDefault="00811E5F" w:rsidP="004B5477">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39,041</w:t>
            </w:r>
          </w:p>
        </w:tc>
        <w:tc>
          <w:tcPr>
            <w:tcW w:w="1864" w:type="dxa"/>
            <w:tcBorders>
              <w:top w:val="nil"/>
              <w:left w:val="nil"/>
              <w:bottom w:val="single" w:sz="4" w:space="0" w:color="448A99"/>
              <w:right w:val="single" w:sz="4" w:space="0" w:color="448A99"/>
            </w:tcBorders>
            <w:shd w:val="clear" w:color="000000" w:fill="FFFFFF"/>
            <w:vAlign w:val="center"/>
            <w:hideMark/>
          </w:tcPr>
          <w:p w:rsidR="00811E5F" w:rsidRPr="00B75B77" w:rsidRDefault="00811E5F" w:rsidP="004B5477">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N/A</w:t>
            </w:r>
          </w:p>
        </w:tc>
        <w:tc>
          <w:tcPr>
            <w:tcW w:w="1760" w:type="dxa"/>
            <w:tcBorders>
              <w:top w:val="nil"/>
              <w:left w:val="nil"/>
              <w:bottom w:val="single" w:sz="4" w:space="0" w:color="448A99"/>
              <w:right w:val="single" w:sz="4" w:space="0" w:color="448A99"/>
            </w:tcBorders>
            <w:shd w:val="clear" w:color="000000" w:fill="FFFFFF"/>
            <w:vAlign w:val="center"/>
            <w:hideMark/>
          </w:tcPr>
          <w:p w:rsidR="00811E5F" w:rsidRPr="00B75B77" w:rsidRDefault="00811E5F" w:rsidP="004B5477">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0%</w:t>
            </w:r>
          </w:p>
        </w:tc>
      </w:tr>
    </w:tbl>
    <w:p w:rsidR="00923656" w:rsidRPr="00B75B77" w:rsidRDefault="00923656" w:rsidP="00923656">
      <w:pPr>
        <w:keepNext/>
        <w:spacing w:before="20" w:after="20"/>
        <w:jc w:val="left"/>
        <w:rPr>
          <w:rFonts w:ascii="Calibri" w:eastAsia="Times New Roman" w:hAnsi="Calibri"/>
          <w:bCs/>
          <w:sz w:val="18"/>
          <w:szCs w:val="18"/>
        </w:rPr>
      </w:pPr>
      <w:r w:rsidRPr="00B75B77">
        <w:rPr>
          <w:rFonts w:ascii="Calibri" w:eastAsia="Times New Roman" w:hAnsi="Calibri"/>
          <w:bCs/>
          <w:sz w:val="18"/>
          <w:szCs w:val="18"/>
          <w:vertAlign w:val="superscript"/>
        </w:rPr>
        <w:t>[1]</w:t>
      </w:r>
      <w:r w:rsidRPr="00B75B77">
        <w:rPr>
          <w:rFonts w:ascii="Calibri" w:eastAsia="Times New Roman" w:hAnsi="Calibri"/>
          <w:bCs/>
          <w:sz w:val="18"/>
          <w:szCs w:val="18"/>
        </w:rPr>
        <w:t xml:space="preserve"> Savings are reported at the program level and not by individual customer wave.</w:t>
      </w:r>
    </w:p>
    <w:p w:rsidR="00923656" w:rsidRPr="00B75B77" w:rsidRDefault="00923656" w:rsidP="00923656">
      <w:pPr>
        <w:keepNext/>
        <w:spacing w:before="20" w:after="20"/>
        <w:jc w:val="left"/>
        <w:rPr>
          <w:rFonts w:ascii="Calibri" w:hAnsi="Calibri"/>
          <w:i/>
          <w:iCs/>
          <w:sz w:val="18"/>
          <w:szCs w:val="18"/>
        </w:rPr>
      </w:pPr>
      <w:r w:rsidRPr="00B75B77">
        <w:rPr>
          <w:rFonts w:ascii="Calibri" w:eastAsia="Times New Roman" w:hAnsi="Calibri"/>
          <w:bCs/>
          <w:sz w:val="18"/>
          <w:szCs w:val="18"/>
          <w:vertAlign w:val="superscript"/>
        </w:rPr>
        <w:t>[2]</w:t>
      </w:r>
      <w:r w:rsidRPr="00B75B77">
        <w:rPr>
          <w:rFonts w:ascii="Calibri" w:eastAsia="Times New Roman" w:hAnsi="Calibri"/>
          <w:bCs/>
          <w:sz w:val="18"/>
          <w:szCs w:val="18"/>
        </w:rPr>
        <w:t xml:space="preserve"> The billing analysis approach utilized in the SUP program evaluation uses billing data from all program treatment and control customers, constituting a census design. As such, there is no sampling uncertainty and the CV is irrelevant.</w:t>
      </w:r>
    </w:p>
    <w:p w:rsidR="00923656" w:rsidRPr="00B75B77" w:rsidRDefault="00923656" w:rsidP="00923656">
      <w:pPr>
        <w:pStyle w:val="Source"/>
        <w:keepNext/>
        <w:spacing w:before="20" w:after="20"/>
        <w:ind w:left="0" w:firstLine="0"/>
      </w:pPr>
      <w:r w:rsidRPr="00B75B77">
        <w:rPr>
          <w:rFonts w:ascii="Calibri" w:hAnsi="Calibri"/>
          <w:i w:val="0"/>
          <w:iCs/>
          <w:szCs w:val="18"/>
        </w:rPr>
        <w:t>Note: Values in tables may not reconcile exactly with the sum of more detailed level results or previously reported results due to rounding.</w:t>
      </w:r>
    </w:p>
    <w:p w:rsidR="00811E5F" w:rsidRPr="00B75B77" w:rsidRDefault="00811E5F" w:rsidP="00923656">
      <w:pPr>
        <w:pStyle w:val="Source"/>
        <w:keepNext/>
        <w:ind w:left="0" w:firstLine="0"/>
      </w:pPr>
      <w:r w:rsidRPr="00B75B77">
        <w:t>Source: Navigant analysis</w:t>
      </w:r>
    </w:p>
    <w:p w:rsidR="00811E5F" w:rsidRPr="00B75B77" w:rsidRDefault="00811E5F" w:rsidP="00811E5F">
      <w:pPr>
        <w:tabs>
          <w:tab w:val="left" w:pos="1704"/>
        </w:tabs>
      </w:pPr>
      <w:r w:rsidRPr="00B75B77">
        <w:t xml:space="preserve">Due to the nature of the delivered </w:t>
      </w:r>
      <w:proofErr w:type="gramStart"/>
      <w:r w:rsidR="00492396" w:rsidRPr="00B75B77">
        <w:t>HERs</w:t>
      </w:r>
      <w:proofErr w:type="gramEnd"/>
      <w:r w:rsidRPr="00B75B77">
        <w:t xml:space="preserve">, the SUP program does not report participant demand savings, nor are they verified as part of the program’s evaluation. </w:t>
      </w:r>
    </w:p>
    <w:p w:rsidR="00811E5F" w:rsidRPr="00B75B77" w:rsidRDefault="00811E5F" w:rsidP="00811E5F">
      <w:pPr>
        <w:tabs>
          <w:tab w:val="left" w:pos="1704"/>
        </w:tabs>
      </w:pPr>
    </w:p>
    <w:p w:rsidR="00811E5F" w:rsidRPr="00B75B77" w:rsidRDefault="00811E5F" w:rsidP="00811E5F">
      <w:pPr>
        <w:jc w:val="left"/>
      </w:pPr>
      <w:r w:rsidRPr="00B75B77">
        <w:t xml:space="preserve">Navigant concluded that the SUP program successfully channels participants into the SHC program, but </w:t>
      </w:r>
      <w:r w:rsidR="00492396" w:rsidRPr="00B75B77">
        <w:t xml:space="preserve">it </w:t>
      </w:r>
      <w:r w:rsidRPr="00B75B77">
        <w:t xml:space="preserve">does not appear to be an efficient marketing channel for any other PECO residential program. </w:t>
      </w:r>
      <w:r w:rsidR="004B5477" w:rsidRPr="00B75B77">
        <w:fldChar w:fldCharType="begin"/>
      </w:r>
      <w:r w:rsidR="004B5477" w:rsidRPr="00B75B77">
        <w:instrText xml:space="preserve"> REF _Ref463271463 \h </w:instrText>
      </w:r>
      <w:r w:rsidR="00B75B77">
        <w:instrText xml:space="preserve"> \* MERGEFORMAT </w:instrText>
      </w:r>
      <w:r w:rsidR="004B5477" w:rsidRPr="00B75B77">
        <w:fldChar w:fldCharType="separate"/>
      </w:r>
      <w:r w:rsidR="0004016D" w:rsidRPr="00B75B77">
        <w:t xml:space="preserve">Table </w:t>
      </w:r>
      <w:r w:rsidR="0004016D">
        <w:rPr>
          <w:noProof/>
        </w:rPr>
        <w:t>5</w:t>
      </w:r>
      <w:r w:rsidR="0004016D" w:rsidRPr="00B75B77">
        <w:rPr>
          <w:noProof/>
        </w:rPr>
        <w:noBreakHyphen/>
      </w:r>
      <w:r w:rsidR="0004016D">
        <w:rPr>
          <w:noProof/>
        </w:rPr>
        <w:t>4</w:t>
      </w:r>
      <w:r w:rsidR="004B5477" w:rsidRPr="00B75B77">
        <w:fldChar w:fldCharType="end"/>
      </w:r>
      <w:r w:rsidRPr="00B75B77">
        <w:t xml:space="preserve"> provides the channeling summary, shown as the percent</w:t>
      </w:r>
      <w:r w:rsidR="00492396" w:rsidRPr="00B75B77">
        <w:t>age</w:t>
      </w:r>
      <w:r w:rsidRPr="00B75B77">
        <w:t xml:space="preserve"> of participants channeled </w:t>
      </w:r>
      <w:r w:rsidR="00492396" w:rsidRPr="00B75B77">
        <w:t xml:space="preserve">from </w:t>
      </w:r>
      <w:r w:rsidRPr="00B75B77">
        <w:t xml:space="preserve">all SUP participants. The programs included here are those that showed statistical significance in the double counting analysis. Compared to PECO’s typical direct mail return rate of </w:t>
      </w:r>
      <w:r w:rsidR="0009500C" w:rsidRPr="00B75B77">
        <w:t>1%</w:t>
      </w:r>
      <w:r w:rsidRPr="00B75B77">
        <w:t>, these rates imply that the SUP reports are less effective at channeling participants into other programs than typical direct mail campaigns.</w:t>
      </w:r>
      <w:r w:rsidR="008D7483" w:rsidRPr="00B75B77">
        <w:t xml:space="preserve"> </w:t>
      </w:r>
    </w:p>
    <w:p w:rsidR="00811E5F" w:rsidRPr="00B75B77" w:rsidRDefault="00811E5F" w:rsidP="00811E5F"/>
    <w:p w:rsidR="00811E5F" w:rsidRPr="00B75B77" w:rsidRDefault="00811E5F" w:rsidP="00811E5F">
      <w:pPr>
        <w:pStyle w:val="Caption"/>
      </w:pPr>
      <w:bookmarkStart w:id="447" w:name="_Ref463271463"/>
      <w:bookmarkStart w:id="448" w:name="_Toc466413545"/>
      <w:r w:rsidRPr="00B75B77">
        <w:t xml:space="preserve">Table </w:t>
      </w:r>
      <w:fldSimple w:instr=" STYLEREF 1 \s ">
        <w:r w:rsidR="0004016D">
          <w:rPr>
            <w:noProof/>
          </w:rPr>
          <w:t>5</w:t>
        </w:r>
      </w:fldSimple>
      <w:r w:rsidR="00F1144C" w:rsidRPr="00B75B77">
        <w:noBreakHyphen/>
      </w:r>
      <w:fldSimple w:instr=" SEQ Table \* ARABIC \s 1 ">
        <w:r w:rsidR="0004016D">
          <w:rPr>
            <w:noProof/>
          </w:rPr>
          <w:t>4</w:t>
        </w:r>
      </w:fldSimple>
      <w:bookmarkEnd w:id="447"/>
      <w:r w:rsidRPr="00B75B77">
        <w:t>: Share of SUP Participants Channeled into other PECO Programs</w:t>
      </w:r>
      <w:bookmarkEnd w:id="448"/>
      <w:r w:rsidRPr="00B75B77">
        <w:t xml:space="preserve"> </w:t>
      </w:r>
    </w:p>
    <w:tbl>
      <w:tblPr>
        <w:tblStyle w:val="MediumShading1-Accent5"/>
        <w:tblW w:w="9237" w:type="dxa"/>
        <w:tblInd w:w="103"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ook w:val="04A0" w:firstRow="1" w:lastRow="0" w:firstColumn="1" w:lastColumn="0" w:noHBand="0" w:noVBand="1"/>
      </w:tblPr>
      <w:tblGrid>
        <w:gridCol w:w="2466"/>
        <w:gridCol w:w="2258"/>
        <w:gridCol w:w="2259"/>
        <w:gridCol w:w="2254"/>
      </w:tblGrid>
      <w:tr w:rsidR="00811E5F" w:rsidRPr="00B75B77" w:rsidTr="004923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66" w:type="dxa"/>
            <w:tcBorders>
              <w:top w:val="single" w:sz="6" w:space="0" w:color="auto"/>
              <w:left w:val="single" w:sz="6" w:space="0" w:color="auto"/>
              <w:bottom w:val="single" w:sz="6" w:space="0" w:color="auto"/>
              <w:right w:val="single" w:sz="6" w:space="0" w:color="auto"/>
            </w:tcBorders>
            <w:shd w:val="clear" w:color="auto" w:fill="448A99"/>
            <w:vAlign w:val="center"/>
          </w:tcPr>
          <w:p w:rsidR="00811E5F" w:rsidRPr="00B75B77" w:rsidRDefault="00811E5F" w:rsidP="00492396">
            <w:pPr>
              <w:pStyle w:val="TableHeader"/>
              <w:spacing w:before="0"/>
              <w:jc w:val="left"/>
              <w:rPr>
                <w:b/>
                <w:color w:val="FFFFFF" w:themeColor="background1"/>
              </w:rPr>
            </w:pPr>
            <w:r w:rsidRPr="00B75B77">
              <w:rPr>
                <w:b/>
                <w:color w:val="FFFFFF" w:themeColor="background1"/>
              </w:rPr>
              <w:t xml:space="preserve">Other Residential </w:t>
            </w:r>
            <w:r w:rsidR="00492396" w:rsidRPr="00B75B77">
              <w:rPr>
                <w:b/>
                <w:color w:val="FFFFFF" w:themeColor="background1"/>
              </w:rPr>
              <w:br/>
            </w:r>
            <w:r w:rsidRPr="00B75B77">
              <w:rPr>
                <w:b/>
                <w:color w:val="FFFFFF" w:themeColor="background1"/>
              </w:rPr>
              <w:t>PECO Program</w:t>
            </w:r>
          </w:p>
        </w:tc>
        <w:tc>
          <w:tcPr>
            <w:tcW w:w="2258" w:type="dxa"/>
            <w:tcBorders>
              <w:top w:val="single" w:sz="6" w:space="0" w:color="auto"/>
              <w:left w:val="single" w:sz="6" w:space="0" w:color="auto"/>
              <w:bottom w:val="single" w:sz="6" w:space="0" w:color="auto"/>
              <w:right w:val="single" w:sz="6" w:space="0" w:color="auto"/>
            </w:tcBorders>
            <w:shd w:val="clear" w:color="auto" w:fill="448A99"/>
          </w:tcPr>
          <w:p w:rsidR="00811E5F" w:rsidRPr="00B75B77" w:rsidRDefault="00811E5F" w:rsidP="00492396">
            <w:pPr>
              <w:pStyle w:val="TableHeader"/>
              <w:spacing w:before="0"/>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Share of Wave 1 SUP Participants Channeled into Program (n=44,795)</w:t>
            </w:r>
          </w:p>
        </w:tc>
        <w:tc>
          <w:tcPr>
            <w:tcW w:w="2259" w:type="dxa"/>
            <w:tcBorders>
              <w:top w:val="single" w:sz="6" w:space="0" w:color="auto"/>
              <w:left w:val="single" w:sz="6" w:space="0" w:color="auto"/>
              <w:bottom w:val="single" w:sz="6" w:space="0" w:color="auto"/>
              <w:right w:val="single" w:sz="6" w:space="0" w:color="auto"/>
            </w:tcBorders>
            <w:shd w:val="clear" w:color="auto" w:fill="448A99"/>
            <w:vAlign w:val="center"/>
          </w:tcPr>
          <w:p w:rsidR="00811E5F" w:rsidRPr="00B75B77" w:rsidRDefault="00811E5F" w:rsidP="00492396">
            <w:pPr>
              <w:pStyle w:val="TableHeader"/>
              <w:spacing w:before="0"/>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Share of Wave 2 SUP Participants Channeled into Program (n=44,983)</w:t>
            </w:r>
          </w:p>
        </w:tc>
        <w:tc>
          <w:tcPr>
            <w:tcW w:w="2254" w:type="dxa"/>
            <w:tcBorders>
              <w:top w:val="single" w:sz="6" w:space="0" w:color="auto"/>
              <w:left w:val="single" w:sz="6" w:space="0" w:color="auto"/>
              <w:bottom w:val="single" w:sz="6" w:space="0" w:color="auto"/>
              <w:right w:val="single" w:sz="6" w:space="0" w:color="auto"/>
            </w:tcBorders>
            <w:shd w:val="clear" w:color="auto" w:fill="448A99"/>
            <w:vAlign w:val="center"/>
          </w:tcPr>
          <w:p w:rsidR="00811E5F" w:rsidRPr="00B75B77" w:rsidRDefault="00811E5F" w:rsidP="00492396">
            <w:pPr>
              <w:pStyle w:val="TableHeader"/>
              <w:spacing w:before="0"/>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Share of Wave 3 SUP Participants Channeled into Program (n=69,298)</w:t>
            </w:r>
          </w:p>
        </w:tc>
      </w:tr>
      <w:tr w:rsidR="00811E5F" w:rsidRPr="00B75B77" w:rsidTr="004B547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466" w:type="dxa"/>
            <w:tcBorders>
              <w:top w:val="single" w:sz="6" w:space="0" w:color="auto"/>
              <w:bottom w:val="single" w:sz="4" w:space="0" w:color="448A99"/>
              <w:right w:val="single" w:sz="4" w:space="0" w:color="448A99"/>
            </w:tcBorders>
            <w:vAlign w:val="center"/>
          </w:tcPr>
          <w:p w:rsidR="00811E5F" w:rsidRPr="00B75B77" w:rsidRDefault="00811E5F" w:rsidP="00492396">
            <w:pPr>
              <w:pStyle w:val="TableText"/>
              <w:spacing w:before="0"/>
              <w:rPr>
                <w:b w:val="0"/>
              </w:rPr>
            </w:pPr>
            <w:r w:rsidRPr="00B75B77">
              <w:rPr>
                <w:b w:val="0"/>
              </w:rPr>
              <w:t>Smart House Call</w:t>
            </w:r>
          </w:p>
        </w:tc>
        <w:tc>
          <w:tcPr>
            <w:tcW w:w="2258" w:type="dxa"/>
            <w:tcBorders>
              <w:top w:val="single" w:sz="6" w:space="0" w:color="auto"/>
              <w:left w:val="single" w:sz="4" w:space="0" w:color="448A99"/>
              <w:bottom w:val="single" w:sz="4" w:space="0" w:color="448A99"/>
              <w:right w:val="single" w:sz="4" w:space="0" w:color="448A99"/>
            </w:tcBorders>
            <w:vAlign w:val="center"/>
          </w:tcPr>
          <w:p w:rsidR="00811E5F" w:rsidRPr="00B75B77" w:rsidRDefault="00811E5F" w:rsidP="00492396">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t>0.2%</w:t>
            </w:r>
          </w:p>
        </w:tc>
        <w:tc>
          <w:tcPr>
            <w:tcW w:w="2259" w:type="dxa"/>
            <w:tcBorders>
              <w:top w:val="single" w:sz="6" w:space="0" w:color="auto"/>
              <w:left w:val="single" w:sz="4" w:space="0" w:color="448A99"/>
              <w:bottom w:val="single" w:sz="4" w:space="0" w:color="448A99"/>
              <w:right w:val="single" w:sz="4" w:space="0" w:color="448A99"/>
            </w:tcBorders>
            <w:vAlign w:val="center"/>
          </w:tcPr>
          <w:p w:rsidR="00811E5F" w:rsidRPr="00B75B77" w:rsidRDefault="00811E5F" w:rsidP="00492396">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t>0.6%</w:t>
            </w:r>
          </w:p>
        </w:tc>
        <w:tc>
          <w:tcPr>
            <w:tcW w:w="2254" w:type="dxa"/>
            <w:tcBorders>
              <w:top w:val="single" w:sz="6" w:space="0" w:color="auto"/>
              <w:left w:val="single" w:sz="4" w:space="0" w:color="448A99"/>
              <w:bottom w:val="single" w:sz="4" w:space="0" w:color="448A99"/>
            </w:tcBorders>
            <w:vAlign w:val="center"/>
          </w:tcPr>
          <w:p w:rsidR="00811E5F" w:rsidRPr="00B75B77" w:rsidRDefault="00811E5F" w:rsidP="00492396">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t>0.8%</w:t>
            </w:r>
          </w:p>
        </w:tc>
      </w:tr>
      <w:tr w:rsidR="00811E5F" w:rsidRPr="00B75B77" w:rsidTr="004B5477">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466" w:type="dxa"/>
            <w:tcBorders>
              <w:top w:val="single" w:sz="4" w:space="0" w:color="448A99"/>
              <w:bottom w:val="single" w:sz="4" w:space="0" w:color="448A99"/>
              <w:right w:val="single" w:sz="4" w:space="0" w:color="448A99"/>
            </w:tcBorders>
            <w:vAlign w:val="center"/>
          </w:tcPr>
          <w:p w:rsidR="00811E5F" w:rsidRPr="00B75B77" w:rsidRDefault="00811E5F" w:rsidP="00492396">
            <w:pPr>
              <w:pStyle w:val="TableText"/>
              <w:spacing w:before="0"/>
              <w:rPr>
                <w:b w:val="0"/>
              </w:rPr>
            </w:pPr>
            <w:r w:rsidRPr="00B75B77">
              <w:rPr>
                <w:b w:val="0"/>
              </w:rPr>
              <w:t>Smart Appliance Recycling</w:t>
            </w:r>
          </w:p>
        </w:tc>
        <w:tc>
          <w:tcPr>
            <w:tcW w:w="2258" w:type="dxa"/>
            <w:tcBorders>
              <w:top w:val="single" w:sz="4" w:space="0" w:color="448A99"/>
              <w:left w:val="single" w:sz="4" w:space="0" w:color="448A99"/>
              <w:bottom w:val="single" w:sz="4" w:space="0" w:color="448A99"/>
              <w:right w:val="single" w:sz="4" w:space="0" w:color="448A99"/>
            </w:tcBorders>
            <w:vAlign w:val="center"/>
          </w:tcPr>
          <w:p w:rsidR="00811E5F" w:rsidRPr="00B75B77" w:rsidRDefault="00811E5F" w:rsidP="00492396">
            <w:pPr>
              <w:pStyle w:val="TableText"/>
              <w:spacing w:before="0"/>
              <w:jc w:val="center"/>
              <w:cnfStyle w:val="000000010000" w:firstRow="0" w:lastRow="0" w:firstColumn="0" w:lastColumn="0" w:oddVBand="0" w:evenVBand="0" w:oddHBand="0" w:evenHBand="1" w:firstRowFirstColumn="0" w:firstRowLastColumn="0" w:lastRowFirstColumn="0" w:lastRowLastColumn="0"/>
            </w:pPr>
            <w:r w:rsidRPr="00B75B77">
              <w:t>0.1%</w:t>
            </w:r>
          </w:p>
        </w:tc>
        <w:tc>
          <w:tcPr>
            <w:tcW w:w="2259" w:type="dxa"/>
            <w:tcBorders>
              <w:top w:val="single" w:sz="4" w:space="0" w:color="448A99"/>
              <w:left w:val="single" w:sz="4" w:space="0" w:color="448A99"/>
              <w:bottom w:val="single" w:sz="4" w:space="0" w:color="448A99"/>
              <w:right w:val="single" w:sz="4" w:space="0" w:color="448A99"/>
            </w:tcBorders>
            <w:vAlign w:val="center"/>
          </w:tcPr>
          <w:p w:rsidR="00811E5F" w:rsidRPr="00B75B77" w:rsidRDefault="00811E5F" w:rsidP="00492396">
            <w:pPr>
              <w:pStyle w:val="TableText"/>
              <w:spacing w:before="0"/>
              <w:jc w:val="center"/>
              <w:cnfStyle w:val="000000010000" w:firstRow="0" w:lastRow="0" w:firstColumn="0" w:lastColumn="0" w:oddVBand="0" w:evenVBand="0" w:oddHBand="0" w:evenHBand="1" w:firstRowFirstColumn="0" w:firstRowLastColumn="0" w:lastRowFirstColumn="0" w:lastRowLastColumn="0"/>
            </w:pPr>
            <w:r w:rsidRPr="00B75B77">
              <w:t>N/A (</w:t>
            </w:r>
            <w:r w:rsidR="00492396" w:rsidRPr="00B75B77">
              <w:t>N</w:t>
            </w:r>
            <w:r w:rsidRPr="00B75B77">
              <w:t>ot statistically different than zero)</w:t>
            </w:r>
          </w:p>
        </w:tc>
        <w:tc>
          <w:tcPr>
            <w:tcW w:w="2254" w:type="dxa"/>
            <w:tcBorders>
              <w:top w:val="single" w:sz="4" w:space="0" w:color="448A99"/>
              <w:left w:val="single" w:sz="4" w:space="0" w:color="448A99"/>
              <w:bottom w:val="single" w:sz="4" w:space="0" w:color="448A99"/>
            </w:tcBorders>
            <w:vAlign w:val="center"/>
          </w:tcPr>
          <w:p w:rsidR="00811E5F" w:rsidRPr="00B75B77" w:rsidRDefault="00811E5F" w:rsidP="00492396">
            <w:pPr>
              <w:pStyle w:val="TableText"/>
              <w:spacing w:before="0"/>
              <w:jc w:val="center"/>
              <w:cnfStyle w:val="000000010000" w:firstRow="0" w:lastRow="0" w:firstColumn="0" w:lastColumn="0" w:oddVBand="0" w:evenVBand="0" w:oddHBand="0" w:evenHBand="1" w:firstRowFirstColumn="0" w:firstRowLastColumn="0" w:lastRowFirstColumn="0" w:lastRowLastColumn="0"/>
            </w:pPr>
            <w:r w:rsidRPr="00B75B77">
              <w:t>0.1%</w:t>
            </w:r>
          </w:p>
        </w:tc>
      </w:tr>
      <w:tr w:rsidR="00811E5F" w:rsidRPr="00B75B77" w:rsidTr="004B547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466" w:type="dxa"/>
            <w:tcBorders>
              <w:top w:val="single" w:sz="4" w:space="0" w:color="448A99"/>
              <w:bottom w:val="single" w:sz="4" w:space="0" w:color="448A99"/>
              <w:right w:val="single" w:sz="4" w:space="0" w:color="448A99"/>
            </w:tcBorders>
            <w:vAlign w:val="center"/>
          </w:tcPr>
          <w:p w:rsidR="00811E5F" w:rsidRPr="00B75B77" w:rsidRDefault="00811E5F" w:rsidP="00492396">
            <w:pPr>
              <w:pStyle w:val="TableText"/>
              <w:spacing w:before="0"/>
              <w:rPr>
                <w:b w:val="0"/>
              </w:rPr>
            </w:pPr>
            <w:r w:rsidRPr="00B75B77">
              <w:rPr>
                <w:b w:val="0"/>
              </w:rPr>
              <w:t>Smart Home Rebates</w:t>
            </w:r>
          </w:p>
        </w:tc>
        <w:tc>
          <w:tcPr>
            <w:tcW w:w="2258" w:type="dxa"/>
            <w:tcBorders>
              <w:top w:val="single" w:sz="4" w:space="0" w:color="448A99"/>
              <w:left w:val="single" w:sz="4" w:space="0" w:color="448A99"/>
              <w:bottom w:val="single" w:sz="4" w:space="0" w:color="448A99"/>
              <w:right w:val="single" w:sz="4" w:space="0" w:color="448A99"/>
            </w:tcBorders>
            <w:vAlign w:val="center"/>
          </w:tcPr>
          <w:p w:rsidR="00811E5F" w:rsidRPr="00B75B77" w:rsidRDefault="00811E5F" w:rsidP="00492396">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t>0.2%</w:t>
            </w:r>
          </w:p>
        </w:tc>
        <w:tc>
          <w:tcPr>
            <w:tcW w:w="2259" w:type="dxa"/>
            <w:tcBorders>
              <w:top w:val="single" w:sz="4" w:space="0" w:color="448A99"/>
              <w:left w:val="single" w:sz="4" w:space="0" w:color="448A99"/>
              <w:bottom w:val="single" w:sz="4" w:space="0" w:color="448A99"/>
              <w:right w:val="single" w:sz="4" w:space="0" w:color="448A99"/>
            </w:tcBorders>
            <w:vAlign w:val="center"/>
          </w:tcPr>
          <w:p w:rsidR="00811E5F" w:rsidRPr="00B75B77" w:rsidRDefault="00811E5F" w:rsidP="00492396">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t>N/A (</w:t>
            </w:r>
            <w:r w:rsidR="00492396" w:rsidRPr="00B75B77">
              <w:t>N</w:t>
            </w:r>
            <w:r w:rsidRPr="00B75B77">
              <w:t>ot statistically different than zero)</w:t>
            </w:r>
          </w:p>
        </w:tc>
        <w:tc>
          <w:tcPr>
            <w:tcW w:w="2254" w:type="dxa"/>
            <w:tcBorders>
              <w:top w:val="single" w:sz="4" w:space="0" w:color="448A99"/>
              <w:left w:val="single" w:sz="4" w:space="0" w:color="448A99"/>
              <w:bottom w:val="single" w:sz="4" w:space="0" w:color="448A99"/>
            </w:tcBorders>
            <w:vAlign w:val="center"/>
          </w:tcPr>
          <w:p w:rsidR="00811E5F" w:rsidRPr="00B75B77" w:rsidRDefault="00811E5F" w:rsidP="00492396">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t>-0.1%</w:t>
            </w:r>
          </w:p>
        </w:tc>
      </w:tr>
      <w:tr w:rsidR="00811E5F" w:rsidRPr="00B75B77" w:rsidTr="004B5477">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466" w:type="dxa"/>
            <w:tcBorders>
              <w:top w:val="single" w:sz="4" w:space="0" w:color="448A99"/>
              <w:bottom w:val="single" w:sz="4" w:space="0" w:color="448A99"/>
              <w:right w:val="single" w:sz="4" w:space="0" w:color="448A99"/>
            </w:tcBorders>
            <w:vAlign w:val="center"/>
          </w:tcPr>
          <w:p w:rsidR="00811E5F" w:rsidRPr="00B75B77" w:rsidRDefault="00811E5F" w:rsidP="00492396">
            <w:pPr>
              <w:pStyle w:val="TableText"/>
              <w:spacing w:before="0"/>
              <w:rPr>
                <w:b w:val="0"/>
              </w:rPr>
            </w:pPr>
            <w:r w:rsidRPr="00B75B77">
              <w:rPr>
                <w:b w:val="0"/>
              </w:rPr>
              <w:t>Smart Multi-Family</w:t>
            </w:r>
          </w:p>
        </w:tc>
        <w:tc>
          <w:tcPr>
            <w:tcW w:w="2258" w:type="dxa"/>
            <w:tcBorders>
              <w:top w:val="single" w:sz="4" w:space="0" w:color="448A99"/>
              <w:left w:val="single" w:sz="4" w:space="0" w:color="448A99"/>
              <w:bottom w:val="single" w:sz="4" w:space="0" w:color="448A99"/>
              <w:right w:val="single" w:sz="4" w:space="0" w:color="448A99"/>
            </w:tcBorders>
            <w:vAlign w:val="center"/>
          </w:tcPr>
          <w:p w:rsidR="00811E5F" w:rsidRPr="00B75B77" w:rsidRDefault="00811E5F" w:rsidP="00492396">
            <w:pPr>
              <w:pStyle w:val="TableText"/>
              <w:spacing w:before="0"/>
              <w:jc w:val="center"/>
              <w:cnfStyle w:val="000000010000" w:firstRow="0" w:lastRow="0" w:firstColumn="0" w:lastColumn="0" w:oddVBand="0" w:evenVBand="0" w:oddHBand="0" w:evenHBand="1" w:firstRowFirstColumn="0" w:firstRowLastColumn="0" w:lastRowFirstColumn="0" w:lastRowLastColumn="0"/>
            </w:pPr>
            <w:r w:rsidRPr="00B75B77">
              <w:t>N/A (</w:t>
            </w:r>
            <w:r w:rsidR="00492396" w:rsidRPr="00B75B77">
              <w:t>N</w:t>
            </w:r>
            <w:r w:rsidRPr="00B75B77">
              <w:t>ot statistically different than zero)</w:t>
            </w:r>
          </w:p>
        </w:tc>
        <w:tc>
          <w:tcPr>
            <w:tcW w:w="2259" w:type="dxa"/>
            <w:tcBorders>
              <w:top w:val="single" w:sz="4" w:space="0" w:color="448A99"/>
              <w:left w:val="single" w:sz="4" w:space="0" w:color="448A99"/>
              <w:bottom w:val="single" w:sz="4" w:space="0" w:color="448A99"/>
            </w:tcBorders>
            <w:vAlign w:val="center"/>
          </w:tcPr>
          <w:p w:rsidR="00811E5F" w:rsidRPr="00B75B77" w:rsidRDefault="00811E5F" w:rsidP="00492396">
            <w:pPr>
              <w:pStyle w:val="TableText"/>
              <w:spacing w:before="0"/>
              <w:jc w:val="center"/>
              <w:cnfStyle w:val="000000010000" w:firstRow="0" w:lastRow="0" w:firstColumn="0" w:lastColumn="0" w:oddVBand="0" w:evenVBand="0" w:oddHBand="0" w:evenHBand="1" w:firstRowFirstColumn="0" w:firstRowLastColumn="0" w:lastRowFirstColumn="0" w:lastRowLastColumn="0"/>
            </w:pPr>
            <w:r w:rsidRPr="00B75B77">
              <w:t>N/A (</w:t>
            </w:r>
            <w:r w:rsidR="00492396" w:rsidRPr="00B75B77">
              <w:t>N</w:t>
            </w:r>
            <w:r w:rsidRPr="00B75B77">
              <w:t>ot statistically different than zero)</w:t>
            </w:r>
          </w:p>
        </w:tc>
        <w:tc>
          <w:tcPr>
            <w:tcW w:w="2254" w:type="dxa"/>
            <w:tcBorders>
              <w:top w:val="single" w:sz="4" w:space="0" w:color="448A99"/>
              <w:left w:val="single" w:sz="4" w:space="0" w:color="448A99"/>
              <w:bottom w:val="single" w:sz="4" w:space="0" w:color="448A99"/>
            </w:tcBorders>
            <w:vAlign w:val="center"/>
          </w:tcPr>
          <w:p w:rsidR="00811E5F" w:rsidRPr="00B75B77" w:rsidRDefault="00811E5F" w:rsidP="00492396">
            <w:pPr>
              <w:pStyle w:val="TableText"/>
              <w:spacing w:before="0"/>
              <w:jc w:val="center"/>
              <w:cnfStyle w:val="000000010000" w:firstRow="0" w:lastRow="0" w:firstColumn="0" w:lastColumn="0" w:oddVBand="0" w:evenVBand="0" w:oddHBand="0" w:evenHBand="1" w:firstRowFirstColumn="0" w:firstRowLastColumn="0" w:lastRowFirstColumn="0" w:lastRowLastColumn="0"/>
            </w:pPr>
            <w:r w:rsidRPr="00B75B77">
              <w:t>N/A (</w:t>
            </w:r>
            <w:r w:rsidR="00492396" w:rsidRPr="00B75B77">
              <w:t>N</w:t>
            </w:r>
            <w:r w:rsidRPr="00B75B77">
              <w:t>ot statistically different than zero)</w:t>
            </w:r>
          </w:p>
        </w:tc>
      </w:tr>
    </w:tbl>
    <w:p w:rsidR="00811E5F" w:rsidRPr="00B75B77" w:rsidRDefault="00811E5F" w:rsidP="00492396">
      <w:pPr>
        <w:pStyle w:val="Source"/>
      </w:pPr>
      <w:r w:rsidRPr="00B75B77">
        <w:t>Source: Navigant analysis of program tracking data</w:t>
      </w:r>
    </w:p>
    <w:p w:rsidR="00811E5F" w:rsidRPr="00B75B77" w:rsidRDefault="00811E5F" w:rsidP="004B5477">
      <w:pPr>
        <w:pStyle w:val="Heading2"/>
        <w:keepNext/>
      </w:pPr>
      <w:bookmarkStart w:id="449" w:name="_Ref462239289"/>
      <w:bookmarkStart w:id="450" w:name="_Ref462239428"/>
      <w:bookmarkStart w:id="451" w:name="_Toc466413322"/>
      <w:r w:rsidRPr="00B75B77">
        <w:t>Impact Evaluation Net Savings</w:t>
      </w:r>
      <w:bookmarkEnd w:id="449"/>
      <w:bookmarkEnd w:id="450"/>
      <w:bookmarkEnd w:id="451"/>
      <w:r w:rsidRPr="00B75B77">
        <w:t xml:space="preserve"> </w:t>
      </w:r>
    </w:p>
    <w:p w:rsidR="00811E5F" w:rsidRPr="00B75B77" w:rsidRDefault="00811E5F" w:rsidP="004B5477">
      <w:pPr>
        <w:keepNext/>
      </w:pPr>
      <w:r w:rsidRPr="00B75B77">
        <w:t>Due to the RCT design of the SUP program, free ridership and participant spillover are incorporated in the results of the regression analysis. Section 2.2.2 of the SEE Action protocol states:</w:t>
      </w:r>
    </w:p>
    <w:p w:rsidR="00811E5F" w:rsidRPr="00B75B77" w:rsidRDefault="00811E5F" w:rsidP="00811E5F">
      <w:pPr>
        <w:keepNext/>
      </w:pPr>
    </w:p>
    <w:p w:rsidR="00811E5F" w:rsidRPr="00B75B77" w:rsidRDefault="00811E5F" w:rsidP="00811E5F">
      <w:pPr>
        <w:ind w:left="360"/>
        <w:rPr>
          <w:i/>
          <w:szCs w:val="20"/>
        </w:rPr>
      </w:pPr>
      <w:r w:rsidRPr="00B75B77">
        <w:rPr>
          <w:i/>
          <w:szCs w:val="20"/>
        </w:rPr>
        <w:t>RCTs eliminate this free</w:t>
      </w:r>
      <w:r w:rsidR="00AF5657" w:rsidRPr="00B75B77">
        <w:rPr>
          <w:i/>
          <w:szCs w:val="20"/>
        </w:rPr>
        <w:t>-rider</w:t>
      </w:r>
      <w:r w:rsidRPr="00B75B77">
        <w:rPr>
          <w:i/>
          <w:szCs w:val="20"/>
        </w:rPr>
        <w:t xml:space="preserve"> concern during the study period because the treatment and control groups each contain the same number of free riders through the process of random assignment to the treatment or control groups. When the two groups are compared, the energy savings from the free riders in the control group cancel out the energy savings from the free riders in the treatment </w:t>
      </w:r>
      <w:r w:rsidRPr="00B75B77">
        <w:rPr>
          <w:i/>
          <w:szCs w:val="20"/>
        </w:rPr>
        <w:lastRenderedPageBreak/>
        <w:t>group, and the resulting estimate of program energy savings is an unbiased estimate of the savings caused by the program (the true program savings).</w:t>
      </w:r>
    </w:p>
    <w:p w:rsidR="00811E5F" w:rsidRPr="00B75B77" w:rsidRDefault="00C54E15" w:rsidP="00C54E15">
      <w:pPr>
        <w:spacing w:before="120" w:after="60"/>
        <w:ind w:left="907"/>
      </w:pPr>
      <w:r w:rsidRPr="00B75B77">
        <w:t xml:space="preserve">… </w:t>
      </w:r>
      <w:r w:rsidR="00811E5F" w:rsidRPr="00B75B77">
        <w:rPr>
          <w:iCs/>
          <w:szCs w:val="20"/>
        </w:rPr>
        <w:t>[Participant spillover]</w:t>
      </w:r>
      <w:r w:rsidR="00811E5F" w:rsidRPr="00B75B77">
        <w:rPr>
          <w:szCs w:val="20"/>
        </w:rPr>
        <w:t>,</w:t>
      </w:r>
      <w:r w:rsidR="00811E5F" w:rsidRPr="00B75B77">
        <w:rPr>
          <w:i/>
          <w:szCs w:val="20"/>
        </w:rPr>
        <w:t xml:space="preserve"> in which participants engage in additional energy efficiency actions outside of the program as a result of the program, is also automatically captured by an RCT design for energy use that is measured within a household.</w:t>
      </w:r>
    </w:p>
    <w:p w:rsidR="00811E5F" w:rsidRPr="00B75B77" w:rsidRDefault="00811E5F" w:rsidP="00811E5F">
      <w:pPr>
        <w:ind w:left="360"/>
        <w:rPr>
          <w:szCs w:val="20"/>
        </w:rPr>
      </w:pPr>
    </w:p>
    <w:p w:rsidR="00811E5F" w:rsidRPr="00B75B77" w:rsidRDefault="00811E5F" w:rsidP="00811E5F">
      <w:pPr>
        <w:rPr>
          <w:szCs w:val="20"/>
        </w:rPr>
      </w:pPr>
      <w:r w:rsidRPr="00B75B77">
        <w:rPr>
          <w:szCs w:val="20"/>
        </w:rPr>
        <w:t>However, the RCT design does not account for nonparticipant spillover. Section 2.2.2 of the SEE Action protocol continues:</w:t>
      </w:r>
    </w:p>
    <w:p w:rsidR="00811E5F" w:rsidRPr="00B75B77" w:rsidRDefault="00811E5F" w:rsidP="00811E5F">
      <w:pPr>
        <w:rPr>
          <w:szCs w:val="20"/>
        </w:rPr>
      </w:pPr>
    </w:p>
    <w:p w:rsidR="00811E5F" w:rsidRPr="00B75B77" w:rsidRDefault="00811E5F" w:rsidP="00811E5F">
      <w:pPr>
        <w:ind w:left="360"/>
        <w:rPr>
          <w:i/>
          <w:szCs w:val="20"/>
        </w:rPr>
      </w:pPr>
      <w:r w:rsidRPr="00B75B77">
        <w:rPr>
          <w:iCs/>
          <w:szCs w:val="20"/>
        </w:rPr>
        <w:t>[Nonparticipant spillover]</w:t>
      </w:r>
      <w:r w:rsidRPr="00B75B77">
        <w:rPr>
          <w:i/>
          <w:iCs/>
          <w:szCs w:val="20"/>
        </w:rPr>
        <w:t xml:space="preserve"> </w:t>
      </w:r>
      <w:r w:rsidRPr="00B75B77">
        <w:rPr>
          <w:i/>
          <w:szCs w:val="20"/>
        </w:rPr>
        <w:t>issues in which a program influences the energy use of non-program participants are not addressed by RCTs. In these cases in which non</w:t>
      </w:r>
      <w:r w:rsidR="00AF5657" w:rsidRPr="00B75B77">
        <w:rPr>
          <w:i/>
          <w:szCs w:val="20"/>
        </w:rPr>
        <w:t>-participant</w:t>
      </w:r>
      <w:r w:rsidRPr="00B75B77">
        <w:rPr>
          <w:i/>
          <w:szCs w:val="20"/>
        </w:rPr>
        <w:t xml:space="preserve"> spillover exists, an evaluation that relies on RCT design could underestimate the total program-influenced savings.</w:t>
      </w:r>
    </w:p>
    <w:p w:rsidR="00811E5F" w:rsidRPr="00B75B77" w:rsidRDefault="00811E5F" w:rsidP="00811E5F">
      <w:pPr>
        <w:rPr>
          <w:szCs w:val="20"/>
        </w:rPr>
      </w:pPr>
    </w:p>
    <w:p w:rsidR="00811E5F" w:rsidRPr="00B75B77" w:rsidRDefault="00811E5F" w:rsidP="00811E5F">
      <w:pPr>
        <w:pStyle w:val="Heading3"/>
      </w:pPr>
      <w:bookmarkStart w:id="452" w:name="_Ref463007213"/>
      <w:bookmarkStart w:id="453" w:name="_Toc466413323"/>
      <w:r w:rsidRPr="00B75B77">
        <w:t>Net Verified Savings Methodology</w:t>
      </w:r>
      <w:bookmarkEnd w:id="452"/>
      <w:bookmarkEnd w:id="453"/>
      <w:r w:rsidRPr="00B75B77">
        <w:t xml:space="preserve"> </w:t>
      </w:r>
    </w:p>
    <w:p w:rsidR="00811E5F" w:rsidRPr="00B75B77" w:rsidRDefault="00811E5F" w:rsidP="004D2FBE">
      <w:r w:rsidRPr="00B75B77">
        <w:rPr>
          <w:szCs w:val="20"/>
        </w:rPr>
        <w:t xml:space="preserve">As described in Section </w:t>
      </w:r>
      <w:r w:rsidR="004B5477" w:rsidRPr="00B75B77">
        <w:rPr>
          <w:szCs w:val="20"/>
        </w:rPr>
        <w:fldChar w:fldCharType="begin"/>
      </w:r>
      <w:r w:rsidR="004B5477" w:rsidRPr="00B75B77">
        <w:rPr>
          <w:szCs w:val="20"/>
        </w:rPr>
        <w:instrText xml:space="preserve"> REF _Ref462239289 \r \h </w:instrText>
      </w:r>
      <w:r w:rsidR="00B75B77">
        <w:rPr>
          <w:szCs w:val="20"/>
        </w:rPr>
        <w:instrText xml:space="preserve"> \* MERGEFORMAT </w:instrText>
      </w:r>
      <w:r w:rsidR="004B5477" w:rsidRPr="00B75B77">
        <w:rPr>
          <w:szCs w:val="20"/>
        </w:rPr>
      </w:r>
      <w:r w:rsidR="004B5477" w:rsidRPr="00B75B77">
        <w:rPr>
          <w:szCs w:val="20"/>
        </w:rPr>
        <w:fldChar w:fldCharType="separate"/>
      </w:r>
      <w:r w:rsidR="0004016D">
        <w:rPr>
          <w:szCs w:val="20"/>
        </w:rPr>
        <w:t>5.3</w:t>
      </w:r>
      <w:r w:rsidR="004B5477" w:rsidRPr="00B75B77">
        <w:rPr>
          <w:szCs w:val="20"/>
        </w:rPr>
        <w:fldChar w:fldCharType="end"/>
      </w:r>
      <w:r w:rsidRPr="00B75B77">
        <w:rPr>
          <w:szCs w:val="20"/>
        </w:rPr>
        <w:t xml:space="preserve">, </w:t>
      </w:r>
      <w:r w:rsidR="00850C15" w:rsidRPr="00B75B77">
        <w:rPr>
          <w:szCs w:val="20"/>
        </w:rPr>
        <w:t xml:space="preserve">Navigant incorporates </w:t>
      </w:r>
      <w:r w:rsidRPr="00B75B77">
        <w:rPr>
          <w:szCs w:val="20"/>
        </w:rPr>
        <w:t xml:space="preserve">free ridership and spillover into the results of the SUP regression analysis based on customer billing records. Nonparticipant spillover is not included in the regression analysis, but the industry standard approach is to assume that nonparticipant spillover is small for this </w:t>
      </w:r>
      <w:r w:rsidR="00C54E15" w:rsidRPr="00B75B77">
        <w:rPr>
          <w:szCs w:val="20"/>
        </w:rPr>
        <w:t xml:space="preserve">program </w:t>
      </w:r>
      <w:r w:rsidRPr="00B75B77">
        <w:rPr>
          <w:szCs w:val="20"/>
        </w:rPr>
        <w:t xml:space="preserve">type. </w:t>
      </w:r>
      <w:r w:rsidR="00850C15" w:rsidRPr="00B75B77">
        <w:rPr>
          <w:szCs w:val="20"/>
        </w:rPr>
        <w:t xml:space="preserve">Nonparticipant spillover </w:t>
      </w:r>
      <w:r w:rsidRPr="00B75B77">
        <w:rPr>
          <w:szCs w:val="20"/>
        </w:rPr>
        <w:t xml:space="preserve">would be driven </w:t>
      </w:r>
      <w:r w:rsidR="00C54E15" w:rsidRPr="00B75B77">
        <w:rPr>
          <w:szCs w:val="20"/>
        </w:rPr>
        <w:t xml:space="preserve">primarily </w:t>
      </w:r>
      <w:r w:rsidRPr="00B75B77">
        <w:rPr>
          <w:szCs w:val="20"/>
        </w:rPr>
        <w:t xml:space="preserve">by conversations that participants may have with nonparticipant PECO customers, which are expected to have a relatively small impact on nonparticipant energy savings. The conservative approach </w:t>
      </w:r>
      <w:r w:rsidR="00C54E15" w:rsidRPr="00B75B77">
        <w:rPr>
          <w:szCs w:val="20"/>
        </w:rPr>
        <w:t xml:space="preserve">Navigant </w:t>
      </w:r>
      <w:r w:rsidRPr="00B75B77">
        <w:rPr>
          <w:szCs w:val="20"/>
        </w:rPr>
        <w:t>used is to assume that nonparticipant spillover is 0.00 and that the NTG ratio for the SUP program is 1.0. As a result, the net and gross savings estimates are the same for the SUP program. As such, there is no NTG sample for the SUP program.</w:t>
      </w:r>
    </w:p>
    <w:p w:rsidR="00811E5F" w:rsidRPr="00B75B77" w:rsidRDefault="00811E5F" w:rsidP="004D2FBE"/>
    <w:p w:rsidR="00811E5F" w:rsidRPr="00B75B77" w:rsidRDefault="00811E5F" w:rsidP="00811E5F">
      <w:pPr>
        <w:pStyle w:val="Heading3"/>
      </w:pPr>
      <w:bookmarkStart w:id="454" w:name="_Toc466413324"/>
      <w:r w:rsidRPr="00B75B77">
        <w:t>Net Verified Savings Results</w:t>
      </w:r>
      <w:bookmarkEnd w:id="454"/>
      <w:r w:rsidRPr="00B75B77">
        <w:t xml:space="preserve"> </w:t>
      </w:r>
    </w:p>
    <w:p w:rsidR="00811E5F" w:rsidRPr="00B75B77" w:rsidRDefault="00811E5F">
      <w:pPr>
        <w:jc w:val="left"/>
        <w:rPr>
          <w:szCs w:val="20"/>
        </w:rPr>
      </w:pPr>
      <w:r w:rsidRPr="00B75B77">
        <w:rPr>
          <w:szCs w:val="20"/>
        </w:rPr>
        <w:t xml:space="preserve">As described in Section </w:t>
      </w:r>
      <w:r w:rsidRPr="00B75B77">
        <w:rPr>
          <w:szCs w:val="20"/>
        </w:rPr>
        <w:fldChar w:fldCharType="begin"/>
      </w:r>
      <w:r w:rsidRPr="00B75B77">
        <w:rPr>
          <w:szCs w:val="20"/>
        </w:rPr>
        <w:instrText xml:space="preserve"> REF _Ref463007213 \r \h </w:instrText>
      </w:r>
      <w:r w:rsidR="00B75B77">
        <w:rPr>
          <w:szCs w:val="20"/>
        </w:rPr>
        <w:instrText xml:space="preserve"> \* MERGEFORMAT </w:instrText>
      </w:r>
      <w:r w:rsidRPr="00B75B77">
        <w:rPr>
          <w:szCs w:val="20"/>
        </w:rPr>
      </w:r>
      <w:r w:rsidRPr="00B75B77">
        <w:rPr>
          <w:szCs w:val="20"/>
        </w:rPr>
        <w:fldChar w:fldCharType="separate"/>
      </w:r>
      <w:r w:rsidR="0004016D">
        <w:rPr>
          <w:szCs w:val="20"/>
        </w:rPr>
        <w:t>5.3.1</w:t>
      </w:r>
      <w:r w:rsidRPr="00B75B77">
        <w:rPr>
          <w:szCs w:val="20"/>
        </w:rPr>
        <w:fldChar w:fldCharType="end"/>
      </w:r>
      <w:r w:rsidRPr="00B75B77">
        <w:rPr>
          <w:szCs w:val="20"/>
        </w:rPr>
        <w:t>, net and gross savings estimates are the same for the SUP program. This is because the billing analysis approach already incorporates participant free ridership and spillover, and nonparticipant spillover is expected to be quite small. Therefore</w:t>
      </w:r>
      <w:r w:rsidR="00C54E15" w:rsidRPr="00B75B77">
        <w:rPr>
          <w:szCs w:val="20"/>
        </w:rPr>
        <w:t>,</w:t>
      </w:r>
      <w:r w:rsidRPr="00B75B77">
        <w:rPr>
          <w:szCs w:val="20"/>
        </w:rPr>
        <w:t xml:space="preserve"> </w:t>
      </w:r>
      <w:r w:rsidR="00850C15" w:rsidRPr="00B75B77">
        <w:rPr>
          <w:szCs w:val="20"/>
        </w:rPr>
        <w:t xml:space="preserve">Navigant conservatively assumed </w:t>
      </w:r>
      <w:r w:rsidRPr="00B75B77">
        <w:rPr>
          <w:szCs w:val="20"/>
        </w:rPr>
        <w:t xml:space="preserve">the NTG ratio to be 1.0, and </w:t>
      </w:r>
      <w:r w:rsidR="00850C15" w:rsidRPr="00B75B77">
        <w:rPr>
          <w:szCs w:val="20"/>
        </w:rPr>
        <w:t>did not perform any</w:t>
      </w:r>
      <w:r w:rsidRPr="00B75B77">
        <w:rPr>
          <w:szCs w:val="20"/>
        </w:rPr>
        <w:t xml:space="preserve"> NTG research for the SUP program.</w:t>
      </w:r>
    </w:p>
    <w:p w:rsidR="00811E5F" w:rsidRPr="00B75B77" w:rsidRDefault="00811E5F">
      <w:pPr>
        <w:jc w:val="left"/>
        <w:rPr>
          <w:b/>
          <w:bCs/>
        </w:rPr>
      </w:pPr>
    </w:p>
    <w:p w:rsidR="00811E5F" w:rsidRPr="00B75B77" w:rsidRDefault="00811E5F" w:rsidP="00963027">
      <w:pPr>
        <w:pStyle w:val="Heading2"/>
        <w:keepNext/>
      </w:pPr>
      <w:bookmarkStart w:id="455" w:name="_Ref462319407"/>
      <w:bookmarkStart w:id="456" w:name="_Toc466413325"/>
      <w:r w:rsidRPr="00B75B77">
        <w:t>Process Evaluation</w:t>
      </w:r>
      <w:bookmarkEnd w:id="455"/>
      <w:bookmarkEnd w:id="456"/>
    </w:p>
    <w:p w:rsidR="00811E5F" w:rsidRPr="00B75B77" w:rsidRDefault="00811E5F" w:rsidP="00811E5F">
      <w:r w:rsidRPr="00B75B77">
        <w:rPr>
          <w:szCs w:val="20"/>
        </w:rPr>
        <w:t>Navigant performed a limited process evaluation for the SUP program during PY7. A thorough process evaluation, which included phone surveys with 450 participant treatment and control households</w:t>
      </w:r>
      <w:r w:rsidR="00D51D10" w:rsidRPr="00B75B77">
        <w:rPr>
          <w:szCs w:val="20"/>
        </w:rPr>
        <w:t>, was performed as part of the PY6 evaluation</w:t>
      </w:r>
      <w:r w:rsidRPr="00B75B77">
        <w:rPr>
          <w:szCs w:val="20"/>
        </w:rPr>
        <w:t xml:space="preserve">. Since the program design has not changed since PY6, an additional process evaluation involving customer surveys was unnecessary in PY7. The PY7 process evaluation did include interviews with program managers and the CSP, </w:t>
      </w:r>
      <w:proofErr w:type="spellStart"/>
      <w:r w:rsidRPr="00B75B77">
        <w:rPr>
          <w:szCs w:val="20"/>
        </w:rPr>
        <w:t>Opower</w:t>
      </w:r>
      <w:proofErr w:type="spellEnd"/>
      <w:r w:rsidRPr="00B75B77">
        <w:rPr>
          <w:szCs w:val="20"/>
        </w:rPr>
        <w:t xml:space="preserve">. </w:t>
      </w:r>
    </w:p>
    <w:p w:rsidR="00811E5F" w:rsidRPr="00B75B77" w:rsidRDefault="00811E5F" w:rsidP="00963027">
      <w:pPr>
        <w:keepNext/>
        <w:rPr>
          <w:color w:val="000000"/>
        </w:rPr>
      </w:pPr>
    </w:p>
    <w:p w:rsidR="00811E5F" w:rsidRPr="00B75B77" w:rsidRDefault="00811E5F" w:rsidP="004B5477">
      <w:pPr>
        <w:pStyle w:val="Heading3"/>
        <w:keepNext/>
      </w:pPr>
      <w:bookmarkStart w:id="457" w:name="_Toc466413326"/>
      <w:r w:rsidRPr="00B75B77">
        <w:t>Process Evaluation Methodology</w:t>
      </w:r>
      <w:bookmarkEnd w:id="457"/>
      <w:r w:rsidRPr="00B75B77">
        <w:t xml:space="preserve"> </w:t>
      </w:r>
    </w:p>
    <w:p w:rsidR="00811E5F" w:rsidRPr="00B75B77" w:rsidRDefault="00811E5F" w:rsidP="004B5477">
      <w:pPr>
        <w:keepNext/>
      </w:pPr>
      <w:r w:rsidRPr="00B75B77">
        <w:t xml:space="preserve">Navigant conducted in-depth phone interviews with the PECO program manager and </w:t>
      </w:r>
      <w:proofErr w:type="spellStart"/>
      <w:r w:rsidR="00D51D10" w:rsidRPr="00B75B77">
        <w:t>Opower’s</w:t>
      </w:r>
      <w:proofErr w:type="spellEnd"/>
      <w:r w:rsidRPr="00B75B77">
        <w:t xml:space="preserve"> program manager. </w:t>
      </w:r>
      <w:r w:rsidR="00850C15" w:rsidRPr="00B75B77">
        <w:t xml:space="preserve">The evaluation team </w:t>
      </w:r>
      <w:r w:rsidRPr="00B75B77">
        <w:t xml:space="preserve">developed interview guides using open-ended questions to allow for a free-flowing discussion between the interviewer and respondent and used experienced evaluation team members to conduct the interviews, allowing the interviewer to delve more deeply into pertinent issues based on the respondents’ knowledge of and experience with the program. </w:t>
      </w:r>
      <w:r w:rsidR="00850C15" w:rsidRPr="00B75B77">
        <w:t xml:space="preserve">Navigant did not develop any </w:t>
      </w:r>
      <w:r w:rsidRPr="00B75B77">
        <w:t xml:space="preserve">other process samples for the SUP program, as reflected in </w:t>
      </w:r>
      <w:r w:rsidR="004B5477" w:rsidRPr="00B75B77">
        <w:fldChar w:fldCharType="begin"/>
      </w:r>
      <w:r w:rsidR="004B5477" w:rsidRPr="00B75B77">
        <w:instrText xml:space="preserve"> REF _Ref462239632 \h </w:instrText>
      </w:r>
      <w:r w:rsidR="00B75B77">
        <w:instrText xml:space="preserve"> \* MERGEFORMAT </w:instrText>
      </w:r>
      <w:r w:rsidR="004B5477" w:rsidRPr="00B75B77">
        <w:fldChar w:fldCharType="separate"/>
      </w:r>
      <w:r w:rsidR="0004016D" w:rsidRPr="00B75B77">
        <w:t xml:space="preserve">Table </w:t>
      </w:r>
      <w:r w:rsidR="0004016D">
        <w:rPr>
          <w:noProof/>
        </w:rPr>
        <w:t>5</w:t>
      </w:r>
      <w:r w:rsidR="0004016D" w:rsidRPr="00B75B77">
        <w:rPr>
          <w:noProof/>
        </w:rPr>
        <w:noBreakHyphen/>
      </w:r>
      <w:r w:rsidR="0004016D">
        <w:rPr>
          <w:noProof/>
        </w:rPr>
        <w:t>5</w:t>
      </w:r>
      <w:r w:rsidR="004B5477" w:rsidRPr="00B75B77">
        <w:fldChar w:fldCharType="end"/>
      </w:r>
      <w:r w:rsidRPr="00B75B77">
        <w:t>.</w:t>
      </w:r>
    </w:p>
    <w:p w:rsidR="00811E5F" w:rsidRPr="00B75B77" w:rsidRDefault="00811E5F" w:rsidP="00811E5F">
      <w:pPr>
        <w:rPr>
          <w:rFonts w:eastAsia="Times New Roman"/>
          <w:color w:val="000000"/>
        </w:rPr>
      </w:pPr>
    </w:p>
    <w:p w:rsidR="00811E5F" w:rsidRPr="00B75B77" w:rsidRDefault="00811E5F" w:rsidP="00811E5F">
      <w:pPr>
        <w:pStyle w:val="Caption"/>
      </w:pPr>
      <w:bookmarkStart w:id="458" w:name="_Ref462239632"/>
      <w:bookmarkStart w:id="459" w:name="_Toc466413546"/>
      <w:r w:rsidRPr="00B75B77">
        <w:lastRenderedPageBreak/>
        <w:t xml:space="preserve">Table </w:t>
      </w:r>
      <w:fldSimple w:instr=" STYLEREF 1 \s ">
        <w:r w:rsidR="0004016D">
          <w:rPr>
            <w:noProof/>
          </w:rPr>
          <w:t>5</w:t>
        </w:r>
      </w:fldSimple>
      <w:r w:rsidR="00F1144C" w:rsidRPr="00B75B77">
        <w:noBreakHyphen/>
      </w:r>
      <w:fldSimple w:instr=" SEQ Table \* ARABIC \s 1 ">
        <w:r w:rsidR="0004016D">
          <w:rPr>
            <w:noProof/>
          </w:rPr>
          <w:t>5</w:t>
        </w:r>
      </w:fldSimple>
      <w:bookmarkEnd w:id="458"/>
      <w:r w:rsidRPr="00B75B77">
        <w:t>: Smart Usage Profile Process Sampling Strategy for PY7</w:t>
      </w:r>
      <w:bookmarkEnd w:id="459"/>
      <w:r w:rsidRPr="00B75B77">
        <w:t xml:space="preserve"> </w:t>
      </w:r>
    </w:p>
    <w:tbl>
      <w:tblPr>
        <w:tblW w:w="9717" w:type="dxa"/>
        <w:tblLook w:val="04A0" w:firstRow="1" w:lastRow="0" w:firstColumn="1" w:lastColumn="0" w:noHBand="0" w:noVBand="1"/>
      </w:tblPr>
      <w:tblGrid>
        <w:gridCol w:w="1255"/>
        <w:gridCol w:w="1202"/>
        <w:gridCol w:w="1048"/>
        <w:gridCol w:w="1030"/>
        <w:gridCol w:w="1056"/>
        <w:gridCol w:w="794"/>
        <w:gridCol w:w="905"/>
        <w:gridCol w:w="1075"/>
        <w:gridCol w:w="1352"/>
      </w:tblGrid>
      <w:tr w:rsidR="00811E5F" w:rsidRPr="00B75B77" w:rsidTr="00D51D10">
        <w:trPr>
          <w:divId w:val="1551768375"/>
          <w:trHeight w:val="480"/>
        </w:trPr>
        <w:tc>
          <w:tcPr>
            <w:tcW w:w="1255" w:type="dxa"/>
            <w:tcBorders>
              <w:top w:val="single" w:sz="4" w:space="0" w:color="auto"/>
              <w:left w:val="single" w:sz="4" w:space="0" w:color="auto"/>
              <w:bottom w:val="single" w:sz="4" w:space="0" w:color="auto"/>
              <w:right w:val="single" w:sz="4" w:space="0" w:color="auto"/>
            </w:tcBorders>
            <w:shd w:val="clear" w:color="000000" w:fill="448A99"/>
            <w:vAlign w:val="center"/>
            <w:hideMark/>
          </w:tcPr>
          <w:p w:rsidR="00811E5F" w:rsidRPr="00B75B77" w:rsidRDefault="00811E5F" w:rsidP="00D51D10">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Target Group </w:t>
            </w:r>
          </w:p>
        </w:tc>
        <w:tc>
          <w:tcPr>
            <w:tcW w:w="1202" w:type="dxa"/>
            <w:tcBorders>
              <w:top w:val="single" w:sz="4" w:space="0" w:color="auto"/>
              <w:left w:val="nil"/>
              <w:bottom w:val="single" w:sz="4" w:space="0" w:color="auto"/>
              <w:right w:val="single" w:sz="4" w:space="0" w:color="auto"/>
            </w:tcBorders>
            <w:shd w:val="clear" w:color="000000" w:fill="448A99"/>
            <w:vAlign w:val="center"/>
            <w:hideMark/>
          </w:tcPr>
          <w:p w:rsidR="00811E5F" w:rsidRPr="00B75B77" w:rsidRDefault="00811E5F" w:rsidP="00811E5F">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Stratum Boundaries</w:t>
            </w:r>
            <w:r w:rsidRPr="00B75B77">
              <w:rPr>
                <w:rFonts w:ascii="Calibri" w:eastAsia="Times New Roman" w:hAnsi="Calibri"/>
                <w:b/>
                <w:bCs/>
                <w:color w:val="FFFFFF"/>
                <w:sz w:val="18"/>
                <w:szCs w:val="18"/>
                <w:vertAlign w:val="superscript"/>
              </w:rPr>
              <w:t>[1]</w:t>
            </w:r>
            <w:r w:rsidRPr="00B75B77">
              <w:rPr>
                <w:rFonts w:ascii="Calibri" w:eastAsia="Times New Roman" w:hAnsi="Calibri"/>
                <w:b/>
                <w:bCs/>
                <w:color w:val="FFFFFF"/>
                <w:sz w:val="18"/>
                <w:szCs w:val="18"/>
              </w:rPr>
              <w:t xml:space="preserve"> </w:t>
            </w:r>
          </w:p>
        </w:tc>
        <w:tc>
          <w:tcPr>
            <w:tcW w:w="1048" w:type="dxa"/>
            <w:tcBorders>
              <w:top w:val="single" w:sz="4" w:space="0" w:color="auto"/>
              <w:left w:val="nil"/>
              <w:bottom w:val="single" w:sz="4" w:space="0" w:color="auto"/>
              <w:right w:val="single" w:sz="4" w:space="0" w:color="auto"/>
            </w:tcBorders>
            <w:shd w:val="clear" w:color="000000" w:fill="448A99"/>
            <w:vAlign w:val="center"/>
            <w:hideMark/>
          </w:tcPr>
          <w:p w:rsidR="00811E5F" w:rsidRPr="00B75B77" w:rsidRDefault="00811E5F" w:rsidP="00811E5F">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Population Size</w:t>
            </w:r>
          </w:p>
        </w:tc>
        <w:tc>
          <w:tcPr>
            <w:tcW w:w="1030" w:type="dxa"/>
            <w:tcBorders>
              <w:top w:val="single" w:sz="4" w:space="0" w:color="auto"/>
              <w:left w:val="nil"/>
              <w:bottom w:val="single" w:sz="4" w:space="0" w:color="auto"/>
              <w:right w:val="single" w:sz="4" w:space="0" w:color="auto"/>
            </w:tcBorders>
            <w:shd w:val="clear" w:color="000000" w:fill="448A99"/>
            <w:vAlign w:val="center"/>
            <w:hideMark/>
          </w:tcPr>
          <w:p w:rsidR="00811E5F" w:rsidRPr="00B75B77" w:rsidRDefault="00811E5F" w:rsidP="00811E5F">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Assumed Proportion or CV in Sample Design</w:t>
            </w:r>
            <w:r w:rsidRPr="00B75B77">
              <w:rPr>
                <w:rFonts w:ascii="Calibri" w:eastAsia="Times New Roman" w:hAnsi="Calibri"/>
                <w:b/>
                <w:bCs/>
                <w:color w:val="FFFFFF"/>
                <w:sz w:val="18"/>
                <w:szCs w:val="18"/>
                <w:vertAlign w:val="superscript"/>
              </w:rPr>
              <w:t>[1]</w:t>
            </w:r>
          </w:p>
        </w:tc>
        <w:tc>
          <w:tcPr>
            <w:tcW w:w="1056" w:type="dxa"/>
            <w:tcBorders>
              <w:top w:val="single" w:sz="4" w:space="0" w:color="auto"/>
              <w:left w:val="nil"/>
              <w:bottom w:val="single" w:sz="4" w:space="0" w:color="auto"/>
              <w:right w:val="single" w:sz="4" w:space="0" w:color="auto"/>
            </w:tcBorders>
            <w:shd w:val="clear" w:color="000000" w:fill="448A99"/>
            <w:vAlign w:val="center"/>
            <w:hideMark/>
          </w:tcPr>
          <w:p w:rsidR="00811E5F" w:rsidRPr="00B75B77" w:rsidRDefault="00811E5F" w:rsidP="00811E5F">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Assumed Levels of Confidence </w:t>
            </w:r>
            <w:r w:rsidR="00D51D10" w:rsidRPr="00B75B77">
              <w:rPr>
                <w:rFonts w:ascii="Calibri" w:eastAsia="Times New Roman" w:hAnsi="Calibri"/>
                <w:b/>
                <w:bCs/>
                <w:color w:val="FFFFFF"/>
                <w:sz w:val="18"/>
                <w:szCs w:val="18"/>
              </w:rPr>
              <w:t>and</w:t>
            </w:r>
            <w:r w:rsidRPr="00B75B77">
              <w:rPr>
                <w:rFonts w:ascii="Calibri" w:eastAsia="Times New Roman" w:hAnsi="Calibri"/>
                <w:b/>
                <w:bCs/>
                <w:color w:val="FFFFFF"/>
                <w:sz w:val="18"/>
                <w:szCs w:val="18"/>
              </w:rPr>
              <w:t xml:space="preserve"> Precision</w:t>
            </w:r>
            <w:r w:rsidRPr="00B75B77">
              <w:rPr>
                <w:rFonts w:ascii="Calibri" w:eastAsia="Times New Roman" w:hAnsi="Calibri"/>
                <w:b/>
                <w:bCs/>
                <w:color w:val="FFFFFF"/>
                <w:sz w:val="18"/>
                <w:szCs w:val="18"/>
                <w:vertAlign w:val="superscript"/>
              </w:rPr>
              <w:t>[1]</w:t>
            </w:r>
          </w:p>
        </w:tc>
        <w:tc>
          <w:tcPr>
            <w:tcW w:w="794" w:type="dxa"/>
            <w:tcBorders>
              <w:top w:val="single" w:sz="4" w:space="0" w:color="auto"/>
              <w:left w:val="nil"/>
              <w:bottom w:val="single" w:sz="4" w:space="0" w:color="auto"/>
              <w:right w:val="single" w:sz="4" w:space="0" w:color="auto"/>
            </w:tcBorders>
            <w:shd w:val="clear" w:color="000000" w:fill="448A99"/>
            <w:vAlign w:val="center"/>
            <w:hideMark/>
          </w:tcPr>
          <w:p w:rsidR="00811E5F" w:rsidRPr="00B75B77" w:rsidRDefault="00811E5F" w:rsidP="00811E5F">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Target Sample Size</w:t>
            </w:r>
          </w:p>
        </w:tc>
        <w:tc>
          <w:tcPr>
            <w:tcW w:w="905" w:type="dxa"/>
            <w:tcBorders>
              <w:top w:val="single" w:sz="4" w:space="0" w:color="auto"/>
              <w:left w:val="nil"/>
              <w:bottom w:val="single" w:sz="4" w:space="0" w:color="auto"/>
              <w:right w:val="single" w:sz="6" w:space="0" w:color="auto"/>
            </w:tcBorders>
            <w:shd w:val="clear" w:color="000000" w:fill="448A99"/>
            <w:vAlign w:val="center"/>
            <w:hideMark/>
          </w:tcPr>
          <w:p w:rsidR="00811E5F" w:rsidRPr="00B75B77" w:rsidRDefault="00811E5F" w:rsidP="00811E5F">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Achieved Sample Size</w:t>
            </w:r>
          </w:p>
        </w:tc>
        <w:tc>
          <w:tcPr>
            <w:tcW w:w="1075" w:type="dxa"/>
            <w:tcBorders>
              <w:top w:val="single" w:sz="6" w:space="0" w:color="auto"/>
              <w:left w:val="single" w:sz="6" w:space="0" w:color="auto"/>
              <w:bottom w:val="single" w:sz="6" w:space="0" w:color="auto"/>
              <w:right w:val="single" w:sz="6" w:space="0" w:color="auto"/>
            </w:tcBorders>
            <w:shd w:val="clear" w:color="000000" w:fill="448A99"/>
            <w:vAlign w:val="center"/>
            <w:hideMark/>
          </w:tcPr>
          <w:p w:rsidR="00811E5F" w:rsidRPr="00B75B77" w:rsidRDefault="00237810" w:rsidP="00811E5F">
            <w:pPr>
              <w:jc w:val="center"/>
              <w:rPr>
                <w:rFonts w:ascii="Calibri" w:eastAsia="Times New Roman" w:hAnsi="Calibri"/>
                <w:b/>
                <w:bCs/>
                <w:color w:val="FFFFFF"/>
                <w:sz w:val="18"/>
                <w:szCs w:val="18"/>
              </w:rPr>
            </w:pPr>
            <w:hyperlink r:id="rId60" w:anchor="RANGE!_ftn1" w:history="1">
              <w:r w:rsidR="00811E5F" w:rsidRPr="00B75B77">
                <w:rPr>
                  <w:b/>
                  <w:color w:val="FFFFFF" w:themeColor="background1"/>
                  <w:sz w:val="18"/>
                  <w:szCs w:val="18"/>
                </w:rPr>
                <w:t>Percent</w:t>
              </w:r>
              <w:r w:rsidR="00D51D10" w:rsidRPr="00B75B77">
                <w:rPr>
                  <w:b/>
                  <w:color w:val="FFFFFF" w:themeColor="background1"/>
                  <w:sz w:val="18"/>
                  <w:szCs w:val="18"/>
                </w:rPr>
                <w:t>age</w:t>
              </w:r>
              <w:r w:rsidR="00811E5F" w:rsidRPr="00B75B77">
                <w:rPr>
                  <w:rFonts w:ascii="Calibri" w:eastAsia="Times New Roman" w:hAnsi="Calibri"/>
                  <w:b/>
                  <w:bCs/>
                  <w:color w:val="FFFFFF" w:themeColor="background1"/>
                  <w:sz w:val="18"/>
                  <w:szCs w:val="18"/>
                </w:rPr>
                <w:t xml:space="preserve"> of Sample Frame Contacted to Achieve Sample</w:t>
              </w:r>
            </w:hyperlink>
          </w:p>
        </w:tc>
        <w:tc>
          <w:tcPr>
            <w:tcW w:w="1352" w:type="dxa"/>
            <w:tcBorders>
              <w:top w:val="single" w:sz="6" w:space="0" w:color="auto"/>
              <w:left w:val="single" w:sz="6" w:space="0" w:color="auto"/>
              <w:bottom w:val="single" w:sz="6" w:space="0" w:color="auto"/>
              <w:right w:val="single" w:sz="6" w:space="0" w:color="auto"/>
            </w:tcBorders>
            <w:shd w:val="clear" w:color="000000" w:fill="448A99"/>
            <w:vAlign w:val="center"/>
            <w:hideMark/>
          </w:tcPr>
          <w:p w:rsidR="00811E5F" w:rsidRPr="00B75B77" w:rsidRDefault="00811E5F" w:rsidP="00D51D10">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Used </w:t>
            </w:r>
            <w:r w:rsidR="002E0AE7" w:rsidRPr="00B75B77">
              <w:rPr>
                <w:rFonts w:ascii="Calibri" w:eastAsia="Times New Roman" w:hAnsi="Calibri"/>
                <w:b/>
                <w:bCs/>
                <w:color w:val="FFFFFF"/>
                <w:sz w:val="18"/>
                <w:szCs w:val="18"/>
              </w:rPr>
              <w:t>f</w:t>
            </w:r>
            <w:r w:rsidRPr="00B75B77">
              <w:rPr>
                <w:rFonts w:ascii="Calibri" w:eastAsia="Times New Roman" w:hAnsi="Calibri"/>
                <w:b/>
                <w:bCs/>
                <w:color w:val="FFFFFF"/>
                <w:sz w:val="18"/>
                <w:szCs w:val="18"/>
              </w:rPr>
              <w:t>or Evaluation Activities (Impact, Process, NTG)</w:t>
            </w:r>
          </w:p>
        </w:tc>
      </w:tr>
      <w:tr w:rsidR="00811E5F" w:rsidRPr="00B75B77" w:rsidTr="00D51D10">
        <w:trPr>
          <w:divId w:val="1551768375"/>
          <w:trHeight w:val="288"/>
        </w:trPr>
        <w:tc>
          <w:tcPr>
            <w:tcW w:w="1255" w:type="dxa"/>
            <w:tcBorders>
              <w:top w:val="nil"/>
              <w:left w:val="single" w:sz="4" w:space="0" w:color="448A99"/>
              <w:bottom w:val="single" w:sz="4" w:space="0" w:color="448A99"/>
              <w:right w:val="single" w:sz="4" w:space="0" w:color="448A99"/>
            </w:tcBorders>
            <w:shd w:val="clear" w:color="000000" w:fill="D2EAF1"/>
            <w:vAlign w:val="center"/>
            <w:hideMark/>
          </w:tcPr>
          <w:p w:rsidR="00811E5F" w:rsidRPr="00B75B77" w:rsidRDefault="00811E5F" w:rsidP="00D51D10">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Program Staff</w:t>
            </w:r>
          </w:p>
        </w:tc>
        <w:tc>
          <w:tcPr>
            <w:tcW w:w="1202" w:type="dxa"/>
            <w:tcBorders>
              <w:top w:val="nil"/>
              <w:left w:val="nil"/>
              <w:bottom w:val="single" w:sz="4" w:space="0" w:color="448A99"/>
              <w:right w:val="single" w:sz="4" w:space="0" w:color="448A99"/>
            </w:tcBorders>
            <w:shd w:val="clear" w:color="000000" w:fill="D2EAF1"/>
            <w:vAlign w:val="center"/>
            <w:hideMark/>
          </w:tcPr>
          <w:p w:rsidR="00811E5F" w:rsidRPr="00B75B77" w:rsidRDefault="00811E5F"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048" w:type="dxa"/>
            <w:tcBorders>
              <w:top w:val="nil"/>
              <w:left w:val="nil"/>
              <w:bottom w:val="single" w:sz="4" w:space="0" w:color="448A99"/>
              <w:right w:val="single" w:sz="4" w:space="0" w:color="448A99"/>
            </w:tcBorders>
            <w:shd w:val="clear" w:color="000000" w:fill="D2EAF1"/>
            <w:vAlign w:val="center"/>
            <w:hideMark/>
          </w:tcPr>
          <w:p w:rsidR="00811E5F" w:rsidRPr="00B75B77" w:rsidRDefault="00811E5F"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1</w:t>
            </w:r>
          </w:p>
        </w:tc>
        <w:tc>
          <w:tcPr>
            <w:tcW w:w="1030" w:type="dxa"/>
            <w:tcBorders>
              <w:top w:val="nil"/>
              <w:left w:val="nil"/>
              <w:bottom w:val="single" w:sz="4" w:space="0" w:color="448A99"/>
              <w:right w:val="single" w:sz="4" w:space="0" w:color="448A99"/>
            </w:tcBorders>
            <w:shd w:val="clear" w:color="000000" w:fill="D2EAF1"/>
            <w:vAlign w:val="center"/>
            <w:hideMark/>
          </w:tcPr>
          <w:p w:rsidR="00811E5F" w:rsidRPr="00B75B77" w:rsidRDefault="00811E5F"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056" w:type="dxa"/>
            <w:tcBorders>
              <w:top w:val="nil"/>
              <w:left w:val="nil"/>
              <w:bottom w:val="single" w:sz="4" w:space="0" w:color="448A99"/>
              <w:right w:val="single" w:sz="4" w:space="0" w:color="448A99"/>
            </w:tcBorders>
            <w:shd w:val="clear" w:color="000000" w:fill="D2EAF1"/>
            <w:vAlign w:val="center"/>
            <w:hideMark/>
          </w:tcPr>
          <w:p w:rsidR="00811E5F" w:rsidRPr="00B75B77" w:rsidRDefault="00811E5F"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794" w:type="dxa"/>
            <w:tcBorders>
              <w:top w:val="nil"/>
              <w:left w:val="nil"/>
              <w:bottom w:val="single" w:sz="4" w:space="0" w:color="448A99"/>
              <w:right w:val="single" w:sz="4" w:space="0" w:color="448A99"/>
            </w:tcBorders>
            <w:shd w:val="clear" w:color="000000" w:fill="D2EAF1"/>
            <w:vAlign w:val="center"/>
            <w:hideMark/>
          </w:tcPr>
          <w:p w:rsidR="00811E5F" w:rsidRPr="00B75B77" w:rsidRDefault="00811E5F"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1</w:t>
            </w:r>
          </w:p>
        </w:tc>
        <w:tc>
          <w:tcPr>
            <w:tcW w:w="905" w:type="dxa"/>
            <w:tcBorders>
              <w:top w:val="nil"/>
              <w:left w:val="nil"/>
              <w:bottom w:val="single" w:sz="4" w:space="0" w:color="448A99"/>
              <w:right w:val="single" w:sz="4" w:space="0" w:color="448A99"/>
            </w:tcBorders>
            <w:shd w:val="clear" w:color="000000" w:fill="D2EAF1"/>
            <w:vAlign w:val="center"/>
            <w:hideMark/>
          </w:tcPr>
          <w:p w:rsidR="00811E5F" w:rsidRPr="00B75B77" w:rsidRDefault="00811E5F"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1</w:t>
            </w:r>
          </w:p>
        </w:tc>
        <w:tc>
          <w:tcPr>
            <w:tcW w:w="1075" w:type="dxa"/>
            <w:tcBorders>
              <w:top w:val="single" w:sz="6" w:space="0" w:color="auto"/>
              <w:left w:val="nil"/>
              <w:bottom w:val="single" w:sz="4" w:space="0" w:color="448A99"/>
              <w:right w:val="single" w:sz="4" w:space="0" w:color="448A99"/>
            </w:tcBorders>
            <w:shd w:val="clear" w:color="000000" w:fill="D2EAF1"/>
            <w:vAlign w:val="center"/>
            <w:hideMark/>
          </w:tcPr>
          <w:p w:rsidR="00811E5F" w:rsidRPr="00B75B77" w:rsidRDefault="00811E5F"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100%</w:t>
            </w:r>
          </w:p>
        </w:tc>
        <w:tc>
          <w:tcPr>
            <w:tcW w:w="1352" w:type="dxa"/>
            <w:tcBorders>
              <w:top w:val="single" w:sz="6" w:space="0" w:color="auto"/>
              <w:left w:val="nil"/>
              <w:bottom w:val="single" w:sz="4" w:space="0" w:color="448A99"/>
              <w:right w:val="single" w:sz="4" w:space="0" w:color="448A99"/>
            </w:tcBorders>
            <w:shd w:val="clear" w:color="000000" w:fill="D2EAF1"/>
            <w:vAlign w:val="center"/>
            <w:hideMark/>
          </w:tcPr>
          <w:p w:rsidR="00811E5F" w:rsidRPr="00B75B77" w:rsidRDefault="00811E5F" w:rsidP="00D51D10">
            <w:pPr>
              <w:jc w:val="left"/>
              <w:rPr>
                <w:rFonts w:ascii="Calibri" w:eastAsia="Times New Roman" w:hAnsi="Calibri"/>
                <w:color w:val="000000"/>
                <w:sz w:val="18"/>
                <w:szCs w:val="18"/>
              </w:rPr>
            </w:pPr>
            <w:r w:rsidRPr="00B75B77">
              <w:rPr>
                <w:rFonts w:ascii="Calibri" w:eastAsia="Times New Roman" w:hAnsi="Calibri"/>
                <w:color w:val="000000"/>
                <w:sz w:val="18"/>
                <w:szCs w:val="18"/>
              </w:rPr>
              <w:t>Process</w:t>
            </w:r>
            <w:r w:rsidR="00D51D10" w:rsidRPr="00B75B77">
              <w:rPr>
                <w:rFonts w:ascii="Calibri" w:eastAsia="Times New Roman" w:hAnsi="Calibri"/>
                <w:color w:val="000000"/>
                <w:sz w:val="18"/>
                <w:szCs w:val="18"/>
              </w:rPr>
              <w:t>: S</w:t>
            </w:r>
            <w:r w:rsidRPr="00B75B77">
              <w:rPr>
                <w:rFonts w:ascii="Calibri" w:eastAsia="Times New Roman" w:hAnsi="Calibri"/>
                <w:color w:val="000000"/>
                <w:sz w:val="18"/>
                <w:szCs w:val="18"/>
              </w:rPr>
              <w:t xml:space="preserve">taff </w:t>
            </w:r>
            <w:r w:rsidR="00D51D10" w:rsidRPr="00B75B77">
              <w:rPr>
                <w:rFonts w:ascii="Calibri" w:eastAsia="Times New Roman" w:hAnsi="Calibri"/>
                <w:color w:val="000000"/>
                <w:sz w:val="18"/>
                <w:szCs w:val="18"/>
              </w:rPr>
              <w:t>i</w:t>
            </w:r>
            <w:r w:rsidRPr="00B75B77">
              <w:rPr>
                <w:rFonts w:ascii="Calibri" w:eastAsia="Times New Roman" w:hAnsi="Calibri"/>
                <w:color w:val="000000"/>
                <w:sz w:val="18"/>
                <w:szCs w:val="18"/>
              </w:rPr>
              <w:t>nterview</w:t>
            </w:r>
          </w:p>
        </w:tc>
      </w:tr>
      <w:tr w:rsidR="00811E5F" w:rsidRPr="00B75B77" w:rsidTr="00611295">
        <w:trPr>
          <w:divId w:val="1551768375"/>
          <w:trHeight w:val="288"/>
        </w:trPr>
        <w:tc>
          <w:tcPr>
            <w:tcW w:w="1255" w:type="dxa"/>
            <w:tcBorders>
              <w:top w:val="nil"/>
              <w:left w:val="single" w:sz="4" w:space="0" w:color="448A99"/>
              <w:bottom w:val="single" w:sz="4" w:space="0" w:color="448A99"/>
              <w:right w:val="single" w:sz="4" w:space="0" w:color="448A99"/>
            </w:tcBorders>
            <w:shd w:val="clear" w:color="000000" w:fill="FFFFFF"/>
            <w:vAlign w:val="center"/>
            <w:hideMark/>
          </w:tcPr>
          <w:p w:rsidR="00811E5F" w:rsidRPr="00B75B77" w:rsidRDefault="00811E5F" w:rsidP="00D51D10">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Implementer Staff</w:t>
            </w:r>
          </w:p>
        </w:tc>
        <w:tc>
          <w:tcPr>
            <w:tcW w:w="1202" w:type="dxa"/>
            <w:tcBorders>
              <w:top w:val="nil"/>
              <w:left w:val="nil"/>
              <w:bottom w:val="single" w:sz="4" w:space="0" w:color="448A99"/>
              <w:right w:val="single" w:sz="4" w:space="0" w:color="448A99"/>
            </w:tcBorders>
            <w:shd w:val="clear" w:color="000000" w:fill="FFFFFF"/>
            <w:vAlign w:val="center"/>
            <w:hideMark/>
          </w:tcPr>
          <w:p w:rsidR="00811E5F" w:rsidRPr="00B75B77" w:rsidRDefault="00811E5F"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048" w:type="dxa"/>
            <w:tcBorders>
              <w:top w:val="nil"/>
              <w:left w:val="nil"/>
              <w:bottom w:val="single" w:sz="4" w:space="0" w:color="448A99"/>
              <w:right w:val="single" w:sz="4" w:space="0" w:color="448A99"/>
            </w:tcBorders>
            <w:shd w:val="clear" w:color="000000" w:fill="FFFFFF"/>
            <w:vAlign w:val="center"/>
            <w:hideMark/>
          </w:tcPr>
          <w:p w:rsidR="00811E5F" w:rsidRPr="00B75B77" w:rsidRDefault="00811E5F"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1</w:t>
            </w:r>
          </w:p>
        </w:tc>
        <w:tc>
          <w:tcPr>
            <w:tcW w:w="1030" w:type="dxa"/>
            <w:tcBorders>
              <w:top w:val="nil"/>
              <w:left w:val="nil"/>
              <w:bottom w:val="single" w:sz="4" w:space="0" w:color="448A99"/>
              <w:right w:val="single" w:sz="4" w:space="0" w:color="448A99"/>
            </w:tcBorders>
            <w:shd w:val="clear" w:color="000000" w:fill="FFFFFF"/>
            <w:vAlign w:val="center"/>
            <w:hideMark/>
          </w:tcPr>
          <w:p w:rsidR="00811E5F" w:rsidRPr="00B75B77" w:rsidRDefault="00811E5F"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056" w:type="dxa"/>
            <w:tcBorders>
              <w:top w:val="nil"/>
              <w:left w:val="nil"/>
              <w:bottom w:val="single" w:sz="4" w:space="0" w:color="448A99"/>
              <w:right w:val="single" w:sz="4" w:space="0" w:color="448A99"/>
            </w:tcBorders>
            <w:shd w:val="clear" w:color="000000" w:fill="FFFFFF"/>
            <w:vAlign w:val="center"/>
            <w:hideMark/>
          </w:tcPr>
          <w:p w:rsidR="00811E5F" w:rsidRPr="00B75B77" w:rsidRDefault="00811E5F"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794" w:type="dxa"/>
            <w:tcBorders>
              <w:top w:val="nil"/>
              <w:left w:val="nil"/>
              <w:bottom w:val="single" w:sz="4" w:space="0" w:color="448A99"/>
              <w:right w:val="single" w:sz="4" w:space="0" w:color="448A99"/>
            </w:tcBorders>
            <w:shd w:val="clear" w:color="000000" w:fill="FFFFFF"/>
            <w:vAlign w:val="center"/>
            <w:hideMark/>
          </w:tcPr>
          <w:p w:rsidR="00811E5F" w:rsidRPr="00B75B77" w:rsidRDefault="00811E5F"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1</w:t>
            </w:r>
          </w:p>
        </w:tc>
        <w:tc>
          <w:tcPr>
            <w:tcW w:w="905" w:type="dxa"/>
            <w:tcBorders>
              <w:top w:val="nil"/>
              <w:left w:val="nil"/>
              <w:bottom w:val="single" w:sz="4" w:space="0" w:color="448A99"/>
              <w:right w:val="single" w:sz="4" w:space="0" w:color="448A99"/>
            </w:tcBorders>
            <w:shd w:val="clear" w:color="000000" w:fill="FFFFFF"/>
            <w:vAlign w:val="center"/>
            <w:hideMark/>
          </w:tcPr>
          <w:p w:rsidR="00811E5F" w:rsidRPr="00B75B77" w:rsidRDefault="00811E5F"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1</w:t>
            </w:r>
          </w:p>
        </w:tc>
        <w:tc>
          <w:tcPr>
            <w:tcW w:w="1075" w:type="dxa"/>
            <w:tcBorders>
              <w:top w:val="nil"/>
              <w:left w:val="nil"/>
              <w:bottom w:val="single" w:sz="4" w:space="0" w:color="448A99"/>
              <w:right w:val="single" w:sz="4" w:space="0" w:color="448A99"/>
            </w:tcBorders>
            <w:shd w:val="clear" w:color="000000" w:fill="FFFFFF"/>
            <w:vAlign w:val="center"/>
            <w:hideMark/>
          </w:tcPr>
          <w:p w:rsidR="00811E5F" w:rsidRPr="00B75B77" w:rsidRDefault="00811E5F"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100%</w:t>
            </w:r>
          </w:p>
        </w:tc>
        <w:tc>
          <w:tcPr>
            <w:tcW w:w="1352" w:type="dxa"/>
            <w:tcBorders>
              <w:top w:val="nil"/>
              <w:left w:val="nil"/>
              <w:bottom w:val="single" w:sz="4" w:space="0" w:color="448A99"/>
              <w:right w:val="single" w:sz="4" w:space="0" w:color="448A99"/>
            </w:tcBorders>
            <w:shd w:val="clear" w:color="000000" w:fill="FFFFFF"/>
            <w:vAlign w:val="center"/>
            <w:hideMark/>
          </w:tcPr>
          <w:p w:rsidR="00811E5F" w:rsidRPr="00B75B77" w:rsidRDefault="00811E5F" w:rsidP="00D51D10">
            <w:pPr>
              <w:jc w:val="left"/>
              <w:rPr>
                <w:rFonts w:ascii="Calibri" w:eastAsia="Times New Roman" w:hAnsi="Calibri"/>
                <w:color w:val="000000"/>
                <w:sz w:val="18"/>
                <w:szCs w:val="18"/>
              </w:rPr>
            </w:pPr>
            <w:r w:rsidRPr="00B75B77">
              <w:rPr>
                <w:rFonts w:ascii="Calibri" w:eastAsia="Times New Roman" w:hAnsi="Calibri"/>
                <w:color w:val="000000"/>
                <w:sz w:val="18"/>
                <w:szCs w:val="18"/>
              </w:rPr>
              <w:t>Process</w:t>
            </w:r>
            <w:r w:rsidR="00D51D10" w:rsidRPr="00B75B77">
              <w:rPr>
                <w:rFonts w:ascii="Calibri" w:eastAsia="Times New Roman" w:hAnsi="Calibri"/>
                <w:color w:val="000000"/>
                <w:sz w:val="18"/>
                <w:szCs w:val="18"/>
              </w:rPr>
              <w:t>: I</w:t>
            </w:r>
            <w:r w:rsidRPr="00B75B77">
              <w:rPr>
                <w:rFonts w:ascii="Calibri" w:eastAsia="Times New Roman" w:hAnsi="Calibri"/>
                <w:color w:val="000000"/>
                <w:sz w:val="18"/>
                <w:szCs w:val="18"/>
              </w:rPr>
              <w:t xml:space="preserve">mplementer </w:t>
            </w:r>
            <w:r w:rsidR="00D51D10" w:rsidRPr="00B75B77">
              <w:rPr>
                <w:rFonts w:ascii="Calibri" w:eastAsia="Times New Roman" w:hAnsi="Calibri"/>
                <w:color w:val="000000"/>
                <w:sz w:val="18"/>
                <w:szCs w:val="18"/>
              </w:rPr>
              <w:t>i</w:t>
            </w:r>
            <w:r w:rsidRPr="00B75B77">
              <w:rPr>
                <w:rFonts w:ascii="Calibri" w:eastAsia="Times New Roman" w:hAnsi="Calibri"/>
                <w:color w:val="000000"/>
                <w:sz w:val="18"/>
                <w:szCs w:val="18"/>
              </w:rPr>
              <w:t>nterview</w:t>
            </w:r>
          </w:p>
        </w:tc>
      </w:tr>
      <w:tr w:rsidR="00811E5F" w:rsidRPr="00B75B77" w:rsidTr="009D186E">
        <w:trPr>
          <w:divId w:val="1551768375"/>
          <w:trHeight w:val="288"/>
        </w:trPr>
        <w:tc>
          <w:tcPr>
            <w:tcW w:w="1255" w:type="dxa"/>
            <w:tcBorders>
              <w:top w:val="single" w:sz="4" w:space="0" w:color="448A99"/>
              <w:left w:val="single" w:sz="4" w:space="0" w:color="448A99"/>
              <w:bottom w:val="single" w:sz="4" w:space="0" w:color="448A99"/>
              <w:right w:val="single" w:sz="4" w:space="0" w:color="448A99"/>
            </w:tcBorders>
            <w:shd w:val="clear" w:color="000000" w:fill="D2EAF1"/>
            <w:vAlign w:val="center"/>
            <w:hideMark/>
          </w:tcPr>
          <w:p w:rsidR="00811E5F" w:rsidRPr="00B75B77" w:rsidRDefault="00D51D10" w:rsidP="00D51D10">
            <w:pPr>
              <w:jc w:val="left"/>
              <w:rPr>
                <w:rFonts w:ascii="Calibri" w:eastAsia="Times New Roman" w:hAnsi="Calibri"/>
                <w:b/>
                <w:color w:val="000000"/>
                <w:sz w:val="18"/>
                <w:szCs w:val="18"/>
              </w:rPr>
            </w:pPr>
            <w:r w:rsidRPr="00B75B77">
              <w:rPr>
                <w:rFonts w:ascii="Calibri" w:eastAsia="Times New Roman" w:hAnsi="Calibri"/>
                <w:b/>
                <w:color w:val="000000"/>
                <w:sz w:val="18"/>
                <w:szCs w:val="18"/>
              </w:rPr>
              <w:t>PROGRAM TOTAL</w:t>
            </w:r>
          </w:p>
        </w:tc>
        <w:tc>
          <w:tcPr>
            <w:tcW w:w="1202" w:type="dxa"/>
            <w:tcBorders>
              <w:top w:val="single" w:sz="4" w:space="0" w:color="448A99"/>
              <w:left w:val="nil"/>
              <w:bottom w:val="single" w:sz="4" w:space="0" w:color="448A99"/>
              <w:right w:val="single" w:sz="4" w:space="0" w:color="448A99"/>
            </w:tcBorders>
            <w:shd w:val="clear" w:color="000000" w:fill="D2EAF1"/>
            <w:vAlign w:val="center"/>
            <w:hideMark/>
          </w:tcPr>
          <w:p w:rsidR="00811E5F" w:rsidRPr="00B75B77" w:rsidRDefault="009D186E" w:rsidP="00811E5F">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N/A</w:t>
            </w:r>
            <w:r w:rsidR="00811E5F" w:rsidRPr="00B75B77">
              <w:rPr>
                <w:rFonts w:ascii="Calibri" w:eastAsia="Times New Roman" w:hAnsi="Calibri"/>
                <w:b/>
                <w:color w:val="000000"/>
                <w:sz w:val="18"/>
                <w:szCs w:val="18"/>
              </w:rPr>
              <w:t> </w:t>
            </w:r>
          </w:p>
        </w:tc>
        <w:tc>
          <w:tcPr>
            <w:tcW w:w="1048" w:type="dxa"/>
            <w:tcBorders>
              <w:top w:val="single" w:sz="4" w:space="0" w:color="448A99"/>
              <w:left w:val="nil"/>
              <w:bottom w:val="single" w:sz="4" w:space="0" w:color="448A99"/>
              <w:right w:val="single" w:sz="4" w:space="0" w:color="448A99"/>
            </w:tcBorders>
            <w:shd w:val="clear" w:color="000000" w:fill="D2EAF1"/>
            <w:vAlign w:val="center"/>
            <w:hideMark/>
          </w:tcPr>
          <w:p w:rsidR="00811E5F" w:rsidRPr="00B75B77" w:rsidRDefault="00811E5F" w:rsidP="00811E5F">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2</w:t>
            </w:r>
          </w:p>
        </w:tc>
        <w:tc>
          <w:tcPr>
            <w:tcW w:w="1030" w:type="dxa"/>
            <w:tcBorders>
              <w:top w:val="single" w:sz="4" w:space="0" w:color="448A99"/>
              <w:left w:val="nil"/>
              <w:bottom w:val="single" w:sz="4" w:space="0" w:color="448A99"/>
              <w:right w:val="single" w:sz="4" w:space="0" w:color="448A99"/>
            </w:tcBorders>
            <w:shd w:val="clear" w:color="000000" w:fill="D2EAF1"/>
            <w:vAlign w:val="center"/>
            <w:hideMark/>
          </w:tcPr>
          <w:p w:rsidR="00811E5F" w:rsidRPr="00B75B77" w:rsidRDefault="009D186E" w:rsidP="00811E5F">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N/A</w:t>
            </w:r>
            <w:r w:rsidR="00811E5F" w:rsidRPr="00B75B77">
              <w:rPr>
                <w:rFonts w:ascii="Calibri" w:eastAsia="Times New Roman" w:hAnsi="Calibri"/>
                <w:b/>
                <w:color w:val="000000"/>
                <w:sz w:val="18"/>
                <w:szCs w:val="18"/>
              </w:rPr>
              <w:t> </w:t>
            </w:r>
          </w:p>
        </w:tc>
        <w:tc>
          <w:tcPr>
            <w:tcW w:w="1056" w:type="dxa"/>
            <w:tcBorders>
              <w:top w:val="single" w:sz="4" w:space="0" w:color="448A99"/>
              <w:left w:val="nil"/>
              <w:bottom w:val="single" w:sz="4" w:space="0" w:color="448A99"/>
              <w:right w:val="single" w:sz="4" w:space="0" w:color="448A99"/>
            </w:tcBorders>
            <w:shd w:val="clear" w:color="000000" w:fill="D2EAF1"/>
            <w:vAlign w:val="center"/>
            <w:hideMark/>
          </w:tcPr>
          <w:p w:rsidR="00811E5F" w:rsidRPr="00B75B77" w:rsidRDefault="009D186E" w:rsidP="00811E5F">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N/A</w:t>
            </w:r>
            <w:r w:rsidR="00811E5F" w:rsidRPr="00B75B77">
              <w:rPr>
                <w:rFonts w:ascii="Calibri" w:eastAsia="Times New Roman" w:hAnsi="Calibri"/>
                <w:b/>
                <w:color w:val="000000"/>
                <w:sz w:val="18"/>
                <w:szCs w:val="18"/>
              </w:rPr>
              <w:t> </w:t>
            </w:r>
          </w:p>
        </w:tc>
        <w:tc>
          <w:tcPr>
            <w:tcW w:w="794" w:type="dxa"/>
            <w:tcBorders>
              <w:top w:val="single" w:sz="4" w:space="0" w:color="448A99"/>
              <w:left w:val="nil"/>
              <w:bottom w:val="single" w:sz="4" w:space="0" w:color="448A99"/>
              <w:right w:val="single" w:sz="4" w:space="0" w:color="448A99"/>
            </w:tcBorders>
            <w:shd w:val="clear" w:color="000000" w:fill="D2EAF1"/>
            <w:vAlign w:val="center"/>
            <w:hideMark/>
          </w:tcPr>
          <w:p w:rsidR="00811E5F" w:rsidRPr="00B75B77" w:rsidRDefault="00811E5F" w:rsidP="00811E5F">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2</w:t>
            </w:r>
          </w:p>
        </w:tc>
        <w:tc>
          <w:tcPr>
            <w:tcW w:w="905" w:type="dxa"/>
            <w:tcBorders>
              <w:top w:val="single" w:sz="4" w:space="0" w:color="448A99"/>
              <w:left w:val="nil"/>
              <w:bottom w:val="single" w:sz="4" w:space="0" w:color="448A99"/>
              <w:right w:val="single" w:sz="4" w:space="0" w:color="448A99"/>
            </w:tcBorders>
            <w:shd w:val="clear" w:color="000000" w:fill="D2EAF1"/>
            <w:vAlign w:val="center"/>
            <w:hideMark/>
          </w:tcPr>
          <w:p w:rsidR="00811E5F" w:rsidRPr="00B75B77" w:rsidRDefault="00811E5F" w:rsidP="00811E5F">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2</w:t>
            </w:r>
          </w:p>
        </w:tc>
        <w:tc>
          <w:tcPr>
            <w:tcW w:w="1075" w:type="dxa"/>
            <w:tcBorders>
              <w:top w:val="single" w:sz="4" w:space="0" w:color="448A99"/>
              <w:left w:val="nil"/>
              <w:bottom w:val="single" w:sz="4" w:space="0" w:color="448A99"/>
              <w:right w:val="single" w:sz="4" w:space="0" w:color="448A99"/>
            </w:tcBorders>
            <w:shd w:val="clear" w:color="000000" w:fill="D2EAF1"/>
            <w:vAlign w:val="center"/>
            <w:hideMark/>
          </w:tcPr>
          <w:p w:rsidR="00811E5F" w:rsidRPr="00B75B77" w:rsidRDefault="009D186E" w:rsidP="00811E5F">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100%</w:t>
            </w:r>
            <w:r w:rsidR="00811E5F" w:rsidRPr="00B75B77">
              <w:rPr>
                <w:rFonts w:ascii="Calibri" w:eastAsia="Times New Roman" w:hAnsi="Calibri"/>
                <w:b/>
                <w:color w:val="000000"/>
                <w:sz w:val="18"/>
                <w:szCs w:val="18"/>
              </w:rPr>
              <w:t> </w:t>
            </w:r>
          </w:p>
        </w:tc>
        <w:tc>
          <w:tcPr>
            <w:tcW w:w="1352" w:type="dxa"/>
            <w:tcBorders>
              <w:top w:val="single" w:sz="4" w:space="0" w:color="448A99"/>
              <w:left w:val="nil"/>
              <w:bottom w:val="single" w:sz="4" w:space="0" w:color="448A99"/>
              <w:right w:val="single" w:sz="4" w:space="0" w:color="448A99"/>
            </w:tcBorders>
            <w:shd w:val="clear" w:color="000000" w:fill="D2EAF1"/>
            <w:noWrap/>
            <w:vAlign w:val="center"/>
            <w:hideMark/>
          </w:tcPr>
          <w:p w:rsidR="00811E5F" w:rsidRPr="00B75B77" w:rsidRDefault="009D186E" w:rsidP="00D51D10">
            <w:pPr>
              <w:jc w:val="left"/>
              <w:rPr>
                <w:rFonts w:ascii="Calibri" w:eastAsia="Times New Roman" w:hAnsi="Calibri"/>
                <w:b/>
                <w:color w:val="000000"/>
              </w:rPr>
            </w:pPr>
            <w:r w:rsidRPr="00B75B77">
              <w:rPr>
                <w:rFonts w:ascii="Calibri" w:eastAsia="Times New Roman" w:hAnsi="Calibri"/>
                <w:b/>
                <w:color w:val="000000"/>
                <w:sz w:val="18"/>
                <w:szCs w:val="18"/>
              </w:rPr>
              <w:t>N/A</w:t>
            </w:r>
            <w:r w:rsidR="00811E5F" w:rsidRPr="00B75B77">
              <w:rPr>
                <w:rFonts w:ascii="Calibri" w:eastAsia="Times New Roman" w:hAnsi="Calibri"/>
                <w:b/>
                <w:color w:val="000000"/>
              </w:rPr>
              <w:t> </w:t>
            </w:r>
          </w:p>
        </w:tc>
      </w:tr>
    </w:tbl>
    <w:p w:rsidR="00D51D10" w:rsidRPr="00B75B77" w:rsidRDefault="00D51D10" w:rsidP="00D51D10">
      <w:pPr>
        <w:spacing w:before="20" w:after="20"/>
        <w:jc w:val="left"/>
        <w:rPr>
          <w:rFonts w:ascii="Calibri" w:eastAsia="Times New Roman" w:hAnsi="Calibri"/>
          <w:i/>
          <w:iCs/>
          <w:sz w:val="18"/>
          <w:szCs w:val="18"/>
        </w:rPr>
      </w:pPr>
      <w:r w:rsidRPr="00B75B77">
        <w:rPr>
          <w:rFonts w:ascii="Calibri" w:eastAsia="Times New Roman" w:hAnsi="Calibri"/>
          <w:bCs/>
          <w:sz w:val="18"/>
          <w:szCs w:val="18"/>
          <w:vertAlign w:val="superscript"/>
        </w:rPr>
        <w:t xml:space="preserve">[1] </w:t>
      </w:r>
      <w:r w:rsidRPr="00B75B77">
        <w:rPr>
          <w:rFonts w:ascii="Calibri" w:eastAsia="Times New Roman" w:hAnsi="Calibri"/>
          <w:bCs/>
          <w:sz w:val="18"/>
          <w:szCs w:val="18"/>
        </w:rPr>
        <w:t xml:space="preserve">The SUP process evaluation only included interviews with key program and CSP staff. No separate evaluation activity involving a sample was employed. As such, no stratification technique was required and no statistical targets were placed on these </w:t>
      </w:r>
      <w:r w:rsidR="00850C15" w:rsidRPr="00B75B77">
        <w:rPr>
          <w:rFonts w:ascii="Calibri" w:eastAsia="Times New Roman" w:hAnsi="Calibri"/>
          <w:bCs/>
          <w:sz w:val="18"/>
          <w:szCs w:val="18"/>
        </w:rPr>
        <w:t>activities</w:t>
      </w:r>
      <w:r w:rsidRPr="00B75B77">
        <w:rPr>
          <w:rFonts w:ascii="Calibri" w:eastAsia="Times New Roman" w:hAnsi="Calibri"/>
          <w:bCs/>
          <w:sz w:val="18"/>
          <w:szCs w:val="18"/>
        </w:rPr>
        <w:t>.</w:t>
      </w:r>
    </w:p>
    <w:p w:rsidR="00D51D10" w:rsidRPr="00B75B77" w:rsidRDefault="00D51D10" w:rsidP="00D51D10">
      <w:pPr>
        <w:pStyle w:val="Source"/>
        <w:spacing w:before="20" w:after="20"/>
        <w:ind w:left="0" w:firstLine="0"/>
      </w:pPr>
      <w:r w:rsidRPr="00B75B77">
        <w:rPr>
          <w:rFonts w:ascii="Calibri" w:hAnsi="Calibri"/>
          <w:i w:val="0"/>
          <w:iCs/>
          <w:szCs w:val="18"/>
        </w:rPr>
        <w:t>Note: Values in tables may not reconcile exactly with the sum of more detailed level results or previously reported results due to rounding.</w:t>
      </w:r>
    </w:p>
    <w:p w:rsidR="00811E5F" w:rsidRPr="00B75B77" w:rsidRDefault="00811E5F" w:rsidP="00D51D10">
      <w:pPr>
        <w:pStyle w:val="Source"/>
        <w:ind w:left="0" w:firstLine="0"/>
      </w:pPr>
      <w:r w:rsidRPr="00B75B77">
        <w:t>Source: Navigant analysis</w:t>
      </w:r>
    </w:p>
    <w:p w:rsidR="00811E5F" w:rsidRPr="00B75B77" w:rsidRDefault="00811E5F" w:rsidP="00811E5F">
      <w:pPr>
        <w:pStyle w:val="Heading3"/>
      </w:pPr>
      <w:bookmarkStart w:id="460" w:name="_Toc466413327"/>
      <w:r w:rsidRPr="00B75B77">
        <w:t>Process Findings and Recommendations</w:t>
      </w:r>
      <w:bookmarkEnd w:id="460"/>
      <w:r w:rsidRPr="00B75B77">
        <w:t xml:space="preserve"> </w:t>
      </w:r>
    </w:p>
    <w:p w:rsidR="00811E5F" w:rsidRPr="00B75B77" w:rsidRDefault="00811E5F" w:rsidP="00811E5F">
      <w:r w:rsidRPr="00B75B77">
        <w:t>The process evaluation included detailed interviews with PECO and</w:t>
      </w:r>
      <w:r w:rsidR="008D7483" w:rsidRPr="00B75B77">
        <w:t xml:space="preserve"> CSP</w:t>
      </w:r>
      <w:r w:rsidR="00D51D10" w:rsidRPr="00B75B77">
        <w:t xml:space="preserve"> </w:t>
      </w:r>
      <w:r w:rsidRPr="00B75B77">
        <w:t xml:space="preserve">management staff. The primary outcome of these interviews was to confirm that the SUP program is being implemented as intended and </w:t>
      </w:r>
      <w:r w:rsidR="00D51D10" w:rsidRPr="00B75B77">
        <w:t xml:space="preserve">is </w:t>
      </w:r>
      <w:r w:rsidRPr="00B75B77">
        <w:t>consistent with the program theory and logic model establish</w:t>
      </w:r>
      <w:r w:rsidR="00D51D10" w:rsidRPr="00B75B77">
        <w:t>ed</w:t>
      </w:r>
      <w:r w:rsidRPr="00B75B77">
        <w:t xml:space="preserve"> during program design. </w:t>
      </w:r>
      <w:r w:rsidRPr="00B75B77">
        <w:rPr>
          <w:color w:val="000000"/>
        </w:rPr>
        <w:t xml:space="preserve">Based on these activities and the impact evaluation results, the evaluation team developed several recommendations. These are summarized here and discussed further subsequently. </w:t>
      </w:r>
    </w:p>
    <w:p w:rsidR="00811E5F" w:rsidRPr="00B75B77" w:rsidRDefault="00811E5F" w:rsidP="00811E5F"/>
    <w:p w:rsidR="00811E5F" w:rsidRPr="00B75B77" w:rsidRDefault="00811E5F" w:rsidP="00153ECC">
      <w:pPr>
        <w:pStyle w:val="ListParagraph"/>
        <w:numPr>
          <w:ilvl w:val="0"/>
          <w:numId w:val="25"/>
        </w:numPr>
        <w:spacing w:after="120"/>
        <w:ind w:left="720" w:hanging="360"/>
        <w:contextualSpacing w:val="0"/>
        <w:jc w:val="left"/>
      </w:pPr>
      <w:r w:rsidRPr="00B75B77">
        <w:rPr>
          <w:b/>
        </w:rPr>
        <w:t xml:space="preserve">Finding: </w:t>
      </w:r>
      <w:r w:rsidRPr="00B75B77">
        <w:t xml:space="preserve">PECO is planning to significantly increase the number of households receiving </w:t>
      </w:r>
      <w:proofErr w:type="gramStart"/>
      <w:r w:rsidR="00492396" w:rsidRPr="00B75B77">
        <w:t>HERs</w:t>
      </w:r>
      <w:proofErr w:type="gramEnd"/>
      <w:r w:rsidR="00492396" w:rsidRPr="00B75B77">
        <w:t xml:space="preserve"> </w:t>
      </w:r>
      <w:r w:rsidRPr="00B75B77">
        <w:t xml:space="preserve">during Phase III, and behavioral savings will represent a significantly greater percentage of </w:t>
      </w:r>
      <w:r w:rsidR="00D51D10" w:rsidRPr="00B75B77">
        <w:t xml:space="preserve">the </w:t>
      </w:r>
      <w:r w:rsidRPr="00B75B77">
        <w:t>residential portfolio</w:t>
      </w:r>
      <w:r w:rsidR="00D51D10" w:rsidRPr="00B75B77">
        <w:t>’s</w:t>
      </w:r>
      <w:r w:rsidRPr="00B75B77">
        <w:t xml:space="preserve"> savings. </w:t>
      </w:r>
      <w:r w:rsidR="00D51D10" w:rsidRPr="00B75B77">
        <w:t xml:space="preserve">HERs </w:t>
      </w:r>
      <w:r w:rsidRPr="00B75B77">
        <w:t xml:space="preserve">will also be sent to a broader group of customers with more diverse energy use profiles. </w:t>
      </w:r>
    </w:p>
    <w:p w:rsidR="00811E5F" w:rsidRPr="00B75B77" w:rsidRDefault="00811E5F" w:rsidP="00153ECC">
      <w:pPr>
        <w:pStyle w:val="ListParagraph"/>
        <w:numPr>
          <w:ilvl w:val="1"/>
          <w:numId w:val="25"/>
        </w:numPr>
        <w:spacing w:after="120"/>
        <w:ind w:left="1440" w:hanging="360"/>
        <w:contextualSpacing w:val="0"/>
        <w:jc w:val="left"/>
      </w:pPr>
      <w:r w:rsidRPr="00B75B77">
        <w:rPr>
          <w:b/>
        </w:rPr>
        <w:t xml:space="preserve">Recommendation: </w:t>
      </w:r>
      <w:r w:rsidRPr="00B75B77">
        <w:t>Monitor the month-by-month progression of percentage savings from existing and new waves to optimize savings projections and program size in Phase III.</w:t>
      </w:r>
    </w:p>
    <w:p w:rsidR="007E4A0D" w:rsidRPr="00B75B77" w:rsidRDefault="00811E5F" w:rsidP="007E4A0D">
      <w:pPr>
        <w:pStyle w:val="ListParagraph"/>
        <w:numPr>
          <w:ilvl w:val="0"/>
          <w:numId w:val="25"/>
        </w:numPr>
        <w:spacing w:after="120"/>
        <w:ind w:left="720" w:hanging="360"/>
        <w:jc w:val="left"/>
      </w:pPr>
      <w:r w:rsidRPr="00B75B77">
        <w:rPr>
          <w:b/>
        </w:rPr>
        <w:t>Finding:</w:t>
      </w:r>
      <w:r w:rsidRPr="00B75B77">
        <w:t xml:space="preserve"> The SUP uplift </w:t>
      </w:r>
      <w:r w:rsidR="00D51D10" w:rsidRPr="00B75B77">
        <w:t xml:space="preserve">analysis </w:t>
      </w:r>
      <w:r w:rsidRPr="00B75B77">
        <w:t>shows that program participants are being successfully channeled in</w:t>
      </w:r>
      <w:r w:rsidR="00396982" w:rsidRPr="00B75B77">
        <w:t>to</w:t>
      </w:r>
      <w:r w:rsidRPr="00B75B77">
        <w:t xml:space="preserve"> the SHC program, but </w:t>
      </w:r>
      <w:r w:rsidR="00396982" w:rsidRPr="00B75B77">
        <w:t xml:space="preserve">they are </w:t>
      </w:r>
      <w:r w:rsidRPr="00B75B77">
        <w:t xml:space="preserve">not successfully </w:t>
      </w:r>
      <w:r w:rsidR="00396982" w:rsidRPr="00B75B77">
        <w:t xml:space="preserve">being </w:t>
      </w:r>
      <w:r w:rsidRPr="00B75B77">
        <w:t xml:space="preserve">channeled into other PECO residential energy efficiency programs. Additionally, relatively few household characteristics specific to each customer are utilized in tailoring the messaging and modules within the delivered reports. </w:t>
      </w:r>
      <w:r w:rsidR="007E4A0D" w:rsidRPr="00B75B77">
        <w:t xml:space="preserve">The relatively low number of channeling modules that were included in the HERs during PY7 corroborated this finding. This low rate was partly the result of implementation issues with the SAR program as well as the focus on transitioning the SUP program to its intended implementation during the upcoming Phase III. Nonetheless, there are opportunities to increase program channeling through micro-targeted report messaging to particular households and their characteristics and energy needs. </w:t>
      </w:r>
      <w:r w:rsidR="007E4A0D" w:rsidRPr="00B75B77">
        <w:br/>
      </w:r>
      <w:r w:rsidR="007E4A0D" w:rsidRPr="00B75B77">
        <w:br/>
        <w:t xml:space="preserve">Some data providers are able to provide propensity scores for households that could indicate a tendency toward being green-conscious. Messaging to these customers could include references to the environmental and sociological benefits of energy efficiency, whereas other customers may respond better to messaging focused on the reduction in utility bills. Micro-targeting of messaging could have the added benefit of increasing program savings by providing households </w:t>
      </w:r>
      <w:r w:rsidR="007E4A0D" w:rsidRPr="00B75B77">
        <w:lastRenderedPageBreak/>
        <w:t>with energy-saving tips and recommendations that are more appropriate for each individual customer’s situation. For example, if PECO has data that indicates a customer is likely to be a renter or short-term occupant of a household, his/her HER might suggest they could save on the utility heating bill by installing window film. In contrast, if the data indicates a customer is a homeowner or long-term resident, the same recommendation could guide a customer toward attic insulation. The CSP could accomplish this messaging by including additional household data collected by PECO or through propensity data available from a third-party data provider.</w:t>
      </w:r>
    </w:p>
    <w:p w:rsidR="007E4A0D" w:rsidRPr="00B75B77" w:rsidRDefault="007E4A0D" w:rsidP="007E4A0D">
      <w:pPr>
        <w:pStyle w:val="ListParagraph"/>
        <w:spacing w:after="120"/>
        <w:jc w:val="left"/>
      </w:pPr>
    </w:p>
    <w:p w:rsidR="00811E5F" w:rsidRPr="00B75B77" w:rsidRDefault="00811E5F" w:rsidP="00153ECC">
      <w:pPr>
        <w:pStyle w:val="ListParagraph"/>
        <w:numPr>
          <w:ilvl w:val="1"/>
          <w:numId w:val="25"/>
        </w:numPr>
        <w:spacing w:after="120"/>
        <w:ind w:left="1440" w:hanging="360"/>
        <w:contextualSpacing w:val="0"/>
        <w:jc w:val="left"/>
      </w:pPr>
      <w:r w:rsidRPr="00B75B77">
        <w:rPr>
          <w:b/>
        </w:rPr>
        <w:t>Recommendation:</w:t>
      </w:r>
      <w:r w:rsidRPr="00B75B77">
        <w:t xml:space="preserve"> Acquire and apply more data on household characteristics, lifestyles, and propensities to increase engagement and program channeling.</w:t>
      </w:r>
    </w:p>
    <w:p w:rsidR="007E4A0D" w:rsidRPr="00B75B77" w:rsidRDefault="00811E5F" w:rsidP="007E4A0D">
      <w:pPr>
        <w:pStyle w:val="ListParagraph"/>
        <w:numPr>
          <w:ilvl w:val="0"/>
          <w:numId w:val="25"/>
        </w:numPr>
        <w:spacing w:after="120"/>
        <w:ind w:left="720" w:hanging="360"/>
        <w:contextualSpacing w:val="0"/>
        <w:jc w:val="left"/>
      </w:pPr>
      <w:r w:rsidRPr="00B75B77">
        <w:rPr>
          <w:b/>
        </w:rPr>
        <w:t>Finding:</w:t>
      </w:r>
      <w:r w:rsidRPr="00B75B77">
        <w:t xml:space="preserve"> A relatively low proportion of SUP program participants receive electronic HERs in addition to mailed reports. At the same time, data tracked by </w:t>
      </w:r>
      <w:r w:rsidR="008D7483" w:rsidRPr="00B75B77">
        <w:t>the CSP</w:t>
      </w:r>
      <w:r w:rsidR="00396982" w:rsidRPr="00B75B77">
        <w:t xml:space="preserve"> </w:t>
      </w:r>
      <w:r w:rsidRPr="00B75B77">
        <w:t xml:space="preserve">shows a higher rate of customer engagement and </w:t>
      </w:r>
      <w:r w:rsidR="00396982" w:rsidRPr="00B75B77">
        <w:t xml:space="preserve">a </w:t>
      </w:r>
      <w:r w:rsidRPr="00B75B77">
        <w:t xml:space="preserve">lower rate of customer complaints to the PECO call center </w:t>
      </w:r>
      <w:r w:rsidR="00396982" w:rsidRPr="00B75B77">
        <w:t xml:space="preserve">from </w:t>
      </w:r>
      <w:r w:rsidRPr="00B75B77">
        <w:t>participants that receive reports electronically. In particular, customers receiving electronic reports click</w:t>
      </w:r>
      <w:r w:rsidR="00396982" w:rsidRPr="00B75B77">
        <w:t xml:space="preserve"> </w:t>
      </w:r>
      <w:r w:rsidRPr="00B75B77">
        <w:t>through to the PECO website 1.5</w:t>
      </w:r>
      <w:r w:rsidR="0009500C" w:rsidRPr="00B75B77">
        <w:t>%</w:t>
      </w:r>
      <w:r w:rsidRPr="00B75B77">
        <w:t xml:space="preserve"> of the time.</w:t>
      </w:r>
      <w:r w:rsidR="007E4A0D" w:rsidRPr="00B75B77">
        <w:br/>
      </w:r>
      <w:r w:rsidR="007E4A0D" w:rsidRPr="00B75B77">
        <w:br/>
        <w:t xml:space="preserve">In reviewing program tracking data, Navigant noted the relatively low proportion of SUP program participants that received the abbreviated email HERs, juxtaposed against a seemingly higher rate of customer engagement (as measured through the tracking of click </w:t>
      </w:r>
      <w:proofErr w:type="spellStart"/>
      <w:r w:rsidR="007E4A0D" w:rsidRPr="00B75B77">
        <w:t>throughs</w:t>
      </w:r>
      <w:proofErr w:type="spellEnd"/>
      <w:r w:rsidR="007E4A0D" w:rsidRPr="00B75B77">
        <w:t xml:space="preserve">)  and lower rate of customer complaints to the PECO call center. Without having performed detailed customer surveys during PY7, the electronic delivery of </w:t>
      </w:r>
      <w:proofErr w:type="gramStart"/>
      <w:r w:rsidR="007E4A0D" w:rsidRPr="00B75B77">
        <w:t>HERs</w:t>
      </w:r>
      <w:proofErr w:type="gramEnd"/>
      <w:r w:rsidR="007E4A0D" w:rsidRPr="00B75B77">
        <w:t xml:space="preserve"> would seem to create a better overall customer experience for SUP program participants at a lower per unit cost to PECO. As such, Navigant recommends that PECO make a concerted effort to gather additional email addresses for program participants in order to further increase the number of treatment customers that receive electronic reports in addition to paper reports. This would provide PECO with another channel for engaging customers and channeling them to other PECO offerings. Navigant understands that an effort with this aim is already underway at PECO.</w:t>
      </w:r>
    </w:p>
    <w:p w:rsidR="00811E5F" w:rsidRPr="00B75B77" w:rsidRDefault="00811E5F" w:rsidP="00153ECC">
      <w:pPr>
        <w:pStyle w:val="ListParagraph"/>
        <w:numPr>
          <w:ilvl w:val="1"/>
          <w:numId w:val="25"/>
        </w:numPr>
        <w:spacing w:after="120"/>
        <w:ind w:left="1440" w:hanging="360"/>
        <w:contextualSpacing w:val="0"/>
        <w:jc w:val="left"/>
      </w:pPr>
      <w:r w:rsidRPr="00B75B77">
        <w:rPr>
          <w:b/>
        </w:rPr>
        <w:t>Recommendation:</w:t>
      </w:r>
      <w:r w:rsidRPr="00B75B77">
        <w:t xml:space="preserve"> Utilize other PECO customer points of contact to gather participant email addresses for the purposes of electronic report delivery</w:t>
      </w:r>
      <w:r w:rsidR="00396982" w:rsidRPr="00B75B77">
        <w:t>.</w:t>
      </w:r>
    </w:p>
    <w:p w:rsidR="00811E5F" w:rsidRPr="00B75B77" w:rsidRDefault="00811E5F" w:rsidP="00811E5F">
      <w:pPr>
        <w:pStyle w:val="ListParagraph"/>
        <w:numPr>
          <w:ilvl w:val="1"/>
          <w:numId w:val="25"/>
        </w:numPr>
        <w:spacing w:after="120"/>
        <w:ind w:left="1440" w:hanging="360"/>
        <w:contextualSpacing w:val="0"/>
        <w:jc w:val="left"/>
      </w:pPr>
      <w:r w:rsidRPr="00B75B77">
        <w:rPr>
          <w:b/>
        </w:rPr>
        <w:t>Recommendation:</w:t>
      </w:r>
      <w:r w:rsidRPr="00B75B77">
        <w:t xml:space="preserve"> PECO should document clear intentions and metrics for the email and web portal components of the program, especially for Phase III, and set and track goals accordingly</w:t>
      </w:r>
      <w:r w:rsidR="00396982" w:rsidRPr="00B75B77">
        <w:t>.</w:t>
      </w:r>
    </w:p>
    <w:p w:rsidR="00811E5F" w:rsidRPr="00B75B77" w:rsidRDefault="00811E5F" w:rsidP="00811E5F"/>
    <w:p w:rsidR="00811E5F" w:rsidRPr="00B75B77" w:rsidRDefault="00811E5F" w:rsidP="003E6A9B">
      <w:pPr>
        <w:pStyle w:val="Heading2"/>
      </w:pPr>
      <w:bookmarkStart w:id="461" w:name="_Toc466413328"/>
      <w:r w:rsidRPr="00B75B77">
        <w:t>Status of Recommendations for Program</w:t>
      </w:r>
      <w:bookmarkEnd w:id="461"/>
    </w:p>
    <w:p w:rsidR="00811E5F" w:rsidRPr="00B75B77" w:rsidRDefault="00982651" w:rsidP="0004543D">
      <w:r w:rsidRPr="00B75B77">
        <w:t>Navigant’s</w:t>
      </w:r>
      <w:r w:rsidR="00811E5F" w:rsidRPr="00B75B77">
        <w:t xml:space="preserve"> recommendations</w:t>
      </w:r>
      <w:r w:rsidRPr="00B75B77">
        <w:t xml:space="preserve"> for the SUP program, as well as PECO’s status for each recommendation,</w:t>
      </w:r>
      <w:r w:rsidR="00811E5F" w:rsidRPr="00B75B77">
        <w:t xml:space="preserve"> are listed in </w:t>
      </w:r>
      <w:r w:rsidR="004B5477" w:rsidRPr="00B75B77">
        <w:fldChar w:fldCharType="begin"/>
      </w:r>
      <w:r w:rsidR="004B5477" w:rsidRPr="00B75B77">
        <w:instrText xml:space="preserve"> REF _Ref462319206 \h </w:instrText>
      </w:r>
      <w:r w:rsidR="00B75B77">
        <w:instrText xml:space="preserve"> \* MERGEFORMAT </w:instrText>
      </w:r>
      <w:r w:rsidR="004B5477" w:rsidRPr="00B75B77">
        <w:fldChar w:fldCharType="separate"/>
      </w:r>
      <w:r w:rsidR="0004016D" w:rsidRPr="00B75B77">
        <w:t xml:space="preserve">Table </w:t>
      </w:r>
      <w:r w:rsidR="0004016D">
        <w:rPr>
          <w:noProof/>
        </w:rPr>
        <w:t>5</w:t>
      </w:r>
      <w:r w:rsidR="0004016D" w:rsidRPr="00B75B77">
        <w:rPr>
          <w:noProof/>
        </w:rPr>
        <w:noBreakHyphen/>
      </w:r>
      <w:r w:rsidR="0004016D">
        <w:rPr>
          <w:noProof/>
        </w:rPr>
        <w:t>6</w:t>
      </w:r>
      <w:r w:rsidR="004B5477" w:rsidRPr="00B75B77">
        <w:fldChar w:fldCharType="end"/>
      </w:r>
      <w:r w:rsidR="00811E5F" w:rsidRPr="00B75B77">
        <w:t>.</w:t>
      </w:r>
    </w:p>
    <w:p w:rsidR="00811E5F" w:rsidRPr="00B75B77" w:rsidRDefault="00811E5F" w:rsidP="0004543D"/>
    <w:p w:rsidR="00811E5F" w:rsidRPr="00B75B77" w:rsidRDefault="00811E5F" w:rsidP="007F0D42">
      <w:pPr>
        <w:pStyle w:val="Caption"/>
      </w:pPr>
      <w:bookmarkStart w:id="462" w:name="_Ref462319206"/>
      <w:bookmarkStart w:id="463" w:name="_Toc466413547"/>
      <w:r w:rsidRPr="00B75B77">
        <w:t xml:space="preserve">Table </w:t>
      </w:r>
      <w:fldSimple w:instr=" STYLEREF 1 \s ">
        <w:r w:rsidR="0004016D">
          <w:rPr>
            <w:noProof/>
          </w:rPr>
          <w:t>5</w:t>
        </w:r>
      </w:fldSimple>
      <w:r w:rsidR="00F1144C" w:rsidRPr="00B75B77">
        <w:noBreakHyphen/>
      </w:r>
      <w:fldSimple w:instr=" SEQ Table \* ARABIC \s 1 ">
        <w:r w:rsidR="0004016D">
          <w:rPr>
            <w:noProof/>
          </w:rPr>
          <w:t>6</w:t>
        </w:r>
      </w:fldSimple>
      <w:bookmarkEnd w:id="462"/>
      <w:r w:rsidRPr="00B75B77">
        <w:t>: Smart Usage Profile Status Report on Process and Impact Recommendations</w:t>
      </w:r>
      <w:bookmarkEnd w:id="463"/>
      <w:r w:rsidRPr="00B75B77">
        <w:t xml:space="preserve"> </w:t>
      </w:r>
    </w:p>
    <w:tbl>
      <w:tblPr>
        <w:tblStyle w:val="MediumShading1-Accent5"/>
        <w:tblW w:w="936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4680"/>
        <w:gridCol w:w="4680"/>
      </w:tblGrid>
      <w:tr w:rsidR="00811E5F" w:rsidRPr="00B75B77" w:rsidTr="00811E5F">
        <w:trPr>
          <w:cnfStyle w:val="100000000000" w:firstRow="1" w:lastRow="0" w:firstColumn="0" w:lastColumn="0" w:oddVBand="0" w:evenVBand="0" w:oddHBand="0"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4680" w:type="dxa"/>
            <w:tcBorders>
              <w:top w:val="single" w:sz="6" w:space="0" w:color="auto"/>
              <w:left w:val="single" w:sz="6" w:space="0" w:color="auto"/>
              <w:bottom w:val="single" w:sz="6" w:space="0" w:color="auto"/>
              <w:right w:val="single" w:sz="6" w:space="0" w:color="auto"/>
            </w:tcBorders>
            <w:shd w:val="clear" w:color="auto" w:fill="448A99"/>
            <w:vAlign w:val="center"/>
            <w:hideMark/>
          </w:tcPr>
          <w:p w:rsidR="00811E5F" w:rsidRPr="00B75B77" w:rsidRDefault="00811E5F" w:rsidP="00594255">
            <w:pPr>
              <w:jc w:val="left"/>
              <w:rPr>
                <w:rFonts w:ascii="Calibri" w:eastAsia="Times New Roman" w:hAnsi="Calibri"/>
                <w:bCs w:val="0"/>
                <w:sz w:val="18"/>
              </w:rPr>
            </w:pPr>
            <w:r w:rsidRPr="00B75B77">
              <w:rPr>
                <w:rFonts w:ascii="Calibri" w:eastAsia="Times New Roman" w:hAnsi="Calibri"/>
                <w:bCs w:val="0"/>
                <w:sz w:val="18"/>
              </w:rPr>
              <w:t>Recommendations</w:t>
            </w:r>
          </w:p>
        </w:tc>
        <w:tc>
          <w:tcPr>
            <w:tcW w:w="4680" w:type="dxa"/>
            <w:tcBorders>
              <w:top w:val="single" w:sz="6" w:space="0" w:color="auto"/>
              <w:left w:val="single" w:sz="6" w:space="0" w:color="auto"/>
              <w:bottom w:val="single" w:sz="6" w:space="0" w:color="auto"/>
              <w:right w:val="single" w:sz="6" w:space="0" w:color="auto"/>
            </w:tcBorders>
            <w:shd w:val="clear" w:color="auto" w:fill="448A99"/>
            <w:vAlign w:val="center"/>
            <w:hideMark/>
          </w:tcPr>
          <w:p w:rsidR="00811E5F" w:rsidRPr="00B75B77" w:rsidRDefault="00811E5F" w:rsidP="00594255">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rPr>
            </w:pPr>
            <w:r w:rsidRPr="00B75B77">
              <w:rPr>
                <w:rFonts w:ascii="Calibri" w:eastAsia="Times New Roman" w:hAnsi="Calibri"/>
                <w:bCs w:val="0"/>
                <w:sz w:val="18"/>
              </w:rPr>
              <w:t>EDC Status of Recommendation (Implemented, Being Considered, Rejected AND Explanation of Action Taken by EDC)</w:t>
            </w:r>
          </w:p>
        </w:tc>
      </w:tr>
      <w:tr w:rsidR="00811E5F" w:rsidRPr="00B75B77" w:rsidTr="00811E5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tcBorders>
              <w:top w:val="single" w:sz="6" w:space="0" w:color="auto"/>
              <w:bottom w:val="single" w:sz="8" w:space="0" w:color="448A99"/>
              <w:right w:val="single" w:sz="8" w:space="0" w:color="448A99"/>
            </w:tcBorders>
            <w:noWrap/>
            <w:vAlign w:val="center"/>
            <w:hideMark/>
          </w:tcPr>
          <w:p w:rsidR="00811E5F" w:rsidRPr="00B75B77" w:rsidRDefault="00811E5F" w:rsidP="00594255">
            <w:pPr>
              <w:jc w:val="left"/>
              <w:rPr>
                <w:rFonts w:ascii="Calibri" w:eastAsia="Times New Roman" w:hAnsi="Calibri"/>
                <w:b w:val="0"/>
                <w:color w:val="000000"/>
                <w:sz w:val="18"/>
              </w:rPr>
            </w:pPr>
            <w:r w:rsidRPr="00B75B77">
              <w:rPr>
                <w:rFonts w:ascii="Calibri" w:eastAsia="Times New Roman" w:hAnsi="Calibri"/>
                <w:color w:val="000000"/>
                <w:sz w:val="18"/>
              </w:rPr>
              <w:t xml:space="preserve">Recommendation 1: </w:t>
            </w:r>
            <w:r w:rsidRPr="00B75B77">
              <w:rPr>
                <w:rFonts w:ascii="Calibri" w:eastAsia="Times New Roman" w:hAnsi="Calibri"/>
                <w:b w:val="0"/>
                <w:color w:val="000000"/>
                <w:sz w:val="18"/>
              </w:rPr>
              <w:t>Monitor the month-by-month progression of percentage savings from waves to optimize savings projections and program size in Phase III</w:t>
            </w:r>
            <w:r w:rsidR="00982651" w:rsidRPr="00B75B77">
              <w:rPr>
                <w:rFonts w:ascii="Calibri" w:eastAsia="Times New Roman" w:hAnsi="Calibri"/>
                <w:b w:val="0"/>
                <w:color w:val="000000"/>
                <w:sz w:val="18"/>
              </w:rPr>
              <w:t>.</w:t>
            </w:r>
          </w:p>
        </w:tc>
        <w:tc>
          <w:tcPr>
            <w:tcW w:w="4680" w:type="dxa"/>
            <w:tcBorders>
              <w:top w:val="single" w:sz="6" w:space="0" w:color="auto"/>
              <w:left w:val="single" w:sz="8" w:space="0" w:color="448A99"/>
              <w:bottom w:val="single" w:sz="8" w:space="0" w:color="448A99"/>
            </w:tcBorders>
            <w:noWrap/>
            <w:vAlign w:val="center"/>
            <w:hideMark/>
          </w:tcPr>
          <w:p w:rsidR="00811E5F" w:rsidRPr="00B75B77" w:rsidRDefault="0055143E" w:rsidP="0059425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rPr>
            </w:pPr>
            <w:r w:rsidRPr="00B75B77">
              <w:rPr>
                <w:rFonts w:ascii="Calibri" w:eastAsia="Times New Roman" w:hAnsi="Calibri"/>
                <w:b/>
                <w:color w:val="000000"/>
                <w:sz w:val="18"/>
              </w:rPr>
              <w:t>Implemented:</w:t>
            </w:r>
            <w:r w:rsidR="00D93A77" w:rsidRPr="00B75B77">
              <w:rPr>
                <w:rFonts w:ascii="Calibri" w:eastAsia="Times New Roman" w:hAnsi="Calibri"/>
                <w:color w:val="000000"/>
                <w:sz w:val="18"/>
              </w:rPr>
              <w:t xml:space="preserve"> In Phase III, </w:t>
            </w:r>
            <w:r w:rsidRPr="00B75B77">
              <w:rPr>
                <w:rFonts w:ascii="Calibri" w:eastAsia="Times New Roman" w:hAnsi="Calibri"/>
                <w:color w:val="000000"/>
                <w:sz w:val="18"/>
              </w:rPr>
              <w:t>PECO plans to incorporate data analytics into program monitoring to help identify areas of opportunity and develop target channeling.</w:t>
            </w:r>
          </w:p>
        </w:tc>
      </w:tr>
      <w:tr w:rsidR="00811E5F" w:rsidRPr="00B75B77" w:rsidTr="00811E5F">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tcBorders>
              <w:top w:val="single" w:sz="8" w:space="0" w:color="448A99"/>
              <w:bottom w:val="single" w:sz="8" w:space="0" w:color="448A99"/>
              <w:right w:val="single" w:sz="8" w:space="0" w:color="448A99"/>
            </w:tcBorders>
            <w:noWrap/>
            <w:vAlign w:val="center"/>
            <w:hideMark/>
          </w:tcPr>
          <w:p w:rsidR="00811E5F" w:rsidRPr="00B75B77" w:rsidRDefault="00811E5F" w:rsidP="00594255">
            <w:pPr>
              <w:jc w:val="left"/>
              <w:rPr>
                <w:rFonts w:ascii="Calibri" w:eastAsia="Times New Roman" w:hAnsi="Calibri"/>
                <w:b w:val="0"/>
                <w:color w:val="000000"/>
                <w:sz w:val="18"/>
              </w:rPr>
            </w:pPr>
            <w:r w:rsidRPr="00B75B77">
              <w:rPr>
                <w:rFonts w:ascii="Calibri" w:eastAsia="Times New Roman" w:hAnsi="Calibri"/>
                <w:color w:val="000000"/>
                <w:sz w:val="18"/>
              </w:rPr>
              <w:t xml:space="preserve">Recommendation 2: </w:t>
            </w:r>
            <w:r w:rsidRPr="00B75B77">
              <w:rPr>
                <w:rFonts w:ascii="Calibri" w:eastAsia="Times New Roman" w:hAnsi="Calibri"/>
                <w:b w:val="0"/>
                <w:color w:val="000000"/>
                <w:sz w:val="18"/>
              </w:rPr>
              <w:t>Acquire and apply more data on household characteristics, lifestyles, and propensities to increase engagement and program channeling</w:t>
            </w:r>
            <w:r w:rsidR="00982651" w:rsidRPr="00B75B77">
              <w:rPr>
                <w:rFonts w:ascii="Calibri" w:eastAsia="Times New Roman" w:hAnsi="Calibri"/>
                <w:b w:val="0"/>
                <w:color w:val="000000"/>
                <w:sz w:val="18"/>
              </w:rPr>
              <w:t>.</w:t>
            </w:r>
          </w:p>
        </w:tc>
        <w:tc>
          <w:tcPr>
            <w:tcW w:w="4680" w:type="dxa"/>
            <w:tcBorders>
              <w:top w:val="single" w:sz="8" w:space="0" w:color="448A99"/>
              <w:left w:val="single" w:sz="8" w:space="0" w:color="448A99"/>
              <w:bottom w:val="single" w:sz="8" w:space="0" w:color="448A99"/>
            </w:tcBorders>
            <w:noWrap/>
            <w:vAlign w:val="center"/>
            <w:hideMark/>
          </w:tcPr>
          <w:p w:rsidR="00811E5F" w:rsidRPr="00B75B77" w:rsidRDefault="0055143E" w:rsidP="0055143E">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b/>
                <w:color w:val="000000"/>
                <w:sz w:val="18"/>
              </w:rPr>
            </w:pPr>
            <w:r w:rsidRPr="00B75B77">
              <w:rPr>
                <w:rFonts w:ascii="Calibri" w:eastAsia="Times New Roman" w:hAnsi="Calibri"/>
                <w:b/>
                <w:color w:val="000000"/>
                <w:sz w:val="18"/>
              </w:rPr>
              <w:t>Implemented:</w:t>
            </w:r>
            <w:r w:rsidR="00D93A77" w:rsidRPr="00B75B77">
              <w:rPr>
                <w:rFonts w:ascii="Calibri" w:eastAsia="Times New Roman" w:hAnsi="Calibri"/>
                <w:color w:val="000000"/>
                <w:sz w:val="18"/>
              </w:rPr>
              <w:t xml:space="preserve"> In Phase III, </w:t>
            </w:r>
            <w:r w:rsidRPr="00B75B77">
              <w:rPr>
                <w:rFonts w:ascii="Calibri" w:eastAsia="Times New Roman" w:hAnsi="Calibri"/>
                <w:color w:val="000000"/>
                <w:sz w:val="18"/>
              </w:rPr>
              <w:t>PECO plans to incorporate data analytics into program monitoring to help identify areas of opportunity in the area of customer personalization.</w:t>
            </w:r>
          </w:p>
        </w:tc>
      </w:tr>
      <w:tr w:rsidR="00811E5F" w:rsidRPr="00B75B77" w:rsidTr="005514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tcBorders>
              <w:top w:val="single" w:sz="8" w:space="0" w:color="448A99"/>
              <w:bottom w:val="single" w:sz="8" w:space="0" w:color="448A99"/>
              <w:right w:val="single" w:sz="8" w:space="0" w:color="448A99"/>
            </w:tcBorders>
            <w:noWrap/>
            <w:vAlign w:val="center"/>
            <w:hideMark/>
          </w:tcPr>
          <w:p w:rsidR="00982651" w:rsidRPr="00B75B77" w:rsidRDefault="00811E5F" w:rsidP="00594255">
            <w:pPr>
              <w:jc w:val="left"/>
              <w:rPr>
                <w:rFonts w:ascii="Calibri" w:eastAsia="Times New Roman" w:hAnsi="Calibri"/>
                <w:color w:val="000000"/>
                <w:sz w:val="18"/>
              </w:rPr>
            </w:pPr>
            <w:r w:rsidRPr="00B75B77">
              <w:rPr>
                <w:rFonts w:ascii="Calibri" w:eastAsia="Times New Roman" w:hAnsi="Calibri"/>
                <w:color w:val="000000"/>
                <w:sz w:val="18"/>
              </w:rPr>
              <w:lastRenderedPageBreak/>
              <w:t xml:space="preserve">Recommendation 3: </w:t>
            </w:r>
          </w:p>
          <w:p w:rsidR="00982651" w:rsidRPr="00B75B77" w:rsidRDefault="00811E5F" w:rsidP="009E08FB">
            <w:pPr>
              <w:pStyle w:val="ListParagraph"/>
              <w:numPr>
                <w:ilvl w:val="0"/>
                <w:numId w:val="43"/>
              </w:numPr>
              <w:ind w:left="424" w:hanging="270"/>
              <w:jc w:val="left"/>
              <w:rPr>
                <w:rFonts w:ascii="Calibri" w:eastAsia="Times New Roman" w:hAnsi="Calibri"/>
                <w:b w:val="0"/>
                <w:color w:val="000000"/>
                <w:sz w:val="18"/>
              </w:rPr>
            </w:pPr>
            <w:r w:rsidRPr="00B75B77">
              <w:rPr>
                <w:rFonts w:ascii="Calibri" w:eastAsia="Times New Roman" w:hAnsi="Calibri"/>
                <w:b w:val="0"/>
                <w:color w:val="000000"/>
                <w:sz w:val="18"/>
              </w:rPr>
              <w:t>Utilize other PECO customer points of contact to gather participant email addresses for the purposes of electronic report delivery</w:t>
            </w:r>
            <w:r w:rsidR="007D5015" w:rsidRPr="00B75B77">
              <w:rPr>
                <w:rFonts w:ascii="Calibri" w:eastAsia="Times New Roman" w:hAnsi="Calibri"/>
                <w:b w:val="0"/>
                <w:color w:val="000000"/>
                <w:sz w:val="18"/>
              </w:rPr>
              <w:t>.</w:t>
            </w:r>
          </w:p>
          <w:p w:rsidR="00811E5F" w:rsidRPr="00B75B77" w:rsidRDefault="00982651" w:rsidP="009E08FB">
            <w:pPr>
              <w:pStyle w:val="ListParagraph"/>
              <w:numPr>
                <w:ilvl w:val="0"/>
                <w:numId w:val="43"/>
              </w:numPr>
              <w:ind w:left="424" w:hanging="270"/>
              <w:jc w:val="left"/>
              <w:rPr>
                <w:rFonts w:ascii="Calibri" w:eastAsia="Times New Roman" w:hAnsi="Calibri"/>
                <w:color w:val="000000"/>
                <w:sz w:val="18"/>
              </w:rPr>
            </w:pPr>
            <w:r w:rsidRPr="00B75B77">
              <w:rPr>
                <w:rFonts w:ascii="Calibri" w:eastAsia="Times New Roman" w:hAnsi="Calibri"/>
                <w:b w:val="0"/>
                <w:color w:val="000000"/>
                <w:sz w:val="18"/>
              </w:rPr>
              <w:t>PECO should document clear intentions and metrics for the email and web portal components of the program, especially for Phase III, and set and track goals accordingly</w:t>
            </w:r>
            <w:r w:rsidR="007D5015" w:rsidRPr="00B75B77">
              <w:rPr>
                <w:rFonts w:ascii="Calibri" w:eastAsia="Times New Roman" w:hAnsi="Calibri"/>
                <w:b w:val="0"/>
                <w:color w:val="000000"/>
                <w:sz w:val="18"/>
              </w:rPr>
              <w:t>.</w:t>
            </w:r>
          </w:p>
        </w:tc>
        <w:tc>
          <w:tcPr>
            <w:tcW w:w="4680" w:type="dxa"/>
            <w:tcBorders>
              <w:top w:val="single" w:sz="8" w:space="0" w:color="448A99"/>
              <w:left w:val="single" w:sz="8" w:space="0" w:color="448A99"/>
              <w:bottom w:val="single" w:sz="8" w:space="0" w:color="448A99"/>
            </w:tcBorders>
            <w:noWrap/>
            <w:hideMark/>
          </w:tcPr>
          <w:p w:rsidR="00811E5F" w:rsidRPr="00B75B77" w:rsidRDefault="0055143E" w:rsidP="0055143E">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rPr>
            </w:pPr>
            <w:r w:rsidRPr="00B75B77">
              <w:rPr>
                <w:rFonts w:ascii="Calibri" w:eastAsia="Times New Roman" w:hAnsi="Calibri"/>
                <w:b/>
                <w:color w:val="000000"/>
                <w:sz w:val="18"/>
              </w:rPr>
              <w:t xml:space="preserve">Being Considered: </w:t>
            </w:r>
            <w:r w:rsidRPr="00B75B77">
              <w:rPr>
                <w:rFonts w:ascii="Calibri" w:eastAsia="Times New Roman" w:hAnsi="Calibri"/>
                <w:color w:val="000000"/>
                <w:sz w:val="18"/>
              </w:rPr>
              <w:t>PECO is working on developing a business intelligence and customer data analytics component of the program to advance its channeling and outreach pathways.</w:t>
            </w:r>
          </w:p>
        </w:tc>
      </w:tr>
    </w:tbl>
    <w:p w:rsidR="00811E5F" w:rsidRPr="00B75B77" w:rsidRDefault="00811E5F" w:rsidP="00811E5F">
      <w:pPr>
        <w:pStyle w:val="Source"/>
        <w:keepNext/>
        <w:ind w:left="90" w:firstLine="0"/>
      </w:pPr>
      <w:r w:rsidRPr="00B75B77">
        <w:t>Source: Navigant analysis</w:t>
      </w:r>
    </w:p>
    <w:p w:rsidR="00811E5F" w:rsidRPr="00B75B77" w:rsidRDefault="00811E5F" w:rsidP="00D12857">
      <w:pPr>
        <w:pStyle w:val="Heading2"/>
      </w:pPr>
      <w:bookmarkStart w:id="464" w:name="_Toc466413329"/>
      <w:r w:rsidRPr="00B75B77">
        <w:t>Financial Reporting</w:t>
      </w:r>
      <w:bookmarkEnd w:id="464"/>
    </w:p>
    <w:p w:rsidR="00811E5F" w:rsidRPr="00B75B77" w:rsidRDefault="00811E5F" w:rsidP="00286B52">
      <w:pPr>
        <w:keepNext/>
      </w:pPr>
      <w:r w:rsidRPr="00B75B77">
        <w:t xml:space="preserve">As shown in </w:t>
      </w:r>
      <w:r w:rsidR="00195B2F" w:rsidRPr="00B75B77">
        <w:fldChar w:fldCharType="begin"/>
      </w:r>
      <w:r w:rsidR="00195B2F" w:rsidRPr="00B75B77">
        <w:instrText xml:space="preserve"> REF _Ref463273103 \h </w:instrText>
      </w:r>
      <w:r w:rsidR="00B75B77">
        <w:instrText xml:space="preserve"> \* MERGEFORMAT </w:instrText>
      </w:r>
      <w:r w:rsidR="00195B2F" w:rsidRPr="00B75B77">
        <w:fldChar w:fldCharType="separate"/>
      </w:r>
      <w:r w:rsidR="0004016D" w:rsidRPr="00B75B77">
        <w:t xml:space="preserve">Table </w:t>
      </w:r>
      <w:r w:rsidR="0004016D">
        <w:rPr>
          <w:noProof/>
        </w:rPr>
        <w:t>5</w:t>
      </w:r>
      <w:r w:rsidR="0004016D" w:rsidRPr="00B75B77">
        <w:rPr>
          <w:noProof/>
        </w:rPr>
        <w:noBreakHyphen/>
      </w:r>
      <w:r w:rsidR="0004016D">
        <w:rPr>
          <w:noProof/>
        </w:rPr>
        <w:t>7</w:t>
      </w:r>
      <w:r w:rsidR="00195B2F" w:rsidRPr="00B75B77">
        <w:fldChar w:fldCharType="end"/>
      </w:r>
      <w:r w:rsidRPr="00B75B77">
        <w:t>, the SUP program was a cost-effective means of generating savings for the PECO portfolio during Phase II. The program was significantly cost</w:t>
      </w:r>
      <w:r w:rsidR="007D5015" w:rsidRPr="00B75B77">
        <w:t>-</w:t>
      </w:r>
      <w:r w:rsidRPr="00B75B77">
        <w:t>effective during PY7 with a TRC ratio of 7.67. However, the results of PY7 required multiple years of implementation and costs during PY5 and PY6 without associated savings. As such, the TRC ratio for the SUP program for Phase II is 1.43.</w:t>
      </w:r>
    </w:p>
    <w:p w:rsidR="00811E5F" w:rsidRPr="00B75B77" w:rsidRDefault="00811E5F" w:rsidP="003402AA">
      <w:pPr>
        <w:jc w:val="center"/>
      </w:pPr>
    </w:p>
    <w:p w:rsidR="00811E5F" w:rsidRPr="00B75B77" w:rsidRDefault="00811E5F" w:rsidP="00195B2F">
      <w:pPr>
        <w:pStyle w:val="Caption"/>
        <w:rPr>
          <w:rFonts w:ascii="Calibri" w:hAnsi="Calibri"/>
          <w:i/>
          <w:sz w:val="22"/>
          <w:szCs w:val="22"/>
        </w:rPr>
      </w:pPr>
      <w:bookmarkStart w:id="465" w:name="_Ref463273103"/>
      <w:bookmarkStart w:id="466" w:name="_Toc466413548"/>
      <w:r w:rsidRPr="00B75B77">
        <w:lastRenderedPageBreak/>
        <w:t xml:space="preserve">Table </w:t>
      </w:r>
      <w:fldSimple w:instr=" STYLEREF 1 \s ">
        <w:r w:rsidR="0004016D">
          <w:rPr>
            <w:noProof/>
          </w:rPr>
          <w:t>5</w:t>
        </w:r>
      </w:fldSimple>
      <w:r w:rsidR="00F1144C" w:rsidRPr="00B75B77">
        <w:noBreakHyphen/>
      </w:r>
      <w:fldSimple w:instr=" SEQ Table \* ARABIC \s 1 ">
        <w:r w:rsidR="0004016D">
          <w:rPr>
            <w:noProof/>
          </w:rPr>
          <w:t>7</w:t>
        </w:r>
      </w:fldSimple>
      <w:bookmarkEnd w:id="465"/>
      <w:r w:rsidRPr="00B75B77">
        <w:t>: Summary of Smart Usage Profile Program Finances</w:t>
      </w:r>
      <w:bookmarkEnd w:id="466"/>
    </w:p>
    <w:tbl>
      <w:tblPr>
        <w:tblW w:w="9085" w:type="dxa"/>
        <w:tblLook w:val="04A0" w:firstRow="1" w:lastRow="0" w:firstColumn="1" w:lastColumn="0" w:noHBand="0" w:noVBand="1"/>
      </w:tblPr>
      <w:tblGrid>
        <w:gridCol w:w="985"/>
        <w:gridCol w:w="5490"/>
        <w:gridCol w:w="1260"/>
        <w:gridCol w:w="1350"/>
      </w:tblGrid>
      <w:tr w:rsidR="00811E5F" w:rsidRPr="00B75B77" w:rsidTr="00811E5F">
        <w:trPr>
          <w:divId w:val="1602106303"/>
          <w:trHeight w:val="480"/>
        </w:trPr>
        <w:tc>
          <w:tcPr>
            <w:tcW w:w="985" w:type="dxa"/>
            <w:vMerge w:val="restart"/>
            <w:tcBorders>
              <w:top w:val="single" w:sz="4" w:space="0" w:color="auto"/>
              <w:left w:val="single" w:sz="4" w:space="0" w:color="auto"/>
              <w:bottom w:val="single" w:sz="4" w:space="0" w:color="auto"/>
              <w:right w:val="single" w:sz="4" w:space="0" w:color="auto"/>
            </w:tcBorders>
            <w:shd w:val="clear" w:color="000000" w:fill="448A99"/>
            <w:noWrap/>
            <w:vAlign w:val="center"/>
            <w:hideMark/>
          </w:tcPr>
          <w:p w:rsidR="00811E5F" w:rsidRPr="00B75B77" w:rsidRDefault="00811E5F" w:rsidP="00195B2F">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Row #</w:t>
            </w:r>
          </w:p>
        </w:tc>
        <w:tc>
          <w:tcPr>
            <w:tcW w:w="5490" w:type="dxa"/>
            <w:vMerge w:val="restart"/>
            <w:tcBorders>
              <w:top w:val="single" w:sz="4" w:space="0" w:color="auto"/>
              <w:left w:val="single" w:sz="4" w:space="0" w:color="auto"/>
              <w:bottom w:val="single" w:sz="4" w:space="0" w:color="auto"/>
              <w:right w:val="single" w:sz="4" w:space="0" w:color="auto"/>
            </w:tcBorders>
            <w:shd w:val="clear" w:color="000000" w:fill="448A99"/>
            <w:noWrap/>
            <w:vAlign w:val="center"/>
            <w:hideMark/>
          </w:tcPr>
          <w:p w:rsidR="00811E5F" w:rsidRPr="00B75B77" w:rsidRDefault="00811E5F" w:rsidP="00195B2F">
            <w:pPr>
              <w:keepNext/>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Cost Category </w:t>
            </w:r>
          </w:p>
        </w:tc>
        <w:tc>
          <w:tcPr>
            <w:tcW w:w="1260" w:type="dxa"/>
            <w:tcBorders>
              <w:top w:val="single" w:sz="4" w:space="0" w:color="auto"/>
              <w:left w:val="nil"/>
              <w:bottom w:val="single" w:sz="4" w:space="0" w:color="auto"/>
              <w:right w:val="single" w:sz="4" w:space="0" w:color="auto"/>
            </w:tcBorders>
            <w:shd w:val="clear" w:color="000000" w:fill="448A99"/>
            <w:vAlign w:val="center"/>
            <w:hideMark/>
          </w:tcPr>
          <w:p w:rsidR="00811E5F" w:rsidRPr="00B75B77" w:rsidRDefault="00811E5F" w:rsidP="007D5015">
            <w:pPr>
              <w:keepNext/>
              <w:jc w:val="right"/>
              <w:rPr>
                <w:rFonts w:ascii="Calibri" w:eastAsia="Times New Roman" w:hAnsi="Calibri"/>
                <w:b/>
                <w:bCs/>
                <w:color w:val="FFFFFF"/>
                <w:sz w:val="18"/>
                <w:szCs w:val="18"/>
              </w:rPr>
            </w:pPr>
            <w:r w:rsidRPr="00B75B77">
              <w:rPr>
                <w:rFonts w:ascii="Calibri" w:eastAsia="Times New Roman" w:hAnsi="Calibri"/>
                <w:b/>
                <w:bCs/>
                <w:color w:val="FFFFFF"/>
                <w:sz w:val="18"/>
                <w:szCs w:val="18"/>
              </w:rPr>
              <w:t>Actual PY7 Costs</w:t>
            </w:r>
          </w:p>
        </w:tc>
        <w:tc>
          <w:tcPr>
            <w:tcW w:w="1350" w:type="dxa"/>
            <w:tcBorders>
              <w:top w:val="single" w:sz="4" w:space="0" w:color="auto"/>
              <w:left w:val="nil"/>
              <w:bottom w:val="single" w:sz="4" w:space="0" w:color="auto"/>
              <w:right w:val="single" w:sz="4" w:space="0" w:color="auto"/>
            </w:tcBorders>
            <w:shd w:val="clear" w:color="000000" w:fill="448A99"/>
            <w:vAlign w:val="center"/>
            <w:hideMark/>
          </w:tcPr>
          <w:p w:rsidR="00811E5F" w:rsidRPr="00B75B77" w:rsidRDefault="00811E5F" w:rsidP="007D5015">
            <w:pPr>
              <w:keepNext/>
              <w:jc w:val="right"/>
              <w:rPr>
                <w:rFonts w:ascii="Calibri" w:eastAsia="Times New Roman" w:hAnsi="Calibri"/>
                <w:b/>
                <w:bCs/>
                <w:color w:val="FFFFFF"/>
                <w:sz w:val="18"/>
                <w:szCs w:val="18"/>
              </w:rPr>
            </w:pPr>
            <w:r w:rsidRPr="00B75B77">
              <w:rPr>
                <w:rFonts w:ascii="Calibri" w:eastAsia="Times New Roman" w:hAnsi="Calibri"/>
                <w:b/>
                <w:bCs/>
                <w:color w:val="FFFFFF"/>
                <w:sz w:val="18"/>
                <w:szCs w:val="18"/>
              </w:rPr>
              <w:t>Actual Phase II Costs</w:t>
            </w:r>
          </w:p>
        </w:tc>
      </w:tr>
      <w:tr w:rsidR="00811E5F" w:rsidRPr="00B75B77" w:rsidTr="007D5015">
        <w:trPr>
          <w:divId w:val="1602106303"/>
          <w:trHeight w:val="288"/>
        </w:trPr>
        <w:tc>
          <w:tcPr>
            <w:tcW w:w="985" w:type="dxa"/>
            <w:vMerge/>
            <w:tcBorders>
              <w:top w:val="single" w:sz="4" w:space="0" w:color="auto"/>
              <w:left w:val="single" w:sz="4" w:space="0" w:color="auto"/>
              <w:bottom w:val="single" w:sz="4" w:space="0" w:color="auto"/>
              <w:right w:val="single" w:sz="4" w:space="0" w:color="auto"/>
            </w:tcBorders>
            <w:vAlign w:val="center"/>
            <w:hideMark/>
          </w:tcPr>
          <w:p w:rsidR="00811E5F" w:rsidRPr="00B75B77" w:rsidRDefault="00811E5F" w:rsidP="00195B2F">
            <w:pPr>
              <w:keepNext/>
              <w:jc w:val="left"/>
              <w:rPr>
                <w:rFonts w:ascii="Calibri" w:eastAsia="Times New Roman" w:hAnsi="Calibri"/>
                <w:b/>
                <w:bCs/>
                <w:color w:val="FFFFFF"/>
                <w:sz w:val="18"/>
                <w:szCs w:val="18"/>
              </w:rPr>
            </w:pPr>
          </w:p>
        </w:tc>
        <w:tc>
          <w:tcPr>
            <w:tcW w:w="5490" w:type="dxa"/>
            <w:vMerge/>
            <w:tcBorders>
              <w:top w:val="single" w:sz="4" w:space="0" w:color="auto"/>
              <w:left w:val="single" w:sz="4" w:space="0" w:color="auto"/>
              <w:bottom w:val="single" w:sz="4" w:space="0" w:color="auto"/>
              <w:right w:val="single" w:sz="4" w:space="0" w:color="auto"/>
            </w:tcBorders>
            <w:vAlign w:val="center"/>
            <w:hideMark/>
          </w:tcPr>
          <w:p w:rsidR="00811E5F" w:rsidRPr="00B75B77" w:rsidRDefault="00811E5F" w:rsidP="00195B2F">
            <w:pPr>
              <w:keepNext/>
              <w:jc w:val="left"/>
              <w:rPr>
                <w:rFonts w:ascii="Calibri" w:eastAsia="Times New Roman" w:hAnsi="Calibri"/>
                <w:b/>
                <w:bCs/>
                <w:color w:val="FFFFFF"/>
                <w:sz w:val="18"/>
                <w:szCs w:val="18"/>
              </w:rPr>
            </w:pPr>
          </w:p>
        </w:tc>
        <w:tc>
          <w:tcPr>
            <w:tcW w:w="1260" w:type="dxa"/>
            <w:tcBorders>
              <w:top w:val="nil"/>
              <w:left w:val="nil"/>
              <w:bottom w:val="single" w:sz="4" w:space="0" w:color="auto"/>
              <w:right w:val="single" w:sz="4" w:space="0" w:color="auto"/>
            </w:tcBorders>
            <w:shd w:val="clear" w:color="auto" w:fill="448A99"/>
            <w:vAlign w:val="center"/>
            <w:hideMark/>
          </w:tcPr>
          <w:p w:rsidR="00811E5F" w:rsidRPr="00B75B77" w:rsidRDefault="00811E5F" w:rsidP="007D5015">
            <w:pPr>
              <w:keepNext/>
              <w:jc w:val="right"/>
              <w:rPr>
                <w:rFonts w:ascii="Calibri" w:eastAsia="Times New Roman" w:hAnsi="Calibri"/>
                <w:b/>
                <w:bCs/>
                <w:color w:val="FFFFFF" w:themeColor="background1"/>
                <w:sz w:val="18"/>
                <w:szCs w:val="18"/>
              </w:rPr>
            </w:pPr>
            <w:r w:rsidRPr="00B75B77">
              <w:rPr>
                <w:rFonts w:ascii="Calibri" w:eastAsia="Times New Roman" w:hAnsi="Calibri"/>
                <w:b/>
                <w:bCs/>
                <w:color w:val="FFFFFF" w:themeColor="background1"/>
                <w:sz w:val="18"/>
                <w:szCs w:val="18"/>
              </w:rPr>
              <w:t>($1,000)</w:t>
            </w:r>
          </w:p>
        </w:tc>
        <w:tc>
          <w:tcPr>
            <w:tcW w:w="1350" w:type="dxa"/>
            <w:tcBorders>
              <w:top w:val="nil"/>
              <w:left w:val="nil"/>
              <w:bottom w:val="single" w:sz="4" w:space="0" w:color="auto"/>
              <w:right w:val="single" w:sz="4" w:space="0" w:color="auto"/>
            </w:tcBorders>
            <w:shd w:val="clear" w:color="auto" w:fill="448A99"/>
            <w:vAlign w:val="center"/>
            <w:hideMark/>
          </w:tcPr>
          <w:p w:rsidR="00811E5F" w:rsidRPr="00B75B77" w:rsidRDefault="00811E5F" w:rsidP="007D5015">
            <w:pPr>
              <w:keepNext/>
              <w:jc w:val="right"/>
              <w:rPr>
                <w:rFonts w:ascii="Calibri" w:eastAsia="Times New Roman" w:hAnsi="Calibri"/>
                <w:b/>
                <w:bCs/>
                <w:color w:val="FFFFFF" w:themeColor="background1"/>
                <w:sz w:val="18"/>
                <w:szCs w:val="18"/>
              </w:rPr>
            </w:pPr>
            <w:r w:rsidRPr="00B75B77">
              <w:rPr>
                <w:rFonts w:ascii="Calibri" w:eastAsia="Times New Roman" w:hAnsi="Calibri"/>
                <w:b/>
                <w:bCs/>
                <w:color w:val="FFFFFF" w:themeColor="background1"/>
                <w:sz w:val="18"/>
                <w:szCs w:val="18"/>
              </w:rPr>
              <w:t>($1,000)</w:t>
            </w:r>
          </w:p>
        </w:tc>
      </w:tr>
      <w:tr w:rsidR="00811E5F" w:rsidRPr="00B75B77" w:rsidTr="00811E5F">
        <w:trPr>
          <w:divId w:val="1602106303"/>
          <w:trHeight w:val="288"/>
        </w:trPr>
        <w:tc>
          <w:tcPr>
            <w:tcW w:w="985" w:type="dxa"/>
            <w:tcBorders>
              <w:top w:val="nil"/>
              <w:left w:val="single" w:sz="4" w:space="0" w:color="448A99"/>
              <w:bottom w:val="single" w:sz="4" w:space="0" w:color="448A99"/>
              <w:right w:val="single" w:sz="4" w:space="0" w:color="448A99"/>
            </w:tcBorders>
            <w:shd w:val="clear" w:color="auto" w:fill="auto"/>
            <w:noWrap/>
            <w:vAlign w:val="center"/>
            <w:hideMark/>
          </w:tcPr>
          <w:p w:rsidR="00811E5F" w:rsidRPr="00B75B77" w:rsidRDefault="00811E5F" w:rsidP="00195B2F">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w:t>
            </w:r>
          </w:p>
        </w:tc>
        <w:tc>
          <w:tcPr>
            <w:tcW w:w="5490" w:type="dxa"/>
            <w:tcBorders>
              <w:top w:val="nil"/>
              <w:left w:val="nil"/>
              <w:bottom w:val="single" w:sz="4" w:space="0" w:color="448A99"/>
              <w:right w:val="single" w:sz="4" w:space="0" w:color="448A99"/>
            </w:tcBorders>
            <w:shd w:val="clear" w:color="auto" w:fill="auto"/>
            <w:noWrap/>
            <w:vAlign w:val="center"/>
            <w:hideMark/>
          </w:tcPr>
          <w:p w:rsidR="00811E5F" w:rsidRPr="00B75B77" w:rsidRDefault="00811E5F" w:rsidP="00195B2F">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Incremental Measure Costs  </w:t>
            </w:r>
          </w:p>
        </w:tc>
        <w:tc>
          <w:tcPr>
            <w:tcW w:w="1260" w:type="dxa"/>
            <w:tcBorders>
              <w:top w:val="single" w:sz="4" w:space="0" w:color="auto"/>
              <w:left w:val="nil"/>
              <w:bottom w:val="single" w:sz="4" w:space="0" w:color="448A99"/>
              <w:right w:val="single" w:sz="4" w:space="0" w:color="448A99"/>
            </w:tcBorders>
            <w:shd w:val="clear" w:color="auto" w:fill="auto"/>
            <w:noWrap/>
            <w:vAlign w:val="center"/>
            <w:hideMark/>
          </w:tcPr>
          <w:p w:rsidR="00811E5F" w:rsidRPr="00B75B77" w:rsidRDefault="00811E5F" w:rsidP="00195B2F">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50" w:type="dxa"/>
            <w:tcBorders>
              <w:top w:val="single" w:sz="4" w:space="0" w:color="auto"/>
              <w:left w:val="nil"/>
              <w:bottom w:val="single" w:sz="4" w:space="0" w:color="448A99"/>
              <w:right w:val="single" w:sz="4" w:space="0" w:color="448A99"/>
            </w:tcBorders>
            <w:shd w:val="clear" w:color="auto" w:fill="auto"/>
            <w:noWrap/>
            <w:vAlign w:val="center"/>
            <w:hideMark/>
          </w:tcPr>
          <w:p w:rsidR="00811E5F" w:rsidRPr="00B75B77" w:rsidRDefault="00811E5F" w:rsidP="00195B2F">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811E5F" w:rsidRPr="00B75B77" w:rsidTr="00811E5F">
        <w:trPr>
          <w:divId w:val="1602106303"/>
          <w:trHeight w:val="288"/>
        </w:trPr>
        <w:tc>
          <w:tcPr>
            <w:tcW w:w="985" w:type="dxa"/>
            <w:tcBorders>
              <w:top w:val="nil"/>
              <w:left w:val="single" w:sz="4" w:space="0" w:color="448A99"/>
              <w:bottom w:val="single" w:sz="4" w:space="0" w:color="448A99"/>
              <w:right w:val="single" w:sz="4" w:space="0" w:color="448A99"/>
            </w:tcBorders>
            <w:shd w:val="clear" w:color="000000" w:fill="D2EAF1"/>
            <w:noWrap/>
            <w:vAlign w:val="center"/>
            <w:hideMark/>
          </w:tcPr>
          <w:p w:rsidR="00811E5F" w:rsidRPr="00B75B77" w:rsidRDefault="00811E5F" w:rsidP="00195B2F">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2</w:t>
            </w:r>
          </w:p>
        </w:tc>
        <w:tc>
          <w:tcPr>
            <w:tcW w:w="5490" w:type="dxa"/>
            <w:tcBorders>
              <w:top w:val="nil"/>
              <w:left w:val="nil"/>
              <w:bottom w:val="single" w:sz="4" w:space="0" w:color="448A99"/>
              <w:right w:val="single" w:sz="4" w:space="0" w:color="448A99"/>
            </w:tcBorders>
            <w:shd w:val="clear" w:color="000000" w:fill="D2EAF1"/>
            <w:noWrap/>
            <w:vAlign w:val="center"/>
            <w:hideMark/>
          </w:tcPr>
          <w:p w:rsidR="00811E5F" w:rsidRPr="00B75B77" w:rsidRDefault="00811E5F" w:rsidP="00195B2F">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EDC Incentives to Participants</w:t>
            </w:r>
          </w:p>
        </w:tc>
        <w:tc>
          <w:tcPr>
            <w:tcW w:w="1260" w:type="dxa"/>
            <w:tcBorders>
              <w:top w:val="nil"/>
              <w:left w:val="nil"/>
              <w:bottom w:val="single" w:sz="4" w:space="0" w:color="448A99"/>
              <w:right w:val="single" w:sz="4" w:space="0" w:color="448A99"/>
            </w:tcBorders>
            <w:shd w:val="clear" w:color="000000" w:fill="D2EAF1"/>
            <w:noWrap/>
            <w:vAlign w:val="center"/>
            <w:hideMark/>
          </w:tcPr>
          <w:p w:rsidR="00811E5F" w:rsidRPr="00B75B77" w:rsidRDefault="00811E5F" w:rsidP="00195B2F">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50" w:type="dxa"/>
            <w:tcBorders>
              <w:top w:val="nil"/>
              <w:left w:val="nil"/>
              <w:bottom w:val="single" w:sz="4" w:space="0" w:color="448A99"/>
              <w:right w:val="single" w:sz="4" w:space="0" w:color="448A99"/>
            </w:tcBorders>
            <w:shd w:val="clear" w:color="000000" w:fill="D2EAF1"/>
            <w:noWrap/>
            <w:vAlign w:val="center"/>
            <w:hideMark/>
          </w:tcPr>
          <w:p w:rsidR="00811E5F" w:rsidRPr="00B75B77" w:rsidRDefault="00811E5F" w:rsidP="00195B2F">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811E5F" w:rsidRPr="00B75B77" w:rsidTr="00811E5F">
        <w:trPr>
          <w:divId w:val="1602106303"/>
          <w:trHeight w:val="288"/>
        </w:trPr>
        <w:tc>
          <w:tcPr>
            <w:tcW w:w="985" w:type="dxa"/>
            <w:tcBorders>
              <w:top w:val="nil"/>
              <w:left w:val="single" w:sz="4" w:space="0" w:color="448A99"/>
              <w:bottom w:val="single" w:sz="4" w:space="0" w:color="448A99"/>
              <w:right w:val="single" w:sz="4" w:space="0" w:color="448A99"/>
            </w:tcBorders>
            <w:shd w:val="clear" w:color="auto" w:fill="auto"/>
            <w:noWrap/>
            <w:vAlign w:val="center"/>
            <w:hideMark/>
          </w:tcPr>
          <w:p w:rsidR="00811E5F" w:rsidRPr="00B75B77" w:rsidRDefault="00811E5F" w:rsidP="00195B2F">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3</w:t>
            </w:r>
          </w:p>
        </w:tc>
        <w:tc>
          <w:tcPr>
            <w:tcW w:w="5490" w:type="dxa"/>
            <w:tcBorders>
              <w:top w:val="nil"/>
              <w:left w:val="nil"/>
              <w:bottom w:val="single" w:sz="4" w:space="0" w:color="448A99"/>
              <w:right w:val="single" w:sz="4" w:space="0" w:color="448A99"/>
            </w:tcBorders>
            <w:shd w:val="clear" w:color="auto" w:fill="auto"/>
            <w:noWrap/>
            <w:vAlign w:val="center"/>
            <w:hideMark/>
          </w:tcPr>
          <w:p w:rsidR="00811E5F" w:rsidRPr="00B75B77" w:rsidRDefault="00811E5F" w:rsidP="00195B2F">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EDC Incentives to Trade Allies</w:t>
            </w:r>
          </w:p>
        </w:tc>
        <w:tc>
          <w:tcPr>
            <w:tcW w:w="1260" w:type="dxa"/>
            <w:tcBorders>
              <w:top w:val="nil"/>
              <w:left w:val="nil"/>
              <w:bottom w:val="single" w:sz="4" w:space="0" w:color="448A99"/>
              <w:right w:val="single" w:sz="4" w:space="0" w:color="448A99"/>
            </w:tcBorders>
            <w:shd w:val="clear" w:color="auto" w:fill="auto"/>
            <w:noWrap/>
            <w:vAlign w:val="center"/>
            <w:hideMark/>
          </w:tcPr>
          <w:p w:rsidR="00811E5F" w:rsidRPr="00B75B77" w:rsidRDefault="00811E5F" w:rsidP="00195B2F">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50" w:type="dxa"/>
            <w:tcBorders>
              <w:top w:val="nil"/>
              <w:left w:val="nil"/>
              <w:bottom w:val="single" w:sz="4" w:space="0" w:color="448A99"/>
              <w:right w:val="single" w:sz="4" w:space="0" w:color="448A99"/>
            </w:tcBorders>
            <w:shd w:val="clear" w:color="auto" w:fill="auto"/>
            <w:noWrap/>
            <w:vAlign w:val="center"/>
            <w:hideMark/>
          </w:tcPr>
          <w:p w:rsidR="00811E5F" w:rsidRPr="00B75B77" w:rsidRDefault="00811E5F" w:rsidP="00195B2F">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811E5F" w:rsidRPr="00B75B77" w:rsidTr="00811E5F">
        <w:trPr>
          <w:divId w:val="1602106303"/>
          <w:trHeight w:val="288"/>
        </w:trPr>
        <w:tc>
          <w:tcPr>
            <w:tcW w:w="985" w:type="dxa"/>
            <w:tcBorders>
              <w:top w:val="nil"/>
              <w:left w:val="single" w:sz="4" w:space="0" w:color="448A99"/>
              <w:bottom w:val="single" w:sz="4" w:space="0" w:color="448A99"/>
              <w:right w:val="single" w:sz="4" w:space="0" w:color="448A99"/>
            </w:tcBorders>
            <w:shd w:val="clear" w:color="000000" w:fill="D2EAF1"/>
            <w:noWrap/>
            <w:vAlign w:val="center"/>
            <w:hideMark/>
          </w:tcPr>
          <w:p w:rsidR="00811E5F" w:rsidRPr="00B75B77" w:rsidRDefault="00811E5F" w:rsidP="00195B2F">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4</w:t>
            </w:r>
          </w:p>
        </w:tc>
        <w:tc>
          <w:tcPr>
            <w:tcW w:w="5490" w:type="dxa"/>
            <w:tcBorders>
              <w:top w:val="nil"/>
              <w:left w:val="nil"/>
              <w:bottom w:val="single" w:sz="4" w:space="0" w:color="448A99"/>
              <w:right w:val="single" w:sz="4" w:space="0" w:color="448A99"/>
            </w:tcBorders>
            <w:shd w:val="clear" w:color="000000" w:fill="D2EAF1"/>
            <w:noWrap/>
            <w:vAlign w:val="center"/>
            <w:hideMark/>
          </w:tcPr>
          <w:p w:rsidR="00811E5F" w:rsidRPr="00B75B77" w:rsidRDefault="00811E5F" w:rsidP="00195B2F">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Participant Costs (Net of Incentives/Rebates Paid by Utilities)</w:t>
            </w:r>
          </w:p>
        </w:tc>
        <w:tc>
          <w:tcPr>
            <w:tcW w:w="1260" w:type="dxa"/>
            <w:tcBorders>
              <w:top w:val="nil"/>
              <w:left w:val="nil"/>
              <w:bottom w:val="single" w:sz="4" w:space="0" w:color="448A99"/>
              <w:right w:val="single" w:sz="4" w:space="0" w:color="448A99"/>
            </w:tcBorders>
            <w:shd w:val="clear" w:color="000000" w:fill="D2EAF1"/>
            <w:vAlign w:val="center"/>
            <w:hideMark/>
          </w:tcPr>
          <w:p w:rsidR="00811E5F" w:rsidRPr="00B75B77" w:rsidRDefault="00811E5F" w:rsidP="00195B2F">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50" w:type="dxa"/>
            <w:tcBorders>
              <w:top w:val="nil"/>
              <w:left w:val="nil"/>
              <w:bottom w:val="single" w:sz="4" w:space="0" w:color="448A99"/>
              <w:right w:val="single" w:sz="4" w:space="0" w:color="448A99"/>
            </w:tcBorders>
            <w:shd w:val="clear" w:color="000000" w:fill="D2EAF1"/>
            <w:vAlign w:val="center"/>
            <w:hideMark/>
          </w:tcPr>
          <w:p w:rsidR="00811E5F" w:rsidRPr="00B75B77" w:rsidRDefault="00811E5F" w:rsidP="00195B2F">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2E73D2" w:rsidRPr="00B75B77" w:rsidTr="00C15945">
        <w:trPr>
          <w:divId w:val="1602106303"/>
          <w:trHeight w:val="115"/>
        </w:trPr>
        <w:tc>
          <w:tcPr>
            <w:tcW w:w="9085" w:type="dxa"/>
            <w:gridSpan w:val="4"/>
            <w:tcBorders>
              <w:top w:val="nil"/>
              <w:left w:val="single" w:sz="4" w:space="0" w:color="448A99"/>
              <w:bottom w:val="single" w:sz="4" w:space="0" w:color="448A99"/>
              <w:right w:val="single" w:sz="4" w:space="0" w:color="448A99"/>
            </w:tcBorders>
            <w:shd w:val="clear" w:color="auto" w:fill="AEAAAA"/>
            <w:noWrap/>
            <w:vAlign w:val="center"/>
            <w:hideMark/>
          </w:tcPr>
          <w:p w:rsidR="002E73D2" w:rsidRPr="00B75B77" w:rsidRDefault="002E73D2" w:rsidP="00195B2F">
            <w:pPr>
              <w:keepNext/>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 </w:t>
            </w:r>
          </w:p>
        </w:tc>
      </w:tr>
      <w:tr w:rsidR="00811E5F" w:rsidRPr="00B75B77" w:rsidTr="00811E5F">
        <w:trPr>
          <w:divId w:val="1602106303"/>
          <w:trHeight w:val="288"/>
        </w:trPr>
        <w:tc>
          <w:tcPr>
            <w:tcW w:w="985" w:type="dxa"/>
            <w:tcBorders>
              <w:top w:val="nil"/>
              <w:left w:val="single" w:sz="4" w:space="0" w:color="448A99"/>
              <w:bottom w:val="single" w:sz="4" w:space="0" w:color="448A99"/>
              <w:right w:val="single" w:sz="4" w:space="0" w:color="448A99"/>
            </w:tcBorders>
            <w:shd w:val="clear" w:color="auto" w:fill="auto"/>
            <w:noWrap/>
            <w:vAlign w:val="center"/>
            <w:hideMark/>
          </w:tcPr>
          <w:p w:rsidR="00811E5F" w:rsidRPr="00B75B77" w:rsidRDefault="00811E5F" w:rsidP="00195B2F">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5</w:t>
            </w:r>
          </w:p>
        </w:tc>
        <w:tc>
          <w:tcPr>
            <w:tcW w:w="5490" w:type="dxa"/>
            <w:tcBorders>
              <w:top w:val="nil"/>
              <w:left w:val="nil"/>
              <w:bottom w:val="single" w:sz="4" w:space="0" w:color="448A99"/>
              <w:right w:val="single" w:sz="4" w:space="0" w:color="448A99"/>
            </w:tcBorders>
            <w:shd w:val="clear" w:color="auto" w:fill="auto"/>
            <w:noWrap/>
            <w:vAlign w:val="center"/>
            <w:hideMark/>
          </w:tcPr>
          <w:p w:rsidR="00811E5F" w:rsidRPr="00B75B77" w:rsidRDefault="00811E5F" w:rsidP="00195B2F">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Program Overhead Costs </w:t>
            </w:r>
          </w:p>
        </w:tc>
        <w:tc>
          <w:tcPr>
            <w:tcW w:w="1260" w:type="dxa"/>
            <w:tcBorders>
              <w:top w:val="nil"/>
              <w:left w:val="nil"/>
              <w:bottom w:val="single" w:sz="4" w:space="0" w:color="448A99"/>
              <w:right w:val="single" w:sz="4" w:space="0" w:color="448A99"/>
            </w:tcBorders>
            <w:shd w:val="clear" w:color="auto" w:fill="auto"/>
            <w:noWrap/>
            <w:vAlign w:val="center"/>
            <w:hideMark/>
          </w:tcPr>
          <w:p w:rsidR="00811E5F" w:rsidRPr="00B75B77" w:rsidRDefault="00811E5F" w:rsidP="00195B2F">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540</w:t>
            </w:r>
          </w:p>
        </w:tc>
        <w:tc>
          <w:tcPr>
            <w:tcW w:w="1350" w:type="dxa"/>
            <w:tcBorders>
              <w:top w:val="nil"/>
              <w:left w:val="nil"/>
              <w:bottom w:val="single" w:sz="4" w:space="0" w:color="448A99"/>
              <w:right w:val="single" w:sz="4" w:space="0" w:color="448A99"/>
            </w:tcBorders>
            <w:shd w:val="clear" w:color="auto" w:fill="auto"/>
            <w:noWrap/>
            <w:vAlign w:val="center"/>
            <w:hideMark/>
          </w:tcPr>
          <w:p w:rsidR="00811E5F" w:rsidRPr="00B75B77" w:rsidRDefault="00811E5F" w:rsidP="00195B2F">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2,903</w:t>
            </w:r>
          </w:p>
        </w:tc>
      </w:tr>
      <w:tr w:rsidR="00811E5F" w:rsidRPr="00B75B77" w:rsidTr="00811E5F">
        <w:trPr>
          <w:divId w:val="1602106303"/>
          <w:trHeight w:val="288"/>
        </w:trPr>
        <w:tc>
          <w:tcPr>
            <w:tcW w:w="985" w:type="dxa"/>
            <w:tcBorders>
              <w:top w:val="nil"/>
              <w:left w:val="single" w:sz="4" w:space="0" w:color="448A99"/>
              <w:bottom w:val="single" w:sz="4" w:space="0" w:color="448A99"/>
              <w:right w:val="single" w:sz="4" w:space="0" w:color="448A99"/>
            </w:tcBorders>
            <w:shd w:val="clear" w:color="000000" w:fill="D2EAF1"/>
            <w:noWrap/>
            <w:vAlign w:val="center"/>
            <w:hideMark/>
          </w:tcPr>
          <w:p w:rsidR="00811E5F" w:rsidRPr="00B75B77" w:rsidRDefault="00811E5F" w:rsidP="00195B2F">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6</w:t>
            </w:r>
          </w:p>
        </w:tc>
        <w:tc>
          <w:tcPr>
            <w:tcW w:w="5490" w:type="dxa"/>
            <w:tcBorders>
              <w:top w:val="nil"/>
              <w:left w:val="nil"/>
              <w:bottom w:val="single" w:sz="4" w:space="0" w:color="448A99"/>
              <w:right w:val="single" w:sz="4" w:space="0" w:color="448A99"/>
            </w:tcBorders>
            <w:shd w:val="clear" w:color="000000" w:fill="D2EAF1"/>
            <w:noWrap/>
            <w:vAlign w:val="center"/>
            <w:hideMark/>
          </w:tcPr>
          <w:p w:rsidR="00811E5F" w:rsidRPr="00B75B77" w:rsidRDefault="00811E5F" w:rsidP="00195B2F">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Design </w:t>
            </w:r>
            <w:r w:rsidR="007D5015" w:rsidRPr="00B75B77">
              <w:rPr>
                <w:rFonts w:ascii="Calibri" w:eastAsia="Times New Roman" w:hAnsi="Calibri"/>
                <w:color w:val="000000"/>
                <w:sz w:val="18"/>
                <w:szCs w:val="18"/>
              </w:rPr>
              <w:t>and</w:t>
            </w:r>
            <w:r w:rsidRPr="00B75B77">
              <w:rPr>
                <w:rFonts w:ascii="Calibri" w:eastAsia="Times New Roman" w:hAnsi="Calibri"/>
                <w:color w:val="000000"/>
                <w:sz w:val="18"/>
                <w:szCs w:val="18"/>
              </w:rPr>
              <w:t xml:space="preserve"> Development</w:t>
            </w:r>
          </w:p>
        </w:tc>
        <w:tc>
          <w:tcPr>
            <w:tcW w:w="1260" w:type="dxa"/>
            <w:tcBorders>
              <w:top w:val="nil"/>
              <w:left w:val="nil"/>
              <w:bottom w:val="single" w:sz="4" w:space="0" w:color="448A99"/>
              <w:right w:val="single" w:sz="4" w:space="0" w:color="448A99"/>
            </w:tcBorders>
            <w:shd w:val="clear" w:color="000000" w:fill="D2EAF1"/>
            <w:noWrap/>
            <w:vAlign w:val="center"/>
            <w:hideMark/>
          </w:tcPr>
          <w:p w:rsidR="00811E5F" w:rsidRPr="00B75B77" w:rsidRDefault="00811E5F" w:rsidP="00195B2F">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50" w:type="dxa"/>
            <w:tcBorders>
              <w:top w:val="nil"/>
              <w:left w:val="nil"/>
              <w:bottom w:val="single" w:sz="4" w:space="0" w:color="448A99"/>
              <w:right w:val="single" w:sz="4" w:space="0" w:color="448A99"/>
            </w:tcBorders>
            <w:shd w:val="clear" w:color="000000" w:fill="D2EAF1"/>
            <w:noWrap/>
            <w:vAlign w:val="center"/>
            <w:hideMark/>
          </w:tcPr>
          <w:p w:rsidR="00811E5F" w:rsidRPr="00B75B77" w:rsidRDefault="00811E5F" w:rsidP="00195B2F">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811E5F" w:rsidRPr="00B75B77" w:rsidTr="00811E5F">
        <w:trPr>
          <w:divId w:val="1602106303"/>
          <w:trHeight w:val="288"/>
        </w:trPr>
        <w:tc>
          <w:tcPr>
            <w:tcW w:w="985" w:type="dxa"/>
            <w:tcBorders>
              <w:top w:val="nil"/>
              <w:left w:val="single" w:sz="4" w:space="0" w:color="448A99"/>
              <w:bottom w:val="single" w:sz="4" w:space="0" w:color="448A99"/>
              <w:right w:val="single" w:sz="4" w:space="0" w:color="448A99"/>
            </w:tcBorders>
            <w:shd w:val="clear" w:color="auto" w:fill="auto"/>
            <w:noWrap/>
            <w:vAlign w:val="center"/>
            <w:hideMark/>
          </w:tcPr>
          <w:p w:rsidR="00811E5F" w:rsidRPr="00B75B77" w:rsidRDefault="00811E5F" w:rsidP="00195B2F">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7</w:t>
            </w:r>
          </w:p>
        </w:tc>
        <w:tc>
          <w:tcPr>
            <w:tcW w:w="5490" w:type="dxa"/>
            <w:tcBorders>
              <w:top w:val="nil"/>
              <w:left w:val="nil"/>
              <w:bottom w:val="single" w:sz="4" w:space="0" w:color="448A99"/>
              <w:right w:val="single" w:sz="4" w:space="0" w:color="448A99"/>
            </w:tcBorders>
            <w:shd w:val="clear" w:color="auto" w:fill="auto"/>
            <w:noWrap/>
            <w:vAlign w:val="center"/>
            <w:hideMark/>
          </w:tcPr>
          <w:p w:rsidR="00811E5F" w:rsidRPr="00B75B77" w:rsidRDefault="00811E5F" w:rsidP="00195B2F">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Administration, Management, and Technical Assistance</w:t>
            </w:r>
            <w:r w:rsidRPr="00B75B77">
              <w:rPr>
                <w:rFonts w:ascii="Calibri" w:eastAsia="Times New Roman" w:hAnsi="Calibri"/>
                <w:b/>
                <w:bCs/>
                <w:color w:val="000000"/>
                <w:sz w:val="18"/>
                <w:szCs w:val="18"/>
                <w:vertAlign w:val="superscript"/>
              </w:rPr>
              <w:t>[1]</w:t>
            </w:r>
          </w:p>
        </w:tc>
        <w:tc>
          <w:tcPr>
            <w:tcW w:w="1260" w:type="dxa"/>
            <w:tcBorders>
              <w:top w:val="nil"/>
              <w:left w:val="nil"/>
              <w:bottom w:val="single" w:sz="4" w:space="0" w:color="448A99"/>
              <w:right w:val="single" w:sz="4" w:space="0" w:color="448A99"/>
            </w:tcBorders>
            <w:shd w:val="clear" w:color="auto" w:fill="auto"/>
            <w:noWrap/>
            <w:vAlign w:val="center"/>
            <w:hideMark/>
          </w:tcPr>
          <w:p w:rsidR="00811E5F" w:rsidRPr="00B75B77" w:rsidRDefault="00811E5F" w:rsidP="00195B2F">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540</w:t>
            </w:r>
          </w:p>
        </w:tc>
        <w:tc>
          <w:tcPr>
            <w:tcW w:w="1350" w:type="dxa"/>
            <w:tcBorders>
              <w:top w:val="nil"/>
              <w:left w:val="nil"/>
              <w:bottom w:val="single" w:sz="4" w:space="0" w:color="448A99"/>
              <w:right w:val="single" w:sz="4" w:space="0" w:color="448A99"/>
            </w:tcBorders>
            <w:shd w:val="clear" w:color="auto" w:fill="auto"/>
            <w:noWrap/>
            <w:vAlign w:val="center"/>
            <w:hideMark/>
          </w:tcPr>
          <w:p w:rsidR="00811E5F" w:rsidRPr="00B75B77" w:rsidRDefault="00811E5F" w:rsidP="00195B2F">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2,902</w:t>
            </w:r>
          </w:p>
        </w:tc>
      </w:tr>
      <w:tr w:rsidR="00811E5F" w:rsidRPr="00B75B77" w:rsidTr="00811E5F">
        <w:trPr>
          <w:divId w:val="1602106303"/>
          <w:trHeight w:val="288"/>
        </w:trPr>
        <w:tc>
          <w:tcPr>
            <w:tcW w:w="985" w:type="dxa"/>
            <w:tcBorders>
              <w:top w:val="nil"/>
              <w:left w:val="single" w:sz="4" w:space="0" w:color="448A99"/>
              <w:bottom w:val="single" w:sz="4" w:space="0" w:color="448A99"/>
              <w:right w:val="single" w:sz="4" w:space="0" w:color="448A99"/>
            </w:tcBorders>
            <w:shd w:val="clear" w:color="000000" w:fill="D2EAF1"/>
            <w:noWrap/>
            <w:vAlign w:val="center"/>
            <w:hideMark/>
          </w:tcPr>
          <w:p w:rsidR="00811E5F" w:rsidRPr="00B75B77" w:rsidRDefault="00811E5F" w:rsidP="00195B2F">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8</w:t>
            </w:r>
          </w:p>
        </w:tc>
        <w:tc>
          <w:tcPr>
            <w:tcW w:w="5490" w:type="dxa"/>
            <w:tcBorders>
              <w:top w:val="nil"/>
              <w:left w:val="nil"/>
              <w:bottom w:val="single" w:sz="4" w:space="0" w:color="448A99"/>
              <w:right w:val="single" w:sz="4" w:space="0" w:color="448A99"/>
            </w:tcBorders>
            <w:shd w:val="clear" w:color="000000" w:fill="D2EAF1"/>
            <w:noWrap/>
            <w:vAlign w:val="center"/>
            <w:hideMark/>
          </w:tcPr>
          <w:p w:rsidR="00811E5F" w:rsidRPr="00B75B77" w:rsidRDefault="00811E5F" w:rsidP="00195B2F">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Marketing</w:t>
            </w:r>
            <w:r w:rsidRPr="00B75B77">
              <w:rPr>
                <w:rFonts w:ascii="Calibri" w:eastAsia="Times New Roman" w:hAnsi="Calibri"/>
                <w:color w:val="000000"/>
                <w:sz w:val="18"/>
                <w:szCs w:val="18"/>
                <w:vertAlign w:val="superscript"/>
              </w:rPr>
              <w:t>[2]</w:t>
            </w:r>
          </w:p>
        </w:tc>
        <w:tc>
          <w:tcPr>
            <w:tcW w:w="1260" w:type="dxa"/>
            <w:tcBorders>
              <w:top w:val="nil"/>
              <w:left w:val="nil"/>
              <w:bottom w:val="single" w:sz="4" w:space="0" w:color="448A99"/>
              <w:right w:val="single" w:sz="4" w:space="0" w:color="448A99"/>
            </w:tcBorders>
            <w:shd w:val="clear" w:color="000000" w:fill="D2EAF1"/>
            <w:noWrap/>
            <w:vAlign w:val="center"/>
            <w:hideMark/>
          </w:tcPr>
          <w:p w:rsidR="00811E5F" w:rsidRPr="00B75B77" w:rsidRDefault="00811E5F" w:rsidP="00195B2F">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50" w:type="dxa"/>
            <w:tcBorders>
              <w:top w:val="nil"/>
              <w:left w:val="nil"/>
              <w:bottom w:val="single" w:sz="4" w:space="0" w:color="448A99"/>
              <w:right w:val="single" w:sz="4" w:space="0" w:color="448A99"/>
            </w:tcBorders>
            <w:shd w:val="clear" w:color="000000" w:fill="D2EAF1"/>
            <w:noWrap/>
            <w:vAlign w:val="center"/>
            <w:hideMark/>
          </w:tcPr>
          <w:p w:rsidR="00811E5F" w:rsidRPr="00B75B77" w:rsidRDefault="00811E5F" w:rsidP="00195B2F">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1</w:t>
            </w:r>
          </w:p>
        </w:tc>
      </w:tr>
      <w:tr w:rsidR="00811E5F" w:rsidRPr="00B75B77" w:rsidTr="00811E5F">
        <w:trPr>
          <w:divId w:val="1602106303"/>
          <w:trHeight w:val="288"/>
        </w:trPr>
        <w:tc>
          <w:tcPr>
            <w:tcW w:w="985" w:type="dxa"/>
            <w:tcBorders>
              <w:top w:val="nil"/>
              <w:left w:val="single" w:sz="4" w:space="0" w:color="448A99"/>
              <w:bottom w:val="single" w:sz="4" w:space="0" w:color="448A99"/>
              <w:right w:val="single" w:sz="4" w:space="0" w:color="448A99"/>
            </w:tcBorders>
            <w:shd w:val="clear" w:color="auto" w:fill="auto"/>
            <w:noWrap/>
            <w:vAlign w:val="center"/>
            <w:hideMark/>
          </w:tcPr>
          <w:p w:rsidR="00811E5F" w:rsidRPr="00B75B77" w:rsidRDefault="00811E5F" w:rsidP="00195B2F">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9</w:t>
            </w:r>
          </w:p>
        </w:tc>
        <w:tc>
          <w:tcPr>
            <w:tcW w:w="5490" w:type="dxa"/>
            <w:tcBorders>
              <w:top w:val="nil"/>
              <w:left w:val="nil"/>
              <w:bottom w:val="single" w:sz="4" w:space="0" w:color="448A99"/>
              <w:right w:val="single" w:sz="4" w:space="0" w:color="448A99"/>
            </w:tcBorders>
            <w:shd w:val="clear" w:color="auto" w:fill="auto"/>
            <w:noWrap/>
            <w:vAlign w:val="center"/>
            <w:hideMark/>
          </w:tcPr>
          <w:p w:rsidR="00811E5F" w:rsidRPr="00B75B77" w:rsidRDefault="00811E5F" w:rsidP="00195B2F">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EDC Evaluation Costs</w:t>
            </w:r>
          </w:p>
        </w:tc>
        <w:tc>
          <w:tcPr>
            <w:tcW w:w="1260" w:type="dxa"/>
            <w:tcBorders>
              <w:top w:val="nil"/>
              <w:left w:val="nil"/>
              <w:bottom w:val="single" w:sz="4" w:space="0" w:color="448A99"/>
              <w:right w:val="single" w:sz="4" w:space="0" w:color="448A99"/>
            </w:tcBorders>
            <w:shd w:val="clear" w:color="auto" w:fill="auto"/>
            <w:noWrap/>
            <w:vAlign w:val="center"/>
            <w:hideMark/>
          </w:tcPr>
          <w:p w:rsidR="00811E5F" w:rsidRPr="00B75B77" w:rsidRDefault="00811E5F" w:rsidP="00195B2F">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50" w:type="dxa"/>
            <w:tcBorders>
              <w:top w:val="nil"/>
              <w:left w:val="nil"/>
              <w:bottom w:val="single" w:sz="4" w:space="0" w:color="448A99"/>
              <w:right w:val="single" w:sz="4" w:space="0" w:color="448A99"/>
            </w:tcBorders>
            <w:shd w:val="clear" w:color="auto" w:fill="auto"/>
            <w:noWrap/>
            <w:vAlign w:val="center"/>
            <w:hideMark/>
          </w:tcPr>
          <w:p w:rsidR="00811E5F" w:rsidRPr="00B75B77" w:rsidRDefault="00811E5F" w:rsidP="00195B2F">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811E5F" w:rsidRPr="00B75B77" w:rsidTr="00811E5F">
        <w:trPr>
          <w:divId w:val="1602106303"/>
          <w:trHeight w:val="288"/>
        </w:trPr>
        <w:tc>
          <w:tcPr>
            <w:tcW w:w="985" w:type="dxa"/>
            <w:tcBorders>
              <w:top w:val="nil"/>
              <w:left w:val="single" w:sz="4" w:space="0" w:color="448A99"/>
              <w:bottom w:val="single" w:sz="4" w:space="0" w:color="448A99"/>
              <w:right w:val="single" w:sz="4" w:space="0" w:color="448A99"/>
            </w:tcBorders>
            <w:shd w:val="clear" w:color="000000" w:fill="D2EAF1"/>
            <w:noWrap/>
            <w:vAlign w:val="center"/>
            <w:hideMark/>
          </w:tcPr>
          <w:p w:rsidR="00811E5F" w:rsidRPr="00B75B77" w:rsidRDefault="00811E5F" w:rsidP="00195B2F">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10</w:t>
            </w:r>
          </w:p>
        </w:tc>
        <w:tc>
          <w:tcPr>
            <w:tcW w:w="5490" w:type="dxa"/>
            <w:tcBorders>
              <w:top w:val="nil"/>
              <w:left w:val="nil"/>
              <w:bottom w:val="single" w:sz="4" w:space="0" w:color="448A99"/>
              <w:right w:val="single" w:sz="4" w:space="0" w:color="448A99"/>
            </w:tcBorders>
            <w:shd w:val="clear" w:color="000000" w:fill="D2EAF1"/>
            <w:noWrap/>
            <w:vAlign w:val="center"/>
            <w:hideMark/>
          </w:tcPr>
          <w:p w:rsidR="00811E5F" w:rsidRPr="00B75B77" w:rsidRDefault="00811E5F" w:rsidP="00195B2F">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SWE Audit Costs </w:t>
            </w:r>
          </w:p>
        </w:tc>
        <w:tc>
          <w:tcPr>
            <w:tcW w:w="1260" w:type="dxa"/>
            <w:tcBorders>
              <w:top w:val="nil"/>
              <w:left w:val="nil"/>
              <w:bottom w:val="single" w:sz="4" w:space="0" w:color="448A99"/>
              <w:right w:val="single" w:sz="4" w:space="0" w:color="448A99"/>
            </w:tcBorders>
            <w:shd w:val="clear" w:color="000000" w:fill="D2EAF1"/>
            <w:noWrap/>
            <w:vAlign w:val="center"/>
            <w:hideMark/>
          </w:tcPr>
          <w:p w:rsidR="00811E5F" w:rsidRPr="00B75B77" w:rsidRDefault="00811E5F" w:rsidP="00195B2F">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50" w:type="dxa"/>
            <w:tcBorders>
              <w:top w:val="nil"/>
              <w:left w:val="nil"/>
              <w:bottom w:val="single" w:sz="4" w:space="0" w:color="448A99"/>
              <w:right w:val="single" w:sz="4" w:space="0" w:color="448A99"/>
            </w:tcBorders>
            <w:shd w:val="clear" w:color="000000" w:fill="D2EAF1"/>
            <w:noWrap/>
            <w:vAlign w:val="center"/>
            <w:hideMark/>
          </w:tcPr>
          <w:p w:rsidR="00811E5F" w:rsidRPr="00B75B77" w:rsidRDefault="00811E5F" w:rsidP="00195B2F">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2E73D2" w:rsidRPr="00B75B77" w:rsidTr="00C15945">
        <w:trPr>
          <w:divId w:val="1602106303"/>
          <w:trHeight w:val="115"/>
        </w:trPr>
        <w:tc>
          <w:tcPr>
            <w:tcW w:w="9085" w:type="dxa"/>
            <w:gridSpan w:val="4"/>
            <w:tcBorders>
              <w:top w:val="nil"/>
              <w:left w:val="single" w:sz="4" w:space="0" w:color="448A99"/>
              <w:bottom w:val="single" w:sz="4" w:space="0" w:color="448A99"/>
              <w:right w:val="single" w:sz="4" w:space="0" w:color="448A99"/>
            </w:tcBorders>
            <w:shd w:val="clear" w:color="auto" w:fill="AEAAAA"/>
            <w:noWrap/>
            <w:vAlign w:val="center"/>
            <w:hideMark/>
          </w:tcPr>
          <w:p w:rsidR="002E73D2" w:rsidRPr="00B75B77" w:rsidRDefault="002E73D2" w:rsidP="00195B2F">
            <w:pPr>
              <w:keepNext/>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 </w:t>
            </w:r>
          </w:p>
        </w:tc>
      </w:tr>
      <w:tr w:rsidR="00811E5F" w:rsidRPr="00B75B77" w:rsidTr="00811E5F">
        <w:trPr>
          <w:divId w:val="1602106303"/>
          <w:trHeight w:val="288"/>
        </w:trPr>
        <w:tc>
          <w:tcPr>
            <w:tcW w:w="985" w:type="dxa"/>
            <w:tcBorders>
              <w:top w:val="nil"/>
              <w:left w:val="single" w:sz="4" w:space="0" w:color="448A99"/>
              <w:bottom w:val="single" w:sz="4" w:space="0" w:color="448A99"/>
              <w:right w:val="single" w:sz="4" w:space="0" w:color="448A99"/>
            </w:tcBorders>
            <w:shd w:val="clear" w:color="auto" w:fill="auto"/>
            <w:noWrap/>
            <w:vAlign w:val="center"/>
            <w:hideMark/>
          </w:tcPr>
          <w:p w:rsidR="00811E5F" w:rsidRPr="00B75B77" w:rsidRDefault="00811E5F" w:rsidP="00195B2F">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11</w:t>
            </w:r>
          </w:p>
        </w:tc>
        <w:tc>
          <w:tcPr>
            <w:tcW w:w="5490" w:type="dxa"/>
            <w:tcBorders>
              <w:top w:val="nil"/>
              <w:left w:val="nil"/>
              <w:bottom w:val="single" w:sz="4" w:space="0" w:color="448A99"/>
              <w:right w:val="single" w:sz="4" w:space="0" w:color="448A99"/>
            </w:tcBorders>
            <w:shd w:val="clear" w:color="auto" w:fill="auto"/>
            <w:noWrap/>
            <w:vAlign w:val="center"/>
            <w:hideMark/>
          </w:tcPr>
          <w:p w:rsidR="00811E5F" w:rsidRPr="00B75B77" w:rsidRDefault="00811E5F" w:rsidP="00195B2F">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Increases in Costs of Natural Gas (or Other Fuels) for Fuel-Switching Programs</w:t>
            </w:r>
          </w:p>
        </w:tc>
        <w:tc>
          <w:tcPr>
            <w:tcW w:w="1260" w:type="dxa"/>
            <w:tcBorders>
              <w:top w:val="nil"/>
              <w:left w:val="nil"/>
              <w:bottom w:val="single" w:sz="4" w:space="0" w:color="448A99"/>
              <w:right w:val="single" w:sz="4" w:space="0" w:color="448A99"/>
            </w:tcBorders>
            <w:shd w:val="clear" w:color="auto" w:fill="auto"/>
            <w:vAlign w:val="center"/>
            <w:hideMark/>
          </w:tcPr>
          <w:p w:rsidR="00811E5F" w:rsidRPr="00B75B77" w:rsidRDefault="00811E5F" w:rsidP="00195B2F">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50" w:type="dxa"/>
            <w:tcBorders>
              <w:top w:val="nil"/>
              <w:left w:val="nil"/>
              <w:bottom w:val="single" w:sz="4" w:space="0" w:color="448A99"/>
              <w:right w:val="single" w:sz="4" w:space="0" w:color="448A99"/>
            </w:tcBorders>
            <w:shd w:val="clear" w:color="auto" w:fill="auto"/>
            <w:vAlign w:val="center"/>
            <w:hideMark/>
          </w:tcPr>
          <w:p w:rsidR="00811E5F" w:rsidRPr="00B75B77" w:rsidRDefault="00811E5F" w:rsidP="00195B2F">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2E73D2" w:rsidRPr="00B75B77" w:rsidTr="00C15945">
        <w:trPr>
          <w:divId w:val="1602106303"/>
          <w:trHeight w:val="115"/>
        </w:trPr>
        <w:tc>
          <w:tcPr>
            <w:tcW w:w="9085" w:type="dxa"/>
            <w:gridSpan w:val="4"/>
            <w:tcBorders>
              <w:top w:val="nil"/>
              <w:left w:val="single" w:sz="4" w:space="0" w:color="448A99"/>
              <w:bottom w:val="single" w:sz="4" w:space="0" w:color="448A99"/>
              <w:right w:val="single" w:sz="4" w:space="0" w:color="448A99"/>
            </w:tcBorders>
            <w:shd w:val="clear" w:color="auto" w:fill="AEAAAA"/>
            <w:noWrap/>
            <w:vAlign w:val="center"/>
            <w:hideMark/>
          </w:tcPr>
          <w:p w:rsidR="002E73D2" w:rsidRPr="00B75B77" w:rsidRDefault="002E73D2" w:rsidP="002E73D2">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w:t>
            </w:r>
          </w:p>
        </w:tc>
      </w:tr>
      <w:tr w:rsidR="00811E5F" w:rsidRPr="00B75B77" w:rsidTr="00811E5F">
        <w:trPr>
          <w:divId w:val="1602106303"/>
          <w:trHeight w:val="288"/>
        </w:trPr>
        <w:tc>
          <w:tcPr>
            <w:tcW w:w="985" w:type="dxa"/>
            <w:tcBorders>
              <w:top w:val="nil"/>
              <w:left w:val="single" w:sz="4" w:space="0" w:color="448A99"/>
              <w:bottom w:val="single" w:sz="4" w:space="0" w:color="448A99"/>
              <w:right w:val="single" w:sz="4" w:space="0" w:color="448A99"/>
            </w:tcBorders>
            <w:shd w:val="clear" w:color="000000" w:fill="D2EAF1"/>
            <w:noWrap/>
            <w:vAlign w:val="center"/>
            <w:hideMark/>
          </w:tcPr>
          <w:p w:rsidR="00811E5F" w:rsidRPr="00B75B77" w:rsidRDefault="00811E5F" w:rsidP="00195B2F">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12</w:t>
            </w:r>
          </w:p>
        </w:tc>
        <w:tc>
          <w:tcPr>
            <w:tcW w:w="5490" w:type="dxa"/>
            <w:tcBorders>
              <w:top w:val="nil"/>
              <w:left w:val="nil"/>
              <w:bottom w:val="single" w:sz="4" w:space="0" w:color="448A99"/>
              <w:right w:val="single" w:sz="4" w:space="0" w:color="448A99"/>
            </w:tcBorders>
            <w:shd w:val="clear" w:color="000000" w:fill="D2EAF1"/>
            <w:noWrap/>
            <w:vAlign w:val="center"/>
            <w:hideMark/>
          </w:tcPr>
          <w:p w:rsidR="00811E5F" w:rsidRPr="00B75B77" w:rsidRDefault="00811E5F" w:rsidP="00195B2F">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Total TRC Costs</w:t>
            </w:r>
            <w:r w:rsidRPr="00B75B77">
              <w:rPr>
                <w:rFonts w:ascii="Calibri" w:eastAsia="Times New Roman" w:hAnsi="Calibri"/>
                <w:color w:val="000000"/>
                <w:sz w:val="18"/>
                <w:szCs w:val="18"/>
                <w:vertAlign w:val="superscript"/>
              </w:rPr>
              <w:t>[5]</w:t>
            </w:r>
          </w:p>
        </w:tc>
        <w:tc>
          <w:tcPr>
            <w:tcW w:w="1260" w:type="dxa"/>
            <w:tcBorders>
              <w:top w:val="nil"/>
              <w:left w:val="nil"/>
              <w:bottom w:val="single" w:sz="4" w:space="0" w:color="448A99"/>
              <w:right w:val="single" w:sz="4" w:space="0" w:color="448A99"/>
            </w:tcBorders>
            <w:shd w:val="clear" w:color="000000" w:fill="D2EAF1"/>
            <w:vAlign w:val="center"/>
            <w:hideMark/>
          </w:tcPr>
          <w:p w:rsidR="00811E5F" w:rsidRPr="00B75B77" w:rsidRDefault="00811E5F" w:rsidP="00195B2F">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540</w:t>
            </w:r>
          </w:p>
        </w:tc>
        <w:tc>
          <w:tcPr>
            <w:tcW w:w="1350" w:type="dxa"/>
            <w:tcBorders>
              <w:top w:val="nil"/>
              <w:left w:val="nil"/>
              <w:bottom w:val="single" w:sz="4" w:space="0" w:color="448A99"/>
              <w:right w:val="single" w:sz="4" w:space="0" w:color="448A99"/>
            </w:tcBorders>
            <w:shd w:val="clear" w:color="000000" w:fill="D2EAF1"/>
            <w:vAlign w:val="center"/>
            <w:hideMark/>
          </w:tcPr>
          <w:p w:rsidR="00811E5F" w:rsidRPr="00B75B77" w:rsidRDefault="00811E5F" w:rsidP="00195B2F">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2,903</w:t>
            </w:r>
          </w:p>
        </w:tc>
      </w:tr>
      <w:tr w:rsidR="00811E5F" w:rsidRPr="00B75B77" w:rsidTr="00811E5F">
        <w:trPr>
          <w:divId w:val="1602106303"/>
          <w:trHeight w:val="288"/>
        </w:trPr>
        <w:tc>
          <w:tcPr>
            <w:tcW w:w="985" w:type="dxa"/>
            <w:tcBorders>
              <w:top w:val="nil"/>
              <w:left w:val="single" w:sz="4" w:space="0" w:color="448A99"/>
              <w:bottom w:val="single" w:sz="4" w:space="0" w:color="448A99"/>
              <w:right w:val="single" w:sz="4" w:space="0" w:color="448A99"/>
            </w:tcBorders>
            <w:shd w:val="clear" w:color="auto" w:fill="auto"/>
            <w:noWrap/>
            <w:vAlign w:val="center"/>
            <w:hideMark/>
          </w:tcPr>
          <w:p w:rsidR="00811E5F" w:rsidRPr="00B75B77" w:rsidRDefault="00811E5F" w:rsidP="00195B2F">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13</w:t>
            </w:r>
          </w:p>
        </w:tc>
        <w:tc>
          <w:tcPr>
            <w:tcW w:w="5490" w:type="dxa"/>
            <w:tcBorders>
              <w:top w:val="nil"/>
              <w:left w:val="nil"/>
              <w:bottom w:val="single" w:sz="4" w:space="0" w:color="448A99"/>
              <w:right w:val="single" w:sz="4" w:space="0" w:color="448A99"/>
            </w:tcBorders>
            <w:shd w:val="clear" w:color="auto" w:fill="auto"/>
            <w:noWrap/>
            <w:vAlign w:val="center"/>
            <w:hideMark/>
          </w:tcPr>
          <w:p w:rsidR="00811E5F" w:rsidRPr="00B75B77" w:rsidRDefault="00811E5F" w:rsidP="00195B2F">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Total NPV Lifetime Energy Benefits</w:t>
            </w:r>
          </w:p>
        </w:tc>
        <w:tc>
          <w:tcPr>
            <w:tcW w:w="1260" w:type="dxa"/>
            <w:tcBorders>
              <w:top w:val="nil"/>
              <w:left w:val="nil"/>
              <w:bottom w:val="single" w:sz="4" w:space="0" w:color="448A99"/>
              <w:right w:val="single" w:sz="4" w:space="0" w:color="448A99"/>
            </w:tcBorders>
            <w:shd w:val="clear" w:color="auto" w:fill="auto"/>
            <w:vAlign w:val="center"/>
            <w:hideMark/>
          </w:tcPr>
          <w:p w:rsidR="00811E5F" w:rsidRPr="00B75B77" w:rsidRDefault="00811E5F" w:rsidP="00195B2F">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4,143</w:t>
            </w:r>
          </w:p>
        </w:tc>
        <w:tc>
          <w:tcPr>
            <w:tcW w:w="1350" w:type="dxa"/>
            <w:tcBorders>
              <w:top w:val="nil"/>
              <w:left w:val="nil"/>
              <w:bottom w:val="single" w:sz="4" w:space="0" w:color="448A99"/>
              <w:right w:val="single" w:sz="4" w:space="0" w:color="448A99"/>
            </w:tcBorders>
            <w:shd w:val="clear" w:color="auto" w:fill="auto"/>
            <w:vAlign w:val="center"/>
            <w:hideMark/>
          </w:tcPr>
          <w:p w:rsidR="00811E5F" w:rsidRPr="00B75B77" w:rsidRDefault="00811E5F" w:rsidP="00195B2F">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4,143</w:t>
            </w:r>
          </w:p>
        </w:tc>
      </w:tr>
      <w:tr w:rsidR="00811E5F" w:rsidRPr="00B75B77" w:rsidTr="00811E5F">
        <w:trPr>
          <w:divId w:val="1602106303"/>
          <w:trHeight w:val="288"/>
        </w:trPr>
        <w:tc>
          <w:tcPr>
            <w:tcW w:w="985" w:type="dxa"/>
            <w:tcBorders>
              <w:top w:val="nil"/>
              <w:left w:val="single" w:sz="4" w:space="0" w:color="448A99"/>
              <w:bottom w:val="single" w:sz="4" w:space="0" w:color="448A99"/>
              <w:right w:val="single" w:sz="4" w:space="0" w:color="448A99"/>
            </w:tcBorders>
            <w:shd w:val="clear" w:color="000000" w:fill="D2EAF1"/>
            <w:noWrap/>
            <w:vAlign w:val="center"/>
            <w:hideMark/>
          </w:tcPr>
          <w:p w:rsidR="00811E5F" w:rsidRPr="00B75B77" w:rsidRDefault="00811E5F" w:rsidP="00195B2F">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14</w:t>
            </w:r>
          </w:p>
        </w:tc>
        <w:tc>
          <w:tcPr>
            <w:tcW w:w="5490" w:type="dxa"/>
            <w:tcBorders>
              <w:top w:val="nil"/>
              <w:left w:val="nil"/>
              <w:bottom w:val="single" w:sz="4" w:space="0" w:color="448A99"/>
              <w:right w:val="single" w:sz="4" w:space="0" w:color="448A99"/>
            </w:tcBorders>
            <w:shd w:val="clear" w:color="000000" w:fill="D2EAF1"/>
            <w:noWrap/>
            <w:vAlign w:val="center"/>
            <w:hideMark/>
          </w:tcPr>
          <w:p w:rsidR="00811E5F" w:rsidRPr="00B75B77" w:rsidRDefault="00811E5F" w:rsidP="00195B2F">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Total NPV Lifetime Capacity Benefits</w:t>
            </w:r>
          </w:p>
        </w:tc>
        <w:tc>
          <w:tcPr>
            <w:tcW w:w="1260" w:type="dxa"/>
            <w:tcBorders>
              <w:top w:val="nil"/>
              <w:left w:val="nil"/>
              <w:bottom w:val="single" w:sz="4" w:space="0" w:color="448A99"/>
              <w:right w:val="single" w:sz="4" w:space="0" w:color="448A99"/>
            </w:tcBorders>
            <w:shd w:val="clear" w:color="000000" w:fill="D2EAF1"/>
            <w:vAlign w:val="center"/>
            <w:hideMark/>
          </w:tcPr>
          <w:p w:rsidR="00811E5F" w:rsidRPr="00B75B77" w:rsidRDefault="00811E5F" w:rsidP="00195B2F">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50" w:type="dxa"/>
            <w:tcBorders>
              <w:top w:val="nil"/>
              <w:left w:val="nil"/>
              <w:bottom w:val="single" w:sz="4" w:space="0" w:color="448A99"/>
              <w:right w:val="single" w:sz="4" w:space="0" w:color="448A99"/>
            </w:tcBorders>
            <w:shd w:val="clear" w:color="000000" w:fill="D2EAF1"/>
            <w:vAlign w:val="center"/>
            <w:hideMark/>
          </w:tcPr>
          <w:p w:rsidR="00811E5F" w:rsidRPr="00B75B77" w:rsidRDefault="00811E5F" w:rsidP="00195B2F">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811E5F" w:rsidRPr="00B75B77" w:rsidTr="00811E5F">
        <w:trPr>
          <w:divId w:val="1602106303"/>
          <w:trHeight w:val="288"/>
        </w:trPr>
        <w:tc>
          <w:tcPr>
            <w:tcW w:w="985" w:type="dxa"/>
            <w:tcBorders>
              <w:top w:val="nil"/>
              <w:left w:val="single" w:sz="4" w:space="0" w:color="448A99"/>
              <w:bottom w:val="single" w:sz="4" w:space="0" w:color="448A99"/>
              <w:right w:val="single" w:sz="4" w:space="0" w:color="448A99"/>
            </w:tcBorders>
            <w:shd w:val="clear" w:color="auto" w:fill="auto"/>
            <w:noWrap/>
            <w:vAlign w:val="center"/>
            <w:hideMark/>
          </w:tcPr>
          <w:p w:rsidR="00811E5F" w:rsidRPr="00B75B77" w:rsidRDefault="00811E5F" w:rsidP="00195B2F">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15</w:t>
            </w:r>
          </w:p>
        </w:tc>
        <w:tc>
          <w:tcPr>
            <w:tcW w:w="5490" w:type="dxa"/>
            <w:tcBorders>
              <w:top w:val="nil"/>
              <w:left w:val="nil"/>
              <w:bottom w:val="single" w:sz="4" w:space="0" w:color="448A99"/>
              <w:right w:val="single" w:sz="4" w:space="0" w:color="448A99"/>
            </w:tcBorders>
            <w:shd w:val="clear" w:color="auto" w:fill="auto"/>
            <w:noWrap/>
            <w:vAlign w:val="center"/>
            <w:hideMark/>
          </w:tcPr>
          <w:p w:rsidR="00811E5F" w:rsidRPr="00B75B77" w:rsidRDefault="00811E5F" w:rsidP="00195B2F">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Total NPV TRC Benefits</w:t>
            </w:r>
            <w:r w:rsidRPr="00B75B77">
              <w:rPr>
                <w:rFonts w:ascii="Calibri" w:eastAsia="Times New Roman" w:hAnsi="Calibri"/>
                <w:color w:val="000000"/>
                <w:sz w:val="18"/>
                <w:szCs w:val="18"/>
                <w:vertAlign w:val="superscript"/>
              </w:rPr>
              <w:t>[6]</w:t>
            </w:r>
          </w:p>
        </w:tc>
        <w:tc>
          <w:tcPr>
            <w:tcW w:w="1260" w:type="dxa"/>
            <w:tcBorders>
              <w:top w:val="nil"/>
              <w:left w:val="nil"/>
              <w:bottom w:val="single" w:sz="4" w:space="0" w:color="448A99"/>
              <w:right w:val="single" w:sz="4" w:space="0" w:color="448A99"/>
            </w:tcBorders>
            <w:shd w:val="clear" w:color="auto" w:fill="auto"/>
            <w:vAlign w:val="center"/>
            <w:hideMark/>
          </w:tcPr>
          <w:p w:rsidR="00811E5F" w:rsidRPr="00B75B77" w:rsidRDefault="00811E5F" w:rsidP="00195B2F">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4,143</w:t>
            </w:r>
          </w:p>
        </w:tc>
        <w:tc>
          <w:tcPr>
            <w:tcW w:w="1350" w:type="dxa"/>
            <w:tcBorders>
              <w:top w:val="nil"/>
              <w:left w:val="nil"/>
              <w:bottom w:val="single" w:sz="4" w:space="0" w:color="448A99"/>
              <w:right w:val="single" w:sz="4" w:space="0" w:color="448A99"/>
            </w:tcBorders>
            <w:shd w:val="clear" w:color="auto" w:fill="auto"/>
            <w:vAlign w:val="center"/>
            <w:hideMark/>
          </w:tcPr>
          <w:p w:rsidR="00811E5F" w:rsidRPr="00B75B77" w:rsidRDefault="00811E5F" w:rsidP="00195B2F">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4,143</w:t>
            </w:r>
          </w:p>
        </w:tc>
      </w:tr>
      <w:tr w:rsidR="002E73D2" w:rsidRPr="00B75B77" w:rsidTr="00C15945">
        <w:trPr>
          <w:divId w:val="1602106303"/>
          <w:trHeight w:val="115"/>
        </w:trPr>
        <w:tc>
          <w:tcPr>
            <w:tcW w:w="9085" w:type="dxa"/>
            <w:gridSpan w:val="4"/>
            <w:tcBorders>
              <w:top w:val="nil"/>
              <w:left w:val="single" w:sz="4" w:space="0" w:color="448A99"/>
              <w:bottom w:val="single" w:sz="4" w:space="0" w:color="448A99"/>
              <w:right w:val="single" w:sz="4" w:space="0" w:color="448A99"/>
            </w:tcBorders>
            <w:shd w:val="clear" w:color="auto" w:fill="AEAAAA"/>
            <w:noWrap/>
            <w:vAlign w:val="center"/>
            <w:hideMark/>
          </w:tcPr>
          <w:p w:rsidR="002E73D2" w:rsidRPr="00B75B77" w:rsidRDefault="002E73D2" w:rsidP="002E73D2">
            <w:pPr>
              <w:keepNext/>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 </w:t>
            </w:r>
          </w:p>
        </w:tc>
      </w:tr>
      <w:tr w:rsidR="00811E5F" w:rsidRPr="00B75B77" w:rsidTr="00811E5F">
        <w:trPr>
          <w:divId w:val="1602106303"/>
          <w:trHeight w:val="288"/>
        </w:trPr>
        <w:tc>
          <w:tcPr>
            <w:tcW w:w="985" w:type="dxa"/>
            <w:tcBorders>
              <w:top w:val="nil"/>
              <w:left w:val="single" w:sz="4" w:space="0" w:color="448A99"/>
              <w:bottom w:val="single" w:sz="4" w:space="0" w:color="448A99"/>
              <w:right w:val="single" w:sz="4" w:space="0" w:color="448A99"/>
            </w:tcBorders>
            <w:shd w:val="clear" w:color="000000" w:fill="D2EAF1"/>
            <w:noWrap/>
            <w:vAlign w:val="center"/>
            <w:hideMark/>
          </w:tcPr>
          <w:p w:rsidR="00811E5F" w:rsidRPr="00B75B77" w:rsidRDefault="00811E5F" w:rsidP="00195B2F">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16</w:t>
            </w:r>
          </w:p>
        </w:tc>
        <w:tc>
          <w:tcPr>
            <w:tcW w:w="5490" w:type="dxa"/>
            <w:tcBorders>
              <w:top w:val="nil"/>
              <w:left w:val="nil"/>
              <w:bottom w:val="single" w:sz="4" w:space="0" w:color="448A99"/>
              <w:right w:val="single" w:sz="4" w:space="0" w:color="448A99"/>
            </w:tcBorders>
            <w:shd w:val="clear" w:color="000000" w:fill="D2EAF1"/>
            <w:noWrap/>
            <w:vAlign w:val="center"/>
            <w:hideMark/>
          </w:tcPr>
          <w:p w:rsidR="00811E5F" w:rsidRPr="00B75B77" w:rsidRDefault="00811E5F" w:rsidP="00195B2F">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TRC Benefit-Cost Ratio</w:t>
            </w:r>
          </w:p>
        </w:tc>
        <w:tc>
          <w:tcPr>
            <w:tcW w:w="1260" w:type="dxa"/>
            <w:tcBorders>
              <w:top w:val="nil"/>
              <w:left w:val="nil"/>
              <w:bottom w:val="single" w:sz="4" w:space="0" w:color="448A99"/>
              <w:right w:val="nil"/>
            </w:tcBorders>
            <w:shd w:val="clear" w:color="000000" w:fill="D2EAF1"/>
            <w:vAlign w:val="center"/>
            <w:hideMark/>
          </w:tcPr>
          <w:p w:rsidR="00811E5F" w:rsidRPr="00B75B77" w:rsidRDefault="00811E5F" w:rsidP="00195B2F">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7.67</w:t>
            </w:r>
          </w:p>
        </w:tc>
        <w:tc>
          <w:tcPr>
            <w:tcW w:w="1350" w:type="dxa"/>
            <w:tcBorders>
              <w:top w:val="nil"/>
              <w:left w:val="single" w:sz="4" w:space="0" w:color="BFBFBF"/>
              <w:bottom w:val="single" w:sz="4" w:space="0" w:color="448A99"/>
              <w:right w:val="single" w:sz="4" w:space="0" w:color="448A99"/>
            </w:tcBorders>
            <w:shd w:val="clear" w:color="000000" w:fill="D2EAF1"/>
            <w:vAlign w:val="center"/>
            <w:hideMark/>
          </w:tcPr>
          <w:p w:rsidR="00811E5F" w:rsidRPr="00B75B77" w:rsidRDefault="00811E5F" w:rsidP="00195B2F">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1.43</w:t>
            </w:r>
          </w:p>
        </w:tc>
      </w:tr>
      <w:tr w:rsidR="00811E5F" w:rsidRPr="00B75B77" w:rsidTr="00811E5F">
        <w:trPr>
          <w:divId w:val="1602106303"/>
          <w:trHeight w:val="3048"/>
        </w:trPr>
        <w:tc>
          <w:tcPr>
            <w:tcW w:w="9085" w:type="dxa"/>
            <w:gridSpan w:val="4"/>
            <w:tcBorders>
              <w:top w:val="single" w:sz="4" w:space="0" w:color="448A99"/>
              <w:left w:val="single" w:sz="4" w:space="0" w:color="448A99"/>
              <w:bottom w:val="single" w:sz="4" w:space="0" w:color="448A99"/>
              <w:right w:val="single" w:sz="4" w:space="0" w:color="448A99"/>
            </w:tcBorders>
            <w:shd w:val="clear" w:color="auto" w:fill="auto"/>
            <w:hideMark/>
          </w:tcPr>
          <w:p w:rsidR="0009500C" w:rsidRPr="00B75B77" w:rsidRDefault="0009500C" w:rsidP="0009500C">
            <w:pPr>
              <w:keepNext/>
              <w:jc w:val="left"/>
              <w:rPr>
                <w:rFonts w:ascii="Calibri" w:eastAsia="Times New Roman" w:hAnsi="Calibri"/>
                <w:b/>
                <w:iCs/>
                <w:color w:val="000000"/>
                <w:sz w:val="18"/>
                <w:szCs w:val="18"/>
              </w:rPr>
            </w:pPr>
            <w:r w:rsidRPr="00B75B77">
              <w:rPr>
                <w:rFonts w:ascii="Calibri" w:eastAsia="Times New Roman" w:hAnsi="Calibri"/>
                <w:b/>
                <w:iCs/>
                <w:color w:val="000000"/>
                <w:sz w:val="18"/>
                <w:szCs w:val="18"/>
              </w:rPr>
              <w:t xml:space="preserve">Notes: </w:t>
            </w:r>
          </w:p>
          <w:p w:rsidR="00811E5F" w:rsidRPr="00B75B77" w:rsidRDefault="00811E5F" w:rsidP="007D5015">
            <w:pPr>
              <w:keepNext/>
              <w:jc w:val="left"/>
              <w:rPr>
                <w:rFonts w:ascii="Calibri" w:eastAsia="Times New Roman" w:hAnsi="Calibri"/>
                <w:color w:val="000000"/>
                <w:sz w:val="18"/>
                <w:szCs w:val="18"/>
              </w:rPr>
            </w:pPr>
            <w:r w:rsidRPr="00B75B77">
              <w:rPr>
                <w:rFonts w:ascii="Calibri" w:eastAsia="Times New Roman" w:hAnsi="Calibri"/>
                <w:iCs/>
                <w:color w:val="000000"/>
                <w:sz w:val="18"/>
                <w:szCs w:val="18"/>
              </w:rPr>
              <w:t xml:space="preserve">Per PUC direction, TRC inputs and calculations are required in the Annual Report only and should comply with the 2013 </w:t>
            </w:r>
            <w:r w:rsidR="007D5015" w:rsidRPr="00B75B77">
              <w:rPr>
                <w:rFonts w:ascii="Calibri" w:eastAsia="Times New Roman" w:hAnsi="Calibri"/>
                <w:iCs/>
                <w:color w:val="000000"/>
                <w:sz w:val="18"/>
                <w:szCs w:val="18"/>
              </w:rPr>
              <w:t>TRC</w:t>
            </w:r>
            <w:r w:rsidRPr="00B75B77">
              <w:rPr>
                <w:rFonts w:ascii="Calibri" w:eastAsia="Times New Roman" w:hAnsi="Calibri"/>
                <w:iCs/>
                <w:color w:val="000000"/>
                <w:sz w:val="18"/>
                <w:szCs w:val="18"/>
              </w:rPr>
              <w:t xml:space="preserve"> Test Order. Please see the “Report Definitions” section of this report for more details.</w:t>
            </w:r>
            <w:r w:rsidRPr="00B75B77">
              <w:rPr>
                <w:rFonts w:ascii="Calibri" w:eastAsia="Times New Roman" w:hAnsi="Calibri"/>
                <w:color w:val="000000"/>
                <w:sz w:val="18"/>
                <w:szCs w:val="18"/>
              </w:rPr>
              <w:br/>
            </w:r>
            <w:r w:rsidRPr="00B75B77">
              <w:rPr>
                <w:rFonts w:ascii="Calibri" w:eastAsia="Times New Roman" w:hAnsi="Calibri"/>
                <w:color w:val="000000"/>
                <w:sz w:val="8"/>
                <w:szCs w:val="8"/>
              </w:rPr>
              <w:br/>
            </w:r>
            <w:r w:rsidRPr="00B75B77">
              <w:rPr>
                <w:rFonts w:ascii="Calibri" w:eastAsia="Times New Roman" w:hAnsi="Calibri"/>
                <w:color w:val="000000"/>
                <w:sz w:val="18"/>
                <w:szCs w:val="18"/>
                <w:vertAlign w:val="superscript"/>
              </w:rPr>
              <w:t>[1]</w:t>
            </w:r>
            <w:r w:rsidRPr="00B75B77">
              <w:rPr>
                <w:rFonts w:ascii="Calibri" w:eastAsia="Times New Roman" w:hAnsi="Calibri"/>
                <w:color w:val="000000"/>
                <w:sz w:val="18"/>
                <w:szCs w:val="18"/>
              </w:rPr>
              <w:t xml:space="preserve"> Includes rebate processing, tracking system, general administration, EDC and CSP program management, general management</w:t>
            </w:r>
            <w:r w:rsidR="008841E5" w:rsidRPr="00B75B77">
              <w:rPr>
                <w:rFonts w:ascii="Calibri" w:eastAsia="Times New Roman" w:hAnsi="Calibri"/>
                <w:color w:val="000000"/>
                <w:sz w:val="18"/>
                <w:szCs w:val="18"/>
              </w:rPr>
              <w:t>,</w:t>
            </w:r>
            <w:r w:rsidRPr="00B75B77">
              <w:rPr>
                <w:rFonts w:ascii="Calibri" w:eastAsia="Times New Roman" w:hAnsi="Calibri"/>
                <w:color w:val="000000"/>
                <w:sz w:val="18"/>
                <w:szCs w:val="18"/>
              </w:rPr>
              <w:t xml:space="preserve"> and legal and technical assistance</w:t>
            </w:r>
            <w:r w:rsidR="002E49B3" w:rsidRPr="00B75B77">
              <w:rPr>
                <w:rFonts w:ascii="Calibri" w:eastAsia="Times New Roman" w:hAnsi="Calibri"/>
                <w:color w:val="000000"/>
                <w:sz w:val="18"/>
                <w:szCs w:val="18"/>
              </w:rPr>
              <w:t xml:space="preserve">. </w:t>
            </w:r>
            <w:r w:rsidRPr="00B75B77">
              <w:rPr>
                <w:rFonts w:ascii="Calibri" w:eastAsia="Times New Roman" w:hAnsi="Calibri"/>
                <w:color w:val="000000"/>
                <w:sz w:val="18"/>
                <w:szCs w:val="18"/>
              </w:rPr>
              <w:br/>
            </w:r>
            <w:r w:rsidRPr="00B75B77">
              <w:rPr>
                <w:rFonts w:ascii="Calibri" w:eastAsia="Times New Roman" w:hAnsi="Calibri"/>
                <w:color w:val="000000"/>
                <w:sz w:val="18"/>
                <w:szCs w:val="18"/>
                <w:vertAlign w:val="superscript"/>
              </w:rPr>
              <w:t>[2]</w:t>
            </w:r>
            <w:r w:rsidRPr="00B75B77">
              <w:rPr>
                <w:rFonts w:ascii="Calibri" w:eastAsia="Times New Roman" w:hAnsi="Calibri"/>
                <w:color w:val="000000"/>
                <w:sz w:val="18"/>
                <w:szCs w:val="18"/>
              </w:rPr>
              <w:t xml:space="preserve"> Includes the marketing CSP and marketing costs by program CSPs. </w:t>
            </w:r>
            <w:r w:rsidRPr="00B75B77">
              <w:rPr>
                <w:rFonts w:ascii="Calibri" w:eastAsia="Times New Roman" w:hAnsi="Calibri"/>
                <w:color w:val="000000"/>
                <w:sz w:val="18"/>
                <w:szCs w:val="18"/>
              </w:rPr>
              <w:br/>
            </w:r>
            <w:r w:rsidRPr="00B75B77">
              <w:rPr>
                <w:rFonts w:ascii="Calibri" w:eastAsia="Times New Roman" w:hAnsi="Calibri"/>
                <w:color w:val="000000"/>
                <w:sz w:val="18"/>
                <w:szCs w:val="18"/>
                <w:vertAlign w:val="superscript"/>
              </w:rPr>
              <w:t>[3]</w:t>
            </w:r>
            <w:r w:rsidRPr="00B75B77">
              <w:rPr>
                <w:rFonts w:ascii="Calibri" w:eastAsia="Times New Roman" w:hAnsi="Calibri"/>
                <w:color w:val="000000"/>
                <w:sz w:val="18"/>
                <w:szCs w:val="18"/>
              </w:rPr>
              <w:t xml:space="preserve"> Total TRC Costs includes Total EDC Costs and Participant Costs.</w:t>
            </w:r>
            <w:r w:rsidRPr="00B75B77">
              <w:rPr>
                <w:rFonts w:ascii="Calibri" w:eastAsia="Times New Roman" w:hAnsi="Calibri"/>
                <w:color w:val="000000"/>
                <w:sz w:val="18"/>
                <w:szCs w:val="18"/>
              </w:rPr>
              <w:br/>
            </w:r>
            <w:r w:rsidRPr="00B75B77">
              <w:rPr>
                <w:rFonts w:ascii="Calibri" w:eastAsia="Times New Roman" w:hAnsi="Calibri"/>
                <w:color w:val="000000"/>
                <w:sz w:val="18"/>
                <w:szCs w:val="18"/>
                <w:vertAlign w:val="superscript"/>
              </w:rPr>
              <w:t>[4]</w:t>
            </w:r>
            <w:r w:rsidRPr="00B75B77">
              <w:rPr>
                <w:rFonts w:ascii="Calibri" w:eastAsia="Times New Roman" w:hAnsi="Calibri"/>
                <w:color w:val="000000"/>
                <w:sz w:val="18"/>
                <w:szCs w:val="18"/>
              </w:rPr>
              <w:t xml:space="preserve"> Total TRC Benefits equals the sum of Total Lifetime Energy Benefits and Total Lifetime Capacity Benefits</w:t>
            </w:r>
            <w:r w:rsidR="007D5015" w:rsidRPr="00B75B77">
              <w:rPr>
                <w:rFonts w:ascii="Calibri" w:eastAsia="Times New Roman" w:hAnsi="Calibri"/>
                <w:color w:val="000000"/>
                <w:sz w:val="18"/>
                <w:szCs w:val="18"/>
              </w:rPr>
              <w:t xml:space="preserve"> b</w:t>
            </w:r>
            <w:r w:rsidRPr="00B75B77">
              <w:rPr>
                <w:rFonts w:ascii="Calibri" w:eastAsia="Times New Roman" w:hAnsi="Calibri"/>
                <w:color w:val="000000"/>
                <w:sz w:val="18"/>
                <w:szCs w:val="18"/>
              </w:rPr>
              <w:t>ased upon verified gross kWh and kW savings. Benefits include avoided supply costs, including the reduction in costs of electric energy, generation, transmission, and distribution capacity, and natural gas valued at marginal cost for periods when there is a load reduction. NOTE: Savings carried over from Phase I are not to be included as a part of Total TRC Benefits for Phase II.</w:t>
            </w:r>
            <w:r w:rsidRPr="00B75B77">
              <w:rPr>
                <w:rFonts w:ascii="Calibri" w:eastAsia="Times New Roman" w:hAnsi="Calibri"/>
                <w:color w:val="000000"/>
                <w:sz w:val="18"/>
                <w:szCs w:val="18"/>
              </w:rPr>
              <w:br/>
            </w:r>
            <w:r w:rsidRPr="00B75B77">
              <w:rPr>
                <w:rFonts w:ascii="Calibri" w:eastAsia="Times New Roman" w:hAnsi="Calibri"/>
                <w:color w:val="000000"/>
                <w:sz w:val="18"/>
                <w:szCs w:val="18"/>
                <w:vertAlign w:val="superscript"/>
              </w:rPr>
              <w:t>[5]</w:t>
            </w:r>
            <w:r w:rsidRPr="00B75B77">
              <w:rPr>
                <w:rFonts w:ascii="Calibri" w:eastAsia="Times New Roman" w:hAnsi="Calibri"/>
                <w:color w:val="000000"/>
                <w:sz w:val="18"/>
                <w:szCs w:val="18"/>
              </w:rPr>
              <w:t xml:space="preserve"> TRC Ratio equals Total NPV TRC Benefits divided by Total NPV TRC Costs.</w:t>
            </w:r>
            <w:r w:rsidRPr="00B75B77">
              <w:rPr>
                <w:rFonts w:ascii="Calibri" w:eastAsia="Times New Roman" w:hAnsi="Calibri"/>
                <w:color w:val="000000"/>
                <w:sz w:val="18"/>
                <w:szCs w:val="18"/>
              </w:rPr>
              <w:br/>
            </w:r>
            <w:r w:rsidRPr="00B75B77">
              <w:rPr>
                <w:rFonts w:ascii="Calibri" w:eastAsia="Times New Roman" w:hAnsi="Calibri"/>
                <w:color w:val="000000"/>
                <w:sz w:val="8"/>
                <w:szCs w:val="8"/>
              </w:rPr>
              <w:br/>
            </w:r>
            <w:r w:rsidRPr="00B75B77">
              <w:rPr>
                <w:rFonts w:ascii="Calibri" w:eastAsia="Times New Roman" w:hAnsi="Calibri"/>
                <w:iCs/>
                <w:color w:val="000000"/>
                <w:sz w:val="18"/>
                <w:szCs w:val="18"/>
              </w:rPr>
              <w:t xml:space="preserve">Values in tables may not reconcile exactly with </w:t>
            </w:r>
            <w:r w:rsidR="007D5015" w:rsidRPr="00B75B77">
              <w:rPr>
                <w:rFonts w:ascii="Calibri" w:eastAsia="Times New Roman" w:hAnsi="Calibri"/>
                <w:iCs/>
                <w:color w:val="000000"/>
                <w:sz w:val="18"/>
                <w:szCs w:val="18"/>
              </w:rPr>
              <w:t xml:space="preserve">the </w:t>
            </w:r>
            <w:r w:rsidRPr="00B75B77">
              <w:rPr>
                <w:rFonts w:ascii="Calibri" w:eastAsia="Times New Roman" w:hAnsi="Calibri"/>
                <w:iCs/>
                <w:color w:val="000000"/>
                <w:sz w:val="18"/>
                <w:szCs w:val="18"/>
              </w:rPr>
              <w:t>sum of more detailed level results or previously reported results due to rounding.</w:t>
            </w:r>
          </w:p>
        </w:tc>
      </w:tr>
    </w:tbl>
    <w:p w:rsidR="00811E5F" w:rsidRPr="00B75B77" w:rsidRDefault="00811E5F" w:rsidP="00195B2F">
      <w:pPr>
        <w:pStyle w:val="Source"/>
        <w:keepNext/>
      </w:pPr>
      <w:r w:rsidRPr="00B75B77">
        <w:t>Source: Navigant analysis</w:t>
      </w:r>
    </w:p>
    <w:p w:rsidR="00195B2F" w:rsidRPr="00B75B77" w:rsidRDefault="00195B2F">
      <w:pPr>
        <w:sectPr w:rsidR="00195B2F" w:rsidRPr="00B75B77" w:rsidSect="00B5438D">
          <w:pgSz w:w="12240" w:h="15840" w:code="1"/>
          <w:pgMar w:top="1170" w:right="1440" w:bottom="1260" w:left="1440" w:header="576" w:footer="475" w:gutter="0"/>
          <w:cols w:space="720"/>
          <w:docGrid w:linePitch="360"/>
        </w:sectPr>
      </w:pPr>
    </w:p>
    <w:p w:rsidR="00EB039C" w:rsidRPr="00B75B77" w:rsidRDefault="00EB039C" w:rsidP="00811E5F">
      <w:pPr>
        <w:pStyle w:val="Heading1"/>
      </w:pPr>
      <w:bookmarkStart w:id="467" w:name="_Toc466413330"/>
      <w:r w:rsidRPr="00B75B77">
        <w:lastRenderedPageBreak/>
        <w:t>Smart Energy Saver</w:t>
      </w:r>
      <w:r w:rsidR="002922A4" w:rsidRPr="00B75B77">
        <w:t xml:space="preserve"> Program</w:t>
      </w:r>
      <w:bookmarkEnd w:id="467"/>
    </w:p>
    <w:p w:rsidR="00EB039C" w:rsidRPr="00B75B77" w:rsidRDefault="00EB039C" w:rsidP="00811E5F">
      <w:r w:rsidRPr="00B75B77">
        <w:t>The PECO Smart Energy Saver (SES) program educates fifth through eighth grade students</w:t>
      </w:r>
      <w:r w:rsidR="007D5015" w:rsidRPr="00B75B77">
        <w:t>—</w:t>
      </w:r>
      <w:r w:rsidRPr="00B75B77">
        <w:t>and</w:t>
      </w:r>
      <w:r w:rsidR="007D5015" w:rsidRPr="00B75B77">
        <w:t>,</w:t>
      </w:r>
      <w:r w:rsidRPr="00B75B77">
        <w:t xml:space="preserve"> by association</w:t>
      </w:r>
      <w:r w:rsidR="007D5015" w:rsidRPr="00B75B77">
        <w:t>,</w:t>
      </w:r>
      <w:r w:rsidRPr="00B75B77">
        <w:t xml:space="preserve"> their families</w:t>
      </w:r>
      <w:r w:rsidR="007D5015" w:rsidRPr="00B75B77">
        <w:t>—</w:t>
      </w:r>
      <w:r w:rsidRPr="00B75B77">
        <w:t xml:space="preserve">about the benefits of energy efficiency through engaging information and energy-saving activities. </w:t>
      </w:r>
      <w:r w:rsidRPr="00B75B77">
        <w:rPr>
          <w:szCs w:val="20"/>
        </w:rPr>
        <w:t xml:space="preserve">PECO hired a </w:t>
      </w:r>
      <w:r w:rsidRPr="00B75B77">
        <w:t>CSP, Research Action Programs (RAP),</w:t>
      </w:r>
      <w:r w:rsidRPr="00B75B77">
        <w:rPr>
          <w:szCs w:val="20"/>
        </w:rPr>
        <w:t xml:space="preserve"> to implement the program and distribute kits to participating teachers in schools throughout PECO</w:t>
      </w:r>
      <w:r w:rsidR="007D5015" w:rsidRPr="00B75B77">
        <w:rPr>
          <w:szCs w:val="20"/>
        </w:rPr>
        <w:t>’s</w:t>
      </w:r>
      <w:r w:rsidRPr="00B75B77">
        <w:rPr>
          <w:szCs w:val="20"/>
        </w:rPr>
        <w:t xml:space="preserve"> service territory.</w:t>
      </w:r>
      <w:r w:rsidRPr="00B75B77">
        <w:rPr>
          <w:rStyle w:val="FootnoteReference"/>
          <w:rFonts w:eastAsiaTheme="majorEastAsia"/>
        </w:rPr>
        <w:footnoteReference w:id="35"/>
      </w:r>
    </w:p>
    <w:p w:rsidR="00EB039C" w:rsidRPr="00B75B77" w:rsidRDefault="00EB039C" w:rsidP="00811E5F"/>
    <w:p w:rsidR="00EB039C" w:rsidRPr="00B75B77" w:rsidRDefault="00EB039C" w:rsidP="00811E5F">
      <w:r w:rsidRPr="00B75B77">
        <w:rPr>
          <w:szCs w:val="20"/>
        </w:rPr>
        <w:t xml:space="preserve">To achieve </w:t>
      </w:r>
      <w:r w:rsidR="007D5015" w:rsidRPr="00B75B77">
        <w:rPr>
          <w:szCs w:val="20"/>
        </w:rPr>
        <w:t xml:space="preserve">one of </w:t>
      </w:r>
      <w:r w:rsidRPr="00B75B77">
        <w:rPr>
          <w:szCs w:val="20"/>
        </w:rPr>
        <w:t>the program</w:t>
      </w:r>
      <w:r w:rsidR="007D5015" w:rsidRPr="00B75B77">
        <w:rPr>
          <w:szCs w:val="20"/>
        </w:rPr>
        <w:t>’s</w:t>
      </w:r>
      <w:r w:rsidRPr="00B75B77">
        <w:rPr>
          <w:szCs w:val="20"/>
        </w:rPr>
        <w:t xml:space="preserve"> goal</w:t>
      </w:r>
      <w:r w:rsidR="007D5015" w:rsidRPr="00B75B77">
        <w:rPr>
          <w:szCs w:val="20"/>
        </w:rPr>
        <w:t>s</w:t>
      </w:r>
      <w:r w:rsidRPr="00B75B77">
        <w:rPr>
          <w:szCs w:val="20"/>
        </w:rPr>
        <w:t xml:space="preserve"> of energy education, the SES program offered classroom curriculum to help participating teachers instruct students on energy-saving approaches that </w:t>
      </w:r>
      <w:r w:rsidR="007D5015" w:rsidRPr="00B75B77">
        <w:rPr>
          <w:szCs w:val="20"/>
        </w:rPr>
        <w:t xml:space="preserve">students </w:t>
      </w:r>
      <w:r w:rsidRPr="00B75B77">
        <w:rPr>
          <w:szCs w:val="20"/>
        </w:rPr>
        <w:t>can implement in their homes.</w:t>
      </w:r>
      <w:r w:rsidRPr="00B75B77">
        <w:rPr>
          <w:vertAlign w:val="superscript"/>
        </w:rPr>
        <w:footnoteReference w:id="36"/>
      </w:r>
      <w:r w:rsidRPr="00B75B77">
        <w:rPr>
          <w:szCs w:val="20"/>
        </w:rPr>
        <w:t xml:space="preserve"> During each school year within the Phase II program calendar, </w:t>
      </w:r>
      <w:r w:rsidR="00ED2D7F" w:rsidRPr="00B75B77">
        <w:rPr>
          <w:szCs w:val="20"/>
        </w:rPr>
        <w:t>the CSP</w:t>
      </w:r>
      <w:r w:rsidRPr="00B75B77">
        <w:rPr>
          <w:szCs w:val="20"/>
        </w:rPr>
        <w:t xml:space="preserve"> worked with PECO to identify and recruit fifth grade teachers into the program and then distributed curriculum materials and take-home kits to the teachers, free of charge. Each participating student was </w:t>
      </w:r>
      <w:r w:rsidR="007D5015" w:rsidRPr="00B75B77">
        <w:rPr>
          <w:szCs w:val="20"/>
        </w:rPr>
        <w:t xml:space="preserve">then </w:t>
      </w:r>
      <w:r w:rsidRPr="00B75B77">
        <w:rPr>
          <w:szCs w:val="20"/>
        </w:rPr>
        <w:t>provided with a take-home kit that included low-cost, energy</w:t>
      </w:r>
      <w:r w:rsidR="002922A4" w:rsidRPr="00B75B77">
        <w:rPr>
          <w:szCs w:val="20"/>
        </w:rPr>
        <w:t xml:space="preserve"> </w:t>
      </w:r>
      <w:r w:rsidRPr="00B75B77">
        <w:rPr>
          <w:szCs w:val="20"/>
        </w:rPr>
        <w:t xml:space="preserve">efficient measures and materials designed to raise awareness about how individual actions can create significant reductions in electricity and water consumption. </w:t>
      </w:r>
      <w:r w:rsidR="00ED2D7F" w:rsidRPr="00B75B77">
        <w:rPr>
          <w:szCs w:val="20"/>
        </w:rPr>
        <w:t>The CSP</w:t>
      </w:r>
      <w:r w:rsidRPr="00B75B77">
        <w:rPr>
          <w:szCs w:val="20"/>
        </w:rPr>
        <w:t xml:space="preserve"> also supplied a slimmed down version of the kit and </w:t>
      </w:r>
      <w:r w:rsidR="007D5015" w:rsidRPr="00B75B77">
        <w:rPr>
          <w:szCs w:val="20"/>
        </w:rPr>
        <w:t xml:space="preserve">the associated </w:t>
      </w:r>
      <w:r w:rsidRPr="00B75B77">
        <w:rPr>
          <w:szCs w:val="20"/>
        </w:rPr>
        <w:t xml:space="preserve">materials </w:t>
      </w:r>
      <w:r w:rsidRPr="00B75B77">
        <w:t>via the PECO Energizing Education Program (PEEP) to sixth through eighth grade classrooms within PECO</w:t>
      </w:r>
      <w:r w:rsidR="007D5015" w:rsidRPr="00B75B77">
        <w:t>’s</w:t>
      </w:r>
      <w:r w:rsidRPr="00B75B77">
        <w:t xml:space="preserve"> territory.</w:t>
      </w:r>
      <w:r w:rsidRPr="00B75B77">
        <w:rPr>
          <w:rStyle w:val="FootnoteReference"/>
        </w:rPr>
        <w:footnoteReference w:id="37"/>
      </w:r>
      <w:r w:rsidRPr="00B75B77">
        <w:t xml:space="preserve"> </w:t>
      </w:r>
      <w:r w:rsidRPr="00B75B77">
        <w:rPr>
          <w:szCs w:val="20"/>
        </w:rPr>
        <w:t xml:space="preserve"> </w:t>
      </w:r>
    </w:p>
    <w:p w:rsidR="00EB039C" w:rsidRPr="00B75B77" w:rsidRDefault="00EB039C" w:rsidP="00811E5F"/>
    <w:p w:rsidR="00011D84" w:rsidRPr="00B75B77" w:rsidRDefault="00EB039C" w:rsidP="00811E5F">
      <w:pPr>
        <w:rPr>
          <w:szCs w:val="20"/>
        </w:rPr>
      </w:pPr>
      <w:r w:rsidRPr="00B75B77">
        <w:rPr>
          <w:szCs w:val="20"/>
        </w:rPr>
        <w:t xml:space="preserve">In PY7, </w:t>
      </w:r>
      <w:r w:rsidR="00ED2D7F" w:rsidRPr="00B75B77">
        <w:rPr>
          <w:szCs w:val="20"/>
        </w:rPr>
        <w:t xml:space="preserve">the CSP </w:t>
      </w:r>
      <w:r w:rsidR="007D5015" w:rsidRPr="00B75B77">
        <w:rPr>
          <w:szCs w:val="20"/>
        </w:rPr>
        <w:t xml:space="preserve">distributed </w:t>
      </w:r>
      <w:r w:rsidRPr="00B75B77">
        <w:rPr>
          <w:szCs w:val="20"/>
        </w:rPr>
        <w:t>8,023 of the full SES take-home kits, which included four CFLs (two 13W, one 18W, and one 23W), a low</w:t>
      </w:r>
      <w:r w:rsidR="007D5015" w:rsidRPr="00B75B77">
        <w:rPr>
          <w:szCs w:val="20"/>
        </w:rPr>
        <w:t>-</w:t>
      </w:r>
      <w:r w:rsidRPr="00B75B77">
        <w:rPr>
          <w:szCs w:val="20"/>
        </w:rPr>
        <w:t>flow showerhead, a faucet aerator, and one LED nightlight, through the program. Additionally</w:t>
      </w:r>
      <w:r w:rsidR="00011D84" w:rsidRPr="00B75B77">
        <w:rPr>
          <w:szCs w:val="20"/>
        </w:rPr>
        <w:t>,</w:t>
      </w:r>
      <w:r w:rsidRPr="00B75B77">
        <w:rPr>
          <w:szCs w:val="20"/>
        </w:rPr>
        <w:t xml:space="preserve"> in PY7 the program distributed 4,301 of the slimmed-down PEEP kits, which included two 13W CFLs and two LED nightlights. </w:t>
      </w:r>
    </w:p>
    <w:p w:rsidR="00011D84" w:rsidRPr="00B75B77" w:rsidRDefault="00011D84" w:rsidP="00811E5F">
      <w:pPr>
        <w:rPr>
          <w:szCs w:val="20"/>
        </w:rPr>
      </w:pPr>
    </w:p>
    <w:p w:rsidR="00EB039C" w:rsidRPr="00B75B77" w:rsidRDefault="00EB039C" w:rsidP="00811E5F">
      <w:pPr>
        <w:rPr>
          <w:szCs w:val="20"/>
        </w:rPr>
      </w:pPr>
      <w:r w:rsidRPr="00B75B77">
        <w:rPr>
          <w:szCs w:val="20"/>
        </w:rPr>
        <w:t>The SES program achieves energy savings from the installation of the measures included in the take-home kits. Each of the kit measures corresponds to a deemed/partially deemed value in the 2015 PA TRM</w:t>
      </w:r>
      <w:r w:rsidR="00011D84" w:rsidRPr="00B75B77">
        <w:rPr>
          <w:szCs w:val="20"/>
        </w:rPr>
        <w:t>,</w:t>
      </w:r>
      <w:r w:rsidRPr="00B75B77">
        <w:rPr>
          <w:szCs w:val="20"/>
        </w:rPr>
        <w:t xml:space="preserve"> and program savings are determined based on the installation rates for each measure as determined through the program evaluation. The SES program does not claim savings from behavioral changes that result from program activities. </w:t>
      </w:r>
    </w:p>
    <w:p w:rsidR="00EB039C" w:rsidRPr="00B75B77" w:rsidRDefault="00EB039C" w:rsidP="00811E5F">
      <w:pPr>
        <w:rPr>
          <w:color w:val="FF0000"/>
          <w:szCs w:val="20"/>
        </w:rPr>
      </w:pPr>
    </w:p>
    <w:p w:rsidR="00EB039C" w:rsidRPr="00B75B77" w:rsidRDefault="00EB039C" w:rsidP="003E6A9B">
      <w:pPr>
        <w:pStyle w:val="Heading2"/>
      </w:pPr>
      <w:bookmarkStart w:id="468" w:name="_Toc466413331"/>
      <w:r w:rsidRPr="00B75B77">
        <w:t>Program Updates</w:t>
      </w:r>
      <w:bookmarkEnd w:id="468"/>
    </w:p>
    <w:p w:rsidR="00EB039C" w:rsidRPr="00B75B77" w:rsidRDefault="00EB039C" w:rsidP="00286B52">
      <w:r w:rsidRPr="00B75B77">
        <w:t xml:space="preserve">PECO launched the SES program in PY5. Slight changes were made to the program in PY6 </w:t>
      </w:r>
      <w:r w:rsidR="00451FB1" w:rsidRPr="00B75B77">
        <w:t>due to</w:t>
      </w:r>
      <w:r w:rsidRPr="00B75B77">
        <w:t xml:space="preserve"> the PY5 evaluation</w:t>
      </w:r>
      <w:r w:rsidR="00011D84" w:rsidRPr="00B75B77">
        <w:t>. These changes</w:t>
      </w:r>
      <w:r w:rsidRPr="00B75B77">
        <w:t xml:space="preserve"> includ</w:t>
      </w:r>
      <w:r w:rsidR="00011D84" w:rsidRPr="00B75B77">
        <w:t>ed</w:t>
      </w:r>
      <w:r w:rsidRPr="00B75B77">
        <w:t xml:space="preserve"> offering an incentive to encourage parents to return the feedback surveys in the kits, changes to the questions asked in the student installation surveys, and updates to the inputs used in the ex ante calculations. PECO made additional slight changes to the program in PY7 as a result of the PY6 evaluation</w:t>
      </w:r>
      <w:r w:rsidR="00011D84" w:rsidRPr="00B75B77">
        <w:t xml:space="preserve">; </w:t>
      </w:r>
      <w:r w:rsidR="00ED2D7F" w:rsidRPr="00B75B77">
        <w:t>these included</w:t>
      </w:r>
      <w:r w:rsidRPr="00B75B77">
        <w:t xml:space="preserve"> the rewording and addition of questions to the student and teacher surveys to better understand details about the program implementation. None of the changes </w:t>
      </w:r>
      <w:r w:rsidR="00011D84" w:rsidRPr="00B75B77">
        <w:t xml:space="preserve">made </w:t>
      </w:r>
      <w:r w:rsidRPr="00B75B77">
        <w:t>for PY6 or PY7 resulted in notable divergence from the program as outlined in the Phase II plan.</w:t>
      </w:r>
    </w:p>
    <w:p w:rsidR="00EB039C" w:rsidRPr="00B75B77" w:rsidRDefault="00EB039C" w:rsidP="00286B52"/>
    <w:p w:rsidR="00EB039C" w:rsidRPr="00B75B77" w:rsidRDefault="00EB039C" w:rsidP="0045485C">
      <w:pPr>
        <w:pStyle w:val="Heading3"/>
      </w:pPr>
      <w:bookmarkStart w:id="469" w:name="_Toc466413332"/>
      <w:r w:rsidRPr="00B75B77">
        <w:t>Definition of Participant</w:t>
      </w:r>
      <w:bookmarkEnd w:id="469"/>
    </w:p>
    <w:p w:rsidR="00011D84" w:rsidRPr="00B75B77" w:rsidRDefault="00EB039C" w:rsidP="00811E5F">
      <w:r w:rsidRPr="00B75B77">
        <w:t xml:space="preserve">PECO defines participation in the SES program based on the number of take-home kits distributed. One kit is equal to one participant. For the full SES kit distribution, the program primarily targets fifth grade </w:t>
      </w:r>
      <w:r w:rsidRPr="00B75B77">
        <w:lastRenderedPageBreak/>
        <w:t>students at schools located within PECO</w:t>
      </w:r>
      <w:r w:rsidR="00011D84" w:rsidRPr="00B75B77">
        <w:t>’s</w:t>
      </w:r>
      <w:r w:rsidRPr="00B75B77">
        <w:t xml:space="preserve"> service area. Based on its implementation experience across the country, RAP feels that fifth grade students are</w:t>
      </w:r>
      <w:r w:rsidR="00011D84" w:rsidRPr="00B75B77">
        <w:t>:</w:t>
      </w:r>
    </w:p>
    <w:p w:rsidR="00011D84" w:rsidRPr="00B75B77" w:rsidRDefault="00011D84" w:rsidP="009E08FB">
      <w:pPr>
        <w:pStyle w:val="ListParagraph"/>
        <w:numPr>
          <w:ilvl w:val="0"/>
          <w:numId w:val="44"/>
        </w:numPr>
      </w:pPr>
      <w:r w:rsidRPr="00B75B77">
        <w:t>A</w:t>
      </w:r>
      <w:r w:rsidR="00EB039C" w:rsidRPr="00B75B77">
        <w:t>dvanced enough to understand and absorb the lessons and activities central to the program</w:t>
      </w:r>
    </w:p>
    <w:p w:rsidR="00011D84" w:rsidRPr="00B75B77" w:rsidRDefault="00011D84" w:rsidP="009E08FB">
      <w:pPr>
        <w:pStyle w:val="ListParagraph"/>
        <w:numPr>
          <w:ilvl w:val="0"/>
          <w:numId w:val="44"/>
        </w:numPr>
      </w:pPr>
      <w:r w:rsidRPr="00B75B77">
        <w:t>I</w:t>
      </w:r>
      <w:r w:rsidR="00EB039C" w:rsidRPr="00B75B77">
        <w:t>mpressionable enough for the program to have an impact on their world view in terms of energy efficiency</w:t>
      </w:r>
      <w:r w:rsidR="00EB039C" w:rsidRPr="00B75B77">
        <w:rPr>
          <w:rStyle w:val="FootnoteReference"/>
        </w:rPr>
        <w:footnoteReference w:id="38"/>
      </w:r>
      <w:r w:rsidR="00EB039C" w:rsidRPr="00B75B77">
        <w:t xml:space="preserve"> </w:t>
      </w:r>
    </w:p>
    <w:p w:rsidR="00011D84" w:rsidRPr="00B75B77" w:rsidRDefault="00011D84" w:rsidP="00811E5F">
      <w:pPr>
        <w:rPr>
          <w:sz w:val="12"/>
          <w:szCs w:val="12"/>
        </w:rPr>
      </w:pPr>
    </w:p>
    <w:p w:rsidR="00EB039C" w:rsidRPr="00B75B77" w:rsidRDefault="00EB039C" w:rsidP="00811E5F">
      <w:r w:rsidRPr="00B75B77">
        <w:t>The program also targets sixth through eighth grade students with the slimmed-down PEEP kits. By sending efficiency measures and information home with students, the program is</w:t>
      </w:r>
      <w:r w:rsidR="00011D84" w:rsidRPr="00B75B77">
        <w:t>—</w:t>
      </w:r>
      <w:r w:rsidRPr="00B75B77">
        <w:t>by extension</w:t>
      </w:r>
      <w:r w:rsidR="00011D84" w:rsidRPr="00B75B77">
        <w:t>—</w:t>
      </w:r>
      <w:r w:rsidRPr="00B75B77">
        <w:t xml:space="preserve">targeting the parents and guardians of these students as an additional audience. </w:t>
      </w:r>
    </w:p>
    <w:p w:rsidR="00EB039C" w:rsidRPr="00B75B77" w:rsidRDefault="00EB039C" w:rsidP="00286B52"/>
    <w:p w:rsidR="00EB039C" w:rsidRPr="00B75B77" w:rsidRDefault="00EB039C" w:rsidP="00811E5F">
      <w:pPr>
        <w:pStyle w:val="Heading2"/>
      </w:pPr>
      <w:bookmarkStart w:id="470" w:name="_Toc466413333"/>
      <w:r w:rsidRPr="00B75B77">
        <w:t>Impact Evaluation Gross Savings</w:t>
      </w:r>
      <w:bookmarkEnd w:id="470"/>
      <w:r w:rsidRPr="00B75B77">
        <w:t xml:space="preserve"> </w:t>
      </w:r>
    </w:p>
    <w:p w:rsidR="00EB039C" w:rsidRPr="00B75B77" w:rsidRDefault="00EB039C" w:rsidP="00811E5F">
      <w:r w:rsidRPr="00B75B77">
        <w:t>For Phase II, the SES program served 37,827 participants</w:t>
      </w:r>
      <w:r w:rsidR="009655BA" w:rsidRPr="00B75B77">
        <w:t>,</w:t>
      </w:r>
      <w:r w:rsidRPr="00B75B77">
        <w:t xml:space="preserve"> and Navigant verified energy and demand savings of 7,219 MWh and 0.80 MW</w:t>
      </w:r>
      <w:r w:rsidR="009655BA" w:rsidRPr="00B75B77">
        <w:t>, respectively</w:t>
      </w:r>
      <w:r w:rsidRPr="00B75B77">
        <w:t xml:space="preserve">. </w:t>
      </w:r>
      <w:r w:rsidR="00B51830" w:rsidRPr="00B75B77">
        <w:fldChar w:fldCharType="begin"/>
      </w:r>
      <w:r w:rsidR="00B51830" w:rsidRPr="00B75B77">
        <w:instrText xml:space="preserve"> REF _Ref461550191 \h </w:instrText>
      </w:r>
      <w:r w:rsidR="00B75B77">
        <w:instrText xml:space="preserve"> \* MERGEFORMAT </w:instrText>
      </w:r>
      <w:r w:rsidR="00B51830" w:rsidRPr="00B75B77">
        <w:fldChar w:fldCharType="separate"/>
      </w:r>
      <w:r w:rsidR="0004016D" w:rsidRPr="00B75B77">
        <w:t xml:space="preserve">Table </w:t>
      </w:r>
      <w:r w:rsidR="0004016D">
        <w:rPr>
          <w:noProof/>
        </w:rPr>
        <w:t>6</w:t>
      </w:r>
      <w:r w:rsidR="0004016D" w:rsidRPr="00B75B77">
        <w:rPr>
          <w:noProof/>
        </w:rPr>
        <w:noBreakHyphen/>
      </w:r>
      <w:r w:rsidR="0004016D">
        <w:rPr>
          <w:noProof/>
        </w:rPr>
        <w:t>1</w:t>
      </w:r>
      <w:r w:rsidR="00B51830" w:rsidRPr="00B75B77">
        <w:fldChar w:fldCharType="end"/>
      </w:r>
      <w:r w:rsidRPr="00B75B77">
        <w:t xml:space="preserve"> presents both the reported and verified Phase II savings results for the SES program. </w:t>
      </w:r>
    </w:p>
    <w:p w:rsidR="00EB039C" w:rsidRPr="00B75B77" w:rsidRDefault="00EB039C" w:rsidP="00286B52"/>
    <w:p w:rsidR="00EB039C" w:rsidRPr="00B75B77" w:rsidRDefault="00EB039C" w:rsidP="00811E5F">
      <w:pPr>
        <w:pStyle w:val="Caption"/>
      </w:pPr>
      <w:bookmarkStart w:id="471" w:name="_Ref461550191"/>
      <w:bookmarkStart w:id="472" w:name="_Ref461550174"/>
      <w:bookmarkStart w:id="473" w:name="_Toc466413549"/>
      <w:r w:rsidRPr="00B75B77">
        <w:t xml:space="preserve">Table </w:t>
      </w:r>
      <w:fldSimple w:instr=" STYLEREF 1 \s ">
        <w:r w:rsidR="0004016D">
          <w:rPr>
            <w:noProof/>
          </w:rPr>
          <w:t>6</w:t>
        </w:r>
      </w:fldSimple>
      <w:r w:rsidR="00F1144C" w:rsidRPr="00B75B77">
        <w:noBreakHyphen/>
      </w:r>
      <w:fldSimple w:instr=" SEQ Table \* ARABIC \s 1 ">
        <w:r w:rsidR="0004016D">
          <w:rPr>
            <w:noProof/>
          </w:rPr>
          <w:t>1</w:t>
        </w:r>
      </w:fldSimple>
      <w:bookmarkEnd w:id="471"/>
      <w:r w:rsidRPr="00B75B77">
        <w:t>: Phase II Smart Energy Saver Reported Results by Customer Sector</w:t>
      </w:r>
      <w:bookmarkEnd w:id="472"/>
      <w:bookmarkEnd w:id="473"/>
    </w:p>
    <w:tbl>
      <w:tblPr>
        <w:tblW w:w="9265" w:type="dxa"/>
        <w:jc w:val="center"/>
        <w:tblLook w:val="04A0" w:firstRow="1" w:lastRow="0" w:firstColumn="1" w:lastColumn="0" w:noHBand="0" w:noVBand="1"/>
      </w:tblPr>
      <w:tblGrid>
        <w:gridCol w:w="1615"/>
        <w:gridCol w:w="1108"/>
        <w:gridCol w:w="1502"/>
        <w:gridCol w:w="1440"/>
        <w:gridCol w:w="1320"/>
        <w:gridCol w:w="1290"/>
        <w:gridCol w:w="990"/>
      </w:tblGrid>
      <w:tr w:rsidR="00EB039C" w:rsidRPr="00B75B77" w:rsidTr="0043277A">
        <w:trPr>
          <w:divId w:val="1674186588"/>
          <w:trHeight w:val="648"/>
          <w:jc w:val="center"/>
        </w:trPr>
        <w:tc>
          <w:tcPr>
            <w:tcW w:w="1615" w:type="dxa"/>
            <w:tcBorders>
              <w:top w:val="single" w:sz="4" w:space="0" w:color="auto"/>
              <w:left w:val="single" w:sz="4" w:space="0" w:color="auto"/>
              <w:bottom w:val="single" w:sz="4" w:space="0" w:color="auto"/>
              <w:right w:val="single" w:sz="4" w:space="0" w:color="auto"/>
            </w:tcBorders>
            <w:shd w:val="clear" w:color="000000" w:fill="448A99"/>
            <w:vAlign w:val="center"/>
            <w:hideMark/>
          </w:tcPr>
          <w:p w:rsidR="00EB039C" w:rsidRPr="00B75B77" w:rsidRDefault="009655BA" w:rsidP="002873F1">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Customer </w:t>
            </w:r>
            <w:r w:rsidR="00EB039C" w:rsidRPr="00B75B77">
              <w:rPr>
                <w:rFonts w:ascii="Calibri" w:eastAsia="Times New Roman" w:hAnsi="Calibri"/>
                <w:b/>
                <w:bCs/>
                <w:color w:val="FFFFFF"/>
                <w:sz w:val="18"/>
                <w:szCs w:val="18"/>
              </w:rPr>
              <w:t>Sector</w:t>
            </w:r>
            <w:r w:rsidR="00EB039C" w:rsidRPr="00B75B77">
              <w:rPr>
                <w:rFonts w:ascii="Calibri" w:eastAsia="Times New Roman" w:hAnsi="Calibri"/>
                <w:b/>
                <w:bCs/>
                <w:color w:val="FFFFFF"/>
                <w:sz w:val="18"/>
                <w:szCs w:val="18"/>
                <w:vertAlign w:val="superscript"/>
              </w:rPr>
              <w:t>[1]</w:t>
            </w:r>
          </w:p>
        </w:tc>
        <w:tc>
          <w:tcPr>
            <w:tcW w:w="1108" w:type="dxa"/>
            <w:tcBorders>
              <w:top w:val="single" w:sz="4" w:space="0" w:color="auto"/>
              <w:left w:val="nil"/>
              <w:bottom w:val="single" w:sz="4" w:space="0" w:color="auto"/>
              <w:right w:val="single" w:sz="4" w:space="0" w:color="auto"/>
            </w:tcBorders>
            <w:shd w:val="clear" w:color="000000" w:fill="448A99"/>
            <w:vAlign w:val="center"/>
            <w:hideMark/>
          </w:tcPr>
          <w:p w:rsidR="00EB039C" w:rsidRPr="00B75B77" w:rsidRDefault="00EB039C" w:rsidP="00811E5F">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Participants</w:t>
            </w:r>
          </w:p>
        </w:tc>
        <w:tc>
          <w:tcPr>
            <w:tcW w:w="1502" w:type="dxa"/>
            <w:tcBorders>
              <w:top w:val="single" w:sz="4" w:space="0" w:color="auto"/>
              <w:left w:val="nil"/>
              <w:bottom w:val="single" w:sz="4" w:space="0" w:color="auto"/>
              <w:right w:val="single" w:sz="4" w:space="0" w:color="auto"/>
            </w:tcBorders>
            <w:shd w:val="clear" w:color="000000" w:fill="448A99"/>
            <w:vAlign w:val="center"/>
            <w:hideMark/>
          </w:tcPr>
          <w:p w:rsidR="00EB039C" w:rsidRPr="00B75B77" w:rsidRDefault="00EB039C" w:rsidP="00811E5F">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Reported Gross Energy Savings (MWh)</w:t>
            </w:r>
          </w:p>
        </w:tc>
        <w:tc>
          <w:tcPr>
            <w:tcW w:w="1440" w:type="dxa"/>
            <w:tcBorders>
              <w:top w:val="single" w:sz="4" w:space="0" w:color="auto"/>
              <w:left w:val="nil"/>
              <w:bottom w:val="single" w:sz="4" w:space="0" w:color="auto"/>
              <w:right w:val="single" w:sz="4" w:space="0" w:color="auto"/>
            </w:tcBorders>
            <w:shd w:val="clear" w:color="000000" w:fill="448A99"/>
            <w:vAlign w:val="center"/>
            <w:hideMark/>
          </w:tcPr>
          <w:p w:rsidR="00EB039C" w:rsidRPr="00B75B77" w:rsidRDefault="00EB039C" w:rsidP="00811E5F">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Reported Gross Demand Reduction (MW)</w:t>
            </w:r>
            <w:r w:rsidRPr="00B75B77">
              <w:rPr>
                <w:rFonts w:ascii="Calibri" w:eastAsia="Times New Roman" w:hAnsi="Calibri"/>
                <w:b/>
                <w:bCs/>
                <w:color w:val="FFFFFF"/>
                <w:sz w:val="18"/>
                <w:szCs w:val="18"/>
                <w:vertAlign w:val="superscript"/>
              </w:rPr>
              <w:t xml:space="preserve"> [2]</w:t>
            </w:r>
          </w:p>
        </w:tc>
        <w:tc>
          <w:tcPr>
            <w:tcW w:w="1320" w:type="dxa"/>
            <w:tcBorders>
              <w:top w:val="single" w:sz="4" w:space="0" w:color="auto"/>
              <w:left w:val="nil"/>
              <w:bottom w:val="single" w:sz="4" w:space="0" w:color="auto"/>
              <w:right w:val="single" w:sz="4" w:space="0" w:color="auto"/>
            </w:tcBorders>
            <w:shd w:val="clear" w:color="000000" w:fill="448A99"/>
            <w:vAlign w:val="center"/>
            <w:hideMark/>
          </w:tcPr>
          <w:p w:rsidR="00EB039C" w:rsidRPr="00B75B77" w:rsidRDefault="00EB039C" w:rsidP="00811E5F">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Verified Gross Energy Savings (MWh)</w:t>
            </w:r>
          </w:p>
        </w:tc>
        <w:tc>
          <w:tcPr>
            <w:tcW w:w="1290" w:type="dxa"/>
            <w:tcBorders>
              <w:top w:val="single" w:sz="4" w:space="0" w:color="auto"/>
              <w:left w:val="nil"/>
              <w:bottom w:val="single" w:sz="4" w:space="0" w:color="auto"/>
              <w:right w:val="single" w:sz="4" w:space="0" w:color="auto"/>
            </w:tcBorders>
            <w:shd w:val="clear" w:color="000000" w:fill="448A99"/>
            <w:vAlign w:val="center"/>
            <w:hideMark/>
          </w:tcPr>
          <w:p w:rsidR="00EB039C" w:rsidRPr="00B75B77" w:rsidRDefault="00EB039C" w:rsidP="00811E5F">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Verified Gross Demand Reduction (MW) </w:t>
            </w:r>
            <w:r w:rsidRPr="00B75B77">
              <w:rPr>
                <w:rFonts w:ascii="Calibri" w:eastAsia="Times New Roman" w:hAnsi="Calibri"/>
                <w:b/>
                <w:bCs/>
                <w:color w:val="FFFFFF"/>
                <w:sz w:val="18"/>
                <w:szCs w:val="18"/>
                <w:vertAlign w:val="superscript"/>
              </w:rPr>
              <w:t>[2]</w:t>
            </w:r>
          </w:p>
        </w:tc>
        <w:tc>
          <w:tcPr>
            <w:tcW w:w="990" w:type="dxa"/>
            <w:tcBorders>
              <w:top w:val="single" w:sz="4" w:space="0" w:color="auto"/>
              <w:left w:val="nil"/>
              <w:bottom w:val="single" w:sz="4" w:space="0" w:color="auto"/>
              <w:right w:val="single" w:sz="4" w:space="0" w:color="auto"/>
            </w:tcBorders>
            <w:shd w:val="clear" w:color="000000" w:fill="448A99"/>
            <w:vAlign w:val="center"/>
            <w:hideMark/>
          </w:tcPr>
          <w:p w:rsidR="00EB039C" w:rsidRPr="00B75B77" w:rsidRDefault="00EB039C" w:rsidP="00451FB1">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Incentives Paid</w:t>
            </w:r>
            <w:r w:rsidRPr="00B75B77">
              <w:rPr>
                <w:rFonts w:ascii="Calibri" w:eastAsia="Times New Roman" w:hAnsi="Calibri"/>
                <w:b/>
                <w:bCs/>
                <w:color w:val="FFFFFF"/>
                <w:sz w:val="18"/>
                <w:szCs w:val="18"/>
              </w:rPr>
              <w:br/>
              <w:t>($1,000)</w:t>
            </w:r>
          </w:p>
        </w:tc>
      </w:tr>
      <w:tr w:rsidR="00442C8B" w:rsidRPr="00B75B77" w:rsidTr="0043277A">
        <w:trPr>
          <w:divId w:val="1674186588"/>
          <w:trHeight w:val="372"/>
          <w:jc w:val="center"/>
        </w:trPr>
        <w:tc>
          <w:tcPr>
            <w:tcW w:w="1615" w:type="dxa"/>
            <w:tcBorders>
              <w:top w:val="nil"/>
              <w:left w:val="single" w:sz="4" w:space="0" w:color="448A99"/>
              <w:bottom w:val="single" w:sz="4" w:space="0" w:color="448A99"/>
              <w:right w:val="single" w:sz="4" w:space="0" w:color="448A99"/>
            </w:tcBorders>
            <w:shd w:val="clear" w:color="000000" w:fill="D2EAF1"/>
            <w:vAlign w:val="center"/>
            <w:hideMark/>
          </w:tcPr>
          <w:p w:rsidR="00442C8B" w:rsidRPr="00B75B77" w:rsidRDefault="00442C8B" w:rsidP="00442C8B">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Residential (Non-Low-Income)</w:t>
            </w:r>
          </w:p>
        </w:tc>
        <w:tc>
          <w:tcPr>
            <w:tcW w:w="1108"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37,827</w:t>
            </w:r>
          </w:p>
        </w:tc>
        <w:tc>
          <w:tcPr>
            <w:tcW w:w="1502"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9,017</w:t>
            </w:r>
          </w:p>
        </w:tc>
        <w:tc>
          <w:tcPr>
            <w:tcW w:w="1440"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0.9</w:t>
            </w:r>
          </w:p>
        </w:tc>
        <w:tc>
          <w:tcPr>
            <w:tcW w:w="1320"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7,219</w:t>
            </w:r>
          </w:p>
        </w:tc>
        <w:tc>
          <w:tcPr>
            <w:tcW w:w="1290"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0.8</w:t>
            </w:r>
          </w:p>
        </w:tc>
        <w:tc>
          <w:tcPr>
            <w:tcW w:w="990"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442C8B" w:rsidRPr="00B75B77" w:rsidTr="0043277A">
        <w:trPr>
          <w:divId w:val="1674186588"/>
          <w:trHeight w:val="372"/>
          <w:jc w:val="center"/>
        </w:trPr>
        <w:tc>
          <w:tcPr>
            <w:tcW w:w="1615" w:type="dxa"/>
            <w:tcBorders>
              <w:top w:val="nil"/>
              <w:left w:val="single" w:sz="4" w:space="0" w:color="448A99"/>
              <w:bottom w:val="single" w:sz="4" w:space="0" w:color="448A99"/>
              <w:right w:val="single" w:sz="4" w:space="0" w:color="448A99"/>
            </w:tcBorders>
            <w:shd w:val="clear" w:color="000000" w:fill="FFFFFF"/>
            <w:vAlign w:val="center"/>
            <w:hideMark/>
          </w:tcPr>
          <w:p w:rsidR="00442C8B" w:rsidRPr="00B75B77" w:rsidRDefault="00442C8B" w:rsidP="00442C8B">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Residential (Low-Income)</w:t>
            </w:r>
          </w:p>
        </w:tc>
        <w:tc>
          <w:tcPr>
            <w:tcW w:w="1108"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502"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440"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320"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290"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990"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EB039C" w:rsidRPr="00B75B77" w:rsidTr="0043277A">
        <w:trPr>
          <w:divId w:val="1674186588"/>
          <w:trHeight w:val="372"/>
          <w:jc w:val="center"/>
        </w:trPr>
        <w:tc>
          <w:tcPr>
            <w:tcW w:w="1615" w:type="dxa"/>
            <w:tcBorders>
              <w:top w:val="nil"/>
              <w:left w:val="single" w:sz="4" w:space="0" w:color="448A99"/>
              <w:bottom w:val="single" w:sz="4" w:space="0" w:color="448A99"/>
              <w:right w:val="single" w:sz="4" w:space="0" w:color="448A99"/>
            </w:tcBorders>
            <w:shd w:val="clear" w:color="000000" w:fill="D2EAF1"/>
            <w:vAlign w:val="center"/>
            <w:hideMark/>
          </w:tcPr>
          <w:p w:rsidR="00EB039C" w:rsidRPr="00B75B77" w:rsidRDefault="00EB039C" w:rsidP="00811E5F">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Small C</w:t>
            </w:r>
            <w:r w:rsidR="0054073E" w:rsidRPr="00B75B77">
              <w:rPr>
                <w:rFonts w:ascii="Calibri" w:eastAsia="Times New Roman" w:hAnsi="Calibri"/>
                <w:bCs/>
                <w:color w:val="000000"/>
                <w:sz w:val="18"/>
                <w:szCs w:val="18"/>
              </w:rPr>
              <w:t>&amp;I</w:t>
            </w:r>
          </w:p>
        </w:tc>
        <w:tc>
          <w:tcPr>
            <w:tcW w:w="1108"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502"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44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32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29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99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451FB1">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EB039C" w:rsidRPr="00B75B77" w:rsidTr="0043277A">
        <w:trPr>
          <w:divId w:val="1674186588"/>
          <w:trHeight w:val="372"/>
          <w:jc w:val="center"/>
        </w:trPr>
        <w:tc>
          <w:tcPr>
            <w:tcW w:w="1615" w:type="dxa"/>
            <w:tcBorders>
              <w:top w:val="nil"/>
              <w:left w:val="single" w:sz="4" w:space="0" w:color="448A99"/>
              <w:bottom w:val="single" w:sz="4" w:space="0" w:color="448A99"/>
              <w:right w:val="single" w:sz="4" w:space="0" w:color="448A99"/>
            </w:tcBorders>
            <w:shd w:val="clear" w:color="000000" w:fill="FFFFFF"/>
            <w:vAlign w:val="center"/>
            <w:hideMark/>
          </w:tcPr>
          <w:p w:rsidR="00EB039C" w:rsidRPr="00B75B77" w:rsidRDefault="00EB039C" w:rsidP="00811E5F">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Large C</w:t>
            </w:r>
            <w:r w:rsidR="0054073E" w:rsidRPr="00B75B77">
              <w:rPr>
                <w:rFonts w:ascii="Calibri" w:eastAsia="Times New Roman" w:hAnsi="Calibri"/>
                <w:bCs/>
                <w:color w:val="000000"/>
                <w:sz w:val="18"/>
                <w:szCs w:val="18"/>
              </w:rPr>
              <w:t>&amp;I</w:t>
            </w:r>
          </w:p>
        </w:tc>
        <w:tc>
          <w:tcPr>
            <w:tcW w:w="1108"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502"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440"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320"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290"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990"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451FB1">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EB039C" w:rsidRPr="00B75B77" w:rsidTr="0043277A">
        <w:trPr>
          <w:divId w:val="1674186588"/>
          <w:trHeight w:val="372"/>
          <w:jc w:val="center"/>
        </w:trPr>
        <w:tc>
          <w:tcPr>
            <w:tcW w:w="1615" w:type="dxa"/>
            <w:tcBorders>
              <w:top w:val="nil"/>
              <w:left w:val="single" w:sz="4" w:space="0" w:color="448A99"/>
              <w:bottom w:val="single" w:sz="4" w:space="0" w:color="448A99"/>
              <w:right w:val="single" w:sz="4" w:space="0" w:color="448A99"/>
            </w:tcBorders>
            <w:shd w:val="clear" w:color="000000" w:fill="D2EAF1"/>
            <w:vAlign w:val="center"/>
            <w:hideMark/>
          </w:tcPr>
          <w:p w:rsidR="00EB039C" w:rsidRPr="00B75B77" w:rsidRDefault="00EB039C" w:rsidP="00811E5F">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G</w:t>
            </w:r>
            <w:r w:rsidR="0054073E" w:rsidRPr="00B75B77">
              <w:rPr>
                <w:rFonts w:ascii="Calibri" w:eastAsia="Times New Roman" w:hAnsi="Calibri"/>
                <w:bCs/>
                <w:color w:val="000000"/>
                <w:sz w:val="18"/>
                <w:szCs w:val="18"/>
              </w:rPr>
              <w:t>NI</w:t>
            </w:r>
          </w:p>
        </w:tc>
        <w:tc>
          <w:tcPr>
            <w:tcW w:w="1108"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502"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44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32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29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99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451FB1">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EB039C" w:rsidRPr="00B75B77" w:rsidTr="0043277A">
        <w:trPr>
          <w:divId w:val="1674186588"/>
          <w:trHeight w:val="312"/>
          <w:jc w:val="center"/>
        </w:trPr>
        <w:tc>
          <w:tcPr>
            <w:tcW w:w="1615" w:type="dxa"/>
            <w:tcBorders>
              <w:top w:val="nil"/>
              <w:left w:val="single" w:sz="4" w:space="0" w:color="448A99"/>
              <w:bottom w:val="single" w:sz="4" w:space="0" w:color="448A99"/>
              <w:right w:val="single" w:sz="4" w:space="0" w:color="448A99"/>
            </w:tcBorders>
            <w:shd w:val="clear" w:color="000000" w:fill="FFFFFF"/>
            <w:vAlign w:val="center"/>
            <w:hideMark/>
          </w:tcPr>
          <w:p w:rsidR="00EB039C" w:rsidRPr="00B75B77" w:rsidRDefault="009655BA" w:rsidP="00811E5F">
            <w:pPr>
              <w:jc w:val="left"/>
              <w:rPr>
                <w:rFonts w:ascii="Calibri" w:eastAsia="Times New Roman" w:hAnsi="Calibri"/>
                <w:b/>
                <w:color w:val="000000"/>
                <w:sz w:val="18"/>
                <w:szCs w:val="18"/>
              </w:rPr>
            </w:pPr>
            <w:r w:rsidRPr="00B75B77">
              <w:rPr>
                <w:rFonts w:ascii="Calibri" w:eastAsia="Times New Roman" w:hAnsi="Calibri"/>
                <w:b/>
                <w:color w:val="000000"/>
                <w:sz w:val="18"/>
                <w:szCs w:val="18"/>
              </w:rPr>
              <w:t>PHASE II TOTAL</w:t>
            </w:r>
          </w:p>
        </w:tc>
        <w:tc>
          <w:tcPr>
            <w:tcW w:w="1108"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37,827</w:t>
            </w:r>
          </w:p>
        </w:tc>
        <w:tc>
          <w:tcPr>
            <w:tcW w:w="1502"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9,017</w:t>
            </w:r>
          </w:p>
        </w:tc>
        <w:tc>
          <w:tcPr>
            <w:tcW w:w="1440"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0.9</w:t>
            </w:r>
          </w:p>
        </w:tc>
        <w:tc>
          <w:tcPr>
            <w:tcW w:w="1320"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7,219</w:t>
            </w:r>
          </w:p>
        </w:tc>
        <w:tc>
          <w:tcPr>
            <w:tcW w:w="1290"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0.8</w:t>
            </w:r>
          </w:p>
        </w:tc>
        <w:tc>
          <w:tcPr>
            <w:tcW w:w="990"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451FB1">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$0</w:t>
            </w:r>
          </w:p>
        </w:tc>
      </w:tr>
    </w:tbl>
    <w:p w:rsidR="009655BA" w:rsidRPr="00B75B77" w:rsidRDefault="009655BA" w:rsidP="009655BA">
      <w:pPr>
        <w:pStyle w:val="Source"/>
        <w:spacing w:before="20" w:after="20"/>
        <w:ind w:left="86" w:firstLine="0"/>
        <w:rPr>
          <w:rFonts w:ascii="Calibri" w:hAnsi="Calibri"/>
          <w:i w:val="0"/>
          <w:iCs/>
          <w:color w:val="000000"/>
          <w:szCs w:val="18"/>
        </w:rPr>
      </w:pPr>
      <w:r w:rsidRPr="00B75B77">
        <w:rPr>
          <w:rFonts w:ascii="Calibri" w:hAnsi="Calibri"/>
          <w:i w:val="0"/>
          <w:color w:val="000000"/>
          <w:szCs w:val="18"/>
          <w:vertAlign w:val="superscript"/>
        </w:rPr>
        <w:t>[1]</w:t>
      </w:r>
      <w:r w:rsidRPr="00B75B77">
        <w:rPr>
          <w:rFonts w:ascii="Calibri" w:hAnsi="Calibri"/>
          <w:i w:val="0"/>
          <w:color w:val="000000"/>
          <w:szCs w:val="18"/>
        </w:rPr>
        <w:t xml:space="preserve"> All customer sector totals are exclusive of each other and may be added together to get the Phase II totals.</w:t>
      </w:r>
      <w:r w:rsidRPr="00B75B77">
        <w:rPr>
          <w:rFonts w:ascii="Calibri" w:hAnsi="Calibri"/>
          <w:i w:val="0"/>
          <w:color w:val="000000"/>
          <w:szCs w:val="18"/>
        </w:rPr>
        <w:br/>
      </w:r>
      <w:r w:rsidRPr="00B75B77">
        <w:rPr>
          <w:rFonts w:ascii="Calibri" w:hAnsi="Calibri"/>
          <w:i w:val="0"/>
          <w:color w:val="000000"/>
          <w:szCs w:val="18"/>
          <w:vertAlign w:val="superscript"/>
        </w:rPr>
        <w:t>[2]</w:t>
      </w:r>
      <w:r w:rsidRPr="00B75B77">
        <w:rPr>
          <w:rFonts w:ascii="Calibri" w:hAnsi="Calibri"/>
          <w:i w:val="0"/>
          <w:color w:val="000000"/>
          <w:szCs w:val="18"/>
        </w:rPr>
        <w:t xml:space="preserve"> All reported and verified demand savings in this report include line losses as required.</w:t>
      </w:r>
      <w:r w:rsidRPr="00B75B77">
        <w:rPr>
          <w:rFonts w:ascii="Calibri" w:hAnsi="Calibri"/>
          <w:i w:val="0"/>
          <w:color w:val="000000"/>
          <w:szCs w:val="18"/>
        </w:rPr>
        <w:br/>
      </w:r>
      <w:r w:rsidRPr="00B75B77">
        <w:rPr>
          <w:rFonts w:ascii="Calibri" w:hAnsi="Calibri"/>
          <w:i w:val="0"/>
          <w:iCs/>
          <w:color w:val="000000"/>
          <w:szCs w:val="18"/>
        </w:rPr>
        <w:t>Note: Values in tables may not reconcile exactly with the sum of more detailed level results or previously reported results due to rounding.</w:t>
      </w:r>
    </w:p>
    <w:p w:rsidR="00EB039C" w:rsidRPr="00B75B77" w:rsidRDefault="00EB039C" w:rsidP="009655BA">
      <w:pPr>
        <w:pStyle w:val="Source"/>
        <w:ind w:left="90" w:firstLine="0"/>
      </w:pPr>
      <w:r w:rsidRPr="00B75B77">
        <w:t>Source: Navigant analysis</w:t>
      </w:r>
    </w:p>
    <w:p w:rsidR="00EB039C" w:rsidRPr="00B75B77" w:rsidRDefault="00EB039C" w:rsidP="00811E5F">
      <w:pPr>
        <w:pStyle w:val="Heading3"/>
      </w:pPr>
      <w:bookmarkStart w:id="474" w:name="_Toc466413334"/>
      <w:r w:rsidRPr="00B75B77">
        <w:t>Gross Verified Savings Methodology</w:t>
      </w:r>
      <w:bookmarkEnd w:id="474"/>
      <w:r w:rsidRPr="00B75B77">
        <w:t xml:space="preserve"> </w:t>
      </w:r>
    </w:p>
    <w:p w:rsidR="00EB039C" w:rsidRPr="00B75B77" w:rsidRDefault="00EB039C" w:rsidP="00811E5F">
      <w:r w:rsidRPr="00B75B77">
        <w:t xml:space="preserve">Navigant evaluated the gross savings impacts of the SES program based on the deemed values in the 2015 PA TRM. The TRM equation inputs were informed </w:t>
      </w:r>
      <w:r w:rsidR="002D2EB1" w:rsidRPr="00B75B77">
        <w:t xml:space="preserve">by </w:t>
      </w:r>
      <w:r w:rsidRPr="00B75B77">
        <w:t>the data captured via the student installation surveys, which was documented in the program tracking database. Through the student installation surveys, students provided information about how many and which of the take-home kit measures were installed in their home, as well as details about their homes including whether it is a single</w:t>
      </w:r>
      <w:r w:rsidR="0044162C" w:rsidRPr="00B75B77">
        <w:t>-</w:t>
      </w:r>
      <w:r w:rsidRPr="00B75B77">
        <w:t>family or multifamily home and whether their water heater use</w:t>
      </w:r>
      <w:r w:rsidR="002D2EB1" w:rsidRPr="00B75B77">
        <w:t>s</w:t>
      </w:r>
      <w:r w:rsidRPr="00B75B77">
        <w:t xml:space="preserve"> gas or electricity. After </w:t>
      </w:r>
      <w:r w:rsidR="00ED2D7F" w:rsidRPr="00B75B77">
        <w:t>the CSP</w:t>
      </w:r>
      <w:r w:rsidRPr="00B75B77">
        <w:t xml:space="preserve"> received the student installation survey data from participating teachers, </w:t>
      </w:r>
      <w:r w:rsidR="002D2EB1" w:rsidRPr="00B75B77">
        <w:t xml:space="preserve">it </w:t>
      </w:r>
      <w:r w:rsidRPr="00B75B77">
        <w:t xml:space="preserve">provided the data to PECO for transfer to Navigant. Using this information, the evaluation team completed an </w:t>
      </w:r>
      <w:r w:rsidR="002D2EB1" w:rsidRPr="00B75B77">
        <w:t>installation rate</w:t>
      </w:r>
      <w:r w:rsidRPr="00B75B77">
        <w:t xml:space="preserve"> calculation for each measure, which included quantifying installation rates and calculating savings for each measure as outlined in the 2015 PA TRM.</w:t>
      </w:r>
    </w:p>
    <w:p w:rsidR="00EB039C" w:rsidRPr="00B75B77" w:rsidRDefault="00EB039C" w:rsidP="00811E5F"/>
    <w:p w:rsidR="00EB039C" w:rsidRPr="00B75B77" w:rsidRDefault="00EB039C" w:rsidP="00811E5F">
      <w:r w:rsidRPr="00B75B77">
        <w:lastRenderedPageBreak/>
        <w:t xml:space="preserve">When calculating the verified program savings, Navigant updated some of the TRM-defined variables based on available installation survey data. The standard TRM values used in the ex ante calculations were only changed when the TRM dictated that data collection could be used to update values and when the evaluation team was confident in the data supplied by the installation survey. </w:t>
      </w:r>
    </w:p>
    <w:p w:rsidR="00EB039C" w:rsidRPr="00B75B77" w:rsidRDefault="00EB039C" w:rsidP="00811E5F"/>
    <w:p w:rsidR="00EB039C" w:rsidRPr="00B75B77" w:rsidRDefault="00EB039C" w:rsidP="00811E5F">
      <w:r w:rsidRPr="00B75B77">
        <w:t xml:space="preserve">The SES program does not claim low-income participation. While </w:t>
      </w:r>
      <w:r w:rsidR="00ED2D7F" w:rsidRPr="00B75B77">
        <w:t>PECO and Navigant assume</w:t>
      </w:r>
      <w:r w:rsidRPr="00B75B77">
        <w:t xml:space="preserve"> that some of the program kits are installed in low-income households, no data is collected as part of the program that could quantify this assumption. Therefore, all program savings are claimed under the residential sector and no low-income participation is claimed by the program. </w:t>
      </w:r>
    </w:p>
    <w:p w:rsidR="00EB039C" w:rsidRPr="00B75B77" w:rsidRDefault="00EB039C" w:rsidP="00811E5F"/>
    <w:p w:rsidR="00EB039C" w:rsidRPr="00B75B77" w:rsidRDefault="00EB039C" w:rsidP="00811E5F">
      <w:r w:rsidRPr="00B75B77">
        <w:t xml:space="preserve">Navigant verified that in PY7 RAP distributed 8,023 SES (full) kits and 4,301 </w:t>
      </w:r>
      <w:proofErr w:type="gramStart"/>
      <w:r w:rsidRPr="00B75B77">
        <w:t>PEEP</w:t>
      </w:r>
      <w:proofErr w:type="gramEnd"/>
      <w:r w:rsidRPr="00B75B77">
        <w:t xml:space="preserve"> (slimmed down) kits.</w:t>
      </w:r>
      <w:r w:rsidR="00ED2D7F" w:rsidRPr="00B75B77">
        <w:t xml:space="preserve"> The CSP</w:t>
      </w:r>
      <w:r w:rsidR="002D2EB1" w:rsidRPr="00B75B77">
        <w:t xml:space="preserve"> distributed t</w:t>
      </w:r>
      <w:r w:rsidRPr="00B75B77">
        <w:t>hese 12,324 kits to 254 teachers across 124 schools. Of the 12,324 take-home kits distributed, the program received 3,710 (30</w:t>
      </w:r>
      <w:r w:rsidR="0009500C" w:rsidRPr="00B75B77">
        <w:t>%</w:t>
      </w:r>
      <w:r w:rsidRPr="00B75B77">
        <w:t>) of the student installation surveys back from participating teachers. In comparison, the overall survey return rate was 42</w:t>
      </w:r>
      <w:r w:rsidR="0009500C" w:rsidRPr="00B75B77">
        <w:t>%</w:t>
      </w:r>
      <w:r w:rsidRPr="00B75B77">
        <w:t xml:space="preserve"> for PY5 and 32</w:t>
      </w:r>
      <w:r w:rsidR="0009500C" w:rsidRPr="00B75B77">
        <w:t>%</w:t>
      </w:r>
      <w:r w:rsidRPr="00B75B77">
        <w:t xml:space="preserve"> for PY6. To evaluate the SES program, Navigant use</w:t>
      </w:r>
      <w:r w:rsidR="002D2EB1" w:rsidRPr="00B75B77">
        <w:t>d</w:t>
      </w:r>
      <w:r w:rsidRPr="00B75B77">
        <w:t xml:space="preserve"> the data from </w:t>
      </w:r>
      <w:r w:rsidR="002D2EB1" w:rsidRPr="00B75B77">
        <w:t xml:space="preserve">returned </w:t>
      </w:r>
      <w:r w:rsidRPr="00B75B77">
        <w:t>student installation surveys to determine an installation rate for each measure.</w:t>
      </w:r>
      <w:r w:rsidRPr="00B75B77">
        <w:rPr>
          <w:rStyle w:val="FootnoteReference"/>
        </w:rPr>
        <w:footnoteReference w:id="39"/>
      </w:r>
      <w:r w:rsidRPr="00B75B77">
        <w:t xml:space="preserve"> T</w:t>
      </w:r>
      <w:r w:rsidR="002D2EB1" w:rsidRPr="00B75B77">
        <w:t>he evaluation team then applied t</w:t>
      </w:r>
      <w:r w:rsidRPr="00B75B77">
        <w:t>his installation rate to all of the measures distributed</w:t>
      </w:r>
      <w:r w:rsidR="006A3D97" w:rsidRPr="00B75B77">
        <w:t xml:space="preserve">, </w:t>
      </w:r>
      <w:r w:rsidRPr="00B75B77">
        <w:t xml:space="preserve">even those for which student surveys were not returned. </w:t>
      </w:r>
      <w:r w:rsidR="00B51830" w:rsidRPr="00B75B77">
        <w:fldChar w:fldCharType="begin"/>
      </w:r>
      <w:r w:rsidR="00B51830" w:rsidRPr="00B75B77">
        <w:instrText xml:space="preserve"> REF _Ref463273409 \h </w:instrText>
      </w:r>
      <w:r w:rsidR="00B75B77">
        <w:instrText xml:space="preserve"> \* MERGEFORMAT </w:instrText>
      </w:r>
      <w:r w:rsidR="00B51830" w:rsidRPr="00B75B77">
        <w:fldChar w:fldCharType="separate"/>
      </w:r>
      <w:r w:rsidR="0004016D" w:rsidRPr="00B75B77">
        <w:t xml:space="preserve">Table </w:t>
      </w:r>
      <w:r w:rsidR="0004016D">
        <w:rPr>
          <w:noProof/>
        </w:rPr>
        <w:t>6</w:t>
      </w:r>
      <w:r w:rsidR="0004016D" w:rsidRPr="00B75B77">
        <w:rPr>
          <w:noProof/>
        </w:rPr>
        <w:noBreakHyphen/>
      </w:r>
      <w:r w:rsidR="0004016D">
        <w:rPr>
          <w:noProof/>
        </w:rPr>
        <w:t>2</w:t>
      </w:r>
      <w:r w:rsidR="00B51830" w:rsidRPr="00B75B77">
        <w:fldChar w:fldCharType="end"/>
      </w:r>
      <w:r w:rsidRPr="00B75B77">
        <w:t xml:space="preserve"> indicates how many of each measure </w:t>
      </w:r>
      <w:r w:rsidR="00ED2D7F" w:rsidRPr="00B75B77">
        <w:t>the CSP</w:t>
      </w:r>
      <w:r w:rsidR="002D2EB1" w:rsidRPr="00B75B77">
        <w:t xml:space="preserve"> </w:t>
      </w:r>
      <w:r w:rsidRPr="00B75B77">
        <w:t>distributed</w:t>
      </w:r>
      <w:r w:rsidR="006A3D97" w:rsidRPr="00B75B77">
        <w:t xml:space="preserve"> (</w:t>
      </w:r>
      <w:r w:rsidRPr="00B75B77">
        <w:t>in the “Population</w:t>
      </w:r>
      <w:r w:rsidR="006A3D97" w:rsidRPr="00B75B77">
        <w:t xml:space="preserve"> Size</w:t>
      </w:r>
      <w:r w:rsidRPr="00B75B77">
        <w:t>” colum</w:t>
      </w:r>
      <w:r w:rsidR="006A3D97" w:rsidRPr="00B75B77">
        <w:t xml:space="preserve">n) </w:t>
      </w:r>
      <w:r w:rsidRPr="00B75B77">
        <w:t xml:space="preserve">and how many surveys </w:t>
      </w:r>
      <w:r w:rsidR="006A3D97" w:rsidRPr="00B75B77">
        <w:t xml:space="preserve">students </w:t>
      </w:r>
      <w:r w:rsidRPr="00B75B77">
        <w:t>returned</w:t>
      </w:r>
      <w:r w:rsidR="006A3D97" w:rsidRPr="00B75B77">
        <w:t xml:space="preserve">, which </w:t>
      </w:r>
      <w:r w:rsidRPr="00B75B77">
        <w:t>indicated whether the measure had been installed</w:t>
      </w:r>
      <w:r w:rsidR="006A3D97" w:rsidRPr="00B75B77">
        <w:t xml:space="preserve"> or not (</w:t>
      </w:r>
      <w:r w:rsidRPr="00B75B77">
        <w:t>in the “Achieved Sample Size” column</w:t>
      </w:r>
      <w:r w:rsidR="006A3D97" w:rsidRPr="00B75B77">
        <w:t>)</w:t>
      </w:r>
      <w:r w:rsidRPr="00B75B77">
        <w:t xml:space="preserve">. </w:t>
      </w:r>
    </w:p>
    <w:p w:rsidR="00EB039C" w:rsidRPr="00B75B77" w:rsidRDefault="00EB039C" w:rsidP="00811E5F">
      <w:pPr>
        <w:pStyle w:val="Caption"/>
        <w:jc w:val="both"/>
        <w:rPr>
          <w:rFonts w:ascii="Calibri" w:hAnsi="Calibri"/>
          <w:b w:val="0"/>
          <w:bCs w:val="0"/>
          <w:color w:val="auto"/>
          <w:sz w:val="22"/>
          <w:szCs w:val="22"/>
        </w:rPr>
      </w:pPr>
    </w:p>
    <w:p w:rsidR="00EB039C" w:rsidRPr="00B75B77" w:rsidRDefault="00EB039C" w:rsidP="00811E5F">
      <w:pPr>
        <w:pStyle w:val="Caption"/>
      </w:pPr>
      <w:bookmarkStart w:id="475" w:name="_Ref463273409"/>
      <w:bookmarkStart w:id="476" w:name="_Toc466413550"/>
      <w:r w:rsidRPr="00B75B77">
        <w:t xml:space="preserve">Table </w:t>
      </w:r>
      <w:fldSimple w:instr=" STYLEREF 1 \s ">
        <w:r w:rsidR="0004016D">
          <w:rPr>
            <w:noProof/>
          </w:rPr>
          <w:t>6</w:t>
        </w:r>
      </w:fldSimple>
      <w:r w:rsidR="00F1144C" w:rsidRPr="00B75B77">
        <w:noBreakHyphen/>
      </w:r>
      <w:fldSimple w:instr=" SEQ Table \* ARABIC \s 1 ">
        <w:r w:rsidR="0004016D">
          <w:rPr>
            <w:noProof/>
          </w:rPr>
          <w:t>2</w:t>
        </w:r>
      </w:fldSimple>
      <w:bookmarkEnd w:id="475"/>
      <w:r w:rsidRPr="00B75B77">
        <w:t>: Smart Energy Saver Sampling Strategy for PY7</w:t>
      </w:r>
      <w:bookmarkEnd w:id="476"/>
    </w:p>
    <w:tbl>
      <w:tblPr>
        <w:tblW w:w="9490" w:type="dxa"/>
        <w:jc w:val="center"/>
        <w:tblLook w:val="04A0" w:firstRow="1" w:lastRow="0" w:firstColumn="1" w:lastColumn="0" w:noHBand="0" w:noVBand="1"/>
      </w:tblPr>
      <w:tblGrid>
        <w:gridCol w:w="1885"/>
        <w:gridCol w:w="1260"/>
        <w:gridCol w:w="1080"/>
        <w:gridCol w:w="1260"/>
        <w:gridCol w:w="1080"/>
        <w:gridCol w:w="2925"/>
      </w:tblGrid>
      <w:tr w:rsidR="00EB039C" w:rsidRPr="00B75B77" w:rsidTr="006A3D97">
        <w:trPr>
          <w:divId w:val="2013145425"/>
          <w:trHeight w:val="660"/>
          <w:jc w:val="center"/>
        </w:trPr>
        <w:tc>
          <w:tcPr>
            <w:tcW w:w="1885" w:type="dxa"/>
            <w:tcBorders>
              <w:top w:val="single" w:sz="4" w:space="0" w:color="auto"/>
              <w:left w:val="single" w:sz="4" w:space="0" w:color="auto"/>
              <w:bottom w:val="single" w:sz="4" w:space="0" w:color="auto"/>
              <w:right w:val="single" w:sz="4" w:space="0" w:color="auto"/>
            </w:tcBorders>
            <w:shd w:val="clear" w:color="000000" w:fill="448A99"/>
            <w:vAlign w:val="center"/>
            <w:hideMark/>
          </w:tcPr>
          <w:p w:rsidR="00EB039C" w:rsidRPr="00B75B77" w:rsidRDefault="00EB039C" w:rsidP="00451FB1">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Stratum</w:t>
            </w:r>
          </w:p>
        </w:tc>
        <w:tc>
          <w:tcPr>
            <w:tcW w:w="1260" w:type="dxa"/>
            <w:tcBorders>
              <w:top w:val="single" w:sz="4" w:space="0" w:color="auto"/>
              <w:left w:val="nil"/>
              <w:bottom w:val="single" w:sz="4" w:space="0" w:color="auto"/>
              <w:right w:val="single" w:sz="4" w:space="0" w:color="auto"/>
            </w:tcBorders>
            <w:shd w:val="clear" w:color="000000" w:fill="448A99"/>
            <w:vAlign w:val="center"/>
            <w:hideMark/>
          </w:tcPr>
          <w:p w:rsidR="00EB039C" w:rsidRPr="00B75B77" w:rsidRDefault="00EB039C" w:rsidP="00811E5F">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Population Size</w:t>
            </w:r>
          </w:p>
        </w:tc>
        <w:tc>
          <w:tcPr>
            <w:tcW w:w="1080" w:type="dxa"/>
            <w:tcBorders>
              <w:top w:val="single" w:sz="4" w:space="0" w:color="auto"/>
              <w:left w:val="nil"/>
              <w:bottom w:val="single" w:sz="4" w:space="0" w:color="auto"/>
              <w:right w:val="single" w:sz="4" w:space="0" w:color="auto"/>
            </w:tcBorders>
            <w:shd w:val="clear" w:color="000000" w:fill="448A99"/>
            <w:vAlign w:val="center"/>
            <w:hideMark/>
          </w:tcPr>
          <w:p w:rsidR="00EB039C" w:rsidRPr="00B75B77" w:rsidRDefault="00EB039C" w:rsidP="00811E5F">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Target Levels of Confidence </w:t>
            </w:r>
            <w:r w:rsidR="002D2EB1" w:rsidRPr="00B75B77">
              <w:rPr>
                <w:rFonts w:ascii="Calibri" w:eastAsia="Times New Roman" w:hAnsi="Calibri"/>
                <w:b/>
                <w:bCs/>
                <w:color w:val="FFFFFF"/>
                <w:sz w:val="18"/>
                <w:szCs w:val="18"/>
              </w:rPr>
              <w:t>and</w:t>
            </w:r>
            <w:r w:rsidRPr="00B75B77">
              <w:rPr>
                <w:rFonts w:ascii="Calibri" w:eastAsia="Times New Roman" w:hAnsi="Calibri"/>
                <w:b/>
                <w:bCs/>
                <w:color w:val="FFFFFF"/>
                <w:sz w:val="18"/>
                <w:szCs w:val="18"/>
              </w:rPr>
              <w:t xml:space="preserve"> Precision</w:t>
            </w:r>
          </w:p>
        </w:tc>
        <w:tc>
          <w:tcPr>
            <w:tcW w:w="1260" w:type="dxa"/>
            <w:tcBorders>
              <w:top w:val="single" w:sz="4" w:space="0" w:color="auto"/>
              <w:left w:val="nil"/>
              <w:bottom w:val="single" w:sz="4" w:space="0" w:color="auto"/>
              <w:right w:val="single" w:sz="4" w:space="0" w:color="auto"/>
            </w:tcBorders>
            <w:shd w:val="clear" w:color="000000" w:fill="448A99"/>
            <w:vAlign w:val="center"/>
            <w:hideMark/>
          </w:tcPr>
          <w:p w:rsidR="00EB039C" w:rsidRPr="00B75B77" w:rsidRDefault="00EB039C" w:rsidP="00811E5F">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Target Sample Size</w:t>
            </w:r>
          </w:p>
        </w:tc>
        <w:tc>
          <w:tcPr>
            <w:tcW w:w="1080" w:type="dxa"/>
            <w:tcBorders>
              <w:top w:val="single" w:sz="4" w:space="0" w:color="auto"/>
              <w:left w:val="nil"/>
              <w:bottom w:val="single" w:sz="4" w:space="0" w:color="auto"/>
              <w:right w:val="single" w:sz="4" w:space="0" w:color="auto"/>
            </w:tcBorders>
            <w:shd w:val="clear" w:color="000000" w:fill="448A99"/>
            <w:vAlign w:val="center"/>
            <w:hideMark/>
          </w:tcPr>
          <w:p w:rsidR="00EB039C" w:rsidRPr="00B75B77" w:rsidRDefault="00EB039C" w:rsidP="00811E5F">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Achieved Sample Size</w:t>
            </w:r>
          </w:p>
        </w:tc>
        <w:tc>
          <w:tcPr>
            <w:tcW w:w="2925" w:type="dxa"/>
            <w:tcBorders>
              <w:top w:val="single" w:sz="4" w:space="0" w:color="auto"/>
              <w:left w:val="nil"/>
              <w:bottom w:val="single" w:sz="4" w:space="0" w:color="auto"/>
              <w:right w:val="single" w:sz="4" w:space="0" w:color="auto"/>
            </w:tcBorders>
            <w:shd w:val="clear" w:color="000000" w:fill="448A99"/>
            <w:vAlign w:val="center"/>
            <w:hideMark/>
          </w:tcPr>
          <w:p w:rsidR="00EB039C" w:rsidRPr="00B75B77" w:rsidRDefault="00EB039C" w:rsidP="00B51830">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Evaluation Activity</w:t>
            </w:r>
          </w:p>
        </w:tc>
      </w:tr>
      <w:tr w:rsidR="00EB039C" w:rsidRPr="00B75B77" w:rsidTr="006A3D97">
        <w:trPr>
          <w:divId w:val="2013145425"/>
          <w:trHeight w:val="288"/>
          <w:jc w:val="center"/>
        </w:trPr>
        <w:tc>
          <w:tcPr>
            <w:tcW w:w="1885" w:type="dxa"/>
            <w:tcBorders>
              <w:top w:val="nil"/>
              <w:left w:val="single" w:sz="4" w:space="0" w:color="448A99"/>
              <w:bottom w:val="single" w:sz="4" w:space="0" w:color="448A99"/>
              <w:right w:val="single" w:sz="4" w:space="0" w:color="448A99"/>
            </w:tcBorders>
            <w:shd w:val="clear" w:color="000000" w:fill="D2EAF1"/>
            <w:vAlign w:val="center"/>
            <w:hideMark/>
          </w:tcPr>
          <w:p w:rsidR="00EB039C" w:rsidRPr="00B75B77" w:rsidRDefault="00EB039C" w:rsidP="00811E5F">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13W CFL</w:t>
            </w:r>
          </w:p>
        </w:tc>
        <w:tc>
          <w:tcPr>
            <w:tcW w:w="126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24,648</w:t>
            </w:r>
          </w:p>
        </w:tc>
        <w:tc>
          <w:tcPr>
            <w:tcW w:w="108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126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All</w:t>
            </w:r>
          </w:p>
        </w:tc>
        <w:tc>
          <w:tcPr>
            <w:tcW w:w="108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6,835</w:t>
            </w:r>
          </w:p>
        </w:tc>
        <w:tc>
          <w:tcPr>
            <w:tcW w:w="2925"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B51830">
            <w:pPr>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Installation </w:t>
            </w:r>
            <w:r w:rsidR="002D2EB1" w:rsidRPr="00B75B77">
              <w:rPr>
                <w:rFonts w:ascii="Calibri" w:eastAsia="Times New Roman" w:hAnsi="Calibri"/>
                <w:color w:val="000000"/>
                <w:sz w:val="18"/>
                <w:szCs w:val="18"/>
              </w:rPr>
              <w:t>r</w:t>
            </w:r>
            <w:r w:rsidRPr="00B75B77">
              <w:rPr>
                <w:rFonts w:ascii="Calibri" w:eastAsia="Times New Roman" w:hAnsi="Calibri"/>
                <w:color w:val="000000"/>
                <w:sz w:val="18"/>
                <w:szCs w:val="18"/>
              </w:rPr>
              <w:t xml:space="preserve">ate </w:t>
            </w:r>
            <w:r w:rsidR="002D2EB1" w:rsidRPr="00B75B77">
              <w:rPr>
                <w:rFonts w:ascii="Calibri" w:eastAsia="Times New Roman" w:hAnsi="Calibri"/>
                <w:color w:val="000000"/>
                <w:sz w:val="18"/>
                <w:szCs w:val="18"/>
              </w:rPr>
              <w:t>c</w:t>
            </w:r>
            <w:r w:rsidRPr="00B75B77">
              <w:rPr>
                <w:rFonts w:ascii="Calibri" w:eastAsia="Times New Roman" w:hAnsi="Calibri"/>
                <w:color w:val="000000"/>
                <w:sz w:val="18"/>
                <w:szCs w:val="18"/>
              </w:rPr>
              <w:t>alculation</w:t>
            </w:r>
          </w:p>
        </w:tc>
      </w:tr>
      <w:tr w:rsidR="00EB039C" w:rsidRPr="00B75B77" w:rsidTr="006A3D97">
        <w:trPr>
          <w:divId w:val="2013145425"/>
          <w:trHeight w:val="288"/>
          <w:jc w:val="center"/>
        </w:trPr>
        <w:tc>
          <w:tcPr>
            <w:tcW w:w="1885" w:type="dxa"/>
            <w:tcBorders>
              <w:top w:val="nil"/>
              <w:left w:val="single" w:sz="4" w:space="0" w:color="448A99"/>
              <w:bottom w:val="single" w:sz="4" w:space="0" w:color="448A99"/>
              <w:right w:val="single" w:sz="4" w:space="0" w:color="448A99"/>
            </w:tcBorders>
            <w:shd w:val="clear" w:color="000000" w:fill="FFFFFF"/>
            <w:vAlign w:val="center"/>
            <w:hideMark/>
          </w:tcPr>
          <w:p w:rsidR="00EB039C" w:rsidRPr="00B75B77" w:rsidRDefault="00EB039C" w:rsidP="00811E5F">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18W CFL</w:t>
            </w:r>
          </w:p>
        </w:tc>
        <w:tc>
          <w:tcPr>
            <w:tcW w:w="1260"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8,023</w:t>
            </w:r>
          </w:p>
        </w:tc>
        <w:tc>
          <w:tcPr>
            <w:tcW w:w="1080"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1260"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All</w:t>
            </w:r>
          </w:p>
        </w:tc>
        <w:tc>
          <w:tcPr>
            <w:tcW w:w="1080"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2,418</w:t>
            </w:r>
          </w:p>
        </w:tc>
        <w:tc>
          <w:tcPr>
            <w:tcW w:w="2925"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B51830">
            <w:pPr>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Installation </w:t>
            </w:r>
            <w:r w:rsidR="002D2EB1" w:rsidRPr="00B75B77">
              <w:rPr>
                <w:rFonts w:ascii="Calibri" w:eastAsia="Times New Roman" w:hAnsi="Calibri"/>
                <w:color w:val="000000"/>
                <w:sz w:val="18"/>
                <w:szCs w:val="18"/>
              </w:rPr>
              <w:t>r</w:t>
            </w:r>
            <w:r w:rsidRPr="00B75B77">
              <w:rPr>
                <w:rFonts w:ascii="Calibri" w:eastAsia="Times New Roman" w:hAnsi="Calibri"/>
                <w:color w:val="000000"/>
                <w:sz w:val="18"/>
                <w:szCs w:val="18"/>
              </w:rPr>
              <w:t xml:space="preserve">ate </w:t>
            </w:r>
            <w:r w:rsidR="002D2EB1" w:rsidRPr="00B75B77">
              <w:rPr>
                <w:rFonts w:ascii="Calibri" w:eastAsia="Times New Roman" w:hAnsi="Calibri"/>
                <w:color w:val="000000"/>
                <w:sz w:val="18"/>
                <w:szCs w:val="18"/>
              </w:rPr>
              <w:t>c</w:t>
            </w:r>
            <w:r w:rsidRPr="00B75B77">
              <w:rPr>
                <w:rFonts w:ascii="Calibri" w:eastAsia="Times New Roman" w:hAnsi="Calibri"/>
                <w:color w:val="000000"/>
                <w:sz w:val="18"/>
                <w:szCs w:val="18"/>
              </w:rPr>
              <w:t>alculation</w:t>
            </w:r>
          </w:p>
        </w:tc>
      </w:tr>
      <w:tr w:rsidR="00EB039C" w:rsidRPr="00B75B77" w:rsidTr="006A3D97">
        <w:trPr>
          <w:divId w:val="2013145425"/>
          <w:trHeight w:val="288"/>
          <w:jc w:val="center"/>
        </w:trPr>
        <w:tc>
          <w:tcPr>
            <w:tcW w:w="1885" w:type="dxa"/>
            <w:tcBorders>
              <w:top w:val="nil"/>
              <w:left w:val="single" w:sz="4" w:space="0" w:color="448A99"/>
              <w:bottom w:val="single" w:sz="4" w:space="0" w:color="448A99"/>
              <w:right w:val="single" w:sz="4" w:space="0" w:color="448A99"/>
            </w:tcBorders>
            <w:shd w:val="clear" w:color="000000" w:fill="D2EAF1"/>
            <w:vAlign w:val="center"/>
            <w:hideMark/>
          </w:tcPr>
          <w:p w:rsidR="00EB039C" w:rsidRPr="00B75B77" w:rsidRDefault="00EB039C" w:rsidP="00811E5F">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23W CFL</w:t>
            </w:r>
          </w:p>
        </w:tc>
        <w:tc>
          <w:tcPr>
            <w:tcW w:w="126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8,023</w:t>
            </w:r>
          </w:p>
        </w:tc>
        <w:tc>
          <w:tcPr>
            <w:tcW w:w="108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126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All</w:t>
            </w:r>
          </w:p>
        </w:tc>
        <w:tc>
          <w:tcPr>
            <w:tcW w:w="108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2,369</w:t>
            </w:r>
          </w:p>
        </w:tc>
        <w:tc>
          <w:tcPr>
            <w:tcW w:w="2925"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B51830">
            <w:pPr>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Installation </w:t>
            </w:r>
            <w:r w:rsidR="002D2EB1" w:rsidRPr="00B75B77">
              <w:rPr>
                <w:rFonts w:ascii="Calibri" w:eastAsia="Times New Roman" w:hAnsi="Calibri"/>
                <w:color w:val="000000"/>
                <w:sz w:val="18"/>
                <w:szCs w:val="18"/>
              </w:rPr>
              <w:t>r</w:t>
            </w:r>
            <w:r w:rsidRPr="00B75B77">
              <w:rPr>
                <w:rFonts w:ascii="Calibri" w:eastAsia="Times New Roman" w:hAnsi="Calibri"/>
                <w:color w:val="000000"/>
                <w:sz w:val="18"/>
                <w:szCs w:val="18"/>
              </w:rPr>
              <w:t xml:space="preserve">ate </w:t>
            </w:r>
            <w:r w:rsidR="002D2EB1" w:rsidRPr="00B75B77">
              <w:rPr>
                <w:rFonts w:ascii="Calibri" w:eastAsia="Times New Roman" w:hAnsi="Calibri"/>
                <w:color w:val="000000"/>
                <w:sz w:val="18"/>
                <w:szCs w:val="18"/>
              </w:rPr>
              <w:t>c</w:t>
            </w:r>
            <w:r w:rsidRPr="00B75B77">
              <w:rPr>
                <w:rFonts w:ascii="Calibri" w:eastAsia="Times New Roman" w:hAnsi="Calibri"/>
                <w:color w:val="000000"/>
                <w:sz w:val="18"/>
                <w:szCs w:val="18"/>
              </w:rPr>
              <w:t>alculation</w:t>
            </w:r>
          </w:p>
        </w:tc>
      </w:tr>
      <w:tr w:rsidR="00EB039C" w:rsidRPr="00B75B77" w:rsidTr="006A3D97">
        <w:trPr>
          <w:divId w:val="2013145425"/>
          <w:trHeight w:val="288"/>
          <w:jc w:val="center"/>
        </w:trPr>
        <w:tc>
          <w:tcPr>
            <w:tcW w:w="1885" w:type="dxa"/>
            <w:tcBorders>
              <w:top w:val="nil"/>
              <w:left w:val="single" w:sz="4" w:space="0" w:color="448A99"/>
              <w:bottom w:val="single" w:sz="4" w:space="0" w:color="448A99"/>
              <w:right w:val="single" w:sz="4" w:space="0" w:color="448A99"/>
            </w:tcBorders>
            <w:shd w:val="clear" w:color="000000" w:fill="FFFFFF"/>
            <w:vAlign w:val="center"/>
            <w:hideMark/>
          </w:tcPr>
          <w:p w:rsidR="00EB039C" w:rsidRPr="00B75B77" w:rsidRDefault="00EB039C" w:rsidP="00811E5F">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LED Nightlight</w:t>
            </w:r>
          </w:p>
        </w:tc>
        <w:tc>
          <w:tcPr>
            <w:tcW w:w="1260"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16,625</w:t>
            </w:r>
          </w:p>
        </w:tc>
        <w:tc>
          <w:tcPr>
            <w:tcW w:w="1080"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1260"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All</w:t>
            </w:r>
          </w:p>
        </w:tc>
        <w:tc>
          <w:tcPr>
            <w:tcW w:w="1080"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4,432</w:t>
            </w:r>
          </w:p>
        </w:tc>
        <w:tc>
          <w:tcPr>
            <w:tcW w:w="2925"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B51830">
            <w:pPr>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Installation </w:t>
            </w:r>
            <w:r w:rsidR="002D2EB1" w:rsidRPr="00B75B77">
              <w:rPr>
                <w:rFonts w:ascii="Calibri" w:eastAsia="Times New Roman" w:hAnsi="Calibri"/>
                <w:color w:val="000000"/>
                <w:sz w:val="18"/>
                <w:szCs w:val="18"/>
              </w:rPr>
              <w:t>r</w:t>
            </w:r>
            <w:r w:rsidRPr="00B75B77">
              <w:rPr>
                <w:rFonts w:ascii="Calibri" w:eastAsia="Times New Roman" w:hAnsi="Calibri"/>
                <w:color w:val="000000"/>
                <w:sz w:val="18"/>
                <w:szCs w:val="18"/>
              </w:rPr>
              <w:t xml:space="preserve">ate </w:t>
            </w:r>
            <w:r w:rsidR="002D2EB1" w:rsidRPr="00B75B77">
              <w:rPr>
                <w:rFonts w:ascii="Calibri" w:eastAsia="Times New Roman" w:hAnsi="Calibri"/>
                <w:color w:val="000000"/>
                <w:sz w:val="18"/>
                <w:szCs w:val="18"/>
              </w:rPr>
              <w:t>c</w:t>
            </w:r>
            <w:r w:rsidRPr="00B75B77">
              <w:rPr>
                <w:rFonts w:ascii="Calibri" w:eastAsia="Times New Roman" w:hAnsi="Calibri"/>
                <w:color w:val="000000"/>
                <w:sz w:val="18"/>
                <w:szCs w:val="18"/>
              </w:rPr>
              <w:t>alculation</w:t>
            </w:r>
          </w:p>
        </w:tc>
      </w:tr>
      <w:tr w:rsidR="00EB039C" w:rsidRPr="00B75B77" w:rsidTr="006A3D97">
        <w:trPr>
          <w:divId w:val="2013145425"/>
          <w:trHeight w:val="288"/>
          <w:jc w:val="center"/>
        </w:trPr>
        <w:tc>
          <w:tcPr>
            <w:tcW w:w="1885" w:type="dxa"/>
            <w:tcBorders>
              <w:top w:val="nil"/>
              <w:left w:val="single" w:sz="4" w:space="0" w:color="448A99"/>
              <w:bottom w:val="single" w:sz="4" w:space="0" w:color="448A99"/>
              <w:right w:val="single" w:sz="4" w:space="0" w:color="448A99"/>
            </w:tcBorders>
            <w:shd w:val="clear" w:color="000000" w:fill="D2EAF1"/>
            <w:vAlign w:val="center"/>
            <w:hideMark/>
          </w:tcPr>
          <w:p w:rsidR="00EB039C" w:rsidRPr="00B75B77" w:rsidRDefault="00EB039C" w:rsidP="00811E5F">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Low</w:t>
            </w:r>
            <w:r w:rsidR="002D2EB1" w:rsidRPr="00B75B77">
              <w:rPr>
                <w:rFonts w:ascii="Calibri" w:eastAsia="Times New Roman" w:hAnsi="Calibri"/>
                <w:bCs/>
                <w:color w:val="000000"/>
                <w:sz w:val="18"/>
                <w:szCs w:val="18"/>
              </w:rPr>
              <w:t>-</w:t>
            </w:r>
            <w:r w:rsidRPr="00B75B77">
              <w:rPr>
                <w:rFonts w:ascii="Calibri" w:eastAsia="Times New Roman" w:hAnsi="Calibri"/>
                <w:bCs/>
                <w:color w:val="000000"/>
                <w:sz w:val="18"/>
                <w:szCs w:val="18"/>
              </w:rPr>
              <w:t xml:space="preserve">Flow Showerhead </w:t>
            </w:r>
          </w:p>
        </w:tc>
        <w:tc>
          <w:tcPr>
            <w:tcW w:w="126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8,023</w:t>
            </w:r>
          </w:p>
        </w:tc>
        <w:tc>
          <w:tcPr>
            <w:tcW w:w="108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126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All</w:t>
            </w:r>
          </w:p>
        </w:tc>
        <w:tc>
          <w:tcPr>
            <w:tcW w:w="108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2,483</w:t>
            </w:r>
          </w:p>
        </w:tc>
        <w:tc>
          <w:tcPr>
            <w:tcW w:w="2925"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B51830">
            <w:pPr>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Installation </w:t>
            </w:r>
            <w:r w:rsidR="002D2EB1" w:rsidRPr="00B75B77">
              <w:rPr>
                <w:rFonts w:ascii="Calibri" w:eastAsia="Times New Roman" w:hAnsi="Calibri"/>
                <w:color w:val="000000"/>
                <w:sz w:val="18"/>
                <w:szCs w:val="18"/>
              </w:rPr>
              <w:t>r</w:t>
            </w:r>
            <w:r w:rsidRPr="00B75B77">
              <w:rPr>
                <w:rFonts w:ascii="Calibri" w:eastAsia="Times New Roman" w:hAnsi="Calibri"/>
                <w:color w:val="000000"/>
                <w:sz w:val="18"/>
                <w:szCs w:val="18"/>
              </w:rPr>
              <w:t xml:space="preserve">ate </w:t>
            </w:r>
            <w:r w:rsidR="002D2EB1" w:rsidRPr="00B75B77">
              <w:rPr>
                <w:rFonts w:ascii="Calibri" w:eastAsia="Times New Roman" w:hAnsi="Calibri"/>
                <w:color w:val="000000"/>
                <w:sz w:val="18"/>
                <w:szCs w:val="18"/>
              </w:rPr>
              <w:t>c</w:t>
            </w:r>
            <w:r w:rsidRPr="00B75B77">
              <w:rPr>
                <w:rFonts w:ascii="Calibri" w:eastAsia="Times New Roman" w:hAnsi="Calibri"/>
                <w:color w:val="000000"/>
                <w:sz w:val="18"/>
                <w:szCs w:val="18"/>
              </w:rPr>
              <w:t>alculation</w:t>
            </w:r>
          </w:p>
        </w:tc>
      </w:tr>
      <w:tr w:rsidR="00EB039C" w:rsidRPr="00B75B77" w:rsidTr="006A3D97">
        <w:trPr>
          <w:divId w:val="2013145425"/>
          <w:trHeight w:val="288"/>
          <w:jc w:val="center"/>
        </w:trPr>
        <w:tc>
          <w:tcPr>
            <w:tcW w:w="1885" w:type="dxa"/>
            <w:tcBorders>
              <w:top w:val="nil"/>
              <w:left w:val="single" w:sz="4" w:space="0" w:color="448A99"/>
              <w:bottom w:val="single" w:sz="4" w:space="0" w:color="448A99"/>
              <w:right w:val="single" w:sz="4" w:space="0" w:color="448A99"/>
            </w:tcBorders>
            <w:shd w:val="clear" w:color="000000" w:fill="FFFFFF"/>
            <w:vAlign w:val="center"/>
            <w:hideMark/>
          </w:tcPr>
          <w:p w:rsidR="00EB039C" w:rsidRPr="00B75B77" w:rsidRDefault="00EB039C" w:rsidP="00811E5F">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Faucet Aerator</w:t>
            </w:r>
          </w:p>
        </w:tc>
        <w:tc>
          <w:tcPr>
            <w:tcW w:w="1260"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8,023</w:t>
            </w:r>
          </w:p>
        </w:tc>
        <w:tc>
          <w:tcPr>
            <w:tcW w:w="1080"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1260"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All</w:t>
            </w:r>
          </w:p>
        </w:tc>
        <w:tc>
          <w:tcPr>
            <w:tcW w:w="1080"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2,450</w:t>
            </w:r>
          </w:p>
        </w:tc>
        <w:tc>
          <w:tcPr>
            <w:tcW w:w="2925"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B51830">
            <w:pPr>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Installation </w:t>
            </w:r>
            <w:r w:rsidR="002D2EB1" w:rsidRPr="00B75B77">
              <w:rPr>
                <w:rFonts w:ascii="Calibri" w:eastAsia="Times New Roman" w:hAnsi="Calibri"/>
                <w:color w:val="000000"/>
                <w:sz w:val="18"/>
                <w:szCs w:val="18"/>
              </w:rPr>
              <w:t>r</w:t>
            </w:r>
            <w:r w:rsidRPr="00B75B77">
              <w:rPr>
                <w:rFonts w:ascii="Calibri" w:eastAsia="Times New Roman" w:hAnsi="Calibri"/>
                <w:color w:val="000000"/>
                <w:sz w:val="18"/>
                <w:szCs w:val="18"/>
              </w:rPr>
              <w:t xml:space="preserve">ate </w:t>
            </w:r>
            <w:r w:rsidR="002D2EB1" w:rsidRPr="00B75B77">
              <w:rPr>
                <w:rFonts w:ascii="Calibri" w:eastAsia="Times New Roman" w:hAnsi="Calibri"/>
                <w:color w:val="000000"/>
                <w:sz w:val="18"/>
                <w:szCs w:val="18"/>
              </w:rPr>
              <w:t>c</w:t>
            </w:r>
            <w:r w:rsidRPr="00B75B77">
              <w:rPr>
                <w:rFonts w:ascii="Calibri" w:eastAsia="Times New Roman" w:hAnsi="Calibri"/>
                <w:color w:val="000000"/>
                <w:sz w:val="18"/>
                <w:szCs w:val="18"/>
              </w:rPr>
              <w:t>alculation</w:t>
            </w:r>
          </w:p>
        </w:tc>
      </w:tr>
      <w:tr w:rsidR="00EB039C" w:rsidRPr="00B75B77" w:rsidTr="006A3D97">
        <w:trPr>
          <w:divId w:val="2013145425"/>
          <w:trHeight w:val="288"/>
          <w:jc w:val="center"/>
        </w:trPr>
        <w:tc>
          <w:tcPr>
            <w:tcW w:w="1885" w:type="dxa"/>
            <w:tcBorders>
              <w:top w:val="nil"/>
              <w:left w:val="single" w:sz="4" w:space="0" w:color="448A99"/>
              <w:bottom w:val="single" w:sz="4" w:space="0" w:color="448A99"/>
              <w:right w:val="single" w:sz="4" w:space="0" w:color="448A99"/>
            </w:tcBorders>
            <w:shd w:val="clear" w:color="000000" w:fill="D2EAF1"/>
            <w:vAlign w:val="center"/>
            <w:hideMark/>
          </w:tcPr>
          <w:p w:rsidR="00EB039C" w:rsidRPr="00B75B77" w:rsidRDefault="004943C7" w:rsidP="00811E5F">
            <w:pPr>
              <w:jc w:val="left"/>
              <w:rPr>
                <w:rFonts w:ascii="Calibri" w:eastAsia="Times New Roman" w:hAnsi="Calibri"/>
                <w:b/>
                <w:color w:val="000000"/>
                <w:sz w:val="18"/>
                <w:szCs w:val="18"/>
              </w:rPr>
            </w:pPr>
            <w:r w:rsidRPr="00B75B77">
              <w:rPr>
                <w:rFonts w:ascii="Calibri" w:eastAsia="Times New Roman" w:hAnsi="Calibri"/>
                <w:b/>
                <w:color w:val="000000"/>
                <w:sz w:val="18"/>
                <w:szCs w:val="18"/>
              </w:rPr>
              <w:t>PROGRAM TOTAL</w:t>
            </w:r>
          </w:p>
        </w:tc>
        <w:tc>
          <w:tcPr>
            <w:tcW w:w="126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73,365</w:t>
            </w:r>
          </w:p>
        </w:tc>
        <w:tc>
          <w:tcPr>
            <w:tcW w:w="108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85/15</w:t>
            </w:r>
          </w:p>
        </w:tc>
        <w:tc>
          <w:tcPr>
            <w:tcW w:w="126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All</w:t>
            </w:r>
          </w:p>
        </w:tc>
        <w:tc>
          <w:tcPr>
            <w:tcW w:w="108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20,987</w:t>
            </w:r>
          </w:p>
        </w:tc>
        <w:tc>
          <w:tcPr>
            <w:tcW w:w="2925"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B51830">
            <w:pPr>
              <w:jc w:val="left"/>
              <w:rPr>
                <w:rFonts w:ascii="Calibri" w:eastAsia="Times New Roman" w:hAnsi="Calibri"/>
                <w:b/>
                <w:color w:val="000000"/>
                <w:sz w:val="18"/>
                <w:szCs w:val="18"/>
              </w:rPr>
            </w:pPr>
            <w:r w:rsidRPr="00B75B77">
              <w:rPr>
                <w:rFonts w:ascii="Calibri" w:eastAsia="Times New Roman" w:hAnsi="Calibri"/>
                <w:b/>
                <w:color w:val="000000"/>
                <w:sz w:val="18"/>
                <w:szCs w:val="18"/>
              </w:rPr>
              <w:t>N/A</w:t>
            </w:r>
          </w:p>
        </w:tc>
      </w:tr>
    </w:tbl>
    <w:p w:rsidR="002D2EB1" w:rsidRPr="00B75B77" w:rsidRDefault="002D2EB1" w:rsidP="004943C7">
      <w:pPr>
        <w:pStyle w:val="Source"/>
        <w:spacing w:before="20" w:after="20"/>
        <w:ind w:left="0" w:firstLine="0"/>
        <w:rPr>
          <w:rFonts w:ascii="Calibri" w:hAnsi="Calibri"/>
          <w:i w:val="0"/>
          <w:iCs/>
          <w:color w:val="000000"/>
          <w:szCs w:val="18"/>
        </w:rPr>
      </w:pPr>
      <w:r w:rsidRPr="00B75B77">
        <w:rPr>
          <w:rFonts w:ascii="Calibri" w:hAnsi="Calibri"/>
          <w:i w:val="0"/>
          <w:iCs/>
          <w:color w:val="000000"/>
          <w:szCs w:val="18"/>
        </w:rPr>
        <w:t>Note: Values in tables may not reconcile exactly with the sum of more detailed level results or previously reported results due to rounding.</w:t>
      </w:r>
    </w:p>
    <w:p w:rsidR="00EB039C" w:rsidRPr="00B75B77" w:rsidRDefault="00EB039C" w:rsidP="004943C7">
      <w:pPr>
        <w:pStyle w:val="Source"/>
        <w:ind w:left="0" w:firstLine="0"/>
      </w:pPr>
      <w:r w:rsidRPr="00B75B77">
        <w:t>Source: Navigant analysis</w:t>
      </w:r>
    </w:p>
    <w:p w:rsidR="00EB039C" w:rsidRPr="00B75B77" w:rsidRDefault="006A3D97" w:rsidP="00811E5F">
      <w:r w:rsidRPr="00B75B77">
        <w:t>The evaluation plan did not indicate o</w:t>
      </w:r>
      <w:r w:rsidR="00EB039C" w:rsidRPr="00B75B77">
        <w:t>nsite inspections</w:t>
      </w:r>
      <w:r w:rsidRPr="00B75B77">
        <w:t>,</w:t>
      </w:r>
      <w:r w:rsidR="00EB039C" w:rsidRPr="00B75B77">
        <w:t xml:space="preserve"> and </w:t>
      </w:r>
      <w:r w:rsidRPr="00B75B77">
        <w:t xml:space="preserve">the evaluation team </w:t>
      </w:r>
      <w:r w:rsidR="00EB039C" w:rsidRPr="00B75B77">
        <w:t xml:space="preserve">would only be able to </w:t>
      </w:r>
      <w:r w:rsidRPr="00B75B77">
        <w:t>perform them</w:t>
      </w:r>
      <w:r w:rsidR="00EB039C" w:rsidRPr="00B75B77">
        <w:t xml:space="preserve"> for households where a parent or guardian returned the parent/guardian survey providing contact information. Only 91 parents/guardians returned these surveys, which would have led to a very limited sample</w:t>
      </w:r>
      <w:r w:rsidRPr="00B75B77">
        <w:t>;</w:t>
      </w:r>
      <w:r w:rsidR="00EB039C" w:rsidRPr="00B75B77">
        <w:t xml:space="preserve"> therefore</w:t>
      </w:r>
      <w:r w:rsidRPr="00B75B77">
        <w:t>,</w:t>
      </w:r>
      <w:r w:rsidR="00EB039C" w:rsidRPr="00B75B77">
        <w:t xml:space="preserve"> </w:t>
      </w:r>
      <w:r w:rsidRPr="00B75B77">
        <w:t>Navigant did not perform any</w:t>
      </w:r>
      <w:r w:rsidR="00EB039C" w:rsidRPr="00B75B77">
        <w:t xml:space="preserve"> onsite inspections for the SES PY7 evaluation.</w:t>
      </w:r>
    </w:p>
    <w:p w:rsidR="00EB039C" w:rsidRPr="00B75B77" w:rsidRDefault="00EB039C" w:rsidP="00811E5F"/>
    <w:p w:rsidR="00EB039C" w:rsidRPr="00B75B77" w:rsidRDefault="00EB039C" w:rsidP="00811E5F">
      <w:pPr>
        <w:pStyle w:val="Heading3"/>
      </w:pPr>
      <w:bookmarkStart w:id="477" w:name="_Toc466413335"/>
      <w:r w:rsidRPr="00B75B77">
        <w:t>Gross Verified Savings Results</w:t>
      </w:r>
      <w:bookmarkEnd w:id="477"/>
      <w:r w:rsidRPr="00B75B77">
        <w:t xml:space="preserve"> </w:t>
      </w:r>
    </w:p>
    <w:p w:rsidR="00EB039C" w:rsidRPr="00B75B77" w:rsidRDefault="00EB039C" w:rsidP="00811E5F">
      <w:pPr>
        <w:rPr>
          <w:b/>
        </w:rPr>
      </w:pPr>
      <w:r w:rsidRPr="00B75B77">
        <w:lastRenderedPageBreak/>
        <w:t xml:space="preserve">Navigant verified PY7 gross savings for the SES program as 2,413 MWh/year and 0.30 MW, as shown in </w:t>
      </w:r>
      <w:r w:rsidR="00B51830" w:rsidRPr="00B75B77">
        <w:fldChar w:fldCharType="begin"/>
      </w:r>
      <w:r w:rsidR="00B51830" w:rsidRPr="00B75B77">
        <w:instrText xml:space="preserve"> REF _Ref461778371 \h </w:instrText>
      </w:r>
      <w:r w:rsidR="00B75B77">
        <w:instrText xml:space="preserve"> \* MERGEFORMAT </w:instrText>
      </w:r>
      <w:r w:rsidR="00B51830" w:rsidRPr="00B75B77">
        <w:fldChar w:fldCharType="separate"/>
      </w:r>
      <w:r w:rsidR="0004016D" w:rsidRPr="00B75B77">
        <w:t xml:space="preserve">Table </w:t>
      </w:r>
      <w:r w:rsidR="0004016D">
        <w:rPr>
          <w:noProof/>
        </w:rPr>
        <w:t>6</w:t>
      </w:r>
      <w:r w:rsidR="0004016D" w:rsidRPr="00B75B77">
        <w:rPr>
          <w:noProof/>
        </w:rPr>
        <w:noBreakHyphen/>
      </w:r>
      <w:r w:rsidR="0004016D">
        <w:rPr>
          <w:noProof/>
        </w:rPr>
        <w:t>3</w:t>
      </w:r>
      <w:r w:rsidR="00B51830" w:rsidRPr="00B75B77">
        <w:fldChar w:fldCharType="end"/>
      </w:r>
      <w:r w:rsidRPr="00B75B77">
        <w:t xml:space="preserve"> and </w:t>
      </w:r>
      <w:r w:rsidR="00B51830" w:rsidRPr="00B75B77">
        <w:fldChar w:fldCharType="begin"/>
      </w:r>
      <w:r w:rsidR="00B51830" w:rsidRPr="00B75B77">
        <w:instrText xml:space="preserve"> REF _Ref461780436 \h </w:instrText>
      </w:r>
      <w:r w:rsidR="00B75B77">
        <w:instrText xml:space="preserve"> \* MERGEFORMAT </w:instrText>
      </w:r>
      <w:r w:rsidR="00B51830" w:rsidRPr="00B75B77">
        <w:fldChar w:fldCharType="separate"/>
      </w:r>
      <w:r w:rsidR="0004016D" w:rsidRPr="00B75B77">
        <w:t xml:space="preserve">Table </w:t>
      </w:r>
      <w:r w:rsidR="0004016D">
        <w:rPr>
          <w:noProof/>
        </w:rPr>
        <w:t>6</w:t>
      </w:r>
      <w:r w:rsidR="0004016D" w:rsidRPr="00B75B77">
        <w:rPr>
          <w:noProof/>
        </w:rPr>
        <w:noBreakHyphen/>
      </w:r>
      <w:r w:rsidR="0004016D">
        <w:rPr>
          <w:noProof/>
        </w:rPr>
        <w:t>4</w:t>
      </w:r>
      <w:r w:rsidR="00B51830" w:rsidRPr="00B75B77">
        <w:fldChar w:fldCharType="end"/>
      </w:r>
      <w:r w:rsidRPr="00B75B77">
        <w:t xml:space="preserve">. The PY7 energy realization rate attributed to this program was 0.87, as indicated in </w:t>
      </w:r>
      <w:r w:rsidR="00B51830" w:rsidRPr="00B75B77">
        <w:fldChar w:fldCharType="begin"/>
      </w:r>
      <w:r w:rsidR="00B51830" w:rsidRPr="00B75B77">
        <w:instrText xml:space="preserve"> REF _Ref461778371 \h </w:instrText>
      </w:r>
      <w:r w:rsidR="00B75B77">
        <w:instrText xml:space="preserve"> \* MERGEFORMAT </w:instrText>
      </w:r>
      <w:r w:rsidR="00B51830" w:rsidRPr="00B75B77">
        <w:fldChar w:fldCharType="separate"/>
      </w:r>
      <w:r w:rsidR="0004016D" w:rsidRPr="00B75B77">
        <w:t xml:space="preserve">Table </w:t>
      </w:r>
      <w:r w:rsidR="0004016D">
        <w:rPr>
          <w:noProof/>
        </w:rPr>
        <w:t>6</w:t>
      </w:r>
      <w:r w:rsidR="0004016D" w:rsidRPr="00B75B77">
        <w:rPr>
          <w:noProof/>
        </w:rPr>
        <w:noBreakHyphen/>
      </w:r>
      <w:r w:rsidR="0004016D">
        <w:rPr>
          <w:noProof/>
        </w:rPr>
        <w:t>3</w:t>
      </w:r>
      <w:r w:rsidR="00B51830" w:rsidRPr="00B75B77">
        <w:fldChar w:fldCharType="end"/>
      </w:r>
      <w:r w:rsidR="00B26791" w:rsidRPr="00B75B77">
        <w:rPr>
          <w:noProof/>
        </w:rPr>
        <w:t>;</w:t>
      </w:r>
      <w:r w:rsidRPr="00B75B77">
        <w:t xml:space="preserve"> the peak demand realization rate attributed to this program was 0.90, as indicated in </w:t>
      </w:r>
      <w:r w:rsidR="00B51830" w:rsidRPr="00B75B77">
        <w:fldChar w:fldCharType="begin"/>
      </w:r>
      <w:r w:rsidR="00B51830" w:rsidRPr="00B75B77">
        <w:instrText xml:space="preserve"> REF _Ref461780436 \h </w:instrText>
      </w:r>
      <w:r w:rsidR="00B75B77">
        <w:instrText xml:space="preserve"> \* MERGEFORMAT </w:instrText>
      </w:r>
      <w:r w:rsidR="00B51830" w:rsidRPr="00B75B77">
        <w:fldChar w:fldCharType="separate"/>
      </w:r>
      <w:r w:rsidR="0004016D" w:rsidRPr="00B75B77">
        <w:t xml:space="preserve">Table </w:t>
      </w:r>
      <w:r w:rsidR="0004016D">
        <w:rPr>
          <w:noProof/>
        </w:rPr>
        <w:t>6</w:t>
      </w:r>
      <w:r w:rsidR="0004016D" w:rsidRPr="00B75B77">
        <w:rPr>
          <w:noProof/>
        </w:rPr>
        <w:noBreakHyphen/>
      </w:r>
      <w:r w:rsidR="0004016D">
        <w:rPr>
          <w:noProof/>
        </w:rPr>
        <w:t>4</w:t>
      </w:r>
      <w:r w:rsidR="00B51830" w:rsidRPr="00B75B77">
        <w:fldChar w:fldCharType="end"/>
      </w:r>
      <w:r w:rsidRPr="00B75B77">
        <w:t xml:space="preserve">. </w:t>
      </w:r>
    </w:p>
    <w:p w:rsidR="00EB039C" w:rsidRPr="00B75B77" w:rsidRDefault="00EB039C" w:rsidP="00811E5F"/>
    <w:p w:rsidR="00EB039C" w:rsidRPr="00B75B77" w:rsidRDefault="00EB039C" w:rsidP="00811E5F">
      <w:pPr>
        <w:pStyle w:val="Caption"/>
      </w:pPr>
      <w:bookmarkStart w:id="478" w:name="_Ref461778371"/>
      <w:bookmarkStart w:id="479" w:name="_Toc466413551"/>
      <w:r w:rsidRPr="00B75B77">
        <w:t xml:space="preserve">Table </w:t>
      </w:r>
      <w:fldSimple w:instr=" STYLEREF 1 \s ">
        <w:r w:rsidR="0004016D">
          <w:rPr>
            <w:noProof/>
          </w:rPr>
          <w:t>6</w:t>
        </w:r>
      </w:fldSimple>
      <w:r w:rsidR="00F1144C" w:rsidRPr="00B75B77">
        <w:noBreakHyphen/>
      </w:r>
      <w:fldSimple w:instr=" SEQ Table \* ARABIC \s 1 ">
        <w:r w:rsidR="0004016D">
          <w:rPr>
            <w:noProof/>
          </w:rPr>
          <w:t>3</w:t>
        </w:r>
      </w:fldSimple>
      <w:bookmarkEnd w:id="478"/>
      <w:r w:rsidRPr="00B75B77">
        <w:t>: PY7 Smart Energy Saver Summary of Evaluation Results for Energy</w:t>
      </w:r>
      <w:bookmarkEnd w:id="479"/>
    </w:p>
    <w:tbl>
      <w:tblPr>
        <w:tblpPr w:leftFromText="180" w:rightFromText="180" w:vertAnchor="text" w:tblpY="1"/>
        <w:tblOverlap w:val="never"/>
        <w:tblW w:w="9355" w:type="dxa"/>
        <w:tblLook w:val="04A0" w:firstRow="1" w:lastRow="0" w:firstColumn="1" w:lastColumn="0" w:noHBand="0" w:noVBand="1"/>
      </w:tblPr>
      <w:tblGrid>
        <w:gridCol w:w="1435"/>
        <w:gridCol w:w="1260"/>
        <w:gridCol w:w="1530"/>
        <w:gridCol w:w="1440"/>
        <w:gridCol w:w="2160"/>
        <w:gridCol w:w="1530"/>
      </w:tblGrid>
      <w:tr w:rsidR="00EB039C" w:rsidRPr="00B75B77" w:rsidTr="00811E5F">
        <w:trPr>
          <w:divId w:val="23021311"/>
          <w:trHeight w:val="660"/>
        </w:trPr>
        <w:tc>
          <w:tcPr>
            <w:tcW w:w="1435"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EB039C" w:rsidRPr="00B75B77" w:rsidRDefault="00EB039C" w:rsidP="00B26791">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Stratum</w:t>
            </w:r>
          </w:p>
        </w:tc>
        <w:tc>
          <w:tcPr>
            <w:tcW w:w="126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EB039C" w:rsidRPr="00B75B77" w:rsidRDefault="00EB039C" w:rsidP="00811E5F">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Reported Gross Energy Savings (MWh/</w:t>
            </w:r>
            <w:proofErr w:type="spellStart"/>
            <w:r w:rsidRPr="00B75B77">
              <w:rPr>
                <w:rFonts w:ascii="Calibri" w:eastAsia="Times New Roman" w:hAnsi="Calibri"/>
                <w:b/>
                <w:bCs/>
                <w:color w:val="FFFFFF"/>
                <w:sz w:val="18"/>
                <w:szCs w:val="18"/>
              </w:rPr>
              <w:t>yr</w:t>
            </w:r>
            <w:proofErr w:type="spellEnd"/>
            <w:r w:rsidRPr="00B75B77">
              <w:rPr>
                <w:rFonts w:ascii="Calibri" w:eastAsia="Times New Roman" w:hAnsi="Calibri"/>
                <w:b/>
                <w:bCs/>
                <w:color w:val="FFFFFF"/>
                <w:sz w:val="18"/>
                <w:szCs w:val="18"/>
              </w:rPr>
              <w:t>)</w:t>
            </w:r>
          </w:p>
        </w:tc>
        <w:tc>
          <w:tcPr>
            <w:tcW w:w="153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EB039C" w:rsidRPr="00B75B77" w:rsidRDefault="00EB039C" w:rsidP="00811E5F">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Energy Realization Rate</w:t>
            </w:r>
            <w:r w:rsidR="00FC4CE8" w:rsidRPr="00B75B77">
              <w:rPr>
                <w:rFonts w:ascii="Calibri" w:eastAsia="Times New Roman" w:hAnsi="Calibri"/>
                <w:b/>
                <w:bCs/>
                <w:color w:val="FFFFFF"/>
                <w:sz w:val="18"/>
                <w:szCs w:val="18"/>
              </w:rPr>
              <w:t xml:space="preserve"> (%)</w:t>
            </w:r>
          </w:p>
        </w:tc>
        <w:tc>
          <w:tcPr>
            <w:tcW w:w="144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EB039C" w:rsidRPr="00B75B77" w:rsidRDefault="00EB039C" w:rsidP="00811E5F">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Verified Gross Energy Savings (MWh/</w:t>
            </w:r>
            <w:proofErr w:type="spellStart"/>
            <w:r w:rsidRPr="00B75B77">
              <w:rPr>
                <w:rFonts w:ascii="Calibri" w:eastAsia="Times New Roman" w:hAnsi="Calibri"/>
                <w:b/>
                <w:bCs/>
                <w:color w:val="FFFFFF"/>
                <w:sz w:val="18"/>
                <w:szCs w:val="18"/>
              </w:rPr>
              <w:t>yr</w:t>
            </w:r>
            <w:proofErr w:type="spellEnd"/>
            <w:r w:rsidRPr="00B75B77">
              <w:rPr>
                <w:rFonts w:ascii="Calibri" w:eastAsia="Times New Roman" w:hAnsi="Calibri"/>
                <w:b/>
                <w:bCs/>
                <w:color w:val="FFFFFF"/>
                <w:sz w:val="18"/>
                <w:szCs w:val="18"/>
              </w:rPr>
              <w:t>)</w:t>
            </w:r>
          </w:p>
        </w:tc>
        <w:tc>
          <w:tcPr>
            <w:tcW w:w="2160"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EB039C" w:rsidRPr="00B75B77" w:rsidRDefault="00EB039C" w:rsidP="00B26791">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Observed C</w:t>
            </w:r>
            <w:r w:rsidR="00B26791" w:rsidRPr="00B75B77">
              <w:rPr>
                <w:rFonts w:ascii="Calibri" w:eastAsia="Times New Roman" w:hAnsi="Calibri"/>
                <w:b/>
                <w:bCs/>
                <w:color w:val="FFFFFF"/>
                <w:sz w:val="18"/>
                <w:szCs w:val="18"/>
              </w:rPr>
              <w:t>V</w:t>
            </w:r>
            <w:r w:rsidRPr="00B75B77">
              <w:rPr>
                <w:rFonts w:ascii="Calibri" w:eastAsia="Times New Roman" w:hAnsi="Calibri"/>
                <w:b/>
                <w:bCs/>
                <w:color w:val="FFFFFF"/>
                <w:sz w:val="18"/>
                <w:szCs w:val="18"/>
              </w:rPr>
              <w:t xml:space="preserve"> or Proportion in Sample Design</w:t>
            </w:r>
          </w:p>
        </w:tc>
        <w:tc>
          <w:tcPr>
            <w:tcW w:w="1530"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EB039C" w:rsidRPr="00B75B77" w:rsidRDefault="00EB039C" w:rsidP="00B26791">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Relative Precision at 85% </w:t>
            </w:r>
            <w:r w:rsidR="00B26791" w:rsidRPr="00B75B77">
              <w:rPr>
                <w:rFonts w:ascii="Calibri" w:eastAsia="Times New Roman" w:hAnsi="Calibri"/>
                <w:b/>
                <w:bCs/>
                <w:color w:val="FFFFFF"/>
                <w:sz w:val="18"/>
                <w:szCs w:val="18"/>
              </w:rPr>
              <w:t>Confidence Interval</w:t>
            </w:r>
          </w:p>
        </w:tc>
      </w:tr>
      <w:tr w:rsidR="00EB039C" w:rsidRPr="00B75B77" w:rsidTr="00811E5F">
        <w:trPr>
          <w:divId w:val="23021311"/>
          <w:trHeight w:val="288"/>
        </w:trPr>
        <w:tc>
          <w:tcPr>
            <w:tcW w:w="1435" w:type="dxa"/>
            <w:vMerge/>
            <w:tcBorders>
              <w:top w:val="single" w:sz="4" w:space="0" w:color="auto"/>
              <w:left w:val="single" w:sz="4" w:space="0" w:color="auto"/>
              <w:bottom w:val="single" w:sz="4" w:space="0" w:color="auto"/>
              <w:right w:val="single" w:sz="4" w:space="0" w:color="auto"/>
            </w:tcBorders>
            <w:vAlign w:val="center"/>
            <w:hideMark/>
          </w:tcPr>
          <w:p w:rsidR="00EB039C" w:rsidRPr="00B75B77" w:rsidRDefault="00EB039C" w:rsidP="00811E5F">
            <w:pPr>
              <w:jc w:val="left"/>
              <w:rPr>
                <w:rFonts w:ascii="Calibri" w:eastAsia="Times New Roman" w:hAnsi="Calibri"/>
                <w:b/>
                <w:bCs/>
                <w:color w:val="FFFFFF"/>
                <w:sz w:val="18"/>
                <w:szCs w:val="18"/>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rsidR="00EB039C" w:rsidRPr="00B75B77" w:rsidRDefault="00EB039C" w:rsidP="00811E5F">
            <w:pPr>
              <w:jc w:val="left"/>
              <w:rPr>
                <w:rFonts w:ascii="Calibri" w:eastAsia="Times New Roman" w:hAnsi="Calibri"/>
                <w:b/>
                <w:bCs/>
                <w:color w:val="FFFFFF"/>
                <w:sz w:val="18"/>
                <w:szCs w:val="18"/>
              </w:rPr>
            </w:pPr>
          </w:p>
        </w:tc>
        <w:tc>
          <w:tcPr>
            <w:tcW w:w="1530" w:type="dxa"/>
            <w:vMerge/>
            <w:tcBorders>
              <w:top w:val="single" w:sz="4" w:space="0" w:color="auto"/>
              <w:left w:val="single" w:sz="4" w:space="0" w:color="auto"/>
              <w:bottom w:val="single" w:sz="4" w:space="0" w:color="000000"/>
              <w:right w:val="single" w:sz="4" w:space="0" w:color="auto"/>
            </w:tcBorders>
            <w:vAlign w:val="center"/>
            <w:hideMark/>
          </w:tcPr>
          <w:p w:rsidR="00EB039C" w:rsidRPr="00B75B77" w:rsidRDefault="00EB039C" w:rsidP="00811E5F">
            <w:pPr>
              <w:jc w:val="left"/>
              <w:rPr>
                <w:rFonts w:ascii="Calibri" w:eastAsia="Times New Roman" w:hAnsi="Calibri"/>
                <w:b/>
                <w:bCs/>
                <w:color w:val="FFFFFF"/>
                <w:sz w:val="18"/>
                <w:szCs w:val="18"/>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rsidR="00EB039C" w:rsidRPr="00B75B77" w:rsidRDefault="00EB039C" w:rsidP="00811E5F">
            <w:pPr>
              <w:jc w:val="left"/>
              <w:rPr>
                <w:rFonts w:ascii="Calibri" w:eastAsia="Times New Roman" w:hAnsi="Calibri"/>
                <w:b/>
                <w:bCs/>
                <w:color w:val="FFFFFF"/>
                <w:sz w:val="18"/>
                <w:szCs w:val="18"/>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EB039C" w:rsidRPr="00B75B77" w:rsidRDefault="00EB039C" w:rsidP="00811E5F">
            <w:pPr>
              <w:jc w:val="left"/>
              <w:rPr>
                <w:rFonts w:ascii="Calibri" w:eastAsia="Times New Roman" w:hAnsi="Calibri"/>
                <w:b/>
                <w:bCs/>
                <w:color w:val="FFFFFF"/>
                <w:sz w:val="18"/>
                <w:szCs w:val="18"/>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EB039C" w:rsidRPr="00B75B77" w:rsidRDefault="00EB039C" w:rsidP="00811E5F">
            <w:pPr>
              <w:jc w:val="left"/>
              <w:rPr>
                <w:rFonts w:ascii="Calibri" w:eastAsia="Times New Roman" w:hAnsi="Calibri"/>
                <w:b/>
                <w:bCs/>
                <w:color w:val="FFFFFF"/>
                <w:sz w:val="18"/>
                <w:szCs w:val="18"/>
              </w:rPr>
            </w:pPr>
          </w:p>
        </w:tc>
      </w:tr>
      <w:tr w:rsidR="00EB039C" w:rsidRPr="00B75B77" w:rsidTr="00811E5F">
        <w:trPr>
          <w:divId w:val="23021311"/>
          <w:trHeight w:val="300"/>
        </w:trPr>
        <w:tc>
          <w:tcPr>
            <w:tcW w:w="1435" w:type="dxa"/>
            <w:vMerge/>
            <w:tcBorders>
              <w:top w:val="single" w:sz="4" w:space="0" w:color="auto"/>
              <w:left w:val="single" w:sz="4" w:space="0" w:color="auto"/>
              <w:bottom w:val="single" w:sz="4" w:space="0" w:color="auto"/>
              <w:right w:val="single" w:sz="4" w:space="0" w:color="auto"/>
            </w:tcBorders>
            <w:vAlign w:val="center"/>
            <w:hideMark/>
          </w:tcPr>
          <w:p w:rsidR="00EB039C" w:rsidRPr="00B75B77" w:rsidRDefault="00EB039C" w:rsidP="00811E5F">
            <w:pPr>
              <w:jc w:val="left"/>
              <w:rPr>
                <w:rFonts w:ascii="Calibri" w:eastAsia="Times New Roman" w:hAnsi="Calibri"/>
                <w:b/>
                <w:bCs/>
                <w:color w:val="FFFFFF"/>
                <w:sz w:val="18"/>
                <w:szCs w:val="18"/>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rsidR="00EB039C" w:rsidRPr="00B75B77" w:rsidRDefault="00EB039C" w:rsidP="00811E5F">
            <w:pPr>
              <w:jc w:val="left"/>
              <w:rPr>
                <w:rFonts w:ascii="Calibri" w:eastAsia="Times New Roman" w:hAnsi="Calibri"/>
                <w:b/>
                <w:bCs/>
                <w:color w:val="FFFFFF"/>
                <w:sz w:val="18"/>
                <w:szCs w:val="18"/>
              </w:rPr>
            </w:pPr>
          </w:p>
        </w:tc>
        <w:tc>
          <w:tcPr>
            <w:tcW w:w="1530" w:type="dxa"/>
            <w:vMerge/>
            <w:tcBorders>
              <w:top w:val="single" w:sz="4" w:space="0" w:color="auto"/>
              <w:left w:val="single" w:sz="4" w:space="0" w:color="auto"/>
              <w:bottom w:val="single" w:sz="4" w:space="0" w:color="000000"/>
              <w:right w:val="single" w:sz="4" w:space="0" w:color="auto"/>
            </w:tcBorders>
            <w:vAlign w:val="center"/>
            <w:hideMark/>
          </w:tcPr>
          <w:p w:rsidR="00EB039C" w:rsidRPr="00B75B77" w:rsidRDefault="00EB039C" w:rsidP="00811E5F">
            <w:pPr>
              <w:jc w:val="left"/>
              <w:rPr>
                <w:rFonts w:ascii="Calibri" w:eastAsia="Times New Roman" w:hAnsi="Calibri"/>
                <w:b/>
                <w:bCs/>
                <w:color w:val="FFFFFF"/>
                <w:sz w:val="18"/>
                <w:szCs w:val="18"/>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rsidR="00EB039C" w:rsidRPr="00B75B77" w:rsidRDefault="00EB039C" w:rsidP="00811E5F">
            <w:pPr>
              <w:jc w:val="left"/>
              <w:rPr>
                <w:rFonts w:ascii="Calibri" w:eastAsia="Times New Roman" w:hAnsi="Calibri"/>
                <w:b/>
                <w:bCs/>
                <w:color w:val="FFFFFF"/>
                <w:sz w:val="18"/>
                <w:szCs w:val="18"/>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EB039C" w:rsidRPr="00B75B77" w:rsidRDefault="00EB039C" w:rsidP="00811E5F">
            <w:pPr>
              <w:jc w:val="left"/>
              <w:rPr>
                <w:rFonts w:ascii="Calibri" w:eastAsia="Times New Roman" w:hAnsi="Calibri"/>
                <w:b/>
                <w:bCs/>
                <w:color w:val="FFFFFF"/>
                <w:sz w:val="18"/>
                <w:szCs w:val="18"/>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EB039C" w:rsidRPr="00B75B77" w:rsidRDefault="00EB039C" w:rsidP="00811E5F">
            <w:pPr>
              <w:jc w:val="left"/>
              <w:rPr>
                <w:rFonts w:ascii="Calibri" w:eastAsia="Times New Roman" w:hAnsi="Calibri"/>
                <w:b/>
                <w:bCs/>
                <w:color w:val="FFFFFF"/>
                <w:sz w:val="18"/>
                <w:szCs w:val="18"/>
              </w:rPr>
            </w:pPr>
          </w:p>
        </w:tc>
      </w:tr>
      <w:tr w:rsidR="00EB039C" w:rsidRPr="00B75B77" w:rsidTr="00811E5F">
        <w:trPr>
          <w:divId w:val="23021311"/>
          <w:trHeight w:val="300"/>
        </w:trPr>
        <w:tc>
          <w:tcPr>
            <w:tcW w:w="1435" w:type="dxa"/>
            <w:tcBorders>
              <w:top w:val="nil"/>
              <w:left w:val="single" w:sz="4" w:space="0" w:color="448A99"/>
              <w:bottom w:val="single" w:sz="4" w:space="0" w:color="448A99"/>
              <w:right w:val="single" w:sz="4" w:space="0" w:color="448A99"/>
            </w:tcBorders>
            <w:shd w:val="clear" w:color="000000" w:fill="D2EAF1"/>
            <w:vAlign w:val="center"/>
            <w:hideMark/>
          </w:tcPr>
          <w:p w:rsidR="00EB039C" w:rsidRPr="00B75B77" w:rsidRDefault="00EB039C" w:rsidP="00811E5F">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13W CFL</w:t>
            </w:r>
          </w:p>
        </w:tc>
        <w:tc>
          <w:tcPr>
            <w:tcW w:w="126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739</w:t>
            </w:r>
          </w:p>
        </w:tc>
        <w:tc>
          <w:tcPr>
            <w:tcW w:w="153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1.00</w:t>
            </w:r>
          </w:p>
        </w:tc>
        <w:tc>
          <w:tcPr>
            <w:tcW w:w="144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740</w:t>
            </w:r>
          </w:p>
        </w:tc>
        <w:tc>
          <w:tcPr>
            <w:tcW w:w="216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1.00</w:t>
            </w:r>
          </w:p>
        </w:tc>
        <w:tc>
          <w:tcPr>
            <w:tcW w:w="153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bookmarkStart w:id="480" w:name="RANGE!G41:G46"/>
            <w:r w:rsidRPr="00B75B77">
              <w:rPr>
                <w:rFonts w:ascii="Calibri" w:eastAsia="Times New Roman" w:hAnsi="Calibri"/>
                <w:color w:val="000000"/>
                <w:sz w:val="18"/>
                <w:szCs w:val="18"/>
              </w:rPr>
              <w:t>0%</w:t>
            </w:r>
            <w:bookmarkEnd w:id="480"/>
          </w:p>
        </w:tc>
      </w:tr>
      <w:tr w:rsidR="00EB039C" w:rsidRPr="00B75B77" w:rsidTr="00811E5F">
        <w:trPr>
          <w:divId w:val="23021311"/>
          <w:trHeight w:val="300"/>
        </w:trPr>
        <w:tc>
          <w:tcPr>
            <w:tcW w:w="1435" w:type="dxa"/>
            <w:tcBorders>
              <w:top w:val="nil"/>
              <w:left w:val="single" w:sz="4" w:space="0" w:color="448A99"/>
              <w:bottom w:val="single" w:sz="4" w:space="0" w:color="448A99"/>
              <w:right w:val="single" w:sz="4" w:space="0" w:color="448A99"/>
            </w:tcBorders>
            <w:shd w:val="clear" w:color="000000" w:fill="FFFFFF"/>
            <w:vAlign w:val="center"/>
            <w:hideMark/>
          </w:tcPr>
          <w:p w:rsidR="00EB039C" w:rsidRPr="00B75B77" w:rsidRDefault="00EB039C" w:rsidP="00811E5F">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18W CFL</w:t>
            </w:r>
          </w:p>
        </w:tc>
        <w:tc>
          <w:tcPr>
            <w:tcW w:w="1260"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281</w:t>
            </w:r>
          </w:p>
        </w:tc>
        <w:tc>
          <w:tcPr>
            <w:tcW w:w="1530"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1.00</w:t>
            </w:r>
          </w:p>
        </w:tc>
        <w:tc>
          <w:tcPr>
            <w:tcW w:w="1440"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281</w:t>
            </w:r>
          </w:p>
        </w:tc>
        <w:tc>
          <w:tcPr>
            <w:tcW w:w="2160"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1.00</w:t>
            </w:r>
          </w:p>
        </w:tc>
        <w:tc>
          <w:tcPr>
            <w:tcW w:w="1530"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EB039C" w:rsidRPr="00B75B77" w:rsidTr="00811E5F">
        <w:trPr>
          <w:divId w:val="23021311"/>
          <w:trHeight w:val="300"/>
        </w:trPr>
        <w:tc>
          <w:tcPr>
            <w:tcW w:w="1435" w:type="dxa"/>
            <w:tcBorders>
              <w:top w:val="nil"/>
              <w:left w:val="single" w:sz="4" w:space="0" w:color="448A99"/>
              <w:bottom w:val="single" w:sz="4" w:space="0" w:color="448A99"/>
              <w:right w:val="single" w:sz="4" w:space="0" w:color="448A99"/>
            </w:tcBorders>
            <w:shd w:val="clear" w:color="000000" w:fill="D2EAF1"/>
            <w:vAlign w:val="center"/>
            <w:hideMark/>
          </w:tcPr>
          <w:p w:rsidR="00EB039C" w:rsidRPr="00B75B77" w:rsidRDefault="00EB039C" w:rsidP="00811E5F">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23W CFL</w:t>
            </w:r>
          </w:p>
        </w:tc>
        <w:tc>
          <w:tcPr>
            <w:tcW w:w="126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393</w:t>
            </w:r>
          </w:p>
        </w:tc>
        <w:tc>
          <w:tcPr>
            <w:tcW w:w="153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1.00</w:t>
            </w:r>
          </w:p>
        </w:tc>
        <w:tc>
          <w:tcPr>
            <w:tcW w:w="144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394</w:t>
            </w:r>
          </w:p>
        </w:tc>
        <w:tc>
          <w:tcPr>
            <w:tcW w:w="216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1.00</w:t>
            </w:r>
          </w:p>
        </w:tc>
        <w:tc>
          <w:tcPr>
            <w:tcW w:w="153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EB039C" w:rsidRPr="00B75B77" w:rsidTr="00811E5F">
        <w:trPr>
          <w:divId w:val="23021311"/>
          <w:trHeight w:val="300"/>
        </w:trPr>
        <w:tc>
          <w:tcPr>
            <w:tcW w:w="1435" w:type="dxa"/>
            <w:tcBorders>
              <w:top w:val="nil"/>
              <w:left w:val="single" w:sz="4" w:space="0" w:color="448A99"/>
              <w:bottom w:val="single" w:sz="4" w:space="0" w:color="448A99"/>
              <w:right w:val="single" w:sz="4" w:space="0" w:color="448A99"/>
            </w:tcBorders>
            <w:shd w:val="clear" w:color="000000" w:fill="FFFFFF"/>
            <w:vAlign w:val="center"/>
            <w:hideMark/>
          </w:tcPr>
          <w:p w:rsidR="00EB039C" w:rsidRPr="00B75B77" w:rsidRDefault="00EB039C" w:rsidP="00811E5F">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LED Nightlight</w:t>
            </w:r>
          </w:p>
        </w:tc>
        <w:tc>
          <w:tcPr>
            <w:tcW w:w="1260"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121</w:t>
            </w:r>
          </w:p>
        </w:tc>
        <w:tc>
          <w:tcPr>
            <w:tcW w:w="1530"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0.56</w:t>
            </w:r>
          </w:p>
        </w:tc>
        <w:tc>
          <w:tcPr>
            <w:tcW w:w="1440"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67</w:t>
            </w:r>
          </w:p>
        </w:tc>
        <w:tc>
          <w:tcPr>
            <w:tcW w:w="2160"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0.56</w:t>
            </w:r>
          </w:p>
        </w:tc>
        <w:tc>
          <w:tcPr>
            <w:tcW w:w="1530"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2%</w:t>
            </w:r>
          </w:p>
        </w:tc>
      </w:tr>
      <w:tr w:rsidR="00EB039C" w:rsidRPr="00B75B77" w:rsidTr="00811E5F">
        <w:trPr>
          <w:divId w:val="23021311"/>
          <w:trHeight w:val="300"/>
        </w:trPr>
        <w:tc>
          <w:tcPr>
            <w:tcW w:w="1435" w:type="dxa"/>
            <w:tcBorders>
              <w:top w:val="nil"/>
              <w:left w:val="single" w:sz="4" w:space="0" w:color="448A99"/>
              <w:bottom w:val="single" w:sz="4" w:space="0" w:color="448A99"/>
              <w:right w:val="single" w:sz="4" w:space="0" w:color="448A99"/>
            </w:tcBorders>
            <w:shd w:val="clear" w:color="000000" w:fill="D2EAF1"/>
            <w:vAlign w:val="center"/>
            <w:hideMark/>
          </w:tcPr>
          <w:p w:rsidR="00EB039C" w:rsidRPr="00B75B77" w:rsidRDefault="00EB039C" w:rsidP="00811E5F">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Low</w:t>
            </w:r>
            <w:r w:rsidR="00B26791" w:rsidRPr="00B75B77">
              <w:rPr>
                <w:rFonts w:ascii="Calibri" w:eastAsia="Times New Roman" w:hAnsi="Calibri"/>
                <w:bCs/>
                <w:color w:val="000000"/>
                <w:sz w:val="18"/>
                <w:szCs w:val="18"/>
              </w:rPr>
              <w:t>-</w:t>
            </w:r>
            <w:r w:rsidRPr="00B75B77">
              <w:rPr>
                <w:rFonts w:ascii="Calibri" w:eastAsia="Times New Roman" w:hAnsi="Calibri"/>
                <w:bCs/>
                <w:color w:val="000000"/>
                <w:sz w:val="18"/>
                <w:szCs w:val="18"/>
              </w:rPr>
              <w:t xml:space="preserve">Flow Showerhead </w:t>
            </w:r>
          </w:p>
        </w:tc>
        <w:tc>
          <w:tcPr>
            <w:tcW w:w="126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891</w:t>
            </w:r>
          </w:p>
        </w:tc>
        <w:tc>
          <w:tcPr>
            <w:tcW w:w="153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0.70</w:t>
            </w:r>
          </w:p>
        </w:tc>
        <w:tc>
          <w:tcPr>
            <w:tcW w:w="144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621</w:t>
            </w:r>
          </w:p>
        </w:tc>
        <w:tc>
          <w:tcPr>
            <w:tcW w:w="216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0.70</w:t>
            </w:r>
          </w:p>
        </w:tc>
        <w:tc>
          <w:tcPr>
            <w:tcW w:w="153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2%</w:t>
            </w:r>
          </w:p>
        </w:tc>
      </w:tr>
      <w:tr w:rsidR="00EB039C" w:rsidRPr="00B75B77" w:rsidTr="00811E5F">
        <w:trPr>
          <w:divId w:val="23021311"/>
          <w:trHeight w:val="300"/>
        </w:trPr>
        <w:tc>
          <w:tcPr>
            <w:tcW w:w="1435" w:type="dxa"/>
            <w:tcBorders>
              <w:top w:val="nil"/>
              <w:left w:val="single" w:sz="4" w:space="0" w:color="448A99"/>
              <w:bottom w:val="single" w:sz="4" w:space="0" w:color="448A99"/>
              <w:right w:val="single" w:sz="4" w:space="0" w:color="448A99"/>
            </w:tcBorders>
            <w:shd w:val="clear" w:color="000000" w:fill="FFFFFF"/>
            <w:vAlign w:val="center"/>
            <w:hideMark/>
          </w:tcPr>
          <w:p w:rsidR="00EB039C" w:rsidRPr="00B75B77" w:rsidRDefault="00EB039C" w:rsidP="00811E5F">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Faucet Aerator</w:t>
            </w:r>
          </w:p>
        </w:tc>
        <w:tc>
          <w:tcPr>
            <w:tcW w:w="1260"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361</w:t>
            </w:r>
          </w:p>
        </w:tc>
        <w:tc>
          <w:tcPr>
            <w:tcW w:w="1530"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0.86</w:t>
            </w:r>
          </w:p>
        </w:tc>
        <w:tc>
          <w:tcPr>
            <w:tcW w:w="1440"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310</w:t>
            </w:r>
          </w:p>
        </w:tc>
        <w:tc>
          <w:tcPr>
            <w:tcW w:w="2160"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0.86</w:t>
            </w:r>
          </w:p>
        </w:tc>
        <w:tc>
          <w:tcPr>
            <w:tcW w:w="1530"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1%</w:t>
            </w:r>
          </w:p>
        </w:tc>
      </w:tr>
      <w:tr w:rsidR="00EB039C" w:rsidRPr="00B75B77" w:rsidTr="00811E5F">
        <w:trPr>
          <w:divId w:val="23021311"/>
          <w:trHeight w:val="288"/>
        </w:trPr>
        <w:tc>
          <w:tcPr>
            <w:tcW w:w="1435" w:type="dxa"/>
            <w:tcBorders>
              <w:top w:val="nil"/>
              <w:left w:val="single" w:sz="4" w:space="0" w:color="448A99"/>
              <w:bottom w:val="single" w:sz="4" w:space="0" w:color="448A99"/>
              <w:right w:val="single" w:sz="4" w:space="0" w:color="448A99"/>
            </w:tcBorders>
            <w:shd w:val="clear" w:color="000000" w:fill="D2EAF1"/>
            <w:vAlign w:val="center"/>
            <w:hideMark/>
          </w:tcPr>
          <w:p w:rsidR="00EB039C" w:rsidRPr="00B75B77" w:rsidRDefault="00B26791" w:rsidP="00811E5F">
            <w:pPr>
              <w:jc w:val="left"/>
              <w:rPr>
                <w:rFonts w:ascii="Calibri" w:eastAsia="Times New Roman" w:hAnsi="Calibri"/>
                <w:b/>
                <w:color w:val="000000"/>
                <w:sz w:val="18"/>
                <w:szCs w:val="18"/>
              </w:rPr>
            </w:pPr>
            <w:r w:rsidRPr="00B75B77">
              <w:rPr>
                <w:rFonts w:ascii="Calibri" w:eastAsia="Times New Roman" w:hAnsi="Calibri"/>
                <w:b/>
                <w:color w:val="000000"/>
                <w:sz w:val="18"/>
                <w:szCs w:val="18"/>
              </w:rPr>
              <w:t>PROGRAM TOTAL</w:t>
            </w:r>
          </w:p>
        </w:tc>
        <w:tc>
          <w:tcPr>
            <w:tcW w:w="126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2,786</w:t>
            </w:r>
          </w:p>
        </w:tc>
        <w:tc>
          <w:tcPr>
            <w:tcW w:w="153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b/>
                <w:color w:val="000000"/>
                <w:sz w:val="18"/>
                <w:szCs w:val="18"/>
              </w:rPr>
            </w:pPr>
            <w:bookmarkStart w:id="481" w:name="RANGE!D47"/>
            <w:r w:rsidRPr="00B75B77">
              <w:rPr>
                <w:rFonts w:ascii="Calibri" w:eastAsia="Times New Roman" w:hAnsi="Calibri"/>
                <w:b/>
                <w:color w:val="000000"/>
                <w:sz w:val="18"/>
                <w:szCs w:val="18"/>
              </w:rPr>
              <w:t>0.87</w:t>
            </w:r>
            <w:bookmarkEnd w:id="481"/>
          </w:p>
        </w:tc>
        <w:tc>
          <w:tcPr>
            <w:tcW w:w="144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2,413</w:t>
            </w:r>
          </w:p>
        </w:tc>
        <w:tc>
          <w:tcPr>
            <w:tcW w:w="216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N/A</w:t>
            </w:r>
          </w:p>
        </w:tc>
        <w:tc>
          <w:tcPr>
            <w:tcW w:w="153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1%</w:t>
            </w:r>
          </w:p>
        </w:tc>
      </w:tr>
    </w:tbl>
    <w:p w:rsidR="00B26791" w:rsidRPr="00B75B77" w:rsidRDefault="00B26791" w:rsidP="004943C7">
      <w:pPr>
        <w:pStyle w:val="Source"/>
        <w:tabs>
          <w:tab w:val="left" w:pos="1044"/>
        </w:tabs>
        <w:spacing w:before="20" w:after="20"/>
        <w:ind w:left="0" w:firstLine="0"/>
        <w:rPr>
          <w:rFonts w:ascii="Calibri" w:hAnsi="Calibri"/>
          <w:i w:val="0"/>
          <w:iCs/>
          <w:color w:val="000000"/>
          <w:szCs w:val="18"/>
        </w:rPr>
      </w:pPr>
      <w:r w:rsidRPr="00B75B77">
        <w:rPr>
          <w:rFonts w:ascii="Calibri" w:hAnsi="Calibri"/>
          <w:i w:val="0"/>
          <w:iCs/>
          <w:color w:val="000000"/>
          <w:szCs w:val="18"/>
        </w:rPr>
        <w:t xml:space="preserve">Note: Values in tables may not reconcile exactly </w:t>
      </w:r>
      <w:r w:rsidR="00493C06" w:rsidRPr="00B75B77">
        <w:rPr>
          <w:rFonts w:ascii="Calibri" w:hAnsi="Calibri"/>
          <w:i w:val="0"/>
          <w:iCs/>
          <w:color w:val="000000"/>
          <w:szCs w:val="18"/>
        </w:rPr>
        <w:t>with the sum of</w:t>
      </w:r>
      <w:r w:rsidRPr="00B75B77">
        <w:rPr>
          <w:rFonts w:ascii="Calibri" w:hAnsi="Calibri"/>
          <w:i w:val="0"/>
          <w:iCs/>
          <w:color w:val="000000"/>
          <w:szCs w:val="18"/>
        </w:rPr>
        <w:t xml:space="preserve"> more detailed level results or previously reported results due to rounding.</w:t>
      </w:r>
    </w:p>
    <w:p w:rsidR="00EB039C" w:rsidRPr="00B75B77" w:rsidRDefault="00EB039C" w:rsidP="004943C7">
      <w:pPr>
        <w:pStyle w:val="Source"/>
        <w:tabs>
          <w:tab w:val="left" w:pos="1044"/>
        </w:tabs>
        <w:ind w:left="0" w:firstLine="0"/>
      </w:pPr>
      <w:r w:rsidRPr="00B75B77">
        <w:t>Source: Navigant analysis</w:t>
      </w:r>
    </w:p>
    <w:p w:rsidR="00EB039C" w:rsidRPr="00B75B77" w:rsidRDefault="00EB039C" w:rsidP="00811E5F">
      <w:pPr>
        <w:pStyle w:val="Caption"/>
      </w:pPr>
      <w:bookmarkStart w:id="482" w:name="_Ref461780436"/>
      <w:bookmarkStart w:id="483" w:name="_Toc466413552"/>
      <w:r w:rsidRPr="00B75B77">
        <w:t xml:space="preserve">Table </w:t>
      </w:r>
      <w:fldSimple w:instr=" STYLEREF 1 \s ">
        <w:r w:rsidR="0004016D">
          <w:rPr>
            <w:noProof/>
          </w:rPr>
          <w:t>6</w:t>
        </w:r>
      </w:fldSimple>
      <w:r w:rsidR="00F1144C" w:rsidRPr="00B75B77">
        <w:noBreakHyphen/>
      </w:r>
      <w:fldSimple w:instr=" SEQ Table \* ARABIC \s 1 ">
        <w:r w:rsidR="0004016D">
          <w:rPr>
            <w:noProof/>
          </w:rPr>
          <w:t>4</w:t>
        </w:r>
      </w:fldSimple>
      <w:bookmarkEnd w:id="482"/>
      <w:r w:rsidRPr="00B75B77">
        <w:t>: PY7 Smart Energy Saver Summary of Evaluation Results for Demand</w:t>
      </w:r>
      <w:bookmarkEnd w:id="483"/>
    </w:p>
    <w:tbl>
      <w:tblPr>
        <w:tblW w:w="9355" w:type="dxa"/>
        <w:tblLook w:val="04A0" w:firstRow="1" w:lastRow="0" w:firstColumn="1" w:lastColumn="0" w:noHBand="0" w:noVBand="1"/>
      </w:tblPr>
      <w:tblGrid>
        <w:gridCol w:w="1435"/>
        <w:gridCol w:w="1710"/>
        <w:gridCol w:w="1069"/>
        <w:gridCol w:w="1465"/>
        <w:gridCol w:w="2146"/>
        <w:gridCol w:w="1530"/>
      </w:tblGrid>
      <w:tr w:rsidR="00EB039C" w:rsidRPr="00B75B77" w:rsidTr="00811E5F">
        <w:trPr>
          <w:divId w:val="210190914"/>
          <w:trHeight w:val="588"/>
        </w:trPr>
        <w:tc>
          <w:tcPr>
            <w:tcW w:w="1435"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EB039C" w:rsidRPr="00B75B77" w:rsidRDefault="00EB039C" w:rsidP="00B26791">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Stratum</w:t>
            </w:r>
          </w:p>
        </w:tc>
        <w:tc>
          <w:tcPr>
            <w:tcW w:w="1710"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EB039C" w:rsidRPr="00B75B77" w:rsidRDefault="00EB039C" w:rsidP="00811E5F">
            <w:pPr>
              <w:jc w:val="center"/>
              <w:rPr>
                <w:rFonts w:ascii="Calibri" w:eastAsia="Times New Roman" w:hAnsi="Calibri"/>
                <w:b/>
                <w:bCs/>
                <w:color w:val="FFFFFF"/>
                <w:sz w:val="18"/>
                <w:szCs w:val="18"/>
                <w:vertAlign w:val="superscript"/>
              </w:rPr>
            </w:pPr>
            <w:r w:rsidRPr="00B75B77">
              <w:rPr>
                <w:rFonts w:ascii="Calibri" w:eastAsia="Times New Roman" w:hAnsi="Calibri"/>
                <w:b/>
                <w:bCs/>
                <w:color w:val="FFFFFF"/>
                <w:sz w:val="18"/>
                <w:szCs w:val="18"/>
              </w:rPr>
              <w:t xml:space="preserve">Reported Gross Demand Savings </w:t>
            </w:r>
            <w:r w:rsidRPr="00B75B77">
              <w:rPr>
                <w:rFonts w:ascii="Calibri" w:eastAsia="Times New Roman" w:hAnsi="Calibri"/>
                <w:b/>
                <w:bCs/>
                <w:color w:val="FFFFFF"/>
                <w:sz w:val="18"/>
                <w:szCs w:val="18"/>
              </w:rPr>
              <w:br/>
              <w:t>(MW)</w:t>
            </w:r>
            <w:r w:rsidRPr="00B75B77">
              <w:rPr>
                <w:rFonts w:ascii="Calibri" w:eastAsia="Times New Roman" w:hAnsi="Calibri"/>
                <w:b/>
                <w:bCs/>
                <w:color w:val="FFFFFF"/>
                <w:sz w:val="18"/>
                <w:szCs w:val="18"/>
                <w:vertAlign w:val="superscript"/>
              </w:rPr>
              <w:t>[1]</w:t>
            </w:r>
          </w:p>
        </w:tc>
        <w:tc>
          <w:tcPr>
            <w:tcW w:w="1069"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EB039C" w:rsidRPr="00B75B77" w:rsidRDefault="00EB039C" w:rsidP="00811E5F">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Demand Realization Rate</w:t>
            </w:r>
          </w:p>
        </w:tc>
        <w:tc>
          <w:tcPr>
            <w:tcW w:w="1465"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EB039C" w:rsidRPr="00B75B77" w:rsidRDefault="00EB039C" w:rsidP="00811E5F">
            <w:pPr>
              <w:jc w:val="center"/>
              <w:rPr>
                <w:rFonts w:ascii="Calibri" w:eastAsia="Times New Roman" w:hAnsi="Calibri"/>
                <w:b/>
                <w:bCs/>
                <w:color w:val="FFFFFF"/>
                <w:sz w:val="18"/>
                <w:szCs w:val="18"/>
                <w:vertAlign w:val="superscript"/>
              </w:rPr>
            </w:pPr>
            <w:r w:rsidRPr="00B75B77">
              <w:rPr>
                <w:rFonts w:ascii="Calibri" w:eastAsia="Times New Roman" w:hAnsi="Calibri"/>
                <w:b/>
                <w:bCs/>
                <w:color w:val="FFFFFF"/>
                <w:sz w:val="18"/>
                <w:szCs w:val="18"/>
              </w:rPr>
              <w:t>Verified Gross Demand Savings (MW)</w:t>
            </w:r>
            <w:r w:rsidRPr="00B75B77">
              <w:rPr>
                <w:rFonts w:ascii="Calibri" w:eastAsia="Times New Roman" w:hAnsi="Calibri"/>
                <w:b/>
                <w:bCs/>
                <w:color w:val="FFFFFF"/>
                <w:sz w:val="18"/>
                <w:szCs w:val="18"/>
                <w:vertAlign w:val="superscript"/>
              </w:rPr>
              <w:t>[1]</w:t>
            </w:r>
          </w:p>
        </w:tc>
        <w:tc>
          <w:tcPr>
            <w:tcW w:w="2146"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EB039C" w:rsidRPr="00B75B77" w:rsidRDefault="00EB039C" w:rsidP="002E0AE7">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Observed </w:t>
            </w:r>
            <w:r w:rsidR="002E0AE7" w:rsidRPr="00B75B77">
              <w:rPr>
                <w:rFonts w:ascii="Calibri" w:eastAsia="Times New Roman" w:hAnsi="Calibri"/>
                <w:b/>
                <w:bCs/>
                <w:color w:val="FFFFFF"/>
                <w:sz w:val="18"/>
                <w:szCs w:val="18"/>
              </w:rPr>
              <w:t>CV</w:t>
            </w:r>
            <w:r w:rsidRPr="00B75B77">
              <w:rPr>
                <w:rFonts w:ascii="Calibri" w:eastAsia="Times New Roman" w:hAnsi="Calibri"/>
                <w:b/>
                <w:bCs/>
                <w:color w:val="FFFFFF"/>
                <w:sz w:val="18"/>
                <w:szCs w:val="18"/>
              </w:rPr>
              <w:t xml:space="preserve"> or Proportion in Sample Design</w:t>
            </w:r>
          </w:p>
        </w:tc>
        <w:tc>
          <w:tcPr>
            <w:tcW w:w="1530"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EB039C" w:rsidRPr="00B75B77" w:rsidRDefault="00EB039C" w:rsidP="00D34129">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Relative Precision at 85% </w:t>
            </w:r>
            <w:r w:rsidR="00D34129" w:rsidRPr="00B75B77">
              <w:rPr>
                <w:rFonts w:ascii="Calibri" w:eastAsia="Times New Roman" w:hAnsi="Calibri"/>
                <w:b/>
                <w:bCs/>
                <w:color w:val="FFFFFF"/>
                <w:sz w:val="18"/>
                <w:szCs w:val="18"/>
              </w:rPr>
              <w:t>Confidence Interval</w:t>
            </w:r>
          </w:p>
        </w:tc>
      </w:tr>
      <w:tr w:rsidR="00EB039C" w:rsidRPr="00B75B77" w:rsidTr="00811E5F">
        <w:trPr>
          <w:divId w:val="210190914"/>
          <w:trHeight w:val="288"/>
        </w:trPr>
        <w:tc>
          <w:tcPr>
            <w:tcW w:w="1435" w:type="dxa"/>
            <w:vMerge/>
            <w:tcBorders>
              <w:top w:val="single" w:sz="4" w:space="0" w:color="auto"/>
              <w:left w:val="single" w:sz="4" w:space="0" w:color="auto"/>
              <w:bottom w:val="single" w:sz="4" w:space="0" w:color="auto"/>
              <w:right w:val="single" w:sz="4" w:space="0" w:color="auto"/>
            </w:tcBorders>
            <w:vAlign w:val="center"/>
            <w:hideMark/>
          </w:tcPr>
          <w:p w:rsidR="00EB039C" w:rsidRPr="00B75B77" w:rsidRDefault="00EB039C" w:rsidP="00811E5F">
            <w:pPr>
              <w:jc w:val="left"/>
              <w:rPr>
                <w:rFonts w:ascii="Calibri" w:eastAsia="Times New Roman" w:hAnsi="Calibri"/>
                <w:b/>
                <w:bCs/>
                <w:color w:val="FFFFFF"/>
                <w:sz w:val="18"/>
                <w:szCs w:val="18"/>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EB039C" w:rsidRPr="00B75B77" w:rsidRDefault="00EB039C" w:rsidP="00811E5F">
            <w:pPr>
              <w:jc w:val="left"/>
              <w:rPr>
                <w:rFonts w:ascii="Calibri" w:eastAsia="Times New Roman" w:hAnsi="Calibri"/>
                <w:b/>
                <w:bCs/>
                <w:color w:val="FFFFFF"/>
                <w:sz w:val="18"/>
                <w:szCs w:val="18"/>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EB039C" w:rsidRPr="00B75B77" w:rsidRDefault="00EB039C" w:rsidP="00811E5F">
            <w:pPr>
              <w:jc w:val="left"/>
              <w:rPr>
                <w:rFonts w:ascii="Calibri" w:eastAsia="Times New Roman" w:hAnsi="Calibri"/>
                <w:b/>
                <w:bCs/>
                <w:color w:val="FFFFFF"/>
                <w:sz w:val="18"/>
                <w:szCs w:val="18"/>
              </w:rPr>
            </w:pPr>
          </w:p>
        </w:tc>
        <w:tc>
          <w:tcPr>
            <w:tcW w:w="1465" w:type="dxa"/>
            <w:vMerge/>
            <w:tcBorders>
              <w:top w:val="single" w:sz="4" w:space="0" w:color="auto"/>
              <w:left w:val="single" w:sz="4" w:space="0" w:color="auto"/>
              <w:bottom w:val="single" w:sz="4" w:space="0" w:color="auto"/>
              <w:right w:val="single" w:sz="4" w:space="0" w:color="auto"/>
            </w:tcBorders>
            <w:vAlign w:val="center"/>
            <w:hideMark/>
          </w:tcPr>
          <w:p w:rsidR="00EB039C" w:rsidRPr="00B75B77" w:rsidRDefault="00EB039C" w:rsidP="00811E5F">
            <w:pPr>
              <w:jc w:val="left"/>
              <w:rPr>
                <w:rFonts w:ascii="Calibri" w:eastAsia="Times New Roman" w:hAnsi="Calibri"/>
                <w:b/>
                <w:bCs/>
                <w:color w:val="FFFFFF"/>
                <w:sz w:val="18"/>
                <w:szCs w:val="18"/>
              </w:rPr>
            </w:pPr>
          </w:p>
        </w:tc>
        <w:tc>
          <w:tcPr>
            <w:tcW w:w="2146" w:type="dxa"/>
            <w:vMerge/>
            <w:tcBorders>
              <w:top w:val="single" w:sz="4" w:space="0" w:color="auto"/>
              <w:left w:val="single" w:sz="4" w:space="0" w:color="auto"/>
              <w:bottom w:val="single" w:sz="4" w:space="0" w:color="auto"/>
              <w:right w:val="single" w:sz="4" w:space="0" w:color="auto"/>
            </w:tcBorders>
            <w:vAlign w:val="center"/>
            <w:hideMark/>
          </w:tcPr>
          <w:p w:rsidR="00EB039C" w:rsidRPr="00B75B77" w:rsidRDefault="00EB039C" w:rsidP="00811E5F">
            <w:pPr>
              <w:jc w:val="left"/>
              <w:rPr>
                <w:rFonts w:ascii="Calibri" w:eastAsia="Times New Roman" w:hAnsi="Calibri"/>
                <w:b/>
                <w:bCs/>
                <w:color w:val="FFFFFF"/>
                <w:sz w:val="18"/>
                <w:szCs w:val="18"/>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EB039C" w:rsidRPr="00B75B77" w:rsidRDefault="00EB039C" w:rsidP="00811E5F">
            <w:pPr>
              <w:jc w:val="left"/>
              <w:rPr>
                <w:rFonts w:ascii="Calibri" w:eastAsia="Times New Roman" w:hAnsi="Calibri"/>
                <w:b/>
                <w:bCs/>
                <w:color w:val="FFFFFF"/>
                <w:sz w:val="18"/>
                <w:szCs w:val="18"/>
              </w:rPr>
            </w:pPr>
          </w:p>
        </w:tc>
      </w:tr>
      <w:tr w:rsidR="00EB039C" w:rsidRPr="00B75B77" w:rsidTr="00811E5F">
        <w:trPr>
          <w:divId w:val="210190914"/>
          <w:trHeight w:val="300"/>
        </w:trPr>
        <w:tc>
          <w:tcPr>
            <w:tcW w:w="1435" w:type="dxa"/>
            <w:vMerge/>
            <w:tcBorders>
              <w:top w:val="single" w:sz="4" w:space="0" w:color="auto"/>
              <w:left w:val="single" w:sz="4" w:space="0" w:color="auto"/>
              <w:bottom w:val="single" w:sz="4" w:space="0" w:color="auto"/>
              <w:right w:val="single" w:sz="4" w:space="0" w:color="auto"/>
            </w:tcBorders>
            <w:vAlign w:val="center"/>
            <w:hideMark/>
          </w:tcPr>
          <w:p w:rsidR="00EB039C" w:rsidRPr="00B75B77" w:rsidRDefault="00EB039C" w:rsidP="00811E5F">
            <w:pPr>
              <w:jc w:val="left"/>
              <w:rPr>
                <w:rFonts w:ascii="Calibri" w:eastAsia="Times New Roman" w:hAnsi="Calibri"/>
                <w:b/>
                <w:bCs/>
                <w:color w:val="FFFFFF"/>
                <w:sz w:val="18"/>
                <w:szCs w:val="18"/>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EB039C" w:rsidRPr="00B75B77" w:rsidRDefault="00EB039C" w:rsidP="00811E5F">
            <w:pPr>
              <w:jc w:val="left"/>
              <w:rPr>
                <w:rFonts w:ascii="Calibri" w:eastAsia="Times New Roman" w:hAnsi="Calibri"/>
                <w:b/>
                <w:bCs/>
                <w:color w:val="FFFFFF"/>
                <w:sz w:val="18"/>
                <w:szCs w:val="18"/>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EB039C" w:rsidRPr="00B75B77" w:rsidRDefault="00EB039C" w:rsidP="00811E5F">
            <w:pPr>
              <w:jc w:val="left"/>
              <w:rPr>
                <w:rFonts w:ascii="Calibri" w:eastAsia="Times New Roman" w:hAnsi="Calibri"/>
                <w:b/>
                <w:bCs/>
                <w:color w:val="FFFFFF"/>
                <w:sz w:val="18"/>
                <w:szCs w:val="18"/>
              </w:rPr>
            </w:pPr>
          </w:p>
        </w:tc>
        <w:tc>
          <w:tcPr>
            <w:tcW w:w="1465" w:type="dxa"/>
            <w:vMerge/>
            <w:tcBorders>
              <w:top w:val="single" w:sz="4" w:space="0" w:color="auto"/>
              <w:left w:val="single" w:sz="4" w:space="0" w:color="auto"/>
              <w:bottom w:val="single" w:sz="4" w:space="0" w:color="auto"/>
              <w:right w:val="single" w:sz="4" w:space="0" w:color="auto"/>
            </w:tcBorders>
            <w:vAlign w:val="center"/>
            <w:hideMark/>
          </w:tcPr>
          <w:p w:rsidR="00EB039C" w:rsidRPr="00B75B77" w:rsidRDefault="00EB039C" w:rsidP="00811E5F">
            <w:pPr>
              <w:jc w:val="left"/>
              <w:rPr>
                <w:rFonts w:ascii="Calibri" w:eastAsia="Times New Roman" w:hAnsi="Calibri"/>
                <w:b/>
                <w:bCs/>
                <w:color w:val="FFFFFF"/>
                <w:sz w:val="18"/>
                <w:szCs w:val="18"/>
              </w:rPr>
            </w:pPr>
          </w:p>
        </w:tc>
        <w:tc>
          <w:tcPr>
            <w:tcW w:w="2146" w:type="dxa"/>
            <w:vMerge/>
            <w:tcBorders>
              <w:top w:val="single" w:sz="4" w:space="0" w:color="auto"/>
              <w:left w:val="single" w:sz="4" w:space="0" w:color="auto"/>
              <w:bottom w:val="single" w:sz="4" w:space="0" w:color="auto"/>
              <w:right w:val="single" w:sz="4" w:space="0" w:color="auto"/>
            </w:tcBorders>
            <w:vAlign w:val="center"/>
            <w:hideMark/>
          </w:tcPr>
          <w:p w:rsidR="00EB039C" w:rsidRPr="00B75B77" w:rsidRDefault="00EB039C" w:rsidP="00811E5F">
            <w:pPr>
              <w:jc w:val="left"/>
              <w:rPr>
                <w:rFonts w:ascii="Calibri" w:eastAsia="Times New Roman" w:hAnsi="Calibri"/>
                <w:b/>
                <w:bCs/>
                <w:color w:val="FFFFFF"/>
                <w:sz w:val="18"/>
                <w:szCs w:val="18"/>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EB039C" w:rsidRPr="00B75B77" w:rsidRDefault="00EB039C" w:rsidP="00811E5F">
            <w:pPr>
              <w:jc w:val="left"/>
              <w:rPr>
                <w:rFonts w:ascii="Calibri" w:eastAsia="Times New Roman" w:hAnsi="Calibri"/>
                <w:b/>
                <w:bCs/>
                <w:color w:val="FFFFFF"/>
                <w:sz w:val="18"/>
                <w:szCs w:val="18"/>
              </w:rPr>
            </w:pPr>
          </w:p>
        </w:tc>
      </w:tr>
      <w:tr w:rsidR="00EB039C" w:rsidRPr="00B75B77" w:rsidTr="00811E5F">
        <w:trPr>
          <w:divId w:val="210190914"/>
          <w:trHeight w:val="300"/>
        </w:trPr>
        <w:tc>
          <w:tcPr>
            <w:tcW w:w="1435" w:type="dxa"/>
            <w:tcBorders>
              <w:top w:val="nil"/>
              <w:left w:val="single" w:sz="4" w:space="0" w:color="448A99"/>
              <w:bottom w:val="single" w:sz="4" w:space="0" w:color="448A99"/>
              <w:right w:val="single" w:sz="4" w:space="0" w:color="448A99"/>
            </w:tcBorders>
            <w:shd w:val="clear" w:color="000000" w:fill="D2EAF1"/>
            <w:vAlign w:val="center"/>
            <w:hideMark/>
          </w:tcPr>
          <w:p w:rsidR="00EB039C" w:rsidRPr="00B75B77" w:rsidRDefault="00EB039C" w:rsidP="00811E5F">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13W CFL</w:t>
            </w:r>
          </w:p>
        </w:tc>
        <w:tc>
          <w:tcPr>
            <w:tcW w:w="171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0.1</w:t>
            </w:r>
          </w:p>
        </w:tc>
        <w:tc>
          <w:tcPr>
            <w:tcW w:w="1069"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1.00</w:t>
            </w:r>
          </w:p>
        </w:tc>
        <w:tc>
          <w:tcPr>
            <w:tcW w:w="1465"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0.1</w:t>
            </w:r>
          </w:p>
        </w:tc>
        <w:tc>
          <w:tcPr>
            <w:tcW w:w="2146"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1.00</w:t>
            </w:r>
          </w:p>
        </w:tc>
        <w:tc>
          <w:tcPr>
            <w:tcW w:w="153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EB039C" w:rsidRPr="00B75B77" w:rsidTr="00811E5F">
        <w:trPr>
          <w:divId w:val="210190914"/>
          <w:trHeight w:val="300"/>
        </w:trPr>
        <w:tc>
          <w:tcPr>
            <w:tcW w:w="1435" w:type="dxa"/>
            <w:tcBorders>
              <w:top w:val="nil"/>
              <w:left w:val="single" w:sz="4" w:space="0" w:color="448A99"/>
              <w:bottom w:val="single" w:sz="4" w:space="0" w:color="448A99"/>
              <w:right w:val="single" w:sz="4" w:space="0" w:color="448A99"/>
            </w:tcBorders>
            <w:shd w:val="clear" w:color="000000" w:fill="FFFFFF"/>
            <w:vAlign w:val="center"/>
            <w:hideMark/>
          </w:tcPr>
          <w:p w:rsidR="00EB039C" w:rsidRPr="00B75B77" w:rsidRDefault="00EB039C" w:rsidP="00811E5F">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18W CFL</w:t>
            </w:r>
          </w:p>
        </w:tc>
        <w:tc>
          <w:tcPr>
            <w:tcW w:w="1710"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069"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1.00</w:t>
            </w:r>
          </w:p>
        </w:tc>
        <w:tc>
          <w:tcPr>
            <w:tcW w:w="1465"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2146"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1.00</w:t>
            </w:r>
          </w:p>
        </w:tc>
        <w:tc>
          <w:tcPr>
            <w:tcW w:w="1530"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EB039C" w:rsidRPr="00B75B77" w:rsidTr="00811E5F">
        <w:trPr>
          <w:divId w:val="210190914"/>
          <w:trHeight w:val="300"/>
        </w:trPr>
        <w:tc>
          <w:tcPr>
            <w:tcW w:w="1435" w:type="dxa"/>
            <w:tcBorders>
              <w:top w:val="nil"/>
              <w:left w:val="single" w:sz="4" w:space="0" w:color="448A99"/>
              <w:bottom w:val="single" w:sz="4" w:space="0" w:color="448A99"/>
              <w:right w:val="single" w:sz="4" w:space="0" w:color="448A99"/>
            </w:tcBorders>
            <w:shd w:val="clear" w:color="000000" w:fill="D2EAF1"/>
            <w:vAlign w:val="center"/>
            <w:hideMark/>
          </w:tcPr>
          <w:p w:rsidR="00EB039C" w:rsidRPr="00B75B77" w:rsidRDefault="00EB039C" w:rsidP="00811E5F">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23W CFL</w:t>
            </w:r>
          </w:p>
        </w:tc>
        <w:tc>
          <w:tcPr>
            <w:tcW w:w="171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0.1</w:t>
            </w:r>
          </w:p>
        </w:tc>
        <w:tc>
          <w:tcPr>
            <w:tcW w:w="1069"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1.00</w:t>
            </w:r>
          </w:p>
        </w:tc>
        <w:tc>
          <w:tcPr>
            <w:tcW w:w="1465"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0.1</w:t>
            </w:r>
          </w:p>
        </w:tc>
        <w:tc>
          <w:tcPr>
            <w:tcW w:w="2146"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1.00</w:t>
            </w:r>
          </w:p>
        </w:tc>
        <w:tc>
          <w:tcPr>
            <w:tcW w:w="153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EB039C" w:rsidRPr="00B75B77" w:rsidTr="00811E5F">
        <w:trPr>
          <w:divId w:val="210190914"/>
          <w:trHeight w:val="300"/>
        </w:trPr>
        <w:tc>
          <w:tcPr>
            <w:tcW w:w="1435" w:type="dxa"/>
            <w:tcBorders>
              <w:top w:val="nil"/>
              <w:left w:val="single" w:sz="4" w:space="0" w:color="448A99"/>
              <w:bottom w:val="single" w:sz="4" w:space="0" w:color="448A99"/>
              <w:right w:val="single" w:sz="4" w:space="0" w:color="448A99"/>
            </w:tcBorders>
            <w:shd w:val="clear" w:color="000000" w:fill="FFFFFF"/>
            <w:vAlign w:val="center"/>
            <w:hideMark/>
          </w:tcPr>
          <w:p w:rsidR="00EB039C" w:rsidRPr="00B75B77" w:rsidRDefault="00EB039C" w:rsidP="00811E5F">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LED Nightlight</w:t>
            </w:r>
          </w:p>
        </w:tc>
        <w:tc>
          <w:tcPr>
            <w:tcW w:w="1710"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069"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465"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2146"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530"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EB039C" w:rsidRPr="00B75B77" w:rsidTr="00811E5F">
        <w:trPr>
          <w:divId w:val="210190914"/>
          <w:trHeight w:val="300"/>
        </w:trPr>
        <w:tc>
          <w:tcPr>
            <w:tcW w:w="1435" w:type="dxa"/>
            <w:tcBorders>
              <w:top w:val="nil"/>
              <w:left w:val="single" w:sz="4" w:space="0" w:color="448A99"/>
              <w:bottom w:val="single" w:sz="4" w:space="0" w:color="448A99"/>
              <w:right w:val="single" w:sz="4" w:space="0" w:color="448A99"/>
            </w:tcBorders>
            <w:shd w:val="clear" w:color="000000" w:fill="D2EAF1"/>
            <w:vAlign w:val="center"/>
            <w:hideMark/>
          </w:tcPr>
          <w:p w:rsidR="00EB039C" w:rsidRPr="00B75B77" w:rsidRDefault="00EB039C" w:rsidP="00811E5F">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Low</w:t>
            </w:r>
            <w:r w:rsidR="00B26791" w:rsidRPr="00B75B77">
              <w:rPr>
                <w:rFonts w:ascii="Calibri" w:eastAsia="Times New Roman" w:hAnsi="Calibri"/>
                <w:bCs/>
                <w:color w:val="000000"/>
                <w:sz w:val="18"/>
                <w:szCs w:val="18"/>
              </w:rPr>
              <w:t>-</w:t>
            </w:r>
            <w:r w:rsidRPr="00B75B77">
              <w:rPr>
                <w:rFonts w:ascii="Calibri" w:eastAsia="Times New Roman" w:hAnsi="Calibri"/>
                <w:bCs/>
                <w:color w:val="000000"/>
                <w:sz w:val="18"/>
                <w:szCs w:val="18"/>
              </w:rPr>
              <w:t xml:space="preserve">Flow Showerhead </w:t>
            </w:r>
          </w:p>
        </w:tc>
        <w:tc>
          <w:tcPr>
            <w:tcW w:w="171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0.1</w:t>
            </w:r>
          </w:p>
        </w:tc>
        <w:tc>
          <w:tcPr>
            <w:tcW w:w="1069"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0.70</w:t>
            </w:r>
          </w:p>
        </w:tc>
        <w:tc>
          <w:tcPr>
            <w:tcW w:w="1465"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0.1</w:t>
            </w:r>
          </w:p>
        </w:tc>
        <w:tc>
          <w:tcPr>
            <w:tcW w:w="2146"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0.70</w:t>
            </w:r>
          </w:p>
        </w:tc>
        <w:tc>
          <w:tcPr>
            <w:tcW w:w="153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2%</w:t>
            </w:r>
          </w:p>
        </w:tc>
      </w:tr>
      <w:tr w:rsidR="00EB039C" w:rsidRPr="00B75B77" w:rsidTr="00811E5F">
        <w:trPr>
          <w:divId w:val="210190914"/>
          <w:trHeight w:val="300"/>
        </w:trPr>
        <w:tc>
          <w:tcPr>
            <w:tcW w:w="1435" w:type="dxa"/>
            <w:tcBorders>
              <w:top w:val="nil"/>
              <w:left w:val="single" w:sz="4" w:space="0" w:color="448A99"/>
              <w:bottom w:val="single" w:sz="4" w:space="0" w:color="448A99"/>
              <w:right w:val="single" w:sz="4" w:space="0" w:color="448A99"/>
            </w:tcBorders>
            <w:shd w:val="clear" w:color="000000" w:fill="FFFFFF"/>
            <w:vAlign w:val="center"/>
            <w:hideMark/>
          </w:tcPr>
          <w:p w:rsidR="00EB039C" w:rsidRPr="00B75B77" w:rsidRDefault="00EB039C" w:rsidP="00811E5F">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Faucet Aerator</w:t>
            </w:r>
          </w:p>
        </w:tc>
        <w:tc>
          <w:tcPr>
            <w:tcW w:w="1710"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0.1</w:t>
            </w:r>
          </w:p>
        </w:tc>
        <w:tc>
          <w:tcPr>
            <w:tcW w:w="1069"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0.86</w:t>
            </w:r>
          </w:p>
        </w:tc>
        <w:tc>
          <w:tcPr>
            <w:tcW w:w="1465"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2146"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0.86</w:t>
            </w:r>
          </w:p>
        </w:tc>
        <w:tc>
          <w:tcPr>
            <w:tcW w:w="1530" w:type="dxa"/>
            <w:tcBorders>
              <w:top w:val="nil"/>
              <w:left w:val="nil"/>
              <w:bottom w:val="single" w:sz="4" w:space="0" w:color="448A99"/>
              <w:right w:val="single" w:sz="4" w:space="0" w:color="448A99"/>
            </w:tcBorders>
            <w:shd w:val="clear" w:color="000000" w:fill="FFFFFF"/>
            <w:vAlign w:val="center"/>
            <w:hideMark/>
          </w:tcPr>
          <w:p w:rsidR="00EB039C" w:rsidRPr="00B75B77" w:rsidRDefault="00EB039C" w:rsidP="00811E5F">
            <w:pPr>
              <w:jc w:val="center"/>
              <w:rPr>
                <w:rFonts w:ascii="Calibri" w:eastAsia="Times New Roman" w:hAnsi="Calibri"/>
                <w:color w:val="000000"/>
                <w:sz w:val="18"/>
                <w:szCs w:val="18"/>
              </w:rPr>
            </w:pPr>
            <w:r w:rsidRPr="00B75B77">
              <w:rPr>
                <w:rFonts w:ascii="Calibri" w:eastAsia="Times New Roman" w:hAnsi="Calibri"/>
                <w:color w:val="000000"/>
                <w:sz w:val="18"/>
                <w:szCs w:val="18"/>
              </w:rPr>
              <w:t>1%</w:t>
            </w:r>
          </w:p>
        </w:tc>
      </w:tr>
      <w:tr w:rsidR="00EB039C" w:rsidRPr="00B75B77" w:rsidTr="00811E5F">
        <w:trPr>
          <w:divId w:val="210190914"/>
          <w:trHeight w:val="288"/>
        </w:trPr>
        <w:tc>
          <w:tcPr>
            <w:tcW w:w="1435" w:type="dxa"/>
            <w:tcBorders>
              <w:top w:val="nil"/>
              <w:left w:val="single" w:sz="4" w:space="0" w:color="448A99"/>
              <w:bottom w:val="single" w:sz="4" w:space="0" w:color="448A99"/>
              <w:right w:val="single" w:sz="4" w:space="0" w:color="448A99"/>
            </w:tcBorders>
            <w:shd w:val="clear" w:color="000000" w:fill="D2EAF1"/>
            <w:vAlign w:val="center"/>
            <w:hideMark/>
          </w:tcPr>
          <w:p w:rsidR="00EB039C" w:rsidRPr="00B75B77" w:rsidRDefault="00B26791" w:rsidP="00811E5F">
            <w:pPr>
              <w:jc w:val="left"/>
              <w:rPr>
                <w:rFonts w:ascii="Calibri" w:eastAsia="Times New Roman" w:hAnsi="Calibri"/>
                <w:b/>
                <w:color w:val="000000"/>
                <w:sz w:val="18"/>
                <w:szCs w:val="18"/>
              </w:rPr>
            </w:pPr>
            <w:r w:rsidRPr="00B75B77">
              <w:rPr>
                <w:rFonts w:ascii="Calibri" w:eastAsia="Times New Roman" w:hAnsi="Calibri"/>
                <w:b/>
                <w:color w:val="000000"/>
                <w:sz w:val="18"/>
                <w:szCs w:val="18"/>
              </w:rPr>
              <w:t>PROGRAM TOTAL</w:t>
            </w:r>
          </w:p>
        </w:tc>
        <w:tc>
          <w:tcPr>
            <w:tcW w:w="171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0.3</w:t>
            </w:r>
          </w:p>
        </w:tc>
        <w:tc>
          <w:tcPr>
            <w:tcW w:w="1069"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0.90</w:t>
            </w:r>
          </w:p>
        </w:tc>
        <w:tc>
          <w:tcPr>
            <w:tcW w:w="1465"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0.3</w:t>
            </w:r>
          </w:p>
        </w:tc>
        <w:tc>
          <w:tcPr>
            <w:tcW w:w="2146"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N/A</w:t>
            </w:r>
          </w:p>
        </w:tc>
        <w:tc>
          <w:tcPr>
            <w:tcW w:w="153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811E5F">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1%</w:t>
            </w:r>
          </w:p>
        </w:tc>
      </w:tr>
    </w:tbl>
    <w:p w:rsidR="00B26791" w:rsidRPr="00B75B77" w:rsidRDefault="00B26791" w:rsidP="004943C7">
      <w:pPr>
        <w:pStyle w:val="Source"/>
        <w:spacing w:before="20" w:after="20"/>
        <w:ind w:left="0" w:firstLine="0"/>
        <w:rPr>
          <w:rFonts w:ascii="Calibri" w:hAnsi="Calibri"/>
          <w:i w:val="0"/>
          <w:color w:val="000000"/>
          <w:szCs w:val="18"/>
        </w:rPr>
      </w:pPr>
      <w:r w:rsidRPr="00B75B77">
        <w:rPr>
          <w:rFonts w:ascii="Calibri" w:hAnsi="Calibri"/>
          <w:i w:val="0"/>
          <w:color w:val="000000"/>
          <w:szCs w:val="18"/>
          <w:vertAlign w:val="superscript"/>
        </w:rPr>
        <w:t>[1]</w:t>
      </w:r>
      <w:r w:rsidRPr="00B75B77">
        <w:rPr>
          <w:rFonts w:ascii="Calibri" w:hAnsi="Calibri"/>
          <w:i w:val="0"/>
          <w:color w:val="000000"/>
          <w:szCs w:val="18"/>
        </w:rPr>
        <w:t xml:space="preserve"> All reported and verified demand savings in this report include line losses as required.</w:t>
      </w:r>
    </w:p>
    <w:p w:rsidR="00B26791" w:rsidRPr="00B75B77" w:rsidRDefault="00B26791" w:rsidP="004943C7">
      <w:pPr>
        <w:pStyle w:val="Source"/>
        <w:spacing w:before="20" w:after="20"/>
        <w:ind w:left="0" w:firstLine="0"/>
        <w:rPr>
          <w:i w:val="0"/>
        </w:rPr>
      </w:pPr>
      <w:r w:rsidRPr="00B75B77">
        <w:rPr>
          <w:rFonts w:ascii="Calibri" w:hAnsi="Calibri"/>
          <w:i w:val="0"/>
          <w:iCs/>
          <w:color w:val="000000"/>
          <w:szCs w:val="18"/>
        </w:rPr>
        <w:t xml:space="preserve">Values in tables may not reconcile exactly </w:t>
      </w:r>
      <w:r w:rsidR="00493C06" w:rsidRPr="00B75B77">
        <w:rPr>
          <w:rFonts w:ascii="Calibri" w:hAnsi="Calibri"/>
          <w:i w:val="0"/>
          <w:iCs/>
          <w:color w:val="000000"/>
          <w:szCs w:val="18"/>
        </w:rPr>
        <w:t>with the sum of</w:t>
      </w:r>
      <w:r w:rsidRPr="00B75B77">
        <w:rPr>
          <w:rFonts w:ascii="Calibri" w:hAnsi="Calibri"/>
          <w:i w:val="0"/>
          <w:iCs/>
          <w:color w:val="000000"/>
          <w:szCs w:val="18"/>
        </w:rPr>
        <w:t xml:space="preserve"> more detailed level results or previously reported results due to rounding.</w:t>
      </w:r>
    </w:p>
    <w:p w:rsidR="00EB039C" w:rsidRPr="00B75B77" w:rsidRDefault="00EB039C" w:rsidP="004943C7">
      <w:pPr>
        <w:pStyle w:val="Source"/>
        <w:ind w:left="0" w:firstLine="0"/>
      </w:pPr>
      <w:r w:rsidRPr="00B75B77">
        <w:t>Source: Navigant analysis</w:t>
      </w:r>
    </w:p>
    <w:p w:rsidR="00EB039C" w:rsidRPr="00B75B77" w:rsidRDefault="00EB039C" w:rsidP="00811E5F">
      <w:r w:rsidRPr="00B75B77">
        <w:t xml:space="preserve">The </w:t>
      </w:r>
      <w:r w:rsidR="00B26791" w:rsidRPr="00B75B77">
        <w:t xml:space="preserve">SES program </w:t>
      </w:r>
      <w:r w:rsidRPr="00B75B77">
        <w:t xml:space="preserve">realization rate </w:t>
      </w:r>
      <w:r w:rsidR="00B26791" w:rsidRPr="00B75B77">
        <w:t xml:space="preserve">was less than </w:t>
      </w:r>
      <w:r w:rsidRPr="00B75B77">
        <w:t>1.0</w:t>
      </w:r>
      <w:r w:rsidR="00B26791" w:rsidRPr="00B75B77">
        <w:t>, which is</w:t>
      </w:r>
      <w:r w:rsidRPr="00B75B77">
        <w:t xml:space="preserve"> attributable to the following factors:</w:t>
      </w:r>
    </w:p>
    <w:p w:rsidR="00EB039C" w:rsidRPr="00B75B77" w:rsidRDefault="00EB039C" w:rsidP="00811E5F"/>
    <w:p w:rsidR="00EB039C" w:rsidRPr="00B75B77" w:rsidRDefault="00EB039C" w:rsidP="009E08FB">
      <w:pPr>
        <w:pStyle w:val="ListParagraph"/>
        <w:numPr>
          <w:ilvl w:val="0"/>
          <w:numId w:val="45"/>
        </w:numPr>
        <w:rPr>
          <w:b/>
        </w:rPr>
      </w:pPr>
      <w:r w:rsidRPr="00B75B77">
        <w:rPr>
          <w:b/>
        </w:rPr>
        <w:t xml:space="preserve">LED </w:t>
      </w:r>
      <w:r w:rsidR="00B26791" w:rsidRPr="00B75B77">
        <w:rPr>
          <w:b/>
        </w:rPr>
        <w:t>n</w:t>
      </w:r>
      <w:r w:rsidRPr="00B75B77">
        <w:rPr>
          <w:b/>
        </w:rPr>
        <w:t xml:space="preserve">ightlights: </w:t>
      </w:r>
      <w:r w:rsidRPr="00B75B77">
        <w:t>The LED nightlight measure saw the greatest percent</w:t>
      </w:r>
      <w:r w:rsidR="00530239" w:rsidRPr="00B75B77">
        <w:t>age</w:t>
      </w:r>
      <w:r w:rsidRPr="00B75B77">
        <w:t xml:space="preserve"> difference between reported and verified energy savings. The savings difference occurs because the student installation surveys point to a difference from the </w:t>
      </w:r>
      <w:r w:rsidR="00B26791" w:rsidRPr="00B75B77">
        <w:t xml:space="preserve">assumed </w:t>
      </w:r>
      <w:r w:rsidRPr="00B75B77">
        <w:t xml:space="preserve">baseline conditions in the 2015 PA TRM. During the PY7 evaluation, </w:t>
      </w:r>
      <w:r w:rsidR="00704F81" w:rsidRPr="00B75B77">
        <w:t>the CSP</w:t>
      </w:r>
      <w:r w:rsidR="00B26791" w:rsidRPr="00B75B77">
        <w:t xml:space="preserve"> collected </w:t>
      </w:r>
      <w:r w:rsidRPr="00B75B77">
        <w:t xml:space="preserve">detailed information about the baseline </w:t>
      </w:r>
      <w:r w:rsidRPr="00B75B77">
        <w:lastRenderedPageBreak/>
        <w:t xml:space="preserve">equipment/conditions that existed before the </w:t>
      </w:r>
      <w:r w:rsidR="000212ED" w:rsidRPr="00B75B77">
        <w:t>participant</w:t>
      </w:r>
      <w:r w:rsidR="00B26791" w:rsidRPr="00B75B77">
        <w:t xml:space="preserve"> installed the </w:t>
      </w:r>
      <w:r w:rsidRPr="00B75B77">
        <w:t xml:space="preserve">kit nightlight. RAP began collecting this data in the PY7 student installation survey after the PY5 and PY6 evaluation results indicated that participants were not replacing existing incandescent nightlights with the LED nightlights, which is the baseline assumption for the TRM calculations. The PY7 installation survey determined that </w:t>
      </w:r>
      <w:r w:rsidR="000212ED" w:rsidRPr="00B75B77">
        <w:t xml:space="preserve">participants installed </w:t>
      </w:r>
      <w:r w:rsidRPr="00B75B77">
        <w:t>approximately two-thirds of the nightlights in a location where there was either no existing nightlight or</w:t>
      </w:r>
      <w:r w:rsidR="000212ED" w:rsidRPr="00B75B77">
        <w:t>,</w:t>
      </w:r>
      <w:r w:rsidRPr="00B75B77">
        <w:t xml:space="preserve"> if there had been an existing nightlight, </w:t>
      </w:r>
      <w:r w:rsidR="000212ED" w:rsidRPr="00B75B77">
        <w:t xml:space="preserve">the participant moved </w:t>
      </w:r>
      <w:r w:rsidRPr="00B75B77">
        <w:t xml:space="preserve">it to a new location and </w:t>
      </w:r>
      <w:r w:rsidR="000212ED" w:rsidRPr="00B75B77">
        <w:t xml:space="preserve">it </w:t>
      </w:r>
      <w:r w:rsidRPr="00B75B77">
        <w:t xml:space="preserve">was still installed, as illustrated in </w:t>
      </w:r>
      <w:r w:rsidRPr="00B75B77">
        <w:fldChar w:fldCharType="begin"/>
      </w:r>
      <w:r w:rsidRPr="00B75B77">
        <w:instrText xml:space="preserve"> REF _Ref462826979 \h </w:instrText>
      </w:r>
      <w:r w:rsidR="00B26791" w:rsidRPr="00B75B77">
        <w:instrText xml:space="preserve"> \* MERGEFORMAT </w:instrText>
      </w:r>
      <w:r w:rsidRPr="00B75B77">
        <w:fldChar w:fldCharType="separate"/>
      </w:r>
      <w:r w:rsidR="0004016D" w:rsidRPr="00B75B77">
        <w:t xml:space="preserve">Figure </w:t>
      </w:r>
      <w:r w:rsidR="0004016D">
        <w:t>6</w:t>
      </w:r>
      <w:r w:rsidR="0004016D" w:rsidRPr="00B75B77">
        <w:noBreakHyphen/>
      </w:r>
      <w:r w:rsidR="0004016D">
        <w:t>1</w:t>
      </w:r>
      <w:r w:rsidRPr="00B75B77">
        <w:fldChar w:fldCharType="end"/>
      </w:r>
      <w:r w:rsidR="002E49B3" w:rsidRPr="00B75B77">
        <w:t xml:space="preserve">. </w:t>
      </w:r>
    </w:p>
    <w:p w:rsidR="00EB039C" w:rsidRPr="00B75B77" w:rsidRDefault="00EB039C" w:rsidP="00811E5F">
      <w:pPr>
        <w:pStyle w:val="ListParagraph"/>
        <w:rPr>
          <w:b/>
        </w:rPr>
      </w:pPr>
    </w:p>
    <w:p w:rsidR="00EB039C" w:rsidRPr="00B75B77" w:rsidRDefault="00EB039C" w:rsidP="009070DC">
      <w:pPr>
        <w:pStyle w:val="Caption"/>
      </w:pPr>
      <w:bookmarkStart w:id="484" w:name="_Ref462826979"/>
      <w:bookmarkStart w:id="485" w:name="_Toc466413674"/>
      <w:r w:rsidRPr="00B75B77">
        <w:t xml:space="preserve">Figure </w:t>
      </w:r>
      <w:fldSimple w:instr=" STYLEREF 1 \s ">
        <w:r w:rsidR="0004016D">
          <w:rPr>
            <w:noProof/>
          </w:rPr>
          <w:t>6</w:t>
        </w:r>
      </w:fldSimple>
      <w:r w:rsidR="00BA3BA9" w:rsidRPr="00B75B77">
        <w:noBreakHyphen/>
      </w:r>
      <w:fldSimple w:instr=" SEQ Figure \* ARABIC \s 1 ">
        <w:r w:rsidR="0004016D">
          <w:rPr>
            <w:noProof/>
          </w:rPr>
          <w:t>1</w:t>
        </w:r>
      </w:fldSimple>
      <w:bookmarkEnd w:id="484"/>
      <w:r w:rsidRPr="00B75B77">
        <w:t xml:space="preserve">: </w:t>
      </w:r>
      <w:r w:rsidR="00704F81" w:rsidRPr="00B75B77">
        <w:t xml:space="preserve">PY7 Smart Energy Saver Program </w:t>
      </w:r>
      <w:r w:rsidRPr="00B75B77">
        <w:t>Baseline Conditions for Installed Nightlights</w:t>
      </w:r>
      <w:r w:rsidR="00D34129" w:rsidRPr="00B75B77">
        <w:t xml:space="preserve"> </w:t>
      </w:r>
      <w:r w:rsidR="00A36947" w:rsidRPr="00B75B77">
        <w:t>(n=</w:t>
      </w:r>
      <w:r w:rsidR="00D34129" w:rsidRPr="00B75B77">
        <w:t>3,710)</w:t>
      </w:r>
      <w:bookmarkEnd w:id="485"/>
    </w:p>
    <w:p w:rsidR="00EB039C" w:rsidRPr="00B75B77" w:rsidRDefault="00EB039C" w:rsidP="00811E5F">
      <w:pPr>
        <w:keepNext/>
      </w:pPr>
      <w:r w:rsidRPr="00B75B77">
        <w:rPr>
          <w:b/>
          <w:noProof/>
        </w:rPr>
        <w:drawing>
          <wp:inline distT="0" distB="0" distL="0" distR="0" wp14:anchorId="746116C0" wp14:editId="4BB2C646">
            <wp:extent cx="5935980" cy="273621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EB039C" w:rsidRPr="00B75B77" w:rsidRDefault="00EB039C" w:rsidP="00811E5F">
      <w:pPr>
        <w:pStyle w:val="Figure"/>
      </w:pPr>
    </w:p>
    <w:p w:rsidR="00EB039C" w:rsidRPr="00B75B77" w:rsidRDefault="00EB039C" w:rsidP="000212ED">
      <w:pPr>
        <w:pStyle w:val="Source"/>
        <w:ind w:left="721" w:hanging="1"/>
      </w:pPr>
      <w:r w:rsidRPr="00B75B77">
        <w:t xml:space="preserve">Source: Navigant analysis </w:t>
      </w:r>
      <w:r w:rsidR="00D34129" w:rsidRPr="00B75B77">
        <w:t xml:space="preserve">of student installation surveys </w:t>
      </w:r>
    </w:p>
    <w:p w:rsidR="00EB039C" w:rsidRPr="00B75B77" w:rsidRDefault="00EB039C" w:rsidP="00B26791">
      <w:pPr>
        <w:pStyle w:val="NormalSpacer"/>
        <w:ind w:left="720"/>
      </w:pPr>
      <w:r w:rsidRPr="00B75B77">
        <w:t>The results of the baseline conditions found in the PY7 student installation survey</w:t>
      </w:r>
      <w:r w:rsidR="000212ED" w:rsidRPr="00B75B77">
        <w:t>s</w:t>
      </w:r>
      <w:r w:rsidRPr="00B75B77">
        <w:t xml:space="preserve"> greatly reduce the savings that </w:t>
      </w:r>
      <w:r w:rsidR="000212ED" w:rsidRPr="00B75B77">
        <w:t>Navigant could apply</w:t>
      </w:r>
      <w:r w:rsidRPr="00B75B77">
        <w:t xml:space="preserve"> to the LED nightlight measure. </w:t>
      </w:r>
      <w:r w:rsidRPr="00B75B77">
        <w:fldChar w:fldCharType="begin"/>
      </w:r>
      <w:r w:rsidRPr="00B75B77">
        <w:instrText xml:space="preserve"> REF _Ref462835170 \h </w:instrText>
      </w:r>
      <w:r w:rsidR="00B75B77">
        <w:instrText xml:space="preserve"> \* MERGEFORMAT </w:instrText>
      </w:r>
      <w:r w:rsidRPr="00B75B77">
        <w:fldChar w:fldCharType="separate"/>
      </w:r>
      <w:r w:rsidR="0004016D" w:rsidRPr="00B75B77">
        <w:t xml:space="preserve">Figure </w:t>
      </w:r>
      <w:r w:rsidR="0004016D">
        <w:rPr>
          <w:noProof/>
        </w:rPr>
        <w:t>6</w:t>
      </w:r>
      <w:r w:rsidR="0004016D" w:rsidRPr="00B75B77">
        <w:rPr>
          <w:noProof/>
        </w:rPr>
        <w:noBreakHyphen/>
      </w:r>
      <w:r w:rsidR="0004016D">
        <w:rPr>
          <w:noProof/>
        </w:rPr>
        <w:t>2</w:t>
      </w:r>
      <w:r w:rsidRPr="00B75B77">
        <w:fldChar w:fldCharType="end"/>
      </w:r>
      <w:r w:rsidRPr="00B75B77">
        <w:t xml:space="preserve"> indicates the watts per unit savings (either increase or decrease) resulting from each of these baseline situations. The approximately two-thirds of nightlights that did not result in the replacement of any existing nightlight end up </w:t>
      </w:r>
      <w:r w:rsidR="000212ED" w:rsidRPr="00B75B77">
        <w:t>increasing wattage a small amount</w:t>
      </w:r>
      <w:r w:rsidRPr="00B75B77">
        <w:t xml:space="preserve">, while the situations where a nightlight was replaced result in a decrease in energy consumption based on the type of nightlight that was replaced. </w:t>
      </w:r>
    </w:p>
    <w:p w:rsidR="00EB039C" w:rsidRPr="00B75B77" w:rsidRDefault="00EB039C" w:rsidP="00811E5F">
      <w:pPr>
        <w:pStyle w:val="ListParagraph"/>
      </w:pPr>
    </w:p>
    <w:p w:rsidR="00EB039C" w:rsidRPr="00B75B77" w:rsidRDefault="00EB039C" w:rsidP="009070DC">
      <w:pPr>
        <w:pStyle w:val="Caption"/>
      </w:pPr>
      <w:r w:rsidRPr="00B75B77">
        <w:lastRenderedPageBreak/>
        <w:tab/>
      </w:r>
      <w:r w:rsidRPr="00B75B77">
        <w:tab/>
      </w:r>
      <w:bookmarkStart w:id="486" w:name="_Ref462835170"/>
      <w:bookmarkStart w:id="487" w:name="_Toc466413675"/>
      <w:r w:rsidRPr="00B75B77">
        <w:t xml:space="preserve">Figure </w:t>
      </w:r>
      <w:fldSimple w:instr=" STYLEREF 1 \s ">
        <w:r w:rsidR="0004016D">
          <w:rPr>
            <w:noProof/>
          </w:rPr>
          <w:t>6</w:t>
        </w:r>
      </w:fldSimple>
      <w:r w:rsidR="00BA3BA9" w:rsidRPr="00B75B77">
        <w:noBreakHyphen/>
      </w:r>
      <w:fldSimple w:instr=" SEQ Figure \* ARABIC \s 1 ">
        <w:r w:rsidR="0004016D">
          <w:rPr>
            <w:noProof/>
          </w:rPr>
          <w:t>2</w:t>
        </w:r>
      </w:fldSimple>
      <w:bookmarkEnd w:id="486"/>
      <w:r w:rsidRPr="00B75B77">
        <w:t xml:space="preserve">: </w:t>
      </w:r>
      <w:r w:rsidR="00704F81" w:rsidRPr="00B75B77">
        <w:t xml:space="preserve">PY7 Smart Energy Saver Program </w:t>
      </w:r>
      <w:r w:rsidRPr="00B75B77">
        <w:t>Savings Associated with Installed Nightlights</w:t>
      </w:r>
      <w:r w:rsidR="00A36947" w:rsidRPr="00B75B77">
        <w:t xml:space="preserve"> (n=</w:t>
      </w:r>
      <w:r w:rsidR="00D34129" w:rsidRPr="00B75B77">
        <w:t>3,710)</w:t>
      </w:r>
      <w:bookmarkEnd w:id="487"/>
    </w:p>
    <w:p w:rsidR="00EB039C" w:rsidRPr="00B75B77" w:rsidRDefault="00EB039C" w:rsidP="00811E5F">
      <w:pPr>
        <w:keepNext/>
      </w:pPr>
      <w:r w:rsidRPr="00B75B77">
        <w:rPr>
          <w:noProof/>
        </w:rPr>
        <mc:AlternateContent>
          <mc:Choice Requires="wpg">
            <w:drawing>
              <wp:inline distT="0" distB="0" distL="0" distR="0" wp14:anchorId="246D554E" wp14:editId="116E5E11">
                <wp:extent cx="6319525" cy="2936240"/>
                <wp:effectExtent l="0" t="0" r="0" b="0"/>
                <wp:docPr id="29" name="Group 7"/>
                <wp:cNvGraphicFramePr/>
                <a:graphic xmlns:a="http://schemas.openxmlformats.org/drawingml/2006/main">
                  <a:graphicData uri="http://schemas.microsoft.com/office/word/2010/wordprocessingGroup">
                    <wpg:wgp>
                      <wpg:cNvGrpSpPr/>
                      <wpg:grpSpPr>
                        <a:xfrm>
                          <a:off x="0" y="0"/>
                          <a:ext cx="6319525" cy="2936240"/>
                          <a:chOff x="-694038" y="0"/>
                          <a:chExt cx="9448804" cy="4389693"/>
                        </a:xfrm>
                      </wpg:grpSpPr>
                      <wps:wsp>
                        <wps:cNvPr id="30" name="TextBox 27"/>
                        <wps:cNvSpPr txBox="1"/>
                        <wps:spPr>
                          <a:xfrm>
                            <a:off x="-694038" y="2003854"/>
                            <a:ext cx="1245661" cy="547940"/>
                          </a:xfrm>
                          <a:prstGeom prst="rect">
                            <a:avLst/>
                          </a:prstGeom>
                          <a:noFill/>
                        </wps:spPr>
                        <wps:txbx>
                          <w:txbxContent>
                            <w:p w:rsidR="00E639E7" w:rsidRDefault="00E639E7" w:rsidP="00811E5F">
                              <w:pPr>
                                <w:pStyle w:val="NormalWeb"/>
                                <w:spacing w:before="0" w:beforeAutospacing="0" w:after="0" w:afterAutospacing="0"/>
                                <w:jc w:val="center"/>
                                <w:rPr>
                                  <w:rFonts w:asciiTheme="minorHAnsi" w:hAnsi="Calibri" w:cstheme="minorBidi"/>
                                  <w:color w:val="000000"/>
                                  <w:kern w:val="24"/>
                                  <w:sz w:val="18"/>
                                  <w:szCs w:val="18"/>
                                </w:rPr>
                              </w:pPr>
                              <w:r w:rsidRPr="000F7060">
                                <w:rPr>
                                  <w:rFonts w:asciiTheme="minorHAnsi" w:hAnsi="Wingdings" w:cstheme="minorBidi"/>
                                  <w:color w:val="9BBB59" w:themeColor="accent3"/>
                                  <w:kern w:val="24"/>
                                  <w:sz w:val="18"/>
                                  <w:szCs w:val="18"/>
                                </w:rPr>
                                <w:sym w:font="Wingdings" w:char="F0E2"/>
                              </w:r>
                              <w:r w:rsidRPr="000F7060">
                                <w:rPr>
                                  <w:rFonts w:asciiTheme="minorHAnsi" w:hAnsi="Calibri" w:cstheme="minorBidi"/>
                                  <w:color w:val="000000" w:themeColor="text1"/>
                                  <w:kern w:val="24"/>
                                  <w:sz w:val="18"/>
                                  <w:szCs w:val="18"/>
                                </w:rPr>
                                <w:t xml:space="preserve"> </w:t>
                              </w:r>
                              <w:r w:rsidRPr="000F7060">
                                <w:rPr>
                                  <w:rFonts w:asciiTheme="minorHAnsi" w:hAnsi="Calibri" w:cstheme="minorBidi"/>
                                  <w:color w:val="000000"/>
                                  <w:kern w:val="24"/>
                                  <w:sz w:val="18"/>
                                  <w:szCs w:val="18"/>
                                </w:rPr>
                                <w:t xml:space="preserve">1.5 </w:t>
                              </w:r>
                            </w:p>
                            <w:p w:rsidR="00E639E7" w:rsidRPr="000F7060" w:rsidRDefault="00E639E7" w:rsidP="00811E5F">
                              <w:pPr>
                                <w:pStyle w:val="NormalWeb"/>
                                <w:spacing w:before="0" w:beforeAutospacing="0" w:after="0" w:afterAutospacing="0"/>
                                <w:jc w:val="center"/>
                                <w:rPr>
                                  <w:sz w:val="18"/>
                                  <w:szCs w:val="18"/>
                                </w:rPr>
                              </w:pPr>
                              <w:proofErr w:type="gramStart"/>
                              <w:r w:rsidRPr="000F7060">
                                <w:rPr>
                                  <w:rFonts w:asciiTheme="minorHAnsi" w:hAnsi="Calibri" w:cstheme="minorBidi"/>
                                  <w:color w:val="000000"/>
                                  <w:kern w:val="24"/>
                                  <w:sz w:val="18"/>
                                  <w:szCs w:val="18"/>
                                </w:rPr>
                                <w:t>watts/unit</w:t>
                              </w:r>
                              <w:proofErr w:type="gramEnd"/>
                            </w:p>
                          </w:txbxContent>
                        </wps:txbx>
                        <wps:bodyPr wrap="square" rtlCol="0">
                          <a:noAutofit/>
                        </wps:bodyPr>
                      </wps:wsp>
                      <wps:wsp>
                        <wps:cNvPr id="31" name="TextBox 24"/>
                        <wps:cNvSpPr txBox="1"/>
                        <wps:spPr>
                          <a:xfrm>
                            <a:off x="-565418" y="2797925"/>
                            <a:ext cx="1378213" cy="750316"/>
                          </a:xfrm>
                          <a:prstGeom prst="rect">
                            <a:avLst/>
                          </a:prstGeom>
                          <a:noFill/>
                        </wps:spPr>
                        <wps:txbx>
                          <w:txbxContent>
                            <w:p w:rsidR="00E639E7" w:rsidRPr="000F7060" w:rsidRDefault="00E639E7" w:rsidP="00811E5F">
                              <w:pPr>
                                <w:pStyle w:val="NormalWeb"/>
                                <w:spacing w:before="0" w:beforeAutospacing="0" w:after="0" w:afterAutospacing="0"/>
                                <w:jc w:val="center"/>
                                <w:rPr>
                                  <w:sz w:val="18"/>
                                  <w:szCs w:val="18"/>
                                </w:rPr>
                              </w:pPr>
                              <w:r w:rsidRPr="000F7060">
                                <w:rPr>
                                  <w:rFonts w:asciiTheme="minorHAnsi" w:hAnsi="Wingdings" w:cstheme="minorBidi"/>
                                  <w:color w:val="9BBB59" w:themeColor="accent3"/>
                                  <w:kern w:val="24"/>
                                  <w:sz w:val="18"/>
                                  <w:szCs w:val="18"/>
                                </w:rPr>
                                <w:sym w:font="Wingdings" w:char="F0E2"/>
                              </w:r>
                              <w:r w:rsidRPr="000F7060">
                                <w:rPr>
                                  <w:rFonts w:asciiTheme="minorHAnsi" w:hAnsi="Calibri" w:cstheme="minorBidi"/>
                                  <w:color w:val="000000" w:themeColor="text1"/>
                                  <w:kern w:val="24"/>
                                  <w:sz w:val="18"/>
                                  <w:szCs w:val="18"/>
                                </w:rPr>
                                <w:t xml:space="preserve"> </w:t>
                              </w:r>
                              <w:proofErr w:type="gramStart"/>
                              <w:r w:rsidRPr="000F7060">
                                <w:rPr>
                                  <w:rFonts w:asciiTheme="minorHAnsi" w:hAnsi="Calibri" w:cstheme="minorBidi"/>
                                  <w:color w:val="000000"/>
                                  <w:kern w:val="24"/>
                                  <w:sz w:val="18"/>
                                  <w:szCs w:val="18"/>
                                </w:rPr>
                                <w:t>0.5 watts/unit</w:t>
                              </w:r>
                              <w:proofErr w:type="gramEnd"/>
                            </w:p>
                          </w:txbxContent>
                        </wps:txbx>
                        <wps:bodyPr wrap="square" rtlCol="0">
                          <a:noAutofit/>
                        </wps:bodyPr>
                      </wps:wsp>
                      <wpg:graphicFrame>
                        <wpg:cNvPr id="33" name="Chart 33"/>
                        <wpg:cNvFrPr/>
                        <wpg:xfrm>
                          <a:off x="333628" y="0"/>
                          <a:ext cx="8421138" cy="4295164"/>
                        </wpg:xfrm>
                        <a:graphic>
                          <a:graphicData uri="http://schemas.openxmlformats.org/drawingml/2006/chart">
                            <c:chart xmlns:c="http://schemas.openxmlformats.org/drawingml/2006/chart" xmlns:r="http://schemas.openxmlformats.org/officeDocument/2006/relationships" r:id="rId62"/>
                          </a:graphicData>
                        </a:graphic>
                      </wpg:graphicFrame>
                      <wpg:grpSp>
                        <wpg:cNvPr id="35" name="Group 35"/>
                        <wpg:cNvGrpSpPr/>
                        <wpg:grpSpPr>
                          <a:xfrm>
                            <a:off x="3949283" y="1493241"/>
                            <a:ext cx="461395" cy="1687586"/>
                            <a:chOff x="3949283" y="1493241"/>
                            <a:chExt cx="461395" cy="1687586"/>
                          </a:xfrm>
                        </wpg:grpSpPr>
                        <wps:wsp>
                          <wps:cNvPr id="36" name="Straight Connector 36"/>
                          <wps:cNvCnPr/>
                          <wps:spPr bwMode="auto">
                            <a:xfrm>
                              <a:off x="3949283" y="1493241"/>
                              <a:ext cx="310393" cy="0"/>
                            </a:xfrm>
                            <a:prstGeom prst="line">
                              <a:avLst/>
                            </a:prstGeom>
                            <a:solidFill>
                              <a:schemeClr val="accent1"/>
                            </a:solidFill>
                            <a:ln w="12700" cap="flat" cmpd="sng" algn="ctr">
                              <a:solidFill>
                                <a:srgbClr val="000000"/>
                              </a:solidFill>
                              <a:prstDash val="solid"/>
                              <a:round/>
                              <a:headEnd type="none" w="med" len="med"/>
                              <a:tailEnd type="none" w="med" len="med"/>
                            </a:ln>
                            <a:effectLst/>
                          </wps:spPr>
                          <wps:bodyPr/>
                        </wps:wsp>
                        <wps:wsp>
                          <wps:cNvPr id="37" name="Straight Connector 37"/>
                          <wps:cNvCnPr/>
                          <wps:spPr bwMode="auto">
                            <a:xfrm>
                              <a:off x="4259676" y="1493241"/>
                              <a:ext cx="0" cy="1687586"/>
                            </a:xfrm>
                            <a:prstGeom prst="line">
                              <a:avLst/>
                            </a:prstGeom>
                            <a:solidFill>
                              <a:schemeClr val="accent1"/>
                            </a:solidFill>
                            <a:ln w="12700" cap="flat" cmpd="sng" algn="ctr">
                              <a:solidFill>
                                <a:srgbClr val="000000"/>
                              </a:solidFill>
                              <a:prstDash val="solid"/>
                              <a:round/>
                              <a:headEnd type="none" w="med" len="med"/>
                              <a:tailEnd type="none" w="med" len="med"/>
                            </a:ln>
                            <a:effectLst/>
                          </wps:spPr>
                          <wps:bodyPr/>
                        </wps:wsp>
                        <wps:wsp>
                          <wps:cNvPr id="38" name="Straight Connector 38"/>
                          <wps:cNvCnPr/>
                          <wps:spPr bwMode="auto">
                            <a:xfrm>
                              <a:off x="3949283" y="3180827"/>
                              <a:ext cx="310393" cy="0"/>
                            </a:xfrm>
                            <a:prstGeom prst="line">
                              <a:avLst/>
                            </a:prstGeom>
                            <a:solidFill>
                              <a:schemeClr val="accent1"/>
                            </a:solidFill>
                            <a:ln w="12700" cap="flat" cmpd="sng" algn="ctr">
                              <a:solidFill>
                                <a:srgbClr val="000000"/>
                              </a:solidFill>
                              <a:prstDash val="solid"/>
                              <a:round/>
                              <a:headEnd type="none" w="med" len="med"/>
                              <a:tailEnd type="none" w="med" len="med"/>
                            </a:ln>
                            <a:effectLst/>
                          </wps:spPr>
                          <wps:bodyPr/>
                        </wps:wsp>
                        <wps:wsp>
                          <wps:cNvPr id="39" name="Straight Connector 39"/>
                          <wps:cNvCnPr/>
                          <wps:spPr bwMode="auto">
                            <a:xfrm>
                              <a:off x="4259676" y="2368493"/>
                              <a:ext cx="151002" cy="0"/>
                            </a:xfrm>
                            <a:prstGeom prst="line">
                              <a:avLst/>
                            </a:prstGeom>
                            <a:solidFill>
                              <a:schemeClr val="accent1"/>
                            </a:solidFill>
                            <a:ln w="12700" cap="flat" cmpd="sng" algn="ctr">
                              <a:solidFill>
                                <a:srgbClr val="000000"/>
                              </a:solidFill>
                              <a:prstDash val="solid"/>
                              <a:round/>
                              <a:headEnd type="none" w="med" len="med"/>
                              <a:tailEnd type="none" w="med" len="med"/>
                            </a:ln>
                            <a:effectLst/>
                          </wps:spPr>
                          <wps:bodyPr/>
                        </wps:wsp>
                      </wpg:grpSp>
                      <wps:wsp>
                        <wps:cNvPr id="40" name="TextBox 15"/>
                        <wps:cNvSpPr txBox="1"/>
                        <wps:spPr>
                          <a:xfrm>
                            <a:off x="4228369" y="2175092"/>
                            <a:ext cx="1169185" cy="705263"/>
                          </a:xfrm>
                          <a:prstGeom prst="rect">
                            <a:avLst/>
                          </a:prstGeom>
                          <a:noFill/>
                        </wps:spPr>
                        <wps:txbx>
                          <w:txbxContent>
                            <w:p w:rsidR="00E639E7" w:rsidRDefault="00E639E7" w:rsidP="00811E5F">
                              <w:pPr>
                                <w:pStyle w:val="NormalWeb"/>
                                <w:spacing w:before="0" w:beforeAutospacing="0" w:after="0" w:afterAutospacing="0"/>
                                <w:jc w:val="center"/>
                                <w:rPr>
                                  <w:rFonts w:asciiTheme="minorHAnsi" w:hAnsi="Calibri" w:cstheme="minorBidi"/>
                                  <w:color w:val="000000"/>
                                  <w:kern w:val="24"/>
                                  <w:sz w:val="18"/>
                                  <w:szCs w:val="18"/>
                                </w:rPr>
                              </w:pPr>
                              <w:r w:rsidRPr="000F7060">
                                <w:rPr>
                                  <w:rFonts w:asciiTheme="minorHAnsi" w:hAnsi="Wingdings" w:cstheme="minorBidi"/>
                                  <w:color w:val="FF0000"/>
                                  <w:kern w:val="24"/>
                                  <w:sz w:val="18"/>
                                  <w:szCs w:val="18"/>
                                </w:rPr>
                                <w:sym w:font="Wingdings" w:char="F0E1"/>
                              </w:r>
                              <w:r w:rsidRPr="000F7060">
                                <w:rPr>
                                  <w:rFonts w:asciiTheme="minorHAnsi" w:hAnsi="Calibri" w:cstheme="minorBidi"/>
                                  <w:color w:val="FF0000"/>
                                  <w:kern w:val="24"/>
                                  <w:sz w:val="18"/>
                                  <w:szCs w:val="18"/>
                                </w:rPr>
                                <w:t xml:space="preserve"> </w:t>
                              </w:r>
                              <w:r w:rsidRPr="000F7060">
                                <w:rPr>
                                  <w:rFonts w:asciiTheme="minorHAnsi" w:hAnsi="Calibri" w:cstheme="minorBidi"/>
                                  <w:color w:val="000000"/>
                                  <w:kern w:val="24"/>
                                  <w:sz w:val="18"/>
                                  <w:szCs w:val="18"/>
                                </w:rPr>
                                <w:t xml:space="preserve">0.5 </w:t>
                              </w:r>
                            </w:p>
                            <w:p w:rsidR="00E639E7" w:rsidRPr="000F7060" w:rsidRDefault="00E639E7" w:rsidP="00811E5F">
                              <w:pPr>
                                <w:pStyle w:val="NormalWeb"/>
                                <w:spacing w:before="0" w:beforeAutospacing="0" w:after="0" w:afterAutospacing="0"/>
                                <w:jc w:val="center"/>
                                <w:rPr>
                                  <w:sz w:val="18"/>
                                  <w:szCs w:val="18"/>
                                </w:rPr>
                              </w:pPr>
                              <w:proofErr w:type="gramStart"/>
                              <w:r w:rsidRPr="000F7060">
                                <w:rPr>
                                  <w:rFonts w:asciiTheme="minorHAnsi" w:hAnsi="Calibri" w:cstheme="minorBidi"/>
                                  <w:color w:val="000000"/>
                                  <w:kern w:val="24"/>
                                  <w:sz w:val="18"/>
                                  <w:szCs w:val="18"/>
                                </w:rPr>
                                <w:t>watts/unit</w:t>
                              </w:r>
                              <w:proofErr w:type="gramEnd"/>
                            </w:p>
                          </w:txbxContent>
                        </wps:txbx>
                        <wps:bodyPr wrap="square" rtlCol="0">
                          <a:noAutofit/>
                        </wps:bodyPr>
                      </wps:wsp>
                      <wpg:grpSp>
                        <wpg:cNvPr id="41" name="Group 41"/>
                        <wpg:cNvGrpSpPr/>
                        <wpg:grpSpPr>
                          <a:xfrm rot="7218804">
                            <a:off x="1106924" y="3104633"/>
                            <a:ext cx="710491" cy="1398505"/>
                            <a:chOff x="1291413" y="2927953"/>
                            <a:chExt cx="794884" cy="1398505"/>
                          </a:xfrm>
                        </wpg:grpSpPr>
                        <wps:wsp>
                          <wps:cNvPr id="42" name="Straight Connector 42"/>
                          <wps:cNvCnPr/>
                          <wps:spPr bwMode="auto">
                            <a:xfrm>
                              <a:off x="1374633" y="2927953"/>
                              <a:ext cx="310395" cy="0"/>
                            </a:xfrm>
                            <a:prstGeom prst="line">
                              <a:avLst/>
                            </a:prstGeom>
                            <a:solidFill>
                              <a:schemeClr val="accent1"/>
                            </a:solidFill>
                            <a:ln w="12700" cap="flat" cmpd="sng" algn="ctr">
                              <a:solidFill>
                                <a:srgbClr val="000000"/>
                              </a:solidFill>
                              <a:prstDash val="solid"/>
                              <a:round/>
                              <a:headEnd type="none" w="med" len="med"/>
                              <a:tailEnd type="none" w="med" len="med"/>
                            </a:ln>
                            <a:effectLst/>
                          </wps:spPr>
                          <wps:bodyPr/>
                        </wps:wsp>
                        <wps:wsp>
                          <wps:cNvPr id="43" name="Straight Connector 43"/>
                          <wps:cNvCnPr/>
                          <wps:spPr bwMode="auto">
                            <a:xfrm rot="14381196" flipH="1" flipV="1">
                              <a:off x="1081274" y="3238498"/>
                              <a:ext cx="1215161" cy="794884"/>
                            </a:xfrm>
                            <a:prstGeom prst="line">
                              <a:avLst/>
                            </a:prstGeom>
                            <a:solidFill>
                              <a:schemeClr val="accent1"/>
                            </a:solidFill>
                            <a:ln w="12700" cap="flat" cmpd="sng" algn="ctr">
                              <a:solidFill>
                                <a:srgbClr val="000000"/>
                              </a:solidFill>
                              <a:prstDash val="solid"/>
                              <a:round/>
                              <a:headEnd type="none" w="med" len="med"/>
                              <a:tailEnd type="none" w="med" len="med"/>
                            </a:ln>
                            <a:effectLst/>
                          </wps:spPr>
                          <wps:bodyPr/>
                        </wps:wsp>
                        <wps:wsp>
                          <wps:cNvPr id="44" name="Straight Connector 44"/>
                          <wps:cNvCnPr/>
                          <wps:spPr bwMode="auto">
                            <a:xfrm>
                              <a:off x="1369756" y="4326458"/>
                              <a:ext cx="310394" cy="0"/>
                            </a:xfrm>
                            <a:prstGeom prst="line">
                              <a:avLst/>
                            </a:prstGeom>
                            <a:solidFill>
                              <a:schemeClr val="accent1"/>
                            </a:solidFill>
                            <a:ln w="12700" cap="flat" cmpd="sng" algn="ctr">
                              <a:solidFill>
                                <a:srgbClr val="000000"/>
                              </a:solidFill>
                              <a:prstDash val="solid"/>
                              <a:round/>
                              <a:headEnd type="none" w="med" len="med"/>
                              <a:tailEnd type="none" w="med" len="med"/>
                            </a:ln>
                            <a:effectLst/>
                          </wps:spPr>
                          <wps:bodyPr/>
                        </wps:wsp>
                        <wps:wsp>
                          <wps:cNvPr id="45" name="Straight Connector 45"/>
                          <wps:cNvCnPr/>
                          <wps:spPr bwMode="auto">
                            <a:xfrm>
                              <a:off x="1688788" y="3639067"/>
                              <a:ext cx="151002" cy="0"/>
                            </a:xfrm>
                            <a:prstGeom prst="line">
                              <a:avLst/>
                            </a:prstGeom>
                            <a:solidFill>
                              <a:schemeClr val="accent1"/>
                            </a:solidFill>
                            <a:ln w="12700" cap="flat" cmpd="sng" algn="ctr">
                              <a:solidFill>
                                <a:srgbClr val="000000"/>
                              </a:solidFill>
                              <a:prstDash val="solid"/>
                              <a:round/>
                              <a:headEnd type="none" w="med" len="med"/>
                              <a:tailEnd type="none" w="med" len="med"/>
                            </a:ln>
                            <a:effectLst/>
                          </wps:spPr>
                          <wps:bodyPr/>
                        </wps:wsp>
                      </wpg:grpSp>
                      <wps:wsp>
                        <wps:cNvPr id="46" name="TextBox 21"/>
                        <wps:cNvSpPr txBox="1"/>
                        <wps:spPr>
                          <a:xfrm>
                            <a:off x="613413" y="3869617"/>
                            <a:ext cx="1106022" cy="520076"/>
                          </a:xfrm>
                          <a:prstGeom prst="rect">
                            <a:avLst/>
                          </a:prstGeom>
                          <a:noFill/>
                        </wps:spPr>
                        <wps:txbx>
                          <w:txbxContent>
                            <w:p w:rsidR="00E639E7" w:rsidRPr="000F7060" w:rsidRDefault="00E639E7" w:rsidP="00811E5F">
                              <w:pPr>
                                <w:pStyle w:val="NormalWeb"/>
                                <w:spacing w:before="0" w:beforeAutospacing="0" w:after="0" w:afterAutospacing="0"/>
                                <w:jc w:val="center"/>
                                <w:rPr>
                                  <w:rFonts w:asciiTheme="minorHAnsi" w:hAnsi="Calibri" w:cstheme="minorBidi"/>
                                  <w:color w:val="000000"/>
                                  <w:kern w:val="24"/>
                                  <w:sz w:val="18"/>
                                  <w:szCs w:val="18"/>
                                </w:rPr>
                              </w:pPr>
                              <w:r w:rsidRPr="000F7060">
                                <w:rPr>
                                  <w:rFonts w:asciiTheme="minorHAnsi" w:hAnsi="Wingdings" w:cstheme="minorBidi"/>
                                  <w:color w:val="FF0000"/>
                                  <w:kern w:val="24"/>
                                  <w:sz w:val="18"/>
                                  <w:szCs w:val="18"/>
                                </w:rPr>
                                <w:sym w:font="Wingdings" w:char="F0E1"/>
                              </w:r>
                              <w:r w:rsidRPr="000F7060">
                                <w:rPr>
                                  <w:rFonts w:asciiTheme="minorHAnsi" w:hAnsi="Calibri" w:cstheme="minorBidi"/>
                                  <w:color w:val="000000"/>
                                  <w:kern w:val="24"/>
                                  <w:sz w:val="18"/>
                                  <w:szCs w:val="18"/>
                                </w:rPr>
                                <w:t xml:space="preserve"> 0.5</w:t>
                              </w:r>
                            </w:p>
                            <w:p w:rsidR="00E639E7" w:rsidRPr="000F7060" w:rsidRDefault="00E639E7" w:rsidP="00811E5F">
                              <w:pPr>
                                <w:pStyle w:val="NormalWeb"/>
                                <w:spacing w:before="0" w:beforeAutospacing="0" w:after="0" w:afterAutospacing="0"/>
                                <w:jc w:val="center"/>
                                <w:rPr>
                                  <w:sz w:val="18"/>
                                  <w:szCs w:val="18"/>
                                </w:rPr>
                              </w:pPr>
                              <w:proofErr w:type="gramStart"/>
                              <w:r w:rsidRPr="000F7060">
                                <w:rPr>
                                  <w:rFonts w:asciiTheme="minorHAnsi" w:hAnsi="Calibri" w:cstheme="minorBidi"/>
                                  <w:color w:val="000000"/>
                                  <w:kern w:val="24"/>
                                  <w:sz w:val="18"/>
                                  <w:szCs w:val="18"/>
                                </w:rPr>
                                <w:t>watts/unit</w:t>
                              </w:r>
                              <w:proofErr w:type="gramEnd"/>
                            </w:p>
                          </w:txbxContent>
                        </wps:txbx>
                        <wps:bodyPr wrap="square" rtlCol="0">
                          <a:noAutofit/>
                        </wps:bodyPr>
                      </wps:wsp>
                      <wps:wsp>
                        <wps:cNvPr id="47" name="Straight Connector 47"/>
                        <wps:cNvCnPr/>
                        <wps:spPr bwMode="auto">
                          <a:xfrm flipH="1">
                            <a:off x="591437" y="2887117"/>
                            <a:ext cx="221358" cy="58722"/>
                          </a:xfrm>
                          <a:prstGeom prst="line">
                            <a:avLst/>
                          </a:prstGeom>
                          <a:solidFill>
                            <a:schemeClr val="accent1"/>
                          </a:solidFill>
                          <a:ln w="12700" cap="flat" cmpd="sng" algn="ctr">
                            <a:solidFill>
                              <a:srgbClr val="000000"/>
                            </a:solidFill>
                            <a:prstDash val="solid"/>
                            <a:round/>
                            <a:headEnd type="none" w="med" len="med"/>
                            <a:tailEnd type="none" w="med" len="med"/>
                          </a:ln>
                          <a:effectLst/>
                        </wps:spPr>
                        <wps:bodyPr/>
                      </wps:wsp>
                      <wps:wsp>
                        <wps:cNvPr id="48" name="Straight Connector 48"/>
                        <wps:cNvCnPr/>
                        <wps:spPr bwMode="auto">
                          <a:xfrm flipH="1">
                            <a:off x="422452" y="2245696"/>
                            <a:ext cx="190961" cy="0"/>
                          </a:xfrm>
                          <a:prstGeom prst="line">
                            <a:avLst/>
                          </a:prstGeom>
                          <a:solidFill>
                            <a:schemeClr val="accent1"/>
                          </a:solidFill>
                          <a:ln w="12700" cap="flat" cmpd="sng" algn="ctr">
                            <a:solidFill>
                              <a:srgbClr val="000000"/>
                            </a:solidFill>
                            <a:prstDash val="solid"/>
                            <a:round/>
                            <a:headEnd type="none" w="med" len="med"/>
                            <a:tailEnd type="none" w="med" len="med"/>
                          </a:ln>
                          <a:effectLst/>
                        </wps:spPr>
                        <wps:bodyPr/>
                      </wps:wsp>
                      <wps:wsp>
                        <wps:cNvPr id="49" name="Straight Connector 49"/>
                        <wps:cNvCnPr/>
                        <wps:spPr bwMode="auto">
                          <a:xfrm flipH="1" flipV="1">
                            <a:off x="1029541" y="778841"/>
                            <a:ext cx="156769" cy="134225"/>
                          </a:xfrm>
                          <a:prstGeom prst="line">
                            <a:avLst/>
                          </a:prstGeom>
                          <a:solidFill>
                            <a:schemeClr val="accent1"/>
                          </a:solidFill>
                          <a:ln w="12700" cap="flat" cmpd="sng" algn="ctr">
                            <a:solidFill>
                              <a:srgbClr val="000000"/>
                            </a:solidFill>
                            <a:prstDash val="solid"/>
                            <a:round/>
                            <a:headEnd type="none" w="med" len="med"/>
                            <a:tailEnd type="none" w="med" len="med"/>
                          </a:ln>
                          <a:effectLst/>
                        </wps:spPr>
                        <wps:bodyPr/>
                      </wps:wsp>
                      <wps:wsp>
                        <wps:cNvPr id="50" name="TextBox 33"/>
                        <wps:cNvSpPr txBox="1"/>
                        <wps:spPr>
                          <a:xfrm>
                            <a:off x="84243" y="227321"/>
                            <a:ext cx="1332542" cy="608087"/>
                          </a:xfrm>
                          <a:prstGeom prst="rect">
                            <a:avLst/>
                          </a:prstGeom>
                          <a:noFill/>
                        </wps:spPr>
                        <wps:txbx>
                          <w:txbxContent>
                            <w:p w:rsidR="00E639E7" w:rsidRDefault="00E639E7" w:rsidP="00811E5F">
                              <w:pPr>
                                <w:pStyle w:val="NormalWeb"/>
                                <w:spacing w:before="0" w:beforeAutospacing="0" w:after="0" w:afterAutospacing="0"/>
                                <w:jc w:val="center"/>
                                <w:rPr>
                                  <w:rFonts w:asciiTheme="minorHAnsi" w:hAnsi="Calibri" w:cstheme="minorBidi"/>
                                  <w:color w:val="000000"/>
                                  <w:kern w:val="24"/>
                                  <w:sz w:val="18"/>
                                  <w:szCs w:val="18"/>
                                </w:rPr>
                              </w:pPr>
                              <w:r w:rsidRPr="000F7060">
                                <w:rPr>
                                  <w:rFonts w:asciiTheme="minorHAnsi" w:hAnsi="Wingdings" w:cstheme="minorBidi"/>
                                  <w:color w:val="9BBB59" w:themeColor="accent3"/>
                                  <w:kern w:val="24"/>
                                  <w:sz w:val="18"/>
                                  <w:szCs w:val="18"/>
                                </w:rPr>
                                <w:sym w:font="Wingdings" w:char="F0E2"/>
                              </w:r>
                              <w:r w:rsidRPr="000F7060">
                                <w:rPr>
                                  <w:rFonts w:asciiTheme="minorHAnsi" w:hAnsi="Calibri" w:cstheme="minorBidi"/>
                                  <w:color w:val="000000" w:themeColor="text1"/>
                                  <w:kern w:val="24"/>
                                  <w:sz w:val="18"/>
                                  <w:szCs w:val="18"/>
                                </w:rPr>
                                <w:t xml:space="preserve"> </w:t>
                              </w:r>
                              <w:r w:rsidRPr="000F7060">
                                <w:rPr>
                                  <w:rFonts w:asciiTheme="minorHAnsi" w:hAnsi="Calibri" w:cstheme="minorBidi"/>
                                  <w:color w:val="000000"/>
                                  <w:kern w:val="24"/>
                                  <w:sz w:val="18"/>
                                  <w:szCs w:val="18"/>
                                </w:rPr>
                                <w:t xml:space="preserve">6.5 </w:t>
                              </w:r>
                            </w:p>
                            <w:p w:rsidR="00E639E7" w:rsidRPr="000F7060" w:rsidRDefault="00E639E7" w:rsidP="00811E5F">
                              <w:pPr>
                                <w:pStyle w:val="NormalWeb"/>
                                <w:spacing w:before="0" w:beforeAutospacing="0" w:after="0" w:afterAutospacing="0"/>
                                <w:jc w:val="center"/>
                                <w:rPr>
                                  <w:sz w:val="18"/>
                                  <w:szCs w:val="18"/>
                                </w:rPr>
                              </w:pPr>
                              <w:proofErr w:type="gramStart"/>
                              <w:r w:rsidRPr="000F7060">
                                <w:rPr>
                                  <w:rFonts w:asciiTheme="minorHAnsi" w:hAnsi="Calibri" w:cstheme="minorBidi"/>
                                  <w:color w:val="000000"/>
                                  <w:kern w:val="24"/>
                                  <w:sz w:val="18"/>
                                  <w:szCs w:val="18"/>
                                </w:rPr>
                                <w:t>watts/unit</w:t>
                              </w:r>
                              <w:proofErr w:type="gramEnd"/>
                            </w:p>
                          </w:txbxContent>
                        </wps:txbx>
                        <wps:bodyPr wrap="square" rtlCol="0">
                          <a:noAutofit/>
                        </wps:bodyPr>
                      </wps:wsp>
                      <wps:wsp>
                        <wps:cNvPr id="51" name="TextBox 2"/>
                        <wps:cNvSpPr txBox="1"/>
                        <wps:spPr>
                          <a:xfrm>
                            <a:off x="1321379" y="1916605"/>
                            <a:ext cx="2222876" cy="1303516"/>
                          </a:xfrm>
                          <a:prstGeom prst="rect">
                            <a:avLst/>
                          </a:prstGeom>
                          <a:noFill/>
                        </wps:spPr>
                        <wps:txbx>
                          <w:txbxContent>
                            <w:p w:rsidR="00E639E7" w:rsidRPr="000F7060" w:rsidRDefault="00E639E7" w:rsidP="00811E5F">
                              <w:pPr>
                                <w:pStyle w:val="NormalWeb"/>
                                <w:spacing w:before="0" w:beforeAutospacing="0" w:after="0" w:afterAutospacing="0"/>
                                <w:jc w:val="center"/>
                                <w:rPr>
                                  <w:sz w:val="18"/>
                                  <w:szCs w:val="18"/>
                                </w:rPr>
                              </w:pPr>
                              <w:r w:rsidRPr="000F7060">
                                <w:rPr>
                                  <w:rFonts w:asciiTheme="minorHAnsi" w:hAnsi="Calibri" w:cstheme="minorBidi"/>
                                  <w:b/>
                                  <w:bCs/>
                                  <w:color w:val="000000"/>
                                  <w:kern w:val="24"/>
                                  <w:sz w:val="18"/>
                                  <w:szCs w:val="18"/>
                                </w:rPr>
                                <w:t>Total Measure Savings</w:t>
                              </w:r>
                            </w:p>
                            <w:p w:rsidR="00E639E7" w:rsidRPr="000F7060" w:rsidRDefault="00E639E7" w:rsidP="00811E5F">
                              <w:pPr>
                                <w:pStyle w:val="NormalWeb"/>
                                <w:spacing w:before="0" w:beforeAutospacing="0" w:after="0" w:afterAutospacing="0"/>
                                <w:jc w:val="center"/>
                                <w:rPr>
                                  <w:sz w:val="18"/>
                                  <w:szCs w:val="18"/>
                                </w:rPr>
                              </w:pPr>
                              <w:r w:rsidRPr="000F7060">
                                <w:rPr>
                                  <w:rFonts w:asciiTheme="minorHAnsi" w:hAnsi="Calibri" w:cstheme="minorBidi"/>
                                  <w:color w:val="000000"/>
                                  <w:kern w:val="24"/>
                                  <w:sz w:val="18"/>
                                  <w:szCs w:val="18"/>
                                </w:rPr>
                                <w:t>Reported: 121 MWh</w:t>
                              </w:r>
                            </w:p>
                            <w:p w:rsidR="00E639E7" w:rsidRPr="000F7060" w:rsidRDefault="00E639E7" w:rsidP="00811E5F">
                              <w:pPr>
                                <w:pStyle w:val="NormalWeb"/>
                                <w:spacing w:before="0" w:beforeAutospacing="0" w:after="0" w:afterAutospacing="0"/>
                                <w:jc w:val="center"/>
                                <w:rPr>
                                  <w:sz w:val="18"/>
                                  <w:szCs w:val="18"/>
                                </w:rPr>
                              </w:pPr>
                              <w:r w:rsidRPr="000F7060">
                                <w:rPr>
                                  <w:rFonts w:asciiTheme="minorHAnsi" w:hAnsi="Calibri" w:cstheme="minorBidi"/>
                                  <w:color w:val="000000"/>
                                  <w:kern w:val="24"/>
                                  <w:sz w:val="18"/>
                                  <w:szCs w:val="18"/>
                                </w:rPr>
                                <w:t>Verified: 67 MWh</w:t>
                              </w:r>
                            </w:p>
                            <w:p w:rsidR="00E639E7" w:rsidRPr="000F7060" w:rsidRDefault="00E639E7" w:rsidP="00811E5F">
                              <w:pPr>
                                <w:pStyle w:val="NormalWeb"/>
                                <w:spacing w:before="0" w:beforeAutospacing="0" w:after="0" w:afterAutospacing="0"/>
                                <w:jc w:val="center"/>
                                <w:rPr>
                                  <w:sz w:val="18"/>
                                  <w:szCs w:val="18"/>
                                </w:rPr>
                              </w:pPr>
                              <w:r w:rsidRPr="000F7060">
                                <w:rPr>
                                  <w:rFonts w:asciiTheme="minorHAnsi" w:hAnsi="Calibri" w:cstheme="minorBidi"/>
                                  <w:color w:val="000000"/>
                                  <w:kern w:val="24"/>
                                  <w:sz w:val="18"/>
                                  <w:szCs w:val="18"/>
                                </w:rPr>
                                <w:t>56% RR</w:t>
                              </w:r>
                            </w:p>
                          </w:txbxContent>
                        </wps:txbx>
                        <wps:bodyPr wrap="square" rtlCol="0">
                          <a:noAutofit/>
                        </wps:bodyPr>
                      </wps:wsp>
                    </wpg:wgp>
                  </a:graphicData>
                </a:graphic>
              </wp:inline>
            </w:drawing>
          </mc:Choice>
          <mc:Fallback>
            <w:pict>
              <v:group id="Group 7" o:spid="_x0000_s1032" style="width:497.6pt;height:231.2pt;mso-position-horizontal-relative:char;mso-position-vertical-relative:line" coordorigin="-6940" coordsize="94488,43896"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">
                <v:shape id="TextBox 27" o:spid="_x0000_s1033" type="#_x0000_t202" style="position:absolute;left:-6940;top:20038;width:12456;height:5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E639E7" w:rsidRDefault="00E639E7" w:rsidP="00811E5F">
                        <w:pPr>
                          <w:pStyle w:val="NormalWeb"/>
                          <w:spacing w:before="0" w:beforeAutospacing="0" w:after="0" w:afterAutospacing="0"/>
                          <w:jc w:val="center"/>
                          <w:rPr>
                            <w:rFonts w:asciiTheme="minorHAnsi" w:hAnsi="Calibri" w:cstheme="minorBidi"/>
                            <w:color w:val="000000"/>
                            <w:kern w:val="24"/>
                            <w:sz w:val="18"/>
                            <w:szCs w:val="18"/>
                          </w:rPr>
                        </w:pPr>
                        <w:r w:rsidRPr="000F7060">
                          <w:rPr>
                            <w:rFonts w:asciiTheme="minorHAnsi" w:hAnsi="Wingdings" w:cstheme="minorBidi"/>
                            <w:color w:val="9BBB59" w:themeColor="accent3"/>
                            <w:kern w:val="24"/>
                            <w:sz w:val="18"/>
                            <w:szCs w:val="18"/>
                          </w:rPr>
                          <w:sym w:font="Wingdings" w:char="F0E2"/>
                        </w:r>
                        <w:r w:rsidRPr="000F7060">
                          <w:rPr>
                            <w:rFonts w:asciiTheme="minorHAnsi" w:hAnsi="Calibri" w:cstheme="minorBidi"/>
                            <w:color w:val="000000" w:themeColor="text1"/>
                            <w:kern w:val="24"/>
                            <w:sz w:val="18"/>
                            <w:szCs w:val="18"/>
                          </w:rPr>
                          <w:t xml:space="preserve"> </w:t>
                        </w:r>
                        <w:r w:rsidRPr="000F7060">
                          <w:rPr>
                            <w:rFonts w:asciiTheme="minorHAnsi" w:hAnsi="Calibri" w:cstheme="minorBidi"/>
                            <w:color w:val="000000"/>
                            <w:kern w:val="24"/>
                            <w:sz w:val="18"/>
                            <w:szCs w:val="18"/>
                          </w:rPr>
                          <w:t xml:space="preserve">1.5 </w:t>
                        </w:r>
                      </w:p>
                      <w:p w:rsidR="00E639E7" w:rsidRPr="000F7060" w:rsidRDefault="00E639E7" w:rsidP="00811E5F">
                        <w:pPr>
                          <w:pStyle w:val="NormalWeb"/>
                          <w:spacing w:before="0" w:beforeAutospacing="0" w:after="0" w:afterAutospacing="0"/>
                          <w:jc w:val="center"/>
                          <w:rPr>
                            <w:sz w:val="18"/>
                            <w:szCs w:val="18"/>
                          </w:rPr>
                        </w:pPr>
                        <w:r w:rsidRPr="000F7060">
                          <w:rPr>
                            <w:rFonts w:asciiTheme="minorHAnsi" w:hAnsi="Calibri" w:cstheme="minorBidi"/>
                            <w:color w:val="000000"/>
                            <w:kern w:val="24"/>
                            <w:sz w:val="18"/>
                            <w:szCs w:val="18"/>
                          </w:rPr>
                          <w:t>watts/unit</w:t>
                        </w:r>
                      </w:p>
                    </w:txbxContent>
                  </v:textbox>
                </v:shape>
                <v:shape id="TextBox 24" o:spid="_x0000_s1034" type="#_x0000_t202" style="position:absolute;left:-5654;top:27979;width:13781;height:7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E639E7" w:rsidRPr="000F7060" w:rsidRDefault="00E639E7" w:rsidP="00811E5F">
                        <w:pPr>
                          <w:pStyle w:val="NormalWeb"/>
                          <w:spacing w:before="0" w:beforeAutospacing="0" w:after="0" w:afterAutospacing="0"/>
                          <w:jc w:val="center"/>
                          <w:rPr>
                            <w:sz w:val="18"/>
                            <w:szCs w:val="18"/>
                          </w:rPr>
                        </w:pPr>
                        <w:r w:rsidRPr="000F7060">
                          <w:rPr>
                            <w:rFonts w:asciiTheme="minorHAnsi" w:hAnsi="Wingdings" w:cstheme="minorBidi"/>
                            <w:color w:val="9BBB59" w:themeColor="accent3"/>
                            <w:kern w:val="24"/>
                            <w:sz w:val="18"/>
                            <w:szCs w:val="18"/>
                          </w:rPr>
                          <w:sym w:font="Wingdings" w:char="F0E2"/>
                        </w:r>
                        <w:r w:rsidRPr="000F7060">
                          <w:rPr>
                            <w:rFonts w:asciiTheme="minorHAnsi" w:hAnsi="Calibri" w:cstheme="minorBidi"/>
                            <w:color w:val="000000" w:themeColor="text1"/>
                            <w:kern w:val="24"/>
                            <w:sz w:val="18"/>
                            <w:szCs w:val="18"/>
                          </w:rPr>
                          <w:t xml:space="preserve"> </w:t>
                        </w:r>
                        <w:r w:rsidRPr="000F7060">
                          <w:rPr>
                            <w:rFonts w:asciiTheme="minorHAnsi" w:hAnsi="Calibri" w:cstheme="minorBidi"/>
                            <w:color w:val="000000"/>
                            <w:kern w:val="24"/>
                            <w:sz w:val="18"/>
                            <w:szCs w:val="18"/>
                          </w:rPr>
                          <w:t>0.5 watts/unit</w:t>
                        </w:r>
                      </w:p>
                    </w:txbxContent>
                  </v:textbox>
                </v:shape>
                <v:shape id="Chart 33" o:spid="_x0000_s1035" type="#_x0000_t75" style="position:absolute;left:7278;top:5285;width:78932;height:355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">
                  <v:imagedata r:id="rId63" o:title=""/>
                  <o:lock v:ext="edit" aspectratio="f"/>
                </v:shape>
                <v:group id="Group 35" o:spid="_x0000_s1036" style="position:absolute;left:39492;top:14932;width:4614;height:16876" coordorigin="39492,14932" coordsize="4613,16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line id="Straight Connector 36" o:spid="_x0000_s1037" style="position:absolute;visibility:visible;mso-wrap-style:square" from="39492,14932" to="42596,14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SzcMMAAADbAAAADwAAAGRycy9kb3ducmV2LnhtbESPQWvCQBSE7wX/w/IKvdVNWgkSs0pR&#10;Wr3VpNLzI/uSLGbfhuxW4793C4Ueh5n5hik2k+3FhUZvHCtI5wkI4tppw62C09f78xKED8gae8ek&#10;4EYeNuvZQ4G5dlcu6VKFVkQI+xwVdCEMuZS+7siin7uBOHqNGy2GKMdW6hGvEW57+ZIkmbRoOC50&#10;ONC2o/pc/VgFi6M5fjDv0vQ7q27ZvvzcmVOj1NPj9LYCEWgK/+G/9kEreM3g90v8A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0s3DDAAAA2wAAAA8AAAAAAAAAAAAA&#10;AAAAoQIAAGRycy9kb3ducmV2LnhtbFBLBQYAAAAABAAEAPkAAACRAwAAAAA=&#10;" filled="t" fillcolor="#4f81bd [3204]" strokeweight="1pt"/>
                  <v:line id="Straight Connector 37" o:spid="_x0000_s1038" style="position:absolute;visibility:visible;mso-wrap-style:square" from="42596,14932" to="42596,3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gW68MAAADbAAAADwAAAGRycy9kb3ducmV2LnhtbESPQWvCQBSE74L/YXmF3nQTW2KJriJK&#10;1Vs1Fc+P7DNZmn0bsluN/74rFDwOM/MNM1/2thFX6rxxrCAdJyCIS6cNVwpO35+jDxA+IGtsHJOC&#10;O3lYLoaDOeba3fhI1yJUIkLY56igDqHNpfRlTRb92LXE0bu4zmKIsquk7vAW4baRkyTJpEXDcaHG&#10;ltY1lT/Fr1XwfjCHLfMmTc9Zcc92x6+NOV2Uen3pVzMQgfrwDP+391rB2xQeX+I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4FuvDAAAA2wAAAA8AAAAAAAAAAAAA&#10;AAAAoQIAAGRycy9kb3ducmV2LnhtbFBLBQYAAAAABAAEAPkAAACRAwAAAAA=&#10;" filled="t" fillcolor="#4f81bd [3204]" strokeweight="1pt"/>
                  <v:line id="Straight Connector 38" o:spid="_x0000_s1039" style="position:absolute;visibility:visible;mso-wrap-style:square" from="39492,31808" to="42596,3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eCmcEAAADbAAAADwAAAGRycy9kb3ducmV2LnhtbERPz2vCMBS+D/wfwhN2m2l1lNEZy7DM&#10;eVvtZOdH82zDmpfSZNr+9+Yw2PHj+70tJtuLK43eOFaQrhIQxI3ThlsF56/3pxcQPiBr7B2Tgpk8&#10;FLvFwxZz7W58omsdWhFD2OeooAthyKX0TUcW/coNxJG7uNFiiHBspR7xFsNtL9dJkkmLhmNDhwPt&#10;O2p+6l+r4Lky1YG5TNPvrJ6zj9Nnac4XpR6X09sriEBT+Bf/uY9awSaOjV/iD5C7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Z4KZwQAAANsAAAAPAAAAAAAAAAAAAAAA&#10;AKECAABkcnMvZG93bnJldi54bWxQSwUGAAAAAAQABAD5AAAAjwMAAAAA&#10;" filled="t" fillcolor="#4f81bd [3204]" strokeweight="1pt"/>
                  <v:line id="Straight Connector 39" o:spid="_x0000_s1040" style="position:absolute;visibility:visible;mso-wrap-style:square" from="42596,23684" to="44106,2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snAsMAAADbAAAADwAAAGRycy9kb3ducmV2LnhtbESPQWvCQBSE74L/YXmF3nQTW4KNriJK&#10;1Vs1Fc+P7DNZmn0bsluN/74rFDwOM/MNM1/2thFX6rxxrCAdJyCIS6cNVwpO35+jKQgfkDU2jknB&#10;nTwsF8PBHHPtbnykaxEqESHsc1RQh9DmUvqyJot+7Fri6F1cZzFE2VVSd3iLcNvISZJk0qLhuFBj&#10;S+uayp/i1yp4P5jDlnmTpuesuGe749fGnC5Kvb70qxmIQH14hv/be63g7QMeX+I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rJwLDAAAA2wAAAA8AAAAAAAAAAAAA&#10;AAAAoQIAAGRycy9kb3ducmV2LnhtbFBLBQYAAAAABAAEAPkAAACRAwAAAAA=&#10;" filled="t" fillcolor="#4f81bd [3204]" strokeweight="1pt"/>
                </v:group>
                <v:shape id="TextBox 15" o:spid="_x0000_s1041" type="#_x0000_t202" style="position:absolute;left:42283;top:21750;width:11692;height:7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E639E7" w:rsidRDefault="00E639E7" w:rsidP="00811E5F">
                        <w:pPr>
                          <w:pStyle w:val="NormalWeb"/>
                          <w:spacing w:before="0" w:beforeAutospacing="0" w:after="0" w:afterAutospacing="0"/>
                          <w:jc w:val="center"/>
                          <w:rPr>
                            <w:rFonts w:asciiTheme="minorHAnsi" w:hAnsi="Calibri" w:cstheme="minorBidi"/>
                            <w:color w:val="000000"/>
                            <w:kern w:val="24"/>
                            <w:sz w:val="18"/>
                            <w:szCs w:val="18"/>
                          </w:rPr>
                        </w:pPr>
                        <w:r w:rsidRPr="000F7060">
                          <w:rPr>
                            <w:rFonts w:asciiTheme="minorHAnsi" w:hAnsi="Wingdings" w:cstheme="minorBidi"/>
                            <w:color w:val="FF0000"/>
                            <w:kern w:val="24"/>
                            <w:sz w:val="18"/>
                            <w:szCs w:val="18"/>
                          </w:rPr>
                          <w:sym w:font="Wingdings" w:char="F0E1"/>
                        </w:r>
                        <w:r w:rsidRPr="000F7060">
                          <w:rPr>
                            <w:rFonts w:asciiTheme="minorHAnsi" w:hAnsi="Calibri" w:cstheme="minorBidi"/>
                            <w:color w:val="FF0000"/>
                            <w:kern w:val="24"/>
                            <w:sz w:val="18"/>
                            <w:szCs w:val="18"/>
                          </w:rPr>
                          <w:t xml:space="preserve"> </w:t>
                        </w:r>
                        <w:r w:rsidRPr="000F7060">
                          <w:rPr>
                            <w:rFonts w:asciiTheme="minorHAnsi" w:hAnsi="Calibri" w:cstheme="minorBidi"/>
                            <w:color w:val="000000"/>
                            <w:kern w:val="24"/>
                            <w:sz w:val="18"/>
                            <w:szCs w:val="18"/>
                          </w:rPr>
                          <w:t xml:space="preserve">0.5 </w:t>
                        </w:r>
                      </w:p>
                      <w:p w:rsidR="00E639E7" w:rsidRPr="000F7060" w:rsidRDefault="00E639E7" w:rsidP="00811E5F">
                        <w:pPr>
                          <w:pStyle w:val="NormalWeb"/>
                          <w:spacing w:before="0" w:beforeAutospacing="0" w:after="0" w:afterAutospacing="0"/>
                          <w:jc w:val="center"/>
                          <w:rPr>
                            <w:sz w:val="18"/>
                            <w:szCs w:val="18"/>
                          </w:rPr>
                        </w:pPr>
                        <w:r w:rsidRPr="000F7060">
                          <w:rPr>
                            <w:rFonts w:asciiTheme="minorHAnsi" w:hAnsi="Calibri" w:cstheme="minorBidi"/>
                            <w:color w:val="000000"/>
                            <w:kern w:val="24"/>
                            <w:sz w:val="18"/>
                            <w:szCs w:val="18"/>
                          </w:rPr>
                          <w:t>watts/unit</w:t>
                        </w:r>
                      </w:p>
                    </w:txbxContent>
                  </v:textbox>
                </v:shape>
                <v:group id="Group 41" o:spid="_x0000_s1042" style="position:absolute;left:11069;top:31046;width:7105;height:13985;rotation:7884859fd" coordorigin="12914,29279" coordsize="7948,13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UKTfFAAAA2wAA&#10;AA8AAAAAAAAAAAAAAAAAqgIAAGRycy9kb3ducmV2LnhtbFBLBQYAAAAABAAEAPoAAACcAwAAAAA=&#10;">
                  <v:line id="Straight Connector 42" o:spid="_x0000_s1043" style="position:absolute;visibility:visible;mso-wrap-style:square" from="13746,29279" to="16850,29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nGDsEAAADbAAAADwAAAGRycy9kb3ducmV2LnhtbESPT4vCMBTE74LfIbwFb5pWpCxdo8iK&#10;f25qlT0/mmcbbF5KE7V+e7OwsMdh5jfDzJe9bcSDOm8cK0gnCQji0mnDlYLLeTP+BOEDssbGMSl4&#10;kYflYjiYY67dk0/0KEIlYgn7HBXUIbS5lL6syaKfuJY4elfXWQxRdpXUHT5juW3kNEkyadFwXKix&#10;pe+ayltxtwpmR3PcMq/T9CcrXtnudFiby1Wp0Ue/+gIRqA//4T96ryM3hd8v8QfIx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icYOwQAAANsAAAAPAAAAAAAAAAAAAAAA&#10;AKECAABkcnMvZG93bnJldi54bWxQSwUGAAAAAAQABAD5AAAAjwMAAAAA&#10;" filled="t" fillcolor="#4f81bd [3204]" strokeweight="1pt"/>
                  <v:line id="Straight Connector 43" o:spid="_x0000_s1044" style="position:absolute;rotation:-7884859fd;flip:x y;visibility:visible;mso-wrap-style:square" from="10812,32385" to="22964,40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FTdcYAAADbAAAADwAAAGRycy9kb3ducmV2LnhtbESPT2sCMRDF70K/Q5iCN81W7VK2RpGC&#10;f8Ae1Aqlt2EzTbbdTJZN1PXbm0LB4+PN+71503nnanGmNlSeFTwNMxDEpdcVGwXHj+XgBUSIyBpr&#10;z6TgSgHms4feFAvtL7yn8yEakSAcClRgY2wKKUNpyWEY+oY4ed++dRiTbI3ULV4S3NVylGW5dFhx&#10;arDY0Jul8vdwcukN3C6e9/nx62f1+W53fm1G3cko1X/sFq8gInXxfvyf3mgFkzH8bUkA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RU3XGAAAA2wAAAA8AAAAAAAAA&#10;AAAAAAAAoQIAAGRycy9kb3ducmV2LnhtbFBLBQYAAAAABAAEAPkAAACUAwAAAAA=&#10;" filled="t" fillcolor="#4f81bd [3204]" strokeweight="1pt"/>
                  <v:line id="Straight Connector 44" o:spid="_x0000_s1045" style="position:absolute;visibility:visible;mso-wrap-style:square" from="13697,43264" to="16801,4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z74cEAAADbAAAADwAAAGRycy9kb3ducmV2LnhtbESPT4vCMBTE7wt+h/AEb2vaRcpSjSKK&#10;f25qFc+P5tkGm5fSZLV+e7OwsMdh5jfDzBa9bcSDOm8cK0jHCQji0mnDlYLLefP5DcIHZI2NY1Lw&#10;Ig+L+eBjhrl2Tz7RowiViCXsc1RQh9DmUvqyJot+7Fri6N1cZzFE2VVSd/iM5baRX0mSSYuG40KN&#10;La1qKu/Fj1UwOZrjlnmdpteseGW702FtLjelRsN+OQURqA//4T96ryM3gd8v8QfI+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LPvhwQAAANsAAAAPAAAAAAAAAAAAAAAA&#10;AKECAABkcnMvZG93bnJldi54bWxQSwUGAAAAAAQABAD5AAAAjwMAAAAA&#10;" filled="t" fillcolor="#4f81bd [3204]" strokeweight="1pt"/>
                  <v:line id="Straight Connector 45" o:spid="_x0000_s1046" style="position:absolute;visibility:visible;mso-wrap-style:square" from="16887,36390" to="18397,36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BeesIAAADbAAAADwAAAGRycy9kb3ducmV2LnhtbESPQWvCQBSE7wX/w/IEb3WTYoNEVxGl&#10;2ls1iudH9pksZt+G7Krx37uFQo/DzDfDzJe9bcSdOm8cK0jHCQji0mnDlYLT8et9CsIHZI2NY1Lw&#10;JA/LxeBtjrl2Dz7QvQiViCXsc1RQh9DmUvqyJot+7Fri6F1cZzFE2VVSd/iI5baRH0mSSYuG40KN&#10;La1rKq/FzSqY7M1+y7xJ03NWPLPd4WdjThelRsN+NQMRqA//4T/6W0fuE36/xB8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WBeesIAAADbAAAADwAAAAAAAAAAAAAA&#10;AAChAgAAZHJzL2Rvd25yZXYueG1sUEsFBgAAAAAEAAQA+QAAAJADAAAAAA==&#10;" filled="t" fillcolor="#4f81bd [3204]" strokeweight="1pt"/>
                </v:group>
                <v:shape id="TextBox 21" o:spid="_x0000_s1047" type="#_x0000_t202" style="position:absolute;left:6134;top:38696;width:11060;height:5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E639E7" w:rsidRPr="000F7060" w:rsidRDefault="00E639E7" w:rsidP="00811E5F">
                        <w:pPr>
                          <w:pStyle w:val="NormalWeb"/>
                          <w:spacing w:before="0" w:beforeAutospacing="0" w:after="0" w:afterAutospacing="0"/>
                          <w:jc w:val="center"/>
                          <w:rPr>
                            <w:rFonts w:asciiTheme="minorHAnsi" w:hAnsi="Calibri" w:cstheme="minorBidi"/>
                            <w:color w:val="000000"/>
                            <w:kern w:val="24"/>
                            <w:sz w:val="18"/>
                            <w:szCs w:val="18"/>
                          </w:rPr>
                        </w:pPr>
                        <w:r w:rsidRPr="000F7060">
                          <w:rPr>
                            <w:rFonts w:asciiTheme="minorHAnsi" w:hAnsi="Wingdings" w:cstheme="minorBidi"/>
                            <w:color w:val="FF0000"/>
                            <w:kern w:val="24"/>
                            <w:sz w:val="18"/>
                            <w:szCs w:val="18"/>
                          </w:rPr>
                          <w:sym w:font="Wingdings" w:char="F0E1"/>
                        </w:r>
                        <w:r w:rsidRPr="000F7060">
                          <w:rPr>
                            <w:rFonts w:asciiTheme="minorHAnsi" w:hAnsi="Calibri" w:cstheme="minorBidi"/>
                            <w:color w:val="000000"/>
                            <w:kern w:val="24"/>
                            <w:sz w:val="18"/>
                            <w:szCs w:val="18"/>
                          </w:rPr>
                          <w:t xml:space="preserve"> 0.5</w:t>
                        </w:r>
                      </w:p>
                      <w:p w:rsidR="00E639E7" w:rsidRPr="000F7060" w:rsidRDefault="00E639E7" w:rsidP="00811E5F">
                        <w:pPr>
                          <w:pStyle w:val="NormalWeb"/>
                          <w:spacing w:before="0" w:beforeAutospacing="0" w:after="0" w:afterAutospacing="0"/>
                          <w:jc w:val="center"/>
                          <w:rPr>
                            <w:sz w:val="18"/>
                            <w:szCs w:val="18"/>
                          </w:rPr>
                        </w:pPr>
                        <w:r w:rsidRPr="000F7060">
                          <w:rPr>
                            <w:rFonts w:asciiTheme="minorHAnsi" w:hAnsi="Calibri" w:cstheme="minorBidi"/>
                            <w:color w:val="000000"/>
                            <w:kern w:val="24"/>
                            <w:sz w:val="18"/>
                            <w:szCs w:val="18"/>
                          </w:rPr>
                          <w:t>watts/unit</w:t>
                        </w:r>
                      </w:p>
                    </w:txbxContent>
                  </v:textbox>
                </v:shape>
                <v:line id="Straight Connector 47" o:spid="_x0000_s1048" style="position:absolute;flip:x;visibility:visible;mso-wrap-style:square" from="5914,28871" to="8127,29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dCvcMAAADbAAAADwAAAGRycy9kb3ducmV2LnhtbESPzWoCQRCE74G8w9BCbnHWIEY2jiKB&#10;gEou/jxAZ6f3R3d6NjMdd/P2GUHIsaiqr6jFanCtulKIjWcDk3EGirjwtuHKwOn48TwHFQXZYuuZ&#10;DPxShNXy8WGBufU97+l6kEolCMccDdQiXa51LGpyGMe+I05e6YNDSTJU2gbsE9y1+iXLZtphw2mh&#10;xo7eayouhx9nQOafzXm/6bffUkroS959nXczY55Gw/oNlNAg/+F7e2MNTF/h9iX9AL3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XQr3DAAAA2wAAAA8AAAAAAAAAAAAA&#10;AAAAoQIAAGRycy9kb3ducmV2LnhtbFBLBQYAAAAABAAEAPkAAACRAwAAAAA=&#10;" filled="t" fillcolor="#4f81bd [3204]" strokeweight="1pt"/>
                <v:line id="Straight Connector 48" o:spid="_x0000_s1049" style="position:absolute;flip:x;visibility:visible;mso-wrap-style:square" from="4224,22456" to="6134,22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jWz78AAADbAAAADwAAAGRycy9kb3ducmV2LnhtbERPzWoCMRC+F3yHMIK3mrWIyNYopVBQ&#10;6UXrA4yb2R+7mazJ6G7f3hyEHj++/9VmcK26U4iNZwOzaQaKuPC24crA6efrdQkqCrLF1jMZ+KMI&#10;m/XoZYW59T0f6H6USqUQjjkaqEW6XOtY1OQwTn1HnLjSB4eSYKi0DdincNfqtyxbaIcNp4YaO/qs&#10;qfg93pwBWX43l8O2312llNCXvD9f9gtjJuPh4x2U0CD/4qd7aw3M09j0Jf0AvX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QjWz78AAADbAAAADwAAAAAAAAAAAAAAAACh&#10;AgAAZHJzL2Rvd25yZXYueG1sUEsFBgAAAAAEAAQA+QAAAI0DAAAAAA==&#10;" filled="t" fillcolor="#4f81bd [3204]" strokeweight="1pt"/>
                <v:line id="Straight Connector 49" o:spid="_x0000_s1050" style="position:absolute;flip:x y;visibility:visible;mso-wrap-style:square" from="10295,7788" to="11863,9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TqycQAAADbAAAADwAAAGRycy9kb3ducmV2LnhtbESPT2sCMRTE7wW/Q3hCL8XN2paiq1G0&#10;Rem1KuLxuXn7B5OXJUl1++0bodDjMDO/YebL3hpxJR9axwrGWQ6CuHS65VrBYb8ZTUCEiKzROCYF&#10;PxRguRg8zLHQ7sZfdN3FWiQIhwIVNDF2hZShbMhiyFxHnLzKeYsxSV9L7fGW4NbI5zx/kxZbTgsN&#10;dvTeUHnZfVsFm+3RvOzRlPX68jE5PfXnQzX2Sj0O+9UMRKQ+/of/2p9awesU7l/SD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hOrJxAAAANsAAAAPAAAAAAAAAAAA&#10;AAAAAKECAABkcnMvZG93bnJldi54bWxQSwUGAAAAAAQABAD5AAAAkgMAAAAA&#10;" filled="t" fillcolor="#4f81bd [3204]" strokeweight="1pt"/>
                <v:shape id="TextBox 33" o:spid="_x0000_s1051" type="#_x0000_t202" style="position:absolute;left:842;top:2273;width:13325;height:6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E639E7" w:rsidRDefault="00E639E7" w:rsidP="00811E5F">
                        <w:pPr>
                          <w:pStyle w:val="NormalWeb"/>
                          <w:spacing w:before="0" w:beforeAutospacing="0" w:after="0" w:afterAutospacing="0"/>
                          <w:jc w:val="center"/>
                          <w:rPr>
                            <w:rFonts w:asciiTheme="minorHAnsi" w:hAnsi="Calibri" w:cstheme="minorBidi"/>
                            <w:color w:val="000000"/>
                            <w:kern w:val="24"/>
                            <w:sz w:val="18"/>
                            <w:szCs w:val="18"/>
                          </w:rPr>
                        </w:pPr>
                        <w:r w:rsidRPr="000F7060">
                          <w:rPr>
                            <w:rFonts w:asciiTheme="minorHAnsi" w:hAnsi="Wingdings" w:cstheme="minorBidi"/>
                            <w:color w:val="9BBB59" w:themeColor="accent3"/>
                            <w:kern w:val="24"/>
                            <w:sz w:val="18"/>
                            <w:szCs w:val="18"/>
                          </w:rPr>
                          <w:sym w:font="Wingdings" w:char="F0E2"/>
                        </w:r>
                        <w:r w:rsidRPr="000F7060">
                          <w:rPr>
                            <w:rFonts w:asciiTheme="minorHAnsi" w:hAnsi="Calibri" w:cstheme="minorBidi"/>
                            <w:color w:val="000000" w:themeColor="text1"/>
                            <w:kern w:val="24"/>
                            <w:sz w:val="18"/>
                            <w:szCs w:val="18"/>
                          </w:rPr>
                          <w:t xml:space="preserve"> </w:t>
                        </w:r>
                        <w:r w:rsidRPr="000F7060">
                          <w:rPr>
                            <w:rFonts w:asciiTheme="minorHAnsi" w:hAnsi="Calibri" w:cstheme="minorBidi"/>
                            <w:color w:val="000000"/>
                            <w:kern w:val="24"/>
                            <w:sz w:val="18"/>
                            <w:szCs w:val="18"/>
                          </w:rPr>
                          <w:t xml:space="preserve">6.5 </w:t>
                        </w:r>
                      </w:p>
                      <w:p w:rsidR="00E639E7" w:rsidRPr="000F7060" w:rsidRDefault="00E639E7" w:rsidP="00811E5F">
                        <w:pPr>
                          <w:pStyle w:val="NormalWeb"/>
                          <w:spacing w:before="0" w:beforeAutospacing="0" w:after="0" w:afterAutospacing="0"/>
                          <w:jc w:val="center"/>
                          <w:rPr>
                            <w:sz w:val="18"/>
                            <w:szCs w:val="18"/>
                          </w:rPr>
                        </w:pPr>
                        <w:r w:rsidRPr="000F7060">
                          <w:rPr>
                            <w:rFonts w:asciiTheme="minorHAnsi" w:hAnsi="Calibri" w:cstheme="minorBidi"/>
                            <w:color w:val="000000"/>
                            <w:kern w:val="24"/>
                            <w:sz w:val="18"/>
                            <w:szCs w:val="18"/>
                          </w:rPr>
                          <w:t>watts/unit</w:t>
                        </w:r>
                      </w:p>
                    </w:txbxContent>
                  </v:textbox>
                </v:shape>
                <v:shape id="TextBox 2" o:spid="_x0000_s1052" type="#_x0000_t202" style="position:absolute;left:13213;top:19166;width:22229;height:1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E639E7" w:rsidRPr="000F7060" w:rsidRDefault="00E639E7" w:rsidP="00811E5F">
                        <w:pPr>
                          <w:pStyle w:val="NormalWeb"/>
                          <w:spacing w:before="0" w:beforeAutospacing="0" w:after="0" w:afterAutospacing="0"/>
                          <w:jc w:val="center"/>
                          <w:rPr>
                            <w:sz w:val="18"/>
                            <w:szCs w:val="18"/>
                          </w:rPr>
                        </w:pPr>
                        <w:r w:rsidRPr="000F7060">
                          <w:rPr>
                            <w:rFonts w:asciiTheme="minorHAnsi" w:hAnsi="Calibri" w:cstheme="minorBidi"/>
                            <w:b/>
                            <w:bCs/>
                            <w:color w:val="000000"/>
                            <w:kern w:val="24"/>
                            <w:sz w:val="18"/>
                            <w:szCs w:val="18"/>
                          </w:rPr>
                          <w:t>Total Measure Savings</w:t>
                        </w:r>
                      </w:p>
                      <w:p w:rsidR="00E639E7" w:rsidRPr="000F7060" w:rsidRDefault="00E639E7" w:rsidP="00811E5F">
                        <w:pPr>
                          <w:pStyle w:val="NormalWeb"/>
                          <w:spacing w:before="0" w:beforeAutospacing="0" w:after="0" w:afterAutospacing="0"/>
                          <w:jc w:val="center"/>
                          <w:rPr>
                            <w:sz w:val="18"/>
                            <w:szCs w:val="18"/>
                          </w:rPr>
                        </w:pPr>
                        <w:r w:rsidRPr="000F7060">
                          <w:rPr>
                            <w:rFonts w:asciiTheme="minorHAnsi" w:hAnsi="Calibri" w:cstheme="minorBidi"/>
                            <w:color w:val="000000"/>
                            <w:kern w:val="24"/>
                            <w:sz w:val="18"/>
                            <w:szCs w:val="18"/>
                          </w:rPr>
                          <w:t>Reported: 121 MWh</w:t>
                        </w:r>
                      </w:p>
                      <w:p w:rsidR="00E639E7" w:rsidRPr="000F7060" w:rsidRDefault="00E639E7" w:rsidP="00811E5F">
                        <w:pPr>
                          <w:pStyle w:val="NormalWeb"/>
                          <w:spacing w:before="0" w:beforeAutospacing="0" w:after="0" w:afterAutospacing="0"/>
                          <w:jc w:val="center"/>
                          <w:rPr>
                            <w:sz w:val="18"/>
                            <w:szCs w:val="18"/>
                          </w:rPr>
                        </w:pPr>
                        <w:r w:rsidRPr="000F7060">
                          <w:rPr>
                            <w:rFonts w:asciiTheme="minorHAnsi" w:hAnsi="Calibri" w:cstheme="minorBidi"/>
                            <w:color w:val="000000"/>
                            <w:kern w:val="24"/>
                            <w:sz w:val="18"/>
                            <w:szCs w:val="18"/>
                          </w:rPr>
                          <w:t>Verified: 67 MWh</w:t>
                        </w:r>
                      </w:p>
                      <w:p w:rsidR="00E639E7" w:rsidRPr="000F7060" w:rsidRDefault="00E639E7" w:rsidP="00811E5F">
                        <w:pPr>
                          <w:pStyle w:val="NormalWeb"/>
                          <w:spacing w:before="0" w:beforeAutospacing="0" w:after="0" w:afterAutospacing="0"/>
                          <w:jc w:val="center"/>
                          <w:rPr>
                            <w:sz w:val="18"/>
                            <w:szCs w:val="18"/>
                          </w:rPr>
                        </w:pPr>
                        <w:r w:rsidRPr="000F7060">
                          <w:rPr>
                            <w:rFonts w:asciiTheme="minorHAnsi" w:hAnsi="Calibri" w:cstheme="minorBidi"/>
                            <w:color w:val="000000"/>
                            <w:kern w:val="24"/>
                            <w:sz w:val="18"/>
                            <w:szCs w:val="18"/>
                          </w:rPr>
                          <w:t>56% RR</w:t>
                        </w:r>
                      </w:p>
                    </w:txbxContent>
                  </v:textbox>
                </v:shape>
                <w10:anchorlock/>
              </v:group>
              <o:OLEObject Type="Embed" ProgID="Excel.Chart.8" ShapeID="Chart 33" DrawAspect="Content" ObjectID="_1540298073" r:id="rId64">
                <o:FieldCodes>\s</o:FieldCodes>
              </o:OLEObject>
            </w:pict>
          </mc:Fallback>
        </mc:AlternateContent>
      </w:r>
    </w:p>
    <w:p w:rsidR="00704F81" w:rsidRPr="00B75B77" w:rsidRDefault="00704F81" w:rsidP="00704F81">
      <w:pPr>
        <w:pStyle w:val="Source"/>
        <w:ind w:left="721" w:hanging="1"/>
      </w:pPr>
    </w:p>
    <w:p w:rsidR="00EB039C" w:rsidRPr="00B75B77" w:rsidRDefault="00704F81" w:rsidP="00704F81">
      <w:pPr>
        <w:pStyle w:val="Source"/>
        <w:ind w:left="721" w:hanging="1"/>
      </w:pPr>
      <w:r w:rsidRPr="00B75B77">
        <w:t>Source: Navigant analysi</w:t>
      </w:r>
      <w:r w:rsidR="00D34129" w:rsidRPr="00B75B77">
        <w:t xml:space="preserve">s of student installation surveys </w:t>
      </w:r>
    </w:p>
    <w:p w:rsidR="00EB039C" w:rsidRPr="00B75B77" w:rsidRDefault="00EB039C" w:rsidP="009E08FB">
      <w:pPr>
        <w:pStyle w:val="ListParagraph"/>
        <w:numPr>
          <w:ilvl w:val="0"/>
          <w:numId w:val="45"/>
        </w:numPr>
        <w:rPr>
          <w:b/>
        </w:rPr>
      </w:pPr>
      <w:r w:rsidRPr="00B75B77">
        <w:rPr>
          <w:b/>
        </w:rPr>
        <w:t>Low</w:t>
      </w:r>
      <w:r w:rsidR="000212ED" w:rsidRPr="00B75B77">
        <w:rPr>
          <w:b/>
        </w:rPr>
        <w:t>-f</w:t>
      </w:r>
      <w:r w:rsidRPr="00B75B77">
        <w:rPr>
          <w:b/>
        </w:rPr>
        <w:t xml:space="preserve">low </w:t>
      </w:r>
      <w:r w:rsidR="000212ED" w:rsidRPr="00B75B77">
        <w:rPr>
          <w:b/>
        </w:rPr>
        <w:t>s</w:t>
      </w:r>
      <w:r w:rsidRPr="00B75B77">
        <w:rPr>
          <w:b/>
        </w:rPr>
        <w:t>howerhead</w:t>
      </w:r>
      <w:r w:rsidR="000212ED" w:rsidRPr="00B75B77">
        <w:rPr>
          <w:b/>
        </w:rPr>
        <w:t>s</w:t>
      </w:r>
      <w:r w:rsidRPr="00B75B77">
        <w:rPr>
          <w:b/>
        </w:rPr>
        <w:t>:</w:t>
      </w:r>
      <w:r w:rsidRPr="00B75B77">
        <w:t xml:space="preserve"> The low</w:t>
      </w:r>
      <w:r w:rsidR="000212ED" w:rsidRPr="00B75B77">
        <w:t>-</w:t>
      </w:r>
      <w:r w:rsidRPr="00B75B77">
        <w:t>flow showerhead measure saw variation between the reported and verified energy savings because of differences in the findings from the PY7 student installation survey</w:t>
      </w:r>
      <w:r w:rsidR="000212ED" w:rsidRPr="00B75B77">
        <w:t>s</w:t>
      </w:r>
      <w:r w:rsidRPr="00B75B77">
        <w:t xml:space="preserve"> and assumed calculation inputs. In particular, the percentage of low</w:t>
      </w:r>
      <w:r w:rsidR="000212ED" w:rsidRPr="00B75B77">
        <w:t>-</w:t>
      </w:r>
      <w:r w:rsidRPr="00B75B77">
        <w:t>flow showerheads reported to be installed by PY7 students was lower than previous years, at only 36</w:t>
      </w:r>
      <w:r w:rsidR="0009500C" w:rsidRPr="00B75B77">
        <w:t>%</w:t>
      </w:r>
      <w:r w:rsidRPr="00B75B77">
        <w:t xml:space="preserve"> compared to the assumed 42</w:t>
      </w:r>
      <w:r w:rsidR="0009500C" w:rsidRPr="00B75B77">
        <w:t>%</w:t>
      </w:r>
      <w:r w:rsidRPr="00B75B77">
        <w:t xml:space="preserve"> used in the reported savings calculations.</w:t>
      </w:r>
      <w:r w:rsidRPr="00B75B77">
        <w:rPr>
          <w:rStyle w:val="FootnoteReference"/>
        </w:rPr>
        <w:footnoteReference w:id="40"/>
      </w:r>
      <w:r w:rsidRPr="00B75B77">
        <w:t xml:space="preserve"> The student installation survey also revealed a smaller percentage of homes with electric water heating (40</w:t>
      </w:r>
      <w:r w:rsidR="0009500C" w:rsidRPr="00B75B77">
        <w:t>%</w:t>
      </w:r>
      <w:r w:rsidRPr="00B75B77">
        <w:t xml:space="preserve"> for single</w:t>
      </w:r>
      <w:r w:rsidR="000212ED" w:rsidRPr="00B75B77">
        <w:t>-</w:t>
      </w:r>
      <w:r w:rsidRPr="00B75B77">
        <w:t>family and 45</w:t>
      </w:r>
      <w:r w:rsidR="0009500C" w:rsidRPr="00B75B77">
        <w:t>%</w:t>
      </w:r>
      <w:r w:rsidRPr="00B75B77">
        <w:t xml:space="preserve"> for multifamily) as compared to the assumed 50</w:t>
      </w:r>
      <w:r w:rsidR="0009500C" w:rsidRPr="00B75B77">
        <w:t>%</w:t>
      </w:r>
      <w:r w:rsidRPr="00B75B77">
        <w:t xml:space="preserve"> used in the reported savings calculations. </w:t>
      </w:r>
    </w:p>
    <w:p w:rsidR="00EB039C" w:rsidRPr="00B75B77" w:rsidRDefault="00EB039C" w:rsidP="009E08FB">
      <w:pPr>
        <w:pStyle w:val="ListParagraph"/>
        <w:numPr>
          <w:ilvl w:val="0"/>
          <w:numId w:val="45"/>
        </w:numPr>
        <w:rPr>
          <w:b/>
        </w:rPr>
      </w:pPr>
      <w:r w:rsidRPr="00B75B77">
        <w:rPr>
          <w:b/>
        </w:rPr>
        <w:t xml:space="preserve">Faucet </w:t>
      </w:r>
      <w:r w:rsidR="000212ED" w:rsidRPr="00B75B77">
        <w:rPr>
          <w:b/>
        </w:rPr>
        <w:t>a</w:t>
      </w:r>
      <w:r w:rsidRPr="00B75B77">
        <w:rPr>
          <w:b/>
        </w:rPr>
        <w:t>erator</w:t>
      </w:r>
      <w:r w:rsidR="000212ED" w:rsidRPr="00B75B77">
        <w:rPr>
          <w:b/>
        </w:rPr>
        <w:t>s</w:t>
      </w:r>
      <w:r w:rsidRPr="00B75B77">
        <w:rPr>
          <w:b/>
        </w:rPr>
        <w:t xml:space="preserve">: </w:t>
      </w:r>
      <w:r w:rsidRPr="00B75B77">
        <w:t>The differences between the reported and verified savings for the faucet aerator measure were similar to those found for the low</w:t>
      </w:r>
      <w:r w:rsidR="000212ED" w:rsidRPr="00B75B77">
        <w:t>-</w:t>
      </w:r>
      <w:r w:rsidRPr="00B75B77">
        <w:t>flow showerhead measure. The percentage of faucet aerators reported to be installed through the PY7 student installation survey was only 38</w:t>
      </w:r>
      <w:r w:rsidR="0009500C" w:rsidRPr="00B75B77">
        <w:t>%</w:t>
      </w:r>
      <w:r w:rsidRPr="00B75B77">
        <w:t xml:space="preserve">, </w:t>
      </w:r>
      <w:r w:rsidR="000212ED" w:rsidRPr="00B75B77">
        <w:t xml:space="preserve">which was </w:t>
      </w:r>
      <w:r w:rsidRPr="00B75B77">
        <w:t>lower than the 45</w:t>
      </w:r>
      <w:r w:rsidR="0009500C" w:rsidRPr="00B75B77">
        <w:t>%</w:t>
      </w:r>
      <w:r w:rsidRPr="00B75B77">
        <w:t xml:space="preserve"> used in the reported savings calculations. Additionally, Navigant based the verified savings for faucet aerators on an approach that used a weighted average between aerators installed in bathrooms, kitchens, and other sinks, as compared to the reported </w:t>
      </w:r>
      <w:r w:rsidRPr="00B75B77" w:rsidDel="00845869">
        <w:t xml:space="preserve">savings </w:t>
      </w:r>
      <w:r w:rsidR="00845869" w:rsidRPr="00B75B77">
        <w:t>that</w:t>
      </w:r>
      <w:r w:rsidRPr="00B75B77">
        <w:t xml:space="preserve"> used straight averages of mixed inputs from the TRM. </w:t>
      </w:r>
    </w:p>
    <w:p w:rsidR="00EB039C" w:rsidRPr="00B75B77" w:rsidRDefault="00EB039C" w:rsidP="000E74B9"/>
    <w:p w:rsidR="00EB039C" w:rsidRPr="00B75B77" w:rsidRDefault="00EB039C" w:rsidP="003E6A9B">
      <w:pPr>
        <w:pStyle w:val="Heading2"/>
      </w:pPr>
      <w:bookmarkStart w:id="488" w:name="_Toc466413336"/>
      <w:r w:rsidRPr="00B75B77">
        <w:t>Impact Evaluation Net Savings</w:t>
      </w:r>
      <w:bookmarkEnd w:id="488"/>
      <w:r w:rsidRPr="00B75B77">
        <w:t xml:space="preserve"> </w:t>
      </w:r>
    </w:p>
    <w:p w:rsidR="00EB039C" w:rsidRPr="00B75B77" w:rsidRDefault="00EB039C" w:rsidP="00811E5F">
      <w:r w:rsidRPr="00B75B77">
        <w:t>For reasons discussed in the following section, Navigant did not complete a NTG evaluation for the SES program in PY7</w:t>
      </w:r>
      <w:r w:rsidR="00312E68" w:rsidRPr="00B75B77">
        <w:t>;</w:t>
      </w:r>
      <w:r w:rsidRPr="00B75B77">
        <w:t xml:space="preserve"> therefore</w:t>
      </w:r>
      <w:r w:rsidR="00312E68" w:rsidRPr="00B75B77">
        <w:t>,</w:t>
      </w:r>
      <w:r w:rsidRPr="00B75B77">
        <w:t xml:space="preserve"> </w:t>
      </w:r>
      <w:r w:rsidR="00312E68" w:rsidRPr="00B75B77">
        <w:t xml:space="preserve">Navigant does not </w:t>
      </w:r>
      <w:r w:rsidR="00704F81" w:rsidRPr="00B75B77">
        <w:t>present NTG</w:t>
      </w:r>
      <w:r w:rsidRPr="00B75B77">
        <w:t xml:space="preserve"> results</w:t>
      </w:r>
      <w:r w:rsidR="002E49B3" w:rsidRPr="00B75B77">
        <w:t xml:space="preserve">. </w:t>
      </w:r>
      <w:r w:rsidRPr="00B75B77">
        <w:t xml:space="preserve"> </w:t>
      </w:r>
    </w:p>
    <w:p w:rsidR="00EB039C" w:rsidRPr="00B75B77" w:rsidRDefault="00EB039C" w:rsidP="00811E5F"/>
    <w:p w:rsidR="00EB039C" w:rsidRPr="00B75B77" w:rsidRDefault="00EB039C" w:rsidP="00811E5F">
      <w:pPr>
        <w:pStyle w:val="Heading3"/>
      </w:pPr>
      <w:bookmarkStart w:id="489" w:name="_Ref463274348"/>
      <w:bookmarkStart w:id="490" w:name="_Toc466413337"/>
      <w:r w:rsidRPr="00B75B77">
        <w:t>Net Verified Savings Methodology</w:t>
      </w:r>
      <w:bookmarkEnd w:id="489"/>
      <w:bookmarkEnd w:id="490"/>
      <w:r w:rsidRPr="00B75B77">
        <w:t xml:space="preserve"> </w:t>
      </w:r>
    </w:p>
    <w:p w:rsidR="00EB039C" w:rsidRPr="00B75B77" w:rsidRDefault="00EB039C" w:rsidP="00811E5F">
      <w:r w:rsidRPr="00B75B77">
        <w:t xml:space="preserve">In the context of the SES program, </w:t>
      </w:r>
      <w:r w:rsidR="00877C73" w:rsidRPr="00B75B77">
        <w:t xml:space="preserve">the evaluation team defines </w:t>
      </w:r>
      <w:r w:rsidRPr="00B75B77">
        <w:t xml:space="preserve">a free rider as a participant that would have purchased and installed the measures in their home even if they had not received the measures </w:t>
      </w:r>
      <w:r w:rsidRPr="00B75B77">
        <w:lastRenderedPageBreak/>
        <w:t xml:space="preserve">through the take-home kit. Free ridership should be verified by confirming whether the measures in the take-home kit were installed and whether the participating household was considering installing the measures prior to participating in the program. </w:t>
      </w:r>
      <w:r w:rsidR="00877C73" w:rsidRPr="00B75B77">
        <w:t>Ideally, the evaluation team would collect t</w:t>
      </w:r>
      <w:r w:rsidRPr="00B75B77">
        <w:t>his information via either the student installation survey or the parent/guardian phone survey. As stated in the SWE guidance memo on the “Common Approach for Measuring Free-riders for Downstream Programs”</w:t>
      </w:r>
      <w:r w:rsidR="00877C73" w:rsidRPr="00B75B77">
        <w:t>:</w:t>
      </w:r>
      <w:r w:rsidRPr="00B75B77">
        <w:t xml:space="preserve"> “where the respondent was not even considering the measures before being contacted by the program, the total free</w:t>
      </w:r>
      <w:r w:rsidR="00F81128" w:rsidRPr="00B75B77">
        <w:t xml:space="preserve"> </w:t>
      </w:r>
      <w:r w:rsidRPr="00B75B77">
        <w:t>ridership score was set to 0.” Spillover, or the level of the program’s influence on energy-saving actions taken after participation in the program, should also be assessed via the student installation survey o</w:t>
      </w:r>
      <w:r w:rsidR="00877C73" w:rsidRPr="00B75B77">
        <w:t>r</w:t>
      </w:r>
      <w:r w:rsidRPr="00B75B77">
        <w:t xml:space="preserve"> the parent/guardian survey. </w:t>
      </w:r>
    </w:p>
    <w:p w:rsidR="00EB039C" w:rsidRPr="00B75B77" w:rsidRDefault="00EB039C" w:rsidP="00811E5F"/>
    <w:p w:rsidR="00EB039C" w:rsidRPr="00B75B77" w:rsidRDefault="00EB039C" w:rsidP="00811E5F">
      <w:r w:rsidRPr="00B75B77">
        <w:t xml:space="preserve">The evaluation team attempted to calculate net impacts for the SES program as part of the PY5 evaluation, but not enough parental surveys were returned to collect enough data to support the NTG calculations. Additional efforts were made during PY6 to increase the return rate of parental surveys, but return rates did not substantially increase. After the PY6 evaluation, the SWE recommended that Navigant include an evaluation of net impacts in the PY7 evaluation plan. However, after further discussion of this recommendation with the SWE, it was determined that the calculation of NTG for the SES program would be too costly and was unnecessary given that the program will not continue in Phase III. Therefore, </w:t>
      </w:r>
      <w:r w:rsidR="00877C73" w:rsidRPr="00B75B77">
        <w:t>the evaluation team did not complete</w:t>
      </w:r>
      <w:r w:rsidRPr="00B75B77">
        <w:t xml:space="preserve"> NTG evaluation for the SES program in PY7.</w:t>
      </w:r>
    </w:p>
    <w:p w:rsidR="00EB039C" w:rsidRPr="00B75B77" w:rsidRDefault="00EB039C" w:rsidP="004D2FBE"/>
    <w:p w:rsidR="00EB039C" w:rsidRPr="00B75B77" w:rsidRDefault="00EB039C" w:rsidP="00811E5F">
      <w:pPr>
        <w:pStyle w:val="Heading3"/>
      </w:pPr>
      <w:bookmarkStart w:id="491" w:name="_Toc466413338"/>
      <w:r w:rsidRPr="00B75B77">
        <w:t>Net Verified Savings Results</w:t>
      </w:r>
      <w:bookmarkEnd w:id="491"/>
      <w:r w:rsidRPr="00B75B77">
        <w:t xml:space="preserve"> </w:t>
      </w:r>
    </w:p>
    <w:p w:rsidR="00EB039C" w:rsidRPr="00B75B77" w:rsidRDefault="00EB039C" w:rsidP="00811E5F">
      <w:r w:rsidRPr="00B75B77">
        <w:t xml:space="preserve">As described in Section </w:t>
      </w:r>
      <w:r w:rsidR="009070DC" w:rsidRPr="00B75B77">
        <w:fldChar w:fldCharType="begin"/>
      </w:r>
      <w:r w:rsidR="009070DC" w:rsidRPr="00B75B77">
        <w:instrText xml:space="preserve"> REF _Ref463274348 \r \h </w:instrText>
      </w:r>
      <w:r w:rsidR="00B75B77">
        <w:instrText xml:space="preserve"> \* MERGEFORMAT </w:instrText>
      </w:r>
      <w:r w:rsidR="009070DC" w:rsidRPr="00B75B77">
        <w:fldChar w:fldCharType="separate"/>
      </w:r>
      <w:r w:rsidR="0004016D">
        <w:t>6.3.1</w:t>
      </w:r>
      <w:r w:rsidR="009070DC" w:rsidRPr="00B75B77">
        <w:fldChar w:fldCharType="end"/>
      </w:r>
      <w:r w:rsidRPr="00B75B77">
        <w:t xml:space="preserve">, </w:t>
      </w:r>
      <w:r w:rsidR="00877C73" w:rsidRPr="00B75B77">
        <w:t>the evaluation team did not complete</w:t>
      </w:r>
      <w:r w:rsidRPr="00B75B77">
        <w:t xml:space="preserve"> NTG verification for the SES program as part of the PY7 evaluation. </w:t>
      </w:r>
    </w:p>
    <w:p w:rsidR="00EB039C" w:rsidRPr="00B75B77" w:rsidRDefault="00EB039C" w:rsidP="00811E5F"/>
    <w:p w:rsidR="00EB039C" w:rsidRPr="00B75B77" w:rsidRDefault="00EB039C" w:rsidP="00963027">
      <w:pPr>
        <w:pStyle w:val="Heading2"/>
        <w:keepNext/>
      </w:pPr>
      <w:bookmarkStart w:id="492" w:name="_Toc466413339"/>
      <w:r w:rsidRPr="00B75B77">
        <w:t>Process Evaluation</w:t>
      </w:r>
      <w:bookmarkEnd w:id="492"/>
    </w:p>
    <w:p w:rsidR="00EB039C" w:rsidRPr="00B75B77" w:rsidRDefault="00877C73" w:rsidP="00963027">
      <w:pPr>
        <w:keepNext/>
        <w:rPr>
          <w:color w:val="000000"/>
        </w:rPr>
      </w:pPr>
      <w:r w:rsidRPr="00B75B77">
        <w:rPr>
          <w:color w:val="000000"/>
        </w:rPr>
        <w:t>Navigant did not conduct</w:t>
      </w:r>
      <w:r w:rsidR="00EB039C" w:rsidRPr="00B75B77">
        <w:rPr>
          <w:color w:val="000000"/>
        </w:rPr>
        <w:t xml:space="preserve"> specific process evaluation activities for the SES program during PY7. Because </w:t>
      </w:r>
      <w:r w:rsidRPr="00B75B77">
        <w:rPr>
          <w:color w:val="000000"/>
        </w:rPr>
        <w:t xml:space="preserve">PECO targeted </w:t>
      </w:r>
      <w:r w:rsidR="002873F1" w:rsidRPr="00B75B77">
        <w:rPr>
          <w:color w:val="000000"/>
        </w:rPr>
        <w:t xml:space="preserve">discontinuing </w:t>
      </w:r>
      <w:r w:rsidR="00EB039C" w:rsidRPr="00B75B77">
        <w:rPr>
          <w:color w:val="000000"/>
        </w:rPr>
        <w:t xml:space="preserve">the SES program following PY7, it was determined that completing a full process evaluation was unnecessary for the PY7 evaluation because any resulting recommendations would not have time to be implemented. </w:t>
      </w:r>
      <w:r w:rsidR="002873F1" w:rsidRPr="00B75B77">
        <w:rPr>
          <w:color w:val="000000"/>
        </w:rPr>
        <w:t>The evaluation team completed p</w:t>
      </w:r>
      <w:r w:rsidR="00EB039C" w:rsidRPr="00B75B77">
        <w:rPr>
          <w:color w:val="000000"/>
        </w:rPr>
        <w:t xml:space="preserve">rocess evaluation activities for the SES program in PY5 and PY6. </w:t>
      </w:r>
    </w:p>
    <w:p w:rsidR="00EB039C" w:rsidRPr="00B75B77" w:rsidRDefault="00EB039C" w:rsidP="00963027">
      <w:pPr>
        <w:keepNext/>
        <w:rPr>
          <w:color w:val="000000"/>
        </w:rPr>
      </w:pPr>
    </w:p>
    <w:p w:rsidR="00EB039C" w:rsidRPr="00B75B77" w:rsidRDefault="00EB039C" w:rsidP="00811E5F">
      <w:pPr>
        <w:pStyle w:val="Heading3"/>
      </w:pPr>
      <w:bookmarkStart w:id="493" w:name="_Toc434597793"/>
      <w:bookmarkStart w:id="494" w:name="_Toc466413340"/>
      <w:r w:rsidRPr="00B75B77">
        <w:t>Process Findings and Recommendations</w:t>
      </w:r>
      <w:bookmarkEnd w:id="493"/>
      <w:bookmarkEnd w:id="494"/>
    </w:p>
    <w:p w:rsidR="00EB039C" w:rsidRPr="00B75B77" w:rsidRDefault="00EB039C" w:rsidP="00811E5F">
      <w:pPr>
        <w:keepNext/>
        <w:rPr>
          <w:color w:val="000000"/>
        </w:rPr>
      </w:pPr>
      <w:r w:rsidRPr="00B75B77">
        <w:rPr>
          <w:color w:val="000000"/>
        </w:rPr>
        <w:t>Despite no specific process evaluation, the evaluation team did develop some process recommendations based on the findings of the impact evaluation</w:t>
      </w:r>
      <w:r w:rsidR="003B6D5D" w:rsidRPr="00B75B77">
        <w:rPr>
          <w:color w:val="000000"/>
        </w:rPr>
        <w:t>, which are discussed below</w:t>
      </w:r>
      <w:r w:rsidRPr="00B75B77">
        <w:rPr>
          <w:color w:val="000000"/>
        </w:rPr>
        <w:t>.</w:t>
      </w:r>
    </w:p>
    <w:p w:rsidR="00EB039C" w:rsidRPr="00B75B77" w:rsidRDefault="00EB039C" w:rsidP="00811E5F">
      <w:pPr>
        <w:keepNext/>
        <w:rPr>
          <w:color w:val="000000"/>
        </w:rPr>
      </w:pPr>
    </w:p>
    <w:p w:rsidR="00F97F31" w:rsidRPr="00B75B77" w:rsidRDefault="00EB039C" w:rsidP="00153ECC">
      <w:pPr>
        <w:pStyle w:val="ListParagraph"/>
        <w:numPr>
          <w:ilvl w:val="0"/>
          <w:numId w:val="22"/>
        </w:numPr>
        <w:spacing w:after="120"/>
        <w:ind w:left="720" w:hanging="360"/>
        <w:contextualSpacing w:val="0"/>
        <w:jc w:val="left"/>
      </w:pPr>
      <w:r w:rsidRPr="00B75B77">
        <w:rPr>
          <w:b/>
        </w:rPr>
        <w:t xml:space="preserve">Finding: </w:t>
      </w:r>
      <w:r w:rsidRPr="00B75B77">
        <w:t>The nightlight measure resulted in minimal energy savings because the baseline conditions verified through the student installation survey</w:t>
      </w:r>
      <w:r w:rsidR="003B6D5D" w:rsidRPr="00B75B77">
        <w:t>s</w:t>
      </w:r>
      <w:r w:rsidRPr="00B75B77">
        <w:t xml:space="preserve"> indicated that in approximately two-thirds of cases the kit nightlights </w:t>
      </w:r>
      <w:r w:rsidR="003B6D5D" w:rsidRPr="00B75B77">
        <w:t>we</w:t>
      </w:r>
      <w:r w:rsidRPr="00B75B77">
        <w:t xml:space="preserve">re not </w:t>
      </w:r>
      <w:r w:rsidR="001B12D6" w:rsidRPr="00B75B77">
        <w:t>replacing existing nightlights, which are</w:t>
      </w:r>
      <w:r w:rsidRPr="00B75B77">
        <w:t xml:space="preserve"> an assumption of the </w:t>
      </w:r>
      <w:proofErr w:type="gramStart"/>
      <w:r w:rsidRPr="00B75B77">
        <w:t>TRM</w:t>
      </w:r>
      <w:proofErr w:type="gramEnd"/>
      <w:r w:rsidRPr="00B75B77">
        <w:t xml:space="preserve"> applied savings. Overall</w:t>
      </w:r>
      <w:r w:rsidR="003B6D5D" w:rsidRPr="00B75B77">
        <w:t>,</w:t>
      </w:r>
      <w:r w:rsidRPr="00B75B77">
        <w:t xml:space="preserve"> the nightlight measure had a</w:t>
      </w:r>
      <w:r w:rsidR="003B6D5D" w:rsidRPr="00B75B77">
        <w:t>n energy</w:t>
      </w:r>
      <w:r w:rsidRPr="00B75B77">
        <w:t xml:space="preserve"> realization rate of 56</w:t>
      </w:r>
      <w:r w:rsidR="0009500C" w:rsidRPr="00B75B77">
        <w:t>%</w:t>
      </w:r>
      <w:r w:rsidRPr="00B75B77">
        <w:t xml:space="preserve">and only minimally increased the energy savings of the program as a whole. </w:t>
      </w:r>
    </w:p>
    <w:p w:rsidR="00EB039C" w:rsidRPr="00B75B77" w:rsidRDefault="00EB039C" w:rsidP="00153ECC">
      <w:pPr>
        <w:pStyle w:val="ListParagraph"/>
        <w:numPr>
          <w:ilvl w:val="1"/>
          <w:numId w:val="22"/>
        </w:numPr>
        <w:spacing w:after="120"/>
        <w:ind w:left="1440" w:hanging="360"/>
        <w:contextualSpacing w:val="0"/>
        <w:jc w:val="left"/>
      </w:pPr>
      <w:r w:rsidRPr="00B75B77">
        <w:rPr>
          <w:b/>
        </w:rPr>
        <w:t xml:space="preserve">Recommendation: </w:t>
      </w:r>
      <w:r w:rsidRPr="00B75B77">
        <w:t>PECO should consider whether or not offering nightlights as an energy</w:t>
      </w:r>
      <w:r w:rsidR="003B6D5D" w:rsidRPr="00B75B77">
        <w:t>-</w:t>
      </w:r>
      <w:r w:rsidRPr="00B75B77">
        <w:t>saving device for non-</w:t>
      </w:r>
      <w:r w:rsidR="003B6D5D" w:rsidRPr="00B75B77">
        <w:t>DI</w:t>
      </w:r>
      <w:r w:rsidRPr="00B75B77">
        <w:t xml:space="preserve"> programs is appropriate for the portfol</w:t>
      </w:r>
      <w:r w:rsidR="003B6D5D" w:rsidRPr="00B75B77">
        <w:t>io.</w:t>
      </w:r>
    </w:p>
    <w:p w:rsidR="00EB039C" w:rsidRPr="00B75B77" w:rsidRDefault="00EB039C" w:rsidP="00153ECC">
      <w:pPr>
        <w:pStyle w:val="ListParagraph"/>
        <w:numPr>
          <w:ilvl w:val="0"/>
          <w:numId w:val="22"/>
        </w:numPr>
        <w:spacing w:after="120"/>
        <w:ind w:left="720" w:hanging="360"/>
        <w:contextualSpacing w:val="0"/>
        <w:jc w:val="left"/>
      </w:pPr>
      <w:r w:rsidRPr="00B75B77">
        <w:rPr>
          <w:b/>
        </w:rPr>
        <w:t>Finding:</w:t>
      </w:r>
      <w:r w:rsidRPr="00B75B77">
        <w:t xml:space="preserve"> The teacher survey responses indicated that the SES program implementation deviates from the program plan, </w:t>
      </w:r>
      <w:r w:rsidR="0065097E" w:rsidRPr="00B75B77">
        <w:t xml:space="preserve">as </w:t>
      </w:r>
      <w:r w:rsidRPr="00B75B77">
        <w:t xml:space="preserve">more than half of student installation surveys </w:t>
      </w:r>
      <w:r w:rsidR="0065097E" w:rsidRPr="00B75B77">
        <w:t xml:space="preserve">are </w:t>
      </w:r>
      <w:r w:rsidRPr="00B75B77">
        <w:t xml:space="preserve">filled out in the classroom rather than at home and not all unused kits </w:t>
      </w:r>
      <w:r w:rsidR="0065097E" w:rsidRPr="00B75B77">
        <w:t xml:space="preserve">make </w:t>
      </w:r>
      <w:r w:rsidRPr="00B75B77">
        <w:t xml:space="preserve">it back to the program. Additionally, student installation survey return rates have continued to decrease over </w:t>
      </w:r>
      <w:r w:rsidR="0065097E" w:rsidRPr="00B75B77">
        <w:t xml:space="preserve">the course of </w:t>
      </w:r>
      <w:r w:rsidRPr="00B75B77">
        <w:t xml:space="preserve">Phase II despite the opposite expectation from the </w:t>
      </w:r>
      <w:r w:rsidR="0065097E" w:rsidRPr="00B75B77">
        <w:t xml:space="preserve">CSP </w:t>
      </w:r>
      <w:r w:rsidRPr="00B75B77">
        <w:t xml:space="preserve">and </w:t>
      </w:r>
      <w:r w:rsidR="00704F81" w:rsidRPr="00B75B77">
        <w:t xml:space="preserve">program </w:t>
      </w:r>
      <w:r w:rsidRPr="00B75B77">
        <w:t xml:space="preserve">efforts to increase </w:t>
      </w:r>
      <w:r w:rsidRPr="00B75B77">
        <w:lastRenderedPageBreak/>
        <w:t xml:space="preserve">participation. While these findings point to deviations in program implementation, they did not result in changes to the program savings </w:t>
      </w:r>
      <w:r w:rsidR="0065097E" w:rsidRPr="00B75B77">
        <w:t>in</w:t>
      </w:r>
      <w:r w:rsidRPr="00B75B77">
        <w:t xml:space="preserve"> Navigant’s PY7 evaluation. However, there are situations where deviations in program implementation could have a significant effect on verified program savings.</w:t>
      </w:r>
    </w:p>
    <w:p w:rsidR="00EB039C" w:rsidRPr="00B75B77" w:rsidRDefault="00EB039C" w:rsidP="00153ECC">
      <w:pPr>
        <w:pStyle w:val="ListParagraph"/>
        <w:numPr>
          <w:ilvl w:val="1"/>
          <w:numId w:val="22"/>
        </w:numPr>
        <w:spacing w:after="120"/>
        <w:ind w:left="1440" w:hanging="360"/>
        <w:contextualSpacing w:val="0"/>
        <w:jc w:val="left"/>
      </w:pPr>
      <w:r w:rsidRPr="00B75B77">
        <w:rPr>
          <w:b/>
        </w:rPr>
        <w:t>Recommendation:</w:t>
      </w:r>
      <w:r w:rsidRPr="00B75B77">
        <w:t xml:space="preserve"> If program implementation deviates from program design, PECO should review the design assumptions to ensure that the program plan and corresponding program expectations are achievable. PECO may decide to update either the design assumptions or program implementation to meet expectations or align </w:t>
      </w:r>
      <w:r w:rsidR="008841E5" w:rsidRPr="00B75B77">
        <w:t xml:space="preserve">the program </w:t>
      </w:r>
      <w:r w:rsidRPr="00B75B77">
        <w:t>with the original design intent.</w:t>
      </w:r>
    </w:p>
    <w:p w:rsidR="00EB039C" w:rsidRPr="00B75B77" w:rsidRDefault="00EB039C" w:rsidP="00811E5F"/>
    <w:p w:rsidR="00EB039C" w:rsidRPr="00B75B77" w:rsidRDefault="00EB039C" w:rsidP="00811E5F">
      <w:pPr>
        <w:pStyle w:val="Heading2"/>
      </w:pPr>
      <w:bookmarkStart w:id="495" w:name="_Toc466413341"/>
      <w:r w:rsidRPr="00B75B77">
        <w:t>Status of Recommendations for Program</w:t>
      </w:r>
      <w:bookmarkEnd w:id="495"/>
    </w:p>
    <w:p w:rsidR="00EB039C" w:rsidRPr="00B75B77" w:rsidRDefault="00EB039C" w:rsidP="00811E5F">
      <w:r w:rsidRPr="00B75B77">
        <w:t xml:space="preserve">Because </w:t>
      </w:r>
      <w:r w:rsidR="008841E5" w:rsidRPr="00B75B77">
        <w:t xml:space="preserve">PECO plans to discontinue </w:t>
      </w:r>
      <w:r w:rsidRPr="00B75B77">
        <w:t>the SES program at the end of Phase II, the PY7 SES program recommendations do not relate to specific program changes for the SES program</w:t>
      </w:r>
      <w:r w:rsidR="008841E5" w:rsidRPr="00B75B77">
        <w:t>;</w:t>
      </w:r>
      <w:r w:rsidRPr="00B75B77">
        <w:t xml:space="preserve"> rather </w:t>
      </w:r>
      <w:r w:rsidR="008841E5" w:rsidRPr="00B75B77">
        <w:t xml:space="preserve">they </w:t>
      </w:r>
      <w:r w:rsidRPr="00B75B77">
        <w:t>include broad recommendations that may be applicable to other PECO programs or the portfolio as a whole. The recommendations as a result of the PY7 evaluation</w:t>
      </w:r>
      <w:r w:rsidR="008841E5" w:rsidRPr="00B75B77">
        <w:t>, along with PECO’s status for each recommendation,</w:t>
      </w:r>
      <w:r w:rsidRPr="00B75B77">
        <w:t xml:space="preserve"> are listed in </w:t>
      </w:r>
      <w:r w:rsidR="009070DC" w:rsidRPr="00B75B77">
        <w:fldChar w:fldCharType="begin"/>
      </w:r>
      <w:r w:rsidR="009070DC" w:rsidRPr="00B75B77">
        <w:instrText xml:space="preserve"> REF _Ref461551402 \h </w:instrText>
      </w:r>
      <w:r w:rsidR="00B75B77">
        <w:instrText xml:space="preserve"> \* MERGEFORMAT </w:instrText>
      </w:r>
      <w:r w:rsidR="009070DC" w:rsidRPr="00B75B77">
        <w:fldChar w:fldCharType="separate"/>
      </w:r>
      <w:r w:rsidR="0004016D" w:rsidRPr="00B75B77">
        <w:t xml:space="preserve">Table </w:t>
      </w:r>
      <w:r w:rsidR="0004016D">
        <w:rPr>
          <w:noProof/>
        </w:rPr>
        <w:t>6</w:t>
      </w:r>
      <w:r w:rsidR="0004016D" w:rsidRPr="00B75B77">
        <w:rPr>
          <w:noProof/>
        </w:rPr>
        <w:noBreakHyphen/>
      </w:r>
      <w:r w:rsidR="0004016D">
        <w:rPr>
          <w:noProof/>
        </w:rPr>
        <w:t>5</w:t>
      </w:r>
      <w:r w:rsidR="009070DC" w:rsidRPr="00B75B77">
        <w:fldChar w:fldCharType="end"/>
      </w:r>
      <w:r w:rsidR="002E49B3" w:rsidRPr="00B75B77">
        <w:t xml:space="preserve">. </w:t>
      </w:r>
    </w:p>
    <w:p w:rsidR="00EB039C" w:rsidRPr="00B75B77" w:rsidRDefault="00EB039C" w:rsidP="0004543D"/>
    <w:p w:rsidR="00EB039C" w:rsidRPr="00B75B77" w:rsidRDefault="00EB039C" w:rsidP="009070DC">
      <w:pPr>
        <w:pStyle w:val="Caption"/>
      </w:pPr>
      <w:bookmarkStart w:id="496" w:name="_Ref461551402"/>
      <w:bookmarkStart w:id="497" w:name="_Toc466413553"/>
      <w:r w:rsidRPr="00B75B77">
        <w:t xml:space="preserve">Table </w:t>
      </w:r>
      <w:fldSimple w:instr=" STYLEREF 1 \s ">
        <w:r w:rsidR="0004016D">
          <w:rPr>
            <w:noProof/>
          </w:rPr>
          <w:t>6</w:t>
        </w:r>
      </w:fldSimple>
      <w:r w:rsidR="00F1144C" w:rsidRPr="00B75B77">
        <w:noBreakHyphen/>
      </w:r>
      <w:fldSimple w:instr=" SEQ Table \* ARABIC \s 1 ">
        <w:r w:rsidR="0004016D">
          <w:rPr>
            <w:noProof/>
          </w:rPr>
          <w:t>5</w:t>
        </w:r>
      </w:fldSimple>
      <w:bookmarkEnd w:id="496"/>
      <w:r w:rsidRPr="00B75B77">
        <w:t>: Smart Energy Saver Status Report on Process and Impact Recommendations</w:t>
      </w:r>
      <w:bookmarkEnd w:id="497"/>
      <w:r w:rsidRPr="00B75B77">
        <w:t xml:space="preserve"> </w:t>
      </w:r>
    </w:p>
    <w:tbl>
      <w:tblPr>
        <w:tblW w:w="9355" w:type="dxa"/>
        <w:tblLook w:val="04A0" w:firstRow="1" w:lastRow="0" w:firstColumn="1" w:lastColumn="0" w:noHBand="0" w:noVBand="1"/>
      </w:tblPr>
      <w:tblGrid>
        <w:gridCol w:w="4400"/>
        <w:gridCol w:w="4955"/>
      </w:tblGrid>
      <w:tr w:rsidR="00EB039C" w:rsidRPr="00B75B77" w:rsidTr="00811E5F">
        <w:trPr>
          <w:divId w:val="308747935"/>
          <w:trHeight w:val="612"/>
        </w:trPr>
        <w:tc>
          <w:tcPr>
            <w:tcW w:w="4400" w:type="dxa"/>
            <w:tcBorders>
              <w:top w:val="single" w:sz="4" w:space="0" w:color="auto"/>
              <w:left w:val="single" w:sz="4" w:space="0" w:color="auto"/>
              <w:bottom w:val="single" w:sz="4" w:space="0" w:color="auto"/>
              <w:right w:val="single" w:sz="4" w:space="0" w:color="auto"/>
            </w:tcBorders>
            <w:shd w:val="clear" w:color="000000" w:fill="448A99"/>
            <w:vAlign w:val="center"/>
            <w:hideMark/>
          </w:tcPr>
          <w:p w:rsidR="00EB039C" w:rsidRPr="00B75B77" w:rsidRDefault="00EB039C" w:rsidP="008841E5">
            <w:pPr>
              <w:keepNext/>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Recommendations</w:t>
            </w:r>
          </w:p>
        </w:tc>
        <w:tc>
          <w:tcPr>
            <w:tcW w:w="4955" w:type="dxa"/>
            <w:tcBorders>
              <w:top w:val="single" w:sz="4" w:space="0" w:color="auto"/>
              <w:left w:val="nil"/>
              <w:bottom w:val="single" w:sz="4" w:space="0" w:color="auto"/>
              <w:right w:val="single" w:sz="4" w:space="0" w:color="auto"/>
            </w:tcBorders>
            <w:shd w:val="clear" w:color="000000" w:fill="448A99"/>
            <w:vAlign w:val="center"/>
            <w:hideMark/>
          </w:tcPr>
          <w:p w:rsidR="00EB039C" w:rsidRPr="00B75B77" w:rsidRDefault="00EB039C" w:rsidP="008841E5">
            <w:pPr>
              <w:keepNext/>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EDC Status of Recommendations (Implemented, Being Considered, Rejected AND Explanation of Action Taken by EDC)</w:t>
            </w:r>
          </w:p>
        </w:tc>
      </w:tr>
      <w:tr w:rsidR="00EB039C" w:rsidRPr="00B75B77" w:rsidTr="001377CC">
        <w:trPr>
          <w:divId w:val="308747935"/>
          <w:trHeight w:val="917"/>
        </w:trPr>
        <w:tc>
          <w:tcPr>
            <w:tcW w:w="4400" w:type="dxa"/>
            <w:tcBorders>
              <w:top w:val="nil"/>
              <w:left w:val="single" w:sz="4" w:space="0" w:color="448A99"/>
              <w:bottom w:val="single" w:sz="4" w:space="0" w:color="448A99"/>
              <w:right w:val="single" w:sz="4" w:space="0" w:color="448A99"/>
            </w:tcBorders>
            <w:shd w:val="clear" w:color="000000" w:fill="D2EAF1"/>
            <w:hideMark/>
          </w:tcPr>
          <w:p w:rsidR="00EB039C" w:rsidRPr="00B75B77" w:rsidRDefault="00EB039C" w:rsidP="003B6D5D">
            <w:pPr>
              <w:keepNext/>
              <w:jc w:val="left"/>
              <w:rPr>
                <w:rFonts w:ascii="Calibri" w:eastAsia="Times New Roman" w:hAnsi="Calibri"/>
                <w:bCs/>
                <w:color w:val="000000"/>
                <w:sz w:val="18"/>
                <w:szCs w:val="18"/>
              </w:rPr>
            </w:pPr>
            <w:r w:rsidRPr="00B75B77">
              <w:rPr>
                <w:rFonts w:ascii="Calibri" w:eastAsia="Times New Roman" w:hAnsi="Calibri"/>
                <w:b/>
                <w:bCs/>
                <w:color w:val="000000"/>
                <w:sz w:val="18"/>
                <w:szCs w:val="18"/>
              </w:rPr>
              <w:t xml:space="preserve">Recommendation 1: </w:t>
            </w:r>
            <w:r w:rsidRPr="00B75B77">
              <w:rPr>
                <w:rFonts w:ascii="Calibri" w:eastAsia="Times New Roman" w:hAnsi="Calibri"/>
                <w:bCs/>
                <w:color w:val="000000"/>
                <w:sz w:val="18"/>
                <w:szCs w:val="18"/>
              </w:rPr>
              <w:t>PECO should consider whether or not offering nightlights as an energy</w:t>
            </w:r>
            <w:r w:rsidR="003B6D5D" w:rsidRPr="00B75B77">
              <w:rPr>
                <w:rFonts w:ascii="Calibri" w:eastAsia="Times New Roman" w:hAnsi="Calibri"/>
                <w:bCs/>
                <w:color w:val="000000"/>
                <w:sz w:val="18"/>
                <w:szCs w:val="18"/>
              </w:rPr>
              <w:t>-</w:t>
            </w:r>
            <w:r w:rsidRPr="00B75B77">
              <w:rPr>
                <w:rFonts w:ascii="Calibri" w:eastAsia="Times New Roman" w:hAnsi="Calibri"/>
                <w:bCs/>
                <w:color w:val="000000"/>
                <w:sz w:val="18"/>
                <w:szCs w:val="18"/>
              </w:rPr>
              <w:t>saving device for non-</w:t>
            </w:r>
            <w:r w:rsidR="003B6D5D" w:rsidRPr="00B75B77">
              <w:rPr>
                <w:rFonts w:ascii="Calibri" w:eastAsia="Times New Roman" w:hAnsi="Calibri"/>
                <w:bCs/>
                <w:color w:val="000000"/>
                <w:sz w:val="18"/>
                <w:szCs w:val="18"/>
              </w:rPr>
              <w:t>DI</w:t>
            </w:r>
            <w:r w:rsidRPr="00B75B77">
              <w:rPr>
                <w:rFonts w:ascii="Calibri" w:eastAsia="Times New Roman" w:hAnsi="Calibri"/>
                <w:bCs/>
                <w:color w:val="000000"/>
                <w:sz w:val="18"/>
                <w:szCs w:val="18"/>
              </w:rPr>
              <w:t xml:space="preserve"> programs is appropriate for the portfolio.</w:t>
            </w:r>
          </w:p>
        </w:tc>
        <w:tc>
          <w:tcPr>
            <w:tcW w:w="4955" w:type="dxa"/>
            <w:tcBorders>
              <w:top w:val="nil"/>
              <w:left w:val="nil"/>
              <w:bottom w:val="single" w:sz="4" w:space="0" w:color="448A99"/>
              <w:right w:val="single" w:sz="4" w:space="0" w:color="448A99"/>
            </w:tcBorders>
            <w:shd w:val="clear" w:color="000000" w:fill="D2EAF1"/>
            <w:hideMark/>
          </w:tcPr>
          <w:p w:rsidR="00EB039C" w:rsidRPr="00B75B77" w:rsidRDefault="0055143E" w:rsidP="0055143E">
            <w:pPr>
              <w:keepNext/>
              <w:jc w:val="left"/>
              <w:rPr>
                <w:rFonts w:ascii="Calibri" w:eastAsia="Times New Roman" w:hAnsi="Calibri"/>
                <w:color w:val="000000"/>
                <w:sz w:val="18"/>
                <w:szCs w:val="18"/>
              </w:rPr>
            </w:pPr>
            <w:r w:rsidRPr="00B75B77">
              <w:rPr>
                <w:rFonts w:ascii="Calibri" w:eastAsia="Times New Roman" w:hAnsi="Calibri"/>
                <w:b/>
                <w:color w:val="000000"/>
                <w:sz w:val="18"/>
                <w:szCs w:val="18"/>
              </w:rPr>
              <w:t>Being Considered:</w:t>
            </w:r>
            <w:r w:rsidRPr="00B75B77">
              <w:rPr>
                <w:rFonts w:ascii="Calibri" w:eastAsia="Times New Roman" w:hAnsi="Calibri"/>
                <w:color w:val="000000"/>
                <w:sz w:val="18"/>
                <w:szCs w:val="18"/>
              </w:rPr>
              <w:t xml:space="preserve"> PECO is considering if offering nightlights in non-DI programs/solutions makes sense in the next Phase.  </w:t>
            </w:r>
          </w:p>
        </w:tc>
      </w:tr>
      <w:tr w:rsidR="0055143E" w:rsidRPr="00B75B77" w:rsidTr="001377CC">
        <w:trPr>
          <w:divId w:val="308747935"/>
          <w:trHeight w:val="1691"/>
        </w:trPr>
        <w:tc>
          <w:tcPr>
            <w:tcW w:w="4400" w:type="dxa"/>
            <w:tcBorders>
              <w:top w:val="nil"/>
              <w:left w:val="single" w:sz="4" w:space="0" w:color="448A99"/>
              <w:bottom w:val="single" w:sz="4" w:space="0" w:color="448A99"/>
              <w:right w:val="single" w:sz="4" w:space="0" w:color="448A99"/>
            </w:tcBorders>
            <w:shd w:val="clear" w:color="auto" w:fill="auto"/>
            <w:hideMark/>
          </w:tcPr>
          <w:p w:rsidR="0055143E" w:rsidRPr="00B75B77" w:rsidRDefault="0055143E" w:rsidP="0055143E">
            <w:pPr>
              <w:keepNext/>
              <w:jc w:val="left"/>
              <w:rPr>
                <w:rFonts w:ascii="Calibri" w:eastAsia="Times New Roman" w:hAnsi="Calibri"/>
                <w:bCs/>
                <w:color w:val="000000"/>
                <w:sz w:val="18"/>
                <w:szCs w:val="18"/>
              </w:rPr>
            </w:pPr>
            <w:r w:rsidRPr="00B75B77">
              <w:rPr>
                <w:rFonts w:ascii="Calibri" w:eastAsia="Times New Roman" w:hAnsi="Calibri"/>
                <w:b/>
                <w:bCs/>
                <w:color w:val="000000"/>
                <w:sz w:val="18"/>
                <w:szCs w:val="18"/>
              </w:rPr>
              <w:t xml:space="preserve">Recommendation 2: </w:t>
            </w:r>
            <w:r w:rsidRPr="00B75B77">
              <w:rPr>
                <w:rFonts w:ascii="Calibri" w:eastAsia="Times New Roman" w:hAnsi="Calibri"/>
                <w:bCs/>
                <w:color w:val="000000"/>
                <w:sz w:val="18"/>
                <w:szCs w:val="18"/>
              </w:rPr>
              <w:t>If program implementation deviates from program design, PECO should review the design assumptions to ensure that the program plan and corresponding program expectations are achievable. PECO may decide to update either the design assumptions or program implementation to meet expectations or align the program with the original design intent.</w:t>
            </w:r>
          </w:p>
        </w:tc>
        <w:tc>
          <w:tcPr>
            <w:tcW w:w="4955" w:type="dxa"/>
            <w:tcBorders>
              <w:top w:val="single" w:sz="4" w:space="0" w:color="448A99"/>
              <w:left w:val="nil"/>
              <w:bottom w:val="single" w:sz="4" w:space="0" w:color="448A99"/>
              <w:right w:val="single" w:sz="4" w:space="0" w:color="448A99"/>
            </w:tcBorders>
            <w:shd w:val="clear" w:color="auto" w:fill="auto"/>
            <w:hideMark/>
          </w:tcPr>
          <w:p w:rsidR="0055143E" w:rsidRPr="00B75B77" w:rsidRDefault="0055143E" w:rsidP="0055143E">
            <w:pPr>
              <w:keepNext/>
              <w:jc w:val="left"/>
              <w:rPr>
                <w:rFonts w:ascii="Calibri" w:eastAsia="Times New Roman" w:hAnsi="Calibri"/>
                <w:color w:val="000000"/>
                <w:sz w:val="18"/>
                <w:szCs w:val="18"/>
              </w:rPr>
            </w:pPr>
            <w:r w:rsidRPr="00B75B77">
              <w:rPr>
                <w:rFonts w:ascii="Calibri" w:eastAsia="Times New Roman" w:hAnsi="Calibri"/>
                <w:b/>
                <w:color w:val="000000"/>
                <w:sz w:val="18"/>
                <w:szCs w:val="18"/>
              </w:rPr>
              <w:t xml:space="preserve">Not Applicable: </w:t>
            </w:r>
            <w:r w:rsidRPr="00B75B77">
              <w:rPr>
                <w:rFonts w:ascii="Calibri" w:eastAsia="Times New Roman" w:hAnsi="Calibri"/>
                <w:color w:val="000000"/>
                <w:sz w:val="18"/>
                <w:szCs w:val="18"/>
              </w:rPr>
              <w:t>This program was morphed into another solution for the low-income and multifamily customer segments, and will be tracked according to the design assumptions to meet desired outcome.</w:t>
            </w:r>
          </w:p>
        </w:tc>
      </w:tr>
    </w:tbl>
    <w:p w:rsidR="00EB039C" w:rsidRPr="00B75B77" w:rsidRDefault="00EB039C" w:rsidP="009070DC">
      <w:pPr>
        <w:pStyle w:val="Source"/>
        <w:keepNext/>
      </w:pPr>
      <w:r w:rsidRPr="00B75B77">
        <w:t>Source: Navigant analysis</w:t>
      </w:r>
    </w:p>
    <w:p w:rsidR="00EB039C" w:rsidRPr="00B75B77" w:rsidRDefault="00EB039C" w:rsidP="00D12857">
      <w:pPr>
        <w:pStyle w:val="Heading2"/>
      </w:pPr>
      <w:bookmarkStart w:id="498" w:name="_Toc466413342"/>
      <w:r w:rsidRPr="00B75B77">
        <w:t>Financial Reporting</w:t>
      </w:r>
      <w:bookmarkEnd w:id="498"/>
    </w:p>
    <w:p w:rsidR="00EB039C" w:rsidRPr="00B75B77" w:rsidRDefault="00EB039C" w:rsidP="00286B52">
      <w:pPr>
        <w:keepNext/>
      </w:pPr>
      <w:r w:rsidRPr="00B75B77">
        <w:t xml:space="preserve">As </w:t>
      </w:r>
      <w:r w:rsidR="009070DC" w:rsidRPr="00B75B77">
        <w:fldChar w:fldCharType="begin"/>
      </w:r>
      <w:r w:rsidR="009070DC" w:rsidRPr="00B75B77">
        <w:instrText xml:space="preserve"> REF _Ref463274385 \h </w:instrText>
      </w:r>
      <w:r w:rsidR="00B75B77">
        <w:instrText xml:space="preserve"> \* MERGEFORMAT </w:instrText>
      </w:r>
      <w:r w:rsidR="009070DC" w:rsidRPr="00B75B77">
        <w:fldChar w:fldCharType="separate"/>
      </w:r>
      <w:r w:rsidR="0004016D" w:rsidRPr="00B75B77">
        <w:t xml:space="preserve">Table </w:t>
      </w:r>
      <w:r w:rsidR="0004016D">
        <w:rPr>
          <w:noProof/>
        </w:rPr>
        <w:t>6</w:t>
      </w:r>
      <w:r w:rsidR="0004016D" w:rsidRPr="00B75B77">
        <w:rPr>
          <w:noProof/>
        </w:rPr>
        <w:noBreakHyphen/>
      </w:r>
      <w:r w:rsidR="0004016D">
        <w:rPr>
          <w:noProof/>
        </w:rPr>
        <w:t>6</w:t>
      </w:r>
      <w:r w:rsidR="009070DC" w:rsidRPr="00B75B77">
        <w:fldChar w:fldCharType="end"/>
      </w:r>
      <w:r w:rsidRPr="00B75B77">
        <w:t xml:space="preserve"> demonstrates, the SES program continued to be cost-effective in PY7 and for Phase II as a whole, with a TRC ratio of 3.</w:t>
      </w:r>
      <w:r w:rsidR="009D186E" w:rsidRPr="00B75B77">
        <w:t>94</w:t>
      </w:r>
      <w:r w:rsidRPr="00B75B77">
        <w:t xml:space="preserve"> and 3.</w:t>
      </w:r>
      <w:r w:rsidR="009D186E" w:rsidRPr="00B75B77">
        <w:t>94</w:t>
      </w:r>
      <w:r w:rsidR="008841E5" w:rsidRPr="00B75B77">
        <w:t>, respectively</w:t>
      </w:r>
      <w:r w:rsidRPr="00B75B77">
        <w:t xml:space="preserve">. </w:t>
      </w:r>
    </w:p>
    <w:p w:rsidR="00EB039C" w:rsidRPr="00B75B77" w:rsidRDefault="00EB039C" w:rsidP="003402AA">
      <w:pPr>
        <w:jc w:val="center"/>
      </w:pPr>
    </w:p>
    <w:p w:rsidR="00EB039C" w:rsidRPr="00B75B77" w:rsidRDefault="00EB039C" w:rsidP="009070DC">
      <w:pPr>
        <w:pStyle w:val="Caption"/>
      </w:pPr>
      <w:bookmarkStart w:id="499" w:name="_Ref463274385"/>
      <w:bookmarkStart w:id="500" w:name="_Toc466413554"/>
      <w:r w:rsidRPr="00B75B77">
        <w:lastRenderedPageBreak/>
        <w:t xml:space="preserve">Table </w:t>
      </w:r>
      <w:fldSimple w:instr=" STYLEREF 1 \s ">
        <w:r w:rsidR="0004016D">
          <w:rPr>
            <w:noProof/>
          </w:rPr>
          <w:t>6</w:t>
        </w:r>
      </w:fldSimple>
      <w:r w:rsidR="00F1144C" w:rsidRPr="00B75B77">
        <w:noBreakHyphen/>
      </w:r>
      <w:fldSimple w:instr=" SEQ Table \* ARABIC \s 1 ">
        <w:r w:rsidR="0004016D">
          <w:rPr>
            <w:noProof/>
          </w:rPr>
          <w:t>6</w:t>
        </w:r>
      </w:fldSimple>
      <w:bookmarkEnd w:id="499"/>
      <w:r w:rsidRPr="00B75B77">
        <w:t>: Summary of Smart Energy Saver Program Finances</w:t>
      </w:r>
      <w:bookmarkEnd w:id="500"/>
    </w:p>
    <w:tbl>
      <w:tblPr>
        <w:tblW w:w="9450" w:type="dxa"/>
        <w:tblInd w:w="85" w:type="dxa"/>
        <w:tblLook w:val="04A0" w:firstRow="1" w:lastRow="0" w:firstColumn="1" w:lastColumn="0" w:noHBand="0" w:noVBand="1"/>
      </w:tblPr>
      <w:tblGrid>
        <w:gridCol w:w="900"/>
        <w:gridCol w:w="5565"/>
        <w:gridCol w:w="1365"/>
        <w:gridCol w:w="1620"/>
      </w:tblGrid>
      <w:tr w:rsidR="00EB039C" w:rsidRPr="00B75B77" w:rsidTr="00811E5F">
        <w:trPr>
          <w:divId w:val="746154423"/>
          <w:trHeight w:val="480"/>
        </w:trPr>
        <w:tc>
          <w:tcPr>
            <w:tcW w:w="900" w:type="dxa"/>
            <w:vMerge w:val="restart"/>
            <w:tcBorders>
              <w:top w:val="single" w:sz="4" w:space="0" w:color="auto"/>
              <w:left w:val="single" w:sz="4" w:space="0" w:color="auto"/>
              <w:bottom w:val="single" w:sz="4" w:space="0" w:color="auto"/>
              <w:right w:val="single" w:sz="4" w:space="0" w:color="auto"/>
            </w:tcBorders>
            <w:shd w:val="clear" w:color="000000" w:fill="448A99"/>
            <w:noWrap/>
            <w:vAlign w:val="center"/>
            <w:hideMark/>
          </w:tcPr>
          <w:p w:rsidR="00EB039C" w:rsidRPr="00B75B77" w:rsidRDefault="00EB039C" w:rsidP="009070DC">
            <w:pPr>
              <w:keepNext/>
              <w:jc w:val="center"/>
              <w:rPr>
                <w:rFonts w:eastAsia="Times New Roman"/>
                <w:b/>
                <w:bCs/>
                <w:color w:val="FFFFFF"/>
                <w:sz w:val="18"/>
                <w:szCs w:val="18"/>
              </w:rPr>
            </w:pPr>
            <w:r w:rsidRPr="00B75B77">
              <w:rPr>
                <w:rFonts w:eastAsia="Times New Roman"/>
                <w:b/>
                <w:bCs/>
                <w:color w:val="FFFFFF"/>
                <w:sz w:val="18"/>
                <w:szCs w:val="18"/>
              </w:rPr>
              <w:t>Row #</w:t>
            </w:r>
          </w:p>
        </w:tc>
        <w:tc>
          <w:tcPr>
            <w:tcW w:w="5565" w:type="dxa"/>
            <w:vMerge w:val="restart"/>
            <w:tcBorders>
              <w:top w:val="single" w:sz="4" w:space="0" w:color="auto"/>
              <w:left w:val="single" w:sz="4" w:space="0" w:color="auto"/>
              <w:bottom w:val="single" w:sz="4" w:space="0" w:color="auto"/>
              <w:right w:val="single" w:sz="4" w:space="0" w:color="auto"/>
            </w:tcBorders>
            <w:shd w:val="clear" w:color="000000" w:fill="448A99"/>
            <w:noWrap/>
            <w:vAlign w:val="center"/>
            <w:hideMark/>
          </w:tcPr>
          <w:p w:rsidR="00EB039C" w:rsidRPr="00B75B77" w:rsidRDefault="00EB039C" w:rsidP="009070DC">
            <w:pPr>
              <w:keepNext/>
              <w:jc w:val="left"/>
              <w:rPr>
                <w:rFonts w:eastAsia="Times New Roman"/>
                <w:b/>
                <w:bCs/>
                <w:color w:val="FFFFFF"/>
                <w:sz w:val="18"/>
                <w:szCs w:val="18"/>
              </w:rPr>
            </w:pPr>
            <w:r w:rsidRPr="00B75B77">
              <w:rPr>
                <w:rFonts w:eastAsia="Times New Roman"/>
                <w:b/>
                <w:bCs/>
                <w:color w:val="FFFFFF"/>
                <w:sz w:val="18"/>
                <w:szCs w:val="18"/>
              </w:rPr>
              <w:t xml:space="preserve">Cost Category </w:t>
            </w:r>
          </w:p>
        </w:tc>
        <w:tc>
          <w:tcPr>
            <w:tcW w:w="1365" w:type="dxa"/>
            <w:tcBorders>
              <w:top w:val="single" w:sz="4" w:space="0" w:color="auto"/>
              <w:left w:val="nil"/>
              <w:bottom w:val="single" w:sz="4" w:space="0" w:color="auto"/>
              <w:right w:val="single" w:sz="4" w:space="0" w:color="auto"/>
            </w:tcBorders>
            <w:shd w:val="clear" w:color="000000" w:fill="448A99"/>
            <w:vAlign w:val="center"/>
            <w:hideMark/>
          </w:tcPr>
          <w:p w:rsidR="00EB039C" w:rsidRPr="00B75B77" w:rsidRDefault="00EB039C" w:rsidP="008841E5">
            <w:pPr>
              <w:keepNext/>
              <w:jc w:val="right"/>
              <w:rPr>
                <w:rFonts w:eastAsia="Times New Roman"/>
                <w:b/>
                <w:bCs/>
                <w:color w:val="FFFFFF"/>
                <w:sz w:val="18"/>
                <w:szCs w:val="18"/>
              </w:rPr>
            </w:pPr>
            <w:r w:rsidRPr="00B75B77">
              <w:rPr>
                <w:rFonts w:eastAsia="Times New Roman"/>
                <w:b/>
                <w:bCs/>
                <w:color w:val="FFFFFF"/>
                <w:sz w:val="18"/>
                <w:szCs w:val="18"/>
              </w:rPr>
              <w:t>Actual PY7 Costs</w:t>
            </w:r>
          </w:p>
        </w:tc>
        <w:tc>
          <w:tcPr>
            <w:tcW w:w="1620" w:type="dxa"/>
            <w:tcBorders>
              <w:top w:val="single" w:sz="4" w:space="0" w:color="auto"/>
              <w:left w:val="nil"/>
              <w:bottom w:val="single" w:sz="4" w:space="0" w:color="auto"/>
              <w:right w:val="single" w:sz="4" w:space="0" w:color="auto"/>
            </w:tcBorders>
            <w:shd w:val="clear" w:color="000000" w:fill="448A99"/>
            <w:vAlign w:val="center"/>
            <w:hideMark/>
          </w:tcPr>
          <w:p w:rsidR="00EB039C" w:rsidRPr="00B75B77" w:rsidRDefault="00EB039C" w:rsidP="008841E5">
            <w:pPr>
              <w:keepNext/>
              <w:jc w:val="right"/>
              <w:rPr>
                <w:rFonts w:eastAsia="Times New Roman"/>
                <w:b/>
                <w:bCs/>
                <w:color w:val="FFFFFF"/>
                <w:sz w:val="18"/>
                <w:szCs w:val="18"/>
              </w:rPr>
            </w:pPr>
            <w:r w:rsidRPr="00B75B77">
              <w:rPr>
                <w:rFonts w:eastAsia="Times New Roman"/>
                <w:b/>
                <w:bCs/>
                <w:color w:val="FFFFFF"/>
                <w:sz w:val="18"/>
                <w:szCs w:val="18"/>
              </w:rPr>
              <w:t>Actual Phase II Costs</w:t>
            </w:r>
          </w:p>
        </w:tc>
      </w:tr>
      <w:tr w:rsidR="00EB039C" w:rsidRPr="00B75B77" w:rsidTr="008841E5">
        <w:trPr>
          <w:divId w:val="746154423"/>
          <w:trHeight w:val="288"/>
        </w:trPr>
        <w:tc>
          <w:tcPr>
            <w:tcW w:w="900" w:type="dxa"/>
            <w:vMerge/>
            <w:tcBorders>
              <w:top w:val="single" w:sz="4" w:space="0" w:color="auto"/>
              <w:left w:val="single" w:sz="4" w:space="0" w:color="auto"/>
              <w:bottom w:val="single" w:sz="4" w:space="0" w:color="auto"/>
              <w:right w:val="single" w:sz="4" w:space="0" w:color="auto"/>
            </w:tcBorders>
            <w:vAlign w:val="center"/>
            <w:hideMark/>
          </w:tcPr>
          <w:p w:rsidR="00EB039C" w:rsidRPr="00B75B77" w:rsidRDefault="00EB039C" w:rsidP="009070DC">
            <w:pPr>
              <w:keepNext/>
              <w:jc w:val="left"/>
              <w:rPr>
                <w:rFonts w:eastAsia="Times New Roman"/>
                <w:b/>
                <w:bCs/>
                <w:color w:val="FFFFFF"/>
                <w:sz w:val="18"/>
                <w:szCs w:val="18"/>
              </w:rPr>
            </w:pPr>
          </w:p>
        </w:tc>
        <w:tc>
          <w:tcPr>
            <w:tcW w:w="5565" w:type="dxa"/>
            <w:vMerge/>
            <w:tcBorders>
              <w:top w:val="single" w:sz="4" w:space="0" w:color="auto"/>
              <w:left w:val="single" w:sz="4" w:space="0" w:color="auto"/>
              <w:bottom w:val="single" w:sz="4" w:space="0" w:color="auto"/>
              <w:right w:val="single" w:sz="4" w:space="0" w:color="auto"/>
            </w:tcBorders>
            <w:vAlign w:val="center"/>
            <w:hideMark/>
          </w:tcPr>
          <w:p w:rsidR="00EB039C" w:rsidRPr="00B75B77" w:rsidRDefault="00EB039C" w:rsidP="009070DC">
            <w:pPr>
              <w:keepNext/>
              <w:jc w:val="left"/>
              <w:rPr>
                <w:rFonts w:eastAsia="Times New Roman"/>
                <w:b/>
                <w:bCs/>
                <w:color w:val="FFFFFF"/>
                <w:sz w:val="18"/>
                <w:szCs w:val="18"/>
              </w:rPr>
            </w:pPr>
          </w:p>
        </w:tc>
        <w:tc>
          <w:tcPr>
            <w:tcW w:w="1365" w:type="dxa"/>
            <w:tcBorders>
              <w:top w:val="nil"/>
              <w:left w:val="nil"/>
              <w:bottom w:val="single" w:sz="4" w:space="0" w:color="auto"/>
              <w:right w:val="single" w:sz="4" w:space="0" w:color="auto"/>
            </w:tcBorders>
            <w:shd w:val="clear" w:color="auto" w:fill="448A99"/>
            <w:vAlign w:val="center"/>
            <w:hideMark/>
          </w:tcPr>
          <w:p w:rsidR="00EB039C" w:rsidRPr="00B75B77" w:rsidRDefault="00EB039C" w:rsidP="008841E5">
            <w:pPr>
              <w:keepNext/>
              <w:jc w:val="right"/>
              <w:rPr>
                <w:rFonts w:eastAsia="Times New Roman"/>
                <w:b/>
                <w:bCs/>
                <w:color w:val="FFFFFF" w:themeColor="background1"/>
                <w:sz w:val="18"/>
                <w:szCs w:val="18"/>
              </w:rPr>
            </w:pPr>
            <w:r w:rsidRPr="00B75B77">
              <w:rPr>
                <w:rFonts w:eastAsia="Times New Roman"/>
                <w:b/>
                <w:bCs/>
                <w:color w:val="FFFFFF" w:themeColor="background1"/>
                <w:sz w:val="18"/>
                <w:szCs w:val="18"/>
              </w:rPr>
              <w:t>($1,000)</w:t>
            </w:r>
          </w:p>
        </w:tc>
        <w:tc>
          <w:tcPr>
            <w:tcW w:w="1620" w:type="dxa"/>
            <w:tcBorders>
              <w:top w:val="nil"/>
              <w:left w:val="nil"/>
              <w:bottom w:val="single" w:sz="4" w:space="0" w:color="auto"/>
              <w:right w:val="single" w:sz="4" w:space="0" w:color="auto"/>
            </w:tcBorders>
            <w:shd w:val="clear" w:color="auto" w:fill="448A99"/>
            <w:vAlign w:val="center"/>
            <w:hideMark/>
          </w:tcPr>
          <w:p w:rsidR="00EB039C" w:rsidRPr="00B75B77" w:rsidRDefault="00EB039C" w:rsidP="008841E5">
            <w:pPr>
              <w:keepNext/>
              <w:jc w:val="right"/>
              <w:rPr>
                <w:rFonts w:eastAsia="Times New Roman"/>
                <w:b/>
                <w:bCs/>
                <w:color w:val="FFFFFF" w:themeColor="background1"/>
                <w:sz w:val="18"/>
                <w:szCs w:val="18"/>
              </w:rPr>
            </w:pPr>
            <w:r w:rsidRPr="00B75B77">
              <w:rPr>
                <w:rFonts w:eastAsia="Times New Roman"/>
                <w:b/>
                <w:bCs/>
                <w:color w:val="FFFFFF" w:themeColor="background1"/>
                <w:sz w:val="18"/>
                <w:szCs w:val="18"/>
              </w:rPr>
              <w:t>($1,000)</w:t>
            </w:r>
          </w:p>
        </w:tc>
      </w:tr>
      <w:tr w:rsidR="00EB039C" w:rsidRPr="00B75B77" w:rsidTr="00811E5F">
        <w:trPr>
          <w:divId w:val="746154423"/>
          <w:trHeight w:val="288"/>
        </w:trPr>
        <w:tc>
          <w:tcPr>
            <w:tcW w:w="900" w:type="dxa"/>
            <w:tcBorders>
              <w:top w:val="nil"/>
              <w:left w:val="single" w:sz="4" w:space="0" w:color="448A99"/>
              <w:bottom w:val="single" w:sz="4" w:space="0" w:color="448A99"/>
              <w:right w:val="single" w:sz="4" w:space="0" w:color="448A99"/>
            </w:tcBorders>
            <w:shd w:val="clear" w:color="auto" w:fill="auto"/>
            <w:noWrap/>
            <w:vAlign w:val="center"/>
            <w:hideMark/>
          </w:tcPr>
          <w:p w:rsidR="00EB039C" w:rsidRPr="00B75B77" w:rsidRDefault="00EB039C" w:rsidP="009070DC">
            <w:pPr>
              <w:keepNext/>
              <w:jc w:val="center"/>
              <w:rPr>
                <w:rFonts w:eastAsia="Times New Roman"/>
                <w:b/>
                <w:bCs/>
                <w:color w:val="000000"/>
                <w:sz w:val="18"/>
                <w:szCs w:val="18"/>
              </w:rPr>
            </w:pPr>
            <w:r w:rsidRPr="00B75B77">
              <w:rPr>
                <w:rFonts w:eastAsia="Times New Roman"/>
                <w:b/>
                <w:bCs/>
                <w:color w:val="000000"/>
                <w:sz w:val="18"/>
                <w:szCs w:val="18"/>
              </w:rPr>
              <w:t>1</w:t>
            </w:r>
          </w:p>
        </w:tc>
        <w:tc>
          <w:tcPr>
            <w:tcW w:w="5565" w:type="dxa"/>
            <w:tcBorders>
              <w:top w:val="nil"/>
              <w:left w:val="nil"/>
              <w:bottom w:val="single" w:sz="4" w:space="0" w:color="448A99"/>
              <w:right w:val="single" w:sz="4" w:space="0" w:color="448A99"/>
            </w:tcBorders>
            <w:shd w:val="clear" w:color="auto" w:fill="auto"/>
            <w:noWrap/>
            <w:vAlign w:val="center"/>
            <w:hideMark/>
          </w:tcPr>
          <w:p w:rsidR="00EB039C" w:rsidRPr="00B75B77" w:rsidRDefault="00EB039C" w:rsidP="009070DC">
            <w:pPr>
              <w:keepNext/>
              <w:jc w:val="left"/>
              <w:rPr>
                <w:rFonts w:eastAsia="Times New Roman"/>
                <w:color w:val="000000"/>
                <w:sz w:val="18"/>
                <w:szCs w:val="18"/>
              </w:rPr>
            </w:pPr>
            <w:r w:rsidRPr="00B75B77">
              <w:rPr>
                <w:rFonts w:eastAsia="Times New Roman"/>
                <w:color w:val="000000"/>
                <w:sz w:val="18"/>
                <w:szCs w:val="18"/>
              </w:rPr>
              <w:t xml:space="preserve">Incremental Measure Costs  </w:t>
            </w:r>
          </w:p>
        </w:tc>
        <w:tc>
          <w:tcPr>
            <w:tcW w:w="1365" w:type="dxa"/>
            <w:tcBorders>
              <w:top w:val="nil"/>
              <w:left w:val="nil"/>
              <w:bottom w:val="single" w:sz="4" w:space="0" w:color="448A99"/>
              <w:right w:val="single" w:sz="4" w:space="0" w:color="448A99"/>
            </w:tcBorders>
            <w:shd w:val="clear" w:color="auto" w:fill="auto"/>
            <w:noWrap/>
            <w:vAlign w:val="center"/>
            <w:hideMark/>
          </w:tcPr>
          <w:p w:rsidR="00EB039C" w:rsidRPr="00B75B77" w:rsidRDefault="00EB039C" w:rsidP="009070DC">
            <w:pPr>
              <w:keepNext/>
              <w:jc w:val="right"/>
              <w:rPr>
                <w:rFonts w:eastAsia="Times New Roman"/>
                <w:color w:val="000000"/>
                <w:sz w:val="18"/>
                <w:szCs w:val="18"/>
              </w:rPr>
            </w:pPr>
            <w:r w:rsidRPr="00B75B77">
              <w:rPr>
                <w:rFonts w:eastAsia="Times New Roman"/>
                <w:color w:val="000000"/>
                <w:sz w:val="18"/>
                <w:szCs w:val="18"/>
              </w:rPr>
              <w:t>0</w:t>
            </w:r>
          </w:p>
        </w:tc>
        <w:tc>
          <w:tcPr>
            <w:tcW w:w="1620" w:type="dxa"/>
            <w:tcBorders>
              <w:top w:val="nil"/>
              <w:left w:val="nil"/>
              <w:bottom w:val="single" w:sz="4" w:space="0" w:color="448A99"/>
              <w:right w:val="single" w:sz="4" w:space="0" w:color="448A99"/>
            </w:tcBorders>
            <w:shd w:val="clear" w:color="auto" w:fill="auto"/>
            <w:noWrap/>
            <w:vAlign w:val="center"/>
            <w:hideMark/>
          </w:tcPr>
          <w:p w:rsidR="00EB039C" w:rsidRPr="00B75B77" w:rsidRDefault="00EB039C" w:rsidP="009070DC">
            <w:pPr>
              <w:keepNext/>
              <w:jc w:val="right"/>
              <w:rPr>
                <w:rFonts w:eastAsia="Times New Roman"/>
                <w:color w:val="000000"/>
                <w:sz w:val="18"/>
                <w:szCs w:val="18"/>
              </w:rPr>
            </w:pPr>
            <w:r w:rsidRPr="00B75B77">
              <w:rPr>
                <w:rFonts w:eastAsia="Times New Roman"/>
                <w:color w:val="000000"/>
                <w:sz w:val="18"/>
                <w:szCs w:val="18"/>
              </w:rPr>
              <w:t>0</w:t>
            </w:r>
          </w:p>
        </w:tc>
      </w:tr>
      <w:tr w:rsidR="00EB039C" w:rsidRPr="00B75B77" w:rsidTr="00811E5F">
        <w:trPr>
          <w:divId w:val="746154423"/>
          <w:trHeight w:val="288"/>
        </w:trPr>
        <w:tc>
          <w:tcPr>
            <w:tcW w:w="900" w:type="dxa"/>
            <w:tcBorders>
              <w:top w:val="nil"/>
              <w:left w:val="single" w:sz="4" w:space="0" w:color="448A99"/>
              <w:bottom w:val="single" w:sz="4" w:space="0" w:color="448A99"/>
              <w:right w:val="single" w:sz="4" w:space="0" w:color="448A99"/>
            </w:tcBorders>
            <w:shd w:val="clear" w:color="000000" w:fill="D2EAF1"/>
            <w:noWrap/>
            <w:vAlign w:val="center"/>
            <w:hideMark/>
          </w:tcPr>
          <w:p w:rsidR="00EB039C" w:rsidRPr="00B75B77" w:rsidRDefault="00EB039C" w:rsidP="009070DC">
            <w:pPr>
              <w:keepNext/>
              <w:jc w:val="center"/>
              <w:rPr>
                <w:rFonts w:eastAsia="Times New Roman"/>
                <w:b/>
                <w:bCs/>
                <w:color w:val="000000"/>
                <w:sz w:val="18"/>
                <w:szCs w:val="18"/>
              </w:rPr>
            </w:pPr>
            <w:r w:rsidRPr="00B75B77">
              <w:rPr>
                <w:rFonts w:eastAsia="Times New Roman"/>
                <w:b/>
                <w:bCs/>
                <w:color w:val="000000"/>
                <w:sz w:val="18"/>
                <w:szCs w:val="18"/>
              </w:rPr>
              <w:t>2</w:t>
            </w:r>
          </w:p>
        </w:tc>
        <w:tc>
          <w:tcPr>
            <w:tcW w:w="5565" w:type="dxa"/>
            <w:tcBorders>
              <w:top w:val="nil"/>
              <w:left w:val="nil"/>
              <w:bottom w:val="single" w:sz="4" w:space="0" w:color="448A99"/>
              <w:right w:val="single" w:sz="4" w:space="0" w:color="448A99"/>
            </w:tcBorders>
            <w:shd w:val="clear" w:color="000000" w:fill="D2EAF1"/>
            <w:noWrap/>
            <w:vAlign w:val="center"/>
            <w:hideMark/>
          </w:tcPr>
          <w:p w:rsidR="00EB039C" w:rsidRPr="00B75B77" w:rsidRDefault="00EB039C" w:rsidP="009070DC">
            <w:pPr>
              <w:keepNext/>
              <w:jc w:val="left"/>
              <w:rPr>
                <w:rFonts w:eastAsia="Times New Roman"/>
                <w:color w:val="000000"/>
                <w:sz w:val="18"/>
                <w:szCs w:val="18"/>
              </w:rPr>
            </w:pPr>
            <w:r w:rsidRPr="00B75B77">
              <w:rPr>
                <w:rFonts w:eastAsia="Times New Roman"/>
                <w:color w:val="000000"/>
                <w:sz w:val="18"/>
                <w:szCs w:val="18"/>
              </w:rPr>
              <w:t>EDC Incentives to Participants</w:t>
            </w:r>
          </w:p>
        </w:tc>
        <w:tc>
          <w:tcPr>
            <w:tcW w:w="1365" w:type="dxa"/>
            <w:tcBorders>
              <w:top w:val="nil"/>
              <w:left w:val="nil"/>
              <w:bottom w:val="single" w:sz="4" w:space="0" w:color="448A99"/>
              <w:right w:val="single" w:sz="4" w:space="0" w:color="448A99"/>
            </w:tcBorders>
            <w:shd w:val="clear" w:color="000000" w:fill="D2EAF1"/>
            <w:noWrap/>
            <w:vAlign w:val="center"/>
            <w:hideMark/>
          </w:tcPr>
          <w:p w:rsidR="00EB039C" w:rsidRPr="00B75B77" w:rsidRDefault="00EB039C" w:rsidP="009070DC">
            <w:pPr>
              <w:keepNext/>
              <w:jc w:val="right"/>
              <w:rPr>
                <w:rFonts w:eastAsia="Times New Roman"/>
                <w:color w:val="000000"/>
                <w:sz w:val="18"/>
                <w:szCs w:val="18"/>
              </w:rPr>
            </w:pPr>
            <w:r w:rsidRPr="00B75B77">
              <w:rPr>
                <w:rFonts w:eastAsia="Times New Roman"/>
                <w:color w:val="000000"/>
                <w:sz w:val="18"/>
                <w:szCs w:val="18"/>
              </w:rPr>
              <w:t>0</w:t>
            </w:r>
          </w:p>
        </w:tc>
        <w:tc>
          <w:tcPr>
            <w:tcW w:w="1620" w:type="dxa"/>
            <w:tcBorders>
              <w:top w:val="nil"/>
              <w:left w:val="nil"/>
              <w:bottom w:val="single" w:sz="4" w:space="0" w:color="448A99"/>
              <w:right w:val="single" w:sz="4" w:space="0" w:color="448A99"/>
            </w:tcBorders>
            <w:shd w:val="clear" w:color="000000" w:fill="D2EAF1"/>
            <w:noWrap/>
            <w:vAlign w:val="center"/>
            <w:hideMark/>
          </w:tcPr>
          <w:p w:rsidR="00EB039C" w:rsidRPr="00B75B77" w:rsidRDefault="00EB039C" w:rsidP="009070DC">
            <w:pPr>
              <w:keepNext/>
              <w:jc w:val="right"/>
              <w:rPr>
                <w:rFonts w:eastAsia="Times New Roman"/>
                <w:color w:val="000000"/>
                <w:sz w:val="18"/>
                <w:szCs w:val="18"/>
              </w:rPr>
            </w:pPr>
            <w:r w:rsidRPr="00B75B77">
              <w:rPr>
                <w:rFonts w:eastAsia="Times New Roman"/>
                <w:color w:val="000000"/>
                <w:sz w:val="18"/>
                <w:szCs w:val="18"/>
              </w:rPr>
              <w:t>0</w:t>
            </w:r>
          </w:p>
        </w:tc>
      </w:tr>
      <w:tr w:rsidR="00EB039C" w:rsidRPr="00B75B77" w:rsidTr="00811E5F">
        <w:trPr>
          <w:divId w:val="746154423"/>
          <w:trHeight w:val="288"/>
        </w:trPr>
        <w:tc>
          <w:tcPr>
            <w:tcW w:w="900" w:type="dxa"/>
            <w:tcBorders>
              <w:top w:val="nil"/>
              <w:left w:val="single" w:sz="4" w:space="0" w:color="448A99"/>
              <w:bottom w:val="single" w:sz="4" w:space="0" w:color="448A99"/>
              <w:right w:val="single" w:sz="4" w:space="0" w:color="448A99"/>
            </w:tcBorders>
            <w:shd w:val="clear" w:color="auto" w:fill="auto"/>
            <w:noWrap/>
            <w:vAlign w:val="center"/>
            <w:hideMark/>
          </w:tcPr>
          <w:p w:rsidR="00EB039C" w:rsidRPr="00B75B77" w:rsidRDefault="00EB039C" w:rsidP="009070DC">
            <w:pPr>
              <w:keepNext/>
              <w:jc w:val="center"/>
              <w:rPr>
                <w:rFonts w:eastAsia="Times New Roman"/>
                <w:b/>
                <w:bCs/>
                <w:color w:val="000000"/>
                <w:sz w:val="18"/>
                <w:szCs w:val="18"/>
              </w:rPr>
            </w:pPr>
            <w:r w:rsidRPr="00B75B77">
              <w:rPr>
                <w:rFonts w:eastAsia="Times New Roman"/>
                <w:b/>
                <w:bCs/>
                <w:color w:val="000000"/>
                <w:sz w:val="18"/>
                <w:szCs w:val="18"/>
              </w:rPr>
              <w:t>3</w:t>
            </w:r>
          </w:p>
        </w:tc>
        <w:tc>
          <w:tcPr>
            <w:tcW w:w="5565" w:type="dxa"/>
            <w:tcBorders>
              <w:top w:val="nil"/>
              <w:left w:val="nil"/>
              <w:bottom w:val="single" w:sz="4" w:space="0" w:color="448A99"/>
              <w:right w:val="single" w:sz="4" w:space="0" w:color="448A99"/>
            </w:tcBorders>
            <w:shd w:val="clear" w:color="auto" w:fill="auto"/>
            <w:noWrap/>
            <w:vAlign w:val="center"/>
            <w:hideMark/>
          </w:tcPr>
          <w:p w:rsidR="00EB039C" w:rsidRPr="00B75B77" w:rsidRDefault="00EB039C" w:rsidP="009070DC">
            <w:pPr>
              <w:keepNext/>
              <w:jc w:val="left"/>
              <w:rPr>
                <w:rFonts w:eastAsia="Times New Roman"/>
                <w:color w:val="000000"/>
                <w:sz w:val="18"/>
                <w:szCs w:val="18"/>
              </w:rPr>
            </w:pPr>
            <w:r w:rsidRPr="00B75B77">
              <w:rPr>
                <w:rFonts w:eastAsia="Times New Roman"/>
                <w:color w:val="000000"/>
                <w:sz w:val="18"/>
                <w:szCs w:val="18"/>
              </w:rPr>
              <w:t>EDC Incentives to Trade Allies</w:t>
            </w:r>
          </w:p>
        </w:tc>
        <w:tc>
          <w:tcPr>
            <w:tcW w:w="1365" w:type="dxa"/>
            <w:tcBorders>
              <w:top w:val="nil"/>
              <w:left w:val="nil"/>
              <w:bottom w:val="single" w:sz="4" w:space="0" w:color="448A99"/>
              <w:right w:val="single" w:sz="4" w:space="0" w:color="448A99"/>
            </w:tcBorders>
            <w:shd w:val="clear" w:color="auto" w:fill="auto"/>
            <w:noWrap/>
            <w:vAlign w:val="center"/>
            <w:hideMark/>
          </w:tcPr>
          <w:p w:rsidR="00EB039C" w:rsidRPr="00B75B77" w:rsidRDefault="00EB039C" w:rsidP="009070DC">
            <w:pPr>
              <w:keepNext/>
              <w:jc w:val="right"/>
              <w:rPr>
                <w:rFonts w:eastAsia="Times New Roman"/>
                <w:color w:val="000000"/>
                <w:sz w:val="18"/>
                <w:szCs w:val="18"/>
              </w:rPr>
            </w:pPr>
            <w:r w:rsidRPr="00B75B77">
              <w:rPr>
                <w:rFonts w:eastAsia="Times New Roman"/>
                <w:color w:val="000000"/>
                <w:sz w:val="18"/>
                <w:szCs w:val="18"/>
              </w:rPr>
              <w:t>0</w:t>
            </w:r>
          </w:p>
        </w:tc>
        <w:tc>
          <w:tcPr>
            <w:tcW w:w="1620" w:type="dxa"/>
            <w:tcBorders>
              <w:top w:val="nil"/>
              <w:left w:val="nil"/>
              <w:bottom w:val="single" w:sz="4" w:space="0" w:color="448A99"/>
              <w:right w:val="single" w:sz="4" w:space="0" w:color="448A99"/>
            </w:tcBorders>
            <w:shd w:val="clear" w:color="auto" w:fill="auto"/>
            <w:noWrap/>
            <w:vAlign w:val="center"/>
            <w:hideMark/>
          </w:tcPr>
          <w:p w:rsidR="00EB039C" w:rsidRPr="00B75B77" w:rsidRDefault="00EB039C" w:rsidP="009070DC">
            <w:pPr>
              <w:keepNext/>
              <w:jc w:val="right"/>
              <w:rPr>
                <w:rFonts w:eastAsia="Times New Roman"/>
                <w:color w:val="000000"/>
                <w:sz w:val="18"/>
                <w:szCs w:val="18"/>
              </w:rPr>
            </w:pPr>
            <w:r w:rsidRPr="00B75B77">
              <w:rPr>
                <w:rFonts w:eastAsia="Times New Roman"/>
                <w:color w:val="000000"/>
                <w:sz w:val="18"/>
                <w:szCs w:val="18"/>
              </w:rPr>
              <w:t>0</w:t>
            </w:r>
          </w:p>
        </w:tc>
      </w:tr>
      <w:tr w:rsidR="00EB039C" w:rsidRPr="00B75B77" w:rsidTr="00811E5F">
        <w:trPr>
          <w:divId w:val="746154423"/>
          <w:trHeight w:val="288"/>
        </w:trPr>
        <w:tc>
          <w:tcPr>
            <w:tcW w:w="900" w:type="dxa"/>
            <w:tcBorders>
              <w:top w:val="nil"/>
              <w:left w:val="single" w:sz="4" w:space="0" w:color="448A99"/>
              <w:bottom w:val="single" w:sz="4" w:space="0" w:color="448A99"/>
              <w:right w:val="single" w:sz="4" w:space="0" w:color="448A99"/>
            </w:tcBorders>
            <w:shd w:val="clear" w:color="000000" w:fill="D2EAF1"/>
            <w:noWrap/>
            <w:vAlign w:val="center"/>
            <w:hideMark/>
          </w:tcPr>
          <w:p w:rsidR="00EB039C" w:rsidRPr="00B75B77" w:rsidRDefault="00EB039C" w:rsidP="009070DC">
            <w:pPr>
              <w:keepNext/>
              <w:jc w:val="center"/>
              <w:rPr>
                <w:rFonts w:eastAsia="Times New Roman"/>
                <w:b/>
                <w:bCs/>
                <w:color w:val="000000"/>
                <w:sz w:val="18"/>
                <w:szCs w:val="18"/>
              </w:rPr>
            </w:pPr>
            <w:r w:rsidRPr="00B75B77">
              <w:rPr>
                <w:rFonts w:eastAsia="Times New Roman"/>
                <w:b/>
                <w:bCs/>
                <w:color w:val="000000"/>
                <w:sz w:val="18"/>
                <w:szCs w:val="18"/>
              </w:rPr>
              <w:t>4</w:t>
            </w:r>
          </w:p>
        </w:tc>
        <w:tc>
          <w:tcPr>
            <w:tcW w:w="5565" w:type="dxa"/>
            <w:tcBorders>
              <w:top w:val="nil"/>
              <w:left w:val="nil"/>
              <w:bottom w:val="single" w:sz="4" w:space="0" w:color="448A99"/>
              <w:right w:val="single" w:sz="4" w:space="0" w:color="448A99"/>
            </w:tcBorders>
            <w:shd w:val="clear" w:color="000000" w:fill="D2EAF1"/>
            <w:noWrap/>
            <w:vAlign w:val="center"/>
            <w:hideMark/>
          </w:tcPr>
          <w:p w:rsidR="00EB039C" w:rsidRPr="00B75B77" w:rsidRDefault="00EB039C" w:rsidP="009070DC">
            <w:pPr>
              <w:keepNext/>
              <w:jc w:val="left"/>
              <w:rPr>
                <w:rFonts w:eastAsia="Times New Roman"/>
                <w:color w:val="000000"/>
                <w:sz w:val="18"/>
                <w:szCs w:val="18"/>
              </w:rPr>
            </w:pPr>
            <w:r w:rsidRPr="00B75B77">
              <w:rPr>
                <w:rFonts w:eastAsia="Times New Roman"/>
                <w:color w:val="000000"/>
                <w:sz w:val="18"/>
                <w:szCs w:val="18"/>
              </w:rPr>
              <w:t>Participant Costs (Net of Incentives/Rebates Paid by Utilities)</w:t>
            </w:r>
          </w:p>
        </w:tc>
        <w:tc>
          <w:tcPr>
            <w:tcW w:w="1365"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9070DC">
            <w:pPr>
              <w:keepNext/>
              <w:jc w:val="right"/>
              <w:rPr>
                <w:rFonts w:eastAsia="Times New Roman"/>
                <w:color w:val="000000"/>
                <w:sz w:val="18"/>
                <w:szCs w:val="18"/>
              </w:rPr>
            </w:pPr>
            <w:r w:rsidRPr="00B75B77">
              <w:rPr>
                <w:rFonts w:eastAsia="Times New Roman"/>
                <w:color w:val="000000"/>
                <w:sz w:val="18"/>
                <w:szCs w:val="18"/>
              </w:rPr>
              <w:t>0</w:t>
            </w:r>
          </w:p>
        </w:tc>
        <w:tc>
          <w:tcPr>
            <w:tcW w:w="162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9070DC">
            <w:pPr>
              <w:keepNext/>
              <w:jc w:val="right"/>
              <w:rPr>
                <w:rFonts w:eastAsia="Times New Roman"/>
                <w:color w:val="000000"/>
                <w:sz w:val="18"/>
                <w:szCs w:val="18"/>
              </w:rPr>
            </w:pPr>
            <w:r w:rsidRPr="00B75B77">
              <w:rPr>
                <w:rFonts w:eastAsia="Times New Roman"/>
                <w:color w:val="000000"/>
                <w:sz w:val="18"/>
                <w:szCs w:val="18"/>
              </w:rPr>
              <w:t>0</w:t>
            </w:r>
          </w:p>
        </w:tc>
      </w:tr>
      <w:tr w:rsidR="002E73D2" w:rsidRPr="00B75B77" w:rsidTr="00C15945">
        <w:trPr>
          <w:divId w:val="746154423"/>
          <w:trHeight w:val="115"/>
        </w:trPr>
        <w:tc>
          <w:tcPr>
            <w:tcW w:w="9450" w:type="dxa"/>
            <w:gridSpan w:val="4"/>
            <w:tcBorders>
              <w:top w:val="nil"/>
              <w:left w:val="single" w:sz="4" w:space="0" w:color="448A99"/>
              <w:bottom w:val="single" w:sz="4" w:space="0" w:color="448A99"/>
              <w:right w:val="single" w:sz="4" w:space="0" w:color="448A99"/>
            </w:tcBorders>
            <w:shd w:val="clear" w:color="auto" w:fill="AEAAAA"/>
            <w:noWrap/>
            <w:vAlign w:val="center"/>
            <w:hideMark/>
          </w:tcPr>
          <w:p w:rsidR="002E73D2" w:rsidRPr="00B75B77" w:rsidRDefault="002E73D2" w:rsidP="002E73D2">
            <w:pPr>
              <w:keepNext/>
              <w:jc w:val="center"/>
              <w:rPr>
                <w:rFonts w:eastAsia="Times New Roman"/>
                <w:b/>
                <w:bCs/>
                <w:color w:val="FFFFFF"/>
                <w:sz w:val="18"/>
                <w:szCs w:val="18"/>
              </w:rPr>
            </w:pPr>
            <w:r w:rsidRPr="00B75B77">
              <w:rPr>
                <w:rFonts w:eastAsia="Times New Roman"/>
                <w:b/>
                <w:bCs/>
                <w:color w:val="FFFFFF"/>
                <w:sz w:val="18"/>
                <w:szCs w:val="18"/>
              </w:rPr>
              <w:t>  </w:t>
            </w:r>
          </w:p>
        </w:tc>
      </w:tr>
      <w:tr w:rsidR="00EB039C" w:rsidRPr="00B75B77" w:rsidTr="00811E5F">
        <w:trPr>
          <w:divId w:val="746154423"/>
          <w:trHeight w:val="288"/>
        </w:trPr>
        <w:tc>
          <w:tcPr>
            <w:tcW w:w="900" w:type="dxa"/>
            <w:tcBorders>
              <w:top w:val="nil"/>
              <w:left w:val="single" w:sz="4" w:space="0" w:color="448A99"/>
              <w:bottom w:val="single" w:sz="4" w:space="0" w:color="448A99"/>
              <w:right w:val="single" w:sz="4" w:space="0" w:color="448A99"/>
            </w:tcBorders>
            <w:shd w:val="clear" w:color="auto" w:fill="auto"/>
            <w:noWrap/>
            <w:vAlign w:val="center"/>
            <w:hideMark/>
          </w:tcPr>
          <w:p w:rsidR="00EB039C" w:rsidRPr="00B75B77" w:rsidRDefault="00EB039C" w:rsidP="009070DC">
            <w:pPr>
              <w:keepNext/>
              <w:jc w:val="center"/>
              <w:rPr>
                <w:rFonts w:eastAsia="Times New Roman"/>
                <w:b/>
                <w:bCs/>
                <w:color w:val="000000"/>
                <w:sz w:val="18"/>
                <w:szCs w:val="18"/>
              </w:rPr>
            </w:pPr>
            <w:r w:rsidRPr="00B75B77">
              <w:rPr>
                <w:rFonts w:eastAsia="Times New Roman"/>
                <w:b/>
                <w:bCs/>
                <w:color w:val="000000"/>
                <w:sz w:val="18"/>
                <w:szCs w:val="18"/>
              </w:rPr>
              <w:t>5</w:t>
            </w:r>
          </w:p>
        </w:tc>
        <w:tc>
          <w:tcPr>
            <w:tcW w:w="5565" w:type="dxa"/>
            <w:tcBorders>
              <w:top w:val="nil"/>
              <w:left w:val="nil"/>
              <w:bottom w:val="single" w:sz="4" w:space="0" w:color="448A99"/>
              <w:right w:val="single" w:sz="4" w:space="0" w:color="448A99"/>
            </w:tcBorders>
            <w:shd w:val="clear" w:color="auto" w:fill="auto"/>
            <w:noWrap/>
            <w:vAlign w:val="center"/>
            <w:hideMark/>
          </w:tcPr>
          <w:p w:rsidR="00EB039C" w:rsidRPr="00B75B77" w:rsidRDefault="00EB039C" w:rsidP="009070DC">
            <w:pPr>
              <w:keepNext/>
              <w:jc w:val="left"/>
              <w:rPr>
                <w:rFonts w:eastAsia="Times New Roman"/>
                <w:color w:val="000000"/>
                <w:sz w:val="18"/>
                <w:szCs w:val="18"/>
              </w:rPr>
            </w:pPr>
            <w:r w:rsidRPr="00B75B77">
              <w:rPr>
                <w:rFonts w:eastAsia="Times New Roman"/>
                <w:color w:val="000000"/>
                <w:sz w:val="18"/>
                <w:szCs w:val="18"/>
              </w:rPr>
              <w:t xml:space="preserve">Program Overhead Costs </w:t>
            </w:r>
          </w:p>
        </w:tc>
        <w:tc>
          <w:tcPr>
            <w:tcW w:w="1365" w:type="dxa"/>
            <w:tcBorders>
              <w:top w:val="nil"/>
              <w:left w:val="nil"/>
              <w:bottom w:val="single" w:sz="4" w:space="0" w:color="448A99"/>
              <w:right w:val="single" w:sz="4" w:space="0" w:color="448A99"/>
            </w:tcBorders>
            <w:shd w:val="clear" w:color="auto" w:fill="auto"/>
            <w:noWrap/>
            <w:vAlign w:val="center"/>
            <w:hideMark/>
          </w:tcPr>
          <w:p w:rsidR="00EB039C" w:rsidRPr="00B75B77" w:rsidRDefault="00EB039C" w:rsidP="009070DC">
            <w:pPr>
              <w:keepNext/>
              <w:jc w:val="right"/>
              <w:rPr>
                <w:rFonts w:eastAsia="Times New Roman"/>
                <w:color w:val="000000"/>
                <w:sz w:val="18"/>
                <w:szCs w:val="18"/>
              </w:rPr>
            </w:pPr>
            <w:r w:rsidRPr="00B75B77">
              <w:rPr>
                <w:rFonts w:eastAsia="Times New Roman"/>
                <w:color w:val="000000"/>
                <w:sz w:val="18"/>
                <w:szCs w:val="18"/>
              </w:rPr>
              <w:t>450</w:t>
            </w:r>
          </w:p>
        </w:tc>
        <w:tc>
          <w:tcPr>
            <w:tcW w:w="1620" w:type="dxa"/>
            <w:tcBorders>
              <w:top w:val="nil"/>
              <w:left w:val="nil"/>
              <w:bottom w:val="single" w:sz="4" w:space="0" w:color="448A99"/>
              <w:right w:val="single" w:sz="4" w:space="0" w:color="448A99"/>
            </w:tcBorders>
            <w:shd w:val="clear" w:color="auto" w:fill="auto"/>
            <w:noWrap/>
            <w:vAlign w:val="center"/>
            <w:hideMark/>
          </w:tcPr>
          <w:p w:rsidR="00EB039C" w:rsidRPr="00B75B77" w:rsidRDefault="00EB039C" w:rsidP="009070DC">
            <w:pPr>
              <w:keepNext/>
              <w:jc w:val="right"/>
              <w:rPr>
                <w:rFonts w:eastAsia="Times New Roman"/>
                <w:color w:val="000000"/>
                <w:sz w:val="18"/>
                <w:szCs w:val="18"/>
              </w:rPr>
            </w:pPr>
            <w:r w:rsidRPr="00B75B77">
              <w:rPr>
                <w:rFonts w:eastAsia="Times New Roman"/>
                <w:color w:val="000000"/>
                <w:sz w:val="18"/>
                <w:szCs w:val="18"/>
              </w:rPr>
              <w:t>1,351</w:t>
            </w:r>
          </w:p>
        </w:tc>
      </w:tr>
      <w:tr w:rsidR="00EB039C" w:rsidRPr="00B75B77" w:rsidTr="00811E5F">
        <w:trPr>
          <w:divId w:val="746154423"/>
          <w:trHeight w:val="288"/>
        </w:trPr>
        <w:tc>
          <w:tcPr>
            <w:tcW w:w="900" w:type="dxa"/>
            <w:tcBorders>
              <w:top w:val="nil"/>
              <w:left w:val="single" w:sz="4" w:space="0" w:color="448A99"/>
              <w:bottom w:val="single" w:sz="4" w:space="0" w:color="448A99"/>
              <w:right w:val="single" w:sz="4" w:space="0" w:color="448A99"/>
            </w:tcBorders>
            <w:shd w:val="clear" w:color="000000" w:fill="D2EAF1"/>
            <w:noWrap/>
            <w:vAlign w:val="center"/>
            <w:hideMark/>
          </w:tcPr>
          <w:p w:rsidR="00EB039C" w:rsidRPr="00B75B77" w:rsidRDefault="00EB039C" w:rsidP="009070DC">
            <w:pPr>
              <w:keepNext/>
              <w:jc w:val="center"/>
              <w:rPr>
                <w:rFonts w:eastAsia="Times New Roman"/>
                <w:b/>
                <w:bCs/>
                <w:color w:val="000000"/>
                <w:sz w:val="18"/>
                <w:szCs w:val="18"/>
              </w:rPr>
            </w:pPr>
            <w:r w:rsidRPr="00B75B77">
              <w:rPr>
                <w:rFonts w:eastAsia="Times New Roman"/>
                <w:b/>
                <w:bCs/>
                <w:color w:val="000000"/>
                <w:sz w:val="18"/>
                <w:szCs w:val="18"/>
              </w:rPr>
              <w:t>6</w:t>
            </w:r>
          </w:p>
        </w:tc>
        <w:tc>
          <w:tcPr>
            <w:tcW w:w="5565" w:type="dxa"/>
            <w:tcBorders>
              <w:top w:val="nil"/>
              <w:left w:val="nil"/>
              <w:bottom w:val="single" w:sz="4" w:space="0" w:color="448A99"/>
              <w:right w:val="single" w:sz="4" w:space="0" w:color="448A99"/>
            </w:tcBorders>
            <w:shd w:val="clear" w:color="000000" w:fill="D2EAF1"/>
            <w:noWrap/>
            <w:vAlign w:val="center"/>
            <w:hideMark/>
          </w:tcPr>
          <w:p w:rsidR="00EB039C" w:rsidRPr="00B75B77" w:rsidRDefault="00EB039C" w:rsidP="009070DC">
            <w:pPr>
              <w:keepNext/>
              <w:jc w:val="left"/>
              <w:rPr>
                <w:rFonts w:eastAsia="Times New Roman"/>
                <w:color w:val="000000"/>
                <w:sz w:val="18"/>
                <w:szCs w:val="18"/>
              </w:rPr>
            </w:pPr>
            <w:r w:rsidRPr="00B75B77">
              <w:rPr>
                <w:rFonts w:eastAsia="Times New Roman"/>
                <w:color w:val="000000"/>
                <w:sz w:val="18"/>
                <w:szCs w:val="18"/>
              </w:rPr>
              <w:t xml:space="preserve">Design </w:t>
            </w:r>
            <w:r w:rsidR="008841E5" w:rsidRPr="00B75B77">
              <w:rPr>
                <w:rFonts w:eastAsia="Times New Roman"/>
                <w:color w:val="000000"/>
                <w:sz w:val="18"/>
                <w:szCs w:val="18"/>
              </w:rPr>
              <w:t>and</w:t>
            </w:r>
            <w:r w:rsidRPr="00B75B77">
              <w:rPr>
                <w:rFonts w:eastAsia="Times New Roman"/>
                <w:color w:val="000000"/>
                <w:sz w:val="18"/>
                <w:szCs w:val="18"/>
              </w:rPr>
              <w:t xml:space="preserve"> Development</w:t>
            </w:r>
          </w:p>
        </w:tc>
        <w:tc>
          <w:tcPr>
            <w:tcW w:w="1365" w:type="dxa"/>
            <w:tcBorders>
              <w:top w:val="nil"/>
              <w:left w:val="nil"/>
              <w:bottom w:val="single" w:sz="4" w:space="0" w:color="448A99"/>
              <w:right w:val="single" w:sz="4" w:space="0" w:color="448A99"/>
            </w:tcBorders>
            <w:shd w:val="clear" w:color="000000" w:fill="D2EAF1"/>
            <w:noWrap/>
            <w:vAlign w:val="center"/>
            <w:hideMark/>
          </w:tcPr>
          <w:p w:rsidR="00EB039C" w:rsidRPr="00B75B77" w:rsidRDefault="00EB039C" w:rsidP="009070DC">
            <w:pPr>
              <w:keepNext/>
              <w:jc w:val="right"/>
              <w:rPr>
                <w:rFonts w:eastAsia="Times New Roman"/>
                <w:color w:val="000000"/>
                <w:sz w:val="18"/>
                <w:szCs w:val="18"/>
              </w:rPr>
            </w:pPr>
            <w:r w:rsidRPr="00B75B77">
              <w:rPr>
                <w:rFonts w:eastAsia="Times New Roman"/>
                <w:color w:val="000000"/>
                <w:sz w:val="18"/>
                <w:szCs w:val="18"/>
              </w:rPr>
              <w:t>0</w:t>
            </w:r>
          </w:p>
        </w:tc>
        <w:tc>
          <w:tcPr>
            <w:tcW w:w="1620" w:type="dxa"/>
            <w:tcBorders>
              <w:top w:val="nil"/>
              <w:left w:val="nil"/>
              <w:bottom w:val="single" w:sz="4" w:space="0" w:color="448A99"/>
              <w:right w:val="single" w:sz="4" w:space="0" w:color="448A99"/>
            </w:tcBorders>
            <w:shd w:val="clear" w:color="000000" w:fill="D2EAF1"/>
            <w:noWrap/>
            <w:vAlign w:val="center"/>
            <w:hideMark/>
          </w:tcPr>
          <w:p w:rsidR="00EB039C" w:rsidRPr="00B75B77" w:rsidRDefault="00EB039C" w:rsidP="009070DC">
            <w:pPr>
              <w:keepNext/>
              <w:jc w:val="right"/>
              <w:rPr>
                <w:rFonts w:eastAsia="Times New Roman"/>
                <w:color w:val="000000"/>
                <w:sz w:val="18"/>
                <w:szCs w:val="18"/>
              </w:rPr>
            </w:pPr>
            <w:r w:rsidRPr="00B75B77">
              <w:rPr>
                <w:rFonts w:eastAsia="Times New Roman"/>
                <w:color w:val="000000"/>
                <w:sz w:val="18"/>
                <w:szCs w:val="18"/>
              </w:rPr>
              <w:t>0</w:t>
            </w:r>
          </w:p>
        </w:tc>
      </w:tr>
      <w:tr w:rsidR="00EB039C" w:rsidRPr="00B75B77" w:rsidTr="00811E5F">
        <w:trPr>
          <w:divId w:val="746154423"/>
          <w:trHeight w:val="288"/>
        </w:trPr>
        <w:tc>
          <w:tcPr>
            <w:tcW w:w="900" w:type="dxa"/>
            <w:tcBorders>
              <w:top w:val="nil"/>
              <w:left w:val="single" w:sz="4" w:space="0" w:color="448A99"/>
              <w:bottom w:val="single" w:sz="4" w:space="0" w:color="448A99"/>
              <w:right w:val="single" w:sz="4" w:space="0" w:color="448A99"/>
            </w:tcBorders>
            <w:shd w:val="clear" w:color="auto" w:fill="auto"/>
            <w:noWrap/>
            <w:vAlign w:val="center"/>
            <w:hideMark/>
          </w:tcPr>
          <w:p w:rsidR="00EB039C" w:rsidRPr="00B75B77" w:rsidRDefault="00EB039C" w:rsidP="009070DC">
            <w:pPr>
              <w:keepNext/>
              <w:jc w:val="center"/>
              <w:rPr>
                <w:rFonts w:eastAsia="Times New Roman"/>
                <w:b/>
                <w:bCs/>
                <w:color w:val="000000"/>
                <w:sz w:val="18"/>
                <w:szCs w:val="18"/>
              </w:rPr>
            </w:pPr>
            <w:r w:rsidRPr="00B75B77">
              <w:rPr>
                <w:rFonts w:eastAsia="Times New Roman"/>
                <w:b/>
                <w:bCs/>
                <w:color w:val="000000"/>
                <w:sz w:val="18"/>
                <w:szCs w:val="18"/>
              </w:rPr>
              <w:t>7</w:t>
            </w:r>
          </w:p>
        </w:tc>
        <w:tc>
          <w:tcPr>
            <w:tcW w:w="5565" w:type="dxa"/>
            <w:tcBorders>
              <w:top w:val="nil"/>
              <w:left w:val="nil"/>
              <w:bottom w:val="single" w:sz="4" w:space="0" w:color="448A99"/>
              <w:right w:val="single" w:sz="4" w:space="0" w:color="448A99"/>
            </w:tcBorders>
            <w:shd w:val="clear" w:color="auto" w:fill="auto"/>
            <w:noWrap/>
            <w:vAlign w:val="center"/>
            <w:hideMark/>
          </w:tcPr>
          <w:p w:rsidR="00EB039C" w:rsidRPr="00B75B77" w:rsidRDefault="00EB039C" w:rsidP="009070DC">
            <w:pPr>
              <w:keepNext/>
              <w:jc w:val="left"/>
              <w:rPr>
                <w:rFonts w:eastAsia="Times New Roman"/>
                <w:color w:val="000000"/>
                <w:sz w:val="18"/>
                <w:szCs w:val="18"/>
              </w:rPr>
            </w:pPr>
            <w:r w:rsidRPr="00B75B77">
              <w:rPr>
                <w:rFonts w:eastAsia="Times New Roman"/>
                <w:color w:val="000000"/>
                <w:sz w:val="18"/>
                <w:szCs w:val="18"/>
              </w:rPr>
              <w:t>Administration, Management, and Technical Assistance</w:t>
            </w:r>
            <w:r w:rsidRPr="00B75B77">
              <w:rPr>
                <w:rFonts w:eastAsia="Times New Roman"/>
                <w:bCs/>
                <w:color w:val="000000"/>
                <w:sz w:val="18"/>
                <w:szCs w:val="18"/>
                <w:vertAlign w:val="superscript"/>
              </w:rPr>
              <w:t>[1]</w:t>
            </w:r>
          </w:p>
        </w:tc>
        <w:tc>
          <w:tcPr>
            <w:tcW w:w="1365" w:type="dxa"/>
            <w:tcBorders>
              <w:top w:val="nil"/>
              <w:left w:val="nil"/>
              <w:bottom w:val="single" w:sz="4" w:space="0" w:color="448A99"/>
              <w:right w:val="single" w:sz="4" w:space="0" w:color="448A99"/>
            </w:tcBorders>
            <w:shd w:val="clear" w:color="auto" w:fill="auto"/>
            <w:noWrap/>
            <w:vAlign w:val="center"/>
            <w:hideMark/>
          </w:tcPr>
          <w:p w:rsidR="00EB039C" w:rsidRPr="00B75B77" w:rsidRDefault="00EB039C" w:rsidP="009070DC">
            <w:pPr>
              <w:keepNext/>
              <w:jc w:val="right"/>
              <w:rPr>
                <w:rFonts w:eastAsia="Times New Roman"/>
                <w:color w:val="000000"/>
                <w:sz w:val="18"/>
                <w:szCs w:val="18"/>
              </w:rPr>
            </w:pPr>
            <w:r w:rsidRPr="00B75B77">
              <w:rPr>
                <w:rFonts w:eastAsia="Times New Roman"/>
                <w:color w:val="000000"/>
                <w:sz w:val="18"/>
                <w:szCs w:val="18"/>
              </w:rPr>
              <w:t>450</w:t>
            </w:r>
          </w:p>
        </w:tc>
        <w:tc>
          <w:tcPr>
            <w:tcW w:w="1620" w:type="dxa"/>
            <w:tcBorders>
              <w:top w:val="nil"/>
              <w:left w:val="nil"/>
              <w:bottom w:val="single" w:sz="4" w:space="0" w:color="448A99"/>
              <w:right w:val="single" w:sz="4" w:space="0" w:color="448A99"/>
            </w:tcBorders>
            <w:shd w:val="clear" w:color="auto" w:fill="auto"/>
            <w:noWrap/>
            <w:vAlign w:val="center"/>
            <w:hideMark/>
          </w:tcPr>
          <w:p w:rsidR="00EB039C" w:rsidRPr="00B75B77" w:rsidRDefault="00EB039C" w:rsidP="009070DC">
            <w:pPr>
              <w:keepNext/>
              <w:jc w:val="right"/>
              <w:rPr>
                <w:rFonts w:eastAsia="Times New Roman"/>
                <w:color w:val="000000"/>
                <w:sz w:val="18"/>
                <w:szCs w:val="18"/>
              </w:rPr>
            </w:pPr>
            <w:r w:rsidRPr="00B75B77">
              <w:rPr>
                <w:rFonts w:eastAsia="Times New Roman"/>
                <w:color w:val="000000"/>
                <w:sz w:val="18"/>
                <w:szCs w:val="18"/>
              </w:rPr>
              <w:t>1,351</w:t>
            </w:r>
          </w:p>
        </w:tc>
      </w:tr>
      <w:tr w:rsidR="00EB039C" w:rsidRPr="00B75B77" w:rsidTr="00811E5F">
        <w:trPr>
          <w:divId w:val="746154423"/>
          <w:trHeight w:val="288"/>
        </w:trPr>
        <w:tc>
          <w:tcPr>
            <w:tcW w:w="900" w:type="dxa"/>
            <w:tcBorders>
              <w:top w:val="nil"/>
              <w:left w:val="single" w:sz="4" w:space="0" w:color="448A99"/>
              <w:bottom w:val="single" w:sz="4" w:space="0" w:color="448A99"/>
              <w:right w:val="single" w:sz="4" w:space="0" w:color="448A99"/>
            </w:tcBorders>
            <w:shd w:val="clear" w:color="000000" w:fill="D2EAF1"/>
            <w:noWrap/>
            <w:vAlign w:val="center"/>
            <w:hideMark/>
          </w:tcPr>
          <w:p w:rsidR="00EB039C" w:rsidRPr="00B75B77" w:rsidRDefault="00EB039C" w:rsidP="009070DC">
            <w:pPr>
              <w:keepNext/>
              <w:jc w:val="center"/>
              <w:rPr>
                <w:rFonts w:eastAsia="Times New Roman"/>
                <w:b/>
                <w:bCs/>
                <w:color w:val="000000"/>
                <w:sz w:val="18"/>
                <w:szCs w:val="18"/>
              </w:rPr>
            </w:pPr>
            <w:r w:rsidRPr="00B75B77">
              <w:rPr>
                <w:rFonts w:eastAsia="Times New Roman"/>
                <w:b/>
                <w:bCs/>
                <w:color w:val="000000"/>
                <w:sz w:val="18"/>
                <w:szCs w:val="18"/>
              </w:rPr>
              <w:t>8</w:t>
            </w:r>
          </w:p>
        </w:tc>
        <w:tc>
          <w:tcPr>
            <w:tcW w:w="5565" w:type="dxa"/>
            <w:tcBorders>
              <w:top w:val="nil"/>
              <w:left w:val="nil"/>
              <w:bottom w:val="single" w:sz="4" w:space="0" w:color="448A99"/>
              <w:right w:val="single" w:sz="4" w:space="0" w:color="448A99"/>
            </w:tcBorders>
            <w:shd w:val="clear" w:color="000000" w:fill="D2EAF1"/>
            <w:noWrap/>
            <w:vAlign w:val="center"/>
            <w:hideMark/>
          </w:tcPr>
          <w:p w:rsidR="00EB039C" w:rsidRPr="00B75B77" w:rsidRDefault="00EB039C" w:rsidP="009070DC">
            <w:pPr>
              <w:keepNext/>
              <w:jc w:val="left"/>
              <w:rPr>
                <w:rFonts w:eastAsia="Times New Roman"/>
                <w:color w:val="000000"/>
                <w:sz w:val="18"/>
                <w:szCs w:val="18"/>
              </w:rPr>
            </w:pPr>
            <w:r w:rsidRPr="00B75B77">
              <w:rPr>
                <w:rFonts w:eastAsia="Times New Roman"/>
                <w:color w:val="000000"/>
                <w:sz w:val="18"/>
                <w:szCs w:val="18"/>
              </w:rPr>
              <w:t>Marketing</w:t>
            </w:r>
            <w:r w:rsidRPr="00B75B77">
              <w:rPr>
                <w:rFonts w:eastAsia="Times New Roman"/>
                <w:color w:val="000000"/>
                <w:sz w:val="18"/>
                <w:szCs w:val="18"/>
                <w:vertAlign w:val="superscript"/>
              </w:rPr>
              <w:t>[2]</w:t>
            </w:r>
          </w:p>
        </w:tc>
        <w:tc>
          <w:tcPr>
            <w:tcW w:w="1365" w:type="dxa"/>
            <w:tcBorders>
              <w:top w:val="nil"/>
              <w:left w:val="nil"/>
              <w:bottom w:val="single" w:sz="4" w:space="0" w:color="448A99"/>
              <w:right w:val="single" w:sz="4" w:space="0" w:color="448A99"/>
            </w:tcBorders>
            <w:shd w:val="clear" w:color="000000" w:fill="D2EAF1"/>
            <w:noWrap/>
            <w:vAlign w:val="center"/>
            <w:hideMark/>
          </w:tcPr>
          <w:p w:rsidR="00EB039C" w:rsidRPr="00B75B77" w:rsidRDefault="00EB039C" w:rsidP="009070DC">
            <w:pPr>
              <w:keepNext/>
              <w:jc w:val="right"/>
              <w:rPr>
                <w:rFonts w:eastAsia="Times New Roman"/>
                <w:color w:val="000000"/>
                <w:sz w:val="18"/>
                <w:szCs w:val="18"/>
              </w:rPr>
            </w:pPr>
            <w:r w:rsidRPr="00B75B77">
              <w:rPr>
                <w:rFonts w:eastAsia="Times New Roman"/>
                <w:color w:val="000000"/>
                <w:sz w:val="18"/>
                <w:szCs w:val="18"/>
              </w:rPr>
              <w:t>0</w:t>
            </w:r>
          </w:p>
        </w:tc>
        <w:tc>
          <w:tcPr>
            <w:tcW w:w="1620" w:type="dxa"/>
            <w:tcBorders>
              <w:top w:val="nil"/>
              <w:left w:val="nil"/>
              <w:bottom w:val="single" w:sz="4" w:space="0" w:color="448A99"/>
              <w:right w:val="single" w:sz="4" w:space="0" w:color="448A99"/>
            </w:tcBorders>
            <w:shd w:val="clear" w:color="000000" w:fill="D2EAF1"/>
            <w:noWrap/>
            <w:vAlign w:val="center"/>
            <w:hideMark/>
          </w:tcPr>
          <w:p w:rsidR="00EB039C" w:rsidRPr="00B75B77" w:rsidRDefault="00EB039C" w:rsidP="009070DC">
            <w:pPr>
              <w:keepNext/>
              <w:jc w:val="right"/>
              <w:rPr>
                <w:rFonts w:eastAsia="Times New Roman"/>
                <w:color w:val="000000"/>
                <w:sz w:val="18"/>
                <w:szCs w:val="18"/>
              </w:rPr>
            </w:pPr>
            <w:r w:rsidRPr="00B75B77">
              <w:rPr>
                <w:rFonts w:eastAsia="Times New Roman"/>
                <w:color w:val="000000"/>
                <w:sz w:val="18"/>
                <w:szCs w:val="18"/>
              </w:rPr>
              <w:t>0</w:t>
            </w:r>
          </w:p>
        </w:tc>
      </w:tr>
      <w:tr w:rsidR="00EB039C" w:rsidRPr="00B75B77" w:rsidTr="00811E5F">
        <w:trPr>
          <w:divId w:val="746154423"/>
          <w:trHeight w:val="288"/>
        </w:trPr>
        <w:tc>
          <w:tcPr>
            <w:tcW w:w="900" w:type="dxa"/>
            <w:tcBorders>
              <w:top w:val="nil"/>
              <w:left w:val="single" w:sz="4" w:space="0" w:color="448A99"/>
              <w:bottom w:val="single" w:sz="4" w:space="0" w:color="448A99"/>
              <w:right w:val="single" w:sz="4" w:space="0" w:color="448A99"/>
            </w:tcBorders>
            <w:shd w:val="clear" w:color="auto" w:fill="auto"/>
            <w:noWrap/>
            <w:vAlign w:val="center"/>
            <w:hideMark/>
          </w:tcPr>
          <w:p w:rsidR="00EB039C" w:rsidRPr="00B75B77" w:rsidRDefault="00EB039C" w:rsidP="009070DC">
            <w:pPr>
              <w:keepNext/>
              <w:jc w:val="center"/>
              <w:rPr>
                <w:rFonts w:eastAsia="Times New Roman"/>
                <w:b/>
                <w:bCs/>
                <w:color w:val="000000"/>
                <w:sz w:val="18"/>
                <w:szCs w:val="18"/>
              </w:rPr>
            </w:pPr>
            <w:r w:rsidRPr="00B75B77">
              <w:rPr>
                <w:rFonts w:eastAsia="Times New Roman"/>
                <w:b/>
                <w:bCs/>
                <w:color w:val="000000"/>
                <w:sz w:val="18"/>
                <w:szCs w:val="18"/>
              </w:rPr>
              <w:t>9</w:t>
            </w:r>
          </w:p>
        </w:tc>
        <w:tc>
          <w:tcPr>
            <w:tcW w:w="5565" w:type="dxa"/>
            <w:tcBorders>
              <w:top w:val="nil"/>
              <w:left w:val="nil"/>
              <w:bottom w:val="single" w:sz="4" w:space="0" w:color="448A99"/>
              <w:right w:val="single" w:sz="4" w:space="0" w:color="448A99"/>
            </w:tcBorders>
            <w:shd w:val="clear" w:color="auto" w:fill="auto"/>
            <w:noWrap/>
            <w:vAlign w:val="center"/>
            <w:hideMark/>
          </w:tcPr>
          <w:p w:rsidR="00EB039C" w:rsidRPr="00B75B77" w:rsidRDefault="00EB039C" w:rsidP="009070DC">
            <w:pPr>
              <w:keepNext/>
              <w:jc w:val="left"/>
              <w:rPr>
                <w:rFonts w:eastAsia="Times New Roman"/>
                <w:color w:val="000000"/>
                <w:sz w:val="18"/>
                <w:szCs w:val="18"/>
              </w:rPr>
            </w:pPr>
            <w:r w:rsidRPr="00B75B77">
              <w:rPr>
                <w:rFonts w:eastAsia="Times New Roman"/>
                <w:color w:val="000000"/>
                <w:sz w:val="18"/>
                <w:szCs w:val="18"/>
              </w:rPr>
              <w:t>EDC Evaluation Costs</w:t>
            </w:r>
          </w:p>
        </w:tc>
        <w:tc>
          <w:tcPr>
            <w:tcW w:w="1365" w:type="dxa"/>
            <w:tcBorders>
              <w:top w:val="nil"/>
              <w:left w:val="nil"/>
              <w:bottom w:val="single" w:sz="4" w:space="0" w:color="448A99"/>
              <w:right w:val="single" w:sz="4" w:space="0" w:color="448A99"/>
            </w:tcBorders>
            <w:shd w:val="clear" w:color="auto" w:fill="auto"/>
            <w:noWrap/>
            <w:vAlign w:val="center"/>
            <w:hideMark/>
          </w:tcPr>
          <w:p w:rsidR="00EB039C" w:rsidRPr="00B75B77" w:rsidRDefault="00EB039C" w:rsidP="009070DC">
            <w:pPr>
              <w:keepNext/>
              <w:jc w:val="right"/>
              <w:rPr>
                <w:rFonts w:eastAsia="Times New Roman"/>
                <w:color w:val="000000"/>
                <w:sz w:val="18"/>
                <w:szCs w:val="18"/>
              </w:rPr>
            </w:pPr>
            <w:r w:rsidRPr="00B75B77">
              <w:rPr>
                <w:rFonts w:eastAsia="Times New Roman"/>
                <w:color w:val="000000"/>
                <w:sz w:val="18"/>
                <w:szCs w:val="18"/>
              </w:rPr>
              <w:t>0</w:t>
            </w:r>
          </w:p>
        </w:tc>
        <w:tc>
          <w:tcPr>
            <w:tcW w:w="1620" w:type="dxa"/>
            <w:tcBorders>
              <w:top w:val="nil"/>
              <w:left w:val="nil"/>
              <w:bottom w:val="single" w:sz="4" w:space="0" w:color="448A99"/>
              <w:right w:val="single" w:sz="4" w:space="0" w:color="448A99"/>
            </w:tcBorders>
            <w:shd w:val="clear" w:color="auto" w:fill="auto"/>
            <w:noWrap/>
            <w:vAlign w:val="center"/>
            <w:hideMark/>
          </w:tcPr>
          <w:p w:rsidR="00EB039C" w:rsidRPr="00B75B77" w:rsidRDefault="00EB039C" w:rsidP="009070DC">
            <w:pPr>
              <w:keepNext/>
              <w:jc w:val="right"/>
              <w:rPr>
                <w:rFonts w:eastAsia="Times New Roman"/>
                <w:color w:val="000000"/>
                <w:sz w:val="18"/>
                <w:szCs w:val="18"/>
              </w:rPr>
            </w:pPr>
            <w:r w:rsidRPr="00B75B77">
              <w:rPr>
                <w:rFonts w:eastAsia="Times New Roman"/>
                <w:color w:val="000000"/>
                <w:sz w:val="18"/>
                <w:szCs w:val="18"/>
              </w:rPr>
              <w:t>0</w:t>
            </w:r>
          </w:p>
        </w:tc>
      </w:tr>
      <w:tr w:rsidR="00EB039C" w:rsidRPr="00B75B77" w:rsidTr="00811E5F">
        <w:trPr>
          <w:divId w:val="746154423"/>
          <w:trHeight w:val="288"/>
        </w:trPr>
        <w:tc>
          <w:tcPr>
            <w:tcW w:w="900" w:type="dxa"/>
            <w:tcBorders>
              <w:top w:val="nil"/>
              <w:left w:val="single" w:sz="4" w:space="0" w:color="448A99"/>
              <w:bottom w:val="single" w:sz="4" w:space="0" w:color="448A99"/>
              <w:right w:val="single" w:sz="4" w:space="0" w:color="448A99"/>
            </w:tcBorders>
            <w:shd w:val="clear" w:color="000000" w:fill="D2EAF1"/>
            <w:noWrap/>
            <w:vAlign w:val="center"/>
            <w:hideMark/>
          </w:tcPr>
          <w:p w:rsidR="00EB039C" w:rsidRPr="00B75B77" w:rsidRDefault="00EB039C" w:rsidP="009070DC">
            <w:pPr>
              <w:keepNext/>
              <w:jc w:val="center"/>
              <w:rPr>
                <w:rFonts w:eastAsia="Times New Roman"/>
                <w:b/>
                <w:bCs/>
                <w:color w:val="000000"/>
                <w:sz w:val="18"/>
                <w:szCs w:val="18"/>
              </w:rPr>
            </w:pPr>
            <w:r w:rsidRPr="00B75B77">
              <w:rPr>
                <w:rFonts w:eastAsia="Times New Roman"/>
                <w:b/>
                <w:bCs/>
                <w:color w:val="000000"/>
                <w:sz w:val="18"/>
                <w:szCs w:val="18"/>
              </w:rPr>
              <w:t>10</w:t>
            </w:r>
          </w:p>
        </w:tc>
        <w:tc>
          <w:tcPr>
            <w:tcW w:w="5565" w:type="dxa"/>
            <w:tcBorders>
              <w:top w:val="nil"/>
              <w:left w:val="nil"/>
              <w:bottom w:val="single" w:sz="4" w:space="0" w:color="448A99"/>
              <w:right w:val="single" w:sz="4" w:space="0" w:color="448A99"/>
            </w:tcBorders>
            <w:shd w:val="clear" w:color="000000" w:fill="D2EAF1"/>
            <w:noWrap/>
            <w:vAlign w:val="center"/>
            <w:hideMark/>
          </w:tcPr>
          <w:p w:rsidR="00EB039C" w:rsidRPr="00B75B77" w:rsidRDefault="00EB039C" w:rsidP="009070DC">
            <w:pPr>
              <w:keepNext/>
              <w:jc w:val="left"/>
              <w:rPr>
                <w:rFonts w:eastAsia="Times New Roman"/>
                <w:color w:val="000000"/>
                <w:sz w:val="18"/>
                <w:szCs w:val="18"/>
              </w:rPr>
            </w:pPr>
            <w:r w:rsidRPr="00B75B77">
              <w:rPr>
                <w:rFonts w:eastAsia="Times New Roman"/>
                <w:color w:val="000000"/>
                <w:sz w:val="18"/>
                <w:szCs w:val="18"/>
              </w:rPr>
              <w:t xml:space="preserve">SWE Audit Costs </w:t>
            </w:r>
          </w:p>
        </w:tc>
        <w:tc>
          <w:tcPr>
            <w:tcW w:w="1365" w:type="dxa"/>
            <w:tcBorders>
              <w:top w:val="nil"/>
              <w:left w:val="nil"/>
              <w:bottom w:val="single" w:sz="4" w:space="0" w:color="448A99"/>
              <w:right w:val="single" w:sz="4" w:space="0" w:color="448A99"/>
            </w:tcBorders>
            <w:shd w:val="clear" w:color="000000" w:fill="D2EAF1"/>
            <w:noWrap/>
            <w:vAlign w:val="center"/>
            <w:hideMark/>
          </w:tcPr>
          <w:p w:rsidR="00EB039C" w:rsidRPr="00B75B77" w:rsidRDefault="00EB039C" w:rsidP="009070DC">
            <w:pPr>
              <w:keepNext/>
              <w:jc w:val="right"/>
              <w:rPr>
                <w:rFonts w:eastAsia="Times New Roman"/>
                <w:color w:val="000000"/>
                <w:sz w:val="18"/>
                <w:szCs w:val="18"/>
              </w:rPr>
            </w:pPr>
            <w:r w:rsidRPr="00B75B77">
              <w:rPr>
                <w:rFonts w:eastAsia="Times New Roman"/>
                <w:color w:val="000000"/>
                <w:sz w:val="18"/>
                <w:szCs w:val="18"/>
              </w:rPr>
              <w:t>0</w:t>
            </w:r>
          </w:p>
        </w:tc>
        <w:tc>
          <w:tcPr>
            <w:tcW w:w="1620" w:type="dxa"/>
            <w:tcBorders>
              <w:top w:val="nil"/>
              <w:left w:val="nil"/>
              <w:bottom w:val="single" w:sz="4" w:space="0" w:color="448A99"/>
              <w:right w:val="single" w:sz="4" w:space="0" w:color="448A99"/>
            </w:tcBorders>
            <w:shd w:val="clear" w:color="000000" w:fill="D2EAF1"/>
            <w:noWrap/>
            <w:vAlign w:val="center"/>
            <w:hideMark/>
          </w:tcPr>
          <w:p w:rsidR="00EB039C" w:rsidRPr="00B75B77" w:rsidRDefault="00EB039C" w:rsidP="009070DC">
            <w:pPr>
              <w:keepNext/>
              <w:jc w:val="right"/>
              <w:rPr>
                <w:rFonts w:eastAsia="Times New Roman"/>
                <w:color w:val="000000"/>
                <w:sz w:val="18"/>
                <w:szCs w:val="18"/>
              </w:rPr>
            </w:pPr>
            <w:r w:rsidRPr="00B75B77">
              <w:rPr>
                <w:rFonts w:eastAsia="Times New Roman"/>
                <w:color w:val="000000"/>
                <w:sz w:val="18"/>
                <w:szCs w:val="18"/>
              </w:rPr>
              <w:t>0</w:t>
            </w:r>
          </w:p>
        </w:tc>
      </w:tr>
      <w:tr w:rsidR="002E73D2" w:rsidRPr="00B75B77" w:rsidTr="00C15945">
        <w:trPr>
          <w:divId w:val="746154423"/>
          <w:trHeight w:val="115"/>
        </w:trPr>
        <w:tc>
          <w:tcPr>
            <w:tcW w:w="9450" w:type="dxa"/>
            <w:gridSpan w:val="4"/>
            <w:tcBorders>
              <w:top w:val="nil"/>
              <w:left w:val="single" w:sz="4" w:space="0" w:color="448A99"/>
              <w:bottom w:val="single" w:sz="4" w:space="0" w:color="448A99"/>
              <w:right w:val="single" w:sz="4" w:space="0" w:color="448A99"/>
            </w:tcBorders>
            <w:shd w:val="clear" w:color="auto" w:fill="AEAAAA"/>
            <w:noWrap/>
            <w:vAlign w:val="center"/>
            <w:hideMark/>
          </w:tcPr>
          <w:p w:rsidR="002E73D2" w:rsidRPr="00B75B77" w:rsidRDefault="002E73D2" w:rsidP="009070DC">
            <w:pPr>
              <w:keepNext/>
              <w:jc w:val="left"/>
              <w:rPr>
                <w:rFonts w:eastAsia="Times New Roman"/>
                <w:b/>
                <w:bCs/>
                <w:color w:val="FFFFFF"/>
                <w:sz w:val="18"/>
                <w:szCs w:val="18"/>
              </w:rPr>
            </w:pPr>
            <w:r w:rsidRPr="00B75B77">
              <w:rPr>
                <w:rFonts w:eastAsia="Times New Roman"/>
                <w:b/>
                <w:bCs/>
                <w:color w:val="FFFFFF"/>
                <w:sz w:val="18"/>
                <w:szCs w:val="18"/>
              </w:rPr>
              <w:t> </w:t>
            </w:r>
          </w:p>
        </w:tc>
      </w:tr>
      <w:tr w:rsidR="00EB039C" w:rsidRPr="00B75B77" w:rsidTr="00811E5F">
        <w:trPr>
          <w:divId w:val="746154423"/>
          <w:trHeight w:val="288"/>
        </w:trPr>
        <w:tc>
          <w:tcPr>
            <w:tcW w:w="900" w:type="dxa"/>
            <w:tcBorders>
              <w:top w:val="nil"/>
              <w:left w:val="single" w:sz="4" w:space="0" w:color="448A99"/>
              <w:bottom w:val="single" w:sz="4" w:space="0" w:color="448A99"/>
              <w:right w:val="single" w:sz="4" w:space="0" w:color="448A99"/>
            </w:tcBorders>
            <w:shd w:val="clear" w:color="auto" w:fill="auto"/>
            <w:noWrap/>
            <w:vAlign w:val="center"/>
            <w:hideMark/>
          </w:tcPr>
          <w:p w:rsidR="00EB039C" w:rsidRPr="00B75B77" w:rsidRDefault="00EB039C" w:rsidP="009070DC">
            <w:pPr>
              <w:keepNext/>
              <w:jc w:val="center"/>
              <w:rPr>
                <w:rFonts w:eastAsia="Times New Roman"/>
                <w:b/>
                <w:bCs/>
                <w:color w:val="000000"/>
                <w:sz w:val="18"/>
                <w:szCs w:val="18"/>
              </w:rPr>
            </w:pPr>
            <w:r w:rsidRPr="00B75B77">
              <w:rPr>
                <w:rFonts w:eastAsia="Times New Roman"/>
                <w:b/>
                <w:bCs/>
                <w:color w:val="000000"/>
                <w:sz w:val="18"/>
                <w:szCs w:val="18"/>
              </w:rPr>
              <w:t>11</w:t>
            </w:r>
          </w:p>
        </w:tc>
        <w:tc>
          <w:tcPr>
            <w:tcW w:w="5565" w:type="dxa"/>
            <w:tcBorders>
              <w:top w:val="nil"/>
              <w:left w:val="nil"/>
              <w:bottom w:val="single" w:sz="4" w:space="0" w:color="448A99"/>
              <w:right w:val="single" w:sz="4" w:space="0" w:color="448A99"/>
            </w:tcBorders>
            <w:shd w:val="clear" w:color="auto" w:fill="auto"/>
            <w:noWrap/>
            <w:vAlign w:val="center"/>
            <w:hideMark/>
          </w:tcPr>
          <w:p w:rsidR="00EB039C" w:rsidRPr="00B75B77" w:rsidRDefault="00EB039C" w:rsidP="009070DC">
            <w:pPr>
              <w:keepNext/>
              <w:jc w:val="left"/>
              <w:rPr>
                <w:rFonts w:eastAsia="Times New Roman"/>
                <w:color w:val="000000"/>
                <w:sz w:val="18"/>
                <w:szCs w:val="18"/>
              </w:rPr>
            </w:pPr>
            <w:r w:rsidRPr="00B75B77">
              <w:rPr>
                <w:rFonts w:eastAsia="Times New Roman"/>
                <w:color w:val="000000"/>
                <w:sz w:val="18"/>
                <w:szCs w:val="18"/>
              </w:rPr>
              <w:t>Increases in Costs of Natural Gas (or Other Fuels) for Fuel-Switching Programs</w:t>
            </w:r>
          </w:p>
        </w:tc>
        <w:tc>
          <w:tcPr>
            <w:tcW w:w="1365" w:type="dxa"/>
            <w:tcBorders>
              <w:top w:val="nil"/>
              <w:left w:val="nil"/>
              <w:bottom w:val="single" w:sz="4" w:space="0" w:color="448A99"/>
              <w:right w:val="single" w:sz="4" w:space="0" w:color="448A99"/>
            </w:tcBorders>
            <w:shd w:val="clear" w:color="auto" w:fill="auto"/>
            <w:vAlign w:val="center"/>
            <w:hideMark/>
          </w:tcPr>
          <w:p w:rsidR="00EB039C" w:rsidRPr="00B75B77" w:rsidRDefault="00EB039C" w:rsidP="009070DC">
            <w:pPr>
              <w:keepNext/>
              <w:jc w:val="right"/>
              <w:rPr>
                <w:rFonts w:eastAsia="Times New Roman"/>
                <w:color w:val="000000"/>
                <w:sz w:val="18"/>
                <w:szCs w:val="18"/>
              </w:rPr>
            </w:pPr>
            <w:r w:rsidRPr="00B75B77">
              <w:rPr>
                <w:rFonts w:eastAsia="Times New Roman"/>
                <w:color w:val="000000"/>
                <w:sz w:val="18"/>
                <w:szCs w:val="18"/>
              </w:rPr>
              <w:t>0</w:t>
            </w:r>
          </w:p>
        </w:tc>
        <w:tc>
          <w:tcPr>
            <w:tcW w:w="1620" w:type="dxa"/>
            <w:tcBorders>
              <w:top w:val="nil"/>
              <w:left w:val="nil"/>
              <w:bottom w:val="single" w:sz="4" w:space="0" w:color="448A99"/>
              <w:right w:val="single" w:sz="4" w:space="0" w:color="448A99"/>
            </w:tcBorders>
            <w:shd w:val="clear" w:color="auto" w:fill="auto"/>
            <w:vAlign w:val="center"/>
            <w:hideMark/>
          </w:tcPr>
          <w:p w:rsidR="00EB039C" w:rsidRPr="00B75B77" w:rsidRDefault="00EB039C" w:rsidP="009070DC">
            <w:pPr>
              <w:keepNext/>
              <w:jc w:val="right"/>
              <w:rPr>
                <w:rFonts w:eastAsia="Times New Roman"/>
                <w:color w:val="000000"/>
                <w:sz w:val="18"/>
                <w:szCs w:val="18"/>
              </w:rPr>
            </w:pPr>
            <w:r w:rsidRPr="00B75B77">
              <w:rPr>
                <w:rFonts w:eastAsia="Times New Roman"/>
                <w:color w:val="000000"/>
                <w:sz w:val="18"/>
                <w:szCs w:val="18"/>
              </w:rPr>
              <w:t>0</w:t>
            </w:r>
          </w:p>
        </w:tc>
      </w:tr>
      <w:tr w:rsidR="002E73D2" w:rsidRPr="00B75B77" w:rsidTr="00C15945">
        <w:trPr>
          <w:divId w:val="746154423"/>
          <w:trHeight w:val="115"/>
        </w:trPr>
        <w:tc>
          <w:tcPr>
            <w:tcW w:w="9450" w:type="dxa"/>
            <w:gridSpan w:val="4"/>
            <w:tcBorders>
              <w:top w:val="nil"/>
              <w:left w:val="single" w:sz="4" w:space="0" w:color="448A99"/>
              <w:bottom w:val="single" w:sz="4" w:space="0" w:color="448A99"/>
              <w:right w:val="single" w:sz="4" w:space="0" w:color="448A99"/>
            </w:tcBorders>
            <w:shd w:val="clear" w:color="auto" w:fill="AEAAAA"/>
            <w:noWrap/>
            <w:vAlign w:val="center"/>
            <w:hideMark/>
          </w:tcPr>
          <w:p w:rsidR="002E73D2" w:rsidRPr="00B75B77" w:rsidRDefault="002E73D2" w:rsidP="009070DC">
            <w:pPr>
              <w:keepNext/>
              <w:jc w:val="left"/>
              <w:rPr>
                <w:rFonts w:eastAsia="Times New Roman"/>
                <w:b/>
                <w:bCs/>
                <w:color w:val="FFFFFF"/>
                <w:sz w:val="18"/>
                <w:szCs w:val="18"/>
              </w:rPr>
            </w:pPr>
            <w:r w:rsidRPr="00B75B77">
              <w:rPr>
                <w:rFonts w:eastAsia="Times New Roman"/>
                <w:b/>
                <w:bCs/>
                <w:color w:val="FFFFFF"/>
                <w:sz w:val="18"/>
                <w:szCs w:val="18"/>
              </w:rPr>
              <w:t> </w:t>
            </w:r>
          </w:p>
        </w:tc>
      </w:tr>
      <w:tr w:rsidR="00EB039C" w:rsidRPr="00B75B77" w:rsidTr="00811E5F">
        <w:trPr>
          <w:divId w:val="746154423"/>
          <w:trHeight w:val="288"/>
        </w:trPr>
        <w:tc>
          <w:tcPr>
            <w:tcW w:w="900" w:type="dxa"/>
            <w:tcBorders>
              <w:top w:val="nil"/>
              <w:left w:val="single" w:sz="4" w:space="0" w:color="448A99"/>
              <w:bottom w:val="single" w:sz="4" w:space="0" w:color="448A99"/>
              <w:right w:val="single" w:sz="4" w:space="0" w:color="448A99"/>
            </w:tcBorders>
            <w:shd w:val="clear" w:color="000000" w:fill="D2EAF1"/>
            <w:noWrap/>
            <w:vAlign w:val="center"/>
            <w:hideMark/>
          </w:tcPr>
          <w:p w:rsidR="00EB039C" w:rsidRPr="00B75B77" w:rsidRDefault="00EB039C" w:rsidP="009070DC">
            <w:pPr>
              <w:keepNext/>
              <w:jc w:val="center"/>
              <w:rPr>
                <w:rFonts w:eastAsia="Times New Roman"/>
                <w:b/>
                <w:bCs/>
                <w:color w:val="000000"/>
                <w:sz w:val="18"/>
                <w:szCs w:val="18"/>
              </w:rPr>
            </w:pPr>
            <w:r w:rsidRPr="00B75B77">
              <w:rPr>
                <w:rFonts w:eastAsia="Times New Roman"/>
                <w:b/>
                <w:bCs/>
                <w:color w:val="000000"/>
                <w:sz w:val="18"/>
                <w:szCs w:val="18"/>
              </w:rPr>
              <w:t>12</w:t>
            </w:r>
          </w:p>
        </w:tc>
        <w:tc>
          <w:tcPr>
            <w:tcW w:w="5565" w:type="dxa"/>
            <w:tcBorders>
              <w:top w:val="nil"/>
              <w:left w:val="nil"/>
              <w:bottom w:val="single" w:sz="4" w:space="0" w:color="448A99"/>
              <w:right w:val="single" w:sz="4" w:space="0" w:color="448A99"/>
            </w:tcBorders>
            <w:shd w:val="clear" w:color="000000" w:fill="D2EAF1"/>
            <w:noWrap/>
            <w:vAlign w:val="center"/>
            <w:hideMark/>
          </w:tcPr>
          <w:p w:rsidR="00EB039C" w:rsidRPr="00B75B77" w:rsidRDefault="00EB039C" w:rsidP="009070DC">
            <w:pPr>
              <w:keepNext/>
              <w:jc w:val="left"/>
              <w:rPr>
                <w:rFonts w:eastAsia="Times New Roman"/>
                <w:color w:val="000000"/>
                <w:sz w:val="18"/>
                <w:szCs w:val="18"/>
              </w:rPr>
            </w:pPr>
            <w:r w:rsidRPr="00B75B77">
              <w:rPr>
                <w:rFonts w:eastAsia="Times New Roman"/>
                <w:color w:val="000000"/>
                <w:sz w:val="18"/>
                <w:szCs w:val="18"/>
              </w:rPr>
              <w:t>Total TRC Costs</w:t>
            </w:r>
            <w:r w:rsidRPr="00B75B77">
              <w:rPr>
                <w:rFonts w:eastAsia="Times New Roman"/>
                <w:color w:val="000000"/>
                <w:sz w:val="18"/>
                <w:szCs w:val="18"/>
                <w:vertAlign w:val="superscript"/>
              </w:rPr>
              <w:t>[5]</w:t>
            </w:r>
          </w:p>
        </w:tc>
        <w:tc>
          <w:tcPr>
            <w:tcW w:w="1365"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9070DC">
            <w:pPr>
              <w:keepNext/>
              <w:jc w:val="right"/>
              <w:rPr>
                <w:rFonts w:eastAsia="Times New Roman"/>
                <w:color w:val="000000"/>
                <w:sz w:val="18"/>
                <w:szCs w:val="18"/>
              </w:rPr>
            </w:pPr>
            <w:r w:rsidRPr="00B75B77">
              <w:rPr>
                <w:rFonts w:eastAsia="Times New Roman"/>
                <w:color w:val="000000"/>
                <w:sz w:val="18"/>
                <w:szCs w:val="18"/>
              </w:rPr>
              <w:t>450</w:t>
            </w:r>
          </w:p>
        </w:tc>
        <w:tc>
          <w:tcPr>
            <w:tcW w:w="162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9070DC">
            <w:pPr>
              <w:keepNext/>
              <w:jc w:val="right"/>
              <w:rPr>
                <w:rFonts w:eastAsia="Times New Roman"/>
                <w:color w:val="000000"/>
                <w:sz w:val="18"/>
                <w:szCs w:val="18"/>
              </w:rPr>
            </w:pPr>
            <w:r w:rsidRPr="00B75B77">
              <w:rPr>
                <w:rFonts w:eastAsia="Times New Roman"/>
                <w:color w:val="000000"/>
                <w:sz w:val="18"/>
                <w:szCs w:val="18"/>
              </w:rPr>
              <w:t>1,351</w:t>
            </w:r>
          </w:p>
        </w:tc>
      </w:tr>
      <w:tr w:rsidR="00EB039C" w:rsidRPr="00B75B77" w:rsidTr="00811E5F">
        <w:trPr>
          <w:divId w:val="746154423"/>
          <w:trHeight w:val="288"/>
        </w:trPr>
        <w:tc>
          <w:tcPr>
            <w:tcW w:w="900" w:type="dxa"/>
            <w:tcBorders>
              <w:top w:val="nil"/>
              <w:left w:val="single" w:sz="4" w:space="0" w:color="448A99"/>
              <w:bottom w:val="single" w:sz="4" w:space="0" w:color="448A99"/>
              <w:right w:val="single" w:sz="4" w:space="0" w:color="448A99"/>
            </w:tcBorders>
            <w:shd w:val="clear" w:color="auto" w:fill="auto"/>
            <w:noWrap/>
            <w:vAlign w:val="center"/>
            <w:hideMark/>
          </w:tcPr>
          <w:p w:rsidR="00EB039C" w:rsidRPr="00B75B77" w:rsidRDefault="00EB039C" w:rsidP="009070DC">
            <w:pPr>
              <w:keepNext/>
              <w:jc w:val="center"/>
              <w:rPr>
                <w:rFonts w:eastAsia="Times New Roman"/>
                <w:b/>
                <w:bCs/>
                <w:color w:val="000000"/>
                <w:sz w:val="18"/>
                <w:szCs w:val="18"/>
              </w:rPr>
            </w:pPr>
            <w:r w:rsidRPr="00B75B77">
              <w:rPr>
                <w:rFonts w:eastAsia="Times New Roman"/>
                <w:b/>
                <w:bCs/>
                <w:color w:val="000000"/>
                <w:sz w:val="18"/>
                <w:szCs w:val="18"/>
              </w:rPr>
              <w:t>13</w:t>
            </w:r>
          </w:p>
        </w:tc>
        <w:tc>
          <w:tcPr>
            <w:tcW w:w="5565" w:type="dxa"/>
            <w:tcBorders>
              <w:top w:val="nil"/>
              <w:left w:val="nil"/>
              <w:bottom w:val="single" w:sz="4" w:space="0" w:color="448A99"/>
              <w:right w:val="single" w:sz="4" w:space="0" w:color="448A99"/>
            </w:tcBorders>
            <w:shd w:val="clear" w:color="auto" w:fill="auto"/>
            <w:noWrap/>
            <w:vAlign w:val="center"/>
            <w:hideMark/>
          </w:tcPr>
          <w:p w:rsidR="00EB039C" w:rsidRPr="00B75B77" w:rsidRDefault="00EB039C" w:rsidP="009070DC">
            <w:pPr>
              <w:keepNext/>
              <w:jc w:val="left"/>
              <w:rPr>
                <w:rFonts w:eastAsia="Times New Roman"/>
                <w:color w:val="000000"/>
                <w:sz w:val="18"/>
                <w:szCs w:val="18"/>
              </w:rPr>
            </w:pPr>
            <w:r w:rsidRPr="00B75B77">
              <w:rPr>
                <w:rFonts w:eastAsia="Times New Roman"/>
                <w:color w:val="000000"/>
                <w:sz w:val="18"/>
                <w:szCs w:val="18"/>
              </w:rPr>
              <w:t>Total NPV Lifetime Energy Benefits</w:t>
            </w:r>
          </w:p>
        </w:tc>
        <w:tc>
          <w:tcPr>
            <w:tcW w:w="1365" w:type="dxa"/>
            <w:tcBorders>
              <w:top w:val="nil"/>
              <w:left w:val="nil"/>
              <w:bottom w:val="single" w:sz="4" w:space="0" w:color="448A99"/>
              <w:right w:val="single" w:sz="4" w:space="0" w:color="448A99"/>
            </w:tcBorders>
            <w:shd w:val="clear" w:color="auto" w:fill="auto"/>
            <w:vAlign w:val="center"/>
            <w:hideMark/>
          </w:tcPr>
          <w:p w:rsidR="00EB039C" w:rsidRPr="00B75B77" w:rsidRDefault="00EB039C" w:rsidP="009070DC">
            <w:pPr>
              <w:keepNext/>
              <w:jc w:val="right"/>
              <w:rPr>
                <w:rFonts w:eastAsia="Times New Roman"/>
                <w:color w:val="000000"/>
                <w:sz w:val="18"/>
                <w:szCs w:val="18"/>
              </w:rPr>
            </w:pPr>
            <w:r w:rsidRPr="00B75B77">
              <w:rPr>
                <w:rFonts w:eastAsia="Times New Roman"/>
                <w:color w:val="000000"/>
                <w:sz w:val="18"/>
                <w:szCs w:val="18"/>
              </w:rPr>
              <w:t>1,580</w:t>
            </w:r>
          </w:p>
        </w:tc>
        <w:tc>
          <w:tcPr>
            <w:tcW w:w="1620" w:type="dxa"/>
            <w:tcBorders>
              <w:top w:val="nil"/>
              <w:left w:val="nil"/>
              <w:bottom w:val="single" w:sz="4" w:space="0" w:color="448A99"/>
              <w:right w:val="single" w:sz="4" w:space="0" w:color="448A99"/>
            </w:tcBorders>
            <w:shd w:val="clear" w:color="auto" w:fill="auto"/>
            <w:vAlign w:val="center"/>
            <w:hideMark/>
          </w:tcPr>
          <w:p w:rsidR="00EB039C" w:rsidRPr="00B75B77" w:rsidRDefault="00EB039C" w:rsidP="009070DC">
            <w:pPr>
              <w:keepNext/>
              <w:jc w:val="right"/>
              <w:rPr>
                <w:rFonts w:eastAsia="Times New Roman"/>
                <w:color w:val="000000"/>
                <w:sz w:val="18"/>
                <w:szCs w:val="18"/>
              </w:rPr>
            </w:pPr>
            <w:r w:rsidRPr="00B75B77">
              <w:rPr>
                <w:rFonts w:eastAsia="Times New Roman"/>
                <w:color w:val="000000"/>
                <w:sz w:val="18"/>
                <w:szCs w:val="18"/>
              </w:rPr>
              <w:t>4,717</w:t>
            </w:r>
          </w:p>
        </w:tc>
      </w:tr>
      <w:tr w:rsidR="00EB039C" w:rsidRPr="00B75B77" w:rsidTr="00811E5F">
        <w:trPr>
          <w:divId w:val="746154423"/>
          <w:trHeight w:val="288"/>
        </w:trPr>
        <w:tc>
          <w:tcPr>
            <w:tcW w:w="900" w:type="dxa"/>
            <w:tcBorders>
              <w:top w:val="nil"/>
              <w:left w:val="single" w:sz="4" w:space="0" w:color="448A99"/>
              <w:bottom w:val="single" w:sz="4" w:space="0" w:color="448A99"/>
              <w:right w:val="single" w:sz="4" w:space="0" w:color="448A99"/>
            </w:tcBorders>
            <w:shd w:val="clear" w:color="000000" w:fill="D2EAF1"/>
            <w:noWrap/>
            <w:vAlign w:val="center"/>
            <w:hideMark/>
          </w:tcPr>
          <w:p w:rsidR="00EB039C" w:rsidRPr="00B75B77" w:rsidRDefault="00EB039C" w:rsidP="009070DC">
            <w:pPr>
              <w:keepNext/>
              <w:jc w:val="center"/>
              <w:rPr>
                <w:rFonts w:eastAsia="Times New Roman"/>
                <w:b/>
                <w:bCs/>
                <w:color w:val="000000"/>
                <w:sz w:val="18"/>
                <w:szCs w:val="18"/>
              </w:rPr>
            </w:pPr>
            <w:r w:rsidRPr="00B75B77">
              <w:rPr>
                <w:rFonts w:eastAsia="Times New Roman"/>
                <w:b/>
                <w:bCs/>
                <w:color w:val="000000"/>
                <w:sz w:val="18"/>
                <w:szCs w:val="18"/>
              </w:rPr>
              <w:t>14</w:t>
            </w:r>
          </w:p>
        </w:tc>
        <w:tc>
          <w:tcPr>
            <w:tcW w:w="5565" w:type="dxa"/>
            <w:tcBorders>
              <w:top w:val="nil"/>
              <w:left w:val="nil"/>
              <w:bottom w:val="single" w:sz="4" w:space="0" w:color="448A99"/>
              <w:right w:val="single" w:sz="4" w:space="0" w:color="448A99"/>
            </w:tcBorders>
            <w:shd w:val="clear" w:color="000000" w:fill="D2EAF1"/>
            <w:noWrap/>
            <w:vAlign w:val="center"/>
            <w:hideMark/>
          </w:tcPr>
          <w:p w:rsidR="00EB039C" w:rsidRPr="00B75B77" w:rsidRDefault="00EB039C" w:rsidP="009070DC">
            <w:pPr>
              <w:keepNext/>
              <w:jc w:val="left"/>
              <w:rPr>
                <w:rFonts w:eastAsia="Times New Roman"/>
                <w:color w:val="000000"/>
                <w:sz w:val="18"/>
                <w:szCs w:val="18"/>
              </w:rPr>
            </w:pPr>
            <w:r w:rsidRPr="00B75B77">
              <w:rPr>
                <w:rFonts w:eastAsia="Times New Roman"/>
                <w:color w:val="000000"/>
                <w:sz w:val="18"/>
                <w:szCs w:val="18"/>
              </w:rPr>
              <w:t>Total NPV Lifetime Capacity Benefits</w:t>
            </w:r>
          </w:p>
        </w:tc>
        <w:tc>
          <w:tcPr>
            <w:tcW w:w="1365"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9070DC">
            <w:pPr>
              <w:keepNext/>
              <w:jc w:val="right"/>
              <w:rPr>
                <w:rFonts w:eastAsia="Times New Roman"/>
                <w:color w:val="000000"/>
                <w:sz w:val="18"/>
                <w:szCs w:val="18"/>
              </w:rPr>
            </w:pPr>
            <w:r w:rsidRPr="00B75B77">
              <w:rPr>
                <w:rFonts w:eastAsia="Times New Roman"/>
                <w:color w:val="000000"/>
                <w:sz w:val="18"/>
                <w:szCs w:val="18"/>
              </w:rPr>
              <w:t>98</w:t>
            </w:r>
          </w:p>
        </w:tc>
        <w:tc>
          <w:tcPr>
            <w:tcW w:w="162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9070DC">
            <w:pPr>
              <w:keepNext/>
              <w:jc w:val="right"/>
              <w:rPr>
                <w:rFonts w:eastAsia="Times New Roman"/>
                <w:color w:val="000000"/>
                <w:sz w:val="18"/>
                <w:szCs w:val="18"/>
              </w:rPr>
            </w:pPr>
            <w:r w:rsidRPr="00B75B77">
              <w:rPr>
                <w:rFonts w:eastAsia="Times New Roman"/>
                <w:color w:val="000000"/>
                <w:sz w:val="18"/>
                <w:szCs w:val="18"/>
              </w:rPr>
              <w:t>260</w:t>
            </w:r>
          </w:p>
        </w:tc>
      </w:tr>
      <w:tr w:rsidR="00EB039C" w:rsidRPr="00B75B77" w:rsidTr="00811E5F">
        <w:trPr>
          <w:divId w:val="746154423"/>
          <w:trHeight w:val="288"/>
        </w:trPr>
        <w:tc>
          <w:tcPr>
            <w:tcW w:w="900" w:type="dxa"/>
            <w:tcBorders>
              <w:top w:val="nil"/>
              <w:left w:val="single" w:sz="4" w:space="0" w:color="448A99"/>
              <w:bottom w:val="single" w:sz="4" w:space="0" w:color="448A99"/>
              <w:right w:val="single" w:sz="4" w:space="0" w:color="448A99"/>
            </w:tcBorders>
            <w:shd w:val="clear" w:color="auto" w:fill="auto"/>
            <w:noWrap/>
            <w:vAlign w:val="center"/>
            <w:hideMark/>
          </w:tcPr>
          <w:p w:rsidR="00EB039C" w:rsidRPr="00B75B77" w:rsidRDefault="00EB039C" w:rsidP="009070DC">
            <w:pPr>
              <w:keepNext/>
              <w:jc w:val="center"/>
              <w:rPr>
                <w:rFonts w:eastAsia="Times New Roman"/>
                <w:b/>
                <w:bCs/>
                <w:color w:val="000000"/>
                <w:sz w:val="18"/>
                <w:szCs w:val="18"/>
              </w:rPr>
            </w:pPr>
            <w:r w:rsidRPr="00B75B77">
              <w:rPr>
                <w:rFonts w:eastAsia="Times New Roman"/>
                <w:b/>
                <w:bCs/>
                <w:color w:val="000000"/>
                <w:sz w:val="18"/>
                <w:szCs w:val="18"/>
              </w:rPr>
              <w:t>15</w:t>
            </w:r>
          </w:p>
        </w:tc>
        <w:tc>
          <w:tcPr>
            <w:tcW w:w="5565" w:type="dxa"/>
            <w:tcBorders>
              <w:top w:val="nil"/>
              <w:left w:val="nil"/>
              <w:bottom w:val="single" w:sz="4" w:space="0" w:color="448A99"/>
              <w:right w:val="single" w:sz="4" w:space="0" w:color="448A99"/>
            </w:tcBorders>
            <w:shd w:val="clear" w:color="auto" w:fill="auto"/>
            <w:noWrap/>
            <w:vAlign w:val="center"/>
            <w:hideMark/>
          </w:tcPr>
          <w:p w:rsidR="00EB039C" w:rsidRPr="00B75B77" w:rsidRDefault="00EB039C" w:rsidP="009070DC">
            <w:pPr>
              <w:keepNext/>
              <w:jc w:val="left"/>
              <w:rPr>
                <w:rFonts w:eastAsia="Times New Roman"/>
                <w:color w:val="000000"/>
                <w:sz w:val="18"/>
                <w:szCs w:val="18"/>
              </w:rPr>
            </w:pPr>
            <w:r w:rsidRPr="00B75B77">
              <w:rPr>
                <w:rFonts w:eastAsia="Times New Roman"/>
                <w:color w:val="000000"/>
                <w:sz w:val="18"/>
                <w:szCs w:val="18"/>
              </w:rPr>
              <w:t>Total NPV TRC Benefits</w:t>
            </w:r>
            <w:r w:rsidRPr="00B75B77">
              <w:rPr>
                <w:rFonts w:eastAsia="Times New Roman"/>
                <w:color w:val="000000"/>
                <w:sz w:val="18"/>
                <w:szCs w:val="18"/>
                <w:vertAlign w:val="superscript"/>
              </w:rPr>
              <w:t>[6]</w:t>
            </w:r>
          </w:p>
        </w:tc>
        <w:tc>
          <w:tcPr>
            <w:tcW w:w="1365" w:type="dxa"/>
            <w:tcBorders>
              <w:top w:val="nil"/>
              <w:left w:val="nil"/>
              <w:bottom w:val="single" w:sz="4" w:space="0" w:color="448A99"/>
              <w:right w:val="single" w:sz="4" w:space="0" w:color="448A99"/>
            </w:tcBorders>
            <w:shd w:val="clear" w:color="auto" w:fill="auto"/>
            <w:vAlign w:val="center"/>
            <w:hideMark/>
          </w:tcPr>
          <w:p w:rsidR="00EB039C" w:rsidRPr="00B75B77" w:rsidRDefault="00EB039C" w:rsidP="009070DC">
            <w:pPr>
              <w:keepNext/>
              <w:jc w:val="right"/>
              <w:rPr>
                <w:rFonts w:eastAsia="Times New Roman"/>
                <w:color w:val="000000"/>
                <w:sz w:val="18"/>
                <w:szCs w:val="18"/>
              </w:rPr>
            </w:pPr>
            <w:r w:rsidRPr="00B75B77">
              <w:rPr>
                <w:rFonts w:eastAsia="Times New Roman"/>
                <w:color w:val="000000"/>
                <w:sz w:val="18"/>
                <w:szCs w:val="18"/>
              </w:rPr>
              <w:t>1,</w:t>
            </w:r>
            <w:r w:rsidR="009D186E" w:rsidRPr="00B75B77">
              <w:rPr>
                <w:rFonts w:eastAsia="Times New Roman"/>
                <w:color w:val="000000"/>
                <w:sz w:val="18"/>
                <w:szCs w:val="18"/>
              </w:rPr>
              <w:t>775</w:t>
            </w:r>
          </w:p>
        </w:tc>
        <w:tc>
          <w:tcPr>
            <w:tcW w:w="1620" w:type="dxa"/>
            <w:tcBorders>
              <w:top w:val="nil"/>
              <w:left w:val="nil"/>
              <w:bottom w:val="single" w:sz="4" w:space="0" w:color="448A99"/>
              <w:right w:val="single" w:sz="4" w:space="0" w:color="448A99"/>
            </w:tcBorders>
            <w:shd w:val="clear" w:color="auto" w:fill="auto"/>
            <w:vAlign w:val="center"/>
            <w:hideMark/>
          </w:tcPr>
          <w:p w:rsidR="00EB039C" w:rsidRPr="00B75B77" w:rsidRDefault="00EB039C" w:rsidP="009070DC">
            <w:pPr>
              <w:keepNext/>
              <w:jc w:val="right"/>
              <w:rPr>
                <w:rFonts w:eastAsia="Times New Roman"/>
                <w:color w:val="000000"/>
                <w:sz w:val="18"/>
                <w:szCs w:val="18"/>
              </w:rPr>
            </w:pPr>
            <w:r w:rsidRPr="00B75B77">
              <w:rPr>
                <w:rFonts w:eastAsia="Times New Roman"/>
                <w:color w:val="000000"/>
                <w:sz w:val="18"/>
                <w:szCs w:val="18"/>
              </w:rPr>
              <w:t>5,</w:t>
            </w:r>
            <w:r w:rsidR="009D186E" w:rsidRPr="00B75B77">
              <w:rPr>
                <w:rFonts w:eastAsia="Times New Roman"/>
                <w:color w:val="000000"/>
                <w:sz w:val="18"/>
                <w:szCs w:val="18"/>
              </w:rPr>
              <w:t>327</w:t>
            </w:r>
          </w:p>
        </w:tc>
      </w:tr>
      <w:tr w:rsidR="002E73D2" w:rsidRPr="00B75B77" w:rsidTr="00C15945">
        <w:trPr>
          <w:divId w:val="746154423"/>
          <w:trHeight w:val="115"/>
        </w:trPr>
        <w:tc>
          <w:tcPr>
            <w:tcW w:w="9450" w:type="dxa"/>
            <w:gridSpan w:val="4"/>
            <w:tcBorders>
              <w:top w:val="nil"/>
              <w:left w:val="single" w:sz="4" w:space="0" w:color="448A99"/>
              <w:bottom w:val="single" w:sz="4" w:space="0" w:color="448A99"/>
              <w:right w:val="single" w:sz="4" w:space="0" w:color="448A99"/>
            </w:tcBorders>
            <w:shd w:val="clear" w:color="auto" w:fill="AEAAAA"/>
            <w:noWrap/>
            <w:vAlign w:val="center"/>
            <w:hideMark/>
          </w:tcPr>
          <w:p w:rsidR="002E73D2" w:rsidRPr="00B75B77" w:rsidRDefault="002E73D2" w:rsidP="002E73D2">
            <w:pPr>
              <w:keepNext/>
              <w:jc w:val="left"/>
              <w:rPr>
                <w:rFonts w:eastAsia="Times New Roman"/>
                <w:b/>
                <w:bCs/>
                <w:color w:val="FFFFFF"/>
                <w:sz w:val="18"/>
                <w:szCs w:val="18"/>
              </w:rPr>
            </w:pPr>
            <w:r w:rsidRPr="00B75B77">
              <w:rPr>
                <w:rFonts w:eastAsia="Times New Roman"/>
                <w:b/>
                <w:bCs/>
                <w:color w:val="FFFFFF"/>
                <w:sz w:val="18"/>
                <w:szCs w:val="18"/>
              </w:rPr>
              <w:t>  </w:t>
            </w:r>
          </w:p>
        </w:tc>
      </w:tr>
      <w:tr w:rsidR="00EB039C" w:rsidRPr="00B75B77" w:rsidTr="00811E5F">
        <w:trPr>
          <w:divId w:val="746154423"/>
          <w:trHeight w:val="288"/>
        </w:trPr>
        <w:tc>
          <w:tcPr>
            <w:tcW w:w="900" w:type="dxa"/>
            <w:tcBorders>
              <w:top w:val="nil"/>
              <w:left w:val="single" w:sz="4" w:space="0" w:color="448A99"/>
              <w:bottom w:val="single" w:sz="4" w:space="0" w:color="448A99"/>
              <w:right w:val="single" w:sz="4" w:space="0" w:color="448A99"/>
            </w:tcBorders>
            <w:shd w:val="clear" w:color="000000" w:fill="D2EAF1"/>
            <w:noWrap/>
            <w:vAlign w:val="center"/>
            <w:hideMark/>
          </w:tcPr>
          <w:p w:rsidR="00EB039C" w:rsidRPr="00B75B77" w:rsidRDefault="00EB039C" w:rsidP="009070DC">
            <w:pPr>
              <w:keepNext/>
              <w:jc w:val="center"/>
              <w:rPr>
                <w:rFonts w:eastAsia="Times New Roman"/>
                <w:b/>
                <w:bCs/>
                <w:color w:val="000000"/>
                <w:sz w:val="18"/>
                <w:szCs w:val="18"/>
              </w:rPr>
            </w:pPr>
            <w:r w:rsidRPr="00B75B77">
              <w:rPr>
                <w:rFonts w:eastAsia="Times New Roman"/>
                <w:b/>
                <w:bCs/>
                <w:color w:val="000000"/>
                <w:sz w:val="18"/>
                <w:szCs w:val="18"/>
              </w:rPr>
              <w:t>16</w:t>
            </w:r>
          </w:p>
        </w:tc>
        <w:tc>
          <w:tcPr>
            <w:tcW w:w="5565" w:type="dxa"/>
            <w:tcBorders>
              <w:top w:val="nil"/>
              <w:left w:val="nil"/>
              <w:bottom w:val="single" w:sz="4" w:space="0" w:color="448A99"/>
              <w:right w:val="single" w:sz="4" w:space="0" w:color="448A99"/>
            </w:tcBorders>
            <w:shd w:val="clear" w:color="000000" w:fill="D2EAF1"/>
            <w:noWrap/>
            <w:vAlign w:val="center"/>
            <w:hideMark/>
          </w:tcPr>
          <w:p w:rsidR="00EB039C" w:rsidRPr="00B75B77" w:rsidRDefault="00EB039C" w:rsidP="009070DC">
            <w:pPr>
              <w:keepNext/>
              <w:jc w:val="left"/>
              <w:rPr>
                <w:rFonts w:eastAsia="Times New Roman"/>
                <w:color w:val="000000"/>
                <w:sz w:val="18"/>
                <w:szCs w:val="18"/>
              </w:rPr>
            </w:pPr>
            <w:r w:rsidRPr="00B75B77">
              <w:rPr>
                <w:rFonts w:eastAsia="Times New Roman"/>
                <w:color w:val="000000"/>
                <w:sz w:val="18"/>
                <w:szCs w:val="18"/>
              </w:rPr>
              <w:t>TRC Benefit-Cost Ratio</w:t>
            </w:r>
          </w:p>
        </w:tc>
        <w:tc>
          <w:tcPr>
            <w:tcW w:w="1365"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9070DC">
            <w:pPr>
              <w:keepNext/>
              <w:jc w:val="right"/>
              <w:rPr>
                <w:rFonts w:eastAsia="Times New Roman"/>
                <w:color w:val="000000"/>
                <w:sz w:val="18"/>
                <w:szCs w:val="18"/>
              </w:rPr>
            </w:pPr>
            <w:r w:rsidRPr="00B75B77">
              <w:rPr>
                <w:rFonts w:eastAsia="Times New Roman"/>
                <w:color w:val="000000"/>
                <w:sz w:val="18"/>
                <w:szCs w:val="18"/>
              </w:rPr>
              <w:t>3.</w:t>
            </w:r>
            <w:r w:rsidR="009D186E" w:rsidRPr="00B75B77">
              <w:rPr>
                <w:rFonts w:eastAsia="Times New Roman"/>
                <w:color w:val="000000"/>
                <w:sz w:val="18"/>
                <w:szCs w:val="18"/>
              </w:rPr>
              <w:t>94</w:t>
            </w:r>
          </w:p>
        </w:tc>
        <w:tc>
          <w:tcPr>
            <w:tcW w:w="1620" w:type="dxa"/>
            <w:tcBorders>
              <w:top w:val="nil"/>
              <w:left w:val="nil"/>
              <w:bottom w:val="single" w:sz="4" w:space="0" w:color="448A99"/>
              <w:right w:val="single" w:sz="4" w:space="0" w:color="448A99"/>
            </w:tcBorders>
            <w:shd w:val="clear" w:color="000000" w:fill="D2EAF1"/>
            <w:vAlign w:val="center"/>
            <w:hideMark/>
          </w:tcPr>
          <w:p w:rsidR="00EB039C" w:rsidRPr="00B75B77" w:rsidRDefault="00EB039C" w:rsidP="009070DC">
            <w:pPr>
              <w:keepNext/>
              <w:jc w:val="right"/>
              <w:rPr>
                <w:rFonts w:eastAsia="Times New Roman"/>
                <w:color w:val="000000"/>
                <w:sz w:val="18"/>
                <w:szCs w:val="18"/>
              </w:rPr>
            </w:pPr>
            <w:r w:rsidRPr="00B75B77">
              <w:rPr>
                <w:rFonts w:eastAsia="Times New Roman"/>
                <w:color w:val="000000"/>
                <w:sz w:val="18"/>
                <w:szCs w:val="18"/>
              </w:rPr>
              <w:t>3.</w:t>
            </w:r>
            <w:r w:rsidR="009D186E" w:rsidRPr="00B75B77">
              <w:rPr>
                <w:rFonts w:eastAsia="Times New Roman"/>
                <w:color w:val="000000"/>
                <w:sz w:val="18"/>
                <w:szCs w:val="18"/>
              </w:rPr>
              <w:t>94</w:t>
            </w:r>
          </w:p>
        </w:tc>
      </w:tr>
      <w:tr w:rsidR="00EB039C" w:rsidRPr="00B75B77" w:rsidTr="009070DC">
        <w:trPr>
          <w:divId w:val="746154423"/>
          <w:trHeight w:val="3185"/>
        </w:trPr>
        <w:tc>
          <w:tcPr>
            <w:tcW w:w="9450" w:type="dxa"/>
            <w:gridSpan w:val="4"/>
            <w:tcBorders>
              <w:top w:val="single" w:sz="4" w:space="0" w:color="448A99"/>
              <w:left w:val="single" w:sz="4" w:space="0" w:color="448A99"/>
              <w:bottom w:val="single" w:sz="4" w:space="0" w:color="448A99"/>
              <w:right w:val="single" w:sz="4" w:space="0" w:color="448A99"/>
            </w:tcBorders>
            <w:shd w:val="clear" w:color="auto" w:fill="auto"/>
            <w:hideMark/>
          </w:tcPr>
          <w:p w:rsidR="0009500C" w:rsidRPr="00B75B77" w:rsidRDefault="0009500C" w:rsidP="0009500C">
            <w:pPr>
              <w:keepNext/>
              <w:jc w:val="left"/>
              <w:rPr>
                <w:rFonts w:ascii="Calibri" w:eastAsia="Times New Roman" w:hAnsi="Calibri"/>
                <w:b/>
                <w:iCs/>
                <w:color w:val="000000"/>
                <w:sz w:val="18"/>
                <w:szCs w:val="18"/>
              </w:rPr>
            </w:pPr>
            <w:r w:rsidRPr="00B75B77">
              <w:rPr>
                <w:rFonts w:ascii="Calibri" w:eastAsia="Times New Roman" w:hAnsi="Calibri"/>
                <w:b/>
                <w:iCs/>
                <w:color w:val="000000"/>
                <w:sz w:val="18"/>
                <w:szCs w:val="18"/>
              </w:rPr>
              <w:t xml:space="preserve">Notes: </w:t>
            </w:r>
          </w:p>
          <w:p w:rsidR="00EB039C" w:rsidRPr="00B75B77" w:rsidRDefault="00EB039C" w:rsidP="008841E5">
            <w:pPr>
              <w:keepNext/>
              <w:jc w:val="left"/>
              <w:rPr>
                <w:rFonts w:eastAsia="Times New Roman"/>
                <w:color w:val="000000"/>
                <w:sz w:val="18"/>
                <w:szCs w:val="18"/>
              </w:rPr>
            </w:pPr>
            <w:r w:rsidRPr="00B75B77">
              <w:rPr>
                <w:rFonts w:eastAsia="Times New Roman"/>
                <w:color w:val="000000"/>
                <w:sz w:val="18"/>
                <w:szCs w:val="18"/>
              </w:rPr>
              <w:t xml:space="preserve">Per PUC direction, TRC inputs and calculations are required in the Annual Report only and should comply with the 2013 </w:t>
            </w:r>
            <w:r w:rsidR="008841E5" w:rsidRPr="00B75B77">
              <w:rPr>
                <w:rFonts w:eastAsia="Times New Roman"/>
                <w:color w:val="000000"/>
                <w:sz w:val="18"/>
                <w:szCs w:val="18"/>
              </w:rPr>
              <w:t xml:space="preserve">TRC </w:t>
            </w:r>
            <w:r w:rsidRPr="00B75B77">
              <w:rPr>
                <w:rFonts w:eastAsia="Times New Roman"/>
                <w:color w:val="000000"/>
                <w:sz w:val="18"/>
                <w:szCs w:val="18"/>
              </w:rPr>
              <w:t>Test Order. Please see the “Report Definitions” section of this report for more details.</w:t>
            </w:r>
            <w:r w:rsidRPr="00B75B77">
              <w:rPr>
                <w:rFonts w:eastAsia="Times New Roman"/>
                <w:color w:val="000000"/>
                <w:sz w:val="18"/>
                <w:szCs w:val="18"/>
              </w:rPr>
              <w:br/>
            </w:r>
            <w:r w:rsidRPr="00B75B77">
              <w:rPr>
                <w:rFonts w:eastAsia="Times New Roman"/>
                <w:color w:val="000000"/>
                <w:sz w:val="8"/>
                <w:szCs w:val="8"/>
              </w:rPr>
              <w:br/>
            </w:r>
            <w:r w:rsidRPr="00B75B77">
              <w:rPr>
                <w:rFonts w:eastAsia="Times New Roman"/>
                <w:color w:val="000000"/>
                <w:sz w:val="18"/>
                <w:szCs w:val="18"/>
                <w:vertAlign w:val="superscript"/>
              </w:rPr>
              <w:t>[1]</w:t>
            </w:r>
            <w:r w:rsidRPr="00B75B77">
              <w:rPr>
                <w:rFonts w:eastAsia="Times New Roman"/>
                <w:color w:val="000000"/>
                <w:sz w:val="18"/>
                <w:szCs w:val="18"/>
              </w:rPr>
              <w:t xml:space="preserve"> Includes rebate processing, tracking system, general administration, EDC and CSP program management, general management</w:t>
            </w:r>
            <w:r w:rsidR="008841E5" w:rsidRPr="00B75B77">
              <w:rPr>
                <w:rFonts w:eastAsia="Times New Roman"/>
                <w:color w:val="000000"/>
                <w:sz w:val="18"/>
                <w:szCs w:val="18"/>
              </w:rPr>
              <w:t>,</w:t>
            </w:r>
            <w:r w:rsidRPr="00B75B77">
              <w:rPr>
                <w:rFonts w:eastAsia="Times New Roman"/>
                <w:color w:val="000000"/>
                <w:sz w:val="18"/>
                <w:szCs w:val="18"/>
              </w:rPr>
              <w:t xml:space="preserve"> and legal and technical assistance</w:t>
            </w:r>
            <w:r w:rsidR="002E49B3" w:rsidRPr="00B75B77">
              <w:rPr>
                <w:rFonts w:eastAsia="Times New Roman"/>
                <w:color w:val="000000"/>
                <w:sz w:val="18"/>
                <w:szCs w:val="18"/>
              </w:rPr>
              <w:t xml:space="preserve">. </w:t>
            </w:r>
            <w:r w:rsidRPr="00B75B77">
              <w:rPr>
                <w:rFonts w:eastAsia="Times New Roman"/>
                <w:color w:val="000000"/>
                <w:sz w:val="18"/>
                <w:szCs w:val="18"/>
              </w:rPr>
              <w:br/>
            </w:r>
            <w:r w:rsidRPr="00B75B77">
              <w:rPr>
                <w:rFonts w:eastAsia="Times New Roman"/>
                <w:color w:val="000000"/>
                <w:sz w:val="18"/>
                <w:szCs w:val="18"/>
                <w:vertAlign w:val="superscript"/>
              </w:rPr>
              <w:t>[2]</w:t>
            </w:r>
            <w:r w:rsidRPr="00B75B77">
              <w:rPr>
                <w:rFonts w:eastAsia="Times New Roman"/>
                <w:color w:val="000000"/>
                <w:sz w:val="18"/>
                <w:szCs w:val="18"/>
              </w:rPr>
              <w:t xml:space="preserve"> Includes the marketing CSP and marketing costs by program CSPs. </w:t>
            </w:r>
            <w:r w:rsidRPr="00B75B77">
              <w:rPr>
                <w:rFonts w:eastAsia="Times New Roman"/>
                <w:color w:val="000000"/>
                <w:sz w:val="18"/>
                <w:szCs w:val="18"/>
              </w:rPr>
              <w:br/>
            </w:r>
            <w:r w:rsidRPr="00B75B77">
              <w:rPr>
                <w:rFonts w:eastAsia="Times New Roman"/>
                <w:color w:val="000000"/>
                <w:sz w:val="18"/>
                <w:szCs w:val="18"/>
                <w:vertAlign w:val="superscript"/>
              </w:rPr>
              <w:t>[3]</w:t>
            </w:r>
            <w:r w:rsidRPr="00B75B77">
              <w:rPr>
                <w:rFonts w:eastAsia="Times New Roman"/>
                <w:color w:val="000000"/>
                <w:sz w:val="18"/>
                <w:szCs w:val="18"/>
              </w:rPr>
              <w:t xml:space="preserve"> Total TRC Costs includes Total EDC Costs and Participant Costs.</w:t>
            </w:r>
            <w:r w:rsidRPr="00B75B77">
              <w:rPr>
                <w:rFonts w:eastAsia="Times New Roman"/>
                <w:color w:val="000000"/>
                <w:sz w:val="18"/>
                <w:szCs w:val="18"/>
              </w:rPr>
              <w:br/>
            </w:r>
            <w:r w:rsidRPr="00B75B77">
              <w:rPr>
                <w:rFonts w:eastAsia="Times New Roman"/>
                <w:color w:val="000000"/>
                <w:sz w:val="18"/>
                <w:szCs w:val="18"/>
                <w:vertAlign w:val="superscript"/>
              </w:rPr>
              <w:t>[4]</w:t>
            </w:r>
            <w:r w:rsidRPr="00B75B77">
              <w:rPr>
                <w:rFonts w:eastAsia="Times New Roman"/>
                <w:color w:val="000000"/>
                <w:sz w:val="18"/>
                <w:szCs w:val="18"/>
              </w:rPr>
              <w:t xml:space="preserve"> Total TRC Benefits equals the sum of Total Lifetime Energy Benefits and Total Lifetime Capacity Benefits</w:t>
            </w:r>
            <w:r w:rsidR="008841E5" w:rsidRPr="00B75B77">
              <w:rPr>
                <w:rFonts w:eastAsia="Times New Roman"/>
                <w:color w:val="000000"/>
                <w:sz w:val="18"/>
                <w:szCs w:val="18"/>
              </w:rPr>
              <w:t xml:space="preserve"> b</w:t>
            </w:r>
            <w:r w:rsidRPr="00B75B77">
              <w:rPr>
                <w:rFonts w:eastAsia="Times New Roman"/>
                <w:color w:val="000000"/>
                <w:sz w:val="18"/>
                <w:szCs w:val="18"/>
              </w:rPr>
              <w:t>ased upon verified gross kWh and kW savings. Benefits include avoided supply costs, including the reduction in costs of electric energy, generation, transmission, and distribution capacity, and natural gas valued at marginal cost for periods when there is a load reduction. NOTE: Savings carried over from Phase I are not to be included as a part of Total TRC Benefits for Phase II.</w:t>
            </w:r>
            <w:r w:rsidRPr="00B75B77">
              <w:rPr>
                <w:rFonts w:eastAsia="Times New Roman"/>
                <w:color w:val="000000"/>
                <w:sz w:val="18"/>
                <w:szCs w:val="18"/>
              </w:rPr>
              <w:br/>
            </w:r>
            <w:r w:rsidRPr="00B75B77">
              <w:rPr>
                <w:rFonts w:eastAsia="Times New Roman"/>
                <w:color w:val="000000"/>
                <w:sz w:val="18"/>
                <w:szCs w:val="18"/>
                <w:vertAlign w:val="superscript"/>
              </w:rPr>
              <w:t>[5]</w:t>
            </w:r>
            <w:r w:rsidRPr="00B75B77">
              <w:rPr>
                <w:rFonts w:eastAsia="Times New Roman"/>
                <w:color w:val="000000"/>
                <w:sz w:val="18"/>
                <w:szCs w:val="18"/>
              </w:rPr>
              <w:t xml:space="preserve"> TRC Ratio equals Total NPV TRC Benefits divided by Total NPV TRC Costs.</w:t>
            </w:r>
            <w:r w:rsidRPr="00B75B77">
              <w:rPr>
                <w:rFonts w:eastAsia="Times New Roman"/>
                <w:color w:val="000000"/>
                <w:sz w:val="18"/>
                <w:szCs w:val="18"/>
              </w:rPr>
              <w:br/>
            </w:r>
            <w:r w:rsidRPr="00B75B77">
              <w:rPr>
                <w:rFonts w:eastAsia="Times New Roman"/>
                <w:color w:val="000000"/>
                <w:sz w:val="8"/>
                <w:szCs w:val="8"/>
              </w:rPr>
              <w:br/>
            </w:r>
            <w:r w:rsidRPr="00B75B77">
              <w:rPr>
                <w:rFonts w:eastAsia="Times New Roman"/>
                <w:iCs/>
                <w:color w:val="000000"/>
                <w:sz w:val="18"/>
                <w:szCs w:val="18"/>
              </w:rPr>
              <w:t xml:space="preserve">Values in tables may not reconcile exactly with </w:t>
            </w:r>
            <w:r w:rsidR="008841E5" w:rsidRPr="00B75B77">
              <w:rPr>
                <w:rFonts w:eastAsia="Times New Roman"/>
                <w:iCs/>
                <w:color w:val="000000"/>
                <w:sz w:val="18"/>
                <w:szCs w:val="18"/>
              </w:rPr>
              <w:t xml:space="preserve">the </w:t>
            </w:r>
            <w:r w:rsidRPr="00B75B77">
              <w:rPr>
                <w:rFonts w:eastAsia="Times New Roman"/>
                <w:iCs/>
                <w:color w:val="000000"/>
                <w:sz w:val="18"/>
                <w:szCs w:val="18"/>
              </w:rPr>
              <w:t>sum of more detailed level results or previously reported results due to rounding</w:t>
            </w:r>
            <w:r w:rsidRPr="00B75B77">
              <w:rPr>
                <w:rFonts w:eastAsia="Times New Roman"/>
                <w:color w:val="000000"/>
                <w:sz w:val="18"/>
                <w:szCs w:val="18"/>
              </w:rPr>
              <w:t>.</w:t>
            </w:r>
          </w:p>
        </w:tc>
      </w:tr>
    </w:tbl>
    <w:p w:rsidR="00EB039C" w:rsidRPr="00B75B77" w:rsidRDefault="00EB039C" w:rsidP="009070DC">
      <w:pPr>
        <w:pStyle w:val="Source"/>
        <w:keepNext/>
      </w:pPr>
      <w:r w:rsidRPr="00B75B77">
        <w:t>Source: Navigant analysis</w:t>
      </w:r>
    </w:p>
    <w:p w:rsidR="00EB039C" w:rsidRPr="00B75B77" w:rsidRDefault="00EB039C" w:rsidP="00811E5F"/>
    <w:p w:rsidR="009070DC" w:rsidRPr="00B75B77" w:rsidRDefault="009070DC"/>
    <w:p w:rsidR="009070DC" w:rsidRPr="00B75B77" w:rsidRDefault="009070DC">
      <w:pPr>
        <w:sectPr w:rsidR="009070DC" w:rsidRPr="00B75B77" w:rsidSect="00B5438D">
          <w:pgSz w:w="12240" w:h="15840" w:code="1"/>
          <w:pgMar w:top="1170" w:right="1440" w:bottom="1260" w:left="1440" w:header="576" w:footer="475" w:gutter="0"/>
          <w:cols w:space="720"/>
          <w:docGrid w:linePitch="360"/>
        </w:sectPr>
      </w:pPr>
    </w:p>
    <w:p w:rsidR="00893676" w:rsidRPr="00B75B77" w:rsidRDefault="00893676" w:rsidP="00751A38">
      <w:pPr>
        <w:pStyle w:val="Heading1"/>
        <w:pageBreakBefore/>
        <w:ind w:left="432" w:hanging="432"/>
      </w:pPr>
      <w:bookmarkStart w:id="501" w:name="_Toc434597796"/>
      <w:bookmarkStart w:id="502" w:name="_Toc466413343"/>
      <w:r w:rsidRPr="00B75B77">
        <w:lastRenderedPageBreak/>
        <w:t>Smart Builder Rebates</w:t>
      </w:r>
      <w:bookmarkEnd w:id="501"/>
      <w:r w:rsidR="002922A4" w:rsidRPr="00B75B77">
        <w:t xml:space="preserve"> Program</w:t>
      </w:r>
      <w:bookmarkEnd w:id="502"/>
    </w:p>
    <w:p w:rsidR="00893676" w:rsidRPr="00B75B77" w:rsidRDefault="00893676" w:rsidP="00751A38">
      <w:r w:rsidRPr="00B75B77">
        <w:t>PECO</w:t>
      </w:r>
      <w:r w:rsidR="002B3866" w:rsidRPr="00B75B77">
        <w:t>’s</w:t>
      </w:r>
      <w:r w:rsidRPr="00B75B77">
        <w:t xml:space="preserve"> Smart Builder Rebates (SBR) program </w:t>
      </w:r>
      <w:r w:rsidR="002B3866" w:rsidRPr="00B75B77">
        <w:t xml:space="preserve">intends </w:t>
      </w:r>
      <w:r w:rsidRPr="00B75B77">
        <w:t xml:space="preserve">to accelerate the adoption of energy efficiency in the design, construction, and operation of new single-family homes by leveraging the US Environmental Protection Agency’s (EPA’s) </w:t>
      </w:r>
      <w:proofErr w:type="gramStart"/>
      <w:r w:rsidRPr="00B75B77">
        <w:t>ENERGY STAR Homes</w:t>
      </w:r>
      <w:proofErr w:type="gramEnd"/>
      <w:r w:rsidRPr="00B75B77">
        <w:t xml:space="preserve"> certification</w:t>
      </w:r>
      <w:r w:rsidR="002B3866" w:rsidRPr="00B75B77">
        <w:t>.</w:t>
      </w:r>
      <w:r w:rsidRPr="00B75B77">
        <w:rPr>
          <w:rStyle w:val="FootnoteReference"/>
        </w:rPr>
        <w:footnoteReference w:id="41"/>
      </w:r>
      <w:r w:rsidRPr="00B75B77">
        <w:t xml:space="preserve"> The program provides rebates to builders for new homes that achieve ENERGY STAR certification, including a base rebate of $400 per home, plus $0.10 per kWh of savings achieved. </w:t>
      </w:r>
    </w:p>
    <w:p w:rsidR="001E65E7" w:rsidRPr="00B75B77" w:rsidRDefault="001E65E7" w:rsidP="00751A38"/>
    <w:p w:rsidR="001E65E7" w:rsidRPr="00B75B77" w:rsidRDefault="001E65E7" w:rsidP="001E65E7">
      <w:pPr>
        <w:rPr>
          <w:rFonts w:ascii="Arial" w:hAnsi="Arial"/>
        </w:rPr>
      </w:pPr>
      <w:r w:rsidRPr="00B75B77">
        <w:t xml:space="preserve">PECO hired a CSP, ICF International, to market and implement the program throughout PECO’s service territory. The CSP was responsible for recruiting and mentoring homebuilders and </w:t>
      </w:r>
      <w:r w:rsidR="00C22CCC" w:rsidRPr="00B75B77">
        <w:t>Home Energy Rating System (</w:t>
      </w:r>
      <w:r w:rsidRPr="00B75B77">
        <w:t>HERS</w:t>
      </w:r>
      <w:r w:rsidR="00C22CCC" w:rsidRPr="00B75B77">
        <w:t>)</w:t>
      </w:r>
      <w:r w:rsidRPr="00B75B77">
        <w:t xml:space="preserve"> raters, and for conducting quality control activities to verify project compliance with program requirements. The CSP also managed the program marketing, rebate </w:t>
      </w:r>
      <w:r w:rsidRPr="00B75B77" w:rsidDel="00845869">
        <w:t>process</w:t>
      </w:r>
      <w:r w:rsidR="00845869" w:rsidRPr="00B75B77">
        <w:t>,</w:t>
      </w:r>
      <w:r w:rsidRPr="00B75B77">
        <w:t xml:space="preserve"> and program tracking data that feeds into PECO’s SIDS. </w:t>
      </w:r>
    </w:p>
    <w:p w:rsidR="001E65E7" w:rsidRPr="00B75B77" w:rsidRDefault="001E65E7" w:rsidP="00751A38"/>
    <w:p w:rsidR="00893676" w:rsidRPr="00B75B77" w:rsidRDefault="00893676" w:rsidP="00751A38">
      <w:pPr>
        <w:rPr>
          <w:szCs w:val="20"/>
        </w:rPr>
      </w:pPr>
      <w:r w:rsidRPr="00B75B77">
        <w:rPr>
          <w:szCs w:val="20"/>
        </w:rPr>
        <w:t xml:space="preserve">PECO’s SBR Program focuses on: offering education, financial incentives, mentoring and marketing support to participating home builders; leveraging a network of independent </w:t>
      </w:r>
      <w:r w:rsidR="002B3866" w:rsidRPr="00B75B77">
        <w:rPr>
          <w:szCs w:val="20"/>
        </w:rPr>
        <w:t>h</w:t>
      </w:r>
      <w:r w:rsidRPr="00B75B77">
        <w:rPr>
          <w:szCs w:val="20"/>
        </w:rPr>
        <w:t xml:space="preserve">ome </w:t>
      </w:r>
      <w:r w:rsidR="002B3866" w:rsidRPr="00B75B77">
        <w:rPr>
          <w:szCs w:val="20"/>
        </w:rPr>
        <w:t>e</w:t>
      </w:r>
      <w:r w:rsidRPr="00B75B77">
        <w:rPr>
          <w:szCs w:val="20"/>
        </w:rPr>
        <w:t xml:space="preserve">nergy </w:t>
      </w:r>
      <w:r w:rsidR="002B3866" w:rsidRPr="00B75B77">
        <w:rPr>
          <w:szCs w:val="20"/>
        </w:rPr>
        <w:t>r</w:t>
      </w:r>
      <w:r w:rsidRPr="00B75B77">
        <w:rPr>
          <w:szCs w:val="20"/>
        </w:rPr>
        <w:t xml:space="preserve">ating </w:t>
      </w:r>
      <w:r w:rsidR="002B3866" w:rsidRPr="00B75B77">
        <w:rPr>
          <w:szCs w:val="20"/>
        </w:rPr>
        <w:t>s</w:t>
      </w:r>
      <w:r w:rsidRPr="00B75B77">
        <w:rPr>
          <w:szCs w:val="20"/>
        </w:rPr>
        <w:t xml:space="preserve">ystem </w:t>
      </w:r>
      <w:r w:rsidR="002B3866" w:rsidRPr="00B75B77">
        <w:rPr>
          <w:szCs w:val="20"/>
        </w:rPr>
        <w:t>r</w:t>
      </w:r>
      <w:r w:rsidRPr="00B75B77">
        <w:rPr>
          <w:szCs w:val="20"/>
        </w:rPr>
        <w:t>aters (raters) to guide builders through the program and submit project documentation; offering technical and sales training to builders, contractors, and raters; and educating potential homebuyers on the benefits of ENERGY STAR construction.</w:t>
      </w:r>
    </w:p>
    <w:p w:rsidR="00893676" w:rsidRPr="00B75B77" w:rsidRDefault="00893676" w:rsidP="00751A38">
      <w:pPr>
        <w:rPr>
          <w:szCs w:val="20"/>
        </w:rPr>
      </w:pPr>
    </w:p>
    <w:p w:rsidR="00893676" w:rsidRPr="00B75B77" w:rsidRDefault="00893676" w:rsidP="00751A38">
      <w:pPr>
        <w:rPr>
          <w:szCs w:val="20"/>
        </w:rPr>
      </w:pPr>
      <w:r w:rsidRPr="00B75B77">
        <w:rPr>
          <w:szCs w:val="20"/>
        </w:rPr>
        <w:t>Key elements of the implementation strategy include the following:</w:t>
      </w:r>
    </w:p>
    <w:p w:rsidR="00893676" w:rsidRPr="00B75B77" w:rsidRDefault="00893676" w:rsidP="00153ECC">
      <w:pPr>
        <w:pStyle w:val="ListParagraph"/>
        <w:numPr>
          <w:ilvl w:val="0"/>
          <w:numId w:val="24"/>
        </w:numPr>
        <w:spacing w:before="120"/>
        <w:contextualSpacing w:val="0"/>
        <w:jc w:val="left"/>
      </w:pPr>
      <w:r w:rsidRPr="00B75B77">
        <w:t>Builder and rater recruitment, outreach, enrollment</w:t>
      </w:r>
      <w:r w:rsidR="002B3866" w:rsidRPr="00B75B77">
        <w:t>,</w:t>
      </w:r>
      <w:r w:rsidRPr="00B75B77">
        <w:t xml:space="preserve"> and orientation</w:t>
      </w:r>
    </w:p>
    <w:p w:rsidR="00893676" w:rsidRPr="00B75B77" w:rsidRDefault="00893676" w:rsidP="00153ECC">
      <w:pPr>
        <w:pStyle w:val="ListParagraph"/>
        <w:numPr>
          <w:ilvl w:val="0"/>
          <w:numId w:val="24"/>
        </w:numPr>
        <w:spacing w:before="120"/>
        <w:contextualSpacing w:val="0"/>
        <w:jc w:val="left"/>
      </w:pPr>
      <w:r w:rsidRPr="00B75B77">
        <w:t>Rater or rating company enrollment</w:t>
      </w:r>
    </w:p>
    <w:p w:rsidR="00893676" w:rsidRPr="00B75B77" w:rsidRDefault="00893676" w:rsidP="00153ECC">
      <w:pPr>
        <w:pStyle w:val="ListParagraph"/>
        <w:numPr>
          <w:ilvl w:val="0"/>
          <w:numId w:val="24"/>
        </w:numPr>
        <w:spacing w:before="120"/>
        <w:contextualSpacing w:val="0"/>
        <w:jc w:val="left"/>
      </w:pPr>
      <w:r w:rsidRPr="00B75B77">
        <w:t>Registration and tracking of committed homes</w:t>
      </w:r>
    </w:p>
    <w:p w:rsidR="00893676" w:rsidRPr="00B75B77" w:rsidRDefault="00893676" w:rsidP="00153ECC">
      <w:pPr>
        <w:pStyle w:val="ListParagraph"/>
        <w:numPr>
          <w:ilvl w:val="0"/>
          <w:numId w:val="24"/>
        </w:numPr>
        <w:spacing w:before="120"/>
        <w:contextualSpacing w:val="0"/>
        <w:jc w:val="left"/>
      </w:pPr>
      <w:r w:rsidRPr="00B75B77">
        <w:t>Review, approval, and tracking of incentive applications for completed sites</w:t>
      </w:r>
    </w:p>
    <w:p w:rsidR="00893676" w:rsidRPr="00B75B77" w:rsidRDefault="00893676" w:rsidP="00153ECC">
      <w:pPr>
        <w:pStyle w:val="ListParagraph"/>
        <w:numPr>
          <w:ilvl w:val="0"/>
          <w:numId w:val="24"/>
        </w:numPr>
        <w:spacing w:before="120"/>
        <w:contextualSpacing w:val="0"/>
        <w:jc w:val="left"/>
      </w:pPr>
      <w:r w:rsidRPr="00B75B77">
        <w:t>Education sessions for builders, raters, and the broader construction community</w:t>
      </w:r>
    </w:p>
    <w:p w:rsidR="00893676" w:rsidRPr="00B75B77" w:rsidRDefault="00893676" w:rsidP="00153ECC">
      <w:pPr>
        <w:pStyle w:val="ListParagraph"/>
        <w:numPr>
          <w:ilvl w:val="0"/>
          <w:numId w:val="24"/>
        </w:numPr>
        <w:spacing w:before="120"/>
        <w:contextualSpacing w:val="0"/>
        <w:jc w:val="left"/>
        <w:rPr>
          <w:szCs w:val="20"/>
        </w:rPr>
      </w:pPr>
      <w:r w:rsidRPr="00B75B77">
        <w:t xml:space="preserve">A technical and procedural QA monitoring program </w:t>
      </w:r>
    </w:p>
    <w:p w:rsidR="00893676" w:rsidRPr="00B75B77" w:rsidRDefault="00893676" w:rsidP="00751A38">
      <w:pPr>
        <w:rPr>
          <w:color w:val="FF0000"/>
        </w:rPr>
      </w:pPr>
    </w:p>
    <w:p w:rsidR="00893676" w:rsidRPr="00B75B77" w:rsidRDefault="00893676" w:rsidP="00751A38">
      <w:pPr>
        <w:pStyle w:val="Heading2"/>
        <w:ind w:left="720" w:hanging="720"/>
      </w:pPr>
      <w:bookmarkStart w:id="503" w:name="_Toc434597797"/>
      <w:bookmarkStart w:id="504" w:name="_Toc466413344"/>
      <w:r w:rsidRPr="00B75B77">
        <w:t>Program Updates</w:t>
      </w:r>
      <w:bookmarkEnd w:id="503"/>
      <w:bookmarkEnd w:id="504"/>
    </w:p>
    <w:p w:rsidR="00893676" w:rsidRPr="00B75B77" w:rsidRDefault="00893676" w:rsidP="00751A38">
      <w:r w:rsidRPr="00B75B77">
        <w:t>There were no significant changes to the SBR program in PY7.</w:t>
      </w:r>
    </w:p>
    <w:p w:rsidR="00893676" w:rsidRPr="00B75B77" w:rsidRDefault="00893676" w:rsidP="00751A38"/>
    <w:p w:rsidR="00893676" w:rsidRPr="00B75B77" w:rsidRDefault="00893676" w:rsidP="00751A38">
      <w:pPr>
        <w:pStyle w:val="Heading3"/>
        <w:ind w:left="720" w:hanging="720"/>
      </w:pPr>
      <w:bookmarkStart w:id="505" w:name="_Toc434597798"/>
      <w:bookmarkStart w:id="506" w:name="_Toc466413345"/>
      <w:r w:rsidRPr="00B75B77">
        <w:t>Definition of Participant</w:t>
      </w:r>
      <w:bookmarkEnd w:id="505"/>
      <w:bookmarkEnd w:id="506"/>
    </w:p>
    <w:p w:rsidR="00893676" w:rsidRPr="00B75B77" w:rsidRDefault="00893676" w:rsidP="00751A38">
      <w:r w:rsidRPr="00B75B77">
        <w:t>The target market for participation in the SBR program is residential homebuilders. All newly constructed, residentially</w:t>
      </w:r>
      <w:r w:rsidR="002B3866" w:rsidRPr="00B75B77">
        <w:t xml:space="preserve"> </w:t>
      </w:r>
      <w:r w:rsidRPr="00B75B77">
        <w:t>metered single-family homes in PECO’s service territory are eligible to participate. For reporting purposes, PECO defines a participant in the SBR program as a home that successfully achieved ENERGY STAR certification through the program.</w:t>
      </w:r>
    </w:p>
    <w:p w:rsidR="00893676" w:rsidRPr="00B75B77" w:rsidRDefault="00893676" w:rsidP="00751A38"/>
    <w:p w:rsidR="00893676" w:rsidRPr="00B75B77" w:rsidRDefault="00893676" w:rsidP="00751A38">
      <w:pPr>
        <w:pStyle w:val="Heading2"/>
        <w:ind w:left="720" w:hanging="720"/>
      </w:pPr>
      <w:bookmarkStart w:id="507" w:name="_Toc434597799"/>
      <w:bookmarkStart w:id="508" w:name="_Toc466413346"/>
      <w:r w:rsidRPr="00B75B77">
        <w:t>Impact Evaluation Gross Savings</w:t>
      </w:r>
      <w:bookmarkEnd w:id="507"/>
      <w:bookmarkEnd w:id="508"/>
      <w:r w:rsidRPr="00B75B77">
        <w:t xml:space="preserve"> </w:t>
      </w:r>
    </w:p>
    <w:p w:rsidR="00893676" w:rsidRPr="00B75B77" w:rsidRDefault="00893676" w:rsidP="00751A38">
      <w:r w:rsidRPr="00B75B77">
        <w:t>For the entirety of Phase II, the SBR program served 248 participants</w:t>
      </w:r>
      <w:r w:rsidR="00875792" w:rsidRPr="00B75B77">
        <w:t>,</w:t>
      </w:r>
      <w:r w:rsidRPr="00B75B77">
        <w:t xml:space="preserve"> and Navigant verified energy and demand savings of 592 MWh and 0.2 MW</w:t>
      </w:r>
      <w:r w:rsidR="00875792" w:rsidRPr="00B75B77">
        <w:t>, respectively</w:t>
      </w:r>
      <w:r w:rsidRPr="00B75B77">
        <w:t xml:space="preserve">. </w:t>
      </w:r>
      <w:r w:rsidR="009070DC" w:rsidRPr="00B75B77">
        <w:fldChar w:fldCharType="begin"/>
      </w:r>
      <w:r w:rsidR="009070DC" w:rsidRPr="00B75B77">
        <w:instrText xml:space="preserve"> REF _Ref432664818 \h </w:instrText>
      </w:r>
      <w:r w:rsidR="00B75B77">
        <w:instrText xml:space="preserve"> \* MERGEFORMAT </w:instrText>
      </w:r>
      <w:r w:rsidR="009070DC" w:rsidRPr="00B75B77">
        <w:fldChar w:fldCharType="separate"/>
      </w:r>
      <w:r w:rsidR="0004016D" w:rsidRPr="00B75B77">
        <w:t xml:space="preserve">Table </w:t>
      </w:r>
      <w:r w:rsidR="0004016D">
        <w:rPr>
          <w:noProof/>
        </w:rPr>
        <w:t>7</w:t>
      </w:r>
      <w:r w:rsidR="0004016D" w:rsidRPr="00B75B77">
        <w:rPr>
          <w:noProof/>
        </w:rPr>
        <w:noBreakHyphen/>
      </w:r>
      <w:r w:rsidR="0004016D">
        <w:rPr>
          <w:noProof/>
        </w:rPr>
        <w:t>1</w:t>
      </w:r>
      <w:r w:rsidR="009070DC" w:rsidRPr="00B75B77">
        <w:fldChar w:fldCharType="end"/>
      </w:r>
      <w:r w:rsidRPr="00B75B77">
        <w:t xml:space="preserve"> presents both the reported and verified Phase II savings results for the SBR program.</w:t>
      </w:r>
    </w:p>
    <w:p w:rsidR="00893676" w:rsidRPr="00B75B77" w:rsidRDefault="00893676" w:rsidP="00751A38"/>
    <w:p w:rsidR="00893676" w:rsidRPr="00B75B77" w:rsidRDefault="00893676" w:rsidP="009070DC">
      <w:pPr>
        <w:pStyle w:val="Caption"/>
      </w:pPr>
      <w:bookmarkStart w:id="509" w:name="_Ref432664818"/>
      <w:bookmarkStart w:id="510" w:name="_Toc434597590"/>
      <w:bookmarkStart w:id="511" w:name="_Toc466413555"/>
      <w:r w:rsidRPr="00B75B77">
        <w:lastRenderedPageBreak/>
        <w:t xml:space="preserve">Table </w:t>
      </w:r>
      <w:fldSimple w:instr=" STYLEREF 1 \s ">
        <w:r w:rsidR="0004016D">
          <w:rPr>
            <w:noProof/>
          </w:rPr>
          <w:t>7</w:t>
        </w:r>
      </w:fldSimple>
      <w:r w:rsidR="00F1144C" w:rsidRPr="00B75B77">
        <w:noBreakHyphen/>
      </w:r>
      <w:fldSimple w:instr=" SEQ Table \* ARABIC \s 1 ">
        <w:r w:rsidR="0004016D">
          <w:rPr>
            <w:noProof/>
          </w:rPr>
          <w:t>1</w:t>
        </w:r>
      </w:fldSimple>
      <w:bookmarkEnd w:id="509"/>
      <w:r w:rsidRPr="00B75B77">
        <w:t>: Phase II Smart Builder Rebates Reported Results by Customer Sector</w:t>
      </w:r>
      <w:bookmarkEnd w:id="510"/>
      <w:bookmarkEnd w:id="511"/>
    </w:p>
    <w:tbl>
      <w:tblPr>
        <w:tblW w:w="9715" w:type="dxa"/>
        <w:tblLayout w:type="fixed"/>
        <w:tblLook w:val="04A0" w:firstRow="1" w:lastRow="0" w:firstColumn="1" w:lastColumn="0" w:noHBand="0" w:noVBand="1"/>
      </w:tblPr>
      <w:tblGrid>
        <w:gridCol w:w="1525"/>
        <w:gridCol w:w="1170"/>
        <w:gridCol w:w="1272"/>
        <w:gridCol w:w="1437"/>
        <w:gridCol w:w="1615"/>
        <w:gridCol w:w="1348"/>
        <w:gridCol w:w="1348"/>
      </w:tblGrid>
      <w:tr w:rsidR="00893676" w:rsidRPr="00B75B77" w:rsidTr="00442C8B">
        <w:trPr>
          <w:divId w:val="528421267"/>
          <w:trHeight w:val="648"/>
        </w:trPr>
        <w:tc>
          <w:tcPr>
            <w:tcW w:w="1525" w:type="dxa"/>
            <w:tcBorders>
              <w:top w:val="single" w:sz="4" w:space="0" w:color="auto"/>
              <w:left w:val="single" w:sz="4" w:space="0" w:color="auto"/>
              <w:bottom w:val="single" w:sz="4" w:space="0" w:color="auto"/>
              <w:right w:val="single" w:sz="4" w:space="0" w:color="auto"/>
            </w:tcBorders>
            <w:shd w:val="clear" w:color="000000" w:fill="448A99"/>
            <w:vAlign w:val="center"/>
            <w:hideMark/>
          </w:tcPr>
          <w:p w:rsidR="00893676" w:rsidRPr="00B75B77" w:rsidRDefault="00B26791" w:rsidP="009070DC">
            <w:pPr>
              <w:keepNext/>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Customer </w:t>
            </w:r>
            <w:r w:rsidR="00893676" w:rsidRPr="00B75B77">
              <w:rPr>
                <w:rFonts w:ascii="Calibri" w:eastAsia="Times New Roman" w:hAnsi="Calibri"/>
                <w:b/>
                <w:bCs/>
                <w:color w:val="FFFFFF"/>
                <w:sz w:val="18"/>
                <w:szCs w:val="18"/>
              </w:rPr>
              <w:t>Sector</w:t>
            </w:r>
            <w:r w:rsidR="00893676" w:rsidRPr="00B75B77">
              <w:rPr>
                <w:rFonts w:ascii="Calibri" w:eastAsia="Times New Roman" w:hAnsi="Calibri"/>
                <w:b/>
                <w:bCs/>
                <w:color w:val="FFFFFF"/>
                <w:sz w:val="18"/>
                <w:szCs w:val="18"/>
                <w:vertAlign w:val="superscript"/>
              </w:rPr>
              <w:t>[1]</w:t>
            </w:r>
          </w:p>
        </w:tc>
        <w:tc>
          <w:tcPr>
            <w:tcW w:w="1170" w:type="dxa"/>
            <w:tcBorders>
              <w:top w:val="single" w:sz="4" w:space="0" w:color="auto"/>
              <w:left w:val="nil"/>
              <w:bottom w:val="single" w:sz="4" w:space="0" w:color="auto"/>
              <w:right w:val="single" w:sz="4" w:space="0" w:color="auto"/>
            </w:tcBorders>
            <w:shd w:val="clear" w:color="000000" w:fill="448A99"/>
            <w:vAlign w:val="center"/>
            <w:hideMark/>
          </w:tcPr>
          <w:p w:rsidR="00893676" w:rsidRPr="00B75B77" w:rsidRDefault="00893676" w:rsidP="009070DC">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Participants</w:t>
            </w:r>
          </w:p>
        </w:tc>
        <w:tc>
          <w:tcPr>
            <w:tcW w:w="1272" w:type="dxa"/>
            <w:tcBorders>
              <w:top w:val="single" w:sz="4" w:space="0" w:color="auto"/>
              <w:left w:val="nil"/>
              <w:bottom w:val="single" w:sz="4" w:space="0" w:color="auto"/>
              <w:right w:val="single" w:sz="4" w:space="0" w:color="auto"/>
            </w:tcBorders>
            <w:shd w:val="clear" w:color="000000" w:fill="448A99"/>
            <w:vAlign w:val="center"/>
            <w:hideMark/>
          </w:tcPr>
          <w:p w:rsidR="00893676" w:rsidRPr="00B75B77" w:rsidRDefault="00893676" w:rsidP="009070DC">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Reported Gross Energy Savings (MWh)</w:t>
            </w:r>
          </w:p>
        </w:tc>
        <w:tc>
          <w:tcPr>
            <w:tcW w:w="1437" w:type="dxa"/>
            <w:tcBorders>
              <w:top w:val="single" w:sz="4" w:space="0" w:color="auto"/>
              <w:left w:val="nil"/>
              <w:bottom w:val="single" w:sz="4" w:space="0" w:color="auto"/>
              <w:right w:val="single" w:sz="4" w:space="0" w:color="auto"/>
            </w:tcBorders>
            <w:shd w:val="clear" w:color="000000" w:fill="448A99"/>
            <w:vAlign w:val="center"/>
            <w:hideMark/>
          </w:tcPr>
          <w:p w:rsidR="00893676" w:rsidRPr="00B75B77" w:rsidRDefault="00893676" w:rsidP="009070DC">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Reported Gross Demand Reduction (MW)</w:t>
            </w:r>
            <w:r w:rsidRPr="00B75B77">
              <w:rPr>
                <w:rFonts w:ascii="Calibri" w:eastAsia="Times New Roman" w:hAnsi="Calibri"/>
                <w:b/>
                <w:bCs/>
                <w:color w:val="FFFFFF"/>
                <w:sz w:val="18"/>
                <w:szCs w:val="18"/>
                <w:vertAlign w:val="superscript"/>
              </w:rPr>
              <w:t>[2]</w:t>
            </w:r>
          </w:p>
        </w:tc>
        <w:tc>
          <w:tcPr>
            <w:tcW w:w="1615" w:type="dxa"/>
            <w:tcBorders>
              <w:top w:val="single" w:sz="4" w:space="0" w:color="auto"/>
              <w:left w:val="nil"/>
              <w:bottom w:val="single" w:sz="4" w:space="0" w:color="auto"/>
              <w:right w:val="single" w:sz="4" w:space="0" w:color="auto"/>
            </w:tcBorders>
            <w:shd w:val="clear" w:color="000000" w:fill="448A99"/>
            <w:vAlign w:val="center"/>
            <w:hideMark/>
          </w:tcPr>
          <w:p w:rsidR="00893676" w:rsidRPr="00B75B77" w:rsidRDefault="00893676" w:rsidP="009070DC">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Verified Gross Energy Savings (MWh)</w:t>
            </w:r>
          </w:p>
        </w:tc>
        <w:tc>
          <w:tcPr>
            <w:tcW w:w="1348" w:type="dxa"/>
            <w:tcBorders>
              <w:top w:val="single" w:sz="4" w:space="0" w:color="auto"/>
              <w:left w:val="nil"/>
              <w:bottom w:val="single" w:sz="4" w:space="0" w:color="auto"/>
              <w:right w:val="single" w:sz="4" w:space="0" w:color="auto"/>
            </w:tcBorders>
            <w:shd w:val="clear" w:color="000000" w:fill="448A99"/>
            <w:vAlign w:val="center"/>
            <w:hideMark/>
          </w:tcPr>
          <w:p w:rsidR="00893676" w:rsidRPr="00B75B77" w:rsidRDefault="00893676" w:rsidP="009070DC">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Verified Gross Demand Reduction (MW)</w:t>
            </w:r>
            <w:r w:rsidRPr="00B75B77">
              <w:rPr>
                <w:rFonts w:ascii="Calibri" w:eastAsia="Times New Roman" w:hAnsi="Calibri"/>
                <w:b/>
                <w:bCs/>
                <w:color w:val="FFFFFF"/>
                <w:sz w:val="18"/>
                <w:szCs w:val="18"/>
                <w:vertAlign w:val="superscript"/>
              </w:rPr>
              <w:t>[2]</w:t>
            </w:r>
          </w:p>
        </w:tc>
        <w:tc>
          <w:tcPr>
            <w:tcW w:w="1348" w:type="dxa"/>
            <w:tcBorders>
              <w:top w:val="single" w:sz="4" w:space="0" w:color="auto"/>
              <w:left w:val="nil"/>
              <w:bottom w:val="single" w:sz="4" w:space="0" w:color="auto"/>
              <w:right w:val="single" w:sz="4" w:space="0" w:color="auto"/>
            </w:tcBorders>
            <w:shd w:val="clear" w:color="000000" w:fill="448A99"/>
            <w:vAlign w:val="center"/>
            <w:hideMark/>
          </w:tcPr>
          <w:p w:rsidR="00893676" w:rsidRPr="00B75B77" w:rsidRDefault="00893676" w:rsidP="00451FB1">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Incentives Paid</w:t>
            </w:r>
            <w:r w:rsidRPr="00B75B77">
              <w:rPr>
                <w:rFonts w:ascii="Calibri" w:eastAsia="Times New Roman" w:hAnsi="Calibri"/>
                <w:b/>
                <w:bCs/>
                <w:color w:val="FFFFFF"/>
                <w:sz w:val="18"/>
                <w:szCs w:val="18"/>
              </w:rPr>
              <w:br/>
              <w:t>($1,000)</w:t>
            </w:r>
          </w:p>
        </w:tc>
      </w:tr>
      <w:tr w:rsidR="00442C8B" w:rsidRPr="00B75B77" w:rsidTr="00442C8B">
        <w:trPr>
          <w:divId w:val="528421267"/>
          <w:trHeight w:val="372"/>
        </w:trPr>
        <w:tc>
          <w:tcPr>
            <w:tcW w:w="1525" w:type="dxa"/>
            <w:tcBorders>
              <w:top w:val="nil"/>
              <w:left w:val="single" w:sz="4" w:space="0" w:color="448A99"/>
              <w:bottom w:val="single" w:sz="4" w:space="0" w:color="448A99"/>
              <w:right w:val="single" w:sz="4" w:space="0" w:color="448A99"/>
            </w:tcBorders>
            <w:shd w:val="clear" w:color="000000" w:fill="D2EAF1"/>
            <w:vAlign w:val="center"/>
            <w:hideMark/>
          </w:tcPr>
          <w:p w:rsidR="00442C8B" w:rsidRPr="00B75B77" w:rsidRDefault="00442C8B" w:rsidP="00442C8B">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Residential (Non-Low-Income)</w:t>
            </w:r>
          </w:p>
        </w:tc>
        <w:tc>
          <w:tcPr>
            <w:tcW w:w="1170"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442C8B">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248</w:t>
            </w:r>
          </w:p>
        </w:tc>
        <w:tc>
          <w:tcPr>
            <w:tcW w:w="1272"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442C8B">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590</w:t>
            </w:r>
          </w:p>
        </w:tc>
        <w:tc>
          <w:tcPr>
            <w:tcW w:w="1437"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442C8B">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0.2</w:t>
            </w:r>
          </w:p>
        </w:tc>
        <w:tc>
          <w:tcPr>
            <w:tcW w:w="1615"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442C8B">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592</w:t>
            </w:r>
          </w:p>
        </w:tc>
        <w:tc>
          <w:tcPr>
            <w:tcW w:w="1348"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442C8B">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0.2</w:t>
            </w:r>
          </w:p>
        </w:tc>
        <w:tc>
          <w:tcPr>
            <w:tcW w:w="1348"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442C8B">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$154</w:t>
            </w:r>
          </w:p>
        </w:tc>
      </w:tr>
      <w:tr w:rsidR="00442C8B" w:rsidRPr="00B75B77" w:rsidTr="00442C8B">
        <w:trPr>
          <w:divId w:val="528421267"/>
          <w:trHeight w:val="372"/>
        </w:trPr>
        <w:tc>
          <w:tcPr>
            <w:tcW w:w="1525" w:type="dxa"/>
            <w:tcBorders>
              <w:top w:val="nil"/>
              <w:left w:val="single" w:sz="4" w:space="0" w:color="448A99"/>
              <w:bottom w:val="single" w:sz="4" w:space="0" w:color="448A99"/>
              <w:right w:val="single" w:sz="4" w:space="0" w:color="448A99"/>
            </w:tcBorders>
            <w:shd w:val="clear" w:color="000000" w:fill="FFFFFF"/>
            <w:vAlign w:val="center"/>
            <w:hideMark/>
          </w:tcPr>
          <w:p w:rsidR="00442C8B" w:rsidRPr="00B75B77" w:rsidRDefault="00442C8B" w:rsidP="00442C8B">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Residential (Low-Income)</w:t>
            </w:r>
          </w:p>
        </w:tc>
        <w:tc>
          <w:tcPr>
            <w:tcW w:w="1170"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442C8B">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272"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442C8B">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437"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442C8B">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615"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442C8B">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48"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442C8B">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348"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442C8B">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893676" w:rsidRPr="00B75B77" w:rsidTr="00442C8B">
        <w:trPr>
          <w:divId w:val="528421267"/>
          <w:trHeight w:val="372"/>
        </w:trPr>
        <w:tc>
          <w:tcPr>
            <w:tcW w:w="1525" w:type="dxa"/>
            <w:tcBorders>
              <w:top w:val="nil"/>
              <w:left w:val="single" w:sz="4" w:space="0" w:color="448A99"/>
              <w:bottom w:val="single" w:sz="4" w:space="0" w:color="448A99"/>
              <w:right w:val="single" w:sz="4" w:space="0" w:color="448A99"/>
            </w:tcBorders>
            <w:shd w:val="clear" w:color="000000" w:fill="D2EAF1"/>
            <w:vAlign w:val="center"/>
            <w:hideMark/>
          </w:tcPr>
          <w:p w:rsidR="00893676" w:rsidRPr="00B75B77" w:rsidRDefault="00893676" w:rsidP="009070DC">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Small C</w:t>
            </w:r>
            <w:r w:rsidR="0054073E" w:rsidRPr="00B75B77">
              <w:rPr>
                <w:rFonts w:ascii="Calibri" w:eastAsia="Times New Roman" w:hAnsi="Calibri"/>
                <w:bCs/>
                <w:color w:val="000000"/>
                <w:sz w:val="18"/>
                <w:szCs w:val="18"/>
              </w:rPr>
              <w:t>&amp;I</w:t>
            </w:r>
          </w:p>
        </w:tc>
        <w:tc>
          <w:tcPr>
            <w:tcW w:w="1170" w:type="dxa"/>
            <w:tcBorders>
              <w:top w:val="nil"/>
              <w:left w:val="nil"/>
              <w:bottom w:val="single" w:sz="4" w:space="0" w:color="448A99"/>
              <w:right w:val="single" w:sz="4" w:space="0" w:color="448A99"/>
            </w:tcBorders>
            <w:shd w:val="clear" w:color="000000" w:fill="D2EAF1"/>
            <w:vAlign w:val="center"/>
            <w:hideMark/>
          </w:tcPr>
          <w:p w:rsidR="00893676" w:rsidRPr="00B75B77" w:rsidRDefault="00893676" w:rsidP="009070D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272" w:type="dxa"/>
            <w:tcBorders>
              <w:top w:val="nil"/>
              <w:left w:val="nil"/>
              <w:bottom w:val="single" w:sz="4" w:space="0" w:color="448A99"/>
              <w:right w:val="single" w:sz="4" w:space="0" w:color="448A99"/>
            </w:tcBorders>
            <w:shd w:val="clear" w:color="000000" w:fill="D2EAF1"/>
            <w:vAlign w:val="center"/>
            <w:hideMark/>
          </w:tcPr>
          <w:p w:rsidR="00893676" w:rsidRPr="00B75B77" w:rsidRDefault="00893676" w:rsidP="009070D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437" w:type="dxa"/>
            <w:tcBorders>
              <w:top w:val="nil"/>
              <w:left w:val="nil"/>
              <w:bottom w:val="single" w:sz="4" w:space="0" w:color="448A99"/>
              <w:right w:val="single" w:sz="4" w:space="0" w:color="448A99"/>
            </w:tcBorders>
            <w:shd w:val="clear" w:color="000000" w:fill="D2EAF1"/>
            <w:vAlign w:val="center"/>
            <w:hideMark/>
          </w:tcPr>
          <w:p w:rsidR="00893676" w:rsidRPr="00B75B77" w:rsidRDefault="00893676" w:rsidP="009070D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615" w:type="dxa"/>
            <w:tcBorders>
              <w:top w:val="nil"/>
              <w:left w:val="nil"/>
              <w:bottom w:val="single" w:sz="4" w:space="0" w:color="448A99"/>
              <w:right w:val="single" w:sz="4" w:space="0" w:color="448A99"/>
            </w:tcBorders>
            <w:shd w:val="clear" w:color="000000" w:fill="D2EAF1"/>
            <w:vAlign w:val="center"/>
            <w:hideMark/>
          </w:tcPr>
          <w:p w:rsidR="00893676" w:rsidRPr="00B75B77" w:rsidRDefault="00893676" w:rsidP="009070D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48" w:type="dxa"/>
            <w:tcBorders>
              <w:top w:val="nil"/>
              <w:left w:val="nil"/>
              <w:bottom w:val="single" w:sz="4" w:space="0" w:color="448A99"/>
              <w:right w:val="single" w:sz="4" w:space="0" w:color="448A99"/>
            </w:tcBorders>
            <w:shd w:val="clear" w:color="000000" w:fill="D2EAF1"/>
            <w:vAlign w:val="center"/>
            <w:hideMark/>
          </w:tcPr>
          <w:p w:rsidR="00893676" w:rsidRPr="00B75B77" w:rsidRDefault="00893676" w:rsidP="009070D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348" w:type="dxa"/>
            <w:tcBorders>
              <w:top w:val="nil"/>
              <w:left w:val="nil"/>
              <w:bottom w:val="single" w:sz="4" w:space="0" w:color="448A99"/>
              <w:right w:val="single" w:sz="4" w:space="0" w:color="448A99"/>
            </w:tcBorders>
            <w:shd w:val="clear" w:color="000000" w:fill="D2EAF1"/>
            <w:vAlign w:val="center"/>
            <w:hideMark/>
          </w:tcPr>
          <w:p w:rsidR="00893676" w:rsidRPr="00B75B77" w:rsidRDefault="00893676" w:rsidP="00451FB1">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893676" w:rsidRPr="00B75B77" w:rsidTr="00442C8B">
        <w:trPr>
          <w:divId w:val="528421267"/>
          <w:trHeight w:val="372"/>
        </w:trPr>
        <w:tc>
          <w:tcPr>
            <w:tcW w:w="1525" w:type="dxa"/>
            <w:tcBorders>
              <w:top w:val="nil"/>
              <w:left w:val="single" w:sz="4" w:space="0" w:color="448A99"/>
              <w:bottom w:val="single" w:sz="4" w:space="0" w:color="448A99"/>
              <w:right w:val="single" w:sz="4" w:space="0" w:color="448A99"/>
            </w:tcBorders>
            <w:shd w:val="clear" w:color="000000" w:fill="FFFFFF"/>
            <w:vAlign w:val="center"/>
            <w:hideMark/>
          </w:tcPr>
          <w:p w:rsidR="00893676" w:rsidRPr="00B75B77" w:rsidRDefault="00893676" w:rsidP="009070DC">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Large C</w:t>
            </w:r>
            <w:r w:rsidR="0054073E" w:rsidRPr="00B75B77">
              <w:rPr>
                <w:rFonts w:ascii="Calibri" w:eastAsia="Times New Roman" w:hAnsi="Calibri"/>
                <w:bCs/>
                <w:color w:val="000000"/>
                <w:sz w:val="18"/>
                <w:szCs w:val="18"/>
              </w:rPr>
              <w:t>&amp;I</w:t>
            </w:r>
          </w:p>
        </w:tc>
        <w:tc>
          <w:tcPr>
            <w:tcW w:w="1170" w:type="dxa"/>
            <w:tcBorders>
              <w:top w:val="nil"/>
              <w:left w:val="nil"/>
              <w:bottom w:val="single" w:sz="4" w:space="0" w:color="448A99"/>
              <w:right w:val="single" w:sz="4" w:space="0" w:color="448A99"/>
            </w:tcBorders>
            <w:shd w:val="clear" w:color="000000" w:fill="FFFFFF"/>
            <w:vAlign w:val="center"/>
            <w:hideMark/>
          </w:tcPr>
          <w:p w:rsidR="00893676" w:rsidRPr="00B75B77" w:rsidRDefault="00893676" w:rsidP="009070D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272" w:type="dxa"/>
            <w:tcBorders>
              <w:top w:val="nil"/>
              <w:left w:val="nil"/>
              <w:bottom w:val="single" w:sz="4" w:space="0" w:color="448A99"/>
              <w:right w:val="single" w:sz="4" w:space="0" w:color="448A99"/>
            </w:tcBorders>
            <w:shd w:val="clear" w:color="000000" w:fill="FFFFFF"/>
            <w:vAlign w:val="center"/>
            <w:hideMark/>
          </w:tcPr>
          <w:p w:rsidR="00893676" w:rsidRPr="00B75B77" w:rsidRDefault="00893676" w:rsidP="009070D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437" w:type="dxa"/>
            <w:tcBorders>
              <w:top w:val="nil"/>
              <w:left w:val="nil"/>
              <w:bottom w:val="single" w:sz="4" w:space="0" w:color="448A99"/>
              <w:right w:val="single" w:sz="4" w:space="0" w:color="448A99"/>
            </w:tcBorders>
            <w:shd w:val="clear" w:color="000000" w:fill="FFFFFF"/>
            <w:vAlign w:val="center"/>
            <w:hideMark/>
          </w:tcPr>
          <w:p w:rsidR="00893676" w:rsidRPr="00B75B77" w:rsidRDefault="00893676" w:rsidP="009070D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615" w:type="dxa"/>
            <w:tcBorders>
              <w:top w:val="nil"/>
              <w:left w:val="nil"/>
              <w:bottom w:val="single" w:sz="4" w:space="0" w:color="448A99"/>
              <w:right w:val="single" w:sz="4" w:space="0" w:color="448A99"/>
            </w:tcBorders>
            <w:shd w:val="clear" w:color="000000" w:fill="FFFFFF"/>
            <w:vAlign w:val="center"/>
            <w:hideMark/>
          </w:tcPr>
          <w:p w:rsidR="00893676" w:rsidRPr="00B75B77" w:rsidRDefault="00893676" w:rsidP="009070D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48" w:type="dxa"/>
            <w:tcBorders>
              <w:top w:val="nil"/>
              <w:left w:val="nil"/>
              <w:bottom w:val="single" w:sz="4" w:space="0" w:color="448A99"/>
              <w:right w:val="single" w:sz="4" w:space="0" w:color="448A99"/>
            </w:tcBorders>
            <w:shd w:val="clear" w:color="000000" w:fill="FFFFFF"/>
            <w:vAlign w:val="center"/>
            <w:hideMark/>
          </w:tcPr>
          <w:p w:rsidR="00893676" w:rsidRPr="00B75B77" w:rsidRDefault="00893676" w:rsidP="009070D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348" w:type="dxa"/>
            <w:tcBorders>
              <w:top w:val="nil"/>
              <w:left w:val="nil"/>
              <w:bottom w:val="single" w:sz="4" w:space="0" w:color="448A99"/>
              <w:right w:val="single" w:sz="4" w:space="0" w:color="448A99"/>
            </w:tcBorders>
            <w:shd w:val="clear" w:color="000000" w:fill="FFFFFF"/>
            <w:vAlign w:val="center"/>
            <w:hideMark/>
          </w:tcPr>
          <w:p w:rsidR="00893676" w:rsidRPr="00B75B77" w:rsidRDefault="00893676" w:rsidP="00451FB1">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893676" w:rsidRPr="00B75B77" w:rsidTr="00442C8B">
        <w:trPr>
          <w:divId w:val="528421267"/>
          <w:trHeight w:val="552"/>
        </w:trPr>
        <w:tc>
          <w:tcPr>
            <w:tcW w:w="1525" w:type="dxa"/>
            <w:tcBorders>
              <w:top w:val="nil"/>
              <w:left w:val="single" w:sz="4" w:space="0" w:color="448A99"/>
              <w:bottom w:val="single" w:sz="4" w:space="0" w:color="448A99"/>
              <w:right w:val="single" w:sz="4" w:space="0" w:color="448A99"/>
            </w:tcBorders>
            <w:shd w:val="clear" w:color="000000" w:fill="D2EAF1"/>
            <w:vAlign w:val="center"/>
            <w:hideMark/>
          </w:tcPr>
          <w:p w:rsidR="00893676" w:rsidRPr="00B75B77" w:rsidRDefault="00893676" w:rsidP="009070DC">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G</w:t>
            </w:r>
            <w:r w:rsidR="0054073E" w:rsidRPr="00B75B77">
              <w:rPr>
                <w:rFonts w:ascii="Calibri" w:eastAsia="Times New Roman" w:hAnsi="Calibri"/>
                <w:bCs/>
                <w:color w:val="000000"/>
                <w:sz w:val="18"/>
                <w:szCs w:val="18"/>
              </w:rPr>
              <w:t>NI</w:t>
            </w:r>
          </w:p>
        </w:tc>
        <w:tc>
          <w:tcPr>
            <w:tcW w:w="1170" w:type="dxa"/>
            <w:tcBorders>
              <w:top w:val="nil"/>
              <w:left w:val="nil"/>
              <w:bottom w:val="single" w:sz="4" w:space="0" w:color="448A99"/>
              <w:right w:val="single" w:sz="4" w:space="0" w:color="448A99"/>
            </w:tcBorders>
            <w:shd w:val="clear" w:color="000000" w:fill="D2EAF1"/>
            <w:vAlign w:val="center"/>
            <w:hideMark/>
          </w:tcPr>
          <w:p w:rsidR="00893676" w:rsidRPr="00B75B77" w:rsidRDefault="00893676" w:rsidP="009070D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272" w:type="dxa"/>
            <w:tcBorders>
              <w:top w:val="nil"/>
              <w:left w:val="nil"/>
              <w:bottom w:val="single" w:sz="4" w:space="0" w:color="448A99"/>
              <w:right w:val="single" w:sz="4" w:space="0" w:color="448A99"/>
            </w:tcBorders>
            <w:shd w:val="clear" w:color="000000" w:fill="D2EAF1"/>
            <w:vAlign w:val="center"/>
            <w:hideMark/>
          </w:tcPr>
          <w:p w:rsidR="00893676" w:rsidRPr="00B75B77" w:rsidRDefault="00893676" w:rsidP="009070D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437" w:type="dxa"/>
            <w:tcBorders>
              <w:top w:val="nil"/>
              <w:left w:val="nil"/>
              <w:bottom w:val="single" w:sz="4" w:space="0" w:color="448A99"/>
              <w:right w:val="single" w:sz="4" w:space="0" w:color="448A99"/>
            </w:tcBorders>
            <w:shd w:val="clear" w:color="000000" w:fill="D2EAF1"/>
            <w:vAlign w:val="center"/>
            <w:hideMark/>
          </w:tcPr>
          <w:p w:rsidR="00893676" w:rsidRPr="00B75B77" w:rsidRDefault="00893676" w:rsidP="009070D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615" w:type="dxa"/>
            <w:tcBorders>
              <w:top w:val="nil"/>
              <w:left w:val="nil"/>
              <w:bottom w:val="single" w:sz="4" w:space="0" w:color="448A99"/>
              <w:right w:val="single" w:sz="4" w:space="0" w:color="448A99"/>
            </w:tcBorders>
            <w:shd w:val="clear" w:color="000000" w:fill="D2EAF1"/>
            <w:vAlign w:val="center"/>
            <w:hideMark/>
          </w:tcPr>
          <w:p w:rsidR="00893676" w:rsidRPr="00B75B77" w:rsidRDefault="00893676" w:rsidP="009070D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48" w:type="dxa"/>
            <w:tcBorders>
              <w:top w:val="nil"/>
              <w:left w:val="nil"/>
              <w:bottom w:val="single" w:sz="4" w:space="0" w:color="448A99"/>
              <w:right w:val="single" w:sz="4" w:space="0" w:color="448A99"/>
            </w:tcBorders>
            <w:shd w:val="clear" w:color="000000" w:fill="D2EAF1"/>
            <w:vAlign w:val="center"/>
            <w:hideMark/>
          </w:tcPr>
          <w:p w:rsidR="00893676" w:rsidRPr="00B75B77" w:rsidRDefault="00893676" w:rsidP="009070D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348" w:type="dxa"/>
            <w:tcBorders>
              <w:top w:val="nil"/>
              <w:left w:val="nil"/>
              <w:bottom w:val="single" w:sz="4" w:space="0" w:color="448A99"/>
              <w:right w:val="single" w:sz="4" w:space="0" w:color="448A99"/>
            </w:tcBorders>
            <w:shd w:val="clear" w:color="000000" w:fill="D2EAF1"/>
            <w:vAlign w:val="center"/>
            <w:hideMark/>
          </w:tcPr>
          <w:p w:rsidR="00893676" w:rsidRPr="00B75B77" w:rsidRDefault="00893676" w:rsidP="00451FB1">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893676" w:rsidRPr="00B75B77" w:rsidTr="00442C8B">
        <w:trPr>
          <w:divId w:val="528421267"/>
          <w:trHeight w:val="312"/>
        </w:trPr>
        <w:tc>
          <w:tcPr>
            <w:tcW w:w="1525" w:type="dxa"/>
            <w:tcBorders>
              <w:top w:val="nil"/>
              <w:left w:val="single" w:sz="4" w:space="0" w:color="448A99"/>
              <w:bottom w:val="single" w:sz="4" w:space="0" w:color="448A99"/>
              <w:right w:val="single" w:sz="4" w:space="0" w:color="448A99"/>
            </w:tcBorders>
            <w:shd w:val="clear" w:color="000000" w:fill="FFFFFF"/>
            <w:vAlign w:val="center"/>
            <w:hideMark/>
          </w:tcPr>
          <w:p w:rsidR="00893676" w:rsidRPr="00B75B77" w:rsidRDefault="00875792" w:rsidP="009070DC">
            <w:pPr>
              <w:keepNext/>
              <w:jc w:val="left"/>
              <w:rPr>
                <w:rFonts w:ascii="Calibri" w:eastAsia="Times New Roman" w:hAnsi="Calibri"/>
                <w:b/>
                <w:color w:val="000000"/>
                <w:sz w:val="18"/>
                <w:szCs w:val="18"/>
              </w:rPr>
            </w:pPr>
            <w:r w:rsidRPr="00B75B77">
              <w:rPr>
                <w:rFonts w:ascii="Calibri" w:eastAsia="Times New Roman" w:hAnsi="Calibri"/>
                <w:b/>
                <w:color w:val="000000"/>
                <w:sz w:val="18"/>
                <w:szCs w:val="18"/>
              </w:rPr>
              <w:t>PHASE II TOTAL</w:t>
            </w:r>
          </w:p>
        </w:tc>
        <w:tc>
          <w:tcPr>
            <w:tcW w:w="1170" w:type="dxa"/>
            <w:tcBorders>
              <w:top w:val="nil"/>
              <w:left w:val="nil"/>
              <w:bottom w:val="single" w:sz="4" w:space="0" w:color="448A99"/>
              <w:right w:val="single" w:sz="4" w:space="0" w:color="448A99"/>
            </w:tcBorders>
            <w:shd w:val="clear" w:color="000000" w:fill="FFFFFF"/>
            <w:vAlign w:val="center"/>
            <w:hideMark/>
          </w:tcPr>
          <w:p w:rsidR="00893676" w:rsidRPr="00B75B77" w:rsidRDefault="00893676" w:rsidP="009070DC">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248</w:t>
            </w:r>
          </w:p>
        </w:tc>
        <w:tc>
          <w:tcPr>
            <w:tcW w:w="1272" w:type="dxa"/>
            <w:tcBorders>
              <w:top w:val="nil"/>
              <w:left w:val="nil"/>
              <w:bottom w:val="single" w:sz="4" w:space="0" w:color="448A99"/>
              <w:right w:val="single" w:sz="4" w:space="0" w:color="448A99"/>
            </w:tcBorders>
            <w:shd w:val="clear" w:color="000000" w:fill="FFFFFF"/>
            <w:vAlign w:val="center"/>
            <w:hideMark/>
          </w:tcPr>
          <w:p w:rsidR="00893676" w:rsidRPr="00B75B77" w:rsidRDefault="00893676" w:rsidP="009070DC">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590</w:t>
            </w:r>
          </w:p>
        </w:tc>
        <w:tc>
          <w:tcPr>
            <w:tcW w:w="1437" w:type="dxa"/>
            <w:tcBorders>
              <w:top w:val="nil"/>
              <w:left w:val="nil"/>
              <w:bottom w:val="single" w:sz="4" w:space="0" w:color="448A99"/>
              <w:right w:val="single" w:sz="4" w:space="0" w:color="448A99"/>
            </w:tcBorders>
            <w:shd w:val="clear" w:color="000000" w:fill="FFFFFF"/>
            <w:vAlign w:val="center"/>
            <w:hideMark/>
          </w:tcPr>
          <w:p w:rsidR="00893676" w:rsidRPr="00B75B77" w:rsidRDefault="00893676" w:rsidP="009070DC">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0.2</w:t>
            </w:r>
          </w:p>
        </w:tc>
        <w:tc>
          <w:tcPr>
            <w:tcW w:w="1615" w:type="dxa"/>
            <w:tcBorders>
              <w:top w:val="nil"/>
              <w:left w:val="nil"/>
              <w:bottom w:val="single" w:sz="4" w:space="0" w:color="448A99"/>
              <w:right w:val="single" w:sz="4" w:space="0" w:color="448A99"/>
            </w:tcBorders>
            <w:shd w:val="clear" w:color="000000" w:fill="FFFFFF"/>
            <w:vAlign w:val="center"/>
            <w:hideMark/>
          </w:tcPr>
          <w:p w:rsidR="00893676" w:rsidRPr="00B75B77" w:rsidRDefault="00893676" w:rsidP="009070DC">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592</w:t>
            </w:r>
          </w:p>
        </w:tc>
        <w:tc>
          <w:tcPr>
            <w:tcW w:w="1348" w:type="dxa"/>
            <w:tcBorders>
              <w:top w:val="nil"/>
              <w:left w:val="nil"/>
              <w:bottom w:val="single" w:sz="4" w:space="0" w:color="448A99"/>
              <w:right w:val="single" w:sz="4" w:space="0" w:color="448A99"/>
            </w:tcBorders>
            <w:shd w:val="clear" w:color="000000" w:fill="FFFFFF"/>
            <w:vAlign w:val="center"/>
            <w:hideMark/>
          </w:tcPr>
          <w:p w:rsidR="00893676" w:rsidRPr="00B75B77" w:rsidRDefault="00893676" w:rsidP="009070DC">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0.2</w:t>
            </w:r>
          </w:p>
        </w:tc>
        <w:tc>
          <w:tcPr>
            <w:tcW w:w="1348" w:type="dxa"/>
            <w:tcBorders>
              <w:top w:val="nil"/>
              <w:left w:val="nil"/>
              <w:bottom w:val="single" w:sz="4" w:space="0" w:color="448A99"/>
              <w:right w:val="single" w:sz="4" w:space="0" w:color="448A99"/>
            </w:tcBorders>
            <w:shd w:val="clear" w:color="000000" w:fill="FFFFFF"/>
            <w:vAlign w:val="center"/>
            <w:hideMark/>
          </w:tcPr>
          <w:p w:rsidR="00893676" w:rsidRPr="00B75B77" w:rsidRDefault="00893676" w:rsidP="00451FB1">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$154</w:t>
            </w:r>
          </w:p>
        </w:tc>
      </w:tr>
    </w:tbl>
    <w:p w:rsidR="00875792" w:rsidRPr="00B75B77" w:rsidRDefault="00875792" w:rsidP="00875792">
      <w:pPr>
        <w:pStyle w:val="Source"/>
        <w:spacing w:before="20" w:after="20"/>
        <w:ind w:left="0" w:firstLine="0"/>
        <w:rPr>
          <w:i w:val="0"/>
        </w:rPr>
      </w:pPr>
      <w:r w:rsidRPr="00B75B77">
        <w:rPr>
          <w:rFonts w:ascii="Calibri" w:hAnsi="Calibri"/>
          <w:i w:val="0"/>
          <w:color w:val="000000"/>
          <w:szCs w:val="18"/>
          <w:vertAlign w:val="superscript"/>
        </w:rPr>
        <w:t>[1]</w:t>
      </w:r>
      <w:r w:rsidRPr="00B75B77">
        <w:rPr>
          <w:rFonts w:ascii="Calibri" w:hAnsi="Calibri"/>
          <w:i w:val="0"/>
          <w:color w:val="000000"/>
          <w:szCs w:val="18"/>
        </w:rPr>
        <w:t xml:space="preserve"> All customer sector totals are exclusive of each other and may be added together to get the Phase II totals.</w:t>
      </w:r>
      <w:r w:rsidRPr="00B75B77">
        <w:rPr>
          <w:rFonts w:ascii="Calibri" w:hAnsi="Calibri"/>
          <w:i w:val="0"/>
          <w:color w:val="000000"/>
          <w:szCs w:val="18"/>
        </w:rPr>
        <w:br/>
      </w:r>
      <w:r w:rsidRPr="00B75B77">
        <w:rPr>
          <w:rFonts w:ascii="Calibri" w:hAnsi="Calibri"/>
          <w:i w:val="0"/>
          <w:color w:val="000000"/>
          <w:szCs w:val="18"/>
          <w:vertAlign w:val="superscript"/>
        </w:rPr>
        <w:t>[2]</w:t>
      </w:r>
      <w:r w:rsidRPr="00B75B77">
        <w:rPr>
          <w:rFonts w:ascii="Calibri" w:hAnsi="Calibri"/>
          <w:i w:val="0"/>
          <w:color w:val="000000"/>
          <w:szCs w:val="18"/>
        </w:rPr>
        <w:t xml:space="preserve"> All reported and verified demand savings in this report include line losses as required.</w:t>
      </w:r>
      <w:r w:rsidRPr="00B75B77">
        <w:rPr>
          <w:rFonts w:ascii="Calibri" w:hAnsi="Calibri"/>
          <w:i w:val="0"/>
          <w:color w:val="000000"/>
          <w:szCs w:val="18"/>
        </w:rPr>
        <w:br/>
      </w:r>
      <w:r w:rsidRPr="00B75B77">
        <w:rPr>
          <w:rFonts w:ascii="Calibri" w:hAnsi="Calibri"/>
          <w:i w:val="0"/>
          <w:iCs/>
          <w:color w:val="000000"/>
          <w:szCs w:val="18"/>
        </w:rPr>
        <w:t xml:space="preserve">Note: Values in tables may not reconcile exactly with </w:t>
      </w:r>
      <w:r w:rsidR="00695D32" w:rsidRPr="00B75B77">
        <w:rPr>
          <w:rFonts w:ascii="Calibri" w:hAnsi="Calibri"/>
          <w:i w:val="0"/>
          <w:iCs/>
          <w:color w:val="000000"/>
          <w:szCs w:val="18"/>
        </w:rPr>
        <w:t xml:space="preserve">the </w:t>
      </w:r>
      <w:r w:rsidRPr="00B75B77">
        <w:rPr>
          <w:rFonts w:ascii="Calibri" w:hAnsi="Calibri"/>
          <w:i w:val="0"/>
          <w:iCs/>
          <w:color w:val="000000"/>
          <w:szCs w:val="18"/>
        </w:rPr>
        <w:t>sum of more detailed level results or previously reported results due to rounding.</w:t>
      </w:r>
    </w:p>
    <w:p w:rsidR="00893676" w:rsidRPr="00B75B77" w:rsidRDefault="00893676" w:rsidP="00875792">
      <w:pPr>
        <w:pStyle w:val="Source"/>
        <w:ind w:left="0" w:firstLine="0"/>
      </w:pPr>
      <w:r w:rsidRPr="00B75B77">
        <w:t xml:space="preserve">Source: Navigant analysis </w:t>
      </w:r>
    </w:p>
    <w:p w:rsidR="00893676" w:rsidRPr="00B75B77" w:rsidRDefault="00893676" w:rsidP="00751A38">
      <w:pPr>
        <w:pStyle w:val="Heading3"/>
        <w:keepNext/>
        <w:ind w:left="720" w:hanging="720"/>
      </w:pPr>
      <w:r w:rsidRPr="00B75B77">
        <w:t xml:space="preserve"> </w:t>
      </w:r>
      <w:bookmarkStart w:id="512" w:name="_Toc466413347"/>
      <w:r w:rsidRPr="00B75B77">
        <w:t>Gross Verified Savings Methodology</w:t>
      </w:r>
      <w:bookmarkEnd w:id="512"/>
    </w:p>
    <w:p w:rsidR="00893676" w:rsidRPr="00B75B77" w:rsidRDefault="00893676" w:rsidP="00751A38">
      <w:pPr>
        <w:keepNext/>
        <w:keepLines/>
      </w:pPr>
      <w:r w:rsidRPr="00B75B77">
        <w:t xml:space="preserve">The PY7 SBR program impact evaluation consisted of desk reviews of project REM/Rate™ files and whole-building simulation modeling. Navigant used two main approaches for evaluating </w:t>
      </w:r>
      <w:r w:rsidR="00875792" w:rsidRPr="00B75B77">
        <w:t xml:space="preserve">each </w:t>
      </w:r>
      <w:r w:rsidRPr="00B75B77">
        <w:t>project:</w:t>
      </w:r>
    </w:p>
    <w:p w:rsidR="00893676" w:rsidRPr="00B75B77" w:rsidRDefault="00893676" w:rsidP="00751A38"/>
    <w:p w:rsidR="00893676" w:rsidRPr="00B75B77" w:rsidRDefault="00893676" w:rsidP="00153ECC">
      <w:pPr>
        <w:pStyle w:val="ListParagraph"/>
        <w:numPr>
          <w:ilvl w:val="0"/>
          <w:numId w:val="23"/>
        </w:numPr>
        <w:jc w:val="left"/>
      </w:pPr>
      <w:r w:rsidRPr="00B75B77">
        <w:rPr>
          <w:b/>
        </w:rPr>
        <w:t>Desk reviews.</w:t>
      </w:r>
      <w:r w:rsidRPr="00B75B77">
        <w:t xml:space="preserve"> Navigant reviewed a sample of project REM/Rate models and all prescriptive measure calculations (lighting and </w:t>
      </w:r>
      <w:r w:rsidR="0054073E" w:rsidRPr="00B75B77">
        <w:t>DHW</w:t>
      </w:r>
      <w:r w:rsidRPr="00B75B77">
        <w:t>) for compliance with the appropriate PA TRM.</w:t>
      </w:r>
      <w:r w:rsidRPr="00B75B77">
        <w:rPr>
          <w:rStyle w:val="FootnoteReference"/>
        </w:rPr>
        <w:footnoteReference w:id="42"/>
      </w:r>
      <w:r w:rsidRPr="00B75B77">
        <w:t xml:space="preserve"> The evaluation team reviewed project tracking data, ex ante measure savings calculations, and REM/Rate model files submitted by raters for compliance with program requirements.</w:t>
      </w:r>
    </w:p>
    <w:p w:rsidR="00893676" w:rsidRPr="00B75B77" w:rsidRDefault="00893676" w:rsidP="00153ECC">
      <w:pPr>
        <w:pStyle w:val="ListParagraph"/>
        <w:numPr>
          <w:ilvl w:val="0"/>
          <w:numId w:val="23"/>
        </w:numPr>
        <w:jc w:val="left"/>
      </w:pPr>
      <w:r w:rsidRPr="00B75B77">
        <w:rPr>
          <w:b/>
        </w:rPr>
        <w:t>Whole-building simulation modeling.</w:t>
      </w:r>
      <w:r w:rsidRPr="00B75B77">
        <w:t xml:space="preserve"> Navigant used </w:t>
      </w:r>
      <w:proofErr w:type="spellStart"/>
      <w:r w:rsidRPr="00B75B77">
        <w:t>EnergyGauge</w:t>
      </w:r>
      <w:proofErr w:type="spellEnd"/>
      <w:r w:rsidRPr="00B75B77">
        <w:t xml:space="preserve"> software to independently calculate energy and demand savings for a sample of project homes. </w:t>
      </w:r>
      <w:proofErr w:type="spellStart"/>
      <w:r w:rsidRPr="00B75B77">
        <w:t>EnergyGauge</w:t>
      </w:r>
      <w:proofErr w:type="spellEnd"/>
      <w:r w:rsidRPr="00B75B77">
        <w:t xml:space="preserve"> models were created with identical home characteristics (e.g., wall construction, roof construction, window U-factors, and window-to-wall area) from the sample of REM/Rate files. The </w:t>
      </w:r>
      <w:r w:rsidR="00875792" w:rsidRPr="00B75B77">
        <w:t xml:space="preserve">evaluation team calculated </w:t>
      </w:r>
      <w:r w:rsidRPr="00B75B77">
        <w:t>annual energy and demand savings associated with the program homes as the difference between the baseline and as-built simulation results.</w:t>
      </w:r>
    </w:p>
    <w:p w:rsidR="00893676" w:rsidRPr="00B75B77" w:rsidRDefault="00893676" w:rsidP="00751A38"/>
    <w:p w:rsidR="00893676" w:rsidRPr="00B75B77" w:rsidRDefault="00893676" w:rsidP="00751A38">
      <w:r w:rsidRPr="00B75B77">
        <w:t xml:space="preserve">The PY7 sampling strategy used a random sample of projects from the population of program participants in the PY7 tracking database. </w:t>
      </w:r>
      <w:r w:rsidR="00695D32" w:rsidRPr="00B75B77">
        <w:t>The evaluation team conducted s</w:t>
      </w:r>
      <w:r w:rsidRPr="00B75B77">
        <w:t xml:space="preserve">ampling after Q3 and Q4, when all projects completed in PY7 were captured in the tracking database. The team selected sampled projects based on builder volume to ensure the sample reflected the participant population. The impact evaluation sampling strategy is shown in </w:t>
      </w:r>
      <w:r w:rsidR="009070DC" w:rsidRPr="00B75B77">
        <w:fldChar w:fldCharType="begin"/>
      </w:r>
      <w:r w:rsidR="009070DC" w:rsidRPr="00B75B77">
        <w:instrText xml:space="preserve"> REF _Ref432665430 \h </w:instrText>
      </w:r>
      <w:r w:rsidR="00B75B77">
        <w:instrText xml:space="preserve"> \* MERGEFORMAT </w:instrText>
      </w:r>
      <w:r w:rsidR="009070DC" w:rsidRPr="00B75B77">
        <w:fldChar w:fldCharType="separate"/>
      </w:r>
      <w:r w:rsidR="0004016D" w:rsidRPr="00B75B77">
        <w:t xml:space="preserve">Table </w:t>
      </w:r>
      <w:r w:rsidR="0004016D">
        <w:rPr>
          <w:noProof/>
        </w:rPr>
        <w:t>7</w:t>
      </w:r>
      <w:r w:rsidR="0004016D" w:rsidRPr="00B75B77">
        <w:rPr>
          <w:noProof/>
        </w:rPr>
        <w:noBreakHyphen/>
      </w:r>
      <w:r w:rsidR="0004016D">
        <w:rPr>
          <w:noProof/>
        </w:rPr>
        <w:t>2</w:t>
      </w:r>
      <w:r w:rsidR="009070DC" w:rsidRPr="00B75B77">
        <w:fldChar w:fldCharType="end"/>
      </w:r>
      <w:r w:rsidRPr="00B75B77">
        <w:t>.</w:t>
      </w:r>
    </w:p>
    <w:p w:rsidR="00893676" w:rsidRPr="00B75B77" w:rsidRDefault="00893676" w:rsidP="00751A38"/>
    <w:p w:rsidR="00893676" w:rsidRPr="00B75B77" w:rsidRDefault="00893676" w:rsidP="004943C7">
      <w:pPr>
        <w:pStyle w:val="Caption"/>
      </w:pPr>
      <w:bookmarkStart w:id="513" w:name="_Ref432665430"/>
      <w:bookmarkStart w:id="514" w:name="_Toc434597591"/>
      <w:bookmarkStart w:id="515" w:name="_Toc466413556"/>
      <w:r w:rsidRPr="00B75B77">
        <w:lastRenderedPageBreak/>
        <w:t xml:space="preserve">Table </w:t>
      </w:r>
      <w:fldSimple w:instr=" STYLEREF 1 \s ">
        <w:r w:rsidR="0004016D">
          <w:rPr>
            <w:noProof/>
          </w:rPr>
          <w:t>7</w:t>
        </w:r>
      </w:fldSimple>
      <w:r w:rsidR="00F1144C" w:rsidRPr="00B75B77">
        <w:noBreakHyphen/>
      </w:r>
      <w:fldSimple w:instr=" SEQ Table \* ARABIC \s 1 ">
        <w:r w:rsidR="0004016D">
          <w:rPr>
            <w:noProof/>
          </w:rPr>
          <w:t>2</w:t>
        </w:r>
      </w:fldSimple>
      <w:bookmarkEnd w:id="513"/>
      <w:r w:rsidRPr="00B75B77">
        <w:t>: Smart Builder Rebates Sampling Strategy for PY</w:t>
      </w:r>
      <w:bookmarkEnd w:id="514"/>
      <w:r w:rsidRPr="00B75B77">
        <w:t>7</w:t>
      </w:r>
      <w:bookmarkEnd w:id="515"/>
    </w:p>
    <w:tbl>
      <w:tblPr>
        <w:tblW w:w="9180" w:type="dxa"/>
        <w:tblInd w:w="175" w:type="dxa"/>
        <w:tblLayout w:type="fixed"/>
        <w:tblLook w:val="04A0" w:firstRow="1" w:lastRow="0" w:firstColumn="1" w:lastColumn="0" w:noHBand="0" w:noVBand="1"/>
      </w:tblPr>
      <w:tblGrid>
        <w:gridCol w:w="1620"/>
        <w:gridCol w:w="1080"/>
        <w:gridCol w:w="1530"/>
        <w:gridCol w:w="1260"/>
        <w:gridCol w:w="1170"/>
        <w:gridCol w:w="2520"/>
      </w:tblGrid>
      <w:tr w:rsidR="00893676" w:rsidRPr="00B75B77" w:rsidTr="00695D32">
        <w:trPr>
          <w:trHeight w:val="660"/>
        </w:trPr>
        <w:tc>
          <w:tcPr>
            <w:tcW w:w="1620" w:type="dxa"/>
            <w:tcBorders>
              <w:top w:val="single" w:sz="4" w:space="0" w:color="auto"/>
              <w:left w:val="single" w:sz="4" w:space="0" w:color="auto"/>
              <w:bottom w:val="single" w:sz="4" w:space="0" w:color="auto"/>
              <w:right w:val="single" w:sz="4" w:space="0" w:color="auto"/>
            </w:tcBorders>
            <w:shd w:val="clear" w:color="000000" w:fill="448A99"/>
            <w:vAlign w:val="center"/>
            <w:hideMark/>
          </w:tcPr>
          <w:p w:rsidR="00893676" w:rsidRPr="00B75B77" w:rsidRDefault="00893676" w:rsidP="004943C7">
            <w:pPr>
              <w:keepNext/>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Stratum</w:t>
            </w:r>
          </w:p>
        </w:tc>
        <w:tc>
          <w:tcPr>
            <w:tcW w:w="1080" w:type="dxa"/>
            <w:tcBorders>
              <w:top w:val="single" w:sz="4" w:space="0" w:color="auto"/>
              <w:left w:val="nil"/>
              <w:bottom w:val="single" w:sz="4" w:space="0" w:color="auto"/>
              <w:right w:val="single" w:sz="4" w:space="0" w:color="auto"/>
            </w:tcBorders>
            <w:shd w:val="clear" w:color="000000" w:fill="448A99"/>
            <w:vAlign w:val="center"/>
            <w:hideMark/>
          </w:tcPr>
          <w:p w:rsidR="00893676" w:rsidRPr="00B75B77" w:rsidRDefault="00893676" w:rsidP="004943C7">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Population Size</w:t>
            </w:r>
          </w:p>
        </w:tc>
        <w:tc>
          <w:tcPr>
            <w:tcW w:w="1530" w:type="dxa"/>
            <w:tcBorders>
              <w:top w:val="single" w:sz="4" w:space="0" w:color="auto"/>
              <w:left w:val="nil"/>
              <w:bottom w:val="single" w:sz="4" w:space="0" w:color="auto"/>
              <w:right w:val="single" w:sz="4" w:space="0" w:color="auto"/>
            </w:tcBorders>
            <w:shd w:val="clear" w:color="000000" w:fill="448A99"/>
            <w:vAlign w:val="center"/>
            <w:hideMark/>
          </w:tcPr>
          <w:p w:rsidR="00893676" w:rsidRPr="00B75B77" w:rsidRDefault="00893676" w:rsidP="004943C7">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Target Levels of Confidence </w:t>
            </w:r>
            <w:r w:rsidR="00695D32" w:rsidRPr="00B75B77">
              <w:rPr>
                <w:rFonts w:ascii="Calibri" w:eastAsia="Times New Roman" w:hAnsi="Calibri"/>
                <w:b/>
                <w:bCs/>
                <w:color w:val="FFFFFF"/>
                <w:sz w:val="18"/>
                <w:szCs w:val="18"/>
              </w:rPr>
              <w:t>and</w:t>
            </w:r>
            <w:r w:rsidRPr="00B75B77">
              <w:rPr>
                <w:rFonts w:ascii="Calibri" w:eastAsia="Times New Roman" w:hAnsi="Calibri"/>
                <w:b/>
                <w:bCs/>
                <w:color w:val="FFFFFF"/>
                <w:sz w:val="18"/>
                <w:szCs w:val="18"/>
              </w:rPr>
              <w:t xml:space="preserve"> Precision</w:t>
            </w:r>
          </w:p>
        </w:tc>
        <w:tc>
          <w:tcPr>
            <w:tcW w:w="1260" w:type="dxa"/>
            <w:tcBorders>
              <w:top w:val="single" w:sz="4" w:space="0" w:color="auto"/>
              <w:left w:val="nil"/>
              <w:bottom w:val="single" w:sz="4" w:space="0" w:color="auto"/>
              <w:right w:val="single" w:sz="4" w:space="0" w:color="auto"/>
            </w:tcBorders>
            <w:shd w:val="clear" w:color="000000" w:fill="448A99"/>
            <w:vAlign w:val="center"/>
            <w:hideMark/>
          </w:tcPr>
          <w:p w:rsidR="00893676" w:rsidRPr="00B75B77" w:rsidRDefault="00893676" w:rsidP="004943C7">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Target Sample Size</w:t>
            </w:r>
          </w:p>
        </w:tc>
        <w:tc>
          <w:tcPr>
            <w:tcW w:w="1170" w:type="dxa"/>
            <w:tcBorders>
              <w:top w:val="single" w:sz="4" w:space="0" w:color="auto"/>
              <w:left w:val="nil"/>
              <w:bottom w:val="single" w:sz="4" w:space="0" w:color="auto"/>
              <w:right w:val="single" w:sz="4" w:space="0" w:color="auto"/>
            </w:tcBorders>
            <w:shd w:val="clear" w:color="000000" w:fill="448A99"/>
            <w:vAlign w:val="center"/>
            <w:hideMark/>
          </w:tcPr>
          <w:p w:rsidR="00893676" w:rsidRPr="00B75B77" w:rsidRDefault="00893676" w:rsidP="004943C7">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Achieved Sample Size</w:t>
            </w:r>
          </w:p>
        </w:tc>
        <w:tc>
          <w:tcPr>
            <w:tcW w:w="2520" w:type="dxa"/>
            <w:tcBorders>
              <w:top w:val="single" w:sz="4" w:space="0" w:color="auto"/>
              <w:left w:val="nil"/>
              <w:bottom w:val="single" w:sz="4" w:space="0" w:color="auto"/>
              <w:right w:val="single" w:sz="4" w:space="0" w:color="auto"/>
            </w:tcBorders>
            <w:shd w:val="clear" w:color="000000" w:fill="448A99"/>
            <w:vAlign w:val="center"/>
            <w:hideMark/>
          </w:tcPr>
          <w:p w:rsidR="00893676" w:rsidRPr="00B75B77" w:rsidRDefault="00893676" w:rsidP="004943C7">
            <w:pPr>
              <w:keepNext/>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Evaluation Activity</w:t>
            </w:r>
          </w:p>
        </w:tc>
      </w:tr>
      <w:tr w:rsidR="00893676" w:rsidRPr="00B75B77" w:rsidTr="00695D32">
        <w:trPr>
          <w:trHeight w:val="288"/>
        </w:trPr>
        <w:tc>
          <w:tcPr>
            <w:tcW w:w="1620" w:type="dxa"/>
            <w:tcBorders>
              <w:top w:val="nil"/>
              <w:left w:val="single" w:sz="4" w:space="0" w:color="448A99"/>
              <w:bottom w:val="single" w:sz="4" w:space="0" w:color="448A99"/>
              <w:right w:val="single" w:sz="4" w:space="0" w:color="448A99"/>
            </w:tcBorders>
            <w:shd w:val="clear" w:color="000000" w:fill="D2EAF1"/>
            <w:vAlign w:val="center"/>
            <w:hideMark/>
          </w:tcPr>
          <w:p w:rsidR="00893676" w:rsidRPr="00B75B77" w:rsidRDefault="00893676" w:rsidP="004943C7">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All</w:t>
            </w:r>
          </w:p>
        </w:tc>
        <w:tc>
          <w:tcPr>
            <w:tcW w:w="1080" w:type="dxa"/>
            <w:tcBorders>
              <w:top w:val="nil"/>
              <w:left w:val="nil"/>
              <w:bottom w:val="single" w:sz="4" w:space="0" w:color="448A99"/>
              <w:right w:val="single" w:sz="4" w:space="0" w:color="448A99"/>
            </w:tcBorders>
            <w:shd w:val="clear" w:color="000000" w:fill="D2EAF1"/>
            <w:vAlign w:val="center"/>
            <w:hideMark/>
          </w:tcPr>
          <w:p w:rsidR="00893676" w:rsidRPr="00B75B77" w:rsidRDefault="00893676" w:rsidP="004943C7">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158</w:t>
            </w:r>
          </w:p>
        </w:tc>
        <w:tc>
          <w:tcPr>
            <w:tcW w:w="1530" w:type="dxa"/>
            <w:tcBorders>
              <w:top w:val="nil"/>
              <w:left w:val="nil"/>
              <w:bottom w:val="single" w:sz="4" w:space="0" w:color="448A99"/>
              <w:right w:val="single" w:sz="4" w:space="0" w:color="448A99"/>
            </w:tcBorders>
            <w:shd w:val="clear" w:color="000000" w:fill="D2EAF1"/>
            <w:vAlign w:val="center"/>
            <w:hideMark/>
          </w:tcPr>
          <w:p w:rsidR="00893676" w:rsidRPr="00B75B77" w:rsidRDefault="00893676" w:rsidP="004943C7">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90/10</w:t>
            </w:r>
          </w:p>
        </w:tc>
        <w:tc>
          <w:tcPr>
            <w:tcW w:w="1260" w:type="dxa"/>
            <w:tcBorders>
              <w:top w:val="nil"/>
              <w:left w:val="nil"/>
              <w:bottom w:val="single" w:sz="4" w:space="0" w:color="448A99"/>
              <w:right w:val="single" w:sz="4" w:space="0" w:color="448A99"/>
            </w:tcBorders>
            <w:shd w:val="clear" w:color="000000" w:fill="D2EAF1"/>
            <w:vAlign w:val="center"/>
            <w:hideMark/>
          </w:tcPr>
          <w:p w:rsidR="00893676" w:rsidRPr="00B75B77" w:rsidRDefault="00893676" w:rsidP="004943C7">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10</w:t>
            </w:r>
          </w:p>
        </w:tc>
        <w:tc>
          <w:tcPr>
            <w:tcW w:w="1170" w:type="dxa"/>
            <w:tcBorders>
              <w:top w:val="nil"/>
              <w:left w:val="nil"/>
              <w:bottom w:val="single" w:sz="4" w:space="0" w:color="448A99"/>
              <w:right w:val="single" w:sz="4" w:space="0" w:color="448A99"/>
            </w:tcBorders>
            <w:shd w:val="clear" w:color="000000" w:fill="D2EAF1"/>
            <w:vAlign w:val="center"/>
            <w:hideMark/>
          </w:tcPr>
          <w:p w:rsidR="00893676" w:rsidRPr="00B75B77" w:rsidRDefault="00893676" w:rsidP="004943C7">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10</w:t>
            </w:r>
          </w:p>
        </w:tc>
        <w:tc>
          <w:tcPr>
            <w:tcW w:w="2520" w:type="dxa"/>
            <w:tcBorders>
              <w:top w:val="nil"/>
              <w:left w:val="nil"/>
              <w:bottom w:val="single" w:sz="4" w:space="0" w:color="448A99"/>
              <w:right w:val="single" w:sz="4" w:space="0" w:color="448A99"/>
            </w:tcBorders>
            <w:shd w:val="clear" w:color="000000" w:fill="D2EAF1"/>
            <w:vAlign w:val="center"/>
            <w:hideMark/>
          </w:tcPr>
          <w:p w:rsidR="00893676" w:rsidRPr="00B75B77" w:rsidRDefault="00517EEF" w:rsidP="004943C7">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Desk reviews and whole-building simulation modeling</w:t>
            </w:r>
          </w:p>
        </w:tc>
      </w:tr>
      <w:tr w:rsidR="00893676" w:rsidRPr="00B75B77" w:rsidTr="00695D32">
        <w:trPr>
          <w:trHeight w:val="288"/>
        </w:trPr>
        <w:tc>
          <w:tcPr>
            <w:tcW w:w="1620" w:type="dxa"/>
            <w:tcBorders>
              <w:top w:val="nil"/>
              <w:left w:val="single" w:sz="4" w:space="0" w:color="448A99"/>
              <w:bottom w:val="single" w:sz="4" w:space="0" w:color="448A99"/>
              <w:right w:val="single" w:sz="4" w:space="0" w:color="448A99"/>
            </w:tcBorders>
            <w:shd w:val="clear" w:color="000000" w:fill="FFFFFF"/>
            <w:vAlign w:val="center"/>
            <w:hideMark/>
          </w:tcPr>
          <w:p w:rsidR="00893676" w:rsidRPr="00B75B77" w:rsidRDefault="00695D32" w:rsidP="004943C7">
            <w:pPr>
              <w:keepNext/>
              <w:jc w:val="left"/>
              <w:rPr>
                <w:rFonts w:ascii="Calibri" w:eastAsia="Times New Roman" w:hAnsi="Calibri"/>
                <w:b/>
                <w:color w:val="000000"/>
                <w:sz w:val="18"/>
                <w:szCs w:val="18"/>
              </w:rPr>
            </w:pPr>
            <w:r w:rsidRPr="00B75B77">
              <w:rPr>
                <w:rFonts w:ascii="Calibri" w:eastAsia="Times New Roman" w:hAnsi="Calibri"/>
                <w:b/>
                <w:color w:val="000000"/>
                <w:sz w:val="18"/>
                <w:szCs w:val="18"/>
              </w:rPr>
              <w:t>PROGRAM TOTAL</w:t>
            </w:r>
          </w:p>
        </w:tc>
        <w:tc>
          <w:tcPr>
            <w:tcW w:w="1080" w:type="dxa"/>
            <w:tcBorders>
              <w:top w:val="nil"/>
              <w:left w:val="nil"/>
              <w:bottom w:val="single" w:sz="4" w:space="0" w:color="448A99"/>
              <w:right w:val="single" w:sz="4" w:space="0" w:color="448A99"/>
            </w:tcBorders>
            <w:shd w:val="clear" w:color="000000" w:fill="FFFFFF"/>
            <w:vAlign w:val="center"/>
            <w:hideMark/>
          </w:tcPr>
          <w:p w:rsidR="00893676" w:rsidRPr="00B75B77" w:rsidRDefault="00893676" w:rsidP="004943C7">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158</w:t>
            </w:r>
          </w:p>
        </w:tc>
        <w:tc>
          <w:tcPr>
            <w:tcW w:w="1530" w:type="dxa"/>
            <w:tcBorders>
              <w:top w:val="nil"/>
              <w:left w:val="nil"/>
              <w:bottom w:val="single" w:sz="4" w:space="0" w:color="448A99"/>
              <w:right w:val="single" w:sz="4" w:space="0" w:color="448A99"/>
            </w:tcBorders>
            <w:shd w:val="clear" w:color="000000" w:fill="FFFFFF"/>
            <w:vAlign w:val="center"/>
            <w:hideMark/>
          </w:tcPr>
          <w:p w:rsidR="00893676" w:rsidRPr="00B75B77" w:rsidRDefault="00ED1E2C" w:rsidP="004943C7">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90/10</w:t>
            </w:r>
          </w:p>
        </w:tc>
        <w:tc>
          <w:tcPr>
            <w:tcW w:w="1260" w:type="dxa"/>
            <w:tcBorders>
              <w:top w:val="nil"/>
              <w:left w:val="nil"/>
              <w:bottom w:val="single" w:sz="4" w:space="0" w:color="448A99"/>
              <w:right w:val="single" w:sz="4" w:space="0" w:color="448A99"/>
            </w:tcBorders>
            <w:shd w:val="clear" w:color="000000" w:fill="FFFFFF"/>
            <w:vAlign w:val="center"/>
            <w:hideMark/>
          </w:tcPr>
          <w:p w:rsidR="00893676" w:rsidRPr="00B75B77" w:rsidRDefault="00893676" w:rsidP="004943C7">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10</w:t>
            </w:r>
          </w:p>
        </w:tc>
        <w:tc>
          <w:tcPr>
            <w:tcW w:w="1170" w:type="dxa"/>
            <w:tcBorders>
              <w:top w:val="nil"/>
              <w:left w:val="nil"/>
              <w:bottom w:val="single" w:sz="4" w:space="0" w:color="448A99"/>
              <w:right w:val="single" w:sz="4" w:space="0" w:color="448A99"/>
            </w:tcBorders>
            <w:shd w:val="clear" w:color="000000" w:fill="FFFFFF"/>
            <w:vAlign w:val="center"/>
            <w:hideMark/>
          </w:tcPr>
          <w:p w:rsidR="00893676" w:rsidRPr="00B75B77" w:rsidRDefault="00893676" w:rsidP="004943C7">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10</w:t>
            </w:r>
          </w:p>
        </w:tc>
        <w:tc>
          <w:tcPr>
            <w:tcW w:w="2520" w:type="dxa"/>
            <w:tcBorders>
              <w:top w:val="nil"/>
              <w:left w:val="nil"/>
              <w:bottom w:val="single" w:sz="4" w:space="0" w:color="448A99"/>
              <w:right w:val="single" w:sz="4" w:space="0" w:color="448A99"/>
            </w:tcBorders>
            <w:shd w:val="clear" w:color="000000" w:fill="FFFFFF"/>
            <w:vAlign w:val="center"/>
            <w:hideMark/>
          </w:tcPr>
          <w:p w:rsidR="00893676" w:rsidRPr="00B75B77" w:rsidRDefault="00893676" w:rsidP="004943C7">
            <w:pPr>
              <w:keepNext/>
              <w:jc w:val="left"/>
              <w:rPr>
                <w:rFonts w:ascii="Calibri" w:eastAsia="Times New Roman" w:hAnsi="Calibri"/>
                <w:b/>
                <w:color w:val="000000"/>
                <w:sz w:val="18"/>
                <w:szCs w:val="18"/>
              </w:rPr>
            </w:pPr>
            <w:r w:rsidRPr="00B75B77">
              <w:rPr>
                <w:rFonts w:ascii="Calibri" w:eastAsia="Times New Roman" w:hAnsi="Calibri"/>
                <w:b/>
                <w:color w:val="000000"/>
                <w:sz w:val="18"/>
                <w:szCs w:val="18"/>
              </w:rPr>
              <w:t>N/A</w:t>
            </w:r>
          </w:p>
        </w:tc>
      </w:tr>
    </w:tbl>
    <w:p w:rsidR="00695D32" w:rsidRPr="00B75B77" w:rsidRDefault="00695D32" w:rsidP="004943C7">
      <w:pPr>
        <w:pStyle w:val="Source"/>
        <w:keepNext/>
        <w:spacing w:before="20" w:after="20"/>
        <w:ind w:left="187" w:firstLine="0"/>
      </w:pPr>
      <w:r w:rsidRPr="00B75B77">
        <w:rPr>
          <w:rFonts w:ascii="Calibri" w:hAnsi="Calibri"/>
          <w:i w:val="0"/>
          <w:szCs w:val="18"/>
        </w:rPr>
        <w:t>Note: Values in tables may not reconcile exactly with the sum of more detailed level results or previously reported results due to rounding.</w:t>
      </w:r>
    </w:p>
    <w:p w:rsidR="00893676" w:rsidRPr="00B75B77" w:rsidRDefault="00893676" w:rsidP="004943C7">
      <w:pPr>
        <w:pStyle w:val="Source"/>
        <w:keepNext/>
      </w:pPr>
      <w:r w:rsidRPr="00B75B77">
        <w:t xml:space="preserve">Source: Navigant analysis </w:t>
      </w:r>
    </w:p>
    <w:p w:rsidR="00893676" w:rsidRPr="00B75B77" w:rsidRDefault="00695D32" w:rsidP="00751A38">
      <w:r w:rsidRPr="00B75B77">
        <w:t>Navigant did not conduct</w:t>
      </w:r>
      <w:r w:rsidR="00893676" w:rsidRPr="00B75B77">
        <w:t xml:space="preserve"> onsite inspections for the PY7 SBR program evaluation.</w:t>
      </w:r>
    </w:p>
    <w:p w:rsidR="00893676" w:rsidRPr="00B75B77" w:rsidRDefault="00893676" w:rsidP="00751A38"/>
    <w:p w:rsidR="00893676" w:rsidRPr="00B75B77" w:rsidRDefault="00893676" w:rsidP="00751A38">
      <w:pPr>
        <w:pStyle w:val="Heading3"/>
        <w:ind w:left="720" w:hanging="720"/>
      </w:pPr>
      <w:bookmarkStart w:id="516" w:name="_Toc434597801"/>
      <w:bookmarkStart w:id="517" w:name="_Toc466413348"/>
      <w:r w:rsidRPr="00B75B77">
        <w:t>Gross Verified Savings Results</w:t>
      </w:r>
      <w:bookmarkEnd w:id="516"/>
      <w:bookmarkEnd w:id="517"/>
    </w:p>
    <w:p w:rsidR="00893676" w:rsidRPr="00B75B77" w:rsidRDefault="00893676" w:rsidP="00751A38">
      <w:pPr>
        <w:keepNext/>
      </w:pPr>
      <w:r w:rsidRPr="00B75B77">
        <w:t>The verified PY7 gross savings for the SBR program were 363 M</w:t>
      </w:r>
      <w:r w:rsidR="00695D32" w:rsidRPr="00B75B77">
        <w:t>W</w:t>
      </w:r>
      <w:r w:rsidRPr="00B75B77">
        <w:t>h and 0.2 MW</w:t>
      </w:r>
      <w:r w:rsidR="00695D32" w:rsidRPr="00B75B77">
        <w:t>, respectively</w:t>
      </w:r>
      <w:r w:rsidRPr="00B75B77">
        <w:t xml:space="preserve">. The energy savings realization rate attributed to this program was 0.99, as indicated in </w:t>
      </w:r>
      <w:r w:rsidR="005A6F4D" w:rsidRPr="00B75B77">
        <w:fldChar w:fldCharType="begin"/>
      </w:r>
      <w:r w:rsidR="005A6F4D" w:rsidRPr="00B75B77">
        <w:instrText xml:space="preserve"> REF _Ref432665800 \h </w:instrText>
      </w:r>
      <w:r w:rsidR="00B75B77">
        <w:instrText xml:space="preserve"> \* MERGEFORMAT </w:instrText>
      </w:r>
      <w:r w:rsidR="005A6F4D" w:rsidRPr="00B75B77">
        <w:fldChar w:fldCharType="separate"/>
      </w:r>
      <w:r w:rsidR="0004016D" w:rsidRPr="00B75B77">
        <w:t xml:space="preserve">Table </w:t>
      </w:r>
      <w:r w:rsidR="0004016D">
        <w:rPr>
          <w:noProof/>
        </w:rPr>
        <w:t>7</w:t>
      </w:r>
      <w:r w:rsidR="0004016D" w:rsidRPr="00B75B77">
        <w:rPr>
          <w:noProof/>
        </w:rPr>
        <w:noBreakHyphen/>
      </w:r>
      <w:r w:rsidR="0004016D">
        <w:rPr>
          <w:noProof/>
        </w:rPr>
        <w:t>3</w:t>
      </w:r>
      <w:r w:rsidR="005A6F4D" w:rsidRPr="00B75B77">
        <w:fldChar w:fldCharType="end"/>
      </w:r>
      <w:r w:rsidRPr="00B75B77">
        <w:t xml:space="preserve">. The high realization rate for the SBR program is attributed to the fact that ex ante and ex post savings estimates were both calculated using DOE-2-based modeling software with the same as-built conditions </w:t>
      </w:r>
      <w:r w:rsidR="00BA357E" w:rsidRPr="00B75B77">
        <w:t xml:space="preserve">as </w:t>
      </w:r>
      <w:r w:rsidRPr="00B75B77">
        <w:t>documented by the rater.</w:t>
      </w:r>
    </w:p>
    <w:p w:rsidR="00893676" w:rsidRPr="00B75B77" w:rsidRDefault="00893676" w:rsidP="00751A38">
      <w:pPr>
        <w:keepNext/>
      </w:pPr>
    </w:p>
    <w:p w:rsidR="00893676" w:rsidRPr="00B75B77" w:rsidRDefault="00893676" w:rsidP="00751A38">
      <w:pPr>
        <w:pStyle w:val="Caption"/>
      </w:pPr>
      <w:bookmarkStart w:id="518" w:name="_Ref432665800"/>
      <w:bookmarkStart w:id="519" w:name="_Toc434597592"/>
      <w:bookmarkStart w:id="520" w:name="_Toc466413557"/>
      <w:r w:rsidRPr="00B75B77">
        <w:t xml:space="preserve">Table </w:t>
      </w:r>
      <w:fldSimple w:instr=" STYLEREF 1 \s ">
        <w:r w:rsidR="0004016D">
          <w:rPr>
            <w:noProof/>
          </w:rPr>
          <w:t>7</w:t>
        </w:r>
      </w:fldSimple>
      <w:r w:rsidR="00F1144C" w:rsidRPr="00B75B77">
        <w:noBreakHyphen/>
      </w:r>
      <w:fldSimple w:instr=" SEQ Table \* ARABIC \s 1 ">
        <w:r w:rsidR="0004016D">
          <w:rPr>
            <w:noProof/>
          </w:rPr>
          <w:t>3</w:t>
        </w:r>
      </w:fldSimple>
      <w:bookmarkEnd w:id="518"/>
      <w:r w:rsidRPr="00B75B77">
        <w:t>: PY7 Smart Builder Rebates Summary of Evaluation Results for Energy</w:t>
      </w:r>
      <w:bookmarkEnd w:id="519"/>
      <w:bookmarkEnd w:id="520"/>
    </w:p>
    <w:tbl>
      <w:tblPr>
        <w:tblW w:w="8005" w:type="dxa"/>
        <w:jc w:val="center"/>
        <w:tblLook w:val="04A0" w:firstRow="1" w:lastRow="0" w:firstColumn="1" w:lastColumn="0" w:noHBand="0" w:noVBand="1"/>
      </w:tblPr>
      <w:tblGrid>
        <w:gridCol w:w="1345"/>
        <w:gridCol w:w="990"/>
        <w:gridCol w:w="1080"/>
        <w:gridCol w:w="1260"/>
        <w:gridCol w:w="1800"/>
        <w:gridCol w:w="1530"/>
      </w:tblGrid>
      <w:tr w:rsidR="00893676" w:rsidRPr="00B75B77" w:rsidTr="00695D32">
        <w:trPr>
          <w:divId w:val="241107283"/>
          <w:trHeight w:val="660"/>
          <w:jc w:val="center"/>
        </w:trPr>
        <w:tc>
          <w:tcPr>
            <w:tcW w:w="1345"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893676" w:rsidRPr="00B75B77" w:rsidRDefault="00893676" w:rsidP="00695D32">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Stratum</w:t>
            </w:r>
          </w:p>
        </w:tc>
        <w:tc>
          <w:tcPr>
            <w:tcW w:w="99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893676" w:rsidRPr="00B75B77" w:rsidRDefault="00893676"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Reported Gross Energy Savings (MWh/</w:t>
            </w:r>
            <w:proofErr w:type="spellStart"/>
            <w:r w:rsidRPr="00B75B77">
              <w:rPr>
                <w:rFonts w:ascii="Calibri" w:eastAsia="Times New Roman" w:hAnsi="Calibri"/>
                <w:b/>
                <w:bCs/>
                <w:color w:val="FFFFFF"/>
                <w:sz w:val="18"/>
                <w:szCs w:val="18"/>
              </w:rPr>
              <w:t>yr</w:t>
            </w:r>
            <w:proofErr w:type="spellEnd"/>
            <w:r w:rsidRPr="00B75B77">
              <w:rPr>
                <w:rFonts w:ascii="Calibri" w:eastAsia="Times New Roman" w:hAnsi="Calibri"/>
                <w:b/>
                <w:bCs/>
                <w:color w:val="FFFFFF"/>
                <w:sz w:val="18"/>
                <w:szCs w:val="18"/>
              </w:rPr>
              <w:t>)</w:t>
            </w:r>
          </w:p>
        </w:tc>
        <w:tc>
          <w:tcPr>
            <w:tcW w:w="108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893676" w:rsidRPr="00B75B77" w:rsidRDefault="00893676"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Energy Realization Rate</w:t>
            </w:r>
            <w:r w:rsidR="00F821D8" w:rsidRPr="00B75B77">
              <w:rPr>
                <w:rFonts w:ascii="Calibri" w:eastAsia="Times New Roman" w:hAnsi="Calibri"/>
                <w:b/>
                <w:bCs/>
                <w:color w:val="FFFFFF"/>
                <w:sz w:val="18"/>
                <w:szCs w:val="18"/>
              </w:rPr>
              <w:t xml:space="preserve"> (%)</w:t>
            </w:r>
          </w:p>
        </w:tc>
        <w:tc>
          <w:tcPr>
            <w:tcW w:w="126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893676" w:rsidRPr="00B75B77" w:rsidRDefault="00893676"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Verified Gross Energy Savings (MWh/</w:t>
            </w:r>
            <w:proofErr w:type="spellStart"/>
            <w:r w:rsidRPr="00B75B77">
              <w:rPr>
                <w:rFonts w:ascii="Calibri" w:eastAsia="Times New Roman" w:hAnsi="Calibri"/>
                <w:b/>
                <w:bCs/>
                <w:color w:val="FFFFFF"/>
                <w:sz w:val="18"/>
                <w:szCs w:val="18"/>
              </w:rPr>
              <w:t>yr</w:t>
            </w:r>
            <w:proofErr w:type="spellEnd"/>
            <w:r w:rsidRPr="00B75B77">
              <w:rPr>
                <w:rFonts w:ascii="Calibri" w:eastAsia="Times New Roman" w:hAnsi="Calibri"/>
                <w:b/>
                <w:bCs/>
                <w:color w:val="FFFFFF"/>
                <w:sz w:val="18"/>
                <w:szCs w:val="18"/>
              </w:rPr>
              <w:t>)</w:t>
            </w:r>
          </w:p>
        </w:tc>
        <w:tc>
          <w:tcPr>
            <w:tcW w:w="180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893676" w:rsidRPr="00B75B77" w:rsidRDefault="00893676" w:rsidP="00695D32">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Observed C</w:t>
            </w:r>
            <w:r w:rsidR="00695D32" w:rsidRPr="00B75B77">
              <w:rPr>
                <w:rFonts w:ascii="Calibri" w:eastAsia="Times New Roman" w:hAnsi="Calibri"/>
                <w:b/>
                <w:bCs/>
                <w:color w:val="FFFFFF"/>
                <w:sz w:val="18"/>
                <w:szCs w:val="18"/>
              </w:rPr>
              <w:t>V</w:t>
            </w:r>
            <w:r w:rsidRPr="00B75B77">
              <w:rPr>
                <w:rFonts w:ascii="Calibri" w:eastAsia="Times New Roman" w:hAnsi="Calibri"/>
                <w:b/>
                <w:bCs/>
                <w:color w:val="FFFFFF"/>
                <w:sz w:val="18"/>
                <w:szCs w:val="18"/>
              </w:rPr>
              <w:t xml:space="preserve"> or Proportion in Sample Design</w:t>
            </w:r>
          </w:p>
        </w:tc>
        <w:tc>
          <w:tcPr>
            <w:tcW w:w="153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893676" w:rsidRPr="00B75B77" w:rsidRDefault="00893676" w:rsidP="00695D32">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Relative Precision at 85% </w:t>
            </w:r>
            <w:r w:rsidR="00695D32" w:rsidRPr="00B75B77">
              <w:rPr>
                <w:rFonts w:ascii="Calibri" w:eastAsia="Times New Roman" w:hAnsi="Calibri"/>
                <w:b/>
                <w:bCs/>
                <w:color w:val="FFFFFF"/>
                <w:sz w:val="18"/>
                <w:szCs w:val="18"/>
              </w:rPr>
              <w:t>Confidence Interval</w:t>
            </w:r>
          </w:p>
        </w:tc>
      </w:tr>
      <w:tr w:rsidR="00893676" w:rsidRPr="00B75B77" w:rsidTr="00695D32">
        <w:trPr>
          <w:divId w:val="241107283"/>
          <w:trHeight w:val="288"/>
          <w:jc w:val="center"/>
        </w:trPr>
        <w:tc>
          <w:tcPr>
            <w:tcW w:w="1345" w:type="dxa"/>
            <w:vMerge/>
            <w:tcBorders>
              <w:top w:val="single" w:sz="4" w:space="0" w:color="auto"/>
              <w:left w:val="single" w:sz="4" w:space="0" w:color="auto"/>
              <w:bottom w:val="single" w:sz="4" w:space="0" w:color="000000"/>
              <w:right w:val="single" w:sz="4" w:space="0" w:color="auto"/>
            </w:tcBorders>
            <w:vAlign w:val="center"/>
            <w:hideMark/>
          </w:tcPr>
          <w:p w:rsidR="00893676" w:rsidRPr="00B75B77" w:rsidRDefault="00893676" w:rsidP="00751A38">
            <w:pPr>
              <w:jc w:val="left"/>
              <w:rPr>
                <w:rFonts w:ascii="Calibri" w:eastAsia="Times New Roman" w:hAnsi="Calibri"/>
                <w:b/>
                <w:bCs/>
                <w:color w:val="FFFFFF"/>
                <w:sz w:val="18"/>
                <w:szCs w:val="18"/>
              </w:rPr>
            </w:pPr>
          </w:p>
        </w:tc>
        <w:tc>
          <w:tcPr>
            <w:tcW w:w="990" w:type="dxa"/>
            <w:vMerge/>
            <w:tcBorders>
              <w:top w:val="single" w:sz="4" w:space="0" w:color="auto"/>
              <w:left w:val="single" w:sz="4" w:space="0" w:color="auto"/>
              <w:bottom w:val="single" w:sz="4" w:space="0" w:color="000000"/>
              <w:right w:val="single" w:sz="4" w:space="0" w:color="auto"/>
            </w:tcBorders>
            <w:vAlign w:val="center"/>
            <w:hideMark/>
          </w:tcPr>
          <w:p w:rsidR="00893676" w:rsidRPr="00B75B77" w:rsidRDefault="00893676" w:rsidP="00751A38">
            <w:pPr>
              <w:jc w:val="left"/>
              <w:rPr>
                <w:rFonts w:ascii="Calibri" w:eastAsia="Times New Roman" w:hAnsi="Calibri"/>
                <w:b/>
                <w:bCs/>
                <w:color w:val="FFFFFF"/>
                <w:sz w:val="18"/>
                <w:szCs w:val="18"/>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893676" w:rsidRPr="00B75B77" w:rsidRDefault="00893676" w:rsidP="00751A38">
            <w:pPr>
              <w:jc w:val="left"/>
              <w:rPr>
                <w:rFonts w:ascii="Calibri" w:eastAsia="Times New Roman" w:hAnsi="Calibri"/>
                <w:b/>
                <w:bCs/>
                <w:color w:val="FFFFFF"/>
                <w:sz w:val="18"/>
                <w:szCs w:val="18"/>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rsidR="00893676" w:rsidRPr="00B75B77" w:rsidRDefault="00893676" w:rsidP="00751A38">
            <w:pPr>
              <w:jc w:val="left"/>
              <w:rPr>
                <w:rFonts w:ascii="Calibri" w:eastAsia="Times New Roman" w:hAnsi="Calibri"/>
                <w:b/>
                <w:bCs/>
                <w:color w:val="FFFFFF"/>
                <w:sz w:val="18"/>
                <w:szCs w:val="18"/>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893676" w:rsidRPr="00B75B77" w:rsidRDefault="00893676" w:rsidP="00751A38">
            <w:pPr>
              <w:jc w:val="left"/>
              <w:rPr>
                <w:rFonts w:ascii="Calibri" w:eastAsia="Times New Roman" w:hAnsi="Calibri"/>
                <w:b/>
                <w:bCs/>
                <w:color w:val="FFFFFF"/>
                <w:sz w:val="18"/>
                <w:szCs w:val="18"/>
              </w:rPr>
            </w:pPr>
          </w:p>
        </w:tc>
        <w:tc>
          <w:tcPr>
            <w:tcW w:w="1530" w:type="dxa"/>
            <w:vMerge/>
            <w:tcBorders>
              <w:top w:val="single" w:sz="4" w:space="0" w:color="auto"/>
              <w:left w:val="single" w:sz="4" w:space="0" w:color="auto"/>
              <w:bottom w:val="single" w:sz="4" w:space="0" w:color="000000"/>
              <w:right w:val="single" w:sz="4" w:space="0" w:color="auto"/>
            </w:tcBorders>
            <w:vAlign w:val="center"/>
            <w:hideMark/>
          </w:tcPr>
          <w:p w:rsidR="00893676" w:rsidRPr="00B75B77" w:rsidRDefault="00893676" w:rsidP="00751A38">
            <w:pPr>
              <w:jc w:val="left"/>
              <w:rPr>
                <w:rFonts w:ascii="Calibri" w:eastAsia="Times New Roman" w:hAnsi="Calibri"/>
                <w:b/>
                <w:bCs/>
                <w:color w:val="FFFFFF"/>
                <w:sz w:val="18"/>
                <w:szCs w:val="18"/>
              </w:rPr>
            </w:pPr>
          </w:p>
        </w:tc>
      </w:tr>
      <w:tr w:rsidR="00893676" w:rsidRPr="00B75B77" w:rsidTr="00695D32">
        <w:trPr>
          <w:divId w:val="241107283"/>
          <w:trHeight w:val="300"/>
          <w:jc w:val="center"/>
        </w:trPr>
        <w:tc>
          <w:tcPr>
            <w:tcW w:w="1345" w:type="dxa"/>
            <w:vMerge/>
            <w:tcBorders>
              <w:top w:val="single" w:sz="4" w:space="0" w:color="auto"/>
              <w:left w:val="single" w:sz="4" w:space="0" w:color="auto"/>
              <w:bottom w:val="single" w:sz="4" w:space="0" w:color="000000"/>
              <w:right w:val="single" w:sz="4" w:space="0" w:color="auto"/>
            </w:tcBorders>
            <w:vAlign w:val="center"/>
            <w:hideMark/>
          </w:tcPr>
          <w:p w:rsidR="00893676" w:rsidRPr="00B75B77" w:rsidRDefault="00893676" w:rsidP="00751A38">
            <w:pPr>
              <w:jc w:val="left"/>
              <w:rPr>
                <w:rFonts w:ascii="Calibri" w:eastAsia="Times New Roman" w:hAnsi="Calibri"/>
                <w:b/>
                <w:bCs/>
                <w:color w:val="FFFFFF"/>
                <w:sz w:val="18"/>
                <w:szCs w:val="18"/>
              </w:rPr>
            </w:pPr>
          </w:p>
        </w:tc>
        <w:tc>
          <w:tcPr>
            <w:tcW w:w="990" w:type="dxa"/>
            <w:vMerge/>
            <w:tcBorders>
              <w:top w:val="single" w:sz="4" w:space="0" w:color="auto"/>
              <w:left w:val="single" w:sz="4" w:space="0" w:color="auto"/>
              <w:bottom w:val="single" w:sz="4" w:space="0" w:color="000000"/>
              <w:right w:val="single" w:sz="4" w:space="0" w:color="auto"/>
            </w:tcBorders>
            <w:vAlign w:val="center"/>
            <w:hideMark/>
          </w:tcPr>
          <w:p w:rsidR="00893676" w:rsidRPr="00B75B77" w:rsidRDefault="00893676" w:rsidP="00751A38">
            <w:pPr>
              <w:jc w:val="left"/>
              <w:rPr>
                <w:rFonts w:ascii="Calibri" w:eastAsia="Times New Roman" w:hAnsi="Calibri"/>
                <w:b/>
                <w:bCs/>
                <w:color w:val="FFFFFF"/>
                <w:sz w:val="18"/>
                <w:szCs w:val="18"/>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893676" w:rsidRPr="00B75B77" w:rsidRDefault="00893676" w:rsidP="00751A38">
            <w:pPr>
              <w:jc w:val="left"/>
              <w:rPr>
                <w:rFonts w:ascii="Calibri" w:eastAsia="Times New Roman" w:hAnsi="Calibri"/>
                <w:b/>
                <w:bCs/>
                <w:color w:val="FFFFFF"/>
                <w:sz w:val="18"/>
                <w:szCs w:val="18"/>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rsidR="00893676" w:rsidRPr="00B75B77" w:rsidRDefault="00893676" w:rsidP="00751A38">
            <w:pPr>
              <w:jc w:val="left"/>
              <w:rPr>
                <w:rFonts w:ascii="Calibri" w:eastAsia="Times New Roman" w:hAnsi="Calibri"/>
                <w:b/>
                <w:bCs/>
                <w:color w:val="FFFFFF"/>
                <w:sz w:val="18"/>
                <w:szCs w:val="18"/>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893676" w:rsidRPr="00B75B77" w:rsidRDefault="00893676" w:rsidP="00751A38">
            <w:pPr>
              <w:jc w:val="left"/>
              <w:rPr>
                <w:rFonts w:ascii="Calibri" w:eastAsia="Times New Roman" w:hAnsi="Calibri"/>
                <w:b/>
                <w:bCs/>
                <w:color w:val="FFFFFF"/>
                <w:sz w:val="18"/>
                <w:szCs w:val="18"/>
              </w:rPr>
            </w:pPr>
          </w:p>
        </w:tc>
        <w:tc>
          <w:tcPr>
            <w:tcW w:w="1530" w:type="dxa"/>
            <w:vMerge/>
            <w:tcBorders>
              <w:top w:val="single" w:sz="4" w:space="0" w:color="auto"/>
              <w:left w:val="single" w:sz="4" w:space="0" w:color="auto"/>
              <w:bottom w:val="single" w:sz="4" w:space="0" w:color="000000"/>
              <w:right w:val="single" w:sz="4" w:space="0" w:color="auto"/>
            </w:tcBorders>
            <w:vAlign w:val="center"/>
            <w:hideMark/>
          </w:tcPr>
          <w:p w:rsidR="00893676" w:rsidRPr="00B75B77" w:rsidRDefault="00893676" w:rsidP="00751A38">
            <w:pPr>
              <w:jc w:val="left"/>
              <w:rPr>
                <w:rFonts w:ascii="Calibri" w:eastAsia="Times New Roman" w:hAnsi="Calibri"/>
                <w:b/>
                <w:bCs/>
                <w:color w:val="FFFFFF"/>
                <w:sz w:val="18"/>
                <w:szCs w:val="18"/>
              </w:rPr>
            </w:pPr>
          </w:p>
        </w:tc>
      </w:tr>
      <w:tr w:rsidR="00893676" w:rsidRPr="00B75B77" w:rsidTr="00695D32">
        <w:trPr>
          <w:divId w:val="241107283"/>
          <w:trHeight w:val="300"/>
          <w:jc w:val="center"/>
        </w:trPr>
        <w:tc>
          <w:tcPr>
            <w:tcW w:w="1345" w:type="dxa"/>
            <w:tcBorders>
              <w:top w:val="nil"/>
              <w:left w:val="single" w:sz="4" w:space="0" w:color="448A99"/>
              <w:bottom w:val="single" w:sz="4" w:space="0" w:color="448A99"/>
              <w:right w:val="single" w:sz="4" w:space="0" w:color="448A99"/>
            </w:tcBorders>
            <w:shd w:val="clear" w:color="000000" w:fill="D2EAF1"/>
            <w:vAlign w:val="center"/>
            <w:hideMark/>
          </w:tcPr>
          <w:p w:rsidR="00893676" w:rsidRPr="00B75B77" w:rsidRDefault="00893676" w:rsidP="00751A38">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All</w:t>
            </w:r>
          </w:p>
        </w:tc>
        <w:tc>
          <w:tcPr>
            <w:tcW w:w="990" w:type="dxa"/>
            <w:tcBorders>
              <w:top w:val="nil"/>
              <w:left w:val="nil"/>
              <w:bottom w:val="single" w:sz="4" w:space="0" w:color="448A99"/>
              <w:right w:val="single" w:sz="4" w:space="0" w:color="448A99"/>
            </w:tcBorders>
            <w:shd w:val="clear" w:color="000000" w:fill="D2EAF1"/>
            <w:vAlign w:val="center"/>
            <w:hideMark/>
          </w:tcPr>
          <w:p w:rsidR="00893676" w:rsidRPr="00B75B77" w:rsidRDefault="00893676"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365</w:t>
            </w:r>
          </w:p>
        </w:tc>
        <w:tc>
          <w:tcPr>
            <w:tcW w:w="1080" w:type="dxa"/>
            <w:tcBorders>
              <w:top w:val="nil"/>
              <w:left w:val="nil"/>
              <w:bottom w:val="single" w:sz="4" w:space="0" w:color="448A99"/>
              <w:right w:val="single" w:sz="4" w:space="0" w:color="448A99"/>
            </w:tcBorders>
            <w:shd w:val="clear" w:color="000000" w:fill="D2EAF1"/>
            <w:vAlign w:val="center"/>
            <w:hideMark/>
          </w:tcPr>
          <w:p w:rsidR="00893676" w:rsidRPr="00B75B77" w:rsidRDefault="00893676"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0.99</w:t>
            </w:r>
          </w:p>
        </w:tc>
        <w:tc>
          <w:tcPr>
            <w:tcW w:w="1260" w:type="dxa"/>
            <w:tcBorders>
              <w:top w:val="nil"/>
              <w:left w:val="nil"/>
              <w:bottom w:val="single" w:sz="4" w:space="0" w:color="448A99"/>
              <w:right w:val="single" w:sz="4" w:space="0" w:color="448A99"/>
            </w:tcBorders>
            <w:shd w:val="clear" w:color="000000" w:fill="D2EAF1"/>
            <w:vAlign w:val="center"/>
            <w:hideMark/>
          </w:tcPr>
          <w:p w:rsidR="00893676" w:rsidRPr="00B75B77" w:rsidRDefault="00893676"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363</w:t>
            </w:r>
          </w:p>
        </w:tc>
        <w:tc>
          <w:tcPr>
            <w:tcW w:w="1800" w:type="dxa"/>
            <w:tcBorders>
              <w:top w:val="nil"/>
              <w:left w:val="nil"/>
              <w:bottom w:val="single" w:sz="4" w:space="0" w:color="448A99"/>
              <w:right w:val="single" w:sz="4" w:space="0" w:color="448A99"/>
            </w:tcBorders>
            <w:shd w:val="clear" w:color="000000" w:fill="D2EAF1"/>
            <w:vAlign w:val="center"/>
            <w:hideMark/>
          </w:tcPr>
          <w:p w:rsidR="00893676" w:rsidRPr="00B75B77" w:rsidRDefault="00893676"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0.03</w:t>
            </w:r>
          </w:p>
        </w:tc>
        <w:tc>
          <w:tcPr>
            <w:tcW w:w="1530" w:type="dxa"/>
            <w:tcBorders>
              <w:top w:val="nil"/>
              <w:left w:val="nil"/>
              <w:bottom w:val="single" w:sz="4" w:space="0" w:color="448A99"/>
              <w:right w:val="single" w:sz="4" w:space="0" w:color="448A99"/>
            </w:tcBorders>
            <w:shd w:val="clear" w:color="000000" w:fill="D2EAF1"/>
            <w:vAlign w:val="center"/>
            <w:hideMark/>
          </w:tcPr>
          <w:p w:rsidR="00893676" w:rsidRPr="00B75B77" w:rsidRDefault="00893676"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2%</w:t>
            </w:r>
          </w:p>
        </w:tc>
      </w:tr>
      <w:tr w:rsidR="00893676" w:rsidRPr="00B75B77" w:rsidTr="00695D32">
        <w:trPr>
          <w:divId w:val="241107283"/>
          <w:trHeight w:val="288"/>
          <w:jc w:val="center"/>
        </w:trPr>
        <w:tc>
          <w:tcPr>
            <w:tcW w:w="1345" w:type="dxa"/>
            <w:tcBorders>
              <w:top w:val="nil"/>
              <w:left w:val="single" w:sz="4" w:space="0" w:color="448A99"/>
              <w:bottom w:val="single" w:sz="4" w:space="0" w:color="448A99"/>
              <w:right w:val="single" w:sz="4" w:space="0" w:color="448A99"/>
            </w:tcBorders>
            <w:shd w:val="clear" w:color="000000" w:fill="FFFFFF"/>
            <w:vAlign w:val="center"/>
            <w:hideMark/>
          </w:tcPr>
          <w:p w:rsidR="00893676" w:rsidRPr="00B75B77" w:rsidRDefault="00695D32" w:rsidP="00751A38">
            <w:pPr>
              <w:jc w:val="left"/>
              <w:rPr>
                <w:rFonts w:ascii="Calibri" w:eastAsia="Times New Roman" w:hAnsi="Calibri"/>
                <w:b/>
                <w:color w:val="000000"/>
                <w:sz w:val="18"/>
                <w:szCs w:val="18"/>
              </w:rPr>
            </w:pPr>
            <w:r w:rsidRPr="00B75B77">
              <w:rPr>
                <w:rFonts w:ascii="Calibri" w:eastAsia="Times New Roman" w:hAnsi="Calibri"/>
                <w:b/>
                <w:color w:val="000000"/>
                <w:sz w:val="18"/>
                <w:szCs w:val="18"/>
              </w:rPr>
              <w:t>PROGRAM TOTAL</w:t>
            </w:r>
          </w:p>
        </w:tc>
        <w:tc>
          <w:tcPr>
            <w:tcW w:w="990" w:type="dxa"/>
            <w:tcBorders>
              <w:top w:val="nil"/>
              <w:left w:val="nil"/>
              <w:bottom w:val="single" w:sz="4" w:space="0" w:color="448A99"/>
              <w:right w:val="single" w:sz="4" w:space="0" w:color="448A99"/>
            </w:tcBorders>
            <w:shd w:val="clear" w:color="000000" w:fill="FFFFFF"/>
            <w:vAlign w:val="center"/>
            <w:hideMark/>
          </w:tcPr>
          <w:p w:rsidR="00893676" w:rsidRPr="00B75B77" w:rsidRDefault="00893676" w:rsidP="00751A38">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365</w:t>
            </w:r>
          </w:p>
        </w:tc>
        <w:tc>
          <w:tcPr>
            <w:tcW w:w="1080" w:type="dxa"/>
            <w:tcBorders>
              <w:top w:val="nil"/>
              <w:left w:val="nil"/>
              <w:bottom w:val="single" w:sz="4" w:space="0" w:color="448A99"/>
              <w:right w:val="single" w:sz="4" w:space="0" w:color="448A99"/>
            </w:tcBorders>
            <w:shd w:val="clear" w:color="000000" w:fill="FFFFFF"/>
            <w:vAlign w:val="center"/>
            <w:hideMark/>
          </w:tcPr>
          <w:p w:rsidR="00893676" w:rsidRPr="00B75B77" w:rsidRDefault="00893676" w:rsidP="00751A38">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0.99</w:t>
            </w:r>
          </w:p>
        </w:tc>
        <w:tc>
          <w:tcPr>
            <w:tcW w:w="1260" w:type="dxa"/>
            <w:tcBorders>
              <w:top w:val="nil"/>
              <w:left w:val="nil"/>
              <w:bottom w:val="single" w:sz="4" w:space="0" w:color="448A99"/>
              <w:right w:val="single" w:sz="4" w:space="0" w:color="448A99"/>
            </w:tcBorders>
            <w:shd w:val="clear" w:color="000000" w:fill="FFFFFF"/>
            <w:vAlign w:val="center"/>
            <w:hideMark/>
          </w:tcPr>
          <w:p w:rsidR="00893676" w:rsidRPr="00B75B77" w:rsidRDefault="00893676" w:rsidP="00751A38">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363</w:t>
            </w:r>
          </w:p>
        </w:tc>
        <w:tc>
          <w:tcPr>
            <w:tcW w:w="1800" w:type="dxa"/>
            <w:tcBorders>
              <w:top w:val="nil"/>
              <w:left w:val="nil"/>
              <w:bottom w:val="single" w:sz="4" w:space="0" w:color="448A99"/>
              <w:right w:val="single" w:sz="4" w:space="0" w:color="448A99"/>
            </w:tcBorders>
            <w:shd w:val="clear" w:color="000000" w:fill="FFFFFF"/>
            <w:vAlign w:val="center"/>
            <w:hideMark/>
          </w:tcPr>
          <w:p w:rsidR="00893676" w:rsidRPr="00B75B77" w:rsidRDefault="00893676" w:rsidP="00751A38">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N/A</w:t>
            </w:r>
          </w:p>
        </w:tc>
        <w:tc>
          <w:tcPr>
            <w:tcW w:w="1530" w:type="dxa"/>
            <w:tcBorders>
              <w:top w:val="nil"/>
              <w:left w:val="nil"/>
              <w:bottom w:val="single" w:sz="4" w:space="0" w:color="448A99"/>
              <w:right w:val="single" w:sz="4" w:space="0" w:color="448A99"/>
            </w:tcBorders>
            <w:shd w:val="clear" w:color="000000" w:fill="FFFFFF"/>
            <w:vAlign w:val="center"/>
            <w:hideMark/>
          </w:tcPr>
          <w:p w:rsidR="00893676" w:rsidRPr="00B75B77" w:rsidRDefault="00893676" w:rsidP="00751A38">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2%</w:t>
            </w:r>
          </w:p>
        </w:tc>
      </w:tr>
    </w:tbl>
    <w:p w:rsidR="00695D32" w:rsidRPr="00B75B77" w:rsidRDefault="00695D32" w:rsidP="00695D32">
      <w:pPr>
        <w:pStyle w:val="Source"/>
        <w:spacing w:before="20" w:after="20"/>
        <w:ind w:firstLine="0"/>
      </w:pPr>
      <w:r w:rsidRPr="00B75B77">
        <w:rPr>
          <w:rFonts w:ascii="Calibri" w:hAnsi="Calibri"/>
          <w:i w:val="0"/>
          <w:iCs/>
          <w:color w:val="000000"/>
          <w:szCs w:val="18"/>
        </w:rPr>
        <w:t>Note: Values in tables may not reconcile exactly with the sum of more detailed level results or previously reported results due to rounding.</w:t>
      </w:r>
    </w:p>
    <w:p w:rsidR="00893676" w:rsidRPr="00B75B77" w:rsidRDefault="00893676" w:rsidP="00695D32">
      <w:pPr>
        <w:pStyle w:val="Source"/>
        <w:ind w:firstLine="0"/>
      </w:pPr>
      <w:r w:rsidRPr="00B75B77">
        <w:t xml:space="preserve">Source: Navigant analysis </w:t>
      </w:r>
    </w:p>
    <w:p w:rsidR="00893676" w:rsidRPr="00B75B77" w:rsidRDefault="00893676" w:rsidP="00751A38">
      <w:r w:rsidRPr="00B75B77">
        <w:t xml:space="preserve">The peak demand savings realization rate for the SBR program was 0.76, as indicated in </w:t>
      </w:r>
      <w:r w:rsidR="005A6F4D" w:rsidRPr="00B75B77">
        <w:fldChar w:fldCharType="begin"/>
      </w:r>
      <w:r w:rsidR="005A6F4D" w:rsidRPr="00B75B77">
        <w:instrText xml:space="preserve"> REF _Ref432665977 \h </w:instrText>
      </w:r>
      <w:r w:rsidR="00B75B77">
        <w:instrText xml:space="preserve"> \* MERGEFORMAT </w:instrText>
      </w:r>
      <w:r w:rsidR="005A6F4D" w:rsidRPr="00B75B77">
        <w:fldChar w:fldCharType="separate"/>
      </w:r>
      <w:r w:rsidR="0004016D" w:rsidRPr="00B75B77">
        <w:t xml:space="preserve">Table </w:t>
      </w:r>
      <w:r w:rsidR="0004016D">
        <w:rPr>
          <w:noProof/>
        </w:rPr>
        <w:t>7</w:t>
      </w:r>
      <w:r w:rsidR="0004016D" w:rsidRPr="00B75B77">
        <w:rPr>
          <w:noProof/>
        </w:rPr>
        <w:noBreakHyphen/>
      </w:r>
      <w:r w:rsidR="0004016D">
        <w:rPr>
          <w:noProof/>
        </w:rPr>
        <w:t>4</w:t>
      </w:r>
      <w:r w:rsidR="005A6F4D" w:rsidRPr="00B75B77">
        <w:fldChar w:fldCharType="end"/>
      </w:r>
      <w:r w:rsidRPr="00B75B77">
        <w:t xml:space="preserve">. The lower realization rate for the SBR program is </w:t>
      </w:r>
      <w:r w:rsidR="00BA357E" w:rsidRPr="00B75B77">
        <w:t>because</w:t>
      </w:r>
      <w:r w:rsidRPr="00B75B77">
        <w:t xml:space="preserve"> the ex ante peak demand savings </w:t>
      </w:r>
      <w:r w:rsidR="00BA357E" w:rsidRPr="00B75B77">
        <w:t>were not</w:t>
      </w:r>
      <w:r w:rsidRPr="00B75B77">
        <w:t xml:space="preserve"> calculated using TRM methods. The TRM protocol specifies the use of a </w:t>
      </w:r>
      <w:r w:rsidR="00FA45FF" w:rsidRPr="00B75B77">
        <w:t>CF</w:t>
      </w:r>
      <w:r w:rsidRPr="00B75B77">
        <w:t xml:space="preserve"> to derive coincident peak demand savings from non-coincident savings generated from REM/Rate models. However, the CSP calculated savings using a proprietary building simulation model that provides </w:t>
      </w:r>
      <w:r w:rsidR="00BA357E" w:rsidRPr="00B75B77">
        <w:t xml:space="preserve">an </w:t>
      </w:r>
      <w:r w:rsidRPr="00B75B77">
        <w:t xml:space="preserve">8,760 hourly simulation, from which </w:t>
      </w:r>
      <w:r w:rsidR="00BA357E" w:rsidRPr="00B75B77">
        <w:t xml:space="preserve">the CSP can extract </w:t>
      </w:r>
      <w:r w:rsidRPr="00B75B77">
        <w:t xml:space="preserve">peak demand savings for </w:t>
      </w:r>
      <w:r w:rsidR="00BA357E" w:rsidRPr="00B75B77">
        <w:t xml:space="preserve">just </w:t>
      </w:r>
      <w:r w:rsidRPr="00B75B77">
        <w:t>the Act 129 peak period. While the CSP’s method provides a more accurate result, the TRM protocol does not currently allow for use of this method. Therefore</w:t>
      </w:r>
      <w:r w:rsidR="00BA357E" w:rsidRPr="00B75B77">
        <w:t>,</w:t>
      </w:r>
      <w:r w:rsidRPr="00B75B77">
        <w:t xml:space="preserve"> the evaluation </w:t>
      </w:r>
      <w:r w:rsidR="00BA357E" w:rsidRPr="00B75B77">
        <w:t xml:space="preserve">team </w:t>
      </w:r>
      <w:r w:rsidRPr="00B75B77">
        <w:t>followed the TRM protocol</w:t>
      </w:r>
      <w:r w:rsidR="00BA357E" w:rsidRPr="00B75B77">
        <w:t>,</w:t>
      </w:r>
      <w:r w:rsidRPr="00B75B77">
        <w:t xml:space="preserve"> resulting in a realization rate adjustment.</w:t>
      </w:r>
    </w:p>
    <w:p w:rsidR="00893676" w:rsidRPr="00B75B77" w:rsidRDefault="00893676" w:rsidP="00751A38"/>
    <w:p w:rsidR="00893676" w:rsidRPr="00B75B77" w:rsidRDefault="00893676" w:rsidP="005A6F4D">
      <w:pPr>
        <w:pStyle w:val="Caption"/>
        <w:rPr>
          <w:rFonts w:asciiTheme="minorHAnsi" w:eastAsia="Times New Roman" w:hAnsiTheme="minorHAnsi"/>
          <w:i/>
          <w:szCs w:val="20"/>
        </w:rPr>
      </w:pPr>
      <w:bookmarkStart w:id="521" w:name="_Ref432665977"/>
      <w:bookmarkStart w:id="522" w:name="_Toc434597593"/>
      <w:bookmarkStart w:id="523" w:name="_Toc466413558"/>
      <w:r w:rsidRPr="00B75B77">
        <w:lastRenderedPageBreak/>
        <w:t xml:space="preserve">Table </w:t>
      </w:r>
      <w:fldSimple w:instr=" STYLEREF 1 \s ">
        <w:r w:rsidR="0004016D">
          <w:rPr>
            <w:noProof/>
          </w:rPr>
          <w:t>7</w:t>
        </w:r>
      </w:fldSimple>
      <w:r w:rsidR="00F1144C" w:rsidRPr="00B75B77">
        <w:noBreakHyphen/>
      </w:r>
      <w:fldSimple w:instr=" SEQ Table \* ARABIC \s 1 ">
        <w:r w:rsidR="0004016D">
          <w:rPr>
            <w:noProof/>
          </w:rPr>
          <w:t>4</w:t>
        </w:r>
      </w:fldSimple>
      <w:bookmarkEnd w:id="521"/>
      <w:r w:rsidRPr="00B75B77">
        <w:t>: PY7 Smart Builder Rebates Summary of Evaluation Results for Demand</w:t>
      </w:r>
      <w:bookmarkEnd w:id="522"/>
      <w:bookmarkEnd w:id="523"/>
    </w:p>
    <w:tbl>
      <w:tblPr>
        <w:tblW w:w="9445" w:type="dxa"/>
        <w:tblLook w:val="04A0" w:firstRow="1" w:lastRow="0" w:firstColumn="1" w:lastColumn="0" w:noHBand="0" w:noVBand="1"/>
      </w:tblPr>
      <w:tblGrid>
        <w:gridCol w:w="1705"/>
        <w:gridCol w:w="1390"/>
        <w:gridCol w:w="1080"/>
        <w:gridCol w:w="1490"/>
        <w:gridCol w:w="1890"/>
        <w:gridCol w:w="1890"/>
      </w:tblGrid>
      <w:tr w:rsidR="00893676" w:rsidRPr="00B75B77" w:rsidTr="002B1491">
        <w:trPr>
          <w:divId w:val="1250963122"/>
          <w:trHeight w:val="588"/>
        </w:trPr>
        <w:tc>
          <w:tcPr>
            <w:tcW w:w="1705"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893676" w:rsidRPr="00B75B77" w:rsidRDefault="00893676" w:rsidP="00BA357E">
            <w:pPr>
              <w:keepNext/>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Stratum</w:t>
            </w:r>
          </w:p>
        </w:tc>
        <w:tc>
          <w:tcPr>
            <w:tcW w:w="139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893676" w:rsidRPr="00B75B77" w:rsidRDefault="00893676" w:rsidP="005A6F4D">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Reported Gross Demand Savings </w:t>
            </w:r>
            <w:r w:rsidRPr="00B75B77">
              <w:rPr>
                <w:rFonts w:ascii="Calibri" w:eastAsia="Times New Roman" w:hAnsi="Calibri"/>
                <w:b/>
                <w:bCs/>
                <w:color w:val="FFFFFF"/>
                <w:sz w:val="18"/>
                <w:szCs w:val="18"/>
              </w:rPr>
              <w:br/>
              <w:t>(MW)</w:t>
            </w:r>
            <w:r w:rsidRPr="00B75B77">
              <w:rPr>
                <w:rFonts w:ascii="Calibri" w:eastAsia="Times New Roman" w:hAnsi="Calibri"/>
                <w:b/>
                <w:bCs/>
                <w:color w:val="FFFFFF"/>
                <w:sz w:val="18"/>
                <w:szCs w:val="18"/>
                <w:vertAlign w:val="superscript"/>
              </w:rPr>
              <w:t>[1]</w:t>
            </w:r>
          </w:p>
        </w:tc>
        <w:tc>
          <w:tcPr>
            <w:tcW w:w="108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893676" w:rsidRPr="00B75B77" w:rsidRDefault="00893676" w:rsidP="005A6F4D">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Demand Realization Rate</w:t>
            </w:r>
          </w:p>
        </w:tc>
        <w:tc>
          <w:tcPr>
            <w:tcW w:w="149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893676" w:rsidRPr="00B75B77" w:rsidRDefault="00893676" w:rsidP="005A6F4D">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Verified Gross Demand Savings (MW)</w:t>
            </w:r>
            <w:r w:rsidRPr="00B75B77">
              <w:rPr>
                <w:rFonts w:ascii="Calibri" w:eastAsia="Times New Roman" w:hAnsi="Calibri"/>
                <w:b/>
                <w:bCs/>
                <w:color w:val="FFFFFF"/>
                <w:sz w:val="18"/>
                <w:szCs w:val="18"/>
                <w:vertAlign w:val="superscript"/>
              </w:rPr>
              <w:t>[1]</w:t>
            </w:r>
          </w:p>
        </w:tc>
        <w:tc>
          <w:tcPr>
            <w:tcW w:w="189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893676" w:rsidRPr="00B75B77" w:rsidRDefault="00893676" w:rsidP="00BA357E">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Observed </w:t>
            </w:r>
            <w:r w:rsidR="00BA357E" w:rsidRPr="00B75B77">
              <w:rPr>
                <w:rFonts w:ascii="Calibri" w:eastAsia="Times New Roman" w:hAnsi="Calibri"/>
                <w:b/>
                <w:bCs/>
                <w:color w:val="FFFFFF"/>
                <w:sz w:val="18"/>
                <w:szCs w:val="18"/>
              </w:rPr>
              <w:t>CV</w:t>
            </w:r>
            <w:r w:rsidRPr="00B75B77">
              <w:rPr>
                <w:rFonts w:ascii="Calibri" w:eastAsia="Times New Roman" w:hAnsi="Calibri"/>
                <w:b/>
                <w:bCs/>
                <w:color w:val="FFFFFF"/>
                <w:sz w:val="18"/>
                <w:szCs w:val="18"/>
              </w:rPr>
              <w:t xml:space="preserve"> or Proportion in Sample Design</w:t>
            </w:r>
          </w:p>
        </w:tc>
        <w:tc>
          <w:tcPr>
            <w:tcW w:w="189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893676" w:rsidRPr="00B75B77" w:rsidRDefault="00893676" w:rsidP="00BA357E">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Relative Precision at 85% </w:t>
            </w:r>
            <w:r w:rsidR="00BA357E" w:rsidRPr="00B75B77">
              <w:rPr>
                <w:rFonts w:ascii="Calibri" w:eastAsia="Times New Roman" w:hAnsi="Calibri"/>
                <w:b/>
                <w:bCs/>
                <w:color w:val="FFFFFF"/>
                <w:sz w:val="18"/>
                <w:szCs w:val="18"/>
              </w:rPr>
              <w:t>Confidence Interval</w:t>
            </w:r>
          </w:p>
        </w:tc>
      </w:tr>
      <w:tr w:rsidR="00893676" w:rsidRPr="00B75B77" w:rsidTr="002B1491">
        <w:trPr>
          <w:divId w:val="1250963122"/>
          <w:trHeight w:val="288"/>
        </w:trPr>
        <w:tc>
          <w:tcPr>
            <w:tcW w:w="1705" w:type="dxa"/>
            <w:vMerge/>
            <w:tcBorders>
              <w:top w:val="single" w:sz="4" w:space="0" w:color="auto"/>
              <w:left w:val="single" w:sz="4" w:space="0" w:color="auto"/>
              <w:bottom w:val="single" w:sz="4" w:space="0" w:color="000000"/>
              <w:right w:val="single" w:sz="4" w:space="0" w:color="auto"/>
            </w:tcBorders>
            <w:vAlign w:val="center"/>
            <w:hideMark/>
          </w:tcPr>
          <w:p w:rsidR="00893676" w:rsidRPr="00B75B77" w:rsidRDefault="00893676" w:rsidP="005A6F4D">
            <w:pPr>
              <w:keepNext/>
              <w:jc w:val="left"/>
              <w:rPr>
                <w:rFonts w:ascii="Calibri" w:eastAsia="Times New Roman" w:hAnsi="Calibri"/>
                <w:b/>
                <w:bCs/>
                <w:color w:val="FFFFFF"/>
                <w:sz w:val="18"/>
                <w:szCs w:val="18"/>
              </w:rPr>
            </w:pPr>
          </w:p>
        </w:tc>
        <w:tc>
          <w:tcPr>
            <w:tcW w:w="1390" w:type="dxa"/>
            <w:vMerge/>
            <w:tcBorders>
              <w:top w:val="single" w:sz="4" w:space="0" w:color="auto"/>
              <w:left w:val="single" w:sz="4" w:space="0" w:color="auto"/>
              <w:bottom w:val="single" w:sz="4" w:space="0" w:color="000000"/>
              <w:right w:val="single" w:sz="4" w:space="0" w:color="auto"/>
            </w:tcBorders>
            <w:vAlign w:val="center"/>
            <w:hideMark/>
          </w:tcPr>
          <w:p w:rsidR="00893676" w:rsidRPr="00B75B77" w:rsidRDefault="00893676" w:rsidP="005A6F4D">
            <w:pPr>
              <w:keepNext/>
              <w:jc w:val="left"/>
              <w:rPr>
                <w:rFonts w:ascii="Calibri" w:eastAsia="Times New Roman" w:hAnsi="Calibri"/>
                <w:b/>
                <w:bCs/>
                <w:color w:val="FFFFFF"/>
                <w:sz w:val="18"/>
                <w:szCs w:val="18"/>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893676" w:rsidRPr="00B75B77" w:rsidRDefault="00893676" w:rsidP="005A6F4D">
            <w:pPr>
              <w:keepNext/>
              <w:jc w:val="left"/>
              <w:rPr>
                <w:rFonts w:ascii="Calibri" w:eastAsia="Times New Roman" w:hAnsi="Calibri"/>
                <w:b/>
                <w:bCs/>
                <w:color w:val="FFFFFF"/>
                <w:sz w:val="18"/>
                <w:szCs w:val="18"/>
              </w:rPr>
            </w:pPr>
          </w:p>
        </w:tc>
        <w:tc>
          <w:tcPr>
            <w:tcW w:w="1490" w:type="dxa"/>
            <w:vMerge/>
            <w:tcBorders>
              <w:top w:val="single" w:sz="4" w:space="0" w:color="auto"/>
              <w:left w:val="single" w:sz="4" w:space="0" w:color="auto"/>
              <w:bottom w:val="single" w:sz="4" w:space="0" w:color="000000"/>
              <w:right w:val="single" w:sz="4" w:space="0" w:color="auto"/>
            </w:tcBorders>
            <w:vAlign w:val="center"/>
            <w:hideMark/>
          </w:tcPr>
          <w:p w:rsidR="00893676" w:rsidRPr="00B75B77" w:rsidRDefault="00893676" w:rsidP="005A6F4D">
            <w:pPr>
              <w:keepNext/>
              <w:jc w:val="left"/>
              <w:rPr>
                <w:rFonts w:ascii="Calibri" w:eastAsia="Times New Roman" w:hAnsi="Calibri"/>
                <w:b/>
                <w:bCs/>
                <w:color w:val="FFFFFF"/>
                <w:sz w:val="18"/>
                <w:szCs w:val="18"/>
              </w:rPr>
            </w:pPr>
          </w:p>
        </w:tc>
        <w:tc>
          <w:tcPr>
            <w:tcW w:w="1890" w:type="dxa"/>
            <w:vMerge/>
            <w:tcBorders>
              <w:top w:val="single" w:sz="4" w:space="0" w:color="auto"/>
              <w:left w:val="single" w:sz="4" w:space="0" w:color="auto"/>
              <w:bottom w:val="single" w:sz="4" w:space="0" w:color="000000"/>
              <w:right w:val="single" w:sz="4" w:space="0" w:color="auto"/>
            </w:tcBorders>
            <w:vAlign w:val="center"/>
            <w:hideMark/>
          </w:tcPr>
          <w:p w:rsidR="00893676" w:rsidRPr="00B75B77" w:rsidRDefault="00893676" w:rsidP="005A6F4D">
            <w:pPr>
              <w:keepNext/>
              <w:jc w:val="left"/>
              <w:rPr>
                <w:rFonts w:ascii="Calibri" w:eastAsia="Times New Roman" w:hAnsi="Calibri"/>
                <w:b/>
                <w:bCs/>
                <w:color w:val="FFFFFF"/>
                <w:sz w:val="18"/>
                <w:szCs w:val="18"/>
              </w:rPr>
            </w:pPr>
          </w:p>
        </w:tc>
        <w:tc>
          <w:tcPr>
            <w:tcW w:w="1890" w:type="dxa"/>
            <w:vMerge/>
            <w:tcBorders>
              <w:top w:val="single" w:sz="4" w:space="0" w:color="auto"/>
              <w:left w:val="single" w:sz="4" w:space="0" w:color="auto"/>
              <w:bottom w:val="single" w:sz="4" w:space="0" w:color="000000"/>
              <w:right w:val="single" w:sz="4" w:space="0" w:color="auto"/>
            </w:tcBorders>
            <w:vAlign w:val="center"/>
            <w:hideMark/>
          </w:tcPr>
          <w:p w:rsidR="00893676" w:rsidRPr="00B75B77" w:rsidRDefault="00893676" w:rsidP="005A6F4D">
            <w:pPr>
              <w:keepNext/>
              <w:jc w:val="left"/>
              <w:rPr>
                <w:rFonts w:ascii="Calibri" w:eastAsia="Times New Roman" w:hAnsi="Calibri"/>
                <w:b/>
                <w:bCs/>
                <w:color w:val="FFFFFF"/>
                <w:sz w:val="18"/>
                <w:szCs w:val="18"/>
              </w:rPr>
            </w:pPr>
          </w:p>
        </w:tc>
      </w:tr>
      <w:tr w:rsidR="00893676" w:rsidRPr="00B75B77" w:rsidTr="002B1491">
        <w:trPr>
          <w:divId w:val="1250963122"/>
          <w:trHeight w:val="300"/>
        </w:trPr>
        <w:tc>
          <w:tcPr>
            <w:tcW w:w="1705" w:type="dxa"/>
            <w:vMerge/>
            <w:tcBorders>
              <w:top w:val="single" w:sz="4" w:space="0" w:color="auto"/>
              <w:left w:val="single" w:sz="4" w:space="0" w:color="auto"/>
              <w:bottom w:val="single" w:sz="4" w:space="0" w:color="000000"/>
              <w:right w:val="single" w:sz="4" w:space="0" w:color="auto"/>
            </w:tcBorders>
            <w:vAlign w:val="center"/>
            <w:hideMark/>
          </w:tcPr>
          <w:p w:rsidR="00893676" w:rsidRPr="00B75B77" w:rsidRDefault="00893676" w:rsidP="005A6F4D">
            <w:pPr>
              <w:keepNext/>
              <w:jc w:val="left"/>
              <w:rPr>
                <w:rFonts w:ascii="Calibri" w:eastAsia="Times New Roman" w:hAnsi="Calibri"/>
                <w:b/>
                <w:bCs/>
                <w:color w:val="FFFFFF"/>
                <w:sz w:val="18"/>
                <w:szCs w:val="18"/>
              </w:rPr>
            </w:pPr>
          </w:p>
        </w:tc>
        <w:tc>
          <w:tcPr>
            <w:tcW w:w="1390" w:type="dxa"/>
            <w:vMerge/>
            <w:tcBorders>
              <w:top w:val="single" w:sz="4" w:space="0" w:color="auto"/>
              <w:left w:val="single" w:sz="4" w:space="0" w:color="auto"/>
              <w:bottom w:val="single" w:sz="4" w:space="0" w:color="000000"/>
              <w:right w:val="single" w:sz="4" w:space="0" w:color="auto"/>
            </w:tcBorders>
            <w:vAlign w:val="center"/>
            <w:hideMark/>
          </w:tcPr>
          <w:p w:rsidR="00893676" w:rsidRPr="00B75B77" w:rsidRDefault="00893676" w:rsidP="005A6F4D">
            <w:pPr>
              <w:keepNext/>
              <w:jc w:val="left"/>
              <w:rPr>
                <w:rFonts w:ascii="Calibri" w:eastAsia="Times New Roman" w:hAnsi="Calibri"/>
                <w:b/>
                <w:bCs/>
                <w:color w:val="FFFFFF"/>
                <w:sz w:val="18"/>
                <w:szCs w:val="18"/>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893676" w:rsidRPr="00B75B77" w:rsidRDefault="00893676" w:rsidP="005A6F4D">
            <w:pPr>
              <w:keepNext/>
              <w:jc w:val="left"/>
              <w:rPr>
                <w:rFonts w:ascii="Calibri" w:eastAsia="Times New Roman" w:hAnsi="Calibri"/>
                <w:b/>
                <w:bCs/>
                <w:color w:val="FFFFFF"/>
                <w:sz w:val="18"/>
                <w:szCs w:val="18"/>
              </w:rPr>
            </w:pPr>
          </w:p>
        </w:tc>
        <w:tc>
          <w:tcPr>
            <w:tcW w:w="1490" w:type="dxa"/>
            <w:vMerge/>
            <w:tcBorders>
              <w:top w:val="single" w:sz="4" w:space="0" w:color="auto"/>
              <w:left w:val="single" w:sz="4" w:space="0" w:color="auto"/>
              <w:bottom w:val="single" w:sz="4" w:space="0" w:color="000000"/>
              <w:right w:val="single" w:sz="4" w:space="0" w:color="auto"/>
            </w:tcBorders>
            <w:vAlign w:val="center"/>
            <w:hideMark/>
          </w:tcPr>
          <w:p w:rsidR="00893676" w:rsidRPr="00B75B77" w:rsidRDefault="00893676" w:rsidP="005A6F4D">
            <w:pPr>
              <w:keepNext/>
              <w:jc w:val="left"/>
              <w:rPr>
                <w:rFonts w:ascii="Calibri" w:eastAsia="Times New Roman" w:hAnsi="Calibri"/>
                <w:b/>
                <w:bCs/>
                <w:color w:val="FFFFFF"/>
                <w:sz w:val="18"/>
                <w:szCs w:val="18"/>
              </w:rPr>
            </w:pPr>
          </w:p>
        </w:tc>
        <w:tc>
          <w:tcPr>
            <w:tcW w:w="1890" w:type="dxa"/>
            <w:vMerge/>
            <w:tcBorders>
              <w:top w:val="single" w:sz="4" w:space="0" w:color="auto"/>
              <w:left w:val="single" w:sz="4" w:space="0" w:color="auto"/>
              <w:bottom w:val="single" w:sz="4" w:space="0" w:color="000000"/>
              <w:right w:val="single" w:sz="4" w:space="0" w:color="auto"/>
            </w:tcBorders>
            <w:vAlign w:val="center"/>
            <w:hideMark/>
          </w:tcPr>
          <w:p w:rsidR="00893676" w:rsidRPr="00B75B77" w:rsidRDefault="00893676" w:rsidP="005A6F4D">
            <w:pPr>
              <w:keepNext/>
              <w:jc w:val="left"/>
              <w:rPr>
                <w:rFonts w:ascii="Calibri" w:eastAsia="Times New Roman" w:hAnsi="Calibri"/>
                <w:b/>
                <w:bCs/>
                <w:color w:val="FFFFFF"/>
                <w:sz w:val="18"/>
                <w:szCs w:val="18"/>
              </w:rPr>
            </w:pPr>
          </w:p>
        </w:tc>
        <w:tc>
          <w:tcPr>
            <w:tcW w:w="1890" w:type="dxa"/>
            <w:vMerge/>
            <w:tcBorders>
              <w:top w:val="single" w:sz="4" w:space="0" w:color="auto"/>
              <w:left w:val="single" w:sz="4" w:space="0" w:color="auto"/>
              <w:bottom w:val="single" w:sz="4" w:space="0" w:color="000000"/>
              <w:right w:val="single" w:sz="4" w:space="0" w:color="auto"/>
            </w:tcBorders>
            <w:vAlign w:val="center"/>
            <w:hideMark/>
          </w:tcPr>
          <w:p w:rsidR="00893676" w:rsidRPr="00B75B77" w:rsidRDefault="00893676" w:rsidP="005A6F4D">
            <w:pPr>
              <w:keepNext/>
              <w:jc w:val="left"/>
              <w:rPr>
                <w:rFonts w:ascii="Calibri" w:eastAsia="Times New Roman" w:hAnsi="Calibri"/>
                <w:b/>
                <w:bCs/>
                <w:color w:val="FFFFFF"/>
                <w:sz w:val="18"/>
                <w:szCs w:val="18"/>
              </w:rPr>
            </w:pPr>
          </w:p>
        </w:tc>
      </w:tr>
      <w:tr w:rsidR="00893676" w:rsidRPr="00B75B77" w:rsidTr="002B1491">
        <w:trPr>
          <w:divId w:val="1250963122"/>
          <w:trHeight w:val="300"/>
        </w:trPr>
        <w:tc>
          <w:tcPr>
            <w:tcW w:w="1705" w:type="dxa"/>
            <w:tcBorders>
              <w:top w:val="nil"/>
              <w:left w:val="single" w:sz="4" w:space="0" w:color="448A99"/>
              <w:bottom w:val="single" w:sz="4" w:space="0" w:color="448A99"/>
              <w:right w:val="single" w:sz="4" w:space="0" w:color="448A99"/>
            </w:tcBorders>
            <w:shd w:val="clear" w:color="000000" w:fill="D2EAF1"/>
            <w:vAlign w:val="center"/>
            <w:hideMark/>
          </w:tcPr>
          <w:p w:rsidR="00893676" w:rsidRPr="00B75B77" w:rsidRDefault="00893676" w:rsidP="005A6F4D">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All</w:t>
            </w:r>
          </w:p>
        </w:tc>
        <w:tc>
          <w:tcPr>
            <w:tcW w:w="1390" w:type="dxa"/>
            <w:tcBorders>
              <w:top w:val="nil"/>
              <w:left w:val="nil"/>
              <w:bottom w:val="single" w:sz="4" w:space="0" w:color="448A99"/>
              <w:right w:val="single" w:sz="4" w:space="0" w:color="448A99"/>
            </w:tcBorders>
            <w:shd w:val="clear" w:color="000000" w:fill="D2EAF1"/>
            <w:vAlign w:val="center"/>
            <w:hideMark/>
          </w:tcPr>
          <w:p w:rsidR="00893676" w:rsidRPr="00B75B77" w:rsidRDefault="00893676" w:rsidP="005A6F4D">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0.1</w:t>
            </w:r>
          </w:p>
        </w:tc>
        <w:tc>
          <w:tcPr>
            <w:tcW w:w="1080" w:type="dxa"/>
            <w:tcBorders>
              <w:top w:val="nil"/>
              <w:left w:val="nil"/>
              <w:bottom w:val="single" w:sz="4" w:space="0" w:color="448A99"/>
              <w:right w:val="single" w:sz="4" w:space="0" w:color="448A99"/>
            </w:tcBorders>
            <w:shd w:val="clear" w:color="000000" w:fill="D2EAF1"/>
            <w:vAlign w:val="center"/>
            <w:hideMark/>
          </w:tcPr>
          <w:p w:rsidR="00893676" w:rsidRPr="00B75B77" w:rsidRDefault="00893676" w:rsidP="005A6F4D">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0.76</w:t>
            </w:r>
          </w:p>
        </w:tc>
        <w:tc>
          <w:tcPr>
            <w:tcW w:w="1490" w:type="dxa"/>
            <w:tcBorders>
              <w:top w:val="nil"/>
              <w:left w:val="nil"/>
              <w:bottom w:val="single" w:sz="4" w:space="0" w:color="448A99"/>
              <w:right w:val="single" w:sz="4" w:space="0" w:color="448A99"/>
            </w:tcBorders>
            <w:shd w:val="clear" w:color="000000" w:fill="D2EAF1"/>
            <w:vAlign w:val="center"/>
            <w:hideMark/>
          </w:tcPr>
          <w:p w:rsidR="00893676" w:rsidRPr="00B75B77" w:rsidRDefault="00893676" w:rsidP="005A6F4D">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0.1</w:t>
            </w:r>
          </w:p>
        </w:tc>
        <w:tc>
          <w:tcPr>
            <w:tcW w:w="1890" w:type="dxa"/>
            <w:tcBorders>
              <w:top w:val="nil"/>
              <w:left w:val="nil"/>
              <w:bottom w:val="single" w:sz="4" w:space="0" w:color="448A99"/>
              <w:right w:val="single" w:sz="4" w:space="0" w:color="448A99"/>
            </w:tcBorders>
            <w:shd w:val="clear" w:color="000000" w:fill="D2EAF1"/>
            <w:vAlign w:val="center"/>
            <w:hideMark/>
          </w:tcPr>
          <w:p w:rsidR="00893676" w:rsidRPr="00B75B77" w:rsidRDefault="00893676" w:rsidP="005A6F4D">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0.46</w:t>
            </w:r>
          </w:p>
        </w:tc>
        <w:tc>
          <w:tcPr>
            <w:tcW w:w="1890" w:type="dxa"/>
            <w:tcBorders>
              <w:top w:val="nil"/>
              <w:left w:val="nil"/>
              <w:bottom w:val="single" w:sz="4" w:space="0" w:color="448A99"/>
              <w:right w:val="single" w:sz="4" w:space="0" w:color="448A99"/>
            </w:tcBorders>
            <w:shd w:val="clear" w:color="000000" w:fill="D2EAF1"/>
            <w:vAlign w:val="center"/>
            <w:hideMark/>
          </w:tcPr>
          <w:p w:rsidR="00893676" w:rsidRPr="00B75B77" w:rsidRDefault="00893676" w:rsidP="005A6F4D">
            <w:pPr>
              <w:keepNext/>
              <w:jc w:val="center"/>
              <w:rPr>
                <w:rFonts w:ascii="Calibri" w:eastAsia="Times New Roman" w:hAnsi="Calibri"/>
                <w:color w:val="000000"/>
                <w:sz w:val="18"/>
                <w:szCs w:val="18"/>
              </w:rPr>
            </w:pPr>
            <w:bookmarkStart w:id="524" w:name="RANGE!G45"/>
            <w:r w:rsidRPr="00B75B77">
              <w:rPr>
                <w:rFonts w:ascii="Calibri" w:eastAsia="Times New Roman" w:hAnsi="Calibri"/>
                <w:color w:val="000000"/>
                <w:sz w:val="18"/>
                <w:szCs w:val="18"/>
              </w:rPr>
              <w:t>22%</w:t>
            </w:r>
            <w:bookmarkEnd w:id="524"/>
          </w:p>
        </w:tc>
      </w:tr>
      <w:tr w:rsidR="00893676" w:rsidRPr="00B75B77" w:rsidTr="002B1491">
        <w:trPr>
          <w:divId w:val="1250963122"/>
          <w:trHeight w:val="288"/>
        </w:trPr>
        <w:tc>
          <w:tcPr>
            <w:tcW w:w="1705" w:type="dxa"/>
            <w:tcBorders>
              <w:top w:val="nil"/>
              <w:left w:val="single" w:sz="4" w:space="0" w:color="448A99"/>
              <w:bottom w:val="single" w:sz="4" w:space="0" w:color="448A99"/>
              <w:right w:val="single" w:sz="4" w:space="0" w:color="448A99"/>
            </w:tcBorders>
            <w:shd w:val="clear" w:color="000000" w:fill="FFFFFF"/>
            <w:vAlign w:val="center"/>
            <w:hideMark/>
          </w:tcPr>
          <w:p w:rsidR="00893676" w:rsidRPr="00B75B77" w:rsidRDefault="00AB1CAE" w:rsidP="005A6F4D">
            <w:pPr>
              <w:keepNext/>
              <w:jc w:val="left"/>
              <w:rPr>
                <w:rFonts w:ascii="Calibri" w:eastAsia="Times New Roman" w:hAnsi="Calibri"/>
                <w:b/>
                <w:color w:val="000000"/>
                <w:sz w:val="18"/>
                <w:szCs w:val="18"/>
              </w:rPr>
            </w:pPr>
            <w:r w:rsidRPr="00B75B77">
              <w:rPr>
                <w:rFonts w:ascii="Calibri" w:eastAsia="Times New Roman" w:hAnsi="Calibri"/>
                <w:b/>
                <w:color w:val="000000"/>
                <w:sz w:val="18"/>
                <w:szCs w:val="18"/>
              </w:rPr>
              <w:t>PROGRAM TOTAL</w:t>
            </w:r>
          </w:p>
        </w:tc>
        <w:tc>
          <w:tcPr>
            <w:tcW w:w="1390" w:type="dxa"/>
            <w:tcBorders>
              <w:top w:val="nil"/>
              <w:left w:val="nil"/>
              <w:bottom w:val="single" w:sz="4" w:space="0" w:color="448A99"/>
              <w:right w:val="single" w:sz="4" w:space="0" w:color="448A99"/>
            </w:tcBorders>
            <w:shd w:val="clear" w:color="000000" w:fill="FFFFFF"/>
            <w:vAlign w:val="center"/>
            <w:hideMark/>
          </w:tcPr>
          <w:p w:rsidR="00893676" w:rsidRPr="00B75B77" w:rsidRDefault="00893676" w:rsidP="005A6F4D">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0.1</w:t>
            </w:r>
          </w:p>
        </w:tc>
        <w:tc>
          <w:tcPr>
            <w:tcW w:w="1080" w:type="dxa"/>
            <w:tcBorders>
              <w:top w:val="nil"/>
              <w:left w:val="nil"/>
              <w:bottom w:val="single" w:sz="4" w:space="0" w:color="448A99"/>
              <w:right w:val="single" w:sz="4" w:space="0" w:color="448A99"/>
            </w:tcBorders>
            <w:shd w:val="clear" w:color="000000" w:fill="FFFFFF"/>
            <w:vAlign w:val="center"/>
            <w:hideMark/>
          </w:tcPr>
          <w:p w:rsidR="00893676" w:rsidRPr="00B75B77" w:rsidRDefault="00893676" w:rsidP="005A6F4D">
            <w:pPr>
              <w:keepNext/>
              <w:jc w:val="center"/>
              <w:rPr>
                <w:rFonts w:ascii="Calibri" w:eastAsia="Times New Roman" w:hAnsi="Calibri"/>
                <w:b/>
                <w:color w:val="000000"/>
                <w:sz w:val="18"/>
                <w:szCs w:val="18"/>
              </w:rPr>
            </w:pPr>
            <w:bookmarkStart w:id="525" w:name="RANGE!D46"/>
            <w:r w:rsidRPr="00B75B77">
              <w:rPr>
                <w:rFonts w:ascii="Calibri" w:eastAsia="Times New Roman" w:hAnsi="Calibri"/>
                <w:b/>
                <w:color w:val="000000"/>
                <w:sz w:val="18"/>
                <w:szCs w:val="18"/>
              </w:rPr>
              <w:t>0.76</w:t>
            </w:r>
            <w:bookmarkEnd w:id="525"/>
          </w:p>
        </w:tc>
        <w:tc>
          <w:tcPr>
            <w:tcW w:w="1490" w:type="dxa"/>
            <w:tcBorders>
              <w:top w:val="nil"/>
              <w:left w:val="nil"/>
              <w:bottom w:val="single" w:sz="4" w:space="0" w:color="448A99"/>
              <w:right w:val="single" w:sz="4" w:space="0" w:color="448A99"/>
            </w:tcBorders>
            <w:shd w:val="clear" w:color="000000" w:fill="FFFFFF"/>
            <w:vAlign w:val="center"/>
            <w:hideMark/>
          </w:tcPr>
          <w:p w:rsidR="00893676" w:rsidRPr="00B75B77" w:rsidRDefault="00893676" w:rsidP="005A6F4D">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0.1</w:t>
            </w:r>
          </w:p>
        </w:tc>
        <w:tc>
          <w:tcPr>
            <w:tcW w:w="1890" w:type="dxa"/>
            <w:tcBorders>
              <w:top w:val="nil"/>
              <w:left w:val="nil"/>
              <w:bottom w:val="single" w:sz="4" w:space="0" w:color="448A99"/>
              <w:right w:val="single" w:sz="4" w:space="0" w:color="448A99"/>
            </w:tcBorders>
            <w:shd w:val="clear" w:color="000000" w:fill="FFFFFF"/>
            <w:vAlign w:val="center"/>
            <w:hideMark/>
          </w:tcPr>
          <w:p w:rsidR="00893676" w:rsidRPr="00B75B77" w:rsidRDefault="00893676" w:rsidP="005A6F4D">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N/A</w:t>
            </w:r>
          </w:p>
        </w:tc>
        <w:tc>
          <w:tcPr>
            <w:tcW w:w="1890" w:type="dxa"/>
            <w:tcBorders>
              <w:top w:val="nil"/>
              <w:left w:val="nil"/>
              <w:bottom w:val="single" w:sz="4" w:space="0" w:color="448A99"/>
              <w:right w:val="single" w:sz="4" w:space="0" w:color="448A99"/>
            </w:tcBorders>
            <w:shd w:val="clear" w:color="000000" w:fill="FFFFFF"/>
            <w:vAlign w:val="center"/>
            <w:hideMark/>
          </w:tcPr>
          <w:p w:rsidR="00893676" w:rsidRPr="00B75B77" w:rsidRDefault="00893676" w:rsidP="005A6F4D">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22%</w:t>
            </w:r>
          </w:p>
        </w:tc>
      </w:tr>
    </w:tbl>
    <w:p w:rsidR="002B1491" w:rsidRPr="00B75B77" w:rsidRDefault="002B1491" w:rsidP="001A5348">
      <w:pPr>
        <w:pStyle w:val="Source"/>
        <w:keepNext/>
        <w:spacing w:before="20" w:after="20"/>
        <w:ind w:left="0" w:firstLine="0"/>
        <w:rPr>
          <w:rFonts w:ascii="Calibri" w:hAnsi="Calibri"/>
          <w:i w:val="0"/>
          <w:color w:val="000000"/>
          <w:szCs w:val="18"/>
        </w:rPr>
      </w:pPr>
      <w:r w:rsidRPr="00B75B77">
        <w:rPr>
          <w:rFonts w:ascii="Calibri" w:hAnsi="Calibri"/>
          <w:i w:val="0"/>
          <w:color w:val="000000"/>
          <w:szCs w:val="18"/>
          <w:vertAlign w:val="superscript"/>
        </w:rPr>
        <w:t>[1]</w:t>
      </w:r>
      <w:r w:rsidRPr="00B75B77">
        <w:rPr>
          <w:rFonts w:ascii="Calibri" w:hAnsi="Calibri"/>
          <w:i w:val="0"/>
          <w:color w:val="000000"/>
          <w:szCs w:val="18"/>
        </w:rPr>
        <w:t xml:space="preserve"> All reported and verified demand savings in this report include line losses as required.</w:t>
      </w:r>
    </w:p>
    <w:p w:rsidR="002B1491" w:rsidRPr="00B75B77" w:rsidRDefault="002B1491" w:rsidP="001A5348">
      <w:pPr>
        <w:pStyle w:val="Source"/>
        <w:keepNext/>
        <w:spacing w:before="20" w:after="20"/>
        <w:ind w:left="0" w:firstLine="0"/>
        <w:rPr>
          <w:i w:val="0"/>
        </w:rPr>
      </w:pPr>
      <w:r w:rsidRPr="00B75B77">
        <w:rPr>
          <w:rFonts w:ascii="Calibri" w:hAnsi="Calibri"/>
          <w:i w:val="0"/>
          <w:iCs/>
          <w:color w:val="000000"/>
          <w:szCs w:val="18"/>
        </w:rPr>
        <w:t>Note: Values in tables may not reconcile exactly with the sum of more detailed level results or previously reported results due to rounding.</w:t>
      </w:r>
    </w:p>
    <w:p w:rsidR="00893676" w:rsidRPr="00B75B77" w:rsidRDefault="00893676" w:rsidP="001A5348">
      <w:pPr>
        <w:pStyle w:val="Source"/>
        <w:keepNext/>
        <w:ind w:left="0" w:firstLine="0"/>
      </w:pPr>
      <w:r w:rsidRPr="00B75B77">
        <w:t xml:space="preserve">Source: Navigant analysis </w:t>
      </w:r>
    </w:p>
    <w:p w:rsidR="00893676" w:rsidRPr="00B75B77" w:rsidRDefault="00893676" w:rsidP="00751A38">
      <w:pPr>
        <w:pStyle w:val="Heading2"/>
        <w:keepNext/>
        <w:ind w:left="720" w:hanging="720"/>
      </w:pPr>
      <w:bookmarkStart w:id="526" w:name="_Toc466413349"/>
      <w:r w:rsidRPr="00B75B77">
        <w:t>Impact Evaluation Net Savings</w:t>
      </w:r>
      <w:bookmarkEnd w:id="526"/>
      <w:r w:rsidRPr="00B75B77">
        <w:t xml:space="preserve"> </w:t>
      </w:r>
    </w:p>
    <w:p w:rsidR="00893676" w:rsidRPr="00B75B77" w:rsidRDefault="00893676" w:rsidP="00751A38">
      <w:pPr>
        <w:rPr>
          <w:rFonts w:eastAsia="Times New Roman"/>
          <w:color w:val="000000"/>
        </w:rPr>
      </w:pPr>
      <w:r w:rsidRPr="00B75B77">
        <w:t xml:space="preserve">The following section describes the activities conducted for the net impact evaluation of the PY7 SBR program. The principal research activity contributing to this evaluation was </w:t>
      </w:r>
      <w:r w:rsidRPr="00B75B77">
        <w:rPr>
          <w:rFonts w:eastAsia="Times New Roman"/>
          <w:color w:val="000000"/>
        </w:rPr>
        <w:t>participating builder telephone surveys to gauge free ridership and spillover.</w:t>
      </w:r>
    </w:p>
    <w:p w:rsidR="00893676" w:rsidRPr="00B75B77" w:rsidRDefault="00893676" w:rsidP="00751A38"/>
    <w:p w:rsidR="00893676" w:rsidRPr="00B75B77" w:rsidRDefault="00893676" w:rsidP="00751A38">
      <w:pPr>
        <w:pStyle w:val="Heading3"/>
      </w:pPr>
      <w:bookmarkStart w:id="527" w:name="_Toc466413350"/>
      <w:r w:rsidRPr="00B75B77">
        <w:t>Net Verified Savings Methodology</w:t>
      </w:r>
      <w:bookmarkEnd w:id="527"/>
      <w:r w:rsidRPr="00B75B77">
        <w:t xml:space="preserve"> </w:t>
      </w:r>
    </w:p>
    <w:p w:rsidR="00893676" w:rsidRPr="00B75B77" w:rsidRDefault="00893676" w:rsidP="00751A38">
      <w:r w:rsidRPr="00B75B77">
        <w:t xml:space="preserve">Net savings represents the percentage of the gross program impacts that can reliably be attributed to the program. </w:t>
      </w:r>
      <w:r w:rsidR="00AB1CAE" w:rsidRPr="00B75B77">
        <w:t>Navigant estimated n</w:t>
      </w:r>
      <w:r w:rsidRPr="00B75B77">
        <w:t xml:space="preserve">et savings by applying a calculated NTG ratio to the verified gross savings. The NTG ratio is calculated as the sum of free ridership and spillover rates. </w:t>
      </w:r>
    </w:p>
    <w:p w:rsidR="00893676" w:rsidRPr="00B75B77" w:rsidRDefault="00893676" w:rsidP="00751A38"/>
    <w:p w:rsidR="00893676" w:rsidRPr="00B75B77" w:rsidRDefault="00893676" w:rsidP="00751A38">
      <w:r w:rsidRPr="00B75B77">
        <w:t xml:space="preserve">The evaluation team estimated free ridership and spillover rates based on data collected during participating builder telephone surveys. </w:t>
      </w:r>
      <w:r w:rsidR="00AB1CAE" w:rsidRPr="00B75B77">
        <w:t>The team asked s</w:t>
      </w:r>
      <w:r w:rsidRPr="00B75B77">
        <w:t xml:space="preserve">urvey respondents a series of questions designed to identify the program’s influence on building practices. Responses </w:t>
      </w:r>
      <w:r w:rsidR="00556B68" w:rsidRPr="00B75B77">
        <w:t xml:space="preserve">were </w:t>
      </w:r>
      <w:r w:rsidRPr="00B75B77">
        <w:t>scored following the SWE’s Common Approach for Downstream Programs</w:t>
      </w:r>
      <w:r w:rsidR="00556B68" w:rsidRPr="00B75B77">
        <w:t>,</w:t>
      </w:r>
      <w:r w:rsidRPr="00B75B77">
        <w:rPr>
          <w:rStyle w:val="FootnoteReference"/>
        </w:rPr>
        <w:footnoteReference w:id="43"/>
      </w:r>
      <w:r w:rsidRPr="00B75B77">
        <w:t xml:space="preserve"> </w:t>
      </w:r>
      <w:r w:rsidR="00556B68" w:rsidRPr="00B75B77">
        <w:t>which</w:t>
      </w:r>
      <w:r w:rsidRPr="00B75B77">
        <w:t xml:space="preserve"> is designed to assess the following two elements of free ridership: 1) intention to build ENERGY STAR new homes without program funds, and 2) influence of the SBR program in the decision to build ENERGY STAR new homes. The total free ridership score is the sum of the intention and the program influence scores, resulting in a score ranging from 0 to 1.</w:t>
      </w:r>
    </w:p>
    <w:p w:rsidR="00893676" w:rsidRPr="00B75B77" w:rsidRDefault="00893676" w:rsidP="00751A38">
      <w:pPr>
        <w:spacing w:before="240"/>
      </w:pPr>
      <w:r w:rsidRPr="00B75B77">
        <w:t xml:space="preserve">The participating builder survey also included a battery of questions to assess spillover. The spillover battery attempted to quantify savings from additional non-incented ENERGY STAR new homes built after the respondent’s participation in the program. The spillover battery also included a question about the level of influence the program had on the respondent’s decision to build additional non-incented ENERGY STAR homes. The team assigned the influence rating a numerical value (0-1) that determined the proportion of the measure’s energy savings </w:t>
      </w:r>
      <w:r w:rsidR="00556B68" w:rsidRPr="00B75B77">
        <w:t xml:space="preserve">that </w:t>
      </w:r>
      <w:r w:rsidRPr="00B75B77">
        <w:t xml:space="preserve">were </w:t>
      </w:r>
      <w:r w:rsidR="00556B68" w:rsidRPr="00B75B77">
        <w:t xml:space="preserve">attributable </w:t>
      </w:r>
      <w:r w:rsidRPr="00B75B77">
        <w:t>to the program.</w:t>
      </w:r>
      <w:r w:rsidRPr="00B75B77">
        <w:tab/>
      </w:r>
    </w:p>
    <w:p w:rsidR="00893676" w:rsidRPr="00B75B77" w:rsidRDefault="00893676" w:rsidP="00751A38"/>
    <w:p w:rsidR="00893676" w:rsidRPr="00B75B77" w:rsidRDefault="00893676" w:rsidP="00751A38">
      <w:r w:rsidRPr="00B75B77">
        <w:t>The NTG sampling strategy attempted to reach a census of program builders</w:t>
      </w:r>
      <w:r w:rsidR="00556B68" w:rsidRPr="00B75B77">
        <w:t>, and the evaluation team</w:t>
      </w:r>
      <w:r w:rsidRPr="00B75B77">
        <w:t xml:space="preserve"> completed seven interviews. </w:t>
      </w:r>
      <w:r w:rsidR="005A6F4D" w:rsidRPr="00B75B77">
        <w:fldChar w:fldCharType="begin"/>
      </w:r>
      <w:r w:rsidR="005A6F4D" w:rsidRPr="00B75B77">
        <w:instrText xml:space="preserve"> REF _Ref461784205 \h </w:instrText>
      </w:r>
      <w:r w:rsidR="00B75B77">
        <w:instrText xml:space="preserve"> \* MERGEFORMAT </w:instrText>
      </w:r>
      <w:r w:rsidR="005A6F4D" w:rsidRPr="00B75B77">
        <w:fldChar w:fldCharType="separate"/>
      </w:r>
      <w:r w:rsidR="0004016D" w:rsidRPr="00B75B77">
        <w:t xml:space="preserve">Table </w:t>
      </w:r>
      <w:r w:rsidR="0004016D">
        <w:rPr>
          <w:noProof/>
        </w:rPr>
        <w:t>7</w:t>
      </w:r>
      <w:r w:rsidR="0004016D" w:rsidRPr="00B75B77">
        <w:rPr>
          <w:noProof/>
        </w:rPr>
        <w:noBreakHyphen/>
      </w:r>
      <w:r w:rsidR="0004016D">
        <w:rPr>
          <w:noProof/>
        </w:rPr>
        <w:t>5</w:t>
      </w:r>
      <w:r w:rsidR="005A6F4D" w:rsidRPr="00B75B77">
        <w:fldChar w:fldCharType="end"/>
      </w:r>
      <w:r w:rsidR="00B858C6" w:rsidRPr="00B75B77">
        <w:t xml:space="preserve"> </w:t>
      </w:r>
      <w:r w:rsidRPr="00B75B77">
        <w:t>shows the sampling strategy for the PY7 NTG research.</w:t>
      </w:r>
    </w:p>
    <w:p w:rsidR="00893676" w:rsidRPr="00B75B77" w:rsidRDefault="00893676" w:rsidP="00751A38"/>
    <w:p w:rsidR="00893676" w:rsidRPr="00B75B77" w:rsidRDefault="00893676" w:rsidP="004943C7">
      <w:pPr>
        <w:pStyle w:val="Caption"/>
      </w:pPr>
      <w:bookmarkStart w:id="528" w:name="_Ref461784205"/>
      <w:bookmarkStart w:id="529" w:name="_Toc466413559"/>
      <w:r w:rsidRPr="00B75B77">
        <w:lastRenderedPageBreak/>
        <w:t xml:space="preserve">Table </w:t>
      </w:r>
      <w:fldSimple w:instr=" STYLEREF 1 \s ">
        <w:r w:rsidR="0004016D">
          <w:rPr>
            <w:noProof/>
          </w:rPr>
          <w:t>7</w:t>
        </w:r>
      </w:fldSimple>
      <w:r w:rsidR="00F1144C" w:rsidRPr="00B75B77">
        <w:noBreakHyphen/>
      </w:r>
      <w:fldSimple w:instr=" SEQ Table \* ARABIC \s 1 ">
        <w:r w:rsidR="0004016D">
          <w:rPr>
            <w:noProof/>
          </w:rPr>
          <w:t>5</w:t>
        </w:r>
      </w:fldSimple>
      <w:bookmarkEnd w:id="528"/>
      <w:r w:rsidRPr="00B75B77">
        <w:t>: Smart Builder Rebates Sampling Strategy for PY7 NTG Research</w:t>
      </w:r>
      <w:bookmarkEnd w:id="529"/>
    </w:p>
    <w:tbl>
      <w:tblPr>
        <w:tblW w:w="9485" w:type="dxa"/>
        <w:tblLook w:val="04A0" w:firstRow="1" w:lastRow="0" w:firstColumn="1" w:lastColumn="0" w:noHBand="0" w:noVBand="1"/>
      </w:tblPr>
      <w:tblGrid>
        <w:gridCol w:w="1345"/>
        <w:gridCol w:w="1080"/>
        <w:gridCol w:w="1165"/>
        <w:gridCol w:w="1395"/>
        <w:gridCol w:w="1275"/>
        <w:gridCol w:w="1034"/>
        <w:gridCol w:w="905"/>
        <w:gridCol w:w="1306"/>
      </w:tblGrid>
      <w:tr w:rsidR="00893676" w:rsidRPr="00B75B77" w:rsidTr="004B63A9">
        <w:trPr>
          <w:divId w:val="531000321"/>
          <w:trHeight w:val="480"/>
        </w:trPr>
        <w:tc>
          <w:tcPr>
            <w:tcW w:w="1345" w:type="dxa"/>
            <w:tcBorders>
              <w:top w:val="single" w:sz="4" w:space="0" w:color="auto"/>
              <w:left w:val="single" w:sz="4" w:space="0" w:color="auto"/>
              <w:bottom w:val="single" w:sz="4" w:space="0" w:color="auto"/>
              <w:right w:val="single" w:sz="4" w:space="0" w:color="auto"/>
            </w:tcBorders>
            <w:shd w:val="clear" w:color="000000" w:fill="448A99"/>
            <w:vAlign w:val="center"/>
            <w:hideMark/>
          </w:tcPr>
          <w:p w:rsidR="00893676" w:rsidRPr="00B75B77" w:rsidRDefault="00893676" w:rsidP="004943C7">
            <w:pPr>
              <w:keepNext/>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Stratum</w:t>
            </w:r>
          </w:p>
        </w:tc>
        <w:tc>
          <w:tcPr>
            <w:tcW w:w="1080" w:type="dxa"/>
            <w:tcBorders>
              <w:top w:val="single" w:sz="4" w:space="0" w:color="auto"/>
              <w:left w:val="nil"/>
              <w:bottom w:val="single" w:sz="4" w:space="0" w:color="auto"/>
              <w:right w:val="single" w:sz="4" w:space="0" w:color="auto"/>
            </w:tcBorders>
            <w:shd w:val="clear" w:color="000000" w:fill="448A99"/>
            <w:vAlign w:val="center"/>
            <w:hideMark/>
          </w:tcPr>
          <w:p w:rsidR="00893676" w:rsidRPr="00B75B77" w:rsidRDefault="00893676" w:rsidP="004943C7">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Stratum Boundaries</w:t>
            </w:r>
          </w:p>
        </w:tc>
        <w:tc>
          <w:tcPr>
            <w:tcW w:w="1165" w:type="dxa"/>
            <w:tcBorders>
              <w:top w:val="single" w:sz="4" w:space="0" w:color="auto"/>
              <w:left w:val="nil"/>
              <w:bottom w:val="single" w:sz="4" w:space="0" w:color="auto"/>
              <w:right w:val="single" w:sz="4" w:space="0" w:color="auto"/>
            </w:tcBorders>
            <w:shd w:val="clear" w:color="000000" w:fill="448A99"/>
            <w:vAlign w:val="center"/>
            <w:hideMark/>
          </w:tcPr>
          <w:p w:rsidR="00893676" w:rsidRPr="00B75B77" w:rsidRDefault="00893676" w:rsidP="004943C7">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Participating Builders</w:t>
            </w:r>
          </w:p>
        </w:tc>
        <w:tc>
          <w:tcPr>
            <w:tcW w:w="1395" w:type="dxa"/>
            <w:tcBorders>
              <w:top w:val="single" w:sz="4" w:space="0" w:color="auto"/>
              <w:left w:val="nil"/>
              <w:bottom w:val="single" w:sz="4" w:space="0" w:color="auto"/>
              <w:right w:val="single" w:sz="4" w:space="0" w:color="auto"/>
            </w:tcBorders>
            <w:shd w:val="clear" w:color="000000" w:fill="448A99"/>
            <w:vAlign w:val="center"/>
            <w:hideMark/>
          </w:tcPr>
          <w:p w:rsidR="00893676" w:rsidRPr="00B75B77" w:rsidRDefault="00893676" w:rsidP="004943C7">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Assumed CV or Proportion in Sample Design</w:t>
            </w:r>
          </w:p>
        </w:tc>
        <w:tc>
          <w:tcPr>
            <w:tcW w:w="1275" w:type="dxa"/>
            <w:tcBorders>
              <w:top w:val="single" w:sz="4" w:space="0" w:color="auto"/>
              <w:left w:val="nil"/>
              <w:bottom w:val="single" w:sz="4" w:space="0" w:color="auto"/>
              <w:right w:val="single" w:sz="4" w:space="0" w:color="auto"/>
            </w:tcBorders>
            <w:shd w:val="clear" w:color="000000" w:fill="448A99"/>
            <w:vAlign w:val="center"/>
            <w:hideMark/>
          </w:tcPr>
          <w:p w:rsidR="00893676" w:rsidRPr="00B75B77" w:rsidRDefault="00893676" w:rsidP="004943C7">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Assumed Levels of Confidence </w:t>
            </w:r>
            <w:r w:rsidR="004B63A9" w:rsidRPr="00B75B77">
              <w:rPr>
                <w:rFonts w:ascii="Calibri" w:eastAsia="Times New Roman" w:hAnsi="Calibri"/>
                <w:b/>
                <w:bCs/>
                <w:color w:val="FFFFFF"/>
                <w:sz w:val="18"/>
                <w:szCs w:val="18"/>
              </w:rPr>
              <w:t>and</w:t>
            </w:r>
            <w:r w:rsidRPr="00B75B77">
              <w:rPr>
                <w:rFonts w:ascii="Calibri" w:eastAsia="Times New Roman" w:hAnsi="Calibri"/>
                <w:b/>
                <w:bCs/>
                <w:color w:val="FFFFFF"/>
                <w:sz w:val="18"/>
                <w:szCs w:val="18"/>
              </w:rPr>
              <w:t xml:space="preserve"> Precision</w:t>
            </w:r>
          </w:p>
        </w:tc>
        <w:tc>
          <w:tcPr>
            <w:tcW w:w="1014" w:type="dxa"/>
            <w:tcBorders>
              <w:top w:val="single" w:sz="4" w:space="0" w:color="auto"/>
              <w:left w:val="nil"/>
              <w:bottom w:val="single" w:sz="4" w:space="0" w:color="auto"/>
              <w:right w:val="single" w:sz="4" w:space="0" w:color="auto"/>
            </w:tcBorders>
            <w:shd w:val="clear" w:color="000000" w:fill="448A99"/>
            <w:vAlign w:val="center"/>
            <w:hideMark/>
          </w:tcPr>
          <w:p w:rsidR="00893676" w:rsidRPr="00B75B77" w:rsidRDefault="00893676" w:rsidP="004943C7">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Target Sample Size</w:t>
            </w:r>
          </w:p>
        </w:tc>
        <w:tc>
          <w:tcPr>
            <w:tcW w:w="905" w:type="dxa"/>
            <w:tcBorders>
              <w:top w:val="single" w:sz="4" w:space="0" w:color="auto"/>
              <w:left w:val="nil"/>
              <w:bottom w:val="single" w:sz="4" w:space="0" w:color="auto"/>
              <w:right w:val="single" w:sz="4" w:space="0" w:color="auto"/>
            </w:tcBorders>
            <w:shd w:val="clear" w:color="000000" w:fill="448A99"/>
            <w:vAlign w:val="center"/>
            <w:hideMark/>
          </w:tcPr>
          <w:p w:rsidR="00893676" w:rsidRPr="00B75B77" w:rsidRDefault="00893676" w:rsidP="004943C7">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Achieved Sample Size</w:t>
            </w:r>
          </w:p>
        </w:tc>
        <w:tc>
          <w:tcPr>
            <w:tcW w:w="1306" w:type="dxa"/>
            <w:tcBorders>
              <w:top w:val="single" w:sz="4" w:space="0" w:color="auto"/>
              <w:left w:val="nil"/>
              <w:bottom w:val="single" w:sz="4" w:space="0" w:color="auto"/>
              <w:right w:val="single" w:sz="4" w:space="0" w:color="auto"/>
            </w:tcBorders>
            <w:shd w:val="clear" w:color="000000" w:fill="448A99"/>
            <w:vAlign w:val="center"/>
            <w:hideMark/>
          </w:tcPr>
          <w:p w:rsidR="00893676" w:rsidRPr="00B75B77" w:rsidRDefault="00237810" w:rsidP="004943C7">
            <w:pPr>
              <w:keepNext/>
              <w:jc w:val="center"/>
              <w:rPr>
                <w:rFonts w:ascii="Calibri" w:eastAsia="Times New Roman" w:hAnsi="Calibri"/>
                <w:b/>
                <w:bCs/>
                <w:color w:val="FFFFFF"/>
                <w:sz w:val="18"/>
                <w:szCs w:val="18"/>
              </w:rPr>
            </w:pPr>
            <w:hyperlink r:id="rId65" w:anchor="RANGE!_ftn1" w:history="1">
              <w:r w:rsidR="00893676" w:rsidRPr="00B75B77">
                <w:rPr>
                  <w:rFonts w:ascii="Calibri" w:eastAsia="Times New Roman" w:hAnsi="Calibri"/>
                  <w:b/>
                  <w:bCs/>
                  <w:color w:val="FFFFFF"/>
                  <w:sz w:val="18"/>
                  <w:szCs w:val="18"/>
                </w:rPr>
                <w:t>Percent</w:t>
              </w:r>
              <w:r w:rsidR="004B63A9" w:rsidRPr="00B75B77">
                <w:rPr>
                  <w:rFonts w:ascii="Calibri" w:eastAsia="Times New Roman" w:hAnsi="Calibri"/>
                  <w:b/>
                  <w:bCs/>
                  <w:color w:val="FFFFFF"/>
                  <w:sz w:val="18"/>
                  <w:szCs w:val="18"/>
                </w:rPr>
                <w:t>age</w:t>
              </w:r>
              <w:r w:rsidR="00893676" w:rsidRPr="00B75B77">
                <w:rPr>
                  <w:rFonts w:ascii="Calibri" w:eastAsia="Times New Roman" w:hAnsi="Calibri"/>
                  <w:b/>
                  <w:bCs/>
                  <w:color w:val="FFFFFF"/>
                  <w:sz w:val="18"/>
                  <w:szCs w:val="18"/>
                </w:rPr>
                <w:t xml:space="preserve"> of Sample Frame Contacted to Achieve Sample</w:t>
              </w:r>
            </w:hyperlink>
          </w:p>
        </w:tc>
      </w:tr>
      <w:tr w:rsidR="00893676" w:rsidRPr="00B75B77" w:rsidTr="004B63A9">
        <w:trPr>
          <w:divId w:val="531000321"/>
          <w:trHeight w:val="288"/>
        </w:trPr>
        <w:tc>
          <w:tcPr>
            <w:tcW w:w="1345" w:type="dxa"/>
            <w:tcBorders>
              <w:top w:val="nil"/>
              <w:left w:val="single" w:sz="4" w:space="0" w:color="448A99"/>
              <w:bottom w:val="single" w:sz="4" w:space="0" w:color="448A99"/>
              <w:right w:val="single" w:sz="4" w:space="0" w:color="448A99"/>
            </w:tcBorders>
            <w:shd w:val="clear" w:color="000000" w:fill="D2EAF1"/>
            <w:vAlign w:val="center"/>
            <w:hideMark/>
          </w:tcPr>
          <w:p w:rsidR="00893676" w:rsidRPr="00B75B77" w:rsidRDefault="00893676" w:rsidP="004943C7">
            <w:pPr>
              <w:keepNext/>
              <w:rPr>
                <w:rFonts w:ascii="Calibri" w:eastAsia="Times New Roman" w:hAnsi="Calibri"/>
                <w:bCs/>
                <w:color w:val="000000"/>
                <w:sz w:val="18"/>
                <w:szCs w:val="18"/>
              </w:rPr>
            </w:pPr>
            <w:r w:rsidRPr="00B75B77">
              <w:rPr>
                <w:rFonts w:ascii="Calibri" w:eastAsia="Times New Roman" w:hAnsi="Calibri"/>
                <w:bCs/>
                <w:color w:val="000000"/>
                <w:sz w:val="18"/>
                <w:szCs w:val="18"/>
              </w:rPr>
              <w:t>All</w:t>
            </w:r>
          </w:p>
        </w:tc>
        <w:tc>
          <w:tcPr>
            <w:tcW w:w="1080" w:type="dxa"/>
            <w:tcBorders>
              <w:top w:val="nil"/>
              <w:left w:val="nil"/>
              <w:bottom w:val="single" w:sz="4" w:space="0" w:color="448A99"/>
              <w:right w:val="single" w:sz="4" w:space="0" w:color="448A99"/>
            </w:tcBorders>
            <w:shd w:val="clear" w:color="000000" w:fill="D2EAF1"/>
            <w:noWrap/>
            <w:vAlign w:val="center"/>
            <w:hideMark/>
          </w:tcPr>
          <w:p w:rsidR="00893676" w:rsidRPr="00B75B77" w:rsidRDefault="00893676" w:rsidP="004943C7">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All</w:t>
            </w:r>
          </w:p>
        </w:tc>
        <w:tc>
          <w:tcPr>
            <w:tcW w:w="1165" w:type="dxa"/>
            <w:tcBorders>
              <w:top w:val="nil"/>
              <w:left w:val="nil"/>
              <w:bottom w:val="single" w:sz="4" w:space="0" w:color="448A99"/>
              <w:right w:val="single" w:sz="4" w:space="0" w:color="448A99"/>
            </w:tcBorders>
            <w:shd w:val="clear" w:color="000000" w:fill="D2EAF1"/>
            <w:noWrap/>
            <w:vAlign w:val="center"/>
            <w:hideMark/>
          </w:tcPr>
          <w:p w:rsidR="00893676" w:rsidRPr="00B75B77" w:rsidRDefault="00893676" w:rsidP="004943C7">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10</w:t>
            </w:r>
          </w:p>
        </w:tc>
        <w:tc>
          <w:tcPr>
            <w:tcW w:w="1395" w:type="dxa"/>
            <w:tcBorders>
              <w:top w:val="nil"/>
              <w:left w:val="nil"/>
              <w:bottom w:val="single" w:sz="4" w:space="0" w:color="448A99"/>
              <w:right w:val="single" w:sz="4" w:space="0" w:color="448A99"/>
            </w:tcBorders>
            <w:shd w:val="clear" w:color="000000" w:fill="D2EAF1"/>
            <w:noWrap/>
            <w:vAlign w:val="center"/>
            <w:hideMark/>
          </w:tcPr>
          <w:p w:rsidR="00893676" w:rsidRPr="00B75B77" w:rsidRDefault="00893676" w:rsidP="004943C7">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275" w:type="dxa"/>
            <w:tcBorders>
              <w:top w:val="nil"/>
              <w:left w:val="nil"/>
              <w:bottom w:val="single" w:sz="4" w:space="0" w:color="448A99"/>
              <w:right w:val="single" w:sz="4" w:space="0" w:color="448A99"/>
            </w:tcBorders>
            <w:shd w:val="clear" w:color="000000" w:fill="D2EAF1"/>
            <w:noWrap/>
            <w:vAlign w:val="center"/>
            <w:hideMark/>
          </w:tcPr>
          <w:p w:rsidR="00893676" w:rsidRPr="00B75B77" w:rsidRDefault="00893676" w:rsidP="004943C7">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014" w:type="dxa"/>
            <w:tcBorders>
              <w:top w:val="nil"/>
              <w:left w:val="nil"/>
              <w:bottom w:val="single" w:sz="4" w:space="0" w:color="448A99"/>
              <w:right w:val="single" w:sz="4" w:space="0" w:color="448A99"/>
            </w:tcBorders>
            <w:shd w:val="clear" w:color="000000" w:fill="D2EAF1"/>
            <w:noWrap/>
            <w:vAlign w:val="bottom"/>
            <w:hideMark/>
          </w:tcPr>
          <w:p w:rsidR="00893676" w:rsidRPr="00B75B77" w:rsidRDefault="00893676" w:rsidP="004943C7">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 xml:space="preserve">Attempted </w:t>
            </w:r>
            <w:r w:rsidR="004B63A9" w:rsidRPr="00B75B77">
              <w:rPr>
                <w:rFonts w:ascii="Calibri" w:eastAsia="Times New Roman" w:hAnsi="Calibri"/>
                <w:color w:val="000000"/>
                <w:sz w:val="18"/>
                <w:szCs w:val="18"/>
              </w:rPr>
              <w:t>c</w:t>
            </w:r>
            <w:r w:rsidRPr="00B75B77">
              <w:rPr>
                <w:rFonts w:ascii="Calibri" w:eastAsia="Times New Roman" w:hAnsi="Calibri"/>
                <w:color w:val="000000"/>
                <w:sz w:val="18"/>
                <w:szCs w:val="18"/>
              </w:rPr>
              <w:t>ensus</w:t>
            </w:r>
          </w:p>
        </w:tc>
        <w:tc>
          <w:tcPr>
            <w:tcW w:w="905" w:type="dxa"/>
            <w:tcBorders>
              <w:top w:val="nil"/>
              <w:left w:val="nil"/>
              <w:bottom w:val="single" w:sz="4" w:space="0" w:color="448A99"/>
              <w:right w:val="single" w:sz="4" w:space="0" w:color="448A99"/>
            </w:tcBorders>
            <w:shd w:val="clear" w:color="000000" w:fill="D2EAF1"/>
            <w:noWrap/>
            <w:vAlign w:val="center"/>
            <w:hideMark/>
          </w:tcPr>
          <w:p w:rsidR="00893676" w:rsidRPr="00B75B77" w:rsidRDefault="00893676" w:rsidP="004943C7">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7</w:t>
            </w:r>
          </w:p>
        </w:tc>
        <w:tc>
          <w:tcPr>
            <w:tcW w:w="1306" w:type="dxa"/>
            <w:tcBorders>
              <w:top w:val="nil"/>
              <w:left w:val="nil"/>
              <w:bottom w:val="single" w:sz="4" w:space="0" w:color="448A99"/>
              <w:right w:val="single" w:sz="4" w:space="0" w:color="448A99"/>
            </w:tcBorders>
            <w:shd w:val="clear" w:color="000000" w:fill="D2EAF1"/>
            <w:noWrap/>
            <w:vAlign w:val="center"/>
            <w:hideMark/>
          </w:tcPr>
          <w:p w:rsidR="00893676" w:rsidRPr="00B75B77" w:rsidRDefault="00893676" w:rsidP="004943C7">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100%</w:t>
            </w:r>
          </w:p>
        </w:tc>
      </w:tr>
      <w:tr w:rsidR="00893676" w:rsidRPr="00B75B77" w:rsidTr="004B63A9">
        <w:trPr>
          <w:divId w:val="531000321"/>
          <w:trHeight w:val="240"/>
        </w:trPr>
        <w:tc>
          <w:tcPr>
            <w:tcW w:w="1345" w:type="dxa"/>
            <w:tcBorders>
              <w:top w:val="nil"/>
              <w:left w:val="single" w:sz="4" w:space="0" w:color="448A99"/>
              <w:bottom w:val="single" w:sz="4" w:space="0" w:color="448A99"/>
              <w:right w:val="single" w:sz="4" w:space="0" w:color="448A99"/>
            </w:tcBorders>
            <w:shd w:val="clear" w:color="000000" w:fill="FFFFFF"/>
            <w:noWrap/>
            <w:vAlign w:val="center"/>
            <w:hideMark/>
          </w:tcPr>
          <w:p w:rsidR="00893676" w:rsidRPr="00B75B77" w:rsidRDefault="00556B68" w:rsidP="004943C7">
            <w:pPr>
              <w:keepNext/>
              <w:jc w:val="left"/>
              <w:rPr>
                <w:rFonts w:ascii="Calibri" w:eastAsia="Times New Roman" w:hAnsi="Calibri"/>
                <w:b/>
                <w:color w:val="000000"/>
                <w:sz w:val="18"/>
                <w:szCs w:val="18"/>
              </w:rPr>
            </w:pPr>
            <w:r w:rsidRPr="00B75B77">
              <w:rPr>
                <w:rFonts w:ascii="Calibri" w:eastAsia="Times New Roman" w:hAnsi="Calibri"/>
                <w:b/>
                <w:color w:val="000000"/>
                <w:sz w:val="18"/>
                <w:szCs w:val="18"/>
              </w:rPr>
              <w:t>PROGRAM TOTAL</w:t>
            </w:r>
          </w:p>
        </w:tc>
        <w:tc>
          <w:tcPr>
            <w:tcW w:w="1080" w:type="dxa"/>
            <w:tcBorders>
              <w:top w:val="nil"/>
              <w:left w:val="nil"/>
              <w:bottom w:val="single" w:sz="4" w:space="0" w:color="448A99"/>
              <w:right w:val="single" w:sz="4" w:space="0" w:color="448A99"/>
            </w:tcBorders>
            <w:shd w:val="clear" w:color="000000" w:fill="FFFFFF"/>
            <w:noWrap/>
            <w:vAlign w:val="center"/>
            <w:hideMark/>
          </w:tcPr>
          <w:p w:rsidR="00893676" w:rsidRPr="00B75B77" w:rsidRDefault="00D357EE" w:rsidP="004943C7">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All</w:t>
            </w:r>
            <w:r w:rsidR="00893676" w:rsidRPr="00B75B77">
              <w:rPr>
                <w:rFonts w:ascii="Calibri" w:eastAsia="Times New Roman" w:hAnsi="Calibri"/>
                <w:b/>
                <w:color w:val="000000"/>
                <w:sz w:val="18"/>
                <w:szCs w:val="18"/>
              </w:rPr>
              <w:t> </w:t>
            </w:r>
          </w:p>
        </w:tc>
        <w:tc>
          <w:tcPr>
            <w:tcW w:w="1165" w:type="dxa"/>
            <w:tcBorders>
              <w:top w:val="nil"/>
              <w:left w:val="nil"/>
              <w:bottom w:val="single" w:sz="4" w:space="0" w:color="448A99"/>
              <w:right w:val="single" w:sz="4" w:space="0" w:color="448A99"/>
            </w:tcBorders>
            <w:shd w:val="clear" w:color="000000" w:fill="FFFFFF"/>
            <w:noWrap/>
            <w:vAlign w:val="center"/>
            <w:hideMark/>
          </w:tcPr>
          <w:p w:rsidR="00893676" w:rsidRPr="00B75B77" w:rsidRDefault="00893676" w:rsidP="004943C7">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10</w:t>
            </w:r>
          </w:p>
        </w:tc>
        <w:tc>
          <w:tcPr>
            <w:tcW w:w="1395" w:type="dxa"/>
            <w:tcBorders>
              <w:top w:val="nil"/>
              <w:left w:val="nil"/>
              <w:bottom w:val="single" w:sz="4" w:space="0" w:color="448A99"/>
              <w:right w:val="single" w:sz="4" w:space="0" w:color="448A99"/>
            </w:tcBorders>
            <w:shd w:val="clear" w:color="000000" w:fill="FFFFFF"/>
            <w:noWrap/>
            <w:vAlign w:val="center"/>
            <w:hideMark/>
          </w:tcPr>
          <w:p w:rsidR="00893676" w:rsidRPr="00B75B77" w:rsidRDefault="00D357EE" w:rsidP="004943C7">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N/A</w:t>
            </w:r>
            <w:r w:rsidR="00893676" w:rsidRPr="00B75B77">
              <w:rPr>
                <w:rFonts w:ascii="Calibri" w:eastAsia="Times New Roman" w:hAnsi="Calibri"/>
                <w:b/>
                <w:color w:val="000000"/>
                <w:sz w:val="18"/>
                <w:szCs w:val="18"/>
              </w:rPr>
              <w:t> </w:t>
            </w:r>
          </w:p>
        </w:tc>
        <w:tc>
          <w:tcPr>
            <w:tcW w:w="1275" w:type="dxa"/>
            <w:tcBorders>
              <w:top w:val="nil"/>
              <w:left w:val="nil"/>
              <w:bottom w:val="single" w:sz="4" w:space="0" w:color="448A99"/>
              <w:right w:val="single" w:sz="4" w:space="0" w:color="448A99"/>
            </w:tcBorders>
            <w:shd w:val="clear" w:color="000000" w:fill="FFFFFF"/>
            <w:noWrap/>
            <w:vAlign w:val="center"/>
            <w:hideMark/>
          </w:tcPr>
          <w:p w:rsidR="00893676" w:rsidRPr="00B75B77" w:rsidRDefault="00D357EE" w:rsidP="004943C7">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N/A</w:t>
            </w:r>
            <w:r w:rsidR="00893676" w:rsidRPr="00B75B77">
              <w:rPr>
                <w:rFonts w:ascii="Calibri" w:eastAsia="Times New Roman" w:hAnsi="Calibri"/>
                <w:b/>
                <w:color w:val="000000"/>
                <w:sz w:val="18"/>
                <w:szCs w:val="18"/>
              </w:rPr>
              <w:t> </w:t>
            </w:r>
          </w:p>
        </w:tc>
        <w:tc>
          <w:tcPr>
            <w:tcW w:w="1014" w:type="dxa"/>
            <w:tcBorders>
              <w:top w:val="nil"/>
              <w:left w:val="nil"/>
              <w:bottom w:val="single" w:sz="4" w:space="0" w:color="448A99"/>
              <w:right w:val="single" w:sz="4" w:space="0" w:color="448A99"/>
            </w:tcBorders>
            <w:shd w:val="clear" w:color="000000" w:fill="FFFFFF"/>
            <w:noWrap/>
            <w:vAlign w:val="bottom"/>
            <w:hideMark/>
          </w:tcPr>
          <w:p w:rsidR="00893676" w:rsidRPr="00B75B77" w:rsidRDefault="00D357EE" w:rsidP="004943C7">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Attempted census</w:t>
            </w:r>
            <w:r w:rsidR="00893676" w:rsidRPr="00B75B77">
              <w:rPr>
                <w:rFonts w:ascii="Calibri" w:eastAsia="Times New Roman" w:hAnsi="Calibri"/>
                <w:b/>
                <w:color w:val="000000"/>
                <w:sz w:val="18"/>
                <w:szCs w:val="18"/>
              </w:rPr>
              <w:t xml:space="preserve"> </w:t>
            </w:r>
          </w:p>
        </w:tc>
        <w:tc>
          <w:tcPr>
            <w:tcW w:w="905" w:type="dxa"/>
            <w:tcBorders>
              <w:top w:val="nil"/>
              <w:left w:val="nil"/>
              <w:bottom w:val="single" w:sz="4" w:space="0" w:color="448A99"/>
              <w:right w:val="single" w:sz="4" w:space="0" w:color="448A99"/>
            </w:tcBorders>
            <w:shd w:val="clear" w:color="000000" w:fill="FFFFFF"/>
            <w:noWrap/>
            <w:vAlign w:val="center"/>
            <w:hideMark/>
          </w:tcPr>
          <w:p w:rsidR="00893676" w:rsidRPr="00B75B77" w:rsidRDefault="00893676" w:rsidP="004943C7">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7</w:t>
            </w:r>
          </w:p>
        </w:tc>
        <w:tc>
          <w:tcPr>
            <w:tcW w:w="1306" w:type="dxa"/>
            <w:tcBorders>
              <w:top w:val="nil"/>
              <w:left w:val="nil"/>
              <w:bottom w:val="single" w:sz="4" w:space="0" w:color="448A99"/>
              <w:right w:val="single" w:sz="4" w:space="0" w:color="448A99"/>
            </w:tcBorders>
            <w:shd w:val="clear" w:color="000000" w:fill="FFFFFF"/>
            <w:noWrap/>
            <w:vAlign w:val="center"/>
            <w:hideMark/>
          </w:tcPr>
          <w:p w:rsidR="00893676" w:rsidRPr="00B75B77" w:rsidRDefault="00D357EE" w:rsidP="004943C7">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100%</w:t>
            </w:r>
            <w:r w:rsidR="00893676" w:rsidRPr="00B75B77">
              <w:rPr>
                <w:rFonts w:ascii="Calibri" w:eastAsia="Times New Roman" w:hAnsi="Calibri"/>
                <w:b/>
                <w:color w:val="000000"/>
                <w:sz w:val="18"/>
                <w:szCs w:val="18"/>
              </w:rPr>
              <w:t> </w:t>
            </w:r>
          </w:p>
        </w:tc>
      </w:tr>
    </w:tbl>
    <w:p w:rsidR="00556B68" w:rsidRPr="00B75B77" w:rsidRDefault="00556B68" w:rsidP="004943C7">
      <w:pPr>
        <w:pStyle w:val="Source"/>
        <w:keepNext/>
        <w:spacing w:before="20" w:after="40"/>
        <w:ind w:left="0" w:firstLine="0"/>
        <w:rPr>
          <w:rFonts w:ascii="Calibri" w:hAnsi="Calibri"/>
          <w:i w:val="0"/>
          <w:color w:val="000000"/>
          <w:szCs w:val="18"/>
        </w:rPr>
      </w:pPr>
      <w:r w:rsidRPr="00B75B77">
        <w:rPr>
          <w:rFonts w:ascii="Calibri" w:hAnsi="Calibri"/>
          <w:i w:val="0"/>
          <w:color w:val="000000"/>
          <w:szCs w:val="18"/>
          <w:vertAlign w:val="superscript"/>
        </w:rPr>
        <w:t>[1]</w:t>
      </w:r>
      <w:r w:rsidRPr="00B75B77">
        <w:rPr>
          <w:rFonts w:ascii="Calibri" w:hAnsi="Calibri"/>
          <w:i w:val="0"/>
          <w:color w:val="000000"/>
          <w:szCs w:val="18"/>
        </w:rPr>
        <w:t xml:space="preserve"> The sample frame is a list of contacts that have a chance to be selected into the sample. Percentage contacted means of all the sample frame the percentage that were contacted to get the completed surveys.</w:t>
      </w:r>
    </w:p>
    <w:p w:rsidR="00556B68" w:rsidRPr="00B75B77" w:rsidRDefault="00556B68" w:rsidP="004943C7">
      <w:pPr>
        <w:pStyle w:val="Source"/>
        <w:keepNext/>
        <w:spacing w:before="20" w:after="20"/>
        <w:ind w:left="0" w:firstLine="0"/>
        <w:rPr>
          <w:i w:val="0"/>
        </w:rPr>
      </w:pPr>
      <w:r w:rsidRPr="00B75B77">
        <w:rPr>
          <w:rFonts w:ascii="Calibri" w:hAnsi="Calibri"/>
          <w:i w:val="0"/>
          <w:iCs/>
          <w:color w:val="000000"/>
          <w:szCs w:val="18"/>
        </w:rPr>
        <w:t>Note: Values in tables may not reconcile exactly with the sum of more detailed level results or previously reported results due to rounding.</w:t>
      </w:r>
    </w:p>
    <w:p w:rsidR="00893676" w:rsidRPr="00B75B77" w:rsidRDefault="00893676" w:rsidP="00751A38">
      <w:pPr>
        <w:pStyle w:val="Source"/>
        <w:ind w:left="0" w:firstLine="0"/>
      </w:pPr>
      <w:r w:rsidRPr="00B75B77">
        <w:t>Source: Navigant analysis</w:t>
      </w:r>
    </w:p>
    <w:p w:rsidR="00893676" w:rsidRPr="00B75B77" w:rsidRDefault="00893676" w:rsidP="00751A38">
      <w:pPr>
        <w:pStyle w:val="Heading3"/>
        <w:keepNext/>
      </w:pPr>
      <w:r w:rsidRPr="00B75B77">
        <w:tab/>
      </w:r>
      <w:bookmarkStart w:id="530" w:name="_Toc466413351"/>
      <w:r w:rsidRPr="00B75B77">
        <w:t>Net Verified Savings Results</w:t>
      </w:r>
      <w:bookmarkEnd w:id="530"/>
      <w:r w:rsidRPr="00B75B77">
        <w:t xml:space="preserve"> </w:t>
      </w:r>
    </w:p>
    <w:p w:rsidR="00893676" w:rsidRPr="00B75B77" w:rsidRDefault="00893676" w:rsidP="00751A38">
      <w:pPr>
        <w:keepNext/>
      </w:pPr>
      <w:r w:rsidRPr="00B75B77">
        <w:t xml:space="preserve">Navigant’s NTG evaluation found that six of seven participating builders surveyed were already building to ENERGY STAR standards prior to joining the program. These six respondents also reported a low level of program influence on their decision to build to ENERGY STAR standards. </w:t>
      </w:r>
    </w:p>
    <w:p w:rsidR="00893676" w:rsidRPr="00B75B77" w:rsidRDefault="00893676" w:rsidP="00751A38">
      <w:pPr>
        <w:keepNext/>
      </w:pPr>
    </w:p>
    <w:p w:rsidR="00893676" w:rsidRPr="00B75B77" w:rsidRDefault="00893676" w:rsidP="00751A38">
      <w:pPr>
        <w:keepNext/>
      </w:pPr>
      <w:r w:rsidRPr="00B75B77">
        <w:t xml:space="preserve">Of the seven participant builders surveyed, only two reported building additional non-incented ENERGY STAR homes. Neither of these participants </w:t>
      </w:r>
      <w:proofErr w:type="gramStart"/>
      <w:r w:rsidRPr="00B75B77">
        <w:t>were</w:t>
      </w:r>
      <w:proofErr w:type="gramEnd"/>
      <w:r w:rsidRPr="00B75B77">
        <w:t xml:space="preserve"> able to provide reliable estimates of the number of additional homes built or when they were built. Therefore, no spillover savings were attributed to the program. </w:t>
      </w:r>
    </w:p>
    <w:p w:rsidR="00893676" w:rsidRPr="00B75B77" w:rsidRDefault="00893676" w:rsidP="00751A38">
      <w:pPr>
        <w:keepNext/>
      </w:pPr>
    </w:p>
    <w:p w:rsidR="00893676" w:rsidRPr="00B75B77" w:rsidRDefault="005A6F4D" w:rsidP="00751A38">
      <w:pPr>
        <w:keepNext/>
      </w:pPr>
      <w:r w:rsidRPr="00B75B77">
        <w:fldChar w:fldCharType="begin"/>
      </w:r>
      <w:r w:rsidRPr="00B75B77">
        <w:instrText xml:space="preserve"> REF _Ref461786958 \h </w:instrText>
      </w:r>
      <w:r w:rsidR="00B75B77">
        <w:instrText xml:space="preserve"> \* MERGEFORMAT </w:instrText>
      </w:r>
      <w:r w:rsidRPr="00B75B77">
        <w:fldChar w:fldCharType="separate"/>
      </w:r>
      <w:r w:rsidR="0004016D" w:rsidRPr="00B75B77">
        <w:t xml:space="preserve">Table </w:t>
      </w:r>
      <w:r w:rsidR="0004016D">
        <w:rPr>
          <w:noProof/>
        </w:rPr>
        <w:t>7</w:t>
      </w:r>
      <w:r w:rsidR="0004016D" w:rsidRPr="00B75B77">
        <w:rPr>
          <w:noProof/>
        </w:rPr>
        <w:noBreakHyphen/>
      </w:r>
      <w:r w:rsidR="0004016D">
        <w:rPr>
          <w:noProof/>
        </w:rPr>
        <w:t>6</w:t>
      </w:r>
      <w:r w:rsidRPr="00B75B77">
        <w:fldChar w:fldCharType="end"/>
      </w:r>
      <w:r w:rsidR="002C4E2F" w:rsidRPr="00B75B77">
        <w:t xml:space="preserve"> shows the results from the NTG evaluation</w:t>
      </w:r>
      <w:r w:rsidR="00893676" w:rsidRPr="00B75B77">
        <w:t xml:space="preserve">. The PY7 SBR NTG ratio </w:t>
      </w:r>
      <w:r w:rsidR="004B63A9" w:rsidRPr="00B75B77">
        <w:t>wa</w:t>
      </w:r>
      <w:r w:rsidR="00893676" w:rsidRPr="00B75B77">
        <w:t>s 0.50.</w:t>
      </w:r>
    </w:p>
    <w:p w:rsidR="00893676" w:rsidRPr="00B75B77" w:rsidRDefault="00893676" w:rsidP="00751A38">
      <w:pPr>
        <w:rPr>
          <w:i/>
          <w:iCs/>
        </w:rPr>
      </w:pPr>
    </w:p>
    <w:p w:rsidR="00893676" w:rsidRPr="00B75B77" w:rsidRDefault="00893676" w:rsidP="00751A38">
      <w:pPr>
        <w:pStyle w:val="Caption"/>
        <w:rPr>
          <w:rFonts w:eastAsia="Times New Roman"/>
          <w:i/>
          <w:szCs w:val="20"/>
        </w:rPr>
      </w:pPr>
      <w:bookmarkStart w:id="531" w:name="_Ref461786958"/>
      <w:bookmarkStart w:id="532" w:name="_Toc466413560"/>
      <w:r w:rsidRPr="00B75B77">
        <w:t xml:space="preserve">Table </w:t>
      </w:r>
      <w:fldSimple w:instr=" STYLEREF 1 \s ">
        <w:r w:rsidR="0004016D">
          <w:rPr>
            <w:noProof/>
          </w:rPr>
          <w:t>7</w:t>
        </w:r>
      </w:fldSimple>
      <w:r w:rsidR="00F1144C" w:rsidRPr="00B75B77">
        <w:noBreakHyphen/>
      </w:r>
      <w:fldSimple w:instr=" SEQ Table \* ARABIC \s 1 ">
        <w:r w:rsidR="0004016D">
          <w:rPr>
            <w:noProof/>
          </w:rPr>
          <w:t>6</w:t>
        </w:r>
      </w:fldSimple>
      <w:bookmarkEnd w:id="531"/>
      <w:r w:rsidRPr="00B75B77">
        <w:t>: PY7 Smart Builder Rebates Summary of Evaluation Results for NTG Research</w:t>
      </w:r>
      <w:bookmarkEnd w:id="532"/>
    </w:p>
    <w:tbl>
      <w:tblPr>
        <w:tblW w:w="8725" w:type="dxa"/>
        <w:jc w:val="center"/>
        <w:tblLook w:val="04A0" w:firstRow="1" w:lastRow="0" w:firstColumn="1" w:lastColumn="0" w:noHBand="0" w:noVBand="1"/>
      </w:tblPr>
      <w:tblGrid>
        <w:gridCol w:w="1795"/>
        <w:gridCol w:w="1260"/>
        <w:gridCol w:w="1350"/>
        <w:gridCol w:w="810"/>
        <w:gridCol w:w="1890"/>
        <w:gridCol w:w="1620"/>
      </w:tblGrid>
      <w:tr w:rsidR="00893676" w:rsidRPr="00B75B77" w:rsidTr="004B63A9">
        <w:trPr>
          <w:divId w:val="1709069096"/>
          <w:trHeight w:val="420"/>
          <w:jc w:val="center"/>
        </w:trPr>
        <w:tc>
          <w:tcPr>
            <w:tcW w:w="1795"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893676" w:rsidRPr="00B75B77" w:rsidRDefault="003002F4" w:rsidP="004B63A9">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Stratum</w:t>
            </w:r>
          </w:p>
        </w:tc>
        <w:tc>
          <w:tcPr>
            <w:tcW w:w="126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893676" w:rsidRPr="00B75B77" w:rsidRDefault="00893676"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Estimated Free Ridership</w:t>
            </w:r>
          </w:p>
        </w:tc>
        <w:tc>
          <w:tcPr>
            <w:tcW w:w="135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893676" w:rsidRPr="00B75B77" w:rsidRDefault="00893676"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Estimated Participant Spillover</w:t>
            </w:r>
          </w:p>
        </w:tc>
        <w:tc>
          <w:tcPr>
            <w:tcW w:w="81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893676" w:rsidRPr="00B75B77" w:rsidRDefault="00893676"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NTG Ratio</w:t>
            </w:r>
          </w:p>
        </w:tc>
        <w:tc>
          <w:tcPr>
            <w:tcW w:w="189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893676" w:rsidRPr="00B75B77" w:rsidRDefault="00893676" w:rsidP="002E0AE7">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Observed </w:t>
            </w:r>
            <w:r w:rsidR="002E0AE7" w:rsidRPr="00B75B77">
              <w:rPr>
                <w:rFonts w:ascii="Calibri" w:eastAsia="Times New Roman" w:hAnsi="Calibri"/>
                <w:b/>
                <w:bCs/>
                <w:color w:val="FFFFFF"/>
                <w:sz w:val="18"/>
                <w:szCs w:val="18"/>
              </w:rPr>
              <w:t>CV</w:t>
            </w:r>
            <w:r w:rsidRPr="00B75B77">
              <w:rPr>
                <w:rFonts w:ascii="Calibri" w:eastAsia="Times New Roman" w:hAnsi="Calibri"/>
                <w:b/>
                <w:bCs/>
                <w:color w:val="FFFFFF"/>
                <w:sz w:val="18"/>
                <w:szCs w:val="18"/>
              </w:rPr>
              <w:t xml:space="preserve"> or Proportion</w:t>
            </w:r>
          </w:p>
        </w:tc>
        <w:tc>
          <w:tcPr>
            <w:tcW w:w="162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893676" w:rsidRPr="00B75B77" w:rsidRDefault="00893676" w:rsidP="00751A3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Relative Precision</w:t>
            </w:r>
          </w:p>
        </w:tc>
      </w:tr>
      <w:tr w:rsidR="00893676" w:rsidRPr="00B75B77" w:rsidTr="004B63A9">
        <w:trPr>
          <w:divId w:val="1709069096"/>
          <w:trHeight w:val="288"/>
          <w:jc w:val="center"/>
        </w:trPr>
        <w:tc>
          <w:tcPr>
            <w:tcW w:w="1795" w:type="dxa"/>
            <w:vMerge/>
            <w:tcBorders>
              <w:top w:val="single" w:sz="4" w:space="0" w:color="auto"/>
              <w:left w:val="single" w:sz="4" w:space="0" w:color="auto"/>
              <w:bottom w:val="single" w:sz="4" w:space="0" w:color="000000"/>
              <w:right w:val="single" w:sz="4" w:space="0" w:color="auto"/>
            </w:tcBorders>
            <w:vAlign w:val="center"/>
            <w:hideMark/>
          </w:tcPr>
          <w:p w:rsidR="00893676" w:rsidRPr="00B75B77" w:rsidRDefault="00893676" w:rsidP="00751A38">
            <w:pPr>
              <w:jc w:val="left"/>
              <w:rPr>
                <w:rFonts w:ascii="Calibri" w:eastAsia="Times New Roman" w:hAnsi="Calibri"/>
                <w:b/>
                <w:bCs/>
                <w:color w:val="FFFFFF"/>
                <w:sz w:val="18"/>
                <w:szCs w:val="18"/>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rsidR="00893676" w:rsidRPr="00B75B77" w:rsidRDefault="00893676" w:rsidP="00751A38">
            <w:pPr>
              <w:jc w:val="left"/>
              <w:rPr>
                <w:rFonts w:ascii="Calibri" w:eastAsia="Times New Roman" w:hAnsi="Calibri"/>
                <w:b/>
                <w:bCs/>
                <w:color w:val="FFFFFF"/>
                <w:sz w:val="18"/>
                <w:szCs w:val="18"/>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rsidR="00893676" w:rsidRPr="00B75B77" w:rsidRDefault="00893676" w:rsidP="00751A38">
            <w:pPr>
              <w:jc w:val="left"/>
              <w:rPr>
                <w:rFonts w:ascii="Calibri" w:eastAsia="Times New Roman" w:hAnsi="Calibri"/>
                <w:b/>
                <w:bCs/>
                <w:color w:val="FFFFFF"/>
                <w:sz w:val="18"/>
                <w:szCs w:val="18"/>
              </w:rPr>
            </w:pPr>
          </w:p>
        </w:tc>
        <w:tc>
          <w:tcPr>
            <w:tcW w:w="810" w:type="dxa"/>
            <w:vMerge/>
            <w:tcBorders>
              <w:top w:val="single" w:sz="4" w:space="0" w:color="auto"/>
              <w:left w:val="single" w:sz="4" w:space="0" w:color="auto"/>
              <w:bottom w:val="single" w:sz="4" w:space="0" w:color="000000"/>
              <w:right w:val="single" w:sz="4" w:space="0" w:color="auto"/>
            </w:tcBorders>
            <w:vAlign w:val="center"/>
            <w:hideMark/>
          </w:tcPr>
          <w:p w:rsidR="00893676" w:rsidRPr="00B75B77" w:rsidRDefault="00893676" w:rsidP="00751A38">
            <w:pPr>
              <w:jc w:val="left"/>
              <w:rPr>
                <w:rFonts w:ascii="Calibri" w:eastAsia="Times New Roman" w:hAnsi="Calibri"/>
                <w:b/>
                <w:bCs/>
                <w:color w:val="FFFFFF"/>
                <w:sz w:val="18"/>
                <w:szCs w:val="18"/>
              </w:rPr>
            </w:pPr>
          </w:p>
        </w:tc>
        <w:tc>
          <w:tcPr>
            <w:tcW w:w="1890" w:type="dxa"/>
            <w:vMerge/>
            <w:tcBorders>
              <w:top w:val="single" w:sz="4" w:space="0" w:color="auto"/>
              <w:left w:val="single" w:sz="4" w:space="0" w:color="auto"/>
              <w:bottom w:val="single" w:sz="4" w:space="0" w:color="000000"/>
              <w:right w:val="single" w:sz="4" w:space="0" w:color="auto"/>
            </w:tcBorders>
            <w:vAlign w:val="center"/>
            <w:hideMark/>
          </w:tcPr>
          <w:p w:rsidR="00893676" w:rsidRPr="00B75B77" w:rsidRDefault="00893676" w:rsidP="00751A38">
            <w:pPr>
              <w:jc w:val="left"/>
              <w:rPr>
                <w:rFonts w:ascii="Calibri" w:eastAsia="Times New Roman" w:hAnsi="Calibri"/>
                <w:b/>
                <w:bCs/>
                <w:color w:val="FFFFFF"/>
                <w:sz w:val="18"/>
                <w:szCs w:val="18"/>
              </w:rPr>
            </w:pPr>
          </w:p>
        </w:tc>
        <w:tc>
          <w:tcPr>
            <w:tcW w:w="1620" w:type="dxa"/>
            <w:vMerge/>
            <w:tcBorders>
              <w:top w:val="single" w:sz="4" w:space="0" w:color="auto"/>
              <w:left w:val="single" w:sz="4" w:space="0" w:color="auto"/>
              <w:bottom w:val="single" w:sz="4" w:space="0" w:color="000000"/>
              <w:right w:val="single" w:sz="4" w:space="0" w:color="auto"/>
            </w:tcBorders>
            <w:vAlign w:val="center"/>
            <w:hideMark/>
          </w:tcPr>
          <w:p w:rsidR="00893676" w:rsidRPr="00B75B77" w:rsidRDefault="00893676" w:rsidP="00751A38">
            <w:pPr>
              <w:jc w:val="left"/>
              <w:rPr>
                <w:rFonts w:ascii="Calibri" w:eastAsia="Times New Roman" w:hAnsi="Calibri"/>
                <w:b/>
                <w:bCs/>
                <w:color w:val="FFFFFF"/>
                <w:sz w:val="18"/>
                <w:szCs w:val="18"/>
              </w:rPr>
            </w:pPr>
          </w:p>
        </w:tc>
      </w:tr>
      <w:tr w:rsidR="00893676" w:rsidRPr="00B75B77" w:rsidTr="004B63A9">
        <w:trPr>
          <w:divId w:val="1709069096"/>
          <w:trHeight w:val="288"/>
          <w:jc w:val="center"/>
        </w:trPr>
        <w:tc>
          <w:tcPr>
            <w:tcW w:w="1795" w:type="dxa"/>
            <w:tcBorders>
              <w:top w:val="nil"/>
              <w:left w:val="single" w:sz="4" w:space="0" w:color="448A99"/>
              <w:bottom w:val="single" w:sz="4" w:space="0" w:color="448A99"/>
              <w:right w:val="single" w:sz="4" w:space="0" w:color="448A99"/>
            </w:tcBorders>
            <w:shd w:val="clear" w:color="000000" w:fill="D2EAF1"/>
            <w:noWrap/>
            <w:vAlign w:val="center"/>
            <w:hideMark/>
          </w:tcPr>
          <w:p w:rsidR="00893676" w:rsidRPr="00B75B77" w:rsidRDefault="00893676" w:rsidP="00751A38">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All</w:t>
            </w:r>
          </w:p>
        </w:tc>
        <w:tc>
          <w:tcPr>
            <w:tcW w:w="1260" w:type="dxa"/>
            <w:tcBorders>
              <w:top w:val="nil"/>
              <w:left w:val="nil"/>
              <w:bottom w:val="single" w:sz="4" w:space="0" w:color="448A99"/>
              <w:right w:val="single" w:sz="4" w:space="0" w:color="448A99"/>
            </w:tcBorders>
            <w:shd w:val="clear" w:color="000000" w:fill="D2EAF1"/>
            <w:vAlign w:val="center"/>
            <w:hideMark/>
          </w:tcPr>
          <w:p w:rsidR="00893676" w:rsidRPr="00B75B77" w:rsidRDefault="00893676"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0.50</w:t>
            </w:r>
          </w:p>
        </w:tc>
        <w:tc>
          <w:tcPr>
            <w:tcW w:w="1350" w:type="dxa"/>
            <w:tcBorders>
              <w:top w:val="nil"/>
              <w:left w:val="nil"/>
              <w:bottom w:val="single" w:sz="4" w:space="0" w:color="448A99"/>
              <w:right w:val="single" w:sz="4" w:space="0" w:color="448A99"/>
            </w:tcBorders>
            <w:shd w:val="clear" w:color="000000" w:fill="D2EAF1"/>
            <w:vAlign w:val="center"/>
            <w:hideMark/>
          </w:tcPr>
          <w:p w:rsidR="00893676" w:rsidRPr="00B75B77" w:rsidRDefault="00893676"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0.00</w:t>
            </w:r>
          </w:p>
        </w:tc>
        <w:tc>
          <w:tcPr>
            <w:tcW w:w="810" w:type="dxa"/>
            <w:tcBorders>
              <w:top w:val="nil"/>
              <w:left w:val="nil"/>
              <w:bottom w:val="single" w:sz="4" w:space="0" w:color="448A99"/>
              <w:right w:val="single" w:sz="4" w:space="0" w:color="448A99"/>
            </w:tcBorders>
            <w:shd w:val="clear" w:color="000000" w:fill="D2EAF1"/>
            <w:vAlign w:val="center"/>
            <w:hideMark/>
          </w:tcPr>
          <w:p w:rsidR="00893676" w:rsidRPr="00B75B77" w:rsidRDefault="00893676"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0.50</w:t>
            </w:r>
          </w:p>
        </w:tc>
        <w:tc>
          <w:tcPr>
            <w:tcW w:w="1890" w:type="dxa"/>
            <w:tcBorders>
              <w:top w:val="nil"/>
              <w:left w:val="nil"/>
              <w:bottom w:val="single" w:sz="4" w:space="0" w:color="448A99"/>
              <w:right w:val="single" w:sz="4" w:space="0" w:color="448A99"/>
            </w:tcBorders>
            <w:shd w:val="clear" w:color="000000" w:fill="D2EAF1"/>
            <w:vAlign w:val="center"/>
            <w:hideMark/>
          </w:tcPr>
          <w:p w:rsidR="00893676" w:rsidRPr="00B75B77" w:rsidRDefault="00C838B7"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0.48</w:t>
            </w:r>
          </w:p>
        </w:tc>
        <w:tc>
          <w:tcPr>
            <w:tcW w:w="1620" w:type="dxa"/>
            <w:tcBorders>
              <w:top w:val="nil"/>
              <w:left w:val="nil"/>
              <w:bottom w:val="single" w:sz="4" w:space="0" w:color="448A99"/>
              <w:right w:val="single" w:sz="4" w:space="0" w:color="448A99"/>
            </w:tcBorders>
            <w:shd w:val="clear" w:color="000000" w:fill="D2EAF1"/>
            <w:vAlign w:val="center"/>
            <w:hideMark/>
          </w:tcPr>
          <w:p w:rsidR="00893676" w:rsidRPr="00B75B77" w:rsidRDefault="00C838B7" w:rsidP="00751A38">
            <w:pPr>
              <w:jc w:val="center"/>
              <w:rPr>
                <w:rFonts w:ascii="Calibri" w:eastAsia="Times New Roman" w:hAnsi="Calibri"/>
                <w:color w:val="000000"/>
                <w:sz w:val="18"/>
                <w:szCs w:val="18"/>
              </w:rPr>
            </w:pPr>
            <w:r w:rsidRPr="00B75B77">
              <w:rPr>
                <w:rFonts w:ascii="Calibri" w:eastAsia="Times New Roman" w:hAnsi="Calibri"/>
                <w:color w:val="000000"/>
                <w:sz w:val="18"/>
                <w:szCs w:val="18"/>
              </w:rPr>
              <w:t>17%</w:t>
            </w:r>
          </w:p>
        </w:tc>
      </w:tr>
      <w:tr w:rsidR="00893676" w:rsidRPr="00B75B77" w:rsidTr="004B63A9">
        <w:trPr>
          <w:divId w:val="1709069096"/>
          <w:trHeight w:val="288"/>
          <w:jc w:val="center"/>
        </w:trPr>
        <w:tc>
          <w:tcPr>
            <w:tcW w:w="1795" w:type="dxa"/>
            <w:tcBorders>
              <w:top w:val="nil"/>
              <w:left w:val="single" w:sz="4" w:space="0" w:color="448A99"/>
              <w:bottom w:val="single" w:sz="4" w:space="0" w:color="448A99"/>
              <w:right w:val="single" w:sz="4" w:space="0" w:color="448A99"/>
            </w:tcBorders>
            <w:shd w:val="clear" w:color="000000" w:fill="FFFFFF"/>
            <w:noWrap/>
            <w:vAlign w:val="center"/>
            <w:hideMark/>
          </w:tcPr>
          <w:p w:rsidR="00893676" w:rsidRPr="00B75B77" w:rsidRDefault="002873F1" w:rsidP="00751A38">
            <w:pPr>
              <w:jc w:val="left"/>
              <w:rPr>
                <w:rFonts w:ascii="Calibri" w:eastAsia="Times New Roman" w:hAnsi="Calibri"/>
                <w:b/>
                <w:color w:val="000000"/>
                <w:sz w:val="18"/>
                <w:szCs w:val="18"/>
              </w:rPr>
            </w:pPr>
            <w:r w:rsidRPr="00B75B77">
              <w:rPr>
                <w:rFonts w:ascii="Calibri" w:eastAsia="Times New Roman" w:hAnsi="Calibri"/>
                <w:b/>
                <w:color w:val="000000"/>
                <w:sz w:val="18"/>
                <w:szCs w:val="18"/>
              </w:rPr>
              <w:t>PROGRAM TOTAL</w:t>
            </w:r>
            <w:r w:rsidR="00A63401" w:rsidRPr="00B75B77">
              <w:rPr>
                <w:rFonts w:ascii="Calibri" w:eastAsia="Times New Roman" w:hAnsi="Calibri"/>
                <w:color w:val="000000"/>
                <w:sz w:val="18"/>
                <w:szCs w:val="18"/>
                <w:vertAlign w:val="superscript"/>
              </w:rPr>
              <w:t>[1]</w:t>
            </w:r>
          </w:p>
        </w:tc>
        <w:tc>
          <w:tcPr>
            <w:tcW w:w="1260" w:type="dxa"/>
            <w:tcBorders>
              <w:top w:val="nil"/>
              <w:left w:val="nil"/>
              <w:bottom w:val="single" w:sz="4" w:space="0" w:color="448A99"/>
              <w:right w:val="single" w:sz="4" w:space="0" w:color="448A99"/>
            </w:tcBorders>
            <w:shd w:val="clear" w:color="auto" w:fill="auto"/>
            <w:vAlign w:val="center"/>
            <w:hideMark/>
          </w:tcPr>
          <w:p w:rsidR="00893676" w:rsidRPr="00B75B77" w:rsidRDefault="00D357EE" w:rsidP="00751A38">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0.50</w:t>
            </w:r>
            <w:r w:rsidR="00893676" w:rsidRPr="00B75B77">
              <w:rPr>
                <w:rFonts w:ascii="Calibri" w:eastAsia="Times New Roman" w:hAnsi="Calibri"/>
                <w:b/>
                <w:bCs/>
                <w:color w:val="000000"/>
                <w:sz w:val="18"/>
                <w:szCs w:val="18"/>
              </w:rPr>
              <w:t> </w:t>
            </w:r>
          </w:p>
        </w:tc>
        <w:tc>
          <w:tcPr>
            <w:tcW w:w="1350" w:type="dxa"/>
            <w:tcBorders>
              <w:top w:val="nil"/>
              <w:left w:val="nil"/>
              <w:bottom w:val="single" w:sz="4" w:space="0" w:color="448A99"/>
              <w:right w:val="single" w:sz="4" w:space="0" w:color="448A99"/>
            </w:tcBorders>
            <w:shd w:val="clear" w:color="auto" w:fill="auto"/>
            <w:vAlign w:val="center"/>
            <w:hideMark/>
          </w:tcPr>
          <w:p w:rsidR="00893676" w:rsidRPr="00B75B77" w:rsidRDefault="00D357EE" w:rsidP="00751A38">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0.00</w:t>
            </w:r>
          </w:p>
        </w:tc>
        <w:tc>
          <w:tcPr>
            <w:tcW w:w="810" w:type="dxa"/>
            <w:tcBorders>
              <w:top w:val="nil"/>
              <w:left w:val="nil"/>
              <w:bottom w:val="single" w:sz="4" w:space="0" w:color="448A99"/>
              <w:right w:val="single" w:sz="4" w:space="0" w:color="448A99"/>
            </w:tcBorders>
            <w:shd w:val="clear" w:color="auto" w:fill="auto"/>
            <w:vAlign w:val="center"/>
            <w:hideMark/>
          </w:tcPr>
          <w:p w:rsidR="00893676" w:rsidRPr="00B75B77" w:rsidRDefault="00D357EE" w:rsidP="00751A38">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0.50</w:t>
            </w:r>
          </w:p>
        </w:tc>
        <w:tc>
          <w:tcPr>
            <w:tcW w:w="1890" w:type="dxa"/>
            <w:tcBorders>
              <w:top w:val="nil"/>
              <w:left w:val="nil"/>
              <w:bottom w:val="single" w:sz="4" w:space="0" w:color="448A99"/>
              <w:right w:val="single" w:sz="4" w:space="0" w:color="448A99"/>
            </w:tcBorders>
            <w:shd w:val="clear" w:color="auto" w:fill="auto"/>
            <w:vAlign w:val="center"/>
            <w:hideMark/>
          </w:tcPr>
          <w:p w:rsidR="00893676" w:rsidRPr="00B75B77" w:rsidRDefault="009703AC" w:rsidP="00751A38">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0.48</w:t>
            </w:r>
          </w:p>
        </w:tc>
        <w:tc>
          <w:tcPr>
            <w:tcW w:w="1620" w:type="dxa"/>
            <w:tcBorders>
              <w:top w:val="nil"/>
              <w:left w:val="nil"/>
              <w:bottom w:val="single" w:sz="4" w:space="0" w:color="448A99"/>
              <w:right w:val="single" w:sz="4" w:space="0" w:color="448A99"/>
            </w:tcBorders>
            <w:shd w:val="clear" w:color="auto" w:fill="auto"/>
            <w:vAlign w:val="center"/>
            <w:hideMark/>
          </w:tcPr>
          <w:p w:rsidR="00893676" w:rsidRPr="00B75B77" w:rsidRDefault="009703AC" w:rsidP="00751A38">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17%</w:t>
            </w:r>
          </w:p>
        </w:tc>
      </w:tr>
    </w:tbl>
    <w:p w:rsidR="004B63A9" w:rsidRPr="00B75B77" w:rsidRDefault="00A63401" w:rsidP="00530239">
      <w:pPr>
        <w:spacing w:before="20" w:after="20"/>
        <w:ind w:left="360"/>
        <w:jc w:val="left"/>
        <w:rPr>
          <w:rFonts w:ascii="Calibri" w:eastAsia="Times New Roman" w:hAnsi="Calibri"/>
          <w:iCs/>
          <w:color w:val="000000"/>
          <w:sz w:val="18"/>
          <w:szCs w:val="18"/>
        </w:rPr>
      </w:pPr>
      <w:r w:rsidRPr="00B75B77">
        <w:rPr>
          <w:rFonts w:ascii="Calibri" w:eastAsia="Times New Roman" w:hAnsi="Calibri"/>
          <w:iCs/>
          <w:color w:val="000000"/>
          <w:sz w:val="18"/>
          <w:szCs w:val="18"/>
          <w:vertAlign w:val="superscript"/>
        </w:rPr>
        <w:t>[1]</w:t>
      </w:r>
      <w:r w:rsidRPr="00B75B77">
        <w:rPr>
          <w:rFonts w:ascii="Calibri" w:eastAsia="Times New Roman" w:hAnsi="Calibri"/>
          <w:iCs/>
          <w:color w:val="000000"/>
          <w:sz w:val="18"/>
          <w:szCs w:val="18"/>
        </w:rPr>
        <w:t xml:space="preserve"> </w:t>
      </w:r>
      <w:r w:rsidR="00530239" w:rsidRPr="00B75B77">
        <w:rPr>
          <w:rFonts w:ascii="Calibri" w:eastAsia="Times New Roman" w:hAnsi="Calibri"/>
          <w:iCs/>
          <w:color w:val="000000"/>
          <w:sz w:val="18"/>
          <w:szCs w:val="18"/>
        </w:rPr>
        <w:t xml:space="preserve">The sample frame is a list of contacts that have a chance to be selected into the sample. Percentage contacted means of all the sample frame the percentage that were contacted to get the completed surveys. </w:t>
      </w:r>
      <w:r w:rsidR="004B63A9" w:rsidRPr="00B75B77">
        <w:rPr>
          <w:rFonts w:ascii="Calibri" w:eastAsia="Times New Roman" w:hAnsi="Calibri"/>
          <w:iCs/>
          <w:color w:val="000000"/>
          <w:sz w:val="18"/>
          <w:szCs w:val="18"/>
        </w:rPr>
        <w:t>Note: Values in tables may not reconcile exactly with the sum of more detailed level results or previously reported results due to rounding.</w:t>
      </w:r>
    </w:p>
    <w:p w:rsidR="00893676" w:rsidRPr="00B75B77" w:rsidRDefault="00893676" w:rsidP="00EA1A8E">
      <w:pPr>
        <w:pStyle w:val="Source"/>
        <w:spacing w:after="120"/>
        <w:ind w:left="360" w:firstLine="0"/>
      </w:pPr>
      <w:r w:rsidRPr="00B75B77">
        <w:t>Source: Navigant analysis</w:t>
      </w:r>
    </w:p>
    <w:p w:rsidR="00893676" w:rsidRPr="00B75B77" w:rsidRDefault="00893676" w:rsidP="00751A38">
      <w:pPr>
        <w:pStyle w:val="Heading2"/>
        <w:ind w:left="720" w:hanging="720"/>
      </w:pPr>
      <w:bookmarkStart w:id="533" w:name="_Toc434597804"/>
      <w:bookmarkStart w:id="534" w:name="_Toc466413352"/>
      <w:r w:rsidRPr="00B75B77">
        <w:t>Process Evaluation</w:t>
      </w:r>
      <w:bookmarkEnd w:id="533"/>
      <w:bookmarkEnd w:id="534"/>
    </w:p>
    <w:p w:rsidR="00893676" w:rsidRPr="00B75B77" w:rsidRDefault="00893676" w:rsidP="00751A38">
      <w:pPr>
        <w:rPr>
          <w:rFonts w:eastAsia="Times New Roman"/>
          <w:color w:val="000000"/>
        </w:rPr>
      </w:pPr>
      <w:r w:rsidRPr="00B75B77">
        <w:t xml:space="preserve">The following section describes the activities conducted as part of the </w:t>
      </w:r>
      <w:r w:rsidR="004B63A9" w:rsidRPr="00B75B77">
        <w:t xml:space="preserve">SBR program’s </w:t>
      </w:r>
      <w:r w:rsidRPr="00B75B77">
        <w:t xml:space="preserve">PY7 process evaluation. </w:t>
      </w:r>
      <w:r w:rsidR="004B63A9" w:rsidRPr="00B75B77">
        <w:t xml:space="preserve">The evaluation team conducted </w:t>
      </w:r>
      <w:r w:rsidRPr="00B75B77">
        <w:rPr>
          <w:rFonts w:eastAsia="Times New Roman"/>
          <w:color w:val="000000"/>
        </w:rPr>
        <w:t xml:space="preserve">in-depth interviews with PECO program staff and CSP implementation staff </w:t>
      </w:r>
      <w:r w:rsidR="004B63A9" w:rsidRPr="00B75B77">
        <w:rPr>
          <w:rFonts w:eastAsia="Times New Roman"/>
          <w:color w:val="000000"/>
        </w:rPr>
        <w:t>as well as</w:t>
      </w:r>
      <w:r w:rsidRPr="00B75B77">
        <w:rPr>
          <w:rFonts w:eastAsia="Times New Roman"/>
          <w:color w:val="000000"/>
        </w:rPr>
        <w:t xml:space="preserve"> participating builder telephone surveys</w:t>
      </w:r>
      <w:r w:rsidR="004B63A9" w:rsidRPr="00B75B77">
        <w:rPr>
          <w:rFonts w:eastAsia="Times New Roman"/>
          <w:color w:val="000000"/>
        </w:rPr>
        <w:t xml:space="preserve"> as the principal research activities </w:t>
      </w:r>
      <w:r w:rsidR="00462197" w:rsidRPr="00B75B77">
        <w:rPr>
          <w:rFonts w:eastAsia="Times New Roman"/>
          <w:color w:val="000000"/>
        </w:rPr>
        <w:t>for this</w:t>
      </w:r>
      <w:r w:rsidR="004B63A9" w:rsidRPr="00B75B77">
        <w:rPr>
          <w:rFonts w:eastAsia="Times New Roman"/>
          <w:color w:val="000000"/>
        </w:rPr>
        <w:t xml:space="preserve"> process evaluation</w:t>
      </w:r>
      <w:r w:rsidRPr="00B75B77">
        <w:rPr>
          <w:rFonts w:eastAsia="Times New Roman"/>
          <w:color w:val="000000"/>
        </w:rPr>
        <w:t>.</w:t>
      </w:r>
    </w:p>
    <w:p w:rsidR="00893676" w:rsidRPr="00B75B77" w:rsidRDefault="00893676" w:rsidP="00751A38">
      <w:pPr>
        <w:rPr>
          <w:rFonts w:eastAsia="Times New Roman"/>
          <w:color w:val="000000"/>
        </w:rPr>
      </w:pPr>
    </w:p>
    <w:p w:rsidR="00893676" w:rsidRPr="00B75B77" w:rsidRDefault="00893676" w:rsidP="00751A38">
      <w:pPr>
        <w:pStyle w:val="Heading3"/>
      </w:pPr>
      <w:bookmarkStart w:id="535" w:name="_Toc466413353"/>
      <w:r w:rsidRPr="00B75B77">
        <w:t>Process Evaluation Methodology</w:t>
      </w:r>
      <w:bookmarkEnd w:id="535"/>
      <w:r w:rsidRPr="00B75B77">
        <w:t xml:space="preserve"> </w:t>
      </w:r>
    </w:p>
    <w:p w:rsidR="00893676" w:rsidRPr="00B75B77" w:rsidRDefault="00893676" w:rsidP="00751A38">
      <w:pPr>
        <w:keepNext/>
        <w:rPr>
          <w:rFonts w:eastAsia="Times New Roman"/>
          <w:color w:val="000000"/>
        </w:rPr>
      </w:pPr>
      <w:r w:rsidRPr="00B75B77">
        <w:rPr>
          <w:rFonts w:eastAsia="Times New Roman"/>
          <w:color w:val="000000"/>
        </w:rPr>
        <w:lastRenderedPageBreak/>
        <w:t xml:space="preserve">The evaluation team used </w:t>
      </w:r>
      <w:r w:rsidR="00462197" w:rsidRPr="00B75B77">
        <w:rPr>
          <w:rFonts w:eastAsia="Times New Roman"/>
          <w:color w:val="000000"/>
        </w:rPr>
        <w:t>in-depth interviews with key PECO and CSP staff instrumental to the delivery of the SBR program</w:t>
      </w:r>
      <w:r w:rsidRPr="00B75B77">
        <w:rPr>
          <w:rFonts w:eastAsia="Times New Roman"/>
          <w:color w:val="000000"/>
        </w:rPr>
        <w:t xml:space="preserve"> to collect data regarding program implementation in PY7 and to discuss research areas of particular interest to program staff. The interviews focused on implementation strategies, data tracking, program management, and areas for program improvement.</w:t>
      </w:r>
    </w:p>
    <w:p w:rsidR="00893676" w:rsidRPr="00B75B77" w:rsidRDefault="00893676" w:rsidP="00751A38">
      <w:pPr>
        <w:keepNext/>
        <w:rPr>
          <w:rFonts w:eastAsia="Times New Roman"/>
          <w:color w:val="000000"/>
        </w:rPr>
      </w:pPr>
    </w:p>
    <w:p w:rsidR="00893676" w:rsidRPr="00B75B77" w:rsidRDefault="00893676" w:rsidP="00751A38">
      <w:pPr>
        <w:keepNext/>
        <w:rPr>
          <w:szCs w:val="20"/>
        </w:rPr>
      </w:pPr>
      <w:r w:rsidRPr="00B75B77">
        <w:rPr>
          <w:rFonts w:eastAsia="Times New Roman"/>
          <w:color w:val="000000"/>
        </w:rPr>
        <w:t xml:space="preserve">The Navigant team also conducted telephone surveys with participating builders to better understand their perceptions of the program and to measure free ridership and spillover. </w:t>
      </w:r>
      <w:r w:rsidR="005A6F4D" w:rsidRPr="00B75B77">
        <w:fldChar w:fldCharType="begin"/>
      </w:r>
      <w:r w:rsidR="005A6F4D" w:rsidRPr="00B75B77">
        <w:rPr>
          <w:rFonts w:eastAsia="Times New Roman"/>
          <w:color w:val="000000"/>
        </w:rPr>
        <w:instrText xml:space="preserve"> REF _Ref432666276 \h </w:instrText>
      </w:r>
      <w:r w:rsidR="00B75B77">
        <w:instrText xml:space="preserve"> \* MERGEFORMAT </w:instrText>
      </w:r>
      <w:r w:rsidR="005A6F4D" w:rsidRPr="00B75B77">
        <w:fldChar w:fldCharType="separate"/>
      </w:r>
      <w:r w:rsidR="0004016D" w:rsidRPr="00B75B77">
        <w:t xml:space="preserve">Table </w:t>
      </w:r>
      <w:r w:rsidR="0004016D">
        <w:rPr>
          <w:noProof/>
        </w:rPr>
        <w:t>7</w:t>
      </w:r>
      <w:r w:rsidR="0004016D" w:rsidRPr="00B75B77">
        <w:rPr>
          <w:noProof/>
        </w:rPr>
        <w:noBreakHyphen/>
      </w:r>
      <w:r w:rsidR="0004016D">
        <w:rPr>
          <w:noProof/>
        </w:rPr>
        <w:t>7</w:t>
      </w:r>
      <w:r w:rsidR="005A6F4D" w:rsidRPr="00B75B77">
        <w:fldChar w:fldCharType="end"/>
      </w:r>
      <w:r w:rsidRPr="00B75B77">
        <w:rPr>
          <w:rFonts w:eastAsia="Times New Roman"/>
          <w:color w:val="000000"/>
        </w:rPr>
        <w:t xml:space="preserve"> </w:t>
      </w:r>
      <w:r w:rsidRPr="00B75B77">
        <w:rPr>
          <w:szCs w:val="20"/>
        </w:rPr>
        <w:t xml:space="preserve">provides a summary of the PY7 sampling strategy for each SBR process evaluation activity. </w:t>
      </w:r>
    </w:p>
    <w:p w:rsidR="00893676" w:rsidRPr="00B75B77" w:rsidRDefault="00893676" w:rsidP="00751A38">
      <w:pPr>
        <w:keepNext/>
        <w:rPr>
          <w:szCs w:val="20"/>
        </w:rPr>
      </w:pPr>
    </w:p>
    <w:p w:rsidR="00893676" w:rsidRPr="00B75B77" w:rsidRDefault="00893676" w:rsidP="00751A38">
      <w:pPr>
        <w:pStyle w:val="Caption"/>
      </w:pPr>
      <w:bookmarkStart w:id="536" w:name="_Ref432666276"/>
      <w:bookmarkStart w:id="537" w:name="_Toc434597594"/>
      <w:bookmarkStart w:id="538" w:name="_Toc466413561"/>
      <w:r w:rsidRPr="00B75B77">
        <w:t xml:space="preserve">Table </w:t>
      </w:r>
      <w:fldSimple w:instr=" STYLEREF 1 \s ">
        <w:r w:rsidR="0004016D">
          <w:rPr>
            <w:noProof/>
          </w:rPr>
          <w:t>7</w:t>
        </w:r>
      </w:fldSimple>
      <w:r w:rsidR="00F1144C" w:rsidRPr="00B75B77">
        <w:noBreakHyphen/>
      </w:r>
      <w:fldSimple w:instr=" SEQ Table \* ARABIC \s 1 ">
        <w:r w:rsidR="0004016D">
          <w:rPr>
            <w:noProof/>
          </w:rPr>
          <w:t>7</w:t>
        </w:r>
      </w:fldSimple>
      <w:bookmarkEnd w:id="536"/>
      <w:r w:rsidRPr="00B75B77">
        <w:t xml:space="preserve">: Smart Builder Rebates Sampling Strategy for </w:t>
      </w:r>
      <w:bookmarkEnd w:id="537"/>
      <w:r w:rsidRPr="00B75B77">
        <w:t>PY7</w:t>
      </w:r>
      <w:bookmarkEnd w:id="538"/>
    </w:p>
    <w:tbl>
      <w:tblPr>
        <w:tblStyle w:val="MediumShading1-Accent5"/>
        <w:tblW w:w="5000" w:type="pct"/>
        <w:tblInd w:w="108"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1267"/>
        <w:gridCol w:w="1098"/>
        <w:gridCol w:w="1107"/>
        <w:gridCol w:w="1199"/>
        <w:gridCol w:w="829"/>
        <w:gridCol w:w="1015"/>
        <w:gridCol w:w="1107"/>
        <w:gridCol w:w="1954"/>
      </w:tblGrid>
      <w:tr w:rsidR="00893676" w:rsidRPr="00B75B77" w:rsidTr="00462197">
        <w:trPr>
          <w:cnfStyle w:val="100000000000" w:firstRow="1" w:lastRow="0" w:firstColumn="0" w:lastColumn="0" w:oddVBand="0" w:evenVBand="0" w:oddHBand="0"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661" w:type="pct"/>
            <w:tcBorders>
              <w:top w:val="single" w:sz="4" w:space="0" w:color="auto"/>
              <w:left w:val="single" w:sz="4" w:space="0" w:color="auto"/>
              <w:bottom w:val="single" w:sz="4" w:space="0" w:color="auto"/>
              <w:right w:val="single" w:sz="4" w:space="0" w:color="auto"/>
            </w:tcBorders>
            <w:shd w:val="clear" w:color="auto" w:fill="448A99"/>
            <w:vAlign w:val="center"/>
          </w:tcPr>
          <w:p w:rsidR="00893676" w:rsidRPr="00B75B77" w:rsidRDefault="00893676" w:rsidP="00462197">
            <w:pPr>
              <w:jc w:val="left"/>
              <w:rPr>
                <w:bCs w:val="0"/>
                <w:sz w:val="18"/>
                <w:szCs w:val="18"/>
              </w:rPr>
            </w:pPr>
            <w:r w:rsidRPr="00B75B77">
              <w:rPr>
                <w:bCs w:val="0"/>
                <w:sz w:val="18"/>
                <w:szCs w:val="18"/>
              </w:rPr>
              <w:t xml:space="preserve">Target Group </w:t>
            </w:r>
          </w:p>
        </w:tc>
        <w:tc>
          <w:tcPr>
            <w:tcW w:w="573" w:type="pct"/>
            <w:tcBorders>
              <w:top w:val="single" w:sz="4" w:space="0" w:color="auto"/>
              <w:left w:val="single" w:sz="4" w:space="0" w:color="auto"/>
              <w:bottom w:val="single" w:sz="4" w:space="0" w:color="auto"/>
              <w:right w:val="single" w:sz="4" w:space="0" w:color="auto"/>
            </w:tcBorders>
            <w:shd w:val="clear" w:color="auto" w:fill="448A99"/>
            <w:vAlign w:val="center"/>
          </w:tcPr>
          <w:p w:rsidR="00893676" w:rsidRPr="00B75B77" w:rsidRDefault="00893676" w:rsidP="00751A38">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B75B77">
              <w:rPr>
                <w:bCs w:val="0"/>
                <w:sz w:val="18"/>
                <w:szCs w:val="18"/>
              </w:rPr>
              <w:t>Population Size</w:t>
            </w:r>
          </w:p>
        </w:tc>
        <w:tc>
          <w:tcPr>
            <w:tcW w:w="578" w:type="pct"/>
            <w:tcBorders>
              <w:top w:val="single" w:sz="4" w:space="0" w:color="auto"/>
              <w:left w:val="single" w:sz="4" w:space="0" w:color="auto"/>
              <w:bottom w:val="single" w:sz="4" w:space="0" w:color="auto"/>
              <w:right w:val="single" w:sz="4" w:space="0" w:color="auto"/>
            </w:tcBorders>
            <w:shd w:val="clear" w:color="auto" w:fill="448A99"/>
            <w:vAlign w:val="center"/>
          </w:tcPr>
          <w:p w:rsidR="00893676" w:rsidRPr="00B75B77" w:rsidRDefault="00893676" w:rsidP="00751A38">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B75B77">
              <w:rPr>
                <w:bCs w:val="0"/>
                <w:sz w:val="18"/>
                <w:szCs w:val="18"/>
              </w:rPr>
              <w:t>Assumed Proportion or CV in Sample Design</w:t>
            </w:r>
          </w:p>
        </w:tc>
        <w:tc>
          <w:tcPr>
            <w:tcW w:w="626" w:type="pct"/>
            <w:tcBorders>
              <w:top w:val="single" w:sz="4" w:space="0" w:color="auto"/>
              <w:left w:val="single" w:sz="4" w:space="0" w:color="auto"/>
              <w:bottom w:val="single" w:sz="4" w:space="0" w:color="auto"/>
              <w:right w:val="single" w:sz="4" w:space="0" w:color="auto"/>
            </w:tcBorders>
            <w:shd w:val="clear" w:color="auto" w:fill="448A99"/>
            <w:vAlign w:val="center"/>
          </w:tcPr>
          <w:p w:rsidR="00893676" w:rsidRPr="00B75B77" w:rsidRDefault="00893676" w:rsidP="00751A38">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B75B77">
              <w:rPr>
                <w:bCs w:val="0"/>
                <w:sz w:val="18"/>
                <w:szCs w:val="18"/>
              </w:rPr>
              <w:t xml:space="preserve">Assumed Levels of Confidence </w:t>
            </w:r>
            <w:r w:rsidR="00462197" w:rsidRPr="00B75B77">
              <w:rPr>
                <w:bCs w:val="0"/>
                <w:sz w:val="18"/>
                <w:szCs w:val="18"/>
              </w:rPr>
              <w:t>and</w:t>
            </w:r>
            <w:r w:rsidRPr="00B75B77">
              <w:rPr>
                <w:bCs w:val="0"/>
                <w:sz w:val="18"/>
                <w:szCs w:val="18"/>
              </w:rPr>
              <w:t xml:space="preserve"> Precision</w:t>
            </w:r>
          </w:p>
        </w:tc>
        <w:tc>
          <w:tcPr>
            <w:tcW w:w="433" w:type="pct"/>
            <w:tcBorders>
              <w:top w:val="single" w:sz="4" w:space="0" w:color="auto"/>
              <w:left w:val="single" w:sz="4" w:space="0" w:color="auto"/>
              <w:bottom w:val="single" w:sz="4" w:space="0" w:color="auto"/>
              <w:right w:val="single" w:sz="4" w:space="0" w:color="auto"/>
            </w:tcBorders>
            <w:shd w:val="clear" w:color="auto" w:fill="448A99"/>
            <w:vAlign w:val="center"/>
          </w:tcPr>
          <w:p w:rsidR="00893676" w:rsidRPr="00B75B77" w:rsidRDefault="00893676" w:rsidP="00751A38">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B75B77">
              <w:rPr>
                <w:bCs w:val="0"/>
                <w:sz w:val="18"/>
                <w:szCs w:val="18"/>
              </w:rPr>
              <w:t>Target Sample Size</w:t>
            </w:r>
          </w:p>
        </w:tc>
        <w:tc>
          <w:tcPr>
            <w:tcW w:w="530" w:type="pct"/>
            <w:tcBorders>
              <w:top w:val="single" w:sz="4" w:space="0" w:color="auto"/>
              <w:left w:val="single" w:sz="4" w:space="0" w:color="auto"/>
              <w:bottom w:val="single" w:sz="4" w:space="0" w:color="auto"/>
              <w:right w:val="single" w:sz="4" w:space="0" w:color="auto"/>
            </w:tcBorders>
            <w:shd w:val="clear" w:color="auto" w:fill="448A99"/>
            <w:vAlign w:val="center"/>
          </w:tcPr>
          <w:p w:rsidR="00893676" w:rsidRPr="00B75B77" w:rsidRDefault="00893676" w:rsidP="00751A38">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B75B77">
              <w:rPr>
                <w:bCs w:val="0"/>
                <w:sz w:val="18"/>
                <w:szCs w:val="18"/>
              </w:rPr>
              <w:t>Achieved Sample Size</w:t>
            </w:r>
          </w:p>
        </w:tc>
        <w:tc>
          <w:tcPr>
            <w:tcW w:w="578" w:type="pct"/>
            <w:tcBorders>
              <w:top w:val="single" w:sz="4" w:space="0" w:color="auto"/>
              <w:left w:val="single" w:sz="4" w:space="0" w:color="auto"/>
              <w:bottom w:val="single" w:sz="4" w:space="0" w:color="auto"/>
              <w:right w:val="single" w:sz="4" w:space="0" w:color="auto"/>
            </w:tcBorders>
            <w:shd w:val="clear" w:color="auto" w:fill="448A99"/>
            <w:vAlign w:val="center"/>
          </w:tcPr>
          <w:p w:rsidR="00893676" w:rsidRPr="00B75B77" w:rsidRDefault="00893676" w:rsidP="00751A38">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B75B77">
              <w:rPr>
                <w:bCs w:val="0"/>
                <w:sz w:val="18"/>
                <w:szCs w:val="18"/>
              </w:rPr>
              <w:t>Percent</w:t>
            </w:r>
            <w:r w:rsidR="00462197" w:rsidRPr="00B75B77">
              <w:rPr>
                <w:bCs w:val="0"/>
                <w:sz w:val="18"/>
                <w:szCs w:val="18"/>
              </w:rPr>
              <w:t>age</w:t>
            </w:r>
            <w:r w:rsidRPr="00B75B77">
              <w:rPr>
                <w:bCs w:val="0"/>
                <w:sz w:val="18"/>
                <w:szCs w:val="18"/>
              </w:rPr>
              <w:t xml:space="preserve"> of Population Frame Contacted to Achieve Sample</w:t>
            </w:r>
          </w:p>
        </w:tc>
        <w:tc>
          <w:tcPr>
            <w:tcW w:w="1020" w:type="pct"/>
            <w:tcBorders>
              <w:top w:val="single" w:sz="4" w:space="0" w:color="auto"/>
              <w:left w:val="single" w:sz="4" w:space="0" w:color="auto"/>
              <w:bottom w:val="single" w:sz="4" w:space="0" w:color="auto"/>
              <w:right w:val="single" w:sz="4" w:space="0" w:color="auto"/>
            </w:tcBorders>
            <w:shd w:val="clear" w:color="auto" w:fill="448A99"/>
            <w:vAlign w:val="center"/>
          </w:tcPr>
          <w:p w:rsidR="00893676" w:rsidRPr="00B75B77" w:rsidRDefault="00893676" w:rsidP="00751A38">
            <w:pPr>
              <w:jc w:val="left"/>
              <w:cnfStyle w:val="100000000000" w:firstRow="1" w:lastRow="0" w:firstColumn="0" w:lastColumn="0" w:oddVBand="0" w:evenVBand="0" w:oddHBand="0" w:evenHBand="0" w:firstRowFirstColumn="0" w:firstRowLastColumn="0" w:lastRowFirstColumn="0" w:lastRowLastColumn="0"/>
              <w:rPr>
                <w:bCs w:val="0"/>
                <w:sz w:val="18"/>
                <w:szCs w:val="18"/>
              </w:rPr>
            </w:pPr>
            <w:r w:rsidRPr="00B75B77">
              <w:rPr>
                <w:bCs w:val="0"/>
                <w:sz w:val="18"/>
                <w:szCs w:val="18"/>
              </w:rPr>
              <w:t xml:space="preserve">Used </w:t>
            </w:r>
            <w:r w:rsidR="002E0AE7" w:rsidRPr="00B75B77">
              <w:rPr>
                <w:bCs w:val="0"/>
                <w:sz w:val="18"/>
                <w:szCs w:val="18"/>
              </w:rPr>
              <w:t>f</w:t>
            </w:r>
            <w:r w:rsidRPr="00B75B77">
              <w:rPr>
                <w:bCs w:val="0"/>
                <w:sz w:val="18"/>
                <w:szCs w:val="18"/>
              </w:rPr>
              <w:t>or Evaluation Activities (Impact, Process, NTG)</w:t>
            </w:r>
          </w:p>
        </w:tc>
      </w:tr>
      <w:tr w:rsidR="00893676" w:rsidRPr="00B75B77" w:rsidTr="0046219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61" w:type="pct"/>
            <w:tcBorders>
              <w:top w:val="single" w:sz="4" w:space="0" w:color="auto"/>
              <w:right w:val="none" w:sz="0" w:space="0" w:color="auto"/>
            </w:tcBorders>
            <w:vAlign w:val="center"/>
          </w:tcPr>
          <w:p w:rsidR="00893676" w:rsidRPr="00B75B77" w:rsidRDefault="00893676" w:rsidP="00751A38">
            <w:pPr>
              <w:jc w:val="left"/>
              <w:rPr>
                <w:rFonts w:ascii="Calibri" w:hAnsi="Calibri"/>
                <w:b w:val="0"/>
                <w:color w:val="000000"/>
                <w:sz w:val="18"/>
                <w:szCs w:val="18"/>
              </w:rPr>
            </w:pPr>
            <w:r w:rsidRPr="00B75B77">
              <w:rPr>
                <w:rFonts w:ascii="Calibri" w:hAnsi="Calibri"/>
                <w:b w:val="0"/>
                <w:color w:val="000000"/>
                <w:sz w:val="18"/>
                <w:szCs w:val="18"/>
              </w:rPr>
              <w:t>Program Staff</w:t>
            </w:r>
          </w:p>
        </w:tc>
        <w:tc>
          <w:tcPr>
            <w:tcW w:w="573" w:type="pct"/>
            <w:tcBorders>
              <w:top w:val="single" w:sz="4" w:space="0" w:color="auto"/>
              <w:left w:val="none" w:sz="0" w:space="0" w:color="auto"/>
              <w:right w:val="none" w:sz="0" w:space="0" w:color="auto"/>
            </w:tcBorders>
            <w:vAlign w:val="center"/>
          </w:tcPr>
          <w:p w:rsidR="00893676" w:rsidRPr="00B75B77" w:rsidRDefault="00893676" w:rsidP="00751A3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75B77">
              <w:rPr>
                <w:rFonts w:ascii="Calibri" w:hAnsi="Calibri"/>
                <w:color w:val="000000"/>
                <w:sz w:val="18"/>
                <w:szCs w:val="18"/>
              </w:rPr>
              <w:t>1</w:t>
            </w:r>
          </w:p>
        </w:tc>
        <w:tc>
          <w:tcPr>
            <w:tcW w:w="578" w:type="pct"/>
            <w:tcBorders>
              <w:top w:val="single" w:sz="4" w:space="0" w:color="auto"/>
              <w:left w:val="none" w:sz="0" w:space="0" w:color="auto"/>
              <w:right w:val="none" w:sz="0" w:space="0" w:color="auto"/>
            </w:tcBorders>
            <w:vAlign w:val="center"/>
          </w:tcPr>
          <w:p w:rsidR="00893676" w:rsidRPr="00B75B77" w:rsidRDefault="00893676" w:rsidP="00751A3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75B77">
              <w:rPr>
                <w:rFonts w:ascii="Calibri" w:hAnsi="Calibri"/>
                <w:color w:val="000000"/>
                <w:sz w:val="18"/>
                <w:szCs w:val="18"/>
              </w:rPr>
              <w:t>N/A</w:t>
            </w:r>
          </w:p>
        </w:tc>
        <w:tc>
          <w:tcPr>
            <w:tcW w:w="626" w:type="pct"/>
            <w:tcBorders>
              <w:top w:val="single" w:sz="4" w:space="0" w:color="auto"/>
              <w:left w:val="none" w:sz="0" w:space="0" w:color="auto"/>
              <w:right w:val="none" w:sz="0" w:space="0" w:color="auto"/>
            </w:tcBorders>
            <w:vAlign w:val="center"/>
          </w:tcPr>
          <w:p w:rsidR="00893676" w:rsidRPr="00B75B77" w:rsidRDefault="00893676" w:rsidP="00751A3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75B77">
              <w:rPr>
                <w:rFonts w:ascii="Calibri" w:hAnsi="Calibri"/>
                <w:color w:val="000000"/>
                <w:sz w:val="18"/>
                <w:szCs w:val="18"/>
              </w:rPr>
              <w:t>N/A</w:t>
            </w:r>
          </w:p>
        </w:tc>
        <w:tc>
          <w:tcPr>
            <w:tcW w:w="433" w:type="pct"/>
            <w:tcBorders>
              <w:top w:val="single" w:sz="4" w:space="0" w:color="auto"/>
              <w:left w:val="none" w:sz="0" w:space="0" w:color="auto"/>
              <w:right w:val="none" w:sz="0" w:space="0" w:color="auto"/>
            </w:tcBorders>
            <w:vAlign w:val="center"/>
          </w:tcPr>
          <w:p w:rsidR="00893676" w:rsidRPr="00B75B77" w:rsidRDefault="00893676" w:rsidP="00751A3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75B77">
              <w:rPr>
                <w:rFonts w:ascii="Calibri" w:hAnsi="Calibri"/>
                <w:color w:val="000000"/>
                <w:sz w:val="18"/>
                <w:szCs w:val="18"/>
              </w:rPr>
              <w:t>1</w:t>
            </w:r>
          </w:p>
        </w:tc>
        <w:tc>
          <w:tcPr>
            <w:tcW w:w="530" w:type="pct"/>
            <w:tcBorders>
              <w:top w:val="single" w:sz="4" w:space="0" w:color="auto"/>
              <w:left w:val="none" w:sz="0" w:space="0" w:color="auto"/>
              <w:right w:val="none" w:sz="0" w:space="0" w:color="auto"/>
            </w:tcBorders>
            <w:vAlign w:val="center"/>
          </w:tcPr>
          <w:p w:rsidR="00893676" w:rsidRPr="00B75B77" w:rsidRDefault="00893676" w:rsidP="00751A3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75B77">
              <w:rPr>
                <w:rFonts w:ascii="Calibri" w:hAnsi="Calibri"/>
                <w:color w:val="000000"/>
                <w:sz w:val="18"/>
                <w:szCs w:val="18"/>
              </w:rPr>
              <w:t>1</w:t>
            </w:r>
          </w:p>
        </w:tc>
        <w:tc>
          <w:tcPr>
            <w:tcW w:w="578" w:type="pct"/>
            <w:tcBorders>
              <w:top w:val="single" w:sz="4" w:space="0" w:color="auto"/>
              <w:left w:val="none" w:sz="0" w:space="0" w:color="auto"/>
              <w:right w:val="none" w:sz="0" w:space="0" w:color="auto"/>
            </w:tcBorders>
            <w:vAlign w:val="center"/>
          </w:tcPr>
          <w:p w:rsidR="00893676" w:rsidRPr="00B75B77" w:rsidRDefault="00893676" w:rsidP="00751A3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75B77">
              <w:rPr>
                <w:rFonts w:ascii="Calibri" w:hAnsi="Calibri"/>
                <w:color w:val="000000"/>
                <w:sz w:val="18"/>
                <w:szCs w:val="18"/>
              </w:rPr>
              <w:t>100%</w:t>
            </w:r>
          </w:p>
        </w:tc>
        <w:tc>
          <w:tcPr>
            <w:tcW w:w="1020" w:type="pct"/>
            <w:tcBorders>
              <w:top w:val="single" w:sz="4" w:space="0" w:color="auto"/>
              <w:left w:val="none" w:sz="0" w:space="0" w:color="auto"/>
            </w:tcBorders>
            <w:vAlign w:val="center"/>
          </w:tcPr>
          <w:p w:rsidR="00893676" w:rsidRPr="00B75B77" w:rsidRDefault="00893676" w:rsidP="00751A38">
            <w:pPr>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75B77">
              <w:rPr>
                <w:rFonts w:ascii="Calibri" w:hAnsi="Calibri"/>
                <w:color w:val="000000"/>
                <w:sz w:val="18"/>
                <w:szCs w:val="18"/>
              </w:rPr>
              <w:t>Process</w:t>
            </w:r>
          </w:p>
        </w:tc>
      </w:tr>
      <w:tr w:rsidR="00893676" w:rsidRPr="00B75B77" w:rsidTr="00462197">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61" w:type="pct"/>
            <w:tcBorders>
              <w:right w:val="none" w:sz="0" w:space="0" w:color="auto"/>
            </w:tcBorders>
            <w:vAlign w:val="center"/>
          </w:tcPr>
          <w:p w:rsidR="00893676" w:rsidRPr="00B75B77" w:rsidRDefault="00ED1E2C" w:rsidP="00751A38">
            <w:pPr>
              <w:jc w:val="left"/>
              <w:rPr>
                <w:rFonts w:ascii="Calibri" w:hAnsi="Calibri"/>
                <w:b w:val="0"/>
                <w:color w:val="000000"/>
                <w:sz w:val="18"/>
                <w:szCs w:val="18"/>
              </w:rPr>
            </w:pPr>
            <w:r w:rsidRPr="00B75B77">
              <w:rPr>
                <w:rFonts w:ascii="Calibri" w:hAnsi="Calibri"/>
                <w:b w:val="0"/>
                <w:color w:val="000000"/>
                <w:sz w:val="18"/>
                <w:szCs w:val="18"/>
              </w:rPr>
              <w:t>CSP</w:t>
            </w:r>
            <w:r w:rsidR="00893676" w:rsidRPr="00B75B77">
              <w:rPr>
                <w:rFonts w:ascii="Calibri" w:hAnsi="Calibri"/>
                <w:b w:val="0"/>
                <w:color w:val="000000"/>
                <w:sz w:val="18"/>
                <w:szCs w:val="18"/>
              </w:rPr>
              <w:t xml:space="preserve"> Staff</w:t>
            </w:r>
          </w:p>
        </w:tc>
        <w:tc>
          <w:tcPr>
            <w:tcW w:w="573" w:type="pct"/>
            <w:tcBorders>
              <w:left w:val="none" w:sz="0" w:space="0" w:color="auto"/>
              <w:right w:val="none" w:sz="0" w:space="0" w:color="auto"/>
            </w:tcBorders>
            <w:vAlign w:val="center"/>
          </w:tcPr>
          <w:p w:rsidR="00893676" w:rsidRPr="00B75B77" w:rsidRDefault="00893676" w:rsidP="00751A38">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8"/>
                <w:szCs w:val="18"/>
              </w:rPr>
            </w:pPr>
            <w:r w:rsidRPr="00B75B77">
              <w:rPr>
                <w:rFonts w:ascii="Calibri" w:hAnsi="Calibri"/>
                <w:color w:val="000000"/>
                <w:sz w:val="18"/>
                <w:szCs w:val="18"/>
              </w:rPr>
              <w:t>1</w:t>
            </w:r>
          </w:p>
        </w:tc>
        <w:tc>
          <w:tcPr>
            <w:tcW w:w="578" w:type="pct"/>
            <w:tcBorders>
              <w:left w:val="none" w:sz="0" w:space="0" w:color="auto"/>
              <w:right w:val="none" w:sz="0" w:space="0" w:color="auto"/>
            </w:tcBorders>
            <w:vAlign w:val="center"/>
          </w:tcPr>
          <w:p w:rsidR="00893676" w:rsidRPr="00B75B77" w:rsidRDefault="00893676" w:rsidP="00751A38">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8"/>
                <w:szCs w:val="18"/>
              </w:rPr>
            </w:pPr>
            <w:r w:rsidRPr="00B75B77">
              <w:rPr>
                <w:rFonts w:ascii="Calibri" w:hAnsi="Calibri"/>
                <w:color w:val="000000"/>
                <w:sz w:val="18"/>
                <w:szCs w:val="18"/>
              </w:rPr>
              <w:t>N/A</w:t>
            </w:r>
          </w:p>
        </w:tc>
        <w:tc>
          <w:tcPr>
            <w:tcW w:w="626" w:type="pct"/>
            <w:tcBorders>
              <w:left w:val="none" w:sz="0" w:space="0" w:color="auto"/>
              <w:right w:val="none" w:sz="0" w:space="0" w:color="auto"/>
            </w:tcBorders>
            <w:vAlign w:val="center"/>
          </w:tcPr>
          <w:p w:rsidR="00893676" w:rsidRPr="00B75B77" w:rsidRDefault="00893676" w:rsidP="00751A38">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8"/>
                <w:szCs w:val="18"/>
              </w:rPr>
            </w:pPr>
            <w:r w:rsidRPr="00B75B77">
              <w:rPr>
                <w:rFonts w:ascii="Calibri" w:hAnsi="Calibri"/>
                <w:color w:val="000000"/>
                <w:sz w:val="18"/>
                <w:szCs w:val="18"/>
              </w:rPr>
              <w:t>N/A</w:t>
            </w:r>
          </w:p>
        </w:tc>
        <w:tc>
          <w:tcPr>
            <w:tcW w:w="433" w:type="pct"/>
            <w:tcBorders>
              <w:left w:val="none" w:sz="0" w:space="0" w:color="auto"/>
              <w:right w:val="none" w:sz="0" w:space="0" w:color="auto"/>
            </w:tcBorders>
            <w:vAlign w:val="center"/>
          </w:tcPr>
          <w:p w:rsidR="00893676" w:rsidRPr="00B75B77" w:rsidRDefault="00893676" w:rsidP="00751A38">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8"/>
                <w:szCs w:val="18"/>
              </w:rPr>
            </w:pPr>
            <w:r w:rsidRPr="00B75B77">
              <w:rPr>
                <w:rFonts w:ascii="Calibri" w:hAnsi="Calibri"/>
                <w:color w:val="000000"/>
                <w:sz w:val="18"/>
                <w:szCs w:val="18"/>
              </w:rPr>
              <w:t>1</w:t>
            </w:r>
          </w:p>
        </w:tc>
        <w:tc>
          <w:tcPr>
            <w:tcW w:w="530" w:type="pct"/>
            <w:tcBorders>
              <w:left w:val="none" w:sz="0" w:space="0" w:color="auto"/>
              <w:right w:val="none" w:sz="0" w:space="0" w:color="auto"/>
            </w:tcBorders>
            <w:vAlign w:val="center"/>
          </w:tcPr>
          <w:p w:rsidR="00893676" w:rsidRPr="00B75B77" w:rsidRDefault="00893676" w:rsidP="00751A38">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8"/>
                <w:szCs w:val="18"/>
              </w:rPr>
            </w:pPr>
            <w:r w:rsidRPr="00B75B77">
              <w:rPr>
                <w:rFonts w:ascii="Calibri" w:hAnsi="Calibri"/>
                <w:color w:val="000000"/>
                <w:sz w:val="18"/>
                <w:szCs w:val="18"/>
              </w:rPr>
              <w:t>1</w:t>
            </w:r>
          </w:p>
        </w:tc>
        <w:tc>
          <w:tcPr>
            <w:tcW w:w="578" w:type="pct"/>
            <w:tcBorders>
              <w:left w:val="none" w:sz="0" w:space="0" w:color="auto"/>
              <w:right w:val="none" w:sz="0" w:space="0" w:color="auto"/>
            </w:tcBorders>
            <w:vAlign w:val="center"/>
          </w:tcPr>
          <w:p w:rsidR="00893676" w:rsidRPr="00B75B77" w:rsidRDefault="00893676" w:rsidP="00751A38">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8"/>
                <w:szCs w:val="18"/>
              </w:rPr>
            </w:pPr>
            <w:r w:rsidRPr="00B75B77">
              <w:rPr>
                <w:rFonts w:ascii="Calibri" w:hAnsi="Calibri"/>
                <w:color w:val="000000"/>
                <w:sz w:val="18"/>
                <w:szCs w:val="18"/>
              </w:rPr>
              <w:t>100%</w:t>
            </w:r>
          </w:p>
        </w:tc>
        <w:tc>
          <w:tcPr>
            <w:tcW w:w="1020" w:type="pct"/>
            <w:tcBorders>
              <w:left w:val="none" w:sz="0" w:space="0" w:color="auto"/>
            </w:tcBorders>
            <w:vAlign w:val="center"/>
          </w:tcPr>
          <w:p w:rsidR="00893676" w:rsidRPr="00B75B77" w:rsidRDefault="00893676" w:rsidP="00751A38">
            <w:pPr>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z w:val="18"/>
                <w:szCs w:val="18"/>
              </w:rPr>
            </w:pPr>
            <w:r w:rsidRPr="00B75B77">
              <w:rPr>
                <w:rFonts w:ascii="Calibri" w:hAnsi="Calibri"/>
                <w:color w:val="000000"/>
                <w:sz w:val="18"/>
                <w:szCs w:val="18"/>
              </w:rPr>
              <w:t>Process</w:t>
            </w:r>
          </w:p>
        </w:tc>
      </w:tr>
      <w:tr w:rsidR="00893676" w:rsidRPr="00B75B77" w:rsidTr="0046219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61" w:type="pct"/>
            <w:tcBorders>
              <w:right w:val="none" w:sz="0" w:space="0" w:color="auto"/>
            </w:tcBorders>
            <w:vAlign w:val="center"/>
          </w:tcPr>
          <w:p w:rsidR="00893676" w:rsidRPr="00B75B77" w:rsidRDefault="00462197" w:rsidP="00751A38">
            <w:pPr>
              <w:jc w:val="left"/>
              <w:rPr>
                <w:rFonts w:ascii="Calibri" w:hAnsi="Calibri"/>
                <w:b w:val="0"/>
                <w:color w:val="000000"/>
                <w:sz w:val="18"/>
                <w:szCs w:val="18"/>
              </w:rPr>
            </w:pPr>
            <w:r w:rsidRPr="00B75B77">
              <w:rPr>
                <w:rFonts w:ascii="Calibri" w:hAnsi="Calibri"/>
                <w:b w:val="0"/>
                <w:color w:val="000000"/>
                <w:sz w:val="18"/>
                <w:szCs w:val="18"/>
              </w:rPr>
              <w:t>Participating</w:t>
            </w:r>
            <w:r w:rsidR="00893676" w:rsidRPr="00B75B77">
              <w:rPr>
                <w:rFonts w:ascii="Calibri" w:hAnsi="Calibri"/>
                <w:b w:val="0"/>
                <w:color w:val="000000"/>
                <w:sz w:val="18"/>
                <w:szCs w:val="18"/>
              </w:rPr>
              <w:t xml:space="preserve"> Builder</w:t>
            </w:r>
            <w:r w:rsidR="00ED1E2C" w:rsidRPr="00B75B77">
              <w:rPr>
                <w:rFonts w:ascii="Calibri" w:hAnsi="Calibri"/>
                <w:b w:val="0"/>
                <w:color w:val="000000"/>
                <w:sz w:val="18"/>
                <w:szCs w:val="18"/>
              </w:rPr>
              <w:t>s</w:t>
            </w:r>
          </w:p>
        </w:tc>
        <w:tc>
          <w:tcPr>
            <w:tcW w:w="573" w:type="pct"/>
            <w:tcBorders>
              <w:left w:val="none" w:sz="0" w:space="0" w:color="auto"/>
              <w:right w:val="none" w:sz="0" w:space="0" w:color="auto"/>
            </w:tcBorders>
            <w:vAlign w:val="center"/>
          </w:tcPr>
          <w:p w:rsidR="00893676" w:rsidRPr="00B75B77" w:rsidRDefault="00893676" w:rsidP="00751A3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75B77">
              <w:rPr>
                <w:rFonts w:ascii="Calibri" w:hAnsi="Calibri"/>
                <w:color w:val="000000"/>
                <w:sz w:val="18"/>
                <w:szCs w:val="18"/>
              </w:rPr>
              <w:t>10</w:t>
            </w:r>
          </w:p>
        </w:tc>
        <w:tc>
          <w:tcPr>
            <w:tcW w:w="578" w:type="pct"/>
            <w:tcBorders>
              <w:left w:val="none" w:sz="0" w:space="0" w:color="auto"/>
              <w:right w:val="none" w:sz="0" w:space="0" w:color="auto"/>
            </w:tcBorders>
            <w:vAlign w:val="center"/>
          </w:tcPr>
          <w:p w:rsidR="00893676" w:rsidRPr="00B75B77" w:rsidRDefault="00893676" w:rsidP="00751A3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75B77">
              <w:rPr>
                <w:rFonts w:ascii="Calibri" w:hAnsi="Calibri"/>
                <w:color w:val="000000"/>
                <w:sz w:val="18"/>
                <w:szCs w:val="18"/>
              </w:rPr>
              <w:t>N/A</w:t>
            </w:r>
          </w:p>
        </w:tc>
        <w:tc>
          <w:tcPr>
            <w:tcW w:w="626" w:type="pct"/>
            <w:tcBorders>
              <w:left w:val="none" w:sz="0" w:space="0" w:color="auto"/>
              <w:right w:val="none" w:sz="0" w:space="0" w:color="auto"/>
            </w:tcBorders>
            <w:vAlign w:val="center"/>
          </w:tcPr>
          <w:p w:rsidR="00893676" w:rsidRPr="00B75B77" w:rsidRDefault="00893676" w:rsidP="00751A3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75B77">
              <w:rPr>
                <w:rFonts w:ascii="Calibri" w:hAnsi="Calibri"/>
                <w:color w:val="000000"/>
                <w:sz w:val="18"/>
                <w:szCs w:val="18"/>
              </w:rPr>
              <w:t>N/A</w:t>
            </w:r>
          </w:p>
        </w:tc>
        <w:tc>
          <w:tcPr>
            <w:tcW w:w="433" w:type="pct"/>
            <w:tcBorders>
              <w:left w:val="none" w:sz="0" w:space="0" w:color="auto"/>
              <w:right w:val="none" w:sz="0" w:space="0" w:color="auto"/>
            </w:tcBorders>
            <w:vAlign w:val="center"/>
          </w:tcPr>
          <w:p w:rsidR="00893676" w:rsidRPr="00B75B77" w:rsidRDefault="00893676" w:rsidP="00751A3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75B77">
              <w:rPr>
                <w:rFonts w:ascii="Calibri" w:hAnsi="Calibri"/>
                <w:color w:val="000000"/>
                <w:sz w:val="18"/>
                <w:szCs w:val="18"/>
              </w:rPr>
              <w:t>10</w:t>
            </w:r>
          </w:p>
        </w:tc>
        <w:tc>
          <w:tcPr>
            <w:tcW w:w="530" w:type="pct"/>
            <w:tcBorders>
              <w:left w:val="none" w:sz="0" w:space="0" w:color="auto"/>
              <w:right w:val="none" w:sz="0" w:space="0" w:color="auto"/>
            </w:tcBorders>
            <w:vAlign w:val="center"/>
          </w:tcPr>
          <w:p w:rsidR="00893676" w:rsidRPr="00B75B77" w:rsidRDefault="00893676" w:rsidP="00751A3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75B77">
              <w:rPr>
                <w:rFonts w:ascii="Calibri" w:hAnsi="Calibri"/>
                <w:color w:val="000000"/>
                <w:sz w:val="18"/>
                <w:szCs w:val="18"/>
              </w:rPr>
              <w:t>7</w:t>
            </w:r>
          </w:p>
        </w:tc>
        <w:tc>
          <w:tcPr>
            <w:tcW w:w="578" w:type="pct"/>
            <w:tcBorders>
              <w:left w:val="none" w:sz="0" w:space="0" w:color="auto"/>
              <w:right w:val="none" w:sz="0" w:space="0" w:color="auto"/>
            </w:tcBorders>
            <w:vAlign w:val="center"/>
          </w:tcPr>
          <w:p w:rsidR="00893676" w:rsidRPr="00B75B77" w:rsidRDefault="00893676" w:rsidP="00751A3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75B77">
              <w:rPr>
                <w:rFonts w:ascii="Calibri" w:hAnsi="Calibri"/>
                <w:color w:val="000000"/>
                <w:sz w:val="18"/>
                <w:szCs w:val="18"/>
              </w:rPr>
              <w:t>100%</w:t>
            </w:r>
          </w:p>
        </w:tc>
        <w:tc>
          <w:tcPr>
            <w:tcW w:w="1020" w:type="pct"/>
            <w:tcBorders>
              <w:left w:val="none" w:sz="0" w:space="0" w:color="auto"/>
            </w:tcBorders>
            <w:vAlign w:val="center"/>
          </w:tcPr>
          <w:p w:rsidR="00893676" w:rsidRPr="00B75B77" w:rsidRDefault="00893676" w:rsidP="00751A38">
            <w:pPr>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75B77">
              <w:rPr>
                <w:rFonts w:ascii="Calibri" w:hAnsi="Calibri"/>
                <w:color w:val="000000"/>
                <w:sz w:val="18"/>
                <w:szCs w:val="18"/>
              </w:rPr>
              <w:t>Process, NTG</w:t>
            </w:r>
          </w:p>
        </w:tc>
      </w:tr>
      <w:tr w:rsidR="00893676" w:rsidRPr="00B75B77" w:rsidTr="00462197">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61" w:type="pct"/>
            <w:tcBorders>
              <w:right w:val="none" w:sz="0" w:space="0" w:color="auto"/>
            </w:tcBorders>
            <w:vAlign w:val="center"/>
          </w:tcPr>
          <w:p w:rsidR="00893676" w:rsidRPr="00B75B77" w:rsidRDefault="00462197" w:rsidP="00751A38">
            <w:pPr>
              <w:jc w:val="left"/>
              <w:rPr>
                <w:bCs w:val="0"/>
                <w:sz w:val="18"/>
                <w:szCs w:val="18"/>
              </w:rPr>
            </w:pPr>
            <w:r w:rsidRPr="00B75B77">
              <w:rPr>
                <w:bCs w:val="0"/>
                <w:sz w:val="18"/>
                <w:szCs w:val="18"/>
              </w:rPr>
              <w:t>PROGRAM TOTAL</w:t>
            </w:r>
          </w:p>
        </w:tc>
        <w:tc>
          <w:tcPr>
            <w:tcW w:w="573" w:type="pct"/>
            <w:tcBorders>
              <w:left w:val="none" w:sz="0" w:space="0" w:color="auto"/>
              <w:right w:val="none" w:sz="0" w:space="0" w:color="auto"/>
            </w:tcBorders>
            <w:vAlign w:val="center"/>
          </w:tcPr>
          <w:p w:rsidR="00893676" w:rsidRPr="00B75B77" w:rsidRDefault="00893676" w:rsidP="00751A38">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B75B77">
              <w:rPr>
                <w:b/>
                <w:sz w:val="18"/>
                <w:szCs w:val="18"/>
              </w:rPr>
              <w:t>12</w:t>
            </w:r>
          </w:p>
        </w:tc>
        <w:tc>
          <w:tcPr>
            <w:tcW w:w="578" w:type="pct"/>
            <w:tcBorders>
              <w:left w:val="none" w:sz="0" w:space="0" w:color="auto"/>
              <w:right w:val="none" w:sz="0" w:space="0" w:color="auto"/>
            </w:tcBorders>
            <w:vAlign w:val="center"/>
          </w:tcPr>
          <w:p w:rsidR="00893676" w:rsidRPr="00B75B77" w:rsidRDefault="00893676" w:rsidP="00751A38">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B75B77">
              <w:rPr>
                <w:b/>
                <w:sz w:val="18"/>
                <w:szCs w:val="18"/>
              </w:rPr>
              <w:t>N/A</w:t>
            </w:r>
          </w:p>
        </w:tc>
        <w:tc>
          <w:tcPr>
            <w:tcW w:w="626" w:type="pct"/>
            <w:tcBorders>
              <w:left w:val="none" w:sz="0" w:space="0" w:color="auto"/>
              <w:right w:val="none" w:sz="0" w:space="0" w:color="auto"/>
            </w:tcBorders>
            <w:vAlign w:val="center"/>
          </w:tcPr>
          <w:p w:rsidR="00893676" w:rsidRPr="00B75B77" w:rsidRDefault="00893676" w:rsidP="00751A38">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B75B77">
              <w:rPr>
                <w:b/>
                <w:sz w:val="18"/>
                <w:szCs w:val="18"/>
              </w:rPr>
              <w:t>N/A</w:t>
            </w:r>
          </w:p>
        </w:tc>
        <w:tc>
          <w:tcPr>
            <w:tcW w:w="433" w:type="pct"/>
            <w:tcBorders>
              <w:left w:val="none" w:sz="0" w:space="0" w:color="auto"/>
              <w:right w:val="none" w:sz="0" w:space="0" w:color="auto"/>
            </w:tcBorders>
            <w:vAlign w:val="center"/>
          </w:tcPr>
          <w:p w:rsidR="00893676" w:rsidRPr="00B75B77" w:rsidRDefault="00893676" w:rsidP="00751A38">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B75B77">
              <w:rPr>
                <w:b/>
                <w:sz w:val="18"/>
                <w:szCs w:val="18"/>
              </w:rPr>
              <w:t>12</w:t>
            </w:r>
          </w:p>
        </w:tc>
        <w:tc>
          <w:tcPr>
            <w:tcW w:w="530" w:type="pct"/>
            <w:tcBorders>
              <w:left w:val="none" w:sz="0" w:space="0" w:color="auto"/>
              <w:right w:val="none" w:sz="0" w:space="0" w:color="auto"/>
            </w:tcBorders>
            <w:vAlign w:val="center"/>
          </w:tcPr>
          <w:p w:rsidR="00893676" w:rsidRPr="00B75B77" w:rsidRDefault="00893676" w:rsidP="00751A38">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B75B77">
              <w:rPr>
                <w:b/>
                <w:sz w:val="18"/>
                <w:szCs w:val="18"/>
              </w:rPr>
              <w:t>9</w:t>
            </w:r>
          </w:p>
        </w:tc>
        <w:tc>
          <w:tcPr>
            <w:tcW w:w="578" w:type="pct"/>
            <w:tcBorders>
              <w:left w:val="none" w:sz="0" w:space="0" w:color="auto"/>
              <w:right w:val="none" w:sz="0" w:space="0" w:color="auto"/>
            </w:tcBorders>
            <w:vAlign w:val="center"/>
          </w:tcPr>
          <w:p w:rsidR="00893676" w:rsidRPr="00B75B77" w:rsidRDefault="00893676" w:rsidP="00751A38">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B75B77">
              <w:rPr>
                <w:b/>
                <w:sz w:val="18"/>
                <w:szCs w:val="18"/>
              </w:rPr>
              <w:t>100%</w:t>
            </w:r>
          </w:p>
        </w:tc>
        <w:tc>
          <w:tcPr>
            <w:tcW w:w="1020" w:type="pct"/>
            <w:tcBorders>
              <w:left w:val="none" w:sz="0" w:space="0" w:color="auto"/>
            </w:tcBorders>
            <w:vAlign w:val="center"/>
          </w:tcPr>
          <w:p w:rsidR="00893676" w:rsidRPr="00B75B77" w:rsidRDefault="004E4713" w:rsidP="00751A38">
            <w:pPr>
              <w:jc w:val="left"/>
              <w:cnfStyle w:val="000000010000" w:firstRow="0" w:lastRow="0" w:firstColumn="0" w:lastColumn="0" w:oddVBand="0" w:evenVBand="0" w:oddHBand="0" w:evenHBand="1" w:firstRowFirstColumn="0" w:firstRowLastColumn="0" w:lastRowFirstColumn="0" w:lastRowLastColumn="0"/>
              <w:rPr>
                <w:b/>
                <w:sz w:val="18"/>
                <w:szCs w:val="18"/>
              </w:rPr>
            </w:pPr>
            <w:r w:rsidRPr="00B75B77">
              <w:rPr>
                <w:b/>
                <w:sz w:val="18"/>
                <w:szCs w:val="18"/>
              </w:rPr>
              <w:t>N/A</w:t>
            </w:r>
          </w:p>
        </w:tc>
      </w:tr>
    </w:tbl>
    <w:p w:rsidR="00462197" w:rsidRPr="00B75B77" w:rsidRDefault="00462197" w:rsidP="00462197">
      <w:pPr>
        <w:pStyle w:val="Source"/>
        <w:spacing w:before="20" w:after="40"/>
        <w:ind w:left="187" w:firstLine="0"/>
      </w:pPr>
      <w:r w:rsidRPr="00B75B77">
        <w:rPr>
          <w:rFonts w:ascii="Calibri" w:hAnsi="Calibri"/>
          <w:i w:val="0"/>
          <w:iCs/>
          <w:color w:val="000000"/>
          <w:szCs w:val="18"/>
        </w:rPr>
        <w:t>Note: Values in tables may not reconcile exactly with the sum of more detailed level results or previously reported results due to rounding.</w:t>
      </w:r>
    </w:p>
    <w:p w:rsidR="00893676" w:rsidRPr="00B75B77" w:rsidRDefault="00893676" w:rsidP="00751A38">
      <w:pPr>
        <w:pStyle w:val="Source"/>
      </w:pPr>
      <w:r w:rsidRPr="00B75B77">
        <w:t xml:space="preserve">Source: Navigant </w:t>
      </w:r>
      <w:r w:rsidR="00462197" w:rsidRPr="00B75B77">
        <w:t>analysis</w:t>
      </w:r>
    </w:p>
    <w:p w:rsidR="00893676" w:rsidRPr="00B75B77" w:rsidRDefault="00893676" w:rsidP="00751A38">
      <w:pPr>
        <w:pStyle w:val="Heading3"/>
        <w:keepNext/>
        <w:ind w:left="720" w:hanging="720"/>
      </w:pPr>
      <w:bookmarkStart w:id="539" w:name="_Toc434597805"/>
      <w:bookmarkStart w:id="540" w:name="_Toc466413354"/>
      <w:r w:rsidRPr="00B75B77">
        <w:t xml:space="preserve">Process </w:t>
      </w:r>
      <w:bookmarkEnd w:id="539"/>
      <w:r w:rsidR="003002F4" w:rsidRPr="00B75B77">
        <w:t>Findings and Recommendations</w:t>
      </w:r>
      <w:bookmarkEnd w:id="540"/>
      <w:r w:rsidR="003002F4" w:rsidRPr="00B75B77">
        <w:t xml:space="preserve"> </w:t>
      </w:r>
    </w:p>
    <w:p w:rsidR="00893676" w:rsidRPr="00B75B77" w:rsidRDefault="00893676" w:rsidP="003002F4">
      <w:r w:rsidRPr="00B75B77">
        <w:t>The following section presents detailed findings from the PY7 process evaluation. There were no significant changes to SBR program processes in PY7. Marketing activities primarily focused on direct outreach to recruit new builders through in-person meetings and builder events. The program did not offer formal training in PY7, relying instead on participating raters to mentor participating builders directly. Navigant found that builders were very satisfied with most elements of the program, though opportunities exist to improve build</w:t>
      </w:r>
      <w:r w:rsidR="003002F4" w:rsidRPr="00B75B77">
        <w:t>er satisfaction and engagement.</w:t>
      </w:r>
    </w:p>
    <w:p w:rsidR="003002F4" w:rsidRPr="00B75B77" w:rsidRDefault="003002F4" w:rsidP="003002F4"/>
    <w:p w:rsidR="00893676" w:rsidRPr="00B75B77" w:rsidRDefault="003002F4" w:rsidP="009E08FB">
      <w:pPr>
        <w:pStyle w:val="ListParagraph"/>
        <w:numPr>
          <w:ilvl w:val="0"/>
          <w:numId w:val="46"/>
        </w:numPr>
      </w:pPr>
      <w:r w:rsidRPr="00B75B77">
        <w:rPr>
          <w:b/>
        </w:rPr>
        <w:t xml:space="preserve">Finding: </w:t>
      </w:r>
      <w:r w:rsidR="00893676" w:rsidRPr="00B75B77">
        <w:t>Participating builders were generally very satisfied with the SBR program overall, with 80</w:t>
      </w:r>
      <w:r w:rsidR="0009500C" w:rsidRPr="00B75B77">
        <w:t>%</w:t>
      </w:r>
      <w:r w:rsidR="00893676" w:rsidRPr="00B75B77">
        <w:t xml:space="preserve"> of respondents rating it 8 or above on a scale </w:t>
      </w:r>
      <w:r w:rsidR="00462197" w:rsidRPr="00B75B77">
        <w:t>from</w:t>
      </w:r>
      <w:r w:rsidR="00893676" w:rsidRPr="00B75B77">
        <w:t xml:space="preserve"> 1</w:t>
      </w:r>
      <w:r w:rsidR="00462197" w:rsidRPr="00B75B77">
        <w:t xml:space="preserve"> to </w:t>
      </w:r>
      <w:r w:rsidR="00893676" w:rsidRPr="00B75B77">
        <w:t xml:space="preserve">10, as shown in </w:t>
      </w:r>
      <w:r w:rsidR="005A6F4D" w:rsidRPr="00B75B77">
        <w:fldChar w:fldCharType="begin"/>
      </w:r>
      <w:r w:rsidR="005A6F4D" w:rsidRPr="00B75B77">
        <w:instrText xml:space="preserve"> REF _Ref463275172 \h </w:instrText>
      </w:r>
      <w:r w:rsidRPr="00B75B77">
        <w:instrText xml:space="preserve"> \* MERGEFORMAT </w:instrText>
      </w:r>
      <w:r w:rsidR="005A6F4D" w:rsidRPr="00B75B77">
        <w:fldChar w:fldCharType="separate"/>
      </w:r>
      <w:r w:rsidR="0004016D" w:rsidRPr="00B75B77">
        <w:t xml:space="preserve">Figure </w:t>
      </w:r>
      <w:r w:rsidR="0004016D">
        <w:t>7</w:t>
      </w:r>
      <w:r w:rsidR="0004016D" w:rsidRPr="00B75B77">
        <w:noBreakHyphen/>
      </w:r>
      <w:r w:rsidR="0004016D">
        <w:t>1</w:t>
      </w:r>
      <w:r w:rsidR="005A6F4D" w:rsidRPr="00B75B77">
        <w:fldChar w:fldCharType="end"/>
      </w:r>
      <w:r w:rsidR="00893676" w:rsidRPr="00B75B77">
        <w:t xml:space="preserve">. Builders reported highest satisfaction </w:t>
      </w:r>
      <w:r w:rsidR="00462197" w:rsidRPr="00B75B77">
        <w:t xml:space="preserve">with </w:t>
      </w:r>
      <w:r w:rsidR="00893676" w:rsidRPr="00B75B77">
        <w:t xml:space="preserve">their experience working with their rater and with CSP program staff. Participants reported lower satisfaction with marketing and training assistance, </w:t>
      </w:r>
      <w:r w:rsidR="00462197" w:rsidRPr="00B75B77">
        <w:t xml:space="preserve">as well as </w:t>
      </w:r>
      <w:r w:rsidR="00893676" w:rsidRPr="00B75B77">
        <w:t>the time it takes to receive a rebate.</w:t>
      </w:r>
      <w:r w:rsidRPr="00B75B77">
        <w:t xml:space="preserve"> The surveys found that prompt payment of incentives is a high priority for builders, who reported lower satisfaction with the amount of time it took to receive incentives in PY7.</w:t>
      </w:r>
    </w:p>
    <w:p w:rsidR="00893676" w:rsidRPr="00B75B77" w:rsidRDefault="00893676" w:rsidP="00751A38">
      <w:pPr>
        <w:pStyle w:val="Caption"/>
      </w:pPr>
      <w:bookmarkStart w:id="541" w:name="_Ref463275172"/>
      <w:bookmarkStart w:id="542" w:name="_Ref432520993"/>
      <w:bookmarkStart w:id="543" w:name="_Toc466413676"/>
      <w:r w:rsidRPr="00B75B77">
        <w:lastRenderedPageBreak/>
        <w:t xml:space="preserve">Figure </w:t>
      </w:r>
      <w:fldSimple w:instr=" STYLEREF 1 \s ">
        <w:r w:rsidR="0004016D">
          <w:rPr>
            <w:noProof/>
          </w:rPr>
          <w:t>7</w:t>
        </w:r>
      </w:fldSimple>
      <w:r w:rsidR="00BA3BA9" w:rsidRPr="00B75B77">
        <w:noBreakHyphen/>
      </w:r>
      <w:fldSimple w:instr=" SEQ Figure \* ARABIC \s 1 ">
        <w:r w:rsidR="0004016D">
          <w:rPr>
            <w:noProof/>
          </w:rPr>
          <w:t>1</w:t>
        </w:r>
      </w:fldSimple>
      <w:bookmarkEnd w:id="541"/>
      <w:bookmarkEnd w:id="542"/>
      <w:r w:rsidRPr="00B75B77">
        <w:t xml:space="preserve">: Smart Builder Rebates Builder Satisfaction Ratings (1-10 </w:t>
      </w:r>
      <w:r w:rsidR="00462197" w:rsidRPr="00B75B77">
        <w:t>S</w:t>
      </w:r>
      <w:r w:rsidRPr="00B75B77">
        <w:t>cale</w:t>
      </w:r>
      <w:r w:rsidR="00D34129" w:rsidRPr="00B75B77">
        <w:t>, n=7</w:t>
      </w:r>
      <w:r w:rsidRPr="00B75B77">
        <w:t>)</w:t>
      </w:r>
      <w:bookmarkEnd w:id="543"/>
    </w:p>
    <w:p w:rsidR="00893676" w:rsidRPr="00B75B77" w:rsidRDefault="00893676" w:rsidP="00751A38">
      <w:r w:rsidRPr="00B75B77">
        <w:rPr>
          <w:b/>
          <w:noProof/>
        </w:rPr>
        <w:drawing>
          <wp:inline distT="0" distB="0" distL="0" distR="0" wp14:anchorId="4CF59B53" wp14:editId="0554A32F">
            <wp:extent cx="5943600" cy="2661285"/>
            <wp:effectExtent l="0" t="0" r="0" b="571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893676" w:rsidRPr="00B75B77" w:rsidRDefault="00893676" w:rsidP="00ED239A">
      <w:pPr>
        <w:pStyle w:val="Source"/>
        <w:ind w:left="0" w:firstLine="720"/>
      </w:pPr>
      <w:r w:rsidRPr="00B75B77">
        <w:t xml:space="preserve">Source: Navigant analysis of builder surveys </w:t>
      </w:r>
    </w:p>
    <w:p w:rsidR="00893676" w:rsidRPr="00B75B77" w:rsidRDefault="003002F4" w:rsidP="009E08FB">
      <w:pPr>
        <w:pStyle w:val="ListParagraph"/>
        <w:numPr>
          <w:ilvl w:val="0"/>
          <w:numId w:val="46"/>
        </w:numPr>
        <w:spacing w:after="120"/>
        <w:contextualSpacing w:val="0"/>
        <w:jc w:val="left"/>
      </w:pPr>
      <w:r w:rsidRPr="00B75B77">
        <w:rPr>
          <w:b/>
        </w:rPr>
        <w:t xml:space="preserve">Finding: </w:t>
      </w:r>
      <w:r w:rsidR="00893676" w:rsidRPr="00B75B77">
        <w:t xml:space="preserve">Navigant analyzed rebate processing times recorded in the SBR program tracking system for perspective on builder satisfaction ratings. </w:t>
      </w:r>
      <w:r w:rsidR="005A6F4D" w:rsidRPr="00B75B77">
        <w:fldChar w:fldCharType="begin"/>
      </w:r>
      <w:r w:rsidR="005A6F4D" w:rsidRPr="00B75B77">
        <w:instrText xml:space="preserve"> REF _Ref463275185 \h </w:instrText>
      </w:r>
      <w:r w:rsidR="00B75B77">
        <w:instrText xml:space="preserve"> \* MERGEFORMAT </w:instrText>
      </w:r>
      <w:r w:rsidR="005A6F4D" w:rsidRPr="00B75B77">
        <w:fldChar w:fldCharType="separate"/>
      </w:r>
      <w:r w:rsidR="0004016D" w:rsidRPr="00B75B77">
        <w:t xml:space="preserve">Figure </w:t>
      </w:r>
      <w:r w:rsidR="0004016D">
        <w:rPr>
          <w:noProof/>
        </w:rPr>
        <w:t>7</w:t>
      </w:r>
      <w:r w:rsidR="0004016D" w:rsidRPr="00B75B77">
        <w:rPr>
          <w:noProof/>
        </w:rPr>
        <w:noBreakHyphen/>
      </w:r>
      <w:r w:rsidR="0004016D">
        <w:rPr>
          <w:noProof/>
        </w:rPr>
        <w:t>2</w:t>
      </w:r>
      <w:r w:rsidR="005A6F4D" w:rsidRPr="00B75B77">
        <w:fldChar w:fldCharType="end"/>
      </w:r>
      <w:r w:rsidR="00893676" w:rsidRPr="00B75B77">
        <w:t xml:space="preserve"> shows each step of the rebate application process along with the responsible party and the duration to complete. It took an average of 131 days over the program year for builders to receive incentive payment after the project was completed. The new Phase III CSP has a different process, with a goal of 60 days for application approval and incentive payment to the builder. </w:t>
      </w:r>
    </w:p>
    <w:p w:rsidR="003002F4" w:rsidRPr="00B75B77" w:rsidRDefault="003002F4" w:rsidP="009E08FB">
      <w:pPr>
        <w:pStyle w:val="ListParagraph"/>
        <w:numPr>
          <w:ilvl w:val="1"/>
          <w:numId w:val="46"/>
        </w:numPr>
        <w:spacing w:after="120"/>
        <w:contextualSpacing w:val="0"/>
        <w:jc w:val="left"/>
      </w:pPr>
      <w:r w:rsidRPr="00B75B77">
        <w:rPr>
          <w:b/>
        </w:rPr>
        <w:t>Recommendation:</w:t>
      </w:r>
      <w:r w:rsidRPr="00B75B77">
        <w:t xml:space="preserve"> PECO should monitor incentive processing time on a monthly basis to ensure the CSP is meeting the Phase III goal of 60 days.</w:t>
      </w:r>
    </w:p>
    <w:p w:rsidR="00893676" w:rsidRPr="00B75B77" w:rsidRDefault="00893676" w:rsidP="00751A38"/>
    <w:p w:rsidR="00893676" w:rsidRPr="00B75B77" w:rsidRDefault="00893676" w:rsidP="00F568F8">
      <w:pPr>
        <w:pStyle w:val="Caption"/>
      </w:pPr>
      <w:bookmarkStart w:id="544" w:name="_Ref463275185"/>
      <w:bookmarkStart w:id="545" w:name="_Ref462040269"/>
      <w:bookmarkStart w:id="546" w:name="_Toc466413677"/>
      <w:r w:rsidRPr="00B75B77">
        <w:t xml:space="preserve">Figure </w:t>
      </w:r>
      <w:fldSimple w:instr=" STYLEREF 1 \s ">
        <w:r w:rsidR="0004016D">
          <w:rPr>
            <w:noProof/>
          </w:rPr>
          <w:t>7</w:t>
        </w:r>
      </w:fldSimple>
      <w:r w:rsidR="00BA3BA9" w:rsidRPr="00B75B77">
        <w:noBreakHyphen/>
      </w:r>
      <w:fldSimple w:instr=" SEQ Figure \* ARABIC \s 1 ">
        <w:r w:rsidR="0004016D">
          <w:rPr>
            <w:noProof/>
          </w:rPr>
          <w:t>2</w:t>
        </w:r>
      </w:fldSimple>
      <w:bookmarkEnd w:id="544"/>
      <w:bookmarkEnd w:id="545"/>
      <w:r w:rsidRPr="00B75B77">
        <w:t xml:space="preserve">: Smart Builder Rebates </w:t>
      </w:r>
      <w:r w:rsidR="00F568F8" w:rsidRPr="00B75B77">
        <w:t>Average</w:t>
      </w:r>
      <w:r w:rsidRPr="00B75B77">
        <w:t xml:space="preserve"> Incentive Processing Duration</w:t>
      </w:r>
      <w:bookmarkEnd w:id="546"/>
    </w:p>
    <w:p w:rsidR="00893676" w:rsidRPr="00B75B77" w:rsidRDefault="00893676" w:rsidP="00751A38">
      <w:pPr>
        <w:keepNext/>
        <w:rPr>
          <w:sz w:val="20"/>
          <w:szCs w:val="20"/>
        </w:rPr>
      </w:pPr>
      <w:r w:rsidRPr="00B75B77">
        <w:rPr>
          <w:noProof/>
          <w:szCs w:val="20"/>
        </w:rPr>
        <mc:AlternateContent>
          <mc:Choice Requires="wpg">
            <w:drawing>
              <wp:inline distT="0" distB="0" distL="0" distR="0" wp14:anchorId="1B05085C" wp14:editId="2B1E736F">
                <wp:extent cx="6621495" cy="2645228"/>
                <wp:effectExtent l="0" t="0" r="27305" b="22225"/>
                <wp:docPr id="3" name="Group 3"/>
                <wp:cNvGraphicFramePr/>
                <a:graphic xmlns:a="http://schemas.openxmlformats.org/drawingml/2006/main">
                  <a:graphicData uri="http://schemas.microsoft.com/office/word/2010/wordprocessingGroup">
                    <wpg:wgp>
                      <wpg:cNvGrpSpPr/>
                      <wpg:grpSpPr>
                        <a:xfrm>
                          <a:off x="0" y="0"/>
                          <a:ext cx="6621495" cy="2645228"/>
                          <a:chOff x="0" y="0"/>
                          <a:chExt cx="8989343" cy="4254324"/>
                        </a:xfrm>
                      </wpg:grpSpPr>
                      <wpg:grpSp>
                        <wpg:cNvPr id="9" name="Group 9"/>
                        <wpg:cNvGrpSpPr/>
                        <wpg:grpSpPr>
                          <a:xfrm>
                            <a:off x="0" y="0"/>
                            <a:ext cx="1317486" cy="4249586"/>
                            <a:chOff x="0" y="0"/>
                            <a:chExt cx="1317486" cy="4249586"/>
                          </a:xfrm>
                        </wpg:grpSpPr>
                        <wps:wsp>
                          <wps:cNvPr id="10" name="Rectangle 38"/>
                          <wps:cNvSpPr/>
                          <wps:spPr>
                            <a:xfrm>
                              <a:off x="0" y="0"/>
                              <a:ext cx="1304374" cy="971322"/>
                            </a:xfrm>
                            <a:prstGeom prst="rect">
                              <a:avLst/>
                            </a:prstGeom>
                            <a:solidFill>
                              <a:srgbClr val="ED9E3E"/>
                            </a:solidFill>
                          </wps:spPr>
                          <wps:style>
                            <a:lnRef idx="2">
                              <a:schemeClr val="lt1">
                                <a:hueOff val="0"/>
                                <a:satOff val="0"/>
                                <a:lumOff val="0"/>
                                <a:alphaOff val="0"/>
                              </a:schemeClr>
                            </a:lnRef>
                            <a:fillRef idx="1">
                              <a:schemeClr val="accent2">
                                <a:shade val="80000"/>
                                <a:hueOff val="0"/>
                                <a:satOff val="0"/>
                                <a:lumOff val="0"/>
                                <a:alphaOff val="0"/>
                              </a:schemeClr>
                            </a:fillRef>
                            <a:effectRef idx="0">
                              <a:schemeClr val="accent2">
                                <a:shade val="80000"/>
                                <a:hueOff val="0"/>
                                <a:satOff val="0"/>
                                <a:lumOff val="0"/>
                                <a:alphaOff val="0"/>
                              </a:schemeClr>
                            </a:effectRef>
                            <a:fontRef idx="minor">
                              <a:schemeClr val="lt1"/>
                            </a:fontRef>
                          </wps:style>
                          <wps:txbx>
                            <w:txbxContent>
                              <w:p w:rsidR="00E639E7" w:rsidRPr="00CF188C" w:rsidRDefault="00E639E7" w:rsidP="003B7B81">
                                <w:pPr>
                                  <w:pStyle w:val="NormalWeb"/>
                                  <w:spacing w:before="0" w:beforeAutospacing="0" w:after="0" w:afterAutospacing="0"/>
                                  <w:jc w:val="center"/>
                                  <w:rPr>
                                    <w:rFonts w:ascii="Century Gothic" w:hAnsi="Century Gothic"/>
                                    <w:b/>
                                    <w:sz w:val="18"/>
                                    <w:szCs w:val="18"/>
                                  </w:rPr>
                                </w:pPr>
                                <w:r w:rsidRPr="00CF188C">
                                  <w:rPr>
                                    <w:rFonts w:ascii="Century Gothic" w:hAnsi="Century Gothic" w:cstheme="minorBidi"/>
                                    <w:b/>
                                    <w:bCs/>
                                    <w:color w:val="FFFFFF" w:themeColor="background1"/>
                                    <w:kern w:val="24"/>
                                    <w:sz w:val="18"/>
                                    <w:szCs w:val="18"/>
                                  </w:rPr>
                                  <w:t>ACTIVITY</w:t>
                                </w:r>
                              </w:p>
                            </w:txbxContent>
                          </wps:txbx>
                          <wps:bodyPr spcFirstLastPara="0" vert="horz" wrap="square" lIns="0" tIns="0" rIns="0" bIns="0" numCol="1" spcCol="1270" anchor="ctr" anchorCtr="0">
                            <a:noAutofit/>
                          </wps:bodyPr>
                        </wps:wsp>
                        <wps:wsp>
                          <wps:cNvPr id="11" name="Rectangle 54"/>
                          <wps:cNvSpPr/>
                          <wps:spPr>
                            <a:xfrm>
                              <a:off x="0" y="1794165"/>
                              <a:ext cx="1317485" cy="468872"/>
                            </a:xfrm>
                            <a:prstGeom prst="rect">
                              <a:avLst/>
                            </a:prstGeom>
                            <a:solidFill>
                              <a:srgbClr val="F5CA95"/>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rsidR="00E639E7" w:rsidRPr="005A6F4D" w:rsidRDefault="00E639E7" w:rsidP="00F568F8">
                                <w:pPr>
                                  <w:pStyle w:val="NormalWeb"/>
                                  <w:spacing w:before="0" w:beforeAutospacing="0" w:after="0" w:afterAutospacing="0"/>
                                  <w:jc w:val="center"/>
                                  <w:rPr>
                                    <w:sz w:val="18"/>
                                    <w:szCs w:val="18"/>
                                  </w:rPr>
                                </w:pPr>
                                <w:r w:rsidRPr="005A6F4D">
                                  <w:rPr>
                                    <w:rFonts w:asciiTheme="minorHAnsi" w:hAnsi="Calibri" w:cstheme="minorBidi"/>
                                    <w:bCs/>
                                    <w:color w:val="000000"/>
                                    <w:kern w:val="24"/>
                                    <w:sz w:val="18"/>
                                    <w:szCs w:val="18"/>
                                  </w:rPr>
                                  <w:t>Duration (Days)</w:t>
                                </w:r>
                              </w:p>
                            </w:txbxContent>
                          </wps:txbx>
                          <wps:bodyPr spcFirstLastPara="0" vert="horz" wrap="square" lIns="40005" tIns="13335" rIns="36223" bIns="13335" numCol="1" spcCol="1270" anchor="ctr" anchorCtr="0">
                            <a:noAutofit/>
                          </wps:bodyPr>
                        </wps:wsp>
                        <wps:wsp>
                          <wps:cNvPr id="12" name="Rectangle 62"/>
                          <wps:cNvSpPr/>
                          <wps:spPr>
                            <a:xfrm>
                              <a:off x="0" y="1094509"/>
                              <a:ext cx="1307013" cy="537774"/>
                            </a:xfrm>
                            <a:prstGeom prst="rect">
                              <a:avLst/>
                            </a:prstGeom>
                            <a:solidFill>
                              <a:srgbClr val="F5CA95"/>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rsidR="00E639E7" w:rsidRPr="005A6F4D" w:rsidRDefault="00E639E7" w:rsidP="00F568F8">
                                <w:pPr>
                                  <w:pStyle w:val="NormalWeb"/>
                                  <w:spacing w:before="0" w:beforeAutospacing="0" w:after="0" w:afterAutospacing="0"/>
                                  <w:jc w:val="center"/>
                                  <w:rPr>
                                    <w:sz w:val="18"/>
                                    <w:szCs w:val="18"/>
                                  </w:rPr>
                                </w:pPr>
                                <w:r w:rsidRPr="005A6F4D">
                                  <w:rPr>
                                    <w:rFonts w:asciiTheme="minorHAnsi" w:hAnsi="Calibri" w:cstheme="minorBidi"/>
                                    <w:bCs/>
                                    <w:color w:val="000000"/>
                                    <w:kern w:val="24"/>
                                    <w:sz w:val="18"/>
                                    <w:szCs w:val="18"/>
                                  </w:rPr>
                                  <w:t xml:space="preserve">Responsible </w:t>
                                </w:r>
                                <w:r>
                                  <w:rPr>
                                    <w:rFonts w:asciiTheme="minorHAnsi" w:hAnsi="Calibri" w:cstheme="minorBidi"/>
                                    <w:bCs/>
                                    <w:color w:val="000000"/>
                                    <w:kern w:val="24"/>
                                    <w:sz w:val="18"/>
                                    <w:szCs w:val="18"/>
                                  </w:rPr>
                                  <w:br/>
                                </w:r>
                                <w:r w:rsidRPr="005A6F4D">
                                  <w:rPr>
                                    <w:rFonts w:asciiTheme="minorHAnsi" w:hAnsi="Calibri" w:cstheme="minorBidi"/>
                                    <w:bCs/>
                                    <w:color w:val="000000"/>
                                    <w:kern w:val="24"/>
                                    <w:sz w:val="18"/>
                                    <w:szCs w:val="18"/>
                                  </w:rPr>
                                  <w:t>Party</w:t>
                                </w:r>
                              </w:p>
                            </w:txbxContent>
                          </wps:txbx>
                          <wps:bodyPr spcFirstLastPara="0" vert="horz" wrap="square" lIns="40005" tIns="13335" rIns="39587" bIns="13335" numCol="1" spcCol="1270" anchor="ctr" anchorCtr="0">
                            <a:noAutofit/>
                          </wps:bodyPr>
                        </wps:wsp>
                        <wps:wsp>
                          <wps:cNvPr id="13" name="Rectangle 72"/>
                          <wps:cNvSpPr/>
                          <wps:spPr>
                            <a:xfrm>
                              <a:off x="0" y="3089567"/>
                              <a:ext cx="1316736" cy="537774"/>
                            </a:xfrm>
                            <a:prstGeom prst="rect">
                              <a:avLst/>
                            </a:prstGeom>
                            <a:solidFill>
                              <a:srgbClr val="F5CA95"/>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rsidR="00E639E7" w:rsidRPr="005A6F4D" w:rsidRDefault="00E639E7" w:rsidP="00F568F8">
                                <w:pPr>
                                  <w:pStyle w:val="NormalWeb"/>
                                  <w:spacing w:before="0" w:beforeAutospacing="0" w:after="0" w:afterAutospacing="0"/>
                                  <w:jc w:val="center"/>
                                  <w:rPr>
                                    <w:sz w:val="18"/>
                                    <w:szCs w:val="18"/>
                                  </w:rPr>
                                </w:pPr>
                                <w:r w:rsidRPr="005A6F4D">
                                  <w:rPr>
                                    <w:rFonts w:asciiTheme="minorHAnsi" w:hAnsi="Calibri" w:cstheme="minorBidi"/>
                                    <w:bCs/>
                                    <w:color w:val="000000"/>
                                    <w:kern w:val="24"/>
                                    <w:sz w:val="18"/>
                                    <w:szCs w:val="18"/>
                                  </w:rPr>
                                  <w:t>Program Cycle Time</w:t>
                                </w:r>
                              </w:p>
                            </w:txbxContent>
                          </wps:txbx>
                          <wps:bodyPr spcFirstLastPara="0" vert="horz" wrap="square" lIns="40005" tIns="13335" rIns="39587" bIns="13335" numCol="1" spcCol="1270" anchor="ctr" anchorCtr="0">
                            <a:noAutofit/>
                          </wps:bodyPr>
                        </wps:wsp>
                        <wps:wsp>
                          <wps:cNvPr id="14" name="Rectangle 74"/>
                          <wps:cNvSpPr/>
                          <wps:spPr>
                            <a:xfrm>
                              <a:off x="0" y="2410692"/>
                              <a:ext cx="1317486" cy="537774"/>
                            </a:xfrm>
                            <a:prstGeom prst="rect">
                              <a:avLst/>
                            </a:prstGeom>
                            <a:solidFill>
                              <a:srgbClr val="F5CA95"/>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rsidR="00E639E7" w:rsidRPr="005A6F4D" w:rsidRDefault="00E639E7" w:rsidP="00F568F8">
                                <w:pPr>
                                  <w:pStyle w:val="NormalWeb"/>
                                  <w:spacing w:before="0" w:beforeAutospacing="0" w:after="0" w:afterAutospacing="0"/>
                                  <w:jc w:val="center"/>
                                  <w:rPr>
                                    <w:sz w:val="18"/>
                                    <w:szCs w:val="18"/>
                                  </w:rPr>
                                </w:pPr>
                                <w:r w:rsidRPr="005A6F4D">
                                  <w:rPr>
                                    <w:rFonts w:asciiTheme="minorHAnsi" w:hAnsi="Calibri" w:cstheme="minorBidi"/>
                                    <w:bCs/>
                                    <w:color w:val="000000"/>
                                    <w:kern w:val="24"/>
                                    <w:sz w:val="18"/>
                                    <w:szCs w:val="18"/>
                                  </w:rPr>
                                  <w:t>Average Total Duration</w:t>
                                </w:r>
                              </w:p>
                            </w:txbxContent>
                          </wps:txbx>
                          <wps:bodyPr spcFirstLastPara="0" vert="horz" wrap="square" lIns="40005" tIns="13335" rIns="39587" bIns="13335" numCol="1" spcCol="1270" anchor="ctr" anchorCtr="0">
                            <a:noAutofit/>
                          </wps:bodyPr>
                        </wps:wsp>
                        <wps:wsp>
                          <wps:cNvPr id="17" name="Rectangle 64"/>
                          <wps:cNvSpPr/>
                          <wps:spPr>
                            <a:xfrm>
                              <a:off x="0" y="3713021"/>
                              <a:ext cx="1317486" cy="536565"/>
                            </a:xfrm>
                            <a:prstGeom prst="rect">
                              <a:avLst/>
                            </a:prstGeom>
                            <a:solidFill>
                              <a:srgbClr val="F5CA95"/>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rsidR="00E639E7" w:rsidRPr="005A6F4D" w:rsidRDefault="00E639E7" w:rsidP="00F568F8">
                                <w:pPr>
                                  <w:pStyle w:val="NormalWeb"/>
                                  <w:spacing w:before="0" w:beforeAutospacing="0" w:after="0" w:afterAutospacing="0"/>
                                  <w:jc w:val="center"/>
                                  <w:rPr>
                                    <w:sz w:val="18"/>
                                    <w:szCs w:val="18"/>
                                  </w:rPr>
                                </w:pPr>
                                <w:r w:rsidRPr="005A6F4D">
                                  <w:rPr>
                                    <w:rFonts w:asciiTheme="minorHAnsi" w:hAnsi="Calibri" w:cstheme="minorBidi"/>
                                    <w:bCs/>
                                    <w:color w:val="000000"/>
                                    <w:kern w:val="24"/>
                                    <w:sz w:val="18"/>
                                    <w:szCs w:val="18"/>
                                  </w:rPr>
                                  <w:t>Phase III CSP Goals</w:t>
                                </w:r>
                              </w:p>
                            </w:txbxContent>
                          </wps:txbx>
                          <wps:bodyPr spcFirstLastPara="0" vert="horz" wrap="square" lIns="40005" tIns="13335" rIns="39587" bIns="13335" numCol="1" spcCol="1270" anchor="ctr" anchorCtr="0">
                            <a:noAutofit/>
                          </wps:bodyPr>
                        </wps:wsp>
                      </wpg:grpSp>
                      <wpg:grpSp>
                        <wpg:cNvPr id="18" name="Group 17"/>
                        <wpg:cNvGrpSpPr/>
                        <wpg:grpSpPr>
                          <a:xfrm>
                            <a:off x="1385236" y="6911"/>
                            <a:ext cx="7604107" cy="4247413"/>
                            <a:chOff x="-219" y="-16"/>
                            <a:chExt cx="7604107" cy="4247413"/>
                          </a:xfrm>
                        </wpg:grpSpPr>
                        <wpg:grpSp>
                          <wpg:cNvPr id="19" name="Group 18"/>
                          <wpg:cNvGrpSpPr/>
                          <wpg:grpSpPr>
                            <a:xfrm>
                              <a:off x="-219" y="-16"/>
                              <a:ext cx="7604107" cy="971435"/>
                              <a:chOff x="-219" y="-16"/>
                              <a:chExt cx="7604107" cy="971435"/>
                            </a:xfrm>
                          </wpg:grpSpPr>
                          <wps:wsp>
                            <wps:cNvPr id="20" name="Freeform 39"/>
                            <wps:cNvSpPr/>
                            <wps:spPr>
                              <a:xfrm>
                                <a:off x="-219" y="-5"/>
                                <a:ext cx="1714363" cy="970208"/>
                              </a:xfrm>
                              <a:custGeom>
                                <a:avLst/>
                                <a:gdLst>
                                  <a:gd name="connsiteX0" fmla="*/ 0 w 1717675"/>
                                  <a:gd name="connsiteY0" fmla="*/ 0 h 970915"/>
                                  <a:gd name="connsiteX1" fmla="*/ 1232218 w 1717675"/>
                                  <a:gd name="connsiteY1" fmla="*/ 0 h 970915"/>
                                  <a:gd name="connsiteX2" fmla="*/ 1717675 w 1717675"/>
                                  <a:gd name="connsiteY2" fmla="*/ 485458 h 970915"/>
                                  <a:gd name="connsiteX3" fmla="*/ 1232218 w 1717675"/>
                                  <a:gd name="connsiteY3" fmla="*/ 970915 h 970915"/>
                                  <a:gd name="connsiteX4" fmla="*/ 0 w 1717675"/>
                                  <a:gd name="connsiteY4" fmla="*/ 970915 h 970915"/>
                                  <a:gd name="connsiteX5" fmla="*/ 0 w 1717675"/>
                                  <a:gd name="connsiteY5" fmla="*/ 0 h 970915"/>
                                  <a:gd name="connsiteX0" fmla="*/ 0 w 1717675"/>
                                  <a:gd name="connsiteY0" fmla="*/ 0 h 970915"/>
                                  <a:gd name="connsiteX1" fmla="*/ 1363836 w 1717675"/>
                                  <a:gd name="connsiteY1" fmla="*/ 0 h 970915"/>
                                  <a:gd name="connsiteX2" fmla="*/ 1717675 w 1717675"/>
                                  <a:gd name="connsiteY2" fmla="*/ 485458 h 970915"/>
                                  <a:gd name="connsiteX3" fmla="*/ 1232218 w 1717675"/>
                                  <a:gd name="connsiteY3" fmla="*/ 970915 h 970915"/>
                                  <a:gd name="connsiteX4" fmla="*/ 0 w 1717675"/>
                                  <a:gd name="connsiteY4" fmla="*/ 970915 h 970915"/>
                                  <a:gd name="connsiteX5" fmla="*/ 0 w 1717675"/>
                                  <a:gd name="connsiteY5" fmla="*/ 0 h 970915"/>
                                  <a:gd name="connsiteX0" fmla="*/ 0 w 1683039"/>
                                  <a:gd name="connsiteY0" fmla="*/ 0 h 970915"/>
                                  <a:gd name="connsiteX1" fmla="*/ 1363836 w 1683039"/>
                                  <a:gd name="connsiteY1" fmla="*/ 0 h 970915"/>
                                  <a:gd name="connsiteX2" fmla="*/ 1683039 w 1683039"/>
                                  <a:gd name="connsiteY2" fmla="*/ 471603 h 970915"/>
                                  <a:gd name="connsiteX3" fmla="*/ 1232218 w 1683039"/>
                                  <a:gd name="connsiteY3" fmla="*/ 970915 h 970915"/>
                                  <a:gd name="connsiteX4" fmla="*/ 0 w 1683039"/>
                                  <a:gd name="connsiteY4" fmla="*/ 970915 h 970915"/>
                                  <a:gd name="connsiteX5" fmla="*/ 0 w 1683039"/>
                                  <a:gd name="connsiteY5" fmla="*/ 0 h 970915"/>
                                  <a:gd name="connsiteX0" fmla="*/ 0 w 1683039"/>
                                  <a:gd name="connsiteY0" fmla="*/ 0 h 970915"/>
                                  <a:gd name="connsiteX1" fmla="*/ 1363836 w 1683039"/>
                                  <a:gd name="connsiteY1" fmla="*/ 0 h 970915"/>
                                  <a:gd name="connsiteX2" fmla="*/ 1683039 w 1683039"/>
                                  <a:gd name="connsiteY2" fmla="*/ 478530 h 970915"/>
                                  <a:gd name="connsiteX3" fmla="*/ 1232218 w 1683039"/>
                                  <a:gd name="connsiteY3" fmla="*/ 970915 h 970915"/>
                                  <a:gd name="connsiteX4" fmla="*/ 0 w 1683039"/>
                                  <a:gd name="connsiteY4" fmla="*/ 970915 h 970915"/>
                                  <a:gd name="connsiteX5" fmla="*/ 0 w 1683039"/>
                                  <a:gd name="connsiteY5" fmla="*/ 0 h 970915"/>
                                  <a:gd name="connsiteX0" fmla="*/ 0 w 1683039"/>
                                  <a:gd name="connsiteY0" fmla="*/ 0 h 970915"/>
                                  <a:gd name="connsiteX1" fmla="*/ 1363836 w 1683039"/>
                                  <a:gd name="connsiteY1" fmla="*/ 0 h 970915"/>
                                  <a:gd name="connsiteX2" fmla="*/ 1683039 w 1683039"/>
                                  <a:gd name="connsiteY2" fmla="*/ 478530 h 970915"/>
                                  <a:gd name="connsiteX3" fmla="*/ 1377715 w 1683039"/>
                                  <a:gd name="connsiteY3" fmla="*/ 963988 h 970915"/>
                                  <a:gd name="connsiteX4" fmla="*/ 0 w 1683039"/>
                                  <a:gd name="connsiteY4" fmla="*/ 970915 h 970915"/>
                                  <a:gd name="connsiteX5" fmla="*/ 0 w 1683039"/>
                                  <a:gd name="connsiteY5" fmla="*/ 0 h 970915"/>
                                  <a:gd name="connsiteX0" fmla="*/ 0 w 1683039"/>
                                  <a:gd name="connsiteY0" fmla="*/ 0 h 970915"/>
                                  <a:gd name="connsiteX1" fmla="*/ 1363836 w 1683039"/>
                                  <a:gd name="connsiteY1" fmla="*/ 0 h 970915"/>
                                  <a:gd name="connsiteX2" fmla="*/ 1683039 w 1683039"/>
                                  <a:gd name="connsiteY2" fmla="*/ 478530 h 970915"/>
                                  <a:gd name="connsiteX3" fmla="*/ 1377715 w 1683039"/>
                                  <a:gd name="connsiteY3" fmla="*/ 963988 h 970915"/>
                                  <a:gd name="connsiteX4" fmla="*/ 0 w 1683039"/>
                                  <a:gd name="connsiteY4" fmla="*/ 970915 h 970915"/>
                                  <a:gd name="connsiteX5" fmla="*/ 0 w 1683039"/>
                                  <a:gd name="connsiteY5" fmla="*/ 0 h 9709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683039" h="970915">
                                    <a:moveTo>
                                      <a:pt x="0" y="0"/>
                                    </a:moveTo>
                                    <a:lnTo>
                                      <a:pt x="1363836" y="0"/>
                                    </a:lnTo>
                                    <a:lnTo>
                                      <a:pt x="1683039" y="478530"/>
                                    </a:lnTo>
                                    <a:lnTo>
                                      <a:pt x="1377715" y="963988"/>
                                    </a:lnTo>
                                    <a:lnTo>
                                      <a:pt x="0" y="970915"/>
                                    </a:lnTo>
                                    <a:lnTo>
                                      <a:pt x="0" y="0"/>
                                    </a:lnTo>
                                    <a:close/>
                                  </a:path>
                                </a:pathLst>
                              </a:custGeom>
                              <a:solidFill>
                                <a:srgbClr val="448A99"/>
                              </a:solidFill>
                            </wps:spPr>
                            <wps:style>
                              <a:lnRef idx="2">
                                <a:schemeClr val="lt1">
                                  <a:hueOff val="0"/>
                                  <a:satOff val="0"/>
                                  <a:lumOff val="0"/>
                                  <a:alphaOff val="0"/>
                                </a:schemeClr>
                              </a:lnRef>
                              <a:fillRef idx="1">
                                <a:schemeClr val="accent2">
                                  <a:shade val="80000"/>
                                  <a:hueOff val="107840"/>
                                  <a:satOff val="-6893"/>
                                  <a:lumOff val="5963"/>
                                  <a:alphaOff val="0"/>
                                </a:schemeClr>
                              </a:fillRef>
                              <a:effectRef idx="0">
                                <a:schemeClr val="accent2">
                                  <a:shade val="80000"/>
                                  <a:hueOff val="107840"/>
                                  <a:satOff val="-6893"/>
                                  <a:lumOff val="5963"/>
                                  <a:alphaOff val="0"/>
                                </a:schemeClr>
                              </a:effectRef>
                              <a:fontRef idx="minor">
                                <a:schemeClr val="lt1"/>
                              </a:fontRef>
                            </wps:style>
                            <wps:txbx>
                              <w:txbxContent>
                                <w:p w:rsidR="00E639E7" w:rsidRPr="00CF188C" w:rsidRDefault="00E639E7" w:rsidP="003B7B81">
                                  <w:pPr>
                                    <w:pStyle w:val="NormalWeb"/>
                                    <w:spacing w:before="0" w:beforeAutospacing="0" w:after="0" w:afterAutospacing="0"/>
                                    <w:ind w:left="-360" w:right="-158"/>
                                    <w:jc w:val="center"/>
                                    <w:rPr>
                                      <w:rFonts w:ascii="Century Gothic" w:hAnsi="Century Gothic"/>
                                      <w:b/>
                                      <w:sz w:val="18"/>
                                      <w:szCs w:val="18"/>
                                    </w:rPr>
                                  </w:pPr>
                                  <w:r w:rsidRPr="00CF188C">
                                    <w:rPr>
                                      <w:rFonts w:ascii="Century Gothic" w:hAnsi="Century Gothic" w:cstheme="minorBidi"/>
                                      <w:b/>
                                      <w:color w:val="FFFFFF" w:themeColor="background1"/>
                                      <w:kern w:val="24"/>
                                      <w:sz w:val="18"/>
                                      <w:szCs w:val="18"/>
                                    </w:rPr>
                                    <w:t xml:space="preserve">PROJECT </w:t>
                                  </w:r>
                                  <w:r>
                                    <w:rPr>
                                      <w:rFonts w:ascii="Century Gothic" w:hAnsi="Century Gothic" w:cstheme="minorBidi"/>
                                      <w:b/>
                                      <w:color w:val="FFFFFF" w:themeColor="background1"/>
                                      <w:kern w:val="24"/>
                                      <w:sz w:val="18"/>
                                      <w:szCs w:val="18"/>
                                    </w:rPr>
                                    <w:br/>
                                  </w:r>
                                  <w:r w:rsidRPr="00CF188C">
                                    <w:rPr>
                                      <w:rFonts w:ascii="Century Gothic" w:hAnsi="Century Gothic" w:cstheme="minorBidi"/>
                                      <w:b/>
                                      <w:color w:val="FFFFFF" w:themeColor="background1"/>
                                      <w:kern w:val="24"/>
                                      <w:sz w:val="18"/>
                                      <w:szCs w:val="18"/>
                                    </w:rPr>
                                    <w:t xml:space="preserve">COMPLETE; </w:t>
                                  </w:r>
                                  <w:r w:rsidRPr="00CF188C">
                                    <w:rPr>
                                      <w:rFonts w:ascii="Century Gothic" w:hAnsi="Century Gothic" w:cstheme="minorBidi"/>
                                      <w:b/>
                                      <w:color w:val="FFFFFF" w:themeColor="background1"/>
                                      <w:kern w:val="24"/>
                                      <w:sz w:val="18"/>
                                      <w:szCs w:val="18"/>
                                    </w:rPr>
                                    <w:br/>
                                    <w:t xml:space="preserve">APPLICATION </w:t>
                                  </w:r>
                                  <w:r w:rsidRPr="00CF188C">
                                    <w:rPr>
                                      <w:rFonts w:ascii="Century Gothic" w:hAnsi="Century Gothic" w:cstheme="minorBidi"/>
                                      <w:b/>
                                      <w:color w:val="FFFFFF" w:themeColor="background1"/>
                                      <w:kern w:val="24"/>
                                      <w:sz w:val="18"/>
                                      <w:szCs w:val="18"/>
                                    </w:rPr>
                                    <w:br/>
                                    <w:t>RECEIVED</w:t>
                                  </w:r>
                                </w:p>
                              </w:txbxContent>
                            </wps:txbx>
                            <wps:bodyPr spcFirstLastPara="0" vert="horz" wrap="square" lIns="0" tIns="0" rIns="0" bIns="0" numCol="1" spcCol="1270" anchor="ctr" anchorCtr="0">
                              <a:noAutofit/>
                            </wps:bodyPr>
                          </wps:wsp>
                          <wps:wsp>
                            <wps:cNvPr id="21" name="Freeform 41"/>
                            <wps:cNvSpPr/>
                            <wps:spPr>
                              <a:xfrm>
                                <a:off x="1440872" y="0"/>
                                <a:ext cx="3126642" cy="971322"/>
                              </a:xfrm>
                              <a:custGeom>
                                <a:avLst/>
                                <a:gdLst>
                                  <a:gd name="connsiteX0" fmla="*/ 0 w 2451404"/>
                                  <a:gd name="connsiteY0" fmla="*/ 0 h 474754"/>
                                  <a:gd name="connsiteX1" fmla="*/ 2214027 w 2451404"/>
                                  <a:gd name="connsiteY1" fmla="*/ 0 h 474754"/>
                                  <a:gd name="connsiteX2" fmla="*/ 2451404 w 2451404"/>
                                  <a:gd name="connsiteY2" fmla="*/ 237377 h 474754"/>
                                  <a:gd name="connsiteX3" fmla="*/ 2214027 w 2451404"/>
                                  <a:gd name="connsiteY3" fmla="*/ 474754 h 474754"/>
                                  <a:gd name="connsiteX4" fmla="*/ 0 w 2451404"/>
                                  <a:gd name="connsiteY4" fmla="*/ 474754 h 474754"/>
                                  <a:gd name="connsiteX5" fmla="*/ 237377 w 2451404"/>
                                  <a:gd name="connsiteY5" fmla="*/ 237377 h 474754"/>
                                  <a:gd name="connsiteX6" fmla="*/ 0 w 2451404"/>
                                  <a:gd name="connsiteY6" fmla="*/ 0 h 474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51404" h="474754">
                                    <a:moveTo>
                                      <a:pt x="0" y="0"/>
                                    </a:moveTo>
                                    <a:lnTo>
                                      <a:pt x="2214027" y="0"/>
                                    </a:lnTo>
                                    <a:lnTo>
                                      <a:pt x="2451404" y="237377"/>
                                    </a:lnTo>
                                    <a:lnTo>
                                      <a:pt x="2214027" y="474754"/>
                                    </a:lnTo>
                                    <a:lnTo>
                                      <a:pt x="0" y="474754"/>
                                    </a:lnTo>
                                    <a:lnTo>
                                      <a:pt x="237377" y="237377"/>
                                    </a:lnTo>
                                    <a:lnTo>
                                      <a:pt x="0" y="0"/>
                                    </a:lnTo>
                                    <a:close/>
                                  </a:path>
                                </a:pathLst>
                              </a:custGeom>
                              <a:solidFill>
                                <a:srgbClr val="448A99"/>
                              </a:solidFill>
                            </wps:spPr>
                            <wps:style>
                              <a:lnRef idx="2">
                                <a:schemeClr val="lt1">
                                  <a:hueOff val="0"/>
                                  <a:satOff val="0"/>
                                  <a:lumOff val="0"/>
                                  <a:alphaOff val="0"/>
                                </a:schemeClr>
                              </a:lnRef>
                              <a:fillRef idx="1">
                                <a:schemeClr val="accent2">
                                  <a:shade val="80000"/>
                                  <a:hueOff val="323520"/>
                                  <a:satOff val="-20678"/>
                                  <a:lumOff val="17888"/>
                                  <a:alphaOff val="0"/>
                                </a:schemeClr>
                              </a:fillRef>
                              <a:effectRef idx="0">
                                <a:schemeClr val="accent2">
                                  <a:shade val="80000"/>
                                  <a:hueOff val="323520"/>
                                  <a:satOff val="-20678"/>
                                  <a:lumOff val="17888"/>
                                  <a:alphaOff val="0"/>
                                </a:schemeClr>
                              </a:effectRef>
                              <a:fontRef idx="minor">
                                <a:schemeClr val="lt1"/>
                              </a:fontRef>
                            </wps:style>
                            <wps:txbx>
                              <w:txbxContent>
                                <w:p w:rsidR="00E639E7" w:rsidRPr="00CF188C" w:rsidRDefault="00E639E7" w:rsidP="003B7B81">
                                  <w:pPr>
                                    <w:pStyle w:val="NormalWeb"/>
                                    <w:spacing w:before="0" w:beforeAutospacing="0" w:after="0" w:afterAutospacing="0"/>
                                    <w:jc w:val="center"/>
                                    <w:rPr>
                                      <w:rFonts w:ascii="Century Gothic" w:hAnsi="Century Gothic"/>
                                      <w:b/>
                                      <w:sz w:val="18"/>
                                      <w:szCs w:val="18"/>
                                    </w:rPr>
                                  </w:pPr>
                                  <w:r w:rsidRPr="00CF188C">
                                    <w:rPr>
                                      <w:rFonts w:ascii="Century Gothic" w:hAnsi="Century Gothic" w:cstheme="minorBidi"/>
                                      <w:b/>
                                      <w:color w:val="FFFFFF" w:themeColor="background1"/>
                                      <w:kern w:val="24"/>
                                      <w:sz w:val="18"/>
                                      <w:szCs w:val="18"/>
                                    </w:rPr>
                                    <w:t>APPLICATION APPROVED</w:t>
                                  </w:r>
                                </w:p>
                              </w:txbxContent>
                            </wps:txbx>
                            <wps:bodyPr spcFirstLastPara="0" vert="horz" wrap="square" lIns="0" tIns="0" rIns="0" bIns="0" numCol="1" spcCol="1270" anchor="ctr" anchorCtr="0">
                              <a:noAutofit/>
                            </wps:bodyPr>
                          </wps:wsp>
                          <wps:wsp>
                            <wps:cNvPr id="22" name="Freeform 42"/>
                            <wps:cNvSpPr/>
                            <wps:spPr>
                              <a:xfrm>
                                <a:off x="4293109" y="-10"/>
                                <a:ext cx="1158484" cy="970005"/>
                              </a:xfrm>
                              <a:custGeom>
                                <a:avLst/>
                                <a:gdLst>
                                  <a:gd name="connsiteX0" fmla="*/ 0 w 921485"/>
                                  <a:gd name="connsiteY0" fmla="*/ 0 h 474754"/>
                                  <a:gd name="connsiteX1" fmla="*/ 684108 w 921485"/>
                                  <a:gd name="connsiteY1" fmla="*/ 0 h 474754"/>
                                  <a:gd name="connsiteX2" fmla="*/ 921485 w 921485"/>
                                  <a:gd name="connsiteY2" fmla="*/ 237377 h 474754"/>
                                  <a:gd name="connsiteX3" fmla="*/ 684108 w 921485"/>
                                  <a:gd name="connsiteY3" fmla="*/ 474754 h 474754"/>
                                  <a:gd name="connsiteX4" fmla="*/ 0 w 921485"/>
                                  <a:gd name="connsiteY4" fmla="*/ 474754 h 474754"/>
                                  <a:gd name="connsiteX5" fmla="*/ 237377 w 921485"/>
                                  <a:gd name="connsiteY5" fmla="*/ 237377 h 474754"/>
                                  <a:gd name="connsiteX6" fmla="*/ 0 w 921485"/>
                                  <a:gd name="connsiteY6" fmla="*/ 0 h 474754"/>
                                  <a:gd name="connsiteX0" fmla="*/ 0 w 921485"/>
                                  <a:gd name="connsiteY0" fmla="*/ 0 h 474754"/>
                                  <a:gd name="connsiteX1" fmla="*/ 684108 w 921485"/>
                                  <a:gd name="connsiteY1" fmla="*/ 0 h 474754"/>
                                  <a:gd name="connsiteX2" fmla="*/ 921485 w 921485"/>
                                  <a:gd name="connsiteY2" fmla="*/ 244152 h 474754"/>
                                  <a:gd name="connsiteX3" fmla="*/ 684108 w 921485"/>
                                  <a:gd name="connsiteY3" fmla="*/ 474754 h 474754"/>
                                  <a:gd name="connsiteX4" fmla="*/ 0 w 921485"/>
                                  <a:gd name="connsiteY4" fmla="*/ 474754 h 474754"/>
                                  <a:gd name="connsiteX5" fmla="*/ 237377 w 921485"/>
                                  <a:gd name="connsiteY5" fmla="*/ 237377 h 474754"/>
                                  <a:gd name="connsiteX6" fmla="*/ 0 w 921485"/>
                                  <a:gd name="connsiteY6" fmla="*/ 0 h 474754"/>
                                  <a:gd name="connsiteX0" fmla="*/ 0 w 883915"/>
                                  <a:gd name="connsiteY0" fmla="*/ 0 h 474754"/>
                                  <a:gd name="connsiteX1" fmla="*/ 684108 w 883915"/>
                                  <a:gd name="connsiteY1" fmla="*/ 0 h 474754"/>
                                  <a:gd name="connsiteX2" fmla="*/ 883915 w 883915"/>
                                  <a:gd name="connsiteY2" fmla="*/ 240764 h 474754"/>
                                  <a:gd name="connsiteX3" fmla="*/ 684108 w 883915"/>
                                  <a:gd name="connsiteY3" fmla="*/ 474754 h 474754"/>
                                  <a:gd name="connsiteX4" fmla="*/ 0 w 883915"/>
                                  <a:gd name="connsiteY4" fmla="*/ 474754 h 474754"/>
                                  <a:gd name="connsiteX5" fmla="*/ 237377 w 883915"/>
                                  <a:gd name="connsiteY5" fmla="*/ 237377 h 474754"/>
                                  <a:gd name="connsiteX6" fmla="*/ 0 w 883915"/>
                                  <a:gd name="connsiteY6" fmla="*/ 0 h 474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83915" h="474754">
                                    <a:moveTo>
                                      <a:pt x="0" y="0"/>
                                    </a:moveTo>
                                    <a:lnTo>
                                      <a:pt x="684108" y="0"/>
                                    </a:lnTo>
                                    <a:lnTo>
                                      <a:pt x="883915" y="240764"/>
                                    </a:lnTo>
                                    <a:lnTo>
                                      <a:pt x="684108" y="474754"/>
                                    </a:lnTo>
                                    <a:lnTo>
                                      <a:pt x="0" y="474754"/>
                                    </a:lnTo>
                                    <a:lnTo>
                                      <a:pt x="237377" y="237377"/>
                                    </a:lnTo>
                                    <a:lnTo>
                                      <a:pt x="0" y="0"/>
                                    </a:lnTo>
                                    <a:close/>
                                  </a:path>
                                </a:pathLst>
                              </a:custGeom>
                              <a:solidFill>
                                <a:srgbClr val="448A99"/>
                              </a:solidFill>
                            </wps:spPr>
                            <wps:style>
                              <a:lnRef idx="2">
                                <a:schemeClr val="lt1">
                                  <a:hueOff val="0"/>
                                  <a:satOff val="0"/>
                                  <a:lumOff val="0"/>
                                  <a:alphaOff val="0"/>
                                </a:schemeClr>
                              </a:lnRef>
                              <a:fillRef idx="1">
                                <a:schemeClr val="accent2">
                                  <a:shade val="80000"/>
                                  <a:hueOff val="431360"/>
                                  <a:satOff val="-27571"/>
                                  <a:lumOff val="23851"/>
                                  <a:alphaOff val="0"/>
                                </a:schemeClr>
                              </a:fillRef>
                              <a:effectRef idx="0">
                                <a:schemeClr val="accent2">
                                  <a:shade val="80000"/>
                                  <a:hueOff val="431360"/>
                                  <a:satOff val="-27571"/>
                                  <a:lumOff val="23851"/>
                                  <a:alphaOff val="0"/>
                                </a:schemeClr>
                              </a:effectRef>
                              <a:fontRef idx="minor">
                                <a:schemeClr val="lt1"/>
                              </a:fontRef>
                            </wps:style>
                            <wps:txbx>
                              <w:txbxContent>
                                <w:p w:rsidR="00E639E7" w:rsidRPr="00CF188C" w:rsidRDefault="00E639E7" w:rsidP="003B7B81">
                                  <w:pPr>
                                    <w:pStyle w:val="NormalWeb"/>
                                    <w:spacing w:before="0" w:beforeAutospacing="0" w:after="0" w:afterAutospacing="0" w:line="216" w:lineRule="auto"/>
                                    <w:ind w:right="-144"/>
                                    <w:jc w:val="center"/>
                                    <w:rPr>
                                      <w:rFonts w:ascii="Century Gothic" w:hAnsi="Century Gothic"/>
                                      <w:b/>
                                      <w:sz w:val="18"/>
                                      <w:szCs w:val="18"/>
                                    </w:rPr>
                                  </w:pPr>
                                  <w:r w:rsidRPr="00CF188C">
                                    <w:rPr>
                                      <w:rFonts w:ascii="Century Gothic" w:hAnsi="Century Gothic" w:cstheme="minorBidi"/>
                                      <w:b/>
                                      <w:color w:val="FFFFFF" w:themeColor="background1"/>
                                      <w:kern w:val="24"/>
                                      <w:sz w:val="18"/>
                                      <w:szCs w:val="18"/>
                                    </w:rPr>
                                    <w:t xml:space="preserve">PECO </w:t>
                                  </w:r>
                                  <w:r w:rsidRPr="00CF188C">
                                    <w:rPr>
                                      <w:rFonts w:ascii="Century Gothic" w:hAnsi="Century Gothic" w:cstheme="minorBidi"/>
                                      <w:b/>
                                      <w:color w:val="FFFFFF" w:themeColor="background1"/>
                                      <w:kern w:val="24"/>
                                      <w:sz w:val="18"/>
                                      <w:szCs w:val="18"/>
                                    </w:rPr>
                                    <w:br/>
                                    <w:t>INVOICE</w:t>
                                  </w:r>
                                </w:p>
                              </w:txbxContent>
                            </wps:txbx>
                            <wps:bodyPr spcFirstLastPara="0" vert="horz" wrap="square" lIns="0" tIns="0" rIns="0" bIns="0" numCol="1" spcCol="1270" anchor="ctr" anchorCtr="0">
                              <a:noAutofit/>
                            </wps:bodyPr>
                          </wps:wsp>
                          <wps:wsp>
                            <wps:cNvPr id="23" name="Freeform 43"/>
                            <wps:cNvSpPr/>
                            <wps:spPr>
                              <a:xfrm>
                                <a:off x="5220372" y="-16"/>
                                <a:ext cx="1381085" cy="971435"/>
                              </a:xfrm>
                              <a:custGeom>
                                <a:avLst/>
                                <a:gdLst>
                                  <a:gd name="connsiteX0" fmla="*/ 0 w 1186885"/>
                                  <a:gd name="connsiteY0" fmla="*/ 0 h 474754"/>
                                  <a:gd name="connsiteX1" fmla="*/ 949508 w 1186885"/>
                                  <a:gd name="connsiteY1" fmla="*/ 0 h 474754"/>
                                  <a:gd name="connsiteX2" fmla="*/ 1186885 w 1186885"/>
                                  <a:gd name="connsiteY2" fmla="*/ 237377 h 474754"/>
                                  <a:gd name="connsiteX3" fmla="*/ 949508 w 1186885"/>
                                  <a:gd name="connsiteY3" fmla="*/ 474754 h 474754"/>
                                  <a:gd name="connsiteX4" fmla="*/ 0 w 1186885"/>
                                  <a:gd name="connsiteY4" fmla="*/ 474754 h 474754"/>
                                  <a:gd name="connsiteX5" fmla="*/ 237377 w 1186885"/>
                                  <a:gd name="connsiteY5" fmla="*/ 237377 h 474754"/>
                                  <a:gd name="connsiteX6" fmla="*/ 0 w 1186885"/>
                                  <a:gd name="connsiteY6" fmla="*/ 0 h 474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86885" h="474754">
                                    <a:moveTo>
                                      <a:pt x="0" y="0"/>
                                    </a:moveTo>
                                    <a:lnTo>
                                      <a:pt x="949508" y="0"/>
                                    </a:lnTo>
                                    <a:lnTo>
                                      <a:pt x="1186885" y="237377"/>
                                    </a:lnTo>
                                    <a:lnTo>
                                      <a:pt x="949508" y="474754"/>
                                    </a:lnTo>
                                    <a:lnTo>
                                      <a:pt x="0" y="474754"/>
                                    </a:lnTo>
                                    <a:lnTo>
                                      <a:pt x="237377" y="237377"/>
                                    </a:lnTo>
                                    <a:lnTo>
                                      <a:pt x="0" y="0"/>
                                    </a:lnTo>
                                    <a:close/>
                                  </a:path>
                                </a:pathLst>
                              </a:custGeom>
                              <a:solidFill>
                                <a:srgbClr val="448A99"/>
                              </a:solidFill>
                            </wps:spPr>
                            <wps:style>
                              <a:lnRef idx="2">
                                <a:schemeClr val="lt1">
                                  <a:hueOff val="0"/>
                                  <a:satOff val="0"/>
                                  <a:lumOff val="0"/>
                                  <a:alphaOff val="0"/>
                                </a:schemeClr>
                              </a:lnRef>
                              <a:fillRef idx="1">
                                <a:schemeClr val="accent2">
                                  <a:shade val="80000"/>
                                  <a:hueOff val="539200"/>
                                  <a:satOff val="-34464"/>
                                  <a:lumOff val="29813"/>
                                  <a:alphaOff val="0"/>
                                </a:schemeClr>
                              </a:fillRef>
                              <a:effectRef idx="0">
                                <a:schemeClr val="accent2">
                                  <a:shade val="80000"/>
                                  <a:hueOff val="539200"/>
                                  <a:satOff val="-34464"/>
                                  <a:lumOff val="29813"/>
                                  <a:alphaOff val="0"/>
                                </a:schemeClr>
                              </a:effectRef>
                              <a:fontRef idx="minor">
                                <a:schemeClr val="lt1"/>
                              </a:fontRef>
                            </wps:style>
                            <wps:txbx>
                              <w:txbxContent>
                                <w:p w:rsidR="00E639E7" w:rsidRPr="00CF188C" w:rsidRDefault="00E639E7" w:rsidP="003B7B81">
                                  <w:pPr>
                                    <w:pStyle w:val="NormalWeb"/>
                                    <w:spacing w:before="0" w:beforeAutospacing="0" w:after="0" w:afterAutospacing="0"/>
                                    <w:jc w:val="center"/>
                                    <w:rPr>
                                      <w:rFonts w:ascii="Century Gothic" w:hAnsi="Century Gothic"/>
                                      <w:b/>
                                      <w:sz w:val="18"/>
                                      <w:szCs w:val="18"/>
                                    </w:rPr>
                                  </w:pPr>
                                  <w:r w:rsidRPr="00CF188C">
                                    <w:rPr>
                                      <w:rFonts w:ascii="Century Gothic" w:hAnsi="Century Gothic" w:cstheme="minorBidi"/>
                                      <w:b/>
                                      <w:color w:val="FFFFFF" w:themeColor="background1"/>
                                      <w:kern w:val="24"/>
                                      <w:sz w:val="18"/>
                                      <w:szCs w:val="18"/>
                                    </w:rPr>
                                    <w:t xml:space="preserve">CSP </w:t>
                                  </w:r>
                                  <w:r w:rsidRPr="00CF188C">
                                    <w:rPr>
                                      <w:rFonts w:ascii="Century Gothic" w:hAnsi="Century Gothic" w:cstheme="minorBidi"/>
                                      <w:b/>
                                      <w:color w:val="FFFFFF" w:themeColor="background1"/>
                                      <w:kern w:val="24"/>
                                      <w:sz w:val="18"/>
                                      <w:szCs w:val="18"/>
                                    </w:rPr>
                                    <w:br/>
                                    <w:t>PAYMENT</w:t>
                                  </w:r>
                                </w:p>
                              </w:txbxContent>
                            </wps:txbx>
                            <wps:bodyPr spcFirstLastPara="0" vert="horz" wrap="square" lIns="0" tIns="0" rIns="0" bIns="0" numCol="1" spcCol="1270" anchor="ctr" anchorCtr="0">
                              <a:noAutofit/>
                            </wps:bodyPr>
                          </wps:wsp>
                          <wps:wsp>
                            <wps:cNvPr id="24" name="Freeform 44"/>
                            <wps:cNvSpPr/>
                            <wps:spPr>
                              <a:xfrm>
                                <a:off x="6338454" y="0"/>
                                <a:ext cx="1265434" cy="971322"/>
                              </a:xfrm>
                              <a:custGeom>
                                <a:avLst/>
                                <a:gdLst>
                                  <a:gd name="connsiteX0" fmla="*/ 0 w 1186885"/>
                                  <a:gd name="connsiteY0" fmla="*/ 0 h 474754"/>
                                  <a:gd name="connsiteX1" fmla="*/ 949508 w 1186885"/>
                                  <a:gd name="connsiteY1" fmla="*/ 0 h 474754"/>
                                  <a:gd name="connsiteX2" fmla="*/ 1186885 w 1186885"/>
                                  <a:gd name="connsiteY2" fmla="*/ 237377 h 474754"/>
                                  <a:gd name="connsiteX3" fmla="*/ 949508 w 1186885"/>
                                  <a:gd name="connsiteY3" fmla="*/ 474754 h 474754"/>
                                  <a:gd name="connsiteX4" fmla="*/ 0 w 1186885"/>
                                  <a:gd name="connsiteY4" fmla="*/ 474754 h 474754"/>
                                  <a:gd name="connsiteX5" fmla="*/ 237377 w 1186885"/>
                                  <a:gd name="connsiteY5" fmla="*/ 237377 h 474754"/>
                                  <a:gd name="connsiteX6" fmla="*/ 0 w 1186885"/>
                                  <a:gd name="connsiteY6" fmla="*/ 0 h 474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86885" h="474754">
                                    <a:moveTo>
                                      <a:pt x="0" y="0"/>
                                    </a:moveTo>
                                    <a:lnTo>
                                      <a:pt x="949508" y="0"/>
                                    </a:lnTo>
                                    <a:lnTo>
                                      <a:pt x="1186885" y="237377"/>
                                    </a:lnTo>
                                    <a:lnTo>
                                      <a:pt x="949508" y="474754"/>
                                    </a:lnTo>
                                    <a:lnTo>
                                      <a:pt x="0" y="474754"/>
                                    </a:lnTo>
                                    <a:lnTo>
                                      <a:pt x="237377" y="237377"/>
                                    </a:lnTo>
                                    <a:lnTo>
                                      <a:pt x="0" y="0"/>
                                    </a:lnTo>
                                    <a:close/>
                                  </a:path>
                                </a:pathLst>
                              </a:custGeom>
                              <a:solidFill>
                                <a:srgbClr val="448A99"/>
                              </a:solidFill>
                            </wps:spPr>
                            <wps:style>
                              <a:lnRef idx="2">
                                <a:schemeClr val="lt1">
                                  <a:hueOff val="0"/>
                                  <a:satOff val="0"/>
                                  <a:lumOff val="0"/>
                                  <a:alphaOff val="0"/>
                                </a:schemeClr>
                              </a:lnRef>
                              <a:fillRef idx="1">
                                <a:schemeClr val="accent2">
                                  <a:shade val="80000"/>
                                  <a:hueOff val="647040"/>
                                  <a:satOff val="-41357"/>
                                  <a:lumOff val="35776"/>
                                  <a:alphaOff val="0"/>
                                </a:schemeClr>
                              </a:fillRef>
                              <a:effectRef idx="0">
                                <a:schemeClr val="accent2">
                                  <a:shade val="80000"/>
                                  <a:hueOff val="647040"/>
                                  <a:satOff val="-41357"/>
                                  <a:lumOff val="35776"/>
                                  <a:alphaOff val="0"/>
                                </a:schemeClr>
                              </a:effectRef>
                              <a:fontRef idx="minor">
                                <a:schemeClr val="lt1"/>
                              </a:fontRef>
                            </wps:style>
                            <wps:txbx>
                              <w:txbxContent>
                                <w:p w:rsidR="00E639E7" w:rsidRPr="00CF188C" w:rsidRDefault="00E639E7" w:rsidP="003B7B81">
                                  <w:pPr>
                                    <w:pStyle w:val="NormalWeb"/>
                                    <w:spacing w:before="0" w:beforeAutospacing="0" w:after="0" w:afterAutospacing="0"/>
                                    <w:jc w:val="center"/>
                                    <w:rPr>
                                      <w:rFonts w:ascii="Century Gothic" w:hAnsi="Century Gothic"/>
                                      <w:b/>
                                      <w:sz w:val="18"/>
                                      <w:szCs w:val="18"/>
                                    </w:rPr>
                                  </w:pPr>
                                  <w:r w:rsidRPr="00CF188C">
                                    <w:rPr>
                                      <w:rFonts w:ascii="Century Gothic" w:hAnsi="Century Gothic" w:cstheme="minorBidi"/>
                                      <w:b/>
                                      <w:color w:val="FFFFFF" w:themeColor="background1"/>
                                      <w:kern w:val="24"/>
                                      <w:sz w:val="18"/>
                                      <w:szCs w:val="18"/>
                                    </w:rPr>
                                    <w:t xml:space="preserve">REBATE </w:t>
                                  </w:r>
                                  <w:r w:rsidRPr="00CF188C">
                                    <w:rPr>
                                      <w:rFonts w:ascii="Century Gothic" w:hAnsi="Century Gothic" w:cstheme="minorBidi"/>
                                      <w:b/>
                                      <w:color w:val="FFFFFF" w:themeColor="background1"/>
                                      <w:kern w:val="24"/>
                                      <w:sz w:val="18"/>
                                      <w:szCs w:val="18"/>
                                    </w:rPr>
                                    <w:br/>
                                    <w:t xml:space="preserve">TO </w:t>
                                  </w:r>
                                  <w:r w:rsidRPr="00CF188C">
                                    <w:rPr>
                                      <w:rFonts w:ascii="Century Gothic" w:hAnsi="Century Gothic" w:cstheme="minorBidi"/>
                                      <w:b/>
                                      <w:color w:val="FFFFFF" w:themeColor="background1"/>
                                      <w:kern w:val="24"/>
                                      <w:sz w:val="18"/>
                                      <w:szCs w:val="18"/>
                                    </w:rPr>
                                    <w:br/>
                                    <w:t>BUILDER</w:t>
                                  </w:r>
                                </w:p>
                              </w:txbxContent>
                            </wps:txbx>
                            <wps:bodyPr spcFirstLastPara="0" vert="horz" wrap="square" lIns="0" tIns="0" rIns="0" bIns="0" numCol="1" spcCol="1270" anchor="ctr" anchorCtr="0">
                              <a:noAutofit/>
                            </wps:bodyPr>
                          </wps:wsp>
                        </wpg:grpSp>
                        <wpg:grpSp>
                          <wpg:cNvPr id="25" name="Group 24"/>
                          <wpg:cNvGrpSpPr/>
                          <wpg:grpSpPr>
                            <a:xfrm>
                              <a:off x="34636" y="1087580"/>
                              <a:ext cx="7561058" cy="3159817"/>
                              <a:chOff x="0" y="-2"/>
                              <a:chExt cx="7561058" cy="3159817"/>
                            </a:xfrm>
                          </wpg:grpSpPr>
                          <wpg:grpSp>
                            <wpg:cNvPr id="26" name="Group 25"/>
                            <wpg:cNvGrpSpPr/>
                            <wpg:grpSpPr>
                              <a:xfrm>
                                <a:off x="0" y="699655"/>
                                <a:ext cx="7515067" cy="468874"/>
                                <a:chOff x="0" y="0"/>
                                <a:chExt cx="7515067" cy="468874"/>
                              </a:xfrm>
                            </wpg:grpSpPr>
                            <wps:wsp>
                              <wps:cNvPr id="27" name="Freeform 56"/>
                              <wps:cNvSpPr/>
                              <wps:spPr>
                                <a:xfrm>
                                  <a:off x="0" y="1"/>
                                  <a:ext cx="1518507" cy="468873"/>
                                </a:xfrm>
                                <a:prstGeom prst="rect">
                                  <a:avLst/>
                                </a:prstGeom>
                                <a:solidFill>
                                  <a:srgbClr val="D2EAF1"/>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rsidR="00E639E7" w:rsidRPr="005A6F4D" w:rsidRDefault="00E639E7" w:rsidP="00F568F8">
                                    <w:pPr>
                                      <w:pStyle w:val="NormalWeb"/>
                                      <w:spacing w:before="0" w:beforeAutospacing="0" w:after="0" w:afterAutospacing="0"/>
                                      <w:jc w:val="center"/>
                                      <w:rPr>
                                        <w:sz w:val="18"/>
                                        <w:szCs w:val="18"/>
                                      </w:rPr>
                                    </w:pPr>
                                    <w:r w:rsidRPr="005A6F4D">
                                      <w:rPr>
                                        <w:rFonts w:asciiTheme="minorHAnsi" w:hAnsi="Calibri" w:cstheme="minorBidi"/>
                                        <w:color w:val="000000"/>
                                        <w:kern w:val="24"/>
                                        <w:sz w:val="18"/>
                                        <w:szCs w:val="18"/>
                                      </w:rPr>
                                      <w:t>22</w:t>
                                    </w:r>
                                  </w:p>
                                </w:txbxContent>
                              </wps:txbx>
                              <wps:bodyPr spcFirstLastPara="0" vert="horz" wrap="square" lIns="40005" tIns="13335" rIns="36223" bIns="13335" numCol="1" spcCol="1270" anchor="ctr" anchorCtr="0">
                                <a:noAutofit/>
                              </wps:bodyPr>
                            </wps:wsp>
                            <wps:wsp>
                              <wps:cNvPr id="28" name="Freeform 57"/>
                              <wps:cNvSpPr/>
                              <wps:spPr>
                                <a:xfrm>
                                  <a:off x="1551709" y="1"/>
                                  <a:ext cx="3081837" cy="468872"/>
                                </a:xfrm>
                                <a:prstGeom prst="rect">
                                  <a:avLst/>
                                </a:prstGeom>
                                <a:solidFill>
                                  <a:srgbClr val="D2EAF1"/>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rsidR="00E639E7" w:rsidRPr="005A6F4D" w:rsidRDefault="00E639E7" w:rsidP="00F568F8">
                                    <w:pPr>
                                      <w:pStyle w:val="NormalWeb"/>
                                      <w:spacing w:before="0" w:beforeAutospacing="0" w:after="0" w:afterAutospacing="0"/>
                                      <w:jc w:val="center"/>
                                      <w:rPr>
                                        <w:sz w:val="18"/>
                                        <w:szCs w:val="18"/>
                                      </w:rPr>
                                    </w:pPr>
                                    <w:r w:rsidRPr="005A6F4D">
                                      <w:rPr>
                                        <w:rFonts w:asciiTheme="minorHAnsi" w:hAnsi="Calibri" w:cstheme="minorBidi"/>
                                        <w:color w:val="000000"/>
                                        <w:kern w:val="24"/>
                                        <w:sz w:val="18"/>
                                        <w:szCs w:val="18"/>
                                      </w:rPr>
                                      <w:t>53</w:t>
                                    </w:r>
                                  </w:p>
                                </w:txbxContent>
                              </wps:txbx>
                              <wps:bodyPr spcFirstLastPara="0" vert="horz" wrap="square" lIns="40005" tIns="13335" rIns="36223" bIns="13335" numCol="1" spcCol="1270" anchor="ctr" anchorCtr="0">
                                <a:noAutofit/>
                              </wps:bodyPr>
                            </wps:wsp>
                            <wps:wsp>
                              <wps:cNvPr id="32" name="Freeform 58"/>
                              <wps:cNvSpPr/>
                              <wps:spPr>
                                <a:xfrm>
                                  <a:off x="4530436" y="1"/>
                                  <a:ext cx="811033" cy="468872"/>
                                </a:xfrm>
                                <a:prstGeom prst="rect">
                                  <a:avLst/>
                                </a:prstGeom>
                                <a:solidFill>
                                  <a:srgbClr val="D2EAF1"/>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rsidR="00E639E7" w:rsidRPr="005A6F4D" w:rsidRDefault="00E639E7" w:rsidP="00F568F8">
                                    <w:pPr>
                                      <w:pStyle w:val="NormalWeb"/>
                                      <w:spacing w:before="0" w:beforeAutospacing="0" w:after="0" w:afterAutospacing="0"/>
                                      <w:jc w:val="center"/>
                                      <w:rPr>
                                        <w:sz w:val="18"/>
                                        <w:szCs w:val="18"/>
                                      </w:rPr>
                                    </w:pPr>
                                    <w:r w:rsidRPr="005A6F4D">
                                      <w:rPr>
                                        <w:rFonts w:asciiTheme="minorHAnsi" w:hAnsi="Calibri" w:cstheme="minorBidi"/>
                                        <w:color w:val="000000"/>
                                        <w:kern w:val="24"/>
                                        <w:sz w:val="18"/>
                                        <w:szCs w:val="18"/>
                                      </w:rPr>
                                      <w:t>6</w:t>
                                    </w:r>
                                  </w:p>
                                </w:txbxContent>
                              </wps:txbx>
                              <wps:bodyPr spcFirstLastPara="0" vert="horz" wrap="square" lIns="40005" tIns="13335" rIns="36223" bIns="13335" numCol="1" spcCol="1270" anchor="ctr" anchorCtr="0">
                                <a:noAutofit/>
                              </wps:bodyPr>
                            </wps:wsp>
                            <wps:wsp>
                              <wps:cNvPr id="34" name="Freeform 59"/>
                              <wps:cNvSpPr/>
                              <wps:spPr>
                                <a:xfrm>
                                  <a:off x="5354782" y="1"/>
                                  <a:ext cx="1053491" cy="468872"/>
                                </a:xfrm>
                                <a:prstGeom prst="rect">
                                  <a:avLst/>
                                </a:prstGeom>
                                <a:solidFill>
                                  <a:srgbClr val="D2EAF1"/>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rsidR="00E639E7" w:rsidRPr="005A6F4D" w:rsidRDefault="00E639E7" w:rsidP="00F568F8">
                                    <w:pPr>
                                      <w:pStyle w:val="NormalWeb"/>
                                      <w:spacing w:before="0" w:beforeAutospacing="0" w:after="0" w:afterAutospacing="0"/>
                                      <w:jc w:val="center"/>
                                      <w:rPr>
                                        <w:sz w:val="18"/>
                                        <w:szCs w:val="18"/>
                                      </w:rPr>
                                    </w:pPr>
                                    <w:r w:rsidRPr="005A6F4D">
                                      <w:rPr>
                                        <w:rFonts w:asciiTheme="minorHAnsi" w:hAnsi="Calibri" w:cstheme="minorBidi"/>
                                        <w:color w:val="000000"/>
                                        <w:kern w:val="24"/>
                                        <w:sz w:val="18"/>
                                        <w:szCs w:val="18"/>
                                      </w:rPr>
                                      <w:t>25</w:t>
                                    </w:r>
                                  </w:p>
                                </w:txbxContent>
                              </wps:txbx>
                              <wps:bodyPr spcFirstLastPara="0" vert="horz" wrap="square" lIns="40005" tIns="13335" rIns="36223" bIns="13335" numCol="1" spcCol="1270" anchor="ctr" anchorCtr="0">
                                <a:noAutofit/>
                              </wps:bodyPr>
                            </wps:wsp>
                            <wps:wsp>
                              <wps:cNvPr id="52" name="Freeform 60"/>
                              <wps:cNvSpPr/>
                              <wps:spPr>
                                <a:xfrm>
                                  <a:off x="6421582" y="0"/>
                                  <a:ext cx="1093485" cy="468873"/>
                                </a:xfrm>
                                <a:prstGeom prst="rect">
                                  <a:avLst/>
                                </a:prstGeom>
                                <a:solidFill>
                                  <a:srgbClr val="D2EAF1"/>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rsidR="00E639E7" w:rsidRPr="005A6F4D" w:rsidRDefault="00E639E7" w:rsidP="00F568F8">
                                    <w:pPr>
                                      <w:pStyle w:val="NormalWeb"/>
                                      <w:spacing w:before="0" w:beforeAutospacing="0" w:after="0" w:afterAutospacing="0"/>
                                      <w:jc w:val="center"/>
                                      <w:rPr>
                                        <w:sz w:val="18"/>
                                        <w:szCs w:val="18"/>
                                      </w:rPr>
                                    </w:pPr>
                                    <w:r w:rsidRPr="005A6F4D">
                                      <w:rPr>
                                        <w:rFonts w:asciiTheme="minorHAnsi" w:hAnsi="Calibri" w:cstheme="minorBidi"/>
                                        <w:color w:val="000000"/>
                                        <w:kern w:val="24"/>
                                        <w:sz w:val="18"/>
                                        <w:szCs w:val="18"/>
                                      </w:rPr>
                                      <w:t>25</w:t>
                                    </w:r>
                                  </w:p>
                                </w:txbxContent>
                              </wps:txbx>
                              <wps:bodyPr spcFirstLastPara="0" vert="horz" wrap="square" lIns="40005" tIns="13335" rIns="36223" bIns="13335" numCol="1" spcCol="1270" anchor="ctr" anchorCtr="0">
                                <a:noAutofit/>
                              </wps:bodyPr>
                            </wps:wsp>
                          </wpg:grpSp>
                          <wpg:grpSp>
                            <wpg:cNvPr id="53" name="Group 52"/>
                            <wpg:cNvGrpSpPr/>
                            <wpg:grpSpPr>
                              <a:xfrm>
                                <a:off x="0" y="-2"/>
                                <a:ext cx="7489779" cy="537777"/>
                                <a:chOff x="0" y="-2"/>
                                <a:chExt cx="7489779" cy="537777"/>
                              </a:xfrm>
                            </wpg:grpSpPr>
                            <wps:wsp>
                              <wps:cNvPr id="54" name="Freeform 63"/>
                              <wps:cNvSpPr/>
                              <wps:spPr>
                                <a:xfrm>
                                  <a:off x="0" y="1"/>
                                  <a:ext cx="1518509" cy="537774"/>
                                </a:xfrm>
                                <a:prstGeom prst="rect">
                                  <a:avLst/>
                                </a:prstGeom>
                                <a:solidFill>
                                  <a:srgbClr val="D2EAF1"/>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rsidR="00E639E7" w:rsidRPr="005A6F4D" w:rsidRDefault="00E639E7" w:rsidP="00F568F8">
                                    <w:pPr>
                                      <w:pStyle w:val="NormalWeb"/>
                                      <w:spacing w:before="0" w:beforeAutospacing="0" w:after="0" w:afterAutospacing="0"/>
                                      <w:jc w:val="center"/>
                                      <w:rPr>
                                        <w:sz w:val="18"/>
                                        <w:szCs w:val="18"/>
                                      </w:rPr>
                                    </w:pPr>
                                    <w:r w:rsidRPr="005A6F4D">
                                      <w:rPr>
                                        <w:rFonts w:asciiTheme="minorHAnsi" w:hAnsi="Calibri" w:cstheme="minorBidi"/>
                                        <w:color w:val="000000"/>
                                        <w:kern w:val="24"/>
                                        <w:sz w:val="18"/>
                                        <w:szCs w:val="18"/>
                                      </w:rPr>
                                      <w:t>Rater</w:t>
                                    </w:r>
                                  </w:p>
                                </w:txbxContent>
                              </wps:txbx>
                              <wps:bodyPr spcFirstLastPara="0" vert="horz" wrap="square" lIns="40005" tIns="13335" rIns="39587" bIns="13335" numCol="1" spcCol="1270" anchor="ctr" anchorCtr="0">
                                <a:noAutofit/>
                              </wps:bodyPr>
                            </wps:wsp>
                            <wps:wsp>
                              <wps:cNvPr id="55" name="Freeform 65"/>
                              <wps:cNvSpPr/>
                              <wps:spPr>
                                <a:xfrm>
                                  <a:off x="1551708" y="1"/>
                                  <a:ext cx="2978317" cy="537774"/>
                                </a:xfrm>
                                <a:prstGeom prst="rect">
                                  <a:avLst/>
                                </a:prstGeom>
                                <a:solidFill>
                                  <a:srgbClr val="D2EAF1"/>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rsidR="00E639E7" w:rsidRPr="005A6F4D" w:rsidRDefault="00E639E7" w:rsidP="00F568F8">
                                    <w:pPr>
                                      <w:pStyle w:val="NormalWeb"/>
                                      <w:spacing w:before="0" w:beforeAutospacing="0" w:after="0" w:afterAutospacing="0"/>
                                      <w:jc w:val="center"/>
                                      <w:rPr>
                                        <w:sz w:val="18"/>
                                        <w:szCs w:val="18"/>
                                      </w:rPr>
                                    </w:pPr>
                                    <w:r w:rsidRPr="005A6F4D">
                                      <w:rPr>
                                        <w:rFonts w:asciiTheme="minorHAnsi" w:hAnsi="Calibri" w:cstheme="minorBidi"/>
                                        <w:color w:val="000000"/>
                                        <w:kern w:val="24"/>
                                        <w:sz w:val="18"/>
                                        <w:szCs w:val="18"/>
                                      </w:rPr>
                                      <w:t>CSP</w:t>
                                    </w:r>
                                  </w:p>
                                </w:txbxContent>
                              </wps:txbx>
                              <wps:bodyPr spcFirstLastPara="0" vert="horz" wrap="square" lIns="40005" tIns="13335" rIns="39587" bIns="13335" numCol="1" spcCol="1270" anchor="ctr" anchorCtr="0">
                                <a:noAutofit/>
                              </wps:bodyPr>
                            </wps:wsp>
                            <wps:wsp>
                              <wps:cNvPr id="56" name="Freeform 66"/>
                              <wps:cNvSpPr/>
                              <wps:spPr>
                                <a:xfrm>
                                  <a:off x="4523509" y="1"/>
                                  <a:ext cx="815391" cy="537774"/>
                                </a:xfrm>
                                <a:prstGeom prst="rect">
                                  <a:avLst/>
                                </a:prstGeom>
                                <a:solidFill>
                                  <a:srgbClr val="D2EAF1"/>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rsidR="00E639E7" w:rsidRPr="005A6F4D" w:rsidRDefault="00E639E7" w:rsidP="00F568F8">
                                    <w:pPr>
                                      <w:pStyle w:val="NormalWeb"/>
                                      <w:spacing w:before="0" w:beforeAutospacing="0" w:after="0" w:afterAutospacing="0"/>
                                      <w:jc w:val="center"/>
                                      <w:rPr>
                                        <w:sz w:val="18"/>
                                        <w:szCs w:val="18"/>
                                      </w:rPr>
                                    </w:pPr>
                                    <w:r w:rsidRPr="005A6F4D">
                                      <w:rPr>
                                        <w:rFonts w:asciiTheme="minorHAnsi" w:hAnsi="Calibri" w:cstheme="minorBidi"/>
                                        <w:color w:val="000000"/>
                                        <w:kern w:val="24"/>
                                        <w:sz w:val="18"/>
                                        <w:szCs w:val="18"/>
                                      </w:rPr>
                                      <w:t>CSP</w:t>
                                    </w:r>
                                  </w:p>
                                </w:txbxContent>
                              </wps:txbx>
                              <wps:bodyPr spcFirstLastPara="0" vert="horz" wrap="square" lIns="40005" tIns="13335" rIns="39587" bIns="13335" numCol="1" spcCol="1270" anchor="ctr" anchorCtr="0">
                                <a:noAutofit/>
                              </wps:bodyPr>
                            </wps:wsp>
                            <wps:wsp>
                              <wps:cNvPr id="57" name="Freeform 67"/>
                              <wps:cNvSpPr/>
                              <wps:spPr>
                                <a:xfrm>
                                  <a:off x="5354783" y="1"/>
                                  <a:ext cx="1053491" cy="537774"/>
                                </a:xfrm>
                                <a:prstGeom prst="rect">
                                  <a:avLst/>
                                </a:prstGeom>
                                <a:solidFill>
                                  <a:srgbClr val="D2EAF1"/>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rsidR="00E639E7" w:rsidRPr="005A6F4D" w:rsidRDefault="00E639E7" w:rsidP="00F568F8">
                                    <w:pPr>
                                      <w:pStyle w:val="NormalWeb"/>
                                      <w:spacing w:before="0" w:beforeAutospacing="0" w:after="0" w:afterAutospacing="0"/>
                                      <w:jc w:val="center"/>
                                      <w:rPr>
                                        <w:sz w:val="18"/>
                                        <w:szCs w:val="18"/>
                                      </w:rPr>
                                    </w:pPr>
                                    <w:r w:rsidRPr="005A6F4D">
                                      <w:rPr>
                                        <w:rFonts w:asciiTheme="minorHAnsi" w:hAnsi="Calibri" w:cstheme="minorBidi"/>
                                        <w:color w:val="000000"/>
                                        <w:kern w:val="24"/>
                                        <w:sz w:val="18"/>
                                        <w:szCs w:val="18"/>
                                      </w:rPr>
                                      <w:t>PECO</w:t>
                                    </w:r>
                                  </w:p>
                                </w:txbxContent>
                              </wps:txbx>
                              <wps:bodyPr spcFirstLastPara="0" vert="horz" wrap="square" lIns="40005" tIns="13335" rIns="39587" bIns="13335" numCol="1" spcCol="1270" anchor="ctr" anchorCtr="0">
                                <a:noAutofit/>
                              </wps:bodyPr>
                            </wps:wsp>
                            <wps:wsp>
                              <wps:cNvPr id="58" name="Freeform 68"/>
                              <wps:cNvSpPr/>
                              <wps:spPr>
                                <a:xfrm>
                                  <a:off x="6421582" y="-2"/>
                                  <a:ext cx="1068197" cy="537775"/>
                                </a:xfrm>
                                <a:prstGeom prst="rect">
                                  <a:avLst/>
                                </a:prstGeom>
                                <a:solidFill>
                                  <a:srgbClr val="D2EAF1"/>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rsidR="00E639E7" w:rsidRPr="005A6F4D" w:rsidRDefault="00E639E7" w:rsidP="00F568F8">
                                    <w:pPr>
                                      <w:pStyle w:val="NormalWeb"/>
                                      <w:spacing w:before="0" w:beforeAutospacing="0" w:after="0" w:afterAutospacing="0"/>
                                      <w:jc w:val="center"/>
                                      <w:rPr>
                                        <w:sz w:val="18"/>
                                        <w:szCs w:val="18"/>
                                      </w:rPr>
                                    </w:pPr>
                                    <w:r w:rsidRPr="005A6F4D">
                                      <w:rPr>
                                        <w:rFonts w:asciiTheme="minorHAnsi" w:hAnsi="Calibri" w:cstheme="minorBidi"/>
                                        <w:color w:val="000000"/>
                                        <w:kern w:val="24"/>
                                        <w:sz w:val="18"/>
                                        <w:szCs w:val="18"/>
                                      </w:rPr>
                                      <w:t>CSP</w:t>
                                    </w:r>
                                  </w:p>
                                </w:txbxContent>
                              </wps:txbx>
                              <wps:bodyPr spcFirstLastPara="0" vert="horz" wrap="square" lIns="40005" tIns="13335" rIns="39587" bIns="13335" numCol="1" spcCol="1270" anchor="ctr" anchorCtr="0">
                                <a:noAutofit/>
                              </wps:bodyPr>
                            </wps:wsp>
                          </wpg:grpSp>
                          <wpg:grpSp>
                            <wpg:cNvPr id="59" name="Group 58"/>
                            <wpg:cNvGrpSpPr/>
                            <wpg:grpSpPr>
                              <a:xfrm>
                                <a:off x="0" y="1316184"/>
                                <a:ext cx="7561058" cy="1843631"/>
                                <a:chOff x="0" y="2"/>
                                <a:chExt cx="7561058" cy="1843631"/>
                              </a:xfrm>
                            </wpg:grpSpPr>
                            <wps:wsp>
                              <wps:cNvPr id="60" name="Freeform 47"/>
                              <wps:cNvSpPr/>
                              <wps:spPr>
                                <a:xfrm>
                                  <a:off x="1565564" y="671947"/>
                                  <a:ext cx="5993052" cy="537774"/>
                                </a:xfrm>
                                <a:prstGeom prst="homePlate">
                                  <a:avLst/>
                                </a:prstGeom>
                                <a:solidFill>
                                  <a:srgbClr val="D2EAF1"/>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rsidR="00E639E7" w:rsidRPr="005A6F4D" w:rsidRDefault="00E639E7" w:rsidP="00F568F8">
                                    <w:pPr>
                                      <w:pStyle w:val="NormalWeb"/>
                                      <w:spacing w:before="0" w:beforeAutospacing="0" w:after="0" w:afterAutospacing="0"/>
                                      <w:jc w:val="center"/>
                                      <w:rPr>
                                        <w:sz w:val="18"/>
                                        <w:szCs w:val="18"/>
                                      </w:rPr>
                                    </w:pPr>
                                    <w:r w:rsidRPr="005A6F4D">
                                      <w:rPr>
                                        <w:rFonts w:asciiTheme="minorHAnsi" w:hAnsi="Calibri" w:cstheme="minorBidi"/>
                                        <w:color w:val="000000"/>
                                        <w:kern w:val="24"/>
                                        <w:sz w:val="18"/>
                                        <w:szCs w:val="18"/>
                                      </w:rPr>
                                      <w:t>109 Days</w:t>
                                    </w:r>
                                  </w:p>
                                </w:txbxContent>
                              </wps:txbx>
                              <wps:bodyPr spcFirstLastPara="0" vert="horz" wrap="square" lIns="136017" tIns="45339" rIns="71591" bIns="45339" numCol="1" spcCol="1270" anchor="ctr" anchorCtr="0">
                                <a:noAutofit/>
                              </wps:bodyPr>
                            </wps:wsp>
                            <wps:wsp>
                              <wps:cNvPr id="61" name="Freeform 47"/>
                              <wps:cNvSpPr/>
                              <wps:spPr>
                                <a:xfrm>
                                  <a:off x="0" y="2"/>
                                  <a:ext cx="7561058" cy="537774"/>
                                </a:xfrm>
                                <a:prstGeom prst="homePlate">
                                  <a:avLst/>
                                </a:prstGeom>
                                <a:solidFill>
                                  <a:srgbClr val="D2EAF1"/>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rsidR="00E639E7" w:rsidRPr="005A6F4D" w:rsidRDefault="00E639E7" w:rsidP="00F568F8">
                                    <w:pPr>
                                      <w:pStyle w:val="NormalWeb"/>
                                      <w:spacing w:before="0" w:beforeAutospacing="0" w:after="0" w:afterAutospacing="0"/>
                                      <w:jc w:val="center"/>
                                      <w:rPr>
                                        <w:sz w:val="18"/>
                                        <w:szCs w:val="18"/>
                                      </w:rPr>
                                    </w:pPr>
                                    <w:r w:rsidRPr="005A6F4D">
                                      <w:rPr>
                                        <w:rFonts w:asciiTheme="minorHAnsi" w:hAnsi="Calibri" w:cstheme="minorBidi"/>
                                        <w:color w:val="000000"/>
                                        <w:kern w:val="24"/>
                                        <w:sz w:val="18"/>
                                        <w:szCs w:val="18"/>
                                      </w:rPr>
                                      <w:t>131 Days</w:t>
                                    </w:r>
                                  </w:p>
                                </w:txbxContent>
                              </wps:txbx>
                              <wps:bodyPr spcFirstLastPara="0" vert="horz" wrap="square" lIns="136017" tIns="45339" rIns="71591" bIns="45339" numCol="1" spcCol="1270" anchor="ctr" anchorCtr="0">
                                <a:noAutofit/>
                              </wps:bodyPr>
                            </wps:wsp>
                            <wps:wsp>
                              <wps:cNvPr id="62" name="Freeform 49"/>
                              <wps:cNvSpPr/>
                              <wps:spPr>
                                <a:xfrm>
                                  <a:off x="3352800" y="1288475"/>
                                  <a:ext cx="1941830" cy="547401"/>
                                </a:xfrm>
                                <a:prstGeom prst="rect">
                                  <a:avLst/>
                                </a:prstGeom>
                                <a:solidFill>
                                  <a:srgbClr val="D2EAF1"/>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rsidR="00E639E7" w:rsidRPr="005A6F4D" w:rsidRDefault="00E639E7" w:rsidP="003B7B81">
                                    <w:pPr>
                                      <w:pStyle w:val="NormalWeb"/>
                                      <w:spacing w:before="0" w:beforeAutospacing="0" w:after="0" w:afterAutospacing="0"/>
                                      <w:jc w:val="center"/>
                                      <w:rPr>
                                        <w:sz w:val="18"/>
                                        <w:szCs w:val="18"/>
                                      </w:rPr>
                                    </w:pPr>
                                    <w:r w:rsidRPr="005A6F4D">
                                      <w:rPr>
                                        <w:rFonts w:asciiTheme="minorHAnsi" w:hAnsi="Calibri" w:cstheme="minorBidi"/>
                                        <w:color w:val="000000"/>
                                        <w:kern w:val="24"/>
                                        <w:sz w:val="18"/>
                                        <w:szCs w:val="18"/>
                                      </w:rPr>
                                      <w:t>35</w:t>
                                    </w:r>
                                  </w:p>
                                </w:txbxContent>
                              </wps:txbx>
                              <wps:bodyPr spcFirstLastPara="0" vert="horz" wrap="square" lIns="0" tIns="0" rIns="0" bIns="0" numCol="1" spcCol="1270" anchor="ctr" anchorCtr="0">
                                <a:noAutofit/>
                              </wps:bodyPr>
                            </wps:wsp>
                            <wps:wsp>
                              <wps:cNvPr id="63" name="Freeform 50"/>
                              <wps:cNvSpPr/>
                              <wps:spPr>
                                <a:xfrm>
                                  <a:off x="5320143" y="1288475"/>
                                  <a:ext cx="1045257" cy="546173"/>
                                </a:xfrm>
                                <a:prstGeom prst="rect">
                                  <a:avLst/>
                                </a:prstGeom>
                                <a:solidFill>
                                  <a:srgbClr val="D2EAF1"/>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rsidR="00E639E7" w:rsidRPr="005A6F4D" w:rsidRDefault="00E639E7" w:rsidP="00F568F8">
                                    <w:pPr>
                                      <w:pStyle w:val="NormalWeb"/>
                                      <w:spacing w:before="0" w:beforeAutospacing="0" w:after="0" w:afterAutospacing="0"/>
                                      <w:jc w:val="center"/>
                                      <w:rPr>
                                        <w:sz w:val="18"/>
                                        <w:szCs w:val="18"/>
                                      </w:rPr>
                                    </w:pPr>
                                    <w:r w:rsidRPr="005A6F4D">
                                      <w:rPr>
                                        <w:rFonts w:asciiTheme="minorHAnsi" w:hAnsi="Calibri" w:cstheme="minorBidi"/>
                                        <w:color w:val="000000"/>
                                        <w:kern w:val="24"/>
                                        <w:sz w:val="18"/>
                                        <w:szCs w:val="18"/>
                                      </w:rPr>
                                      <w:t>15</w:t>
                                    </w:r>
                                  </w:p>
                                </w:txbxContent>
                              </wps:txbx>
                              <wps:bodyPr spcFirstLastPara="0" vert="horz" wrap="square" lIns="40005" tIns="13335" rIns="39587" bIns="13335" numCol="1" spcCol="1270" anchor="ctr" anchorCtr="0">
                                <a:noAutofit/>
                              </wps:bodyPr>
                            </wps:wsp>
                            <wps:wsp>
                              <wps:cNvPr id="288" name="Freeform 47"/>
                              <wps:cNvSpPr/>
                              <wps:spPr>
                                <a:xfrm>
                                  <a:off x="6393873" y="1288475"/>
                                  <a:ext cx="1164457" cy="555158"/>
                                </a:xfrm>
                                <a:prstGeom prst="homePlate">
                                  <a:avLst/>
                                </a:prstGeom>
                                <a:solidFill>
                                  <a:srgbClr val="D2EAF1"/>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rsidR="00E639E7" w:rsidRPr="005A6F4D" w:rsidRDefault="00E639E7" w:rsidP="00F568F8">
                                    <w:pPr>
                                      <w:pStyle w:val="NormalWeb"/>
                                      <w:spacing w:before="0" w:beforeAutospacing="0" w:after="0" w:afterAutospacing="0"/>
                                      <w:jc w:val="center"/>
                                      <w:rPr>
                                        <w:sz w:val="18"/>
                                        <w:szCs w:val="18"/>
                                      </w:rPr>
                                    </w:pPr>
                                    <w:r w:rsidRPr="005A6F4D">
                                      <w:rPr>
                                        <w:rFonts w:asciiTheme="minorHAnsi" w:hAnsi="Calibri" w:cstheme="minorBidi"/>
                                        <w:color w:val="000000"/>
                                        <w:kern w:val="24"/>
                                        <w:sz w:val="18"/>
                                        <w:szCs w:val="18"/>
                                      </w:rPr>
                                      <w:t>10</w:t>
                                    </w:r>
                                  </w:p>
                                </w:txbxContent>
                              </wps:txbx>
                              <wps:bodyPr spcFirstLastPara="0" vert="horz" wrap="square" lIns="136017" tIns="45339" rIns="71591" bIns="45339" numCol="1" spcCol="1270" anchor="ctr" anchorCtr="0">
                                <a:noAutofit/>
                              </wps:bodyPr>
                            </wps:wsp>
                          </wpg:grpSp>
                        </wpg:grpSp>
                      </wpg:grpSp>
                    </wpg:wgp>
                  </a:graphicData>
                </a:graphic>
              </wp:inline>
            </w:drawing>
          </mc:Choice>
          <mc:Fallback>
            <w:pict>
              <v:group id="Group 3" o:spid="_x0000_s1053" style="width:521.4pt;height:208.3pt;mso-position-horizontal-relative:char;mso-position-vertical-relative:line" coordsize="89893,42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">
                <v:group id="Group 9" o:spid="_x0000_s1054" style="position:absolute;width:13174;height:42495" coordsize="13174,42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38" o:spid="_x0000_s1055" style="position:absolute;width:13043;height:97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P58QA&#10;AADbAAAADwAAAGRycy9kb3ducmV2LnhtbESPT0vDQBDF70K/wzIFb3bTIqJpt0VKBU/Sv+pxyE6T&#10;YHY2ZMckfnvnIHib4b157zerzRga01OX6sgO5rMMDHERfc2lg/Pp5e4RTBJkj01kcvBDCTbryc0K&#10;cx8HPlB/lNJoCKccHVQibW5tKioKmGaxJVbtGruAomtXWt/hoOGhsYsse7ABa9aGClvaVlR8Hb+D&#10;g/vy83I5H+Zxt/3Yv8nTvh/exTp3Ox2fl2CERvk3/12/esVXev1FB7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ez+fEAAAA2wAAAA8AAAAAAAAAAAAAAAAAmAIAAGRycy9k&#10;b3ducmV2LnhtbFBLBQYAAAAABAAEAPUAAACJAwAAAAA=&#10;" fillcolor="#ed9e3e" strokecolor="white [3201]" strokeweight="2pt">
                    <v:textbox inset="0,0,0,0">
                      <w:txbxContent>
                        <w:p w:rsidR="00E639E7" w:rsidRPr="00CF188C" w:rsidRDefault="00E639E7" w:rsidP="003B7B81">
                          <w:pPr>
                            <w:pStyle w:val="NormalWeb"/>
                            <w:spacing w:before="0" w:beforeAutospacing="0" w:after="0" w:afterAutospacing="0"/>
                            <w:jc w:val="center"/>
                            <w:rPr>
                              <w:rFonts w:ascii="Century Gothic" w:hAnsi="Century Gothic"/>
                              <w:b/>
                              <w:sz w:val="18"/>
                              <w:szCs w:val="18"/>
                            </w:rPr>
                          </w:pPr>
                          <w:r w:rsidRPr="00CF188C">
                            <w:rPr>
                              <w:rFonts w:ascii="Century Gothic" w:hAnsi="Century Gothic" w:cstheme="minorBidi"/>
                              <w:b/>
                              <w:bCs/>
                              <w:color w:val="FFFFFF" w:themeColor="background1"/>
                              <w:kern w:val="24"/>
                              <w:sz w:val="18"/>
                              <w:szCs w:val="18"/>
                            </w:rPr>
                            <w:t>ACTIVITY</w:t>
                          </w:r>
                        </w:p>
                      </w:txbxContent>
                    </v:textbox>
                  </v:rect>
                  <v:rect id="Rectangle 54" o:spid="_x0000_s1056" style="position:absolute;top:17941;width:13174;height:4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VMv8EA&#10;AADbAAAADwAAAGRycy9kb3ducmV2LnhtbESPQYvCMBCF74L/IYzgbU3dg0rXKCIU9rCXrWXPQzLb&#10;FptJSWJb99dvBMHbDO99b97sj5PtxEA+tI4VrFcZCGLtTMu1gupSvO1AhIhssHNMCu4U4HiYz/aY&#10;GzfyNw1lrEUK4ZCjgibGPpcy6IYshpXriZP267zFmFZfS+NxTOG2k+9ZtpEWW04XGuzp3JC+ljeb&#10;amj99fPni3vYUkFDMVa7sqyUWi6m0weISFN8mZ/0p0ncGh6/pAHk4R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lTL/BAAAA2wAAAA8AAAAAAAAAAAAAAAAAmAIAAGRycy9kb3du&#10;cmV2LnhtbFBLBQYAAAAABAAEAPUAAACGAwAAAAA=&#10;" fillcolor="#f5ca95" strokecolor="white [3201]" strokeweight="2pt">
                    <v:textbox inset="3.15pt,1.05pt,1.0062mm,1.05pt">
                      <w:txbxContent>
                        <w:p w:rsidR="00E639E7" w:rsidRPr="005A6F4D" w:rsidRDefault="00E639E7" w:rsidP="00F568F8">
                          <w:pPr>
                            <w:pStyle w:val="NormalWeb"/>
                            <w:spacing w:before="0" w:beforeAutospacing="0" w:after="0" w:afterAutospacing="0"/>
                            <w:jc w:val="center"/>
                            <w:rPr>
                              <w:sz w:val="18"/>
                              <w:szCs w:val="18"/>
                            </w:rPr>
                          </w:pPr>
                          <w:r w:rsidRPr="005A6F4D">
                            <w:rPr>
                              <w:rFonts w:asciiTheme="minorHAnsi" w:hAnsi="Calibri" w:cstheme="minorBidi"/>
                              <w:bCs/>
                              <w:color w:val="000000"/>
                              <w:kern w:val="24"/>
                              <w:sz w:val="18"/>
                              <w:szCs w:val="18"/>
                            </w:rPr>
                            <w:t>Duration (Days)</w:t>
                          </w:r>
                        </w:p>
                      </w:txbxContent>
                    </v:textbox>
                  </v:rect>
                  <v:rect id="Rectangle 62" o:spid="_x0000_s1057" style="position:absolute;top:10945;width:13070;height:5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VNOMMA&#10;AADbAAAADwAAAGRycy9kb3ducmV2LnhtbERPTWvCQBC9F/oflil4qxsjiImuYlMC9uChtqXXMTsm&#10;wexsyK5J6q/vFgre5vE+Z70dTSN66lxtWcFsGoEgLqyuuVTw+ZE/L0E4j6yxsUwKfsjBdvP4sMZU&#10;24HfqT/6UoQQdikqqLxvUyldUZFBN7UtceDOtjPoA+xKqTscQrhpZBxFC2mw5tBQYUtZRcXleDUK&#10;vpLzId/dmtfvt5fTPHZZYpLlQanJ07hbgfA0+rv4373XYX4Mf7+E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VNOMMAAADbAAAADwAAAAAAAAAAAAAAAACYAgAAZHJzL2Rv&#10;d25yZXYueG1sUEsFBgAAAAAEAAQA9QAAAIgDAAAAAA==&#10;" fillcolor="#f5ca95" strokecolor="white [3201]" strokeweight="2pt">
                    <v:textbox inset="3.15pt,1.05pt,1.0996mm,1.05pt">
                      <w:txbxContent>
                        <w:p w:rsidR="00E639E7" w:rsidRPr="005A6F4D" w:rsidRDefault="00E639E7" w:rsidP="00F568F8">
                          <w:pPr>
                            <w:pStyle w:val="NormalWeb"/>
                            <w:spacing w:before="0" w:beforeAutospacing="0" w:after="0" w:afterAutospacing="0"/>
                            <w:jc w:val="center"/>
                            <w:rPr>
                              <w:sz w:val="18"/>
                              <w:szCs w:val="18"/>
                            </w:rPr>
                          </w:pPr>
                          <w:r w:rsidRPr="005A6F4D">
                            <w:rPr>
                              <w:rFonts w:asciiTheme="minorHAnsi" w:hAnsi="Calibri" w:cstheme="minorBidi"/>
                              <w:bCs/>
                              <w:color w:val="000000"/>
                              <w:kern w:val="24"/>
                              <w:sz w:val="18"/>
                              <w:szCs w:val="18"/>
                            </w:rPr>
                            <w:t xml:space="preserve">Responsible </w:t>
                          </w:r>
                          <w:r>
                            <w:rPr>
                              <w:rFonts w:asciiTheme="minorHAnsi" w:hAnsi="Calibri" w:cstheme="minorBidi"/>
                              <w:bCs/>
                              <w:color w:val="000000"/>
                              <w:kern w:val="24"/>
                              <w:sz w:val="18"/>
                              <w:szCs w:val="18"/>
                            </w:rPr>
                            <w:br/>
                          </w:r>
                          <w:r w:rsidRPr="005A6F4D">
                            <w:rPr>
                              <w:rFonts w:asciiTheme="minorHAnsi" w:hAnsi="Calibri" w:cstheme="minorBidi"/>
                              <w:bCs/>
                              <w:color w:val="000000"/>
                              <w:kern w:val="24"/>
                              <w:sz w:val="18"/>
                              <w:szCs w:val="18"/>
                            </w:rPr>
                            <w:t>Party</w:t>
                          </w:r>
                        </w:p>
                      </w:txbxContent>
                    </v:textbox>
                  </v:rect>
                  <v:rect id="Rectangle 72" o:spid="_x0000_s1058" style="position:absolute;top:30895;width:13167;height:5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noo8IA&#10;AADbAAAADwAAAGRycy9kb3ducmV2LnhtbERPS4vCMBC+C/6HMII3TVUQ2zWKDwQ9eNBV9jrbjG3Z&#10;ZlKaqNVfbwRhb/PxPWc6b0wpblS7wrKCQT8CQZxaXXCm4PS96U1AOI+ssbRMCh7kYD5rt6aYaHvn&#10;A92OPhMhhF2CCnLvq0RKl+Zk0PVtRRy4i60N+gDrTOoa7yHclHIYRWNpsODQkGNFq5zSv+PVKDjH&#10;l/1m8SzXP7vl72joVrGJJ3ulup1m8QXCU+P/xR/3Vof5I3j/Eg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eijwgAAANsAAAAPAAAAAAAAAAAAAAAAAJgCAABkcnMvZG93&#10;bnJldi54bWxQSwUGAAAAAAQABAD1AAAAhwMAAAAA&#10;" fillcolor="#f5ca95" strokecolor="white [3201]" strokeweight="2pt">
                    <v:textbox inset="3.15pt,1.05pt,1.0996mm,1.05pt">
                      <w:txbxContent>
                        <w:p w:rsidR="00E639E7" w:rsidRPr="005A6F4D" w:rsidRDefault="00E639E7" w:rsidP="00F568F8">
                          <w:pPr>
                            <w:pStyle w:val="NormalWeb"/>
                            <w:spacing w:before="0" w:beforeAutospacing="0" w:after="0" w:afterAutospacing="0"/>
                            <w:jc w:val="center"/>
                            <w:rPr>
                              <w:sz w:val="18"/>
                              <w:szCs w:val="18"/>
                            </w:rPr>
                          </w:pPr>
                          <w:r w:rsidRPr="005A6F4D">
                            <w:rPr>
                              <w:rFonts w:asciiTheme="minorHAnsi" w:hAnsi="Calibri" w:cstheme="minorBidi"/>
                              <w:bCs/>
                              <w:color w:val="000000"/>
                              <w:kern w:val="24"/>
                              <w:sz w:val="18"/>
                              <w:szCs w:val="18"/>
                            </w:rPr>
                            <w:t>Program Cycle Time</w:t>
                          </w:r>
                        </w:p>
                      </w:txbxContent>
                    </v:textbox>
                  </v:rect>
                  <v:rect id="Rectangle 74" o:spid="_x0000_s1059" style="position:absolute;top:24106;width:13174;height:5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Bw18MA&#10;AADbAAAADwAAAGRycy9kb3ducmV2LnhtbERPS4vCMBC+C/6HMII3TX2w2K5RfCCsBw8+lr3ONmNb&#10;bCalyWr11xthwdt8fM+ZzhtTiivVrrCsYNCPQBCnVhecKTgdN70JCOeRNZaWScGdHMxn7dYUE21v&#10;vKfrwWcihLBLUEHufZVI6dKcDLq+rYgDd7a1QR9gnUld4y2Em1IOo+hDGiw4NORY0Sqn9HL4Mwq+&#10;4/Nus3iU65/t8nc0dKvYxJOdUt1Os/gE4anxb/G/+0uH+WN4/RIO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Bw18MAAADbAAAADwAAAAAAAAAAAAAAAACYAgAAZHJzL2Rv&#10;d25yZXYueG1sUEsFBgAAAAAEAAQA9QAAAIgDAAAAAA==&#10;" fillcolor="#f5ca95" strokecolor="white [3201]" strokeweight="2pt">
                    <v:textbox inset="3.15pt,1.05pt,1.0996mm,1.05pt">
                      <w:txbxContent>
                        <w:p w:rsidR="00E639E7" w:rsidRPr="005A6F4D" w:rsidRDefault="00E639E7" w:rsidP="00F568F8">
                          <w:pPr>
                            <w:pStyle w:val="NormalWeb"/>
                            <w:spacing w:before="0" w:beforeAutospacing="0" w:after="0" w:afterAutospacing="0"/>
                            <w:jc w:val="center"/>
                            <w:rPr>
                              <w:sz w:val="18"/>
                              <w:szCs w:val="18"/>
                            </w:rPr>
                          </w:pPr>
                          <w:r w:rsidRPr="005A6F4D">
                            <w:rPr>
                              <w:rFonts w:asciiTheme="minorHAnsi" w:hAnsi="Calibri" w:cstheme="minorBidi"/>
                              <w:bCs/>
                              <w:color w:val="000000"/>
                              <w:kern w:val="24"/>
                              <w:sz w:val="18"/>
                              <w:szCs w:val="18"/>
                            </w:rPr>
                            <w:t>Average Total Duration</w:t>
                          </w:r>
                        </w:p>
                      </w:txbxContent>
                    </v:textbox>
                  </v:rect>
                  <v:rect id="Rectangle 64" o:spid="_x0000_s1060" style="position:absolute;top:37130;width:13174;height:5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LuoMIA&#10;AADbAAAADwAAAGRycy9kb3ducmV2LnhtbERPS4vCMBC+C/6HMII3TVVwbdcoPhDWgwcfy15nm7Et&#10;NpPSZLX6642w4G0+vudM540pxZVqV1hWMOhHIIhTqwvOFJyOm94EhPPIGkvLpOBODuazdmuKibY3&#10;3tP14DMRQtglqCD3vkqkdGlOBl3fVsSBO9vaoA+wzqSu8RbCTSmHUTSWBgsODTlWtMopvRz+jILv&#10;+LzbLB7l+me7/B0N3So28WSnVLfTLD5BeGr8W/zv/tJh/ge8fgkH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Uu6gwgAAANsAAAAPAAAAAAAAAAAAAAAAAJgCAABkcnMvZG93&#10;bnJldi54bWxQSwUGAAAAAAQABAD1AAAAhwMAAAAA&#10;" fillcolor="#f5ca95" strokecolor="white [3201]" strokeweight="2pt">
                    <v:textbox inset="3.15pt,1.05pt,1.0996mm,1.05pt">
                      <w:txbxContent>
                        <w:p w:rsidR="00E639E7" w:rsidRPr="005A6F4D" w:rsidRDefault="00E639E7" w:rsidP="00F568F8">
                          <w:pPr>
                            <w:pStyle w:val="NormalWeb"/>
                            <w:spacing w:before="0" w:beforeAutospacing="0" w:after="0" w:afterAutospacing="0"/>
                            <w:jc w:val="center"/>
                            <w:rPr>
                              <w:sz w:val="18"/>
                              <w:szCs w:val="18"/>
                            </w:rPr>
                          </w:pPr>
                          <w:r w:rsidRPr="005A6F4D">
                            <w:rPr>
                              <w:rFonts w:asciiTheme="minorHAnsi" w:hAnsi="Calibri" w:cstheme="minorBidi"/>
                              <w:bCs/>
                              <w:color w:val="000000"/>
                              <w:kern w:val="24"/>
                              <w:sz w:val="18"/>
                              <w:szCs w:val="18"/>
                            </w:rPr>
                            <w:t>Phase III CSP Goals</w:t>
                          </w:r>
                        </w:p>
                      </w:txbxContent>
                    </v:textbox>
                  </v:rect>
                </v:group>
                <v:group id="Group 17" o:spid="_x0000_s1061" style="position:absolute;left:13852;top:69;width:76041;height:42474" coordorigin="-2" coordsize="76041,42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18" o:spid="_x0000_s1062" style="position:absolute;left:-2;width:76040;height:9714" coordorigin="-2" coordsize="76041,9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39" o:spid="_x0000_s1063" style="position:absolute;left:-2;width:17143;height:9702;visibility:visible;mso-wrap-style:square;v-text-anchor:middle" coordsize="1683039,9709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1D38AA&#10;AADbAAAADwAAAGRycy9kb3ducmV2LnhtbERPy4rCMBTdC/MP4Qqzs6kdEKlGkcJIcecDZ9xdm2tb&#10;bG5KE23n7ycLweXhvJfrwTTiSZ2rLSuYRjEI4sLqmksFp+P3ZA7CeWSNjWVS8EcO1quP0RJTbXve&#10;0/PgSxFC2KWooPK+TaV0RUUGXWRb4sDdbGfQB9iVUnfYh3DTyCSOZ9JgzaGhwpayior74WEU7H8u&#10;NkvOya6/fmWPwsX5sP3NlfocD5sFCE+Df4tf7lwrSML68CX8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1D38AAAADbAAAADwAAAAAAAAAAAAAAAACYAgAAZHJzL2Rvd25y&#10;ZXYueG1sUEsFBgAAAAAEAAQA9QAAAIUDAAAAAA==&#10;" adj="-11796480,,5400" path="m,l1363836,r319203,478530l1377715,963988,,970915,,xe" fillcolor="#448a99" strokecolor="white [3201]" strokeweight="2pt">
                      <v:stroke joinstyle="miter"/>
                      <v:formulas/>
                      <v:path arrowok="t" o:connecttype="custom" o:connectlocs="0,0;1389219,0;1714363,478182;1403356,963286;0,970208;0,0" o:connectangles="0,0,0,0,0,0" textboxrect="0,0,1683039,970915"/>
                      <v:textbox inset="0,0,0,0">
                        <w:txbxContent>
                          <w:p w:rsidR="00E639E7" w:rsidRPr="00CF188C" w:rsidRDefault="00E639E7" w:rsidP="003B7B81">
                            <w:pPr>
                              <w:pStyle w:val="NormalWeb"/>
                              <w:spacing w:before="0" w:beforeAutospacing="0" w:after="0" w:afterAutospacing="0"/>
                              <w:ind w:left="-360" w:right="-158"/>
                              <w:jc w:val="center"/>
                              <w:rPr>
                                <w:rFonts w:ascii="Century Gothic" w:hAnsi="Century Gothic"/>
                                <w:b/>
                                <w:sz w:val="18"/>
                                <w:szCs w:val="18"/>
                              </w:rPr>
                            </w:pPr>
                            <w:r w:rsidRPr="00CF188C">
                              <w:rPr>
                                <w:rFonts w:ascii="Century Gothic" w:hAnsi="Century Gothic" w:cstheme="minorBidi"/>
                                <w:b/>
                                <w:color w:val="FFFFFF" w:themeColor="background1"/>
                                <w:kern w:val="24"/>
                                <w:sz w:val="18"/>
                                <w:szCs w:val="18"/>
                              </w:rPr>
                              <w:t xml:space="preserve">PROJECT </w:t>
                            </w:r>
                            <w:r>
                              <w:rPr>
                                <w:rFonts w:ascii="Century Gothic" w:hAnsi="Century Gothic" w:cstheme="minorBidi"/>
                                <w:b/>
                                <w:color w:val="FFFFFF" w:themeColor="background1"/>
                                <w:kern w:val="24"/>
                                <w:sz w:val="18"/>
                                <w:szCs w:val="18"/>
                              </w:rPr>
                              <w:br/>
                            </w:r>
                            <w:r w:rsidRPr="00CF188C">
                              <w:rPr>
                                <w:rFonts w:ascii="Century Gothic" w:hAnsi="Century Gothic" w:cstheme="minorBidi"/>
                                <w:b/>
                                <w:color w:val="FFFFFF" w:themeColor="background1"/>
                                <w:kern w:val="24"/>
                                <w:sz w:val="18"/>
                                <w:szCs w:val="18"/>
                              </w:rPr>
                              <w:t xml:space="preserve">COMPLETE; </w:t>
                            </w:r>
                            <w:r w:rsidRPr="00CF188C">
                              <w:rPr>
                                <w:rFonts w:ascii="Century Gothic" w:hAnsi="Century Gothic" w:cstheme="minorBidi"/>
                                <w:b/>
                                <w:color w:val="FFFFFF" w:themeColor="background1"/>
                                <w:kern w:val="24"/>
                                <w:sz w:val="18"/>
                                <w:szCs w:val="18"/>
                              </w:rPr>
                              <w:br/>
                              <w:t xml:space="preserve">APPLICATION </w:t>
                            </w:r>
                            <w:r w:rsidRPr="00CF188C">
                              <w:rPr>
                                <w:rFonts w:ascii="Century Gothic" w:hAnsi="Century Gothic" w:cstheme="minorBidi"/>
                                <w:b/>
                                <w:color w:val="FFFFFF" w:themeColor="background1"/>
                                <w:kern w:val="24"/>
                                <w:sz w:val="18"/>
                                <w:szCs w:val="18"/>
                              </w:rPr>
                              <w:br/>
                              <w:t>RECEIVED</w:t>
                            </w:r>
                          </w:p>
                        </w:txbxContent>
                      </v:textbox>
                    </v:shape>
                    <v:shape id="Freeform 41" o:spid="_x0000_s1064" style="position:absolute;left:14408;width:31267;height:9713;visibility:visible;mso-wrap-style:square;v-text-anchor:middle" coordsize="2451404,4747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l2MMA&#10;AADbAAAADwAAAGRycy9kb3ducmV2LnhtbESP0YrCMBRE3wX/IVxhX2RNrShL1ygiKLsoiHU/4NJc&#10;22pzU5qoXb/eCIKPw8ycYabz1lTiSo0rLSsYDiIQxJnVJecK/g6rzy8QziNrrCyTgn9yMJ91O1NM&#10;tL3xnq6pz0WAsEtQQeF9nUjpsoIMuoGtiYN3tI1BH2STS93gLcBNJeMomkiDJYeFAmtaFpSd04tR&#10;MNr8mm2s72PmXemP/fNdm/VJqY9eu/gG4an17/Cr/aMVxEN4fg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ol2MMAAADbAAAADwAAAAAAAAAAAAAAAACYAgAAZHJzL2Rv&#10;d25yZXYueG1sUEsFBgAAAAAEAAQA9QAAAIgDAAAAAA==&#10;" adj="-11796480,,5400" path="m,l2214027,r237377,237377l2214027,474754,,474754,237377,237377,,xe" fillcolor="#448a99" strokecolor="white [3201]" strokeweight="2pt">
                      <v:stroke joinstyle="miter"/>
                      <v:formulas/>
                      <v:path arrowok="t" o:connecttype="custom" o:connectlocs="0,0;2823880,0;3126642,485661;2823880,971322;0,971322;302762,485661;0,0" o:connectangles="0,0,0,0,0,0,0" textboxrect="0,0,2451404,474754"/>
                      <v:textbox inset="0,0,0,0">
                        <w:txbxContent>
                          <w:p w:rsidR="00E639E7" w:rsidRPr="00CF188C" w:rsidRDefault="00E639E7" w:rsidP="003B7B81">
                            <w:pPr>
                              <w:pStyle w:val="NormalWeb"/>
                              <w:spacing w:before="0" w:beforeAutospacing="0" w:after="0" w:afterAutospacing="0"/>
                              <w:jc w:val="center"/>
                              <w:rPr>
                                <w:rFonts w:ascii="Century Gothic" w:hAnsi="Century Gothic"/>
                                <w:b/>
                                <w:sz w:val="18"/>
                                <w:szCs w:val="18"/>
                              </w:rPr>
                            </w:pPr>
                            <w:r w:rsidRPr="00CF188C">
                              <w:rPr>
                                <w:rFonts w:ascii="Century Gothic" w:hAnsi="Century Gothic" w:cstheme="minorBidi"/>
                                <w:b/>
                                <w:color w:val="FFFFFF" w:themeColor="background1"/>
                                <w:kern w:val="24"/>
                                <w:sz w:val="18"/>
                                <w:szCs w:val="18"/>
                              </w:rPr>
                              <w:t>APPLICATION APPROVED</w:t>
                            </w:r>
                          </w:p>
                        </w:txbxContent>
                      </v:textbox>
                    </v:shape>
                    <v:shape id="Freeform 42" o:spid="_x0000_s1065" style="position:absolute;left:42931;width:11584;height:9699;visibility:visible;mso-wrap-style:square;v-text-anchor:middle" coordsize="883915,4747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RJu8IA&#10;AADbAAAADwAAAGRycy9kb3ducmV2LnhtbESPQYvCMBSE7wv+h/AEb2tqkWWpRpGCi+BFXQ/29mie&#10;bbF5iU1W6783C4LHYWa+YebL3rTiRp1vLCuYjBMQxKXVDVcKjr/rz28QPiBrbC2Tggd5WC4GH3PM&#10;tL3znm6HUIkIYZ+hgjoEl0npy5oM+rF1xNE7285giLKrpO7wHuGmlWmSfEmDDceFGh3lNZWXw59R&#10;sA0bnBKdd6ccf6550Tv5KJxSo2G/moEI1Id3+NXeaAVpCv9f4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NEm7wgAAANsAAAAPAAAAAAAAAAAAAAAAAJgCAABkcnMvZG93&#10;bnJldi54bWxQSwUGAAAAAAQABAD1AAAAhwMAAAAA&#10;" adj="-11796480,,5400" path="m,l684108,,883915,240764,684108,474754,,474754,237377,237377,,xe" fillcolor="#448a99" strokecolor="white [3201]" strokeweight="2pt">
                      <v:stroke joinstyle="miter"/>
                      <v:formulas/>
                      <v:path arrowok="t" o:connecttype="custom" o:connectlocs="0,0;896611,0;1158484,491923;896611,970005;0,970005;311113,485003;0,0" o:connectangles="0,0,0,0,0,0,0" textboxrect="0,0,883915,474754"/>
                      <v:textbox inset="0,0,0,0">
                        <w:txbxContent>
                          <w:p w:rsidR="00E639E7" w:rsidRPr="00CF188C" w:rsidRDefault="00E639E7" w:rsidP="003B7B81">
                            <w:pPr>
                              <w:pStyle w:val="NormalWeb"/>
                              <w:spacing w:before="0" w:beforeAutospacing="0" w:after="0" w:afterAutospacing="0" w:line="216" w:lineRule="auto"/>
                              <w:ind w:right="-144"/>
                              <w:jc w:val="center"/>
                              <w:rPr>
                                <w:rFonts w:ascii="Century Gothic" w:hAnsi="Century Gothic"/>
                                <w:b/>
                                <w:sz w:val="18"/>
                                <w:szCs w:val="18"/>
                              </w:rPr>
                            </w:pPr>
                            <w:r w:rsidRPr="00CF188C">
                              <w:rPr>
                                <w:rFonts w:ascii="Century Gothic" w:hAnsi="Century Gothic" w:cstheme="minorBidi"/>
                                <w:b/>
                                <w:color w:val="FFFFFF" w:themeColor="background1"/>
                                <w:kern w:val="24"/>
                                <w:sz w:val="18"/>
                                <w:szCs w:val="18"/>
                              </w:rPr>
                              <w:t xml:space="preserve">PECO </w:t>
                            </w:r>
                            <w:r w:rsidRPr="00CF188C">
                              <w:rPr>
                                <w:rFonts w:ascii="Century Gothic" w:hAnsi="Century Gothic" w:cstheme="minorBidi"/>
                                <w:b/>
                                <w:color w:val="FFFFFF" w:themeColor="background1"/>
                                <w:kern w:val="24"/>
                                <w:sz w:val="18"/>
                                <w:szCs w:val="18"/>
                              </w:rPr>
                              <w:br/>
                              <w:t>INVOICE</w:t>
                            </w:r>
                          </w:p>
                        </w:txbxContent>
                      </v:textbox>
                    </v:shape>
                    <v:shape id="Freeform 43" o:spid="_x0000_s1066" style="position:absolute;left:52203;width:13811;height:9714;visibility:visible;mso-wrap-style:square;v-text-anchor:middle" coordsize="1186885,4747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gCXcQA&#10;AADbAAAADwAAAGRycy9kb3ducmV2LnhtbESPQWuDQBSE74X8h+UVeqtr0hKLySaIEEihh2pC6PHh&#10;vqjUfSvuxui/7xYKPQ4z8w2z3U+mEyMNrrWsYBnFIIgrq1uuFZxPh+c3EM4ja+wsk4KZHOx3i4ct&#10;ptreuaCx9LUIEHYpKmi871MpXdWQQRfZnjh4VzsY9EEOtdQD3gPcdHIVx2tpsOWw0GBPeUPVd3kz&#10;Cj6LOXtPRnZrXuY1fkzmK3m9KPX0OGUbEJ4m/x/+ax+1gtUL/H4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4Al3EAAAA2wAAAA8AAAAAAAAAAAAAAAAAmAIAAGRycy9k&#10;b3ducmV2LnhtbFBLBQYAAAAABAAEAPUAAACJAwAAAAA=&#10;" adj="-11796480,,5400" path="m,l949508,r237377,237377l949508,474754,,474754,237377,237377,,xe" fillcolor="#448a99" strokecolor="white [3201]" strokeweight="2pt">
                      <v:stroke joinstyle="miter"/>
                      <v:formulas/>
                      <v:path arrowok="t" o:connecttype="custom" o:connectlocs="0,0;1104868,0;1381085,485718;1104868,971435;0,971435;276217,485718;0,0" o:connectangles="0,0,0,0,0,0,0" textboxrect="0,0,1186885,474754"/>
                      <v:textbox inset="0,0,0,0">
                        <w:txbxContent>
                          <w:p w:rsidR="00E639E7" w:rsidRPr="00CF188C" w:rsidRDefault="00E639E7" w:rsidP="003B7B81">
                            <w:pPr>
                              <w:pStyle w:val="NormalWeb"/>
                              <w:spacing w:before="0" w:beforeAutospacing="0" w:after="0" w:afterAutospacing="0"/>
                              <w:jc w:val="center"/>
                              <w:rPr>
                                <w:rFonts w:ascii="Century Gothic" w:hAnsi="Century Gothic"/>
                                <w:b/>
                                <w:sz w:val="18"/>
                                <w:szCs w:val="18"/>
                              </w:rPr>
                            </w:pPr>
                            <w:r w:rsidRPr="00CF188C">
                              <w:rPr>
                                <w:rFonts w:ascii="Century Gothic" w:hAnsi="Century Gothic" w:cstheme="minorBidi"/>
                                <w:b/>
                                <w:color w:val="FFFFFF" w:themeColor="background1"/>
                                <w:kern w:val="24"/>
                                <w:sz w:val="18"/>
                                <w:szCs w:val="18"/>
                              </w:rPr>
                              <w:t xml:space="preserve">CSP </w:t>
                            </w:r>
                            <w:r w:rsidRPr="00CF188C">
                              <w:rPr>
                                <w:rFonts w:ascii="Century Gothic" w:hAnsi="Century Gothic" w:cstheme="minorBidi"/>
                                <w:b/>
                                <w:color w:val="FFFFFF" w:themeColor="background1"/>
                                <w:kern w:val="24"/>
                                <w:sz w:val="18"/>
                                <w:szCs w:val="18"/>
                              </w:rPr>
                              <w:br/>
                              <w:t>PAYMENT</w:t>
                            </w:r>
                          </w:p>
                        </w:txbxContent>
                      </v:textbox>
                    </v:shape>
                    <v:shape id="Freeform 44" o:spid="_x0000_s1067" style="position:absolute;left:63384;width:12654;height:9713;visibility:visible;mso-wrap-style:square;v-text-anchor:middle" coordsize="1186885,4747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GaKb8A&#10;AADbAAAADwAAAGRycy9kb3ducmV2LnhtbESPzQrCMBCE74LvEFbwpqkiKtUoIggKHvxDPC7N2hab&#10;TWlirW9vBMHjMDPfMPNlYwpRU+VyywoG/QgEcWJ1zqmCy3nTm4JwHlljYZkUvMnBctFuzTHW9sVH&#10;qk8+FQHCLkYFmfdlLKVLMjLo+rYkDt7dVgZ9kFUqdYWvADeFHEbRWBrMOSxkWNI6o+RxehoFh+N7&#10;tZvU7MY8WKe4b8xtMroq1e00qxkIT43/h3/trVYwHMH3S/gB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UZopvwAAANsAAAAPAAAAAAAAAAAAAAAAAJgCAABkcnMvZG93bnJl&#10;di54bWxQSwUGAAAAAAQABAD1AAAAhAMAAAAA&#10;" adj="-11796480,,5400" path="m,l949508,r237377,237377l949508,474754,,474754,237377,237377,,xe" fillcolor="#448a99" strokecolor="white [3201]" strokeweight="2pt">
                      <v:stroke joinstyle="miter"/>
                      <v:formulas/>
                      <v:path arrowok="t" o:connecttype="custom" o:connectlocs="0,0;1012347,0;1265434,485661;1012347,971322;0,971322;253087,485661;0,0" o:connectangles="0,0,0,0,0,0,0" textboxrect="0,0,1186885,474754"/>
                      <v:textbox inset="0,0,0,0">
                        <w:txbxContent>
                          <w:p w:rsidR="00E639E7" w:rsidRPr="00CF188C" w:rsidRDefault="00E639E7" w:rsidP="003B7B81">
                            <w:pPr>
                              <w:pStyle w:val="NormalWeb"/>
                              <w:spacing w:before="0" w:beforeAutospacing="0" w:after="0" w:afterAutospacing="0"/>
                              <w:jc w:val="center"/>
                              <w:rPr>
                                <w:rFonts w:ascii="Century Gothic" w:hAnsi="Century Gothic"/>
                                <w:b/>
                                <w:sz w:val="18"/>
                                <w:szCs w:val="18"/>
                              </w:rPr>
                            </w:pPr>
                            <w:r w:rsidRPr="00CF188C">
                              <w:rPr>
                                <w:rFonts w:ascii="Century Gothic" w:hAnsi="Century Gothic" w:cstheme="minorBidi"/>
                                <w:b/>
                                <w:color w:val="FFFFFF" w:themeColor="background1"/>
                                <w:kern w:val="24"/>
                                <w:sz w:val="18"/>
                                <w:szCs w:val="18"/>
                              </w:rPr>
                              <w:t xml:space="preserve">REBATE </w:t>
                            </w:r>
                            <w:r w:rsidRPr="00CF188C">
                              <w:rPr>
                                <w:rFonts w:ascii="Century Gothic" w:hAnsi="Century Gothic" w:cstheme="minorBidi"/>
                                <w:b/>
                                <w:color w:val="FFFFFF" w:themeColor="background1"/>
                                <w:kern w:val="24"/>
                                <w:sz w:val="18"/>
                                <w:szCs w:val="18"/>
                              </w:rPr>
                              <w:br/>
                              <w:t xml:space="preserve">TO </w:t>
                            </w:r>
                            <w:r w:rsidRPr="00CF188C">
                              <w:rPr>
                                <w:rFonts w:ascii="Century Gothic" w:hAnsi="Century Gothic" w:cstheme="minorBidi"/>
                                <w:b/>
                                <w:color w:val="FFFFFF" w:themeColor="background1"/>
                                <w:kern w:val="24"/>
                                <w:sz w:val="18"/>
                                <w:szCs w:val="18"/>
                              </w:rPr>
                              <w:br/>
                              <w:t>BUILDER</w:t>
                            </w:r>
                          </w:p>
                        </w:txbxContent>
                      </v:textbox>
                    </v:shape>
                  </v:group>
                  <v:group id="Group 24" o:spid="_x0000_s1068" style="position:absolute;left:346;top:10875;width:75610;height:31598" coordorigin="" coordsize="75610,31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25" o:spid="_x0000_s1069" style="position:absolute;top:6996;width:75150;height:4689" coordsize="75150,4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Freeform 56" o:spid="_x0000_s1070" style="position:absolute;width:15185;height:4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lQe8UA&#10;AADbAAAADwAAAGRycy9kb3ducmV2LnhtbESPT2vCQBTE74LfYXlCb3VTW6Km2UgRBHup/3t+ZJ9J&#10;2uzbkF1j2k/fFQoeh5n5DZMuelOLjlpXWVbwNI5AEOdWV1woOB5WjzMQziNrrC2Tgh9ysMiGgxQT&#10;ba+8o27vCxEg7BJUUHrfJFK6vCSDbmwb4uCdbWvQB9kWUrd4DXBTy0kUxdJgxWGhxIaWJeXf+4tR&#10;kM/fn09fn3EUb4/upfkous1vf1bqYdS/vYLw1Pt7+L+91gomU7h9C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2VB7xQAAANsAAAAPAAAAAAAAAAAAAAAAAJgCAABkcnMv&#10;ZG93bnJldi54bWxQSwUGAAAAAAQABAD1AAAAigMAAAAA&#10;" fillcolor="#d2eaf1" strokecolor="white [3201]" strokeweight="2pt">
                        <v:textbox inset="3.15pt,1.05pt,1.0062mm,1.05pt">
                          <w:txbxContent>
                            <w:p w:rsidR="00E639E7" w:rsidRPr="005A6F4D" w:rsidRDefault="00E639E7" w:rsidP="00F568F8">
                              <w:pPr>
                                <w:pStyle w:val="NormalWeb"/>
                                <w:spacing w:before="0" w:beforeAutospacing="0" w:after="0" w:afterAutospacing="0"/>
                                <w:jc w:val="center"/>
                                <w:rPr>
                                  <w:sz w:val="18"/>
                                  <w:szCs w:val="18"/>
                                </w:rPr>
                              </w:pPr>
                              <w:r w:rsidRPr="005A6F4D">
                                <w:rPr>
                                  <w:rFonts w:asciiTheme="minorHAnsi" w:hAnsi="Calibri" w:cstheme="minorBidi"/>
                                  <w:color w:val="000000"/>
                                  <w:kern w:val="24"/>
                                  <w:sz w:val="18"/>
                                  <w:szCs w:val="18"/>
                                </w:rPr>
                                <w:t>22</w:t>
                              </w:r>
                            </w:p>
                          </w:txbxContent>
                        </v:textbox>
                      </v:rect>
                      <v:rect id="Freeform 57" o:spid="_x0000_s1071" style="position:absolute;left:15517;width:30818;height:4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bECcIA&#10;AADbAAAADwAAAGRycy9kb3ducmV2LnhtbERPTWvCQBC9F/wPywi9NRtTCW10DSII7aVqaj0P2TFJ&#10;m50N2W2M/nr3UOjx8b6X+WhaMVDvGssKZlEMgri0uuFKwfFz+/QCwnlkja1lUnAlB/lq8rDETNsL&#10;H2gofCVCCLsMFdTed5mUrqzJoItsRxy4s+0N+gD7SuoeLyHctDKJ41QabDg01NjRpqbyp/g1CsrX&#10;9+ev71Map/ujm3cf1bC7jWelHqfjegHC0+j/xX/uN60gCWPDl/AD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RsQJwgAAANsAAAAPAAAAAAAAAAAAAAAAAJgCAABkcnMvZG93&#10;bnJldi54bWxQSwUGAAAAAAQABAD1AAAAhwMAAAAA&#10;" fillcolor="#d2eaf1" strokecolor="white [3201]" strokeweight="2pt">
                        <v:textbox inset="3.15pt,1.05pt,1.0062mm,1.05pt">
                          <w:txbxContent>
                            <w:p w:rsidR="00E639E7" w:rsidRPr="005A6F4D" w:rsidRDefault="00E639E7" w:rsidP="00F568F8">
                              <w:pPr>
                                <w:pStyle w:val="NormalWeb"/>
                                <w:spacing w:before="0" w:beforeAutospacing="0" w:after="0" w:afterAutospacing="0"/>
                                <w:jc w:val="center"/>
                                <w:rPr>
                                  <w:sz w:val="18"/>
                                  <w:szCs w:val="18"/>
                                </w:rPr>
                              </w:pPr>
                              <w:r w:rsidRPr="005A6F4D">
                                <w:rPr>
                                  <w:rFonts w:asciiTheme="minorHAnsi" w:hAnsi="Calibri" w:cstheme="minorBidi"/>
                                  <w:color w:val="000000"/>
                                  <w:kern w:val="24"/>
                                  <w:sz w:val="18"/>
                                  <w:szCs w:val="18"/>
                                </w:rPr>
                                <w:t>53</w:t>
                              </w:r>
                            </w:p>
                          </w:txbxContent>
                        </v:textbox>
                      </v:rect>
                      <v:rect id="Freeform 58" o:spid="_x0000_s1072" style="position:absolute;left:45304;width:8110;height:4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PsQA&#10;AADbAAAADwAAAGRycy9kb3ducmV2LnhtbESPT2vCQBTE7wW/w/KE3ppNVUJNXUUEwV7qf8+P7DNJ&#10;m30bstsY/fSuIPQ4zMxvmMmsM5VoqXGlZQXvUQyCOLO65FzBYb98+wDhPLLGyjIpuJKD2bT3MsFU&#10;2wtvqd35XAQIuxQVFN7XqZQuK8igi2xNHLyzbQz6IJtc6gYvAW4qOYjjRBosOSwUWNOioOx392cU&#10;ZOOv4fHnlMTJ5uBG9Xferm/dWanXfjf/BOGp8//hZ3ulFQwH8PgSfoC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3ZT7EAAAA2wAAAA8AAAAAAAAAAAAAAAAAmAIAAGRycy9k&#10;b3ducmV2LnhtbFBLBQYAAAAABAAEAPUAAACJAwAAAAA=&#10;" fillcolor="#d2eaf1" strokecolor="white [3201]" strokeweight="2pt">
                        <v:textbox inset="3.15pt,1.05pt,1.0062mm,1.05pt">
                          <w:txbxContent>
                            <w:p w:rsidR="00E639E7" w:rsidRPr="005A6F4D" w:rsidRDefault="00E639E7" w:rsidP="00F568F8">
                              <w:pPr>
                                <w:pStyle w:val="NormalWeb"/>
                                <w:spacing w:before="0" w:beforeAutospacing="0" w:after="0" w:afterAutospacing="0"/>
                                <w:jc w:val="center"/>
                                <w:rPr>
                                  <w:sz w:val="18"/>
                                  <w:szCs w:val="18"/>
                                </w:rPr>
                              </w:pPr>
                              <w:r w:rsidRPr="005A6F4D">
                                <w:rPr>
                                  <w:rFonts w:asciiTheme="minorHAnsi" w:hAnsi="Calibri" w:cstheme="minorBidi"/>
                                  <w:color w:val="000000"/>
                                  <w:kern w:val="24"/>
                                  <w:sz w:val="18"/>
                                  <w:szCs w:val="18"/>
                                </w:rPr>
                                <w:t>6</w:t>
                              </w:r>
                            </w:p>
                          </w:txbxContent>
                        </v:textbox>
                      </v:rect>
                      <v:rect id="Freeform 59" o:spid="_x0000_s1073" style="position:absolute;left:53547;width:10535;height:4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Y0cQA&#10;AADbAAAADwAAAGRycy9kb3ducmV2LnhtbESPT2vCQBTE7wW/w/IEb3XjH4KNriKCoJdare35kX0m&#10;0ezbkF1j6qd3hYLHYWZ+w8wWrSlFQ7UrLCsY9CMQxKnVBWcKjt/r9wkI55E1lpZJwR85WMw7bzNM&#10;tL3xnpqDz0SAsEtQQe59lUjp0pwMur6tiIN3srVBH2SdSV3jLcBNKYdRFEuDBYeFHCta5ZReDlej&#10;IP3Yjn7Ov3EUfx3duPrMmt29PSnV67bLKQhPrX+F/9sbrWA0hue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SWNHEAAAA2wAAAA8AAAAAAAAAAAAAAAAAmAIAAGRycy9k&#10;b3ducmV2LnhtbFBLBQYAAAAABAAEAPUAAACJAwAAAAA=&#10;" fillcolor="#d2eaf1" strokecolor="white [3201]" strokeweight="2pt">
                        <v:textbox inset="3.15pt,1.05pt,1.0062mm,1.05pt">
                          <w:txbxContent>
                            <w:p w:rsidR="00E639E7" w:rsidRPr="005A6F4D" w:rsidRDefault="00E639E7" w:rsidP="00F568F8">
                              <w:pPr>
                                <w:pStyle w:val="NormalWeb"/>
                                <w:spacing w:before="0" w:beforeAutospacing="0" w:after="0" w:afterAutospacing="0"/>
                                <w:jc w:val="center"/>
                                <w:rPr>
                                  <w:sz w:val="18"/>
                                  <w:szCs w:val="18"/>
                                </w:rPr>
                              </w:pPr>
                              <w:r w:rsidRPr="005A6F4D">
                                <w:rPr>
                                  <w:rFonts w:asciiTheme="minorHAnsi" w:hAnsi="Calibri" w:cstheme="minorBidi"/>
                                  <w:color w:val="000000"/>
                                  <w:kern w:val="24"/>
                                  <w:sz w:val="18"/>
                                  <w:szCs w:val="18"/>
                                </w:rPr>
                                <w:t>25</w:t>
                              </w:r>
                            </w:p>
                          </w:txbxContent>
                        </v:textbox>
                      </v:rect>
                      <v:rect id="Freeform 60" o:spid="_x0000_s1074" style="position:absolute;left:64215;width:10935;height:4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iAnsUA&#10;AADbAAAADwAAAGRycy9kb3ducmV2LnhtbESPT2vCQBTE74LfYXlCb7qpbYOm2UgRBHup/3t+ZJ9J&#10;2uzbkF1j2k/fFQoeh5n5DZMuelOLjlpXWVbwOIlAEOdWV1woOB5W4xkI55E11pZJwQ85WGTDQYqJ&#10;tlfeUbf3hQgQdgkqKL1vEildXpJBN7ENcfDOtjXog2wLqVu8Brip5TSKYmmw4rBQYkPLkvLv/cUo&#10;yOfvT6evzziKt0f33HwU3ea3Pyv1MOrfXkF46v09/N9eawUvU7h9C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ICexQAAANsAAAAPAAAAAAAAAAAAAAAAAJgCAABkcnMv&#10;ZG93bnJldi54bWxQSwUGAAAAAAQABAD1AAAAigMAAAAA&#10;" fillcolor="#d2eaf1" strokecolor="white [3201]" strokeweight="2pt">
                        <v:textbox inset="3.15pt,1.05pt,1.0062mm,1.05pt">
                          <w:txbxContent>
                            <w:p w:rsidR="00E639E7" w:rsidRPr="005A6F4D" w:rsidRDefault="00E639E7" w:rsidP="00F568F8">
                              <w:pPr>
                                <w:pStyle w:val="NormalWeb"/>
                                <w:spacing w:before="0" w:beforeAutospacing="0" w:after="0" w:afterAutospacing="0"/>
                                <w:jc w:val="center"/>
                                <w:rPr>
                                  <w:sz w:val="18"/>
                                  <w:szCs w:val="18"/>
                                </w:rPr>
                              </w:pPr>
                              <w:r w:rsidRPr="005A6F4D">
                                <w:rPr>
                                  <w:rFonts w:asciiTheme="minorHAnsi" w:hAnsi="Calibri" w:cstheme="minorBidi"/>
                                  <w:color w:val="000000"/>
                                  <w:kern w:val="24"/>
                                  <w:sz w:val="18"/>
                                  <w:szCs w:val="18"/>
                                </w:rPr>
                                <w:t>25</w:t>
                              </w:r>
                            </w:p>
                          </w:txbxContent>
                        </v:textbox>
                      </v:rect>
                    </v:group>
                    <v:group id="Group 52" o:spid="_x0000_s1075" style="position:absolute;width:74897;height:5377" coordorigin="" coordsize="74897,5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rect id="Freeform 63" o:spid="_x0000_s1076" style="position:absolute;width:15185;height:5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ddsQA&#10;AADbAAAADwAAAGRycy9kb3ducmV2LnhtbESPwWrDMBBE74X8g9hALyWR26YhOJZNCBR6S+PmkONi&#10;bWwTa2Us2XL/vioUehxm5g2TFbPpxESDay0reF4nIIgrq1uuFVy+3lc7EM4ja+wsk4JvclDki4cM&#10;U20Dn2kqfS0ihF2KChrv+1RKVzVk0K1tTxy9mx0M+iiHWuoBQ4SbTr4kyVYabDkuNNjTsaHqXo5G&#10;wbjrzuFzOvXm+mRe7TGE06aslXpczoc9CE+z/w//tT+0grcN/H6JP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1HXbEAAAA2wAAAA8AAAAAAAAAAAAAAAAAmAIAAGRycy9k&#10;b3ducmV2LnhtbFBLBQYAAAAABAAEAPUAAACJAwAAAAA=&#10;" fillcolor="#d2eaf1" strokecolor="white [3201]" strokeweight="2pt">
                        <v:textbox inset="3.15pt,1.05pt,1.0996mm,1.05pt">
                          <w:txbxContent>
                            <w:p w:rsidR="00E639E7" w:rsidRPr="005A6F4D" w:rsidRDefault="00E639E7" w:rsidP="00F568F8">
                              <w:pPr>
                                <w:pStyle w:val="NormalWeb"/>
                                <w:spacing w:before="0" w:beforeAutospacing="0" w:after="0" w:afterAutospacing="0"/>
                                <w:jc w:val="center"/>
                                <w:rPr>
                                  <w:sz w:val="18"/>
                                  <w:szCs w:val="18"/>
                                </w:rPr>
                              </w:pPr>
                              <w:r w:rsidRPr="005A6F4D">
                                <w:rPr>
                                  <w:rFonts w:asciiTheme="minorHAnsi" w:hAnsi="Calibri" w:cstheme="minorBidi"/>
                                  <w:color w:val="000000"/>
                                  <w:kern w:val="24"/>
                                  <w:sz w:val="18"/>
                                  <w:szCs w:val="18"/>
                                </w:rPr>
                                <w:t>Rater</w:t>
                              </w:r>
                            </w:p>
                          </w:txbxContent>
                        </v:textbox>
                      </v:rect>
                      <v:rect id="Freeform 65" o:spid="_x0000_s1077" style="position:absolute;left:15517;width:29783;height:5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47cQA&#10;AADbAAAADwAAAGRycy9kb3ducmV2LnhtbESPwWrDMBBE74X8g9hALyWR0zYhOFFCMBR6c+32kONi&#10;bWwTa2Us2XL/vioUehxm5g1zPM+mExMNrrWsYLNOQBBXVrdcK/j6fFvtQTiPrLGzTAq+ycH5tHg4&#10;Yqpt4IKm0tciQtilqKDxvk+ldFVDBt3a9sTRu9nBoI9yqKUeMES46eRzkuykwZbjQoM9ZQ1V93I0&#10;CsZ9V4SPKe/N9cm82CyE/LWslXpczpcDCE+z/w//td+1gu0Wfr/EHyB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5uO3EAAAA2wAAAA8AAAAAAAAAAAAAAAAAmAIAAGRycy9k&#10;b3ducmV2LnhtbFBLBQYAAAAABAAEAPUAAACJAwAAAAA=&#10;" fillcolor="#d2eaf1" strokecolor="white [3201]" strokeweight="2pt">
                        <v:textbox inset="3.15pt,1.05pt,1.0996mm,1.05pt">
                          <w:txbxContent>
                            <w:p w:rsidR="00E639E7" w:rsidRPr="005A6F4D" w:rsidRDefault="00E639E7" w:rsidP="00F568F8">
                              <w:pPr>
                                <w:pStyle w:val="NormalWeb"/>
                                <w:spacing w:before="0" w:beforeAutospacing="0" w:after="0" w:afterAutospacing="0"/>
                                <w:jc w:val="center"/>
                                <w:rPr>
                                  <w:sz w:val="18"/>
                                  <w:szCs w:val="18"/>
                                </w:rPr>
                              </w:pPr>
                              <w:r w:rsidRPr="005A6F4D">
                                <w:rPr>
                                  <w:rFonts w:asciiTheme="minorHAnsi" w:hAnsi="Calibri" w:cstheme="minorBidi"/>
                                  <w:color w:val="000000"/>
                                  <w:kern w:val="24"/>
                                  <w:sz w:val="18"/>
                                  <w:szCs w:val="18"/>
                                </w:rPr>
                                <w:t>CSP</w:t>
                              </w:r>
                            </w:p>
                          </w:txbxContent>
                        </v:textbox>
                      </v:rect>
                      <v:rect id="Freeform 66" o:spid="_x0000_s1078" style="position:absolute;left:45235;width:8154;height:5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smmsQA&#10;AADbAAAADwAAAGRycy9kb3ducmV2LnhtbESPzWrDMBCE74W8g9hALyWR058QnCghGAq9uXZzyHGx&#10;NraJtTKWbLlvXxUKPQ4z8w1zOM2mExMNrrWsYLNOQBBXVrdcK7h8va92IJxH1thZJgXf5OB0XDwc&#10;MNU2cEFT6WsRIexSVNB436dSuqohg25te+Lo3exg0Ec51FIPGCLcdPI5SbbSYMtxocGesoaqezka&#10;BeOuK8LnlPfm+mRebBZC/lrWSj0u5/MehKfZ/4f/2h9awdsWfr/EHyC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rJprEAAAA2wAAAA8AAAAAAAAAAAAAAAAAmAIAAGRycy9k&#10;b3ducmV2LnhtbFBLBQYAAAAABAAEAPUAAACJAwAAAAA=&#10;" fillcolor="#d2eaf1" strokecolor="white [3201]" strokeweight="2pt">
                        <v:textbox inset="3.15pt,1.05pt,1.0996mm,1.05pt">
                          <w:txbxContent>
                            <w:p w:rsidR="00E639E7" w:rsidRPr="005A6F4D" w:rsidRDefault="00E639E7" w:rsidP="00F568F8">
                              <w:pPr>
                                <w:pStyle w:val="NormalWeb"/>
                                <w:spacing w:before="0" w:beforeAutospacing="0" w:after="0" w:afterAutospacing="0"/>
                                <w:jc w:val="center"/>
                                <w:rPr>
                                  <w:sz w:val="18"/>
                                  <w:szCs w:val="18"/>
                                </w:rPr>
                              </w:pPr>
                              <w:r w:rsidRPr="005A6F4D">
                                <w:rPr>
                                  <w:rFonts w:asciiTheme="minorHAnsi" w:hAnsi="Calibri" w:cstheme="minorBidi"/>
                                  <w:color w:val="000000"/>
                                  <w:kern w:val="24"/>
                                  <w:sz w:val="18"/>
                                  <w:szCs w:val="18"/>
                                </w:rPr>
                                <w:t>CSP</w:t>
                              </w:r>
                            </w:p>
                          </w:txbxContent>
                        </v:textbox>
                      </v:rect>
                      <v:rect id="Freeform 67" o:spid="_x0000_s1079" style="position:absolute;left:53547;width:10535;height:5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DAcQA&#10;AADbAAAADwAAAGRycy9kb3ducmV2LnhtbESPT2vCQBTE74V+h+UVvBTdVOsfUlcpQsGbTfTg8ZF9&#10;JqHZtyG7ZtNv7wqCx2FmfsOst4NpRE+dqy0r+JgkIIgLq2suFZyOP+MVCOeRNTaWScE/OdhuXl/W&#10;mGobOKM+96WIEHYpKqi8b1MpXVGRQTexLXH0LrYz6KPsSqk7DBFuGjlNkoU0WHNcqLClXUXFX341&#10;Cq6rJgu//aE153czs7sQDp95qdTobfj+AuFp8M/wo73XCuZLuH+JP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ngwHEAAAA2wAAAA8AAAAAAAAAAAAAAAAAmAIAAGRycy9k&#10;b3ducmV2LnhtbFBLBQYAAAAABAAEAPUAAACJAwAAAAA=&#10;" fillcolor="#d2eaf1" strokecolor="white [3201]" strokeweight="2pt">
                        <v:textbox inset="3.15pt,1.05pt,1.0996mm,1.05pt">
                          <w:txbxContent>
                            <w:p w:rsidR="00E639E7" w:rsidRPr="005A6F4D" w:rsidRDefault="00E639E7" w:rsidP="00F568F8">
                              <w:pPr>
                                <w:pStyle w:val="NormalWeb"/>
                                <w:spacing w:before="0" w:beforeAutospacing="0" w:after="0" w:afterAutospacing="0"/>
                                <w:jc w:val="center"/>
                                <w:rPr>
                                  <w:sz w:val="18"/>
                                  <w:szCs w:val="18"/>
                                </w:rPr>
                              </w:pPr>
                              <w:r w:rsidRPr="005A6F4D">
                                <w:rPr>
                                  <w:rFonts w:asciiTheme="minorHAnsi" w:hAnsi="Calibri" w:cstheme="minorBidi"/>
                                  <w:color w:val="000000"/>
                                  <w:kern w:val="24"/>
                                  <w:sz w:val="18"/>
                                  <w:szCs w:val="18"/>
                                </w:rPr>
                                <w:t>PECO</w:t>
                              </w:r>
                            </w:p>
                          </w:txbxContent>
                        </v:textbox>
                      </v:rect>
                      <v:rect id="Freeform 68" o:spid="_x0000_s1080" style="position:absolute;left:64215;width:10682;height:5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Xc8EA&#10;AADbAAAADwAAAGRycy9kb3ducmV2LnhtbERPz2vCMBS+D/wfwhO8DJvObSK1UaQw2M3ZefD4aJ5t&#10;sXkpTdp0//1yGOz48f3Oj7PpxESDay0reElSEMSV1S3XCq7fH+sdCOeRNXaWScEPOTgeFk85ZtoG&#10;vtBU+lrEEHYZKmi87zMpXdWQQZfYnjhydzsY9BEOtdQDhhhuOrlJ06002HJsaLCnoqHqUY5Gwbjr&#10;LuFrOvfm9mxebRHC+a2slVot59MehKfZ/4v/3J9awXscG7/EH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4F3PBAAAA2wAAAA8AAAAAAAAAAAAAAAAAmAIAAGRycy9kb3du&#10;cmV2LnhtbFBLBQYAAAAABAAEAPUAAACGAwAAAAA=&#10;" fillcolor="#d2eaf1" strokecolor="white [3201]" strokeweight="2pt">
                        <v:textbox inset="3.15pt,1.05pt,1.0996mm,1.05pt">
                          <w:txbxContent>
                            <w:p w:rsidR="00E639E7" w:rsidRPr="005A6F4D" w:rsidRDefault="00E639E7" w:rsidP="00F568F8">
                              <w:pPr>
                                <w:pStyle w:val="NormalWeb"/>
                                <w:spacing w:before="0" w:beforeAutospacing="0" w:after="0" w:afterAutospacing="0"/>
                                <w:jc w:val="center"/>
                                <w:rPr>
                                  <w:sz w:val="18"/>
                                  <w:szCs w:val="18"/>
                                </w:rPr>
                              </w:pPr>
                              <w:r w:rsidRPr="005A6F4D">
                                <w:rPr>
                                  <w:rFonts w:asciiTheme="minorHAnsi" w:hAnsi="Calibri" w:cstheme="minorBidi"/>
                                  <w:color w:val="000000"/>
                                  <w:kern w:val="24"/>
                                  <w:sz w:val="18"/>
                                  <w:szCs w:val="18"/>
                                </w:rPr>
                                <w:t>CSP</w:t>
                              </w:r>
                            </w:p>
                          </w:txbxContent>
                        </v:textbox>
                      </v:rect>
                    </v:group>
                    <v:group id="Group 58" o:spid="_x0000_s1081" style="position:absolute;top:13161;width:75610;height:18437" coordorigin="" coordsize="75610,18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reeform 47" o:spid="_x0000_s1082" type="#_x0000_t15" style="position:absolute;left:15655;top:6719;width:59931;height:5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whGsAA&#10;AADbAAAADwAAAGRycy9kb3ducmV2LnhtbERPTWvCQBC9F/wPywje6sRaRKKriFjw4CVWxeOQHZNg&#10;djZmV5P+++6h0OPjfS/Xva3Vi1tfOdEwGSegWHJnKik0nL6/3uegfCAxVDthDT/sYb0avC0pNa6T&#10;jF/HUKgYIj4lDWUITYro85It+bFrWCJ3c62lEGFboGmpi+G2xo8kmaGlSmJDSQ1vS87vx6fVcD9M&#10;5HLtdvNPzB676VlwnwXUejTsNwtQgfvwL/5z742GWVwfv8Qfg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whGsAAAADbAAAADwAAAAAAAAAAAAAAAACYAgAAZHJzL2Rvd25y&#10;ZXYueG1sUEsFBgAAAAAEAAQA9QAAAIUDAAAAAA==&#10;" adj="20631" fillcolor="#d2eaf1" strokecolor="white [3201]" strokeweight="2pt">
                        <v:textbox inset="10.71pt,3.57pt,1.98864mm,3.57pt">
                          <w:txbxContent>
                            <w:p w:rsidR="00E639E7" w:rsidRPr="005A6F4D" w:rsidRDefault="00E639E7" w:rsidP="00F568F8">
                              <w:pPr>
                                <w:pStyle w:val="NormalWeb"/>
                                <w:spacing w:before="0" w:beforeAutospacing="0" w:after="0" w:afterAutospacing="0"/>
                                <w:jc w:val="center"/>
                                <w:rPr>
                                  <w:sz w:val="18"/>
                                  <w:szCs w:val="18"/>
                                </w:rPr>
                              </w:pPr>
                              <w:r w:rsidRPr="005A6F4D">
                                <w:rPr>
                                  <w:rFonts w:asciiTheme="minorHAnsi" w:hAnsi="Calibri" w:cstheme="minorBidi"/>
                                  <w:color w:val="000000"/>
                                  <w:kern w:val="24"/>
                                  <w:sz w:val="18"/>
                                  <w:szCs w:val="18"/>
                                </w:rPr>
                                <w:t>109 Days</w:t>
                              </w:r>
                            </w:p>
                          </w:txbxContent>
                        </v:textbox>
                      </v:shape>
                      <v:shape id="Freeform 47" o:spid="_x0000_s1083" type="#_x0000_t15" style="position:absolute;width:75610;height:5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ALjcQA&#10;AADbAAAADwAAAGRycy9kb3ducmV2LnhtbESPQWvCQBSE7wX/w/IEL1I38RAkdZUgWHrxkLQI3h7Z&#10;ZxLNvg3ZjYn/3i0Uehxm5htmu59MKx7Uu8aygngVgSAurW64UvDzfXzfgHAeWWNrmRQ8ycF+N3vb&#10;YqrtyDk9Cl+JAGGXooLa+y6V0pU1GXQr2xEH72p7gz7IvpK6xzHATSvXUZRIgw2HhRo7OtRU3ovB&#10;KLgM3S0fi3N22iyf2WV5/uSbNEot5lP2AcLT5P/Df+0vrSCJ4fdL+AFy9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gC43EAAAA2wAAAA8AAAAAAAAAAAAAAAAAmAIAAGRycy9k&#10;b3ducmV2LnhtbFBLBQYAAAAABAAEAPUAAACJAwAAAAA=&#10;" adj="20832" fillcolor="#d2eaf1" strokecolor="white [3201]" strokeweight="2pt">
                        <v:textbox inset="10.71pt,3.57pt,1.98864mm,3.57pt">
                          <w:txbxContent>
                            <w:p w:rsidR="00E639E7" w:rsidRPr="005A6F4D" w:rsidRDefault="00E639E7" w:rsidP="00F568F8">
                              <w:pPr>
                                <w:pStyle w:val="NormalWeb"/>
                                <w:spacing w:before="0" w:beforeAutospacing="0" w:after="0" w:afterAutospacing="0"/>
                                <w:jc w:val="center"/>
                                <w:rPr>
                                  <w:sz w:val="18"/>
                                  <w:szCs w:val="18"/>
                                </w:rPr>
                              </w:pPr>
                              <w:r w:rsidRPr="005A6F4D">
                                <w:rPr>
                                  <w:rFonts w:asciiTheme="minorHAnsi" w:hAnsi="Calibri" w:cstheme="minorBidi"/>
                                  <w:color w:val="000000"/>
                                  <w:kern w:val="24"/>
                                  <w:sz w:val="18"/>
                                  <w:szCs w:val="18"/>
                                </w:rPr>
                                <w:t>131 Days</w:t>
                              </w:r>
                            </w:p>
                          </w:txbxContent>
                        </v:textbox>
                      </v:shape>
                      <v:rect id="Freeform 49" o:spid="_x0000_s1084" style="position:absolute;left:33528;top:12884;width:19418;height:5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3vMUA&#10;AADbAAAADwAAAGRycy9kb3ducmV2LnhtbESPwW7CMBBE70j8g7VIvTUOOUQQMKhQVe2B0kL7Aat4&#10;mwTsdRS7Ifx9jVSJ42hm3miW68Ea0VPnG8cKpkkKgrh0uuFKwffXy+MMhA/IGo1jUnAlD+vVeLTE&#10;QrsLH6g/hkpECPsCFdQhtIWUvqzJok9cSxy9H9dZDFF2ldQdXiLcGpmlaS4tNhwXamxpW1N5Pv5a&#10;Bc3zqdpvzPz13ex3uf20/eyUfSj1MBmeFiACDeEe/m+/aQV5Brc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ze8xQAAANsAAAAPAAAAAAAAAAAAAAAAAJgCAABkcnMv&#10;ZG93bnJldi54bWxQSwUGAAAAAAQABAD1AAAAigMAAAAA&#10;" fillcolor="#d2eaf1" strokecolor="white [3201]" strokeweight="2pt">
                        <v:textbox inset="0,0,0,0">
                          <w:txbxContent>
                            <w:p w:rsidR="00E639E7" w:rsidRPr="005A6F4D" w:rsidRDefault="00E639E7" w:rsidP="003B7B81">
                              <w:pPr>
                                <w:pStyle w:val="NormalWeb"/>
                                <w:spacing w:before="0" w:beforeAutospacing="0" w:after="0" w:afterAutospacing="0"/>
                                <w:jc w:val="center"/>
                                <w:rPr>
                                  <w:sz w:val="18"/>
                                  <w:szCs w:val="18"/>
                                </w:rPr>
                              </w:pPr>
                              <w:r w:rsidRPr="005A6F4D">
                                <w:rPr>
                                  <w:rFonts w:asciiTheme="minorHAnsi" w:hAnsi="Calibri" w:cstheme="minorBidi"/>
                                  <w:color w:val="000000"/>
                                  <w:kern w:val="24"/>
                                  <w:sz w:val="18"/>
                                  <w:szCs w:val="18"/>
                                </w:rPr>
                                <w:t>35</w:t>
                              </w:r>
                            </w:p>
                          </w:txbxContent>
                        </v:textbox>
                      </v:rect>
                      <v:rect id="Freeform 50" o:spid="_x0000_s1085" style="position:absolute;left:53201;top:12884;width:10453;height:5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BPv8IA&#10;AADbAAAADwAAAGRycy9kb3ducmV2LnhtbESPQYvCMBSE78L+h/AWvMiaqkuRapRFELyp1cMeH82z&#10;Ldu8lCY29d8bQdjjMDPfMOvtYBrRU+dqywpm0wQEcWF1zaWC62X/tQThPLLGxjIpeJCD7eZjtMZM&#10;28Bn6nNfighhl6GCyvs2k9IVFRl0U9sSR+9mO4M+yq6UusMQ4aaR8yRJpcGa40KFLe0qKv7yu1Fw&#10;XzbncOqPrfmdmIXdhXD8zkulxp/DzwqEp8H/h9/tg1aQLuD1Jf4A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sE+/wgAAANsAAAAPAAAAAAAAAAAAAAAAAJgCAABkcnMvZG93&#10;bnJldi54bWxQSwUGAAAAAAQABAD1AAAAhwMAAAAA&#10;" fillcolor="#d2eaf1" strokecolor="white [3201]" strokeweight="2pt">
                        <v:textbox inset="3.15pt,1.05pt,1.0996mm,1.05pt">
                          <w:txbxContent>
                            <w:p w:rsidR="00E639E7" w:rsidRPr="005A6F4D" w:rsidRDefault="00E639E7" w:rsidP="00F568F8">
                              <w:pPr>
                                <w:pStyle w:val="NormalWeb"/>
                                <w:spacing w:before="0" w:beforeAutospacing="0" w:after="0" w:afterAutospacing="0"/>
                                <w:jc w:val="center"/>
                                <w:rPr>
                                  <w:sz w:val="18"/>
                                  <w:szCs w:val="18"/>
                                </w:rPr>
                              </w:pPr>
                              <w:r w:rsidRPr="005A6F4D">
                                <w:rPr>
                                  <w:rFonts w:asciiTheme="minorHAnsi" w:hAnsi="Calibri" w:cstheme="minorBidi"/>
                                  <w:color w:val="000000"/>
                                  <w:kern w:val="24"/>
                                  <w:sz w:val="18"/>
                                  <w:szCs w:val="18"/>
                                </w:rPr>
                                <w:t>15</w:t>
                              </w:r>
                            </w:p>
                          </w:txbxContent>
                        </v:textbox>
                      </v:rect>
                      <v:shape id="Freeform 47" o:spid="_x0000_s1086" type="#_x0000_t15" style="position:absolute;left:63938;top:12884;width:11645;height:5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ZzRcEA&#10;AADcAAAADwAAAGRycy9kb3ducmV2LnhtbERPTWvCQBC9F/oflin0VnfNoZXoKiIIQk9NhXocsmMS&#10;zc7G3W1M/33nUOjx8b5Xm8n3aqSYusAW5jMDirgOruPGwvFz/7IAlTKywz4wWfihBJv148MKSxfu&#10;/EFjlRslIZxKtNDmPJRap7olj2kWBmLhziF6zAJjo13Eu4T7XhfGvGqPHUtDiwPtWqqv1be3UBzG&#10;y+ktVjoZc7kV76b5Ol631j4/TdslqExT/hf/uQ9OfAtZK2fkCO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mc0XBAAAA3AAAAA8AAAAAAAAAAAAAAAAAmAIAAGRycy9kb3du&#10;cmV2LnhtbFBLBQYAAAAABAAEAPUAAACGAwAAAAA=&#10;" adj="16451" fillcolor="#d2eaf1" strokecolor="white [3201]" strokeweight="2pt">
                        <v:textbox inset="10.71pt,3.57pt,1.98864mm,3.57pt">
                          <w:txbxContent>
                            <w:p w:rsidR="00E639E7" w:rsidRPr="005A6F4D" w:rsidRDefault="00E639E7" w:rsidP="00F568F8">
                              <w:pPr>
                                <w:pStyle w:val="NormalWeb"/>
                                <w:spacing w:before="0" w:beforeAutospacing="0" w:after="0" w:afterAutospacing="0"/>
                                <w:jc w:val="center"/>
                                <w:rPr>
                                  <w:sz w:val="18"/>
                                  <w:szCs w:val="18"/>
                                </w:rPr>
                              </w:pPr>
                              <w:r w:rsidRPr="005A6F4D">
                                <w:rPr>
                                  <w:rFonts w:asciiTheme="minorHAnsi" w:hAnsi="Calibri" w:cstheme="minorBidi"/>
                                  <w:color w:val="000000"/>
                                  <w:kern w:val="24"/>
                                  <w:sz w:val="18"/>
                                  <w:szCs w:val="18"/>
                                </w:rPr>
                                <w:t>10</w:t>
                              </w:r>
                            </w:p>
                          </w:txbxContent>
                        </v:textbox>
                      </v:shape>
                    </v:group>
                  </v:group>
                </v:group>
                <w10:anchorlock/>
              </v:group>
            </w:pict>
          </mc:Fallback>
        </mc:AlternateContent>
      </w:r>
    </w:p>
    <w:p w:rsidR="00893676" w:rsidRPr="00B75B77" w:rsidRDefault="00893676" w:rsidP="00751A38">
      <w:pPr>
        <w:pStyle w:val="Source"/>
        <w:ind w:left="0" w:firstLine="0"/>
      </w:pPr>
      <w:r w:rsidRPr="00B75B77">
        <w:t xml:space="preserve">Source: Navigant analysis of program tracking system </w:t>
      </w:r>
    </w:p>
    <w:p w:rsidR="00893676" w:rsidRPr="00B75B77" w:rsidRDefault="003002F4" w:rsidP="009E08FB">
      <w:pPr>
        <w:pStyle w:val="ListParagraph"/>
        <w:numPr>
          <w:ilvl w:val="0"/>
          <w:numId w:val="46"/>
        </w:numPr>
      </w:pPr>
      <w:r w:rsidRPr="00B75B77">
        <w:rPr>
          <w:b/>
        </w:rPr>
        <w:lastRenderedPageBreak/>
        <w:t>Finding:</w:t>
      </w:r>
      <w:r w:rsidRPr="00B75B77">
        <w:t xml:space="preserve"> </w:t>
      </w:r>
      <w:r w:rsidR="00893676" w:rsidRPr="00B75B77">
        <w:t>When asked to identify the greatest challenge their company faces when building homes to ENERGY STAR standards (</w:t>
      </w:r>
      <w:r w:rsidR="00F61038" w:rsidRPr="00B75B77">
        <w:fldChar w:fldCharType="begin"/>
      </w:r>
      <w:r w:rsidR="00F61038" w:rsidRPr="00B75B77">
        <w:instrText xml:space="preserve"> REF _Ref463275515 \h </w:instrText>
      </w:r>
      <w:r w:rsidRPr="00B75B77">
        <w:instrText xml:space="preserve"> \* MERGEFORMAT </w:instrText>
      </w:r>
      <w:r w:rsidR="00F61038" w:rsidRPr="00B75B77">
        <w:fldChar w:fldCharType="separate"/>
      </w:r>
      <w:r w:rsidR="0004016D" w:rsidRPr="00B75B77">
        <w:t xml:space="preserve">Figure </w:t>
      </w:r>
      <w:r w:rsidR="0004016D">
        <w:t>7</w:t>
      </w:r>
      <w:r w:rsidR="0004016D" w:rsidRPr="00B75B77">
        <w:noBreakHyphen/>
      </w:r>
      <w:r w:rsidR="0004016D">
        <w:t>3</w:t>
      </w:r>
      <w:r w:rsidR="00F61038" w:rsidRPr="00B75B77">
        <w:fldChar w:fldCharType="end"/>
      </w:r>
      <w:r w:rsidR="00893676" w:rsidRPr="00B75B77">
        <w:t xml:space="preserve">), builders were divided between the additional cost (43%) and the lack of educated </w:t>
      </w:r>
      <w:r w:rsidR="00FA45FF" w:rsidRPr="00B75B77">
        <w:t>HVAC</w:t>
      </w:r>
      <w:r w:rsidR="00893676" w:rsidRPr="00B75B77">
        <w:t xml:space="preserve"> contractors (43%). </w:t>
      </w:r>
    </w:p>
    <w:p w:rsidR="00893676" w:rsidRPr="00B75B77" w:rsidRDefault="00893676" w:rsidP="00751A38"/>
    <w:p w:rsidR="00893676" w:rsidRPr="00B75B77" w:rsidRDefault="00893676" w:rsidP="00751A38">
      <w:pPr>
        <w:pStyle w:val="Caption"/>
      </w:pPr>
      <w:bookmarkStart w:id="547" w:name="_Ref463275515"/>
      <w:bookmarkStart w:id="548" w:name="_Ref462042530"/>
      <w:bookmarkStart w:id="549" w:name="_Toc466413678"/>
      <w:r w:rsidRPr="00B75B77">
        <w:t xml:space="preserve">Figure </w:t>
      </w:r>
      <w:fldSimple w:instr=" STYLEREF 1 \s ">
        <w:r w:rsidR="0004016D">
          <w:rPr>
            <w:noProof/>
          </w:rPr>
          <w:t>7</w:t>
        </w:r>
      </w:fldSimple>
      <w:r w:rsidR="00BA3BA9" w:rsidRPr="00B75B77">
        <w:noBreakHyphen/>
      </w:r>
      <w:fldSimple w:instr=" SEQ Figure \* ARABIC \s 1 ">
        <w:r w:rsidR="0004016D">
          <w:rPr>
            <w:noProof/>
          </w:rPr>
          <w:t>3</w:t>
        </w:r>
      </w:fldSimple>
      <w:bookmarkEnd w:id="547"/>
      <w:bookmarkEnd w:id="548"/>
      <w:r w:rsidRPr="00B75B77">
        <w:t>: Greatest Challenge in Meeting ENERGY STAR Standards</w:t>
      </w:r>
      <w:r w:rsidR="00A36947" w:rsidRPr="00B75B77">
        <w:t xml:space="preserve"> (n=7)</w:t>
      </w:r>
      <w:bookmarkEnd w:id="549"/>
    </w:p>
    <w:p w:rsidR="00893676" w:rsidRPr="00B75B77" w:rsidRDefault="00893676" w:rsidP="00751A38">
      <w:pPr>
        <w:jc w:val="center"/>
      </w:pPr>
      <w:r w:rsidRPr="00B75B77">
        <w:rPr>
          <w:noProof/>
        </w:rPr>
        <w:drawing>
          <wp:inline distT="0" distB="0" distL="0" distR="0" wp14:anchorId="4A3F4423" wp14:editId="7825D23F">
            <wp:extent cx="4895850" cy="2217420"/>
            <wp:effectExtent l="0" t="0" r="0" b="0"/>
            <wp:docPr id="295" name="Chart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893676" w:rsidRPr="00B75B77" w:rsidRDefault="00893676" w:rsidP="00751A38">
      <w:pPr>
        <w:pStyle w:val="Source"/>
        <w:ind w:left="1890" w:firstLine="0"/>
      </w:pPr>
      <w:r w:rsidRPr="00B75B77">
        <w:t xml:space="preserve">Source: Navigant analysis of builder surveys </w:t>
      </w:r>
    </w:p>
    <w:p w:rsidR="00893676" w:rsidRPr="00B75B77" w:rsidRDefault="003002F4" w:rsidP="009E08FB">
      <w:pPr>
        <w:pStyle w:val="ListParagraph"/>
        <w:numPr>
          <w:ilvl w:val="0"/>
          <w:numId w:val="46"/>
        </w:numPr>
      </w:pPr>
      <w:r w:rsidRPr="00B75B77">
        <w:rPr>
          <w:b/>
        </w:rPr>
        <w:t>Finding:</w:t>
      </w:r>
      <w:r w:rsidRPr="00B75B77">
        <w:t xml:space="preserve"> </w:t>
      </w:r>
      <w:r w:rsidR="00CF188C" w:rsidRPr="00B75B77">
        <w:t>The evaluation team asked b</w:t>
      </w:r>
      <w:r w:rsidR="00893676" w:rsidRPr="00B75B77">
        <w:t xml:space="preserve">uilders surveyed for this evaluation (n=7) to report several statistics related to the homes built by their company in PY7. As shown in </w:t>
      </w:r>
      <w:r w:rsidR="00893676" w:rsidRPr="00B75B77">
        <w:fldChar w:fldCharType="begin"/>
      </w:r>
      <w:r w:rsidR="00893676" w:rsidRPr="00B75B77">
        <w:instrText xml:space="preserve"> REF _Ref462041490 \h </w:instrText>
      </w:r>
      <w:r w:rsidRPr="00B75B77">
        <w:instrText xml:space="preserve"> \* MERGEFORMAT </w:instrText>
      </w:r>
      <w:r w:rsidR="00893676" w:rsidRPr="00B75B77">
        <w:fldChar w:fldCharType="separate"/>
      </w:r>
      <w:r w:rsidR="0004016D" w:rsidRPr="00B75B77">
        <w:t xml:space="preserve">Figure </w:t>
      </w:r>
      <w:r w:rsidR="0004016D">
        <w:t>7</w:t>
      </w:r>
      <w:r w:rsidR="0004016D" w:rsidRPr="00B75B77">
        <w:noBreakHyphen/>
      </w:r>
      <w:r w:rsidR="0004016D">
        <w:t>4</w:t>
      </w:r>
      <w:r w:rsidR="00893676" w:rsidRPr="00B75B77">
        <w:fldChar w:fldCharType="end"/>
      </w:r>
      <w:r w:rsidR="00893676" w:rsidRPr="00B75B77">
        <w:t>, an average of 84</w:t>
      </w:r>
      <w:r w:rsidR="0009500C" w:rsidRPr="00B75B77">
        <w:t>%</w:t>
      </w:r>
      <w:r w:rsidR="00893676" w:rsidRPr="00B75B77">
        <w:t xml:space="preserve"> of all homes built by respondents in PY7 received a rebate through the SBR program. This reflects positively on the program but indicates little room for increasing market penetration among participating builders. </w:t>
      </w:r>
    </w:p>
    <w:p w:rsidR="00893676" w:rsidRPr="00B75B77" w:rsidRDefault="00893676" w:rsidP="00751A38"/>
    <w:p w:rsidR="00893676" w:rsidRPr="00B75B77" w:rsidRDefault="00893676" w:rsidP="00751A38">
      <w:pPr>
        <w:pStyle w:val="Caption"/>
      </w:pPr>
      <w:bookmarkStart w:id="550" w:name="_Ref462041490"/>
      <w:bookmarkStart w:id="551" w:name="_Toc466413679"/>
      <w:r w:rsidRPr="00B75B77">
        <w:t xml:space="preserve">Figure </w:t>
      </w:r>
      <w:fldSimple w:instr=" STYLEREF 1 \s ">
        <w:r w:rsidR="0004016D">
          <w:rPr>
            <w:noProof/>
          </w:rPr>
          <w:t>7</w:t>
        </w:r>
      </w:fldSimple>
      <w:r w:rsidR="00BA3BA9" w:rsidRPr="00B75B77">
        <w:noBreakHyphen/>
      </w:r>
      <w:fldSimple w:instr=" SEQ Figure \* ARABIC \s 1 ">
        <w:r w:rsidR="0004016D">
          <w:rPr>
            <w:noProof/>
          </w:rPr>
          <w:t>4</w:t>
        </w:r>
      </w:fldSimple>
      <w:bookmarkEnd w:id="550"/>
      <w:r w:rsidRPr="00B75B77">
        <w:t>: Portion of Respondents’ Homes Participating in PY7</w:t>
      </w:r>
      <w:r w:rsidR="00A36947" w:rsidRPr="00B75B77">
        <w:t xml:space="preserve"> (n=7)</w:t>
      </w:r>
      <w:bookmarkEnd w:id="551"/>
    </w:p>
    <w:p w:rsidR="00893676" w:rsidRPr="00B75B77" w:rsidRDefault="00893676" w:rsidP="00751A38">
      <w:pPr>
        <w:jc w:val="center"/>
      </w:pPr>
      <w:r w:rsidRPr="00B75B77">
        <w:rPr>
          <w:noProof/>
        </w:rPr>
        <w:t xml:space="preserve"> </w:t>
      </w:r>
      <w:r w:rsidRPr="00B75B77">
        <w:rPr>
          <w:noProof/>
        </w:rPr>
        <w:drawing>
          <wp:inline distT="0" distB="0" distL="0" distR="0" wp14:anchorId="5DFFAB6D" wp14:editId="34606E0F">
            <wp:extent cx="4495800" cy="2221992"/>
            <wp:effectExtent l="0" t="0" r="0" b="0"/>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893676" w:rsidRPr="00B75B77" w:rsidRDefault="00893676" w:rsidP="00751A38">
      <w:pPr>
        <w:pStyle w:val="Source"/>
        <w:ind w:left="1440" w:firstLine="0"/>
      </w:pPr>
      <w:r w:rsidRPr="00B75B77">
        <w:t xml:space="preserve">Source: Navigant </w:t>
      </w:r>
      <w:r w:rsidR="00A36947" w:rsidRPr="00B75B77">
        <w:t xml:space="preserve">analysis of builder surveys </w:t>
      </w:r>
    </w:p>
    <w:p w:rsidR="003002F4" w:rsidRPr="00B75B77" w:rsidRDefault="003002F4" w:rsidP="003002F4">
      <w:pPr>
        <w:pStyle w:val="ListParagraph"/>
      </w:pPr>
    </w:p>
    <w:p w:rsidR="00893676" w:rsidRPr="00B75B77" w:rsidRDefault="0021528B" w:rsidP="003002F4">
      <w:pPr>
        <w:pStyle w:val="ListParagraph"/>
      </w:pPr>
      <w:r w:rsidRPr="00B75B77">
        <w:t>One company who only built 20% of their homes to program standards skewed t</w:t>
      </w:r>
      <w:r w:rsidR="00893676" w:rsidRPr="00B75B77">
        <w:t>he average portion of homes that did not meet program standards (11</w:t>
      </w:r>
      <w:r w:rsidR="0009500C" w:rsidRPr="00B75B77">
        <w:t>%</w:t>
      </w:r>
      <w:r w:rsidR="00893676" w:rsidRPr="00B75B77">
        <w:t>) in PY7. This company only built ENERGY STAR homes in communities that required the certification for all new homes, indicating that the program had little influence on this company’s decision-making</w:t>
      </w:r>
      <w:r w:rsidR="002E49B3" w:rsidRPr="00B75B77">
        <w:t xml:space="preserve">. </w:t>
      </w:r>
    </w:p>
    <w:p w:rsidR="00893676" w:rsidRPr="00B75B77" w:rsidRDefault="00893676" w:rsidP="00751A38"/>
    <w:p w:rsidR="00893676" w:rsidRPr="00B75B77" w:rsidRDefault="00893676" w:rsidP="003002F4">
      <w:pPr>
        <w:pStyle w:val="ListParagraph"/>
      </w:pPr>
      <w:r w:rsidRPr="00B75B77">
        <w:lastRenderedPageBreak/>
        <w:t>Most builders surveyed for this evaluation (71</w:t>
      </w:r>
      <w:r w:rsidR="0009500C" w:rsidRPr="00B75B77">
        <w:t>%</w:t>
      </w:r>
      <w:r w:rsidRPr="00B75B77">
        <w:t xml:space="preserve">) indicated that their program activity (number of homes contributed) is forecast to increase or remain the same in PY8, as shown in </w:t>
      </w:r>
      <w:r w:rsidRPr="00B75B77">
        <w:fldChar w:fldCharType="begin"/>
      </w:r>
      <w:r w:rsidRPr="00B75B77">
        <w:instrText xml:space="preserve"> REF _Ref462042054 \h </w:instrText>
      </w:r>
      <w:r w:rsidR="003002F4" w:rsidRPr="00B75B77">
        <w:instrText xml:space="preserve"> \* MERGEFORMAT </w:instrText>
      </w:r>
      <w:r w:rsidRPr="00B75B77">
        <w:fldChar w:fldCharType="separate"/>
      </w:r>
      <w:r w:rsidR="0004016D" w:rsidRPr="00B75B77">
        <w:t xml:space="preserve">Figure </w:t>
      </w:r>
      <w:r w:rsidR="0004016D">
        <w:t>7</w:t>
      </w:r>
      <w:r w:rsidR="0004016D" w:rsidRPr="00B75B77">
        <w:noBreakHyphen/>
      </w:r>
      <w:r w:rsidR="0004016D">
        <w:t>5</w:t>
      </w:r>
      <w:r w:rsidRPr="00B75B77">
        <w:fldChar w:fldCharType="end"/>
      </w:r>
      <w:r w:rsidRPr="00B75B77">
        <w:t>. However, 29</w:t>
      </w:r>
      <w:r w:rsidR="0009500C" w:rsidRPr="00B75B77">
        <w:t>%</w:t>
      </w:r>
      <w:r w:rsidRPr="00B75B77">
        <w:t xml:space="preserve"> expect a decrease in program activity in PY8 due to limited construction activity in PECO’s territory.</w:t>
      </w:r>
    </w:p>
    <w:p w:rsidR="00893676" w:rsidRPr="00B75B77" w:rsidRDefault="00893676" w:rsidP="00751A38"/>
    <w:p w:rsidR="00893676" w:rsidRPr="00B75B77" w:rsidRDefault="00893676" w:rsidP="00751A38">
      <w:pPr>
        <w:pStyle w:val="Caption"/>
      </w:pPr>
      <w:bookmarkStart w:id="552" w:name="_Ref462042054"/>
      <w:bookmarkStart w:id="553" w:name="_Toc466413680"/>
      <w:r w:rsidRPr="00B75B77">
        <w:t xml:space="preserve">Figure </w:t>
      </w:r>
      <w:fldSimple w:instr=" STYLEREF 1 \s ">
        <w:r w:rsidR="0004016D">
          <w:rPr>
            <w:noProof/>
          </w:rPr>
          <w:t>7</w:t>
        </w:r>
      </w:fldSimple>
      <w:r w:rsidR="00BA3BA9" w:rsidRPr="00B75B77">
        <w:noBreakHyphen/>
      </w:r>
      <w:fldSimple w:instr=" SEQ Figure \* ARABIC \s 1 ">
        <w:r w:rsidR="0004016D">
          <w:rPr>
            <w:noProof/>
          </w:rPr>
          <w:t>5</w:t>
        </w:r>
      </w:fldSimple>
      <w:bookmarkEnd w:id="552"/>
      <w:r w:rsidRPr="00B75B77">
        <w:t>: Builder Forecast for PY8 Program Activity</w:t>
      </w:r>
      <w:r w:rsidR="00A36947" w:rsidRPr="00B75B77">
        <w:t xml:space="preserve"> (n=7)</w:t>
      </w:r>
      <w:bookmarkEnd w:id="553"/>
    </w:p>
    <w:p w:rsidR="00893676" w:rsidRPr="00B75B77" w:rsidRDefault="00893676" w:rsidP="00751A38">
      <w:pPr>
        <w:jc w:val="center"/>
      </w:pPr>
      <w:r w:rsidRPr="00B75B77">
        <w:rPr>
          <w:noProof/>
        </w:rPr>
        <w:drawing>
          <wp:inline distT="0" distB="0" distL="0" distR="0" wp14:anchorId="726AF9C8" wp14:editId="0CFD60AD">
            <wp:extent cx="3688080" cy="2221992"/>
            <wp:effectExtent l="0" t="0" r="0" b="0"/>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893676" w:rsidRPr="00B75B77" w:rsidRDefault="00893676" w:rsidP="00751A38">
      <w:pPr>
        <w:pStyle w:val="Source"/>
        <w:ind w:left="1710" w:firstLine="0"/>
      </w:pPr>
      <w:r w:rsidRPr="00B75B77">
        <w:t xml:space="preserve">Source: Navigant Analysis of Builder Surveys </w:t>
      </w:r>
    </w:p>
    <w:p w:rsidR="00893676" w:rsidRPr="00B75B77" w:rsidRDefault="003002F4" w:rsidP="009E08FB">
      <w:pPr>
        <w:pStyle w:val="ListParagraph"/>
        <w:numPr>
          <w:ilvl w:val="0"/>
          <w:numId w:val="46"/>
        </w:numPr>
      </w:pPr>
      <w:r w:rsidRPr="00B75B77">
        <w:rPr>
          <w:b/>
        </w:rPr>
        <w:t xml:space="preserve">Finding: </w:t>
      </w:r>
      <w:r w:rsidRPr="00B75B77">
        <w:t xml:space="preserve">There is little room to improve market penetration among the existing network of participating builders. </w:t>
      </w:r>
      <w:r w:rsidR="00893676" w:rsidRPr="00B75B77">
        <w:t xml:space="preserve">Navigant estimated the program’s PY7 market penetration, shown in </w:t>
      </w:r>
      <w:r w:rsidR="00F61038" w:rsidRPr="00B75B77">
        <w:fldChar w:fldCharType="begin"/>
      </w:r>
      <w:r w:rsidR="00F61038" w:rsidRPr="00B75B77">
        <w:instrText xml:space="preserve"> REF _Ref462057648 \h </w:instrText>
      </w:r>
      <w:r w:rsidRPr="00B75B77">
        <w:instrText xml:space="preserve"> \* MERGEFORMAT </w:instrText>
      </w:r>
      <w:r w:rsidR="00F61038" w:rsidRPr="00B75B77">
        <w:fldChar w:fldCharType="separate"/>
      </w:r>
      <w:r w:rsidR="0004016D" w:rsidRPr="00B75B77">
        <w:t xml:space="preserve">Table </w:t>
      </w:r>
      <w:r w:rsidR="0004016D">
        <w:t>7</w:t>
      </w:r>
      <w:r w:rsidR="0004016D" w:rsidRPr="00B75B77">
        <w:noBreakHyphen/>
      </w:r>
      <w:r w:rsidR="0004016D">
        <w:t>8</w:t>
      </w:r>
      <w:r w:rsidR="00F61038" w:rsidRPr="00B75B77">
        <w:fldChar w:fldCharType="end"/>
      </w:r>
      <w:r w:rsidR="00893676" w:rsidRPr="00B75B77">
        <w:t xml:space="preserve">, based on US Census data for permits issued in the counties that make up PECO’s service territory. This estimate is likely to be conservative as not all permits result in completed homes during the program year. </w:t>
      </w:r>
    </w:p>
    <w:p w:rsidR="00893676" w:rsidRPr="00B75B77" w:rsidRDefault="00893676" w:rsidP="00751A38"/>
    <w:p w:rsidR="00893676" w:rsidRPr="00B75B77" w:rsidRDefault="00893676" w:rsidP="00751A38">
      <w:pPr>
        <w:pStyle w:val="Caption"/>
      </w:pPr>
      <w:bookmarkStart w:id="554" w:name="_Ref462057648"/>
      <w:bookmarkStart w:id="555" w:name="_Toc466413562"/>
      <w:r w:rsidRPr="00B75B77">
        <w:t xml:space="preserve">Table </w:t>
      </w:r>
      <w:fldSimple w:instr=" STYLEREF 1 \s ">
        <w:r w:rsidR="0004016D">
          <w:rPr>
            <w:noProof/>
          </w:rPr>
          <w:t>7</w:t>
        </w:r>
      </w:fldSimple>
      <w:r w:rsidR="00F1144C" w:rsidRPr="00B75B77">
        <w:noBreakHyphen/>
      </w:r>
      <w:fldSimple w:instr=" SEQ Table \* ARABIC \s 1 ">
        <w:r w:rsidR="0004016D">
          <w:rPr>
            <w:noProof/>
          </w:rPr>
          <w:t>8</w:t>
        </w:r>
      </w:fldSimple>
      <w:bookmarkEnd w:id="554"/>
      <w:r w:rsidRPr="00B75B77">
        <w:t>: Smart Builder Rebates PY7 Market Penetration</w:t>
      </w:r>
      <w:bookmarkEnd w:id="555"/>
    </w:p>
    <w:tbl>
      <w:tblPr>
        <w:tblStyle w:val="PECOTeal"/>
        <w:tblW w:w="0" w:type="auto"/>
        <w:jc w:val="center"/>
        <w:tblLook w:val="04A0" w:firstRow="1" w:lastRow="0" w:firstColumn="1" w:lastColumn="0" w:noHBand="0" w:noVBand="1"/>
      </w:tblPr>
      <w:tblGrid>
        <w:gridCol w:w="1727"/>
        <w:gridCol w:w="1483"/>
        <w:gridCol w:w="1483"/>
        <w:gridCol w:w="1483"/>
      </w:tblGrid>
      <w:tr w:rsidR="00893676" w:rsidRPr="00B75B77" w:rsidTr="00751A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27" w:type="dxa"/>
          </w:tcPr>
          <w:p w:rsidR="00893676" w:rsidRPr="00B75B77" w:rsidRDefault="00893676" w:rsidP="00751A38">
            <w:r w:rsidRPr="00B75B77">
              <w:t>County</w:t>
            </w:r>
          </w:p>
        </w:tc>
        <w:tc>
          <w:tcPr>
            <w:tcW w:w="1483" w:type="dxa"/>
          </w:tcPr>
          <w:p w:rsidR="00893676" w:rsidRPr="00B75B77" w:rsidRDefault="00893676" w:rsidP="00751A38">
            <w:pPr>
              <w:jc w:val="center"/>
              <w:cnfStyle w:val="100000000000" w:firstRow="1" w:lastRow="0" w:firstColumn="0" w:lastColumn="0" w:oddVBand="0" w:evenVBand="0" w:oddHBand="0" w:evenHBand="0" w:firstRowFirstColumn="0" w:firstRowLastColumn="0" w:lastRowFirstColumn="0" w:lastRowLastColumn="0"/>
            </w:pPr>
            <w:r w:rsidRPr="00B75B77">
              <w:t>2015 Single</w:t>
            </w:r>
            <w:r w:rsidR="0044162C" w:rsidRPr="00B75B77">
              <w:t>-</w:t>
            </w:r>
            <w:r w:rsidRPr="00B75B77">
              <w:t>Family Permits</w:t>
            </w:r>
          </w:p>
        </w:tc>
        <w:tc>
          <w:tcPr>
            <w:tcW w:w="1483" w:type="dxa"/>
          </w:tcPr>
          <w:p w:rsidR="00893676" w:rsidRPr="00B75B77" w:rsidRDefault="00893676" w:rsidP="00751A38">
            <w:pPr>
              <w:jc w:val="center"/>
              <w:cnfStyle w:val="100000000000" w:firstRow="1" w:lastRow="0" w:firstColumn="0" w:lastColumn="0" w:oddVBand="0" w:evenVBand="0" w:oddHBand="0" w:evenHBand="0" w:firstRowFirstColumn="0" w:firstRowLastColumn="0" w:lastRowFirstColumn="0" w:lastRowLastColumn="0"/>
            </w:pPr>
            <w:r w:rsidRPr="00B75B77">
              <w:t>PY7 Units Rebated</w:t>
            </w:r>
          </w:p>
        </w:tc>
        <w:tc>
          <w:tcPr>
            <w:tcW w:w="1483" w:type="dxa"/>
          </w:tcPr>
          <w:p w:rsidR="00893676" w:rsidRPr="00B75B77" w:rsidRDefault="00893676" w:rsidP="00751A38">
            <w:pPr>
              <w:jc w:val="center"/>
              <w:cnfStyle w:val="100000000000" w:firstRow="1" w:lastRow="0" w:firstColumn="0" w:lastColumn="0" w:oddVBand="0" w:evenVBand="0" w:oddHBand="0" w:evenHBand="0" w:firstRowFirstColumn="0" w:firstRowLastColumn="0" w:lastRowFirstColumn="0" w:lastRowLastColumn="0"/>
            </w:pPr>
            <w:r w:rsidRPr="00B75B77">
              <w:t>Market Penetration</w:t>
            </w:r>
          </w:p>
        </w:tc>
      </w:tr>
      <w:tr w:rsidR="00893676" w:rsidRPr="00B75B77" w:rsidTr="00751A3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27" w:type="dxa"/>
          </w:tcPr>
          <w:p w:rsidR="00893676" w:rsidRPr="00B75B77" w:rsidRDefault="00893676" w:rsidP="00751A38">
            <w:pPr>
              <w:jc w:val="left"/>
              <w:rPr>
                <w:b w:val="0"/>
              </w:rPr>
            </w:pPr>
            <w:r w:rsidRPr="00B75B77">
              <w:rPr>
                <w:b w:val="0"/>
              </w:rPr>
              <w:t>Philadelphia</w:t>
            </w:r>
          </w:p>
        </w:tc>
        <w:tc>
          <w:tcPr>
            <w:tcW w:w="1483" w:type="dxa"/>
          </w:tcPr>
          <w:p w:rsidR="00893676" w:rsidRPr="00B75B77" w:rsidRDefault="00893676" w:rsidP="00751A38">
            <w:pPr>
              <w:jc w:val="center"/>
              <w:cnfStyle w:val="000000100000" w:firstRow="0" w:lastRow="0" w:firstColumn="0" w:lastColumn="0" w:oddVBand="0" w:evenVBand="0" w:oddHBand="1" w:evenHBand="0" w:firstRowFirstColumn="0" w:firstRowLastColumn="0" w:lastRowFirstColumn="0" w:lastRowLastColumn="0"/>
            </w:pPr>
            <w:r w:rsidRPr="00B75B77">
              <w:t>822</w:t>
            </w:r>
          </w:p>
        </w:tc>
        <w:tc>
          <w:tcPr>
            <w:tcW w:w="1483" w:type="dxa"/>
          </w:tcPr>
          <w:p w:rsidR="00893676" w:rsidRPr="00B75B77" w:rsidRDefault="00893676" w:rsidP="00751A38">
            <w:pPr>
              <w:jc w:val="center"/>
              <w:cnfStyle w:val="000000100000" w:firstRow="0" w:lastRow="0" w:firstColumn="0" w:lastColumn="0" w:oddVBand="0" w:evenVBand="0" w:oddHBand="1" w:evenHBand="0" w:firstRowFirstColumn="0" w:firstRowLastColumn="0" w:lastRowFirstColumn="0" w:lastRowLastColumn="0"/>
            </w:pPr>
            <w:r w:rsidRPr="00B75B77">
              <w:t>47</w:t>
            </w:r>
          </w:p>
        </w:tc>
        <w:tc>
          <w:tcPr>
            <w:tcW w:w="1483" w:type="dxa"/>
          </w:tcPr>
          <w:p w:rsidR="00893676" w:rsidRPr="00B75B77" w:rsidRDefault="00893676" w:rsidP="00751A38">
            <w:pPr>
              <w:jc w:val="center"/>
              <w:cnfStyle w:val="000000100000" w:firstRow="0" w:lastRow="0" w:firstColumn="0" w:lastColumn="0" w:oddVBand="0" w:evenVBand="0" w:oddHBand="1" w:evenHBand="0" w:firstRowFirstColumn="0" w:firstRowLastColumn="0" w:lastRowFirstColumn="0" w:lastRowLastColumn="0"/>
            </w:pPr>
            <w:r w:rsidRPr="00B75B77">
              <w:t>6%</w:t>
            </w:r>
          </w:p>
        </w:tc>
      </w:tr>
      <w:tr w:rsidR="00893676" w:rsidRPr="00B75B77" w:rsidTr="00751A38">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27" w:type="dxa"/>
          </w:tcPr>
          <w:p w:rsidR="00893676" w:rsidRPr="00B75B77" w:rsidRDefault="00893676" w:rsidP="00751A38">
            <w:pPr>
              <w:jc w:val="left"/>
              <w:rPr>
                <w:b w:val="0"/>
              </w:rPr>
            </w:pPr>
            <w:r w:rsidRPr="00B75B77">
              <w:rPr>
                <w:b w:val="0"/>
              </w:rPr>
              <w:t>Bucks</w:t>
            </w:r>
          </w:p>
        </w:tc>
        <w:tc>
          <w:tcPr>
            <w:tcW w:w="1483" w:type="dxa"/>
          </w:tcPr>
          <w:p w:rsidR="00893676" w:rsidRPr="00B75B77" w:rsidRDefault="00893676" w:rsidP="00751A38">
            <w:pPr>
              <w:jc w:val="center"/>
              <w:cnfStyle w:val="000000010000" w:firstRow="0" w:lastRow="0" w:firstColumn="0" w:lastColumn="0" w:oddVBand="0" w:evenVBand="0" w:oddHBand="0" w:evenHBand="1" w:firstRowFirstColumn="0" w:firstRowLastColumn="0" w:lastRowFirstColumn="0" w:lastRowLastColumn="0"/>
            </w:pPr>
            <w:r w:rsidRPr="00B75B77">
              <w:t>905</w:t>
            </w:r>
          </w:p>
        </w:tc>
        <w:tc>
          <w:tcPr>
            <w:tcW w:w="1483" w:type="dxa"/>
          </w:tcPr>
          <w:p w:rsidR="00893676" w:rsidRPr="00B75B77" w:rsidRDefault="00893676" w:rsidP="00751A38">
            <w:pPr>
              <w:jc w:val="center"/>
              <w:cnfStyle w:val="000000010000" w:firstRow="0" w:lastRow="0" w:firstColumn="0" w:lastColumn="0" w:oddVBand="0" w:evenVBand="0" w:oddHBand="0" w:evenHBand="1" w:firstRowFirstColumn="0" w:firstRowLastColumn="0" w:lastRowFirstColumn="0" w:lastRowLastColumn="0"/>
            </w:pPr>
            <w:r w:rsidRPr="00B75B77">
              <w:t>15</w:t>
            </w:r>
          </w:p>
        </w:tc>
        <w:tc>
          <w:tcPr>
            <w:tcW w:w="1483" w:type="dxa"/>
          </w:tcPr>
          <w:p w:rsidR="00893676" w:rsidRPr="00B75B77" w:rsidRDefault="00893676" w:rsidP="00751A38">
            <w:pPr>
              <w:jc w:val="center"/>
              <w:cnfStyle w:val="000000010000" w:firstRow="0" w:lastRow="0" w:firstColumn="0" w:lastColumn="0" w:oddVBand="0" w:evenVBand="0" w:oddHBand="0" w:evenHBand="1" w:firstRowFirstColumn="0" w:firstRowLastColumn="0" w:lastRowFirstColumn="0" w:lastRowLastColumn="0"/>
            </w:pPr>
            <w:r w:rsidRPr="00B75B77">
              <w:t>2%</w:t>
            </w:r>
          </w:p>
        </w:tc>
      </w:tr>
      <w:tr w:rsidR="00893676" w:rsidRPr="00B75B77" w:rsidTr="00751A3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27" w:type="dxa"/>
          </w:tcPr>
          <w:p w:rsidR="00893676" w:rsidRPr="00B75B77" w:rsidRDefault="00893676" w:rsidP="00751A38">
            <w:pPr>
              <w:jc w:val="left"/>
              <w:rPr>
                <w:b w:val="0"/>
              </w:rPr>
            </w:pPr>
            <w:r w:rsidRPr="00B75B77">
              <w:rPr>
                <w:b w:val="0"/>
              </w:rPr>
              <w:t>Chester</w:t>
            </w:r>
          </w:p>
        </w:tc>
        <w:tc>
          <w:tcPr>
            <w:tcW w:w="1483" w:type="dxa"/>
          </w:tcPr>
          <w:p w:rsidR="00893676" w:rsidRPr="00B75B77" w:rsidRDefault="00893676" w:rsidP="00751A38">
            <w:pPr>
              <w:jc w:val="center"/>
              <w:cnfStyle w:val="000000100000" w:firstRow="0" w:lastRow="0" w:firstColumn="0" w:lastColumn="0" w:oddVBand="0" w:evenVBand="0" w:oddHBand="1" w:evenHBand="0" w:firstRowFirstColumn="0" w:firstRowLastColumn="0" w:lastRowFirstColumn="0" w:lastRowLastColumn="0"/>
            </w:pPr>
            <w:r w:rsidRPr="00B75B77">
              <w:t>814</w:t>
            </w:r>
          </w:p>
        </w:tc>
        <w:tc>
          <w:tcPr>
            <w:tcW w:w="1483" w:type="dxa"/>
          </w:tcPr>
          <w:p w:rsidR="00893676" w:rsidRPr="00B75B77" w:rsidRDefault="00893676" w:rsidP="00751A38">
            <w:pPr>
              <w:jc w:val="center"/>
              <w:cnfStyle w:val="000000100000" w:firstRow="0" w:lastRow="0" w:firstColumn="0" w:lastColumn="0" w:oddVBand="0" w:evenVBand="0" w:oddHBand="1" w:evenHBand="0" w:firstRowFirstColumn="0" w:firstRowLastColumn="0" w:lastRowFirstColumn="0" w:lastRowLastColumn="0"/>
            </w:pPr>
            <w:r w:rsidRPr="00B75B77">
              <w:t>29</w:t>
            </w:r>
          </w:p>
        </w:tc>
        <w:tc>
          <w:tcPr>
            <w:tcW w:w="1483" w:type="dxa"/>
          </w:tcPr>
          <w:p w:rsidR="00893676" w:rsidRPr="00B75B77" w:rsidRDefault="00893676" w:rsidP="00751A38">
            <w:pPr>
              <w:jc w:val="center"/>
              <w:cnfStyle w:val="000000100000" w:firstRow="0" w:lastRow="0" w:firstColumn="0" w:lastColumn="0" w:oddVBand="0" w:evenVBand="0" w:oddHBand="1" w:evenHBand="0" w:firstRowFirstColumn="0" w:firstRowLastColumn="0" w:lastRowFirstColumn="0" w:lastRowLastColumn="0"/>
            </w:pPr>
            <w:r w:rsidRPr="00B75B77">
              <w:t>4%</w:t>
            </w:r>
          </w:p>
        </w:tc>
      </w:tr>
      <w:tr w:rsidR="00893676" w:rsidRPr="00B75B77" w:rsidTr="00751A38">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27" w:type="dxa"/>
          </w:tcPr>
          <w:p w:rsidR="00893676" w:rsidRPr="00B75B77" w:rsidRDefault="00893676" w:rsidP="00751A38">
            <w:pPr>
              <w:jc w:val="left"/>
              <w:rPr>
                <w:b w:val="0"/>
              </w:rPr>
            </w:pPr>
            <w:r w:rsidRPr="00B75B77">
              <w:rPr>
                <w:b w:val="0"/>
              </w:rPr>
              <w:t>Delaware</w:t>
            </w:r>
          </w:p>
        </w:tc>
        <w:tc>
          <w:tcPr>
            <w:tcW w:w="1483" w:type="dxa"/>
          </w:tcPr>
          <w:p w:rsidR="00893676" w:rsidRPr="00B75B77" w:rsidRDefault="00893676" w:rsidP="00751A38">
            <w:pPr>
              <w:jc w:val="center"/>
              <w:cnfStyle w:val="000000010000" w:firstRow="0" w:lastRow="0" w:firstColumn="0" w:lastColumn="0" w:oddVBand="0" w:evenVBand="0" w:oddHBand="0" w:evenHBand="1" w:firstRowFirstColumn="0" w:firstRowLastColumn="0" w:lastRowFirstColumn="0" w:lastRowLastColumn="0"/>
            </w:pPr>
            <w:r w:rsidRPr="00B75B77">
              <w:t>341</w:t>
            </w:r>
          </w:p>
        </w:tc>
        <w:tc>
          <w:tcPr>
            <w:tcW w:w="1483" w:type="dxa"/>
          </w:tcPr>
          <w:p w:rsidR="00893676" w:rsidRPr="00B75B77" w:rsidRDefault="00893676" w:rsidP="00751A38">
            <w:pPr>
              <w:jc w:val="center"/>
              <w:cnfStyle w:val="000000010000" w:firstRow="0" w:lastRow="0" w:firstColumn="0" w:lastColumn="0" w:oddVBand="0" w:evenVBand="0" w:oddHBand="0" w:evenHBand="1" w:firstRowFirstColumn="0" w:firstRowLastColumn="0" w:lastRowFirstColumn="0" w:lastRowLastColumn="0"/>
            </w:pPr>
            <w:r w:rsidRPr="00B75B77">
              <w:t>48</w:t>
            </w:r>
          </w:p>
        </w:tc>
        <w:tc>
          <w:tcPr>
            <w:tcW w:w="1483" w:type="dxa"/>
          </w:tcPr>
          <w:p w:rsidR="00893676" w:rsidRPr="00B75B77" w:rsidRDefault="00893676" w:rsidP="00751A38">
            <w:pPr>
              <w:jc w:val="center"/>
              <w:cnfStyle w:val="000000010000" w:firstRow="0" w:lastRow="0" w:firstColumn="0" w:lastColumn="0" w:oddVBand="0" w:evenVBand="0" w:oddHBand="0" w:evenHBand="1" w:firstRowFirstColumn="0" w:firstRowLastColumn="0" w:lastRowFirstColumn="0" w:lastRowLastColumn="0"/>
            </w:pPr>
            <w:r w:rsidRPr="00B75B77">
              <w:t>14%</w:t>
            </w:r>
          </w:p>
        </w:tc>
      </w:tr>
      <w:tr w:rsidR="00893676" w:rsidRPr="00B75B77" w:rsidTr="00751A3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27" w:type="dxa"/>
          </w:tcPr>
          <w:p w:rsidR="00893676" w:rsidRPr="00B75B77" w:rsidRDefault="00893676" w:rsidP="00751A38">
            <w:pPr>
              <w:jc w:val="left"/>
              <w:rPr>
                <w:b w:val="0"/>
              </w:rPr>
            </w:pPr>
            <w:r w:rsidRPr="00B75B77">
              <w:rPr>
                <w:b w:val="0"/>
              </w:rPr>
              <w:t>Montgomery</w:t>
            </w:r>
          </w:p>
        </w:tc>
        <w:tc>
          <w:tcPr>
            <w:tcW w:w="1483" w:type="dxa"/>
          </w:tcPr>
          <w:p w:rsidR="00893676" w:rsidRPr="00B75B77" w:rsidRDefault="00893676" w:rsidP="00751A38">
            <w:pPr>
              <w:jc w:val="center"/>
              <w:cnfStyle w:val="000000100000" w:firstRow="0" w:lastRow="0" w:firstColumn="0" w:lastColumn="0" w:oddVBand="0" w:evenVBand="0" w:oddHBand="1" w:evenHBand="0" w:firstRowFirstColumn="0" w:firstRowLastColumn="0" w:lastRowFirstColumn="0" w:lastRowLastColumn="0"/>
            </w:pPr>
            <w:r w:rsidRPr="00B75B77">
              <w:t>1,006</w:t>
            </w:r>
          </w:p>
        </w:tc>
        <w:tc>
          <w:tcPr>
            <w:tcW w:w="1483" w:type="dxa"/>
          </w:tcPr>
          <w:p w:rsidR="00893676" w:rsidRPr="00B75B77" w:rsidRDefault="00893676" w:rsidP="00751A38">
            <w:pPr>
              <w:jc w:val="center"/>
              <w:cnfStyle w:val="000000100000" w:firstRow="0" w:lastRow="0" w:firstColumn="0" w:lastColumn="0" w:oddVBand="0" w:evenVBand="0" w:oddHBand="1" w:evenHBand="0" w:firstRowFirstColumn="0" w:firstRowLastColumn="0" w:lastRowFirstColumn="0" w:lastRowLastColumn="0"/>
            </w:pPr>
            <w:r w:rsidRPr="00B75B77">
              <w:t>13</w:t>
            </w:r>
          </w:p>
        </w:tc>
        <w:tc>
          <w:tcPr>
            <w:tcW w:w="1483" w:type="dxa"/>
          </w:tcPr>
          <w:p w:rsidR="00893676" w:rsidRPr="00B75B77" w:rsidRDefault="00893676" w:rsidP="00751A38">
            <w:pPr>
              <w:jc w:val="center"/>
              <w:cnfStyle w:val="000000100000" w:firstRow="0" w:lastRow="0" w:firstColumn="0" w:lastColumn="0" w:oddVBand="0" w:evenVBand="0" w:oddHBand="1" w:evenHBand="0" w:firstRowFirstColumn="0" w:firstRowLastColumn="0" w:lastRowFirstColumn="0" w:lastRowLastColumn="0"/>
            </w:pPr>
            <w:r w:rsidRPr="00B75B77">
              <w:t>1%</w:t>
            </w:r>
          </w:p>
        </w:tc>
      </w:tr>
      <w:tr w:rsidR="00893676" w:rsidRPr="00B75B77" w:rsidTr="00751A38">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27" w:type="dxa"/>
          </w:tcPr>
          <w:p w:rsidR="00893676" w:rsidRPr="00B75B77" w:rsidRDefault="0021528B" w:rsidP="00751A38">
            <w:pPr>
              <w:jc w:val="left"/>
            </w:pPr>
            <w:r w:rsidRPr="00B75B77">
              <w:t>TOTAL</w:t>
            </w:r>
          </w:p>
        </w:tc>
        <w:tc>
          <w:tcPr>
            <w:tcW w:w="1483" w:type="dxa"/>
          </w:tcPr>
          <w:p w:rsidR="00893676" w:rsidRPr="00B75B77" w:rsidRDefault="00893676" w:rsidP="00751A38">
            <w:pPr>
              <w:jc w:val="center"/>
              <w:cnfStyle w:val="000000010000" w:firstRow="0" w:lastRow="0" w:firstColumn="0" w:lastColumn="0" w:oddVBand="0" w:evenVBand="0" w:oddHBand="0" w:evenHBand="1" w:firstRowFirstColumn="0" w:firstRowLastColumn="0" w:lastRowFirstColumn="0" w:lastRowLastColumn="0"/>
              <w:rPr>
                <w:b/>
              </w:rPr>
            </w:pPr>
            <w:r w:rsidRPr="00B75B77">
              <w:rPr>
                <w:b/>
              </w:rPr>
              <w:t>3,888</w:t>
            </w:r>
          </w:p>
        </w:tc>
        <w:tc>
          <w:tcPr>
            <w:tcW w:w="1483" w:type="dxa"/>
          </w:tcPr>
          <w:p w:rsidR="00893676" w:rsidRPr="00B75B77" w:rsidRDefault="00893676" w:rsidP="00751A38">
            <w:pPr>
              <w:jc w:val="center"/>
              <w:cnfStyle w:val="000000010000" w:firstRow="0" w:lastRow="0" w:firstColumn="0" w:lastColumn="0" w:oddVBand="0" w:evenVBand="0" w:oddHBand="0" w:evenHBand="1" w:firstRowFirstColumn="0" w:firstRowLastColumn="0" w:lastRowFirstColumn="0" w:lastRowLastColumn="0"/>
              <w:rPr>
                <w:b/>
              </w:rPr>
            </w:pPr>
            <w:r w:rsidRPr="00B75B77">
              <w:rPr>
                <w:b/>
              </w:rPr>
              <w:t>152</w:t>
            </w:r>
          </w:p>
        </w:tc>
        <w:tc>
          <w:tcPr>
            <w:tcW w:w="1483" w:type="dxa"/>
          </w:tcPr>
          <w:p w:rsidR="00893676" w:rsidRPr="00B75B77" w:rsidRDefault="00893676" w:rsidP="00751A38">
            <w:pPr>
              <w:jc w:val="center"/>
              <w:cnfStyle w:val="000000010000" w:firstRow="0" w:lastRow="0" w:firstColumn="0" w:lastColumn="0" w:oddVBand="0" w:evenVBand="0" w:oddHBand="0" w:evenHBand="1" w:firstRowFirstColumn="0" w:firstRowLastColumn="0" w:lastRowFirstColumn="0" w:lastRowLastColumn="0"/>
              <w:rPr>
                <w:b/>
              </w:rPr>
            </w:pPr>
            <w:r w:rsidRPr="00B75B77">
              <w:rPr>
                <w:b/>
              </w:rPr>
              <w:t>4%</w:t>
            </w:r>
          </w:p>
        </w:tc>
      </w:tr>
    </w:tbl>
    <w:p w:rsidR="00893676" w:rsidRPr="00B75B77" w:rsidRDefault="00893676" w:rsidP="004943C7">
      <w:pPr>
        <w:pStyle w:val="Source"/>
        <w:ind w:left="1890" w:hanging="270"/>
      </w:pPr>
      <w:r w:rsidRPr="00B75B77">
        <w:t xml:space="preserve">Source: Navigant </w:t>
      </w:r>
      <w:r w:rsidR="00B659D9" w:rsidRPr="00B75B77">
        <w:t>a</w:t>
      </w:r>
      <w:r w:rsidRPr="00B75B77">
        <w:t>nalysis of US Census Data</w:t>
      </w:r>
    </w:p>
    <w:p w:rsidR="00C6266E" w:rsidRPr="00B75B77" w:rsidRDefault="00C6266E" w:rsidP="00C6266E">
      <w:pPr>
        <w:pStyle w:val="ListParagraph"/>
      </w:pPr>
      <w:bookmarkStart w:id="556" w:name="_Toc434597806"/>
      <w:r w:rsidRPr="00B75B77">
        <w:t>The</w:t>
      </w:r>
      <w:r w:rsidR="00893676" w:rsidRPr="00B75B77">
        <w:t xml:space="preserve"> program will need to increase outreach among the broader market of code-level builders. The CSP’s outreach among these builders in PY6 and PY7 found that incentive amounts offered for ENERGY STAR homes were not sufficient to overcome cost barriers to participation. The Phase III program design includes a new participation path (Code-Plus) targeted to these builders, with less stringent requirements and lower incremental costs. Recent outreach indicates that this new offering will motivate many of these code-level builders to participate in the program in PY8</w:t>
      </w:r>
      <w:r w:rsidR="00C3657C" w:rsidRPr="00B75B77">
        <w:t xml:space="preserve"> and</w:t>
      </w:r>
      <w:r w:rsidR="00893676" w:rsidRPr="00B75B77">
        <w:t xml:space="preserve"> they may eventually be guided toward the EN</w:t>
      </w:r>
      <w:r w:rsidRPr="00B75B77">
        <w:t xml:space="preserve">ERGY STAR participation level. </w:t>
      </w:r>
    </w:p>
    <w:p w:rsidR="00194F07" w:rsidRPr="00B75B77" w:rsidRDefault="00194F07" w:rsidP="00C6266E">
      <w:pPr>
        <w:pStyle w:val="ListParagraph"/>
      </w:pPr>
    </w:p>
    <w:p w:rsidR="00893676" w:rsidRPr="00B75B77" w:rsidRDefault="00893676" w:rsidP="00153ECC">
      <w:pPr>
        <w:pStyle w:val="ListParagraph"/>
        <w:numPr>
          <w:ilvl w:val="1"/>
          <w:numId w:val="26"/>
        </w:numPr>
        <w:spacing w:after="120"/>
        <w:ind w:left="1440" w:hanging="360"/>
        <w:contextualSpacing w:val="0"/>
        <w:jc w:val="left"/>
      </w:pPr>
      <w:r w:rsidRPr="00B75B77">
        <w:rPr>
          <w:b/>
        </w:rPr>
        <w:t xml:space="preserve">Recommendation: </w:t>
      </w:r>
      <w:r w:rsidRPr="00B75B77">
        <w:t>Conduct broader outreach among nonparticipating builders in Phase III using the Code-Plus participation option to recruit code-level builders.</w:t>
      </w:r>
    </w:p>
    <w:p w:rsidR="00C6266E" w:rsidRPr="00B75B77" w:rsidRDefault="00C6266E" w:rsidP="009E08FB">
      <w:pPr>
        <w:pStyle w:val="ListParagraph"/>
        <w:numPr>
          <w:ilvl w:val="0"/>
          <w:numId w:val="46"/>
        </w:numPr>
      </w:pPr>
      <w:r w:rsidRPr="00B75B77">
        <w:rPr>
          <w:b/>
        </w:rPr>
        <w:lastRenderedPageBreak/>
        <w:t xml:space="preserve">Finding: </w:t>
      </w:r>
      <w:r w:rsidR="00893676" w:rsidRPr="00B75B77">
        <w:t xml:space="preserve">Builders reported that finding and/or educating contractors was a key challenge with participating in the program. </w:t>
      </w:r>
      <w:r w:rsidR="00C3657C" w:rsidRPr="00B75B77">
        <w:t>B</w:t>
      </w:r>
      <w:r w:rsidR="00893676" w:rsidRPr="00B75B77">
        <w:t xml:space="preserve">uilders </w:t>
      </w:r>
      <w:r w:rsidR="00C3657C" w:rsidRPr="00B75B77">
        <w:t xml:space="preserve">also </w:t>
      </w:r>
      <w:r w:rsidR="00893676" w:rsidRPr="00B75B77">
        <w:t>reported low satisfaction with training activities provided by the program.</w:t>
      </w:r>
    </w:p>
    <w:p w:rsidR="00194F07" w:rsidRPr="00B75B77" w:rsidRDefault="00194F07" w:rsidP="00194F07">
      <w:pPr>
        <w:pStyle w:val="ListParagraph"/>
      </w:pPr>
    </w:p>
    <w:p w:rsidR="00893676" w:rsidRPr="00B75B77" w:rsidRDefault="00893676" w:rsidP="009E08FB">
      <w:pPr>
        <w:pStyle w:val="ListParagraph"/>
        <w:numPr>
          <w:ilvl w:val="1"/>
          <w:numId w:val="46"/>
        </w:numPr>
      </w:pPr>
      <w:r w:rsidRPr="00B75B77">
        <w:rPr>
          <w:b/>
        </w:rPr>
        <w:t xml:space="preserve">Recommendation: </w:t>
      </w:r>
      <w:r w:rsidRPr="00B75B77">
        <w:t xml:space="preserve">Program staff should provide </w:t>
      </w:r>
      <w:r w:rsidR="00C3657C" w:rsidRPr="00B75B77">
        <w:t xml:space="preserve">builders </w:t>
      </w:r>
      <w:r w:rsidRPr="00B75B77">
        <w:t>support with recruiting and educating contractors in Phase III through program-sponsored training and outreach.</w:t>
      </w:r>
    </w:p>
    <w:p w:rsidR="00893676" w:rsidRPr="00B75B77" w:rsidRDefault="00893676" w:rsidP="00751A38"/>
    <w:p w:rsidR="00893676" w:rsidRPr="00B75B77" w:rsidRDefault="00893676" w:rsidP="00751A38">
      <w:pPr>
        <w:pStyle w:val="Heading2"/>
        <w:ind w:left="720" w:hanging="720"/>
      </w:pPr>
      <w:bookmarkStart w:id="557" w:name="_Toc466413355"/>
      <w:r w:rsidRPr="00B75B77">
        <w:t>Status of Recommendations for Program</w:t>
      </w:r>
      <w:bookmarkEnd w:id="556"/>
      <w:bookmarkEnd w:id="557"/>
    </w:p>
    <w:p w:rsidR="00893676" w:rsidRPr="00B75B77" w:rsidRDefault="00C3657C" w:rsidP="00751A38">
      <w:pPr>
        <w:keepNext/>
        <w:jc w:val="left"/>
      </w:pPr>
      <w:r w:rsidRPr="00B75B77">
        <w:t xml:space="preserve">Navigant’s </w:t>
      </w:r>
      <w:r w:rsidR="00893676" w:rsidRPr="00B75B77">
        <w:t>recommendations for the SBR program</w:t>
      </w:r>
      <w:r w:rsidRPr="00B75B77">
        <w:t>, along with the PECO status for each recommendation,</w:t>
      </w:r>
      <w:r w:rsidR="00893676" w:rsidRPr="00B75B77">
        <w:t xml:space="preserve"> are listed in </w:t>
      </w:r>
      <w:r w:rsidR="00F61038" w:rsidRPr="00B75B77">
        <w:fldChar w:fldCharType="begin"/>
      </w:r>
      <w:r w:rsidR="00F61038" w:rsidRPr="00B75B77">
        <w:instrText xml:space="preserve"> REF _Ref432666802 \h </w:instrText>
      </w:r>
      <w:r w:rsidR="00B75B77">
        <w:instrText xml:space="preserve"> \* MERGEFORMAT </w:instrText>
      </w:r>
      <w:r w:rsidR="00F61038" w:rsidRPr="00B75B77">
        <w:fldChar w:fldCharType="separate"/>
      </w:r>
      <w:r w:rsidR="0004016D" w:rsidRPr="00B75B77">
        <w:t xml:space="preserve">Table </w:t>
      </w:r>
      <w:r w:rsidR="0004016D">
        <w:rPr>
          <w:noProof/>
        </w:rPr>
        <w:t>7</w:t>
      </w:r>
      <w:r w:rsidR="0004016D" w:rsidRPr="00B75B77">
        <w:rPr>
          <w:noProof/>
        </w:rPr>
        <w:noBreakHyphen/>
      </w:r>
      <w:r w:rsidR="0004016D">
        <w:rPr>
          <w:noProof/>
        </w:rPr>
        <w:t>9</w:t>
      </w:r>
      <w:r w:rsidR="00F61038" w:rsidRPr="00B75B77">
        <w:fldChar w:fldCharType="end"/>
      </w:r>
      <w:r w:rsidR="00893676" w:rsidRPr="00B75B77">
        <w:t>.</w:t>
      </w:r>
    </w:p>
    <w:p w:rsidR="00893676" w:rsidRPr="00B75B77" w:rsidRDefault="00893676" w:rsidP="00751A38"/>
    <w:p w:rsidR="00893676" w:rsidRPr="00B75B77" w:rsidRDefault="00893676" w:rsidP="00751A38">
      <w:pPr>
        <w:pStyle w:val="Caption"/>
        <w:keepLines/>
      </w:pPr>
      <w:bookmarkStart w:id="558" w:name="_Ref432666802"/>
      <w:bookmarkStart w:id="559" w:name="_Toc434597595"/>
      <w:bookmarkStart w:id="560" w:name="_Toc466413563"/>
      <w:r w:rsidRPr="00B75B77">
        <w:t xml:space="preserve">Table </w:t>
      </w:r>
      <w:fldSimple w:instr=" STYLEREF 1 \s ">
        <w:r w:rsidR="0004016D">
          <w:rPr>
            <w:noProof/>
          </w:rPr>
          <w:t>7</w:t>
        </w:r>
      </w:fldSimple>
      <w:r w:rsidR="00F1144C" w:rsidRPr="00B75B77">
        <w:noBreakHyphen/>
      </w:r>
      <w:fldSimple w:instr=" SEQ Table \* ARABIC \s 1 ">
        <w:r w:rsidR="0004016D">
          <w:rPr>
            <w:noProof/>
          </w:rPr>
          <w:t>9</w:t>
        </w:r>
      </w:fldSimple>
      <w:bookmarkEnd w:id="558"/>
      <w:r w:rsidRPr="00B75B77">
        <w:t>: Smart Builder Rebates Status Report on Process and Impact Recommendations</w:t>
      </w:r>
      <w:bookmarkEnd w:id="559"/>
      <w:bookmarkEnd w:id="560"/>
      <w:r w:rsidRPr="00B75B77">
        <w:t xml:space="preserve"> </w:t>
      </w:r>
    </w:p>
    <w:tbl>
      <w:tblPr>
        <w:tblStyle w:val="PECOTeal"/>
        <w:tblW w:w="9360" w:type="dxa"/>
        <w:tblLayout w:type="fixed"/>
        <w:tblLook w:val="04A0" w:firstRow="1" w:lastRow="0" w:firstColumn="1" w:lastColumn="0" w:noHBand="0" w:noVBand="1"/>
      </w:tblPr>
      <w:tblGrid>
        <w:gridCol w:w="5840"/>
        <w:gridCol w:w="3520"/>
      </w:tblGrid>
      <w:tr w:rsidR="00893676" w:rsidRPr="00B75B77" w:rsidTr="00751A38">
        <w:trPr>
          <w:cnfStyle w:val="100000000000" w:firstRow="1" w:lastRow="0" w:firstColumn="0" w:lastColumn="0" w:oddVBand="0" w:evenVBand="0" w:oddHBand="0"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5840" w:type="dxa"/>
            <w:hideMark/>
          </w:tcPr>
          <w:p w:rsidR="00893676" w:rsidRPr="00B75B77" w:rsidRDefault="00893676" w:rsidP="00751A38">
            <w:pPr>
              <w:keepNext/>
              <w:keepLines/>
              <w:jc w:val="left"/>
              <w:rPr>
                <w:rFonts w:ascii="Calibri" w:eastAsia="Times New Roman" w:hAnsi="Calibri"/>
                <w:bCs w:val="0"/>
              </w:rPr>
            </w:pPr>
            <w:r w:rsidRPr="00B75B77">
              <w:rPr>
                <w:rFonts w:ascii="Calibri" w:eastAsia="Times New Roman" w:hAnsi="Calibri"/>
                <w:bCs w:val="0"/>
              </w:rPr>
              <w:t>Recommendations</w:t>
            </w:r>
          </w:p>
        </w:tc>
        <w:tc>
          <w:tcPr>
            <w:tcW w:w="3520" w:type="dxa"/>
            <w:hideMark/>
          </w:tcPr>
          <w:p w:rsidR="00893676" w:rsidRPr="00B75B77" w:rsidRDefault="00893676" w:rsidP="00751A38">
            <w:pPr>
              <w:keepNext/>
              <w:keepLines/>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rPr>
            </w:pPr>
            <w:r w:rsidRPr="00B75B77">
              <w:rPr>
                <w:rFonts w:ascii="Calibri" w:eastAsia="Times New Roman" w:hAnsi="Calibri"/>
                <w:bCs w:val="0"/>
              </w:rPr>
              <w:t>EDC Status of Recommendation (Implemented, Being Considered, Rejected AND Explanation of Action Taken by EDC)</w:t>
            </w:r>
          </w:p>
        </w:tc>
      </w:tr>
      <w:tr w:rsidR="00893676" w:rsidRPr="00B75B77" w:rsidTr="00D93A77">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5840" w:type="dxa"/>
            <w:noWrap/>
            <w:vAlign w:val="top"/>
            <w:hideMark/>
          </w:tcPr>
          <w:p w:rsidR="00893676" w:rsidRPr="00B75B77" w:rsidRDefault="00893676" w:rsidP="00C3657C">
            <w:pPr>
              <w:keepNext/>
              <w:keepLines/>
              <w:jc w:val="left"/>
              <w:rPr>
                <w:rFonts w:ascii="Calibri" w:eastAsia="Times New Roman" w:hAnsi="Calibri"/>
                <w:color w:val="000000"/>
              </w:rPr>
            </w:pPr>
            <w:r w:rsidRPr="00B75B77">
              <w:rPr>
                <w:rFonts w:ascii="Calibri" w:eastAsia="Times New Roman" w:hAnsi="Calibri"/>
                <w:color w:val="000000"/>
              </w:rPr>
              <w:t xml:space="preserve">Recommendation 1: </w:t>
            </w:r>
            <w:r w:rsidRPr="00B75B77">
              <w:rPr>
                <w:rFonts w:ascii="Calibri" w:eastAsia="Times New Roman" w:hAnsi="Calibri"/>
                <w:b w:val="0"/>
                <w:color w:val="000000"/>
              </w:rPr>
              <w:t xml:space="preserve">Monitor rebate processing time on a monthly basis to ensure </w:t>
            </w:r>
            <w:r w:rsidR="00C3657C" w:rsidRPr="00B75B77">
              <w:rPr>
                <w:rFonts w:ascii="Calibri" w:eastAsia="Times New Roman" w:hAnsi="Calibri"/>
                <w:b w:val="0"/>
                <w:color w:val="000000"/>
              </w:rPr>
              <w:t xml:space="preserve">the CSP is meeting the </w:t>
            </w:r>
            <w:r w:rsidRPr="00B75B77">
              <w:rPr>
                <w:rFonts w:ascii="Calibri" w:eastAsia="Times New Roman" w:hAnsi="Calibri"/>
                <w:b w:val="0"/>
                <w:color w:val="000000"/>
              </w:rPr>
              <w:t>incentive payment timing goals in Phase III.</w:t>
            </w:r>
          </w:p>
        </w:tc>
        <w:tc>
          <w:tcPr>
            <w:tcW w:w="3520" w:type="dxa"/>
            <w:noWrap/>
          </w:tcPr>
          <w:p w:rsidR="00893676" w:rsidRPr="00B75B77" w:rsidRDefault="00804915" w:rsidP="00804915">
            <w:pPr>
              <w:keepNext/>
              <w:keepLines/>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B75B77">
              <w:rPr>
                <w:rFonts w:ascii="Calibri" w:eastAsia="Times New Roman" w:hAnsi="Calibri"/>
                <w:b/>
                <w:color w:val="000000"/>
              </w:rPr>
              <w:t xml:space="preserve">Implemented: </w:t>
            </w:r>
            <w:r w:rsidRPr="00B75B77">
              <w:rPr>
                <w:rFonts w:ascii="Calibri" w:eastAsia="Times New Roman" w:hAnsi="Calibri"/>
                <w:color w:val="000000"/>
              </w:rPr>
              <w:t>PECO is now monitoring rebate-processing time on a monthly basis to ensure the CSP is meeting the incentive payment timing goals.</w:t>
            </w:r>
          </w:p>
        </w:tc>
      </w:tr>
      <w:tr w:rsidR="00893676" w:rsidRPr="00B75B77" w:rsidTr="00751A38">
        <w:trPr>
          <w:cnfStyle w:val="000000010000" w:firstRow="0" w:lastRow="0" w:firstColumn="0" w:lastColumn="0" w:oddVBand="0" w:evenVBand="0" w:oddHBand="0" w:evenHBand="1"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5840" w:type="dxa"/>
            <w:noWrap/>
          </w:tcPr>
          <w:p w:rsidR="00893676" w:rsidRPr="00B75B77" w:rsidRDefault="00893676" w:rsidP="00751A38">
            <w:pPr>
              <w:keepNext/>
              <w:keepLines/>
              <w:jc w:val="left"/>
              <w:rPr>
                <w:rFonts w:ascii="Calibri" w:eastAsia="Times New Roman" w:hAnsi="Calibri"/>
                <w:b w:val="0"/>
                <w:bCs w:val="0"/>
                <w:color w:val="000000"/>
              </w:rPr>
            </w:pPr>
            <w:r w:rsidRPr="00B75B77">
              <w:rPr>
                <w:rFonts w:ascii="Calibri" w:eastAsia="Times New Roman" w:hAnsi="Calibri"/>
                <w:bCs w:val="0"/>
                <w:color w:val="000000"/>
              </w:rPr>
              <w:t xml:space="preserve">Recommendation 2: </w:t>
            </w:r>
            <w:r w:rsidRPr="00B75B77">
              <w:rPr>
                <w:rFonts w:ascii="Calibri" w:eastAsia="Times New Roman" w:hAnsi="Calibri"/>
                <w:b w:val="0"/>
                <w:bCs w:val="0"/>
                <w:color w:val="000000"/>
              </w:rPr>
              <w:t>Conduct broader outreach among nonparticipating builders in Phase III using the Code-Plus participation option to recruit code-level builders.</w:t>
            </w:r>
          </w:p>
        </w:tc>
        <w:tc>
          <w:tcPr>
            <w:tcW w:w="3520" w:type="dxa"/>
            <w:noWrap/>
          </w:tcPr>
          <w:p w:rsidR="00893676" w:rsidRPr="00B75B77" w:rsidRDefault="00804915" w:rsidP="00804915">
            <w:pPr>
              <w:keepNext/>
              <w:keepLines/>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B75B77">
              <w:rPr>
                <w:rFonts w:ascii="Calibri" w:eastAsia="Times New Roman" w:hAnsi="Calibri"/>
                <w:b/>
                <w:color w:val="000000"/>
              </w:rPr>
              <w:t xml:space="preserve">Implemented: </w:t>
            </w:r>
            <w:r w:rsidRPr="00B75B77">
              <w:rPr>
                <w:rFonts w:ascii="Calibri" w:eastAsia="Times New Roman" w:hAnsi="Calibri"/>
                <w:color w:val="000000"/>
              </w:rPr>
              <w:t>PECO is conducting a broader outreach among nonparticipating builders.</w:t>
            </w:r>
          </w:p>
        </w:tc>
      </w:tr>
      <w:tr w:rsidR="00893676" w:rsidRPr="00B75B77" w:rsidTr="00D93A77">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5840" w:type="dxa"/>
            <w:noWrap/>
            <w:vAlign w:val="top"/>
          </w:tcPr>
          <w:p w:rsidR="00893676" w:rsidRPr="00B75B77" w:rsidRDefault="00893676" w:rsidP="00C3657C">
            <w:pPr>
              <w:keepNext/>
              <w:keepLines/>
              <w:jc w:val="left"/>
              <w:rPr>
                <w:rFonts w:ascii="Calibri" w:eastAsia="Times New Roman" w:hAnsi="Calibri"/>
                <w:b w:val="0"/>
                <w:bCs w:val="0"/>
                <w:color w:val="000000"/>
              </w:rPr>
            </w:pPr>
            <w:r w:rsidRPr="00B75B77">
              <w:rPr>
                <w:rFonts w:ascii="Calibri" w:eastAsia="Times New Roman" w:hAnsi="Calibri"/>
                <w:bCs w:val="0"/>
                <w:color w:val="000000"/>
              </w:rPr>
              <w:t xml:space="preserve">Recommendation 3: </w:t>
            </w:r>
            <w:r w:rsidRPr="00B75B77">
              <w:rPr>
                <w:rFonts w:ascii="Calibri" w:eastAsia="Times New Roman" w:hAnsi="Calibri"/>
                <w:b w:val="0"/>
                <w:bCs w:val="0"/>
                <w:color w:val="000000"/>
              </w:rPr>
              <w:tab/>
              <w:t xml:space="preserve">Provide </w:t>
            </w:r>
            <w:r w:rsidR="00C3657C" w:rsidRPr="00B75B77">
              <w:rPr>
                <w:rFonts w:ascii="Calibri" w:eastAsia="Times New Roman" w:hAnsi="Calibri"/>
                <w:b w:val="0"/>
                <w:bCs w:val="0"/>
                <w:color w:val="000000"/>
              </w:rPr>
              <w:t xml:space="preserve">builders </w:t>
            </w:r>
            <w:r w:rsidRPr="00B75B77">
              <w:rPr>
                <w:rFonts w:ascii="Calibri" w:eastAsia="Times New Roman" w:hAnsi="Calibri"/>
                <w:b w:val="0"/>
                <w:bCs w:val="0"/>
                <w:color w:val="000000"/>
              </w:rPr>
              <w:t>support with recruiting and educating contractors in Phase III through program-sponsored training and outreach.</w:t>
            </w:r>
          </w:p>
        </w:tc>
        <w:tc>
          <w:tcPr>
            <w:tcW w:w="3520" w:type="dxa"/>
            <w:noWrap/>
          </w:tcPr>
          <w:p w:rsidR="00893676" w:rsidRPr="00B75B77" w:rsidRDefault="00804915" w:rsidP="00804915">
            <w:pPr>
              <w:keepNext/>
              <w:keepLines/>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B75B77">
              <w:rPr>
                <w:rFonts w:ascii="Calibri" w:eastAsia="Times New Roman" w:hAnsi="Calibri"/>
                <w:b/>
                <w:color w:val="000000"/>
              </w:rPr>
              <w:t>Being Considered:</w:t>
            </w:r>
            <w:r w:rsidRPr="00B75B77">
              <w:rPr>
                <w:rFonts w:ascii="Calibri" w:eastAsia="Times New Roman" w:hAnsi="Calibri"/>
                <w:color w:val="000000"/>
              </w:rPr>
              <w:t xml:space="preserve"> Working with outside resources to develop and implement a plan to educate raters and builders alike to the benefits of building to energy-efficient standards, but also on how to effectively communicate it with customers/consumers.</w:t>
            </w:r>
          </w:p>
        </w:tc>
      </w:tr>
    </w:tbl>
    <w:p w:rsidR="00893676" w:rsidRPr="00B75B77" w:rsidRDefault="00893676" w:rsidP="00751A38">
      <w:pPr>
        <w:pStyle w:val="Source"/>
        <w:ind w:left="734" w:hanging="547"/>
      </w:pPr>
      <w:r w:rsidRPr="00B75B77">
        <w:t>Source</w:t>
      </w:r>
      <w:r w:rsidR="001377CC" w:rsidRPr="00B75B77">
        <w:t>s</w:t>
      </w:r>
      <w:r w:rsidRPr="00B75B77">
        <w:t xml:space="preserve">: Navigant </w:t>
      </w:r>
      <w:r w:rsidR="00C3657C" w:rsidRPr="00B75B77">
        <w:t>analysis</w:t>
      </w:r>
    </w:p>
    <w:p w:rsidR="00893676" w:rsidRPr="00B75B77" w:rsidRDefault="00893676" w:rsidP="00751A38">
      <w:pPr>
        <w:pStyle w:val="Heading2"/>
        <w:keepNext/>
        <w:ind w:left="720" w:hanging="720"/>
      </w:pPr>
      <w:bookmarkStart w:id="561" w:name="_Toc434597807"/>
      <w:bookmarkStart w:id="562" w:name="_Toc466413356"/>
      <w:r w:rsidRPr="00B75B77">
        <w:t>Financial Reporting</w:t>
      </w:r>
      <w:bookmarkEnd w:id="561"/>
      <w:bookmarkEnd w:id="562"/>
    </w:p>
    <w:p w:rsidR="00893676" w:rsidRPr="00B75B77" w:rsidRDefault="00893676" w:rsidP="00751A38">
      <w:pPr>
        <w:jc w:val="left"/>
      </w:pPr>
      <w:r w:rsidRPr="00B75B77">
        <w:t xml:space="preserve">As </w:t>
      </w:r>
      <w:r w:rsidR="00F61038" w:rsidRPr="00B75B77">
        <w:fldChar w:fldCharType="begin"/>
      </w:r>
      <w:r w:rsidR="00F61038" w:rsidRPr="00B75B77">
        <w:instrText xml:space="preserve"> REF _Ref432666961 \h </w:instrText>
      </w:r>
      <w:r w:rsidR="00B75B77">
        <w:instrText xml:space="preserve"> \* MERGEFORMAT </w:instrText>
      </w:r>
      <w:r w:rsidR="00F61038" w:rsidRPr="00B75B77">
        <w:fldChar w:fldCharType="separate"/>
      </w:r>
      <w:r w:rsidR="0004016D" w:rsidRPr="00B75B77">
        <w:t xml:space="preserve">Table </w:t>
      </w:r>
      <w:r w:rsidR="0004016D">
        <w:rPr>
          <w:noProof/>
        </w:rPr>
        <w:t>7</w:t>
      </w:r>
      <w:r w:rsidR="0004016D" w:rsidRPr="00B75B77">
        <w:rPr>
          <w:noProof/>
        </w:rPr>
        <w:noBreakHyphen/>
      </w:r>
      <w:r w:rsidR="0004016D">
        <w:rPr>
          <w:noProof/>
        </w:rPr>
        <w:t>10</w:t>
      </w:r>
      <w:r w:rsidR="00F61038" w:rsidRPr="00B75B77">
        <w:fldChar w:fldCharType="end"/>
      </w:r>
      <w:r w:rsidRPr="00B75B77">
        <w:t xml:space="preserve"> shows, the SBR program achieved a TRC ratio of 0.5</w:t>
      </w:r>
      <w:r w:rsidR="004E4713" w:rsidRPr="00B75B77">
        <w:t>2</w:t>
      </w:r>
      <w:r w:rsidRPr="00B75B77">
        <w:t xml:space="preserve"> in PY7 and 0.4</w:t>
      </w:r>
      <w:r w:rsidR="004E4713" w:rsidRPr="00B75B77">
        <w:t>0</w:t>
      </w:r>
      <w:r w:rsidRPr="00B75B77">
        <w:t xml:space="preserve"> for Phase II as a whole. The primary driver of this low TRC in PY7 was high program overhead, due in part to the higher outreach burden while gaining traction in a difficult market. Participant costs are also high relative to energy savings for gas-heated homes. In Phase III, gas benefits will be included in the TRC test</w:t>
      </w:r>
      <w:r w:rsidR="00076CAE" w:rsidRPr="00B75B77">
        <w:t>,</w:t>
      </w:r>
      <w:r w:rsidRPr="00B75B77">
        <w:t xml:space="preserve"> which should significantly improve the result.</w:t>
      </w:r>
    </w:p>
    <w:p w:rsidR="00893676" w:rsidRPr="00B75B77" w:rsidRDefault="00893676" w:rsidP="00751A38">
      <w:pPr>
        <w:keepNext/>
      </w:pPr>
    </w:p>
    <w:p w:rsidR="00893676" w:rsidRPr="00B75B77" w:rsidRDefault="00893676" w:rsidP="00F61038">
      <w:pPr>
        <w:pStyle w:val="Caption"/>
      </w:pPr>
      <w:bookmarkStart w:id="563" w:name="_Ref432666961"/>
      <w:bookmarkStart w:id="564" w:name="_Toc434597596"/>
      <w:bookmarkStart w:id="565" w:name="_Toc466413564"/>
      <w:r w:rsidRPr="00B75B77">
        <w:t xml:space="preserve">Table </w:t>
      </w:r>
      <w:fldSimple w:instr=" STYLEREF 1 \s ">
        <w:r w:rsidR="0004016D">
          <w:rPr>
            <w:noProof/>
          </w:rPr>
          <w:t>7</w:t>
        </w:r>
      </w:fldSimple>
      <w:r w:rsidR="00F1144C" w:rsidRPr="00B75B77">
        <w:noBreakHyphen/>
      </w:r>
      <w:fldSimple w:instr=" SEQ Table \* ARABIC \s 1 ">
        <w:r w:rsidR="0004016D">
          <w:rPr>
            <w:noProof/>
          </w:rPr>
          <w:t>10</w:t>
        </w:r>
      </w:fldSimple>
      <w:bookmarkEnd w:id="563"/>
      <w:r w:rsidRPr="00B75B77">
        <w:t>: Smart Builder Rebates Summary of Program Finances</w:t>
      </w:r>
      <w:bookmarkEnd w:id="564"/>
      <w:bookmarkEnd w:id="565"/>
    </w:p>
    <w:tbl>
      <w:tblPr>
        <w:tblW w:w="9085" w:type="dxa"/>
        <w:tblLook w:val="04A0" w:firstRow="1" w:lastRow="0" w:firstColumn="1" w:lastColumn="0" w:noHBand="0" w:noVBand="1"/>
      </w:tblPr>
      <w:tblGrid>
        <w:gridCol w:w="1255"/>
        <w:gridCol w:w="5490"/>
        <w:gridCol w:w="1080"/>
        <w:gridCol w:w="1260"/>
      </w:tblGrid>
      <w:tr w:rsidR="00893676" w:rsidRPr="00B75B77" w:rsidTr="00076CAE">
        <w:trPr>
          <w:trHeight w:val="480"/>
        </w:trPr>
        <w:tc>
          <w:tcPr>
            <w:tcW w:w="1255" w:type="dxa"/>
            <w:vMerge w:val="restart"/>
            <w:tcBorders>
              <w:top w:val="single" w:sz="4" w:space="0" w:color="auto"/>
              <w:left w:val="single" w:sz="4" w:space="0" w:color="auto"/>
              <w:bottom w:val="single" w:sz="4" w:space="0" w:color="auto"/>
              <w:right w:val="single" w:sz="4" w:space="0" w:color="auto"/>
            </w:tcBorders>
            <w:shd w:val="clear" w:color="000000" w:fill="448A99"/>
            <w:noWrap/>
            <w:vAlign w:val="center"/>
            <w:hideMark/>
          </w:tcPr>
          <w:p w:rsidR="00893676" w:rsidRPr="00B75B77" w:rsidRDefault="00893676" w:rsidP="00F61038">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Row #</w:t>
            </w:r>
          </w:p>
        </w:tc>
        <w:tc>
          <w:tcPr>
            <w:tcW w:w="5490" w:type="dxa"/>
            <w:vMerge w:val="restart"/>
            <w:tcBorders>
              <w:top w:val="single" w:sz="4" w:space="0" w:color="auto"/>
              <w:left w:val="single" w:sz="4" w:space="0" w:color="auto"/>
              <w:bottom w:val="single" w:sz="4" w:space="0" w:color="auto"/>
              <w:right w:val="single" w:sz="4" w:space="0" w:color="auto"/>
            </w:tcBorders>
            <w:shd w:val="clear" w:color="000000" w:fill="448A99"/>
            <w:noWrap/>
            <w:vAlign w:val="center"/>
            <w:hideMark/>
          </w:tcPr>
          <w:p w:rsidR="00893676" w:rsidRPr="00B75B77" w:rsidRDefault="00893676" w:rsidP="00F61038">
            <w:pPr>
              <w:keepNext/>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Cost Category </w:t>
            </w:r>
          </w:p>
        </w:tc>
        <w:tc>
          <w:tcPr>
            <w:tcW w:w="1080" w:type="dxa"/>
            <w:tcBorders>
              <w:top w:val="single" w:sz="4" w:space="0" w:color="auto"/>
              <w:left w:val="nil"/>
              <w:bottom w:val="single" w:sz="4" w:space="0" w:color="auto"/>
              <w:right w:val="single" w:sz="4" w:space="0" w:color="auto"/>
            </w:tcBorders>
            <w:shd w:val="clear" w:color="auto" w:fill="448A99"/>
            <w:vAlign w:val="center"/>
            <w:hideMark/>
          </w:tcPr>
          <w:p w:rsidR="00893676" w:rsidRPr="00B75B77" w:rsidRDefault="00893676" w:rsidP="00076CAE">
            <w:pPr>
              <w:keepNext/>
              <w:jc w:val="right"/>
              <w:rPr>
                <w:rFonts w:ascii="Calibri" w:eastAsia="Times New Roman" w:hAnsi="Calibri"/>
                <w:b/>
                <w:bCs/>
                <w:color w:val="FFFFFF" w:themeColor="background1"/>
                <w:sz w:val="18"/>
                <w:szCs w:val="18"/>
              </w:rPr>
            </w:pPr>
            <w:r w:rsidRPr="00B75B77">
              <w:rPr>
                <w:rFonts w:ascii="Calibri" w:eastAsia="Times New Roman" w:hAnsi="Calibri"/>
                <w:b/>
                <w:bCs/>
                <w:color w:val="FFFFFF" w:themeColor="background1"/>
                <w:sz w:val="18"/>
                <w:szCs w:val="18"/>
              </w:rPr>
              <w:t>Actual PY7 Costs</w:t>
            </w:r>
          </w:p>
        </w:tc>
        <w:tc>
          <w:tcPr>
            <w:tcW w:w="1260" w:type="dxa"/>
            <w:tcBorders>
              <w:top w:val="single" w:sz="4" w:space="0" w:color="auto"/>
              <w:left w:val="nil"/>
              <w:bottom w:val="single" w:sz="4" w:space="0" w:color="auto"/>
              <w:right w:val="single" w:sz="4" w:space="0" w:color="auto"/>
            </w:tcBorders>
            <w:shd w:val="clear" w:color="auto" w:fill="448A99"/>
            <w:vAlign w:val="center"/>
            <w:hideMark/>
          </w:tcPr>
          <w:p w:rsidR="00893676" w:rsidRPr="00B75B77" w:rsidRDefault="00893676" w:rsidP="00076CAE">
            <w:pPr>
              <w:keepNext/>
              <w:jc w:val="right"/>
              <w:rPr>
                <w:rFonts w:ascii="Calibri" w:eastAsia="Times New Roman" w:hAnsi="Calibri"/>
                <w:b/>
                <w:bCs/>
                <w:color w:val="FFFFFF" w:themeColor="background1"/>
                <w:sz w:val="18"/>
                <w:szCs w:val="18"/>
              </w:rPr>
            </w:pPr>
            <w:r w:rsidRPr="00B75B77">
              <w:rPr>
                <w:rFonts w:ascii="Calibri" w:eastAsia="Times New Roman" w:hAnsi="Calibri"/>
                <w:b/>
                <w:bCs/>
                <w:color w:val="FFFFFF" w:themeColor="background1"/>
                <w:sz w:val="18"/>
                <w:szCs w:val="18"/>
              </w:rPr>
              <w:t>Actual Phase II Costs</w:t>
            </w:r>
          </w:p>
        </w:tc>
      </w:tr>
      <w:tr w:rsidR="00893676" w:rsidRPr="00B75B77" w:rsidTr="00076CAE">
        <w:trPr>
          <w:trHeight w:val="288"/>
        </w:trPr>
        <w:tc>
          <w:tcPr>
            <w:tcW w:w="1255" w:type="dxa"/>
            <w:vMerge/>
            <w:tcBorders>
              <w:top w:val="single" w:sz="4" w:space="0" w:color="auto"/>
              <w:left w:val="single" w:sz="4" w:space="0" w:color="auto"/>
              <w:bottom w:val="single" w:sz="4" w:space="0" w:color="auto"/>
              <w:right w:val="single" w:sz="4" w:space="0" w:color="auto"/>
            </w:tcBorders>
            <w:vAlign w:val="center"/>
            <w:hideMark/>
          </w:tcPr>
          <w:p w:rsidR="00893676" w:rsidRPr="00B75B77" w:rsidRDefault="00893676" w:rsidP="00F61038">
            <w:pPr>
              <w:keepNext/>
              <w:jc w:val="left"/>
              <w:rPr>
                <w:rFonts w:ascii="Calibri" w:eastAsia="Times New Roman" w:hAnsi="Calibri"/>
                <w:b/>
                <w:bCs/>
                <w:color w:val="FFFFFF"/>
                <w:sz w:val="18"/>
                <w:szCs w:val="18"/>
              </w:rPr>
            </w:pPr>
          </w:p>
        </w:tc>
        <w:tc>
          <w:tcPr>
            <w:tcW w:w="5490" w:type="dxa"/>
            <w:vMerge/>
            <w:tcBorders>
              <w:top w:val="single" w:sz="4" w:space="0" w:color="auto"/>
              <w:left w:val="single" w:sz="4" w:space="0" w:color="auto"/>
              <w:bottom w:val="single" w:sz="4" w:space="0" w:color="auto"/>
              <w:right w:val="single" w:sz="4" w:space="0" w:color="auto"/>
            </w:tcBorders>
            <w:vAlign w:val="center"/>
            <w:hideMark/>
          </w:tcPr>
          <w:p w:rsidR="00893676" w:rsidRPr="00B75B77" w:rsidRDefault="00893676" w:rsidP="00F61038">
            <w:pPr>
              <w:keepNext/>
              <w:jc w:val="left"/>
              <w:rPr>
                <w:rFonts w:ascii="Calibri" w:eastAsia="Times New Roman" w:hAnsi="Calibri"/>
                <w:b/>
                <w:bCs/>
                <w:color w:val="FFFFFF"/>
                <w:sz w:val="18"/>
                <w:szCs w:val="18"/>
              </w:rPr>
            </w:pPr>
          </w:p>
        </w:tc>
        <w:tc>
          <w:tcPr>
            <w:tcW w:w="1080" w:type="dxa"/>
            <w:tcBorders>
              <w:top w:val="nil"/>
              <w:left w:val="nil"/>
              <w:bottom w:val="single" w:sz="4" w:space="0" w:color="auto"/>
              <w:right w:val="single" w:sz="4" w:space="0" w:color="auto"/>
            </w:tcBorders>
            <w:shd w:val="clear" w:color="auto" w:fill="448A99"/>
            <w:vAlign w:val="center"/>
            <w:hideMark/>
          </w:tcPr>
          <w:p w:rsidR="00893676" w:rsidRPr="00B75B77" w:rsidRDefault="00893676" w:rsidP="00076CAE">
            <w:pPr>
              <w:keepNext/>
              <w:jc w:val="right"/>
              <w:rPr>
                <w:rFonts w:ascii="Calibri" w:eastAsia="Times New Roman" w:hAnsi="Calibri"/>
                <w:b/>
                <w:bCs/>
                <w:color w:val="FFFFFF" w:themeColor="background1"/>
                <w:sz w:val="18"/>
                <w:szCs w:val="18"/>
              </w:rPr>
            </w:pPr>
            <w:r w:rsidRPr="00B75B77">
              <w:rPr>
                <w:rFonts w:ascii="Calibri" w:eastAsia="Times New Roman" w:hAnsi="Calibri"/>
                <w:b/>
                <w:bCs/>
                <w:color w:val="FFFFFF" w:themeColor="background1"/>
                <w:sz w:val="18"/>
                <w:szCs w:val="18"/>
              </w:rPr>
              <w:t>($1,000)</w:t>
            </w:r>
          </w:p>
        </w:tc>
        <w:tc>
          <w:tcPr>
            <w:tcW w:w="1260" w:type="dxa"/>
            <w:tcBorders>
              <w:top w:val="nil"/>
              <w:left w:val="nil"/>
              <w:bottom w:val="single" w:sz="4" w:space="0" w:color="auto"/>
              <w:right w:val="single" w:sz="4" w:space="0" w:color="auto"/>
            </w:tcBorders>
            <w:shd w:val="clear" w:color="auto" w:fill="448A99"/>
            <w:vAlign w:val="center"/>
            <w:hideMark/>
          </w:tcPr>
          <w:p w:rsidR="00893676" w:rsidRPr="00B75B77" w:rsidRDefault="00893676" w:rsidP="00076CAE">
            <w:pPr>
              <w:keepNext/>
              <w:jc w:val="right"/>
              <w:rPr>
                <w:rFonts w:ascii="Calibri" w:eastAsia="Times New Roman" w:hAnsi="Calibri"/>
                <w:b/>
                <w:bCs/>
                <w:color w:val="FFFFFF" w:themeColor="background1"/>
                <w:sz w:val="18"/>
                <w:szCs w:val="18"/>
              </w:rPr>
            </w:pPr>
            <w:r w:rsidRPr="00B75B77">
              <w:rPr>
                <w:rFonts w:ascii="Calibri" w:eastAsia="Times New Roman" w:hAnsi="Calibri"/>
                <w:b/>
                <w:bCs/>
                <w:color w:val="FFFFFF" w:themeColor="background1"/>
                <w:sz w:val="18"/>
                <w:szCs w:val="18"/>
              </w:rPr>
              <w:t>($1,000)</w:t>
            </w:r>
          </w:p>
        </w:tc>
      </w:tr>
      <w:tr w:rsidR="00893676" w:rsidRPr="00B75B77" w:rsidTr="00751A38">
        <w:trPr>
          <w:trHeight w:val="288"/>
        </w:trPr>
        <w:tc>
          <w:tcPr>
            <w:tcW w:w="1255" w:type="dxa"/>
            <w:tcBorders>
              <w:top w:val="nil"/>
              <w:left w:val="single" w:sz="4" w:space="0" w:color="448A99"/>
              <w:bottom w:val="single" w:sz="4" w:space="0" w:color="448A99"/>
              <w:right w:val="single" w:sz="4" w:space="0" w:color="448A99"/>
            </w:tcBorders>
            <w:shd w:val="clear" w:color="auto" w:fill="auto"/>
            <w:noWrap/>
            <w:vAlign w:val="center"/>
            <w:hideMark/>
          </w:tcPr>
          <w:p w:rsidR="00893676" w:rsidRPr="00B75B77" w:rsidRDefault="00893676" w:rsidP="00F61038">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w:t>
            </w:r>
          </w:p>
        </w:tc>
        <w:tc>
          <w:tcPr>
            <w:tcW w:w="5490" w:type="dxa"/>
            <w:tcBorders>
              <w:top w:val="nil"/>
              <w:left w:val="nil"/>
              <w:bottom w:val="single" w:sz="4" w:space="0" w:color="448A99"/>
              <w:right w:val="single" w:sz="4" w:space="0" w:color="448A99"/>
            </w:tcBorders>
            <w:shd w:val="clear" w:color="auto" w:fill="auto"/>
            <w:noWrap/>
            <w:vAlign w:val="center"/>
            <w:hideMark/>
          </w:tcPr>
          <w:p w:rsidR="00893676" w:rsidRPr="00B75B77" w:rsidRDefault="00893676" w:rsidP="00F61038">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Incremental Measure Costs  </w:t>
            </w:r>
          </w:p>
        </w:tc>
        <w:tc>
          <w:tcPr>
            <w:tcW w:w="1080" w:type="dxa"/>
            <w:tcBorders>
              <w:top w:val="nil"/>
              <w:left w:val="nil"/>
              <w:bottom w:val="single" w:sz="4" w:space="0" w:color="448A99"/>
              <w:right w:val="single" w:sz="4" w:space="0" w:color="448A99"/>
            </w:tcBorders>
            <w:shd w:val="clear" w:color="auto" w:fill="auto"/>
            <w:noWrap/>
            <w:vAlign w:val="center"/>
            <w:hideMark/>
          </w:tcPr>
          <w:p w:rsidR="00893676" w:rsidRPr="00B75B77" w:rsidRDefault="00893676" w:rsidP="00F6103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437</w:t>
            </w:r>
          </w:p>
        </w:tc>
        <w:tc>
          <w:tcPr>
            <w:tcW w:w="1260" w:type="dxa"/>
            <w:tcBorders>
              <w:top w:val="nil"/>
              <w:left w:val="nil"/>
              <w:bottom w:val="single" w:sz="4" w:space="0" w:color="448A99"/>
              <w:right w:val="single" w:sz="4" w:space="0" w:color="448A99"/>
            </w:tcBorders>
            <w:shd w:val="clear" w:color="auto" w:fill="auto"/>
            <w:noWrap/>
            <w:vAlign w:val="center"/>
            <w:hideMark/>
          </w:tcPr>
          <w:p w:rsidR="00893676" w:rsidRPr="00B75B77" w:rsidRDefault="00893676" w:rsidP="00F6103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681</w:t>
            </w:r>
          </w:p>
        </w:tc>
      </w:tr>
      <w:tr w:rsidR="00893676" w:rsidRPr="00B75B77" w:rsidTr="00751A38">
        <w:trPr>
          <w:trHeight w:val="288"/>
        </w:trPr>
        <w:tc>
          <w:tcPr>
            <w:tcW w:w="1255" w:type="dxa"/>
            <w:tcBorders>
              <w:top w:val="nil"/>
              <w:left w:val="single" w:sz="4" w:space="0" w:color="448A99"/>
              <w:bottom w:val="single" w:sz="4" w:space="0" w:color="448A99"/>
              <w:right w:val="single" w:sz="4" w:space="0" w:color="448A99"/>
            </w:tcBorders>
            <w:shd w:val="clear" w:color="000000" w:fill="D2EAF1"/>
            <w:noWrap/>
            <w:vAlign w:val="center"/>
            <w:hideMark/>
          </w:tcPr>
          <w:p w:rsidR="00893676" w:rsidRPr="00B75B77" w:rsidRDefault="00893676" w:rsidP="00F61038">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2</w:t>
            </w:r>
          </w:p>
        </w:tc>
        <w:tc>
          <w:tcPr>
            <w:tcW w:w="5490" w:type="dxa"/>
            <w:tcBorders>
              <w:top w:val="nil"/>
              <w:left w:val="nil"/>
              <w:bottom w:val="single" w:sz="4" w:space="0" w:color="448A99"/>
              <w:right w:val="single" w:sz="4" w:space="0" w:color="448A99"/>
            </w:tcBorders>
            <w:shd w:val="clear" w:color="000000" w:fill="D2EAF1"/>
            <w:noWrap/>
            <w:vAlign w:val="center"/>
            <w:hideMark/>
          </w:tcPr>
          <w:p w:rsidR="00893676" w:rsidRPr="00B75B77" w:rsidRDefault="00893676" w:rsidP="00F61038">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EDC Incentives to Participants</w:t>
            </w:r>
          </w:p>
        </w:tc>
        <w:tc>
          <w:tcPr>
            <w:tcW w:w="1080" w:type="dxa"/>
            <w:tcBorders>
              <w:top w:val="nil"/>
              <w:left w:val="nil"/>
              <w:bottom w:val="single" w:sz="4" w:space="0" w:color="448A99"/>
              <w:right w:val="single" w:sz="4" w:space="0" w:color="448A99"/>
            </w:tcBorders>
            <w:shd w:val="clear" w:color="000000" w:fill="D2EAF1"/>
            <w:noWrap/>
            <w:vAlign w:val="center"/>
            <w:hideMark/>
          </w:tcPr>
          <w:p w:rsidR="00893676" w:rsidRPr="00B75B77" w:rsidRDefault="00893676" w:rsidP="00F6103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260" w:type="dxa"/>
            <w:tcBorders>
              <w:top w:val="nil"/>
              <w:left w:val="nil"/>
              <w:bottom w:val="single" w:sz="4" w:space="0" w:color="448A99"/>
              <w:right w:val="single" w:sz="4" w:space="0" w:color="448A99"/>
            </w:tcBorders>
            <w:shd w:val="clear" w:color="000000" w:fill="D2EAF1"/>
            <w:noWrap/>
            <w:vAlign w:val="center"/>
            <w:hideMark/>
          </w:tcPr>
          <w:p w:rsidR="00893676" w:rsidRPr="00B75B77" w:rsidRDefault="00893676" w:rsidP="00F6103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893676" w:rsidRPr="00B75B77" w:rsidTr="00751A38">
        <w:trPr>
          <w:trHeight w:val="288"/>
        </w:trPr>
        <w:tc>
          <w:tcPr>
            <w:tcW w:w="1255" w:type="dxa"/>
            <w:tcBorders>
              <w:top w:val="nil"/>
              <w:left w:val="single" w:sz="4" w:space="0" w:color="448A99"/>
              <w:bottom w:val="single" w:sz="4" w:space="0" w:color="448A99"/>
              <w:right w:val="single" w:sz="4" w:space="0" w:color="448A99"/>
            </w:tcBorders>
            <w:shd w:val="clear" w:color="auto" w:fill="auto"/>
            <w:noWrap/>
            <w:vAlign w:val="center"/>
            <w:hideMark/>
          </w:tcPr>
          <w:p w:rsidR="00893676" w:rsidRPr="00B75B77" w:rsidRDefault="00893676" w:rsidP="00F61038">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3</w:t>
            </w:r>
          </w:p>
        </w:tc>
        <w:tc>
          <w:tcPr>
            <w:tcW w:w="5490" w:type="dxa"/>
            <w:tcBorders>
              <w:top w:val="nil"/>
              <w:left w:val="nil"/>
              <w:bottom w:val="single" w:sz="4" w:space="0" w:color="448A99"/>
              <w:right w:val="single" w:sz="4" w:space="0" w:color="448A99"/>
            </w:tcBorders>
            <w:shd w:val="clear" w:color="auto" w:fill="auto"/>
            <w:noWrap/>
            <w:vAlign w:val="center"/>
            <w:hideMark/>
          </w:tcPr>
          <w:p w:rsidR="00893676" w:rsidRPr="00B75B77" w:rsidRDefault="00893676" w:rsidP="00F61038">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EDC Incentives to Trade Allies</w:t>
            </w:r>
          </w:p>
        </w:tc>
        <w:tc>
          <w:tcPr>
            <w:tcW w:w="1080" w:type="dxa"/>
            <w:tcBorders>
              <w:top w:val="nil"/>
              <w:left w:val="nil"/>
              <w:bottom w:val="single" w:sz="4" w:space="0" w:color="448A99"/>
              <w:right w:val="single" w:sz="4" w:space="0" w:color="448A99"/>
            </w:tcBorders>
            <w:shd w:val="clear" w:color="auto" w:fill="auto"/>
            <w:noWrap/>
            <w:vAlign w:val="center"/>
            <w:hideMark/>
          </w:tcPr>
          <w:p w:rsidR="00893676" w:rsidRPr="00B75B77" w:rsidRDefault="004E4713" w:rsidP="00F6103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100</w:t>
            </w:r>
          </w:p>
        </w:tc>
        <w:tc>
          <w:tcPr>
            <w:tcW w:w="1260" w:type="dxa"/>
            <w:tcBorders>
              <w:top w:val="nil"/>
              <w:left w:val="nil"/>
              <w:bottom w:val="single" w:sz="4" w:space="0" w:color="448A99"/>
              <w:right w:val="single" w:sz="4" w:space="0" w:color="448A99"/>
            </w:tcBorders>
            <w:shd w:val="clear" w:color="auto" w:fill="auto"/>
            <w:noWrap/>
            <w:vAlign w:val="center"/>
            <w:hideMark/>
          </w:tcPr>
          <w:p w:rsidR="00893676" w:rsidRPr="00B75B77" w:rsidRDefault="004E4713" w:rsidP="00F6103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158</w:t>
            </w:r>
          </w:p>
        </w:tc>
      </w:tr>
      <w:tr w:rsidR="00893676" w:rsidRPr="00B75B77" w:rsidTr="00751A38">
        <w:trPr>
          <w:trHeight w:val="288"/>
        </w:trPr>
        <w:tc>
          <w:tcPr>
            <w:tcW w:w="1255" w:type="dxa"/>
            <w:tcBorders>
              <w:top w:val="nil"/>
              <w:left w:val="single" w:sz="4" w:space="0" w:color="448A99"/>
              <w:bottom w:val="single" w:sz="4" w:space="0" w:color="448A99"/>
              <w:right w:val="single" w:sz="4" w:space="0" w:color="448A99"/>
            </w:tcBorders>
            <w:shd w:val="clear" w:color="000000" w:fill="D2EAF1"/>
            <w:noWrap/>
            <w:vAlign w:val="center"/>
            <w:hideMark/>
          </w:tcPr>
          <w:p w:rsidR="00893676" w:rsidRPr="00B75B77" w:rsidRDefault="00893676" w:rsidP="00F61038">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4</w:t>
            </w:r>
          </w:p>
        </w:tc>
        <w:tc>
          <w:tcPr>
            <w:tcW w:w="5490" w:type="dxa"/>
            <w:tcBorders>
              <w:top w:val="nil"/>
              <w:left w:val="nil"/>
              <w:bottom w:val="single" w:sz="4" w:space="0" w:color="448A99"/>
              <w:right w:val="single" w:sz="4" w:space="0" w:color="448A99"/>
            </w:tcBorders>
            <w:shd w:val="clear" w:color="000000" w:fill="D2EAF1"/>
            <w:noWrap/>
            <w:vAlign w:val="center"/>
            <w:hideMark/>
          </w:tcPr>
          <w:p w:rsidR="00893676" w:rsidRPr="00B75B77" w:rsidRDefault="00893676" w:rsidP="00F61038">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Participant Costs (Net of Incentives/Rebates Paid by Utilities)</w:t>
            </w:r>
          </w:p>
        </w:tc>
        <w:tc>
          <w:tcPr>
            <w:tcW w:w="1080" w:type="dxa"/>
            <w:tcBorders>
              <w:top w:val="nil"/>
              <w:left w:val="nil"/>
              <w:bottom w:val="single" w:sz="4" w:space="0" w:color="448A99"/>
              <w:right w:val="single" w:sz="4" w:space="0" w:color="448A99"/>
            </w:tcBorders>
            <w:shd w:val="clear" w:color="000000" w:fill="D2EAF1"/>
            <w:vAlign w:val="center"/>
            <w:hideMark/>
          </w:tcPr>
          <w:p w:rsidR="00893676" w:rsidRPr="00B75B77" w:rsidRDefault="004E4713" w:rsidP="00F6103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337</w:t>
            </w:r>
          </w:p>
        </w:tc>
        <w:tc>
          <w:tcPr>
            <w:tcW w:w="1260" w:type="dxa"/>
            <w:tcBorders>
              <w:top w:val="nil"/>
              <w:left w:val="nil"/>
              <w:bottom w:val="single" w:sz="4" w:space="0" w:color="448A99"/>
              <w:right w:val="single" w:sz="4" w:space="0" w:color="448A99"/>
            </w:tcBorders>
            <w:shd w:val="clear" w:color="000000" w:fill="D2EAF1"/>
            <w:vAlign w:val="center"/>
            <w:hideMark/>
          </w:tcPr>
          <w:p w:rsidR="00893676" w:rsidRPr="00B75B77" w:rsidRDefault="004E4713" w:rsidP="00F6103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523</w:t>
            </w:r>
          </w:p>
        </w:tc>
      </w:tr>
      <w:tr w:rsidR="002E73D2" w:rsidRPr="00B75B77" w:rsidTr="00C15945">
        <w:trPr>
          <w:trHeight w:val="115"/>
        </w:trPr>
        <w:tc>
          <w:tcPr>
            <w:tcW w:w="9085" w:type="dxa"/>
            <w:gridSpan w:val="4"/>
            <w:tcBorders>
              <w:top w:val="nil"/>
              <w:left w:val="single" w:sz="4" w:space="0" w:color="448A99"/>
              <w:bottom w:val="single" w:sz="4" w:space="0" w:color="448A99"/>
              <w:right w:val="single" w:sz="4" w:space="0" w:color="448A99"/>
            </w:tcBorders>
            <w:shd w:val="clear" w:color="auto" w:fill="AEAAAA"/>
            <w:noWrap/>
            <w:vAlign w:val="center"/>
            <w:hideMark/>
          </w:tcPr>
          <w:p w:rsidR="002E73D2" w:rsidRPr="00B75B77" w:rsidRDefault="002E73D2" w:rsidP="002E73D2">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w:t>
            </w:r>
          </w:p>
        </w:tc>
      </w:tr>
      <w:tr w:rsidR="00893676" w:rsidRPr="00B75B77" w:rsidTr="00751A38">
        <w:trPr>
          <w:trHeight w:val="288"/>
        </w:trPr>
        <w:tc>
          <w:tcPr>
            <w:tcW w:w="1255" w:type="dxa"/>
            <w:tcBorders>
              <w:top w:val="nil"/>
              <w:left w:val="single" w:sz="4" w:space="0" w:color="448A99"/>
              <w:bottom w:val="single" w:sz="4" w:space="0" w:color="448A99"/>
              <w:right w:val="single" w:sz="4" w:space="0" w:color="448A99"/>
            </w:tcBorders>
            <w:shd w:val="clear" w:color="auto" w:fill="auto"/>
            <w:noWrap/>
            <w:vAlign w:val="center"/>
            <w:hideMark/>
          </w:tcPr>
          <w:p w:rsidR="00893676" w:rsidRPr="00B75B77" w:rsidRDefault="00893676" w:rsidP="00F61038">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5</w:t>
            </w:r>
          </w:p>
        </w:tc>
        <w:tc>
          <w:tcPr>
            <w:tcW w:w="5490" w:type="dxa"/>
            <w:tcBorders>
              <w:top w:val="nil"/>
              <w:left w:val="nil"/>
              <w:bottom w:val="single" w:sz="4" w:space="0" w:color="448A99"/>
              <w:right w:val="single" w:sz="4" w:space="0" w:color="448A99"/>
            </w:tcBorders>
            <w:shd w:val="clear" w:color="auto" w:fill="auto"/>
            <w:noWrap/>
            <w:vAlign w:val="center"/>
            <w:hideMark/>
          </w:tcPr>
          <w:p w:rsidR="00893676" w:rsidRPr="00B75B77" w:rsidRDefault="00893676" w:rsidP="00F61038">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Program Overhead Costs </w:t>
            </w:r>
          </w:p>
        </w:tc>
        <w:tc>
          <w:tcPr>
            <w:tcW w:w="1080" w:type="dxa"/>
            <w:tcBorders>
              <w:top w:val="nil"/>
              <w:left w:val="nil"/>
              <w:bottom w:val="single" w:sz="4" w:space="0" w:color="448A99"/>
              <w:right w:val="single" w:sz="4" w:space="0" w:color="448A99"/>
            </w:tcBorders>
            <w:shd w:val="clear" w:color="auto" w:fill="auto"/>
            <w:noWrap/>
            <w:vAlign w:val="center"/>
            <w:hideMark/>
          </w:tcPr>
          <w:p w:rsidR="00893676" w:rsidRPr="00B75B77" w:rsidRDefault="004E4713" w:rsidP="00F6103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404</w:t>
            </w:r>
          </w:p>
        </w:tc>
        <w:tc>
          <w:tcPr>
            <w:tcW w:w="1260" w:type="dxa"/>
            <w:tcBorders>
              <w:top w:val="nil"/>
              <w:left w:val="nil"/>
              <w:bottom w:val="single" w:sz="4" w:space="0" w:color="448A99"/>
              <w:right w:val="single" w:sz="4" w:space="0" w:color="448A99"/>
            </w:tcBorders>
            <w:shd w:val="clear" w:color="auto" w:fill="auto"/>
            <w:noWrap/>
            <w:vAlign w:val="center"/>
            <w:hideMark/>
          </w:tcPr>
          <w:p w:rsidR="00893676" w:rsidRPr="00B75B77" w:rsidRDefault="00893676" w:rsidP="00F6103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1,</w:t>
            </w:r>
            <w:r w:rsidR="004E4713" w:rsidRPr="00B75B77">
              <w:rPr>
                <w:rFonts w:ascii="Calibri" w:eastAsia="Times New Roman" w:hAnsi="Calibri"/>
                <w:color w:val="000000"/>
                <w:sz w:val="18"/>
                <w:szCs w:val="18"/>
              </w:rPr>
              <w:t>054</w:t>
            </w:r>
          </w:p>
        </w:tc>
      </w:tr>
      <w:tr w:rsidR="00893676" w:rsidRPr="00B75B77" w:rsidTr="00751A38">
        <w:trPr>
          <w:trHeight w:val="288"/>
        </w:trPr>
        <w:tc>
          <w:tcPr>
            <w:tcW w:w="1255" w:type="dxa"/>
            <w:tcBorders>
              <w:top w:val="nil"/>
              <w:left w:val="single" w:sz="4" w:space="0" w:color="448A99"/>
              <w:bottom w:val="single" w:sz="4" w:space="0" w:color="448A99"/>
              <w:right w:val="single" w:sz="4" w:space="0" w:color="448A99"/>
            </w:tcBorders>
            <w:shd w:val="clear" w:color="000000" w:fill="D2EAF1"/>
            <w:noWrap/>
            <w:vAlign w:val="center"/>
            <w:hideMark/>
          </w:tcPr>
          <w:p w:rsidR="00893676" w:rsidRPr="00B75B77" w:rsidRDefault="00893676" w:rsidP="00F61038">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6</w:t>
            </w:r>
          </w:p>
        </w:tc>
        <w:tc>
          <w:tcPr>
            <w:tcW w:w="5490" w:type="dxa"/>
            <w:tcBorders>
              <w:top w:val="nil"/>
              <w:left w:val="nil"/>
              <w:bottom w:val="single" w:sz="4" w:space="0" w:color="448A99"/>
              <w:right w:val="single" w:sz="4" w:space="0" w:color="448A99"/>
            </w:tcBorders>
            <w:shd w:val="clear" w:color="000000" w:fill="D2EAF1"/>
            <w:noWrap/>
            <w:vAlign w:val="center"/>
            <w:hideMark/>
          </w:tcPr>
          <w:p w:rsidR="00893676" w:rsidRPr="00B75B77" w:rsidRDefault="00893676" w:rsidP="00F61038">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Design </w:t>
            </w:r>
            <w:r w:rsidR="00076CAE" w:rsidRPr="00B75B77">
              <w:rPr>
                <w:rFonts w:ascii="Calibri" w:eastAsia="Times New Roman" w:hAnsi="Calibri"/>
                <w:color w:val="000000"/>
                <w:sz w:val="18"/>
                <w:szCs w:val="18"/>
              </w:rPr>
              <w:t>and</w:t>
            </w:r>
            <w:r w:rsidRPr="00B75B77">
              <w:rPr>
                <w:rFonts w:ascii="Calibri" w:eastAsia="Times New Roman" w:hAnsi="Calibri"/>
                <w:color w:val="000000"/>
                <w:sz w:val="18"/>
                <w:szCs w:val="18"/>
              </w:rPr>
              <w:t xml:space="preserve"> Development</w:t>
            </w:r>
          </w:p>
        </w:tc>
        <w:tc>
          <w:tcPr>
            <w:tcW w:w="1080" w:type="dxa"/>
            <w:tcBorders>
              <w:top w:val="nil"/>
              <w:left w:val="nil"/>
              <w:bottom w:val="single" w:sz="4" w:space="0" w:color="448A99"/>
              <w:right w:val="single" w:sz="4" w:space="0" w:color="448A99"/>
            </w:tcBorders>
            <w:shd w:val="clear" w:color="000000" w:fill="D2EAF1"/>
            <w:noWrap/>
            <w:vAlign w:val="center"/>
            <w:hideMark/>
          </w:tcPr>
          <w:p w:rsidR="00893676" w:rsidRPr="00B75B77" w:rsidRDefault="00893676" w:rsidP="00F6103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260" w:type="dxa"/>
            <w:tcBorders>
              <w:top w:val="nil"/>
              <w:left w:val="nil"/>
              <w:bottom w:val="single" w:sz="4" w:space="0" w:color="448A99"/>
              <w:right w:val="single" w:sz="4" w:space="0" w:color="448A99"/>
            </w:tcBorders>
            <w:shd w:val="clear" w:color="000000" w:fill="D2EAF1"/>
            <w:noWrap/>
            <w:vAlign w:val="center"/>
            <w:hideMark/>
          </w:tcPr>
          <w:p w:rsidR="00893676" w:rsidRPr="00B75B77" w:rsidRDefault="00893676" w:rsidP="00F6103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893676" w:rsidRPr="00B75B77" w:rsidTr="00751A38">
        <w:trPr>
          <w:trHeight w:val="288"/>
        </w:trPr>
        <w:tc>
          <w:tcPr>
            <w:tcW w:w="1255" w:type="dxa"/>
            <w:tcBorders>
              <w:top w:val="nil"/>
              <w:left w:val="single" w:sz="4" w:space="0" w:color="448A99"/>
              <w:bottom w:val="single" w:sz="4" w:space="0" w:color="448A99"/>
              <w:right w:val="single" w:sz="4" w:space="0" w:color="448A99"/>
            </w:tcBorders>
            <w:shd w:val="clear" w:color="auto" w:fill="auto"/>
            <w:noWrap/>
            <w:vAlign w:val="center"/>
            <w:hideMark/>
          </w:tcPr>
          <w:p w:rsidR="00893676" w:rsidRPr="00B75B77" w:rsidRDefault="00893676" w:rsidP="00F61038">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7</w:t>
            </w:r>
          </w:p>
        </w:tc>
        <w:tc>
          <w:tcPr>
            <w:tcW w:w="5490" w:type="dxa"/>
            <w:tcBorders>
              <w:top w:val="nil"/>
              <w:left w:val="nil"/>
              <w:bottom w:val="single" w:sz="4" w:space="0" w:color="448A99"/>
              <w:right w:val="single" w:sz="4" w:space="0" w:color="448A99"/>
            </w:tcBorders>
            <w:shd w:val="clear" w:color="auto" w:fill="auto"/>
            <w:noWrap/>
            <w:vAlign w:val="center"/>
            <w:hideMark/>
          </w:tcPr>
          <w:p w:rsidR="00893676" w:rsidRPr="00B75B77" w:rsidRDefault="00893676" w:rsidP="00F61038">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Administration, Management, and Technical Assistance</w:t>
            </w:r>
            <w:r w:rsidRPr="00B75B77">
              <w:rPr>
                <w:rFonts w:ascii="Calibri" w:eastAsia="Times New Roman" w:hAnsi="Calibri"/>
                <w:b/>
                <w:bCs/>
                <w:color w:val="000000"/>
                <w:sz w:val="18"/>
                <w:szCs w:val="18"/>
                <w:vertAlign w:val="superscript"/>
              </w:rPr>
              <w:t>[1]</w:t>
            </w:r>
          </w:p>
        </w:tc>
        <w:tc>
          <w:tcPr>
            <w:tcW w:w="1080" w:type="dxa"/>
            <w:tcBorders>
              <w:top w:val="nil"/>
              <w:left w:val="nil"/>
              <w:bottom w:val="single" w:sz="4" w:space="0" w:color="448A99"/>
              <w:right w:val="single" w:sz="4" w:space="0" w:color="448A99"/>
            </w:tcBorders>
            <w:shd w:val="clear" w:color="auto" w:fill="auto"/>
            <w:noWrap/>
            <w:vAlign w:val="center"/>
            <w:hideMark/>
          </w:tcPr>
          <w:p w:rsidR="00893676" w:rsidRPr="00B75B77" w:rsidRDefault="004E4713" w:rsidP="00F6103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337</w:t>
            </w:r>
          </w:p>
        </w:tc>
        <w:tc>
          <w:tcPr>
            <w:tcW w:w="1260" w:type="dxa"/>
            <w:tcBorders>
              <w:top w:val="nil"/>
              <w:left w:val="nil"/>
              <w:bottom w:val="single" w:sz="4" w:space="0" w:color="448A99"/>
              <w:right w:val="single" w:sz="4" w:space="0" w:color="448A99"/>
            </w:tcBorders>
            <w:shd w:val="clear" w:color="auto" w:fill="auto"/>
            <w:noWrap/>
            <w:vAlign w:val="center"/>
            <w:hideMark/>
          </w:tcPr>
          <w:p w:rsidR="00893676" w:rsidRPr="00B75B77" w:rsidRDefault="004E4713" w:rsidP="00F6103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866</w:t>
            </w:r>
          </w:p>
        </w:tc>
      </w:tr>
      <w:tr w:rsidR="00893676" w:rsidRPr="00B75B77" w:rsidTr="00751A38">
        <w:trPr>
          <w:trHeight w:val="288"/>
        </w:trPr>
        <w:tc>
          <w:tcPr>
            <w:tcW w:w="1255" w:type="dxa"/>
            <w:tcBorders>
              <w:top w:val="nil"/>
              <w:left w:val="single" w:sz="4" w:space="0" w:color="448A99"/>
              <w:bottom w:val="single" w:sz="4" w:space="0" w:color="448A99"/>
              <w:right w:val="single" w:sz="4" w:space="0" w:color="448A99"/>
            </w:tcBorders>
            <w:shd w:val="clear" w:color="000000" w:fill="D2EAF1"/>
            <w:noWrap/>
            <w:vAlign w:val="center"/>
            <w:hideMark/>
          </w:tcPr>
          <w:p w:rsidR="00893676" w:rsidRPr="00B75B77" w:rsidRDefault="00893676" w:rsidP="00F61038">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8</w:t>
            </w:r>
          </w:p>
        </w:tc>
        <w:tc>
          <w:tcPr>
            <w:tcW w:w="5490" w:type="dxa"/>
            <w:tcBorders>
              <w:top w:val="nil"/>
              <w:left w:val="nil"/>
              <w:bottom w:val="single" w:sz="4" w:space="0" w:color="448A99"/>
              <w:right w:val="single" w:sz="4" w:space="0" w:color="448A99"/>
            </w:tcBorders>
            <w:shd w:val="clear" w:color="000000" w:fill="D2EAF1"/>
            <w:noWrap/>
            <w:vAlign w:val="center"/>
            <w:hideMark/>
          </w:tcPr>
          <w:p w:rsidR="00893676" w:rsidRPr="00B75B77" w:rsidRDefault="00893676" w:rsidP="00F61038">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Marketing</w:t>
            </w:r>
            <w:r w:rsidRPr="00B75B77">
              <w:rPr>
                <w:rFonts w:ascii="Calibri" w:eastAsia="Times New Roman" w:hAnsi="Calibri"/>
                <w:color w:val="000000"/>
                <w:sz w:val="18"/>
                <w:szCs w:val="18"/>
                <w:vertAlign w:val="superscript"/>
              </w:rPr>
              <w:t>[2]</w:t>
            </w:r>
          </w:p>
        </w:tc>
        <w:tc>
          <w:tcPr>
            <w:tcW w:w="1080" w:type="dxa"/>
            <w:tcBorders>
              <w:top w:val="nil"/>
              <w:left w:val="nil"/>
              <w:bottom w:val="single" w:sz="4" w:space="0" w:color="448A99"/>
              <w:right w:val="single" w:sz="4" w:space="0" w:color="448A99"/>
            </w:tcBorders>
            <w:shd w:val="clear" w:color="000000" w:fill="D2EAF1"/>
            <w:noWrap/>
            <w:vAlign w:val="center"/>
            <w:hideMark/>
          </w:tcPr>
          <w:p w:rsidR="00893676" w:rsidRPr="00B75B77" w:rsidRDefault="00893676" w:rsidP="00F6103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67</w:t>
            </w:r>
          </w:p>
        </w:tc>
        <w:tc>
          <w:tcPr>
            <w:tcW w:w="1260" w:type="dxa"/>
            <w:tcBorders>
              <w:top w:val="nil"/>
              <w:left w:val="nil"/>
              <w:bottom w:val="single" w:sz="4" w:space="0" w:color="448A99"/>
              <w:right w:val="single" w:sz="4" w:space="0" w:color="448A99"/>
            </w:tcBorders>
            <w:shd w:val="clear" w:color="000000" w:fill="D2EAF1"/>
            <w:noWrap/>
            <w:vAlign w:val="center"/>
            <w:hideMark/>
          </w:tcPr>
          <w:p w:rsidR="00893676" w:rsidRPr="00B75B77" w:rsidRDefault="00893676" w:rsidP="00F6103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188</w:t>
            </w:r>
          </w:p>
        </w:tc>
      </w:tr>
      <w:tr w:rsidR="00893676" w:rsidRPr="00B75B77" w:rsidTr="00751A38">
        <w:trPr>
          <w:trHeight w:val="288"/>
        </w:trPr>
        <w:tc>
          <w:tcPr>
            <w:tcW w:w="1255" w:type="dxa"/>
            <w:tcBorders>
              <w:top w:val="nil"/>
              <w:left w:val="single" w:sz="4" w:space="0" w:color="448A99"/>
              <w:bottom w:val="single" w:sz="4" w:space="0" w:color="448A99"/>
              <w:right w:val="single" w:sz="4" w:space="0" w:color="448A99"/>
            </w:tcBorders>
            <w:shd w:val="clear" w:color="auto" w:fill="auto"/>
            <w:noWrap/>
            <w:vAlign w:val="center"/>
            <w:hideMark/>
          </w:tcPr>
          <w:p w:rsidR="00893676" w:rsidRPr="00B75B77" w:rsidRDefault="00893676" w:rsidP="00F61038">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9</w:t>
            </w:r>
          </w:p>
        </w:tc>
        <w:tc>
          <w:tcPr>
            <w:tcW w:w="5490" w:type="dxa"/>
            <w:tcBorders>
              <w:top w:val="nil"/>
              <w:left w:val="nil"/>
              <w:bottom w:val="single" w:sz="4" w:space="0" w:color="448A99"/>
              <w:right w:val="single" w:sz="4" w:space="0" w:color="448A99"/>
            </w:tcBorders>
            <w:shd w:val="clear" w:color="auto" w:fill="auto"/>
            <w:noWrap/>
            <w:vAlign w:val="center"/>
            <w:hideMark/>
          </w:tcPr>
          <w:p w:rsidR="00893676" w:rsidRPr="00B75B77" w:rsidRDefault="00893676" w:rsidP="00F61038">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EDC Evaluation Costs</w:t>
            </w:r>
          </w:p>
        </w:tc>
        <w:tc>
          <w:tcPr>
            <w:tcW w:w="1080" w:type="dxa"/>
            <w:tcBorders>
              <w:top w:val="nil"/>
              <w:left w:val="nil"/>
              <w:bottom w:val="single" w:sz="4" w:space="0" w:color="448A99"/>
              <w:right w:val="single" w:sz="4" w:space="0" w:color="448A99"/>
            </w:tcBorders>
            <w:shd w:val="clear" w:color="auto" w:fill="auto"/>
            <w:noWrap/>
            <w:vAlign w:val="center"/>
            <w:hideMark/>
          </w:tcPr>
          <w:p w:rsidR="00893676" w:rsidRPr="00B75B77" w:rsidRDefault="00893676" w:rsidP="00F6103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260" w:type="dxa"/>
            <w:tcBorders>
              <w:top w:val="nil"/>
              <w:left w:val="nil"/>
              <w:bottom w:val="single" w:sz="4" w:space="0" w:color="448A99"/>
              <w:right w:val="single" w:sz="4" w:space="0" w:color="448A99"/>
            </w:tcBorders>
            <w:shd w:val="clear" w:color="auto" w:fill="auto"/>
            <w:noWrap/>
            <w:vAlign w:val="center"/>
            <w:hideMark/>
          </w:tcPr>
          <w:p w:rsidR="00893676" w:rsidRPr="00B75B77" w:rsidRDefault="00893676" w:rsidP="00F6103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893676" w:rsidRPr="00B75B77" w:rsidTr="00751A38">
        <w:trPr>
          <w:trHeight w:val="288"/>
        </w:trPr>
        <w:tc>
          <w:tcPr>
            <w:tcW w:w="1255" w:type="dxa"/>
            <w:tcBorders>
              <w:top w:val="nil"/>
              <w:left w:val="single" w:sz="4" w:space="0" w:color="448A99"/>
              <w:bottom w:val="single" w:sz="4" w:space="0" w:color="448A99"/>
              <w:right w:val="single" w:sz="4" w:space="0" w:color="448A99"/>
            </w:tcBorders>
            <w:shd w:val="clear" w:color="000000" w:fill="D2EAF1"/>
            <w:noWrap/>
            <w:vAlign w:val="center"/>
            <w:hideMark/>
          </w:tcPr>
          <w:p w:rsidR="00893676" w:rsidRPr="00B75B77" w:rsidRDefault="00893676" w:rsidP="00F61038">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10</w:t>
            </w:r>
          </w:p>
        </w:tc>
        <w:tc>
          <w:tcPr>
            <w:tcW w:w="5490" w:type="dxa"/>
            <w:tcBorders>
              <w:top w:val="nil"/>
              <w:left w:val="nil"/>
              <w:bottom w:val="single" w:sz="4" w:space="0" w:color="448A99"/>
              <w:right w:val="single" w:sz="4" w:space="0" w:color="448A99"/>
            </w:tcBorders>
            <w:shd w:val="clear" w:color="000000" w:fill="D2EAF1"/>
            <w:noWrap/>
            <w:vAlign w:val="center"/>
            <w:hideMark/>
          </w:tcPr>
          <w:p w:rsidR="00893676" w:rsidRPr="00B75B77" w:rsidRDefault="00893676" w:rsidP="00F61038">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SWE Audit Costs </w:t>
            </w:r>
          </w:p>
        </w:tc>
        <w:tc>
          <w:tcPr>
            <w:tcW w:w="1080" w:type="dxa"/>
            <w:tcBorders>
              <w:top w:val="nil"/>
              <w:left w:val="nil"/>
              <w:bottom w:val="single" w:sz="4" w:space="0" w:color="448A99"/>
              <w:right w:val="single" w:sz="4" w:space="0" w:color="448A99"/>
            </w:tcBorders>
            <w:shd w:val="clear" w:color="000000" w:fill="D2EAF1"/>
            <w:noWrap/>
            <w:vAlign w:val="center"/>
            <w:hideMark/>
          </w:tcPr>
          <w:p w:rsidR="00893676" w:rsidRPr="00B75B77" w:rsidRDefault="00893676" w:rsidP="00F6103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260" w:type="dxa"/>
            <w:tcBorders>
              <w:top w:val="nil"/>
              <w:left w:val="nil"/>
              <w:bottom w:val="single" w:sz="4" w:space="0" w:color="448A99"/>
              <w:right w:val="single" w:sz="4" w:space="0" w:color="448A99"/>
            </w:tcBorders>
            <w:shd w:val="clear" w:color="000000" w:fill="D2EAF1"/>
            <w:noWrap/>
            <w:vAlign w:val="center"/>
            <w:hideMark/>
          </w:tcPr>
          <w:p w:rsidR="00893676" w:rsidRPr="00B75B77" w:rsidRDefault="00893676" w:rsidP="00F6103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2E73D2" w:rsidRPr="00B75B77" w:rsidTr="00C15945">
        <w:trPr>
          <w:trHeight w:val="115"/>
        </w:trPr>
        <w:tc>
          <w:tcPr>
            <w:tcW w:w="9085" w:type="dxa"/>
            <w:gridSpan w:val="4"/>
            <w:tcBorders>
              <w:top w:val="nil"/>
              <w:left w:val="single" w:sz="4" w:space="0" w:color="448A99"/>
              <w:bottom w:val="single" w:sz="4" w:space="0" w:color="448A99"/>
              <w:right w:val="single" w:sz="4" w:space="0" w:color="448A99"/>
            </w:tcBorders>
            <w:shd w:val="clear" w:color="auto" w:fill="AEAAAA"/>
            <w:noWrap/>
            <w:vAlign w:val="center"/>
            <w:hideMark/>
          </w:tcPr>
          <w:p w:rsidR="002E73D2" w:rsidRPr="00B75B77" w:rsidRDefault="002E73D2" w:rsidP="00F61038">
            <w:pPr>
              <w:keepNext/>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 </w:t>
            </w:r>
          </w:p>
        </w:tc>
      </w:tr>
      <w:tr w:rsidR="00893676" w:rsidRPr="00B75B77" w:rsidTr="00751A38">
        <w:trPr>
          <w:trHeight w:val="288"/>
        </w:trPr>
        <w:tc>
          <w:tcPr>
            <w:tcW w:w="1255" w:type="dxa"/>
            <w:tcBorders>
              <w:top w:val="nil"/>
              <w:left w:val="single" w:sz="4" w:space="0" w:color="448A99"/>
              <w:bottom w:val="single" w:sz="4" w:space="0" w:color="448A99"/>
              <w:right w:val="single" w:sz="4" w:space="0" w:color="448A99"/>
            </w:tcBorders>
            <w:shd w:val="clear" w:color="auto" w:fill="auto"/>
            <w:noWrap/>
            <w:vAlign w:val="center"/>
            <w:hideMark/>
          </w:tcPr>
          <w:p w:rsidR="00893676" w:rsidRPr="00B75B77" w:rsidRDefault="00893676" w:rsidP="00F61038">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11</w:t>
            </w:r>
          </w:p>
        </w:tc>
        <w:tc>
          <w:tcPr>
            <w:tcW w:w="5490" w:type="dxa"/>
            <w:tcBorders>
              <w:top w:val="nil"/>
              <w:left w:val="nil"/>
              <w:bottom w:val="single" w:sz="4" w:space="0" w:color="448A99"/>
              <w:right w:val="single" w:sz="4" w:space="0" w:color="448A99"/>
            </w:tcBorders>
            <w:shd w:val="clear" w:color="auto" w:fill="auto"/>
            <w:noWrap/>
            <w:vAlign w:val="center"/>
            <w:hideMark/>
          </w:tcPr>
          <w:p w:rsidR="00893676" w:rsidRPr="00B75B77" w:rsidRDefault="00893676" w:rsidP="00F61038">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Increases in Costs of Natural Gas (or Other Fuels) for Fuel-Switching Programs</w:t>
            </w:r>
          </w:p>
        </w:tc>
        <w:tc>
          <w:tcPr>
            <w:tcW w:w="1080" w:type="dxa"/>
            <w:tcBorders>
              <w:top w:val="nil"/>
              <w:left w:val="nil"/>
              <w:bottom w:val="single" w:sz="4" w:space="0" w:color="448A99"/>
              <w:right w:val="single" w:sz="4" w:space="0" w:color="448A99"/>
            </w:tcBorders>
            <w:shd w:val="clear" w:color="auto" w:fill="auto"/>
            <w:vAlign w:val="center"/>
            <w:hideMark/>
          </w:tcPr>
          <w:p w:rsidR="00893676" w:rsidRPr="00B75B77" w:rsidRDefault="00893676" w:rsidP="00F6103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260" w:type="dxa"/>
            <w:tcBorders>
              <w:top w:val="nil"/>
              <w:left w:val="nil"/>
              <w:bottom w:val="single" w:sz="4" w:space="0" w:color="448A99"/>
              <w:right w:val="single" w:sz="4" w:space="0" w:color="448A99"/>
            </w:tcBorders>
            <w:shd w:val="clear" w:color="auto" w:fill="auto"/>
            <w:vAlign w:val="center"/>
            <w:hideMark/>
          </w:tcPr>
          <w:p w:rsidR="00893676" w:rsidRPr="00B75B77" w:rsidRDefault="00893676" w:rsidP="00F6103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2E73D2" w:rsidRPr="00B75B77" w:rsidTr="00C15945">
        <w:trPr>
          <w:trHeight w:val="115"/>
        </w:trPr>
        <w:tc>
          <w:tcPr>
            <w:tcW w:w="9085" w:type="dxa"/>
            <w:gridSpan w:val="4"/>
            <w:tcBorders>
              <w:top w:val="nil"/>
              <w:left w:val="single" w:sz="4" w:space="0" w:color="448A99"/>
              <w:bottom w:val="single" w:sz="4" w:space="0" w:color="448A99"/>
              <w:right w:val="single" w:sz="4" w:space="0" w:color="448A99"/>
            </w:tcBorders>
            <w:shd w:val="clear" w:color="auto" w:fill="AEAAAA"/>
            <w:noWrap/>
            <w:vAlign w:val="center"/>
            <w:hideMark/>
          </w:tcPr>
          <w:p w:rsidR="002E73D2" w:rsidRPr="00B75B77" w:rsidRDefault="002E73D2" w:rsidP="00F61038">
            <w:pPr>
              <w:keepNext/>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 </w:t>
            </w:r>
          </w:p>
        </w:tc>
      </w:tr>
      <w:tr w:rsidR="00893676" w:rsidRPr="00B75B77" w:rsidTr="00751A38">
        <w:trPr>
          <w:trHeight w:val="288"/>
        </w:trPr>
        <w:tc>
          <w:tcPr>
            <w:tcW w:w="1255" w:type="dxa"/>
            <w:tcBorders>
              <w:top w:val="nil"/>
              <w:left w:val="single" w:sz="4" w:space="0" w:color="448A99"/>
              <w:bottom w:val="single" w:sz="4" w:space="0" w:color="448A99"/>
              <w:right w:val="single" w:sz="4" w:space="0" w:color="448A99"/>
            </w:tcBorders>
            <w:shd w:val="clear" w:color="000000" w:fill="D2EAF1"/>
            <w:noWrap/>
            <w:vAlign w:val="center"/>
            <w:hideMark/>
          </w:tcPr>
          <w:p w:rsidR="00893676" w:rsidRPr="00B75B77" w:rsidRDefault="00893676" w:rsidP="00F61038">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12</w:t>
            </w:r>
          </w:p>
        </w:tc>
        <w:tc>
          <w:tcPr>
            <w:tcW w:w="5490" w:type="dxa"/>
            <w:tcBorders>
              <w:top w:val="nil"/>
              <w:left w:val="nil"/>
              <w:bottom w:val="single" w:sz="4" w:space="0" w:color="448A99"/>
              <w:right w:val="single" w:sz="4" w:space="0" w:color="448A99"/>
            </w:tcBorders>
            <w:shd w:val="clear" w:color="000000" w:fill="D2EAF1"/>
            <w:noWrap/>
            <w:vAlign w:val="center"/>
            <w:hideMark/>
          </w:tcPr>
          <w:p w:rsidR="00893676" w:rsidRPr="00B75B77" w:rsidRDefault="00893676" w:rsidP="00F61038">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Total TRC Costs</w:t>
            </w:r>
            <w:r w:rsidRPr="00B75B77">
              <w:rPr>
                <w:rFonts w:ascii="Calibri" w:eastAsia="Times New Roman" w:hAnsi="Calibri"/>
                <w:color w:val="000000"/>
                <w:sz w:val="18"/>
                <w:szCs w:val="18"/>
                <w:vertAlign w:val="superscript"/>
              </w:rPr>
              <w:t>[5]</w:t>
            </w:r>
          </w:p>
        </w:tc>
        <w:tc>
          <w:tcPr>
            <w:tcW w:w="1080" w:type="dxa"/>
            <w:tcBorders>
              <w:top w:val="nil"/>
              <w:left w:val="nil"/>
              <w:bottom w:val="single" w:sz="4" w:space="0" w:color="448A99"/>
              <w:right w:val="single" w:sz="4" w:space="0" w:color="448A99"/>
            </w:tcBorders>
            <w:shd w:val="clear" w:color="000000" w:fill="D2EAF1"/>
            <w:vAlign w:val="center"/>
            <w:hideMark/>
          </w:tcPr>
          <w:p w:rsidR="00893676" w:rsidRPr="00B75B77" w:rsidRDefault="004E4713" w:rsidP="00F6103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840</w:t>
            </w:r>
          </w:p>
        </w:tc>
        <w:tc>
          <w:tcPr>
            <w:tcW w:w="1260" w:type="dxa"/>
            <w:tcBorders>
              <w:top w:val="nil"/>
              <w:left w:val="nil"/>
              <w:bottom w:val="single" w:sz="4" w:space="0" w:color="448A99"/>
              <w:right w:val="single" w:sz="4" w:space="0" w:color="448A99"/>
            </w:tcBorders>
            <w:shd w:val="clear" w:color="000000" w:fill="D2EAF1"/>
            <w:vAlign w:val="center"/>
            <w:hideMark/>
          </w:tcPr>
          <w:p w:rsidR="00893676" w:rsidRPr="00B75B77" w:rsidRDefault="00893676" w:rsidP="00F6103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1,</w:t>
            </w:r>
            <w:r w:rsidR="004E4713" w:rsidRPr="00B75B77">
              <w:rPr>
                <w:rFonts w:ascii="Calibri" w:eastAsia="Times New Roman" w:hAnsi="Calibri"/>
                <w:color w:val="000000"/>
                <w:sz w:val="18"/>
                <w:szCs w:val="18"/>
              </w:rPr>
              <w:t>736</w:t>
            </w:r>
          </w:p>
        </w:tc>
      </w:tr>
      <w:tr w:rsidR="00893676" w:rsidRPr="00B75B77" w:rsidTr="00751A38">
        <w:trPr>
          <w:trHeight w:val="288"/>
        </w:trPr>
        <w:tc>
          <w:tcPr>
            <w:tcW w:w="1255" w:type="dxa"/>
            <w:tcBorders>
              <w:top w:val="nil"/>
              <w:left w:val="single" w:sz="4" w:space="0" w:color="448A99"/>
              <w:bottom w:val="single" w:sz="4" w:space="0" w:color="448A99"/>
              <w:right w:val="single" w:sz="4" w:space="0" w:color="448A99"/>
            </w:tcBorders>
            <w:shd w:val="clear" w:color="auto" w:fill="auto"/>
            <w:noWrap/>
            <w:vAlign w:val="center"/>
            <w:hideMark/>
          </w:tcPr>
          <w:p w:rsidR="00893676" w:rsidRPr="00B75B77" w:rsidRDefault="00893676" w:rsidP="00F61038">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13</w:t>
            </w:r>
          </w:p>
        </w:tc>
        <w:tc>
          <w:tcPr>
            <w:tcW w:w="5490" w:type="dxa"/>
            <w:tcBorders>
              <w:top w:val="nil"/>
              <w:left w:val="nil"/>
              <w:bottom w:val="single" w:sz="4" w:space="0" w:color="448A99"/>
              <w:right w:val="single" w:sz="4" w:space="0" w:color="448A99"/>
            </w:tcBorders>
            <w:shd w:val="clear" w:color="auto" w:fill="auto"/>
            <w:noWrap/>
            <w:vAlign w:val="center"/>
            <w:hideMark/>
          </w:tcPr>
          <w:p w:rsidR="00893676" w:rsidRPr="00B75B77" w:rsidRDefault="00893676" w:rsidP="00F61038">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Total NPV Lifetime Energy Benefits</w:t>
            </w:r>
          </w:p>
        </w:tc>
        <w:tc>
          <w:tcPr>
            <w:tcW w:w="1080" w:type="dxa"/>
            <w:tcBorders>
              <w:top w:val="nil"/>
              <w:left w:val="nil"/>
              <w:bottom w:val="single" w:sz="4" w:space="0" w:color="448A99"/>
              <w:right w:val="single" w:sz="4" w:space="0" w:color="448A99"/>
            </w:tcBorders>
            <w:shd w:val="clear" w:color="auto" w:fill="auto"/>
            <w:vAlign w:val="center"/>
            <w:hideMark/>
          </w:tcPr>
          <w:p w:rsidR="00893676" w:rsidRPr="00B75B77" w:rsidRDefault="00893676" w:rsidP="00F6103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356</w:t>
            </w:r>
          </w:p>
        </w:tc>
        <w:tc>
          <w:tcPr>
            <w:tcW w:w="1260" w:type="dxa"/>
            <w:tcBorders>
              <w:top w:val="nil"/>
              <w:left w:val="nil"/>
              <w:bottom w:val="single" w:sz="4" w:space="0" w:color="448A99"/>
              <w:right w:val="single" w:sz="4" w:space="0" w:color="448A99"/>
            </w:tcBorders>
            <w:shd w:val="clear" w:color="auto" w:fill="auto"/>
            <w:vAlign w:val="center"/>
            <w:hideMark/>
          </w:tcPr>
          <w:p w:rsidR="00893676" w:rsidRPr="00B75B77" w:rsidRDefault="00893676" w:rsidP="00F6103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574</w:t>
            </w:r>
          </w:p>
        </w:tc>
      </w:tr>
      <w:tr w:rsidR="00893676" w:rsidRPr="00B75B77" w:rsidTr="00751A38">
        <w:trPr>
          <w:trHeight w:val="288"/>
        </w:trPr>
        <w:tc>
          <w:tcPr>
            <w:tcW w:w="1255" w:type="dxa"/>
            <w:tcBorders>
              <w:top w:val="nil"/>
              <w:left w:val="single" w:sz="4" w:space="0" w:color="448A99"/>
              <w:bottom w:val="single" w:sz="4" w:space="0" w:color="448A99"/>
              <w:right w:val="single" w:sz="4" w:space="0" w:color="448A99"/>
            </w:tcBorders>
            <w:shd w:val="clear" w:color="000000" w:fill="D2EAF1"/>
            <w:noWrap/>
            <w:vAlign w:val="center"/>
            <w:hideMark/>
          </w:tcPr>
          <w:p w:rsidR="00893676" w:rsidRPr="00B75B77" w:rsidRDefault="00893676" w:rsidP="00F61038">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14</w:t>
            </w:r>
          </w:p>
        </w:tc>
        <w:tc>
          <w:tcPr>
            <w:tcW w:w="5490" w:type="dxa"/>
            <w:tcBorders>
              <w:top w:val="nil"/>
              <w:left w:val="nil"/>
              <w:bottom w:val="single" w:sz="4" w:space="0" w:color="448A99"/>
              <w:right w:val="single" w:sz="4" w:space="0" w:color="448A99"/>
            </w:tcBorders>
            <w:shd w:val="clear" w:color="000000" w:fill="D2EAF1"/>
            <w:noWrap/>
            <w:vAlign w:val="center"/>
            <w:hideMark/>
          </w:tcPr>
          <w:p w:rsidR="00893676" w:rsidRPr="00B75B77" w:rsidRDefault="00893676" w:rsidP="00F61038">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Total NPV Lifetime Capacity Benefits</w:t>
            </w:r>
          </w:p>
        </w:tc>
        <w:tc>
          <w:tcPr>
            <w:tcW w:w="1080" w:type="dxa"/>
            <w:tcBorders>
              <w:top w:val="nil"/>
              <w:left w:val="nil"/>
              <w:bottom w:val="single" w:sz="4" w:space="0" w:color="448A99"/>
              <w:right w:val="single" w:sz="4" w:space="0" w:color="448A99"/>
            </w:tcBorders>
            <w:shd w:val="clear" w:color="000000" w:fill="D2EAF1"/>
            <w:vAlign w:val="center"/>
            <w:hideMark/>
          </w:tcPr>
          <w:p w:rsidR="00893676" w:rsidRPr="00B75B77" w:rsidRDefault="00893676" w:rsidP="00F6103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62</w:t>
            </w:r>
          </w:p>
        </w:tc>
        <w:tc>
          <w:tcPr>
            <w:tcW w:w="1260" w:type="dxa"/>
            <w:tcBorders>
              <w:top w:val="nil"/>
              <w:left w:val="nil"/>
              <w:bottom w:val="single" w:sz="4" w:space="0" w:color="448A99"/>
              <w:right w:val="single" w:sz="4" w:space="0" w:color="448A99"/>
            </w:tcBorders>
            <w:shd w:val="clear" w:color="000000" w:fill="D2EAF1"/>
            <w:vAlign w:val="center"/>
            <w:hideMark/>
          </w:tcPr>
          <w:p w:rsidR="00893676" w:rsidRPr="00B75B77" w:rsidRDefault="00893676" w:rsidP="00F6103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101</w:t>
            </w:r>
          </w:p>
        </w:tc>
      </w:tr>
      <w:tr w:rsidR="00893676" w:rsidRPr="00B75B77" w:rsidTr="00751A38">
        <w:trPr>
          <w:trHeight w:val="288"/>
        </w:trPr>
        <w:tc>
          <w:tcPr>
            <w:tcW w:w="1255" w:type="dxa"/>
            <w:tcBorders>
              <w:top w:val="nil"/>
              <w:left w:val="single" w:sz="4" w:space="0" w:color="448A99"/>
              <w:bottom w:val="single" w:sz="4" w:space="0" w:color="448A99"/>
              <w:right w:val="single" w:sz="4" w:space="0" w:color="448A99"/>
            </w:tcBorders>
            <w:shd w:val="clear" w:color="auto" w:fill="auto"/>
            <w:noWrap/>
            <w:vAlign w:val="center"/>
            <w:hideMark/>
          </w:tcPr>
          <w:p w:rsidR="00893676" w:rsidRPr="00B75B77" w:rsidRDefault="00893676" w:rsidP="00F61038">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15</w:t>
            </w:r>
          </w:p>
        </w:tc>
        <w:tc>
          <w:tcPr>
            <w:tcW w:w="5490" w:type="dxa"/>
            <w:tcBorders>
              <w:top w:val="nil"/>
              <w:left w:val="nil"/>
              <w:bottom w:val="single" w:sz="4" w:space="0" w:color="448A99"/>
              <w:right w:val="single" w:sz="4" w:space="0" w:color="448A99"/>
            </w:tcBorders>
            <w:shd w:val="clear" w:color="auto" w:fill="auto"/>
            <w:noWrap/>
            <w:vAlign w:val="center"/>
            <w:hideMark/>
          </w:tcPr>
          <w:p w:rsidR="00893676" w:rsidRPr="00B75B77" w:rsidRDefault="00893676" w:rsidP="00F61038">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Total NPV TRC Benefits</w:t>
            </w:r>
            <w:r w:rsidRPr="00B75B77">
              <w:rPr>
                <w:rFonts w:ascii="Calibri" w:eastAsia="Times New Roman" w:hAnsi="Calibri"/>
                <w:color w:val="000000"/>
                <w:sz w:val="18"/>
                <w:szCs w:val="18"/>
                <w:vertAlign w:val="superscript"/>
              </w:rPr>
              <w:t>[6]</w:t>
            </w:r>
          </w:p>
        </w:tc>
        <w:tc>
          <w:tcPr>
            <w:tcW w:w="1080" w:type="dxa"/>
            <w:tcBorders>
              <w:top w:val="nil"/>
              <w:left w:val="nil"/>
              <w:bottom w:val="single" w:sz="4" w:space="0" w:color="448A99"/>
              <w:right w:val="single" w:sz="4" w:space="0" w:color="448A99"/>
            </w:tcBorders>
            <w:shd w:val="clear" w:color="auto" w:fill="auto"/>
            <w:vAlign w:val="center"/>
            <w:hideMark/>
          </w:tcPr>
          <w:p w:rsidR="00893676" w:rsidRPr="00B75B77" w:rsidRDefault="00893676" w:rsidP="00F6103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433</w:t>
            </w:r>
          </w:p>
        </w:tc>
        <w:tc>
          <w:tcPr>
            <w:tcW w:w="1260" w:type="dxa"/>
            <w:tcBorders>
              <w:top w:val="nil"/>
              <w:left w:val="nil"/>
              <w:bottom w:val="single" w:sz="4" w:space="0" w:color="448A99"/>
              <w:right w:val="single" w:sz="4" w:space="0" w:color="448A99"/>
            </w:tcBorders>
            <w:shd w:val="clear" w:color="auto" w:fill="auto"/>
            <w:vAlign w:val="center"/>
            <w:hideMark/>
          </w:tcPr>
          <w:p w:rsidR="00893676" w:rsidRPr="00B75B77" w:rsidRDefault="00893676" w:rsidP="00F6103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698</w:t>
            </w:r>
          </w:p>
        </w:tc>
      </w:tr>
      <w:tr w:rsidR="002E73D2" w:rsidRPr="00B75B77" w:rsidTr="00C15945">
        <w:trPr>
          <w:trHeight w:val="115"/>
        </w:trPr>
        <w:tc>
          <w:tcPr>
            <w:tcW w:w="9085" w:type="dxa"/>
            <w:gridSpan w:val="4"/>
            <w:tcBorders>
              <w:top w:val="nil"/>
              <w:left w:val="single" w:sz="4" w:space="0" w:color="448A99"/>
              <w:bottom w:val="single" w:sz="4" w:space="0" w:color="448A99"/>
              <w:right w:val="single" w:sz="4" w:space="0" w:color="448A99"/>
            </w:tcBorders>
            <w:shd w:val="clear" w:color="auto" w:fill="AEAAAA"/>
            <w:noWrap/>
            <w:vAlign w:val="center"/>
            <w:hideMark/>
          </w:tcPr>
          <w:p w:rsidR="002E73D2" w:rsidRPr="00B75B77" w:rsidRDefault="002E73D2" w:rsidP="00F61038">
            <w:pPr>
              <w:keepNext/>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 </w:t>
            </w:r>
          </w:p>
        </w:tc>
      </w:tr>
      <w:tr w:rsidR="00893676" w:rsidRPr="00B75B77" w:rsidTr="00751A38">
        <w:trPr>
          <w:trHeight w:val="288"/>
        </w:trPr>
        <w:tc>
          <w:tcPr>
            <w:tcW w:w="1255" w:type="dxa"/>
            <w:tcBorders>
              <w:top w:val="nil"/>
              <w:left w:val="single" w:sz="4" w:space="0" w:color="448A99"/>
              <w:bottom w:val="single" w:sz="4" w:space="0" w:color="448A99"/>
              <w:right w:val="single" w:sz="4" w:space="0" w:color="448A99"/>
            </w:tcBorders>
            <w:shd w:val="clear" w:color="000000" w:fill="D2EAF1"/>
            <w:noWrap/>
            <w:vAlign w:val="center"/>
            <w:hideMark/>
          </w:tcPr>
          <w:p w:rsidR="00893676" w:rsidRPr="00B75B77" w:rsidRDefault="00893676" w:rsidP="00F61038">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16</w:t>
            </w:r>
          </w:p>
        </w:tc>
        <w:tc>
          <w:tcPr>
            <w:tcW w:w="5490" w:type="dxa"/>
            <w:tcBorders>
              <w:top w:val="nil"/>
              <w:left w:val="nil"/>
              <w:bottom w:val="single" w:sz="4" w:space="0" w:color="448A99"/>
              <w:right w:val="single" w:sz="4" w:space="0" w:color="448A99"/>
            </w:tcBorders>
            <w:shd w:val="clear" w:color="000000" w:fill="D2EAF1"/>
            <w:noWrap/>
            <w:vAlign w:val="center"/>
            <w:hideMark/>
          </w:tcPr>
          <w:p w:rsidR="00893676" w:rsidRPr="00B75B77" w:rsidRDefault="00893676" w:rsidP="00F61038">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TRC Benefit-Cost Ratio</w:t>
            </w:r>
          </w:p>
        </w:tc>
        <w:tc>
          <w:tcPr>
            <w:tcW w:w="1080" w:type="dxa"/>
            <w:tcBorders>
              <w:top w:val="nil"/>
              <w:left w:val="nil"/>
              <w:bottom w:val="single" w:sz="4" w:space="0" w:color="448A99"/>
              <w:right w:val="nil"/>
            </w:tcBorders>
            <w:shd w:val="clear" w:color="000000" w:fill="D2EAF1"/>
            <w:vAlign w:val="center"/>
            <w:hideMark/>
          </w:tcPr>
          <w:p w:rsidR="00893676" w:rsidRPr="00B75B77" w:rsidRDefault="00893676" w:rsidP="00F6103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r w:rsidR="004E4713" w:rsidRPr="00B75B77">
              <w:rPr>
                <w:rFonts w:ascii="Calibri" w:eastAsia="Times New Roman" w:hAnsi="Calibri"/>
                <w:color w:val="000000"/>
                <w:sz w:val="18"/>
                <w:szCs w:val="18"/>
              </w:rPr>
              <w:t>52</w:t>
            </w:r>
          </w:p>
        </w:tc>
        <w:tc>
          <w:tcPr>
            <w:tcW w:w="1260" w:type="dxa"/>
            <w:tcBorders>
              <w:top w:val="nil"/>
              <w:left w:val="single" w:sz="4" w:space="0" w:color="BFBFBF"/>
              <w:bottom w:val="single" w:sz="4" w:space="0" w:color="448A99"/>
              <w:right w:val="single" w:sz="4" w:space="0" w:color="448A99"/>
            </w:tcBorders>
            <w:shd w:val="clear" w:color="000000" w:fill="D2EAF1"/>
            <w:vAlign w:val="center"/>
            <w:hideMark/>
          </w:tcPr>
          <w:p w:rsidR="00893676" w:rsidRPr="00B75B77" w:rsidRDefault="00893676" w:rsidP="00F6103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r w:rsidR="004E4713" w:rsidRPr="00B75B77">
              <w:rPr>
                <w:rFonts w:ascii="Calibri" w:eastAsia="Times New Roman" w:hAnsi="Calibri"/>
                <w:color w:val="000000"/>
                <w:sz w:val="18"/>
                <w:szCs w:val="18"/>
              </w:rPr>
              <w:t>40</w:t>
            </w:r>
          </w:p>
        </w:tc>
      </w:tr>
      <w:tr w:rsidR="00893676" w:rsidRPr="00B75B77" w:rsidTr="00751A38">
        <w:trPr>
          <w:trHeight w:val="3204"/>
        </w:trPr>
        <w:tc>
          <w:tcPr>
            <w:tcW w:w="9085" w:type="dxa"/>
            <w:gridSpan w:val="4"/>
            <w:tcBorders>
              <w:top w:val="single" w:sz="4" w:space="0" w:color="448A99"/>
              <w:left w:val="single" w:sz="4" w:space="0" w:color="448A99"/>
              <w:bottom w:val="single" w:sz="4" w:space="0" w:color="448A99"/>
              <w:right w:val="single" w:sz="4" w:space="0" w:color="448A99"/>
            </w:tcBorders>
            <w:shd w:val="clear" w:color="auto" w:fill="auto"/>
            <w:hideMark/>
          </w:tcPr>
          <w:p w:rsidR="0009500C" w:rsidRPr="00B75B77" w:rsidRDefault="0009500C" w:rsidP="0009500C">
            <w:pPr>
              <w:keepNext/>
              <w:jc w:val="left"/>
              <w:rPr>
                <w:rFonts w:ascii="Calibri" w:eastAsia="Times New Roman" w:hAnsi="Calibri"/>
                <w:b/>
                <w:iCs/>
                <w:color w:val="000000"/>
                <w:sz w:val="18"/>
                <w:szCs w:val="18"/>
              </w:rPr>
            </w:pPr>
            <w:r w:rsidRPr="00B75B77">
              <w:rPr>
                <w:rFonts w:ascii="Calibri" w:eastAsia="Times New Roman" w:hAnsi="Calibri"/>
                <w:b/>
                <w:iCs/>
                <w:color w:val="000000"/>
                <w:sz w:val="18"/>
                <w:szCs w:val="18"/>
              </w:rPr>
              <w:t xml:space="preserve">Notes: </w:t>
            </w:r>
          </w:p>
          <w:p w:rsidR="00893676" w:rsidRPr="00B75B77" w:rsidRDefault="00893676" w:rsidP="00076CAE">
            <w:pPr>
              <w:keepNext/>
              <w:jc w:val="left"/>
              <w:rPr>
                <w:rFonts w:ascii="Calibri" w:eastAsia="Times New Roman" w:hAnsi="Calibri"/>
                <w:color w:val="000000"/>
                <w:sz w:val="18"/>
                <w:szCs w:val="18"/>
              </w:rPr>
            </w:pPr>
            <w:r w:rsidRPr="00B75B77">
              <w:rPr>
                <w:rFonts w:ascii="Calibri" w:eastAsia="Times New Roman" w:hAnsi="Calibri"/>
                <w:iCs/>
                <w:color w:val="000000"/>
                <w:sz w:val="18"/>
                <w:szCs w:val="18"/>
              </w:rPr>
              <w:t xml:space="preserve">Per PUC direction, TRC inputs and calculations are required in the Annual Report only and should comply with the 2013 </w:t>
            </w:r>
            <w:r w:rsidR="00076CAE" w:rsidRPr="00B75B77">
              <w:rPr>
                <w:rFonts w:ascii="Calibri" w:eastAsia="Times New Roman" w:hAnsi="Calibri"/>
                <w:iCs/>
                <w:color w:val="000000"/>
                <w:sz w:val="18"/>
                <w:szCs w:val="18"/>
              </w:rPr>
              <w:t>TRC</w:t>
            </w:r>
            <w:r w:rsidRPr="00B75B77">
              <w:rPr>
                <w:rFonts w:ascii="Calibri" w:eastAsia="Times New Roman" w:hAnsi="Calibri"/>
                <w:iCs/>
                <w:color w:val="000000"/>
                <w:sz w:val="18"/>
                <w:szCs w:val="18"/>
              </w:rPr>
              <w:t xml:space="preserve"> Test Order. Please see the “Report Definitions” section of this report for more details.</w:t>
            </w:r>
            <w:r w:rsidRPr="00B75B77">
              <w:rPr>
                <w:rFonts w:ascii="Calibri" w:eastAsia="Times New Roman" w:hAnsi="Calibri"/>
                <w:color w:val="000000"/>
                <w:sz w:val="18"/>
                <w:szCs w:val="18"/>
              </w:rPr>
              <w:br/>
            </w:r>
            <w:r w:rsidRPr="00B75B77">
              <w:rPr>
                <w:rFonts w:ascii="Calibri" w:eastAsia="Times New Roman" w:hAnsi="Calibri"/>
                <w:color w:val="000000"/>
                <w:sz w:val="8"/>
                <w:szCs w:val="8"/>
              </w:rPr>
              <w:br/>
            </w:r>
            <w:r w:rsidRPr="00B75B77">
              <w:rPr>
                <w:rFonts w:ascii="Calibri" w:eastAsia="Times New Roman" w:hAnsi="Calibri"/>
                <w:color w:val="000000"/>
                <w:sz w:val="18"/>
                <w:szCs w:val="18"/>
                <w:vertAlign w:val="superscript"/>
              </w:rPr>
              <w:t>[1]</w:t>
            </w:r>
            <w:r w:rsidRPr="00B75B77">
              <w:rPr>
                <w:rFonts w:ascii="Calibri" w:eastAsia="Times New Roman" w:hAnsi="Calibri"/>
                <w:color w:val="000000"/>
                <w:sz w:val="18"/>
                <w:szCs w:val="18"/>
              </w:rPr>
              <w:t xml:space="preserve"> Includes rebate processing, tracking system, general administration, EDC and CSP program management, general management</w:t>
            </w:r>
            <w:r w:rsidR="00076CAE" w:rsidRPr="00B75B77">
              <w:rPr>
                <w:rFonts w:ascii="Calibri" w:eastAsia="Times New Roman" w:hAnsi="Calibri"/>
                <w:color w:val="000000"/>
                <w:sz w:val="18"/>
                <w:szCs w:val="18"/>
              </w:rPr>
              <w:t>,</w:t>
            </w:r>
            <w:r w:rsidRPr="00B75B77">
              <w:rPr>
                <w:rFonts w:ascii="Calibri" w:eastAsia="Times New Roman" w:hAnsi="Calibri"/>
                <w:color w:val="000000"/>
                <w:sz w:val="18"/>
                <w:szCs w:val="18"/>
              </w:rPr>
              <w:t xml:space="preserve"> and legal and technical assistance</w:t>
            </w:r>
            <w:r w:rsidR="002E49B3" w:rsidRPr="00B75B77">
              <w:rPr>
                <w:rFonts w:ascii="Calibri" w:eastAsia="Times New Roman" w:hAnsi="Calibri"/>
                <w:color w:val="000000"/>
                <w:sz w:val="18"/>
                <w:szCs w:val="18"/>
              </w:rPr>
              <w:t xml:space="preserve">. </w:t>
            </w:r>
            <w:r w:rsidRPr="00B75B77">
              <w:rPr>
                <w:rFonts w:ascii="Calibri" w:eastAsia="Times New Roman" w:hAnsi="Calibri"/>
                <w:color w:val="000000"/>
                <w:sz w:val="18"/>
                <w:szCs w:val="18"/>
              </w:rPr>
              <w:br/>
            </w:r>
            <w:r w:rsidRPr="00B75B77">
              <w:rPr>
                <w:rFonts w:ascii="Calibri" w:eastAsia="Times New Roman" w:hAnsi="Calibri"/>
                <w:color w:val="000000"/>
                <w:sz w:val="18"/>
                <w:szCs w:val="18"/>
                <w:vertAlign w:val="superscript"/>
              </w:rPr>
              <w:t>[2]</w:t>
            </w:r>
            <w:r w:rsidRPr="00B75B77">
              <w:rPr>
                <w:rFonts w:ascii="Calibri" w:eastAsia="Times New Roman" w:hAnsi="Calibri"/>
                <w:color w:val="000000"/>
                <w:sz w:val="18"/>
                <w:szCs w:val="18"/>
              </w:rPr>
              <w:t xml:space="preserve"> Includes the marketing CSP and marketing costs by program CSPs. </w:t>
            </w:r>
            <w:r w:rsidRPr="00B75B77">
              <w:rPr>
                <w:rFonts w:ascii="Calibri" w:eastAsia="Times New Roman" w:hAnsi="Calibri"/>
                <w:color w:val="000000"/>
                <w:sz w:val="18"/>
                <w:szCs w:val="18"/>
              </w:rPr>
              <w:br/>
            </w:r>
            <w:r w:rsidRPr="00B75B77">
              <w:rPr>
                <w:rFonts w:ascii="Calibri" w:eastAsia="Times New Roman" w:hAnsi="Calibri"/>
                <w:color w:val="000000"/>
                <w:sz w:val="18"/>
                <w:szCs w:val="18"/>
                <w:vertAlign w:val="superscript"/>
              </w:rPr>
              <w:t>[3]</w:t>
            </w:r>
            <w:r w:rsidRPr="00B75B77">
              <w:rPr>
                <w:rFonts w:ascii="Calibri" w:eastAsia="Times New Roman" w:hAnsi="Calibri"/>
                <w:color w:val="000000"/>
                <w:sz w:val="18"/>
                <w:szCs w:val="18"/>
              </w:rPr>
              <w:t xml:space="preserve"> Total TRC Costs includes Total EDC Costs and Participant Costs.</w:t>
            </w:r>
            <w:r w:rsidRPr="00B75B77">
              <w:rPr>
                <w:rFonts w:ascii="Calibri" w:eastAsia="Times New Roman" w:hAnsi="Calibri"/>
                <w:color w:val="000000"/>
                <w:sz w:val="18"/>
                <w:szCs w:val="18"/>
              </w:rPr>
              <w:br/>
            </w:r>
            <w:r w:rsidRPr="00B75B77">
              <w:rPr>
                <w:rFonts w:ascii="Calibri" w:eastAsia="Times New Roman" w:hAnsi="Calibri"/>
                <w:color w:val="000000"/>
                <w:sz w:val="18"/>
                <w:szCs w:val="18"/>
                <w:vertAlign w:val="superscript"/>
              </w:rPr>
              <w:t>[4]</w:t>
            </w:r>
            <w:r w:rsidRPr="00B75B77">
              <w:rPr>
                <w:rFonts w:ascii="Calibri" w:eastAsia="Times New Roman" w:hAnsi="Calibri"/>
                <w:color w:val="000000"/>
                <w:sz w:val="18"/>
                <w:szCs w:val="18"/>
              </w:rPr>
              <w:t xml:space="preserve"> Total TRC Benefits equals the sum of Total Lifetime Energy Benefits and Total Lifetime Capacity Benefits</w:t>
            </w:r>
            <w:r w:rsidR="00076CAE" w:rsidRPr="00B75B77">
              <w:rPr>
                <w:rFonts w:ascii="Calibri" w:eastAsia="Times New Roman" w:hAnsi="Calibri"/>
                <w:color w:val="000000"/>
                <w:sz w:val="18"/>
                <w:szCs w:val="18"/>
              </w:rPr>
              <w:t xml:space="preserve"> b</w:t>
            </w:r>
            <w:r w:rsidRPr="00B75B77">
              <w:rPr>
                <w:rFonts w:ascii="Calibri" w:eastAsia="Times New Roman" w:hAnsi="Calibri"/>
                <w:color w:val="000000"/>
                <w:sz w:val="18"/>
                <w:szCs w:val="18"/>
              </w:rPr>
              <w:t>ased upon verified gross kWh and kW savings. Benefits include avoided supply costs, including the reduction in costs of electric energy, generation, transmission, and distribution capacity, and natural gas valued at marginal cost for periods when there is a load reduction. NOTE: Savings carried over from Phase I are not to be included as a part of Total TRC Benefits for Phase II.</w:t>
            </w:r>
            <w:r w:rsidRPr="00B75B77">
              <w:rPr>
                <w:rFonts w:ascii="Calibri" w:eastAsia="Times New Roman" w:hAnsi="Calibri"/>
                <w:color w:val="000000"/>
                <w:sz w:val="18"/>
                <w:szCs w:val="18"/>
              </w:rPr>
              <w:br/>
            </w:r>
            <w:r w:rsidRPr="00B75B77">
              <w:rPr>
                <w:rFonts w:ascii="Calibri" w:eastAsia="Times New Roman" w:hAnsi="Calibri"/>
                <w:color w:val="000000"/>
                <w:sz w:val="18"/>
                <w:szCs w:val="18"/>
                <w:vertAlign w:val="superscript"/>
              </w:rPr>
              <w:t>[5]</w:t>
            </w:r>
            <w:r w:rsidRPr="00B75B77">
              <w:rPr>
                <w:rFonts w:ascii="Calibri" w:eastAsia="Times New Roman" w:hAnsi="Calibri"/>
                <w:color w:val="000000"/>
                <w:sz w:val="18"/>
                <w:szCs w:val="18"/>
              </w:rPr>
              <w:t xml:space="preserve"> TRC Ratio equals Total NPV TRC Benefits divided by Total NPV TRC Costs.</w:t>
            </w:r>
            <w:r w:rsidRPr="00B75B77">
              <w:rPr>
                <w:rFonts w:ascii="Calibri" w:eastAsia="Times New Roman" w:hAnsi="Calibri"/>
                <w:color w:val="000000"/>
                <w:sz w:val="18"/>
                <w:szCs w:val="18"/>
              </w:rPr>
              <w:br/>
            </w:r>
            <w:r w:rsidRPr="00B75B77">
              <w:rPr>
                <w:rFonts w:ascii="Calibri" w:eastAsia="Times New Roman" w:hAnsi="Calibri"/>
                <w:color w:val="000000"/>
                <w:sz w:val="8"/>
                <w:szCs w:val="8"/>
              </w:rPr>
              <w:br/>
            </w:r>
            <w:r w:rsidRPr="00B75B77">
              <w:rPr>
                <w:rFonts w:ascii="Calibri" w:eastAsia="Times New Roman" w:hAnsi="Calibri"/>
                <w:iCs/>
                <w:color w:val="000000"/>
                <w:sz w:val="18"/>
                <w:szCs w:val="18"/>
              </w:rPr>
              <w:t xml:space="preserve">Values in tables may not reconcile exactly with </w:t>
            </w:r>
            <w:r w:rsidR="00076CAE" w:rsidRPr="00B75B77">
              <w:rPr>
                <w:rFonts w:ascii="Calibri" w:eastAsia="Times New Roman" w:hAnsi="Calibri"/>
                <w:iCs/>
                <w:color w:val="000000"/>
                <w:sz w:val="18"/>
                <w:szCs w:val="18"/>
              </w:rPr>
              <w:t xml:space="preserve">the </w:t>
            </w:r>
            <w:r w:rsidRPr="00B75B77">
              <w:rPr>
                <w:rFonts w:ascii="Calibri" w:eastAsia="Times New Roman" w:hAnsi="Calibri"/>
                <w:iCs/>
                <w:color w:val="000000"/>
                <w:sz w:val="18"/>
                <w:szCs w:val="18"/>
              </w:rPr>
              <w:t>sum of more detailed level results or previously reported results due to rounding.</w:t>
            </w:r>
          </w:p>
        </w:tc>
      </w:tr>
    </w:tbl>
    <w:p w:rsidR="00893676" w:rsidRPr="00B75B77" w:rsidRDefault="00893676" w:rsidP="00F61038">
      <w:pPr>
        <w:pStyle w:val="Source"/>
        <w:keepNext/>
      </w:pPr>
      <w:r w:rsidRPr="00B75B77">
        <w:t xml:space="preserve">Source: Navigant analysis </w:t>
      </w:r>
    </w:p>
    <w:p w:rsidR="00893676" w:rsidRPr="00B75B77" w:rsidRDefault="00893676" w:rsidP="00751A38">
      <w:pPr>
        <w:rPr>
          <w14:shadow w14:blurRad="50800" w14:dist="38100" w14:dir="2700000" w14:sx="100000" w14:sy="100000" w14:kx="0" w14:ky="0" w14:algn="tl">
            <w14:srgbClr w14:val="000000">
              <w14:alpha w14:val="60000"/>
            </w14:srgbClr>
          </w14:shadow>
        </w:rPr>
      </w:pPr>
    </w:p>
    <w:p w:rsidR="00893676" w:rsidRPr="00B75B77" w:rsidRDefault="00893676" w:rsidP="0009500C"/>
    <w:p w:rsidR="0009500C" w:rsidRPr="00B75B77" w:rsidRDefault="0009500C" w:rsidP="00057A2B">
      <w:pPr>
        <w:pStyle w:val="Heading1"/>
        <w:sectPr w:rsidR="0009500C" w:rsidRPr="00B75B77" w:rsidSect="00B5438D">
          <w:pgSz w:w="12240" w:h="15840" w:code="1"/>
          <w:pgMar w:top="1170" w:right="1440" w:bottom="1260" w:left="1440" w:header="576" w:footer="475" w:gutter="0"/>
          <w:cols w:space="720"/>
          <w:docGrid w:linePitch="360"/>
        </w:sectPr>
      </w:pPr>
    </w:p>
    <w:p w:rsidR="00C93F8E" w:rsidRPr="00B75B77" w:rsidRDefault="00C93F8E" w:rsidP="00D12857">
      <w:pPr>
        <w:pStyle w:val="Heading1"/>
      </w:pPr>
      <w:bookmarkStart w:id="566" w:name="_Toc466413357"/>
      <w:r w:rsidRPr="00B75B77">
        <w:lastRenderedPageBreak/>
        <w:t>Low</w:t>
      </w:r>
      <w:r w:rsidR="007A3CB2" w:rsidRPr="00B75B77">
        <w:t>-</w:t>
      </w:r>
      <w:r w:rsidRPr="00B75B77">
        <w:t>Income Energy Efficiency Program</w:t>
      </w:r>
      <w:bookmarkEnd w:id="566"/>
    </w:p>
    <w:p w:rsidR="00C93F8E" w:rsidRPr="00B75B77" w:rsidRDefault="00C93F8E" w:rsidP="00BB039B">
      <w:pPr>
        <w:pStyle w:val="NormalSpacer"/>
      </w:pPr>
      <w:r w:rsidRPr="00B75B77">
        <w:t>PECO’s Low</w:t>
      </w:r>
      <w:r w:rsidR="007A3CB2" w:rsidRPr="00B75B77">
        <w:t>-</w:t>
      </w:r>
      <w:r w:rsidRPr="00B75B77">
        <w:t>Income Energy Efficiency Program (LEEP) serves income-eligible customers with a variety of initiatives and measures intended to reduce electricity costs. The LEEP program overcomes first</w:t>
      </w:r>
      <w:r w:rsidR="007D34DB" w:rsidRPr="00B75B77">
        <w:t>-</w:t>
      </w:r>
      <w:r w:rsidRPr="00B75B77">
        <w:t xml:space="preserve">cost barriers to installing energy efficiency measures with free technical service and measure installation. </w:t>
      </w:r>
    </w:p>
    <w:p w:rsidR="00C93F8E" w:rsidRPr="00B75B77" w:rsidRDefault="00C93F8E" w:rsidP="00BB039B">
      <w:pPr>
        <w:pStyle w:val="NormalSpacer"/>
      </w:pPr>
    </w:p>
    <w:p w:rsidR="00C93F8E" w:rsidRPr="00B75B77" w:rsidRDefault="00C93F8E" w:rsidP="00BB039B">
      <w:pPr>
        <w:pStyle w:val="NormalSpacer"/>
      </w:pPr>
      <w:r w:rsidRPr="00B75B77">
        <w:t>The LEEP program is delivered through four distinct components, each targeted to meet the different energy efficiency needs of individual households. While shell and HVAC measures may be provided through the program, most LEEP participants depend on natural gas as their heating fuel, limiting available measure</w:t>
      </w:r>
      <w:r w:rsidR="007D34DB" w:rsidRPr="00B75B77">
        <w:t>s</w:t>
      </w:r>
      <w:r w:rsidRPr="00B75B77">
        <w:t xml:space="preserve"> for most customers to lighting, refrigerators, and water conservation devices. The target markets of individual LEEP </w:t>
      </w:r>
      <w:r w:rsidR="007D34DB" w:rsidRPr="00B75B77">
        <w:t>C</w:t>
      </w:r>
      <w:r w:rsidRPr="00B75B77">
        <w:t xml:space="preserve">omponents overlap, as described in </w:t>
      </w:r>
      <w:r w:rsidR="00D42D7A" w:rsidRPr="00B75B77">
        <w:fldChar w:fldCharType="begin"/>
      </w:r>
      <w:r w:rsidR="00D42D7A" w:rsidRPr="00B75B77">
        <w:instrText xml:space="preserve"> REF _Ref464135874 \h </w:instrText>
      </w:r>
      <w:r w:rsidR="002540CA" w:rsidRPr="00B75B77">
        <w:instrText xml:space="preserve"> \* MERGEFORMAT </w:instrText>
      </w:r>
      <w:r w:rsidR="00D42D7A" w:rsidRPr="00B75B77">
        <w:fldChar w:fldCharType="separate"/>
      </w:r>
      <w:r w:rsidR="0004016D" w:rsidRPr="00B75B77">
        <w:t xml:space="preserve">Table </w:t>
      </w:r>
      <w:r w:rsidR="0004016D">
        <w:rPr>
          <w:noProof/>
        </w:rPr>
        <w:t>8</w:t>
      </w:r>
      <w:r w:rsidR="0004016D" w:rsidRPr="00B75B77">
        <w:rPr>
          <w:noProof/>
        </w:rPr>
        <w:noBreakHyphen/>
      </w:r>
      <w:r w:rsidR="0004016D">
        <w:rPr>
          <w:noProof/>
        </w:rPr>
        <w:t>1</w:t>
      </w:r>
      <w:r w:rsidR="00D42D7A" w:rsidRPr="00B75B77">
        <w:fldChar w:fldCharType="end"/>
      </w:r>
      <w:r w:rsidR="00D42D7A" w:rsidRPr="00B75B77">
        <w:t xml:space="preserve"> </w:t>
      </w:r>
      <w:r w:rsidRPr="00B75B77">
        <w:t>and in the text below. All component services are offered at no charge to eligible customers.</w:t>
      </w:r>
    </w:p>
    <w:p w:rsidR="00D42D7A" w:rsidRPr="00B75B77" w:rsidRDefault="00D42D7A" w:rsidP="00D42D7A">
      <w:bookmarkStart w:id="567" w:name="_Ref463872509"/>
    </w:p>
    <w:p w:rsidR="00C93F8E" w:rsidRPr="00B75B77" w:rsidRDefault="00D42D7A" w:rsidP="00D42D7A">
      <w:pPr>
        <w:pStyle w:val="Caption"/>
        <w:rPr>
          <w:rStyle w:val="CaptionChar1"/>
        </w:rPr>
      </w:pPr>
      <w:bookmarkStart w:id="568" w:name="_Ref464135874"/>
      <w:bookmarkStart w:id="569" w:name="_Toc466413565"/>
      <w:r w:rsidRPr="00B75B77">
        <w:t xml:space="preserve">Table </w:t>
      </w:r>
      <w:r w:rsidR="00237810">
        <w:fldChar w:fldCharType="begin"/>
      </w:r>
      <w:r w:rsidR="00237810">
        <w:instrText xml:space="preserve"> STYLEREF 1 \s </w:instrText>
      </w:r>
      <w:r w:rsidR="00237810">
        <w:fldChar w:fldCharType="separate"/>
      </w:r>
      <w:r w:rsidR="0004016D">
        <w:rPr>
          <w:noProof/>
        </w:rPr>
        <w:t>8</w:t>
      </w:r>
      <w:r w:rsidR="00237810">
        <w:rPr>
          <w:noProof/>
        </w:rPr>
        <w:fldChar w:fldCharType="end"/>
      </w:r>
      <w:r w:rsidR="00F1144C" w:rsidRPr="00B75B77">
        <w:noBreakHyphen/>
      </w:r>
      <w:r w:rsidR="00237810">
        <w:fldChar w:fldCharType="begin"/>
      </w:r>
      <w:r w:rsidR="00237810">
        <w:instrText xml:space="preserve"> SEQ Table \* ARABIC \s 1 </w:instrText>
      </w:r>
      <w:r w:rsidR="00237810">
        <w:fldChar w:fldCharType="separate"/>
      </w:r>
      <w:r w:rsidR="0004016D">
        <w:rPr>
          <w:noProof/>
        </w:rPr>
        <w:t>1</w:t>
      </w:r>
      <w:r w:rsidR="00237810">
        <w:rPr>
          <w:noProof/>
        </w:rPr>
        <w:fldChar w:fldCharType="end"/>
      </w:r>
      <w:bookmarkEnd w:id="568"/>
      <w:r w:rsidRPr="00B75B77">
        <w:t xml:space="preserve">: </w:t>
      </w:r>
      <w:r w:rsidR="000C1E59" w:rsidRPr="00B75B77">
        <w:t>Low-</w:t>
      </w:r>
      <w:r w:rsidR="000A5BE2" w:rsidRPr="00B75B77">
        <w:t xml:space="preserve">Income Energy Efficiency Program </w:t>
      </w:r>
      <w:r w:rsidRPr="00B75B77">
        <w:t>Components</w:t>
      </w:r>
      <w:bookmarkEnd w:id="567"/>
      <w:bookmarkEnd w:id="569"/>
    </w:p>
    <w:tbl>
      <w:tblPr>
        <w:tblStyle w:val="PECOTeal"/>
        <w:tblW w:w="9668" w:type="dxa"/>
        <w:tblLook w:val="02A0" w:firstRow="1" w:lastRow="0" w:firstColumn="1" w:lastColumn="0" w:noHBand="1" w:noVBand="0"/>
      </w:tblPr>
      <w:tblGrid>
        <w:gridCol w:w="1172"/>
        <w:gridCol w:w="4896"/>
        <w:gridCol w:w="3600"/>
      </w:tblGrid>
      <w:tr w:rsidR="00C93F8E" w:rsidRPr="00B75B77" w:rsidTr="00451FB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2" w:type="dxa"/>
          </w:tcPr>
          <w:p w:rsidR="00C93F8E" w:rsidRPr="00B75B77" w:rsidRDefault="00C93F8E" w:rsidP="00BB039B">
            <w:pPr>
              <w:ind w:left="-118" w:right="-68"/>
              <w:jc w:val="center"/>
              <w:rPr>
                <w:szCs w:val="18"/>
              </w:rPr>
            </w:pPr>
            <w:r w:rsidRPr="00B75B77">
              <w:rPr>
                <w:szCs w:val="18"/>
              </w:rPr>
              <w:t>Component</w:t>
            </w:r>
          </w:p>
        </w:tc>
        <w:tc>
          <w:tcPr>
            <w:cnfStyle w:val="000010000000" w:firstRow="0" w:lastRow="0" w:firstColumn="0" w:lastColumn="0" w:oddVBand="1" w:evenVBand="0" w:oddHBand="0" w:evenHBand="0" w:firstRowFirstColumn="0" w:firstRowLastColumn="0" w:lastRowFirstColumn="0" w:lastRowLastColumn="0"/>
            <w:tcW w:w="4896" w:type="dxa"/>
          </w:tcPr>
          <w:p w:rsidR="00C93F8E" w:rsidRPr="00B75B77" w:rsidRDefault="00C93F8E" w:rsidP="00AD2321">
            <w:pPr>
              <w:jc w:val="center"/>
              <w:rPr>
                <w:szCs w:val="18"/>
              </w:rPr>
            </w:pPr>
            <w:r w:rsidRPr="00B75B77">
              <w:rPr>
                <w:szCs w:val="18"/>
              </w:rPr>
              <w:t>Target Market</w:t>
            </w:r>
            <w:r w:rsidRPr="00B75B77">
              <w:rPr>
                <w:rStyle w:val="FootnoteReference"/>
                <w:szCs w:val="18"/>
              </w:rPr>
              <w:footnoteReference w:id="44"/>
            </w:r>
          </w:p>
        </w:tc>
        <w:tc>
          <w:tcPr>
            <w:cnfStyle w:val="000001000000" w:firstRow="0" w:lastRow="0" w:firstColumn="0" w:lastColumn="0" w:oddVBand="0" w:evenVBand="1" w:oddHBand="0" w:evenHBand="0" w:firstRowFirstColumn="0" w:firstRowLastColumn="0" w:lastRowFirstColumn="0" w:lastRowLastColumn="0"/>
            <w:tcW w:w="3600" w:type="dxa"/>
          </w:tcPr>
          <w:p w:rsidR="00C93F8E" w:rsidRPr="00B75B77" w:rsidRDefault="00C93F8E" w:rsidP="00AD2321">
            <w:pPr>
              <w:jc w:val="center"/>
              <w:rPr>
                <w:szCs w:val="18"/>
              </w:rPr>
            </w:pPr>
            <w:r w:rsidRPr="00B75B77">
              <w:rPr>
                <w:szCs w:val="18"/>
              </w:rPr>
              <w:t>Measures</w:t>
            </w:r>
          </w:p>
        </w:tc>
      </w:tr>
      <w:tr w:rsidR="00C93F8E" w:rsidRPr="00B75B77" w:rsidTr="00451FB1">
        <w:trPr>
          <w:trHeight w:val="288"/>
        </w:trPr>
        <w:tc>
          <w:tcPr>
            <w:cnfStyle w:val="001000000000" w:firstRow="0" w:lastRow="0" w:firstColumn="1" w:lastColumn="0" w:oddVBand="0" w:evenVBand="0" w:oddHBand="0" w:evenHBand="0" w:firstRowFirstColumn="0" w:firstRowLastColumn="0" w:lastRowFirstColumn="0" w:lastRowLastColumn="0"/>
            <w:tcW w:w="1172" w:type="dxa"/>
            <w:shd w:val="clear" w:color="auto" w:fill="D2EAF1"/>
          </w:tcPr>
          <w:p w:rsidR="00C93F8E" w:rsidRPr="00B75B77" w:rsidRDefault="00C93F8E" w:rsidP="00BB039B">
            <w:pPr>
              <w:ind w:left="-118" w:right="-68"/>
              <w:jc w:val="center"/>
              <w:rPr>
                <w:b w:val="0"/>
                <w:szCs w:val="18"/>
              </w:rPr>
            </w:pPr>
            <w:r w:rsidRPr="00B75B77">
              <w:rPr>
                <w:b w:val="0"/>
                <w:szCs w:val="18"/>
              </w:rPr>
              <w:t>1</w:t>
            </w:r>
          </w:p>
        </w:tc>
        <w:tc>
          <w:tcPr>
            <w:cnfStyle w:val="000010000000" w:firstRow="0" w:lastRow="0" w:firstColumn="0" w:lastColumn="0" w:oddVBand="1" w:evenVBand="0" w:oddHBand="0" w:evenHBand="0" w:firstRowFirstColumn="0" w:firstRowLastColumn="0" w:lastRowFirstColumn="0" w:lastRowLastColumn="0"/>
            <w:tcW w:w="4896" w:type="dxa"/>
            <w:shd w:val="clear" w:color="auto" w:fill="D2EAF1"/>
          </w:tcPr>
          <w:p w:rsidR="00C93F8E" w:rsidRPr="00B75B77" w:rsidRDefault="00C93F8E" w:rsidP="009E08FB">
            <w:pPr>
              <w:pStyle w:val="ListParagraph"/>
              <w:numPr>
                <w:ilvl w:val="0"/>
                <w:numId w:val="76"/>
              </w:numPr>
              <w:ind w:left="330" w:hanging="270"/>
              <w:jc w:val="left"/>
              <w:rPr>
                <w:szCs w:val="18"/>
              </w:rPr>
            </w:pPr>
            <w:r w:rsidRPr="00B75B77">
              <w:rPr>
                <w:szCs w:val="18"/>
              </w:rPr>
              <w:t>Household income at or below 150% of the federal poverty level</w:t>
            </w:r>
          </w:p>
          <w:p w:rsidR="00C93F8E" w:rsidRPr="00B75B77" w:rsidRDefault="00C93F8E" w:rsidP="009E08FB">
            <w:pPr>
              <w:pStyle w:val="ListParagraph"/>
              <w:numPr>
                <w:ilvl w:val="0"/>
                <w:numId w:val="76"/>
              </w:numPr>
              <w:ind w:left="330" w:hanging="270"/>
              <w:jc w:val="left"/>
              <w:rPr>
                <w:szCs w:val="18"/>
              </w:rPr>
            </w:pPr>
            <w:r w:rsidRPr="00B75B77">
              <w:rPr>
                <w:szCs w:val="18"/>
              </w:rPr>
              <w:t>Household usage exceeds 600 kWh per month for electric baseload (non-electric heat) customers</w:t>
            </w:r>
          </w:p>
          <w:p w:rsidR="00C93F8E" w:rsidRPr="00B75B77" w:rsidRDefault="00C93F8E" w:rsidP="009E08FB">
            <w:pPr>
              <w:pStyle w:val="ListParagraph"/>
              <w:numPr>
                <w:ilvl w:val="0"/>
                <w:numId w:val="76"/>
              </w:numPr>
              <w:ind w:left="330" w:hanging="270"/>
              <w:jc w:val="left"/>
              <w:rPr>
                <w:szCs w:val="18"/>
              </w:rPr>
            </w:pPr>
            <w:r w:rsidRPr="00B75B77">
              <w:rPr>
                <w:szCs w:val="18"/>
              </w:rPr>
              <w:t>Household usage exceeds 500 kWh per month for Customer Assistance Program (CAP) rate customers</w:t>
            </w:r>
          </w:p>
          <w:p w:rsidR="00C93F8E" w:rsidRPr="00B75B77" w:rsidRDefault="00C93F8E" w:rsidP="009E08FB">
            <w:pPr>
              <w:pStyle w:val="ListParagraph"/>
              <w:numPr>
                <w:ilvl w:val="0"/>
                <w:numId w:val="76"/>
              </w:numPr>
              <w:ind w:left="330" w:hanging="270"/>
              <w:jc w:val="left"/>
              <w:rPr>
                <w:szCs w:val="18"/>
              </w:rPr>
            </w:pPr>
            <w:r w:rsidRPr="00B75B77">
              <w:rPr>
                <w:szCs w:val="18"/>
              </w:rPr>
              <w:t>Household usage exceeds 1,400 kWh per month for electric heating customers</w:t>
            </w:r>
          </w:p>
        </w:tc>
        <w:tc>
          <w:tcPr>
            <w:cnfStyle w:val="000001000000" w:firstRow="0" w:lastRow="0" w:firstColumn="0" w:lastColumn="0" w:oddVBand="0" w:evenVBand="1" w:oddHBand="0" w:evenHBand="0" w:firstRowFirstColumn="0" w:firstRowLastColumn="0" w:lastRowFirstColumn="0" w:lastRowLastColumn="0"/>
            <w:tcW w:w="3600" w:type="dxa"/>
            <w:shd w:val="clear" w:color="auto" w:fill="D2EAF1"/>
          </w:tcPr>
          <w:p w:rsidR="00C93F8E" w:rsidRPr="00B75B77" w:rsidRDefault="00C93F8E" w:rsidP="009E08FB">
            <w:pPr>
              <w:pStyle w:val="ListParagraph"/>
              <w:numPr>
                <w:ilvl w:val="0"/>
                <w:numId w:val="76"/>
              </w:numPr>
              <w:ind w:left="384" w:hanging="270"/>
              <w:jc w:val="left"/>
              <w:rPr>
                <w:szCs w:val="18"/>
              </w:rPr>
            </w:pPr>
            <w:r w:rsidRPr="00B75B77">
              <w:rPr>
                <w:szCs w:val="18"/>
              </w:rPr>
              <w:t>Energy audits</w:t>
            </w:r>
          </w:p>
          <w:p w:rsidR="00C93F8E" w:rsidRPr="00B75B77" w:rsidRDefault="00C93F8E" w:rsidP="009E08FB">
            <w:pPr>
              <w:pStyle w:val="ListParagraph"/>
              <w:numPr>
                <w:ilvl w:val="0"/>
                <w:numId w:val="76"/>
              </w:numPr>
              <w:ind w:left="384" w:hanging="270"/>
              <w:jc w:val="left"/>
              <w:rPr>
                <w:szCs w:val="18"/>
              </w:rPr>
            </w:pPr>
            <w:r w:rsidRPr="00B75B77">
              <w:rPr>
                <w:szCs w:val="18"/>
              </w:rPr>
              <w:t>Direct installation of efficient lighting, water conservation, and refrigerators</w:t>
            </w:r>
          </w:p>
          <w:p w:rsidR="00C93F8E" w:rsidRPr="00B75B77" w:rsidRDefault="00C93F8E" w:rsidP="009E08FB">
            <w:pPr>
              <w:pStyle w:val="ListParagraph"/>
              <w:numPr>
                <w:ilvl w:val="0"/>
                <w:numId w:val="76"/>
              </w:numPr>
              <w:ind w:left="384" w:hanging="270"/>
              <w:jc w:val="left"/>
              <w:rPr>
                <w:szCs w:val="18"/>
              </w:rPr>
            </w:pPr>
            <w:r w:rsidRPr="00B75B77">
              <w:rPr>
                <w:szCs w:val="18"/>
              </w:rPr>
              <w:t>Electric heat customers eligible for thermal shell and HVAC measures, such as heat pumps</w:t>
            </w:r>
          </w:p>
        </w:tc>
      </w:tr>
      <w:tr w:rsidR="00C93F8E" w:rsidRPr="00B75B77" w:rsidTr="00451FB1">
        <w:trPr>
          <w:trHeight w:val="288"/>
        </w:trPr>
        <w:tc>
          <w:tcPr>
            <w:cnfStyle w:val="001000000000" w:firstRow="0" w:lastRow="0" w:firstColumn="1" w:lastColumn="0" w:oddVBand="0" w:evenVBand="0" w:oddHBand="0" w:evenHBand="0" w:firstRowFirstColumn="0" w:firstRowLastColumn="0" w:lastRowFirstColumn="0" w:lastRowLastColumn="0"/>
            <w:tcW w:w="1172" w:type="dxa"/>
            <w:shd w:val="clear" w:color="auto" w:fill="auto"/>
          </w:tcPr>
          <w:p w:rsidR="00C93F8E" w:rsidRPr="00B75B77" w:rsidRDefault="00C93F8E" w:rsidP="00BB039B">
            <w:pPr>
              <w:ind w:left="-118" w:right="-68"/>
              <w:jc w:val="center"/>
              <w:rPr>
                <w:b w:val="0"/>
                <w:szCs w:val="18"/>
              </w:rPr>
            </w:pPr>
            <w:r w:rsidRPr="00B75B77">
              <w:rPr>
                <w:b w:val="0"/>
                <w:szCs w:val="18"/>
              </w:rPr>
              <w:t>2</w:t>
            </w:r>
          </w:p>
        </w:tc>
        <w:tc>
          <w:tcPr>
            <w:cnfStyle w:val="000010000000" w:firstRow="0" w:lastRow="0" w:firstColumn="0" w:lastColumn="0" w:oddVBand="1" w:evenVBand="0" w:oddHBand="0" w:evenHBand="0" w:firstRowFirstColumn="0" w:firstRowLastColumn="0" w:lastRowFirstColumn="0" w:lastRowLastColumn="0"/>
            <w:tcW w:w="4896" w:type="dxa"/>
            <w:shd w:val="clear" w:color="auto" w:fill="auto"/>
          </w:tcPr>
          <w:p w:rsidR="00C93F8E" w:rsidRPr="00B75B77" w:rsidRDefault="007C7440" w:rsidP="009E08FB">
            <w:pPr>
              <w:pStyle w:val="ListParagraph"/>
              <w:numPr>
                <w:ilvl w:val="0"/>
                <w:numId w:val="76"/>
              </w:numPr>
              <w:ind w:left="330" w:hanging="270"/>
              <w:jc w:val="left"/>
              <w:rPr>
                <w:szCs w:val="18"/>
              </w:rPr>
            </w:pPr>
            <w:proofErr w:type="gramStart"/>
            <w:r w:rsidRPr="00B75B77">
              <w:rPr>
                <w:szCs w:val="18"/>
              </w:rPr>
              <w:t>Customers served by LIURP with h</w:t>
            </w:r>
            <w:r w:rsidR="00C93F8E" w:rsidRPr="00B75B77">
              <w:rPr>
                <w:szCs w:val="18"/>
              </w:rPr>
              <w:t xml:space="preserve">ousehold income at or below </w:t>
            </w:r>
            <w:r w:rsidRPr="00B75B77">
              <w:rPr>
                <w:szCs w:val="18"/>
              </w:rPr>
              <w:t>150</w:t>
            </w:r>
            <w:r w:rsidR="00C93F8E" w:rsidRPr="00B75B77">
              <w:rPr>
                <w:szCs w:val="18"/>
              </w:rPr>
              <w:t>% of the federal poverty level</w:t>
            </w:r>
            <w:r w:rsidRPr="00B75B77">
              <w:rPr>
                <w:szCs w:val="18"/>
              </w:rPr>
              <w:t>, although the program accepts some customers with incomes ranging from 151% to 200% of the federal poverty level per PECO’s</w:t>
            </w:r>
            <w:proofErr w:type="gramEnd"/>
            <w:r w:rsidRPr="00B75B77">
              <w:rPr>
                <w:szCs w:val="18"/>
              </w:rPr>
              <w:t xml:space="preserve"> approved EE&amp;C Plan</w:t>
            </w:r>
            <w:r w:rsidR="003472A2" w:rsidRPr="00B75B77">
              <w:rPr>
                <w:szCs w:val="18"/>
              </w:rPr>
              <w:t>. Only savings from participating households below 150% of federal poverty level are applied towards PECO’s low</w:t>
            </w:r>
            <w:r w:rsidR="00BC4676" w:rsidRPr="00B75B77">
              <w:rPr>
                <w:szCs w:val="18"/>
              </w:rPr>
              <w:t>-</w:t>
            </w:r>
            <w:r w:rsidR="003472A2" w:rsidRPr="00B75B77">
              <w:rPr>
                <w:szCs w:val="18"/>
              </w:rPr>
              <w:t xml:space="preserve">income </w:t>
            </w:r>
            <w:r w:rsidR="00BC4676" w:rsidRPr="00B75B77">
              <w:rPr>
                <w:szCs w:val="18"/>
              </w:rPr>
              <w:t>carve out</w:t>
            </w:r>
            <w:r w:rsidR="003472A2" w:rsidRPr="00B75B77">
              <w:rPr>
                <w:szCs w:val="18"/>
              </w:rPr>
              <w:t>.</w:t>
            </w:r>
          </w:p>
          <w:p w:rsidR="00C93F8E" w:rsidRPr="00B75B77" w:rsidRDefault="00C93F8E" w:rsidP="009E08FB">
            <w:pPr>
              <w:pStyle w:val="ListParagraph"/>
              <w:numPr>
                <w:ilvl w:val="0"/>
                <w:numId w:val="76"/>
              </w:numPr>
              <w:ind w:left="330" w:hanging="270"/>
              <w:jc w:val="left"/>
              <w:rPr>
                <w:szCs w:val="18"/>
              </w:rPr>
            </w:pPr>
            <w:r w:rsidRPr="00B75B77">
              <w:rPr>
                <w:szCs w:val="18"/>
              </w:rPr>
              <w:t>Joint customers of both PECO and the Low</w:t>
            </w:r>
            <w:r w:rsidR="007A3CB2" w:rsidRPr="00B75B77">
              <w:rPr>
                <w:szCs w:val="18"/>
              </w:rPr>
              <w:t>-</w:t>
            </w:r>
            <w:r w:rsidRPr="00B75B77">
              <w:rPr>
                <w:szCs w:val="18"/>
              </w:rPr>
              <w:t>Income Energy Reduction Program (LIURP)</w:t>
            </w:r>
          </w:p>
        </w:tc>
        <w:tc>
          <w:tcPr>
            <w:cnfStyle w:val="000001000000" w:firstRow="0" w:lastRow="0" w:firstColumn="0" w:lastColumn="0" w:oddVBand="0" w:evenVBand="1" w:oddHBand="0" w:evenHBand="0" w:firstRowFirstColumn="0" w:firstRowLastColumn="0" w:lastRowFirstColumn="0" w:lastRowLastColumn="0"/>
            <w:tcW w:w="3600" w:type="dxa"/>
            <w:shd w:val="clear" w:color="auto" w:fill="auto"/>
          </w:tcPr>
          <w:p w:rsidR="00C93F8E" w:rsidRPr="00B75B77" w:rsidRDefault="00C93F8E" w:rsidP="009E08FB">
            <w:pPr>
              <w:pStyle w:val="ListParagraph"/>
              <w:numPr>
                <w:ilvl w:val="0"/>
                <w:numId w:val="76"/>
              </w:numPr>
              <w:ind w:left="384" w:hanging="270"/>
              <w:jc w:val="left"/>
              <w:rPr>
                <w:szCs w:val="18"/>
              </w:rPr>
            </w:pPr>
            <w:r w:rsidRPr="00B75B77">
              <w:rPr>
                <w:szCs w:val="18"/>
              </w:rPr>
              <w:t>LEEP supports installation of additional CFL bulbs, exceeding installation LIURP limits</w:t>
            </w:r>
          </w:p>
        </w:tc>
      </w:tr>
      <w:tr w:rsidR="00C93F8E" w:rsidRPr="00B75B77" w:rsidTr="00451FB1">
        <w:trPr>
          <w:trHeight w:val="288"/>
        </w:trPr>
        <w:tc>
          <w:tcPr>
            <w:cnfStyle w:val="001000000000" w:firstRow="0" w:lastRow="0" w:firstColumn="1" w:lastColumn="0" w:oddVBand="0" w:evenVBand="0" w:oddHBand="0" w:evenHBand="0" w:firstRowFirstColumn="0" w:firstRowLastColumn="0" w:lastRowFirstColumn="0" w:lastRowLastColumn="0"/>
            <w:tcW w:w="1172" w:type="dxa"/>
            <w:shd w:val="clear" w:color="auto" w:fill="D2EAF1"/>
          </w:tcPr>
          <w:p w:rsidR="00C93F8E" w:rsidRPr="00B75B77" w:rsidRDefault="00C93F8E" w:rsidP="00BB039B">
            <w:pPr>
              <w:ind w:left="-118" w:right="-68"/>
              <w:jc w:val="center"/>
              <w:rPr>
                <w:b w:val="0"/>
                <w:szCs w:val="18"/>
              </w:rPr>
            </w:pPr>
            <w:r w:rsidRPr="00B75B77">
              <w:rPr>
                <w:b w:val="0"/>
                <w:szCs w:val="18"/>
              </w:rPr>
              <w:t>3</w:t>
            </w:r>
          </w:p>
        </w:tc>
        <w:tc>
          <w:tcPr>
            <w:cnfStyle w:val="000010000000" w:firstRow="0" w:lastRow="0" w:firstColumn="0" w:lastColumn="0" w:oddVBand="1" w:evenVBand="0" w:oddHBand="0" w:evenHBand="0" w:firstRowFirstColumn="0" w:firstRowLastColumn="0" w:lastRowFirstColumn="0" w:lastRowLastColumn="0"/>
            <w:tcW w:w="4896" w:type="dxa"/>
            <w:shd w:val="clear" w:color="auto" w:fill="D2EAF1"/>
          </w:tcPr>
          <w:p w:rsidR="00C93F8E" w:rsidRPr="00B75B77" w:rsidRDefault="00C93F8E" w:rsidP="009E08FB">
            <w:pPr>
              <w:pStyle w:val="ListParagraph"/>
              <w:numPr>
                <w:ilvl w:val="0"/>
                <w:numId w:val="76"/>
              </w:numPr>
              <w:ind w:left="330" w:hanging="270"/>
              <w:jc w:val="left"/>
              <w:rPr>
                <w:szCs w:val="18"/>
              </w:rPr>
            </w:pPr>
            <w:r w:rsidRPr="00B75B77">
              <w:rPr>
                <w:szCs w:val="18"/>
              </w:rPr>
              <w:t>Household income at or below 150% of the federal poverty level</w:t>
            </w:r>
          </w:p>
        </w:tc>
        <w:tc>
          <w:tcPr>
            <w:cnfStyle w:val="000001000000" w:firstRow="0" w:lastRow="0" w:firstColumn="0" w:lastColumn="0" w:oddVBand="0" w:evenVBand="1" w:oddHBand="0" w:evenHBand="0" w:firstRowFirstColumn="0" w:firstRowLastColumn="0" w:lastRowFirstColumn="0" w:lastRowLastColumn="0"/>
            <w:tcW w:w="3600" w:type="dxa"/>
            <w:shd w:val="clear" w:color="auto" w:fill="D2EAF1"/>
          </w:tcPr>
          <w:p w:rsidR="00C93F8E" w:rsidRPr="00B75B77" w:rsidRDefault="00C93F8E" w:rsidP="009E08FB">
            <w:pPr>
              <w:pStyle w:val="ListParagraph"/>
              <w:numPr>
                <w:ilvl w:val="0"/>
                <w:numId w:val="76"/>
              </w:numPr>
              <w:ind w:left="384" w:hanging="270"/>
              <w:jc w:val="left"/>
              <w:rPr>
                <w:szCs w:val="18"/>
              </w:rPr>
            </w:pPr>
            <w:r w:rsidRPr="00B75B77">
              <w:rPr>
                <w:szCs w:val="18"/>
              </w:rPr>
              <w:t>CFL bulb distribution through PECO or other community-based program events</w:t>
            </w:r>
          </w:p>
        </w:tc>
      </w:tr>
      <w:tr w:rsidR="00C93F8E" w:rsidRPr="00B75B77" w:rsidTr="00451FB1">
        <w:trPr>
          <w:trHeight w:val="288"/>
        </w:trPr>
        <w:tc>
          <w:tcPr>
            <w:cnfStyle w:val="001000000000" w:firstRow="0" w:lastRow="0" w:firstColumn="1" w:lastColumn="0" w:oddVBand="0" w:evenVBand="0" w:oddHBand="0" w:evenHBand="0" w:firstRowFirstColumn="0" w:firstRowLastColumn="0" w:lastRowFirstColumn="0" w:lastRowLastColumn="0"/>
            <w:tcW w:w="1172" w:type="dxa"/>
            <w:shd w:val="clear" w:color="auto" w:fill="auto"/>
          </w:tcPr>
          <w:p w:rsidR="00C93F8E" w:rsidRPr="00B75B77" w:rsidRDefault="00C93F8E" w:rsidP="00BB039B">
            <w:pPr>
              <w:ind w:left="-118" w:right="-68"/>
              <w:jc w:val="center"/>
              <w:rPr>
                <w:b w:val="0"/>
                <w:szCs w:val="18"/>
              </w:rPr>
            </w:pPr>
            <w:r w:rsidRPr="00B75B77">
              <w:rPr>
                <w:b w:val="0"/>
                <w:szCs w:val="18"/>
              </w:rPr>
              <w:t>4</w:t>
            </w:r>
          </w:p>
        </w:tc>
        <w:tc>
          <w:tcPr>
            <w:cnfStyle w:val="000010000000" w:firstRow="0" w:lastRow="0" w:firstColumn="0" w:lastColumn="0" w:oddVBand="1" w:evenVBand="0" w:oddHBand="0" w:evenHBand="0" w:firstRowFirstColumn="0" w:firstRowLastColumn="0" w:lastRowFirstColumn="0" w:lastRowLastColumn="0"/>
            <w:tcW w:w="4896" w:type="dxa"/>
            <w:shd w:val="clear" w:color="auto" w:fill="auto"/>
          </w:tcPr>
          <w:p w:rsidR="00C93F8E" w:rsidRPr="00B75B77" w:rsidRDefault="00C93F8E" w:rsidP="009E08FB">
            <w:pPr>
              <w:pStyle w:val="ListParagraph"/>
              <w:numPr>
                <w:ilvl w:val="0"/>
                <w:numId w:val="76"/>
              </w:numPr>
              <w:ind w:left="330" w:hanging="270"/>
              <w:jc w:val="left"/>
              <w:rPr>
                <w:szCs w:val="18"/>
              </w:rPr>
            </w:pPr>
            <w:r w:rsidRPr="00B75B77">
              <w:rPr>
                <w:szCs w:val="18"/>
              </w:rPr>
              <w:t>Household income at or below 150% of the federal poverty level</w:t>
            </w:r>
          </w:p>
          <w:p w:rsidR="00C93F8E" w:rsidRPr="00B75B77" w:rsidRDefault="00C93F8E" w:rsidP="009E08FB">
            <w:pPr>
              <w:pStyle w:val="ListParagraph"/>
              <w:numPr>
                <w:ilvl w:val="0"/>
                <w:numId w:val="76"/>
              </w:numPr>
              <w:ind w:left="330" w:hanging="270"/>
              <w:jc w:val="left"/>
              <w:rPr>
                <w:szCs w:val="18"/>
              </w:rPr>
            </w:pPr>
            <w:r w:rsidRPr="00B75B77">
              <w:rPr>
                <w:szCs w:val="18"/>
              </w:rPr>
              <w:t>Customers who may not be eligible for the comprehensive services of Components 1 or 2</w:t>
            </w:r>
          </w:p>
        </w:tc>
        <w:tc>
          <w:tcPr>
            <w:cnfStyle w:val="000001000000" w:firstRow="0" w:lastRow="0" w:firstColumn="0" w:lastColumn="0" w:oddVBand="0" w:evenVBand="1" w:oddHBand="0" w:evenHBand="0" w:firstRowFirstColumn="0" w:firstRowLastColumn="0" w:lastRowFirstColumn="0" w:lastRowLastColumn="0"/>
            <w:tcW w:w="3600" w:type="dxa"/>
            <w:shd w:val="clear" w:color="auto" w:fill="auto"/>
          </w:tcPr>
          <w:p w:rsidR="00C93F8E" w:rsidRPr="00B75B77" w:rsidRDefault="00C93F8E" w:rsidP="009E08FB">
            <w:pPr>
              <w:pStyle w:val="ListParagraph"/>
              <w:numPr>
                <w:ilvl w:val="0"/>
                <w:numId w:val="76"/>
              </w:numPr>
              <w:ind w:left="384" w:hanging="270"/>
              <w:jc w:val="left"/>
              <w:rPr>
                <w:szCs w:val="18"/>
              </w:rPr>
            </w:pPr>
            <w:r w:rsidRPr="00B75B77">
              <w:rPr>
                <w:szCs w:val="18"/>
              </w:rPr>
              <w:t>Refrigerator replacement</w:t>
            </w:r>
          </w:p>
        </w:tc>
      </w:tr>
    </w:tbl>
    <w:p w:rsidR="00C93F8E" w:rsidRPr="00B75B77" w:rsidRDefault="007D34DB" w:rsidP="00451FB1">
      <w:pPr>
        <w:pStyle w:val="Source"/>
        <w:spacing w:after="120"/>
        <w:ind w:left="360" w:firstLine="0"/>
        <w:rPr>
          <w:rStyle w:val="Strong"/>
        </w:rPr>
      </w:pPr>
      <w:r w:rsidRPr="00B75B77">
        <w:rPr>
          <w:rStyle w:val="Strong"/>
          <w:b w:val="0"/>
          <w:bCs w:val="0"/>
        </w:rPr>
        <w:t>Source: Navigant analysis</w:t>
      </w:r>
    </w:p>
    <w:p w:rsidR="00C93F8E" w:rsidRPr="00B75B77" w:rsidRDefault="00C93F8E" w:rsidP="00BB039B">
      <w:pPr>
        <w:pStyle w:val="NormalSpacer"/>
      </w:pPr>
      <w:r w:rsidRPr="00B75B77">
        <w:lastRenderedPageBreak/>
        <w:t xml:space="preserve">Comprehensive home services are provided to customers through Components 1 and 2. While funded separately by PECO and LIURP, they are implemented consistently through CMC Energy Services (CMC), a CSP. CMC implements and markets the program throughout PECO’s service territory. CMC is responsible for hiring and training the energy advisors who performed the in-home energy audits, employing the customer service staff who responded to program inquiries and performed intake interviews, and installing DI and major measures. LEEP provides an </w:t>
      </w:r>
      <w:r w:rsidR="00474215" w:rsidRPr="00B75B77">
        <w:t>onsite</w:t>
      </w:r>
      <w:r w:rsidRPr="00B75B77">
        <w:t xml:space="preserve"> audit to identify efficiency opportunities, educate customers about their current energy use, and inform customers of ways they can reduce their energy use. The program offers all participants DI measures during their audit</w:t>
      </w:r>
      <w:r w:rsidR="00474215" w:rsidRPr="00B75B77">
        <w:t>,</w:t>
      </w:r>
      <w:r w:rsidRPr="00B75B77">
        <w:t xml:space="preserve"> including ENERGY STAR CFL bulbs, low-flow faucet aerators, and low-flow showerheads. Major measures identified fo</w:t>
      </w:r>
      <w:r w:rsidR="00451FB1" w:rsidRPr="00B75B77">
        <w:t xml:space="preserve">r subsequent installation at no </w:t>
      </w:r>
      <w:r w:rsidRPr="00B75B77">
        <w:t>cost include refrigerator replacement, air sealing, attic insulation, wall insulation, ASHP duct sealing, and ASHP maintenance.</w:t>
      </w:r>
    </w:p>
    <w:p w:rsidR="00C93F8E" w:rsidRPr="00B75B77" w:rsidRDefault="00C93F8E" w:rsidP="00BB039B">
      <w:pPr>
        <w:pStyle w:val="NormalSpacer"/>
      </w:pPr>
    </w:p>
    <w:p w:rsidR="00C93F8E" w:rsidRPr="00B75B77" w:rsidRDefault="00C93F8E" w:rsidP="00BB039B">
      <w:pPr>
        <w:pStyle w:val="NormalSpacer"/>
      </w:pPr>
      <w:r w:rsidRPr="00B75B77">
        <w:t xml:space="preserve">PECO partners with community organizations through Component 3 to distribute free CFL light bulbs directly to </w:t>
      </w:r>
      <w:r w:rsidR="007A3CB2" w:rsidRPr="00B75B77">
        <w:t>low-income</w:t>
      </w:r>
      <w:r w:rsidRPr="00B75B77">
        <w:t xml:space="preserve"> households via community</w:t>
      </w:r>
      <w:r w:rsidR="00474215" w:rsidRPr="00B75B77">
        <w:t>-</w:t>
      </w:r>
      <w:r w:rsidRPr="00B75B77">
        <w:t xml:space="preserve">focused events. Component 3 participants are limited to </w:t>
      </w:r>
      <w:r w:rsidR="00474215" w:rsidRPr="00B75B77">
        <w:t xml:space="preserve">eight </w:t>
      </w:r>
      <w:r w:rsidRPr="00B75B77">
        <w:t>CFLs</w:t>
      </w:r>
      <w:r w:rsidR="00474215" w:rsidRPr="00B75B77">
        <w:t xml:space="preserve"> </w:t>
      </w:r>
      <w:r w:rsidRPr="00B75B77">
        <w:t>at no charge. Participants submit contact information and location of installation.</w:t>
      </w:r>
    </w:p>
    <w:p w:rsidR="00C93F8E" w:rsidRPr="00B75B77" w:rsidRDefault="00C93F8E" w:rsidP="00BB039B"/>
    <w:p w:rsidR="00C93F8E" w:rsidRPr="00B75B77" w:rsidRDefault="00C93F8E" w:rsidP="00BB039B">
      <w:r w:rsidRPr="00B75B77">
        <w:t xml:space="preserve">Component 4 replaces old, inefficient refrigerators with new ENERGY STAR models at no charge for customers who </w:t>
      </w:r>
      <w:r w:rsidR="00474215" w:rsidRPr="00B75B77">
        <w:t xml:space="preserve">do not </w:t>
      </w:r>
      <w:r w:rsidRPr="00B75B77">
        <w:t xml:space="preserve">meet the requirements of the comprehensive Components 1 and 2. Removed refrigerators are recycled through an environmentally friendly alternative to reselling an old appliance or taking it to a landfill. </w:t>
      </w:r>
      <w:r w:rsidR="003472A2" w:rsidRPr="00B75B77">
        <w:t>CMC Energy</w:t>
      </w:r>
      <w:r w:rsidR="00940718" w:rsidRPr="00B75B77">
        <w:t xml:space="preserve"> Services</w:t>
      </w:r>
      <w:r w:rsidR="003472A2" w:rsidRPr="00B75B77">
        <w:t xml:space="preserve"> implemented Component 4</w:t>
      </w:r>
      <w:r w:rsidR="00C6645B" w:rsidRPr="00B75B77">
        <w:t xml:space="preserve"> for which PECO </w:t>
      </w:r>
      <w:r w:rsidRPr="00B75B77">
        <w:t>provides participants with a new ENERGY STAR</w:t>
      </w:r>
      <w:r w:rsidR="00474215" w:rsidRPr="00B75B77">
        <w:t>-</w:t>
      </w:r>
      <w:r w:rsidRPr="00B75B77">
        <w:t>labeled appliance</w:t>
      </w:r>
      <w:r w:rsidR="00940718" w:rsidRPr="00B75B77">
        <w:t>,</w:t>
      </w:r>
      <w:r w:rsidRPr="00B75B77">
        <w:t xml:space="preserve"> at no charge.</w:t>
      </w:r>
    </w:p>
    <w:p w:rsidR="00C93F8E" w:rsidRPr="00B75B77" w:rsidRDefault="00C93F8E" w:rsidP="00286B52"/>
    <w:p w:rsidR="00C93F8E" w:rsidRPr="00B75B77" w:rsidRDefault="00C93F8E" w:rsidP="003E6A9B">
      <w:pPr>
        <w:pStyle w:val="Heading2"/>
      </w:pPr>
      <w:bookmarkStart w:id="570" w:name="_Toc466413358"/>
      <w:r w:rsidRPr="00B75B77">
        <w:t>Program Updates</w:t>
      </w:r>
      <w:bookmarkEnd w:id="570"/>
    </w:p>
    <w:p w:rsidR="00C93F8E" w:rsidRPr="00B75B77" w:rsidRDefault="00C93F8E" w:rsidP="00BB039B">
      <w:r w:rsidRPr="00B75B77">
        <w:t>The following changes were made to the LEEP program in PY7:</w:t>
      </w:r>
    </w:p>
    <w:p w:rsidR="00474215" w:rsidRPr="00B75B77" w:rsidRDefault="00474215" w:rsidP="00BB039B"/>
    <w:p w:rsidR="00C93F8E" w:rsidRPr="00B75B77" w:rsidRDefault="00C93F8E" w:rsidP="009E08FB">
      <w:pPr>
        <w:pStyle w:val="ListParagraph"/>
        <w:numPr>
          <w:ilvl w:val="0"/>
          <w:numId w:val="77"/>
        </w:numPr>
        <w:contextualSpacing w:val="0"/>
        <w:rPr>
          <w:color w:val="FF0000"/>
        </w:rPr>
      </w:pPr>
      <w:r w:rsidRPr="00B75B77">
        <w:t>Insulation installation was expanded to floors during program year 7. A recommendation from the PY6 evaluation, CMC is insulating floors along with windows and walls, increasing household comfort and energy savings.</w:t>
      </w:r>
    </w:p>
    <w:p w:rsidR="00C93F8E" w:rsidRPr="00B75B77" w:rsidRDefault="00C93F8E" w:rsidP="009E08FB">
      <w:pPr>
        <w:pStyle w:val="ListParagraph"/>
        <w:numPr>
          <w:ilvl w:val="0"/>
          <w:numId w:val="77"/>
        </w:numPr>
        <w:contextualSpacing w:val="0"/>
        <w:rPr>
          <w:color w:val="FF0000"/>
        </w:rPr>
      </w:pPr>
      <w:r w:rsidRPr="00B75B77">
        <w:t xml:space="preserve">Requirements for replacing refrigerators increased over the last year. In PY7, only refrigerators that are 20 years or older were replaced through LEEP. The impact of this change reduced eligible participants from 45% of PY6 customers to 15% of PY7 customers. </w:t>
      </w:r>
    </w:p>
    <w:p w:rsidR="006D019E" w:rsidRPr="00B75B77" w:rsidRDefault="006D019E" w:rsidP="006D019E">
      <w:pPr>
        <w:pStyle w:val="ListParagraph"/>
        <w:contextualSpacing w:val="0"/>
        <w:rPr>
          <w:color w:val="FF0000"/>
        </w:rPr>
      </w:pPr>
    </w:p>
    <w:p w:rsidR="00C93F8E" w:rsidRPr="00B75B77" w:rsidRDefault="00C93F8E" w:rsidP="0045485C">
      <w:pPr>
        <w:pStyle w:val="Heading3"/>
      </w:pPr>
      <w:bookmarkStart w:id="571" w:name="_Toc464230411"/>
      <w:bookmarkStart w:id="572" w:name="_Toc466413359"/>
      <w:bookmarkEnd w:id="571"/>
      <w:r w:rsidRPr="00B75B77">
        <w:t>Definition of Participant</w:t>
      </w:r>
      <w:bookmarkEnd w:id="572"/>
    </w:p>
    <w:p w:rsidR="00C93F8E" w:rsidRPr="00B75B77" w:rsidRDefault="00C93F8E" w:rsidP="00BB039B">
      <w:r w:rsidRPr="00B75B77">
        <w:t xml:space="preserve">For the purposes of achieving PECO’s 4.5% low-income savings requirement, </w:t>
      </w:r>
      <w:r w:rsidR="00940718" w:rsidRPr="00B75B77">
        <w:t xml:space="preserve">only </w:t>
      </w:r>
      <w:r w:rsidRPr="00B75B77">
        <w:t xml:space="preserve">participants </w:t>
      </w:r>
      <w:r w:rsidR="00BC4676" w:rsidRPr="00B75B77">
        <w:t xml:space="preserve">with income levels up to </w:t>
      </w:r>
      <w:r w:rsidR="00940718" w:rsidRPr="00B75B77">
        <w:t xml:space="preserve">150% of </w:t>
      </w:r>
      <w:r w:rsidR="00BC4676" w:rsidRPr="00B75B77">
        <w:t>the F</w:t>
      </w:r>
      <w:r w:rsidR="00940718" w:rsidRPr="00B75B77">
        <w:t xml:space="preserve">ederal </w:t>
      </w:r>
      <w:r w:rsidR="00BC4676" w:rsidRPr="00B75B77">
        <w:t>P</w:t>
      </w:r>
      <w:r w:rsidR="00940718" w:rsidRPr="00B75B77">
        <w:t xml:space="preserve">overty level as </w:t>
      </w:r>
      <w:r w:rsidRPr="00B75B77">
        <w:t xml:space="preserve">described in </w:t>
      </w:r>
      <w:r w:rsidR="00DD69BC" w:rsidRPr="00B75B77">
        <w:fldChar w:fldCharType="begin"/>
      </w:r>
      <w:r w:rsidR="00DD69BC" w:rsidRPr="00B75B77">
        <w:instrText xml:space="preserve"> REF _Ref464137683 \h </w:instrText>
      </w:r>
      <w:r w:rsidR="00B75B77">
        <w:instrText xml:space="preserve"> \* MERGEFORMAT </w:instrText>
      </w:r>
      <w:r w:rsidR="00DD69BC" w:rsidRPr="00B75B77">
        <w:fldChar w:fldCharType="separate"/>
      </w:r>
      <w:r w:rsidR="0004016D" w:rsidRPr="00B75B77">
        <w:t xml:space="preserve">Table </w:t>
      </w:r>
      <w:r w:rsidR="0004016D">
        <w:rPr>
          <w:noProof/>
        </w:rPr>
        <w:t>8</w:t>
      </w:r>
      <w:r w:rsidR="0004016D" w:rsidRPr="00B75B77">
        <w:rPr>
          <w:noProof/>
        </w:rPr>
        <w:noBreakHyphen/>
      </w:r>
      <w:r w:rsidR="0004016D">
        <w:rPr>
          <w:noProof/>
        </w:rPr>
        <w:t>2</w:t>
      </w:r>
      <w:r w:rsidR="00DD69BC" w:rsidRPr="00B75B77">
        <w:fldChar w:fldCharType="end"/>
      </w:r>
      <w:r w:rsidRPr="00B75B77">
        <w:t xml:space="preserve"> are reported as </w:t>
      </w:r>
      <w:r w:rsidR="007A3CB2" w:rsidRPr="00B75B77">
        <w:t>low-income</w:t>
      </w:r>
      <w:r w:rsidRPr="00B75B77">
        <w:t>. PECO defines a LEEP participant as a unique premise number, which may have multiple measures installed.</w:t>
      </w:r>
    </w:p>
    <w:p w:rsidR="00C93F8E" w:rsidRPr="00B75B77" w:rsidRDefault="00C93F8E" w:rsidP="00286B52"/>
    <w:p w:rsidR="00C93F8E" w:rsidRPr="00B75B77" w:rsidRDefault="00C93F8E" w:rsidP="00BB039B">
      <w:pPr>
        <w:pStyle w:val="Heading2"/>
      </w:pPr>
      <w:bookmarkStart w:id="573" w:name="_Toc466413360"/>
      <w:r w:rsidRPr="00B75B77">
        <w:t>Impact Evaluation Gross Savings</w:t>
      </w:r>
      <w:bookmarkEnd w:id="573"/>
      <w:r w:rsidRPr="00B75B77">
        <w:t xml:space="preserve"> </w:t>
      </w:r>
    </w:p>
    <w:p w:rsidR="00C93F8E" w:rsidRPr="00B75B77" w:rsidRDefault="00C93F8E" w:rsidP="00BB039B">
      <w:r w:rsidRPr="00B75B77">
        <w:t xml:space="preserve">In Phase II, LEEP achieved verified energy savings of </w:t>
      </w:r>
      <w:r w:rsidR="00424C62" w:rsidRPr="00B75B77">
        <w:t>54,607</w:t>
      </w:r>
      <w:r w:rsidRPr="00B75B77">
        <w:t xml:space="preserve"> MWh, verified demand savings of </w:t>
      </w:r>
      <w:r w:rsidR="00424C62" w:rsidRPr="00B75B77">
        <w:t>6.2</w:t>
      </w:r>
      <w:r w:rsidRPr="00B75B77">
        <w:t xml:space="preserve"> MW, and served </w:t>
      </w:r>
      <w:r w:rsidR="00424C62" w:rsidRPr="00B75B77">
        <w:t>737,371</w:t>
      </w:r>
      <w:r w:rsidRPr="00B75B77">
        <w:t xml:space="preserve"> PECO customers. </w:t>
      </w:r>
      <w:r w:rsidR="00940718" w:rsidRPr="00B75B77">
        <w:t xml:space="preserve">A subset of </w:t>
      </w:r>
      <w:r w:rsidR="003472A2" w:rsidRPr="00B75B77">
        <w:t xml:space="preserve">households </w:t>
      </w:r>
      <w:r w:rsidR="00C6645B" w:rsidRPr="00B75B77">
        <w:t xml:space="preserve">participating in LEEP had incomes ranging from </w:t>
      </w:r>
      <w:r w:rsidR="003472A2" w:rsidRPr="00B75B77">
        <w:t>15</w:t>
      </w:r>
      <w:r w:rsidR="00C6645B" w:rsidRPr="00B75B77">
        <w:t>1</w:t>
      </w:r>
      <w:r w:rsidR="003472A2" w:rsidRPr="00B75B77">
        <w:t xml:space="preserve">-200% of </w:t>
      </w:r>
      <w:r w:rsidR="00C6645B" w:rsidRPr="00B75B77">
        <w:t xml:space="preserve">the </w:t>
      </w:r>
      <w:r w:rsidR="003472A2" w:rsidRPr="00B75B77">
        <w:t xml:space="preserve">federal poverty level. These participants are </w:t>
      </w:r>
      <w:r w:rsidR="008137ED" w:rsidRPr="00B75B77">
        <w:t xml:space="preserve">reported in the Residential (Non-Low Income) sector, and do not contribute </w:t>
      </w:r>
      <w:r w:rsidR="003472A2" w:rsidRPr="00B75B77">
        <w:t xml:space="preserve">to PECO’s </w:t>
      </w:r>
      <w:r w:rsidR="008137ED" w:rsidRPr="00B75B77">
        <w:t xml:space="preserve">Residential (Low-Income) </w:t>
      </w:r>
      <w:r w:rsidR="003472A2" w:rsidRPr="00B75B77">
        <w:t>sector requirements. A</w:t>
      </w:r>
      <w:r w:rsidRPr="00B75B77">
        <w:t xml:space="preserve">ll </w:t>
      </w:r>
      <w:r w:rsidR="003472A2" w:rsidRPr="00B75B77">
        <w:t xml:space="preserve">other </w:t>
      </w:r>
      <w:r w:rsidRPr="00B75B77">
        <w:t>participants and savings for the program are</w:t>
      </w:r>
      <w:r w:rsidR="003472A2" w:rsidRPr="00B75B77">
        <w:t xml:space="preserve"> from households earning </w:t>
      </w:r>
      <w:r w:rsidR="00C6645B" w:rsidRPr="00B75B77">
        <w:t>incomes up to</w:t>
      </w:r>
      <w:r w:rsidR="003472A2" w:rsidRPr="00B75B77">
        <w:t xml:space="preserve"> </w:t>
      </w:r>
      <w:r w:rsidR="00C6645B" w:rsidRPr="00B75B77">
        <w:t xml:space="preserve">and including </w:t>
      </w:r>
      <w:r w:rsidR="003472A2" w:rsidRPr="00B75B77">
        <w:t xml:space="preserve">150% of </w:t>
      </w:r>
      <w:r w:rsidR="00C6645B" w:rsidRPr="00B75B77">
        <w:t xml:space="preserve">the </w:t>
      </w:r>
      <w:r w:rsidR="003472A2" w:rsidRPr="00B75B77">
        <w:t>federal poverty level</w:t>
      </w:r>
      <w:r w:rsidR="008137ED" w:rsidRPr="00B75B77">
        <w:t>,</w:t>
      </w:r>
      <w:r w:rsidR="003472A2" w:rsidRPr="00B75B77">
        <w:t xml:space="preserve"> and have been</w:t>
      </w:r>
      <w:r w:rsidRPr="00B75B77">
        <w:t xml:space="preserve"> attributed to the low-income sector, as shown in </w:t>
      </w:r>
      <w:r w:rsidR="00474215" w:rsidRPr="00B75B77">
        <w:fldChar w:fldCharType="begin"/>
      </w:r>
      <w:r w:rsidR="00474215" w:rsidRPr="00B75B77">
        <w:instrText xml:space="preserve"> REF _Ref464137683 \h </w:instrText>
      </w:r>
      <w:r w:rsidR="002540CA" w:rsidRPr="00B75B77">
        <w:instrText xml:space="preserve"> \* MERGEFORMAT </w:instrText>
      </w:r>
      <w:r w:rsidR="00474215" w:rsidRPr="00B75B77">
        <w:fldChar w:fldCharType="separate"/>
      </w:r>
      <w:r w:rsidR="0004016D" w:rsidRPr="00B75B77">
        <w:t xml:space="preserve">Table </w:t>
      </w:r>
      <w:r w:rsidR="0004016D">
        <w:rPr>
          <w:noProof/>
        </w:rPr>
        <w:t>8</w:t>
      </w:r>
      <w:r w:rsidR="0004016D" w:rsidRPr="00B75B77">
        <w:rPr>
          <w:noProof/>
        </w:rPr>
        <w:noBreakHyphen/>
      </w:r>
      <w:r w:rsidR="0004016D">
        <w:rPr>
          <w:noProof/>
        </w:rPr>
        <w:t>2</w:t>
      </w:r>
      <w:r w:rsidR="00474215" w:rsidRPr="00B75B77">
        <w:fldChar w:fldCharType="end"/>
      </w:r>
      <w:r w:rsidRPr="00B75B77">
        <w:t>.</w:t>
      </w:r>
    </w:p>
    <w:p w:rsidR="00C93F8E" w:rsidRPr="00B75B77" w:rsidRDefault="00C93F8E" w:rsidP="00286B52"/>
    <w:p w:rsidR="00C93F8E" w:rsidRPr="00B75B77" w:rsidRDefault="00C93F8E" w:rsidP="00BB039B">
      <w:pPr>
        <w:pStyle w:val="Caption"/>
      </w:pPr>
      <w:bookmarkStart w:id="574" w:name="_Ref464137683"/>
      <w:bookmarkStart w:id="575" w:name="_Toc466413566"/>
      <w:bookmarkStart w:id="576" w:name="_Ref463253968"/>
      <w:r w:rsidRPr="00B75B77">
        <w:lastRenderedPageBreak/>
        <w:t xml:space="preserve">Table </w:t>
      </w:r>
      <w:fldSimple w:instr=" STYLEREF 1 \s ">
        <w:r w:rsidR="0004016D">
          <w:rPr>
            <w:noProof/>
          </w:rPr>
          <w:t>8</w:t>
        </w:r>
      </w:fldSimple>
      <w:r w:rsidR="00F1144C" w:rsidRPr="00B75B77">
        <w:noBreakHyphen/>
      </w:r>
      <w:fldSimple w:instr=" SEQ Table \* ARABIC \s 1 ">
        <w:r w:rsidR="0004016D">
          <w:rPr>
            <w:noProof/>
          </w:rPr>
          <w:t>2</w:t>
        </w:r>
      </w:fldSimple>
      <w:bookmarkEnd w:id="574"/>
      <w:r w:rsidR="00474215" w:rsidRPr="00B75B77">
        <w:t xml:space="preserve">: Phase II </w:t>
      </w:r>
      <w:r w:rsidR="000C1E59" w:rsidRPr="00B75B77">
        <w:t>Low-</w:t>
      </w:r>
      <w:r w:rsidR="000A5BE2" w:rsidRPr="00B75B77">
        <w:t xml:space="preserve">Income Energy Efficiency Program </w:t>
      </w:r>
      <w:r w:rsidR="00474215" w:rsidRPr="00B75B77">
        <w:t>Reported Results by Customer Sector</w:t>
      </w:r>
      <w:bookmarkEnd w:id="575"/>
      <w:r w:rsidR="002540CA" w:rsidRPr="00B75B77">
        <w:t xml:space="preserve"> </w:t>
      </w:r>
      <w:bookmarkEnd w:id="576"/>
    </w:p>
    <w:tbl>
      <w:tblPr>
        <w:tblW w:w="9489" w:type="dxa"/>
        <w:tblLook w:val="04A0" w:firstRow="1" w:lastRow="0" w:firstColumn="1" w:lastColumn="0" w:noHBand="0" w:noVBand="1"/>
      </w:tblPr>
      <w:tblGrid>
        <w:gridCol w:w="1795"/>
        <w:gridCol w:w="1108"/>
        <w:gridCol w:w="1412"/>
        <w:gridCol w:w="1440"/>
        <w:gridCol w:w="1350"/>
        <w:gridCol w:w="1406"/>
        <w:gridCol w:w="978"/>
      </w:tblGrid>
      <w:tr w:rsidR="002A4430" w:rsidRPr="00B75B77" w:rsidTr="00E005B4">
        <w:trPr>
          <w:trHeight w:val="288"/>
        </w:trPr>
        <w:tc>
          <w:tcPr>
            <w:tcW w:w="1795" w:type="dxa"/>
            <w:tcBorders>
              <w:top w:val="single" w:sz="4" w:space="0" w:color="auto"/>
              <w:left w:val="single" w:sz="4" w:space="0" w:color="auto"/>
              <w:bottom w:val="single" w:sz="4" w:space="0" w:color="auto"/>
              <w:right w:val="single" w:sz="4" w:space="0" w:color="auto"/>
            </w:tcBorders>
            <w:shd w:val="clear" w:color="000000" w:fill="448A99"/>
            <w:vAlign w:val="center"/>
            <w:hideMark/>
          </w:tcPr>
          <w:p w:rsidR="00C93F8E" w:rsidRPr="00B75B77" w:rsidRDefault="00C93F8E" w:rsidP="00451FB1">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Customer Sector</w:t>
            </w:r>
            <w:r w:rsidRPr="00B75B77">
              <w:rPr>
                <w:rFonts w:ascii="Calibri" w:eastAsia="Times New Roman" w:hAnsi="Calibri"/>
                <w:b/>
                <w:bCs/>
                <w:color w:val="FFFFFF"/>
                <w:sz w:val="18"/>
                <w:szCs w:val="18"/>
                <w:vertAlign w:val="superscript"/>
              </w:rPr>
              <w:t>[1]</w:t>
            </w:r>
          </w:p>
        </w:tc>
        <w:tc>
          <w:tcPr>
            <w:tcW w:w="1108" w:type="dxa"/>
            <w:tcBorders>
              <w:top w:val="single" w:sz="4" w:space="0" w:color="auto"/>
              <w:left w:val="nil"/>
              <w:bottom w:val="single" w:sz="4" w:space="0" w:color="auto"/>
              <w:right w:val="single" w:sz="4" w:space="0" w:color="auto"/>
            </w:tcBorders>
            <w:shd w:val="clear" w:color="000000" w:fill="448A99"/>
            <w:vAlign w:val="center"/>
            <w:hideMark/>
          </w:tcPr>
          <w:p w:rsidR="00C93F8E" w:rsidRPr="00B75B77" w:rsidRDefault="00C93F8E" w:rsidP="00BB039B">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Participants</w:t>
            </w:r>
          </w:p>
        </w:tc>
        <w:tc>
          <w:tcPr>
            <w:tcW w:w="1412" w:type="dxa"/>
            <w:tcBorders>
              <w:top w:val="single" w:sz="4" w:space="0" w:color="auto"/>
              <w:left w:val="nil"/>
              <w:bottom w:val="single" w:sz="4" w:space="0" w:color="auto"/>
              <w:right w:val="single" w:sz="4" w:space="0" w:color="auto"/>
            </w:tcBorders>
            <w:shd w:val="clear" w:color="000000" w:fill="448A99"/>
            <w:vAlign w:val="center"/>
            <w:hideMark/>
          </w:tcPr>
          <w:p w:rsidR="00C93F8E" w:rsidRPr="00B75B77" w:rsidRDefault="00C93F8E" w:rsidP="00BB039B">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Reported Gross Energy Savings (MWh)</w:t>
            </w:r>
          </w:p>
        </w:tc>
        <w:tc>
          <w:tcPr>
            <w:tcW w:w="1440" w:type="dxa"/>
            <w:tcBorders>
              <w:top w:val="single" w:sz="4" w:space="0" w:color="auto"/>
              <w:left w:val="nil"/>
              <w:bottom w:val="single" w:sz="4" w:space="0" w:color="auto"/>
              <w:right w:val="single" w:sz="4" w:space="0" w:color="auto"/>
            </w:tcBorders>
            <w:shd w:val="clear" w:color="000000" w:fill="448A99"/>
            <w:vAlign w:val="center"/>
            <w:hideMark/>
          </w:tcPr>
          <w:p w:rsidR="00C93F8E" w:rsidRPr="00B75B77" w:rsidRDefault="00C93F8E" w:rsidP="00BB039B">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Reported Gross Demand Reduction (MW)</w:t>
            </w:r>
            <w:r w:rsidRPr="00B75B77">
              <w:rPr>
                <w:rFonts w:ascii="Calibri" w:eastAsia="Times New Roman" w:hAnsi="Calibri"/>
                <w:b/>
                <w:bCs/>
                <w:color w:val="FFFFFF"/>
                <w:sz w:val="18"/>
                <w:szCs w:val="18"/>
                <w:vertAlign w:val="superscript"/>
              </w:rPr>
              <w:t>[2]</w:t>
            </w:r>
          </w:p>
        </w:tc>
        <w:tc>
          <w:tcPr>
            <w:tcW w:w="1350" w:type="dxa"/>
            <w:tcBorders>
              <w:top w:val="single" w:sz="4" w:space="0" w:color="auto"/>
              <w:left w:val="nil"/>
              <w:bottom w:val="single" w:sz="4" w:space="0" w:color="auto"/>
              <w:right w:val="single" w:sz="4" w:space="0" w:color="auto"/>
            </w:tcBorders>
            <w:shd w:val="clear" w:color="000000" w:fill="448A99"/>
            <w:vAlign w:val="center"/>
            <w:hideMark/>
          </w:tcPr>
          <w:p w:rsidR="00C93F8E" w:rsidRPr="00B75B77" w:rsidRDefault="00C93F8E" w:rsidP="00BB039B">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Verified Gross Energy Savings (MWh)</w:t>
            </w:r>
          </w:p>
        </w:tc>
        <w:tc>
          <w:tcPr>
            <w:tcW w:w="1406" w:type="dxa"/>
            <w:tcBorders>
              <w:top w:val="single" w:sz="4" w:space="0" w:color="auto"/>
              <w:left w:val="nil"/>
              <w:bottom w:val="single" w:sz="4" w:space="0" w:color="auto"/>
              <w:right w:val="single" w:sz="4" w:space="0" w:color="auto"/>
            </w:tcBorders>
            <w:shd w:val="clear" w:color="000000" w:fill="448A99"/>
            <w:vAlign w:val="center"/>
            <w:hideMark/>
          </w:tcPr>
          <w:p w:rsidR="00C93F8E" w:rsidRPr="00B75B77" w:rsidRDefault="00C93F8E" w:rsidP="00BB039B">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Verified Gross Demand Reduction (MW)</w:t>
            </w:r>
            <w:r w:rsidRPr="00B75B77">
              <w:rPr>
                <w:rFonts w:ascii="Calibri" w:eastAsia="Times New Roman" w:hAnsi="Calibri"/>
                <w:b/>
                <w:bCs/>
                <w:color w:val="FFFFFF"/>
                <w:sz w:val="18"/>
                <w:szCs w:val="18"/>
                <w:vertAlign w:val="superscript"/>
              </w:rPr>
              <w:t>[2]</w:t>
            </w:r>
          </w:p>
        </w:tc>
        <w:tc>
          <w:tcPr>
            <w:tcW w:w="978" w:type="dxa"/>
            <w:tcBorders>
              <w:top w:val="single" w:sz="4" w:space="0" w:color="auto"/>
              <w:left w:val="nil"/>
              <w:bottom w:val="single" w:sz="4" w:space="0" w:color="auto"/>
              <w:right w:val="single" w:sz="4" w:space="0" w:color="auto"/>
            </w:tcBorders>
            <w:shd w:val="clear" w:color="000000" w:fill="448A99"/>
            <w:vAlign w:val="center"/>
            <w:hideMark/>
          </w:tcPr>
          <w:p w:rsidR="00C93F8E" w:rsidRPr="00B75B77" w:rsidRDefault="00C93F8E" w:rsidP="00451FB1">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Incentives Paid</w:t>
            </w:r>
            <w:r w:rsidRPr="00B75B77">
              <w:rPr>
                <w:rFonts w:ascii="Calibri" w:eastAsia="Times New Roman" w:hAnsi="Calibri"/>
                <w:b/>
                <w:bCs/>
                <w:color w:val="FFFFFF"/>
                <w:sz w:val="18"/>
                <w:szCs w:val="18"/>
              </w:rPr>
              <w:br/>
              <w:t>($1,000)</w:t>
            </w:r>
          </w:p>
        </w:tc>
      </w:tr>
      <w:tr w:rsidR="002A4430" w:rsidRPr="00B75B77" w:rsidTr="00E005B4">
        <w:trPr>
          <w:trHeight w:val="288"/>
        </w:trPr>
        <w:tc>
          <w:tcPr>
            <w:tcW w:w="1795" w:type="dxa"/>
            <w:tcBorders>
              <w:top w:val="nil"/>
              <w:left w:val="single" w:sz="4" w:space="0" w:color="448A99"/>
              <w:bottom w:val="single" w:sz="4" w:space="0" w:color="448A99"/>
              <w:right w:val="single" w:sz="4" w:space="0" w:color="448A99"/>
            </w:tcBorders>
            <w:shd w:val="clear" w:color="000000" w:fill="D2EAF1"/>
            <w:vAlign w:val="center"/>
            <w:hideMark/>
          </w:tcPr>
          <w:p w:rsidR="00442C8B" w:rsidRPr="00B75B77" w:rsidRDefault="00442C8B" w:rsidP="00442C8B">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Residential (Non-Low-Income)</w:t>
            </w:r>
          </w:p>
        </w:tc>
        <w:tc>
          <w:tcPr>
            <w:tcW w:w="1108" w:type="dxa"/>
            <w:tcBorders>
              <w:top w:val="nil"/>
              <w:left w:val="nil"/>
              <w:bottom w:val="single" w:sz="4" w:space="0" w:color="448A99"/>
              <w:right w:val="single" w:sz="4" w:space="0" w:color="448A99"/>
            </w:tcBorders>
            <w:shd w:val="clear" w:color="000000" w:fill="D2EAF1"/>
            <w:vAlign w:val="center"/>
            <w:hideMark/>
          </w:tcPr>
          <w:p w:rsidR="00442C8B" w:rsidRPr="00B75B77" w:rsidRDefault="002A4430"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755</w:t>
            </w:r>
          </w:p>
        </w:tc>
        <w:tc>
          <w:tcPr>
            <w:tcW w:w="1412" w:type="dxa"/>
            <w:tcBorders>
              <w:top w:val="nil"/>
              <w:left w:val="nil"/>
              <w:bottom w:val="single" w:sz="4" w:space="0" w:color="448A99"/>
              <w:right w:val="single" w:sz="4" w:space="0" w:color="448A99"/>
            </w:tcBorders>
            <w:shd w:val="clear" w:color="000000" w:fill="D2EAF1"/>
            <w:vAlign w:val="center"/>
            <w:hideMark/>
          </w:tcPr>
          <w:p w:rsidR="00442C8B" w:rsidRPr="00B75B77" w:rsidRDefault="002A4430" w:rsidP="002A4430">
            <w:pPr>
              <w:jc w:val="center"/>
              <w:rPr>
                <w:rFonts w:ascii="Calibri" w:eastAsia="Times New Roman" w:hAnsi="Calibri"/>
                <w:color w:val="000000"/>
                <w:sz w:val="18"/>
                <w:szCs w:val="18"/>
              </w:rPr>
            </w:pPr>
            <w:r w:rsidRPr="00B75B77">
              <w:rPr>
                <w:rFonts w:ascii="Calibri" w:eastAsia="Times New Roman" w:hAnsi="Calibri"/>
                <w:color w:val="000000"/>
                <w:sz w:val="18"/>
                <w:szCs w:val="18"/>
              </w:rPr>
              <w:t>215</w:t>
            </w:r>
          </w:p>
        </w:tc>
        <w:tc>
          <w:tcPr>
            <w:tcW w:w="1440"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r w:rsidR="002A4430" w:rsidRPr="00B75B77">
              <w:rPr>
                <w:rFonts w:ascii="Calibri" w:eastAsia="Times New Roman" w:hAnsi="Calibri"/>
                <w:color w:val="000000"/>
                <w:sz w:val="18"/>
                <w:szCs w:val="18"/>
              </w:rPr>
              <w:t>0</w:t>
            </w:r>
          </w:p>
        </w:tc>
        <w:tc>
          <w:tcPr>
            <w:tcW w:w="1350" w:type="dxa"/>
            <w:tcBorders>
              <w:top w:val="nil"/>
              <w:left w:val="nil"/>
              <w:bottom w:val="single" w:sz="4" w:space="0" w:color="448A99"/>
              <w:right w:val="single" w:sz="4" w:space="0" w:color="448A99"/>
            </w:tcBorders>
            <w:shd w:val="clear" w:color="000000" w:fill="D2EAF1"/>
            <w:vAlign w:val="center"/>
            <w:hideMark/>
          </w:tcPr>
          <w:p w:rsidR="00442C8B" w:rsidRPr="00B75B77" w:rsidRDefault="002A4430"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215</w:t>
            </w:r>
          </w:p>
        </w:tc>
        <w:tc>
          <w:tcPr>
            <w:tcW w:w="1406"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8A0199">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978"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2A4430" w:rsidRPr="00B75B77" w:rsidTr="00E005B4">
        <w:trPr>
          <w:trHeight w:val="288"/>
        </w:trPr>
        <w:tc>
          <w:tcPr>
            <w:tcW w:w="1795" w:type="dxa"/>
            <w:tcBorders>
              <w:top w:val="nil"/>
              <w:left w:val="single" w:sz="4" w:space="0" w:color="448A99"/>
              <w:bottom w:val="single" w:sz="4" w:space="0" w:color="448A99"/>
              <w:right w:val="single" w:sz="4" w:space="0" w:color="448A99"/>
            </w:tcBorders>
            <w:shd w:val="clear" w:color="000000" w:fill="FFFFFF"/>
            <w:vAlign w:val="center"/>
            <w:hideMark/>
          </w:tcPr>
          <w:p w:rsidR="00442C8B" w:rsidRPr="00B75B77" w:rsidRDefault="00442C8B" w:rsidP="00442C8B">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Residential (Low-Income)</w:t>
            </w:r>
          </w:p>
        </w:tc>
        <w:tc>
          <w:tcPr>
            <w:tcW w:w="1108" w:type="dxa"/>
            <w:tcBorders>
              <w:top w:val="nil"/>
              <w:left w:val="nil"/>
              <w:bottom w:val="single" w:sz="4" w:space="0" w:color="448A99"/>
              <w:right w:val="single" w:sz="4" w:space="0" w:color="448A99"/>
            </w:tcBorders>
            <w:shd w:val="clear" w:color="000000" w:fill="FFFFFF"/>
            <w:vAlign w:val="center"/>
            <w:hideMark/>
          </w:tcPr>
          <w:p w:rsidR="00442C8B" w:rsidRPr="00B75B77" w:rsidRDefault="00424C62"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7</w:t>
            </w:r>
            <w:r w:rsidR="002A4430" w:rsidRPr="00B75B77">
              <w:rPr>
                <w:rFonts w:ascii="Calibri" w:eastAsia="Times New Roman" w:hAnsi="Calibri"/>
                <w:color w:val="000000"/>
                <w:sz w:val="18"/>
                <w:szCs w:val="18"/>
              </w:rPr>
              <w:t>36,616</w:t>
            </w:r>
          </w:p>
        </w:tc>
        <w:tc>
          <w:tcPr>
            <w:tcW w:w="1412" w:type="dxa"/>
            <w:tcBorders>
              <w:top w:val="nil"/>
              <w:left w:val="nil"/>
              <w:bottom w:val="single" w:sz="4" w:space="0" w:color="448A99"/>
              <w:right w:val="single" w:sz="4" w:space="0" w:color="448A99"/>
            </w:tcBorders>
            <w:shd w:val="clear" w:color="000000" w:fill="FFFFFF"/>
            <w:vAlign w:val="center"/>
            <w:hideMark/>
          </w:tcPr>
          <w:p w:rsidR="00442C8B" w:rsidRPr="00B75B77" w:rsidRDefault="00424C62"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5</w:t>
            </w:r>
            <w:r w:rsidR="002A4430" w:rsidRPr="00B75B77">
              <w:rPr>
                <w:rFonts w:ascii="Calibri" w:eastAsia="Times New Roman" w:hAnsi="Calibri"/>
                <w:color w:val="000000"/>
                <w:sz w:val="18"/>
                <w:szCs w:val="18"/>
              </w:rPr>
              <w:t>2,684</w:t>
            </w:r>
          </w:p>
        </w:tc>
        <w:tc>
          <w:tcPr>
            <w:tcW w:w="1440"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6</w:t>
            </w:r>
            <w:r w:rsidR="00424C62" w:rsidRPr="00B75B77">
              <w:rPr>
                <w:rFonts w:ascii="Calibri" w:eastAsia="Times New Roman" w:hAnsi="Calibri"/>
                <w:color w:val="000000"/>
                <w:sz w:val="18"/>
                <w:szCs w:val="18"/>
              </w:rPr>
              <w:t>.2</w:t>
            </w:r>
          </w:p>
        </w:tc>
        <w:tc>
          <w:tcPr>
            <w:tcW w:w="1350" w:type="dxa"/>
            <w:tcBorders>
              <w:top w:val="nil"/>
              <w:left w:val="nil"/>
              <w:bottom w:val="single" w:sz="4" w:space="0" w:color="448A99"/>
              <w:right w:val="single" w:sz="4" w:space="0" w:color="448A99"/>
            </w:tcBorders>
            <w:shd w:val="clear" w:color="000000" w:fill="FFFFFF"/>
            <w:vAlign w:val="center"/>
            <w:hideMark/>
          </w:tcPr>
          <w:p w:rsidR="00442C8B" w:rsidRPr="00B75B77" w:rsidRDefault="00424C62"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5</w:t>
            </w:r>
            <w:r w:rsidR="002A4430" w:rsidRPr="00B75B77">
              <w:rPr>
                <w:rFonts w:ascii="Calibri" w:eastAsia="Times New Roman" w:hAnsi="Calibri"/>
                <w:color w:val="000000"/>
                <w:sz w:val="18"/>
                <w:szCs w:val="18"/>
              </w:rPr>
              <w:t>4,392</w:t>
            </w:r>
          </w:p>
        </w:tc>
        <w:tc>
          <w:tcPr>
            <w:tcW w:w="1406" w:type="dxa"/>
            <w:tcBorders>
              <w:top w:val="nil"/>
              <w:left w:val="nil"/>
              <w:bottom w:val="single" w:sz="4" w:space="0" w:color="448A99"/>
              <w:right w:val="single" w:sz="4" w:space="0" w:color="448A99"/>
            </w:tcBorders>
            <w:shd w:val="clear" w:color="000000" w:fill="FFFFFF"/>
            <w:vAlign w:val="center"/>
            <w:hideMark/>
          </w:tcPr>
          <w:p w:rsidR="00442C8B" w:rsidRPr="00B75B77" w:rsidRDefault="00424C62"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6.2</w:t>
            </w:r>
          </w:p>
        </w:tc>
        <w:tc>
          <w:tcPr>
            <w:tcW w:w="978"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2A4430" w:rsidRPr="00B75B77" w:rsidTr="00E005B4">
        <w:trPr>
          <w:trHeight w:val="288"/>
        </w:trPr>
        <w:tc>
          <w:tcPr>
            <w:tcW w:w="1795" w:type="dxa"/>
            <w:tcBorders>
              <w:top w:val="nil"/>
              <w:left w:val="single" w:sz="4" w:space="0" w:color="448A99"/>
              <w:bottom w:val="single" w:sz="4" w:space="0" w:color="448A99"/>
              <w:right w:val="single" w:sz="4" w:space="0" w:color="448A99"/>
            </w:tcBorders>
            <w:shd w:val="clear" w:color="000000" w:fill="D2EAF1"/>
            <w:vAlign w:val="center"/>
            <w:hideMark/>
          </w:tcPr>
          <w:p w:rsidR="00C93F8E" w:rsidRPr="00B75B77" w:rsidRDefault="00C93F8E" w:rsidP="00BB039B">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Small C</w:t>
            </w:r>
            <w:r w:rsidR="0054073E" w:rsidRPr="00B75B77">
              <w:rPr>
                <w:rFonts w:ascii="Calibri" w:eastAsia="Times New Roman" w:hAnsi="Calibri"/>
                <w:bCs/>
                <w:color w:val="000000"/>
                <w:sz w:val="18"/>
                <w:szCs w:val="18"/>
              </w:rPr>
              <w:t>&amp;I</w:t>
            </w:r>
          </w:p>
        </w:tc>
        <w:tc>
          <w:tcPr>
            <w:tcW w:w="1108" w:type="dxa"/>
            <w:tcBorders>
              <w:top w:val="nil"/>
              <w:left w:val="nil"/>
              <w:bottom w:val="single" w:sz="4" w:space="0" w:color="448A99"/>
              <w:right w:val="single" w:sz="4" w:space="0" w:color="448A99"/>
            </w:tcBorders>
            <w:shd w:val="clear" w:color="000000" w:fill="D2EAF1"/>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412" w:type="dxa"/>
            <w:tcBorders>
              <w:top w:val="nil"/>
              <w:left w:val="nil"/>
              <w:bottom w:val="single" w:sz="4" w:space="0" w:color="448A99"/>
              <w:right w:val="single" w:sz="4" w:space="0" w:color="448A99"/>
            </w:tcBorders>
            <w:shd w:val="clear" w:color="000000" w:fill="D2EAF1"/>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440" w:type="dxa"/>
            <w:tcBorders>
              <w:top w:val="nil"/>
              <w:left w:val="nil"/>
              <w:bottom w:val="single" w:sz="4" w:space="0" w:color="448A99"/>
              <w:right w:val="single" w:sz="4" w:space="0" w:color="448A99"/>
            </w:tcBorders>
            <w:shd w:val="clear" w:color="000000" w:fill="D2EAF1"/>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350" w:type="dxa"/>
            <w:tcBorders>
              <w:top w:val="nil"/>
              <w:left w:val="nil"/>
              <w:bottom w:val="single" w:sz="4" w:space="0" w:color="448A99"/>
              <w:right w:val="single" w:sz="4" w:space="0" w:color="448A99"/>
            </w:tcBorders>
            <w:shd w:val="clear" w:color="000000" w:fill="D2EAF1"/>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406" w:type="dxa"/>
            <w:tcBorders>
              <w:top w:val="nil"/>
              <w:left w:val="nil"/>
              <w:bottom w:val="single" w:sz="4" w:space="0" w:color="448A99"/>
              <w:right w:val="single" w:sz="4" w:space="0" w:color="448A99"/>
            </w:tcBorders>
            <w:shd w:val="clear" w:color="000000" w:fill="D2EAF1"/>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978" w:type="dxa"/>
            <w:tcBorders>
              <w:top w:val="nil"/>
              <w:left w:val="nil"/>
              <w:bottom w:val="single" w:sz="4" w:space="0" w:color="448A99"/>
              <w:right w:val="single" w:sz="4" w:space="0" w:color="448A99"/>
            </w:tcBorders>
            <w:shd w:val="clear" w:color="000000" w:fill="D2EAF1"/>
            <w:vAlign w:val="center"/>
            <w:hideMark/>
          </w:tcPr>
          <w:p w:rsidR="00C93F8E" w:rsidRPr="00B75B77" w:rsidRDefault="00C93F8E" w:rsidP="00451FB1">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2A4430" w:rsidRPr="00B75B77" w:rsidTr="00E005B4">
        <w:trPr>
          <w:trHeight w:val="288"/>
        </w:trPr>
        <w:tc>
          <w:tcPr>
            <w:tcW w:w="1795" w:type="dxa"/>
            <w:tcBorders>
              <w:top w:val="nil"/>
              <w:left w:val="single" w:sz="4" w:space="0" w:color="448A99"/>
              <w:bottom w:val="single" w:sz="4" w:space="0" w:color="448A99"/>
              <w:right w:val="single" w:sz="4" w:space="0" w:color="448A99"/>
            </w:tcBorders>
            <w:shd w:val="clear" w:color="000000" w:fill="FFFFFF"/>
            <w:vAlign w:val="center"/>
            <w:hideMark/>
          </w:tcPr>
          <w:p w:rsidR="00C93F8E" w:rsidRPr="00B75B77" w:rsidRDefault="00C93F8E" w:rsidP="00BB039B">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Large C</w:t>
            </w:r>
            <w:r w:rsidR="0054073E" w:rsidRPr="00B75B77">
              <w:rPr>
                <w:rFonts w:ascii="Calibri" w:eastAsia="Times New Roman" w:hAnsi="Calibri"/>
                <w:bCs/>
                <w:color w:val="000000"/>
                <w:sz w:val="18"/>
                <w:szCs w:val="18"/>
              </w:rPr>
              <w:t>&amp;I</w:t>
            </w:r>
          </w:p>
        </w:tc>
        <w:tc>
          <w:tcPr>
            <w:tcW w:w="1108" w:type="dxa"/>
            <w:tcBorders>
              <w:top w:val="nil"/>
              <w:left w:val="nil"/>
              <w:bottom w:val="single" w:sz="4" w:space="0" w:color="448A99"/>
              <w:right w:val="single" w:sz="4" w:space="0" w:color="448A99"/>
            </w:tcBorders>
            <w:shd w:val="clear" w:color="000000" w:fill="FFFFFF"/>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412" w:type="dxa"/>
            <w:tcBorders>
              <w:top w:val="nil"/>
              <w:left w:val="nil"/>
              <w:bottom w:val="single" w:sz="4" w:space="0" w:color="448A99"/>
              <w:right w:val="single" w:sz="4" w:space="0" w:color="448A99"/>
            </w:tcBorders>
            <w:shd w:val="clear" w:color="000000" w:fill="FFFFFF"/>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440" w:type="dxa"/>
            <w:tcBorders>
              <w:top w:val="nil"/>
              <w:left w:val="nil"/>
              <w:bottom w:val="single" w:sz="4" w:space="0" w:color="448A99"/>
              <w:right w:val="single" w:sz="4" w:space="0" w:color="448A99"/>
            </w:tcBorders>
            <w:shd w:val="clear" w:color="000000" w:fill="FFFFFF"/>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350" w:type="dxa"/>
            <w:tcBorders>
              <w:top w:val="nil"/>
              <w:left w:val="nil"/>
              <w:bottom w:val="single" w:sz="4" w:space="0" w:color="448A99"/>
              <w:right w:val="single" w:sz="4" w:space="0" w:color="448A99"/>
            </w:tcBorders>
            <w:shd w:val="clear" w:color="000000" w:fill="FFFFFF"/>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406" w:type="dxa"/>
            <w:tcBorders>
              <w:top w:val="nil"/>
              <w:left w:val="nil"/>
              <w:bottom w:val="single" w:sz="4" w:space="0" w:color="448A99"/>
              <w:right w:val="single" w:sz="4" w:space="0" w:color="448A99"/>
            </w:tcBorders>
            <w:shd w:val="clear" w:color="000000" w:fill="FFFFFF"/>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978" w:type="dxa"/>
            <w:tcBorders>
              <w:top w:val="nil"/>
              <w:left w:val="nil"/>
              <w:bottom w:val="single" w:sz="4" w:space="0" w:color="448A99"/>
              <w:right w:val="single" w:sz="4" w:space="0" w:color="448A99"/>
            </w:tcBorders>
            <w:shd w:val="clear" w:color="000000" w:fill="FFFFFF"/>
            <w:vAlign w:val="center"/>
            <w:hideMark/>
          </w:tcPr>
          <w:p w:rsidR="00C93F8E" w:rsidRPr="00B75B77" w:rsidRDefault="00C93F8E" w:rsidP="00451FB1">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2A4430" w:rsidRPr="00B75B77" w:rsidTr="00E005B4">
        <w:trPr>
          <w:trHeight w:val="288"/>
        </w:trPr>
        <w:tc>
          <w:tcPr>
            <w:tcW w:w="1795" w:type="dxa"/>
            <w:tcBorders>
              <w:top w:val="nil"/>
              <w:left w:val="single" w:sz="4" w:space="0" w:color="448A99"/>
              <w:bottom w:val="single" w:sz="4" w:space="0" w:color="448A99"/>
              <w:right w:val="single" w:sz="4" w:space="0" w:color="448A99"/>
            </w:tcBorders>
            <w:shd w:val="clear" w:color="000000" w:fill="D2EAF1"/>
            <w:vAlign w:val="center"/>
            <w:hideMark/>
          </w:tcPr>
          <w:p w:rsidR="00C93F8E" w:rsidRPr="00B75B77" w:rsidRDefault="00C93F8E" w:rsidP="00BB039B">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G</w:t>
            </w:r>
            <w:r w:rsidR="0054073E" w:rsidRPr="00B75B77">
              <w:rPr>
                <w:rFonts w:ascii="Calibri" w:eastAsia="Times New Roman" w:hAnsi="Calibri"/>
                <w:bCs/>
                <w:color w:val="000000"/>
                <w:sz w:val="18"/>
                <w:szCs w:val="18"/>
              </w:rPr>
              <w:t>NI</w:t>
            </w:r>
          </w:p>
        </w:tc>
        <w:tc>
          <w:tcPr>
            <w:tcW w:w="1108" w:type="dxa"/>
            <w:tcBorders>
              <w:top w:val="nil"/>
              <w:left w:val="nil"/>
              <w:bottom w:val="single" w:sz="4" w:space="0" w:color="448A99"/>
              <w:right w:val="single" w:sz="4" w:space="0" w:color="448A99"/>
            </w:tcBorders>
            <w:shd w:val="clear" w:color="000000" w:fill="D2EAF1"/>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412" w:type="dxa"/>
            <w:tcBorders>
              <w:top w:val="nil"/>
              <w:left w:val="nil"/>
              <w:bottom w:val="single" w:sz="4" w:space="0" w:color="448A99"/>
              <w:right w:val="single" w:sz="4" w:space="0" w:color="448A99"/>
            </w:tcBorders>
            <w:shd w:val="clear" w:color="000000" w:fill="D2EAF1"/>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440" w:type="dxa"/>
            <w:tcBorders>
              <w:top w:val="nil"/>
              <w:left w:val="nil"/>
              <w:bottom w:val="single" w:sz="4" w:space="0" w:color="448A99"/>
              <w:right w:val="single" w:sz="4" w:space="0" w:color="448A99"/>
            </w:tcBorders>
            <w:shd w:val="clear" w:color="000000" w:fill="D2EAF1"/>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350" w:type="dxa"/>
            <w:tcBorders>
              <w:top w:val="nil"/>
              <w:left w:val="nil"/>
              <w:bottom w:val="single" w:sz="4" w:space="0" w:color="448A99"/>
              <w:right w:val="single" w:sz="4" w:space="0" w:color="448A99"/>
            </w:tcBorders>
            <w:shd w:val="clear" w:color="000000" w:fill="D2EAF1"/>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406" w:type="dxa"/>
            <w:tcBorders>
              <w:top w:val="nil"/>
              <w:left w:val="nil"/>
              <w:bottom w:val="single" w:sz="4" w:space="0" w:color="448A99"/>
              <w:right w:val="single" w:sz="4" w:space="0" w:color="448A99"/>
            </w:tcBorders>
            <w:shd w:val="clear" w:color="000000" w:fill="D2EAF1"/>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978" w:type="dxa"/>
            <w:tcBorders>
              <w:top w:val="nil"/>
              <w:left w:val="nil"/>
              <w:bottom w:val="single" w:sz="4" w:space="0" w:color="448A99"/>
              <w:right w:val="single" w:sz="4" w:space="0" w:color="448A99"/>
            </w:tcBorders>
            <w:shd w:val="clear" w:color="000000" w:fill="D2EAF1"/>
            <w:vAlign w:val="center"/>
            <w:hideMark/>
          </w:tcPr>
          <w:p w:rsidR="00C93F8E" w:rsidRPr="00B75B77" w:rsidRDefault="00C93F8E" w:rsidP="00451FB1">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2A4430" w:rsidRPr="00B75B77" w:rsidTr="00E005B4">
        <w:trPr>
          <w:trHeight w:val="288"/>
        </w:trPr>
        <w:tc>
          <w:tcPr>
            <w:tcW w:w="1795" w:type="dxa"/>
            <w:tcBorders>
              <w:top w:val="nil"/>
              <w:left w:val="single" w:sz="4" w:space="0" w:color="448A99"/>
              <w:bottom w:val="single" w:sz="4" w:space="0" w:color="448A99"/>
              <w:right w:val="single" w:sz="4" w:space="0" w:color="448A99"/>
            </w:tcBorders>
            <w:shd w:val="clear" w:color="000000" w:fill="FFFFFF"/>
            <w:vAlign w:val="center"/>
            <w:hideMark/>
          </w:tcPr>
          <w:p w:rsidR="00C93F8E" w:rsidRPr="00B75B77" w:rsidRDefault="002540CA" w:rsidP="00BB039B">
            <w:pPr>
              <w:jc w:val="left"/>
              <w:rPr>
                <w:rFonts w:ascii="Calibri" w:eastAsia="Times New Roman" w:hAnsi="Calibri"/>
                <w:b/>
                <w:color w:val="000000"/>
                <w:sz w:val="18"/>
                <w:szCs w:val="18"/>
              </w:rPr>
            </w:pPr>
            <w:r w:rsidRPr="00B75B77">
              <w:rPr>
                <w:rFonts w:ascii="Calibri" w:eastAsia="Times New Roman" w:hAnsi="Calibri"/>
                <w:b/>
                <w:color w:val="000000"/>
                <w:sz w:val="18"/>
                <w:szCs w:val="18"/>
              </w:rPr>
              <w:t xml:space="preserve">PHASE </w:t>
            </w:r>
            <w:r w:rsidR="00C93F8E" w:rsidRPr="00B75B77">
              <w:rPr>
                <w:rFonts w:ascii="Calibri" w:eastAsia="Times New Roman" w:hAnsi="Calibri"/>
                <w:b/>
                <w:color w:val="000000"/>
                <w:sz w:val="18"/>
                <w:szCs w:val="18"/>
              </w:rPr>
              <w:t xml:space="preserve">II </w:t>
            </w:r>
            <w:r w:rsidRPr="00B75B77">
              <w:rPr>
                <w:rFonts w:ascii="Calibri" w:eastAsia="Times New Roman" w:hAnsi="Calibri"/>
                <w:b/>
                <w:color w:val="000000"/>
                <w:sz w:val="18"/>
                <w:szCs w:val="18"/>
              </w:rPr>
              <w:t>TOTAL</w:t>
            </w:r>
          </w:p>
        </w:tc>
        <w:tc>
          <w:tcPr>
            <w:tcW w:w="1108" w:type="dxa"/>
            <w:tcBorders>
              <w:top w:val="nil"/>
              <w:left w:val="nil"/>
              <w:bottom w:val="single" w:sz="4" w:space="0" w:color="448A99"/>
              <w:right w:val="single" w:sz="4" w:space="0" w:color="448A99"/>
            </w:tcBorders>
            <w:shd w:val="clear" w:color="000000" w:fill="FFFFFF"/>
            <w:vAlign w:val="center"/>
            <w:hideMark/>
          </w:tcPr>
          <w:p w:rsidR="00C93F8E" w:rsidRPr="00B75B77" w:rsidRDefault="00424C62" w:rsidP="00BB039B">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737,371</w:t>
            </w:r>
          </w:p>
        </w:tc>
        <w:tc>
          <w:tcPr>
            <w:tcW w:w="1412" w:type="dxa"/>
            <w:tcBorders>
              <w:top w:val="nil"/>
              <w:left w:val="nil"/>
              <w:bottom w:val="single" w:sz="4" w:space="0" w:color="448A99"/>
              <w:right w:val="single" w:sz="4" w:space="0" w:color="448A99"/>
            </w:tcBorders>
            <w:shd w:val="clear" w:color="000000" w:fill="FFFFFF"/>
            <w:vAlign w:val="center"/>
            <w:hideMark/>
          </w:tcPr>
          <w:p w:rsidR="00C93F8E" w:rsidRPr="00B75B77" w:rsidRDefault="00424C62" w:rsidP="00BB039B">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52,899</w:t>
            </w:r>
          </w:p>
        </w:tc>
        <w:tc>
          <w:tcPr>
            <w:tcW w:w="1440" w:type="dxa"/>
            <w:tcBorders>
              <w:top w:val="nil"/>
              <w:left w:val="nil"/>
              <w:bottom w:val="single" w:sz="4" w:space="0" w:color="448A99"/>
              <w:right w:val="single" w:sz="4" w:space="0" w:color="448A99"/>
            </w:tcBorders>
            <w:shd w:val="clear" w:color="000000" w:fill="FFFFFF"/>
            <w:vAlign w:val="center"/>
            <w:hideMark/>
          </w:tcPr>
          <w:p w:rsidR="00C93F8E" w:rsidRPr="00B75B77" w:rsidRDefault="00C93F8E" w:rsidP="00BB039B">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6</w:t>
            </w:r>
            <w:r w:rsidR="00424C62" w:rsidRPr="00B75B77">
              <w:rPr>
                <w:rFonts w:ascii="Calibri" w:eastAsia="Times New Roman" w:hAnsi="Calibri"/>
                <w:b/>
                <w:color w:val="000000"/>
                <w:sz w:val="18"/>
                <w:szCs w:val="18"/>
              </w:rPr>
              <w:t>.2</w:t>
            </w:r>
          </w:p>
        </w:tc>
        <w:tc>
          <w:tcPr>
            <w:tcW w:w="1350" w:type="dxa"/>
            <w:tcBorders>
              <w:top w:val="nil"/>
              <w:left w:val="nil"/>
              <w:bottom w:val="single" w:sz="4" w:space="0" w:color="448A99"/>
              <w:right w:val="single" w:sz="4" w:space="0" w:color="448A99"/>
            </w:tcBorders>
            <w:shd w:val="clear" w:color="000000" w:fill="FFFFFF"/>
            <w:vAlign w:val="center"/>
            <w:hideMark/>
          </w:tcPr>
          <w:p w:rsidR="00C93F8E" w:rsidRPr="00B75B77" w:rsidRDefault="00424C62" w:rsidP="00BB039B">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54,607</w:t>
            </w:r>
          </w:p>
        </w:tc>
        <w:tc>
          <w:tcPr>
            <w:tcW w:w="1406" w:type="dxa"/>
            <w:tcBorders>
              <w:top w:val="nil"/>
              <w:left w:val="nil"/>
              <w:bottom w:val="single" w:sz="4" w:space="0" w:color="448A99"/>
              <w:right w:val="single" w:sz="4" w:space="0" w:color="448A99"/>
            </w:tcBorders>
            <w:shd w:val="clear" w:color="000000" w:fill="FFFFFF"/>
            <w:vAlign w:val="center"/>
            <w:hideMark/>
          </w:tcPr>
          <w:p w:rsidR="00C93F8E" w:rsidRPr="00B75B77" w:rsidRDefault="00424C62" w:rsidP="00BB039B">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6.2</w:t>
            </w:r>
          </w:p>
        </w:tc>
        <w:tc>
          <w:tcPr>
            <w:tcW w:w="978" w:type="dxa"/>
            <w:tcBorders>
              <w:top w:val="nil"/>
              <w:left w:val="nil"/>
              <w:bottom w:val="single" w:sz="4" w:space="0" w:color="448A99"/>
              <w:right w:val="single" w:sz="4" w:space="0" w:color="448A99"/>
            </w:tcBorders>
            <w:shd w:val="clear" w:color="000000" w:fill="FFFFFF"/>
            <w:vAlign w:val="center"/>
            <w:hideMark/>
          </w:tcPr>
          <w:p w:rsidR="00C93F8E" w:rsidRPr="00B75B77" w:rsidRDefault="00F7136E" w:rsidP="00451FB1">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w:t>
            </w:r>
            <w:r w:rsidR="00C93F8E" w:rsidRPr="00B75B77">
              <w:rPr>
                <w:rFonts w:ascii="Calibri" w:eastAsia="Times New Roman" w:hAnsi="Calibri"/>
                <w:b/>
                <w:color w:val="000000"/>
                <w:sz w:val="18"/>
                <w:szCs w:val="18"/>
              </w:rPr>
              <w:t>0</w:t>
            </w:r>
          </w:p>
        </w:tc>
      </w:tr>
    </w:tbl>
    <w:p w:rsidR="00C93F8E" w:rsidRPr="00B75B77" w:rsidRDefault="00C93F8E" w:rsidP="00BB039B">
      <w:pPr>
        <w:pStyle w:val="Source"/>
        <w:spacing w:before="20" w:after="20"/>
        <w:ind w:left="86" w:firstLine="0"/>
        <w:rPr>
          <w:i w:val="0"/>
        </w:rPr>
      </w:pPr>
      <w:r w:rsidRPr="00B75B77">
        <w:rPr>
          <w:rFonts w:ascii="Calibri" w:hAnsi="Calibri"/>
          <w:i w:val="0"/>
          <w:color w:val="000000"/>
          <w:szCs w:val="18"/>
          <w:vertAlign w:val="superscript"/>
        </w:rPr>
        <w:t>[1]</w:t>
      </w:r>
      <w:r w:rsidRPr="00B75B77">
        <w:rPr>
          <w:rFonts w:ascii="Calibri" w:hAnsi="Calibri"/>
          <w:i w:val="0"/>
          <w:color w:val="000000"/>
          <w:szCs w:val="18"/>
        </w:rPr>
        <w:t xml:space="preserve"> All customer sector totals are exclusive of each other and may be added together to get the Phase II totals.</w:t>
      </w:r>
      <w:r w:rsidRPr="00B75B77">
        <w:rPr>
          <w:rFonts w:ascii="Calibri" w:hAnsi="Calibri"/>
          <w:i w:val="0"/>
          <w:color w:val="000000"/>
          <w:szCs w:val="18"/>
        </w:rPr>
        <w:br/>
      </w:r>
      <w:r w:rsidRPr="00B75B77">
        <w:rPr>
          <w:rFonts w:ascii="Calibri" w:hAnsi="Calibri"/>
          <w:i w:val="0"/>
          <w:color w:val="000000"/>
          <w:szCs w:val="18"/>
          <w:vertAlign w:val="superscript"/>
        </w:rPr>
        <w:t>[2]</w:t>
      </w:r>
      <w:r w:rsidRPr="00B75B77">
        <w:rPr>
          <w:rFonts w:ascii="Calibri" w:hAnsi="Calibri"/>
          <w:i w:val="0"/>
          <w:color w:val="000000"/>
          <w:szCs w:val="18"/>
        </w:rPr>
        <w:t xml:space="preserve"> All reported and verified demand savings in this report include line losses as required.</w:t>
      </w:r>
      <w:r w:rsidRPr="00B75B77">
        <w:rPr>
          <w:rFonts w:ascii="Calibri" w:hAnsi="Calibri"/>
          <w:i w:val="0"/>
          <w:color w:val="000000"/>
          <w:szCs w:val="18"/>
        </w:rPr>
        <w:br/>
      </w:r>
      <w:r w:rsidRPr="00B75B77">
        <w:rPr>
          <w:rFonts w:ascii="Calibri" w:hAnsi="Calibri"/>
          <w:i w:val="0"/>
          <w:iCs/>
          <w:color w:val="000000"/>
          <w:szCs w:val="18"/>
        </w:rPr>
        <w:t>Note: Values in tables may not reconcile exactly with the sum of more detailed level results or previously reported results due to rounding.</w:t>
      </w:r>
    </w:p>
    <w:p w:rsidR="00C93F8E" w:rsidRPr="00B75B77" w:rsidRDefault="00C93F8E" w:rsidP="00BB039B">
      <w:pPr>
        <w:pStyle w:val="Source"/>
        <w:spacing w:after="120"/>
        <w:ind w:left="90" w:firstLine="0"/>
      </w:pPr>
      <w:r w:rsidRPr="00B75B77">
        <w:t>Source: Navigant analysis</w:t>
      </w:r>
    </w:p>
    <w:p w:rsidR="00C93F8E" w:rsidRPr="00B75B77" w:rsidRDefault="00C93F8E" w:rsidP="00502659">
      <w:pPr>
        <w:pStyle w:val="Heading3"/>
        <w:keepNext/>
      </w:pPr>
      <w:bookmarkStart w:id="577" w:name="_Ref464408466"/>
      <w:bookmarkStart w:id="578" w:name="_Toc466413361"/>
      <w:r w:rsidRPr="00B75B77">
        <w:t>Gross Verified Savings Methodology</w:t>
      </w:r>
      <w:bookmarkEnd w:id="577"/>
      <w:bookmarkEnd w:id="578"/>
      <w:r w:rsidRPr="00B75B77">
        <w:t xml:space="preserve"> </w:t>
      </w:r>
    </w:p>
    <w:p w:rsidR="00C93F8E" w:rsidRPr="00B75B77" w:rsidRDefault="00C93F8E" w:rsidP="00502659">
      <w:pPr>
        <w:keepNext/>
      </w:pPr>
      <w:r w:rsidRPr="00B75B77">
        <w:t>Navigant conducted a TRM-based engineering review of the program tracking database, coupled with information gathered from telephone survey verifications, to calculate verified gross savings values. The evaluation team conducted the engineering review using the entire population of projects in the tracking database. The verification surveys were conducted on a sample of Component 1, 3, and 4 participants</w:t>
      </w:r>
      <w:r w:rsidR="00F7136E" w:rsidRPr="00B75B77">
        <w:t>.</w:t>
      </w:r>
      <w:r w:rsidRPr="00B75B77">
        <w:t xml:space="preserve"> Consistent with the evaluation plan, Component 2 participants were not surveyed</w:t>
      </w:r>
      <w:r w:rsidR="00DD69BC" w:rsidRPr="00B75B77">
        <w:t>,</w:t>
      </w:r>
      <w:r w:rsidRPr="00B75B77">
        <w:t xml:space="preserve"> as they are primarily LIURP program customers. </w:t>
      </w:r>
    </w:p>
    <w:p w:rsidR="00C93F8E" w:rsidRPr="00B75B77" w:rsidRDefault="00C93F8E" w:rsidP="00BB039B"/>
    <w:p w:rsidR="00C93F8E" w:rsidRPr="00B75B77" w:rsidRDefault="00C93F8E" w:rsidP="00BB039B">
      <w:r w:rsidRPr="00B75B77">
        <w:t>For the PY7 evaluation, Navigant also conducted site visits for a non-statistical sample of 19 projects to validate phone survey results, actively engage with participants, identify potential additional measures, and observe the contractors’ interaction with the customer</w:t>
      </w:r>
      <w:r w:rsidR="00F7136E" w:rsidRPr="00B75B77">
        <w:t>s</w:t>
      </w:r>
      <w:r w:rsidRPr="00B75B77">
        <w:t>, the customers’ experience</w:t>
      </w:r>
      <w:r w:rsidR="00F7136E" w:rsidRPr="00B75B77">
        <w:t>s</w:t>
      </w:r>
      <w:r w:rsidRPr="00B75B77">
        <w:t>, and whether the contractor</w:t>
      </w:r>
      <w:r w:rsidR="00F7136E" w:rsidRPr="00B75B77">
        <w:t>s</w:t>
      </w:r>
      <w:r w:rsidRPr="00B75B77">
        <w:t xml:space="preserve"> performed their services in accordance with PECO’s plan. </w:t>
      </w:r>
    </w:p>
    <w:p w:rsidR="00C93F8E" w:rsidRPr="00B75B77" w:rsidRDefault="00C93F8E" w:rsidP="00BB039B"/>
    <w:p w:rsidR="00C93F8E" w:rsidRPr="00B75B77" w:rsidRDefault="00C93F8E" w:rsidP="00BB039B">
      <w:pPr>
        <w:rPr>
          <w:rFonts w:ascii="Arial" w:hAnsi="Arial" w:cs="Arial"/>
          <w:sz w:val="20"/>
          <w:szCs w:val="20"/>
        </w:rPr>
      </w:pPr>
      <w:r w:rsidRPr="00B75B77">
        <w:t xml:space="preserve">Navigant accompanied the LEEP CSP on five Component 1 comprehensive home energy </w:t>
      </w:r>
      <w:r w:rsidR="00903E68" w:rsidRPr="00B75B77">
        <w:t xml:space="preserve">ride-along </w:t>
      </w:r>
      <w:r w:rsidRPr="00B75B77">
        <w:t xml:space="preserve">audits during which the team observed the audit process and recorded information about the project and the home. </w:t>
      </w:r>
      <w:r w:rsidR="00D26BD3" w:rsidRPr="00B75B77">
        <w:rPr>
          <w:rFonts w:ascii="Arial" w:hAnsi="Arial" w:cs="Arial"/>
          <w:sz w:val="20"/>
          <w:szCs w:val="20"/>
        </w:rPr>
        <w:t xml:space="preserve">The five ride-along audits represented a qualitative sample, chosen by the CSP. The verification site visits were drawn from a subset of the Component 1 participant phone survey sample. </w:t>
      </w:r>
      <w:r w:rsidRPr="00B75B77">
        <w:t xml:space="preserve">Data collected included information about the overall condition of the home’s envelope, specifically the air sealing, windows, and doors. </w:t>
      </w:r>
      <w:r w:rsidR="00903E68" w:rsidRPr="00B75B77">
        <w:t xml:space="preserve"> </w:t>
      </w:r>
    </w:p>
    <w:p w:rsidR="00C93F8E" w:rsidRPr="00B75B77" w:rsidRDefault="00C93F8E" w:rsidP="00BB039B"/>
    <w:p w:rsidR="00C93F8E" w:rsidRPr="00B75B77" w:rsidRDefault="00C93F8E" w:rsidP="00BB039B">
      <w:r w:rsidRPr="00B75B77">
        <w:t>In addition to observing the comprehensive audits, Navigant staff performed 14 separate Component 1 follow-up site visits to verify measure installation</w:t>
      </w:r>
      <w:r w:rsidR="00F7136E" w:rsidRPr="00B75B77">
        <w:t>.</w:t>
      </w:r>
      <w:r w:rsidRPr="00B75B77">
        <w:t xml:space="preserve"> </w:t>
      </w:r>
      <w:r w:rsidR="00F7136E" w:rsidRPr="00B75B77">
        <w:t>One-</w:t>
      </w:r>
      <w:r w:rsidRPr="00B75B77">
        <w:t xml:space="preserve">half of these were in coordination with the CSP; the other seven were chosen from a sample of phone survey participants. The </w:t>
      </w:r>
      <w:r w:rsidR="004435BF" w:rsidRPr="00B75B77">
        <w:t>onsite</w:t>
      </w:r>
      <w:r w:rsidRPr="00B75B77">
        <w:t xml:space="preserve"> visits validated the phone survey responses and verified the measure installations that were recorded by the CSP. Navigant visually inspected the measures that were installed and compared the findings to customer survey responses and CSP records. </w:t>
      </w:r>
      <w:proofErr w:type="gramStart"/>
      <w:r w:rsidRPr="00B75B77">
        <w:t xml:space="preserve">While </w:t>
      </w:r>
      <w:r w:rsidR="00F7136E" w:rsidRPr="00B75B77">
        <w:t>onsite</w:t>
      </w:r>
      <w:r w:rsidRPr="00B75B77">
        <w:t>, Navigant also verified the quality of site visits that were performed and customers’ satisfaction with the program, representatives, and measures.</w:t>
      </w:r>
      <w:proofErr w:type="gramEnd"/>
      <w:r w:rsidRPr="00B75B77">
        <w:t xml:space="preserve"> </w:t>
      </w:r>
    </w:p>
    <w:p w:rsidR="00C93F8E" w:rsidRPr="00B75B77" w:rsidRDefault="00C93F8E" w:rsidP="00BB039B"/>
    <w:p w:rsidR="00C93F8E" w:rsidRPr="00B75B77" w:rsidRDefault="005F0C40" w:rsidP="00BB039B">
      <w:r w:rsidRPr="00B75B77">
        <w:fldChar w:fldCharType="begin"/>
      </w:r>
      <w:r w:rsidRPr="00B75B77">
        <w:instrText xml:space="preserve"> REF _Ref464138740 \h </w:instrText>
      </w:r>
      <w:r w:rsidR="002540CA" w:rsidRPr="00B75B77">
        <w:instrText xml:space="preserve"> \* MERGEFORMAT </w:instrText>
      </w:r>
      <w:r w:rsidRPr="00B75B77">
        <w:fldChar w:fldCharType="separate"/>
      </w:r>
      <w:r w:rsidR="0004016D" w:rsidRPr="00B75B77">
        <w:t xml:space="preserve">Table </w:t>
      </w:r>
      <w:r w:rsidR="0004016D">
        <w:rPr>
          <w:noProof/>
        </w:rPr>
        <w:t>8</w:t>
      </w:r>
      <w:r w:rsidR="0004016D" w:rsidRPr="00B75B77">
        <w:rPr>
          <w:noProof/>
        </w:rPr>
        <w:noBreakHyphen/>
      </w:r>
      <w:r w:rsidR="0004016D">
        <w:rPr>
          <w:noProof/>
        </w:rPr>
        <w:t>3</w:t>
      </w:r>
      <w:r w:rsidRPr="00B75B77">
        <w:fldChar w:fldCharType="end"/>
      </w:r>
      <w:r w:rsidR="00C93F8E" w:rsidRPr="00B75B77">
        <w:t xml:space="preserve"> presents the sampling strategy for the verification surveys, audit observations, and follow-up site visits.</w:t>
      </w:r>
    </w:p>
    <w:p w:rsidR="00C93F8E" w:rsidRPr="00B75B77" w:rsidRDefault="00C93F8E" w:rsidP="00BB039B">
      <w:pPr>
        <w:pStyle w:val="Caption"/>
        <w:spacing w:before="120"/>
      </w:pPr>
      <w:bookmarkStart w:id="579" w:name="_Ref464138740"/>
      <w:bookmarkStart w:id="580" w:name="_Toc466413567"/>
      <w:bookmarkStart w:id="581" w:name="_Ref463254646"/>
      <w:r w:rsidRPr="00B75B77">
        <w:lastRenderedPageBreak/>
        <w:t xml:space="preserve">Table </w:t>
      </w:r>
      <w:fldSimple w:instr=" STYLEREF 1 \s ">
        <w:r w:rsidR="0004016D">
          <w:rPr>
            <w:noProof/>
          </w:rPr>
          <w:t>8</w:t>
        </w:r>
      </w:fldSimple>
      <w:r w:rsidR="00F1144C" w:rsidRPr="00B75B77">
        <w:noBreakHyphen/>
      </w:r>
      <w:fldSimple w:instr=" SEQ Table \* ARABIC \s 1 ">
        <w:r w:rsidR="0004016D">
          <w:rPr>
            <w:noProof/>
          </w:rPr>
          <w:t>3</w:t>
        </w:r>
      </w:fldSimple>
      <w:bookmarkEnd w:id="579"/>
      <w:r w:rsidR="00F7136E" w:rsidRPr="00B75B77">
        <w:t xml:space="preserve">: </w:t>
      </w:r>
      <w:r w:rsidR="000C1E59" w:rsidRPr="00B75B77">
        <w:t>Low-</w:t>
      </w:r>
      <w:r w:rsidR="000A5BE2" w:rsidRPr="00B75B77">
        <w:t>Income Energy Efficiency Program</w:t>
      </w:r>
      <w:r w:rsidR="00F7136E" w:rsidRPr="00B75B77">
        <w:t xml:space="preserve"> Sampling Strategy for PY7</w:t>
      </w:r>
      <w:bookmarkEnd w:id="580"/>
      <w:r w:rsidR="002540CA" w:rsidRPr="00B75B77">
        <w:t xml:space="preserve"> </w:t>
      </w:r>
      <w:bookmarkEnd w:id="581"/>
    </w:p>
    <w:tbl>
      <w:tblPr>
        <w:tblW w:w="9355" w:type="dxa"/>
        <w:tblLook w:val="04A0" w:firstRow="1" w:lastRow="0" w:firstColumn="1" w:lastColumn="0" w:noHBand="0" w:noVBand="1"/>
      </w:tblPr>
      <w:tblGrid>
        <w:gridCol w:w="1705"/>
        <w:gridCol w:w="1170"/>
        <w:gridCol w:w="1745"/>
        <w:gridCol w:w="1429"/>
        <w:gridCol w:w="1519"/>
        <w:gridCol w:w="1787"/>
      </w:tblGrid>
      <w:tr w:rsidR="00C93F8E" w:rsidRPr="00B75B77" w:rsidTr="006D019E">
        <w:trPr>
          <w:trHeight w:val="288"/>
        </w:trPr>
        <w:tc>
          <w:tcPr>
            <w:tcW w:w="1705" w:type="dxa"/>
            <w:tcBorders>
              <w:top w:val="single" w:sz="4" w:space="0" w:color="auto"/>
              <w:left w:val="single" w:sz="4" w:space="0" w:color="auto"/>
              <w:bottom w:val="single" w:sz="4" w:space="0" w:color="auto"/>
              <w:right w:val="single" w:sz="6" w:space="0" w:color="auto"/>
            </w:tcBorders>
            <w:shd w:val="clear" w:color="000000" w:fill="448A99"/>
            <w:vAlign w:val="center"/>
            <w:hideMark/>
          </w:tcPr>
          <w:p w:rsidR="00C93F8E" w:rsidRPr="00B75B77" w:rsidRDefault="00C93F8E" w:rsidP="00451FB1">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Stratum</w:t>
            </w:r>
          </w:p>
        </w:tc>
        <w:tc>
          <w:tcPr>
            <w:tcW w:w="1170" w:type="dxa"/>
            <w:tcBorders>
              <w:top w:val="single" w:sz="4" w:space="0" w:color="auto"/>
              <w:left w:val="single" w:sz="6" w:space="0" w:color="auto"/>
              <w:bottom w:val="single" w:sz="4" w:space="0" w:color="auto"/>
              <w:right w:val="single" w:sz="6" w:space="0" w:color="auto"/>
            </w:tcBorders>
            <w:shd w:val="clear" w:color="000000" w:fill="448A99"/>
            <w:vAlign w:val="center"/>
            <w:hideMark/>
          </w:tcPr>
          <w:p w:rsidR="00C93F8E" w:rsidRPr="00B75B77" w:rsidRDefault="00C93F8E" w:rsidP="00BB039B">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Population Size</w:t>
            </w:r>
          </w:p>
        </w:tc>
        <w:tc>
          <w:tcPr>
            <w:tcW w:w="1745" w:type="dxa"/>
            <w:tcBorders>
              <w:top w:val="single" w:sz="4" w:space="0" w:color="auto"/>
              <w:left w:val="single" w:sz="6" w:space="0" w:color="auto"/>
              <w:bottom w:val="single" w:sz="4" w:space="0" w:color="auto"/>
              <w:right w:val="single" w:sz="6" w:space="0" w:color="auto"/>
            </w:tcBorders>
            <w:shd w:val="clear" w:color="000000" w:fill="448A99"/>
            <w:vAlign w:val="center"/>
            <w:hideMark/>
          </w:tcPr>
          <w:p w:rsidR="00C93F8E" w:rsidRPr="00B75B77" w:rsidRDefault="00451FB1" w:rsidP="00BB039B">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Target Levels of Confidence and</w:t>
            </w:r>
            <w:r w:rsidR="00C93F8E" w:rsidRPr="00B75B77">
              <w:rPr>
                <w:rFonts w:ascii="Calibri" w:eastAsia="Times New Roman" w:hAnsi="Calibri"/>
                <w:b/>
                <w:bCs/>
                <w:color w:val="FFFFFF"/>
                <w:sz w:val="18"/>
                <w:szCs w:val="18"/>
              </w:rPr>
              <w:t xml:space="preserve"> Precision</w:t>
            </w:r>
          </w:p>
        </w:tc>
        <w:tc>
          <w:tcPr>
            <w:tcW w:w="1429" w:type="dxa"/>
            <w:tcBorders>
              <w:top w:val="single" w:sz="4" w:space="0" w:color="auto"/>
              <w:left w:val="single" w:sz="6" w:space="0" w:color="auto"/>
              <w:bottom w:val="single" w:sz="4" w:space="0" w:color="auto"/>
              <w:right w:val="single" w:sz="6" w:space="0" w:color="auto"/>
            </w:tcBorders>
            <w:shd w:val="clear" w:color="000000" w:fill="448A99"/>
            <w:vAlign w:val="center"/>
            <w:hideMark/>
          </w:tcPr>
          <w:p w:rsidR="00C93F8E" w:rsidRPr="00B75B77" w:rsidRDefault="00C93F8E" w:rsidP="00BB039B">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Target Sample Size</w:t>
            </w:r>
          </w:p>
        </w:tc>
        <w:tc>
          <w:tcPr>
            <w:tcW w:w="1519" w:type="dxa"/>
            <w:tcBorders>
              <w:top w:val="single" w:sz="4" w:space="0" w:color="auto"/>
              <w:left w:val="single" w:sz="6" w:space="0" w:color="auto"/>
              <w:bottom w:val="single" w:sz="4" w:space="0" w:color="auto"/>
              <w:right w:val="single" w:sz="6" w:space="0" w:color="auto"/>
            </w:tcBorders>
            <w:shd w:val="clear" w:color="000000" w:fill="448A99"/>
            <w:vAlign w:val="center"/>
            <w:hideMark/>
          </w:tcPr>
          <w:p w:rsidR="00C93F8E" w:rsidRPr="00B75B77" w:rsidRDefault="00C93F8E" w:rsidP="00BB039B">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Achieved Sample Size</w:t>
            </w:r>
          </w:p>
        </w:tc>
        <w:tc>
          <w:tcPr>
            <w:tcW w:w="1787" w:type="dxa"/>
            <w:tcBorders>
              <w:top w:val="single" w:sz="4" w:space="0" w:color="auto"/>
              <w:left w:val="single" w:sz="6" w:space="0" w:color="auto"/>
              <w:bottom w:val="single" w:sz="4" w:space="0" w:color="auto"/>
              <w:right w:val="single" w:sz="4" w:space="0" w:color="auto"/>
            </w:tcBorders>
            <w:shd w:val="clear" w:color="000000" w:fill="448A99"/>
            <w:vAlign w:val="center"/>
            <w:hideMark/>
          </w:tcPr>
          <w:p w:rsidR="00C93F8E" w:rsidRPr="00B75B77" w:rsidRDefault="00C93F8E" w:rsidP="00F7136E">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Evaluation Activity</w:t>
            </w:r>
          </w:p>
        </w:tc>
      </w:tr>
      <w:tr w:rsidR="00C93F8E" w:rsidRPr="00B75B77" w:rsidTr="006D019E">
        <w:trPr>
          <w:trHeight w:val="288"/>
        </w:trPr>
        <w:tc>
          <w:tcPr>
            <w:tcW w:w="1705" w:type="dxa"/>
            <w:tcBorders>
              <w:top w:val="single" w:sz="4" w:space="0" w:color="auto"/>
              <w:left w:val="single" w:sz="4" w:space="0" w:color="448A99"/>
              <w:bottom w:val="single" w:sz="4" w:space="0" w:color="448A99"/>
              <w:right w:val="single" w:sz="4" w:space="0" w:color="448A99"/>
            </w:tcBorders>
            <w:shd w:val="clear" w:color="000000" w:fill="D2EAF1"/>
            <w:vAlign w:val="center"/>
            <w:hideMark/>
          </w:tcPr>
          <w:p w:rsidR="00C93F8E" w:rsidRPr="00B75B77" w:rsidRDefault="00C93F8E" w:rsidP="00BB039B">
            <w:pPr>
              <w:jc w:val="left"/>
              <w:rPr>
                <w:rFonts w:ascii="Calibri" w:eastAsia="Times New Roman" w:hAnsi="Calibri"/>
                <w:color w:val="000000"/>
                <w:sz w:val="18"/>
                <w:szCs w:val="18"/>
              </w:rPr>
            </w:pPr>
            <w:r w:rsidRPr="00B75B77">
              <w:rPr>
                <w:rFonts w:ascii="Calibri" w:eastAsia="Times New Roman" w:hAnsi="Calibri"/>
                <w:color w:val="000000"/>
                <w:sz w:val="18"/>
                <w:szCs w:val="18"/>
              </w:rPr>
              <w:t>All</w:t>
            </w:r>
          </w:p>
        </w:tc>
        <w:tc>
          <w:tcPr>
            <w:tcW w:w="1170" w:type="dxa"/>
            <w:tcBorders>
              <w:top w:val="single" w:sz="4" w:space="0" w:color="auto"/>
              <w:left w:val="single" w:sz="4" w:space="0" w:color="448A99"/>
              <w:bottom w:val="single" w:sz="4" w:space="0" w:color="448A99"/>
              <w:right w:val="single" w:sz="4" w:space="0" w:color="448A99"/>
            </w:tcBorders>
            <w:shd w:val="clear" w:color="000000" w:fill="D2EAF1"/>
            <w:vAlign w:val="center"/>
            <w:hideMark/>
          </w:tcPr>
          <w:p w:rsidR="00C93F8E" w:rsidRPr="00B75B77" w:rsidRDefault="00424C62"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222,711</w:t>
            </w:r>
          </w:p>
        </w:tc>
        <w:tc>
          <w:tcPr>
            <w:tcW w:w="1745" w:type="dxa"/>
            <w:tcBorders>
              <w:top w:val="single" w:sz="4" w:space="0" w:color="auto"/>
              <w:left w:val="single" w:sz="4" w:space="0" w:color="448A99"/>
              <w:bottom w:val="single" w:sz="4" w:space="0" w:color="448A99"/>
              <w:right w:val="single" w:sz="4" w:space="0" w:color="448A99"/>
            </w:tcBorders>
            <w:shd w:val="clear" w:color="000000" w:fill="D2EAF1"/>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1429" w:type="dxa"/>
            <w:tcBorders>
              <w:top w:val="single" w:sz="4" w:space="0" w:color="auto"/>
              <w:left w:val="single" w:sz="4" w:space="0" w:color="448A99"/>
              <w:bottom w:val="single" w:sz="4" w:space="0" w:color="448A99"/>
              <w:right w:val="single" w:sz="4" w:space="0" w:color="448A99"/>
            </w:tcBorders>
            <w:shd w:val="clear" w:color="000000" w:fill="D2EAF1"/>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All</w:t>
            </w:r>
          </w:p>
        </w:tc>
        <w:tc>
          <w:tcPr>
            <w:tcW w:w="1519" w:type="dxa"/>
            <w:tcBorders>
              <w:top w:val="single" w:sz="4" w:space="0" w:color="auto"/>
              <w:left w:val="single" w:sz="4" w:space="0" w:color="448A99"/>
              <w:bottom w:val="single" w:sz="4" w:space="0" w:color="448A99"/>
              <w:right w:val="single" w:sz="4" w:space="0" w:color="448A99"/>
            </w:tcBorders>
            <w:shd w:val="clear" w:color="000000" w:fill="D2EAF1"/>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All</w:t>
            </w:r>
          </w:p>
        </w:tc>
        <w:tc>
          <w:tcPr>
            <w:tcW w:w="1787" w:type="dxa"/>
            <w:tcBorders>
              <w:top w:val="single" w:sz="4" w:space="0" w:color="auto"/>
              <w:left w:val="single" w:sz="4" w:space="0" w:color="448A99"/>
              <w:bottom w:val="single" w:sz="4" w:space="0" w:color="448A99"/>
              <w:right w:val="single" w:sz="4" w:space="0" w:color="448A99"/>
            </w:tcBorders>
            <w:shd w:val="clear" w:color="000000" w:fill="D2EAF1"/>
            <w:vAlign w:val="center"/>
            <w:hideMark/>
          </w:tcPr>
          <w:p w:rsidR="00C93F8E" w:rsidRPr="00B75B77" w:rsidRDefault="00451FB1" w:rsidP="00F7136E">
            <w:pPr>
              <w:jc w:val="left"/>
              <w:rPr>
                <w:rFonts w:ascii="Calibri" w:eastAsia="Times New Roman" w:hAnsi="Calibri"/>
                <w:color w:val="000000"/>
                <w:sz w:val="18"/>
                <w:szCs w:val="18"/>
              </w:rPr>
            </w:pPr>
            <w:r w:rsidRPr="00B75B77">
              <w:rPr>
                <w:rFonts w:ascii="Calibri" w:eastAsia="Times New Roman" w:hAnsi="Calibri"/>
                <w:color w:val="000000"/>
                <w:sz w:val="18"/>
                <w:szCs w:val="18"/>
              </w:rPr>
              <w:t>Tracking d</w:t>
            </w:r>
            <w:r w:rsidR="00C93F8E" w:rsidRPr="00B75B77">
              <w:rPr>
                <w:rFonts w:ascii="Calibri" w:eastAsia="Times New Roman" w:hAnsi="Calibri"/>
                <w:color w:val="000000"/>
                <w:sz w:val="18"/>
                <w:szCs w:val="18"/>
              </w:rPr>
              <w:t>ata</w:t>
            </w:r>
          </w:p>
        </w:tc>
      </w:tr>
      <w:tr w:rsidR="00C93F8E" w:rsidRPr="00B75B77" w:rsidTr="006D019E">
        <w:trPr>
          <w:trHeight w:val="288"/>
        </w:trPr>
        <w:tc>
          <w:tcPr>
            <w:tcW w:w="1705" w:type="dxa"/>
            <w:tcBorders>
              <w:top w:val="single" w:sz="4" w:space="0" w:color="448A99"/>
              <w:left w:val="single" w:sz="4" w:space="0" w:color="448A99"/>
              <w:bottom w:val="single" w:sz="4" w:space="0" w:color="448A99"/>
              <w:right w:val="single" w:sz="4" w:space="0" w:color="448A99"/>
            </w:tcBorders>
            <w:shd w:val="clear" w:color="auto" w:fill="auto"/>
            <w:vAlign w:val="center"/>
          </w:tcPr>
          <w:p w:rsidR="00C93F8E" w:rsidRPr="00B75B77" w:rsidRDefault="00C93F8E" w:rsidP="00BB039B">
            <w:pPr>
              <w:jc w:val="left"/>
              <w:rPr>
                <w:rFonts w:ascii="Calibri" w:eastAsia="Times New Roman" w:hAnsi="Calibri"/>
                <w:color w:val="000000"/>
                <w:sz w:val="18"/>
                <w:szCs w:val="18"/>
              </w:rPr>
            </w:pPr>
            <w:r w:rsidRPr="00B75B77">
              <w:rPr>
                <w:rFonts w:ascii="Calibri" w:eastAsia="Times New Roman" w:hAnsi="Calibri"/>
                <w:color w:val="000000"/>
                <w:sz w:val="18"/>
                <w:szCs w:val="18"/>
              </w:rPr>
              <w:t>Component 1</w:t>
            </w:r>
          </w:p>
        </w:tc>
        <w:tc>
          <w:tcPr>
            <w:tcW w:w="11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C93F8E" w:rsidRPr="00B75B77" w:rsidRDefault="00424C62"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222,711</w:t>
            </w:r>
          </w:p>
        </w:tc>
        <w:tc>
          <w:tcPr>
            <w:tcW w:w="1745" w:type="dxa"/>
            <w:tcBorders>
              <w:top w:val="single" w:sz="4" w:space="0" w:color="448A99"/>
              <w:left w:val="single" w:sz="4" w:space="0" w:color="448A99"/>
              <w:bottom w:val="single" w:sz="4" w:space="0" w:color="448A99"/>
              <w:right w:val="single" w:sz="4" w:space="0" w:color="448A99"/>
            </w:tcBorders>
            <w:shd w:val="clear" w:color="auto" w:fill="auto"/>
            <w:vAlign w:val="center"/>
          </w:tcPr>
          <w:p w:rsidR="00C93F8E" w:rsidRPr="00B75B77" w:rsidRDefault="005F0C40"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429" w:type="dxa"/>
            <w:tcBorders>
              <w:top w:val="single" w:sz="4" w:space="0" w:color="448A99"/>
              <w:left w:val="single" w:sz="4" w:space="0" w:color="448A99"/>
              <w:bottom w:val="single" w:sz="4" w:space="0" w:color="448A99"/>
              <w:right w:val="single" w:sz="4" w:space="0" w:color="448A99"/>
            </w:tcBorders>
            <w:shd w:val="clear" w:color="auto" w:fill="auto"/>
            <w:vAlign w:val="center"/>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5</w:t>
            </w:r>
          </w:p>
        </w:tc>
        <w:tc>
          <w:tcPr>
            <w:tcW w:w="1519" w:type="dxa"/>
            <w:tcBorders>
              <w:top w:val="single" w:sz="4" w:space="0" w:color="448A99"/>
              <w:left w:val="single" w:sz="4" w:space="0" w:color="448A99"/>
              <w:bottom w:val="single" w:sz="4" w:space="0" w:color="448A99"/>
              <w:right w:val="single" w:sz="4" w:space="0" w:color="448A99"/>
            </w:tcBorders>
            <w:shd w:val="clear" w:color="auto" w:fill="auto"/>
            <w:vAlign w:val="center"/>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5</w:t>
            </w:r>
          </w:p>
        </w:tc>
        <w:tc>
          <w:tcPr>
            <w:tcW w:w="1787" w:type="dxa"/>
            <w:tcBorders>
              <w:top w:val="single" w:sz="4" w:space="0" w:color="448A99"/>
              <w:left w:val="single" w:sz="4" w:space="0" w:color="448A99"/>
              <w:bottom w:val="single" w:sz="4" w:space="0" w:color="448A99"/>
              <w:right w:val="single" w:sz="4" w:space="0" w:color="448A99"/>
            </w:tcBorders>
            <w:shd w:val="clear" w:color="auto" w:fill="auto"/>
            <w:vAlign w:val="center"/>
          </w:tcPr>
          <w:p w:rsidR="00C93F8E" w:rsidRPr="00B75B77" w:rsidRDefault="00C93F8E" w:rsidP="00F7136E">
            <w:pPr>
              <w:jc w:val="left"/>
              <w:rPr>
                <w:rFonts w:ascii="Calibri" w:eastAsia="Times New Roman" w:hAnsi="Calibri"/>
                <w:color w:val="000000"/>
                <w:sz w:val="18"/>
                <w:szCs w:val="18"/>
              </w:rPr>
            </w:pPr>
            <w:r w:rsidRPr="00B75B77">
              <w:rPr>
                <w:rFonts w:ascii="Calibri" w:eastAsia="Times New Roman" w:hAnsi="Calibri"/>
                <w:color w:val="000000"/>
                <w:sz w:val="18"/>
                <w:szCs w:val="18"/>
              </w:rPr>
              <w:t>Ride-</w:t>
            </w:r>
            <w:r w:rsidR="00451FB1" w:rsidRPr="00B75B77">
              <w:rPr>
                <w:rFonts w:ascii="Calibri" w:eastAsia="Times New Roman" w:hAnsi="Calibri"/>
                <w:color w:val="000000"/>
                <w:sz w:val="18"/>
                <w:szCs w:val="18"/>
              </w:rPr>
              <w:t>along a</w:t>
            </w:r>
            <w:r w:rsidR="00E005B4" w:rsidRPr="00B75B77">
              <w:rPr>
                <w:rFonts w:ascii="Calibri" w:eastAsia="Times New Roman" w:hAnsi="Calibri"/>
                <w:color w:val="000000"/>
                <w:sz w:val="18"/>
                <w:szCs w:val="18"/>
              </w:rPr>
              <w:t>udits</w:t>
            </w:r>
          </w:p>
        </w:tc>
      </w:tr>
      <w:tr w:rsidR="00C93F8E" w:rsidRPr="00B75B77" w:rsidTr="006D019E">
        <w:trPr>
          <w:trHeight w:val="288"/>
        </w:trPr>
        <w:tc>
          <w:tcPr>
            <w:tcW w:w="1705" w:type="dxa"/>
            <w:tcBorders>
              <w:top w:val="single" w:sz="4" w:space="0" w:color="448A99"/>
              <w:left w:val="single" w:sz="4" w:space="0" w:color="448A99"/>
              <w:bottom w:val="single" w:sz="4" w:space="0" w:color="448A99"/>
              <w:right w:val="single" w:sz="4" w:space="0" w:color="448A99"/>
            </w:tcBorders>
            <w:shd w:val="clear" w:color="000000" w:fill="D2EAF1"/>
            <w:vAlign w:val="center"/>
          </w:tcPr>
          <w:p w:rsidR="00C93F8E" w:rsidRPr="00B75B77" w:rsidRDefault="00C93F8E" w:rsidP="00BB039B">
            <w:pPr>
              <w:jc w:val="left"/>
              <w:rPr>
                <w:rFonts w:ascii="Calibri" w:eastAsia="Times New Roman" w:hAnsi="Calibri"/>
                <w:color w:val="000000"/>
                <w:sz w:val="18"/>
                <w:szCs w:val="18"/>
              </w:rPr>
            </w:pPr>
            <w:r w:rsidRPr="00B75B77">
              <w:rPr>
                <w:rFonts w:ascii="Calibri" w:eastAsia="Times New Roman" w:hAnsi="Calibri"/>
                <w:color w:val="000000"/>
                <w:sz w:val="18"/>
                <w:szCs w:val="18"/>
              </w:rPr>
              <w:t>Component 1</w:t>
            </w:r>
          </w:p>
        </w:tc>
        <w:tc>
          <w:tcPr>
            <w:tcW w:w="1170" w:type="dxa"/>
            <w:tcBorders>
              <w:top w:val="single" w:sz="4" w:space="0" w:color="448A99"/>
              <w:left w:val="single" w:sz="4" w:space="0" w:color="448A99"/>
              <w:bottom w:val="single" w:sz="4" w:space="0" w:color="448A99"/>
              <w:right w:val="single" w:sz="4" w:space="0" w:color="448A99"/>
            </w:tcBorders>
            <w:shd w:val="clear" w:color="000000" w:fill="D2EAF1"/>
            <w:vAlign w:val="center"/>
          </w:tcPr>
          <w:p w:rsidR="00C93F8E" w:rsidRPr="00B75B77" w:rsidRDefault="00424C62"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222,711</w:t>
            </w:r>
          </w:p>
        </w:tc>
        <w:tc>
          <w:tcPr>
            <w:tcW w:w="1745" w:type="dxa"/>
            <w:tcBorders>
              <w:top w:val="single" w:sz="4" w:space="0" w:color="448A99"/>
              <w:left w:val="single" w:sz="4" w:space="0" w:color="448A99"/>
              <w:bottom w:val="single" w:sz="4" w:space="0" w:color="448A99"/>
              <w:right w:val="single" w:sz="4" w:space="0" w:color="448A99"/>
            </w:tcBorders>
            <w:shd w:val="clear" w:color="000000" w:fill="D2EAF1"/>
            <w:vAlign w:val="center"/>
          </w:tcPr>
          <w:p w:rsidR="00C93F8E" w:rsidRPr="00B75B77" w:rsidRDefault="005F0C40"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429" w:type="dxa"/>
            <w:tcBorders>
              <w:top w:val="single" w:sz="4" w:space="0" w:color="448A99"/>
              <w:left w:val="single" w:sz="4" w:space="0" w:color="448A99"/>
              <w:bottom w:val="single" w:sz="4" w:space="0" w:color="448A99"/>
              <w:right w:val="single" w:sz="4" w:space="0" w:color="448A99"/>
            </w:tcBorders>
            <w:shd w:val="clear" w:color="000000" w:fill="D2EAF1"/>
            <w:vAlign w:val="center"/>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16</w:t>
            </w:r>
          </w:p>
        </w:tc>
        <w:tc>
          <w:tcPr>
            <w:tcW w:w="1519" w:type="dxa"/>
            <w:tcBorders>
              <w:top w:val="single" w:sz="4" w:space="0" w:color="448A99"/>
              <w:left w:val="single" w:sz="4" w:space="0" w:color="448A99"/>
              <w:bottom w:val="single" w:sz="4" w:space="0" w:color="448A99"/>
              <w:right w:val="single" w:sz="4" w:space="0" w:color="448A99"/>
            </w:tcBorders>
            <w:shd w:val="clear" w:color="000000" w:fill="D2EAF1"/>
            <w:vAlign w:val="center"/>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14</w:t>
            </w:r>
          </w:p>
        </w:tc>
        <w:tc>
          <w:tcPr>
            <w:tcW w:w="1787" w:type="dxa"/>
            <w:tcBorders>
              <w:top w:val="single" w:sz="4" w:space="0" w:color="448A99"/>
              <w:left w:val="single" w:sz="4" w:space="0" w:color="448A99"/>
              <w:bottom w:val="single" w:sz="4" w:space="0" w:color="448A99"/>
              <w:right w:val="single" w:sz="4" w:space="0" w:color="448A99"/>
            </w:tcBorders>
            <w:shd w:val="clear" w:color="000000" w:fill="D2EAF1"/>
            <w:vAlign w:val="center"/>
          </w:tcPr>
          <w:p w:rsidR="00C93F8E" w:rsidRPr="00B75B77" w:rsidRDefault="00451FB1" w:rsidP="00F7136E">
            <w:pPr>
              <w:jc w:val="left"/>
              <w:rPr>
                <w:rFonts w:ascii="Calibri" w:eastAsia="Times New Roman" w:hAnsi="Calibri"/>
                <w:color w:val="000000"/>
                <w:sz w:val="18"/>
                <w:szCs w:val="18"/>
              </w:rPr>
            </w:pPr>
            <w:r w:rsidRPr="00B75B77">
              <w:rPr>
                <w:rFonts w:ascii="Calibri" w:eastAsia="Times New Roman" w:hAnsi="Calibri"/>
                <w:color w:val="000000"/>
                <w:sz w:val="18"/>
                <w:szCs w:val="18"/>
              </w:rPr>
              <w:t>Verification site v</w:t>
            </w:r>
            <w:r w:rsidR="00C93F8E" w:rsidRPr="00B75B77">
              <w:rPr>
                <w:rFonts w:ascii="Calibri" w:eastAsia="Times New Roman" w:hAnsi="Calibri"/>
                <w:color w:val="000000"/>
                <w:sz w:val="18"/>
                <w:szCs w:val="18"/>
              </w:rPr>
              <w:t>isits</w:t>
            </w:r>
          </w:p>
        </w:tc>
      </w:tr>
      <w:tr w:rsidR="00C93F8E" w:rsidRPr="00B75B77" w:rsidTr="006D019E">
        <w:trPr>
          <w:trHeight w:val="288"/>
        </w:trPr>
        <w:tc>
          <w:tcPr>
            <w:tcW w:w="1705" w:type="dxa"/>
            <w:tcBorders>
              <w:top w:val="single" w:sz="4" w:space="0" w:color="448A99"/>
              <w:left w:val="single" w:sz="4" w:space="0" w:color="448A99"/>
              <w:bottom w:val="single" w:sz="4" w:space="0" w:color="448A99"/>
              <w:right w:val="single" w:sz="4" w:space="0" w:color="448A99"/>
            </w:tcBorders>
            <w:shd w:val="clear" w:color="000000" w:fill="FFFFFF"/>
            <w:vAlign w:val="center"/>
            <w:hideMark/>
          </w:tcPr>
          <w:p w:rsidR="00C93F8E" w:rsidRPr="00B75B77" w:rsidRDefault="006D019E" w:rsidP="00BB039B">
            <w:pPr>
              <w:jc w:val="left"/>
              <w:rPr>
                <w:rFonts w:ascii="Calibri" w:eastAsia="Times New Roman" w:hAnsi="Calibri"/>
                <w:b/>
                <w:color w:val="000000"/>
                <w:sz w:val="18"/>
                <w:szCs w:val="18"/>
              </w:rPr>
            </w:pPr>
            <w:r w:rsidRPr="00B75B77">
              <w:rPr>
                <w:rFonts w:ascii="Calibri" w:eastAsia="Times New Roman" w:hAnsi="Calibri"/>
                <w:b/>
                <w:color w:val="000000"/>
                <w:sz w:val="18"/>
                <w:szCs w:val="18"/>
              </w:rPr>
              <w:t>PROGRAM TOTAL</w:t>
            </w:r>
          </w:p>
        </w:tc>
        <w:tc>
          <w:tcPr>
            <w:tcW w:w="1170" w:type="dxa"/>
            <w:tcBorders>
              <w:top w:val="single" w:sz="4" w:space="0" w:color="448A99"/>
              <w:left w:val="nil"/>
              <w:bottom w:val="single" w:sz="4" w:space="0" w:color="448A99"/>
              <w:right w:val="single" w:sz="4" w:space="0" w:color="448A99"/>
            </w:tcBorders>
            <w:shd w:val="clear" w:color="000000" w:fill="FFFFFF"/>
            <w:vAlign w:val="center"/>
            <w:hideMark/>
          </w:tcPr>
          <w:p w:rsidR="00C93F8E" w:rsidRPr="00B75B77" w:rsidRDefault="00C93F8E" w:rsidP="00BB039B">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0</w:t>
            </w:r>
          </w:p>
        </w:tc>
        <w:tc>
          <w:tcPr>
            <w:tcW w:w="1745" w:type="dxa"/>
            <w:tcBorders>
              <w:top w:val="single" w:sz="4" w:space="0" w:color="448A99"/>
              <w:left w:val="nil"/>
              <w:bottom w:val="single" w:sz="4" w:space="0" w:color="448A99"/>
              <w:right w:val="single" w:sz="4" w:space="0" w:color="448A99"/>
            </w:tcBorders>
            <w:shd w:val="clear" w:color="000000" w:fill="FFFFFF"/>
            <w:vAlign w:val="center"/>
            <w:hideMark/>
          </w:tcPr>
          <w:p w:rsidR="00C93F8E" w:rsidRPr="00B75B77" w:rsidRDefault="00C93F8E" w:rsidP="00BB039B">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0</w:t>
            </w:r>
          </w:p>
        </w:tc>
        <w:tc>
          <w:tcPr>
            <w:tcW w:w="1429" w:type="dxa"/>
            <w:tcBorders>
              <w:top w:val="single" w:sz="4" w:space="0" w:color="448A99"/>
              <w:left w:val="nil"/>
              <w:bottom w:val="single" w:sz="4" w:space="0" w:color="448A99"/>
              <w:right w:val="single" w:sz="4" w:space="0" w:color="448A99"/>
            </w:tcBorders>
            <w:shd w:val="clear" w:color="000000" w:fill="FFFFFF"/>
            <w:vAlign w:val="center"/>
            <w:hideMark/>
          </w:tcPr>
          <w:p w:rsidR="00C93F8E" w:rsidRPr="00B75B77" w:rsidRDefault="00C93F8E" w:rsidP="00BB039B">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0.00</w:t>
            </w:r>
          </w:p>
        </w:tc>
        <w:tc>
          <w:tcPr>
            <w:tcW w:w="1519" w:type="dxa"/>
            <w:tcBorders>
              <w:top w:val="single" w:sz="4" w:space="0" w:color="448A99"/>
              <w:left w:val="nil"/>
              <w:bottom w:val="single" w:sz="4" w:space="0" w:color="448A99"/>
              <w:right w:val="single" w:sz="4" w:space="0" w:color="448A99"/>
            </w:tcBorders>
            <w:shd w:val="clear" w:color="000000" w:fill="FFFFFF"/>
            <w:vAlign w:val="center"/>
            <w:hideMark/>
          </w:tcPr>
          <w:p w:rsidR="00C93F8E" w:rsidRPr="00B75B77" w:rsidRDefault="00C93F8E" w:rsidP="00BB039B">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0</w:t>
            </w:r>
          </w:p>
        </w:tc>
        <w:tc>
          <w:tcPr>
            <w:tcW w:w="1787" w:type="dxa"/>
            <w:tcBorders>
              <w:top w:val="single" w:sz="4" w:space="0" w:color="448A99"/>
              <w:left w:val="nil"/>
              <w:bottom w:val="single" w:sz="4" w:space="0" w:color="448A99"/>
              <w:right w:val="single" w:sz="4" w:space="0" w:color="448A99"/>
            </w:tcBorders>
            <w:shd w:val="clear" w:color="000000" w:fill="FFFFFF"/>
            <w:vAlign w:val="center"/>
            <w:hideMark/>
          </w:tcPr>
          <w:p w:rsidR="00C93F8E" w:rsidRPr="00B75B77" w:rsidRDefault="00C93F8E" w:rsidP="00F7136E">
            <w:pPr>
              <w:jc w:val="left"/>
              <w:rPr>
                <w:rFonts w:ascii="Calibri" w:eastAsia="Times New Roman" w:hAnsi="Calibri"/>
                <w:b/>
                <w:color w:val="000000"/>
                <w:sz w:val="18"/>
                <w:szCs w:val="18"/>
              </w:rPr>
            </w:pPr>
            <w:r w:rsidRPr="00B75B77">
              <w:rPr>
                <w:rFonts w:ascii="Calibri" w:eastAsia="Times New Roman" w:hAnsi="Calibri"/>
                <w:b/>
                <w:color w:val="000000"/>
                <w:sz w:val="18"/>
                <w:szCs w:val="18"/>
              </w:rPr>
              <w:t>N/A</w:t>
            </w:r>
          </w:p>
        </w:tc>
      </w:tr>
    </w:tbl>
    <w:p w:rsidR="00C93F8E" w:rsidRPr="00B75B77" w:rsidRDefault="00C93F8E" w:rsidP="00BB039B">
      <w:pPr>
        <w:pStyle w:val="Source"/>
        <w:spacing w:before="20" w:after="20"/>
        <w:ind w:left="86" w:firstLine="0"/>
        <w:rPr>
          <w:i w:val="0"/>
        </w:rPr>
      </w:pPr>
      <w:r w:rsidRPr="00B75B77">
        <w:rPr>
          <w:i w:val="0"/>
        </w:rPr>
        <w:t xml:space="preserve">Note: </w:t>
      </w:r>
      <w:r w:rsidRPr="00B75B77">
        <w:rPr>
          <w:rFonts w:ascii="Calibri" w:hAnsi="Calibri"/>
          <w:i w:val="0"/>
          <w:iCs/>
          <w:color w:val="000000"/>
          <w:szCs w:val="18"/>
        </w:rPr>
        <w:t xml:space="preserve">Values in tables may not reconcile exactly with </w:t>
      </w:r>
      <w:r w:rsidR="005F0C40" w:rsidRPr="00B75B77">
        <w:rPr>
          <w:rFonts w:ascii="Calibri" w:hAnsi="Calibri"/>
          <w:i w:val="0"/>
          <w:iCs/>
          <w:color w:val="000000"/>
          <w:szCs w:val="18"/>
        </w:rPr>
        <w:t xml:space="preserve">the </w:t>
      </w:r>
      <w:r w:rsidRPr="00B75B77">
        <w:rPr>
          <w:rFonts w:ascii="Calibri" w:hAnsi="Calibri"/>
          <w:i w:val="0"/>
          <w:iCs/>
          <w:color w:val="000000"/>
          <w:szCs w:val="18"/>
        </w:rPr>
        <w:t>sum of more detailed level results or previously reported results due to rounding.</w:t>
      </w:r>
    </w:p>
    <w:p w:rsidR="00C93F8E" w:rsidRPr="00B75B77" w:rsidRDefault="00C93F8E" w:rsidP="00BB039B">
      <w:pPr>
        <w:pStyle w:val="Source"/>
        <w:spacing w:after="120"/>
        <w:ind w:left="90" w:firstLine="0"/>
      </w:pPr>
      <w:r w:rsidRPr="00B75B77">
        <w:t>Source: Navigant analysis</w:t>
      </w:r>
    </w:p>
    <w:p w:rsidR="00C93F8E" w:rsidRPr="00B75B77" w:rsidRDefault="00C93F8E" w:rsidP="00BB039B">
      <w:pPr>
        <w:pStyle w:val="Heading3"/>
      </w:pPr>
      <w:bookmarkStart w:id="582" w:name="_Toc464230415"/>
      <w:bookmarkStart w:id="583" w:name="_Toc466413362"/>
      <w:bookmarkEnd w:id="582"/>
      <w:r w:rsidRPr="00B75B77">
        <w:t>Gross Verified Savings Results</w:t>
      </w:r>
      <w:bookmarkEnd w:id="583"/>
      <w:r w:rsidRPr="00B75B77">
        <w:t xml:space="preserve"> </w:t>
      </w:r>
    </w:p>
    <w:p w:rsidR="00C93F8E" w:rsidRPr="00B75B77" w:rsidRDefault="00C93F8E" w:rsidP="00BB039B">
      <w:r w:rsidRPr="00B75B77">
        <w:t xml:space="preserve">In PY7, LEEP achieved verified energy savings of 18,304 MWh and verified demand savings of 2.4 MW. The evaluation team reduced LEEP’s reported gross energy savings by 8%, principally due to an adjustment to the refrigerator savings calculation methodology. The savings adjustments for Components 1 and 4 are both due to this issue, which is discussed further later in this section. </w:t>
      </w:r>
    </w:p>
    <w:p w:rsidR="00C93F8E" w:rsidRPr="00B75B77" w:rsidRDefault="00C93F8E" w:rsidP="00BB039B"/>
    <w:p w:rsidR="00C93F8E" w:rsidRPr="00B75B77" w:rsidRDefault="00C93F8E" w:rsidP="00BB039B">
      <w:r w:rsidRPr="00B75B77">
        <w:t xml:space="preserve">As seen in </w:t>
      </w:r>
      <w:r w:rsidR="005F0C40" w:rsidRPr="00B75B77">
        <w:fldChar w:fldCharType="begin"/>
      </w:r>
      <w:r w:rsidR="005F0C40" w:rsidRPr="00B75B77">
        <w:instrText xml:space="preserve"> REF _Ref464138587 \h </w:instrText>
      </w:r>
      <w:r w:rsidR="002540CA" w:rsidRPr="00B75B77">
        <w:instrText xml:space="preserve"> \* MERGEFORMAT </w:instrText>
      </w:r>
      <w:r w:rsidR="005F0C40" w:rsidRPr="00B75B77">
        <w:fldChar w:fldCharType="separate"/>
      </w:r>
      <w:r w:rsidR="0004016D" w:rsidRPr="00B75B77">
        <w:t xml:space="preserve">Table </w:t>
      </w:r>
      <w:r w:rsidR="0004016D">
        <w:rPr>
          <w:noProof/>
        </w:rPr>
        <w:t>8</w:t>
      </w:r>
      <w:r w:rsidR="0004016D" w:rsidRPr="00B75B77">
        <w:rPr>
          <w:noProof/>
        </w:rPr>
        <w:noBreakHyphen/>
      </w:r>
      <w:r w:rsidR="0004016D">
        <w:rPr>
          <w:noProof/>
        </w:rPr>
        <w:t>4</w:t>
      </w:r>
      <w:r w:rsidR="005F0C40" w:rsidRPr="00B75B77">
        <w:fldChar w:fldCharType="end"/>
      </w:r>
      <w:r w:rsidRPr="00B75B77">
        <w:t>, which shows reported and verified savings by component, Component 3 continues to be the largest source of LEEP’s savings. CFL savings, largely driven by Component 3, contribute 76% of the program total savings.</w:t>
      </w:r>
    </w:p>
    <w:p w:rsidR="00C93F8E" w:rsidRPr="00B75B77" w:rsidRDefault="00C93F8E" w:rsidP="00BB039B"/>
    <w:p w:rsidR="00C93F8E" w:rsidRPr="00B75B77" w:rsidRDefault="00C93F8E" w:rsidP="00BB039B">
      <w:pPr>
        <w:pStyle w:val="Caption"/>
      </w:pPr>
      <w:bookmarkStart w:id="584" w:name="_Ref464138587"/>
      <w:bookmarkStart w:id="585" w:name="_Toc466413568"/>
      <w:bookmarkStart w:id="586" w:name="_Ref463274350"/>
      <w:r w:rsidRPr="00B75B77">
        <w:t xml:space="preserve">Table </w:t>
      </w:r>
      <w:fldSimple w:instr=" STYLEREF 1 \s ">
        <w:r w:rsidR="0004016D">
          <w:rPr>
            <w:noProof/>
          </w:rPr>
          <w:t>8</w:t>
        </w:r>
      </w:fldSimple>
      <w:r w:rsidR="00F1144C" w:rsidRPr="00B75B77">
        <w:noBreakHyphen/>
      </w:r>
      <w:fldSimple w:instr=" SEQ Table \* ARABIC \s 1 ">
        <w:r w:rsidR="0004016D">
          <w:rPr>
            <w:noProof/>
          </w:rPr>
          <w:t>4</w:t>
        </w:r>
      </w:fldSimple>
      <w:bookmarkEnd w:id="584"/>
      <w:r w:rsidR="005F0C40" w:rsidRPr="00B75B77">
        <w:t xml:space="preserve">: PY7 </w:t>
      </w:r>
      <w:r w:rsidR="000C1E59" w:rsidRPr="00B75B77">
        <w:t>Low-</w:t>
      </w:r>
      <w:r w:rsidR="000A5BE2" w:rsidRPr="00B75B77">
        <w:t>Income Energy Efficiency Program</w:t>
      </w:r>
      <w:r w:rsidR="005F0C40" w:rsidRPr="00B75B77">
        <w:t xml:space="preserve"> Summary of Evaluation Results for Energy</w:t>
      </w:r>
      <w:bookmarkEnd w:id="585"/>
      <w:r w:rsidR="002540CA" w:rsidRPr="00B75B77">
        <w:t xml:space="preserve"> </w:t>
      </w:r>
      <w:bookmarkEnd w:id="586"/>
    </w:p>
    <w:tbl>
      <w:tblPr>
        <w:tblW w:w="9355" w:type="dxa"/>
        <w:tblLook w:val="04A0" w:firstRow="1" w:lastRow="0" w:firstColumn="1" w:lastColumn="0" w:noHBand="0" w:noVBand="1"/>
      </w:tblPr>
      <w:tblGrid>
        <w:gridCol w:w="1615"/>
        <w:gridCol w:w="1530"/>
        <w:gridCol w:w="1046"/>
        <w:gridCol w:w="1744"/>
        <w:gridCol w:w="1800"/>
        <w:gridCol w:w="1620"/>
      </w:tblGrid>
      <w:tr w:rsidR="00C93F8E" w:rsidRPr="00B75B77" w:rsidTr="006D019E">
        <w:trPr>
          <w:trHeight w:val="288"/>
        </w:trPr>
        <w:tc>
          <w:tcPr>
            <w:tcW w:w="1615"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C93F8E" w:rsidRPr="00B75B77" w:rsidRDefault="00C93F8E" w:rsidP="00451FB1">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Stratum</w:t>
            </w:r>
          </w:p>
        </w:tc>
        <w:tc>
          <w:tcPr>
            <w:tcW w:w="153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C93F8E" w:rsidRPr="00B75B77" w:rsidRDefault="00C93F8E" w:rsidP="00BB039B">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Reported Gross Energy Savings (MWh/</w:t>
            </w:r>
            <w:proofErr w:type="spellStart"/>
            <w:r w:rsidRPr="00B75B77">
              <w:rPr>
                <w:rFonts w:ascii="Calibri" w:eastAsia="Times New Roman" w:hAnsi="Calibri"/>
                <w:b/>
                <w:bCs/>
                <w:color w:val="FFFFFF"/>
                <w:sz w:val="18"/>
                <w:szCs w:val="18"/>
              </w:rPr>
              <w:t>yr</w:t>
            </w:r>
            <w:proofErr w:type="spellEnd"/>
            <w:r w:rsidRPr="00B75B77">
              <w:rPr>
                <w:rFonts w:ascii="Calibri" w:eastAsia="Times New Roman" w:hAnsi="Calibri"/>
                <w:b/>
                <w:bCs/>
                <w:color w:val="FFFFFF"/>
                <w:sz w:val="18"/>
                <w:szCs w:val="18"/>
              </w:rPr>
              <w:t>)</w:t>
            </w:r>
          </w:p>
        </w:tc>
        <w:tc>
          <w:tcPr>
            <w:tcW w:w="1046"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C93F8E" w:rsidRPr="00B75B77" w:rsidRDefault="00C93F8E" w:rsidP="00BB039B">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Energy Realization Rate (%)</w:t>
            </w:r>
          </w:p>
        </w:tc>
        <w:tc>
          <w:tcPr>
            <w:tcW w:w="1744"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C93F8E" w:rsidRPr="00B75B77" w:rsidRDefault="00C93F8E" w:rsidP="00BB039B">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Verified Gross Energy Savings (MWh/</w:t>
            </w:r>
            <w:proofErr w:type="spellStart"/>
            <w:r w:rsidRPr="00B75B77">
              <w:rPr>
                <w:rFonts w:ascii="Calibri" w:eastAsia="Times New Roman" w:hAnsi="Calibri"/>
                <w:b/>
                <w:bCs/>
                <w:color w:val="FFFFFF"/>
                <w:sz w:val="18"/>
                <w:szCs w:val="18"/>
              </w:rPr>
              <w:t>yr</w:t>
            </w:r>
            <w:proofErr w:type="spellEnd"/>
            <w:r w:rsidRPr="00B75B77">
              <w:rPr>
                <w:rFonts w:ascii="Calibri" w:eastAsia="Times New Roman" w:hAnsi="Calibri"/>
                <w:b/>
                <w:bCs/>
                <w:color w:val="FFFFFF"/>
                <w:sz w:val="18"/>
                <w:szCs w:val="18"/>
              </w:rPr>
              <w:t>)</w:t>
            </w:r>
          </w:p>
        </w:tc>
        <w:tc>
          <w:tcPr>
            <w:tcW w:w="180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C93F8E" w:rsidRPr="00B75B77" w:rsidRDefault="00C93F8E" w:rsidP="00BB039B">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Observed CV or Proportion in Sample Design</w:t>
            </w:r>
          </w:p>
        </w:tc>
        <w:tc>
          <w:tcPr>
            <w:tcW w:w="162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C93F8E" w:rsidRPr="00B75B77" w:rsidRDefault="00C93F8E" w:rsidP="00451FB1">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Relative Precision at 85% </w:t>
            </w:r>
            <w:r w:rsidR="00451FB1" w:rsidRPr="00B75B77">
              <w:rPr>
                <w:rFonts w:ascii="Calibri" w:eastAsia="Times New Roman" w:hAnsi="Calibri"/>
                <w:b/>
                <w:bCs/>
                <w:color w:val="FFFFFF"/>
                <w:sz w:val="18"/>
                <w:szCs w:val="18"/>
              </w:rPr>
              <w:t>Confidence Interval</w:t>
            </w:r>
          </w:p>
        </w:tc>
      </w:tr>
      <w:tr w:rsidR="00C93F8E" w:rsidRPr="00B75B77" w:rsidTr="006D019E">
        <w:trPr>
          <w:trHeight w:val="288"/>
        </w:trPr>
        <w:tc>
          <w:tcPr>
            <w:tcW w:w="1615" w:type="dxa"/>
            <w:vMerge/>
            <w:tcBorders>
              <w:top w:val="single" w:sz="4" w:space="0" w:color="auto"/>
              <w:left w:val="single" w:sz="4" w:space="0" w:color="auto"/>
              <w:bottom w:val="single" w:sz="4" w:space="0" w:color="000000"/>
              <w:right w:val="single" w:sz="4" w:space="0" w:color="auto"/>
            </w:tcBorders>
            <w:vAlign w:val="center"/>
            <w:hideMark/>
          </w:tcPr>
          <w:p w:rsidR="00C93F8E" w:rsidRPr="00B75B77" w:rsidRDefault="00C93F8E" w:rsidP="00BB039B">
            <w:pPr>
              <w:jc w:val="left"/>
              <w:rPr>
                <w:rFonts w:ascii="Calibri" w:eastAsia="Times New Roman" w:hAnsi="Calibri"/>
                <w:b/>
                <w:bCs/>
                <w:color w:val="FFFFFF"/>
                <w:sz w:val="18"/>
                <w:szCs w:val="18"/>
              </w:rPr>
            </w:pPr>
          </w:p>
        </w:tc>
        <w:tc>
          <w:tcPr>
            <w:tcW w:w="1530" w:type="dxa"/>
            <w:vMerge/>
            <w:tcBorders>
              <w:top w:val="single" w:sz="4" w:space="0" w:color="auto"/>
              <w:left w:val="single" w:sz="4" w:space="0" w:color="auto"/>
              <w:bottom w:val="single" w:sz="4" w:space="0" w:color="000000"/>
              <w:right w:val="single" w:sz="4" w:space="0" w:color="auto"/>
            </w:tcBorders>
            <w:vAlign w:val="center"/>
            <w:hideMark/>
          </w:tcPr>
          <w:p w:rsidR="00C93F8E" w:rsidRPr="00B75B77" w:rsidRDefault="00C93F8E" w:rsidP="00BB039B">
            <w:pPr>
              <w:jc w:val="left"/>
              <w:rPr>
                <w:rFonts w:ascii="Calibri" w:eastAsia="Times New Roman" w:hAnsi="Calibri"/>
                <w:b/>
                <w:bCs/>
                <w:color w:val="FFFFFF"/>
                <w:sz w:val="18"/>
                <w:szCs w:val="18"/>
              </w:rPr>
            </w:pPr>
          </w:p>
        </w:tc>
        <w:tc>
          <w:tcPr>
            <w:tcW w:w="1046" w:type="dxa"/>
            <w:vMerge/>
            <w:tcBorders>
              <w:top w:val="single" w:sz="4" w:space="0" w:color="auto"/>
              <w:left w:val="single" w:sz="4" w:space="0" w:color="auto"/>
              <w:bottom w:val="single" w:sz="4" w:space="0" w:color="000000"/>
              <w:right w:val="single" w:sz="4" w:space="0" w:color="auto"/>
            </w:tcBorders>
            <w:vAlign w:val="center"/>
            <w:hideMark/>
          </w:tcPr>
          <w:p w:rsidR="00C93F8E" w:rsidRPr="00B75B77" w:rsidRDefault="00C93F8E" w:rsidP="00BB039B">
            <w:pPr>
              <w:jc w:val="left"/>
              <w:rPr>
                <w:rFonts w:ascii="Calibri" w:eastAsia="Times New Roman" w:hAnsi="Calibri"/>
                <w:b/>
                <w:bCs/>
                <w:color w:val="FFFFFF"/>
                <w:sz w:val="18"/>
                <w:szCs w:val="18"/>
              </w:rPr>
            </w:pPr>
          </w:p>
        </w:tc>
        <w:tc>
          <w:tcPr>
            <w:tcW w:w="1744" w:type="dxa"/>
            <w:vMerge/>
            <w:tcBorders>
              <w:top w:val="single" w:sz="4" w:space="0" w:color="auto"/>
              <w:left w:val="single" w:sz="4" w:space="0" w:color="auto"/>
              <w:bottom w:val="single" w:sz="4" w:space="0" w:color="000000"/>
              <w:right w:val="single" w:sz="4" w:space="0" w:color="auto"/>
            </w:tcBorders>
            <w:vAlign w:val="center"/>
            <w:hideMark/>
          </w:tcPr>
          <w:p w:rsidR="00C93F8E" w:rsidRPr="00B75B77" w:rsidRDefault="00C93F8E" w:rsidP="00BB039B">
            <w:pPr>
              <w:jc w:val="left"/>
              <w:rPr>
                <w:rFonts w:ascii="Calibri" w:eastAsia="Times New Roman" w:hAnsi="Calibri"/>
                <w:b/>
                <w:bCs/>
                <w:color w:val="FFFFFF"/>
                <w:sz w:val="18"/>
                <w:szCs w:val="18"/>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C93F8E" w:rsidRPr="00B75B77" w:rsidRDefault="00C93F8E" w:rsidP="00BB039B">
            <w:pPr>
              <w:jc w:val="left"/>
              <w:rPr>
                <w:rFonts w:ascii="Calibri" w:eastAsia="Times New Roman" w:hAnsi="Calibri"/>
                <w:b/>
                <w:bCs/>
                <w:color w:val="FFFFFF"/>
                <w:sz w:val="18"/>
                <w:szCs w:val="18"/>
              </w:rPr>
            </w:pPr>
          </w:p>
        </w:tc>
        <w:tc>
          <w:tcPr>
            <w:tcW w:w="1620" w:type="dxa"/>
            <w:vMerge/>
            <w:tcBorders>
              <w:top w:val="single" w:sz="4" w:space="0" w:color="auto"/>
              <w:left w:val="single" w:sz="4" w:space="0" w:color="auto"/>
              <w:bottom w:val="single" w:sz="4" w:space="0" w:color="000000"/>
              <w:right w:val="single" w:sz="4" w:space="0" w:color="auto"/>
            </w:tcBorders>
            <w:vAlign w:val="center"/>
            <w:hideMark/>
          </w:tcPr>
          <w:p w:rsidR="00C93F8E" w:rsidRPr="00B75B77" w:rsidRDefault="00C93F8E" w:rsidP="00BB039B">
            <w:pPr>
              <w:jc w:val="left"/>
              <w:rPr>
                <w:rFonts w:ascii="Calibri" w:eastAsia="Times New Roman" w:hAnsi="Calibri"/>
                <w:b/>
                <w:bCs/>
                <w:color w:val="FFFFFF"/>
                <w:sz w:val="18"/>
                <w:szCs w:val="18"/>
              </w:rPr>
            </w:pPr>
          </w:p>
        </w:tc>
      </w:tr>
      <w:tr w:rsidR="00C93F8E" w:rsidRPr="00B75B77" w:rsidTr="006D019E">
        <w:trPr>
          <w:trHeight w:val="288"/>
        </w:trPr>
        <w:tc>
          <w:tcPr>
            <w:tcW w:w="1615" w:type="dxa"/>
            <w:vMerge/>
            <w:tcBorders>
              <w:top w:val="single" w:sz="4" w:space="0" w:color="auto"/>
              <w:left w:val="single" w:sz="4" w:space="0" w:color="auto"/>
              <w:bottom w:val="single" w:sz="4" w:space="0" w:color="000000"/>
              <w:right w:val="single" w:sz="4" w:space="0" w:color="auto"/>
            </w:tcBorders>
            <w:vAlign w:val="center"/>
            <w:hideMark/>
          </w:tcPr>
          <w:p w:rsidR="00C93F8E" w:rsidRPr="00B75B77" w:rsidRDefault="00C93F8E" w:rsidP="00BB039B">
            <w:pPr>
              <w:jc w:val="left"/>
              <w:rPr>
                <w:rFonts w:ascii="Calibri" w:eastAsia="Times New Roman" w:hAnsi="Calibri"/>
                <w:b/>
                <w:bCs/>
                <w:color w:val="FFFFFF"/>
                <w:sz w:val="18"/>
                <w:szCs w:val="18"/>
              </w:rPr>
            </w:pPr>
          </w:p>
        </w:tc>
        <w:tc>
          <w:tcPr>
            <w:tcW w:w="1530" w:type="dxa"/>
            <w:vMerge/>
            <w:tcBorders>
              <w:top w:val="single" w:sz="4" w:space="0" w:color="auto"/>
              <w:left w:val="single" w:sz="4" w:space="0" w:color="auto"/>
              <w:bottom w:val="single" w:sz="4" w:space="0" w:color="000000"/>
              <w:right w:val="single" w:sz="4" w:space="0" w:color="auto"/>
            </w:tcBorders>
            <w:vAlign w:val="center"/>
            <w:hideMark/>
          </w:tcPr>
          <w:p w:rsidR="00C93F8E" w:rsidRPr="00B75B77" w:rsidRDefault="00C93F8E" w:rsidP="00BB039B">
            <w:pPr>
              <w:jc w:val="left"/>
              <w:rPr>
                <w:rFonts w:ascii="Calibri" w:eastAsia="Times New Roman" w:hAnsi="Calibri"/>
                <w:b/>
                <w:bCs/>
                <w:color w:val="FFFFFF"/>
                <w:sz w:val="18"/>
                <w:szCs w:val="18"/>
              </w:rPr>
            </w:pPr>
          </w:p>
        </w:tc>
        <w:tc>
          <w:tcPr>
            <w:tcW w:w="1046" w:type="dxa"/>
            <w:vMerge/>
            <w:tcBorders>
              <w:top w:val="single" w:sz="4" w:space="0" w:color="auto"/>
              <w:left w:val="single" w:sz="4" w:space="0" w:color="auto"/>
              <w:bottom w:val="single" w:sz="4" w:space="0" w:color="000000"/>
              <w:right w:val="single" w:sz="4" w:space="0" w:color="auto"/>
            </w:tcBorders>
            <w:vAlign w:val="center"/>
            <w:hideMark/>
          </w:tcPr>
          <w:p w:rsidR="00C93F8E" w:rsidRPr="00B75B77" w:rsidRDefault="00C93F8E" w:rsidP="00BB039B">
            <w:pPr>
              <w:jc w:val="left"/>
              <w:rPr>
                <w:rFonts w:ascii="Calibri" w:eastAsia="Times New Roman" w:hAnsi="Calibri"/>
                <w:b/>
                <w:bCs/>
                <w:color w:val="FFFFFF"/>
                <w:sz w:val="18"/>
                <w:szCs w:val="18"/>
              </w:rPr>
            </w:pPr>
          </w:p>
        </w:tc>
        <w:tc>
          <w:tcPr>
            <w:tcW w:w="1744" w:type="dxa"/>
            <w:vMerge/>
            <w:tcBorders>
              <w:top w:val="single" w:sz="4" w:space="0" w:color="auto"/>
              <w:left w:val="single" w:sz="4" w:space="0" w:color="auto"/>
              <w:bottom w:val="single" w:sz="4" w:space="0" w:color="000000"/>
              <w:right w:val="single" w:sz="4" w:space="0" w:color="auto"/>
            </w:tcBorders>
            <w:vAlign w:val="center"/>
            <w:hideMark/>
          </w:tcPr>
          <w:p w:rsidR="00C93F8E" w:rsidRPr="00B75B77" w:rsidRDefault="00C93F8E" w:rsidP="00BB039B">
            <w:pPr>
              <w:jc w:val="left"/>
              <w:rPr>
                <w:rFonts w:ascii="Calibri" w:eastAsia="Times New Roman" w:hAnsi="Calibri"/>
                <w:b/>
                <w:bCs/>
                <w:color w:val="FFFFFF"/>
                <w:sz w:val="18"/>
                <w:szCs w:val="18"/>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C93F8E" w:rsidRPr="00B75B77" w:rsidRDefault="00C93F8E" w:rsidP="00BB039B">
            <w:pPr>
              <w:jc w:val="left"/>
              <w:rPr>
                <w:rFonts w:ascii="Calibri" w:eastAsia="Times New Roman" w:hAnsi="Calibri"/>
                <w:b/>
                <w:bCs/>
                <w:color w:val="FFFFFF"/>
                <w:sz w:val="18"/>
                <w:szCs w:val="18"/>
              </w:rPr>
            </w:pPr>
          </w:p>
        </w:tc>
        <w:tc>
          <w:tcPr>
            <w:tcW w:w="1620" w:type="dxa"/>
            <w:vMerge/>
            <w:tcBorders>
              <w:top w:val="single" w:sz="4" w:space="0" w:color="auto"/>
              <w:left w:val="single" w:sz="4" w:space="0" w:color="auto"/>
              <w:bottom w:val="single" w:sz="4" w:space="0" w:color="000000"/>
              <w:right w:val="single" w:sz="4" w:space="0" w:color="auto"/>
            </w:tcBorders>
            <w:vAlign w:val="center"/>
            <w:hideMark/>
          </w:tcPr>
          <w:p w:rsidR="00C93F8E" w:rsidRPr="00B75B77" w:rsidRDefault="00C93F8E" w:rsidP="00BB039B">
            <w:pPr>
              <w:jc w:val="left"/>
              <w:rPr>
                <w:rFonts w:ascii="Calibri" w:eastAsia="Times New Roman" w:hAnsi="Calibri"/>
                <w:b/>
                <w:bCs/>
                <w:color w:val="FFFFFF"/>
                <w:sz w:val="18"/>
                <w:szCs w:val="18"/>
              </w:rPr>
            </w:pPr>
          </w:p>
        </w:tc>
      </w:tr>
      <w:tr w:rsidR="00C93F8E" w:rsidRPr="00B75B77" w:rsidTr="006D019E">
        <w:trPr>
          <w:trHeight w:val="288"/>
        </w:trPr>
        <w:tc>
          <w:tcPr>
            <w:tcW w:w="1615" w:type="dxa"/>
            <w:tcBorders>
              <w:top w:val="nil"/>
              <w:left w:val="single" w:sz="4" w:space="0" w:color="448A99"/>
              <w:bottom w:val="single" w:sz="4" w:space="0" w:color="448A99"/>
              <w:right w:val="single" w:sz="4" w:space="0" w:color="448A99"/>
            </w:tcBorders>
            <w:shd w:val="clear" w:color="000000" w:fill="D2EAF1"/>
            <w:vAlign w:val="center"/>
            <w:hideMark/>
          </w:tcPr>
          <w:p w:rsidR="00C93F8E" w:rsidRPr="00B75B77" w:rsidRDefault="00C93F8E" w:rsidP="00BB039B">
            <w:pPr>
              <w:jc w:val="left"/>
              <w:rPr>
                <w:rFonts w:ascii="Calibri" w:eastAsia="Times New Roman" w:hAnsi="Calibri"/>
                <w:color w:val="000000"/>
                <w:sz w:val="18"/>
                <w:szCs w:val="18"/>
              </w:rPr>
            </w:pPr>
            <w:r w:rsidRPr="00B75B77">
              <w:rPr>
                <w:rFonts w:ascii="Calibri" w:eastAsia="Times New Roman" w:hAnsi="Calibri"/>
                <w:color w:val="000000"/>
                <w:sz w:val="18"/>
                <w:szCs w:val="18"/>
              </w:rPr>
              <w:t>Component 1</w:t>
            </w:r>
          </w:p>
        </w:tc>
        <w:tc>
          <w:tcPr>
            <w:tcW w:w="1530" w:type="dxa"/>
            <w:tcBorders>
              <w:top w:val="nil"/>
              <w:left w:val="nil"/>
              <w:bottom w:val="single" w:sz="4" w:space="0" w:color="448A99"/>
              <w:right w:val="single" w:sz="4" w:space="0" w:color="448A99"/>
            </w:tcBorders>
            <w:shd w:val="clear" w:color="000000" w:fill="D2EAF1"/>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7,435</w:t>
            </w:r>
          </w:p>
        </w:tc>
        <w:tc>
          <w:tcPr>
            <w:tcW w:w="1046" w:type="dxa"/>
            <w:tcBorders>
              <w:top w:val="nil"/>
              <w:left w:val="nil"/>
              <w:bottom w:val="single" w:sz="4" w:space="0" w:color="448A99"/>
              <w:right w:val="single" w:sz="4" w:space="0" w:color="448A99"/>
            </w:tcBorders>
            <w:shd w:val="clear" w:color="000000" w:fill="D2EAF1"/>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0.86</w:t>
            </w:r>
          </w:p>
        </w:tc>
        <w:tc>
          <w:tcPr>
            <w:tcW w:w="1744" w:type="dxa"/>
            <w:tcBorders>
              <w:top w:val="nil"/>
              <w:left w:val="nil"/>
              <w:bottom w:val="single" w:sz="4" w:space="0" w:color="448A99"/>
              <w:right w:val="single" w:sz="4" w:space="0" w:color="448A99"/>
            </w:tcBorders>
            <w:shd w:val="clear" w:color="000000" w:fill="D2EAF1"/>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6,419</w:t>
            </w:r>
          </w:p>
        </w:tc>
        <w:tc>
          <w:tcPr>
            <w:tcW w:w="1800" w:type="dxa"/>
            <w:tcBorders>
              <w:top w:val="nil"/>
              <w:left w:val="nil"/>
              <w:bottom w:val="single" w:sz="4" w:space="0" w:color="448A99"/>
              <w:right w:val="single" w:sz="4" w:space="0" w:color="448A99"/>
            </w:tcBorders>
            <w:shd w:val="clear" w:color="000000" w:fill="D2EAF1"/>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620" w:type="dxa"/>
            <w:tcBorders>
              <w:top w:val="nil"/>
              <w:left w:val="nil"/>
              <w:bottom w:val="single" w:sz="4" w:space="0" w:color="448A99"/>
              <w:right w:val="single" w:sz="4" w:space="0" w:color="448A99"/>
            </w:tcBorders>
            <w:shd w:val="clear" w:color="000000" w:fill="D2EAF1"/>
            <w:vAlign w:val="center"/>
            <w:hideMark/>
          </w:tcPr>
          <w:p w:rsidR="00C93F8E" w:rsidRPr="00B75B77" w:rsidRDefault="00C93F8E" w:rsidP="00BB039B">
            <w:pPr>
              <w:jc w:val="center"/>
              <w:rPr>
                <w:rFonts w:ascii="Calibri" w:eastAsia="Times New Roman" w:hAnsi="Calibri"/>
                <w:color w:val="000000"/>
                <w:sz w:val="18"/>
                <w:szCs w:val="18"/>
              </w:rPr>
            </w:pPr>
            <w:bookmarkStart w:id="587" w:name="RANGE!G35:G38"/>
            <w:r w:rsidRPr="00B75B77">
              <w:rPr>
                <w:rFonts w:ascii="Calibri" w:eastAsia="Times New Roman" w:hAnsi="Calibri"/>
                <w:color w:val="000000"/>
                <w:sz w:val="18"/>
                <w:szCs w:val="18"/>
              </w:rPr>
              <w:t>0%</w:t>
            </w:r>
            <w:bookmarkEnd w:id="587"/>
          </w:p>
        </w:tc>
      </w:tr>
      <w:tr w:rsidR="00C93F8E" w:rsidRPr="00B75B77" w:rsidTr="006D019E">
        <w:trPr>
          <w:trHeight w:val="288"/>
        </w:trPr>
        <w:tc>
          <w:tcPr>
            <w:tcW w:w="1615" w:type="dxa"/>
            <w:tcBorders>
              <w:top w:val="nil"/>
              <w:left w:val="single" w:sz="4" w:space="0" w:color="448A99"/>
              <w:bottom w:val="single" w:sz="4" w:space="0" w:color="448A99"/>
              <w:right w:val="single" w:sz="4" w:space="0" w:color="448A99"/>
            </w:tcBorders>
            <w:shd w:val="clear" w:color="000000" w:fill="FFFFFF"/>
            <w:vAlign w:val="center"/>
            <w:hideMark/>
          </w:tcPr>
          <w:p w:rsidR="00C93F8E" w:rsidRPr="00B75B77" w:rsidRDefault="00C93F8E" w:rsidP="00BB039B">
            <w:pPr>
              <w:jc w:val="left"/>
              <w:rPr>
                <w:rFonts w:ascii="Calibri" w:eastAsia="Times New Roman" w:hAnsi="Calibri"/>
                <w:color w:val="000000"/>
                <w:sz w:val="18"/>
                <w:szCs w:val="18"/>
              </w:rPr>
            </w:pPr>
            <w:r w:rsidRPr="00B75B77">
              <w:rPr>
                <w:rFonts w:ascii="Calibri" w:eastAsia="Times New Roman" w:hAnsi="Calibri"/>
                <w:color w:val="000000"/>
                <w:sz w:val="18"/>
                <w:szCs w:val="18"/>
              </w:rPr>
              <w:t>Component 2</w:t>
            </w:r>
          </w:p>
        </w:tc>
        <w:tc>
          <w:tcPr>
            <w:tcW w:w="1530" w:type="dxa"/>
            <w:tcBorders>
              <w:top w:val="nil"/>
              <w:left w:val="nil"/>
              <w:bottom w:val="single" w:sz="4" w:space="0" w:color="448A99"/>
              <w:right w:val="single" w:sz="4" w:space="0" w:color="448A99"/>
            </w:tcBorders>
            <w:shd w:val="clear" w:color="000000" w:fill="FFFFFF"/>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943</w:t>
            </w:r>
          </w:p>
        </w:tc>
        <w:tc>
          <w:tcPr>
            <w:tcW w:w="1046" w:type="dxa"/>
            <w:tcBorders>
              <w:top w:val="nil"/>
              <w:left w:val="nil"/>
              <w:bottom w:val="single" w:sz="4" w:space="0" w:color="448A99"/>
              <w:right w:val="single" w:sz="4" w:space="0" w:color="448A99"/>
            </w:tcBorders>
            <w:shd w:val="clear" w:color="000000" w:fill="FFFFFF"/>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1.00</w:t>
            </w:r>
          </w:p>
        </w:tc>
        <w:tc>
          <w:tcPr>
            <w:tcW w:w="1744" w:type="dxa"/>
            <w:tcBorders>
              <w:top w:val="nil"/>
              <w:left w:val="nil"/>
              <w:bottom w:val="single" w:sz="4" w:space="0" w:color="448A99"/>
              <w:right w:val="single" w:sz="4" w:space="0" w:color="448A99"/>
            </w:tcBorders>
            <w:shd w:val="clear" w:color="000000" w:fill="FFFFFF"/>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944</w:t>
            </w:r>
          </w:p>
        </w:tc>
        <w:tc>
          <w:tcPr>
            <w:tcW w:w="1800" w:type="dxa"/>
            <w:tcBorders>
              <w:top w:val="nil"/>
              <w:left w:val="nil"/>
              <w:bottom w:val="single" w:sz="4" w:space="0" w:color="448A99"/>
              <w:right w:val="single" w:sz="4" w:space="0" w:color="448A99"/>
            </w:tcBorders>
            <w:shd w:val="clear" w:color="000000" w:fill="FFFFFF"/>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620" w:type="dxa"/>
            <w:tcBorders>
              <w:top w:val="nil"/>
              <w:left w:val="nil"/>
              <w:bottom w:val="single" w:sz="4" w:space="0" w:color="448A99"/>
              <w:right w:val="single" w:sz="4" w:space="0" w:color="448A99"/>
            </w:tcBorders>
            <w:shd w:val="clear" w:color="000000" w:fill="FFFFFF"/>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C93F8E" w:rsidRPr="00B75B77" w:rsidTr="006D019E">
        <w:trPr>
          <w:trHeight w:val="288"/>
        </w:trPr>
        <w:tc>
          <w:tcPr>
            <w:tcW w:w="1615" w:type="dxa"/>
            <w:tcBorders>
              <w:top w:val="nil"/>
              <w:left w:val="single" w:sz="4" w:space="0" w:color="448A99"/>
              <w:bottom w:val="single" w:sz="4" w:space="0" w:color="448A99"/>
              <w:right w:val="single" w:sz="4" w:space="0" w:color="448A99"/>
            </w:tcBorders>
            <w:shd w:val="clear" w:color="000000" w:fill="D2EAF1"/>
            <w:vAlign w:val="center"/>
            <w:hideMark/>
          </w:tcPr>
          <w:p w:rsidR="00C93F8E" w:rsidRPr="00B75B77" w:rsidRDefault="00C93F8E" w:rsidP="00BB039B">
            <w:pPr>
              <w:jc w:val="left"/>
              <w:rPr>
                <w:rFonts w:ascii="Calibri" w:eastAsia="Times New Roman" w:hAnsi="Calibri"/>
                <w:color w:val="000000"/>
                <w:sz w:val="18"/>
                <w:szCs w:val="18"/>
              </w:rPr>
            </w:pPr>
            <w:r w:rsidRPr="00B75B77">
              <w:rPr>
                <w:rFonts w:ascii="Calibri" w:eastAsia="Times New Roman" w:hAnsi="Calibri"/>
                <w:color w:val="000000"/>
                <w:sz w:val="18"/>
                <w:szCs w:val="18"/>
              </w:rPr>
              <w:t>Component 3</w:t>
            </w:r>
          </w:p>
        </w:tc>
        <w:tc>
          <w:tcPr>
            <w:tcW w:w="1530" w:type="dxa"/>
            <w:tcBorders>
              <w:top w:val="nil"/>
              <w:left w:val="nil"/>
              <w:bottom w:val="single" w:sz="4" w:space="0" w:color="448A99"/>
              <w:right w:val="single" w:sz="4" w:space="0" w:color="448A99"/>
            </w:tcBorders>
            <w:shd w:val="clear" w:color="000000" w:fill="D2EAF1"/>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10,151</w:t>
            </w:r>
          </w:p>
        </w:tc>
        <w:tc>
          <w:tcPr>
            <w:tcW w:w="1046" w:type="dxa"/>
            <w:tcBorders>
              <w:top w:val="nil"/>
              <w:left w:val="nil"/>
              <w:bottom w:val="single" w:sz="4" w:space="0" w:color="448A99"/>
              <w:right w:val="single" w:sz="4" w:space="0" w:color="448A99"/>
            </w:tcBorders>
            <w:shd w:val="clear" w:color="000000" w:fill="D2EAF1"/>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1.00</w:t>
            </w:r>
          </w:p>
        </w:tc>
        <w:tc>
          <w:tcPr>
            <w:tcW w:w="1744" w:type="dxa"/>
            <w:tcBorders>
              <w:top w:val="nil"/>
              <w:left w:val="nil"/>
              <w:bottom w:val="single" w:sz="4" w:space="0" w:color="448A99"/>
              <w:right w:val="single" w:sz="4" w:space="0" w:color="448A99"/>
            </w:tcBorders>
            <w:shd w:val="clear" w:color="000000" w:fill="D2EAF1"/>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10,152</w:t>
            </w:r>
          </w:p>
        </w:tc>
        <w:tc>
          <w:tcPr>
            <w:tcW w:w="1800" w:type="dxa"/>
            <w:tcBorders>
              <w:top w:val="nil"/>
              <w:left w:val="nil"/>
              <w:bottom w:val="single" w:sz="4" w:space="0" w:color="448A99"/>
              <w:right w:val="single" w:sz="4" w:space="0" w:color="448A99"/>
            </w:tcBorders>
            <w:shd w:val="clear" w:color="000000" w:fill="D2EAF1"/>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620" w:type="dxa"/>
            <w:tcBorders>
              <w:top w:val="nil"/>
              <w:left w:val="nil"/>
              <w:bottom w:val="single" w:sz="4" w:space="0" w:color="448A99"/>
              <w:right w:val="single" w:sz="4" w:space="0" w:color="448A99"/>
            </w:tcBorders>
            <w:shd w:val="clear" w:color="000000" w:fill="D2EAF1"/>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C93F8E" w:rsidRPr="00B75B77" w:rsidTr="006D019E">
        <w:trPr>
          <w:trHeight w:val="288"/>
        </w:trPr>
        <w:tc>
          <w:tcPr>
            <w:tcW w:w="1615" w:type="dxa"/>
            <w:tcBorders>
              <w:top w:val="nil"/>
              <w:left w:val="single" w:sz="4" w:space="0" w:color="448A99"/>
              <w:bottom w:val="single" w:sz="4" w:space="0" w:color="448A99"/>
              <w:right w:val="single" w:sz="4" w:space="0" w:color="448A99"/>
            </w:tcBorders>
            <w:shd w:val="clear" w:color="000000" w:fill="FFFFFF"/>
            <w:vAlign w:val="center"/>
            <w:hideMark/>
          </w:tcPr>
          <w:p w:rsidR="00C93F8E" w:rsidRPr="00B75B77" w:rsidRDefault="00C93F8E" w:rsidP="00BB039B">
            <w:pPr>
              <w:jc w:val="left"/>
              <w:rPr>
                <w:rFonts w:ascii="Calibri" w:eastAsia="Times New Roman" w:hAnsi="Calibri"/>
                <w:color w:val="000000"/>
                <w:sz w:val="18"/>
                <w:szCs w:val="18"/>
              </w:rPr>
            </w:pPr>
            <w:r w:rsidRPr="00B75B77">
              <w:rPr>
                <w:rFonts w:ascii="Calibri" w:eastAsia="Times New Roman" w:hAnsi="Calibri"/>
                <w:color w:val="000000"/>
                <w:sz w:val="18"/>
                <w:szCs w:val="18"/>
              </w:rPr>
              <w:t>Component 4</w:t>
            </w:r>
          </w:p>
        </w:tc>
        <w:tc>
          <w:tcPr>
            <w:tcW w:w="1530" w:type="dxa"/>
            <w:tcBorders>
              <w:top w:val="nil"/>
              <w:left w:val="nil"/>
              <w:bottom w:val="single" w:sz="4" w:space="0" w:color="448A99"/>
              <w:right w:val="single" w:sz="4" w:space="0" w:color="448A99"/>
            </w:tcBorders>
            <w:shd w:val="clear" w:color="000000" w:fill="FFFFFF"/>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1,272</w:t>
            </w:r>
          </w:p>
        </w:tc>
        <w:tc>
          <w:tcPr>
            <w:tcW w:w="1046" w:type="dxa"/>
            <w:tcBorders>
              <w:top w:val="nil"/>
              <w:left w:val="nil"/>
              <w:bottom w:val="single" w:sz="4" w:space="0" w:color="448A99"/>
              <w:right w:val="single" w:sz="4" w:space="0" w:color="448A99"/>
            </w:tcBorders>
            <w:shd w:val="clear" w:color="000000" w:fill="FFFFFF"/>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0.62</w:t>
            </w:r>
          </w:p>
        </w:tc>
        <w:tc>
          <w:tcPr>
            <w:tcW w:w="1744" w:type="dxa"/>
            <w:tcBorders>
              <w:top w:val="nil"/>
              <w:left w:val="nil"/>
              <w:bottom w:val="single" w:sz="4" w:space="0" w:color="448A99"/>
              <w:right w:val="single" w:sz="4" w:space="0" w:color="448A99"/>
            </w:tcBorders>
            <w:shd w:val="clear" w:color="000000" w:fill="FFFFFF"/>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790</w:t>
            </w:r>
          </w:p>
        </w:tc>
        <w:tc>
          <w:tcPr>
            <w:tcW w:w="1800" w:type="dxa"/>
            <w:tcBorders>
              <w:top w:val="nil"/>
              <w:left w:val="nil"/>
              <w:bottom w:val="single" w:sz="4" w:space="0" w:color="448A99"/>
              <w:right w:val="single" w:sz="4" w:space="0" w:color="448A99"/>
            </w:tcBorders>
            <w:shd w:val="clear" w:color="000000" w:fill="FFFFFF"/>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620" w:type="dxa"/>
            <w:tcBorders>
              <w:top w:val="nil"/>
              <w:left w:val="nil"/>
              <w:bottom w:val="single" w:sz="4" w:space="0" w:color="448A99"/>
              <w:right w:val="single" w:sz="4" w:space="0" w:color="448A99"/>
            </w:tcBorders>
            <w:shd w:val="clear" w:color="000000" w:fill="FFFFFF"/>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C93F8E" w:rsidRPr="00B75B77" w:rsidTr="006D019E">
        <w:trPr>
          <w:trHeight w:val="288"/>
        </w:trPr>
        <w:tc>
          <w:tcPr>
            <w:tcW w:w="1615" w:type="dxa"/>
            <w:tcBorders>
              <w:top w:val="nil"/>
              <w:left w:val="single" w:sz="4" w:space="0" w:color="448A99"/>
              <w:bottom w:val="single" w:sz="4" w:space="0" w:color="448A99"/>
              <w:right w:val="single" w:sz="4" w:space="0" w:color="448A99"/>
            </w:tcBorders>
            <w:shd w:val="clear" w:color="000000" w:fill="D2EAF1"/>
            <w:vAlign w:val="center"/>
            <w:hideMark/>
          </w:tcPr>
          <w:p w:rsidR="00C93F8E" w:rsidRPr="00B75B77" w:rsidRDefault="006D019E" w:rsidP="00BB039B">
            <w:pPr>
              <w:jc w:val="left"/>
              <w:rPr>
                <w:rFonts w:ascii="Calibri" w:eastAsia="Times New Roman" w:hAnsi="Calibri"/>
                <w:b/>
                <w:color w:val="000000"/>
                <w:sz w:val="18"/>
                <w:szCs w:val="18"/>
              </w:rPr>
            </w:pPr>
            <w:r w:rsidRPr="00B75B77">
              <w:rPr>
                <w:rFonts w:ascii="Calibri" w:eastAsia="Times New Roman" w:hAnsi="Calibri"/>
                <w:b/>
                <w:color w:val="000000"/>
                <w:sz w:val="18"/>
                <w:szCs w:val="18"/>
              </w:rPr>
              <w:t>PROGRAM TOTAL</w:t>
            </w:r>
          </w:p>
        </w:tc>
        <w:tc>
          <w:tcPr>
            <w:tcW w:w="1530" w:type="dxa"/>
            <w:tcBorders>
              <w:top w:val="nil"/>
              <w:left w:val="nil"/>
              <w:bottom w:val="single" w:sz="4" w:space="0" w:color="448A99"/>
              <w:right w:val="single" w:sz="4" w:space="0" w:color="448A99"/>
            </w:tcBorders>
            <w:shd w:val="clear" w:color="000000" w:fill="D2EAF1"/>
            <w:vAlign w:val="center"/>
            <w:hideMark/>
          </w:tcPr>
          <w:p w:rsidR="00C93F8E" w:rsidRPr="00B75B77" w:rsidRDefault="00C93F8E" w:rsidP="00BB039B">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19,801</w:t>
            </w:r>
          </w:p>
        </w:tc>
        <w:tc>
          <w:tcPr>
            <w:tcW w:w="1046" w:type="dxa"/>
            <w:tcBorders>
              <w:top w:val="nil"/>
              <w:left w:val="nil"/>
              <w:bottom w:val="single" w:sz="4" w:space="0" w:color="448A99"/>
              <w:right w:val="single" w:sz="4" w:space="0" w:color="448A99"/>
            </w:tcBorders>
            <w:shd w:val="clear" w:color="000000" w:fill="D2EAF1"/>
            <w:vAlign w:val="center"/>
            <w:hideMark/>
          </w:tcPr>
          <w:p w:rsidR="00C93F8E" w:rsidRPr="00B75B77" w:rsidRDefault="00C93F8E" w:rsidP="00BB039B">
            <w:pPr>
              <w:jc w:val="center"/>
              <w:rPr>
                <w:rFonts w:ascii="Calibri" w:eastAsia="Times New Roman" w:hAnsi="Calibri"/>
                <w:b/>
                <w:color w:val="000000"/>
                <w:sz w:val="18"/>
                <w:szCs w:val="18"/>
              </w:rPr>
            </w:pPr>
            <w:bookmarkStart w:id="588" w:name="RANGE!D39"/>
            <w:r w:rsidRPr="00B75B77">
              <w:rPr>
                <w:rFonts w:ascii="Calibri" w:eastAsia="Times New Roman" w:hAnsi="Calibri"/>
                <w:b/>
                <w:color w:val="000000"/>
                <w:sz w:val="18"/>
                <w:szCs w:val="18"/>
              </w:rPr>
              <w:t>0.92</w:t>
            </w:r>
            <w:bookmarkEnd w:id="588"/>
          </w:p>
        </w:tc>
        <w:tc>
          <w:tcPr>
            <w:tcW w:w="1744" w:type="dxa"/>
            <w:tcBorders>
              <w:top w:val="nil"/>
              <w:left w:val="nil"/>
              <w:bottom w:val="single" w:sz="4" w:space="0" w:color="448A99"/>
              <w:right w:val="single" w:sz="4" w:space="0" w:color="448A99"/>
            </w:tcBorders>
            <w:shd w:val="clear" w:color="000000" w:fill="D2EAF1"/>
            <w:vAlign w:val="center"/>
            <w:hideMark/>
          </w:tcPr>
          <w:p w:rsidR="00C93F8E" w:rsidRPr="00B75B77" w:rsidRDefault="00C93F8E" w:rsidP="00BB039B">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18,304</w:t>
            </w:r>
          </w:p>
        </w:tc>
        <w:tc>
          <w:tcPr>
            <w:tcW w:w="1800" w:type="dxa"/>
            <w:tcBorders>
              <w:top w:val="nil"/>
              <w:left w:val="nil"/>
              <w:bottom w:val="single" w:sz="4" w:space="0" w:color="448A99"/>
              <w:right w:val="single" w:sz="4" w:space="0" w:color="448A99"/>
            </w:tcBorders>
            <w:shd w:val="clear" w:color="000000" w:fill="D2EAF1"/>
            <w:vAlign w:val="center"/>
            <w:hideMark/>
          </w:tcPr>
          <w:p w:rsidR="00C93F8E" w:rsidRPr="00B75B77" w:rsidRDefault="00C93F8E" w:rsidP="00BB039B">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N/A</w:t>
            </w:r>
          </w:p>
        </w:tc>
        <w:tc>
          <w:tcPr>
            <w:tcW w:w="1620" w:type="dxa"/>
            <w:tcBorders>
              <w:top w:val="nil"/>
              <w:left w:val="nil"/>
              <w:bottom w:val="single" w:sz="4" w:space="0" w:color="448A99"/>
              <w:right w:val="single" w:sz="4" w:space="0" w:color="448A99"/>
            </w:tcBorders>
            <w:shd w:val="clear" w:color="000000" w:fill="D2EAF1"/>
            <w:vAlign w:val="center"/>
            <w:hideMark/>
          </w:tcPr>
          <w:p w:rsidR="00C93F8E" w:rsidRPr="00B75B77" w:rsidRDefault="00C93F8E" w:rsidP="00BB039B">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0%</w:t>
            </w:r>
          </w:p>
        </w:tc>
      </w:tr>
    </w:tbl>
    <w:p w:rsidR="00C93F8E" w:rsidRPr="00B75B77" w:rsidRDefault="00C93F8E" w:rsidP="00BB039B">
      <w:pPr>
        <w:spacing w:before="20" w:after="20"/>
        <w:jc w:val="left"/>
        <w:rPr>
          <w:rFonts w:eastAsia="Times New Roman"/>
          <w:i/>
          <w:sz w:val="18"/>
          <w:szCs w:val="20"/>
        </w:rPr>
      </w:pPr>
      <w:r w:rsidRPr="00B75B77">
        <w:rPr>
          <w:rFonts w:ascii="Calibri" w:eastAsia="Times New Roman" w:hAnsi="Calibri"/>
          <w:iCs/>
          <w:color w:val="000000"/>
          <w:sz w:val="18"/>
          <w:szCs w:val="18"/>
        </w:rPr>
        <w:t>Note: Values in tables may not reconcile exactly with the sum of more detailed level results or previously reported results due to rounding.</w:t>
      </w:r>
    </w:p>
    <w:p w:rsidR="00C93F8E" w:rsidRPr="00B75B77" w:rsidRDefault="00C93F8E" w:rsidP="00451FB1">
      <w:pPr>
        <w:pStyle w:val="Source"/>
        <w:ind w:hanging="720"/>
      </w:pPr>
      <w:r w:rsidRPr="00B75B77">
        <w:t>Source: Navigant analysis</w:t>
      </w:r>
    </w:p>
    <w:p w:rsidR="00C93F8E" w:rsidRPr="00B75B77" w:rsidRDefault="00C93F8E" w:rsidP="00BB039B">
      <w:r w:rsidRPr="00B75B77">
        <w:t xml:space="preserve">Consistent with the </w:t>
      </w:r>
      <w:r w:rsidR="00011499" w:rsidRPr="00B75B77">
        <w:t xml:space="preserve">energy-saving </w:t>
      </w:r>
      <w:r w:rsidRPr="00B75B77">
        <w:t xml:space="preserve">s results, LEEP reported demand savings were also reduced by 8%, due to the same refrigerator savings calculation methodology adjustment mentioned earlier and discussed later in this section. The </w:t>
      </w:r>
      <w:r w:rsidR="005F0C40" w:rsidRPr="00B75B77">
        <w:t>Components</w:t>
      </w:r>
      <w:r w:rsidRPr="00B75B77">
        <w:t xml:space="preserve"> 1 and 4 demand adjustments are both due to this issue. </w:t>
      </w:r>
      <w:r w:rsidR="005F0C40" w:rsidRPr="00B75B77">
        <w:fldChar w:fldCharType="begin"/>
      </w:r>
      <w:r w:rsidR="005F0C40" w:rsidRPr="00B75B77">
        <w:instrText xml:space="preserve"> REF _Ref464138815 \h </w:instrText>
      </w:r>
      <w:r w:rsidR="00B75B77">
        <w:instrText xml:space="preserve"> \* MERGEFORMAT </w:instrText>
      </w:r>
      <w:r w:rsidR="005F0C40" w:rsidRPr="00B75B77">
        <w:fldChar w:fldCharType="separate"/>
      </w:r>
      <w:r w:rsidR="0004016D" w:rsidRPr="00B75B77">
        <w:t xml:space="preserve">Table </w:t>
      </w:r>
      <w:r w:rsidR="0004016D">
        <w:rPr>
          <w:noProof/>
        </w:rPr>
        <w:t>8</w:t>
      </w:r>
      <w:r w:rsidR="0004016D" w:rsidRPr="00B75B77">
        <w:rPr>
          <w:noProof/>
        </w:rPr>
        <w:noBreakHyphen/>
      </w:r>
      <w:r w:rsidR="0004016D">
        <w:rPr>
          <w:noProof/>
        </w:rPr>
        <w:t>5</w:t>
      </w:r>
      <w:r w:rsidR="005F0C40" w:rsidRPr="00B75B77">
        <w:fldChar w:fldCharType="end"/>
      </w:r>
      <w:r w:rsidRPr="00B75B77">
        <w:t xml:space="preserve"> shows reported and verified savings by component.</w:t>
      </w:r>
    </w:p>
    <w:p w:rsidR="00C93F8E" w:rsidRPr="00B75B77" w:rsidRDefault="00C93F8E" w:rsidP="00286B52"/>
    <w:p w:rsidR="00C93F8E" w:rsidRPr="00B75B77" w:rsidRDefault="00C93F8E" w:rsidP="00BB039B">
      <w:pPr>
        <w:pStyle w:val="Caption"/>
        <w:rPr>
          <w:color w:val="0070C0"/>
        </w:rPr>
      </w:pPr>
      <w:bookmarkStart w:id="589" w:name="_Ref464138815"/>
      <w:bookmarkStart w:id="590" w:name="_Toc466413569"/>
      <w:bookmarkStart w:id="591" w:name="_Ref463274361"/>
      <w:r w:rsidRPr="00B75B77">
        <w:t xml:space="preserve">Table </w:t>
      </w:r>
      <w:fldSimple w:instr=" STYLEREF 1 \s ">
        <w:r w:rsidR="0004016D">
          <w:rPr>
            <w:noProof/>
          </w:rPr>
          <w:t>8</w:t>
        </w:r>
      </w:fldSimple>
      <w:r w:rsidR="00F1144C" w:rsidRPr="00B75B77">
        <w:noBreakHyphen/>
      </w:r>
      <w:fldSimple w:instr=" SEQ Table \* ARABIC \s 1 ">
        <w:r w:rsidR="0004016D">
          <w:rPr>
            <w:noProof/>
          </w:rPr>
          <w:t>5</w:t>
        </w:r>
      </w:fldSimple>
      <w:bookmarkEnd w:id="589"/>
      <w:r w:rsidR="005F0C40" w:rsidRPr="00B75B77">
        <w:t xml:space="preserve">: PY7 </w:t>
      </w:r>
      <w:r w:rsidR="000C1E59" w:rsidRPr="00B75B77">
        <w:t>Low-</w:t>
      </w:r>
      <w:r w:rsidR="000A5BE2" w:rsidRPr="00B75B77">
        <w:t xml:space="preserve">Income Energy Efficiency Program </w:t>
      </w:r>
      <w:r w:rsidR="005F0C40" w:rsidRPr="00B75B77">
        <w:t>Summary of Evaluation Results for Demand</w:t>
      </w:r>
      <w:bookmarkEnd w:id="590"/>
      <w:r w:rsidR="002540CA" w:rsidRPr="00B75B77">
        <w:t xml:space="preserve"> </w:t>
      </w:r>
      <w:bookmarkEnd w:id="591"/>
    </w:p>
    <w:tbl>
      <w:tblPr>
        <w:tblW w:w="9265" w:type="dxa"/>
        <w:tblLook w:val="04A0" w:firstRow="1" w:lastRow="0" w:firstColumn="1" w:lastColumn="0" w:noHBand="0" w:noVBand="1"/>
      </w:tblPr>
      <w:tblGrid>
        <w:gridCol w:w="1615"/>
        <w:gridCol w:w="1620"/>
        <w:gridCol w:w="1046"/>
        <w:gridCol w:w="1204"/>
        <w:gridCol w:w="1620"/>
        <w:gridCol w:w="2160"/>
      </w:tblGrid>
      <w:tr w:rsidR="00C93F8E" w:rsidRPr="00B75B77" w:rsidTr="006D019E">
        <w:trPr>
          <w:trHeight w:val="288"/>
        </w:trPr>
        <w:tc>
          <w:tcPr>
            <w:tcW w:w="1615"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C93F8E" w:rsidRPr="00B75B77" w:rsidRDefault="00C93F8E" w:rsidP="00451FB1">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Stratum</w:t>
            </w:r>
          </w:p>
        </w:tc>
        <w:tc>
          <w:tcPr>
            <w:tcW w:w="1620"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C93F8E" w:rsidRPr="00B75B77" w:rsidRDefault="00C93F8E" w:rsidP="00BB039B">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Reported Gross Demand Savings </w:t>
            </w:r>
            <w:r w:rsidRPr="00B75B77">
              <w:rPr>
                <w:rFonts w:ascii="Calibri" w:eastAsia="Times New Roman" w:hAnsi="Calibri"/>
                <w:b/>
                <w:bCs/>
                <w:color w:val="FFFFFF"/>
                <w:sz w:val="18"/>
                <w:szCs w:val="18"/>
              </w:rPr>
              <w:br/>
              <w:t>(MW)</w:t>
            </w:r>
            <w:r w:rsidRPr="00B75B77">
              <w:rPr>
                <w:rFonts w:ascii="Calibri" w:eastAsia="Times New Roman" w:hAnsi="Calibri"/>
                <w:b/>
                <w:bCs/>
                <w:color w:val="FFFFFF"/>
                <w:sz w:val="18"/>
                <w:szCs w:val="18"/>
                <w:vertAlign w:val="superscript"/>
              </w:rPr>
              <w:t>[1]</w:t>
            </w:r>
          </w:p>
        </w:tc>
        <w:tc>
          <w:tcPr>
            <w:tcW w:w="1046"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C93F8E" w:rsidRPr="00B75B77" w:rsidRDefault="00C93F8E" w:rsidP="00BB039B">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Demand Realization Rate (%)</w:t>
            </w:r>
          </w:p>
        </w:tc>
        <w:tc>
          <w:tcPr>
            <w:tcW w:w="1204"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C93F8E" w:rsidRPr="00B75B77" w:rsidRDefault="00C93F8E" w:rsidP="00BB039B">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Verified Gross Demand Savings (MW)</w:t>
            </w:r>
            <w:r w:rsidRPr="00B75B77">
              <w:rPr>
                <w:rFonts w:ascii="Calibri" w:eastAsia="Times New Roman" w:hAnsi="Calibri"/>
                <w:b/>
                <w:bCs/>
                <w:color w:val="FFFFFF"/>
                <w:sz w:val="18"/>
                <w:szCs w:val="18"/>
                <w:vertAlign w:val="superscript"/>
              </w:rPr>
              <w:t>[1]</w:t>
            </w:r>
          </w:p>
        </w:tc>
        <w:tc>
          <w:tcPr>
            <w:tcW w:w="1620"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C93F8E" w:rsidRPr="00B75B77" w:rsidRDefault="00C93F8E" w:rsidP="00BB039B">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Observed CV or Proportion in Sample Design</w:t>
            </w:r>
          </w:p>
        </w:tc>
        <w:tc>
          <w:tcPr>
            <w:tcW w:w="2160"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C93F8E" w:rsidRPr="00B75B77" w:rsidRDefault="00C93F8E" w:rsidP="00451FB1">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Relative Precision at 85% </w:t>
            </w:r>
            <w:r w:rsidR="00451FB1" w:rsidRPr="00B75B77">
              <w:rPr>
                <w:rFonts w:ascii="Calibri" w:eastAsia="Times New Roman" w:hAnsi="Calibri"/>
                <w:b/>
                <w:bCs/>
                <w:color w:val="FFFFFF"/>
                <w:sz w:val="18"/>
                <w:szCs w:val="18"/>
              </w:rPr>
              <w:t>Confidence Interval</w:t>
            </w:r>
          </w:p>
        </w:tc>
      </w:tr>
      <w:tr w:rsidR="00C93F8E" w:rsidRPr="00B75B77" w:rsidTr="006D019E">
        <w:trPr>
          <w:trHeight w:val="288"/>
        </w:trPr>
        <w:tc>
          <w:tcPr>
            <w:tcW w:w="1615" w:type="dxa"/>
            <w:vMerge/>
            <w:tcBorders>
              <w:top w:val="single" w:sz="4" w:space="0" w:color="auto"/>
              <w:left w:val="single" w:sz="4" w:space="0" w:color="auto"/>
              <w:bottom w:val="single" w:sz="4" w:space="0" w:color="auto"/>
              <w:right w:val="single" w:sz="4" w:space="0" w:color="auto"/>
            </w:tcBorders>
            <w:vAlign w:val="center"/>
            <w:hideMark/>
          </w:tcPr>
          <w:p w:rsidR="00C93F8E" w:rsidRPr="00B75B77" w:rsidRDefault="00C93F8E" w:rsidP="00BB039B">
            <w:pPr>
              <w:jc w:val="left"/>
              <w:rPr>
                <w:rFonts w:ascii="Calibri" w:eastAsia="Times New Roman" w:hAnsi="Calibri"/>
                <w:b/>
                <w:bCs/>
                <w:color w:val="FFFFFF"/>
                <w:sz w:val="18"/>
                <w:szCs w:val="18"/>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C93F8E" w:rsidRPr="00B75B77" w:rsidRDefault="00C93F8E" w:rsidP="00BB039B">
            <w:pPr>
              <w:jc w:val="left"/>
              <w:rPr>
                <w:rFonts w:ascii="Calibri" w:eastAsia="Times New Roman" w:hAnsi="Calibri"/>
                <w:b/>
                <w:bCs/>
                <w:color w:val="FFFFFF"/>
                <w:sz w:val="18"/>
                <w:szCs w:val="18"/>
              </w:rPr>
            </w:pPr>
          </w:p>
        </w:tc>
        <w:tc>
          <w:tcPr>
            <w:tcW w:w="1046" w:type="dxa"/>
            <w:vMerge/>
            <w:tcBorders>
              <w:top w:val="single" w:sz="4" w:space="0" w:color="auto"/>
              <w:left w:val="single" w:sz="4" w:space="0" w:color="auto"/>
              <w:bottom w:val="single" w:sz="4" w:space="0" w:color="auto"/>
              <w:right w:val="single" w:sz="4" w:space="0" w:color="auto"/>
            </w:tcBorders>
            <w:vAlign w:val="center"/>
            <w:hideMark/>
          </w:tcPr>
          <w:p w:rsidR="00C93F8E" w:rsidRPr="00B75B77" w:rsidRDefault="00C93F8E" w:rsidP="00BB039B">
            <w:pPr>
              <w:jc w:val="left"/>
              <w:rPr>
                <w:rFonts w:ascii="Calibri" w:eastAsia="Times New Roman" w:hAnsi="Calibri"/>
                <w:b/>
                <w:bCs/>
                <w:color w:val="FFFFFF"/>
                <w:sz w:val="18"/>
                <w:szCs w:val="18"/>
              </w:rPr>
            </w:pPr>
          </w:p>
        </w:tc>
        <w:tc>
          <w:tcPr>
            <w:tcW w:w="1204" w:type="dxa"/>
            <w:vMerge/>
            <w:tcBorders>
              <w:top w:val="single" w:sz="4" w:space="0" w:color="auto"/>
              <w:left w:val="single" w:sz="4" w:space="0" w:color="auto"/>
              <w:bottom w:val="single" w:sz="4" w:space="0" w:color="auto"/>
              <w:right w:val="single" w:sz="4" w:space="0" w:color="auto"/>
            </w:tcBorders>
            <w:vAlign w:val="center"/>
            <w:hideMark/>
          </w:tcPr>
          <w:p w:rsidR="00C93F8E" w:rsidRPr="00B75B77" w:rsidRDefault="00C93F8E" w:rsidP="00BB039B">
            <w:pPr>
              <w:jc w:val="left"/>
              <w:rPr>
                <w:rFonts w:ascii="Calibri" w:eastAsia="Times New Roman" w:hAnsi="Calibri"/>
                <w:b/>
                <w:bCs/>
                <w:color w:val="FFFFFF"/>
                <w:sz w:val="18"/>
                <w:szCs w:val="18"/>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C93F8E" w:rsidRPr="00B75B77" w:rsidRDefault="00C93F8E" w:rsidP="00BB039B">
            <w:pPr>
              <w:jc w:val="left"/>
              <w:rPr>
                <w:rFonts w:ascii="Calibri" w:eastAsia="Times New Roman" w:hAnsi="Calibri"/>
                <w:b/>
                <w:bCs/>
                <w:color w:val="FFFFFF"/>
                <w:sz w:val="18"/>
                <w:szCs w:val="18"/>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C93F8E" w:rsidRPr="00B75B77" w:rsidRDefault="00C93F8E" w:rsidP="00BB039B">
            <w:pPr>
              <w:jc w:val="left"/>
              <w:rPr>
                <w:rFonts w:ascii="Calibri" w:eastAsia="Times New Roman" w:hAnsi="Calibri"/>
                <w:b/>
                <w:bCs/>
                <w:color w:val="FFFFFF"/>
                <w:sz w:val="18"/>
                <w:szCs w:val="18"/>
              </w:rPr>
            </w:pPr>
          </w:p>
        </w:tc>
      </w:tr>
      <w:tr w:rsidR="00C93F8E" w:rsidRPr="00B75B77" w:rsidTr="006D019E">
        <w:trPr>
          <w:trHeight w:val="288"/>
        </w:trPr>
        <w:tc>
          <w:tcPr>
            <w:tcW w:w="1615" w:type="dxa"/>
            <w:vMerge/>
            <w:tcBorders>
              <w:top w:val="single" w:sz="4" w:space="0" w:color="auto"/>
              <w:left w:val="single" w:sz="4" w:space="0" w:color="auto"/>
              <w:bottom w:val="single" w:sz="4" w:space="0" w:color="auto"/>
              <w:right w:val="single" w:sz="4" w:space="0" w:color="auto"/>
            </w:tcBorders>
            <w:vAlign w:val="center"/>
            <w:hideMark/>
          </w:tcPr>
          <w:p w:rsidR="00C93F8E" w:rsidRPr="00B75B77" w:rsidRDefault="00C93F8E" w:rsidP="00BB039B">
            <w:pPr>
              <w:jc w:val="left"/>
              <w:rPr>
                <w:rFonts w:ascii="Calibri" w:eastAsia="Times New Roman" w:hAnsi="Calibri"/>
                <w:b/>
                <w:bCs/>
                <w:color w:val="FFFFFF"/>
                <w:sz w:val="18"/>
                <w:szCs w:val="18"/>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C93F8E" w:rsidRPr="00B75B77" w:rsidRDefault="00C93F8E" w:rsidP="00BB039B">
            <w:pPr>
              <w:jc w:val="left"/>
              <w:rPr>
                <w:rFonts w:ascii="Calibri" w:eastAsia="Times New Roman" w:hAnsi="Calibri"/>
                <w:b/>
                <w:bCs/>
                <w:color w:val="FFFFFF"/>
                <w:sz w:val="18"/>
                <w:szCs w:val="18"/>
              </w:rPr>
            </w:pPr>
          </w:p>
        </w:tc>
        <w:tc>
          <w:tcPr>
            <w:tcW w:w="1046" w:type="dxa"/>
            <w:vMerge/>
            <w:tcBorders>
              <w:top w:val="single" w:sz="4" w:space="0" w:color="auto"/>
              <w:left w:val="single" w:sz="4" w:space="0" w:color="auto"/>
              <w:bottom w:val="single" w:sz="4" w:space="0" w:color="auto"/>
              <w:right w:val="single" w:sz="4" w:space="0" w:color="auto"/>
            </w:tcBorders>
            <w:vAlign w:val="center"/>
            <w:hideMark/>
          </w:tcPr>
          <w:p w:rsidR="00C93F8E" w:rsidRPr="00B75B77" w:rsidRDefault="00C93F8E" w:rsidP="00BB039B">
            <w:pPr>
              <w:jc w:val="left"/>
              <w:rPr>
                <w:rFonts w:ascii="Calibri" w:eastAsia="Times New Roman" w:hAnsi="Calibri"/>
                <w:b/>
                <w:bCs/>
                <w:color w:val="FFFFFF"/>
                <w:sz w:val="18"/>
                <w:szCs w:val="18"/>
              </w:rPr>
            </w:pPr>
          </w:p>
        </w:tc>
        <w:tc>
          <w:tcPr>
            <w:tcW w:w="1204" w:type="dxa"/>
            <w:vMerge/>
            <w:tcBorders>
              <w:top w:val="single" w:sz="4" w:space="0" w:color="auto"/>
              <w:left w:val="single" w:sz="4" w:space="0" w:color="auto"/>
              <w:bottom w:val="single" w:sz="4" w:space="0" w:color="auto"/>
              <w:right w:val="single" w:sz="4" w:space="0" w:color="auto"/>
            </w:tcBorders>
            <w:vAlign w:val="center"/>
            <w:hideMark/>
          </w:tcPr>
          <w:p w:rsidR="00C93F8E" w:rsidRPr="00B75B77" w:rsidRDefault="00C93F8E" w:rsidP="00BB039B">
            <w:pPr>
              <w:jc w:val="left"/>
              <w:rPr>
                <w:rFonts w:ascii="Calibri" w:eastAsia="Times New Roman" w:hAnsi="Calibri"/>
                <w:b/>
                <w:bCs/>
                <w:color w:val="FFFFFF"/>
                <w:sz w:val="18"/>
                <w:szCs w:val="18"/>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C93F8E" w:rsidRPr="00B75B77" w:rsidRDefault="00C93F8E" w:rsidP="00BB039B">
            <w:pPr>
              <w:jc w:val="left"/>
              <w:rPr>
                <w:rFonts w:ascii="Calibri" w:eastAsia="Times New Roman" w:hAnsi="Calibri"/>
                <w:b/>
                <w:bCs/>
                <w:color w:val="FFFFFF"/>
                <w:sz w:val="18"/>
                <w:szCs w:val="18"/>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C93F8E" w:rsidRPr="00B75B77" w:rsidRDefault="00C93F8E" w:rsidP="00BB039B">
            <w:pPr>
              <w:jc w:val="left"/>
              <w:rPr>
                <w:rFonts w:ascii="Calibri" w:eastAsia="Times New Roman" w:hAnsi="Calibri"/>
                <w:b/>
                <w:bCs/>
                <w:color w:val="FFFFFF"/>
                <w:sz w:val="18"/>
                <w:szCs w:val="18"/>
              </w:rPr>
            </w:pPr>
          </w:p>
        </w:tc>
      </w:tr>
      <w:tr w:rsidR="00C93F8E" w:rsidRPr="00B75B77" w:rsidTr="006D019E">
        <w:trPr>
          <w:trHeight w:val="288"/>
        </w:trPr>
        <w:tc>
          <w:tcPr>
            <w:tcW w:w="1615" w:type="dxa"/>
            <w:tcBorders>
              <w:top w:val="nil"/>
              <w:left w:val="single" w:sz="4" w:space="0" w:color="448A99"/>
              <w:bottom w:val="single" w:sz="4" w:space="0" w:color="448A99"/>
              <w:right w:val="single" w:sz="4" w:space="0" w:color="448A99"/>
            </w:tcBorders>
            <w:shd w:val="clear" w:color="000000" w:fill="D2EAF1"/>
            <w:vAlign w:val="center"/>
            <w:hideMark/>
          </w:tcPr>
          <w:p w:rsidR="00C93F8E" w:rsidRPr="00B75B77" w:rsidRDefault="00C93F8E" w:rsidP="00BB039B">
            <w:pPr>
              <w:jc w:val="left"/>
              <w:rPr>
                <w:rFonts w:ascii="Calibri" w:eastAsia="Times New Roman" w:hAnsi="Calibri"/>
                <w:color w:val="000000"/>
                <w:sz w:val="18"/>
                <w:szCs w:val="18"/>
              </w:rPr>
            </w:pPr>
            <w:r w:rsidRPr="00B75B77">
              <w:rPr>
                <w:rFonts w:ascii="Calibri" w:eastAsia="Times New Roman" w:hAnsi="Calibri"/>
                <w:color w:val="000000"/>
                <w:sz w:val="18"/>
                <w:szCs w:val="18"/>
              </w:rPr>
              <w:t>Component 1</w:t>
            </w:r>
          </w:p>
        </w:tc>
        <w:tc>
          <w:tcPr>
            <w:tcW w:w="1620" w:type="dxa"/>
            <w:tcBorders>
              <w:top w:val="nil"/>
              <w:left w:val="nil"/>
              <w:bottom w:val="single" w:sz="4" w:space="0" w:color="448A99"/>
              <w:right w:val="single" w:sz="4" w:space="0" w:color="448A99"/>
            </w:tcBorders>
            <w:shd w:val="clear" w:color="000000" w:fill="D2EAF1"/>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1.0</w:t>
            </w:r>
          </w:p>
        </w:tc>
        <w:tc>
          <w:tcPr>
            <w:tcW w:w="1046" w:type="dxa"/>
            <w:tcBorders>
              <w:top w:val="nil"/>
              <w:left w:val="nil"/>
              <w:bottom w:val="single" w:sz="4" w:space="0" w:color="448A99"/>
              <w:right w:val="single" w:sz="4" w:space="0" w:color="448A99"/>
            </w:tcBorders>
            <w:shd w:val="clear" w:color="000000" w:fill="D2EAF1"/>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0.86</w:t>
            </w:r>
          </w:p>
        </w:tc>
        <w:tc>
          <w:tcPr>
            <w:tcW w:w="1204" w:type="dxa"/>
            <w:tcBorders>
              <w:top w:val="nil"/>
              <w:left w:val="nil"/>
              <w:bottom w:val="single" w:sz="4" w:space="0" w:color="448A99"/>
              <w:right w:val="single" w:sz="4" w:space="0" w:color="448A99"/>
            </w:tcBorders>
            <w:shd w:val="clear" w:color="000000" w:fill="D2EAF1"/>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0.9</w:t>
            </w:r>
          </w:p>
        </w:tc>
        <w:tc>
          <w:tcPr>
            <w:tcW w:w="1620" w:type="dxa"/>
            <w:tcBorders>
              <w:top w:val="nil"/>
              <w:left w:val="nil"/>
              <w:bottom w:val="single" w:sz="4" w:space="0" w:color="448A99"/>
              <w:right w:val="single" w:sz="4" w:space="0" w:color="448A99"/>
            </w:tcBorders>
            <w:shd w:val="clear" w:color="000000" w:fill="D2EAF1"/>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2160" w:type="dxa"/>
            <w:tcBorders>
              <w:top w:val="nil"/>
              <w:left w:val="nil"/>
              <w:bottom w:val="single" w:sz="4" w:space="0" w:color="448A99"/>
              <w:right w:val="single" w:sz="4" w:space="0" w:color="448A99"/>
            </w:tcBorders>
            <w:shd w:val="clear" w:color="000000" w:fill="D2EAF1"/>
            <w:vAlign w:val="center"/>
            <w:hideMark/>
          </w:tcPr>
          <w:p w:rsidR="00C93F8E" w:rsidRPr="00B75B77" w:rsidRDefault="00C93F8E" w:rsidP="00BB039B">
            <w:pPr>
              <w:jc w:val="center"/>
              <w:rPr>
                <w:rFonts w:ascii="Calibri" w:eastAsia="Times New Roman" w:hAnsi="Calibri"/>
                <w:color w:val="000000"/>
                <w:sz w:val="18"/>
                <w:szCs w:val="18"/>
              </w:rPr>
            </w:pPr>
            <w:bookmarkStart w:id="592" w:name="RANGE!G48:G51"/>
            <w:r w:rsidRPr="00B75B77">
              <w:rPr>
                <w:rFonts w:ascii="Calibri" w:eastAsia="Times New Roman" w:hAnsi="Calibri"/>
                <w:color w:val="000000"/>
                <w:sz w:val="18"/>
                <w:szCs w:val="18"/>
              </w:rPr>
              <w:t>0%</w:t>
            </w:r>
            <w:bookmarkEnd w:id="592"/>
          </w:p>
        </w:tc>
      </w:tr>
      <w:tr w:rsidR="00C93F8E" w:rsidRPr="00B75B77" w:rsidTr="006D019E">
        <w:trPr>
          <w:trHeight w:val="288"/>
        </w:trPr>
        <w:tc>
          <w:tcPr>
            <w:tcW w:w="1615" w:type="dxa"/>
            <w:tcBorders>
              <w:top w:val="nil"/>
              <w:left w:val="single" w:sz="4" w:space="0" w:color="448A99"/>
              <w:bottom w:val="single" w:sz="4" w:space="0" w:color="448A99"/>
              <w:right w:val="single" w:sz="4" w:space="0" w:color="448A99"/>
            </w:tcBorders>
            <w:shd w:val="clear" w:color="000000" w:fill="FFFFFF"/>
            <w:vAlign w:val="center"/>
            <w:hideMark/>
          </w:tcPr>
          <w:p w:rsidR="00C93F8E" w:rsidRPr="00B75B77" w:rsidRDefault="00C93F8E" w:rsidP="00BB039B">
            <w:pPr>
              <w:jc w:val="left"/>
              <w:rPr>
                <w:rFonts w:ascii="Calibri" w:eastAsia="Times New Roman" w:hAnsi="Calibri"/>
                <w:color w:val="000000"/>
                <w:sz w:val="18"/>
                <w:szCs w:val="18"/>
              </w:rPr>
            </w:pPr>
            <w:r w:rsidRPr="00B75B77">
              <w:rPr>
                <w:rFonts w:ascii="Calibri" w:eastAsia="Times New Roman" w:hAnsi="Calibri"/>
                <w:color w:val="000000"/>
                <w:sz w:val="18"/>
                <w:szCs w:val="18"/>
              </w:rPr>
              <w:t>Component 2</w:t>
            </w:r>
          </w:p>
        </w:tc>
        <w:tc>
          <w:tcPr>
            <w:tcW w:w="1620" w:type="dxa"/>
            <w:tcBorders>
              <w:top w:val="nil"/>
              <w:left w:val="nil"/>
              <w:bottom w:val="single" w:sz="4" w:space="0" w:color="448A99"/>
              <w:right w:val="single" w:sz="4" w:space="0" w:color="448A99"/>
            </w:tcBorders>
            <w:shd w:val="clear" w:color="000000" w:fill="FFFFFF"/>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0.1</w:t>
            </w:r>
          </w:p>
        </w:tc>
        <w:tc>
          <w:tcPr>
            <w:tcW w:w="1046" w:type="dxa"/>
            <w:tcBorders>
              <w:top w:val="nil"/>
              <w:left w:val="nil"/>
              <w:bottom w:val="single" w:sz="4" w:space="0" w:color="448A99"/>
              <w:right w:val="single" w:sz="4" w:space="0" w:color="448A99"/>
            </w:tcBorders>
            <w:shd w:val="clear" w:color="000000" w:fill="FFFFFF"/>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1.00</w:t>
            </w:r>
          </w:p>
        </w:tc>
        <w:tc>
          <w:tcPr>
            <w:tcW w:w="1204" w:type="dxa"/>
            <w:tcBorders>
              <w:top w:val="nil"/>
              <w:left w:val="nil"/>
              <w:bottom w:val="single" w:sz="4" w:space="0" w:color="448A99"/>
              <w:right w:val="single" w:sz="4" w:space="0" w:color="448A99"/>
            </w:tcBorders>
            <w:shd w:val="clear" w:color="000000" w:fill="FFFFFF"/>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0.1</w:t>
            </w:r>
          </w:p>
        </w:tc>
        <w:tc>
          <w:tcPr>
            <w:tcW w:w="1620" w:type="dxa"/>
            <w:tcBorders>
              <w:top w:val="nil"/>
              <w:left w:val="nil"/>
              <w:bottom w:val="single" w:sz="4" w:space="0" w:color="448A99"/>
              <w:right w:val="single" w:sz="4" w:space="0" w:color="448A99"/>
            </w:tcBorders>
            <w:shd w:val="clear" w:color="000000" w:fill="FFFFFF"/>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2160" w:type="dxa"/>
            <w:tcBorders>
              <w:top w:val="nil"/>
              <w:left w:val="nil"/>
              <w:bottom w:val="single" w:sz="4" w:space="0" w:color="448A99"/>
              <w:right w:val="single" w:sz="4" w:space="0" w:color="448A99"/>
            </w:tcBorders>
            <w:shd w:val="clear" w:color="000000" w:fill="FFFFFF"/>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C93F8E" w:rsidRPr="00B75B77" w:rsidTr="006D019E">
        <w:trPr>
          <w:trHeight w:val="288"/>
        </w:trPr>
        <w:tc>
          <w:tcPr>
            <w:tcW w:w="1615" w:type="dxa"/>
            <w:tcBorders>
              <w:top w:val="nil"/>
              <w:left w:val="single" w:sz="4" w:space="0" w:color="448A99"/>
              <w:bottom w:val="single" w:sz="4" w:space="0" w:color="448A99"/>
              <w:right w:val="single" w:sz="4" w:space="0" w:color="448A99"/>
            </w:tcBorders>
            <w:shd w:val="clear" w:color="000000" w:fill="D2EAF1"/>
            <w:vAlign w:val="center"/>
            <w:hideMark/>
          </w:tcPr>
          <w:p w:rsidR="00C93F8E" w:rsidRPr="00B75B77" w:rsidRDefault="00C93F8E" w:rsidP="00BB039B">
            <w:pPr>
              <w:jc w:val="left"/>
              <w:rPr>
                <w:rFonts w:ascii="Calibri" w:eastAsia="Times New Roman" w:hAnsi="Calibri"/>
                <w:color w:val="000000"/>
                <w:sz w:val="18"/>
                <w:szCs w:val="18"/>
              </w:rPr>
            </w:pPr>
            <w:r w:rsidRPr="00B75B77">
              <w:rPr>
                <w:rFonts w:ascii="Calibri" w:eastAsia="Times New Roman" w:hAnsi="Calibri"/>
                <w:color w:val="000000"/>
                <w:sz w:val="18"/>
                <w:szCs w:val="18"/>
              </w:rPr>
              <w:t>Component 3</w:t>
            </w:r>
          </w:p>
        </w:tc>
        <w:tc>
          <w:tcPr>
            <w:tcW w:w="1620" w:type="dxa"/>
            <w:tcBorders>
              <w:top w:val="nil"/>
              <w:left w:val="nil"/>
              <w:bottom w:val="single" w:sz="4" w:space="0" w:color="448A99"/>
              <w:right w:val="single" w:sz="4" w:space="0" w:color="448A99"/>
            </w:tcBorders>
            <w:shd w:val="clear" w:color="000000" w:fill="D2EAF1"/>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1.3</w:t>
            </w:r>
          </w:p>
        </w:tc>
        <w:tc>
          <w:tcPr>
            <w:tcW w:w="1046" w:type="dxa"/>
            <w:tcBorders>
              <w:top w:val="nil"/>
              <w:left w:val="nil"/>
              <w:bottom w:val="single" w:sz="4" w:space="0" w:color="448A99"/>
              <w:right w:val="single" w:sz="4" w:space="0" w:color="448A99"/>
            </w:tcBorders>
            <w:shd w:val="clear" w:color="000000" w:fill="D2EAF1"/>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1.00</w:t>
            </w:r>
          </w:p>
        </w:tc>
        <w:tc>
          <w:tcPr>
            <w:tcW w:w="1204" w:type="dxa"/>
            <w:tcBorders>
              <w:top w:val="nil"/>
              <w:left w:val="nil"/>
              <w:bottom w:val="single" w:sz="4" w:space="0" w:color="448A99"/>
              <w:right w:val="single" w:sz="4" w:space="0" w:color="448A99"/>
            </w:tcBorders>
            <w:shd w:val="clear" w:color="000000" w:fill="D2EAF1"/>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1.3</w:t>
            </w:r>
          </w:p>
        </w:tc>
        <w:tc>
          <w:tcPr>
            <w:tcW w:w="1620" w:type="dxa"/>
            <w:tcBorders>
              <w:top w:val="nil"/>
              <w:left w:val="nil"/>
              <w:bottom w:val="single" w:sz="4" w:space="0" w:color="448A99"/>
              <w:right w:val="single" w:sz="4" w:space="0" w:color="448A99"/>
            </w:tcBorders>
            <w:shd w:val="clear" w:color="000000" w:fill="D2EAF1"/>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2160" w:type="dxa"/>
            <w:tcBorders>
              <w:top w:val="nil"/>
              <w:left w:val="nil"/>
              <w:bottom w:val="single" w:sz="4" w:space="0" w:color="448A99"/>
              <w:right w:val="single" w:sz="4" w:space="0" w:color="448A99"/>
            </w:tcBorders>
            <w:shd w:val="clear" w:color="000000" w:fill="D2EAF1"/>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C93F8E" w:rsidRPr="00B75B77" w:rsidTr="006D019E">
        <w:trPr>
          <w:trHeight w:val="288"/>
        </w:trPr>
        <w:tc>
          <w:tcPr>
            <w:tcW w:w="1615" w:type="dxa"/>
            <w:tcBorders>
              <w:top w:val="nil"/>
              <w:left w:val="single" w:sz="4" w:space="0" w:color="448A99"/>
              <w:bottom w:val="single" w:sz="4" w:space="0" w:color="448A99"/>
              <w:right w:val="single" w:sz="4" w:space="0" w:color="448A99"/>
            </w:tcBorders>
            <w:shd w:val="clear" w:color="000000" w:fill="FFFFFF"/>
            <w:vAlign w:val="center"/>
            <w:hideMark/>
          </w:tcPr>
          <w:p w:rsidR="00C93F8E" w:rsidRPr="00B75B77" w:rsidRDefault="00C93F8E" w:rsidP="00BB039B">
            <w:pPr>
              <w:jc w:val="left"/>
              <w:rPr>
                <w:rFonts w:ascii="Calibri" w:eastAsia="Times New Roman" w:hAnsi="Calibri"/>
                <w:color w:val="000000"/>
                <w:sz w:val="18"/>
                <w:szCs w:val="18"/>
              </w:rPr>
            </w:pPr>
            <w:r w:rsidRPr="00B75B77">
              <w:rPr>
                <w:rFonts w:ascii="Calibri" w:eastAsia="Times New Roman" w:hAnsi="Calibri"/>
                <w:color w:val="000000"/>
                <w:sz w:val="18"/>
                <w:szCs w:val="18"/>
              </w:rPr>
              <w:lastRenderedPageBreak/>
              <w:t>Component 4</w:t>
            </w:r>
          </w:p>
        </w:tc>
        <w:tc>
          <w:tcPr>
            <w:tcW w:w="1620" w:type="dxa"/>
            <w:tcBorders>
              <w:top w:val="nil"/>
              <w:left w:val="nil"/>
              <w:bottom w:val="single" w:sz="4" w:space="0" w:color="448A99"/>
              <w:right w:val="single" w:sz="4" w:space="0" w:color="448A99"/>
            </w:tcBorders>
            <w:shd w:val="clear" w:color="000000" w:fill="FFFFFF"/>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0.2</w:t>
            </w:r>
          </w:p>
        </w:tc>
        <w:tc>
          <w:tcPr>
            <w:tcW w:w="1046" w:type="dxa"/>
            <w:tcBorders>
              <w:top w:val="nil"/>
              <w:left w:val="nil"/>
              <w:bottom w:val="single" w:sz="4" w:space="0" w:color="448A99"/>
              <w:right w:val="single" w:sz="4" w:space="0" w:color="448A99"/>
            </w:tcBorders>
            <w:shd w:val="clear" w:color="000000" w:fill="FFFFFF"/>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0.59</w:t>
            </w:r>
          </w:p>
        </w:tc>
        <w:tc>
          <w:tcPr>
            <w:tcW w:w="1204" w:type="dxa"/>
            <w:tcBorders>
              <w:top w:val="nil"/>
              <w:left w:val="nil"/>
              <w:bottom w:val="single" w:sz="4" w:space="0" w:color="448A99"/>
              <w:right w:val="single" w:sz="4" w:space="0" w:color="448A99"/>
            </w:tcBorders>
            <w:shd w:val="clear" w:color="000000" w:fill="FFFFFF"/>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0.1</w:t>
            </w:r>
          </w:p>
        </w:tc>
        <w:tc>
          <w:tcPr>
            <w:tcW w:w="1620" w:type="dxa"/>
            <w:tcBorders>
              <w:top w:val="nil"/>
              <w:left w:val="nil"/>
              <w:bottom w:val="single" w:sz="4" w:space="0" w:color="448A99"/>
              <w:right w:val="single" w:sz="4" w:space="0" w:color="448A99"/>
            </w:tcBorders>
            <w:shd w:val="clear" w:color="000000" w:fill="FFFFFF"/>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2160" w:type="dxa"/>
            <w:tcBorders>
              <w:top w:val="nil"/>
              <w:left w:val="nil"/>
              <w:bottom w:val="single" w:sz="4" w:space="0" w:color="448A99"/>
              <w:right w:val="single" w:sz="4" w:space="0" w:color="448A99"/>
            </w:tcBorders>
            <w:shd w:val="clear" w:color="000000" w:fill="FFFFFF"/>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C93F8E" w:rsidRPr="00B75B77" w:rsidTr="006D019E">
        <w:trPr>
          <w:trHeight w:val="288"/>
        </w:trPr>
        <w:tc>
          <w:tcPr>
            <w:tcW w:w="1615" w:type="dxa"/>
            <w:tcBorders>
              <w:top w:val="nil"/>
              <w:left w:val="single" w:sz="4" w:space="0" w:color="448A99"/>
              <w:bottom w:val="single" w:sz="4" w:space="0" w:color="448A99"/>
              <w:right w:val="single" w:sz="4" w:space="0" w:color="448A99"/>
            </w:tcBorders>
            <w:shd w:val="clear" w:color="000000" w:fill="D2EAF1"/>
            <w:vAlign w:val="center"/>
            <w:hideMark/>
          </w:tcPr>
          <w:p w:rsidR="00C93F8E" w:rsidRPr="00B75B77" w:rsidRDefault="006D019E" w:rsidP="00BB039B">
            <w:pPr>
              <w:jc w:val="left"/>
              <w:rPr>
                <w:rFonts w:ascii="Calibri" w:eastAsia="Times New Roman" w:hAnsi="Calibri"/>
                <w:b/>
                <w:color w:val="000000"/>
                <w:sz w:val="18"/>
                <w:szCs w:val="18"/>
              </w:rPr>
            </w:pPr>
            <w:r w:rsidRPr="00B75B77">
              <w:rPr>
                <w:rFonts w:ascii="Calibri" w:eastAsia="Times New Roman" w:hAnsi="Calibri"/>
                <w:b/>
                <w:color w:val="000000"/>
                <w:sz w:val="18"/>
                <w:szCs w:val="18"/>
              </w:rPr>
              <w:t>PROGRAM TOTAL</w:t>
            </w:r>
          </w:p>
        </w:tc>
        <w:tc>
          <w:tcPr>
            <w:tcW w:w="1620" w:type="dxa"/>
            <w:tcBorders>
              <w:top w:val="nil"/>
              <w:left w:val="nil"/>
              <w:bottom w:val="single" w:sz="4" w:space="0" w:color="448A99"/>
              <w:right w:val="single" w:sz="4" w:space="0" w:color="448A99"/>
            </w:tcBorders>
            <w:shd w:val="clear" w:color="000000" w:fill="D2EAF1"/>
            <w:vAlign w:val="center"/>
            <w:hideMark/>
          </w:tcPr>
          <w:p w:rsidR="00C93F8E" w:rsidRPr="00B75B77" w:rsidRDefault="00C93F8E" w:rsidP="00BB039B">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2.6</w:t>
            </w:r>
          </w:p>
        </w:tc>
        <w:tc>
          <w:tcPr>
            <w:tcW w:w="1046" w:type="dxa"/>
            <w:tcBorders>
              <w:top w:val="nil"/>
              <w:left w:val="nil"/>
              <w:bottom w:val="single" w:sz="4" w:space="0" w:color="448A99"/>
              <w:right w:val="single" w:sz="4" w:space="0" w:color="448A99"/>
            </w:tcBorders>
            <w:shd w:val="clear" w:color="000000" w:fill="D2EAF1"/>
            <w:vAlign w:val="center"/>
            <w:hideMark/>
          </w:tcPr>
          <w:p w:rsidR="00C93F8E" w:rsidRPr="00B75B77" w:rsidRDefault="00C93F8E" w:rsidP="00BB039B">
            <w:pPr>
              <w:jc w:val="center"/>
              <w:rPr>
                <w:rFonts w:ascii="Calibri" w:eastAsia="Times New Roman" w:hAnsi="Calibri"/>
                <w:b/>
                <w:color w:val="000000"/>
                <w:sz w:val="18"/>
                <w:szCs w:val="18"/>
              </w:rPr>
            </w:pPr>
            <w:bookmarkStart w:id="593" w:name="RANGE!D52"/>
            <w:r w:rsidRPr="00B75B77">
              <w:rPr>
                <w:rFonts w:ascii="Calibri" w:eastAsia="Times New Roman" w:hAnsi="Calibri"/>
                <w:b/>
                <w:color w:val="000000"/>
                <w:sz w:val="18"/>
                <w:szCs w:val="18"/>
              </w:rPr>
              <w:t>0.92</w:t>
            </w:r>
            <w:bookmarkEnd w:id="593"/>
          </w:p>
        </w:tc>
        <w:tc>
          <w:tcPr>
            <w:tcW w:w="1204" w:type="dxa"/>
            <w:tcBorders>
              <w:top w:val="nil"/>
              <w:left w:val="nil"/>
              <w:bottom w:val="single" w:sz="4" w:space="0" w:color="448A99"/>
              <w:right w:val="single" w:sz="4" w:space="0" w:color="448A99"/>
            </w:tcBorders>
            <w:shd w:val="clear" w:color="000000" w:fill="D2EAF1"/>
            <w:vAlign w:val="center"/>
            <w:hideMark/>
          </w:tcPr>
          <w:p w:rsidR="00C93F8E" w:rsidRPr="00B75B77" w:rsidRDefault="00C93F8E" w:rsidP="00BB039B">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2.4</w:t>
            </w:r>
          </w:p>
        </w:tc>
        <w:tc>
          <w:tcPr>
            <w:tcW w:w="1620" w:type="dxa"/>
            <w:tcBorders>
              <w:top w:val="nil"/>
              <w:left w:val="nil"/>
              <w:bottom w:val="single" w:sz="4" w:space="0" w:color="448A99"/>
              <w:right w:val="single" w:sz="4" w:space="0" w:color="448A99"/>
            </w:tcBorders>
            <w:shd w:val="clear" w:color="000000" w:fill="D2EAF1"/>
            <w:vAlign w:val="center"/>
            <w:hideMark/>
          </w:tcPr>
          <w:p w:rsidR="00C93F8E" w:rsidRPr="00B75B77" w:rsidRDefault="00C93F8E" w:rsidP="00BB039B">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N/A</w:t>
            </w:r>
          </w:p>
        </w:tc>
        <w:tc>
          <w:tcPr>
            <w:tcW w:w="2160" w:type="dxa"/>
            <w:tcBorders>
              <w:top w:val="nil"/>
              <w:left w:val="nil"/>
              <w:bottom w:val="single" w:sz="4" w:space="0" w:color="448A99"/>
              <w:right w:val="single" w:sz="4" w:space="0" w:color="448A99"/>
            </w:tcBorders>
            <w:shd w:val="clear" w:color="000000" w:fill="D2EAF1"/>
            <w:vAlign w:val="center"/>
            <w:hideMark/>
          </w:tcPr>
          <w:p w:rsidR="00C93F8E" w:rsidRPr="00B75B77" w:rsidRDefault="00C93F8E" w:rsidP="00BB039B">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0%</w:t>
            </w:r>
          </w:p>
        </w:tc>
      </w:tr>
    </w:tbl>
    <w:p w:rsidR="00C93F8E" w:rsidRPr="00B75B77" w:rsidRDefault="00C93F8E" w:rsidP="00BB039B">
      <w:pPr>
        <w:pStyle w:val="Source"/>
        <w:spacing w:before="20" w:after="20"/>
        <w:ind w:left="0" w:firstLine="0"/>
        <w:rPr>
          <w:i w:val="0"/>
        </w:rPr>
      </w:pPr>
      <w:r w:rsidRPr="00B75B77">
        <w:rPr>
          <w:i w:val="0"/>
          <w:vertAlign w:val="superscript"/>
        </w:rPr>
        <w:t>[1]</w:t>
      </w:r>
      <w:r w:rsidRPr="00B75B77">
        <w:rPr>
          <w:i w:val="0"/>
        </w:rPr>
        <w:t xml:space="preserve"> All reported and verified demand savings in this report include line losses as required.</w:t>
      </w:r>
    </w:p>
    <w:p w:rsidR="00C93F8E" w:rsidRPr="00B75B77" w:rsidRDefault="00C93F8E" w:rsidP="00BB039B">
      <w:pPr>
        <w:pStyle w:val="Source"/>
        <w:spacing w:before="20" w:after="20"/>
        <w:ind w:left="0" w:firstLine="0"/>
      </w:pPr>
      <w:r w:rsidRPr="00B75B77">
        <w:rPr>
          <w:rFonts w:ascii="Calibri" w:hAnsi="Calibri"/>
          <w:i w:val="0"/>
          <w:iCs/>
          <w:szCs w:val="18"/>
        </w:rPr>
        <w:t>Note: Values in tables may not reconcile exactly with the sum of more detailed level results or previously reported results due to rounding.</w:t>
      </w:r>
    </w:p>
    <w:p w:rsidR="00C93F8E" w:rsidRPr="00B75B77" w:rsidRDefault="00C93F8E" w:rsidP="00451FB1">
      <w:pPr>
        <w:pStyle w:val="Source"/>
        <w:ind w:hanging="720"/>
      </w:pPr>
      <w:r w:rsidRPr="00B75B77">
        <w:t>Source: Navigant analysis</w:t>
      </w:r>
    </w:p>
    <w:p w:rsidR="00C93F8E" w:rsidRPr="00B75B77" w:rsidRDefault="00C93F8E" w:rsidP="00E005B4">
      <w:pPr>
        <w:keepNext/>
        <w:keepLines/>
      </w:pPr>
      <w:r w:rsidRPr="00B75B77">
        <w:t xml:space="preserve">In nearly all cases, the onsite activities verified that equipment was installed and in operation. One site visit revealed that the CSP did not accurately record CFL installations. Other than this one instance of underreporting, the CSP records matched the onsite findings for product installation. </w:t>
      </w:r>
      <w:r w:rsidR="00E005B4" w:rsidRPr="00B75B77">
        <w:fldChar w:fldCharType="begin"/>
      </w:r>
      <w:r w:rsidR="00E005B4" w:rsidRPr="00B75B77">
        <w:instrText xml:space="preserve"> REF _Ref464139290 \h </w:instrText>
      </w:r>
      <w:r w:rsidR="002540CA" w:rsidRPr="00B75B77">
        <w:instrText xml:space="preserve"> \* MERGEFORMAT </w:instrText>
      </w:r>
      <w:r w:rsidR="00E005B4" w:rsidRPr="00B75B77">
        <w:fldChar w:fldCharType="separate"/>
      </w:r>
      <w:r w:rsidR="0004016D" w:rsidRPr="00B75B77">
        <w:t xml:space="preserve">Table </w:t>
      </w:r>
      <w:r w:rsidR="0004016D">
        <w:rPr>
          <w:noProof/>
        </w:rPr>
        <w:t>8</w:t>
      </w:r>
      <w:r w:rsidR="0004016D" w:rsidRPr="00B75B77">
        <w:rPr>
          <w:noProof/>
        </w:rPr>
        <w:noBreakHyphen/>
      </w:r>
      <w:r w:rsidR="0004016D">
        <w:rPr>
          <w:noProof/>
        </w:rPr>
        <w:t>6</w:t>
      </w:r>
      <w:r w:rsidR="00E005B4" w:rsidRPr="00B75B77">
        <w:fldChar w:fldCharType="end"/>
      </w:r>
      <w:r w:rsidRPr="00B75B77">
        <w:t xml:space="preserve"> summarizes these </w:t>
      </w:r>
      <w:r w:rsidR="004435BF" w:rsidRPr="00B75B77">
        <w:t>onsite</w:t>
      </w:r>
      <w:r w:rsidRPr="00B75B77">
        <w:t xml:space="preserve"> </w:t>
      </w:r>
      <w:r w:rsidR="006923B0" w:rsidRPr="00B75B77">
        <w:t>verification</w:t>
      </w:r>
      <w:r w:rsidRPr="00B75B77">
        <w:t xml:space="preserve"> discrepancies. </w:t>
      </w:r>
    </w:p>
    <w:p w:rsidR="00C93F8E" w:rsidRPr="00B75B77" w:rsidRDefault="00C93F8E" w:rsidP="00E005B4">
      <w:pPr>
        <w:keepNext/>
        <w:keepLines/>
        <w:rPr>
          <w:color w:val="0070C0"/>
        </w:rPr>
      </w:pPr>
    </w:p>
    <w:p w:rsidR="00C93F8E" w:rsidRPr="00B75B77" w:rsidRDefault="00C93F8E" w:rsidP="00E005B4">
      <w:pPr>
        <w:pStyle w:val="Caption"/>
        <w:keepLines/>
      </w:pPr>
      <w:bookmarkStart w:id="594" w:name="_Ref464139290"/>
      <w:bookmarkStart w:id="595" w:name="_Ref463261432"/>
      <w:bookmarkStart w:id="596" w:name="_Toc466413570"/>
      <w:r w:rsidRPr="00B75B77">
        <w:t xml:space="preserve">Table </w:t>
      </w:r>
      <w:fldSimple w:instr=" STYLEREF 1 \s ">
        <w:r w:rsidR="0004016D">
          <w:rPr>
            <w:noProof/>
          </w:rPr>
          <w:t>8</w:t>
        </w:r>
      </w:fldSimple>
      <w:r w:rsidR="00F1144C" w:rsidRPr="00B75B77">
        <w:noBreakHyphen/>
      </w:r>
      <w:fldSimple w:instr=" SEQ Table \* ARABIC \s 1 ">
        <w:r w:rsidR="0004016D">
          <w:rPr>
            <w:noProof/>
          </w:rPr>
          <w:t>6</w:t>
        </w:r>
      </w:fldSimple>
      <w:bookmarkEnd w:id="594"/>
      <w:r w:rsidR="00E005B4" w:rsidRPr="00B75B77">
        <w:t xml:space="preserve">: PY7 </w:t>
      </w:r>
      <w:r w:rsidR="000C1E59" w:rsidRPr="00B75B77">
        <w:t>Low-</w:t>
      </w:r>
      <w:r w:rsidR="000A5BE2" w:rsidRPr="00B75B77">
        <w:t>Income Energy Efficiency Program</w:t>
      </w:r>
      <w:r w:rsidR="00E005B4" w:rsidRPr="00B75B77">
        <w:t xml:space="preserve"> Onsite </w:t>
      </w:r>
      <w:r w:rsidR="00E05EB0" w:rsidRPr="00B75B77">
        <w:t>Inspections</w:t>
      </w:r>
      <w:r w:rsidR="00E005B4" w:rsidRPr="00B75B77">
        <w:t xml:space="preserve"> Summary</w:t>
      </w:r>
      <w:bookmarkEnd w:id="595"/>
      <w:bookmarkEnd w:id="596"/>
    </w:p>
    <w:tbl>
      <w:tblPr>
        <w:tblStyle w:val="PECOTeal"/>
        <w:tblW w:w="8968" w:type="dxa"/>
        <w:jc w:val="center"/>
        <w:tblLook w:val="04A0" w:firstRow="1" w:lastRow="0" w:firstColumn="1" w:lastColumn="0" w:noHBand="0" w:noVBand="1"/>
      </w:tblPr>
      <w:tblGrid>
        <w:gridCol w:w="2152"/>
        <w:gridCol w:w="1502"/>
        <w:gridCol w:w="1261"/>
        <w:gridCol w:w="1143"/>
        <w:gridCol w:w="1649"/>
        <w:gridCol w:w="1261"/>
      </w:tblGrid>
      <w:tr w:rsidR="00C93F8E" w:rsidRPr="00B75B77" w:rsidTr="00451FB1">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52" w:type="dxa"/>
            <w:tcBorders>
              <w:top w:val="single" w:sz="4" w:space="0" w:color="auto"/>
              <w:left w:val="single" w:sz="4" w:space="0" w:color="auto"/>
              <w:bottom w:val="single" w:sz="4" w:space="0" w:color="auto"/>
              <w:right w:val="single" w:sz="4" w:space="0" w:color="auto"/>
            </w:tcBorders>
            <w:hideMark/>
          </w:tcPr>
          <w:p w:rsidR="00C93F8E" w:rsidRPr="00B75B77" w:rsidRDefault="00C93F8E" w:rsidP="00E005B4">
            <w:pPr>
              <w:keepNext/>
              <w:keepLines/>
              <w:rPr>
                <w:rFonts w:ascii="Calibri" w:hAnsi="Calibri"/>
                <w:color w:val="FFFFFF"/>
                <w:szCs w:val="18"/>
              </w:rPr>
            </w:pPr>
            <w:r w:rsidRPr="00B75B77">
              <w:rPr>
                <w:rFonts w:ascii="Calibri" w:hAnsi="Calibri"/>
                <w:bCs w:val="0"/>
                <w:color w:val="FFFFFF"/>
                <w:szCs w:val="18"/>
              </w:rPr>
              <w:t>Measure</w:t>
            </w:r>
          </w:p>
        </w:tc>
        <w:tc>
          <w:tcPr>
            <w:tcW w:w="1502" w:type="dxa"/>
            <w:tcBorders>
              <w:top w:val="single" w:sz="4" w:space="0" w:color="auto"/>
              <w:left w:val="single" w:sz="4" w:space="0" w:color="auto"/>
              <w:bottom w:val="single" w:sz="4" w:space="0" w:color="auto"/>
              <w:right w:val="single" w:sz="4" w:space="0" w:color="auto"/>
            </w:tcBorders>
            <w:hideMark/>
          </w:tcPr>
          <w:p w:rsidR="00C93F8E" w:rsidRPr="00B75B77" w:rsidRDefault="00C93F8E" w:rsidP="00E005B4">
            <w:pPr>
              <w:keepNext/>
              <w:keepLines/>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FFFFFF"/>
                <w:szCs w:val="18"/>
              </w:rPr>
            </w:pPr>
            <w:r w:rsidRPr="00B75B77">
              <w:rPr>
                <w:rFonts w:ascii="Calibri" w:hAnsi="Calibri"/>
                <w:bCs w:val="0"/>
                <w:color w:val="FFFFFF"/>
                <w:szCs w:val="18"/>
              </w:rPr>
              <w:t>Inspection Firm</w:t>
            </w:r>
          </w:p>
        </w:tc>
        <w:tc>
          <w:tcPr>
            <w:tcW w:w="1261" w:type="dxa"/>
            <w:tcBorders>
              <w:top w:val="single" w:sz="4" w:space="0" w:color="auto"/>
              <w:left w:val="single" w:sz="4" w:space="0" w:color="auto"/>
              <w:bottom w:val="single" w:sz="4" w:space="0" w:color="auto"/>
              <w:right w:val="single" w:sz="4" w:space="0" w:color="auto"/>
            </w:tcBorders>
            <w:hideMark/>
          </w:tcPr>
          <w:p w:rsidR="00C93F8E" w:rsidRPr="00B75B77" w:rsidRDefault="00C93F8E" w:rsidP="00E05EB0">
            <w:pPr>
              <w:keepNext/>
              <w:keepLines/>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FFFFFF"/>
                <w:szCs w:val="18"/>
              </w:rPr>
            </w:pPr>
            <w:r w:rsidRPr="00B75B77">
              <w:rPr>
                <w:rFonts w:ascii="Calibri" w:hAnsi="Calibri"/>
                <w:bCs w:val="0"/>
                <w:color w:val="FFFFFF"/>
                <w:szCs w:val="18"/>
              </w:rPr>
              <w:t xml:space="preserve">Number of </w:t>
            </w:r>
            <w:r w:rsidR="00E05EB0" w:rsidRPr="00B75B77">
              <w:rPr>
                <w:rFonts w:ascii="Calibri" w:hAnsi="Calibri"/>
                <w:bCs w:val="0"/>
                <w:color w:val="FFFFFF"/>
                <w:szCs w:val="18"/>
              </w:rPr>
              <w:t>Inspections</w:t>
            </w:r>
            <w:r w:rsidRPr="00B75B77">
              <w:rPr>
                <w:rFonts w:ascii="Calibri" w:hAnsi="Calibri"/>
                <w:bCs w:val="0"/>
                <w:color w:val="FFFFFF"/>
                <w:szCs w:val="18"/>
              </w:rPr>
              <w:t xml:space="preserve"> Planned</w:t>
            </w:r>
          </w:p>
        </w:tc>
        <w:tc>
          <w:tcPr>
            <w:tcW w:w="1143" w:type="dxa"/>
            <w:tcBorders>
              <w:top w:val="single" w:sz="4" w:space="0" w:color="auto"/>
              <w:left w:val="single" w:sz="4" w:space="0" w:color="auto"/>
              <w:bottom w:val="single" w:sz="4" w:space="0" w:color="auto"/>
              <w:right w:val="single" w:sz="4" w:space="0" w:color="auto"/>
            </w:tcBorders>
            <w:hideMark/>
          </w:tcPr>
          <w:p w:rsidR="00C93F8E" w:rsidRPr="00B75B77" w:rsidRDefault="00C93F8E" w:rsidP="00E005B4">
            <w:pPr>
              <w:keepNext/>
              <w:keepLines/>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FFFFFF"/>
                <w:szCs w:val="18"/>
              </w:rPr>
            </w:pPr>
            <w:r w:rsidRPr="00B75B77">
              <w:rPr>
                <w:rFonts w:ascii="Calibri" w:hAnsi="Calibri"/>
                <w:bCs w:val="0"/>
                <w:color w:val="FFFFFF"/>
                <w:szCs w:val="18"/>
              </w:rPr>
              <w:t xml:space="preserve">Number </w:t>
            </w:r>
            <w:r w:rsidR="006923B0" w:rsidRPr="00B75B77">
              <w:rPr>
                <w:rFonts w:ascii="Calibri" w:hAnsi="Calibri"/>
                <w:bCs w:val="0"/>
                <w:color w:val="FFFFFF"/>
                <w:szCs w:val="18"/>
              </w:rPr>
              <w:t xml:space="preserve">of </w:t>
            </w:r>
            <w:r w:rsidR="00E05EB0" w:rsidRPr="00B75B77">
              <w:rPr>
                <w:rFonts w:ascii="Calibri" w:hAnsi="Calibri"/>
                <w:bCs w:val="0"/>
                <w:color w:val="FFFFFF"/>
                <w:szCs w:val="18"/>
              </w:rPr>
              <w:t xml:space="preserve">Inspections </w:t>
            </w:r>
            <w:r w:rsidRPr="00B75B77">
              <w:rPr>
                <w:rFonts w:ascii="Calibri" w:hAnsi="Calibri"/>
                <w:bCs w:val="0"/>
                <w:color w:val="FFFFFF"/>
                <w:szCs w:val="18"/>
              </w:rPr>
              <w:t>Conducted</w:t>
            </w:r>
          </w:p>
        </w:tc>
        <w:tc>
          <w:tcPr>
            <w:tcW w:w="1649" w:type="dxa"/>
            <w:tcBorders>
              <w:top w:val="single" w:sz="4" w:space="0" w:color="auto"/>
              <w:left w:val="single" w:sz="4" w:space="0" w:color="auto"/>
              <w:bottom w:val="single" w:sz="4" w:space="0" w:color="auto"/>
              <w:right w:val="single" w:sz="4" w:space="0" w:color="auto"/>
            </w:tcBorders>
            <w:hideMark/>
          </w:tcPr>
          <w:p w:rsidR="00C93F8E" w:rsidRPr="00B75B77" w:rsidRDefault="00C93F8E" w:rsidP="00E005B4">
            <w:pPr>
              <w:keepNext/>
              <w:keepLines/>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FFFFFF"/>
                <w:szCs w:val="18"/>
              </w:rPr>
            </w:pPr>
            <w:r w:rsidRPr="00B75B77">
              <w:rPr>
                <w:rFonts w:ascii="Calibri" w:hAnsi="Calibri"/>
                <w:bCs w:val="0"/>
                <w:color w:val="FFFFFF"/>
                <w:szCs w:val="18"/>
              </w:rPr>
              <w:t>Number of Sites with Discrepancies from Reports</w:t>
            </w:r>
          </w:p>
        </w:tc>
        <w:tc>
          <w:tcPr>
            <w:tcW w:w="1261" w:type="dxa"/>
            <w:tcBorders>
              <w:top w:val="single" w:sz="4" w:space="0" w:color="auto"/>
              <w:left w:val="single" w:sz="4" w:space="0" w:color="auto"/>
              <w:bottom w:val="single" w:sz="4" w:space="0" w:color="auto"/>
              <w:right w:val="single" w:sz="4" w:space="0" w:color="auto"/>
            </w:tcBorders>
            <w:hideMark/>
          </w:tcPr>
          <w:p w:rsidR="00C93F8E" w:rsidRPr="00B75B77" w:rsidRDefault="00C93F8E" w:rsidP="00451FB1">
            <w:pPr>
              <w:keepNext/>
              <w:keepLines/>
              <w:jc w:val="left"/>
              <w:cnfStyle w:val="100000000000" w:firstRow="1" w:lastRow="0" w:firstColumn="0" w:lastColumn="0" w:oddVBand="0" w:evenVBand="0" w:oddHBand="0" w:evenHBand="0" w:firstRowFirstColumn="0" w:firstRowLastColumn="0" w:lastRowFirstColumn="0" w:lastRowLastColumn="0"/>
              <w:rPr>
                <w:rFonts w:ascii="Calibri" w:hAnsi="Calibri"/>
                <w:bCs w:val="0"/>
                <w:color w:val="FFFFFF"/>
                <w:szCs w:val="18"/>
              </w:rPr>
            </w:pPr>
            <w:r w:rsidRPr="00B75B77">
              <w:rPr>
                <w:rFonts w:ascii="Calibri" w:hAnsi="Calibri"/>
                <w:bCs w:val="0"/>
                <w:color w:val="FFFFFF"/>
                <w:szCs w:val="18"/>
              </w:rPr>
              <w:t>Resolution of Discrepancies</w:t>
            </w:r>
          </w:p>
        </w:tc>
      </w:tr>
      <w:tr w:rsidR="00C93F8E" w:rsidRPr="00B75B77" w:rsidTr="00451FB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52" w:type="dxa"/>
            <w:tcBorders>
              <w:top w:val="single" w:sz="4" w:space="0" w:color="auto"/>
            </w:tcBorders>
          </w:tcPr>
          <w:p w:rsidR="00C93F8E" w:rsidRPr="00B75B77" w:rsidRDefault="00C93F8E" w:rsidP="00E005B4">
            <w:pPr>
              <w:keepNext/>
              <w:keepLines/>
              <w:rPr>
                <w:rFonts w:ascii="Calibri" w:hAnsi="Calibri"/>
                <w:b w:val="0"/>
                <w:bCs w:val="0"/>
                <w:color w:val="000000"/>
                <w:szCs w:val="18"/>
              </w:rPr>
            </w:pPr>
            <w:r w:rsidRPr="00B75B77">
              <w:rPr>
                <w:rFonts w:ascii="Calibri" w:hAnsi="Calibri"/>
                <w:b w:val="0"/>
                <w:color w:val="000000"/>
                <w:szCs w:val="18"/>
              </w:rPr>
              <w:t>CFL Bulb Installations</w:t>
            </w:r>
          </w:p>
        </w:tc>
        <w:tc>
          <w:tcPr>
            <w:tcW w:w="1502" w:type="dxa"/>
            <w:tcBorders>
              <w:top w:val="single" w:sz="4" w:space="0" w:color="auto"/>
            </w:tcBorders>
          </w:tcPr>
          <w:p w:rsidR="00C93F8E" w:rsidRPr="00B75B77" w:rsidRDefault="00C93F8E" w:rsidP="00E005B4">
            <w:pPr>
              <w:keepNext/>
              <w:keepLines/>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Navigant</w:t>
            </w:r>
          </w:p>
        </w:tc>
        <w:tc>
          <w:tcPr>
            <w:tcW w:w="1261" w:type="dxa"/>
            <w:tcBorders>
              <w:top w:val="single" w:sz="4" w:space="0" w:color="auto"/>
            </w:tcBorders>
          </w:tcPr>
          <w:p w:rsidR="00C93F8E" w:rsidRPr="00B75B77" w:rsidRDefault="00C93F8E" w:rsidP="00E005B4">
            <w:pPr>
              <w:keepNext/>
              <w:keepLines/>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19</w:t>
            </w:r>
          </w:p>
        </w:tc>
        <w:tc>
          <w:tcPr>
            <w:tcW w:w="1143" w:type="dxa"/>
            <w:tcBorders>
              <w:top w:val="single" w:sz="4" w:space="0" w:color="auto"/>
            </w:tcBorders>
          </w:tcPr>
          <w:p w:rsidR="00C93F8E" w:rsidRPr="00B75B77" w:rsidRDefault="00C93F8E" w:rsidP="00E005B4">
            <w:pPr>
              <w:keepNext/>
              <w:keepLines/>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19</w:t>
            </w:r>
          </w:p>
        </w:tc>
        <w:tc>
          <w:tcPr>
            <w:tcW w:w="1649" w:type="dxa"/>
            <w:tcBorders>
              <w:top w:val="single" w:sz="4" w:space="0" w:color="auto"/>
            </w:tcBorders>
          </w:tcPr>
          <w:p w:rsidR="00C93F8E" w:rsidRPr="00B75B77" w:rsidRDefault="00C93F8E" w:rsidP="00E005B4">
            <w:pPr>
              <w:keepNext/>
              <w:keepLines/>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1</w:t>
            </w:r>
          </w:p>
        </w:tc>
        <w:tc>
          <w:tcPr>
            <w:tcW w:w="1261" w:type="dxa"/>
            <w:tcBorders>
              <w:top w:val="single" w:sz="4" w:space="0" w:color="auto"/>
            </w:tcBorders>
          </w:tcPr>
          <w:p w:rsidR="00C93F8E" w:rsidRPr="00B75B77" w:rsidRDefault="00C93F8E" w:rsidP="00451FB1">
            <w:pPr>
              <w:keepNext/>
              <w:keepLines/>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CMC undercounted in one home</w:t>
            </w:r>
          </w:p>
        </w:tc>
      </w:tr>
      <w:tr w:rsidR="00C93F8E" w:rsidRPr="00B75B77" w:rsidTr="00451FB1">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52" w:type="dxa"/>
          </w:tcPr>
          <w:p w:rsidR="00C93F8E" w:rsidRPr="00B75B77" w:rsidRDefault="00C93F8E" w:rsidP="007569D5">
            <w:pPr>
              <w:keepNext/>
              <w:keepLines/>
              <w:rPr>
                <w:rFonts w:ascii="Calibri" w:hAnsi="Calibri"/>
                <w:b w:val="0"/>
                <w:color w:val="000000"/>
                <w:szCs w:val="18"/>
              </w:rPr>
            </w:pPr>
            <w:r w:rsidRPr="00B75B77">
              <w:rPr>
                <w:rFonts w:ascii="Calibri" w:hAnsi="Calibri"/>
                <w:b w:val="0"/>
                <w:color w:val="000000"/>
                <w:szCs w:val="18"/>
              </w:rPr>
              <w:t>Showerhead Installations</w:t>
            </w:r>
          </w:p>
        </w:tc>
        <w:tc>
          <w:tcPr>
            <w:tcW w:w="1502" w:type="dxa"/>
          </w:tcPr>
          <w:p w:rsidR="00C93F8E" w:rsidRPr="00B75B77" w:rsidRDefault="00C93F8E" w:rsidP="007569D5">
            <w:pPr>
              <w:keepNext/>
              <w:keepLines/>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Cs w:val="18"/>
              </w:rPr>
            </w:pPr>
            <w:r w:rsidRPr="00B75B77">
              <w:rPr>
                <w:rFonts w:ascii="Calibri" w:hAnsi="Calibri"/>
                <w:color w:val="000000"/>
                <w:szCs w:val="18"/>
              </w:rPr>
              <w:t>Navigant</w:t>
            </w:r>
          </w:p>
        </w:tc>
        <w:tc>
          <w:tcPr>
            <w:tcW w:w="1261" w:type="dxa"/>
          </w:tcPr>
          <w:p w:rsidR="00C93F8E" w:rsidRPr="00B75B77" w:rsidRDefault="00C93F8E" w:rsidP="007569D5">
            <w:pPr>
              <w:keepNext/>
              <w:keepLines/>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Cs w:val="18"/>
              </w:rPr>
            </w:pPr>
            <w:r w:rsidRPr="00B75B77">
              <w:rPr>
                <w:rFonts w:ascii="Calibri" w:hAnsi="Calibri"/>
                <w:color w:val="000000"/>
                <w:szCs w:val="18"/>
              </w:rPr>
              <w:t>19</w:t>
            </w:r>
          </w:p>
        </w:tc>
        <w:tc>
          <w:tcPr>
            <w:tcW w:w="1143" w:type="dxa"/>
          </w:tcPr>
          <w:p w:rsidR="00C93F8E" w:rsidRPr="00B75B77" w:rsidRDefault="00C93F8E" w:rsidP="007569D5">
            <w:pPr>
              <w:keepNext/>
              <w:keepLines/>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Cs w:val="18"/>
              </w:rPr>
            </w:pPr>
            <w:r w:rsidRPr="00B75B77">
              <w:rPr>
                <w:rFonts w:ascii="Calibri" w:hAnsi="Calibri"/>
                <w:color w:val="000000"/>
                <w:szCs w:val="18"/>
              </w:rPr>
              <w:t>19</w:t>
            </w:r>
          </w:p>
        </w:tc>
        <w:tc>
          <w:tcPr>
            <w:tcW w:w="1649" w:type="dxa"/>
          </w:tcPr>
          <w:p w:rsidR="00C93F8E" w:rsidRPr="00B75B77" w:rsidRDefault="00C93F8E" w:rsidP="007569D5">
            <w:pPr>
              <w:keepNext/>
              <w:keepLines/>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Cs w:val="18"/>
              </w:rPr>
            </w:pPr>
            <w:r w:rsidRPr="00B75B77">
              <w:rPr>
                <w:rFonts w:ascii="Calibri" w:hAnsi="Calibri"/>
                <w:color w:val="000000"/>
                <w:szCs w:val="18"/>
              </w:rPr>
              <w:t>0</w:t>
            </w:r>
          </w:p>
        </w:tc>
        <w:tc>
          <w:tcPr>
            <w:tcW w:w="1261" w:type="dxa"/>
          </w:tcPr>
          <w:p w:rsidR="00C93F8E" w:rsidRPr="00B75B77" w:rsidRDefault="005F0C40" w:rsidP="00451FB1">
            <w:pPr>
              <w:keepNext/>
              <w:keepLines/>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zCs w:val="18"/>
              </w:rPr>
            </w:pPr>
            <w:r w:rsidRPr="00B75B77">
              <w:rPr>
                <w:rFonts w:ascii="Calibri" w:hAnsi="Calibri"/>
                <w:color w:val="000000"/>
                <w:szCs w:val="18"/>
              </w:rPr>
              <w:t>N/A</w:t>
            </w:r>
          </w:p>
        </w:tc>
      </w:tr>
      <w:tr w:rsidR="00C93F8E" w:rsidRPr="00B75B77" w:rsidTr="00451FB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52" w:type="dxa"/>
          </w:tcPr>
          <w:p w:rsidR="00C93F8E" w:rsidRPr="00B75B77" w:rsidRDefault="00C93F8E" w:rsidP="00BB039B">
            <w:pPr>
              <w:rPr>
                <w:rFonts w:ascii="Calibri" w:hAnsi="Calibri"/>
                <w:b w:val="0"/>
                <w:color w:val="000000"/>
                <w:szCs w:val="18"/>
              </w:rPr>
            </w:pPr>
            <w:r w:rsidRPr="00B75B77">
              <w:rPr>
                <w:rFonts w:ascii="Calibri" w:hAnsi="Calibri"/>
                <w:b w:val="0"/>
                <w:color w:val="000000"/>
                <w:szCs w:val="18"/>
              </w:rPr>
              <w:t>Aerator Installations</w:t>
            </w:r>
          </w:p>
        </w:tc>
        <w:tc>
          <w:tcPr>
            <w:tcW w:w="1502" w:type="dxa"/>
          </w:tcPr>
          <w:p w:rsidR="00C93F8E" w:rsidRPr="00B75B77" w:rsidRDefault="00C93F8E" w:rsidP="00BB03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Navigant</w:t>
            </w:r>
          </w:p>
        </w:tc>
        <w:tc>
          <w:tcPr>
            <w:tcW w:w="1261" w:type="dxa"/>
          </w:tcPr>
          <w:p w:rsidR="00C93F8E" w:rsidRPr="00B75B77" w:rsidRDefault="00C93F8E" w:rsidP="00BB03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19</w:t>
            </w:r>
          </w:p>
        </w:tc>
        <w:tc>
          <w:tcPr>
            <w:tcW w:w="1143" w:type="dxa"/>
          </w:tcPr>
          <w:p w:rsidR="00C93F8E" w:rsidRPr="00B75B77" w:rsidRDefault="00C93F8E" w:rsidP="00BB03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19</w:t>
            </w:r>
          </w:p>
        </w:tc>
        <w:tc>
          <w:tcPr>
            <w:tcW w:w="1649" w:type="dxa"/>
          </w:tcPr>
          <w:p w:rsidR="00C93F8E" w:rsidRPr="00B75B77" w:rsidRDefault="00C93F8E" w:rsidP="00BB03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0</w:t>
            </w:r>
          </w:p>
        </w:tc>
        <w:tc>
          <w:tcPr>
            <w:tcW w:w="1261" w:type="dxa"/>
          </w:tcPr>
          <w:p w:rsidR="00C93F8E" w:rsidRPr="00B75B77" w:rsidRDefault="005F0C40" w:rsidP="00451FB1">
            <w:pPr>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N/A</w:t>
            </w:r>
          </w:p>
        </w:tc>
      </w:tr>
      <w:tr w:rsidR="00C93F8E" w:rsidRPr="00B75B77" w:rsidTr="00451FB1">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52" w:type="dxa"/>
          </w:tcPr>
          <w:p w:rsidR="00C93F8E" w:rsidRPr="00B75B77" w:rsidRDefault="00C93F8E" w:rsidP="00BB039B">
            <w:pPr>
              <w:rPr>
                <w:rFonts w:ascii="Calibri" w:hAnsi="Calibri"/>
                <w:b w:val="0"/>
                <w:color w:val="000000"/>
                <w:szCs w:val="18"/>
              </w:rPr>
            </w:pPr>
            <w:r w:rsidRPr="00B75B77">
              <w:rPr>
                <w:rFonts w:ascii="Calibri" w:hAnsi="Calibri"/>
                <w:b w:val="0"/>
                <w:color w:val="000000"/>
                <w:szCs w:val="18"/>
              </w:rPr>
              <w:t>Refrigerator Installations</w:t>
            </w:r>
          </w:p>
        </w:tc>
        <w:tc>
          <w:tcPr>
            <w:tcW w:w="1502" w:type="dxa"/>
          </w:tcPr>
          <w:p w:rsidR="00C93F8E" w:rsidRPr="00B75B77" w:rsidRDefault="00C93F8E" w:rsidP="00BB039B">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Cs w:val="18"/>
              </w:rPr>
            </w:pPr>
            <w:r w:rsidRPr="00B75B77">
              <w:rPr>
                <w:rFonts w:ascii="Calibri" w:hAnsi="Calibri"/>
                <w:color w:val="000000"/>
                <w:szCs w:val="18"/>
              </w:rPr>
              <w:t>Navigant</w:t>
            </w:r>
          </w:p>
        </w:tc>
        <w:tc>
          <w:tcPr>
            <w:tcW w:w="1261" w:type="dxa"/>
          </w:tcPr>
          <w:p w:rsidR="00C93F8E" w:rsidRPr="00B75B77" w:rsidRDefault="00C93F8E" w:rsidP="00BB039B">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Cs w:val="18"/>
              </w:rPr>
            </w:pPr>
            <w:r w:rsidRPr="00B75B77">
              <w:rPr>
                <w:rFonts w:ascii="Calibri" w:hAnsi="Calibri"/>
                <w:color w:val="000000"/>
                <w:szCs w:val="18"/>
              </w:rPr>
              <w:t>19</w:t>
            </w:r>
          </w:p>
        </w:tc>
        <w:tc>
          <w:tcPr>
            <w:tcW w:w="1143" w:type="dxa"/>
          </w:tcPr>
          <w:p w:rsidR="00C93F8E" w:rsidRPr="00B75B77" w:rsidRDefault="00C93F8E" w:rsidP="00BB039B">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Cs w:val="18"/>
              </w:rPr>
            </w:pPr>
            <w:r w:rsidRPr="00B75B77">
              <w:rPr>
                <w:rFonts w:ascii="Calibri" w:hAnsi="Calibri"/>
                <w:color w:val="000000"/>
                <w:szCs w:val="18"/>
              </w:rPr>
              <w:t>19</w:t>
            </w:r>
          </w:p>
        </w:tc>
        <w:tc>
          <w:tcPr>
            <w:tcW w:w="1649" w:type="dxa"/>
          </w:tcPr>
          <w:p w:rsidR="00C93F8E" w:rsidRPr="00B75B77" w:rsidRDefault="00C93F8E" w:rsidP="00BB039B">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Cs w:val="18"/>
              </w:rPr>
            </w:pPr>
            <w:r w:rsidRPr="00B75B77">
              <w:rPr>
                <w:rFonts w:ascii="Calibri" w:hAnsi="Calibri"/>
                <w:color w:val="000000"/>
                <w:szCs w:val="18"/>
              </w:rPr>
              <w:t>0</w:t>
            </w:r>
          </w:p>
        </w:tc>
        <w:tc>
          <w:tcPr>
            <w:tcW w:w="1261" w:type="dxa"/>
          </w:tcPr>
          <w:p w:rsidR="00C93F8E" w:rsidRPr="00B75B77" w:rsidRDefault="005F0C40" w:rsidP="00451FB1">
            <w:pPr>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zCs w:val="18"/>
              </w:rPr>
            </w:pPr>
            <w:r w:rsidRPr="00B75B77">
              <w:rPr>
                <w:rFonts w:ascii="Calibri" w:hAnsi="Calibri"/>
                <w:color w:val="000000"/>
                <w:szCs w:val="18"/>
              </w:rPr>
              <w:t>N/A</w:t>
            </w:r>
          </w:p>
        </w:tc>
      </w:tr>
    </w:tbl>
    <w:p w:rsidR="00C93F8E" w:rsidRPr="00B75B77" w:rsidRDefault="00C93F8E" w:rsidP="00BB039B">
      <w:pPr>
        <w:pStyle w:val="Source"/>
        <w:spacing w:after="120"/>
        <w:ind w:left="90" w:firstLine="0"/>
      </w:pPr>
      <w:r w:rsidRPr="00B75B77">
        <w:t>Source: Navigant analysis</w:t>
      </w:r>
    </w:p>
    <w:p w:rsidR="00C93F8E" w:rsidRPr="00B75B77" w:rsidRDefault="00C93F8E" w:rsidP="00BB039B">
      <w:r w:rsidRPr="00B75B77">
        <w:t xml:space="preserve">The telephone surveys did not match the </w:t>
      </w:r>
      <w:r w:rsidR="004435BF" w:rsidRPr="00B75B77">
        <w:t>onsite</w:t>
      </w:r>
      <w:r w:rsidRPr="00B75B77">
        <w:t xml:space="preserve"> findings for three of the visits. In these cases, participants underreported installed measures through the phone survey; Navigant confirmed measures were installed per CSP records. Verified results were not adjusted due to these findings because the difference between phone survey and </w:t>
      </w:r>
      <w:r w:rsidR="004435BF" w:rsidRPr="00B75B77">
        <w:t>onsite</w:t>
      </w:r>
      <w:r w:rsidRPr="00B75B77">
        <w:t xml:space="preserve"> verification was less than 10%, per the PY7 LEEP site visit plan. </w:t>
      </w:r>
    </w:p>
    <w:p w:rsidR="00C93F8E" w:rsidRPr="00B75B77" w:rsidRDefault="00C93F8E" w:rsidP="00BB039B"/>
    <w:p w:rsidR="00C93F8E" w:rsidRPr="00B75B77" w:rsidRDefault="00C93F8E" w:rsidP="00BB039B">
      <w:r w:rsidRPr="00B75B77">
        <w:t xml:space="preserve">As noted earlier, the evaluation team reduced verified program savings by 8% compared to reported savings due to an issue with refrigerator calculations. Reported savings from refrigerators were overestimated by PECO due to a 2015 TRM algorithm change that did not incorporate the replacement refrigerator energy use. </w:t>
      </w:r>
      <w:r w:rsidR="00E005B4" w:rsidRPr="00B75B77">
        <w:fldChar w:fldCharType="begin"/>
      </w:r>
      <w:r w:rsidR="00E005B4" w:rsidRPr="00B75B77">
        <w:instrText xml:space="preserve"> REF _Ref464139470 \h </w:instrText>
      </w:r>
      <w:r w:rsidR="00F132CF" w:rsidRPr="00B75B77">
        <w:instrText xml:space="preserve"> \* MERGEFORMAT </w:instrText>
      </w:r>
      <w:r w:rsidR="00E005B4" w:rsidRPr="00B75B77">
        <w:fldChar w:fldCharType="separate"/>
      </w:r>
      <w:r w:rsidR="0004016D" w:rsidRPr="00B75B77">
        <w:t xml:space="preserve">Figure </w:t>
      </w:r>
      <w:r w:rsidR="0004016D">
        <w:rPr>
          <w:noProof/>
        </w:rPr>
        <w:t>8</w:t>
      </w:r>
      <w:r w:rsidR="0004016D" w:rsidRPr="00B75B77">
        <w:rPr>
          <w:noProof/>
        </w:rPr>
        <w:noBreakHyphen/>
      </w:r>
      <w:r w:rsidR="0004016D">
        <w:rPr>
          <w:noProof/>
        </w:rPr>
        <w:t>1</w:t>
      </w:r>
      <w:r w:rsidR="00E005B4" w:rsidRPr="00B75B77">
        <w:fldChar w:fldCharType="end"/>
      </w:r>
      <w:r w:rsidRPr="00B75B77">
        <w:t xml:space="preserve"> illustrates the deemed savings of the erroneous TRM algorithm used for program reporting, compared to the updated PY7 IMP algorithm Navigant used to verify savings. Because refrigerators were a significant driver of the PY7 LEEP energy and demand saving, refrigerator replacements contributed 28% of Component 1 savings and 100% of Component 4 savings</w:t>
      </w:r>
      <w:r w:rsidR="00E005B4" w:rsidRPr="00B75B77">
        <w:t>.</w:t>
      </w:r>
      <w:r w:rsidRPr="00B75B77">
        <w:t xml:space="preserve"> </w:t>
      </w:r>
      <w:r w:rsidR="00E005B4" w:rsidRPr="00B75B77">
        <w:t xml:space="preserve">This </w:t>
      </w:r>
      <w:r w:rsidRPr="00B75B77">
        <w:t xml:space="preserve">adjustment resulted in an 8% reduction to total program savings. </w:t>
      </w:r>
    </w:p>
    <w:p w:rsidR="00C93F8E" w:rsidRPr="00B75B77" w:rsidRDefault="00C93F8E" w:rsidP="00220859"/>
    <w:p w:rsidR="00C93F8E" w:rsidRPr="00B75B77" w:rsidRDefault="00E005B4" w:rsidP="00BB039B">
      <w:pPr>
        <w:pStyle w:val="Caption"/>
      </w:pPr>
      <w:bookmarkStart w:id="597" w:name="_Ref464139470"/>
      <w:bookmarkStart w:id="598" w:name="_Ref464050931"/>
      <w:bookmarkStart w:id="599" w:name="_Toc466413681"/>
      <w:r w:rsidRPr="00B75B77">
        <w:lastRenderedPageBreak/>
        <w:t xml:space="preserve">Figure </w:t>
      </w:r>
      <w:fldSimple w:instr=" STYLEREF 1 \s ">
        <w:r w:rsidR="0004016D">
          <w:rPr>
            <w:noProof/>
          </w:rPr>
          <w:t>8</w:t>
        </w:r>
      </w:fldSimple>
      <w:r w:rsidR="00BA3BA9" w:rsidRPr="00B75B77">
        <w:noBreakHyphen/>
      </w:r>
      <w:fldSimple w:instr=" SEQ Figure \* ARABIC \s 1 ">
        <w:r w:rsidR="0004016D">
          <w:rPr>
            <w:noProof/>
          </w:rPr>
          <w:t>1</w:t>
        </w:r>
      </w:fldSimple>
      <w:bookmarkEnd w:id="597"/>
      <w:r w:rsidRPr="00B75B77">
        <w:t>: Refrigerator Measure kWh Savings</w:t>
      </w:r>
      <w:bookmarkEnd w:id="598"/>
      <w:bookmarkEnd w:id="599"/>
    </w:p>
    <w:p w:rsidR="00C93F8E" w:rsidRPr="00B75B77" w:rsidRDefault="00635B17" w:rsidP="00BB039B">
      <w:pPr>
        <w:jc w:val="center"/>
      </w:pPr>
      <w:r w:rsidRPr="00B75B77">
        <w:rPr>
          <w:noProof/>
        </w:rPr>
        <w:drawing>
          <wp:inline distT="0" distB="0" distL="0" distR="0" wp14:anchorId="7727B725" wp14:editId="49AA0C7D">
            <wp:extent cx="3870960" cy="2743200"/>
            <wp:effectExtent l="0" t="0" r="0" b="0"/>
            <wp:docPr id="312" name="Chart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Pr="00B75B77">
        <w:rPr>
          <w:rStyle w:val="CommentReference"/>
        </w:rPr>
        <w:t xml:space="preserve"> </w:t>
      </w:r>
    </w:p>
    <w:p w:rsidR="00C93F8E" w:rsidRPr="00B75B77" w:rsidRDefault="00C93F8E" w:rsidP="00E005B4">
      <w:pPr>
        <w:pStyle w:val="Source"/>
        <w:spacing w:after="120"/>
        <w:ind w:left="1620" w:firstLine="0"/>
      </w:pPr>
      <w:r w:rsidRPr="00B75B77">
        <w:t>Source: Navigant analysis of PECO tracking data</w:t>
      </w:r>
    </w:p>
    <w:p w:rsidR="00C93F8E" w:rsidRPr="00B75B77" w:rsidRDefault="00C93F8E" w:rsidP="00BB039B">
      <w:r w:rsidRPr="00B75B77">
        <w:t xml:space="preserve">The measure level realization rate is less than </w:t>
      </w:r>
      <w:r w:rsidR="00E005B4" w:rsidRPr="00B75B77">
        <w:t>0</w:t>
      </w:r>
      <w:r w:rsidRPr="00B75B77">
        <w:t xml:space="preserve">.6 for both energy and demand. The overall effect on the program realization rate was mitigated by the strong realization rate for </w:t>
      </w:r>
      <w:r w:rsidR="00E005B4" w:rsidRPr="00B75B77">
        <w:t>CFL</w:t>
      </w:r>
      <w:r w:rsidRPr="00B75B77">
        <w:t xml:space="preserve"> bulbs, which contribute over 76% of total verified LEEP savings. </w:t>
      </w:r>
    </w:p>
    <w:p w:rsidR="00C93F8E" w:rsidRPr="00B75B77" w:rsidRDefault="00C93F8E" w:rsidP="000E74B9"/>
    <w:p w:rsidR="00C93F8E" w:rsidRPr="00B75B77" w:rsidRDefault="00C93F8E" w:rsidP="003E6A9B">
      <w:pPr>
        <w:pStyle w:val="Heading2"/>
      </w:pPr>
      <w:bookmarkStart w:id="600" w:name="_Toc466413363"/>
      <w:r w:rsidRPr="00B75B77">
        <w:t>Impact Evaluation Net Savings</w:t>
      </w:r>
      <w:bookmarkEnd w:id="600"/>
      <w:r w:rsidRPr="00B75B77">
        <w:t xml:space="preserve"> </w:t>
      </w:r>
    </w:p>
    <w:p w:rsidR="00C93F8E" w:rsidRPr="00B75B77" w:rsidRDefault="00C93F8E" w:rsidP="00BB039B">
      <w:r w:rsidRPr="00B75B77">
        <w:t xml:space="preserve">Historically, the evaluation team has assumed a NTG ratio of 1.0 for LEEP, reflective of participants’ limited ability to purchase energy efficiency measures. In the PY7 evaluation, Navigant included a battery of NTG questions in the participant survey for the first time to explore free ridership and spillover. The following sections discuss the methodology used for this research, and the analysis results. </w:t>
      </w:r>
    </w:p>
    <w:p w:rsidR="00C93F8E" w:rsidRPr="00B75B77" w:rsidRDefault="00C93F8E" w:rsidP="00BB039B"/>
    <w:p w:rsidR="00C93F8E" w:rsidRPr="00B75B77" w:rsidRDefault="00C93F8E" w:rsidP="002540CA">
      <w:pPr>
        <w:pStyle w:val="Heading3"/>
        <w:keepNext/>
        <w:keepLines/>
      </w:pPr>
      <w:bookmarkStart w:id="601" w:name="_Ref463878339"/>
      <w:bookmarkStart w:id="602" w:name="_Toc466413364"/>
      <w:r w:rsidRPr="00B75B77">
        <w:t>Net Verified Savings Methodology</w:t>
      </w:r>
      <w:bookmarkEnd w:id="601"/>
      <w:bookmarkEnd w:id="602"/>
      <w:r w:rsidRPr="00B75B77">
        <w:t xml:space="preserve"> </w:t>
      </w:r>
    </w:p>
    <w:p w:rsidR="00C93F8E" w:rsidRPr="00B75B77" w:rsidRDefault="00C93F8E" w:rsidP="00BB039B">
      <w:r w:rsidRPr="00B75B77">
        <w:t xml:space="preserve">The evaluation team conducted a phone survey of program participants in Components 1, 3, and 4. Consistent with the evaluation plan, Component 2 participants were not </w:t>
      </w:r>
      <w:r w:rsidRPr="00B75B77" w:rsidDel="00845869">
        <w:t>surveyed</w:t>
      </w:r>
      <w:r w:rsidR="00845869" w:rsidRPr="00B75B77">
        <w:t>,</w:t>
      </w:r>
      <w:r w:rsidRPr="00B75B77">
        <w:t xml:space="preserve"> as they are primarily LIURP program customers. </w:t>
      </w:r>
      <w:r w:rsidR="00E005B4" w:rsidRPr="00B75B77">
        <w:fldChar w:fldCharType="begin"/>
      </w:r>
      <w:r w:rsidR="00E005B4" w:rsidRPr="00B75B77">
        <w:instrText xml:space="preserve"> REF _Ref464139701 \h </w:instrText>
      </w:r>
      <w:r w:rsidR="002540CA" w:rsidRPr="00B75B77">
        <w:instrText xml:space="preserve"> \* MERGEFORMAT </w:instrText>
      </w:r>
      <w:r w:rsidR="00E005B4" w:rsidRPr="00B75B77">
        <w:fldChar w:fldCharType="separate"/>
      </w:r>
      <w:r w:rsidR="0004016D" w:rsidRPr="00B75B77">
        <w:t xml:space="preserve">Table </w:t>
      </w:r>
      <w:r w:rsidR="0004016D">
        <w:rPr>
          <w:noProof/>
        </w:rPr>
        <w:t>8</w:t>
      </w:r>
      <w:r w:rsidR="0004016D" w:rsidRPr="00B75B77">
        <w:rPr>
          <w:noProof/>
        </w:rPr>
        <w:noBreakHyphen/>
      </w:r>
      <w:r w:rsidR="0004016D">
        <w:rPr>
          <w:noProof/>
        </w:rPr>
        <w:t>7</w:t>
      </w:r>
      <w:r w:rsidR="00E005B4" w:rsidRPr="00B75B77">
        <w:fldChar w:fldCharType="end"/>
      </w:r>
      <w:r w:rsidRPr="00B75B77">
        <w:t xml:space="preserve"> illustrates the PY7 NTG research sampling strategy.</w:t>
      </w:r>
    </w:p>
    <w:p w:rsidR="00C93F8E" w:rsidRPr="00B75B77" w:rsidRDefault="00C93F8E" w:rsidP="004D2FBE"/>
    <w:p w:rsidR="00C93F8E" w:rsidRPr="00B75B77" w:rsidRDefault="00C93F8E" w:rsidP="00BB039B">
      <w:pPr>
        <w:pStyle w:val="Caption"/>
      </w:pPr>
      <w:bookmarkStart w:id="603" w:name="_Ref464139701"/>
      <w:bookmarkStart w:id="604" w:name="_Toc466413571"/>
      <w:bookmarkStart w:id="605" w:name="_Ref463250696"/>
      <w:bookmarkStart w:id="606" w:name="_Toc453075298"/>
      <w:r w:rsidRPr="00B75B77">
        <w:t xml:space="preserve">Table </w:t>
      </w:r>
      <w:fldSimple w:instr=" STYLEREF 1 \s ">
        <w:r w:rsidR="0004016D">
          <w:rPr>
            <w:noProof/>
          </w:rPr>
          <w:t>8</w:t>
        </w:r>
      </w:fldSimple>
      <w:r w:rsidR="00F1144C" w:rsidRPr="00B75B77">
        <w:noBreakHyphen/>
      </w:r>
      <w:fldSimple w:instr=" SEQ Table \* ARABIC \s 1 ">
        <w:r w:rsidR="0004016D">
          <w:rPr>
            <w:noProof/>
          </w:rPr>
          <w:t>7</w:t>
        </w:r>
      </w:fldSimple>
      <w:bookmarkEnd w:id="603"/>
      <w:r w:rsidR="00E005B4" w:rsidRPr="00B75B77">
        <w:t xml:space="preserve">: </w:t>
      </w:r>
      <w:r w:rsidR="000C1E59" w:rsidRPr="00B75B77">
        <w:t>Low-</w:t>
      </w:r>
      <w:r w:rsidR="000A5BE2" w:rsidRPr="00B75B77">
        <w:t>Income Energy Efficiency Program</w:t>
      </w:r>
      <w:r w:rsidR="00E005B4" w:rsidRPr="00B75B77">
        <w:t xml:space="preserve"> Sampling Strategy for PY7 NTG Research</w:t>
      </w:r>
      <w:bookmarkEnd w:id="604"/>
      <w:r w:rsidR="002540CA" w:rsidRPr="00B75B77">
        <w:t xml:space="preserve"> </w:t>
      </w:r>
      <w:bookmarkEnd w:id="605"/>
      <w:bookmarkEnd w:id="606"/>
    </w:p>
    <w:tbl>
      <w:tblPr>
        <w:tblW w:w="9345" w:type="dxa"/>
        <w:tblLook w:val="04A0" w:firstRow="1" w:lastRow="0" w:firstColumn="1" w:lastColumn="0" w:noHBand="0" w:noVBand="1"/>
      </w:tblPr>
      <w:tblGrid>
        <w:gridCol w:w="1574"/>
        <w:gridCol w:w="1154"/>
        <w:gridCol w:w="1109"/>
        <w:gridCol w:w="1313"/>
        <w:gridCol w:w="1109"/>
        <w:gridCol w:w="986"/>
        <w:gridCol w:w="940"/>
        <w:gridCol w:w="1160"/>
      </w:tblGrid>
      <w:tr w:rsidR="00C93F8E" w:rsidRPr="00B75B77" w:rsidTr="00451FB1">
        <w:trPr>
          <w:trHeight w:val="288"/>
        </w:trPr>
        <w:tc>
          <w:tcPr>
            <w:tcW w:w="1574" w:type="dxa"/>
            <w:tcBorders>
              <w:top w:val="single" w:sz="4" w:space="0" w:color="auto"/>
              <w:left w:val="single" w:sz="4" w:space="0" w:color="auto"/>
              <w:bottom w:val="single" w:sz="4" w:space="0" w:color="auto"/>
              <w:right w:val="single" w:sz="4" w:space="0" w:color="auto"/>
            </w:tcBorders>
            <w:shd w:val="clear" w:color="000000" w:fill="448A99"/>
            <w:vAlign w:val="center"/>
            <w:hideMark/>
          </w:tcPr>
          <w:p w:rsidR="00C93F8E" w:rsidRPr="00B75B77" w:rsidRDefault="00C93F8E" w:rsidP="00451FB1">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Stratum</w:t>
            </w:r>
          </w:p>
        </w:tc>
        <w:tc>
          <w:tcPr>
            <w:tcW w:w="1154" w:type="dxa"/>
            <w:tcBorders>
              <w:top w:val="single" w:sz="4" w:space="0" w:color="auto"/>
              <w:left w:val="nil"/>
              <w:bottom w:val="single" w:sz="4" w:space="0" w:color="auto"/>
              <w:right w:val="single" w:sz="4" w:space="0" w:color="auto"/>
            </w:tcBorders>
            <w:shd w:val="clear" w:color="000000" w:fill="448A99"/>
            <w:vAlign w:val="center"/>
            <w:hideMark/>
          </w:tcPr>
          <w:p w:rsidR="00C93F8E" w:rsidRPr="00B75B77" w:rsidRDefault="00C93F8E" w:rsidP="00BB039B">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Stratum Boundaries</w:t>
            </w:r>
          </w:p>
        </w:tc>
        <w:tc>
          <w:tcPr>
            <w:tcW w:w="1109" w:type="dxa"/>
            <w:tcBorders>
              <w:top w:val="single" w:sz="4" w:space="0" w:color="auto"/>
              <w:left w:val="nil"/>
              <w:bottom w:val="single" w:sz="4" w:space="0" w:color="auto"/>
              <w:right w:val="single" w:sz="4" w:space="0" w:color="auto"/>
            </w:tcBorders>
            <w:shd w:val="clear" w:color="000000" w:fill="448A99"/>
            <w:vAlign w:val="center"/>
            <w:hideMark/>
          </w:tcPr>
          <w:p w:rsidR="00C93F8E" w:rsidRPr="00B75B77" w:rsidRDefault="00C93F8E" w:rsidP="00BB039B">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Population Size</w:t>
            </w:r>
          </w:p>
        </w:tc>
        <w:tc>
          <w:tcPr>
            <w:tcW w:w="1313" w:type="dxa"/>
            <w:tcBorders>
              <w:top w:val="single" w:sz="4" w:space="0" w:color="auto"/>
              <w:left w:val="nil"/>
              <w:bottom w:val="single" w:sz="4" w:space="0" w:color="auto"/>
              <w:right w:val="single" w:sz="4" w:space="0" w:color="auto"/>
            </w:tcBorders>
            <w:shd w:val="clear" w:color="000000" w:fill="448A99"/>
            <w:vAlign w:val="center"/>
            <w:hideMark/>
          </w:tcPr>
          <w:p w:rsidR="00C93F8E" w:rsidRPr="00B75B77" w:rsidRDefault="00C93F8E" w:rsidP="00BB039B">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Assumed CV or Proportion in Sample Design</w:t>
            </w:r>
          </w:p>
        </w:tc>
        <w:tc>
          <w:tcPr>
            <w:tcW w:w="1109" w:type="dxa"/>
            <w:tcBorders>
              <w:top w:val="single" w:sz="4" w:space="0" w:color="auto"/>
              <w:left w:val="nil"/>
              <w:bottom w:val="single" w:sz="4" w:space="0" w:color="auto"/>
              <w:right w:val="single" w:sz="4" w:space="0" w:color="auto"/>
            </w:tcBorders>
            <w:shd w:val="clear" w:color="000000" w:fill="448A99"/>
            <w:vAlign w:val="center"/>
            <w:hideMark/>
          </w:tcPr>
          <w:p w:rsidR="00C93F8E" w:rsidRPr="00B75B77" w:rsidRDefault="00C93F8E" w:rsidP="00BB039B">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Assumed Levels of Confidence and Precision</w:t>
            </w:r>
          </w:p>
        </w:tc>
        <w:tc>
          <w:tcPr>
            <w:tcW w:w="986" w:type="dxa"/>
            <w:tcBorders>
              <w:top w:val="single" w:sz="4" w:space="0" w:color="auto"/>
              <w:left w:val="nil"/>
              <w:bottom w:val="single" w:sz="4" w:space="0" w:color="auto"/>
              <w:right w:val="single" w:sz="4" w:space="0" w:color="auto"/>
            </w:tcBorders>
            <w:shd w:val="clear" w:color="000000" w:fill="448A99"/>
            <w:vAlign w:val="center"/>
            <w:hideMark/>
          </w:tcPr>
          <w:p w:rsidR="00C93F8E" w:rsidRPr="00B75B77" w:rsidRDefault="00C93F8E" w:rsidP="00BB039B">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Target Sample </w:t>
            </w:r>
            <w:r w:rsidR="006D019E" w:rsidRPr="00B75B77">
              <w:rPr>
                <w:rFonts w:ascii="Calibri" w:eastAsia="Times New Roman" w:hAnsi="Calibri"/>
                <w:b/>
                <w:bCs/>
                <w:color w:val="FFFFFF"/>
                <w:sz w:val="18"/>
                <w:szCs w:val="18"/>
              </w:rPr>
              <w:t>Size</w:t>
            </w:r>
          </w:p>
        </w:tc>
        <w:tc>
          <w:tcPr>
            <w:tcW w:w="940" w:type="dxa"/>
            <w:tcBorders>
              <w:top w:val="single" w:sz="4" w:space="0" w:color="auto"/>
              <w:left w:val="nil"/>
              <w:bottom w:val="single" w:sz="4" w:space="0" w:color="auto"/>
              <w:right w:val="single" w:sz="4" w:space="0" w:color="auto"/>
            </w:tcBorders>
            <w:shd w:val="clear" w:color="000000" w:fill="448A99"/>
            <w:vAlign w:val="center"/>
            <w:hideMark/>
          </w:tcPr>
          <w:p w:rsidR="00C93F8E" w:rsidRPr="00B75B77" w:rsidRDefault="00C93F8E" w:rsidP="00BB039B">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Achieved Sample Size</w:t>
            </w:r>
          </w:p>
        </w:tc>
        <w:tc>
          <w:tcPr>
            <w:tcW w:w="1160" w:type="dxa"/>
            <w:tcBorders>
              <w:top w:val="single" w:sz="8" w:space="0" w:color="auto"/>
              <w:left w:val="nil"/>
              <w:bottom w:val="nil"/>
              <w:right w:val="single" w:sz="8" w:space="0" w:color="auto"/>
            </w:tcBorders>
            <w:shd w:val="clear" w:color="000000" w:fill="448A99"/>
            <w:vAlign w:val="center"/>
            <w:hideMark/>
          </w:tcPr>
          <w:p w:rsidR="00C93F8E" w:rsidRPr="00B75B77" w:rsidRDefault="00237810" w:rsidP="00BB039B">
            <w:pPr>
              <w:jc w:val="center"/>
              <w:rPr>
                <w:rFonts w:ascii="Calibri" w:eastAsia="Times New Roman" w:hAnsi="Calibri"/>
                <w:b/>
                <w:bCs/>
                <w:color w:val="FFFFFF"/>
                <w:sz w:val="18"/>
                <w:szCs w:val="18"/>
              </w:rPr>
            </w:pPr>
            <w:hyperlink r:id="rId71" w:anchor="RANGE!_ftn1" w:history="1">
              <w:r w:rsidR="00C93F8E" w:rsidRPr="00B75B77">
                <w:rPr>
                  <w:rFonts w:ascii="Calibri" w:eastAsia="Times New Roman" w:hAnsi="Calibri"/>
                  <w:b/>
                  <w:bCs/>
                  <w:color w:val="FFFFFF"/>
                  <w:sz w:val="18"/>
                  <w:szCs w:val="18"/>
                </w:rPr>
                <w:t>Percent</w:t>
              </w:r>
              <w:r w:rsidR="00451FB1" w:rsidRPr="00B75B77">
                <w:rPr>
                  <w:rFonts w:ascii="Calibri" w:eastAsia="Times New Roman" w:hAnsi="Calibri"/>
                  <w:b/>
                  <w:bCs/>
                  <w:color w:val="FFFFFF"/>
                  <w:sz w:val="18"/>
                  <w:szCs w:val="18"/>
                </w:rPr>
                <w:t>age</w:t>
              </w:r>
              <w:r w:rsidR="00C93F8E" w:rsidRPr="00B75B77">
                <w:rPr>
                  <w:rFonts w:ascii="Calibri" w:eastAsia="Times New Roman" w:hAnsi="Calibri"/>
                  <w:b/>
                  <w:bCs/>
                  <w:color w:val="FFFFFF"/>
                  <w:sz w:val="18"/>
                  <w:szCs w:val="18"/>
                </w:rPr>
                <w:t xml:space="preserve"> of Sample Frame</w:t>
              </w:r>
              <w:r w:rsidR="00C93F8E" w:rsidRPr="00B75B77">
                <w:rPr>
                  <w:rFonts w:ascii="Calibri" w:eastAsia="Times New Roman" w:hAnsi="Calibri"/>
                  <w:b/>
                  <w:bCs/>
                  <w:color w:val="FFFFFF"/>
                  <w:sz w:val="18"/>
                  <w:szCs w:val="18"/>
                  <w:vertAlign w:val="superscript"/>
                </w:rPr>
                <w:t xml:space="preserve">[1] </w:t>
              </w:r>
              <w:r w:rsidR="00C93F8E" w:rsidRPr="00B75B77">
                <w:rPr>
                  <w:rFonts w:ascii="Calibri" w:eastAsia="Times New Roman" w:hAnsi="Calibri"/>
                  <w:b/>
                  <w:bCs/>
                  <w:color w:val="FFFFFF"/>
                  <w:sz w:val="18"/>
                  <w:szCs w:val="18"/>
                </w:rPr>
                <w:t>Contacted to Achieve Sample</w:t>
              </w:r>
            </w:hyperlink>
          </w:p>
        </w:tc>
      </w:tr>
      <w:tr w:rsidR="00C93F8E" w:rsidRPr="00B75B77" w:rsidTr="00451FB1">
        <w:trPr>
          <w:trHeight w:val="288"/>
        </w:trPr>
        <w:tc>
          <w:tcPr>
            <w:tcW w:w="1574" w:type="dxa"/>
            <w:tcBorders>
              <w:top w:val="nil"/>
              <w:left w:val="single" w:sz="4" w:space="0" w:color="448A99"/>
              <w:bottom w:val="single" w:sz="4" w:space="0" w:color="448A99"/>
              <w:right w:val="single" w:sz="4" w:space="0" w:color="448A99"/>
            </w:tcBorders>
            <w:shd w:val="clear" w:color="000000" w:fill="D2EAF1"/>
            <w:vAlign w:val="center"/>
            <w:hideMark/>
          </w:tcPr>
          <w:p w:rsidR="00C93F8E" w:rsidRPr="00B75B77" w:rsidRDefault="00C93F8E" w:rsidP="00BB039B">
            <w:pPr>
              <w:rPr>
                <w:rFonts w:ascii="Calibri" w:eastAsia="Times New Roman" w:hAnsi="Calibri"/>
                <w:color w:val="000000"/>
                <w:sz w:val="18"/>
                <w:szCs w:val="18"/>
              </w:rPr>
            </w:pPr>
            <w:r w:rsidRPr="00B75B77">
              <w:rPr>
                <w:rFonts w:ascii="Calibri" w:eastAsia="Times New Roman" w:hAnsi="Calibri"/>
                <w:color w:val="000000"/>
                <w:sz w:val="18"/>
                <w:szCs w:val="18"/>
              </w:rPr>
              <w:t>Component 1</w:t>
            </w:r>
          </w:p>
        </w:tc>
        <w:tc>
          <w:tcPr>
            <w:tcW w:w="1154" w:type="dxa"/>
            <w:tcBorders>
              <w:top w:val="nil"/>
              <w:left w:val="nil"/>
              <w:bottom w:val="single" w:sz="4" w:space="0" w:color="448A99"/>
              <w:right w:val="single" w:sz="4" w:space="0" w:color="448A99"/>
            </w:tcBorders>
            <w:shd w:val="clear" w:color="000000" w:fill="D2EAF1"/>
            <w:noWrap/>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109" w:type="dxa"/>
            <w:tcBorders>
              <w:top w:val="nil"/>
              <w:left w:val="nil"/>
              <w:bottom w:val="single" w:sz="4" w:space="0" w:color="448A99"/>
              <w:right w:val="single" w:sz="4" w:space="0" w:color="448A99"/>
            </w:tcBorders>
            <w:shd w:val="clear" w:color="000000" w:fill="D2EAF1"/>
            <w:noWrap/>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10,012</w:t>
            </w:r>
          </w:p>
        </w:tc>
        <w:tc>
          <w:tcPr>
            <w:tcW w:w="1313" w:type="dxa"/>
            <w:tcBorders>
              <w:top w:val="nil"/>
              <w:left w:val="nil"/>
              <w:bottom w:val="single" w:sz="4" w:space="0" w:color="448A99"/>
              <w:right w:val="single" w:sz="4" w:space="0" w:color="448A99"/>
            </w:tcBorders>
            <w:shd w:val="clear" w:color="000000" w:fill="D2EAF1"/>
            <w:noWrap/>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0.50</w:t>
            </w:r>
          </w:p>
        </w:tc>
        <w:tc>
          <w:tcPr>
            <w:tcW w:w="1109" w:type="dxa"/>
            <w:tcBorders>
              <w:top w:val="nil"/>
              <w:left w:val="nil"/>
              <w:bottom w:val="single" w:sz="4" w:space="0" w:color="448A99"/>
              <w:right w:val="single" w:sz="4" w:space="0" w:color="448A99"/>
            </w:tcBorders>
            <w:shd w:val="clear" w:color="000000" w:fill="D2EAF1"/>
            <w:noWrap/>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986" w:type="dxa"/>
            <w:tcBorders>
              <w:top w:val="nil"/>
              <w:left w:val="nil"/>
              <w:bottom w:val="single" w:sz="4" w:space="0" w:color="448A99"/>
              <w:right w:val="single" w:sz="4" w:space="0" w:color="448A99"/>
            </w:tcBorders>
            <w:shd w:val="clear" w:color="000000" w:fill="D2EAF1"/>
            <w:noWrap/>
            <w:vAlign w:val="bottom"/>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35</w:t>
            </w:r>
          </w:p>
        </w:tc>
        <w:tc>
          <w:tcPr>
            <w:tcW w:w="940" w:type="dxa"/>
            <w:tcBorders>
              <w:top w:val="nil"/>
              <w:left w:val="nil"/>
              <w:bottom w:val="single" w:sz="4" w:space="0" w:color="448A99"/>
              <w:right w:val="single" w:sz="4" w:space="0" w:color="448A99"/>
            </w:tcBorders>
            <w:shd w:val="clear" w:color="000000" w:fill="D2EAF1"/>
            <w:noWrap/>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35</w:t>
            </w:r>
          </w:p>
        </w:tc>
        <w:tc>
          <w:tcPr>
            <w:tcW w:w="1160" w:type="dxa"/>
            <w:tcBorders>
              <w:top w:val="single" w:sz="4" w:space="0" w:color="448A99"/>
              <w:left w:val="nil"/>
              <w:bottom w:val="single" w:sz="4" w:space="0" w:color="448A99"/>
              <w:right w:val="single" w:sz="4" w:space="0" w:color="448A99"/>
            </w:tcBorders>
            <w:shd w:val="clear" w:color="000000" w:fill="D2EAF1"/>
            <w:noWrap/>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88%</w:t>
            </w:r>
          </w:p>
        </w:tc>
      </w:tr>
      <w:tr w:rsidR="00C93F8E" w:rsidRPr="00B75B77" w:rsidTr="00451FB1">
        <w:trPr>
          <w:trHeight w:val="288"/>
        </w:trPr>
        <w:tc>
          <w:tcPr>
            <w:tcW w:w="1574" w:type="dxa"/>
            <w:tcBorders>
              <w:top w:val="nil"/>
              <w:left w:val="single" w:sz="4" w:space="0" w:color="448A99"/>
              <w:bottom w:val="single" w:sz="4" w:space="0" w:color="448A99"/>
              <w:right w:val="single" w:sz="4" w:space="0" w:color="448A99"/>
            </w:tcBorders>
            <w:shd w:val="clear" w:color="000000" w:fill="FFFFFF"/>
            <w:vAlign w:val="center"/>
            <w:hideMark/>
          </w:tcPr>
          <w:p w:rsidR="00C93F8E" w:rsidRPr="00B75B77" w:rsidRDefault="00C93F8E" w:rsidP="00BB039B">
            <w:pPr>
              <w:rPr>
                <w:rFonts w:ascii="Calibri" w:eastAsia="Times New Roman" w:hAnsi="Calibri"/>
                <w:color w:val="000000"/>
                <w:sz w:val="18"/>
                <w:szCs w:val="18"/>
              </w:rPr>
            </w:pPr>
            <w:r w:rsidRPr="00B75B77">
              <w:rPr>
                <w:rFonts w:ascii="Calibri" w:eastAsia="Times New Roman" w:hAnsi="Calibri"/>
                <w:color w:val="000000"/>
                <w:sz w:val="18"/>
                <w:szCs w:val="18"/>
              </w:rPr>
              <w:t>Component 2</w:t>
            </w:r>
          </w:p>
        </w:tc>
        <w:tc>
          <w:tcPr>
            <w:tcW w:w="1154" w:type="dxa"/>
            <w:tcBorders>
              <w:top w:val="nil"/>
              <w:left w:val="nil"/>
              <w:bottom w:val="single" w:sz="4" w:space="0" w:color="448A99"/>
              <w:right w:val="single" w:sz="4" w:space="0" w:color="448A99"/>
            </w:tcBorders>
            <w:shd w:val="clear" w:color="000000" w:fill="FFFFFF"/>
            <w:noWrap/>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109" w:type="dxa"/>
            <w:tcBorders>
              <w:top w:val="nil"/>
              <w:left w:val="nil"/>
              <w:bottom w:val="single" w:sz="4" w:space="0" w:color="448A99"/>
              <w:right w:val="single" w:sz="4" w:space="0" w:color="448A99"/>
            </w:tcBorders>
            <w:shd w:val="clear" w:color="000000" w:fill="FFFFFF"/>
            <w:noWrap/>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4,060</w:t>
            </w:r>
          </w:p>
        </w:tc>
        <w:tc>
          <w:tcPr>
            <w:tcW w:w="1313" w:type="dxa"/>
            <w:tcBorders>
              <w:top w:val="nil"/>
              <w:left w:val="nil"/>
              <w:bottom w:val="single" w:sz="4" w:space="0" w:color="448A99"/>
              <w:right w:val="single" w:sz="4" w:space="0" w:color="448A99"/>
            </w:tcBorders>
            <w:shd w:val="clear" w:color="000000" w:fill="FFFFFF"/>
            <w:noWrap/>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0.50</w:t>
            </w:r>
          </w:p>
        </w:tc>
        <w:tc>
          <w:tcPr>
            <w:tcW w:w="1109" w:type="dxa"/>
            <w:tcBorders>
              <w:top w:val="nil"/>
              <w:left w:val="nil"/>
              <w:bottom w:val="single" w:sz="4" w:space="0" w:color="448A99"/>
              <w:right w:val="single" w:sz="4" w:space="0" w:color="448A99"/>
            </w:tcBorders>
            <w:shd w:val="clear" w:color="000000" w:fill="FFFFFF"/>
            <w:noWrap/>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986" w:type="dxa"/>
            <w:tcBorders>
              <w:top w:val="nil"/>
              <w:left w:val="nil"/>
              <w:bottom w:val="single" w:sz="4" w:space="0" w:color="448A99"/>
              <w:right w:val="single" w:sz="4" w:space="0" w:color="448A99"/>
            </w:tcBorders>
            <w:shd w:val="clear" w:color="000000" w:fill="FFFFFF"/>
            <w:noWrap/>
            <w:vAlign w:val="bottom"/>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20</w:t>
            </w:r>
          </w:p>
        </w:tc>
        <w:tc>
          <w:tcPr>
            <w:tcW w:w="940" w:type="dxa"/>
            <w:tcBorders>
              <w:top w:val="nil"/>
              <w:left w:val="nil"/>
              <w:bottom w:val="single" w:sz="4" w:space="0" w:color="448A99"/>
              <w:right w:val="single" w:sz="4" w:space="0" w:color="448A99"/>
            </w:tcBorders>
            <w:shd w:val="clear" w:color="000000" w:fill="FFFFFF"/>
            <w:noWrap/>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20</w:t>
            </w:r>
          </w:p>
        </w:tc>
        <w:tc>
          <w:tcPr>
            <w:tcW w:w="1160" w:type="dxa"/>
            <w:tcBorders>
              <w:top w:val="nil"/>
              <w:left w:val="nil"/>
              <w:bottom w:val="single" w:sz="4" w:space="0" w:color="448A99"/>
              <w:right w:val="single" w:sz="4" w:space="0" w:color="448A99"/>
            </w:tcBorders>
            <w:shd w:val="clear" w:color="000000" w:fill="FFFFFF"/>
            <w:noWrap/>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88%</w:t>
            </w:r>
          </w:p>
        </w:tc>
      </w:tr>
      <w:tr w:rsidR="00C93F8E" w:rsidRPr="00B75B77" w:rsidTr="00451FB1">
        <w:trPr>
          <w:trHeight w:val="288"/>
        </w:trPr>
        <w:tc>
          <w:tcPr>
            <w:tcW w:w="1574" w:type="dxa"/>
            <w:tcBorders>
              <w:top w:val="nil"/>
              <w:left w:val="single" w:sz="4" w:space="0" w:color="448A99"/>
              <w:bottom w:val="single" w:sz="4" w:space="0" w:color="448A99"/>
              <w:right w:val="single" w:sz="4" w:space="0" w:color="448A99"/>
            </w:tcBorders>
            <w:shd w:val="clear" w:color="000000" w:fill="D2EAF1"/>
            <w:vAlign w:val="center"/>
            <w:hideMark/>
          </w:tcPr>
          <w:p w:rsidR="00C93F8E" w:rsidRPr="00B75B77" w:rsidRDefault="00C93F8E" w:rsidP="00BB039B">
            <w:pPr>
              <w:rPr>
                <w:rFonts w:ascii="Calibri" w:eastAsia="Times New Roman" w:hAnsi="Calibri"/>
                <w:color w:val="000000"/>
                <w:sz w:val="18"/>
                <w:szCs w:val="18"/>
              </w:rPr>
            </w:pPr>
            <w:r w:rsidRPr="00B75B77">
              <w:rPr>
                <w:rFonts w:ascii="Calibri" w:eastAsia="Times New Roman" w:hAnsi="Calibri"/>
                <w:color w:val="000000"/>
                <w:sz w:val="18"/>
                <w:szCs w:val="18"/>
              </w:rPr>
              <w:t>Component 4</w:t>
            </w:r>
          </w:p>
        </w:tc>
        <w:tc>
          <w:tcPr>
            <w:tcW w:w="1154" w:type="dxa"/>
            <w:tcBorders>
              <w:top w:val="nil"/>
              <w:left w:val="nil"/>
              <w:bottom w:val="single" w:sz="4" w:space="0" w:color="448A99"/>
              <w:right w:val="single" w:sz="4" w:space="0" w:color="448A99"/>
            </w:tcBorders>
            <w:shd w:val="clear" w:color="000000" w:fill="D2EAF1"/>
            <w:noWrap/>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109" w:type="dxa"/>
            <w:tcBorders>
              <w:top w:val="nil"/>
              <w:left w:val="nil"/>
              <w:bottom w:val="single" w:sz="4" w:space="0" w:color="448A99"/>
              <w:right w:val="single" w:sz="4" w:space="0" w:color="448A99"/>
            </w:tcBorders>
            <w:shd w:val="clear" w:color="000000" w:fill="D2EAF1"/>
            <w:noWrap/>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1,439</w:t>
            </w:r>
          </w:p>
        </w:tc>
        <w:tc>
          <w:tcPr>
            <w:tcW w:w="1313" w:type="dxa"/>
            <w:tcBorders>
              <w:top w:val="nil"/>
              <w:left w:val="nil"/>
              <w:bottom w:val="single" w:sz="4" w:space="0" w:color="448A99"/>
              <w:right w:val="single" w:sz="4" w:space="0" w:color="448A99"/>
            </w:tcBorders>
            <w:shd w:val="clear" w:color="000000" w:fill="D2EAF1"/>
            <w:noWrap/>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0.50</w:t>
            </w:r>
          </w:p>
        </w:tc>
        <w:tc>
          <w:tcPr>
            <w:tcW w:w="1109" w:type="dxa"/>
            <w:tcBorders>
              <w:top w:val="nil"/>
              <w:left w:val="nil"/>
              <w:bottom w:val="single" w:sz="4" w:space="0" w:color="448A99"/>
              <w:right w:val="single" w:sz="4" w:space="0" w:color="448A99"/>
            </w:tcBorders>
            <w:shd w:val="clear" w:color="000000" w:fill="D2EAF1"/>
            <w:noWrap/>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986" w:type="dxa"/>
            <w:tcBorders>
              <w:top w:val="nil"/>
              <w:left w:val="nil"/>
              <w:bottom w:val="single" w:sz="4" w:space="0" w:color="448A99"/>
              <w:right w:val="single" w:sz="4" w:space="0" w:color="448A99"/>
            </w:tcBorders>
            <w:shd w:val="clear" w:color="000000" w:fill="D2EAF1"/>
            <w:noWrap/>
            <w:vAlign w:val="bottom"/>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35</w:t>
            </w:r>
          </w:p>
        </w:tc>
        <w:tc>
          <w:tcPr>
            <w:tcW w:w="940" w:type="dxa"/>
            <w:tcBorders>
              <w:top w:val="nil"/>
              <w:left w:val="nil"/>
              <w:bottom w:val="single" w:sz="4" w:space="0" w:color="448A99"/>
              <w:right w:val="single" w:sz="4" w:space="0" w:color="448A99"/>
            </w:tcBorders>
            <w:shd w:val="clear" w:color="000000" w:fill="D2EAF1"/>
            <w:noWrap/>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35</w:t>
            </w:r>
          </w:p>
        </w:tc>
        <w:tc>
          <w:tcPr>
            <w:tcW w:w="1160" w:type="dxa"/>
            <w:tcBorders>
              <w:top w:val="nil"/>
              <w:left w:val="nil"/>
              <w:bottom w:val="single" w:sz="4" w:space="0" w:color="448A99"/>
              <w:right w:val="single" w:sz="4" w:space="0" w:color="448A99"/>
            </w:tcBorders>
            <w:shd w:val="clear" w:color="000000" w:fill="D2EAF1"/>
            <w:noWrap/>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72%</w:t>
            </w:r>
          </w:p>
        </w:tc>
      </w:tr>
      <w:tr w:rsidR="00C93F8E" w:rsidRPr="00B75B77" w:rsidTr="00451FB1">
        <w:trPr>
          <w:trHeight w:val="288"/>
        </w:trPr>
        <w:tc>
          <w:tcPr>
            <w:tcW w:w="1574" w:type="dxa"/>
            <w:tcBorders>
              <w:top w:val="nil"/>
              <w:left w:val="single" w:sz="4" w:space="0" w:color="448A99"/>
              <w:bottom w:val="single" w:sz="4" w:space="0" w:color="448A99"/>
              <w:right w:val="single" w:sz="4" w:space="0" w:color="448A99"/>
            </w:tcBorders>
            <w:shd w:val="clear" w:color="000000" w:fill="FFFFFF"/>
            <w:noWrap/>
            <w:vAlign w:val="center"/>
            <w:hideMark/>
          </w:tcPr>
          <w:p w:rsidR="00C93F8E" w:rsidRPr="00B75B77" w:rsidRDefault="006D019E" w:rsidP="00BB039B">
            <w:pPr>
              <w:jc w:val="left"/>
              <w:rPr>
                <w:rFonts w:ascii="Calibri" w:eastAsia="Times New Roman" w:hAnsi="Calibri"/>
                <w:b/>
                <w:color w:val="000000"/>
                <w:sz w:val="18"/>
                <w:szCs w:val="18"/>
              </w:rPr>
            </w:pPr>
            <w:r w:rsidRPr="00B75B77">
              <w:rPr>
                <w:rFonts w:ascii="Calibri" w:eastAsia="Times New Roman" w:hAnsi="Calibri"/>
                <w:b/>
                <w:color w:val="000000"/>
                <w:sz w:val="18"/>
                <w:szCs w:val="18"/>
              </w:rPr>
              <w:t>PROGRAM TOTAL</w:t>
            </w:r>
            <w:r w:rsidR="00C93F8E" w:rsidRPr="00B75B77">
              <w:rPr>
                <w:rFonts w:ascii="Calibri" w:eastAsia="Times New Roman" w:hAnsi="Calibri"/>
                <w:b/>
                <w:color w:val="000000"/>
                <w:sz w:val="18"/>
                <w:szCs w:val="18"/>
              </w:rPr>
              <w:t xml:space="preserve">  </w:t>
            </w:r>
          </w:p>
        </w:tc>
        <w:tc>
          <w:tcPr>
            <w:tcW w:w="1154" w:type="dxa"/>
            <w:tcBorders>
              <w:top w:val="nil"/>
              <w:left w:val="nil"/>
              <w:bottom w:val="single" w:sz="4" w:space="0" w:color="448A99"/>
              <w:right w:val="single" w:sz="4" w:space="0" w:color="448A99"/>
            </w:tcBorders>
            <w:shd w:val="clear" w:color="000000" w:fill="FFFFFF"/>
            <w:noWrap/>
            <w:vAlign w:val="center"/>
            <w:hideMark/>
          </w:tcPr>
          <w:p w:rsidR="00C93F8E" w:rsidRPr="00B75B77" w:rsidRDefault="00C93F8E" w:rsidP="00BB039B">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 </w:t>
            </w:r>
            <w:r w:rsidR="0053098B" w:rsidRPr="00B75B77">
              <w:rPr>
                <w:rFonts w:ascii="Calibri" w:eastAsia="Times New Roman" w:hAnsi="Calibri"/>
                <w:b/>
                <w:color w:val="000000"/>
                <w:sz w:val="18"/>
                <w:szCs w:val="18"/>
              </w:rPr>
              <w:t>N/A</w:t>
            </w:r>
          </w:p>
        </w:tc>
        <w:tc>
          <w:tcPr>
            <w:tcW w:w="1109" w:type="dxa"/>
            <w:tcBorders>
              <w:top w:val="nil"/>
              <w:left w:val="nil"/>
              <w:bottom w:val="single" w:sz="4" w:space="0" w:color="448A99"/>
              <w:right w:val="single" w:sz="4" w:space="0" w:color="448A99"/>
            </w:tcBorders>
            <w:shd w:val="clear" w:color="000000" w:fill="FFFFFF"/>
            <w:noWrap/>
            <w:vAlign w:val="center"/>
            <w:hideMark/>
          </w:tcPr>
          <w:p w:rsidR="00C93F8E" w:rsidRPr="00B75B77" w:rsidRDefault="00C93F8E" w:rsidP="00BB039B">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15,511</w:t>
            </w:r>
          </w:p>
        </w:tc>
        <w:tc>
          <w:tcPr>
            <w:tcW w:w="1313" w:type="dxa"/>
            <w:tcBorders>
              <w:top w:val="nil"/>
              <w:left w:val="nil"/>
              <w:bottom w:val="single" w:sz="4" w:space="0" w:color="448A99"/>
              <w:right w:val="single" w:sz="4" w:space="0" w:color="448A99"/>
            </w:tcBorders>
            <w:shd w:val="clear" w:color="000000" w:fill="FFFFFF"/>
            <w:noWrap/>
            <w:vAlign w:val="center"/>
            <w:hideMark/>
          </w:tcPr>
          <w:p w:rsidR="00C93F8E" w:rsidRPr="00B75B77" w:rsidRDefault="0053098B" w:rsidP="00BB039B">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N/A</w:t>
            </w:r>
            <w:r w:rsidR="00C93F8E" w:rsidRPr="00B75B77">
              <w:rPr>
                <w:rFonts w:ascii="Calibri" w:eastAsia="Times New Roman" w:hAnsi="Calibri"/>
                <w:b/>
                <w:color w:val="000000"/>
                <w:sz w:val="18"/>
                <w:szCs w:val="18"/>
              </w:rPr>
              <w:t> </w:t>
            </w:r>
          </w:p>
        </w:tc>
        <w:tc>
          <w:tcPr>
            <w:tcW w:w="1109" w:type="dxa"/>
            <w:tcBorders>
              <w:top w:val="nil"/>
              <w:left w:val="nil"/>
              <w:bottom w:val="single" w:sz="4" w:space="0" w:color="448A99"/>
              <w:right w:val="single" w:sz="4" w:space="0" w:color="448A99"/>
            </w:tcBorders>
            <w:shd w:val="clear" w:color="000000" w:fill="FFFFFF"/>
            <w:noWrap/>
            <w:vAlign w:val="center"/>
            <w:hideMark/>
          </w:tcPr>
          <w:p w:rsidR="00C93F8E" w:rsidRPr="00B75B77" w:rsidRDefault="0053098B" w:rsidP="00BB039B">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85/15</w:t>
            </w:r>
            <w:r w:rsidR="00C93F8E" w:rsidRPr="00B75B77">
              <w:rPr>
                <w:rFonts w:ascii="Calibri" w:eastAsia="Times New Roman" w:hAnsi="Calibri"/>
                <w:b/>
                <w:color w:val="000000"/>
                <w:sz w:val="18"/>
                <w:szCs w:val="18"/>
              </w:rPr>
              <w:t> </w:t>
            </w:r>
          </w:p>
        </w:tc>
        <w:tc>
          <w:tcPr>
            <w:tcW w:w="986" w:type="dxa"/>
            <w:tcBorders>
              <w:top w:val="nil"/>
              <w:left w:val="nil"/>
              <w:bottom w:val="single" w:sz="4" w:space="0" w:color="448A99"/>
              <w:right w:val="single" w:sz="4" w:space="0" w:color="448A99"/>
            </w:tcBorders>
            <w:shd w:val="clear" w:color="000000" w:fill="FFFFFF"/>
            <w:noWrap/>
            <w:vAlign w:val="bottom"/>
            <w:hideMark/>
          </w:tcPr>
          <w:p w:rsidR="00C93F8E" w:rsidRPr="00B75B77" w:rsidRDefault="00C93F8E" w:rsidP="00BB039B">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90</w:t>
            </w:r>
          </w:p>
        </w:tc>
        <w:tc>
          <w:tcPr>
            <w:tcW w:w="940" w:type="dxa"/>
            <w:tcBorders>
              <w:top w:val="nil"/>
              <w:left w:val="nil"/>
              <w:bottom w:val="single" w:sz="4" w:space="0" w:color="448A99"/>
              <w:right w:val="single" w:sz="4" w:space="0" w:color="448A99"/>
            </w:tcBorders>
            <w:shd w:val="clear" w:color="000000" w:fill="FFFFFF"/>
            <w:noWrap/>
            <w:vAlign w:val="center"/>
            <w:hideMark/>
          </w:tcPr>
          <w:p w:rsidR="00C93F8E" w:rsidRPr="00B75B77" w:rsidRDefault="00C93F8E" w:rsidP="00BB039B">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90</w:t>
            </w:r>
          </w:p>
        </w:tc>
        <w:tc>
          <w:tcPr>
            <w:tcW w:w="1160" w:type="dxa"/>
            <w:tcBorders>
              <w:top w:val="nil"/>
              <w:left w:val="nil"/>
              <w:bottom w:val="single" w:sz="4" w:space="0" w:color="448A99"/>
              <w:right w:val="single" w:sz="4" w:space="0" w:color="448A99"/>
            </w:tcBorders>
            <w:shd w:val="clear" w:color="000000" w:fill="FFFFFF"/>
            <w:noWrap/>
            <w:vAlign w:val="center"/>
            <w:hideMark/>
          </w:tcPr>
          <w:p w:rsidR="00C93F8E" w:rsidRPr="00B75B77" w:rsidRDefault="0053098B" w:rsidP="00BB039B">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86%</w:t>
            </w:r>
            <w:r w:rsidR="00C93F8E" w:rsidRPr="00B75B77">
              <w:rPr>
                <w:rFonts w:ascii="Calibri" w:eastAsia="Times New Roman" w:hAnsi="Calibri"/>
                <w:b/>
                <w:color w:val="000000"/>
                <w:sz w:val="18"/>
                <w:szCs w:val="18"/>
              </w:rPr>
              <w:t> </w:t>
            </w:r>
          </w:p>
        </w:tc>
      </w:tr>
    </w:tbl>
    <w:p w:rsidR="00C93F8E" w:rsidRPr="00B75B77" w:rsidRDefault="00C93F8E" w:rsidP="00E005B4">
      <w:pPr>
        <w:pStyle w:val="Source"/>
        <w:spacing w:before="20" w:after="20"/>
        <w:ind w:left="86" w:hanging="90"/>
        <w:rPr>
          <w:i w:val="0"/>
        </w:rPr>
      </w:pPr>
      <w:r w:rsidRPr="00B75B77">
        <w:rPr>
          <w:i w:val="0"/>
          <w:vertAlign w:val="superscript"/>
        </w:rPr>
        <w:t xml:space="preserve">[1] </w:t>
      </w:r>
      <w:r w:rsidR="00530239" w:rsidRPr="00B75B77">
        <w:rPr>
          <w:i w:val="0"/>
        </w:rPr>
        <w:t>The sample frame is a list of contacts that have a chance to be selected into the sample. Percentage contacted means of all the sample frame the percentage that were contacted to get the completed surveys.</w:t>
      </w:r>
    </w:p>
    <w:p w:rsidR="00E005B4" w:rsidRPr="00B75B77" w:rsidRDefault="00C93F8E" w:rsidP="00E005B4">
      <w:pPr>
        <w:pStyle w:val="Source"/>
        <w:spacing w:before="20" w:after="20"/>
        <w:ind w:left="86" w:firstLine="0"/>
        <w:rPr>
          <w:i w:val="0"/>
        </w:rPr>
      </w:pPr>
      <w:r w:rsidRPr="00B75B77">
        <w:rPr>
          <w:i w:val="0"/>
        </w:rPr>
        <w:t xml:space="preserve">Note: Values in tables may not reconcile </w:t>
      </w:r>
      <w:r w:rsidR="005F0C40" w:rsidRPr="00B75B77">
        <w:rPr>
          <w:i w:val="0"/>
        </w:rPr>
        <w:t>exactly with the sum</w:t>
      </w:r>
      <w:r w:rsidRPr="00B75B77">
        <w:rPr>
          <w:i w:val="0"/>
        </w:rPr>
        <w:t xml:space="preserve"> of more detailed level results or previously reported results due to rounding. </w:t>
      </w:r>
    </w:p>
    <w:p w:rsidR="00C93F8E" w:rsidRPr="00B75B77" w:rsidRDefault="00C93F8E" w:rsidP="00BB039B">
      <w:pPr>
        <w:pStyle w:val="Source"/>
        <w:spacing w:after="120"/>
        <w:ind w:left="90" w:firstLine="0"/>
      </w:pPr>
      <w:r w:rsidRPr="00B75B77">
        <w:lastRenderedPageBreak/>
        <w:t>Source: Navigant analysis</w:t>
      </w:r>
    </w:p>
    <w:p w:rsidR="00C93F8E" w:rsidRPr="00B75B77" w:rsidRDefault="00C93F8E" w:rsidP="00BB039B">
      <w:r w:rsidRPr="00B75B77">
        <w:t xml:space="preserve">The evaluation team structured the free ridership section of the LEEP phone interviews to be consistent with other PECO program evaluations, as this was the first time NTG has been assessed for LEEP research. Participants were asked a series of questions to target how many of the program measures they would have installed in the absence of the program and to rate the influence of key program elements on a scale of 1 to 5, where 1 meant that the program was “Not at all influential” and 5 meant that the program was “Extremely influential” on their decision to install the program measures. </w:t>
      </w:r>
    </w:p>
    <w:p w:rsidR="00C93F8E" w:rsidRPr="00B75B77" w:rsidRDefault="00C93F8E" w:rsidP="00BB039B"/>
    <w:p w:rsidR="00C93F8E" w:rsidRPr="00B75B77" w:rsidRDefault="00C93F8E" w:rsidP="00BB039B">
      <w:r w:rsidRPr="00B75B77">
        <w:t>Using this approach, free ridership can take on values ranging from 0.0 to 1.0 for each respondent and for the program overall. Customers received a score of 0.0 when they said that they would not have installed any of the same measures in the absence of the program and rated at least one of the program elements with a score of 5 (“</w:t>
      </w:r>
      <w:r w:rsidR="000A5BE2" w:rsidRPr="00B75B77">
        <w:t>extremely</w:t>
      </w:r>
      <w:r w:rsidRPr="00B75B77">
        <w:t xml:space="preserve"> influential”) for having </w:t>
      </w:r>
      <w:r w:rsidR="006D019E" w:rsidRPr="00B75B77">
        <w:t xml:space="preserve">affected </w:t>
      </w:r>
      <w:r w:rsidRPr="00B75B77">
        <w:t xml:space="preserve">their decision to install the program measures. Conversely, the evaluation team assigned respondents a score of 1.0 when they said that they would have installed all of the same measures in the absence of the program and said that no aspect of the program influenced their decision to install the program measures (the respondent gave all program elements a score of 1). Customers who received a free ridership score between 0.0 and 1.0 said that they would have installed at least some of the same measures in the absence of the program and/or reported that at least one program element had some influence on their decision to install the program measures (program influence scores of 2 or more). </w:t>
      </w:r>
    </w:p>
    <w:p w:rsidR="00C93F8E" w:rsidRPr="00B75B77" w:rsidRDefault="00C93F8E" w:rsidP="00BB039B"/>
    <w:p w:rsidR="00C93F8E" w:rsidRPr="00B75B77" w:rsidRDefault="00C93F8E" w:rsidP="00BB039B">
      <w:r w:rsidRPr="00B75B77">
        <w:t xml:space="preserve">The phone interviews also included a spillover section in which the evaluation team asked customers if they installed additional energy efficiency measures that had not been available through the LEEP program, and if they </w:t>
      </w:r>
      <w:proofErr w:type="gramStart"/>
      <w:r w:rsidRPr="00B75B77">
        <w:t>had,</w:t>
      </w:r>
      <w:proofErr w:type="gramEnd"/>
      <w:r w:rsidRPr="00B75B77">
        <w:t xml:space="preserve"> what kind of measures were installed. Customers were then asked to measure the program’s influence on their decision to install the spillover measures on a 0 to 5 scale, where 0 meant that the program was “Not at all influential” and 5 meant that the program was “Extremely influential</w:t>
      </w:r>
      <w:r w:rsidR="00845869" w:rsidRPr="00B75B77">
        <w:t>.”</w:t>
      </w:r>
      <w:r w:rsidRPr="00B75B77">
        <w:t xml:space="preserve"> </w:t>
      </w:r>
    </w:p>
    <w:p w:rsidR="00C93F8E" w:rsidRPr="00B75B77" w:rsidRDefault="00C93F8E">
      <w:pPr>
        <w:jc w:val="left"/>
        <w:rPr>
          <w:b/>
          <w:bCs/>
        </w:rPr>
      </w:pPr>
    </w:p>
    <w:p w:rsidR="00C93F8E" w:rsidRPr="00B75B77" w:rsidRDefault="00C93F8E" w:rsidP="00EA1A8E">
      <w:pPr>
        <w:pStyle w:val="Heading3"/>
        <w:keepNext/>
        <w:keepLines/>
      </w:pPr>
      <w:bookmarkStart w:id="607" w:name="_Toc466413365"/>
      <w:r w:rsidRPr="00B75B77">
        <w:t>Net Verified Savings Results</w:t>
      </w:r>
      <w:bookmarkEnd w:id="607"/>
      <w:r w:rsidRPr="00B75B77">
        <w:t xml:space="preserve"> </w:t>
      </w:r>
    </w:p>
    <w:p w:rsidR="00C93F8E" w:rsidRPr="00B75B77" w:rsidRDefault="00C93F8E" w:rsidP="00BB039B">
      <w:r w:rsidRPr="00B75B77">
        <w:t xml:space="preserve">The PY7 LEEP NTG research </w:t>
      </w:r>
      <w:proofErr w:type="gramStart"/>
      <w:r w:rsidRPr="00B75B77">
        <w:t>resulted</w:t>
      </w:r>
      <w:proofErr w:type="gramEnd"/>
      <w:r w:rsidRPr="00B75B77">
        <w:t xml:space="preserve"> an overall program free ridership estimate of 0.</w:t>
      </w:r>
      <w:r w:rsidR="00C22CCC" w:rsidRPr="00B75B77">
        <w:t>19</w:t>
      </w:r>
      <w:r w:rsidRPr="00B75B77">
        <w:t xml:space="preserve">. Most free ridership was related to the CFL measures; non-CFL measure free ridership was negligible (less than 0.03). </w:t>
      </w:r>
    </w:p>
    <w:p w:rsidR="00C93F8E" w:rsidRPr="00B75B77" w:rsidRDefault="00C93F8E" w:rsidP="00BB039B"/>
    <w:p w:rsidR="00C93F8E" w:rsidRPr="00B75B77" w:rsidRDefault="00C93F8E" w:rsidP="00BB039B">
      <w:r w:rsidRPr="00B75B77">
        <w:t>NTG</w:t>
      </w:r>
      <w:r w:rsidR="006D019E" w:rsidRPr="00B75B77">
        <w:t>-</w:t>
      </w:r>
      <w:r w:rsidRPr="00B75B77">
        <w:t>related findings included:</w:t>
      </w:r>
    </w:p>
    <w:p w:rsidR="006D019E" w:rsidRPr="00B75B77" w:rsidRDefault="006D019E" w:rsidP="00BB039B"/>
    <w:p w:rsidR="00C93F8E" w:rsidRPr="00B75B77" w:rsidRDefault="00C93F8E" w:rsidP="009E08FB">
      <w:pPr>
        <w:pStyle w:val="ListParagraph"/>
        <w:numPr>
          <w:ilvl w:val="0"/>
          <w:numId w:val="78"/>
        </w:numPr>
        <w:contextualSpacing w:val="0"/>
      </w:pPr>
      <w:r w:rsidRPr="00B75B77">
        <w:t>The free nature of LIURP measures influenced decisions to install products.</w:t>
      </w:r>
    </w:p>
    <w:p w:rsidR="00C93F8E" w:rsidRPr="00B75B77" w:rsidRDefault="00C93F8E" w:rsidP="009E08FB">
      <w:pPr>
        <w:pStyle w:val="ListParagraph"/>
        <w:numPr>
          <w:ilvl w:val="0"/>
          <w:numId w:val="78"/>
        </w:numPr>
        <w:contextualSpacing w:val="0"/>
      </w:pPr>
      <w:r w:rsidRPr="00B75B77">
        <w:t>LEEP educational materials were influential in participant actions.</w:t>
      </w:r>
    </w:p>
    <w:p w:rsidR="00C93F8E" w:rsidRPr="00B75B77" w:rsidRDefault="00C93F8E" w:rsidP="009E08FB">
      <w:pPr>
        <w:pStyle w:val="ListParagraph"/>
        <w:numPr>
          <w:ilvl w:val="0"/>
          <w:numId w:val="78"/>
        </w:numPr>
        <w:contextualSpacing w:val="0"/>
      </w:pPr>
      <w:r w:rsidRPr="00B75B77">
        <w:t>Most (79%) of participants would not have installed the measures without the support of the program.</w:t>
      </w:r>
    </w:p>
    <w:p w:rsidR="006D019E" w:rsidRPr="00B75B77" w:rsidRDefault="006D019E" w:rsidP="00BB039B"/>
    <w:p w:rsidR="00C93F8E" w:rsidRPr="00B75B77" w:rsidRDefault="00C93F8E" w:rsidP="00BB039B">
      <w:r w:rsidRPr="00B75B77">
        <w:t xml:space="preserve">The NTG research also confirmed the existence of some spillover savings, predominantly behavioral changes. During the participant survey, program participants were asked if they had taken additional energy-saving actions after participating in LEEP. </w:t>
      </w:r>
      <w:proofErr w:type="gramStart"/>
      <w:r w:rsidRPr="00B75B77">
        <w:t>Slightly more than one-quarter (29</w:t>
      </w:r>
      <w:r w:rsidR="009240D8" w:rsidRPr="00B75B77">
        <w:t>%</w:t>
      </w:r>
      <w:r w:rsidRPr="00B75B77">
        <w:t>) of participants said that they had taken additional actions, which included unplugging appliances, turning off lights not in use</w:t>
      </w:r>
      <w:r w:rsidR="009240D8" w:rsidRPr="00B75B77">
        <w:t>,</w:t>
      </w:r>
      <w:r w:rsidRPr="00B75B77">
        <w:t xml:space="preserve"> and reducing the use of air conditioning.</w:t>
      </w:r>
      <w:proofErr w:type="gramEnd"/>
      <w:r w:rsidRPr="00B75B77">
        <w:t xml:space="preserve"> Almost all of the reported actions were either no-cost behaviors or low-cost measure purchases. </w:t>
      </w:r>
      <w:r w:rsidR="00D9115A" w:rsidRPr="00B75B77">
        <w:fldChar w:fldCharType="begin"/>
      </w:r>
      <w:r w:rsidR="00D9115A" w:rsidRPr="00B75B77">
        <w:instrText xml:space="preserve"> REF _Ref464140440 \h </w:instrText>
      </w:r>
      <w:r w:rsidR="00EA1A8E" w:rsidRPr="00B75B77">
        <w:instrText xml:space="preserve"> \* MERGEFORMAT </w:instrText>
      </w:r>
      <w:r w:rsidR="00D9115A" w:rsidRPr="00B75B77">
        <w:fldChar w:fldCharType="separate"/>
      </w:r>
      <w:r w:rsidR="0004016D" w:rsidRPr="00B75B77">
        <w:t xml:space="preserve">Figure </w:t>
      </w:r>
      <w:r w:rsidR="0004016D">
        <w:rPr>
          <w:noProof/>
        </w:rPr>
        <w:t>8</w:t>
      </w:r>
      <w:r w:rsidR="0004016D" w:rsidRPr="00B75B77">
        <w:rPr>
          <w:noProof/>
        </w:rPr>
        <w:noBreakHyphen/>
      </w:r>
      <w:r w:rsidR="0004016D">
        <w:rPr>
          <w:noProof/>
        </w:rPr>
        <w:t>2</w:t>
      </w:r>
      <w:r w:rsidR="00D9115A" w:rsidRPr="00B75B77">
        <w:fldChar w:fldCharType="end"/>
      </w:r>
      <w:r w:rsidRPr="00B75B77">
        <w:t xml:space="preserve"> presents the additional actions taken by the LEEP participants. </w:t>
      </w:r>
    </w:p>
    <w:p w:rsidR="00C93F8E" w:rsidRPr="00B75B77" w:rsidRDefault="00C93F8E" w:rsidP="00BB039B">
      <w:pPr>
        <w:rPr>
          <w:color w:val="FF0000"/>
        </w:rPr>
      </w:pPr>
    </w:p>
    <w:p w:rsidR="00E652BF" w:rsidRPr="00B75B77" w:rsidRDefault="006D019E" w:rsidP="00E652BF">
      <w:pPr>
        <w:pStyle w:val="Caption"/>
      </w:pPr>
      <w:bookmarkStart w:id="608" w:name="_Ref464140440"/>
      <w:bookmarkStart w:id="609" w:name="_Toc466413682"/>
      <w:r w:rsidRPr="00B75B77">
        <w:lastRenderedPageBreak/>
        <w:t xml:space="preserve">Figure </w:t>
      </w:r>
      <w:fldSimple w:instr=" STYLEREF 1 \s ">
        <w:r w:rsidR="0004016D">
          <w:rPr>
            <w:noProof/>
          </w:rPr>
          <w:t>8</w:t>
        </w:r>
      </w:fldSimple>
      <w:r w:rsidR="00BA3BA9" w:rsidRPr="00B75B77">
        <w:noBreakHyphen/>
      </w:r>
      <w:fldSimple w:instr=" SEQ Figure \* ARABIC \s 1 ">
        <w:r w:rsidR="0004016D">
          <w:rPr>
            <w:noProof/>
          </w:rPr>
          <w:t>2</w:t>
        </w:r>
      </w:fldSimple>
      <w:bookmarkEnd w:id="608"/>
      <w:r w:rsidRPr="00B75B77">
        <w:t>: Additional Actions Taken by LEEP Component 1 Participants (n=26)</w:t>
      </w:r>
      <w:bookmarkEnd w:id="609"/>
    </w:p>
    <w:p w:rsidR="00C93F8E" w:rsidRPr="00B75B77" w:rsidRDefault="00C93F8E" w:rsidP="00E652BF">
      <w:r w:rsidRPr="00B75B77">
        <w:rPr>
          <w:noProof/>
        </w:rPr>
        <w:drawing>
          <wp:inline distT="0" distB="0" distL="0" distR="0" wp14:anchorId="1BADEF9A" wp14:editId="7ACDB8C4">
            <wp:extent cx="5746750" cy="2698750"/>
            <wp:effectExtent l="0" t="0" r="6350" b="6350"/>
            <wp:docPr id="300" name="Chart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C93F8E" w:rsidRPr="00B75B77" w:rsidRDefault="00C93F8E" w:rsidP="00BB039B">
      <w:pPr>
        <w:pStyle w:val="Source"/>
        <w:spacing w:after="120"/>
        <w:ind w:left="90" w:firstLine="0"/>
      </w:pPr>
      <w:r w:rsidRPr="00B75B77">
        <w:t xml:space="preserve">Source: Navigant analysis of phone survey results </w:t>
      </w:r>
    </w:p>
    <w:p w:rsidR="00C93F8E" w:rsidRPr="00B75B77" w:rsidRDefault="00C93F8E" w:rsidP="00BB039B">
      <w:r w:rsidRPr="00B75B77">
        <w:t>Because the savings from these participant</w:t>
      </w:r>
      <w:r w:rsidR="00845869" w:rsidRPr="00B75B77">
        <w:t>-</w:t>
      </w:r>
      <w:r w:rsidRPr="00B75B77">
        <w:t>reported behaviors could not be quantified as part of this research, they were not included in the NTG results</w:t>
      </w:r>
      <w:r w:rsidR="009240D8" w:rsidRPr="00B75B77">
        <w:t>.</w:t>
      </w:r>
      <w:r w:rsidRPr="00B75B77">
        <w:t xml:space="preserve"> </w:t>
      </w:r>
      <w:r w:rsidR="009240D8" w:rsidRPr="00B75B77">
        <w:t>Therefore,</w:t>
      </w:r>
      <w:r w:rsidRPr="00B75B77">
        <w:t xml:space="preserve"> Navigant estimated participant spillover as zero. </w:t>
      </w:r>
    </w:p>
    <w:p w:rsidR="00C93F8E" w:rsidRPr="00B75B77" w:rsidRDefault="00C93F8E" w:rsidP="00BB039B"/>
    <w:p w:rsidR="00C93F8E" w:rsidRPr="00B75B77" w:rsidRDefault="00C93F8E" w:rsidP="009268E5">
      <w:pPr>
        <w:keepNext/>
        <w:keepLines/>
      </w:pPr>
      <w:r w:rsidRPr="00B75B77">
        <w:t xml:space="preserve">The evaluation </w:t>
      </w:r>
      <w:proofErr w:type="gramStart"/>
      <w:r w:rsidRPr="00B75B77">
        <w:t>team calculated and applied NTG ratios at the measure level, and summarize</w:t>
      </w:r>
      <w:proofErr w:type="gramEnd"/>
      <w:r w:rsidRPr="00B75B77">
        <w:t xml:space="preserve"> the estimates and resulting NTG ratios by Component level in </w:t>
      </w:r>
      <w:r w:rsidR="009240D8" w:rsidRPr="00B75B77">
        <w:fldChar w:fldCharType="begin"/>
      </w:r>
      <w:r w:rsidR="009240D8" w:rsidRPr="00B75B77">
        <w:instrText xml:space="preserve"> REF _Ref464140827 \h  \* MERGEFORMAT </w:instrText>
      </w:r>
      <w:r w:rsidR="009240D8" w:rsidRPr="00B75B77">
        <w:fldChar w:fldCharType="separate"/>
      </w:r>
      <w:r w:rsidR="0004016D" w:rsidRPr="00B75B77">
        <w:t xml:space="preserve">Table </w:t>
      </w:r>
      <w:r w:rsidR="0004016D">
        <w:t>8</w:t>
      </w:r>
      <w:r w:rsidR="0004016D" w:rsidRPr="00B75B77">
        <w:noBreakHyphen/>
      </w:r>
      <w:r w:rsidR="0004016D">
        <w:t>8</w:t>
      </w:r>
      <w:r w:rsidR="009240D8" w:rsidRPr="00B75B77">
        <w:fldChar w:fldCharType="end"/>
      </w:r>
      <w:r w:rsidRPr="00B75B77">
        <w:t>.</w:t>
      </w:r>
    </w:p>
    <w:p w:rsidR="00451FB1" w:rsidRPr="00B75B77" w:rsidRDefault="00451FB1" w:rsidP="009268E5">
      <w:pPr>
        <w:keepNext/>
        <w:keepLines/>
      </w:pPr>
    </w:p>
    <w:p w:rsidR="00C93F8E" w:rsidRPr="00B75B77" w:rsidRDefault="00451FB1" w:rsidP="00451FB1">
      <w:pPr>
        <w:pStyle w:val="Caption"/>
      </w:pPr>
      <w:bookmarkStart w:id="610" w:name="_Ref464140827"/>
      <w:bookmarkStart w:id="611" w:name="_Toc466413572"/>
      <w:r w:rsidRPr="00B75B77">
        <w:t xml:space="preserve">Table </w:t>
      </w:r>
      <w:fldSimple w:instr=" STYLEREF 1 \s ">
        <w:r w:rsidR="0004016D">
          <w:rPr>
            <w:noProof/>
          </w:rPr>
          <w:t>8</w:t>
        </w:r>
      </w:fldSimple>
      <w:r w:rsidR="00F1144C" w:rsidRPr="00B75B77">
        <w:noBreakHyphen/>
      </w:r>
      <w:fldSimple w:instr=" SEQ Table \* ARABIC \s 1 ">
        <w:r w:rsidR="0004016D">
          <w:rPr>
            <w:noProof/>
          </w:rPr>
          <w:t>8</w:t>
        </w:r>
      </w:fldSimple>
      <w:bookmarkEnd w:id="610"/>
      <w:r w:rsidRPr="00B75B77">
        <w:t xml:space="preserve">: PY7 </w:t>
      </w:r>
      <w:r w:rsidR="000C1E59" w:rsidRPr="00B75B77">
        <w:t>Low-</w:t>
      </w:r>
      <w:r w:rsidR="000A5BE2" w:rsidRPr="00B75B77">
        <w:t>Income Energy Efficiency Program</w:t>
      </w:r>
      <w:r w:rsidRPr="00B75B77">
        <w:t xml:space="preserve"> Summary of Evaluation Results for NTG Research</w:t>
      </w:r>
      <w:bookmarkEnd w:id="611"/>
    </w:p>
    <w:tbl>
      <w:tblPr>
        <w:tblW w:w="9265" w:type="dxa"/>
        <w:tblLook w:val="04A0" w:firstRow="1" w:lastRow="0" w:firstColumn="1" w:lastColumn="0" w:noHBand="0" w:noVBand="1"/>
      </w:tblPr>
      <w:tblGrid>
        <w:gridCol w:w="1885"/>
        <w:gridCol w:w="1856"/>
        <w:gridCol w:w="1170"/>
        <w:gridCol w:w="900"/>
        <w:gridCol w:w="1834"/>
        <w:gridCol w:w="1620"/>
      </w:tblGrid>
      <w:tr w:rsidR="00C93F8E" w:rsidRPr="00B75B77" w:rsidTr="00BB039B">
        <w:trPr>
          <w:trHeight w:val="420"/>
        </w:trPr>
        <w:tc>
          <w:tcPr>
            <w:tcW w:w="1885"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C93F8E" w:rsidRPr="00B75B77" w:rsidRDefault="00C93F8E" w:rsidP="00451FB1">
            <w:pPr>
              <w:pStyle w:val="Caption"/>
              <w:rPr>
                <w:rFonts w:ascii="Calibri" w:eastAsia="Times New Roman" w:hAnsi="Calibri"/>
                <w:color w:val="FFFFFF"/>
              </w:rPr>
            </w:pPr>
            <w:r w:rsidRPr="00B75B77">
              <w:rPr>
                <w:rFonts w:ascii="Calibri" w:eastAsia="Times New Roman" w:hAnsi="Calibri"/>
                <w:color w:val="FFFFFF"/>
              </w:rPr>
              <w:t>Stratum</w:t>
            </w:r>
          </w:p>
        </w:tc>
        <w:tc>
          <w:tcPr>
            <w:tcW w:w="1856"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C93F8E" w:rsidRPr="00B75B77" w:rsidRDefault="00C93F8E" w:rsidP="009268E5">
            <w:pPr>
              <w:keepNext/>
              <w:keepLines/>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Estimated Free Ridership</w:t>
            </w:r>
          </w:p>
        </w:tc>
        <w:tc>
          <w:tcPr>
            <w:tcW w:w="117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C93F8E" w:rsidRPr="00B75B77" w:rsidRDefault="00C93F8E" w:rsidP="009268E5">
            <w:pPr>
              <w:keepNext/>
              <w:keepLines/>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Estimated Participant Spillover</w:t>
            </w:r>
          </w:p>
        </w:tc>
        <w:tc>
          <w:tcPr>
            <w:tcW w:w="90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C93F8E" w:rsidRPr="00B75B77" w:rsidRDefault="00C93F8E" w:rsidP="009268E5">
            <w:pPr>
              <w:keepNext/>
              <w:keepLines/>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NTG Ratio</w:t>
            </w:r>
          </w:p>
        </w:tc>
        <w:tc>
          <w:tcPr>
            <w:tcW w:w="1834"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C93F8E" w:rsidRPr="00B75B77" w:rsidRDefault="00C93F8E" w:rsidP="009268E5">
            <w:pPr>
              <w:keepNext/>
              <w:keepLines/>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Observed C</w:t>
            </w:r>
            <w:r w:rsidR="00FA45FF" w:rsidRPr="00B75B77">
              <w:rPr>
                <w:rFonts w:ascii="Calibri" w:eastAsia="Times New Roman" w:hAnsi="Calibri"/>
                <w:b/>
                <w:bCs/>
                <w:color w:val="FFFFFF"/>
                <w:sz w:val="18"/>
                <w:szCs w:val="18"/>
              </w:rPr>
              <w:t>V</w:t>
            </w:r>
            <w:r w:rsidRPr="00B75B77">
              <w:rPr>
                <w:rFonts w:ascii="Calibri" w:eastAsia="Times New Roman" w:hAnsi="Calibri"/>
                <w:b/>
                <w:bCs/>
                <w:color w:val="FFFFFF"/>
                <w:sz w:val="18"/>
                <w:szCs w:val="18"/>
              </w:rPr>
              <w:t xml:space="preserve"> or Proportion</w:t>
            </w:r>
          </w:p>
        </w:tc>
        <w:tc>
          <w:tcPr>
            <w:tcW w:w="162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C93F8E" w:rsidRPr="00B75B77" w:rsidRDefault="00C93F8E" w:rsidP="009268E5">
            <w:pPr>
              <w:keepNext/>
              <w:keepLines/>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Relative Precision</w:t>
            </w:r>
          </w:p>
        </w:tc>
      </w:tr>
      <w:tr w:rsidR="00C93F8E" w:rsidRPr="00B75B77" w:rsidTr="00BB039B">
        <w:trPr>
          <w:trHeight w:val="288"/>
        </w:trPr>
        <w:tc>
          <w:tcPr>
            <w:tcW w:w="1885" w:type="dxa"/>
            <w:vMerge/>
            <w:tcBorders>
              <w:top w:val="single" w:sz="4" w:space="0" w:color="auto"/>
              <w:left w:val="single" w:sz="4" w:space="0" w:color="auto"/>
              <w:bottom w:val="single" w:sz="4" w:space="0" w:color="000000"/>
              <w:right w:val="single" w:sz="4" w:space="0" w:color="auto"/>
            </w:tcBorders>
            <w:vAlign w:val="center"/>
            <w:hideMark/>
          </w:tcPr>
          <w:p w:rsidR="00C93F8E" w:rsidRPr="00B75B77" w:rsidRDefault="00C93F8E" w:rsidP="009268E5">
            <w:pPr>
              <w:keepNext/>
              <w:keepLines/>
              <w:jc w:val="left"/>
              <w:rPr>
                <w:rFonts w:ascii="Calibri" w:eastAsia="Times New Roman" w:hAnsi="Calibri"/>
                <w:b/>
                <w:bCs/>
                <w:color w:val="FFFFFF"/>
                <w:sz w:val="18"/>
                <w:szCs w:val="18"/>
              </w:rPr>
            </w:pPr>
          </w:p>
        </w:tc>
        <w:tc>
          <w:tcPr>
            <w:tcW w:w="1856" w:type="dxa"/>
            <w:vMerge/>
            <w:tcBorders>
              <w:top w:val="single" w:sz="4" w:space="0" w:color="auto"/>
              <w:left w:val="single" w:sz="4" w:space="0" w:color="auto"/>
              <w:bottom w:val="single" w:sz="4" w:space="0" w:color="000000"/>
              <w:right w:val="single" w:sz="4" w:space="0" w:color="auto"/>
            </w:tcBorders>
            <w:vAlign w:val="center"/>
            <w:hideMark/>
          </w:tcPr>
          <w:p w:rsidR="00C93F8E" w:rsidRPr="00B75B77" w:rsidRDefault="00C93F8E" w:rsidP="009268E5">
            <w:pPr>
              <w:keepNext/>
              <w:keepLines/>
              <w:jc w:val="left"/>
              <w:rPr>
                <w:rFonts w:ascii="Calibri" w:eastAsia="Times New Roman" w:hAnsi="Calibri"/>
                <w:b/>
                <w:bCs/>
                <w:color w:val="FFFFFF"/>
                <w:sz w:val="18"/>
                <w:szCs w:val="18"/>
              </w:rPr>
            </w:pPr>
          </w:p>
        </w:tc>
        <w:tc>
          <w:tcPr>
            <w:tcW w:w="1170" w:type="dxa"/>
            <w:vMerge/>
            <w:tcBorders>
              <w:top w:val="single" w:sz="4" w:space="0" w:color="auto"/>
              <w:left w:val="single" w:sz="4" w:space="0" w:color="auto"/>
              <w:bottom w:val="single" w:sz="4" w:space="0" w:color="000000"/>
              <w:right w:val="single" w:sz="4" w:space="0" w:color="auto"/>
            </w:tcBorders>
            <w:vAlign w:val="center"/>
            <w:hideMark/>
          </w:tcPr>
          <w:p w:rsidR="00C93F8E" w:rsidRPr="00B75B77" w:rsidRDefault="00C93F8E" w:rsidP="009268E5">
            <w:pPr>
              <w:keepNext/>
              <w:keepLines/>
              <w:jc w:val="left"/>
              <w:rPr>
                <w:rFonts w:ascii="Calibri" w:eastAsia="Times New Roman" w:hAnsi="Calibri"/>
                <w:b/>
                <w:bCs/>
                <w:color w:val="FFFFFF"/>
                <w:sz w:val="18"/>
                <w:szCs w:val="18"/>
              </w:rPr>
            </w:pPr>
          </w:p>
        </w:tc>
        <w:tc>
          <w:tcPr>
            <w:tcW w:w="900" w:type="dxa"/>
            <w:vMerge/>
            <w:tcBorders>
              <w:top w:val="single" w:sz="4" w:space="0" w:color="auto"/>
              <w:left w:val="single" w:sz="4" w:space="0" w:color="auto"/>
              <w:bottom w:val="single" w:sz="4" w:space="0" w:color="000000"/>
              <w:right w:val="single" w:sz="4" w:space="0" w:color="auto"/>
            </w:tcBorders>
            <w:vAlign w:val="center"/>
            <w:hideMark/>
          </w:tcPr>
          <w:p w:rsidR="00C93F8E" w:rsidRPr="00B75B77" w:rsidRDefault="00C93F8E" w:rsidP="009268E5">
            <w:pPr>
              <w:keepNext/>
              <w:keepLines/>
              <w:jc w:val="left"/>
              <w:rPr>
                <w:rFonts w:ascii="Calibri" w:eastAsia="Times New Roman" w:hAnsi="Calibri"/>
                <w:b/>
                <w:bCs/>
                <w:color w:val="FFFFFF"/>
                <w:sz w:val="18"/>
                <w:szCs w:val="18"/>
              </w:rPr>
            </w:pPr>
          </w:p>
        </w:tc>
        <w:tc>
          <w:tcPr>
            <w:tcW w:w="1834" w:type="dxa"/>
            <w:vMerge/>
            <w:tcBorders>
              <w:top w:val="single" w:sz="4" w:space="0" w:color="auto"/>
              <w:left w:val="single" w:sz="4" w:space="0" w:color="auto"/>
              <w:bottom w:val="single" w:sz="4" w:space="0" w:color="000000"/>
              <w:right w:val="single" w:sz="4" w:space="0" w:color="auto"/>
            </w:tcBorders>
            <w:vAlign w:val="center"/>
            <w:hideMark/>
          </w:tcPr>
          <w:p w:rsidR="00C93F8E" w:rsidRPr="00B75B77" w:rsidRDefault="00C93F8E" w:rsidP="009268E5">
            <w:pPr>
              <w:keepNext/>
              <w:keepLines/>
              <w:jc w:val="left"/>
              <w:rPr>
                <w:rFonts w:ascii="Calibri" w:eastAsia="Times New Roman" w:hAnsi="Calibri"/>
                <w:b/>
                <w:bCs/>
                <w:color w:val="FFFFFF"/>
                <w:sz w:val="18"/>
                <w:szCs w:val="18"/>
              </w:rPr>
            </w:pPr>
          </w:p>
        </w:tc>
        <w:tc>
          <w:tcPr>
            <w:tcW w:w="1620" w:type="dxa"/>
            <w:vMerge/>
            <w:tcBorders>
              <w:top w:val="single" w:sz="4" w:space="0" w:color="auto"/>
              <w:left w:val="single" w:sz="4" w:space="0" w:color="auto"/>
              <w:bottom w:val="single" w:sz="4" w:space="0" w:color="000000"/>
              <w:right w:val="single" w:sz="4" w:space="0" w:color="auto"/>
            </w:tcBorders>
            <w:vAlign w:val="center"/>
            <w:hideMark/>
          </w:tcPr>
          <w:p w:rsidR="00C93F8E" w:rsidRPr="00B75B77" w:rsidRDefault="00C93F8E" w:rsidP="009268E5">
            <w:pPr>
              <w:keepNext/>
              <w:keepLines/>
              <w:jc w:val="left"/>
              <w:rPr>
                <w:rFonts w:ascii="Calibri" w:eastAsia="Times New Roman" w:hAnsi="Calibri"/>
                <w:b/>
                <w:bCs/>
                <w:color w:val="FFFFFF"/>
                <w:sz w:val="18"/>
                <w:szCs w:val="18"/>
              </w:rPr>
            </w:pPr>
          </w:p>
        </w:tc>
      </w:tr>
      <w:tr w:rsidR="00C93F8E" w:rsidRPr="00B75B77" w:rsidTr="00BB039B">
        <w:trPr>
          <w:trHeight w:val="288"/>
        </w:trPr>
        <w:tc>
          <w:tcPr>
            <w:tcW w:w="1885" w:type="dxa"/>
            <w:tcBorders>
              <w:top w:val="nil"/>
              <w:left w:val="single" w:sz="4" w:space="0" w:color="448A99"/>
              <w:bottom w:val="single" w:sz="4" w:space="0" w:color="448A99"/>
              <w:right w:val="single" w:sz="4" w:space="0" w:color="448A99"/>
            </w:tcBorders>
            <w:shd w:val="clear" w:color="000000" w:fill="D2EAF1"/>
            <w:vAlign w:val="center"/>
            <w:hideMark/>
          </w:tcPr>
          <w:p w:rsidR="00C93F8E" w:rsidRPr="00B75B77" w:rsidRDefault="005A2072" w:rsidP="009268E5">
            <w:pPr>
              <w:keepNext/>
              <w:keepLines/>
              <w:rPr>
                <w:rFonts w:ascii="Calibri" w:eastAsia="Times New Roman" w:hAnsi="Calibri"/>
                <w:color w:val="000000"/>
                <w:sz w:val="18"/>
                <w:szCs w:val="18"/>
              </w:rPr>
            </w:pPr>
            <w:r w:rsidRPr="00B75B77">
              <w:rPr>
                <w:rFonts w:ascii="Calibri" w:eastAsia="Times New Roman" w:hAnsi="Calibri"/>
                <w:color w:val="000000"/>
                <w:sz w:val="18"/>
                <w:szCs w:val="18"/>
              </w:rPr>
              <w:t xml:space="preserve"> All </w:t>
            </w:r>
          </w:p>
        </w:tc>
        <w:tc>
          <w:tcPr>
            <w:tcW w:w="1856" w:type="dxa"/>
            <w:tcBorders>
              <w:top w:val="nil"/>
              <w:left w:val="nil"/>
              <w:bottom w:val="single" w:sz="4" w:space="0" w:color="448A99"/>
              <w:right w:val="single" w:sz="4" w:space="0" w:color="448A99"/>
            </w:tcBorders>
            <w:shd w:val="clear" w:color="000000" w:fill="D2EAF1"/>
            <w:vAlign w:val="center"/>
            <w:hideMark/>
          </w:tcPr>
          <w:p w:rsidR="00C93F8E" w:rsidRPr="00B75B77" w:rsidRDefault="005A2072" w:rsidP="009268E5">
            <w:pPr>
              <w:keepNext/>
              <w:keepLines/>
              <w:jc w:val="center"/>
              <w:rPr>
                <w:rFonts w:ascii="Calibri" w:eastAsia="Times New Roman" w:hAnsi="Calibri"/>
                <w:color w:val="000000"/>
                <w:sz w:val="18"/>
                <w:szCs w:val="18"/>
              </w:rPr>
            </w:pPr>
            <w:r w:rsidRPr="00B75B77">
              <w:rPr>
                <w:rFonts w:ascii="Calibri" w:eastAsia="Times New Roman" w:hAnsi="Calibri"/>
                <w:color w:val="000000"/>
                <w:sz w:val="18"/>
                <w:szCs w:val="18"/>
              </w:rPr>
              <w:t>0.19</w:t>
            </w:r>
          </w:p>
        </w:tc>
        <w:tc>
          <w:tcPr>
            <w:tcW w:w="1170" w:type="dxa"/>
            <w:tcBorders>
              <w:top w:val="nil"/>
              <w:left w:val="nil"/>
              <w:bottom w:val="single" w:sz="4" w:space="0" w:color="448A99"/>
              <w:right w:val="single" w:sz="4" w:space="0" w:color="448A99"/>
            </w:tcBorders>
            <w:shd w:val="clear" w:color="000000" w:fill="D2EAF1"/>
            <w:vAlign w:val="center"/>
            <w:hideMark/>
          </w:tcPr>
          <w:p w:rsidR="00C93F8E" w:rsidRPr="00B75B77" w:rsidRDefault="00C93F8E" w:rsidP="009268E5">
            <w:pPr>
              <w:keepNext/>
              <w:keepLines/>
              <w:jc w:val="center"/>
              <w:rPr>
                <w:rFonts w:ascii="Calibri" w:eastAsia="Times New Roman" w:hAnsi="Calibri"/>
                <w:color w:val="000000"/>
                <w:sz w:val="18"/>
                <w:szCs w:val="18"/>
              </w:rPr>
            </w:pPr>
            <w:r w:rsidRPr="00B75B77">
              <w:rPr>
                <w:rFonts w:ascii="Calibri" w:eastAsia="Times New Roman" w:hAnsi="Calibri"/>
                <w:color w:val="000000"/>
                <w:sz w:val="18"/>
                <w:szCs w:val="18"/>
              </w:rPr>
              <w:t>0.00</w:t>
            </w:r>
          </w:p>
        </w:tc>
        <w:tc>
          <w:tcPr>
            <w:tcW w:w="900" w:type="dxa"/>
            <w:tcBorders>
              <w:top w:val="nil"/>
              <w:left w:val="nil"/>
              <w:bottom w:val="single" w:sz="4" w:space="0" w:color="448A99"/>
              <w:right w:val="single" w:sz="4" w:space="0" w:color="448A99"/>
            </w:tcBorders>
            <w:shd w:val="clear" w:color="000000" w:fill="D2EAF1"/>
            <w:vAlign w:val="center"/>
            <w:hideMark/>
          </w:tcPr>
          <w:p w:rsidR="00C93F8E" w:rsidRPr="00B75B77" w:rsidRDefault="005A2072" w:rsidP="009268E5">
            <w:pPr>
              <w:keepNext/>
              <w:keepLines/>
              <w:jc w:val="center"/>
              <w:rPr>
                <w:rFonts w:ascii="Calibri" w:eastAsia="Times New Roman" w:hAnsi="Calibri"/>
                <w:color w:val="000000"/>
                <w:sz w:val="18"/>
                <w:szCs w:val="18"/>
              </w:rPr>
            </w:pPr>
            <w:r w:rsidRPr="00B75B77">
              <w:rPr>
                <w:rFonts w:ascii="Calibri" w:eastAsia="Times New Roman" w:hAnsi="Calibri"/>
                <w:color w:val="000000"/>
                <w:sz w:val="18"/>
                <w:szCs w:val="18"/>
              </w:rPr>
              <w:t>0.</w:t>
            </w:r>
            <w:r w:rsidR="000D70F6" w:rsidRPr="00B75B77">
              <w:rPr>
                <w:rFonts w:ascii="Calibri" w:eastAsia="Times New Roman" w:hAnsi="Calibri"/>
                <w:color w:val="000000"/>
                <w:sz w:val="18"/>
                <w:szCs w:val="18"/>
              </w:rPr>
              <w:t>81</w:t>
            </w:r>
          </w:p>
        </w:tc>
        <w:tc>
          <w:tcPr>
            <w:tcW w:w="1834" w:type="dxa"/>
            <w:tcBorders>
              <w:top w:val="nil"/>
              <w:left w:val="nil"/>
              <w:bottom w:val="single" w:sz="4" w:space="0" w:color="448A99"/>
              <w:right w:val="single" w:sz="4" w:space="0" w:color="448A99"/>
            </w:tcBorders>
            <w:shd w:val="clear" w:color="000000" w:fill="D2EAF1"/>
            <w:vAlign w:val="center"/>
            <w:hideMark/>
          </w:tcPr>
          <w:p w:rsidR="00C93F8E" w:rsidRPr="00B75B77" w:rsidRDefault="00C93F8E" w:rsidP="009268E5">
            <w:pPr>
              <w:keepNext/>
              <w:keepLines/>
              <w:jc w:val="center"/>
              <w:rPr>
                <w:rFonts w:ascii="Calibri" w:eastAsia="Times New Roman" w:hAnsi="Calibri"/>
                <w:color w:val="000000"/>
                <w:sz w:val="18"/>
                <w:szCs w:val="18"/>
              </w:rPr>
            </w:pPr>
            <w:r w:rsidRPr="00B75B77">
              <w:rPr>
                <w:rFonts w:ascii="Calibri" w:eastAsia="Times New Roman" w:hAnsi="Calibri"/>
                <w:color w:val="000000"/>
                <w:sz w:val="18"/>
                <w:szCs w:val="18"/>
              </w:rPr>
              <w:t>0.20</w:t>
            </w:r>
          </w:p>
        </w:tc>
        <w:tc>
          <w:tcPr>
            <w:tcW w:w="1620" w:type="dxa"/>
            <w:tcBorders>
              <w:top w:val="nil"/>
              <w:left w:val="nil"/>
              <w:bottom w:val="single" w:sz="4" w:space="0" w:color="448A99"/>
              <w:right w:val="single" w:sz="4" w:space="0" w:color="448A99"/>
            </w:tcBorders>
            <w:shd w:val="clear" w:color="000000" w:fill="D2EAF1"/>
            <w:vAlign w:val="center"/>
            <w:hideMark/>
          </w:tcPr>
          <w:p w:rsidR="00C93F8E" w:rsidRPr="00B75B77" w:rsidRDefault="005A2072" w:rsidP="009268E5">
            <w:pPr>
              <w:keepNext/>
              <w:keepLines/>
              <w:jc w:val="center"/>
              <w:rPr>
                <w:rFonts w:ascii="Calibri" w:eastAsia="Times New Roman" w:hAnsi="Calibri"/>
                <w:color w:val="000000"/>
                <w:sz w:val="18"/>
                <w:szCs w:val="18"/>
              </w:rPr>
            </w:pPr>
            <w:r w:rsidRPr="00B75B77">
              <w:rPr>
                <w:rFonts w:ascii="Calibri" w:eastAsia="Times New Roman" w:hAnsi="Calibri"/>
                <w:color w:val="000000"/>
                <w:sz w:val="18"/>
                <w:szCs w:val="18"/>
              </w:rPr>
              <w:t>7%</w:t>
            </w:r>
          </w:p>
        </w:tc>
      </w:tr>
      <w:tr w:rsidR="00C93F8E" w:rsidRPr="00B75B77" w:rsidTr="000D70F6">
        <w:trPr>
          <w:trHeight w:val="288"/>
        </w:trPr>
        <w:tc>
          <w:tcPr>
            <w:tcW w:w="1885" w:type="dxa"/>
            <w:tcBorders>
              <w:top w:val="nil"/>
              <w:left w:val="single" w:sz="4" w:space="0" w:color="448A99"/>
              <w:bottom w:val="single" w:sz="4" w:space="0" w:color="448A99"/>
              <w:right w:val="single" w:sz="4" w:space="0" w:color="448A99"/>
            </w:tcBorders>
            <w:shd w:val="clear" w:color="auto" w:fill="FFFFFF" w:themeFill="background1"/>
            <w:noWrap/>
            <w:vAlign w:val="center"/>
            <w:hideMark/>
          </w:tcPr>
          <w:p w:rsidR="00C93F8E" w:rsidRPr="00B75B77" w:rsidRDefault="006D019E" w:rsidP="00BB039B">
            <w:pPr>
              <w:jc w:val="left"/>
              <w:rPr>
                <w:rFonts w:ascii="Calibri" w:eastAsia="Times New Roman" w:hAnsi="Calibri"/>
                <w:b/>
                <w:color w:val="000000"/>
                <w:sz w:val="18"/>
                <w:szCs w:val="18"/>
              </w:rPr>
            </w:pPr>
            <w:r w:rsidRPr="00B75B77">
              <w:rPr>
                <w:rFonts w:ascii="Calibri" w:eastAsia="Times New Roman" w:hAnsi="Calibri"/>
                <w:b/>
                <w:color w:val="000000"/>
                <w:sz w:val="18"/>
                <w:szCs w:val="18"/>
              </w:rPr>
              <w:t>PROGRAM TOTAL</w:t>
            </w:r>
            <w:r w:rsidR="00C93F8E" w:rsidRPr="00B75B77">
              <w:rPr>
                <w:rFonts w:ascii="Calibri" w:eastAsia="Times New Roman" w:hAnsi="Calibri"/>
                <w:b/>
                <w:color w:val="000000"/>
                <w:sz w:val="18"/>
                <w:szCs w:val="18"/>
              </w:rPr>
              <w:t xml:space="preserve"> </w:t>
            </w:r>
          </w:p>
        </w:tc>
        <w:tc>
          <w:tcPr>
            <w:tcW w:w="1856" w:type="dxa"/>
            <w:tcBorders>
              <w:top w:val="nil"/>
              <w:left w:val="nil"/>
              <w:bottom w:val="single" w:sz="4" w:space="0" w:color="448A99"/>
              <w:right w:val="single" w:sz="4" w:space="0" w:color="448A99"/>
            </w:tcBorders>
            <w:shd w:val="clear" w:color="auto" w:fill="FFFFFF" w:themeFill="background1"/>
            <w:vAlign w:val="center"/>
            <w:hideMark/>
          </w:tcPr>
          <w:p w:rsidR="00C93F8E" w:rsidRPr="00B75B77" w:rsidRDefault="0053098B" w:rsidP="00BB039B">
            <w:pPr>
              <w:jc w:val="center"/>
              <w:rPr>
                <w:rFonts w:ascii="Calibri" w:eastAsia="Times New Roman" w:hAnsi="Calibri"/>
                <w:b/>
                <w:bCs/>
                <w:color w:val="000000"/>
                <w:sz w:val="18"/>
                <w:szCs w:val="18"/>
              </w:rPr>
            </w:pPr>
            <w:r w:rsidRPr="00B75B77" w:rsidDel="00EC7E3B">
              <w:rPr>
                <w:rFonts w:ascii="Calibri" w:eastAsia="Times New Roman" w:hAnsi="Calibri"/>
                <w:b/>
                <w:bCs/>
                <w:color w:val="000000"/>
                <w:sz w:val="18"/>
                <w:szCs w:val="18"/>
              </w:rPr>
              <w:t>0.</w:t>
            </w:r>
            <w:r w:rsidR="00EC7E3B" w:rsidRPr="00B75B77">
              <w:rPr>
                <w:rFonts w:ascii="Calibri" w:eastAsia="Times New Roman" w:hAnsi="Calibri"/>
                <w:b/>
                <w:bCs/>
                <w:color w:val="000000"/>
                <w:sz w:val="18"/>
                <w:szCs w:val="18"/>
              </w:rPr>
              <w:t>19</w:t>
            </w:r>
          </w:p>
        </w:tc>
        <w:tc>
          <w:tcPr>
            <w:tcW w:w="1170" w:type="dxa"/>
            <w:tcBorders>
              <w:top w:val="nil"/>
              <w:left w:val="nil"/>
              <w:bottom w:val="single" w:sz="4" w:space="0" w:color="448A99"/>
              <w:right w:val="single" w:sz="4" w:space="0" w:color="448A99"/>
            </w:tcBorders>
            <w:shd w:val="clear" w:color="auto" w:fill="FFFFFF" w:themeFill="background1"/>
            <w:vAlign w:val="center"/>
            <w:hideMark/>
          </w:tcPr>
          <w:p w:rsidR="00C93F8E" w:rsidRPr="00B75B77" w:rsidRDefault="0053098B" w:rsidP="00BB039B">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0.00</w:t>
            </w:r>
          </w:p>
        </w:tc>
        <w:tc>
          <w:tcPr>
            <w:tcW w:w="900" w:type="dxa"/>
            <w:tcBorders>
              <w:top w:val="nil"/>
              <w:left w:val="nil"/>
              <w:bottom w:val="single" w:sz="4" w:space="0" w:color="448A99"/>
              <w:right w:val="single" w:sz="4" w:space="0" w:color="448A99"/>
            </w:tcBorders>
            <w:shd w:val="clear" w:color="auto" w:fill="FFFFFF" w:themeFill="background1"/>
            <w:vAlign w:val="center"/>
            <w:hideMark/>
          </w:tcPr>
          <w:p w:rsidR="00C93F8E" w:rsidRPr="00B75B77" w:rsidRDefault="0053098B" w:rsidP="00BB039B">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0.</w:t>
            </w:r>
            <w:r w:rsidR="000D70F6" w:rsidRPr="00B75B77">
              <w:rPr>
                <w:rFonts w:ascii="Calibri" w:eastAsia="Times New Roman" w:hAnsi="Calibri"/>
                <w:b/>
                <w:bCs/>
                <w:color w:val="000000"/>
                <w:sz w:val="18"/>
                <w:szCs w:val="18"/>
              </w:rPr>
              <w:t>81</w:t>
            </w:r>
          </w:p>
        </w:tc>
        <w:tc>
          <w:tcPr>
            <w:tcW w:w="1834" w:type="dxa"/>
            <w:tcBorders>
              <w:top w:val="nil"/>
              <w:left w:val="nil"/>
              <w:bottom w:val="single" w:sz="4" w:space="0" w:color="448A99"/>
              <w:right w:val="single" w:sz="4" w:space="0" w:color="448A99"/>
            </w:tcBorders>
            <w:shd w:val="clear" w:color="auto" w:fill="FFFFFF" w:themeFill="background1"/>
            <w:vAlign w:val="center"/>
            <w:hideMark/>
          </w:tcPr>
          <w:p w:rsidR="00C93F8E" w:rsidRPr="00B75B77" w:rsidRDefault="000D70F6" w:rsidP="00BB039B">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0.20</w:t>
            </w:r>
          </w:p>
        </w:tc>
        <w:tc>
          <w:tcPr>
            <w:tcW w:w="1620" w:type="dxa"/>
            <w:tcBorders>
              <w:top w:val="nil"/>
              <w:left w:val="nil"/>
              <w:bottom w:val="single" w:sz="4" w:space="0" w:color="448A99"/>
              <w:right w:val="single" w:sz="4" w:space="0" w:color="448A99"/>
            </w:tcBorders>
            <w:shd w:val="clear" w:color="auto" w:fill="FFFFFF" w:themeFill="background1"/>
            <w:vAlign w:val="center"/>
            <w:hideMark/>
          </w:tcPr>
          <w:p w:rsidR="00C93F8E" w:rsidRPr="00B75B77" w:rsidRDefault="0053098B" w:rsidP="00BB039B">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7%</w:t>
            </w:r>
          </w:p>
        </w:tc>
      </w:tr>
    </w:tbl>
    <w:p w:rsidR="00C93F8E" w:rsidRPr="00B75B77" w:rsidRDefault="00C93F8E" w:rsidP="007C189C">
      <w:pPr>
        <w:pStyle w:val="Source"/>
        <w:spacing w:before="20" w:after="20"/>
        <w:ind w:left="86" w:firstLine="0"/>
        <w:rPr>
          <w:i w:val="0"/>
        </w:rPr>
      </w:pPr>
      <w:r w:rsidRPr="00B75B77">
        <w:rPr>
          <w:i w:val="0"/>
        </w:rPr>
        <w:t xml:space="preserve">Note: Values in tables may not reconcile </w:t>
      </w:r>
      <w:r w:rsidR="005F0C40" w:rsidRPr="00B75B77">
        <w:rPr>
          <w:i w:val="0"/>
        </w:rPr>
        <w:t>exactly with the sum</w:t>
      </w:r>
      <w:r w:rsidRPr="00B75B77">
        <w:rPr>
          <w:i w:val="0"/>
        </w:rPr>
        <w:t xml:space="preserve"> of more detailed level results or previously reported results due to rounding. </w:t>
      </w:r>
    </w:p>
    <w:p w:rsidR="00C93F8E" w:rsidRPr="00B75B77" w:rsidRDefault="00C93F8E" w:rsidP="00BB039B">
      <w:pPr>
        <w:pStyle w:val="Source"/>
        <w:spacing w:after="120"/>
        <w:ind w:left="90" w:firstLine="0"/>
      </w:pPr>
      <w:r w:rsidRPr="00B75B77">
        <w:t>Source: Navigant analysis</w:t>
      </w:r>
    </w:p>
    <w:p w:rsidR="00C93F8E" w:rsidRPr="00B75B77" w:rsidRDefault="00C93F8E" w:rsidP="00BB039B">
      <w:pPr>
        <w:pStyle w:val="Heading3"/>
      </w:pPr>
      <w:bookmarkStart w:id="612" w:name="_Toc464230420"/>
      <w:bookmarkStart w:id="613" w:name="_Toc466413366"/>
      <w:bookmarkEnd w:id="612"/>
      <w:r w:rsidRPr="00B75B77">
        <w:t>Impact Evaluation Findings and Recommendations</w:t>
      </w:r>
      <w:bookmarkEnd w:id="613"/>
      <w:r w:rsidRPr="00B75B77">
        <w:t xml:space="preserve"> </w:t>
      </w:r>
    </w:p>
    <w:p w:rsidR="00CF1606" w:rsidRPr="00B75B77" w:rsidRDefault="00C93F8E" w:rsidP="009E08FB">
      <w:pPr>
        <w:pStyle w:val="ListParagraph"/>
        <w:numPr>
          <w:ilvl w:val="0"/>
          <w:numId w:val="82"/>
        </w:numPr>
        <w:spacing w:after="120"/>
        <w:contextualSpacing w:val="0"/>
      </w:pPr>
      <w:r w:rsidRPr="00B75B77">
        <w:rPr>
          <w:b/>
        </w:rPr>
        <w:t>Finding</w:t>
      </w:r>
      <w:r w:rsidRPr="00B75B77">
        <w:rPr>
          <w:rFonts w:ascii="Calibri" w:eastAsia="Times New Roman" w:hAnsi="Calibri"/>
          <w:b/>
          <w:color w:val="000000"/>
          <w:sz w:val="18"/>
        </w:rPr>
        <w:t xml:space="preserve">: </w:t>
      </w:r>
      <w:r w:rsidRPr="00B75B77">
        <w:t xml:space="preserve">Overestimated refrigerator savings due to an erroneous TRM measure characterization significantly </w:t>
      </w:r>
      <w:r w:rsidR="009240D8" w:rsidRPr="00B75B77">
        <w:t xml:space="preserve">affected </w:t>
      </w:r>
      <w:r w:rsidRPr="00B75B77">
        <w:t>the LEEP realization rate.</w:t>
      </w:r>
    </w:p>
    <w:p w:rsidR="00CF1606" w:rsidRPr="00B75B77" w:rsidRDefault="00C93F8E" w:rsidP="009E08FB">
      <w:pPr>
        <w:pStyle w:val="ListParagraph"/>
        <w:numPr>
          <w:ilvl w:val="1"/>
          <w:numId w:val="82"/>
        </w:numPr>
        <w:spacing w:after="120"/>
        <w:contextualSpacing w:val="0"/>
      </w:pPr>
      <w:r w:rsidRPr="00B75B77">
        <w:rPr>
          <w:b/>
        </w:rPr>
        <w:t xml:space="preserve">Recommendation: </w:t>
      </w:r>
      <w:r w:rsidRPr="00B75B77">
        <w:t>Collect existing refrigerator data from participants and use the PY8 IMP to estimate ex</w:t>
      </w:r>
      <w:r w:rsidR="007A3CB2" w:rsidRPr="00B75B77">
        <w:t xml:space="preserve"> </w:t>
      </w:r>
      <w:r w:rsidRPr="00B75B77">
        <w:t>ante refrigerator savings.</w:t>
      </w:r>
    </w:p>
    <w:p w:rsidR="00CF1606" w:rsidRPr="00B75B77" w:rsidRDefault="00C93F8E" w:rsidP="009E08FB">
      <w:pPr>
        <w:pStyle w:val="ListParagraph"/>
        <w:numPr>
          <w:ilvl w:val="0"/>
          <w:numId w:val="82"/>
        </w:numPr>
        <w:spacing w:after="120"/>
        <w:contextualSpacing w:val="0"/>
      </w:pPr>
      <w:r w:rsidRPr="00B75B77">
        <w:rPr>
          <w:b/>
          <w:color w:val="000000" w:themeColor="text1"/>
        </w:rPr>
        <w:t>Finding:</w:t>
      </w:r>
      <w:r w:rsidRPr="00B75B77">
        <w:rPr>
          <w:color w:val="000000" w:themeColor="text1"/>
        </w:rPr>
        <w:t xml:space="preserve"> The first-year I</w:t>
      </w:r>
      <w:r w:rsidR="000A5BE2" w:rsidRPr="00B75B77">
        <w:rPr>
          <w:color w:val="000000" w:themeColor="text1"/>
        </w:rPr>
        <w:t xml:space="preserve">n </w:t>
      </w:r>
      <w:r w:rsidRPr="00B75B77">
        <w:rPr>
          <w:color w:val="000000" w:themeColor="text1"/>
        </w:rPr>
        <w:t>S</w:t>
      </w:r>
      <w:r w:rsidR="000A5BE2" w:rsidRPr="00B75B77">
        <w:rPr>
          <w:color w:val="000000" w:themeColor="text1"/>
        </w:rPr>
        <w:t xml:space="preserve">ervice </w:t>
      </w:r>
      <w:r w:rsidRPr="00B75B77">
        <w:rPr>
          <w:color w:val="000000" w:themeColor="text1"/>
        </w:rPr>
        <w:t>R</w:t>
      </w:r>
      <w:r w:rsidR="000A5BE2" w:rsidRPr="00B75B77">
        <w:rPr>
          <w:color w:val="000000" w:themeColor="text1"/>
        </w:rPr>
        <w:t>ate (ISR)</w:t>
      </w:r>
      <w:r w:rsidRPr="00B75B77">
        <w:rPr>
          <w:color w:val="000000" w:themeColor="text1"/>
        </w:rPr>
        <w:t xml:space="preserve"> for Component 3 CFLs increased to 57% in PY7 from 47% in PY6. Incandescent bulbs are becoming less prevalent in LEEP participant homes.</w:t>
      </w:r>
    </w:p>
    <w:p w:rsidR="00CF1606" w:rsidRPr="00B75B77" w:rsidRDefault="00C93F8E" w:rsidP="009E08FB">
      <w:pPr>
        <w:pStyle w:val="ListParagraph"/>
        <w:numPr>
          <w:ilvl w:val="1"/>
          <w:numId w:val="102"/>
        </w:numPr>
        <w:spacing w:after="120"/>
        <w:contextualSpacing w:val="0"/>
      </w:pPr>
      <w:r w:rsidRPr="00B75B77">
        <w:rPr>
          <w:b/>
          <w:color w:val="000000" w:themeColor="text1"/>
        </w:rPr>
        <w:t xml:space="preserve">Recommendation: </w:t>
      </w:r>
      <w:r w:rsidRPr="00B75B77">
        <w:rPr>
          <w:color w:val="000000" w:themeColor="text1"/>
        </w:rPr>
        <w:t xml:space="preserve">To increase penetration in individual customer homes, Navigant recommends that PECO replace inefficient </w:t>
      </w:r>
      <w:r w:rsidR="0008153B" w:rsidRPr="00B75B77">
        <w:rPr>
          <w:color w:val="000000" w:themeColor="text1"/>
        </w:rPr>
        <w:t>light bulb</w:t>
      </w:r>
      <w:r w:rsidRPr="00B75B77">
        <w:rPr>
          <w:color w:val="000000" w:themeColor="text1"/>
        </w:rPr>
        <w:t>s with LEDs instead of CFLs, particularly for specialty locations. Target distribution of free bulbs to households with incandescent bulbs.</w:t>
      </w:r>
    </w:p>
    <w:p w:rsidR="00CF1606" w:rsidRPr="00B75B77" w:rsidRDefault="00C93F8E" w:rsidP="009E08FB">
      <w:pPr>
        <w:pStyle w:val="ListParagraph"/>
        <w:numPr>
          <w:ilvl w:val="0"/>
          <w:numId w:val="103"/>
        </w:numPr>
        <w:spacing w:after="120"/>
        <w:contextualSpacing w:val="0"/>
      </w:pPr>
      <w:r w:rsidRPr="00B75B77">
        <w:rPr>
          <w:b/>
        </w:rPr>
        <w:lastRenderedPageBreak/>
        <w:t>Finding</w:t>
      </w:r>
      <w:r w:rsidRPr="00B75B77">
        <w:t xml:space="preserve">: CMC is accurately recording which measures </w:t>
      </w:r>
      <w:r w:rsidR="00B1720C" w:rsidRPr="00B75B77">
        <w:t xml:space="preserve">it </w:t>
      </w:r>
      <w:r w:rsidRPr="00B75B77">
        <w:t>install</w:t>
      </w:r>
      <w:r w:rsidR="00B1720C" w:rsidRPr="00B75B77">
        <w:t>s</w:t>
      </w:r>
      <w:r w:rsidRPr="00B75B77">
        <w:t xml:space="preserve"> during home audits; customers are satisfied with the program. Navigant staff observed CMC auditors and found that they are installing all measures that fit PECO requirements and recording them correctly (with the exception of one unreported measure installation). CMC auditors are compensated on a measure-by-measure basis and are therefore incentivized the install and record as many measures as possible. Navigant’s evaluation found that CMC is not overstating the measures that are installed.</w:t>
      </w:r>
    </w:p>
    <w:p w:rsidR="00C93F8E" w:rsidRPr="00B75B77" w:rsidRDefault="00C93F8E" w:rsidP="001278C0"/>
    <w:p w:rsidR="00C93F8E" w:rsidRPr="00B75B77" w:rsidRDefault="00C93F8E" w:rsidP="00963027">
      <w:pPr>
        <w:pStyle w:val="Heading2"/>
        <w:keepNext/>
      </w:pPr>
      <w:bookmarkStart w:id="614" w:name="_Toc466413367"/>
      <w:r w:rsidRPr="00B75B77">
        <w:t>Process Evaluation</w:t>
      </w:r>
      <w:bookmarkEnd w:id="614"/>
    </w:p>
    <w:p w:rsidR="00C93F8E" w:rsidRPr="00B75B77" w:rsidRDefault="00C93F8E" w:rsidP="00BB039B">
      <w:r w:rsidRPr="00B75B77">
        <w:t>The PY7 process evaluation included participant and program staff interviews, site visits, and a review of program materials. The following two sections provide details on the specific methodology and findings.</w:t>
      </w:r>
    </w:p>
    <w:p w:rsidR="00C93F8E" w:rsidRPr="00B75B77" w:rsidRDefault="00C93F8E" w:rsidP="00BB039B"/>
    <w:p w:rsidR="00C93F8E" w:rsidRPr="00B75B77" w:rsidRDefault="00C93F8E" w:rsidP="007C189C">
      <w:pPr>
        <w:pStyle w:val="Heading3"/>
        <w:keepNext/>
        <w:keepLines/>
      </w:pPr>
      <w:bookmarkStart w:id="615" w:name="_Toc466413368"/>
      <w:r w:rsidRPr="00B75B77">
        <w:t>Process Evaluation Methodology</w:t>
      </w:r>
      <w:bookmarkEnd w:id="615"/>
      <w:r w:rsidRPr="00B75B77">
        <w:t xml:space="preserve"> </w:t>
      </w:r>
    </w:p>
    <w:p w:rsidR="00C93F8E" w:rsidRPr="00B75B77" w:rsidRDefault="00C93F8E" w:rsidP="007C189C">
      <w:pPr>
        <w:keepNext/>
        <w:keepLines/>
      </w:pPr>
      <w:r w:rsidRPr="00B75B77">
        <w:t>Navigant’s process evaluation of LEEP included the following methods:</w:t>
      </w:r>
    </w:p>
    <w:p w:rsidR="00C93F8E" w:rsidRPr="00B75B77" w:rsidRDefault="00C93F8E" w:rsidP="007569D5">
      <w:pPr>
        <w:keepNext/>
        <w:keepLines/>
      </w:pPr>
    </w:p>
    <w:p w:rsidR="00C93F8E" w:rsidRPr="00B75B77" w:rsidRDefault="00C93F8E" w:rsidP="009E08FB">
      <w:pPr>
        <w:pStyle w:val="ListParagraph"/>
        <w:keepNext/>
        <w:keepLines/>
        <w:numPr>
          <w:ilvl w:val="0"/>
          <w:numId w:val="79"/>
        </w:numPr>
      </w:pPr>
      <w:r w:rsidRPr="00B75B77">
        <w:t>Interviews with PECO and CSP program managers</w:t>
      </w:r>
    </w:p>
    <w:p w:rsidR="00C93F8E" w:rsidRPr="00B75B77" w:rsidRDefault="00C93F8E" w:rsidP="009E08FB">
      <w:pPr>
        <w:pStyle w:val="ListParagraph"/>
        <w:numPr>
          <w:ilvl w:val="0"/>
          <w:numId w:val="79"/>
        </w:numPr>
        <w:rPr>
          <w:rFonts w:eastAsia="Times New Roman"/>
        </w:rPr>
      </w:pPr>
      <w:r w:rsidRPr="00B75B77">
        <w:t xml:space="preserve">Site visits of 19 Component 1 participant homes, including a mix of audits and education and </w:t>
      </w:r>
      <w:r w:rsidR="00750138" w:rsidRPr="00B75B77">
        <w:t>QA</w:t>
      </w:r>
      <w:r w:rsidRPr="00B75B77">
        <w:t xml:space="preserve"> visits</w:t>
      </w:r>
    </w:p>
    <w:p w:rsidR="00C93F8E" w:rsidRPr="00B75B77" w:rsidRDefault="00C93F8E" w:rsidP="009E08FB">
      <w:pPr>
        <w:pStyle w:val="ListParagraph"/>
        <w:numPr>
          <w:ilvl w:val="0"/>
          <w:numId w:val="79"/>
        </w:numPr>
      </w:pPr>
      <w:r w:rsidRPr="00B75B77">
        <w:t>Phone survey of 90 program participants in Components 1, 3</w:t>
      </w:r>
      <w:r w:rsidR="00B1720C" w:rsidRPr="00B75B77">
        <w:t>,</w:t>
      </w:r>
      <w:r w:rsidRPr="00B75B77">
        <w:t xml:space="preserve"> and 4</w:t>
      </w:r>
    </w:p>
    <w:p w:rsidR="00C93F8E" w:rsidRPr="00B75B77" w:rsidRDefault="00C93F8E" w:rsidP="009E08FB">
      <w:pPr>
        <w:pStyle w:val="ListParagraph"/>
        <w:numPr>
          <w:ilvl w:val="0"/>
          <w:numId w:val="79"/>
        </w:numPr>
      </w:pPr>
      <w:r w:rsidRPr="00B75B77">
        <w:t>Review of program materials</w:t>
      </w:r>
    </w:p>
    <w:p w:rsidR="00C93F8E" w:rsidRPr="00B75B77" w:rsidRDefault="00C93F8E" w:rsidP="00BB039B">
      <w:pPr>
        <w:rPr>
          <w:color w:val="FF0000"/>
        </w:rPr>
      </w:pPr>
    </w:p>
    <w:p w:rsidR="00C93F8E" w:rsidRPr="00B75B77" w:rsidRDefault="00C93F8E" w:rsidP="00BB039B">
      <w:r w:rsidRPr="00B75B77">
        <w:t xml:space="preserve">The evaluation team conducted a participant survey for both verification (impact) and process purposes. The verification segments of the survey focused on whether the measures reported for each component were actually installed (Components 1 and 4) or were received (Component 3); this method is discussed further in </w:t>
      </w:r>
      <w:r w:rsidR="00B1720C" w:rsidRPr="00B75B77">
        <w:t>Section</w:t>
      </w:r>
      <w:r w:rsidRPr="00B75B77">
        <w:t xml:space="preserve"> </w:t>
      </w:r>
      <w:r w:rsidR="000A5BE2" w:rsidRPr="00B75B77">
        <w:fldChar w:fldCharType="begin"/>
      </w:r>
      <w:r w:rsidR="000A5BE2" w:rsidRPr="00B75B77">
        <w:instrText xml:space="preserve"> REF _Ref464408466 \r \h </w:instrText>
      </w:r>
      <w:r w:rsidR="00B75B77">
        <w:instrText xml:space="preserve"> \* MERGEFORMAT </w:instrText>
      </w:r>
      <w:r w:rsidR="000A5BE2" w:rsidRPr="00B75B77">
        <w:fldChar w:fldCharType="separate"/>
      </w:r>
      <w:r w:rsidR="0004016D">
        <w:t>8.2.1</w:t>
      </w:r>
      <w:r w:rsidR="000A5BE2" w:rsidRPr="00B75B77">
        <w:fldChar w:fldCharType="end"/>
      </w:r>
      <w:r w:rsidRPr="00B75B77">
        <w:t xml:space="preserve">. </w:t>
      </w:r>
      <w:r w:rsidRPr="00B75B77">
        <w:rPr>
          <w:color w:val="000000" w:themeColor="text1"/>
        </w:rPr>
        <w:t xml:space="preserve">Participants were asked about several process topics as well, including satisfaction with the various program components, measures installed, program representatives, time to complete measures, etc. </w:t>
      </w:r>
      <w:r w:rsidRPr="00B75B77">
        <w:fldChar w:fldCharType="begin"/>
      </w:r>
      <w:r w:rsidRPr="00B75B77">
        <w:instrText xml:space="preserve"> REF _Ref463209876 \h </w:instrText>
      </w:r>
      <w:r w:rsidR="007C189C" w:rsidRPr="00B75B77">
        <w:instrText xml:space="preserve"> \* MERGEFORMAT </w:instrText>
      </w:r>
      <w:r w:rsidRPr="00B75B77">
        <w:fldChar w:fldCharType="separate"/>
      </w:r>
      <w:r w:rsidR="0004016D" w:rsidRPr="00B75B77">
        <w:t xml:space="preserve">Table </w:t>
      </w:r>
      <w:r w:rsidR="0004016D">
        <w:rPr>
          <w:noProof/>
        </w:rPr>
        <w:t>8</w:t>
      </w:r>
      <w:r w:rsidR="0004016D" w:rsidRPr="00B75B77">
        <w:rPr>
          <w:noProof/>
        </w:rPr>
        <w:noBreakHyphen/>
      </w:r>
      <w:r w:rsidR="0004016D">
        <w:rPr>
          <w:noProof/>
        </w:rPr>
        <w:t>9</w:t>
      </w:r>
      <w:r w:rsidRPr="00B75B77">
        <w:fldChar w:fldCharType="end"/>
      </w:r>
      <w:r w:rsidRPr="00B75B77">
        <w:t xml:space="preserve"> illustrates the sampling strategy for the surveys. Component 2 participants were not surveyed as they are primarily LIURP program customers, implementation tactics are very similar to LEEP Component 1 and both components use the same CSP.</w:t>
      </w:r>
    </w:p>
    <w:p w:rsidR="00C93F8E" w:rsidRPr="00B75B77" w:rsidRDefault="00C93F8E" w:rsidP="00BB039B">
      <w:pPr>
        <w:ind w:left="360"/>
        <w:rPr>
          <w:rFonts w:eastAsia="Times New Roman"/>
          <w:color w:val="FF0000"/>
        </w:rPr>
      </w:pPr>
    </w:p>
    <w:p w:rsidR="00C93F8E" w:rsidRPr="00B75B77" w:rsidRDefault="00C93F8E" w:rsidP="00BB039B">
      <w:pPr>
        <w:pStyle w:val="Caption"/>
      </w:pPr>
      <w:bookmarkStart w:id="616" w:name="_Ref463209876"/>
      <w:bookmarkStart w:id="617" w:name="_Toc466413573"/>
      <w:r w:rsidRPr="00B75B77">
        <w:t xml:space="preserve">Table </w:t>
      </w:r>
      <w:fldSimple w:instr=" STYLEREF 1 \s ">
        <w:r w:rsidR="0004016D">
          <w:rPr>
            <w:noProof/>
          </w:rPr>
          <w:t>8</w:t>
        </w:r>
      </w:fldSimple>
      <w:r w:rsidR="00F1144C" w:rsidRPr="00B75B77">
        <w:noBreakHyphen/>
      </w:r>
      <w:fldSimple w:instr=" SEQ Table \* ARABIC \s 1 ">
        <w:r w:rsidR="0004016D">
          <w:rPr>
            <w:noProof/>
          </w:rPr>
          <w:t>9</w:t>
        </w:r>
      </w:fldSimple>
      <w:bookmarkEnd w:id="616"/>
      <w:r w:rsidRPr="00B75B77">
        <w:t xml:space="preserve">: </w:t>
      </w:r>
      <w:r w:rsidR="000C1E59" w:rsidRPr="00B75B77">
        <w:t>Low-</w:t>
      </w:r>
      <w:r w:rsidRPr="00B75B77">
        <w:t>Income Energy Efficiency Program Sampling Strategy for Program Year 7</w:t>
      </w:r>
      <w:bookmarkEnd w:id="617"/>
    </w:p>
    <w:tbl>
      <w:tblPr>
        <w:tblW w:w="9763" w:type="dxa"/>
        <w:tblLook w:val="04A0" w:firstRow="1" w:lastRow="0" w:firstColumn="1" w:lastColumn="0" w:noHBand="0" w:noVBand="1"/>
      </w:tblPr>
      <w:tblGrid>
        <w:gridCol w:w="1425"/>
        <w:gridCol w:w="1063"/>
        <w:gridCol w:w="1035"/>
        <w:gridCol w:w="1231"/>
        <w:gridCol w:w="1168"/>
        <w:gridCol w:w="768"/>
        <w:gridCol w:w="905"/>
        <w:gridCol w:w="1120"/>
        <w:gridCol w:w="1048"/>
      </w:tblGrid>
      <w:tr w:rsidR="00C93F8E" w:rsidRPr="00B75B77" w:rsidTr="0008153B">
        <w:trPr>
          <w:trHeight w:val="480"/>
        </w:trPr>
        <w:tc>
          <w:tcPr>
            <w:tcW w:w="1705" w:type="dxa"/>
            <w:tcBorders>
              <w:top w:val="single" w:sz="4" w:space="0" w:color="auto"/>
              <w:left w:val="single" w:sz="4" w:space="0" w:color="auto"/>
              <w:bottom w:val="single" w:sz="4" w:space="0" w:color="auto"/>
              <w:right w:val="single" w:sz="4" w:space="0" w:color="auto"/>
            </w:tcBorders>
            <w:shd w:val="clear" w:color="000000" w:fill="448A99"/>
            <w:vAlign w:val="center"/>
            <w:hideMark/>
          </w:tcPr>
          <w:p w:rsidR="00C93F8E" w:rsidRPr="00B75B77" w:rsidRDefault="00C93F8E" w:rsidP="00451FB1">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Stratum </w:t>
            </w:r>
          </w:p>
        </w:tc>
        <w:tc>
          <w:tcPr>
            <w:tcW w:w="630" w:type="dxa"/>
            <w:tcBorders>
              <w:top w:val="single" w:sz="4" w:space="0" w:color="auto"/>
              <w:left w:val="nil"/>
              <w:bottom w:val="single" w:sz="4" w:space="0" w:color="auto"/>
              <w:right w:val="single" w:sz="4" w:space="0" w:color="auto"/>
            </w:tcBorders>
            <w:shd w:val="clear" w:color="000000" w:fill="448A99"/>
            <w:vAlign w:val="center"/>
            <w:hideMark/>
          </w:tcPr>
          <w:p w:rsidR="00C93F8E" w:rsidRPr="00B75B77" w:rsidRDefault="00C93F8E" w:rsidP="00BB039B">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Stratum Boundaries </w:t>
            </w:r>
          </w:p>
        </w:tc>
        <w:tc>
          <w:tcPr>
            <w:tcW w:w="1035" w:type="dxa"/>
            <w:tcBorders>
              <w:top w:val="single" w:sz="4" w:space="0" w:color="auto"/>
              <w:left w:val="nil"/>
              <w:bottom w:val="single" w:sz="4" w:space="0" w:color="auto"/>
              <w:right w:val="single" w:sz="4" w:space="0" w:color="auto"/>
            </w:tcBorders>
            <w:shd w:val="clear" w:color="000000" w:fill="448A99"/>
            <w:vAlign w:val="center"/>
            <w:hideMark/>
          </w:tcPr>
          <w:p w:rsidR="00C93F8E" w:rsidRPr="00B75B77" w:rsidRDefault="00C93F8E" w:rsidP="00BB039B">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Population Size</w:t>
            </w:r>
          </w:p>
        </w:tc>
        <w:tc>
          <w:tcPr>
            <w:tcW w:w="1395" w:type="dxa"/>
            <w:tcBorders>
              <w:top w:val="single" w:sz="4" w:space="0" w:color="auto"/>
              <w:left w:val="nil"/>
              <w:bottom w:val="single" w:sz="4" w:space="0" w:color="auto"/>
              <w:right w:val="single" w:sz="4" w:space="0" w:color="auto"/>
            </w:tcBorders>
            <w:shd w:val="clear" w:color="000000" w:fill="448A99"/>
            <w:vAlign w:val="center"/>
            <w:hideMark/>
          </w:tcPr>
          <w:p w:rsidR="00C93F8E" w:rsidRPr="00B75B77" w:rsidRDefault="00C93F8E" w:rsidP="00BB039B">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Assumed Proportion or CV in Sample Design</w:t>
            </w:r>
          </w:p>
        </w:tc>
        <w:tc>
          <w:tcPr>
            <w:tcW w:w="1260" w:type="dxa"/>
            <w:tcBorders>
              <w:top w:val="single" w:sz="4" w:space="0" w:color="auto"/>
              <w:left w:val="nil"/>
              <w:bottom w:val="single" w:sz="4" w:space="0" w:color="auto"/>
              <w:right w:val="single" w:sz="4" w:space="0" w:color="auto"/>
            </w:tcBorders>
            <w:shd w:val="clear" w:color="000000" w:fill="448A99"/>
            <w:vAlign w:val="center"/>
            <w:hideMark/>
          </w:tcPr>
          <w:p w:rsidR="00C93F8E" w:rsidRPr="00B75B77" w:rsidRDefault="00C93F8E" w:rsidP="00BB039B">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Assumed Levels of Confidence and Precision</w:t>
            </w:r>
          </w:p>
        </w:tc>
        <w:tc>
          <w:tcPr>
            <w:tcW w:w="768" w:type="dxa"/>
            <w:tcBorders>
              <w:top w:val="single" w:sz="4" w:space="0" w:color="auto"/>
              <w:left w:val="nil"/>
              <w:bottom w:val="single" w:sz="4" w:space="0" w:color="auto"/>
              <w:right w:val="single" w:sz="4" w:space="0" w:color="auto"/>
            </w:tcBorders>
            <w:shd w:val="clear" w:color="000000" w:fill="448A99"/>
            <w:vAlign w:val="center"/>
            <w:hideMark/>
          </w:tcPr>
          <w:p w:rsidR="00C93F8E" w:rsidRPr="00B75B77" w:rsidRDefault="00C93F8E" w:rsidP="00BB039B">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Target Sample Size</w:t>
            </w:r>
          </w:p>
        </w:tc>
        <w:tc>
          <w:tcPr>
            <w:tcW w:w="905" w:type="dxa"/>
            <w:tcBorders>
              <w:top w:val="single" w:sz="4" w:space="0" w:color="auto"/>
              <w:left w:val="nil"/>
              <w:bottom w:val="single" w:sz="4" w:space="0" w:color="auto"/>
              <w:right w:val="single" w:sz="4" w:space="0" w:color="auto"/>
            </w:tcBorders>
            <w:shd w:val="clear" w:color="000000" w:fill="448A99"/>
            <w:vAlign w:val="center"/>
            <w:hideMark/>
          </w:tcPr>
          <w:p w:rsidR="00C93F8E" w:rsidRPr="00B75B77" w:rsidRDefault="00C93F8E" w:rsidP="00BB039B">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Achieved Sample Size</w:t>
            </w:r>
          </w:p>
        </w:tc>
        <w:tc>
          <w:tcPr>
            <w:tcW w:w="985" w:type="dxa"/>
            <w:tcBorders>
              <w:top w:val="single" w:sz="4" w:space="0" w:color="auto"/>
              <w:left w:val="nil"/>
              <w:bottom w:val="single" w:sz="4" w:space="0" w:color="auto"/>
              <w:right w:val="single" w:sz="4" w:space="0" w:color="auto"/>
            </w:tcBorders>
            <w:shd w:val="clear" w:color="000000" w:fill="448A99"/>
            <w:vAlign w:val="center"/>
            <w:hideMark/>
          </w:tcPr>
          <w:p w:rsidR="00C93F8E" w:rsidRPr="00B75B77" w:rsidRDefault="00237810" w:rsidP="00BB039B">
            <w:pPr>
              <w:jc w:val="center"/>
              <w:rPr>
                <w:rFonts w:ascii="Calibri" w:eastAsia="Times New Roman" w:hAnsi="Calibri"/>
                <w:b/>
                <w:bCs/>
                <w:color w:val="FFFFFF"/>
                <w:sz w:val="18"/>
                <w:szCs w:val="18"/>
              </w:rPr>
            </w:pPr>
            <w:hyperlink r:id="rId73" w:anchor="RANGE!_ftn1" w:history="1">
              <w:r w:rsidR="00C93F8E" w:rsidRPr="00B75B77">
                <w:rPr>
                  <w:rFonts w:ascii="Calibri" w:eastAsia="Times New Roman" w:hAnsi="Calibri"/>
                  <w:b/>
                  <w:bCs/>
                  <w:color w:val="FFFFFF"/>
                  <w:sz w:val="18"/>
                  <w:szCs w:val="18"/>
                </w:rPr>
                <w:t>Percent</w:t>
              </w:r>
              <w:r w:rsidR="00B00E44" w:rsidRPr="00B75B77">
                <w:rPr>
                  <w:rFonts w:ascii="Calibri" w:eastAsia="Times New Roman" w:hAnsi="Calibri"/>
                  <w:b/>
                  <w:bCs/>
                  <w:color w:val="FFFFFF"/>
                  <w:sz w:val="18"/>
                  <w:szCs w:val="18"/>
                </w:rPr>
                <w:t>age</w:t>
              </w:r>
              <w:r w:rsidR="00C93F8E" w:rsidRPr="00B75B77">
                <w:rPr>
                  <w:rFonts w:ascii="Calibri" w:eastAsia="Times New Roman" w:hAnsi="Calibri"/>
                  <w:b/>
                  <w:bCs/>
                  <w:color w:val="FFFFFF"/>
                  <w:sz w:val="18"/>
                  <w:szCs w:val="18"/>
                </w:rPr>
                <w:t xml:space="preserve"> of Sample Frame Contacted</w:t>
              </w:r>
              <w:r w:rsidR="00174FFA" w:rsidRPr="00B75B77">
                <w:rPr>
                  <w:rFonts w:ascii="Calibri" w:eastAsia="Times New Roman" w:hAnsi="Calibri"/>
                  <w:b/>
                  <w:bCs/>
                  <w:color w:val="FFFFFF"/>
                  <w:sz w:val="18"/>
                  <w:szCs w:val="18"/>
                  <w:vertAlign w:val="superscript"/>
                </w:rPr>
                <w:t>[1]</w:t>
              </w:r>
              <w:r w:rsidR="00C93F8E" w:rsidRPr="00B75B77">
                <w:rPr>
                  <w:rFonts w:ascii="Calibri" w:eastAsia="Times New Roman" w:hAnsi="Calibri"/>
                  <w:b/>
                  <w:bCs/>
                  <w:color w:val="FFFFFF"/>
                  <w:sz w:val="18"/>
                  <w:szCs w:val="18"/>
                  <w:vertAlign w:val="superscript"/>
                </w:rPr>
                <w:t xml:space="preserve"> </w:t>
              </w:r>
              <w:r w:rsidR="00C93F8E" w:rsidRPr="00B75B77">
                <w:rPr>
                  <w:rFonts w:ascii="Calibri" w:eastAsia="Times New Roman" w:hAnsi="Calibri"/>
                  <w:b/>
                  <w:bCs/>
                  <w:color w:val="FFFFFF"/>
                  <w:sz w:val="18"/>
                  <w:szCs w:val="18"/>
                </w:rPr>
                <w:t>to Achieve Sample</w:t>
              </w:r>
            </w:hyperlink>
          </w:p>
        </w:tc>
        <w:tc>
          <w:tcPr>
            <w:tcW w:w="1080" w:type="dxa"/>
            <w:tcBorders>
              <w:top w:val="single" w:sz="4" w:space="0" w:color="auto"/>
              <w:left w:val="nil"/>
              <w:bottom w:val="single" w:sz="4" w:space="0" w:color="auto"/>
              <w:right w:val="single" w:sz="4" w:space="0" w:color="auto"/>
            </w:tcBorders>
            <w:shd w:val="clear" w:color="000000" w:fill="448A99"/>
            <w:vAlign w:val="center"/>
            <w:hideMark/>
          </w:tcPr>
          <w:p w:rsidR="00C93F8E" w:rsidRPr="00B75B77" w:rsidRDefault="00C93F8E" w:rsidP="00EA1A8E">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Used </w:t>
            </w:r>
            <w:r w:rsidR="0008153B" w:rsidRPr="00B75B77">
              <w:rPr>
                <w:rFonts w:ascii="Calibri" w:eastAsia="Times New Roman" w:hAnsi="Calibri"/>
                <w:b/>
                <w:bCs/>
                <w:color w:val="FFFFFF"/>
                <w:sz w:val="18"/>
                <w:szCs w:val="18"/>
              </w:rPr>
              <w:t>for</w:t>
            </w:r>
            <w:r w:rsidRPr="00B75B77">
              <w:rPr>
                <w:rFonts w:ascii="Calibri" w:eastAsia="Times New Roman" w:hAnsi="Calibri"/>
                <w:b/>
                <w:bCs/>
                <w:color w:val="FFFFFF"/>
                <w:sz w:val="18"/>
                <w:szCs w:val="18"/>
              </w:rPr>
              <w:t xml:space="preserve"> Evaluation Activities (Impact, Process, NTG)</w:t>
            </w:r>
          </w:p>
        </w:tc>
      </w:tr>
      <w:tr w:rsidR="00C93F8E" w:rsidRPr="00B75B77" w:rsidTr="0008153B">
        <w:trPr>
          <w:trHeight w:val="288"/>
        </w:trPr>
        <w:tc>
          <w:tcPr>
            <w:tcW w:w="1705" w:type="dxa"/>
            <w:tcBorders>
              <w:top w:val="nil"/>
              <w:left w:val="single" w:sz="4" w:space="0" w:color="448A99"/>
              <w:bottom w:val="single" w:sz="4" w:space="0" w:color="448A99"/>
              <w:right w:val="single" w:sz="4" w:space="0" w:color="448A99"/>
            </w:tcBorders>
            <w:shd w:val="clear" w:color="000000" w:fill="D2EAF1"/>
            <w:vAlign w:val="center"/>
            <w:hideMark/>
          </w:tcPr>
          <w:p w:rsidR="00C93F8E" w:rsidRPr="00B75B77" w:rsidRDefault="00C93F8E" w:rsidP="00BB039B">
            <w:pPr>
              <w:rPr>
                <w:rFonts w:ascii="Calibri" w:eastAsia="Times New Roman" w:hAnsi="Calibri"/>
                <w:bCs/>
                <w:color w:val="000000"/>
                <w:sz w:val="18"/>
                <w:szCs w:val="18"/>
              </w:rPr>
            </w:pPr>
            <w:r w:rsidRPr="00B75B77">
              <w:rPr>
                <w:rFonts w:ascii="Calibri" w:eastAsia="Times New Roman" w:hAnsi="Calibri"/>
                <w:bCs/>
                <w:color w:val="000000"/>
                <w:sz w:val="18"/>
                <w:szCs w:val="18"/>
              </w:rPr>
              <w:t>Component 1</w:t>
            </w:r>
          </w:p>
        </w:tc>
        <w:tc>
          <w:tcPr>
            <w:tcW w:w="630" w:type="dxa"/>
            <w:tcBorders>
              <w:top w:val="nil"/>
              <w:left w:val="nil"/>
              <w:bottom w:val="single" w:sz="4" w:space="0" w:color="448A99"/>
              <w:right w:val="single" w:sz="4" w:space="0" w:color="448A99"/>
            </w:tcBorders>
            <w:shd w:val="clear" w:color="000000" w:fill="D2EAF1"/>
            <w:noWrap/>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035" w:type="dxa"/>
            <w:tcBorders>
              <w:top w:val="nil"/>
              <w:left w:val="nil"/>
              <w:bottom w:val="single" w:sz="4" w:space="0" w:color="448A99"/>
              <w:right w:val="single" w:sz="4" w:space="0" w:color="448A99"/>
            </w:tcBorders>
            <w:shd w:val="clear" w:color="000000" w:fill="D2EAF1"/>
            <w:noWrap/>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10,012</w:t>
            </w:r>
          </w:p>
        </w:tc>
        <w:tc>
          <w:tcPr>
            <w:tcW w:w="1395" w:type="dxa"/>
            <w:tcBorders>
              <w:top w:val="nil"/>
              <w:left w:val="nil"/>
              <w:bottom w:val="single" w:sz="4" w:space="0" w:color="448A99"/>
              <w:right w:val="single" w:sz="4" w:space="0" w:color="448A99"/>
            </w:tcBorders>
            <w:shd w:val="clear" w:color="000000" w:fill="D2EAF1"/>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0.5</w:t>
            </w:r>
          </w:p>
        </w:tc>
        <w:tc>
          <w:tcPr>
            <w:tcW w:w="1260" w:type="dxa"/>
            <w:tcBorders>
              <w:top w:val="nil"/>
              <w:left w:val="nil"/>
              <w:bottom w:val="single" w:sz="4" w:space="0" w:color="448A99"/>
              <w:right w:val="single" w:sz="4" w:space="0" w:color="448A99"/>
            </w:tcBorders>
            <w:shd w:val="clear" w:color="000000" w:fill="D2EAF1"/>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768" w:type="dxa"/>
            <w:tcBorders>
              <w:top w:val="nil"/>
              <w:left w:val="nil"/>
              <w:bottom w:val="single" w:sz="4" w:space="0" w:color="448A99"/>
              <w:right w:val="single" w:sz="4" w:space="0" w:color="448A99"/>
            </w:tcBorders>
            <w:shd w:val="clear" w:color="000000" w:fill="D2EAF1"/>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35</w:t>
            </w:r>
          </w:p>
        </w:tc>
        <w:tc>
          <w:tcPr>
            <w:tcW w:w="905" w:type="dxa"/>
            <w:tcBorders>
              <w:top w:val="nil"/>
              <w:left w:val="nil"/>
              <w:bottom w:val="single" w:sz="4" w:space="0" w:color="448A99"/>
              <w:right w:val="single" w:sz="4" w:space="0" w:color="448A99"/>
            </w:tcBorders>
            <w:shd w:val="clear" w:color="000000" w:fill="D2EAF1"/>
            <w:noWrap/>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35</w:t>
            </w:r>
          </w:p>
        </w:tc>
        <w:tc>
          <w:tcPr>
            <w:tcW w:w="985" w:type="dxa"/>
            <w:tcBorders>
              <w:top w:val="nil"/>
              <w:left w:val="nil"/>
              <w:bottom w:val="single" w:sz="4" w:space="0" w:color="448A99"/>
              <w:right w:val="single" w:sz="4" w:space="0" w:color="448A99"/>
            </w:tcBorders>
            <w:shd w:val="clear" w:color="000000" w:fill="D2EAF1"/>
            <w:noWrap/>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88%</w:t>
            </w:r>
          </w:p>
        </w:tc>
        <w:tc>
          <w:tcPr>
            <w:tcW w:w="1080" w:type="dxa"/>
            <w:tcBorders>
              <w:top w:val="nil"/>
              <w:left w:val="nil"/>
              <w:bottom w:val="single" w:sz="4" w:space="0" w:color="448A99"/>
              <w:right w:val="single" w:sz="4" w:space="0" w:color="448A99"/>
            </w:tcBorders>
            <w:shd w:val="clear" w:color="000000" w:fill="D2EAF1"/>
            <w:vAlign w:val="center"/>
            <w:hideMark/>
          </w:tcPr>
          <w:p w:rsidR="00C93F8E" w:rsidRPr="00B75B77" w:rsidRDefault="00C93F8E" w:rsidP="00EA1A8E">
            <w:pPr>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Process evaluation </w:t>
            </w:r>
          </w:p>
        </w:tc>
      </w:tr>
      <w:tr w:rsidR="00C93F8E" w:rsidRPr="00B75B77" w:rsidTr="0008153B">
        <w:trPr>
          <w:trHeight w:val="288"/>
        </w:trPr>
        <w:tc>
          <w:tcPr>
            <w:tcW w:w="1705" w:type="dxa"/>
            <w:tcBorders>
              <w:top w:val="nil"/>
              <w:left w:val="single" w:sz="4" w:space="0" w:color="448A99"/>
              <w:bottom w:val="single" w:sz="4" w:space="0" w:color="448A99"/>
              <w:right w:val="single" w:sz="4" w:space="0" w:color="448A99"/>
            </w:tcBorders>
            <w:shd w:val="clear" w:color="000000" w:fill="FFFFFF"/>
            <w:vAlign w:val="center"/>
            <w:hideMark/>
          </w:tcPr>
          <w:p w:rsidR="00C93F8E" w:rsidRPr="00B75B77" w:rsidRDefault="00C93F8E" w:rsidP="00BB039B">
            <w:pPr>
              <w:rPr>
                <w:rFonts w:ascii="Calibri" w:eastAsia="Times New Roman" w:hAnsi="Calibri"/>
                <w:bCs/>
                <w:color w:val="000000"/>
                <w:sz w:val="18"/>
                <w:szCs w:val="18"/>
              </w:rPr>
            </w:pPr>
            <w:r w:rsidRPr="00B75B77">
              <w:rPr>
                <w:rFonts w:ascii="Calibri" w:eastAsia="Times New Roman" w:hAnsi="Calibri"/>
                <w:bCs/>
                <w:color w:val="000000"/>
                <w:sz w:val="18"/>
                <w:szCs w:val="18"/>
              </w:rPr>
              <w:t>Component 2</w:t>
            </w:r>
          </w:p>
        </w:tc>
        <w:tc>
          <w:tcPr>
            <w:tcW w:w="630" w:type="dxa"/>
            <w:tcBorders>
              <w:top w:val="nil"/>
              <w:left w:val="nil"/>
              <w:bottom w:val="single" w:sz="4" w:space="0" w:color="448A99"/>
              <w:right w:val="single" w:sz="4" w:space="0" w:color="448A99"/>
            </w:tcBorders>
            <w:shd w:val="clear" w:color="000000" w:fill="FFFFFF"/>
            <w:noWrap/>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035" w:type="dxa"/>
            <w:tcBorders>
              <w:top w:val="nil"/>
              <w:left w:val="nil"/>
              <w:bottom w:val="single" w:sz="4" w:space="0" w:color="448A99"/>
              <w:right w:val="single" w:sz="4" w:space="0" w:color="448A99"/>
            </w:tcBorders>
            <w:shd w:val="clear" w:color="000000" w:fill="FFFFFF"/>
            <w:noWrap/>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4,060</w:t>
            </w:r>
          </w:p>
        </w:tc>
        <w:tc>
          <w:tcPr>
            <w:tcW w:w="1395" w:type="dxa"/>
            <w:tcBorders>
              <w:top w:val="nil"/>
              <w:left w:val="nil"/>
              <w:bottom w:val="single" w:sz="4" w:space="0" w:color="448A99"/>
              <w:right w:val="single" w:sz="4" w:space="0" w:color="448A99"/>
            </w:tcBorders>
            <w:shd w:val="clear" w:color="000000" w:fill="FFFFFF"/>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0.5</w:t>
            </w:r>
          </w:p>
        </w:tc>
        <w:tc>
          <w:tcPr>
            <w:tcW w:w="1260" w:type="dxa"/>
            <w:tcBorders>
              <w:top w:val="nil"/>
              <w:left w:val="nil"/>
              <w:bottom w:val="single" w:sz="4" w:space="0" w:color="448A99"/>
              <w:right w:val="single" w:sz="4" w:space="0" w:color="448A99"/>
            </w:tcBorders>
            <w:shd w:val="clear" w:color="000000" w:fill="FFFFFF"/>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768" w:type="dxa"/>
            <w:tcBorders>
              <w:top w:val="nil"/>
              <w:left w:val="nil"/>
              <w:bottom w:val="single" w:sz="4" w:space="0" w:color="448A99"/>
              <w:right w:val="single" w:sz="4" w:space="0" w:color="448A99"/>
            </w:tcBorders>
            <w:shd w:val="clear" w:color="000000" w:fill="FFFFFF"/>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20</w:t>
            </w:r>
          </w:p>
        </w:tc>
        <w:tc>
          <w:tcPr>
            <w:tcW w:w="905" w:type="dxa"/>
            <w:tcBorders>
              <w:top w:val="nil"/>
              <w:left w:val="nil"/>
              <w:bottom w:val="single" w:sz="4" w:space="0" w:color="448A99"/>
              <w:right w:val="single" w:sz="4" w:space="0" w:color="448A99"/>
            </w:tcBorders>
            <w:shd w:val="clear" w:color="000000" w:fill="FFFFFF"/>
            <w:noWrap/>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20</w:t>
            </w:r>
          </w:p>
        </w:tc>
        <w:tc>
          <w:tcPr>
            <w:tcW w:w="985" w:type="dxa"/>
            <w:tcBorders>
              <w:top w:val="nil"/>
              <w:left w:val="nil"/>
              <w:bottom w:val="single" w:sz="4" w:space="0" w:color="448A99"/>
              <w:right w:val="single" w:sz="4" w:space="0" w:color="448A99"/>
            </w:tcBorders>
            <w:shd w:val="clear" w:color="000000" w:fill="FFFFFF"/>
            <w:noWrap/>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88%</w:t>
            </w:r>
          </w:p>
        </w:tc>
        <w:tc>
          <w:tcPr>
            <w:tcW w:w="1080" w:type="dxa"/>
            <w:tcBorders>
              <w:top w:val="nil"/>
              <w:left w:val="nil"/>
              <w:bottom w:val="single" w:sz="4" w:space="0" w:color="448A99"/>
              <w:right w:val="single" w:sz="4" w:space="0" w:color="448A99"/>
            </w:tcBorders>
            <w:shd w:val="clear" w:color="000000" w:fill="FFFFFF"/>
            <w:hideMark/>
          </w:tcPr>
          <w:p w:rsidR="00C93F8E" w:rsidRPr="00B75B77" w:rsidRDefault="00C93F8E" w:rsidP="00EA1A8E">
            <w:pPr>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Process evaluation </w:t>
            </w:r>
          </w:p>
        </w:tc>
      </w:tr>
      <w:tr w:rsidR="00C93F8E" w:rsidRPr="00B75B77" w:rsidTr="0008153B">
        <w:trPr>
          <w:trHeight w:val="288"/>
        </w:trPr>
        <w:tc>
          <w:tcPr>
            <w:tcW w:w="1705" w:type="dxa"/>
            <w:tcBorders>
              <w:top w:val="nil"/>
              <w:left w:val="single" w:sz="4" w:space="0" w:color="448A99"/>
              <w:bottom w:val="single" w:sz="4" w:space="0" w:color="448A99"/>
              <w:right w:val="single" w:sz="4" w:space="0" w:color="448A99"/>
            </w:tcBorders>
            <w:shd w:val="clear" w:color="000000" w:fill="D2EAF1"/>
            <w:vAlign w:val="center"/>
            <w:hideMark/>
          </w:tcPr>
          <w:p w:rsidR="00C93F8E" w:rsidRPr="00B75B77" w:rsidRDefault="00C93F8E" w:rsidP="00BB039B">
            <w:pPr>
              <w:rPr>
                <w:rFonts w:ascii="Calibri" w:eastAsia="Times New Roman" w:hAnsi="Calibri"/>
                <w:bCs/>
                <w:color w:val="000000"/>
                <w:sz w:val="18"/>
                <w:szCs w:val="18"/>
              </w:rPr>
            </w:pPr>
            <w:r w:rsidRPr="00B75B77">
              <w:rPr>
                <w:rFonts w:ascii="Calibri" w:eastAsia="Times New Roman" w:hAnsi="Calibri"/>
                <w:bCs/>
                <w:color w:val="000000"/>
                <w:sz w:val="18"/>
                <w:szCs w:val="18"/>
              </w:rPr>
              <w:t>Component 4</w:t>
            </w:r>
          </w:p>
        </w:tc>
        <w:tc>
          <w:tcPr>
            <w:tcW w:w="630" w:type="dxa"/>
            <w:tcBorders>
              <w:top w:val="nil"/>
              <w:left w:val="nil"/>
              <w:bottom w:val="single" w:sz="4" w:space="0" w:color="448A99"/>
              <w:right w:val="single" w:sz="4" w:space="0" w:color="448A99"/>
            </w:tcBorders>
            <w:shd w:val="clear" w:color="000000" w:fill="D2EAF1"/>
            <w:noWrap/>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035" w:type="dxa"/>
            <w:tcBorders>
              <w:top w:val="nil"/>
              <w:left w:val="nil"/>
              <w:bottom w:val="single" w:sz="4" w:space="0" w:color="448A99"/>
              <w:right w:val="single" w:sz="4" w:space="0" w:color="448A99"/>
            </w:tcBorders>
            <w:shd w:val="clear" w:color="000000" w:fill="D2EAF1"/>
            <w:noWrap/>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1,439</w:t>
            </w:r>
          </w:p>
        </w:tc>
        <w:tc>
          <w:tcPr>
            <w:tcW w:w="1395" w:type="dxa"/>
            <w:tcBorders>
              <w:top w:val="nil"/>
              <w:left w:val="nil"/>
              <w:bottom w:val="single" w:sz="4" w:space="0" w:color="448A99"/>
              <w:right w:val="single" w:sz="4" w:space="0" w:color="448A99"/>
            </w:tcBorders>
            <w:shd w:val="clear" w:color="000000" w:fill="D2EAF1"/>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0.5</w:t>
            </w:r>
          </w:p>
        </w:tc>
        <w:tc>
          <w:tcPr>
            <w:tcW w:w="1260" w:type="dxa"/>
            <w:tcBorders>
              <w:top w:val="nil"/>
              <w:left w:val="nil"/>
              <w:bottom w:val="single" w:sz="4" w:space="0" w:color="448A99"/>
              <w:right w:val="single" w:sz="4" w:space="0" w:color="448A99"/>
            </w:tcBorders>
            <w:shd w:val="clear" w:color="000000" w:fill="D2EAF1"/>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768" w:type="dxa"/>
            <w:tcBorders>
              <w:top w:val="nil"/>
              <w:left w:val="nil"/>
              <w:bottom w:val="single" w:sz="4" w:space="0" w:color="448A99"/>
              <w:right w:val="single" w:sz="4" w:space="0" w:color="448A99"/>
            </w:tcBorders>
            <w:shd w:val="clear" w:color="000000" w:fill="D2EAF1"/>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35</w:t>
            </w:r>
          </w:p>
        </w:tc>
        <w:tc>
          <w:tcPr>
            <w:tcW w:w="905" w:type="dxa"/>
            <w:tcBorders>
              <w:top w:val="nil"/>
              <w:left w:val="nil"/>
              <w:bottom w:val="single" w:sz="4" w:space="0" w:color="448A99"/>
              <w:right w:val="single" w:sz="4" w:space="0" w:color="448A99"/>
            </w:tcBorders>
            <w:shd w:val="clear" w:color="000000" w:fill="D2EAF1"/>
            <w:noWrap/>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35</w:t>
            </w:r>
          </w:p>
        </w:tc>
        <w:tc>
          <w:tcPr>
            <w:tcW w:w="985" w:type="dxa"/>
            <w:tcBorders>
              <w:top w:val="nil"/>
              <w:left w:val="nil"/>
              <w:bottom w:val="single" w:sz="4" w:space="0" w:color="448A99"/>
              <w:right w:val="single" w:sz="4" w:space="0" w:color="448A99"/>
            </w:tcBorders>
            <w:shd w:val="clear" w:color="000000" w:fill="D2EAF1"/>
            <w:noWrap/>
            <w:vAlign w:val="center"/>
            <w:hideMark/>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72%</w:t>
            </w:r>
          </w:p>
        </w:tc>
        <w:tc>
          <w:tcPr>
            <w:tcW w:w="1080" w:type="dxa"/>
            <w:tcBorders>
              <w:top w:val="nil"/>
              <w:left w:val="nil"/>
              <w:bottom w:val="single" w:sz="4" w:space="0" w:color="448A99"/>
              <w:right w:val="single" w:sz="4" w:space="0" w:color="448A99"/>
            </w:tcBorders>
            <w:shd w:val="clear" w:color="000000" w:fill="D2EAF1"/>
            <w:hideMark/>
          </w:tcPr>
          <w:p w:rsidR="00C93F8E" w:rsidRPr="00B75B77" w:rsidRDefault="00C93F8E" w:rsidP="00EA1A8E">
            <w:pPr>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Process evaluation </w:t>
            </w:r>
          </w:p>
        </w:tc>
      </w:tr>
      <w:tr w:rsidR="00C93F8E" w:rsidRPr="00B75B77" w:rsidTr="0008153B">
        <w:trPr>
          <w:trHeight w:val="288"/>
        </w:trPr>
        <w:tc>
          <w:tcPr>
            <w:tcW w:w="1705" w:type="dxa"/>
            <w:tcBorders>
              <w:top w:val="nil"/>
              <w:left w:val="single" w:sz="4" w:space="0" w:color="448A99"/>
              <w:bottom w:val="single" w:sz="4" w:space="0" w:color="448A99"/>
              <w:right w:val="single" w:sz="4" w:space="0" w:color="448A99"/>
            </w:tcBorders>
            <w:shd w:val="clear" w:color="auto" w:fill="FFFFFF" w:themeFill="background1"/>
            <w:vAlign w:val="center"/>
          </w:tcPr>
          <w:p w:rsidR="00C93F8E" w:rsidRPr="00B75B77" w:rsidRDefault="00C93F8E" w:rsidP="00BB039B">
            <w:pPr>
              <w:rPr>
                <w:rFonts w:ascii="Calibri" w:eastAsia="Times New Roman" w:hAnsi="Calibri"/>
                <w:bCs/>
                <w:color w:val="000000"/>
                <w:sz w:val="18"/>
                <w:szCs w:val="18"/>
              </w:rPr>
            </w:pPr>
            <w:r w:rsidRPr="00B75B77">
              <w:rPr>
                <w:rFonts w:ascii="Calibri" w:eastAsia="Times New Roman" w:hAnsi="Calibri"/>
                <w:bCs/>
                <w:color w:val="000000"/>
                <w:sz w:val="18"/>
                <w:szCs w:val="18"/>
              </w:rPr>
              <w:t>CSP Interview</w:t>
            </w:r>
          </w:p>
        </w:tc>
        <w:tc>
          <w:tcPr>
            <w:tcW w:w="630" w:type="dxa"/>
            <w:tcBorders>
              <w:top w:val="nil"/>
              <w:left w:val="nil"/>
              <w:bottom w:val="single" w:sz="4" w:space="0" w:color="448A99"/>
              <w:right w:val="single" w:sz="4" w:space="0" w:color="448A99"/>
            </w:tcBorders>
            <w:shd w:val="clear" w:color="auto" w:fill="FFFFFF" w:themeFill="background1"/>
            <w:noWrap/>
            <w:vAlign w:val="center"/>
          </w:tcPr>
          <w:p w:rsidR="00C93F8E" w:rsidRPr="00B75B77" w:rsidRDefault="00FF4C8F"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035" w:type="dxa"/>
            <w:tcBorders>
              <w:top w:val="nil"/>
              <w:left w:val="nil"/>
              <w:bottom w:val="single" w:sz="4" w:space="0" w:color="448A99"/>
              <w:right w:val="single" w:sz="4" w:space="0" w:color="448A99"/>
            </w:tcBorders>
            <w:shd w:val="clear" w:color="auto" w:fill="FFFFFF" w:themeFill="background1"/>
            <w:noWrap/>
            <w:vAlign w:val="center"/>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1</w:t>
            </w:r>
          </w:p>
        </w:tc>
        <w:tc>
          <w:tcPr>
            <w:tcW w:w="1395" w:type="dxa"/>
            <w:tcBorders>
              <w:top w:val="nil"/>
              <w:left w:val="nil"/>
              <w:bottom w:val="single" w:sz="4" w:space="0" w:color="448A99"/>
              <w:right w:val="single" w:sz="4" w:space="0" w:color="448A99"/>
            </w:tcBorders>
            <w:shd w:val="clear" w:color="auto" w:fill="FFFFFF" w:themeFill="background1"/>
            <w:vAlign w:val="center"/>
          </w:tcPr>
          <w:p w:rsidR="00C93F8E" w:rsidRPr="00B75B77" w:rsidRDefault="005F0C40"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260" w:type="dxa"/>
            <w:tcBorders>
              <w:top w:val="nil"/>
              <w:left w:val="nil"/>
              <w:bottom w:val="single" w:sz="4" w:space="0" w:color="448A99"/>
              <w:right w:val="single" w:sz="4" w:space="0" w:color="448A99"/>
            </w:tcBorders>
            <w:shd w:val="clear" w:color="auto" w:fill="FFFFFF" w:themeFill="background1"/>
            <w:vAlign w:val="center"/>
          </w:tcPr>
          <w:p w:rsidR="00C93F8E" w:rsidRPr="00B75B77" w:rsidRDefault="005F0C40"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768" w:type="dxa"/>
            <w:tcBorders>
              <w:top w:val="nil"/>
              <w:left w:val="nil"/>
              <w:bottom w:val="single" w:sz="4" w:space="0" w:color="448A99"/>
              <w:right w:val="single" w:sz="4" w:space="0" w:color="448A99"/>
            </w:tcBorders>
            <w:shd w:val="clear" w:color="auto" w:fill="FFFFFF" w:themeFill="background1"/>
            <w:vAlign w:val="center"/>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1</w:t>
            </w:r>
          </w:p>
        </w:tc>
        <w:tc>
          <w:tcPr>
            <w:tcW w:w="905" w:type="dxa"/>
            <w:tcBorders>
              <w:top w:val="nil"/>
              <w:left w:val="nil"/>
              <w:bottom w:val="single" w:sz="4" w:space="0" w:color="448A99"/>
              <w:right w:val="single" w:sz="4" w:space="0" w:color="448A99"/>
            </w:tcBorders>
            <w:shd w:val="clear" w:color="auto" w:fill="FFFFFF" w:themeFill="background1"/>
            <w:noWrap/>
            <w:vAlign w:val="center"/>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1</w:t>
            </w:r>
          </w:p>
        </w:tc>
        <w:tc>
          <w:tcPr>
            <w:tcW w:w="985" w:type="dxa"/>
            <w:tcBorders>
              <w:top w:val="nil"/>
              <w:left w:val="nil"/>
              <w:bottom w:val="single" w:sz="4" w:space="0" w:color="448A99"/>
              <w:right w:val="single" w:sz="4" w:space="0" w:color="448A99"/>
            </w:tcBorders>
            <w:shd w:val="clear" w:color="auto" w:fill="FFFFFF" w:themeFill="background1"/>
            <w:noWrap/>
            <w:vAlign w:val="center"/>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100%</w:t>
            </w:r>
          </w:p>
        </w:tc>
        <w:tc>
          <w:tcPr>
            <w:tcW w:w="1080" w:type="dxa"/>
            <w:tcBorders>
              <w:top w:val="nil"/>
              <w:left w:val="nil"/>
              <w:bottom w:val="single" w:sz="4" w:space="0" w:color="448A99"/>
              <w:right w:val="single" w:sz="4" w:space="0" w:color="448A99"/>
            </w:tcBorders>
            <w:shd w:val="clear" w:color="auto" w:fill="FFFFFF" w:themeFill="background1"/>
          </w:tcPr>
          <w:p w:rsidR="00C93F8E" w:rsidRPr="00B75B77" w:rsidRDefault="00C93F8E" w:rsidP="00EA1A8E">
            <w:pPr>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Process evaluation </w:t>
            </w:r>
          </w:p>
        </w:tc>
      </w:tr>
      <w:tr w:rsidR="00C93F8E" w:rsidRPr="00B75B77" w:rsidTr="0008153B">
        <w:trPr>
          <w:trHeight w:val="288"/>
        </w:trPr>
        <w:tc>
          <w:tcPr>
            <w:tcW w:w="1705" w:type="dxa"/>
            <w:tcBorders>
              <w:top w:val="nil"/>
              <w:left w:val="single" w:sz="4" w:space="0" w:color="448A99"/>
              <w:bottom w:val="single" w:sz="4" w:space="0" w:color="448A99"/>
              <w:right w:val="single" w:sz="4" w:space="0" w:color="448A99"/>
            </w:tcBorders>
            <w:shd w:val="clear" w:color="000000" w:fill="D2EAF1"/>
            <w:vAlign w:val="center"/>
          </w:tcPr>
          <w:p w:rsidR="00C93F8E" w:rsidRPr="00B75B77" w:rsidRDefault="00C93F8E" w:rsidP="00BB039B">
            <w:pPr>
              <w:rPr>
                <w:rFonts w:ascii="Calibri" w:eastAsia="Times New Roman" w:hAnsi="Calibri"/>
                <w:bCs/>
                <w:color w:val="000000"/>
                <w:sz w:val="18"/>
                <w:szCs w:val="18"/>
              </w:rPr>
            </w:pPr>
            <w:r w:rsidRPr="00B75B77">
              <w:rPr>
                <w:rFonts w:ascii="Calibri" w:eastAsia="Times New Roman" w:hAnsi="Calibri"/>
                <w:bCs/>
                <w:color w:val="000000"/>
                <w:sz w:val="18"/>
                <w:szCs w:val="18"/>
              </w:rPr>
              <w:t>Program Manager Interview</w:t>
            </w:r>
          </w:p>
        </w:tc>
        <w:tc>
          <w:tcPr>
            <w:tcW w:w="630" w:type="dxa"/>
            <w:tcBorders>
              <w:top w:val="nil"/>
              <w:left w:val="nil"/>
              <w:bottom w:val="single" w:sz="4" w:space="0" w:color="448A99"/>
              <w:right w:val="single" w:sz="4" w:space="0" w:color="448A99"/>
            </w:tcBorders>
            <w:shd w:val="clear" w:color="000000" w:fill="D2EAF1"/>
            <w:noWrap/>
            <w:vAlign w:val="center"/>
          </w:tcPr>
          <w:p w:rsidR="00C93F8E" w:rsidRPr="00B75B77" w:rsidRDefault="00FF4C8F"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035" w:type="dxa"/>
            <w:tcBorders>
              <w:top w:val="nil"/>
              <w:left w:val="nil"/>
              <w:bottom w:val="single" w:sz="4" w:space="0" w:color="448A99"/>
              <w:right w:val="single" w:sz="4" w:space="0" w:color="448A99"/>
            </w:tcBorders>
            <w:shd w:val="clear" w:color="000000" w:fill="D2EAF1"/>
            <w:noWrap/>
            <w:vAlign w:val="center"/>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1</w:t>
            </w:r>
          </w:p>
        </w:tc>
        <w:tc>
          <w:tcPr>
            <w:tcW w:w="1395" w:type="dxa"/>
            <w:tcBorders>
              <w:top w:val="nil"/>
              <w:left w:val="nil"/>
              <w:bottom w:val="single" w:sz="4" w:space="0" w:color="448A99"/>
              <w:right w:val="single" w:sz="4" w:space="0" w:color="448A99"/>
            </w:tcBorders>
            <w:shd w:val="clear" w:color="000000" w:fill="D2EAF1"/>
            <w:vAlign w:val="center"/>
          </w:tcPr>
          <w:p w:rsidR="00C93F8E" w:rsidRPr="00B75B77" w:rsidRDefault="005F0C40"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260" w:type="dxa"/>
            <w:tcBorders>
              <w:top w:val="nil"/>
              <w:left w:val="nil"/>
              <w:bottom w:val="single" w:sz="4" w:space="0" w:color="448A99"/>
              <w:right w:val="single" w:sz="4" w:space="0" w:color="448A99"/>
            </w:tcBorders>
            <w:shd w:val="clear" w:color="000000" w:fill="D2EAF1"/>
            <w:vAlign w:val="center"/>
          </w:tcPr>
          <w:p w:rsidR="00C93F8E" w:rsidRPr="00B75B77" w:rsidRDefault="005F0C40"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768" w:type="dxa"/>
            <w:tcBorders>
              <w:top w:val="nil"/>
              <w:left w:val="nil"/>
              <w:bottom w:val="single" w:sz="4" w:space="0" w:color="448A99"/>
              <w:right w:val="single" w:sz="4" w:space="0" w:color="448A99"/>
            </w:tcBorders>
            <w:shd w:val="clear" w:color="000000" w:fill="D2EAF1"/>
            <w:vAlign w:val="center"/>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1</w:t>
            </w:r>
          </w:p>
        </w:tc>
        <w:tc>
          <w:tcPr>
            <w:tcW w:w="905" w:type="dxa"/>
            <w:tcBorders>
              <w:top w:val="nil"/>
              <w:left w:val="nil"/>
              <w:bottom w:val="single" w:sz="4" w:space="0" w:color="448A99"/>
              <w:right w:val="single" w:sz="4" w:space="0" w:color="448A99"/>
            </w:tcBorders>
            <w:shd w:val="clear" w:color="000000" w:fill="D2EAF1"/>
            <w:noWrap/>
            <w:vAlign w:val="center"/>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1</w:t>
            </w:r>
          </w:p>
        </w:tc>
        <w:tc>
          <w:tcPr>
            <w:tcW w:w="985" w:type="dxa"/>
            <w:tcBorders>
              <w:top w:val="nil"/>
              <w:left w:val="nil"/>
              <w:bottom w:val="single" w:sz="4" w:space="0" w:color="448A99"/>
              <w:right w:val="single" w:sz="4" w:space="0" w:color="448A99"/>
            </w:tcBorders>
            <w:shd w:val="clear" w:color="000000" w:fill="D2EAF1"/>
            <w:noWrap/>
            <w:vAlign w:val="center"/>
          </w:tcPr>
          <w:p w:rsidR="00C93F8E" w:rsidRPr="00B75B77" w:rsidRDefault="00C93F8E"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100%</w:t>
            </w:r>
          </w:p>
        </w:tc>
        <w:tc>
          <w:tcPr>
            <w:tcW w:w="1080" w:type="dxa"/>
            <w:tcBorders>
              <w:top w:val="nil"/>
              <w:left w:val="nil"/>
              <w:bottom w:val="single" w:sz="4" w:space="0" w:color="448A99"/>
              <w:right w:val="single" w:sz="4" w:space="0" w:color="448A99"/>
            </w:tcBorders>
            <w:shd w:val="clear" w:color="000000" w:fill="D2EAF1"/>
          </w:tcPr>
          <w:p w:rsidR="00C93F8E" w:rsidRPr="00B75B77" w:rsidRDefault="00C93F8E" w:rsidP="00EA1A8E">
            <w:pPr>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Process evaluation </w:t>
            </w:r>
          </w:p>
        </w:tc>
      </w:tr>
      <w:tr w:rsidR="00C93F8E" w:rsidRPr="00B75B77" w:rsidTr="0008153B">
        <w:trPr>
          <w:trHeight w:val="288"/>
        </w:trPr>
        <w:tc>
          <w:tcPr>
            <w:tcW w:w="1705" w:type="dxa"/>
            <w:tcBorders>
              <w:top w:val="nil"/>
              <w:left w:val="single" w:sz="4" w:space="0" w:color="448A99"/>
              <w:bottom w:val="single" w:sz="4" w:space="0" w:color="448A99"/>
              <w:right w:val="single" w:sz="4" w:space="0" w:color="448A99"/>
            </w:tcBorders>
            <w:shd w:val="clear" w:color="000000" w:fill="FFFFFF"/>
            <w:vAlign w:val="center"/>
            <w:hideMark/>
          </w:tcPr>
          <w:p w:rsidR="00C93F8E" w:rsidRPr="00B75B77" w:rsidRDefault="006D019E" w:rsidP="00BB039B">
            <w:pPr>
              <w:jc w:val="left"/>
              <w:rPr>
                <w:rFonts w:ascii="Calibri" w:eastAsia="Times New Roman" w:hAnsi="Calibri"/>
                <w:b/>
                <w:color w:val="000000"/>
                <w:sz w:val="18"/>
                <w:szCs w:val="18"/>
              </w:rPr>
            </w:pPr>
            <w:r w:rsidRPr="00B75B77">
              <w:rPr>
                <w:rFonts w:ascii="Calibri" w:eastAsia="Times New Roman" w:hAnsi="Calibri"/>
                <w:b/>
                <w:color w:val="000000"/>
                <w:sz w:val="18"/>
                <w:szCs w:val="18"/>
              </w:rPr>
              <w:t>PROGRAM TOTAL</w:t>
            </w:r>
          </w:p>
        </w:tc>
        <w:tc>
          <w:tcPr>
            <w:tcW w:w="630" w:type="dxa"/>
            <w:tcBorders>
              <w:top w:val="nil"/>
              <w:left w:val="nil"/>
              <w:bottom w:val="single" w:sz="4" w:space="0" w:color="448A99"/>
              <w:right w:val="single" w:sz="4" w:space="0" w:color="448A99"/>
            </w:tcBorders>
            <w:shd w:val="clear" w:color="000000" w:fill="FFFFFF"/>
            <w:vAlign w:val="center"/>
            <w:hideMark/>
          </w:tcPr>
          <w:p w:rsidR="00C93F8E" w:rsidRPr="00B75B77" w:rsidRDefault="0053098B" w:rsidP="00BB039B">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N/A</w:t>
            </w:r>
            <w:r w:rsidR="00C93F8E" w:rsidRPr="00B75B77">
              <w:rPr>
                <w:rFonts w:ascii="Calibri" w:eastAsia="Times New Roman" w:hAnsi="Calibri"/>
                <w:b/>
                <w:color w:val="000000"/>
                <w:sz w:val="18"/>
                <w:szCs w:val="18"/>
              </w:rPr>
              <w:t> </w:t>
            </w:r>
          </w:p>
        </w:tc>
        <w:tc>
          <w:tcPr>
            <w:tcW w:w="1035" w:type="dxa"/>
            <w:tcBorders>
              <w:top w:val="nil"/>
              <w:left w:val="nil"/>
              <w:bottom w:val="single" w:sz="4" w:space="0" w:color="448A99"/>
              <w:right w:val="single" w:sz="4" w:space="0" w:color="448A99"/>
            </w:tcBorders>
            <w:shd w:val="clear" w:color="000000" w:fill="FFFFFF"/>
            <w:vAlign w:val="center"/>
            <w:hideMark/>
          </w:tcPr>
          <w:p w:rsidR="00C93F8E" w:rsidRPr="00B75B77" w:rsidRDefault="00C93F8E" w:rsidP="00BB039B">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15,511</w:t>
            </w:r>
          </w:p>
        </w:tc>
        <w:tc>
          <w:tcPr>
            <w:tcW w:w="1395" w:type="dxa"/>
            <w:tcBorders>
              <w:top w:val="nil"/>
              <w:left w:val="nil"/>
              <w:bottom w:val="single" w:sz="4" w:space="0" w:color="448A99"/>
              <w:right w:val="single" w:sz="4" w:space="0" w:color="448A99"/>
            </w:tcBorders>
            <w:shd w:val="clear" w:color="000000" w:fill="FFFFFF"/>
            <w:vAlign w:val="center"/>
            <w:hideMark/>
          </w:tcPr>
          <w:p w:rsidR="00C93F8E" w:rsidRPr="00B75B77" w:rsidRDefault="0053098B" w:rsidP="00BB039B">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N/A</w:t>
            </w:r>
          </w:p>
        </w:tc>
        <w:tc>
          <w:tcPr>
            <w:tcW w:w="1260" w:type="dxa"/>
            <w:tcBorders>
              <w:top w:val="nil"/>
              <w:left w:val="nil"/>
              <w:bottom w:val="single" w:sz="4" w:space="0" w:color="448A99"/>
              <w:right w:val="single" w:sz="4" w:space="0" w:color="448A99"/>
            </w:tcBorders>
            <w:shd w:val="clear" w:color="000000" w:fill="FFFFFF"/>
            <w:vAlign w:val="center"/>
            <w:hideMark/>
          </w:tcPr>
          <w:p w:rsidR="00C93F8E" w:rsidRPr="00B75B77" w:rsidRDefault="0053098B" w:rsidP="00BB039B">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N/A</w:t>
            </w:r>
            <w:r w:rsidR="00C93F8E" w:rsidRPr="00B75B77">
              <w:rPr>
                <w:rFonts w:ascii="Calibri" w:eastAsia="Times New Roman" w:hAnsi="Calibri"/>
                <w:b/>
                <w:color w:val="000000"/>
                <w:sz w:val="18"/>
                <w:szCs w:val="18"/>
              </w:rPr>
              <w:t> </w:t>
            </w:r>
          </w:p>
        </w:tc>
        <w:tc>
          <w:tcPr>
            <w:tcW w:w="768" w:type="dxa"/>
            <w:tcBorders>
              <w:top w:val="nil"/>
              <w:left w:val="nil"/>
              <w:bottom w:val="single" w:sz="4" w:space="0" w:color="448A99"/>
              <w:right w:val="single" w:sz="4" w:space="0" w:color="448A99"/>
            </w:tcBorders>
            <w:shd w:val="clear" w:color="000000" w:fill="FFFFFF"/>
            <w:vAlign w:val="center"/>
            <w:hideMark/>
          </w:tcPr>
          <w:p w:rsidR="00C93F8E" w:rsidRPr="00B75B77" w:rsidRDefault="00C93F8E" w:rsidP="00BB039B">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92</w:t>
            </w:r>
          </w:p>
        </w:tc>
        <w:tc>
          <w:tcPr>
            <w:tcW w:w="905" w:type="dxa"/>
            <w:tcBorders>
              <w:top w:val="nil"/>
              <w:left w:val="nil"/>
              <w:bottom w:val="single" w:sz="4" w:space="0" w:color="448A99"/>
              <w:right w:val="single" w:sz="4" w:space="0" w:color="448A99"/>
            </w:tcBorders>
            <w:shd w:val="clear" w:color="000000" w:fill="FFFFFF"/>
            <w:vAlign w:val="center"/>
            <w:hideMark/>
          </w:tcPr>
          <w:p w:rsidR="00C93F8E" w:rsidRPr="00B75B77" w:rsidRDefault="00C93F8E" w:rsidP="00BB039B">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92</w:t>
            </w:r>
          </w:p>
        </w:tc>
        <w:tc>
          <w:tcPr>
            <w:tcW w:w="985" w:type="dxa"/>
            <w:tcBorders>
              <w:top w:val="nil"/>
              <w:left w:val="nil"/>
              <w:bottom w:val="single" w:sz="4" w:space="0" w:color="448A99"/>
              <w:right w:val="single" w:sz="4" w:space="0" w:color="448A99"/>
            </w:tcBorders>
            <w:shd w:val="clear" w:color="000000" w:fill="FFFFFF"/>
            <w:vAlign w:val="center"/>
            <w:hideMark/>
          </w:tcPr>
          <w:p w:rsidR="00C93F8E" w:rsidRPr="00B75B77" w:rsidRDefault="0053098B" w:rsidP="00BB039B">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N/A</w:t>
            </w:r>
            <w:r w:rsidR="00C93F8E" w:rsidRPr="00B75B77">
              <w:rPr>
                <w:rFonts w:ascii="Calibri" w:eastAsia="Times New Roman" w:hAnsi="Calibri"/>
                <w:b/>
                <w:color w:val="000000"/>
                <w:sz w:val="18"/>
                <w:szCs w:val="18"/>
              </w:rPr>
              <w:t> </w:t>
            </w:r>
          </w:p>
        </w:tc>
        <w:tc>
          <w:tcPr>
            <w:tcW w:w="1080" w:type="dxa"/>
            <w:tcBorders>
              <w:top w:val="nil"/>
              <w:left w:val="nil"/>
              <w:bottom w:val="single" w:sz="4" w:space="0" w:color="448A99"/>
              <w:right w:val="single" w:sz="4" w:space="0" w:color="448A99"/>
            </w:tcBorders>
            <w:shd w:val="clear" w:color="000000" w:fill="FFFFFF"/>
            <w:vAlign w:val="center"/>
            <w:hideMark/>
          </w:tcPr>
          <w:p w:rsidR="00C93F8E" w:rsidRPr="00B75B77" w:rsidRDefault="0053098B" w:rsidP="00EA1A8E">
            <w:pPr>
              <w:jc w:val="left"/>
              <w:rPr>
                <w:rFonts w:ascii="Calibri" w:eastAsia="Times New Roman" w:hAnsi="Calibri"/>
                <w:b/>
                <w:color w:val="000000"/>
                <w:sz w:val="18"/>
                <w:szCs w:val="18"/>
              </w:rPr>
            </w:pPr>
            <w:r w:rsidRPr="00B75B77">
              <w:rPr>
                <w:rFonts w:ascii="Calibri" w:eastAsia="Times New Roman" w:hAnsi="Calibri"/>
                <w:b/>
                <w:color w:val="000000"/>
                <w:sz w:val="18"/>
                <w:szCs w:val="18"/>
              </w:rPr>
              <w:t>N/A</w:t>
            </w:r>
            <w:r w:rsidR="00C93F8E" w:rsidRPr="00B75B77">
              <w:rPr>
                <w:rFonts w:ascii="Calibri" w:eastAsia="Times New Roman" w:hAnsi="Calibri"/>
                <w:b/>
                <w:color w:val="000000"/>
                <w:sz w:val="18"/>
                <w:szCs w:val="18"/>
              </w:rPr>
              <w:t> </w:t>
            </w:r>
          </w:p>
        </w:tc>
      </w:tr>
    </w:tbl>
    <w:p w:rsidR="00174FFA" w:rsidRPr="00B75B77" w:rsidRDefault="00174FFA" w:rsidP="00B00E44">
      <w:pPr>
        <w:spacing w:before="20" w:after="40"/>
        <w:jc w:val="left"/>
        <w:rPr>
          <w:rFonts w:ascii="Calibri" w:hAnsi="Calibri"/>
          <w:sz w:val="18"/>
        </w:rPr>
      </w:pPr>
      <w:r w:rsidRPr="00B75B77">
        <w:rPr>
          <w:rFonts w:ascii="Calibri" w:hAnsi="Calibri"/>
          <w:sz w:val="18"/>
          <w:vertAlign w:val="superscript"/>
        </w:rPr>
        <w:lastRenderedPageBreak/>
        <w:t>[1]</w:t>
      </w:r>
      <w:r w:rsidRPr="00B75B77">
        <w:rPr>
          <w:rFonts w:ascii="Calibri" w:hAnsi="Calibri"/>
          <w:sz w:val="18"/>
        </w:rPr>
        <w:t xml:space="preserve"> </w:t>
      </w:r>
      <w:r w:rsidR="00530239" w:rsidRPr="00B75B77">
        <w:rPr>
          <w:rFonts w:ascii="Calibri" w:hAnsi="Calibri"/>
          <w:sz w:val="18"/>
        </w:rPr>
        <w:t>The sample frame is a list of contacts that have a chance to be selected into the sample. Percentage contacted means of all the sample frame the percentage that were contacted to get the completed surveys.</w:t>
      </w:r>
    </w:p>
    <w:p w:rsidR="00C93F8E" w:rsidRPr="00B75B77" w:rsidRDefault="00C93F8E" w:rsidP="00B00E44">
      <w:pPr>
        <w:pStyle w:val="Source"/>
        <w:spacing w:before="20" w:after="40"/>
        <w:ind w:left="0" w:firstLine="0"/>
        <w:rPr>
          <w:i w:val="0"/>
        </w:rPr>
      </w:pPr>
      <w:r w:rsidRPr="00B75B77">
        <w:rPr>
          <w:i w:val="0"/>
        </w:rPr>
        <w:t xml:space="preserve">Note: Values in tables may not reconcile </w:t>
      </w:r>
      <w:r w:rsidR="005F0C40" w:rsidRPr="00B75B77">
        <w:rPr>
          <w:i w:val="0"/>
        </w:rPr>
        <w:t>exactly with the sum</w:t>
      </w:r>
      <w:r w:rsidRPr="00B75B77">
        <w:rPr>
          <w:i w:val="0"/>
        </w:rPr>
        <w:t xml:space="preserve"> of more detailed level results or previously reported results due to rounding. </w:t>
      </w:r>
    </w:p>
    <w:p w:rsidR="00C93F8E" w:rsidRPr="00B75B77" w:rsidRDefault="00C93F8E" w:rsidP="00174FFA">
      <w:pPr>
        <w:pStyle w:val="Source"/>
        <w:spacing w:after="120"/>
        <w:ind w:left="0" w:firstLine="0"/>
      </w:pPr>
      <w:r w:rsidRPr="00B75B77">
        <w:t>Source: Navigant analysis</w:t>
      </w:r>
    </w:p>
    <w:p w:rsidR="00C93F8E" w:rsidRPr="00B75B77" w:rsidRDefault="00C93F8E" w:rsidP="00BB039B">
      <w:r w:rsidRPr="00B75B77">
        <w:t>The evaluation team also conducted a comprehensive review of LEEP educational materials as part of the process evaluation. The review consisted of 17 pages of flyers, a 32</w:t>
      </w:r>
      <w:r w:rsidR="007C189C" w:rsidRPr="00B75B77">
        <w:t>-</w:t>
      </w:r>
      <w:r w:rsidRPr="00B75B77">
        <w:t xml:space="preserve">page </w:t>
      </w:r>
      <w:r w:rsidR="007C189C" w:rsidRPr="00B75B77">
        <w:t>“</w:t>
      </w:r>
      <w:r w:rsidRPr="00B75B77">
        <w:t>Energy</w:t>
      </w:r>
      <w:r w:rsidR="00011499" w:rsidRPr="00B75B77">
        <w:t>-</w:t>
      </w:r>
      <w:r w:rsidRPr="00B75B77">
        <w:t>Saving Tips</w:t>
      </w:r>
      <w:r w:rsidR="007C189C" w:rsidRPr="00B75B77">
        <w:t>”</w:t>
      </w:r>
      <w:r w:rsidRPr="00B75B77">
        <w:t xml:space="preserve"> booklet, a PECO </w:t>
      </w:r>
      <w:r w:rsidR="007C189C" w:rsidRPr="00B75B77">
        <w:t>“</w:t>
      </w:r>
      <w:r w:rsidRPr="00B75B77">
        <w:t>Energy</w:t>
      </w:r>
      <w:r w:rsidR="00011499" w:rsidRPr="00B75B77">
        <w:t>-</w:t>
      </w:r>
      <w:r w:rsidRPr="00B75B77">
        <w:t>Saving Tips</w:t>
      </w:r>
      <w:r w:rsidR="007C189C" w:rsidRPr="00B75B77">
        <w:t>”</w:t>
      </w:r>
      <w:r w:rsidRPr="00B75B77">
        <w:t xml:space="preserve"> calendar, and an energy cost calculator.</w:t>
      </w:r>
    </w:p>
    <w:p w:rsidR="00C93F8E" w:rsidRPr="00B75B77" w:rsidRDefault="00C93F8E" w:rsidP="00BB039B">
      <w:pPr>
        <w:rPr>
          <w:color w:val="FF0000"/>
        </w:rPr>
      </w:pPr>
    </w:p>
    <w:p w:rsidR="00C93F8E" w:rsidRPr="00B75B77" w:rsidRDefault="00C93F8E" w:rsidP="007C189C">
      <w:pPr>
        <w:pStyle w:val="Heading3"/>
        <w:keepNext/>
        <w:keepLines/>
      </w:pPr>
      <w:bookmarkStart w:id="618" w:name="_Toc466413369"/>
      <w:r w:rsidRPr="00B75B77">
        <w:t>Process Findings and Recommendations</w:t>
      </w:r>
      <w:bookmarkEnd w:id="618"/>
      <w:r w:rsidRPr="00B75B77">
        <w:t xml:space="preserve"> </w:t>
      </w:r>
    </w:p>
    <w:p w:rsidR="00C93F8E" w:rsidRPr="00B75B77" w:rsidRDefault="00C93F8E" w:rsidP="00BB039B">
      <w:pPr>
        <w:pStyle w:val="NormalSpacer"/>
        <w:keepNext/>
      </w:pPr>
      <w:r w:rsidRPr="00B75B77">
        <w:t>The process evaluation yielded several findings and potential program improvements. Below are specific recommendations and the associated process evaluation findings on which the recommendations are based.</w:t>
      </w:r>
      <w:r w:rsidRPr="00B75B77">
        <w:rPr>
          <w:rStyle w:val="Heading3Char"/>
        </w:rPr>
        <w:t xml:space="preserve"> </w:t>
      </w:r>
    </w:p>
    <w:p w:rsidR="00C93F8E" w:rsidRPr="00B75B77" w:rsidRDefault="00C93F8E" w:rsidP="00BB039B"/>
    <w:p w:rsidR="001E65E7" w:rsidRPr="00B75B77" w:rsidRDefault="001E65E7" w:rsidP="009E08FB">
      <w:pPr>
        <w:pStyle w:val="ListParagraph"/>
        <w:numPr>
          <w:ilvl w:val="0"/>
          <w:numId w:val="81"/>
        </w:numPr>
        <w:rPr>
          <w:color w:val="000000" w:themeColor="text1"/>
        </w:rPr>
      </w:pPr>
      <w:r w:rsidRPr="00B75B77">
        <w:rPr>
          <w:b/>
          <w:color w:val="000000" w:themeColor="text1"/>
        </w:rPr>
        <w:t xml:space="preserve">Finding: </w:t>
      </w:r>
      <w:r w:rsidRPr="00B75B77">
        <w:rPr>
          <w:color w:val="000000" w:themeColor="text1"/>
        </w:rPr>
        <w:t xml:space="preserve">As noted earlier, the evaluation team reduced verified program savings by 8% compared to reported savings due to an issue with refrigerator calculations. </w:t>
      </w:r>
    </w:p>
    <w:p w:rsidR="001E65E7" w:rsidRPr="00B75B77" w:rsidRDefault="001E65E7" w:rsidP="009E08FB">
      <w:pPr>
        <w:pStyle w:val="ListParagraph"/>
        <w:numPr>
          <w:ilvl w:val="1"/>
          <w:numId w:val="81"/>
        </w:numPr>
        <w:rPr>
          <w:color w:val="000000" w:themeColor="text1"/>
        </w:rPr>
      </w:pPr>
      <w:r w:rsidRPr="00B75B77">
        <w:rPr>
          <w:b/>
          <w:color w:val="000000" w:themeColor="text1"/>
        </w:rPr>
        <w:t>Recommendation:</w:t>
      </w:r>
      <w:r w:rsidRPr="00B75B77">
        <w:rPr>
          <w:color w:val="000000" w:themeColor="text1"/>
        </w:rPr>
        <w:t xml:space="preserve"> Collect existing refrigerator data from participants and use the PY8 IMP to estimate ex ante refrigerator savings.</w:t>
      </w:r>
    </w:p>
    <w:p w:rsidR="00C93F8E" w:rsidRPr="00B75B77" w:rsidRDefault="00C93F8E" w:rsidP="009E08FB">
      <w:pPr>
        <w:pStyle w:val="ListParagraph"/>
        <w:numPr>
          <w:ilvl w:val="0"/>
          <w:numId w:val="81"/>
        </w:numPr>
        <w:rPr>
          <w:b/>
          <w:color w:val="000000" w:themeColor="text1"/>
        </w:rPr>
      </w:pPr>
      <w:r w:rsidRPr="00B75B77">
        <w:rPr>
          <w:b/>
          <w:color w:val="000000" w:themeColor="text1"/>
        </w:rPr>
        <w:t xml:space="preserve">Finding: </w:t>
      </w:r>
      <w:r w:rsidRPr="00B75B77">
        <w:rPr>
          <w:color w:val="000000" w:themeColor="text1"/>
        </w:rPr>
        <w:t xml:space="preserve">The participant survey revealed that LEEP participants continue to be very satisfied with the program, both overall and with the individual components. </w:t>
      </w:r>
      <w:r w:rsidR="007665E5" w:rsidRPr="00B75B77">
        <w:rPr>
          <w:color w:val="000000" w:themeColor="text1"/>
        </w:rPr>
        <w:t>Notably, 89%</w:t>
      </w:r>
      <w:r w:rsidRPr="00B75B77">
        <w:rPr>
          <w:color w:val="000000" w:themeColor="text1"/>
        </w:rPr>
        <w:t xml:space="preserve"> of participants stated that they were “extremely satisfied” with the program overall. </w:t>
      </w:r>
      <w:r w:rsidRPr="00B75B77">
        <w:rPr>
          <w:color w:val="000000" w:themeColor="text1"/>
        </w:rPr>
        <w:fldChar w:fldCharType="begin"/>
      </w:r>
      <w:r w:rsidRPr="00B75B77">
        <w:rPr>
          <w:color w:val="000000" w:themeColor="text1"/>
        </w:rPr>
        <w:instrText xml:space="preserve"> REF _Ref463251183 \h </w:instrText>
      </w:r>
      <w:r w:rsidR="007C189C" w:rsidRPr="00B75B77">
        <w:rPr>
          <w:color w:val="000000" w:themeColor="text1"/>
        </w:rPr>
        <w:instrText xml:space="preserve"> \* MERGEFORMAT </w:instrText>
      </w:r>
      <w:r w:rsidRPr="00B75B77">
        <w:rPr>
          <w:color w:val="000000" w:themeColor="text1"/>
        </w:rPr>
      </w:r>
      <w:r w:rsidRPr="00B75B77">
        <w:rPr>
          <w:color w:val="000000" w:themeColor="text1"/>
        </w:rPr>
        <w:fldChar w:fldCharType="separate"/>
      </w:r>
      <w:r w:rsidR="0004016D" w:rsidRPr="00B75B77">
        <w:t xml:space="preserve">Figure </w:t>
      </w:r>
      <w:r w:rsidR="0004016D">
        <w:t>8</w:t>
      </w:r>
      <w:r w:rsidR="0004016D" w:rsidRPr="00B75B77">
        <w:noBreakHyphen/>
      </w:r>
      <w:r w:rsidR="0004016D">
        <w:t>3</w:t>
      </w:r>
      <w:r w:rsidRPr="00B75B77">
        <w:rPr>
          <w:color w:val="000000" w:themeColor="text1"/>
        </w:rPr>
        <w:fldChar w:fldCharType="end"/>
      </w:r>
      <w:r w:rsidRPr="00B75B77">
        <w:rPr>
          <w:color w:val="000000" w:themeColor="text1"/>
        </w:rPr>
        <w:t xml:space="preserve"> presents satisfaction results for the LEEP program overall and the various program components. </w:t>
      </w:r>
    </w:p>
    <w:p w:rsidR="00C93F8E" w:rsidRPr="00B75B77" w:rsidRDefault="00C93F8E" w:rsidP="00BB039B">
      <w:pPr>
        <w:rPr>
          <w:color w:val="0070C0"/>
        </w:rPr>
      </w:pPr>
    </w:p>
    <w:p w:rsidR="00C93F8E" w:rsidRPr="00B75B77" w:rsidRDefault="00C93F8E" w:rsidP="00BB039B">
      <w:pPr>
        <w:pStyle w:val="Caption"/>
      </w:pPr>
      <w:bookmarkStart w:id="619" w:name="_Ref463251183"/>
      <w:bookmarkStart w:id="620" w:name="_Ref463251155"/>
      <w:bookmarkStart w:id="621" w:name="_Toc466413683"/>
      <w:r w:rsidRPr="00B75B77">
        <w:t xml:space="preserve">Figure </w:t>
      </w:r>
      <w:fldSimple w:instr=" STYLEREF 1 \s ">
        <w:r w:rsidR="0004016D">
          <w:rPr>
            <w:noProof/>
          </w:rPr>
          <w:t>8</w:t>
        </w:r>
      </w:fldSimple>
      <w:r w:rsidR="00BA3BA9" w:rsidRPr="00B75B77">
        <w:noBreakHyphen/>
      </w:r>
      <w:fldSimple w:instr=" SEQ Figure \* ARABIC \s 1 ">
        <w:r w:rsidR="0004016D">
          <w:rPr>
            <w:noProof/>
          </w:rPr>
          <w:t>3</w:t>
        </w:r>
      </w:fldSimple>
      <w:bookmarkEnd w:id="619"/>
      <w:r w:rsidR="00CF1606" w:rsidRPr="00B75B77">
        <w:t>:</w:t>
      </w:r>
      <w:r w:rsidRPr="00B75B77">
        <w:t xml:space="preserve"> </w:t>
      </w:r>
      <w:r w:rsidR="000C1E59" w:rsidRPr="00B75B77">
        <w:t>Low-</w:t>
      </w:r>
      <w:r w:rsidRPr="00B75B77">
        <w:t>Income Energy Efficiency Program Participant Satisfaction</w:t>
      </w:r>
      <w:bookmarkEnd w:id="620"/>
      <w:r w:rsidRPr="00B75B77">
        <w:t xml:space="preserve"> (n=55)</w:t>
      </w:r>
      <w:bookmarkEnd w:id="621"/>
    </w:p>
    <w:p w:rsidR="00C93F8E" w:rsidRPr="00B75B77" w:rsidRDefault="00C93F8E" w:rsidP="000C1E59">
      <w:pPr>
        <w:pStyle w:val="ListParagraph"/>
        <w:jc w:val="center"/>
        <w:rPr>
          <w:color w:val="FF0000"/>
        </w:rPr>
      </w:pPr>
      <w:r w:rsidRPr="00B75B77">
        <w:rPr>
          <w:noProof/>
        </w:rPr>
        <w:drawing>
          <wp:inline distT="0" distB="0" distL="0" distR="0" wp14:anchorId="41361E88" wp14:editId="543E0D77">
            <wp:extent cx="5951220" cy="3257550"/>
            <wp:effectExtent l="0" t="0" r="0" b="0"/>
            <wp:docPr id="301" name="Chart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C93F8E" w:rsidRPr="00B75B77" w:rsidRDefault="00C93F8E" w:rsidP="0008153B">
      <w:pPr>
        <w:pStyle w:val="Source"/>
        <w:spacing w:after="120"/>
        <w:ind w:firstLine="0"/>
      </w:pPr>
      <w:r w:rsidRPr="00B75B77">
        <w:t>Source: Navigant analysis of phone survey results</w:t>
      </w:r>
    </w:p>
    <w:p w:rsidR="00C93F8E" w:rsidRPr="00B75B77" w:rsidRDefault="00C93F8E" w:rsidP="0008153B">
      <w:pPr>
        <w:pStyle w:val="ListParagraph"/>
        <w:spacing w:after="120"/>
        <w:contextualSpacing w:val="0"/>
      </w:pPr>
      <w:r w:rsidRPr="00B75B77">
        <w:t xml:space="preserve">A small number of customers expressed dissatisfaction with the program. These limited instances of dissatisfaction were primarily due to customer misunderstandings of schedules and project next steps. </w:t>
      </w:r>
    </w:p>
    <w:p w:rsidR="00C93F8E" w:rsidRPr="00B75B77" w:rsidRDefault="00C93F8E" w:rsidP="009E08FB">
      <w:pPr>
        <w:pStyle w:val="ListParagraph"/>
        <w:numPr>
          <w:ilvl w:val="1"/>
          <w:numId w:val="81"/>
        </w:numPr>
        <w:spacing w:after="60"/>
        <w:contextualSpacing w:val="0"/>
        <w:rPr>
          <w:b/>
        </w:rPr>
      </w:pPr>
      <w:r w:rsidRPr="00B75B77">
        <w:rPr>
          <w:b/>
        </w:rPr>
        <w:lastRenderedPageBreak/>
        <w:t xml:space="preserve">Recommendation: </w:t>
      </w:r>
      <w:r w:rsidRPr="00B75B77">
        <w:t>Ensure schedule expectations are clear and applied consistently across customers; consider follow-up with customers to encourage further action.</w:t>
      </w:r>
    </w:p>
    <w:p w:rsidR="00C93F8E" w:rsidRPr="00B75B77" w:rsidRDefault="00C93F8E" w:rsidP="009E08FB">
      <w:pPr>
        <w:pStyle w:val="ListParagraph"/>
        <w:numPr>
          <w:ilvl w:val="0"/>
          <w:numId w:val="81"/>
        </w:numPr>
      </w:pPr>
      <w:r w:rsidRPr="00B75B77">
        <w:rPr>
          <w:b/>
          <w:color w:val="000000" w:themeColor="text1"/>
        </w:rPr>
        <w:t>Finding</w:t>
      </w:r>
      <w:r w:rsidRPr="00B75B77">
        <w:rPr>
          <w:b/>
        </w:rPr>
        <w:t>:</w:t>
      </w:r>
      <w:r w:rsidRPr="00B75B77">
        <w:t xml:space="preserve"> Historical participant surveys revealed that the first-year CFL ISR for Component 3 participants fell in PY6, compared to PY4 and PY5. The PY7 survey indicates ISRs increased slightly (</w:t>
      </w:r>
      <w:r w:rsidRPr="00B75B77">
        <w:fldChar w:fldCharType="begin"/>
      </w:r>
      <w:r w:rsidRPr="00B75B77">
        <w:instrText xml:space="preserve"> REF _Ref463251329 \h  \* MERGEFORMAT </w:instrText>
      </w:r>
      <w:r w:rsidRPr="00B75B77">
        <w:fldChar w:fldCharType="separate"/>
      </w:r>
      <w:r w:rsidR="0004016D" w:rsidRPr="00B75B77">
        <w:t xml:space="preserve">Figure </w:t>
      </w:r>
      <w:r w:rsidR="0004016D">
        <w:t>8</w:t>
      </w:r>
      <w:r w:rsidR="0004016D" w:rsidRPr="00B75B77">
        <w:noBreakHyphen/>
      </w:r>
      <w:r w:rsidR="0004016D">
        <w:t>4</w:t>
      </w:r>
      <w:r w:rsidRPr="00B75B77">
        <w:fldChar w:fldCharType="end"/>
      </w:r>
      <w:r w:rsidRPr="00B75B77">
        <w:t xml:space="preserve">). Consistent with participant responses from previous years, uninstalled bulbs were reported to be kept in storage and/or the participants were waiting for other bulbs to burn out before installing the program bulbs. This finding does not affect the program savings, due to a deemed </w:t>
      </w:r>
      <w:r w:rsidR="0008153B" w:rsidRPr="00B75B77">
        <w:t>3</w:t>
      </w:r>
      <w:r w:rsidRPr="00B75B77">
        <w:t>-year ISR. The research also found that 57% of participants no longer have incandescent in their homes and that 60% of replaced bulbs were incandescent (</w:t>
      </w:r>
      <w:r w:rsidRPr="00B75B77">
        <w:fldChar w:fldCharType="begin"/>
      </w:r>
      <w:r w:rsidRPr="00B75B77">
        <w:instrText xml:space="preserve"> REF _Ref463251361 \h  \* MERGEFORMAT </w:instrText>
      </w:r>
      <w:r w:rsidRPr="00B75B77">
        <w:fldChar w:fldCharType="separate"/>
      </w:r>
      <w:r w:rsidR="0004016D" w:rsidRPr="00B75B77">
        <w:t xml:space="preserve">Figure </w:t>
      </w:r>
      <w:r w:rsidR="0004016D">
        <w:t>8</w:t>
      </w:r>
      <w:r w:rsidR="0004016D" w:rsidRPr="00B75B77">
        <w:noBreakHyphen/>
      </w:r>
      <w:r w:rsidR="0004016D">
        <w:t>5</w:t>
      </w:r>
      <w:r w:rsidRPr="00B75B77">
        <w:fldChar w:fldCharType="end"/>
      </w:r>
      <w:r w:rsidRPr="00B75B77">
        <w:t xml:space="preserve"> and </w:t>
      </w:r>
      <w:r w:rsidRPr="00B75B77">
        <w:fldChar w:fldCharType="begin"/>
      </w:r>
      <w:r w:rsidRPr="00B75B77">
        <w:instrText xml:space="preserve"> REF _Ref463212002 \h  \* MERGEFORMAT </w:instrText>
      </w:r>
      <w:r w:rsidRPr="00B75B77">
        <w:fldChar w:fldCharType="separate"/>
      </w:r>
      <w:r w:rsidR="0004016D" w:rsidRPr="00B75B77">
        <w:t xml:space="preserve">Figure </w:t>
      </w:r>
      <w:r w:rsidR="0004016D">
        <w:t>8</w:t>
      </w:r>
      <w:r w:rsidR="0004016D" w:rsidRPr="00B75B77">
        <w:noBreakHyphen/>
      </w:r>
      <w:r w:rsidR="0004016D">
        <w:t>6</w:t>
      </w:r>
      <w:r w:rsidRPr="00B75B77">
        <w:fldChar w:fldCharType="end"/>
      </w:r>
      <w:r w:rsidRPr="00B75B77">
        <w:t xml:space="preserve">). Taken together, these findings indicate that CFL socket saturation is increasing within the low-income community. </w:t>
      </w:r>
    </w:p>
    <w:p w:rsidR="00C93F8E" w:rsidRPr="00B75B77" w:rsidRDefault="00C93F8E" w:rsidP="009E08FB">
      <w:pPr>
        <w:pStyle w:val="ListParagraph"/>
        <w:numPr>
          <w:ilvl w:val="1"/>
          <w:numId w:val="81"/>
        </w:numPr>
        <w:spacing w:after="60"/>
        <w:contextualSpacing w:val="0"/>
        <w:rPr>
          <w:b/>
        </w:rPr>
      </w:pPr>
      <w:r w:rsidRPr="00B75B77">
        <w:rPr>
          <w:b/>
        </w:rPr>
        <w:t>Recommendation:</w:t>
      </w:r>
      <w:r w:rsidRPr="00B75B77">
        <w:t xml:space="preserve"> Shift to LED light bulbs only, particularly for specialty bulb locations such as chandeliers, bathroom vanities, etc.</w:t>
      </w:r>
      <w:r w:rsidR="0008153B" w:rsidRPr="00B75B77">
        <w:t>,</w:t>
      </w:r>
      <w:r w:rsidRPr="00B75B77">
        <w:t xml:space="preserve"> to further increase penetration of efficient lighting products. Target distribution of free (Component 3) light</w:t>
      </w:r>
      <w:r w:rsidR="0008153B" w:rsidRPr="00B75B77">
        <w:t xml:space="preserve"> </w:t>
      </w:r>
      <w:r w:rsidRPr="00B75B77">
        <w:t xml:space="preserve">bulbs to households with incandescent </w:t>
      </w:r>
      <w:r w:rsidR="0008153B" w:rsidRPr="00B75B77">
        <w:t>light bulb</w:t>
      </w:r>
      <w:r w:rsidRPr="00B75B77">
        <w:t xml:space="preserve">s. </w:t>
      </w:r>
    </w:p>
    <w:p w:rsidR="00C93F8E" w:rsidRPr="00B75B77" w:rsidRDefault="00C93F8E" w:rsidP="00BB039B">
      <w:pPr>
        <w:rPr>
          <w:color w:val="0070C0"/>
        </w:rPr>
      </w:pPr>
    </w:p>
    <w:p w:rsidR="00C93F8E" w:rsidRPr="00B75B77" w:rsidRDefault="00C93F8E" w:rsidP="0008153B">
      <w:pPr>
        <w:pStyle w:val="Caption"/>
        <w:ind w:left="720"/>
        <w:rPr>
          <w:color w:val="0070C0"/>
        </w:rPr>
      </w:pPr>
      <w:bookmarkStart w:id="622" w:name="_Ref463251329"/>
      <w:bookmarkStart w:id="623" w:name="_Toc466413684"/>
      <w:r w:rsidRPr="00B75B77">
        <w:t xml:space="preserve">Figure </w:t>
      </w:r>
      <w:fldSimple w:instr=" STYLEREF 1 \s ">
        <w:r w:rsidR="0004016D">
          <w:rPr>
            <w:noProof/>
          </w:rPr>
          <w:t>8</w:t>
        </w:r>
      </w:fldSimple>
      <w:r w:rsidR="00BA3BA9" w:rsidRPr="00B75B77">
        <w:noBreakHyphen/>
      </w:r>
      <w:fldSimple w:instr=" SEQ Figure \* ARABIC \s 1 ">
        <w:r w:rsidR="0004016D">
          <w:rPr>
            <w:noProof/>
          </w:rPr>
          <w:t>4</w:t>
        </w:r>
      </w:fldSimple>
      <w:bookmarkEnd w:id="622"/>
      <w:r w:rsidR="00557CA1" w:rsidRPr="00B75B77">
        <w:t>:</w:t>
      </w:r>
      <w:r w:rsidRPr="00B75B77">
        <w:t xml:space="preserve"> </w:t>
      </w:r>
      <w:r w:rsidR="000C1E59" w:rsidRPr="00B75B77">
        <w:t>Low-</w:t>
      </w:r>
      <w:r w:rsidRPr="00B75B77">
        <w:t>Income Energy Efficiency Program Component 3 First-Year CFL In-Service-Rate</w:t>
      </w:r>
      <w:bookmarkEnd w:id="623"/>
    </w:p>
    <w:p w:rsidR="00C93F8E" w:rsidRPr="00B75B77" w:rsidRDefault="00C93F8E" w:rsidP="0008153B">
      <w:pPr>
        <w:pStyle w:val="ListParagraph"/>
        <w:jc w:val="center"/>
        <w:rPr>
          <w:color w:val="FF0000"/>
        </w:rPr>
      </w:pPr>
      <w:r w:rsidRPr="00B75B77">
        <w:rPr>
          <w:noProof/>
        </w:rPr>
        <w:drawing>
          <wp:inline distT="0" distB="0" distL="0" distR="0" wp14:anchorId="6B9761B3" wp14:editId="298BF735">
            <wp:extent cx="3810000" cy="1847850"/>
            <wp:effectExtent l="0" t="0" r="0" b="0"/>
            <wp:docPr id="302" name="Chart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C93F8E" w:rsidRPr="00B75B77" w:rsidRDefault="00C93F8E" w:rsidP="00557CA1">
      <w:pPr>
        <w:pStyle w:val="Source"/>
        <w:ind w:firstLine="1710"/>
      </w:pPr>
      <w:r w:rsidRPr="00B75B77">
        <w:t>Source: Navigant analysis of phone survey results</w:t>
      </w:r>
    </w:p>
    <w:p w:rsidR="00C93F8E" w:rsidRPr="00B75B77" w:rsidRDefault="00C93F8E" w:rsidP="0008153B">
      <w:pPr>
        <w:pStyle w:val="Caption"/>
        <w:ind w:left="720"/>
        <w:rPr>
          <w:color w:val="0070C0"/>
        </w:rPr>
      </w:pPr>
      <w:bookmarkStart w:id="624" w:name="_Ref463251361"/>
      <w:bookmarkStart w:id="625" w:name="_Toc466413685"/>
      <w:r w:rsidRPr="00B75B77">
        <w:t xml:space="preserve">Figure </w:t>
      </w:r>
      <w:fldSimple w:instr=" STYLEREF 1 \s ">
        <w:r w:rsidR="0004016D">
          <w:rPr>
            <w:noProof/>
          </w:rPr>
          <w:t>8</w:t>
        </w:r>
      </w:fldSimple>
      <w:r w:rsidR="00BA3BA9" w:rsidRPr="00B75B77">
        <w:noBreakHyphen/>
      </w:r>
      <w:fldSimple w:instr=" SEQ Figure \* ARABIC \s 1 ">
        <w:r w:rsidR="0004016D">
          <w:rPr>
            <w:noProof/>
          </w:rPr>
          <w:t>5</w:t>
        </w:r>
      </w:fldSimple>
      <w:bookmarkEnd w:id="624"/>
      <w:r w:rsidR="00557CA1" w:rsidRPr="00B75B77">
        <w:t>:</w:t>
      </w:r>
      <w:r w:rsidRPr="00B75B77">
        <w:t xml:space="preserve"> </w:t>
      </w:r>
      <w:r w:rsidR="000C1E59" w:rsidRPr="00B75B77">
        <w:t>Low-</w:t>
      </w:r>
      <w:r w:rsidRPr="00B75B77">
        <w:t xml:space="preserve">Income Energy Efficiency Program Do </w:t>
      </w:r>
      <w:r w:rsidR="0008153B" w:rsidRPr="00B75B77">
        <w:t>You Currently Have Any Incandescent Light Bulbs Installed</w:t>
      </w:r>
      <w:r w:rsidRPr="00B75B77">
        <w:t xml:space="preserve"> in </w:t>
      </w:r>
      <w:r w:rsidR="0008153B" w:rsidRPr="00B75B77">
        <w:t>Your Home</w:t>
      </w:r>
      <w:r w:rsidRPr="00B75B77">
        <w:t>? (n=14)</w:t>
      </w:r>
      <w:bookmarkEnd w:id="625"/>
    </w:p>
    <w:p w:rsidR="00C93F8E" w:rsidRPr="00B75B77" w:rsidRDefault="00C93F8E" w:rsidP="0008153B">
      <w:pPr>
        <w:pStyle w:val="ListParagraph"/>
        <w:jc w:val="center"/>
        <w:rPr>
          <w:color w:val="0070C0"/>
        </w:rPr>
      </w:pPr>
      <w:r w:rsidRPr="00B75B77">
        <w:rPr>
          <w:noProof/>
        </w:rPr>
        <w:drawing>
          <wp:inline distT="0" distB="0" distL="0" distR="0" wp14:anchorId="7997645F" wp14:editId="3FF29296">
            <wp:extent cx="3200400" cy="1778000"/>
            <wp:effectExtent l="0" t="0" r="0" b="0"/>
            <wp:docPr id="303" name="Chart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C93F8E" w:rsidRPr="00B75B77" w:rsidRDefault="00C93F8E" w:rsidP="0008153B">
      <w:pPr>
        <w:pStyle w:val="Source"/>
        <w:spacing w:after="120"/>
        <w:ind w:left="2520" w:firstLine="0"/>
      </w:pPr>
      <w:r w:rsidRPr="00B75B77">
        <w:t>Source: Navigant analysis of phone survey results</w:t>
      </w:r>
    </w:p>
    <w:p w:rsidR="00C93F8E" w:rsidRPr="00B75B77" w:rsidRDefault="00C93F8E" w:rsidP="0008153B">
      <w:pPr>
        <w:pStyle w:val="Caption"/>
        <w:ind w:left="720"/>
      </w:pPr>
      <w:bookmarkStart w:id="626" w:name="_Ref463212002"/>
      <w:bookmarkStart w:id="627" w:name="_Toc466413686"/>
      <w:r w:rsidRPr="00B75B77">
        <w:lastRenderedPageBreak/>
        <w:t xml:space="preserve">Figure </w:t>
      </w:r>
      <w:fldSimple w:instr=" STYLEREF 1 \s ">
        <w:r w:rsidR="0004016D">
          <w:rPr>
            <w:noProof/>
          </w:rPr>
          <w:t>8</w:t>
        </w:r>
      </w:fldSimple>
      <w:r w:rsidR="00BA3BA9" w:rsidRPr="00B75B77">
        <w:noBreakHyphen/>
      </w:r>
      <w:fldSimple w:instr=" SEQ Figure \* ARABIC \s 1 ">
        <w:r w:rsidR="0004016D">
          <w:rPr>
            <w:noProof/>
          </w:rPr>
          <w:t>6</w:t>
        </w:r>
      </w:fldSimple>
      <w:bookmarkEnd w:id="626"/>
      <w:r w:rsidR="00557CA1" w:rsidRPr="00B75B77">
        <w:t>:</w:t>
      </w:r>
      <w:r w:rsidRPr="00B75B77">
        <w:t xml:space="preserve"> </w:t>
      </w:r>
      <w:r w:rsidR="000C1E59" w:rsidRPr="00B75B77">
        <w:t>Low-</w:t>
      </w:r>
      <w:r w:rsidRPr="00B75B77">
        <w:t xml:space="preserve">Income Energy Efficiency Program: What </w:t>
      </w:r>
      <w:r w:rsidR="0008153B" w:rsidRPr="00B75B77">
        <w:t>Types of Bulbs Did You Replace When You Installed the Program Bulbs</w:t>
      </w:r>
      <w:r w:rsidRPr="00B75B77">
        <w:t>? (n=30)</w:t>
      </w:r>
      <w:bookmarkEnd w:id="627"/>
    </w:p>
    <w:p w:rsidR="00C93F8E" w:rsidRPr="00B75B77" w:rsidRDefault="00C93F8E" w:rsidP="0008153B">
      <w:pPr>
        <w:pStyle w:val="ListParagraph"/>
        <w:jc w:val="center"/>
      </w:pPr>
      <w:r w:rsidRPr="00B75B77">
        <w:rPr>
          <w:noProof/>
        </w:rPr>
        <w:drawing>
          <wp:inline distT="0" distB="0" distL="0" distR="0" wp14:anchorId="57EE6AEB" wp14:editId="70889ED2">
            <wp:extent cx="4398645" cy="2108200"/>
            <wp:effectExtent l="0" t="0" r="1905" b="6350"/>
            <wp:docPr id="304" name="Chart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C93F8E" w:rsidRPr="00B75B77" w:rsidRDefault="00C93F8E" w:rsidP="00557CA1">
      <w:pPr>
        <w:pStyle w:val="Source"/>
        <w:ind w:firstLine="1800"/>
      </w:pPr>
      <w:r w:rsidRPr="00B75B77">
        <w:t>Source: Navigant analysis of phone survey results</w:t>
      </w:r>
    </w:p>
    <w:p w:rsidR="00C93F8E" w:rsidRPr="00B75B77" w:rsidRDefault="00C93F8E" w:rsidP="009E08FB">
      <w:pPr>
        <w:pStyle w:val="ListParagraph"/>
        <w:numPr>
          <w:ilvl w:val="0"/>
          <w:numId w:val="81"/>
        </w:numPr>
        <w:spacing w:after="120"/>
        <w:contextualSpacing w:val="0"/>
        <w:rPr>
          <w:b/>
        </w:rPr>
      </w:pPr>
      <w:r w:rsidRPr="00B75B77">
        <w:rPr>
          <w:b/>
        </w:rPr>
        <w:t>Finding:</w:t>
      </w:r>
      <w:r w:rsidRPr="00B75B77">
        <w:t xml:space="preserve"> Overall, while participants who recalled the educational materials rated them as useful, the evaluation team found that the materials </w:t>
      </w:r>
      <w:r w:rsidR="003B277B" w:rsidRPr="00B75B77">
        <w:t xml:space="preserve">do not </w:t>
      </w:r>
      <w:r w:rsidRPr="00B75B77">
        <w:t>provide customers with prioritized next</w:t>
      </w:r>
      <w:r w:rsidR="00AF5657" w:rsidRPr="00B75B77">
        <w:t xml:space="preserve"> </w:t>
      </w:r>
      <w:r w:rsidRPr="00B75B77">
        <w:t xml:space="preserve">steps or a clear call to action. In addition, a majority of Component 3 survey respondents reported that they did not receive, or could not remember receiving, the materials. These same respondents were unaware of the LIURP program. </w:t>
      </w:r>
    </w:p>
    <w:p w:rsidR="00C93F8E" w:rsidRPr="00B75B77" w:rsidRDefault="00C93F8E" w:rsidP="009E08FB">
      <w:pPr>
        <w:pStyle w:val="ListParagraph"/>
        <w:numPr>
          <w:ilvl w:val="1"/>
          <w:numId w:val="81"/>
        </w:numPr>
        <w:spacing w:after="60"/>
        <w:contextualSpacing w:val="0"/>
        <w:rPr>
          <w:b/>
        </w:rPr>
      </w:pPr>
      <w:r w:rsidRPr="00B75B77">
        <w:rPr>
          <w:b/>
        </w:rPr>
        <w:t xml:space="preserve">Recommendation: </w:t>
      </w:r>
      <w:r w:rsidRPr="00B75B77">
        <w:t>PECO should consider developing targeted program materials that prioritize next steps for customers and guide customers to the most appropriate program component for services. Updated materials should be used to raise awareness of other program opportunities to reduce their energy consumption, particularly Component 3 participants.</w:t>
      </w:r>
    </w:p>
    <w:p w:rsidR="00C93F8E" w:rsidRPr="00B75B77" w:rsidRDefault="00C93F8E" w:rsidP="009E08FB">
      <w:pPr>
        <w:pStyle w:val="ListParagraph"/>
        <w:numPr>
          <w:ilvl w:val="0"/>
          <w:numId w:val="81"/>
        </w:numPr>
        <w:spacing w:after="120"/>
        <w:contextualSpacing w:val="0"/>
        <w:rPr>
          <w:b/>
        </w:rPr>
      </w:pPr>
      <w:r w:rsidRPr="00B75B77">
        <w:rPr>
          <w:b/>
        </w:rPr>
        <w:t>Finding:</w:t>
      </w:r>
      <w:r w:rsidRPr="00B75B77">
        <w:t xml:space="preserve"> LEEP comprehensive program (Components 1 and 2) outreach is targeted to PECO customers on the CAP rate tariff and eligible customers identified through customer service conversations. While LEEP is reaching some customers with critical needs (31% are on a payment plan for past due electric bills</w:t>
      </w:r>
      <w:r w:rsidR="003B277B" w:rsidRPr="00B75B77">
        <w:t>;</w:t>
      </w:r>
      <w:r w:rsidRPr="00B75B77">
        <w:t xml:space="preserve"> 8% have had their electricity shut off in the last year), defining customers through the CAP rate tariff alone has the potential to miss eligible customers. </w:t>
      </w:r>
    </w:p>
    <w:p w:rsidR="00C93F8E" w:rsidRPr="00B75B77" w:rsidRDefault="00C93F8E" w:rsidP="009E08FB">
      <w:pPr>
        <w:pStyle w:val="ListParagraph"/>
        <w:numPr>
          <w:ilvl w:val="1"/>
          <w:numId w:val="81"/>
        </w:numPr>
        <w:spacing w:after="60"/>
        <w:contextualSpacing w:val="0"/>
        <w:rPr>
          <w:b/>
        </w:rPr>
      </w:pPr>
      <w:r w:rsidRPr="00B75B77">
        <w:rPr>
          <w:b/>
        </w:rPr>
        <w:t>Recommendation:</w:t>
      </w:r>
      <w:r w:rsidRPr="00B75B77">
        <w:t xml:space="preserve"> Acquire and apply data on </w:t>
      </w:r>
      <w:r w:rsidR="007A3CB2" w:rsidRPr="00B75B77">
        <w:t>low-income</w:t>
      </w:r>
      <w:r w:rsidRPr="00B75B77">
        <w:t xml:space="preserve"> household characteristics; tailor future program implementation strategies to identify and meet the needs of eligible customers.</w:t>
      </w:r>
      <w:r w:rsidRPr="00B75B77" w:rsidDel="00E63E00">
        <w:t xml:space="preserve"> </w:t>
      </w:r>
    </w:p>
    <w:p w:rsidR="00C93F8E" w:rsidRPr="00B75B77" w:rsidRDefault="00C93F8E" w:rsidP="009E08FB">
      <w:pPr>
        <w:pStyle w:val="ListParagraph"/>
        <w:numPr>
          <w:ilvl w:val="0"/>
          <w:numId w:val="81"/>
        </w:numPr>
        <w:spacing w:after="120"/>
        <w:contextualSpacing w:val="0"/>
        <w:rPr>
          <w:b/>
          <w:color w:val="000000" w:themeColor="text1"/>
        </w:rPr>
      </w:pPr>
      <w:r w:rsidRPr="00B75B77">
        <w:rPr>
          <w:b/>
          <w:color w:val="000000" w:themeColor="text1"/>
        </w:rPr>
        <w:t>Finding</w:t>
      </w:r>
      <w:r w:rsidRPr="00B75B77">
        <w:rPr>
          <w:color w:val="000000" w:themeColor="text1"/>
        </w:rPr>
        <w:t xml:space="preserve">: Program educational materials are voluminous, dated and </w:t>
      </w:r>
      <w:r w:rsidR="003B277B" w:rsidRPr="00B75B77">
        <w:rPr>
          <w:color w:val="000000" w:themeColor="text1"/>
        </w:rPr>
        <w:t xml:space="preserve">do not </w:t>
      </w:r>
      <w:r w:rsidRPr="00B75B77">
        <w:rPr>
          <w:color w:val="000000" w:themeColor="text1"/>
        </w:rPr>
        <w:t xml:space="preserve">provide prioritized next steps. Component 3 participants are not consistently receiving educational materials, and those that do are not aware of PECO’s other programs to support </w:t>
      </w:r>
      <w:r w:rsidR="007A3CB2" w:rsidRPr="00B75B77">
        <w:rPr>
          <w:color w:val="000000" w:themeColor="text1"/>
        </w:rPr>
        <w:t>low-income</w:t>
      </w:r>
      <w:r w:rsidRPr="00B75B77">
        <w:rPr>
          <w:color w:val="000000" w:themeColor="text1"/>
        </w:rPr>
        <w:t xml:space="preserve"> customers. </w:t>
      </w:r>
    </w:p>
    <w:p w:rsidR="00C93F8E" w:rsidRPr="00B75B77" w:rsidRDefault="00C93F8E" w:rsidP="009E08FB">
      <w:pPr>
        <w:pStyle w:val="ListParagraph"/>
        <w:numPr>
          <w:ilvl w:val="1"/>
          <w:numId w:val="81"/>
        </w:numPr>
        <w:spacing w:after="60"/>
        <w:contextualSpacing w:val="0"/>
        <w:rPr>
          <w:b/>
          <w:color w:val="000000" w:themeColor="text1"/>
        </w:rPr>
      </w:pPr>
      <w:r w:rsidRPr="00B75B77">
        <w:rPr>
          <w:b/>
          <w:color w:val="000000" w:themeColor="text1"/>
        </w:rPr>
        <w:t xml:space="preserve">Recommendation: </w:t>
      </w:r>
      <w:r w:rsidRPr="00B75B77">
        <w:rPr>
          <w:color w:val="000000" w:themeColor="text1"/>
        </w:rPr>
        <w:t>Develop targeted program materials that prioritize next steps and direct customers to the most appropriate program component</w:t>
      </w:r>
      <w:r w:rsidRPr="00B75B77">
        <w:rPr>
          <w:b/>
          <w:i/>
          <w:color w:val="000000" w:themeColor="text1"/>
        </w:rPr>
        <w:t>.</w:t>
      </w:r>
    </w:p>
    <w:p w:rsidR="00C93F8E" w:rsidRPr="00B75B77" w:rsidRDefault="00C93F8E" w:rsidP="009E08FB">
      <w:pPr>
        <w:pStyle w:val="ListParagraph"/>
        <w:numPr>
          <w:ilvl w:val="0"/>
          <w:numId w:val="81"/>
        </w:numPr>
        <w:spacing w:after="120"/>
        <w:contextualSpacing w:val="0"/>
        <w:rPr>
          <w:b/>
          <w:color w:val="000000" w:themeColor="text1"/>
        </w:rPr>
      </w:pPr>
      <w:r w:rsidRPr="00B75B77">
        <w:rPr>
          <w:b/>
          <w:color w:val="000000" w:themeColor="text1"/>
        </w:rPr>
        <w:t xml:space="preserve">Finding: </w:t>
      </w:r>
      <w:r w:rsidRPr="00B75B77">
        <w:rPr>
          <w:color w:val="000000" w:themeColor="text1"/>
        </w:rPr>
        <w:t>The majority of LEEP customers (55%) are served through Component 3 (free CFL giveaways); 76% of total LEEP program savings is through the distribution and installation of CFLs. Most LEEP participants are not benefiting from comprehensive savings.</w:t>
      </w:r>
    </w:p>
    <w:p w:rsidR="00C93F8E" w:rsidRPr="00B75B77" w:rsidRDefault="00C93F8E" w:rsidP="009E08FB">
      <w:pPr>
        <w:pStyle w:val="ListParagraph"/>
        <w:numPr>
          <w:ilvl w:val="1"/>
          <w:numId w:val="81"/>
        </w:numPr>
        <w:spacing w:after="60"/>
        <w:contextualSpacing w:val="0"/>
        <w:rPr>
          <w:b/>
          <w:color w:val="000000" w:themeColor="text1"/>
        </w:rPr>
      </w:pPr>
      <w:r w:rsidRPr="00B75B77">
        <w:rPr>
          <w:b/>
          <w:color w:val="000000" w:themeColor="text1"/>
        </w:rPr>
        <w:t xml:space="preserve">Recommendation: </w:t>
      </w:r>
      <w:r w:rsidRPr="00B75B77">
        <w:rPr>
          <w:color w:val="000000" w:themeColor="text1"/>
        </w:rPr>
        <w:t>Increase number of customers benefiting from comprehensive program measures.</w:t>
      </w:r>
    </w:p>
    <w:p w:rsidR="00C93F8E" w:rsidRPr="00B75B77" w:rsidRDefault="00C93F8E" w:rsidP="009E08FB">
      <w:pPr>
        <w:pStyle w:val="ListParagraph"/>
        <w:numPr>
          <w:ilvl w:val="0"/>
          <w:numId w:val="81"/>
        </w:numPr>
        <w:tabs>
          <w:tab w:val="left" w:pos="720"/>
        </w:tabs>
        <w:spacing w:after="120"/>
        <w:contextualSpacing w:val="0"/>
        <w:rPr>
          <w:b/>
          <w:color w:val="000000" w:themeColor="text1"/>
        </w:rPr>
      </w:pPr>
      <w:r w:rsidRPr="00B75B77">
        <w:rPr>
          <w:b/>
          <w:color w:val="000000" w:themeColor="text1"/>
        </w:rPr>
        <w:lastRenderedPageBreak/>
        <w:t>Finding</w:t>
      </w:r>
      <w:r w:rsidRPr="00B75B77">
        <w:rPr>
          <w:color w:val="000000" w:themeColor="text1"/>
        </w:rPr>
        <w:t>: Program outreach activities are targeted at PECO customers participating in the CAP rate tariff; LEEP is not aware of potential customers outside of the CAP rate tariff.</w:t>
      </w:r>
      <w:r w:rsidRPr="00B75B77">
        <w:rPr>
          <w:rFonts w:eastAsiaTheme="minorEastAsia" w:hAnsi="Arial" w:cstheme="minorBidi"/>
          <w:color w:val="000000" w:themeColor="text1"/>
          <w:kern w:val="24"/>
        </w:rPr>
        <w:t xml:space="preserve"> </w:t>
      </w:r>
      <w:r w:rsidRPr="00B75B77">
        <w:rPr>
          <w:color w:val="000000" w:themeColor="text1"/>
        </w:rPr>
        <w:t>Researching and characterizing PECO’s non</w:t>
      </w:r>
      <w:r w:rsidR="00AF5657" w:rsidRPr="00B75B77">
        <w:rPr>
          <w:color w:val="000000" w:themeColor="text1"/>
        </w:rPr>
        <w:t>participating</w:t>
      </w:r>
      <w:r w:rsidRPr="00B75B77">
        <w:rPr>
          <w:color w:val="000000" w:themeColor="text1"/>
        </w:rPr>
        <w:t xml:space="preserve"> </w:t>
      </w:r>
      <w:r w:rsidR="007A3CB2" w:rsidRPr="00B75B77">
        <w:rPr>
          <w:color w:val="000000" w:themeColor="text1"/>
        </w:rPr>
        <w:t>low-income</w:t>
      </w:r>
      <w:r w:rsidRPr="00B75B77">
        <w:rPr>
          <w:color w:val="000000" w:themeColor="text1"/>
        </w:rPr>
        <w:t xml:space="preserve"> households will </w:t>
      </w:r>
      <w:r w:rsidR="000A5BE2" w:rsidRPr="00B75B77">
        <w:rPr>
          <w:color w:val="000000" w:themeColor="text1"/>
        </w:rPr>
        <w:t>enable</w:t>
      </w:r>
      <w:r w:rsidRPr="00B75B77">
        <w:rPr>
          <w:color w:val="000000" w:themeColor="text1"/>
        </w:rPr>
        <w:t xml:space="preserve"> PECO to reach out and serve all eligible customers.</w:t>
      </w:r>
    </w:p>
    <w:p w:rsidR="00C93F8E" w:rsidRPr="00B75B77" w:rsidRDefault="00C93F8E" w:rsidP="009E08FB">
      <w:pPr>
        <w:pStyle w:val="ListParagraph"/>
        <w:numPr>
          <w:ilvl w:val="1"/>
          <w:numId w:val="81"/>
        </w:numPr>
        <w:spacing w:after="60"/>
        <w:contextualSpacing w:val="0"/>
        <w:rPr>
          <w:b/>
          <w:color w:val="000000" w:themeColor="text1"/>
        </w:rPr>
      </w:pPr>
      <w:r w:rsidRPr="00B75B77">
        <w:rPr>
          <w:b/>
          <w:color w:val="000000" w:themeColor="text1"/>
        </w:rPr>
        <w:t xml:space="preserve">Recommendation: </w:t>
      </w:r>
      <w:r w:rsidRPr="00B75B77">
        <w:rPr>
          <w:color w:val="000000" w:themeColor="text1"/>
        </w:rPr>
        <w:t xml:space="preserve">Acquire and apply data on </w:t>
      </w:r>
      <w:r w:rsidR="007A3CB2" w:rsidRPr="00B75B77">
        <w:rPr>
          <w:color w:val="000000" w:themeColor="text1"/>
        </w:rPr>
        <w:t>low-income</w:t>
      </w:r>
      <w:r w:rsidRPr="00B75B77">
        <w:rPr>
          <w:color w:val="000000" w:themeColor="text1"/>
        </w:rPr>
        <w:t xml:space="preserve"> household characteristics; tailor future program outreach and implementation strategies to overcome participant barriers and meet the needs of identified eligible customers.</w:t>
      </w:r>
    </w:p>
    <w:p w:rsidR="00C93F8E" w:rsidRPr="00B75B77" w:rsidRDefault="00C93F8E" w:rsidP="00BB039B"/>
    <w:p w:rsidR="00C93F8E" w:rsidRPr="00B75B77" w:rsidRDefault="00C93F8E" w:rsidP="003E6A9B">
      <w:pPr>
        <w:pStyle w:val="Heading2"/>
      </w:pPr>
      <w:bookmarkStart w:id="628" w:name="_Toc466413370"/>
      <w:r w:rsidRPr="00B75B77">
        <w:t>Status of Recommendations for Program</w:t>
      </w:r>
      <w:bookmarkEnd w:id="628"/>
    </w:p>
    <w:p w:rsidR="00C93F8E" w:rsidRPr="00B75B77" w:rsidRDefault="00C93F8E" w:rsidP="00BB039B">
      <w:r w:rsidRPr="00B75B77">
        <w:fldChar w:fldCharType="begin"/>
      </w:r>
      <w:r w:rsidRPr="00B75B77">
        <w:instrText xml:space="preserve"> REF _Ref463249320 \h  \* MERGEFORMAT </w:instrText>
      </w:r>
      <w:r w:rsidRPr="00B75B77">
        <w:fldChar w:fldCharType="separate"/>
      </w:r>
      <w:r w:rsidR="0004016D" w:rsidRPr="00B75B77">
        <w:t xml:space="preserve">Table </w:t>
      </w:r>
      <w:r w:rsidR="0004016D">
        <w:t>8</w:t>
      </w:r>
      <w:r w:rsidR="0004016D" w:rsidRPr="00B75B77">
        <w:noBreakHyphen/>
      </w:r>
      <w:r w:rsidR="0004016D">
        <w:t>10</w:t>
      </w:r>
      <w:r w:rsidRPr="00B75B77">
        <w:fldChar w:fldCharType="end"/>
      </w:r>
      <w:r w:rsidRPr="00B75B77">
        <w:t xml:space="preserve"> summarizes Navigant’s recommendations and their current status.</w:t>
      </w:r>
    </w:p>
    <w:p w:rsidR="00C93F8E" w:rsidRPr="00B75B77" w:rsidRDefault="00C93F8E" w:rsidP="0004543D"/>
    <w:p w:rsidR="00C93F8E" w:rsidRPr="00B75B77" w:rsidRDefault="00C93F8E" w:rsidP="00557CA1">
      <w:pPr>
        <w:pStyle w:val="Caption"/>
      </w:pPr>
      <w:bookmarkStart w:id="629" w:name="_Ref463249320"/>
      <w:bookmarkStart w:id="630" w:name="_Toc466413574"/>
      <w:r w:rsidRPr="00B75B77">
        <w:t xml:space="preserve">Table </w:t>
      </w:r>
      <w:fldSimple w:instr=" STYLEREF 1 \s ">
        <w:r w:rsidR="0004016D">
          <w:rPr>
            <w:noProof/>
          </w:rPr>
          <w:t>8</w:t>
        </w:r>
      </w:fldSimple>
      <w:r w:rsidR="00F1144C" w:rsidRPr="00B75B77">
        <w:noBreakHyphen/>
      </w:r>
      <w:fldSimple w:instr=" SEQ Table \* ARABIC \s 1 ">
        <w:r w:rsidR="0004016D">
          <w:rPr>
            <w:noProof/>
          </w:rPr>
          <w:t>10</w:t>
        </w:r>
      </w:fldSimple>
      <w:bookmarkEnd w:id="629"/>
      <w:r w:rsidR="000C1E59" w:rsidRPr="00B75B77">
        <w:t>: Low-</w:t>
      </w:r>
      <w:r w:rsidRPr="00B75B77">
        <w:t>Income Energy Efficiency Program Status Report on Process and Impact Recommendations</w:t>
      </w:r>
      <w:bookmarkEnd w:id="630"/>
      <w:r w:rsidRPr="00B75B77">
        <w:t xml:space="preserve"> </w:t>
      </w:r>
    </w:p>
    <w:tbl>
      <w:tblPr>
        <w:tblStyle w:val="MediumShading1-Accent5"/>
        <w:tblW w:w="936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4680"/>
        <w:gridCol w:w="4680"/>
      </w:tblGrid>
      <w:tr w:rsidR="00C93F8E" w:rsidRPr="00B75B77" w:rsidTr="00540987">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auto"/>
              <w:left w:val="single" w:sz="4" w:space="0" w:color="auto"/>
              <w:bottom w:val="single" w:sz="4" w:space="0" w:color="auto"/>
              <w:right w:val="single" w:sz="4" w:space="0" w:color="auto"/>
            </w:tcBorders>
            <w:shd w:val="clear" w:color="auto" w:fill="448A99"/>
            <w:vAlign w:val="center"/>
            <w:hideMark/>
          </w:tcPr>
          <w:p w:rsidR="00C93F8E" w:rsidRPr="00B75B77" w:rsidRDefault="00C93F8E" w:rsidP="00557CA1">
            <w:pPr>
              <w:keepNext/>
              <w:jc w:val="left"/>
              <w:rPr>
                <w:rFonts w:ascii="Calibri" w:eastAsia="Times New Roman" w:hAnsi="Calibri"/>
                <w:bCs w:val="0"/>
                <w:sz w:val="18"/>
              </w:rPr>
            </w:pPr>
            <w:r w:rsidRPr="00B75B77">
              <w:rPr>
                <w:rFonts w:ascii="Calibri" w:eastAsia="Times New Roman" w:hAnsi="Calibri"/>
                <w:bCs w:val="0"/>
                <w:sz w:val="18"/>
              </w:rPr>
              <w:t>Recommendations</w:t>
            </w:r>
          </w:p>
        </w:tc>
        <w:tc>
          <w:tcPr>
            <w:tcW w:w="4680" w:type="dxa"/>
            <w:tcBorders>
              <w:top w:val="single" w:sz="4" w:space="0" w:color="auto"/>
              <w:left w:val="single" w:sz="4" w:space="0" w:color="auto"/>
              <w:bottom w:val="single" w:sz="4" w:space="0" w:color="auto"/>
              <w:right w:val="single" w:sz="4" w:space="0" w:color="auto"/>
            </w:tcBorders>
            <w:shd w:val="clear" w:color="auto" w:fill="448A99"/>
            <w:vAlign w:val="center"/>
            <w:hideMark/>
          </w:tcPr>
          <w:p w:rsidR="00C93F8E" w:rsidRPr="00B75B77" w:rsidRDefault="00C93F8E" w:rsidP="00557CA1">
            <w:pPr>
              <w:keepNext/>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rPr>
            </w:pPr>
            <w:r w:rsidRPr="00B75B77">
              <w:rPr>
                <w:rFonts w:ascii="Calibri" w:eastAsia="Times New Roman" w:hAnsi="Calibri"/>
                <w:bCs w:val="0"/>
                <w:sz w:val="18"/>
              </w:rPr>
              <w:t>EDC Status of Recommendation (Implemented, Being Considered, Rejected</w:t>
            </w:r>
            <w:r w:rsidR="003B277B" w:rsidRPr="00B75B77">
              <w:rPr>
                <w:rFonts w:ascii="Calibri" w:eastAsia="Times New Roman" w:hAnsi="Calibri"/>
                <w:bCs w:val="0"/>
                <w:sz w:val="18"/>
              </w:rPr>
              <w:t>,</w:t>
            </w:r>
            <w:r w:rsidRPr="00B75B77">
              <w:rPr>
                <w:rFonts w:ascii="Calibri" w:eastAsia="Times New Roman" w:hAnsi="Calibri"/>
                <w:bCs w:val="0"/>
                <w:sz w:val="18"/>
              </w:rPr>
              <w:t xml:space="preserve"> AND Explanation of Action Taken by EDC)</w:t>
            </w:r>
          </w:p>
        </w:tc>
      </w:tr>
      <w:tr w:rsidR="00C93F8E" w:rsidRPr="00B75B77" w:rsidTr="003B277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auto"/>
              <w:left w:val="single" w:sz="4" w:space="0" w:color="448A99"/>
              <w:bottom w:val="single" w:sz="4" w:space="0" w:color="448A99"/>
              <w:right w:val="single" w:sz="4" w:space="0" w:color="448A99"/>
            </w:tcBorders>
            <w:noWrap/>
            <w:vAlign w:val="center"/>
            <w:hideMark/>
          </w:tcPr>
          <w:p w:rsidR="00C93F8E" w:rsidRPr="00B75B77" w:rsidRDefault="00C93F8E" w:rsidP="00557CA1">
            <w:pPr>
              <w:keepNext/>
              <w:jc w:val="left"/>
              <w:rPr>
                <w:rFonts w:ascii="Calibri" w:eastAsia="Times New Roman" w:hAnsi="Calibri"/>
                <w:color w:val="000000"/>
                <w:sz w:val="18"/>
              </w:rPr>
            </w:pPr>
            <w:r w:rsidRPr="00B75B77">
              <w:rPr>
                <w:rFonts w:ascii="Calibri" w:eastAsia="Times New Roman" w:hAnsi="Calibri"/>
                <w:color w:val="000000"/>
                <w:sz w:val="18"/>
              </w:rPr>
              <w:t>Recommendation 1</w:t>
            </w:r>
            <w:r w:rsidR="00EB5298" w:rsidRPr="00B75B77">
              <w:rPr>
                <w:rFonts w:ascii="Calibri" w:eastAsia="Times New Roman" w:hAnsi="Calibri"/>
                <w:color w:val="000000"/>
                <w:sz w:val="18"/>
              </w:rPr>
              <w:t>:</w:t>
            </w:r>
            <w:r w:rsidRPr="00B75B77">
              <w:rPr>
                <w:b w:val="0"/>
                <w:bCs w:val="0"/>
              </w:rPr>
              <w:t xml:space="preserve"> </w:t>
            </w:r>
            <w:r w:rsidRPr="00B75B77">
              <w:rPr>
                <w:rFonts w:ascii="Calibri" w:eastAsia="Times New Roman" w:hAnsi="Calibri"/>
                <w:b w:val="0"/>
                <w:color w:val="000000"/>
                <w:sz w:val="18"/>
              </w:rPr>
              <w:t xml:space="preserve">Collect existing refrigerator data from participants and use the PY8 IMP to estimate </w:t>
            </w:r>
            <w:r w:rsidR="007A3CB2" w:rsidRPr="00B75B77">
              <w:rPr>
                <w:rFonts w:ascii="Calibri" w:eastAsia="Times New Roman" w:hAnsi="Calibri"/>
                <w:b w:val="0"/>
                <w:color w:val="000000"/>
                <w:sz w:val="18"/>
              </w:rPr>
              <w:t xml:space="preserve">ex </w:t>
            </w:r>
            <w:r w:rsidRPr="00B75B77">
              <w:rPr>
                <w:rFonts w:ascii="Calibri" w:eastAsia="Times New Roman" w:hAnsi="Calibri"/>
                <w:b w:val="0"/>
                <w:color w:val="000000"/>
                <w:sz w:val="18"/>
              </w:rPr>
              <w:t>ante refrigerator savings.</w:t>
            </w:r>
          </w:p>
        </w:tc>
        <w:tc>
          <w:tcPr>
            <w:tcW w:w="4680" w:type="dxa"/>
            <w:tcBorders>
              <w:top w:val="single" w:sz="4" w:space="0" w:color="auto"/>
              <w:left w:val="single" w:sz="4" w:space="0" w:color="448A99"/>
              <w:bottom w:val="single" w:sz="4" w:space="0" w:color="448A99"/>
              <w:right w:val="single" w:sz="4" w:space="0" w:color="448A99"/>
            </w:tcBorders>
            <w:noWrap/>
            <w:vAlign w:val="center"/>
            <w:hideMark/>
          </w:tcPr>
          <w:p w:rsidR="00C93F8E" w:rsidRPr="00B75B77" w:rsidRDefault="00804915" w:rsidP="00557CA1">
            <w:pPr>
              <w:keepNext/>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rPr>
            </w:pPr>
            <w:r w:rsidRPr="00B75B77">
              <w:rPr>
                <w:rFonts w:ascii="Calibri" w:eastAsia="Times New Roman" w:hAnsi="Calibri"/>
                <w:b/>
                <w:color w:val="000000"/>
                <w:sz w:val="18"/>
              </w:rPr>
              <w:t>Implemented:</w:t>
            </w:r>
            <w:r w:rsidRPr="00B75B77">
              <w:rPr>
                <w:rFonts w:ascii="Calibri" w:eastAsia="Times New Roman" w:hAnsi="Calibri"/>
                <w:color w:val="000000"/>
                <w:sz w:val="18"/>
              </w:rPr>
              <w:t xml:space="preserve"> PECO’s CSP is collecting existing refrigerator data and using the PY8 IMP to estimate ex ante refrigerator savings.</w:t>
            </w:r>
          </w:p>
        </w:tc>
      </w:tr>
      <w:tr w:rsidR="00C93F8E" w:rsidRPr="00B75B77" w:rsidTr="003B277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448A99"/>
              <w:left w:val="single" w:sz="4" w:space="0" w:color="448A99"/>
              <w:bottom w:val="single" w:sz="4" w:space="0" w:color="448A99"/>
              <w:right w:val="single" w:sz="4" w:space="0" w:color="448A99"/>
            </w:tcBorders>
            <w:noWrap/>
            <w:vAlign w:val="center"/>
            <w:hideMark/>
          </w:tcPr>
          <w:p w:rsidR="00C93F8E" w:rsidRPr="00B75B77" w:rsidRDefault="00C93F8E" w:rsidP="00557CA1">
            <w:pPr>
              <w:keepNext/>
              <w:jc w:val="left"/>
              <w:rPr>
                <w:rFonts w:ascii="Calibri" w:eastAsia="Times New Roman" w:hAnsi="Calibri"/>
                <w:b w:val="0"/>
                <w:color w:val="000000"/>
                <w:sz w:val="18"/>
              </w:rPr>
            </w:pPr>
            <w:r w:rsidRPr="00B75B77">
              <w:rPr>
                <w:rFonts w:ascii="Calibri" w:eastAsia="Times New Roman" w:hAnsi="Calibri"/>
                <w:color w:val="000000"/>
                <w:sz w:val="18"/>
              </w:rPr>
              <w:t>Recommendation 2</w:t>
            </w:r>
            <w:r w:rsidR="00EB5298" w:rsidRPr="00B75B77">
              <w:rPr>
                <w:rFonts w:ascii="Calibri" w:eastAsia="Times New Roman" w:hAnsi="Calibri"/>
                <w:color w:val="000000"/>
                <w:sz w:val="18"/>
              </w:rPr>
              <w:t>:</w:t>
            </w:r>
            <w:r w:rsidRPr="00B75B77">
              <w:rPr>
                <w:rFonts w:ascii="Calibri" w:eastAsia="Times New Roman" w:hAnsi="Calibri"/>
                <w:color w:val="000000"/>
                <w:sz w:val="18"/>
              </w:rPr>
              <w:t xml:space="preserve"> </w:t>
            </w:r>
            <w:r w:rsidRPr="00B75B77">
              <w:rPr>
                <w:rFonts w:ascii="Calibri" w:eastAsia="Times New Roman" w:hAnsi="Calibri"/>
                <w:b w:val="0"/>
                <w:color w:val="000000"/>
                <w:sz w:val="18"/>
              </w:rPr>
              <w:t>Ensure schedule expectations are clear and applied consistently across customers; consider follow-up with customers to encourage further action.</w:t>
            </w:r>
          </w:p>
        </w:tc>
        <w:tc>
          <w:tcPr>
            <w:tcW w:w="4680" w:type="dxa"/>
            <w:tcBorders>
              <w:top w:val="single" w:sz="4" w:space="0" w:color="448A99"/>
              <w:left w:val="single" w:sz="4" w:space="0" w:color="448A99"/>
              <w:bottom w:val="single" w:sz="4" w:space="0" w:color="448A99"/>
              <w:right w:val="single" w:sz="4" w:space="0" w:color="448A99"/>
            </w:tcBorders>
            <w:noWrap/>
            <w:vAlign w:val="center"/>
            <w:hideMark/>
          </w:tcPr>
          <w:p w:rsidR="00C93F8E" w:rsidRPr="00B75B77" w:rsidRDefault="00804915" w:rsidP="00804915">
            <w:pPr>
              <w:keepNext/>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rPr>
            </w:pPr>
            <w:r w:rsidRPr="00B75B77">
              <w:rPr>
                <w:rFonts w:ascii="Calibri" w:eastAsia="Times New Roman" w:hAnsi="Calibri"/>
                <w:b/>
                <w:color w:val="000000"/>
                <w:sz w:val="18"/>
              </w:rPr>
              <w:t>Implemented:</w:t>
            </w:r>
            <w:r w:rsidRPr="00B75B77">
              <w:rPr>
                <w:rFonts w:ascii="Calibri" w:eastAsia="Times New Roman" w:hAnsi="Calibri"/>
                <w:color w:val="000000"/>
                <w:sz w:val="18"/>
              </w:rPr>
              <w:t xml:space="preserve"> PECO is working with the CSP to ensure schedule expectations are clear and encouraging further actions by following up with customers.</w:t>
            </w:r>
          </w:p>
        </w:tc>
      </w:tr>
      <w:tr w:rsidR="00C93F8E" w:rsidRPr="00B75B77" w:rsidTr="003B277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448A99"/>
              <w:left w:val="single" w:sz="4" w:space="0" w:color="448A99"/>
              <w:bottom w:val="single" w:sz="4" w:space="0" w:color="448A99"/>
              <w:right w:val="single" w:sz="4" w:space="0" w:color="448A99"/>
            </w:tcBorders>
            <w:noWrap/>
            <w:vAlign w:val="center"/>
            <w:hideMark/>
          </w:tcPr>
          <w:p w:rsidR="00C93F8E" w:rsidRPr="00B75B77" w:rsidRDefault="00C93F8E" w:rsidP="00557CA1">
            <w:pPr>
              <w:keepNext/>
              <w:jc w:val="left"/>
              <w:rPr>
                <w:rFonts w:ascii="Calibri" w:eastAsia="Times New Roman" w:hAnsi="Calibri"/>
                <w:color w:val="000000"/>
                <w:sz w:val="18"/>
              </w:rPr>
            </w:pPr>
            <w:r w:rsidRPr="00B75B77">
              <w:rPr>
                <w:rFonts w:ascii="Calibri" w:eastAsia="Times New Roman" w:hAnsi="Calibri"/>
                <w:color w:val="000000"/>
                <w:sz w:val="18"/>
              </w:rPr>
              <w:t>Recommendation 3</w:t>
            </w:r>
            <w:r w:rsidR="00EB5298" w:rsidRPr="00B75B77">
              <w:rPr>
                <w:rFonts w:ascii="Calibri" w:eastAsia="Times New Roman" w:hAnsi="Calibri"/>
                <w:color w:val="000000"/>
                <w:sz w:val="18"/>
              </w:rPr>
              <w:t>:</w:t>
            </w:r>
            <w:r w:rsidRPr="00B75B77">
              <w:rPr>
                <w:rFonts w:ascii="Calibri" w:eastAsia="Times New Roman" w:hAnsi="Calibri"/>
                <w:b w:val="0"/>
                <w:color w:val="000000"/>
                <w:sz w:val="18"/>
              </w:rPr>
              <w:t xml:space="preserve"> Shift to LEDs only; target distribution of free bulbs to households with incandescent bulbs.</w:t>
            </w:r>
          </w:p>
        </w:tc>
        <w:tc>
          <w:tcPr>
            <w:tcW w:w="4680" w:type="dxa"/>
            <w:tcBorders>
              <w:top w:val="single" w:sz="4" w:space="0" w:color="448A99"/>
              <w:left w:val="single" w:sz="4" w:space="0" w:color="448A99"/>
              <w:bottom w:val="single" w:sz="4" w:space="0" w:color="448A99"/>
              <w:right w:val="single" w:sz="4" w:space="0" w:color="448A99"/>
            </w:tcBorders>
            <w:noWrap/>
            <w:vAlign w:val="center"/>
            <w:hideMark/>
          </w:tcPr>
          <w:p w:rsidR="00C93F8E" w:rsidRPr="00B75B77" w:rsidRDefault="00804915" w:rsidP="00804915">
            <w:pPr>
              <w:keepNext/>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18"/>
              </w:rPr>
            </w:pPr>
            <w:r w:rsidRPr="00B75B77">
              <w:rPr>
                <w:rFonts w:ascii="Calibri" w:eastAsia="Times New Roman" w:hAnsi="Calibri"/>
                <w:b/>
                <w:color w:val="000000"/>
                <w:sz w:val="18"/>
              </w:rPr>
              <w:t>Being Considered</w:t>
            </w:r>
          </w:p>
        </w:tc>
      </w:tr>
      <w:tr w:rsidR="00C93F8E" w:rsidRPr="00B75B77" w:rsidTr="003B277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448A99"/>
              <w:left w:val="single" w:sz="4" w:space="0" w:color="448A99"/>
              <w:bottom w:val="single" w:sz="4" w:space="0" w:color="448A99"/>
              <w:right w:val="single" w:sz="4" w:space="0" w:color="448A99"/>
            </w:tcBorders>
            <w:noWrap/>
            <w:vAlign w:val="center"/>
          </w:tcPr>
          <w:p w:rsidR="00C93F8E" w:rsidRPr="00B75B77" w:rsidRDefault="00C93F8E" w:rsidP="00557CA1">
            <w:pPr>
              <w:keepNext/>
              <w:jc w:val="left"/>
              <w:rPr>
                <w:rFonts w:ascii="Calibri" w:eastAsia="Times New Roman" w:hAnsi="Calibri"/>
                <w:color w:val="000000"/>
                <w:sz w:val="18"/>
              </w:rPr>
            </w:pPr>
            <w:r w:rsidRPr="00B75B77">
              <w:rPr>
                <w:rFonts w:ascii="Calibri" w:eastAsia="Times New Roman" w:hAnsi="Calibri"/>
                <w:color w:val="000000"/>
                <w:sz w:val="18"/>
              </w:rPr>
              <w:t>Recommendation 4</w:t>
            </w:r>
            <w:r w:rsidR="00EB5298" w:rsidRPr="00B75B77">
              <w:rPr>
                <w:rFonts w:ascii="Calibri" w:eastAsia="Times New Roman" w:hAnsi="Calibri"/>
                <w:color w:val="000000"/>
                <w:sz w:val="18"/>
              </w:rPr>
              <w:t>:</w:t>
            </w:r>
            <w:r w:rsidRPr="00B75B77">
              <w:rPr>
                <w:rFonts w:ascii="Calibri" w:eastAsia="Times New Roman" w:hAnsi="Calibri"/>
                <w:color w:val="000000"/>
                <w:sz w:val="18"/>
              </w:rPr>
              <w:t xml:space="preserve"> </w:t>
            </w:r>
            <w:r w:rsidRPr="00B75B77">
              <w:rPr>
                <w:rFonts w:ascii="Calibri" w:eastAsia="Times New Roman" w:hAnsi="Calibri"/>
                <w:b w:val="0"/>
                <w:color w:val="000000"/>
                <w:sz w:val="18"/>
              </w:rPr>
              <w:t>Develop targeted program materials that prioritize next steps and guide customers to the most appropriate program component.</w:t>
            </w:r>
          </w:p>
        </w:tc>
        <w:tc>
          <w:tcPr>
            <w:tcW w:w="4680" w:type="dxa"/>
            <w:tcBorders>
              <w:top w:val="single" w:sz="4" w:space="0" w:color="448A99"/>
              <w:left w:val="single" w:sz="4" w:space="0" w:color="448A99"/>
              <w:bottom w:val="single" w:sz="4" w:space="0" w:color="448A99"/>
              <w:right w:val="single" w:sz="4" w:space="0" w:color="448A99"/>
            </w:tcBorders>
            <w:noWrap/>
            <w:vAlign w:val="center"/>
          </w:tcPr>
          <w:p w:rsidR="00C93F8E" w:rsidRPr="00B75B77" w:rsidRDefault="00804915" w:rsidP="00804915">
            <w:pPr>
              <w:keepNext/>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rPr>
            </w:pPr>
            <w:r w:rsidRPr="00B75B77">
              <w:rPr>
                <w:rFonts w:ascii="Calibri" w:eastAsia="Times New Roman" w:hAnsi="Calibri"/>
                <w:b/>
                <w:color w:val="000000"/>
                <w:sz w:val="18"/>
              </w:rPr>
              <w:t xml:space="preserve">Implemented: </w:t>
            </w:r>
            <w:r w:rsidRPr="00B75B77">
              <w:rPr>
                <w:rFonts w:ascii="Calibri" w:eastAsia="Times New Roman" w:hAnsi="Calibri"/>
                <w:color w:val="000000"/>
                <w:sz w:val="18"/>
              </w:rPr>
              <w:t>PECO is working with a Marketing firm to enhance current program materials, which would include next steps and guide customers to other programs.</w:t>
            </w:r>
          </w:p>
        </w:tc>
      </w:tr>
      <w:tr w:rsidR="00C93F8E" w:rsidRPr="00B75B77" w:rsidTr="003B277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448A99"/>
              <w:left w:val="single" w:sz="4" w:space="0" w:color="448A99"/>
              <w:bottom w:val="single" w:sz="4" w:space="0" w:color="448A99"/>
              <w:right w:val="single" w:sz="4" w:space="0" w:color="448A99"/>
            </w:tcBorders>
            <w:noWrap/>
            <w:vAlign w:val="center"/>
          </w:tcPr>
          <w:p w:rsidR="00C93F8E" w:rsidRPr="00B75B77" w:rsidRDefault="00C93F8E" w:rsidP="00557CA1">
            <w:pPr>
              <w:keepNext/>
              <w:jc w:val="left"/>
              <w:rPr>
                <w:rFonts w:ascii="Calibri" w:eastAsia="Times New Roman" w:hAnsi="Calibri"/>
                <w:color w:val="000000"/>
                <w:sz w:val="18"/>
              </w:rPr>
            </w:pPr>
            <w:r w:rsidRPr="00B75B77">
              <w:rPr>
                <w:rFonts w:ascii="Calibri" w:eastAsia="Times New Roman" w:hAnsi="Calibri"/>
                <w:color w:val="000000"/>
                <w:sz w:val="18"/>
              </w:rPr>
              <w:t>Recommendation 5</w:t>
            </w:r>
            <w:r w:rsidR="00EB5298" w:rsidRPr="00B75B77">
              <w:rPr>
                <w:rFonts w:ascii="Calibri" w:eastAsia="Times New Roman" w:hAnsi="Calibri"/>
                <w:color w:val="000000"/>
                <w:sz w:val="18"/>
              </w:rPr>
              <w:t>:</w:t>
            </w:r>
            <w:r w:rsidRPr="00B75B77">
              <w:rPr>
                <w:rFonts w:ascii="Calibri" w:eastAsia="Times New Roman" w:hAnsi="Calibri"/>
                <w:color w:val="000000"/>
                <w:sz w:val="18"/>
              </w:rPr>
              <w:t xml:space="preserve"> </w:t>
            </w:r>
            <w:r w:rsidRPr="00B75B77">
              <w:rPr>
                <w:rFonts w:ascii="Calibri" w:eastAsia="Times New Roman" w:hAnsi="Calibri"/>
                <w:b w:val="0"/>
                <w:color w:val="000000"/>
                <w:sz w:val="18"/>
              </w:rPr>
              <w:t>Increase number of customers benefiting from comprehensive program measures.</w:t>
            </w:r>
          </w:p>
        </w:tc>
        <w:tc>
          <w:tcPr>
            <w:tcW w:w="4680" w:type="dxa"/>
            <w:tcBorders>
              <w:top w:val="single" w:sz="4" w:space="0" w:color="448A99"/>
              <w:left w:val="single" w:sz="4" w:space="0" w:color="448A99"/>
              <w:bottom w:val="single" w:sz="4" w:space="0" w:color="448A99"/>
              <w:right w:val="single" w:sz="4" w:space="0" w:color="448A99"/>
            </w:tcBorders>
            <w:noWrap/>
            <w:vAlign w:val="center"/>
          </w:tcPr>
          <w:p w:rsidR="00C93F8E" w:rsidRPr="00B75B77" w:rsidRDefault="00804915" w:rsidP="00557CA1">
            <w:pPr>
              <w:keepNext/>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18"/>
              </w:rPr>
            </w:pPr>
            <w:r w:rsidRPr="00B75B77">
              <w:rPr>
                <w:rFonts w:ascii="Calibri" w:eastAsia="Times New Roman" w:hAnsi="Calibri"/>
                <w:b/>
                <w:color w:val="000000"/>
                <w:sz w:val="18"/>
              </w:rPr>
              <w:t>Being Considered</w:t>
            </w:r>
          </w:p>
        </w:tc>
      </w:tr>
      <w:tr w:rsidR="00C93F8E" w:rsidRPr="00B75B77" w:rsidTr="0080491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448A99"/>
              <w:left w:val="single" w:sz="4" w:space="0" w:color="448A99"/>
              <w:bottom w:val="single" w:sz="4" w:space="0" w:color="448A99"/>
              <w:right w:val="single" w:sz="4" w:space="0" w:color="448A99"/>
            </w:tcBorders>
            <w:noWrap/>
            <w:vAlign w:val="center"/>
          </w:tcPr>
          <w:p w:rsidR="00C93F8E" w:rsidRPr="00B75B77" w:rsidRDefault="00C93F8E" w:rsidP="00557CA1">
            <w:pPr>
              <w:keepNext/>
              <w:jc w:val="left"/>
              <w:rPr>
                <w:rFonts w:ascii="Calibri" w:eastAsia="Times New Roman" w:hAnsi="Calibri"/>
                <w:color w:val="000000"/>
                <w:sz w:val="18"/>
              </w:rPr>
            </w:pPr>
            <w:r w:rsidRPr="00B75B77">
              <w:rPr>
                <w:rFonts w:ascii="Calibri" w:eastAsia="Times New Roman" w:hAnsi="Calibri"/>
                <w:color w:val="000000"/>
                <w:sz w:val="18"/>
              </w:rPr>
              <w:t>Recommendation 6</w:t>
            </w:r>
            <w:r w:rsidR="00EB5298" w:rsidRPr="00B75B77">
              <w:rPr>
                <w:rFonts w:ascii="Calibri" w:eastAsia="Times New Roman" w:hAnsi="Calibri"/>
                <w:color w:val="000000"/>
                <w:sz w:val="18"/>
              </w:rPr>
              <w:t>:</w:t>
            </w:r>
            <w:r w:rsidRPr="00B75B77">
              <w:rPr>
                <w:rFonts w:ascii="Calibri" w:eastAsia="Times New Roman" w:hAnsi="Calibri"/>
                <w:b w:val="0"/>
                <w:color w:val="000000"/>
                <w:sz w:val="18"/>
              </w:rPr>
              <w:t xml:space="preserve"> Acquire and apply data on </w:t>
            </w:r>
            <w:r w:rsidR="007A3CB2" w:rsidRPr="00B75B77">
              <w:rPr>
                <w:rFonts w:ascii="Calibri" w:eastAsia="Times New Roman" w:hAnsi="Calibri"/>
                <w:b w:val="0"/>
                <w:color w:val="000000"/>
                <w:sz w:val="18"/>
              </w:rPr>
              <w:t>low-income</w:t>
            </w:r>
            <w:r w:rsidRPr="00B75B77">
              <w:rPr>
                <w:rFonts w:ascii="Calibri" w:eastAsia="Times New Roman" w:hAnsi="Calibri"/>
                <w:b w:val="0"/>
                <w:color w:val="000000"/>
                <w:sz w:val="18"/>
              </w:rPr>
              <w:t xml:space="preserve"> household characteristics; tailor future program implementation strategies to meet the needs of eligible customers.</w:t>
            </w:r>
          </w:p>
        </w:tc>
        <w:tc>
          <w:tcPr>
            <w:tcW w:w="4680" w:type="dxa"/>
            <w:tcBorders>
              <w:top w:val="single" w:sz="4" w:space="0" w:color="448A99"/>
              <w:left w:val="single" w:sz="4" w:space="0" w:color="448A99"/>
              <w:bottom w:val="single" w:sz="4" w:space="0" w:color="448A99"/>
              <w:right w:val="single" w:sz="4" w:space="0" w:color="448A99"/>
            </w:tcBorders>
            <w:noWrap/>
          </w:tcPr>
          <w:p w:rsidR="00C93F8E" w:rsidRPr="00B75B77" w:rsidRDefault="00804915" w:rsidP="00557CA1">
            <w:pPr>
              <w:keepNext/>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b/>
                <w:color w:val="000000"/>
                <w:sz w:val="18"/>
              </w:rPr>
            </w:pPr>
            <w:r w:rsidRPr="00B75B77">
              <w:rPr>
                <w:rFonts w:ascii="Calibri" w:eastAsia="Times New Roman" w:hAnsi="Calibri"/>
                <w:b/>
                <w:color w:val="000000"/>
                <w:sz w:val="18"/>
              </w:rPr>
              <w:t>Being Considered</w:t>
            </w:r>
          </w:p>
        </w:tc>
      </w:tr>
    </w:tbl>
    <w:p w:rsidR="00C93F8E" w:rsidRPr="00B75B77" w:rsidRDefault="00C93F8E" w:rsidP="00557CA1">
      <w:pPr>
        <w:pStyle w:val="Source"/>
      </w:pPr>
      <w:r w:rsidRPr="00B75B77">
        <w:t>Source: Navigant analysis</w:t>
      </w:r>
    </w:p>
    <w:p w:rsidR="00C93F8E" w:rsidRPr="00B75B77" w:rsidRDefault="00C93F8E" w:rsidP="00D12857">
      <w:pPr>
        <w:pStyle w:val="Heading2"/>
      </w:pPr>
      <w:bookmarkStart w:id="631" w:name="_Toc466413371"/>
      <w:r w:rsidRPr="00B75B77">
        <w:t>Financial Reporting</w:t>
      </w:r>
      <w:bookmarkEnd w:id="631"/>
    </w:p>
    <w:p w:rsidR="00C93F8E" w:rsidRPr="00B75B77" w:rsidRDefault="00C93F8E" w:rsidP="00BB039B">
      <w:r w:rsidRPr="00B75B77">
        <w:t>In PY5</w:t>
      </w:r>
      <w:r w:rsidR="00540987" w:rsidRPr="00B75B77">
        <w:t>,</w:t>
      </w:r>
      <w:r w:rsidRPr="00B75B77">
        <w:t xml:space="preserve"> the program was above its TRC goal</w:t>
      </w:r>
      <w:r w:rsidR="00540987" w:rsidRPr="00B75B77">
        <w:t>; it was</w:t>
      </w:r>
      <w:r w:rsidRPr="00B75B77">
        <w:t xml:space="preserve"> below the TRC goal in PY6. In PY7</w:t>
      </w:r>
      <w:r w:rsidR="00540987" w:rsidRPr="00B75B77">
        <w:t>,</w:t>
      </w:r>
      <w:r w:rsidRPr="00B75B77">
        <w:t xml:space="preserve"> the program achieved a TRC of 1.54, which brought the Phase II TRC to 1.55. LEEP’s Phase II TRC goal was 1.51, laid out in the March 2014 revision of the Phase II </w:t>
      </w:r>
      <w:r w:rsidR="00B00E44" w:rsidRPr="00B75B77">
        <w:t>plan</w:t>
      </w:r>
      <w:r w:rsidRPr="00B75B77">
        <w:t xml:space="preserve">. A breakdown of the program finances is presented in </w:t>
      </w:r>
      <w:r w:rsidRPr="00B75B77">
        <w:fldChar w:fldCharType="begin"/>
      </w:r>
      <w:r w:rsidRPr="00B75B77">
        <w:instrText xml:space="preserve"> REF _Ref463250026 \h  \* MERGEFORMAT </w:instrText>
      </w:r>
      <w:r w:rsidRPr="00B75B77">
        <w:fldChar w:fldCharType="separate"/>
      </w:r>
      <w:r w:rsidR="0004016D" w:rsidRPr="00B75B77">
        <w:t xml:space="preserve">Table </w:t>
      </w:r>
      <w:r w:rsidR="0004016D">
        <w:t>8</w:t>
      </w:r>
      <w:r w:rsidR="0004016D" w:rsidRPr="00B75B77">
        <w:noBreakHyphen/>
      </w:r>
      <w:r w:rsidR="0004016D">
        <w:t>11</w:t>
      </w:r>
      <w:r w:rsidRPr="00B75B77">
        <w:fldChar w:fldCharType="end"/>
      </w:r>
      <w:r w:rsidRPr="00B75B77">
        <w:t>.</w:t>
      </w:r>
    </w:p>
    <w:p w:rsidR="00C93F8E" w:rsidRPr="00B75B77" w:rsidRDefault="00C93F8E" w:rsidP="003402AA">
      <w:pPr>
        <w:jc w:val="center"/>
      </w:pPr>
    </w:p>
    <w:p w:rsidR="00C93F8E" w:rsidRPr="00B75B77" w:rsidRDefault="00C93F8E" w:rsidP="00557CA1">
      <w:pPr>
        <w:pStyle w:val="Caption"/>
      </w:pPr>
      <w:bookmarkStart w:id="632" w:name="_Ref463250026"/>
      <w:bookmarkStart w:id="633" w:name="_Toc466413575"/>
      <w:r w:rsidRPr="00B75B77">
        <w:lastRenderedPageBreak/>
        <w:t>Ta</w:t>
      </w:r>
      <w:r w:rsidR="00B00E44" w:rsidRPr="00B75B77">
        <w:t xml:space="preserve">ble </w:t>
      </w:r>
      <w:fldSimple w:instr=" STYLEREF 1 \s ">
        <w:r w:rsidR="0004016D">
          <w:rPr>
            <w:noProof/>
          </w:rPr>
          <w:t>8</w:t>
        </w:r>
      </w:fldSimple>
      <w:r w:rsidR="00F1144C" w:rsidRPr="00B75B77">
        <w:noBreakHyphen/>
      </w:r>
      <w:fldSimple w:instr=" SEQ Table \* ARABIC \s 1 ">
        <w:r w:rsidR="0004016D">
          <w:rPr>
            <w:noProof/>
          </w:rPr>
          <w:t>11</w:t>
        </w:r>
      </w:fldSimple>
      <w:bookmarkEnd w:id="632"/>
      <w:r w:rsidRPr="00B75B77">
        <w:t>: Summar</w:t>
      </w:r>
      <w:r w:rsidR="000C1E59" w:rsidRPr="00B75B77">
        <w:t>y of Low-</w:t>
      </w:r>
      <w:r w:rsidRPr="00B75B77">
        <w:t>Income Energy Efficiency Program Finances</w:t>
      </w:r>
      <w:bookmarkEnd w:id="633"/>
    </w:p>
    <w:tbl>
      <w:tblPr>
        <w:tblStyle w:val="MediumShading1-Accent5"/>
        <w:tblW w:w="9607" w:type="dxa"/>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0A0" w:firstRow="1" w:lastRow="0" w:firstColumn="1" w:lastColumn="0" w:noHBand="0" w:noVBand="0"/>
      </w:tblPr>
      <w:tblGrid>
        <w:gridCol w:w="1062"/>
        <w:gridCol w:w="6025"/>
        <w:gridCol w:w="1170"/>
        <w:gridCol w:w="1350"/>
      </w:tblGrid>
      <w:tr w:rsidR="00C93F8E" w:rsidRPr="00B75B77" w:rsidTr="005E445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62" w:type="dxa"/>
            <w:vMerge w:val="restart"/>
            <w:tcBorders>
              <w:top w:val="single" w:sz="4" w:space="0" w:color="auto"/>
              <w:left w:val="single" w:sz="4" w:space="0" w:color="auto"/>
              <w:bottom w:val="single" w:sz="4" w:space="0" w:color="auto"/>
              <w:right w:val="single" w:sz="4" w:space="0" w:color="auto"/>
            </w:tcBorders>
            <w:shd w:val="clear" w:color="auto" w:fill="448A99"/>
            <w:vAlign w:val="center"/>
          </w:tcPr>
          <w:p w:rsidR="00C93F8E" w:rsidRPr="00B75B77" w:rsidRDefault="00C93F8E" w:rsidP="00557CA1">
            <w:pPr>
              <w:keepNext/>
              <w:jc w:val="center"/>
              <w:rPr>
                <w:rFonts w:ascii="Calibri" w:eastAsia="Times New Roman" w:hAnsi="Calibri"/>
                <w:bCs w:val="0"/>
                <w:sz w:val="18"/>
                <w:szCs w:val="18"/>
              </w:rPr>
            </w:pPr>
            <w:r w:rsidRPr="00B75B77">
              <w:rPr>
                <w:rFonts w:ascii="Calibri" w:eastAsia="Times New Roman" w:hAnsi="Calibri"/>
                <w:bCs w:val="0"/>
                <w:sz w:val="18"/>
                <w:szCs w:val="18"/>
              </w:rPr>
              <w:t>Row #</w:t>
            </w:r>
          </w:p>
        </w:tc>
        <w:tc>
          <w:tcPr>
            <w:cnfStyle w:val="000010000000" w:firstRow="0" w:lastRow="0" w:firstColumn="0" w:lastColumn="0" w:oddVBand="1" w:evenVBand="0" w:oddHBand="0" w:evenHBand="0" w:firstRowFirstColumn="0" w:firstRowLastColumn="0" w:lastRowFirstColumn="0" w:lastRowLastColumn="0"/>
            <w:tcW w:w="6025" w:type="dxa"/>
            <w:vMerge w:val="restart"/>
            <w:tcBorders>
              <w:top w:val="single" w:sz="4" w:space="0" w:color="auto"/>
              <w:left w:val="single" w:sz="4" w:space="0" w:color="auto"/>
              <w:bottom w:val="single" w:sz="4" w:space="0" w:color="auto"/>
              <w:right w:val="single" w:sz="4" w:space="0" w:color="auto"/>
            </w:tcBorders>
            <w:shd w:val="clear" w:color="auto" w:fill="448A99"/>
            <w:noWrap/>
            <w:vAlign w:val="center"/>
            <w:hideMark/>
          </w:tcPr>
          <w:p w:rsidR="00C93F8E" w:rsidRPr="00B75B77" w:rsidRDefault="00C93F8E" w:rsidP="00557CA1">
            <w:pPr>
              <w:keepNext/>
              <w:jc w:val="left"/>
              <w:rPr>
                <w:rFonts w:ascii="Calibri" w:eastAsia="Times New Roman" w:hAnsi="Calibri"/>
                <w:bCs w:val="0"/>
                <w:sz w:val="18"/>
                <w:szCs w:val="18"/>
              </w:rPr>
            </w:pPr>
            <w:r w:rsidRPr="00B75B77">
              <w:rPr>
                <w:rFonts w:ascii="Calibri" w:eastAsia="Times New Roman" w:hAnsi="Calibri"/>
                <w:bCs w:val="0"/>
                <w:sz w:val="18"/>
                <w:szCs w:val="18"/>
              </w:rPr>
              <w:t>Cost Category </w:t>
            </w:r>
          </w:p>
        </w:tc>
        <w:tc>
          <w:tcPr>
            <w:tcW w:w="1170" w:type="dxa"/>
            <w:tcBorders>
              <w:top w:val="single" w:sz="4" w:space="0" w:color="auto"/>
              <w:left w:val="single" w:sz="4" w:space="0" w:color="auto"/>
              <w:bottom w:val="single" w:sz="4" w:space="0" w:color="auto"/>
              <w:right w:val="single" w:sz="4" w:space="0" w:color="auto"/>
            </w:tcBorders>
            <w:shd w:val="clear" w:color="auto" w:fill="448A99"/>
            <w:vAlign w:val="center"/>
            <w:hideMark/>
          </w:tcPr>
          <w:p w:rsidR="00C93F8E" w:rsidRPr="00B75B77" w:rsidRDefault="00C93F8E" w:rsidP="00557CA1">
            <w:pPr>
              <w:keepNext/>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Actual PYTD</w:t>
            </w:r>
          </w:p>
          <w:p w:rsidR="00C93F8E" w:rsidRPr="00B75B77" w:rsidRDefault="00C93F8E" w:rsidP="00557CA1">
            <w:pPr>
              <w:keepNext/>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Costs</w:t>
            </w:r>
          </w:p>
        </w:tc>
        <w:tc>
          <w:tcPr>
            <w:cnfStyle w:val="000010000000" w:firstRow="0" w:lastRow="0" w:firstColumn="0" w:lastColumn="0" w:oddVBand="1" w:evenVBand="0" w:oddHBand="0" w:evenHBand="0" w:firstRowFirstColumn="0" w:firstRowLastColumn="0" w:lastRowFirstColumn="0" w:lastRowLastColumn="0"/>
            <w:tcW w:w="1350" w:type="dxa"/>
            <w:tcBorders>
              <w:top w:val="single" w:sz="4" w:space="0" w:color="auto"/>
              <w:left w:val="single" w:sz="4" w:space="0" w:color="auto"/>
              <w:bottom w:val="single" w:sz="4" w:space="0" w:color="auto"/>
              <w:right w:val="single" w:sz="4" w:space="0" w:color="auto"/>
            </w:tcBorders>
            <w:shd w:val="clear" w:color="auto" w:fill="448A99"/>
            <w:vAlign w:val="center"/>
            <w:hideMark/>
          </w:tcPr>
          <w:p w:rsidR="00C93F8E" w:rsidRPr="00B75B77" w:rsidRDefault="00C93F8E" w:rsidP="00557CA1">
            <w:pPr>
              <w:keepNext/>
              <w:jc w:val="right"/>
              <w:rPr>
                <w:rFonts w:ascii="Calibri" w:eastAsia="Times New Roman" w:hAnsi="Calibri"/>
                <w:bCs w:val="0"/>
                <w:sz w:val="18"/>
                <w:szCs w:val="18"/>
              </w:rPr>
            </w:pPr>
            <w:r w:rsidRPr="00B75B77">
              <w:rPr>
                <w:rFonts w:ascii="Calibri" w:eastAsia="Times New Roman" w:hAnsi="Calibri"/>
                <w:bCs w:val="0"/>
                <w:sz w:val="18"/>
                <w:szCs w:val="18"/>
              </w:rPr>
              <w:t>Actual Phase II</w:t>
            </w:r>
          </w:p>
          <w:p w:rsidR="00C93F8E" w:rsidRPr="00B75B77" w:rsidRDefault="00C93F8E" w:rsidP="00557CA1">
            <w:pPr>
              <w:keepNext/>
              <w:jc w:val="right"/>
              <w:rPr>
                <w:rFonts w:ascii="Calibri" w:eastAsia="Times New Roman" w:hAnsi="Calibri"/>
                <w:bCs w:val="0"/>
                <w:sz w:val="18"/>
                <w:szCs w:val="18"/>
              </w:rPr>
            </w:pPr>
            <w:r w:rsidRPr="00B75B77">
              <w:rPr>
                <w:rFonts w:ascii="Calibri" w:eastAsia="Times New Roman" w:hAnsi="Calibri"/>
                <w:bCs w:val="0"/>
                <w:sz w:val="18"/>
                <w:szCs w:val="18"/>
              </w:rPr>
              <w:t>Costs</w:t>
            </w:r>
          </w:p>
        </w:tc>
      </w:tr>
      <w:tr w:rsidR="00C93F8E" w:rsidRPr="00B75B77" w:rsidTr="005E445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62" w:type="dxa"/>
            <w:vMerge/>
            <w:tcBorders>
              <w:top w:val="single" w:sz="4" w:space="0" w:color="auto"/>
              <w:left w:val="single" w:sz="4" w:space="0" w:color="auto"/>
              <w:bottom w:val="single" w:sz="4" w:space="0" w:color="auto"/>
              <w:right w:val="single" w:sz="4" w:space="0" w:color="auto"/>
            </w:tcBorders>
            <w:shd w:val="clear" w:color="auto" w:fill="448A99"/>
            <w:vAlign w:val="center"/>
          </w:tcPr>
          <w:p w:rsidR="00C93F8E" w:rsidRPr="00B75B77" w:rsidRDefault="00C93F8E" w:rsidP="00557CA1">
            <w:pPr>
              <w:keepNext/>
              <w:jc w:val="center"/>
              <w:rPr>
                <w:rFonts w:ascii="Calibri" w:eastAsia="Times New Roman" w:hAnsi="Calibri"/>
                <w:bCs w:val="0"/>
                <w:color w:val="FFFFFF" w:themeColor="background1"/>
                <w:sz w:val="18"/>
                <w:szCs w:val="18"/>
              </w:rPr>
            </w:pPr>
          </w:p>
        </w:tc>
        <w:tc>
          <w:tcPr>
            <w:cnfStyle w:val="000010000000" w:firstRow="0" w:lastRow="0" w:firstColumn="0" w:lastColumn="0" w:oddVBand="1" w:evenVBand="0" w:oddHBand="0" w:evenHBand="0" w:firstRowFirstColumn="0" w:firstRowLastColumn="0" w:lastRowFirstColumn="0" w:lastRowLastColumn="0"/>
            <w:tcW w:w="6025" w:type="dxa"/>
            <w:vMerge/>
            <w:tcBorders>
              <w:top w:val="single" w:sz="4" w:space="0" w:color="auto"/>
              <w:left w:val="single" w:sz="4" w:space="0" w:color="auto"/>
              <w:bottom w:val="single" w:sz="4" w:space="0" w:color="auto"/>
              <w:right w:val="single" w:sz="4" w:space="0" w:color="auto"/>
            </w:tcBorders>
            <w:shd w:val="clear" w:color="auto" w:fill="448A99"/>
            <w:vAlign w:val="center"/>
            <w:hideMark/>
          </w:tcPr>
          <w:p w:rsidR="00C93F8E" w:rsidRPr="00B75B77" w:rsidRDefault="00C93F8E" w:rsidP="00557CA1">
            <w:pPr>
              <w:keepNext/>
              <w:jc w:val="left"/>
              <w:rPr>
                <w:rFonts w:ascii="Calibri" w:eastAsia="Times New Roman" w:hAnsi="Calibri"/>
                <w:b/>
                <w:bCs/>
                <w:color w:val="FFFFFF" w:themeColor="background1"/>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448A99"/>
            <w:vAlign w:val="center"/>
            <w:hideMark/>
          </w:tcPr>
          <w:p w:rsidR="00C93F8E" w:rsidRPr="00B75B77" w:rsidRDefault="00C93F8E" w:rsidP="00557CA1">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FFFFFF" w:themeColor="background1"/>
                <w:sz w:val="18"/>
                <w:szCs w:val="18"/>
              </w:rPr>
            </w:pPr>
            <w:r w:rsidRPr="00B75B77">
              <w:rPr>
                <w:rFonts w:ascii="Calibri" w:eastAsia="Times New Roman" w:hAnsi="Calibri"/>
                <w:b/>
                <w:color w:val="FFFFFF" w:themeColor="background1"/>
                <w:sz w:val="18"/>
                <w:szCs w:val="18"/>
              </w:rPr>
              <w:t>($1,000)</w:t>
            </w:r>
          </w:p>
        </w:tc>
        <w:tc>
          <w:tcPr>
            <w:cnfStyle w:val="000010000000" w:firstRow="0" w:lastRow="0" w:firstColumn="0" w:lastColumn="0" w:oddVBand="1" w:evenVBand="0" w:oddHBand="0" w:evenHBand="0" w:firstRowFirstColumn="0" w:firstRowLastColumn="0" w:lastRowFirstColumn="0" w:lastRowLastColumn="0"/>
            <w:tcW w:w="1350" w:type="dxa"/>
            <w:tcBorders>
              <w:top w:val="single" w:sz="4" w:space="0" w:color="auto"/>
              <w:left w:val="single" w:sz="4" w:space="0" w:color="auto"/>
              <w:bottom w:val="single" w:sz="4" w:space="0" w:color="auto"/>
              <w:right w:val="single" w:sz="4" w:space="0" w:color="auto"/>
            </w:tcBorders>
            <w:shd w:val="clear" w:color="auto" w:fill="448A99"/>
            <w:vAlign w:val="center"/>
            <w:hideMark/>
          </w:tcPr>
          <w:p w:rsidR="00C93F8E" w:rsidRPr="00B75B77" w:rsidRDefault="00C93F8E" w:rsidP="00557CA1">
            <w:pPr>
              <w:keepNext/>
              <w:jc w:val="right"/>
              <w:rPr>
                <w:rFonts w:ascii="Calibri" w:eastAsia="Times New Roman" w:hAnsi="Calibri"/>
                <w:b/>
                <w:color w:val="FFFFFF" w:themeColor="background1"/>
                <w:sz w:val="18"/>
                <w:szCs w:val="18"/>
              </w:rPr>
            </w:pPr>
            <w:r w:rsidRPr="00B75B77">
              <w:rPr>
                <w:rFonts w:ascii="Calibri" w:eastAsia="Times New Roman" w:hAnsi="Calibri"/>
                <w:b/>
                <w:color w:val="FFFFFF" w:themeColor="background1"/>
                <w:sz w:val="18"/>
                <w:szCs w:val="18"/>
              </w:rPr>
              <w:t>($1,000)</w:t>
            </w:r>
          </w:p>
        </w:tc>
      </w:tr>
      <w:tr w:rsidR="00C93F8E" w:rsidRPr="00B75B77" w:rsidTr="005E445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auto"/>
              <w:left w:val="single" w:sz="4" w:space="0" w:color="448A99"/>
              <w:bottom w:val="single" w:sz="4" w:space="0" w:color="448A99"/>
              <w:right w:val="single" w:sz="4" w:space="0" w:color="448A99"/>
            </w:tcBorders>
            <w:shd w:val="clear" w:color="auto" w:fill="auto"/>
            <w:vAlign w:val="center"/>
          </w:tcPr>
          <w:p w:rsidR="00C93F8E" w:rsidRPr="00B75B77" w:rsidRDefault="00C93F8E" w:rsidP="00557CA1">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w:t>
            </w:r>
          </w:p>
        </w:tc>
        <w:tc>
          <w:tcPr>
            <w:cnfStyle w:val="000010000000" w:firstRow="0" w:lastRow="0" w:firstColumn="0" w:lastColumn="0" w:oddVBand="1" w:evenVBand="0" w:oddHBand="0" w:evenHBand="0" w:firstRowFirstColumn="0" w:firstRowLastColumn="0" w:lastRowFirstColumn="0" w:lastRowLastColumn="0"/>
            <w:tcW w:w="6025" w:type="dxa"/>
            <w:tcBorders>
              <w:top w:val="single" w:sz="4" w:space="0" w:color="auto"/>
              <w:left w:val="single" w:sz="4" w:space="0" w:color="448A99"/>
              <w:bottom w:val="single" w:sz="4" w:space="0" w:color="448A99"/>
              <w:right w:val="single" w:sz="4" w:space="0" w:color="448A99"/>
            </w:tcBorders>
            <w:shd w:val="clear" w:color="auto" w:fill="auto"/>
            <w:noWrap/>
            <w:vAlign w:val="center"/>
          </w:tcPr>
          <w:p w:rsidR="00C93F8E" w:rsidRPr="00B75B77" w:rsidRDefault="00C93F8E" w:rsidP="00557CA1">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Incremental Measure Costs (Sum of Rows 2 through 4)</w:t>
            </w:r>
          </w:p>
        </w:tc>
        <w:tc>
          <w:tcPr>
            <w:tcW w:w="1170" w:type="dxa"/>
            <w:tcBorders>
              <w:top w:val="single" w:sz="4" w:space="0" w:color="auto"/>
              <w:left w:val="single" w:sz="4" w:space="0" w:color="448A99"/>
              <w:bottom w:val="single" w:sz="4" w:space="0" w:color="448A99"/>
              <w:right w:val="single" w:sz="4" w:space="0" w:color="448A99"/>
            </w:tcBorders>
            <w:shd w:val="clear" w:color="auto" w:fill="auto"/>
            <w:noWrap/>
            <w:vAlign w:val="center"/>
          </w:tcPr>
          <w:p w:rsidR="00C93F8E" w:rsidRPr="00B75B77" w:rsidRDefault="00C93F8E" w:rsidP="00557CA1">
            <w:pPr>
              <w:keepNext/>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B75B77">
              <w:rPr>
                <w:rFonts w:eastAsia="Times New Roman"/>
                <w:color w:val="000000"/>
                <w:sz w:val="18"/>
                <w:szCs w:val="18"/>
              </w:rPr>
              <w:t>0</w:t>
            </w:r>
          </w:p>
        </w:tc>
        <w:tc>
          <w:tcPr>
            <w:cnfStyle w:val="000010000000" w:firstRow="0" w:lastRow="0" w:firstColumn="0" w:lastColumn="0" w:oddVBand="1" w:evenVBand="0" w:oddHBand="0" w:evenHBand="0" w:firstRowFirstColumn="0" w:firstRowLastColumn="0" w:lastRowFirstColumn="0" w:lastRowLastColumn="0"/>
            <w:tcW w:w="1350" w:type="dxa"/>
            <w:tcBorders>
              <w:top w:val="single" w:sz="4" w:space="0" w:color="auto"/>
              <w:left w:val="single" w:sz="4" w:space="0" w:color="448A99"/>
              <w:bottom w:val="single" w:sz="4" w:space="0" w:color="448A99"/>
              <w:right w:val="single" w:sz="4" w:space="0" w:color="448A99"/>
            </w:tcBorders>
            <w:shd w:val="clear" w:color="auto" w:fill="auto"/>
            <w:vAlign w:val="center"/>
          </w:tcPr>
          <w:p w:rsidR="00C93F8E" w:rsidRPr="00B75B77" w:rsidRDefault="00C93F8E" w:rsidP="00557CA1">
            <w:pPr>
              <w:keepNext/>
              <w:jc w:val="right"/>
              <w:rPr>
                <w:rFonts w:eastAsia="Times New Roman"/>
                <w:color w:val="000000"/>
                <w:sz w:val="18"/>
                <w:szCs w:val="18"/>
              </w:rPr>
            </w:pPr>
            <w:r w:rsidRPr="00B75B77">
              <w:rPr>
                <w:rFonts w:eastAsia="Times New Roman"/>
                <w:color w:val="000000"/>
                <w:sz w:val="18"/>
                <w:szCs w:val="18"/>
              </w:rPr>
              <w:t>0</w:t>
            </w:r>
          </w:p>
        </w:tc>
      </w:tr>
      <w:tr w:rsidR="00C93F8E" w:rsidRPr="00B75B77" w:rsidTr="005E445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448A99"/>
              <w:left w:val="single" w:sz="4" w:space="0" w:color="448A99"/>
              <w:bottom w:val="single" w:sz="4" w:space="0" w:color="448A99"/>
              <w:right w:val="single" w:sz="4" w:space="0" w:color="448A99"/>
            </w:tcBorders>
            <w:vAlign w:val="center"/>
          </w:tcPr>
          <w:p w:rsidR="00C93F8E" w:rsidRPr="00B75B77" w:rsidRDefault="00C93F8E" w:rsidP="00557CA1">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2</w:t>
            </w:r>
          </w:p>
        </w:tc>
        <w:tc>
          <w:tcPr>
            <w:cnfStyle w:val="000010000000" w:firstRow="0" w:lastRow="0" w:firstColumn="0" w:lastColumn="0" w:oddVBand="1" w:evenVBand="0" w:oddHBand="0" w:evenHBand="0" w:firstRowFirstColumn="0" w:firstRowLastColumn="0" w:lastRowFirstColumn="0" w:lastRowLastColumn="0"/>
            <w:tcW w:w="6025" w:type="dxa"/>
            <w:tcBorders>
              <w:top w:val="single" w:sz="4" w:space="0" w:color="448A99"/>
              <w:left w:val="single" w:sz="4" w:space="0" w:color="448A99"/>
              <w:bottom w:val="single" w:sz="4" w:space="0" w:color="448A99"/>
              <w:right w:val="single" w:sz="4" w:space="0" w:color="448A99"/>
            </w:tcBorders>
            <w:noWrap/>
            <w:vAlign w:val="center"/>
            <w:hideMark/>
          </w:tcPr>
          <w:p w:rsidR="00C93F8E" w:rsidRPr="00B75B77" w:rsidRDefault="00C93F8E" w:rsidP="00557CA1">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EDC Incentives to Participants</w:t>
            </w:r>
          </w:p>
        </w:tc>
        <w:tc>
          <w:tcPr>
            <w:tcW w:w="1170" w:type="dxa"/>
            <w:tcBorders>
              <w:top w:val="single" w:sz="4" w:space="0" w:color="448A99"/>
              <w:left w:val="single" w:sz="4" w:space="0" w:color="448A99"/>
              <w:bottom w:val="single" w:sz="4" w:space="0" w:color="448A99"/>
              <w:right w:val="single" w:sz="4" w:space="0" w:color="448A99"/>
            </w:tcBorders>
            <w:noWrap/>
            <w:vAlign w:val="center"/>
            <w:hideMark/>
          </w:tcPr>
          <w:p w:rsidR="00C93F8E" w:rsidRPr="00B75B77" w:rsidRDefault="00C93F8E" w:rsidP="00557CA1">
            <w:pPr>
              <w:keepNext/>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75B77">
              <w:rPr>
                <w:rFonts w:eastAsia="Times New Roman"/>
                <w:color w:val="000000"/>
                <w:sz w:val="18"/>
                <w:szCs w:val="18"/>
              </w:rPr>
              <w:t>0</w:t>
            </w:r>
          </w:p>
        </w:tc>
        <w:tc>
          <w:tcPr>
            <w:cnfStyle w:val="000010000000" w:firstRow="0" w:lastRow="0" w:firstColumn="0" w:lastColumn="0" w:oddVBand="1" w:evenVBand="0" w:oddHBand="0" w:evenHBand="0" w:firstRowFirstColumn="0" w:firstRowLastColumn="0" w:lastRowFirstColumn="0" w:lastRowLastColumn="0"/>
            <w:tcW w:w="1350" w:type="dxa"/>
            <w:tcBorders>
              <w:top w:val="single" w:sz="4" w:space="0" w:color="448A99"/>
              <w:left w:val="single" w:sz="4" w:space="0" w:color="448A99"/>
              <w:bottom w:val="single" w:sz="4" w:space="0" w:color="448A99"/>
              <w:right w:val="single" w:sz="4" w:space="0" w:color="448A99"/>
            </w:tcBorders>
            <w:vAlign w:val="center"/>
            <w:hideMark/>
          </w:tcPr>
          <w:p w:rsidR="00C93F8E" w:rsidRPr="00B75B77" w:rsidRDefault="00C93F8E" w:rsidP="00557CA1">
            <w:pPr>
              <w:keepNext/>
              <w:jc w:val="right"/>
              <w:rPr>
                <w:rFonts w:eastAsia="Times New Roman"/>
                <w:color w:val="000000"/>
                <w:sz w:val="18"/>
                <w:szCs w:val="18"/>
              </w:rPr>
            </w:pPr>
            <w:r w:rsidRPr="00B75B77">
              <w:rPr>
                <w:rFonts w:eastAsia="Times New Roman"/>
                <w:color w:val="000000"/>
                <w:sz w:val="18"/>
                <w:szCs w:val="18"/>
              </w:rPr>
              <w:t>0</w:t>
            </w:r>
          </w:p>
        </w:tc>
      </w:tr>
      <w:tr w:rsidR="00C93F8E" w:rsidRPr="00B75B77" w:rsidTr="005E445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448A99"/>
              <w:left w:val="single" w:sz="4" w:space="0" w:color="448A99"/>
              <w:bottom w:val="single" w:sz="4" w:space="0" w:color="448A99"/>
              <w:right w:val="single" w:sz="4" w:space="0" w:color="448A99"/>
            </w:tcBorders>
            <w:shd w:val="clear" w:color="auto" w:fill="auto"/>
            <w:vAlign w:val="center"/>
          </w:tcPr>
          <w:p w:rsidR="00C93F8E" w:rsidRPr="00B75B77" w:rsidRDefault="00C93F8E" w:rsidP="00557CA1">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3</w:t>
            </w:r>
          </w:p>
        </w:tc>
        <w:tc>
          <w:tcPr>
            <w:cnfStyle w:val="000010000000" w:firstRow="0" w:lastRow="0" w:firstColumn="0" w:lastColumn="0" w:oddVBand="1" w:evenVBand="0" w:oddHBand="0" w:evenHBand="0" w:firstRowFirstColumn="0" w:firstRowLastColumn="0" w:lastRowFirstColumn="0" w:lastRowLastColumn="0"/>
            <w:tcW w:w="6025" w:type="dxa"/>
            <w:tcBorders>
              <w:top w:val="single" w:sz="4" w:space="0" w:color="448A99"/>
              <w:left w:val="single" w:sz="4" w:space="0" w:color="448A99"/>
              <w:bottom w:val="single" w:sz="4" w:space="0" w:color="448A99"/>
              <w:right w:val="single" w:sz="4" w:space="0" w:color="448A99"/>
            </w:tcBorders>
            <w:shd w:val="clear" w:color="auto" w:fill="auto"/>
            <w:noWrap/>
            <w:vAlign w:val="center"/>
            <w:hideMark/>
          </w:tcPr>
          <w:p w:rsidR="00C93F8E" w:rsidRPr="00B75B77" w:rsidRDefault="00C93F8E" w:rsidP="00557CA1">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EDC Incentives to Trade Allies</w:t>
            </w:r>
          </w:p>
        </w:tc>
        <w:tc>
          <w:tcPr>
            <w:tcW w:w="1170" w:type="dxa"/>
            <w:tcBorders>
              <w:top w:val="single" w:sz="4" w:space="0" w:color="448A99"/>
              <w:left w:val="single" w:sz="4" w:space="0" w:color="448A99"/>
              <w:bottom w:val="single" w:sz="4" w:space="0" w:color="448A99"/>
              <w:right w:val="single" w:sz="4" w:space="0" w:color="448A99"/>
            </w:tcBorders>
            <w:shd w:val="clear" w:color="auto" w:fill="auto"/>
            <w:noWrap/>
            <w:vAlign w:val="center"/>
            <w:hideMark/>
          </w:tcPr>
          <w:p w:rsidR="00C93F8E" w:rsidRPr="00B75B77" w:rsidRDefault="00C93F8E" w:rsidP="00557CA1">
            <w:pPr>
              <w:keepNext/>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B75B77">
              <w:rPr>
                <w:rFonts w:eastAsia="Times New Roman"/>
                <w:color w:val="000000"/>
                <w:sz w:val="18"/>
                <w:szCs w:val="18"/>
              </w:rPr>
              <w:t>0</w:t>
            </w:r>
          </w:p>
        </w:tc>
        <w:tc>
          <w:tcPr>
            <w:cnfStyle w:val="000010000000" w:firstRow="0" w:lastRow="0" w:firstColumn="0" w:lastColumn="0" w:oddVBand="1" w:evenVBand="0" w:oddHBand="0" w:evenHBand="0" w:firstRowFirstColumn="0" w:firstRowLastColumn="0" w:lastRowFirstColumn="0" w:lastRowLastColumn="0"/>
            <w:tcW w:w="1350" w:type="dxa"/>
            <w:tcBorders>
              <w:top w:val="single" w:sz="4" w:space="0" w:color="448A99"/>
              <w:left w:val="single" w:sz="4" w:space="0" w:color="448A99"/>
              <w:bottom w:val="single" w:sz="4" w:space="0" w:color="448A99"/>
              <w:right w:val="single" w:sz="4" w:space="0" w:color="448A99"/>
            </w:tcBorders>
            <w:shd w:val="clear" w:color="auto" w:fill="auto"/>
            <w:vAlign w:val="center"/>
            <w:hideMark/>
          </w:tcPr>
          <w:p w:rsidR="00C93F8E" w:rsidRPr="00B75B77" w:rsidRDefault="00C93F8E" w:rsidP="00557CA1">
            <w:pPr>
              <w:keepNext/>
              <w:jc w:val="right"/>
              <w:rPr>
                <w:rFonts w:eastAsia="Times New Roman"/>
                <w:color w:val="000000"/>
                <w:sz w:val="18"/>
                <w:szCs w:val="18"/>
              </w:rPr>
            </w:pPr>
            <w:r w:rsidRPr="00B75B77">
              <w:rPr>
                <w:rFonts w:eastAsia="Times New Roman"/>
                <w:color w:val="000000"/>
                <w:sz w:val="18"/>
                <w:szCs w:val="18"/>
              </w:rPr>
              <w:t>0</w:t>
            </w:r>
          </w:p>
        </w:tc>
      </w:tr>
      <w:tr w:rsidR="00C93F8E" w:rsidRPr="00B75B77" w:rsidTr="005E445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448A99"/>
              <w:left w:val="single" w:sz="4" w:space="0" w:color="448A99"/>
              <w:bottom w:val="single" w:sz="4" w:space="0" w:color="448A99"/>
              <w:right w:val="single" w:sz="4" w:space="0" w:color="448A99"/>
            </w:tcBorders>
            <w:vAlign w:val="center"/>
          </w:tcPr>
          <w:p w:rsidR="00C93F8E" w:rsidRPr="00B75B77" w:rsidDel="00B4154B" w:rsidRDefault="00C93F8E" w:rsidP="00557CA1">
            <w:pPr>
              <w:keepNext/>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4</w:t>
            </w:r>
          </w:p>
        </w:tc>
        <w:tc>
          <w:tcPr>
            <w:cnfStyle w:val="000010000000" w:firstRow="0" w:lastRow="0" w:firstColumn="0" w:lastColumn="0" w:oddVBand="1" w:evenVBand="0" w:oddHBand="0" w:evenHBand="0" w:firstRowFirstColumn="0" w:firstRowLastColumn="0" w:lastRowFirstColumn="0" w:lastRowLastColumn="0"/>
            <w:tcW w:w="6025" w:type="dxa"/>
            <w:tcBorders>
              <w:top w:val="single" w:sz="4" w:space="0" w:color="448A99"/>
              <w:left w:val="single" w:sz="4" w:space="0" w:color="448A99"/>
              <w:bottom w:val="single" w:sz="4" w:space="0" w:color="448A99"/>
              <w:right w:val="single" w:sz="4" w:space="0" w:color="448A99"/>
            </w:tcBorders>
            <w:noWrap/>
            <w:vAlign w:val="center"/>
            <w:hideMark/>
          </w:tcPr>
          <w:p w:rsidR="00C93F8E" w:rsidRPr="00B75B77" w:rsidRDefault="00C93F8E" w:rsidP="00557CA1">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Participant Costs (Net of Incentives/Rebates Paid by Utilities)</w:t>
            </w:r>
          </w:p>
        </w:tc>
        <w:tc>
          <w:tcPr>
            <w:tcW w:w="1170" w:type="dxa"/>
            <w:tcBorders>
              <w:top w:val="single" w:sz="4" w:space="0" w:color="448A99"/>
              <w:left w:val="single" w:sz="4" w:space="0" w:color="448A99"/>
              <w:bottom w:val="single" w:sz="4" w:space="0" w:color="448A99"/>
              <w:right w:val="single" w:sz="4" w:space="0" w:color="448A99"/>
            </w:tcBorders>
            <w:vAlign w:val="center"/>
            <w:hideMark/>
          </w:tcPr>
          <w:p w:rsidR="00C93F8E" w:rsidRPr="00B75B77" w:rsidRDefault="00C93F8E" w:rsidP="00557CA1">
            <w:pPr>
              <w:keepNext/>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75B77">
              <w:rPr>
                <w:rFonts w:eastAsia="Times New Roman"/>
                <w:color w:val="000000"/>
                <w:sz w:val="18"/>
                <w:szCs w:val="18"/>
              </w:rPr>
              <w:t>0</w:t>
            </w:r>
          </w:p>
        </w:tc>
        <w:tc>
          <w:tcPr>
            <w:cnfStyle w:val="000010000000" w:firstRow="0" w:lastRow="0" w:firstColumn="0" w:lastColumn="0" w:oddVBand="1" w:evenVBand="0" w:oddHBand="0" w:evenHBand="0" w:firstRowFirstColumn="0" w:firstRowLastColumn="0" w:lastRowFirstColumn="0" w:lastRowLastColumn="0"/>
            <w:tcW w:w="1350" w:type="dxa"/>
            <w:tcBorders>
              <w:top w:val="single" w:sz="4" w:space="0" w:color="448A99"/>
              <w:left w:val="single" w:sz="4" w:space="0" w:color="448A99"/>
              <w:bottom w:val="single" w:sz="4" w:space="0" w:color="448A99"/>
              <w:right w:val="single" w:sz="4" w:space="0" w:color="448A99"/>
            </w:tcBorders>
            <w:vAlign w:val="center"/>
            <w:hideMark/>
          </w:tcPr>
          <w:p w:rsidR="00C93F8E" w:rsidRPr="00B75B77" w:rsidRDefault="00C93F8E" w:rsidP="00557CA1">
            <w:pPr>
              <w:keepNext/>
              <w:jc w:val="right"/>
              <w:rPr>
                <w:rFonts w:eastAsia="Times New Roman"/>
                <w:color w:val="000000"/>
                <w:sz w:val="18"/>
                <w:szCs w:val="18"/>
              </w:rPr>
            </w:pPr>
            <w:r w:rsidRPr="00B75B77">
              <w:rPr>
                <w:rFonts w:eastAsia="Times New Roman"/>
                <w:color w:val="000000"/>
                <w:sz w:val="18"/>
                <w:szCs w:val="18"/>
              </w:rPr>
              <w:t>0</w:t>
            </w:r>
          </w:p>
        </w:tc>
      </w:tr>
      <w:tr w:rsidR="00C93F8E" w:rsidRPr="00B75B77" w:rsidTr="005E4455">
        <w:trPr>
          <w:cnfStyle w:val="000000010000" w:firstRow="0" w:lastRow="0" w:firstColumn="0" w:lastColumn="0" w:oddVBand="0" w:evenVBand="0" w:oddHBand="0" w:evenHBand="1"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9607" w:type="dxa"/>
            <w:gridSpan w:val="4"/>
            <w:tcBorders>
              <w:top w:val="single" w:sz="4" w:space="0" w:color="448A99"/>
              <w:left w:val="single" w:sz="4" w:space="0" w:color="448A99"/>
              <w:bottom w:val="single" w:sz="4" w:space="0" w:color="448A99"/>
              <w:right w:val="single" w:sz="4" w:space="0" w:color="448A99"/>
            </w:tcBorders>
            <w:shd w:val="clear" w:color="auto" w:fill="AEAAAA"/>
            <w:vAlign w:val="center"/>
          </w:tcPr>
          <w:p w:rsidR="00C93F8E" w:rsidRPr="00B75B77" w:rsidRDefault="00C93F8E" w:rsidP="00557CA1">
            <w:pPr>
              <w:keepNext/>
              <w:jc w:val="right"/>
              <w:rPr>
                <w:rFonts w:eastAsia="Times New Roman"/>
                <w:color w:val="000000"/>
                <w:sz w:val="18"/>
                <w:szCs w:val="18"/>
              </w:rPr>
            </w:pPr>
          </w:p>
        </w:tc>
      </w:tr>
      <w:tr w:rsidR="00C93F8E" w:rsidRPr="00B75B77" w:rsidTr="005E445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448A99"/>
              <w:left w:val="single" w:sz="4" w:space="0" w:color="448A99"/>
              <w:bottom w:val="single" w:sz="4" w:space="0" w:color="448A99"/>
              <w:right w:val="single" w:sz="4" w:space="0" w:color="448A99"/>
            </w:tcBorders>
            <w:shd w:val="clear" w:color="auto" w:fill="auto"/>
            <w:vAlign w:val="center"/>
          </w:tcPr>
          <w:p w:rsidR="00C93F8E" w:rsidRPr="00B75B77" w:rsidRDefault="00C93F8E" w:rsidP="00557CA1">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5</w:t>
            </w:r>
          </w:p>
        </w:tc>
        <w:tc>
          <w:tcPr>
            <w:cnfStyle w:val="000010000000" w:firstRow="0" w:lastRow="0" w:firstColumn="0" w:lastColumn="0" w:oddVBand="1" w:evenVBand="0" w:oddHBand="0" w:evenHBand="0" w:firstRowFirstColumn="0" w:firstRowLastColumn="0" w:lastRowFirstColumn="0" w:lastRowLastColumn="0"/>
            <w:tcW w:w="6025"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C93F8E" w:rsidRPr="00B75B77" w:rsidRDefault="00C93F8E" w:rsidP="00557CA1">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Program Overhead Costs (Sum of Rows 6 through 10)</w:t>
            </w:r>
          </w:p>
        </w:tc>
        <w:tc>
          <w:tcPr>
            <w:tcW w:w="1170" w:type="dxa"/>
            <w:tcBorders>
              <w:top w:val="single" w:sz="4" w:space="0" w:color="448A99"/>
              <w:left w:val="single" w:sz="4" w:space="0" w:color="448A99"/>
              <w:bottom w:val="single" w:sz="4" w:space="0" w:color="448A99"/>
              <w:right w:val="single" w:sz="4" w:space="0" w:color="448A99"/>
            </w:tcBorders>
            <w:shd w:val="clear" w:color="auto" w:fill="auto"/>
            <w:noWrap/>
          </w:tcPr>
          <w:p w:rsidR="00C93F8E" w:rsidRPr="00B75B77" w:rsidRDefault="00C93F8E" w:rsidP="00557CA1">
            <w:pPr>
              <w:keepNext/>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75B77">
              <w:rPr>
                <w:sz w:val="18"/>
                <w:szCs w:val="18"/>
              </w:rPr>
              <w:t>8,088</w:t>
            </w:r>
          </w:p>
        </w:tc>
        <w:tc>
          <w:tcPr>
            <w:cnfStyle w:val="000010000000" w:firstRow="0" w:lastRow="0" w:firstColumn="0" w:lastColumn="0" w:oddVBand="1" w:evenVBand="0" w:oddHBand="0" w:evenHBand="0" w:firstRowFirstColumn="0" w:firstRowLastColumn="0" w:lastRowFirstColumn="0" w:lastRowLastColumn="0"/>
            <w:tcW w:w="1350" w:type="dxa"/>
            <w:tcBorders>
              <w:top w:val="single" w:sz="4" w:space="0" w:color="448A99"/>
              <w:left w:val="single" w:sz="4" w:space="0" w:color="448A99"/>
              <w:bottom w:val="single" w:sz="4" w:space="0" w:color="448A99"/>
              <w:right w:val="single" w:sz="4" w:space="0" w:color="448A99"/>
            </w:tcBorders>
            <w:shd w:val="clear" w:color="auto" w:fill="auto"/>
          </w:tcPr>
          <w:p w:rsidR="00C93F8E" w:rsidRPr="00B75B77" w:rsidRDefault="00C93F8E" w:rsidP="00557CA1">
            <w:pPr>
              <w:keepNext/>
              <w:jc w:val="right"/>
              <w:rPr>
                <w:rFonts w:eastAsia="Times New Roman"/>
                <w:color w:val="000000"/>
                <w:sz w:val="18"/>
                <w:szCs w:val="18"/>
              </w:rPr>
            </w:pPr>
            <w:r w:rsidRPr="00B75B77">
              <w:rPr>
                <w:sz w:val="18"/>
                <w:szCs w:val="18"/>
              </w:rPr>
              <w:t>23,453</w:t>
            </w:r>
          </w:p>
        </w:tc>
      </w:tr>
      <w:tr w:rsidR="00C93F8E" w:rsidRPr="00B75B77" w:rsidTr="005E445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448A99"/>
              <w:left w:val="single" w:sz="4" w:space="0" w:color="448A99"/>
              <w:bottom w:val="single" w:sz="4" w:space="0" w:color="448A99"/>
              <w:right w:val="single" w:sz="4" w:space="0" w:color="448A99"/>
            </w:tcBorders>
            <w:shd w:val="clear" w:color="auto" w:fill="D2EAF1"/>
            <w:vAlign w:val="center"/>
          </w:tcPr>
          <w:p w:rsidR="00C93F8E" w:rsidRPr="00B75B77" w:rsidRDefault="00C93F8E" w:rsidP="00557CA1">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6</w:t>
            </w:r>
          </w:p>
        </w:tc>
        <w:tc>
          <w:tcPr>
            <w:cnfStyle w:val="000010000000" w:firstRow="0" w:lastRow="0" w:firstColumn="0" w:lastColumn="0" w:oddVBand="1" w:evenVBand="0" w:oddHBand="0" w:evenHBand="0" w:firstRowFirstColumn="0" w:firstRowLastColumn="0" w:lastRowFirstColumn="0" w:lastRowLastColumn="0"/>
            <w:tcW w:w="6025" w:type="dxa"/>
            <w:tcBorders>
              <w:top w:val="single" w:sz="4" w:space="0" w:color="448A99"/>
              <w:left w:val="single" w:sz="4" w:space="0" w:color="448A99"/>
              <w:bottom w:val="single" w:sz="4" w:space="0" w:color="448A99"/>
              <w:right w:val="single" w:sz="4" w:space="0" w:color="448A99"/>
            </w:tcBorders>
            <w:shd w:val="clear" w:color="auto" w:fill="D2EAF1"/>
            <w:noWrap/>
            <w:vAlign w:val="center"/>
            <w:hideMark/>
          </w:tcPr>
          <w:p w:rsidR="00C93F8E" w:rsidRPr="00B75B77" w:rsidRDefault="00C93F8E" w:rsidP="00557CA1">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Design </w:t>
            </w:r>
            <w:r w:rsidR="00B00E44" w:rsidRPr="00B75B77">
              <w:rPr>
                <w:rFonts w:ascii="Calibri" w:eastAsia="Times New Roman" w:hAnsi="Calibri"/>
                <w:color w:val="000000"/>
                <w:sz w:val="18"/>
                <w:szCs w:val="18"/>
              </w:rPr>
              <w:t>and</w:t>
            </w:r>
            <w:r w:rsidRPr="00B75B77">
              <w:rPr>
                <w:rFonts w:ascii="Calibri" w:eastAsia="Times New Roman" w:hAnsi="Calibri"/>
                <w:color w:val="000000"/>
                <w:sz w:val="18"/>
                <w:szCs w:val="18"/>
              </w:rPr>
              <w:t xml:space="preserve"> Development</w:t>
            </w:r>
          </w:p>
        </w:tc>
        <w:tc>
          <w:tcPr>
            <w:tcW w:w="1170" w:type="dxa"/>
            <w:tcBorders>
              <w:top w:val="single" w:sz="4" w:space="0" w:color="448A99"/>
              <w:left w:val="single" w:sz="4" w:space="0" w:color="448A99"/>
              <w:bottom w:val="single" w:sz="4" w:space="0" w:color="448A99"/>
              <w:right w:val="single" w:sz="4" w:space="0" w:color="448A99"/>
            </w:tcBorders>
            <w:shd w:val="clear" w:color="auto" w:fill="D2EAF1"/>
            <w:noWrap/>
            <w:hideMark/>
          </w:tcPr>
          <w:p w:rsidR="00C93F8E" w:rsidRPr="00B75B77" w:rsidRDefault="00C93F8E" w:rsidP="00557CA1">
            <w:pPr>
              <w:keepNext/>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B75B77">
              <w:rPr>
                <w:sz w:val="18"/>
                <w:szCs w:val="18"/>
              </w:rPr>
              <w:t>0</w:t>
            </w:r>
          </w:p>
        </w:tc>
        <w:tc>
          <w:tcPr>
            <w:cnfStyle w:val="000010000000" w:firstRow="0" w:lastRow="0" w:firstColumn="0" w:lastColumn="0" w:oddVBand="1" w:evenVBand="0" w:oddHBand="0" w:evenHBand="0" w:firstRowFirstColumn="0" w:firstRowLastColumn="0" w:lastRowFirstColumn="0" w:lastRowLastColumn="0"/>
            <w:tcW w:w="1350" w:type="dxa"/>
            <w:tcBorders>
              <w:top w:val="single" w:sz="4" w:space="0" w:color="448A99"/>
              <w:left w:val="single" w:sz="4" w:space="0" w:color="448A99"/>
              <w:bottom w:val="single" w:sz="4" w:space="0" w:color="448A99"/>
              <w:right w:val="single" w:sz="4" w:space="0" w:color="448A99"/>
            </w:tcBorders>
            <w:shd w:val="clear" w:color="auto" w:fill="D2EAF1"/>
            <w:hideMark/>
          </w:tcPr>
          <w:p w:rsidR="00C93F8E" w:rsidRPr="00B75B77" w:rsidRDefault="00C93F8E" w:rsidP="00557CA1">
            <w:pPr>
              <w:keepNext/>
              <w:jc w:val="right"/>
              <w:rPr>
                <w:rFonts w:eastAsia="Times New Roman"/>
                <w:color w:val="000000"/>
                <w:sz w:val="18"/>
                <w:szCs w:val="18"/>
              </w:rPr>
            </w:pPr>
            <w:r w:rsidRPr="00B75B77">
              <w:rPr>
                <w:sz w:val="18"/>
                <w:szCs w:val="18"/>
              </w:rPr>
              <w:t>0</w:t>
            </w:r>
          </w:p>
        </w:tc>
      </w:tr>
      <w:tr w:rsidR="00C93F8E" w:rsidRPr="00B75B77" w:rsidTr="005E445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448A99"/>
              <w:left w:val="single" w:sz="4" w:space="0" w:color="448A99"/>
              <w:bottom w:val="single" w:sz="4" w:space="0" w:color="448A99"/>
              <w:right w:val="single" w:sz="4" w:space="0" w:color="448A99"/>
            </w:tcBorders>
            <w:shd w:val="clear" w:color="auto" w:fill="auto"/>
            <w:vAlign w:val="center"/>
          </w:tcPr>
          <w:p w:rsidR="00C93F8E" w:rsidRPr="00B75B77" w:rsidRDefault="00C93F8E" w:rsidP="00557CA1">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7</w:t>
            </w:r>
          </w:p>
        </w:tc>
        <w:tc>
          <w:tcPr>
            <w:cnfStyle w:val="000010000000" w:firstRow="0" w:lastRow="0" w:firstColumn="0" w:lastColumn="0" w:oddVBand="1" w:evenVBand="0" w:oddHBand="0" w:evenHBand="0" w:firstRowFirstColumn="0" w:firstRowLastColumn="0" w:lastRowFirstColumn="0" w:lastRowLastColumn="0"/>
            <w:tcW w:w="6025" w:type="dxa"/>
            <w:tcBorders>
              <w:top w:val="single" w:sz="4" w:space="0" w:color="448A99"/>
              <w:left w:val="single" w:sz="4" w:space="0" w:color="448A99"/>
              <w:bottom w:val="single" w:sz="4" w:space="0" w:color="448A99"/>
              <w:right w:val="single" w:sz="4" w:space="0" w:color="448A99"/>
            </w:tcBorders>
            <w:shd w:val="clear" w:color="auto" w:fill="auto"/>
            <w:noWrap/>
            <w:vAlign w:val="center"/>
            <w:hideMark/>
          </w:tcPr>
          <w:p w:rsidR="00C93F8E" w:rsidRPr="00B75B77" w:rsidRDefault="00C93F8E" w:rsidP="00557CA1">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Administration, Management, and Technical Assistance</w:t>
            </w:r>
            <w:r w:rsidRPr="00B75B77">
              <w:rPr>
                <w:rFonts w:ascii="Calibri" w:eastAsia="Times New Roman" w:hAnsi="Calibri"/>
                <w:b/>
                <w:bCs/>
                <w:color w:val="000000"/>
                <w:sz w:val="18"/>
                <w:szCs w:val="18"/>
                <w:vertAlign w:val="superscript"/>
              </w:rPr>
              <w:t>[1]</w:t>
            </w:r>
          </w:p>
        </w:tc>
        <w:tc>
          <w:tcPr>
            <w:tcW w:w="1170" w:type="dxa"/>
            <w:tcBorders>
              <w:top w:val="single" w:sz="4" w:space="0" w:color="448A99"/>
              <w:left w:val="single" w:sz="4" w:space="0" w:color="448A99"/>
              <w:bottom w:val="single" w:sz="4" w:space="0" w:color="448A99"/>
              <w:right w:val="single" w:sz="4" w:space="0" w:color="448A99"/>
            </w:tcBorders>
            <w:shd w:val="clear" w:color="auto" w:fill="auto"/>
            <w:noWrap/>
            <w:hideMark/>
          </w:tcPr>
          <w:p w:rsidR="00C93F8E" w:rsidRPr="00B75B77" w:rsidRDefault="00C93F8E" w:rsidP="00557CA1">
            <w:pPr>
              <w:keepNext/>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75B77">
              <w:rPr>
                <w:sz w:val="18"/>
                <w:szCs w:val="18"/>
              </w:rPr>
              <w:t>7,559</w:t>
            </w:r>
          </w:p>
        </w:tc>
        <w:tc>
          <w:tcPr>
            <w:cnfStyle w:val="000010000000" w:firstRow="0" w:lastRow="0" w:firstColumn="0" w:lastColumn="0" w:oddVBand="1" w:evenVBand="0" w:oddHBand="0" w:evenHBand="0" w:firstRowFirstColumn="0" w:firstRowLastColumn="0" w:lastRowFirstColumn="0" w:lastRowLastColumn="0"/>
            <w:tcW w:w="1350" w:type="dxa"/>
            <w:tcBorders>
              <w:top w:val="single" w:sz="4" w:space="0" w:color="448A99"/>
              <w:left w:val="single" w:sz="4" w:space="0" w:color="448A99"/>
              <w:bottom w:val="single" w:sz="4" w:space="0" w:color="448A99"/>
              <w:right w:val="single" w:sz="4" w:space="0" w:color="448A99"/>
            </w:tcBorders>
            <w:shd w:val="clear" w:color="auto" w:fill="auto"/>
            <w:hideMark/>
          </w:tcPr>
          <w:p w:rsidR="00C93F8E" w:rsidRPr="00B75B77" w:rsidRDefault="00C93F8E" w:rsidP="00557CA1">
            <w:pPr>
              <w:keepNext/>
              <w:jc w:val="right"/>
              <w:rPr>
                <w:rFonts w:eastAsia="Times New Roman"/>
                <w:color w:val="000000"/>
                <w:sz w:val="18"/>
                <w:szCs w:val="18"/>
              </w:rPr>
            </w:pPr>
            <w:r w:rsidRPr="00B75B77">
              <w:rPr>
                <w:sz w:val="18"/>
                <w:szCs w:val="18"/>
              </w:rPr>
              <w:t>22,614</w:t>
            </w:r>
          </w:p>
        </w:tc>
      </w:tr>
      <w:tr w:rsidR="00C93F8E" w:rsidRPr="00B75B77" w:rsidTr="005E445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448A99"/>
              <w:left w:val="single" w:sz="4" w:space="0" w:color="448A99"/>
              <w:bottom w:val="single" w:sz="4" w:space="0" w:color="448A99"/>
              <w:right w:val="single" w:sz="4" w:space="0" w:color="448A99"/>
            </w:tcBorders>
            <w:shd w:val="clear" w:color="auto" w:fill="D2EAF1"/>
            <w:vAlign w:val="center"/>
          </w:tcPr>
          <w:p w:rsidR="00C93F8E" w:rsidRPr="00B75B77" w:rsidRDefault="00C93F8E" w:rsidP="00557CA1">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8</w:t>
            </w:r>
          </w:p>
        </w:tc>
        <w:tc>
          <w:tcPr>
            <w:cnfStyle w:val="000010000000" w:firstRow="0" w:lastRow="0" w:firstColumn="0" w:lastColumn="0" w:oddVBand="1" w:evenVBand="0" w:oddHBand="0" w:evenHBand="0" w:firstRowFirstColumn="0" w:firstRowLastColumn="0" w:lastRowFirstColumn="0" w:lastRowLastColumn="0"/>
            <w:tcW w:w="6025" w:type="dxa"/>
            <w:tcBorders>
              <w:top w:val="single" w:sz="4" w:space="0" w:color="448A99"/>
              <w:left w:val="single" w:sz="4" w:space="0" w:color="448A99"/>
              <w:bottom w:val="single" w:sz="4" w:space="0" w:color="448A99"/>
              <w:right w:val="single" w:sz="4" w:space="0" w:color="448A99"/>
            </w:tcBorders>
            <w:shd w:val="clear" w:color="auto" w:fill="D2EAF1"/>
            <w:noWrap/>
            <w:vAlign w:val="center"/>
            <w:hideMark/>
          </w:tcPr>
          <w:p w:rsidR="00C93F8E" w:rsidRPr="00B75B77" w:rsidRDefault="00C93F8E" w:rsidP="00557CA1">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Marketing</w:t>
            </w:r>
            <w:r w:rsidRPr="00B75B77">
              <w:rPr>
                <w:rFonts w:ascii="Calibri" w:eastAsia="Times New Roman" w:hAnsi="Calibri"/>
                <w:b/>
                <w:bCs/>
                <w:color w:val="000000"/>
                <w:sz w:val="18"/>
                <w:szCs w:val="18"/>
                <w:vertAlign w:val="superscript"/>
              </w:rPr>
              <w:t>[2]</w:t>
            </w:r>
          </w:p>
        </w:tc>
        <w:tc>
          <w:tcPr>
            <w:tcW w:w="1170" w:type="dxa"/>
            <w:tcBorders>
              <w:top w:val="single" w:sz="4" w:space="0" w:color="448A99"/>
              <w:left w:val="single" w:sz="4" w:space="0" w:color="448A99"/>
              <w:bottom w:val="single" w:sz="4" w:space="0" w:color="448A99"/>
              <w:right w:val="single" w:sz="4" w:space="0" w:color="448A99"/>
            </w:tcBorders>
            <w:shd w:val="clear" w:color="auto" w:fill="D2EAF1"/>
            <w:noWrap/>
            <w:hideMark/>
          </w:tcPr>
          <w:p w:rsidR="00C93F8E" w:rsidRPr="00B75B77" w:rsidRDefault="00C93F8E" w:rsidP="00557CA1">
            <w:pPr>
              <w:keepNext/>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B75B77">
              <w:rPr>
                <w:sz w:val="18"/>
                <w:szCs w:val="18"/>
              </w:rPr>
              <w:t>529</w:t>
            </w:r>
          </w:p>
        </w:tc>
        <w:tc>
          <w:tcPr>
            <w:cnfStyle w:val="000010000000" w:firstRow="0" w:lastRow="0" w:firstColumn="0" w:lastColumn="0" w:oddVBand="1" w:evenVBand="0" w:oddHBand="0" w:evenHBand="0" w:firstRowFirstColumn="0" w:firstRowLastColumn="0" w:lastRowFirstColumn="0" w:lastRowLastColumn="0"/>
            <w:tcW w:w="1350" w:type="dxa"/>
            <w:tcBorders>
              <w:top w:val="single" w:sz="4" w:space="0" w:color="448A99"/>
              <w:left w:val="single" w:sz="4" w:space="0" w:color="448A99"/>
              <w:bottom w:val="single" w:sz="4" w:space="0" w:color="448A99"/>
              <w:right w:val="single" w:sz="4" w:space="0" w:color="448A99"/>
            </w:tcBorders>
            <w:shd w:val="clear" w:color="auto" w:fill="D2EAF1"/>
            <w:hideMark/>
          </w:tcPr>
          <w:p w:rsidR="00C93F8E" w:rsidRPr="00B75B77" w:rsidRDefault="00C93F8E" w:rsidP="00557CA1">
            <w:pPr>
              <w:keepNext/>
              <w:jc w:val="right"/>
              <w:rPr>
                <w:rFonts w:eastAsia="Times New Roman"/>
                <w:color w:val="000000"/>
                <w:sz w:val="18"/>
                <w:szCs w:val="18"/>
              </w:rPr>
            </w:pPr>
            <w:r w:rsidRPr="00B75B77">
              <w:rPr>
                <w:sz w:val="18"/>
                <w:szCs w:val="18"/>
              </w:rPr>
              <w:t>839</w:t>
            </w:r>
          </w:p>
        </w:tc>
      </w:tr>
      <w:tr w:rsidR="00C93F8E" w:rsidRPr="00B75B77" w:rsidTr="005E445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448A99"/>
              <w:left w:val="single" w:sz="4" w:space="0" w:color="448A99"/>
              <w:bottom w:val="single" w:sz="4" w:space="0" w:color="448A99"/>
              <w:right w:val="single" w:sz="4" w:space="0" w:color="448A99"/>
            </w:tcBorders>
            <w:shd w:val="clear" w:color="auto" w:fill="auto"/>
            <w:vAlign w:val="center"/>
          </w:tcPr>
          <w:p w:rsidR="00C93F8E" w:rsidRPr="00B75B77" w:rsidRDefault="00C93F8E" w:rsidP="00557CA1">
            <w:pPr>
              <w:keepNext/>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9</w:t>
            </w:r>
          </w:p>
        </w:tc>
        <w:tc>
          <w:tcPr>
            <w:cnfStyle w:val="000010000000" w:firstRow="0" w:lastRow="0" w:firstColumn="0" w:lastColumn="0" w:oddVBand="1" w:evenVBand="0" w:oddHBand="0" w:evenHBand="0" w:firstRowFirstColumn="0" w:firstRowLastColumn="0" w:lastRowFirstColumn="0" w:lastRowLastColumn="0"/>
            <w:tcW w:w="6025"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C93F8E" w:rsidRPr="00B75B77" w:rsidRDefault="00C93F8E" w:rsidP="00557CA1">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EDC Evaluation Costs</w:t>
            </w:r>
          </w:p>
        </w:tc>
        <w:tc>
          <w:tcPr>
            <w:tcW w:w="1170" w:type="dxa"/>
            <w:tcBorders>
              <w:top w:val="single" w:sz="4" w:space="0" w:color="448A99"/>
              <w:left w:val="single" w:sz="4" w:space="0" w:color="448A99"/>
              <w:bottom w:val="single" w:sz="4" w:space="0" w:color="448A99"/>
              <w:right w:val="single" w:sz="4" w:space="0" w:color="448A99"/>
            </w:tcBorders>
            <w:shd w:val="clear" w:color="auto" w:fill="auto"/>
            <w:noWrap/>
            <w:hideMark/>
          </w:tcPr>
          <w:p w:rsidR="00C93F8E" w:rsidRPr="00B75B77" w:rsidRDefault="00C93F8E" w:rsidP="00557CA1">
            <w:pPr>
              <w:keepNext/>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B75B77">
              <w:rPr>
                <w:sz w:val="18"/>
                <w:szCs w:val="18"/>
              </w:rPr>
              <w:t>0</w:t>
            </w:r>
          </w:p>
        </w:tc>
        <w:tc>
          <w:tcPr>
            <w:cnfStyle w:val="000010000000" w:firstRow="0" w:lastRow="0" w:firstColumn="0" w:lastColumn="0" w:oddVBand="1" w:evenVBand="0" w:oddHBand="0" w:evenHBand="0" w:firstRowFirstColumn="0" w:firstRowLastColumn="0" w:lastRowFirstColumn="0" w:lastRowLastColumn="0"/>
            <w:tcW w:w="1350" w:type="dxa"/>
            <w:tcBorders>
              <w:top w:val="single" w:sz="4" w:space="0" w:color="448A99"/>
              <w:left w:val="single" w:sz="4" w:space="0" w:color="448A99"/>
              <w:bottom w:val="single" w:sz="4" w:space="0" w:color="448A99"/>
              <w:right w:val="single" w:sz="4" w:space="0" w:color="448A99"/>
            </w:tcBorders>
            <w:shd w:val="clear" w:color="auto" w:fill="auto"/>
            <w:hideMark/>
          </w:tcPr>
          <w:p w:rsidR="00C93F8E" w:rsidRPr="00B75B77" w:rsidRDefault="00C93F8E" w:rsidP="00557CA1">
            <w:pPr>
              <w:keepNext/>
              <w:jc w:val="right"/>
              <w:rPr>
                <w:rFonts w:eastAsia="Times New Roman"/>
                <w:b/>
                <w:bCs/>
                <w:color w:val="000000"/>
                <w:sz w:val="18"/>
                <w:szCs w:val="18"/>
              </w:rPr>
            </w:pPr>
            <w:r w:rsidRPr="00B75B77">
              <w:rPr>
                <w:sz w:val="18"/>
                <w:szCs w:val="18"/>
              </w:rPr>
              <w:t>0</w:t>
            </w:r>
          </w:p>
        </w:tc>
      </w:tr>
      <w:tr w:rsidR="00C93F8E" w:rsidRPr="00B75B77" w:rsidTr="005E445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448A99"/>
              <w:left w:val="single" w:sz="4" w:space="0" w:color="448A99"/>
              <w:bottom w:val="single" w:sz="4" w:space="0" w:color="448A99"/>
              <w:right w:val="single" w:sz="4" w:space="0" w:color="448A99"/>
            </w:tcBorders>
            <w:shd w:val="clear" w:color="auto" w:fill="D2EAF1"/>
            <w:vAlign w:val="center"/>
          </w:tcPr>
          <w:p w:rsidR="00C93F8E" w:rsidRPr="00B75B77" w:rsidRDefault="00C93F8E" w:rsidP="00557CA1">
            <w:pPr>
              <w:keepNext/>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10</w:t>
            </w:r>
          </w:p>
        </w:tc>
        <w:tc>
          <w:tcPr>
            <w:cnfStyle w:val="000010000000" w:firstRow="0" w:lastRow="0" w:firstColumn="0" w:lastColumn="0" w:oddVBand="1" w:evenVBand="0" w:oddHBand="0" w:evenHBand="0" w:firstRowFirstColumn="0" w:firstRowLastColumn="0" w:lastRowFirstColumn="0" w:lastRowLastColumn="0"/>
            <w:tcW w:w="6025"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C93F8E" w:rsidRPr="00B75B77" w:rsidRDefault="00C93F8E" w:rsidP="00557CA1">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SWE Audit Costs</w:t>
            </w:r>
          </w:p>
        </w:tc>
        <w:tc>
          <w:tcPr>
            <w:tcW w:w="1170" w:type="dxa"/>
            <w:tcBorders>
              <w:top w:val="single" w:sz="4" w:space="0" w:color="448A99"/>
              <w:left w:val="single" w:sz="4" w:space="0" w:color="448A99"/>
              <w:bottom w:val="single" w:sz="4" w:space="0" w:color="448A99"/>
              <w:right w:val="single" w:sz="4" w:space="0" w:color="448A99"/>
            </w:tcBorders>
            <w:shd w:val="clear" w:color="auto" w:fill="D2EAF1"/>
            <w:noWrap/>
          </w:tcPr>
          <w:p w:rsidR="00C93F8E" w:rsidRPr="00B75B77" w:rsidRDefault="00C93F8E" w:rsidP="00557CA1">
            <w:pPr>
              <w:keepNext/>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B75B77">
              <w:rPr>
                <w:sz w:val="18"/>
                <w:szCs w:val="18"/>
              </w:rPr>
              <w:t>0</w:t>
            </w:r>
          </w:p>
        </w:tc>
        <w:tc>
          <w:tcPr>
            <w:cnfStyle w:val="000010000000" w:firstRow="0" w:lastRow="0" w:firstColumn="0" w:lastColumn="0" w:oddVBand="1" w:evenVBand="0" w:oddHBand="0" w:evenHBand="0" w:firstRowFirstColumn="0" w:firstRowLastColumn="0" w:lastRowFirstColumn="0" w:lastRowLastColumn="0"/>
            <w:tcW w:w="1350" w:type="dxa"/>
            <w:tcBorders>
              <w:top w:val="single" w:sz="4" w:space="0" w:color="448A99"/>
              <w:left w:val="single" w:sz="4" w:space="0" w:color="448A99"/>
              <w:bottom w:val="single" w:sz="4" w:space="0" w:color="448A99"/>
              <w:right w:val="single" w:sz="4" w:space="0" w:color="448A99"/>
            </w:tcBorders>
            <w:shd w:val="clear" w:color="auto" w:fill="D2EAF1"/>
          </w:tcPr>
          <w:p w:rsidR="00C93F8E" w:rsidRPr="00B75B77" w:rsidRDefault="00C93F8E" w:rsidP="00557CA1">
            <w:pPr>
              <w:keepNext/>
              <w:jc w:val="right"/>
              <w:rPr>
                <w:rFonts w:eastAsia="Times New Roman"/>
                <w:color w:val="000000"/>
                <w:sz w:val="18"/>
                <w:szCs w:val="18"/>
              </w:rPr>
            </w:pPr>
            <w:r w:rsidRPr="00B75B77">
              <w:rPr>
                <w:sz w:val="18"/>
                <w:szCs w:val="18"/>
              </w:rPr>
              <w:t>0</w:t>
            </w:r>
          </w:p>
        </w:tc>
      </w:tr>
      <w:tr w:rsidR="00C93F8E" w:rsidRPr="00B75B77" w:rsidTr="005E4455">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9607" w:type="dxa"/>
            <w:gridSpan w:val="4"/>
            <w:tcBorders>
              <w:top w:val="single" w:sz="4" w:space="0" w:color="448A99"/>
              <w:left w:val="single" w:sz="4" w:space="0" w:color="448A99"/>
              <w:bottom w:val="single" w:sz="4" w:space="0" w:color="448A99"/>
              <w:right w:val="single" w:sz="4" w:space="0" w:color="448A99"/>
            </w:tcBorders>
            <w:shd w:val="clear" w:color="auto" w:fill="AEAAAA"/>
            <w:vAlign w:val="center"/>
          </w:tcPr>
          <w:p w:rsidR="00C93F8E" w:rsidRPr="00B75B77" w:rsidRDefault="00C93F8E" w:rsidP="00557CA1">
            <w:pPr>
              <w:keepNext/>
              <w:jc w:val="right"/>
              <w:rPr>
                <w:rFonts w:eastAsia="Times New Roman"/>
                <w:b w:val="0"/>
                <w:bCs w:val="0"/>
                <w:color w:val="000000"/>
                <w:sz w:val="18"/>
                <w:szCs w:val="18"/>
              </w:rPr>
            </w:pPr>
          </w:p>
        </w:tc>
      </w:tr>
      <w:tr w:rsidR="00C93F8E" w:rsidRPr="00B75B77" w:rsidTr="005E445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448A99"/>
              <w:left w:val="single" w:sz="4" w:space="0" w:color="448A99"/>
              <w:bottom w:val="single" w:sz="4" w:space="0" w:color="448A99"/>
              <w:right w:val="single" w:sz="4" w:space="0" w:color="448A99"/>
            </w:tcBorders>
            <w:shd w:val="clear" w:color="auto" w:fill="auto"/>
            <w:vAlign w:val="center"/>
          </w:tcPr>
          <w:p w:rsidR="00C93F8E" w:rsidRPr="00B75B77" w:rsidRDefault="00C93F8E" w:rsidP="00557CA1">
            <w:pPr>
              <w:keepNext/>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11</w:t>
            </w:r>
          </w:p>
        </w:tc>
        <w:tc>
          <w:tcPr>
            <w:cnfStyle w:val="000010000000" w:firstRow="0" w:lastRow="0" w:firstColumn="0" w:lastColumn="0" w:oddVBand="1" w:evenVBand="0" w:oddHBand="0" w:evenHBand="0" w:firstRowFirstColumn="0" w:firstRowLastColumn="0" w:lastRowFirstColumn="0" w:lastRowLastColumn="0"/>
            <w:tcW w:w="6025"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C93F8E" w:rsidRPr="00B75B77" w:rsidRDefault="00C93F8E" w:rsidP="00557CA1">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Increases in Costs of Natural Gas (or Other Fuels) for Fuel-Switching Programs</w:t>
            </w:r>
          </w:p>
        </w:tc>
        <w:tc>
          <w:tcPr>
            <w:tcW w:w="117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C93F8E" w:rsidRPr="00B75B77" w:rsidRDefault="00C93F8E" w:rsidP="00557CA1">
            <w:pPr>
              <w:keepNext/>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B75B77">
              <w:rPr>
                <w:rFonts w:eastAsia="Times New Roman"/>
                <w:color w:val="000000"/>
                <w:sz w:val="18"/>
                <w:szCs w:val="18"/>
              </w:rPr>
              <w:t>0</w:t>
            </w:r>
          </w:p>
        </w:tc>
        <w:tc>
          <w:tcPr>
            <w:cnfStyle w:val="000010000000" w:firstRow="0" w:lastRow="0" w:firstColumn="0" w:lastColumn="0" w:oddVBand="1" w:evenVBand="0" w:oddHBand="0" w:evenHBand="0" w:firstRowFirstColumn="0" w:firstRowLastColumn="0" w:lastRowFirstColumn="0" w:lastRowLastColumn="0"/>
            <w:tcW w:w="1350" w:type="dxa"/>
            <w:tcBorders>
              <w:top w:val="single" w:sz="4" w:space="0" w:color="448A99"/>
              <w:left w:val="single" w:sz="4" w:space="0" w:color="448A99"/>
              <w:bottom w:val="single" w:sz="4" w:space="0" w:color="448A99"/>
              <w:right w:val="single" w:sz="4" w:space="0" w:color="448A99"/>
            </w:tcBorders>
            <w:shd w:val="clear" w:color="auto" w:fill="auto"/>
            <w:vAlign w:val="center"/>
          </w:tcPr>
          <w:p w:rsidR="00C93F8E" w:rsidRPr="00B75B77" w:rsidRDefault="00C93F8E" w:rsidP="00557CA1">
            <w:pPr>
              <w:keepNext/>
              <w:jc w:val="right"/>
              <w:rPr>
                <w:rFonts w:eastAsia="Times New Roman"/>
                <w:color w:val="000000"/>
                <w:sz w:val="18"/>
                <w:szCs w:val="18"/>
              </w:rPr>
            </w:pPr>
            <w:r w:rsidRPr="00B75B77">
              <w:rPr>
                <w:rFonts w:eastAsia="Times New Roman"/>
                <w:color w:val="000000"/>
                <w:sz w:val="18"/>
                <w:szCs w:val="18"/>
              </w:rPr>
              <w:t>0</w:t>
            </w:r>
          </w:p>
        </w:tc>
      </w:tr>
      <w:tr w:rsidR="00C93F8E" w:rsidRPr="00B75B77" w:rsidTr="005E4455">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9607" w:type="dxa"/>
            <w:gridSpan w:val="4"/>
            <w:tcBorders>
              <w:top w:val="single" w:sz="4" w:space="0" w:color="448A99"/>
              <w:left w:val="single" w:sz="4" w:space="0" w:color="448A99"/>
              <w:bottom w:val="single" w:sz="4" w:space="0" w:color="448A99"/>
              <w:right w:val="single" w:sz="4" w:space="0" w:color="448A99"/>
            </w:tcBorders>
            <w:shd w:val="clear" w:color="auto" w:fill="AEAAAA"/>
            <w:vAlign w:val="center"/>
          </w:tcPr>
          <w:p w:rsidR="00C93F8E" w:rsidRPr="00B75B77" w:rsidRDefault="00C93F8E" w:rsidP="00557CA1">
            <w:pPr>
              <w:keepNext/>
              <w:jc w:val="right"/>
              <w:rPr>
                <w:rFonts w:eastAsia="Times New Roman"/>
                <w:b w:val="0"/>
                <w:bCs w:val="0"/>
                <w:color w:val="000000"/>
                <w:sz w:val="18"/>
                <w:szCs w:val="18"/>
              </w:rPr>
            </w:pPr>
          </w:p>
        </w:tc>
      </w:tr>
      <w:tr w:rsidR="00C93F8E" w:rsidRPr="00B75B77" w:rsidTr="005E445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448A99"/>
              <w:left w:val="single" w:sz="4" w:space="0" w:color="448A99"/>
              <w:bottom w:val="single" w:sz="4" w:space="0" w:color="448A99"/>
              <w:right w:val="single" w:sz="4" w:space="0" w:color="448A99"/>
            </w:tcBorders>
            <w:shd w:val="clear" w:color="auto" w:fill="D2EAF1"/>
            <w:vAlign w:val="center"/>
          </w:tcPr>
          <w:p w:rsidR="00C93F8E" w:rsidRPr="00B75B77" w:rsidRDefault="00C93F8E" w:rsidP="00557CA1">
            <w:pPr>
              <w:keepNext/>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12</w:t>
            </w:r>
          </w:p>
        </w:tc>
        <w:tc>
          <w:tcPr>
            <w:cnfStyle w:val="000010000000" w:firstRow="0" w:lastRow="0" w:firstColumn="0" w:lastColumn="0" w:oddVBand="1" w:evenVBand="0" w:oddHBand="0" w:evenHBand="0" w:firstRowFirstColumn="0" w:firstRowLastColumn="0" w:lastRowFirstColumn="0" w:lastRowLastColumn="0"/>
            <w:tcW w:w="6025" w:type="dxa"/>
            <w:tcBorders>
              <w:top w:val="single" w:sz="4" w:space="0" w:color="448A99"/>
              <w:left w:val="single" w:sz="4" w:space="0" w:color="448A99"/>
              <w:bottom w:val="single" w:sz="4" w:space="0" w:color="448A99"/>
              <w:right w:val="single" w:sz="4" w:space="0" w:color="448A99"/>
            </w:tcBorders>
            <w:noWrap/>
            <w:vAlign w:val="center"/>
            <w:hideMark/>
          </w:tcPr>
          <w:p w:rsidR="00C93F8E" w:rsidRPr="00B75B77" w:rsidRDefault="00C93F8E" w:rsidP="00557CA1">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Total TRC Costs</w:t>
            </w:r>
            <w:r w:rsidRPr="00B75B77">
              <w:rPr>
                <w:rFonts w:ascii="Calibri" w:eastAsia="Times New Roman" w:hAnsi="Calibri"/>
                <w:bCs/>
                <w:color w:val="000000"/>
                <w:sz w:val="18"/>
                <w:szCs w:val="18"/>
                <w:vertAlign w:val="superscript"/>
              </w:rPr>
              <w:t xml:space="preserve">[3] </w:t>
            </w:r>
            <w:r w:rsidRPr="00B75B77">
              <w:rPr>
                <w:rFonts w:ascii="Calibri" w:eastAsia="Times New Roman" w:hAnsi="Calibri"/>
                <w:bCs/>
                <w:color w:val="000000"/>
                <w:sz w:val="18"/>
                <w:szCs w:val="18"/>
              </w:rPr>
              <w:t>(Sum of Rows 1, 5, and 11)</w:t>
            </w:r>
          </w:p>
        </w:tc>
        <w:tc>
          <w:tcPr>
            <w:tcW w:w="11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hideMark/>
          </w:tcPr>
          <w:p w:rsidR="00C93F8E" w:rsidRPr="00B75B77" w:rsidRDefault="00C93F8E" w:rsidP="00557CA1">
            <w:pPr>
              <w:keepNext/>
              <w:jc w:val="right"/>
              <w:cnfStyle w:val="000000010000" w:firstRow="0" w:lastRow="0" w:firstColumn="0" w:lastColumn="0" w:oddVBand="0" w:evenVBand="0" w:oddHBand="0" w:evenHBand="1" w:firstRowFirstColumn="0" w:firstRowLastColumn="0" w:lastRowFirstColumn="0" w:lastRowLastColumn="0"/>
              <w:rPr>
                <w:rFonts w:eastAsia="Times New Roman"/>
                <w:b/>
                <w:bCs/>
                <w:color w:val="000000"/>
                <w:sz w:val="18"/>
                <w:szCs w:val="18"/>
              </w:rPr>
            </w:pPr>
            <w:r w:rsidRPr="00B75B77">
              <w:rPr>
                <w:color w:val="000000"/>
                <w:sz w:val="18"/>
                <w:szCs w:val="18"/>
              </w:rPr>
              <w:t>8,088</w:t>
            </w:r>
          </w:p>
        </w:tc>
        <w:tc>
          <w:tcPr>
            <w:cnfStyle w:val="000010000000" w:firstRow="0" w:lastRow="0" w:firstColumn="0" w:lastColumn="0" w:oddVBand="1" w:evenVBand="0" w:oddHBand="0" w:evenHBand="0" w:firstRowFirstColumn="0" w:firstRowLastColumn="0" w:lastRowFirstColumn="0" w:lastRowLastColumn="0"/>
            <w:tcW w:w="1350" w:type="dxa"/>
            <w:tcBorders>
              <w:top w:val="single" w:sz="4" w:space="0" w:color="448A99"/>
              <w:left w:val="single" w:sz="4" w:space="0" w:color="448A99"/>
              <w:bottom w:val="single" w:sz="4" w:space="0" w:color="448A99"/>
              <w:right w:val="single" w:sz="4" w:space="0" w:color="448A99"/>
            </w:tcBorders>
            <w:vAlign w:val="center"/>
            <w:hideMark/>
          </w:tcPr>
          <w:p w:rsidR="00C93F8E" w:rsidRPr="00B75B77" w:rsidRDefault="00C93F8E" w:rsidP="00557CA1">
            <w:pPr>
              <w:keepNext/>
              <w:jc w:val="right"/>
              <w:rPr>
                <w:rFonts w:eastAsia="Times New Roman"/>
                <w:b/>
                <w:bCs/>
                <w:color w:val="000000"/>
                <w:sz w:val="18"/>
                <w:szCs w:val="18"/>
              </w:rPr>
            </w:pPr>
            <w:r w:rsidRPr="00B75B77">
              <w:rPr>
                <w:color w:val="000000"/>
                <w:sz w:val="18"/>
                <w:szCs w:val="18"/>
              </w:rPr>
              <w:t>23,453</w:t>
            </w:r>
          </w:p>
        </w:tc>
      </w:tr>
      <w:tr w:rsidR="00C93F8E" w:rsidRPr="00B75B77" w:rsidTr="005E445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448A99"/>
              <w:left w:val="single" w:sz="4" w:space="0" w:color="448A99"/>
              <w:bottom w:val="single" w:sz="4" w:space="0" w:color="448A99"/>
              <w:right w:val="single" w:sz="4" w:space="0" w:color="448A99"/>
            </w:tcBorders>
            <w:shd w:val="clear" w:color="auto" w:fill="auto"/>
            <w:vAlign w:val="center"/>
          </w:tcPr>
          <w:p w:rsidR="00C93F8E" w:rsidRPr="00B75B77" w:rsidRDefault="00C93F8E" w:rsidP="00557CA1">
            <w:pPr>
              <w:keepNext/>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13</w:t>
            </w:r>
          </w:p>
        </w:tc>
        <w:tc>
          <w:tcPr>
            <w:cnfStyle w:val="000010000000" w:firstRow="0" w:lastRow="0" w:firstColumn="0" w:lastColumn="0" w:oddVBand="1" w:evenVBand="0" w:oddHBand="0" w:evenHBand="0" w:firstRowFirstColumn="0" w:firstRowLastColumn="0" w:lastRowFirstColumn="0" w:lastRowLastColumn="0"/>
            <w:tcW w:w="6025" w:type="dxa"/>
            <w:tcBorders>
              <w:top w:val="single" w:sz="4" w:space="0" w:color="448A99"/>
              <w:left w:val="single" w:sz="4" w:space="0" w:color="448A99"/>
              <w:bottom w:val="single" w:sz="4" w:space="0" w:color="448A99"/>
              <w:right w:val="single" w:sz="4" w:space="0" w:color="448A99"/>
            </w:tcBorders>
            <w:shd w:val="clear" w:color="auto" w:fill="auto"/>
            <w:noWrap/>
            <w:vAlign w:val="center"/>
            <w:hideMark/>
          </w:tcPr>
          <w:p w:rsidR="00C93F8E" w:rsidRPr="00B75B77" w:rsidRDefault="00C93F8E" w:rsidP="00557CA1">
            <w:pPr>
              <w:keepNext/>
              <w:jc w:val="left"/>
              <w:rPr>
                <w:rFonts w:ascii="Calibri" w:eastAsia="Times New Roman" w:hAnsi="Calibri"/>
                <w:color w:val="000000"/>
                <w:sz w:val="18"/>
                <w:szCs w:val="18"/>
              </w:rPr>
            </w:pPr>
            <w:r w:rsidRPr="00B75B77">
              <w:rPr>
                <w:rFonts w:ascii="Calibri" w:eastAsia="Times New Roman" w:hAnsi="Calibri"/>
                <w:bCs/>
                <w:color w:val="000000"/>
                <w:sz w:val="18"/>
                <w:szCs w:val="18"/>
              </w:rPr>
              <w:t>Total NPV Lifetime Energy Benefits</w:t>
            </w:r>
          </w:p>
        </w:tc>
        <w:tc>
          <w:tcPr>
            <w:tcW w:w="1170" w:type="dxa"/>
            <w:tcBorders>
              <w:top w:val="single" w:sz="4" w:space="0" w:color="448A99"/>
              <w:left w:val="single" w:sz="4" w:space="0" w:color="448A99"/>
              <w:bottom w:val="single" w:sz="4" w:space="0" w:color="448A99"/>
              <w:right w:val="single" w:sz="4" w:space="0" w:color="448A99"/>
            </w:tcBorders>
            <w:shd w:val="clear" w:color="auto" w:fill="auto"/>
            <w:noWrap/>
            <w:vAlign w:val="center"/>
            <w:hideMark/>
          </w:tcPr>
          <w:p w:rsidR="00C93F8E" w:rsidRPr="00B75B77" w:rsidRDefault="00C93F8E" w:rsidP="00557CA1">
            <w:pPr>
              <w:keepNext/>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B75B77">
              <w:rPr>
                <w:color w:val="000000"/>
                <w:sz w:val="18"/>
                <w:szCs w:val="18"/>
              </w:rPr>
              <w:t>10,892</w:t>
            </w:r>
          </w:p>
        </w:tc>
        <w:tc>
          <w:tcPr>
            <w:cnfStyle w:val="000010000000" w:firstRow="0" w:lastRow="0" w:firstColumn="0" w:lastColumn="0" w:oddVBand="1" w:evenVBand="0" w:oddHBand="0" w:evenHBand="0" w:firstRowFirstColumn="0" w:firstRowLastColumn="0" w:lastRowFirstColumn="0" w:lastRowLastColumn="0"/>
            <w:tcW w:w="1350" w:type="dxa"/>
            <w:tcBorders>
              <w:top w:val="single" w:sz="4" w:space="0" w:color="448A99"/>
              <w:left w:val="single" w:sz="4" w:space="0" w:color="448A99"/>
              <w:bottom w:val="single" w:sz="4" w:space="0" w:color="448A99"/>
              <w:right w:val="single" w:sz="4" w:space="0" w:color="448A99"/>
            </w:tcBorders>
            <w:shd w:val="clear" w:color="auto" w:fill="auto"/>
            <w:vAlign w:val="center"/>
            <w:hideMark/>
          </w:tcPr>
          <w:p w:rsidR="00C93F8E" w:rsidRPr="00B75B77" w:rsidRDefault="00C93F8E" w:rsidP="00557CA1">
            <w:pPr>
              <w:keepNext/>
              <w:jc w:val="right"/>
              <w:rPr>
                <w:rFonts w:eastAsia="Times New Roman"/>
                <w:b/>
                <w:bCs/>
                <w:color w:val="000000"/>
                <w:sz w:val="18"/>
                <w:szCs w:val="18"/>
              </w:rPr>
            </w:pPr>
            <w:r w:rsidRPr="00B75B77">
              <w:rPr>
                <w:color w:val="000000"/>
                <w:sz w:val="18"/>
                <w:szCs w:val="18"/>
              </w:rPr>
              <w:t>32,009</w:t>
            </w:r>
          </w:p>
        </w:tc>
      </w:tr>
      <w:tr w:rsidR="00C93F8E" w:rsidRPr="00B75B77" w:rsidTr="005E445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448A99"/>
              <w:left w:val="single" w:sz="4" w:space="0" w:color="448A99"/>
              <w:bottom w:val="single" w:sz="4" w:space="0" w:color="448A99"/>
              <w:right w:val="single" w:sz="4" w:space="0" w:color="448A99"/>
            </w:tcBorders>
            <w:shd w:val="clear" w:color="auto" w:fill="D2EAF1"/>
            <w:vAlign w:val="center"/>
          </w:tcPr>
          <w:p w:rsidR="00C93F8E" w:rsidRPr="00B75B77" w:rsidRDefault="00C93F8E" w:rsidP="00557CA1">
            <w:pPr>
              <w:keepNext/>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14</w:t>
            </w:r>
          </w:p>
        </w:tc>
        <w:tc>
          <w:tcPr>
            <w:cnfStyle w:val="000010000000" w:firstRow="0" w:lastRow="0" w:firstColumn="0" w:lastColumn="0" w:oddVBand="1" w:evenVBand="0" w:oddHBand="0" w:evenHBand="0" w:firstRowFirstColumn="0" w:firstRowLastColumn="0" w:lastRowFirstColumn="0" w:lastRowLastColumn="0"/>
            <w:tcW w:w="6025" w:type="dxa"/>
            <w:tcBorders>
              <w:top w:val="single" w:sz="4" w:space="0" w:color="448A99"/>
              <w:left w:val="single" w:sz="4" w:space="0" w:color="448A99"/>
              <w:bottom w:val="single" w:sz="4" w:space="0" w:color="448A99"/>
              <w:right w:val="single" w:sz="4" w:space="0" w:color="448A99"/>
            </w:tcBorders>
            <w:noWrap/>
            <w:vAlign w:val="center"/>
            <w:hideMark/>
          </w:tcPr>
          <w:p w:rsidR="00C93F8E" w:rsidRPr="00B75B77" w:rsidRDefault="00C93F8E" w:rsidP="00557CA1">
            <w:pPr>
              <w:keepNext/>
              <w:jc w:val="left"/>
              <w:rPr>
                <w:rFonts w:ascii="Calibri" w:eastAsia="Times New Roman" w:hAnsi="Calibri"/>
                <w:color w:val="000000"/>
                <w:sz w:val="18"/>
                <w:szCs w:val="18"/>
              </w:rPr>
            </w:pPr>
            <w:r w:rsidRPr="00B75B77">
              <w:rPr>
                <w:rFonts w:ascii="Calibri" w:eastAsia="Times New Roman" w:hAnsi="Calibri"/>
                <w:bCs/>
                <w:color w:val="000000"/>
                <w:sz w:val="18"/>
                <w:szCs w:val="18"/>
              </w:rPr>
              <w:t>Total NPV Lifetime Capacity Benefits</w:t>
            </w:r>
          </w:p>
        </w:tc>
        <w:tc>
          <w:tcPr>
            <w:tcW w:w="11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hideMark/>
          </w:tcPr>
          <w:p w:rsidR="00C93F8E" w:rsidRPr="00B75B77" w:rsidRDefault="00C93F8E" w:rsidP="00557CA1">
            <w:pPr>
              <w:keepNext/>
              <w:jc w:val="right"/>
              <w:cnfStyle w:val="000000010000" w:firstRow="0" w:lastRow="0" w:firstColumn="0" w:lastColumn="0" w:oddVBand="0" w:evenVBand="0" w:oddHBand="0" w:evenHBand="1" w:firstRowFirstColumn="0" w:firstRowLastColumn="0" w:lastRowFirstColumn="0" w:lastRowLastColumn="0"/>
              <w:rPr>
                <w:rFonts w:eastAsia="Times New Roman"/>
                <w:b/>
                <w:bCs/>
                <w:color w:val="000000"/>
                <w:sz w:val="18"/>
                <w:szCs w:val="18"/>
              </w:rPr>
            </w:pPr>
            <w:r w:rsidRPr="00B75B77">
              <w:rPr>
                <w:color w:val="000000"/>
                <w:sz w:val="18"/>
                <w:szCs w:val="18"/>
              </w:rPr>
              <w:t>735</w:t>
            </w:r>
          </w:p>
        </w:tc>
        <w:tc>
          <w:tcPr>
            <w:cnfStyle w:val="000010000000" w:firstRow="0" w:lastRow="0" w:firstColumn="0" w:lastColumn="0" w:oddVBand="1" w:evenVBand="0" w:oddHBand="0" w:evenHBand="0" w:firstRowFirstColumn="0" w:firstRowLastColumn="0" w:lastRowFirstColumn="0" w:lastRowLastColumn="0"/>
            <w:tcW w:w="1350" w:type="dxa"/>
            <w:tcBorders>
              <w:top w:val="single" w:sz="4" w:space="0" w:color="448A99"/>
              <w:left w:val="single" w:sz="4" w:space="0" w:color="448A99"/>
              <w:bottom w:val="single" w:sz="4" w:space="0" w:color="448A99"/>
              <w:right w:val="single" w:sz="4" w:space="0" w:color="448A99"/>
            </w:tcBorders>
            <w:vAlign w:val="center"/>
            <w:hideMark/>
          </w:tcPr>
          <w:p w:rsidR="00C93F8E" w:rsidRPr="00B75B77" w:rsidRDefault="00C93F8E" w:rsidP="00557CA1">
            <w:pPr>
              <w:keepNext/>
              <w:jc w:val="right"/>
              <w:rPr>
                <w:rFonts w:eastAsia="Times New Roman"/>
                <w:b/>
                <w:bCs/>
                <w:color w:val="000000"/>
                <w:sz w:val="18"/>
                <w:szCs w:val="18"/>
              </w:rPr>
            </w:pPr>
            <w:r w:rsidRPr="00B75B77">
              <w:rPr>
                <w:color w:val="000000"/>
                <w:sz w:val="18"/>
                <w:szCs w:val="18"/>
              </w:rPr>
              <w:t>1,961</w:t>
            </w:r>
          </w:p>
        </w:tc>
      </w:tr>
      <w:tr w:rsidR="00C93F8E" w:rsidRPr="00B75B77" w:rsidTr="005E445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448A99"/>
              <w:left w:val="single" w:sz="4" w:space="0" w:color="448A99"/>
              <w:bottom w:val="single" w:sz="4" w:space="0" w:color="448A99"/>
              <w:right w:val="single" w:sz="4" w:space="0" w:color="448A99"/>
            </w:tcBorders>
            <w:shd w:val="clear" w:color="auto" w:fill="auto"/>
            <w:vAlign w:val="center"/>
          </w:tcPr>
          <w:p w:rsidR="00C93F8E" w:rsidRPr="00B75B77" w:rsidRDefault="00C93F8E" w:rsidP="00557CA1">
            <w:pPr>
              <w:keepNext/>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15</w:t>
            </w:r>
          </w:p>
        </w:tc>
        <w:tc>
          <w:tcPr>
            <w:cnfStyle w:val="000010000000" w:firstRow="0" w:lastRow="0" w:firstColumn="0" w:lastColumn="0" w:oddVBand="1" w:evenVBand="0" w:oddHBand="0" w:evenHBand="0" w:firstRowFirstColumn="0" w:firstRowLastColumn="0" w:lastRowFirstColumn="0" w:lastRowLastColumn="0"/>
            <w:tcW w:w="6025" w:type="dxa"/>
            <w:tcBorders>
              <w:top w:val="single" w:sz="4" w:space="0" w:color="448A99"/>
              <w:left w:val="single" w:sz="4" w:space="0" w:color="448A99"/>
              <w:bottom w:val="single" w:sz="4" w:space="0" w:color="448A99"/>
              <w:right w:val="single" w:sz="4" w:space="0" w:color="448A99"/>
            </w:tcBorders>
            <w:shd w:val="clear" w:color="auto" w:fill="auto"/>
            <w:noWrap/>
            <w:vAlign w:val="center"/>
            <w:hideMark/>
          </w:tcPr>
          <w:p w:rsidR="00C93F8E" w:rsidRPr="00B75B77" w:rsidRDefault="00C93F8E" w:rsidP="00557CA1">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Total NPV TRC Benefits</w:t>
            </w:r>
            <w:r w:rsidRPr="00B75B77">
              <w:rPr>
                <w:rFonts w:ascii="Calibri" w:eastAsia="Times New Roman" w:hAnsi="Calibri"/>
                <w:bCs/>
                <w:color w:val="000000"/>
                <w:sz w:val="18"/>
                <w:szCs w:val="18"/>
                <w:vertAlign w:val="superscript"/>
              </w:rPr>
              <w:t>[4]</w:t>
            </w:r>
          </w:p>
        </w:tc>
        <w:tc>
          <w:tcPr>
            <w:tcW w:w="1170" w:type="dxa"/>
            <w:tcBorders>
              <w:top w:val="single" w:sz="4" w:space="0" w:color="448A99"/>
              <w:left w:val="single" w:sz="4" w:space="0" w:color="448A99"/>
              <w:bottom w:val="single" w:sz="4" w:space="0" w:color="448A99"/>
              <w:right w:val="single" w:sz="4" w:space="0" w:color="448A99"/>
            </w:tcBorders>
            <w:shd w:val="clear" w:color="auto" w:fill="auto"/>
            <w:noWrap/>
            <w:vAlign w:val="center"/>
            <w:hideMark/>
          </w:tcPr>
          <w:p w:rsidR="00C93F8E" w:rsidRPr="00B75B77" w:rsidRDefault="00C93F8E" w:rsidP="00557CA1">
            <w:pPr>
              <w:keepNext/>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B75B77">
              <w:rPr>
                <w:color w:val="000000"/>
                <w:sz w:val="18"/>
                <w:szCs w:val="18"/>
              </w:rPr>
              <w:t>12,435</w:t>
            </w:r>
          </w:p>
        </w:tc>
        <w:tc>
          <w:tcPr>
            <w:cnfStyle w:val="000010000000" w:firstRow="0" w:lastRow="0" w:firstColumn="0" w:lastColumn="0" w:oddVBand="1" w:evenVBand="0" w:oddHBand="0" w:evenHBand="0" w:firstRowFirstColumn="0" w:firstRowLastColumn="0" w:lastRowFirstColumn="0" w:lastRowLastColumn="0"/>
            <w:tcW w:w="1350" w:type="dxa"/>
            <w:tcBorders>
              <w:top w:val="single" w:sz="4" w:space="0" w:color="448A99"/>
              <w:left w:val="single" w:sz="4" w:space="0" w:color="448A99"/>
              <w:bottom w:val="single" w:sz="4" w:space="0" w:color="448A99"/>
              <w:right w:val="single" w:sz="4" w:space="0" w:color="448A99"/>
            </w:tcBorders>
            <w:shd w:val="clear" w:color="auto" w:fill="auto"/>
            <w:vAlign w:val="center"/>
            <w:hideMark/>
          </w:tcPr>
          <w:p w:rsidR="00C93F8E" w:rsidRPr="00B75B77" w:rsidRDefault="00C93F8E" w:rsidP="00557CA1">
            <w:pPr>
              <w:keepNext/>
              <w:jc w:val="right"/>
              <w:rPr>
                <w:rFonts w:eastAsia="Times New Roman"/>
                <w:b/>
                <w:bCs/>
                <w:color w:val="000000"/>
                <w:sz w:val="18"/>
                <w:szCs w:val="18"/>
              </w:rPr>
            </w:pPr>
            <w:r w:rsidRPr="00B75B77">
              <w:rPr>
                <w:color w:val="000000"/>
                <w:sz w:val="18"/>
                <w:szCs w:val="18"/>
              </w:rPr>
              <w:t>36,409</w:t>
            </w:r>
          </w:p>
        </w:tc>
      </w:tr>
      <w:tr w:rsidR="00C93F8E" w:rsidRPr="00B75B77" w:rsidTr="005E4455">
        <w:trPr>
          <w:cnfStyle w:val="000000010000" w:firstRow="0" w:lastRow="0" w:firstColumn="0" w:lastColumn="0" w:oddVBand="0" w:evenVBand="0" w:oddHBand="0" w:evenHBand="1"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9607" w:type="dxa"/>
            <w:gridSpan w:val="4"/>
            <w:tcBorders>
              <w:top w:val="single" w:sz="4" w:space="0" w:color="448A99"/>
              <w:left w:val="single" w:sz="4" w:space="0" w:color="448A99"/>
              <w:bottom w:val="single" w:sz="4" w:space="0" w:color="448A99"/>
              <w:right w:val="single" w:sz="4" w:space="0" w:color="448A99"/>
            </w:tcBorders>
            <w:shd w:val="clear" w:color="auto" w:fill="AEAAAA"/>
            <w:vAlign w:val="center"/>
          </w:tcPr>
          <w:p w:rsidR="00C93F8E" w:rsidRPr="00B75B77" w:rsidRDefault="00C93F8E" w:rsidP="00557CA1">
            <w:pPr>
              <w:keepNext/>
              <w:jc w:val="right"/>
              <w:rPr>
                <w:rFonts w:ascii="Calibri" w:eastAsia="Times New Roman" w:hAnsi="Calibri"/>
                <w:b w:val="0"/>
                <w:bCs w:val="0"/>
                <w:color w:val="000000"/>
                <w:sz w:val="18"/>
                <w:szCs w:val="18"/>
              </w:rPr>
            </w:pPr>
          </w:p>
        </w:tc>
      </w:tr>
      <w:tr w:rsidR="00C93F8E" w:rsidRPr="00B75B77" w:rsidTr="005E445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448A99"/>
              <w:left w:val="single" w:sz="4" w:space="0" w:color="448A99"/>
              <w:bottom w:val="single" w:sz="4" w:space="0" w:color="448A99"/>
              <w:right w:val="single" w:sz="4" w:space="0" w:color="448A99"/>
            </w:tcBorders>
            <w:shd w:val="clear" w:color="auto" w:fill="D2EAF1"/>
            <w:vAlign w:val="center"/>
          </w:tcPr>
          <w:p w:rsidR="00C93F8E" w:rsidRPr="00B75B77" w:rsidRDefault="00C93F8E" w:rsidP="00557CA1">
            <w:pPr>
              <w:keepNext/>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16</w:t>
            </w:r>
          </w:p>
        </w:tc>
        <w:tc>
          <w:tcPr>
            <w:cnfStyle w:val="000010000000" w:firstRow="0" w:lastRow="0" w:firstColumn="0" w:lastColumn="0" w:oddVBand="1" w:evenVBand="0" w:oddHBand="0" w:evenHBand="0" w:firstRowFirstColumn="0" w:firstRowLastColumn="0" w:lastRowFirstColumn="0" w:lastRowLastColumn="0"/>
            <w:tcW w:w="6025" w:type="dxa"/>
            <w:tcBorders>
              <w:top w:val="single" w:sz="4" w:space="0" w:color="448A99"/>
              <w:left w:val="single" w:sz="4" w:space="0" w:color="448A99"/>
              <w:bottom w:val="single" w:sz="4" w:space="0" w:color="448A99"/>
              <w:right w:val="single" w:sz="4" w:space="0" w:color="448A99"/>
            </w:tcBorders>
            <w:shd w:val="clear" w:color="auto" w:fill="D2EAF1"/>
            <w:noWrap/>
            <w:vAlign w:val="center"/>
            <w:hideMark/>
          </w:tcPr>
          <w:p w:rsidR="00C93F8E" w:rsidRPr="00B75B77" w:rsidRDefault="00C93F8E" w:rsidP="00557CA1">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TRC Benefit-Cost Ratio</w:t>
            </w:r>
            <w:r w:rsidRPr="00B75B77">
              <w:rPr>
                <w:rFonts w:ascii="Calibri" w:eastAsia="Times New Roman" w:hAnsi="Calibri"/>
                <w:bCs/>
                <w:color w:val="000000"/>
                <w:sz w:val="18"/>
                <w:szCs w:val="18"/>
                <w:vertAlign w:val="superscript"/>
              </w:rPr>
              <w:t>[5]</w:t>
            </w:r>
          </w:p>
        </w:tc>
        <w:tc>
          <w:tcPr>
            <w:tcW w:w="1170" w:type="dxa"/>
            <w:tcBorders>
              <w:top w:val="single" w:sz="4" w:space="0" w:color="448A99"/>
              <w:left w:val="single" w:sz="4" w:space="0" w:color="448A99"/>
              <w:bottom w:val="single" w:sz="4" w:space="0" w:color="448A99"/>
              <w:right w:val="single" w:sz="4" w:space="0" w:color="448A99"/>
            </w:tcBorders>
            <w:shd w:val="clear" w:color="auto" w:fill="D2EAF1"/>
            <w:noWrap/>
            <w:hideMark/>
          </w:tcPr>
          <w:p w:rsidR="00C93F8E" w:rsidRPr="00B75B77" w:rsidRDefault="00C93F8E" w:rsidP="00557CA1">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18"/>
                <w:szCs w:val="18"/>
              </w:rPr>
            </w:pPr>
            <w:r w:rsidRPr="00B75B77">
              <w:rPr>
                <w:sz w:val="18"/>
                <w:szCs w:val="18"/>
              </w:rPr>
              <w:t>1.54</w:t>
            </w:r>
          </w:p>
        </w:tc>
        <w:tc>
          <w:tcPr>
            <w:cnfStyle w:val="000010000000" w:firstRow="0" w:lastRow="0" w:firstColumn="0" w:lastColumn="0" w:oddVBand="1" w:evenVBand="0" w:oddHBand="0" w:evenHBand="0" w:firstRowFirstColumn="0" w:firstRowLastColumn="0" w:lastRowFirstColumn="0" w:lastRowLastColumn="0"/>
            <w:tcW w:w="1350" w:type="dxa"/>
            <w:tcBorders>
              <w:top w:val="single" w:sz="4" w:space="0" w:color="448A99"/>
              <w:left w:val="single" w:sz="4" w:space="0" w:color="448A99"/>
              <w:bottom w:val="single" w:sz="4" w:space="0" w:color="448A99"/>
              <w:right w:val="single" w:sz="4" w:space="0" w:color="448A99"/>
            </w:tcBorders>
            <w:shd w:val="clear" w:color="auto" w:fill="D2EAF1"/>
            <w:hideMark/>
          </w:tcPr>
          <w:p w:rsidR="00C93F8E" w:rsidRPr="00B75B77" w:rsidRDefault="00C93F8E" w:rsidP="00557CA1">
            <w:pPr>
              <w:keepNext/>
              <w:jc w:val="right"/>
              <w:rPr>
                <w:rFonts w:ascii="Calibri" w:eastAsia="Times New Roman" w:hAnsi="Calibri"/>
                <w:b/>
                <w:bCs/>
                <w:color w:val="000000"/>
                <w:sz w:val="18"/>
                <w:szCs w:val="18"/>
              </w:rPr>
            </w:pPr>
            <w:r w:rsidRPr="00B75B77">
              <w:rPr>
                <w:sz w:val="18"/>
                <w:szCs w:val="18"/>
              </w:rPr>
              <w:t>1.55</w:t>
            </w:r>
          </w:p>
        </w:tc>
      </w:tr>
      <w:tr w:rsidR="00C93F8E" w:rsidRPr="00B75B77" w:rsidTr="005E445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7" w:type="dxa"/>
            <w:gridSpan w:val="4"/>
            <w:tcBorders>
              <w:top w:val="single" w:sz="4" w:space="0" w:color="448A99"/>
              <w:left w:val="single" w:sz="4" w:space="0" w:color="448A99"/>
              <w:bottom w:val="single" w:sz="4" w:space="0" w:color="448A99"/>
              <w:right w:val="single" w:sz="4" w:space="0" w:color="448A99"/>
            </w:tcBorders>
            <w:shd w:val="clear" w:color="auto" w:fill="auto"/>
          </w:tcPr>
          <w:p w:rsidR="00C93F8E" w:rsidRPr="00B75B77" w:rsidRDefault="00C93F8E" w:rsidP="00557CA1">
            <w:pPr>
              <w:keepNext/>
              <w:jc w:val="left"/>
              <w:rPr>
                <w:rFonts w:ascii="Calibri" w:eastAsia="Times New Roman" w:hAnsi="Calibri"/>
                <w:b w:val="0"/>
                <w:iCs/>
                <w:color w:val="000000"/>
                <w:sz w:val="18"/>
                <w:szCs w:val="18"/>
              </w:rPr>
            </w:pPr>
            <w:r w:rsidRPr="00B75B77">
              <w:rPr>
                <w:rFonts w:ascii="Calibri" w:eastAsia="Times New Roman" w:hAnsi="Calibri"/>
                <w:b w:val="0"/>
                <w:iCs/>
                <w:color w:val="000000"/>
                <w:sz w:val="18"/>
                <w:szCs w:val="18"/>
              </w:rPr>
              <w:t>Per PUC direction, TRC inputs and calculations are required in the Annual Report only and should comply with the 2013 Total Resource Cost Test Order. Please see the “Report Definitions” section of this report for more details.</w:t>
            </w:r>
          </w:p>
          <w:p w:rsidR="00C93F8E" w:rsidRPr="00B75B77" w:rsidRDefault="00C93F8E" w:rsidP="00557CA1">
            <w:pPr>
              <w:keepNext/>
              <w:jc w:val="left"/>
              <w:rPr>
                <w:rFonts w:ascii="Calibri" w:eastAsia="Times New Roman" w:hAnsi="Calibri"/>
                <w:b w:val="0"/>
                <w:i/>
                <w:iCs/>
                <w:color w:val="000000"/>
                <w:sz w:val="18"/>
                <w:szCs w:val="18"/>
              </w:rPr>
            </w:pPr>
          </w:p>
          <w:p w:rsidR="00C93F8E" w:rsidRPr="00B75B77" w:rsidRDefault="00C93F8E" w:rsidP="00557CA1">
            <w:pPr>
              <w:keepNext/>
              <w:jc w:val="left"/>
              <w:rPr>
                <w:rFonts w:ascii="Calibri" w:eastAsia="Times New Roman" w:hAnsi="Calibri"/>
                <w:b w:val="0"/>
                <w:color w:val="000000"/>
                <w:sz w:val="18"/>
                <w:szCs w:val="18"/>
              </w:rPr>
            </w:pPr>
            <w:r w:rsidRPr="00B75B77">
              <w:rPr>
                <w:rFonts w:ascii="Calibri" w:eastAsia="Times New Roman" w:hAnsi="Calibri"/>
                <w:b w:val="0"/>
                <w:color w:val="000000"/>
                <w:sz w:val="18"/>
                <w:szCs w:val="18"/>
                <w:vertAlign w:val="superscript"/>
              </w:rPr>
              <w:t>[1]</w:t>
            </w:r>
            <w:r w:rsidRPr="00B75B77">
              <w:rPr>
                <w:rFonts w:ascii="Calibri" w:eastAsia="Times New Roman" w:hAnsi="Calibri"/>
                <w:b w:val="0"/>
                <w:color w:val="000000"/>
                <w:sz w:val="18"/>
                <w:szCs w:val="18"/>
              </w:rPr>
              <w:t xml:space="preserve"> Includes rebate processing, tracking system, general administration, EDC and CSP program management, general management</w:t>
            </w:r>
            <w:r w:rsidR="00B00E44" w:rsidRPr="00B75B77">
              <w:rPr>
                <w:rFonts w:ascii="Calibri" w:eastAsia="Times New Roman" w:hAnsi="Calibri"/>
                <w:b w:val="0"/>
                <w:color w:val="000000"/>
                <w:sz w:val="18"/>
                <w:szCs w:val="18"/>
              </w:rPr>
              <w:t>,</w:t>
            </w:r>
            <w:r w:rsidRPr="00B75B77">
              <w:rPr>
                <w:rFonts w:ascii="Calibri" w:eastAsia="Times New Roman" w:hAnsi="Calibri"/>
                <w:b w:val="0"/>
                <w:color w:val="000000"/>
                <w:sz w:val="18"/>
                <w:szCs w:val="18"/>
              </w:rPr>
              <w:t xml:space="preserve"> and legal and technical assistance.</w:t>
            </w:r>
            <w:r w:rsidRPr="00B75B77">
              <w:rPr>
                <w:rFonts w:ascii="Calibri" w:eastAsia="Times New Roman" w:hAnsi="Calibri"/>
                <w:b w:val="0"/>
                <w:color w:val="000000"/>
                <w:sz w:val="18"/>
                <w:szCs w:val="18"/>
              </w:rPr>
              <w:br/>
            </w:r>
            <w:r w:rsidRPr="00B75B77">
              <w:rPr>
                <w:rFonts w:ascii="Calibri" w:eastAsia="Times New Roman" w:hAnsi="Calibri"/>
                <w:b w:val="0"/>
                <w:color w:val="000000"/>
                <w:sz w:val="18"/>
                <w:szCs w:val="18"/>
                <w:vertAlign w:val="superscript"/>
              </w:rPr>
              <w:t>[2]</w:t>
            </w:r>
            <w:r w:rsidRPr="00B75B77">
              <w:rPr>
                <w:rFonts w:ascii="Calibri" w:eastAsia="Times New Roman" w:hAnsi="Calibri"/>
                <w:b w:val="0"/>
                <w:color w:val="000000"/>
                <w:sz w:val="18"/>
                <w:szCs w:val="18"/>
              </w:rPr>
              <w:t xml:space="preserve"> Includes the marketing CSP and marketing costs by program CSPs. </w:t>
            </w:r>
            <w:r w:rsidRPr="00B75B77">
              <w:rPr>
                <w:rFonts w:ascii="Calibri" w:eastAsia="Times New Roman" w:hAnsi="Calibri"/>
                <w:b w:val="0"/>
                <w:color w:val="000000"/>
                <w:sz w:val="18"/>
                <w:szCs w:val="18"/>
              </w:rPr>
              <w:br/>
            </w:r>
            <w:r w:rsidRPr="00B75B77">
              <w:rPr>
                <w:rFonts w:ascii="Calibri" w:eastAsia="Times New Roman" w:hAnsi="Calibri"/>
                <w:b w:val="0"/>
                <w:color w:val="000000"/>
                <w:sz w:val="18"/>
                <w:szCs w:val="18"/>
                <w:vertAlign w:val="superscript"/>
              </w:rPr>
              <w:t>[3]</w:t>
            </w:r>
            <w:r w:rsidRPr="00B75B77">
              <w:rPr>
                <w:rFonts w:ascii="Calibri" w:eastAsia="Times New Roman" w:hAnsi="Calibri"/>
                <w:b w:val="0"/>
                <w:color w:val="000000"/>
                <w:sz w:val="18"/>
                <w:szCs w:val="18"/>
              </w:rPr>
              <w:t xml:space="preserve"> Total TRC Costs includes Total EDC Costs and Participant Costs.</w:t>
            </w:r>
            <w:r w:rsidRPr="00B75B77">
              <w:rPr>
                <w:rFonts w:ascii="Calibri" w:eastAsia="Times New Roman" w:hAnsi="Calibri"/>
                <w:b w:val="0"/>
                <w:color w:val="000000"/>
                <w:sz w:val="18"/>
                <w:szCs w:val="18"/>
              </w:rPr>
              <w:br/>
            </w:r>
            <w:r w:rsidRPr="00B75B77">
              <w:rPr>
                <w:rFonts w:ascii="Calibri" w:eastAsia="Times New Roman" w:hAnsi="Calibri"/>
                <w:b w:val="0"/>
                <w:color w:val="000000"/>
                <w:sz w:val="18"/>
                <w:szCs w:val="18"/>
                <w:vertAlign w:val="superscript"/>
              </w:rPr>
              <w:t>[4]</w:t>
            </w:r>
            <w:r w:rsidRPr="00B75B77">
              <w:rPr>
                <w:rFonts w:ascii="Calibri" w:eastAsia="Times New Roman" w:hAnsi="Calibri"/>
                <w:b w:val="0"/>
                <w:color w:val="000000"/>
                <w:sz w:val="18"/>
                <w:szCs w:val="18"/>
              </w:rPr>
              <w:t xml:space="preserve"> Total TRC Benefits equals the sum of Total Lifetime Energy Benefits and Total Lifetime Capacity Benefits</w:t>
            </w:r>
            <w:r w:rsidR="00B00E44" w:rsidRPr="00B75B77">
              <w:rPr>
                <w:rFonts w:ascii="Calibri" w:eastAsia="Times New Roman" w:hAnsi="Calibri"/>
                <w:b w:val="0"/>
                <w:color w:val="000000"/>
                <w:sz w:val="18"/>
                <w:szCs w:val="18"/>
              </w:rPr>
              <w:t xml:space="preserve"> b</w:t>
            </w:r>
            <w:r w:rsidRPr="00B75B77">
              <w:rPr>
                <w:rFonts w:ascii="Calibri" w:eastAsia="Times New Roman" w:hAnsi="Calibri"/>
                <w:b w:val="0"/>
                <w:color w:val="000000"/>
                <w:sz w:val="18"/>
                <w:szCs w:val="18"/>
              </w:rPr>
              <w:t xml:space="preserve">ased upon verified gross kWh and kW savings. Benefits include avoided supply costs, including the reduction in costs of electric energy, generation, transmission, and distribution capacity, and natural gas valued at marginal cost for periods when there is a load reduction. </w:t>
            </w:r>
            <w:r w:rsidR="002A15B8" w:rsidRPr="00B75B77">
              <w:rPr>
                <w:rFonts w:ascii="Calibri" w:eastAsia="Times New Roman" w:hAnsi="Calibri"/>
                <w:b w:val="0"/>
                <w:color w:val="000000"/>
                <w:sz w:val="18"/>
                <w:szCs w:val="18"/>
              </w:rPr>
              <w:br/>
              <w:t>Note</w:t>
            </w:r>
            <w:r w:rsidRPr="00B75B77">
              <w:rPr>
                <w:rFonts w:ascii="Calibri" w:eastAsia="Times New Roman" w:hAnsi="Calibri"/>
                <w:b w:val="0"/>
                <w:color w:val="000000"/>
                <w:sz w:val="18"/>
                <w:szCs w:val="18"/>
              </w:rPr>
              <w:t>: Savings carried over from Phase I are not to be included as a part of Total TRC Benefits for Phase II.</w:t>
            </w:r>
            <w:r w:rsidRPr="00B75B77">
              <w:rPr>
                <w:rFonts w:ascii="Calibri" w:eastAsia="Times New Roman" w:hAnsi="Calibri"/>
                <w:b w:val="0"/>
                <w:color w:val="000000"/>
                <w:sz w:val="18"/>
                <w:szCs w:val="18"/>
              </w:rPr>
              <w:br/>
            </w:r>
            <w:r w:rsidRPr="00B75B77">
              <w:rPr>
                <w:rFonts w:ascii="Calibri" w:eastAsia="Times New Roman" w:hAnsi="Calibri"/>
                <w:b w:val="0"/>
                <w:color w:val="000000"/>
                <w:sz w:val="18"/>
                <w:szCs w:val="18"/>
                <w:vertAlign w:val="superscript"/>
              </w:rPr>
              <w:t>[5]</w:t>
            </w:r>
            <w:r w:rsidRPr="00B75B77">
              <w:rPr>
                <w:rFonts w:ascii="Calibri" w:eastAsia="Times New Roman" w:hAnsi="Calibri"/>
                <w:b w:val="0"/>
                <w:color w:val="000000"/>
                <w:sz w:val="18"/>
                <w:szCs w:val="18"/>
              </w:rPr>
              <w:t xml:space="preserve"> TRC Ratio equals Total NPV TRC Benefits divided by Total NPV TRC Costs.</w:t>
            </w:r>
          </w:p>
          <w:p w:rsidR="00C93F8E" w:rsidRPr="00B75B77" w:rsidRDefault="00C93F8E" w:rsidP="00557CA1">
            <w:pPr>
              <w:keepNext/>
              <w:jc w:val="left"/>
              <w:rPr>
                <w:rFonts w:ascii="Calibri" w:eastAsia="Times New Roman" w:hAnsi="Calibri"/>
                <w:b w:val="0"/>
                <w:color w:val="000000"/>
                <w:sz w:val="14"/>
                <w:szCs w:val="14"/>
              </w:rPr>
            </w:pPr>
          </w:p>
          <w:p w:rsidR="00C93F8E" w:rsidRPr="00B75B77" w:rsidRDefault="00C93F8E" w:rsidP="00557CA1">
            <w:pPr>
              <w:keepNext/>
              <w:jc w:val="left"/>
              <w:rPr>
                <w:rFonts w:ascii="Calibri" w:eastAsia="Times New Roman" w:hAnsi="Calibri"/>
                <w:b w:val="0"/>
                <w:bCs w:val="0"/>
                <w:color w:val="000000"/>
                <w:sz w:val="20"/>
                <w:szCs w:val="20"/>
              </w:rPr>
            </w:pPr>
            <w:r w:rsidRPr="00B75B77">
              <w:rPr>
                <w:rFonts w:ascii="Calibri" w:hAnsi="Calibri"/>
                <w:b w:val="0"/>
                <w:color w:val="000000"/>
                <w:sz w:val="18"/>
                <w:szCs w:val="18"/>
              </w:rPr>
              <w:t xml:space="preserve">Values in tables may not reconcile </w:t>
            </w:r>
            <w:r w:rsidR="005F0C40" w:rsidRPr="00B75B77">
              <w:rPr>
                <w:rFonts w:ascii="Calibri" w:hAnsi="Calibri"/>
                <w:b w:val="0"/>
                <w:color w:val="000000"/>
                <w:sz w:val="18"/>
                <w:szCs w:val="18"/>
              </w:rPr>
              <w:t>exactly with the sum</w:t>
            </w:r>
            <w:r w:rsidRPr="00B75B77">
              <w:rPr>
                <w:rFonts w:ascii="Calibri" w:hAnsi="Calibri"/>
                <w:b w:val="0"/>
                <w:color w:val="000000"/>
                <w:sz w:val="18"/>
                <w:szCs w:val="18"/>
              </w:rPr>
              <w:t xml:space="preserve"> of more detailed level results or previously reported results due to rounding.</w:t>
            </w:r>
          </w:p>
        </w:tc>
      </w:tr>
    </w:tbl>
    <w:p w:rsidR="00C93F8E" w:rsidRPr="00B75B77" w:rsidRDefault="00C93F8E" w:rsidP="00557CA1">
      <w:pPr>
        <w:pStyle w:val="Source"/>
      </w:pPr>
      <w:r w:rsidRPr="00B75B77">
        <w:t>Source: Navigant analysis</w:t>
      </w:r>
    </w:p>
    <w:p w:rsidR="00C93F8E" w:rsidRPr="00B75B77" w:rsidRDefault="00C93F8E" w:rsidP="00BB039B"/>
    <w:p w:rsidR="00C93F8E" w:rsidRPr="00B75B77" w:rsidRDefault="00C93F8E"/>
    <w:p w:rsidR="00057A2B" w:rsidRPr="00B75B77" w:rsidRDefault="00057A2B">
      <w:pPr>
        <w:jc w:val="left"/>
      </w:pPr>
    </w:p>
    <w:p w:rsidR="007C2227" w:rsidRPr="00B75B77" w:rsidRDefault="007C2227" w:rsidP="005459F4">
      <w:pPr>
        <w:pStyle w:val="Heading1"/>
        <w:pageBreakBefore/>
        <w:ind w:left="432" w:hanging="432"/>
      </w:pPr>
      <w:bookmarkStart w:id="634" w:name="_Toc434597819"/>
      <w:bookmarkStart w:id="635" w:name="_Toc466413372"/>
      <w:r w:rsidRPr="00B75B77">
        <w:lastRenderedPageBreak/>
        <w:t>Smart AC Saver</w:t>
      </w:r>
      <w:r w:rsidR="00474215" w:rsidRPr="00B75B77">
        <w:t>:</w:t>
      </w:r>
      <w:r w:rsidRPr="00B75B77">
        <w:t xml:space="preserve"> Residential</w:t>
      </w:r>
      <w:bookmarkEnd w:id="634"/>
      <w:bookmarkEnd w:id="635"/>
      <w:r w:rsidRPr="00B75B77">
        <w:t xml:space="preserve"> </w:t>
      </w:r>
    </w:p>
    <w:p w:rsidR="007C2227" w:rsidRPr="00B75B77" w:rsidRDefault="007C2227" w:rsidP="005459F4">
      <w:r w:rsidRPr="00B75B77">
        <w:t>In the Smart AC Saver program, PECO remotely cycles or shuts down a customer’s CAC unit during times of peak demand. In return, participants receive financial incentives for allowing PECO to control their equipment. Conservation events are called during time periods that coincide with the highest peak demand.</w:t>
      </w:r>
    </w:p>
    <w:p w:rsidR="007C2227" w:rsidRPr="00B75B77" w:rsidRDefault="007C2227" w:rsidP="005459F4"/>
    <w:p w:rsidR="007C2227" w:rsidRPr="00B75B77" w:rsidRDefault="007C2227" w:rsidP="005459F4">
      <w:r w:rsidRPr="00B75B77">
        <w:t xml:space="preserve">A </w:t>
      </w:r>
      <w:r w:rsidR="00540987" w:rsidRPr="00B75B77">
        <w:t>digital control unit</w:t>
      </w:r>
      <w:r w:rsidRPr="00B75B77">
        <w:t xml:space="preserve"> (DCU) is installed on participating residential customer CAC units. Nearly all of these installations were completed in Phase I by the CSP. When activated by a control signal, the switches will not allow the equipment to operate for some predetermined portion of each hour. During a conservation event, the compressor is cycled off an</w:t>
      </w:r>
      <w:r w:rsidR="00557CA1" w:rsidRPr="00B75B77">
        <w:t>d</w:t>
      </w:r>
      <w:r w:rsidRPr="00B75B77">
        <w:t xml:space="preserve"> on while the fan continues to operate. This allows cool air to be circulated throughout the home while the compressor is disabled. The operation of the DCU is controlled through a digital paging network. CAC units are controlled for the </w:t>
      </w:r>
      <w:r w:rsidR="00540987" w:rsidRPr="00B75B77">
        <w:t xml:space="preserve">4 </w:t>
      </w:r>
      <w:r w:rsidRPr="00B75B77">
        <w:t xml:space="preserve">months during </w:t>
      </w:r>
      <w:r w:rsidR="00540987" w:rsidRPr="00B75B77">
        <w:t>the</w:t>
      </w:r>
      <w:r w:rsidRPr="00B75B77">
        <w:t xml:space="preserve"> summer (i.e., June through September).</w:t>
      </w:r>
    </w:p>
    <w:p w:rsidR="007C2227" w:rsidRPr="00B75B77" w:rsidRDefault="007C2227" w:rsidP="005459F4"/>
    <w:p w:rsidR="007C2227" w:rsidRPr="00B75B77" w:rsidRDefault="007C2227" w:rsidP="005459F4">
      <w:r w:rsidRPr="00B75B77">
        <w:t xml:space="preserve">PECO hired </w:t>
      </w:r>
      <w:proofErr w:type="spellStart"/>
      <w:r w:rsidRPr="00B75B77">
        <w:t>Comverge</w:t>
      </w:r>
      <w:proofErr w:type="spellEnd"/>
      <w:r w:rsidRPr="00B75B77">
        <w:t xml:space="preserve"> as its CSP to implement the AC Saver program, including calling events, program marketing, call center, and equipment maintenance. PECO also hired two energy management companies, </w:t>
      </w:r>
      <w:proofErr w:type="spellStart"/>
      <w:r w:rsidRPr="00B75B77">
        <w:t>EnergyConnect</w:t>
      </w:r>
      <w:proofErr w:type="spellEnd"/>
      <w:r w:rsidRPr="00B75B77">
        <w:t xml:space="preserve"> and </w:t>
      </w:r>
      <w:proofErr w:type="spellStart"/>
      <w:r w:rsidRPr="00B75B77">
        <w:t>CPower</w:t>
      </w:r>
      <w:proofErr w:type="spellEnd"/>
      <w:r w:rsidRPr="00B75B77">
        <w:t xml:space="preserve">, to enroll the </w:t>
      </w:r>
      <w:r w:rsidR="00540987" w:rsidRPr="00B75B77">
        <w:t>demand response</w:t>
      </w:r>
      <w:r w:rsidRPr="00B75B77">
        <w:t xml:space="preserve"> </w:t>
      </w:r>
      <w:r w:rsidR="00540987" w:rsidRPr="00B75B77">
        <w:t>(</w:t>
      </w:r>
      <w:r w:rsidRPr="00B75B77">
        <w:t>DR</w:t>
      </w:r>
      <w:r w:rsidR="00540987" w:rsidRPr="00B75B77">
        <w:t>)</w:t>
      </w:r>
      <w:r w:rsidRPr="00B75B77">
        <w:t xml:space="preserve"> load with PJM.</w:t>
      </w:r>
    </w:p>
    <w:p w:rsidR="007C2227" w:rsidRPr="00B75B77" w:rsidRDefault="007C2227" w:rsidP="005459F4"/>
    <w:p w:rsidR="007C2227" w:rsidRPr="00B75B77" w:rsidRDefault="007C2227" w:rsidP="005459F4">
      <w:r w:rsidRPr="00B75B77">
        <w:t>Participation in the Smart AC Saver program varies month to month based on participants dropping from the program for a variety of reasons, including customer moves, requests from customers to drop from the program, etc. During PY7, PECO maintained a list of customers seeking to join the program and,</w:t>
      </w:r>
      <w:r w:rsidR="005459F4" w:rsidRPr="00B75B77">
        <w:t xml:space="preserve"> </w:t>
      </w:r>
      <w:r w:rsidRPr="00B75B77">
        <w:t>when possible, backfilled with new customers as participants left the program. As of the end of PY7, PECO had 76,145 active DCUs representing 65,274 participating homes.</w:t>
      </w:r>
    </w:p>
    <w:p w:rsidR="007C2227" w:rsidRPr="00B75B77" w:rsidRDefault="007C2227" w:rsidP="00286B52">
      <w:pPr>
        <w:rPr>
          <w:color w:val="FF0000"/>
        </w:rPr>
      </w:pPr>
    </w:p>
    <w:p w:rsidR="007C2227" w:rsidRPr="00B75B77" w:rsidRDefault="007C2227" w:rsidP="005459F4">
      <w:pPr>
        <w:pStyle w:val="Heading2"/>
      </w:pPr>
      <w:bookmarkStart w:id="636" w:name="_Toc466413373"/>
      <w:r w:rsidRPr="00B75B77">
        <w:t>Program Updates</w:t>
      </w:r>
      <w:bookmarkEnd w:id="636"/>
    </w:p>
    <w:p w:rsidR="007C2227" w:rsidRPr="00B75B77" w:rsidRDefault="007C2227" w:rsidP="005459F4">
      <w:r w:rsidRPr="00B75B77">
        <w:t xml:space="preserve">PECO designed the Phase II Smart AC Saver program to call conservation events for fewer hours than in Phase I. In PY7, PECO called two test events that totaled approximately </w:t>
      </w:r>
      <w:r w:rsidR="00540987" w:rsidRPr="00B75B77">
        <w:t xml:space="preserve">3 </w:t>
      </w:r>
      <w:r w:rsidRPr="00B75B77">
        <w:t>hours. In PY7</w:t>
      </w:r>
      <w:r w:rsidR="00540987" w:rsidRPr="00B75B77">
        <w:t>,</w:t>
      </w:r>
      <w:r w:rsidRPr="00B75B77">
        <w:t xml:space="preserve"> PECO sold its residential AC Saver load to its energy management companies, </w:t>
      </w:r>
      <w:proofErr w:type="spellStart"/>
      <w:r w:rsidRPr="00B75B77">
        <w:t>CPower</w:t>
      </w:r>
      <w:proofErr w:type="spellEnd"/>
      <w:r w:rsidRPr="00B75B77">
        <w:t xml:space="preserve"> and </w:t>
      </w:r>
      <w:proofErr w:type="spellStart"/>
      <w:r w:rsidRPr="00B75B77">
        <w:t>EnergyConnect</w:t>
      </w:r>
      <w:proofErr w:type="spellEnd"/>
      <w:r w:rsidRPr="00B75B77">
        <w:t>, to offset program costs. The Smart AC Saver program experienced a small drop in participation in PY7, amounting to approximately 5.5</w:t>
      </w:r>
      <w:r w:rsidR="00540987" w:rsidRPr="00B75B77">
        <w:t>%</w:t>
      </w:r>
      <w:r w:rsidRPr="00B75B77">
        <w:t xml:space="preserve">. </w:t>
      </w:r>
    </w:p>
    <w:p w:rsidR="007C2227" w:rsidRPr="00B75B77" w:rsidRDefault="007C2227" w:rsidP="00286B52"/>
    <w:p w:rsidR="007C2227" w:rsidRPr="00B75B77" w:rsidRDefault="007C2227" w:rsidP="0045485C">
      <w:pPr>
        <w:pStyle w:val="Heading3"/>
      </w:pPr>
      <w:bookmarkStart w:id="637" w:name="_Toc466413374"/>
      <w:r w:rsidRPr="00B75B77">
        <w:t>Definition of Participant</w:t>
      </w:r>
      <w:bookmarkEnd w:id="637"/>
    </w:p>
    <w:p w:rsidR="007C2227" w:rsidRPr="00B75B77" w:rsidRDefault="007C2227" w:rsidP="005459F4">
      <w:r w:rsidRPr="00B75B77">
        <w:t xml:space="preserve">PECO defines participation for the Smart AC Saver program as a single address. One participant may have one or more DCUs installed at that address. </w:t>
      </w:r>
    </w:p>
    <w:p w:rsidR="007C2227" w:rsidRPr="00B75B77" w:rsidRDefault="007C2227" w:rsidP="00286B52"/>
    <w:p w:rsidR="007C2227" w:rsidRPr="00B75B77" w:rsidRDefault="007C2227" w:rsidP="005459F4">
      <w:pPr>
        <w:pStyle w:val="Heading2"/>
      </w:pPr>
      <w:bookmarkStart w:id="638" w:name="_Toc466413375"/>
      <w:r w:rsidRPr="00B75B77">
        <w:t>Impact Evaluation Gross Savings</w:t>
      </w:r>
      <w:bookmarkEnd w:id="638"/>
      <w:r w:rsidRPr="00B75B77">
        <w:t xml:space="preserve"> </w:t>
      </w:r>
    </w:p>
    <w:p w:rsidR="007C2227" w:rsidRPr="00B75B77" w:rsidRDefault="007C2227" w:rsidP="005459F4">
      <w:r w:rsidRPr="00B75B77">
        <w:t xml:space="preserve">Because there are no peak demand reduction targets for the Phase II </w:t>
      </w:r>
      <w:r w:rsidR="0054073E" w:rsidRPr="00B75B77">
        <w:t>EE&amp;C</w:t>
      </w:r>
      <w:r w:rsidRPr="00B75B77">
        <w:t xml:space="preserve"> programs, Navigant relied on the PJM registrations to provide the reported gross savings value for PY7 of 49.6 MW. Navigant utilized the per-switch savings established in the load study conducted by </w:t>
      </w:r>
      <w:proofErr w:type="spellStart"/>
      <w:r w:rsidRPr="00B75B77">
        <w:t>Comverge</w:t>
      </w:r>
      <w:proofErr w:type="spellEnd"/>
      <w:r w:rsidRPr="00B75B77">
        <w:t xml:space="preserve"> in PY5 and weather-adjusted the results for the PY7 test event days to verify the PY7 savings. This resulted in verified gross savings of 40.5 MW in PY7. The average program participation was 69,077 people. Each participant was paid $20 per central air conditioner per month for the </w:t>
      </w:r>
      <w:r w:rsidR="004C2D82" w:rsidRPr="00B75B77">
        <w:t xml:space="preserve">4 </w:t>
      </w:r>
      <w:r w:rsidRPr="00B75B77">
        <w:t xml:space="preserve">summer months each year. Some households have more than one air conditioner, though the </w:t>
      </w:r>
      <w:r w:rsidR="00ED1AF2" w:rsidRPr="00B75B77">
        <w:t>majority has</w:t>
      </w:r>
      <w:r w:rsidRPr="00B75B77">
        <w:t xml:space="preserve"> only one. </w:t>
      </w:r>
      <w:r w:rsidR="00557CA1" w:rsidRPr="00B75B77">
        <w:fldChar w:fldCharType="begin"/>
      </w:r>
      <w:r w:rsidR="00557CA1" w:rsidRPr="00B75B77">
        <w:instrText xml:space="preserve"> REF _Ref464225795 \h </w:instrText>
      </w:r>
      <w:r w:rsidR="00B75B77">
        <w:instrText xml:space="preserve"> \* MERGEFORMAT </w:instrText>
      </w:r>
      <w:r w:rsidR="00557CA1" w:rsidRPr="00B75B77">
        <w:fldChar w:fldCharType="separate"/>
      </w:r>
      <w:r w:rsidR="0004016D" w:rsidRPr="00B75B77">
        <w:t xml:space="preserve">Table </w:t>
      </w:r>
      <w:r w:rsidR="0004016D">
        <w:rPr>
          <w:noProof/>
        </w:rPr>
        <w:t>9</w:t>
      </w:r>
      <w:r w:rsidR="0004016D" w:rsidRPr="00B75B77">
        <w:rPr>
          <w:noProof/>
        </w:rPr>
        <w:noBreakHyphen/>
      </w:r>
      <w:r w:rsidR="0004016D">
        <w:rPr>
          <w:noProof/>
        </w:rPr>
        <w:t>1</w:t>
      </w:r>
      <w:r w:rsidR="00557CA1" w:rsidRPr="00B75B77">
        <w:fldChar w:fldCharType="end"/>
      </w:r>
      <w:r w:rsidR="00557CA1" w:rsidRPr="00B75B77">
        <w:t xml:space="preserve"> </w:t>
      </w:r>
      <w:r w:rsidRPr="00B75B77">
        <w:t xml:space="preserve">shows the total residential Smart AC Saver results reported for Phase II. The incentives paid are a sum of all incentives over the </w:t>
      </w:r>
      <w:r w:rsidR="00557CA1" w:rsidRPr="00B75B77">
        <w:t>three</w:t>
      </w:r>
      <w:r w:rsidR="00707B64" w:rsidRPr="00B75B77">
        <w:t xml:space="preserve"> </w:t>
      </w:r>
      <w:r w:rsidRPr="00B75B77">
        <w:t xml:space="preserve">program years, while the remaining results are calculated using an average across the </w:t>
      </w:r>
      <w:r w:rsidR="004C2D82" w:rsidRPr="00B75B77">
        <w:t xml:space="preserve">3 </w:t>
      </w:r>
      <w:r w:rsidRPr="00B75B77">
        <w:t>years.</w:t>
      </w:r>
    </w:p>
    <w:p w:rsidR="007C2227" w:rsidRPr="00B75B77" w:rsidRDefault="007C2227" w:rsidP="00286B52"/>
    <w:p w:rsidR="007C2227" w:rsidRPr="00B75B77" w:rsidRDefault="007C2227" w:rsidP="005459F4">
      <w:pPr>
        <w:pStyle w:val="Caption"/>
      </w:pPr>
      <w:bookmarkStart w:id="639" w:name="_Ref464225795"/>
      <w:bookmarkStart w:id="640" w:name="_Ref461792753"/>
      <w:bookmarkStart w:id="641" w:name="_Toc453075294"/>
      <w:bookmarkStart w:id="642" w:name="_Toc466413576"/>
      <w:r w:rsidRPr="00B75B77">
        <w:t xml:space="preserve">Table </w:t>
      </w:r>
      <w:fldSimple w:instr=" STYLEREF 1 \s ">
        <w:r w:rsidR="0004016D">
          <w:rPr>
            <w:noProof/>
          </w:rPr>
          <w:t>9</w:t>
        </w:r>
      </w:fldSimple>
      <w:r w:rsidR="00F1144C" w:rsidRPr="00B75B77">
        <w:noBreakHyphen/>
      </w:r>
      <w:fldSimple w:instr=" SEQ Table \* ARABIC \s 1 ">
        <w:r w:rsidR="0004016D">
          <w:rPr>
            <w:noProof/>
          </w:rPr>
          <w:t>1</w:t>
        </w:r>
      </w:fldSimple>
      <w:bookmarkEnd w:id="639"/>
      <w:bookmarkEnd w:id="640"/>
      <w:r w:rsidRPr="00B75B77">
        <w:t>: Phase II Residential Smart AC Saver Reported Results by Customer Sector</w:t>
      </w:r>
      <w:bookmarkEnd w:id="641"/>
      <w:bookmarkEnd w:id="642"/>
    </w:p>
    <w:tbl>
      <w:tblPr>
        <w:tblW w:w="9535" w:type="dxa"/>
        <w:tblLook w:val="04A0" w:firstRow="1" w:lastRow="0" w:firstColumn="1" w:lastColumn="0" w:noHBand="0" w:noVBand="1"/>
      </w:tblPr>
      <w:tblGrid>
        <w:gridCol w:w="1767"/>
        <w:gridCol w:w="1108"/>
        <w:gridCol w:w="1260"/>
        <w:gridCol w:w="1710"/>
        <w:gridCol w:w="1260"/>
        <w:gridCol w:w="1440"/>
        <w:gridCol w:w="990"/>
      </w:tblGrid>
      <w:tr w:rsidR="007C2227" w:rsidRPr="00B75B77" w:rsidTr="004C2D82">
        <w:trPr>
          <w:trHeight w:val="288"/>
        </w:trPr>
        <w:tc>
          <w:tcPr>
            <w:tcW w:w="1767" w:type="dxa"/>
            <w:tcBorders>
              <w:top w:val="single" w:sz="4" w:space="0" w:color="auto"/>
              <w:left w:val="single" w:sz="4" w:space="0" w:color="auto"/>
              <w:bottom w:val="single" w:sz="4" w:space="0" w:color="auto"/>
              <w:right w:val="single" w:sz="4" w:space="0" w:color="auto"/>
            </w:tcBorders>
            <w:shd w:val="clear" w:color="000000" w:fill="448A99"/>
            <w:vAlign w:val="center"/>
            <w:hideMark/>
          </w:tcPr>
          <w:p w:rsidR="007C2227" w:rsidRPr="00B75B77" w:rsidRDefault="007C2227" w:rsidP="00557CA1">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Customer Sector</w:t>
            </w:r>
            <w:r w:rsidRPr="00B75B77">
              <w:rPr>
                <w:rFonts w:ascii="Calibri" w:eastAsia="Times New Roman" w:hAnsi="Calibri"/>
                <w:b/>
                <w:bCs/>
                <w:color w:val="FFFFFF"/>
                <w:sz w:val="18"/>
                <w:szCs w:val="18"/>
                <w:vertAlign w:val="superscript"/>
              </w:rPr>
              <w:t>[1]</w:t>
            </w:r>
          </w:p>
        </w:tc>
        <w:tc>
          <w:tcPr>
            <w:tcW w:w="1108" w:type="dxa"/>
            <w:tcBorders>
              <w:top w:val="single" w:sz="4" w:space="0" w:color="auto"/>
              <w:left w:val="nil"/>
              <w:bottom w:val="single" w:sz="4" w:space="0" w:color="auto"/>
              <w:right w:val="single" w:sz="4" w:space="0" w:color="auto"/>
            </w:tcBorders>
            <w:shd w:val="clear" w:color="000000" w:fill="448A99"/>
            <w:vAlign w:val="center"/>
            <w:hideMark/>
          </w:tcPr>
          <w:p w:rsidR="007C2227" w:rsidRPr="00B75B77" w:rsidRDefault="007C2227" w:rsidP="005459F4">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Participants</w:t>
            </w:r>
          </w:p>
        </w:tc>
        <w:tc>
          <w:tcPr>
            <w:tcW w:w="1260" w:type="dxa"/>
            <w:tcBorders>
              <w:top w:val="single" w:sz="4" w:space="0" w:color="auto"/>
              <w:left w:val="nil"/>
              <w:bottom w:val="single" w:sz="4" w:space="0" w:color="auto"/>
              <w:right w:val="single" w:sz="4" w:space="0" w:color="auto"/>
            </w:tcBorders>
            <w:shd w:val="clear" w:color="000000" w:fill="448A99"/>
            <w:vAlign w:val="center"/>
            <w:hideMark/>
          </w:tcPr>
          <w:p w:rsidR="007C2227" w:rsidRPr="00B75B77" w:rsidRDefault="007C2227" w:rsidP="005459F4">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Reported Gross Energy Savings (MWh)</w:t>
            </w:r>
          </w:p>
        </w:tc>
        <w:tc>
          <w:tcPr>
            <w:tcW w:w="1710" w:type="dxa"/>
            <w:tcBorders>
              <w:top w:val="single" w:sz="4" w:space="0" w:color="auto"/>
              <w:left w:val="nil"/>
              <w:bottom w:val="single" w:sz="4" w:space="0" w:color="auto"/>
              <w:right w:val="single" w:sz="4" w:space="0" w:color="auto"/>
            </w:tcBorders>
            <w:shd w:val="clear" w:color="000000" w:fill="448A99"/>
            <w:vAlign w:val="center"/>
            <w:hideMark/>
          </w:tcPr>
          <w:p w:rsidR="007C2227" w:rsidRPr="00B75B77" w:rsidRDefault="007C2227" w:rsidP="005459F4">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Reported Gross Demand Reduction (MW)</w:t>
            </w:r>
            <w:r w:rsidRPr="00B75B77">
              <w:rPr>
                <w:rFonts w:ascii="Calibri" w:eastAsia="Times New Roman" w:hAnsi="Calibri"/>
                <w:b/>
                <w:bCs/>
                <w:color w:val="FFFFFF"/>
                <w:sz w:val="18"/>
                <w:szCs w:val="18"/>
                <w:vertAlign w:val="superscript"/>
              </w:rPr>
              <w:t>[2]</w:t>
            </w:r>
          </w:p>
        </w:tc>
        <w:tc>
          <w:tcPr>
            <w:tcW w:w="1260" w:type="dxa"/>
            <w:tcBorders>
              <w:top w:val="single" w:sz="4" w:space="0" w:color="auto"/>
              <w:left w:val="nil"/>
              <w:bottom w:val="single" w:sz="4" w:space="0" w:color="auto"/>
              <w:right w:val="single" w:sz="4" w:space="0" w:color="auto"/>
            </w:tcBorders>
            <w:shd w:val="clear" w:color="000000" w:fill="448A99"/>
            <w:vAlign w:val="center"/>
            <w:hideMark/>
          </w:tcPr>
          <w:p w:rsidR="007C2227" w:rsidRPr="00B75B77" w:rsidRDefault="007C2227" w:rsidP="005459F4">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Verified Gross Energy Savings (MWh)</w:t>
            </w:r>
          </w:p>
        </w:tc>
        <w:tc>
          <w:tcPr>
            <w:tcW w:w="1440" w:type="dxa"/>
            <w:tcBorders>
              <w:top w:val="single" w:sz="4" w:space="0" w:color="auto"/>
              <w:left w:val="nil"/>
              <w:bottom w:val="single" w:sz="4" w:space="0" w:color="auto"/>
              <w:right w:val="single" w:sz="4" w:space="0" w:color="auto"/>
            </w:tcBorders>
            <w:shd w:val="clear" w:color="000000" w:fill="448A99"/>
            <w:vAlign w:val="center"/>
            <w:hideMark/>
          </w:tcPr>
          <w:p w:rsidR="007C2227" w:rsidRPr="00B75B77" w:rsidRDefault="007C2227" w:rsidP="005459F4">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Verified Gross Demand Reduction (MW)</w:t>
            </w:r>
            <w:r w:rsidRPr="00B75B77">
              <w:rPr>
                <w:rFonts w:ascii="Calibri" w:eastAsia="Times New Roman" w:hAnsi="Calibri"/>
                <w:b/>
                <w:bCs/>
                <w:color w:val="FFFFFF"/>
                <w:sz w:val="18"/>
                <w:szCs w:val="18"/>
                <w:vertAlign w:val="superscript"/>
              </w:rPr>
              <w:t>[2]</w:t>
            </w:r>
          </w:p>
        </w:tc>
        <w:tc>
          <w:tcPr>
            <w:tcW w:w="990" w:type="dxa"/>
            <w:tcBorders>
              <w:top w:val="single" w:sz="4" w:space="0" w:color="auto"/>
              <w:left w:val="nil"/>
              <w:bottom w:val="single" w:sz="4" w:space="0" w:color="auto"/>
              <w:right w:val="single" w:sz="4" w:space="0" w:color="auto"/>
            </w:tcBorders>
            <w:shd w:val="clear" w:color="000000" w:fill="448A99"/>
            <w:vAlign w:val="center"/>
            <w:hideMark/>
          </w:tcPr>
          <w:p w:rsidR="007C2227" w:rsidRPr="00B75B77" w:rsidRDefault="007C2227" w:rsidP="00557CA1">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Incentives Paid</w:t>
            </w:r>
            <w:r w:rsidRPr="00B75B77">
              <w:rPr>
                <w:rFonts w:ascii="Calibri" w:eastAsia="Times New Roman" w:hAnsi="Calibri"/>
                <w:b/>
                <w:bCs/>
                <w:color w:val="FFFFFF"/>
                <w:sz w:val="18"/>
                <w:szCs w:val="18"/>
              </w:rPr>
              <w:br/>
              <w:t>($1,000)</w:t>
            </w:r>
          </w:p>
        </w:tc>
      </w:tr>
      <w:tr w:rsidR="00442C8B" w:rsidRPr="00B75B77" w:rsidTr="004C2D82">
        <w:trPr>
          <w:trHeight w:val="288"/>
        </w:trPr>
        <w:tc>
          <w:tcPr>
            <w:tcW w:w="1767" w:type="dxa"/>
            <w:tcBorders>
              <w:top w:val="nil"/>
              <w:left w:val="single" w:sz="4" w:space="0" w:color="448A99"/>
              <w:bottom w:val="single" w:sz="4" w:space="0" w:color="448A99"/>
              <w:right w:val="single" w:sz="4" w:space="0" w:color="448A99"/>
            </w:tcBorders>
            <w:shd w:val="clear" w:color="000000" w:fill="D2EAF1"/>
            <w:vAlign w:val="center"/>
            <w:hideMark/>
          </w:tcPr>
          <w:p w:rsidR="00442C8B" w:rsidRPr="00B75B77" w:rsidRDefault="00442C8B" w:rsidP="00442C8B">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Residential (Non-Low-Income)</w:t>
            </w:r>
          </w:p>
        </w:tc>
        <w:tc>
          <w:tcPr>
            <w:tcW w:w="1108"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69,077</w:t>
            </w:r>
          </w:p>
        </w:tc>
        <w:tc>
          <w:tcPr>
            <w:tcW w:w="1260"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710"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58.6</w:t>
            </w:r>
          </w:p>
        </w:tc>
        <w:tc>
          <w:tcPr>
            <w:tcW w:w="1260"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440"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55.5</w:t>
            </w:r>
          </w:p>
        </w:tc>
        <w:tc>
          <w:tcPr>
            <w:tcW w:w="990"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$20,153</w:t>
            </w:r>
          </w:p>
        </w:tc>
      </w:tr>
      <w:tr w:rsidR="00442C8B" w:rsidRPr="00B75B77" w:rsidTr="004C2D82">
        <w:trPr>
          <w:trHeight w:val="288"/>
        </w:trPr>
        <w:tc>
          <w:tcPr>
            <w:tcW w:w="1767" w:type="dxa"/>
            <w:tcBorders>
              <w:top w:val="nil"/>
              <w:left w:val="single" w:sz="4" w:space="0" w:color="448A99"/>
              <w:bottom w:val="single" w:sz="4" w:space="0" w:color="448A99"/>
              <w:right w:val="single" w:sz="4" w:space="0" w:color="448A99"/>
            </w:tcBorders>
            <w:shd w:val="clear" w:color="000000" w:fill="FFFFFF"/>
            <w:vAlign w:val="center"/>
            <w:hideMark/>
          </w:tcPr>
          <w:p w:rsidR="00442C8B" w:rsidRPr="00B75B77" w:rsidRDefault="00442C8B" w:rsidP="00442C8B">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Residential (Low-Income)</w:t>
            </w:r>
          </w:p>
        </w:tc>
        <w:tc>
          <w:tcPr>
            <w:tcW w:w="1108"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260"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710"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260"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440"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990"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7C2227" w:rsidRPr="00B75B77" w:rsidTr="004C2D82">
        <w:trPr>
          <w:trHeight w:val="288"/>
        </w:trPr>
        <w:tc>
          <w:tcPr>
            <w:tcW w:w="1767" w:type="dxa"/>
            <w:tcBorders>
              <w:top w:val="nil"/>
              <w:left w:val="single" w:sz="4" w:space="0" w:color="448A99"/>
              <w:bottom w:val="single" w:sz="4" w:space="0" w:color="448A99"/>
              <w:right w:val="single" w:sz="4" w:space="0" w:color="448A99"/>
            </w:tcBorders>
            <w:shd w:val="clear" w:color="000000" w:fill="D2EAF1"/>
            <w:vAlign w:val="center"/>
            <w:hideMark/>
          </w:tcPr>
          <w:p w:rsidR="007C2227" w:rsidRPr="00B75B77" w:rsidRDefault="007C2227" w:rsidP="005459F4">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Small C</w:t>
            </w:r>
            <w:r w:rsidR="0054073E" w:rsidRPr="00B75B77">
              <w:rPr>
                <w:rFonts w:ascii="Calibri" w:eastAsia="Times New Roman" w:hAnsi="Calibri"/>
                <w:bCs/>
                <w:color w:val="000000"/>
                <w:sz w:val="18"/>
                <w:szCs w:val="18"/>
              </w:rPr>
              <w:t>&amp;I</w:t>
            </w:r>
          </w:p>
        </w:tc>
        <w:tc>
          <w:tcPr>
            <w:tcW w:w="1108"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260"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710"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260"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440"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990"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557CA1">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7C2227" w:rsidRPr="00B75B77" w:rsidTr="004C2D82">
        <w:trPr>
          <w:trHeight w:val="288"/>
        </w:trPr>
        <w:tc>
          <w:tcPr>
            <w:tcW w:w="1767" w:type="dxa"/>
            <w:tcBorders>
              <w:top w:val="nil"/>
              <w:left w:val="single" w:sz="4" w:space="0" w:color="448A99"/>
              <w:bottom w:val="single" w:sz="4" w:space="0" w:color="448A99"/>
              <w:right w:val="single" w:sz="4" w:space="0" w:color="448A99"/>
            </w:tcBorders>
            <w:shd w:val="clear" w:color="000000" w:fill="FFFFFF"/>
            <w:vAlign w:val="center"/>
            <w:hideMark/>
          </w:tcPr>
          <w:p w:rsidR="007C2227" w:rsidRPr="00B75B77" w:rsidRDefault="007C2227" w:rsidP="005459F4">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Large C</w:t>
            </w:r>
            <w:r w:rsidR="0054073E" w:rsidRPr="00B75B77">
              <w:rPr>
                <w:rFonts w:ascii="Calibri" w:eastAsia="Times New Roman" w:hAnsi="Calibri"/>
                <w:bCs/>
                <w:color w:val="000000"/>
                <w:sz w:val="18"/>
                <w:szCs w:val="18"/>
              </w:rPr>
              <w:t>&amp;I</w:t>
            </w:r>
          </w:p>
        </w:tc>
        <w:tc>
          <w:tcPr>
            <w:tcW w:w="1108" w:type="dxa"/>
            <w:tcBorders>
              <w:top w:val="nil"/>
              <w:left w:val="nil"/>
              <w:bottom w:val="single" w:sz="4" w:space="0" w:color="448A99"/>
              <w:right w:val="single" w:sz="4" w:space="0" w:color="448A99"/>
            </w:tcBorders>
            <w:shd w:val="clear" w:color="000000" w:fill="FFFFFF"/>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260" w:type="dxa"/>
            <w:tcBorders>
              <w:top w:val="nil"/>
              <w:left w:val="nil"/>
              <w:bottom w:val="single" w:sz="4" w:space="0" w:color="448A99"/>
              <w:right w:val="single" w:sz="4" w:space="0" w:color="448A99"/>
            </w:tcBorders>
            <w:shd w:val="clear" w:color="000000" w:fill="FFFFFF"/>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710" w:type="dxa"/>
            <w:tcBorders>
              <w:top w:val="nil"/>
              <w:left w:val="nil"/>
              <w:bottom w:val="single" w:sz="4" w:space="0" w:color="448A99"/>
              <w:right w:val="single" w:sz="4" w:space="0" w:color="448A99"/>
            </w:tcBorders>
            <w:shd w:val="clear" w:color="000000" w:fill="FFFFFF"/>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260" w:type="dxa"/>
            <w:tcBorders>
              <w:top w:val="nil"/>
              <w:left w:val="nil"/>
              <w:bottom w:val="single" w:sz="4" w:space="0" w:color="448A99"/>
              <w:right w:val="single" w:sz="4" w:space="0" w:color="448A99"/>
            </w:tcBorders>
            <w:shd w:val="clear" w:color="000000" w:fill="FFFFFF"/>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440" w:type="dxa"/>
            <w:tcBorders>
              <w:top w:val="nil"/>
              <w:left w:val="nil"/>
              <w:bottom w:val="single" w:sz="4" w:space="0" w:color="448A99"/>
              <w:right w:val="single" w:sz="4" w:space="0" w:color="448A99"/>
            </w:tcBorders>
            <w:shd w:val="clear" w:color="000000" w:fill="FFFFFF"/>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990" w:type="dxa"/>
            <w:tcBorders>
              <w:top w:val="nil"/>
              <w:left w:val="nil"/>
              <w:bottom w:val="single" w:sz="4" w:space="0" w:color="448A99"/>
              <w:right w:val="single" w:sz="4" w:space="0" w:color="448A99"/>
            </w:tcBorders>
            <w:shd w:val="clear" w:color="000000" w:fill="FFFFFF"/>
            <w:vAlign w:val="center"/>
            <w:hideMark/>
          </w:tcPr>
          <w:p w:rsidR="007C2227" w:rsidRPr="00B75B77" w:rsidRDefault="007C2227" w:rsidP="00557CA1">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7C2227" w:rsidRPr="00B75B77" w:rsidTr="004C2D82">
        <w:trPr>
          <w:trHeight w:val="288"/>
        </w:trPr>
        <w:tc>
          <w:tcPr>
            <w:tcW w:w="1767" w:type="dxa"/>
            <w:tcBorders>
              <w:top w:val="nil"/>
              <w:left w:val="single" w:sz="4" w:space="0" w:color="448A99"/>
              <w:bottom w:val="single" w:sz="4" w:space="0" w:color="448A99"/>
              <w:right w:val="single" w:sz="4" w:space="0" w:color="448A99"/>
            </w:tcBorders>
            <w:shd w:val="clear" w:color="000000" w:fill="D2EAF1"/>
            <w:vAlign w:val="center"/>
            <w:hideMark/>
          </w:tcPr>
          <w:p w:rsidR="007C2227" w:rsidRPr="00B75B77" w:rsidRDefault="007C2227" w:rsidP="005459F4">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G</w:t>
            </w:r>
            <w:r w:rsidR="0054073E" w:rsidRPr="00B75B77">
              <w:rPr>
                <w:rFonts w:ascii="Calibri" w:eastAsia="Times New Roman" w:hAnsi="Calibri"/>
                <w:bCs/>
                <w:color w:val="000000"/>
                <w:sz w:val="18"/>
                <w:szCs w:val="18"/>
              </w:rPr>
              <w:t>NI</w:t>
            </w:r>
          </w:p>
        </w:tc>
        <w:tc>
          <w:tcPr>
            <w:tcW w:w="1108"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260"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710"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260"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440"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990"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557CA1">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7C2227" w:rsidRPr="00B75B77" w:rsidTr="004C2D82">
        <w:trPr>
          <w:trHeight w:val="288"/>
        </w:trPr>
        <w:tc>
          <w:tcPr>
            <w:tcW w:w="1767" w:type="dxa"/>
            <w:tcBorders>
              <w:top w:val="nil"/>
              <w:left w:val="single" w:sz="4" w:space="0" w:color="448A99"/>
              <w:bottom w:val="single" w:sz="4" w:space="0" w:color="448A99"/>
              <w:right w:val="single" w:sz="4" w:space="0" w:color="448A99"/>
            </w:tcBorders>
            <w:shd w:val="clear" w:color="000000" w:fill="FFFFFF"/>
            <w:vAlign w:val="center"/>
            <w:hideMark/>
          </w:tcPr>
          <w:p w:rsidR="007C2227" w:rsidRPr="00B75B77" w:rsidRDefault="007C2227" w:rsidP="005459F4">
            <w:pPr>
              <w:jc w:val="left"/>
              <w:rPr>
                <w:rFonts w:ascii="Calibri" w:eastAsia="Times New Roman" w:hAnsi="Calibri"/>
                <w:b/>
                <w:color w:val="000000"/>
                <w:sz w:val="18"/>
                <w:szCs w:val="18"/>
              </w:rPr>
            </w:pPr>
            <w:r w:rsidRPr="00B75B77">
              <w:rPr>
                <w:rFonts w:ascii="Calibri" w:eastAsia="Times New Roman" w:hAnsi="Calibri"/>
                <w:b/>
                <w:color w:val="000000"/>
                <w:sz w:val="18"/>
                <w:szCs w:val="18"/>
              </w:rPr>
              <w:t>PHASE II TOTAL</w:t>
            </w:r>
          </w:p>
        </w:tc>
        <w:tc>
          <w:tcPr>
            <w:tcW w:w="1108" w:type="dxa"/>
            <w:tcBorders>
              <w:top w:val="nil"/>
              <w:left w:val="nil"/>
              <w:bottom w:val="single" w:sz="4" w:space="0" w:color="448A99"/>
              <w:right w:val="single" w:sz="4" w:space="0" w:color="448A99"/>
            </w:tcBorders>
            <w:shd w:val="clear" w:color="000000" w:fill="FFFFFF"/>
            <w:vAlign w:val="center"/>
            <w:hideMark/>
          </w:tcPr>
          <w:p w:rsidR="007C2227" w:rsidRPr="00B75B77" w:rsidRDefault="007C2227" w:rsidP="005459F4">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69,077</w:t>
            </w:r>
          </w:p>
        </w:tc>
        <w:tc>
          <w:tcPr>
            <w:tcW w:w="1260" w:type="dxa"/>
            <w:tcBorders>
              <w:top w:val="nil"/>
              <w:left w:val="nil"/>
              <w:bottom w:val="single" w:sz="4" w:space="0" w:color="448A99"/>
              <w:right w:val="single" w:sz="4" w:space="0" w:color="448A99"/>
            </w:tcBorders>
            <w:shd w:val="clear" w:color="000000" w:fill="FFFFFF"/>
            <w:vAlign w:val="center"/>
            <w:hideMark/>
          </w:tcPr>
          <w:p w:rsidR="007C2227" w:rsidRPr="00B75B77" w:rsidRDefault="007C2227" w:rsidP="005459F4">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0</w:t>
            </w:r>
          </w:p>
        </w:tc>
        <w:tc>
          <w:tcPr>
            <w:tcW w:w="1710" w:type="dxa"/>
            <w:tcBorders>
              <w:top w:val="nil"/>
              <w:left w:val="nil"/>
              <w:bottom w:val="single" w:sz="4" w:space="0" w:color="448A99"/>
              <w:right w:val="single" w:sz="4" w:space="0" w:color="448A99"/>
            </w:tcBorders>
            <w:shd w:val="clear" w:color="000000" w:fill="FFFFFF"/>
            <w:vAlign w:val="center"/>
            <w:hideMark/>
          </w:tcPr>
          <w:p w:rsidR="007C2227" w:rsidRPr="00B75B77" w:rsidRDefault="007C2227" w:rsidP="005459F4">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58.6</w:t>
            </w:r>
          </w:p>
        </w:tc>
        <w:tc>
          <w:tcPr>
            <w:tcW w:w="1260" w:type="dxa"/>
            <w:tcBorders>
              <w:top w:val="nil"/>
              <w:left w:val="nil"/>
              <w:bottom w:val="single" w:sz="4" w:space="0" w:color="448A99"/>
              <w:right w:val="single" w:sz="4" w:space="0" w:color="448A99"/>
            </w:tcBorders>
            <w:shd w:val="clear" w:color="000000" w:fill="FFFFFF"/>
            <w:vAlign w:val="center"/>
            <w:hideMark/>
          </w:tcPr>
          <w:p w:rsidR="007C2227" w:rsidRPr="00B75B77" w:rsidRDefault="007C2227" w:rsidP="005459F4">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0</w:t>
            </w:r>
          </w:p>
        </w:tc>
        <w:tc>
          <w:tcPr>
            <w:tcW w:w="1440" w:type="dxa"/>
            <w:tcBorders>
              <w:top w:val="nil"/>
              <w:left w:val="nil"/>
              <w:bottom w:val="single" w:sz="4" w:space="0" w:color="448A99"/>
              <w:right w:val="single" w:sz="4" w:space="0" w:color="448A99"/>
            </w:tcBorders>
            <w:shd w:val="clear" w:color="000000" w:fill="FFFFFF"/>
            <w:vAlign w:val="center"/>
            <w:hideMark/>
          </w:tcPr>
          <w:p w:rsidR="007C2227" w:rsidRPr="00B75B77" w:rsidRDefault="007C2227" w:rsidP="005459F4">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55.5</w:t>
            </w:r>
          </w:p>
        </w:tc>
        <w:tc>
          <w:tcPr>
            <w:tcW w:w="990" w:type="dxa"/>
            <w:tcBorders>
              <w:top w:val="nil"/>
              <w:left w:val="nil"/>
              <w:bottom w:val="single" w:sz="4" w:space="0" w:color="448A99"/>
              <w:right w:val="single" w:sz="4" w:space="0" w:color="448A99"/>
            </w:tcBorders>
            <w:shd w:val="clear" w:color="000000" w:fill="FFFFFF"/>
            <w:vAlign w:val="center"/>
            <w:hideMark/>
          </w:tcPr>
          <w:p w:rsidR="007C2227" w:rsidRPr="00B75B77" w:rsidRDefault="007C2227" w:rsidP="00557CA1">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20,153</w:t>
            </w:r>
          </w:p>
        </w:tc>
      </w:tr>
    </w:tbl>
    <w:p w:rsidR="007C2227" w:rsidRPr="00B75B77" w:rsidRDefault="007C2227" w:rsidP="005459F4">
      <w:pPr>
        <w:pStyle w:val="Source"/>
        <w:spacing w:before="20" w:after="20"/>
        <w:ind w:left="86" w:firstLine="0"/>
        <w:rPr>
          <w:rFonts w:ascii="Calibri" w:hAnsi="Calibri"/>
          <w:i w:val="0"/>
          <w:iCs/>
          <w:color w:val="000000"/>
          <w:szCs w:val="18"/>
        </w:rPr>
      </w:pPr>
      <w:r w:rsidRPr="00B75B77">
        <w:rPr>
          <w:rFonts w:ascii="Calibri" w:hAnsi="Calibri"/>
          <w:i w:val="0"/>
          <w:color w:val="000000"/>
          <w:szCs w:val="18"/>
          <w:vertAlign w:val="superscript"/>
        </w:rPr>
        <w:t>[1]</w:t>
      </w:r>
      <w:r w:rsidRPr="00B75B77">
        <w:rPr>
          <w:rFonts w:ascii="Calibri" w:hAnsi="Calibri"/>
          <w:i w:val="0"/>
          <w:color w:val="000000"/>
          <w:szCs w:val="18"/>
        </w:rPr>
        <w:t xml:space="preserve"> All customer sector totals are exclusive of each other and may be added together to get the Phase II totals.</w:t>
      </w:r>
      <w:r w:rsidRPr="00B75B77">
        <w:rPr>
          <w:rFonts w:ascii="Calibri" w:hAnsi="Calibri"/>
          <w:i w:val="0"/>
          <w:color w:val="000000"/>
          <w:szCs w:val="18"/>
        </w:rPr>
        <w:br/>
      </w:r>
      <w:r w:rsidRPr="00B75B77">
        <w:rPr>
          <w:rFonts w:ascii="Calibri" w:hAnsi="Calibri"/>
          <w:i w:val="0"/>
          <w:color w:val="000000"/>
          <w:szCs w:val="18"/>
          <w:vertAlign w:val="superscript"/>
        </w:rPr>
        <w:t>[2]</w:t>
      </w:r>
      <w:r w:rsidRPr="00B75B77">
        <w:rPr>
          <w:rFonts w:ascii="Calibri" w:hAnsi="Calibri"/>
          <w:i w:val="0"/>
          <w:color w:val="000000"/>
          <w:szCs w:val="18"/>
        </w:rPr>
        <w:t xml:space="preserve"> All reported and verified demand savings in this report include line losses as required.</w:t>
      </w:r>
      <w:r w:rsidRPr="00B75B77">
        <w:rPr>
          <w:rFonts w:ascii="Calibri" w:hAnsi="Calibri"/>
          <w:i w:val="0"/>
          <w:color w:val="000000"/>
          <w:szCs w:val="18"/>
        </w:rPr>
        <w:br/>
      </w:r>
      <w:r w:rsidRPr="00B75B77">
        <w:rPr>
          <w:rFonts w:ascii="Calibri" w:hAnsi="Calibri"/>
          <w:i w:val="0"/>
          <w:iCs/>
          <w:color w:val="000000"/>
          <w:szCs w:val="18"/>
        </w:rPr>
        <w:t>Note: Values in tables may not reconcile exactly with the sum of more detailed level results or previously reported results due to rounding.</w:t>
      </w:r>
    </w:p>
    <w:p w:rsidR="007C2227" w:rsidRPr="00B75B77" w:rsidRDefault="007C2227" w:rsidP="00557CA1">
      <w:pPr>
        <w:pStyle w:val="Source"/>
        <w:ind w:hanging="630"/>
      </w:pPr>
      <w:r w:rsidRPr="00B75B77">
        <w:t>Source: Navigant analysis</w:t>
      </w:r>
    </w:p>
    <w:p w:rsidR="007C2227" w:rsidRPr="00B75B77" w:rsidRDefault="007C2227" w:rsidP="005459F4">
      <w:pPr>
        <w:pStyle w:val="Heading3"/>
      </w:pPr>
      <w:bookmarkStart w:id="643" w:name="_Toc466413376"/>
      <w:r w:rsidRPr="00B75B77">
        <w:t>Gross Verified Savings Methodology</w:t>
      </w:r>
      <w:bookmarkEnd w:id="643"/>
      <w:r w:rsidRPr="00B75B77">
        <w:t xml:space="preserve"> </w:t>
      </w:r>
    </w:p>
    <w:p w:rsidR="007C2227" w:rsidRPr="00B75B77" w:rsidRDefault="007C2227" w:rsidP="005459F4">
      <w:r w:rsidRPr="00B75B77">
        <w:t xml:space="preserve">PECO’s energy management companies registered 49.6 MW into the PJM Emergency DR program in PY7. Navigant used this value as the reported gross savings value. To calculate the verified gross savings value, the Navigant team utilized the per-switch savings established in the load study conducted by </w:t>
      </w:r>
      <w:proofErr w:type="spellStart"/>
      <w:r w:rsidRPr="00B75B77">
        <w:t>Comverge</w:t>
      </w:r>
      <w:proofErr w:type="spellEnd"/>
      <w:r w:rsidRPr="00B75B77">
        <w:t xml:space="preserve"> in PY5, weather</w:t>
      </w:r>
      <w:r w:rsidR="00557CA1" w:rsidRPr="00B75B77">
        <w:t xml:space="preserve"> </w:t>
      </w:r>
      <w:r w:rsidRPr="00B75B77">
        <w:t xml:space="preserve">adjusting the results for the PY7 test event days. </w:t>
      </w:r>
    </w:p>
    <w:p w:rsidR="007C2227" w:rsidRPr="00B75B77" w:rsidRDefault="007C2227" w:rsidP="005459F4"/>
    <w:p w:rsidR="007C2227" w:rsidRPr="00B75B77" w:rsidRDefault="007C2227" w:rsidP="005459F4">
      <w:pPr>
        <w:autoSpaceDE w:val="0"/>
        <w:autoSpaceDN w:val="0"/>
      </w:pPr>
      <w:r w:rsidRPr="00B75B77">
        <w:t xml:space="preserve">Navigant updated the </w:t>
      </w:r>
      <w:proofErr w:type="spellStart"/>
      <w:r w:rsidRPr="00B75B77">
        <w:t>Comverge</w:t>
      </w:r>
      <w:proofErr w:type="spellEnd"/>
      <w:r w:rsidRPr="00B75B77">
        <w:t xml:space="preserve"> load study report utilized in PY5 for the purposes of estimating verified savings in PY7. As part of the load study, </w:t>
      </w:r>
      <w:proofErr w:type="spellStart"/>
      <w:r w:rsidRPr="00B75B77">
        <w:t>Comverge</w:t>
      </w:r>
      <w:proofErr w:type="spellEnd"/>
      <w:r w:rsidRPr="00B75B77">
        <w:t xml:space="preserve"> utilized readings from a total of 94 </w:t>
      </w:r>
      <w:r w:rsidR="0054073E" w:rsidRPr="00B75B77">
        <w:t>M&amp;V</w:t>
      </w:r>
      <w:r w:rsidRPr="00B75B77">
        <w:t xml:space="preserve"> systems installed in participating PECO homes. As stated in the </w:t>
      </w:r>
      <w:proofErr w:type="spellStart"/>
      <w:r w:rsidRPr="00B75B77">
        <w:t>Comverge</w:t>
      </w:r>
      <w:proofErr w:type="spellEnd"/>
      <w:r w:rsidRPr="00B75B77">
        <w:t xml:space="preserve"> load study report, the M&amp;V systems combine OEM hardware and a proprietary curtailment algorithm along with a </w:t>
      </w:r>
      <w:proofErr w:type="spellStart"/>
      <w:r w:rsidRPr="00B75B77">
        <w:t>Comverge</w:t>
      </w:r>
      <w:proofErr w:type="spellEnd"/>
      <w:r w:rsidRPr="00B75B77">
        <w:t xml:space="preserve"> DCU to provide energy demand data for analysis of energy curtailment events. </w:t>
      </w:r>
      <w:proofErr w:type="spellStart"/>
      <w:r w:rsidRPr="00B75B77">
        <w:t>Comverge</w:t>
      </w:r>
      <w:proofErr w:type="spellEnd"/>
      <w:r w:rsidRPr="00B75B77">
        <w:t xml:space="preserve"> used these readings in a regression analysis to develop the parameters that best fit the observed data using metered load as the dependent variable and observed temperature and hour of the day as the independent variables. </w:t>
      </w:r>
    </w:p>
    <w:p w:rsidR="007C2227" w:rsidRPr="00B75B77" w:rsidRDefault="007C2227" w:rsidP="004D2FBE"/>
    <w:p w:rsidR="007C2227" w:rsidRPr="00B75B77" w:rsidRDefault="007C2227" w:rsidP="004D2FBE">
      <w:r w:rsidRPr="00B75B77">
        <w:t>For the PY7 evaluation, Navigant used this same regression equation to estimate the verified savings during the PY7 program year. To calculate the results specific to PY7 using the regression developed in PY5, Navigant utilized actual weather observed during the two PY7 test event days as read at the KPHL weather station at Philadelphia International Airport. The regression was also updated to account for the actual number of participants that were enrolled in the program during the summer of PY7 and the rate of operability, as determined by the 2013 switch operability study.</w:t>
      </w:r>
      <w:r w:rsidRPr="00B75B77">
        <w:rPr>
          <w:rStyle w:val="FootnoteReference"/>
        </w:rPr>
        <w:footnoteReference w:id="45"/>
      </w:r>
      <w:r w:rsidRPr="00B75B77">
        <w:t xml:space="preserve"> This rate was calculated to be 100%. The verified savings estimate determined for PY7 is a weighted average of these two test events, based on the number of switches that were called for each event. </w:t>
      </w:r>
    </w:p>
    <w:p w:rsidR="007C2227" w:rsidRPr="00B75B77" w:rsidRDefault="007C2227" w:rsidP="004D2FBE"/>
    <w:p w:rsidR="007C2227" w:rsidRPr="00B75B77" w:rsidRDefault="007C2227" w:rsidP="004D2FBE">
      <w:proofErr w:type="spellStart"/>
      <w:r w:rsidRPr="00B75B77">
        <w:t>EnergyConnect</w:t>
      </w:r>
      <w:proofErr w:type="spellEnd"/>
      <w:r w:rsidRPr="00B75B77">
        <w:t xml:space="preserve"> called three-quarters of the residential DCUs on its test event on June 25, 2015, and </w:t>
      </w:r>
      <w:proofErr w:type="spellStart"/>
      <w:r w:rsidRPr="00B75B77">
        <w:t>CPower</w:t>
      </w:r>
      <w:proofErr w:type="spellEnd"/>
      <w:r w:rsidRPr="00B75B77">
        <w:t xml:space="preserve"> called the remaining quarter of DCUs on its test event on August 12, 2015. </w:t>
      </w:r>
    </w:p>
    <w:p w:rsidR="007C2227" w:rsidRPr="00B75B77" w:rsidRDefault="007C2227" w:rsidP="005459F4"/>
    <w:p w:rsidR="007C2227" w:rsidRPr="00B75B77" w:rsidRDefault="007C2227" w:rsidP="005459F4">
      <w:r w:rsidRPr="00B75B77">
        <w:lastRenderedPageBreak/>
        <w:t xml:space="preserve">Navigant utilized the </w:t>
      </w:r>
      <w:proofErr w:type="spellStart"/>
      <w:r w:rsidRPr="00B75B77">
        <w:t>Comverge</w:t>
      </w:r>
      <w:proofErr w:type="spellEnd"/>
      <w:r w:rsidRPr="00B75B77">
        <w:t xml:space="preserve"> PY5 sample as the sample for PY7 analysis. The sample included 94 randomly selected homes in which M&amp;V meters were installed. This sample was determined to meet the 85/15 confidence and precision level. </w:t>
      </w:r>
      <w:r w:rsidR="00557CA1" w:rsidRPr="00B75B77">
        <w:fldChar w:fldCharType="begin"/>
      </w:r>
      <w:r w:rsidR="00557CA1" w:rsidRPr="00B75B77">
        <w:instrText xml:space="preserve"> REF _Ref464225843 \h </w:instrText>
      </w:r>
      <w:r w:rsidR="00B75B77">
        <w:instrText xml:space="preserve"> \* MERGEFORMAT </w:instrText>
      </w:r>
      <w:r w:rsidR="00557CA1" w:rsidRPr="00B75B77">
        <w:fldChar w:fldCharType="separate"/>
      </w:r>
      <w:r w:rsidR="0004016D" w:rsidRPr="00B75B77">
        <w:t xml:space="preserve">Table </w:t>
      </w:r>
      <w:r w:rsidR="0004016D">
        <w:rPr>
          <w:noProof/>
        </w:rPr>
        <w:t>9</w:t>
      </w:r>
      <w:r w:rsidR="0004016D" w:rsidRPr="00B75B77">
        <w:rPr>
          <w:noProof/>
        </w:rPr>
        <w:noBreakHyphen/>
      </w:r>
      <w:r w:rsidR="0004016D">
        <w:rPr>
          <w:noProof/>
        </w:rPr>
        <w:t>2</w:t>
      </w:r>
      <w:r w:rsidR="00557CA1" w:rsidRPr="00B75B77">
        <w:fldChar w:fldCharType="end"/>
      </w:r>
      <w:r w:rsidR="00557CA1" w:rsidRPr="00B75B77">
        <w:t xml:space="preserve"> </w:t>
      </w:r>
      <w:r w:rsidRPr="00B75B77">
        <w:t>shows the sampling strategy applied to the verified gross analysis for Smart AC Saver in PY7.</w:t>
      </w:r>
    </w:p>
    <w:p w:rsidR="007C2227" w:rsidRPr="00B75B77" w:rsidRDefault="007C2227" w:rsidP="005459F4"/>
    <w:p w:rsidR="007C2227" w:rsidRPr="00B75B77" w:rsidRDefault="007C2227" w:rsidP="005459F4">
      <w:pPr>
        <w:pStyle w:val="Caption"/>
      </w:pPr>
      <w:bookmarkStart w:id="644" w:name="_Ref464225843"/>
      <w:bookmarkStart w:id="645" w:name="_Toc453075295"/>
      <w:bookmarkStart w:id="646" w:name="_Toc466413577"/>
      <w:r w:rsidRPr="00B75B77">
        <w:t xml:space="preserve">Table </w:t>
      </w:r>
      <w:fldSimple w:instr=" STYLEREF 1 \s ">
        <w:r w:rsidR="0004016D">
          <w:rPr>
            <w:noProof/>
          </w:rPr>
          <w:t>9</w:t>
        </w:r>
      </w:fldSimple>
      <w:r w:rsidR="00F1144C" w:rsidRPr="00B75B77">
        <w:noBreakHyphen/>
      </w:r>
      <w:fldSimple w:instr=" SEQ Table \* ARABIC \s 1 ">
        <w:r w:rsidR="0004016D">
          <w:rPr>
            <w:noProof/>
          </w:rPr>
          <w:t>2</w:t>
        </w:r>
      </w:fldSimple>
      <w:bookmarkEnd w:id="644"/>
      <w:r w:rsidRPr="00B75B77">
        <w:t>: Residential AC Saver Sampling Strategy for PY7</w:t>
      </w:r>
      <w:bookmarkEnd w:id="645"/>
      <w:bookmarkEnd w:id="646"/>
    </w:p>
    <w:tbl>
      <w:tblPr>
        <w:tblW w:w="9125" w:type="dxa"/>
        <w:tblLook w:val="04A0" w:firstRow="1" w:lastRow="0" w:firstColumn="1" w:lastColumn="0" w:noHBand="0" w:noVBand="1"/>
      </w:tblPr>
      <w:tblGrid>
        <w:gridCol w:w="1615"/>
        <w:gridCol w:w="1035"/>
        <w:gridCol w:w="1305"/>
        <w:gridCol w:w="810"/>
        <w:gridCol w:w="1260"/>
        <w:gridCol w:w="3100"/>
      </w:tblGrid>
      <w:tr w:rsidR="007C2227" w:rsidRPr="00B75B77" w:rsidTr="006E1DA3">
        <w:trPr>
          <w:trHeight w:val="288"/>
        </w:trPr>
        <w:tc>
          <w:tcPr>
            <w:tcW w:w="1615" w:type="dxa"/>
            <w:tcBorders>
              <w:top w:val="single" w:sz="4" w:space="0" w:color="auto"/>
              <w:left w:val="single" w:sz="4" w:space="0" w:color="auto"/>
              <w:bottom w:val="single" w:sz="4" w:space="0" w:color="auto"/>
              <w:right w:val="single" w:sz="4" w:space="0" w:color="auto"/>
            </w:tcBorders>
            <w:shd w:val="clear" w:color="000000" w:fill="448A99"/>
            <w:vAlign w:val="center"/>
            <w:hideMark/>
          </w:tcPr>
          <w:p w:rsidR="007C2227" w:rsidRPr="00B75B77" w:rsidRDefault="007C2227" w:rsidP="005459F4">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Stratum</w:t>
            </w:r>
          </w:p>
        </w:tc>
        <w:tc>
          <w:tcPr>
            <w:tcW w:w="1035" w:type="dxa"/>
            <w:tcBorders>
              <w:top w:val="single" w:sz="4" w:space="0" w:color="auto"/>
              <w:left w:val="nil"/>
              <w:bottom w:val="single" w:sz="4" w:space="0" w:color="auto"/>
              <w:right w:val="single" w:sz="4" w:space="0" w:color="auto"/>
            </w:tcBorders>
            <w:shd w:val="clear" w:color="000000" w:fill="448A99"/>
            <w:vAlign w:val="center"/>
            <w:hideMark/>
          </w:tcPr>
          <w:p w:rsidR="007C2227" w:rsidRPr="00B75B77" w:rsidRDefault="007C2227" w:rsidP="005459F4">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Population Size</w:t>
            </w:r>
          </w:p>
        </w:tc>
        <w:tc>
          <w:tcPr>
            <w:tcW w:w="1305" w:type="dxa"/>
            <w:tcBorders>
              <w:top w:val="single" w:sz="4" w:space="0" w:color="auto"/>
              <w:left w:val="nil"/>
              <w:bottom w:val="single" w:sz="4" w:space="0" w:color="auto"/>
              <w:right w:val="single" w:sz="4" w:space="0" w:color="auto"/>
            </w:tcBorders>
            <w:shd w:val="clear" w:color="000000" w:fill="448A99"/>
            <w:vAlign w:val="center"/>
            <w:hideMark/>
          </w:tcPr>
          <w:p w:rsidR="007C2227" w:rsidRPr="00B75B77" w:rsidRDefault="007C2227" w:rsidP="005459F4">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Target Levels of Confidence and Precision</w:t>
            </w:r>
          </w:p>
        </w:tc>
        <w:tc>
          <w:tcPr>
            <w:tcW w:w="810" w:type="dxa"/>
            <w:tcBorders>
              <w:top w:val="single" w:sz="4" w:space="0" w:color="auto"/>
              <w:left w:val="nil"/>
              <w:bottom w:val="single" w:sz="4" w:space="0" w:color="auto"/>
              <w:right w:val="single" w:sz="4" w:space="0" w:color="auto"/>
            </w:tcBorders>
            <w:shd w:val="clear" w:color="000000" w:fill="448A99"/>
            <w:vAlign w:val="center"/>
            <w:hideMark/>
          </w:tcPr>
          <w:p w:rsidR="007C2227" w:rsidRPr="00B75B77" w:rsidRDefault="007C2227" w:rsidP="005459F4">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Target Sample Size</w:t>
            </w:r>
          </w:p>
        </w:tc>
        <w:tc>
          <w:tcPr>
            <w:tcW w:w="1260" w:type="dxa"/>
            <w:tcBorders>
              <w:top w:val="single" w:sz="4" w:space="0" w:color="auto"/>
              <w:left w:val="nil"/>
              <w:bottom w:val="single" w:sz="4" w:space="0" w:color="auto"/>
              <w:right w:val="single" w:sz="4" w:space="0" w:color="auto"/>
            </w:tcBorders>
            <w:shd w:val="clear" w:color="000000" w:fill="448A99"/>
            <w:vAlign w:val="center"/>
            <w:hideMark/>
          </w:tcPr>
          <w:p w:rsidR="007C2227" w:rsidRPr="00B75B77" w:rsidRDefault="007C2227" w:rsidP="005459F4">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Achieved Sample Size</w:t>
            </w:r>
          </w:p>
        </w:tc>
        <w:tc>
          <w:tcPr>
            <w:tcW w:w="3100" w:type="dxa"/>
            <w:tcBorders>
              <w:top w:val="single" w:sz="4" w:space="0" w:color="auto"/>
              <w:left w:val="nil"/>
              <w:bottom w:val="single" w:sz="4" w:space="0" w:color="auto"/>
              <w:right w:val="single" w:sz="4" w:space="0" w:color="auto"/>
            </w:tcBorders>
            <w:shd w:val="clear" w:color="000000" w:fill="448A99"/>
            <w:vAlign w:val="center"/>
            <w:hideMark/>
          </w:tcPr>
          <w:p w:rsidR="007C2227" w:rsidRPr="00B75B77" w:rsidRDefault="007C2227" w:rsidP="005459F4">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Evaluation Activity</w:t>
            </w:r>
          </w:p>
        </w:tc>
      </w:tr>
      <w:tr w:rsidR="007C2227" w:rsidRPr="00B75B77" w:rsidTr="005459F4">
        <w:trPr>
          <w:trHeight w:val="288"/>
        </w:trPr>
        <w:tc>
          <w:tcPr>
            <w:tcW w:w="1615" w:type="dxa"/>
            <w:tcBorders>
              <w:top w:val="nil"/>
              <w:left w:val="single" w:sz="4" w:space="0" w:color="448A99"/>
              <w:bottom w:val="single" w:sz="4" w:space="0" w:color="448A99"/>
              <w:right w:val="single" w:sz="4" w:space="0" w:color="448A99"/>
            </w:tcBorders>
            <w:shd w:val="clear" w:color="000000" w:fill="FFFFFF"/>
            <w:vAlign w:val="center"/>
            <w:hideMark/>
          </w:tcPr>
          <w:p w:rsidR="007C2227" w:rsidRPr="00B75B77" w:rsidRDefault="007C2227" w:rsidP="005459F4">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All</w:t>
            </w:r>
          </w:p>
        </w:tc>
        <w:tc>
          <w:tcPr>
            <w:tcW w:w="1035" w:type="dxa"/>
            <w:tcBorders>
              <w:top w:val="nil"/>
              <w:left w:val="nil"/>
              <w:bottom w:val="single" w:sz="4" w:space="0" w:color="448A99"/>
              <w:right w:val="single" w:sz="4" w:space="0" w:color="448A99"/>
            </w:tcBorders>
            <w:shd w:val="clear" w:color="000000" w:fill="FFFFFF"/>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65,274</w:t>
            </w:r>
          </w:p>
        </w:tc>
        <w:tc>
          <w:tcPr>
            <w:tcW w:w="1305" w:type="dxa"/>
            <w:tcBorders>
              <w:top w:val="nil"/>
              <w:left w:val="nil"/>
              <w:bottom w:val="single" w:sz="4" w:space="0" w:color="448A99"/>
              <w:right w:val="single" w:sz="4" w:space="0" w:color="448A99"/>
            </w:tcBorders>
            <w:shd w:val="clear" w:color="000000" w:fill="FFFFFF"/>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810" w:type="dxa"/>
            <w:tcBorders>
              <w:top w:val="nil"/>
              <w:left w:val="nil"/>
              <w:bottom w:val="single" w:sz="4" w:space="0" w:color="448A99"/>
              <w:right w:val="single" w:sz="4" w:space="0" w:color="448A99"/>
            </w:tcBorders>
            <w:shd w:val="clear" w:color="000000" w:fill="FFFFFF"/>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100</w:t>
            </w:r>
          </w:p>
        </w:tc>
        <w:tc>
          <w:tcPr>
            <w:tcW w:w="1260" w:type="dxa"/>
            <w:tcBorders>
              <w:top w:val="nil"/>
              <w:left w:val="nil"/>
              <w:bottom w:val="single" w:sz="4" w:space="0" w:color="448A99"/>
              <w:right w:val="single" w:sz="4" w:space="0" w:color="448A99"/>
            </w:tcBorders>
            <w:shd w:val="clear" w:color="000000" w:fill="FFFFFF"/>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94</w:t>
            </w:r>
          </w:p>
        </w:tc>
        <w:tc>
          <w:tcPr>
            <w:tcW w:w="3100" w:type="dxa"/>
            <w:tcBorders>
              <w:top w:val="nil"/>
              <w:left w:val="nil"/>
              <w:bottom w:val="single" w:sz="4" w:space="0" w:color="448A99"/>
              <w:right w:val="single" w:sz="4" w:space="0" w:color="448A99"/>
            </w:tcBorders>
            <w:shd w:val="clear" w:color="000000" w:fill="FFFFFF"/>
            <w:vAlign w:val="center"/>
            <w:hideMark/>
          </w:tcPr>
          <w:p w:rsidR="007C2227" w:rsidRPr="00B75B77" w:rsidRDefault="007C2227" w:rsidP="005459F4">
            <w:pPr>
              <w:jc w:val="left"/>
              <w:rPr>
                <w:rFonts w:ascii="Calibri" w:eastAsia="Times New Roman" w:hAnsi="Calibri"/>
                <w:color w:val="000000"/>
                <w:sz w:val="18"/>
                <w:szCs w:val="18"/>
              </w:rPr>
            </w:pPr>
            <w:r w:rsidRPr="00B75B77">
              <w:rPr>
                <w:rFonts w:ascii="Calibri" w:eastAsia="Times New Roman" w:hAnsi="Calibri"/>
                <w:color w:val="000000"/>
                <w:sz w:val="18"/>
                <w:szCs w:val="18"/>
              </w:rPr>
              <w:t>PY5 load study applied to PY7 events</w:t>
            </w:r>
          </w:p>
        </w:tc>
      </w:tr>
      <w:tr w:rsidR="007C2227" w:rsidRPr="00B75B77" w:rsidTr="005459F4">
        <w:trPr>
          <w:trHeight w:val="288"/>
        </w:trPr>
        <w:tc>
          <w:tcPr>
            <w:tcW w:w="1615" w:type="dxa"/>
            <w:tcBorders>
              <w:top w:val="nil"/>
              <w:left w:val="single" w:sz="4" w:space="0" w:color="448A99"/>
              <w:bottom w:val="single" w:sz="4" w:space="0" w:color="448A99"/>
              <w:right w:val="single" w:sz="4" w:space="0" w:color="448A99"/>
            </w:tcBorders>
            <w:shd w:val="clear" w:color="auto" w:fill="D2EAF1"/>
            <w:vAlign w:val="center"/>
            <w:hideMark/>
          </w:tcPr>
          <w:p w:rsidR="007C2227" w:rsidRPr="00B75B77" w:rsidRDefault="006D019E" w:rsidP="005459F4">
            <w:pPr>
              <w:jc w:val="left"/>
              <w:rPr>
                <w:rFonts w:ascii="Calibri" w:eastAsia="Times New Roman" w:hAnsi="Calibri"/>
                <w:b/>
                <w:color w:val="000000"/>
                <w:sz w:val="18"/>
                <w:szCs w:val="18"/>
              </w:rPr>
            </w:pPr>
            <w:r w:rsidRPr="00B75B77">
              <w:rPr>
                <w:rFonts w:ascii="Calibri" w:eastAsia="Times New Roman" w:hAnsi="Calibri"/>
                <w:b/>
                <w:color w:val="000000"/>
                <w:sz w:val="18"/>
                <w:szCs w:val="18"/>
              </w:rPr>
              <w:t>PROGRAM TOTAL</w:t>
            </w:r>
          </w:p>
        </w:tc>
        <w:tc>
          <w:tcPr>
            <w:tcW w:w="1035" w:type="dxa"/>
            <w:tcBorders>
              <w:top w:val="nil"/>
              <w:left w:val="nil"/>
              <w:bottom w:val="single" w:sz="4" w:space="0" w:color="448A99"/>
              <w:right w:val="single" w:sz="4" w:space="0" w:color="448A99"/>
            </w:tcBorders>
            <w:shd w:val="clear" w:color="auto" w:fill="D2EAF1"/>
            <w:vAlign w:val="center"/>
            <w:hideMark/>
          </w:tcPr>
          <w:p w:rsidR="007C2227" w:rsidRPr="00B75B77" w:rsidRDefault="007C2227" w:rsidP="005459F4">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65,274</w:t>
            </w:r>
          </w:p>
        </w:tc>
        <w:tc>
          <w:tcPr>
            <w:tcW w:w="1305" w:type="dxa"/>
            <w:tcBorders>
              <w:top w:val="nil"/>
              <w:left w:val="nil"/>
              <w:bottom w:val="single" w:sz="4" w:space="0" w:color="448A99"/>
              <w:right w:val="single" w:sz="4" w:space="0" w:color="448A99"/>
            </w:tcBorders>
            <w:shd w:val="clear" w:color="auto" w:fill="D2EAF1"/>
            <w:vAlign w:val="center"/>
            <w:hideMark/>
          </w:tcPr>
          <w:p w:rsidR="007C2227" w:rsidRPr="00B75B77" w:rsidRDefault="00037CF1" w:rsidP="005459F4">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85/15</w:t>
            </w:r>
          </w:p>
        </w:tc>
        <w:tc>
          <w:tcPr>
            <w:tcW w:w="810" w:type="dxa"/>
            <w:tcBorders>
              <w:top w:val="nil"/>
              <w:left w:val="nil"/>
              <w:bottom w:val="single" w:sz="4" w:space="0" w:color="448A99"/>
              <w:right w:val="single" w:sz="4" w:space="0" w:color="448A99"/>
            </w:tcBorders>
            <w:shd w:val="clear" w:color="auto" w:fill="D2EAF1"/>
            <w:vAlign w:val="center"/>
            <w:hideMark/>
          </w:tcPr>
          <w:p w:rsidR="007C2227" w:rsidRPr="00B75B77" w:rsidRDefault="007C2227" w:rsidP="005459F4">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100</w:t>
            </w:r>
          </w:p>
        </w:tc>
        <w:tc>
          <w:tcPr>
            <w:tcW w:w="1260" w:type="dxa"/>
            <w:tcBorders>
              <w:top w:val="nil"/>
              <w:left w:val="nil"/>
              <w:bottom w:val="single" w:sz="4" w:space="0" w:color="448A99"/>
              <w:right w:val="single" w:sz="4" w:space="0" w:color="448A99"/>
            </w:tcBorders>
            <w:shd w:val="clear" w:color="auto" w:fill="D2EAF1"/>
            <w:vAlign w:val="center"/>
            <w:hideMark/>
          </w:tcPr>
          <w:p w:rsidR="007C2227" w:rsidRPr="00B75B77" w:rsidRDefault="007C2227" w:rsidP="005459F4">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94</w:t>
            </w:r>
          </w:p>
        </w:tc>
        <w:tc>
          <w:tcPr>
            <w:tcW w:w="3100" w:type="dxa"/>
            <w:tcBorders>
              <w:top w:val="nil"/>
              <w:left w:val="nil"/>
              <w:bottom w:val="single" w:sz="4" w:space="0" w:color="448A99"/>
              <w:right w:val="single" w:sz="4" w:space="0" w:color="448A99"/>
            </w:tcBorders>
            <w:shd w:val="clear" w:color="auto" w:fill="D2EAF1"/>
            <w:vAlign w:val="center"/>
            <w:hideMark/>
          </w:tcPr>
          <w:p w:rsidR="007C2227" w:rsidRPr="00B75B77" w:rsidRDefault="007C2227" w:rsidP="005459F4">
            <w:pPr>
              <w:jc w:val="left"/>
              <w:rPr>
                <w:rFonts w:ascii="Calibri" w:eastAsia="Times New Roman" w:hAnsi="Calibri"/>
                <w:b/>
                <w:color w:val="000000"/>
                <w:sz w:val="18"/>
                <w:szCs w:val="18"/>
              </w:rPr>
            </w:pPr>
            <w:r w:rsidRPr="00B75B77">
              <w:rPr>
                <w:rFonts w:ascii="Calibri" w:eastAsia="Times New Roman" w:hAnsi="Calibri"/>
                <w:b/>
                <w:color w:val="000000"/>
                <w:sz w:val="18"/>
                <w:szCs w:val="18"/>
              </w:rPr>
              <w:t>N/A</w:t>
            </w:r>
          </w:p>
        </w:tc>
      </w:tr>
    </w:tbl>
    <w:p w:rsidR="007C2227" w:rsidRPr="00B75B77" w:rsidRDefault="007C2227" w:rsidP="005459F4">
      <w:pPr>
        <w:pStyle w:val="Source"/>
        <w:spacing w:before="20" w:after="20"/>
        <w:ind w:left="0" w:firstLine="0"/>
        <w:rPr>
          <w:rFonts w:ascii="Calibri" w:hAnsi="Calibri"/>
          <w:i w:val="0"/>
          <w:iCs/>
          <w:color w:val="000000"/>
          <w:szCs w:val="18"/>
        </w:rPr>
      </w:pPr>
      <w:r w:rsidRPr="00B75B77">
        <w:rPr>
          <w:rFonts w:ascii="Calibri" w:hAnsi="Calibri"/>
          <w:i w:val="0"/>
          <w:iCs/>
          <w:color w:val="000000"/>
          <w:szCs w:val="18"/>
        </w:rPr>
        <w:t>Note: Values in tables may not reconcile exactly with the sum of more detailed level results or previously reported results due to rounding.</w:t>
      </w:r>
    </w:p>
    <w:p w:rsidR="007C2227" w:rsidRPr="00B75B77" w:rsidRDefault="007C2227" w:rsidP="00557CA1">
      <w:pPr>
        <w:pStyle w:val="Source"/>
        <w:ind w:hanging="720"/>
      </w:pPr>
      <w:r w:rsidRPr="00B75B77">
        <w:t>Source: Navigant analysis</w:t>
      </w:r>
    </w:p>
    <w:p w:rsidR="007C2227" w:rsidRPr="00B75B77" w:rsidRDefault="007C2227" w:rsidP="005459F4">
      <w:r w:rsidRPr="00B75B77">
        <w:t>Navigant conducted no site visits for the Smart AC Saver program in PY7, as per the approved evaluation plan.</w:t>
      </w:r>
    </w:p>
    <w:p w:rsidR="007C2227" w:rsidRPr="00B75B77" w:rsidRDefault="007C2227" w:rsidP="005459F4"/>
    <w:p w:rsidR="007C2227" w:rsidRPr="00B75B77" w:rsidRDefault="007C2227" w:rsidP="005459F4">
      <w:pPr>
        <w:pStyle w:val="Heading3"/>
      </w:pPr>
      <w:bookmarkStart w:id="647" w:name="_Toc466413377"/>
      <w:r w:rsidRPr="00B75B77">
        <w:t>Gross Verified Savings Results</w:t>
      </w:r>
      <w:bookmarkEnd w:id="647"/>
      <w:r w:rsidRPr="00B75B77">
        <w:t xml:space="preserve"> </w:t>
      </w:r>
    </w:p>
    <w:p w:rsidR="007C2227" w:rsidRPr="00B75B77" w:rsidRDefault="007C2227" w:rsidP="005459F4">
      <w:r w:rsidRPr="00B75B77">
        <w:t xml:space="preserve">Smart AC Saver is a demand-only program, and </w:t>
      </w:r>
      <w:r w:rsidR="006E1DA3" w:rsidRPr="00B75B77">
        <w:t xml:space="preserve">it </w:t>
      </w:r>
      <w:r w:rsidRPr="00B75B77">
        <w:t xml:space="preserve">claimed no energy savings in PY7. The program claimed 49.6 MW in reported savings and 40.5 MW of verified gross savings. </w:t>
      </w:r>
      <w:r w:rsidR="00557CA1" w:rsidRPr="00B75B77">
        <w:fldChar w:fldCharType="begin"/>
      </w:r>
      <w:r w:rsidR="00557CA1" w:rsidRPr="00B75B77">
        <w:instrText xml:space="preserve"> REF _Ref464225850 \h </w:instrText>
      </w:r>
      <w:r w:rsidR="00B75B77">
        <w:instrText xml:space="preserve"> \* MERGEFORMAT </w:instrText>
      </w:r>
      <w:r w:rsidR="00557CA1" w:rsidRPr="00B75B77">
        <w:fldChar w:fldCharType="separate"/>
      </w:r>
      <w:r w:rsidR="0004016D" w:rsidRPr="00B75B77">
        <w:t xml:space="preserve">Table </w:t>
      </w:r>
      <w:r w:rsidR="0004016D">
        <w:rPr>
          <w:noProof/>
        </w:rPr>
        <w:t>9</w:t>
      </w:r>
      <w:r w:rsidR="0004016D" w:rsidRPr="00B75B77">
        <w:rPr>
          <w:noProof/>
        </w:rPr>
        <w:noBreakHyphen/>
      </w:r>
      <w:r w:rsidR="0004016D">
        <w:rPr>
          <w:noProof/>
        </w:rPr>
        <w:t>3</w:t>
      </w:r>
      <w:r w:rsidR="00557CA1" w:rsidRPr="00B75B77">
        <w:fldChar w:fldCharType="end"/>
      </w:r>
      <w:r w:rsidR="00557CA1" w:rsidRPr="00B75B77">
        <w:t xml:space="preserve"> </w:t>
      </w:r>
      <w:r w:rsidRPr="00B75B77">
        <w:t>shows the demand savings claimed in PY7.</w:t>
      </w:r>
    </w:p>
    <w:p w:rsidR="007C2227" w:rsidRPr="00B75B77" w:rsidRDefault="007C2227" w:rsidP="005459F4">
      <w:pPr>
        <w:tabs>
          <w:tab w:val="left" w:pos="8010"/>
        </w:tabs>
      </w:pPr>
      <w:r w:rsidRPr="00B75B77">
        <w:tab/>
      </w:r>
    </w:p>
    <w:p w:rsidR="007C2227" w:rsidRPr="00B75B77" w:rsidRDefault="007C2227" w:rsidP="005459F4">
      <w:pPr>
        <w:pStyle w:val="Caption"/>
      </w:pPr>
      <w:bookmarkStart w:id="648" w:name="_Ref464225850"/>
      <w:bookmarkStart w:id="649" w:name="_Ref462061721"/>
      <w:bookmarkStart w:id="650" w:name="_Toc453075297"/>
      <w:bookmarkStart w:id="651" w:name="_Toc466413578"/>
      <w:r w:rsidRPr="00B75B77">
        <w:t xml:space="preserve">Table </w:t>
      </w:r>
      <w:fldSimple w:instr=" STYLEREF 1 \s ">
        <w:r w:rsidR="0004016D">
          <w:rPr>
            <w:noProof/>
          </w:rPr>
          <w:t>9</w:t>
        </w:r>
      </w:fldSimple>
      <w:r w:rsidR="00F1144C" w:rsidRPr="00B75B77">
        <w:noBreakHyphen/>
      </w:r>
      <w:fldSimple w:instr=" SEQ Table \* ARABIC \s 1 ">
        <w:r w:rsidR="0004016D">
          <w:rPr>
            <w:noProof/>
          </w:rPr>
          <w:t>3</w:t>
        </w:r>
      </w:fldSimple>
      <w:bookmarkEnd w:id="648"/>
      <w:bookmarkEnd w:id="649"/>
      <w:r w:rsidRPr="00B75B77">
        <w:t>: PY7 Residential AC Saver Summary of Evaluation Results for Demand</w:t>
      </w:r>
      <w:bookmarkEnd w:id="650"/>
      <w:bookmarkEnd w:id="651"/>
    </w:p>
    <w:tbl>
      <w:tblPr>
        <w:tblW w:w="9440" w:type="dxa"/>
        <w:tblLayout w:type="fixed"/>
        <w:tblLook w:val="04A0" w:firstRow="1" w:lastRow="0" w:firstColumn="1" w:lastColumn="0" w:noHBand="0" w:noVBand="1"/>
      </w:tblPr>
      <w:tblGrid>
        <w:gridCol w:w="1615"/>
        <w:gridCol w:w="1080"/>
        <w:gridCol w:w="1170"/>
        <w:gridCol w:w="2070"/>
        <w:gridCol w:w="2070"/>
        <w:gridCol w:w="1435"/>
      </w:tblGrid>
      <w:tr w:rsidR="007C2227" w:rsidRPr="00B75B77" w:rsidTr="006E1DA3">
        <w:trPr>
          <w:divId w:val="1260137571"/>
          <w:trHeight w:val="288"/>
        </w:trPr>
        <w:tc>
          <w:tcPr>
            <w:tcW w:w="1615"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7C2227" w:rsidRPr="00B75B77" w:rsidRDefault="007C2227" w:rsidP="005459F4">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Stratum</w:t>
            </w:r>
          </w:p>
        </w:tc>
        <w:tc>
          <w:tcPr>
            <w:tcW w:w="108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7C2227" w:rsidRPr="00B75B77" w:rsidRDefault="007C2227" w:rsidP="005459F4">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Reported Gross Demand Reduction (MW/</w:t>
            </w:r>
            <w:proofErr w:type="spellStart"/>
            <w:r w:rsidRPr="00B75B77">
              <w:rPr>
                <w:rFonts w:ascii="Calibri" w:eastAsia="Times New Roman" w:hAnsi="Calibri"/>
                <w:b/>
                <w:bCs/>
                <w:color w:val="FFFFFF"/>
                <w:sz w:val="18"/>
                <w:szCs w:val="18"/>
              </w:rPr>
              <w:t>yr</w:t>
            </w:r>
            <w:proofErr w:type="spellEnd"/>
            <w:r w:rsidRPr="00B75B77">
              <w:rPr>
                <w:rFonts w:ascii="Calibri" w:eastAsia="Times New Roman" w:hAnsi="Calibri"/>
                <w:b/>
                <w:bCs/>
                <w:color w:val="FFFFFF"/>
                <w:sz w:val="18"/>
                <w:szCs w:val="18"/>
              </w:rPr>
              <w:t>)</w:t>
            </w:r>
          </w:p>
        </w:tc>
        <w:tc>
          <w:tcPr>
            <w:tcW w:w="117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7C2227" w:rsidRPr="00B75B77" w:rsidRDefault="007C2227" w:rsidP="005459F4">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Realization Rate (%)</w:t>
            </w:r>
          </w:p>
        </w:tc>
        <w:tc>
          <w:tcPr>
            <w:tcW w:w="207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7C2227" w:rsidRPr="00B75B77" w:rsidRDefault="007C2227" w:rsidP="005459F4">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Verified Gross Demand Reduction (MW/</w:t>
            </w:r>
            <w:proofErr w:type="spellStart"/>
            <w:r w:rsidRPr="00B75B77">
              <w:rPr>
                <w:rFonts w:ascii="Calibri" w:eastAsia="Times New Roman" w:hAnsi="Calibri"/>
                <w:b/>
                <w:bCs/>
                <w:color w:val="FFFFFF"/>
                <w:sz w:val="18"/>
                <w:szCs w:val="18"/>
              </w:rPr>
              <w:t>yr</w:t>
            </w:r>
            <w:proofErr w:type="spellEnd"/>
            <w:r w:rsidRPr="00B75B77">
              <w:rPr>
                <w:rFonts w:ascii="Calibri" w:eastAsia="Times New Roman" w:hAnsi="Calibri"/>
                <w:b/>
                <w:bCs/>
                <w:color w:val="FFFFFF"/>
                <w:sz w:val="18"/>
                <w:szCs w:val="18"/>
              </w:rPr>
              <w:t>)</w:t>
            </w:r>
          </w:p>
        </w:tc>
        <w:tc>
          <w:tcPr>
            <w:tcW w:w="207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7C2227" w:rsidRPr="00B75B77" w:rsidRDefault="007C2227" w:rsidP="005459F4">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Observed C</w:t>
            </w:r>
            <w:r w:rsidR="00FA45FF" w:rsidRPr="00B75B77">
              <w:rPr>
                <w:rFonts w:ascii="Calibri" w:eastAsia="Times New Roman" w:hAnsi="Calibri"/>
                <w:b/>
                <w:bCs/>
                <w:color w:val="FFFFFF"/>
                <w:sz w:val="18"/>
                <w:szCs w:val="18"/>
              </w:rPr>
              <w:t>V</w:t>
            </w:r>
            <w:r w:rsidRPr="00B75B77">
              <w:rPr>
                <w:rFonts w:ascii="Calibri" w:eastAsia="Times New Roman" w:hAnsi="Calibri"/>
                <w:b/>
                <w:bCs/>
                <w:color w:val="FFFFFF"/>
                <w:sz w:val="18"/>
                <w:szCs w:val="18"/>
              </w:rPr>
              <w:t xml:space="preserve"> or Proportion in Sample Design</w:t>
            </w:r>
          </w:p>
        </w:tc>
        <w:tc>
          <w:tcPr>
            <w:tcW w:w="1435"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7C2227" w:rsidRPr="00B75B77" w:rsidRDefault="007C2227" w:rsidP="00557CA1">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Relative Precision at 85% </w:t>
            </w:r>
            <w:r w:rsidR="00557CA1" w:rsidRPr="00B75B77">
              <w:rPr>
                <w:rFonts w:ascii="Calibri" w:eastAsia="Times New Roman" w:hAnsi="Calibri"/>
                <w:b/>
                <w:bCs/>
                <w:color w:val="FFFFFF"/>
                <w:sz w:val="18"/>
                <w:szCs w:val="18"/>
              </w:rPr>
              <w:t>Confidence Interval</w:t>
            </w:r>
          </w:p>
        </w:tc>
      </w:tr>
      <w:tr w:rsidR="007C2227" w:rsidRPr="00B75B77" w:rsidTr="006E1DA3">
        <w:trPr>
          <w:divId w:val="1260137571"/>
          <w:trHeight w:val="288"/>
        </w:trPr>
        <w:tc>
          <w:tcPr>
            <w:tcW w:w="1615" w:type="dxa"/>
            <w:vMerge/>
            <w:tcBorders>
              <w:top w:val="single" w:sz="4" w:space="0" w:color="auto"/>
              <w:left w:val="single" w:sz="4" w:space="0" w:color="auto"/>
              <w:bottom w:val="single" w:sz="4" w:space="0" w:color="000000"/>
              <w:right w:val="single" w:sz="4" w:space="0" w:color="auto"/>
            </w:tcBorders>
            <w:vAlign w:val="center"/>
            <w:hideMark/>
          </w:tcPr>
          <w:p w:rsidR="007C2227" w:rsidRPr="00B75B77" w:rsidRDefault="007C2227" w:rsidP="005459F4">
            <w:pPr>
              <w:jc w:val="left"/>
              <w:rPr>
                <w:rFonts w:ascii="Calibri" w:eastAsia="Times New Roman" w:hAnsi="Calibri"/>
                <w:b/>
                <w:bCs/>
                <w:color w:val="FFFFFF"/>
                <w:sz w:val="18"/>
                <w:szCs w:val="18"/>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7C2227" w:rsidRPr="00B75B77" w:rsidRDefault="007C2227" w:rsidP="005459F4">
            <w:pPr>
              <w:jc w:val="left"/>
              <w:rPr>
                <w:rFonts w:ascii="Calibri" w:eastAsia="Times New Roman" w:hAnsi="Calibri"/>
                <w:b/>
                <w:bCs/>
                <w:color w:val="FFFFFF"/>
                <w:sz w:val="18"/>
                <w:szCs w:val="18"/>
              </w:rPr>
            </w:pPr>
          </w:p>
        </w:tc>
        <w:tc>
          <w:tcPr>
            <w:tcW w:w="1170" w:type="dxa"/>
            <w:vMerge/>
            <w:tcBorders>
              <w:top w:val="single" w:sz="4" w:space="0" w:color="auto"/>
              <w:left w:val="single" w:sz="4" w:space="0" w:color="auto"/>
              <w:bottom w:val="single" w:sz="4" w:space="0" w:color="000000"/>
              <w:right w:val="single" w:sz="4" w:space="0" w:color="auto"/>
            </w:tcBorders>
            <w:vAlign w:val="center"/>
            <w:hideMark/>
          </w:tcPr>
          <w:p w:rsidR="007C2227" w:rsidRPr="00B75B77" w:rsidRDefault="007C2227" w:rsidP="005459F4">
            <w:pPr>
              <w:jc w:val="left"/>
              <w:rPr>
                <w:rFonts w:ascii="Calibri" w:eastAsia="Times New Roman" w:hAnsi="Calibri"/>
                <w:b/>
                <w:bCs/>
                <w:color w:val="FFFFFF"/>
                <w:sz w:val="18"/>
                <w:szCs w:val="18"/>
              </w:rPr>
            </w:pPr>
          </w:p>
        </w:tc>
        <w:tc>
          <w:tcPr>
            <w:tcW w:w="2070" w:type="dxa"/>
            <w:vMerge/>
            <w:tcBorders>
              <w:top w:val="single" w:sz="4" w:space="0" w:color="auto"/>
              <w:left w:val="single" w:sz="4" w:space="0" w:color="auto"/>
              <w:bottom w:val="single" w:sz="4" w:space="0" w:color="000000"/>
              <w:right w:val="single" w:sz="4" w:space="0" w:color="auto"/>
            </w:tcBorders>
            <w:vAlign w:val="center"/>
            <w:hideMark/>
          </w:tcPr>
          <w:p w:rsidR="007C2227" w:rsidRPr="00B75B77" w:rsidRDefault="007C2227" w:rsidP="005459F4">
            <w:pPr>
              <w:jc w:val="left"/>
              <w:rPr>
                <w:rFonts w:ascii="Calibri" w:eastAsia="Times New Roman" w:hAnsi="Calibri"/>
                <w:b/>
                <w:bCs/>
                <w:color w:val="FFFFFF"/>
                <w:sz w:val="18"/>
                <w:szCs w:val="18"/>
              </w:rPr>
            </w:pPr>
          </w:p>
        </w:tc>
        <w:tc>
          <w:tcPr>
            <w:tcW w:w="2070" w:type="dxa"/>
            <w:vMerge/>
            <w:tcBorders>
              <w:top w:val="single" w:sz="4" w:space="0" w:color="auto"/>
              <w:left w:val="single" w:sz="4" w:space="0" w:color="auto"/>
              <w:bottom w:val="single" w:sz="4" w:space="0" w:color="000000"/>
              <w:right w:val="single" w:sz="4" w:space="0" w:color="auto"/>
            </w:tcBorders>
            <w:vAlign w:val="center"/>
            <w:hideMark/>
          </w:tcPr>
          <w:p w:rsidR="007C2227" w:rsidRPr="00B75B77" w:rsidRDefault="007C2227" w:rsidP="005459F4">
            <w:pPr>
              <w:jc w:val="left"/>
              <w:rPr>
                <w:rFonts w:ascii="Calibri" w:eastAsia="Times New Roman" w:hAnsi="Calibri"/>
                <w:b/>
                <w:bCs/>
                <w:color w:val="FFFFFF"/>
                <w:sz w:val="18"/>
                <w:szCs w:val="18"/>
              </w:rPr>
            </w:pPr>
          </w:p>
        </w:tc>
        <w:tc>
          <w:tcPr>
            <w:tcW w:w="1435" w:type="dxa"/>
            <w:vMerge/>
            <w:tcBorders>
              <w:top w:val="single" w:sz="4" w:space="0" w:color="auto"/>
              <w:left w:val="single" w:sz="4" w:space="0" w:color="auto"/>
              <w:bottom w:val="single" w:sz="4" w:space="0" w:color="000000"/>
              <w:right w:val="single" w:sz="4" w:space="0" w:color="auto"/>
            </w:tcBorders>
            <w:vAlign w:val="center"/>
            <w:hideMark/>
          </w:tcPr>
          <w:p w:rsidR="007C2227" w:rsidRPr="00B75B77" w:rsidRDefault="007C2227" w:rsidP="005459F4">
            <w:pPr>
              <w:jc w:val="left"/>
              <w:rPr>
                <w:rFonts w:ascii="Calibri" w:eastAsia="Times New Roman" w:hAnsi="Calibri"/>
                <w:b/>
                <w:bCs/>
                <w:color w:val="FFFFFF"/>
                <w:sz w:val="18"/>
                <w:szCs w:val="18"/>
              </w:rPr>
            </w:pPr>
          </w:p>
        </w:tc>
      </w:tr>
      <w:tr w:rsidR="007C2227" w:rsidRPr="00B75B77" w:rsidTr="006E1DA3">
        <w:trPr>
          <w:divId w:val="1260137571"/>
          <w:trHeight w:val="288"/>
        </w:trPr>
        <w:tc>
          <w:tcPr>
            <w:tcW w:w="1615" w:type="dxa"/>
            <w:vMerge/>
            <w:tcBorders>
              <w:top w:val="single" w:sz="4" w:space="0" w:color="auto"/>
              <w:left w:val="single" w:sz="4" w:space="0" w:color="auto"/>
              <w:bottom w:val="single" w:sz="4" w:space="0" w:color="000000"/>
              <w:right w:val="single" w:sz="4" w:space="0" w:color="auto"/>
            </w:tcBorders>
            <w:vAlign w:val="center"/>
            <w:hideMark/>
          </w:tcPr>
          <w:p w:rsidR="007C2227" w:rsidRPr="00B75B77" w:rsidRDefault="007C2227" w:rsidP="005459F4">
            <w:pPr>
              <w:jc w:val="left"/>
              <w:rPr>
                <w:rFonts w:ascii="Calibri" w:eastAsia="Times New Roman" w:hAnsi="Calibri"/>
                <w:b/>
                <w:bCs/>
                <w:color w:val="FFFFFF"/>
                <w:sz w:val="18"/>
                <w:szCs w:val="18"/>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7C2227" w:rsidRPr="00B75B77" w:rsidRDefault="007C2227" w:rsidP="005459F4">
            <w:pPr>
              <w:jc w:val="left"/>
              <w:rPr>
                <w:rFonts w:ascii="Calibri" w:eastAsia="Times New Roman" w:hAnsi="Calibri"/>
                <w:b/>
                <w:bCs/>
                <w:color w:val="FFFFFF"/>
                <w:sz w:val="18"/>
                <w:szCs w:val="18"/>
              </w:rPr>
            </w:pPr>
          </w:p>
        </w:tc>
        <w:tc>
          <w:tcPr>
            <w:tcW w:w="1170" w:type="dxa"/>
            <w:vMerge/>
            <w:tcBorders>
              <w:top w:val="single" w:sz="4" w:space="0" w:color="auto"/>
              <w:left w:val="single" w:sz="4" w:space="0" w:color="auto"/>
              <w:bottom w:val="single" w:sz="4" w:space="0" w:color="000000"/>
              <w:right w:val="single" w:sz="4" w:space="0" w:color="auto"/>
            </w:tcBorders>
            <w:vAlign w:val="center"/>
            <w:hideMark/>
          </w:tcPr>
          <w:p w:rsidR="007C2227" w:rsidRPr="00B75B77" w:rsidRDefault="007C2227" w:rsidP="005459F4">
            <w:pPr>
              <w:jc w:val="left"/>
              <w:rPr>
                <w:rFonts w:ascii="Calibri" w:eastAsia="Times New Roman" w:hAnsi="Calibri"/>
                <w:b/>
                <w:bCs/>
                <w:color w:val="FFFFFF"/>
                <w:sz w:val="18"/>
                <w:szCs w:val="18"/>
              </w:rPr>
            </w:pPr>
          </w:p>
        </w:tc>
        <w:tc>
          <w:tcPr>
            <w:tcW w:w="2070" w:type="dxa"/>
            <w:vMerge/>
            <w:tcBorders>
              <w:top w:val="single" w:sz="4" w:space="0" w:color="auto"/>
              <w:left w:val="single" w:sz="4" w:space="0" w:color="auto"/>
              <w:bottom w:val="single" w:sz="4" w:space="0" w:color="000000"/>
              <w:right w:val="single" w:sz="4" w:space="0" w:color="auto"/>
            </w:tcBorders>
            <w:vAlign w:val="center"/>
            <w:hideMark/>
          </w:tcPr>
          <w:p w:rsidR="007C2227" w:rsidRPr="00B75B77" w:rsidRDefault="007C2227" w:rsidP="005459F4">
            <w:pPr>
              <w:jc w:val="left"/>
              <w:rPr>
                <w:rFonts w:ascii="Calibri" w:eastAsia="Times New Roman" w:hAnsi="Calibri"/>
                <w:b/>
                <w:bCs/>
                <w:color w:val="FFFFFF"/>
                <w:sz w:val="18"/>
                <w:szCs w:val="18"/>
              </w:rPr>
            </w:pPr>
          </w:p>
        </w:tc>
        <w:tc>
          <w:tcPr>
            <w:tcW w:w="2070" w:type="dxa"/>
            <w:vMerge/>
            <w:tcBorders>
              <w:top w:val="single" w:sz="4" w:space="0" w:color="auto"/>
              <w:left w:val="single" w:sz="4" w:space="0" w:color="auto"/>
              <w:bottom w:val="single" w:sz="4" w:space="0" w:color="000000"/>
              <w:right w:val="single" w:sz="4" w:space="0" w:color="auto"/>
            </w:tcBorders>
            <w:vAlign w:val="center"/>
            <w:hideMark/>
          </w:tcPr>
          <w:p w:rsidR="007C2227" w:rsidRPr="00B75B77" w:rsidRDefault="007C2227" w:rsidP="005459F4">
            <w:pPr>
              <w:jc w:val="left"/>
              <w:rPr>
                <w:rFonts w:ascii="Calibri" w:eastAsia="Times New Roman" w:hAnsi="Calibri"/>
                <w:b/>
                <w:bCs/>
                <w:color w:val="FFFFFF"/>
                <w:sz w:val="18"/>
                <w:szCs w:val="18"/>
              </w:rPr>
            </w:pPr>
          </w:p>
        </w:tc>
        <w:tc>
          <w:tcPr>
            <w:tcW w:w="1435" w:type="dxa"/>
            <w:vMerge/>
            <w:tcBorders>
              <w:top w:val="single" w:sz="4" w:space="0" w:color="auto"/>
              <w:left w:val="single" w:sz="4" w:space="0" w:color="auto"/>
              <w:bottom w:val="single" w:sz="4" w:space="0" w:color="000000"/>
              <w:right w:val="single" w:sz="4" w:space="0" w:color="auto"/>
            </w:tcBorders>
            <w:vAlign w:val="center"/>
            <w:hideMark/>
          </w:tcPr>
          <w:p w:rsidR="007C2227" w:rsidRPr="00B75B77" w:rsidRDefault="007C2227" w:rsidP="005459F4">
            <w:pPr>
              <w:jc w:val="left"/>
              <w:rPr>
                <w:rFonts w:ascii="Calibri" w:eastAsia="Times New Roman" w:hAnsi="Calibri"/>
                <w:b/>
                <w:bCs/>
                <w:color w:val="FFFFFF"/>
                <w:sz w:val="18"/>
                <w:szCs w:val="18"/>
              </w:rPr>
            </w:pPr>
          </w:p>
        </w:tc>
      </w:tr>
      <w:tr w:rsidR="007C2227" w:rsidRPr="00B75B77" w:rsidTr="006E1DA3">
        <w:trPr>
          <w:divId w:val="1260137571"/>
          <w:trHeight w:val="288"/>
        </w:trPr>
        <w:tc>
          <w:tcPr>
            <w:tcW w:w="1615" w:type="dxa"/>
            <w:tcBorders>
              <w:top w:val="nil"/>
              <w:left w:val="single" w:sz="4" w:space="0" w:color="448A99"/>
              <w:bottom w:val="single" w:sz="4" w:space="0" w:color="448A99"/>
              <w:right w:val="single" w:sz="4" w:space="0" w:color="448A99"/>
            </w:tcBorders>
            <w:shd w:val="clear" w:color="000000" w:fill="D2EAF1"/>
            <w:vAlign w:val="center"/>
            <w:hideMark/>
          </w:tcPr>
          <w:p w:rsidR="007C2227" w:rsidRPr="00B75B77" w:rsidRDefault="007C2227" w:rsidP="005459F4">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Residential Participants</w:t>
            </w:r>
          </w:p>
        </w:tc>
        <w:tc>
          <w:tcPr>
            <w:tcW w:w="1080"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49.6</w:t>
            </w:r>
          </w:p>
        </w:tc>
        <w:tc>
          <w:tcPr>
            <w:tcW w:w="1170"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0.82</w:t>
            </w:r>
          </w:p>
        </w:tc>
        <w:tc>
          <w:tcPr>
            <w:tcW w:w="2070"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40.5</w:t>
            </w:r>
          </w:p>
        </w:tc>
        <w:tc>
          <w:tcPr>
            <w:tcW w:w="2070"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5459F4">
            <w:pPr>
              <w:jc w:val="center"/>
              <w:rPr>
                <w:rFonts w:ascii="Calibri" w:eastAsia="Times New Roman" w:hAnsi="Calibri"/>
                <w:color w:val="000000"/>
                <w:sz w:val="18"/>
                <w:szCs w:val="18"/>
              </w:rPr>
            </w:pPr>
            <w:bookmarkStart w:id="652" w:name="RANGE!F53"/>
            <w:r w:rsidRPr="00B75B77">
              <w:rPr>
                <w:rFonts w:ascii="Calibri" w:eastAsia="Times New Roman" w:hAnsi="Calibri"/>
                <w:color w:val="000000"/>
                <w:sz w:val="18"/>
                <w:szCs w:val="18"/>
              </w:rPr>
              <w:t>N/A</w:t>
            </w:r>
            <w:bookmarkEnd w:id="652"/>
          </w:p>
        </w:tc>
        <w:tc>
          <w:tcPr>
            <w:tcW w:w="1435"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5459F4">
            <w:pPr>
              <w:jc w:val="center"/>
              <w:rPr>
                <w:rFonts w:ascii="Calibri" w:eastAsia="Times New Roman" w:hAnsi="Calibri"/>
                <w:color w:val="000000"/>
                <w:sz w:val="18"/>
                <w:szCs w:val="18"/>
              </w:rPr>
            </w:pPr>
            <w:bookmarkStart w:id="653" w:name="RANGE!G53"/>
            <w:r w:rsidRPr="00B75B77">
              <w:rPr>
                <w:rFonts w:ascii="Calibri" w:eastAsia="Times New Roman" w:hAnsi="Calibri"/>
                <w:color w:val="000000"/>
                <w:sz w:val="18"/>
                <w:szCs w:val="18"/>
              </w:rPr>
              <w:t>100%</w:t>
            </w:r>
            <w:bookmarkEnd w:id="653"/>
          </w:p>
        </w:tc>
      </w:tr>
      <w:tr w:rsidR="007C2227" w:rsidRPr="00B75B77" w:rsidTr="006E1DA3">
        <w:trPr>
          <w:divId w:val="1260137571"/>
          <w:trHeight w:val="288"/>
        </w:trPr>
        <w:tc>
          <w:tcPr>
            <w:tcW w:w="1615" w:type="dxa"/>
            <w:tcBorders>
              <w:top w:val="nil"/>
              <w:left w:val="single" w:sz="4" w:space="0" w:color="448A99"/>
              <w:bottom w:val="single" w:sz="4" w:space="0" w:color="448A99"/>
              <w:right w:val="single" w:sz="4" w:space="0" w:color="448A99"/>
            </w:tcBorders>
            <w:shd w:val="clear" w:color="000000" w:fill="FFFFFF"/>
            <w:vAlign w:val="center"/>
            <w:hideMark/>
          </w:tcPr>
          <w:p w:rsidR="007C2227" w:rsidRPr="00B75B77" w:rsidRDefault="007C2227" w:rsidP="005459F4">
            <w:pPr>
              <w:jc w:val="left"/>
              <w:rPr>
                <w:rFonts w:ascii="Calibri" w:eastAsia="Times New Roman" w:hAnsi="Calibri"/>
                <w:b/>
                <w:color w:val="000000"/>
                <w:sz w:val="18"/>
                <w:szCs w:val="18"/>
              </w:rPr>
            </w:pPr>
            <w:r w:rsidRPr="00B75B77">
              <w:rPr>
                <w:rFonts w:ascii="Calibri" w:eastAsia="Times New Roman" w:hAnsi="Calibri"/>
                <w:b/>
                <w:color w:val="000000"/>
                <w:sz w:val="18"/>
                <w:szCs w:val="18"/>
              </w:rPr>
              <w:t>PROGRAM TOTAL</w:t>
            </w:r>
          </w:p>
        </w:tc>
        <w:tc>
          <w:tcPr>
            <w:tcW w:w="1080" w:type="dxa"/>
            <w:tcBorders>
              <w:top w:val="nil"/>
              <w:left w:val="nil"/>
              <w:bottom w:val="single" w:sz="4" w:space="0" w:color="448A99"/>
              <w:right w:val="single" w:sz="4" w:space="0" w:color="448A99"/>
            </w:tcBorders>
            <w:shd w:val="clear" w:color="000000" w:fill="FFFFFF"/>
            <w:vAlign w:val="center"/>
            <w:hideMark/>
          </w:tcPr>
          <w:p w:rsidR="007C2227" w:rsidRPr="00B75B77" w:rsidRDefault="007C2227" w:rsidP="005459F4">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49.6</w:t>
            </w:r>
          </w:p>
        </w:tc>
        <w:tc>
          <w:tcPr>
            <w:tcW w:w="1170" w:type="dxa"/>
            <w:tcBorders>
              <w:top w:val="nil"/>
              <w:left w:val="nil"/>
              <w:bottom w:val="single" w:sz="4" w:space="0" w:color="448A99"/>
              <w:right w:val="single" w:sz="4" w:space="0" w:color="448A99"/>
            </w:tcBorders>
            <w:shd w:val="clear" w:color="000000" w:fill="FFFFFF"/>
            <w:vAlign w:val="center"/>
            <w:hideMark/>
          </w:tcPr>
          <w:p w:rsidR="007C2227" w:rsidRPr="00B75B77" w:rsidRDefault="007C2227" w:rsidP="005459F4">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0.82</w:t>
            </w:r>
          </w:p>
        </w:tc>
        <w:tc>
          <w:tcPr>
            <w:tcW w:w="2070" w:type="dxa"/>
            <w:tcBorders>
              <w:top w:val="nil"/>
              <w:left w:val="nil"/>
              <w:bottom w:val="single" w:sz="4" w:space="0" w:color="448A99"/>
              <w:right w:val="single" w:sz="4" w:space="0" w:color="448A99"/>
            </w:tcBorders>
            <w:shd w:val="clear" w:color="000000" w:fill="FFFFFF"/>
            <w:vAlign w:val="center"/>
            <w:hideMark/>
          </w:tcPr>
          <w:p w:rsidR="007C2227" w:rsidRPr="00B75B77" w:rsidRDefault="007C2227" w:rsidP="005459F4">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40.5</w:t>
            </w:r>
          </w:p>
        </w:tc>
        <w:tc>
          <w:tcPr>
            <w:tcW w:w="2070" w:type="dxa"/>
            <w:tcBorders>
              <w:top w:val="nil"/>
              <w:left w:val="nil"/>
              <w:bottom w:val="single" w:sz="4" w:space="0" w:color="448A99"/>
              <w:right w:val="single" w:sz="4" w:space="0" w:color="448A99"/>
            </w:tcBorders>
            <w:shd w:val="clear" w:color="000000" w:fill="FFFFFF"/>
            <w:vAlign w:val="center"/>
            <w:hideMark/>
          </w:tcPr>
          <w:p w:rsidR="007C2227" w:rsidRPr="00B75B77" w:rsidRDefault="007C2227" w:rsidP="005459F4">
            <w:pPr>
              <w:jc w:val="center"/>
              <w:rPr>
                <w:rFonts w:ascii="Calibri" w:eastAsia="Times New Roman" w:hAnsi="Calibri"/>
                <w:b/>
                <w:bCs/>
                <w:color w:val="000000"/>
                <w:sz w:val="18"/>
                <w:szCs w:val="18"/>
              </w:rPr>
            </w:pPr>
            <w:r w:rsidRPr="00B75B77">
              <w:rPr>
                <w:rFonts w:ascii="Calibri" w:eastAsia="Times New Roman" w:hAnsi="Calibri"/>
                <w:b/>
                <w:color w:val="000000"/>
                <w:sz w:val="18"/>
                <w:szCs w:val="18"/>
              </w:rPr>
              <w:t>N/</w:t>
            </w:r>
            <w:r w:rsidRPr="00B75B77">
              <w:rPr>
                <w:rFonts w:ascii="Calibri" w:eastAsia="Times New Roman" w:hAnsi="Calibri"/>
                <w:b/>
                <w:bCs/>
                <w:color w:val="000000"/>
                <w:sz w:val="18"/>
                <w:szCs w:val="18"/>
              </w:rPr>
              <w:t>A</w:t>
            </w:r>
          </w:p>
        </w:tc>
        <w:tc>
          <w:tcPr>
            <w:tcW w:w="1435" w:type="dxa"/>
            <w:tcBorders>
              <w:top w:val="nil"/>
              <w:left w:val="nil"/>
              <w:bottom w:val="single" w:sz="4" w:space="0" w:color="448A99"/>
              <w:right w:val="single" w:sz="4" w:space="0" w:color="448A99"/>
            </w:tcBorders>
            <w:shd w:val="clear" w:color="000000" w:fill="FFFFFF"/>
            <w:noWrap/>
            <w:vAlign w:val="bottom"/>
            <w:hideMark/>
          </w:tcPr>
          <w:p w:rsidR="007C2227" w:rsidRPr="00B75B77" w:rsidRDefault="007C2227" w:rsidP="00037CF1">
            <w:pPr>
              <w:jc w:val="center"/>
              <w:rPr>
                <w:rFonts w:ascii="Calibri" w:eastAsia="Times New Roman" w:hAnsi="Calibri"/>
                <w:b/>
                <w:color w:val="000000"/>
                <w:sz w:val="18"/>
                <w:szCs w:val="18"/>
              </w:rPr>
            </w:pPr>
            <w:r w:rsidRPr="00B75B77">
              <w:rPr>
                <w:rFonts w:ascii="Calibri" w:eastAsia="Times New Roman" w:hAnsi="Calibri"/>
                <w:color w:val="000000"/>
                <w:sz w:val="18"/>
                <w:szCs w:val="18"/>
              </w:rPr>
              <w:t> </w:t>
            </w:r>
            <w:r w:rsidR="00037CF1" w:rsidRPr="00B75B77">
              <w:rPr>
                <w:rFonts w:ascii="Calibri" w:eastAsia="Times New Roman" w:hAnsi="Calibri"/>
                <w:b/>
                <w:color w:val="000000"/>
                <w:sz w:val="18"/>
                <w:szCs w:val="18"/>
              </w:rPr>
              <w:t>100%</w:t>
            </w:r>
          </w:p>
        </w:tc>
      </w:tr>
    </w:tbl>
    <w:p w:rsidR="007C2227" w:rsidRPr="00B75B77" w:rsidRDefault="007C2227" w:rsidP="005459F4">
      <w:pPr>
        <w:pStyle w:val="Source"/>
        <w:tabs>
          <w:tab w:val="left" w:pos="1044"/>
        </w:tabs>
        <w:spacing w:before="20" w:after="20"/>
        <w:ind w:left="0" w:firstLine="0"/>
        <w:rPr>
          <w:rFonts w:ascii="Calibri" w:hAnsi="Calibri"/>
          <w:i w:val="0"/>
          <w:iCs/>
          <w:color w:val="000000"/>
          <w:szCs w:val="18"/>
        </w:rPr>
      </w:pPr>
      <w:r w:rsidRPr="00B75B77">
        <w:rPr>
          <w:rFonts w:ascii="Calibri" w:hAnsi="Calibri"/>
          <w:i w:val="0"/>
          <w:iCs/>
          <w:color w:val="000000"/>
          <w:szCs w:val="18"/>
        </w:rPr>
        <w:t xml:space="preserve">Note: Values in tables may not reconcile </w:t>
      </w:r>
      <w:r w:rsidR="005F0C40" w:rsidRPr="00B75B77">
        <w:rPr>
          <w:rFonts w:ascii="Calibri" w:hAnsi="Calibri"/>
          <w:i w:val="0"/>
          <w:iCs/>
          <w:color w:val="000000"/>
          <w:szCs w:val="18"/>
        </w:rPr>
        <w:t>exactly with the sum</w:t>
      </w:r>
      <w:r w:rsidRPr="00B75B77">
        <w:rPr>
          <w:rFonts w:ascii="Calibri" w:hAnsi="Calibri"/>
          <w:i w:val="0"/>
          <w:iCs/>
          <w:color w:val="000000"/>
          <w:szCs w:val="18"/>
        </w:rPr>
        <w:t xml:space="preserve"> of more detailed level results or previously reported results due to rounding.</w:t>
      </w:r>
    </w:p>
    <w:p w:rsidR="007C2227" w:rsidRPr="00B75B77" w:rsidRDefault="007C2227" w:rsidP="00822ED4">
      <w:pPr>
        <w:pStyle w:val="Source"/>
        <w:ind w:hanging="720"/>
      </w:pPr>
      <w:r w:rsidRPr="00B75B77">
        <w:t>Source: Navigant analysis</w:t>
      </w:r>
      <w:r w:rsidR="00F61E67" w:rsidRPr="00B75B77">
        <w:t xml:space="preserve"> </w:t>
      </w:r>
      <w:r w:rsidRPr="00B75B77">
        <w:t xml:space="preserve">Impact Evaluation Net Savings </w:t>
      </w:r>
    </w:p>
    <w:p w:rsidR="007C2227" w:rsidRPr="00B75B77" w:rsidRDefault="007C2227" w:rsidP="005459F4">
      <w:r w:rsidRPr="00B75B77">
        <w:t xml:space="preserve">Navigant did not conduct research to determine </w:t>
      </w:r>
      <w:r w:rsidR="00954B51" w:rsidRPr="00B75B77">
        <w:t>NTG</w:t>
      </w:r>
      <w:r w:rsidRPr="00B75B77">
        <w:t xml:space="preserve"> for this program, as per the approved evaluation plan. Navigant assumes that none of the program participants would have curtailed load at the times PECO dispatched the program without the incentives that the CSPs paid to them for their load curtailment</w:t>
      </w:r>
      <w:r w:rsidR="00954B51" w:rsidRPr="00B75B77">
        <w:t xml:space="preserve">; </w:t>
      </w:r>
      <w:r w:rsidRPr="00B75B77">
        <w:t>thus</w:t>
      </w:r>
      <w:r w:rsidR="00954B51" w:rsidRPr="00B75B77">
        <w:t>,</w:t>
      </w:r>
      <w:r w:rsidRPr="00B75B77">
        <w:t xml:space="preserve"> the free</w:t>
      </w:r>
      <w:r w:rsidR="00011499" w:rsidRPr="00B75B77">
        <w:t xml:space="preserve"> </w:t>
      </w:r>
      <w:r w:rsidRPr="00B75B77">
        <w:t>ridership value is zero.</w:t>
      </w:r>
    </w:p>
    <w:p w:rsidR="007C2227" w:rsidRPr="00B75B77" w:rsidRDefault="007C2227" w:rsidP="009A1E1A">
      <w:pPr>
        <w:jc w:val="left"/>
      </w:pPr>
    </w:p>
    <w:p w:rsidR="007C2227" w:rsidRPr="00B75B77" w:rsidRDefault="007C2227" w:rsidP="00963027">
      <w:pPr>
        <w:pStyle w:val="Heading2"/>
        <w:keepNext/>
      </w:pPr>
      <w:bookmarkStart w:id="654" w:name="_Toc466413378"/>
      <w:r w:rsidRPr="00B75B77">
        <w:t>Process Evaluation</w:t>
      </w:r>
      <w:bookmarkEnd w:id="654"/>
    </w:p>
    <w:p w:rsidR="007C2227" w:rsidRPr="00B75B77" w:rsidRDefault="007C2227" w:rsidP="005459F4">
      <w:r w:rsidRPr="00B75B77">
        <w:t>For the PY7 process evaluation, Navigant employed the following methods:</w:t>
      </w:r>
    </w:p>
    <w:p w:rsidR="007C2227" w:rsidRPr="00B75B77" w:rsidRDefault="007C2227" w:rsidP="009E08FB">
      <w:pPr>
        <w:pStyle w:val="ListParagraph"/>
        <w:numPr>
          <w:ilvl w:val="0"/>
          <w:numId w:val="57"/>
        </w:numPr>
        <w:ind w:left="720" w:hanging="360"/>
      </w:pPr>
      <w:r w:rsidRPr="00B75B77">
        <w:t>Participant phone survey</w:t>
      </w:r>
    </w:p>
    <w:p w:rsidR="007C2227" w:rsidRPr="00B75B77" w:rsidRDefault="007C2227" w:rsidP="009E08FB">
      <w:pPr>
        <w:pStyle w:val="ListParagraph"/>
        <w:numPr>
          <w:ilvl w:val="0"/>
          <w:numId w:val="57"/>
        </w:numPr>
        <w:ind w:left="720" w:hanging="360"/>
      </w:pPr>
      <w:r w:rsidRPr="00B75B77">
        <w:t>In-depth interview with PECO program manager</w:t>
      </w:r>
    </w:p>
    <w:p w:rsidR="007C2227" w:rsidRPr="00B75B77" w:rsidRDefault="007C2227" w:rsidP="009E08FB">
      <w:pPr>
        <w:pStyle w:val="ListParagraph"/>
        <w:numPr>
          <w:ilvl w:val="0"/>
          <w:numId w:val="57"/>
        </w:numPr>
        <w:ind w:left="720" w:hanging="360"/>
      </w:pPr>
      <w:r w:rsidRPr="00B75B77">
        <w:t>Review of Smart AC Saver program marketing materials</w:t>
      </w:r>
    </w:p>
    <w:p w:rsidR="00557CA1" w:rsidRPr="00B75B77" w:rsidRDefault="007C2227" w:rsidP="009E08FB">
      <w:pPr>
        <w:pStyle w:val="ListParagraph"/>
        <w:numPr>
          <w:ilvl w:val="0"/>
          <w:numId w:val="57"/>
        </w:numPr>
        <w:ind w:left="720" w:hanging="360"/>
      </w:pPr>
      <w:r w:rsidRPr="00B75B77">
        <w:t>Review of the program tracking database and program finances</w:t>
      </w:r>
    </w:p>
    <w:p w:rsidR="0054073E" w:rsidRPr="00B75B77" w:rsidRDefault="0054073E" w:rsidP="0054073E">
      <w:pPr>
        <w:ind w:left="360"/>
      </w:pPr>
    </w:p>
    <w:p w:rsidR="007C2227" w:rsidRPr="00B75B77" w:rsidRDefault="007C2227" w:rsidP="005459F4">
      <w:pPr>
        <w:rPr>
          <w:rFonts w:eastAsia="Times New Roman" w:cstheme="minorHAnsi"/>
          <w:bCs/>
          <w:iCs/>
          <w:kern w:val="28"/>
          <w:szCs w:val="20"/>
        </w:rPr>
      </w:pPr>
      <w:r w:rsidRPr="00B75B77">
        <w:rPr>
          <w:rFonts w:eastAsia="Times New Roman" w:cstheme="minorHAnsi"/>
          <w:bCs/>
          <w:iCs/>
          <w:kern w:val="28"/>
          <w:szCs w:val="20"/>
        </w:rPr>
        <w:t xml:space="preserve">In its petition of the Pennsylvania PUC to continue the mass-market </w:t>
      </w:r>
      <w:r w:rsidR="00015ECE" w:rsidRPr="00B75B77">
        <w:rPr>
          <w:rFonts w:eastAsia="Times New Roman" w:cstheme="minorHAnsi"/>
          <w:bCs/>
          <w:iCs/>
          <w:kern w:val="28"/>
          <w:szCs w:val="20"/>
        </w:rPr>
        <w:t>Direct Load Control</w:t>
      </w:r>
      <w:r w:rsidRPr="00B75B77">
        <w:rPr>
          <w:rFonts w:eastAsia="Times New Roman" w:cstheme="minorHAnsi"/>
          <w:bCs/>
          <w:iCs/>
          <w:kern w:val="28"/>
          <w:szCs w:val="20"/>
        </w:rPr>
        <w:t xml:space="preserve"> </w:t>
      </w:r>
      <w:r w:rsidR="00015ECE" w:rsidRPr="00B75B77">
        <w:rPr>
          <w:rFonts w:eastAsia="Times New Roman" w:cstheme="minorHAnsi"/>
          <w:bCs/>
          <w:iCs/>
          <w:kern w:val="28"/>
          <w:szCs w:val="20"/>
        </w:rPr>
        <w:t>(</w:t>
      </w:r>
      <w:r w:rsidRPr="00B75B77">
        <w:rPr>
          <w:rFonts w:eastAsia="Times New Roman" w:cstheme="minorHAnsi"/>
          <w:bCs/>
          <w:iCs/>
          <w:kern w:val="28"/>
          <w:szCs w:val="20"/>
        </w:rPr>
        <w:t>DLC</w:t>
      </w:r>
      <w:r w:rsidR="00015ECE" w:rsidRPr="00B75B77">
        <w:rPr>
          <w:rFonts w:eastAsia="Times New Roman" w:cstheme="minorHAnsi"/>
          <w:bCs/>
          <w:iCs/>
          <w:kern w:val="28"/>
          <w:szCs w:val="20"/>
        </w:rPr>
        <w:t>)</w:t>
      </w:r>
      <w:r w:rsidRPr="00B75B77">
        <w:rPr>
          <w:rFonts w:eastAsia="Times New Roman" w:cstheme="minorHAnsi"/>
          <w:bCs/>
          <w:iCs/>
          <w:kern w:val="28"/>
          <w:szCs w:val="20"/>
        </w:rPr>
        <w:t xml:space="preserve"> program (i.e., the Smart AC Saver program) in Phase II, PECO stated the program was designed to preserve the </w:t>
      </w:r>
      <w:r w:rsidRPr="00B75B77">
        <w:rPr>
          <w:rFonts w:eastAsia="Times New Roman" w:cstheme="minorHAnsi"/>
          <w:bCs/>
          <w:iCs/>
          <w:kern w:val="28"/>
          <w:szCs w:val="20"/>
        </w:rPr>
        <w:lastRenderedPageBreak/>
        <w:t>residential DLC measure as a DR resource and to retain existing participants. Furthermore, PECO wanted to maintain the population of active load control devices by replacing customers that exited the Smart AC Saver program during the course of Phase II.</w:t>
      </w:r>
    </w:p>
    <w:p w:rsidR="007C2227" w:rsidRPr="00B75B77" w:rsidRDefault="007C2227" w:rsidP="00963027">
      <w:pPr>
        <w:keepNext/>
        <w:rPr>
          <w:color w:val="000000"/>
        </w:rPr>
      </w:pPr>
    </w:p>
    <w:p w:rsidR="007C2227" w:rsidRPr="00B75B77" w:rsidRDefault="007C2227" w:rsidP="005459F4">
      <w:pPr>
        <w:pStyle w:val="Heading3"/>
      </w:pPr>
      <w:bookmarkStart w:id="655" w:name="_Toc466413379"/>
      <w:r w:rsidRPr="00B75B77">
        <w:t>Process Evaluation Methodology</w:t>
      </w:r>
      <w:bookmarkEnd w:id="655"/>
      <w:r w:rsidRPr="00B75B77">
        <w:t xml:space="preserve"> </w:t>
      </w:r>
    </w:p>
    <w:p w:rsidR="007C2227" w:rsidRPr="00B75B77" w:rsidRDefault="007C2227" w:rsidP="005459F4">
      <w:r w:rsidRPr="00B75B77">
        <w:t>The Navigant team conducted a phone survey of residential participants to study program satisfaction and understand other aspects of the program participant experience. The team also conducted one in-depth interview with PECO program staff to understand the dates and durations of conservation events as well as PECO’s efforts to recruit new customers and utilize its back stock of hardware for these new installations. Further</w:t>
      </w:r>
      <w:r w:rsidR="00165AF2" w:rsidRPr="00B75B77">
        <w:t>more</w:t>
      </w:r>
      <w:r w:rsidRPr="00B75B77">
        <w:t>, the team sought to understand the plan for the Smart AC Saver program in PY7</w:t>
      </w:r>
      <w:r w:rsidR="00487335" w:rsidRPr="00B75B77">
        <w:t>,</w:t>
      </w:r>
      <w:r w:rsidRPr="00B75B77">
        <w:t xml:space="preserve"> as well as potential design modifications to the program in Phase III of Act 129.</w:t>
      </w:r>
    </w:p>
    <w:p w:rsidR="007C2227" w:rsidRPr="00B75B77" w:rsidRDefault="007C2227" w:rsidP="005459F4"/>
    <w:p w:rsidR="007C2227" w:rsidRPr="00B75B77" w:rsidRDefault="00557CA1" w:rsidP="005459F4">
      <w:r w:rsidRPr="00B75B77">
        <w:fldChar w:fldCharType="begin"/>
      </w:r>
      <w:r w:rsidRPr="00B75B77">
        <w:instrText xml:space="preserve"> REF _Ref464225908 \h  \* MERGEFORMAT </w:instrText>
      </w:r>
      <w:r w:rsidRPr="00B75B77">
        <w:fldChar w:fldCharType="separate"/>
      </w:r>
      <w:r w:rsidR="0004016D" w:rsidRPr="00B75B77">
        <w:t xml:space="preserve">Table </w:t>
      </w:r>
      <w:r w:rsidR="0004016D">
        <w:rPr>
          <w:noProof/>
        </w:rPr>
        <w:t>9</w:t>
      </w:r>
      <w:r w:rsidR="0004016D" w:rsidRPr="00B75B77">
        <w:rPr>
          <w:noProof/>
        </w:rPr>
        <w:noBreakHyphen/>
      </w:r>
      <w:r w:rsidR="0004016D">
        <w:rPr>
          <w:noProof/>
        </w:rPr>
        <w:t>4</w:t>
      </w:r>
      <w:r w:rsidRPr="00B75B77">
        <w:fldChar w:fldCharType="end"/>
      </w:r>
      <w:r w:rsidRPr="00B75B77">
        <w:t xml:space="preserve"> </w:t>
      </w:r>
      <w:r w:rsidR="007C2227" w:rsidRPr="00B75B77">
        <w:t xml:space="preserve">demonstrates the sampling strategies used by Navigant in the process evaluation activities. The sample size of 70 was selected in order to achieve 90% confidence and 10% relative precision (with an assumed CV of 0.5) for the quantitative results of the survey. </w:t>
      </w:r>
    </w:p>
    <w:p w:rsidR="007C2227" w:rsidRPr="00B75B77" w:rsidRDefault="007C2227" w:rsidP="00AE45CC">
      <w:pPr>
        <w:ind w:left="360"/>
        <w:rPr>
          <w:rFonts w:eastAsia="Times New Roman"/>
          <w:color w:val="000000"/>
        </w:rPr>
      </w:pPr>
    </w:p>
    <w:p w:rsidR="007C2227" w:rsidRPr="00B75B77" w:rsidRDefault="007C2227" w:rsidP="005459F4">
      <w:pPr>
        <w:pStyle w:val="Caption"/>
      </w:pPr>
      <w:bookmarkStart w:id="656" w:name="_Ref464225908"/>
      <w:bookmarkStart w:id="657" w:name="_Ref461803562"/>
      <w:bookmarkStart w:id="658" w:name="_Toc453075300"/>
      <w:bookmarkStart w:id="659" w:name="_Toc466413579"/>
      <w:r w:rsidRPr="00B75B77">
        <w:t xml:space="preserve">Table </w:t>
      </w:r>
      <w:fldSimple w:instr=" STYLEREF 1 \s ">
        <w:r w:rsidR="0004016D">
          <w:rPr>
            <w:noProof/>
          </w:rPr>
          <w:t>9</w:t>
        </w:r>
      </w:fldSimple>
      <w:r w:rsidR="00F1144C" w:rsidRPr="00B75B77">
        <w:noBreakHyphen/>
      </w:r>
      <w:fldSimple w:instr=" SEQ Table \* ARABIC \s 1 ">
        <w:r w:rsidR="0004016D">
          <w:rPr>
            <w:noProof/>
          </w:rPr>
          <w:t>4</w:t>
        </w:r>
      </w:fldSimple>
      <w:bookmarkEnd w:id="656"/>
      <w:bookmarkEnd w:id="657"/>
      <w:r w:rsidRPr="00B75B77">
        <w:t>: Residential AC Saver Process Sampling Strategy for PY7</w:t>
      </w:r>
      <w:bookmarkEnd w:id="658"/>
      <w:bookmarkEnd w:id="659"/>
      <w:r w:rsidRPr="00B75B77">
        <w:t xml:space="preserve"> </w:t>
      </w:r>
    </w:p>
    <w:tbl>
      <w:tblPr>
        <w:tblW w:w="9553" w:type="dxa"/>
        <w:tblLook w:val="04A0" w:firstRow="1" w:lastRow="0" w:firstColumn="1" w:lastColumn="0" w:noHBand="0" w:noVBand="1"/>
      </w:tblPr>
      <w:tblGrid>
        <w:gridCol w:w="1539"/>
        <w:gridCol w:w="1035"/>
        <w:gridCol w:w="1198"/>
        <w:gridCol w:w="1139"/>
        <w:gridCol w:w="768"/>
        <w:gridCol w:w="932"/>
        <w:gridCol w:w="1473"/>
        <w:gridCol w:w="1469"/>
      </w:tblGrid>
      <w:tr w:rsidR="007C2227" w:rsidRPr="00B75B77" w:rsidTr="00165AF2">
        <w:trPr>
          <w:trHeight w:val="480"/>
        </w:trPr>
        <w:tc>
          <w:tcPr>
            <w:tcW w:w="1705" w:type="dxa"/>
            <w:tcBorders>
              <w:top w:val="single" w:sz="4" w:space="0" w:color="auto"/>
              <w:left w:val="single" w:sz="4" w:space="0" w:color="auto"/>
              <w:bottom w:val="single" w:sz="4" w:space="0" w:color="auto"/>
              <w:right w:val="single" w:sz="4" w:space="0" w:color="auto"/>
            </w:tcBorders>
            <w:shd w:val="clear" w:color="000000" w:fill="448A99"/>
            <w:vAlign w:val="center"/>
            <w:hideMark/>
          </w:tcPr>
          <w:p w:rsidR="007C2227" w:rsidRPr="00B75B77" w:rsidRDefault="007C2227" w:rsidP="005459F4">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Stratum</w:t>
            </w:r>
          </w:p>
        </w:tc>
        <w:tc>
          <w:tcPr>
            <w:tcW w:w="467" w:type="dxa"/>
            <w:tcBorders>
              <w:top w:val="single" w:sz="4" w:space="0" w:color="auto"/>
              <w:left w:val="nil"/>
              <w:bottom w:val="single" w:sz="4" w:space="0" w:color="auto"/>
              <w:right w:val="single" w:sz="4" w:space="0" w:color="auto"/>
            </w:tcBorders>
            <w:shd w:val="clear" w:color="000000" w:fill="448A99"/>
            <w:vAlign w:val="center"/>
            <w:hideMark/>
          </w:tcPr>
          <w:p w:rsidR="007C2227" w:rsidRPr="00B75B77" w:rsidRDefault="007C2227" w:rsidP="005459F4">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Population Size</w:t>
            </w:r>
          </w:p>
        </w:tc>
        <w:tc>
          <w:tcPr>
            <w:tcW w:w="1260" w:type="dxa"/>
            <w:tcBorders>
              <w:top w:val="single" w:sz="4" w:space="0" w:color="auto"/>
              <w:left w:val="nil"/>
              <w:bottom w:val="single" w:sz="4" w:space="0" w:color="auto"/>
              <w:right w:val="single" w:sz="4" w:space="0" w:color="auto"/>
            </w:tcBorders>
            <w:shd w:val="clear" w:color="000000" w:fill="448A99"/>
            <w:vAlign w:val="center"/>
            <w:hideMark/>
          </w:tcPr>
          <w:p w:rsidR="007C2227" w:rsidRPr="00B75B77" w:rsidRDefault="007C2227" w:rsidP="005459F4">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Assumed Proportion or CV in Sample Design</w:t>
            </w:r>
          </w:p>
        </w:tc>
        <w:tc>
          <w:tcPr>
            <w:tcW w:w="1170" w:type="dxa"/>
            <w:tcBorders>
              <w:top w:val="single" w:sz="4" w:space="0" w:color="auto"/>
              <w:left w:val="nil"/>
              <w:bottom w:val="single" w:sz="4" w:space="0" w:color="auto"/>
              <w:right w:val="single" w:sz="4" w:space="0" w:color="auto"/>
            </w:tcBorders>
            <w:shd w:val="clear" w:color="000000" w:fill="448A99"/>
            <w:vAlign w:val="center"/>
            <w:hideMark/>
          </w:tcPr>
          <w:p w:rsidR="007C2227" w:rsidRPr="00B75B77" w:rsidRDefault="007C2227" w:rsidP="005459F4">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Assumed Levels of Confidence and Precision</w:t>
            </w:r>
          </w:p>
        </w:tc>
        <w:tc>
          <w:tcPr>
            <w:tcW w:w="768" w:type="dxa"/>
            <w:tcBorders>
              <w:top w:val="single" w:sz="4" w:space="0" w:color="auto"/>
              <w:left w:val="nil"/>
              <w:bottom w:val="single" w:sz="4" w:space="0" w:color="auto"/>
              <w:right w:val="single" w:sz="4" w:space="0" w:color="auto"/>
            </w:tcBorders>
            <w:shd w:val="clear" w:color="000000" w:fill="448A99"/>
            <w:vAlign w:val="center"/>
            <w:hideMark/>
          </w:tcPr>
          <w:p w:rsidR="007C2227" w:rsidRPr="00B75B77" w:rsidRDefault="007C2227" w:rsidP="005459F4">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Target </w:t>
            </w:r>
            <w:r w:rsidR="00F81128" w:rsidRPr="00B75B77">
              <w:rPr>
                <w:rFonts w:ascii="Calibri" w:eastAsia="Times New Roman" w:hAnsi="Calibri"/>
                <w:b/>
                <w:bCs/>
                <w:color w:val="FFFFFF"/>
                <w:sz w:val="18"/>
                <w:szCs w:val="18"/>
              </w:rPr>
              <w:t>Sample Size</w:t>
            </w:r>
          </w:p>
        </w:tc>
        <w:tc>
          <w:tcPr>
            <w:tcW w:w="942" w:type="dxa"/>
            <w:tcBorders>
              <w:top w:val="single" w:sz="4" w:space="0" w:color="auto"/>
              <w:left w:val="nil"/>
              <w:bottom w:val="single" w:sz="4" w:space="0" w:color="auto"/>
              <w:right w:val="single" w:sz="4" w:space="0" w:color="auto"/>
            </w:tcBorders>
            <w:shd w:val="clear" w:color="000000" w:fill="448A99"/>
            <w:vAlign w:val="center"/>
            <w:hideMark/>
          </w:tcPr>
          <w:p w:rsidR="007C2227" w:rsidRPr="00B75B77" w:rsidRDefault="007C2227" w:rsidP="005459F4">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Achieved Sample Size</w:t>
            </w:r>
          </w:p>
        </w:tc>
        <w:tc>
          <w:tcPr>
            <w:tcW w:w="1603" w:type="dxa"/>
            <w:tcBorders>
              <w:top w:val="single" w:sz="4" w:space="0" w:color="auto"/>
              <w:left w:val="nil"/>
              <w:bottom w:val="single" w:sz="4" w:space="0" w:color="auto"/>
              <w:right w:val="single" w:sz="4" w:space="0" w:color="auto"/>
            </w:tcBorders>
            <w:shd w:val="clear" w:color="000000" w:fill="448A99"/>
            <w:vAlign w:val="center"/>
            <w:hideMark/>
          </w:tcPr>
          <w:p w:rsidR="007C2227" w:rsidRPr="00B75B77" w:rsidRDefault="00237810" w:rsidP="005459F4">
            <w:pPr>
              <w:jc w:val="center"/>
              <w:rPr>
                <w:rFonts w:ascii="Calibri" w:eastAsia="Times New Roman" w:hAnsi="Calibri"/>
                <w:b/>
                <w:bCs/>
                <w:color w:val="FFFFFF"/>
                <w:sz w:val="18"/>
                <w:szCs w:val="18"/>
              </w:rPr>
            </w:pPr>
            <w:hyperlink r:id="rId78" w:anchor="RANGE!_ftn1" w:history="1">
              <w:r w:rsidR="007C2227" w:rsidRPr="00B75B77">
                <w:rPr>
                  <w:rFonts w:ascii="Calibri" w:eastAsia="Times New Roman" w:hAnsi="Calibri"/>
                  <w:b/>
                  <w:bCs/>
                  <w:color w:val="FFFFFF"/>
                  <w:sz w:val="18"/>
                  <w:szCs w:val="18"/>
                </w:rPr>
                <w:t>Percent</w:t>
              </w:r>
              <w:r w:rsidR="00557CA1" w:rsidRPr="00B75B77">
                <w:rPr>
                  <w:rFonts w:ascii="Calibri" w:eastAsia="Times New Roman" w:hAnsi="Calibri"/>
                  <w:b/>
                  <w:bCs/>
                  <w:color w:val="FFFFFF"/>
                  <w:sz w:val="18"/>
                  <w:szCs w:val="18"/>
                </w:rPr>
                <w:t>age</w:t>
              </w:r>
              <w:r w:rsidR="007C2227" w:rsidRPr="00B75B77">
                <w:rPr>
                  <w:rFonts w:ascii="Calibri" w:eastAsia="Times New Roman" w:hAnsi="Calibri"/>
                  <w:b/>
                  <w:bCs/>
                  <w:color w:val="FFFFFF"/>
                  <w:sz w:val="18"/>
                  <w:szCs w:val="18"/>
                </w:rPr>
                <w:t xml:space="preserve"> of Sample Frame Contacted</w:t>
              </w:r>
              <w:r w:rsidR="00174FFA" w:rsidRPr="00B75B77">
                <w:rPr>
                  <w:rFonts w:ascii="Calibri" w:eastAsia="Times New Roman" w:hAnsi="Calibri"/>
                  <w:b/>
                  <w:bCs/>
                  <w:color w:val="FFFFFF"/>
                  <w:sz w:val="18"/>
                  <w:szCs w:val="18"/>
                  <w:vertAlign w:val="superscript"/>
                </w:rPr>
                <w:t>[1]</w:t>
              </w:r>
              <w:r w:rsidR="00174FFA" w:rsidRPr="00B75B77">
                <w:rPr>
                  <w:rFonts w:ascii="Calibri" w:eastAsia="Times New Roman" w:hAnsi="Calibri"/>
                  <w:b/>
                  <w:bCs/>
                  <w:color w:val="FFFFFF"/>
                  <w:sz w:val="18"/>
                  <w:szCs w:val="18"/>
                </w:rPr>
                <w:t xml:space="preserve"> </w:t>
              </w:r>
              <w:r w:rsidR="007C2227" w:rsidRPr="00B75B77">
                <w:rPr>
                  <w:rFonts w:ascii="Calibri" w:eastAsia="Times New Roman" w:hAnsi="Calibri"/>
                  <w:b/>
                  <w:bCs/>
                  <w:color w:val="FFFFFF"/>
                  <w:sz w:val="18"/>
                  <w:szCs w:val="18"/>
                </w:rPr>
                <w:t>to Achieve Sample</w:t>
              </w:r>
            </w:hyperlink>
          </w:p>
        </w:tc>
        <w:tc>
          <w:tcPr>
            <w:tcW w:w="1638" w:type="dxa"/>
            <w:tcBorders>
              <w:top w:val="single" w:sz="4" w:space="0" w:color="auto"/>
              <w:left w:val="nil"/>
              <w:bottom w:val="single" w:sz="4" w:space="0" w:color="auto"/>
              <w:right w:val="single" w:sz="4" w:space="0" w:color="auto"/>
            </w:tcBorders>
            <w:shd w:val="clear" w:color="000000" w:fill="448A99"/>
            <w:vAlign w:val="center"/>
            <w:hideMark/>
          </w:tcPr>
          <w:p w:rsidR="007C2227" w:rsidRPr="00B75B77" w:rsidRDefault="007C2227" w:rsidP="005459F4">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Used for Evaluation Activities (Impact, Process, NTG)</w:t>
            </w:r>
          </w:p>
        </w:tc>
      </w:tr>
      <w:tr w:rsidR="007C2227" w:rsidRPr="00B75B77" w:rsidTr="00165AF2">
        <w:trPr>
          <w:trHeight w:val="288"/>
        </w:trPr>
        <w:tc>
          <w:tcPr>
            <w:tcW w:w="1705" w:type="dxa"/>
            <w:tcBorders>
              <w:top w:val="nil"/>
              <w:left w:val="single" w:sz="4" w:space="0" w:color="448A99"/>
              <w:bottom w:val="single" w:sz="4" w:space="0" w:color="448A99"/>
              <w:right w:val="single" w:sz="4" w:space="0" w:color="448A99"/>
            </w:tcBorders>
            <w:shd w:val="clear" w:color="000000" w:fill="D2EAF1"/>
            <w:vAlign w:val="center"/>
            <w:hideMark/>
          </w:tcPr>
          <w:p w:rsidR="007C2227" w:rsidRPr="00B75B77" w:rsidRDefault="007C2227" w:rsidP="005459F4">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Residential Participants</w:t>
            </w:r>
          </w:p>
        </w:tc>
        <w:tc>
          <w:tcPr>
            <w:tcW w:w="467"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65,274</w:t>
            </w:r>
          </w:p>
        </w:tc>
        <w:tc>
          <w:tcPr>
            <w:tcW w:w="1260"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0.5</w:t>
            </w:r>
          </w:p>
        </w:tc>
        <w:tc>
          <w:tcPr>
            <w:tcW w:w="1170"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90/10</w:t>
            </w:r>
          </w:p>
        </w:tc>
        <w:tc>
          <w:tcPr>
            <w:tcW w:w="768"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70</w:t>
            </w:r>
          </w:p>
        </w:tc>
        <w:tc>
          <w:tcPr>
            <w:tcW w:w="942"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70</w:t>
            </w:r>
          </w:p>
        </w:tc>
        <w:tc>
          <w:tcPr>
            <w:tcW w:w="1603"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1%</w:t>
            </w:r>
          </w:p>
        </w:tc>
        <w:tc>
          <w:tcPr>
            <w:tcW w:w="1638"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5459F4">
            <w:pPr>
              <w:jc w:val="left"/>
              <w:rPr>
                <w:rFonts w:ascii="Calibri" w:eastAsia="Times New Roman" w:hAnsi="Calibri"/>
                <w:color w:val="000000"/>
                <w:sz w:val="18"/>
                <w:szCs w:val="18"/>
              </w:rPr>
            </w:pPr>
            <w:r w:rsidRPr="00B75B77">
              <w:rPr>
                <w:rFonts w:ascii="Calibri" w:eastAsia="Times New Roman" w:hAnsi="Calibri"/>
                <w:color w:val="000000"/>
                <w:sz w:val="18"/>
                <w:szCs w:val="18"/>
              </w:rPr>
              <w:t>Process</w:t>
            </w:r>
          </w:p>
        </w:tc>
      </w:tr>
      <w:tr w:rsidR="007C2227" w:rsidRPr="00B75B77" w:rsidTr="00165AF2">
        <w:trPr>
          <w:trHeight w:val="288"/>
        </w:trPr>
        <w:tc>
          <w:tcPr>
            <w:tcW w:w="1705" w:type="dxa"/>
            <w:tcBorders>
              <w:top w:val="single" w:sz="4" w:space="0" w:color="448A99"/>
              <w:left w:val="single" w:sz="4" w:space="0" w:color="448A99"/>
              <w:bottom w:val="single" w:sz="4" w:space="0" w:color="448A99"/>
              <w:right w:val="single" w:sz="4" w:space="0" w:color="448A99"/>
            </w:tcBorders>
            <w:shd w:val="clear" w:color="000000" w:fill="FFFFFF"/>
            <w:vAlign w:val="center"/>
            <w:hideMark/>
          </w:tcPr>
          <w:p w:rsidR="007C2227" w:rsidRPr="00B75B77" w:rsidRDefault="007C2227" w:rsidP="005459F4">
            <w:pPr>
              <w:jc w:val="left"/>
              <w:rPr>
                <w:rFonts w:ascii="Calibri" w:eastAsia="Times New Roman" w:hAnsi="Calibri"/>
                <w:b/>
                <w:color w:val="000000"/>
                <w:sz w:val="18"/>
                <w:szCs w:val="18"/>
              </w:rPr>
            </w:pPr>
            <w:r w:rsidRPr="00B75B77">
              <w:rPr>
                <w:b/>
                <w:bCs/>
                <w:sz w:val="18"/>
                <w:szCs w:val="18"/>
              </w:rPr>
              <w:t>PROGRAM TOTAL</w:t>
            </w:r>
          </w:p>
        </w:tc>
        <w:tc>
          <w:tcPr>
            <w:tcW w:w="467" w:type="dxa"/>
            <w:tcBorders>
              <w:top w:val="single" w:sz="4" w:space="0" w:color="448A99"/>
              <w:left w:val="nil"/>
              <w:bottom w:val="single" w:sz="4" w:space="0" w:color="448A99"/>
              <w:right w:val="single" w:sz="4" w:space="0" w:color="448A99"/>
            </w:tcBorders>
            <w:shd w:val="clear" w:color="000000" w:fill="FFFFFF"/>
            <w:vAlign w:val="center"/>
            <w:hideMark/>
          </w:tcPr>
          <w:p w:rsidR="007C2227" w:rsidRPr="00B75B77" w:rsidRDefault="007C2227" w:rsidP="005459F4">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65,274</w:t>
            </w:r>
          </w:p>
        </w:tc>
        <w:tc>
          <w:tcPr>
            <w:tcW w:w="1260" w:type="dxa"/>
            <w:tcBorders>
              <w:top w:val="single" w:sz="4" w:space="0" w:color="448A99"/>
              <w:left w:val="nil"/>
              <w:bottom w:val="single" w:sz="4" w:space="0" w:color="448A99"/>
              <w:right w:val="single" w:sz="4" w:space="0" w:color="448A99"/>
            </w:tcBorders>
            <w:shd w:val="clear" w:color="000000" w:fill="FFFFFF"/>
            <w:vAlign w:val="center"/>
            <w:hideMark/>
          </w:tcPr>
          <w:p w:rsidR="007C2227" w:rsidRPr="00B75B77" w:rsidRDefault="00037CF1" w:rsidP="005459F4">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0.5</w:t>
            </w:r>
            <w:r w:rsidR="007C2227" w:rsidRPr="00B75B77">
              <w:rPr>
                <w:rFonts w:ascii="Calibri" w:eastAsia="Times New Roman" w:hAnsi="Calibri"/>
                <w:b/>
                <w:color w:val="000000"/>
                <w:sz w:val="18"/>
                <w:szCs w:val="18"/>
              </w:rPr>
              <w:t> </w:t>
            </w:r>
          </w:p>
        </w:tc>
        <w:tc>
          <w:tcPr>
            <w:tcW w:w="1170" w:type="dxa"/>
            <w:tcBorders>
              <w:top w:val="single" w:sz="4" w:space="0" w:color="448A99"/>
              <w:left w:val="nil"/>
              <w:bottom w:val="single" w:sz="4" w:space="0" w:color="448A99"/>
              <w:right w:val="single" w:sz="4" w:space="0" w:color="448A99"/>
            </w:tcBorders>
            <w:shd w:val="clear" w:color="000000" w:fill="FFFFFF"/>
            <w:vAlign w:val="center"/>
            <w:hideMark/>
          </w:tcPr>
          <w:p w:rsidR="007C2227" w:rsidRPr="00B75B77" w:rsidRDefault="00037CF1" w:rsidP="005459F4">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90/10</w:t>
            </w:r>
            <w:r w:rsidR="007C2227" w:rsidRPr="00B75B77">
              <w:rPr>
                <w:rFonts w:ascii="Calibri" w:eastAsia="Times New Roman" w:hAnsi="Calibri"/>
                <w:b/>
                <w:color w:val="000000"/>
                <w:sz w:val="18"/>
                <w:szCs w:val="18"/>
              </w:rPr>
              <w:t> </w:t>
            </w:r>
          </w:p>
        </w:tc>
        <w:tc>
          <w:tcPr>
            <w:tcW w:w="768" w:type="dxa"/>
            <w:tcBorders>
              <w:top w:val="single" w:sz="4" w:space="0" w:color="448A99"/>
              <w:left w:val="nil"/>
              <w:bottom w:val="single" w:sz="4" w:space="0" w:color="448A99"/>
              <w:right w:val="single" w:sz="4" w:space="0" w:color="448A99"/>
            </w:tcBorders>
            <w:shd w:val="clear" w:color="000000" w:fill="FFFFFF"/>
            <w:vAlign w:val="center"/>
            <w:hideMark/>
          </w:tcPr>
          <w:p w:rsidR="007C2227" w:rsidRPr="00B75B77" w:rsidRDefault="007C2227" w:rsidP="005459F4">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70</w:t>
            </w:r>
          </w:p>
        </w:tc>
        <w:tc>
          <w:tcPr>
            <w:tcW w:w="942" w:type="dxa"/>
            <w:tcBorders>
              <w:top w:val="single" w:sz="4" w:space="0" w:color="448A99"/>
              <w:left w:val="nil"/>
              <w:bottom w:val="single" w:sz="4" w:space="0" w:color="448A99"/>
              <w:right w:val="single" w:sz="4" w:space="0" w:color="448A99"/>
            </w:tcBorders>
            <w:shd w:val="clear" w:color="000000" w:fill="FFFFFF"/>
            <w:vAlign w:val="center"/>
            <w:hideMark/>
          </w:tcPr>
          <w:p w:rsidR="007C2227" w:rsidRPr="00B75B77" w:rsidRDefault="007C2227" w:rsidP="005459F4">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70</w:t>
            </w:r>
          </w:p>
        </w:tc>
        <w:tc>
          <w:tcPr>
            <w:tcW w:w="1603" w:type="dxa"/>
            <w:tcBorders>
              <w:top w:val="single" w:sz="4" w:space="0" w:color="448A99"/>
              <w:left w:val="nil"/>
              <w:bottom w:val="single" w:sz="4" w:space="0" w:color="448A99"/>
              <w:right w:val="single" w:sz="4" w:space="0" w:color="448A99"/>
            </w:tcBorders>
            <w:shd w:val="clear" w:color="000000" w:fill="FFFFFF"/>
            <w:vAlign w:val="center"/>
            <w:hideMark/>
          </w:tcPr>
          <w:p w:rsidR="007C2227" w:rsidRPr="00B75B77" w:rsidRDefault="007C2227" w:rsidP="005459F4">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 </w:t>
            </w:r>
            <w:r w:rsidR="00037CF1" w:rsidRPr="00B75B77">
              <w:rPr>
                <w:rFonts w:ascii="Calibri" w:eastAsia="Times New Roman" w:hAnsi="Calibri"/>
                <w:b/>
                <w:color w:val="000000"/>
                <w:sz w:val="18"/>
                <w:szCs w:val="18"/>
              </w:rPr>
              <w:t>1%</w:t>
            </w:r>
          </w:p>
        </w:tc>
        <w:tc>
          <w:tcPr>
            <w:tcW w:w="1638" w:type="dxa"/>
            <w:tcBorders>
              <w:top w:val="single" w:sz="4" w:space="0" w:color="448A99"/>
              <w:left w:val="nil"/>
              <w:bottom w:val="single" w:sz="4" w:space="0" w:color="448A99"/>
              <w:right w:val="single" w:sz="4" w:space="0" w:color="448A99"/>
            </w:tcBorders>
            <w:shd w:val="clear" w:color="000000" w:fill="FFFFFF"/>
            <w:vAlign w:val="center"/>
            <w:hideMark/>
          </w:tcPr>
          <w:p w:rsidR="007C2227" w:rsidRPr="00B75B77" w:rsidRDefault="00037CF1" w:rsidP="005459F4">
            <w:pPr>
              <w:jc w:val="left"/>
              <w:rPr>
                <w:rFonts w:ascii="Calibri" w:eastAsia="Times New Roman" w:hAnsi="Calibri"/>
                <w:b/>
                <w:color w:val="000000"/>
                <w:sz w:val="18"/>
                <w:szCs w:val="18"/>
              </w:rPr>
            </w:pPr>
            <w:r w:rsidRPr="00B75B77">
              <w:rPr>
                <w:rFonts w:ascii="Calibri" w:eastAsia="Times New Roman" w:hAnsi="Calibri"/>
                <w:b/>
                <w:color w:val="000000"/>
                <w:sz w:val="18"/>
                <w:szCs w:val="18"/>
              </w:rPr>
              <w:t>Process</w:t>
            </w:r>
            <w:r w:rsidR="007C2227" w:rsidRPr="00B75B77">
              <w:rPr>
                <w:rFonts w:ascii="Calibri" w:eastAsia="Times New Roman" w:hAnsi="Calibri"/>
                <w:b/>
                <w:color w:val="000000"/>
                <w:sz w:val="18"/>
                <w:szCs w:val="18"/>
              </w:rPr>
              <w:t> </w:t>
            </w:r>
          </w:p>
        </w:tc>
      </w:tr>
    </w:tbl>
    <w:p w:rsidR="00BC044D" w:rsidRPr="00B75B77" w:rsidRDefault="00174FFA" w:rsidP="00BC044D">
      <w:pPr>
        <w:spacing w:before="20" w:after="20"/>
        <w:jc w:val="left"/>
        <w:rPr>
          <w:rFonts w:ascii="Calibri" w:hAnsi="Calibri"/>
          <w:sz w:val="18"/>
        </w:rPr>
      </w:pPr>
      <w:r w:rsidRPr="00B75B77">
        <w:rPr>
          <w:rFonts w:ascii="Calibri" w:hAnsi="Calibri"/>
          <w:sz w:val="18"/>
          <w:vertAlign w:val="superscript"/>
        </w:rPr>
        <w:t>[1]</w:t>
      </w:r>
      <w:r w:rsidRPr="00B75B77">
        <w:rPr>
          <w:rFonts w:ascii="Calibri" w:hAnsi="Calibri"/>
          <w:sz w:val="18"/>
        </w:rPr>
        <w:t xml:space="preserve"> </w:t>
      </w:r>
      <w:r w:rsidR="00530239" w:rsidRPr="00B75B77">
        <w:rPr>
          <w:rFonts w:ascii="Calibri" w:hAnsi="Calibri"/>
          <w:sz w:val="18"/>
        </w:rPr>
        <w:t>The sample frame is a list of contacts that have a chance to be selected into the sample. Percentage contacted means of all the sample frame the percentage that were contacted to get the completed surveys.</w:t>
      </w:r>
    </w:p>
    <w:p w:rsidR="007C2227" w:rsidRPr="00B75B77" w:rsidRDefault="007C2227" w:rsidP="00BC044D">
      <w:pPr>
        <w:pStyle w:val="Source"/>
        <w:spacing w:after="40"/>
        <w:ind w:left="0" w:firstLine="0"/>
        <w:rPr>
          <w:i w:val="0"/>
        </w:rPr>
      </w:pPr>
      <w:r w:rsidRPr="00B75B77">
        <w:rPr>
          <w:i w:val="0"/>
        </w:rPr>
        <w:t>Note: Values in tables may not reconcile exactly with the sum of more detailed level results or previously reported results due to rounding.</w:t>
      </w:r>
    </w:p>
    <w:p w:rsidR="007C2227" w:rsidRPr="00B75B77" w:rsidRDefault="007C2227" w:rsidP="00165AF2">
      <w:pPr>
        <w:pStyle w:val="Source"/>
        <w:spacing w:after="120"/>
        <w:ind w:left="0" w:firstLine="0"/>
      </w:pPr>
      <w:r w:rsidRPr="00B75B77">
        <w:t>Source: Navigant analysis</w:t>
      </w:r>
    </w:p>
    <w:p w:rsidR="007C2227" w:rsidRPr="00B75B77" w:rsidRDefault="007C2227" w:rsidP="005459F4">
      <w:pPr>
        <w:pStyle w:val="Heading3"/>
      </w:pPr>
      <w:bookmarkStart w:id="660" w:name="_Ref461804823"/>
      <w:bookmarkStart w:id="661" w:name="_Toc466413380"/>
      <w:r w:rsidRPr="00B75B77">
        <w:t>Process Findings and Recommendations</w:t>
      </w:r>
      <w:bookmarkEnd w:id="660"/>
      <w:bookmarkEnd w:id="661"/>
      <w:r w:rsidRPr="00B75B77">
        <w:t xml:space="preserve"> </w:t>
      </w:r>
    </w:p>
    <w:p w:rsidR="00BC044D" w:rsidRPr="00B75B77" w:rsidRDefault="007C2227" w:rsidP="00BC044D">
      <w:r w:rsidRPr="00B75B77">
        <w:t>Through the program manager interviews, tracking system review, and participant interviews, Navigant identified several process findings relating to data availability, program satisfaction, participant perspectives on incentive levels and number of conservation events, and program channeling effects.</w:t>
      </w:r>
    </w:p>
    <w:p w:rsidR="00BC044D" w:rsidRPr="00B75B77" w:rsidRDefault="007C2227" w:rsidP="009E08FB">
      <w:pPr>
        <w:pStyle w:val="ListParagraph"/>
        <w:numPr>
          <w:ilvl w:val="0"/>
          <w:numId w:val="107"/>
        </w:numPr>
        <w:spacing w:before="120" w:after="120"/>
        <w:contextualSpacing w:val="0"/>
      </w:pPr>
      <w:r w:rsidRPr="00B75B77">
        <w:rPr>
          <w:b/>
        </w:rPr>
        <w:t>Finding:</w:t>
      </w:r>
      <w:r w:rsidRPr="00B75B77">
        <w:t xml:space="preserve"> Phase III will require an enhanced level of impact analysis and verification. To date, insufficient advanced metering infrastructure (AMI) data has been provided to Navigant for the level of analysis needed in PY8 and beyond.</w:t>
      </w:r>
    </w:p>
    <w:p w:rsidR="00557CA1" w:rsidRPr="00B75B77" w:rsidRDefault="00557CA1" w:rsidP="009E08FB">
      <w:pPr>
        <w:pStyle w:val="ListParagraph"/>
        <w:numPr>
          <w:ilvl w:val="1"/>
          <w:numId w:val="107"/>
        </w:numPr>
        <w:spacing w:before="120" w:after="120"/>
        <w:contextualSpacing w:val="0"/>
      </w:pPr>
      <w:r w:rsidRPr="00B75B77">
        <w:rPr>
          <w:b/>
        </w:rPr>
        <w:t>Recommendation:</w:t>
      </w:r>
      <w:r w:rsidRPr="00B75B77">
        <w:t xml:space="preserve"> PECO should ensure the program database contains necessary data to allow Navigant to calculate verified savings via comparison group analysis in Phase III.</w:t>
      </w:r>
    </w:p>
    <w:p w:rsidR="007C2227" w:rsidRPr="00B75B77" w:rsidRDefault="007C2227" w:rsidP="009E08FB">
      <w:pPr>
        <w:pStyle w:val="ListParagraph"/>
        <w:numPr>
          <w:ilvl w:val="1"/>
          <w:numId w:val="107"/>
        </w:numPr>
        <w:spacing w:before="120" w:after="120"/>
        <w:contextualSpacing w:val="0"/>
      </w:pPr>
      <w:r w:rsidRPr="00B75B77">
        <w:rPr>
          <w:b/>
        </w:rPr>
        <w:t>Recommendation:</w:t>
      </w:r>
      <w:r w:rsidRPr="00B75B77">
        <w:t xml:space="preserve"> PECO should be prepared to quickly and securely transfer program database information to Navigant for verified savings analysis in Phase III.</w:t>
      </w:r>
    </w:p>
    <w:p w:rsidR="007C2227" w:rsidRPr="00B75B77" w:rsidRDefault="007C2227" w:rsidP="009E08FB">
      <w:pPr>
        <w:pStyle w:val="ListParagraph"/>
        <w:numPr>
          <w:ilvl w:val="0"/>
          <w:numId w:val="107"/>
        </w:numPr>
        <w:spacing w:before="120" w:after="120"/>
        <w:contextualSpacing w:val="0"/>
      </w:pPr>
      <w:r w:rsidRPr="00B75B77">
        <w:rPr>
          <w:b/>
        </w:rPr>
        <w:t>Finding:</w:t>
      </w:r>
      <w:r w:rsidRPr="00B75B77">
        <w:t xml:space="preserve"> Over 90</w:t>
      </w:r>
      <w:r w:rsidR="00165AF2" w:rsidRPr="00B75B77">
        <w:t>%</w:t>
      </w:r>
      <w:r w:rsidRPr="00B75B77">
        <w:t xml:space="preserve"> of participants report high satisfaction with the AC Saver program (rating of 4 or 5 on a scale of 1-5). This high satisfaction may be related to the relatively high incentive levels and low frequency of conservation events in PY7. As the program shifts in PY8, satisfaction could decrease due to an increase in length and frequency of events and a decrease in incentives.</w:t>
      </w:r>
    </w:p>
    <w:p w:rsidR="007C2227" w:rsidRPr="00B75B77" w:rsidRDefault="007C2227" w:rsidP="009E08FB">
      <w:pPr>
        <w:pStyle w:val="ListParagraph"/>
        <w:numPr>
          <w:ilvl w:val="1"/>
          <w:numId w:val="107"/>
        </w:numPr>
        <w:spacing w:before="120" w:after="120"/>
        <w:contextualSpacing w:val="0"/>
      </w:pPr>
      <w:r w:rsidRPr="00B75B77">
        <w:rPr>
          <w:b/>
        </w:rPr>
        <w:t>Recommendation:</w:t>
      </w:r>
      <w:r w:rsidRPr="00B75B77">
        <w:t xml:space="preserve"> PECO should prepare for a possible drop in program satisfaction.</w:t>
      </w:r>
    </w:p>
    <w:p w:rsidR="007C2227" w:rsidRPr="00B75B77" w:rsidRDefault="007C2227" w:rsidP="009E08FB">
      <w:pPr>
        <w:pStyle w:val="ListParagraph"/>
        <w:numPr>
          <w:ilvl w:val="0"/>
          <w:numId w:val="107"/>
        </w:numPr>
        <w:spacing w:before="120" w:after="120"/>
        <w:contextualSpacing w:val="0"/>
      </w:pPr>
      <w:r w:rsidRPr="00B75B77">
        <w:rPr>
          <w:b/>
        </w:rPr>
        <w:lastRenderedPageBreak/>
        <w:t>Finding:</w:t>
      </w:r>
      <w:r w:rsidRPr="00B75B77">
        <w:t xml:space="preserve"> Participants do not know when conservation events are called. When asked how many events they experienced in PY7, the majority of respondents reported “don’t know” or “0</w:t>
      </w:r>
      <w:r w:rsidR="00845869" w:rsidRPr="00B75B77">
        <w:t>.”</w:t>
      </w:r>
      <w:r w:rsidRPr="00B75B77">
        <w:t xml:space="preserve"> However, one</w:t>
      </w:r>
      <w:r w:rsidR="00165AF2" w:rsidRPr="00B75B77">
        <w:t>-</w:t>
      </w:r>
      <w:r w:rsidRPr="00B75B77">
        <w:t>third of participants reported a number of events they believed to have occurred, ranging from 1 to 11, when in fact PECO had only called 1 event. This finding indicates that participants are not aware of events that take place and are not checking the website for notification on conservation events.</w:t>
      </w:r>
    </w:p>
    <w:p w:rsidR="007C2227" w:rsidRPr="00B75B77" w:rsidRDefault="007C2227" w:rsidP="009E08FB">
      <w:pPr>
        <w:pStyle w:val="ListParagraph"/>
        <w:numPr>
          <w:ilvl w:val="1"/>
          <w:numId w:val="107"/>
        </w:numPr>
        <w:spacing w:before="120" w:after="120"/>
        <w:contextualSpacing w:val="0"/>
      </w:pPr>
      <w:r w:rsidRPr="00B75B77">
        <w:rPr>
          <w:b/>
        </w:rPr>
        <w:t>Recommendation:</w:t>
      </w:r>
      <w:r w:rsidRPr="00B75B77">
        <w:t xml:space="preserve"> Consider running a pilot to test satisfaction impacts of notifying customers after conservation events.</w:t>
      </w:r>
    </w:p>
    <w:p w:rsidR="007C2227" w:rsidRPr="00B75B77" w:rsidRDefault="007C2227" w:rsidP="009E08FB">
      <w:pPr>
        <w:pStyle w:val="ListParagraph"/>
        <w:numPr>
          <w:ilvl w:val="0"/>
          <w:numId w:val="107"/>
        </w:numPr>
        <w:spacing w:before="120" w:after="120"/>
        <w:contextualSpacing w:val="0"/>
      </w:pPr>
      <w:r w:rsidRPr="00B75B77">
        <w:rPr>
          <w:b/>
        </w:rPr>
        <w:t>Finding:</w:t>
      </w:r>
      <w:r w:rsidRPr="00B75B77">
        <w:t xml:space="preserve"> Participants say they are motivated by incentive levels, with over one</w:t>
      </w:r>
      <w:r w:rsidR="00165AF2" w:rsidRPr="00B75B77">
        <w:t>-</w:t>
      </w:r>
      <w:r w:rsidRPr="00B75B77">
        <w:t>third of participants reporting that they would no longer participate in the program if the incentive were cut by half. However, participants have not dropped out to date. A similar pattern was observed between PY4 and PY5, at the transition between Phase I and Phase II. Not surprisingly, participants reported an unwillingness to accept a lower incentive than they were already receiving. However, when the incentive did drop from $120 per summer to $80 per summer, very few participants did drop out of the program. These data indicate that participants are less likely to actively remove themselves from the program than they report in surveys, and PECO should not expect a significant decrease in program participants.</w:t>
      </w:r>
    </w:p>
    <w:p w:rsidR="007C2227" w:rsidRPr="00B75B77" w:rsidRDefault="007C2227" w:rsidP="009E08FB">
      <w:pPr>
        <w:pStyle w:val="ListParagraph"/>
        <w:numPr>
          <w:ilvl w:val="1"/>
          <w:numId w:val="107"/>
        </w:numPr>
        <w:spacing w:before="120" w:after="120"/>
        <w:contextualSpacing w:val="0"/>
      </w:pPr>
      <w:r w:rsidRPr="00B75B77">
        <w:rPr>
          <w:b/>
        </w:rPr>
        <w:t>Recommendation:</w:t>
      </w:r>
      <w:r w:rsidRPr="00B75B77">
        <w:t xml:space="preserve"> If PECO is concerned that program participation is too high, consider paying low-performing customers to not participate in the program.</w:t>
      </w:r>
    </w:p>
    <w:p w:rsidR="00557CA1" w:rsidRPr="00B75B77" w:rsidRDefault="007C2227" w:rsidP="009E08FB">
      <w:pPr>
        <w:pStyle w:val="ListParagraph"/>
        <w:numPr>
          <w:ilvl w:val="0"/>
          <w:numId w:val="107"/>
        </w:numPr>
        <w:spacing w:before="120" w:after="120"/>
        <w:contextualSpacing w:val="0"/>
      </w:pPr>
      <w:r w:rsidRPr="00B75B77">
        <w:rPr>
          <w:b/>
        </w:rPr>
        <w:t>Finding:</w:t>
      </w:r>
      <w:r w:rsidRPr="00B75B77">
        <w:t xml:space="preserve"> The AC Saver program appears to have channeling effects. </w:t>
      </w:r>
      <w:r w:rsidR="00165AF2" w:rsidRPr="00B75B77">
        <w:t>27%</w:t>
      </w:r>
      <w:r w:rsidRPr="00B75B77">
        <w:t xml:space="preserve"> of survey respondents reported having participated in another PECO energy efficiency program due to their participation in the AC Saver program. Of those individuals, nearly half reported participating in two or more other energy efficiency program. </w:t>
      </w:r>
    </w:p>
    <w:p w:rsidR="007C2227" w:rsidRPr="00B75B77" w:rsidRDefault="007C2227" w:rsidP="009E08FB">
      <w:pPr>
        <w:pStyle w:val="ListParagraph"/>
        <w:numPr>
          <w:ilvl w:val="1"/>
          <w:numId w:val="107"/>
        </w:numPr>
        <w:spacing w:before="120" w:after="120"/>
        <w:contextualSpacing w:val="0"/>
      </w:pPr>
      <w:r w:rsidRPr="00B75B77">
        <w:rPr>
          <w:b/>
        </w:rPr>
        <w:t>Recommendation:</w:t>
      </w:r>
      <w:r w:rsidRPr="00B75B77">
        <w:t xml:space="preserve"> Evaluate energy efficiency program participation rates within AC Saver as compared to general population.</w:t>
      </w:r>
    </w:p>
    <w:p w:rsidR="007C2227" w:rsidRPr="00B75B77" w:rsidRDefault="007C2227" w:rsidP="005459F4"/>
    <w:p w:rsidR="007C2227" w:rsidRPr="00B75B77" w:rsidRDefault="007C2227" w:rsidP="003E6A9B">
      <w:pPr>
        <w:pStyle w:val="Heading2"/>
      </w:pPr>
      <w:bookmarkStart w:id="662" w:name="_Toc466413381"/>
      <w:r w:rsidRPr="00B75B77">
        <w:t>Status of Recommendations for Program</w:t>
      </w:r>
      <w:bookmarkEnd w:id="662"/>
    </w:p>
    <w:p w:rsidR="007C2227" w:rsidRPr="00B75B77" w:rsidRDefault="007C2227" w:rsidP="0004543D">
      <w:pPr>
        <w:rPr>
          <w:rFonts w:eastAsia="Times New Roman"/>
          <w:color w:val="000000"/>
        </w:rPr>
      </w:pPr>
      <w:r w:rsidRPr="00B75B77">
        <w:rPr>
          <w:rFonts w:eastAsia="Times New Roman"/>
          <w:color w:val="000000"/>
        </w:rPr>
        <w:t xml:space="preserve">Based on the findings outlined in </w:t>
      </w:r>
      <w:r w:rsidR="002A15B8" w:rsidRPr="00B75B77">
        <w:rPr>
          <w:rFonts w:eastAsia="Times New Roman"/>
          <w:color w:val="000000"/>
        </w:rPr>
        <w:t>S</w:t>
      </w:r>
      <w:r w:rsidRPr="00B75B77">
        <w:rPr>
          <w:rFonts w:eastAsia="Times New Roman"/>
          <w:color w:val="000000"/>
        </w:rPr>
        <w:t xml:space="preserve">ection </w:t>
      </w:r>
      <w:r w:rsidR="002A15B8" w:rsidRPr="00B75B77">
        <w:rPr>
          <w:rFonts w:eastAsia="Times New Roman"/>
          <w:color w:val="000000"/>
        </w:rPr>
        <w:fldChar w:fldCharType="begin"/>
      </w:r>
      <w:r w:rsidR="002A15B8" w:rsidRPr="00B75B77">
        <w:rPr>
          <w:rFonts w:eastAsia="Times New Roman"/>
          <w:color w:val="000000"/>
        </w:rPr>
        <w:instrText xml:space="preserve"> REF _Ref461804823 \n \h </w:instrText>
      </w:r>
      <w:r w:rsidR="00B75B77">
        <w:rPr>
          <w:rFonts w:eastAsia="Times New Roman"/>
          <w:color w:val="000000"/>
        </w:rPr>
        <w:instrText xml:space="preserve"> \* MERGEFORMAT </w:instrText>
      </w:r>
      <w:r w:rsidR="002A15B8" w:rsidRPr="00B75B77">
        <w:rPr>
          <w:rFonts w:eastAsia="Times New Roman"/>
          <w:color w:val="000000"/>
        </w:rPr>
      </w:r>
      <w:r w:rsidR="002A15B8" w:rsidRPr="00B75B77">
        <w:rPr>
          <w:rFonts w:eastAsia="Times New Roman"/>
          <w:color w:val="000000"/>
        </w:rPr>
        <w:fldChar w:fldCharType="separate"/>
      </w:r>
      <w:r w:rsidR="0004016D">
        <w:rPr>
          <w:rFonts w:eastAsia="Times New Roman"/>
          <w:color w:val="000000"/>
        </w:rPr>
        <w:t>9.3.2</w:t>
      </w:r>
      <w:r w:rsidR="002A15B8" w:rsidRPr="00B75B77">
        <w:rPr>
          <w:rFonts w:eastAsia="Times New Roman"/>
          <w:color w:val="000000"/>
        </w:rPr>
        <w:fldChar w:fldCharType="end"/>
      </w:r>
      <w:r w:rsidRPr="00B75B77">
        <w:rPr>
          <w:rFonts w:eastAsia="Times New Roman"/>
          <w:color w:val="000000"/>
        </w:rPr>
        <w:t xml:space="preserve">, Navigant makes several recommendations to PECO. These recommendations can be found in </w:t>
      </w:r>
      <w:r w:rsidR="00F61E67" w:rsidRPr="00B75B77">
        <w:fldChar w:fldCharType="begin"/>
      </w:r>
      <w:r w:rsidR="00F61E67" w:rsidRPr="00B75B77">
        <w:rPr>
          <w:rFonts w:eastAsia="Times New Roman"/>
          <w:color w:val="000000"/>
        </w:rPr>
        <w:instrText xml:space="preserve"> REF _Ref464226503 \h </w:instrText>
      </w:r>
      <w:r w:rsidR="00B75B77">
        <w:instrText xml:space="preserve"> \* MERGEFORMAT </w:instrText>
      </w:r>
      <w:r w:rsidR="00F61E67" w:rsidRPr="00B75B77">
        <w:fldChar w:fldCharType="separate"/>
      </w:r>
      <w:r w:rsidR="0004016D" w:rsidRPr="00B75B77">
        <w:t xml:space="preserve">Table </w:t>
      </w:r>
      <w:r w:rsidR="0004016D">
        <w:rPr>
          <w:noProof/>
        </w:rPr>
        <w:t>9</w:t>
      </w:r>
      <w:r w:rsidR="0004016D" w:rsidRPr="00B75B77">
        <w:rPr>
          <w:noProof/>
        </w:rPr>
        <w:noBreakHyphen/>
      </w:r>
      <w:r w:rsidR="0004016D">
        <w:rPr>
          <w:noProof/>
        </w:rPr>
        <w:t>5</w:t>
      </w:r>
      <w:r w:rsidR="00F61E67" w:rsidRPr="00B75B77">
        <w:fldChar w:fldCharType="end"/>
      </w:r>
      <w:r w:rsidR="00F61E67" w:rsidRPr="00B75B77">
        <w:t>.</w:t>
      </w:r>
    </w:p>
    <w:p w:rsidR="007C2227" w:rsidRPr="00B75B77" w:rsidRDefault="007C2227" w:rsidP="0004543D"/>
    <w:p w:rsidR="007C2227" w:rsidRPr="00B75B77" w:rsidRDefault="007C2227" w:rsidP="00F61E67">
      <w:pPr>
        <w:pStyle w:val="Caption"/>
      </w:pPr>
      <w:bookmarkStart w:id="663" w:name="_Ref464226503"/>
      <w:bookmarkStart w:id="664" w:name="_Ref461804862"/>
      <w:bookmarkStart w:id="665" w:name="_Toc453075301"/>
      <w:bookmarkStart w:id="666" w:name="_Ref461804858"/>
      <w:bookmarkStart w:id="667" w:name="_Toc466413580"/>
      <w:r w:rsidRPr="00B75B77">
        <w:lastRenderedPageBreak/>
        <w:t xml:space="preserve">Table </w:t>
      </w:r>
      <w:fldSimple w:instr=" STYLEREF 1 \s ">
        <w:r w:rsidR="0004016D">
          <w:rPr>
            <w:noProof/>
          </w:rPr>
          <w:t>9</w:t>
        </w:r>
      </w:fldSimple>
      <w:r w:rsidR="00F1144C" w:rsidRPr="00B75B77">
        <w:noBreakHyphen/>
      </w:r>
      <w:fldSimple w:instr=" SEQ Table \* ARABIC \s 1 ">
        <w:r w:rsidR="0004016D">
          <w:rPr>
            <w:noProof/>
          </w:rPr>
          <w:t>5</w:t>
        </w:r>
      </w:fldSimple>
      <w:bookmarkEnd w:id="663"/>
      <w:bookmarkEnd w:id="664"/>
      <w:r w:rsidRPr="00B75B77">
        <w:t>: Residential AC Saver Status Report on Process and Impact Recommendations</w:t>
      </w:r>
      <w:bookmarkEnd w:id="665"/>
      <w:bookmarkEnd w:id="666"/>
      <w:bookmarkEnd w:id="667"/>
      <w:r w:rsidRPr="00B75B77">
        <w:t xml:space="preserve"> </w:t>
      </w:r>
    </w:p>
    <w:tbl>
      <w:tblPr>
        <w:tblStyle w:val="MediumShading1-Accent5"/>
        <w:tblW w:w="936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5120"/>
        <w:gridCol w:w="4240"/>
      </w:tblGrid>
      <w:tr w:rsidR="007C2227" w:rsidRPr="00B75B77" w:rsidTr="002A15B8">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5120" w:type="dxa"/>
            <w:tcBorders>
              <w:top w:val="single" w:sz="4" w:space="0" w:color="auto"/>
              <w:left w:val="single" w:sz="4" w:space="0" w:color="auto"/>
              <w:bottom w:val="single" w:sz="4" w:space="0" w:color="auto"/>
              <w:right w:val="single" w:sz="4" w:space="0" w:color="auto"/>
            </w:tcBorders>
            <w:shd w:val="clear" w:color="auto" w:fill="448A99"/>
            <w:vAlign w:val="center"/>
            <w:hideMark/>
          </w:tcPr>
          <w:p w:rsidR="007C2227" w:rsidRPr="00B75B77" w:rsidRDefault="007C2227" w:rsidP="00F61E67">
            <w:pPr>
              <w:keepNext/>
              <w:jc w:val="left"/>
              <w:rPr>
                <w:rFonts w:ascii="Calibri" w:eastAsia="Times New Roman" w:hAnsi="Calibri"/>
                <w:bCs w:val="0"/>
                <w:sz w:val="18"/>
                <w:szCs w:val="18"/>
              </w:rPr>
            </w:pPr>
            <w:r w:rsidRPr="00B75B77">
              <w:rPr>
                <w:rFonts w:ascii="Calibri" w:eastAsia="Times New Roman" w:hAnsi="Calibri"/>
                <w:bCs w:val="0"/>
                <w:sz w:val="18"/>
                <w:szCs w:val="18"/>
              </w:rPr>
              <w:t>Recommendations</w:t>
            </w:r>
          </w:p>
        </w:tc>
        <w:tc>
          <w:tcPr>
            <w:tcW w:w="4240" w:type="dxa"/>
            <w:tcBorders>
              <w:top w:val="single" w:sz="4" w:space="0" w:color="auto"/>
              <w:left w:val="single" w:sz="4" w:space="0" w:color="auto"/>
              <w:bottom w:val="single" w:sz="4" w:space="0" w:color="auto"/>
              <w:right w:val="single" w:sz="4" w:space="0" w:color="auto"/>
            </w:tcBorders>
            <w:shd w:val="clear" w:color="auto" w:fill="448A99"/>
            <w:vAlign w:val="center"/>
            <w:hideMark/>
          </w:tcPr>
          <w:p w:rsidR="007C2227" w:rsidRPr="00B75B77" w:rsidRDefault="007C2227" w:rsidP="00F61E67">
            <w:pPr>
              <w:keepNext/>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EDC Status of Recommendation (Implemented, Being Considered, Rejected</w:t>
            </w:r>
            <w:r w:rsidR="002A15B8" w:rsidRPr="00B75B77">
              <w:rPr>
                <w:rFonts w:ascii="Calibri" w:eastAsia="Times New Roman" w:hAnsi="Calibri"/>
                <w:bCs w:val="0"/>
                <w:sz w:val="18"/>
                <w:szCs w:val="18"/>
              </w:rPr>
              <w:t>,</w:t>
            </w:r>
            <w:r w:rsidRPr="00B75B77">
              <w:rPr>
                <w:rFonts w:ascii="Calibri" w:eastAsia="Times New Roman" w:hAnsi="Calibri"/>
                <w:bCs w:val="0"/>
                <w:sz w:val="18"/>
                <w:szCs w:val="18"/>
              </w:rPr>
              <w:t xml:space="preserve"> AND Explanation of Action Taken by EDC)</w:t>
            </w:r>
          </w:p>
        </w:tc>
      </w:tr>
      <w:tr w:rsidR="007C2227" w:rsidRPr="00B75B77" w:rsidTr="002A15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120" w:type="dxa"/>
            <w:tcBorders>
              <w:top w:val="single" w:sz="4" w:space="0" w:color="auto"/>
              <w:left w:val="single" w:sz="4" w:space="0" w:color="448A99"/>
              <w:bottom w:val="single" w:sz="4" w:space="0" w:color="448A99"/>
              <w:right w:val="single" w:sz="4" w:space="0" w:color="448A99"/>
            </w:tcBorders>
            <w:noWrap/>
            <w:vAlign w:val="center"/>
            <w:hideMark/>
          </w:tcPr>
          <w:p w:rsidR="005E5A85" w:rsidRPr="00B75B77" w:rsidRDefault="007C2227" w:rsidP="00F61E67">
            <w:pPr>
              <w:keepNext/>
              <w:jc w:val="left"/>
              <w:rPr>
                <w:rFonts w:eastAsiaTheme="minorEastAsia" w:cstheme="minorBidi"/>
                <w:bCs w:val="0"/>
                <w:color w:val="000000" w:themeColor="text1"/>
                <w:kern w:val="24"/>
                <w:sz w:val="18"/>
                <w:szCs w:val="18"/>
              </w:rPr>
            </w:pPr>
            <w:r w:rsidRPr="00B75B77">
              <w:rPr>
                <w:rFonts w:eastAsiaTheme="minorEastAsia" w:cstheme="minorBidi"/>
                <w:bCs w:val="0"/>
                <w:color w:val="000000" w:themeColor="text1"/>
                <w:kern w:val="24"/>
                <w:sz w:val="18"/>
                <w:szCs w:val="18"/>
              </w:rPr>
              <w:t xml:space="preserve">Recommendation 1: </w:t>
            </w:r>
          </w:p>
          <w:p w:rsidR="005E5A85" w:rsidRPr="00B75B77" w:rsidRDefault="007C2227" w:rsidP="009E08FB">
            <w:pPr>
              <w:pStyle w:val="ListParagraph"/>
              <w:keepNext/>
              <w:numPr>
                <w:ilvl w:val="1"/>
                <w:numId w:val="57"/>
              </w:numPr>
              <w:ind w:left="517" w:hanging="270"/>
              <w:jc w:val="left"/>
              <w:rPr>
                <w:rFonts w:eastAsiaTheme="minorEastAsia" w:cstheme="minorBidi"/>
                <w:b w:val="0"/>
                <w:color w:val="000000" w:themeColor="text1"/>
                <w:kern w:val="24"/>
                <w:sz w:val="18"/>
                <w:szCs w:val="18"/>
              </w:rPr>
            </w:pPr>
            <w:r w:rsidRPr="00B75B77">
              <w:rPr>
                <w:rFonts w:eastAsiaTheme="minorEastAsia" w:cstheme="minorBidi"/>
                <w:b w:val="0"/>
                <w:color w:val="000000" w:themeColor="text1"/>
                <w:kern w:val="24"/>
                <w:sz w:val="18"/>
                <w:szCs w:val="18"/>
              </w:rPr>
              <w:t>PECO should ensure the program database contains necessary data to allow Navigant to calculate verified savings via comparison group analysis in Phase III.</w:t>
            </w:r>
          </w:p>
          <w:p w:rsidR="005E5A85" w:rsidRPr="00B75B77" w:rsidRDefault="005E5A85" w:rsidP="009E08FB">
            <w:pPr>
              <w:pStyle w:val="ListParagraph"/>
              <w:keepNext/>
              <w:numPr>
                <w:ilvl w:val="1"/>
                <w:numId w:val="57"/>
              </w:numPr>
              <w:ind w:left="517" w:hanging="270"/>
              <w:jc w:val="left"/>
              <w:rPr>
                <w:rFonts w:eastAsiaTheme="minorEastAsia" w:cstheme="minorBidi"/>
                <w:color w:val="000000" w:themeColor="text1"/>
                <w:kern w:val="24"/>
                <w:sz w:val="18"/>
                <w:szCs w:val="18"/>
              </w:rPr>
            </w:pPr>
            <w:r w:rsidRPr="00B75B77">
              <w:rPr>
                <w:rFonts w:eastAsiaTheme="minorEastAsia" w:cstheme="minorBidi"/>
                <w:b w:val="0"/>
                <w:color w:val="000000" w:themeColor="text1"/>
                <w:kern w:val="24"/>
                <w:sz w:val="18"/>
                <w:szCs w:val="18"/>
              </w:rPr>
              <w:t>PECO should be prepared to quickly and securely transfer program database information to Navigant for verified savings analysis in Phase III.</w:t>
            </w:r>
          </w:p>
        </w:tc>
        <w:tc>
          <w:tcPr>
            <w:tcW w:w="4240" w:type="dxa"/>
            <w:tcBorders>
              <w:top w:val="single" w:sz="4" w:space="0" w:color="auto"/>
              <w:left w:val="single" w:sz="4" w:space="0" w:color="448A99"/>
              <w:bottom w:val="single" w:sz="4" w:space="0" w:color="448A99"/>
              <w:right w:val="single" w:sz="4" w:space="0" w:color="448A99"/>
            </w:tcBorders>
            <w:noWrap/>
            <w:vAlign w:val="center"/>
            <w:hideMark/>
          </w:tcPr>
          <w:p w:rsidR="009C1298" w:rsidRPr="00B75B77" w:rsidRDefault="009C1298" w:rsidP="009C1298">
            <w:pPr>
              <w:pStyle w:val="ListParagraph"/>
              <w:keepNext/>
              <w:numPr>
                <w:ilvl w:val="0"/>
                <w:numId w:val="121"/>
              </w:num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b/>
                <w:color w:val="000000"/>
                <w:sz w:val="18"/>
                <w:szCs w:val="18"/>
              </w:rPr>
              <w:t xml:space="preserve">Implemented: </w:t>
            </w:r>
            <w:r w:rsidRPr="00B75B77">
              <w:rPr>
                <w:rFonts w:ascii="Calibri" w:eastAsia="Times New Roman" w:hAnsi="Calibri"/>
                <w:color w:val="000000"/>
                <w:sz w:val="18"/>
                <w:szCs w:val="18"/>
              </w:rPr>
              <w:t>Interval data will be available; will have to collaborate with Navigant to define the format.</w:t>
            </w:r>
          </w:p>
          <w:p w:rsidR="007C2227" w:rsidRPr="00B75B77" w:rsidRDefault="009C1298" w:rsidP="009C1298">
            <w:pPr>
              <w:pStyle w:val="ListParagraph"/>
              <w:keepNext/>
              <w:numPr>
                <w:ilvl w:val="0"/>
                <w:numId w:val="121"/>
              </w:num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b/>
                <w:color w:val="000000"/>
                <w:sz w:val="18"/>
                <w:szCs w:val="18"/>
              </w:rPr>
              <w:t>Being Considered:</w:t>
            </w:r>
            <w:r w:rsidRPr="00B75B77">
              <w:rPr>
                <w:rFonts w:ascii="Calibri" w:eastAsia="Times New Roman" w:hAnsi="Calibri"/>
                <w:color w:val="000000"/>
                <w:sz w:val="18"/>
                <w:szCs w:val="18"/>
              </w:rPr>
              <w:t xml:space="preserve"> PECO will work with Navigant to extract AMI data as soon as it is available, which is at the earliest around 4 weeks after the event takes place.</w:t>
            </w:r>
          </w:p>
        </w:tc>
      </w:tr>
      <w:tr w:rsidR="007C2227" w:rsidRPr="00B75B77" w:rsidTr="005E5A8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120" w:type="dxa"/>
            <w:tcBorders>
              <w:top w:val="single" w:sz="4" w:space="0" w:color="448A99"/>
              <w:left w:val="single" w:sz="4" w:space="0" w:color="448A99"/>
              <w:bottom w:val="single" w:sz="4" w:space="0" w:color="448A99"/>
              <w:right w:val="single" w:sz="4" w:space="0" w:color="448A99"/>
            </w:tcBorders>
            <w:shd w:val="clear" w:color="auto" w:fill="auto"/>
            <w:noWrap/>
            <w:vAlign w:val="center"/>
            <w:hideMark/>
          </w:tcPr>
          <w:p w:rsidR="007C2227" w:rsidRPr="00B75B77" w:rsidRDefault="007C2227" w:rsidP="00F61E67">
            <w:pPr>
              <w:keepNext/>
              <w:jc w:val="left"/>
              <w:rPr>
                <w:rFonts w:eastAsia="Times New Roman"/>
                <w:b w:val="0"/>
                <w:color w:val="000000"/>
                <w:sz w:val="18"/>
                <w:szCs w:val="18"/>
              </w:rPr>
            </w:pPr>
            <w:r w:rsidRPr="00B75B77">
              <w:rPr>
                <w:rFonts w:eastAsiaTheme="minorEastAsia" w:cstheme="minorBidi"/>
                <w:bCs w:val="0"/>
                <w:color w:val="000000" w:themeColor="text1"/>
                <w:kern w:val="24"/>
                <w:sz w:val="18"/>
                <w:szCs w:val="18"/>
              </w:rPr>
              <w:t xml:space="preserve">Recommendation 2: </w:t>
            </w:r>
            <w:r w:rsidRPr="00B75B77">
              <w:rPr>
                <w:rFonts w:eastAsiaTheme="minorEastAsia" w:cstheme="minorBidi"/>
                <w:b w:val="0"/>
                <w:color w:val="000000" w:themeColor="text1"/>
                <w:kern w:val="24"/>
                <w:sz w:val="18"/>
                <w:szCs w:val="18"/>
              </w:rPr>
              <w:t>Prepare for a possible drop in satisfaction</w:t>
            </w:r>
            <w:r w:rsidR="002A15B8" w:rsidRPr="00B75B77">
              <w:rPr>
                <w:rFonts w:eastAsiaTheme="minorEastAsia" w:cstheme="minorBidi"/>
                <w:b w:val="0"/>
                <w:color w:val="000000" w:themeColor="text1"/>
                <w:kern w:val="24"/>
                <w:sz w:val="18"/>
                <w:szCs w:val="18"/>
              </w:rPr>
              <w:t>.</w:t>
            </w:r>
          </w:p>
        </w:tc>
        <w:tc>
          <w:tcPr>
            <w:tcW w:w="4240" w:type="dxa"/>
            <w:tcBorders>
              <w:top w:val="single" w:sz="4" w:space="0" w:color="448A99"/>
              <w:left w:val="single" w:sz="4" w:space="0" w:color="448A99"/>
              <w:bottom w:val="single" w:sz="4" w:space="0" w:color="448A99"/>
              <w:right w:val="single" w:sz="4" w:space="0" w:color="448A99"/>
            </w:tcBorders>
            <w:shd w:val="clear" w:color="auto" w:fill="auto"/>
            <w:noWrap/>
            <w:vAlign w:val="center"/>
            <w:hideMark/>
          </w:tcPr>
          <w:p w:rsidR="007C2227" w:rsidRPr="00B75B77" w:rsidRDefault="009C1298" w:rsidP="00F61E67">
            <w:pPr>
              <w:keepNext/>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b/>
                <w:color w:val="000000"/>
                <w:sz w:val="18"/>
                <w:szCs w:val="18"/>
              </w:rPr>
            </w:pPr>
            <w:r w:rsidRPr="00B75B77">
              <w:rPr>
                <w:rFonts w:ascii="Calibri" w:eastAsia="Times New Roman" w:hAnsi="Calibri"/>
                <w:b/>
                <w:color w:val="000000"/>
                <w:sz w:val="18"/>
                <w:szCs w:val="18"/>
              </w:rPr>
              <w:t>Implemented</w:t>
            </w:r>
          </w:p>
        </w:tc>
      </w:tr>
      <w:tr w:rsidR="007C2227" w:rsidRPr="00B75B77" w:rsidTr="005E5A8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120"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7C2227" w:rsidRPr="00B75B77" w:rsidRDefault="007C2227" w:rsidP="00F61E67">
            <w:pPr>
              <w:keepNext/>
              <w:jc w:val="left"/>
              <w:rPr>
                <w:rFonts w:eastAsiaTheme="minorEastAsia" w:cstheme="minorBidi"/>
                <w:b w:val="0"/>
                <w:color w:val="000000" w:themeColor="text1"/>
                <w:kern w:val="24"/>
                <w:sz w:val="18"/>
                <w:szCs w:val="18"/>
              </w:rPr>
            </w:pPr>
            <w:r w:rsidRPr="00B75B77">
              <w:rPr>
                <w:rFonts w:eastAsiaTheme="minorEastAsia" w:cstheme="minorBidi"/>
                <w:bCs w:val="0"/>
                <w:color w:val="000000" w:themeColor="text1"/>
                <w:kern w:val="24"/>
                <w:sz w:val="18"/>
                <w:szCs w:val="18"/>
              </w:rPr>
              <w:t xml:space="preserve">Recommendation 3: </w:t>
            </w:r>
            <w:r w:rsidRPr="00B75B77">
              <w:rPr>
                <w:rFonts w:eastAsiaTheme="minorEastAsia" w:cstheme="minorBidi"/>
                <w:b w:val="0"/>
                <w:color w:val="000000" w:themeColor="text1"/>
                <w:kern w:val="24"/>
                <w:sz w:val="18"/>
                <w:szCs w:val="18"/>
              </w:rPr>
              <w:t>Consider notifying customers after events</w:t>
            </w:r>
            <w:r w:rsidR="002A15B8" w:rsidRPr="00B75B77">
              <w:rPr>
                <w:rFonts w:eastAsiaTheme="minorEastAsia" w:cstheme="minorBidi"/>
                <w:b w:val="0"/>
                <w:color w:val="000000" w:themeColor="text1"/>
                <w:kern w:val="24"/>
                <w:sz w:val="18"/>
                <w:szCs w:val="18"/>
              </w:rPr>
              <w:t>.</w:t>
            </w:r>
          </w:p>
        </w:tc>
        <w:tc>
          <w:tcPr>
            <w:tcW w:w="4240"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7C2227" w:rsidRPr="00B75B77" w:rsidRDefault="00ED1AF2" w:rsidP="00F61E67">
            <w:pPr>
              <w:keepNext/>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18"/>
                <w:szCs w:val="18"/>
              </w:rPr>
            </w:pPr>
            <w:r w:rsidRPr="00B75B77">
              <w:rPr>
                <w:rFonts w:ascii="Calibri" w:eastAsia="Times New Roman" w:hAnsi="Calibri"/>
                <w:b/>
                <w:color w:val="000000"/>
                <w:sz w:val="18"/>
                <w:szCs w:val="18"/>
              </w:rPr>
              <w:t>Being Considered</w:t>
            </w:r>
          </w:p>
        </w:tc>
      </w:tr>
      <w:tr w:rsidR="007C2227" w:rsidRPr="00B75B77" w:rsidTr="005E5A8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12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7C2227" w:rsidRPr="00B75B77" w:rsidRDefault="007C2227" w:rsidP="00F61E67">
            <w:pPr>
              <w:keepNext/>
              <w:jc w:val="left"/>
              <w:rPr>
                <w:rFonts w:eastAsia="Times New Roman"/>
                <w:b w:val="0"/>
                <w:color w:val="000000"/>
                <w:sz w:val="18"/>
                <w:szCs w:val="18"/>
              </w:rPr>
            </w:pPr>
            <w:r w:rsidRPr="00B75B77">
              <w:rPr>
                <w:rFonts w:eastAsiaTheme="minorEastAsia" w:cstheme="minorBidi"/>
                <w:bCs w:val="0"/>
                <w:color w:val="000000" w:themeColor="text1"/>
                <w:kern w:val="24"/>
                <w:sz w:val="18"/>
                <w:szCs w:val="18"/>
              </w:rPr>
              <w:t xml:space="preserve">Recommendation 4: </w:t>
            </w:r>
            <w:r w:rsidRPr="00B75B77">
              <w:rPr>
                <w:rFonts w:eastAsiaTheme="minorEastAsia" w:cstheme="minorBidi"/>
                <w:b w:val="0"/>
                <w:color w:val="000000" w:themeColor="text1"/>
                <w:kern w:val="24"/>
                <w:sz w:val="18"/>
                <w:szCs w:val="18"/>
              </w:rPr>
              <w:t>Consider running a pilot to test satisfaction impacts of notifying customers after conservation events.</w:t>
            </w:r>
          </w:p>
        </w:tc>
        <w:tc>
          <w:tcPr>
            <w:tcW w:w="424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7C2227" w:rsidRPr="00B75B77" w:rsidRDefault="009C1298" w:rsidP="009C1298">
            <w:pPr>
              <w:keepNext/>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b/>
                <w:color w:val="000000"/>
                <w:sz w:val="18"/>
                <w:szCs w:val="18"/>
              </w:rPr>
              <w:t xml:space="preserve">Rejected: </w:t>
            </w:r>
            <w:r w:rsidRPr="00B75B77">
              <w:rPr>
                <w:rFonts w:ascii="Calibri" w:eastAsia="Times New Roman" w:hAnsi="Calibri"/>
                <w:color w:val="000000"/>
                <w:sz w:val="18"/>
                <w:szCs w:val="18"/>
              </w:rPr>
              <w:t xml:space="preserve">PECO will find </w:t>
            </w:r>
            <w:r w:rsidR="00D93A77" w:rsidRPr="00B75B77">
              <w:rPr>
                <w:rFonts w:ascii="Calibri" w:eastAsia="Times New Roman" w:hAnsi="Calibri"/>
                <w:color w:val="000000"/>
                <w:sz w:val="18"/>
                <w:szCs w:val="18"/>
              </w:rPr>
              <w:t xml:space="preserve">a </w:t>
            </w:r>
            <w:r w:rsidRPr="00B75B77">
              <w:rPr>
                <w:rFonts w:ascii="Calibri" w:eastAsia="Times New Roman" w:hAnsi="Calibri"/>
                <w:color w:val="000000"/>
                <w:sz w:val="18"/>
                <w:szCs w:val="18"/>
              </w:rPr>
              <w:t>way to work around maintaining customer satisfaction.</w:t>
            </w:r>
          </w:p>
        </w:tc>
      </w:tr>
      <w:tr w:rsidR="007C2227" w:rsidRPr="00B75B77" w:rsidTr="005E5A8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120"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7C2227" w:rsidRPr="00B75B77" w:rsidRDefault="007C2227" w:rsidP="00F61E67">
            <w:pPr>
              <w:keepNext/>
              <w:jc w:val="left"/>
              <w:rPr>
                <w:rFonts w:eastAsia="Times New Roman"/>
                <w:b w:val="0"/>
                <w:color w:val="000000"/>
                <w:sz w:val="18"/>
                <w:szCs w:val="18"/>
              </w:rPr>
            </w:pPr>
            <w:r w:rsidRPr="00B75B77">
              <w:rPr>
                <w:rFonts w:eastAsiaTheme="minorEastAsia" w:cstheme="minorBidi"/>
                <w:bCs w:val="0"/>
                <w:color w:val="000000" w:themeColor="text1"/>
                <w:kern w:val="24"/>
                <w:sz w:val="18"/>
                <w:szCs w:val="18"/>
              </w:rPr>
              <w:t xml:space="preserve">Recommendation 5: </w:t>
            </w:r>
            <w:r w:rsidRPr="00B75B77">
              <w:rPr>
                <w:rFonts w:eastAsiaTheme="minorEastAsia" w:cstheme="minorBidi"/>
                <w:b w:val="0"/>
                <w:color w:val="000000" w:themeColor="text1"/>
                <w:kern w:val="24"/>
                <w:sz w:val="18"/>
                <w:szCs w:val="18"/>
              </w:rPr>
              <w:t>Evaluate energy efficiency program participation rates within AC Saver as compared to general population</w:t>
            </w:r>
            <w:r w:rsidR="002A15B8" w:rsidRPr="00B75B77">
              <w:rPr>
                <w:rFonts w:eastAsiaTheme="minorEastAsia" w:cstheme="minorBidi"/>
                <w:b w:val="0"/>
                <w:color w:val="000000" w:themeColor="text1"/>
                <w:kern w:val="24"/>
                <w:sz w:val="18"/>
                <w:szCs w:val="18"/>
              </w:rPr>
              <w:t>.</w:t>
            </w:r>
          </w:p>
        </w:tc>
        <w:tc>
          <w:tcPr>
            <w:tcW w:w="4240"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7C2227" w:rsidRPr="00B75B77" w:rsidRDefault="009C1298" w:rsidP="009C1298">
            <w:pPr>
              <w:keepNext/>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rPr>
            </w:pPr>
            <w:r w:rsidRPr="00B75B77">
              <w:rPr>
                <w:rFonts w:ascii="Calibri" w:eastAsia="Times New Roman" w:hAnsi="Calibri"/>
                <w:b/>
                <w:color w:val="000000"/>
                <w:sz w:val="18"/>
              </w:rPr>
              <w:t>Being Considered:</w:t>
            </w:r>
            <w:r w:rsidRPr="00B75B77">
              <w:rPr>
                <w:rFonts w:ascii="Calibri" w:eastAsia="Times New Roman" w:hAnsi="Calibri"/>
                <w:color w:val="000000"/>
                <w:sz w:val="18"/>
              </w:rPr>
              <w:t xml:space="preserve"> PECO needs to assess how the AC program can leverage its participant interest to extend beyond DR.</w:t>
            </w:r>
          </w:p>
        </w:tc>
      </w:tr>
    </w:tbl>
    <w:p w:rsidR="007C2227" w:rsidRPr="00B75B77" w:rsidRDefault="007C2227" w:rsidP="00F61E67">
      <w:pPr>
        <w:pStyle w:val="Source"/>
        <w:keepNext/>
        <w:ind w:left="90" w:firstLine="0"/>
      </w:pPr>
      <w:r w:rsidRPr="00B75B77">
        <w:t>Source: Navigant analysis</w:t>
      </w:r>
    </w:p>
    <w:p w:rsidR="007C2227" w:rsidRPr="00B75B77" w:rsidRDefault="007C2227" w:rsidP="00D12857">
      <w:pPr>
        <w:pStyle w:val="Heading2"/>
      </w:pPr>
      <w:bookmarkStart w:id="668" w:name="_Toc466413382"/>
      <w:r w:rsidRPr="00B75B77">
        <w:t>Financial Reporting</w:t>
      </w:r>
      <w:bookmarkEnd w:id="668"/>
    </w:p>
    <w:p w:rsidR="007C2227" w:rsidRPr="00B75B77" w:rsidRDefault="007C2227" w:rsidP="005459F4">
      <w:r w:rsidRPr="00B75B77">
        <w:t>Program expenditures for the residential Smart AC Saver program in PY7 totaled approximately $6.6</w:t>
      </w:r>
      <w:r w:rsidR="002A15B8" w:rsidRPr="00B75B77">
        <w:t> </w:t>
      </w:r>
      <w:r w:rsidRPr="00B75B77">
        <w:t xml:space="preserve">million. Navigant calculated the TRC benefit-cost ratio of the residential Smart AC Saver program at </w:t>
      </w:r>
      <w:r w:rsidR="00037CF1" w:rsidRPr="00B75B77">
        <w:t>2</w:t>
      </w:r>
      <w:r w:rsidR="00845869" w:rsidRPr="00B75B77">
        <w:t>.</w:t>
      </w:r>
      <w:r w:rsidR="00037CF1" w:rsidRPr="00B75B77" w:rsidDel="00845869">
        <w:t>72</w:t>
      </w:r>
      <w:r w:rsidR="00845869" w:rsidRPr="00B75B77">
        <w:t>.</w:t>
      </w:r>
      <w:r w:rsidRPr="00B75B77">
        <w:t xml:space="preserve"> In PY7, the TRC benefits for the </w:t>
      </w:r>
      <w:r w:rsidR="002A15B8" w:rsidRPr="00B75B77">
        <w:t>program</w:t>
      </w:r>
      <w:r w:rsidRPr="00B75B77">
        <w:t xml:space="preserve"> were negatively </w:t>
      </w:r>
      <w:r w:rsidR="002A15B8" w:rsidRPr="00B75B77">
        <w:t xml:space="preserve">affected </w:t>
      </w:r>
      <w:r w:rsidRPr="00B75B77">
        <w:t xml:space="preserve">by the relatively low temperatures that occurred on the PY7 test event days, leading to lower savings than those observed on the test events in PY5. The TRC benefits also include program cost offsets in the form of PJM payments. These payments increase the TRC value, as they are directly subtracted from program costs. </w:t>
      </w:r>
      <w:r w:rsidR="00F61E67" w:rsidRPr="00B75B77">
        <w:fldChar w:fldCharType="begin"/>
      </w:r>
      <w:r w:rsidR="00F61E67" w:rsidRPr="00B75B77">
        <w:instrText xml:space="preserve"> REF _Ref464226511 \h </w:instrText>
      </w:r>
      <w:r w:rsidR="00B75B77">
        <w:instrText xml:space="preserve"> \* MERGEFORMAT </w:instrText>
      </w:r>
      <w:r w:rsidR="00F61E67" w:rsidRPr="00B75B77">
        <w:fldChar w:fldCharType="separate"/>
      </w:r>
      <w:r w:rsidR="0004016D" w:rsidRPr="00B75B77">
        <w:t xml:space="preserve">Table </w:t>
      </w:r>
      <w:r w:rsidR="0004016D">
        <w:rPr>
          <w:noProof/>
        </w:rPr>
        <w:t>9</w:t>
      </w:r>
      <w:r w:rsidR="0004016D" w:rsidRPr="00B75B77">
        <w:rPr>
          <w:noProof/>
        </w:rPr>
        <w:noBreakHyphen/>
      </w:r>
      <w:r w:rsidR="0004016D">
        <w:rPr>
          <w:noProof/>
        </w:rPr>
        <w:t>6</w:t>
      </w:r>
      <w:r w:rsidR="00F61E67" w:rsidRPr="00B75B77">
        <w:fldChar w:fldCharType="end"/>
      </w:r>
      <w:r w:rsidR="00F61E67" w:rsidRPr="00B75B77">
        <w:t xml:space="preserve"> </w:t>
      </w:r>
      <w:r w:rsidRPr="00B75B77">
        <w:t>shows a summary of the PY7 program finances.</w:t>
      </w:r>
    </w:p>
    <w:p w:rsidR="007C2227" w:rsidRPr="00B75B77" w:rsidRDefault="007C2227" w:rsidP="00EB5298">
      <w:pPr>
        <w:keepNext/>
        <w:jc w:val="center"/>
      </w:pPr>
    </w:p>
    <w:p w:rsidR="007C2227" w:rsidRPr="00B75B77" w:rsidRDefault="007C2227" w:rsidP="00EB5298">
      <w:pPr>
        <w:pStyle w:val="Caption"/>
      </w:pPr>
      <w:bookmarkStart w:id="669" w:name="_Ref464226511"/>
      <w:bookmarkStart w:id="670" w:name="_Toc453075302"/>
      <w:bookmarkStart w:id="671" w:name="_Toc466413581"/>
      <w:r w:rsidRPr="00B75B77">
        <w:t xml:space="preserve">Table </w:t>
      </w:r>
      <w:fldSimple w:instr=" STYLEREF 1 \s ">
        <w:r w:rsidR="0004016D">
          <w:rPr>
            <w:noProof/>
          </w:rPr>
          <w:t>9</w:t>
        </w:r>
      </w:fldSimple>
      <w:r w:rsidR="00F1144C" w:rsidRPr="00B75B77">
        <w:noBreakHyphen/>
      </w:r>
      <w:fldSimple w:instr=" SEQ Table \* ARABIC \s 1 ">
        <w:r w:rsidR="0004016D">
          <w:rPr>
            <w:noProof/>
          </w:rPr>
          <w:t>6</w:t>
        </w:r>
      </w:fldSimple>
      <w:bookmarkEnd w:id="669"/>
      <w:r w:rsidRPr="00B75B77">
        <w:t>: Summary of Residential AC Saver Program Finances</w:t>
      </w:r>
      <w:bookmarkEnd w:id="670"/>
      <w:bookmarkEnd w:id="671"/>
    </w:p>
    <w:tbl>
      <w:tblPr>
        <w:tblW w:w="9805" w:type="dxa"/>
        <w:tblLook w:val="04A0" w:firstRow="1" w:lastRow="0" w:firstColumn="1" w:lastColumn="0" w:noHBand="0" w:noVBand="1"/>
      </w:tblPr>
      <w:tblGrid>
        <w:gridCol w:w="895"/>
        <w:gridCol w:w="6390"/>
        <w:gridCol w:w="1170"/>
        <w:gridCol w:w="1350"/>
      </w:tblGrid>
      <w:tr w:rsidR="007C2227" w:rsidRPr="00B75B77" w:rsidTr="005E4455">
        <w:trPr>
          <w:trHeight w:val="480"/>
        </w:trPr>
        <w:tc>
          <w:tcPr>
            <w:tcW w:w="895" w:type="dxa"/>
            <w:vMerge w:val="restart"/>
            <w:tcBorders>
              <w:top w:val="single" w:sz="4" w:space="0" w:color="auto"/>
              <w:left w:val="single" w:sz="4" w:space="0" w:color="auto"/>
              <w:bottom w:val="single" w:sz="4" w:space="0" w:color="auto"/>
              <w:right w:val="single" w:sz="4" w:space="0" w:color="auto"/>
            </w:tcBorders>
            <w:shd w:val="clear" w:color="000000" w:fill="448A99"/>
            <w:noWrap/>
            <w:vAlign w:val="center"/>
            <w:hideMark/>
          </w:tcPr>
          <w:p w:rsidR="007C2227" w:rsidRPr="00B75B77" w:rsidRDefault="007C2227" w:rsidP="00EB5298">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Row #</w:t>
            </w:r>
          </w:p>
        </w:tc>
        <w:tc>
          <w:tcPr>
            <w:tcW w:w="6390" w:type="dxa"/>
            <w:vMerge w:val="restart"/>
            <w:tcBorders>
              <w:top w:val="single" w:sz="4" w:space="0" w:color="auto"/>
              <w:left w:val="single" w:sz="4" w:space="0" w:color="auto"/>
              <w:bottom w:val="single" w:sz="4" w:space="0" w:color="auto"/>
              <w:right w:val="single" w:sz="4" w:space="0" w:color="auto"/>
            </w:tcBorders>
            <w:shd w:val="clear" w:color="000000" w:fill="448A99"/>
            <w:noWrap/>
            <w:vAlign w:val="center"/>
            <w:hideMark/>
          </w:tcPr>
          <w:p w:rsidR="007C2227" w:rsidRPr="00B75B77" w:rsidRDefault="007C2227" w:rsidP="00EB5298">
            <w:pPr>
              <w:keepNext/>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Cost Category </w:t>
            </w:r>
          </w:p>
        </w:tc>
        <w:tc>
          <w:tcPr>
            <w:tcW w:w="1170" w:type="dxa"/>
            <w:tcBorders>
              <w:top w:val="single" w:sz="4" w:space="0" w:color="auto"/>
              <w:left w:val="nil"/>
              <w:bottom w:val="single" w:sz="4" w:space="0" w:color="auto"/>
              <w:right w:val="single" w:sz="4" w:space="0" w:color="auto"/>
            </w:tcBorders>
            <w:shd w:val="clear" w:color="000000" w:fill="448A99"/>
            <w:vAlign w:val="center"/>
            <w:hideMark/>
          </w:tcPr>
          <w:p w:rsidR="007C2227" w:rsidRPr="00B75B77" w:rsidRDefault="007C2227" w:rsidP="00EB5298">
            <w:pPr>
              <w:keepNext/>
              <w:jc w:val="right"/>
              <w:rPr>
                <w:rFonts w:ascii="Calibri" w:eastAsia="Times New Roman" w:hAnsi="Calibri"/>
                <w:b/>
                <w:bCs/>
                <w:color w:val="FFFFFF"/>
                <w:sz w:val="18"/>
                <w:szCs w:val="18"/>
              </w:rPr>
            </w:pPr>
            <w:r w:rsidRPr="00B75B77">
              <w:rPr>
                <w:rFonts w:ascii="Calibri" w:eastAsia="Times New Roman" w:hAnsi="Calibri"/>
                <w:b/>
                <w:bCs/>
                <w:color w:val="FFFFFF"/>
                <w:sz w:val="18"/>
                <w:szCs w:val="18"/>
              </w:rPr>
              <w:t>Actual PY7 Costs</w:t>
            </w:r>
          </w:p>
        </w:tc>
        <w:tc>
          <w:tcPr>
            <w:tcW w:w="1350" w:type="dxa"/>
            <w:tcBorders>
              <w:top w:val="single" w:sz="4" w:space="0" w:color="auto"/>
              <w:left w:val="nil"/>
              <w:bottom w:val="single" w:sz="4" w:space="0" w:color="auto"/>
              <w:right w:val="single" w:sz="4" w:space="0" w:color="auto"/>
            </w:tcBorders>
            <w:shd w:val="clear" w:color="000000" w:fill="448A99"/>
            <w:vAlign w:val="center"/>
            <w:hideMark/>
          </w:tcPr>
          <w:p w:rsidR="007C2227" w:rsidRPr="00B75B77" w:rsidRDefault="007C2227" w:rsidP="00EB5298">
            <w:pPr>
              <w:keepNext/>
              <w:jc w:val="right"/>
              <w:rPr>
                <w:rFonts w:ascii="Calibri" w:eastAsia="Times New Roman" w:hAnsi="Calibri"/>
                <w:b/>
                <w:bCs/>
                <w:color w:val="FFFFFF"/>
                <w:sz w:val="18"/>
                <w:szCs w:val="18"/>
              </w:rPr>
            </w:pPr>
            <w:r w:rsidRPr="00B75B77">
              <w:rPr>
                <w:rFonts w:ascii="Calibri" w:eastAsia="Times New Roman" w:hAnsi="Calibri"/>
                <w:b/>
                <w:bCs/>
                <w:color w:val="FFFFFF"/>
                <w:sz w:val="18"/>
                <w:szCs w:val="18"/>
              </w:rPr>
              <w:t>Actual Phase II Costs</w:t>
            </w:r>
          </w:p>
        </w:tc>
      </w:tr>
      <w:tr w:rsidR="007C2227" w:rsidRPr="00B75B77" w:rsidTr="005E4455">
        <w:trPr>
          <w:trHeight w:val="288"/>
        </w:trPr>
        <w:tc>
          <w:tcPr>
            <w:tcW w:w="895" w:type="dxa"/>
            <w:vMerge/>
            <w:tcBorders>
              <w:top w:val="single" w:sz="4" w:space="0" w:color="auto"/>
              <w:left w:val="single" w:sz="4" w:space="0" w:color="auto"/>
              <w:bottom w:val="single" w:sz="4" w:space="0" w:color="auto"/>
              <w:right w:val="single" w:sz="4" w:space="0" w:color="auto"/>
            </w:tcBorders>
            <w:vAlign w:val="center"/>
            <w:hideMark/>
          </w:tcPr>
          <w:p w:rsidR="007C2227" w:rsidRPr="00B75B77" w:rsidRDefault="007C2227" w:rsidP="00EB5298">
            <w:pPr>
              <w:keepNext/>
              <w:jc w:val="left"/>
              <w:rPr>
                <w:rFonts w:ascii="Calibri" w:eastAsia="Times New Roman" w:hAnsi="Calibri"/>
                <w:b/>
                <w:bCs/>
                <w:color w:val="FFFFFF"/>
                <w:sz w:val="18"/>
                <w:szCs w:val="18"/>
              </w:rPr>
            </w:pPr>
          </w:p>
        </w:tc>
        <w:tc>
          <w:tcPr>
            <w:tcW w:w="6390" w:type="dxa"/>
            <w:vMerge/>
            <w:tcBorders>
              <w:top w:val="single" w:sz="4" w:space="0" w:color="auto"/>
              <w:left w:val="single" w:sz="4" w:space="0" w:color="auto"/>
              <w:bottom w:val="single" w:sz="4" w:space="0" w:color="auto"/>
              <w:right w:val="single" w:sz="4" w:space="0" w:color="auto"/>
            </w:tcBorders>
            <w:vAlign w:val="center"/>
            <w:hideMark/>
          </w:tcPr>
          <w:p w:rsidR="007C2227" w:rsidRPr="00B75B77" w:rsidRDefault="007C2227" w:rsidP="00EB5298">
            <w:pPr>
              <w:keepNext/>
              <w:jc w:val="left"/>
              <w:rPr>
                <w:rFonts w:ascii="Calibri" w:eastAsia="Times New Roman" w:hAnsi="Calibri"/>
                <w:b/>
                <w:bCs/>
                <w:color w:val="FFFFFF"/>
                <w:sz w:val="18"/>
                <w:szCs w:val="18"/>
              </w:rPr>
            </w:pPr>
          </w:p>
        </w:tc>
        <w:tc>
          <w:tcPr>
            <w:tcW w:w="1170" w:type="dxa"/>
            <w:tcBorders>
              <w:top w:val="nil"/>
              <w:left w:val="nil"/>
              <w:bottom w:val="single" w:sz="4" w:space="0" w:color="auto"/>
              <w:right w:val="single" w:sz="4" w:space="0" w:color="auto"/>
            </w:tcBorders>
            <w:shd w:val="clear" w:color="auto" w:fill="448A99"/>
            <w:vAlign w:val="center"/>
            <w:hideMark/>
          </w:tcPr>
          <w:p w:rsidR="007C2227" w:rsidRPr="00B75B77" w:rsidRDefault="007C2227" w:rsidP="00EB5298">
            <w:pPr>
              <w:keepNext/>
              <w:jc w:val="right"/>
              <w:rPr>
                <w:rFonts w:ascii="Calibri" w:eastAsia="Times New Roman" w:hAnsi="Calibri"/>
                <w:b/>
                <w:color w:val="FFFFFF" w:themeColor="background1"/>
                <w:sz w:val="18"/>
                <w:szCs w:val="18"/>
              </w:rPr>
            </w:pPr>
            <w:r w:rsidRPr="00B75B77">
              <w:rPr>
                <w:rFonts w:ascii="Calibri" w:eastAsia="Times New Roman" w:hAnsi="Calibri"/>
                <w:b/>
                <w:color w:val="FFFFFF" w:themeColor="background1"/>
                <w:sz w:val="18"/>
                <w:szCs w:val="18"/>
              </w:rPr>
              <w:t>($1,000)</w:t>
            </w:r>
          </w:p>
        </w:tc>
        <w:tc>
          <w:tcPr>
            <w:tcW w:w="1350" w:type="dxa"/>
            <w:tcBorders>
              <w:top w:val="nil"/>
              <w:left w:val="nil"/>
              <w:bottom w:val="single" w:sz="4" w:space="0" w:color="auto"/>
              <w:right w:val="single" w:sz="4" w:space="0" w:color="auto"/>
            </w:tcBorders>
            <w:shd w:val="clear" w:color="auto" w:fill="448A99"/>
            <w:vAlign w:val="center"/>
            <w:hideMark/>
          </w:tcPr>
          <w:p w:rsidR="007C2227" w:rsidRPr="00B75B77" w:rsidRDefault="007C2227" w:rsidP="00EB5298">
            <w:pPr>
              <w:keepNext/>
              <w:jc w:val="right"/>
              <w:rPr>
                <w:rFonts w:ascii="Calibri" w:eastAsia="Times New Roman" w:hAnsi="Calibri"/>
                <w:b/>
                <w:color w:val="FFFFFF" w:themeColor="background1"/>
                <w:sz w:val="18"/>
                <w:szCs w:val="18"/>
              </w:rPr>
            </w:pPr>
            <w:r w:rsidRPr="00B75B77">
              <w:rPr>
                <w:rFonts w:ascii="Calibri" w:eastAsia="Times New Roman" w:hAnsi="Calibri"/>
                <w:b/>
                <w:color w:val="FFFFFF" w:themeColor="background1"/>
                <w:sz w:val="18"/>
                <w:szCs w:val="18"/>
              </w:rPr>
              <w:t>($1,000)</w:t>
            </w:r>
          </w:p>
        </w:tc>
      </w:tr>
      <w:tr w:rsidR="007C2227" w:rsidRPr="00B75B77" w:rsidTr="005E4455">
        <w:trPr>
          <w:trHeight w:val="288"/>
        </w:trPr>
        <w:tc>
          <w:tcPr>
            <w:tcW w:w="895" w:type="dxa"/>
            <w:tcBorders>
              <w:top w:val="nil"/>
              <w:left w:val="single" w:sz="4" w:space="0" w:color="448A99"/>
              <w:bottom w:val="single" w:sz="4" w:space="0" w:color="448A99"/>
              <w:right w:val="single" w:sz="4" w:space="0" w:color="448A99"/>
            </w:tcBorders>
            <w:shd w:val="clear" w:color="auto" w:fill="auto"/>
            <w:noWrap/>
            <w:vAlign w:val="center"/>
            <w:hideMark/>
          </w:tcPr>
          <w:p w:rsidR="007C2227" w:rsidRPr="00B75B77" w:rsidRDefault="007C2227" w:rsidP="00EB5298">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w:t>
            </w:r>
          </w:p>
        </w:tc>
        <w:tc>
          <w:tcPr>
            <w:tcW w:w="6390" w:type="dxa"/>
            <w:tcBorders>
              <w:top w:val="nil"/>
              <w:left w:val="nil"/>
              <w:bottom w:val="single" w:sz="4" w:space="0" w:color="448A99"/>
              <w:right w:val="single" w:sz="4" w:space="0" w:color="448A99"/>
            </w:tcBorders>
            <w:shd w:val="clear" w:color="auto" w:fill="auto"/>
            <w:noWrap/>
            <w:vAlign w:val="center"/>
            <w:hideMark/>
          </w:tcPr>
          <w:p w:rsidR="007C2227" w:rsidRPr="00B75B77" w:rsidRDefault="007C2227" w:rsidP="00EB5298">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Incremental Measure Costs  </w:t>
            </w:r>
          </w:p>
        </w:tc>
        <w:tc>
          <w:tcPr>
            <w:tcW w:w="1170" w:type="dxa"/>
            <w:tcBorders>
              <w:top w:val="nil"/>
              <w:left w:val="nil"/>
              <w:bottom w:val="single" w:sz="4" w:space="0" w:color="448A99"/>
              <w:right w:val="single" w:sz="4" w:space="0" w:color="448A99"/>
            </w:tcBorders>
            <w:shd w:val="clear" w:color="auto" w:fill="auto"/>
            <w:noWrap/>
            <w:vAlign w:val="center"/>
            <w:hideMark/>
          </w:tcPr>
          <w:p w:rsidR="007C2227" w:rsidRPr="00B75B77" w:rsidRDefault="007C2227" w:rsidP="00EB529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50" w:type="dxa"/>
            <w:tcBorders>
              <w:top w:val="nil"/>
              <w:left w:val="nil"/>
              <w:bottom w:val="single" w:sz="4" w:space="0" w:color="448A99"/>
              <w:right w:val="single" w:sz="4" w:space="0" w:color="448A99"/>
            </w:tcBorders>
            <w:shd w:val="clear" w:color="auto" w:fill="auto"/>
            <w:noWrap/>
            <w:vAlign w:val="center"/>
            <w:hideMark/>
          </w:tcPr>
          <w:p w:rsidR="007C2227" w:rsidRPr="00B75B77" w:rsidRDefault="007C2227" w:rsidP="00EB529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7C2227" w:rsidRPr="00B75B77" w:rsidTr="005E4455">
        <w:trPr>
          <w:trHeight w:val="288"/>
        </w:trPr>
        <w:tc>
          <w:tcPr>
            <w:tcW w:w="895" w:type="dxa"/>
            <w:tcBorders>
              <w:top w:val="nil"/>
              <w:left w:val="single" w:sz="4" w:space="0" w:color="448A99"/>
              <w:bottom w:val="single" w:sz="4" w:space="0" w:color="448A99"/>
              <w:right w:val="single" w:sz="4" w:space="0" w:color="448A99"/>
            </w:tcBorders>
            <w:shd w:val="clear" w:color="000000" w:fill="D2EAF1"/>
            <w:noWrap/>
            <w:vAlign w:val="center"/>
            <w:hideMark/>
          </w:tcPr>
          <w:p w:rsidR="007C2227" w:rsidRPr="00B75B77" w:rsidRDefault="007C2227" w:rsidP="00EB5298">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2</w:t>
            </w:r>
          </w:p>
        </w:tc>
        <w:tc>
          <w:tcPr>
            <w:tcW w:w="6390" w:type="dxa"/>
            <w:tcBorders>
              <w:top w:val="nil"/>
              <w:left w:val="nil"/>
              <w:bottom w:val="single" w:sz="4" w:space="0" w:color="448A99"/>
              <w:right w:val="single" w:sz="4" w:space="0" w:color="448A99"/>
            </w:tcBorders>
            <w:shd w:val="clear" w:color="000000" w:fill="D2EAF1"/>
            <w:noWrap/>
            <w:vAlign w:val="center"/>
            <w:hideMark/>
          </w:tcPr>
          <w:p w:rsidR="007C2227" w:rsidRPr="00B75B77" w:rsidRDefault="007C2227" w:rsidP="00EB5298">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EDC Incentives to Participants</w:t>
            </w:r>
          </w:p>
        </w:tc>
        <w:tc>
          <w:tcPr>
            <w:tcW w:w="1170" w:type="dxa"/>
            <w:tcBorders>
              <w:top w:val="nil"/>
              <w:left w:val="nil"/>
              <w:bottom w:val="single" w:sz="4" w:space="0" w:color="448A99"/>
              <w:right w:val="single" w:sz="4" w:space="0" w:color="448A99"/>
            </w:tcBorders>
            <w:shd w:val="clear" w:color="000000" w:fill="D2EAF1"/>
            <w:noWrap/>
            <w:vAlign w:val="center"/>
            <w:hideMark/>
          </w:tcPr>
          <w:p w:rsidR="007C2227" w:rsidRPr="00B75B77" w:rsidRDefault="007C2227" w:rsidP="00EB529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50" w:type="dxa"/>
            <w:tcBorders>
              <w:top w:val="nil"/>
              <w:left w:val="nil"/>
              <w:bottom w:val="single" w:sz="4" w:space="0" w:color="448A99"/>
              <w:right w:val="single" w:sz="4" w:space="0" w:color="448A99"/>
            </w:tcBorders>
            <w:shd w:val="clear" w:color="000000" w:fill="D2EAF1"/>
            <w:noWrap/>
            <w:vAlign w:val="center"/>
            <w:hideMark/>
          </w:tcPr>
          <w:p w:rsidR="007C2227" w:rsidRPr="00B75B77" w:rsidRDefault="007C2227" w:rsidP="00EB529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7C2227" w:rsidRPr="00B75B77" w:rsidTr="005E4455">
        <w:trPr>
          <w:trHeight w:val="288"/>
        </w:trPr>
        <w:tc>
          <w:tcPr>
            <w:tcW w:w="895" w:type="dxa"/>
            <w:tcBorders>
              <w:top w:val="nil"/>
              <w:left w:val="single" w:sz="4" w:space="0" w:color="448A99"/>
              <w:bottom w:val="single" w:sz="4" w:space="0" w:color="448A99"/>
              <w:right w:val="single" w:sz="4" w:space="0" w:color="448A99"/>
            </w:tcBorders>
            <w:shd w:val="clear" w:color="auto" w:fill="auto"/>
            <w:noWrap/>
            <w:vAlign w:val="center"/>
            <w:hideMark/>
          </w:tcPr>
          <w:p w:rsidR="007C2227" w:rsidRPr="00B75B77" w:rsidRDefault="007C2227" w:rsidP="00EB5298">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3</w:t>
            </w:r>
          </w:p>
        </w:tc>
        <w:tc>
          <w:tcPr>
            <w:tcW w:w="6390" w:type="dxa"/>
            <w:tcBorders>
              <w:top w:val="nil"/>
              <w:left w:val="nil"/>
              <w:bottom w:val="single" w:sz="4" w:space="0" w:color="448A99"/>
              <w:right w:val="single" w:sz="4" w:space="0" w:color="448A99"/>
            </w:tcBorders>
            <w:shd w:val="clear" w:color="auto" w:fill="auto"/>
            <w:noWrap/>
            <w:vAlign w:val="center"/>
            <w:hideMark/>
          </w:tcPr>
          <w:p w:rsidR="007C2227" w:rsidRPr="00B75B77" w:rsidRDefault="007C2227" w:rsidP="00EB5298">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EDC Incentives to Trade Allies</w:t>
            </w:r>
          </w:p>
        </w:tc>
        <w:tc>
          <w:tcPr>
            <w:tcW w:w="1170" w:type="dxa"/>
            <w:tcBorders>
              <w:top w:val="nil"/>
              <w:left w:val="nil"/>
              <w:bottom w:val="single" w:sz="4" w:space="0" w:color="448A99"/>
              <w:right w:val="single" w:sz="4" w:space="0" w:color="448A99"/>
            </w:tcBorders>
            <w:shd w:val="clear" w:color="auto" w:fill="auto"/>
            <w:noWrap/>
            <w:vAlign w:val="center"/>
            <w:hideMark/>
          </w:tcPr>
          <w:p w:rsidR="007C2227" w:rsidRPr="00B75B77" w:rsidRDefault="007C2227" w:rsidP="00EB529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50" w:type="dxa"/>
            <w:tcBorders>
              <w:top w:val="nil"/>
              <w:left w:val="nil"/>
              <w:bottom w:val="single" w:sz="4" w:space="0" w:color="448A99"/>
              <w:right w:val="single" w:sz="4" w:space="0" w:color="448A99"/>
            </w:tcBorders>
            <w:shd w:val="clear" w:color="auto" w:fill="auto"/>
            <w:noWrap/>
            <w:vAlign w:val="center"/>
            <w:hideMark/>
          </w:tcPr>
          <w:p w:rsidR="007C2227" w:rsidRPr="00B75B77" w:rsidRDefault="007C2227" w:rsidP="00EB529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7C2227" w:rsidRPr="00B75B77" w:rsidTr="005E4455">
        <w:trPr>
          <w:trHeight w:val="288"/>
        </w:trPr>
        <w:tc>
          <w:tcPr>
            <w:tcW w:w="895" w:type="dxa"/>
            <w:tcBorders>
              <w:top w:val="nil"/>
              <w:left w:val="single" w:sz="4" w:space="0" w:color="448A99"/>
              <w:bottom w:val="single" w:sz="4" w:space="0" w:color="448A99"/>
              <w:right w:val="single" w:sz="4" w:space="0" w:color="448A99"/>
            </w:tcBorders>
            <w:shd w:val="clear" w:color="000000" w:fill="D2EAF1"/>
            <w:noWrap/>
            <w:vAlign w:val="center"/>
            <w:hideMark/>
          </w:tcPr>
          <w:p w:rsidR="007C2227" w:rsidRPr="00B75B77" w:rsidRDefault="007C2227" w:rsidP="00EB5298">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4</w:t>
            </w:r>
          </w:p>
        </w:tc>
        <w:tc>
          <w:tcPr>
            <w:tcW w:w="6390" w:type="dxa"/>
            <w:tcBorders>
              <w:top w:val="nil"/>
              <w:left w:val="nil"/>
              <w:bottom w:val="single" w:sz="4" w:space="0" w:color="448A99"/>
              <w:right w:val="single" w:sz="4" w:space="0" w:color="448A99"/>
            </w:tcBorders>
            <w:shd w:val="clear" w:color="000000" w:fill="D2EAF1"/>
            <w:noWrap/>
            <w:vAlign w:val="center"/>
            <w:hideMark/>
          </w:tcPr>
          <w:p w:rsidR="007C2227" w:rsidRPr="00B75B77" w:rsidRDefault="007C2227" w:rsidP="00EB5298">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Participant Costs (Net of Incentives/Rebates Paid by Utilities)</w:t>
            </w:r>
          </w:p>
        </w:tc>
        <w:tc>
          <w:tcPr>
            <w:tcW w:w="1170"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EB529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50"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EB529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2E73D2" w:rsidRPr="00B75B77" w:rsidTr="005E4455">
        <w:trPr>
          <w:trHeight w:val="115"/>
        </w:trPr>
        <w:tc>
          <w:tcPr>
            <w:tcW w:w="9805" w:type="dxa"/>
            <w:gridSpan w:val="4"/>
            <w:tcBorders>
              <w:top w:val="nil"/>
              <w:left w:val="single" w:sz="4" w:space="0" w:color="448A99"/>
              <w:bottom w:val="single" w:sz="4" w:space="0" w:color="448A99"/>
              <w:right w:val="single" w:sz="4" w:space="0" w:color="448A99"/>
            </w:tcBorders>
            <w:shd w:val="clear" w:color="auto" w:fill="AEAAAA"/>
            <w:noWrap/>
            <w:vAlign w:val="center"/>
            <w:hideMark/>
          </w:tcPr>
          <w:p w:rsidR="002E73D2" w:rsidRPr="00B75B77" w:rsidRDefault="002E73D2" w:rsidP="002E73D2">
            <w:pPr>
              <w:keepNext/>
              <w:rPr>
                <w:rFonts w:ascii="Calibri" w:eastAsia="Times New Roman" w:hAnsi="Calibri"/>
                <w:b/>
                <w:bCs/>
                <w:color w:val="FFFFFF"/>
                <w:sz w:val="18"/>
                <w:szCs w:val="18"/>
              </w:rPr>
            </w:pPr>
            <w:r w:rsidRPr="00B75B77">
              <w:rPr>
                <w:rFonts w:ascii="Calibri" w:eastAsia="Times New Roman" w:hAnsi="Calibri"/>
                <w:b/>
                <w:bCs/>
                <w:color w:val="FFFFFF"/>
                <w:sz w:val="18"/>
                <w:szCs w:val="18"/>
              </w:rPr>
              <w:t> </w:t>
            </w:r>
          </w:p>
        </w:tc>
      </w:tr>
      <w:tr w:rsidR="007C2227" w:rsidRPr="00B75B77" w:rsidTr="005E4455">
        <w:trPr>
          <w:trHeight w:val="288"/>
        </w:trPr>
        <w:tc>
          <w:tcPr>
            <w:tcW w:w="895" w:type="dxa"/>
            <w:tcBorders>
              <w:top w:val="nil"/>
              <w:left w:val="single" w:sz="4" w:space="0" w:color="448A99"/>
              <w:bottom w:val="single" w:sz="4" w:space="0" w:color="448A99"/>
              <w:right w:val="single" w:sz="4" w:space="0" w:color="448A99"/>
            </w:tcBorders>
            <w:shd w:val="clear" w:color="auto" w:fill="auto"/>
            <w:noWrap/>
            <w:vAlign w:val="center"/>
            <w:hideMark/>
          </w:tcPr>
          <w:p w:rsidR="007C2227" w:rsidRPr="00B75B77" w:rsidRDefault="007C2227" w:rsidP="00EB5298">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5</w:t>
            </w:r>
          </w:p>
        </w:tc>
        <w:tc>
          <w:tcPr>
            <w:tcW w:w="6390" w:type="dxa"/>
            <w:tcBorders>
              <w:top w:val="nil"/>
              <w:left w:val="nil"/>
              <w:bottom w:val="single" w:sz="4" w:space="0" w:color="448A99"/>
              <w:right w:val="single" w:sz="4" w:space="0" w:color="448A99"/>
            </w:tcBorders>
            <w:shd w:val="clear" w:color="auto" w:fill="auto"/>
            <w:noWrap/>
            <w:vAlign w:val="center"/>
            <w:hideMark/>
          </w:tcPr>
          <w:p w:rsidR="007C2227" w:rsidRPr="00B75B77" w:rsidRDefault="007C2227" w:rsidP="00EB5298">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Program Overhead Costs </w:t>
            </w:r>
          </w:p>
        </w:tc>
        <w:tc>
          <w:tcPr>
            <w:tcW w:w="1170" w:type="dxa"/>
            <w:tcBorders>
              <w:top w:val="nil"/>
              <w:left w:val="nil"/>
              <w:bottom w:val="single" w:sz="4" w:space="0" w:color="448A99"/>
              <w:right w:val="single" w:sz="4" w:space="0" w:color="448A99"/>
            </w:tcBorders>
            <w:shd w:val="clear" w:color="auto" w:fill="auto"/>
            <w:noWrap/>
            <w:vAlign w:val="center"/>
            <w:hideMark/>
          </w:tcPr>
          <w:p w:rsidR="007C2227" w:rsidRPr="00B75B77" w:rsidRDefault="007C2227" w:rsidP="00EB529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6,</w:t>
            </w:r>
            <w:r w:rsidR="00037CF1" w:rsidRPr="00B75B77">
              <w:rPr>
                <w:rFonts w:ascii="Calibri" w:eastAsia="Times New Roman" w:hAnsi="Calibri"/>
                <w:color w:val="000000"/>
                <w:sz w:val="18"/>
                <w:szCs w:val="18"/>
              </w:rPr>
              <w:t>754</w:t>
            </w:r>
          </w:p>
        </w:tc>
        <w:tc>
          <w:tcPr>
            <w:tcW w:w="1350" w:type="dxa"/>
            <w:tcBorders>
              <w:top w:val="nil"/>
              <w:left w:val="nil"/>
              <w:bottom w:val="single" w:sz="4" w:space="0" w:color="448A99"/>
              <w:right w:val="single" w:sz="4" w:space="0" w:color="448A99"/>
            </w:tcBorders>
            <w:shd w:val="clear" w:color="auto" w:fill="auto"/>
            <w:noWrap/>
            <w:vAlign w:val="center"/>
            <w:hideMark/>
          </w:tcPr>
          <w:p w:rsidR="007C2227" w:rsidRPr="00B75B77" w:rsidRDefault="007C2227" w:rsidP="00EB529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20,</w:t>
            </w:r>
            <w:r w:rsidR="00037CF1" w:rsidRPr="00B75B77">
              <w:rPr>
                <w:rFonts w:ascii="Calibri" w:eastAsia="Times New Roman" w:hAnsi="Calibri"/>
                <w:color w:val="000000"/>
                <w:sz w:val="18"/>
                <w:szCs w:val="18"/>
              </w:rPr>
              <w:t>598</w:t>
            </w:r>
          </w:p>
        </w:tc>
      </w:tr>
      <w:tr w:rsidR="007C2227" w:rsidRPr="00B75B77" w:rsidTr="005E4455">
        <w:trPr>
          <w:trHeight w:val="288"/>
        </w:trPr>
        <w:tc>
          <w:tcPr>
            <w:tcW w:w="895" w:type="dxa"/>
            <w:tcBorders>
              <w:top w:val="nil"/>
              <w:left w:val="single" w:sz="4" w:space="0" w:color="448A99"/>
              <w:bottom w:val="single" w:sz="4" w:space="0" w:color="448A99"/>
              <w:right w:val="single" w:sz="4" w:space="0" w:color="448A99"/>
            </w:tcBorders>
            <w:shd w:val="clear" w:color="000000" w:fill="D2EAF1"/>
            <w:noWrap/>
            <w:vAlign w:val="center"/>
            <w:hideMark/>
          </w:tcPr>
          <w:p w:rsidR="007C2227" w:rsidRPr="00B75B77" w:rsidRDefault="007C2227" w:rsidP="00EB5298">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6</w:t>
            </w:r>
          </w:p>
        </w:tc>
        <w:tc>
          <w:tcPr>
            <w:tcW w:w="6390" w:type="dxa"/>
            <w:tcBorders>
              <w:top w:val="nil"/>
              <w:left w:val="nil"/>
              <w:bottom w:val="single" w:sz="4" w:space="0" w:color="448A99"/>
              <w:right w:val="single" w:sz="4" w:space="0" w:color="448A99"/>
            </w:tcBorders>
            <w:shd w:val="clear" w:color="000000" w:fill="D2EAF1"/>
            <w:noWrap/>
            <w:vAlign w:val="center"/>
            <w:hideMark/>
          </w:tcPr>
          <w:p w:rsidR="007C2227" w:rsidRPr="00B75B77" w:rsidRDefault="007C2227" w:rsidP="00EB5298">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Design &amp; Development</w:t>
            </w:r>
          </w:p>
        </w:tc>
        <w:tc>
          <w:tcPr>
            <w:tcW w:w="1170" w:type="dxa"/>
            <w:tcBorders>
              <w:top w:val="nil"/>
              <w:left w:val="nil"/>
              <w:bottom w:val="single" w:sz="4" w:space="0" w:color="448A99"/>
              <w:right w:val="single" w:sz="4" w:space="0" w:color="448A99"/>
            </w:tcBorders>
            <w:shd w:val="clear" w:color="000000" w:fill="D2EAF1"/>
            <w:noWrap/>
            <w:vAlign w:val="center"/>
            <w:hideMark/>
          </w:tcPr>
          <w:p w:rsidR="007C2227" w:rsidRPr="00B75B77" w:rsidRDefault="007C2227" w:rsidP="00EB529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50" w:type="dxa"/>
            <w:tcBorders>
              <w:top w:val="nil"/>
              <w:left w:val="nil"/>
              <w:bottom w:val="single" w:sz="4" w:space="0" w:color="448A99"/>
              <w:right w:val="single" w:sz="4" w:space="0" w:color="448A99"/>
            </w:tcBorders>
            <w:shd w:val="clear" w:color="000000" w:fill="D2EAF1"/>
            <w:noWrap/>
            <w:vAlign w:val="center"/>
            <w:hideMark/>
          </w:tcPr>
          <w:p w:rsidR="007C2227" w:rsidRPr="00B75B77" w:rsidRDefault="007C2227" w:rsidP="00EB529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7C2227" w:rsidRPr="00B75B77" w:rsidTr="005E4455">
        <w:trPr>
          <w:trHeight w:val="288"/>
        </w:trPr>
        <w:tc>
          <w:tcPr>
            <w:tcW w:w="895" w:type="dxa"/>
            <w:tcBorders>
              <w:top w:val="nil"/>
              <w:left w:val="single" w:sz="4" w:space="0" w:color="448A99"/>
              <w:bottom w:val="single" w:sz="4" w:space="0" w:color="448A99"/>
              <w:right w:val="single" w:sz="4" w:space="0" w:color="448A99"/>
            </w:tcBorders>
            <w:shd w:val="clear" w:color="auto" w:fill="auto"/>
            <w:noWrap/>
            <w:vAlign w:val="center"/>
            <w:hideMark/>
          </w:tcPr>
          <w:p w:rsidR="007C2227" w:rsidRPr="00B75B77" w:rsidRDefault="007C2227" w:rsidP="00EB5298">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7</w:t>
            </w:r>
          </w:p>
        </w:tc>
        <w:tc>
          <w:tcPr>
            <w:tcW w:w="6390" w:type="dxa"/>
            <w:tcBorders>
              <w:top w:val="nil"/>
              <w:left w:val="nil"/>
              <w:bottom w:val="single" w:sz="4" w:space="0" w:color="448A99"/>
              <w:right w:val="single" w:sz="4" w:space="0" w:color="448A99"/>
            </w:tcBorders>
            <w:shd w:val="clear" w:color="auto" w:fill="auto"/>
            <w:noWrap/>
            <w:vAlign w:val="center"/>
            <w:hideMark/>
          </w:tcPr>
          <w:p w:rsidR="007C2227" w:rsidRPr="00B75B77" w:rsidRDefault="007C2227" w:rsidP="00EB5298">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Administration, Management, and Technical Assistance</w:t>
            </w:r>
            <w:r w:rsidRPr="00B75B77">
              <w:rPr>
                <w:rFonts w:ascii="Calibri" w:eastAsia="Times New Roman" w:hAnsi="Calibri"/>
                <w:b/>
                <w:bCs/>
                <w:color w:val="000000"/>
                <w:sz w:val="18"/>
                <w:szCs w:val="18"/>
                <w:vertAlign w:val="superscript"/>
              </w:rPr>
              <w:t>[1]</w:t>
            </w:r>
          </w:p>
        </w:tc>
        <w:tc>
          <w:tcPr>
            <w:tcW w:w="1170" w:type="dxa"/>
            <w:tcBorders>
              <w:top w:val="nil"/>
              <w:left w:val="nil"/>
              <w:bottom w:val="single" w:sz="4" w:space="0" w:color="448A99"/>
              <w:right w:val="single" w:sz="4" w:space="0" w:color="448A99"/>
            </w:tcBorders>
            <w:shd w:val="clear" w:color="auto" w:fill="auto"/>
            <w:noWrap/>
            <w:vAlign w:val="center"/>
            <w:hideMark/>
          </w:tcPr>
          <w:p w:rsidR="007C2227" w:rsidRPr="00B75B77" w:rsidRDefault="00037CF1" w:rsidP="00EB529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348</w:t>
            </w:r>
          </w:p>
        </w:tc>
        <w:tc>
          <w:tcPr>
            <w:tcW w:w="1350" w:type="dxa"/>
            <w:tcBorders>
              <w:top w:val="nil"/>
              <w:left w:val="nil"/>
              <w:bottom w:val="single" w:sz="4" w:space="0" w:color="448A99"/>
              <w:right w:val="single" w:sz="4" w:space="0" w:color="448A99"/>
            </w:tcBorders>
            <w:shd w:val="clear" w:color="auto" w:fill="auto"/>
            <w:noWrap/>
            <w:vAlign w:val="center"/>
            <w:hideMark/>
          </w:tcPr>
          <w:p w:rsidR="007C2227" w:rsidRPr="00B75B77" w:rsidRDefault="00037CF1" w:rsidP="00EB529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401</w:t>
            </w:r>
          </w:p>
        </w:tc>
      </w:tr>
      <w:tr w:rsidR="007C2227" w:rsidRPr="00B75B77" w:rsidTr="005E4455">
        <w:trPr>
          <w:trHeight w:val="288"/>
        </w:trPr>
        <w:tc>
          <w:tcPr>
            <w:tcW w:w="895" w:type="dxa"/>
            <w:tcBorders>
              <w:top w:val="nil"/>
              <w:left w:val="single" w:sz="4" w:space="0" w:color="448A99"/>
              <w:bottom w:val="single" w:sz="4" w:space="0" w:color="448A99"/>
              <w:right w:val="single" w:sz="4" w:space="0" w:color="448A99"/>
            </w:tcBorders>
            <w:shd w:val="clear" w:color="000000" w:fill="D2EAF1"/>
            <w:noWrap/>
            <w:vAlign w:val="center"/>
            <w:hideMark/>
          </w:tcPr>
          <w:p w:rsidR="007C2227" w:rsidRPr="00B75B77" w:rsidRDefault="007C2227" w:rsidP="00EB5298">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8</w:t>
            </w:r>
          </w:p>
        </w:tc>
        <w:tc>
          <w:tcPr>
            <w:tcW w:w="6390" w:type="dxa"/>
            <w:tcBorders>
              <w:top w:val="nil"/>
              <w:left w:val="nil"/>
              <w:bottom w:val="single" w:sz="4" w:space="0" w:color="448A99"/>
              <w:right w:val="single" w:sz="4" w:space="0" w:color="448A99"/>
            </w:tcBorders>
            <w:shd w:val="clear" w:color="000000" w:fill="D2EAF1"/>
            <w:noWrap/>
            <w:vAlign w:val="center"/>
            <w:hideMark/>
          </w:tcPr>
          <w:p w:rsidR="007C2227" w:rsidRPr="00B75B77" w:rsidRDefault="007C2227" w:rsidP="00EB5298">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Marketing</w:t>
            </w:r>
            <w:r w:rsidRPr="00B75B77">
              <w:rPr>
                <w:rFonts w:ascii="Calibri" w:eastAsia="Times New Roman" w:hAnsi="Calibri"/>
                <w:color w:val="000000"/>
                <w:sz w:val="18"/>
                <w:szCs w:val="18"/>
                <w:vertAlign w:val="superscript"/>
              </w:rPr>
              <w:t>[2]</w:t>
            </w:r>
          </w:p>
        </w:tc>
        <w:tc>
          <w:tcPr>
            <w:tcW w:w="1170" w:type="dxa"/>
            <w:tcBorders>
              <w:top w:val="nil"/>
              <w:left w:val="nil"/>
              <w:bottom w:val="single" w:sz="4" w:space="0" w:color="448A99"/>
              <w:right w:val="single" w:sz="4" w:space="0" w:color="448A99"/>
            </w:tcBorders>
            <w:shd w:val="clear" w:color="000000" w:fill="D2EAF1"/>
            <w:noWrap/>
            <w:vAlign w:val="center"/>
            <w:hideMark/>
          </w:tcPr>
          <w:p w:rsidR="007C2227" w:rsidRPr="00B75B77" w:rsidRDefault="007C2227" w:rsidP="00EB529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6,406</w:t>
            </w:r>
          </w:p>
        </w:tc>
        <w:tc>
          <w:tcPr>
            <w:tcW w:w="1350" w:type="dxa"/>
            <w:tcBorders>
              <w:top w:val="nil"/>
              <w:left w:val="nil"/>
              <w:bottom w:val="single" w:sz="4" w:space="0" w:color="448A99"/>
              <w:right w:val="single" w:sz="4" w:space="0" w:color="448A99"/>
            </w:tcBorders>
            <w:shd w:val="clear" w:color="000000" w:fill="D2EAF1"/>
            <w:noWrap/>
            <w:vAlign w:val="center"/>
            <w:hideMark/>
          </w:tcPr>
          <w:p w:rsidR="007C2227" w:rsidRPr="00B75B77" w:rsidRDefault="007C2227" w:rsidP="00EB529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20,197</w:t>
            </w:r>
          </w:p>
        </w:tc>
      </w:tr>
      <w:tr w:rsidR="007C2227" w:rsidRPr="00B75B77" w:rsidTr="005E4455">
        <w:trPr>
          <w:trHeight w:val="288"/>
        </w:trPr>
        <w:tc>
          <w:tcPr>
            <w:tcW w:w="895" w:type="dxa"/>
            <w:tcBorders>
              <w:top w:val="nil"/>
              <w:left w:val="single" w:sz="4" w:space="0" w:color="448A99"/>
              <w:bottom w:val="single" w:sz="4" w:space="0" w:color="448A99"/>
              <w:right w:val="single" w:sz="4" w:space="0" w:color="448A99"/>
            </w:tcBorders>
            <w:shd w:val="clear" w:color="auto" w:fill="auto"/>
            <w:noWrap/>
            <w:vAlign w:val="center"/>
            <w:hideMark/>
          </w:tcPr>
          <w:p w:rsidR="007C2227" w:rsidRPr="00B75B77" w:rsidRDefault="007C2227" w:rsidP="00EB5298">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9</w:t>
            </w:r>
          </w:p>
        </w:tc>
        <w:tc>
          <w:tcPr>
            <w:tcW w:w="6390" w:type="dxa"/>
            <w:tcBorders>
              <w:top w:val="nil"/>
              <w:left w:val="nil"/>
              <w:bottom w:val="single" w:sz="4" w:space="0" w:color="448A99"/>
              <w:right w:val="single" w:sz="4" w:space="0" w:color="448A99"/>
            </w:tcBorders>
            <w:shd w:val="clear" w:color="auto" w:fill="auto"/>
            <w:noWrap/>
            <w:vAlign w:val="center"/>
            <w:hideMark/>
          </w:tcPr>
          <w:p w:rsidR="007C2227" w:rsidRPr="00B75B77" w:rsidRDefault="007C2227" w:rsidP="00EB5298">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EDC Evaluation Costs</w:t>
            </w:r>
          </w:p>
        </w:tc>
        <w:tc>
          <w:tcPr>
            <w:tcW w:w="1170" w:type="dxa"/>
            <w:tcBorders>
              <w:top w:val="nil"/>
              <w:left w:val="nil"/>
              <w:bottom w:val="single" w:sz="4" w:space="0" w:color="448A99"/>
              <w:right w:val="single" w:sz="4" w:space="0" w:color="448A99"/>
            </w:tcBorders>
            <w:shd w:val="clear" w:color="auto" w:fill="auto"/>
            <w:noWrap/>
            <w:vAlign w:val="center"/>
            <w:hideMark/>
          </w:tcPr>
          <w:p w:rsidR="007C2227" w:rsidRPr="00B75B77" w:rsidRDefault="007C2227" w:rsidP="00EB529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50" w:type="dxa"/>
            <w:tcBorders>
              <w:top w:val="nil"/>
              <w:left w:val="nil"/>
              <w:bottom w:val="single" w:sz="4" w:space="0" w:color="448A99"/>
              <w:right w:val="single" w:sz="4" w:space="0" w:color="448A99"/>
            </w:tcBorders>
            <w:shd w:val="clear" w:color="auto" w:fill="auto"/>
            <w:noWrap/>
            <w:vAlign w:val="center"/>
            <w:hideMark/>
          </w:tcPr>
          <w:p w:rsidR="007C2227" w:rsidRPr="00B75B77" w:rsidRDefault="007C2227" w:rsidP="00EB529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7C2227" w:rsidRPr="00B75B77" w:rsidTr="005E4455">
        <w:trPr>
          <w:trHeight w:val="288"/>
        </w:trPr>
        <w:tc>
          <w:tcPr>
            <w:tcW w:w="895" w:type="dxa"/>
            <w:tcBorders>
              <w:top w:val="nil"/>
              <w:left w:val="single" w:sz="4" w:space="0" w:color="448A99"/>
              <w:bottom w:val="single" w:sz="4" w:space="0" w:color="448A99"/>
              <w:right w:val="single" w:sz="4" w:space="0" w:color="448A99"/>
            </w:tcBorders>
            <w:shd w:val="clear" w:color="000000" w:fill="D2EAF1"/>
            <w:noWrap/>
            <w:vAlign w:val="center"/>
            <w:hideMark/>
          </w:tcPr>
          <w:p w:rsidR="007C2227" w:rsidRPr="00B75B77" w:rsidRDefault="007C2227" w:rsidP="00EB5298">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10</w:t>
            </w:r>
          </w:p>
        </w:tc>
        <w:tc>
          <w:tcPr>
            <w:tcW w:w="6390" w:type="dxa"/>
            <w:tcBorders>
              <w:top w:val="nil"/>
              <w:left w:val="nil"/>
              <w:bottom w:val="single" w:sz="4" w:space="0" w:color="448A99"/>
              <w:right w:val="single" w:sz="4" w:space="0" w:color="448A99"/>
            </w:tcBorders>
            <w:shd w:val="clear" w:color="000000" w:fill="D2EAF1"/>
            <w:noWrap/>
            <w:vAlign w:val="center"/>
            <w:hideMark/>
          </w:tcPr>
          <w:p w:rsidR="007C2227" w:rsidRPr="00B75B77" w:rsidRDefault="007C2227" w:rsidP="00EB5298">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SWE Audit Costs </w:t>
            </w:r>
          </w:p>
        </w:tc>
        <w:tc>
          <w:tcPr>
            <w:tcW w:w="1170" w:type="dxa"/>
            <w:tcBorders>
              <w:top w:val="nil"/>
              <w:left w:val="nil"/>
              <w:bottom w:val="single" w:sz="4" w:space="0" w:color="448A99"/>
              <w:right w:val="single" w:sz="4" w:space="0" w:color="448A99"/>
            </w:tcBorders>
            <w:shd w:val="clear" w:color="000000" w:fill="D2EAF1"/>
            <w:noWrap/>
            <w:vAlign w:val="center"/>
            <w:hideMark/>
          </w:tcPr>
          <w:p w:rsidR="007C2227" w:rsidRPr="00B75B77" w:rsidRDefault="007C2227" w:rsidP="00EB529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50" w:type="dxa"/>
            <w:tcBorders>
              <w:top w:val="nil"/>
              <w:left w:val="nil"/>
              <w:bottom w:val="single" w:sz="4" w:space="0" w:color="448A99"/>
              <w:right w:val="single" w:sz="4" w:space="0" w:color="448A99"/>
            </w:tcBorders>
            <w:shd w:val="clear" w:color="000000" w:fill="D2EAF1"/>
            <w:noWrap/>
            <w:vAlign w:val="center"/>
            <w:hideMark/>
          </w:tcPr>
          <w:p w:rsidR="007C2227" w:rsidRPr="00B75B77" w:rsidRDefault="007C2227" w:rsidP="00EB529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2E73D2" w:rsidRPr="00B75B77" w:rsidTr="005E4455">
        <w:trPr>
          <w:trHeight w:val="115"/>
        </w:trPr>
        <w:tc>
          <w:tcPr>
            <w:tcW w:w="9805" w:type="dxa"/>
            <w:gridSpan w:val="4"/>
            <w:tcBorders>
              <w:top w:val="nil"/>
              <w:left w:val="single" w:sz="4" w:space="0" w:color="448A99"/>
              <w:bottom w:val="single" w:sz="4" w:space="0" w:color="448A99"/>
              <w:right w:val="single" w:sz="4" w:space="0" w:color="448A99"/>
            </w:tcBorders>
            <w:shd w:val="clear" w:color="auto" w:fill="AEAAAA"/>
            <w:noWrap/>
            <w:vAlign w:val="center"/>
            <w:hideMark/>
          </w:tcPr>
          <w:p w:rsidR="002E73D2" w:rsidRPr="00B75B77" w:rsidRDefault="002E73D2" w:rsidP="002E73D2">
            <w:pPr>
              <w:keepNext/>
              <w:rPr>
                <w:rFonts w:ascii="Calibri" w:eastAsia="Times New Roman" w:hAnsi="Calibri"/>
                <w:b/>
                <w:bCs/>
                <w:color w:val="FFFFFF"/>
                <w:sz w:val="18"/>
                <w:szCs w:val="18"/>
              </w:rPr>
            </w:pPr>
            <w:r w:rsidRPr="00B75B77">
              <w:rPr>
                <w:rFonts w:ascii="Calibri" w:eastAsia="Times New Roman" w:hAnsi="Calibri"/>
                <w:b/>
                <w:bCs/>
                <w:color w:val="FFFFFF"/>
                <w:sz w:val="18"/>
                <w:szCs w:val="18"/>
              </w:rPr>
              <w:t> </w:t>
            </w:r>
          </w:p>
        </w:tc>
      </w:tr>
      <w:tr w:rsidR="007C2227" w:rsidRPr="00B75B77" w:rsidTr="005E4455">
        <w:trPr>
          <w:trHeight w:val="288"/>
        </w:trPr>
        <w:tc>
          <w:tcPr>
            <w:tcW w:w="895" w:type="dxa"/>
            <w:tcBorders>
              <w:top w:val="nil"/>
              <w:left w:val="single" w:sz="4" w:space="0" w:color="448A99"/>
              <w:bottom w:val="single" w:sz="4" w:space="0" w:color="448A99"/>
              <w:right w:val="single" w:sz="4" w:space="0" w:color="448A99"/>
            </w:tcBorders>
            <w:shd w:val="clear" w:color="auto" w:fill="auto"/>
            <w:noWrap/>
            <w:vAlign w:val="center"/>
            <w:hideMark/>
          </w:tcPr>
          <w:p w:rsidR="007C2227" w:rsidRPr="00B75B77" w:rsidRDefault="007C2227" w:rsidP="00EB5298">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11</w:t>
            </w:r>
          </w:p>
        </w:tc>
        <w:tc>
          <w:tcPr>
            <w:tcW w:w="6390" w:type="dxa"/>
            <w:tcBorders>
              <w:top w:val="nil"/>
              <w:left w:val="nil"/>
              <w:bottom w:val="single" w:sz="4" w:space="0" w:color="448A99"/>
              <w:right w:val="single" w:sz="4" w:space="0" w:color="448A99"/>
            </w:tcBorders>
            <w:shd w:val="clear" w:color="auto" w:fill="auto"/>
            <w:noWrap/>
            <w:vAlign w:val="center"/>
            <w:hideMark/>
          </w:tcPr>
          <w:p w:rsidR="007C2227" w:rsidRPr="00B75B77" w:rsidRDefault="007C2227" w:rsidP="00EB5298">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Increases in Costs of Natural Gas (or Other Fuels) for Fuel-Switching Programs</w:t>
            </w:r>
          </w:p>
        </w:tc>
        <w:tc>
          <w:tcPr>
            <w:tcW w:w="1170" w:type="dxa"/>
            <w:tcBorders>
              <w:top w:val="nil"/>
              <w:left w:val="nil"/>
              <w:bottom w:val="single" w:sz="4" w:space="0" w:color="448A99"/>
              <w:right w:val="single" w:sz="4" w:space="0" w:color="448A99"/>
            </w:tcBorders>
            <w:shd w:val="clear" w:color="auto" w:fill="auto"/>
            <w:vAlign w:val="center"/>
            <w:hideMark/>
          </w:tcPr>
          <w:p w:rsidR="007C2227" w:rsidRPr="00B75B77" w:rsidRDefault="007C2227" w:rsidP="00EB529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50" w:type="dxa"/>
            <w:tcBorders>
              <w:top w:val="nil"/>
              <w:left w:val="nil"/>
              <w:bottom w:val="single" w:sz="4" w:space="0" w:color="448A99"/>
              <w:right w:val="single" w:sz="4" w:space="0" w:color="448A99"/>
            </w:tcBorders>
            <w:shd w:val="clear" w:color="auto" w:fill="auto"/>
            <w:vAlign w:val="center"/>
            <w:hideMark/>
          </w:tcPr>
          <w:p w:rsidR="007C2227" w:rsidRPr="00B75B77" w:rsidRDefault="007C2227" w:rsidP="00EB529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2E73D2" w:rsidRPr="00B75B77" w:rsidTr="005E4455">
        <w:trPr>
          <w:trHeight w:val="115"/>
        </w:trPr>
        <w:tc>
          <w:tcPr>
            <w:tcW w:w="9805" w:type="dxa"/>
            <w:gridSpan w:val="4"/>
            <w:tcBorders>
              <w:top w:val="nil"/>
              <w:left w:val="single" w:sz="4" w:space="0" w:color="448A99"/>
              <w:bottom w:val="single" w:sz="4" w:space="0" w:color="448A99"/>
              <w:right w:val="single" w:sz="4" w:space="0" w:color="448A99"/>
            </w:tcBorders>
            <w:shd w:val="clear" w:color="auto" w:fill="AEAAAA"/>
            <w:noWrap/>
            <w:vAlign w:val="center"/>
            <w:hideMark/>
          </w:tcPr>
          <w:p w:rsidR="002E73D2" w:rsidRPr="00B75B77" w:rsidRDefault="002E73D2" w:rsidP="002E73D2">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w:t>
            </w:r>
          </w:p>
        </w:tc>
      </w:tr>
      <w:tr w:rsidR="007C2227" w:rsidRPr="00B75B77" w:rsidTr="005E4455">
        <w:trPr>
          <w:trHeight w:val="288"/>
        </w:trPr>
        <w:tc>
          <w:tcPr>
            <w:tcW w:w="895" w:type="dxa"/>
            <w:tcBorders>
              <w:top w:val="nil"/>
              <w:left w:val="single" w:sz="4" w:space="0" w:color="448A99"/>
              <w:bottom w:val="single" w:sz="4" w:space="0" w:color="448A99"/>
              <w:right w:val="single" w:sz="4" w:space="0" w:color="448A99"/>
            </w:tcBorders>
            <w:shd w:val="clear" w:color="000000" w:fill="D2EAF1"/>
            <w:noWrap/>
            <w:vAlign w:val="center"/>
            <w:hideMark/>
          </w:tcPr>
          <w:p w:rsidR="007C2227" w:rsidRPr="00B75B77" w:rsidRDefault="007C2227" w:rsidP="00EB5298">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12</w:t>
            </w:r>
          </w:p>
        </w:tc>
        <w:tc>
          <w:tcPr>
            <w:tcW w:w="6390" w:type="dxa"/>
            <w:tcBorders>
              <w:top w:val="nil"/>
              <w:left w:val="nil"/>
              <w:bottom w:val="single" w:sz="4" w:space="0" w:color="448A99"/>
              <w:right w:val="single" w:sz="4" w:space="0" w:color="448A99"/>
            </w:tcBorders>
            <w:shd w:val="clear" w:color="000000" w:fill="D2EAF1"/>
            <w:noWrap/>
            <w:vAlign w:val="center"/>
            <w:hideMark/>
          </w:tcPr>
          <w:p w:rsidR="007C2227" w:rsidRPr="00B75B77" w:rsidRDefault="007C2227" w:rsidP="00EB5298">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Total TRC Costs</w:t>
            </w:r>
            <w:r w:rsidRPr="00B75B77">
              <w:rPr>
                <w:rFonts w:ascii="Calibri" w:eastAsia="Times New Roman" w:hAnsi="Calibri"/>
                <w:color w:val="000000"/>
                <w:sz w:val="18"/>
                <w:szCs w:val="18"/>
                <w:vertAlign w:val="superscript"/>
              </w:rPr>
              <w:t>[5]</w:t>
            </w:r>
          </w:p>
        </w:tc>
        <w:tc>
          <w:tcPr>
            <w:tcW w:w="1170"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EB529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6,</w:t>
            </w:r>
            <w:r w:rsidR="00037CF1" w:rsidRPr="00B75B77">
              <w:rPr>
                <w:rFonts w:ascii="Calibri" w:eastAsia="Times New Roman" w:hAnsi="Calibri"/>
                <w:color w:val="000000"/>
                <w:sz w:val="18"/>
                <w:szCs w:val="18"/>
              </w:rPr>
              <w:t>754</w:t>
            </w:r>
          </w:p>
        </w:tc>
        <w:tc>
          <w:tcPr>
            <w:tcW w:w="1350"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EB529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20,</w:t>
            </w:r>
            <w:r w:rsidR="00037CF1" w:rsidRPr="00B75B77">
              <w:rPr>
                <w:rFonts w:ascii="Calibri" w:eastAsia="Times New Roman" w:hAnsi="Calibri"/>
                <w:color w:val="000000"/>
                <w:sz w:val="18"/>
                <w:szCs w:val="18"/>
              </w:rPr>
              <w:t>598</w:t>
            </w:r>
          </w:p>
        </w:tc>
      </w:tr>
      <w:tr w:rsidR="007C2227" w:rsidRPr="00B75B77" w:rsidTr="005E4455">
        <w:trPr>
          <w:trHeight w:val="288"/>
        </w:trPr>
        <w:tc>
          <w:tcPr>
            <w:tcW w:w="895" w:type="dxa"/>
            <w:tcBorders>
              <w:top w:val="nil"/>
              <w:left w:val="single" w:sz="4" w:space="0" w:color="448A99"/>
              <w:bottom w:val="single" w:sz="4" w:space="0" w:color="448A99"/>
              <w:right w:val="single" w:sz="4" w:space="0" w:color="448A99"/>
            </w:tcBorders>
            <w:shd w:val="clear" w:color="auto" w:fill="auto"/>
            <w:noWrap/>
            <w:vAlign w:val="center"/>
            <w:hideMark/>
          </w:tcPr>
          <w:p w:rsidR="007C2227" w:rsidRPr="00B75B77" w:rsidRDefault="007C2227" w:rsidP="00EB5298">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13</w:t>
            </w:r>
          </w:p>
        </w:tc>
        <w:tc>
          <w:tcPr>
            <w:tcW w:w="6390" w:type="dxa"/>
            <w:tcBorders>
              <w:top w:val="nil"/>
              <w:left w:val="nil"/>
              <w:bottom w:val="single" w:sz="4" w:space="0" w:color="448A99"/>
              <w:right w:val="single" w:sz="4" w:space="0" w:color="448A99"/>
            </w:tcBorders>
            <w:shd w:val="clear" w:color="auto" w:fill="auto"/>
            <w:noWrap/>
            <w:vAlign w:val="center"/>
            <w:hideMark/>
          </w:tcPr>
          <w:p w:rsidR="007C2227" w:rsidRPr="00B75B77" w:rsidRDefault="007C2227" w:rsidP="00EB5298">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Total NPV Lifetime Energy Benefits</w:t>
            </w:r>
          </w:p>
        </w:tc>
        <w:tc>
          <w:tcPr>
            <w:tcW w:w="1170" w:type="dxa"/>
            <w:tcBorders>
              <w:top w:val="nil"/>
              <w:left w:val="nil"/>
              <w:bottom w:val="single" w:sz="4" w:space="0" w:color="448A99"/>
              <w:right w:val="single" w:sz="4" w:space="0" w:color="448A99"/>
            </w:tcBorders>
            <w:shd w:val="clear" w:color="auto" w:fill="auto"/>
            <w:vAlign w:val="center"/>
            <w:hideMark/>
          </w:tcPr>
          <w:p w:rsidR="007C2227" w:rsidRPr="00B75B77" w:rsidRDefault="00037CF1" w:rsidP="00EB529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15,673</w:t>
            </w:r>
          </w:p>
        </w:tc>
        <w:tc>
          <w:tcPr>
            <w:tcW w:w="1350" w:type="dxa"/>
            <w:tcBorders>
              <w:top w:val="nil"/>
              <w:left w:val="nil"/>
              <w:bottom w:val="single" w:sz="4" w:space="0" w:color="448A99"/>
              <w:right w:val="single" w:sz="4" w:space="0" w:color="448A99"/>
            </w:tcBorders>
            <w:shd w:val="clear" w:color="auto" w:fill="auto"/>
            <w:vAlign w:val="center"/>
            <w:hideMark/>
          </w:tcPr>
          <w:p w:rsidR="007C2227" w:rsidRPr="00B75B77" w:rsidRDefault="00037CF1" w:rsidP="00EB529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46,015</w:t>
            </w:r>
          </w:p>
        </w:tc>
      </w:tr>
      <w:tr w:rsidR="007C2227" w:rsidRPr="00B75B77" w:rsidTr="005E4455">
        <w:trPr>
          <w:trHeight w:val="288"/>
        </w:trPr>
        <w:tc>
          <w:tcPr>
            <w:tcW w:w="895" w:type="dxa"/>
            <w:tcBorders>
              <w:top w:val="nil"/>
              <w:left w:val="single" w:sz="4" w:space="0" w:color="448A99"/>
              <w:bottom w:val="single" w:sz="4" w:space="0" w:color="448A99"/>
              <w:right w:val="single" w:sz="4" w:space="0" w:color="448A99"/>
            </w:tcBorders>
            <w:shd w:val="clear" w:color="000000" w:fill="D2EAF1"/>
            <w:noWrap/>
            <w:vAlign w:val="center"/>
            <w:hideMark/>
          </w:tcPr>
          <w:p w:rsidR="007C2227" w:rsidRPr="00B75B77" w:rsidRDefault="007C2227" w:rsidP="00EB5298">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14</w:t>
            </w:r>
          </w:p>
        </w:tc>
        <w:tc>
          <w:tcPr>
            <w:tcW w:w="6390" w:type="dxa"/>
            <w:tcBorders>
              <w:top w:val="nil"/>
              <w:left w:val="nil"/>
              <w:bottom w:val="single" w:sz="4" w:space="0" w:color="448A99"/>
              <w:right w:val="single" w:sz="4" w:space="0" w:color="448A99"/>
            </w:tcBorders>
            <w:shd w:val="clear" w:color="000000" w:fill="D2EAF1"/>
            <w:noWrap/>
            <w:vAlign w:val="center"/>
            <w:hideMark/>
          </w:tcPr>
          <w:p w:rsidR="007C2227" w:rsidRPr="00B75B77" w:rsidRDefault="007C2227" w:rsidP="00EB5298">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Total NPV Lifetime Capacity Benefits</w:t>
            </w:r>
          </w:p>
        </w:tc>
        <w:tc>
          <w:tcPr>
            <w:tcW w:w="1170"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EB529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2,</w:t>
            </w:r>
            <w:r w:rsidR="00037CF1" w:rsidRPr="00B75B77">
              <w:rPr>
                <w:rFonts w:ascii="Calibri" w:eastAsia="Times New Roman" w:hAnsi="Calibri"/>
                <w:color w:val="000000"/>
                <w:sz w:val="18"/>
                <w:szCs w:val="18"/>
              </w:rPr>
              <w:t>714</w:t>
            </w:r>
          </w:p>
        </w:tc>
        <w:tc>
          <w:tcPr>
            <w:tcW w:w="1350" w:type="dxa"/>
            <w:tcBorders>
              <w:top w:val="nil"/>
              <w:left w:val="nil"/>
              <w:bottom w:val="single" w:sz="4" w:space="0" w:color="448A99"/>
              <w:right w:val="single" w:sz="4" w:space="0" w:color="448A99"/>
            </w:tcBorders>
            <w:shd w:val="clear" w:color="000000" w:fill="D2EAF1"/>
            <w:vAlign w:val="center"/>
            <w:hideMark/>
          </w:tcPr>
          <w:p w:rsidR="007C2227" w:rsidRPr="00B75B77" w:rsidRDefault="00037CF1" w:rsidP="00EB529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11,301</w:t>
            </w:r>
          </w:p>
        </w:tc>
      </w:tr>
      <w:tr w:rsidR="007C2227" w:rsidRPr="00B75B77" w:rsidTr="005E4455">
        <w:trPr>
          <w:trHeight w:val="288"/>
        </w:trPr>
        <w:tc>
          <w:tcPr>
            <w:tcW w:w="895" w:type="dxa"/>
            <w:tcBorders>
              <w:top w:val="nil"/>
              <w:left w:val="single" w:sz="4" w:space="0" w:color="448A99"/>
              <w:bottom w:val="single" w:sz="4" w:space="0" w:color="448A99"/>
              <w:right w:val="single" w:sz="4" w:space="0" w:color="448A99"/>
            </w:tcBorders>
            <w:shd w:val="clear" w:color="auto" w:fill="auto"/>
            <w:noWrap/>
            <w:vAlign w:val="center"/>
            <w:hideMark/>
          </w:tcPr>
          <w:p w:rsidR="007C2227" w:rsidRPr="00B75B77" w:rsidRDefault="007C2227" w:rsidP="00EB5298">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15</w:t>
            </w:r>
          </w:p>
        </w:tc>
        <w:tc>
          <w:tcPr>
            <w:tcW w:w="6390" w:type="dxa"/>
            <w:tcBorders>
              <w:top w:val="nil"/>
              <w:left w:val="nil"/>
              <w:bottom w:val="single" w:sz="4" w:space="0" w:color="448A99"/>
              <w:right w:val="single" w:sz="4" w:space="0" w:color="448A99"/>
            </w:tcBorders>
            <w:shd w:val="clear" w:color="auto" w:fill="auto"/>
            <w:noWrap/>
            <w:vAlign w:val="center"/>
            <w:hideMark/>
          </w:tcPr>
          <w:p w:rsidR="007C2227" w:rsidRPr="00B75B77" w:rsidRDefault="007C2227" w:rsidP="00EB5298">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Total NPV TRC Benefits</w:t>
            </w:r>
            <w:r w:rsidRPr="00B75B77">
              <w:rPr>
                <w:rFonts w:ascii="Calibri" w:eastAsia="Times New Roman" w:hAnsi="Calibri"/>
                <w:color w:val="000000"/>
                <w:sz w:val="18"/>
                <w:szCs w:val="18"/>
                <w:vertAlign w:val="superscript"/>
              </w:rPr>
              <w:t>[6]</w:t>
            </w:r>
          </w:p>
        </w:tc>
        <w:tc>
          <w:tcPr>
            <w:tcW w:w="1170" w:type="dxa"/>
            <w:tcBorders>
              <w:top w:val="nil"/>
              <w:left w:val="nil"/>
              <w:bottom w:val="single" w:sz="4" w:space="0" w:color="448A99"/>
              <w:right w:val="single" w:sz="4" w:space="0" w:color="448A99"/>
            </w:tcBorders>
            <w:shd w:val="clear" w:color="auto" w:fill="auto"/>
            <w:vAlign w:val="center"/>
            <w:hideMark/>
          </w:tcPr>
          <w:p w:rsidR="007C2227" w:rsidRPr="00B75B77" w:rsidRDefault="00037CF1" w:rsidP="00EB529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18,387</w:t>
            </w:r>
          </w:p>
        </w:tc>
        <w:tc>
          <w:tcPr>
            <w:tcW w:w="1350" w:type="dxa"/>
            <w:tcBorders>
              <w:top w:val="nil"/>
              <w:left w:val="nil"/>
              <w:bottom w:val="single" w:sz="4" w:space="0" w:color="448A99"/>
              <w:right w:val="single" w:sz="4" w:space="0" w:color="448A99"/>
            </w:tcBorders>
            <w:shd w:val="clear" w:color="auto" w:fill="auto"/>
            <w:vAlign w:val="center"/>
            <w:hideMark/>
          </w:tcPr>
          <w:p w:rsidR="007C2227" w:rsidRPr="00B75B77" w:rsidRDefault="00037CF1" w:rsidP="00EB529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57,316</w:t>
            </w:r>
          </w:p>
        </w:tc>
      </w:tr>
      <w:tr w:rsidR="002E73D2" w:rsidRPr="00B75B77" w:rsidTr="005E4455">
        <w:trPr>
          <w:trHeight w:val="115"/>
        </w:trPr>
        <w:tc>
          <w:tcPr>
            <w:tcW w:w="9805" w:type="dxa"/>
            <w:gridSpan w:val="4"/>
            <w:tcBorders>
              <w:top w:val="nil"/>
              <w:left w:val="single" w:sz="4" w:space="0" w:color="448A99"/>
              <w:bottom w:val="single" w:sz="4" w:space="0" w:color="448A99"/>
              <w:right w:val="single" w:sz="4" w:space="0" w:color="448A99"/>
            </w:tcBorders>
            <w:shd w:val="clear" w:color="auto" w:fill="AEAAAA"/>
            <w:noWrap/>
            <w:vAlign w:val="center"/>
            <w:hideMark/>
          </w:tcPr>
          <w:p w:rsidR="002E73D2" w:rsidRPr="00B75B77" w:rsidRDefault="002E73D2" w:rsidP="002E73D2">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w:t>
            </w:r>
          </w:p>
        </w:tc>
      </w:tr>
      <w:tr w:rsidR="007C2227" w:rsidRPr="00B75B77" w:rsidTr="005E4455">
        <w:trPr>
          <w:trHeight w:val="288"/>
        </w:trPr>
        <w:tc>
          <w:tcPr>
            <w:tcW w:w="895" w:type="dxa"/>
            <w:tcBorders>
              <w:top w:val="nil"/>
              <w:left w:val="single" w:sz="4" w:space="0" w:color="448A99"/>
              <w:bottom w:val="single" w:sz="4" w:space="0" w:color="448A99"/>
              <w:right w:val="single" w:sz="4" w:space="0" w:color="448A99"/>
            </w:tcBorders>
            <w:shd w:val="clear" w:color="000000" w:fill="D2EAF1"/>
            <w:noWrap/>
            <w:vAlign w:val="center"/>
            <w:hideMark/>
          </w:tcPr>
          <w:p w:rsidR="007C2227" w:rsidRPr="00B75B77" w:rsidRDefault="007C2227" w:rsidP="00EB5298">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16</w:t>
            </w:r>
          </w:p>
        </w:tc>
        <w:tc>
          <w:tcPr>
            <w:tcW w:w="6390" w:type="dxa"/>
            <w:tcBorders>
              <w:top w:val="nil"/>
              <w:left w:val="nil"/>
              <w:bottom w:val="single" w:sz="4" w:space="0" w:color="448A99"/>
              <w:right w:val="single" w:sz="4" w:space="0" w:color="448A99"/>
            </w:tcBorders>
            <w:shd w:val="clear" w:color="000000" w:fill="D2EAF1"/>
            <w:noWrap/>
            <w:vAlign w:val="center"/>
            <w:hideMark/>
          </w:tcPr>
          <w:p w:rsidR="007C2227" w:rsidRPr="00B75B77" w:rsidRDefault="007C2227" w:rsidP="00EB5298">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TRC Benefit-Cost Ratio</w:t>
            </w:r>
          </w:p>
        </w:tc>
        <w:tc>
          <w:tcPr>
            <w:tcW w:w="1170" w:type="dxa"/>
            <w:tcBorders>
              <w:top w:val="nil"/>
              <w:left w:val="nil"/>
              <w:bottom w:val="single" w:sz="4" w:space="0" w:color="448A99"/>
              <w:right w:val="single" w:sz="4" w:space="0" w:color="448A99"/>
            </w:tcBorders>
            <w:shd w:val="clear" w:color="000000" w:fill="D2EAF1"/>
            <w:vAlign w:val="center"/>
            <w:hideMark/>
          </w:tcPr>
          <w:p w:rsidR="007C2227" w:rsidRPr="00B75B77" w:rsidRDefault="00037CF1" w:rsidP="00EB529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2.72</w:t>
            </w:r>
          </w:p>
        </w:tc>
        <w:tc>
          <w:tcPr>
            <w:tcW w:w="1350"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EB5298">
            <w:pPr>
              <w:keepNext/>
              <w:jc w:val="right"/>
              <w:rPr>
                <w:rFonts w:ascii="Calibri" w:eastAsia="Times New Roman" w:hAnsi="Calibri"/>
                <w:color w:val="000000"/>
                <w:sz w:val="18"/>
                <w:szCs w:val="18"/>
              </w:rPr>
            </w:pPr>
            <w:r w:rsidRPr="00B75B77">
              <w:rPr>
                <w:rFonts w:ascii="Calibri" w:eastAsia="Times New Roman" w:hAnsi="Calibri"/>
                <w:color w:val="000000"/>
                <w:sz w:val="18"/>
                <w:szCs w:val="18"/>
              </w:rPr>
              <w:t>2.</w:t>
            </w:r>
            <w:r w:rsidR="00037CF1" w:rsidRPr="00B75B77">
              <w:rPr>
                <w:rFonts w:ascii="Calibri" w:eastAsia="Times New Roman" w:hAnsi="Calibri"/>
                <w:color w:val="000000"/>
                <w:sz w:val="18"/>
                <w:szCs w:val="18"/>
              </w:rPr>
              <w:t>78</w:t>
            </w:r>
          </w:p>
        </w:tc>
      </w:tr>
      <w:tr w:rsidR="007C2227" w:rsidRPr="00B75B77" w:rsidTr="005E4455">
        <w:trPr>
          <w:trHeight w:val="3408"/>
        </w:trPr>
        <w:tc>
          <w:tcPr>
            <w:tcW w:w="9805" w:type="dxa"/>
            <w:gridSpan w:val="4"/>
            <w:tcBorders>
              <w:top w:val="single" w:sz="4" w:space="0" w:color="448A99"/>
              <w:left w:val="single" w:sz="4" w:space="0" w:color="448A99"/>
              <w:bottom w:val="single" w:sz="4" w:space="0" w:color="448A99"/>
              <w:right w:val="single" w:sz="4" w:space="0" w:color="448A99"/>
            </w:tcBorders>
            <w:shd w:val="clear" w:color="auto" w:fill="auto"/>
            <w:hideMark/>
          </w:tcPr>
          <w:p w:rsidR="007C2227" w:rsidRPr="00B75B77" w:rsidRDefault="007C2227" w:rsidP="00EB5298">
            <w:pPr>
              <w:keepNext/>
              <w:jc w:val="left"/>
              <w:rPr>
                <w:rFonts w:ascii="Calibri" w:eastAsia="Times New Roman" w:hAnsi="Calibri"/>
                <w:color w:val="000000"/>
                <w:sz w:val="18"/>
                <w:szCs w:val="18"/>
              </w:rPr>
            </w:pPr>
            <w:r w:rsidRPr="00B75B77">
              <w:rPr>
                <w:rFonts w:ascii="Calibri" w:eastAsia="Times New Roman" w:hAnsi="Calibri"/>
                <w:iCs/>
                <w:color w:val="000000"/>
                <w:sz w:val="18"/>
                <w:szCs w:val="18"/>
              </w:rPr>
              <w:t>Per PUC direction, TRC inputs and calculations are required in the Annual Report only and should comply with the 2013 Total Resource Cost Test Order. Please see the “Report Definitions” section of this report for more details.</w:t>
            </w:r>
            <w:r w:rsidRPr="00B75B77">
              <w:rPr>
                <w:rFonts w:ascii="Calibri" w:eastAsia="Times New Roman" w:hAnsi="Calibri"/>
                <w:color w:val="000000"/>
                <w:sz w:val="18"/>
                <w:szCs w:val="18"/>
              </w:rPr>
              <w:br/>
            </w:r>
            <w:r w:rsidRPr="00B75B77">
              <w:rPr>
                <w:rFonts w:ascii="Calibri" w:eastAsia="Times New Roman" w:hAnsi="Calibri"/>
                <w:color w:val="000000"/>
                <w:sz w:val="18"/>
                <w:szCs w:val="18"/>
              </w:rPr>
              <w:br/>
            </w:r>
            <w:r w:rsidRPr="00B75B77">
              <w:rPr>
                <w:rFonts w:ascii="Calibri" w:eastAsia="Times New Roman" w:hAnsi="Calibri"/>
                <w:color w:val="000000"/>
                <w:sz w:val="18"/>
                <w:szCs w:val="18"/>
                <w:vertAlign w:val="superscript"/>
              </w:rPr>
              <w:t>[1]</w:t>
            </w:r>
            <w:r w:rsidRPr="00B75B77">
              <w:rPr>
                <w:rFonts w:ascii="Calibri" w:eastAsia="Times New Roman" w:hAnsi="Calibri"/>
                <w:color w:val="000000"/>
                <w:sz w:val="18"/>
                <w:szCs w:val="18"/>
              </w:rPr>
              <w:t xml:space="preserve"> Includes rebate processing, tracking system, general administration, EDC and CSP program management, general management</w:t>
            </w:r>
            <w:r w:rsidR="00EB5298" w:rsidRPr="00B75B77">
              <w:rPr>
                <w:rFonts w:ascii="Calibri" w:eastAsia="Times New Roman" w:hAnsi="Calibri"/>
                <w:color w:val="000000"/>
                <w:sz w:val="18"/>
                <w:szCs w:val="18"/>
              </w:rPr>
              <w:t>,</w:t>
            </w:r>
            <w:r w:rsidRPr="00B75B77">
              <w:rPr>
                <w:rFonts w:ascii="Calibri" w:eastAsia="Times New Roman" w:hAnsi="Calibri"/>
                <w:color w:val="000000"/>
                <w:sz w:val="18"/>
                <w:szCs w:val="18"/>
              </w:rPr>
              <w:t xml:space="preserve"> and legal and technical assistance. </w:t>
            </w:r>
            <w:r w:rsidRPr="00B75B77">
              <w:rPr>
                <w:rFonts w:ascii="Calibri" w:eastAsia="Times New Roman" w:hAnsi="Calibri"/>
                <w:color w:val="000000"/>
                <w:sz w:val="18"/>
                <w:szCs w:val="18"/>
              </w:rPr>
              <w:br/>
            </w:r>
            <w:r w:rsidRPr="00B75B77">
              <w:rPr>
                <w:rFonts w:ascii="Calibri" w:eastAsia="Times New Roman" w:hAnsi="Calibri"/>
                <w:color w:val="000000"/>
                <w:sz w:val="18"/>
                <w:szCs w:val="18"/>
                <w:vertAlign w:val="superscript"/>
              </w:rPr>
              <w:t xml:space="preserve">[2] </w:t>
            </w:r>
            <w:r w:rsidRPr="00B75B77">
              <w:rPr>
                <w:rFonts w:ascii="Calibri" w:eastAsia="Times New Roman" w:hAnsi="Calibri"/>
                <w:color w:val="000000"/>
                <w:sz w:val="18"/>
                <w:szCs w:val="18"/>
              </w:rPr>
              <w:t xml:space="preserve">Includes the marketing CSP and marketing costs by program CSPs. </w:t>
            </w:r>
            <w:r w:rsidRPr="00B75B77">
              <w:rPr>
                <w:rFonts w:ascii="Calibri" w:eastAsia="Times New Roman" w:hAnsi="Calibri"/>
                <w:color w:val="000000"/>
                <w:sz w:val="18"/>
                <w:szCs w:val="18"/>
              </w:rPr>
              <w:br/>
            </w:r>
            <w:r w:rsidRPr="00B75B77">
              <w:rPr>
                <w:rFonts w:ascii="Calibri" w:eastAsia="Times New Roman" w:hAnsi="Calibri"/>
                <w:color w:val="000000"/>
                <w:sz w:val="18"/>
                <w:szCs w:val="18"/>
                <w:vertAlign w:val="superscript"/>
              </w:rPr>
              <w:t>[3]</w:t>
            </w:r>
            <w:r w:rsidRPr="00B75B77">
              <w:rPr>
                <w:rFonts w:ascii="Calibri" w:eastAsia="Times New Roman" w:hAnsi="Calibri"/>
                <w:color w:val="000000"/>
                <w:sz w:val="18"/>
                <w:szCs w:val="18"/>
              </w:rPr>
              <w:t xml:space="preserve"> Total TRC Costs includes Total EDC Costs and Participant Costs.</w:t>
            </w:r>
            <w:r w:rsidRPr="00B75B77">
              <w:rPr>
                <w:rFonts w:ascii="Calibri" w:eastAsia="Times New Roman" w:hAnsi="Calibri"/>
                <w:color w:val="000000"/>
                <w:sz w:val="18"/>
                <w:szCs w:val="18"/>
              </w:rPr>
              <w:br/>
            </w:r>
            <w:r w:rsidRPr="00B75B77">
              <w:rPr>
                <w:rFonts w:ascii="Calibri" w:eastAsia="Times New Roman" w:hAnsi="Calibri"/>
                <w:color w:val="000000"/>
                <w:sz w:val="18"/>
                <w:szCs w:val="18"/>
                <w:vertAlign w:val="superscript"/>
              </w:rPr>
              <w:t>[4]</w:t>
            </w:r>
            <w:r w:rsidRPr="00B75B77">
              <w:rPr>
                <w:rFonts w:ascii="Calibri" w:eastAsia="Times New Roman" w:hAnsi="Calibri"/>
                <w:color w:val="000000"/>
                <w:sz w:val="18"/>
                <w:szCs w:val="18"/>
              </w:rPr>
              <w:t xml:space="preserve"> Total TRC Benefits equals the sum of Total Lifetime Energy Benefits and Total Lifetime Capacity Benefits</w:t>
            </w:r>
            <w:r w:rsidR="00EB5298" w:rsidRPr="00B75B77">
              <w:rPr>
                <w:rFonts w:ascii="Calibri" w:eastAsia="Times New Roman" w:hAnsi="Calibri"/>
                <w:color w:val="000000"/>
                <w:sz w:val="18"/>
                <w:szCs w:val="18"/>
              </w:rPr>
              <w:t xml:space="preserve"> b</w:t>
            </w:r>
            <w:r w:rsidRPr="00B75B77">
              <w:rPr>
                <w:rFonts w:ascii="Calibri" w:eastAsia="Times New Roman" w:hAnsi="Calibri"/>
                <w:color w:val="000000"/>
                <w:sz w:val="18"/>
                <w:szCs w:val="18"/>
              </w:rPr>
              <w:t xml:space="preserve">ased upon verified gross kWh and kW savings. Benefits include avoided supply costs, including the reduction in costs of electric energy, generation, transmission, and distribution capacity, and natural gas valued at marginal cost for periods when there is a load reduction. </w:t>
            </w:r>
            <w:r w:rsidR="002A15B8" w:rsidRPr="00B75B77">
              <w:rPr>
                <w:rFonts w:ascii="Calibri" w:eastAsia="Times New Roman" w:hAnsi="Calibri"/>
                <w:color w:val="000000"/>
                <w:sz w:val="18"/>
                <w:szCs w:val="18"/>
              </w:rPr>
              <w:br/>
              <w:t>Note</w:t>
            </w:r>
            <w:r w:rsidRPr="00B75B77">
              <w:rPr>
                <w:rFonts w:ascii="Calibri" w:eastAsia="Times New Roman" w:hAnsi="Calibri"/>
                <w:color w:val="000000"/>
                <w:sz w:val="18"/>
                <w:szCs w:val="18"/>
              </w:rPr>
              <w:t>: Savings carried over from Phase I are not to be included as a part of Total TRC Benefits for Phase II.</w:t>
            </w:r>
            <w:r w:rsidRPr="00B75B77">
              <w:rPr>
                <w:rFonts w:ascii="Calibri" w:eastAsia="Times New Roman" w:hAnsi="Calibri"/>
                <w:color w:val="000000"/>
                <w:sz w:val="18"/>
                <w:szCs w:val="18"/>
              </w:rPr>
              <w:br/>
            </w:r>
            <w:r w:rsidRPr="00B75B77">
              <w:rPr>
                <w:rFonts w:ascii="Calibri" w:eastAsia="Times New Roman" w:hAnsi="Calibri"/>
                <w:color w:val="000000"/>
                <w:sz w:val="18"/>
                <w:szCs w:val="18"/>
                <w:vertAlign w:val="superscript"/>
              </w:rPr>
              <w:t>[5]</w:t>
            </w:r>
            <w:r w:rsidRPr="00B75B77">
              <w:rPr>
                <w:rFonts w:ascii="Calibri" w:eastAsia="Times New Roman" w:hAnsi="Calibri"/>
                <w:color w:val="000000"/>
                <w:sz w:val="18"/>
                <w:szCs w:val="18"/>
              </w:rPr>
              <w:t xml:space="preserve"> TRC Ratio equals Total NPV TRC Benefits divided by Total NPV TRC Costs.</w:t>
            </w:r>
            <w:r w:rsidRPr="00B75B77">
              <w:rPr>
                <w:rFonts w:ascii="Calibri" w:eastAsia="Times New Roman" w:hAnsi="Calibri"/>
                <w:color w:val="000000"/>
                <w:sz w:val="18"/>
                <w:szCs w:val="18"/>
              </w:rPr>
              <w:br/>
            </w:r>
            <w:r w:rsidRPr="00B75B77">
              <w:rPr>
                <w:rFonts w:ascii="Calibri" w:eastAsia="Times New Roman" w:hAnsi="Calibri"/>
                <w:color w:val="000000"/>
                <w:sz w:val="18"/>
                <w:szCs w:val="18"/>
              </w:rPr>
              <w:br/>
            </w:r>
            <w:r w:rsidRPr="00B75B77">
              <w:rPr>
                <w:rFonts w:ascii="Calibri" w:eastAsia="Times New Roman" w:hAnsi="Calibri"/>
                <w:iCs/>
                <w:color w:val="000000"/>
                <w:sz w:val="18"/>
                <w:szCs w:val="18"/>
              </w:rPr>
              <w:t xml:space="preserve">Values in tables may not reconcile </w:t>
            </w:r>
            <w:r w:rsidR="005F0C40" w:rsidRPr="00B75B77">
              <w:rPr>
                <w:rFonts w:ascii="Calibri" w:eastAsia="Times New Roman" w:hAnsi="Calibri"/>
                <w:iCs/>
                <w:color w:val="000000"/>
                <w:sz w:val="18"/>
                <w:szCs w:val="18"/>
              </w:rPr>
              <w:t>exactly with the sum</w:t>
            </w:r>
            <w:r w:rsidRPr="00B75B77">
              <w:rPr>
                <w:rFonts w:ascii="Calibri" w:eastAsia="Times New Roman" w:hAnsi="Calibri"/>
                <w:iCs/>
                <w:color w:val="000000"/>
                <w:sz w:val="18"/>
                <w:szCs w:val="18"/>
              </w:rPr>
              <w:t xml:space="preserve"> of more detailed level results or previously reported results due to rounding.</w:t>
            </w:r>
          </w:p>
        </w:tc>
      </w:tr>
    </w:tbl>
    <w:p w:rsidR="007C2227" w:rsidRPr="00B75B77" w:rsidRDefault="007C2227" w:rsidP="00EB5298">
      <w:pPr>
        <w:pStyle w:val="Source"/>
        <w:keepNext/>
        <w:ind w:left="270" w:hanging="90"/>
      </w:pPr>
      <w:r w:rsidRPr="00B75B77">
        <w:t>Source: Navigant analysis</w:t>
      </w:r>
    </w:p>
    <w:p w:rsidR="007C2227" w:rsidRPr="00B75B77" w:rsidRDefault="007C2227" w:rsidP="005459F4"/>
    <w:p w:rsidR="007C2227" w:rsidRPr="00B75B77" w:rsidRDefault="007C2227"/>
    <w:p w:rsidR="006741AF" w:rsidRPr="00B75B77" w:rsidRDefault="006741AF">
      <w:pPr>
        <w:jc w:val="left"/>
      </w:pPr>
      <w:r w:rsidRPr="00B75B77">
        <w:br w:type="page"/>
      </w:r>
    </w:p>
    <w:p w:rsidR="007C2227" w:rsidRPr="00B75B77" w:rsidRDefault="007C2227" w:rsidP="005459F4">
      <w:pPr>
        <w:pStyle w:val="Heading1"/>
        <w:pageBreakBefore/>
        <w:ind w:left="432" w:hanging="432"/>
      </w:pPr>
      <w:bookmarkStart w:id="672" w:name="_Toc466413383"/>
      <w:r w:rsidRPr="00B75B77">
        <w:lastRenderedPageBreak/>
        <w:t>Smart AC Saver</w:t>
      </w:r>
      <w:r w:rsidR="00474215" w:rsidRPr="00B75B77">
        <w:t>:</w:t>
      </w:r>
      <w:r w:rsidRPr="00B75B77">
        <w:t xml:space="preserve"> Commercial</w:t>
      </w:r>
      <w:bookmarkEnd w:id="672"/>
      <w:r w:rsidRPr="00B75B77">
        <w:t xml:space="preserve"> </w:t>
      </w:r>
    </w:p>
    <w:p w:rsidR="007C2227" w:rsidRPr="00B75B77" w:rsidRDefault="007C2227" w:rsidP="005459F4">
      <w:r w:rsidRPr="00B75B77">
        <w:t>In the Smart AC Saver program, PECO remotely cycles or shuts down a customer’s CAC unit during times of peak demand. In return, participants receive financial incentives for allowing PECO to control their equipment. Conservation events are called during time periods that coincide with the highest peak demand.</w:t>
      </w:r>
    </w:p>
    <w:p w:rsidR="007C2227" w:rsidRPr="00B75B77" w:rsidRDefault="007C2227" w:rsidP="005459F4"/>
    <w:p w:rsidR="007C2227" w:rsidRPr="00B75B77" w:rsidRDefault="007C2227" w:rsidP="005459F4">
      <w:r w:rsidRPr="00B75B77">
        <w:t xml:space="preserve">A thermostat is installed to control </w:t>
      </w:r>
      <w:proofErr w:type="gramStart"/>
      <w:r w:rsidRPr="00B75B77">
        <w:t>a participating commercial customer CAC units</w:t>
      </w:r>
      <w:proofErr w:type="gramEnd"/>
      <w:r w:rsidRPr="00B75B77">
        <w:t>. Nearly all of these installations were completed in Phase I by the CSP. When activated by a control signal, the thermostat will not allow the equipment to operate for some predetermined portion of each hour. During a conservation event, the compressor is cycled off an</w:t>
      </w:r>
      <w:r w:rsidR="00EB5298" w:rsidRPr="00B75B77">
        <w:t>d</w:t>
      </w:r>
      <w:r w:rsidRPr="00B75B77">
        <w:t xml:space="preserve"> on</w:t>
      </w:r>
      <w:r w:rsidR="00C57012" w:rsidRPr="00B75B77">
        <w:t xml:space="preserve"> </w:t>
      </w:r>
      <w:r w:rsidRPr="00B75B77">
        <w:t xml:space="preserve">while the fan continues to operate. This allows cool air to be circulated throughout the building while the compressor is disabled. The operation of the thermostat is controlled through a digital paging network. CAC units are controlled for the </w:t>
      </w:r>
      <w:r w:rsidR="00C57012" w:rsidRPr="00B75B77">
        <w:t xml:space="preserve">4 </w:t>
      </w:r>
      <w:r w:rsidRPr="00B75B77">
        <w:t xml:space="preserve">months during </w:t>
      </w:r>
      <w:r w:rsidR="00C57012" w:rsidRPr="00B75B77">
        <w:t>the</w:t>
      </w:r>
      <w:r w:rsidRPr="00B75B77">
        <w:t xml:space="preserve"> summer (</w:t>
      </w:r>
      <w:r w:rsidR="00707B64" w:rsidRPr="00B75B77">
        <w:t xml:space="preserve">i.e., </w:t>
      </w:r>
      <w:r w:rsidRPr="00B75B77">
        <w:t>June through September).</w:t>
      </w:r>
    </w:p>
    <w:p w:rsidR="007C2227" w:rsidRPr="00B75B77" w:rsidRDefault="007C2227" w:rsidP="005459F4"/>
    <w:p w:rsidR="007C2227" w:rsidRPr="00B75B77" w:rsidRDefault="007C2227" w:rsidP="005459F4">
      <w:r w:rsidRPr="00B75B77">
        <w:t xml:space="preserve">PECO hired </w:t>
      </w:r>
      <w:proofErr w:type="spellStart"/>
      <w:r w:rsidRPr="00B75B77">
        <w:t>Comverge</w:t>
      </w:r>
      <w:proofErr w:type="spellEnd"/>
      <w:r w:rsidRPr="00B75B77">
        <w:t xml:space="preserve"> as its CSP to implement the AC Saver program, including calling events, program marketing, call center, and equipment maintenance. PECO also hired two energy management companies, </w:t>
      </w:r>
      <w:proofErr w:type="spellStart"/>
      <w:r w:rsidRPr="00B75B77">
        <w:t>EnergyConnect</w:t>
      </w:r>
      <w:proofErr w:type="spellEnd"/>
      <w:r w:rsidRPr="00B75B77">
        <w:t xml:space="preserve"> and </w:t>
      </w:r>
      <w:proofErr w:type="spellStart"/>
      <w:r w:rsidRPr="00B75B77">
        <w:t>CPower</w:t>
      </w:r>
      <w:proofErr w:type="spellEnd"/>
      <w:r w:rsidRPr="00B75B77">
        <w:t>, to enroll the DR load with PJM.</w:t>
      </w:r>
    </w:p>
    <w:p w:rsidR="007C2227" w:rsidRPr="00B75B77" w:rsidRDefault="007C2227" w:rsidP="005459F4"/>
    <w:p w:rsidR="007C2227" w:rsidRPr="00B75B77" w:rsidRDefault="007C2227" w:rsidP="005459F4">
      <w:r w:rsidRPr="00B75B77">
        <w:t>Participation in the Smart AC Saver program varies month to month based on participants dropping from the program for a variety of reasons, including customer moves, requests from customers to drop from the program, etc. During PY7, PECO maintained a list of customers seeking to join the program and when possible, backfilled with new customers as participants left the program. As of the end of PY7, PECO had 3,063 active thermostats representing 1,686 participating businesses.</w:t>
      </w:r>
    </w:p>
    <w:p w:rsidR="007C2227" w:rsidRPr="00B75B77" w:rsidRDefault="007C2227" w:rsidP="00286B52">
      <w:pPr>
        <w:rPr>
          <w:color w:val="FF0000"/>
        </w:rPr>
      </w:pPr>
    </w:p>
    <w:p w:rsidR="007C2227" w:rsidRPr="00B75B77" w:rsidRDefault="007C2227" w:rsidP="005459F4">
      <w:pPr>
        <w:pStyle w:val="Heading2"/>
      </w:pPr>
      <w:bookmarkStart w:id="673" w:name="_Toc466413384"/>
      <w:r w:rsidRPr="00B75B77">
        <w:t>Program Updates</w:t>
      </w:r>
      <w:bookmarkEnd w:id="673"/>
    </w:p>
    <w:p w:rsidR="007C2227" w:rsidRPr="00B75B77" w:rsidRDefault="007C2227" w:rsidP="005459F4">
      <w:r w:rsidRPr="00B75B77">
        <w:t xml:space="preserve">PECO designed the Phase II Smart AC Saver program to call conservation events for fewer hours than in Phase I. In PY7, PECO called two test events that totaled approximately </w:t>
      </w:r>
      <w:r w:rsidR="00C57012" w:rsidRPr="00B75B77">
        <w:t xml:space="preserve">3 </w:t>
      </w:r>
      <w:r w:rsidRPr="00B75B77">
        <w:t>hours. In PY7</w:t>
      </w:r>
      <w:r w:rsidR="00C57012" w:rsidRPr="00B75B77">
        <w:t>,</w:t>
      </w:r>
      <w:r w:rsidRPr="00B75B77">
        <w:t xml:space="preserve"> PECO sold its residential AC Saver load to its energy management companies, </w:t>
      </w:r>
      <w:proofErr w:type="spellStart"/>
      <w:r w:rsidRPr="00B75B77">
        <w:t>CPower</w:t>
      </w:r>
      <w:proofErr w:type="spellEnd"/>
      <w:r w:rsidRPr="00B75B77">
        <w:t xml:space="preserve"> and </w:t>
      </w:r>
      <w:proofErr w:type="spellStart"/>
      <w:r w:rsidRPr="00B75B77">
        <w:t>EnergyConnect</w:t>
      </w:r>
      <w:proofErr w:type="spellEnd"/>
      <w:r w:rsidRPr="00B75B77">
        <w:t xml:space="preserve">, to offset program costs. </w:t>
      </w:r>
    </w:p>
    <w:p w:rsidR="007C2227" w:rsidRPr="00B75B77" w:rsidRDefault="007C2227" w:rsidP="00286B52"/>
    <w:p w:rsidR="007C2227" w:rsidRPr="00B75B77" w:rsidRDefault="007C2227" w:rsidP="0045485C">
      <w:pPr>
        <w:pStyle w:val="Heading3"/>
      </w:pPr>
      <w:bookmarkStart w:id="674" w:name="_Toc466413385"/>
      <w:r w:rsidRPr="00B75B77">
        <w:t>Definition of Participant</w:t>
      </w:r>
      <w:bookmarkEnd w:id="674"/>
    </w:p>
    <w:p w:rsidR="007C2227" w:rsidRPr="00B75B77" w:rsidRDefault="007C2227" w:rsidP="005459F4">
      <w:r w:rsidRPr="00B75B77">
        <w:t xml:space="preserve">PECO defines participation for the Smart AC Saver program as a single address. One participant may have one or more control thermostats installed at that address. </w:t>
      </w:r>
    </w:p>
    <w:p w:rsidR="007C2227" w:rsidRPr="00B75B77" w:rsidRDefault="007C2227" w:rsidP="00286B52"/>
    <w:p w:rsidR="007C2227" w:rsidRPr="00B75B77" w:rsidRDefault="007C2227" w:rsidP="005459F4">
      <w:pPr>
        <w:pStyle w:val="Heading2"/>
      </w:pPr>
      <w:bookmarkStart w:id="675" w:name="_Toc466413386"/>
      <w:r w:rsidRPr="00B75B77">
        <w:t>Impact Evaluation Gross Savings</w:t>
      </w:r>
      <w:bookmarkEnd w:id="675"/>
      <w:r w:rsidRPr="00B75B77">
        <w:t xml:space="preserve"> </w:t>
      </w:r>
    </w:p>
    <w:p w:rsidR="007C2227" w:rsidRPr="00B75B77" w:rsidRDefault="007C2227" w:rsidP="00286B52">
      <w:r w:rsidRPr="00B75B77">
        <w:t xml:space="preserve">Because there are no peak demand reduction targets for the Phase II EE&amp;C programs, Navigant relied upon on the PJM registrations to provide the reported gross savings value for PY7 of 3.0 MW. Navigant utilized the per-switch savings established in the load study conducted by </w:t>
      </w:r>
      <w:proofErr w:type="spellStart"/>
      <w:r w:rsidRPr="00B75B77">
        <w:t>Comverge</w:t>
      </w:r>
      <w:proofErr w:type="spellEnd"/>
      <w:r w:rsidRPr="00B75B77">
        <w:t xml:space="preserve"> in PY5 and weather-adjusted the results for the PY7 test event days to verify the PY7 savings. The average program participation was 1,834 people. Each participant was paid $20 per </w:t>
      </w:r>
      <w:r w:rsidR="00707B64" w:rsidRPr="00B75B77">
        <w:t xml:space="preserve">central air conditioner </w:t>
      </w:r>
      <w:r w:rsidRPr="00B75B77">
        <w:t xml:space="preserve">per month for the </w:t>
      </w:r>
      <w:r w:rsidR="00C57012" w:rsidRPr="00B75B77">
        <w:t xml:space="preserve">4 </w:t>
      </w:r>
      <w:r w:rsidRPr="00B75B77">
        <w:t xml:space="preserve">summer months each year. Some participants have more than one air conditioner, though the </w:t>
      </w:r>
      <w:proofErr w:type="gramStart"/>
      <w:r w:rsidRPr="00B75B77">
        <w:t>majority have</w:t>
      </w:r>
      <w:proofErr w:type="gramEnd"/>
      <w:r w:rsidRPr="00B75B77">
        <w:t xml:space="preserve"> only one. </w:t>
      </w:r>
      <w:r w:rsidR="00EB5298" w:rsidRPr="00B75B77">
        <w:fldChar w:fldCharType="begin"/>
      </w:r>
      <w:r w:rsidR="00EB5298" w:rsidRPr="00B75B77">
        <w:instrText xml:space="preserve"> REF _Ref464226807 \h </w:instrText>
      </w:r>
      <w:r w:rsidR="00B75B77">
        <w:instrText xml:space="preserve"> \* MERGEFORMAT </w:instrText>
      </w:r>
      <w:r w:rsidR="00EB5298" w:rsidRPr="00B75B77">
        <w:fldChar w:fldCharType="separate"/>
      </w:r>
      <w:r w:rsidR="0004016D" w:rsidRPr="00B75B77">
        <w:t xml:space="preserve">Table </w:t>
      </w:r>
      <w:r w:rsidR="0004016D">
        <w:rPr>
          <w:noProof/>
        </w:rPr>
        <w:t>10</w:t>
      </w:r>
      <w:r w:rsidR="0004016D" w:rsidRPr="00B75B77">
        <w:rPr>
          <w:noProof/>
        </w:rPr>
        <w:noBreakHyphen/>
      </w:r>
      <w:r w:rsidR="0004016D">
        <w:rPr>
          <w:noProof/>
        </w:rPr>
        <w:t>1</w:t>
      </w:r>
      <w:r w:rsidR="00EB5298" w:rsidRPr="00B75B77">
        <w:fldChar w:fldCharType="end"/>
      </w:r>
      <w:r w:rsidR="00EB5298" w:rsidRPr="00B75B77">
        <w:t xml:space="preserve"> </w:t>
      </w:r>
      <w:r w:rsidRPr="00B75B77">
        <w:t xml:space="preserve">shows the total commercial Smart AC Saver results reported for Phase II. The incentives paid are a sum of all incentives over the </w:t>
      </w:r>
      <w:r w:rsidR="00EB5298" w:rsidRPr="00B75B77">
        <w:t>three</w:t>
      </w:r>
      <w:r w:rsidR="00707B64" w:rsidRPr="00B75B77">
        <w:t xml:space="preserve"> </w:t>
      </w:r>
      <w:r w:rsidRPr="00B75B77">
        <w:t xml:space="preserve">program years, while the remaining results are calculated using an average across the </w:t>
      </w:r>
      <w:r w:rsidR="00C57012" w:rsidRPr="00B75B77">
        <w:t xml:space="preserve">3 </w:t>
      </w:r>
      <w:r w:rsidRPr="00B75B77">
        <w:t>years.</w:t>
      </w:r>
    </w:p>
    <w:p w:rsidR="007C2227" w:rsidRPr="00B75B77" w:rsidRDefault="007C2227" w:rsidP="00286B52"/>
    <w:p w:rsidR="007C2227" w:rsidRPr="00B75B77" w:rsidRDefault="007C2227" w:rsidP="005459F4">
      <w:pPr>
        <w:pStyle w:val="Caption"/>
        <w:rPr>
          <w:rFonts w:eastAsia="Times New Roman"/>
          <w:i/>
          <w:szCs w:val="20"/>
        </w:rPr>
      </w:pPr>
      <w:bookmarkStart w:id="676" w:name="_Ref464226807"/>
      <w:bookmarkStart w:id="677" w:name="_Toc466413582"/>
      <w:r w:rsidRPr="00B75B77">
        <w:lastRenderedPageBreak/>
        <w:t xml:space="preserve">Table </w:t>
      </w:r>
      <w:fldSimple w:instr=" STYLEREF 1 \s ">
        <w:r w:rsidR="0004016D">
          <w:rPr>
            <w:noProof/>
          </w:rPr>
          <w:t>10</w:t>
        </w:r>
      </w:fldSimple>
      <w:r w:rsidR="00F1144C" w:rsidRPr="00B75B77">
        <w:noBreakHyphen/>
      </w:r>
      <w:fldSimple w:instr=" SEQ Table \* ARABIC \s 1 ">
        <w:r w:rsidR="0004016D">
          <w:rPr>
            <w:noProof/>
          </w:rPr>
          <w:t>1</w:t>
        </w:r>
      </w:fldSimple>
      <w:bookmarkEnd w:id="676"/>
      <w:r w:rsidRPr="00B75B77">
        <w:t>: Phase II Commercial Smart AC Saver Reported Results by Customer Sector</w:t>
      </w:r>
      <w:bookmarkEnd w:id="677"/>
    </w:p>
    <w:tbl>
      <w:tblPr>
        <w:tblW w:w="9355" w:type="dxa"/>
        <w:tblLook w:val="04A0" w:firstRow="1" w:lastRow="0" w:firstColumn="1" w:lastColumn="0" w:noHBand="0" w:noVBand="1"/>
      </w:tblPr>
      <w:tblGrid>
        <w:gridCol w:w="1705"/>
        <w:gridCol w:w="1108"/>
        <w:gridCol w:w="1412"/>
        <w:gridCol w:w="1710"/>
        <w:gridCol w:w="1170"/>
        <w:gridCol w:w="990"/>
        <w:gridCol w:w="1260"/>
      </w:tblGrid>
      <w:tr w:rsidR="007C2227" w:rsidRPr="00B75B77" w:rsidTr="00707B64">
        <w:trPr>
          <w:divId w:val="619148462"/>
          <w:trHeight w:val="288"/>
        </w:trPr>
        <w:tc>
          <w:tcPr>
            <w:tcW w:w="1705" w:type="dxa"/>
            <w:tcBorders>
              <w:top w:val="single" w:sz="4" w:space="0" w:color="auto"/>
              <w:left w:val="single" w:sz="4" w:space="0" w:color="auto"/>
              <w:bottom w:val="single" w:sz="4" w:space="0" w:color="auto"/>
              <w:right w:val="single" w:sz="4" w:space="0" w:color="auto"/>
            </w:tcBorders>
            <w:shd w:val="clear" w:color="000000" w:fill="448A99"/>
            <w:vAlign w:val="center"/>
            <w:hideMark/>
          </w:tcPr>
          <w:p w:rsidR="007C2227" w:rsidRPr="00B75B77" w:rsidRDefault="007C2227" w:rsidP="00EB5298">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Customer Sector</w:t>
            </w:r>
            <w:r w:rsidRPr="00B75B77">
              <w:rPr>
                <w:rFonts w:ascii="Calibri" w:eastAsia="Times New Roman" w:hAnsi="Calibri"/>
                <w:b/>
                <w:bCs/>
                <w:color w:val="FFFFFF"/>
                <w:sz w:val="18"/>
                <w:szCs w:val="18"/>
                <w:vertAlign w:val="superscript"/>
              </w:rPr>
              <w:t>[1]</w:t>
            </w:r>
          </w:p>
        </w:tc>
        <w:tc>
          <w:tcPr>
            <w:tcW w:w="1108" w:type="dxa"/>
            <w:tcBorders>
              <w:top w:val="single" w:sz="4" w:space="0" w:color="auto"/>
              <w:left w:val="nil"/>
              <w:bottom w:val="single" w:sz="4" w:space="0" w:color="auto"/>
              <w:right w:val="single" w:sz="4" w:space="0" w:color="auto"/>
            </w:tcBorders>
            <w:shd w:val="clear" w:color="000000" w:fill="448A99"/>
            <w:vAlign w:val="center"/>
            <w:hideMark/>
          </w:tcPr>
          <w:p w:rsidR="007C2227" w:rsidRPr="00B75B77" w:rsidRDefault="007C2227" w:rsidP="005459F4">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Participants</w:t>
            </w:r>
          </w:p>
        </w:tc>
        <w:tc>
          <w:tcPr>
            <w:tcW w:w="1412" w:type="dxa"/>
            <w:tcBorders>
              <w:top w:val="single" w:sz="4" w:space="0" w:color="auto"/>
              <w:left w:val="nil"/>
              <w:bottom w:val="single" w:sz="4" w:space="0" w:color="auto"/>
              <w:right w:val="single" w:sz="4" w:space="0" w:color="auto"/>
            </w:tcBorders>
            <w:shd w:val="clear" w:color="000000" w:fill="448A99"/>
            <w:vAlign w:val="center"/>
            <w:hideMark/>
          </w:tcPr>
          <w:p w:rsidR="007C2227" w:rsidRPr="00B75B77" w:rsidRDefault="007C2227" w:rsidP="005459F4">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Reported Gross Energy Savings (MWh)</w:t>
            </w:r>
          </w:p>
        </w:tc>
        <w:tc>
          <w:tcPr>
            <w:tcW w:w="1710" w:type="dxa"/>
            <w:tcBorders>
              <w:top w:val="single" w:sz="4" w:space="0" w:color="auto"/>
              <w:left w:val="nil"/>
              <w:bottom w:val="single" w:sz="4" w:space="0" w:color="auto"/>
              <w:right w:val="single" w:sz="4" w:space="0" w:color="auto"/>
            </w:tcBorders>
            <w:shd w:val="clear" w:color="000000" w:fill="448A99"/>
            <w:vAlign w:val="center"/>
            <w:hideMark/>
          </w:tcPr>
          <w:p w:rsidR="007C2227" w:rsidRPr="00B75B77" w:rsidRDefault="007C2227" w:rsidP="005459F4">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Reported Gross Demand Reduction (MW)</w:t>
            </w:r>
            <w:r w:rsidRPr="00B75B77">
              <w:rPr>
                <w:rFonts w:ascii="Calibri" w:eastAsia="Times New Roman" w:hAnsi="Calibri"/>
                <w:b/>
                <w:bCs/>
                <w:color w:val="FFFFFF"/>
                <w:sz w:val="18"/>
                <w:szCs w:val="18"/>
                <w:vertAlign w:val="superscript"/>
              </w:rPr>
              <w:t>[2]</w:t>
            </w:r>
          </w:p>
        </w:tc>
        <w:tc>
          <w:tcPr>
            <w:tcW w:w="1170" w:type="dxa"/>
            <w:tcBorders>
              <w:top w:val="single" w:sz="4" w:space="0" w:color="auto"/>
              <w:left w:val="nil"/>
              <w:bottom w:val="single" w:sz="4" w:space="0" w:color="auto"/>
              <w:right w:val="single" w:sz="4" w:space="0" w:color="auto"/>
            </w:tcBorders>
            <w:shd w:val="clear" w:color="000000" w:fill="448A99"/>
            <w:vAlign w:val="center"/>
            <w:hideMark/>
          </w:tcPr>
          <w:p w:rsidR="007C2227" w:rsidRPr="00B75B77" w:rsidRDefault="007C2227" w:rsidP="005459F4">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Verified Gross Energy Savings (MWh)</w:t>
            </w:r>
          </w:p>
        </w:tc>
        <w:tc>
          <w:tcPr>
            <w:tcW w:w="990" w:type="dxa"/>
            <w:tcBorders>
              <w:top w:val="single" w:sz="4" w:space="0" w:color="auto"/>
              <w:left w:val="nil"/>
              <w:bottom w:val="single" w:sz="4" w:space="0" w:color="auto"/>
              <w:right w:val="single" w:sz="4" w:space="0" w:color="auto"/>
            </w:tcBorders>
            <w:shd w:val="clear" w:color="000000" w:fill="448A99"/>
            <w:vAlign w:val="center"/>
            <w:hideMark/>
          </w:tcPr>
          <w:p w:rsidR="007C2227" w:rsidRPr="00B75B77" w:rsidRDefault="007C2227" w:rsidP="005459F4">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Verified Gross Demand Reduction (MW)</w:t>
            </w:r>
            <w:r w:rsidRPr="00B75B77">
              <w:rPr>
                <w:rFonts w:ascii="Calibri" w:eastAsia="Times New Roman" w:hAnsi="Calibri"/>
                <w:b/>
                <w:bCs/>
                <w:color w:val="FFFFFF"/>
                <w:sz w:val="18"/>
                <w:szCs w:val="18"/>
                <w:vertAlign w:val="superscript"/>
              </w:rPr>
              <w:t>[2]</w:t>
            </w:r>
          </w:p>
        </w:tc>
        <w:tc>
          <w:tcPr>
            <w:tcW w:w="1260" w:type="dxa"/>
            <w:tcBorders>
              <w:top w:val="single" w:sz="4" w:space="0" w:color="auto"/>
              <w:left w:val="nil"/>
              <w:bottom w:val="single" w:sz="4" w:space="0" w:color="auto"/>
              <w:right w:val="single" w:sz="4" w:space="0" w:color="auto"/>
            </w:tcBorders>
            <w:shd w:val="clear" w:color="000000" w:fill="448A99"/>
            <w:vAlign w:val="center"/>
            <w:hideMark/>
          </w:tcPr>
          <w:p w:rsidR="007C2227" w:rsidRPr="00B75B77" w:rsidRDefault="007C2227" w:rsidP="00EB529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Incentives Paid</w:t>
            </w:r>
            <w:r w:rsidRPr="00B75B77">
              <w:rPr>
                <w:rFonts w:ascii="Calibri" w:eastAsia="Times New Roman" w:hAnsi="Calibri"/>
                <w:b/>
                <w:bCs/>
                <w:color w:val="FFFFFF"/>
                <w:sz w:val="18"/>
                <w:szCs w:val="18"/>
              </w:rPr>
              <w:br/>
              <w:t>($1,000)</w:t>
            </w:r>
          </w:p>
        </w:tc>
      </w:tr>
      <w:tr w:rsidR="00442C8B" w:rsidRPr="00B75B77" w:rsidTr="00707B64">
        <w:trPr>
          <w:divId w:val="619148462"/>
          <w:trHeight w:val="288"/>
        </w:trPr>
        <w:tc>
          <w:tcPr>
            <w:tcW w:w="1705" w:type="dxa"/>
            <w:tcBorders>
              <w:top w:val="nil"/>
              <w:left w:val="single" w:sz="4" w:space="0" w:color="448A99"/>
              <w:bottom w:val="single" w:sz="4" w:space="0" w:color="448A99"/>
              <w:right w:val="single" w:sz="4" w:space="0" w:color="448A99"/>
            </w:tcBorders>
            <w:shd w:val="clear" w:color="000000" w:fill="D2EAF1"/>
            <w:vAlign w:val="center"/>
            <w:hideMark/>
          </w:tcPr>
          <w:p w:rsidR="00442C8B" w:rsidRPr="00B75B77" w:rsidRDefault="00442C8B" w:rsidP="00442C8B">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Residential (Non-Low-Income)</w:t>
            </w:r>
          </w:p>
        </w:tc>
        <w:tc>
          <w:tcPr>
            <w:tcW w:w="1108"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412"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710"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170"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990"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260"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442C8B" w:rsidRPr="00B75B77" w:rsidTr="00707B64">
        <w:trPr>
          <w:divId w:val="619148462"/>
          <w:trHeight w:val="288"/>
        </w:trPr>
        <w:tc>
          <w:tcPr>
            <w:tcW w:w="1705" w:type="dxa"/>
            <w:tcBorders>
              <w:top w:val="nil"/>
              <w:left w:val="single" w:sz="4" w:space="0" w:color="448A99"/>
              <w:bottom w:val="single" w:sz="4" w:space="0" w:color="448A99"/>
              <w:right w:val="single" w:sz="4" w:space="0" w:color="448A99"/>
            </w:tcBorders>
            <w:shd w:val="clear" w:color="000000" w:fill="FFFFFF"/>
            <w:vAlign w:val="center"/>
            <w:hideMark/>
          </w:tcPr>
          <w:p w:rsidR="00442C8B" w:rsidRPr="00B75B77" w:rsidRDefault="00442C8B" w:rsidP="00442C8B">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Residential (Low-Income)</w:t>
            </w:r>
          </w:p>
        </w:tc>
        <w:tc>
          <w:tcPr>
            <w:tcW w:w="1108"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412"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710"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170"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990"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260"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7C2227" w:rsidRPr="00B75B77" w:rsidTr="00707B64">
        <w:trPr>
          <w:divId w:val="619148462"/>
          <w:trHeight w:val="288"/>
        </w:trPr>
        <w:tc>
          <w:tcPr>
            <w:tcW w:w="1705" w:type="dxa"/>
            <w:tcBorders>
              <w:top w:val="nil"/>
              <w:left w:val="single" w:sz="4" w:space="0" w:color="448A99"/>
              <w:bottom w:val="single" w:sz="4" w:space="0" w:color="448A99"/>
              <w:right w:val="single" w:sz="4" w:space="0" w:color="448A99"/>
            </w:tcBorders>
            <w:shd w:val="clear" w:color="000000" w:fill="D2EAF1"/>
            <w:vAlign w:val="center"/>
            <w:hideMark/>
          </w:tcPr>
          <w:p w:rsidR="007C2227" w:rsidRPr="00B75B77" w:rsidRDefault="007C2227" w:rsidP="005459F4">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Small C</w:t>
            </w:r>
            <w:r w:rsidR="0054073E" w:rsidRPr="00B75B77">
              <w:rPr>
                <w:rFonts w:ascii="Calibri" w:eastAsia="Times New Roman" w:hAnsi="Calibri"/>
                <w:bCs/>
                <w:color w:val="000000"/>
                <w:sz w:val="18"/>
                <w:szCs w:val="18"/>
              </w:rPr>
              <w:t>&amp;I</w:t>
            </w:r>
          </w:p>
        </w:tc>
        <w:tc>
          <w:tcPr>
            <w:tcW w:w="1108"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1,834</w:t>
            </w:r>
          </w:p>
        </w:tc>
        <w:tc>
          <w:tcPr>
            <w:tcW w:w="1412"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710"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2.3</w:t>
            </w:r>
          </w:p>
        </w:tc>
        <w:tc>
          <w:tcPr>
            <w:tcW w:w="1170"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990"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1.5</w:t>
            </w:r>
          </w:p>
        </w:tc>
        <w:tc>
          <w:tcPr>
            <w:tcW w:w="1260"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EB5298">
            <w:pPr>
              <w:jc w:val="center"/>
              <w:rPr>
                <w:rFonts w:ascii="Calibri" w:eastAsia="Times New Roman" w:hAnsi="Calibri"/>
                <w:color w:val="000000"/>
                <w:sz w:val="18"/>
                <w:szCs w:val="18"/>
              </w:rPr>
            </w:pPr>
            <w:r w:rsidRPr="00B75B77">
              <w:rPr>
                <w:rFonts w:ascii="Calibri" w:eastAsia="Times New Roman" w:hAnsi="Calibri"/>
                <w:color w:val="000000"/>
                <w:sz w:val="18"/>
                <w:szCs w:val="18"/>
              </w:rPr>
              <w:t>$876</w:t>
            </w:r>
          </w:p>
        </w:tc>
      </w:tr>
      <w:tr w:rsidR="007C2227" w:rsidRPr="00B75B77" w:rsidTr="00707B64">
        <w:trPr>
          <w:divId w:val="619148462"/>
          <w:trHeight w:val="288"/>
        </w:trPr>
        <w:tc>
          <w:tcPr>
            <w:tcW w:w="1705" w:type="dxa"/>
            <w:tcBorders>
              <w:top w:val="nil"/>
              <w:left w:val="single" w:sz="4" w:space="0" w:color="448A99"/>
              <w:bottom w:val="single" w:sz="4" w:space="0" w:color="448A99"/>
              <w:right w:val="single" w:sz="4" w:space="0" w:color="448A99"/>
            </w:tcBorders>
            <w:shd w:val="clear" w:color="000000" w:fill="FFFFFF"/>
            <w:vAlign w:val="center"/>
            <w:hideMark/>
          </w:tcPr>
          <w:p w:rsidR="007C2227" w:rsidRPr="00B75B77" w:rsidRDefault="007C2227" w:rsidP="005459F4">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Large C</w:t>
            </w:r>
            <w:r w:rsidR="0054073E" w:rsidRPr="00B75B77">
              <w:rPr>
                <w:rFonts w:ascii="Calibri" w:eastAsia="Times New Roman" w:hAnsi="Calibri"/>
                <w:bCs/>
                <w:color w:val="000000"/>
                <w:sz w:val="18"/>
                <w:szCs w:val="18"/>
              </w:rPr>
              <w:t>&amp;I</w:t>
            </w:r>
          </w:p>
        </w:tc>
        <w:tc>
          <w:tcPr>
            <w:tcW w:w="1108" w:type="dxa"/>
            <w:tcBorders>
              <w:top w:val="nil"/>
              <w:left w:val="nil"/>
              <w:bottom w:val="single" w:sz="4" w:space="0" w:color="448A99"/>
              <w:right w:val="single" w:sz="4" w:space="0" w:color="448A99"/>
            </w:tcBorders>
            <w:shd w:val="clear" w:color="000000" w:fill="FFFFFF"/>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412" w:type="dxa"/>
            <w:tcBorders>
              <w:top w:val="nil"/>
              <w:left w:val="nil"/>
              <w:bottom w:val="single" w:sz="4" w:space="0" w:color="448A99"/>
              <w:right w:val="single" w:sz="4" w:space="0" w:color="448A99"/>
            </w:tcBorders>
            <w:shd w:val="clear" w:color="000000" w:fill="FFFFFF"/>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710" w:type="dxa"/>
            <w:tcBorders>
              <w:top w:val="nil"/>
              <w:left w:val="nil"/>
              <w:bottom w:val="single" w:sz="4" w:space="0" w:color="448A99"/>
              <w:right w:val="single" w:sz="4" w:space="0" w:color="448A99"/>
            </w:tcBorders>
            <w:shd w:val="clear" w:color="000000" w:fill="FFFFFF"/>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170" w:type="dxa"/>
            <w:tcBorders>
              <w:top w:val="nil"/>
              <w:left w:val="nil"/>
              <w:bottom w:val="single" w:sz="4" w:space="0" w:color="448A99"/>
              <w:right w:val="single" w:sz="4" w:space="0" w:color="448A99"/>
            </w:tcBorders>
            <w:shd w:val="clear" w:color="000000" w:fill="FFFFFF"/>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990" w:type="dxa"/>
            <w:tcBorders>
              <w:top w:val="nil"/>
              <w:left w:val="nil"/>
              <w:bottom w:val="single" w:sz="4" w:space="0" w:color="448A99"/>
              <w:right w:val="single" w:sz="4" w:space="0" w:color="448A99"/>
            </w:tcBorders>
            <w:shd w:val="clear" w:color="000000" w:fill="FFFFFF"/>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260" w:type="dxa"/>
            <w:tcBorders>
              <w:top w:val="nil"/>
              <w:left w:val="nil"/>
              <w:bottom w:val="single" w:sz="4" w:space="0" w:color="448A99"/>
              <w:right w:val="single" w:sz="4" w:space="0" w:color="448A99"/>
            </w:tcBorders>
            <w:shd w:val="clear" w:color="000000" w:fill="FFFFFF"/>
            <w:vAlign w:val="center"/>
            <w:hideMark/>
          </w:tcPr>
          <w:p w:rsidR="007C2227" w:rsidRPr="00B75B77" w:rsidRDefault="007C2227" w:rsidP="00EB5298">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7C2227" w:rsidRPr="00B75B77" w:rsidTr="00707B64">
        <w:trPr>
          <w:divId w:val="619148462"/>
          <w:trHeight w:val="288"/>
        </w:trPr>
        <w:tc>
          <w:tcPr>
            <w:tcW w:w="1705" w:type="dxa"/>
            <w:tcBorders>
              <w:top w:val="nil"/>
              <w:left w:val="single" w:sz="4" w:space="0" w:color="448A99"/>
              <w:bottom w:val="single" w:sz="4" w:space="0" w:color="448A99"/>
              <w:right w:val="single" w:sz="4" w:space="0" w:color="448A99"/>
            </w:tcBorders>
            <w:shd w:val="clear" w:color="000000" w:fill="D2EAF1"/>
            <w:vAlign w:val="center"/>
            <w:hideMark/>
          </w:tcPr>
          <w:p w:rsidR="007C2227" w:rsidRPr="00B75B77" w:rsidRDefault="007C2227" w:rsidP="005459F4">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G</w:t>
            </w:r>
            <w:r w:rsidR="0054073E" w:rsidRPr="00B75B77">
              <w:rPr>
                <w:rFonts w:ascii="Calibri" w:eastAsia="Times New Roman" w:hAnsi="Calibri"/>
                <w:bCs/>
                <w:color w:val="000000"/>
                <w:sz w:val="18"/>
                <w:szCs w:val="18"/>
              </w:rPr>
              <w:t>NI</w:t>
            </w:r>
          </w:p>
        </w:tc>
        <w:tc>
          <w:tcPr>
            <w:tcW w:w="1108"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412"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710"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170"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990"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260"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EB5298">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7C2227" w:rsidRPr="00B75B77" w:rsidTr="00707B64">
        <w:trPr>
          <w:divId w:val="619148462"/>
          <w:trHeight w:val="288"/>
        </w:trPr>
        <w:tc>
          <w:tcPr>
            <w:tcW w:w="1705" w:type="dxa"/>
            <w:tcBorders>
              <w:top w:val="nil"/>
              <w:left w:val="single" w:sz="4" w:space="0" w:color="448A99"/>
              <w:bottom w:val="single" w:sz="4" w:space="0" w:color="448A99"/>
              <w:right w:val="single" w:sz="4" w:space="0" w:color="448A99"/>
            </w:tcBorders>
            <w:shd w:val="clear" w:color="000000" w:fill="FFFFFF"/>
            <w:vAlign w:val="center"/>
            <w:hideMark/>
          </w:tcPr>
          <w:p w:rsidR="007C2227" w:rsidRPr="00B75B77" w:rsidRDefault="007C2227" w:rsidP="005459F4">
            <w:pPr>
              <w:jc w:val="left"/>
              <w:rPr>
                <w:rFonts w:ascii="Calibri" w:eastAsia="Times New Roman" w:hAnsi="Calibri"/>
                <w:b/>
                <w:color w:val="000000"/>
                <w:sz w:val="18"/>
                <w:szCs w:val="18"/>
              </w:rPr>
            </w:pPr>
            <w:r w:rsidRPr="00B75B77">
              <w:rPr>
                <w:rFonts w:ascii="Calibri" w:eastAsia="Times New Roman" w:hAnsi="Calibri"/>
                <w:b/>
                <w:color w:val="000000"/>
                <w:sz w:val="18"/>
                <w:szCs w:val="18"/>
              </w:rPr>
              <w:t>PHASE II TOTAL</w:t>
            </w:r>
          </w:p>
        </w:tc>
        <w:tc>
          <w:tcPr>
            <w:tcW w:w="1108" w:type="dxa"/>
            <w:tcBorders>
              <w:top w:val="nil"/>
              <w:left w:val="nil"/>
              <w:bottom w:val="single" w:sz="4" w:space="0" w:color="448A99"/>
              <w:right w:val="single" w:sz="4" w:space="0" w:color="448A99"/>
            </w:tcBorders>
            <w:shd w:val="clear" w:color="000000" w:fill="FFFFFF"/>
            <w:vAlign w:val="center"/>
            <w:hideMark/>
          </w:tcPr>
          <w:p w:rsidR="007C2227" w:rsidRPr="00B75B77" w:rsidRDefault="007C2227" w:rsidP="005459F4">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1,834</w:t>
            </w:r>
          </w:p>
        </w:tc>
        <w:tc>
          <w:tcPr>
            <w:tcW w:w="1412" w:type="dxa"/>
            <w:tcBorders>
              <w:top w:val="nil"/>
              <w:left w:val="nil"/>
              <w:bottom w:val="single" w:sz="4" w:space="0" w:color="448A99"/>
              <w:right w:val="single" w:sz="4" w:space="0" w:color="448A99"/>
            </w:tcBorders>
            <w:shd w:val="clear" w:color="000000" w:fill="FFFFFF"/>
            <w:vAlign w:val="center"/>
            <w:hideMark/>
          </w:tcPr>
          <w:p w:rsidR="007C2227" w:rsidRPr="00B75B77" w:rsidRDefault="007C2227" w:rsidP="005459F4">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0</w:t>
            </w:r>
          </w:p>
        </w:tc>
        <w:tc>
          <w:tcPr>
            <w:tcW w:w="1710" w:type="dxa"/>
            <w:tcBorders>
              <w:top w:val="nil"/>
              <w:left w:val="nil"/>
              <w:bottom w:val="single" w:sz="4" w:space="0" w:color="448A99"/>
              <w:right w:val="single" w:sz="4" w:space="0" w:color="448A99"/>
            </w:tcBorders>
            <w:shd w:val="clear" w:color="000000" w:fill="FFFFFF"/>
            <w:vAlign w:val="center"/>
            <w:hideMark/>
          </w:tcPr>
          <w:p w:rsidR="007C2227" w:rsidRPr="00B75B77" w:rsidRDefault="007C2227" w:rsidP="005459F4">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2.3</w:t>
            </w:r>
          </w:p>
        </w:tc>
        <w:tc>
          <w:tcPr>
            <w:tcW w:w="1170" w:type="dxa"/>
            <w:tcBorders>
              <w:top w:val="nil"/>
              <w:left w:val="nil"/>
              <w:bottom w:val="single" w:sz="4" w:space="0" w:color="448A99"/>
              <w:right w:val="single" w:sz="4" w:space="0" w:color="448A99"/>
            </w:tcBorders>
            <w:shd w:val="clear" w:color="000000" w:fill="FFFFFF"/>
            <w:vAlign w:val="center"/>
            <w:hideMark/>
          </w:tcPr>
          <w:p w:rsidR="007C2227" w:rsidRPr="00B75B77" w:rsidRDefault="007C2227" w:rsidP="005459F4">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0</w:t>
            </w:r>
          </w:p>
        </w:tc>
        <w:tc>
          <w:tcPr>
            <w:tcW w:w="990" w:type="dxa"/>
            <w:tcBorders>
              <w:top w:val="nil"/>
              <w:left w:val="nil"/>
              <w:bottom w:val="single" w:sz="4" w:space="0" w:color="448A99"/>
              <w:right w:val="single" w:sz="4" w:space="0" w:color="448A99"/>
            </w:tcBorders>
            <w:shd w:val="clear" w:color="000000" w:fill="FFFFFF"/>
            <w:vAlign w:val="center"/>
            <w:hideMark/>
          </w:tcPr>
          <w:p w:rsidR="007C2227" w:rsidRPr="00B75B77" w:rsidRDefault="007C2227" w:rsidP="005459F4">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1.5</w:t>
            </w:r>
          </w:p>
        </w:tc>
        <w:tc>
          <w:tcPr>
            <w:tcW w:w="1260" w:type="dxa"/>
            <w:tcBorders>
              <w:top w:val="nil"/>
              <w:left w:val="nil"/>
              <w:bottom w:val="single" w:sz="4" w:space="0" w:color="448A99"/>
              <w:right w:val="single" w:sz="4" w:space="0" w:color="448A99"/>
            </w:tcBorders>
            <w:shd w:val="clear" w:color="000000" w:fill="FFFFFF"/>
            <w:vAlign w:val="center"/>
            <w:hideMark/>
          </w:tcPr>
          <w:p w:rsidR="007C2227" w:rsidRPr="00B75B77" w:rsidRDefault="007C2227" w:rsidP="00EB5298">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$876</w:t>
            </w:r>
          </w:p>
        </w:tc>
      </w:tr>
    </w:tbl>
    <w:p w:rsidR="007C2227" w:rsidRPr="00B75B77" w:rsidRDefault="007C2227" w:rsidP="005459F4">
      <w:pPr>
        <w:spacing w:before="20" w:after="20"/>
        <w:jc w:val="left"/>
        <w:rPr>
          <w:rFonts w:eastAsia="Times New Roman"/>
          <w:sz w:val="18"/>
          <w:szCs w:val="20"/>
        </w:rPr>
      </w:pPr>
      <w:r w:rsidRPr="00B75B77">
        <w:rPr>
          <w:rFonts w:ascii="Calibri" w:eastAsia="Times New Roman" w:hAnsi="Calibri"/>
          <w:color w:val="000000"/>
          <w:sz w:val="18"/>
          <w:szCs w:val="18"/>
          <w:vertAlign w:val="superscript"/>
        </w:rPr>
        <w:t>[1]</w:t>
      </w:r>
      <w:r w:rsidRPr="00B75B77">
        <w:rPr>
          <w:rFonts w:ascii="Calibri" w:eastAsia="Times New Roman" w:hAnsi="Calibri"/>
          <w:color w:val="000000"/>
          <w:sz w:val="18"/>
          <w:szCs w:val="18"/>
        </w:rPr>
        <w:t xml:space="preserve"> All customer sector totals are exclusive of each other and may be added together to get the Phase II totals.</w:t>
      </w:r>
      <w:r w:rsidRPr="00B75B77">
        <w:rPr>
          <w:rFonts w:ascii="Calibri" w:eastAsia="Times New Roman" w:hAnsi="Calibri"/>
          <w:color w:val="000000"/>
          <w:sz w:val="18"/>
          <w:szCs w:val="18"/>
        </w:rPr>
        <w:br/>
      </w:r>
      <w:r w:rsidRPr="00B75B77">
        <w:rPr>
          <w:rFonts w:ascii="Calibri" w:eastAsia="Times New Roman" w:hAnsi="Calibri"/>
          <w:color w:val="000000"/>
          <w:sz w:val="18"/>
          <w:szCs w:val="18"/>
          <w:vertAlign w:val="superscript"/>
        </w:rPr>
        <w:t>[2]</w:t>
      </w:r>
      <w:r w:rsidRPr="00B75B77">
        <w:rPr>
          <w:rFonts w:ascii="Calibri" w:eastAsia="Times New Roman" w:hAnsi="Calibri"/>
          <w:color w:val="000000"/>
          <w:sz w:val="18"/>
          <w:szCs w:val="18"/>
        </w:rPr>
        <w:t xml:space="preserve"> All reported and verified demand savings in this report include line losses as required.</w:t>
      </w:r>
      <w:r w:rsidRPr="00B75B77">
        <w:rPr>
          <w:rFonts w:ascii="Calibri" w:eastAsia="Times New Roman" w:hAnsi="Calibri"/>
          <w:color w:val="000000"/>
          <w:sz w:val="18"/>
          <w:szCs w:val="18"/>
        </w:rPr>
        <w:br/>
      </w:r>
      <w:r w:rsidRPr="00B75B77">
        <w:rPr>
          <w:rFonts w:ascii="Calibri" w:eastAsia="Times New Roman" w:hAnsi="Calibri"/>
          <w:iCs/>
          <w:color w:val="000000"/>
          <w:sz w:val="18"/>
          <w:szCs w:val="18"/>
        </w:rPr>
        <w:t>Note: Values in tables may not reconcile exactly with the sum of more detailed level results or previously reported results due to rounding.</w:t>
      </w:r>
    </w:p>
    <w:p w:rsidR="007C2227" w:rsidRPr="00B75B77" w:rsidRDefault="007C2227" w:rsidP="005459F4">
      <w:pPr>
        <w:pStyle w:val="Source"/>
        <w:spacing w:after="120"/>
        <w:ind w:left="0" w:firstLine="0"/>
      </w:pPr>
      <w:r w:rsidRPr="00B75B77">
        <w:t>Source: Navigant analysis</w:t>
      </w:r>
    </w:p>
    <w:p w:rsidR="007C2227" w:rsidRPr="00B75B77" w:rsidRDefault="007C2227" w:rsidP="005459F4">
      <w:pPr>
        <w:pStyle w:val="Heading3"/>
      </w:pPr>
      <w:bookmarkStart w:id="678" w:name="_Toc464230444"/>
      <w:bookmarkStart w:id="679" w:name="_Toc466413387"/>
      <w:bookmarkEnd w:id="678"/>
      <w:r w:rsidRPr="00B75B77">
        <w:t>Gross Verified Savings Methodology</w:t>
      </w:r>
      <w:bookmarkEnd w:id="679"/>
      <w:r w:rsidRPr="00B75B77">
        <w:t xml:space="preserve"> </w:t>
      </w:r>
    </w:p>
    <w:p w:rsidR="007C2227" w:rsidRPr="00B75B77" w:rsidRDefault="007C2227" w:rsidP="005459F4">
      <w:r w:rsidRPr="00B75B77">
        <w:t xml:space="preserve">PECO’s energy management companies registered 3.0 MW into the PJM Emergency DR program in PY7. Navigant used this value as the reported gross savings value. To calculate the verified gross savings value, the Navigant team utilized the per-thermostat savings established in the load study conducted by </w:t>
      </w:r>
      <w:proofErr w:type="spellStart"/>
      <w:r w:rsidRPr="00B75B77">
        <w:t>Comverge</w:t>
      </w:r>
      <w:proofErr w:type="spellEnd"/>
      <w:r w:rsidRPr="00B75B77">
        <w:t xml:space="preserve"> in PY5 and weather-adjust</w:t>
      </w:r>
      <w:r w:rsidR="00707B64" w:rsidRPr="00B75B77">
        <w:t>ed</w:t>
      </w:r>
      <w:r w:rsidRPr="00B75B77">
        <w:t xml:space="preserve"> the results for the PY7 test event days. </w:t>
      </w:r>
    </w:p>
    <w:p w:rsidR="007C2227" w:rsidRPr="00B75B77" w:rsidRDefault="007C2227" w:rsidP="005459F4"/>
    <w:p w:rsidR="007C2227" w:rsidRPr="00B75B77" w:rsidRDefault="007C2227" w:rsidP="005459F4">
      <w:pPr>
        <w:autoSpaceDE w:val="0"/>
        <w:autoSpaceDN w:val="0"/>
      </w:pPr>
      <w:r w:rsidRPr="00B75B77">
        <w:t xml:space="preserve">Navigant updated the </w:t>
      </w:r>
      <w:proofErr w:type="spellStart"/>
      <w:r w:rsidRPr="00B75B77">
        <w:t>Comverge</w:t>
      </w:r>
      <w:proofErr w:type="spellEnd"/>
      <w:r w:rsidRPr="00B75B77">
        <w:t xml:space="preserve"> load study report utilized in PY5 for the purposes of estimating verified savings in PY7. As part of the load study, </w:t>
      </w:r>
      <w:proofErr w:type="spellStart"/>
      <w:r w:rsidRPr="00B75B77">
        <w:t>Comverge</w:t>
      </w:r>
      <w:proofErr w:type="spellEnd"/>
      <w:r w:rsidRPr="00B75B77">
        <w:t xml:space="preserve"> utilized readings from 91 M&amp;V systems installed in participating PECO businesses. As stated in the </w:t>
      </w:r>
      <w:proofErr w:type="spellStart"/>
      <w:r w:rsidRPr="00B75B77">
        <w:t>Comverge</w:t>
      </w:r>
      <w:proofErr w:type="spellEnd"/>
      <w:r w:rsidRPr="00B75B77">
        <w:t xml:space="preserve"> load study report, the M&amp;V systems combine OEM hardware and a proprietary curtailment algorithm</w:t>
      </w:r>
      <w:r w:rsidR="00707B64" w:rsidRPr="00B75B77">
        <w:t>,</w:t>
      </w:r>
      <w:r w:rsidRPr="00B75B77">
        <w:t xml:space="preserve"> along with a </w:t>
      </w:r>
      <w:proofErr w:type="spellStart"/>
      <w:r w:rsidRPr="00B75B77">
        <w:t>Comverge</w:t>
      </w:r>
      <w:proofErr w:type="spellEnd"/>
      <w:r w:rsidRPr="00B75B77">
        <w:t xml:space="preserve"> DCU to provide energy demand data for analysis of energy curtailment events. These readings were then used in a regression analysis to develop the parameters that best fit the observed data using metered load as the dependent variable and observed temperature and hour of the day as the independent variables. </w:t>
      </w:r>
    </w:p>
    <w:p w:rsidR="007C2227" w:rsidRPr="00B75B77" w:rsidRDefault="007C2227" w:rsidP="004D2FBE"/>
    <w:p w:rsidR="007C2227" w:rsidRPr="00B75B77" w:rsidRDefault="007C2227" w:rsidP="005459F4">
      <w:r w:rsidRPr="00B75B77">
        <w:t>For the PY7 evaluation, Navigant used this same regression equation to estimate the verified savings during the PY7 program year. To calculate the results specific to PY7 using th</w:t>
      </w:r>
      <w:r w:rsidR="008F015B" w:rsidRPr="00B75B77">
        <w:t xml:space="preserve">e regression developed in PY5, </w:t>
      </w:r>
      <w:r w:rsidRPr="00B75B77">
        <w:t>Navigant utilized actual weather observed during the two PY7 test event days as read at the KPHL weather station at Philadelphia International Airport. The regression was also updated to account for the actual number of participants that were enrolled in the program during the summer of PY7 and the rate of operability, as determined by the 2013 switch operability study.</w:t>
      </w:r>
      <w:r w:rsidRPr="00B75B77">
        <w:rPr>
          <w:rStyle w:val="FootnoteReference"/>
        </w:rPr>
        <w:footnoteReference w:id="46"/>
      </w:r>
      <w:r w:rsidRPr="00B75B77">
        <w:t xml:space="preserve"> This rate was calculated to be 100%. The verified savings estimate determined for PY7 is a weighted average of these two test events, based on the number of switches that were called for each event. </w:t>
      </w:r>
    </w:p>
    <w:p w:rsidR="007C2227" w:rsidRPr="00B75B77" w:rsidRDefault="007C2227" w:rsidP="004D2FBE"/>
    <w:p w:rsidR="007C2227" w:rsidRPr="00B75B77" w:rsidRDefault="007C2227" w:rsidP="004D2FBE">
      <w:proofErr w:type="spellStart"/>
      <w:r w:rsidRPr="00B75B77">
        <w:t>EnergyConnect</w:t>
      </w:r>
      <w:proofErr w:type="spellEnd"/>
      <w:r w:rsidRPr="00B75B77">
        <w:t xml:space="preserve"> called zero commercial thermostats on its test event on June 25, 2015, and </w:t>
      </w:r>
      <w:proofErr w:type="spellStart"/>
      <w:r w:rsidRPr="00B75B77">
        <w:t>CPower</w:t>
      </w:r>
      <w:proofErr w:type="spellEnd"/>
      <w:r w:rsidRPr="00B75B77">
        <w:t xml:space="preserve"> called 802 commercial thermostats on its test event on August 12, 2015. </w:t>
      </w:r>
    </w:p>
    <w:p w:rsidR="007C2227" w:rsidRPr="00B75B77" w:rsidRDefault="007C2227" w:rsidP="005459F4"/>
    <w:p w:rsidR="007C2227" w:rsidRPr="00B75B77" w:rsidRDefault="007C2227" w:rsidP="005459F4">
      <w:r w:rsidRPr="00B75B77">
        <w:lastRenderedPageBreak/>
        <w:t xml:space="preserve">Navigant utilized the </w:t>
      </w:r>
      <w:proofErr w:type="spellStart"/>
      <w:r w:rsidRPr="00B75B77">
        <w:t>Comverge</w:t>
      </w:r>
      <w:proofErr w:type="spellEnd"/>
      <w:r w:rsidRPr="00B75B77">
        <w:t xml:space="preserve"> PY5 sample as the sample for PY7 analysis. The sample included 91 randomly selected participating businesses in which M&amp;V meters were installed. This sample was determined to meet the 85/15 confidence and precision level. </w:t>
      </w:r>
      <w:r w:rsidR="00EB5298" w:rsidRPr="00B75B77">
        <w:fldChar w:fldCharType="begin"/>
      </w:r>
      <w:r w:rsidR="00EB5298" w:rsidRPr="00B75B77">
        <w:instrText xml:space="preserve"> REF _Ref464226838 \h </w:instrText>
      </w:r>
      <w:r w:rsidR="00B75B77">
        <w:instrText xml:space="preserve"> \* MERGEFORMAT </w:instrText>
      </w:r>
      <w:r w:rsidR="00EB5298" w:rsidRPr="00B75B77">
        <w:fldChar w:fldCharType="separate"/>
      </w:r>
      <w:r w:rsidR="0004016D" w:rsidRPr="00B75B77">
        <w:t xml:space="preserve">Table </w:t>
      </w:r>
      <w:r w:rsidR="0004016D">
        <w:rPr>
          <w:noProof/>
        </w:rPr>
        <w:t>10</w:t>
      </w:r>
      <w:r w:rsidR="0004016D" w:rsidRPr="00B75B77">
        <w:rPr>
          <w:noProof/>
        </w:rPr>
        <w:noBreakHyphen/>
      </w:r>
      <w:r w:rsidR="0004016D">
        <w:rPr>
          <w:noProof/>
        </w:rPr>
        <w:t>2</w:t>
      </w:r>
      <w:r w:rsidR="00EB5298" w:rsidRPr="00B75B77">
        <w:fldChar w:fldCharType="end"/>
      </w:r>
      <w:r w:rsidRPr="00B75B77">
        <w:t xml:space="preserve"> shows the sampling strategy applied to the verified gross analysis for Smart AC Saver in PY7.</w:t>
      </w:r>
    </w:p>
    <w:p w:rsidR="007C2227" w:rsidRPr="00B75B77" w:rsidRDefault="007C2227" w:rsidP="005459F4"/>
    <w:p w:rsidR="007C2227" w:rsidRPr="00B75B77" w:rsidRDefault="007C2227" w:rsidP="005459F4">
      <w:pPr>
        <w:pStyle w:val="Caption"/>
      </w:pPr>
      <w:bookmarkStart w:id="680" w:name="_Ref464226838"/>
      <w:bookmarkStart w:id="681" w:name="_Toc466413583"/>
      <w:r w:rsidRPr="00B75B77">
        <w:t xml:space="preserve">Table </w:t>
      </w:r>
      <w:fldSimple w:instr=" STYLEREF 1 \s ">
        <w:r w:rsidR="0004016D">
          <w:rPr>
            <w:noProof/>
          </w:rPr>
          <w:t>10</w:t>
        </w:r>
      </w:fldSimple>
      <w:r w:rsidR="00F1144C" w:rsidRPr="00B75B77">
        <w:noBreakHyphen/>
      </w:r>
      <w:fldSimple w:instr=" SEQ Table \* ARABIC \s 1 ">
        <w:r w:rsidR="0004016D">
          <w:rPr>
            <w:noProof/>
          </w:rPr>
          <w:t>2</w:t>
        </w:r>
      </w:fldSimple>
      <w:bookmarkEnd w:id="680"/>
      <w:r w:rsidRPr="00B75B77">
        <w:t>: Commercial AC Saver Sampling Strategy for PY7</w:t>
      </w:r>
      <w:bookmarkEnd w:id="681"/>
    </w:p>
    <w:tbl>
      <w:tblPr>
        <w:tblW w:w="9845" w:type="dxa"/>
        <w:tblLook w:val="04A0" w:firstRow="1" w:lastRow="0" w:firstColumn="1" w:lastColumn="0" w:noHBand="0" w:noVBand="1"/>
      </w:tblPr>
      <w:tblGrid>
        <w:gridCol w:w="1615"/>
        <w:gridCol w:w="1260"/>
        <w:gridCol w:w="1620"/>
        <w:gridCol w:w="1080"/>
        <w:gridCol w:w="1170"/>
        <w:gridCol w:w="3100"/>
      </w:tblGrid>
      <w:tr w:rsidR="007C2227" w:rsidRPr="00B75B77" w:rsidTr="00707B64">
        <w:trPr>
          <w:divId w:val="1750079863"/>
          <w:trHeight w:val="288"/>
        </w:trPr>
        <w:tc>
          <w:tcPr>
            <w:tcW w:w="1615" w:type="dxa"/>
            <w:tcBorders>
              <w:top w:val="single" w:sz="4" w:space="0" w:color="auto"/>
              <w:left w:val="single" w:sz="4" w:space="0" w:color="auto"/>
              <w:bottom w:val="single" w:sz="4" w:space="0" w:color="auto"/>
              <w:right w:val="single" w:sz="4" w:space="0" w:color="auto"/>
            </w:tcBorders>
            <w:shd w:val="clear" w:color="000000" w:fill="448A99"/>
            <w:vAlign w:val="center"/>
            <w:hideMark/>
          </w:tcPr>
          <w:p w:rsidR="007C2227" w:rsidRPr="00B75B77" w:rsidRDefault="007C2227" w:rsidP="005459F4">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Stratum</w:t>
            </w:r>
          </w:p>
        </w:tc>
        <w:tc>
          <w:tcPr>
            <w:tcW w:w="1260" w:type="dxa"/>
            <w:tcBorders>
              <w:top w:val="single" w:sz="4" w:space="0" w:color="auto"/>
              <w:left w:val="nil"/>
              <w:bottom w:val="single" w:sz="4" w:space="0" w:color="auto"/>
              <w:right w:val="single" w:sz="4" w:space="0" w:color="auto"/>
            </w:tcBorders>
            <w:shd w:val="clear" w:color="000000" w:fill="448A99"/>
            <w:vAlign w:val="center"/>
            <w:hideMark/>
          </w:tcPr>
          <w:p w:rsidR="007C2227" w:rsidRPr="00B75B77" w:rsidRDefault="007C2227" w:rsidP="005459F4">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Population Size</w:t>
            </w:r>
          </w:p>
        </w:tc>
        <w:tc>
          <w:tcPr>
            <w:tcW w:w="1620" w:type="dxa"/>
            <w:tcBorders>
              <w:top w:val="single" w:sz="4" w:space="0" w:color="auto"/>
              <w:left w:val="nil"/>
              <w:bottom w:val="single" w:sz="4" w:space="0" w:color="auto"/>
              <w:right w:val="single" w:sz="4" w:space="0" w:color="auto"/>
            </w:tcBorders>
            <w:shd w:val="clear" w:color="000000" w:fill="448A99"/>
            <w:vAlign w:val="center"/>
            <w:hideMark/>
          </w:tcPr>
          <w:p w:rsidR="007C2227" w:rsidRPr="00B75B77" w:rsidRDefault="007C2227" w:rsidP="005459F4">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Target Levels of Confidence and Precision</w:t>
            </w:r>
          </w:p>
        </w:tc>
        <w:tc>
          <w:tcPr>
            <w:tcW w:w="1080" w:type="dxa"/>
            <w:tcBorders>
              <w:top w:val="single" w:sz="4" w:space="0" w:color="auto"/>
              <w:left w:val="nil"/>
              <w:bottom w:val="single" w:sz="4" w:space="0" w:color="auto"/>
              <w:right w:val="single" w:sz="4" w:space="0" w:color="auto"/>
            </w:tcBorders>
            <w:shd w:val="clear" w:color="000000" w:fill="448A99"/>
            <w:vAlign w:val="center"/>
            <w:hideMark/>
          </w:tcPr>
          <w:p w:rsidR="007C2227" w:rsidRPr="00B75B77" w:rsidRDefault="007C2227" w:rsidP="005459F4">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Target Sample Size</w:t>
            </w:r>
          </w:p>
        </w:tc>
        <w:tc>
          <w:tcPr>
            <w:tcW w:w="1170" w:type="dxa"/>
            <w:tcBorders>
              <w:top w:val="single" w:sz="4" w:space="0" w:color="auto"/>
              <w:left w:val="nil"/>
              <w:bottom w:val="single" w:sz="4" w:space="0" w:color="auto"/>
              <w:right w:val="single" w:sz="4" w:space="0" w:color="auto"/>
            </w:tcBorders>
            <w:shd w:val="clear" w:color="000000" w:fill="448A99"/>
            <w:vAlign w:val="center"/>
            <w:hideMark/>
          </w:tcPr>
          <w:p w:rsidR="007C2227" w:rsidRPr="00B75B77" w:rsidRDefault="007C2227" w:rsidP="005459F4">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Achieved Sample Size</w:t>
            </w:r>
          </w:p>
        </w:tc>
        <w:tc>
          <w:tcPr>
            <w:tcW w:w="3100" w:type="dxa"/>
            <w:tcBorders>
              <w:top w:val="single" w:sz="4" w:space="0" w:color="auto"/>
              <w:left w:val="nil"/>
              <w:bottom w:val="single" w:sz="4" w:space="0" w:color="auto"/>
              <w:right w:val="single" w:sz="4" w:space="0" w:color="auto"/>
            </w:tcBorders>
            <w:shd w:val="clear" w:color="000000" w:fill="448A99"/>
            <w:vAlign w:val="center"/>
            <w:hideMark/>
          </w:tcPr>
          <w:p w:rsidR="007C2227" w:rsidRPr="00B75B77" w:rsidRDefault="007C2227" w:rsidP="005459F4">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Evaluation Activity</w:t>
            </w:r>
          </w:p>
        </w:tc>
      </w:tr>
      <w:tr w:rsidR="007C2227" w:rsidRPr="00B75B77" w:rsidTr="00707B64">
        <w:trPr>
          <w:divId w:val="1750079863"/>
          <w:trHeight w:val="288"/>
        </w:trPr>
        <w:tc>
          <w:tcPr>
            <w:tcW w:w="1615" w:type="dxa"/>
            <w:tcBorders>
              <w:top w:val="nil"/>
              <w:left w:val="single" w:sz="4" w:space="0" w:color="448A99"/>
              <w:bottom w:val="single" w:sz="4" w:space="0" w:color="448A99"/>
              <w:right w:val="single" w:sz="4" w:space="0" w:color="448A99"/>
            </w:tcBorders>
            <w:shd w:val="clear" w:color="000000" w:fill="D2EAF1"/>
            <w:vAlign w:val="center"/>
            <w:hideMark/>
          </w:tcPr>
          <w:p w:rsidR="007C2227" w:rsidRPr="00B75B77" w:rsidRDefault="007C2227" w:rsidP="005459F4">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Commercial Participants</w:t>
            </w:r>
          </w:p>
        </w:tc>
        <w:tc>
          <w:tcPr>
            <w:tcW w:w="1260"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2,666</w:t>
            </w:r>
          </w:p>
        </w:tc>
        <w:tc>
          <w:tcPr>
            <w:tcW w:w="1620"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1080"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100</w:t>
            </w:r>
          </w:p>
        </w:tc>
        <w:tc>
          <w:tcPr>
            <w:tcW w:w="1170"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91</w:t>
            </w:r>
          </w:p>
        </w:tc>
        <w:tc>
          <w:tcPr>
            <w:tcW w:w="3100"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5459F4">
            <w:pPr>
              <w:jc w:val="left"/>
              <w:rPr>
                <w:rFonts w:ascii="Calibri" w:eastAsia="Times New Roman" w:hAnsi="Calibri"/>
                <w:color w:val="000000"/>
                <w:sz w:val="18"/>
                <w:szCs w:val="18"/>
              </w:rPr>
            </w:pPr>
            <w:r w:rsidRPr="00B75B77">
              <w:rPr>
                <w:rFonts w:ascii="Calibri" w:eastAsia="Times New Roman" w:hAnsi="Calibri"/>
                <w:color w:val="000000"/>
                <w:sz w:val="18"/>
                <w:szCs w:val="18"/>
              </w:rPr>
              <w:t>PY5 load study applied to PY7 events</w:t>
            </w:r>
          </w:p>
        </w:tc>
      </w:tr>
      <w:tr w:rsidR="007C2227" w:rsidRPr="00B75B77" w:rsidTr="00707B64">
        <w:trPr>
          <w:divId w:val="1750079863"/>
          <w:trHeight w:val="288"/>
        </w:trPr>
        <w:tc>
          <w:tcPr>
            <w:tcW w:w="1615" w:type="dxa"/>
            <w:tcBorders>
              <w:top w:val="nil"/>
              <w:left w:val="single" w:sz="4" w:space="0" w:color="448A99"/>
              <w:bottom w:val="single" w:sz="4" w:space="0" w:color="448A99"/>
              <w:right w:val="single" w:sz="4" w:space="0" w:color="448A99"/>
            </w:tcBorders>
            <w:shd w:val="clear" w:color="000000" w:fill="FFFFFF"/>
            <w:vAlign w:val="center"/>
            <w:hideMark/>
          </w:tcPr>
          <w:p w:rsidR="007C2227" w:rsidRPr="00B75B77" w:rsidRDefault="007C2227" w:rsidP="005459F4">
            <w:pPr>
              <w:jc w:val="left"/>
              <w:rPr>
                <w:rFonts w:ascii="Calibri" w:eastAsia="Times New Roman" w:hAnsi="Calibri"/>
                <w:b/>
                <w:color w:val="000000"/>
                <w:sz w:val="18"/>
                <w:szCs w:val="18"/>
              </w:rPr>
            </w:pPr>
            <w:r w:rsidRPr="00B75B77">
              <w:rPr>
                <w:b/>
                <w:bCs/>
                <w:sz w:val="18"/>
                <w:szCs w:val="18"/>
              </w:rPr>
              <w:t>PROGRAM TOTAL</w:t>
            </w:r>
          </w:p>
        </w:tc>
        <w:tc>
          <w:tcPr>
            <w:tcW w:w="1260" w:type="dxa"/>
            <w:tcBorders>
              <w:top w:val="nil"/>
              <w:left w:val="nil"/>
              <w:bottom w:val="single" w:sz="4" w:space="0" w:color="448A99"/>
              <w:right w:val="single" w:sz="4" w:space="0" w:color="448A99"/>
            </w:tcBorders>
            <w:shd w:val="clear" w:color="000000" w:fill="FFFFFF"/>
            <w:vAlign w:val="center"/>
            <w:hideMark/>
          </w:tcPr>
          <w:p w:rsidR="007C2227" w:rsidRPr="00B75B77" w:rsidRDefault="007C2227" w:rsidP="005459F4">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2,666</w:t>
            </w:r>
          </w:p>
        </w:tc>
        <w:tc>
          <w:tcPr>
            <w:tcW w:w="1620" w:type="dxa"/>
            <w:tcBorders>
              <w:top w:val="nil"/>
              <w:left w:val="nil"/>
              <w:bottom w:val="single" w:sz="4" w:space="0" w:color="448A99"/>
              <w:right w:val="single" w:sz="4" w:space="0" w:color="448A99"/>
            </w:tcBorders>
            <w:shd w:val="clear" w:color="000000" w:fill="FFFFFF"/>
            <w:vAlign w:val="center"/>
            <w:hideMark/>
          </w:tcPr>
          <w:p w:rsidR="007C2227" w:rsidRPr="00B75B77" w:rsidRDefault="007C2227" w:rsidP="005459F4">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N/A</w:t>
            </w:r>
          </w:p>
        </w:tc>
        <w:tc>
          <w:tcPr>
            <w:tcW w:w="1080" w:type="dxa"/>
            <w:tcBorders>
              <w:top w:val="nil"/>
              <w:left w:val="nil"/>
              <w:bottom w:val="single" w:sz="4" w:space="0" w:color="448A99"/>
              <w:right w:val="single" w:sz="4" w:space="0" w:color="448A99"/>
            </w:tcBorders>
            <w:shd w:val="clear" w:color="000000" w:fill="FFFFFF"/>
            <w:vAlign w:val="center"/>
            <w:hideMark/>
          </w:tcPr>
          <w:p w:rsidR="007C2227" w:rsidRPr="00B75B77" w:rsidRDefault="007C2227" w:rsidP="005459F4">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100</w:t>
            </w:r>
          </w:p>
        </w:tc>
        <w:tc>
          <w:tcPr>
            <w:tcW w:w="1170" w:type="dxa"/>
            <w:tcBorders>
              <w:top w:val="nil"/>
              <w:left w:val="nil"/>
              <w:bottom w:val="single" w:sz="4" w:space="0" w:color="448A99"/>
              <w:right w:val="single" w:sz="4" w:space="0" w:color="448A99"/>
            </w:tcBorders>
            <w:shd w:val="clear" w:color="000000" w:fill="FFFFFF"/>
            <w:vAlign w:val="center"/>
            <w:hideMark/>
          </w:tcPr>
          <w:p w:rsidR="007C2227" w:rsidRPr="00B75B77" w:rsidRDefault="007C2227" w:rsidP="005459F4">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91</w:t>
            </w:r>
          </w:p>
        </w:tc>
        <w:tc>
          <w:tcPr>
            <w:tcW w:w="3100" w:type="dxa"/>
            <w:tcBorders>
              <w:top w:val="nil"/>
              <w:left w:val="nil"/>
              <w:bottom w:val="single" w:sz="4" w:space="0" w:color="448A99"/>
              <w:right w:val="single" w:sz="4" w:space="0" w:color="448A99"/>
            </w:tcBorders>
            <w:shd w:val="clear" w:color="000000" w:fill="FFFFFF"/>
            <w:vAlign w:val="center"/>
            <w:hideMark/>
          </w:tcPr>
          <w:p w:rsidR="007C2227" w:rsidRPr="00B75B77" w:rsidRDefault="007C2227" w:rsidP="005459F4">
            <w:pPr>
              <w:jc w:val="left"/>
              <w:rPr>
                <w:rFonts w:ascii="Calibri" w:eastAsia="Times New Roman" w:hAnsi="Calibri"/>
                <w:b/>
                <w:color w:val="000000"/>
                <w:sz w:val="18"/>
                <w:szCs w:val="18"/>
              </w:rPr>
            </w:pPr>
            <w:r w:rsidRPr="00B75B77">
              <w:rPr>
                <w:rFonts w:ascii="Calibri" w:eastAsia="Times New Roman" w:hAnsi="Calibri"/>
                <w:b/>
                <w:color w:val="000000"/>
                <w:sz w:val="18"/>
                <w:szCs w:val="18"/>
              </w:rPr>
              <w:t>N/A</w:t>
            </w:r>
          </w:p>
        </w:tc>
      </w:tr>
    </w:tbl>
    <w:p w:rsidR="007C2227" w:rsidRPr="00B75B77" w:rsidRDefault="007C2227" w:rsidP="005459F4">
      <w:pPr>
        <w:keepNext/>
        <w:spacing w:before="20" w:after="20"/>
        <w:jc w:val="left"/>
        <w:rPr>
          <w:rFonts w:eastAsia="Times New Roman"/>
          <w:i/>
          <w:sz w:val="18"/>
          <w:szCs w:val="20"/>
        </w:rPr>
      </w:pPr>
      <w:r w:rsidRPr="00B75B77">
        <w:rPr>
          <w:rFonts w:ascii="Calibri" w:eastAsia="Times New Roman" w:hAnsi="Calibri"/>
          <w:sz w:val="18"/>
          <w:szCs w:val="18"/>
        </w:rPr>
        <w:t>Note: Values in tables may not reconcile exactly with the sum of more detailed level results or previously reported results due to rounding.</w:t>
      </w:r>
    </w:p>
    <w:p w:rsidR="007C2227" w:rsidRPr="00B75B77" w:rsidRDefault="007C2227" w:rsidP="00707B64">
      <w:pPr>
        <w:keepNext/>
        <w:spacing w:before="60" w:after="120"/>
        <w:jc w:val="left"/>
        <w:rPr>
          <w:rFonts w:eastAsia="Times New Roman"/>
          <w:i/>
          <w:sz w:val="18"/>
          <w:szCs w:val="20"/>
        </w:rPr>
      </w:pPr>
      <w:r w:rsidRPr="00B75B77">
        <w:rPr>
          <w:rFonts w:eastAsia="Times New Roman"/>
          <w:i/>
          <w:sz w:val="18"/>
          <w:szCs w:val="20"/>
        </w:rPr>
        <w:t xml:space="preserve">Source: Navigant analysis </w:t>
      </w:r>
    </w:p>
    <w:p w:rsidR="007C2227" w:rsidRPr="00B75B77" w:rsidRDefault="007C2227" w:rsidP="005459F4">
      <w:r w:rsidRPr="00B75B77">
        <w:t>Navigant conducted no site visits for the Smart AC Saver program in PY7, as per the approved evaluation plan.</w:t>
      </w:r>
    </w:p>
    <w:p w:rsidR="007C2227" w:rsidRPr="00B75B77" w:rsidRDefault="007C2227" w:rsidP="005459F4"/>
    <w:p w:rsidR="007C2227" w:rsidRPr="00B75B77" w:rsidRDefault="007C2227" w:rsidP="005459F4">
      <w:pPr>
        <w:pStyle w:val="Heading3"/>
      </w:pPr>
      <w:bookmarkStart w:id="682" w:name="_Toc466413388"/>
      <w:r w:rsidRPr="00B75B77">
        <w:t>Gross Verified Savings Results</w:t>
      </w:r>
      <w:bookmarkEnd w:id="682"/>
      <w:r w:rsidRPr="00B75B77">
        <w:t xml:space="preserve"> </w:t>
      </w:r>
    </w:p>
    <w:p w:rsidR="007C2227" w:rsidRPr="00B75B77" w:rsidRDefault="007C2227" w:rsidP="005459F4">
      <w:r w:rsidRPr="00B75B77">
        <w:t xml:space="preserve">Smart AC Saver is a demand-only program, and </w:t>
      </w:r>
      <w:r w:rsidR="00707B64" w:rsidRPr="00B75B77">
        <w:t xml:space="preserve">it </w:t>
      </w:r>
      <w:r w:rsidRPr="00B75B77">
        <w:t xml:space="preserve">claimed no energy savings in PY7. Smart AC Saver claimed 3.0 MW in reported savings and 0.6 MW of verified gross savings. </w:t>
      </w:r>
      <w:r w:rsidR="00EB5298" w:rsidRPr="00B75B77">
        <w:fldChar w:fldCharType="begin"/>
      </w:r>
      <w:r w:rsidR="00EB5298" w:rsidRPr="00B75B77">
        <w:instrText xml:space="preserve"> REF _Ref464226843 \h </w:instrText>
      </w:r>
      <w:r w:rsidR="00B75B77">
        <w:instrText xml:space="preserve"> \* MERGEFORMAT </w:instrText>
      </w:r>
      <w:r w:rsidR="00EB5298" w:rsidRPr="00B75B77">
        <w:fldChar w:fldCharType="separate"/>
      </w:r>
      <w:r w:rsidR="0004016D" w:rsidRPr="00B75B77">
        <w:t xml:space="preserve">Table </w:t>
      </w:r>
      <w:r w:rsidR="0004016D">
        <w:rPr>
          <w:noProof/>
        </w:rPr>
        <w:t>10</w:t>
      </w:r>
      <w:r w:rsidR="0004016D" w:rsidRPr="00B75B77">
        <w:rPr>
          <w:noProof/>
        </w:rPr>
        <w:noBreakHyphen/>
      </w:r>
      <w:r w:rsidR="0004016D">
        <w:rPr>
          <w:noProof/>
        </w:rPr>
        <w:t>3</w:t>
      </w:r>
      <w:r w:rsidR="00EB5298" w:rsidRPr="00B75B77">
        <w:fldChar w:fldCharType="end"/>
      </w:r>
      <w:r w:rsidRPr="00B75B77">
        <w:t xml:space="preserve"> shows the demand savings claimed in PY7.</w:t>
      </w:r>
    </w:p>
    <w:p w:rsidR="007C2227" w:rsidRPr="00B75B77" w:rsidRDefault="007C2227" w:rsidP="005459F4"/>
    <w:p w:rsidR="007C2227" w:rsidRPr="00B75B77" w:rsidRDefault="007C2227" w:rsidP="005459F4">
      <w:pPr>
        <w:pStyle w:val="Caption"/>
      </w:pPr>
      <w:bookmarkStart w:id="683" w:name="_Ref464226843"/>
      <w:bookmarkStart w:id="684" w:name="_Toc466413584"/>
      <w:r w:rsidRPr="00B75B77">
        <w:t xml:space="preserve">Table </w:t>
      </w:r>
      <w:fldSimple w:instr=" STYLEREF 1 \s ">
        <w:r w:rsidR="0004016D">
          <w:rPr>
            <w:noProof/>
          </w:rPr>
          <w:t>10</w:t>
        </w:r>
      </w:fldSimple>
      <w:r w:rsidR="00F1144C" w:rsidRPr="00B75B77">
        <w:noBreakHyphen/>
      </w:r>
      <w:fldSimple w:instr=" SEQ Table \* ARABIC \s 1 ">
        <w:r w:rsidR="0004016D">
          <w:rPr>
            <w:noProof/>
          </w:rPr>
          <w:t>3</w:t>
        </w:r>
      </w:fldSimple>
      <w:bookmarkEnd w:id="683"/>
      <w:r w:rsidRPr="00B75B77">
        <w:t>: PY7 Commercial AC Saver Summary of Evaluation Results for Demand</w:t>
      </w:r>
      <w:bookmarkEnd w:id="684"/>
    </w:p>
    <w:tbl>
      <w:tblPr>
        <w:tblW w:w="9805" w:type="dxa"/>
        <w:tblLook w:val="04A0" w:firstRow="1" w:lastRow="0" w:firstColumn="1" w:lastColumn="0" w:noHBand="0" w:noVBand="1"/>
      </w:tblPr>
      <w:tblGrid>
        <w:gridCol w:w="1885"/>
        <w:gridCol w:w="1800"/>
        <w:gridCol w:w="1294"/>
        <w:gridCol w:w="1620"/>
        <w:gridCol w:w="1496"/>
        <w:gridCol w:w="1710"/>
      </w:tblGrid>
      <w:tr w:rsidR="007C2227" w:rsidRPr="00B75B77" w:rsidTr="005459F4">
        <w:trPr>
          <w:divId w:val="1039937226"/>
          <w:trHeight w:val="588"/>
        </w:trPr>
        <w:tc>
          <w:tcPr>
            <w:tcW w:w="1885" w:type="dxa"/>
            <w:vMerge w:val="restart"/>
            <w:tcBorders>
              <w:top w:val="single" w:sz="4" w:space="0" w:color="auto"/>
              <w:left w:val="single" w:sz="4" w:space="0" w:color="auto"/>
              <w:bottom w:val="single" w:sz="4" w:space="0" w:color="000000"/>
              <w:right w:val="single" w:sz="4" w:space="0" w:color="auto"/>
            </w:tcBorders>
            <w:shd w:val="clear" w:color="auto" w:fill="448A99"/>
            <w:vAlign w:val="center"/>
            <w:hideMark/>
          </w:tcPr>
          <w:p w:rsidR="007C2227" w:rsidRPr="00B75B77" w:rsidRDefault="007C2227" w:rsidP="00EB5298">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Stratum</w:t>
            </w:r>
          </w:p>
        </w:tc>
        <w:tc>
          <w:tcPr>
            <w:tcW w:w="1800" w:type="dxa"/>
            <w:vMerge w:val="restart"/>
            <w:tcBorders>
              <w:top w:val="single" w:sz="4" w:space="0" w:color="auto"/>
              <w:left w:val="single" w:sz="4" w:space="0" w:color="auto"/>
              <w:bottom w:val="single" w:sz="4" w:space="0" w:color="000000"/>
              <w:right w:val="single" w:sz="4" w:space="0" w:color="auto"/>
            </w:tcBorders>
            <w:shd w:val="clear" w:color="auto" w:fill="448A99"/>
            <w:vAlign w:val="center"/>
            <w:hideMark/>
          </w:tcPr>
          <w:p w:rsidR="007C2227" w:rsidRPr="00B75B77" w:rsidRDefault="007C2227" w:rsidP="005459F4">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Reported Gross Demand Savings </w:t>
            </w:r>
            <w:r w:rsidRPr="00B75B77">
              <w:rPr>
                <w:rFonts w:ascii="Calibri" w:eastAsia="Times New Roman" w:hAnsi="Calibri"/>
                <w:b/>
                <w:bCs/>
                <w:color w:val="FFFFFF"/>
                <w:sz w:val="18"/>
                <w:szCs w:val="18"/>
              </w:rPr>
              <w:br/>
              <w:t>(MW)</w:t>
            </w:r>
            <w:r w:rsidRPr="00B75B77">
              <w:rPr>
                <w:rFonts w:ascii="Calibri" w:eastAsia="Times New Roman" w:hAnsi="Calibri"/>
                <w:b/>
                <w:bCs/>
                <w:color w:val="FFFFFF"/>
                <w:sz w:val="18"/>
                <w:szCs w:val="18"/>
                <w:vertAlign w:val="superscript"/>
              </w:rPr>
              <w:t>[1]</w:t>
            </w:r>
          </w:p>
        </w:tc>
        <w:tc>
          <w:tcPr>
            <w:tcW w:w="1294" w:type="dxa"/>
            <w:vMerge w:val="restart"/>
            <w:tcBorders>
              <w:top w:val="single" w:sz="4" w:space="0" w:color="auto"/>
              <w:left w:val="single" w:sz="4" w:space="0" w:color="auto"/>
              <w:bottom w:val="single" w:sz="4" w:space="0" w:color="000000"/>
              <w:right w:val="single" w:sz="4" w:space="0" w:color="auto"/>
            </w:tcBorders>
            <w:shd w:val="clear" w:color="auto" w:fill="448A99"/>
            <w:vAlign w:val="center"/>
            <w:hideMark/>
          </w:tcPr>
          <w:p w:rsidR="007C2227" w:rsidRPr="00B75B77" w:rsidRDefault="007C2227" w:rsidP="005459F4">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Demand Realization Rate (%)</w:t>
            </w:r>
          </w:p>
        </w:tc>
        <w:tc>
          <w:tcPr>
            <w:tcW w:w="1620" w:type="dxa"/>
            <w:vMerge w:val="restart"/>
            <w:tcBorders>
              <w:top w:val="single" w:sz="4" w:space="0" w:color="auto"/>
              <w:left w:val="single" w:sz="4" w:space="0" w:color="auto"/>
              <w:bottom w:val="single" w:sz="4" w:space="0" w:color="000000"/>
              <w:right w:val="single" w:sz="4" w:space="0" w:color="auto"/>
            </w:tcBorders>
            <w:shd w:val="clear" w:color="auto" w:fill="448A99"/>
            <w:vAlign w:val="center"/>
            <w:hideMark/>
          </w:tcPr>
          <w:p w:rsidR="007C2227" w:rsidRPr="00B75B77" w:rsidRDefault="007C2227" w:rsidP="005459F4">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Verified Gross Demand Savings (MW)</w:t>
            </w:r>
            <w:r w:rsidRPr="00B75B77">
              <w:rPr>
                <w:rFonts w:ascii="Calibri" w:eastAsia="Times New Roman" w:hAnsi="Calibri"/>
                <w:b/>
                <w:bCs/>
                <w:color w:val="FFFFFF"/>
                <w:sz w:val="18"/>
                <w:szCs w:val="18"/>
                <w:vertAlign w:val="superscript"/>
              </w:rPr>
              <w:t>[1]</w:t>
            </w:r>
          </w:p>
        </w:tc>
        <w:tc>
          <w:tcPr>
            <w:tcW w:w="1496"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7C2227" w:rsidRPr="00B75B77" w:rsidRDefault="007C2227" w:rsidP="005459F4">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Observed CV or Proportion in Sample Design</w:t>
            </w:r>
          </w:p>
        </w:tc>
        <w:tc>
          <w:tcPr>
            <w:tcW w:w="171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7C2227" w:rsidRPr="00B75B77" w:rsidRDefault="007C2227" w:rsidP="00EB5298">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Relative Precision at 85% </w:t>
            </w:r>
            <w:r w:rsidR="00EB5298" w:rsidRPr="00B75B77">
              <w:rPr>
                <w:rFonts w:ascii="Calibri" w:eastAsia="Times New Roman" w:hAnsi="Calibri"/>
                <w:b/>
                <w:bCs/>
                <w:color w:val="FFFFFF"/>
                <w:sz w:val="18"/>
                <w:szCs w:val="18"/>
              </w:rPr>
              <w:t>Confidence Interval</w:t>
            </w:r>
          </w:p>
        </w:tc>
      </w:tr>
      <w:tr w:rsidR="007C2227" w:rsidRPr="00B75B77" w:rsidTr="005459F4">
        <w:trPr>
          <w:divId w:val="1039937226"/>
          <w:trHeight w:val="288"/>
        </w:trPr>
        <w:tc>
          <w:tcPr>
            <w:tcW w:w="1885" w:type="dxa"/>
            <w:vMerge/>
            <w:tcBorders>
              <w:top w:val="single" w:sz="4" w:space="0" w:color="auto"/>
              <w:left w:val="single" w:sz="4" w:space="0" w:color="auto"/>
              <w:bottom w:val="single" w:sz="4" w:space="0" w:color="000000"/>
              <w:right w:val="single" w:sz="4" w:space="0" w:color="auto"/>
            </w:tcBorders>
            <w:vAlign w:val="center"/>
            <w:hideMark/>
          </w:tcPr>
          <w:p w:rsidR="007C2227" w:rsidRPr="00B75B77" w:rsidRDefault="007C2227" w:rsidP="005459F4">
            <w:pPr>
              <w:jc w:val="left"/>
              <w:rPr>
                <w:rFonts w:ascii="Calibri" w:eastAsia="Times New Roman" w:hAnsi="Calibri"/>
                <w:b/>
                <w:bCs/>
                <w:color w:val="FFFFFF"/>
                <w:sz w:val="18"/>
                <w:szCs w:val="18"/>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7C2227" w:rsidRPr="00B75B77" w:rsidRDefault="007C2227" w:rsidP="005459F4">
            <w:pPr>
              <w:jc w:val="left"/>
              <w:rPr>
                <w:rFonts w:ascii="Calibri" w:eastAsia="Times New Roman" w:hAnsi="Calibri"/>
                <w:b/>
                <w:bCs/>
                <w:color w:val="FFFFFF"/>
                <w:sz w:val="18"/>
                <w:szCs w:val="18"/>
              </w:rPr>
            </w:pPr>
          </w:p>
        </w:tc>
        <w:tc>
          <w:tcPr>
            <w:tcW w:w="1294" w:type="dxa"/>
            <w:vMerge/>
            <w:tcBorders>
              <w:top w:val="single" w:sz="4" w:space="0" w:color="auto"/>
              <w:left w:val="single" w:sz="4" w:space="0" w:color="auto"/>
              <w:bottom w:val="single" w:sz="4" w:space="0" w:color="000000"/>
              <w:right w:val="single" w:sz="4" w:space="0" w:color="auto"/>
            </w:tcBorders>
            <w:vAlign w:val="center"/>
            <w:hideMark/>
          </w:tcPr>
          <w:p w:rsidR="007C2227" w:rsidRPr="00B75B77" w:rsidRDefault="007C2227" w:rsidP="005459F4">
            <w:pPr>
              <w:jc w:val="left"/>
              <w:rPr>
                <w:rFonts w:ascii="Calibri" w:eastAsia="Times New Roman" w:hAnsi="Calibri"/>
                <w:b/>
                <w:bCs/>
                <w:color w:val="FFFFFF"/>
                <w:sz w:val="18"/>
                <w:szCs w:val="18"/>
              </w:rPr>
            </w:pPr>
          </w:p>
        </w:tc>
        <w:tc>
          <w:tcPr>
            <w:tcW w:w="1620" w:type="dxa"/>
            <w:vMerge/>
            <w:tcBorders>
              <w:top w:val="single" w:sz="4" w:space="0" w:color="auto"/>
              <w:left w:val="single" w:sz="4" w:space="0" w:color="auto"/>
              <w:bottom w:val="single" w:sz="4" w:space="0" w:color="000000"/>
              <w:right w:val="single" w:sz="4" w:space="0" w:color="auto"/>
            </w:tcBorders>
            <w:vAlign w:val="center"/>
            <w:hideMark/>
          </w:tcPr>
          <w:p w:rsidR="007C2227" w:rsidRPr="00B75B77" w:rsidRDefault="007C2227" w:rsidP="005459F4">
            <w:pPr>
              <w:jc w:val="left"/>
              <w:rPr>
                <w:rFonts w:ascii="Calibri" w:eastAsia="Times New Roman" w:hAnsi="Calibri"/>
                <w:b/>
                <w:bCs/>
                <w:color w:val="FFFFFF"/>
                <w:sz w:val="18"/>
                <w:szCs w:val="18"/>
              </w:rPr>
            </w:pPr>
          </w:p>
        </w:tc>
        <w:tc>
          <w:tcPr>
            <w:tcW w:w="1496" w:type="dxa"/>
            <w:vMerge/>
            <w:tcBorders>
              <w:top w:val="single" w:sz="4" w:space="0" w:color="auto"/>
              <w:left w:val="single" w:sz="4" w:space="0" w:color="auto"/>
              <w:bottom w:val="single" w:sz="4" w:space="0" w:color="000000"/>
              <w:right w:val="single" w:sz="4" w:space="0" w:color="auto"/>
            </w:tcBorders>
            <w:vAlign w:val="center"/>
            <w:hideMark/>
          </w:tcPr>
          <w:p w:rsidR="007C2227" w:rsidRPr="00B75B77" w:rsidRDefault="007C2227" w:rsidP="005459F4">
            <w:pPr>
              <w:jc w:val="left"/>
              <w:rPr>
                <w:rFonts w:ascii="Calibri" w:eastAsia="Times New Roman" w:hAnsi="Calibri"/>
                <w:b/>
                <w:bCs/>
                <w:color w:val="FFFFFF"/>
                <w:sz w:val="18"/>
                <w:szCs w:val="18"/>
              </w:rPr>
            </w:pPr>
          </w:p>
        </w:tc>
        <w:tc>
          <w:tcPr>
            <w:tcW w:w="1710" w:type="dxa"/>
            <w:vMerge/>
            <w:tcBorders>
              <w:top w:val="single" w:sz="4" w:space="0" w:color="auto"/>
              <w:left w:val="single" w:sz="4" w:space="0" w:color="auto"/>
              <w:bottom w:val="single" w:sz="4" w:space="0" w:color="000000"/>
              <w:right w:val="single" w:sz="4" w:space="0" w:color="auto"/>
            </w:tcBorders>
            <w:vAlign w:val="center"/>
            <w:hideMark/>
          </w:tcPr>
          <w:p w:rsidR="007C2227" w:rsidRPr="00B75B77" w:rsidRDefault="007C2227" w:rsidP="005459F4">
            <w:pPr>
              <w:jc w:val="left"/>
              <w:rPr>
                <w:rFonts w:ascii="Calibri" w:eastAsia="Times New Roman" w:hAnsi="Calibri"/>
                <w:b/>
                <w:bCs/>
                <w:color w:val="FFFFFF"/>
                <w:sz w:val="18"/>
                <w:szCs w:val="18"/>
              </w:rPr>
            </w:pPr>
          </w:p>
        </w:tc>
      </w:tr>
      <w:tr w:rsidR="007C2227" w:rsidRPr="00B75B77" w:rsidTr="005459F4">
        <w:trPr>
          <w:divId w:val="1039937226"/>
          <w:trHeight w:val="288"/>
        </w:trPr>
        <w:tc>
          <w:tcPr>
            <w:tcW w:w="1885" w:type="dxa"/>
            <w:vMerge/>
            <w:tcBorders>
              <w:top w:val="single" w:sz="4" w:space="0" w:color="auto"/>
              <w:left w:val="single" w:sz="4" w:space="0" w:color="auto"/>
              <w:bottom w:val="single" w:sz="4" w:space="0" w:color="000000"/>
              <w:right w:val="single" w:sz="4" w:space="0" w:color="auto"/>
            </w:tcBorders>
            <w:vAlign w:val="center"/>
            <w:hideMark/>
          </w:tcPr>
          <w:p w:rsidR="007C2227" w:rsidRPr="00B75B77" w:rsidRDefault="007C2227" w:rsidP="005459F4">
            <w:pPr>
              <w:jc w:val="left"/>
              <w:rPr>
                <w:rFonts w:ascii="Calibri" w:eastAsia="Times New Roman" w:hAnsi="Calibri"/>
                <w:b/>
                <w:bCs/>
                <w:color w:val="FFFFFF"/>
                <w:sz w:val="18"/>
                <w:szCs w:val="18"/>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7C2227" w:rsidRPr="00B75B77" w:rsidRDefault="007C2227" w:rsidP="005459F4">
            <w:pPr>
              <w:jc w:val="left"/>
              <w:rPr>
                <w:rFonts w:ascii="Calibri" w:eastAsia="Times New Roman" w:hAnsi="Calibri"/>
                <w:b/>
                <w:bCs/>
                <w:color w:val="FFFFFF"/>
                <w:sz w:val="18"/>
                <w:szCs w:val="18"/>
              </w:rPr>
            </w:pPr>
          </w:p>
        </w:tc>
        <w:tc>
          <w:tcPr>
            <w:tcW w:w="1294" w:type="dxa"/>
            <w:vMerge/>
            <w:tcBorders>
              <w:top w:val="single" w:sz="4" w:space="0" w:color="auto"/>
              <w:left w:val="single" w:sz="4" w:space="0" w:color="auto"/>
              <w:bottom w:val="single" w:sz="4" w:space="0" w:color="000000"/>
              <w:right w:val="single" w:sz="4" w:space="0" w:color="auto"/>
            </w:tcBorders>
            <w:vAlign w:val="center"/>
            <w:hideMark/>
          </w:tcPr>
          <w:p w:rsidR="007C2227" w:rsidRPr="00B75B77" w:rsidRDefault="007C2227" w:rsidP="005459F4">
            <w:pPr>
              <w:jc w:val="left"/>
              <w:rPr>
                <w:rFonts w:ascii="Calibri" w:eastAsia="Times New Roman" w:hAnsi="Calibri"/>
                <w:b/>
                <w:bCs/>
                <w:color w:val="FFFFFF"/>
                <w:sz w:val="18"/>
                <w:szCs w:val="18"/>
              </w:rPr>
            </w:pPr>
          </w:p>
        </w:tc>
        <w:tc>
          <w:tcPr>
            <w:tcW w:w="1620" w:type="dxa"/>
            <w:vMerge/>
            <w:tcBorders>
              <w:top w:val="single" w:sz="4" w:space="0" w:color="auto"/>
              <w:left w:val="single" w:sz="4" w:space="0" w:color="auto"/>
              <w:bottom w:val="single" w:sz="4" w:space="0" w:color="000000"/>
              <w:right w:val="single" w:sz="4" w:space="0" w:color="auto"/>
            </w:tcBorders>
            <w:vAlign w:val="center"/>
            <w:hideMark/>
          </w:tcPr>
          <w:p w:rsidR="007C2227" w:rsidRPr="00B75B77" w:rsidRDefault="007C2227" w:rsidP="005459F4">
            <w:pPr>
              <w:jc w:val="left"/>
              <w:rPr>
                <w:rFonts w:ascii="Calibri" w:eastAsia="Times New Roman" w:hAnsi="Calibri"/>
                <w:b/>
                <w:bCs/>
                <w:color w:val="FFFFFF"/>
                <w:sz w:val="18"/>
                <w:szCs w:val="18"/>
              </w:rPr>
            </w:pPr>
          </w:p>
        </w:tc>
        <w:tc>
          <w:tcPr>
            <w:tcW w:w="1496" w:type="dxa"/>
            <w:vMerge/>
            <w:tcBorders>
              <w:top w:val="single" w:sz="4" w:space="0" w:color="auto"/>
              <w:left w:val="single" w:sz="4" w:space="0" w:color="auto"/>
              <w:bottom w:val="single" w:sz="4" w:space="0" w:color="000000"/>
              <w:right w:val="single" w:sz="4" w:space="0" w:color="auto"/>
            </w:tcBorders>
            <w:vAlign w:val="center"/>
            <w:hideMark/>
          </w:tcPr>
          <w:p w:rsidR="007C2227" w:rsidRPr="00B75B77" w:rsidRDefault="007C2227" w:rsidP="005459F4">
            <w:pPr>
              <w:jc w:val="left"/>
              <w:rPr>
                <w:rFonts w:ascii="Calibri" w:eastAsia="Times New Roman" w:hAnsi="Calibri"/>
                <w:b/>
                <w:bCs/>
                <w:color w:val="FFFFFF"/>
                <w:sz w:val="18"/>
                <w:szCs w:val="18"/>
              </w:rPr>
            </w:pPr>
          </w:p>
        </w:tc>
        <w:tc>
          <w:tcPr>
            <w:tcW w:w="1710" w:type="dxa"/>
            <w:vMerge/>
            <w:tcBorders>
              <w:top w:val="single" w:sz="4" w:space="0" w:color="auto"/>
              <w:left w:val="single" w:sz="4" w:space="0" w:color="auto"/>
              <w:bottom w:val="single" w:sz="4" w:space="0" w:color="000000"/>
              <w:right w:val="single" w:sz="4" w:space="0" w:color="auto"/>
            </w:tcBorders>
            <w:vAlign w:val="center"/>
            <w:hideMark/>
          </w:tcPr>
          <w:p w:rsidR="007C2227" w:rsidRPr="00B75B77" w:rsidRDefault="007C2227" w:rsidP="005459F4">
            <w:pPr>
              <w:jc w:val="left"/>
              <w:rPr>
                <w:rFonts w:ascii="Calibri" w:eastAsia="Times New Roman" w:hAnsi="Calibri"/>
                <w:b/>
                <w:bCs/>
                <w:color w:val="FFFFFF"/>
                <w:sz w:val="18"/>
                <w:szCs w:val="18"/>
              </w:rPr>
            </w:pPr>
          </w:p>
        </w:tc>
      </w:tr>
      <w:tr w:rsidR="007C2227" w:rsidRPr="00B75B77" w:rsidTr="005459F4">
        <w:trPr>
          <w:divId w:val="1039937226"/>
          <w:trHeight w:val="288"/>
        </w:trPr>
        <w:tc>
          <w:tcPr>
            <w:tcW w:w="1885" w:type="dxa"/>
            <w:tcBorders>
              <w:top w:val="nil"/>
              <w:left w:val="single" w:sz="4" w:space="0" w:color="448A99"/>
              <w:bottom w:val="single" w:sz="4" w:space="0" w:color="448A99"/>
              <w:right w:val="single" w:sz="4" w:space="0" w:color="448A99"/>
            </w:tcBorders>
            <w:shd w:val="clear" w:color="auto" w:fill="D2EAF1"/>
            <w:vAlign w:val="center"/>
            <w:hideMark/>
          </w:tcPr>
          <w:p w:rsidR="007C2227" w:rsidRPr="00B75B77" w:rsidRDefault="007C2227" w:rsidP="005459F4">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Commercial Participants</w:t>
            </w:r>
          </w:p>
        </w:tc>
        <w:tc>
          <w:tcPr>
            <w:tcW w:w="1800" w:type="dxa"/>
            <w:tcBorders>
              <w:top w:val="nil"/>
              <w:left w:val="nil"/>
              <w:bottom w:val="single" w:sz="4" w:space="0" w:color="448A99"/>
              <w:right w:val="single" w:sz="4" w:space="0" w:color="448A99"/>
            </w:tcBorders>
            <w:shd w:val="clear" w:color="auto" w:fill="D2EAF1"/>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3.0</w:t>
            </w:r>
          </w:p>
        </w:tc>
        <w:tc>
          <w:tcPr>
            <w:tcW w:w="1294" w:type="dxa"/>
            <w:tcBorders>
              <w:top w:val="nil"/>
              <w:left w:val="nil"/>
              <w:bottom w:val="single" w:sz="4" w:space="0" w:color="448A99"/>
              <w:right w:val="single" w:sz="4" w:space="0" w:color="448A99"/>
            </w:tcBorders>
            <w:shd w:val="clear" w:color="auto" w:fill="D2EAF1"/>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0.18</w:t>
            </w:r>
          </w:p>
        </w:tc>
        <w:tc>
          <w:tcPr>
            <w:tcW w:w="1620" w:type="dxa"/>
            <w:tcBorders>
              <w:top w:val="nil"/>
              <w:left w:val="nil"/>
              <w:bottom w:val="single" w:sz="4" w:space="0" w:color="448A99"/>
              <w:right w:val="single" w:sz="4" w:space="0" w:color="448A99"/>
            </w:tcBorders>
            <w:shd w:val="clear" w:color="auto" w:fill="D2EAF1"/>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0.6</w:t>
            </w:r>
          </w:p>
        </w:tc>
        <w:tc>
          <w:tcPr>
            <w:tcW w:w="1496"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710"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5459F4">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r>
      <w:tr w:rsidR="007C2227" w:rsidRPr="00B75B77" w:rsidTr="005459F4">
        <w:trPr>
          <w:divId w:val="1039937226"/>
          <w:trHeight w:val="288"/>
        </w:trPr>
        <w:tc>
          <w:tcPr>
            <w:tcW w:w="1885" w:type="dxa"/>
            <w:tcBorders>
              <w:top w:val="nil"/>
              <w:left w:val="single" w:sz="4" w:space="0" w:color="448A99"/>
              <w:bottom w:val="single" w:sz="4" w:space="0" w:color="448A99"/>
              <w:right w:val="single" w:sz="4" w:space="0" w:color="448A99"/>
            </w:tcBorders>
            <w:shd w:val="clear" w:color="auto" w:fill="FFFFFF"/>
            <w:vAlign w:val="center"/>
            <w:hideMark/>
          </w:tcPr>
          <w:p w:rsidR="007C2227" w:rsidRPr="00B75B77" w:rsidRDefault="007C2227" w:rsidP="005459F4">
            <w:pPr>
              <w:jc w:val="left"/>
              <w:rPr>
                <w:rFonts w:ascii="Calibri" w:eastAsia="Times New Roman" w:hAnsi="Calibri"/>
                <w:color w:val="000000"/>
                <w:sz w:val="18"/>
                <w:szCs w:val="18"/>
              </w:rPr>
            </w:pPr>
            <w:r w:rsidRPr="00B75B77">
              <w:rPr>
                <w:rFonts w:ascii="Calibri" w:eastAsia="Times New Roman" w:hAnsi="Calibri"/>
                <w:b/>
                <w:color w:val="000000"/>
                <w:sz w:val="18"/>
                <w:szCs w:val="18"/>
              </w:rPr>
              <w:t>PROGRAM TOTAL</w:t>
            </w:r>
          </w:p>
        </w:tc>
        <w:tc>
          <w:tcPr>
            <w:tcW w:w="1800" w:type="dxa"/>
            <w:tcBorders>
              <w:top w:val="nil"/>
              <w:left w:val="nil"/>
              <w:bottom w:val="single" w:sz="4" w:space="0" w:color="448A99"/>
              <w:right w:val="single" w:sz="4" w:space="0" w:color="448A99"/>
            </w:tcBorders>
            <w:shd w:val="clear" w:color="auto" w:fill="FFFFFF"/>
            <w:vAlign w:val="center"/>
            <w:hideMark/>
          </w:tcPr>
          <w:p w:rsidR="007C2227" w:rsidRPr="00B75B77" w:rsidRDefault="007C2227" w:rsidP="005459F4">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3.0</w:t>
            </w:r>
          </w:p>
        </w:tc>
        <w:tc>
          <w:tcPr>
            <w:tcW w:w="1294" w:type="dxa"/>
            <w:tcBorders>
              <w:top w:val="nil"/>
              <w:left w:val="nil"/>
              <w:bottom w:val="single" w:sz="4" w:space="0" w:color="448A99"/>
              <w:right w:val="single" w:sz="4" w:space="0" w:color="448A99"/>
            </w:tcBorders>
            <w:shd w:val="clear" w:color="auto" w:fill="FFFFFF"/>
            <w:vAlign w:val="center"/>
            <w:hideMark/>
          </w:tcPr>
          <w:p w:rsidR="007C2227" w:rsidRPr="00B75B77" w:rsidRDefault="007C2227" w:rsidP="005459F4">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0.18</w:t>
            </w:r>
          </w:p>
        </w:tc>
        <w:tc>
          <w:tcPr>
            <w:tcW w:w="1620" w:type="dxa"/>
            <w:tcBorders>
              <w:top w:val="nil"/>
              <w:left w:val="nil"/>
              <w:bottom w:val="single" w:sz="4" w:space="0" w:color="448A99"/>
              <w:right w:val="single" w:sz="4" w:space="0" w:color="448A99"/>
            </w:tcBorders>
            <w:shd w:val="clear" w:color="auto" w:fill="FFFFFF"/>
            <w:vAlign w:val="center"/>
            <w:hideMark/>
          </w:tcPr>
          <w:p w:rsidR="007C2227" w:rsidRPr="00B75B77" w:rsidRDefault="007C2227" w:rsidP="005459F4">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0.6</w:t>
            </w:r>
          </w:p>
        </w:tc>
        <w:tc>
          <w:tcPr>
            <w:tcW w:w="1496" w:type="dxa"/>
            <w:tcBorders>
              <w:top w:val="nil"/>
              <w:left w:val="nil"/>
              <w:bottom w:val="single" w:sz="4" w:space="0" w:color="448A99"/>
              <w:right w:val="single" w:sz="4" w:space="0" w:color="448A99"/>
            </w:tcBorders>
            <w:shd w:val="clear" w:color="000000" w:fill="FFFFFF"/>
            <w:vAlign w:val="center"/>
            <w:hideMark/>
          </w:tcPr>
          <w:p w:rsidR="007C2227" w:rsidRPr="00B75B77" w:rsidRDefault="007C2227" w:rsidP="005459F4">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N/A</w:t>
            </w:r>
          </w:p>
        </w:tc>
        <w:tc>
          <w:tcPr>
            <w:tcW w:w="1710" w:type="dxa"/>
            <w:tcBorders>
              <w:top w:val="nil"/>
              <w:left w:val="nil"/>
              <w:bottom w:val="single" w:sz="4" w:space="0" w:color="448A99"/>
              <w:right w:val="single" w:sz="4" w:space="0" w:color="448A99"/>
            </w:tcBorders>
            <w:shd w:val="clear" w:color="000000" w:fill="FFFFFF"/>
            <w:vAlign w:val="center"/>
            <w:hideMark/>
          </w:tcPr>
          <w:p w:rsidR="007C2227" w:rsidRPr="00B75B77" w:rsidRDefault="007C2227" w:rsidP="005459F4">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N/A</w:t>
            </w:r>
          </w:p>
        </w:tc>
      </w:tr>
    </w:tbl>
    <w:p w:rsidR="007C2227" w:rsidRPr="00B75B77" w:rsidRDefault="007C2227" w:rsidP="005459F4">
      <w:pPr>
        <w:keepNext/>
        <w:spacing w:before="20" w:after="20"/>
        <w:jc w:val="left"/>
        <w:rPr>
          <w:rFonts w:ascii="Calibri" w:eastAsia="Times New Roman" w:hAnsi="Calibri"/>
          <w:color w:val="000000"/>
          <w:sz w:val="18"/>
          <w:szCs w:val="18"/>
        </w:rPr>
      </w:pPr>
      <w:r w:rsidRPr="00B75B77">
        <w:rPr>
          <w:rFonts w:ascii="Calibri" w:eastAsia="Times New Roman" w:hAnsi="Calibri"/>
          <w:color w:val="000000"/>
          <w:sz w:val="18"/>
          <w:szCs w:val="18"/>
          <w:vertAlign w:val="superscript"/>
        </w:rPr>
        <w:t>[1]</w:t>
      </w:r>
      <w:r w:rsidRPr="00B75B77">
        <w:rPr>
          <w:rFonts w:ascii="Calibri" w:eastAsia="Times New Roman" w:hAnsi="Calibri"/>
          <w:color w:val="000000"/>
          <w:sz w:val="18"/>
          <w:szCs w:val="18"/>
        </w:rPr>
        <w:t xml:space="preserve"> All reported and verified demand savings in this report include line losses as required.</w:t>
      </w:r>
    </w:p>
    <w:p w:rsidR="007C2227" w:rsidRPr="00B75B77" w:rsidRDefault="007C2227" w:rsidP="005459F4">
      <w:pPr>
        <w:keepNext/>
        <w:spacing w:before="20" w:after="20"/>
        <w:jc w:val="left"/>
        <w:rPr>
          <w:rFonts w:eastAsia="Times New Roman"/>
          <w:sz w:val="18"/>
          <w:szCs w:val="20"/>
        </w:rPr>
      </w:pPr>
      <w:r w:rsidRPr="00B75B77">
        <w:rPr>
          <w:rFonts w:ascii="Calibri" w:eastAsia="Times New Roman" w:hAnsi="Calibri"/>
          <w:iCs/>
          <w:color w:val="000000"/>
          <w:sz w:val="18"/>
          <w:szCs w:val="18"/>
        </w:rPr>
        <w:t>Note: Values in tables may not reconcile exactly with the sum of more detailed level results or previously reported results due to rounding.</w:t>
      </w:r>
    </w:p>
    <w:p w:rsidR="007C2227" w:rsidRPr="00B75B77" w:rsidRDefault="007C2227" w:rsidP="005459F4">
      <w:pPr>
        <w:pStyle w:val="Source"/>
        <w:spacing w:after="120"/>
        <w:ind w:left="0" w:firstLine="0"/>
      </w:pPr>
      <w:r w:rsidRPr="00B75B77">
        <w:t>Source: Navigant analysis</w:t>
      </w:r>
    </w:p>
    <w:p w:rsidR="007C2227" w:rsidRPr="00B75B77" w:rsidRDefault="007C2227" w:rsidP="003E6A9B">
      <w:pPr>
        <w:pStyle w:val="Heading2"/>
      </w:pPr>
      <w:bookmarkStart w:id="685" w:name="_Toc464230447"/>
      <w:bookmarkStart w:id="686" w:name="_Toc466413389"/>
      <w:bookmarkEnd w:id="685"/>
      <w:r w:rsidRPr="00B75B77">
        <w:t>Impact Evaluation Net Savings</w:t>
      </w:r>
      <w:bookmarkEnd w:id="686"/>
      <w:r w:rsidRPr="00B75B77">
        <w:t xml:space="preserve"> </w:t>
      </w:r>
    </w:p>
    <w:p w:rsidR="007C2227" w:rsidRPr="00B75B77" w:rsidRDefault="007C2227" w:rsidP="005459F4">
      <w:r w:rsidRPr="00B75B77">
        <w:t xml:space="preserve">Navigant did not conduct research to determine </w:t>
      </w:r>
      <w:r w:rsidR="00487335" w:rsidRPr="00B75B77">
        <w:t>NTG</w:t>
      </w:r>
      <w:r w:rsidRPr="00B75B77">
        <w:t xml:space="preserve"> for this program, as per the approved evaluation plan. Navigant assumes that none of the program participants would have curtailed load at the times PECO dispatched the program without the incentives that the CSPs paid to them for their load curtailment</w:t>
      </w:r>
      <w:r w:rsidR="00487335" w:rsidRPr="00B75B77">
        <w:t>;</w:t>
      </w:r>
      <w:r w:rsidRPr="00B75B77">
        <w:t xml:space="preserve"> thus</w:t>
      </w:r>
      <w:r w:rsidR="00487335" w:rsidRPr="00B75B77">
        <w:t>,</w:t>
      </w:r>
      <w:r w:rsidRPr="00B75B77">
        <w:t xml:space="preserve"> the free</w:t>
      </w:r>
      <w:r w:rsidR="00011499" w:rsidRPr="00B75B77">
        <w:t xml:space="preserve"> </w:t>
      </w:r>
      <w:r w:rsidRPr="00B75B77">
        <w:t>ridership value is zero.</w:t>
      </w:r>
    </w:p>
    <w:p w:rsidR="007C2227" w:rsidRPr="00B75B77" w:rsidRDefault="007C2227" w:rsidP="009A1E1A">
      <w:pPr>
        <w:jc w:val="left"/>
      </w:pPr>
    </w:p>
    <w:p w:rsidR="007C2227" w:rsidRPr="00B75B77" w:rsidRDefault="007C2227" w:rsidP="00963027">
      <w:pPr>
        <w:pStyle w:val="Heading2"/>
        <w:keepNext/>
      </w:pPr>
      <w:bookmarkStart w:id="687" w:name="_Toc466413390"/>
      <w:r w:rsidRPr="00B75B77">
        <w:t>Process Evaluation</w:t>
      </w:r>
      <w:bookmarkEnd w:id="687"/>
    </w:p>
    <w:p w:rsidR="007C2227" w:rsidRPr="00B75B77" w:rsidRDefault="007C2227" w:rsidP="00487335">
      <w:r w:rsidRPr="00B75B77">
        <w:t>For the PY7 process evaluation, Navigant employed the following methods:</w:t>
      </w:r>
    </w:p>
    <w:p w:rsidR="007C2227" w:rsidRPr="00B75B77" w:rsidRDefault="007C2227" w:rsidP="009E08FB">
      <w:pPr>
        <w:pStyle w:val="ListParagraph"/>
        <w:numPr>
          <w:ilvl w:val="0"/>
          <w:numId w:val="57"/>
        </w:numPr>
        <w:ind w:left="720" w:hanging="360"/>
        <w:contextualSpacing w:val="0"/>
      </w:pPr>
      <w:r w:rsidRPr="00B75B77">
        <w:t>Participant survey</w:t>
      </w:r>
    </w:p>
    <w:p w:rsidR="007C2227" w:rsidRPr="00B75B77" w:rsidRDefault="007C2227" w:rsidP="009E08FB">
      <w:pPr>
        <w:pStyle w:val="ListParagraph"/>
        <w:numPr>
          <w:ilvl w:val="0"/>
          <w:numId w:val="57"/>
        </w:numPr>
        <w:ind w:left="720" w:hanging="360"/>
        <w:contextualSpacing w:val="0"/>
      </w:pPr>
      <w:r w:rsidRPr="00B75B77">
        <w:t>In-depth interview with PECO program manager</w:t>
      </w:r>
    </w:p>
    <w:p w:rsidR="007C2227" w:rsidRPr="00B75B77" w:rsidRDefault="007C2227" w:rsidP="009E08FB">
      <w:pPr>
        <w:pStyle w:val="ListParagraph"/>
        <w:numPr>
          <w:ilvl w:val="0"/>
          <w:numId w:val="57"/>
        </w:numPr>
        <w:ind w:left="720" w:hanging="360"/>
        <w:contextualSpacing w:val="0"/>
      </w:pPr>
      <w:r w:rsidRPr="00B75B77">
        <w:t>Review of Smart AC Saver program marketing materials</w:t>
      </w:r>
    </w:p>
    <w:p w:rsidR="007C2227" w:rsidRPr="00B75B77" w:rsidRDefault="007C2227" w:rsidP="009E08FB">
      <w:pPr>
        <w:pStyle w:val="ListParagraph"/>
        <w:numPr>
          <w:ilvl w:val="0"/>
          <w:numId w:val="57"/>
        </w:numPr>
        <w:ind w:left="720" w:hanging="360"/>
        <w:contextualSpacing w:val="0"/>
      </w:pPr>
      <w:r w:rsidRPr="00B75B77">
        <w:t>Review of the program tracking database and program finances</w:t>
      </w:r>
    </w:p>
    <w:p w:rsidR="00487335" w:rsidRPr="00B75B77" w:rsidRDefault="00487335" w:rsidP="00487335">
      <w:pPr>
        <w:pStyle w:val="ListParagraph"/>
        <w:contextualSpacing w:val="0"/>
      </w:pPr>
    </w:p>
    <w:p w:rsidR="007C2227" w:rsidRPr="00B75B77" w:rsidRDefault="007C2227" w:rsidP="005459F4">
      <w:pPr>
        <w:rPr>
          <w:rFonts w:eastAsia="Times New Roman" w:cstheme="minorHAnsi"/>
          <w:bCs/>
          <w:iCs/>
          <w:kern w:val="28"/>
          <w:szCs w:val="20"/>
        </w:rPr>
      </w:pPr>
      <w:r w:rsidRPr="00B75B77">
        <w:rPr>
          <w:rFonts w:eastAsia="Times New Roman" w:cstheme="minorHAnsi"/>
          <w:bCs/>
          <w:iCs/>
          <w:kern w:val="28"/>
          <w:szCs w:val="20"/>
        </w:rPr>
        <w:t>In its petition of the Pennsylvania PUC to continue the mass-market DLC program (i.e., the Smart AC Saver program) in Phase II, PECO stated the program was designed to preserve the commercial DLC measure as a DR resource and to retain existing participants. Furthermore, PECO wanted to maintain the population of active load control devices by replacing customers that exited the Smart AC Saver program during the course of Phase II.</w:t>
      </w:r>
    </w:p>
    <w:p w:rsidR="007C2227" w:rsidRPr="00B75B77" w:rsidRDefault="007C2227" w:rsidP="00963027">
      <w:pPr>
        <w:keepNext/>
        <w:rPr>
          <w:color w:val="000000"/>
        </w:rPr>
      </w:pPr>
    </w:p>
    <w:p w:rsidR="007C2227" w:rsidRPr="00B75B77" w:rsidRDefault="007C2227" w:rsidP="005459F4">
      <w:pPr>
        <w:pStyle w:val="Heading3"/>
      </w:pPr>
      <w:bookmarkStart w:id="688" w:name="_Toc466413391"/>
      <w:r w:rsidRPr="00B75B77">
        <w:t>Process Evaluation Methodology</w:t>
      </w:r>
      <w:bookmarkEnd w:id="688"/>
      <w:r w:rsidRPr="00B75B77">
        <w:t xml:space="preserve"> </w:t>
      </w:r>
    </w:p>
    <w:p w:rsidR="007C2227" w:rsidRPr="00B75B77" w:rsidRDefault="007C2227" w:rsidP="005459F4">
      <w:r w:rsidRPr="00B75B77">
        <w:t>The Navigant team conducted a phone survey of commercial participants to study program satisfaction and understand other aspects of the program participant experience. The team also conducted one in-depth interview with PECO program staff to understand the dates and durations of conservation events as well as PECO’s efforts to recruit new customers and utilize its back stock of hardware for these new installations. Further</w:t>
      </w:r>
      <w:r w:rsidR="00487335" w:rsidRPr="00B75B77">
        <w:t>more</w:t>
      </w:r>
      <w:r w:rsidRPr="00B75B77">
        <w:t>, the team sought to understand the plan for the Smart AC Saver program in PY7</w:t>
      </w:r>
      <w:r w:rsidR="00487335" w:rsidRPr="00B75B77">
        <w:t>,</w:t>
      </w:r>
      <w:r w:rsidRPr="00B75B77">
        <w:t xml:space="preserve"> as well as potential design modifications to the program in Phase III of Act 129.</w:t>
      </w:r>
    </w:p>
    <w:p w:rsidR="007C2227" w:rsidRPr="00B75B77" w:rsidRDefault="007C2227" w:rsidP="005459F4"/>
    <w:p w:rsidR="007C2227" w:rsidRPr="00B75B77" w:rsidRDefault="00EB5298" w:rsidP="005459F4">
      <w:r w:rsidRPr="00B75B77">
        <w:fldChar w:fldCharType="begin"/>
      </w:r>
      <w:r w:rsidRPr="00B75B77">
        <w:instrText xml:space="preserve"> REF _Ref464226877 \h </w:instrText>
      </w:r>
      <w:r w:rsidR="00B75B77">
        <w:instrText xml:space="preserve"> \* MERGEFORMAT </w:instrText>
      </w:r>
      <w:r w:rsidRPr="00B75B77">
        <w:fldChar w:fldCharType="separate"/>
      </w:r>
      <w:r w:rsidR="0004016D" w:rsidRPr="00B75B77">
        <w:t xml:space="preserve">Table </w:t>
      </w:r>
      <w:r w:rsidR="0004016D">
        <w:rPr>
          <w:noProof/>
        </w:rPr>
        <w:t>10</w:t>
      </w:r>
      <w:r w:rsidR="0004016D" w:rsidRPr="00B75B77">
        <w:rPr>
          <w:noProof/>
        </w:rPr>
        <w:noBreakHyphen/>
      </w:r>
      <w:r w:rsidR="0004016D">
        <w:rPr>
          <w:noProof/>
        </w:rPr>
        <w:t>4</w:t>
      </w:r>
      <w:r w:rsidRPr="00B75B77">
        <w:fldChar w:fldCharType="end"/>
      </w:r>
      <w:r w:rsidR="007C2227" w:rsidRPr="00B75B77">
        <w:t xml:space="preserve"> demonstrates the sampling strategies used by Navigant in the process evaluation activities. The sample size of 70 was selected in order to achieve 90% confidence and 10% relative precision (with an assumed CV of 0.5) for the quantitative results of the survey. </w:t>
      </w:r>
    </w:p>
    <w:p w:rsidR="007C2227" w:rsidRPr="00B75B77" w:rsidRDefault="007C2227" w:rsidP="00AE45CC">
      <w:pPr>
        <w:ind w:left="360"/>
        <w:rPr>
          <w:rFonts w:eastAsia="Times New Roman"/>
          <w:color w:val="000000"/>
        </w:rPr>
      </w:pPr>
    </w:p>
    <w:p w:rsidR="007C2227" w:rsidRPr="00B75B77" w:rsidRDefault="007C2227" w:rsidP="005459F4">
      <w:pPr>
        <w:pStyle w:val="Caption"/>
      </w:pPr>
      <w:bookmarkStart w:id="689" w:name="_Ref464226877"/>
      <w:bookmarkStart w:id="690" w:name="_Toc466413585"/>
      <w:r w:rsidRPr="00B75B77">
        <w:t xml:space="preserve">Table </w:t>
      </w:r>
      <w:fldSimple w:instr=" STYLEREF 1 \s ">
        <w:r w:rsidR="0004016D">
          <w:rPr>
            <w:noProof/>
          </w:rPr>
          <w:t>10</w:t>
        </w:r>
      </w:fldSimple>
      <w:r w:rsidR="00F1144C" w:rsidRPr="00B75B77">
        <w:noBreakHyphen/>
      </w:r>
      <w:fldSimple w:instr=" SEQ Table \* ARABIC \s 1 ">
        <w:r w:rsidR="0004016D">
          <w:rPr>
            <w:noProof/>
          </w:rPr>
          <w:t>4</w:t>
        </w:r>
      </w:fldSimple>
      <w:bookmarkEnd w:id="689"/>
      <w:r w:rsidRPr="00B75B77">
        <w:t>: Commercial AC Saver Process Sampling Strategy for PY7</w:t>
      </w:r>
      <w:bookmarkEnd w:id="690"/>
      <w:r w:rsidRPr="00B75B77">
        <w:t xml:space="preserve"> </w:t>
      </w:r>
    </w:p>
    <w:tbl>
      <w:tblPr>
        <w:tblStyle w:val="PECOTeal"/>
        <w:tblW w:w="9350" w:type="dxa"/>
        <w:tblLook w:val="04A0" w:firstRow="1" w:lastRow="0" w:firstColumn="1" w:lastColumn="0" w:noHBand="0" w:noVBand="1"/>
      </w:tblPr>
      <w:tblGrid>
        <w:gridCol w:w="1615"/>
        <w:gridCol w:w="1035"/>
        <w:gridCol w:w="1305"/>
        <w:gridCol w:w="1080"/>
        <w:gridCol w:w="810"/>
        <w:gridCol w:w="905"/>
        <w:gridCol w:w="1345"/>
        <w:gridCol w:w="1255"/>
      </w:tblGrid>
      <w:tr w:rsidR="007C2227" w:rsidRPr="00B75B77" w:rsidTr="00EA1A8E">
        <w:trPr>
          <w:cnfStyle w:val="100000000000" w:firstRow="1" w:lastRow="0" w:firstColumn="0" w:lastColumn="0" w:oddVBand="0" w:evenVBand="0" w:oddHBand="0" w:evenHBand="0" w:firstRowFirstColumn="0" w:firstRowLastColumn="0" w:lastRowFirstColumn="0" w:lastRowLastColumn="0"/>
          <w:divId w:val="1225991649"/>
          <w:trHeight w:val="480"/>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2227" w:rsidRPr="00B75B77" w:rsidRDefault="007C2227" w:rsidP="00EB5298">
            <w:pPr>
              <w:jc w:val="left"/>
              <w:rPr>
                <w:rFonts w:ascii="Calibri" w:eastAsia="Times New Roman" w:hAnsi="Calibri"/>
                <w:bCs w:val="0"/>
                <w:color w:val="FFFFFF"/>
                <w:szCs w:val="18"/>
              </w:rPr>
            </w:pPr>
            <w:r w:rsidRPr="00B75B77">
              <w:rPr>
                <w:rFonts w:ascii="Calibri" w:eastAsia="Times New Roman" w:hAnsi="Calibri"/>
                <w:bCs w:val="0"/>
                <w:color w:val="FFFFFF"/>
                <w:szCs w:val="18"/>
              </w:rPr>
              <w:t>Target Group</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2227" w:rsidRPr="00B75B77" w:rsidRDefault="007C2227" w:rsidP="005459F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color w:val="FFFFFF"/>
                <w:szCs w:val="18"/>
              </w:rPr>
            </w:pPr>
            <w:r w:rsidRPr="00B75B77">
              <w:rPr>
                <w:rFonts w:ascii="Calibri" w:eastAsia="Times New Roman" w:hAnsi="Calibri"/>
                <w:bCs w:val="0"/>
                <w:color w:val="FFFFFF"/>
                <w:szCs w:val="18"/>
              </w:rPr>
              <w:t>Population Size</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2227" w:rsidRPr="00B75B77" w:rsidRDefault="007C2227" w:rsidP="005459F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color w:val="FFFFFF"/>
                <w:szCs w:val="18"/>
              </w:rPr>
            </w:pPr>
            <w:r w:rsidRPr="00B75B77">
              <w:rPr>
                <w:rFonts w:ascii="Calibri" w:eastAsia="Times New Roman" w:hAnsi="Calibri"/>
                <w:bCs w:val="0"/>
                <w:color w:val="FFFFFF"/>
                <w:szCs w:val="18"/>
              </w:rPr>
              <w:t>Assumed Proportion or CV in Sample Design</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2227" w:rsidRPr="00B75B77" w:rsidRDefault="00EB5298" w:rsidP="005459F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color w:val="FFFFFF"/>
                <w:szCs w:val="18"/>
              </w:rPr>
            </w:pPr>
            <w:r w:rsidRPr="00B75B77">
              <w:rPr>
                <w:rFonts w:ascii="Calibri" w:eastAsia="Times New Roman" w:hAnsi="Calibri"/>
                <w:bCs w:val="0"/>
                <w:color w:val="FFFFFF"/>
                <w:szCs w:val="18"/>
              </w:rPr>
              <w:t>Assumed Levels of Confidence and</w:t>
            </w:r>
            <w:r w:rsidR="007C2227" w:rsidRPr="00B75B77">
              <w:rPr>
                <w:rFonts w:ascii="Calibri" w:eastAsia="Times New Roman" w:hAnsi="Calibri"/>
                <w:bCs w:val="0"/>
                <w:color w:val="FFFFFF"/>
                <w:szCs w:val="18"/>
              </w:rPr>
              <w:t xml:space="preserve"> Precision</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2227" w:rsidRPr="00B75B77" w:rsidRDefault="007C2227" w:rsidP="005459F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color w:val="FFFFFF"/>
                <w:szCs w:val="18"/>
              </w:rPr>
            </w:pPr>
            <w:r w:rsidRPr="00B75B77">
              <w:rPr>
                <w:rFonts w:ascii="Calibri" w:eastAsia="Times New Roman" w:hAnsi="Calibri"/>
                <w:bCs w:val="0"/>
                <w:color w:val="FFFFFF"/>
                <w:szCs w:val="18"/>
              </w:rPr>
              <w:t>Target Sample Size</w:t>
            </w:r>
          </w:p>
        </w:tc>
        <w:tc>
          <w:tcPr>
            <w:tcW w:w="9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2227" w:rsidRPr="00B75B77" w:rsidRDefault="007C2227" w:rsidP="005459F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color w:val="FFFFFF"/>
                <w:szCs w:val="18"/>
              </w:rPr>
            </w:pPr>
            <w:r w:rsidRPr="00B75B77">
              <w:rPr>
                <w:rFonts w:ascii="Calibri" w:eastAsia="Times New Roman" w:hAnsi="Calibri"/>
                <w:bCs w:val="0"/>
                <w:color w:val="FFFFFF"/>
                <w:szCs w:val="18"/>
              </w:rPr>
              <w:t>Achieved Sample Size</w:t>
            </w:r>
          </w:p>
        </w:tc>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2227" w:rsidRPr="00B75B77" w:rsidRDefault="00237810" w:rsidP="005459F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szCs w:val="18"/>
              </w:rPr>
            </w:pPr>
            <w:hyperlink r:id="rId79" w:anchor="RANGE!_ftn1" w:history="1">
              <w:r w:rsidR="007C2227" w:rsidRPr="00B75B77">
                <w:t>Percent</w:t>
              </w:r>
              <w:r w:rsidR="00EB5298" w:rsidRPr="00B75B77">
                <w:t>age</w:t>
              </w:r>
              <w:r w:rsidR="007C2227" w:rsidRPr="00B75B77">
                <w:rPr>
                  <w:szCs w:val="18"/>
                </w:rPr>
                <w:t xml:space="preserve"> of Sample</w:t>
              </w:r>
              <w:r w:rsidR="007C2227" w:rsidRPr="00B75B77">
                <w:rPr>
                  <w:rFonts w:ascii="Calibri" w:eastAsia="Times New Roman" w:hAnsi="Calibri"/>
                  <w:bCs w:val="0"/>
                  <w:szCs w:val="18"/>
                </w:rPr>
                <w:t xml:space="preserve"> Frame Contacted</w:t>
              </w:r>
              <w:r w:rsidR="00307D11" w:rsidRPr="00B75B77">
                <w:rPr>
                  <w:rFonts w:ascii="Calibri" w:eastAsia="Times New Roman" w:hAnsi="Calibri"/>
                  <w:bCs w:val="0"/>
                  <w:szCs w:val="18"/>
                  <w:vertAlign w:val="superscript"/>
                </w:rPr>
                <w:t>[1]</w:t>
              </w:r>
              <w:r w:rsidR="007C2227" w:rsidRPr="00B75B77">
                <w:rPr>
                  <w:rFonts w:ascii="Calibri" w:eastAsia="Times New Roman" w:hAnsi="Calibri"/>
                  <w:bCs w:val="0"/>
                  <w:szCs w:val="18"/>
                  <w:vertAlign w:val="superscript"/>
                </w:rPr>
                <w:t xml:space="preserve"> </w:t>
              </w:r>
              <w:r w:rsidR="007C2227" w:rsidRPr="00B75B77">
                <w:rPr>
                  <w:rFonts w:ascii="Calibri" w:eastAsia="Times New Roman" w:hAnsi="Calibri"/>
                  <w:bCs w:val="0"/>
                  <w:szCs w:val="18"/>
                </w:rPr>
                <w:t>to Achieve Sample</w:t>
              </w:r>
            </w:hyperlink>
          </w:p>
        </w:tc>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2227" w:rsidRPr="00B75B77" w:rsidRDefault="007C2227" w:rsidP="00EA1A8E">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color w:val="FFFFFF"/>
                <w:szCs w:val="18"/>
              </w:rPr>
            </w:pPr>
            <w:r w:rsidRPr="00B75B77">
              <w:rPr>
                <w:rFonts w:ascii="Calibri" w:eastAsia="Times New Roman" w:hAnsi="Calibri"/>
                <w:bCs w:val="0"/>
                <w:color w:val="FFFFFF"/>
                <w:szCs w:val="18"/>
              </w:rPr>
              <w:t xml:space="preserve">Used </w:t>
            </w:r>
            <w:r w:rsidR="00EA1A8E" w:rsidRPr="00B75B77">
              <w:rPr>
                <w:rFonts w:ascii="Calibri" w:eastAsia="Times New Roman" w:hAnsi="Calibri"/>
                <w:bCs w:val="0"/>
                <w:color w:val="FFFFFF"/>
                <w:szCs w:val="18"/>
              </w:rPr>
              <w:t xml:space="preserve">for </w:t>
            </w:r>
            <w:r w:rsidRPr="00B75B77">
              <w:rPr>
                <w:rFonts w:ascii="Calibri" w:eastAsia="Times New Roman" w:hAnsi="Calibri"/>
                <w:bCs w:val="0"/>
                <w:color w:val="FFFFFF"/>
                <w:szCs w:val="18"/>
              </w:rPr>
              <w:t>Evaluation Activities (Impact, Process, NTG)</w:t>
            </w:r>
          </w:p>
        </w:tc>
      </w:tr>
      <w:tr w:rsidR="007C2227" w:rsidRPr="00B75B77" w:rsidTr="00EA1A8E">
        <w:trPr>
          <w:cnfStyle w:val="000000100000" w:firstRow="0" w:lastRow="0" w:firstColumn="0" w:lastColumn="0" w:oddVBand="0" w:evenVBand="0" w:oddHBand="1" w:evenHBand="0" w:firstRowFirstColumn="0" w:firstRowLastColumn="0" w:lastRowFirstColumn="0" w:lastRowLastColumn="0"/>
          <w:divId w:val="1225991649"/>
          <w:trHeight w:val="288"/>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000000" w:themeColor="text1"/>
            </w:tcBorders>
            <w:hideMark/>
          </w:tcPr>
          <w:p w:rsidR="007C2227" w:rsidRPr="00B75B77" w:rsidRDefault="007C2227" w:rsidP="005459F4">
            <w:pPr>
              <w:rPr>
                <w:rFonts w:ascii="Calibri" w:eastAsia="Times New Roman" w:hAnsi="Calibri"/>
                <w:b w:val="0"/>
                <w:bCs w:val="0"/>
                <w:color w:val="000000"/>
                <w:szCs w:val="18"/>
              </w:rPr>
            </w:pPr>
            <w:r w:rsidRPr="00B75B77">
              <w:rPr>
                <w:rFonts w:ascii="Calibri" w:eastAsia="Times New Roman" w:hAnsi="Calibri"/>
                <w:b w:val="0"/>
                <w:bCs w:val="0"/>
                <w:color w:val="000000"/>
                <w:szCs w:val="18"/>
              </w:rPr>
              <w:t>Commercial Participants</w:t>
            </w:r>
          </w:p>
        </w:tc>
        <w:tc>
          <w:tcPr>
            <w:tcW w:w="1035" w:type="dxa"/>
            <w:tcBorders>
              <w:top w:val="single" w:sz="4" w:space="0" w:color="000000" w:themeColor="text1"/>
            </w:tcBorders>
            <w:hideMark/>
          </w:tcPr>
          <w:p w:rsidR="007C2227" w:rsidRPr="00B75B77" w:rsidRDefault="007C2227" w:rsidP="005459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1,686</w:t>
            </w:r>
          </w:p>
        </w:tc>
        <w:tc>
          <w:tcPr>
            <w:tcW w:w="1305" w:type="dxa"/>
            <w:tcBorders>
              <w:top w:val="single" w:sz="4" w:space="0" w:color="000000" w:themeColor="text1"/>
            </w:tcBorders>
            <w:hideMark/>
          </w:tcPr>
          <w:p w:rsidR="007C2227" w:rsidRPr="00B75B77" w:rsidRDefault="007C2227" w:rsidP="005459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0.5</w:t>
            </w:r>
          </w:p>
        </w:tc>
        <w:tc>
          <w:tcPr>
            <w:tcW w:w="1080" w:type="dxa"/>
            <w:tcBorders>
              <w:top w:val="single" w:sz="4" w:space="0" w:color="000000" w:themeColor="text1"/>
            </w:tcBorders>
            <w:hideMark/>
          </w:tcPr>
          <w:p w:rsidR="007C2227" w:rsidRPr="00B75B77" w:rsidRDefault="007C2227" w:rsidP="005459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90/10</w:t>
            </w:r>
          </w:p>
        </w:tc>
        <w:tc>
          <w:tcPr>
            <w:tcW w:w="810" w:type="dxa"/>
            <w:tcBorders>
              <w:top w:val="single" w:sz="4" w:space="0" w:color="000000" w:themeColor="text1"/>
            </w:tcBorders>
            <w:hideMark/>
          </w:tcPr>
          <w:p w:rsidR="007C2227" w:rsidRPr="00B75B77" w:rsidRDefault="007C2227" w:rsidP="005459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70</w:t>
            </w:r>
          </w:p>
        </w:tc>
        <w:tc>
          <w:tcPr>
            <w:tcW w:w="905" w:type="dxa"/>
            <w:tcBorders>
              <w:top w:val="single" w:sz="4" w:space="0" w:color="000000" w:themeColor="text1"/>
            </w:tcBorders>
            <w:hideMark/>
          </w:tcPr>
          <w:p w:rsidR="007C2227" w:rsidRPr="00B75B77" w:rsidRDefault="007C2227" w:rsidP="005459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70</w:t>
            </w:r>
          </w:p>
        </w:tc>
        <w:tc>
          <w:tcPr>
            <w:tcW w:w="1345" w:type="dxa"/>
            <w:tcBorders>
              <w:top w:val="single" w:sz="4" w:space="0" w:color="000000" w:themeColor="text1"/>
            </w:tcBorders>
            <w:hideMark/>
          </w:tcPr>
          <w:p w:rsidR="007C2227" w:rsidRPr="00B75B77" w:rsidRDefault="007C2227" w:rsidP="005459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34%</w:t>
            </w:r>
          </w:p>
        </w:tc>
        <w:tc>
          <w:tcPr>
            <w:tcW w:w="1255" w:type="dxa"/>
            <w:tcBorders>
              <w:top w:val="single" w:sz="4" w:space="0" w:color="000000" w:themeColor="text1"/>
            </w:tcBorders>
            <w:hideMark/>
          </w:tcPr>
          <w:p w:rsidR="007C2227" w:rsidRPr="00B75B77" w:rsidRDefault="007C2227" w:rsidP="00EA1A8E">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Process</w:t>
            </w:r>
          </w:p>
        </w:tc>
      </w:tr>
      <w:tr w:rsidR="007C2227" w:rsidRPr="00B75B77" w:rsidTr="005459F4">
        <w:trPr>
          <w:cnfStyle w:val="000000010000" w:firstRow="0" w:lastRow="0" w:firstColumn="0" w:lastColumn="0" w:oddVBand="0" w:evenVBand="0" w:oddHBand="0" w:evenHBand="1" w:firstRowFirstColumn="0" w:firstRowLastColumn="0" w:lastRowFirstColumn="0" w:lastRowLastColumn="0"/>
          <w:divId w:val="1225991649"/>
          <w:trHeight w:val="288"/>
        </w:trPr>
        <w:tc>
          <w:tcPr>
            <w:cnfStyle w:val="001000000000" w:firstRow="0" w:lastRow="0" w:firstColumn="1" w:lastColumn="0" w:oddVBand="0" w:evenVBand="0" w:oddHBand="0" w:evenHBand="0" w:firstRowFirstColumn="0" w:firstRowLastColumn="0" w:lastRowFirstColumn="0" w:lastRowLastColumn="0"/>
            <w:tcW w:w="1615" w:type="dxa"/>
            <w:hideMark/>
          </w:tcPr>
          <w:p w:rsidR="007C2227" w:rsidRPr="00B75B77" w:rsidRDefault="007C2227" w:rsidP="005459F4">
            <w:pPr>
              <w:jc w:val="left"/>
              <w:rPr>
                <w:rFonts w:ascii="Calibri" w:eastAsia="Times New Roman" w:hAnsi="Calibri"/>
                <w:color w:val="000000"/>
                <w:szCs w:val="18"/>
              </w:rPr>
            </w:pPr>
            <w:r w:rsidRPr="00B75B77">
              <w:rPr>
                <w:bCs w:val="0"/>
                <w:szCs w:val="18"/>
              </w:rPr>
              <w:t>PROGRAM TOTAL</w:t>
            </w:r>
          </w:p>
        </w:tc>
        <w:tc>
          <w:tcPr>
            <w:tcW w:w="1035" w:type="dxa"/>
            <w:hideMark/>
          </w:tcPr>
          <w:p w:rsidR="007C2227" w:rsidRPr="00B75B77" w:rsidRDefault="007C2227" w:rsidP="005459F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color w:val="000000"/>
                <w:szCs w:val="18"/>
              </w:rPr>
            </w:pPr>
            <w:r w:rsidRPr="00B75B77">
              <w:rPr>
                <w:rFonts w:ascii="Calibri" w:eastAsia="Times New Roman" w:hAnsi="Calibri"/>
                <w:b/>
                <w:color w:val="000000"/>
                <w:szCs w:val="18"/>
              </w:rPr>
              <w:t>1,686</w:t>
            </w:r>
          </w:p>
        </w:tc>
        <w:tc>
          <w:tcPr>
            <w:tcW w:w="1305" w:type="dxa"/>
            <w:hideMark/>
          </w:tcPr>
          <w:p w:rsidR="007C2227" w:rsidRPr="00B75B77" w:rsidRDefault="00037CF1" w:rsidP="00037CF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color w:val="000000"/>
                <w:szCs w:val="18"/>
              </w:rPr>
            </w:pPr>
            <w:r w:rsidRPr="00B75B77">
              <w:rPr>
                <w:rFonts w:ascii="Calibri" w:eastAsia="Times New Roman" w:hAnsi="Calibri"/>
                <w:b/>
                <w:color w:val="000000"/>
                <w:szCs w:val="18"/>
              </w:rPr>
              <w:t>0.5</w:t>
            </w:r>
          </w:p>
        </w:tc>
        <w:tc>
          <w:tcPr>
            <w:tcW w:w="1080" w:type="dxa"/>
            <w:hideMark/>
          </w:tcPr>
          <w:p w:rsidR="007C2227" w:rsidRPr="00B75B77" w:rsidRDefault="00037CF1" w:rsidP="00037CF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color w:val="000000"/>
                <w:szCs w:val="18"/>
              </w:rPr>
            </w:pPr>
            <w:r w:rsidRPr="00B75B77">
              <w:rPr>
                <w:rFonts w:ascii="Calibri" w:eastAsia="Times New Roman" w:hAnsi="Calibri"/>
                <w:b/>
                <w:color w:val="000000"/>
                <w:szCs w:val="18"/>
              </w:rPr>
              <w:t>90/10</w:t>
            </w:r>
          </w:p>
        </w:tc>
        <w:tc>
          <w:tcPr>
            <w:tcW w:w="810" w:type="dxa"/>
            <w:hideMark/>
          </w:tcPr>
          <w:p w:rsidR="007C2227" w:rsidRPr="00B75B77" w:rsidRDefault="007C2227" w:rsidP="005459F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color w:val="000000"/>
                <w:szCs w:val="18"/>
              </w:rPr>
            </w:pPr>
            <w:r w:rsidRPr="00B75B77">
              <w:rPr>
                <w:rFonts w:ascii="Calibri" w:eastAsia="Times New Roman" w:hAnsi="Calibri"/>
                <w:b/>
                <w:color w:val="000000"/>
                <w:szCs w:val="18"/>
              </w:rPr>
              <w:t>70</w:t>
            </w:r>
          </w:p>
        </w:tc>
        <w:tc>
          <w:tcPr>
            <w:tcW w:w="905" w:type="dxa"/>
            <w:hideMark/>
          </w:tcPr>
          <w:p w:rsidR="007C2227" w:rsidRPr="00B75B77" w:rsidRDefault="007C2227" w:rsidP="005459F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color w:val="000000"/>
                <w:szCs w:val="18"/>
              </w:rPr>
            </w:pPr>
            <w:r w:rsidRPr="00B75B77">
              <w:rPr>
                <w:rFonts w:ascii="Calibri" w:eastAsia="Times New Roman" w:hAnsi="Calibri"/>
                <w:b/>
                <w:color w:val="000000"/>
                <w:szCs w:val="18"/>
              </w:rPr>
              <w:t>70</w:t>
            </w:r>
          </w:p>
        </w:tc>
        <w:tc>
          <w:tcPr>
            <w:tcW w:w="1345" w:type="dxa"/>
            <w:hideMark/>
          </w:tcPr>
          <w:p w:rsidR="007C2227" w:rsidRPr="00B75B77" w:rsidRDefault="00037CF1" w:rsidP="00037CF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color w:val="000000"/>
                <w:szCs w:val="18"/>
              </w:rPr>
            </w:pPr>
            <w:r w:rsidRPr="00B75B77">
              <w:rPr>
                <w:rFonts w:ascii="Calibri" w:eastAsia="Times New Roman" w:hAnsi="Calibri"/>
                <w:b/>
                <w:color w:val="000000"/>
                <w:szCs w:val="18"/>
              </w:rPr>
              <w:t>34%</w:t>
            </w:r>
          </w:p>
        </w:tc>
        <w:tc>
          <w:tcPr>
            <w:tcW w:w="1255" w:type="dxa"/>
            <w:hideMark/>
          </w:tcPr>
          <w:p w:rsidR="007C2227" w:rsidRPr="00B75B77" w:rsidRDefault="00037CF1" w:rsidP="005459F4">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b/>
                <w:color w:val="000000"/>
                <w:szCs w:val="18"/>
              </w:rPr>
            </w:pPr>
            <w:r w:rsidRPr="00B75B77">
              <w:rPr>
                <w:rFonts w:ascii="Calibri" w:eastAsia="Times New Roman" w:hAnsi="Calibri"/>
                <w:b/>
                <w:color w:val="000000"/>
                <w:szCs w:val="18"/>
              </w:rPr>
              <w:t>Process</w:t>
            </w:r>
          </w:p>
        </w:tc>
      </w:tr>
    </w:tbl>
    <w:p w:rsidR="00307D11" w:rsidRPr="00B75B77" w:rsidRDefault="00307D11" w:rsidP="00487335">
      <w:pPr>
        <w:spacing w:before="20" w:after="20"/>
        <w:jc w:val="left"/>
        <w:rPr>
          <w:rFonts w:ascii="Calibri" w:hAnsi="Calibri"/>
          <w:sz w:val="18"/>
        </w:rPr>
      </w:pPr>
      <w:r w:rsidRPr="00B75B77">
        <w:rPr>
          <w:rFonts w:ascii="Calibri" w:hAnsi="Calibri"/>
          <w:sz w:val="18"/>
          <w:vertAlign w:val="superscript"/>
        </w:rPr>
        <w:t>[1]</w:t>
      </w:r>
      <w:r w:rsidRPr="00B75B77">
        <w:rPr>
          <w:rFonts w:ascii="Calibri" w:hAnsi="Calibri"/>
          <w:sz w:val="18"/>
        </w:rPr>
        <w:t xml:space="preserve"> </w:t>
      </w:r>
      <w:r w:rsidR="00530239" w:rsidRPr="00B75B77">
        <w:rPr>
          <w:rFonts w:ascii="Calibri" w:hAnsi="Calibri"/>
          <w:sz w:val="18"/>
        </w:rPr>
        <w:t>The sample frame is a list of contacts that have a chance to be selected into the sample. Percentage contacted means of all the sample frame the percentage that were contacted to get the completed surveys.</w:t>
      </w:r>
    </w:p>
    <w:p w:rsidR="007C2227" w:rsidRPr="00B75B77" w:rsidRDefault="007C2227" w:rsidP="00487335">
      <w:pPr>
        <w:pStyle w:val="Source"/>
        <w:spacing w:before="20" w:after="20"/>
        <w:ind w:left="0" w:firstLine="0"/>
      </w:pPr>
      <w:r w:rsidRPr="00B75B77">
        <w:rPr>
          <w:rFonts w:ascii="Calibri" w:hAnsi="Calibri"/>
          <w:i w:val="0"/>
          <w:iCs/>
          <w:color w:val="000000"/>
          <w:szCs w:val="18"/>
        </w:rPr>
        <w:t>Note: Values in tables may not reconcile exactly with the sum of more detailed level results or previously reported results due to rounding.</w:t>
      </w:r>
    </w:p>
    <w:p w:rsidR="007C2227" w:rsidRPr="00B75B77" w:rsidRDefault="007C2227" w:rsidP="00487335">
      <w:pPr>
        <w:pStyle w:val="Source"/>
        <w:spacing w:after="120"/>
        <w:ind w:left="0" w:firstLine="0"/>
      </w:pPr>
      <w:r w:rsidRPr="00B75B77">
        <w:t>Source: Navigant analysis</w:t>
      </w:r>
    </w:p>
    <w:p w:rsidR="007C2227" w:rsidRPr="00B75B77" w:rsidRDefault="007C2227" w:rsidP="005459F4">
      <w:pPr>
        <w:pStyle w:val="Heading3"/>
      </w:pPr>
      <w:bookmarkStart w:id="691" w:name="_Ref464146112"/>
      <w:bookmarkStart w:id="692" w:name="_Toc466413392"/>
      <w:r w:rsidRPr="00B75B77">
        <w:t>Process Evaluation Results</w:t>
      </w:r>
      <w:bookmarkEnd w:id="691"/>
      <w:bookmarkEnd w:id="692"/>
      <w:r w:rsidRPr="00B75B77">
        <w:t xml:space="preserve"> </w:t>
      </w:r>
    </w:p>
    <w:p w:rsidR="007C2227" w:rsidRPr="00B75B77" w:rsidRDefault="007C2227" w:rsidP="005459F4">
      <w:r w:rsidRPr="00B75B77">
        <w:t>Through the program manager interviews, tracking system review, and participant interviews, Navigant identified several process findings relating to data availability, program satisfaction, participant perspectives on incentive levels and number of conservation events, and program channeling effects.</w:t>
      </w:r>
    </w:p>
    <w:p w:rsidR="007C2227" w:rsidRPr="00B75B77" w:rsidRDefault="007C2227" w:rsidP="009E08FB">
      <w:pPr>
        <w:pStyle w:val="ListParagraph"/>
        <w:numPr>
          <w:ilvl w:val="0"/>
          <w:numId w:val="108"/>
        </w:numPr>
        <w:spacing w:before="120" w:after="120"/>
        <w:contextualSpacing w:val="0"/>
      </w:pPr>
      <w:r w:rsidRPr="00B75B77">
        <w:rPr>
          <w:b/>
        </w:rPr>
        <w:t>Finding:</w:t>
      </w:r>
      <w:r w:rsidRPr="00B75B77">
        <w:t xml:space="preserve"> Phase III will require an enhanced level of impact analysis and verification. To date, insufficient AMI data has been provided to Navigant for the level of analysis needed in PY8 and beyond.</w:t>
      </w:r>
    </w:p>
    <w:p w:rsidR="007C2227" w:rsidRPr="00B75B77" w:rsidRDefault="007C2227" w:rsidP="009E08FB">
      <w:pPr>
        <w:pStyle w:val="ListParagraph"/>
        <w:numPr>
          <w:ilvl w:val="1"/>
          <w:numId w:val="108"/>
        </w:numPr>
        <w:spacing w:before="120" w:after="120"/>
        <w:contextualSpacing w:val="0"/>
      </w:pPr>
      <w:r w:rsidRPr="00B75B77">
        <w:rPr>
          <w:b/>
        </w:rPr>
        <w:t>Recommendation:</w:t>
      </w:r>
      <w:r w:rsidRPr="00B75B77">
        <w:t xml:space="preserve"> PECO should ensure the program database contains necessary data to allow Navigant to calculate verified savings via comparison group analysis in Phase III.</w:t>
      </w:r>
    </w:p>
    <w:p w:rsidR="007C2227" w:rsidRPr="00B75B77" w:rsidRDefault="007C2227" w:rsidP="009E08FB">
      <w:pPr>
        <w:pStyle w:val="ListParagraph"/>
        <w:numPr>
          <w:ilvl w:val="1"/>
          <w:numId w:val="108"/>
        </w:numPr>
        <w:spacing w:before="120" w:after="120"/>
        <w:contextualSpacing w:val="0"/>
      </w:pPr>
      <w:r w:rsidRPr="00B75B77">
        <w:rPr>
          <w:b/>
        </w:rPr>
        <w:t>Recommendation:</w:t>
      </w:r>
      <w:r w:rsidRPr="00B75B77">
        <w:t xml:space="preserve"> PECO should be prepared to quickly and securely transfer program database information to Navigant for verified savings analysis in Phase III.</w:t>
      </w:r>
    </w:p>
    <w:p w:rsidR="007C2227" w:rsidRPr="00B75B77" w:rsidRDefault="007C2227" w:rsidP="009E08FB">
      <w:pPr>
        <w:pStyle w:val="ListParagraph"/>
        <w:numPr>
          <w:ilvl w:val="0"/>
          <w:numId w:val="108"/>
        </w:numPr>
        <w:spacing w:before="120" w:after="120"/>
        <w:contextualSpacing w:val="0"/>
      </w:pPr>
      <w:r w:rsidRPr="00B75B77">
        <w:rPr>
          <w:b/>
        </w:rPr>
        <w:t>Finding:</w:t>
      </w:r>
      <w:r w:rsidRPr="00B75B77">
        <w:t xml:space="preserve"> Over 90</w:t>
      </w:r>
      <w:r w:rsidR="002540CA" w:rsidRPr="00B75B77">
        <w:t>%</w:t>
      </w:r>
      <w:r w:rsidRPr="00B75B77">
        <w:t xml:space="preserve"> of participants report high satisfaction with the AC Saver program (rating of 4 or 5 on a scale of 1</w:t>
      </w:r>
      <w:r w:rsidR="00EB5298" w:rsidRPr="00B75B77">
        <w:t xml:space="preserve"> to </w:t>
      </w:r>
      <w:r w:rsidRPr="00B75B77">
        <w:t xml:space="preserve">5). This high satisfaction may be related to the relatively high incentive levels and low frequency of conservation events in PY7. As the program shifts in PY8, satisfaction </w:t>
      </w:r>
      <w:r w:rsidRPr="00B75B77">
        <w:lastRenderedPageBreak/>
        <w:t>could decrease due to an increase in length and frequency of events and a decrease in incentives.</w:t>
      </w:r>
    </w:p>
    <w:p w:rsidR="007C2227" w:rsidRPr="00B75B77" w:rsidRDefault="007C2227" w:rsidP="009E08FB">
      <w:pPr>
        <w:pStyle w:val="ListParagraph"/>
        <w:numPr>
          <w:ilvl w:val="1"/>
          <w:numId w:val="108"/>
        </w:numPr>
        <w:spacing w:before="120" w:after="120"/>
        <w:contextualSpacing w:val="0"/>
      </w:pPr>
      <w:r w:rsidRPr="00B75B77">
        <w:rPr>
          <w:b/>
        </w:rPr>
        <w:t>Recommendation:</w:t>
      </w:r>
      <w:r w:rsidRPr="00B75B77">
        <w:t xml:space="preserve"> PECO should prepare for a possible drop in program satisfaction.</w:t>
      </w:r>
    </w:p>
    <w:p w:rsidR="007C2227" w:rsidRPr="00B75B77" w:rsidRDefault="007C2227" w:rsidP="009E08FB">
      <w:pPr>
        <w:pStyle w:val="ListParagraph"/>
        <w:numPr>
          <w:ilvl w:val="0"/>
          <w:numId w:val="108"/>
        </w:numPr>
        <w:spacing w:before="120" w:after="120"/>
        <w:contextualSpacing w:val="0"/>
      </w:pPr>
      <w:r w:rsidRPr="00B75B77">
        <w:rPr>
          <w:b/>
        </w:rPr>
        <w:t>Finding:</w:t>
      </w:r>
      <w:r w:rsidRPr="00B75B77">
        <w:t xml:space="preserve"> Participants do not know when conservation events are called. When asked how many events they experienced in PY7, the majority of respondents reported “don’t know” or “0</w:t>
      </w:r>
      <w:r w:rsidR="00845869" w:rsidRPr="00B75B77">
        <w:t>.”</w:t>
      </w:r>
      <w:r w:rsidRPr="00B75B77">
        <w:t xml:space="preserve"> However, one</w:t>
      </w:r>
      <w:r w:rsidR="002540CA" w:rsidRPr="00B75B77">
        <w:t>-</w:t>
      </w:r>
      <w:r w:rsidRPr="00B75B77">
        <w:t>third of participants reported a number of events they believed to have occurred, ranging from 1 to 11, when in fact PECO had only called 1 event. This finding indicates that participants are not aware of events that take place and are not checking the website for notification on conservation events.</w:t>
      </w:r>
    </w:p>
    <w:p w:rsidR="007C2227" w:rsidRPr="00B75B77" w:rsidRDefault="007C2227" w:rsidP="009E08FB">
      <w:pPr>
        <w:pStyle w:val="ListParagraph"/>
        <w:numPr>
          <w:ilvl w:val="1"/>
          <w:numId w:val="108"/>
        </w:numPr>
        <w:spacing w:before="120" w:after="120"/>
        <w:contextualSpacing w:val="0"/>
      </w:pPr>
      <w:r w:rsidRPr="00B75B77">
        <w:rPr>
          <w:b/>
        </w:rPr>
        <w:t>Recommendation:</w:t>
      </w:r>
      <w:r w:rsidRPr="00B75B77">
        <w:t xml:space="preserve"> Consider running a pilot to test satisfaction impacts of notifying customers after conservation events.</w:t>
      </w:r>
    </w:p>
    <w:p w:rsidR="007C2227" w:rsidRPr="00B75B77" w:rsidRDefault="007C2227" w:rsidP="009E08FB">
      <w:pPr>
        <w:pStyle w:val="ListParagraph"/>
        <w:numPr>
          <w:ilvl w:val="0"/>
          <w:numId w:val="108"/>
        </w:numPr>
        <w:spacing w:before="120" w:after="120"/>
        <w:contextualSpacing w:val="0"/>
      </w:pPr>
      <w:r w:rsidRPr="00B75B77">
        <w:rPr>
          <w:b/>
        </w:rPr>
        <w:t>Finding:</w:t>
      </w:r>
      <w:r w:rsidRPr="00B75B77">
        <w:t xml:space="preserve"> Participants say they are motivated by incentive levels, with over </w:t>
      </w:r>
      <w:r w:rsidR="002540CA" w:rsidRPr="00B75B77">
        <w:t>one-third</w:t>
      </w:r>
      <w:r w:rsidRPr="00B75B77">
        <w:t xml:space="preserve"> of participants reporting that they would no longer participate in the program if the incentive were cut by half. However, participants have not dropped out to date. A similar pattern was observed between PY4 and PY5, at the transition between Phase I and Phase II. Not surprisingly, participants reported an unwillingness to accept a lower incentive than they were already receiving. However, when the incentive did drop from $120 per summer to $80 per summer, very few participants did drop out of the program. These data indicate that participants are less likely to actively remove themselves from the program than they report in surveys, and PECO should not expect a significant decrease in program participants.</w:t>
      </w:r>
    </w:p>
    <w:p w:rsidR="007C2227" w:rsidRPr="00B75B77" w:rsidRDefault="007C2227" w:rsidP="009E08FB">
      <w:pPr>
        <w:pStyle w:val="ListParagraph"/>
        <w:numPr>
          <w:ilvl w:val="1"/>
          <w:numId w:val="108"/>
        </w:numPr>
        <w:spacing w:before="120" w:after="120"/>
        <w:contextualSpacing w:val="0"/>
      </w:pPr>
      <w:r w:rsidRPr="00B75B77">
        <w:rPr>
          <w:b/>
        </w:rPr>
        <w:t>Recommendation:</w:t>
      </w:r>
      <w:r w:rsidRPr="00B75B77">
        <w:t xml:space="preserve"> If PECO is concerned that program participation is too high, consider paying low-performing customers to not participate in the program.</w:t>
      </w:r>
    </w:p>
    <w:p w:rsidR="007C2227" w:rsidRPr="00B75B77" w:rsidRDefault="007C2227" w:rsidP="005459F4"/>
    <w:p w:rsidR="007C2227" w:rsidRPr="00B75B77" w:rsidRDefault="007C2227" w:rsidP="003E6A9B">
      <w:pPr>
        <w:pStyle w:val="Heading2"/>
      </w:pPr>
      <w:bookmarkStart w:id="693" w:name="_Toc466413393"/>
      <w:r w:rsidRPr="00B75B77">
        <w:t>Status of Recommendations for Program</w:t>
      </w:r>
      <w:bookmarkEnd w:id="693"/>
    </w:p>
    <w:p w:rsidR="007C2227" w:rsidRPr="00B75B77" w:rsidRDefault="007C2227" w:rsidP="0004543D">
      <w:pPr>
        <w:rPr>
          <w:rFonts w:eastAsia="Times New Roman"/>
          <w:color w:val="000000"/>
        </w:rPr>
      </w:pPr>
      <w:r w:rsidRPr="00B75B77">
        <w:rPr>
          <w:rFonts w:eastAsia="Times New Roman"/>
          <w:color w:val="000000"/>
        </w:rPr>
        <w:t xml:space="preserve">Based on the findings outlined in </w:t>
      </w:r>
      <w:r w:rsidR="0022380B" w:rsidRPr="00B75B77">
        <w:rPr>
          <w:rFonts w:eastAsia="Times New Roman"/>
          <w:color w:val="000000"/>
        </w:rPr>
        <w:t>S</w:t>
      </w:r>
      <w:r w:rsidRPr="00B75B77">
        <w:rPr>
          <w:rFonts w:eastAsia="Times New Roman"/>
          <w:color w:val="000000"/>
        </w:rPr>
        <w:t xml:space="preserve">ection </w:t>
      </w:r>
      <w:r w:rsidR="0022380B" w:rsidRPr="00B75B77">
        <w:rPr>
          <w:rFonts w:eastAsia="Times New Roman"/>
          <w:color w:val="000000"/>
        </w:rPr>
        <w:fldChar w:fldCharType="begin"/>
      </w:r>
      <w:r w:rsidR="0022380B" w:rsidRPr="00B75B77">
        <w:rPr>
          <w:rFonts w:eastAsia="Times New Roman"/>
          <w:color w:val="000000"/>
        </w:rPr>
        <w:instrText xml:space="preserve"> REF _Ref464146112 \n \h </w:instrText>
      </w:r>
      <w:r w:rsidR="00B75B77">
        <w:rPr>
          <w:rFonts w:eastAsia="Times New Roman"/>
          <w:color w:val="000000"/>
        </w:rPr>
        <w:instrText xml:space="preserve"> \* MERGEFORMAT </w:instrText>
      </w:r>
      <w:r w:rsidR="0022380B" w:rsidRPr="00B75B77">
        <w:rPr>
          <w:rFonts w:eastAsia="Times New Roman"/>
          <w:color w:val="000000"/>
        </w:rPr>
      </w:r>
      <w:r w:rsidR="0022380B" w:rsidRPr="00B75B77">
        <w:rPr>
          <w:rFonts w:eastAsia="Times New Roman"/>
          <w:color w:val="000000"/>
        </w:rPr>
        <w:fldChar w:fldCharType="separate"/>
      </w:r>
      <w:r w:rsidR="0004016D">
        <w:rPr>
          <w:rFonts w:eastAsia="Times New Roman"/>
          <w:color w:val="000000"/>
        </w:rPr>
        <w:t>10.4.2</w:t>
      </w:r>
      <w:r w:rsidR="0022380B" w:rsidRPr="00B75B77">
        <w:rPr>
          <w:rFonts w:eastAsia="Times New Roman"/>
          <w:color w:val="000000"/>
        </w:rPr>
        <w:fldChar w:fldCharType="end"/>
      </w:r>
      <w:r w:rsidRPr="00B75B77">
        <w:rPr>
          <w:rFonts w:eastAsia="Times New Roman"/>
          <w:color w:val="000000"/>
        </w:rPr>
        <w:t xml:space="preserve">, Navigant makes several recommendations to PECO. These recommendations can be found in </w:t>
      </w:r>
      <w:r w:rsidR="00EB5298" w:rsidRPr="00B75B77">
        <w:rPr>
          <w:rFonts w:eastAsia="Times New Roman"/>
          <w:color w:val="000000"/>
        </w:rPr>
        <w:fldChar w:fldCharType="begin"/>
      </w:r>
      <w:r w:rsidR="00EB5298" w:rsidRPr="00B75B77">
        <w:rPr>
          <w:rFonts w:eastAsia="Times New Roman"/>
          <w:color w:val="000000"/>
        </w:rPr>
        <w:instrText xml:space="preserve"> REF _Ref464227030 \h </w:instrText>
      </w:r>
      <w:r w:rsidR="00B75B77">
        <w:rPr>
          <w:rFonts w:eastAsia="Times New Roman"/>
          <w:color w:val="000000"/>
        </w:rPr>
        <w:instrText xml:space="preserve"> \* MERGEFORMAT </w:instrText>
      </w:r>
      <w:r w:rsidR="00EB5298" w:rsidRPr="00B75B77">
        <w:rPr>
          <w:rFonts w:eastAsia="Times New Roman"/>
          <w:color w:val="000000"/>
        </w:rPr>
      </w:r>
      <w:r w:rsidR="00EB5298" w:rsidRPr="00B75B77">
        <w:rPr>
          <w:rFonts w:eastAsia="Times New Roman"/>
          <w:color w:val="000000"/>
        </w:rPr>
        <w:fldChar w:fldCharType="separate"/>
      </w:r>
      <w:r w:rsidR="0004016D" w:rsidRPr="00B75B77">
        <w:t xml:space="preserve">Table </w:t>
      </w:r>
      <w:r w:rsidR="0004016D">
        <w:rPr>
          <w:noProof/>
        </w:rPr>
        <w:t>10</w:t>
      </w:r>
      <w:r w:rsidR="0004016D" w:rsidRPr="00B75B77">
        <w:rPr>
          <w:noProof/>
        </w:rPr>
        <w:noBreakHyphen/>
      </w:r>
      <w:r w:rsidR="0004016D">
        <w:rPr>
          <w:noProof/>
        </w:rPr>
        <w:t>5</w:t>
      </w:r>
      <w:r w:rsidR="00EB5298" w:rsidRPr="00B75B77">
        <w:rPr>
          <w:rFonts w:eastAsia="Times New Roman"/>
          <w:color w:val="000000"/>
        </w:rPr>
        <w:fldChar w:fldCharType="end"/>
      </w:r>
      <w:r w:rsidR="00EB5298" w:rsidRPr="00B75B77">
        <w:rPr>
          <w:rFonts w:eastAsia="Times New Roman"/>
          <w:color w:val="000000"/>
        </w:rPr>
        <w:t>.</w:t>
      </w:r>
    </w:p>
    <w:p w:rsidR="007C2227" w:rsidRPr="00B75B77" w:rsidRDefault="007C2227" w:rsidP="0004543D"/>
    <w:p w:rsidR="007C2227" w:rsidRPr="00B75B77" w:rsidRDefault="007C2227" w:rsidP="005459F4">
      <w:pPr>
        <w:pStyle w:val="Caption"/>
        <w:rPr>
          <w:rFonts w:eastAsia="Times New Roman"/>
          <w:i/>
          <w:szCs w:val="20"/>
        </w:rPr>
      </w:pPr>
      <w:bookmarkStart w:id="694" w:name="_Ref464227030"/>
      <w:bookmarkStart w:id="695" w:name="_Toc466413586"/>
      <w:r w:rsidRPr="00B75B77">
        <w:t xml:space="preserve">Table </w:t>
      </w:r>
      <w:fldSimple w:instr=" STYLEREF 1 \s ">
        <w:r w:rsidR="0004016D">
          <w:rPr>
            <w:noProof/>
          </w:rPr>
          <w:t>10</w:t>
        </w:r>
      </w:fldSimple>
      <w:r w:rsidR="00F1144C" w:rsidRPr="00B75B77">
        <w:noBreakHyphen/>
      </w:r>
      <w:fldSimple w:instr=" SEQ Table \* ARABIC \s 1 ">
        <w:r w:rsidR="0004016D">
          <w:rPr>
            <w:noProof/>
          </w:rPr>
          <w:t>5</w:t>
        </w:r>
      </w:fldSimple>
      <w:bookmarkEnd w:id="694"/>
      <w:r w:rsidRPr="00B75B77">
        <w:t>: Commercial AC Saver Status Report on Process and Impact Recommendations</w:t>
      </w:r>
      <w:bookmarkEnd w:id="695"/>
      <w:r w:rsidRPr="00B75B77">
        <w:t xml:space="preserve"> </w:t>
      </w:r>
    </w:p>
    <w:tbl>
      <w:tblPr>
        <w:tblW w:w="9265" w:type="dxa"/>
        <w:tblLook w:val="04A0" w:firstRow="1" w:lastRow="0" w:firstColumn="1" w:lastColumn="0" w:noHBand="0" w:noVBand="1"/>
      </w:tblPr>
      <w:tblGrid>
        <w:gridCol w:w="5125"/>
        <w:gridCol w:w="4140"/>
      </w:tblGrid>
      <w:tr w:rsidR="007C2227" w:rsidRPr="00B75B77" w:rsidTr="00673E6B">
        <w:trPr>
          <w:trHeight w:val="288"/>
        </w:trPr>
        <w:tc>
          <w:tcPr>
            <w:tcW w:w="5125" w:type="dxa"/>
            <w:tcBorders>
              <w:top w:val="single" w:sz="4" w:space="0" w:color="auto"/>
              <w:left w:val="single" w:sz="4" w:space="0" w:color="auto"/>
              <w:bottom w:val="single" w:sz="4" w:space="0" w:color="auto"/>
              <w:right w:val="nil"/>
            </w:tcBorders>
            <w:shd w:val="clear" w:color="000000" w:fill="448A99"/>
            <w:vAlign w:val="center"/>
            <w:hideMark/>
          </w:tcPr>
          <w:p w:rsidR="007C2227" w:rsidRPr="00B75B77" w:rsidRDefault="007C2227" w:rsidP="005459F4">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Recommendations</w:t>
            </w:r>
          </w:p>
        </w:tc>
        <w:tc>
          <w:tcPr>
            <w:tcW w:w="4140" w:type="dxa"/>
            <w:tcBorders>
              <w:top w:val="single" w:sz="4" w:space="0" w:color="auto"/>
              <w:left w:val="single" w:sz="4" w:space="0" w:color="auto"/>
              <w:bottom w:val="single" w:sz="4" w:space="0" w:color="auto"/>
              <w:right w:val="single" w:sz="4" w:space="0" w:color="auto"/>
            </w:tcBorders>
            <w:shd w:val="clear" w:color="000000" w:fill="448A99"/>
            <w:vAlign w:val="center"/>
            <w:hideMark/>
          </w:tcPr>
          <w:p w:rsidR="007C2227" w:rsidRPr="00B75B77" w:rsidRDefault="007C2227" w:rsidP="005459F4">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EDC Status of Recommendations (Implemented, Being Considered, Rejected AND Explanation of Action Taken by EDC)</w:t>
            </w:r>
          </w:p>
        </w:tc>
      </w:tr>
      <w:tr w:rsidR="007C2227" w:rsidRPr="00B75B77" w:rsidTr="00673E6B">
        <w:trPr>
          <w:trHeight w:val="288"/>
        </w:trPr>
        <w:tc>
          <w:tcPr>
            <w:tcW w:w="5125" w:type="dxa"/>
            <w:tcBorders>
              <w:top w:val="nil"/>
              <w:left w:val="single" w:sz="4" w:space="0" w:color="448A99"/>
              <w:bottom w:val="single" w:sz="4" w:space="0" w:color="448A99"/>
              <w:right w:val="single" w:sz="4" w:space="0" w:color="448A99"/>
            </w:tcBorders>
            <w:shd w:val="clear" w:color="000000" w:fill="D2EAF1"/>
            <w:vAlign w:val="center"/>
            <w:hideMark/>
          </w:tcPr>
          <w:p w:rsidR="00EB5298" w:rsidRPr="00B75B77" w:rsidRDefault="007C2227" w:rsidP="005459F4">
            <w:pPr>
              <w:jc w:val="left"/>
              <w:rPr>
                <w:b/>
                <w:sz w:val="18"/>
                <w:szCs w:val="18"/>
              </w:rPr>
            </w:pPr>
            <w:r w:rsidRPr="00B75B77">
              <w:rPr>
                <w:b/>
                <w:sz w:val="18"/>
                <w:szCs w:val="18"/>
              </w:rPr>
              <w:t xml:space="preserve">Recommendation 1: </w:t>
            </w:r>
          </w:p>
          <w:p w:rsidR="00EB5298" w:rsidRPr="00B75B77" w:rsidRDefault="007C2227" w:rsidP="009E08FB">
            <w:pPr>
              <w:pStyle w:val="ListParagraph"/>
              <w:numPr>
                <w:ilvl w:val="1"/>
                <w:numId w:val="57"/>
              </w:numPr>
              <w:ind w:left="517" w:hanging="270"/>
              <w:jc w:val="left"/>
              <w:rPr>
                <w:sz w:val="18"/>
                <w:szCs w:val="18"/>
              </w:rPr>
            </w:pPr>
            <w:r w:rsidRPr="00B75B77">
              <w:rPr>
                <w:rFonts w:eastAsiaTheme="minorEastAsia" w:cstheme="minorBidi"/>
                <w:color w:val="000000" w:themeColor="text1"/>
                <w:kern w:val="24"/>
                <w:sz w:val="18"/>
                <w:szCs w:val="18"/>
              </w:rPr>
              <w:t>PECO should ensure the program database contains necessary data to allow Navigant to calculate verified savings via comparison group analysis in Phase III</w:t>
            </w:r>
            <w:r w:rsidRPr="00B75B77">
              <w:rPr>
                <w:sz w:val="18"/>
                <w:szCs w:val="18"/>
              </w:rPr>
              <w:t>.</w:t>
            </w:r>
          </w:p>
          <w:p w:rsidR="00EB5298" w:rsidRPr="00B75B77" w:rsidRDefault="00EB5298" w:rsidP="009E08FB">
            <w:pPr>
              <w:pStyle w:val="ListParagraph"/>
              <w:numPr>
                <w:ilvl w:val="1"/>
                <w:numId w:val="57"/>
              </w:numPr>
              <w:ind w:left="517" w:hanging="270"/>
              <w:jc w:val="left"/>
              <w:rPr>
                <w:sz w:val="18"/>
                <w:szCs w:val="18"/>
              </w:rPr>
            </w:pPr>
            <w:r w:rsidRPr="00B75B77">
              <w:rPr>
                <w:sz w:val="18"/>
                <w:szCs w:val="18"/>
              </w:rPr>
              <w:t xml:space="preserve">PECO should be </w:t>
            </w:r>
            <w:r w:rsidRPr="00B75B77">
              <w:rPr>
                <w:rFonts w:eastAsiaTheme="minorEastAsia" w:cstheme="minorBidi"/>
                <w:color w:val="000000" w:themeColor="text1"/>
                <w:kern w:val="24"/>
                <w:sz w:val="18"/>
                <w:szCs w:val="18"/>
              </w:rPr>
              <w:t>prepared to quickly and securely transfer program database information to Navigant for verified savings analysis in Phase III.</w:t>
            </w:r>
          </w:p>
        </w:tc>
        <w:tc>
          <w:tcPr>
            <w:tcW w:w="4140" w:type="dxa"/>
            <w:tcBorders>
              <w:top w:val="nil"/>
              <w:left w:val="nil"/>
              <w:bottom w:val="single" w:sz="4" w:space="0" w:color="448A99"/>
              <w:right w:val="single" w:sz="4" w:space="0" w:color="448A99"/>
            </w:tcBorders>
            <w:shd w:val="clear" w:color="000000" w:fill="D2EAF1"/>
            <w:vAlign w:val="center"/>
            <w:hideMark/>
          </w:tcPr>
          <w:p w:rsidR="00673E6B" w:rsidRPr="00B75B77" w:rsidRDefault="00673E6B" w:rsidP="00673E6B">
            <w:pPr>
              <w:pStyle w:val="ListParagraph"/>
              <w:numPr>
                <w:ilvl w:val="0"/>
                <w:numId w:val="122"/>
              </w:numPr>
              <w:ind w:left="702" w:hanging="468"/>
              <w:jc w:val="left"/>
              <w:rPr>
                <w:rFonts w:ascii="Calibri" w:eastAsia="Times New Roman" w:hAnsi="Calibri"/>
                <w:color w:val="000000"/>
                <w:sz w:val="18"/>
                <w:szCs w:val="18"/>
              </w:rPr>
            </w:pPr>
            <w:r w:rsidRPr="00B75B77">
              <w:rPr>
                <w:rFonts w:ascii="Calibri" w:eastAsia="Times New Roman" w:hAnsi="Calibri"/>
                <w:b/>
                <w:color w:val="000000"/>
                <w:sz w:val="18"/>
                <w:szCs w:val="18"/>
              </w:rPr>
              <w:t>Implemented:</w:t>
            </w:r>
            <w:r w:rsidRPr="00B75B77">
              <w:rPr>
                <w:rFonts w:ascii="Calibri" w:eastAsia="Times New Roman" w:hAnsi="Calibri"/>
                <w:color w:val="000000"/>
                <w:sz w:val="18"/>
                <w:szCs w:val="18"/>
              </w:rPr>
              <w:t xml:space="preserve"> Interval data will be available; will have to collaborate with Navigant to define the format.</w:t>
            </w:r>
          </w:p>
          <w:p w:rsidR="007C2227" w:rsidRPr="00B75B77" w:rsidRDefault="00673E6B" w:rsidP="00673E6B">
            <w:pPr>
              <w:pStyle w:val="ListParagraph"/>
              <w:numPr>
                <w:ilvl w:val="0"/>
                <w:numId w:val="122"/>
              </w:numPr>
              <w:ind w:left="702" w:hanging="468"/>
              <w:jc w:val="left"/>
              <w:rPr>
                <w:rFonts w:ascii="Calibri" w:eastAsia="Times New Roman" w:hAnsi="Calibri"/>
                <w:color w:val="000000"/>
                <w:sz w:val="18"/>
                <w:szCs w:val="18"/>
              </w:rPr>
            </w:pPr>
            <w:r w:rsidRPr="00B75B77">
              <w:rPr>
                <w:rFonts w:ascii="Calibri" w:eastAsia="Times New Roman" w:hAnsi="Calibri"/>
                <w:b/>
                <w:color w:val="000000"/>
                <w:sz w:val="18"/>
                <w:szCs w:val="18"/>
              </w:rPr>
              <w:t>Being Considered:</w:t>
            </w:r>
            <w:r w:rsidRPr="00B75B77">
              <w:rPr>
                <w:rFonts w:ascii="Calibri" w:eastAsia="Times New Roman" w:hAnsi="Calibri"/>
                <w:color w:val="000000"/>
                <w:sz w:val="18"/>
                <w:szCs w:val="18"/>
              </w:rPr>
              <w:t xml:space="preserve"> PECO will work with Navigant to extract AMI data as soon as it is available, which is at the earliest around 4 weeks after the event takes place.</w:t>
            </w:r>
            <w:r w:rsidR="007C2227" w:rsidRPr="00B75B77">
              <w:rPr>
                <w:rFonts w:ascii="Calibri" w:eastAsia="Times New Roman" w:hAnsi="Calibri"/>
                <w:color w:val="000000"/>
                <w:sz w:val="18"/>
                <w:szCs w:val="18"/>
              </w:rPr>
              <w:t> </w:t>
            </w:r>
          </w:p>
        </w:tc>
      </w:tr>
      <w:tr w:rsidR="007C2227" w:rsidRPr="00B75B77" w:rsidTr="00673E6B">
        <w:trPr>
          <w:trHeight w:val="288"/>
        </w:trPr>
        <w:tc>
          <w:tcPr>
            <w:tcW w:w="5125" w:type="dxa"/>
            <w:tcBorders>
              <w:top w:val="nil"/>
              <w:left w:val="single" w:sz="4" w:space="0" w:color="448A99"/>
              <w:bottom w:val="single" w:sz="4" w:space="0" w:color="448A99"/>
              <w:right w:val="single" w:sz="4" w:space="0" w:color="448A99"/>
            </w:tcBorders>
            <w:shd w:val="clear" w:color="auto" w:fill="auto"/>
            <w:vAlign w:val="center"/>
            <w:hideMark/>
          </w:tcPr>
          <w:p w:rsidR="007C2227" w:rsidRPr="00B75B77" w:rsidRDefault="007C2227" w:rsidP="005459F4">
            <w:pPr>
              <w:jc w:val="left"/>
              <w:rPr>
                <w:rFonts w:ascii="Calibri" w:eastAsia="Times New Roman" w:hAnsi="Calibri"/>
                <w:color w:val="000000"/>
                <w:sz w:val="18"/>
                <w:szCs w:val="18"/>
              </w:rPr>
            </w:pPr>
            <w:r w:rsidRPr="00B75B77">
              <w:rPr>
                <w:b/>
                <w:sz w:val="18"/>
                <w:szCs w:val="18"/>
              </w:rPr>
              <w:t>Recommendation 2:</w:t>
            </w:r>
            <w:r w:rsidRPr="00B75B77">
              <w:rPr>
                <w:sz w:val="18"/>
                <w:szCs w:val="18"/>
              </w:rPr>
              <w:t xml:space="preserve"> PECO should prepare for a possible drop in program satisfaction</w:t>
            </w:r>
            <w:r w:rsidR="0022380B" w:rsidRPr="00B75B77">
              <w:rPr>
                <w:sz w:val="18"/>
                <w:szCs w:val="18"/>
              </w:rPr>
              <w:t>.</w:t>
            </w:r>
          </w:p>
        </w:tc>
        <w:tc>
          <w:tcPr>
            <w:tcW w:w="4140" w:type="dxa"/>
            <w:tcBorders>
              <w:top w:val="single" w:sz="4" w:space="0" w:color="448A99"/>
              <w:left w:val="nil"/>
              <w:bottom w:val="single" w:sz="4" w:space="0" w:color="448A99"/>
              <w:right w:val="single" w:sz="4" w:space="0" w:color="448A99"/>
            </w:tcBorders>
            <w:shd w:val="clear" w:color="auto" w:fill="auto"/>
            <w:vAlign w:val="center"/>
            <w:hideMark/>
          </w:tcPr>
          <w:p w:rsidR="007C2227" w:rsidRPr="00B75B77" w:rsidRDefault="00673E6B" w:rsidP="00673E6B">
            <w:pPr>
              <w:jc w:val="left"/>
              <w:rPr>
                <w:rFonts w:ascii="Calibri" w:eastAsia="Times New Roman" w:hAnsi="Calibri"/>
                <w:b/>
                <w:color w:val="000000"/>
                <w:sz w:val="18"/>
                <w:szCs w:val="18"/>
              </w:rPr>
            </w:pPr>
            <w:r w:rsidRPr="00B75B77">
              <w:rPr>
                <w:rFonts w:ascii="Calibri" w:eastAsia="Times New Roman" w:hAnsi="Calibri"/>
                <w:b/>
                <w:color w:val="000000"/>
                <w:sz w:val="18"/>
                <w:szCs w:val="18"/>
              </w:rPr>
              <w:t>Implemented</w:t>
            </w:r>
            <w:r w:rsidR="007C2227" w:rsidRPr="00B75B77">
              <w:rPr>
                <w:rFonts w:ascii="Calibri" w:eastAsia="Times New Roman" w:hAnsi="Calibri"/>
                <w:b/>
                <w:color w:val="000000"/>
                <w:sz w:val="18"/>
                <w:szCs w:val="18"/>
              </w:rPr>
              <w:t> </w:t>
            </w:r>
          </w:p>
        </w:tc>
      </w:tr>
      <w:tr w:rsidR="007C2227" w:rsidRPr="00B75B77" w:rsidTr="00673E6B">
        <w:trPr>
          <w:trHeight w:val="288"/>
        </w:trPr>
        <w:tc>
          <w:tcPr>
            <w:tcW w:w="5125" w:type="dxa"/>
            <w:tcBorders>
              <w:top w:val="nil"/>
              <w:left w:val="single" w:sz="4" w:space="0" w:color="448A99"/>
              <w:bottom w:val="single" w:sz="4" w:space="0" w:color="448A99"/>
              <w:right w:val="single" w:sz="4" w:space="0" w:color="448A99"/>
            </w:tcBorders>
            <w:shd w:val="clear" w:color="auto" w:fill="D2EAF1"/>
            <w:vAlign w:val="center"/>
            <w:hideMark/>
          </w:tcPr>
          <w:p w:rsidR="007C2227" w:rsidRPr="00B75B77" w:rsidRDefault="007C2227" w:rsidP="005459F4">
            <w:pPr>
              <w:jc w:val="left"/>
              <w:rPr>
                <w:rFonts w:ascii="Calibri" w:eastAsia="Times New Roman" w:hAnsi="Calibri"/>
                <w:color w:val="000000"/>
                <w:sz w:val="18"/>
                <w:szCs w:val="18"/>
              </w:rPr>
            </w:pPr>
            <w:r w:rsidRPr="00B75B77">
              <w:rPr>
                <w:b/>
                <w:sz w:val="18"/>
                <w:szCs w:val="18"/>
              </w:rPr>
              <w:t>Recommendation 3:</w:t>
            </w:r>
            <w:r w:rsidRPr="00B75B77">
              <w:rPr>
                <w:sz w:val="18"/>
                <w:szCs w:val="18"/>
              </w:rPr>
              <w:t xml:space="preserve"> Consider running a pilot to test satisfaction impacts of notifying customers after conservation events.</w:t>
            </w:r>
          </w:p>
        </w:tc>
        <w:tc>
          <w:tcPr>
            <w:tcW w:w="4140" w:type="dxa"/>
            <w:tcBorders>
              <w:top w:val="single" w:sz="4" w:space="0" w:color="448A99"/>
              <w:left w:val="nil"/>
              <w:bottom w:val="single" w:sz="4" w:space="0" w:color="448A99"/>
              <w:right w:val="single" w:sz="4" w:space="0" w:color="448A99"/>
            </w:tcBorders>
            <w:shd w:val="clear" w:color="auto" w:fill="D2EAF1"/>
            <w:vAlign w:val="center"/>
            <w:hideMark/>
          </w:tcPr>
          <w:p w:rsidR="007C2227" w:rsidRPr="00B75B77" w:rsidRDefault="00673E6B" w:rsidP="00673E6B">
            <w:pPr>
              <w:jc w:val="left"/>
              <w:rPr>
                <w:rFonts w:ascii="Calibri" w:eastAsia="Times New Roman" w:hAnsi="Calibri"/>
                <w:color w:val="000000"/>
                <w:sz w:val="18"/>
                <w:szCs w:val="18"/>
              </w:rPr>
            </w:pPr>
            <w:r w:rsidRPr="00B75B77">
              <w:rPr>
                <w:rFonts w:ascii="Calibri" w:eastAsia="Times New Roman" w:hAnsi="Calibri"/>
                <w:b/>
                <w:color w:val="000000"/>
                <w:sz w:val="18"/>
                <w:szCs w:val="18"/>
              </w:rPr>
              <w:t xml:space="preserve">Rejected: </w:t>
            </w:r>
            <w:r w:rsidRPr="00B75B77">
              <w:rPr>
                <w:rFonts w:ascii="Calibri" w:eastAsia="Times New Roman" w:hAnsi="Calibri"/>
                <w:color w:val="000000"/>
                <w:sz w:val="18"/>
                <w:szCs w:val="18"/>
              </w:rPr>
              <w:t>PECO will find way to work around maintaining customer satisfaction.</w:t>
            </w:r>
            <w:r w:rsidR="007C2227" w:rsidRPr="00B75B77">
              <w:rPr>
                <w:rFonts w:ascii="Calibri" w:eastAsia="Times New Roman" w:hAnsi="Calibri"/>
                <w:color w:val="000000"/>
                <w:sz w:val="18"/>
                <w:szCs w:val="18"/>
              </w:rPr>
              <w:t> </w:t>
            </w:r>
          </w:p>
        </w:tc>
      </w:tr>
      <w:tr w:rsidR="007C2227" w:rsidRPr="00B75B77" w:rsidTr="00673E6B">
        <w:trPr>
          <w:trHeight w:val="288"/>
        </w:trPr>
        <w:tc>
          <w:tcPr>
            <w:tcW w:w="5125" w:type="dxa"/>
            <w:tcBorders>
              <w:top w:val="nil"/>
              <w:left w:val="single" w:sz="4" w:space="0" w:color="448A99"/>
              <w:bottom w:val="single" w:sz="4" w:space="0" w:color="448A99"/>
              <w:right w:val="single" w:sz="4" w:space="0" w:color="448A99"/>
            </w:tcBorders>
            <w:shd w:val="clear" w:color="auto" w:fill="auto"/>
            <w:vAlign w:val="center"/>
            <w:hideMark/>
          </w:tcPr>
          <w:p w:rsidR="007C2227" w:rsidRPr="00B75B77" w:rsidRDefault="007C2227" w:rsidP="005459F4">
            <w:pPr>
              <w:jc w:val="left"/>
              <w:rPr>
                <w:rFonts w:ascii="Calibri" w:eastAsia="Times New Roman" w:hAnsi="Calibri"/>
                <w:color w:val="000000"/>
                <w:sz w:val="18"/>
                <w:szCs w:val="18"/>
              </w:rPr>
            </w:pPr>
            <w:r w:rsidRPr="00B75B77">
              <w:rPr>
                <w:b/>
                <w:sz w:val="18"/>
                <w:szCs w:val="18"/>
              </w:rPr>
              <w:t>Recommendation 4:</w:t>
            </w:r>
            <w:r w:rsidRPr="00B75B77">
              <w:rPr>
                <w:sz w:val="18"/>
                <w:szCs w:val="18"/>
              </w:rPr>
              <w:t xml:space="preserve"> If PECO is concerned that program participation is too high, consider </w:t>
            </w:r>
            <w:r w:rsidRPr="00B75B77">
              <w:rPr>
                <w:rFonts w:eastAsiaTheme="minorEastAsia" w:cstheme="minorBidi"/>
                <w:color w:val="000000" w:themeColor="text1"/>
                <w:kern w:val="24"/>
                <w:sz w:val="18"/>
                <w:szCs w:val="18"/>
              </w:rPr>
              <w:t>paying low-performing customers to not participate in the program.</w:t>
            </w:r>
          </w:p>
        </w:tc>
        <w:tc>
          <w:tcPr>
            <w:tcW w:w="4140" w:type="dxa"/>
            <w:tcBorders>
              <w:top w:val="single" w:sz="4" w:space="0" w:color="448A99"/>
              <w:left w:val="nil"/>
              <w:bottom w:val="single" w:sz="4" w:space="0" w:color="448A99"/>
              <w:right w:val="single" w:sz="4" w:space="0" w:color="448A99"/>
            </w:tcBorders>
            <w:shd w:val="clear" w:color="auto" w:fill="auto"/>
            <w:vAlign w:val="center"/>
            <w:hideMark/>
          </w:tcPr>
          <w:p w:rsidR="007C2227" w:rsidRPr="00B75B77" w:rsidRDefault="00673E6B" w:rsidP="00673E6B">
            <w:pPr>
              <w:jc w:val="left"/>
              <w:rPr>
                <w:rFonts w:ascii="Calibri" w:eastAsia="Times New Roman" w:hAnsi="Calibri"/>
                <w:color w:val="000000"/>
                <w:sz w:val="18"/>
                <w:szCs w:val="18"/>
              </w:rPr>
            </w:pPr>
            <w:r w:rsidRPr="00B75B77">
              <w:rPr>
                <w:rFonts w:ascii="Calibri" w:eastAsia="Times New Roman" w:hAnsi="Calibri"/>
                <w:b/>
                <w:color w:val="000000"/>
                <w:sz w:val="18"/>
                <w:szCs w:val="18"/>
              </w:rPr>
              <w:t xml:space="preserve">Being Considered: </w:t>
            </w:r>
            <w:r w:rsidRPr="00B75B77">
              <w:rPr>
                <w:rFonts w:ascii="Calibri" w:eastAsia="Times New Roman" w:hAnsi="Calibri"/>
                <w:color w:val="000000"/>
                <w:sz w:val="18"/>
                <w:szCs w:val="18"/>
              </w:rPr>
              <w:t>PECO needs to assess how the AC program can leverage its participant interest to extend beyond DR.</w:t>
            </w:r>
          </w:p>
        </w:tc>
      </w:tr>
    </w:tbl>
    <w:p w:rsidR="007C2227" w:rsidRPr="00B75B77" w:rsidRDefault="007C2227" w:rsidP="005459F4">
      <w:pPr>
        <w:pStyle w:val="Source"/>
        <w:keepNext/>
        <w:ind w:left="0" w:firstLine="0"/>
      </w:pPr>
      <w:r w:rsidRPr="00B75B77">
        <w:t>Source: Navigant analysis</w:t>
      </w:r>
    </w:p>
    <w:p w:rsidR="007C2227" w:rsidRPr="00B75B77" w:rsidRDefault="007C2227" w:rsidP="00D12857">
      <w:pPr>
        <w:pStyle w:val="Heading2"/>
      </w:pPr>
      <w:bookmarkStart w:id="696" w:name="_Toc466413394"/>
      <w:r w:rsidRPr="00B75B77">
        <w:t>Financial Reporting</w:t>
      </w:r>
      <w:bookmarkEnd w:id="696"/>
    </w:p>
    <w:p w:rsidR="007C2227" w:rsidRPr="00B75B77" w:rsidRDefault="007C2227" w:rsidP="005459F4">
      <w:pPr>
        <w:jc w:val="left"/>
        <w:rPr>
          <w:rFonts w:ascii="Times New Roman" w:hAnsi="Times New Roman"/>
          <w:sz w:val="24"/>
          <w:szCs w:val="24"/>
        </w:rPr>
      </w:pPr>
      <w:r w:rsidRPr="00B75B77">
        <w:lastRenderedPageBreak/>
        <w:t>Program expenditures for the residential Smart AC Saver program in PY7 totaled $313,000. Navigant calculated the TRC benefit-cost ratio of the residential Smart AC Saver program at 0.</w:t>
      </w:r>
      <w:r w:rsidR="00037CF1" w:rsidRPr="00B75B77">
        <w:t>80</w:t>
      </w:r>
      <w:r w:rsidRPr="00B75B77">
        <w:t xml:space="preserve">. In PY7, the TRC benefits for the </w:t>
      </w:r>
      <w:r w:rsidR="008F015B" w:rsidRPr="00B75B77">
        <w:t>program</w:t>
      </w:r>
      <w:r w:rsidRPr="00B75B77">
        <w:t xml:space="preserve"> were negatively </w:t>
      </w:r>
      <w:r w:rsidR="002540CA" w:rsidRPr="00B75B77">
        <w:t xml:space="preserve">affected </w:t>
      </w:r>
      <w:r w:rsidRPr="00B75B77">
        <w:t>by the relatively low temperature that occurred on the PY7 test event day, leading to lower savings than those observed on the test events in PY5. It also decreased due to the fact that only one</w:t>
      </w:r>
      <w:r w:rsidR="00FA45FF" w:rsidRPr="00B75B77">
        <w:t>-</w:t>
      </w:r>
      <w:r w:rsidRPr="00B75B77">
        <w:t xml:space="preserve">quarter of enrolled commercial participants were called during that test event. </w:t>
      </w:r>
      <w:r w:rsidR="00EB5298" w:rsidRPr="00B75B77">
        <w:fldChar w:fldCharType="begin"/>
      </w:r>
      <w:r w:rsidR="00EB5298" w:rsidRPr="00B75B77">
        <w:instrText xml:space="preserve"> REF _Ref464227103 \h </w:instrText>
      </w:r>
      <w:r w:rsidR="00B75B77">
        <w:instrText xml:space="preserve"> \* MERGEFORMAT </w:instrText>
      </w:r>
      <w:r w:rsidR="00EB5298" w:rsidRPr="00B75B77">
        <w:fldChar w:fldCharType="separate"/>
      </w:r>
      <w:r w:rsidR="0004016D" w:rsidRPr="00B75B77">
        <w:t xml:space="preserve">Table </w:t>
      </w:r>
      <w:r w:rsidR="0004016D">
        <w:rPr>
          <w:noProof/>
        </w:rPr>
        <w:t>10</w:t>
      </w:r>
      <w:r w:rsidR="0004016D" w:rsidRPr="00B75B77">
        <w:rPr>
          <w:noProof/>
        </w:rPr>
        <w:noBreakHyphen/>
      </w:r>
      <w:r w:rsidR="0004016D">
        <w:rPr>
          <w:noProof/>
        </w:rPr>
        <w:t>6</w:t>
      </w:r>
      <w:r w:rsidR="00EB5298" w:rsidRPr="00B75B77">
        <w:fldChar w:fldCharType="end"/>
      </w:r>
      <w:r w:rsidRPr="00B75B77">
        <w:t xml:space="preserve"> shows a summary of the PY7 program finances.</w:t>
      </w:r>
      <w:r w:rsidRPr="00B75B77">
        <w:rPr>
          <w:rFonts w:ascii="Times New Roman" w:hAnsi="Times New Roman"/>
          <w:sz w:val="24"/>
          <w:szCs w:val="24"/>
        </w:rPr>
        <w:t xml:space="preserve"> </w:t>
      </w:r>
    </w:p>
    <w:p w:rsidR="007C2227" w:rsidRPr="00B75B77" w:rsidRDefault="007C2227" w:rsidP="003402AA">
      <w:pPr>
        <w:jc w:val="center"/>
      </w:pPr>
    </w:p>
    <w:p w:rsidR="007C2227" w:rsidRPr="00B75B77" w:rsidRDefault="007C2227" w:rsidP="005459F4">
      <w:pPr>
        <w:pStyle w:val="Caption"/>
        <w:rPr>
          <w:rFonts w:eastAsia="Times New Roman"/>
          <w:i/>
          <w:szCs w:val="20"/>
        </w:rPr>
      </w:pPr>
      <w:bookmarkStart w:id="697" w:name="_Ref464227103"/>
      <w:bookmarkStart w:id="698" w:name="_Toc466413587"/>
      <w:r w:rsidRPr="00B75B77">
        <w:t xml:space="preserve">Table </w:t>
      </w:r>
      <w:fldSimple w:instr=" STYLEREF 1 \s ">
        <w:r w:rsidR="0004016D">
          <w:rPr>
            <w:noProof/>
          </w:rPr>
          <w:t>10</w:t>
        </w:r>
      </w:fldSimple>
      <w:r w:rsidR="00F1144C" w:rsidRPr="00B75B77">
        <w:noBreakHyphen/>
      </w:r>
      <w:fldSimple w:instr=" SEQ Table \* ARABIC \s 1 ">
        <w:r w:rsidR="0004016D">
          <w:rPr>
            <w:noProof/>
          </w:rPr>
          <w:t>6</w:t>
        </w:r>
      </w:fldSimple>
      <w:bookmarkEnd w:id="697"/>
      <w:r w:rsidRPr="00B75B77">
        <w:t>: Summary of Commercial AC Saver Program Finances</w:t>
      </w:r>
      <w:bookmarkEnd w:id="698"/>
    </w:p>
    <w:tbl>
      <w:tblPr>
        <w:tblW w:w="9895" w:type="dxa"/>
        <w:tblLayout w:type="fixed"/>
        <w:tblLook w:val="04A0" w:firstRow="1" w:lastRow="0" w:firstColumn="1" w:lastColumn="0" w:noHBand="0" w:noVBand="1"/>
      </w:tblPr>
      <w:tblGrid>
        <w:gridCol w:w="1435"/>
        <w:gridCol w:w="6030"/>
        <w:gridCol w:w="1080"/>
        <w:gridCol w:w="1350"/>
      </w:tblGrid>
      <w:tr w:rsidR="007C2227" w:rsidRPr="00B75B77" w:rsidTr="005E4455">
        <w:trPr>
          <w:trHeight w:val="288"/>
        </w:trPr>
        <w:tc>
          <w:tcPr>
            <w:tcW w:w="1435" w:type="dxa"/>
            <w:vMerge w:val="restart"/>
            <w:tcBorders>
              <w:top w:val="single" w:sz="4" w:space="0" w:color="auto"/>
              <w:left w:val="single" w:sz="4" w:space="0" w:color="auto"/>
              <w:bottom w:val="single" w:sz="4" w:space="0" w:color="auto"/>
              <w:right w:val="single" w:sz="4" w:space="0" w:color="auto"/>
            </w:tcBorders>
            <w:shd w:val="clear" w:color="000000" w:fill="448A99"/>
            <w:noWrap/>
            <w:vAlign w:val="center"/>
            <w:hideMark/>
          </w:tcPr>
          <w:p w:rsidR="007C2227" w:rsidRPr="00B75B77" w:rsidRDefault="007C2227">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Row #</w:t>
            </w:r>
          </w:p>
        </w:tc>
        <w:tc>
          <w:tcPr>
            <w:tcW w:w="6030" w:type="dxa"/>
            <w:vMerge w:val="restart"/>
            <w:tcBorders>
              <w:top w:val="single" w:sz="4" w:space="0" w:color="auto"/>
              <w:left w:val="single" w:sz="4" w:space="0" w:color="auto"/>
              <w:bottom w:val="single" w:sz="4" w:space="0" w:color="auto"/>
              <w:right w:val="single" w:sz="4" w:space="0" w:color="auto"/>
            </w:tcBorders>
            <w:shd w:val="clear" w:color="000000" w:fill="448A99"/>
            <w:noWrap/>
            <w:vAlign w:val="center"/>
            <w:hideMark/>
          </w:tcPr>
          <w:p w:rsidR="007C2227" w:rsidRPr="00B75B77" w:rsidRDefault="007C2227" w:rsidP="005459F4">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Cost Category </w:t>
            </w:r>
          </w:p>
        </w:tc>
        <w:tc>
          <w:tcPr>
            <w:tcW w:w="1080" w:type="dxa"/>
            <w:tcBorders>
              <w:top w:val="single" w:sz="4" w:space="0" w:color="auto"/>
              <w:left w:val="nil"/>
              <w:bottom w:val="single" w:sz="4" w:space="0" w:color="auto"/>
              <w:right w:val="single" w:sz="4" w:space="0" w:color="auto"/>
            </w:tcBorders>
            <w:shd w:val="clear" w:color="000000" w:fill="448A99"/>
            <w:vAlign w:val="center"/>
            <w:hideMark/>
          </w:tcPr>
          <w:p w:rsidR="007C2227" w:rsidRPr="00B75B77" w:rsidRDefault="007C2227" w:rsidP="002A15B8">
            <w:pPr>
              <w:jc w:val="right"/>
              <w:rPr>
                <w:rFonts w:ascii="Calibri" w:eastAsia="Times New Roman" w:hAnsi="Calibri"/>
                <w:b/>
                <w:bCs/>
                <w:color w:val="FFFFFF"/>
                <w:sz w:val="18"/>
                <w:szCs w:val="18"/>
              </w:rPr>
            </w:pPr>
            <w:r w:rsidRPr="00B75B77">
              <w:rPr>
                <w:rFonts w:ascii="Calibri" w:eastAsia="Times New Roman" w:hAnsi="Calibri"/>
                <w:b/>
                <w:bCs/>
                <w:color w:val="FFFFFF"/>
                <w:sz w:val="18"/>
                <w:szCs w:val="18"/>
              </w:rPr>
              <w:t>Actual PY7 Costs</w:t>
            </w:r>
          </w:p>
        </w:tc>
        <w:tc>
          <w:tcPr>
            <w:tcW w:w="1350" w:type="dxa"/>
            <w:tcBorders>
              <w:top w:val="single" w:sz="4" w:space="0" w:color="auto"/>
              <w:left w:val="nil"/>
              <w:bottom w:val="single" w:sz="4" w:space="0" w:color="auto"/>
              <w:right w:val="single" w:sz="4" w:space="0" w:color="auto"/>
            </w:tcBorders>
            <w:shd w:val="clear" w:color="000000" w:fill="448A99"/>
            <w:vAlign w:val="center"/>
            <w:hideMark/>
          </w:tcPr>
          <w:p w:rsidR="007C2227" w:rsidRPr="00B75B77" w:rsidRDefault="007C2227" w:rsidP="002A15B8">
            <w:pPr>
              <w:jc w:val="right"/>
              <w:rPr>
                <w:rFonts w:ascii="Calibri" w:eastAsia="Times New Roman" w:hAnsi="Calibri"/>
                <w:b/>
                <w:bCs/>
                <w:color w:val="FFFFFF"/>
                <w:sz w:val="18"/>
                <w:szCs w:val="18"/>
              </w:rPr>
            </w:pPr>
            <w:r w:rsidRPr="00B75B77">
              <w:rPr>
                <w:rFonts w:ascii="Calibri" w:eastAsia="Times New Roman" w:hAnsi="Calibri"/>
                <w:b/>
                <w:bCs/>
                <w:color w:val="FFFFFF"/>
                <w:sz w:val="18"/>
                <w:szCs w:val="18"/>
              </w:rPr>
              <w:t>Actual Phase II Costs</w:t>
            </w:r>
          </w:p>
        </w:tc>
      </w:tr>
      <w:tr w:rsidR="007C2227" w:rsidRPr="00B75B77" w:rsidTr="005E4455">
        <w:trPr>
          <w:trHeight w:val="288"/>
        </w:trPr>
        <w:tc>
          <w:tcPr>
            <w:tcW w:w="1435" w:type="dxa"/>
            <w:vMerge/>
            <w:tcBorders>
              <w:top w:val="single" w:sz="4" w:space="0" w:color="auto"/>
              <w:left w:val="single" w:sz="4" w:space="0" w:color="auto"/>
              <w:bottom w:val="single" w:sz="4" w:space="0" w:color="auto"/>
              <w:right w:val="single" w:sz="4" w:space="0" w:color="auto"/>
            </w:tcBorders>
            <w:vAlign w:val="center"/>
            <w:hideMark/>
          </w:tcPr>
          <w:p w:rsidR="007C2227" w:rsidRPr="00B75B77" w:rsidRDefault="007C2227" w:rsidP="005459F4">
            <w:pPr>
              <w:jc w:val="left"/>
              <w:rPr>
                <w:rFonts w:ascii="Calibri" w:eastAsia="Times New Roman" w:hAnsi="Calibri"/>
                <w:b/>
                <w:bCs/>
                <w:color w:val="FFFFFF"/>
                <w:sz w:val="18"/>
                <w:szCs w:val="18"/>
              </w:rPr>
            </w:pPr>
          </w:p>
        </w:tc>
        <w:tc>
          <w:tcPr>
            <w:tcW w:w="6030" w:type="dxa"/>
            <w:vMerge/>
            <w:tcBorders>
              <w:top w:val="single" w:sz="4" w:space="0" w:color="auto"/>
              <w:left w:val="single" w:sz="4" w:space="0" w:color="auto"/>
              <w:bottom w:val="single" w:sz="4" w:space="0" w:color="auto"/>
              <w:right w:val="single" w:sz="4" w:space="0" w:color="auto"/>
            </w:tcBorders>
            <w:vAlign w:val="center"/>
            <w:hideMark/>
          </w:tcPr>
          <w:p w:rsidR="007C2227" w:rsidRPr="00B75B77" w:rsidRDefault="007C2227" w:rsidP="005459F4">
            <w:pPr>
              <w:jc w:val="left"/>
              <w:rPr>
                <w:rFonts w:ascii="Calibri" w:eastAsia="Times New Roman" w:hAnsi="Calibri"/>
                <w:b/>
                <w:bCs/>
                <w:color w:val="FFFFFF"/>
                <w:sz w:val="18"/>
                <w:szCs w:val="18"/>
              </w:rPr>
            </w:pPr>
          </w:p>
        </w:tc>
        <w:tc>
          <w:tcPr>
            <w:tcW w:w="1080" w:type="dxa"/>
            <w:tcBorders>
              <w:top w:val="nil"/>
              <w:left w:val="nil"/>
              <w:bottom w:val="single" w:sz="4" w:space="0" w:color="auto"/>
              <w:right w:val="single" w:sz="4" w:space="0" w:color="auto"/>
            </w:tcBorders>
            <w:shd w:val="clear" w:color="auto" w:fill="448A99"/>
            <w:vAlign w:val="center"/>
            <w:hideMark/>
          </w:tcPr>
          <w:p w:rsidR="007C2227" w:rsidRPr="00B75B77" w:rsidRDefault="007C2227" w:rsidP="002A15B8">
            <w:pPr>
              <w:jc w:val="right"/>
              <w:rPr>
                <w:rFonts w:ascii="Calibri" w:eastAsia="Times New Roman" w:hAnsi="Calibri"/>
                <w:b/>
                <w:color w:val="FFFFFF" w:themeColor="background1"/>
                <w:sz w:val="18"/>
                <w:szCs w:val="18"/>
              </w:rPr>
            </w:pPr>
            <w:r w:rsidRPr="00B75B77">
              <w:rPr>
                <w:rFonts w:ascii="Calibri" w:eastAsia="Times New Roman" w:hAnsi="Calibri"/>
                <w:b/>
                <w:color w:val="FFFFFF" w:themeColor="background1"/>
                <w:sz w:val="18"/>
                <w:szCs w:val="18"/>
              </w:rPr>
              <w:t>($1,000)</w:t>
            </w:r>
          </w:p>
        </w:tc>
        <w:tc>
          <w:tcPr>
            <w:tcW w:w="1350" w:type="dxa"/>
            <w:tcBorders>
              <w:top w:val="nil"/>
              <w:left w:val="nil"/>
              <w:bottom w:val="single" w:sz="4" w:space="0" w:color="auto"/>
              <w:right w:val="single" w:sz="4" w:space="0" w:color="auto"/>
            </w:tcBorders>
            <w:shd w:val="clear" w:color="auto" w:fill="448A99"/>
            <w:vAlign w:val="center"/>
            <w:hideMark/>
          </w:tcPr>
          <w:p w:rsidR="007C2227" w:rsidRPr="00B75B77" w:rsidRDefault="007C2227" w:rsidP="002A15B8">
            <w:pPr>
              <w:jc w:val="right"/>
              <w:rPr>
                <w:rFonts w:ascii="Calibri" w:eastAsia="Times New Roman" w:hAnsi="Calibri"/>
                <w:b/>
                <w:color w:val="FFFFFF" w:themeColor="background1"/>
                <w:sz w:val="18"/>
                <w:szCs w:val="18"/>
              </w:rPr>
            </w:pPr>
            <w:r w:rsidRPr="00B75B77">
              <w:rPr>
                <w:rFonts w:ascii="Calibri" w:eastAsia="Times New Roman" w:hAnsi="Calibri"/>
                <w:b/>
                <w:color w:val="FFFFFF" w:themeColor="background1"/>
                <w:sz w:val="18"/>
                <w:szCs w:val="18"/>
              </w:rPr>
              <w:t>($1,000)</w:t>
            </w:r>
          </w:p>
        </w:tc>
      </w:tr>
      <w:tr w:rsidR="007C2227" w:rsidRPr="00B75B77" w:rsidTr="005E4455">
        <w:trPr>
          <w:trHeight w:val="288"/>
        </w:trPr>
        <w:tc>
          <w:tcPr>
            <w:tcW w:w="1435" w:type="dxa"/>
            <w:tcBorders>
              <w:top w:val="nil"/>
              <w:left w:val="single" w:sz="4" w:space="0" w:color="448A99"/>
              <w:bottom w:val="single" w:sz="4" w:space="0" w:color="448A99"/>
              <w:right w:val="single" w:sz="4" w:space="0" w:color="448A99"/>
            </w:tcBorders>
            <w:shd w:val="clear" w:color="auto" w:fill="auto"/>
            <w:noWrap/>
            <w:vAlign w:val="center"/>
            <w:hideMark/>
          </w:tcPr>
          <w:p w:rsidR="007C2227" w:rsidRPr="00B75B77" w:rsidRDefault="007C2227" w:rsidP="005459F4">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w:t>
            </w:r>
          </w:p>
        </w:tc>
        <w:tc>
          <w:tcPr>
            <w:tcW w:w="6030" w:type="dxa"/>
            <w:tcBorders>
              <w:top w:val="nil"/>
              <w:left w:val="nil"/>
              <w:bottom w:val="single" w:sz="4" w:space="0" w:color="448A99"/>
              <w:right w:val="single" w:sz="4" w:space="0" w:color="448A99"/>
            </w:tcBorders>
            <w:shd w:val="clear" w:color="auto" w:fill="auto"/>
            <w:noWrap/>
            <w:vAlign w:val="center"/>
            <w:hideMark/>
          </w:tcPr>
          <w:p w:rsidR="007C2227" w:rsidRPr="00B75B77" w:rsidRDefault="007C2227" w:rsidP="005459F4">
            <w:pPr>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Incremental Measure Costs  </w:t>
            </w:r>
          </w:p>
        </w:tc>
        <w:tc>
          <w:tcPr>
            <w:tcW w:w="1080" w:type="dxa"/>
            <w:tcBorders>
              <w:top w:val="nil"/>
              <w:left w:val="nil"/>
              <w:bottom w:val="single" w:sz="4" w:space="0" w:color="448A99"/>
              <w:right w:val="single" w:sz="4" w:space="0" w:color="448A99"/>
            </w:tcBorders>
            <w:shd w:val="clear" w:color="auto" w:fill="auto"/>
            <w:noWrap/>
            <w:vAlign w:val="center"/>
            <w:hideMark/>
          </w:tcPr>
          <w:p w:rsidR="007C2227" w:rsidRPr="00B75B77" w:rsidRDefault="007C2227" w:rsidP="005459F4">
            <w:pPr>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50" w:type="dxa"/>
            <w:tcBorders>
              <w:top w:val="nil"/>
              <w:left w:val="nil"/>
              <w:bottom w:val="single" w:sz="4" w:space="0" w:color="448A99"/>
              <w:right w:val="single" w:sz="4" w:space="0" w:color="448A99"/>
            </w:tcBorders>
            <w:shd w:val="clear" w:color="auto" w:fill="auto"/>
            <w:noWrap/>
            <w:vAlign w:val="center"/>
            <w:hideMark/>
          </w:tcPr>
          <w:p w:rsidR="007C2227" w:rsidRPr="00B75B77" w:rsidRDefault="007C2227" w:rsidP="005459F4">
            <w:pPr>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7C2227" w:rsidRPr="00B75B77" w:rsidTr="005E4455">
        <w:trPr>
          <w:trHeight w:val="288"/>
        </w:trPr>
        <w:tc>
          <w:tcPr>
            <w:tcW w:w="1435" w:type="dxa"/>
            <w:tcBorders>
              <w:top w:val="nil"/>
              <w:left w:val="single" w:sz="4" w:space="0" w:color="448A99"/>
              <w:bottom w:val="single" w:sz="4" w:space="0" w:color="448A99"/>
              <w:right w:val="single" w:sz="4" w:space="0" w:color="448A99"/>
            </w:tcBorders>
            <w:shd w:val="clear" w:color="000000" w:fill="D2EAF1"/>
            <w:noWrap/>
            <w:vAlign w:val="center"/>
            <w:hideMark/>
          </w:tcPr>
          <w:p w:rsidR="007C2227" w:rsidRPr="00B75B77" w:rsidRDefault="007C2227" w:rsidP="005459F4">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2</w:t>
            </w:r>
          </w:p>
        </w:tc>
        <w:tc>
          <w:tcPr>
            <w:tcW w:w="6030" w:type="dxa"/>
            <w:tcBorders>
              <w:top w:val="nil"/>
              <w:left w:val="nil"/>
              <w:bottom w:val="single" w:sz="4" w:space="0" w:color="448A99"/>
              <w:right w:val="single" w:sz="4" w:space="0" w:color="448A99"/>
            </w:tcBorders>
            <w:shd w:val="clear" w:color="000000" w:fill="D2EAF1"/>
            <w:noWrap/>
            <w:vAlign w:val="center"/>
            <w:hideMark/>
          </w:tcPr>
          <w:p w:rsidR="007C2227" w:rsidRPr="00B75B77" w:rsidRDefault="007C2227" w:rsidP="005459F4">
            <w:pPr>
              <w:jc w:val="left"/>
              <w:rPr>
                <w:rFonts w:ascii="Calibri" w:eastAsia="Times New Roman" w:hAnsi="Calibri"/>
                <w:color w:val="000000"/>
                <w:sz w:val="18"/>
                <w:szCs w:val="18"/>
              </w:rPr>
            </w:pPr>
            <w:r w:rsidRPr="00B75B77">
              <w:rPr>
                <w:rFonts w:ascii="Calibri" w:eastAsia="Times New Roman" w:hAnsi="Calibri"/>
                <w:color w:val="000000"/>
                <w:sz w:val="18"/>
                <w:szCs w:val="18"/>
              </w:rPr>
              <w:t>EDC Incentives to Participants</w:t>
            </w:r>
          </w:p>
        </w:tc>
        <w:tc>
          <w:tcPr>
            <w:tcW w:w="1080" w:type="dxa"/>
            <w:tcBorders>
              <w:top w:val="nil"/>
              <w:left w:val="nil"/>
              <w:bottom w:val="single" w:sz="4" w:space="0" w:color="448A99"/>
              <w:right w:val="single" w:sz="4" w:space="0" w:color="448A99"/>
            </w:tcBorders>
            <w:shd w:val="clear" w:color="000000" w:fill="D2EAF1"/>
            <w:noWrap/>
            <w:vAlign w:val="center"/>
            <w:hideMark/>
          </w:tcPr>
          <w:p w:rsidR="007C2227" w:rsidRPr="00B75B77" w:rsidRDefault="007C2227" w:rsidP="005459F4">
            <w:pPr>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50" w:type="dxa"/>
            <w:tcBorders>
              <w:top w:val="nil"/>
              <w:left w:val="nil"/>
              <w:bottom w:val="single" w:sz="4" w:space="0" w:color="448A99"/>
              <w:right w:val="single" w:sz="4" w:space="0" w:color="448A99"/>
            </w:tcBorders>
            <w:shd w:val="clear" w:color="000000" w:fill="D2EAF1"/>
            <w:noWrap/>
            <w:vAlign w:val="center"/>
            <w:hideMark/>
          </w:tcPr>
          <w:p w:rsidR="007C2227" w:rsidRPr="00B75B77" w:rsidRDefault="007C2227" w:rsidP="005459F4">
            <w:pPr>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7C2227" w:rsidRPr="00B75B77" w:rsidTr="005E4455">
        <w:trPr>
          <w:trHeight w:val="288"/>
        </w:trPr>
        <w:tc>
          <w:tcPr>
            <w:tcW w:w="1435" w:type="dxa"/>
            <w:tcBorders>
              <w:top w:val="nil"/>
              <w:left w:val="single" w:sz="4" w:space="0" w:color="448A99"/>
              <w:bottom w:val="single" w:sz="4" w:space="0" w:color="448A99"/>
              <w:right w:val="single" w:sz="4" w:space="0" w:color="448A99"/>
            </w:tcBorders>
            <w:shd w:val="clear" w:color="auto" w:fill="auto"/>
            <w:noWrap/>
            <w:vAlign w:val="center"/>
            <w:hideMark/>
          </w:tcPr>
          <w:p w:rsidR="007C2227" w:rsidRPr="00B75B77" w:rsidRDefault="007C2227" w:rsidP="005459F4">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3</w:t>
            </w:r>
          </w:p>
        </w:tc>
        <w:tc>
          <w:tcPr>
            <w:tcW w:w="6030" w:type="dxa"/>
            <w:tcBorders>
              <w:top w:val="nil"/>
              <w:left w:val="nil"/>
              <w:bottom w:val="single" w:sz="4" w:space="0" w:color="448A99"/>
              <w:right w:val="single" w:sz="4" w:space="0" w:color="448A99"/>
            </w:tcBorders>
            <w:shd w:val="clear" w:color="auto" w:fill="auto"/>
            <w:noWrap/>
            <w:vAlign w:val="center"/>
            <w:hideMark/>
          </w:tcPr>
          <w:p w:rsidR="007C2227" w:rsidRPr="00B75B77" w:rsidRDefault="007C2227" w:rsidP="005459F4">
            <w:pPr>
              <w:jc w:val="left"/>
              <w:rPr>
                <w:rFonts w:ascii="Calibri" w:eastAsia="Times New Roman" w:hAnsi="Calibri"/>
                <w:color w:val="000000"/>
                <w:sz w:val="18"/>
                <w:szCs w:val="18"/>
              </w:rPr>
            </w:pPr>
            <w:r w:rsidRPr="00B75B77">
              <w:rPr>
                <w:rFonts w:ascii="Calibri" w:eastAsia="Times New Roman" w:hAnsi="Calibri"/>
                <w:color w:val="000000"/>
                <w:sz w:val="18"/>
                <w:szCs w:val="18"/>
              </w:rPr>
              <w:t>EDC Incentives to Trade Allies</w:t>
            </w:r>
          </w:p>
        </w:tc>
        <w:tc>
          <w:tcPr>
            <w:tcW w:w="1080" w:type="dxa"/>
            <w:tcBorders>
              <w:top w:val="nil"/>
              <w:left w:val="nil"/>
              <w:bottom w:val="single" w:sz="4" w:space="0" w:color="448A99"/>
              <w:right w:val="single" w:sz="4" w:space="0" w:color="448A99"/>
            </w:tcBorders>
            <w:shd w:val="clear" w:color="auto" w:fill="auto"/>
            <w:noWrap/>
            <w:vAlign w:val="center"/>
            <w:hideMark/>
          </w:tcPr>
          <w:p w:rsidR="007C2227" w:rsidRPr="00B75B77" w:rsidRDefault="007C2227" w:rsidP="005459F4">
            <w:pPr>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50" w:type="dxa"/>
            <w:tcBorders>
              <w:top w:val="nil"/>
              <w:left w:val="nil"/>
              <w:bottom w:val="single" w:sz="4" w:space="0" w:color="448A99"/>
              <w:right w:val="single" w:sz="4" w:space="0" w:color="448A99"/>
            </w:tcBorders>
            <w:shd w:val="clear" w:color="auto" w:fill="auto"/>
            <w:noWrap/>
            <w:vAlign w:val="center"/>
            <w:hideMark/>
          </w:tcPr>
          <w:p w:rsidR="007C2227" w:rsidRPr="00B75B77" w:rsidRDefault="007C2227" w:rsidP="005459F4">
            <w:pPr>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7C2227" w:rsidRPr="00B75B77" w:rsidTr="005E4455">
        <w:trPr>
          <w:trHeight w:val="288"/>
        </w:trPr>
        <w:tc>
          <w:tcPr>
            <w:tcW w:w="1435" w:type="dxa"/>
            <w:tcBorders>
              <w:top w:val="nil"/>
              <w:left w:val="single" w:sz="4" w:space="0" w:color="448A99"/>
              <w:bottom w:val="single" w:sz="4" w:space="0" w:color="448A99"/>
              <w:right w:val="single" w:sz="4" w:space="0" w:color="448A99"/>
            </w:tcBorders>
            <w:shd w:val="clear" w:color="000000" w:fill="D2EAF1"/>
            <w:noWrap/>
            <w:vAlign w:val="center"/>
            <w:hideMark/>
          </w:tcPr>
          <w:p w:rsidR="007C2227" w:rsidRPr="00B75B77" w:rsidRDefault="007C2227" w:rsidP="005459F4">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4</w:t>
            </w:r>
          </w:p>
        </w:tc>
        <w:tc>
          <w:tcPr>
            <w:tcW w:w="6030" w:type="dxa"/>
            <w:tcBorders>
              <w:top w:val="nil"/>
              <w:left w:val="nil"/>
              <w:bottom w:val="single" w:sz="4" w:space="0" w:color="448A99"/>
              <w:right w:val="single" w:sz="4" w:space="0" w:color="448A99"/>
            </w:tcBorders>
            <w:shd w:val="clear" w:color="000000" w:fill="D2EAF1"/>
            <w:noWrap/>
            <w:vAlign w:val="center"/>
            <w:hideMark/>
          </w:tcPr>
          <w:p w:rsidR="007C2227" w:rsidRPr="00B75B77" w:rsidRDefault="007C2227" w:rsidP="005459F4">
            <w:pPr>
              <w:jc w:val="left"/>
              <w:rPr>
                <w:rFonts w:ascii="Calibri" w:eastAsia="Times New Roman" w:hAnsi="Calibri"/>
                <w:color w:val="000000"/>
                <w:sz w:val="18"/>
                <w:szCs w:val="18"/>
              </w:rPr>
            </w:pPr>
            <w:r w:rsidRPr="00B75B77">
              <w:rPr>
                <w:rFonts w:ascii="Calibri" w:eastAsia="Times New Roman" w:hAnsi="Calibri"/>
                <w:color w:val="000000"/>
                <w:sz w:val="18"/>
                <w:szCs w:val="18"/>
              </w:rPr>
              <w:t>Participant Costs (Net of Incentives/Rebates Paid by Utilities)</w:t>
            </w:r>
          </w:p>
        </w:tc>
        <w:tc>
          <w:tcPr>
            <w:tcW w:w="1080"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5459F4">
            <w:pPr>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50"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5459F4">
            <w:pPr>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2E73D2" w:rsidRPr="00B75B77" w:rsidTr="005E4455">
        <w:trPr>
          <w:trHeight w:val="115"/>
        </w:trPr>
        <w:tc>
          <w:tcPr>
            <w:tcW w:w="9895" w:type="dxa"/>
            <w:gridSpan w:val="4"/>
            <w:tcBorders>
              <w:top w:val="nil"/>
              <w:left w:val="single" w:sz="4" w:space="0" w:color="448A99"/>
              <w:bottom w:val="single" w:sz="4" w:space="0" w:color="448A99"/>
              <w:right w:val="single" w:sz="4" w:space="0" w:color="448A99"/>
            </w:tcBorders>
            <w:shd w:val="clear" w:color="auto" w:fill="AEAAAA"/>
            <w:noWrap/>
            <w:vAlign w:val="center"/>
            <w:hideMark/>
          </w:tcPr>
          <w:p w:rsidR="002E73D2" w:rsidRPr="00B75B77" w:rsidRDefault="002E73D2" w:rsidP="005459F4">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 </w:t>
            </w:r>
          </w:p>
        </w:tc>
      </w:tr>
      <w:tr w:rsidR="007C2227" w:rsidRPr="00B75B77" w:rsidTr="005E4455">
        <w:trPr>
          <w:trHeight w:val="288"/>
        </w:trPr>
        <w:tc>
          <w:tcPr>
            <w:tcW w:w="1435" w:type="dxa"/>
            <w:tcBorders>
              <w:top w:val="nil"/>
              <w:left w:val="single" w:sz="4" w:space="0" w:color="448A99"/>
              <w:bottom w:val="single" w:sz="4" w:space="0" w:color="448A99"/>
              <w:right w:val="single" w:sz="4" w:space="0" w:color="448A99"/>
            </w:tcBorders>
            <w:shd w:val="clear" w:color="auto" w:fill="auto"/>
            <w:noWrap/>
            <w:vAlign w:val="center"/>
            <w:hideMark/>
          </w:tcPr>
          <w:p w:rsidR="007C2227" w:rsidRPr="00B75B77" w:rsidRDefault="007C2227" w:rsidP="005459F4">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5</w:t>
            </w:r>
          </w:p>
        </w:tc>
        <w:tc>
          <w:tcPr>
            <w:tcW w:w="6030" w:type="dxa"/>
            <w:tcBorders>
              <w:top w:val="nil"/>
              <w:left w:val="nil"/>
              <w:bottom w:val="single" w:sz="4" w:space="0" w:color="448A99"/>
              <w:right w:val="single" w:sz="4" w:space="0" w:color="448A99"/>
            </w:tcBorders>
            <w:shd w:val="clear" w:color="auto" w:fill="auto"/>
            <w:noWrap/>
            <w:vAlign w:val="center"/>
            <w:hideMark/>
          </w:tcPr>
          <w:p w:rsidR="007C2227" w:rsidRPr="00B75B77" w:rsidRDefault="007C2227" w:rsidP="005459F4">
            <w:pPr>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Program Overhead Costs </w:t>
            </w:r>
          </w:p>
        </w:tc>
        <w:tc>
          <w:tcPr>
            <w:tcW w:w="1080" w:type="dxa"/>
            <w:tcBorders>
              <w:top w:val="nil"/>
              <w:left w:val="nil"/>
              <w:bottom w:val="single" w:sz="4" w:space="0" w:color="448A99"/>
              <w:right w:val="single" w:sz="4" w:space="0" w:color="448A99"/>
            </w:tcBorders>
            <w:shd w:val="clear" w:color="auto" w:fill="auto"/>
            <w:noWrap/>
            <w:vAlign w:val="center"/>
            <w:hideMark/>
          </w:tcPr>
          <w:p w:rsidR="007C2227" w:rsidRPr="00B75B77" w:rsidRDefault="007C2227" w:rsidP="005459F4">
            <w:pPr>
              <w:jc w:val="right"/>
              <w:rPr>
                <w:rFonts w:ascii="Calibri" w:eastAsia="Times New Roman" w:hAnsi="Calibri"/>
                <w:color w:val="000000"/>
                <w:sz w:val="18"/>
                <w:szCs w:val="18"/>
              </w:rPr>
            </w:pPr>
            <w:r w:rsidRPr="00B75B77">
              <w:rPr>
                <w:rFonts w:ascii="Calibri" w:eastAsia="Times New Roman" w:hAnsi="Calibri"/>
                <w:color w:val="000000"/>
                <w:sz w:val="18"/>
                <w:szCs w:val="18"/>
              </w:rPr>
              <w:t>313</w:t>
            </w:r>
          </w:p>
        </w:tc>
        <w:tc>
          <w:tcPr>
            <w:tcW w:w="1350" w:type="dxa"/>
            <w:tcBorders>
              <w:top w:val="nil"/>
              <w:left w:val="nil"/>
              <w:bottom w:val="single" w:sz="4" w:space="0" w:color="448A99"/>
              <w:right w:val="single" w:sz="4" w:space="0" w:color="448A99"/>
            </w:tcBorders>
            <w:shd w:val="clear" w:color="auto" w:fill="auto"/>
            <w:noWrap/>
            <w:vAlign w:val="center"/>
            <w:hideMark/>
          </w:tcPr>
          <w:p w:rsidR="007C2227" w:rsidRPr="00B75B77" w:rsidRDefault="007C2227" w:rsidP="005459F4">
            <w:pPr>
              <w:jc w:val="right"/>
              <w:rPr>
                <w:rFonts w:ascii="Calibri" w:eastAsia="Times New Roman" w:hAnsi="Calibri"/>
                <w:color w:val="000000"/>
                <w:sz w:val="18"/>
                <w:szCs w:val="18"/>
              </w:rPr>
            </w:pPr>
            <w:r w:rsidRPr="00B75B77">
              <w:rPr>
                <w:rFonts w:ascii="Calibri" w:eastAsia="Times New Roman" w:hAnsi="Calibri"/>
                <w:color w:val="000000"/>
                <w:sz w:val="18"/>
                <w:szCs w:val="18"/>
              </w:rPr>
              <w:t>932</w:t>
            </w:r>
          </w:p>
        </w:tc>
      </w:tr>
      <w:tr w:rsidR="007C2227" w:rsidRPr="00B75B77" w:rsidTr="005E4455">
        <w:trPr>
          <w:trHeight w:val="288"/>
        </w:trPr>
        <w:tc>
          <w:tcPr>
            <w:tcW w:w="1435" w:type="dxa"/>
            <w:tcBorders>
              <w:top w:val="nil"/>
              <w:left w:val="single" w:sz="4" w:space="0" w:color="448A99"/>
              <w:bottom w:val="single" w:sz="4" w:space="0" w:color="448A99"/>
              <w:right w:val="single" w:sz="4" w:space="0" w:color="448A99"/>
            </w:tcBorders>
            <w:shd w:val="clear" w:color="000000" w:fill="D2EAF1"/>
            <w:noWrap/>
            <w:vAlign w:val="center"/>
            <w:hideMark/>
          </w:tcPr>
          <w:p w:rsidR="007C2227" w:rsidRPr="00B75B77" w:rsidRDefault="007C2227" w:rsidP="005459F4">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6</w:t>
            </w:r>
          </w:p>
        </w:tc>
        <w:tc>
          <w:tcPr>
            <w:tcW w:w="6030" w:type="dxa"/>
            <w:tcBorders>
              <w:top w:val="nil"/>
              <w:left w:val="nil"/>
              <w:bottom w:val="single" w:sz="4" w:space="0" w:color="448A99"/>
              <w:right w:val="single" w:sz="4" w:space="0" w:color="448A99"/>
            </w:tcBorders>
            <w:shd w:val="clear" w:color="000000" w:fill="D2EAF1"/>
            <w:noWrap/>
            <w:vAlign w:val="center"/>
            <w:hideMark/>
          </w:tcPr>
          <w:p w:rsidR="007C2227" w:rsidRPr="00B75B77" w:rsidRDefault="007C2227" w:rsidP="005459F4">
            <w:pPr>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Design </w:t>
            </w:r>
            <w:r w:rsidR="00EB5298" w:rsidRPr="00B75B77">
              <w:rPr>
                <w:rFonts w:ascii="Calibri" w:eastAsia="Times New Roman" w:hAnsi="Calibri"/>
                <w:color w:val="000000"/>
                <w:sz w:val="18"/>
                <w:szCs w:val="18"/>
              </w:rPr>
              <w:t>and</w:t>
            </w:r>
            <w:r w:rsidRPr="00B75B77">
              <w:rPr>
                <w:rFonts w:ascii="Calibri" w:eastAsia="Times New Roman" w:hAnsi="Calibri"/>
                <w:color w:val="000000"/>
                <w:sz w:val="18"/>
                <w:szCs w:val="18"/>
              </w:rPr>
              <w:t xml:space="preserve"> Development</w:t>
            </w:r>
          </w:p>
        </w:tc>
        <w:tc>
          <w:tcPr>
            <w:tcW w:w="1080" w:type="dxa"/>
            <w:tcBorders>
              <w:top w:val="nil"/>
              <w:left w:val="nil"/>
              <w:bottom w:val="single" w:sz="4" w:space="0" w:color="448A99"/>
              <w:right w:val="single" w:sz="4" w:space="0" w:color="448A99"/>
            </w:tcBorders>
            <w:shd w:val="clear" w:color="000000" w:fill="D2EAF1"/>
            <w:noWrap/>
            <w:vAlign w:val="center"/>
            <w:hideMark/>
          </w:tcPr>
          <w:p w:rsidR="007C2227" w:rsidRPr="00B75B77" w:rsidRDefault="007C2227" w:rsidP="005459F4">
            <w:pPr>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50" w:type="dxa"/>
            <w:tcBorders>
              <w:top w:val="nil"/>
              <w:left w:val="nil"/>
              <w:bottom w:val="single" w:sz="4" w:space="0" w:color="448A99"/>
              <w:right w:val="single" w:sz="4" w:space="0" w:color="448A99"/>
            </w:tcBorders>
            <w:shd w:val="clear" w:color="000000" w:fill="D2EAF1"/>
            <w:noWrap/>
            <w:vAlign w:val="center"/>
            <w:hideMark/>
          </w:tcPr>
          <w:p w:rsidR="007C2227" w:rsidRPr="00B75B77" w:rsidRDefault="007C2227" w:rsidP="005459F4">
            <w:pPr>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7C2227" w:rsidRPr="00B75B77" w:rsidTr="005E4455">
        <w:trPr>
          <w:trHeight w:val="288"/>
        </w:trPr>
        <w:tc>
          <w:tcPr>
            <w:tcW w:w="1435" w:type="dxa"/>
            <w:tcBorders>
              <w:top w:val="nil"/>
              <w:left w:val="single" w:sz="4" w:space="0" w:color="448A99"/>
              <w:bottom w:val="single" w:sz="4" w:space="0" w:color="448A99"/>
              <w:right w:val="single" w:sz="4" w:space="0" w:color="448A99"/>
            </w:tcBorders>
            <w:shd w:val="clear" w:color="auto" w:fill="auto"/>
            <w:noWrap/>
            <w:vAlign w:val="center"/>
            <w:hideMark/>
          </w:tcPr>
          <w:p w:rsidR="007C2227" w:rsidRPr="00B75B77" w:rsidRDefault="007C2227" w:rsidP="005459F4">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7</w:t>
            </w:r>
          </w:p>
        </w:tc>
        <w:tc>
          <w:tcPr>
            <w:tcW w:w="6030" w:type="dxa"/>
            <w:tcBorders>
              <w:top w:val="nil"/>
              <w:left w:val="nil"/>
              <w:bottom w:val="single" w:sz="4" w:space="0" w:color="448A99"/>
              <w:right w:val="single" w:sz="4" w:space="0" w:color="448A99"/>
            </w:tcBorders>
            <w:shd w:val="clear" w:color="auto" w:fill="auto"/>
            <w:noWrap/>
            <w:vAlign w:val="center"/>
            <w:hideMark/>
          </w:tcPr>
          <w:p w:rsidR="007C2227" w:rsidRPr="00B75B77" w:rsidRDefault="007C2227" w:rsidP="005459F4">
            <w:pPr>
              <w:jc w:val="left"/>
              <w:rPr>
                <w:rFonts w:ascii="Calibri" w:eastAsia="Times New Roman" w:hAnsi="Calibri"/>
                <w:color w:val="000000"/>
                <w:sz w:val="18"/>
                <w:szCs w:val="18"/>
              </w:rPr>
            </w:pPr>
            <w:r w:rsidRPr="00B75B77">
              <w:rPr>
                <w:rFonts w:ascii="Calibri" w:eastAsia="Times New Roman" w:hAnsi="Calibri"/>
                <w:color w:val="000000"/>
                <w:sz w:val="18"/>
                <w:szCs w:val="18"/>
              </w:rPr>
              <w:t>Administration, Management, and Technical Assistance</w:t>
            </w:r>
            <w:r w:rsidRPr="00B75B77">
              <w:rPr>
                <w:rFonts w:ascii="Calibri" w:eastAsia="Times New Roman" w:hAnsi="Calibri"/>
                <w:b/>
                <w:bCs/>
                <w:color w:val="000000"/>
                <w:sz w:val="18"/>
                <w:szCs w:val="18"/>
                <w:vertAlign w:val="superscript"/>
              </w:rPr>
              <w:t>[1]</w:t>
            </w:r>
          </w:p>
        </w:tc>
        <w:tc>
          <w:tcPr>
            <w:tcW w:w="1080" w:type="dxa"/>
            <w:tcBorders>
              <w:top w:val="nil"/>
              <w:left w:val="nil"/>
              <w:bottom w:val="single" w:sz="4" w:space="0" w:color="448A99"/>
              <w:right w:val="single" w:sz="4" w:space="0" w:color="448A99"/>
            </w:tcBorders>
            <w:shd w:val="clear" w:color="auto" w:fill="auto"/>
            <w:noWrap/>
            <w:vAlign w:val="center"/>
            <w:hideMark/>
          </w:tcPr>
          <w:p w:rsidR="007C2227" w:rsidRPr="00B75B77" w:rsidRDefault="007C2227" w:rsidP="005459F4">
            <w:pPr>
              <w:jc w:val="right"/>
              <w:rPr>
                <w:rFonts w:ascii="Calibri" w:eastAsia="Times New Roman" w:hAnsi="Calibri"/>
                <w:color w:val="000000"/>
                <w:sz w:val="18"/>
                <w:szCs w:val="18"/>
              </w:rPr>
            </w:pPr>
            <w:r w:rsidRPr="00B75B77">
              <w:rPr>
                <w:rFonts w:ascii="Calibri" w:eastAsia="Times New Roman" w:hAnsi="Calibri"/>
                <w:color w:val="000000"/>
                <w:sz w:val="18"/>
                <w:szCs w:val="18"/>
              </w:rPr>
              <w:t>48</w:t>
            </w:r>
          </w:p>
        </w:tc>
        <w:tc>
          <w:tcPr>
            <w:tcW w:w="1350" w:type="dxa"/>
            <w:tcBorders>
              <w:top w:val="nil"/>
              <w:left w:val="nil"/>
              <w:bottom w:val="single" w:sz="4" w:space="0" w:color="448A99"/>
              <w:right w:val="single" w:sz="4" w:space="0" w:color="448A99"/>
            </w:tcBorders>
            <w:shd w:val="clear" w:color="auto" w:fill="auto"/>
            <w:noWrap/>
            <w:vAlign w:val="center"/>
            <w:hideMark/>
          </w:tcPr>
          <w:p w:rsidR="007C2227" w:rsidRPr="00B75B77" w:rsidRDefault="007C2227" w:rsidP="005459F4">
            <w:pPr>
              <w:jc w:val="right"/>
              <w:rPr>
                <w:rFonts w:ascii="Calibri" w:eastAsia="Times New Roman" w:hAnsi="Calibri"/>
                <w:color w:val="000000"/>
                <w:sz w:val="18"/>
                <w:szCs w:val="18"/>
              </w:rPr>
            </w:pPr>
            <w:r w:rsidRPr="00B75B77">
              <w:rPr>
                <w:rFonts w:ascii="Calibri" w:eastAsia="Times New Roman" w:hAnsi="Calibri"/>
                <w:color w:val="000000"/>
                <w:sz w:val="18"/>
                <w:szCs w:val="18"/>
              </w:rPr>
              <w:t>56</w:t>
            </w:r>
          </w:p>
        </w:tc>
      </w:tr>
      <w:tr w:rsidR="007C2227" w:rsidRPr="00B75B77" w:rsidTr="005E4455">
        <w:trPr>
          <w:trHeight w:val="288"/>
        </w:trPr>
        <w:tc>
          <w:tcPr>
            <w:tcW w:w="1435" w:type="dxa"/>
            <w:tcBorders>
              <w:top w:val="nil"/>
              <w:left w:val="single" w:sz="4" w:space="0" w:color="448A99"/>
              <w:bottom w:val="single" w:sz="4" w:space="0" w:color="448A99"/>
              <w:right w:val="single" w:sz="4" w:space="0" w:color="448A99"/>
            </w:tcBorders>
            <w:shd w:val="clear" w:color="000000" w:fill="D2EAF1"/>
            <w:noWrap/>
            <w:vAlign w:val="center"/>
            <w:hideMark/>
          </w:tcPr>
          <w:p w:rsidR="007C2227" w:rsidRPr="00B75B77" w:rsidRDefault="007C2227" w:rsidP="005459F4">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8</w:t>
            </w:r>
          </w:p>
        </w:tc>
        <w:tc>
          <w:tcPr>
            <w:tcW w:w="6030" w:type="dxa"/>
            <w:tcBorders>
              <w:top w:val="nil"/>
              <w:left w:val="nil"/>
              <w:bottom w:val="single" w:sz="4" w:space="0" w:color="448A99"/>
              <w:right w:val="single" w:sz="4" w:space="0" w:color="448A99"/>
            </w:tcBorders>
            <w:shd w:val="clear" w:color="000000" w:fill="D2EAF1"/>
            <w:noWrap/>
            <w:vAlign w:val="center"/>
            <w:hideMark/>
          </w:tcPr>
          <w:p w:rsidR="007C2227" w:rsidRPr="00B75B77" w:rsidRDefault="007C2227" w:rsidP="005459F4">
            <w:pPr>
              <w:jc w:val="left"/>
              <w:rPr>
                <w:rFonts w:ascii="Calibri" w:eastAsia="Times New Roman" w:hAnsi="Calibri"/>
                <w:color w:val="000000"/>
                <w:sz w:val="18"/>
                <w:szCs w:val="18"/>
              </w:rPr>
            </w:pPr>
            <w:r w:rsidRPr="00B75B77">
              <w:rPr>
                <w:rFonts w:ascii="Calibri" w:eastAsia="Times New Roman" w:hAnsi="Calibri"/>
                <w:color w:val="000000"/>
                <w:sz w:val="18"/>
                <w:szCs w:val="18"/>
              </w:rPr>
              <w:t>Marketing</w:t>
            </w:r>
            <w:r w:rsidRPr="00B75B77">
              <w:rPr>
                <w:rFonts w:ascii="Calibri" w:eastAsia="Times New Roman" w:hAnsi="Calibri"/>
                <w:color w:val="000000"/>
                <w:sz w:val="18"/>
                <w:szCs w:val="18"/>
                <w:vertAlign w:val="superscript"/>
              </w:rPr>
              <w:t>[2]</w:t>
            </w:r>
          </w:p>
        </w:tc>
        <w:tc>
          <w:tcPr>
            <w:tcW w:w="1080" w:type="dxa"/>
            <w:tcBorders>
              <w:top w:val="nil"/>
              <w:left w:val="nil"/>
              <w:bottom w:val="single" w:sz="4" w:space="0" w:color="448A99"/>
              <w:right w:val="single" w:sz="4" w:space="0" w:color="448A99"/>
            </w:tcBorders>
            <w:shd w:val="clear" w:color="000000" w:fill="D2EAF1"/>
            <w:noWrap/>
            <w:vAlign w:val="center"/>
            <w:hideMark/>
          </w:tcPr>
          <w:p w:rsidR="007C2227" w:rsidRPr="00B75B77" w:rsidRDefault="007C2227" w:rsidP="005459F4">
            <w:pPr>
              <w:jc w:val="right"/>
              <w:rPr>
                <w:rFonts w:ascii="Calibri" w:eastAsia="Times New Roman" w:hAnsi="Calibri"/>
                <w:color w:val="000000"/>
                <w:sz w:val="18"/>
                <w:szCs w:val="18"/>
              </w:rPr>
            </w:pPr>
            <w:r w:rsidRPr="00B75B77">
              <w:rPr>
                <w:rFonts w:ascii="Calibri" w:eastAsia="Times New Roman" w:hAnsi="Calibri"/>
                <w:color w:val="000000"/>
                <w:sz w:val="18"/>
                <w:szCs w:val="18"/>
              </w:rPr>
              <w:t>265</w:t>
            </w:r>
          </w:p>
        </w:tc>
        <w:tc>
          <w:tcPr>
            <w:tcW w:w="1350" w:type="dxa"/>
            <w:tcBorders>
              <w:top w:val="nil"/>
              <w:left w:val="nil"/>
              <w:bottom w:val="single" w:sz="4" w:space="0" w:color="448A99"/>
              <w:right w:val="single" w:sz="4" w:space="0" w:color="448A99"/>
            </w:tcBorders>
            <w:shd w:val="clear" w:color="000000" w:fill="D2EAF1"/>
            <w:noWrap/>
            <w:vAlign w:val="center"/>
            <w:hideMark/>
          </w:tcPr>
          <w:p w:rsidR="007C2227" w:rsidRPr="00B75B77" w:rsidRDefault="007C2227" w:rsidP="005459F4">
            <w:pPr>
              <w:jc w:val="right"/>
              <w:rPr>
                <w:rFonts w:ascii="Calibri" w:eastAsia="Times New Roman" w:hAnsi="Calibri"/>
                <w:color w:val="000000"/>
                <w:sz w:val="18"/>
                <w:szCs w:val="18"/>
              </w:rPr>
            </w:pPr>
            <w:r w:rsidRPr="00B75B77">
              <w:rPr>
                <w:rFonts w:ascii="Calibri" w:eastAsia="Times New Roman" w:hAnsi="Calibri"/>
                <w:color w:val="000000"/>
                <w:sz w:val="18"/>
                <w:szCs w:val="18"/>
              </w:rPr>
              <w:t>876</w:t>
            </w:r>
          </w:p>
        </w:tc>
      </w:tr>
      <w:tr w:rsidR="007C2227" w:rsidRPr="00B75B77" w:rsidTr="005E4455">
        <w:trPr>
          <w:trHeight w:val="288"/>
        </w:trPr>
        <w:tc>
          <w:tcPr>
            <w:tcW w:w="1435" w:type="dxa"/>
            <w:tcBorders>
              <w:top w:val="nil"/>
              <w:left w:val="single" w:sz="4" w:space="0" w:color="448A99"/>
              <w:bottom w:val="single" w:sz="4" w:space="0" w:color="448A99"/>
              <w:right w:val="single" w:sz="4" w:space="0" w:color="448A99"/>
            </w:tcBorders>
            <w:shd w:val="clear" w:color="auto" w:fill="auto"/>
            <w:noWrap/>
            <w:vAlign w:val="center"/>
            <w:hideMark/>
          </w:tcPr>
          <w:p w:rsidR="007C2227" w:rsidRPr="00B75B77" w:rsidRDefault="007C2227" w:rsidP="005459F4">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9</w:t>
            </w:r>
          </w:p>
        </w:tc>
        <w:tc>
          <w:tcPr>
            <w:tcW w:w="6030" w:type="dxa"/>
            <w:tcBorders>
              <w:top w:val="nil"/>
              <w:left w:val="nil"/>
              <w:bottom w:val="single" w:sz="4" w:space="0" w:color="448A99"/>
              <w:right w:val="single" w:sz="4" w:space="0" w:color="448A99"/>
            </w:tcBorders>
            <w:shd w:val="clear" w:color="auto" w:fill="auto"/>
            <w:noWrap/>
            <w:vAlign w:val="center"/>
            <w:hideMark/>
          </w:tcPr>
          <w:p w:rsidR="007C2227" w:rsidRPr="00B75B77" w:rsidRDefault="007C2227" w:rsidP="005459F4">
            <w:pPr>
              <w:jc w:val="left"/>
              <w:rPr>
                <w:rFonts w:ascii="Calibri" w:eastAsia="Times New Roman" w:hAnsi="Calibri"/>
                <w:color w:val="000000"/>
                <w:sz w:val="18"/>
                <w:szCs w:val="18"/>
              </w:rPr>
            </w:pPr>
            <w:r w:rsidRPr="00B75B77">
              <w:rPr>
                <w:rFonts w:ascii="Calibri" w:eastAsia="Times New Roman" w:hAnsi="Calibri"/>
                <w:color w:val="000000"/>
                <w:sz w:val="18"/>
                <w:szCs w:val="18"/>
              </w:rPr>
              <w:t>EDC Evaluation Costs</w:t>
            </w:r>
          </w:p>
        </w:tc>
        <w:tc>
          <w:tcPr>
            <w:tcW w:w="1080" w:type="dxa"/>
            <w:tcBorders>
              <w:top w:val="nil"/>
              <w:left w:val="nil"/>
              <w:bottom w:val="single" w:sz="4" w:space="0" w:color="448A99"/>
              <w:right w:val="single" w:sz="4" w:space="0" w:color="448A99"/>
            </w:tcBorders>
            <w:shd w:val="clear" w:color="auto" w:fill="auto"/>
            <w:noWrap/>
            <w:vAlign w:val="center"/>
            <w:hideMark/>
          </w:tcPr>
          <w:p w:rsidR="007C2227" w:rsidRPr="00B75B77" w:rsidRDefault="007C2227" w:rsidP="005459F4">
            <w:pPr>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50" w:type="dxa"/>
            <w:tcBorders>
              <w:top w:val="nil"/>
              <w:left w:val="nil"/>
              <w:bottom w:val="single" w:sz="4" w:space="0" w:color="448A99"/>
              <w:right w:val="single" w:sz="4" w:space="0" w:color="448A99"/>
            </w:tcBorders>
            <w:shd w:val="clear" w:color="auto" w:fill="auto"/>
            <w:noWrap/>
            <w:vAlign w:val="center"/>
            <w:hideMark/>
          </w:tcPr>
          <w:p w:rsidR="007C2227" w:rsidRPr="00B75B77" w:rsidRDefault="007C2227" w:rsidP="005459F4">
            <w:pPr>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7C2227" w:rsidRPr="00B75B77" w:rsidTr="005E4455">
        <w:trPr>
          <w:trHeight w:val="288"/>
        </w:trPr>
        <w:tc>
          <w:tcPr>
            <w:tcW w:w="1435" w:type="dxa"/>
            <w:tcBorders>
              <w:top w:val="nil"/>
              <w:left w:val="single" w:sz="4" w:space="0" w:color="448A99"/>
              <w:bottom w:val="single" w:sz="4" w:space="0" w:color="448A99"/>
              <w:right w:val="single" w:sz="4" w:space="0" w:color="448A99"/>
            </w:tcBorders>
            <w:shd w:val="clear" w:color="000000" w:fill="D2EAF1"/>
            <w:noWrap/>
            <w:vAlign w:val="center"/>
            <w:hideMark/>
          </w:tcPr>
          <w:p w:rsidR="007C2227" w:rsidRPr="00B75B77" w:rsidRDefault="007C2227" w:rsidP="005459F4">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10</w:t>
            </w:r>
          </w:p>
        </w:tc>
        <w:tc>
          <w:tcPr>
            <w:tcW w:w="6030" w:type="dxa"/>
            <w:tcBorders>
              <w:top w:val="nil"/>
              <w:left w:val="nil"/>
              <w:bottom w:val="single" w:sz="4" w:space="0" w:color="448A99"/>
              <w:right w:val="single" w:sz="4" w:space="0" w:color="448A99"/>
            </w:tcBorders>
            <w:shd w:val="clear" w:color="000000" w:fill="D2EAF1"/>
            <w:noWrap/>
            <w:vAlign w:val="center"/>
            <w:hideMark/>
          </w:tcPr>
          <w:p w:rsidR="007C2227" w:rsidRPr="00B75B77" w:rsidRDefault="007C2227" w:rsidP="005459F4">
            <w:pPr>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SWE Audit Costs </w:t>
            </w:r>
          </w:p>
        </w:tc>
        <w:tc>
          <w:tcPr>
            <w:tcW w:w="1080" w:type="dxa"/>
            <w:tcBorders>
              <w:top w:val="nil"/>
              <w:left w:val="nil"/>
              <w:bottom w:val="single" w:sz="4" w:space="0" w:color="448A99"/>
              <w:right w:val="single" w:sz="4" w:space="0" w:color="448A99"/>
            </w:tcBorders>
            <w:shd w:val="clear" w:color="000000" w:fill="D2EAF1"/>
            <w:noWrap/>
            <w:vAlign w:val="center"/>
            <w:hideMark/>
          </w:tcPr>
          <w:p w:rsidR="007C2227" w:rsidRPr="00B75B77" w:rsidRDefault="007C2227" w:rsidP="005459F4">
            <w:pPr>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50" w:type="dxa"/>
            <w:tcBorders>
              <w:top w:val="nil"/>
              <w:left w:val="nil"/>
              <w:bottom w:val="single" w:sz="4" w:space="0" w:color="448A99"/>
              <w:right w:val="single" w:sz="4" w:space="0" w:color="448A99"/>
            </w:tcBorders>
            <w:shd w:val="clear" w:color="000000" w:fill="D2EAF1"/>
            <w:noWrap/>
            <w:vAlign w:val="center"/>
            <w:hideMark/>
          </w:tcPr>
          <w:p w:rsidR="007C2227" w:rsidRPr="00B75B77" w:rsidRDefault="007C2227" w:rsidP="005459F4">
            <w:pPr>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2E73D2" w:rsidRPr="00B75B77" w:rsidTr="005E4455">
        <w:trPr>
          <w:trHeight w:val="115"/>
        </w:trPr>
        <w:tc>
          <w:tcPr>
            <w:tcW w:w="9895" w:type="dxa"/>
            <w:gridSpan w:val="4"/>
            <w:tcBorders>
              <w:top w:val="nil"/>
              <w:left w:val="single" w:sz="4" w:space="0" w:color="448A99"/>
              <w:bottom w:val="single" w:sz="4" w:space="0" w:color="448A99"/>
              <w:right w:val="single" w:sz="4" w:space="0" w:color="448A99"/>
            </w:tcBorders>
            <w:shd w:val="clear" w:color="auto" w:fill="AEAAAA"/>
            <w:noWrap/>
            <w:vAlign w:val="center"/>
            <w:hideMark/>
          </w:tcPr>
          <w:p w:rsidR="002E73D2" w:rsidRPr="00B75B77" w:rsidRDefault="002E73D2" w:rsidP="002E73D2">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  </w:t>
            </w:r>
          </w:p>
        </w:tc>
      </w:tr>
      <w:tr w:rsidR="007C2227" w:rsidRPr="00B75B77" w:rsidTr="005E4455">
        <w:trPr>
          <w:trHeight w:val="288"/>
        </w:trPr>
        <w:tc>
          <w:tcPr>
            <w:tcW w:w="1435" w:type="dxa"/>
            <w:tcBorders>
              <w:top w:val="nil"/>
              <w:left w:val="single" w:sz="4" w:space="0" w:color="448A99"/>
              <w:bottom w:val="single" w:sz="4" w:space="0" w:color="448A99"/>
              <w:right w:val="single" w:sz="4" w:space="0" w:color="448A99"/>
            </w:tcBorders>
            <w:shd w:val="clear" w:color="auto" w:fill="auto"/>
            <w:noWrap/>
            <w:vAlign w:val="center"/>
            <w:hideMark/>
          </w:tcPr>
          <w:p w:rsidR="007C2227" w:rsidRPr="00B75B77" w:rsidRDefault="007C2227" w:rsidP="005459F4">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11</w:t>
            </w:r>
          </w:p>
        </w:tc>
        <w:tc>
          <w:tcPr>
            <w:tcW w:w="6030" w:type="dxa"/>
            <w:tcBorders>
              <w:top w:val="nil"/>
              <w:left w:val="nil"/>
              <w:bottom w:val="single" w:sz="4" w:space="0" w:color="448A99"/>
              <w:right w:val="single" w:sz="4" w:space="0" w:color="448A99"/>
            </w:tcBorders>
            <w:shd w:val="clear" w:color="auto" w:fill="auto"/>
            <w:noWrap/>
            <w:vAlign w:val="center"/>
            <w:hideMark/>
          </w:tcPr>
          <w:p w:rsidR="007C2227" w:rsidRPr="00B75B77" w:rsidRDefault="007C2227" w:rsidP="005459F4">
            <w:pPr>
              <w:jc w:val="left"/>
              <w:rPr>
                <w:rFonts w:ascii="Calibri" w:eastAsia="Times New Roman" w:hAnsi="Calibri"/>
                <w:color w:val="000000"/>
                <w:sz w:val="18"/>
                <w:szCs w:val="18"/>
              </w:rPr>
            </w:pPr>
            <w:r w:rsidRPr="00B75B77">
              <w:rPr>
                <w:rFonts w:ascii="Calibri" w:eastAsia="Times New Roman" w:hAnsi="Calibri"/>
                <w:color w:val="000000"/>
                <w:sz w:val="18"/>
                <w:szCs w:val="18"/>
              </w:rPr>
              <w:t>Increases in Costs of Natural Gas (or Other Fuels) for Fuel-Switching Programs</w:t>
            </w:r>
          </w:p>
        </w:tc>
        <w:tc>
          <w:tcPr>
            <w:tcW w:w="1080" w:type="dxa"/>
            <w:tcBorders>
              <w:top w:val="nil"/>
              <w:left w:val="nil"/>
              <w:bottom w:val="single" w:sz="4" w:space="0" w:color="448A99"/>
              <w:right w:val="single" w:sz="4" w:space="0" w:color="448A99"/>
            </w:tcBorders>
            <w:shd w:val="clear" w:color="auto" w:fill="auto"/>
            <w:vAlign w:val="center"/>
            <w:hideMark/>
          </w:tcPr>
          <w:p w:rsidR="007C2227" w:rsidRPr="00B75B77" w:rsidRDefault="007C2227" w:rsidP="005459F4">
            <w:pPr>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50" w:type="dxa"/>
            <w:tcBorders>
              <w:top w:val="nil"/>
              <w:left w:val="nil"/>
              <w:bottom w:val="single" w:sz="4" w:space="0" w:color="448A99"/>
              <w:right w:val="single" w:sz="4" w:space="0" w:color="448A99"/>
            </w:tcBorders>
            <w:shd w:val="clear" w:color="auto" w:fill="auto"/>
            <w:vAlign w:val="center"/>
            <w:hideMark/>
          </w:tcPr>
          <w:p w:rsidR="007C2227" w:rsidRPr="00B75B77" w:rsidRDefault="007C2227" w:rsidP="005459F4">
            <w:pPr>
              <w:jc w:val="right"/>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2E73D2" w:rsidRPr="00B75B77" w:rsidTr="005E4455">
        <w:trPr>
          <w:trHeight w:val="115"/>
        </w:trPr>
        <w:tc>
          <w:tcPr>
            <w:tcW w:w="9895" w:type="dxa"/>
            <w:gridSpan w:val="4"/>
            <w:tcBorders>
              <w:top w:val="nil"/>
              <w:left w:val="single" w:sz="4" w:space="0" w:color="448A99"/>
              <w:bottom w:val="single" w:sz="4" w:space="0" w:color="448A99"/>
              <w:right w:val="single" w:sz="4" w:space="0" w:color="448A99"/>
            </w:tcBorders>
            <w:shd w:val="clear" w:color="auto" w:fill="AEAAAA"/>
            <w:noWrap/>
            <w:vAlign w:val="center"/>
            <w:hideMark/>
          </w:tcPr>
          <w:p w:rsidR="002E73D2" w:rsidRPr="00B75B77" w:rsidRDefault="002E73D2" w:rsidP="005459F4">
            <w:pPr>
              <w:jc w:val="left"/>
              <w:rPr>
                <w:rFonts w:ascii="Calibri" w:eastAsia="Times New Roman" w:hAnsi="Calibri"/>
                <w:b/>
                <w:bCs/>
                <w:color w:val="FFFFFF"/>
                <w:sz w:val="18"/>
                <w:szCs w:val="18"/>
              </w:rPr>
            </w:pPr>
          </w:p>
        </w:tc>
      </w:tr>
      <w:tr w:rsidR="007C2227" w:rsidRPr="00B75B77" w:rsidTr="005E4455">
        <w:trPr>
          <w:trHeight w:val="288"/>
        </w:trPr>
        <w:tc>
          <w:tcPr>
            <w:tcW w:w="1435" w:type="dxa"/>
            <w:tcBorders>
              <w:top w:val="nil"/>
              <w:left w:val="single" w:sz="4" w:space="0" w:color="448A99"/>
              <w:bottom w:val="single" w:sz="4" w:space="0" w:color="448A99"/>
              <w:right w:val="single" w:sz="4" w:space="0" w:color="448A99"/>
            </w:tcBorders>
            <w:shd w:val="clear" w:color="000000" w:fill="D2EAF1"/>
            <w:noWrap/>
            <w:vAlign w:val="center"/>
            <w:hideMark/>
          </w:tcPr>
          <w:p w:rsidR="007C2227" w:rsidRPr="00B75B77" w:rsidRDefault="007C2227" w:rsidP="005459F4">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12</w:t>
            </w:r>
          </w:p>
        </w:tc>
        <w:tc>
          <w:tcPr>
            <w:tcW w:w="6030" w:type="dxa"/>
            <w:tcBorders>
              <w:top w:val="nil"/>
              <w:left w:val="nil"/>
              <w:bottom w:val="single" w:sz="4" w:space="0" w:color="448A99"/>
              <w:right w:val="single" w:sz="4" w:space="0" w:color="448A99"/>
            </w:tcBorders>
            <w:shd w:val="clear" w:color="000000" w:fill="D2EAF1"/>
            <w:noWrap/>
            <w:vAlign w:val="center"/>
            <w:hideMark/>
          </w:tcPr>
          <w:p w:rsidR="007C2227" w:rsidRPr="00B75B77" w:rsidRDefault="007C2227" w:rsidP="005459F4">
            <w:pPr>
              <w:jc w:val="left"/>
              <w:rPr>
                <w:rFonts w:ascii="Calibri" w:eastAsia="Times New Roman" w:hAnsi="Calibri"/>
                <w:color w:val="000000"/>
                <w:sz w:val="18"/>
                <w:szCs w:val="18"/>
              </w:rPr>
            </w:pPr>
            <w:r w:rsidRPr="00B75B77">
              <w:rPr>
                <w:rFonts w:ascii="Calibri" w:eastAsia="Times New Roman" w:hAnsi="Calibri"/>
                <w:color w:val="000000"/>
                <w:sz w:val="18"/>
                <w:szCs w:val="18"/>
              </w:rPr>
              <w:t>Total TRC Costs</w:t>
            </w:r>
            <w:r w:rsidRPr="00B75B77">
              <w:rPr>
                <w:rFonts w:ascii="Calibri" w:eastAsia="Times New Roman" w:hAnsi="Calibri"/>
                <w:color w:val="000000"/>
                <w:sz w:val="18"/>
                <w:szCs w:val="18"/>
                <w:vertAlign w:val="superscript"/>
              </w:rPr>
              <w:t>[5]</w:t>
            </w:r>
          </w:p>
        </w:tc>
        <w:tc>
          <w:tcPr>
            <w:tcW w:w="1080"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5459F4">
            <w:pPr>
              <w:jc w:val="right"/>
              <w:rPr>
                <w:rFonts w:ascii="Calibri" w:eastAsia="Times New Roman" w:hAnsi="Calibri"/>
                <w:color w:val="000000"/>
                <w:sz w:val="18"/>
                <w:szCs w:val="18"/>
              </w:rPr>
            </w:pPr>
            <w:r w:rsidRPr="00B75B77">
              <w:rPr>
                <w:rFonts w:ascii="Calibri" w:eastAsia="Times New Roman" w:hAnsi="Calibri"/>
                <w:color w:val="000000"/>
                <w:sz w:val="18"/>
                <w:szCs w:val="18"/>
              </w:rPr>
              <w:t>313</w:t>
            </w:r>
          </w:p>
        </w:tc>
        <w:tc>
          <w:tcPr>
            <w:tcW w:w="1350"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5459F4">
            <w:pPr>
              <w:jc w:val="right"/>
              <w:rPr>
                <w:rFonts w:ascii="Calibri" w:eastAsia="Times New Roman" w:hAnsi="Calibri"/>
                <w:color w:val="000000"/>
                <w:sz w:val="18"/>
                <w:szCs w:val="18"/>
              </w:rPr>
            </w:pPr>
            <w:r w:rsidRPr="00B75B77">
              <w:rPr>
                <w:rFonts w:ascii="Calibri" w:eastAsia="Times New Roman" w:hAnsi="Calibri"/>
                <w:color w:val="000000"/>
                <w:sz w:val="18"/>
                <w:szCs w:val="18"/>
              </w:rPr>
              <w:t>932</w:t>
            </w:r>
          </w:p>
        </w:tc>
      </w:tr>
      <w:tr w:rsidR="007C2227" w:rsidRPr="00B75B77" w:rsidTr="005E4455">
        <w:trPr>
          <w:trHeight w:val="288"/>
        </w:trPr>
        <w:tc>
          <w:tcPr>
            <w:tcW w:w="1435" w:type="dxa"/>
            <w:tcBorders>
              <w:top w:val="nil"/>
              <w:left w:val="single" w:sz="4" w:space="0" w:color="448A99"/>
              <w:bottom w:val="single" w:sz="4" w:space="0" w:color="448A99"/>
              <w:right w:val="single" w:sz="4" w:space="0" w:color="448A99"/>
            </w:tcBorders>
            <w:shd w:val="clear" w:color="auto" w:fill="auto"/>
            <w:noWrap/>
            <w:vAlign w:val="center"/>
            <w:hideMark/>
          </w:tcPr>
          <w:p w:rsidR="007C2227" w:rsidRPr="00B75B77" w:rsidRDefault="007C2227" w:rsidP="005459F4">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13</w:t>
            </w:r>
          </w:p>
        </w:tc>
        <w:tc>
          <w:tcPr>
            <w:tcW w:w="6030" w:type="dxa"/>
            <w:tcBorders>
              <w:top w:val="nil"/>
              <w:left w:val="nil"/>
              <w:bottom w:val="single" w:sz="4" w:space="0" w:color="448A99"/>
              <w:right w:val="single" w:sz="4" w:space="0" w:color="448A99"/>
            </w:tcBorders>
            <w:shd w:val="clear" w:color="auto" w:fill="auto"/>
            <w:noWrap/>
            <w:vAlign w:val="center"/>
            <w:hideMark/>
          </w:tcPr>
          <w:p w:rsidR="007C2227" w:rsidRPr="00B75B77" w:rsidRDefault="007C2227" w:rsidP="005459F4">
            <w:pPr>
              <w:jc w:val="left"/>
              <w:rPr>
                <w:rFonts w:ascii="Calibri" w:eastAsia="Times New Roman" w:hAnsi="Calibri"/>
                <w:color w:val="000000"/>
                <w:sz w:val="18"/>
                <w:szCs w:val="18"/>
              </w:rPr>
            </w:pPr>
            <w:r w:rsidRPr="00B75B77">
              <w:rPr>
                <w:rFonts w:ascii="Calibri" w:eastAsia="Times New Roman" w:hAnsi="Calibri"/>
                <w:color w:val="000000"/>
                <w:sz w:val="18"/>
                <w:szCs w:val="18"/>
              </w:rPr>
              <w:t>Total NPV Lifetime Energy Benefits</w:t>
            </w:r>
          </w:p>
        </w:tc>
        <w:tc>
          <w:tcPr>
            <w:tcW w:w="1080" w:type="dxa"/>
            <w:tcBorders>
              <w:top w:val="nil"/>
              <w:left w:val="nil"/>
              <w:bottom w:val="single" w:sz="4" w:space="0" w:color="448A99"/>
              <w:right w:val="single" w:sz="4" w:space="0" w:color="448A99"/>
            </w:tcBorders>
            <w:shd w:val="clear" w:color="auto" w:fill="auto"/>
            <w:vAlign w:val="center"/>
            <w:hideMark/>
          </w:tcPr>
          <w:p w:rsidR="007C2227" w:rsidRPr="00B75B77" w:rsidRDefault="00037CF1" w:rsidP="005459F4">
            <w:pPr>
              <w:jc w:val="right"/>
              <w:rPr>
                <w:rFonts w:ascii="Calibri" w:eastAsia="Times New Roman" w:hAnsi="Calibri"/>
                <w:color w:val="000000"/>
                <w:sz w:val="18"/>
                <w:szCs w:val="18"/>
              </w:rPr>
            </w:pPr>
            <w:r w:rsidRPr="00B75B77">
              <w:rPr>
                <w:rFonts w:ascii="Calibri" w:eastAsia="Times New Roman" w:hAnsi="Calibri"/>
                <w:color w:val="000000"/>
                <w:sz w:val="18"/>
                <w:szCs w:val="18"/>
              </w:rPr>
              <w:t>214</w:t>
            </w:r>
          </w:p>
        </w:tc>
        <w:tc>
          <w:tcPr>
            <w:tcW w:w="1350" w:type="dxa"/>
            <w:tcBorders>
              <w:top w:val="nil"/>
              <w:left w:val="nil"/>
              <w:bottom w:val="single" w:sz="4" w:space="0" w:color="448A99"/>
              <w:right w:val="single" w:sz="4" w:space="0" w:color="448A99"/>
            </w:tcBorders>
            <w:shd w:val="clear" w:color="auto" w:fill="auto"/>
            <w:vAlign w:val="center"/>
            <w:hideMark/>
          </w:tcPr>
          <w:p w:rsidR="007C2227" w:rsidRPr="00B75B77" w:rsidRDefault="00037CF1" w:rsidP="005459F4">
            <w:pPr>
              <w:jc w:val="right"/>
              <w:rPr>
                <w:rFonts w:ascii="Calibri" w:eastAsia="Times New Roman" w:hAnsi="Calibri"/>
                <w:color w:val="000000"/>
                <w:sz w:val="18"/>
                <w:szCs w:val="18"/>
              </w:rPr>
            </w:pPr>
            <w:r w:rsidRPr="00B75B77">
              <w:rPr>
                <w:rFonts w:ascii="Calibri" w:eastAsia="Times New Roman" w:hAnsi="Calibri"/>
                <w:color w:val="000000"/>
                <w:sz w:val="18"/>
                <w:szCs w:val="18"/>
              </w:rPr>
              <w:t>648</w:t>
            </w:r>
          </w:p>
        </w:tc>
      </w:tr>
      <w:tr w:rsidR="007C2227" w:rsidRPr="00B75B77" w:rsidTr="005E4455">
        <w:trPr>
          <w:trHeight w:val="288"/>
        </w:trPr>
        <w:tc>
          <w:tcPr>
            <w:tcW w:w="1435" w:type="dxa"/>
            <w:tcBorders>
              <w:top w:val="nil"/>
              <w:left w:val="single" w:sz="4" w:space="0" w:color="448A99"/>
              <w:bottom w:val="single" w:sz="4" w:space="0" w:color="448A99"/>
              <w:right w:val="single" w:sz="4" w:space="0" w:color="448A99"/>
            </w:tcBorders>
            <w:shd w:val="clear" w:color="000000" w:fill="D2EAF1"/>
            <w:noWrap/>
            <w:vAlign w:val="center"/>
            <w:hideMark/>
          </w:tcPr>
          <w:p w:rsidR="007C2227" w:rsidRPr="00B75B77" w:rsidRDefault="007C2227" w:rsidP="005459F4">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14</w:t>
            </w:r>
          </w:p>
        </w:tc>
        <w:tc>
          <w:tcPr>
            <w:tcW w:w="6030" w:type="dxa"/>
            <w:tcBorders>
              <w:top w:val="nil"/>
              <w:left w:val="nil"/>
              <w:bottom w:val="single" w:sz="4" w:space="0" w:color="448A99"/>
              <w:right w:val="single" w:sz="4" w:space="0" w:color="448A99"/>
            </w:tcBorders>
            <w:shd w:val="clear" w:color="000000" w:fill="D2EAF1"/>
            <w:noWrap/>
            <w:vAlign w:val="center"/>
            <w:hideMark/>
          </w:tcPr>
          <w:p w:rsidR="007C2227" w:rsidRPr="00B75B77" w:rsidRDefault="007C2227" w:rsidP="005459F4">
            <w:pPr>
              <w:jc w:val="left"/>
              <w:rPr>
                <w:rFonts w:ascii="Calibri" w:eastAsia="Times New Roman" w:hAnsi="Calibri"/>
                <w:color w:val="000000"/>
                <w:sz w:val="18"/>
                <w:szCs w:val="18"/>
              </w:rPr>
            </w:pPr>
            <w:r w:rsidRPr="00B75B77">
              <w:rPr>
                <w:rFonts w:ascii="Calibri" w:eastAsia="Times New Roman" w:hAnsi="Calibri"/>
                <w:color w:val="000000"/>
                <w:sz w:val="18"/>
                <w:szCs w:val="18"/>
              </w:rPr>
              <w:t>Total NPV Lifetime Capacity Benefits</w:t>
            </w:r>
          </w:p>
        </w:tc>
        <w:tc>
          <w:tcPr>
            <w:tcW w:w="1080" w:type="dxa"/>
            <w:tcBorders>
              <w:top w:val="nil"/>
              <w:left w:val="nil"/>
              <w:bottom w:val="single" w:sz="4" w:space="0" w:color="448A99"/>
              <w:right w:val="single" w:sz="4" w:space="0" w:color="448A99"/>
            </w:tcBorders>
            <w:shd w:val="clear" w:color="000000" w:fill="D2EAF1"/>
            <w:vAlign w:val="center"/>
            <w:hideMark/>
          </w:tcPr>
          <w:p w:rsidR="007C2227" w:rsidRPr="00B75B77" w:rsidRDefault="00037CF1" w:rsidP="005459F4">
            <w:pPr>
              <w:jc w:val="right"/>
              <w:rPr>
                <w:rFonts w:ascii="Calibri" w:eastAsia="Times New Roman" w:hAnsi="Calibri"/>
                <w:color w:val="000000"/>
                <w:sz w:val="18"/>
                <w:szCs w:val="18"/>
              </w:rPr>
            </w:pPr>
            <w:r w:rsidRPr="00B75B77">
              <w:rPr>
                <w:rFonts w:ascii="Calibri" w:eastAsia="Times New Roman" w:hAnsi="Calibri"/>
                <w:color w:val="000000"/>
                <w:sz w:val="18"/>
                <w:szCs w:val="18"/>
              </w:rPr>
              <w:t>37</w:t>
            </w:r>
          </w:p>
        </w:tc>
        <w:tc>
          <w:tcPr>
            <w:tcW w:w="1350" w:type="dxa"/>
            <w:tcBorders>
              <w:top w:val="nil"/>
              <w:left w:val="nil"/>
              <w:bottom w:val="single" w:sz="4" w:space="0" w:color="448A99"/>
              <w:right w:val="single" w:sz="4" w:space="0" w:color="448A99"/>
            </w:tcBorders>
            <w:shd w:val="clear" w:color="000000" w:fill="D2EAF1"/>
            <w:vAlign w:val="center"/>
            <w:hideMark/>
          </w:tcPr>
          <w:p w:rsidR="007C2227" w:rsidRPr="00B75B77" w:rsidRDefault="00037CF1" w:rsidP="005459F4">
            <w:pPr>
              <w:jc w:val="right"/>
              <w:rPr>
                <w:rFonts w:ascii="Calibri" w:eastAsia="Times New Roman" w:hAnsi="Calibri"/>
                <w:color w:val="000000"/>
                <w:sz w:val="18"/>
                <w:szCs w:val="18"/>
              </w:rPr>
            </w:pPr>
            <w:r w:rsidRPr="00B75B77">
              <w:rPr>
                <w:rFonts w:ascii="Calibri" w:eastAsia="Times New Roman" w:hAnsi="Calibri"/>
                <w:color w:val="000000"/>
                <w:sz w:val="18"/>
                <w:szCs w:val="18"/>
              </w:rPr>
              <w:t>340</w:t>
            </w:r>
          </w:p>
        </w:tc>
      </w:tr>
      <w:tr w:rsidR="007C2227" w:rsidRPr="00B75B77" w:rsidTr="005E4455">
        <w:trPr>
          <w:trHeight w:val="288"/>
        </w:trPr>
        <w:tc>
          <w:tcPr>
            <w:tcW w:w="1435" w:type="dxa"/>
            <w:tcBorders>
              <w:top w:val="nil"/>
              <w:left w:val="single" w:sz="4" w:space="0" w:color="448A99"/>
              <w:bottom w:val="single" w:sz="4" w:space="0" w:color="448A99"/>
              <w:right w:val="single" w:sz="4" w:space="0" w:color="448A99"/>
            </w:tcBorders>
            <w:shd w:val="clear" w:color="auto" w:fill="auto"/>
            <w:noWrap/>
            <w:vAlign w:val="center"/>
            <w:hideMark/>
          </w:tcPr>
          <w:p w:rsidR="007C2227" w:rsidRPr="00B75B77" w:rsidRDefault="007C2227" w:rsidP="005459F4">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15</w:t>
            </w:r>
          </w:p>
        </w:tc>
        <w:tc>
          <w:tcPr>
            <w:tcW w:w="6030" w:type="dxa"/>
            <w:tcBorders>
              <w:top w:val="nil"/>
              <w:left w:val="nil"/>
              <w:bottom w:val="single" w:sz="4" w:space="0" w:color="448A99"/>
              <w:right w:val="single" w:sz="4" w:space="0" w:color="448A99"/>
            </w:tcBorders>
            <w:shd w:val="clear" w:color="auto" w:fill="auto"/>
            <w:noWrap/>
            <w:vAlign w:val="center"/>
            <w:hideMark/>
          </w:tcPr>
          <w:p w:rsidR="007C2227" w:rsidRPr="00B75B77" w:rsidRDefault="007C2227" w:rsidP="005459F4">
            <w:pPr>
              <w:jc w:val="left"/>
              <w:rPr>
                <w:rFonts w:ascii="Calibri" w:eastAsia="Times New Roman" w:hAnsi="Calibri"/>
                <w:color w:val="000000"/>
                <w:sz w:val="18"/>
                <w:szCs w:val="18"/>
              </w:rPr>
            </w:pPr>
            <w:r w:rsidRPr="00B75B77">
              <w:rPr>
                <w:rFonts w:ascii="Calibri" w:eastAsia="Times New Roman" w:hAnsi="Calibri"/>
                <w:color w:val="000000"/>
                <w:sz w:val="18"/>
                <w:szCs w:val="18"/>
              </w:rPr>
              <w:t>Total NPV TRC Benefits</w:t>
            </w:r>
            <w:r w:rsidRPr="00B75B77">
              <w:rPr>
                <w:rFonts w:ascii="Calibri" w:eastAsia="Times New Roman" w:hAnsi="Calibri"/>
                <w:color w:val="000000"/>
                <w:sz w:val="18"/>
                <w:szCs w:val="18"/>
                <w:vertAlign w:val="superscript"/>
              </w:rPr>
              <w:t>[6]</w:t>
            </w:r>
          </w:p>
        </w:tc>
        <w:tc>
          <w:tcPr>
            <w:tcW w:w="1080" w:type="dxa"/>
            <w:tcBorders>
              <w:top w:val="nil"/>
              <w:left w:val="nil"/>
              <w:bottom w:val="single" w:sz="4" w:space="0" w:color="448A99"/>
              <w:right w:val="single" w:sz="4" w:space="0" w:color="448A99"/>
            </w:tcBorders>
            <w:shd w:val="clear" w:color="auto" w:fill="auto"/>
            <w:vAlign w:val="center"/>
            <w:hideMark/>
          </w:tcPr>
          <w:p w:rsidR="007C2227" w:rsidRPr="00B75B77" w:rsidRDefault="00037CF1" w:rsidP="005459F4">
            <w:pPr>
              <w:jc w:val="right"/>
              <w:rPr>
                <w:rFonts w:ascii="Calibri" w:eastAsia="Times New Roman" w:hAnsi="Calibri"/>
                <w:color w:val="000000"/>
                <w:sz w:val="18"/>
                <w:szCs w:val="18"/>
              </w:rPr>
            </w:pPr>
            <w:r w:rsidRPr="00B75B77">
              <w:rPr>
                <w:rFonts w:ascii="Calibri" w:eastAsia="Times New Roman" w:hAnsi="Calibri"/>
                <w:color w:val="000000"/>
                <w:sz w:val="18"/>
                <w:szCs w:val="18"/>
              </w:rPr>
              <w:t>251</w:t>
            </w:r>
          </w:p>
        </w:tc>
        <w:tc>
          <w:tcPr>
            <w:tcW w:w="1350" w:type="dxa"/>
            <w:tcBorders>
              <w:top w:val="nil"/>
              <w:left w:val="nil"/>
              <w:bottom w:val="single" w:sz="4" w:space="0" w:color="448A99"/>
              <w:right w:val="single" w:sz="4" w:space="0" w:color="448A99"/>
            </w:tcBorders>
            <w:shd w:val="clear" w:color="auto" w:fill="auto"/>
            <w:vAlign w:val="center"/>
            <w:hideMark/>
          </w:tcPr>
          <w:p w:rsidR="007C2227" w:rsidRPr="00B75B77" w:rsidRDefault="00037CF1" w:rsidP="005459F4">
            <w:pPr>
              <w:jc w:val="right"/>
              <w:rPr>
                <w:rFonts w:ascii="Calibri" w:eastAsia="Times New Roman" w:hAnsi="Calibri"/>
                <w:color w:val="000000"/>
                <w:sz w:val="18"/>
                <w:szCs w:val="18"/>
              </w:rPr>
            </w:pPr>
            <w:r w:rsidRPr="00B75B77">
              <w:rPr>
                <w:rFonts w:ascii="Calibri" w:eastAsia="Times New Roman" w:hAnsi="Calibri"/>
                <w:color w:val="000000"/>
                <w:sz w:val="18"/>
                <w:szCs w:val="18"/>
              </w:rPr>
              <w:t>988</w:t>
            </w:r>
          </w:p>
        </w:tc>
      </w:tr>
      <w:tr w:rsidR="002E73D2" w:rsidRPr="00B75B77" w:rsidTr="005E4455">
        <w:trPr>
          <w:trHeight w:val="115"/>
        </w:trPr>
        <w:tc>
          <w:tcPr>
            <w:tcW w:w="9895" w:type="dxa"/>
            <w:gridSpan w:val="4"/>
            <w:tcBorders>
              <w:top w:val="nil"/>
              <w:left w:val="single" w:sz="4" w:space="0" w:color="448A99"/>
              <w:bottom w:val="single" w:sz="4" w:space="0" w:color="448A99"/>
              <w:right w:val="single" w:sz="4" w:space="0" w:color="448A99"/>
            </w:tcBorders>
            <w:shd w:val="clear" w:color="auto" w:fill="AEAAAA"/>
            <w:noWrap/>
            <w:vAlign w:val="center"/>
            <w:hideMark/>
          </w:tcPr>
          <w:p w:rsidR="002E73D2" w:rsidRPr="00B75B77" w:rsidRDefault="002E73D2" w:rsidP="005459F4">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 </w:t>
            </w:r>
          </w:p>
        </w:tc>
      </w:tr>
      <w:tr w:rsidR="007C2227" w:rsidRPr="00B75B77" w:rsidTr="005E4455">
        <w:trPr>
          <w:trHeight w:val="288"/>
        </w:trPr>
        <w:tc>
          <w:tcPr>
            <w:tcW w:w="1435" w:type="dxa"/>
            <w:tcBorders>
              <w:top w:val="nil"/>
              <w:left w:val="single" w:sz="4" w:space="0" w:color="448A99"/>
              <w:bottom w:val="single" w:sz="4" w:space="0" w:color="448A99"/>
              <w:right w:val="single" w:sz="4" w:space="0" w:color="448A99"/>
            </w:tcBorders>
            <w:shd w:val="clear" w:color="000000" w:fill="D2EAF1"/>
            <w:noWrap/>
            <w:vAlign w:val="center"/>
            <w:hideMark/>
          </w:tcPr>
          <w:p w:rsidR="007C2227" w:rsidRPr="00B75B77" w:rsidRDefault="007C2227" w:rsidP="005459F4">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16</w:t>
            </w:r>
          </w:p>
        </w:tc>
        <w:tc>
          <w:tcPr>
            <w:tcW w:w="6030" w:type="dxa"/>
            <w:tcBorders>
              <w:top w:val="nil"/>
              <w:left w:val="nil"/>
              <w:bottom w:val="single" w:sz="4" w:space="0" w:color="448A99"/>
              <w:right w:val="single" w:sz="4" w:space="0" w:color="448A99"/>
            </w:tcBorders>
            <w:shd w:val="clear" w:color="000000" w:fill="D2EAF1"/>
            <w:noWrap/>
            <w:vAlign w:val="center"/>
            <w:hideMark/>
          </w:tcPr>
          <w:p w:rsidR="007C2227" w:rsidRPr="00B75B77" w:rsidRDefault="007C2227" w:rsidP="005459F4">
            <w:pPr>
              <w:jc w:val="left"/>
              <w:rPr>
                <w:rFonts w:ascii="Calibri" w:eastAsia="Times New Roman" w:hAnsi="Calibri"/>
                <w:color w:val="000000"/>
                <w:sz w:val="18"/>
                <w:szCs w:val="18"/>
              </w:rPr>
            </w:pPr>
            <w:r w:rsidRPr="00B75B77">
              <w:rPr>
                <w:rFonts w:ascii="Calibri" w:eastAsia="Times New Roman" w:hAnsi="Calibri"/>
                <w:color w:val="000000"/>
                <w:sz w:val="18"/>
                <w:szCs w:val="18"/>
              </w:rPr>
              <w:t>TRC Benefit-Cost Ratio</w:t>
            </w:r>
          </w:p>
        </w:tc>
        <w:tc>
          <w:tcPr>
            <w:tcW w:w="1080" w:type="dxa"/>
            <w:tcBorders>
              <w:top w:val="nil"/>
              <w:left w:val="nil"/>
              <w:bottom w:val="single" w:sz="4" w:space="0" w:color="448A99"/>
              <w:right w:val="single" w:sz="4" w:space="0" w:color="448A99"/>
            </w:tcBorders>
            <w:shd w:val="clear" w:color="000000" w:fill="D2EAF1"/>
            <w:vAlign w:val="center"/>
            <w:hideMark/>
          </w:tcPr>
          <w:p w:rsidR="007C2227" w:rsidRPr="00B75B77" w:rsidRDefault="007C2227" w:rsidP="005459F4">
            <w:pPr>
              <w:jc w:val="right"/>
              <w:rPr>
                <w:rFonts w:ascii="Calibri" w:eastAsia="Times New Roman" w:hAnsi="Calibri"/>
                <w:color w:val="000000"/>
                <w:sz w:val="18"/>
                <w:szCs w:val="18"/>
              </w:rPr>
            </w:pPr>
            <w:r w:rsidRPr="00B75B77">
              <w:rPr>
                <w:rFonts w:ascii="Calibri" w:eastAsia="Times New Roman" w:hAnsi="Calibri"/>
                <w:color w:val="000000"/>
                <w:sz w:val="18"/>
                <w:szCs w:val="18"/>
              </w:rPr>
              <w:t>0.</w:t>
            </w:r>
            <w:r w:rsidR="00037CF1" w:rsidRPr="00B75B77">
              <w:rPr>
                <w:rFonts w:ascii="Calibri" w:eastAsia="Times New Roman" w:hAnsi="Calibri"/>
                <w:color w:val="000000"/>
                <w:sz w:val="18"/>
                <w:szCs w:val="18"/>
              </w:rPr>
              <w:t>80</w:t>
            </w:r>
          </w:p>
        </w:tc>
        <w:tc>
          <w:tcPr>
            <w:tcW w:w="1350" w:type="dxa"/>
            <w:tcBorders>
              <w:top w:val="nil"/>
              <w:left w:val="nil"/>
              <w:bottom w:val="single" w:sz="4" w:space="0" w:color="448A99"/>
              <w:right w:val="single" w:sz="4" w:space="0" w:color="448A99"/>
            </w:tcBorders>
            <w:shd w:val="clear" w:color="000000" w:fill="D2EAF1"/>
            <w:vAlign w:val="center"/>
            <w:hideMark/>
          </w:tcPr>
          <w:p w:rsidR="007C2227" w:rsidRPr="00B75B77" w:rsidRDefault="00037CF1" w:rsidP="005459F4">
            <w:pPr>
              <w:jc w:val="right"/>
              <w:rPr>
                <w:rFonts w:ascii="Calibri" w:eastAsia="Times New Roman" w:hAnsi="Calibri"/>
                <w:color w:val="000000"/>
                <w:sz w:val="18"/>
                <w:szCs w:val="18"/>
              </w:rPr>
            </w:pPr>
            <w:r w:rsidRPr="00B75B77">
              <w:rPr>
                <w:rFonts w:ascii="Calibri" w:eastAsia="Times New Roman" w:hAnsi="Calibri"/>
                <w:color w:val="000000"/>
                <w:sz w:val="18"/>
                <w:szCs w:val="18"/>
              </w:rPr>
              <w:t>1.06</w:t>
            </w:r>
          </w:p>
        </w:tc>
      </w:tr>
      <w:tr w:rsidR="007C2227" w:rsidRPr="00B75B77" w:rsidTr="005E4455">
        <w:trPr>
          <w:trHeight w:val="288"/>
        </w:trPr>
        <w:tc>
          <w:tcPr>
            <w:tcW w:w="9895" w:type="dxa"/>
            <w:gridSpan w:val="4"/>
            <w:tcBorders>
              <w:top w:val="single" w:sz="4" w:space="0" w:color="448A99"/>
              <w:left w:val="single" w:sz="4" w:space="0" w:color="448A99"/>
              <w:bottom w:val="single" w:sz="4" w:space="0" w:color="448A99"/>
              <w:right w:val="single" w:sz="4" w:space="0" w:color="448A99"/>
            </w:tcBorders>
            <w:shd w:val="clear" w:color="auto" w:fill="auto"/>
            <w:hideMark/>
          </w:tcPr>
          <w:p w:rsidR="007C2227" w:rsidRPr="00B75B77" w:rsidRDefault="007C2227" w:rsidP="005459F4">
            <w:pPr>
              <w:jc w:val="left"/>
              <w:rPr>
                <w:rFonts w:ascii="Calibri" w:eastAsia="Times New Roman" w:hAnsi="Calibri"/>
                <w:color w:val="000000"/>
                <w:sz w:val="18"/>
                <w:szCs w:val="18"/>
              </w:rPr>
            </w:pPr>
            <w:r w:rsidRPr="00B75B77">
              <w:rPr>
                <w:rFonts w:ascii="Calibri" w:eastAsia="Times New Roman" w:hAnsi="Calibri"/>
                <w:iCs/>
                <w:color w:val="000000"/>
                <w:sz w:val="18"/>
                <w:szCs w:val="18"/>
              </w:rPr>
              <w:t>Per PUC direction, TRC inputs and calculations are required in the Annual Report only and should comply with the 2013 Total Resource Cost Test Order. Please see the “Report Definitions” section of this report for more details.</w:t>
            </w:r>
            <w:r w:rsidRPr="00B75B77">
              <w:rPr>
                <w:rFonts w:ascii="Calibri" w:eastAsia="Times New Roman" w:hAnsi="Calibri"/>
                <w:color w:val="000000"/>
                <w:sz w:val="18"/>
                <w:szCs w:val="18"/>
              </w:rPr>
              <w:br/>
            </w:r>
            <w:r w:rsidRPr="00B75B77">
              <w:rPr>
                <w:rFonts w:ascii="Calibri" w:eastAsia="Times New Roman" w:hAnsi="Calibri"/>
                <w:color w:val="000000"/>
                <w:sz w:val="18"/>
                <w:szCs w:val="18"/>
              </w:rPr>
              <w:br/>
            </w:r>
            <w:r w:rsidRPr="00B75B77">
              <w:rPr>
                <w:rFonts w:ascii="Calibri" w:eastAsia="Times New Roman" w:hAnsi="Calibri"/>
                <w:color w:val="000000"/>
                <w:sz w:val="18"/>
                <w:szCs w:val="18"/>
                <w:vertAlign w:val="superscript"/>
              </w:rPr>
              <w:t>[1]</w:t>
            </w:r>
            <w:r w:rsidRPr="00B75B77">
              <w:rPr>
                <w:rFonts w:ascii="Calibri" w:eastAsia="Times New Roman" w:hAnsi="Calibri"/>
                <w:color w:val="000000"/>
                <w:sz w:val="18"/>
                <w:szCs w:val="18"/>
              </w:rPr>
              <w:t xml:space="preserve"> Includes rebate processing, tracking system, general administration, EDC and CSP program management, general management</w:t>
            </w:r>
            <w:r w:rsidR="00EB5298" w:rsidRPr="00B75B77">
              <w:rPr>
                <w:rFonts w:ascii="Calibri" w:eastAsia="Times New Roman" w:hAnsi="Calibri"/>
                <w:color w:val="000000"/>
                <w:sz w:val="18"/>
                <w:szCs w:val="18"/>
              </w:rPr>
              <w:t>,</w:t>
            </w:r>
            <w:r w:rsidRPr="00B75B77">
              <w:rPr>
                <w:rFonts w:ascii="Calibri" w:eastAsia="Times New Roman" w:hAnsi="Calibri"/>
                <w:color w:val="000000"/>
                <w:sz w:val="18"/>
                <w:szCs w:val="18"/>
              </w:rPr>
              <w:t xml:space="preserve"> and legal and technical assistance. </w:t>
            </w:r>
            <w:r w:rsidRPr="00B75B77">
              <w:rPr>
                <w:rFonts w:ascii="Calibri" w:eastAsia="Times New Roman" w:hAnsi="Calibri"/>
                <w:color w:val="000000"/>
                <w:sz w:val="18"/>
                <w:szCs w:val="18"/>
              </w:rPr>
              <w:br/>
            </w:r>
            <w:r w:rsidRPr="00B75B77">
              <w:rPr>
                <w:rFonts w:ascii="Calibri" w:eastAsia="Times New Roman" w:hAnsi="Calibri"/>
                <w:color w:val="000000"/>
                <w:sz w:val="18"/>
                <w:szCs w:val="18"/>
                <w:vertAlign w:val="superscript"/>
              </w:rPr>
              <w:t>[2]</w:t>
            </w:r>
            <w:r w:rsidRPr="00B75B77">
              <w:rPr>
                <w:rFonts w:ascii="Calibri" w:eastAsia="Times New Roman" w:hAnsi="Calibri"/>
                <w:color w:val="000000"/>
                <w:sz w:val="18"/>
                <w:szCs w:val="18"/>
              </w:rPr>
              <w:t xml:space="preserve"> Includes the marketing CSP and marketing costs by program CSPs. </w:t>
            </w:r>
            <w:r w:rsidRPr="00B75B77">
              <w:rPr>
                <w:rFonts w:ascii="Calibri" w:eastAsia="Times New Roman" w:hAnsi="Calibri"/>
                <w:color w:val="000000"/>
                <w:sz w:val="18"/>
                <w:szCs w:val="18"/>
              </w:rPr>
              <w:br/>
            </w:r>
            <w:r w:rsidRPr="00B75B77">
              <w:rPr>
                <w:rFonts w:ascii="Calibri" w:eastAsia="Times New Roman" w:hAnsi="Calibri"/>
                <w:color w:val="000000"/>
                <w:sz w:val="18"/>
                <w:szCs w:val="18"/>
                <w:vertAlign w:val="superscript"/>
              </w:rPr>
              <w:t>[3]</w:t>
            </w:r>
            <w:r w:rsidRPr="00B75B77">
              <w:rPr>
                <w:rFonts w:ascii="Calibri" w:eastAsia="Times New Roman" w:hAnsi="Calibri"/>
                <w:color w:val="000000"/>
                <w:sz w:val="18"/>
                <w:szCs w:val="18"/>
              </w:rPr>
              <w:t xml:space="preserve"> Total TRC Costs includes Total EDC Costs and Participant Costs.</w:t>
            </w:r>
            <w:r w:rsidRPr="00B75B77">
              <w:rPr>
                <w:rFonts w:ascii="Calibri" w:eastAsia="Times New Roman" w:hAnsi="Calibri"/>
                <w:color w:val="000000"/>
                <w:sz w:val="18"/>
                <w:szCs w:val="18"/>
              </w:rPr>
              <w:br/>
            </w:r>
            <w:r w:rsidRPr="00B75B77">
              <w:rPr>
                <w:rFonts w:ascii="Calibri" w:eastAsia="Times New Roman" w:hAnsi="Calibri"/>
                <w:color w:val="000000"/>
                <w:sz w:val="18"/>
                <w:szCs w:val="18"/>
                <w:vertAlign w:val="superscript"/>
              </w:rPr>
              <w:t xml:space="preserve">[4] </w:t>
            </w:r>
            <w:r w:rsidRPr="00B75B77">
              <w:rPr>
                <w:rFonts w:ascii="Calibri" w:eastAsia="Times New Roman" w:hAnsi="Calibri"/>
                <w:color w:val="000000"/>
                <w:sz w:val="18"/>
                <w:szCs w:val="18"/>
              </w:rPr>
              <w:t>Total TRC Benefits equals the sum of Total Lifetime Energy Benefits and Total Lifetime Capacity Benefits</w:t>
            </w:r>
            <w:r w:rsidR="00EB5298" w:rsidRPr="00B75B77">
              <w:rPr>
                <w:rFonts w:ascii="Calibri" w:eastAsia="Times New Roman" w:hAnsi="Calibri"/>
                <w:color w:val="000000"/>
                <w:sz w:val="18"/>
                <w:szCs w:val="18"/>
              </w:rPr>
              <w:t xml:space="preserve"> b</w:t>
            </w:r>
            <w:r w:rsidRPr="00B75B77">
              <w:rPr>
                <w:rFonts w:ascii="Calibri" w:eastAsia="Times New Roman" w:hAnsi="Calibri"/>
                <w:color w:val="000000"/>
                <w:sz w:val="18"/>
                <w:szCs w:val="18"/>
              </w:rPr>
              <w:t>ased upon verified gross kWh and kW savings. Benefits include avoided supply costs, including the reduction in costs of electric energy, generation, transmission, and distribution capacity, and natural gas valued at marginal cost for periods when there is a load reduction.</w:t>
            </w:r>
            <w:r w:rsidR="002A15B8" w:rsidRPr="00B75B77">
              <w:rPr>
                <w:rFonts w:ascii="Calibri" w:eastAsia="Times New Roman" w:hAnsi="Calibri"/>
                <w:color w:val="000000"/>
                <w:sz w:val="18"/>
                <w:szCs w:val="18"/>
              </w:rPr>
              <w:br/>
              <w:t>Note</w:t>
            </w:r>
            <w:r w:rsidRPr="00B75B77">
              <w:rPr>
                <w:rFonts w:ascii="Calibri" w:eastAsia="Times New Roman" w:hAnsi="Calibri"/>
                <w:color w:val="000000"/>
                <w:sz w:val="18"/>
                <w:szCs w:val="18"/>
              </w:rPr>
              <w:t>: Savings carried over from Phase I are not to be included as a part of Total TRC Benefits for Phase II.</w:t>
            </w:r>
            <w:r w:rsidRPr="00B75B77">
              <w:rPr>
                <w:rFonts w:ascii="Calibri" w:eastAsia="Times New Roman" w:hAnsi="Calibri"/>
                <w:color w:val="000000"/>
                <w:sz w:val="18"/>
                <w:szCs w:val="18"/>
              </w:rPr>
              <w:br/>
            </w:r>
            <w:r w:rsidRPr="00B75B77">
              <w:rPr>
                <w:rFonts w:ascii="Calibri" w:eastAsia="Times New Roman" w:hAnsi="Calibri"/>
                <w:color w:val="000000"/>
                <w:sz w:val="18"/>
                <w:szCs w:val="18"/>
                <w:vertAlign w:val="superscript"/>
              </w:rPr>
              <w:t>[5]</w:t>
            </w:r>
            <w:r w:rsidRPr="00B75B77">
              <w:rPr>
                <w:rFonts w:ascii="Calibri" w:eastAsia="Times New Roman" w:hAnsi="Calibri"/>
                <w:color w:val="000000"/>
                <w:sz w:val="18"/>
                <w:szCs w:val="18"/>
              </w:rPr>
              <w:t xml:space="preserve"> TRC Ratio equals Total NPV TRC Benefits divided by Total NPV TRC Costs.</w:t>
            </w:r>
            <w:r w:rsidRPr="00B75B77">
              <w:rPr>
                <w:rFonts w:ascii="Calibri" w:eastAsia="Times New Roman" w:hAnsi="Calibri"/>
                <w:color w:val="000000"/>
                <w:sz w:val="18"/>
                <w:szCs w:val="18"/>
              </w:rPr>
              <w:br/>
            </w:r>
            <w:r w:rsidRPr="00B75B77">
              <w:rPr>
                <w:rFonts w:ascii="Calibri" w:eastAsia="Times New Roman" w:hAnsi="Calibri"/>
                <w:color w:val="000000"/>
                <w:sz w:val="18"/>
                <w:szCs w:val="18"/>
              </w:rPr>
              <w:br/>
            </w:r>
            <w:r w:rsidRPr="00B75B77">
              <w:rPr>
                <w:rFonts w:ascii="Calibri" w:eastAsia="Times New Roman" w:hAnsi="Calibri"/>
                <w:iCs/>
                <w:color w:val="000000"/>
                <w:sz w:val="18"/>
                <w:szCs w:val="18"/>
              </w:rPr>
              <w:t xml:space="preserve">Values in tables may not reconcile </w:t>
            </w:r>
            <w:r w:rsidR="005F0C40" w:rsidRPr="00B75B77">
              <w:rPr>
                <w:rFonts w:ascii="Calibri" w:eastAsia="Times New Roman" w:hAnsi="Calibri"/>
                <w:iCs/>
                <w:color w:val="000000"/>
                <w:sz w:val="18"/>
                <w:szCs w:val="18"/>
              </w:rPr>
              <w:t>exactly with the sum</w:t>
            </w:r>
            <w:r w:rsidRPr="00B75B77">
              <w:rPr>
                <w:rFonts w:ascii="Calibri" w:eastAsia="Times New Roman" w:hAnsi="Calibri"/>
                <w:iCs/>
                <w:color w:val="000000"/>
                <w:sz w:val="18"/>
                <w:szCs w:val="18"/>
              </w:rPr>
              <w:t xml:space="preserve"> of more detailed level results or previously reported results due to rounding.</w:t>
            </w:r>
          </w:p>
        </w:tc>
      </w:tr>
    </w:tbl>
    <w:p w:rsidR="007C2227" w:rsidRPr="00B75B77" w:rsidRDefault="007C2227" w:rsidP="005459F4">
      <w:pPr>
        <w:pStyle w:val="Source"/>
        <w:keepNext/>
        <w:ind w:left="270" w:hanging="90"/>
      </w:pPr>
      <w:r w:rsidRPr="00B75B77">
        <w:t>Source: Navigant analysis</w:t>
      </w:r>
    </w:p>
    <w:p w:rsidR="00936753" w:rsidRPr="00B75B77" w:rsidRDefault="00936753">
      <w:pPr>
        <w:sectPr w:rsidR="00936753" w:rsidRPr="00B75B77" w:rsidSect="00B5438D">
          <w:pgSz w:w="12240" w:h="15840" w:code="1"/>
          <w:pgMar w:top="1170" w:right="1440" w:bottom="1260" w:left="1440" w:header="576" w:footer="475" w:gutter="0"/>
          <w:cols w:space="720"/>
          <w:docGrid w:linePitch="360"/>
        </w:sectPr>
      </w:pPr>
    </w:p>
    <w:p w:rsidR="000E1EED" w:rsidRPr="00B75B77" w:rsidRDefault="000E1EED" w:rsidP="000E1EED">
      <w:pPr>
        <w:pStyle w:val="Heading1"/>
      </w:pPr>
      <w:bookmarkStart w:id="699" w:name="_Toc466413395"/>
      <w:r w:rsidRPr="00B75B77">
        <w:lastRenderedPageBreak/>
        <w:t>Smart Equipment Incentives</w:t>
      </w:r>
      <w:r w:rsidR="002540CA" w:rsidRPr="00B75B77">
        <w:t>:</w:t>
      </w:r>
      <w:r w:rsidRPr="00B75B77">
        <w:t xml:space="preserve"> </w:t>
      </w:r>
      <w:r w:rsidR="00B470B5" w:rsidRPr="00B75B77">
        <w:t>C&amp;I</w:t>
      </w:r>
      <w:bookmarkEnd w:id="699"/>
    </w:p>
    <w:p w:rsidR="008872A9" w:rsidRPr="00B75B77" w:rsidRDefault="008872A9" w:rsidP="00FA45FF">
      <w:r w:rsidRPr="00B75B77">
        <w:t xml:space="preserve">PECO launched the Smart Equipment Incentives (SEI) program in Phase I and continued the program into Phase II. The program offers incentives for projects with prescriptive measures (e.g., lighting and variable frequency drives) and custom projects. A main goal of the SEI program in Phase II </w:t>
      </w:r>
      <w:r w:rsidR="0054059D" w:rsidRPr="00B75B77">
        <w:t>wa</w:t>
      </w:r>
      <w:r w:rsidRPr="00B75B77">
        <w:t>s to encourage the installation of eff</w:t>
      </w:r>
      <w:r w:rsidR="00822ED4" w:rsidRPr="00B75B77">
        <w:t xml:space="preserve">icient non-lighting equipment. </w:t>
      </w:r>
      <w:r w:rsidRPr="00B75B77">
        <w:t xml:space="preserve">PECO filed the SEI program with the Pennsylvania PUC as two programs targeting different nonresidential customer segments: C&amp;I and </w:t>
      </w:r>
      <w:r w:rsidR="00FA45FF" w:rsidRPr="00B75B77">
        <w:t>GNI</w:t>
      </w:r>
      <w:r w:rsidRPr="00B75B77">
        <w:t xml:space="preserve">. This section focuses on the SEI </w:t>
      </w:r>
      <w:r w:rsidR="00822ED4" w:rsidRPr="00B75B77">
        <w:t xml:space="preserve">C&amp;I </w:t>
      </w:r>
      <w:r w:rsidRPr="00B75B77">
        <w:t>program.</w:t>
      </w:r>
    </w:p>
    <w:p w:rsidR="008872A9" w:rsidRPr="00B75B77" w:rsidRDefault="008872A9" w:rsidP="00FA45FF"/>
    <w:p w:rsidR="008872A9" w:rsidRPr="00B75B77" w:rsidRDefault="008872A9" w:rsidP="00FA45FF">
      <w:r w:rsidRPr="00B75B77">
        <w:rPr>
          <w:szCs w:val="20"/>
        </w:rPr>
        <w:t xml:space="preserve">PECO hired a </w:t>
      </w:r>
      <w:r w:rsidRPr="00B75B77">
        <w:t>CSP, DNV GL,</w:t>
      </w:r>
      <w:r w:rsidRPr="00B75B77">
        <w:rPr>
          <w:szCs w:val="20"/>
        </w:rPr>
        <w:t xml:space="preserve"> to implement and market the program throughout the PECO service territory. DNV GL was responsible for </w:t>
      </w:r>
      <w:r w:rsidRPr="00B75B77">
        <w:t xml:space="preserve">employing the customer service staff to market and assist </w:t>
      </w:r>
      <w:r w:rsidR="007569D5" w:rsidRPr="00B75B77">
        <w:t xml:space="preserve">with </w:t>
      </w:r>
      <w:r w:rsidRPr="00B75B77">
        <w:t xml:space="preserve">program participation while developing and maintaining trade allies. DNV GL is also responsible for program marketing, contractor invoicing, rebate processing, </w:t>
      </w:r>
      <w:r w:rsidR="007569D5" w:rsidRPr="00B75B77">
        <w:t xml:space="preserve">reviews </w:t>
      </w:r>
      <w:r w:rsidRPr="00B75B77">
        <w:t xml:space="preserve">of ex ante savings, and </w:t>
      </w:r>
      <w:r w:rsidR="007569D5" w:rsidRPr="00B75B77">
        <w:t xml:space="preserve">provision of </w:t>
      </w:r>
      <w:r w:rsidRPr="00B75B77">
        <w:t>biweekly program participation data that feeds into PECO’s SIDS database.</w:t>
      </w:r>
    </w:p>
    <w:p w:rsidR="008872A9" w:rsidRPr="00B75B77" w:rsidRDefault="008872A9" w:rsidP="00FA45FF"/>
    <w:p w:rsidR="008872A9" w:rsidRPr="00B75B77" w:rsidRDefault="008872A9" w:rsidP="00FA45FF">
      <w:r w:rsidRPr="00B75B77">
        <w:t xml:space="preserve">PECO’s </w:t>
      </w:r>
      <w:r w:rsidR="007569D5" w:rsidRPr="00B75B77">
        <w:t>C&amp;I</w:t>
      </w:r>
      <w:r w:rsidRPr="00B75B77">
        <w:t xml:space="preserve"> customers that own or rent their space are eligible for the program. Participating customers first identify energy efficiency projects at their facility</w:t>
      </w:r>
      <w:r w:rsidR="007569D5" w:rsidRPr="00B75B77">
        <w:t>,</w:t>
      </w:r>
      <w:r w:rsidRPr="00B75B77">
        <w:t xml:space="preserve"> including deemed, partially</w:t>
      </w:r>
      <w:r w:rsidR="007569D5" w:rsidRPr="00B75B77">
        <w:t xml:space="preserve"> </w:t>
      </w:r>
      <w:r w:rsidRPr="00B75B77">
        <w:t>deemed, or custom measures. Next</w:t>
      </w:r>
      <w:r w:rsidR="007569D5" w:rsidRPr="00B75B77">
        <w:t>,</w:t>
      </w:r>
      <w:r w:rsidRPr="00B75B77">
        <w:t xml:space="preserve"> the customer must submit a pre-application to DNV GL before completing the project. Once approved, the project is implemented by </w:t>
      </w:r>
      <w:r w:rsidR="00C8082F" w:rsidRPr="00B75B77">
        <w:t xml:space="preserve">the customer’s selected </w:t>
      </w:r>
      <w:r w:rsidRPr="00B75B77">
        <w:t xml:space="preserve">contractor, and either the customer or the contractor submits the rebate paperwork to DNV GL. DNV GL completed 1,329 </w:t>
      </w:r>
      <w:r w:rsidR="00C8082F" w:rsidRPr="00B75B77">
        <w:t>C&amp;</w:t>
      </w:r>
      <w:r w:rsidRPr="00B75B77">
        <w:t xml:space="preserve">I retrofit projects in PY7. </w:t>
      </w:r>
      <w:r w:rsidR="007569D5" w:rsidRPr="00B75B77">
        <w:t>Notably, 67%</w:t>
      </w:r>
      <w:r w:rsidRPr="00B75B77">
        <w:t xml:space="preserve"> of total SEI </w:t>
      </w:r>
      <w:r w:rsidR="00C8082F" w:rsidRPr="00B75B77">
        <w:t>C&amp;</w:t>
      </w:r>
      <w:r w:rsidRPr="00B75B77">
        <w:t>I PY7 energy savings came from lighting measures, including lighting controls.</w:t>
      </w:r>
    </w:p>
    <w:p w:rsidR="008872A9" w:rsidRPr="00B75B77" w:rsidRDefault="008872A9" w:rsidP="00286B52">
      <w:pPr>
        <w:rPr>
          <w:color w:val="FF0000"/>
        </w:rPr>
      </w:pPr>
    </w:p>
    <w:p w:rsidR="008872A9" w:rsidRPr="00B75B77" w:rsidRDefault="008872A9" w:rsidP="003E6A9B">
      <w:pPr>
        <w:pStyle w:val="Heading2"/>
      </w:pPr>
      <w:bookmarkStart w:id="700" w:name="_Toc466413396"/>
      <w:r w:rsidRPr="00B75B77">
        <w:t>Program Updates</w:t>
      </w:r>
      <w:bookmarkEnd w:id="700"/>
    </w:p>
    <w:p w:rsidR="008872A9" w:rsidRPr="00B75B77" w:rsidRDefault="008872A9" w:rsidP="00707B64">
      <w:r w:rsidRPr="00B75B77">
        <w:t>The SEI program launched a new trade ally program in PY6 that financially rewards trade allies for achieving energy savings targets. Trade allies can become silver</w:t>
      </w:r>
      <w:r w:rsidR="007569D5" w:rsidRPr="00B75B77">
        <w:t>-</w:t>
      </w:r>
      <w:r w:rsidRPr="00B75B77">
        <w:t>, gold</w:t>
      </w:r>
      <w:r w:rsidR="007569D5" w:rsidRPr="00B75B77">
        <w:t>-</w:t>
      </w:r>
      <w:r w:rsidRPr="00B75B77">
        <w:t>, or platinum</w:t>
      </w:r>
      <w:r w:rsidR="007569D5" w:rsidRPr="00B75B77">
        <w:t>-</w:t>
      </w:r>
      <w:r w:rsidRPr="00B75B77">
        <w:t xml:space="preserve">level trade allies, depending upon the number and size of projects they bring into the SEI program. </w:t>
      </w:r>
      <w:r w:rsidR="007569D5" w:rsidRPr="00B75B77">
        <w:t>They</w:t>
      </w:r>
      <w:r w:rsidRPr="00B75B77">
        <w:t xml:space="preserve"> receive recognition at quarterly events and financial compensation for achieving each level. This program became more robust and popular in PY7. The SEI CSP implemented a “limited time offer” in which participants were eligible for additional incentive money if they completed the project before January 31, 2016. Communication between PECO and the CSP was also more consistent and transparent in PY7 compared to past program years</w:t>
      </w:r>
      <w:r w:rsidR="00025EF3" w:rsidRPr="00B75B77">
        <w:t>.</w:t>
      </w:r>
      <w:r w:rsidR="006E0F92" w:rsidRPr="00B75B77">
        <w:t xml:space="preserve"> PECO </w:t>
      </w:r>
      <w:r w:rsidR="00025EF3" w:rsidRPr="00B75B77">
        <w:t xml:space="preserve">also </w:t>
      </w:r>
      <w:r w:rsidR="006E0F92" w:rsidRPr="00B75B77">
        <w:t xml:space="preserve">used their account managers </w:t>
      </w:r>
      <w:r w:rsidR="00025EF3" w:rsidRPr="00B75B77">
        <w:t xml:space="preserve">in a more </w:t>
      </w:r>
      <w:r w:rsidR="006E0F92" w:rsidRPr="00B75B77">
        <w:t>strategic</w:t>
      </w:r>
      <w:r w:rsidR="00025EF3" w:rsidRPr="00B75B77">
        <w:t xml:space="preserve"> role</w:t>
      </w:r>
      <w:r w:rsidR="006E0F92" w:rsidRPr="00B75B77">
        <w:t xml:space="preserve"> </w:t>
      </w:r>
      <w:r w:rsidR="00025EF3" w:rsidRPr="00B75B77">
        <w:t xml:space="preserve">than previous years </w:t>
      </w:r>
      <w:r w:rsidR="006E0F92" w:rsidRPr="00B75B77">
        <w:t>as advocates for the program with their large account customers</w:t>
      </w:r>
      <w:r w:rsidRPr="00B75B77">
        <w:t>.</w:t>
      </w:r>
      <w:r w:rsidR="00B228F1" w:rsidRPr="00B75B77">
        <w:t xml:space="preserve"> </w:t>
      </w:r>
    </w:p>
    <w:p w:rsidR="008872A9" w:rsidRPr="00B75B77" w:rsidRDefault="008872A9" w:rsidP="00286B52"/>
    <w:p w:rsidR="008872A9" w:rsidRPr="00B75B77" w:rsidRDefault="008872A9" w:rsidP="0045485C">
      <w:pPr>
        <w:pStyle w:val="Heading3"/>
      </w:pPr>
      <w:bookmarkStart w:id="701" w:name="_Toc466413397"/>
      <w:r w:rsidRPr="00B75B77">
        <w:t>Definition of Participant</w:t>
      </w:r>
      <w:bookmarkEnd w:id="701"/>
    </w:p>
    <w:p w:rsidR="008872A9" w:rsidRPr="00B75B77" w:rsidRDefault="008872A9" w:rsidP="00707B64">
      <w:r w:rsidRPr="00B75B77">
        <w:t>For the SEI program, PECO defines a participant by one completed project. Each project may include the installation of one or more measures, and each project can be of different measure types.</w:t>
      </w:r>
    </w:p>
    <w:p w:rsidR="008872A9" w:rsidRPr="00B75B77" w:rsidRDefault="008872A9" w:rsidP="00286B52"/>
    <w:p w:rsidR="008872A9" w:rsidRPr="00B75B77" w:rsidRDefault="008872A9" w:rsidP="00707B64">
      <w:pPr>
        <w:pStyle w:val="Heading2"/>
      </w:pPr>
      <w:bookmarkStart w:id="702" w:name="_Toc466413398"/>
      <w:r w:rsidRPr="00B75B77">
        <w:t>Impact Evaluation Gross Savings</w:t>
      </w:r>
      <w:bookmarkEnd w:id="702"/>
      <w:r w:rsidRPr="00B75B77">
        <w:t xml:space="preserve"> </w:t>
      </w:r>
    </w:p>
    <w:p w:rsidR="008872A9" w:rsidRPr="00B75B77" w:rsidRDefault="008872A9" w:rsidP="00707B64">
      <w:pPr>
        <w:jc w:val="left"/>
      </w:pPr>
      <w:r w:rsidRPr="00B75B77">
        <w:rPr>
          <w:rFonts w:ascii="Calibri" w:hAnsi="Calibri" w:cs="Calibri"/>
          <w:color w:val="231F20"/>
        </w:rPr>
        <w:t>The SEI program achieved verified energy and demand savings of 238,</w:t>
      </w:r>
      <w:r w:rsidR="00C05FC6" w:rsidRPr="00B75B77">
        <w:rPr>
          <w:rFonts w:ascii="Calibri" w:hAnsi="Calibri" w:cs="Calibri"/>
          <w:color w:val="231F20"/>
        </w:rPr>
        <w:t xml:space="preserve">518 </w:t>
      </w:r>
      <w:r w:rsidRPr="00B75B77">
        <w:rPr>
          <w:rFonts w:ascii="Calibri" w:hAnsi="Calibri" w:cs="Calibri"/>
          <w:color w:val="231F20"/>
        </w:rPr>
        <w:t>MWh and 3</w:t>
      </w:r>
      <w:r w:rsidR="00C05FC6" w:rsidRPr="00B75B77">
        <w:rPr>
          <w:rFonts w:ascii="Calibri" w:hAnsi="Calibri" w:cs="Calibri"/>
          <w:color w:val="231F20"/>
        </w:rPr>
        <w:t>9.1</w:t>
      </w:r>
      <w:r w:rsidRPr="00B75B77">
        <w:rPr>
          <w:rFonts w:ascii="Calibri" w:hAnsi="Calibri" w:cs="Calibri"/>
          <w:color w:val="231F20"/>
        </w:rPr>
        <w:t xml:space="preserve"> MW, respectively. </w:t>
      </w:r>
      <w:r w:rsidRPr="00B75B77">
        <w:t>The total reported energy savings for Phase II were 229,217 MWh, reported gross demand savings were 35.2 MW, and total incentives paid to customers were $</w:t>
      </w:r>
      <w:r w:rsidR="009C1F2B" w:rsidRPr="00B75B77">
        <w:t>17,325,607</w:t>
      </w:r>
      <w:r w:rsidRPr="00B75B77">
        <w:t xml:space="preserve">. </w:t>
      </w:r>
      <w:r w:rsidRPr="00B75B77">
        <w:rPr>
          <w:szCs w:val="20"/>
        </w:rPr>
        <w:fldChar w:fldCharType="begin"/>
      </w:r>
      <w:r w:rsidRPr="00B75B77">
        <w:rPr>
          <w:szCs w:val="20"/>
        </w:rPr>
        <w:instrText xml:space="preserve"> REF _Ref462838553 \h </w:instrText>
      </w:r>
      <w:r w:rsidR="00493C06" w:rsidRPr="00B75B77">
        <w:rPr>
          <w:szCs w:val="20"/>
        </w:rPr>
        <w:instrText xml:space="preserve"> \* MERGEFORMAT </w:instrText>
      </w:r>
      <w:r w:rsidRPr="00B75B77">
        <w:rPr>
          <w:szCs w:val="20"/>
        </w:rPr>
      </w:r>
      <w:r w:rsidRPr="00B75B77">
        <w:rPr>
          <w:szCs w:val="20"/>
        </w:rPr>
        <w:fldChar w:fldCharType="separate"/>
      </w:r>
      <w:r w:rsidR="0004016D" w:rsidRPr="00B75B77">
        <w:t xml:space="preserve">Table </w:t>
      </w:r>
      <w:r w:rsidR="0004016D">
        <w:rPr>
          <w:noProof/>
        </w:rPr>
        <w:t>11</w:t>
      </w:r>
      <w:r w:rsidR="0004016D" w:rsidRPr="00B75B77">
        <w:rPr>
          <w:noProof/>
        </w:rPr>
        <w:noBreakHyphen/>
      </w:r>
      <w:r w:rsidR="0004016D">
        <w:rPr>
          <w:noProof/>
        </w:rPr>
        <w:t>1</w:t>
      </w:r>
      <w:r w:rsidRPr="00B75B77">
        <w:rPr>
          <w:szCs w:val="20"/>
        </w:rPr>
        <w:fldChar w:fldCharType="end"/>
      </w:r>
      <w:r w:rsidRPr="00B75B77">
        <w:rPr>
          <w:szCs w:val="20"/>
        </w:rPr>
        <w:t xml:space="preserve"> </w:t>
      </w:r>
      <w:r w:rsidRPr="00B75B77">
        <w:rPr>
          <w:rFonts w:ascii="Calibri" w:hAnsi="Calibri" w:cs="Calibri"/>
          <w:color w:val="231F20"/>
        </w:rPr>
        <w:t xml:space="preserve">shows </w:t>
      </w:r>
      <w:r w:rsidRPr="00B75B77">
        <w:rPr>
          <w:noProof/>
        </w:rPr>
        <w:t>the Phase II savings and incentive results for the SEI program for the C&amp;I sector</w:t>
      </w:r>
      <w:r w:rsidR="0054059D" w:rsidRPr="00B75B77">
        <w:rPr>
          <w:noProof/>
        </w:rPr>
        <w:t xml:space="preserve"> as well as</w:t>
      </w:r>
      <w:r w:rsidRPr="00B75B77">
        <w:rPr>
          <w:szCs w:val="20"/>
        </w:rPr>
        <w:t xml:space="preserve"> the reported results for the SEI C&amp;I program.</w:t>
      </w:r>
    </w:p>
    <w:p w:rsidR="008872A9" w:rsidRPr="00B75B77" w:rsidRDefault="008872A9" w:rsidP="00286B52"/>
    <w:p w:rsidR="008872A9" w:rsidRPr="00B75B77" w:rsidRDefault="008872A9" w:rsidP="00586985">
      <w:pPr>
        <w:pStyle w:val="Caption"/>
      </w:pPr>
      <w:bookmarkStart w:id="703" w:name="_Ref462838553"/>
      <w:bookmarkStart w:id="704" w:name="_Ref462838542"/>
      <w:bookmarkStart w:id="705" w:name="_Toc466413588"/>
      <w:r w:rsidRPr="00B75B77">
        <w:lastRenderedPageBreak/>
        <w:t xml:space="preserve">Table </w:t>
      </w:r>
      <w:fldSimple w:instr=" STYLEREF 1 \s ">
        <w:r w:rsidR="0004016D">
          <w:rPr>
            <w:noProof/>
          </w:rPr>
          <w:t>11</w:t>
        </w:r>
      </w:fldSimple>
      <w:r w:rsidR="00F1144C" w:rsidRPr="00B75B77">
        <w:noBreakHyphen/>
      </w:r>
      <w:fldSimple w:instr=" SEQ Table \* ARABIC \s 1 ">
        <w:r w:rsidR="0004016D">
          <w:rPr>
            <w:noProof/>
          </w:rPr>
          <w:t>1</w:t>
        </w:r>
      </w:fldSimple>
      <w:bookmarkEnd w:id="703"/>
      <w:r w:rsidRPr="00B75B77">
        <w:t>: Phase II Smart Equipment Incentives (C&amp;I) Reported Results by Customer Sector</w:t>
      </w:r>
      <w:bookmarkEnd w:id="704"/>
      <w:bookmarkEnd w:id="705"/>
    </w:p>
    <w:tbl>
      <w:tblPr>
        <w:tblStyle w:val="MediumShading1-Accent5"/>
        <w:tblW w:w="4866" w:type="pct"/>
        <w:jc w:val="center"/>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617"/>
        <w:gridCol w:w="1283"/>
        <w:gridCol w:w="1280"/>
        <w:gridCol w:w="1280"/>
        <w:gridCol w:w="1280"/>
        <w:gridCol w:w="1282"/>
        <w:gridCol w:w="1297"/>
      </w:tblGrid>
      <w:tr w:rsidR="008872A9" w:rsidRPr="00B75B77" w:rsidTr="00442C8B">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6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8A99"/>
            <w:vAlign w:val="center"/>
          </w:tcPr>
          <w:p w:rsidR="008872A9" w:rsidRPr="00B75B77" w:rsidRDefault="008872A9" w:rsidP="0054059D">
            <w:pPr>
              <w:pStyle w:val="TableHeader"/>
              <w:jc w:val="left"/>
              <w:rPr>
                <w:b/>
                <w:color w:val="FFFFFF" w:themeColor="background1"/>
              </w:rPr>
            </w:pPr>
            <w:r w:rsidRPr="00B75B77">
              <w:rPr>
                <w:b/>
                <w:color w:val="FFFFFF" w:themeColor="background1"/>
              </w:rPr>
              <w:t>Customer Sector</w:t>
            </w:r>
            <w:r w:rsidRPr="00B75B77">
              <w:rPr>
                <w:rFonts w:eastAsia="Times New Roman"/>
                <w:b/>
                <w:color w:val="FFFFFF" w:themeColor="background1"/>
                <w:vertAlign w:val="superscript"/>
              </w:rPr>
              <w:t>[1]</w:t>
            </w:r>
          </w:p>
        </w:tc>
        <w:tc>
          <w:tcPr>
            <w:tcW w:w="68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8A99"/>
            <w:vAlign w:val="center"/>
          </w:tcPr>
          <w:p w:rsidR="008872A9" w:rsidRPr="00B75B77" w:rsidRDefault="008872A9" w:rsidP="00594255">
            <w:pPr>
              <w:pStyle w:val="TableHead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Participants</w:t>
            </w:r>
          </w:p>
        </w:tc>
        <w:tc>
          <w:tcPr>
            <w:tcW w:w="68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8A99"/>
            <w:vAlign w:val="center"/>
          </w:tcPr>
          <w:p w:rsidR="008872A9" w:rsidRPr="00B75B77" w:rsidRDefault="008872A9" w:rsidP="00594255">
            <w:pPr>
              <w:pStyle w:val="TableHead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Reported Gross Energy Savings (MWh/</w:t>
            </w:r>
            <w:proofErr w:type="spellStart"/>
            <w:r w:rsidRPr="00B75B77">
              <w:rPr>
                <w:b/>
                <w:color w:val="FFFFFF" w:themeColor="background1"/>
              </w:rPr>
              <w:t>yr</w:t>
            </w:r>
            <w:proofErr w:type="spellEnd"/>
            <w:r w:rsidRPr="00B75B77">
              <w:rPr>
                <w:b/>
                <w:color w:val="FFFFFF" w:themeColor="background1"/>
              </w:rPr>
              <w:t>)</w:t>
            </w:r>
          </w:p>
        </w:tc>
        <w:tc>
          <w:tcPr>
            <w:tcW w:w="68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8A99"/>
            <w:vAlign w:val="center"/>
          </w:tcPr>
          <w:p w:rsidR="008872A9" w:rsidRPr="00B75B77" w:rsidRDefault="008872A9" w:rsidP="00707B64">
            <w:pPr>
              <w:pStyle w:val="TableHead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Reported Gross Demand Reduction (MW)</w:t>
            </w:r>
            <w:r w:rsidRPr="00B75B77">
              <w:rPr>
                <w:rFonts w:eastAsia="Times New Roman"/>
                <w:b/>
                <w:color w:val="FFFFFF" w:themeColor="background1"/>
                <w:vertAlign w:val="superscript"/>
              </w:rPr>
              <w:t>[2]</w:t>
            </w:r>
          </w:p>
        </w:tc>
        <w:tc>
          <w:tcPr>
            <w:tcW w:w="68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8A99"/>
          </w:tcPr>
          <w:p w:rsidR="008872A9" w:rsidRPr="00B75B77" w:rsidRDefault="008872A9" w:rsidP="00594255">
            <w:pPr>
              <w:pStyle w:val="TableHead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Verified Gross Energy Savings (MWh/</w:t>
            </w:r>
            <w:proofErr w:type="spellStart"/>
            <w:r w:rsidRPr="00B75B77">
              <w:rPr>
                <w:b/>
                <w:color w:val="FFFFFF" w:themeColor="background1"/>
              </w:rPr>
              <w:t>yr</w:t>
            </w:r>
            <w:proofErr w:type="spellEnd"/>
            <w:r w:rsidRPr="00B75B77">
              <w:rPr>
                <w:b/>
                <w:color w:val="FFFFFF" w:themeColor="background1"/>
              </w:rPr>
              <w:t>)</w:t>
            </w:r>
          </w:p>
        </w:tc>
        <w:tc>
          <w:tcPr>
            <w:tcW w:w="68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8A99"/>
          </w:tcPr>
          <w:p w:rsidR="008872A9" w:rsidRPr="00B75B77" w:rsidRDefault="008872A9" w:rsidP="00707B64">
            <w:pPr>
              <w:pStyle w:val="TableHead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Verified Gross Demand Reduction (MW/</w:t>
            </w:r>
            <w:proofErr w:type="spellStart"/>
            <w:r w:rsidRPr="00B75B77">
              <w:rPr>
                <w:b/>
                <w:color w:val="FFFFFF" w:themeColor="background1"/>
              </w:rPr>
              <w:t>yr</w:t>
            </w:r>
            <w:proofErr w:type="spellEnd"/>
            <w:r w:rsidRPr="00B75B77">
              <w:rPr>
                <w:b/>
                <w:color w:val="FFFFFF" w:themeColor="background1"/>
              </w:rPr>
              <w:t>)</w:t>
            </w:r>
            <w:r w:rsidRPr="00B75B77">
              <w:rPr>
                <w:rFonts w:eastAsia="Times New Roman"/>
                <w:b/>
                <w:color w:val="FFFFFF" w:themeColor="background1"/>
                <w:vertAlign w:val="superscript"/>
              </w:rPr>
              <w:t>[2]</w:t>
            </w:r>
          </w:p>
        </w:tc>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8A99"/>
            <w:vAlign w:val="center"/>
          </w:tcPr>
          <w:p w:rsidR="008872A9" w:rsidRPr="00B75B77" w:rsidRDefault="008872A9" w:rsidP="0054059D">
            <w:pPr>
              <w:pStyle w:val="TableHead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Incentives Paid</w:t>
            </w:r>
            <w:r w:rsidRPr="00B75B77">
              <w:rPr>
                <w:b/>
                <w:color w:val="FFFFFF" w:themeColor="background1"/>
              </w:rPr>
              <w:br/>
              <w:t>($1,000)</w:t>
            </w:r>
          </w:p>
        </w:tc>
      </w:tr>
      <w:tr w:rsidR="00442C8B" w:rsidRPr="00B75B77" w:rsidTr="00442C8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67" w:type="pct"/>
            <w:tcBorders>
              <w:top w:val="single" w:sz="4" w:space="0" w:color="000000" w:themeColor="text1"/>
              <w:left w:val="single" w:sz="4" w:space="0" w:color="448A99"/>
              <w:bottom w:val="single" w:sz="4" w:space="0" w:color="448A99"/>
              <w:right w:val="single" w:sz="4" w:space="0" w:color="448A99"/>
            </w:tcBorders>
            <w:vAlign w:val="center"/>
          </w:tcPr>
          <w:p w:rsidR="00442C8B" w:rsidRPr="00B75B77" w:rsidRDefault="00442C8B" w:rsidP="00442C8B">
            <w:pPr>
              <w:pStyle w:val="TableText"/>
              <w:spacing w:before="0"/>
              <w:rPr>
                <w:b w:val="0"/>
              </w:rPr>
            </w:pPr>
            <w:r w:rsidRPr="00B75B77">
              <w:rPr>
                <w:rFonts w:ascii="Calibri" w:eastAsia="Times New Roman" w:hAnsi="Calibri"/>
                <w:b w:val="0"/>
              </w:rPr>
              <w:t>Residential</w:t>
            </w:r>
            <w:r w:rsidRPr="00B75B77">
              <w:rPr>
                <w:rFonts w:ascii="Calibri" w:eastAsia="Times New Roman" w:hAnsi="Calibri"/>
                <w:b w:val="0"/>
                <w:bCs w:val="0"/>
              </w:rPr>
              <w:t xml:space="preserve"> (Non-Low-Income)</w:t>
            </w:r>
          </w:p>
        </w:tc>
        <w:tc>
          <w:tcPr>
            <w:tcW w:w="688" w:type="pct"/>
            <w:tcBorders>
              <w:top w:val="single" w:sz="4" w:space="0" w:color="000000" w:themeColor="text1"/>
              <w:left w:val="single" w:sz="4" w:space="0" w:color="448A99"/>
              <w:bottom w:val="single" w:sz="4" w:space="0" w:color="448A99"/>
              <w:right w:val="single" w:sz="4" w:space="0" w:color="448A99"/>
            </w:tcBorders>
            <w:vAlign w:val="center"/>
          </w:tcPr>
          <w:p w:rsidR="00442C8B" w:rsidRPr="00B75B77" w:rsidRDefault="00442C8B" w:rsidP="00442C8B">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0</w:t>
            </w:r>
          </w:p>
        </w:tc>
        <w:tc>
          <w:tcPr>
            <w:tcW w:w="687" w:type="pct"/>
            <w:tcBorders>
              <w:top w:val="single" w:sz="4" w:space="0" w:color="000000" w:themeColor="text1"/>
              <w:left w:val="single" w:sz="4" w:space="0" w:color="448A99"/>
              <w:bottom w:val="single" w:sz="4" w:space="0" w:color="448A99"/>
              <w:right w:val="single" w:sz="4" w:space="0" w:color="448A99"/>
            </w:tcBorders>
            <w:vAlign w:val="center"/>
          </w:tcPr>
          <w:p w:rsidR="00442C8B" w:rsidRPr="00B75B77" w:rsidRDefault="00442C8B" w:rsidP="00442C8B">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0</w:t>
            </w:r>
          </w:p>
        </w:tc>
        <w:tc>
          <w:tcPr>
            <w:tcW w:w="687" w:type="pct"/>
            <w:tcBorders>
              <w:top w:val="single" w:sz="4" w:space="0" w:color="000000" w:themeColor="text1"/>
              <w:left w:val="single" w:sz="4" w:space="0" w:color="448A99"/>
              <w:bottom w:val="single" w:sz="4" w:space="0" w:color="448A99"/>
              <w:right w:val="single" w:sz="4" w:space="0" w:color="448A99"/>
            </w:tcBorders>
            <w:vAlign w:val="center"/>
          </w:tcPr>
          <w:p w:rsidR="00442C8B" w:rsidRPr="00B75B77" w:rsidRDefault="00442C8B" w:rsidP="00442C8B">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0.0</w:t>
            </w:r>
          </w:p>
        </w:tc>
        <w:tc>
          <w:tcPr>
            <w:tcW w:w="687" w:type="pct"/>
            <w:tcBorders>
              <w:top w:val="single" w:sz="4" w:space="0" w:color="000000" w:themeColor="text1"/>
              <w:left w:val="single" w:sz="4" w:space="0" w:color="448A99"/>
              <w:bottom w:val="single" w:sz="4" w:space="0" w:color="448A99"/>
              <w:right w:val="single" w:sz="4" w:space="0" w:color="448A99"/>
            </w:tcBorders>
            <w:vAlign w:val="center"/>
          </w:tcPr>
          <w:p w:rsidR="00442C8B" w:rsidRPr="00B75B77" w:rsidRDefault="00442C8B" w:rsidP="00442C8B">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0</w:t>
            </w:r>
          </w:p>
        </w:tc>
        <w:tc>
          <w:tcPr>
            <w:tcW w:w="688" w:type="pct"/>
            <w:tcBorders>
              <w:top w:val="single" w:sz="4" w:space="0" w:color="000000" w:themeColor="text1"/>
              <w:left w:val="single" w:sz="4" w:space="0" w:color="448A99"/>
              <w:bottom w:val="single" w:sz="4" w:space="0" w:color="448A99"/>
              <w:right w:val="single" w:sz="4" w:space="0" w:color="448A99"/>
            </w:tcBorders>
            <w:vAlign w:val="center"/>
          </w:tcPr>
          <w:p w:rsidR="00442C8B" w:rsidRPr="00B75B77" w:rsidRDefault="00442C8B" w:rsidP="00442C8B">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0.0</w:t>
            </w:r>
          </w:p>
        </w:tc>
        <w:tc>
          <w:tcPr>
            <w:tcW w:w="697" w:type="pct"/>
            <w:tcBorders>
              <w:top w:val="single" w:sz="4" w:space="0" w:color="000000" w:themeColor="text1"/>
              <w:left w:val="single" w:sz="4" w:space="0" w:color="448A99"/>
              <w:bottom w:val="single" w:sz="4" w:space="0" w:color="448A99"/>
              <w:right w:val="single" w:sz="4" w:space="0" w:color="448A99"/>
            </w:tcBorders>
            <w:vAlign w:val="center"/>
          </w:tcPr>
          <w:p w:rsidR="00442C8B" w:rsidRPr="00B75B77" w:rsidRDefault="0036519A" w:rsidP="00442C8B">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$0</w:t>
            </w:r>
          </w:p>
        </w:tc>
      </w:tr>
      <w:tr w:rsidR="00442C8B" w:rsidRPr="00B75B77" w:rsidTr="00442C8B">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67" w:type="pct"/>
            <w:tcBorders>
              <w:top w:val="single" w:sz="4" w:space="0" w:color="448A99"/>
              <w:left w:val="single" w:sz="4" w:space="0" w:color="448A99"/>
              <w:bottom w:val="single" w:sz="4" w:space="0" w:color="448A99"/>
              <w:right w:val="single" w:sz="4" w:space="0" w:color="448A99"/>
            </w:tcBorders>
            <w:vAlign w:val="center"/>
          </w:tcPr>
          <w:p w:rsidR="00442C8B" w:rsidRPr="00B75B77" w:rsidRDefault="00442C8B" w:rsidP="00442C8B">
            <w:pPr>
              <w:pStyle w:val="TableText"/>
              <w:spacing w:before="0"/>
              <w:rPr>
                <w:b w:val="0"/>
              </w:rPr>
            </w:pPr>
            <w:r w:rsidRPr="00B75B77">
              <w:rPr>
                <w:rFonts w:ascii="Calibri" w:eastAsia="Times New Roman" w:hAnsi="Calibri"/>
                <w:b w:val="0"/>
                <w:bCs w:val="0"/>
              </w:rPr>
              <w:t>Residential (</w:t>
            </w:r>
            <w:r w:rsidRPr="00B75B77">
              <w:rPr>
                <w:rFonts w:ascii="Calibri" w:eastAsia="Times New Roman" w:hAnsi="Calibri"/>
                <w:b w:val="0"/>
              </w:rPr>
              <w:t>Low-Income</w:t>
            </w:r>
            <w:r w:rsidRPr="00B75B77">
              <w:rPr>
                <w:rFonts w:ascii="Calibri" w:eastAsia="Times New Roman" w:hAnsi="Calibri"/>
                <w:b w:val="0"/>
                <w:bCs w:val="0"/>
              </w:rPr>
              <w:t>)</w:t>
            </w:r>
          </w:p>
        </w:tc>
        <w:tc>
          <w:tcPr>
            <w:tcW w:w="688" w:type="pct"/>
            <w:tcBorders>
              <w:top w:val="single" w:sz="4" w:space="0" w:color="448A99"/>
              <w:left w:val="single" w:sz="4" w:space="0" w:color="448A99"/>
              <w:bottom w:val="single" w:sz="4" w:space="0" w:color="448A99"/>
              <w:right w:val="single" w:sz="4" w:space="0" w:color="448A99"/>
            </w:tcBorders>
            <w:vAlign w:val="center"/>
          </w:tcPr>
          <w:p w:rsidR="00442C8B" w:rsidRPr="00B75B77" w:rsidRDefault="00442C8B" w:rsidP="00442C8B">
            <w:pPr>
              <w:pStyle w:val="TableText"/>
              <w:spacing w:before="0"/>
              <w:jc w:val="center"/>
              <w:cnfStyle w:val="000000010000" w:firstRow="0" w:lastRow="0" w:firstColumn="0" w:lastColumn="0" w:oddVBand="0" w:evenVBand="0" w:oddHBand="0" w:evenHBand="1" w:firstRowFirstColumn="0" w:firstRowLastColumn="0" w:lastRowFirstColumn="0" w:lastRowLastColumn="0"/>
            </w:pPr>
            <w:r w:rsidRPr="00B75B77">
              <w:rPr>
                <w:rFonts w:ascii="Calibri" w:hAnsi="Calibri"/>
              </w:rPr>
              <w:t>0</w:t>
            </w:r>
          </w:p>
        </w:tc>
        <w:tc>
          <w:tcPr>
            <w:tcW w:w="687" w:type="pct"/>
            <w:tcBorders>
              <w:top w:val="single" w:sz="4" w:space="0" w:color="448A99"/>
              <w:left w:val="single" w:sz="4" w:space="0" w:color="448A99"/>
              <w:bottom w:val="single" w:sz="4" w:space="0" w:color="448A99"/>
              <w:right w:val="single" w:sz="4" w:space="0" w:color="448A99"/>
            </w:tcBorders>
            <w:vAlign w:val="center"/>
          </w:tcPr>
          <w:p w:rsidR="00442C8B" w:rsidRPr="00B75B77" w:rsidRDefault="00442C8B" w:rsidP="00442C8B">
            <w:pPr>
              <w:pStyle w:val="TableText"/>
              <w:spacing w:before="0"/>
              <w:jc w:val="center"/>
              <w:cnfStyle w:val="000000010000" w:firstRow="0" w:lastRow="0" w:firstColumn="0" w:lastColumn="0" w:oddVBand="0" w:evenVBand="0" w:oddHBand="0" w:evenHBand="1" w:firstRowFirstColumn="0" w:firstRowLastColumn="0" w:lastRowFirstColumn="0" w:lastRowLastColumn="0"/>
            </w:pPr>
            <w:r w:rsidRPr="00B75B77">
              <w:rPr>
                <w:rFonts w:ascii="Calibri" w:hAnsi="Calibri"/>
              </w:rPr>
              <w:t>0</w:t>
            </w:r>
          </w:p>
        </w:tc>
        <w:tc>
          <w:tcPr>
            <w:tcW w:w="687" w:type="pct"/>
            <w:tcBorders>
              <w:top w:val="single" w:sz="4" w:space="0" w:color="448A99"/>
              <w:left w:val="single" w:sz="4" w:space="0" w:color="448A99"/>
              <w:bottom w:val="single" w:sz="4" w:space="0" w:color="448A99"/>
              <w:right w:val="single" w:sz="4" w:space="0" w:color="448A99"/>
            </w:tcBorders>
            <w:vAlign w:val="center"/>
          </w:tcPr>
          <w:p w:rsidR="00442C8B" w:rsidRPr="00B75B77" w:rsidRDefault="00442C8B" w:rsidP="00442C8B">
            <w:pPr>
              <w:pStyle w:val="TableText"/>
              <w:spacing w:before="0"/>
              <w:jc w:val="center"/>
              <w:cnfStyle w:val="000000010000" w:firstRow="0" w:lastRow="0" w:firstColumn="0" w:lastColumn="0" w:oddVBand="0" w:evenVBand="0" w:oddHBand="0" w:evenHBand="1" w:firstRowFirstColumn="0" w:firstRowLastColumn="0" w:lastRowFirstColumn="0" w:lastRowLastColumn="0"/>
            </w:pPr>
            <w:r w:rsidRPr="00B75B77">
              <w:rPr>
                <w:rFonts w:ascii="Calibri" w:hAnsi="Calibri"/>
              </w:rPr>
              <w:t>0.0</w:t>
            </w:r>
          </w:p>
        </w:tc>
        <w:tc>
          <w:tcPr>
            <w:tcW w:w="687" w:type="pct"/>
            <w:tcBorders>
              <w:top w:val="single" w:sz="4" w:space="0" w:color="448A99"/>
              <w:left w:val="single" w:sz="4" w:space="0" w:color="448A99"/>
              <w:bottom w:val="single" w:sz="4" w:space="0" w:color="448A99"/>
              <w:right w:val="single" w:sz="4" w:space="0" w:color="448A99"/>
            </w:tcBorders>
            <w:vAlign w:val="center"/>
          </w:tcPr>
          <w:p w:rsidR="00442C8B" w:rsidRPr="00B75B77" w:rsidRDefault="00442C8B" w:rsidP="00442C8B">
            <w:pPr>
              <w:pStyle w:val="TableText"/>
              <w:spacing w:before="0"/>
              <w:jc w:val="center"/>
              <w:cnfStyle w:val="000000010000" w:firstRow="0" w:lastRow="0" w:firstColumn="0" w:lastColumn="0" w:oddVBand="0" w:evenVBand="0" w:oddHBand="0" w:evenHBand="1" w:firstRowFirstColumn="0" w:firstRowLastColumn="0" w:lastRowFirstColumn="0" w:lastRowLastColumn="0"/>
            </w:pPr>
            <w:r w:rsidRPr="00B75B77">
              <w:rPr>
                <w:rFonts w:ascii="Calibri" w:hAnsi="Calibri"/>
              </w:rPr>
              <w:t>0</w:t>
            </w:r>
          </w:p>
        </w:tc>
        <w:tc>
          <w:tcPr>
            <w:tcW w:w="688" w:type="pct"/>
            <w:tcBorders>
              <w:top w:val="single" w:sz="4" w:space="0" w:color="448A99"/>
              <w:left w:val="single" w:sz="4" w:space="0" w:color="448A99"/>
              <w:bottom w:val="single" w:sz="4" w:space="0" w:color="448A99"/>
              <w:right w:val="single" w:sz="4" w:space="0" w:color="448A99"/>
            </w:tcBorders>
            <w:vAlign w:val="center"/>
          </w:tcPr>
          <w:p w:rsidR="00442C8B" w:rsidRPr="00B75B77" w:rsidRDefault="00442C8B" w:rsidP="00442C8B">
            <w:pPr>
              <w:pStyle w:val="TableText"/>
              <w:spacing w:before="0"/>
              <w:jc w:val="center"/>
              <w:cnfStyle w:val="000000010000" w:firstRow="0" w:lastRow="0" w:firstColumn="0" w:lastColumn="0" w:oddVBand="0" w:evenVBand="0" w:oddHBand="0" w:evenHBand="1" w:firstRowFirstColumn="0" w:firstRowLastColumn="0" w:lastRowFirstColumn="0" w:lastRowLastColumn="0"/>
            </w:pPr>
            <w:r w:rsidRPr="00B75B77">
              <w:rPr>
                <w:rFonts w:ascii="Calibri" w:hAnsi="Calibri"/>
              </w:rPr>
              <w:t>0.0</w:t>
            </w:r>
          </w:p>
        </w:tc>
        <w:tc>
          <w:tcPr>
            <w:tcW w:w="697" w:type="pct"/>
            <w:tcBorders>
              <w:top w:val="single" w:sz="4" w:space="0" w:color="448A99"/>
              <w:left w:val="single" w:sz="4" w:space="0" w:color="448A99"/>
              <w:bottom w:val="single" w:sz="4" w:space="0" w:color="448A99"/>
              <w:right w:val="single" w:sz="4" w:space="0" w:color="448A99"/>
            </w:tcBorders>
            <w:vAlign w:val="center"/>
          </w:tcPr>
          <w:p w:rsidR="00442C8B" w:rsidRPr="00B75B77" w:rsidRDefault="0036519A" w:rsidP="00442C8B">
            <w:pPr>
              <w:pStyle w:val="TableText"/>
              <w:spacing w:before="0"/>
              <w:jc w:val="center"/>
              <w:cnfStyle w:val="000000010000" w:firstRow="0" w:lastRow="0" w:firstColumn="0" w:lastColumn="0" w:oddVBand="0" w:evenVBand="0" w:oddHBand="0" w:evenHBand="1" w:firstRowFirstColumn="0" w:firstRowLastColumn="0" w:lastRowFirstColumn="0" w:lastRowLastColumn="0"/>
            </w:pPr>
            <w:r w:rsidRPr="00B75B77">
              <w:rPr>
                <w:rFonts w:ascii="Calibri" w:hAnsi="Calibri"/>
              </w:rPr>
              <w:t>$0</w:t>
            </w:r>
          </w:p>
        </w:tc>
      </w:tr>
      <w:tr w:rsidR="008872A9" w:rsidRPr="00B75B77" w:rsidTr="00442C8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67"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707B64">
            <w:pPr>
              <w:pStyle w:val="TableText"/>
              <w:spacing w:before="0"/>
              <w:rPr>
                <w:b w:val="0"/>
              </w:rPr>
            </w:pPr>
            <w:r w:rsidRPr="00B75B77">
              <w:rPr>
                <w:b w:val="0"/>
              </w:rPr>
              <w:t>Small C</w:t>
            </w:r>
            <w:r w:rsidR="0054073E" w:rsidRPr="00B75B77">
              <w:rPr>
                <w:b w:val="0"/>
              </w:rPr>
              <w:t>&amp;I</w:t>
            </w:r>
          </w:p>
        </w:tc>
        <w:tc>
          <w:tcPr>
            <w:tcW w:w="688"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707B64">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1,</w:t>
            </w:r>
            <w:r w:rsidR="00785ED0" w:rsidRPr="00B75B77">
              <w:rPr>
                <w:rFonts w:ascii="Calibri" w:hAnsi="Calibri"/>
              </w:rPr>
              <w:t>611</w:t>
            </w:r>
          </w:p>
        </w:tc>
        <w:tc>
          <w:tcPr>
            <w:tcW w:w="687"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707B64">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67,411</w:t>
            </w:r>
          </w:p>
        </w:tc>
        <w:tc>
          <w:tcPr>
            <w:tcW w:w="687"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707B64">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11.1</w:t>
            </w:r>
          </w:p>
        </w:tc>
        <w:tc>
          <w:tcPr>
            <w:tcW w:w="687"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707B64">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69,</w:t>
            </w:r>
            <w:r w:rsidR="00DB6598" w:rsidRPr="00B75B77">
              <w:rPr>
                <w:rFonts w:ascii="Calibri" w:hAnsi="Calibri"/>
              </w:rPr>
              <w:t>846</w:t>
            </w:r>
          </w:p>
        </w:tc>
        <w:tc>
          <w:tcPr>
            <w:tcW w:w="688"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707B64">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12.</w:t>
            </w:r>
            <w:r w:rsidR="00DB6598" w:rsidRPr="00B75B77">
              <w:rPr>
                <w:rFonts w:ascii="Calibri" w:hAnsi="Calibri"/>
              </w:rPr>
              <w:t>2</w:t>
            </w:r>
          </w:p>
        </w:tc>
        <w:tc>
          <w:tcPr>
            <w:tcW w:w="697"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36519A" w:rsidP="00DB6598">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$2,972</w:t>
            </w:r>
          </w:p>
        </w:tc>
      </w:tr>
      <w:tr w:rsidR="008872A9" w:rsidRPr="00B75B77" w:rsidTr="00442C8B">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67"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707B64">
            <w:pPr>
              <w:pStyle w:val="TableText"/>
              <w:spacing w:before="0"/>
              <w:rPr>
                <w:b w:val="0"/>
              </w:rPr>
            </w:pPr>
            <w:r w:rsidRPr="00B75B77">
              <w:rPr>
                <w:b w:val="0"/>
              </w:rPr>
              <w:t>Large C</w:t>
            </w:r>
            <w:r w:rsidR="0054073E" w:rsidRPr="00B75B77">
              <w:rPr>
                <w:b w:val="0"/>
              </w:rPr>
              <w:t>&amp;I</w:t>
            </w:r>
          </w:p>
        </w:tc>
        <w:tc>
          <w:tcPr>
            <w:tcW w:w="688"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785ED0" w:rsidP="00707B64">
            <w:pPr>
              <w:pStyle w:val="TableText"/>
              <w:spacing w:before="0"/>
              <w:jc w:val="center"/>
              <w:cnfStyle w:val="000000010000" w:firstRow="0" w:lastRow="0" w:firstColumn="0" w:lastColumn="0" w:oddVBand="0" w:evenVBand="0" w:oddHBand="0" w:evenHBand="1" w:firstRowFirstColumn="0" w:firstRowLastColumn="0" w:lastRowFirstColumn="0" w:lastRowLastColumn="0"/>
            </w:pPr>
            <w:r w:rsidRPr="00B75B77">
              <w:rPr>
                <w:rFonts w:ascii="Calibri" w:hAnsi="Calibri"/>
              </w:rPr>
              <w:t>835</w:t>
            </w:r>
          </w:p>
        </w:tc>
        <w:tc>
          <w:tcPr>
            <w:tcW w:w="687"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707B64">
            <w:pPr>
              <w:pStyle w:val="TableText"/>
              <w:spacing w:before="0"/>
              <w:jc w:val="center"/>
              <w:cnfStyle w:val="000000010000" w:firstRow="0" w:lastRow="0" w:firstColumn="0" w:lastColumn="0" w:oddVBand="0" w:evenVBand="0" w:oddHBand="0" w:evenHBand="1" w:firstRowFirstColumn="0" w:firstRowLastColumn="0" w:lastRowFirstColumn="0" w:lastRowLastColumn="0"/>
            </w:pPr>
            <w:r w:rsidRPr="00B75B77">
              <w:rPr>
                <w:rFonts w:ascii="Calibri" w:hAnsi="Calibri"/>
              </w:rPr>
              <w:t>161,805</w:t>
            </w:r>
          </w:p>
        </w:tc>
        <w:tc>
          <w:tcPr>
            <w:tcW w:w="687"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707B64">
            <w:pPr>
              <w:pStyle w:val="TableText"/>
              <w:spacing w:before="0"/>
              <w:jc w:val="center"/>
              <w:cnfStyle w:val="000000010000" w:firstRow="0" w:lastRow="0" w:firstColumn="0" w:lastColumn="0" w:oddVBand="0" w:evenVBand="0" w:oddHBand="0" w:evenHBand="1" w:firstRowFirstColumn="0" w:firstRowLastColumn="0" w:lastRowFirstColumn="0" w:lastRowLastColumn="0"/>
            </w:pPr>
            <w:r w:rsidRPr="00B75B77">
              <w:rPr>
                <w:rFonts w:ascii="Calibri" w:hAnsi="Calibri"/>
              </w:rPr>
              <w:t>24.1</w:t>
            </w:r>
          </w:p>
        </w:tc>
        <w:tc>
          <w:tcPr>
            <w:tcW w:w="687"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707B64">
            <w:pPr>
              <w:pStyle w:val="TableText"/>
              <w:spacing w:before="0"/>
              <w:jc w:val="center"/>
              <w:cnfStyle w:val="000000010000" w:firstRow="0" w:lastRow="0" w:firstColumn="0" w:lastColumn="0" w:oddVBand="0" w:evenVBand="0" w:oddHBand="0" w:evenHBand="1" w:firstRowFirstColumn="0" w:firstRowLastColumn="0" w:lastRowFirstColumn="0" w:lastRowLastColumn="0"/>
            </w:pPr>
            <w:r w:rsidRPr="00B75B77">
              <w:rPr>
                <w:rFonts w:ascii="Calibri" w:hAnsi="Calibri"/>
              </w:rPr>
              <w:t>168,</w:t>
            </w:r>
            <w:r w:rsidR="00DB6598" w:rsidRPr="00B75B77">
              <w:rPr>
                <w:rFonts w:ascii="Calibri" w:hAnsi="Calibri"/>
              </w:rPr>
              <w:t>672</w:t>
            </w:r>
          </w:p>
        </w:tc>
        <w:tc>
          <w:tcPr>
            <w:tcW w:w="688"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707B64">
            <w:pPr>
              <w:pStyle w:val="TableText"/>
              <w:spacing w:before="0"/>
              <w:jc w:val="center"/>
              <w:cnfStyle w:val="000000010000" w:firstRow="0" w:lastRow="0" w:firstColumn="0" w:lastColumn="0" w:oddVBand="0" w:evenVBand="0" w:oddHBand="0" w:evenHBand="1" w:firstRowFirstColumn="0" w:firstRowLastColumn="0" w:lastRowFirstColumn="0" w:lastRowLastColumn="0"/>
            </w:pPr>
            <w:r w:rsidRPr="00B75B77">
              <w:rPr>
                <w:rFonts w:ascii="Calibri" w:hAnsi="Calibri"/>
              </w:rPr>
              <w:t>26.</w:t>
            </w:r>
            <w:r w:rsidR="00DB6598" w:rsidRPr="00B75B77">
              <w:rPr>
                <w:rFonts w:ascii="Calibri" w:hAnsi="Calibri"/>
              </w:rPr>
              <w:t>8</w:t>
            </w:r>
          </w:p>
        </w:tc>
        <w:tc>
          <w:tcPr>
            <w:tcW w:w="697"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36519A" w:rsidP="0054059D">
            <w:pPr>
              <w:pStyle w:val="TableText"/>
              <w:spacing w:before="0"/>
              <w:jc w:val="center"/>
              <w:cnfStyle w:val="000000010000" w:firstRow="0" w:lastRow="0" w:firstColumn="0" w:lastColumn="0" w:oddVBand="0" w:evenVBand="0" w:oddHBand="0" w:evenHBand="1" w:firstRowFirstColumn="0" w:firstRowLastColumn="0" w:lastRowFirstColumn="0" w:lastRowLastColumn="0"/>
            </w:pPr>
            <w:r w:rsidRPr="00B75B77">
              <w:rPr>
                <w:rFonts w:ascii="Calibri" w:hAnsi="Calibri"/>
              </w:rPr>
              <w:t>$5,833</w:t>
            </w:r>
          </w:p>
        </w:tc>
      </w:tr>
      <w:tr w:rsidR="008872A9" w:rsidRPr="00B75B77" w:rsidTr="00442C8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67"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707B64">
            <w:pPr>
              <w:pStyle w:val="TableHeader"/>
              <w:spacing w:before="0"/>
              <w:jc w:val="left"/>
            </w:pPr>
            <w:r w:rsidRPr="00B75B77">
              <w:t>G</w:t>
            </w:r>
            <w:r w:rsidR="0054073E" w:rsidRPr="00B75B77">
              <w:t>NI</w:t>
            </w:r>
          </w:p>
        </w:tc>
        <w:tc>
          <w:tcPr>
            <w:tcW w:w="688"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707B64">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0</w:t>
            </w:r>
          </w:p>
        </w:tc>
        <w:tc>
          <w:tcPr>
            <w:tcW w:w="687"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707B64">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0</w:t>
            </w:r>
          </w:p>
        </w:tc>
        <w:tc>
          <w:tcPr>
            <w:tcW w:w="687"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707B64">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0.0</w:t>
            </w:r>
          </w:p>
        </w:tc>
        <w:tc>
          <w:tcPr>
            <w:tcW w:w="687"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707B64">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0</w:t>
            </w:r>
          </w:p>
        </w:tc>
        <w:tc>
          <w:tcPr>
            <w:tcW w:w="688"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707B64">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0.0</w:t>
            </w:r>
          </w:p>
        </w:tc>
        <w:tc>
          <w:tcPr>
            <w:tcW w:w="697"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36519A" w:rsidP="0054059D">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$0</w:t>
            </w:r>
          </w:p>
        </w:tc>
      </w:tr>
      <w:tr w:rsidR="008872A9" w:rsidRPr="00B75B77" w:rsidTr="00442C8B">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67"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707B64">
            <w:pPr>
              <w:pStyle w:val="TableHeader"/>
              <w:spacing w:before="0"/>
              <w:jc w:val="left"/>
              <w:rPr>
                <w:b/>
                <w:caps/>
              </w:rPr>
            </w:pPr>
            <w:r w:rsidRPr="00B75B77">
              <w:rPr>
                <w:b/>
                <w:caps/>
              </w:rPr>
              <w:t>Phase II Total</w:t>
            </w:r>
          </w:p>
        </w:tc>
        <w:tc>
          <w:tcPr>
            <w:tcW w:w="688"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707B64">
            <w:pPr>
              <w:pStyle w:val="TableText"/>
              <w:spacing w:before="0"/>
              <w:jc w:val="center"/>
              <w:cnfStyle w:val="000000010000" w:firstRow="0" w:lastRow="0" w:firstColumn="0" w:lastColumn="0" w:oddVBand="0" w:evenVBand="0" w:oddHBand="0" w:evenHBand="1" w:firstRowFirstColumn="0" w:firstRowLastColumn="0" w:lastRowFirstColumn="0" w:lastRowLastColumn="0"/>
              <w:rPr>
                <w:b/>
              </w:rPr>
            </w:pPr>
            <w:r w:rsidRPr="00B75B77">
              <w:rPr>
                <w:rFonts w:ascii="Calibri" w:hAnsi="Calibri"/>
                <w:b/>
              </w:rPr>
              <w:t>2,</w:t>
            </w:r>
            <w:r w:rsidR="00785ED0" w:rsidRPr="00B75B77">
              <w:rPr>
                <w:rFonts w:ascii="Calibri" w:hAnsi="Calibri"/>
                <w:b/>
              </w:rPr>
              <w:t>446</w:t>
            </w:r>
          </w:p>
        </w:tc>
        <w:tc>
          <w:tcPr>
            <w:tcW w:w="687"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707B64">
            <w:pPr>
              <w:pStyle w:val="TableText"/>
              <w:spacing w:before="0"/>
              <w:jc w:val="center"/>
              <w:cnfStyle w:val="000000010000" w:firstRow="0" w:lastRow="0" w:firstColumn="0" w:lastColumn="0" w:oddVBand="0" w:evenVBand="0" w:oddHBand="0" w:evenHBand="1" w:firstRowFirstColumn="0" w:firstRowLastColumn="0" w:lastRowFirstColumn="0" w:lastRowLastColumn="0"/>
              <w:rPr>
                <w:b/>
              </w:rPr>
            </w:pPr>
            <w:r w:rsidRPr="00B75B77">
              <w:rPr>
                <w:rFonts w:ascii="Calibri" w:hAnsi="Calibri"/>
                <w:b/>
              </w:rPr>
              <w:t>229,217</w:t>
            </w:r>
          </w:p>
        </w:tc>
        <w:tc>
          <w:tcPr>
            <w:tcW w:w="687"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707B64">
            <w:pPr>
              <w:pStyle w:val="TableText"/>
              <w:spacing w:before="0"/>
              <w:jc w:val="center"/>
              <w:cnfStyle w:val="000000010000" w:firstRow="0" w:lastRow="0" w:firstColumn="0" w:lastColumn="0" w:oddVBand="0" w:evenVBand="0" w:oddHBand="0" w:evenHBand="1" w:firstRowFirstColumn="0" w:firstRowLastColumn="0" w:lastRowFirstColumn="0" w:lastRowLastColumn="0"/>
              <w:rPr>
                <w:b/>
              </w:rPr>
            </w:pPr>
            <w:r w:rsidRPr="00B75B77">
              <w:rPr>
                <w:rFonts w:ascii="Calibri" w:hAnsi="Calibri"/>
                <w:b/>
              </w:rPr>
              <w:t>35.2</w:t>
            </w:r>
          </w:p>
        </w:tc>
        <w:tc>
          <w:tcPr>
            <w:tcW w:w="687"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707B64">
            <w:pPr>
              <w:pStyle w:val="TableText"/>
              <w:spacing w:before="0"/>
              <w:jc w:val="center"/>
              <w:cnfStyle w:val="000000010000" w:firstRow="0" w:lastRow="0" w:firstColumn="0" w:lastColumn="0" w:oddVBand="0" w:evenVBand="0" w:oddHBand="0" w:evenHBand="1" w:firstRowFirstColumn="0" w:firstRowLastColumn="0" w:lastRowFirstColumn="0" w:lastRowLastColumn="0"/>
              <w:rPr>
                <w:b/>
              </w:rPr>
            </w:pPr>
            <w:r w:rsidRPr="00B75B77">
              <w:rPr>
                <w:rFonts w:ascii="Calibri" w:hAnsi="Calibri"/>
                <w:b/>
              </w:rPr>
              <w:t>238,</w:t>
            </w:r>
            <w:r w:rsidR="00DB6598" w:rsidRPr="00B75B77">
              <w:rPr>
                <w:rFonts w:ascii="Calibri" w:hAnsi="Calibri"/>
                <w:b/>
              </w:rPr>
              <w:t>518</w:t>
            </w:r>
          </w:p>
        </w:tc>
        <w:tc>
          <w:tcPr>
            <w:tcW w:w="688"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707B64">
            <w:pPr>
              <w:pStyle w:val="TableText"/>
              <w:spacing w:before="0"/>
              <w:jc w:val="center"/>
              <w:cnfStyle w:val="000000010000" w:firstRow="0" w:lastRow="0" w:firstColumn="0" w:lastColumn="0" w:oddVBand="0" w:evenVBand="0" w:oddHBand="0" w:evenHBand="1" w:firstRowFirstColumn="0" w:firstRowLastColumn="0" w:lastRowFirstColumn="0" w:lastRowLastColumn="0"/>
              <w:rPr>
                <w:b/>
              </w:rPr>
            </w:pPr>
            <w:r w:rsidRPr="00B75B77">
              <w:rPr>
                <w:rFonts w:ascii="Calibri" w:hAnsi="Calibri"/>
                <w:b/>
              </w:rPr>
              <w:t>3</w:t>
            </w:r>
            <w:r w:rsidR="00DB6598" w:rsidRPr="00B75B77">
              <w:rPr>
                <w:rFonts w:ascii="Calibri" w:hAnsi="Calibri"/>
                <w:b/>
              </w:rPr>
              <w:t>9.1</w:t>
            </w:r>
          </w:p>
        </w:tc>
        <w:tc>
          <w:tcPr>
            <w:tcW w:w="697"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36519A" w:rsidP="0054059D">
            <w:pPr>
              <w:pStyle w:val="TableText"/>
              <w:spacing w:before="0"/>
              <w:jc w:val="center"/>
              <w:cnfStyle w:val="000000010000" w:firstRow="0" w:lastRow="0" w:firstColumn="0" w:lastColumn="0" w:oddVBand="0" w:evenVBand="0" w:oddHBand="0" w:evenHBand="1" w:firstRowFirstColumn="0" w:firstRowLastColumn="0" w:lastRowFirstColumn="0" w:lastRowLastColumn="0"/>
              <w:rPr>
                <w:b/>
              </w:rPr>
            </w:pPr>
            <w:r w:rsidRPr="00B75B77">
              <w:rPr>
                <w:rFonts w:ascii="Calibri" w:hAnsi="Calibri"/>
                <w:b/>
              </w:rPr>
              <w:t>$8,805</w:t>
            </w:r>
          </w:p>
        </w:tc>
      </w:tr>
    </w:tbl>
    <w:p w:rsidR="008872A9" w:rsidRPr="00B75B77" w:rsidRDefault="008872A9" w:rsidP="0054059D">
      <w:pPr>
        <w:pStyle w:val="Source"/>
        <w:spacing w:before="20" w:after="20"/>
        <w:ind w:left="187" w:firstLine="0"/>
        <w:rPr>
          <w:rStyle w:val="Strong"/>
          <w:b w:val="0"/>
          <w:bCs w:val="0"/>
          <w:i w:val="0"/>
        </w:rPr>
      </w:pPr>
      <w:r w:rsidRPr="00B75B77">
        <w:rPr>
          <w:rFonts w:ascii="Calibri" w:hAnsi="Calibri"/>
          <w:i w:val="0"/>
          <w:color w:val="000000"/>
          <w:szCs w:val="18"/>
          <w:vertAlign w:val="superscript"/>
        </w:rPr>
        <w:t>[1]</w:t>
      </w:r>
      <w:r w:rsidRPr="00B75B77">
        <w:rPr>
          <w:rFonts w:ascii="Calibri" w:hAnsi="Calibri"/>
          <w:i w:val="0"/>
          <w:color w:val="000000"/>
          <w:szCs w:val="18"/>
        </w:rPr>
        <w:t xml:space="preserve"> All customer sector totals are exclusive of each other and may be added together to get the Phase II totals.</w:t>
      </w:r>
      <w:r w:rsidRPr="00B75B77">
        <w:rPr>
          <w:rFonts w:ascii="Calibri" w:hAnsi="Calibri"/>
          <w:i w:val="0"/>
          <w:color w:val="000000"/>
          <w:szCs w:val="18"/>
        </w:rPr>
        <w:br/>
      </w:r>
      <w:r w:rsidRPr="00B75B77">
        <w:rPr>
          <w:rFonts w:ascii="Calibri" w:hAnsi="Calibri"/>
          <w:i w:val="0"/>
          <w:color w:val="000000"/>
          <w:szCs w:val="18"/>
          <w:vertAlign w:val="superscript"/>
        </w:rPr>
        <w:t>[2]</w:t>
      </w:r>
      <w:r w:rsidRPr="00B75B77">
        <w:rPr>
          <w:rFonts w:ascii="Calibri" w:hAnsi="Calibri"/>
          <w:i w:val="0"/>
          <w:color w:val="000000"/>
          <w:szCs w:val="18"/>
        </w:rPr>
        <w:t xml:space="preserve"> All reported and verified demand savings in this report include line losses as required.</w:t>
      </w:r>
    </w:p>
    <w:p w:rsidR="008872A9" w:rsidRPr="00B75B77" w:rsidRDefault="008872A9" w:rsidP="0054059D">
      <w:pPr>
        <w:pStyle w:val="Source"/>
        <w:spacing w:before="20" w:after="20"/>
        <w:ind w:left="187" w:firstLine="0"/>
        <w:rPr>
          <w:rStyle w:val="Strong"/>
          <w:b w:val="0"/>
          <w:bCs w:val="0"/>
          <w:i w:val="0"/>
        </w:rPr>
      </w:pPr>
      <w:r w:rsidRPr="00B75B77">
        <w:rPr>
          <w:rStyle w:val="Strong"/>
          <w:b w:val="0"/>
          <w:bCs w:val="0"/>
          <w:i w:val="0"/>
        </w:rPr>
        <w:t xml:space="preserve">Note: </w:t>
      </w:r>
      <w:r w:rsidRPr="00B75B77">
        <w:rPr>
          <w:rFonts w:ascii="Calibri" w:hAnsi="Calibri"/>
          <w:i w:val="0"/>
          <w:iCs/>
          <w:color w:val="000000"/>
          <w:szCs w:val="18"/>
        </w:rPr>
        <w:t>Values in tables may not reconcile exactly with the sum of more detailed level results or previously reported results due to rounding.</w:t>
      </w:r>
    </w:p>
    <w:p w:rsidR="008872A9" w:rsidRPr="00B75B77" w:rsidRDefault="008872A9" w:rsidP="0054059D">
      <w:pPr>
        <w:pStyle w:val="Source"/>
      </w:pPr>
      <w:r w:rsidRPr="00B75B77">
        <w:t>Source: Navigant analysis</w:t>
      </w:r>
    </w:p>
    <w:p w:rsidR="008872A9" w:rsidRPr="00B75B77" w:rsidRDefault="008872A9" w:rsidP="00707B64">
      <w:pPr>
        <w:pStyle w:val="Heading3"/>
      </w:pPr>
      <w:bookmarkStart w:id="706" w:name="_Toc464230458"/>
      <w:bookmarkStart w:id="707" w:name="_Toc466413399"/>
      <w:bookmarkEnd w:id="706"/>
      <w:r w:rsidRPr="00B75B77">
        <w:t>Gross Verified Savings Methodology</w:t>
      </w:r>
      <w:bookmarkEnd w:id="707"/>
      <w:r w:rsidRPr="00B75B77">
        <w:t xml:space="preserve"> </w:t>
      </w:r>
    </w:p>
    <w:p w:rsidR="008872A9" w:rsidRPr="00B75B77" w:rsidRDefault="008872A9" w:rsidP="00707B64">
      <w:r w:rsidRPr="00B75B77">
        <w:t>Navigant used three main approaches for evaluating the sampled projects: desk reviews, phone verifications, and onsite M&amp;V. Navigant completed a desk review for all projects and carefully reviewed all project documentation and the SIDS for each sampled project. Navigant sampled the population of projects into four categories: municipal lighting, small, medium, and large projects. These projects were determined by the program categorization as well as their energy</w:t>
      </w:r>
      <w:r w:rsidR="00AF5657" w:rsidRPr="00B75B77">
        <w:t xml:space="preserve"> savings</w:t>
      </w:r>
      <w:r w:rsidRPr="00B75B77">
        <w:t xml:space="preserve"> size. Small projects are those with </w:t>
      </w:r>
      <w:r w:rsidR="00B75B77" w:rsidRPr="00B75B77">
        <w:t>fewer than</w:t>
      </w:r>
      <w:r w:rsidRPr="00B75B77">
        <w:t xml:space="preserve"> 250,000 kWh in energy savings</w:t>
      </w:r>
      <w:r w:rsidR="00493C06" w:rsidRPr="00B75B77">
        <w:t>;</w:t>
      </w:r>
      <w:r w:rsidRPr="00B75B77">
        <w:t xml:space="preserve"> </w:t>
      </w:r>
      <w:r w:rsidR="00493C06" w:rsidRPr="00B75B77">
        <w:t xml:space="preserve">medium </w:t>
      </w:r>
      <w:r w:rsidRPr="00B75B77">
        <w:t>projects are those between 250,000 kWh and 1,000,000 kWh in energy savings</w:t>
      </w:r>
      <w:r w:rsidR="00493C06" w:rsidRPr="00B75B77">
        <w:t>;</w:t>
      </w:r>
      <w:r w:rsidRPr="00B75B77">
        <w:t xml:space="preserve"> and </w:t>
      </w:r>
      <w:r w:rsidR="00493C06" w:rsidRPr="00B75B77">
        <w:t xml:space="preserve">large </w:t>
      </w:r>
      <w:r w:rsidRPr="00B75B77">
        <w:t>projects are those with more than 1,000,000 kWh in energy savings.</w:t>
      </w:r>
    </w:p>
    <w:p w:rsidR="008872A9" w:rsidRPr="00B75B77" w:rsidRDefault="008872A9" w:rsidP="00707B64">
      <w:pPr>
        <w:rPr>
          <w:b/>
        </w:rPr>
      </w:pPr>
    </w:p>
    <w:p w:rsidR="008872A9" w:rsidRPr="00B75B77" w:rsidRDefault="008872A9" w:rsidP="009E08FB">
      <w:pPr>
        <w:pStyle w:val="ListParagraph"/>
        <w:numPr>
          <w:ilvl w:val="0"/>
          <w:numId w:val="85"/>
        </w:numPr>
        <w:spacing w:after="60"/>
        <w:contextualSpacing w:val="0"/>
        <w:jc w:val="left"/>
        <w:rPr>
          <w:b/>
        </w:rPr>
      </w:pPr>
      <w:r w:rsidRPr="00B75B77">
        <w:rPr>
          <w:b/>
        </w:rPr>
        <w:t xml:space="preserve">Desk </w:t>
      </w:r>
      <w:r w:rsidR="007673EC" w:rsidRPr="00B75B77">
        <w:rPr>
          <w:b/>
        </w:rPr>
        <w:t>review</w:t>
      </w:r>
      <w:r w:rsidRPr="00B75B77">
        <w:rPr>
          <w:b/>
        </w:rPr>
        <w:t xml:space="preserve">. </w:t>
      </w:r>
      <w:r w:rsidRPr="00B75B77">
        <w:t>All 74 projects underwent a desk review and seven small strata projects only received a desk review due to difficulty contacting the customer. Navigant made use of project applications, associated calculations, and submitted invoices and specification sheets. Project documentation had to be complete to be used for measure verification. PECO provided project-specific analysis files, invoices, specification sheets, and other retrofit documents for the sampled projects so the evaluation team could conduct the desk reviews. Documentation included scanned files of hard copy application forms and supporting documentation from the applicant (e.g., ex ante impact calculations, invoices, and measure specification sheets), CSP inspection reports, photos of installed measures, and important email and memoranda.</w:t>
      </w:r>
    </w:p>
    <w:p w:rsidR="008872A9" w:rsidRPr="00B75B77" w:rsidRDefault="008872A9" w:rsidP="009E08FB">
      <w:pPr>
        <w:pStyle w:val="ListParagraph"/>
        <w:numPr>
          <w:ilvl w:val="0"/>
          <w:numId w:val="85"/>
        </w:numPr>
        <w:spacing w:after="60"/>
        <w:contextualSpacing w:val="0"/>
        <w:jc w:val="left"/>
        <w:rPr>
          <w:b/>
        </w:rPr>
      </w:pPr>
      <w:r w:rsidRPr="00B75B77">
        <w:rPr>
          <w:b/>
        </w:rPr>
        <w:t xml:space="preserve">Phone </w:t>
      </w:r>
      <w:r w:rsidR="007673EC" w:rsidRPr="00B75B77">
        <w:rPr>
          <w:b/>
        </w:rPr>
        <w:t>verification</w:t>
      </w:r>
      <w:r w:rsidRPr="00B75B77">
        <w:rPr>
          <w:b/>
        </w:rPr>
        <w:t xml:space="preserve">. </w:t>
      </w:r>
      <w:r w:rsidRPr="00B75B77">
        <w:t xml:space="preserve">Navigant supplemented the desk reviews by conducting verification phone calls for eight small and four municipal lighting projects. Navigant used the following criteria when determining which sites could be verified without visiting the site: 1) the project was a small, partially deemed project where the TRM or an IMP applied; 2) the project had relatively small savings (i.e., those in the small sample stratum); and 3) the project documentation was complete and could be used to verify that the measures were installed. The primary objectives of phone verification were to achieve verbal verification of installed measures and to collect the data identified in the </w:t>
      </w:r>
      <w:r w:rsidR="00493C06" w:rsidRPr="00B75B77">
        <w:t>site-specific M&amp;V plan (</w:t>
      </w:r>
      <w:r w:rsidRPr="00B75B77">
        <w:t>SSMVP</w:t>
      </w:r>
      <w:r w:rsidR="00493C06" w:rsidRPr="00B75B77">
        <w:t>)</w:t>
      </w:r>
      <w:r w:rsidRPr="00B75B77">
        <w:t xml:space="preserve">, including installed quantities and type, equipment nameplate data, operating schedules, and a careful description of site conditions.  </w:t>
      </w:r>
    </w:p>
    <w:p w:rsidR="008872A9" w:rsidRPr="00B75B77" w:rsidRDefault="008872A9" w:rsidP="009E08FB">
      <w:pPr>
        <w:pStyle w:val="ListParagraph"/>
        <w:numPr>
          <w:ilvl w:val="0"/>
          <w:numId w:val="85"/>
        </w:numPr>
        <w:jc w:val="left"/>
        <w:rPr>
          <w:b/>
        </w:rPr>
      </w:pPr>
      <w:r w:rsidRPr="00B75B77">
        <w:rPr>
          <w:b/>
        </w:rPr>
        <w:t xml:space="preserve">Onsite </w:t>
      </w:r>
      <w:r w:rsidR="007673EC" w:rsidRPr="00B75B77">
        <w:rPr>
          <w:b/>
        </w:rPr>
        <w:t>inspections</w:t>
      </w:r>
      <w:r w:rsidRPr="00B75B77">
        <w:rPr>
          <w:b/>
        </w:rPr>
        <w:t xml:space="preserve">. </w:t>
      </w:r>
      <w:r w:rsidRPr="00B75B77">
        <w:t xml:space="preserve">Navigant conducted </w:t>
      </w:r>
      <w:r w:rsidR="00493C06" w:rsidRPr="00B75B77">
        <w:t>onsite</w:t>
      </w:r>
      <w:r w:rsidRPr="00B75B77">
        <w:t xml:space="preserve"> verification for </w:t>
      </w:r>
      <w:r w:rsidR="00493C06" w:rsidRPr="00B75B77">
        <w:t xml:space="preserve">large and medium </w:t>
      </w:r>
      <w:r w:rsidRPr="00B75B77">
        <w:t xml:space="preserve">sample projects, and for </w:t>
      </w:r>
      <w:r w:rsidR="00493C06" w:rsidRPr="00B75B77">
        <w:t xml:space="preserve">small </w:t>
      </w:r>
      <w:r w:rsidRPr="00B75B77">
        <w:t xml:space="preserve">projects that did not meet certain requirements to supplement the desk </w:t>
      </w:r>
      <w:r w:rsidRPr="00B75B77">
        <w:lastRenderedPageBreak/>
        <w:t>reviews. Navigant visited 48 of the 74 C&amp;I projects in the sample to verify measure installation. One threshold metering site could not be visited due to site issues</w:t>
      </w:r>
      <w:r w:rsidR="00493C06" w:rsidRPr="00B75B77">
        <w:t>,</w:t>
      </w:r>
      <w:r w:rsidRPr="00B75B77">
        <w:t xml:space="preserve"> so Navigant verified the project using a billing regression analysis. The primary objectives of the visits were to achieve visual verification of installed measures and to collect the data identified in the SSMVP, including installed quantities and type, equipment nameplate data, operating schedules, and a careful description of site conditions. For 36 of the 48 visited sites, Navigant also installed data loggers to measure runtime hours and/or energy consumption, downloaded energy consumption data, or completed a billing analysis using utility meter data.  </w:t>
      </w:r>
    </w:p>
    <w:p w:rsidR="008872A9" w:rsidRPr="00B75B77" w:rsidRDefault="008872A9" w:rsidP="00707B64"/>
    <w:p w:rsidR="008872A9" w:rsidRPr="00B75B77" w:rsidRDefault="008872A9" w:rsidP="00707B64">
      <w:pPr>
        <w:jc w:val="left"/>
      </w:pPr>
      <w:r w:rsidRPr="00B75B77">
        <w:t xml:space="preserve">The sample design for PY7 SEI projects used stratified ratio estimation similar to the method used in PY5 and PY6. Based on a combined PY7 population of 1,329 C&amp;I projects, the final verified sample size for the PY7 evaluation was 74 C&amp;I projects, with samples allocated by participation from each quarter and by stratum. The evaluation team designed the final </w:t>
      </w:r>
      <w:r w:rsidR="00C8082F" w:rsidRPr="00B75B77">
        <w:t>C&amp;</w:t>
      </w:r>
      <w:r w:rsidRPr="00B75B77">
        <w:t>I sample to exceed the required 85/15 confidence and precision at the program level with coefficients of variation chosen to reflect the PY4, PY5, and PY6 achieved relative precision targets.</w:t>
      </w:r>
      <w:r w:rsidRPr="00B75B77">
        <w:rPr>
          <w:rStyle w:val="FootnoteReference"/>
        </w:rPr>
        <w:footnoteReference w:id="47"/>
      </w:r>
      <w:r w:rsidRPr="00B75B77">
        <w:t xml:space="preserve"> Navigant also added extra sites to meet the SWE’s request to exceed 90/10 confidence and precision and to better ensure the results meet the required 85/15 confidence and precision.</w:t>
      </w:r>
    </w:p>
    <w:p w:rsidR="008872A9" w:rsidRPr="00B75B77" w:rsidRDefault="008872A9" w:rsidP="00707B64"/>
    <w:p w:rsidR="008872A9" w:rsidRPr="00B75B77" w:rsidRDefault="008872A9" w:rsidP="00707B64">
      <w:r w:rsidRPr="00B75B77">
        <w:t>The evaluation team defined strata boundaries based participation data, and included approximately the top 33</w:t>
      </w:r>
      <w:r w:rsidR="009230B4" w:rsidRPr="00B75B77">
        <w:t>%</w:t>
      </w:r>
      <w:r w:rsidRPr="00B75B77">
        <w:t xml:space="preserve"> of reported kWh savings in the </w:t>
      </w:r>
      <w:r w:rsidR="009230B4" w:rsidRPr="00B75B77">
        <w:t>large</w:t>
      </w:r>
      <w:r w:rsidRPr="00B75B77">
        <w:t xml:space="preserve"> stratum, the middle 33</w:t>
      </w:r>
      <w:r w:rsidR="009230B4" w:rsidRPr="00B75B77">
        <w:t>%</w:t>
      </w:r>
      <w:r w:rsidRPr="00B75B77">
        <w:t xml:space="preserve"> of reported kWh savings in </w:t>
      </w:r>
      <w:r w:rsidR="009230B4" w:rsidRPr="00B75B77">
        <w:t>the</w:t>
      </w:r>
      <w:r w:rsidRPr="00B75B77">
        <w:t xml:space="preserve"> </w:t>
      </w:r>
      <w:r w:rsidR="009230B4" w:rsidRPr="00B75B77">
        <w:t>medium</w:t>
      </w:r>
      <w:r w:rsidRPr="00B75B77">
        <w:t xml:space="preserve"> stratum, and the lower 33</w:t>
      </w:r>
      <w:r w:rsidR="009230B4" w:rsidRPr="00B75B77">
        <w:t>%</w:t>
      </w:r>
      <w:r w:rsidRPr="00B75B77">
        <w:t xml:space="preserve"> of reported kWh savings in the </w:t>
      </w:r>
      <w:r w:rsidR="009230B4" w:rsidRPr="00B75B77">
        <w:t>s</w:t>
      </w:r>
      <w:r w:rsidRPr="00B75B77">
        <w:t xml:space="preserve">mall stratum. This sampling strategy is shown in </w:t>
      </w:r>
      <w:r w:rsidR="00D56E1C" w:rsidRPr="00B75B77">
        <w:fldChar w:fldCharType="begin"/>
      </w:r>
      <w:r w:rsidR="00D56E1C" w:rsidRPr="00B75B77">
        <w:instrText xml:space="preserve"> REF _Ref464222763 \h </w:instrText>
      </w:r>
      <w:r w:rsidR="00B75B77">
        <w:instrText xml:space="preserve"> \* MERGEFORMAT </w:instrText>
      </w:r>
      <w:r w:rsidR="00D56E1C" w:rsidRPr="00B75B77">
        <w:fldChar w:fldCharType="separate"/>
      </w:r>
      <w:r w:rsidR="0004016D" w:rsidRPr="00B75B77">
        <w:t xml:space="preserve">Table </w:t>
      </w:r>
      <w:r w:rsidR="0004016D">
        <w:rPr>
          <w:noProof/>
        </w:rPr>
        <w:t>11</w:t>
      </w:r>
      <w:r w:rsidR="0004016D" w:rsidRPr="00B75B77">
        <w:rPr>
          <w:noProof/>
        </w:rPr>
        <w:noBreakHyphen/>
      </w:r>
      <w:r w:rsidR="0004016D">
        <w:rPr>
          <w:noProof/>
        </w:rPr>
        <w:t>2</w:t>
      </w:r>
      <w:r w:rsidR="00D56E1C" w:rsidRPr="00B75B77">
        <w:fldChar w:fldCharType="end"/>
      </w:r>
      <w:r w:rsidRPr="00B75B77">
        <w:t>.</w:t>
      </w:r>
    </w:p>
    <w:p w:rsidR="008872A9" w:rsidRPr="00B75B77" w:rsidRDefault="008872A9" w:rsidP="00707B64">
      <w:pPr>
        <w:pStyle w:val="ListParagraph"/>
        <w:ind w:left="1440"/>
      </w:pPr>
    </w:p>
    <w:p w:rsidR="008872A9" w:rsidRPr="00B75B77" w:rsidRDefault="008872A9" w:rsidP="00466674">
      <w:pPr>
        <w:pStyle w:val="Caption"/>
      </w:pPr>
      <w:bookmarkStart w:id="708" w:name="_Ref464222763"/>
      <w:bookmarkStart w:id="709" w:name="_Ref462840733"/>
      <w:bookmarkStart w:id="710" w:name="_Toc466413589"/>
      <w:r w:rsidRPr="00B75B77">
        <w:t xml:space="preserve">Table </w:t>
      </w:r>
      <w:fldSimple w:instr=" STYLEREF 1 \s ">
        <w:r w:rsidR="0004016D">
          <w:rPr>
            <w:noProof/>
          </w:rPr>
          <w:t>11</w:t>
        </w:r>
      </w:fldSimple>
      <w:r w:rsidR="00F1144C" w:rsidRPr="00B75B77">
        <w:noBreakHyphen/>
      </w:r>
      <w:fldSimple w:instr=" SEQ Table \* ARABIC \s 1 ">
        <w:r w:rsidR="0004016D">
          <w:rPr>
            <w:noProof/>
          </w:rPr>
          <w:t>2</w:t>
        </w:r>
      </w:fldSimple>
      <w:bookmarkEnd w:id="708"/>
      <w:r w:rsidRPr="00B75B77">
        <w:t>: Smart Equipment Incentives (C&amp;I) Sampling Strategy for PY7</w:t>
      </w:r>
      <w:bookmarkEnd w:id="709"/>
      <w:bookmarkEnd w:id="710"/>
    </w:p>
    <w:tbl>
      <w:tblPr>
        <w:tblStyle w:val="MediumShading1-Accent5"/>
        <w:tblW w:w="5000" w:type="pct"/>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1733"/>
        <w:gridCol w:w="1406"/>
        <w:gridCol w:w="1331"/>
        <w:gridCol w:w="891"/>
        <w:gridCol w:w="927"/>
        <w:gridCol w:w="3288"/>
      </w:tblGrid>
      <w:tr w:rsidR="008872A9" w:rsidRPr="00B75B77" w:rsidTr="007665E5">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9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8A99"/>
            <w:vAlign w:val="center"/>
          </w:tcPr>
          <w:p w:rsidR="008872A9" w:rsidRPr="00B75B77" w:rsidRDefault="008872A9" w:rsidP="00594255">
            <w:pPr>
              <w:pStyle w:val="TableHeader"/>
              <w:jc w:val="left"/>
              <w:rPr>
                <w:b/>
                <w:color w:val="FFFFFF" w:themeColor="background1"/>
              </w:rPr>
            </w:pPr>
            <w:r w:rsidRPr="00B75B77">
              <w:rPr>
                <w:b/>
                <w:color w:val="FFFFFF" w:themeColor="background1"/>
              </w:rPr>
              <w:t>Stratum</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8A99"/>
            <w:vAlign w:val="center"/>
          </w:tcPr>
          <w:p w:rsidR="008872A9" w:rsidRPr="00B75B77" w:rsidRDefault="008872A9" w:rsidP="00594255">
            <w:pPr>
              <w:pStyle w:val="TableHead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Population Size</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8A99"/>
            <w:vAlign w:val="center"/>
          </w:tcPr>
          <w:p w:rsidR="008872A9" w:rsidRPr="00B75B77" w:rsidRDefault="008872A9" w:rsidP="00707B64">
            <w:pPr>
              <w:pStyle w:val="TableHead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Target Levels of Confidence and Precision</w:t>
            </w:r>
          </w:p>
        </w:tc>
        <w:tc>
          <w:tcPr>
            <w:tcW w:w="4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8A99"/>
            <w:vAlign w:val="center"/>
          </w:tcPr>
          <w:p w:rsidR="008872A9" w:rsidRPr="00B75B77" w:rsidRDefault="008872A9" w:rsidP="00594255">
            <w:pPr>
              <w:pStyle w:val="TableHead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Target Sample Size</w:t>
            </w:r>
          </w:p>
        </w:tc>
        <w:tc>
          <w:tcPr>
            <w:tcW w:w="48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8A99"/>
            <w:vAlign w:val="center"/>
          </w:tcPr>
          <w:p w:rsidR="008872A9" w:rsidRPr="00B75B77" w:rsidRDefault="008872A9" w:rsidP="00594255">
            <w:pPr>
              <w:pStyle w:val="TableHead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Achieved Sample Size</w:t>
            </w:r>
          </w:p>
        </w:tc>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8A99"/>
            <w:vAlign w:val="center"/>
          </w:tcPr>
          <w:p w:rsidR="008872A9" w:rsidRPr="00B75B77" w:rsidRDefault="008872A9" w:rsidP="009230B4">
            <w:pPr>
              <w:pStyle w:val="TableHeader"/>
              <w:jc w:val="left"/>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Evaluation Activity</w:t>
            </w:r>
          </w:p>
        </w:tc>
      </w:tr>
      <w:tr w:rsidR="008872A9" w:rsidRPr="00B75B77" w:rsidTr="007665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5" w:type="pct"/>
            <w:tcBorders>
              <w:top w:val="single" w:sz="4" w:space="0" w:color="000000" w:themeColor="text1"/>
              <w:left w:val="single" w:sz="4" w:space="0" w:color="448A99"/>
              <w:bottom w:val="single" w:sz="4" w:space="0" w:color="448A99"/>
              <w:right w:val="single" w:sz="4" w:space="0" w:color="448A99"/>
            </w:tcBorders>
            <w:vAlign w:val="center"/>
          </w:tcPr>
          <w:p w:rsidR="008872A9" w:rsidRPr="00B75B77" w:rsidRDefault="008872A9" w:rsidP="00707B64">
            <w:pPr>
              <w:pStyle w:val="TableText"/>
              <w:rPr>
                <w:b w:val="0"/>
              </w:rPr>
            </w:pPr>
            <w:r w:rsidRPr="00B75B77">
              <w:rPr>
                <w:rFonts w:ascii="Calibri" w:hAnsi="Calibri"/>
                <w:b w:val="0"/>
                <w:bCs w:val="0"/>
              </w:rPr>
              <w:t>C&amp;I - Large</w:t>
            </w:r>
          </w:p>
        </w:tc>
        <w:tc>
          <w:tcPr>
            <w:tcW w:w="734" w:type="pct"/>
            <w:tcBorders>
              <w:top w:val="single" w:sz="4" w:space="0" w:color="000000" w:themeColor="text1"/>
              <w:left w:val="single" w:sz="4" w:space="0" w:color="448A99"/>
              <w:bottom w:val="single" w:sz="4" w:space="0" w:color="448A99"/>
              <w:right w:val="single" w:sz="4" w:space="0" w:color="448A99"/>
            </w:tcBorders>
            <w:vAlign w:val="center"/>
          </w:tcPr>
          <w:p w:rsidR="008872A9" w:rsidRPr="00B75B77" w:rsidRDefault="008872A9" w:rsidP="00707B64">
            <w:pPr>
              <w:pStyle w:val="TableText"/>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16</w:t>
            </w:r>
          </w:p>
        </w:tc>
        <w:tc>
          <w:tcPr>
            <w:tcW w:w="695" w:type="pct"/>
            <w:tcBorders>
              <w:top w:val="single" w:sz="4" w:space="0" w:color="000000" w:themeColor="text1"/>
              <w:left w:val="single" w:sz="4" w:space="0" w:color="448A99"/>
              <w:bottom w:val="single" w:sz="4" w:space="0" w:color="448A99"/>
              <w:right w:val="single" w:sz="4" w:space="0" w:color="448A99"/>
            </w:tcBorders>
            <w:vAlign w:val="center"/>
          </w:tcPr>
          <w:p w:rsidR="008872A9" w:rsidRPr="00B75B77" w:rsidRDefault="008872A9" w:rsidP="00707B64">
            <w:pPr>
              <w:pStyle w:val="TableText"/>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85/15</w:t>
            </w:r>
          </w:p>
        </w:tc>
        <w:tc>
          <w:tcPr>
            <w:tcW w:w="465" w:type="pct"/>
            <w:tcBorders>
              <w:top w:val="single" w:sz="4" w:space="0" w:color="000000" w:themeColor="text1"/>
              <w:left w:val="single" w:sz="4" w:space="0" w:color="448A99"/>
              <w:bottom w:val="single" w:sz="4" w:space="0" w:color="448A99"/>
              <w:right w:val="single" w:sz="4" w:space="0" w:color="448A99"/>
            </w:tcBorders>
            <w:vAlign w:val="center"/>
          </w:tcPr>
          <w:p w:rsidR="008872A9" w:rsidRPr="00B75B77" w:rsidRDefault="008872A9" w:rsidP="00707B64">
            <w:pPr>
              <w:pStyle w:val="TableText"/>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11</w:t>
            </w:r>
          </w:p>
        </w:tc>
        <w:tc>
          <w:tcPr>
            <w:tcW w:w="484" w:type="pct"/>
            <w:tcBorders>
              <w:top w:val="single" w:sz="4" w:space="0" w:color="000000" w:themeColor="text1"/>
              <w:left w:val="single" w:sz="4" w:space="0" w:color="448A99"/>
              <w:bottom w:val="single" w:sz="4" w:space="0" w:color="448A99"/>
              <w:right w:val="single" w:sz="4" w:space="0" w:color="448A99"/>
            </w:tcBorders>
            <w:vAlign w:val="center"/>
          </w:tcPr>
          <w:p w:rsidR="008872A9" w:rsidRPr="00B75B77" w:rsidRDefault="008872A9" w:rsidP="00707B64">
            <w:pPr>
              <w:pStyle w:val="TableText"/>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11</w:t>
            </w:r>
          </w:p>
        </w:tc>
        <w:tc>
          <w:tcPr>
            <w:tcW w:w="1717" w:type="pct"/>
            <w:tcBorders>
              <w:top w:val="single" w:sz="4" w:space="0" w:color="000000" w:themeColor="text1"/>
              <w:left w:val="single" w:sz="4" w:space="0" w:color="448A99"/>
              <w:bottom w:val="single" w:sz="4" w:space="0" w:color="448A99"/>
              <w:right w:val="single" w:sz="4" w:space="0" w:color="448A99"/>
            </w:tcBorders>
            <w:vAlign w:val="center"/>
          </w:tcPr>
          <w:p w:rsidR="008872A9" w:rsidRPr="00B75B77" w:rsidRDefault="008872A9" w:rsidP="009230B4">
            <w:pPr>
              <w:pStyle w:val="TableText"/>
              <w:cnfStyle w:val="000000100000" w:firstRow="0" w:lastRow="0" w:firstColumn="0" w:lastColumn="0" w:oddVBand="0" w:evenVBand="0" w:oddHBand="1" w:evenHBand="0" w:firstRowFirstColumn="0" w:firstRowLastColumn="0" w:lastRowFirstColumn="0" w:lastRowLastColumn="0"/>
            </w:pPr>
            <w:r w:rsidRPr="00B75B77">
              <w:rPr>
                <w:rFonts w:ascii="Calibri" w:hAnsi="Calibri"/>
              </w:rPr>
              <w:t xml:space="preserve">File </w:t>
            </w:r>
            <w:r w:rsidR="00D56E1C" w:rsidRPr="00B75B77">
              <w:rPr>
                <w:rFonts w:ascii="Calibri" w:hAnsi="Calibri"/>
              </w:rPr>
              <w:t>r</w:t>
            </w:r>
            <w:r w:rsidRPr="00B75B77">
              <w:rPr>
                <w:rFonts w:ascii="Calibri" w:hAnsi="Calibri"/>
              </w:rPr>
              <w:t xml:space="preserve">eview </w:t>
            </w:r>
            <w:r w:rsidR="00D56E1C" w:rsidRPr="00B75B77">
              <w:rPr>
                <w:rFonts w:ascii="Calibri" w:hAnsi="Calibri"/>
              </w:rPr>
              <w:t>and</w:t>
            </w:r>
            <w:r w:rsidRPr="00B75B77">
              <w:rPr>
                <w:rFonts w:ascii="Calibri" w:hAnsi="Calibri"/>
              </w:rPr>
              <w:t xml:space="preserve"> </w:t>
            </w:r>
            <w:r w:rsidR="00D56E1C" w:rsidRPr="00B75B77">
              <w:rPr>
                <w:rFonts w:ascii="Calibri" w:hAnsi="Calibri"/>
              </w:rPr>
              <w:t>i</w:t>
            </w:r>
            <w:r w:rsidRPr="00B75B77">
              <w:rPr>
                <w:rFonts w:ascii="Calibri" w:hAnsi="Calibri"/>
              </w:rPr>
              <w:t xml:space="preserve">mpact </w:t>
            </w:r>
            <w:r w:rsidR="00D56E1C" w:rsidRPr="00B75B77">
              <w:rPr>
                <w:rFonts w:ascii="Calibri" w:hAnsi="Calibri"/>
              </w:rPr>
              <w:t>v</w:t>
            </w:r>
            <w:r w:rsidRPr="00B75B77">
              <w:rPr>
                <w:rFonts w:ascii="Calibri" w:hAnsi="Calibri"/>
              </w:rPr>
              <w:t>erification</w:t>
            </w:r>
          </w:p>
        </w:tc>
      </w:tr>
      <w:tr w:rsidR="008872A9" w:rsidRPr="00B75B77" w:rsidTr="007665E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5"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707B64">
            <w:pPr>
              <w:pStyle w:val="TableText"/>
              <w:rPr>
                <w:b w:val="0"/>
              </w:rPr>
            </w:pPr>
            <w:r w:rsidRPr="00B75B77">
              <w:rPr>
                <w:rFonts w:ascii="Calibri" w:hAnsi="Calibri"/>
                <w:b w:val="0"/>
                <w:bCs w:val="0"/>
              </w:rPr>
              <w:t>C&amp;I - Medium</w:t>
            </w:r>
          </w:p>
        </w:tc>
        <w:tc>
          <w:tcPr>
            <w:tcW w:w="734"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707B64">
            <w:pPr>
              <w:pStyle w:val="TableText"/>
              <w:jc w:val="center"/>
              <w:cnfStyle w:val="000000010000" w:firstRow="0" w:lastRow="0" w:firstColumn="0" w:lastColumn="0" w:oddVBand="0" w:evenVBand="0" w:oddHBand="0" w:evenHBand="1" w:firstRowFirstColumn="0" w:firstRowLastColumn="0" w:lastRowFirstColumn="0" w:lastRowLastColumn="0"/>
            </w:pPr>
            <w:r w:rsidRPr="00B75B77">
              <w:rPr>
                <w:rFonts w:ascii="Calibri" w:hAnsi="Calibri"/>
              </w:rPr>
              <w:t>84</w:t>
            </w:r>
          </w:p>
        </w:tc>
        <w:tc>
          <w:tcPr>
            <w:tcW w:w="695"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707B64">
            <w:pPr>
              <w:pStyle w:val="TableText"/>
              <w:jc w:val="center"/>
              <w:cnfStyle w:val="000000010000" w:firstRow="0" w:lastRow="0" w:firstColumn="0" w:lastColumn="0" w:oddVBand="0" w:evenVBand="0" w:oddHBand="0" w:evenHBand="1" w:firstRowFirstColumn="0" w:firstRowLastColumn="0" w:lastRowFirstColumn="0" w:lastRowLastColumn="0"/>
            </w:pPr>
            <w:r w:rsidRPr="00B75B77">
              <w:rPr>
                <w:rFonts w:ascii="Calibri" w:hAnsi="Calibri"/>
              </w:rPr>
              <w:t>85/15</w:t>
            </w:r>
          </w:p>
        </w:tc>
        <w:tc>
          <w:tcPr>
            <w:tcW w:w="465"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707B64">
            <w:pPr>
              <w:pStyle w:val="TableText"/>
              <w:jc w:val="center"/>
              <w:cnfStyle w:val="000000010000" w:firstRow="0" w:lastRow="0" w:firstColumn="0" w:lastColumn="0" w:oddVBand="0" w:evenVBand="0" w:oddHBand="0" w:evenHBand="1" w:firstRowFirstColumn="0" w:firstRowLastColumn="0" w:lastRowFirstColumn="0" w:lastRowLastColumn="0"/>
            </w:pPr>
            <w:r w:rsidRPr="00B75B77">
              <w:rPr>
                <w:rFonts w:ascii="Calibri" w:hAnsi="Calibri"/>
              </w:rPr>
              <w:t>24</w:t>
            </w:r>
          </w:p>
        </w:tc>
        <w:tc>
          <w:tcPr>
            <w:tcW w:w="484"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707B64">
            <w:pPr>
              <w:pStyle w:val="TableText"/>
              <w:jc w:val="center"/>
              <w:cnfStyle w:val="000000010000" w:firstRow="0" w:lastRow="0" w:firstColumn="0" w:lastColumn="0" w:oddVBand="0" w:evenVBand="0" w:oddHBand="0" w:evenHBand="1" w:firstRowFirstColumn="0" w:firstRowLastColumn="0" w:lastRowFirstColumn="0" w:lastRowLastColumn="0"/>
            </w:pPr>
            <w:r w:rsidRPr="00B75B77">
              <w:rPr>
                <w:rFonts w:ascii="Calibri" w:hAnsi="Calibri"/>
              </w:rPr>
              <w:t>31</w:t>
            </w:r>
          </w:p>
        </w:tc>
        <w:tc>
          <w:tcPr>
            <w:tcW w:w="1717"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9230B4">
            <w:pPr>
              <w:pStyle w:val="TableText"/>
              <w:cnfStyle w:val="000000010000" w:firstRow="0" w:lastRow="0" w:firstColumn="0" w:lastColumn="0" w:oddVBand="0" w:evenVBand="0" w:oddHBand="0" w:evenHBand="1" w:firstRowFirstColumn="0" w:firstRowLastColumn="0" w:lastRowFirstColumn="0" w:lastRowLastColumn="0"/>
            </w:pPr>
            <w:r w:rsidRPr="00B75B77">
              <w:rPr>
                <w:rFonts w:ascii="Calibri" w:hAnsi="Calibri"/>
              </w:rPr>
              <w:t xml:space="preserve">File </w:t>
            </w:r>
            <w:r w:rsidR="00D56E1C" w:rsidRPr="00B75B77">
              <w:rPr>
                <w:rFonts w:ascii="Calibri" w:hAnsi="Calibri"/>
              </w:rPr>
              <w:t>r</w:t>
            </w:r>
            <w:r w:rsidRPr="00B75B77">
              <w:rPr>
                <w:rFonts w:ascii="Calibri" w:hAnsi="Calibri"/>
              </w:rPr>
              <w:t xml:space="preserve">eview </w:t>
            </w:r>
            <w:r w:rsidR="00D56E1C" w:rsidRPr="00B75B77">
              <w:rPr>
                <w:rFonts w:ascii="Calibri" w:hAnsi="Calibri"/>
              </w:rPr>
              <w:t>and</w:t>
            </w:r>
            <w:r w:rsidRPr="00B75B77">
              <w:rPr>
                <w:rFonts w:ascii="Calibri" w:hAnsi="Calibri"/>
              </w:rPr>
              <w:t xml:space="preserve"> </w:t>
            </w:r>
            <w:r w:rsidR="00D56E1C" w:rsidRPr="00B75B77">
              <w:rPr>
                <w:rFonts w:ascii="Calibri" w:hAnsi="Calibri"/>
              </w:rPr>
              <w:t>i</w:t>
            </w:r>
            <w:r w:rsidRPr="00B75B77">
              <w:rPr>
                <w:rFonts w:ascii="Calibri" w:hAnsi="Calibri"/>
              </w:rPr>
              <w:t xml:space="preserve">mpact </w:t>
            </w:r>
            <w:r w:rsidR="00D56E1C" w:rsidRPr="00B75B77">
              <w:rPr>
                <w:rFonts w:ascii="Calibri" w:hAnsi="Calibri"/>
              </w:rPr>
              <w:t>v</w:t>
            </w:r>
            <w:r w:rsidRPr="00B75B77">
              <w:rPr>
                <w:rFonts w:ascii="Calibri" w:hAnsi="Calibri"/>
              </w:rPr>
              <w:t>erification</w:t>
            </w:r>
          </w:p>
        </w:tc>
      </w:tr>
      <w:tr w:rsidR="008872A9" w:rsidRPr="00B75B77" w:rsidTr="0036137C">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905"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707B64">
            <w:pPr>
              <w:pStyle w:val="TableText"/>
              <w:rPr>
                <w:b w:val="0"/>
              </w:rPr>
            </w:pPr>
            <w:r w:rsidRPr="00B75B77">
              <w:rPr>
                <w:rFonts w:ascii="Calibri" w:hAnsi="Calibri"/>
                <w:b w:val="0"/>
                <w:bCs w:val="0"/>
              </w:rPr>
              <w:t>C&amp;I - Small</w:t>
            </w:r>
          </w:p>
        </w:tc>
        <w:tc>
          <w:tcPr>
            <w:tcW w:w="734"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707B64">
            <w:pPr>
              <w:pStyle w:val="TableText"/>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1,2</w:t>
            </w:r>
            <w:r w:rsidR="0036137C" w:rsidRPr="00B75B77">
              <w:rPr>
                <w:rFonts w:ascii="Calibri" w:hAnsi="Calibri"/>
              </w:rPr>
              <w:t>29</w:t>
            </w:r>
          </w:p>
        </w:tc>
        <w:tc>
          <w:tcPr>
            <w:tcW w:w="695"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707B64">
            <w:pPr>
              <w:pStyle w:val="TableText"/>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85/15</w:t>
            </w:r>
          </w:p>
        </w:tc>
        <w:tc>
          <w:tcPr>
            <w:tcW w:w="465"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707B64">
            <w:pPr>
              <w:pStyle w:val="TableText"/>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32</w:t>
            </w:r>
          </w:p>
        </w:tc>
        <w:tc>
          <w:tcPr>
            <w:tcW w:w="484"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707B64">
            <w:pPr>
              <w:pStyle w:val="TableText"/>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32</w:t>
            </w:r>
          </w:p>
        </w:tc>
        <w:tc>
          <w:tcPr>
            <w:tcW w:w="1717"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9230B4">
            <w:pPr>
              <w:pStyle w:val="TableText"/>
              <w:cnfStyle w:val="000000100000" w:firstRow="0" w:lastRow="0" w:firstColumn="0" w:lastColumn="0" w:oddVBand="0" w:evenVBand="0" w:oddHBand="1" w:evenHBand="0" w:firstRowFirstColumn="0" w:firstRowLastColumn="0" w:lastRowFirstColumn="0" w:lastRowLastColumn="0"/>
            </w:pPr>
            <w:r w:rsidRPr="00B75B77">
              <w:rPr>
                <w:rFonts w:ascii="Calibri" w:hAnsi="Calibri"/>
              </w:rPr>
              <w:t xml:space="preserve">File </w:t>
            </w:r>
            <w:r w:rsidR="00D56E1C" w:rsidRPr="00B75B77">
              <w:rPr>
                <w:rFonts w:ascii="Calibri" w:hAnsi="Calibri"/>
              </w:rPr>
              <w:t>r</w:t>
            </w:r>
            <w:r w:rsidRPr="00B75B77">
              <w:rPr>
                <w:rFonts w:ascii="Calibri" w:hAnsi="Calibri"/>
              </w:rPr>
              <w:t xml:space="preserve">eview </w:t>
            </w:r>
            <w:r w:rsidR="00D56E1C" w:rsidRPr="00B75B77">
              <w:rPr>
                <w:rFonts w:ascii="Calibri" w:hAnsi="Calibri"/>
              </w:rPr>
              <w:t>and</w:t>
            </w:r>
            <w:r w:rsidRPr="00B75B77">
              <w:rPr>
                <w:rFonts w:ascii="Calibri" w:hAnsi="Calibri"/>
              </w:rPr>
              <w:t xml:space="preserve"> </w:t>
            </w:r>
            <w:r w:rsidR="00D56E1C" w:rsidRPr="00B75B77">
              <w:rPr>
                <w:rFonts w:ascii="Calibri" w:hAnsi="Calibri"/>
              </w:rPr>
              <w:t>i</w:t>
            </w:r>
            <w:r w:rsidRPr="00B75B77">
              <w:rPr>
                <w:rFonts w:ascii="Calibri" w:hAnsi="Calibri"/>
              </w:rPr>
              <w:t xml:space="preserve">mpact </w:t>
            </w:r>
            <w:r w:rsidR="00D56E1C" w:rsidRPr="00B75B77">
              <w:rPr>
                <w:rFonts w:ascii="Calibri" w:hAnsi="Calibri"/>
              </w:rPr>
              <w:t>v</w:t>
            </w:r>
            <w:r w:rsidRPr="00B75B77">
              <w:rPr>
                <w:rFonts w:ascii="Calibri" w:hAnsi="Calibri"/>
              </w:rPr>
              <w:t>erification</w:t>
            </w:r>
          </w:p>
        </w:tc>
      </w:tr>
      <w:tr w:rsidR="008872A9" w:rsidRPr="00B75B77" w:rsidTr="007665E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5"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594255">
            <w:pPr>
              <w:pStyle w:val="TableHeader"/>
              <w:jc w:val="left"/>
              <w:rPr>
                <w:b/>
                <w:caps/>
              </w:rPr>
            </w:pPr>
            <w:r w:rsidRPr="00B75B77">
              <w:rPr>
                <w:b/>
                <w:caps/>
              </w:rPr>
              <w:t>Program Total</w:t>
            </w:r>
          </w:p>
        </w:tc>
        <w:tc>
          <w:tcPr>
            <w:tcW w:w="734"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707B64">
            <w:pPr>
              <w:pStyle w:val="TableText"/>
              <w:jc w:val="center"/>
              <w:cnfStyle w:val="000000010000" w:firstRow="0" w:lastRow="0" w:firstColumn="0" w:lastColumn="0" w:oddVBand="0" w:evenVBand="0" w:oddHBand="0" w:evenHBand="1" w:firstRowFirstColumn="0" w:firstRowLastColumn="0" w:lastRowFirstColumn="0" w:lastRowLastColumn="0"/>
              <w:rPr>
                <w:b/>
              </w:rPr>
            </w:pPr>
            <w:r w:rsidRPr="00B75B77">
              <w:rPr>
                <w:b/>
              </w:rPr>
              <w:t>1,</w:t>
            </w:r>
            <w:r w:rsidR="0036137C" w:rsidRPr="00B75B77">
              <w:rPr>
                <w:b/>
              </w:rPr>
              <w:t>329</w:t>
            </w:r>
          </w:p>
        </w:tc>
        <w:tc>
          <w:tcPr>
            <w:tcW w:w="695"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707B64">
            <w:pPr>
              <w:pStyle w:val="TableText"/>
              <w:jc w:val="center"/>
              <w:cnfStyle w:val="000000010000" w:firstRow="0" w:lastRow="0" w:firstColumn="0" w:lastColumn="0" w:oddVBand="0" w:evenVBand="0" w:oddHBand="0" w:evenHBand="1" w:firstRowFirstColumn="0" w:firstRowLastColumn="0" w:lastRowFirstColumn="0" w:lastRowLastColumn="0"/>
              <w:rPr>
                <w:b/>
              </w:rPr>
            </w:pPr>
            <w:r w:rsidRPr="00B75B77">
              <w:rPr>
                <w:rFonts w:ascii="Calibri" w:hAnsi="Calibri"/>
                <w:b/>
              </w:rPr>
              <w:t>85/15</w:t>
            </w:r>
          </w:p>
        </w:tc>
        <w:tc>
          <w:tcPr>
            <w:tcW w:w="465"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707B64">
            <w:pPr>
              <w:pStyle w:val="TableText"/>
              <w:jc w:val="center"/>
              <w:cnfStyle w:val="000000010000" w:firstRow="0" w:lastRow="0" w:firstColumn="0" w:lastColumn="0" w:oddVBand="0" w:evenVBand="0" w:oddHBand="0" w:evenHBand="1" w:firstRowFirstColumn="0" w:firstRowLastColumn="0" w:lastRowFirstColumn="0" w:lastRowLastColumn="0"/>
              <w:rPr>
                <w:b/>
              </w:rPr>
            </w:pPr>
            <w:r w:rsidRPr="00B75B77">
              <w:rPr>
                <w:b/>
              </w:rPr>
              <w:t>67</w:t>
            </w:r>
          </w:p>
        </w:tc>
        <w:tc>
          <w:tcPr>
            <w:tcW w:w="484"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707B64">
            <w:pPr>
              <w:pStyle w:val="TableText"/>
              <w:jc w:val="center"/>
              <w:cnfStyle w:val="000000010000" w:firstRow="0" w:lastRow="0" w:firstColumn="0" w:lastColumn="0" w:oddVBand="0" w:evenVBand="0" w:oddHBand="0" w:evenHBand="1" w:firstRowFirstColumn="0" w:firstRowLastColumn="0" w:lastRowFirstColumn="0" w:lastRowLastColumn="0"/>
              <w:rPr>
                <w:b/>
              </w:rPr>
            </w:pPr>
            <w:r w:rsidRPr="00B75B77">
              <w:rPr>
                <w:b/>
              </w:rPr>
              <w:t>74</w:t>
            </w:r>
          </w:p>
        </w:tc>
        <w:tc>
          <w:tcPr>
            <w:tcW w:w="1717"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A377A2" w:rsidP="009230B4">
            <w:pPr>
              <w:pStyle w:val="TableText"/>
              <w:cnfStyle w:val="000000010000" w:firstRow="0" w:lastRow="0" w:firstColumn="0" w:lastColumn="0" w:oddVBand="0" w:evenVBand="0" w:oddHBand="0" w:evenHBand="1" w:firstRowFirstColumn="0" w:firstRowLastColumn="0" w:lastRowFirstColumn="0" w:lastRowLastColumn="0"/>
              <w:rPr>
                <w:b/>
              </w:rPr>
            </w:pPr>
            <w:r w:rsidRPr="00B75B77">
              <w:rPr>
                <w:b/>
              </w:rPr>
              <w:t>N/A</w:t>
            </w:r>
          </w:p>
        </w:tc>
      </w:tr>
    </w:tbl>
    <w:p w:rsidR="008872A9" w:rsidRPr="00B75B77" w:rsidRDefault="008872A9" w:rsidP="00707B64">
      <w:pPr>
        <w:pStyle w:val="Source"/>
        <w:spacing w:before="20" w:after="20"/>
        <w:ind w:left="187" w:firstLine="0"/>
        <w:rPr>
          <w:i w:val="0"/>
        </w:rPr>
      </w:pPr>
      <w:r w:rsidRPr="00B75B77">
        <w:rPr>
          <w:i w:val="0"/>
        </w:rPr>
        <w:t xml:space="preserve">Note: </w:t>
      </w:r>
      <w:r w:rsidRPr="00B75B77">
        <w:rPr>
          <w:rFonts w:ascii="Calibri" w:hAnsi="Calibri"/>
          <w:i w:val="0"/>
          <w:iCs/>
          <w:color w:val="000000"/>
          <w:szCs w:val="18"/>
        </w:rPr>
        <w:t>Values in tables may not reconcile exactly with the sum of more detailed level results or previously reported results due to rounding.</w:t>
      </w:r>
    </w:p>
    <w:p w:rsidR="008872A9" w:rsidRPr="00B75B77" w:rsidRDefault="008872A9" w:rsidP="00D56E1C">
      <w:pPr>
        <w:pStyle w:val="Source"/>
      </w:pPr>
      <w:r w:rsidRPr="00B75B77">
        <w:t>Source: Navigant analysis</w:t>
      </w:r>
    </w:p>
    <w:p w:rsidR="008872A9" w:rsidRPr="00B75B77" w:rsidRDefault="008872A9" w:rsidP="00707B64">
      <w:r w:rsidRPr="00B75B77">
        <w:tab/>
        <w:t>The evaluation team pulled the sample in three stages: after Q2 using both Q1 and Q2 data, after Q3, and after Q4. During each stage, the team reviewed the sample design and made adjustments as needed to ensure that the sample would meet the target confidence and precision. This process included reviewing the projects in the pipeline and estimating the number of projects that would be completed prior to the end of PY7. The percentage of total projects sampled during each stage was based on the number of completed projects in that stage as a proportion of the expected number of projects for the entire program year. Lastly, the team included all projects in the sample design, but only sampled from projects representing the top 98</w:t>
      </w:r>
      <w:r w:rsidR="009230B4" w:rsidRPr="00B75B77">
        <w:t>%</w:t>
      </w:r>
      <w:r w:rsidRPr="00B75B77">
        <w:t xml:space="preserve"> of aggregate program savings. The team determined that sampling from the smallest projects representing the bottom 2</w:t>
      </w:r>
      <w:r w:rsidR="009230B4" w:rsidRPr="00B75B77">
        <w:t>%</w:t>
      </w:r>
      <w:r w:rsidRPr="00B75B77">
        <w:t xml:space="preserve"> of aggregate program savings would be of limited value to the program evaluation. The team also worked to mitigate systematic </w:t>
      </w:r>
      <w:r w:rsidRPr="00B75B77">
        <w:lastRenderedPageBreak/>
        <w:t>uncertainty in the PY7 evaluation. The sources, examples, and strategies to mitigate systematic uncertainty are listed below.</w:t>
      </w:r>
    </w:p>
    <w:p w:rsidR="008872A9" w:rsidRPr="00B75B77" w:rsidRDefault="008872A9" w:rsidP="00707B64"/>
    <w:p w:rsidR="008872A9" w:rsidRPr="00B75B77" w:rsidRDefault="008872A9" w:rsidP="009E08FB">
      <w:pPr>
        <w:pStyle w:val="ListParagraph"/>
        <w:numPr>
          <w:ilvl w:val="0"/>
          <w:numId w:val="70"/>
        </w:numPr>
        <w:spacing w:after="60"/>
        <w:jc w:val="left"/>
      </w:pPr>
      <w:r w:rsidRPr="00B75B77">
        <w:rPr>
          <w:b/>
        </w:rPr>
        <w:t>Source:</w:t>
      </w:r>
      <w:r w:rsidRPr="00B75B77">
        <w:t xml:space="preserve"> Onsite metering</w:t>
      </w:r>
    </w:p>
    <w:p w:rsidR="008872A9" w:rsidRPr="00B75B77" w:rsidRDefault="008872A9" w:rsidP="008D75EE">
      <w:pPr>
        <w:pStyle w:val="ListParagraph"/>
        <w:spacing w:after="60"/>
        <w:jc w:val="left"/>
      </w:pPr>
      <w:r w:rsidRPr="00B75B77">
        <w:rPr>
          <w:b/>
        </w:rPr>
        <w:t>Examples:</w:t>
      </w:r>
      <w:r w:rsidRPr="00B75B77">
        <w:t xml:space="preserve"> Uncertainty in the metering device itself, equipment placement, poor calibration</w:t>
      </w:r>
    </w:p>
    <w:p w:rsidR="008872A9" w:rsidRPr="00B75B77" w:rsidRDefault="008872A9" w:rsidP="008D75EE">
      <w:pPr>
        <w:pStyle w:val="ListParagraph"/>
        <w:spacing w:after="60"/>
        <w:jc w:val="left"/>
      </w:pPr>
      <w:r w:rsidRPr="00B75B77">
        <w:rPr>
          <w:b/>
        </w:rPr>
        <w:t>Strategies to Mitigate:</w:t>
      </w:r>
      <w:r w:rsidRPr="00B75B77">
        <w:t xml:space="preserve"> Systematic uncertainty could have been found in the placement of lighting loggers. If the lighting loggers were not correctly placed, they may have been influenced by alternative lighting sources, including non-program</w:t>
      </w:r>
      <w:r w:rsidR="00AF5657" w:rsidRPr="00B75B77">
        <w:t>-</w:t>
      </w:r>
      <w:r w:rsidRPr="00B75B77">
        <w:t xml:space="preserve">incentivized lighting or natural sunlight. To </w:t>
      </w:r>
      <w:proofErr w:type="gramStart"/>
      <w:r w:rsidRPr="00B75B77">
        <w:t>mitigate</w:t>
      </w:r>
      <w:proofErr w:type="gramEnd"/>
      <w:r w:rsidRPr="00B75B77">
        <w:t xml:space="preserve"> against this uncertainty, Navigant reviewed all logger data to ensure that it was reasonable. Navigant also decided to not use certain logger data if the information was not reasonably comparable with normal lighting use. Navigant ensured against systematic uncertainty in equipment by utilizing experienced field staff to deploy and ensure metering equipment was installed correctly.</w:t>
      </w:r>
    </w:p>
    <w:p w:rsidR="008872A9" w:rsidRPr="00B75B77" w:rsidRDefault="008872A9" w:rsidP="009E08FB">
      <w:pPr>
        <w:pStyle w:val="ListParagraph"/>
        <w:numPr>
          <w:ilvl w:val="0"/>
          <w:numId w:val="70"/>
        </w:numPr>
        <w:spacing w:after="60"/>
        <w:jc w:val="left"/>
      </w:pPr>
      <w:r w:rsidRPr="00B75B77">
        <w:rPr>
          <w:b/>
        </w:rPr>
        <w:t>Source:</w:t>
      </w:r>
      <w:r w:rsidRPr="00B75B77">
        <w:t xml:space="preserve"> Survey design</w:t>
      </w:r>
    </w:p>
    <w:p w:rsidR="008872A9" w:rsidRPr="00B75B77" w:rsidRDefault="008872A9" w:rsidP="008D75EE">
      <w:pPr>
        <w:pStyle w:val="ListParagraph"/>
        <w:spacing w:after="60"/>
        <w:jc w:val="left"/>
      </w:pPr>
      <w:r w:rsidRPr="00B75B77">
        <w:rPr>
          <w:b/>
        </w:rPr>
        <w:t>Examples:</w:t>
      </w:r>
      <w:r w:rsidRPr="00B75B77">
        <w:t xml:space="preserve"> Incomplete information collected onsite, leading survey questions</w:t>
      </w:r>
    </w:p>
    <w:p w:rsidR="008872A9" w:rsidRPr="00B75B77" w:rsidRDefault="008872A9" w:rsidP="008D75EE">
      <w:pPr>
        <w:pStyle w:val="ListParagraph"/>
        <w:spacing w:after="60"/>
        <w:jc w:val="left"/>
      </w:pPr>
      <w:r w:rsidRPr="00B75B77">
        <w:rPr>
          <w:b/>
        </w:rPr>
        <w:t>Strategies to Mitigate:</w:t>
      </w:r>
      <w:r w:rsidRPr="00B75B77">
        <w:t xml:space="preserve"> Systematic uncertainty could have been found in the collection of information while onsite. To prevent against any potential information lost, Navigant followed up with the customer on any uncertain items such as </w:t>
      </w:r>
      <w:r w:rsidR="00FA45FF" w:rsidRPr="00B75B77">
        <w:t>HOU</w:t>
      </w:r>
      <w:r w:rsidRPr="00B75B77">
        <w:t>, baseline questions, etc.</w:t>
      </w:r>
    </w:p>
    <w:p w:rsidR="008872A9" w:rsidRPr="00B75B77" w:rsidRDefault="008872A9" w:rsidP="009E08FB">
      <w:pPr>
        <w:pStyle w:val="ListParagraph"/>
        <w:numPr>
          <w:ilvl w:val="0"/>
          <w:numId w:val="70"/>
        </w:numPr>
        <w:spacing w:after="60"/>
        <w:jc w:val="left"/>
      </w:pPr>
      <w:r w:rsidRPr="00B75B77">
        <w:rPr>
          <w:b/>
        </w:rPr>
        <w:t>Source:</w:t>
      </w:r>
      <w:r w:rsidRPr="00B75B77">
        <w:t xml:space="preserve"> Human error during site visits</w:t>
      </w:r>
    </w:p>
    <w:p w:rsidR="008872A9" w:rsidRPr="00B75B77" w:rsidRDefault="008872A9" w:rsidP="008D75EE">
      <w:pPr>
        <w:pStyle w:val="ListParagraph"/>
        <w:spacing w:after="60"/>
        <w:jc w:val="left"/>
      </w:pPr>
      <w:r w:rsidRPr="00B75B77">
        <w:rPr>
          <w:b/>
        </w:rPr>
        <w:t>Example:</w:t>
      </w:r>
      <w:r w:rsidRPr="00B75B77">
        <w:t xml:space="preserve"> Forgetting to complete a key field on the field form</w:t>
      </w:r>
    </w:p>
    <w:p w:rsidR="008872A9" w:rsidRPr="00B75B77" w:rsidRDefault="008872A9" w:rsidP="008D75EE">
      <w:pPr>
        <w:pStyle w:val="ListParagraph"/>
        <w:spacing w:after="60"/>
        <w:jc w:val="left"/>
      </w:pPr>
      <w:r w:rsidRPr="00B75B77">
        <w:rPr>
          <w:b/>
        </w:rPr>
        <w:t>Strategies to Mitigate:</w:t>
      </w:r>
      <w:r w:rsidRPr="00B75B77">
        <w:t xml:space="preserve"> Systematic uncertainty could have been found in the information gathered while onsite. To prevent against this, Navigant trained field staff before completing onsite visits and also reviewed field forms to ensure that all proper information was collected from the field staff.</w:t>
      </w:r>
    </w:p>
    <w:p w:rsidR="008872A9" w:rsidRPr="00B75B77" w:rsidRDefault="008872A9" w:rsidP="009E08FB">
      <w:pPr>
        <w:pStyle w:val="ListParagraph"/>
        <w:numPr>
          <w:ilvl w:val="0"/>
          <w:numId w:val="70"/>
        </w:numPr>
        <w:spacing w:after="60"/>
        <w:jc w:val="left"/>
      </w:pPr>
      <w:r w:rsidRPr="00B75B77">
        <w:rPr>
          <w:b/>
        </w:rPr>
        <w:t xml:space="preserve">Source: </w:t>
      </w:r>
      <w:r w:rsidRPr="00B75B77">
        <w:t>Sample design</w:t>
      </w:r>
    </w:p>
    <w:p w:rsidR="008872A9" w:rsidRPr="00B75B77" w:rsidRDefault="008872A9" w:rsidP="008D75EE">
      <w:pPr>
        <w:pStyle w:val="ListParagraph"/>
        <w:spacing w:after="60"/>
        <w:jc w:val="left"/>
      </w:pPr>
      <w:r w:rsidRPr="00B75B77">
        <w:rPr>
          <w:b/>
        </w:rPr>
        <w:t xml:space="preserve">Examples: </w:t>
      </w:r>
      <w:r w:rsidRPr="00B75B77">
        <w:t>Non-coverage errors, non-response bias, self-selection bias</w:t>
      </w:r>
    </w:p>
    <w:p w:rsidR="008872A9" w:rsidRPr="00B75B77" w:rsidRDefault="008872A9" w:rsidP="008D75EE">
      <w:pPr>
        <w:pStyle w:val="ListParagraph"/>
        <w:spacing w:after="60"/>
        <w:jc w:val="left"/>
      </w:pPr>
      <w:r w:rsidRPr="00B75B77">
        <w:rPr>
          <w:b/>
        </w:rPr>
        <w:t>Strategies to Mitigate:</w:t>
      </w:r>
      <w:r w:rsidRPr="00B75B77">
        <w:t xml:space="preserve"> Navigant solicited the help of PECO to contact a few of the sampled sites. Navigant reviewed the sampled sites to ensure that it was representative of the entire population. </w:t>
      </w:r>
    </w:p>
    <w:p w:rsidR="008872A9" w:rsidRPr="00B75B77" w:rsidRDefault="008872A9" w:rsidP="00707B64"/>
    <w:p w:rsidR="008872A9" w:rsidRPr="00B75B77" w:rsidRDefault="008872A9" w:rsidP="00707B64">
      <w:r w:rsidRPr="00B75B77">
        <w:t>The evaluation team verified gross impacts for demand and energy through different approaches for the three categories of measures in this program: 1) deemed</w:t>
      </w:r>
      <w:r w:rsidR="00845869" w:rsidRPr="00B75B77">
        <w:t>,</w:t>
      </w:r>
      <w:r w:rsidRPr="00B75B77">
        <w:t xml:space="preserve"> 2) partially deemed</w:t>
      </w:r>
      <w:r w:rsidR="00845869" w:rsidRPr="00B75B77">
        <w:t>,</w:t>
      </w:r>
      <w:r w:rsidRPr="00B75B77">
        <w:t xml:space="preserve"> and 3) custom measures. The measures in these categories are defined by the TRM and </w:t>
      </w:r>
      <w:r w:rsidR="00822ED4" w:rsidRPr="00B75B77">
        <w:t>IMP</w:t>
      </w:r>
      <w:r w:rsidRPr="00B75B77">
        <w:t xml:space="preserve"> approved by the Pennsylvania PUC through the SWE team. The impacts for deemed measures were provided in the TRM or in an approved IMP. The evaluation approach for deemed measures was to verify both the installed quantity and that the installed measure matched the TRM-required specifications.</w:t>
      </w:r>
    </w:p>
    <w:p w:rsidR="008872A9" w:rsidRPr="00B75B77" w:rsidRDefault="008872A9" w:rsidP="00707B64"/>
    <w:p w:rsidR="008872A9" w:rsidRPr="00B75B77" w:rsidRDefault="008872A9" w:rsidP="00707B64">
      <w:r w:rsidRPr="00B75B77">
        <w:t>The TRM or approved IMP provided the algorithms and default assumptions for calculating the impacts and the variables to be verified for partially deemed measures. Depending on the complexity of the partially deemed measure, the evaluation team applied either a basic or enhanced level of rigor</w:t>
      </w:r>
      <w:r w:rsidR="009230B4" w:rsidRPr="00B75B77">
        <w:t>,</w:t>
      </w:r>
      <w:r w:rsidRPr="00B75B77">
        <w:t xml:space="preserve"> as described in the applicable protocols and the Audit Plan. The evaluation team conducted an application and file review and developed a SSMVP for all partially deemed projects. The team completed site visits (or phone interviews if the criteria described above were satisfied) following the activities laid out in the SSMVP and calculated verified savings using the variables determined through the site visit or phone interview in accordance with the TRM or IMP.</w:t>
      </w:r>
    </w:p>
    <w:p w:rsidR="008872A9" w:rsidRPr="00B75B77" w:rsidRDefault="008872A9" w:rsidP="00707B64"/>
    <w:p w:rsidR="008872A9" w:rsidRPr="00B75B77" w:rsidRDefault="008872A9" w:rsidP="00707B64">
      <w:r w:rsidRPr="00B75B77">
        <w:t xml:space="preserve">For projects that included custom measures (defined as measures not included in the TRM or in an IMP, or measures that were initially reported as TRM measures but determined through the evaluation to be custom), the evaluation team conducted an application review, developed </w:t>
      </w:r>
      <w:r w:rsidR="008D75EE" w:rsidRPr="00B75B77">
        <w:t>a SSMVP</w:t>
      </w:r>
      <w:r w:rsidRPr="00B75B77">
        <w:t xml:space="preserve">, and conducted a </w:t>
      </w:r>
      <w:r w:rsidRPr="00B75B77">
        <w:lastRenderedPageBreak/>
        <w:t>site visit. The primary difference was that there were no deemed variables and all custom measures followed an enhanced rigor level of effort.</w:t>
      </w:r>
    </w:p>
    <w:p w:rsidR="008872A9" w:rsidRPr="00B75B77" w:rsidRDefault="008872A9" w:rsidP="00707B64"/>
    <w:p w:rsidR="008872A9" w:rsidRPr="00B75B77" w:rsidRDefault="008872A9" w:rsidP="00707B64">
      <w:r w:rsidRPr="00B75B77" w:rsidDel="00A41E3D">
        <w:t>The peak kW savings estimation methodology was consistent with the SWE’s requirements for each project.</w:t>
      </w:r>
      <w:r w:rsidRPr="00B75B77" w:rsidDel="00A41E3D">
        <w:rPr>
          <w:rStyle w:val="FootnoteReference"/>
        </w:rPr>
        <w:footnoteReference w:id="48"/>
      </w:r>
      <w:r w:rsidRPr="00B75B77" w:rsidDel="00A41E3D">
        <w:t xml:space="preserve"> These requirements align with the PJM peak demand period defined as 2:00-6:00 p.m. on non-holiday weekdays during June, July, and August. The evaluation of PY</w:t>
      </w:r>
      <w:r w:rsidRPr="00B75B77">
        <w:t>7</w:t>
      </w:r>
      <w:r w:rsidRPr="00B75B77" w:rsidDel="00A41E3D">
        <w:t xml:space="preserve"> projects included a review of program tracking data</w:t>
      </w:r>
      <w:r w:rsidRPr="00B75B77">
        <w:t>.</w:t>
      </w:r>
    </w:p>
    <w:p w:rsidR="008872A9" w:rsidRPr="00B75B77" w:rsidRDefault="008872A9" w:rsidP="00707B64"/>
    <w:p w:rsidR="008872A9" w:rsidRPr="00B75B77" w:rsidRDefault="008872A9" w:rsidP="00707B64">
      <w:pPr>
        <w:pStyle w:val="Heading3"/>
      </w:pPr>
      <w:bookmarkStart w:id="711" w:name="_Toc466413400"/>
      <w:r w:rsidRPr="00B75B77">
        <w:t>Gross Verified Savings Results</w:t>
      </w:r>
      <w:bookmarkEnd w:id="711"/>
      <w:r w:rsidRPr="00B75B77">
        <w:t xml:space="preserve"> </w:t>
      </w:r>
    </w:p>
    <w:p w:rsidR="008872A9" w:rsidRPr="00B75B77" w:rsidRDefault="008872A9" w:rsidP="00707B64">
      <w:r w:rsidRPr="00B75B77">
        <w:rPr>
          <w:szCs w:val="20"/>
        </w:rPr>
        <w:t xml:space="preserve">In PY7, the program achieved </w:t>
      </w:r>
      <w:r w:rsidRPr="00B75B77" w:rsidDel="00845869">
        <w:rPr>
          <w:szCs w:val="20"/>
        </w:rPr>
        <w:t xml:space="preserve">a gross realization </w:t>
      </w:r>
      <w:r w:rsidR="00845869" w:rsidRPr="00B75B77">
        <w:rPr>
          <w:szCs w:val="20"/>
        </w:rPr>
        <w:t>rate</w:t>
      </w:r>
      <w:r w:rsidRPr="00B75B77">
        <w:rPr>
          <w:szCs w:val="20"/>
        </w:rPr>
        <w:t xml:space="preserve"> of </w:t>
      </w:r>
      <w:r w:rsidRPr="00B75B77">
        <w:t>1.00 for energy</w:t>
      </w:r>
      <w:r w:rsidRPr="00B75B77">
        <w:rPr>
          <w:szCs w:val="20"/>
        </w:rPr>
        <w:t>. The program’s verified energy savings was 119,</w:t>
      </w:r>
      <w:r w:rsidR="00E56FA8" w:rsidRPr="00B75B77">
        <w:rPr>
          <w:szCs w:val="20"/>
        </w:rPr>
        <w:t>944</w:t>
      </w:r>
      <w:r w:rsidRPr="00B75B77">
        <w:rPr>
          <w:szCs w:val="20"/>
        </w:rPr>
        <w:t xml:space="preserve"> MWh/yr. The program-level relative precision was 11</w:t>
      </w:r>
      <w:r w:rsidR="000A7067" w:rsidRPr="00B75B77">
        <w:rPr>
          <w:szCs w:val="20"/>
        </w:rPr>
        <w:t>%</w:t>
      </w:r>
      <w:r w:rsidRPr="00B75B77">
        <w:rPr>
          <w:szCs w:val="20"/>
        </w:rPr>
        <w:t xml:space="preserve"> at </w:t>
      </w:r>
      <w:r w:rsidR="000A7067" w:rsidRPr="00B75B77">
        <w:rPr>
          <w:szCs w:val="20"/>
        </w:rPr>
        <w:t xml:space="preserve">an </w:t>
      </w:r>
      <w:r w:rsidRPr="00B75B77">
        <w:rPr>
          <w:szCs w:val="20"/>
        </w:rPr>
        <w:t>85</w:t>
      </w:r>
      <w:r w:rsidR="000A7067" w:rsidRPr="00B75B77">
        <w:rPr>
          <w:szCs w:val="20"/>
        </w:rPr>
        <w:t>%</w:t>
      </w:r>
      <w:r w:rsidRPr="00B75B77">
        <w:rPr>
          <w:szCs w:val="20"/>
        </w:rPr>
        <w:t xml:space="preserve"> confidence interval</w:t>
      </w:r>
      <w:r w:rsidR="000A7067" w:rsidRPr="00B75B77">
        <w:rPr>
          <w:szCs w:val="20"/>
        </w:rPr>
        <w:t>,</w:t>
      </w:r>
      <w:r w:rsidRPr="00B75B77">
        <w:rPr>
          <w:szCs w:val="20"/>
        </w:rPr>
        <w:t xml:space="preserve"> which meets the 15</w:t>
      </w:r>
      <w:r w:rsidR="000A7067" w:rsidRPr="00B75B77">
        <w:rPr>
          <w:szCs w:val="20"/>
        </w:rPr>
        <w:t>%</w:t>
      </w:r>
      <w:r w:rsidRPr="00B75B77">
        <w:rPr>
          <w:szCs w:val="20"/>
        </w:rPr>
        <w:t xml:space="preserve"> relative precision goal for the program year. </w:t>
      </w:r>
      <w:r w:rsidR="000A7067" w:rsidRPr="00B75B77">
        <w:rPr>
          <w:szCs w:val="20"/>
        </w:rPr>
        <w:t>T</w:t>
      </w:r>
      <w:r w:rsidRPr="00B75B77">
        <w:rPr>
          <w:szCs w:val="20"/>
        </w:rPr>
        <w:t xml:space="preserve">he large stratum achieved a realization rate of 0.87, the medium stratum a realization rate 1.22, and the small stratum a realization rate of 0.92. </w:t>
      </w:r>
      <w:r w:rsidRPr="00B75B77">
        <w:t xml:space="preserve">The summary of the energy evaluation results </w:t>
      </w:r>
      <w:r w:rsidR="000A7067" w:rsidRPr="00B75B77">
        <w:t xml:space="preserve">is </w:t>
      </w:r>
      <w:r w:rsidRPr="00B75B77">
        <w:t xml:space="preserve">presented in </w:t>
      </w:r>
      <w:r w:rsidRPr="00B75B77">
        <w:fldChar w:fldCharType="begin"/>
      </w:r>
      <w:r w:rsidRPr="00B75B77">
        <w:instrText xml:space="preserve"> REF _Ref462839636 \h </w:instrText>
      </w:r>
      <w:r w:rsidR="000A7067" w:rsidRPr="00B75B77">
        <w:instrText xml:space="preserve"> \* MERGEFORMAT </w:instrText>
      </w:r>
      <w:r w:rsidRPr="00B75B77">
        <w:fldChar w:fldCharType="separate"/>
      </w:r>
      <w:r w:rsidR="0004016D" w:rsidRPr="00B75B77">
        <w:t xml:space="preserve">Table </w:t>
      </w:r>
      <w:r w:rsidR="0004016D">
        <w:rPr>
          <w:noProof/>
        </w:rPr>
        <w:t>11</w:t>
      </w:r>
      <w:r w:rsidR="0004016D" w:rsidRPr="00B75B77">
        <w:rPr>
          <w:noProof/>
        </w:rPr>
        <w:noBreakHyphen/>
      </w:r>
      <w:r w:rsidR="0004016D">
        <w:rPr>
          <w:noProof/>
        </w:rPr>
        <w:t>3</w:t>
      </w:r>
      <w:r w:rsidRPr="00B75B77">
        <w:fldChar w:fldCharType="end"/>
      </w:r>
      <w:r w:rsidRPr="00B75B77">
        <w:t>.</w:t>
      </w:r>
    </w:p>
    <w:p w:rsidR="008872A9" w:rsidRPr="00B75B77" w:rsidRDefault="008872A9" w:rsidP="00707B64"/>
    <w:p w:rsidR="008872A9" w:rsidRPr="00B75B77" w:rsidRDefault="008872A9" w:rsidP="00586985">
      <w:pPr>
        <w:pStyle w:val="Caption"/>
      </w:pPr>
      <w:bookmarkStart w:id="712" w:name="_Ref462839636"/>
      <w:bookmarkStart w:id="713" w:name="_Toc466413590"/>
      <w:r w:rsidRPr="00B75B77">
        <w:t xml:space="preserve">Table </w:t>
      </w:r>
      <w:fldSimple w:instr=" STYLEREF 1 \s ">
        <w:r w:rsidR="0004016D">
          <w:rPr>
            <w:noProof/>
          </w:rPr>
          <w:t>11</w:t>
        </w:r>
      </w:fldSimple>
      <w:r w:rsidR="00F1144C" w:rsidRPr="00B75B77">
        <w:noBreakHyphen/>
      </w:r>
      <w:fldSimple w:instr=" SEQ Table \* ARABIC \s 1 ">
        <w:r w:rsidR="0004016D">
          <w:rPr>
            <w:noProof/>
          </w:rPr>
          <w:t>3</w:t>
        </w:r>
      </w:fldSimple>
      <w:bookmarkEnd w:id="712"/>
      <w:r w:rsidRPr="00B75B77">
        <w:t>: PY7 Smart Equipment Incentives (C&amp;I) Summary of Evaluation Results for Energy</w:t>
      </w:r>
      <w:bookmarkEnd w:id="713"/>
    </w:p>
    <w:tbl>
      <w:tblPr>
        <w:tblStyle w:val="PECOTeal"/>
        <w:tblW w:w="0" w:type="auto"/>
        <w:tblLook w:val="04A0" w:firstRow="1" w:lastRow="0" w:firstColumn="1" w:lastColumn="0" w:noHBand="0" w:noVBand="1"/>
      </w:tblPr>
      <w:tblGrid>
        <w:gridCol w:w="1701"/>
        <w:gridCol w:w="1350"/>
        <w:gridCol w:w="1196"/>
        <w:gridCol w:w="1477"/>
        <w:gridCol w:w="1910"/>
        <w:gridCol w:w="1942"/>
      </w:tblGrid>
      <w:tr w:rsidR="008872A9" w:rsidRPr="00B75B77" w:rsidTr="007665E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2A9" w:rsidRPr="00B75B77" w:rsidRDefault="008872A9" w:rsidP="00594255">
            <w:pPr>
              <w:jc w:val="left"/>
              <w:rPr>
                <w:rFonts w:ascii="Calibri" w:eastAsia="Times New Roman" w:hAnsi="Calibri"/>
                <w:bCs w:val="0"/>
                <w:szCs w:val="18"/>
              </w:rPr>
            </w:pPr>
            <w:r w:rsidRPr="00B75B77">
              <w:rPr>
                <w:rFonts w:ascii="Calibri" w:eastAsia="Times New Roman" w:hAnsi="Calibri"/>
                <w:bCs w:val="0"/>
                <w:szCs w:val="18"/>
              </w:rPr>
              <w:t>Stratum</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2A9" w:rsidRPr="00B75B77" w:rsidRDefault="008872A9" w:rsidP="0059425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Cs w:val="18"/>
              </w:rPr>
            </w:pPr>
            <w:r w:rsidRPr="00B75B77">
              <w:rPr>
                <w:rFonts w:ascii="Calibri" w:eastAsia="Times New Roman" w:hAnsi="Calibri"/>
                <w:bCs w:val="0"/>
                <w:szCs w:val="18"/>
              </w:rPr>
              <w:t>Reported Gross Energy Savings</w:t>
            </w:r>
          </w:p>
          <w:p w:rsidR="008872A9" w:rsidRPr="00B75B77" w:rsidRDefault="008872A9" w:rsidP="0059425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Cs w:val="18"/>
              </w:rPr>
            </w:pPr>
            <w:r w:rsidRPr="00B75B77">
              <w:rPr>
                <w:rFonts w:ascii="Calibri" w:eastAsia="Times New Roman" w:hAnsi="Calibri"/>
                <w:bCs w:val="0"/>
                <w:szCs w:val="18"/>
              </w:rPr>
              <w:t>(MWh/</w:t>
            </w:r>
            <w:proofErr w:type="spellStart"/>
            <w:r w:rsidRPr="00B75B77">
              <w:rPr>
                <w:rFonts w:ascii="Calibri" w:eastAsia="Times New Roman" w:hAnsi="Calibri"/>
                <w:bCs w:val="0"/>
                <w:szCs w:val="18"/>
              </w:rPr>
              <w:t>yr</w:t>
            </w:r>
            <w:proofErr w:type="spellEnd"/>
            <w:r w:rsidRPr="00B75B77">
              <w:rPr>
                <w:rFonts w:ascii="Calibri" w:eastAsia="Times New Roman" w:hAnsi="Calibri"/>
                <w:bCs w:val="0"/>
                <w:szCs w:val="18"/>
              </w:rPr>
              <w:t>)</w:t>
            </w:r>
          </w:p>
        </w:tc>
        <w:tc>
          <w:tcPr>
            <w:tcW w:w="1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2A9" w:rsidRPr="00B75B77" w:rsidRDefault="008872A9" w:rsidP="0059425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Cs w:val="18"/>
              </w:rPr>
            </w:pPr>
            <w:r w:rsidRPr="00B75B77">
              <w:rPr>
                <w:rFonts w:ascii="Calibri" w:eastAsia="Times New Roman" w:hAnsi="Calibri"/>
                <w:bCs w:val="0"/>
                <w:szCs w:val="18"/>
              </w:rPr>
              <w:t>Energy Realization Rate</w:t>
            </w:r>
          </w:p>
          <w:p w:rsidR="008872A9" w:rsidRPr="00B75B77" w:rsidRDefault="008872A9" w:rsidP="0059425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Cs w:val="18"/>
              </w:rPr>
            </w:pPr>
            <w:r w:rsidRPr="00B75B77">
              <w:rPr>
                <w:rFonts w:ascii="Calibri" w:eastAsia="Times New Roman" w:hAnsi="Calibri"/>
                <w:bCs w:val="0"/>
                <w:szCs w:val="18"/>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2A9" w:rsidRPr="00B75B77" w:rsidRDefault="008872A9" w:rsidP="0059425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Cs w:val="18"/>
              </w:rPr>
            </w:pPr>
            <w:r w:rsidRPr="00B75B77">
              <w:rPr>
                <w:rFonts w:ascii="Calibri" w:eastAsia="Times New Roman" w:hAnsi="Calibri"/>
                <w:bCs w:val="0"/>
                <w:szCs w:val="18"/>
              </w:rPr>
              <w:t>Verified Gross Energy Savings</w:t>
            </w:r>
          </w:p>
          <w:p w:rsidR="008872A9" w:rsidRPr="00B75B77" w:rsidRDefault="008872A9" w:rsidP="0059425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Cs w:val="18"/>
              </w:rPr>
            </w:pPr>
            <w:r w:rsidRPr="00B75B77">
              <w:rPr>
                <w:rFonts w:ascii="Calibri" w:eastAsia="Times New Roman" w:hAnsi="Calibri"/>
                <w:bCs w:val="0"/>
                <w:szCs w:val="18"/>
              </w:rPr>
              <w:t>(MWh/</w:t>
            </w:r>
            <w:proofErr w:type="spellStart"/>
            <w:r w:rsidRPr="00B75B77">
              <w:rPr>
                <w:rFonts w:ascii="Calibri" w:eastAsia="Times New Roman" w:hAnsi="Calibri"/>
                <w:bCs w:val="0"/>
                <w:szCs w:val="18"/>
              </w:rPr>
              <w:t>yr</w:t>
            </w:r>
            <w:proofErr w:type="spellEnd"/>
            <w:r w:rsidRPr="00B75B77">
              <w:rPr>
                <w:rFonts w:ascii="Calibri" w:eastAsia="Times New Roman" w:hAnsi="Calibri"/>
                <w:bCs w:val="0"/>
                <w:szCs w:val="18"/>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2A9" w:rsidRPr="00B75B77" w:rsidRDefault="008872A9" w:rsidP="00707B6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Cs w:val="18"/>
              </w:rPr>
            </w:pPr>
            <w:r w:rsidRPr="00B75B77">
              <w:rPr>
                <w:rFonts w:ascii="Calibri" w:eastAsia="Times New Roman" w:hAnsi="Calibri"/>
                <w:bCs w:val="0"/>
                <w:szCs w:val="18"/>
              </w:rPr>
              <w:t>Observed CV or Proportion in Sample Design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2A9" w:rsidRPr="00B75B77" w:rsidRDefault="008872A9" w:rsidP="0054059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Cs w:val="18"/>
              </w:rPr>
            </w:pPr>
            <w:r w:rsidRPr="00B75B77">
              <w:rPr>
                <w:rFonts w:ascii="Calibri" w:eastAsia="Times New Roman" w:hAnsi="Calibri"/>
                <w:bCs w:val="0"/>
                <w:szCs w:val="18"/>
              </w:rPr>
              <w:t xml:space="preserve">Relative Precision at 85% </w:t>
            </w:r>
            <w:r w:rsidR="0054059D" w:rsidRPr="00B75B77">
              <w:rPr>
                <w:rFonts w:ascii="Calibri" w:eastAsia="Times New Roman" w:hAnsi="Calibri"/>
                <w:bCs w:val="0"/>
                <w:szCs w:val="18"/>
              </w:rPr>
              <w:t>Confidence Interval</w:t>
            </w:r>
          </w:p>
        </w:tc>
      </w:tr>
      <w:tr w:rsidR="008872A9" w:rsidRPr="00B75B77" w:rsidTr="007665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0" w:type="dxa"/>
            <w:tcBorders>
              <w:top w:val="single" w:sz="4" w:space="0" w:color="000000" w:themeColor="text1"/>
            </w:tcBorders>
            <w:hideMark/>
          </w:tcPr>
          <w:p w:rsidR="008872A9" w:rsidRPr="00B75B77" w:rsidRDefault="008872A9" w:rsidP="00707B64">
            <w:pPr>
              <w:jc w:val="left"/>
              <w:rPr>
                <w:rFonts w:ascii="Calibri" w:eastAsia="Times New Roman" w:hAnsi="Calibri"/>
                <w:b w:val="0"/>
                <w:color w:val="000000"/>
                <w:szCs w:val="18"/>
              </w:rPr>
            </w:pPr>
            <w:r w:rsidRPr="00B75B77">
              <w:rPr>
                <w:rFonts w:ascii="Calibri" w:hAnsi="Calibri"/>
                <w:b w:val="0"/>
                <w:bCs w:val="0"/>
                <w:color w:val="000000"/>
                <w:szCs w:val="18"/>
              </w:rPr>
              <w:t>C&amp;I - Large</w:t>
            </w:r>
          </w:p>
        </w:tc>
        <w:tc>
          <w:tcPr>
            <w:tcW w:w="1350" w:type="dxa"/>
            <w:tcBorders>
              <w:top w:val="single" w:sz="4" w:space="0" w:color="000000" w:themeColor="text1"/>
            </w:tcBorders>
            <w:hideMark/>
          </w:tcPr>
          <w:p w:rsidR="008872A9" w:rsidRPr="00B75B77" w:rsidRDefault="008872A9" w:rsidP="00707B6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rFonts w:ascii="Calibri" w:hAnsi="Calibri"/>
                <w:color w:val="000000"/>
                <w:szCs w:val="18"/>
              </w:rPr>
              <w:t>28,929</w:t>
            </w:r>
          </w:p>
        </w:tc>
        <w:tc>
          <w:tcPr>
            <w:tcW w:w="1196" w:type="dxa"/>
            <w:tcBorders>
              <w:top w:val="single" w:sz="4" w:space="0" w:color="000000" w:themeColor="text1"/>
            </w:tcBorders>
            <w:hideMark/>
          </w:tcPr>
          <w:p w:rsidR="008872A9" w:rsidRPr="00B75B77" w:rsidRDefault="008872A9" w:rsidP="00707B6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rFonts w:ascii="Calibri" w:hAnsi="Calibri"/>
                <w:color w:val="000000"/>
                <w:szCs w:val="18"/>
              </w:rPr>
              <w:t>0.87</w:t>
            </w:r>
          </w:p>
        </w:tc>
        <w:tc>
          <w:tcPr>
            <w:tcW w:w="0" w:type="auto"/>
            <w:tcBorders>
              <w:top w:val="single" w:sz="4" w:space="0" w:color="000000" w:themeColor="text1"/>
            </w:tcBorders>
          </w:tcPr>
          <w:p w:rsidR="008872A9" w:rsidRPr="00B75B77" w:rsidRDefault="008872A9" w:rsidP="00707B6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rFonts w:ascii="Calibri" w:hAnsi="Calibri"/>
                <w:color w:val="000000"/>
                <w:szCs w:val="18"/>
              </w:rPr>
              <w:t>25,221</w:t>
            </w:r>
          </w:p>
        </w:tc>
        <w:tc>
          <w:tcPr>
            <w:tcW w:w="0" w:type="auto"/>
            <w:tcBorders>
              <w:top w:val="single" w:sz="4" w:space="0" w:color="000000" w:themeColor="text1"/>
            </w:tcBorders>
            <w:hideMark/>
          </w:tcPr>
          <w:p w:rsidR="008872A9" w:rsidRPr="00B75B77" w:rsidRDefault="008872A9" w:rsidP="00707B6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rFonts w:ascii="Calibri" w:hAnsi="Calibri"/>
                <w:color w:val="000000"/>
                <w:szCs w:val="18"/>
              </w:rPr>
              <w:t>0.90</w:t>
            </w:r>
          </w:p>
        </w:tc>
        <w:tc>
          <w:tcPr>
            <w:tcW w:w="0" w:type="auto"/>
            <w:tcBorders>
              <w:top w:val="single" w:sz="4" w:space="0" w:color="000000" w:themeColor="text1"/>
            </w:tcBorders>
            <w:hideMark/>
          </w:tcPr>
          <w:p w:rsidR="008872A9" w:rsidRPr="00B75B77" w:rsidRDefault="008872A9" w:rsidP="00707B6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rFonts w:ascii="Calibri" w:hAnsi="Calibri"/>
                <w:color w:val="000000"/>
                <w:szCs w:val="18"/>
              </w:rPr>
              <w:t>24%</w:t>
            </w:r>
          </w:p>
        </w:tc>
      </w:tr>
      <w:tr w:rsidR="008872A9" w:rsidRPr="00B75B77" w:rsidTr="000A706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0" w:type="dxa"/>
            <w:hideMark/>
          </w:tcPr>
          <w:p w:rsidR="008872A9" w:rsidRPr="00B75B77" w:rsidRDefault="008872A9" w:rsidP="00707B64">
            <w:pPr>
              <w:jc w:val="left"/>
              <w:rPr>
                <w:rFonts w:ascii="Calibri" w:eastAsia="Times New Roman" w:hAnsi="Calibri"/>
                <w:b w:val="0"/>
                <w:color w:val="000000"/>
                <w:szCs w:val="18"/>
              </w:rPr>
            </w:pPr>
            <w:r w:rsidRPr="00B75B77">
              <w:rPr>
                <w:rFonts w:ascii="Calibri" w:hAnsi="Calibri"/>
                <w:b w:val="0"/>
                <w:bCs w:val="0"/>
                <w:color w:val="000000"/>
                <w:szCs w:val="18"/>
              </w:rPr>
              <w:t>C&amp;I - Medium</w:t>
            </w:r>
          </w:p>
        </w:tc>
        <w:tc>
          <w:tcPr>
            <w:tcW w:w="1350" w:type="dxa"/>
            <w:hideMark/>
          </w:tcPr>
          <w:p w:rsidR="008872A9" w:rsidRPr="00B75B77" w:rsidRDefault="008872A9" w:rsidP="00707B6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rFonts w:ascii="Calibri" w:hAnsi="Calibri"/>
                <w:color w:val="000000"/>
                <w:szCs w:val="18"/>
              </w:rPr>
              <w:t>34,861</w:t>
            </w:r>
          </w:p>
        </w:tc>
        <w:tc>
          <w:tcPr>
            <w:tcW w:w="1196" w:type="dxa"/>
            <w:hideMark/>
          </w:tcPr>
          <w:p w:rsidR="008872A9" w:rsidRPr="00B75B77" w:rsidRDefault="008872A9" w:rsidP="00707B6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rFonts w:ascii="Calibri" w:hAnsi="Calibri"/>
                <w:color w:val="000000"/>
                <w:szCs w:val="18"/>
              </w:rPr>
              <w:t>1.22</w:t>
            </w:r>
          </w:p>
        </w:tc>
        <w:tc>
          <w:tcPr>
            <w:tcW w:w="0" w:type="auto"/>
          </w:tcPr>
          <w:p w:rsidR="008872A9" w:rsidRPr="00B75B77" w:rsidRDefault="008872A9" w:rsidP="00707B6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rFonts w:ascii="Calibri" w:hAnsi="Calibri"/>
                <w:color w:val="000000"/>
                <w:szCs w:val="18"/>
              </w:rPr>
              <w:t>42,578</w:t>
            </w:r>
          </w:p>
        </w:tc>
        <w:tc>
          <w:tcPr>
            <w:tcW w:w="0" w:type="auto"/>
            <w:hideMark/>
          </w:tcPr>
          <w:p w:rsidR="008872A9" w:rsidRPr="00B75B77" w:rsidRDefault="008872A9" w:rsidP="00707B6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rFonts w:ascii="Calibri" w:hAnsi="Calibri"/>
                <w:color w:val="000000"/>
                <w:szCs w:val="18"/>
              </w:rPr>
              <w:t>1.40</w:t>
            </w:r>
          </w:p>
        </w:tc>
        <w:tc>
          <w:tcPr>
            <w:tcW w:w="0" w:type="auto"/>
            <w:hideMark/>
          </w:tcPr>
          <w:p w:rsidR="008872A9" w:rsidRPr="00B75B77" w:rsidRDefault="008872A9" w:rsidP="00707B6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rPr>
                <w:rFonts w:ascii="Calibri" w:hAnsi="Calibri"/>
                <w:color w:val="000000"/>
                <w:szCs w:val="18"/>
              </w:rPr>
              <w:t>30%</w:t>
            </w:r>
          </w:p>
        </w:tc>
      </w:tr>
      <w:tr w:rsidR="008872A9" w:rsidRPr="00B75B77" w:rsidTr="000A70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0" w:type="dxa"/>
            <w:hideMark/>
          </w:tcPr>
          <w:p w:rsidR="008872A9" w:rsidRPr="00B75B77" w:rsidRDefault="008872A9" w:rsidP="00707B64">
            <w:pPr>
              <w:jc w:val="left"/>
              <w:rPr>
                <w:rFonts w:ascii="Calibri" w:eastAsia="Times New Roman" w:hAnsi="Calibri"/>
                <w:b w:val="0"/>
                <w:color w:val="000000"/>
                <w:szCs w:val="18"/>
              </w:rPr>
            </w:pPr>
            <w:r w:rsidRPr="00B75B77">
              <w:rPr>
                <w:rFonts w:ascii="Calibri" w:hAnsi="Calibri"/>
                <w:b w:val="0"/>
                <w:bCs w:val="0"/>
                <w:color w:val="000000"/>
                <w:szCs w:val="18"/>
              </w:rPr>
              <w:t>C&amp;I - Small</w:t>
            </w:r>
          </w:p>
        </w:tc>
        <w:tc>
          <w:tcPr>
            <w:tcW w:w="1350" w:type="dxa"/>
            <w:hideMark/>
          </w:tcPr>
          <w:p w:rsidR="008872A9" w:rsidRPr="00B75B77" w:rsidRDefault="008872A9" w:rsidP="00707B6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rFonts w:ascii="Calibri" w:hAnsi="Calibri"/>
                <w:color w:val="000000"/>
                <w:szCs w:val="18"/>
              </w:rPr>
              <w:t>56,155</w:t>
            </w:r>
          </w:p>
        </w:tc>
        <w:tc>
          <w:tcPr>
            <w:tcW w:w="1196" w:type="dxa"/>
            <w:hideMark/>
          </w:tcPr>
          <w:p w:rsidR="008872A9" w:rsidRPr="00B75B77" w:rsidRDefault="008872A9" w:rsidP="00707B6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rFonts w:ascii="Calibri" w:hAnsi="Calibri"/>
                <w:color w:val="000000"/>
                <w:szCs w:val="18"/>
              </w:rPr>
              <w:t>0.92</w:t>
            </w:r>
          </w:p>
        </w:tc>
        <w:tc>
          <w:tcPr>
            <w:tcW w:w="0" w:type="auto"/>
          </w:tcPr>
          <w:p w:rsidR="008872A9" w:rsidRPr="00B75B77" w:rsidRDefault="008872A9" w:rsidP="00707B6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rFonts w:ascii="Calibri" w:hAnsi="Calibri"/>
                <w:color w:val="000000"/>
                <w:szCs w:val="18"/>
              </w:rPr>
              <w:t>51,779</w:t>
            </w:r>
          </w:p>
        </w:tc>
        <w:tc>
          <w:tcPr>
            <w:tcW w:w="0" w:type="auto"/>
            <w:hideMark/>
          </w:tcPr>
          <w:p w:rsidR="008872A9" w:rsidRPr="00B75B77" w:rsidRDefault="008872A9" w:rsidP="00707B6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rFonts w:ascii="Calibri" w:hAnsi="Calibri"/>
                <w:color w:val="000000"/>
                <w:szCs w:val="18"/>
              </w:rPr>
              <w:t>0.34</w:t>
            </w:r>
          </w:p>
        </w:tc>
        <w:tc>
          <w:tcPr>
            <w:tcW w:w="0" w:type="auto"/>
            <w:hideMark/>
          </w:tcPr>
          <w:p w:rsidR="008872A9" w:rsidRPr="00B75B77" w:rsidRDefault="008872A9" w:rsidP="00707B6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rFonts w:ascii="Calibri" w:hAnsi="Calibri"/>
                <w:color w:val="000000"/>
                <w:szCs w:val="18"/>
              </w:rPr>
              <w:t>9%</w:t>
            </w:r>
          </w:p>
        </w:tc>
      </w:tr>
      <w:tr w:rsidR="008872A9" w:rsidRPr="00B75B77" w:rsidTr="000A706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0" w:type="dxa"/>
            <w:hideMark/>
          </w:tcPr>
          <w:p w:rsidR="008872A9" w:rsidRPr="00B75B77" w:rsidRDefault="008872A9" w:rsidP="00707B64">
            <w:pPr>
              <w:jc w:val="left"/>
              <w:rPr>
                <w:rFonts w:ascii="Calibri" w:eastAsia="Times New Roman" w:hAnsi="Calibri"/>
                <w:bCs w:val="0"/>
                <w:caps/>
                <w:color w:val="000000"/>
                <w:szCs w:val="18"/>
              </w:rPr>
            </w:pPr>
            <w:r w:rsidRPr="00B75B77">
              <w:rPr>
                <w:rFonts w:ascii="Calibri" w:eastAsia="Times New Roman" w:hAnsi="Calibri"/>
                <w:bCs w:val="0"/>
                <w:caps/>
                <w:color w:val="000000"/>
                <w:szCs w:val="18"/>
              </w:rPr>
              <w:t>Program Total</w:t>
            </w:r>
          </w:p>
        </w:tc>
        <w:tc>
          <w:tcPr>
            <w:tcW w:w="1350" w:type="dxa"/>
            <w:hideMark/>
          </w:tcPr>
          <w:p w:rsidR="008872A9" w:rsidRPr="00B75B77" w:rsidRDefault="008872A9" w:rsidP="00707B6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color w:val="000000"/>
                <w:szCs w:val="18"/>
              </w:rPr>
            </w:pPr>
            <w:r w:rsidRPr="00B75B77">
              <w:rPr>
                <w:rFonts w:ascii="Calibri" w:eastAsia="Times New Roman" w:hAnsi="Calibri"/>
                <w:b/>
                <w:color w:val="000000"/>
                <w:szCs w:val="18"/>
              </w:rPr>
              <w:t>119,944</w:t>
            </w:r>
          </w:p>
        </w:tc>
        <w:tc>
          <w:tcPr>
            <w:tcW w:w="1196" w:type="dxa"/>
            <w:hideMark/>
          </w:tcPr>
          <w:p w:rsidR="008872A9" w:rsidRPr="00B75B77" w:rsidRDefault="008872A9" w:rsidP="00707B6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color w:val="000000"/>
                <w:szCs w:val="18"/>
              </w:rPr>
            </w:pPr>
            <w:r w:rsidRPr="00B75B77">
              <w:rPr>
                <w:rFonts w:ascii="Calibri" w:eastAsia="Times New Roman" w:hAnsi="Calibri"/>
                <w:b/>
                <w:color w:val="000000"/>
                <w:szCs w:val="18"/>
              </w:rPr>
              <w:t>1.00</w:t>
            </w:r>
          </w:p>
        </w:tc>
        <w:tc>
          <w:tcPr>
            <w:tcW w:w="0" w:type="auto"/>
          </w:tcPr>
          <w:p w:rsidR="008872A9" w:rsidRPr="00B75B77" w:rsidRDefault="008872A9" w:rsidP="00707B6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color w:val="000000"/>
                <w:szCs w:val="18"/>
              </w:rPr>
            </w:pPr>
            <w:r w:rsidRPr="00B75B77">
              <w:rPr>
                <w:rFonts w:ascii="Calibri" w:eastAsia="Times New Roman" w:hAnsi="Calibri"/>
                <w:b/>
                <w:color w:val="000000"/>
                <w:szCs w:val="18"/>
              </w:rPr>
              <w:t>119,579</w:t>
            </w:r>
          </w:p>
        </w:tc>
        <w:tc>
          <w:tcPr>
            <w:tcW w:w="0" w:type="auto"/>
            <w:hideMark/>
          </w:tcPr>
          <w:p w:rsidR="008872A9" w:rsidRPr="00B75B77" w:rsidRDefault="008872A9" w:rsidP="00707B6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color w:val="000000"/>
                <w:szCs w:val="18"/>
              </w:rPr>
            </w:pPr>
            <w:r w:rsidRPr="00B75B77">
              <w:rPr>
                <w:b/>
              </w:rPr>
              <w:t>N/A</w:t>
            </w:r>
          </w:p>
        </w:tc>
        <w:tc>
          <w:tcPr>
            <w:tcW w:w="0" w:type="auto"/>
            <w:hideMark/>
          </w:tcPr>
          <w:p w:rsidR="008872A9" w:rsidRPr="00B75B77" w:rsidRDefault="008872A9" w:rsidP="00707B6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color w:val="000000"/>
                <w:szCs w:val="18"/>
              </w:rPr>
            </w:pPr>
            <w:r w:rsidRPr="00B75B77">
              <w:rPr>
                <w:b/>
              </w:rPr>
              <w:t>11%</w:t>
            </w:r>
          </w:p>
        </w:tc>
      </w:tr>
    </w:tbl>
    <w:p w:rsidR="008872A9" w:rsidRPr="00B75B77" w:rsidRDefault="008872A9" w:rsidP="00707B64">
      <w:pPr>
        <w:pStyle w:val="Source"/>
        <w:spacing w:before="20" w:after="20"/>
        <w:ind w:left="187" w:firstLine="0"/>
        <w:rPr>
          <w:i w:val="0"/>
        </w:rPr>
      </w:pPr>
      <w:r w:rsidRPr="00B75B77">
        <w:rPr>
          <w:i w:val="0"/>
        </w:rPr>
        <w:t xml:space="preserve">Note: </w:t>
      </w:r>
      <w:r w:rsidRPr="00B75B77">
        <w:rPr>
          <w:rFonts w:ascii="Calibri" w:hAnsi="Calibri"/>
          <w:i w:val="0"/>
          <w:iCs/>
          <w:color w:val="000000"/>
          <w:szCs w:val="18"/>
        </w:rPr>
        <w:t>Values in tables may not reconcile exactly with the sum of more detailed level results or previously reported results due to rounding.</w:t>
      </w:r>
    </w:p>
    <w:p w:rsidR="008872A9" w:rsidRPr="00B75B77" w:rsidRDefault="008872A9" w:rsidP="000A7067">
      <w:pPr>
        <w:pStyle w:val="Source"/>
        <w:spacing w:after="120"/>
        <w:ind w:left="734" w:hanging="547"/>
      </w:pPr>
      <w:r w:rsidRPr="00B75B77">
        <w:t>Source: Navigant analysis</w:t>
      </w:r>
    </w:p>
    <w:p w:rsidR="008872A9" w:rsidRPr="00B75B77" w:rsidRDefault="008872A9" w:rsidP="00707B64">
      <w:r w:rsidRPr="00B75B77">
        <w:rPr>
          <w:szCs w:val="20"/>
        </w:rPr>
        <w:t xml:space="preserve">Overall, the program achieved a gross realization rate of </w:t>
      </w:r>
      <w:r w:rsidRPr="00B75B77">
        <w:t>1.07 for demand</w:t>
      </w:r>
      <w:r w:rsidRPr="00B75B77">
        <w:rPr>
          <w:szCs w:val="20"/>
        </w:rPr>
        <w:t xml:space="preserve">. The program’s verified demand savings was </w:t>
      </w:r>
      <w:r w:rsidR="00E56FA8" w:rsidRPr="00B75B77">
        <w:rPr>
          <w:szCs w:val="20"/>
        </w:rPr>
        <w:t>18.4</w:t>
      </w:r>
      <w:r w:rsidRPr="00B75B77">
        <w:rPr>
          <w:szCs w:val="20"/>
        </w:rPr>
        <w:t xml:space="preserve"> MW. The program-level relative precision was 17</w:t>
      </w:r>
      <w:r w:rsidR="000A7067" w:rsidRPr="00B75B77">
        <w:rPr>
          <w:szCs w:val="20"/>
        </w:rPr>
        <w:t>%</w:t>
      </w:r>
      <w:r w:rsidRPr="00B75B77">
        <w:rPr>
          <w:szCs w:val="20"/>
        </w:rPr>
        <w:t xml:space="preserve"> at </w:t>
      </w:r>
      <w:r w:rsidR="000A7067" w:rsidRPr="00B75B77">
        <w:rPr>
          <w:szCs w:val="20"/>
        </w:rPr>
        <w:t>an</w:t>
      </w:r>
      <w:r w:rsidRPr="00B75B77">
        <w:rPr>
          <w:szCs w:val="20"/>
        </w:rPr>
        <w:t xml:space="preserve"> 85</w:t>
      </w:r>
      <w:r w:rsidR="000A7067" w:rsidRPr="00B75B77">
        <w:rPr>
          <w:szCs w:val="20"/>
        </w:rPr>
        <w:t>%</w:t>
      </w:r>
      <w:r w:rsidRPr="00B75B77">
        <w:rPr>
          <w:szCs w:val="20"/>
        </w:rPr>
        <w:t xml:space="preserve"> confidence interval. </w:t>
      </w:r>
      <w:r w:rsidR="000A7067" w:rsidRPr="00B75B77">
        <w:rPr>
          <w:szCs w:val="20"/>
        </w:rPr>
        <w:t>T</w:t>
      </w:r>
      <w:r w:rsidRPr="00B75B77">
        <w:rPr>
          <w:szCs w:val="20"/>
        </w:rPr>
        <w:t xml:space="preserve">he large stratum achieved a realization rate of 1.07, the medium stratum a realization rate 1.34, and the small stratum a realization rate of 0.90. </w:t>
      </w:r>
      <w:r w:rsidRPr="00B75B77">
        <w:t xml:space="preserve">The summary of the demand evaluation results </w:t>
      </w:r>
      <w:r w:rsidR="000A7067" w:rsidRPr="00B75B77">
        <w:t xml:space="preserve">is </w:t>
      </w:r>
      <w:r w:rsidRPr="00B75B77">
        <w:t xml:space="preserve">presented in </w:t>
      </w:r>
      <w:r w:rsidRPr="00B75B77">
        <w:fldChar w:fldCharType="begin"/>
      </w:r>
      <w:r w:rsidRPr="00B75B77">
        <w:instrText xml:space="preserve"> REF _Ref462839703 \h </w:instrText>
      </w:r>
      <w:r w:rsidR="000A7067" w:rsidRPr="00B75B77">
        <w:instrText xml:space="preserve"> \* MERGEFORMAT </w:instrText>
      </w:r>
      <w:r w:rsidRPr="00B75B77">
        <w:fldChar w:fldCharType="separate"/>
      </w:r>
      <w:r w:rsidR="0004016D" w:rsidRPr="00B75B77">
        <w:t xml:space="preserve">Table </w:t>
      </w:r>
      <w:r w:rsidR="0004016D">
        <w:rPr>
          <w:noProof/>
        </w:rPr>
        <w:t>11</w:t>
      </w:r>
      <w:r w:rsidR="0004016D" w:rsidRPr="00B75B77">
        <w:rPr>
          <w:noProof/>
        </w:rPr>
        <w:noBreakHyphen/>
      </w:r>
      <w:r w:rsidR="0004016D">
        <w:rPr>
          <w:noProof/>
        </w:rPr>
        <w:t>4</w:t>
      </w:r>
      <w:r w:rsidRPr="00B75B77">
        <w:fldChar w:fldCharType="end"/>
      </w:r>
      <w:r w:rsidRPr="00B75B77">
        <w:t>.</w:t>
      </w:r>
    </w:p>
    <w:p w:rsidR="008872A9" w:rsidRPr="00B75B77" w:rsidRDefault="008872A9" w:rsidP="00286B52"/>
    <w:p w:rsidR="008872A9" w:rsidRPr="00B75B77" w:rsidRDefault="008872A9" w:rsidP="0054059D">
      <w:pPr>
        <w:pStyle w:val="Caption"/>
      </w:pPr>
      <w:bookmarkStart w:id="714" w:name="_Ref462839703"/>
      <w:bookmarkStart w:id="715" w:name="_Toc466413591"/>
      <w:r w:rsidRPr="00B75B77">
        <w:lastRenderedPageBreak/>
        <w:t xml:space="preserve">Table </w:t>
      </w:r>
      <w:fldSimple w:instr=" STYLEREF 1 \s ">
        <w:r w:rsidR="0004016D">
          <w:rPr>
            <w:noProof/>
          </w:rPr>
          <w:t>11</w:t>
        </w:r>
      </w:fldSimple>
      <w:r w:rsidR="00F1144C" w:rsidRPr="00B75B77">
        <w:noBreakHyphen/>
      </w:r>
      <w:fldSimple w:instr=" SEQ Table \* ARABIC \s 1 ">
        <w:r w:rsidR="0004016D">
          <w:rPr>
            <w:noProof/>
          </w:rPr>
          <w:t>4</w:t>
        </w:r>
      </w:fldSimple>
      <w:bookmarkEnd w:id="714"/>
      <w:r w:rsidRPr="00B75B77">
        <w:t>: PY7 Smart Equipment Incentives (C&amp;I) Summary of Evaluation Results for Demand</w:t>
      </w:r>
      <w:bookmarkEnd w:id="715"/>
    </w:p>
    <w:tbl>
      <w:tblPr>
        <w:tblStyle w:val="MediumShading1-Accent5"/>
        <w:tblW w:w="9152" w:type="dxa"/>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800"/>
        <w:gridCol w:w="1502"/>
        <w:gridCol w:w="1142"/>
        <w:gridCol w:w="1828"/>
        <w:gridCol w:w="1710"/>
        <w:gridCol w:w="1170"/>
      </w:tblGrid>
      <w:tr w:rsidR="008872A9" w:rsidRPr="00B75B77" w:rsidTr="007665E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auto"/>
              <w:left w:val="single" w:sz="4" w:space="0" w:color="auto"/>
              <w:bottom w:val="single" w:sz="4" w:space="0" w:color="auto"/>
              <w:right w:val="single" w:sz="4" w:space="0" w:color="auto"/>
            </w:tcBorders>
            <w:shd w:val="clear" w:color="auto" w:fill="448A99"/>
            <w:vAlign w:val="center"/>
            <w:hideMark/>
          </w:tcPr>
          <w:p w:rsidR="008872A9" w:rsidRPr="00B75B77" w:rsidRDefault="008872A9" w:rsidP="0054059D">
            <w:pPr>
              <w:keepNext/>
              <w:jc w:val="left"/>
              <w:rPr>
                <w:rFonts w:ascii="Calibri" w:eastAsia="Times New Roman" w:hAnsi="Calibri"/>
                <w:bCs w:val="0"/>
                <w:sz w:val="18"/>
                <w:szCs w:val="18"/>
              </w:rPr>
            </w:pPr>
            <w:r w:rsidRPr="00B75B77">
              <w:rPr>
                <w:rFonts w:ascii="Calibri" w:eastAsia="Times New Roman" w:hAnsi="Calibri"/>
                <w:bCs w:val="0"/>
                <w:sz w:val="18"/>
                <w:szCs w:val="18"/>
              </w:rPr>
              <w:t>Stratum</w:t>
            </w:r>
          </w:p>
        </w:tc>
        <w:tc>
          <w:tcPr>
            <w:tcW w:w="1502" w:type="dxa"/>
            <w:tcBorders>
              <w:top w:val="single" w:sz="4" w:space="0" w:color="auto"/>
              <w:left w:val="single" w:sz="4" w:space="0" w:color="auto"/>
              <w:bottom w:val="single" w:sz="4" w:space="0" w:color="auto"/>
              <w:right w:val="single" w:sz="4" w:space="0" w:color="auto"/>
            </w:tcBorders>
            <w:shd w:val="clear" w:color="auto" w:fill="448A99"/>
            <w:vAlign w:val="center"/>
            <w:hideMark/>
          </w:tcPr>
          <w:p w:rsidR="008872A9" w:rsidRPr="00B75B77" w:rsidRDefault="008872A9" w:rsidP="0054059D">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Reported Gross Demand Savings (MW)</w:t>
            </w:r>
            <w:r w:rsidRPr="00B75B77">
              <w:rPr>
                <w:rFonts w:eastAsia="Times New Roman"/>
                <w:bCs w:val="0"/>
                <w:sz w:val="18"/>
                <w:szCs w:val="18"/>
                <w:vertAlign w:val="superscript"/>
              </w:rPr>
              <w:t>[1]</w:t>
            </w:r>
          </w:p>
        </w:tc>
        <w:tc>
          <w:tcPr>
            <w:tcW w:w="1142" w:type="dxa"/>
            <w:tcBorders>
              <w:top w:val="single" w:sz="4" w:space="0" w:color="auto"/>
              <w:left w:val="single" w:sz="4" w:space="0" w:color="auto"/>
              <w:bottom w:val="single" w:sz="4" w:space="0" w:color="auto"/>
              <w:right w:val="single" w:sz="4" w:space="0" w:color="auto"/>
            </w:tcBorders>
            <w:shd w:val="clear" w:color="auto" w:fill="448A99"/>
            <w:vAlign w:val="center"/>
            <w:hideMark/>
          </w:tcPr>
          <w:p w:rsidR="008872A9" w:rsidRPr="00B75B77" w:rsidRDefault="008872A9" w:rsidP="0054059D">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Demand Realization Rate (%)</w:t>
            </w:r>
          </w:p>
        </w:tc>
        <w:tc>
          <w:tcPr>
            <w:tcW w:w="1828" w:type="dxa"/>
            <w:tcBorders>
              <w:top w:val="single" w:sz="4" w:space="0" w:color="auto"/>
              <w:left w:val="single" w:sz="4" w:space="0" w:color="auto"/>
              <w:bottom w:val="single" w:sz="4" w:space="0" w:color="auto"/>
              <w:right w:val="single" w:sz="4" w:space="0" w:color="auto"/>
            </w:tcBorders>
            <w:shd w:val="clear" w:color="auto" w:fill="448A99"/>
            <w:vAlign w:val="center"/>
          </w:tcPr>
          <w:p w:rsidR="008872A9" w:rsidRPr="00B75B77" w:rsidRDefault="008872A9" w:rsidP="0054059D">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Verified Gross Demand Savings (MW)</w:t>
            </w:r>
            <w:r w:rsidRPr="00B75B77">
              <w:rPr>
                <w:rFonts w:eastAsia="Times New Roman"/>
                <w:bCs w:val="0"/>
                <w:sz w:val="18"/>
                <w:szCs w:val="18"/>
                <w:vertAlign w:val="superscript"/>
              </w:rPr>
              <w:t>[1]</w:t>
            </w:r>
          </w:p>
        </w:tc>
        <w:tc>
          <w:tcPr>
            <w:tcW w:w="1710" w:type="dxa"/>
            <w:tcBorders>
              <w:top w:val="single" w:sz="4" w:space="0" w:color="auto"/>
              <w:left w:val="single" w:sz="4" w:space="0" w:color="auto"/>
              <w:bottom w:val="single" w:sz="4" w:space="0" w:color="auto"/>
              <w:right w:val="single" w:sz="4" w:space="0" w:color="auto"/>
            </w:tcBorders>
            <w:shd w:val="clear" w:color="auto" w:fill="448A99"/>
            <w:vAlign w:val="center"/>
            <w:hideMark/>
          </w:tcPr>
          <w:p w:rsidR="008872A9" w:rsidRPr="00B75B77" w:rsidRDefault="008872A9" w:rsidP="0054059D">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color w:val="FFFFFF"/>
                <w:sz w:val="18"/>
                <w:szCs w:val="18"/>
              </w:rPr>
              <w:t>Observed CV</w:t>
            </w:r>
            <w:r w:rsidRPr="00B75B77">
              <w:rPr>
                <w:rFonts w:ascii="Calibri" w:eastAsia="Times New Roman" w:hAnsi="Calibri"/>
                <w:bCs w:val="0"/>
                <w:sz w:val="18"/>
                <w:szCs w:val="18"/>
              </w:rPr>
              <w:t xml:space="preserve"> or Proportion in Sample Design</w:t>
            </w:r>
          </w:p>
        </w:tc>
        <w:tc>
          <w:tcPr>
            <w:tcW w:w="1170" w:type="dxa"/>
            <w:tcBorders>
              <w:top w:val="single" w:sz="4" w:space="0" w:color="auto"/>
              <w:left w:val="single" w:sz="4" w:space="0" w:color="auto"/>
              <w:bottom w:val="single" w:sz="4" w:space="0" w:color="auto"/>
              <w:right w:val="single" w:sz="4" w:space="0" w:color="auto"/>
            </w:tcBorders>
            <w:shd w:val="clear" w:color="auto" w:fill="448A99"/>
            <w:vAlign w:val="center"/>
            <w:hideMark/>
          </w:tcPr>
          <w:p w:rsidR="008872A9" w:rsidRPr="00B75B77" w:rsidRDefault="008872A9" w:rsidP="0054059D">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Relative Precision at 85% C</w:t>
            </w:r>
            <w:r w:rsidR="0054059D" w:rsidRPr="00B75B77">
              <w:rPr>
                <w:rFonts w:ascii="Calibri" w:eastAsia="Times New Roman" w:hAnsi="Calibri"/>
                <w:bCs w:val="0"/>
                <w:sz w:val="18"/>
                <w:szCs w:val="18"/>
              </w:rPr>
              <w:t>onfidence Interval</w:t>
            </w:r>
          </w:p>
        </w:tc>
      </w:tr>
      <w:tr w:rsidR="008872A9" w:rsidRPr="00B75B77" w:rsidTr="007665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auto"/>
              <w:left w:val="single" w:sz="4" w:space="0" w:color="448A99"/>
              <w:bottom w:val="single" w:sz="4" w:space="0" w:color="448A99"/>
              <w:right w:val="single" w:sz="4" w:space="0" w:color="448A99"/>
            </w:tcBorders>
            <w:vAlign w:val="center"/>
            <w:hideMark/>
          </w:tcPr>
          <w:p w:rsidR="008872A9" w:rsidRPr="00B75B77" w:rsidRDefault="008872A9" w:rsidP="0054059D">
            <w:pPr>
              <w:keepNext/>
              <w:jc w:val="left"/>
              <w:rPr>
                <w:rFonts w:ascii="Calibri" w:eastAsia="Times New Roman" w:hAnsi="Calibri"/>
                <w:b w:val="0"/>
                <w:color w:val="000000"/>
                <w:sz w:val="18"/>
                <w:szCs w:val="18"/>
              </w:rPr>
            </w:pPr>
            <w:r w:rsidRPr="00B75B77">
              <w:rPr>
                <w:b w:val="0"/>
                <w:sz w:val="18"/>
              </w:rPr>
              <w:t>C&amp;I - Large</w:t>
            </w:r>
          </w:p>
        </w:tc>
        <w:tc>
          <w:tcPr>
            <w:tcW w:w="1502" w:type="dxa"/>
            <w:tcBorders>
              <w:top w:val="single" w:sz="4" w:space="0" w:color="auto"/>
              <w:left w:val="single" w:sz="4" w:space="0" w:color="448A99"/>
              <w:bottom w:val="single" w:sz="4" w:space="0" w:color="448A99"/>
              <w:right w:val="single" w:sz="4" w:space="0" w:color="448A99"/>
            </w:tcBorders>
            <w:vAlign w:val="center"/>
            <w:hideMark/>
          </w:tcPr>
          <w:p w:rsidR="008872A9" w:rsidRPr="00B75B77" w:rsidRDefault="008872A9" w:rsidP="0054059D">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sz w:val="18"/>
              </w:rPr>
              <w:t>4.1</w:t>
            </w:r>
          </w:p>
        </w:tc>
        <w:tc>
          <w:tcPr>
            <w:tcW w:w="1142" w:type="dxa"/>
            <w:tcBorders>
              <w:top w:val="single" w:sz="4" w:space="0" w:color="auto"/>
              <w:left w:val="single" w:sz="4" w:space="0" w:color="448A99"/>
              <w:bottom w:val="single" w:sz="4" w:space="0" w:color="448A99"/>
              <w:right w:val="single" w:sz="4" w:space="0" w:color="448A99"/>
            </w:tcBorders>
            <w:vAlign w:val="center"/>
            <w:hideMark/>
          </w:tcPr>
          <w:p w:rsidR="008872A9" w:rsidRPr="00B75B77" w:rsidRDefault="008872A9" w:rsidP="0054059D">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sz w:val="18"/>
              </w:rPr>
              <w:t>1.07</w:t>
            </w:r>
          </w:p>
        </w:tc>
        <w:tc>
          <w:tcPr>
            <w:tcW w:w="1828" w:type="dxa"/>
            <w:tcBorders>
              <w:top w:val="single" w:sz="4" w:space="0" w:color="auto"/>
              <w:left w:val="single" w:sz="4" w:space="0" w:color="448A99"/>
              <w:bottom w:val="single" w:sz="4" w:space="0" w:color="448A99"/>
              <w:right w:val="single" w:sz="4" w:space="0" w:color="448A99"/>
            </w:tcBorders>
            <w:vAlign w:val="center"/>
          </w:tcPr>
          <w:p w:rsidR="008872A9" w:rsidRPr="00B75B77" w:rsidRDefault="008872A9" w:rsidP="0054059D">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sz w:val="18"/>
              </w:rPr>
              <w:t>4.4</w:t>
            </w:r>
          </w:p>
        </w:tc>
        <w:tc>
          <w:tcPr>
            <w:tcW w:w="1710" w:type="dxa"/>
            <w:tcBorders>
              <w:top w:val="single" w:sz="4" w:space="0" w:color="auto"/>
              <w:left w:val="single" w:sz="4" w:space="0" w:color="448A99"/>
              <w:bottom w:val="single" w:sz="4" w:space="0" w:color="448A99"/>
              <w:right w:val="single" w:sz="4" w:space="0" w:color="448A99"/>
            </w:tcBorders>
            <w:vAlign w:val="center"/>
            <w:hideMark/>
          </w:tcPr>
          <w:p w:rsidR="008872A9" w:rsidRPr="00B75B77" w:rsidRDefault="008872A9" w:rsidP="0054059D">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sz w:val="18"/>
              </w:rPr>
              <w:t>1.18</w:t>
            </w:r>
          </w:p>
        </w:tc>
        <w:tc>
          <w:tcPr>
            <w:tcW w:w="1170" w:type="dxa"/>
            <w:tcBorders>
              <w:top w:val="single" w:sz="4" w:space="0" w:color="auto"/>
              <w:left w:val="single" w:sz="4" w:space="0" w:color="448A99"/>
              <w:bottom w:val="single" w:sz="4" w:space="0" w:color="448A99"/>
              <w:right w:val="single" w:sz="4" w:space="0" w:color="448A99"/>
            </w:tcBorders>
            <w:vAlign w:val="center"/>
            <w:hideMark/>
          </w:tcPr>
          <w:p w:rsidR="008872A9" w:rsidRPr="00B75B77" w:rsidRDefault="008872A9" w:rsidP="0054059D">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sz w:val="18"/>
              </w:rPr>
              <w:t>31%</w:t>
            </w:r>
          </w:p>
        </w:tc>
      </w:tr>
      <w:tr w:rsidR="008872A9" w:rsidRPr="00B75B77" w:rsidTr="007665E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vAlign w:val="center"/>
            <w:hideMark/>
          </w:tcPr>
          <w:p w:rsidR="008872A9" w:rsidRPr="00B75B77" w:rsidRDefault="008872A9" w:rsidP="0054059D">
            <w:pPr>
              <w:keepNext/>
              <w:jc w:val="left"/>
              <w:rPr>
                <w:rFonts w:ascii="Calibri" w:eastAsia="Times New Roman" w:hAnsi="Calibri"/>
                <w:b w:val="0"/>
                <w:color w:val="000000"/>
                <w:sz w:val="18"/>
                <w:szCs w:val="18"/>
              </w:rPr>
            </w:pPr>
            <w:r w:rsidRPr="00B75B77">
              <w:rPr>
                <w:b w:val="0"/>
                <w:sz w:val="18"/>
              </w:rPr>
              <w:t>C&amp;I - Medium</w:t>
            </w:r>
          </w:p>
        </w:tc>
        <w:tc>
          <w:tcPr>
            <w:tcW w:w="1502" w:type="dxa"/>
            <w:tcBorders>
              <w:top w:val="single" w:sz="4" w:space="0" w:color="448A99"/>
              <w:left w:val="single" w:sz="4" w:space="0" w:color="448A99"/>
              <w:bottom w:val="single" w:sz="4" w:space="0" w:color="448A99"/>
              <w:right w:val="single" w:sz="4" w:space="0" w:color="448A99"/>
            </w:tcBorders>
            <w:vAlign w:val="center"/>
            <w:hideMark/>
          </w:tcPr>
          <w:p w:rsidR="008872A9" w:rsidRPr="00B75B77" w:rsidRDefault="008872A9" w:rsidP="0054059D">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sz w:val="18"/>
              </w:rPr>
              <w:t>5.3</w:t>
            </w:r>
          </w:p>
        </w:tc>
        <w:tc>
          <w:tcPr>
            <w:tcW w:w="1142" w:type="dxa"/>
            <w:tcBorders>
              <w:top w:val="single" w:sz="4" w:space="0" w:color="448A99"/>
              <w:left w:val="single" w:sz="4" w:space="0" w:color="448A99"/>
              <w:bottom w:val="single" w:sz="4" w:space="0" w:color="448A99"/>
              <w:right w:val="single" w:sz="4" w:space="0" w:color="448A99"/>
            </w:tcBorders>
            <w:vAlign w:val="center"/>
            <w:hideMark/>
          </w:tcPr>
          <w:p w:rsidR="008872A9" w:rsidRPr="00B75B77" w:rsidRDefault="008872A9" w:rsidP="0054059D">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sz w:val="18"/>
              </w:rPr>
              <w:t>1.34</w:t>
            </w:r>
          </w:p>
        </w:tc>
        <w:tc>
          <w:tcPr>
            <w:tcW w:w="1828" w:type="dxa"/>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54059D">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sz w:val="18"/>
              </w:rPr>
              <w:t>7.2</w:t>
            </w:r>
          </w:p>
        </w:tc>
        <w:tc>
          <w:tcPr>
            <w:tcW w:w="1710" w:type="dxa"/>
            <w:tcBorders>
              <w:top w:val="single" w:sz="4" w:space="0" w:color="448A99"/>
              <w:left w:val="single" w:sz="4" w:space="0" w:color="448A99"/>
              <w:bottom w:val="single" w:sz="4" w:space="0" w:color="448A99"/>
              <w:right w:val="single" w:sz="4" w:space="0" w:color="448A99"/>
            </w:tcBorders>
            <w:vAlign w:val="center"/>
            <w:hideMark/>
          </w:tcPr>
          <w:p w:rsidR="008872A9" w:rsidRPr="00B75B77" w:rsidRDefault="008872A9" w:rsidP="0054059D">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sz w:val="18"/>
              </w:rPr>
              <w:t>1.56</w:t>
            </w:r>
          </w:p>
        </w:tc>
        <w:tc>
          <w:tcPr>
            <w:tcW w:w="1170" w:type="dxa"/>
            <w:tcBorders>
              <w:top w:val="single" w:sz="4" w:space="0" w:color="448A99"/>
              <w:left w:val="single" w:sz="4" w:space="0" w:color="448A99"/>
              <w:bottom w:val="single" w:sz="4" w:space="0" w:color="448A99"/>
              <w:right w:val="single" w:sz="4" w:space="0" w:color="448A99"/>
            </w:tcBorders>
            <w:vAlign w:val="center"/>
            <w:hideMark/>
          </w:tcPr>
          <w:p w:rsidR="008872A9" w:rsidRPr="00B75B77" w:rsidRDefault="008872A9" w:rsidP="0054059D">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sz w:val="18"/>
              </w:rPr>
              <w:t>33%</w:t>
            </w:r>
          </w:p>
        </w:tc>
      </w:tr>
      <w:tr w:rsidR="008872A9" w:rsidRPr="00B75B77" w:rsidTr="007665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vAlign w:val="center"/>
            <w:hideMark/>
          </w:tcPr>
          <w:p w:rsidR="008872A9" w:rsidRPr="00B75B77" w:rsidRDefault="008872A9" w:rsidP="0054059D">
            <w:pPr>
              <w:keepNext/>
              <w:jc w:val="left"/>
              <w:rPr>
                <w:rFonts w:ascii="Calibri" w:eastAsia="Times New Roman" w:hAnsi="Calibri"/>
                <w:b w:val="0"/>
                <w:color w:val="000000"/>
                <w:sz w:val="18"/>
                <w:szCs w:val="18"/>
              </w:rPr>
            </w:pPr>
            <w:r w:rsidRPr="00B75B77">
              <w:rPr>
                <w:b w:val="0"/>
                <w:sz w:val="18"/>
              </w:rPr>
              <w:t>C&amp;I - Small</w:t>
            </w:r>
          </w:p>
        </w:tc>
        <w:tc>
          <w:tcPr>
            <w:tcW w:w="1502" w:type="dxa"/>
            <w:tcBorders>
              <w:top w:val="single" w:sz="4" w:space="0" w:color="448A99"/>
              <w:left w:val="single" w:sz="4" w:space="0" w:color="448A99"/>
              <w:bottom w:val="single" w:sz="4" w:space="0" w:color="448A99"/>
              <w:right w:val="single" w:sz="4" w:space="0" w:color="448A99"/>
            </w:tcBorders>
            <w:vAlign w:val="center"/>
            <w:hideMark/>
          </w:tcPr>
          <w:p w:rsidR="008872A9" w:rsidRPr="00B75B77" w:rsidRDefault="008872A9" w:rsidP="0054059D">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sz w:val="18"/>
              </w:rPr>
              <w:t>8.9</w:t>
            </w:r>
          </w:p>
        </w:tc>
        <w:tc>
          <w:tcPr>
            <w:tcW w:w="1142" w:type="dxa"/>
            <w:tcBorders>
              <w:top w:val="single" w:sz="4" w:space="0" w:color="448A99"/>
              <w:left w:val="single" w:sz="4" w:space="0" w:color="448A99"/>
              <w:bottom w:val="single" w:sz="4" w:space="0" w:color="448A99"/>
              <w:right w:val="single" w:sz="4" w:space="0" w:color="448A99"/>
            </w:tcBorders>
            <w:vAlign w:val="center"/>
            <w:hideMark/>
          </w:tcPr>
          <w:p w:rsidR="008872A9" w:rsidRPr="00B75B77" w:rsidRDefault="008872A9" w:rsidP="0054059D">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sz w:val="18"/>
              </w:rPr>
              <w:t>0.90</w:t>
            </w:r>
          </w:p>
        </w:tc>
        <w:tc>
          <w:tcPr>
            <w:tcW w:w="1828" w:type="dxa"/>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54059D">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sz w:val="18"/>
              </w:rPr>
              <w:t>8.0</w:t>
            </w:r>
          </w:p>
        </w:tc>
        <w:tc>
          <w:tcPr>
            <w:tcW w:w="1710" w:type="dxa"/>
            <w:tcBorders>
              <w:top w:val="single" w:sz="4" w:space="0" w:color="448A99"/>
              <w:left w:val="single" w:sz="4" w:space="0" w:color="448A99"/>
              <w:bottom w:val="single" w:sz="4" w:space="0" w:color="448A99"/>
              <w:right w:val="single" w:sz="4" w:space="0" w:color="448A99"/>
            </w:tcBorders>
            <w:vAlign w:val="center"/>
            <w:hideMark/>
          </w:tcPr>
          <w:p w:rsidR="008872A9" w:rsidRPr="00B75B77" w:rsidRDefault="008872A9" w:rsidP="0054059D">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sz w:val="18"/>
              </w:rPr>
              <w:t>1.02</w:t>
            </w:r>
          </w:p>
        </w:tc>
        <w:tc>
          <w:tcPr>
            <w:tcW w:w="1170" w:type="dxa"/>
            <w:tcBorders>
              <w:top w:val="single" w:sz="4" w:space="0" w:color="448A99"/>
              <w:left w:val="single" w:sz="4" w:space="0" w:color="448A99"/>
              <w:bottom w:val="single" w:sz="4" w:space="0" w:color="448A99"/>
              <w:right w:val="single" w:sz="4" w:space="0" w:color="448A99"/>
            </w:tcBorders>
            <w:vAlign w:val="center"/>
            <w:hideMark/>
          </w:tcPr>
          <w:p w:rsidR="008872A9" w:rsidRPr="00B75B77" w:rsidRDefault="008872A9" w:rsidP="0054059D">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sz w:val="18"/>
              </w:rPr>
              <w:t>26%</w:t>
            </w:r>
          </w:p>
        </w:tc>
      </w:tr>
      <w:tr w:rsidR="008872A9" w:rsidRPr="00B75B77" w:rsidTr="007665E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vAlign w:val="center"/>
            <w:hideMark/>
          </w:tcPr>
          <w:p w:rsidR="008872A9" w:rsidRPr="00B75B77" w:rsidRDefault="008872A9" w:rsidP="0054059D">
            <w:pPr>
              <w:keepNext/>
              <w:jc w:val="left"/>
              <w:rPr>
                <w:rFonts w:ascii="Calibri" w:eastAsia="Times New Roman" w:hAnsi="Calibri"/>
                <w:bCs w:val="0"/>
                <w:caps/>
                <w:color w:val="000000"/>
                <w:sz w:val="18"/>
                <w:szCs w:val="18"/>
              </w:rPr>
            </w:pPr>
            <w:r w:rsidRPr="00B75B77">
              <w:rPr>
                <w:rFonts w:ascii="Calibri" w:eastAsia="Times New Roman" w:hAnsi="Calibri"/>
                <w:bCs w:val="0"/>
                <w:caps/>
                <w:color w:val="000000"/>
                <w:sz w:val="18"/>
                <w:szCs w:val="18"/>
              </w:rPr>
              <w:t>Program Total</w:t>
            </w:r>
          </w:p>
        </w:tc>
        <w:tc>
          <w:tcPr>
            <w:tcW w:w="1502" w:type="dxa"/>
            <w:tcBorders>
              <w:top w:val="single" w:sz="4" w:space="0" w:color="448A99"/>
              <w:left w:val="single" w:sz="4" w:space="0" w:color="448A99"/>
              <w:bottom w:val="single" w:sz="4" w:space="0" w:color="448A99"/>
              <w:right w:val="single" w:sz="4" w:space="0" w:color="448A99"/>
            </w:tcBorders>
            <w:vAlign w:val="center"/>
            <w:hideMark/>
          </w:tcPr>
          <w:p w:rsidR="008872A9" w:rsidRPr="00B75B77" w:rsidRDefault="008872A9" w:rsidP="0054059D">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color w:val="000000"/>
                <w:sz w:val="18"/>
                <w:szCs w:val="18"/>
              </w:rPr>
            </w:pPr>
            <w:r w:rsidRPr="00B75B77">
              <w:rPr>
                <w:rFonts w:ascii="Calibri" w:eastAsia="Times New Roman" w:hAnsi="Calibri"/>
                <w:b/>
                <w:color w:val="000000"/>
                <w:sz w:val="18"/>
                <w:szCs w:val="18"/>
              </w:rPr>
              <w:t>18.4</w:t>
            </w:r>
          </w:p>
        </w:tc>
        <w:tc>
          <w:tcPr>
            <w:tcW w:w="1142" w:type="dxa"/>
            <w:tcBorders>
              <w:top w:val="single" w:sz="4" w:space="0" w:color="448A99"/>
              <w:left w:val="single" w:sz="4" w:space="0" w:color="448A99"/>
              <w:bottom w:val="single" w:sz="4" w:space="0" w:color="448A99"/>
              <w:right w:val="single" w:sz="4" w:space="0" w:color="448A99"/>
            </w:tcBorders>
            <w:vAlign w:val="center"/>
            <w:hideMark/>
          </w:tcPr>
          <w:p w:rsidR="008872A9" w:rsidRPr="00B75B77" w:rsidRDefault="008872A9" w:rsidP="0054059D">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color w:val="000000"/>
                <w:sz w:val="18"/>
                <w:szCs w:val="18"/>
              </w:rPr>
            </w:pPr>
            <w:r w:rsidRPr="00B75B77">
              <w:rPr>
                <w:rFonts w:ascii="Calibri" w:eastAsia="Times New Roman" w:hAnsi="Calibri"/>
                <w:b/>
                <w:color w:val="000000"/>
                <w:sz w:val="18"/>
                <w:szCs w:val="18"/>
              </w:rPr>
              <w:t>1.07</w:t>
            </w:r>
          </w:p>
        </w:tc>
        <w:tc>
          <w:tcPr>
            <w:tcW w:w="1828" w:type="dxa"/>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54059D">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color w:val="000000"/>
                <w:sz w:val="18"/>
                <w:szCs w:val="18"/>
              </w:rPr>
            </w:pPr>
            <w:r w:rsidRPr="00B75B77">
              <w:rPr>
                <w:rFonts w:ascii="Calibri" w:eastAsia="Times New Roman" w:hAnsi="Calibri"/>
                <w:b/>
                <w:color w:val="000000"/>
                <w:sz w:val="18"/>
                <w:szCs w:val="18"/>
              </w:rPr>
              <w:t>19.6</w:t>
            </w:r>
          </w:p>
        </w:tc>
        <w:tc>
          <w:tcPr>
            <w:tcW w:w="1710" w:type="dxa"/>
            <w:tcBorders>
              <w:top w:val="single" w:sz="4" w:space="0" w:color="448A99"/>
              <w:left w:val="single" w:sz="4" w:space="0" w:color="448A99"/>
              <w:bottom w:val="single" w:sz="4" w:space="0" w:color="448A99"/>
              <w:right w:val="single" w:sz="4" w:space="0" w:color="448A99"/>
            </w:tcBorders>
            <w:vAlign w:val="center"/>
            <w:hideMark/>
          </w:tcPr>
          <w:p w:rsidR="008872A9" w:rsidRPr="00B75B77" w:rsidRDefault="008872A9" w:rsidP="0054059D">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color w:val="000000"/>
                <w:sz w:val="18"/>
                <w:szCs w:val="18"/>
              </w:rPr>
            </w:pPr>
            <w:r w:rsidRPr="00B75B77">
              <w:rPr>
                <w:rFonts w:ascii="Calibri" w:eastAsia="Times New Roman" w:hAnsi="Calibri"/>
                <w:b/>
                <w:color w:val="000000"/>
                <w:sz w:val="18"/>
                <w:szCs w:val="18"/>
              </w:rPr>
              <w:t>N/A</w:t>
            </w:r>
          </w:p>
        </w:tc>
        <w:tc>
          <w:tcPr>
            <w:tcW w:w="1170" w:type="dxa"/>
            <w:tcBorders>
              <w:top w:val="single" w:sz="4" w:space="0" w:color="448A99"/>
              <w:left w:val="single" w:sz="4" w:space="0" w:color="448A99"/>
              <w:bottom w:val="single" w:sz="4" w:space="0" w:color="448A99"/>
              <w:right w:val="single" w:sz="4" w:space="0" w:color="448A99"/>
            </w:tcBorders>
            <w:vAlign w:val="center"/>
            <w:hideMark/>
          </w:tcPr>
          <w:p w:rsidR="008872A9" w:rsidRPr="00B75B77" w:rsidRDefault="008872A9" w:rsidP="0054059D">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color w:val="000000"/>
                <w:sz w:val="18"/>
                <w:szCs w:val="18"/>
              </w:rPr>
            </w:pPr>
            <w:r w:rsidRPr="00B75B77">
              <w:rPr>
                <w:rFonts w:ascii="Calibri" w:eastAsia="Times New Roman" w:hAnsi="Calibri"/>
                <w:b/>
                <w:color w:val="000000"/>
                <w:sz w:val="18"/>
                <w:szCs w:val="18"/>
              </w:rPr>
              <w:t>17%</w:t>
            </w:r>
          </w:p>
        </w:tc>
      </w:tr>
    </w:tbl>
    <w:p w:rsidR="008872A9" w:rsidRPr="00B75B77" w:rsidRDefault="008872A9" w:rsidP="0054059D">
      <w:pPr>
        <w:pStyle w:val="Source"/>
        <w:keepNext/>
        <w:spacing w:before="20" w:after="20"/>
        <w:ind w:left="86" w:firstLine="0"/>
        <w:rPr>
          <w:rFonts w:ascii="Calibri" w:hAnsi="Calibri"/>
          <w:i w:val="0"/>
          <w:color w:val="000000"/>
          <w:szCs w:val="18"/>
        </w:rPr>
      </w:pPr>
      <w:r w:rsidRPr="00B75B77">
        <w:rPr>
          <w:rFonts w:ascii="Calibri" w:hAnsi="Calibri"/>
          <w:i w:val="0"/>
          <w:color w:val="000000"/>
          <w:szCs w:val="18"/>
          <w:vertAlign w:val="superscript"/>
        </w:rPr>
        <w:t>[1]</w:t>
      </w:r>
      <w:r w:rsidRPr="00B75B77">
        <w:rPr>
          <w:rFonts w:ascii="Calibri" w:hAnsi="Calibri"/>
          <w:i w:val="0"/>
          <w:color w:val="000000"/>
          <w:szCs w:val="18"/>
        </w:rPr>
        <w:t xml:space="preserve"> All reported and verified demand savings in this report include line losses as required.</w:t>
      </w:r>
    </w:p>
    <w:p w:rsidR="008872A9" w:rsidRPr="00B75B77" w:rsidRDefault="008872A9" w:rsidP="0054059D">
      <w:pPr>
        <w:pStyle w:val="Source"/>
        <w:keepNext/>
        <w:spacing w:before="20" w:after="20"/>
        <w:ind w:left="86" w:firstLine="0"/>
        <w:rPr>
          <w:i w:val="0"/>
        </w:rPr>
      </w:pPr>
      <w:r w:rsidRPr="00B75B77">
        <w:rPr>
          <w:rFonts w:ascii="Calibri" w:hAnsi="Calibri"/>
          <w:i w:val="0"/>
          <w:color w:val="000000"/>
          <w:szCs w:val="18"/>
        </w:rPr>
        <w:t xml:space="preserve">Note: </w:t>
      </w:r>
      <w:r w:rsidRPr="00B75B77">
        <w:rPr>
          <w:rFonts w:ascii="Calibri" w:hAnsi="Calibri"/>
          <w:i w:val="0"/>
          <w:iCs/>
          <w:color w:val="000000"/>
          <w:szCs w:val="18"/>
        </w:rPr>
        <w:t xml:space="preserve">Values in tables may not reconcile exactly </w:t>
      </w:r>
      <w:r w:rsidR="00493C06" w:rsidRPr="00B75B77">
        <w:rPr>
          <w:rFonts w:ascii="Calibri" w:hAnsi="Calibri"/>
          <w:i w:val="0"/>
          <w:iCs/>
          <w:color w:val="000000"/>
          <w:szCs w:val="18"/>
        </w:rPr>
        <w:t>with the sum of</w:t>
      </w:r>
      <w:r w:rsidRPr="00B75B77">
        <w:rPr>
          <w:rFonts w:ascii="Calibri" w:hAnsi="Calibri"/>
          <w:i w:val="0"/>
          <w:iCs/>
          <w:color w:val="000000"/>
          <w:szCs w:val="18"/>
        </w:rPr>
        <w:t xml:space="preserve"> more detailed level results or previously reported results due to rounding.</w:t>
      </w:r>
    </w:p>
    <w:p w:rsidR="008872A9" w:rsidRPr="00B75B77" w:rsidRDefault="008872A9" w:rsidP="0054059D">
      <w:pPr>
        <w:pStyle w:val="Source"/>
        <w:keepNext/>
        <w:ind w:hanging="630"/>
      </w:pPr>
      <w:r w:rsidRPr="00B75B77">
        <w:t>Source: Navigant analysis</w:t>
      </w:r>
    </w:p>
    <w:p w:rsidR="008872A9" w:rsidRPr="00B75B77" w:rsidRDefault="008872A9" w:rsidP="00707B64">
      <w:r w:rsidRPr="00B75B77">
        <w:t xml:space="preserve">Through Navigant’s gross evaluation, Navigant found one project that had major discrepancies after an onsite inspection. This discrepancy was the result of a customer installing a </w:t>
      </w:r>
      <w:r w:rsidR="000A7067" w:rsidRPr="00B75B77">
        <w:t>variable frequency drive (</w:t>
      </w:r>
      <w:r w:rsidRPr="00B75B77">
        <w:t>VFD</w:t>
      </w:r>
      <w:r w:rsidR="000A7067" w:rsidRPr="00B75B77">
        <w:t>)</w:t>
      </w:r>
      <w:r w:rsidRPr="00B75B77">
        <w:t xml:space="preserve"> on a motor and operated the motor at a higher horsepower (HP) than the baseline case. Although the new motor is more efficient than the previous two-speed motor, </w:t>
      </w:r>
      <w:r w:rsidR="000A7067" w:rsidRPr="00B75B77">
        <w:t xml:space="preserve">it is </w:t>
      </w:r>
      <w:r w:rsidRPr="00B75B77">
        <w:t>run at a significantly higher HP due to having a VFD attached. This project received zero savings. Outside of this major discrepancy, Navigant found differences between the ex</w:t>
      </w:r>
      <w:r w:rsidR="000A7067" w:rsidRPr="00B75B77">
        <w:t xml:space="preserve"> </w:t>
      </w:r>
      <w:r w:rsidRPr="00B75B77">
        <w:t>ante and ex post savings estimates that were the result of utilizing updated utility metered data</w:t>
      </w:r>
      <w:r w:rsidR="00C44F88" w:rsidRPr="00B75B77">
        <w:t xml:space="preserve"> and</w:t>
      </w:r>
      <w:r w:rsidRPr="00B75B77">
        <w:t xml:space="preserve"> trend data and finding differences in fixture quantities and fixture </w:t>
      </w:r>
      <w:r w:rsidR="00FA45FF" w:rsidRPr="00B75B77">
        <w:t>HOU</w:t>
      </w:r>
      <w:r w:rsidRPr="00B75B77">
        <w:t xml:space="preserve"> and </w:t>
      </w:r>
      <w:r w:rsidR="00FA45FF" w:rsidRPr="00B75B77">
        <w:t>CFs</w:t>
      </w:r>
      <w:r w:rsidRPr="00B75B77">
        <w:t xml:space="preserve">. </w:t>
      </w:r>
      <w:r w:rsidR="00F81128" w:rsidRPr="00B75B77">
        <w:fldChar w:fldCharType="begin"/>
      </w:r>
      <w:r w:rsidR="00F81128" w:rsidRPr="00B75B77">
        <w:instrText xml:space="preserve"> REF _Ref462840823 \h  \* MERGEFORMAT </w:instrText>
      </w:r>
      <w:r w:rsidR="00F81128" w:rsidRPr="00B75B77">
        <w:fldChar w:fldCharType="separate"/>
      </w:r>
      <w:r w:rsidR="0004016D" w:rsidRPr="00B75B77">
        <w:t xml:space="preserve">Table </w:t>
      </w:r>
      <w:r w:rsidR="0004016D">
        <w:rPr>
          <w:noProof/>
        </w:rPr>
        <w:t>11</w:t>
      </w:r>
      <w:r w:rsidR="0004016D" w:rsidRPr="00B75B77">
        <w:rPr>
          <w:noProof/>
        </w:rPr>
        <w:noBreakHyphen/>
      </w:r>
      <w:r w:rsidR="0004016D">
        <w:rPr>
          <w:noProof/>
        </w:rPr>
        <w:t>5</w:t>
      </w:r>
      <w:r w:rsidR="00F81128" w:rsidRPr="00B75B77">
        <w:fldChar w:fldCharType="end"/>
      </w:r>
      <w:r w:rsidR="00F81128" w:rsidRPr="00B75B77">
        <w:t xml:space="preserve"> </w:t>
      </w:r>
      <w:r w:rsidRPr="00B75B77">
        <w:t xml:space="preserve">indicates the total number of discrepancies across the </w:t>
      </w:r>
      <w:r w:rsidR="00493C06" w:rsidRPr="00B75B77">
        <w:t>onsite</w:t>
      </w:r>
      <w:r w:rsidRPr="00B75B77">
        <w:t xml:space="preserve"> inspections. </w:t>
      </w:r>
    </w:p>
    <w:p w:rsidR="008872A9" w:rsidRPr="00B75B77" w:rsidRDefault="008872A9" w:rsidP="00707B64"/>
    <w:p w:rsidR="008872A9" w:rsidRPr="00B75B77" w:rsidRDefault="008872A9" w:rsidP="00707B64">
      <w:pPr>
        <w:pStyle w:val="Caption"/>
      </w:pPr>
      <w:bookmarkStart w:id="716" w:name="_Ref462840823"/>
      <w:bookmarkStart w:id="717" w:name="_Ref462840820"/>
      <w:bookmarkStart w:id="718" w:name="_Toc466413592"/>
      <w:r w:rsidRPr="00B75B77">
        <w:t xml:space="preserve">Table </w:t>
      </w:r>
      <w:fldSimple w:instr=" STYLEREF 1 \s ">
        <w:r w:rsidR="0004016D">
          <w:rPr>
            <w:noProof/>
          </w:rPr>
          <w:t>11</w:t>
        </w:r>
      </w:fldSimple>
      <w:r w:rsidR="00F1144C" w:rsidRPr="00B75B77">
        <w:noBreakHyphen/>
      </w:r>
      <w:fldSimple w:instr=" SEQ Table \* ARABIC \s 1 ">
        <w:r w:rsidR="0004016D">
          <w:rPr>
            <w:noProof/>
          </w:rPr>
          <w:t>5</w:t>
        </w:r>
      </w:fldSimple>
      <w:bookmarkEnd w:id="716"/>
      <w:r w:rsidR="00D56E1C" w:rsidRPr="00B75B77">
        <w:t>:</w:t>
      </w:r>
      <w:r w:rsidRPr="00B75B77">
        <w:t xml:space="preserve"> PY7 Smart Equipment Incentives (C&amp;I) On</w:t>
      </w:r>
      <w:r w:rsidR="00AF5657" w:rsidRPr="00B75B77">
        <w:t>s</w:t>
      </w:r>
      <w:r w:rsidRPr="00B75B77">
        <w:t>ite Inspections Summary</w:t>
      </w:r>
      <w:bookmarkEnd w:id="717"/>
      <w:bookmarkEnd w:id="718"/>
      <w:r w:rsidRPr="00B75B77">
        <w:t xml:space="preserve"> </w:t>
      </w:r>
    </w:p>
    <w:tbl>
      <w:tblPr>
        <w:tblStyle w:val="PECOTeal"/>
        <w:tblW w:w="0" w:type="auto"/>
        <w:tblLook w:val="04A0" w:firstRow="1" w:lastRow="0" w:firstColumn="1" w:lastColumn="0" w:noHBand="0" w:noVBand="1"/>
      </w:tblPr>
      <w:tblGrid>
        <w:gridCol w:w="1700"/>
        <w:gridCol w:w="1710"/>
        <w:gridCol w:w="1260"/>
        <w:gridCol w:w="1183"/>
        <w:gridCol w:w="2134"/>
        <w:gridCol w:w="1589"/>
      </w:tblGrid>
      <w:tr w:rsidR="008872A9" w:rsidRPr="00B75B77" w:rsidTr="007665E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2A9" w:rsidRPr="00B75B77" w:rsidRDefault="008872A9" w:rsidP="00707B64">
            <w:pPr>
              <w:rPr>
                <w:rFonts w:ascii="Calibri" w:hAnsi="Calibri"/>
                <w:bCs w:val="0"/>
                <w:color w:val="FFFFFF"/>
                <w:szCs w:val="18"/>
              </w:rPr>
            </w:pPr>
            <w:r w:rsidRPr="00B75B77">
              <w:rPr>
                <w:rFonts w:ascii="Calibri" w:hAnsi="Calibri"/>
                <w:bCs w:val="0"/>
                <w:color w:val="FFFFFF"/>
                <w:szCs w:val="18"/>
              </w:rPr>
              <w:t>Measure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2A9" w:rsidRPr="00B75B77" w:rsidRDefault="008872A9" w:rsidP="00707B64">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FFFFFF"/>
                <w:szCs w:val="18"/>
              </w:rPr>
            </w:pPr>
            <w:r w:rsidRPr="00B75B77">
              <w:rPr>
                <w:rFonts w:ascii="Calibri" w:hAnsi="Calibri"/>
                <w:bCs w:val="0"/>
                <w:color w:val="FFFFFF"/>
                <w:szCs w:val="18"/>
              </w:rPr>
              <w:t>Inspection Firm</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2A9" w:rsidRPr="00B75B77" w:rsidRDefault="008872A9" w:rsidP="00707B64">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FFFFFF"/>
                <w:szCs w:val="18"/>
              </w:rPr>
            </w:pPr>
            <w:r w:rsidRPr="00B75B77">
              <w:rPr>
                <w:rFonts w:ascii="Calibri" w:hAnsi="Calibri"/>
                <w:bCs w:val="0"/>
                <w:color w:val="FFFFFF"/>
                <w:szCs w:val="18"/>
              </w:rPr>
              <w:t>Number of Inspections Planned</w:t>
            </w: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2A9" w:rsidRPr="00B75B77" w:rsidRDefault="008872A9" w:rsidP="00707B64">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FFFFFF"/>
                <w:szCs w:val="18"/>
              </w:rPr>
            </w:pPr>
            <w:r w:rsidRPr="00B75B77">
              <w:rPr>
                <w:rFonts w:ascii="Calibri" w:hAnsi="Calibri"/>
                <w:bCs w:val="0"/>
                <w:color w:val="FFFFFF"/>
                <w:szCs w:val="18"/>
              </w:rPr>
              <w:t>Number of Inspections Conducted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2A9" w:rsidRPr="00B75B77" w:rsidRDefault="008872A9" w:rsidP="00707B64">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FFFFFF"/>
                <w:szCs w:val="18"/>
              </w:rPr>
            </w:pPr>
            <w:r w:rsidRPr="00B75B77">
              <w:rPr>
                <w:rFonts w:ascii="Calibri" w:hAnsi="Calibri"/>
                <w:bCs w:val="0"/>
                <w:color w:val="FFFFFF"/>
                <w:szCs w:val="18"/>
              </w:rPr>
              <w:t>Number of Sites with Discrepancies from Reports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2A9" w:rsidRPr="00B75B77" w:rsidRDefault="008872A9" w:rsidP="00707B64">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FFFFFF"/>
                <w:szCs w:val="18"/>
              </w:rPr>
            </w:pPr>
            <w:r w:rsidRPr="00B75B77">
              <w:rPr>
                <w:rFonts w:ascii="Calibri" w:hAnsi="Calibri"/>
                <w:bCs w:val="0"/>
                <w:color w:val="FFFFFF"/>
                <w:szCs w:val="18"/>
              </w:rPr>
              <w:t>Resolution of Discrepancies</w:t>
            </w:r>
          </w:p>
        </w:tc>
      </w:tr>
      <w:tr w:rsidR="008872A9" w:rsidRPr="00B75B77" w:rsidTr="007665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0" w:type="dxa"/>
            <w:tcBorders>
              <w:top w:val="single" w:sz="4" w:space="0" w:color="000000" w:themeColor="text1"/>
            </w:tcBorders>
            <w:hideMark/>
          </w:tcPr>
          <w:p w:rsidR="008872A9" w:rsidRPr="00B75B77" w:rsidRDefault="008872A9" w:rsidP="00707B64">
            <w:pPr>
              <w:rPr>
                <w:rFonts w:ascii="Calibri" w:hAnsi="Calibri"/>
                <w:b w:val="0"/>
                <w:color w:val="000000"/>
                <w:szCs w:val="18"/>
              </w:rPr>
            </w:pPr>
            <w:r w:rsidRPr="00B75B77">
              <w:rPr>
                <w:rFonts w:ascii="Calibri" w:hAnsi="Calibri"/>
                <w:b w:val="0"/>
                <w:color w:val="000000"/>
                <w:szCs w:val="18"/>
              </w:rPr>
              <w:t>Lighting</w:t>
            </w:r>
          </w:p>
        </w:tc>
        <w:tc>
          <w:tcPr>
            <w:tcW w:w="1710" w:type="dxa"/>
            <w:tcBorders>
              <w:top w:val="single" w:sz="4" w:space="0" w:color="000000" w:themeColor="text1"/>
            </w:tcBorders>
            <w:hideMark/>
          </w:tcPr>
          <w:p w:rsidR="008872A9" w:rsidRPr="00B75B77" w:rsidRDefault="008872A9" w:rsidP="00707B6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Navigant/</w:t>
            </w:r>
            <w:proofErr w:type="spellStart"/>
            <w:r w:rsidRPr="00B75B77">
              <w:rPr>
                <w:rFonts w:ascii="Calibri" w:hAnsi="Calibri"/>
                <w:color w:val="000000"/>
                <w:szCs w:val="18"/>
              </w:rPr>
              <w:t>Mondre</w:t>
            </w:r>
            <w:proofErr w:type="spellEnd"/>
          </w:p>
        </w:tc>
        <w:tc>
          <w:tcPr>
            <w:tcW w:w="1260" w:type="dxa"/>
            <w:tcBorders>
              <w:top w:val="single" w:sz="4" w:space="0" w:color="000000" w:themeColor="text1"/>
            </w:tcBorders>
            <w:hideMark/>
          </w:tcPr>
          <w:p w:rsidR="008872A9" w:rsidRPr="00B75B77" w:rsidRDefault="008872A9" w:rsidP="00707B6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19</w:t>
            </w:r>
          </w:p>
        </w:tc>
        <w:tc>
          <w:tcPr>
            <w:tcW w:w="1183" w:type="dxa"/>
            <w:tcBorders>
              <w:top w:val="single" w:sz="4" w:space="0" w:color="000000" w:themeColor="text1"/>
            </w:tcBorders>
            <w:hideMark/>
          </w:tcPr>
          <w:p w:rsidR="008872A9" w:rsidRPr="00B75B77" w:rsidRDefault="008872A9" w:rsidP="00707B6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18</w:t>
            </w:r>
          </w:p>
        </w:tc>
        <w:tc>
          <w:tcPr>
            <w:tcW w:w="0" w:type="auto"/>
            <w:tcBorders>
              <w:top w:val="single" w:sz="4" w:space="0" w:color="000000" w:themeColor="text1"/>
            </w:tcBorders>
          </w:tcPr>
          <w:p w:rsidR="008872A9" w:rsidRPr="00B75B77" w:rsidRDefault="008872A9" w:rsidP="00707B6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0</w:t>
            </w:r>
          </w:p>
        </w:tc>
        <w:tc>
          <w:tcPr>
            <w:tcW w:w="0" w:type="auto"/>
            <w:tcBorders>
              <w:top w:val="single" w:sz="4" w:space="0" w:color="000000" w:themeColor="text1"/>
            </w:tcBorders>
            <w:hideMark/>
          </w:tcPr>
          <w:p w:rsidR="008872A9" w:rsidRPr="00B75B77" w:rsidRDefault="008872A9" w:rsidP="00707B6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N/A</w:t>
            </w:r>
          </w:p>
        </w:tc>
      </w:tr>
      <w:tr w:rsidR="008872A9" w:rsidRPr="00B75B77" w:rsidTr="00F8112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0" w:type="dxa"/>
          </w:tcPr>
          <w:p w:rsidR="008872A9" w:rsidRPr="00B75B77" w:rsidRDefault="008872A9" w:rsidP="00707B64">
            <w:pPr>
              <w:rPr>
                <w:rFonts w:ascii="Calibri" w:hAnsi="Calibri"/>
                <w:b w:val="0"/>
                <w:color w:val="000000"/>
                <w:szCs w:val="18"/>
              </w:rPr>
            </w:pPr>
            <w:r w:rsidRPr="00B75B77">
              <w:rPr>
                <w:rFonts w:ascii="Calibri" w:hAnsi="Calibri"/>
                <w:b w:val="0"/>
                <w:color w:val="000000"/>
                <w:szCs w:val="18"/>
              </w:rPr>
              <w:t>HVAC</w:t>
            </w:r>
          </w:p>
        </w:tc>
        <w:tc>
          <w:tcPr>
            <w:tcW w:w="1710" w:type="dxa"/>
          </w:tcPr>
          <w:p w:rsidR="008872A9" w:rsidRPr="00B75B77" w:rsidRDefault="008872A9" w:rsidP="00707B64">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Cs w:val="18"/>
              </w:rPr>
            </w:pPr>
            <w:r w:rsidRPr="00B75B77">
              <w:rPr>
                <w:rFonts w:ascii="Calibri" w:hAnsi="Calibri"/>
                <w:color w:val="000000"/>
                <w:szCs w:val="18"/>
              </w:rPr>
              <w:t>Navigant/</w:t>
            </w:r>
            <w:proofErr w:type="spellStart"/>
            <w:r w:rsidRPr="00B75B77">
              <w:rPr>
                <w:rFonts w:ascii="Calibri" w:hAnsi="Calibri"/>
                <w:color w:val="000000"/>
                <w:szCs w:val="18"/>
              </w:rPr>
              <w:t>Mondre</w:t>
            </w:r>
            <w:proofErr w:type="spellEnd"/>
          </w:p>
        </w:tc>
        <w:tc>
          <w:tcPr>
            <w:tcW w:w="1260" w:type="dxa"/>
          </w:tcPr>
          <w:p w:rsidR="008872A9" w:rsidRPr="00B75B77" w:rsidRDefault="008872A9" w:rsidP="00707B64">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Cs w:val="18"/>
              </w:rPr>
            </w:pPr>
            <w:r w:rsidRPr="00B75B77">
              <w:rPr>
                <w:rFonts w:ascii="Calibri" w:hAnsi="Calibri"/>
                <w:color w:val="000000"/>
                <w:szCs w:val="18"/>
              </w:rPr>
              <w:t>14</w:t>
            </w:r>
          </w:p>
        </w:tc>
        <w:tc>
          <w:tcPr>
            <w:tcW w:w="1183" w:type="dxa"/>
          </w:tcPr>
          <w:p w:rsidR="008872A9" w:rsidRPr="00B75B77" w:rsidRDefault="008872A9" w:rsidP="00707B64">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Cs w:val="18"/>
              </w:rPr>
            </w:pPr>
            <w:r w:rsidRPr="00B75B77">
              <w:rPr>
                <w:rFonts w:ascii="Calibri" w:hAnsi="Calibri"/>
                <w:color w:val="000000"/>
                <w:szCs w:val="18"/>
              </w:rPr>
              <w:t>14</w:t>
            </w:r>
          </w:p>
        </w:tc>
        <w:tc>
          <w:tcPr>
            <w:tcW w:w="0" w:type="auto"/>
          </w:tcPr>
          <w:p w:rsidR="008872A9" w:rsidRPr="00B75B77" w:rsidRDefault="008872A9" w:rsidP="00707B64">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Cs w:val="18"/>
              </w:rPr>
            </w:pPr>
            <w:r w:rsidRPr="00B75B77">
              <w:rPr>
                <w:rFonts w:ascii="Calibri" w:hAnsi="Calibri"/>
                <w:color w:val="000000"/>
                <w:szCs w:val="18"/>
              </w:rPr>
              <w:t>0</w:t>
            </w:r>
          </w:p>
        </w:tc>
        <w:tc>
          <w:tcPr>
            <w:tcW w:w="0" w:type="auto"/>
          </w:tcPr>
          <w:p w:rsidR="008872A9" w:rsidRPr="00B75B77" w:rsidRDefault="008872A9" w:rsidP="00707B64">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Cs w:val="18"/>
              </w:rPr>
            </w:pPr>
            <w:r w:rsidRPr="00B75B77">
              <w:rPr>
                <w:rFonts w:ascii="Calibri" w:hAnsi="Calibri"/>
                <w:color w:val="000000"/>
                <w:szCs w:val="18"/>
              </w:rPr>
              <w:t>N/A</w:t>
            </w:r>
          </w:p>
        </w:tc>
      </w:tr>
      <w:tr w:rsidR="008872A9" w:rsidRPr="00B75B77" w:rsidTr="00F811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0" w:type="dxa"/>
          </w:tcPr>
          <w:p w:rsidR="008872A9" w:rsidRPr="00B75B77" w:rsidRDefault="008872A9" w:rsidP="00707B64">
            <w:pPr>
              <w:jc w:val="left"/>
              <w:rPr>
                <w:rFonts w:ascii="Calibri" w:hAnsi="Calibri"/>
                <w:b w:val="0"/>
                <w:color w:val="000000"/>
                <w:szCs w:val="18"/>
              </w:rPr>
            </w:pPr>
            <w:r w:rsidRPr="00B75B77">
              <w:rPr>
                <w:rFonts w:ascii="Calibri" w:hAnsi="Calibri"/>
                <w:b w:val="0"/>
                <w:color w:val="000000"/>
                <w:szCs w:val="18"/>
              </w:rPr>
              <w:t>Motors and Drives</w:t>
            </w:r>
          </w:p>
        </w:tc>
        <w:tc>
          <w:tcPr>
            <w:tcW w:w="1710" w:type="dxa"/>
          </w:tcPr>
          <w:p w:rsidR="008872A9" w:rsidRPr="00B75B77" w:rsidRDefault="008872A9" w:rsidP="00707B6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Navigant/</w:t>
            </w:r>
            <w:proofErr w:type="spellStart"/>
            <w:r w:rsidRPr="00B75B77">
              <w:rPr>
                <w:rFonts w:ascii="Calibri" w:hAnsi="Calibri"/>
                <w:color w:val="000000"/>
                <w:szCs w:val="18"/>
              </w:rPr>
              <w:t>Mondre</w:t>
            </w:r>
            <w:proofErr w:type="spellEnd"/>
          </w:p>
        </w:tc>
        <w:tc>
          <w:tcPr>
            <w:tcW w:w="1260" w:type="dxa"/>
          </w:tcPr>
          <w:p w:rsidR="008872A9" w:rsidRPr="00B75B77" w:rsidRDefault="008872A9" w:rsidP="00707B6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9</w:t>
            </w:r>
          </w:p>
        </w:tc>
        <w:tc>
          <w:tcPr>
            <w:tcW w:w="1183" w:type="dxa"/>
          </w:tcPr>
          <w:p w:rsidR="008872A9" w:rsidRPr="00B75B77" w:rsidRDefault="008872A9" w:rsidP="00707B6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8</w:t>
            </w:r>
          </w:p>
        </w:tc>
        <w:tc>
          <w:tcPr>
            <w:tcW w:w="0" w:type="auto"/>
          </w:tcPr>
          <w:p w:rsidR="008872A9" w:rsidRPr="00B75B77" w:rsidRDefault="008872A9" w:rsidP="00707B6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1</w:t>
            </w:r>
          </w:p>
        </w:tc>
        <w:tc>
          <w:tcPr>
            <w:tcW w:w="0" w:type="auto"/>
          </w:tcPr>
          <w:p w:rsidR="008872A9" w:rsidRPr="00B75B77" w:rsidRDefault="008872A9" w:rsidP="00707B6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N/A</w:t>
            </w:r>
          </w:p>
        </w:tc>
      </w:tr>
      <w:tr w:rsidR="008872A9" w:rsidRPr="00B75B77" w:rsidTr="00F8112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0" w:type="dxa"/>
          </w:tcPr>
          <w:p w:rsidR="008872A9" w:rsidRPr="00B75B77" w:rsidRDefault="008872A9" w:rsidP="00707B64">
            <w:pPr>
              <w:jc w:val="left"/>
              <w:rPr>
                <w:rFonts w:ascii="Calibri" w:hAnsi="Calibri"/>
                <w:b w:val="0"/>
                <w:color w:val="000000"/>
                <w:szCs w:val="18"/>
              </w:rPr>
            </w:pPr>
            <w:r w:rsidRPr="00B75B77">
              <w:rPr>
                <w:rFonts w:ascii="Calibri" w:hAnsi="Calibri"/>
                <w:b w:val="0"/>
                <w:color w:val="000000"/>
                <w:szCs w:val="18"/>
              </w:rPr>
              <w:t>Custom</w:t>
            </w:r>
          </w:p>
        </w:tc>
        <w:tc>
          <w:tcPr>
            <w:tcW w:w="1710" w:type="dxa"/>
          </w:tcPr>
          <w:p w:rsidR="008872A9" w:rsidRPr="00B75B77" w:rsidRDefault="008872A9" w:rsidP="00707B64">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Cs w:val="18"/>
              </w:rPr>
            </w:pPr>
            <w:r w:rsidRPr="00B75B77">
              <w:rPr>
                <w:rFonts w:ascii="Calibri" w:hAnsi="Calibri"/>
                <w:color w:val="000000"/>
                <w:szCs w:val="18"/>
              </w:rPr>
              <w:t>Navigant/</w:t>
            </w:r>
            <w:proofErr w:type="spellStart"/>
            <w:r w:rsidRPr="00B75B77">
              <w:rPr>
                <w:rFonts w:ascii="Calibri" w:hAnsi="Calibri"/>
                <w:color w:val="000000"/>
                <w:szCs w:val="18"/>
              </w:rPr>
              <w:t>Mondre</w:t>
            </w:r>
            <w:proofErr w:type="spellEnd"/>
          </w:p>
        </w:tc>
        <w:tc>
          <w:tcPr>
            <w:tcW w:w="1260" w:type="dxa"/>
          </w:tcPr>
          <w:p w:rsidR="008872A9" w:rsidRPr="00B75B77" w:rsidRDefault="008872A9" w:rsidP="00707B64">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Cs w:val="18"/>
              </w:rPr>
            </w:pPr>
            <w:r w:rsidRPr="00B75B77">
              <w:rPr>
                <w:rFonts w:ascii="Calibri" w:hAnsi="Calibri"/>
                <w:color w:val="000000"/>
                <w:szCs w:val="18"/>
              </w:rPr>
              <w:t>5</w:t>
            </w:r>
          </w:p>
        </w:tc>
        <w:tc>
          <w:tcPr>
            <w:tcW w:w="1183" w:type="dxa"/>
          </w:tcPr>
          <w:p w:rsidR="008872A9" w:rsidRPr="00B75B77" w:rsidRDefault="008872A9" w:rsidP="00707B64">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Cs w:val="18"/>
              </w:rPr>
            </w:pPr>
            <w:r w:rsidRPr="00B75B77">
              <w:rPr>
                <w:rFonts w:ascii="Calibri" w:hAnsi="Calibri"/>
                <w:color w:val="000000"/>
                <w:szCs w:val="18"/>
              </w:rPr>
              <w:t>5</w:t>
            </w:r>
          </w:p>
        </w:tc>
        <w:tc>
          <w:tcPr>
            <w:tcW w:w="0" w:type="auto"/>
          </w:tcPr>
          <w:p w:rsidR="008872A9" w:rsidRPr="00B75B77" w:rsidRDefault="008872A9" w:rsidP="00707B64">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Cs w:val="18"/>
              </w:rPr>
            </w:pPr>
            <w:r w:rsidRPr="00B75B77">
              <w:rPr>
                <w:rFonts w:ascii="Calibri" w:hAnsi="Calibri"/>
                <w:color w:val="000000"/>
                <w:szCs w:val="18"/>
              </w:rPr>
              <w:t>0</w:t>
            </w:r>
          </w:p>
        </w:tc>
        <w:tc>
          <w:tcPr>
            <w:tcW w:w="0" w:type="auto"/>
          </w:tcPr>
          <w:p w:rsidR="008872A9" w:rsidRPr="00B75B77" w:rsidRDefault="008872A9" w:rsidP="00707B64">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Cs w:val="18"/>
              </w:rPr>
            </w:pPr>
            <w:r w:rsidRPr="00B75B77">
              <w:rPr>
                <w:rFonts w:ascii="Calibri" w:hAnsi="Calibri"/>
                <w:color w:val="000000"/>
                <w:szCs w:val="18"/>
              </w:rPr>
              <w:t>N/A</w:t>
            </w:r>
          </w:p>
        </w:tc>
      </w:tr>
      <w:tr w:rsidR="008872A9" w:rsidRPr="00B75B77" w:rsidTr="00F811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0" w:type="dxa"/>
          </w:tcPr>
          <w:p w:rsidR="008872A9" w:rsidRPr="00B75B77" w:rsidRDefault="008872A9" w:rsidP="00707B64">
            <w:pPr>
              <w:jc w:val="left"/>
              <w:rPr>
                <w:rFonts w:ascii="Calibri" w:hAnsi="Calibri"/>
                <w:b w:val="0"/>
                <w:color w:val="000000"/>
                <w:szCs w:val="18"/>
              </w:rPr>
            </w:pPr>
            <w:r w:rsidRPr="00B75B77">
              <w:rPr>
                <w:rFonts w:ascii="Calibri" w:hAnsi="Calibri"/>
                <w:b w:val="0"/>
                <w:color w:val="000000"/>
                <w:szCs w:val="18"/>
              </w:rPr>
              <w:t>Refrigeration</w:t>
            </w:r>
          </w:p>
        </w:tc>
        <w:tc>
          <w:tcPr>
            <w:tcW w:w="1710" w:type="dxa"/>
          </w:tcPr>
          <w:p w:rsidR="008872A9" w:rsidRPr="00B75B77" w:rsidRDefault="008872A9" w:rsidP="00707B6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Navigant/</w:t>
            </w:r>
            <w:proofErr w:type="spellStart"/>
            <w:r w:rsidRPr="00B75B77">
              <w:rPr>
                <w:rFonts w:ascii="Calibri" w:hAnsi="Calibri"/>
                <w:color w:val="000000"/>
                <w:szCs w:val="18"/>
              </w:rPr>
              <w:t>Mondre</w:t>
            </w:r>
            <w:proofErr w:type="spellEnd"/>
          </w:p>
        </w:tc>
        <w:tc>
          <w:tcPr>
            <w:tcW w:w="1260" w:type="dxa"/>
          </w:tcPr>
          <w:p w:rsidR="008872A9" w:rsidRPr="00B75B77" w:rsidRDefault="008872A9" w:rsidP="00707B6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2</w:t>
            </w:r>
          </w:p>
        </w:tc>
        <w:tc>
          <w:tcPr>
            <w:tcW w:w="1183" w:type="dxa"/>
          </w:tcPr>
          <w:p w:rsidR="008872A9" w:rsidRPr="00B75B77" w:rsidRDefault="008872A9" w:rsidP="00707B6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2</w:t>
            </w:r>
          </w:p>
        </w:tc>
        <w:tc>
          <w:tcPr>
            <w:tcW w:w="0" w:type="auto"/>
          </w:tcPr>
          <w:p w:rsidR="008872A9" w:rsidRPr="00B75B77" w:rsidRDefault="008872A9" w:rsidP="00707B6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0</w:t>
            </w:r>
          </w:p>
        </w:tc>
        <w:tc>
          <w:tcPr>
            <w:tcW w:w="0" w:type="auto"/>
          </w:tcPr>
          <w:p w:rsidR="008872A9" w:rsidRPr="00B75B77" w:rsidRDefault="008872A9" w:rsidP="00707B6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N/A</w:t>
            </w:r>
          </w:p>
        </w:tc>
      </w:tr>
      <w:tr w:rsidR="008872A9" w:rsidRPr="00B75B77" w:rsidTr="00F8112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0" w:type="dxa"/>
          </w:tcPr>
          <w:p w:rsidR="008872A9" w:rsidRPr="00B75B77" w:rsidRDefault="007665E5" w:rsidP="00707B64">
            <w:pPr>
              <w:rPr>
                <w:rFonts w:ascii="Calibri" w:hAnsi="Calibri"/>
                <w:color w:val="000000"/>
                <w:szCs w:val="18"/>
              </w:rPr>
            </w:pPr>
            <w:r w:rsidRPr="00B75B77">
              <w:rPr>
                <w:rFonts w:ascii="Calibri" w:hAnsi="Calibri"/>
                <w:color w:val="000000"/>
                <w:szCs w:val="18"/>
              </w:rPr>
              <w:t>TOTAL</w:t>
            </w:r>
          </w:p>
        </w:tc>
        <w:tc>
          <w:tcPr>
            <w:tcW w:w="1710" w:type="dxa"/>
          </w:tcPr>
          <w:p w:rsidR="008872A9" w:rsidRPr="00B75B77" w:rsidRDefault="008872A9" w:rsidP="00707B64">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zCs w:val="18"/>
              </w:rPr>
            </w:pPr>
          </w:p>
        </w:tc>
        <w:tc>
          <w:tcPr>
            <w:tcW w:w="1260" w:type="dxa"/>
          </w:tcPr>
          <w:p w:rsidR="008872A9" w:rsidRPr="00B75B77" w:rsidRDefault="008872A9" w:rsidP="00707B64">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zCs w:val="18"/>
              </w:rPr>
            </w:pPr>
            <w:r w:rsidRPr="00B75B77">
              <w:rPr>
                <w:rFonts w:ascii="Calibri" w:hAnsi="Calibri"/>
                <w:b/>
                <w:color w:val="000000"/>
                <w:szCs w:val="18"/>
              </w:rPr>
              <w:t>49</w:t>
            </w:r>
          </w:p>
        </w:tc>
        <w:tc>
          <w:tcPr>
            <w:tcW w:w="1183" w:type="dxa"/>
          </w:tcPr>
          <w:p w:rsidR="008872A9" w:rsidRPr="00B75B77" w:rsidRDefault="008872A9" w:rsidP="00707B64">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zCs w:val="18"/>
              </w:rPr>
            </w:pPr>
            <w:r w:rsidRPr="00B75B77">
              <w:rPr>
                <w:rFonts w:ascii="Calibri" w:hAnsi="Calibri"/>
                <w:b/>
                <w:color w:val="000000"/>
                <w:szCs w:val="18"/>
              </w:rPr>
              <w:t>48</w:t>
            </w:r>
          </w:p>
        </w:tc>
        <w:tc>
          <w:tcPr>
            <w:tcW w:w="0" w:type="auto"/>
          </w:tcPr>
          <w:p w:rsidR="008872A9" w:rsidRPr="00B75B77" w:rsidRDefault="008872A9" w:rsidP="00707B64">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zCs w:val="18"/>
              </w:rPr>
            </w:pPr>
            <w:r w:rsidRPr="00B75B77">
              <w:rPr>
                <w:rFonts w:ascii="Calibri" w:hAnsi="Calibri"/>
                <w:b/>
                <w:color w:val="000000"/>
                <w:szCs w:val="18"/>
              </w:rPr>
              <w:t>1</w:t>
            </w:r>
          </w:p>
        </w:tc>
        <w:tc>
          <w:tcPr>
            <w:tcW w:w="0" w:type="auto"/>
          </w:tcPr>
          <w:p w:rsidR="008872A9" w:rsidRPr="00B75B77" w:rsidRDefault="008872A9" w:rsidP="00707B64">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zCs w:val="18"/>
              </w:rPr>
            </w:pPr>
            <w:r w:rsidRPr="00B75B77">
              <w:rPr>
                <w:rFonts w:ascii="Calibri" w:hAnsi="Calibri"/>
                <w:b/>
                <w:color w:val="000000"/>
                <w:szCs w:val="18"/>
              </w:rPr>
              <w:t>N/A</w:t>
            </w:r>
          </w:p>
        </w:tc>
      </w:tr>
    </w:tbl>
    <w:p w:rsidR="008872A9" w:rsidRPr="00B75B77" w:rsidRDefault="008872A9" w:rsidP="0054059D">
      <w:pPr>
        <w:pStyle w:val="Source"/>
        <w:ind w:hanging="630"/>
      </w:pPr>
      <w:r w:rsidRPr="00B75B77">
        <w:t>Source: Navigant analysis</w:t>
      </w:r>
    </w:p>
    <w:p w:rsidR="008872A9" w:rsidRPr="00B75B77" w:rsidRDefault="008872A9" w:rsidP="003E6A9B">
      <w:pPr>
        <w:pStyle w:val="Heading2"/>
      </w:pPr>
      <w:bookmarkStart w:id="719" w:name="_Toc464230461"/>
      <w:bookmarkStart w:id="720" w:name="_Toc466413401"/>
      <w:bookmarkEnd w:id="719"/>
      <w:r w:rsidRPr="00B75B77">
        <w:t>Impact Evaluation Net Savings</w:t>
      </w:r>
      <w:bookmarkEnd w:id="720"/>
      <w:r w:rsidRPr="00B75B77">
        <w:t xml:space="preserve"> </w:t>
      </w:r>
    </w:p>
    <w:p w:rsidR="008872A9" w:rsidRPr="00B75B77" w:rsidRDefault="008872A9" w:rsidP="00707B64">
      <w:pPr>
        <w:keepNext/>
      </w:pPr>
      <w:r w:rsidRPr="00B75B77">
        <w:t xml:space="preserve">After Navigant calculated gross program impacts, the team derived net program impacts by estimating a NTG ratio to quantify the percentage of the gross program impacts that can reliably be attributed to the program. </w:t>
      </w:r>
    </w:p>
    <w:p w:rsidR="008872A9" w:rsidRPr="00B75B77" w:rsidRDefault="008872A9" w:rsidP="00707B64"/>
    <w:p w:rsidR="008872A9" w:rsidRPr="00B75B77" w:rsidRDefault="008872A9" w:rsidP="00F81128">
      <w:pPr>
        <w:pStyle w:val="Heading3"/>
        <w:keepNext/>
        <w:keepLines/>
      </w:pPr>
      <w:bookmarkStart w:id="721" w:name="_Toc466413402"/>
      <w:r w:rsidRPr="00B75B77">
        <w:lastRenderedPageBreak/>
        <w:t>Net Verified Savings Methodology</w:t>
      </w:r>
      <w:bookmarkEnd w:id="721"/>
      <w:r w:rsidRPr="00B75B77">
        <w:t xml:space="preserve"> </w:t>
      </w:r>
    </w:p>
    <w:p w:rsidR="008872A9" w:rsidRPr="00B75B77" w:rsidRDefault="008872A9" w:rsidP="00F81128">
      <w:pPr>
        <w:keepNext/>
        <w:keepLines/>
      </w:pPr>
      <w:r w:rsidRPr="00B75B77">
        <w:t xml:space="preserve">The evaluation team evaluated NTG for PY7. The final program NTG value was calculated using a weighting system that weighted customer NTG responses based on the total kWh savings contributed to the SEI program during the program year. </w:t>
      </w:r>
      <w:r w:rsidR="00D56E1C" w:rsidRPr="00B75B77">
        <w:fldChar w:fldCharType="begin"/>
      </w:r>
      <w:r w:rsidR="00D56E1C" w:rsidRPr="00B75B77">
        <w:instrText xml:space="preserve"> REF _Ref464222904 \h </w:instrText>
      </w:r>
      <w:r w:rsidR="00B75B77">
        <w:instrText xml:space="preserve"> \* MERGEFORMAT </w:instrText>
      </w:r>
      <w:r w:rsidR="00D56E1C" w:rsidRPr="00B75B77">
        <w:fldChar w:fldCharType="separate"/>
      </w:r>
      <w:r w:rsidR="0004016D" w:rsidRPr="00B75B77">
        <w:t xml:space="preserve">Table </w:t>
      </w:r>
      <w:r w:rsidR="0004016D">
        <w:rPr>
          <w:noProof/>
        </w:rPr>
        <w:t>11</w:t>
      </w:r>
      <w:r w:rsidR="0004016D" w:rsidRPr="00B75B77">
        <w:rPr>
          <w:noProof/>
        </w:rPr>
        <w:noBreakHyphen/>
      </w:r>
      <w:r w:rsidR="0004016D">
        <w:rPr>
          <w:noProof/>
        </w:rPr>
        <w:t>6</w:t>
      </w:r>
      <w:r w:rsidR="00D56E1C" w:rsidRPr="00B75B77">
        <w:fldChar w:fldCharType="end"/>
      </w:r>
      <w:r w:rsidRPr="00B75B77">
        <w:t xml:space="preserve"> shows the sample design for the PY7 NTG research and illustrates the need to weight the resulting NTG values due to oversampling the small strata and </w:t>
      </w:r>
      <w:proofErr w:type="spellStart"/>
      <w:r w:rsidRPr="00B75B77">
        <w:t>undersampling</w:t>
      </w:r>
      <w:proofErr w:type="spellEnd"/>
      <w:r w:rsidRPr="00B75B77">
        <w:t xml:space="preserve"> large and medium strata.</w:t>
      </w:r>
    </w:p>
    <w:p w:rsidR="008872A9" w:rsidRPr="00B75B77" w:rsidRDefault="008872A9" w:rsidP="00F81128">
      <w:pPr>
        <w:keepNext/>
        <w:keepLines/>
      </w:pPr>
    </w:p>
    <w:p w:rsidR="008872A9" w:rsidRPr="00B75B77" w:rsidRDefault="008872A9" w:rsidP="00F81128">
      <w:pPr>
        <w:pStyle w:val="Caption"/>
        <w:keepLines/>
      </w:pPr>
      <w:bookmarkStart w:id="722" w:name="_Ref464222904"/>
      <w:bookmarkStart w:id="723" w:name="_Toc466413593"/>
      <w:r w:rsidRPr="00B75B77">
        <w:t xml:space="preserve">Table </w:t>
      </w:r>
      <w:fldSimple w:instr=" STYLEREF 1 \s ">
        <w:r w:rsidR="0004016D">
          <w:rPr>
            <w:noProof/>
          </w:rPr>
          <w:t>11</w:t>
        </w:r>
      </w:fldSimple>
      <w:r w:rsidR="00F1144C" w:rsidRPr="00B75B77">
        <w:noBreakHyphen/>
      </w:r>
      <w:fldSimple w:instr=" SEQ Table \* ARABIC \s 1 ">
        <w:r w:rsidR="0004016D">
          <w:rPr>
            <w:noProof/>
          </w:rPr>
          <w:t>6</w:t>
        </w:r>
      </w:fldSimple>
      <w:bookmarkEnd w:id="722"/>
      <w:r w:rsidRPr="00B75B77">
        <w:t>: Smart Equipment Incentives (C&amp;I) Sampling Strategy for PY7 NTG Research</w:t>
      </w:r>
      <w:bookmarkEnd w:id="723"/>
    </w:p>
    <w:tbl>
      <w:tblPr>
        <w:tblStyle w:val="MediumShading1-Accent5"/>
        <w:tblW w:w="9360" w:type="dxa"/>
        <w:tblInd w:w="-1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706"/>
        <w:gridCol w:w="1084"/>
        <w:gridCol w:w="1080"/>
        <w:gridCol w:w="1080"/>
        <w:gridCol w:w="1080"/>
        <w:gridCol w:w="1080"/>
        <w:gridCol w:w="990"/>
        <w:gridCol w:w="1260"/>
      </w:tblGrid>
      <w:tr w:rsidR="008872A9" w:rsidRPr="00B75B77" w:rsidTr="00F8112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6" w:type="dxa"/>
            <w:tcBorders>
              <w:top w:val="single" w:sz="4" w:space="0" w:color="auto"/>
              <w:left w:val="single" w:sz="4" w:space="0" w:color="auto"/>
              <w:bottom w:val="single" w:sz="4" w:space="0" w:color="auto"/>
              <w:right w:val="single" w:sz="6" w:space="0" w:color="auto"/>
            </w:tcBorders>
            <w:shd w:val="clear" w:color="auto" w:fill="448A99"/>
            <w:vAlign w:val="center"/>
            <w:hideMark/>
          </w:tcPr>
          <w:p w:rsidR="008872A9" w:rsidRPr="00B75B77" w:rsidRDefault="008872A9" w:rsidP="00F81128">
            <w:pPr>
              <w:keepNext/>
              <w:keepLines/>
              <w:jc w:val="left"/>
              <w:rPr>
                <w:rFonts w:ascii="Calibri" w:eastAsia="Times New Roman" w:hAnsi="Calibri"/>
                <w:bCs w:val="0"/>
                <w:sz w:val="18"/>
                <w:szCs w:val="18"/>
              </w:rPr>
            </w:pPr>
            <w:r w:rsidRPr="00B75B77">
              <w:rPr>
                <w:rFonts w:ascii="Calibri" w:eastAsia="Times New Roman" w:hAnsi="Calibri"/>
                <w:bCs w:val="0"/>
                <w:sz w:val="18"/>
                <w:szCs w:val="18"/>
              </w:rPr>
              <w:t>Stratum</w:t>
            </w:r>
          </w:p>
        </w:tc>
        <w:tc>
          <w:tcPr>
            <w:tcW w:w="1084" w:type="dxa"/>
            <w:tcBorders>
              <w:top w:val="single" w:sz="4" w:space="0" w:color="auto"/>
              <w:left w:val="single" w:sz="6" w:space="0" w:color="auto"/>
              <w:bottom w:val="single" w:sz="4" w:space="0" w:color="auto"/>
              <w:right w:val="single" w:sz="6" w:space="0" w:color="auto"/>
            </w:tcBorders>
            <w:shd w:val="clear" w:color="auto" w:fill="448A99"/>
            <w:vAlign w:val="center"/>
            <w:hideMark/>
          </w:tcPr>
          <w:p w:rsidR="008872A9" w:rsidRPr="00B75B77" w:rsidRDefault="008872A9" w:rsidP="00F81128">
            <w:pPr>
              <w:keepNext/>
              <w:keepLines/>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Stratum Boundaries</w:t>
            </w:r>
          </w:p>
        </w:tc>
        <w:tc>
          <w:tcPr>
            <w:tcW w:w="1080" w:type="dxa"/>
            <w:tcBorders>
              <w:top w:val="single" w:sz="4" w:space="0" w:color="auto"/>
              <w:left w:val="single" w:sz="6" w:space="0" w:color="auto"/>
              <w:bottom w:val="single" w:sz="4" w:space="0" w:color="auto"/>
              <w:right w:val="single" w:sz="6" w:space="0" w:color="auto"/>
            </w:tcBorders>
            <w:shd w:val="clear" w:color="auto" w:fill="448A99"/>
            <w:vAlign w:val="center"/>
            <w:hideMark/>
          </w:tcPr>
          <w:p w:rsidR="008872A9" w:rsidRPr="00B75B77" w:rsidRDefault="008872A9" w:rsidP="00F81128">
            <w:pPr>
              <w:keepNext/>
              <w:keepLines/>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Population Size</w:t>
            </w:r>
          </w:p>
        </w:tc>
        <w:tc>
          <w:tcPr>
            <w:tcW w:w="1080" w:type="dxa"/>
            <w:tcBorders>
              <w:top w:val="single" w:sz="4" w:space="0" w:color="auto"/>
              <w:left w:val="single" w:sz="6" w:space="0" w:color="auto"/>
              <w:bottom w:val="single" w:sz="4" w:space="0" w:color="auto"/>
              <w:right w:val="single" w:sz="6" w:space="0" w:color="auto"/>
            </w:tcBorders>
            <w:shd w:val="clear" w:color="auto" w:fill="448A99"/>
            <w:vAlign w:val="center"/>
            <w:hideMark/>
          </w:tcPr>
          <w:p w:rsidR="008872A9" w:rsidRPr="00B75B77" w:rsidRDefault="008872A9" w:rsidP="00F81128">
            <w:pPr>
              <w:keepNext/>
              <w:keepLines/>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Assumed CV or Proportion in Sample Design</w:t>
            </w:r>
          </w:p>
        </w:tc>
        <w:tc>
          <w:tcPr>
            <w:tcW w:w="1080" w:type="dxa"/>
            <w:tcBorders>
              <w:top w:val="single" w:sz="4" w:space="0" w:color="auto"/>
              <w:left w:val="single" w:sz="6" w:space="0" w:color="auto"/>
              <w:bottom w:val="single" w:sz="4" w:space="0" w:color="auto"/>
              <w:right w:val="single" w:sz="6" w:space="0" w:color="auto"/>
            </w:tcBorders>
            <w:shd w:val="clear" w:color="auto" w:fill="448A99"/>
            <w:vAlign w:val="center"/>
            <w:hideMark/>
          </w:tcPr>
          <w:p w:rsidR="008872A9" w:rsidRPr="00B75B77" w:rsidRDefault="008872A9" w:rsidP="00F81128">
            <w:pPr>
              <w:keepNext/>
              <w:keepLines/>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Assumed Levels of Confidence and Precision</w:t>
            </w:r>
          </w:p>
        </w:tc>
        <w:tc>
          <w:tcPr>
            <w:tcW w:w="1080" w:type="dxa"/>
            <w:tcBorders>
              <w:top w:val="single" w:sz="4" w:space="0" w:color="auto"/>
              <w:left w:val="single" w:sz="6" w:space="0" w:color="auto"/>
              <w:bottom w:val="single" w:sz="4" w:space="0" w:color="auto"/>
              <w:right w:val="single" w:sz="6" w:space="0" w:color="auto"/>
            </w:tcBorders>
            <w:shd w:val="clear" w:color="auto" w:fill="448A99"/>
            <w:vAlign w:val="center"/>
            <w:hideMark/>
          </w:tcPr>
          <w:p w:rsidR="008872A9" w:rsidRPr="00B75B77" w:rsidRDefault="008872A9" w:rsidP="00F81128">
            <w:pPr>
              <w:keepNext/>
              <w:keepLines/>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 xml:space="preserve">Target Sample </w:t>
            </w:r>
            <w:r w:rsidR="00F81128" w:rsidRPr="00B75B77">
              <w:rPr>
                <w:rFonts w:ascii="Calibri" w:eastAsia="Times New Roman" w:hAnsi="Calibri"/>
                <w:bCs w:val="0"/>
                <w:sz w:val="18"/>
                <w:szCs w:val="18"/>
              </w:rPr>
              <w:t>Size</w:t>
            </w:r>
          </w:p>
        </w:tc>
        <w:tc>
          <w:tcPr>
            <w:tcW w:w="990" w:type="dxa"/>
            <w:tcBorders>
              <w:top w:val="single" w:sz="4" w:space="0" w:color="auto"/>
              <w:left w:val="single" w:sz="6" w:space="0" w:color="auto"/>
              <w:bottom w:val="single" w:sz="4" w:space="0" w:color="auto"/>
              <w:right w:val="single" w:sz="6" w:space="0" w:color="auto"/>
            </w:tcBorders>
            <w:shd w:val="clear" w:color="auto" w:fill="448A99"/>
            <w:vAlign w:val="center"/>
            <w:hideMark/>
          </w:tcPr>
          <w:p w:rsidR="008872A9" w:rsidRPr="00B75B77" w:rsidRDefault="008872A9" w:rsidP="00F81128">
            <w:pPr>
              <w:keepNext/>
              <w:keepLines/>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Achieved Sample Size</w:t>
            </w:r>
          </w:p>
        </w:tc>
        <w:tc>
          <w:tcPr>
            <w:tcW w:w="1260" w:type="dxa"/>
            <w:tcBorders>
              <w:top w:val="single" w:sz="4" w:space="0" w:color="auto"/>
              <w:left w:val="single" w:sz="6" w:space="0" w:color="auto"/>
              <w:bottom w:val="single" w:sz="4" w:space="0" w:color="auto"/>
              <w:right w:val="single" w:sz="4" w:space="0" w:color="auto"/>
            </w:tcBorders>
            <w:shd w:val="clear" w:color="auto" w:fill="448A99"/>
            <w:vAlign w:val="center"/>
            <w:hideMark/>
          </w:tcPr>
          <w:p w:rsidR="008872A9" w:rsidRPr="00B75B77" w:rsidRDefault="008872A9" w:rsidP="00F81128">
            <w:pPr>
              <w:keepNext/>
              <w:keepLines/>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Percent</w:t>
            </w:r>
            <w:r w:rsidR="0054059D" w:rsidRPr="00B75B77">
              <w:rPr>
                <w:rFonts w:ascii="Calibri" w:eastAsia="Times New Roman" w:hAnsi="Calibri"/>
                <w:bCs w:val="0"/>
                <w:sz w:val="18"/>
                <w:szCs w:val="18"/>
              </w:rPr>
              <w:t>age</w:t>
            </w:r>
            <w:r w:rsidRPr="00B75B77">
              <w:rPr>
                <w:rFonts w:ascii="Calibri" w:eastAsia="Times New Roman" w:hAnsi="Calibri"/>
                <w:bCs w:val="0"/>
                <w:sz w:val="18"/>
                <w:szCs w:val="18"/>
              </w:rPr>
              <w:t xml:space="preserve"> of Sample Frame Contacted</w:t>
            </w:r>
            <w:r w:rsidRPr="00B75B77">
              <w:rPr>
                <w:rFonts w:ascii="Calibri" w:eastAsia="Times New Roman" w:hAnsi="Calibri"/>
                <w:bCs w:val="0"/>
                <w:sz w:val="18"/>
                <w:szCs w:val="18"/>
                <w:vertAlign w:val="superscript"/>
              </w:rPr>
              <w:t>[</w:t>
            </w:r>
            <w:r w:rsidRPr="00B75B77">
              <w:rPr>
                <w:rFonts w:eastAsia="Times New Roman"/>
                <w:bCs w:val="0"/>
                <w:sz w:val="18"/>
                <w:szCs w:val="18"/>
                <w:vertAlign w:val="superscript"/>
              </w:rPr>
              <w:t>1</w:t>
            </w:r>
            <w:r w:rsidRPr="00B75B77">
              <w:rPr>
                <w:rFonts w:ascii="Calibri" w:eastAsia="Times New Roman" w:hAnsi="Calibri"/>
                <w:bCs w:val="0"/>
                <w:sz w:val="18"/>
                <w:szCs w:val="18"/>
                <w:vertAlign w:val="superscript"/>
              </w:rPr>
              <w:t>]</w:t>
            </w:r>
            <w:r w:rsidRPr="00B75B77">
              <w:rPr>
                <w:rFonts w:ascii="Calibri" w:eastAsia="Times New Roman" w:hAnsi="Calibri"/>
                <w:bCs w:val="0"/>
                <w:sz w:val="18"/>
                <w:szCs w:val="18"/>
              </w:rPr>
              <w:t xml:space="preserve"> to Achieve Sample</w:t>
            </w:r>
          </w:p>
        </w:tc>
      </w:tr>
      <w:tr w:rsidR="008872A9" w:rsidRPr="00B75B77" w:rsidTr="00C44F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6" w:type="dxa"/>
            <w:tcBorders>
              <w:top w:val="single" w:sz="4" w:space="0" w:color="auto"/>
              <w:left w:val="single" w:sz="4" w:space="0" w:color="448A99"/>
              <w:bottom w:val="single" w:sz="4" w:space="0" w:color="448A99"/>
              <w:right w:val="single" w:sz="4" w:space="0" w:color="448A99"/>
            </w:tcBorders>
            <w:noWrap/>
            <w:vAlign w:val="center"/>
            <w:hideMark/>
          </w:tcPr>
          <w:p w:rsidR="008872A9" w:rsidRPr="00B75B77" w:rsidRDefault="008872A9" w:rsidP="00F81128">
            <w:pPr>
              <w:keepNext/>
              <w:keepLines/>
              <w:jc w:val="left"/>
              <w:rPr>
                <w:rFonts w:ascii="Calibri" w:eastAsia="Times New Roman" w:hAnsi="Calibri"/>
                <w:b w:val="0"/>
                <w:color w:val="000000"/>
                <w:sz w:val="18"/>
                <w:szCs w:val="18"/>
              </w:rPr>
            </w:pPr>
            <w:r w:rsidRPr="00B75B77">
              <w:rPr>
                <w:b w:val="0"/>
                <w:sz w:val="18"/>
              </w:rPr>
              <w:t>C&amp;I Large</w:t>
            </w:r>
          </w:p>
        </w:tc>
        <w:tc>
          <w:tcPr>
            <w:tcW w:w="1084" w:type="dxa"/>
            <w:tcBorders>
              <w:top w:val="single" w:sz="4" w:space="0" w:color="auto"/>
              <w:left w:val="single" w:sz="4" w:space="0" w:color="448A99"/>
              <w:bottom w:val="single" w:sz="4" w:space="0" w:color="448A99"/>
              <w:right w:val="single" w:sz="4" w:space="0" w:color="448A99"/>
            </w:tcBorders>
            <w:noWrap/>
            <w:vAlign w:val="center"/>
            <w:hideMark/>
          </w:tcPr>
          <w:p w:rsidR="008872A9" w:rsidRPr="00B75B77" w:rsidRDefault="008872A9" w:rsidP="00F81128">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rPr>
            </w:pPr>
            <w:r w:rsidRPr="00B75B77">
              <w:rPr>
                <w:sz w:val="18"/>
              </w:rPr>
              <w:t>&gt;= 330,000 kWh Total Savings</w:t>
            </w:r>
          </w:p>
        </w:tc>
        <w:tc>
          <w:tcPr>
            <w:tcW w:w="1080" w:type="dxa"/>
            <w:tcBorders>
              <w:top w:val="single" w:sz="4" w:space="0" w:color="auto"/>
              <w:left w:val="single" w:sz="4" w:space="0" w:color="448A99"/>
              <w:bottom w:val="single" w:sz="4" w:space="0" w:color="448A99"/>
              <w:right w:val="single" w:sz="4" w:space="0" w:color="448A99"/>
            </w:tcBorders>
            <w:noWrap/>
            <w:vAlign w:val="center"/>
            <w:hideMark/>
          </w:tcPr>
          <w:p w:rsidR="008872A9" w:rsidRPr="00B75B77" w:rsidRDefault="008872A9" w:rsidP="00F81128">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rPr>
            </w:pPr>
            <w:r w:rsidRPr="00B75B77">
              <w:rPr>
                <w:sz w:val="18"/>
              </w:rPr>
              <w:t>64</w:t>
            </w:r>
          </w:p>
        </w:tc>
        <w:tc>
          <w:tcPr>
            <w:tcW w:w="1080" w:type="dxa"/>
            <w:tcBorders>
              <w:top w:val="single" w:sz="4" w:space="0" w:color="auto"/>
              <w:left w:val="single" w:sz="4" w:space="0" w:color="448A99"/>
              <w:bottom w:val="single" w:sz="4" w:space="0" w:color="448A99"/>
              <w:right w:val="single" w:sz="4" w:space="0" w:color="448A99"/>
            </w:tcBorders>
            <w:noWrap/>
            <w:vAlign w:val="center"/>
            <w:hideMark/>
          </w:tcPr>
          <w:p w:rsidR="008872A9" w:rsidRPr="00B75B77" w:rsidRDefault="008872A9" w:rsidP="00F81128">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rPr>
            </w:pPr>
            <w:r w:rsidRPr="00B75B77">
              <w:rPr>
                <w:sz w:val="18"/>
              </w:rPr>
              <w:t>0.50</w:t>
            </w:r>
          </w:p>
        </w:tc>
        <w:tc>
          <w:tcPr>
            <w:tcW w:w="1080" w:type="dxa"/>
            <w:tcBorders>
              <w:top w:val="single" w:sz="4" w:space="0" w:color="auto"/>
              <w:left w:val="single" w:sz="4" w:space="0" w:color="448A99"/>
              <w:bottom w:val="single" w:sz="4" w:space="0" w:color="448A99"/>
              <w:right w:val="single" w:sz="4" w:space="0" w:color="448A99"/>
            </w:tcBorders>
            <w:noWrap/>
            <w:vAlign w:val="center"/>
            <w:hideMark/>
          </w:tcPr>
          <w:p w:rsidR="008872A9" w:rsidRPr="00B75B77" w:rsidRDefault="008872A9" w:rsidP="00F81128">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rPr>
            </w:pPr>
            <w:r w:rsidRPr="00B75B77">
              <w:rPr>
                <w:sz w:val="18"/>
              </w:rPr>
              <w:t>85/15</w:t>
            </w:r>
          </w:p>
        </w:tc>
        <w:tc>
          <w:tcPr>
            <w:tcW w:w="1080" w:type="dxa"/>
            <w:tcBorders>
              <w:top w:val="single" w:sz="4" w:space="0" w:color="auto"/>
              <w:left w:val="single" w:sz="4" w:space="0" w:color="448A99"/>
              <w:bottom w:val="single" w:sz="4" w:space="0" w:color="448A99"/>
              <w:right w:val="single" w:sz="4" w:space="0" w:color="448A99"/>
            </w:tcBorders>
            <w:noWrap/>
            <w:vAlign w:val="center"/>
            <w:hideMark/>
          </w:tcPr>
          <w:p w:rsidR="008872A9" w:rsidRPr="00B75B77" w:rsidRDefault="008872A9" w:rsidP="00F81128">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rPr>
            </w:pPr>
            <w:r w:rsidRPr="00B75B77">
              <w:rPr>
                <w:sz w:val="18"/>
              </w:rPr>
              <w:t xml:space="preserve">Attempted </w:t>
            </w:r>
            <w:r w:rsidR="0054059D" w:rsidRPr="00B75B77">
              <w:rPr>
                <w:sz w:val="18"/>
              </w:rPr>
              <w:t>c</w:t>
            </w:r>
            <w:r w:rsidRPr="00B75B77">
              <w:rPr>
                <w:sz w:val="18"/>
              </w:rPr>
              <w:t>ensus</w:t>
            </w:r>
          </w:p>
        </w:tc>
        <w:tc>
          <w:tcPr>
            <w:tcW w:w="990" w:type="dxa"/>
            <w:tcBorders>
              <w:top w:val="single" w:sz="4" w:space="0" w:color="auto"/>
              <w:left w:val="single" w:sz="4" w:space="0" w:color="448A99"/>
              <w:bottom w:val="single" w:sz="4" w:space="0" w:color="448A99"/>
              <w:right w:val="single" w:sz="4" w:space="0" w:color="448A99"/>
            </w:tcBorders>
            <w:noWrap/>
            <w:vAlign w:val="center"/>
            <w:hideMark/>
          </w:tcPr>
          <w:p w:rsidR="008872A9" w:rsidRPr="00B75B77" w:rsidRDefault="008872A9" w:rsidP="00F81128">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rPr>
            </w:pPr>
            <w:r w:rsidRPr="00B75B77">
              <w:rPr>
                <w:sz w:val="18"/>
              </w:rPr>
              <w:t>13</w:t>
            </w:r>
          </w:p>
        </w:tc>
        <w:tc>
          <w:tcPr>
            <w:tcW w:w="1260" w:type="dxa"/>
            <w:tcBorders>
              <w:top w:val="single" w:sz="4" w:space="0" w:color="auto"/>
              <w:left w:val="single" w:sz="4" w:space="0" w:color="448A99"/>
              <w:bottom w:val="single" w:sz="4" w:space="0" w:color="448A99"/>
              <w:right w:val="single" w:sz="4" w:space="0" w:color="448A99"/>
            </w:tcBorders>
            <w:noWrap/>
            <w:vAlign w:val="center"/>
            <w:hideMark/>
          </w:tcPr>
          <w:p w:rsidR="008872A9" w:rsidRPr="00B75B77" w:rsidRDefault="008872A9" w:rsidP="00F81128">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rPr>
            </w:pPr>
            <w:r w:rsidRPr="00B75B77">
              <w:rPr>
                <w:sz w:val="18"/>
              </w:rPr>
              <w:t>100%</w:t>
            </w:r>
          </w:p>
        </w:tc>
      </w:tr>
      <w:tr w:rsidR="008872A9" w:rsidRPr="00B75B77" w:rsidTr="00C44F8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6" w:type="dxa"/>
            <w:tcBorders>
              <w:top w:val="single" w:sz="4" w:space="0" w:color="448A99"/>
              <w:left w:val="single" w:sz="4" w:space="0" w:color="448A99"/>
              <w:bottom w:val="single" w:sz="4" w:space="0" w:color="448A99"/>
              <w:right w:val="single" w:sz="4" w:space="0" w:color="448A99"/>
            </w:tcBorders>
            <w:noWrap/>
            <w:vAlign w:val="center"/>
            <w:hideMark/>
          </w:tcPr>
          <w:p w:rsidR="008872A9" w:rsidRPr="00B75B77" w:rsidRDefault="008872A9" w:rsidP="00F81128">
            <w:pPr>
              <w:keepNext/>
              <w:keepLines/>
              <w:jc w:val="left"/>
              <w:rPr>
                <w:rFonts w:ascii="Calibri" w:eastAsia="Times New Roman" w:hAnsi="Calibri"/>
                <w:b w:val="0"/>
                <w:color w:val="000000"/>
                <w:sz w:val="18"/>
                <w:szCs w:val="18"/>
              </w:rPr>
            </w:pPr>
            <w:r w:rsidRPr="00B75B77">
              <w:rPr>
                <w:b w:val="0"/>
                <w:sz w:val="18"/>
              </w:rPr>
              <w:t>C&amp;I Small</w:t>
            </w:r>
          </w:p>
        </w:tc>
        <w:tc>
          <w:tcPr>
            <w:tcW w:w="1084" w:type="dxa"/>
            <w:tcBorders>
              <w:top w:val="single" w:sz="4" w:space="0" w:color="448A99"/>
              <w:left w:val="single" w:sz="4" w:space="0" w:color="448A99"/>
              <w:bottom w:val="single" w:sz="4" w:space="0" w:color="448A99"/>
              <w:right w:val="single" w:sz="4" w:space="0" w:color="448A99"/>
            </w:tcBorders>
            <w:noWrap/>
            <w:vAlign w:val="center"/>
            <w:hideMark/>
          </w:tcPr>
          <w:p w:rsidR="008872A9" w:rsidRPr="00B75B77" w:rsidRDefault="008872A9" w:rsidP="00F81128">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rPr>
            </w:pPr>
            <w:r w:rsidRPr="00B75B77">
              <w:rPr>
                <w:sz w:val="18"/>
              </w:rPr>
              <w:t>&lt; 330,000 kWh Total Savings</w:t>
            </w:r>
          </w:p>
        </w:tc>
        <w:tc>
          <w:tcPr>
            <w:tcW w:w="1080" w:type="dxa"/>
            <w:tcBorders>
              <w:top w:val="single" w:sz="4" w:space="0" w:color="448A99"/>
              <w:left w:val="single" w:sz="4" w:space="0" w:color="448A99"/>
              <w:bottom w:val="single" w:sz="4" w:space="0" w:color="448A99"/>
              <w:right w:val="single" w:sz="4" w:space="0" w:color="448A99"/>
            </w:tcBorders>
            <w:noWrap/>
            <w:vAlign w:val="center"/>
            <w:hideMark/>
          </w:tcPr>
          <w:p w:rsidR="008872A9" w:rsidRPr="00B75B77" w:rsidRDefault="008872A9" w:rsidP="00F81128">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rPr>
            </w:pPr>
            <w:r w:rsidRPr="00B75B77">
              <w:rPr>
                <w:sz w:val="18"/>
              </w:rPr>
              <w:t>469</w:t>
            </w:r>
          </w:p>
        </w:tc>
        <w:tc>
          <w:tcPr>
            <w:tcW w:w="1080" w:type="dxa"/>
            <w:tcBorders>
              <w:top w:val="single" w:sz="4" w:space="0" w:color="448A99"/>
              <w:left w:val="single" w:sz="4" w:space="0" w:color="448A99"/>
              <w:bottom w:val="single" w:sz="4" w:space="0" w:color="448A99"/>
              <w:right w:val="single" w:sz="4" w:space="0" w:color="448A99"/>
            </w:tcBorders>
            <w:noWrap/>
            <w:vAlign w:val="center"/>
            <w:hideMark/>
          </w:tcPr>
          <w:p w:rsidR="008872A9" w:rsidRPr="00B75B77" w:rsidRDefault="008872A9" w:rsidP="00F81128">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rPr>
            </w:pPr>
            <w:r w:rsidRPr="00B75B77">
              <w:rPr>
                <w:sz w:val="18"/>
              </w:rPr>
              <w:t>0.50</w:t>
            </w:r>
          </w:p>
        </w:tc>
        <w:tc>
          <w:tcPr>
            <w:tcW w:w="1080" w:type="dxa"/>
            <w:tcBorders>
              <w:top w:val="single" w:sz="4" w:space="0" w:color="448A99"/>
              <w:left w:val="single" w:sz="4" w:space="0" w:color="448A99"/>
              <w:bottom w:val="single" w:sz="4" w:space="0" w:color="448A99"/>
              <w:right w:val="single" w:sz="4" w:space="0" w:color="448A99"/>
            </w:tcBorders>
            <w:noWrap/>
            <w:vAlign w:val="center"/>
            <w:hideMark/>
          </w:tcPr>
          <w:p w:rsidR="008872A9" w:rsidRPr="00B75B77" w:rsidRDefault="008872A9" w:rsidP="00F81128">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rPr>
            </w:pPr>
            <w:r w:rsidRPr="00B75B77">
              <w:rPr>
                <w:sz w:val="18"/>
              </w:rPr>
              <w:t>85/15</w:t>
            </w:r>
          </w:p>
        </w:tc>
        <w:tc>
          <w:tcPr>
            <w:tcW w:w="1080" w:type="dxa"/>
            <w:tcBorders>
              <w:top w:val="single" w:sz="4" w:space="0" w:color="448A99"/>
              <w:left w:val="single" w:sz="4" w:space="0" w:color="448A99"/>
              <w:bottom w:val="single" w:sz="4" w:space="0" w:color="448A99"/>
              <w:right w:val="single" w:sz="4" w:space="0" w:color="448A99"/>
            </w:tcBorders>
            <w:noWrap/>
            <w:vAlign w:val="center"/>
            <w:hideMark/>
          </w:tcPr>
          <w:p w:rsidR="008872A9" w:rsidRPr="00B75B77" w:rsidRDefault="008872A9" w:rsidP="00F81128">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rPr>
            </w:pPr>
            <w:r w:rsidRPr="00B75B77">
              <w:rPr>
                <w:sz w:val="18"/>
              </w:rPr>
              <w:t xml:space="preserve">Attempted </w:t>
            </w:r>
            <w:r w:rsidR="0054059D" w:rsidRPr="00B75B77">
              <w:rPr>
                <w:sz w:val="18"/>
              </w:rPr>
              <w:t>c</w:t>
            </w:r>
            <w:r w:rsidRPr="00B75B77">
              <w:rPr>
                <w:sz w:val="18"/>
              </w:rPr>
              <w:t>ensus</w:t>
            </w:r>
          </w:p>
        </w:tc>
        <w:tc>
          <w:tcPr>
            <w:tcW w:w="990" w:type="dxa"/>
            <w:tcBorders>
              <w:top w:val="single" w:sz="4" w:space="0" w:color="448A99"/>
              <w:left w:val="single" w:sz="4" w:space="0" w:color="448A99"/>
              <w:bottom w:val="single" w:sz="4" w:space="0" w:color="448A99"/>
              <w:right w:val="single" w:sz="4" w:space="0" w:color="448A99"/>
            </w:tcBorders>
            <w:noWrap/>
            <w:vAlign w:val="center"/>
            <w:hideMark/>
          </w:tcPr>
          <w:p w:rsidR="008872A9" w:rsidRPr="00B75B77" w:rsidRDefault="008872A9" w:rsidP="00F81128">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rPr>
            </w:pPr>
            <w:r w:rsidRPr="00B75B77">
              <w:rPr>
                <w:sz w:val="18"/>
              </w:rPr>
              <w:t>38</w:t>
            </w:r>
          </w:p>
        </w:tc>
        <w:tc>
          <w:tcPr>
            <w:tcW w:w="1260" w:type="dxa"/>
            <w:tcBorders>
              <w:top w:val="single" w:sz="4" w:space="0" w:color="448A99"/>
              <w:left w:val="single" w:sz="4" w:space="0" w:color="448A99"/>
              <w:bottom w:val="single" w:sz="4" w:space="0" w:color="448A99"/>
              <w:right w:val="single" w:sz="4" w:space="0" w:color="448A99"/>
            </w:tcBorders>
            <w:noWrap/>
            <w:vAlign w:val="center"/>
            <w:hideMark/>
          </w:tcPr>
          <w:p w:rsidR="008872A9" w:rsidRPr="00B75B77" w:rsidRDefault="008872A9" w:rsidP="00F81128">
            <w:pPr>
              <w:keepNext/>
              <w:keepLine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rPr>
            </w:pPr>
            <w:r w:rsidRPr="00B75B77">
              <w:rPr>
                <w:sz w:val="18"/>
              </w:rPr>
              <w:t>100%</w:t>
            </w:r>
          </w:p>
        </w:tc>
      </w:tr>
      <w:tr w:rsidR="008872A9" w:rsidRPr="00B75B77" w:rsidTr="00C44F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6" w:type="dxa"/>
            <w:tcBorders>
              <w:top w:val="single" w:sz="4" w:space="0" w:color="448A99"/>
              <w:left w:val="single" w:sz="4" w:space="0" w:color="448A99"/>
              <w:bottom w:val="single" w:sz="4" w:space="0" w:color="448A99"/>
              <w:right w:val="single" w:sz="4" w:space="0" w:color="448A99"/>
            </w:tcBorders>
            <w:noWrap/>
            <w:vAlign w:val="center"/>
            <w:hideMark/>
          </w:tcPr>
          <w:p w:rsidR="008872A9" w:rsidRPr="00B75B77" w:rsidRDefault="008872A9" w:rsidP="00F81128">
            <w:pPr>
              <w:keepNext/>
              <w:keepLines/>
              <w:jc w:val="left"/>
              <w:rPr>
                <w:rFonts w:ascii="Calibri" w:eastAsia="Times New Roman" w:hAnsi="Calibri"/>
                <w:caps/>
                <w:color w:val="000000"/>
                <w:sz w:val="18"/>
                <w:szCs w:val="18"/>
              </w:rPr>
            </w:pPr>
            <w:r w:rsidRPr="00B75B77">
              <w:rPr>
                <w:rFonts w:ascii="Calibri" w:eastAsia="Times New Roman" w:hAnsi="Calibri"/>
                <w:caps/>
                <w:color w:val="000000"/>
                <w:sz w:val="18"/>
                <w:szCs w:val="18"/>
              </w:rPr>
              <w:t>Program Total</w:t>
            </w:r>
          </w:p>
        </w:tc>
        <w:tc>
          <w:tcPr>
            <w:tcW w:w="1084" w:type="dxa"/>
            <w:tcBorders>
              <w:top w:val="single" w:sz="4" w:space="0" w:color="448A99"/>
              <w:left w:val="single" w:sz="4" w:space="0" w:color="448A99"/>
              <w:bottom w:val="single" w:sz="4" w:space="0" w:color="448A99"/>
              <w:right w:val="single" w:sz="4" w:space="0" w:color="448A99"/>
            </w:tcBorders>
            <w:noWrap/>
            <w:vAlign w:val="center"/>
            <w:hideMark/>
          </w:tcPr>
          <w:p w:rsidR="008872A9" w:rsidRPr="00B75B77" w:rsidRDefault="00A377A2" w:rsidP="00F81128">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18"/>
                <w:szCs w:val="18"/>
              </w:rPr>
            </w:pPr>
            <w:r w:rsidRPr="00B75B77">
              <w:rPr>
                <w:rFonts w:ascii="Calibri" w:eastAsia="Times New Roman" w:hAnsi="Calibri"/>
                <w:b/>
                <w:color w:val="000000"/>
                <w:sz w:val="18"/>
                <w:szCs w:val="18"/>
              </w:rPr>
              <w:t>N/A</w:t>
            </w:r>
          </w:p>
        </w:tc>
        <w:tc>
          <w:tcPr>
            <w:tcW w:w="1080" w:type="dxa"/>
            <w:tcBorders>
              <w:top w:val="single" w:sz="4" w:space="0" w:color="448A99"/>
              <w:left w:val="single" w:sz="4" w:space="0" w:color="448A99"/>
              <w:bottom w:val="single" w:sz="4" w:space="0" w:color="448A99"/>
              <w:right w:val="single" w:sz="4" w:space="0" w:color="448A99"/>
            </w:tcBorders>
            <w:noWrap/>
            <w:vAlign w:val="center"/>
            <w:hideMark/>
          </w:tcPr>
          <w:p w:rsidR="008872A9" w:rsidRPr="00B75B77" w:rsidRDefault="008872A9" w:rsidP="00F81128">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18"/>
                <w:szCs w:val="18"/>
              </w:rPr>
            </w:pPr>
            <w:r w:rsidRPr="00B75B77">
              <w:rPr>
                <w:rFonts w:ascii="Calibri" w:eastAsia="Times New Roman" w:hAnsi="Calibri"/>
                <w:b/>
                <w:color w:val="000000"/>
                <w:sz w:val="18"/>
                <w:szCs w:val="18"/>
              </w:rPr>
              <w:t>533</w:t>
            </w:r>
          </w:p>
        </w:tc>
        <w:tc>
          <w:tcPr>
            <w:tcW w:w="1080" w:type="dxa"/>
            <w:tcBorders>
              <w:top w:val="single" w:sz="4" w:space="0" w:color="448A99"/>
              <w:left w:val="single" w:sz="4" w:space="0" w:color="448A99"/>
              <w:bottom w:val="single" w:sz="4" w:space="0" w:color="448A99"/>
              <w:right w:val="single" w:sz="4" w:space="0" w:color="448A99"/>
            </w:tcBorders>
            <w:noWrap/>
            <w:vAlign w:val="center"/>
            <w:hideMark/>
          </w:tcPr>
          <w:p w:rsidR="008872A9" w:rsidRPr="00B75B77" w:rsidRDefault="00A377A2" w:rsidP="00F81128">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18"/>
                <w:szCs w:val="18"/>
              </w:rPr>
            </w:pPr>
            <w:r w:rsidRPr="00B75B77">
              <w:rPr>
                <w:rFonts w:ascii="Calibri" w:eastAsia="Times New Roman" w:hAnsi="Calibri"/>
                <w:b/>
                <w:color w:val="000000"/>
                <w:sz w:val="18"/>
                <w:szCs w:val="18"/>
              </w:rPr>
              <w:t>N/A</w:t>
            </w:r>
          </w:p>
        </w:tc>
        <w:tc>
          <w:tcPr>
            <w:tcW w:w="1080" w:type="dxa"/>
            <w:tcBorders>
              <w:top w:val="single" w:sz="4" w:space="0" w:color="448A99"/>
              <w:left w:val="single" w:sz="4" w:space="0" w:color="448A99"/>
              <w:bottom w:val="single" w:sz="4" w:space="0" w:color="448A99"/>
              <w:right w:val="single" w:sz="4" w:space="0" w:color="448A99"/>
            </w:tcBorders>
            <w:noWrap/>
            <w:vAlign w:val="center"/>
            <w:hideMark/>
          </w:tcPr>
          <w:p w:rsidR="008872A9" w:rsidRPr="00B75B77" w:rsidRDefault="00A377A2" w:rsidP="00F81128">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18"/>
                <w:szCs w:val="18"/>
              </w:rPr>
            </w:pPr>
            <w:r w:rsidRPr="00B75B77">
              <w:rPr>
                <w:rFonts w:ascii="Calibri" w:eastAsia="Times New Roman" w:hAnsi="Calibri"/>
                <w:b/>
                <w:color w:val="000000"/>
                <w:sz w:val="18"/>
                <w:szCs w:val="18"/>
              </w:rPr>
              <w:t>85/15</w:t>
            </w:r>
          </w:p>
        </w:tc>
        <w:tc>
          <w:tcPr>
            <w:tcW w:w="1080" w:type="dxa"/>
            <w:tcBorders>
              <w:top w:val="single" w:sz="4" w:space="0" w:color="448A99"/>
              <w:left w:val="single" w:sz="4" w:space="0" w:color="448A99"/>
              <w:bottom w:val="single" w:sz="4" w:space="0" w:color="448A99"/>
              <w:right w:val="single" w:sz="4" w:space="0" w:color="448A99"/>
            </w:tcBorders>
            <w:noWrap/>
            <w:vAlign w:val="center"/>
            <w:hideMark/>
          </w:tcPr>
          <w:p w:rsidR="008872A9" w:rsidRPr="00B75B77" w:rsidRDefault="00A377A2" w:rsidP="00F81128">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18"/>
                <w:szCs w:val="18"/>
              </w:rPr>
            </w:pPr>
            <w:r w:rsidRPr="00B75B77">
              <w:rPr>
                <w:rFonts w:ascii="Calibri" w:eastAsia="Times New Roman" w:hAnsi="Calibri"/>
                <w:b/>
                <w:color w:val="000000"/>
                <w:sz w:val="18"/>
                <w:szCs w:val="18"/>
              </w:rPr>
              <w:t>Attempted census</w:t>
            </w:r>
          </w:p>
        </w:tc>
        <w:tc>
          <w:tcPr>
            <w:tcW w:w="990" w:type="dxa"/>
            <w:tcBorders>
              <w:top w:val="single" w:sz="4" w:space="0" w:color="448A99"/>
              <w:left w:val="single" w:sz="4" w:space="0" w:color="448A99"/>
              <w:bottom w:val="single" w:sz="4" w:space="0" w:color="448A99"/>
              <w:right w:val="single" w:sz="4" w:space="0" w:color="448A99"/>
            </w:tcBorders>
            <w:noWrap/>
            <w:vAlign w:val="center"/>
            <w:hideMark/>
          </w:tcPr>
          <w:p w:rsidR="008872A9" w:rsidRPr="00B75B77" w:rsidRDefault="008872A9" w:rsidP="00F81128">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18"/>
                <w:szCs w:val="18"/>
              </w:rPr>
            </w:pPr>
            <w:r w:rsidRPr="00B75B77">
              <w:rPr>
                <w:rFonts w:ascii="Calibri" w:eastAsia="Times New Roman" w:hAnsi="Calibri"/>
                <w:b/>
                <w:color w:val="000000"/>
                <w:sz w:val="18"/>
                <w:szCs w:val="18"/>
              </w:rPr>
              <w:t>51</w:t>
            </w:r>
          </w:p>
        </w:tc>
        <w:tc>
          <w:tcPr>
            <w:tcW w:w="1260" w:type="dxa"/>
            <w:tcBorders>
              <w:top w:val="single" w:sz="4" w:space="0" w:color="448A99"/>
              <w:left w:val="single" w:sz="4" w:space="0" w:color="448A99"/>
              <w:bottom w:val="single" w:sz="4" w:space="0" w:color="448A99"/>
              <w:right w:val="single" w:sz="4" w:space="0" w:color="448A99"/>
            </w:tcBorders>
            <w:noWrap/>
            <w:vAlign w:val="center"/>
            <w:hideMark/>
          </w:tcPr>
          <w:p w:rsidR="008872A9" w:rsidRPr="00B75B77" w:rsidRDefault="00A377A2" w:rsidP="00F81128">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18"/>
                <w:szCs w:val="18"/>
              </w:rPr>
            </w:pPr>
            <w:r w:rsidRPr="00B75B77">
              <w:rPr>
                <w:rFonts w:ascii="Calibri" w:eastAsia="Times New Roman" w:hAnsi="Calibri"/>
                <w:b/>
                <w:color w:val="000000"/>
                <w:sz w:val="18"/>
                <w:szCs w:val="18"/>
              </w:rPr>
              <w:t>100%</w:t>
            </w:r>
          </w:p>
        </w:tc>
      </w:tr>
    </w:tbl>
    <w:p w:rsidR="008872A9" w:rsidRPr="00B75B77" w:rsidRDefault="008872A9" w:rsidP="00F81128">
      <w:pPr>
        <w:pStyle w:val="Source"/>
        <w:keepNext/>
        <w:keepLines/>
        <w:spacing w:before="20" w:after="20"/>
        <w:ind w:left="86" w:firstLine="0"/>
        <w:rPr>
          <w:rFonts w:ascii="Calibri" w:hAnsi="Calibri"/>
          <w:i w:val="0"/>
          <w:color w:val="000000"/>
          <w:szCs w:val="18"/>
        </w:rPr>
      </w:pPr>
      <w:r w:rsidRPr="00B75B77">
        <w:rPr>
          <w:rFonts w:ascii="Calibri" w:hAnsi="Calibri"/>
          <w:i w:val="0"/>
          <w:color w:val="000000"/>
          <w:szCs w:val="18"/>
          <w:vertAlign w:val="superscript"/>
        </w:rPr>
        <w:t>[1]</w:t>
      </w:r>
      <w:r w:rsidRPr="00B75B77">
        <w:rPr>
          <w:rFonts w:ascii="Calibri" w:hAnsi="Calibri"/>
          <w:i w:val="0"/>
          <w:color w:val="000000"/>
          <w:szCs w:val="18"/>
        </w:rPr>
        <w:t xml:space="preserve"> The sample frame is a list of contacts that have a chance to be selected into the sample. Percentage contacted means of all the sample frame the percentage that were contacted to get the completed surveys.</w:t>
      </w:r>
    </w:p>
    <w:p w:rsidR="008872A9" w:rsidRPr="00B75B77" w:rsidRDefault="008872A9" w:rsidP="00707B64">
      <w:pPr>
        <w:pStyle w:val="Source"/>
        <w:spacing w:before="20" w:after="20"/>
        <w:ind w:left="86" w:firstLine="0"/>
        <w:rPr>
          <w:i w:val="0"/>
        </w:rPr>
      </w:pPr>
      <w:r w:rsidRPr="00B75B77">
        <w:rPr>
          <w:rFonts w:ascii="Calibri" w:hAnsi="Calibri"/>
          <w:i w:val="0"/>
          <w:iCs/>
          <w:color w:val="000000"/>
          <w:szCs w:val="18"/>
        </w:rPr>
        <w:t>Note: Values in tables may not reconcile exactly with the sum of more detailed level results or previously reported results due to rounding.</w:t>
      </w:r>
    </w:p>
    <w:p w:rsidR="008872A9" w:rsidRPr="00B75B77" w:rsidRDefault="008872A9" w:rsidP="00707B64">
      <w:pPr>
        <w:pStyle w:val="Source"/>
        <w:spacing w:after="120"/>
        <w:ind w:left="90" w:firstLine="0"/>
      </w:pPr>
      <w:r w:rsidRPr="00B75B77">
        <w:t>Source: Navigant analysis</w:t>
      </w:r>
    </w:p>
    <w:p w:rsidR="008872A9" w:rsidRPr="00B75B77" w:rsidRDefault="008872A9" w:rsidP="00707B64">
      <w:pPr>
        <w:spacing w:before="240"/>
      </w:pPr>
      <w:r w:rsidRPr="00B75B77">
        <w:t xml:space="preserve">Once the evaluation team estimated free ridership, Navigant calculated the NTG ratios, as illustrated in the </w:t>
      </w:r>
      <w:r w:rsidR="00F81128" w:rsidRPr="00B75B77">
        <w:t xml:space="preserve">following </w:t>
      </w:r>
      <w:r w:rsidRPr="00B75B77">
        <w:t>equation.</w:t>
      </w:r>
    </w:p>
    <w:p w:rsidR="008872A9" w:rsidRPr="00B75B77" w:rsidRDefault="008872A9" w:rsidP="00707B64">
      <w:pPr>
        <w:pStyle w:val="Caption"/>
      </w:pPr>
      <w:bookmarkStart w:id="724" w:name="_Toc466413699"/>
      <w:r w:rsidRPr="00B75B77">
        <w:t xml:space="preserve">Equation </w:t>
      </w:r>
      <w:fldSimple w:instr=" STYLEREF 1 \s ">
        <w:r w:rsidR="0004016D">
          <w:rPr>
            <w:noProof/>
          </w:rPr>
          <w:t>11</w:t>
        </w:r>
      </w:fldSimple>
      <w:r w:rsidRPr="00B75B77">
        <w:noBreakHyphen/>
      </w:r>
      <w:fldSimple w:instr=" SEQ Equation \* ARABIC \s 1 ">
        <w:r w:rsidR="0004016D">
          <w:rPr>
            <w:noProof/>
          </w:rPr>
          <w:t>1</w:t>
        </w:r>
      </w:fldSimple>
      <w:r w:rsidR="00D56E1C" w:rsidRPr="00B75B77">
        <w:t>:</w:t>
      </w:r>
      <w:r w:rsidRPr="00B75B77">
        <w:t xml:space="preserve"> Total NTG Ratio</w:t>
      </w:r>
      <w:bookmarkEnd w:id="724"/>
    </w:p>
    <w:p w:rsidR="008872A9" w:rsidRPr="00B75B77" w:rsidRDefault="008872A9" w:rsidP="00707B64">
      <w:pPr>
        <w:jc w:val="center"/>
        <w:rPr>
          <w:i/>
        </w:rPr>
      </w:pPr>
      <w:r w:rsidRPr="00B75B77">
        <w:rPr>
          <w:i/>
        </w:rPr>
        <w:t>NTG Ratio = 1 – Free Ridership Rate</w:t>
      </w:r>
    </w:p>
    <w:p w:rsidR="008872A9" w:rsidRPr="00B75B77" w:rsidRDefault="008872A9" w:rsidP="00286B52"/>
    <w:p w:rsidR="008872A9" w:rsidRPr="00B75B77" w:rsidRDefault="008872A9" w:rsidP="00707B64">
      <w:pPr>
        <w:keepNext/>
      </w:pPr>
      <w:r w:rsidRPr="00B75B77">
        <w:t>The team assessed free ridership using a customer self-report approach following the SWE’s Common Approach for Downstream Programs.</w:t>
      </w:r>
      <w:r w:rsidRPr="00B75B77">
        <w:rPr>
          <w:vertAlign w:val="superscript"/>
        </w:rPr>
        <w:footnoteReference w:id="49"/>
      </w:r>
      <w:r w:rsidRPr="00B75B77">
        <w:t xml:space="preserve"> This approach uses a survey designed to assess the likelihood that participants would have installed some or all of the energy efficiency measures incented by the program, even if the program had not existed. Based on the ETO methodology, the SEI free ridership analysis included the following two elements of free ridership: 1) intention to carry out the energy efficient project without program funds</w:t>
      </w:r>
      <w:r w:rsidR="00F81128" w:rsidRPr="00B75B77">
        <w:t>;</w:t>
      </w:r>
      <w:r w:rsidRPr="00B75B77">
        <w:t xml:space="preserve"> and 2) influence of the program in the decision to carry out the energy efficient project. </w:t>
      </w:r>
    </w:p>
    <w:p w:rsidR="008872A9" w:rsidRPr="00B75B77" w:rsidRDefault="008872A9" w:rsidP="00707B64">
      <w:pPr>
        <w:keepNext/>
      </w:pPr>
    </w:p>
    <w:p w:rsidR="008872A9" w:rsidRPr="00B75B77" w:rsidRDefault="008872A9" w:rsidP="00707B64">
      <w:pPr>
        <w:keepNext/>
      </w:pPr>
      <w:r w:rsidRPr="00B75B77">
        <w:t xml:space="preserve">The total free ridership score illustrated in </w:t>
      </w:r>
      <w:r w:rsidR="00D56E1C" w:rsidRPr="00B75B77">
        <w:fldChar w:fldCharType="begin"/>
      </w:r>
      <w:r w:rsidR="00D56E1C" w:rsidRPr="00B75B77">
        <w:instrText xml:space="preserve"> REF _Ref464222933 \h </w:instrText>
      </w:r>
      <w:r w:rsidR="00B75B77">
        <w:instrText xml:space="preserve"> \* MERGEFORMAT </w:instrText>
      </w:r>
      <w:r w:rsidR="00D56E1C" w:rsidRPr="00B75B77">
        <w:fldChar w:fldCharType="separate"/>
      </w:r>
      <w:r w:rsidR="0004016D" w:rsidRPr="00B75B77">
        <w:t xml:space="preserve">Equation </w:t>
      </w:r>
      <w:r w:rsidR="0004016D">
        <w:rPr>
          <w:noProof/>
        </w:rPr>
        <w:t>11</w:t>
      </w:r>
      <w:r w:rsidR="0004016D" w:rsidRPr="00B75B77">
        <w:rPr>
          <w:noProof/>
        </w:rPr>
        <w:noBreakHyphen/>
      </w:r>
      <w:r w:rsidR="0004016D">
        <w:rPr>
          <w:noProof/>
        </w:rPr>
        <w:t>2</w:t>
      </w:r>
      <w:r w:rsidR="00D56E1C" w:rsidRPr="00B75B77">
        <w:fldChar w:fldCharType="end"/>
      </w:r>
      <w:r w:rsidRPr="00B75B77">
        <w:t xml:space="preserve"> is the sum of the intention and the program influence scores, resulting in a score ranging from 0 to 100. This score is divided by 100 to convert it into a proportion for application to gross savings values.</w:t>
      </w:r>
    </w:p>
    <w:p w:rsidR="008872A9" w:rsidRPr="00B75B77" w:rsidRDefault="008872A9" w:rsidP="00707B64">
      <w:pPr>
        <w:keepNext/>
      </w:pPr>
    </w:p>
    <w:p w:rsidR="008872A9" w:rsidRPr="00B75B77" w:rsidRDefault="008872A9" w:rsidP="00707B64">
      <w:pPr>
        <w:pStyle w:val="Caption"/>
      </w:pPr>
      <w:bookmarkStart w:id="725" w:name="_Ref464222933"/>
      <w:bookmarkStart w:id="726" w:name="_Toc466413700"/>
      <w:r w:rsidRPr="00B75B77">
        <w:t xml:space="preserve">Equation </w:t>
      </w:r>
      <w:fldSimple w:instr=" STYLEREF 1 \s ">
        <w:r w:rsidR="0004016D">
          <w:rPr>
            <w:noProof/>
          </w:rPr>
          <w:t>11</w:t>
        </w:r>
      </w:fldSimple>
      <w:r w:rsidRPr="00B75B77">
        <w:noBreakHyphen/>
      </w:r>
      <w:fldSimple w:instr=" SEQ Equation \* ARABIC \s 1 ">
        <w:r w:rsidR="0004016D">
          <w:rPr>
            <w:noProof/>
          </w:rPr>
          <w:t>2</w:t>
        </w:r>
      </w:fldSimple>
      <w:bookmarkEnd w:id="725"/>
      <w:r w:rsidR="00D56E1C" w:rsidRPr="00B75B77">
        <w:t>:</w:t>
      </w:r>
      <w:r w:rsidRPr="00B75B77">
        <w:t xml:space="preserve"> Total Free Ridership</w:t>
      </w:r>
      <w:bookmarkEnd w:id="726"/>
      <w:r w:rsidRPr="00B75B77">
        <w:t xml:space="preserve"> </w:t>
      </w:r>
    </w:p>
    <w:p w:rsidR="008872A9" w:rsidRPr="00B75B77" w:rsidRDefault="0054059D" w:rsidP="00707B64">
      <m:oMathPara>
        <m:oMath>
          <m:r>
            <m:rPr>
              <m:nor/>
            </m:rPr>
            <m:t xml:space="preserve">Free Ridership </m:t>
          </m:r>
          <m:d>
            <m:dPr>
              <m:ctrlPr>
                <w:rPr>
                  <w:rFonts w:ascii="Cambria Math" w:hAnsi="Cambria Math"/>
                  <w:i/>
                </w:rPr>
              </m:ctrlPr>
            </m:dPr>
            <m:e>
              <m:r>
                <m:rPr>
                  <m:nor/>
                </m:rPr>
                <m:t>FR</m:t>
              </m:r>
            </m:e>
          </m:d>
          <m:r>
            <m:rPr>
              <m:nor/>
            </m:rPr>
            <m:t>=</m:t>
          </m:r>
          <m:f>
            <m:fPr>
              <m:ctrlPr>
                <w:rPr>
                  <w:rFonts w:ascii="Cambria Math" w:hAnsi="Cambria Math"/>
                  <w:i/>
                </w:rPr>
              </m:ctrlPr>
            </m:fPr>
            <m:num>
              <m:r>
                <m:rPr>
                  <m:nor/>
                </m:rPr>
                <m:t>Intention Score</m:t>
              </m:r>
              <m:r>
                <m:rPr>
                  <m:nor/>
                </m:rPr>
                <w:rPr>
                  <w:rFonts w:ascii="Cambria Math"/>
                </w:rPr>
                <m:t xml:space="preserve"> </m:t>
              </m:r>
              <m:r>
                <m:rPr>
                  <m:nor/>
                </m:rPr>
                <m:t>+</m:t>
              </m:r>
              <m:r>
                <m:rPr>
                  <m:nor/>
                </m:rPr>
                <w:rPr>
                  <w:rFonts w:ascii="Cambria Math"/>
                </w:rPr>
                <m:t xml:space="preserve"> </m:t>
              </m:r>
              <m:r>
                <m:rPr>
                  <m:nor/>
                </m:rPr>
                <m:t>Program Influence Score</m:t>
              </m:r>
            </m:num>
            <m:den>
              <m:r>
                <m:rPr>
                  <m:nor/>
                </m:rPr>
                <m:t>100</m:t>
              </m:r>
            </m:den>
          </m:f>
        </m:oMath>
      </m:oMathPara>
    </w:p>
    <w:p w:rsidR="008872A9" w:rsidRPr="00B75B77" w:rsidRDefault="008872A9" w:rsidP="00707B64">
      <w:pPr>
        <w:rPr>
          <w:b/>
        </w:rPr>
      </w:pPr>
    </w:p>
    <w:p w:rsidR="008872A9" w:rsidRPr="00B75B77" w:rsidRDefault="008872A9" w:rsidP="00F81128">
      <w:pPr>
        <w:pStyle w:val="Heading4"/>
      </w:pPr>
      <w:r w:rsidRPr="00B75B77">
        <w:t>Intention Score</w:t>
      </w:r>
    </w:p>
    <w:p w:rsidR="008872A9" w:rsidRPr="00B75B77" w:rsidRDefault="008872A9" w:rsidP="00707B64">
      <w:pPr>
        <w:rPr>
          <w:bCs/>
        </w:rPr>
      </w:pPr>
      <w:r w:rsidRPr="00B75B77">
        <w:rPr>
          <w:bCs/>
        </w:rPr>
        <w:t xml:space="preserve">The intention score was assessed through several brief questions used to determine how the upgrade or equipment replacement likely would have differed if the respondent had not received the program assistance. The initial question asked the respondent to identify, out of a limited set of options, the option that best described what most likely would have occurred without the program assistance. Note that program assistance often includes more than just the incentive—it may also include audits, technical assistance, etc. The offered response options (typically four or five, and preferably no more than six) captured the following four general outcomes: </w:t>
      </w:r>
    </w:p>
    <w:p w:rsidR="008872A9" w:rsidRPr="00B75B77" w:rsidRDefault="008872A9" w:rsidP="00707B64">
      <w:pPr>
        <w:rPr>
          <w:bCs/>
        </w:rPr>
      </w:pPr>
    </w:p>
    <w:p w:rsidR="008872A9" w:rsidRPr="00B75B77" w:rsidRDefault="008872A9" w:rsidP="009E08FB">
      <w:pPr>
        <w:pStyle w:val="ListParagraph"/>
        <w:numPr>
          <w:ilvl w:val="0"/>
          <w:numId w:val="71"/>
        </w:numPr>
        <w:spacing w:after="200"/>
        <w:rPr>
          <w:bCs/>
        </w:rPr>
      </w:pPr>
      <w:r w:rsidRPr="00B75B77">
        <w:t xml:space="preserve">Would have canceled or postponed the project, upgrade, or purchase </w:t>
      </w:r>
    </w:p>
    <w:p w:rsidR="008872A9" w:rsidRPr="00B75B77" w:rsidRDefault="008872A9" w:rsidP="009E08FB">
      <w:pPr>
        <w:pStyle w:val="ListParagraph"/>
        <w:numPr>
          <w:ilvl w:val="0"/>
          <w:numId w:val="71"/>
        </w:numPr>
        <w:spacing w:after="200"/>
        <w:rPr>
          <w:bCs/>
        </w:rPr>
      </w:pPr>
      <w:r w:rsidRPr="00B75B77">
        <w:t>Would have done something that would have produced savings, but not as much as those achieved through the upgrade or equipment replacement as implemented</w:t>
      </w:r>
    </w:p>
    <w:p w:rsidR="008872A9" w:rsidRPr="00B75B77" w:rsidRDefault="008872A9" w:rsidP="009E08FB">
      <w:pPr>
        <w:pStyle w:val="ListParagraph"/>
        <w:numPr>
          <w:ilvl w:val="0"/>
          <w:numId w:val="71"/>
        </w:numPr>
        <w:spacing w:after="200"/>
        <w:rPr>
          <w:bCs/>
        </w:rPr>
      </w:pPr>
      <w:r w:rsidRPr="00B75B77">
        <w:t>Would have completed the upgrade or equipment replacement as implemented</w:t>
      </w:r>
    </w:p>
    <w:p w:rsidR="008872A9" w:rsidRPr="00B75B77" w:rsidRDefault="008872A9" w:rsidP="009E08FB">
      <w:pPr>
        <w:pStyle w:val="ListParagraph"/>
        <w:numPr>
          <w:ilvl w:val="0"/>
          <w:numId w:val="71"/>
        </w:numPr>
        <w:spacing w:after="200"/>
        <w:rPr>
          <w:bCs/>
        </w:rPr>
      </w:pPr>
      <w:r w:rsidRPr="00B75B77">
        <w:t xml:space="preserve">Don’t know </w:t>
      </w:r>
    </w:p>
    <w:p w:rsidR="008872A9" w:rsidRPr="00B75B77" w:rsidRDefault="008872A9" w:rsidP="00707B64">
      <w:r w:rsidRPr="00B75B77">
        <w:t>The algorithm does consider respondents who said they would have canceled or postponed the project as free riders in terms of intention (a score of 0 for the intention score). The approach did consider respondents who indicated they would have done something that would have resulted in less energy savings as partial free riders in terms of intention (free ridership ranging from 12.5 to 37.5 for the intention component in the case of nonresidential programs). The respondents that indicated they would have undertaken the project as implemented without the program received a score based on how they would have paid for the upgrade. “Don’t know” responses were assigned the midpoint score of 25 for the intention component.</w:t>
      </w:r>
    </w:p>
    <w:p w:rsidR="008872A9" w:rsidRPr="00B75B77" w:rsidRDefault="008872A9" w:rsidP="00707B64"/>
    <w:p w:rsidR="008872A9" w:rsidRPr="00B75B77" w:rsidRDefault="008872A9" w:rsidP="00502659">
      <w:pPr>
        <w:pStyle w:val="Heading4"/>
        <w:keepNext/>
      </w:pPr>
      <w:r w:rsidRPr="00B75B77">
        <w:t>Program Influence Score</w:t>
      </w:r>
    </w:p>
    <w:p w:rsidR="008872A9" w:rsidRPr="00B75B77" w:rsidRDefault="008872A9" w:rsidP="00502659">
      <w:pPr>
        <w:keepNext/>
      </w:pPr>
      <w:r w:rsidRPr="00B75B77">
        <w:t xml:space="preserve">To assess the program influence score on the participant’s decision to implement energy efficiency improvements, Navigant asked respondents how much influence—on a scale of 1 (no influence) to 5 (great influence)—various program elements had on the decision to implement the project. The elements used to influence customer decision-making included program information, program incentives, interaction with program staff (technical assistance), and interaction with program proxies, such as members of a trade ally network. </w:t>
      </w:r>
    </w:p>
    <w:p w:rsidR="008872A9" w:rsidRPr="00B75B77" w:rsidRDefault="008872A9" w:rsidP="00707B64"/>
    <w:p w:rsidR="008872A9" w:rsidRPr="00B75B77" w:rsidRDefault="008872A9" w:rsidP="00707B64">
      <w:r w:rsidRPr="00B75B77">
        <w:t xml:space="preserve">A participant’s program influence score was then set to the participant’s maximum influence rating for any program element. The rationale was that if any given program element had a great influence score on the respondent’s decision, </w:t>
      </w:r>
      <w:proofErr w:type="gramStart"/>
      <w:r w:rsidRPr="00B75B77">
        <w:t>then</w:t>
      </w:r>
      <w:proofErr w:type="gramEnd"/>
      <w:r w:rsidRPr="00B75B77">
        <w:t xml:space="preserve"> the program itself had that level of influence, even if other elements had less influence. The program influence score and free ridership have an inverse relationship: the greater the program influence, the lower the free ridership, and vice versa.</w:t>
      </w:r>
    </w:p>
    <w:p w:rsidR="008872A9" w:rsidRPr="00B75B77" w:rsidRDefault="008872A9" w:rsidP="00707B64"/>
    <w:p w:rsidR="008872A9" w:rsidRPr="00B75B77" w:rsidRDefault="00D56E1C" w:rsidP="00F81128">
      <w:pPr>
        <w:keepNext/>
        <w:keepLines/>
      </w:pPr>
      <w:r w:rsidRPr="00B75B77">
        <w:lastRenderedPageBreak/>
        <w:fldChar w:fldCharType="begin"/>
      </w:r>
      <w:r w:rsidRPr="00B75B77">
        <w:instrText xml:space="preserve"> REF _Ref464222933 \h </w:instrText>
      </w:r>
      <w:r w:rsidR="00B75B77">
        <w:instrText xml:space="preserve"> \* MERGEFORMAT </w:instrText>
      </w:r>
      <w:r w:rsidRPr="00B75B77">
        <w:fldChar w:fldCharType="separate"/>
      </w:r>
      <w:r w:rsidR="0004016D" w:rsidRPr="00B75B77">
        <w:t xml:space="preserve">Equation </w:t>
      </w:r>
      <w:r w:rsidR="0004016D">
        <w:rPr>
          <w:noProof/>
        </w:rPr>
        <w:t>11</w:t>
      </w:r>
      <w:r w:rsidR="0004016D" w:rsidRPr="00B75B77">
        <w:rPr>
          <w:noProof/>
        </w:rPr>
        <w:noBreakHyphen/>
      </w:r>
      <w:r w:rsidR="0004016D">
        <w:rPr>
          <w:noProof/>
        </w:rPr>
        <w:t>2</w:t>
      </w:r>
      <w:r w:rsidRPr="00B75B77">
        <w:fldChar w:fldCharType="end"/>
      </w:r>
      <w:r w:rsidR="008872A9" w:rsidRPr="00B75B77">
        <w:t xml:space="preserve"> summarizes both the intention score and program influence score calculations for the SEI program. The figure shows the possible response combinations to the questions described in the intention score section and the value assigned to each unique combination. In addition, it shows the program influence score and possible answers to the </w:t>
      </w:r>
      <w:r w:rsidR="000422FD" w:rsidRPr="00B75B77">
        <w:t>5</w:t>
      </w:r>
      <w:r w:rsidR="008872A9" w:rsidRPr="00B75B77">
        <w:t>-point scale along with the “don’t know” answers.</w:t>
      </w:r>
    </w:p>
    <w:p w:rsidR="008872A9" w:rsidRPr="00B75B77" w:rsidRDefault="008872A9" w:rsidP="00F81128">
      <w:pPr>
        <w:keepNext/>
        <w:keepLines/>
      </w:pPr>
    </w:p>
    <w:p w:rsidR="008872A9" w:rsidRPr="00B75B77" w:rsidRDefault="008872A9" w:rsidP="00707B64">
      <w:pPr>
        <w:pStyle w:val="Caption"/>
      </w:pPr>
      <w:bookmarkStart w:id="727" w:name="_Toc466413687"/>
      <w:r w:rsidRPr="00B75B77">
        <w:t xml:space="preserve">Figure </w:t>
      </w:r>
      <w:fldSimple w:instr=" STYLEREF 1 \s ">
        <w:r w:rsidR="0004016D">
          <w:rPr>
            <w:noProof/>
          </w:rPr>
          <w:t>11</w:t>
        </w:r>
      </w:fldSimple>
      <w:r w:rsidR="00BA3BA9" w:rsidRPr="00B75B77">
        <w:noBreakHyphen/>
      </w:r>
      <w:fldSimple w:instr=" SEQ Figure \* ARABIC \s 1 ">
        <w:r w:rsidR="0004016D">
          <w:rPr>
            <w:noProof/>
          </w:rPr>
          <w:t>1</w:t>
        </w:r>
      </w:fldSimple>
      <w:r w:rsidRPr="00B75B77">
        <w:t>: Phase II Free Ridership Algorithm</w:t>
      </w:r>
      <w:bookmarkEnd w:id="727"/>
    </w:p>
    <w:p w:rsidR="008872A9" w:rsidRPr="00B75B77" w:rsidRDefault="008872A9" w:rsidP="00707B64">
      <w:r w:rsidRPr="00B75B77">
        <w:rPr>
          <w:noProof/>
        </w:rPr>
        <w:drawing>
          <wp:inline distT="0" distB="0" distL="0" distR="0" wp14:anchorId="4441DC3E" wp14:editId="2DAB1D67">
            <wp:extent cx="5883965" cy="4492487"/>
            <wp:effectExtent l="0" t="0" r="0" b="381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0">
                      <a:extLst>
                        <a:ext uri="{28A0092B-C50C-407E-A947-70E740481C1C}">
                          <a14:useLocalDpi xmlns:a14="http://schemas.microsoft.com/office/drawing/2010/main" val="0"/>
                        </a:ext>
                      </a:extLst>
                    </a:blip>
                    <a:srcRect l="937" b="1340"/>
                    <a:stretch/>
                  </pic:blipFill>
                  <pic:spPr bwMode="auto">
                    <a:xfrm>
                      <a:off x="0" y="0"/>
                      <a:ext cx="5883965" cy="4492487"/>
                    </a:xfrm>
                    <a:prstGeom prst="rect">
                      <a:avLst/>
                    </a:prstGeom>
                    <a:noFill/>
                    <a:ln>
                      <a:noFill/>
                    </a:ln>
                    <a:extLst>
                      <a:ext uri="{53640926-AAD7-44D8-BBD7-CCE9431645EC}">
                        <a14:shadowObscured xmlns:a14="http://schemas.microsoft.com/office/drawing/2010/main"/>
                      </a:ext>
                    </a:extLst>
                  </pic:spPr>
                </pic:pic>
              </a:graphicData>
            </a:graphic>
          </wp:inline>
        </w:drawing>
      </w:r>
    </w:p>
    <w:p w:rsidR="008872A9" w:rsidRPr="00B75B77" w:rsidRDefault="008872A9" w:rsidP="00707B64">
      <w:pPr>
        <w:pStyle w:val="Source"/>
      </w:pPr>
      <w:r w:rsidRPr="00B75B77">
        <w:t>Source: Navigant analysis</w:t>
      </w:r>
    </w:p>
    <w:p w:rsidR="008872A9" w:rsidRPr="00B75B77" w:rsidRDefault="008872A9" w:rsidP="00707B64">
      <w:pPr>
        <w:keepNext/>
      </w:pPr>
      <w:r w:rsidRPr="00B75B77">
        <w:t>Spillover occurs when there are reductions in energy consumption or demand caused by the presence of the energy efficiency program, but which the program does not directly influence. The evaluation team asked program participants a battery of questions to quantitatively assess spillover. Below are examples of the spillover questions:</w:t>
      </w:r>
    </w:p>
    <w:p w:rsidR="008872A9" w:rsidRPr="00B75B77" w:rsidRDefault="008872A9" w:rsidP="00707B64"/>
    <w:p w:rsidR="008872A9" w:rsidRPr="00B75B77" w:rsidRDefault="008872A9" w:rsidP="009E08FB">
      <w:pPr>
        <w:pStyle w:val="ListParagraph"/>
        <w:numPr>
          <w:ilvl w:val="0"/>
          <w:numId w:val="72"/>
        </w:numPr>
        <w:contextualSpacing w:val="0"/>
        <w:jc w:val="left"/>
      </w:pPr>
      <w:r w:rsidRPr="00B75B77">
        <w:t>Since your participation in the program, did you install any additional energy efficiency measures at this facility that did not receive incentives through any utility or government program?</w:t>
      </w:r>
    </w:p>
    <w:p w:rsidR="008872A9" w:rsidRPr="00B75B77" w:rsidRDefault="008872A9" w:rsidP="009E08FB">
      <w:pPr>
        <w:pStyle w:val="ListParagraph"/>
        <w:numPr>
          <w:ilvl w:val="0"/>
          <w:numId w:val="72"/>
        </w:numPr>
        <w:contextualSpacing w:val="0"/>
        <w:jc w:val="left"/>
      </w:pPr>
      <w:r w:rsidRPr="00B75B77">
        <w:t>To the best of your knowledge, do you know when you installed the additional energy efficient equipment?</w:t>
      </w:r>
    </w:p>
    <w:p w:rsidR="008872A9" w:rsidRPr="00B75B77" w:rsidRDefault="008872A9" w:rsidP="009E08FB">
      <w:pPr>
        <w:pStyle w:val="ListParagraph"/>
        <w:numPr>
          <w:ilvl w:val="0"/>
          <w:numId w:val="72"/>
        </w:numPr>
        <w:contextualSpacing w:val="0"/>
        <w:jc w:val="left"/>
      </w:pPr>
      <w:r w:rsidRPr="00B75B77">
        <w:t>Could you describe the energy efficiency measure installed?</w:t>
      </w:r>
    </w:p>
    <w:p w:rsidR="008872A9" w:rsidRPr="00B75B77" w:rsidRDefault="008872A9" w:rsidP="009E08FB">
      <w:pPr>
        <w:pStyle w:val="ListParagraph"/>
        <w:numPr>
          <w:ilvl w:val="0"/>
          <w:numId w:val="72"/>
        </w:numPr>
        <w:contextualSpacing w:val="0"/>
        <w:jc w:val="left"/>
      </w:pPr>
      <w:r w:rsidRPr="00B75B77">
        <w:t>Thinking of the additional measure(s) you installed on your own at this same facility, how do the energy savings compare to what you installed through the program? Were the savings lower, about the same, or higher? (Probe for percentage as compared to all incented projects.)</w:t>
      </w:r>
    </w:p>
    <w:p w:rsidR="008872A9" w:rsidRPr="00B75B77" w:rsidRDefault="008872A9" w:rsidP="009E08FB">
      <w:pPr>
        <w:pStyle w:val="ListParagraph"/>
        <w:numPr>
          <w:ilvl w:val="0"/>
          <w:numId w:val="72"/>
        </w:numPr>
        <w:contextualSpacing w:val="0"/>
        <w:jc w:val="left"/>
      </w:pPr>
      <w:r w:rsidRPr="00B75B77">
        <w:lastRenderedPageBreak/>
        <w:t>Since participating in the program, have you installed any energy efficient measures in other facilities within PECO’s territory?</w:t>
      </w:r>
    </w:p>
    <w:p w:rsidR="008872A9" w:rsidRPr="00B75B77" w:rsidRDefault="008872A9" w:rsidP="009E08FB">
      <w:pPr>
        <w:pStyle w:val="ListParagraph"/>
        <w:numPr>
          <w:ilvl w:val="0"/>
          <w:numId w:val="72"/>
        </w:numPr>
        <w:contextualSpacing w:val="0"/>
        <w:jc w:val="left"/>
      </w:pPr>
      <w:r w:rsidRPr="00B75B77">
        <w:t>Thinking of these additional measure(s) you installed on your own at other facilities, how does the quantity compare to what you installed through the program? Did you install more, less, or the same amount of measures? (Probe for percentage as compared to all incented projects.)</w:t>
      </w:r>
    </w:p>
    <w:p w:rsidR="008872A9" w:rsidRPr="00B75B77" w:rsidRDefault="008872A9" w:rsidP="009E08FB">
      <w:pPr>
        <w:pStyle w:val="ListParagraph"/>
        <w:numPr>
          <w:ilvl w:val="0"/>
          <w:numId w:val="72"/>
        </w:numPr>
        <w:contextualSpacing w:val="0"/>
        <w:jc w:val="left"/>
      </w:pPr>
      <w:r w:rsidRPr="00B75B77">
        <w:t>Have or will these measures receive incentives through the program?</w:t>
      </w:r>
    </w:p>
    <w:p w:rsidR="008872A9" w:rsidRPr="00B75B77" w:rsidRDefault="008872A9" w:rsidP="009E08FB">
      <w:pPr>
        <w:pStyle w:val="ListParagraph"/>
        <w:numPr>
          <w:ilvl w:val="0"/>
          <w:numId w:val="72"/>
        </w:numPr>
        <w:contextualSpacing w:val="0"/>
        <w:jc w:val="left"/>
      </w:pPr>
      <w:r w:rsidRPr="00B75B77">
        <w:t>What were the reasons that they did not receive an incentive?</w:t>
      </w:r>
    </w:p>
    <w:p w:rsidR="00093474" w:rsidRPr="00B75B77" w:rsidRDefault="00093474" w:rsidP="00707B64"/>
    <w:p w:rsidR="008872A9" w:rsidRPr="00B75B77" w:rsidRDefault="008872A9" w:rsidP="00707B64">
      <w:r w:rsidRPr="00B75B77">
        <w:t>The battery of questions attempted to quantify all the savings from additional non-incented equipment installed after the respondent’s participation in the program. Additionally, the evaluation team included a question about the level of influence the program had on the respondent’s decision to install the additional measures. An example of the question is below.</w:t>
      </w:r>
    </w:p>
    <w:p w:rsidR="008872A9" w:rsidRPr="00B75B77" w:rsidRDefault="008872A9" w:rsidP="00707B64"/>
    <w:p w:rsidR="008872A9" w:rsidRPr="00B75B77" w:rsidRDefault="008872A9" w:rsidP="009E08FB">
      <w:pPr>
        <w:numPr>
          <w:ilvl w:val="0"/>
          <w:numId w:val="73"/>
        </w:numPr>
      </w:pPr>
      <w:r w:rsidRPr="00B75B77">
        <w:t>On a 0 to 5 scale, with 0 meaning “</w:t>
      </w:r>
      <w:r w:rsidR="0054059D" w:rsidRPr="00B75B77">
        <w:t>N</w:t>
      </w:r>
      <w:r w:rsidRPr="00B75B77">
        <w:t>ot at all influential” and 5 meaning “</w:t>
      </w:r>
      <w:r w:rsidR="0054059D" w:rsidRPr="00B75B77">
        <w:t>E</w:t>
      </w:r>
      <w:r w:rsidRPr="00B75B77">
        <w:t>xtremely influential,” how influential was your experience with PECO's program in your decision to install the additional energy efficient equipment?</w:t>
      </w:r>
    </w:p>
    <w:p w:rsidR="00093474" w:rsidRPr="00B75B77" w:rsidRDefault="00093474" w:rsidP="00707B64"/>
    <w:p w:rsidR="008872A9" w:rsidRPr="00B75B77" w:rsidRDefault="008872A9" w:rsidP="00707B64">
      <w:r w:rsidRPr="00B75B77">
        <w:t>The team assigned the influence rating a value, which determined what proportion of the measure’s energy savings were attributed to the program:</w:t>
      </w:r>
    </w:p>
    <w:p w:rsidR="008872A9" w:rsidRPr="00B75B77" w:rsidRDefault="008872A9" w:rsidP="00707B64"/>
    <w:p w:rsidR="008872A9" w:rsidRPr="00B75B77" w:rsidRDefault="008872A9" w:rsidP="009E08FB">
      <w:pPr>
        <w:pStyle w:val="ListParagraph"/>
        <w:numPr>
          <w:ilvl w:val="0"/>
          <w:numId w:val="70"/>
        </w:numPr>
        <w:contextualSpacing w:val="0"/>
      </w:pPr>
      <w:r w:rsidRPr="00B75B77">
        <w:t>A rating of 4 or 5 = 1.0 (full savings attributed to the program)</w:t>
      </w:r>
    </w:p>
    <w:p w:rsidR="008872A9" w:rsidRPr="00B75B77" w:rsidRDefault="008872A9" w:rsidP="009E08FB">
      <w:pPr>
        <w:pStyle w:val="ListParagraph"/>
        <w:numPr>
          <w:ilvl w:val="0"/>
          <w:numId w:val="70"/>
        </w:numPr>
        <w:contextualSpacing w:val="0"/>
      </w:pPr>
      <w:r w:rsidRPr="00B75B77">
        <w:t>A rating of 2 or 3 = 0.5 (half of the savings attributed to the program)</w:t>
      </w:r>
    </w:p>
    <w:p w:rsidR="008872A9" w:rsidRPr="00B75B77" w:rsidRDefault="008872A9" w:rsidP="009E08FB">
      <w:pPr>
        <w:pStyle w:val="ListParagraph"/>
        <w:numPr>
          <w:ilvl w:val="0"/>
          <w:numId w:val="70"/>
        </w:numPr>
        <w:contextualSpacing w:val="0"/>
      </w:pPr>
      <w:r w:rsidRPr="00B75B77">
        <w:t>A rating of 0 or 1 = 0 (no savings attributed to the program)</w:t>
      </w:r>
    </w:p>
    <w:p w:rsidR="00093474" w:rsidRPr="00B75B77" w:rsidRDefault="00093474" w:rsidP="00707B64"/>
    <w:p w:rsidR="008872A9" w:rsidRPr="00B75B77" w:rsidRDefault="008872A9" w:rsidP="00707B64">
      <w:r w:rsidRPr="00B75B77">
        <w:t>Where applicable, Navigant calculated the savings for each additional measure installed per the TRM. For measures not included in the TRM, the evaluator may conduct a brief engineering analysis to assess savings or to identify an alternative source and methodology for assessing savings.</w:t>
      </w:r>
    </w:p>
    <w:p w:rsidR="008872A9" w:rsidRPr="00B75B77" w:rsidRDefault="008872A9" w:rsidP="00707B64"/>
    <w:p w:rsidR="008872A9" w:rsidRPr="00B75B77" w:rsidRDefault="008872A9" w:rsidP="00707B64">
      <w:r w:rsidRPr="00B75B77">
        <w:t xml:space="preserve">Navigant calculated spillover for measures reported as the product of the measure savings, number of units, and influence score, as illustrated in </w:t>
      </w:r>
      <w:r w:rsidR="00D56E1C" w:rsidRPr="00B75B77">
        <w:fldChar w:fldCharType="begin"/>
      </w:r>
      <w:r w:rsidR="00D56E1C" w:rsidRPr="00B75B77">
        <w:instrText xml:space="preserve"> REF _Ref464222991 \h  \* MERGEFORMAT </w:instrText>
      </w:r>
      <w:r w:rsidR="00D56E1C" w:rsidRPr="00B75B77">
        <w:fldChar w:fldCharType="separate"/>
      </w:r>
      <w:r w:rsidR="0004016D" w:rsidRPr="00B75B77">
        <w:t xml:space="preserve">Equation </w:t>
      </w:r>
      <w:r w:rsidR="0004016D">
        <w:rPr>
          <w:noProof/>
        </w:rPr>
        <w:t>11</w:t>
      </w:r>
      <w:r w:rsidR="0004016D" w:rsidRPr="00B75B77">
        <w:rPr>
          <w:noProof/>
        </w:rPr>
        <w:noBreakHyphen/>
      </w:r>
      <w:r w:rsidR="0004016D">
        <w:rPr>
          <w:noProof/>
        </w:rPr>
        <w:t>3</w:t>
      </w:r>
      <w:r w:rsidR="00D56E1C" w:rsidRPr="00B75B77">
        <w:fldChar w:fldCharType="end"/>
      </w:r>
      <w:r w:rsidRPr="00B75B77">
        <w:t xml:space="preserve">. Navigant calculated all spillover estimates using customer self-reported data and did not conduct follow-up interviews or site visits. </w:t>
      </w:r>
    </w:p>
    <w:p w:rsidR="008872A9" w:rsidRPr="00B75B77" w:rsidRDefault="008872A9" w:rsidP="00707B64"/>
    <w:p w:rsidR="008872A9" w:rsidRPr="00B75B77" w:rsidRDefault="008872A9" w:rsidP="00707B64">
      <w:pPr>
        <w:pStyle w:val="Caption"/>
      </w:pPr>
      <w:bookmarkStart w:id="728" w:name="_Ref464222991"/>
      <w:bookmarkStart w:id="729" w:name="_Toc466413701"/>
      <w:r w:rsidRPr="00B75B77">
        <w:t xml:space="preserve">Equation </w:t>
      </w:r>
      <w:fldSimple w:instr=" STYLEREF 1 \s ">
        <w:r w:rsidR="0004016D">
          <w:rPr>
            <w:noProof/>
          </w:rPr>
          <w:t>11</w:t>
        </w:r>
      </w:fldSimple>
      <w:r w:rsidRPr="00B75B77">
        <w:noBreakHyphen/>
      </w:r>
      <w:fldSimple w:instr=" SEQ Equation \* ARABIC \s 1 ">
        <w:r w:rsidR="0004016D">
          <w:rPr>
            <w:noProof/>
          </w:rPr>
          <w:t>3</w:t>
        </w:r>
      </w:fldSimple>
      <w:bookmarkEnd w:id="728"/>
      <w:r w:rsidR="00D56E1C" w:rsidRPr="00B75B77">
        <w:t>:</w:t>
      </w:r>
      <w:r w:rsidRPr="00B75B77">
        <w:t xml:space="preserve"> Spillover Savings from Installed Measures</w:t>
      </w:r>
      <w:bookmarkEnd w:id="729"/>
    </w:p>
    <w:p w:rsidR="008872A9" w:rsidRPr="00B75B77" w:rsidRDefault="0054059D" w:rsidP="00707B64">
      <w:pPr>
        <w:rPr>
          <w:i/>
        </w:rPr>
      </w:pPr>
      <m:oMathPara>
        <m:oMath>
          <m:r>
            <m:rPr>
              <m:nor/>
            </m:rPr>
            <m:t>Measure SO= Measure Savings *Number of Units*Program Influence</m:t>
          </m:r>
          <m:r>
            <w:rPr>
              <w:rFonts w:ascii="Cambria Math" w:hAnsi="Cambria Math"/>
            </w:rPr>
            <m:t xml:space="preserve"> </m:t>
          </m:r>
        </m:oMath>
      </m:oMathPara>
    </w:p>
    <w:p w:rsidR="00093474" w:rsidRPr="00B75B77" w:rsidRDefault="00093474" w:rsidP="00707B64"/>
    <w:p w:rsidR="008872A9" w:rsidRPr="00B75B77" w:rsidRDefault="008872A9" w:rsidP="00707B64">
      <w:r w:rsidRPr="00B75B77">
        <w:t xml:space="preserve">For each of the above categories, the evaluators then totaled the savings associated with each program participant, to give the overall participant spillover savings reflected in </w:t>
      </w:r>
      <w:r w:rsidR="00D56E1C" w:rsidRPr="00B75B77">
        <w:fldChar w:fldCharType="begin"/>
      </w:r>
      <w:r w:rsidR="00D56E1C" w:rsidRPr="00B75B77">
        <w:instrText xml:space="preserve"> REF _Ref464222995 \h </w:instrText>
      </w:r>
      <w:r w:rsidR="00B75B77">
        <w:instrText xml:space="preserve"> \* MERGEFORMAT </w:instrText>
      </w:r>
      <w:r w:rsidR="00D56E1C" w:rsidRPr="00B75B77">
        <w:fldChar w:fldCharType="separate"/>
      </w:r>
      <w:r w:rsidR="0004016D" w:rsidRPr="00B75B77">
        <w:t xml:space="preserve">Equation </w:t>
      </w:r>
      <w:r w:rsidR="0004016D">
        <w:rPr>
          <w:noProof/>
        </w:rPr>
        <w:t>11</w:t>
      </w:r>
      <w:r w:rsidR="0004016D" w:rsidRPr="00B75B77">
        <w:rPr>
          <w:noProof/>
        </w:rPr>
        <w:noBreakHyphen/>
      </w:r>
      <w:r w:rsidR="0004016D">
        <w:rPr>
          <w:noProof/>
        </w:rPr>
        <w:t>4</w:t>
      </w:r>
      <w:r w:rsidR="00D56E1C" w:rsidRPr="00B75B77">
        <w:fldChar w:fldCharType="end"/>
      </w:r>
      <w:r w:rsidR="00D56E1C" w:rsidRPr="00B75B77">
        <w:t>.</w:t>
      </w:r>
    </w:p>
    <w:p w:rsidR="008872A9" w:rsidRPr="00B75B77" w:rsidRDefault="008872A9" w:rsidP="00707B64"/>
    <w:p w:rsidR="008872A9" w:rsidRPr="00B75B77" w:rsidRDefault="008872A9" w:rsidP="00707B64">
      <w:pPr>
        <w:pStyle w:val="Caption"/>
      </w:pPr>
      <w:bookmarkStart w:id="730" w:name="_Ref464222995"/>
      <w:bookmarkStart w:id="731" w:name="_Toc466413702"/>
      <w:r w:rsidRPr="00B75B77">
        <w:t xml:space="preserve">Equation </w:t>
      </w:r>
      <w:fldSimple w:instr=" STYLEREF 1 \s ">
        <w:r w:rsidR="0004016D">
          <w:rPr>
            <w:noProof/>
          </w:rPr>
          <w:t>11</w:t>
        </w:r>
      </w:fldSimple>
      <w:r w:rsidRPr="00B75B77">
        <w:noBreakHyphen/>
      </w:r>
      <w:fldSimple w:instr=" SEQ Equation \* ARABIC \s 1 ">
        <w:r w:rsidR="0004016D">
          <w:rPr>
            <w:noProof/>
          </w:rPr>
          <w:t>4</w:t>
        </w:r>
      </w:fldSimple>
      <w:bookmarkEnd w:id="730"/>
      <w:r w:rsidR="00D56E1C" w:rsidRPr="00B75B77">
        <w:t>:</w:t>
      </w:r>
      <w:r w:rsidRPr="00B75B77">
        <w:t xml:space="preserve"> Overall Participant Spillover</w:t>
      </w:r>
      <w:bookmarkEnd w:id="731"/>
    </w:p>
    <w:p w:rsidR="008872A9" w:rsidRPr="00B75B77" w:rsidRDefault="008872A9" w:rsidP="00707B64">
      <w:pPr>
        <w:jc w:val="center"/>
        <w:rPr>
          <w:i/>
        </w:rPr>
      </w:pPr>
      <w:r w:rsidRPr="00B75B77">
        <w:rPr>
          <w:i/>
        </w:rPr>
        <w:t xml:space="preserve">Participant SO = </w:t>
      </w:r>
      <w:proofErr w:type="spellStart"/>
      <w:r w:rsidRPr="00B75B77">
        <w:rPr>
          <w:i/>
        </w:rPr>
        <w:t>ΣMeasure</w:t>
      </w:r>
      <w:proofErr w:type="spellEnd"/>
      <w:r w:rsidRPr="00B75B77">
        <w:rPr>
          <w:i/>
        </w:rPr>
        <w:t xml:space="preserve"> SO</w:t>
      </w:r>
    </w:p>
    <w:p w:rsidR="008872A9" w:rsidRPr="00B75B77" w:rsidRDefault="008872A9" w:rsidP="00707B64">
      <w:pPr>
        <w:jc w:val="center"/>
        <w:rPr>
          <w:i/>
        </w:rPr>
      </w:pPr>
    </w:p>
    <w:p w:rsidR="008872A9" w:rsidRPr="00B75B77" w:rsidRDefault="008872A9" w:rsidP="00707B64">
      <w:r w:rsidRPr="00B75B77">
        <w:t xml:space="preserve">The team then multiplied the mean participant spillover savings for the participant sample by the total number of participants to yield an estimated total participant spillover savings for the program. </w:t>
      </w:r>
      <w:r w:rsidR="00D56E1C" w:rsidRPr="00B75B77">
        <w:fldChar w:fldCharType="begin"/>
      </w:r>
      <w:r w:rsidR="00D56E1C" w:rsidRPr="00B75B77">
        <w:instrText xml:space="preserve"> REF _Ref464223000 \h </w:instrText>
      </w:r>
      <w:r w:rsidR="00B75B77">
        <w:instrText xml:space="preserve"> \* MERGEFORMAT </w:instrText>
      </w:r>
      <w:r w:rsidR="00D56E1C" w:rsidRPr="00B75B77">
        <w:fldChar w:fldCharType="separate"/>
      </w:r>
      <w:r w:rsidR="0004016D" w:rsidRPr="00B75B77">
        <w:t xml:space="preserve">Equation </w:t>
      </w:r>
      <w:r w:rsidR="0004016D">
        <w:rPr>
          <w:noProof/>
        </w:rPr>
        <w:t>11</w:t>
      </w:r>
      <w:r w:rsidR="0004016D" w:rsidRPr="00B75B77">
        <w:rPr>
          <w:noProof/>
        </w:rPr>
        <w:noBreakHyphen/>
      </w:r>
      <w:r w:rsidR="0004016D">
        <w:rPr>
          <w:noProof/>
        </w:rPr>
        <w:t>5</w:t>
      </w:r>
      <w:r w:rsidR="00D56E1C" w:rsidRPr="00B75B77">
        <w:fldChar w:fldCharType="end"/>
      </w:r>
      <w:r w:rsidRPr="00B75B77">
        <w:t xml:space="preserve"> shows the algorithm used to calculate spillover for the program.</w:t>
      </w:r>
    </w:p>
    <w:p w:rsidR="008872A9" w:rsidRPr="00B75B77" w:rsidRDefault="008872A9" w:rsidP="00707B64"/>
    <w:p w:rsidR="008872A9" w:rsidRPr="00B75B77" w:rsidRDefault="008872A9" w:rsidP="00707B64">
      <w:pPr>
        <w:pStyle w:val="Caption"/>
      </w:pPr>
      <w:bookmarkStart w:id="732" w:name="_Ref464223000"/>
      <w:bookmarkStart w:id="733" w:name="_Toc466413703"/>
      <w:r w:rsidRPr="00B75B77">
        <w:t xml:space="preserve">Equation </w:t>
      </w:r>
      <w:fldSimple w:instr=" STYLEREF 1 \s ">
        <w:r w:rsidR="0004016D">
          <w:rPr>
            <w:noProof/>
          </w:rPr>
          <w:t>11</w:t>
        </w:r>
      </w:fldSimple>
      <w:r w:rsidRPr="00B75B77">
        <w:noBreakHyphen/>
      </w:r>
      <w:fldSimple w:instr=" SEQ Equation \* ARABIC \s 1 ">
        <w:r w:rsidR="0004016D">
          <w:rPr>
            <w:noProof/>
          </w:rPr>
          <w:t>5</w:t>
        </w:r>
      </w:fldSimple>
      <w:bookmarkEnd w:id="732"/>
      <w:r w:rsidR="00D56E1C" w:rsidRPr="00B75B77">
        <w:t>:</w:t>
      </w:r>
      <w:r w:rsidRPr="00B75B77">
        <w:t xml:space="preserve"> Spillover Savings for the Program</w:t>
      </w:r>
      <w:bookmarkEnd w:id="733"/>
    </w:p>
    <w:p w:rsidR="008872A9" w:rsidRPr="00B75B77" w:rsidRDefault="0054059D" w:rsidP="00707B64">
      <w:pPr>
        <w:jc w:val="center"/>
        <w:rPr>
          <w:i/>
          <w:lang w:val="fr-HT"/>
        </w:rPr>
      </w:pPr>
      <w:proofErr w:type="spellStart"/>
      <m:oMath>
        <m:r>
          <m:rPr>
            <m:nor/>
          </m:rPr>
          <m:t>ΣParticipant</m:t>
        </m:r>
        <w:proofErr w:type="spellEnd"/>
        <m:r>
          <m:rPr>
            <m:nor/>
          </m:rPr>
          <w:rPr>
            <w:lang w:val="fr-HT"/>
          </w:rPr>
          <m:t xml:space="preserve"> </m:t>
        </m:r>
        <m:r>
          <m:rPr>
            <m:nor/>
          </m:rPr>
          <m:t>SO</m:t>
        </m:r>
        <m:r>
          <m:rPr>
            <m:nor/>
          </m:rPr>
          <w:rPr>
            <w:lang w:val="fr-HT"/>
          </w:rPr>
          <m:t xml:space="preserve"> (</m:t>
        </m:r>
        <m:r>
          <m:rPr>
            <m:nor/>
          </m:rPr>
          <m:t>population</m:t>
        </m:r>
        <m:r>
          <m:rPr>
            <m:nor/>
          </m:rPr>
          <w:rPr>
            <w:lang w:val="fr-HT"/>
          </w:rPr>
          <m:t xml:space="preserve">)= </m:t>
        </m:r>
        <m:f>
          <m:fPr>
            <m:ctrlPr>
              <w:rPr>
                <w:rFonts w:ascii="Cambria Math" w:hAnsi="Cambria Math"/>
                <w:i/>
              </w:rPr>
            </m:ctrlPr>
          </m:fPr>
          <m:num>
            <m:nary>
              <m:naryPr>
                <m:chr m:val="∑"/>
                <m:limLoc m:val="undOvr"/>
                <m:subHide m:val="1"/>
                <m:supHide m:val="1"/>
                <m:ctrlPr>
                  <w:rPr>
                    <w:rFonts w:ascii="Cambria Math" w:hAnsi="Cambria Math"/>
                    <w:i/>
                  </w:rPr>
                </m:ctrlPr>
              </m:naryPr>
              <m:sub/>
              <m:sup/>
              <m:e>
                <m:r>
                  <m:rPr>
                    <m:nor/>
                  </m:rPr>
                  <m:t>Participant</m:t>
                </m:r>
                <m:r>
                  <m:rPr>
                    <m:nor/>
                  </m:rPr>
                  <w:rPr>
                    <w:lang w:val="fr-HT"/>
                  </w:rPr>
                  <m:t xml:space="preserve"> </m:t>
                </m:r>
                <m:r>
                  <m:rPr>
                    <m:nor/>
                  </m:rPr>
                  <m:t>SO</m:t>
                </m:r>
                <m:r>
                  <m:rPr>
                    <m:nor/>
                  </m:rPr>
                  <w:rPr>
                    <w:lang w:val="fr-HT"/>
                  </w:rPr>
                  <m:t xml:space="preserve"> (</m:t>
                </m:r>
                <m:r>
                  <m:rPr>
                    <m:nor/>
                  </m:rPr>
                  <m:t>sample</m:t>
                </m:r>
                <m:r>
                  <m:rPr>
                    <m:nor/>
                  </m:rPr>
                  <w:rPr>
                    <w:lang w:val="fr-HT"/>
                  </w:rPr>
                  <m:t>)</m:t>
                </m:r>
              </m:e>
            </m:nary>
          </m:num>
          <m:den>
            <m:r>
              <m:rPr>
                <m:nor/>
              </m:rPr>
              <m:t>Sample</m:t>
            </m:r>
            <m:r>
              <m:rPr>
                <m:nor/>
              </m:rPr>
              <w:rPr>
                <w:lang w:val="fr-HT"/>
              </w:rPr>
              <m:t xml:space="preserve"> </m:t>
            </m:r>
            <m:r>
              <m:rPr>
                <m:nor/>
              </m:rPr>
              <m:t>n</m:t>
            </m:r>
          </m:den>
        </m:f>
      </m:oMath>
      <w:r w:rsidR="008872A9" w:rsidRPr="00B75B77">
        <w:rPr>
          <w:lang w:val="fr-HT"/>
        </w:rPr>
        <w:t xml:space="preserve"> </w:t>
      </w:r>
      <m:oMath>
        <m:r>
          <w:rPr>
            <w:rFonts w:ascii="Cambria Math" w:hAnsi="Cambria Math"/>
            <w:lang w:val="fr-HT"/>
          </w:rPr>
          <m:t>*</m:t>
        </m:r>
      </m:oMath>
      <w:r w:rsidR="008872A9" w:rsidRPr="00B75B77">
        <w:rPr>
          <w:lang w:val="fr-HT"/>
        </w:rPr>
        <w:t xml:space="preserve"> Population </w:t>
      </w:r>
      <w:r w:rsidR="008872A9" w:rsidRPr="00B75B77">
        <w:rPr>
          <w:i/>
          <w:lang w:val="fr-HT"/>
        </w:rPr>
        <w:t>N</w:t>
      </w:r>
    </w:p>
    <w:p w:rsidR="008872A9" w:rsidRPr="00B75B77" w:rsidRDefault="008872A9" w:rsidP="00707B64">
      <w:pPr>
        <w:jc w:val="center"/>
        <w:rPr>
          <w:lang w:val="fr-HT"/>
        </w:rPr>
      </w:pPr>
    </w:p>
    <w:p w:rsidR="008872A9" w:rsidRPr="00B75B77" w:rsidRDefault="008872A9" w:rsidP="00707B64">
      <w:r w:rsidRPr="00B75B77">
        <w:lastRenderedPageBreak/>
        <w:t xml:space="preserve">Finally, the team divided the total savings by the total program savings to yield a participant spillover percentage, as shown in </w:t>
      </w:r>
      <w:r w:rsidR="00D56E1C" w:rsidRPr="00B75B77">
        <w:fldChar w:fldCharType="begin"/>
      </w:r>
      <w:r w:rsidR="00D56E1C" w:rsidRPr="00B75B77">
        <w:instrText xml:space="preserve"> REF _Ref464223008 \h </w:instrText>
      </w:r>
      <w:r w:rsidR="00B75B77">
        <w:instrText xml:space="preserve"> \* MERGEFORMAT </w:instrText>
      </w:r>
      <w:r w:rsidR="00D56E1C" w:rsidRPr="00B75B77">
        <w:fldChar w:fldCharType="separate"/>
      </w:r>
      <w:r w:rsidR="0004016D" w:rsidRPr="00B75B77">
        <w:t xml:space="preserve">Equation </w:t>
      </w:r>
      <w:r w:rsidR="0004016D">
        <w:rPr>
          <w:noProof/>
        </w:rPr>
        <w:t>11</w:t>
      </w:r>
      <w:r w:rsidR="0004016D" w:rsidRPr="00B75B77">
        <w:rPr>
          <w:noProof/>
        </w:rPr>
        <w:noBreakHyphen/>
      </w:r>
      <w:r w:rsidR="0004016D">
        <w:rPr>
          <w:noProof/>
        </w:rPr>
        <w:t>6</w:t>
      </w:r>
      <w:r w:rsidR="00D56E1C" w:rsidRPr="00B75B77">
        <w:fldChar w:fldCharType="end"/>
      </w:r>
    </w:p>
    <w:p w:rsidR="008872A9" w:rsidRPr="00B75B77" w:rsidRDefault="008872A9" w:rsidP="00707B64"/>
    <w:p w:rsidR="008872A9" w:rsidRPr="00B75B77" w:rsidRDefault="008872A9" w:rsidP="00707B64">
      <w:pPr>
        <w:pStyle w:val="Caption"/>
      </w:pPr>
      <w:bookmarkStart w:id="734" w:name="_Ref464223008"/>
      <w:bookmarkStart w:id="735" w:name="_Toc466413704"/>
      <w:r w:rsidRPr="00B75B77">
        <w:t xml:space="preserve">Equation </w:t>
      </w:r>
      <w:fldSimple w:instr=" STYLEREF 1 \s ">
        <w:r w:rsidR="0004016D">
          <w:rPr>
            <w:noProof/>
          </w:rPr>
          <w:t>11</w:t>
        </w:r>
      </w:fldSimple>
      <w:r w:rsidRPr="00B75B77">
        <w:noBreakHyphen/>
      </w:r>
      <w:fldSimple w:instr=" SEQ Equation \* ARABIC \s 1 ">
        <w:r w:rsidR="0004016D">
          <w:rPr>
            <w:noProof/>
          </w:rPr>
          <w:t>6</w:t>
        </w:r>
      </w:fldSimple>
      <w:bookmarkEnd w:id="734"/>
      <w:r w:rsidR="00037B84" w:rsidRPr="00B75B77">
        <w:t>:</w:t>
      </w:r>
      <w:r w:rsidRPr="00B75B77">
        <w:t xml:space="preserve"> Participant Spillover Percentage</w:t>
      </w:r>
      <w:bookmarkEnd w:id="735"/>
    </w:p>
    <w:p w:rsidR="008872A9" w:rsidRPr="00B75B77" w:rsidRDefault="0054059D" w:rsidP="00707B64">
      <w:pPr>
        <w:jc w:val="center"/>
      </w:pPr>
      <m:oMath>
        <m:r>
          <m:rPr>
            <m:nor/>
          </m:rPr>
          <m:t xml:space="preserve">% Participant SO = </m:t>
        </m:r>
        <m:f>
          <m:fPr>
            <m:ctrlPr>
              <w:rPr>
                <w:rFonts w:ascii="Cambria Math" w:hAnsi="Cambria Math"/>
                <w:i/>
              </w:rPr>
            </m:ctrlPr>
          </m:fPr>
          <m:num>
            <m:nary>
              <m:naryPr>
                <m:chr m:val="∑"/>
                <m:limLoc m:val="undOvr"/>
                <m:subHide m:val="1"/>
                <m:supHide m:val="1"/>
                <m:ctrlPr>
                  <w:rPr>
                    <w:rFonts w:ascii="Cambria Math" w:hAnsi="Cambria Math"/>
                    <w:i/>
                  </w:rPr>
                </m:ctrlPr>
              </m:naryPr>
              <m:sub/>
              <m:sup/>
              <m:e>
                <m:r>
                  <m:rPr>
                    <m:nor/>
                  </m:rPr>
                  <m:t>Participant SO (population)</m:t>
                </m:r>
              </m:e>
            </m:nary>
          </m:num>
          <m:den>
            <m:r>
              <m:rPr>
                <m:nor/>
              </m:rPr>
              <m:t>Program Savings</m:t>
            </m:r>
          </m:den>
        </m:f>
      </m:oMath>
      <w:r w:rsidR="008872A9" w:rsidRPr="00B75B77">
        <w:t xml:space="preserve"> </w:t>
      </w:r>
      <m:oMath>
        <m:r>
          <w:rPr>
            <w:rFonts w:ascii="Cambria Math" w:hAnsi="Cambria Math"/>
          </w:rPr>
          <m:t>*</m:t>
        </m:r>
      </m:oMath>
      <w:r w:rsidR="008872A9" w:rsidRPr="00B75B77">
        <w:t xml:space="preserve"> 100</w:t>
      </w:r>
    </w:p>
    <w:p w:rsidR="008872A9" w:rsidRPr="00B75B77" w:rsidRDefault="008872A9" w:rsidP="004D2FBE"/>
    <w:p w:rsidR="008872A9" w:rsidRPr="00B75B77" w:rsidRDefault="008872A9" w:rsidP="00707B64">
      <w:pPr>
        <w:pStyle w:val="Heading3"/>
      </w:pPr>
      <w:bookmarkStart w:id="736" w:name="_Toc464230464"/>
      <w:bookmarkStart w:id="737" w:name="_Toc466413403"/>
      <w:bookmarkEnd w:id="736"/>
      <w:r w:rsidRPr="00B75B77">
        <w:t>Net Verified Savings Results</w:t>
      </w:r>
      <w:bookmarkEnd w:id="737"/>
      <w:r w:rsidRPr="00B75B77">
        <w:t xml:space="preserve"> </w:t>
      </w:r>
    </w:p>
    <w:p w:rsidR="008872A9" w:rsidRPr="00B75B77" w:rsidRDefault="008872A9" w:rsidP="00707B64">
      <w:r w:rsidRPr="00B75B77">
        <w:t xml:space="preserve">The SEI C&amp;I NTG evaluation research in PY7 resulted in lower confidence and precision than planned, due to a low survey response rate among larger participants. Several of the largest participants failed to respond to the NTG survey, despite repeated requests from the evaluation team. This issue was compounded by the fact that several surveys were completed by contractors as opposed to decision makers, which resulted in those responses being omitted from the sample. This issue has been observed in previous evaluations as well, and </w:t>
      </w:r>
      <w:r w:rsidR="00E92EDC" w:rsidRPr="00B75B77">
        <w:t>is</w:t>
      </w:r>
      <w:r w:rsidRPr="00B75B77">
        <w:t xml:space="preserve"> further discussed in Section </w:t>
      </w:r>
      <w:r w:rsidRPr="00B75B77">
        <w:fldChar w:fldCharType="begin"/>
      </w:r>
      <w:r w:rsidRPr="00B75B77">
        <w:instrText xml:space="preserve"> REF _Ref462997822 \r \p \h </w:instrText>
      </w:r>
      <w:r w:rsidR="00DA6B46" w:rsidRPr="00B75B77">
        <w:instrText xml:space="preserve"> \* MERGEFORMAT </w:instrText>
      </w:r>
      <w:r w:rsidRPr="00B75B77">
        <w:fldChar w:fldCharType="separate"/>
      </w:r>
      <w:r w:rsidR="0004016D">
        <w:t>11.4 below</w:t>
      </w:r>
      <w:r w:rsidRPr="00B75B77">
        <w:fldChar w:fldCharType="end"/>
      </w:r>
      <w:r w:rsidRPr="00B75B77">
        <w:t>.</w:t>
      </w:r>
    </w:p>
    <w:p w:rsidR="008872A9" w:rsidRPr="00B75B77" w:rsidRDefault="008872A9" w:rsidP="00707B64"/>
    <w:p w:rsidR="008872A9" w:rsidRPr="00B75B77" w:rsidRDefault="008872A9" w:rsidP="00707B64">
      <w:r w:rsidRPr="00B75B77">
        <w:t xml:space="preserve">In PY7, the Navigant team analyzed the responses of the online survey through which spillover was identified based on participant responses. Navigant designed the spillover survey questions to identify those cases where spillover was possible and to quantify the self-reported energy and demand savings from the spillover equipment installation. </w:t>
      </w:r>
    </w:p>
    <w:p w:rsidR="008872A9" w:rsidRPr="00B75B77" w:rsidRDefault="008872A9" w:rsidP="00707B64"/>
    <w:p w:rsidR="008872A9" w:rsidRPr="00B75B77" w:rsidRDefault="008872A9" w:rsidP="00707B64">
      <w:r w:rsidRPr="00B75B77">
        <w:t xml:space="preserve">As shown in </w:t>
      </w:r>
      <w:r w:rsidRPr="00B75B77">
        <w:fldChar w:fldCharType="begin"/>
      </w:r>
      <w:r w:rsidRPr="00B75B77">
        <w:instrText xml:space="preserve"> REF _Ref432684858 \h </w:instrText>
      </w:r>
      <w:r w:rsidR="00093474" w:rsidRPr="00B75B77">
        <w:instrText xml:space="preserve"> \* MERGEFORMAT </w:instrText>
      </w:r>
      <w:r w:rsidRPr="00B75B77">
        <w:fldChar w:fldCharType="separate"/>
      </w:r>
      <w:r w:rsidR="0004016D" w:rsidRPr="00B75B77">
        <w:t xml:space="preserve">Figure </w:t>
      </w:r>
      <w:r w:rsidR="0004016D">
        <w:rPr>
          <w:noProof/>
        </w:rPr>
        <w:t>11</w:t>
      </w:r>
      <w:r w:rsidR="0004016D" w:rsidRPr="00B75B77">
        <w:rPr>
          <w:noProof/>
        </w:rPr>
        <w:noBreakHyphen/>
      </w:r>
      <w:r w:rsidR="0004016D">
        <w:rPr>
          <w:noProof/>
        </w:rPr>
        <w:t>2</w:t>
      </w:r>
      <w:r w:rsidRPr="00B75B77">
        <w:fldChar w:fldCharType="end"/>
      </w:r>
      <w:r w:rsidRPr="00B75B77">
        <w:t>, the Navigant team determined that of the 51 participants surveyed, 21 reported installing additional energy efficient equipment. Out of the 21 participants, 14 participants either could not verify that the spillover projects were developed during P</w:t>
      </w:r>
      <w:r w:rsidR="00C8082F" w:rsidRPr="00B75B77">
        <w:t>Y7</w:t>
      </w:r>
      <w:r w:rsidRPr="00B75B77">
        <w:t xml:space="preserve"> or did not give enough information to estimate energy savings. </w:t>
      </w:r>
    </w:p>
    <w:p w:rsidR="008872A9" w:rsidRPr="00B75B77" w:rsidRDefault="008872A9" w:rsidP="00707B64"/>
    <w:p w:rsidR="008872A9" w:rsidRPr="00B75B77" w:rsidRDefault="008872A9" w:rsidP="00707B64">
      <w:pPr>
        <w:keepNext/>
      </w:pPr>
      <w:r w:rsidRPr="00B75B77">
        <w:t>While the spillover evaluation revealed a high percentage of self-reported activity, only five participants provided enough information to quantify spillover; the spillover calculated was 0.01.</w:t>
      </w:r>
    </w:p>
    <w:p w:rsidR="008872A9" w:rsidRPr="00B75B77" w:rsidRDefault="008872A9" w:rsidP="00707B64">
      <w:pPr>
        <w:keepNext/>
      </w:pPr>
    </w:p>
    <w:p w:rsidR="008872A9" w:rsidRPr="00B75B77" w:rsidRDefault="008872A9" w:rsidP="00707B64">
      <w:pPr>
        <w:pStyle w:val="Caption"/>
      </w:pPr>
      <w:bookmarkStart w:id="738" w:name="_Ref432684858"/>
      <w:bookmarkStart w:id="739" w:name="_Toc434597510"/>
      <w:bookmarkStart w:id="740" w:name="_Toc466413688"/>
      <w:r w:rsidRPr="00B75B77">
        <w:t xml:space="preserve">Figure </w:t>
      </w:r>
      <w:fldSimple w:instr=" STYLEREF 1 \s ">
        <w:r w:rsidR="0004016D">
          <w:rPr>
            <w:noProof/>
          </w:rPr>
          <w:t>11</w:t>
        </w:r>
      </w:fldSimple>
      <w:r w:rsidR="00BA3BA9" w:rsidRPr="00B75B77">
        <w:noBreakHyphen/>
      </w:r>
      <w:fldSimple w:instr=" SEQ Figure \* ARABIC \s 1 ">
        <w:r w:rsidR="0004016D">
          <w:rPr>
            <w:noProof/>
          </w:rPr>
          <w:t>2</w:t>
        </w:r>
      </w:fldSimple>
      <w:bookmarkEnd w:id="738"/>
      <w:r w:rsidRPr="00B75B77">
        <w:t xml:space="preserve">: </w:t>
      </w:r>
      <w:bookmarkEnd w:id="739"/>
      <w:r w:rsidRPr="00B75B77">
        <w:t>Smart Equipment Incentives (C&amp;I) Spillover Results Illustration</w:t>
      </w:r>
      <w:bookmarkEnd w:id="740"/>
    </w:p>
    <w:p w:rsidR="008872A9" w:rsidRPr="00B75B77" w:rsidRDefault="008872A9" w:rsidP="00707B64">
      <w:pPr>
        <w:keepNext/>
        <w:jc w:val="left"/>
        <w:rPr>
          <w:rFonts w:ascii="Palatino Linotype" w:eastAsia="Times New Roman" w:hAnsi="Palatino Linotype"/>
          <w:color w:val="FF0000"/>
          <w:sz w:val="20"/>
          <w:szCs w:val="24"/>
        </w:rPr>
      </w:pPr>
      <w:r w:rsidRPr="00B75B77">
        <w:rPr>
          <w:rFonts w:ascii="Calibri" w:hAnsi="Calibri"/>
          <w:noProof/>
        </w:rPr>
        <mc:AlternateContent>
          <mc:Choice Requires="wps">
            <w:drawing>
              <wp:anchor distT="0" distB="0" distL="114300" distR="114300" simplePos="0" relativeHeight="251659264" behindDoc="0" locked="0" layoutInCell="1" allowOverlap="1" wp14:anchorId="1893BAF5" wp14:editId="767807DE">
                <wp:simplePos x="0" y="0"/>
                <wp:positionH relativeFrom="column">
                  <wp:posOffset>3077845</wp:posOffset>
                </wp:positionH>
                <wp:positionV relativeFrom="paragraph">
                  <wp:posOffset>1581785</wp:posOffset>
                </wp:positionV>
                <wp:extent cx="1073150" cy="619760"/>
                <wp:effectExtent l="0" t="285750" r="12700" b="27940"/>
                <wp:wrapNone/>
                <wp:docPr id="291" name="Rectangular Callout 291"/>
                <wp:cNvGraphicFramePr/>
                <a:graphic xmlns:a="http://schemas.openxmlformats.org/drawingml/2006/main">
                  <a:graphicData uri="http://schemas.microsoft.com/office/word/2010/wordprocessingShape">
                    <wps:wsp>
                      <wps:cNvSpPr/>
                      <wps:spPr>
                        <a:xfrm>
                          <a:off x="0" y="0"/>
                          <a:ext cx="1073150" cy="619760"/>
                        </a:xfrm>
                        <a:prstGeom prst="wedgeRectCallout">
                          <a:avLst>
                            <a:gd name="adj1" fmla="val 23581"/>
                            <a:gd name="adj2" fmla="val -93969"/>
                          </a:avLst>
                        </a:prstGeom>
                        <a:solidFill>
                          <a:sysClr val="window" lastClr="FFFFFF"/>
                        </a:solidFill>
                        <a:ln w="3175" cap="flat" cmpd="sng" algn="ctr">
                          <a:solidFill>
                            <a:sysClr val="windowText" lastClr="000000"/>
                          </a:solidFill>
                          <a:prstDash val="sysDash"/>
                        </a:ln>
                        <a:effectLst/>
                      </wps:spPr>
                      <wps:txbx>
                        <w:txbxContent>
                          <w:p w:rsidR="00E639E7" w:rsidRPr="0054059D" w:rsidRDefault="00E639E7" w:rsidP="00707B64">
                            <w:pPr>
                              <w:jc w:val="center"/>
                              <w:rPr>
                                <w:sz w:val="20"/>
                                <w:szCs w:val="18"/>
                              </w:rPr>
                            </w:pPr>
                            <w:r w:rsidRPr="0054059D">
                              <w:rPr>
                                <w:sz w:val="20"/>
                                <w:szCs w:val="18"/>
                              </w:rPr>
                              <w:t>14% of sample had qualified spillover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91" o:spid="_x0000_s1087" type="#_x0000_t61" style="position:absolute;margin-left:242.35pt;margin-top:124.55pt;width:84.5pt;height:4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" adj="15893,-9497" fillcolor="window" strokecolor="windowText" strokeweight=".25pt">
                <v:stroke dashstyle="3 1"/>
                <v:textbox>
                  <w:txbxContent>
                    <w:p w:rsidR="00E639E7" w:rsidRPr="0054059D" w:rsidRDefault="00E639E7" w:rsidP="00707B64">
                      <w:pPr>
                        <w:jc w:val="center"/>
                        <w:rPr>
                          <w:sz w:val="20"/>
                          <w:szCs w:val="18"/>
                        </w:rPr>
                      </w:pPr>
                      <w:r w:rsidRPr="0054059D">
                        <w:rPr>
                          <w:sz w:val="20"/>
                          <w:szCs w:val="18"/>
                        </w:rPr>
                        <w:t>14% of sample had qualified spillover</w:t>
                      </w:r>
                    </w:p>
                  </w:txbxContent>
                </v:textbox>
              </v:shape>
            </w:pict>
          </mc:Fallback>
        </mc:AlternateContent>
      </w:r>
      <w:r w:rsidRPr="00B75B77">
        <w:rPr>
          <w:rFonts w:ascii="Palatino Linotype" w:eastAsia="Times New Roman" w:hAnsi="Palatino Linotype"/>
          <w:noProof/>
          <w:sz w:val="20"/>
          <w:szCs w:val="24"/>
        </w:rPr>
        <w:drawing>
          <wp:inline distT="0" distB="0" distL="0" distR="0" wp14:anchorId="75D2B8B2" wp14:editId="300477D5">
            <wp:extent cx="5829300" cy="1809750"/>
            <wp:effectExtent l="0" t="0" r="38100" b="0"/>
            <wp:docPr id="296" name="Diagram 2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8872A9" w:rsidRPr="00B75B77" w:rsidRDefault="008872A9" w:rsidP="00707B64">
      <w:pPr>
        <w:pStyle w:val="Source"/>
      </w:pPr>
      <w:r w:rsidRPr="00B75B77">
        <w:t>Source: PY7</w:t>
      </w:r>
      <w:r w:rsidR="00C8082F" w:rsidRPr="00B75B77">
        <w:t xml:space="preserve"> NTG</w:t>
      </w:r>
      <w:r w:rsidRPr="00B75B77">
        <w:t xml:space="preserve"> participant survey</w:t>
      </w:r>
      <w:r w:rsidR="00C8082F" w:rsidRPr="00B75B77">
        <w:t>s</w:t>
      </w:r>
    </w:p>
    <w:p w:rsidR="008872A9" w:rsidRPr="00B75B77" w:rsidRDefault="008872A9" w:rsidP="00707B64"/>
    <w:p w:rsidR="008872A9" w:rsidRPr="00B75B77" w:rsidRDefault="008872A9" w:rsidP="00DA6B46">
      <w:pPr>
        <w:keepNext/>
        <w:keepLines/>
      </w:pPr>
      <w:r w:rsidRPr="00B75B77">
        <w:lastRenderedPageBreak/>
        <w:fldChar w:fldCharType="begin"/>
      </w:r>
      <w:r w:rsidRPr="00B75B77">
        <w:instrText xml:space="preserve"> REF _Ref462997256 \h </w:instrText>
      </w:r>
      <w:r w:rsidR="00093474" w:rsidRPr="00B75B77">
        <w:instrText xml:space="preserve"> \* MERGEFORMAT </w:instrText>
      </w:r>
      <w:r w:rsidRPr="00B75B77">
        <w:fldChar w:fldCharType="separate"/>
      </w:r>
      <w:r w:rsidR="0004016D" w:rsidRPr="00B75B77">
        <w:t xml:space="preserve">Table </w:t>
      </w:r>
      <w:r w:rsidR="0004016D">
        <w:rPr>
          <w:noProof/>
        </w:rPr>
        <w:t>11</w:t>
      </w:r>
      <w:r w:rsidR="0004016D" w:rsidRPr="00B75B77">
        <w:rPr>
          <w:noProof/>
        </w:rPr>
        <w:noBreakHyphen/>
      </w:r>
      <w:r w:rsidR="0004016D">
        <w:rPr>
          <w:noProof/>
        </w:rPr>
        <w:t>7</w:t>
      </w:r>
      <w:r w:rsidRPr="00B75B77">
        <w:fldChar w:fldCharType="end"/>
      </w:r>
      <w:r w:rsidRPr="00B75B77">
        <w:t xml:space="preserve"> shows the results of the PY7 NTG research. </w:t>
      </w:r>
    </w:p>
    <w:p w:rsidR="008872A9" w:rsidRPr="00B75B77" w:rsidRDefault="008872A9" w:rsidP="00DA6B46">
      <w:pPr>
        <w:keepNext/>
        <w:keepLines/>
        <w:jc w:val="left"/>
        <w:rPr>
          <w:b/>
          <w:bCs/>
        </w:rPr>
      </w:pPr>
    </w:p>
    <w:p w:rsidR="008872A9" w:rsidRPr="00B75B77" w:rsidRDefault="008872A9" w:rsidP="00707B64">
      <w:pPr>
        <w:pStyle w:val="Caption"/>
      </w:pPr>
      <w:bookmarkStart w:id="741" w:name="_Ref462997256"/>
      <w:bookmarkStart w:id="742" w:name="_Toc466413594"/>
      <w:r w:rsidRPr="00B75B77">
        <w:t xml:space="preserve">Table </w:t>
      </w:r>
      <w:fldSimple w:instr=" STYLEREF 1 \s ">
        <w:r w:rsidR="0004016D">
          <w:rPr>
            <w:noProof/>
          </w:rPr>
          <w:t>11</w:t>
        </w:r>
      </w:fldSimple>
      <w:r w:rsidR="00F1144C" w:rsidRPr="00B75B77">
        <w:noBreakHyphen/>
      </w:r>
      <w:fldSimple w:instr=" SEQ Table \* ARABIC \s 1 ">
        <w:r w:rsidR="0004016D">
          <w:rPr>
            <w:noProof/>
          </w:rPr>
          <w:t>7</w:t>
        </w:r>
      </w:fldSimple>
      <w:bookmarkEnd w:id="741"/>
      <w:r w:rsidRPr="00B75B77">
        <w:t>: PY7 Smart Equipment Incentives (C&amp;I) Summary of Evaluation Results for NTG Research</w:t>
      </w:r>
      <w:bookmarkEnd w:id="742"/>
    </w:p>
    <w:tbl>
      <w:tblPr>
        <w:tblStyle w:val="MediumShading1-Accent5"/>
        <w:tblW w:w="9374" w:type="dxa"/>
        <w:tblInd w:w="-1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2023"/>
        <w:gridCol w:w="1710"/>
        <w:gridCol w:w="1663"/>
        <w:gridCol w:w="1174"/>
        <w:gridCol w:w="1440"/>
        <w:gridCol w:w="1364"/>
      </w:tblGrid>
      <w:tr w:rsidR="008872A9" w:rsidRPr="00B75B77" w:rsidTr="00C44F8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3" w:type="dxa"/>
            <w:vMerge w:val="restart"/>
            <w:tcBorders>
              <w:top w:val="single" w:sz="4" w:space="0" w:color="auto"/>
              <w:left w:val="single" w:sz="4" w:space="0" w:color="auto"/>
              <w:bottom w:val="single" w:sz="4" w:space="0" w:color="auto"/>
              <w:right w:val="single" w:sz="4" w:space="0" w:color="auto"/>
            </w:tcBorders>
            <w:shd w:val="clear" w:color="auto" w:fill="448A99"/>
            <w:vAlign w:val="center"/>
            <w:hideMark/>
          </w:tcPr>
          <w:p w:rsidR="008872A9" w:rsidRPr="00B75B77" w:rsidRDefault="008872A9" w:rsidP="00707B64">
            <w:pPr>
              <w:keepNext/>
              <w:jc w:val="left"/>
              <w:rPr>
                <w:rFonts w:ascii="Calibri" w:eastAsia="Times New Roman" w:hAnsi="Calibri"/>
                <w:bCs w:val="0"/>
                <w:sz w:val="18"/>
                <w:szCs w:val="18"/>
              </w:rPr>
            </w:pPr>
            <w:r w:rsidRPr="00B75B77">
              <w:rPr>
                <w:rFonts w:ascii="Calibri" w:eastAsia="Times New Roman" w:hAnsi="Calibri"/>
                <w:bCs w:val="0"/>
                <w:sz w:val="18"/>
                <w:szCs w:val="18"/>
              </w:rPr>
              <w:t>Stratum</w:t>
            </w:r>
          </w:p>
        </w:tc>
        <w:tc>
          <w:tcPr>
            <w:tcW w:w="1710" w:type="dxa"/>
            <w:vMerge w:val="restart"/>
            <w:tcBorders>
              <w:top w:val="single" w:sz="4" w:space="0" w:color="auto"/>
              <w:left w:val="single" w:sz="4" w:space="0" w:color="auto"/>
              <w:bottom w:val="single" w:sz="4" w:space="0" w:color="auto"/>
              <w:right w:val="single" w:sz="4" w:space="0" w:color="auto"/>
            </w:tcBorders>
            <w:shd w:val="clear" w:color="auto" w:fill="448A99"/>
            <w:vAlign w:val="center"/>
            <w:hideMark/>
          </w:tcPr>
          <w:p w:rsidR="008872A9" w:rsidRPr="00B75B77" w:rsidRDefault="008872A9" w:rsidP="00707B64">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Estimated Free Ridership</w:t>
            </w:r>
          </w:p>
        </w:tc>
        <w:tc>
          <w:tcPr>
            <w:tcW w:w="1663" w:type="dxa"/>
            <w:vMerge w:val="restart"/>
            <w:tcBorders>
              <w:top w:val="single" w:sz="4" w:space="0" w:color="auto"/>
              <w:left w:val="single" w:sz="4" w:space="0" w:color="auto"/>
              <w:bottom w:val="single" w:sz="4" w:space="0" w:color="auto"/>
              <w:right w:val="single" w:sz="4" w:space="0" w:color="auto"/>
            </w:tcBorders>
            <w:shd w:val="clear" w:color="auto" w:fill="448A99"/>
            <w:vAlign w:val="center"/>
            <w:hideMark/>
          </w:tcPr>
          <w:p w:rsidR="008872A9" w:rsidRPr="00B75B77" w:rsidRDefault="008872A9" w:rsidP="00707B64">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Estimated Participant Spillover</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448A99"/>
            <w:vAlign w:val="center"/>
            <w:hideMark/>
          </w:tcPr>
          <w:p w:rsidR="008872A9" w:rsidRPr="00B75B77" w:rsidRDefault="008872A9" w:rsidP="00707B64">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NTG Ratio</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448A99"/>
            <w:vAlign w:val="center"/>
            <w:hideMark/>
          </w:tcPr>
          <w:p w:rsidR="008872A9" w:rsidRPr="00B75B77" w:rsidRDefault="008872A9" w:rsidP="0054059D">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 xml:space="preserve">Observed </w:t>
            </w:r>
            <w:r w:rsidR="0054059D" w:rsidRPr="00B75B77">
              <w:rPr>
                <w:rFonts w:ascii="Calibri" w:eastAsia="Times New Roman" w:hAnsi="Calibri"/>
                <w:bCs w:val="0"/>
                <w:sz w:val="18"/>
                <w:szCs w:val="18"/>
              </w:rPr>
              <w:t>CV</w:t>
            </w:r>
            <w:r w:rsidRPr="00B75B77">
              <w:rPr>
                <w:rFonts w:ascii="Calibri" w:eastAsia="Times New Roman" w:hAnsi="Calibri"/>
                <w:bCs w:val="0"/>
                <w:sz w:val="18"/>
                <w:szCs w:val="18"/>
              </w:rPr>
              <w:t xml:space="preserve"> or Proportion</w:t>
            </w:r>
          </w:p>
        </w:tc>
        <w:tc>
          <w:tcPr>
            <w:tcW w:w="1364" w:type="dxa"/>
            <w:vMerge w:val="restart"/>
            <w:tcBorders>
              <w:top w:val="single" w:sz="4" w:space="0" w:color="auto"/>
              <w:left w:val="single" w:sz="4" w:space="0" w:color="auto"/>
              <w:bottom w:val="single" w:sz="4" w:space="0" w:color="auto"/>
              <w:right w:val="single" w:sz="4" w:space="0" w:color="auto"/>
            </w:tcBorders>
            <w:shd w:val="clear" w:color="auto" w:fill="448A99"/>
            <w:vAlign w:val="center"/>
            <w:hideMark/>
          </w:tcPr>
          <w:p w:rsidR="008872A9" w:rsidRPr="00B75B77" w:rsidRDefault="008872A9" w:rsidP="00707B64">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Relative Precision</w:t>
            </w:r>
          </w:p>
        </w:tc>
      </w:tr>
      <w:tr w:rsidR="008872A9" w:rsidRPr="00B75B77" w:rsidTr="00C44F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3" w:type="dxa"/>
            <w:vMerge/>
            <w:tcBorders>
              <w:top w:val="single" w:sz="4" w:space="0" w:color="auto"/>
              <w:left w:val="single" w:sz="4" w:space="0" w:color="auto"/>
              <w:bottom w:val="single" w:sz="4" w:space="0" w:color="auto"/>
              <w:right w:val="single" w:sz="4" w:space="0" w:color="auto"/>
            </w:tcBorders>
            <w:shd w:val="clear" w:color="auto" w:fill="448A99"/>
            <w:vAlign w:val="center"/>
            <w:hideMark/>
          </w:tcPr>
          <w:p w:rsidR="008872A9" w:rsidRPr="00B75B77" w:rsidRDefault="008872A9" w:rsidP="00707B64">
            <w:pPr>
              <w:keepNext/>
              <w:jc w:val="left"/>
              <w:rPr>
                <w:rFonts w:ascii="Calibri" w:eastAsia="Times New Roman" w:hAnsi="Calibri"/>
                <w:b w:val="0"/>
                <w:bCs w:val="0"/>
                <w:color w:val="000000"/>
                <w:sz w:val="18"/>
                <w:szCs w:val="18"/>
              </w:rPr>
            </w:pPr>
          </w:p>
        </w:tc>
        <w:tc>
          <w:tcPr>
            <w:tcW w:w="1710" w:type="dxa"/>
            <w:vMerge/>
            <w:tcBorders>
              <w:top w:val="single" w:sz="4" w:space="0" w:color="auto"/>
              <w:left w:val="single" w:sz="4" w:space="0" w:color="auto"/>
              <w:bottom w:val="single" w:sz="4" w:space="0" w:color="auto"/>
              <w:right w:val="single" w:sz="4" w:space="0" w:color="auto"/>
            </w:tcBorders>
            <w:shd w:val="clear" w:color="auto" w:fill="448A99"/>
            <w:vAlign w:val="center"/>
            <w:hideMark/>
          </w:tcPr>
          <w:p w:rsidR="008872A9" w:rsidRPr="00B75B77" w:rsidRDefault="008872A9" w:rsidP="00707B64">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18"/>
                <w:szCs w:val="18"/>
              </w:rPr>
            </w:pPr>
          </w:p>
        </w:tc>
        <w:tc>
          <w:tcPr>
            <w:tcW w:w="1663" w:type="dxa"/>
            <w:vMerge/>
            <w:tcBorders>
              <w:top w:val="single" w:sz="4" w:space="0" w:color="auto"/>
              <w:left w:val="single" w:sz="4" w:space="0" w:color="auto"/>
              <w:bottom w:val="single" w:sz="4" w:space="0" w:color="auto"/>
              <w:right w:val="single" w:sz="4" w:space="0" w:color="auto"/>
            </w:tcBorders>
            <w:shd w:val="clear" w:color="auto" w:fill="448A99"/>
            <w:vAlign w:val="center"/>
            <w:hideMark/>
          </w:tcPr>
          <w:p w:rsidR="008872A9" w:rsidRPr="00B75B77" w:rsidRDefault="008872A9" w:rsidP="00707B64">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18"/>
                <w:szCs w:val="18"/>
              </w:rPr>
            </w:pPr>
          </w:p>
        </w:tc>
        <w:tc>
          <w:tcPr>
            <w:tcW w:w="1174" w:type="dxa"/>
            <w:vMerge/>
            <w:tcBorders>
              <w:top w:val="single" w:sz="4" w:space="0" w:color="auto"/>
              <w:left w:val="single" w:sz="4" w:space="0" w:color="auto"/>
              <w:bottom w:val="single" w:sz="4" w:space="0" w:color="auto"/>
              <w:right w:val="single" w:sz="4" w:space="0" w:color="auto"/>
            </w:tcBorders>
            <w:shd w:val="clear" w:color="auto" w:fill="448A99"/>
            <w:vAlign w:val="center"/>
            <w:hideMark/>
          </w:tcPr>
          <w:p w:rsidR="008872A9" w:rsidRPr="00B75B77" w:rsidRDefault="008872A9" w:rsidP="00707B64">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18"/>
                <w:szCs w:val="18"/>
              </w:rPr>
            </w:pPr>
          </w:p>
        </w:tc>
        <w:tc>
          <w:tcPr>
            <w:tcW w:w="1440" w:type="dxa"/>
            <w:vMerge/>
            <w:tcBorders>
              <w:top w:val="single" w:sz="4" w:space="0" w:color="auto"/>
              <w:left w:val="single" w:sz="4" w:space="0" w:color="auto"/>
              <w:bottom w:val="single" w:sz="4" w:space="0" w:color="auto"/>
              <w:right w:val="single" w:sz="4" w:space="0" w:color="auto"/>
            </w:tcBorders>
            <w:shd w:val="clear" w:color="auto" w:fill="448A99"/>
            <w:vAlign w:val="center"/>
            <w:hideMark/>
          </w:tcPr>
          <w:p w:rsidR="008872A9" w:rsidRPr="00B75B77" w:rsidRDefault="008872A9" w:rsidP="00707B64">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18"/>
                <w:szCs w:val="18"/>
              </w:rPr>
            </w:pPr>
          </w:p>
        </w:tc>
        <w:tc>
          <w:tcPr>
            <w:tcW w:w="1364" w:type="dxa"/>
            <w:vMerge/>
            <w:tcBorders>
              <w:top w:val="single" w:sz="4" w:space="0" w:color="auto"/>
              <w:left w:val="single" w:sz="4" w:space="0" w:color="auto"/>
              <w:bottom w:val="single" w:sz="4" w:space="0" w:color="auto"/>
              <w:right w:val="single" w:sz="4" w:space="0" w:color="auto"/>
            </w:tcBorders>
            <w:shd w:val="clear" w:color="auto" w:fill="448A99"/>
            <w:vAlign w:val="center"/>
            <w:hideMark/>
          </w:tcPr>
          <w:p w:rsidR="008872A9" w:rsidRPr="00B75B77" w:rsidRDefault="008872A9" w:rsidP="00707B64">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18"/>
                <w:szCs w:val="18"/>
              </w:rPr>
            </w:pPr>
          </w:p>
        </w:tc>
      </w:tr>
      <w:tr w:rsidR="008872A9" w:rsidRPr="00B75B77" w:rsidTr="00C44F8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3" w:type="dxa"/>
            <w:tcBorders>
              <w:top w:val="single" w:sz="4" w:space="0" w:color="auto"/>
              <w:left w:val="single" w:sz="4" w:space="0" w:color="448A99"/>
              <w:bottom w:val="single" w:sz="4" w:space="0" w:color="448A99"/>
              <w:right w:val="single" w:sz="4" w:space="0" w:color="448A99"/>
            </w:tcBorders>
            <w:noWrap/>
            <w:vAlign w:val="center"/>
            <w:hideMark/>
          </w:tcPr>
          <w:p w:rsidR="008872A9" w:rsidRPr="00B75B77" w:rsidRDefault="008872A9" w:rsidP="00707B64">
            <w:pPr>
              <w:keepNext/>
              <w:jc w:val="left"/>
              <w:rPr>
                <w:rFonts w:ascii="Calibri" w:eastAsia="Times New Roman" w:hAnsi="Calibri"/>
                <w:b w:val="0"/>
                <w:color w:val="000000"/>
                <w:sz w:val="18"/>
                <w:szCs w:val="18"/>
              </w:rPr>
            </w:pPr>
            <w:r w:rsidRPr="00B75B77">
              <w:rPr>
                <w:b w:val="0"/>
                <w:sz w:val="18"/>
              </w:rPr>
              <w:t>C&amp;I Large</w:t>
            </w:r>
          </w:p>
        </w:tc>
        <w:tc>
          <w:tcPr>
            <w:tcW w:w="1710" w:type="dxa"/>
            <w:tcBorders>
              <w:top w:val="single" w:sz="4" w:space="0" w:color="auto"/>
              <w:left w:val="single" w:sz="4" w:space="0" w:color="448A99"/>
              <w:bottom w:val="single" w:sz="4" w:space="0" w:color="448A99"/>
              <w:right w:val="single" w:sz="4" w:space="0" w:color="448A99"/>
            </w:tcBorders>
            <w:vAlign w:val="center"/>
            <w:hideMark/>
          </w:tcPr>
          <w:p w:rsidR="008872A9" w:rsidRPr="00B75B77" w:rsidRDefault="008872A9" w:rsidP="00707B64">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sz w:val="18"/>
              </w:rPr>
              <w:t>0.39</w:t>
            </w:r>
          </w:p>
        </w:tc>
        <w:tc>
          <w:tcPr>
            <w:tcW w:w="1663" w:type="dxa"/>
            <w:tcBorders>
              <w:top w:val="single" w:sz="4" w:space="0" w:color="auto"/>
              <w:left w:val="single" w:sz="4" w:space="0" w:color="448A99"/>
              <w:bottom w:val="single" w:sz="4" w:space="0" w:color="448A99"/>
              <w:right w:val="single" w:sz="4" w:space="0" w:color="448A99"/>
            </w:tcBorders>
            <w:vAlign w:val="center"/>
            <w:hideMark/>
          </w:tcPr>
          <w:p w:rsidR="008872A9" w:rsidRPr="00B75B77" w:rsidRDefault="008872A9" w:rsidP="00707B64">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sz w:val="18"/>
              </w:rPr>
              <w:t>0.01</w:t>
            </w:r>
          </w:p>
        </w:tc>
        <w:tc>
          <w:tcPr>
            <w:tcW w:w="1174" w:type="dxa"/>
            <w:tcBorders>
              <w:top w:val="single" w:sz="4" w:space="0" w:color="auto"/>
              <w:left w:val="single" w:sz="4" w:space="0" w:color="448A99"/>
              <w:bottom w:val="single" w:sz="4" w:space="0" w:color="448A99"/>
              <w:right w:val="single" w:sz="4" w:space="0" w:color="448A99"/>
            </w:tcBorders>
            <w:vAlign w:val="center"/>
            <w:hideMark/>
          </w:tcPr>
          <w:p w:rsidR="008872A9" w:rsidRPr="00B75B77" w:rsidRDefault="008872A9" w:rsidP="00707B64">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sz w:val="18"/>
              </w:rPr>
              <w:t>0.62</w:t>
            </w:r>
          </w:p>
        </w:tc>
        <w:tc>
          <w:tcPr>
            <w:tcW w:w="1440" w:type="dxa"/>
            <w:tcBorders>
              <w:top w:val="single" w:sz="4" w:space="0" w:color="auto"/>
              <w:left w:val="single" w:sz="4" w:space="0" w:color="448A99"/>
              <w:bottom w:val="single" w:sz="4" w:space="0" w:color="448A99"/>
              <w:right w:val="single" w:sz="4" w:space="0" w:color="448A99"/>
            </w:tcBorders>
            <w:vAlign w:val="center"/>
            <w:hideMark/>
          </w:tcPr>
          <w:p w:rsidR="008872A9" w:rsidRPr="00B75B77" w:rsidRDefault="008872A9" w:rsidP="00707B64">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sz w:val="18"/>
              </w:rPr>
              <w:t>0.48</w:t>
            </w:r>
          </w:p>
        </w:tc>
        <w:tc>
          <w:tcPr>
            <w:tcW w:w="1364" w:type="dxa"/>
            <w:tcBorders>
              <w:top w:val="single" w:sz="4" w:space="0" w:color="auto"/>
              <w:left w:val="single" w:sz="4" w:space="0" w:color="448A99"/>
              <w:bottom w:val="single" w:sz="4" w:space="0" w:color="448A99"/>
              <w:right w:val="single" w:sz="4" w:space="0" w:color="448A99"/>
            </w:tcBorders>
            <w:vAlign w:val="center"/>
            <w:hideMark/>
          </w:tcPr>
          <w:p w:rsidR="008872A9" w:rsidRPr="00B75B77" w:rsidRDefault="008872A9" w:rsidP="00707B64">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sz w:val="18"/>
              </w:rPr>
              <w:t>20%</w:t>
            </w:r>
          </w:p>
        </w:tc>
      </w:tr>
      <w:tr w:rsidR="008872A9" w:rsidRPr="00B75B77" w:rsidTr="00C44F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3" w:type="dxa"/>
            <w:tcBorders>
              <w:top w:val="single" w:sz="4" w:space="0" w:color="448A99"/>
              <w:left w:val="single" w:sz="4" w:space="0" w:color="448A99"/>
              <w:bottom w:val="single" w:sz="4" w:space="0" w:color="448A99"/>
              <w:right w:val="single" w:sz="4" w:space="0" w:color="448A99"/>
            </w:tcBorders>
            <w:noWrap/>
            <w:vAlign w:val="center"/>
            <w:hideMark/>
          </w:tcPr>
          <w:p w:rsidR="008872A9" w:rsidRPr="00B75B77" w:rsidRDefault="008872A9" w:rsidP="00707B64">
            <w:pPr>
              <w:keepNext/>
              <w:jc w:val="left"/>
              <w:rPr>
                <w:rFonts w:ascii="Calibri" w:eastAsia="Times New Roman" w:hAnsi="Calibri"/>
                <w:b w:val="0"/>
                <w:color w:val="000000"/>
                <w:sz w:val="18"/>
                <w:szCs w:val="18"/>
              </w:rPr>
            </w:pPr>
            <w:r w:rsidRPr="00B75B77">
              <w:rPr>
                <w:b w:val="0"/>
                <w:sz w:val="18"/>
              </w:rPr>
              <w:t>C&amp;I Small</w:t>
            </w:r>
          </w:p>
        </w:tc>
        <w:tc>
          <w:tcPr>
            <w:tcW w:w="1710" w:type="dxa"/>
            <w:tcBorders>
              <w:top w:val="single" w:sz="4" w:space="0" w:color="448A99"/>
              <w:left w:val="single" w:sz="4" w:space="0" w:color="448A99"/>
              <w:bottom w:val="single" w:sz="4" w:space="0" w:color="448A99"/>
              <w:right w:val="single" w:sz="4" w:space="0" w:color="448A99"/>
            </w:tcBorders>
            <w:vAlign w:val="center"/>
            <w:hideMark/>
          </w:tcPr>
          <w:p w:rsidR="008872A9" w:rsidRPr="00B75B77" w:rsidRDefault="008872A9" w:rsidP="00707B64">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sz w:val="18"/>
              </w:rPr>
              <w:t>0.22</w:t>
            </w:r>
          </w:p>
        </w:tc>
        <w:tc>
          <w:tcPr>
            <w:tcW w:w="1663" w:type="dxa"/>
            <w:tcBorders>
              <w:top w:val="single" w:sz="4" w:space="0" w:color="448A99"/>
              <w:left w:val="single" w:sz="4" w:space="0" w:color="448A99"/>
              <w:bottom w:val="single" w:sz="4" w:space="0" w:color="448A99"/>
              <w:right w:val="single" w:sz="4" w:space="0" w:color="448A99"/>
            </w:tcBorders>
            <w:vAlign w:val="center"/>
            <w:hideMark/>
          </w:tcPr>
          <w:p w:rsidR="008872A9" w:rsidRPr="00B75B77" w:rsidRDefault="008872A9" w:rsidP="00707B64">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sz w:val="18"/>
              </w:rPr>
              <w:t>0.02</w:t>
            </w:r>
          </w:p>
        </w:tc>
        <w:tc>
          <w:tcPr>
            <w:tcW w:w="1174" w:type="dxa"/>
            <w:tcBorders>
              <w:top w:val="single" w:sz="4" w:space="0" w:color="448A99"/>
              <w:left w:val="single" w:sz="4" w:space="0" w:color="448A99"/>
              <w:bottom w:val="single" w:sz="4" w:space="0" w:color="448A99"/>
              <w:right w:val="single" w:sz="4" w:space="0" w:color="448A99"/>
            </w:tcBorders>
            <w:vAlign w:val="center"/>
            <w:hideMark/>
          </w:tcPr>
          <w:p w:rsidR="008872A9" w:rsidRPr="00B75B77" w:rsidRDefault="008872A9" w:rsidP="00707B64">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sz w:val="18"/>
              </w:rPr>
              <w:t>0.80</w:t>
            </w:r>
          </w:p>
        </w:tc>
        <w:tc>
          <w:tcPr>
            <w:tcW w:w="1440" w:type="dxa"/>
            <w:tcBorders>
              <w:top w:val="single" w:sz="4" w:space="0" w:color="448A99"/>
              <w:left w:val="single" w:sz="4" w:space="0" w:color="448A99"/>
              <w:bottom w:val="single" w:sz="4" w:space="0" w:color="448A99"/>
              <w:right w:val="single" w:sz="4" w:space="0" w:color="448A99"/>
            </w:tcBorders>
            <w:vAlign w:val="center"/>
            <w:hideMark/>
          </w:tcPr>
          <w:p w:rsidR="008872A9" w:rsidRPr="00B75B77" w:rsidRDefault="008872A9" w:rsidP="00707B64">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sz w:val="18"/>
              </w:rPr>
              <w:t>0.28</w:t>
            </w:r>
          </w:p>
        </w:tc>
        <w:tc>
          <w:tcPr>
            <w:tcW w:w="1364" w:type="dxa"/>
            <w:tcBorders>
              <w:top w:val="single" w:sz="4" w:space="0" w:color="448A99"/>
              <w:left w:val="single" w:sz="4" w:space="0" w:color="448A99"/>
              <w:bottom w:val="single" w:sz="4" w:space="0" w:color="448A99"/>
              <w:right w:val="single" w:sz="4" w:space="0" w:color="448A99"/>
            </w:tcBorders>
            <w:vAlign w:val="center"/>
            <w:hideMark/>
          </w:tcPr>
          <w:p w:rsidR="008872A9" w:rsidRPr="00B75B77" w:rsidRDefault="008872A9" w:rsidP="00707B64">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sz w:val="18"/>
              </w:rPr>
              <w:t>7%</w:t>
            </w:r>
          </w:p>
        </w:tc>
      </w:tr>
      <w:tr w:rsidR="008872A9" w:rsidRPr="00B75B77" w:rsidTr="00C44F8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3" w:type="dxa"/>
            <w:tcBorders>
              <w:top w:val="single" w:sz="4" w:space="0" w:color="448A99"/>
              <w:left w:val="single" w:sz="4" w:space="0" w:color="448A99"/>
              <w:bottom w:val="single" w:sz="4" w:space="0" w:color="448A99"/>
              <w:right w:val="single" w:sz="4" w:space="0" w:color="448A99"/>
            </w:tcBorders>
            <w:noWrap/>
            <w:vAlign w:val="center"/>
            <w:hideMark/>
          </w:tcPr>
          <w:p w:rsidR="008872A9" w:rsidRPr="00B75B77" w:rsidRDefault="008872A9" w:rsidP="00707B64">
            <w:pPr>
              <w:keepNext/>
              <w:jc w:val="left"/>
              <w:rPr>
                <w:rFonts w:ascii="Calibri" w:eastAsia="Times New Roman" w:hAnsi="Calibri"/>
                <w:color w:val="000000"/>
                <w:sz w:val="18"/>
                <w:szCs w:val="18"/>
              </w:rPr>
            </w:pPr>
            <w:r w:rsidRPr="00B75B77">
              <w:rPr>
                <w:rFonts w:ascii="Calibri" w:eastAsia="Times New Roman" w:hAnsi="Calibri"/>
                <w:caps/>
                <w:color w:val="000000"/>
                <w:sz w:val="18"/>
                <w:szCs w:val="18"/>
              </w:rPr>
              <w:t>Program Total</w:t>
            </w:r>
          </w:p>
        </w:tc>
        <w:tc>
          <w:tcPr>
            <w:tcW w:w="1710" w:type="dxa"/>
            <w:tcBorders>
              <w:top w:val="single" w:sz="4" w:space="0" w:color="448A99"/>
              <w:left w:val="single" w:sz="4" w:space="0" w:color="448A99"/>
              <w:bottom w:val="single" w:sz="4" w:space="0" w:color="448A99"/>
              <w:right w:val="single" w:sz="4" w:space="0" w:color="448A99"/>
            </w:tcBorders>
            <w:vAlign w:val="center"/>
            <w:hideMark/>
          </w:tcPr>
          <w:p w:rsidR="008872A9" w:rsidRPr="00B75B77" w:rsidRDefault="008872A9" w:rsidP="00707B64">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hAnsi="Calibri"/>
                <w:sz w:val="18"/>
                <w:szCs w:val="18"/>
              </w:rPr>
              <w:t>0.37</w:t>
            </w:r>
          </w:p>
        </w:tc>
        <w:tc>
          <w:tcPr>
            <w:tcW w:w="1663" w:type="dxa"/>
            <w:tcBorders>
              <w:top w:val="single" w:sz="4" w:space="0" w:color="448A99"/>
              <w:left w:val="single" w:sz="4" w:space="0" w:color="448A99"/>
              <w:bottom w:val="single" w:sz="4" w:space="0" w:color="448A99"/>
              <w:right w:val="single" w:sz="4" w:space="0" w:color="448A99"/>
            </w:tcBorders>
            <w:vAlign w:val="center"/>
            <w:hideMark/>
          </w:tcPr>
          <w:p w:rsidR="008872A9" w:rsidRPr="00B75B77" w:rsidRDefault="008872A9" w:rsidP="00707B64">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hAnsi="Calibri"/>
                <w:sz w:val="18"/>
                <w:szCs w:val="18"/>
              </w:rPr>
              <w:t>0.01</w:t>
            </w:r>
          </w:p>
        </w:tc>
        <w:tc>
          <w:tcPr>
            <w:tcW w:w="1174" w:type="dxa"/>
            <w:tcBorders>
              <w:top w:val="single" w:sz="4" w:space="0" w:color="448A99"/>
              <w:left w:val="single" w:sz="4" w:space="0" w:color="448A99"/>
              <w:bottom w:val="single" w:sz="4" w:space="0" w:color="448A99"/>
              <w:right w:val="single" w:sz="4" w:space="0" w:color="448A99"/>
            </w:tcBorders>
            <w:vAlign w:val="center"/>
            <w:hideMark/>
          </w:tcPr>
          <w:p w:rsidR="008872A9" w:rsidRPr="00B75B77" w:rsidRDefault="008872A9" w:rsidP="00707B64">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hAnsi="Calibri"/>
                <w:sz w:val="18"/>
                <w:szCs w:val="18"/>
              </w:rPr>
              <w:t>0.64</w:t>
            </w:r>
          </w:p>
        </w:tc>
        <w:tc>
          <w:tcPr>
            <w:tcW w:w="1440" w:type="dxa"/>
            <w:tcBorders>
              <w:top w:val="single" w:sz="4" w:space="0" w:color="448A99"/>
              <w:left w:val="single" w:sz="4" w:space="0" w:color="448A99"/>
              <w:bottom w:val="single" w:sz="4" w:space="0" w:color="448A99"/>
              <w:right w:val="single" w:sz="4" w:space="0" w:color="448A99"/>
            </w:tcBorders>
            <w:vAlign w:val="center"/>
            <w:hideMark/>
          </w:tcPr>
          <w:p w:rsidR="008872A9" w:rsidRPr="00B75B77" w:rsidRDefault="00864276" w:rsidP="00707B64">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364" w:type="dxa"/>
            <w:tcBorders>
              <w:top w:val="single" w:sz="4" w:space="0" w:color="448A99"/>
              <w:left w:val="single" w:sz="4" w:space="0" w:color="448A99"/>
              <w:bottom w:val="single" w:sz="4" w:space="0" w:color="448A99"/>
              <w:right w:val="single" w:sz="4" w:space="0" w:color="448A99"/>
            </w:tcBorders>
            <w:vAlign w:val="center"/>
            <w:hideMark/>
          </w:tcPr>
          <w:p w:rsidR="008872A9" w:rsidRPr="00B75B77" w:rsidRDefault="00864276" w:rsidP="00707B64">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11%</w:t>
            </w:r>
          </w:p>
        </w:tc>
      </w:tr>
    </w:tbl>
    <w:p w:rsidR="008872A9" w:rsidRPr="00B75B77" w:rsidRDefault="008872A9" w:rsidP="00707B64">
      <w:pPr>
        <w:pStyle w:val="Source"/>
        <w:spacing w:before="20" w:after="20"/>
        <w:ind w:left="86" w:firstLine="0"/>
        <w:rPr>
          <w:i w:val="0"/>
        </w:rPr>
      </w:pPr>
      <w:r w:rsidRPr="00B75B77">
        <w:rPr>
          <w:i w:val="0"/>
        </w:rPr>
        <w:t xml:space="preserve">Note: </w:t>
      </w:r>
      <w:r w:rsidRPr="00B75B77">
        <w:rPr>
          <w:rFonts w:ascii="Calibri" w:hAnsi="Calibri"/>
          <w:i w:val="0"/>
          <w:iCs/>
          <w:color w:val="000000"/>
          <w:szCs w:val="18"/>
        </w:rPr>
        <w:t>Values in tables may not reconcile exactly with the sum of more detailed level results or previously reported results due to rounding.</w:t>
      </w:r>
    </w:p>
    <w:p w:rsidR="008872A9" w:rsidRPr="00B75B77" w:rsidRDefault="008872A9" w:rsidP="00093474">
      <w:pPr>
        <w:pStyle w:val="Source"/>
        <w:spacing w:after="120"/>
        <w:ind w:left="532" w:hanging="446"/>
      </w:pPr>
      <w:r w:rsidRPr="00B75B77">
        <w:t>Source: Navigant analysis</w:t>
      </w:r>
    </w:p>
    <w:p w:rsidR="008872A9" w:rsidRPr="00B75B77" w:rsidRDefault="008872A9" w:rsidP="00963027">
      <w:pPr>
        <w:pStyle w:val="Heading2"/>
        <w:keepNext/>
      </w:pPr>
      <w:bookmarkStart w:id="743" w:name="_Ref462997822"/>
      <w:bookmarkStart w:id="744" w:name="_Toc466413404"/>
      <w:r w:rsidRPr="00B75B77">
        <w:t>Process Evaluation</w:t>
      </w:r>
      <w:bookmarkEnd w:id="743"/>
      <w:bookmarkEnd w:id="744"/>
    </w:p>
    <w:p w:rsidR="008872A9" w:rsidRPr="00B75B77" w:rsidRDefault="008872A9" w:rsidP="00707B64">
      <w:r w:rsidRPr="00B75B77">
        <w:t xml:space="preserve">The evaluation team conducted multiple research activities in support of the SEI PY7 process evaluation. Navigant evaluated the SEI </w:t>
      </w:r>
      <w:r w:rsidR="00822ED4" w:rsidRPr="00B75B77">
        <w:t xml:space="preserve">C&amp;I </w:t>
      </w:r>
      <w:r w:rsidRPr="00B75B77">
        <w:t>and</w:t>
      </w:r>
      <w:r w:rsidR="00822ED4" w:rsidRPr="00B75B77">
        <w:t xml:space="preserve"> GNI</w:t>
      </w:r>
      <w:r w:rsidRPr="00B75B77">
        <w:t xml:space="preserve"> participant groups together; thus, the results of the process evaluation are presented identically in both </w:t>
      </w:r>
      <w:r w:rsidR="00822ED4" w:rsidRPr="00B75B77">
        <w:t xml:space="preserve">SEI </w:t>
      </w:r>
      <w:r w:rsidRPr="00B75B77">
        <w:t>sections</w:t>
      </w:r>
      <w:r w:rsidR="00822ED4" w:rsidRPr="00B75B77">
        <w:t xml:space="preserve"> of this report</w:t>
      </w:r>
      <w:r w:rsidRPr="00B75B77">
        <w:t xml:space="preserve">. </w:t>
      </w:r>
    </w:p>
    <w:p w:rsidR="008872A9" w:rsidRPr="00B75B77" w:rsidRDefault="008872A9" w:rsidP="00963027">
      <w:pPr>
        <w:keepNext/>
        <w:rPr>
          <w:color w:val="000000"/>
        </w:rPr>
      </w:pPr>
    </w:p>
    <w:p w:rsidR="008872A9" w:rsidRPr="00B75B77" w:rsidRDefault="008872A9" w:rsidP="00707B64">
      <w:pPr>
        <w:pStyle w:val="Heading3"/>
      </w:pPr>
      <w:bookmarkStart w:id="745" w:name="_Toc466413405"/>
      <w:r w:rsidRPr="00B75B77">
        <w:t>Process Evaluation Methodology</w:t>
      </w:r>
      <w:bookmarkEnd w:id="745"/>
      <w:r w:rsidRPr="00B75B77">
        <w:t xml:space="preserve"> </w:t>
      </w:r>
    </w:p>
    <w:p w:rsidR="008872A9" w:rsidRPr="00B75B77" w:rsidRDefault="008872A9" w:rsidP="00707B64">
      <w:r w:rsidRPr="00B75B77">
        <w:t>The process evaluation research activities included the following:</w:t>
      </w:r>
    </w:p>
    <w:p w:rsidR="00093474" w:rsidRPr="00B75B77" w:rsidRDefault="00093474" w:rsidP="00707B64"/>
    <w:p w:rsidR="008872A9" w:rsidRPr="00B75B77" w:rsidRDefault="008872A9" w:rsidP="009E08FB">
      <w:pPr>
        <w:pStyle w:val="ListParagraph"/>
        <w:numPr>
          <w:ilvl w:val="0"/>
          <w:numId w:val="84"/>
        </w:numPr>
        <w:spacing w:after="200"/>
        <w:jc w:val="left"/>
      </w:pPr>
      <w:r w:rsidRPr="00B75B77">
        <w:t>Program marketing plan review</w:t>
      </w:r>
    </w:p>
    <w:p w:rsidR="008872A9" w:rsidRPr="00B75B77" w:rsidRDefault="008872A9" w:rsidP="009E08FB">
      <w:pPr>
        <w:pStyle w:val="ListParagraph"/>
        <w:numPr>
          <w:ilvl w:val="0"/>
          <w:numId w:val="84"/>
        </w:numPr>
        <w:spacing w:after="200"/>
        <w:jc w:val="left"/>
      </w:pPr>
      <w:r w:rsidRPr="00B75B77">
        <w:t>Tracking system review</w:t>
      </w:r>
    </w:p>
    <w:p w:rsidR="008872A9" w:rsidRPr="00B75B77" w:rsidRDefault="008872A9" w:rsidP="009E08FB">
      <w:pPr>
        <w:pStyle w:val="ListParagraph"/>
        <w:numPr>
          <w:ilvl w:val="0"/>
          <w:numId w:val="84"/>
        </w:numPr>
        <w:spacing w:after="200"/>
        <w:jc w:val="left"/>
      </w:pPr>
      <w:r w:rsidRPr="00B75B77">
        <w:t xml:space="preserve">Interviews with </w:t>
      </w:r>
      <w:r w:rsidR="00431BA2" w:rsidRPr="00B75B77">
        <w:t>three</w:t>
      </w:r>
      <w:r w:rsidRPr="00B75B77">
        <w:t xml:space="preserve"> PECO program management staff and four implementation contractor staff</w:t>
      </w:r>
    </w:p>
    <w:p w:rsidR="008872A9" w:rsidRPr="00B75B77" w:rsidRDefault="008872A9" w:rsidP="009E08FB">
      <w:pPr>
        <w:pStyle w:val="ListParagraph"/>
        <w:numPr>
          <w:ilvl w:val="0"/>
          <w:numId w:val="84"/>
        </w:numPr>
        <w:spacing w:after="200"/>
        <w:jc w:val="left"/>
      </w:pPr>
      <w:r w:rsidRPr="00B75B77">
        <w:t>Seven interviews with distributors and other market actors</w:t>
      </w:r>
    </w:p>
    <w:p w:rsidR="008872A9" w:rsidRPr="00B75B77" w:rsidRDefault="008872A9" w:rsidP="009E08FB">
      <w:pPr>
        <w:pStyle w:val="ListParagraph"/>
        <w:numPr>
          <w:ilvl w:val="0"/>
          <w:numId w:val="84"/>
        </w:numPr>
        <w:contextualSpacing w:val="0"/>
        <w:jc w:val="left"/>
      </w:pPr>
      <w:r w:rsidRPr="00B75B77">
        <w:t>Online surveys with 51 participating C&amp;I customers</w:t>
      </w:r>
    </w:p>
    <w:p w:rsidR="00093474" w:rsidRPr="00B75B77" w:rsidRDefault="00093474" w:rsidP="00093474">
      <w:pPr>
        <w:jc w:val="left"/>
      </w:pPr>
    </w:p>
    <w:p w:rsidR="008872A9" w:rsidRPr="00B75B77" w:rsidRDefault="008872A9" w:rsidP="00093474">
      <w:pPr>
        <w:jc w:val="left"/>
      </w:pPr>
      <w:r w:rsidRPr="00B75B77">
        <w:t xml:space="preserve">The sampling strategy for the process evaluation activities are presented in </w:t>
      </w:r>
      <w:r w:rsidRPr="00B75B77">
        <w:fldChar w:fldCharType="begin"/>
      </w:r>
      <w:r w:rsidRPr="00B75B77">
        <w:instrText xml:space="preserve"> REF _Ref462998253 \h </w:instrText>
      </w:r>
      <w:r w:rsidR="007673EC" w:rsidRPr="00B75B77">
        <w:instrText xml:space="preserve"> \* MERGEFORMAT </w:instrText>
      </w:r>
      <w:r w:rsidRPr="00B75B77">
        <w:fldChar w:fldCharType="separate"/>
      </w:r>
      <w:r w:rsidR="0004016D" w:rsidRPr="00B75B77">
        <w:t xml:space="preserve">Table </w:t>
      </w:r>
      <w:r w:rsidR="0004016D">
        <w:rPr>
          <w:noProof/>
        </w:rPr>
        <w:t>11</w:t>
      </w:r>
      <w:r w:rsidR="0004016D" w:rsidRPr="00B75B77">
        <w:rPr>
          <w:noProof/>
        </w:rPr>
        <w:noBreakHyphen/>
      </w:r>
      <w:r w:rsidR="0004016D">
        <w:rPr>
          <w:noProof/>
        </w:rPr>
        <w:t>8</w:t>
      </w:r>
      <w:r w:rsidRPr="00B75B77">
        <w:fldChar w:fldCharType="end"/>
      </w:r>
      <w:r w:rsidRPr="00B75B77">
        <w:t>.</w:t>
      </w:r>
    </w:p>
    <w:p w:rsidR="00093474" w:rsidRPr="00B75B77" w:rsidRDefault="00093474" w:rsidP="00093474">
      <w:pPr>
        <w:jc w:val="left"/>
      </w:pPr>
    </w:p>
    <w:p w:rsidR="008872A9" w:rsidRPr="00B75B77" w:rsidRDefault="008872A9" w:rsidP="00AE45CC">
      <w:pPr>
        <w:pStyle w:val="Caption"/>
      </w:pPr>
      <w:bookmarkStart w:id="746" w:name="_Ref462998253"/>
      <w:bookmarkStart w:id="747" w:name="_Toc466413595"/>
      <w:r w:rsidRPr="00B75B77">
        <w:t xml:space="preserve">Table </w:t>
      </w:r>
      <w:r w:rsidR="00237810">
        <w:fldChar w:fldCharType="begin"/>
      </w:r>
      <w:r w:rsidR="00237810">
        <w:instrText xml:space="preserve"> STYLEREF 1 \s </w:instrText>
      </w:r>
      <w:r w:rsidR="00237810">
        <w:fldChar w:fldCharType="separate"/>
      </w:r>
      <w:r w:rsidR="0004016D">
        <w:rPr>
          <w:noProof/>
        </w:rPr>
        <w:t>11</w:t>
      </w:r>
      <w:r w:rsidR="00237810">
        <w:rPr>
          <w:noProof/>
        </w:rPr>
        <w:fldChar w:fldCharType="end"/>
      </w:r>
      <w:r w:rsidR="00F1144C" w:rsidRPr="00B75B77">
        <w:noBreakHyphen/>
      </w:r>
      <w:r w:rsidR="00237810">
        <w:fldChar w:fldCharType="begin"/>
      </w:r>
      <w:r w:rsidR="00237810">
        <w:instrText xml:space="preserve"> SEQ Table \* ARABIC \s 1 </w:instrText>
      </w:r>
      <w:r w:rsidR="00237810">
        <w:fldChar w:fldCharType="separate"/>
      </w:r>
      <w:r w:rsidR="0004016D">
        <w:rPr>
          <w:noProof/>
        </w:rPr>
        <w:t>8</w:t>
      </w:r>
      <w:r w:rsidR="00237810">
        <w:rPr>
          <w:noProof/>
        </w:rPr>
        <w:fldChar w:fldCharType="end"/>
      </w:r>
      <w:bookmarkEnd w:id="746"/>
      <w:r w:rsidRPr="00B75B77">
        <w:t>: Smart Equipment Incentives (C&amp;I) Process Sampling Strategy for PY7</w:t>
      </w:r>
      <w:bookmarkEnd w:id="747"/>
      <w:r w:rsidRPr="00B75B77">
        <w:t xml:space="preserve"> </w:t>
      </w:r>
    </w:p>
    <w:tbl>
      <w:tblPr>
        <w:tblStyle w:val="MediumShading1-Accent5"/>
        <w:tblW w:w="4963" w:type="pct"/>
        <w:tblInd w:w="8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756"/>
        <w:gridCol w:w="1107"/>
        <w:gridCol w:w="1107"/>
        <w:gridCol w:w="1106"/>
        <w:gridCol w:w="833"/>
        <w:gridCol w:w="1106"/>
        <w:gridCol w:w="1384"/>
        <w:gridCol w:w="1106"/>
      </w:tblGrid>
      <w:tr w:rsidR="008872A9" w:rsidRPr="00B75B77" w:rsidTr="0009347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3" w:type="pct"/>
            <w:tcBorders>
              <w:top w:val="single" w:sz="4" w:space="0" w:color="auto"/>
              <w:left w:val="single" w:sz="4" w:space="0" w:color="auto"/>
              <w:bottom w:val="single" w:sz="4" w:space="0" w:color="auto"/>
              <w:right w:val="single" w:sz="4" w:space="0" w:color="auto"/>
            </w:tcBorders>
            <w:shd w:val="clear" w:color="auto" w:fill="448A99"/>
            <w:vAlign w:val="center"/>
          </w:tcPr>
          <w:p w:rsidR="008872A9" w:rsidRPr="00B75B77" w:rsidRDefault="008872A9" w:rsidP="00707B64">
            <w:pPr>
              <w:jc w:val="left"/>
              <w:rPr>
                <w:bCs w:val="0"/>
                <w:sz w:val="18"/>
                <w:szCs w:val="18"/>
              </w:rPr>
            </w:pPr>
            <w:r w:rsidRPr="00B75B77">
              <w:rPr>
                <w:bCs w:val="0"/>
                <w:sz w:val="18"/>
                <w:szCs w:val="18"/>
              </w:rPr>
              <w:t xml:space="preserve">Stratum </w:t>
            </w:r>
          </w:p>
        </w:tc>
        <w:tc>
          <w:tcPr>
            <w:tcW w:w="582" w:type="pct"/>
            <w:tcBorders>
              <w:top w:val="single" w:sz="4" w:space="0" w:color="auto"/>
              <w:left w:val="single" w:sz="4" w:space="0" w:color="auto"/>
              <w:bottom w:val="single" w:sz="4" w:space="0" w:color="auto"/>
              <w:right w:val="single" w:sz="4" w:space="0" w:color="auto"/>
            </w:tcBorders>
            <w:shd w:val="clear" w:color="auto" w:fill="448A99"/>
            <w:vAlign w:val="center"/>
          </w:tcPr>
          <w:p w:rsidR="008872A9" w:rsidRPr="00B75B77" w:rsidRDefault="008872A9" w:rsidP="00594255">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B75B77">
              <w:rPr>
                <w:bCs w:val="0"/>
                <w:sz w:val="18"/>
                <w:szCs w:val="18"/>
              </w:rPr>
              <w:t>Population Size</w:t>
            </w:r>
          </w:p>
        </w:tc>
        <w:tc>
          <w:tcPr>
            <w:tcW w:w="582" w:type="pct"/>
            <w:tcBorders>
              <w:top w:val="single" w:sz="4" w:space="0" w:color="auto"/>
              <w:left w:val="single" w:sz="4" w:space="0" w:color="auto"/>
              <w:bottom w:val="single" w:sz="4" w:space="0" w:color="auto"/>
              <w:right w:val="single" w:sz="4" w:space="0" w:color="auto"/>
            </w:tcBorders>
            <w:shd w:val="clear" w:color="auto" w:fill="448A99"/>
            <w:vAlign w:val="center"/>
          </w:tcPr>
          <w:p w:rsidR="008872A9" w:rsidRPr="00B75B77" w:rsidRDefault="008872A9" w:rsidP="00594255">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B75B77">
              <w:rPr>
                <w:bCs w:val="0"/>
                <w:sz w:val="18"/>
                <w:szCs w:val="18"/>
              </w:rPr>
              <w:t>Assumed Proportion or CV in Sample Design</w:t>
            </w:r>
          </w:p>
        </w:tc>
        <w:tc>
          <w:tcPr>
            <w:tcW w:w="582" w:type="pct"/>
            <w:tcBorders>
              <w:top w:val="single" w:sz="4" w:space="0" w:color="auto"/>
              <w:left w:val="single" w:sz="4" w:space="0" w:color="auto"/>
              <w:bottom w:val="single" w:sz="4" w:space="0" w:color="auto"/>
              <w:right w:val="single" w:sz="4" w:space="0" w:color="auto"/>
            </w:tcBorders>
            <w:shd w:val="clear" w:color="auto" w:fill="448A99"/>
            <w:vAlign w:val="center"/>
          </w:tcPr>
          <w:p w:rsidR="008872A9" w:rsidRPr="00B75B77" w:rsidRDefault="008872A9" w:rsidP="00707B64">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B75B77">
              <w:rPr>
                <w:bCs w:val="0"/>
                <w:sz w:val="18"/>
                <w:szCs w:val="18"/>
              </w:rPr>
              <w:t>Assumed Levels of Confidence and Precision</w:t>
            </w:r>
          </w:p>
        </w:tc>
        <w:tc>
          <w:tcPr>
            <w:tcW w:w="438" w:type="pct"/>
            <w:tcBorders>
              <w:top w:val="single" w:sz="4" w:space="0" w:color="auto"/>
              <w:left w:val="single" w:sz="4" w:space="0" w:color="auto"/>
              <w:bottom w:val="single" w:sz="4" w:space="0" w:color="auto"/>
              <w:right w:val="single" w:sz="4" w:space="0" w:color="auto"/>
            </w:tcBorders>
            <w:shd w:val="clear" w:color="auto" w:fill="448A99"/>
            <w:vAlign w:val="center"/>
          </w:tcPr>
          <w:p w:rsidR="008872A9" w:rsidRPr="00B75B77" w:rsidRDefault="008872A9" w:rsidP="00594255">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B75B77">
              <w:rPr>
                <w:bCs w:val="0"/>
                <w:sz w:val="18"/>
                <w:szCs w:val="18"/>
              </w:rPr>
              <w:t>Target Sample Size</w:t>
            </w:r>
          </w:p>
        </w:tc>
        <w:tc>
          <w:tcPr>
            <w:tcW w:w="582" w:type="pct"/>
            <w:tcBorders>
              <w:top w:val="single" w:sz="4" w:space="0" w:color="auto"/>
              <w:left w:val="single" w:sz="4" w:space="0" w:color="auto"/>
              <w:bottom w:val="single" w:sz="4" w:space="0" w:color="auto"/>
              <w:right w:val="single" w:sz="4" w:space="0" w:color="auto"/>
            </w:tcBorders>
            <w:shd w:val="clear" w:color="auto" w:fill="448A99"/>
            <w:vAlign w:val="center"/>
          </w:tcPr>
          <w:p w:rsidR="008872A9" w:rsidRPr="00B75B77" w:rsidRDefault="008872A9" w:rsidP="00594255">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B75B77">
              <w:rPr>
                <w:bCs w:val="0"/>
                <w:sz w:val="18"/>
                <w:szCs w:val="18"/>
              </w:rPr>
              <w:t>Achieved Sample Size</w:t>
            </w:r>
          </w:p>
        </w:tc>
        <w:tc>
          <w:tcPr>
            <w:tcW w:w="728" w:type="pct"/>
            <w:tcBorders>
              <w:top w:val="single" w:sz="4" w:space="0" w:color="auto"/>
              <w:left w:val="single" w:sz="4" w:space="0" w:color="auto"/>
              <w:bottom w:val="single" w:sz="4" w:space="0" w:color="auto"/>
              <w:right w:val="single" w:sz="4" w:space="0" w:color="auto"/>
            </w:tcBorders>
            <w:shd w:val="clear" w:color="auto" w:fill="448A99"/>
            <w:vAlign w:val="center"/>
          </w:tcPr>
          <w:p w:rsidR="008872A9" w:rsidRPr="00B75B77" w:rsidRDefault="008872A9" w:rsidP="00594255">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B75B77">
              <w:rPr>
                <w:bCs w:val="0"/>
                <w:sz w:val="18"/>
                <w:szCs w:val="18"/>
              </w:rPr>
              <w:t>Percent</w:t>
            </w:r>
            <w:r w:rsidR="0054059D" w:rsidRPr="00B75B77">
              <w:rPr>
                <w:bCs w:val="0"/>
                <w:sz w:val="18"/>
                <w:szCs w:val="18"/>
              </w:rPr>
              <w:t>age</w:t>
            </w:r>
            <w:r w:rsidRPr="00B75B77">
              <w:rPr>
                <w:bCs w:val="0"/>
                <w:sz w:val="18"/>
                <w:szCs w:val="18"/>
              </w:rPr>
              <w:t xml:space="preserve"> of Population Frame Contacted to Achieve Sample</w:t>
            </w:r>
          </w:p>
        </w:tc>
        <w:tc>
          <w:tcPr>
            <w:tcW w:w="582" w:type="pct"/>
            <w:tcBorders>
              <w:top w:val="single" w:sz="4" w:space="0" w:color="auto"/>
              <w:left w:val="single" w:sz="4" w:space="0" w:color="auto"/>
              <w:bottom w:val="single" w:sz="4" w:space="0" w:color="auto"/>
              <w:right w:val="single" w:sz="4" w:space="0" w:color="auto"/>
            </w:tcBorders>
            <w:shd w:val="clear" w:color="auto" w:fill="448A99"/>
            <w:vAlign w:val="center"/>
          </w:tcPr>
          <w:p w:rsidR="008872A9" w:rsidRPr="00B75B77" w:rsidRDefault="00EA1A8E" w:rsidP="00093474">
            <w:pPr>
              <w:jc w:val="left"/>
              <w:cnfStyle w:val="100000000000" w:firstRow="1" w:lastRow="0" w:firstColumn="0" w:lastColumn="0" w:oddVBand="0" w:evenVBand="0" w:oddHBand="0" w:evenHBand="0" w:firstRowFirstColumn="0" w:firstRowLastColumn="0" w:lastRowFirstColumn="0" w:lastRowLastColumn="0"/>
              <w:rPr>
                <w:bCs w:val="0"/>
                <w:sz w:val="18"/>
                <w:szCs w:val="18"/>
              </w:rPr>
            </w:pPr>
            <w:r w:rsidRPr="00B75B77">
              <w:rPr>
                <w:bCs w:val="0"/>
                <w:sz w:val="18"/>
                <w:szCs w:val="18"/>
              </w:rPr>
              <w:t>Used for</w:t>
            </w:r>
            <w:r w:rsidR="008872A9" w:rsidRPr="00B75B77">
              <w:rPr>
                <w:bCs w:val="0"/>
                <w:sz w:val="18"/>
                <w:szCs w:val="18"/>
              </w:rPr>
              <w:t xml:space="preserve"> Evaluation Activities (Impact, Process, NTG)</w:t>
            </w:r>
          </w:p>
        </w:tc>
      </w:tr>
      <w:tr w:rsidR="008872A9" w:rsidRPr="00B75B77" w:rsidTr="00C44F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3" w:type="pct"/>
            <w:tcBorders>
              <w:top w:val="single" w:sz="4" w:space="0" w:color="auto"/>
              <w:left w:val="single" w:sz="4" w:space="0" w:color="448A99"/>
              <w:bottom w:val="single" w:sz="4" w:space="0" w:color="448A99"/>
              <w:right w:val="single" w:sz="4" w:space="0" w:color="448A99"/>
            </w:tcBorders>
            <w:vAlign w:val="center"/>
          </w:tcPr>
          <w:p w:rsidR="008872A9" w:rsidRPr="00B75B77" w:rsidRDefault="008872A9" w:rsidP="00594255">
            <w:pPr>
              <w:jc w:val="left"/>
              <w:rPr>
                <w:b w:val="0"/>
                <w:sz w:val="18"/>
                <w:szCs w:val="18"/>
              </w:rPr>
            </w:pPr>
            <w:r w:rsidRPr="00B75B77">
              <w:rPr>
                <w:b w:val="0"/>
                <w:sz w:val="18"/>
                <w:szCs w:val="18"/>
              </w:rPr>
              <w:t>PECO Program Managers</w:t>
            </w:r>
          </w:p>
        </w:tc>
        <w:tc>
          <w:tcPr>
            <w:tcW w:w="582" w:type="pct"/>
            <w:tcBorders>
              <w:top w:val="single" w:sz="4" w:space="0" w:color="auto"/>
              <w:left w:val="single" w:sz="4" w:space="0" w:color="448A99"/>
              <w:bottom w:val="single" w:sz="4" w:space="0" w:color="448A99"/>
              <w:right w:val="single" w:sz="4" w:space="0" w:color="448A99"/>
            </w:tcBorders>
            <w:vAlign w:val="center"/>
          </w:tcPr>
          <w:p w:rsidR="008872A9" w:rsidRPr="00B75B77" w:rsidRDefault="008872A9" w:rsidP="00594255">
            <w:pPr>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3</w:t>
            </w:r>
          </w:p>
        </w:tc>
        <w:tc>
          <w:tcPr>
            <w:tcW w:w="582" w:type="pct"/>
            <w:tcBorders>
              <w:top w:val="single" w:sz="4" w:space="0" w:color="auto"/>
              <w:left w:val="single" w:sz="4" w:space="0" w:color="448A99"/>
              <w:bottom w:val="single" w:sz="4" w:space="0" w:color="448A99"/>
              <w:right w:val="single" w:sz="4" w:space="0" w:color="448A99"/>
            </w:tcBorders>
            <w:vAlign w:val="center"/>
          </w:tcPr>
          <w:p w:rsidR="008872A9" w:rsidRPr="00B75B77" w:rsidRDefault="00864276" w:rsidP="00594255">
            <w:pPr>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N/A</w:t>
            </w:r>
          </w:p>
        </w:tc>
        <w:tc>
          <w:tcPr>
            <w:tcW w:w="582" w:type="pct"/>
            <w:tcBorders>
              <w:top w:val="single" w:sz="4" w:space="0" w:color="auto"/>
              <w:left w:val="single" w:sz="4" w:space="0" w:color="448A99"/>
              <w:bottom w:val="single" w:sz="4" w:space="0" w:color="448A99"/>
              <w:right w:val="single" w:sz="4" w:space="0" w:color="448A99"/>
            </w:tcBorders>
            <w:vAlign w:val="center"/>
          </w:tcPr>
          <w:p w:rsidR="008872A9" w:rsidRPr="00B75B77" w:rsidRDefault="00864276" w:rsidP="00594255">
            <w:pPr>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N/A</w:t>
            </w:r>
          </w:p>
        </w:tc>
        <w:tc>
          <w:tcPr>
            <w:tcW w:w="438" w:type="pct"/>
            <w:tcBorders>
              <w:top w:val="single" w:sz="4" w:space="0" w:color="auto"/>
              <w:left w:val="single" w:sz="4" w:space="0" w:color="448A99"/>
              <w:bottom w:val="single" w:sz="4" w:space="0" w:color="448A99"/>
              <w:right w:val="single" w:sz="4" w:space="0" w:color="448A99"/>
            </w:tcBorders>
            <w:vAlign w:val="center"/>
          </w:tcPr>
          <w:p w:rsidR="008872A9" w:rsidRPr="00B75B77" w:rsidRDefault="008872A9" w:rsidP="00594255">
            <w:pPr>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3</w:t>
            </w:r>
          </w:p>
        </w:tc>
        <w:tc>
          <w:tcPr>
            <w:tcW w:w="582" w:type="pct"/>
            <w:tcBorders>
              <w:top w:val="single" w:sz="4" w:space="0" w:color="auto"/>
              <w:left w:val="single" w:sz="4" w:space="0" w:color="448A99"/>
              <w:bottom w:val="single" w:sz="4" w:space="0" w:color="448A99"/>
              <w:right w:val="single" w:sz="4" w:space="0" w:color="448A99"/>
            </w:tcBorders>
            <w:vAlign w:val="center"/>
          </w:tcPr>
          <w:p w:rsidR="008872A9" w:rsidRPr="00B75B77" w:rsidRDefault="008872A9" w:rsidP="00594255">
            <w:pPr>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3</w:t>
            </w:r>
          </w:p>
        </w:tc>
        <w:tc>
          <w:tcPr>
            <w:tcW w:w="728" w:type="pct"/>
            <w:tcBorders>
              <w:top w:val="single" w:sz="4" w:space="0" w:color="auto"/>
              <w:left w:val="single" w:sz="4" w:space="0" w:color="448A99"/>
              <w:bottom w:val="single" w:sz="4" w:space="0" w:color="448A99"/>
              <w:right w:val="single" w:sz="4" w:space="0" w:color="448A99"/>
            </w:tcBorders>
            <w:vAlign w:val="center"/>
          </w:tcPr>
          <w:p w:rsidR="008872A9" w:rsidRPr="00B75B77" w:rsidRDefault="008872A9" w:rsidP="00594255">
            <w:pPr>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100%</w:t>
            </w:r>
          </w:p>
        </w:tc>
        <w:tc>
          <w:tcPr>
            <w:tcW w:w="582" w:type="pct"/>
            <w:tcBorders>
              <w:top w:val="single" w:sz="4" w:space="0" w:color="auto"/>
              <w:left w:val="single" w:sz="4" w:space="0" w:color="448A99"/>
              <w:bottom w:val="single" w:sz="4" w:space="0" w:color="448A99"/>
              <w:right w:val="single" w:sz="4" w:space="0" w:color="448A99"/>
            </w:tcBorders>
            <w:vAlign w:val="center"/>
          </w:tcPr>
          <w:p w:rsidR="008872A9" w:rsidRPr="00B75B77" w:rsidRDefault="008872A9" w:rsidP="00093474">
            <w:pPr>
              <w:jc w:val="left"/>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 xml:space="preserve">Process </w:t>
            </w:r>
            <w:r w:rsidR="0054059D" w:rsidRPr="00B75B77">
              <w:rPr>
                <w:sz w:val="18"/>
                <w:szCs w:val="18"/>
              </w:rPr>
              <w:t>e</w:t>
            </w:r>
            <w:r w:rsidR="00093474" w:rsidRPr="00B75B77">
              <w:rPr>
                <w:sz w:val="18"/>
                <w:szCs w:val="18"/>
              </w:rPr>
              <w:t>valuation</w:t>
            </w:r>
          </w:p>
        </w:tc>
      </w:tr>
      <w:tr w:rsidR="008872A9" w:rsidRPr="00B75B77" w:rsidTr="00C44F8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3"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594255">
            <w:pPr>
              <w:jc w:val="left"/>
              <w:rPr>
                <w:b w:val="0"/>
                <w:sz w:val="18"/>
                <w:szCs w:val="18"/>
              </w:rPr>
            </w:pPr>
            <w:r w:rsidRPr="00B75B77">
              <w:rPr>
                <w:b w:val="0"/>
                <w:sz w:val="18"/>
                <w:szCs w:val="18"/>
              </w:rPr>
              <w:t>Implementation Contractors</w:t>
            </w:r>
          </w:p>
        </w:tc>
        <w:tc>
          <w:tcPr>
            <w:tcW w:w="582"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594255">
            <w:pPr>
              <w:jc w:val="center"/>
              <w:cnfStyle w:val="000000010000" w:firstRow="0" w:lastRow="0" w:firstColumn="0" w:lastColumn="0" w:oddVBand="0" w:evenVBand="0" w:oddHBand="0" w:evenHBand="1" w:firstRowFirstColumn="0" w:firstRowLastColumn="0" w:lastRowFirstColumn="0" w:lastRowLastColumn="0"/>
              <w:rPr>
                <w:sz w:val="18"/>
                <w:szCs w:val="18"/>
              </w:rPr>
            </w:pPr>
            <w:r w:rsidRPr="00B75B77">
              <w:rPr>
                <w:sz w:val="18"/>
                <w:szCs w:val="18"/>
              </w:rPr>
              <w:t>4</w:t>
            </w:r>
          </w:p>
        </w:tc>
        <w:tc>
          <w:tcPr>
            <w:tcW w:w="582"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64276" w:rsidP="00594255">
            <w:pPr>
              <w:jc w:val="center"/>
              <w:cnfStyle w:val="000000010000" w:firstRow="0" w:lastRow="0" w:firstColumn="0" w:lastColumn="0" w:oddVBand="0" w:evenVBand="0" w:oddHBand="0" w:evenHBand="1" w:firstRowFirstColumn="0" w:firstRowLastColumn="0" w:lastRowFirstColumn="0" w:lastRowLastColumn="0"/>
              <w:rPr>
                <w:sz w:val="18"/>
                <w:szCs w:val="18"/>
              </w:rPr>
            </w:pPr>
            <w:r w:rsidRPr="00B75B77">
              <w:rPr>
                <w:sz w:val="18"/>
                <w:szCs w:val="18"/>
              </w:rPr>
              <w:t>N/A</w:t>
            </w:r>
          </w:p>
        </w:tc>
        <w:tc>
          <w:tcPr>
            <w:tcW w:w="582"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64276" w:rsidP="00594255">
            <w:pPr>
              <w:jc w:val="center"/>
              <w:cnfStyle w:val="000000010000" w:firstRow="0" w:lastRow="0" w:firstColumn="0" w:lastColumn="0" w:oddVBand="0" w:evenVBand="0" w:oddHBand="0" w:evenHBand="1" w:firstRowFirstColumn="0" w:firstRowLastColumn="0" w:lastRowFirstColumn="0" w:lastRowLastColumn="0"/>
              <w:rPr>
                <w:sz w:val="18"/>
                <w:szCs w:val="18"/>
              </w:rPr>
            </w:pPr>
            <w:r w:rsidRPr="00B75B77">
              <w:rPr>
                <w:sz w:val="18"/>
                <w:szCs w:val="18"/>
              </w:rPr>
              <w:t>N/A</w:t>
            </w:r>
          </w:p>
        </w:tc>
        <w:tc>
          <w:tcPr>
            <w:tcW w:w="438"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594255">
            <w:pPr>
              <w:jc w:val="center"/>
              <w:cnfStyle w:val="000000010000" w:firstRow="0" w:lastRow="0" w:firstColumn="0" w:lastColumn="0" w:oddVBand="0" w:evenVBand="0" w:oddHBand="0" w:evenHBand="1" w:firstRowFirstColumn="0" w:firstRowLastColumn="0" w:lastRowFirstColumn="0" w:lastRowLastColumn="0"/>
              <w:rPr>
                <w:sz w:val="18"/>
                <w:szCs w:val="18"/>
              </w:rPr>
            </w:pPr>
            <w:r w:rsidRPr="00B75B77">
              <w:rPr>
                <w:sz w:val="18"/>
                <w:szCs w:val="18"/>
              </w:rPr>
              <w:t>4</w:t>
            </w:r>
          </w:p>
        </w:tc>
        <w:tc>
          <w:tcPr>
            <w:tcW w:w="582"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594255">
            <w:pPr>
              <w:jc w:val="center"/>
              <w:cnfStyle w:val="000000010000" w:firstRow="0" w:lastRow="0" w:firstColumn="0" w:lastColumn="0" w:oddVBand="0" w:evenVBand="0" w:oddHBand="0" w:evenHBand="1" w:firstRowFirstColumn="0" w:firstRowLastColumn="0" w:lastRowFirstColumn="0" w:lastRowLastColumn="0"/>
              <w:rPr>
                <w:sz w:val="18"/>
                <w:szCs w:val="18"/>
              </w:rPr>
            </w:pPr>
            <w:r w:rsidRPr="00B75B77">
              <w:rPr>
                <w:sz w:val="18"/>
                <w:szCs w:val="18"/>
              </w:rPr>
              <w:t>4</w:t>
            </w:r>
          </w:p>
        </w:tc>
        <w:tc>
          <w:tcPr>
            <w:tcW w:w="728"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594255">
            <w:pPr>
              <w:jc w:val="center"/>
              <w:cnfStyle w:val="000000010000" w:firstRow="0" w:lastRow="0" w:firstColumn="0" w:lastColumn="0" w:oddVBand="0" w:evenVBand="0" w:oddHBand="0" w:evenHBand="1" w:firstRowFirstColumn="0" w:firstRowLastColumn="0" w:lastRowFirstColumn="0" w:lastRowLastColumn="0"/>
              <w:rPr>
                <w:sz w:val="18"/>
                <w:szCs w:val="18"/>
              </w:rPr>
            </w:pPr>
            <w:r w:rsidRPr="00B75B77">
              <w:rPr>
                <w:sz w:val="18"/>
                <w:szCs w:val="18"/>
              </w:rPr>
              <w:t>100%</w:t>
            </w:r>
          </w:p>
        </w:tc>
        <w:tc>
          <w:tcPr>
            <w:tcW w:w="582"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093474">
            <w:pPr>
              <w:jc w:val="left"/>
              <w:cnfStyle w:val="000000010000" w:firstRow="0" w:lastRow="0" w:firstColumn="0" w:lastColumn="0" w:oddVBand="0" w:evenVBand="0" w:oddHBand="0" w:evenHBand="1" w:firstRowFirstColumn="0" w:firstRowLastColumn="0" w:lastRowFirstColumn="0" w:lastRowLastColumn="0"/>
              <w:rPr>
                <w:sz w:val="18"/>
                <w:szCs w:val="18"/>
              </w:rPr>
            </w:pPr>
            <w:r w:rsidRPr="00B75B77">
              <w:rPr>
                <w:sz w:val="18"/>
                <w:szCs w:val="18"/>
              </w:rPr>
              <w:t xml:space="preserve">Process </w:t>
            </w:r>
            <w:r w:rsidR="0054059D" w:rsidRPr="00B75B77">
              <w:rPr>
                <w:sz w:val="18"/>
                <w:szCs w:val="18"/>
              </w:rPr>
              <w:t>e</w:t>
            </w:r>
            <w:r w:rsidR="00093474" w:rsidRPr="00B75B77">
              <w:rPr>
                <w:sz w:val="18"/>
                <w:szCs w:val="18"/>
              </w:rPr>
              <w:t>valuation</w:t>
            </w:r>
          </w:p>
        </w:tc>
      </w:tr>
      <w:tr w:rsidR="008872A9" w:rsidRPr="00B75B77" w:rsidTr="00C44F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3"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594255">
            <w:pPr>
              <w:jc w:val="left"/>
              <w:rPr>
                <w:b w:val="0"/>
                <w:sz w:val="18"/>
                <w:szCs w:val="18"/>
              </w:rPr>
            </w:pPr>
            <w:r w:rsidRPr="00B75B77">
              <w:rPr>
                <w:b w:val="0"/>
                <w:sz w:val="18"/>
                <w:szCs w:val="18"/>
              </w:rPr>
              <w:t>Distributor/Trade Allies</w:t>
            </w:r>
          </w:p>
        </w:tc>
        <w:tc>
          <w:tcPr>
            <w:tcW w:w="582"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093474" w:rsidP="00594255">
            <w:pPr>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Unknown</w:t>
            </w:r>
          </w:p>
        </w:tc>
        <w:tc>
          <w:tcPr>
            <w:tcW w:w="582"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64276" w:rsidP="00594255">
            <w:pPr>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N/A</w:t>
            </w:r>
          </w:p>
        </w:tc>
        <w:tc>
          <w:tcPr>
            <w:tcW w:w="582"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64276" w:rsidP="00594255">
            <w:pPr>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N/A</w:t>
            </w:r>
          </w:p>
        </w:tc>
        <w:tc>
          <w:tcPr>
            <w:tcW w:w="438"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594255">
            <w:pPr>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7</w:t>
            </w:r>
          </w:p>
        </w:tc>
        <w:tc>
          <w:tcPr>
            <w:tcW w:w="582"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594255">
            <w:pPr>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7</w:t>
            </w:r>
          </w:p>
        </w:tc>
        <w:tc>
          <w:tcPr>
            <w:tcW w:w="728"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594255">
            <w:pPr>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100%</w:t>
            </w:r>
          </w:p>
        </w:tc>
        <w:tc>
          <w:tcPr>
            <w:tcW w:w="582"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093474">
            <w:pPr>
              <w:jc w:val="left"/>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 xml:space="preserve">Process </w:t>
            </w:r>
            <w:r w:rsidR="0054059D" w:rsidRPr="00B75B77">
              <w:rPr>
                <w:sz w:val="18"/>
                <w:szCs w:val="18"/>
              </w:rPr>
              <w:t>e</w:t>
            </w:r>
            <w:r w:rsidR="00093474" w:rsidRPr="00B75B77">
              <w:rPr>
                <w:sz w:val="18"/>
                <w:szCs w:val="18"/>
              </w:rPr>
              <w:t>valuation</w:t>
            </w:r>
          </w:p>
        </w:tc>
      </w:tr>
      <w:tr w:rsidR="008872A9" w:rsidRPr="00B75B77" w:rsidTr="00C44F8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3"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594255">
            <w:pPr>
              <w:jc w:val="left"/>
              <w:rPr>
                <w:bCs w:val="0"/>
                <w:caps/>
                <w:sz w:val="18"/>
                <w:szCs w:val="18"/>
              </w:rPr>
            </w:pPr>
            <w:r w:rsidRPr="00B75B77">
              <w:rPr>
                <w:bCs w:val="0"/>
                <w:caps/>
                <w:sz w:val="18"/>
                <w:szCs w:val="18"/>
              </w:rPr>
              <w:t>Program Total</w:t>
            </w:r>
          </w:p>
        </w:tc>
        <w:tc>
          <w:tcPr>
            <w:tcW w:w="582"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A377A2" w:rsidP="00594255">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B75B77">
              <w:rPr>
                <w:b/>
                <w:sz w:val="18"/>
                <w:szCs w:val="18"/>
              </w:rPr>
              <w:t>N/A</w:t>
            </w:r>
          </w:p>
        </w:tc>
        <w:tc>
          <w:tcPr>
            <w:tcW w:w="582"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A377A2" w:rsidP="00594255">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B75B77">
              <w:rPr>
                <w:b/>
                <w:sz w:val="18"/>
                <w:szCs w:val="18"/>
              </w:rPr>
              <w:t>N/A</w:t>
            </w:r>
          </w:p>
        </w:tc>
        <w:tc>
          <w:tcPr>
            <w:tcW w:w="582"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A377A2" w:rsidP="00594255">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B75B77">
              <w:rPr>
                <w:b/>
                <w:sz w:val="18"/>
                <w:szCs w:val="18"/>
              </w:rPr>
              <w:t>N/A</w:t>
            </w:r>
          </w:p>
        </w:tc>
        <w:tc>
          <w:tcPr>
            <w:tcW w:w="438"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594255">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B75B77">
              <w:rPr>
                <w:b/>
                <w:sz w:val="18"/>
                <w:szCs w:val="18"/>
              </w:rPr>
              <w:t>14</w:t>
            </w:r>
          </w:p>
        </w:tc>
        <w:tc>
          <w:tcPr>
            <w:tcW w:w="582"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594255">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B75B77">
              <w:rPr>
                <w:b/>
                <w:sz w:val="18"/>
                <w:szCs w:val="18"/>
              </w:rPr>
              <w:t>14</w:t>
            </w:r>
          </w:p>
        </w:tc>
        <w:tc>
          <w:tcPr>
            <w:tcW w:w="728"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A377A2" w:rsidP="00594255">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B75B77">
              <w:rPr>
                <w:b/>
                <w:sz w:val="18"/>
                <w:szCs w:val="18"/>
              </w:rPr>
              <w:t>100%</w:t>
            </w:r>
          </w:p>
        </w:tc>
        <w:tc>
          <w:tcPr>
            <w:tcW w:w="582" w:type="pct"/>
            <w:tcBorders>
              <w:top w:val="single" w:sz="4" w:space="0" w:color="448A99"/>
              <w:left w:val="single" w:sz="4" w:space="0" w:color="448A99"/>
              <w:bottom w:val="single" w:sz="4" w:space="0" w:color="448A99"/>
              <w:right w:val="single" w:sz="4" w:space="0" w:color="448A99"/>
            </w:tcBorders>
            <w:vAlign w:val="center"/>
          </w:tcPr>
          <w:p w:rsidR="008872A9" w:rsidRPr="00B75B77" w:rsidRDefault="00A377A2" w:rsidP="00093474">
            <w:pPr>
              <w:jc w:val="left"/>
              <w:cnfStyle w:val="000000010000" w:firstRow="0" w:lastRow="0" w:firstColumn="0" w:lastColumn="0" w:oddVBand="0" w:evenVBand="0" w:oddHBand="0" w:evenHBand="1" w:firstRowFirstColumn="0" w:firstRowLastColumn="0" w:lastRowFirstColumn="0" w:lastRowLastColumn="0"/>
              <w:rPr>
                <w:b/>
                <w:sz w:val="18"/>
                <w:szCs w:val="18"/>
              </w:rPr>
            </w:pPr>
            <w:r w:rsidRPr="00B75B77">
              <w:rPr>
                <w:b/>
                <w:sz w:val="18"/>
                <w:szCs w:val="18"/>
              </w:rPr>
              <w:t>Process evaluation</w:t>
            </w:r>
          </w:p>
        </w:tc>
      </w:tr>
    </w:tbl>
    <w:p w:rsidR="008872A9" w:rsidRPr="00B75B77" w:rsidRDefault="008872A9" w:rsidP="00093474">
      <w:pPr>
        <w:pStyle w:val="Source"/>
        <w:keepNext/>
        <w:spacing w:before="20" w:after="20"/>
        <w:ind w:left="90" w:firstLine="0"/>
        <w:rPr>
          <w:i w:val="0"/>
        </w:rPr>
      </w:pPr>
      <w:r w:rsidRPr="00B75B77">
        <w:rPr>
          <w:i w:val="0"/>
        </w:rPr>
        <w:t xml:space="preserve">Note: </w:t>
      </w:r>
      <w:r w:rsidRPr="00B75B77">
        <w:rPr>
          <w:rFonts w:ascii="Calibri" w:hAnsi="Calibri"/>
          <w:i w:val="0"/>
          <w:iCs/>
          <w:color w:val="000000"/>
          <w:szCs w:val="18"/>
        </w:rPr>
        <w:t>Values in tables may not reconcile exactly with the sum of more detailed level results or previously reported results due to rounding.</w:t>
      </w:r>
    </w:p>
    <w:p w:rsidR="008872A9" w:rsidRPr="00B75B77" w:rsidRDefault="008872A9" w:rsidP="00093474">
      <w:pPr>
        <w:pStyle w:val="Source"/>
        <w:keepNext/>
        <w:spacing w:after="120"/>
        <w:ind w:left="90" w:firstLine="0"/>
      </w:pPr>
      <w:r w:rsidRPr="00B75B77">
        <w:t>Source: Navigant analysis</w:t>
      </w:r>
    </w:p>
    <w:p w:rsidR="008872A9" w:rsidRPr="00B75B77" w:rsidRDefault="008872A9" w:rsidP="00707B64">
      <w:pPr>
        <w:pStyle w:val="Heading3"/>
      </w:pPr>
      <w:bookmarkStart w:id="748" w:name="_Toc466413406"/>
      <w:r w:rsidRPr="00B75B77">
        <w:t>Process Evaluation Results</w:t>
      </w:r>
      <w:bookmarkEnd w:id="748"/>
      <w:r w:rsidRPr="00B75B77">
        <w:t xml:space="preserve"> </w:t>
      </w:r>
    </w:p>
    <w:p w:rsidR="008872A9" w:rsidRPr="00B75B77" w:rsidRDefault="008872A9" w:rsidP="00707B64">
      <w:pPr>
        <w:jc w:val="left"/>
      </w:pPr>
      <w:r w:rsidRPr="00B75B77">
        <w:rPr>
          <w:rFonts w:cs="Arial"/>
          <w:color w:val="000000"/>
        </w:rPr>
        <w:lastRenderedPageBreak/>
        <w:t xml:space="preserve">The SEI program was successful at moving its measure mix toward non-lighting measures in PY7, and </w:t>
      </w:r>
      <w:r w:rsidR="007673EC" w:rsidRPr="00B75B77">
        <w:rPr>
          <w:rFonts w:cs="Arial"/>
          <w:color w:val="000000"/>
        </w:rPr>
        <w:t>it</w:t>
      </w:r>
      <w:r w:rsidRPr="00B75B77">
        <w:rPr>
          <w:rFonts w:cs="Arial"/>
          <w:color w:val="000000"/>
        </w:rPr>
        <w:t xml:space="preserve"> is encouraging some changes within the market. In summary, the Phase II SEI program strategy worked</w:t>
      </w:r>
      <w:r w:rsidR="007673EC" w:rsidRPr="00B75B77">
        <w:rPr>
          <w:rFonts w:cs="Arial"/>
          <w:color w:val="000000"/>
        </w:rPr>
        <w:t>.</w:t>
      </w:r>
      <w:r w:rsidRPr="00B75B77">
        <w:rPr>
          <w:rFonts w:cs="Arial"/>
          <w:color w:val="000000"/>
        </w:rPr>
        <w:t xml:space="preserve"> </w:t>
      </w:r>
      <w:r w:rsidR="007673EC" w:rsidRPr="00B75B77">
        <w:rPr>
          <w:rFonts w:cs="Arial"/>
          <w:color w:val="000000"/>
        </w:rPr>
        <w:t>However</w:t>
      </w:r>
      <w:r w:rsidRPr="00B75B77">
        <w:rPr>
          <w:rFonts w:cs="Arial"/>
          <w:color w:val="000000"/>
        </w:rPr>
        <w:t xml:space="preserve">, to have a greater market impact in Phase III, PECO will need to add implementation tactics to increase market transformation. </w:t>
      </w:r>
      <w:r w:rsidRPr="00B75B77">
        <w:t>The results of the SEI process evaluation are as follows:</w:t>
      </w:r>
    </w:p>
    <w:p w:rsidR="008872A9" w:rsidRPr="00B75B77" w:rsidRDefault="008872A9" w:rsidP="00707B64"/>
    <w:p w:rsidR="008872A9" w:rsidRPr="00B75B77" w:rsidRDefault="008872A9" w:rsidP="009E08FB">
      <w:pPr>
        <w:pStyle w:val="NormalWeb"/>
        <w:numPr>
          <w:ilvl w:val="0"/>
          <w:numId w:val="86"/>
        </w:numPr>
        <w:spacing w:before="0" w:beforeAutospacing="0" w:after="120" w:afterAutospacing="0"/>
        <w:jc w:val="left"/>
        <w:rPr>
          <w:rFonts w:asciiTheme="minorHAnsi" w:hAnsiTheme="minorHAnsi" w:cs="Arial"/>
          <w:b/>
          <w:color w:val="000000"/>
          <w:sz w:val="22"/>
          <w:szCs w:val="22"/>
        </w:rPr>
      </w:pPr>
      <w:r w:rsidRPr="00B75B77">
        <w:rPr>
          <w:rFonts w:asciiTheme="minorHAnsi" w:hAnsiTheme="minorHAnsi" w:cs="Arial"/>
          <w:b/>
          <w:color w:val="000000"/>
          <w:sz w:val="22"/>
          <w:szCs w:val="22"/>
        </w:rPr>
        <w:t>Finding:</w:t>
      </w:r>
      <w:r w:rsidRPr="00B75B77">
        <w:rPr>
          <w:rFonts w:asciiTheme="minorHAnsi" w:hAnsiTheme="minorHAnsi" w:cs="Arial"/>
          <w:color w:val="000000"/>
          <w:sz w:val="22"/>
          <w:szCs w:val="22"/>
        </w:rPr>
        <w:t xml:space="preserve"> </w:t>
      </w:r>
      <w:r w:rsidR="007673EC" w:rsidRPr="00B75B77">
        <w:rPr>
          <w:rFonts w:asciiTheme="minorHAnsi" w:hAnsiTheme="minorHAnsi" w:cs="Arial"/>
          <w:color w:val="000000"/>
          <w:sz w:val="22"/>
          <w:szCs w:val="22"/>
        </w:rPr>
        <w:t>The</w:t>
      </w:r>
      <w:r w:rsidRPr="00B75B77">
        <w:rPr>
          <w:rFonts w:asciiTheme="minorHAnsi" w:hAnsiTheme="minorHAnsi" w:cs="Arial"/>
          <w:color w:val="000000"/>
          <w:sz w:val="22"/>
          <w:szCs w:val="22"/>
        </w:rPr>
        <w:t xml:space="preserve"> SEI program participants vary widely across business sizes, types, and other defining characteristics. As the SEI incentive levels will be reduced in Phase III, PECO may need to find ways to add value to the program for its varied customers in order to maintain high levels of participation. For example, the needs of a church are different from those of a small business.</w:t>
      </w:r>
    </w:p>
    <w:p w:rsidR="008872A9" w:rsidRPr="00B75B77" w:rsidRDefault="008872A9" w:rsidP="009E08FB">
      <w:pPr>
        <w:pStyle w:val="NormalWeb"/>
        <w:numPr>
          <w:ilvl w:val="1"/>
          <w:numId w:val="86"/>
        </w:numPr>
        <w:spacing w:before="0" w:beforeAutospacing="0" w:after="60" w:afterAutospacing="0"/>
        <w:jc w:val="left"/>
        <w:rPr>
          <w:rFonts w:asciiTheme="minorHAnsi" w:hAnsiTheme="minorHAnsi" w:cs="Arial"/>
          <w:b/>
          <w:color w:val="000000"/>
          <w:sz w:val="22"/>
          <w:szCs w:val="22"/>
        </w:rPr>
      </w:pPr>
      <w:r w:rsidRPr="00B75B77">
        <w:rPr>
          <w:rFonts w:asciiTheme="minorHAnsi" w:hAnsiTheme="minorHAnsi" w:cs="Arial"/>
          <w:b/>
          <w:color w:val="000000"/>
          <w:sz w:val="22"/>
          <w:szCs w:val="22"/>
        </w:rPr>
        <w:t>Recommendation:</w:t>
      </w:r>
      <w:r w:rsidRPr="00B75B77">
        <w:rPr>
          <w:rFonts w:asciiTheme="minorHAnsi" w:hAnsiTheme="minorHAnsi" w:cs="Arial"/>
          <w:color w:val="000000"/>
          <w:sz w:val="22"/>
          <w:szCs w:val="22"/>
        </w:rPr>
        <w:t xml:space="preserve"> Segment the eligible customer population further to explore the value of the SEI program and identify marketing or outreach approaches to reach each segment effectively. </w:t>
      </w:r>
    </w:p>
    <w:p w:rsidR="008872A9" w:rsidRPr="00B75B77" w:rsidRDefault="008872A9" w:rsidP="009E08FB">
      <w:pPr>
        <w:pStyle w:val="NormalWeb"/>
        <w:numPr>
          <w:ilvl w:val="0"/>
          <w:numId w:val="86"/>
        </w:numPr>
        <w:spacing w:before="0" w:beforeAutospacing="0" w:after="120" w:afterAutospacing="0"/>
        <w:jc w:val="left"/>
        <w:rPr>
          <w:rFonts w:asciiTheme="minorHAnsi" w:hAnsiTheme="minorHAnsi" w:cs="Arial"/>
          <w:b/>
          <w:color w:val="000000"/>
          <w:sz w:val="22"/>
          <w:szCs w:val="22"/>
        </w:rPr>
      </w:pPr>
      <w:r w:rsidRPr="00B75B77">
        <w:rPr>
          <w:rFonts w:asciiTheme="minorHAnsi" w:hAnsiTheme="minorHAnsi" w:cs="Arial"/>
          <w:b/>
          <w:color w:val="000000"/>
          <w:sz w:val="22"/>
          <w:szCs w:val="22"/>
        </w:rPr>
        <w:t>Finding:</w:t>
      </w:r>
      <w:r w:rsidRPr="00B75B77">
        <w:rPr>
          <w:rFonts w:asciiTheme="minorHAnsi" w:hAnsiTheme="minorHAnsi" w:cs="Arial"/>
          <w:color w:val="000000"/>
          <w:sz w:val="22"/>
          <w:szCs w:val="22"/>
        </w:rPr>
        <w:t xml:space="preserve"> Based on program staff interviews, the trade ally incentive program succeeded in PY7 by rewarding trade allies for completing a certain number of projects through the SEI program. This approach is a great tool to encourage trade allies to engage in the program and pursue projects. It does not, however, provide control over what types of projects or customers are engaged by trade allies. The participating trade allies are often larger companies themselves</w:t>
      </w:r>
      <w:r w:rsidR="00097B91" w:rsidRPr="00B75B77">
        <w:rPr>
          <w:rFonts w:asciiTheme="minorHAnsi" w:hAnsiTheme="minorHAnsi" w:cs="Arial"/>
          <w:color w:val="000000"/>
          <w:sz w:val="22"/>
          <w:szCs w:val="22"/>
        </w:rPr>
        <w:t xml:space="preserve"> that</w:t>
      </w:r>
      <w:r w:rsidRPr="00B75B77">
        <w:rPr>
          <w:rFonts w:asciiTheme="minorHAnsi" w:hAnsiTheme="minorHAnsi" w:cs="Arial"/>
          <w:color w:val="000000"/>
          <w:sz w:val="22"/>
          <w:szCs w:val="22"/>
        </w:rPr>
        <w:t xml:space="preserve"> may have the ability to pursue and leverage projects regionally or nationwide. These trade allies, while skilled at completing rebate applications, may shift their business strategy in Phase III to focus on other utility regions where incentives are richer in response to PECO’s lower incentive levels. This leaves an opportunity to engage more local contractors in the program.</w:t>
      </w:r>
    </w:p>
    <w:p w:rsidR="008872A9" w:rsidRPr="00B75B77" w:rsidRDefault="008872A9" w:rsidP="009E08FB">
      <w:pPr>
        <w:pStyle w:val="NormalWeb"/>
        <w:numPr>
          <w:ilvl w:val="1"/>
          <w:numId w:val="86"/>
        </w:numPr>
        <w:spacing w:before="0" w:beforeAutospacing="0" w:after="60" w:afterAutospacing="0"/>
        <w:jc w:val="left"/>
        <w:rPr>
          <w:rStyle w:val="CommentReference"/>
          <w:rFonts w:asciiTheme="minorHAnsi" w:hAnsiTheme="minorHAnsi" w:cs="Arial"/>
          <w:b/>
          <w:color w:val="000000"/>
          <w:sz w:val="22"/>
          <w:szCs w:val="22"/>
        </w:rPr>
      </w:pPr>
      <w:r w:rsidRPr="00B75B77">
        <w:rPr>
          <w:rFonts w:asciiTheme="minorHAnsi" w:hAnsiTheme="minorHAnsi" w:cs="Arial"/>
          <w:b/>
          <w:color w:val="000000"/>
          <w:sz w:val="22"/>
          <w:szCs w:val="22"/>
        </w:rPr>
        <w:t xml:space="preserve">Recommendation: </w:t>
      </w:r>
      <w:r w:rsidRPr="00B75B77">
        <w:rPr>
          <w:rFonts w:asciiTheme="minorHAnsi" w:hAnsiTheme="minorHAnsi" w:cs="Arial"/>
          <w:color w:val="000000"/>
          <w:sz w:val="22"/>
          <w:szCs w:val="22"/>
        </w:rPr>
        <w:t>Change the trade ally incentives program to incent targeted project types or customer segments.</w:t>
      </w:r>
    </w:p>
    <w:p w:rsidR="008872A9" w:rsidRPr="00B75B77" w:rsidRDefault="008872A9" w:rsidP="009E08FB">
      <w:pPr>
        <w:pStyle w:val="NormalWeb"/>
        <w:numPr>
          <w:ilvl w:val="1"/>
          <w:numId w:val="86"/>
        </w:numPr>
        <w:spacing w:before="0" w:beforeAutospacing="0" w:after="60" w:afterAutospacing="0"/>
        <w:jc w:val="left"/>
        <w:rPr>
          <w:rFonts w:asciiTheme="minorHAnsi" w:hAnsiTheme="minorHAnsi" w:cs="Arial"/>
          <w:b/>
          <w:color w:val="000000"/>
          <w:sz w:val="22"/>
          <w:szCs w:val="22"/>
        </w:rPr>
      </w:pPr>
      <w:r w:rsidRPr="00B75B77">
        <w:rPr>
          <w:rFonts w:asciiTheme="minorHAnsi" w:hAnsiTheme="minorHAnsi" w:cs="Arial"/>
          <w:b/>
          <w:color w:val="000000"/>
          <w:sz w:val="22"/>
          <w:szCs w:val="22"/>
        </w:rPr>
        <w:t>Recommendation:</w:t>
      </w:r>
      <w:r w:rsidRPr="00B75B77">
        <w:rPr>
          <w:rFonts w:asciiTheme="minorHAnsi" w:hAnsiTheme="minorHAnsi" w:cs="Arial"/>
          <w:color w:val="000000"/>
          <w:sz w:val="22"/>
          <w:szCs w:val="22"/>
        </w:rPr>
        <w:t xml:space="preserve"> Conduct additional outreach to engage new trade allies in the program (especially local contractors, who are less likely than larger companies to transfer their focus to projects in other states where incentives are richer).</w:t>
      </w:r>
    </w:p>
    <w:p w:rsidR="008872A9" w:rsidRPr="00B75B77" w:rsidRDefault="008872A9" w:rsidP="009E08FB">
      <w:pPr>
        <w:pStyle w:val="ListParagraph"/>
        <w:numPr>
          <w:ilvl w:val="0"/>
          <w:numId w:val="86"/>
        </w:numPr>
        <w:tabs>
          <w:tab w:val="left" w:pos="0"/>
          <w:tab w:val="left" w:pos="360"/>
          <w:tab w:val="left" w:pos="720"/>
          <w:tab w:val="left" w:pos="1080"/>
          <w:tab w:val="left" w:pos="1440"/>
        </w:tabs>
        <w:spacing w:after="120"/>
        <w:contextualSpacing w:val="0"/>
        <w:jc w:val="left"/>
        <w:rPr>
          <w:rFonts w:cs="Arial"/>
          <w:b/>
          <w:i/>
        </w:rPr>
      </w:pPr>
      <w:r w:rsidRPr="00B75B77">
        <w:rPr>
          <w:rFonts w:cs="Arial"/>
          <w:b/>
          <w:color w:val="000000"/>
        </w:rPr>
        <w:t>Finding:</w:t>
      </w:r>
      <w:r w:rsidRPr="00B75B77">
        <w:rPr>
          <w:rFonts w:cs="Arial"/>
          <w:color w:val="000000"/>
        </w:rPr>
        <w:t xml:space="preserve"> </w:t>
      </w:r>
      <w:r w:rsidRPr="00B75B77">
        <w:rPr>
          <w:rFonts w:cs="Arial"/>
        </w:rPr>
        <w:t xml:space="preserve">SEI has a goal of bringing in a diverse measure mix, focusing on achieving a higher percentage </w:t>
      </w:r>
      <w:r w:rsidR="00097B91" w:rsidRPr="00B75B77">
        <w:rPr>
          <w:rFonts w:cs="Arial"/>
        </w:rPr>
        <w:t xml:space="preserve">of </w:t>
      </w:r>
      <w:r w:rsidRPr="00B75B77">
        <w:rPr>
          <w:rFonts w:cs="Arial"/>
        </w:rPr>
        <w:t>non-lighting projects. In Phase II, SEI succeeded at reducing the percent</w:t>
      </w:r>
      <w:r w:rsidR="007673EC" w:rsidRPr="00B75B77">
        <w:rPr>
          <w:rFonts w:cs="Arial"/>
        </w:rPr>
        <w:t>age</w:t>
      </w:r>
      <w:r w:rsidRPr="00B75B77">
        <w:rPr>
          <w:rFonts w:cs="Arial"/>
        </w:rPr>
        <w:t xml:space="preserve"> of lighting projects from PY5 to PY7, increasing custom projects. In Phase III, an increased focus on prescriptive measures could aid in the effort to encourage non-lighting projects</w:t>
      </w:r>
      <w:r w:rsidR="007673EC" w:rsidRPr="00B75B77">
        <w:rPr>
          <w:rFonts w:cs="Arial"/>
        </w:rPr>
        <w:t>. However,</w:t>
      </w:r>
      <w:r w:rsidRPr="00B75B77">
        <w:rPr>
          <w:rFonts w:cs="Arial"/>
        </w:rPr>
        <w:t xml:space="preserve"> the decreased incentive levels might mean a decrease in these non-lighting measures, as engineering costs will remain high.</w:t>
      </w:r>
      <w:r w:rsidRPr="00B75B77">
        <w:rPr>
          <w:rFonts w:cs="Arial"/>
          <w:i/>
        </w:rPr>
        <w:t xml:space="preserve"> </w:t>
      </w:r>
      <w:r w:rsidRPr="00B75B77">
        <w:rPr>
          <w:rFonts w:cs="Arial"/>
        </w:rPr>
        <w:t>Interviews and survey responses indicate that in some cases, PY7 incentive levels barely covered the cost of the engineering requirements in the rebate application.</w:t>
      </w:r>
    </w:p>
    <w:p w:rsidR="008872A9" w:rsidRPr="00B75B77" w:rsidRDefault="008872A9" w:rsidP="009E08FB">
      <w:pPr>
        <w:pStyle w:val="ListParagraph"/>
        <w:numPr>
          <w:ilvl w:val="1"/>
          <w:numId w:val="86"/>
        </w:numPr>
        <w:tabs>
          <w:tab w:val="left" w:pos="0"/>
          <w:tab w:val="left" w:pos="360"/>
          <w:tab w:val="left" w:pos="720"/>
          <w:tab w:val="left" w:pos="1080"/>
          <w:tab w:val="left" w:pos="1440"/>
        </w:tabs>
        <w:spacing w:after="60"/>
        <w:contextualSpacing w:val="0"/>
        <w:jc w:val="left"/>
        <w:rPr>
          <w:rFonts w:cs="Arial"/>
          <w:b/>
          <w:i/>
        </w:rPr>
      </w:pPr>
      <w:r w:rsidRPr="00B75B77">
        <w:rPr>
          <w:rFonts w:cs="Arial"/>
          <w:b/>
        </w:rPr>
        <w:t>Recommendation:</w:t>
      </w:r>
      <w:r w:rsidRPr="00B75B77">
        <w:rPr>
          <w:rFonts w:cs="Arial"/>
        </w:rPr>
        <w:t xml:space="preserve"> Increase assistance to participants and trade allies with completing required documentation and TRM worksheets for custom projects.</w:t>
      </w:r>
    </w:p>
    <w:p w:rsidR="008872A9" w:rsidRPr="00B75B77" w:rsidRDefault="008872A9" w:rsidP="009E08FB">
      <w:pPr>
        <w:pStyle w:val="ListParagraph"/>
        <w:numPr>
          <w:ilvl w:val="0"/>
          <w:numId w:val="86"/>
        </w:numPr>
        <w:tabs>
          <w:tab w:val="left" w:pos="0"/>
          <w:tab w:val="left" w:pos="360"/>
          <w:tab w:val="left" w:pos="720"/>
          <w:tab w:val="left" w:pos="1080"/>
          <w:tab w:val="left" w:pos="1440"/>
        </w:tabs>
        <w:spacing w:after="120"/>
        <w:contextualSpacing w:val="0"/>
        <w:jc w:val="left"/>
        <w:rPr>
          <w:rFonts w:cs="Arial"/>
          <w:b/>
        </w:rPr>
      </w:pPr>
      <w:r w:rsidRPr="00B75B77">
        <w:rPr>
          <w:rFonts w:cs="Arial"/>
          <w:b/>
        </w:rPr>
        <w:t>Finding:</w:t>
      </w:r>
      <w:r w:rsidRPr="00B75B77">
        <w:rPr>
          <w:rFonts w:cs="Arial"/>
        </w:rPr>
        <w:t xml:space="preserve"> The “limited time offer” marketing effort was very successful. It encouraged undecided participants to apply earlier and contributed to projects finishing earlier than anticipated. The offer brought in more projects in February and March, rather than later in May and June.</w:t>
      </w:r>
    </w:p>
    <w:p w:rsidR="008872A9" w:rsidRPr="00B75B77" w:rsidRDefault="008872A9" w:rsidP="009E08FB">
      <w:pPr>
        <w:pStyle w:val="ListParagraph"/>
        <w:numPr>
          <w:ilvl w:val="1"/>
          <w:numId w:val="86"/>
        </w:numPr>
        <w:tabs>
          <w:tab w:val="left" w:pos="0"/>
          <w:tab w:val="left" w:pos="360"/>
          <w:tab w:val="left" w:pos="720"/>
          <w:tab w:val="left" w:pos="1080"/>
          <w:tab w:val="left" w:pos="1440"/>
        </w:tabs>
        <w:spacing w:after="60"/>
        <w:contextualSpacing w:val="0"/>
        <w:jc w:val="left"/>
        <w:rPr>
          <w:rFonts w:cs="Arial"/>
          <w:b/>
        </w:rPr>
      </w:pPr>
      <w:r w:rsidRPr="00B75B77">
        <w:rPr>
          <w:rFonts w:cs="Arial"/>
          <w:b/>
        </w:rPr>
        <w:t>Recommendation:</w:t>
      </w:r>
      <w:r w:rsidRPr="00B75B77">
        <w:rPr>
          <w:rFonts w:cs="Arial"/>
        </w:rPr>
        <w:t xml:space="preserve"> Use the </w:t>
      </w:r>
      <w:r w:rsidR="007673EC" w:rsidRPr="00B75B77">
        <w:rPr>
          <w:rFonts w:cs="Arial"/>
        </w:rPr>
        <w:t>“</w:t>
      </w:r>
      <w:r w:rsidRPr="00B75B77">
        <w:rPr>
          <w:rFonts w:cs="Arial"/>
        </w:rPr>
        <w:t>limited time offer</w:t>
      </w:r>
      <w:r w:rsidR="007673EC" w:rsidRPr="00B75B77">
        <w:rPr>
          <w:rFonts w:cs="Arial"/>
        </w:rPr>
        <w:t>”</w:t>
      </w:r>
      <w:r w:rsidRPr="00B75B77">
        <w:rPr>
          <w:rFonts w:cs="Arial"/>
        </w:rPr>
        <w:t xml:space="preserve"> as a lever in future years if participation is low. </w:t>
      </w:r>
    </w:p>
    <w:p w:rsidR="008872A9" w:rsidRPr="00B75B77" w:rsidRDefault="008872A9" w:rsidP="009E08FB">
      <w:pPr>
        <w:pStyle w:val="ListParagraph"/>
        <w:numPr>
          <w:ilvl w:val="0"/>
          <w:numId w:val="86"/>
        </w:numPr>
        <w:tabs>
          <w:tab w:val="left" w:pos="0"/>
          <w:tab w:val="left" w:pos="360"/>
          <w:tab w:val="left" w:pos="720"/>
          <w:tab w:val="left" w:pos="1080"/>
          <w:tab w:val="left" w:pos="1440"/>
        </w:tabs>
        <w:spacing w:after="120"/>
        <w:contextualSpacing w:val="0"/>
        <w:jc w:val="left"/>
        <w:rPr>
          <w:rFonts w:cs="Arial"/>
          <w:b/>
        </w:rPr>
      </w:pPr>
      <w:r w:rsidRPr="00B75B77">
        <w:rPr>
          <w:rFonts w:cs="Arial"/>
          <w:b/>
        </w:rPr>
        <w:t>Finding:</w:t>
      </w:r>
      <w:r w:rsidRPr="00B75B77">
        <w:rPr>
          <w:rFonts w:cs="Arial"/>
        </w:rPr>
        <w:t xml:space="preserve"> The project database and application process has improved over Phase II, but there are additional changes that could be made to streamline applications in Phase III. For example, threshold metering sites were not always correctly or quickly identified</w:t>
      </w:r>
      <w:r w:rsidR="007673EC" w:rsidRPr="00B75B77">
        <w:rPr>
          <w:rFonts w:cs="Arial"/>
        </w:rPr>
        <w:t>,</w:t>
      </w:r>
      <w:r w:rsidRPr="00B75B77">
        <w:rPr>
          <w:rFonts w:cs="Arial"/>
        </w:rPr>
        <w:t xml:space="preserve"> which caused evaluation challenges. </w:t>
      </w:r>
      <w:r w:rsidR="00C8082F" w:rsidRPr="00B75B77">
        <w:rPr>
          <w:rFonts w:cs="Arial"/>
        </w:rPr>
        <w:t>Overall, the</w:t>
      </w:r>
      <w:r w:rsidRPr="00B75B77">
        <w:rPr>
          <w:rFonts w:cs="Arial"/>
        </w:rPr>
        <w:t xml:space="preserve"> database contains many columns that Navigant does not need for analysis.</w:t>
      </w:r>
    </w:p>
    <w:p w:rsidR="008872A9" w:rsidRPr="00B75B77" w:rsidRDefault="008872A9" w:rsidP="009E08FB">
      <w:pPr>
        <w:pStyle w:val="ListParagraph"/>
        <w:numPr>
          <w:ilvl w:val="1"/>
          <w:numId w:val="86"/>
        </w:numPr>
        <w:tabs>
          <w:tab w:val="left" w:pos="0"/>
          <w:tab w:val="left" w:pos="360"/>
          <w:tab w:val="left" w:pos="720"/>
          <w:tab w:val="left" w:pos="1080"/>
          <w:tab w:val="left" w:pos="1440"/>
        </w:tabs>
        <w:spacing w:after="60"/>
        <w:contextualSpacing w:val="0"/>
        <w:jc w:val="left"/>
        <w:rPr>
          <w:rFonts w:cs="Arial"/>
          <w:b/>
        </w:rPr>
      </w:pPr>
      <w:r w:rsidRPr="00B75B77">
        <w:rPr>
          <w:rFonts w:cs="Arial"/>
          <w:b/>
        </w:rPr>
        <w:lastRenderedPageBreak/>
        <w:t>Recommendation:</w:t>
      </w:r>
      <w:r w:rsidRPr="00B75B77">
        <w:rPr>
          <w:rFonts w:cs="Arial"/>
        </w:rPr>
        <w:t xml:space="preserve"> PECO should require the CSP to build in a "flag" in </w:t>
      </w:r>
      <w:r w:rsidR="007673EC" w:rsidRPr="00B75B77">
        <w:rPr>
          <w:rFonts w:cs="Arial"/>
        </w:rPr>
        <w:t xml:space="preserve">its </w:t>
      </w:r>
      <w:r w:rsidRPr="00B75B77">
        <w:rPr>
          <w:rFonts w:cs="Arial"/>
        </w:rPr>
        <w:t>project database that identifies if a site is a threshold metering project. The CSP should then send over the project files to the evaluation team as soon as they are entered into the system rather than waiting for the quarterly data transfer.</w:t>
      </w:r>
    </w:p>
    <w:p w:rsidR="008872A9" w:rsidRPr="00B75B77" w:rsidRDefault="008872A9" w:rsidP="009E08FB">
      <w:pPr>
        <w:pStyle w:val="ListParagraph"/>
        <w:numPr>
          <w:ilvl w:val="1"/>
          <w:numId w:val="86"/>
        </w:numPr>
        <w:tabs>
          <w:tab w:val="left" w:pos="0"/>
          <w:tab w:val="left" w:pos="360"/>
          <w:tab w:val="left" w:pos="720"/>
          <w:tab w:val="left" w:pos="1080"/>
          <w:tab w:val="left" w:pos="1440"/>
        </w:tabs>
        <w:spacing w:after="60"/>
        <w:contextualSpacing w:val="0"/>
        <w:jc w:val="left"/>
        <w:rPr>
          <w:rFonts w:cs="Arial"/>
          <w:b/>
        </w:rPr>
      </w:pPr>
      <w:r w:rsidRPr="00B75B77">
        <w:rPr>
          <w:rFonts w:cs="Arial"/>
          <w:b/>
        </w:rPr>
        <w:t>Recommendation:</w:t>
      </w:r>
      <w:r w:rsidRPr="00B75B77">
        <w:rPr>
          <w:rFonts w:cs="Arial"/>
        </w:rPr>
        <w:t xml:space="preserve"> Streamline database by limiting number of fields, removing unnecessary fields, and ensuring accuracy of dates entered. Assess data requirements of all relevant parties (PECO, SWE, and Navigant) and only include required fields.</w:t>
      </w:r>
    </w:p>
    <w:p w:rsidR="008872A9" w:rsidRPr="00B75B77" w:rsidRDefault="008872A9" w:rsidP="00707B64"/>
    <w:p w:rsidR="008872A9" w:rsidRPr="00B75B77" w:rsidRDefault="008872A9" w:rsidP="003E6A9B">
      <w:pPr>
        <w:pStyle w:val="Heading2"/>
      </w:pPr>
      <w:bookmarkStart w:id="749" w:name="_Toc466413407"/>
      <w:r w:rsidRPr="00B75B77">
        <w:t>Status of Recommendations for Program</w:t>
      </w:r>
      <w:bookmarkEnd w:id="749"/>
    </w:p>
    <w:p w:rsidR="008872A9" w:rsidRPr="00B75B77" w:rsidRDefault="008872A9" w:rsidP="00707B64">
      <w:r w:rsidRPr="00B75B77" w:rsidDel="0058175D">
        <w:t>The evaluation team used various analytical methods to complete the evaluation</w:t>
      </w:r>
      <w:r w:rsidRPr="00B75B77">
        <w:t>,</w:t>
      </w:r>
      <w:r w:rsidRPr="00B75B77" w:rsidDel="0058175D">
        <w:t xml:space="preserve"> including performing a gross impact evaluation</w:t>
      </w:r>
      <w:r w:rsidRPr="00B75B77">
        <w:t>;</w:t>
      </w:r>
      <w:r w:rsidRPr="00B75B77" w:rsidDel="0058175D">
        <w:t xml:space="preserve"> program materials review</w:t>
      </w:r>
      <w:r w:rsidRPr="00B75B77">
        <w:t>;</w:t>
      </w:r>
      <w:r w:rsidRPr="00B75B77" w:rsidDel="0058175D">
        <w:t xml:space="preserve"> tracking system review</w:t>
      </w:r>
      <w:r w:rsidRPr="00B75B77">
        <w:t>;</w:t>
      </w:r>
      <w:r w:rsidRPr="00B75B77" w:rsidDel="0058175D">
        <w:t xml:space="preserve"> a verification and due diligence review</w:t>
      </w:r>
      <w:r w:rsidRPr="00B75B77">
        <w:t>;</w:t>
      </w:r>
      <w:r w:rsidRPr="00B75B77" w:rsidDel="0058175D">
        <w:t xml:space="preserve"> interviews with PECO program managers</w:t>
      </w:r>
      <w:r w:rsidRPr="00B75B77">
        <w:t xml:space="preserve"> and</w:t>
      </w:r>
      <w:r w:rsidRPr="00B75B77" w:rsidDel="0058175D">
        <w:t xml:space="preserve"> i</w:t>
      </w:r>
      <w:r w:rsidRPr="00B75B77">
        <w:t>mplementation contractor staff;</w:t>
      </w:r>
      <w:r w:rsidRPr="00B75B77" w:rsidDel="0058175D">
        <w:t xml:space="preserve"> participant surveys</w:t>
      </w:r>
      <w:r w:rsidRPr="00B75B77">
        <w:t>;</w:t>
      </w:r>
      <w:r w:rsidRPr="00B75B77" w:rsidDel="0058175D">
        <w:t xml:space="preserve"> and market actor</w:t>
      </w:r>
      <w:r w:rsidRPr="00B75B77">
        <w:t xml:space="preserve"> interviews</w:t>
      </w:r>
      <w:r w:rsidRPr="00B75B77" w:rsidDel="0058175D">
        <w:t xml:space="preserve">. </w:t>
      </w:r>
      <w:r w:rsidRPr="00B75B77">
        <w:fldChar w:fldCharType="begin"/>
      </w:r>
      <w:r w:rsidRPr="00B75B77">
        <w:instrText xml:space="preserve"> REF _Ref462998502 \h </w:instrText>
      </w:r>
      <w:r w:rsidR="007673EC" w:rsidRPr="00B75B77">
        <w:instrText xml:space="preserve"> \* MERGEFORMAT </w:instrText>
      </w:r>
      <w:r w:rsidRPr="00B75B77">
        <w:fldChar w:fldCharType="separate"/>
      </w:r>
      <w:r w:rsidR="0004016D" w:rsidRPr="00B75B77">
        <w:t xml:space="preserve">Table </w:t>
      </w:r>
      <w:r w:rsidR="0004016D">
        <w:rPr>
          <w:noProof/>
        </w:rPr>
        <w:t>11</w:t>
      </w:r>
      <w:r w:rsidR="0004016D" w:rsidRPr="00B75B77">
        <w:rPr>
          <w:noProof/>
        </w:rPr>
        <w:noBreakHyphen/>
      </w:r>
      <w:r w:rsidR="0004016D">
        <w:rPr>
          <w:noProof/>
        </w:rPr>
        <w:t>9</w:t>
      </w:r>
      <w:r w:rsidRPr="00B75B77">
        <w:fldChar w:fldCharType="end"/>
      </w:r>
      <w:r w:rsidRPr="00B75B77">
        <w:t xml:space="preserve"> lists a summary of each recommendation along with the PECO status.</w:t>
      </w:r>
    </w:p>
    <w:p w:rsidR="008872A9" w:rsidRPr="00B75B77" w:rsidRDefault="008872A9" w:rsidP="0004543D"/>
    <w:p w:rsidR="008872A9" w:rsidRPr="00B75B77" w:rsidRDefault="008872A9" w:rsidP="00502659">
      <w:pPr>
        <w:pStyle w:val="Caption"/>
      </w:pPr>
      <w:bookmarkStart w:id="750" w:name="_Ref462998502"/>
      <w:bookmarkStart w:id="751" w:name="_Toc466413596"/>
      <w:r w:rsidRPr="00B75B77">
        <w:t xml:space="preserve">Table </w:t>
      </w:r>
      <w:fldSimple w:instr=" STYLEREF 1 \s ">
        <w:r w:rsidR="0004016D">
          <w:rPr>
            <w:noProof/>
          </w:rPr>
          <w:t>11</w:t>
        </w:r>
      </w:fldSimple>
      <w:r w:rsidR="00F1144C" w:rsidRPr="00B75B77">
        <w:noBreakHyphen/>
      </w:r>
      <w:fldSimple w:instr=" SEQ Table \* ARABIC \s 1 ">
        <w:r w:rsidR="0004016D">
          <w:rPr>
            <w:noProof/>
          </w:rPr>
          <w:t>9</w:t>
        </w:r>
      </w:fldSimple>
      <w:bookmarkEnd w:id="750"/>
      <w:r w:rsidRPr="00B75B77">
        <w:t>: Smart Equipment Incentives (C&amp;I) Status Report on Process and Impact Recommendations</w:t>
      </w:r>
      <w:bookmarkEnd w:id="751"/>
      <w:r w:rsidRPr="00B75B77">
        <w:t xml:space="preserve"> </w:t>
      </w:r>
    </w:p>
    <w:tbl>
      <w:tblPr>
        <w:tblStyle w:val="MediumShading1-Accent5"/>
        <w:tblW w:w="936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4680"/>
        <w:gridCol w:w="4680"/>
      </w:tblGrid>
      <w:tr w:rsidR="008872A9" w:rsidRPr="00B75B77" w:rsidTr="00C44F8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auto"/>
              <w:left w:val="single" w:sz="4" w:space="0" w:color="auto"/>
              <w:bottom w:val="single" w:sz="4" w:space="0" w:color="auto"/>
              <w:right w:val="single" w:sz="4" w:space="0" w:color="auto"/>
            </w:tcBorders>
            <w:shd w:val="clear" w:color="auto" w:fill="448A99"/>
            <w:vAlign w:val="center"/>
            <w:hideMark/>
          </w:tcPr>
          <w:p w:rsidR="008872A9" w:rsidRPr="00B75B77" w:rsidRDefault="008872A9" w:rsidP="00502659">
            <w:pPr>
              <w:keepNext/>
              <w:jc w:val="left"/>
              <w:rPr>
                <w:rFonts w:ascii="Calibri" w:eastAsia="Times New Roman" w:hAnsi="Calibri"/>
                <w:bCs w:val="0"/>
                <w:sz w:val="18"/>
              </w:rPr>
            </w:pPr>
            <w:r w:rsidRPr="00B75B77">
              <w:rPr>
                <w:rFonts w:ascii="Calibri" w:eastAsia="Times New Roman" w:hAnsi="Calibri"/>
                <w:bCs w:val="0"/>
                <w:sz w:val="18"/>
              </w:rPr>
              <w:t>Recommendations</w:t>
            </w:r>
          </w:p>
        </w:tc>
        <w:tc>
          <w:tcPr>
            <w:tcW w:w="4680" w:type="dxa"/>
            <w:tcBorders>
              <w:top w:val="single" w:sz="4" w:space="0" w:color="auto"/>
              <w:left w:val="single" w:sz="4" w:space="0" w:color="auto"/>
              <w:bottom w:val="single" w:sz="4" w:space="0" w:color="auto"/>
              <w:right w:val="single" w:sz="4" w:space="0" w:color="auto"/>
            </w:tcBorders>
            <w:shd w:val="clear" w:color="auto" w:fill="448A99"/>
            <w:vAlign w:val="center"/>
            <w:hideMark/>
          </w:tcPr>
          <w:p w:rsidR="008872A9" w:rsidRPr="00B75B77" w:rsidRDefault="008872A9" w:rsidP="00502659">
            <w:pPr>
              <w:keepNext/>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rPr>
            </w:pPr>
            <w:r w:rsidRPr="00B75B77">
              <w:rPr>
                <w:rFonts w:ascii="Calibri" w:eastAsia="Times New Roman" w:hAnsi="Calibri"/>
                <w:bCs w:val="0"/>
                <w:sz w:val="18"/>
              </w:rPr>
              <w:t>EDC Status of Recommendation (Implemented, Being Considered, Rejected</w:t>
            </w:r>
            <w:r w:rsidR="00093474" w:rsidRPr="00B75B77">
              <w:rPr>
                <w:rFonts w:ascii="Calibri" w:eastAsia="Times New Roman" w:hAnsi="Calibri"/>
                <w:bCs w:val="0"/>
                <w:sz w:val="18"/>
              </w:rPr>
              <w:t>,</w:t>
            </w:r>
            <w:r w:rsidRPr="00B75B77">
              <w:rPr>
                <w:rFonts w:ascii="Calibri" w:eastAsia="Times New Roman" w:hAnsi="Calibri"/>
                <w:bCs w:val="0"/>
                <w:sz w:val="18"/>
              </w:rPr>
              <w:t xml:space="preserve"> AND Explanation of Action Taken by EDC)</w:t>
            </w:r>
          </w:p>
        </w:tc>
      </w:tr>
      <w:tr w:rsidR="008872A9" w:rsidRPr="00B75B77" w:rsidTr="00C44F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auto"/>
              <w:left w:val="single" w:sz="4" w:space="0" w:color="448A99"/>
              <w:bottom w:val="single" w:sz="4" w:space="0" w:color="448A99"/>
              <w:right w:val="single" w:sz="4" w:space="0" w:color="448A99"/>
            </w:tcBorders>
            <w:noWrap/>
            <w:vAlign w:val="center"/>
            <w:hideMark/>
          </w:tcPr>
          <w:p w:rsidR="008872A9" w:rsidRPr="00B75B77" w:rsidRDefault="008872A9" w:rsidP="00502659">
            <w:pPr>
              <w:keepNext/>
              <w:jc w:val="left"/>
              <w:rPr>
                <w:rFonts w:ascii="Calibri" w:eastAsia="Times New Roman" w:hAnsi="Calibri"/>
                <w:b w:val="0"/>
                <w:color w:val="000000"/>
                <w:sz w:val="18"/>
              </w:rPr>
            </w:pPr>
            <w:r w:rsidRPr="00B75B77">
              <w:rPr>
                <w:rFonts w:ascii="Calibri" w:eastAsia="Times New Roman" w:hAnsi="Calibri"/>
                <w:color w:val="000000"/>
                <w:sz w:val="18"/>
              </w:rPr>
              <w:t>Recommendation 1</w:t>
            </w:r>
            <w:r w:rsidR="00093474" w:rsidRPr="00B75B77">
              <w:rPr>
                <w:rFonts w:ascii="Calibri" w:eastAsia="Times New Roman" w:hAnsi="Calibri"/>
                <w:color w:val="000000"/>
                <w:sz w:val="18"/>
              </w:rPr>
              <w:t xml:space="preserve">: </w:t>
            </w:r>
            <w:r w:rsidRPr="00B75B77">
              <w:rPr>
                <w:rFonts w:cs="Arial"/>
                <w:b w:val="0"/>
                <w:color w:val="000000"/>
                <w:sz w:val="18"/>
              </w:rPr>
              <w:t>Segment population further to explore the value of the SEI program and identify marketing or outreach approaches to reach the harder to reach segments. Develop marketing approaches for specific business types to cater to the needs of that segment.</w:t>
            </w:r>
          </w:p>
        </w:tc>
        <w:tc>
          <w:tcPr>
            <w:tcW w:w="4680" w:type="dxa"/>
            <w:tcBorders>
              <w:top w:val="single" w:sz="4" w:space="0" w:color="auto"/>
              <w:left w:val="single" w:sz="4" w:space="0" w:color="448A99"/>
              <w:bottom w:val="single" w:sz="4" w:space="0" w:color="448A99"/>
              <w:right w:val="single" w:sz="4" w:space="0" w:color="448A99"/>
            </w:tcBorders>
            <w:noWrap/>
            <w:vAlign w:val="center"/>
            <w:hideMark/>
          </w:tcPr>
          <w:p w:rsidR="008872A9" w:rsidRPr="00B75B77" w:rsidRDefault="00673E6B" w:rsidP="00673E6B">
            <w:pPr>
              <w:keepNext/>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rPr>
            </w:pPr>
            <w:r w:rsidRPr="00B75B77">
              <w:rPr>
                <w:rFonts w:ascii="Calibri" w:eastAsia="Times New Roman" w:hAnsi="Calibri"/>
                <w:b/>
                <w:color w:val="000000"/>
                <w:sz w:val="18"/>
              </w:rPr>
              <w:t xml:space="preserve">Implemented: </w:t>
            </w:r>
            <w:r w:rsidRPr="00B75B77">
              <w:rPr>
                <w:rFonts w:ascii="Calibri" w:eastAsia="Times New Roman" w:hAnsi="Calibri"/>
                <w:color w:val="000000"/>
                <w:sz w:val="18"/>
              </w:rPr>
              <w:t>PECO has been working on a robust marketing plan with EEMF to target the industrial and commercial sector areas that are hard to reach. This will be done through direct marketing with trade allies, as well as enlisting the help of LCS.</w:t>
            </w:r>
          </w:p>
        </w:tc>
      </w:tr>
      <w:tr w:rsidR="008872A9" w:rsidRPr="00B75B77" w:rsidTr="0006622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448A99"/>
              <w:left w:val="single" w:sz="4" w:space="0" w:color="448A99"/>
              <w:bottom w:val="single" w:sz="4" w:space="0" w:color="448A99"/>
              <w:right w:val="single" w:sz="4" w:space="0" w:color="448A99"/>
            </w:tcBorders>
            <w:noWrap/>
            <w:hideMark/>
          </w:tcPr>
          <w:p w:rsidR="0054059D" w:rsidRPr="00B75B77" w:rsidRDefault="008872A9" w:rsidP="00502659">
            <w:pPr>
              <w:keepNext/>
              <w:jc w:val="left"/>
              <w:rPr>
                <w:rFonts w:ascii="Calibri" w:eastAsia="Times New Roman" w:hAnsi="Calibri"/>
                <w:color w:val="000000"/>
                <w:sz w:val="18"/>
              </w:rPr>
            </w:pPr>
            <w:r w:rsidRPr="00B75B77">
              <w:rPr>
                <w:rFonts w:ascii="Calibri" w:eastAsia="Times New Roman" w:hAnsi="Calibri"/>
                <w:color w:val="000000"/>
                <w:sz w:val="18"/>
              </w:rPr>
              <w:t>Recommendation 2</w:t>
            </w:r>
            <w:r w:rsidR="00C363CE" w:rsidRPr="00B75B77">
              <w:rPr>
                <w:rFonts w:ascii="Calibri" w:eastAsia="Times New Roman" w:hAnsi="Calibri"/>
                <w:color w:val="000000"/>
                <w:sz w:val="18"/>
              </w:rPr>
              <w:t>:</w:t>
            </w:r>
            <w:r w:rsidR="00093474" w:rsidRPr="00B75B77">
              <w:rPr>
                <w:rFonts w:ascii="Calibri" w:eastAsia="Times New Roman" w:hAnsi="Calibri"/>
                <w:color w:val="000000"/>
                <w:sz w:val="18"/>
              </w:rPr>
              <w:t xml:space="preserve"> </w:t>
            </w:r>
          </w:p>
          <w:p w:rsidR="00C363CE" w:rsidRPr="00B75B77" w:rsidRDefault="008872A9" w:rsidP="009E08FB">
            <w:pPr>
              <w:pStyle w:val="ListParagraph"/>
              <w:keepNext/>
              <w:numPr>
                <w:ilvl w:val="4"/>
                <w:numId w:val="81"/>
              </w:numPr>
              <w:ind w:left="427" w:hanging="270"/>
              <w:jc w:val="left"/>
              <w:rPr>
                <w:rFonts w:cs="Arial"/>
                <w:b w:val="0"/>
                <w:color w:val="000000"/>
                <w:sz w:val="18"/>
              </w:rPr>
            </w:pPr>
            <w:r w:rsidRPr="00B75B77">
              <w:rPr>
                <w:rFonts w:cs="Arial"/>
                <w:b w:val="0"/>
                <w:color w:val="000000"/>
                <w:sz w:val="18"/>
              </w:rPr>
              <w:t xml:space="preserve">Change the trade ally incentives program to incent targeted project types or customer segments. </w:t>
            </w:r>
          </w:p>
          <w:p w:rsidR="00C363CE" w:rsidRPr="00B75B77" w:rsidRDefault="00C363CE" w:rsidP="009E08FB">
            <w:pPr>
              <w:pStyle w:val="ListParagraph"/>
              <w:keepNext/>
              <w:numPr>
                <w:ilvl w:val="4"/>
                <w:numId w:val="81"/>
              </w:numPr>
              <w:ind w:left="427" w:hanging="270"/>
              <w:jc w:val="left"/>
              <w:rPr>
                <w:rFonts w:cs="Arial"/>
                <w:color w:val="000000"/>
                <w:sz w:val="18"/>
              </w:rPr>
            </w:pPr>
            <w:r w:rsidRPr="00B75B77">
              <w:rPr>
                <w:rFonts w:cs="Arial"/>
                <w:b w:val="0"/>
                <w:color w:val="000000"/>
                <w:sz w:val="18"/>
              </w:rPr>
              <w:t>Outreach to engage new trade allies in the program (especially local contractors, who are less likely to pursue projects in other states where incentives are richer).</w:t>
            </w:r>
          </w:p>
        </w:tc>
        <w:tc>
          <w:tcPr>
            <w:tcW w:w="4680" w:type="dxa"/>
            <w:tcBorders>
              <w:top w:val="single" w:sz="4" w:space="0" w:color="448A99"/>
              <w:left w:val="single" w:sz="4" w:space="0" w:color="448A99"/>
              <w:bottom w:val="single" w:sz="4" w:space="0" w:color="448A99"/>
              <w:right w:val="single" w:sz="4" w:space="0" w:color="448A99"/>
            </w:tcBorders>
            <w:noWrap/>
            <w:vAlign w:val="center"/>
            <w:hideMark/>
          </w:tcPr>
          <w:p w:rsidR="00673E6B" w:rsidRPr="00B75B77" w:rsidRDefault="00673E6B" w:rsidP="00673E6B">
            <w:pPr>
              <w:pStyle w:val="ListParagraph"/>
              <w:keepNext/>
              <w:numPr>
                <w:ilvl w:val="0"/>
                <w:numId w:val="123"/>
              </w:num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rPr>
            </w:pPr>
            <w:r w:rsidRPr="00B75B77">
              <w:rPr>
                <w:rFonts w:ascii="Calibri" w:eastAsia="Times New Roman" w:hAnsi="Calibri"/>
                <w:b/>
                <w:color w:val="000000"/>
                <w:sz w:val="18"/>
              </w:rPr>
              <w:t>Implemented:</w:t>
            </w:r>
            <w:r w:rsidRPr="00B75B77">
              <w:rPr>
                <w:rFonts w:ascii="Calibri" w:eastAsia="Times New Roman" w:hAnsi="Calibri"/>
                <w:color w:val="000000"/>
                <w:sz w:val="18"/>
              </w:rPr>
              <w:t xml:space="preserve"> </w:t>
            </w:r>
            <w:r w:rsidR="002548AE" w:rsidRPr="00B75B77">
              <w:rPr>
                <w:rFonts w:ascii="Calibri" w:eastAsia="Times New Roman" w:hAnsi="Calibri"/>
                <w:color w:val="000000"/>
                <w:sz w:val="18"/>
              </w:rPr>
              <w:t xml:space="preserve">In Phase III, </w:t>
            </w:r>
            <w:r w:rsidRPr="00B75B77">
              <w:rPr>
                <w:rFonts w:ascii="Calibri" w:eastAsia="Times New Roman" w:hAnsi="Calibri"/>
                <w:color w:val="000000"/>
                <w:sz w:val="18"/>
              </w:rPr>
              <w:t>PECO revised the program design to incent the trade ally’s on a project or customer basis, to offer a comprehensive solution as oppose to measure based approach and alter the trade ally incentives program to incent targeted project types or customer segments.</w:t>
            </w:r>
          </w:p>
          <w:p w:rsidR="008872A9" w:rsidRPr="00B75B77" w:rsidRDefault="00673E6B" w:rsidP="00673E6B">
            <w:pPr>
              <w:pStyle w:val="ListParagraph"/>
              <w:keepNext/>
              <w:numPr>
                <w:ilvl w:val="0"/>
                <w:numId w:val="123"/>
              </w:num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rPr>
            </w:pPr>
            <w:r w:rsidRPr="00B75B77">
              <w:rPr>
                <w:rFonts w:ascii="Calibri" w:eastAsia="Times New Roman" w:hAnsi="Calibri"/>
                <w:b/>
                <w:color w:val="000000"/>
                <w:sz w:val="18"/>
              </w:rPr>
              <w:t xml:space="preserve">Implemented: </w:t>
            </w:r>
            <w:r w:rsidRPr="00B75B77">
              <w:rPr>
                <w:rFonts w:ascii="Calibri" w:eastAsia="Times New Roman" w:hAnsi="Calibri"/>
                <w:color w:val="000000"/>
                <w:sz w:val="18"/>
              </w:rPr>
              <w:t>Currently hosting many webinars inviting existing and new potential trade allies</w:t>
            </w:r>
            <w:r w:rsidR="002548AE" w:rsidRPr="00B75B77">
              <w:rPr>
                <w:rFonts w:ascii="Calibri" w:eastAsia="Times New Roman" w:hAnsi="Calibri"/>
                <w:color w:val="000000"/>
                <w:sz w:val="18"/>
              </w:rPr>
              <w:t>.</w:t>
            </w:r>
          </w:p>
        </w:tc>
      </w:tr>
      <w:tr w:rsidR="008872A9" w:rsidRPr="00B75B77" w:rsidTr="002548A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448A99"/>
              <w:left w:val="single" w:sz="4" w:space="0" w:color="448A99"/>
              <w:bottom w:val="single" w:sz="4" w:space="0" w:color="448A99"/>
              <w:right w:val="single" w:sz="4" w:space="0" w:color="448A99"/>
            </w:tcBorders>
            <w:shd w:val="clear" w:color="auto" w:fill="D2EAF1"/>
            <w:noWrap/>
            <w:hideMark/>
          </w:tcPr>
          <w:p w:rsidR="008872A9" w:rsidRPr="00B75B77" w:rsidRDefault="008872A9" w:rsidP="00502659">
            <w:pPr>
              <w:keepNext/>
              <w:jc w:val="left"/>
              <w:rPr>
                <w:rFonts w:ascii="Calibri" w:eastAsia="Times New Roman" w:hAnsi="Calibri"/>
                <w:b w:val="0"/>
                <w:color w:val="000000"/>
                <w:sz w:val="18"/>
              </w:rPr>
            </w:pPr>
            <w:r w:rsidRPr="00B75B77">
              <w:rPr>
                <w:rFonts w:ascii="Calibri" w:eastAsia="Times New Roman" w:hAnsi="Calibri"/>
                <w:color w:val="000000"/>
                <w:sz w:val="18"/>
              </w:rPr>
              <w:t>Recommendation 3</w:t>
            </w:r>
            <w:r w:rsidR="00093474" w:rsidRPr="00B75B77">
              <w:rPr>
                <w:rFonts w:ascii="Calibri" w:eastAsia="Times New Roman" w:hAnsi="Calibri"/>
                <w:color w:val="000000"/>
                <w:sz w:val="18"/>
              </w:rPr>
              <w:t xml:space="preserve">: </w:t>
            </w:r>
            <w:r w:rsidRPr="00B75B77">
              <w:rPr>
                <w:rFonts w:cs="Arial"/>
                <w:b w:val="0"/>
                <w:sz w:val="18"/>
              </w:rPr>
              <w:t>Increase assistance with completing required documentation and TRM worksheets for custom projects.</w:t>
            </w:r>
          </w:p>
        </w:tc>
        <w:tc>
          <w:tcPr>
            <w:tcW w:w="4680" w:type="dxa"/>
            <w:tcBorders>
              <w:top w:val="single" w:sz="4" w:space="0" w:color="448A99"/>
              <w:left w:val="single" w:sz="4" w:space="0" w:color="448A99"/>
              <w:bottom w:val="single" w:sz="4" w:space="0" w:color="448A99"/>
              <w:right w:val="single" w:sz="4" w:space="0" w:color="448A99"/>
            </w:tcBorders>
            <w:shd w:val="clear" w:color="auto" w:fill="D2EAF1"/>
            <w:noWrap/>
            <w:hideMark/>
          </w:tcPr>
          <w:p w:rsidR="008872A9" w:rsidRPr="00B75B77" w:rsidRDefault="00673E6B" w:rsidP="00673E6B">
            <w:pPr>
              <w:keepNext/>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rPr>
            </w:pPr>
            <w:r w:rsidRPr="00B75B77">
              <w:rPr>
                <w:b/>
                <w:sz w:val="18"/>
                <w:szCs w:val="18"/>
              </w:rPr>
              <w:t xml:space="preserve">Implemented: </w:t>
            </w:r>
            <w:r w:rsidRPr="00B75B77">
              <w:rPr>
                <w:sz w:val="18"/>
                <w:szCs w:val="18"/>
              </w:rPr>
              <w:t>PECO is offering “hand-held” assistance with translating the TRM specifications for custom projects.</w:t>
            </w:r>
          </w:p>
        </w:tc>
      </w:tr>
      <w:tr w:rsidR="008872A9" w:rsidRPr="00B75B77" w:rsidTr="00C363C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8872A9" w:rsidRPr="00B75B77" w:rsidRDefault="008872A9" w:rsidP="00502659">
            <w:pPr>
              <w:keepNext/>
              <w:jc w:val="left"/>
              <w:rPr>
                <w:rFonts w:ascii="Calibri" w:eastAsia="Times New Roman" w:hAnsi="Calibri"/>
                <w:b w:val="0"/>
                <w:color w:val="000000"/>
                <w:sz w:val="18"/>
              </w:rPr>
            </w:pPr>
            <w:r w:rsidRPr="00B75B77">
              <w:rPr>
                <w:rFonts w:ascii="Calibri" w:eastAsia="Times New Roman" w:hAnsi="Calibri"/>
                <w:color w:val="000000"/>
                <w:sz w:val="18"/>
              </w:rPr>
              <w:t>Recommendation 4</w:t>
            </w:r>
            <w:r w:rsidR="00093474" w:rsidRPr="00B75B77">
              <w:rPr>
                <w:rFonts w:ascii="Calibri" w:eastAsia="Times New Roman" w:hAnsi="Calibri"/>
                <w:color w:val="000000"/>
                <w:sz w:val="18"/>
              </w:rPr>
              <w:t xml:space="preserve">: </w:t>
            </w:r>
            <w:r w:rsidRPr="00B75B77">
              <w:rPr>
                <w:rFonts w:cs="Arial"/>
                <w:b w:val="0"/>
                <w:sz w:val="18"/>
              </w:rPr>
              <w:t xml:space="preserve">Use the </w:t>
            </w:r>
            <w:r w:rsidR="007673EC" w:rsidRPr="00B75B77">
              <w:rPr>
                <w:rFonts w:cs="Arial"/>
                <w:b w:val="0"/>
                <w:sz w:val="18"/>
              </w:rPr>
              <w:t>“</w:t>
            </w:r>
            <w:r w:rsidRPr="00B75B77">
              <w:rPr>
                <w:rFonts w:cs="Arial"/>
                <w:b w:val="0"/>
                <w:sz w:val="18"/>
              </w:rPr>
              <w:t>limited time offer</w:t>
            </w:r>
            <w:r w:rsidR="007673EC" w:rsidRPr="00B75B77">
              <w:rPr>
                <w:rFonts w:cs="Arial"/>
                <w:b w:val="0"/>
                <w:sz w:val="18"/>
              </w:rPr>
              <w:t>”</w:t>
            </w:r>
            <w:r w:rsidRPr="00B75B77">
              <w:rPr>
                <w:rFonts w:cs="Arial"/>
                <w:b w:val="0"/>
                <w:sz w:val="18"/>
              </w:rPr>
              <w:t xml:space="preserve"> as a lever in future years if participation is low.</w:t>
            </w:r>
          </w:p>
        </w:tc>
        <w:tc>
          <w:tcPr>
            <w:tcW w:w="468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8872A9" w:rsidRPr="00B75B77" w:rsidRDefault="00673E6B" w:rsidP="00673E6B">
            <w:pPr>
              <w:keepNext/>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rPr>
            </w:pPr>
            <w:r w:rsidRPr="00B75B77">
              <w:rPr>
                <w:b/>
                <w:color w:val="000000"/>
                <w:sz w:val="18"/>
                <w:szCs w:val="18"/>
              </w:rPr>
              <w:t xml:space="preserve">Implemented: </w:t>
            </w:r>
            <w:r w:rsidRPr="00B75B77">
              <w:rPr>
                <w:color w:val="000000"/>
                <w:sz w:val="18"/>
                <w:szCs w:val="18"/>
              </w:rPr>
              <w:t>PECO is working with EEMF to establish a lever to have better controls around program participation.</w:t>
            </w:r>
          </w:p>
        </w:tc>
      </w:tr>
      <w:tr w:rsidR="008872A9" w:rsidRPr="00B75B77" w:rsidTr="002548A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872A9" w:rsidRPr="00B75B77" w:rsidRDefault="008872A9" w:rsidP="00502659">
            <w:pPr>
              <w:keepNext/>
              <w:jc w:val="left"/>
              <w:rPr>
                <w:rFonts w:cs="Arial"/>
                <w:b w:val="0"/>
                <w:i/>
              </w:rPr>
            </w:pPr>
            <w:r w:rsidRPr="00B75B77">
              <w:rPr>
                <w:rFonts w:ascii="Calibri" w:eastAsia="Times New Roman" w:hAnsi="Calibri"/>
                <w:color w:val="000000"/>
                <w:sz w:val="18"/>
              </w:rPr>
              <w:t>Recommendation 5a</w:t>
            </w:r>
            <w:r w:rsidR="00093474" w:rsidRPr="00B75B77">
              <w:rPr>
                <w:rFonts w:ascii="Calibri" w:eastAsia="Times New Roman" w:hAnsi="Calibri"/>
                <w:color w:val="000000"/>
                <w:sz w:val="18"/>
              </w:rPr>
              <w:t xml:space="preserve">: </w:t>
            </w:r>
            <w:r w:rsidRPr="00B75B77">
              <w:rPr>
                <w:rFonts w:cs="Arial"/>
                <w:b w:val="0"/>
                <w:sz w:val="18"/>
              </w:rPr>
              <w:t>PECO should require the implementer to build in a "flag" in their project database that identifies if a site is threshold metering. The implementer should then make sure to send over the project files to evaluator as soon as they are entered into the system.</w:t>
            </w:r>
          </w:p>
        </w:tc>
        <w:tc>
          <w:tcPr>
            <w:tcW w:w="4680" w:type="dxa"/>
            <w:tcBorders>
              <w:top w:val="single" w:sz="4" w:space="0" w:color="448A99"/>
              <w:left w:val="single" w:sz="4" w:space="0" w:color="448A99"/>
              <w:bottom w:val="single" w:sz="4" w:space="0" w:color="448A99"/>
              <w:right w:val="single" w:sz="4" w:space="0" w:color="448A99"/>
            </w:tcBorders>
            <w:shd w:val="clear" w:color="auto" w:fill="D2EAF1"/>
            <w:noWrap/>
          </w:tcPr>
          <w:p w:rsidR="008872A9" w:rsidRPr="00B75B77" w:rsidRDefault="00673E6B" w:rsidP="00025EF3">
            <w:pPr>
              <w:keepNext/>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rPr>
            </w:pPr>
            <w:r w:rsidRPr="00B75B77">
              <w:rPr>
                <w:b/>
                <w:color w:val="000000"/>
                <w:sz w:val="18"/>
                <w:szCs w:val="18"/>
              </w:rPr>
              <w:t xml:space="preserve">Implemented: </w:t>
            </w:r>
            <w:r w:rsidRPr="00B75B77">
              <w:rPr>
                <w:color w:val="000000"/>
                <w:sz w:val="18"/>
                <w:szCs w:val="18"/>
              </w:rPr>
              <w:t xml:space="preserve">PECO and Navigant made formal recommendation to ICF to continuously monitor for threshold metering projects. Once a project has been flagged, ICF will contact Navigant as per </w:t>
            </w:r>
            <w:r w:rsidR="00025EF3" w:rsidRPr="00B75B77">
              <w:rPr>
                <w:color w:val="000000"/>
                <w:sz w:val="18"/>
                <w:szCs w:val="18"/>
              </w:rPr>
              <w:t>PECO’s</w:t>
            </w:r>
            <w:r w:rsidRPr="00B75B77">
              <w:rPr>
                <w:color w:val="000000"/>
                <w:sz w:val="18"/>
                <w:szCs w:val="18"/>
              </w:rPr>
              <w:t xml:space="preserve"> instructions.</w:t>
            </w:r>
          </w:p>
        </w:tc>
      </w:tr>
      <w:tr w:rsidR="008872A9" w:rsidRPr="00B75B77" w:rsidTr="00673E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8872A9" w:rsidRPr="00B75B77" w:rsidRDefault="008872A9" w:rsidP="00502659">
            <w:pPr>
              <w:keepNext/>
              <w:jc w:val="left"/>
              <w:rPr>
                <w:rFonts w:cs="Arial"/>
                <w:b w:val="0"/>
                <w:i/>
              </w:rPr>
            </w:pPr>
            <w:r w:rsidRPr="00B75B77">
              <w:rPr>
                <w:rFonts w:ascii="Calibri" w:eastAsia="Times New Roman" w:hAnsi="Calibri"/>
                <w:color w:val="000000"/>
                <w:sz w:val="18"/>
              </w:rPr>
              <w:t>Recommendation 5b</w:t>
            </w:r>
            <w:r w:rsidR="00093474" w:rsidRPr="00B75B77">
              <w:rPr>
                <w:rFonts w:ascii="Calibri" w:eastAsia="Times New Roman" w:hAnsi="Calibri"/>
                <w:color w:val="000000"/>
                <w:sz w:val="18"/>
              </w:rPr>
              <w:t xml:space="preserve">: </w:t>
            </w:r>
            <w:r w:rsidRPr="00B75B77">
              <w:rPr>
                <w:rFonts w:cs="Arial"/>
                <w:b w:val="0"/>
                <w:sz w:val="18"/>
              </w:rPr>
              <w:t>Streamline database by limiting number of dates and removing unnecessary fields. Assess data requirements of all relevant parties (PECO, SWE, and Navigant) and only include required fields.</w:t>
            </w:r>
          </w:p>
        </w:tc>
        <w:tc>
          <w:tcPr>
            <w:tcW w:w="4680" w:type="dxa"/>
            <w:tcBorders>
              <w:top w:val="single" w:sz="4" w:space="0" w:color="448A99"/>
              <w:left w:val="single" w:sz="4" w:space="0" w:color="448A99"/>
              <w:bottom w:val="single" w:sz="4" w:space="0" w:color="448A99"/>
              <w:right w:val="single" w:sz="4" w:space="0" w:color="448A99"/>
            </w:tcBorders>
            <w:shd w:val="clear" w:color="auto" w:fill="auto"/>
            <w:noWrap/>
          </w:tcPr>
          <w:p w:rsidR="008872A9" w:rsidRPr="00B75B77" w:rsidRDefault="00673E6B" w:rsidP="00502659">
            <w:pPr>
              <w:keepNext/>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b/>
                <w:color w:val="000000"/>
                <w:sz w:val="18"/>
              </w:rPr>
            </w:pPr>
            <w:r w:rsidRPr="00B75B77">
              <w:rPr>
                <w:b/>
                <w:sz w:val="18"/>
                <w:szCs w:val="18"/>
              </w:rPr>
              <w:t>Being Considered</w:t>
            </w:r>
          </w:p>
        </w:tc>
      </w:tr>
    </w:tbl>
    <w:p w:rsidR="008872A9" w:rsidRPr="00B75B77" w:rsidRDefault="008872A9" w:rsidP="00502659">
      <w:pPr>
        <w:pStyle w:val="Source"/>
        <w:keepNext/>
        <w:ind w:left="90" w:firstLine="0"/>
      </w:pPr>
      <w:r w:rsidRPr="00B75B77">
        <w:t>Source: Navigant analysis</w:t>
      </w:r>
    </w:p>
    <w:p w:rsidR="008872A9" w:rsidRPr="00B75B77" w:rsidRDefault="008872A9" w:rsidP="00B513C0"/>
    <w:p w:rsidR="008872A9" w:rsidRPr="00B75B77" w:rsidRDefault="008872A9">
      <w:pPr>
        <w:jc w:val="left"/>
        <w:rPr>
          <w:rFonts w:ascii="Century Gothic" w:hAnsi="Century Gothic"/>
          <w:b/>
          <w:smallCaps/>
          <w:sz w:val="24"/>
        </w:rPr>
      </w:pPr>
      <w:r w:rsidRPr="00B75B77">
        <w:br w:type="page"/>
      </w:r>
    </w:p>
    <w:p w:rsidR="008872A9" w:rsidRPr="00B75B77" w:rsidRDefault="008872A9" w:rsidP="00D12857">
      <w:pPr>
        <w:pStyle w:val="Heading2"/>
      </w:pPr>
      <w:bookmarkStart w:id="752" w:name="_Toc466413408"/>
      <w:r w:rsidRPr="00B75B77">
        <w:lastRenderedPageBreak/>
        <w:t>Financial Reporting</w:t>
      </w:r>
      <w:bookmarkEnd w:id="752"/>
    </w:p>
    <w:p w:rsidR="008872A9" w:rsidRPr="00B75B77" w:rsidRDefault="008872A9" w:rsidP="00707B64">
      <w:pPr>
        <w:keepNext/>
      </w:pPr>
      <w:r w:rsidRPr="00B75B77">
        <w:t xml:space="preserve">A breakdown of the program finances (by program) is presented in </w:t>
      </w:r>
      <w:r w:rsidR="00D56E1C" w:rsidRPr="00B75B77">
        <w:fldChar w:fldCharType="begin"/>
      </w:r>
      <w:r w:rsidR="00D56E1C" w:rsidRPr="00B75B77">
        <w:instrText xml:space="preserve"> REF _Ref464223195 \h  \* MERGEFORMAT </w:instrText>
      </w:r>
      <w:r w:rsidR="00D56E1C" w:rsidRPr="00B75B77">
        <w:fldChar w:fldCharType="separate"/>
      </w:r>
      <w:r w:rsidR="0004016D" w:rsidRPr="00B75B77">
        <w:t xml:space="preserve">Table </w:t>
      </w:r>
      <w:r w:rsidR="0004016D">
        <w:rPr>
          <w:noProof/>
        </w:rPr>
        <w:t>11</w:t>
      </w:r>
      <w:r w:rsidR="0004016D" w:rsidRPr="00B75B77">
        <w:rPr>
          <w:noProof/>
        </w:rPr>
        <w:noBreakHyphen/>
      </w:r>
      <w:r w:rsidR="0004016D">
        <w:rPr>
          <w:noProof/>
        </w:rPr>
        <w:t>10</w:t>
      </w:r>
      <w:r w:rsidR="00D56E1C" w:rsidRPr="00B75B77">
        <w:fldChar w:fldCharType="end"/>
      </w:r>
      <w:r w:rsidRPr="00B75B77">
        <w:t>.</w:t>
      </w:r>
    </w:p>
    <w:p w:rsidR="008872A9" w:rsidRPr="00B75B77" w:rsidRDefault="008872A9" w:rsidP="003402AA">
      <w:pPr>
        <w:jc w:val="center"/>
      </w:pPr>
    </w:p>
    <w:p w:rsidR="008872A9" w:rsidRPr="00B75B77" w:rsidRDefault="008872A9" w:rsidP="007F0D42">
      <w:pPr>
        <w:pStyle w:val="Caption"/>
      </w:pPr>
      <w:bookmarkStart w:id="753" w:name="_Ref464223195"/>
      <w:bookmarkStart w:id="754" w:name="_Toc466413597"/>
      <w:r w:rsidRPr="00B75B77">
        <w:t xml:space="preserve">Table </w:t>
      </w:r>
      <w:fldSimple w:instr=" STYLEREF 1 \s ">
        <w:r w:rsidR="0004016D">
          <w:rPr>
            <w:noProof/>
          </w:rPr>
          <w:t>11</w:t>
        </w:r>
      </w:fldSimple>
      <w:r w:rsidR="00F1144C" w:rsidRPr="00B75B77">
        <w:noBreakHyphen/>
      </w:r>
      <w:fldSimple w:instr=" SEQ Table \* ARABIC \s 1 ">
        <w:r w:rsidR="0004016D">
          <w:rPr>
            <w:noProof/>
          </w:rPr>
          <w:t>10</w:t>
        </w:r>
      </w:fldSimple>
      <w:bookmarkEnd w:id="753"/>
      <w:r w:rsidRPr="00B75B77">
        <w:t>: Summary of Smart Equipment Incentives (C&amp;I) Program Finances</w:t>
      </w:r>
      <w:bookmarkEnd w:id="754"/>
    </w:p>
    <w:tbl>
      <w:tblPr>
        <w:tblStyle w:val="MediumShading1-Accent5"/>
        <w:tblW w:w="9697" w:type="dxa"/>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0A0" w:firstRow="1" w:lastRow="0" w:firstColumn="1" w:lastColumn="0" w:noHBand="0" w:noVBand="0"/>
      </w:tblPr>
      <w:tblGrid>
        <w:gridCol w:w="1062"/>
        <w:gridCol w:w="6115"/>
        <w:gridCol w:w="1170"/>
        <w:gridCol w:w="1350"/>
      </w:tblGrid>
      <w:tr w:rsidR="008872A9" w:rsidRPr="00B75B77" w:rsidTr="005E445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62" w:type="dxa"/>
            <w:vMerge w:val="restart"/>
            <w:tcBorders>
              <w:top w:val="single" w:sz="4" w:space="0" w:color="auto"/>
              <w:left w:val="single" w:sz="4" w:space="0" w:color="auto"/>
              <w:bottom w:val="single" w:sz="4" w:space="0" w:color="auto"/>
              <w:right w:val="single" w:sz="4" w:space="0" w:color="auto"/>
            </w:tcBorders>
            <w:shd w:val="clear" w:color="auto" w:fill="448A99"/>
            <w:vAlign w:val="center"/>
          </w:tcPr>
          <w:p w:rsidR="008872A9" w:rsidRPr="00B75B77" w:rsidRDefault="008872A9" w:rsidP="00594255">
            <w:pPr>
              <w:jc w:val="center"/>
              <w:rPr>
                <w:rFonts w:ascii="Calibri" w:eastAsia="Times New Roman" w:hAnsi="Calibri"/>
                <w:bCs w:val="0"/>
                <w:sz w:val="18"/>
                <w:szCs w:val="18"/>
              </w:rPr>
            </w:pPr>
            <w:r w:rsidRPr="00B75B77">
              <w:rPr>
                <w:rFonts w:ascii="Calibri" w:eastAsia="Times New Roman" w:hAnsi="Calibri"/>
                <w:bCs w:val="0"/>
                <w:sz w:val="18"/>
                <w:szCs w:val="18"/>
              </w:rPr>
              <w:t>Row #</w:t>
            </w:r>
          </w:p>
        </w:tc>
        <w:tc>
          <w:tcPr>
            <w:cnfStyle w:val="000010000000" w:firstRow="0" w:lastRow="0" w:firstColumn="0" w:lastColumn="0" w:oddVBand="1" w:evenVBand="0" w:oddHBand="0" w:evenHBand="0" w:firstRowFirstColumn="0" w:firstRowLastColumn="0" w:lastRowFirstColumn="0" w:lastRowLastColumn="0"/>
            <w:tcW w:w="6115" w:type="dxa"/>
            <w:vMerge w:val="restart"/>
            <w:tcBorders>
              <w:top w:val="single" w:sz="4" w:space="0" w:color="auto"/>
              <w:left w:val="single" w:sz="4" w:space="0" w:color="auto"/>
              <w:bottom w:val="single" w:sz="4" w:space="0" w:color="auto"/>
              <w:right w:val="single" w:sz="4" w:space="0" w:color="auto"/>
            </w:tcBorders>
            <w:shd w:val="clear" w:color="auto" w:fill="448A99"/>
            <w:noWrap/>
            <w:vAlign w:val="center"/>
            <w:hideMark/>
          </w:tcPr>
          <w:p w:rsidR="008872A9" w:rsidRPr="00B75B77" w:rsidRDefault="008872A9" w:rsidP="00594255">
            <w:pPr>
              <w:jc w:val="left"/>
              <w:rPr>
                <w:rFonts w:ascii="Calibri" w:eastAsia="Times New Roman" w:hAnsi="Calibri"/>
                <w:bCs w:val="0"/>
                <w:sz w:val="18"/>
                <w:szCs w:val="18"/>
              </w:rPr>
            </w:pPr>
            <w:r w:rsidRPr="00B75B77">
              <w:rPr>
                <w:rFonts w:ascii="Calibri" w:eastAsia="Times New Roman" w:hAnsi="Calibri"/>
                <w:bCs w:val="0"/>
                <w:sz w:val="18"/>
                <w:szCs w:val="18"/>
              </w:rPr>
              <w:t>Cost Category </w:t>
            </w:r>
          </w:p>
        </w:tc>
        <w:tc>
          <w:tcPr>
            <w:tcW w:w="1170" w:type="dxa"/>
            <w:tcBorders>
              <w:top w:val="single" w:sz="4" w:space="0" w:color="auto"/>
              <w:left w:val="single" w:sz="4" w:space="0" w:color="auto"/>
              <w:bottom w:val="single" w:sz="4" w:space="0" w:color="auto"/>
              <w:right w:val="single" w:sz="4" w:space="0" w:color="auto"/>
            </w:tcBorders>
            <w:shd w:val="clear" w:color="auto" w:fill="448A99"/>
            <w:vAlign w:val="center"/>
            <w:hideMark/>
          </w:tcPr>
          <w:p w:rsidR="008872A9" w:rsidRPr="00B75B77" w:rsidRDefault="008872A9" w:rsidP="00093474">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Actual PYTD</w:t>
            </w:r>
          </w:p>
          <w:p w:rsidR="008872A9" w:rsidRPr="00B75B77" w:rsidRDefault="008872A9" w:rsidP="00093474">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Costs</w:t>
            </w:r>
          </w:p>
        </w:tc>
        <w:tc>
          <w:tcPr>
            <w:cnfStyle w:val="000010000000" w:firstRow="0" w:lastRow="0" w:firstColumn="0" w:lastColumn="0" w:oddVBand="1" w:evenVBand="0" w:oddHBand="0" w:evenHBand="0" w:firstRowFirstColumn="0" w:firstRowLastColumn="0" w:lastRowFirstColumn="0" w:lastRowLastColumn="0"/>
            <w:tcW w:w="1350" w:type="dxa"/>
            <w:tcBorders>
              <w:top w:val="single" w:sz="4" w:space="0" w:color="auto"/>
              <w:left w:val="single" w:sz="4" w:space="0" w:color="auto"/>
              <w:bottom w:val="single" w:sz="4" w:space="0" w:color="auto"/>
              <w:right w:val="single" w:sz="4" w:space="0" w:color="auto"/>
            </w:tcBorders>
            <w:shd w:val="clear" w:color="auto" w:fill="448A99"/>
            <w:vAlign w:val="center"/>
            <w:hideMark/>
          </w:tcPr>
          <w:p w:rsidR="008872A9" w:rsidRPr="00B75B77" w:rsidRDefault="008872A9" w:rsidP="00093474">
            <w:pPr>
              <w:jc w:val="right"/>
              <w:rPr>
                <w:rFonts w:ascii="Calibri" w:eastAsia="Times New Roman" w:hAnsi="Calibri"/>
                <w:bCs w:val="0"/>
                <w:sz w:val="18"/>
                <w:szCs w:val="18"/>
              </w:rPr>
            </w:pPr>
            <w:r w:rsidRPr="00B75B77">
              <w:rPr>
                <w:rFonts w:ascii="Calibri" w:eastAsia="Times New Roman" w:hAnsi="Calibri"/>
                <w:bCs w:val="0"/>
                <w:sz w:val="18"/>
                <w:szCs w:val="18"/>
              </w:rPr>
              <w:t>Actual Phase II</w:t>
            </w:r>
          </w:p>
          <w:p w:rsidR="008872A9" w:rsidRPr="00B75B77" w:rsidRDefault="008872A9" w:rsidP="00093474">
            <w:pPr>
              <w:jc w:val="right"/>
              <w:rPr>
                <w:rFonts w:ascii="Calibri" w:eastAsia="Times New Roman" w:hAnsi="Calibri"/>
                <w:bCs w:val="0"/>
                <w:sz w:val="18"/>
                <w:szCs w:val="18"/>
              </w:rPr>
            </w:pPr>
            <w:r w:rsidRPr="00B75B77">
              <w:rPr>
                <w:rFonts w:ascii="Calibri" w:eastAsia="Times New Roman" w:hAnsi="Calibri"/>
                <w:bCs w:val="0"/>
                <w:sz w:val="18"/>
                <w:szCs w:val="18"/>
              </w:rPr>
              <w:t>Costs</w:t>
            </w:r>
          </w:p>
        </w:tc>
      </w:tr>
      <w:tr w:rsidR="008872A9" w:rsidRPr="00B75B77" w:rsidTr="005E445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62" w:type="dxa"/>
            <w:vMerge/>
            <w:tcBorders>
              <w:top w:val="single" w:sz="4" w:space="0" w:color="auto"/>
              <w:left w:val="single" w:sz="4" w:space="0" w:color="auto"/>
              <w:bottom w:val="single" w:sz="4" w:space="0" w:color="auto"/>
              <w:right w:val="single" w:sz="4" w:space="0" w:color="auto"/>
            </w:tcBorders>
            <w:shd w:val="clear" w:color="auto" w:fill="448A99"/>
            <w:vAlign w:val="center"/>
          </w:tcPr>
          <w:p w:rsidR="008872A9" w:rsidRPr="00B75B77" w:rsidRDefault="008872A9" w:rsidP="00594255">
            <w:pPr>
              <w:jc w:val="center"/>
              <w:rPr>
                <w:rFonts w:ascii="Calibri" w:eastAsia="Times New Roman" w:hAnsi="Calibri"/>
                <w:bCs w:val="0"/>
                <w:color w:val="FFFFFF" w:themeColor="background1"/>
                <w:sz w:val="18"/>
                <w:szCs w:val="18"/>
              </w:rPr>
            </w:pPr>
          </w:p>
        </w:tc>
        <w:tc>
          <w:tcPr>
            <w:cnfStyle w:val="000010000000" w:firstRow="0" w:lastRow="0" w:firstColumn="0" w:lastColumn="0" w:oddVBand="1" w:evenVBand="0" w:oddHBand="0" w:evenHBand="0" w:firstRowFirstColumn="0" w:firstRowLastColumn="0" w:lastRowFirstColumn="0" w:lastRowLastColumn="0"/>
            <w:tcW w:w="6115" w:type="dxa"/>
            <w:vMerge/>
            <w:tcBorders>
              <w:top w:val="single" w:sz="4" w:space="0" w:color="auto"/>
              <w:left w:val="single" w:sz="4" w:space="0" w:color="auto"/>
              <w:bottom w:val="single" w:sz="4" w:space="0" w:color="auto"/>
              <w:right w:val="single" w:sz="4" w:space="0" w:color="auto"/>
            </w:tcBorders>
            <w:shd w:val="clear" w:color="auto" w:fill="448A99"/>
            <w:vAlign w:val="center"/>
            <w:hideMark/>
          </w:tcPr>
          <w:p w:rsidR="008872A9" w:rsidRPr="00B75B77" w:rsidRDefault="008872A9" w:rsidP="00594255">
            <w:pPr>
              <w:jc w:val="left"/>
              <w:rPr>
                <w:rFonts w:ascii="Calibri" w:eastAsia="Times New Roman" w:hAnsi="Calibri"/>
                <w:b/>
                <w:bCs/>
                <w:color w:val="FFFFFF" w:themeColor="background1"/>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448A99"/>
            <w:vAlign w:val="center"/>
            <w:hideMark/>
          </w:tcPr>
          <w:p w:rsidR="008872A9" w:rsidRPr="00B75B77" w:rsidRDefault="008872A9" w:rsidP="000934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FFFFFF" w:themeColor="background1"/>
                <w:sz w:val="18"/>
                <w:szCs w:val="18"/>
              </w:rPr>
            </w:pPr>
            <w:r w:rsidRPr="00B75B77">
              <w:rPr>
                <w:rFonts w:ascii="Calibri" w:eastAsia="Times New Roman" w:hAnsi="Calibri"/>
                <w:b/>
                <w:color w:val="FFFFFF" w:themeColor="background1"/>
                <w:sz w:val="18"/>
                <w:szCs w:val="18"/>
              </w:rPr>
              <w:t>($1,000)</w:t>
            </w:r>
          </w:p>
        </w:tc>
        <w:tc>
          <w:tcPr>
            <w:cnfStyle w:val="000010000000" w:firstRow="0" w:lastRow="0" w:firstColumn="0" w:lastColumn="0" w:oddVBand="1" w:evenVBand="0" w:oddHBand="0" w:evenHBand="0" w:firstRowFirstColumn="0" w:firstRowLastColumn="0" w:lastRowFirstColumn="0" w:lastRowLastColumn="0"/>
            <w:tcW w:w="1350" w:type="dxa"/>
            <w:tcBorders>
              <w:top w:val="single" w:sz="4" w:space="0" w:color="auto"/>
              <w:left w:val="single" w:sz="4" w:space="0" w:color="auto"/>
              <w:bottom w:val="single" w:sz="4" w:space="0" w:color="auto"/>
              <w:right w:val="single" w:sz="4" w:space="0" w:color="auto"/>
            </w:tcBorders>
            <w:shd w:val="clear" w:color="auto" w:fill="448A99"/>
            <w:vAlign w:val="center"/>
            <w:hideMark/>
          </w:tcPr>
          <w:p w:rsidR="008872A9" w:rsidRPr="00B75B77" w:rsidRDefault="008872A9" w:rsidP="00093474">
            <w:pPr>
              <w:jc w:val="right"/>
              <w:rPr>
                <w:rFonts w:ascii="Calibri" w:eastAsia="Times New Roman" w:hAnsi="Calibri"/>
                <w:b/>
                <w:color w:val="FFFFFF" w:themeColor="background1"/>
                <w:sz w:val="18"/>
                <w:szCs w:val="18"/>
              </w:rPr>
            </w:pPr>
            <w:r w:rsidRPr="00B75B77">
              <w:rPr>
                <w:rFonts w:ascii="Calibri" w:eastAsia="Times New Roman" w:hAnsi="Calibri"/>
                <w:b/>
                <w:color w:val="FFFFFF" w:themeColor="background1"/>
                <w:sz w:val="18"/>
                <w:szCs w:val="18"/>
              </w:rPr>
              <w:t>($1,000)</w:t>
            </w:r>
          </w:p>
        </w:tc>
      </w:tr>
      <w:tr w:rsidR="008872A9" w:rsidRPr="00B75B77" w:rsidTr="005E445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auto"/>
              <w:left w:val="single" w:sz="4" w:space="0" w:color="448A99"/>
              <w:bottom w:val="single" w:sz="4" w:space="0" w:color="448A99"/>
              <w:right w:val="single" w:sz="4" w:space="0" w:color="448A99"/>
            </w:tcBorders>
            <w:shd w:val="clear" w:color="auto" w:fill="auto"/>
            <w:vAlign w:val="center"/>
          </w:tcPr>
          <w:p w:rsidR="008872A9" w:rsidRPr="00B75B77" w:rsidRDefault="008872A9" w:rsidP="00707B64">
            <w:pPr>
              <w:jc w:val="center"/>
              <w:rPr>
                <w:rFonts w:ascii="Calibri" w:eastAsia="Times New Roman" w:hAnsi="Calibri"/>
                <w:color w:val="000000"/>
                <w:sz w:val="18"/>
                <w:szCs w:val="18"/>
              </w:rPr>
            </w:pPr>
            <w:r w:rsidRPr="00B75B77">
              <w:rPr>
                <w:rFonts w:ascii="Calibri" w:eastAsia="Times New Roman" w:hAnsi="Calibri"/>
                <w:color w:val="000000"/>
                <w:sz w:val="18"/>
                <w:szCs w:val="18"/>
              </w:rPr>
              <w:t>1</w:t>
            </w:r>
          </w:p>
        </w:tc>
        <w:tc>
          <w:tcPr>
            <w:cnfStyle w:val="000010000000" w:firstRow="0" w:lastRow="0" w:firstColumn="0" w:lastColumn="0" w:oddVBand="1" w:evenVBand="0" w:oddHBand="0" w:evenHBand="0" w:firstRowFirstColumn="0" w:firstRowLastColumn="0" w:lastRowFirstColumn="0" w:lastRowLastColumn="0"/>
            <w:tcW w:w="6115" w:type="dxa"/>
            <w:tcBorders>
              <w:top w:val="single" w:sz="4" w:space="0" w:color="auto"/>
              <w:left w:val="single" w:sz="4" w:space="0" w:color="448A99"/>
              <w:bottom w:val="single" w:sz="4" w:space="0" w:color="448A99"/>
              <w:right w:val="single" w:sz="4" w:space="0" w:color="448A99"/>
            </w:tcBorders>
            <w:shd w:val="clear" w:color="auto" w:fill="auto"/>
            <w:noWrap/>
            <w:vAlign w:val="center"/>
          </w:tcPr>
          <w:p w:rsidR="008872A9" w:rsidRPr="00B75B77" w:rsidRDefault="008872A9" w:rsidP="00707B64">
            <w:pPr>
              <w:jc w:val="left"/>
              <w:rPr>
                <w:rFonts w:ascii="Calibri" w:eastAsia="Times New Roman" w:hAnsi="Calibri"/>
                <w:color w:val="000000"/>
                <w:sz w:val="18"/>
                <w:szCs w:val="18"/>
              </w:rPr>
            </w:pPr>
            <w:r w:rsidRPr="00B75B77">
              <w:rPr>
                <w:rFonts w:ascii="Calibri" w:eastAsia="Times New Roman" w:hAnsi="Calibri"/>
                <w:color w:val="000000"/>
                <w:sz w:val="18"/>
                <w:szCs w:val="18"/>
              </w:rPr>
              <w:t>Incremental Measure Costs (Sum of Rows 2 through 4)</w:t>
            </w:r>
          </w:p>
        </w:tc>
        <w:tc>
          <w:tcPr>
            <w:tcW w:w="1170" w:type="dxa"/>
            <w:tcBorders>
              <w:top w:val="single" w:sz="4" w:space="0" w:color="auto"/>
              <w:left w:val="single" w:sz="4" w:space="0" w:color="448A99"/>
              <w:bottom w:val="single" w:sz="4" w:space="0" w:color="448A99"/>
              <w:right w:val="single" w:sz="4" w:space="0" w:color="448A99"/>
            </w:tcBorders>
            <w:shd w:val="clear" w:color="auto" w:fill="auto"/>
            <w:noWrap/>
          </w:tcPr>
          <w:p w:rsidR="008872A9" w:rsidRPr="00B75B77" w:rsidRDefault="008872A9" w:rsidP="0009347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sz w:val="18"/>
                <w:szCs w:val="18"/>
              </w:rPr>
              <w:t>29,735</w:t>
            </w:r>
          </w:p>
        </w:tc>
        <w:tc>
          <w:tcPr>
            <w:cnfStyle w:val="000010000000" w:firstRow="0" w:lastRow="0" w:firstColumn="0" w:lastColumn="0" w:oddVBand="1" w:evenVBand="0" w:oddHBand="0" w:evenHBand="0" w:firstRowFirstColumn="0" w:firstRowLastColumn="0" w:lastRowFirstColumn="0" w:lastRowLastColumn="0"/>
            <w:tcW w:w="1350" w:type="dxa"/>
            <w:tcBorders>
              <w:top w:val="single" w:sz="4" w:space="0" w:color="auto"/>
              <w:left w:val="single" w:sz="4" w:space="0" w:color="448A99"/>
              <w:bottom w:val="single" w:sz="4" w:space="0" w:color="448A99"/>
              <w:right w:val="single" w:sz="4" w:space="0" w:color="448A99"/>
            </w:tcBorders>
            <w:shd w:val="clear" w:color="auto" w:fill="auto"/>
          </w:tcPr>
          <w:p w:rsidR="008872A9" w:rsidRPr="00B75B77" w:rsidRDefault="008872A9" w:rsidP="00093474">
            <w:pPr>
              <w:jc w:val="right"/>
              <w:rPr>
                <w:rFonts w:ascii="Calibri" w:eastAsia="Times New Roman" w:hAnsi="Calibri"/>
                <w:color w:val="000000"/>
                <w:sz w:val="18"/>
                <w:szCs w:val="18"/>
              </w:rPr>
            </w:pPr>
            <w:r w:rsidRPr="00B75B77">
              <w:rPr>
                <w:sz w:val="18"/>
                <w:szCs w:val="18"/>
              </w:rPr>
              <w:t>58,246</w:t>
            </w:r>
          </w:p>
        </w:tc>
      </w:tr>
      <w:tr w:rsidR="008872A9" w:rsidRPr="00B75B77" w:rsidTr="005E445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448A99"/>
              <w:left w:val="single" w:sz="4" w:space="0" w:color="448A99"/>
              <w:bottom w:val="single" w:sz="4" w:space="0" w:color="448A99"/>
              <w:right w:val="single" w:sz="4" w:space="0" w:color="448A99"/>
            </w:tcBorders>
            <w:vAlign w:val="center"/>
          </w:tcPr>
          <w:p w:rsidR="008872A9" w:rsidRPr="00B75B77" w:rsidRDefault="008872A9" w:rsidP="00707B64">
            <w:pPr>
              <w:jc w:val="center"/>
              <w:rPr>
                <w:rFonts w:ascii="Calibri" w:eastAsia="Times New Roman" w:hAnsi="Calibri"/>
                <w:color w:val="000000"/>
                <w:sz w:val="18"/>
                <w:szCs w:val="18"/>
              </w:rPr>
            </w:pPr>
            <w:r w:rsidRPr="00B75B77">
              <w:rPr>
                <w:rFonts w:ascii="Calibri" w:eastAsia="Times New Roman" w:hAnsi="Calibri"/>
                <w:color w:val="000000"/>
                <w:sz w:val="18"/>
                <w:szCs w:val="18"/>
              </w:rPr>
              <w:t>2</w:t>
            </w:r>
          </w:p>
        </w:tc>
        <w:tc>
          <w:tcPr>
            <w:cnfStyle w:val="000010000000" w:firstRow="0" w:lastRow="0" w:firstColumn="0" w:lastColumn="0" w:oddVBand="1" w:evenVBand="0" w:oddHBand="0" w:evenHBand="0" w:firstRowFirstColumn="0" w:firstRowLastColumn="0" w:lastRowFirstColumn="0" w:lastRowLastColumn="0"/>
            <w:tcW w:w="6115" w:type="dxa"/>
            <w:tcBorders>
              <w:top w:val="single" w:sz="4" w:space="0" w:color="448A99"/>
              <w:left w:val="single" w:sz="4" w:space="0" w:color="448A99"/>
              <w:bottom w:val="single" w:sz="4" w:space="0" w:color="448A99"/>
              <w:right w:val="single" w:sz="4" w:space="0" w:color="448A99"/>
            </w:tcBorders>
            <w:noWrap/>
            <w:vAlign w:val="center"/>
            <w:hideMark/>
          </w:tcPr>
          <w:p w:rsidR="008872A9" w:rsidRPr="00B75B77" w:rsidRDefault="008872A9" w:rsidP="00707B64">
            <w:pPr>
              <w:jc w:val="left"/>
              <w:rPr>
                <w:rFonts w:ascii="Calibri" w:eastAsia="Times New Roman" w:hAnsi="Calibri"/>
                <w:color w:val="000000"/>
                <w:sz w:val="18"/>
                <w:szCs w:val="18"/>
              </w:rPr>
            </w:pPr>
            <w:r w:rsidRPr="00B75B77">
              <w:rPr>
                <w:rFonts w:ascii="Calibri" w:eastAsia="Times New Roman" w:hAnsi="Calibri"/>
                <w:color w:val="000000"/>
                <w:sz w:val="18"/>
                <w:szCs w:val="18"/>
              </w:rPr>
              <w:t>EDC Incentives to Participants</w:t>
            </w:r>
          </w:p>
        </w:tc>
        <w:tc>
          <w:tcPr>
            <w:tcW w:w="1170" w:type="dxa"/>
            <w:tcBorders>
              <w:top w:val="single" w:sz="4" w:space="0" w:color="448A99"/>
              <w:left w:val="single" w:sz="4" w:space="0" w:color="448A99"/>
              <w:bottom w:val="single" w:sz="4" w:space="0" w:color="448A99"/>
              <w:right w:val="single" w:sz="4" w:space="0" w:color="448A99"/>
            </w:tcBorders>
            <w:noWrap/>
            <w:hideMark/>
          </w:tcPr>
          <w:p w:rsidR="008872A9" w:rsidRPr="00B75B77" w:rsidRDefault="008872A9" w:rsidP="000934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sz w:val="18"/>
                <w:szCs w:val="18"/>
              </w:rPr>
              <w:t>8,805</w:t>
            </w:r>
          </w:p>
        </w:tc>
        <w:tc>
          <w:tcPr>
            <w:cnfStyle w:val="000010000000" w:firstRow="0" w:lastRow="0" w:firstColumn="0" w:lastColumn="0" w:oddVBand="1" w:evenVBand="0" w:oddHBand="0" w:evenHBand="0" w:firstRowFirstColumn="0" w:firstRowLastColumn="0" w:lastRowFirstColumn="0" w:lastRowLastColumn="0"/>
            <w:tcW w:w="1350" w:type="dxa"/>
            <w:tcBorders>
              <w:top w:val="single" w:sz="4" w:space="0" w:color="448A99"/>
              <w:left w:val="single" w:sz="4" w:space="0" w:color="448A99"/>
              <w:bottom w:val="single" w:sz="4" w:space="0" w:color="448A99"/>
              <w:right w:val="single" w:sz="4" w:space="0" w:color="448A99"/>
            </w:tcBorders>
            <w:hideMark/>
          </w:tcPr>
          <w:p w:rsidR="008872A9" w:rsidRPr="00B75B77" w:rsidRDefault="008872A9" w:rsidP="00093474">
            <w:pPr>
              <w:jc w:val="right"/>
              <w:rPr>
                <w:rFonts w:ascii="Calibri" w:eastAsia="Times New Roman" w:hAnsi="Calibri"/>
                <w:color w:val="000000"/>
                <w:sz w:val="18"/>
                <w:szCs w:val="18"/>
              </w:rPr>
            </w:pPr>
            <w:r w:rsidRPr="00B75B77">
              <w:rPr>
                <w:sz w:val="18"/>
                <w:szCs w:val="18"/>
              </w:rPr>
              <w:t>17,325</w:t>
            </w:r>
          </w:p>
        </w:tc>
      </w:tr>
      <w:tr w:rsidR="008872A9" w:rsidRPr="00B75B77" w:rsidTr="005E445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448A99"/>
              <w:left w:val="single" w:sz="4" w:space="0" w:color="448A99"/>
              <w:bottom w:val="single" w:sz="4" w:space="0" w:color="448A99"/>
              <w:right w:val="single" w:sz="4" w:space="0" w:color="448A99"/>
            </w:tcBorders>
            <w:shd w:val="clear" w:color="auto" w:fill="auto"/>
            <w:vAlign w:val="center"/>
          </w:tcPr>
          <w:p w:rsidR="008872A9" w:rsidRPr="00B75B77" w:rsidRDefault="008872A9" w:rsidP="00707B64">
            <w:pPr>
              <w:jc w:val="center"/>
              <w:rPr>
                <w:rFonts w:ascii="Calibri" w:eastAsia="Times New Roman" w:hAnsi="Calibri"/>
                <w:color w:val="000000"/>
                <w:sz w:val="18"/>
                <w:szCs w:val="18"/>
              </w:rPr>
            </w:pPr>
            <w:r w:rsidRPr="00B75B77">
              <w:rPr>
                <w:rFonts w:ascii="Calibri" w:eastAsia="Times New Roman" w:hAnsi="Calibri"/>
                <w:color w:val="000000"/>
                <w:sz w:val="18"/>
                <w:szCs w:val="18"/>
              </w:rPr>
              <w:t>3</w:t>
            </w:r>
          </w:p>
        </w:tc>
        <w:tc>
          <w:tcPr>
            <w:cnfStyle w:val="000010000000" w:firstRow="0" w:lastRow="0" w:firstColumn="0" w:lastColumn="0" w:oddVBand="1" w:evenVBand="0" w:oddHBand="0" w:evenHBand="0" w:firstRowFirstColumn="0" w:firstRowLastColumn="0" w:lastRowFirstColumn="0" w:lastRowLastColumn="0"/>
            <w:tcW w:w="6115" w:type="dxa"/>
            <w:tcBorders>
              <w:top w:val="single" w:sz="4" w:space="0" w:color="448A99"/>
              <w:left w:val="single" w:sz="4" w:space="0" w:color="448A99"/>
              <w:bottom w:val="single" w:sz="4" w:space="0" w:color="448A99"/>
              <w:right w:val="single" w:sz="4" w:space="0" w:color="448A99"/>
            </w:tcBorders>
            <w:shd w:val="clear" w:color="auto" w:fill="auto"/>
            <w:noWrap/>
            <w:vAlign w:val="center"/>
            <w:hideMark/>
          </w:tcPr>
          <w:p w:rsidR="008872A9" w:rsidRPr="00B75B77" w:rsidRDefault="008872A9" w:rsidP="00707B64">
            <w:pPr>
              <w:jc w:val="left"/>
              <w:rPr>
                <w:rFonts w:ascii="Calibri" w:eastAsia="Times New Roman" w:hAnsi="Calibri"/>
                <w:color w:val="000000"/>
                <w:sz w:val="18"/>
                <w:szCs w:val="18"/>
              </w:rPr>
            </w:pPr>
            <w:r w:rsidRPr="00B75B77">
              <w:rPr>
                <w:rFonts w:ascii="Calibri" w:eastAsia="Times New Roman" w:hAnsi="Calibri"/>
                <w:color w:val="000000"/>
                <w:sz w:val="18"/>
                <w:szCs w:val="18"/>
              </w:rPr>
              <w:t>EDC Incentives to Trade Allies</w:t>
            </w:r>
          </w:p>
        </w:tc>
        <w:tc>
          <w:tcPr>
            <w:tcW w:w="1170" w:type="dxa"/>
            <w:tcBorders>
              <w:top w:val="single" w:sz="4" w:space="0" w:color="448A99"/>
              <w:left w:val="single" w:sz="4" w:space="0" w:color="448A99"/>
              <w:bottom w:val="single" w:sz="4" w:space="0" w:color="448A99"/>
              <w:right w:val="single" w:sz="4" w:space="0" w:color="448A99"/>
            </w:tcBorders>
            <w:shd w:val="clear" w:color="auto" w:fill="auto"/>
            <w:noWrap/>
            <w:hideMark/>
          </w:tcPr>
          <w:p w:rsidR="008872A9" w:rsidRPr="00B75B77" w:rsidRDefault="008872A9" w:rsidP="0009347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sz w:val="18"/>
                <w:szCs w:val="18"/>
              </w:rPr>
              <w:t>0</w:t>
            </w:r>
          </w:p>
        </w:tc>
        <w:tc>
          <w:tcPr>
            <w:cnfStyle w:val="000010000000" w:firstRow="0" w:lastRow="0" w:firstColumn="0" w:lastColumn="0" w:oddVBand="1" w:evenVBand="0" w:oddHBand="0" w:evenHBand="0" w:firstRowFirstColumn="0" w:firstRowLastColumn="0" w:lastRowFirstColumn="0" w:lastRowLastColumn="0"/>
            <w:tcW w:w="1350" w:type="dxa"/>
            <w:tcBorders>
              <w:top w:val="single" w:sz="4" w:space="0" w:color="448A99"/>
              <w:left w:val="single" w:sz="4" w:space="0" w:color="448A99"/>
              <w:bottom w:val="single" w:sz="4" w:space="0" w:color="448A99"/>
              <w:right w:val="single" w:sz="4" w:space="0" w:color="448A99"/>
            </w:tcBorders>
            <w:shd w:val="clear" w:color="auto" w:fill="auto"/>
            <w:hideMark/>
          </w:tcPr>
          <w:p w:rsidR="008872A9" w:rsidRPr="00B75B77" w:rsidRDefault="008872A9" w:rsidP="00093474">
            <w:pPr>
              <w:jc w:val="right"/>
              <w:rPr>
                <w:rFonts w:ascii="Calibri" w:eastAsia="Times New Roman" w:hAnsi="Calibri"/>
                <w:color w:val="000000"/>
                <w:sz w:val="18"/>
                <w:szCs w:val="18"/>
              </w:rPr>
            </w:pPr>
            <w:r w:rsidRPr="00B75B77">
              <w:rPr>
                <w:sz w:val="18"/>
                <w:szCs w:val="18"/>
              </w:rPr>
              <w:t>0</w:t>
            </w:r>
          </w:p>
        </w:tc>
      </w:tr>
      <w:tr w:rsidR="008872A9" w:rsidRPr="00B75B77" w:rsidTr="005E445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448A99"/>
              <w:left w:val="single" w:sz="4" w:space="0" w:color="448A99"/>
              <w:bottom w:val="single" w:sz="4" w:space="0" w:color="448A99"/>
              <w:right w:val="single" w:sz="4" w:space="0" w:color="448A99"/>
            </w:tcBorders>
            <w:vAlign w:val="center"/>
          </w:tcPr>
          <w:p w:rsidR="008872A9" w:rsidRPr="00B75B77" w:rsidDel="00B4154B" w:rsidRDefault="008872A9" w:rsidP="00707B64">
            <w:pPr>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4</w:t>
            </w:r>
          </w:p>
        </w:tc>
        <w:tc>
          <w:tcPr>
            <w:cnfStyle w:val="000010000000" w:firstRow="0" w:lastRow="0" w:firstColumn="0" w:lastColumn="0" w:oddVBand="1" w:evenVBand="0" w:oddHBand="0" w:evenHBand="0" w:firstRowFirstColumn="0" w:firstRowLastColumn="0" w:lastRowFirstColumn="0" w:lastRowLastColumn="0"/>
            <w:tcW w:w="6115" w:type="dxa"/>
            <w:tcBorders>
              <w:top w:val="single" w:sz="4" w:space="0" w:color="448A99"/>
              <w:left w:val="single" w:sz="4" w:space="0" w:color="448A99"/>
              <w:bottom w:val="single" w:sz="4" w:space="0" w:color="448A99"/>
              <w:right w:val="single" w:sz="4" w:space="0" w:color="448A99"/>
            </w:tcBorders>
            <w:noWrap/>
            <w:vAlign w:val="center"/>
            <w:hideMark/>
          </w:tcPr>
          <w:p w:rsidR="008872A9" w:rsidRPr="00B75B77" w:rsidRDefault="008872A9" w:rsidP="00707B64">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Participant Costs (Net of Incentives/Rebates Paid by Utilities)</w:t>
            </w:r>
          </w:p>
        </w:tc>
        <w:tc>
          <w:tcPr>
            <w:tcW w:w="1170" w:type="dxa"/>
            <w:tcBorders>
              <w:top w:val="single" w:sz="4" w:space="0" w:color="448A99"/>
              <w:left w:val="single" w:sz="4" w:space="0" w:color="448A99"/>
              <w:bottom w:val="single" w:sz="4" w:space="0" w:color="448A99"/>
              <w:right w:val="single" w:sz="4" w:space="0" w:color="448A99"/>
            </w:tcBorders>
            <w:hideMark/>
          </w:tcPr>
          <w:p w:rsidR="008872A9" w:rsidRPr="00B75B77" w:rsidRDefault="008872A9" w:rsidP="000934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sz w:val="18"/>
                <w:szCs w:val="18"/>
              </w:rPr>
              <w:t>20,930</w:t>
            </w:r>
          </w:p>
        </w:tc>
        <w:tc>
          <w:tcPr>
            <w:cnfStyle w:val="000010000000" w:firstRow="0" w:lastRow="0" w:firstColumn="0" w:lastColumn="0" w:oddVBand="1" w:evenVBand="0" w:oddHBand="0" w:evenHBand="0" w:firstRowFirstColumn="0" w:firstRowLastColumn="0" w:lastRowFirstColumn="0" w:lastRowLastColumn="0"/>
            <w:tcW w:w="1350" w:type="dxa"/>
            <w:tcBorders>
              <w:top w:val="single" w:sz="4" w:space="0" w:color="448A99"/>
              <w:left w:val="single" w:sz="4" w:space="0" w:color="448A99"/>
              <w:bottom w:val="single" w:sz="4" w:space="0" w:color="448A99"/>
              <w:right w:val="single" w:sz="4" w:space="0" w:color="448A99"/>
            </w:tcBorders>
            <w:hideMark/>
          </w:tcPr>
          <w:p w:rsidR="008872A9" w:rsidRPr="00B75B77" w:rsidRDefault="008872A9" w:rsidP="00093474">
            <w:pPr>
              <w:jc w:val="right"/>
              <w:rPr>
                <w:rFonts w:ascii="Calibri" w:eastAsia="Times New Roman" w:hAnsi="Calibri"/>
                <w:color w:val="000000"/>
                <w:sz w:val="18"/>
                <w:szCs w:val="18"/>
              </w:rPr>
            </w:pPr>
            <w:r w:rsidRPr="00B75B77">
              <w:rPr>
                <w:sz w:val="18"/>
                <w:szCs w:val="18"/>
              </w:rPr>
              <w:t>40,921</w:t>
            </w:r>
          </w:p>
        </w:tc>
      </w:tr>
      <w:tr w:rsidR="008872A9" w:rsidRPr="00B75B77" w:rsidTr="005E4455">
        <w:trPr>
          <w:cnfStyle w:val="000000010000" w:firstRow="0" w:lastRow="0" w:firstColumn="0" w:lastColumn="0" w:oddVBand="0" w:evenVBand="0" w:oddHBand="0" w:evenHBand="1"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9697" w:type="dxa"/>
            <w:gridSpan w:val="4"/>
            <w:tcBorders>
              <w:top w:val="single" w:sz="4" w:space="0" w:color="448A99"/>
              <w:left w:val="single" w:sz="4" w:space="0" w:color="448A99"/>
              <w:bottom w:val="single" w:sz="4" w:space="0" w:color="448A99"/>
              <w:right w:val="single" w:sz="4" w:space="0" w:color="448A99"/>
            </w:tcBorders>
            <w:shd w:val="clear" w:color="auto" w:fill="AEAAAA"/>
            <w:vAlign w:val="center"/>
          </w:tcPr>
          <w:p w:rsidR="008872A9" w:rsidRPr="00B75B77" w:rsidRDefault="008872A9" w:rsidP="00093474">
            <w:pPr>
              <w:jc w:val="right"/>
              <w:rPr>
                <w:rFonts w:ascii="Calibri" w:eastAsia="Times New Roman" w:hAnsi="Calibri"/>
                <w:color w:val="000000"/>
                <w:sz w:val="18"/>
                <w:szCs w:val="18"/>
              </w:rPr>
            </w:pPr>
          </w:p>
        </w:tc>
      </w:tr>
      <w:tr w:rsidR="008872A9" w:rsidRPr="00B75B77" w:rsidTr="005E445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448A99"/>
              <w:left w:val="single" w:sz="4" w:space="0" w:color="448A99"/>
              <w:bottom w:val="single" w:sz="4" w:space="0" w:color="448A99"/>
              <w:right w:val="single" w:sz="4" w:space="0" w:color="448A99"/>
            </w:tcBorders>
            <w:shd w:val="clear" w:color="auto" w:fill="auto"/>
            <w:vAlign w:val="center"/>
          </w:tcPr>
          <w:p w:rsidR="008872A9" w:rsidRPr="00B75B77" w:rsidRDefault="008872A9" w:rsidP="00707B64">
            <w:pPr>
              <w:jc w:val="center"/>
              <w:rPr>
                <w:rFonts w:ascii="Calibri" w:eastAsia="Times New Roman" w:hAnsi="Calibri"/>
                <w:color w:val="000000"/>
                <w:sz w:val="18"/>
                <w:szCs w:val="18"/>
              </w:rPr>
            </w:pPr>
            <w:r w:rsidRPr="00B75B77">
              <w:rPr>
                <w:rFonts w:ascii="Calibri" w:eastAsia="Times New Roman" w:hAnsi="Calibri"/>
                <w:color w:val="000000"/>
                <w:sz w:val="18"/>
                <w:szCs w:val="18"/>
              </w:rPr>
              <w:t>5</w:t>
            </w:r>
          </w:p>
        </w:tc>
        <w:tc>
          <w:tcPr>
            <w:cnfStyle w:val="000010000000" w:firstRow="0" w:lastRow="0" w:firstColumn="0" w:lastColumn="0" w:oddVBand="1" w:evenVBand="0" w:oddHBand="0" w:evenHBand="0" w:firstRowFirstColumn="0" w:firstRowLastColumn="0" w:lastRowFirstColumn="0" w:lastRowLastColumn="0"/>
            <w:tcW w:w="6115"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8872A9" w:rsidRPr="00B75B77" w:rsidRDefault="008872A9" w:rsidP="00707B64">
            <w:pPr>
              <w:jc w:val="left"/>
              <w:rPr>
                <w:rFonts w:ascii="Calibri" w:eastAsia="Times New Roman" w:hAnsi="Calibri"/>
                <w:color w:val="000000"/>
                <w:sz w:val="18"/>
                <w:szCs w:val="18"/>
              </w:rPr>
            </w:pPr>
            <w:r w:rsidRPr="00B75B77">
              <w:rPr>
                <w:rFonts w:ascii="Calibri" w:eastAsia="Times New Roman" w:hAnsi="Calibri"/>
                <w:color w:val="000000"/>
                <w:sz w:val="18"/>
                <w:szCs w:val="18"/>
              </w:rPr>
              <w:t>Program Overhead Costs (Sum of Rows 6 through 10)</w:t>
            </w:r>
          </w:p>
        </w:tc>
        <w:tc>
          <w:tcPr>
            <w:tcW w:w="1170" w:type="dxa"/>
            <w:tcBorders>
              <w:top w:val="single" w:sz="4" w:space="0" w:color="448A99"/>
              <w:left w:val="single" w:sz="4" w:space="0" w:color="448A99"/>
              <w:bottom w:val="single" w:sz="4" w:space="0" w:color="448A99"/>
              <w:right w:val="single" w:sz="4" w:space="0" w:color="448A99"/>
            </w:tcBorders>
            <w:shd w:val="clear" w:color="auto" w:fill="auto"/>
            <w:noWrap/>
          </w:tcPr>
          <w:p w:rsidR="008872A9" w:rsidRPr="00B75B77" w:rsidRDefault="008872A9" w:rsidP="000934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sz w:val="18"/>
                <w:szCs w:val="18"/>
              </w:rPr>
              <w:t>4,430</w:t>
            </w:r>
          </w:p>
        </w:tc>
        <w:tc>
          <w:tcPr>
            <w:cnfStyle w:val="000010000000" w:firstRow="0" w:lastRow="0" w:firstColumn="0" w:lastColumn="0" w:oddVBand="1" w:evenVBand="0" w:oddHBand="0" w:evenHBand="0" w:firstRowFirstColumn="0" w:firstRowLastColumn="0" w:lastRowFirstColumn="0" w:lastRowLastColumn="0"/>
            <w:tcW w:w="1350" w:type="dxa"/>
            <w:tcBorders>
              <w:top w:val="single" w:sz="4" w:space="0" w:color="448A99"/>
              <w:left w:val="single" w:sz="4" w:space="0" w:color="448A99"/>
              <w:bottom w:val="single" w:sz="4" w:space="0" w:color="448A99"/>
              <w:right w:val="single" w:sz="4" w:space="0" w:color="448A99"/>
            </w:tcBorders>
            <w:shd w:val="clear" w:color="auto" w:fill="auto"/>
          </w:tcPr>
          <w:p w:rsidR="008872A9" w:rsidRPr="00B75B77" w:rsidRDefault="008872A9" w:rsidP="00093474">
            <w:pPr>
              <w:jc w:val="right"/>
              <w:rPr>
                <w:rFonts w:ascii="Calibri" w:eastAsia="Times New Roman" w:hAnsi="Calibri"/>
                <w:color w:val="000000"/>
                <w:sz w:val="18"/>
                <w:szCs w:val="18"/>
              </w:rPr>
            </w:pPr>
            <w:r w:rsidRPr="00B75B77">
              <w:rPr>
                <w:sz w:val="18"/>
                <w:szCs w:val="18"/>
              </w:rPr>
              <w:t>13,634</w:t>
            </w:r>
          </w:p>
        </w:tc>
      </w:tr>
      <w:tr w:rsidR="008872A9" w:rsidRPr="00B75B77" w:rsidTr="005E445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448A99"/>
              <w:left w:val="single" w:sz="4" w:space="0" w:color="448A99"/>
              <w:bottom w:val="single" w:sz="4" w:space="0" w:color="448A99"/>
              <w:right w:val="single" w:sz="4" w:space="0" w:color="448A99"/>
            </w:tcBorders>
            <w:shd w:val="clear" w:color="auto" w:fill="D2EAF1"/>
            <w:vAlign w:val="center"/>
          </w:tcPr>
          <w:p w:rsidR="008872A9" w:rsidRPr="00B75B77" w:rsidRDefault="008872A9" w:rsidP="00707B64">
            <w:pPr>
              <w:jc w:val="center"/>
              <w:rPr>
                <w:rFonts w:ascii="Calibri" w:eastAsia="Times New Roman" w:hAnsi="Calibri"/>
                <w:color w:val="000000"/>
                <w:sz w:val="18"/>
                <w:szCs w:val="18"/>
              </w:rPr>
            </w:pPr>
            <w:r w:rsidRPr="00B75B77">
              <w:rPr>
                <w:rFonts w:ascii="Calibri" w:eastAsia="Times New Roman" w:hAnsi="Calibri"/>
                <w:color w:val="000000"/>
                <w:sz w:val="18"/>
                <w:szCs w:val="18"/>
              </w:rPr>
              <w:t>6</w:t>
            </w:r>
          </w:p>
        </w:tc>
        <w:tc>
          <w:tcPr>
            <w:cnfStyle w:val="000010000000" w:firstRow="0" w:lastRow="0" w:firstColumn="0" w:lastColumn="0" w:oddVBand="1" w:evenVBand="0" w:oddHBand="0" w:evenHBand="0" w:firstRowFirstColumn="0" w:firstRowLastColumn="0" w:lastRowFirstColumn="0" w:lastRowLastColumn="0"/>
            <w:tcW w:w="6115" w:type="dxa"/>
            <w:tcBorders>
              <w:top w:val="single" w:sz="4" w:space="0" w:color="448A99"/>
              <w:left w:val="single" w:sz="4" w:space="0" w:color="448A99"/>
              <w:bottom w:val="single" w:sz="4" w:space="0" w:color="448A99"/>
              <w:right w:val="single" w:sz="4" w:space="0" w:color="448A99"/>
            </w:tcBorders>
            <w:shd w:val="clear" w:color="auto" w:fill="D2EAF1"/>
            <w:noWrap/>
            <w:vAlign w:val="center"/>
            <w:hideMark/>
          </w:tcPr>
          <w:p w:rsidR="008872A9" w:rsidRPr="00B75B77" w:rsidRDefault="008872A9" w:rsidP="00707B64">
            <w:pPr>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Design </w:t>
            </w:r>
            <w:r w:rsidR="00D56E1C" w:rsidRPr="00B75B77">
              <w:rPr>
                <w:rFonts w:ascii="Calibri" w:eastAsia="Times New Roman" w:hAnsi="Calibri"/>
                <w:color w:val="000000"/>
                <w:sz w:val="18"/>
                <w:szCs w:val="18"/>
              </w:rPr>
              <w:t>and</w:t>
            </w:r>
            <w:r w:rsidRPr="00B75B77">
              <w:rPr>
                <w:rFonts w:ascii="Calibri" w:eastAsia="Times New Roman" w:hAnsi="Calibri"/>
                <w:color w:val="000000"/>
                <w:sz w:val="18"/>
                <w:szCs w:val="18"/>
              </w:rPr>
              <w:t xml:space="preserve"> Development</w:t>
            </w:r>
          </w:p>
        </w:tc>
        <w:tc>
          <w:tcPr>
            <w:tcW w:w="1170" w:type="dxa"/>
            <w:tcBorders>
              <w:top w:val="single" w:sz="4" w:space="0" w:color="448A99"/>
              <w:left w:val="single" w:sz="4" w:space="0" w:color="448A99"/>
              <w:bottom w:val="single" w:sz="4" w:space="0" w:color="448A99"/>
              <w:right w:val="single" w:sz="4" w:space="0" w:color="448A99"/>
            </w:tcBorders>
            <w:shd w:val="clear" w:color="auto" w:fill="D2EAF1"/>
            <w:noWrap/>
            <w:hideMark/>
          </w:tcPr>
          <w:p w:rsidR="008872A9" w:rsidRPr="00B75B77" w:rsidRDefault="008872A9" w:rsidP="0009347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sz w:val="18"/>
                <w:szCs w:val="18"/>
              </w:rPr>
              <w:t>0</w:t>
            </w:r>
          </w:p>
        </w:tc>
        <w:tc>
          <w:tcPr>
            <w:cnfStyle w:val="000010000000" w:firstRow="0" w:lastRow="0" w:firstColumn="0" w:lastColumn="0" w:oddVBand="1" w:evenVBand="0" w:oddHBand="0" w:evenHBand="0" w:firstRowFirstColumn="0" w:firstRowLastColumn="0" w:lastRowFirstColumn="0" w:lastRowLastColumn="0"/>
            <w:tcW w:w="1350" w:type="dxa"/>
            <w:tcBorders>
              <w:top w:val="single" w:sz="4" w:space="0" w:color="448A99"/>
              <w:left w:val="single" w:sz="4" w:space="0" w:color="448A99"/>
              <w:bottom w:val="single" w:sz="4" w:space="0" w:color="448A99"/>
              <w:right w:val="single" w:sz="4" w:space="0" w:color="448A99"/>
            </w:tcBorders>
            <w:shd w:val="clear" w:color="auto" w:fill="D2EAF1"/>
            <w:hideMark/>
          </w:tcPr>
          <w:p w:rsidR="008872A9" w:rsidRPr="00B75B77" w:rsidRDefault="008872A9" w:rsidP="00093474">
            <w:pPr>
              <w:jc w:val="right"/>
              <w:rPr>
                <w:rFonts w:ascii="Calibri" w:eastAsia="Times New Roman" w:hAnsi="Calibri"/>
                <w:color w:val="000000"/>
                <w:sz w:val="18"/>
                <w:szCs w:val="18"/>
              </w:rPr>
            </w:pPr>
            <w:r w:rsidRPr="00B75B77">
              <w:rPr>
                <w:sz w:val="18"/>
                <w:szCs w:val="18"/>
              </w:rPr>
              <w:t>0</w:t>
            </w:r>
          </w:p>
        </w:tc>
      </w:tr>
      <w:tr w:rsidR="008872A9" w:rsidRPr="00B75B77" w:rsidTr="005E445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448A99"/>
              <w:left w:val="single" w:sz="4" w:space="0" w:color="448A99"/>
              <w:bottom w:val="single" w:sz="4" w:space="0" w:color="448A99"/>
              <w:right w:val="single" w:sz="4" w:space="0" w:color="448A99"/>
            </w:tcBorders>
            <w:shd w:val="clear" w:color="auto" w:fill="auto"/>
            <w:vAlign w:val="center"/>
          </w:tcPr>
          <w:p w:rsidR="008872A9" w:rsidRPr="00B75B77" w:rsidRDefault="008872A9" w:rsidP="00707B64">
            <w:pPr>
              <w:jc w:val="center"/>
              <w:rPr>
                <w:rFonts w:ascii="Calibri" w:eastAsia="Times New Roman" w:hAnsi="Calibri"/>
                <w:color w:val="000000"/>
                <w:sz w:val="18"/>
                <w:szCs w:val="18"/>
              </w:rPr>
            </w:pPr>
            <w:r w:rsidRPr="00B75B77">
              <w:rPr>
                <w:rFonts w:ascii="Calibri" w:eastAsia="Times New Roman" w:hAnsi="Calibri"/>
                <w:color w:val="000000"/>
                <w:sz w:val="18"/>
                <w:szCs w:val="18"/>
              </w:rPr>
              <w:t>7</w:t>
            </w:r>
          </w:p>
        </w:tc>
        <w:tc>
          <w:tcPr>
            <w:cnfStyle w:val="000010000000" w:firstRow="0" w:lastRow="0" w:firstColumn="0" w:lastColumn="0" w:oddVBand="1" w:evenVBand="0" w:oddHBand="0" w:evenHBand="0" w:firstRowFirstColumn="0" w:firstRowLastColumn="0" w:lastRowFirstColumn="0" w:lastRowLastColumn="0"/>
            <w:tcW w:w="6115" w:type="dxa"/>
            <w:tcBorders>
              <w:top w:val="single" w:sz="4" w:space="0" w:color="448A99"/>
              <w:left w:val="single" w:sz="4" w:space="0" w:color="448A99"/>
              <w:bottom w:val="single" w:sz="4" w:space="0" w:color="448A99"/>
              <w:right w:val="single" w:sz="4" w:space="0" w:color="448A99"/>
            </w:tcBorders>
            <w:shd w:val="clear" w:color="auto" w:fill="auto"/>
            <w:noWrap/>
            <w:vAlign w:val="center"/>
            <w:hideMark/>
          </w:tcPr>
          <w:p w:rsidR="008872A9" w:rsidRPr="00B75B77" w:rsidRDefault="008872A9" w:rsidP="00707B64">
            <w:pPr>
              <w:jc w:val="left"/>
              <w:rPr>
                <w:rFonts w:ascii="Calibri" w:eastAsia="Times New Roman" w:hAnsi="Calibri"/>
                <w:color w:val="000000"/>
                <w:sz w:val="18"/>
                <w:szCs w:val="18"/>
              </w:rPr>
            </w:pPr>
            <w:r w:rsidRPr="00B75B77">
              <w:rPr>
                <w:rFonts w:ascii="Calibri" w:eastAsia="Times New Roman" w:hAnsi="Calibri"/>
                <w:color w:val="000000"/>
                <w:sz w:val="18"/>
                <w:szCs w:val="18"/>
              </w:rPr>
              <w:t>Administration, Management, and Technical Assistance</w:t>
            </w:r>
            <w:r w:rsidRPr="00B75B77">
              <w:rPr>
                <w:rFonts w:ascii="Calibri" w:eastAsia="Times New Roman" w:hAnsi="Calibri"/>
                <w:b/>
                <w:bCs/>
                <w:color w:val="000000"/>
                <w:sz w:val="18"/>
                <w:szCs w:val="18"/>
                <w:vertAlign w:val="superscript"/>
              </w:rPr>
              <w:t>[1]</w:t>
            </w:r>
          </w:p>
        </w:tc>
        <w:tc>
          <w:tcPr>
            <w:tcW w:w="1170" w:type="dxa"/>
            <w:tcBorders>
              <w:top w:val="single" w:sz="4" w:space="0" w:color="448A99"/>
              <w:left w:val="single" w:sz="4" w:space="0" w:color="448A99"/>
              <w:bottom w:val="single" w:sz="4" w:space="0" w:color="448A99"/>
              <w:right w:val="single" w:sz="4" w:space="0" w:color="448A99"/>
            </w:tcBorders>
            <w:shd w:val="clear" w:color="auto" w:fill="auto"/>
            <w:noWrap/>
            <w:hideMark/>
          </w:tcPr>
          <w:p w:rsidR="008872A9" w:rsidRPr="00B75B77" w:rsidRDefault="008872A9" w:rsidP="000934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sz w:val="18"/>
                <w:szCs w:val="18"/>
              </w:rPr>
              <w:t>4,259</w:t>
            </w:r>
          </w:p>
        </w:tc>
        <w:tc>
          <w:tcPr>
            <w:cnfStyle w:val="000010000000" w:firstRow="0" w:lastRow="0" w:firstColumn="0" w:lastColumn="0" w:oddVBand="1" w:evenVBand="0" w:oddHBand="0" w:evenHBand="0" w:firstRowFirstColumn="0" w:firstRowLastColumn="0" w:lastRowFirstColumn="0" w:lastRowLastColumn="0"/>
            <w:tcW w:w="1350" w:type="dxa"/>
            <w:tcBorders>
              <w:top w:val="single" w:sz="4" w:space="0" w:color="448A99"/>
              <w:left w:val="single" w:sz="4" w:space="0" w:color="448A99"/>
              <w:bottom w:val="single" w:sz="4" w:space="0" w:color="448A99"/>
              <w:right w:val="single" w:sz="4" w:space="0" w:color="448A99"/>
            </w:tcBorders>
            <w:shd w:val="clear" w:color="auto" w:fill="auto"/>
            <w:hideMark/>
          </w:tcPr>
          <w:p w:rsidR="008872A9" w:rsidRPr="00B75B77" w:rsidRDefault="008872A9" w:rsidP="00093474">
            <w:pPr>
              <w:jc w:val="right"/>
              <w:rPr>
                <w:rFonts w:ascii="Calibri" w:eastAsia="Times New Roman" w:hAnsi="Calibri"/>
                <w:color w:val="000000"/>
                <w:sz w:val="18"/>
                <w:szCs w:val="18"/>
              </w:rPr>
            </w:pPr>
            <w:r w:rsidRPr="00B75B77">
              <w:rPr>
                <w:sz w:val="18"/>
                <w:szCs w:val="18"/>
              </w:rPr>
              <w:t>13,454</w:t>
            </w:r>
          </w:p>
        </w:tc>
      </w:tr>
      <w:tr w:rsidR="008872A9" w:rsidRPr="00B75B77" w:rsidTr="005E445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448A99"/>
              <w:left w:val="single" w:sz="4" w:space="0" w:color="448A99"/>
              <w:bottom w:val="single" w:sz="4" w:space="0" w:color="448A99"/>
              <w:right w:val="single" w:sz="4" w:space="0" w:color="448A99"/>
            </w:tcBorders>
            <w:shd w:val="clear" w:color="auto" w:fill="D2EAF1"/>
            <w:vAlign w:val="center"/>
          </w:tcPr>
          <w:p w:rsidR="008872A9" w:rsidRPr="00B75B77" w:rsidRDefault="008872A9" w:rsidP="00707B64">
            <w:pPr>
              <w:jc w:val="center"/>
              <w:rPr>
                <w:rFonts w:ascii="Calibri" w:eastAsia="Times New Roman" w:hAnsi="Calibri"/>
                <w:color w:val="000000"/>
                <w:sz w:val="18"/>
                <w:szCs w:val="18"/>
              </w:rPr>
            </w:pPr>
            <w:r w:rsidRPr="00B75B77">
              <w:rPr>
                <w:rFonts w:ascii="Calibri" w:eastAsia="Times New Roman" w:hAnsi="Calibri"/>
                <w:color w:val="000000"/>
                <w:sz w:val="18"/>
                <w:szCs w:val="18"/>
              </w:rPr>
              <w:t>8</w:t>
            </w:r>
          </w:p>
        </w:tc>
        <w:tc>
          <w:tcPr>
            <w:cnfStyle w:val="000010000000" w:firstRow="0" w:lastRow="0" w:firstColumn="0" w:lastColumn="0" w:oddVBand="1" w:evenVBand="0" w:oddHBand="0" w:evenHBand="0" w:firstRowFirstColumn="0" w:firstRowLastColumn="0" w:lastRowFirstColumn="0" w:lastRowLastColumn="0"/>
            <w:tcW w:w="6115" w:type="dxa"/>
            <w:tcBorders>
              <w:top w:val="single" w:sz="4" w:space="0" w:color="448A99"/>
              <w:left w:val="single" w:sz="4" w:space="0" w:color="448A99"/>
              <w:bottom w:val="single" w:sz="4" w:space="0" w:color="448A99"/>
              <w:right w:val="single" w:sz="4" w:space="0" w:color="448A99"/>
            </w:tcBorders>
            <w:shd w:val="clear" w:color="auto" w:fill="D2EAF1"/>
            <w:noWrap/>
            <w:vAlign w:val="center"/>
            <w:hideMark/>
          </w:tcPr>
          <w:p w:rsidR="008872A9" w:rsidRPr="00B75B77" w:rsidRDefault="008872A9" w:rsidP="00707B64">
            <w:pPr>
              <w:jc w:val="left"/>
              <w:rPr>
                <w:rFonts w:ascii="Calibri" w:eastAsia="Times New Roman" w:hAnsi="Calibri"/>
                <w:color w:val="000000"/>
                <w:sz w:val="18"/>
                <w:szCs w:val="18"/>
              </w:rPr>
            </w:pPr>
            <w:r w:rsidRPr="00B75B77">
              <w:rPr>
                <w:rFonts w:ascii="Calibri" w:eastAsia="Times New Roman" w:hAnsi="Calibri"/>
                <w:color w:val="000000"/>
                <w:sz w:val="18"/>
                <w:szCs w:val="18"/>
              </w:rPr>
              <w:t>Marketing</w:t>
            </w:r>
            <w:r w:rsidRPr="00B75B77">
              <w:rPr>
                <w:rFonts w:ascii="Calibri" w:eastAsia="Times New Roman" w:hAnsi="Calibri"/>
                <w:b/>
                <w:bCs/>
                <w:color w:val="000000"/>
                <w:sz w:val="18"/>
                <w:szCs w:val="18"/>
                <w:vertAlign w:val="superscript"/>
              </w:rPr>
              <w:t>[2]</w:t>
            </w:r>
          </w:p>
        </w:tc>
        <w:tc>
          <w:tcPr>
            <w:tcW w:w="1170" w:type="dxa"/>
            <w:tcBorders>
              <w:top w:val="single" w:sz="4" w:space="0" w:color="448A99"/>
              <w:left w:val="single" w:sz="4" w:space="0" w:color="448A99"/>
              <w:bottom w:val="single" w:sz="4" w:space="0" w:color="448A99"/>
              <w:right w:val="single" w:sz="4" w:space="0" w:color="448A99"/>
            </w:tcBorders>
            <w:shd w:val="clear" w:color="auto" w:fill="D2EAF1"/>
            <w:noWrap/>
            <w:hideMark/>
          </w:tcPr>
          <w:p w:rsidR="008872A9" w:rsidRPr="00B75B77" w:rsidRDefault="008872A9" w:rsidP="0009347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sz w:val="18"/>
                <w:szCs w:val="18"/>
              </w:rPr>
              <w:t>171</w:t>
            </w:r>
          </w:p>
        </w:tc>
        <w:tc>
          <w:tcPr>
            <w:cnfStyle w:val="000010000000" w:firstRow="0" w:lastRow="0" w:firstColumn="0" w:lastColumn="0" w:oddVBand="1" w:evenVBand="0" w:oddHBand="0" w:evenHBand="0" w:firstRowFirstColumn="0" w:firstRowLastColumn="0" w:lastRowFirstColumn="0" w:lastRowLastColumn="0"/>
            <w:tcW w:w="1350" w:type="dxa"/>
            <w:tcBorders>
              <w:top w:val="single" w:sz="4" w:space="0" w:color="448A99"/>
              <w:left w:val="single" w:sz="4" w:space="0" w:color="448A99"/>
              <w:bottom w:val="single" w:sz="4" w:space="0" w:color="448A99"/>
              <w:right w:val="single" w:sz="4" w:space="0" w:color="448A99"/>
            </w:tcBorders>
            <w:shd w:val="clear" w:color="auto" w:fill="D2EAF1"/>
            <w:hideMark/>
          </w:tcPr>
          <w:p w:rsidR="008872A9" w:rsidRPr="00B75B77" w:rsidRDefault="008872A9" w:rsidP="00093474">
            <w:pPr>
              <w:jc w:val="right"/>
              <w:rPr>
                <w:rFonts w:ascii="Calibri" w:eastAsia="Times New Roman" w:hAnsi="Calibri"/>
                <w:color w:val="000000"/>
                <w:sz w:val="18"/>
                <w:szCs w:val="18"/>
              </w:rPr>
            </w:pPr>
            <w:r w:rsidRPr="00B75B77">
              <w:rPr>
                <w:sz w:val="18"/>
                <w:szCs w:val="18"/>
              </w:rPr>
              <w:t>180</w:t>
            </w:r>
          </w:p>
        </w:tc>
      </w:tr>
      <w:tr w:rsidR="008872A9" w:rsidRPr="00B75B77" w:rsidTr="005E445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448A99"/>
              <w:left w:val="single" w:sz="4" w:space="0" w:color="448A99"/>
              <w:bottom w:val="single" w:sz="4" w:space="0" w:color="448A99"/>
              <w:right w:val="single" w:sz="4" w:space="0" w:color="448A99"/>
            </w:tcBorders>
            <w:shd w:val="clear" w:color="auto" w:fill="auto"/>
            <w:vAlign w:val="center"/>
          </w:tcPr>
          <w:p w:rsidR="008872A9" w:rsidRPr="00B75B77" w:rsidRDefault="008872A9" w:rsidP="00707B64">
            <w:pPr>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9</w:t>
            </w:r>
          </w:p>
        </w:tc>
        <w:tc>
          <w:tcPr>
            <w:cnfStyle w:val="000010000000" w:firstRow="0" w:lastRow="0" w:firstColumn="0" w:lastColumn="0" w:oddVBand="1" w:evenVBand="0" w:oddHBand="0" w:evenHBand="0" w:firstRowFirstColumn="0" w:firstRowLastColumn="0" w:lastRowFirstColumn="0" w:lastRowLastColumn="0"/>
            <w:tcW w:w="6115"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8872A9" w:rsidRPr="00B75B77" w:rsidRDefault="008872A9" w:rsidP="00707B64">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EDC Evaluation Costs</w:t>
            </w:r>
          </w:p>
        </w:tc>
        <w:tc>
          <w:tcPr>
            <w:tcW w:w="1170" w:type="dxa"/>
            <w:tcBorders>
              <w:top w:val="single" w:sz="4" w:space="0" w:color="448A99"/>
              <w:left w:val="single" w:sz="4" w:space="0" w:color="448A99"/>
              <w:bottom w:val="single" w:sz="4" w:space="0" w:color="448A99"/>
              <w:right w:val="single" w:sz="4" w:space="0" w:color="448A99"/>
            </w:tcBorders>
            <w:shd w:val="clear" w:color="auto" w:fill="auto"/>
            <w:noWrap/>
            <w:hideMark/>
          </w:tcPr>
          <w:p w:rsidR="008872A9" w:rsidRPr="00B75B77" w:rsidRDefault="008872A9" w:rsidP="000934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18"/>
                <w:szCs w:val="18"/>
              </w:rPr>
            </w:pPr>
            <w:r w:rsidRPr="00B75B77">
              <w:rPr>
                <w:sz w:val="18"/>
                <w:szCs w:val="18"/>
              </w:rPr>
              <w:t>0</w:t>
            </w:r>
          </w:p>
        </w:tc>
        <w:tc>
          <w:tcPr>
            <w:cnfStyle w:val="000010000000" w:firstRow="0" w:lastRow="0" w:firstColumn="0" w:lastColumn="0" w:oddVBand="1" w:evenVBand="0" w:oddHBand="0" w:evenHBand="0" w:firstRowFirstColumn="0" w:firstRowLastColumn="0" w:lastRowFirstColumn="0" w:lastRowLastColumn="0"/>
            <w:tcW w:w="1350" w:type="dxa"/>
            <w:tcBorders>
              <w:top w:val="single" w:sz="4" w:space="0" w:color="448A99"/>
              <w:left w:val="single" w:sz="4" w:space="0" w:color="448A99"/>
              <w:bottom w:val="single" w:sz="4" w:space="0" w:color="448A99"/>
              <w:right w:val="single" w:sz="4" w:space="0" w:color="448A99"/>
            </w:tcBorders>
            <w:shd w:val="clear" w:color="auto" w:fill="auto"/>
            <w:hideMark/>
          </w:tcPr>
          <w:p w:rsidR="008872A9" w:rsidRPr="00B75B77" w:rsidRDefault="008872A9" w:rsidP="00093474">
            <w:pPr>
              <w:jc w:val="right"/>
              <w:rPr>
                <w:rFonts w:ascii="Calibri" w:eastAsia="Times New Roman" w:hAnsi="Calibri"/>
                <w:b/>
                <w:bCs/>
                <w:color w:val="000000"/>
                <w:sz w:val="18"/>
                <w:szCs w:val="18"/>
              </w:rPr>
            </w:pPr>
            <w:r w:rsidRPr="00B75B77">
              <w:rPr>
                <w:sz w:val="18"/>
                <w:szCs w:val="18"/>
              </w:rPr>
              <w:t>0</w:t>
            </w:r>
          </w:p>
        </w:tc>
      </w:tr>
      <w:tr w:rsidR="008872A9" w:rsidRPr="00B75B77" w:rsidTr="005E445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448A99"/>
              <w:left w:val="single" w:sz="4" w:space="0" w:color="448A99"/>
              <w:bottom w:val="single" w:sz="4" w:space="0" w:color="448A99"/>
              <w:right w:val="single" w:sz="4" w:space="0" w:color="448A99"/>
            </w:tcBorders>
            <w:shd w:val="clear" w:color="auto" w:fill="D2EAF1"/>
            <w:vAlign w:val="center"/>
          </w:tcPr>
          <w:p w:rsidR="008872A9" w:rsidRPr="00B75B77" w:rsidRDefault="008872A9" w:rsidP="00707B64">
            <w:pPr>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10</w:t>
            </w:r>
          </w:p>
        </w:tc>
        <w:tc>
          <w:tcPr>
            <w:cnfStyle w:val="000010000000" w:firstRow="0" w:lastRow="0" w:firstColumn="0" w:lastColumn="0" w:oddVBand="1" w:evenVBand="0" w:oddHBand="0" w:evenHBand="0" w:firstRowFirstColumn="0" w:firstRowLastColumn="0" w:lastRowFirstColumn="0" w:lastRowLastColumn="0"/>
            <w:tcW w:w="6115"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872A9" w:rsidRPr="00B75B77" w:rsidRDefault="008872A9" w:rsidP="00707B64">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SWE Audit Costs</w:t>
            </w:r>
          </w:p>
        </w:tc>
        <w:tc>
          <w:tcPr>
            <w:tcW w:w="1170" w:type="dxa"/>
            <w:tcBorders>
              <w:top w:val="single" w:sz="4" w:space="0" w:color="448A99"/>
              <w:left w:val="single" w:sz="4" w:space="0" w:color="448A99"/>
              <w:bottom w:val="single" w:sz="4" w:space="0" w:color="448A99"/>
              <w:right w:val="single" w:sz="4" w:space="0" w:color="448A99"/>
            </w:tcBorders>
            <w:shd w:val="clear" w:color="auto" w:fill="D2EAF1"/>
            <w:noWrap/>
          </w:tcPr>
          <w:p w:rsidR="008872A9" w:rsidRPr="00B75B77" w:rsidRDefault="008872A9" w:rsidP="0009347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sz w:val="18"/>
                <w:szCs w:val="18"/>
              </w:rPr>
              <w:t>0</w:t>
            </w:r>
          </w:p>
        </w:tc>
        <w:tc>
          <w:tcPr>
            <w:cnfStyle w:val="000010000000" w:firstRow="0" w:lastRow="0" w:firstColumn="0" w:lastColumn="0" w:oddVBand="1" w:evenVBand="0" w:oddHBand="0" w:evenHBand="0" w:firstRowFirstColumn="0" w:firstRowLastColumn="0" w:lastRowFirstColumn="0" w:lastRowLastColumn="0"/>
            <w:tcW w:w="1350" w:type="dxa"/>
            <w:tcBorders>
              <w:top w:val="single" w:sz="4" w:space="0" w:color="448A99"/>
              <w:left w:val="single" w:sz="4" w:space="0" w:color="448A99"/>
              <w:bottom w:val="single" w:sz="4" w:space="0" w:color="448A99"/>
              <w:right w:val="single" w:sz="4" w:space="0" w:color="448A99"/>
            </w:tcBorders>
            <w:shd w:val="clear" w:color="auto" w:fill="D2EAF1"/>
          </w:tcPr>
          <w:p w:rsidR="008872A9" w:rsidRPr="00B75B77" w:rsidRDefault="008872A9" w:rsidP="00093474">
            <w:pPr>
              <w:jc w:val="right"/>
              <w:rPr>
                <w:rFonts w:ascii="Calibri" w:eastAsia="Times New Roman" w:hAnsi="Calibri"/>
                <w:color w:val="000000"/>
                <w:sz w:val="18"/>
                <w:szCs w:val="18"/>
              </w:rPr>
            </w:pPr>
            <w:r w:rsidRPr="00B75B77">
              <w:rPr>
                <w:sz w:val="18"/>
                <w:szCs w:val="18"/>
              </w:rPr>
              <w:t>0</w:t>
            </w:r>
          </w:p>
        </w:tc>
      </w:tr>
      <w:tr w:rsidR="008872A9" w:rsidRPr="00B75B77" w:rsidTr="005E44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97" w:type="dxa"/>
            <w:gridSpan w:val="4"/>
            <w:tcBorders>
              <w:top w:val="single" w:sz="4" w:space="0" w:color="448A99"/>
              <w:left w:val="single" w:sz="4" w:space="0" w:color="448A99"/>
              <w:bottom w:val="single" w:sz="4" w:space="0" w:color="448A99"/>
              <w:right w:val="single" w:sz="4" w:space="0" w:color="448A99"/>
            </w:tcBorders>
            <w:shd w:val="clear" w:color="auto" w:fill="AEAAAA"/>
            <w:vAlign w:val="center"/>
          </w:tcPr>
          <w:p w:rsidR="008872A9" w:rsidRPr="00B75B77" w:rsidRDefault="008872A9" w:rsidP="00093474">
            <w:pPr>
              <w:jc w:val="right"/>
              <w:rPr>
                <w:rFonts w:ascii="Calibri" w:eastAsia="Times New Roman" w:hAnsi="Calibri"/>
                <w:b w:val="0"/>
                <w:bCs w:val="0"/>
                <w:color w:val="000000"/>
                <w:sz w:val="18"/>
                <w:szCs w:val="18"/>
              </w:rPr>
            </w:pPr>
          </w:p>
        </w:tc>
      </w:tr>
      <w:tr w:rsidR="008872A9" w:rsidRPr="00B75B77" w:rsidTr="005E445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448A99"/>
              <w:left w:val="single" w:sz="4" w:space="0" w:color="448A99"/>
              <w:bottom w:val="single" w:sz="4" w:space="0" w:color="448A99"/>
              <w:right w:val="single" w:sz="4" w:space="0" w:color="448A99"/>
            </w:tcBorders>
            <w:shd w:val="clear" w:color="auto" w:fill="auto"/>
            <w:vAlign w:val="center"/>
          </w:tcPr>
          <w:p w:rsidR="008872A9" w:rsidRPr="00B75B77" w:rsidRDefault="008872A9" w:rsidP="00594255">
            <w:pPr>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11</w:t>
            </w:r>
          </w:p>
        </w:tc>
        <w:tc>
          <w:tcPr>
            <w:cnfStyle w:val="000010000000" w:firstRow="0" w:lastRow="0" w:firstColumn="0" w:lastColumn="0" w:oddVBand="1" w:evenVBand="0" w:oddHBand="0" w:evenHBand="0" w:firstRowFirstColumn="0" w:firstRowLastColumn="0" w:lastRowFirstColumn="0" w:lastRowLastColumn="0"/>
            <w:tcW w:w="6115"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8872A9" w:rsidRPr="00B75B77" w:rsidRDefault="008872A9" w:rsidP="00594255">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Increases in Costs of Natural Gas (or Other Fuels) for Fuel-Switching Programs</w:t>
            </w:r>
          </w:p>
        </w:tc>
        <w:tc>
          <w:tcPr>
            <w:tcW w:w="117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8872A9" w:rsidRPr="00B75B77" w:rsidRDefault="008872A9" w:rsidP="0009347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 w:val="18"/>
                <w:szCs w:val="18"/>
              </w:rPr>
            </w:pPr>
            <w:r w:rsidRPr="00B75B77">
              <w:rPr>
                <w:rFonts w:ascii="Calibri" w:eastAsia="Times New Roman" w:hAnsi="Calibri"/>
                <w:b/>
                <w:bCs/>
                <w:color w:val="000000"/>
                <w:sz w:val="18"/>
                <w:szCs w:val="18"/>
              </w:rPr>
              <w:t>0</w:t>
            </w:r>
          </w:p>
        </w:tc>
        <w:tc>
          <w:tcPr>
            <w:cnfStyle w:val="000010000000" w:firstRow="0" w:lastRow="0" w:firstColumn="0" w:lastColumn="0" w:oddVBand="1" w:evenVBand="0" w:oddHBand="0" w:evenHBand="0" w:firstRowFirstColumn="0" w:firstRowLastColumn="0" w:lastRowFirstColumn="0" w:lastRowLastColumn="0"/>
            <w:tcW w:w="1350" w:type="dxa"/>
            <w:tcBorders>
              <w:top w:val="single" w:sz="4" w:space="0" w:color="448A99"/>
              <w:left w:val="single" w:sz="4" w:space="0" w:color="448A99"/>
              <w:bottom w:val="single" w:sz="4" w:space="0" w:color="448A99"/>
              <w:right w:val="single" w:sz="4" w:space="0" w:color="448A99"/>
            </w:tcBorders>
            <w:shd w:val="clear" w:color="auto" w:fill="auto"/>
            <w:vAlign w:val="center"/>
          </w:tcPr>
          <w:p w:rsidR="008872A9" w:rsidRPr="00B75B77" w:rsidRDefault="008872A9" w:rsidP="00093474">
            <w:pPr>
              <w:jc w:val="right"/>
              <w:rPr>
                <w:rFonts w:ascii="Calibri" w:eastAsia="Times New Roman" w:hAnsi="Calibri"/>
                <w:b/>
                <w:bCs/>
                <w:color w:val="000000"/>
                <w:sz w:val="18"/>
                <w:szCs w:val="18"/>
              </w:rPr>
            </w:pPr>
            <w:r w:rsidRPr="00B75B77">
              <w:rPr>
                <w:rFonts w:ascii="Calibri" w:eastAsia="Times New Roman" w:hAnsi="Calibri"/>
                <w:b/>
                <w:bCs/>
                <w:color w:val="000000"/>
                <w:sz w:val="18"/>
                <w:szCs w:val="18"/>
              </w:rPr>
              <w:t>0</w:t>
            </w:r>
          </w:p>
        </w:tc>
      </w:tr>
      <w:tr w:rsidR="008872A9" w:rsidRPr="00B75B77" w:rsidTr="005E4455">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9697" w:type="dxa"/>
            <w:gridSpan w:val="4"/>
            <w:tcBorders>
              <w:top w:val="single" w:sz="4" w:space="0" w:color="448A99"/>
              <w:left w:val="single" w:sz="4" w:space="0" w:color="448A99"/>
              <w:bottom w:val="single" w:sz="4" w:space="0" w:color="448A99"/>
              <w:right w:val="single" w:sz="4" w:space="0" w:color="448A99"/>
            </w:tcBorders>
            <w:shd w:val="clear" w:color="auto" w:fill="AEAAAA"/>
            <w:vAlign w:val="center"/>
          </w:tcPr>
          <w:p w:rsidR="008872A9" w:rsidRPr="00B75B77" w:rsidRDefault="008872A9" w:rsidP="00093474">
            <w:pPr>
              <w:jc w:val="right"/>
              <w:rPr>
                <w:rFonts w:ascii="Calibri" w:eastAsia="Times New Roman" w:hAnsi="Calibri"/>
                <w:b w:val="0"/>
                <w:bCs w:val="0"/>
                <w:color w:val="000000"/>
                <w:sz w:val="18"/>
                <w:szCs w:val="18"/>
              </w:rPr>
            </w:pPr>
          </w:p>
        </w:tc>
      </w:tr>
      <w:tr w:rsidR="008872A9" w:rsidRPr="00B75B77" w:rsidTr="005E445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448A99"/>
              <w:left w:val="single" w:sz="4" w:space="0" w:color="448A99"/>
              <w:bottom w:val="single" w:sz="4" w:space="0" w:color="448A99"/>
              <w:right w:val="single" w:sz="4" w:space="0" w:color="448A99"/>
            </w:tcBorders>
            <w:shd w:val="clear" w:color="auto" w:fill="D2EAF1"/>
            <w:vAlign w:val="center"/>
          </w:tcPr>
          <w:p w:rsidR="008872A9" w:rsidRPr="00B75B77" w:rsidRDefault="008872A9" w:rsidP="00707B64">
            <w:pPr>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12</w:t>
            </w:r>
          </w:p>
        </w:tc>
        <w:tc>
          <w:tcPr>
            <w:cnfStyle w:val="000010000000" w:firstRow="0" w:lastRow="0" w:firstColumn="0" w:lastColumn="0" w:oddVBand="1" w:evenVBand="0" w:oddHBand="0" w:evenHBand="0" w:firstRowFirstColumn="0" w:firstRowLastColumn="0" w:lastRowFirstColumn="0" w:lastRowLastColumn="0"/>
            <w:tcW w:w="6115" w:type="dxa"/>
            <w:tcBorders>
              <w:top w:val="single" w:sz="4" w:space="0" w:color="448A99"/>
              <w:left w:val="single" w:sz="4" w:space="0" w:color="448A99"/>
              <w:bottom w:val="single" w:sz="4" w:space="0" w:color="448A99"/>
              <w:right w:val="single" w:sz="4" w:space="0" w:color="448A99"/>
            </w:tcBorders>
            <w:noWrap/>
            <w:vAlign w:val="center"/>
            <w:hideMark/>
          </w:tcPr>
          <w:p w:rsidR="008872A9" w:rsidRPr="00B75B77" w:rsidRDefault="008872A9" w:rsidP="00707B64">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Total TRC Costs</w:t>
            </w:r>
            <w:r w:rsidRPr="00B75B77">
              <w:rPr>
                <w:rFonts w:ascii="Calibri" w:eastAsia="Times New Roman" w:hAnsi="Calibri"/>
                <w:bCs/>
                <w:color w:val="000000"/>
                <w:sz w:val="18"/>
                <w:szCs w:val="18"/>
                <w:vertAlign w:val="superscript"/>
              </w:rPr>
              <w:t xml:space="preserve">[3] </w:t>
            </w:r>
            <w:r w:rsidRPr="00B75B77">
              <w:rPr>
                <w:rFonts w:ascii="Calibri" w:eastAsia="Times New Roman" w:hAnsi="Calibri"/>
                <w:bCs/>
                <w:color w:val="000000"/>
                <w:sz w:val="18"/>
                <w:szCs w:val="18"/>
              </w:rPr>
              <w:t>(Sum of Rows 1, 5, and 11)</w:t>
            </w:r>
          </w:p>
        </w:tc>
        <w:tc>
          <w:tcPr>
            <w:tcW w:w="11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hideMark/>
          </w:tcPr>
          <w:p w:rsidR="008872A9" w:rsidRPr="00B75B77" w:rsidRDefault="008872A9" w:rsidP="0009347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 w:val="18"/>
                <w:szCs w:val="18"/>
              </w:rPr>
            </w:pPr>
            <w:r w:rsidRPr="00B75B77">
              <w:rPr>
                <w:sz w:val="18"/>
                <w:szCs w:val="18"/>
              </w:rPr>
              <w:t>34,165</w:t>
            </w:r>
          </w:p>
        </w:tc>
        <w:tc>
          <w:tcPr>
            <w:cnfStyle w:val="000010000000" w:firstRow="0" w:lastRow="0" w:firstColumn="0" w:lastColumn="0" w:oddVBand="1" w:evenVBand="0" w:oddHBand="0" w:evenHBand="0" w:firstRowFirstColumn="0" w:firstRowLastColumn="0" w:lastRowFirstColumn="0" w:lastRowLastColumn="0"/>
            <w:tcW w:w="1350" w:type="dxa"/>
            <w:tcBorders>
              <w:top w:val="single" w:sz="4" w:space="0" w:color="448A99"/>
              <w:left w:val="single" w:sz="4" w:space="0" w:color="448A99"/>
              <w:bottom w:val="single" w:sz="4" w:space="0" w:color="448A99"/>
              <w:right w:val="single" w:sz="4" w:space="0" w:color="448A99"/>
            </w:tcBorders>
            <w:hideMark/>
          </w:tcPr>
          <w:p w:rsidR="008872A9" w:rsidRPr="00B75B77" w:rsidRDefault="008872A9" w:rsidP="00093474">
            <w:pPr>
              <w:jc w:val="right"/>
              <w:rPr>
                <w:rFonts w:ascii="Calibri" w:eastAsia="Times New Roman" w:hAnsi="Calibri"/>
                <w:b/>
                <w:bCs/>
                <w:color w:val="000000"/>
                <w:sz w:val="18"/>
                <w:szCs w:val="18"/>
              </w:rPr>
            </w:pPr>
            <w:r w:rsidRPr="00B75B77">
              <w:rPr>
                <w:sz w:val="18"/>
                <w:szCs w:val="18"/>
              </w:rPr>
              <w:t>71,881</w:t>
            </w:r>
          </w:p>
        </w:tc>
      </w:tr>
      <w:tr w:rsidR="008872A9" w:rsidRPr="00B75B77" w:rsidTr="005E445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448A99"/>
              <w:left w:val="single" w:sz="4" w:space="0" w:color="448A99"/>
              <w:bottom w:val="single" w:sz="4" w:space="0" w:color="448A99"/>
              <w:right w:val="single" w:sz="4" w:space="0" w:color="448A99"/>
            </w:tcBorders>
            <w:shd w:val="clear" w:color="auto" w:fill="auto"/>
            <w:vAlign w:val="center"/>
          </w:tcPr>
          <w:p w:rsidR="008872A9" w:rsidRPr="00B75B77" w:rsidRDefault="008872A9" w:rsidP="00707B64">
            <w:pPr>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13</w:t>
            </w:r>
          </w:p>
        </w:tc>
        <w:tc>
          <w:tcPr>
            <w:cnfStyle w:val="000010000000" w:firstRow="0" w:lastRow="0" w:firstColumn="0" w:lastColumn="0" w:oddVBand="1" w:evenVBand="0" w:oddHBand="0" w:evenHBand="0" w:firstRowFirstColumn="0" w:firstRowLastColumn="0" w:lastRowFirstColumn="0" w:lastRowLastColumn="0"/>
            <w:tcW w:w="6115" w:type="dxa"/>
            <w:tcBorders>
              <w:top w:val="single" w:sz="4" w:space="0" w:color="448A99"/>
              <w:left w:val="single" w:sz="4" w:space="0" w:color="448A99"/>
              <w:bottom w:val="single" w:sz="4" w:space="0" w:color="448A99"/>
              <w:right w:val="single" w:sz="4" w:space="0" w:color="448A99"/>
            </w:tcBorders>
            <w:shd w:val="clear" w:color="auto" w:fill="auto"/>
            <w:noWrap/>
            <w:vAlign w:val="center"/>
            <w:hideMark/>
          </w:tcPr>
          <w:p w:rsidR="008872A9" w:rsidRPr="00B75B77" w:rsidRDefault="008872A9" w:rsidP="00707B64">
            <w:pPr>
              <w:jc w:val="left"/>
              <w:rPr>
                <w:rFonts w:ascii="Calibri" w:eastAsia="Times New Roman" w:hAnsi="Calibri"/>
                <w:color w:val="000000"/>
                <w:sz w:val="18"/>
                <w:szCs w:val="18"/>
              </w:rPr>
            </w:pPr>
            <w:r w:rsidRPr="00B75B77">
              <w:rPr>
                <w:rFonts w:ascii="Calibri" w:eastAsia="Times New Roman" w:hAnsi="Calibri"/>
                <w:bCs/>
                <w:color w:val="000000"/>
                <w:sz w:val="18"/>
                <w:szCs w:val="18"/>
              </w:rPr>
              <w:t>Total NPV Lifetime Energy Benefits</w:t>
            </w:r>
          </w:p>
        </w:tc>
        <w:tc>
          <w:tcPr>
            <w:tcW w:w="1170" w:type="dxa"/>
            <w:tcBorders>
              <w:top w:val="single" w:sz="4" w:space="0" w:color="448A99"/>
              <w:left w:val="single" w:sz="4" w:space="0" w:color="448A99"/>
              <w:bottom w:val="single" w:sz="4" w:space="0" w:color="448A99"/>
              <w:right w:val="single" w:sz="4" w:space="0" w:color="448A99"/>
            </w:tcBorders>
            <w:shd w:val="clear" w:color="auto" w:fill="auto"/>
            <w:noWrap/>
            <w:hideMark/>
          </w:tcPr>
          <w:p w:rsidR="008872A9" w:rsidRPr="00B75B77" w:rsidRDefault="008872A9" w:rsidP="000934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18"/>
                <w:szCs w:val="18"/>
              </w:rPr>
            </w:pPr>
            <w:r w:rsidRPr="00B75B77">
              <w:rPr>
                <w:sz w:val="18"/>
                <w:szCs w:val="18"/>
              </w:rPr>
              <w:t>83,</w:t>
            </w:r>
            <w:r w:rsidR="00A377A2" w:rsidRPr="00B75B77">
              <w:rPr>
                <w:sz w:val="18"/>
                <w:szCs w:val="18"/>
              </w:rPr>
              <w:t>453</w:t>
            </w:r>
          </w:p>
        </w:tc>
        <w:tc>
          <w:tcPr>
            <w:cnfStyle w:val="000010000000" w:firstRow="0" w:lastRow="0" w:firstColumn="0" w:lastColumn="0" w:oddVBand="1" w:evenVBand="0" w:oddHBand="0" w:evenHBand="0" w:firstRowFirstColumn="0" w:firstRowLastColumn="0" w:lastRowFirstColumn="0" w:lastRowLastColumn="0"/>
            <w:tcW w:w="1350" w:type="dxa"/>
            <w:tcBorders>
              <w:top w:val="single" w:sz="4" w:space="0" w:color="448A99"/>
              <w:left w:val="single" w:sz="4" w:space="0" w:color="448A99"/>
              <w:bottom w:val="single" w:sz="4" w:space="0" w:color="448A99"/>
              <w:right w:val="single" w:sz="4" w:space="0" w:color="448A99"/>
            </w:tcBorders>
            <w:shd w:val="clear" w:color="auto" w:fill="auto"/>
            <w:hideMark/>
          </w:tcPr>
          <w:p w:rsidR="008872A9" w:rsidRPr="00B75B77" w:rsidRDefault="008872A9" w:rsidP="00093474">
            <w:pPr>
              <w:jc w:val="right"/>
              <w:rPr>
                <w:rFonts w:ascii="Calibri" w:eastAsia="Times New Roman" w:hAnsi="Calibri"/>
                <w:b/>
                <w:bCs/>
                <w:color w:val="000000"/>
                <w:sz w:val="18"/>
                <w:szCs w:val="18"/>
              </w:rPr>
            </w:pPr>
            <w:r w:rsidRPr="00B75B77">
              <w:rPr>
                <w:sz w:val="18"/>
                <w:szCs w:val="18"/>
              </w:rPr>
              <w:t>162,</w:t>
            </w:r>
            <w:r w:rsidR="00A377A2" w:rsidRPr="00B75B77">
              <w:rPr>
                <w:sz w:val="18"/>
                <w:szCs w:val="18"/>
              </w:rPr>
              <w:t>582</w:t>
            </w:r>
          </w:p>
        </w:tc>
      </w:tr>
      <w:tr w:rsidR="008872A9" w:rsidRPr="00B75B77" w:rsidTr="005E445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448A99"/>
              <w:left w:val="single" w:sz="4" w:space="0" w:color="448A99"/>
              <w:bottom w:val="single" w:sz="4" w:space="0" w:color="448A99"/>
              <w:right w:val="single" w:sz="4" w:space="0" w:color="448A99"/>
            </w:tcBorders>
            <w:shd w:val="clear" w:color="auto" w:fill="D2EAF1"/>
            <w:vAlign w:val="center"/>
          </w:tcPr>
          <w:p w:rsidR="008872A9" w:rsidRPr="00B75B77" w:rsidRDefault="008872A9" w:rsidP="00707B64">
            <w:pPr>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14</w:t>
            </w:r>
          </w:p>
        </w:tc>
        <w:tc>
          <w:tcPr>
            <w:cnfStyle w:val="000010000000" w:firstRow="0" w:lastRow="0" w:firstColumn="0" w:lastColumn="0" w:oddVBand="1" w:evenVBand="0" w:oddHBand="0" w:evenHBand="0" w:firstRowFirstColumn="0" w:firstRowLastColumn="0" w:lastRowFirstColumn="0" w:lastRowLastColumn="0"/>
            <w:tcW w:w="6115" w:type="dxa"/>
            <w:tcBorders>
              <w:top w:val="single" w:sz="4" w:space="0" w:color="448A99"/>
              <w:left w:val="single" w:sz="4" w:space="0" w:color="448A99"/>
              <w:bottom w:val="single" w:sz="4" w:space="0" w:color="448A99"/>
              <w:right w:val="single" w:sz="4" w:space="0" w:color="448A99"/>
            </w:tcBorders>
            <w:noWrap/>
            <w:vAlign w:val="center"/>
            <w:hideMark/>
          </w:tcPr>
          <w:p w:rsidR="008872A9" w:rsidRPr="00B75B77" w:rsidRDefault="008872A9" w:rsidP="00707B64">
            <w:pPr>
              <w:jc w:val="left"/>
              <w:rPr>
                <w:rFonts w:ascii="Calibri" w:eastAsia="Times New Roman" w:hAnsi="Calibri"/>
                <w:color w:val="000000"/>
                <w:sz w:val="18"/>
                <w:szCs w:val="18"/>
              </w:rPr>
            </w:pPr>
            <w:r w:rsidRPr="00B75B77">
              <w:rPr>
                <w:rFonts w:ascii="Calibri" w:eastAsia="Times New Roman" w:hAnsi="Calibri"/>
                <w:bCs/>
                <w:color w:val="000000"/>
                <w:sz w:val="18"/>
                <w:szCs w:val="18"/>
              </w:rPr>
              <w:t>Total NPV Lifetime Capacity Benefits</w:t>
            </w:r>
          </w:p>
        </w:tc>
        <w:tc>
          <w:tcPr>
            <w:tcW w:w="11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hideMark/>
          </w:tcPr>
          <w:p w:rsidR="008872A9" w:rsidRPr="00B75B77" w:rsidRDefault="008872A9" w:rsidP="0009347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 w:val="18"/>
                <w:szCs w:val="18"/>
              </w:rPr>
            </w:pPr>
            <w:r w:rsidRPr="00B75B77">
              <w:rPr>
                <w:sz w:val="18"/>
                <w:szCs w:val="18"/>
              </w:rPr>
              <w:t>10,</w:t>
            </w:r>
            <w:r w:rsidR="00A377A2" w:rsidRPr="00B75B77">
              <w:rPr>
                <w:sz w:val="18"/>
                <w:szCs w:val="18"/>
              </w:rPr>
              <w:t>867</w:t>
            </w:r>
          </w:p>
        </w:tc>
        <w:tc>
          <w:tcPr>
            <w:cnfStyle w:val="000010000000" w:firstRow="0" w:lastRow="0" w:firstColumn="0" w:lastColumn="0" w:oddVBand="1" w:evenVBand="0" w:oddHBand="0" w:evenHBand="0" w:firstRowFirstColumn="0" w:firstRowLastColumn="0" w:lastRowFirstColumn="0" w:lastRowLastColumn="0"/>
            <w:tcW w:w="1350" w:type="dxa"/>
            <w:tcBorders>
              <w:top w:val="single" w:sz="4" w:space="0" w:color="448A99"/>
              <w:left w:val="single" w:sz="4" w:space="0" w:color="448A99"/>
              <w:bottom w:val="single" w:sz="4" w:space="0" w:color="448A99"/>
              <w:right w:val="single" w:sz="4" w:space="0" w:color="448A99"/>
            </w:tcBorders>
            <w:hideMark/>
          </w:tcPr>
          <w:p w:rsidR="008872A9" w:rsidRPr="00B75B77" w:rsidRDefault="008872A9" w:rsidP="00093474">
            <w:pPr>
              <w:jc w:val="right"/>
              <w:rPr>
                <w:rFonts w:ascii="Calibri" w:eastAsia="Times New Roman" w:hAnsi="Calibri"/>
                <w:b/>
                <w:bCs/>
                <w:color w:val="000000"/>
                <w:sz w:val="18"/>
                <w:szCs w:val="18"/>
              </w:rPr>
            </w:pPr>
            <w:r w:rsidRPr="00B75B77">
              <w:rPr>
                <w:sz w:val="18"/>
                <w:szCs w:val="18"/>
              </w:rPr>
              <w:t>20,</w:t>
            </w:r>
            <w:r w:rsidR="00A377A2" w:rsidRPr="00B75B77">
              <w:rPr>
                <w:sz w:val="18"/>
                <w:szCs w:val="18"/>
              </w:rPr>
              <w:t>952</w:t>
            </w:r>
          </w:p>
        </w:tc>
      </w:tr>
      <w:tr w:rsidR="008872A9" w:rsidRPr="00B75B77" w:rsidTr="005E445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448A99"/>
              <w:left w:val="single" w:sz="4" w:space="0" w:color="448A99"/>
              <w:bottom w:val="single" w:sz="4" w:space="0" w:color="448A99"/>
              <w:right w:val="single" w:sz="4" w:space="0" w:color="448A99"/>
            </w:tcBorders>
            <w:shd w:val="clear" w:color="auto" w:fill="auto"/>
            <w:vAlign w:val="center"/>
          </w:tcPr>
          <w:p w:rsidR="008872A9" w:rsidRPr="00B75B77" w:rsidRDefault="008872A9" w:rsidP="00707B64">
            <w:pPr>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15</w:t>
            </w:r>
          </w:p>
        </w:tc>
        <w:tc>
          <w:tcPr>
            <w:cnfStyle w:val="000010000000" w:firstRow="0" w:lastRow="0" w:firstColumn="0" w:lastColumn="0" w:oddVBand="1" w:evenVBand="0" w:oddHBand="0" w:evenHBand="0" w:firstRowFirstColumn="0" w:firstRowLastColumn="0" w:lastRowFirstColumn="0" w:lastRowLastColumn="0"/>
            <w:tcW w:w="6115" w:type="dxa"/>
            <w:tcBorders>
              <w:top w:val="single" w:sz="4" w:space="0" w:color="448A99"/>
              <w:left w:val="single" w:sz="4" w:space="0" w:color="448A99"/>
              <w:bottom w:val="single" w:sz="4" w:space="0" w:color="448A99"/>
              <w:right w:val="single" w:sz="4" w:space="0" w:color="448A99"/>
            </w:tcBorders>
            <w:shd w:val="clear" w:color="auto" w:fill="auto"/>
            <w:noWrap/>
            <w:vAlign w:val="center"/>
            <w:hideMark/>
          </w:tcPr>
          <w:p w:rsidR="008872A9" w:rsidRPr="00B75B77" w:rsidRDefault="008872A9" w:rsidP="00707B64">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Total NPV TRC Benefits</w:t>
            </w:r>
            <w:r w:rsidRPr="00B75B77">
              <w:rPr>
                <w:rFonts w:ascii="Calibri" w:eastAsia="Times New Roman" w:hAnsi="Calibri"/>
                <w:bCs/>
                <w:color w:val="000000"/>
                <w:sz w:val="18"/>
                <w:szCs w:val="18"/>
                <w:vertAlign w:val="superscript"/>
              </w:rPr>
              <w:t>[4]</w:t>
            </w:r>
          </w:p>
        </w:tc>
        <w:tc>
          <w:tcPr>
            <w:tcW w:w="1170" w:type="dxa"/>
            <w:tcBorders>
              <w:top w:val="single" w:sz="4" w:space="0" w:color="448A99"/>
              <w:left w:val="single" w:sz="4" w:space="0" w:color="448A99"/>
              <w:bottom w:val="single" w:sz="4" w:space="0" w:color="448A99"/>
              <w:right w:val="single" w:sz="4" w:space="0" w:color="448A99"/>
            </w:tcBorders>
            <w:shd w:val="clear" w:color="auto" w:fill="auto"/>
            <w:noWrap/>
            <w:hideMark/>
          </w:tcPr>
          <w:p w:rsidR="008872A9" w:rsidRPr="00B75B77" w:rsidRDefault="008872A9" w:rsidP="000934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18"/>
                <w:szCs w:val="18"/>
              </w:rPr>
            </w:pPr>
            <w:r w:rsidRPr="00B75B77">
              <w:rPr>
                <w:sz w:val="18"/>
                <w:szCs w:val="18"/>
              </w:rPr>
              <w:t>94,</w:t>
            </w:r>
            <w:r w:rsidR="00A377A2" w:rsidRPr="00B75B77">
              <w:rPr>
                <w:sz w:val="18"/>
                <w:szCs w:val="18"/>
              </w:rPr>
              <w:t>325</w:t>
            </w:r>
          </w:p>
        </w:tc>
        <w:tc>
          <w:tcPr>
            <w:cnfStyle w:val="000010000000" w:firstRow="0" w:lastRow="0" w:firstColumn="0" w:lastColumn="0" w:oddVBand="1" w:evenVBand="0" w:oddHBand="0" w:evenHBand="0" w:firstRowFirstColumn="0" w:firstRowLastColumn="0" w:lastRowFirstColumn="0" w:lastRowLastColumn="0"/>
            <w:tcW w:w="1350" w:type="dxa"/>
            <w:tcBorders>
              <w:top w:val="single" w:sz="4" w:space="0" w:color="448A99"/>
              <w:left w:val="single" w:sz="4" w:space="0" w:color="448A99"/>
              <w:bottom w:val="single" w:sz="4" w:space="0" w:color="448A99"/>
              <w:right w:val="single" w:sz="4" w:space="0" w:color="448A99"/>
            </w:tcBorders>
            <w:shd w:val="clear" w:color="auto" w:fill="auto"/>
            <w:hideMark/>
          </w:tcPr>
          <w:p w:rsidR="008872A9" w:rsidRPr="00B75B77" w:rsidRDefault="008872A9" w:rsidP="00093474">
            <w:pPr>
              <w:jc w:val="right"/>
              <w:rPr>
                <w:rFonts w:ascii="Calibri" w:eastAsia="Times New Roman" w:hAnsi="Calibri"/>
                <w:b/>
                <w:bCs/>
                <w:color w:val="000000"/>
                <w:sz w:val="18"/>
                <w:szCs w:val="18"/>
              </w:rPr>
            </w:pPr>
            <w:r w:rsidRPr="00B75B77">
              <w:rPr>
                <w:sz w:val="18"/>
                <w:szCs w:val="18"/>
              </w:rPr>
              <w:t>183,</w:t>
            </w:r>
            <w:r w:rsidR="00A377A2" w:rsidRPr="00B75B77">
              <w:rPr>
                <w:sz w:val="18"/>
                <w:szCs w:val="18"/>
              </w:rPr>
              <w:t>550</w:t>
            </w:r>
          </w:p>
        </w:tc>
      </w:tr>
      <w:tr w:rsidR="008872A9" w:rsidRPr="00B75B77" w:rsidTr="005E4455">
        <w:trPr>
          <w:cnfStyle w:val="000000010000" w:firstRow="0" w:lastRow="0" w:firstColumn="0" w:lastColumn="0" w:oddVBand="0" w:evenVBand="0" w:oddHBand="0" w:evenHBand="1"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9697" w:type="dxa"/>
            <w:gridSpan w:val="4"/>
            <w:tcBorders>
              <w:top w:val="single" w:sz="4" w:space="0" w:color="448A99"/>
              <w:left w:val="single" w:sz="4" w:space="0" w:color="448A99"/>
              <w:bottom w:val="single" w:sz="4" w:space="0" w:color="448A99"/>
              <w:right w:val="single" w:sz="4" w:space="0" w:color="448A99"/>
            </w:tcBorders>
            <w:shd w:val="clear" w:color="auto" w:fill="AEAAAA"/>
            <w:vAlign w:val="center"/>
          </w:tcPr>
          <w:p w:rsidR="008872A9" w:rsidRPr="00B75B77" w:rsidRDefault="008872A9" w:rsidP="00093474">
            <w:pPr>
              <w:jc w:val="right"/>
              <w:rPr>
                <w:rFonts w:ascii="Calibri" w:eastAsia="Times New Roman" w:hAnsi="Calibri"/>
                <w:b w:val="0"/>
                <w:bCs w:val="0"/>
                <w:color w:val="000000"/>
                <w:sz w:val="18"/>
                <w:szCs w:val="18"/>
              </w:rPr>
            </w:pPr>
          </w:p>
        </w:tc>
      </w:tr>
      <w:tr w:rsidR="008872A9" w:rsidRPr="00B75B77" w:rsidTr="005E445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448A99"/>
              <w:left w:val="single" w:sz="4" w:space="0" w:color="448A99"/>
              <w:bottom w:val="single" w:sz="4" w:space="0" w:color="448A99"/>
              <w:right w:val="single" w:sz="4" w:space="0" w:color="448A99"/>
            </w:tcBorders>
            <w:shd w:val="clear" w:color="auto" w:fill="D2EAF1"/>
            <w:vAlign w:val="center"/>
          </w:tcPr>
          <w:p w:rsidR="008872A9" w:rsidRPr="00B75B77" w:rsidRDefault="008872A9" w:rsidP="00707B64">
            <w:pPr>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16</w:t>
            </w:r>
          </w:p>
        </w:tc>
        <w:tc>
          <w:tcPr>
            <w:cnfStyle w:val="000010000000" w:firstRow="0" w:lastRow="0" w:firstColumn="0" w:lastColumn="0" w:oddVBand="1" w:evenVBand="0" w:oddHBand="0" w:evenHBand="0" w:firstRowFirstColumn="0" w:firstRowLastColumn="0" w:lastRowFirstColumn="0" w:lastRowLastColumn="0"/>
            <w:tcW w:w="6115" w:type="dxa"/>
            <w:tcBorders>
              <w:top w:val="single" w:sz="4" w:space="0" w:color="448A99"/>
              <w:left w:val="single" w:sz="4" w:space="0" w:color="448A99"/>
              <w:bottom w:val="single" w:sz="4" w:space="0" w:color="448A99"/>
              <w:right w:val="single" w:sz="4" w:space="0" w:color="448A99"/>
            </w:tcBorders>
            <w:shd w:val="clear" w:color="auto" w:fill="D2EAF1"/>
            <w:noWrap/>
            <w:vAlign w:val="center"/>
            <w:hideMark/>
          </w:tcPr>
          <w:p w:rsidR="008872A9" w:rsidRPr="00B75B77" w:rsidRDefault="008872A9" w:rsidP="00707B64">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TRC Benefit-Cost Ratio</w:t>
            </w:r>
            <w:r w:rsidRPr="00B75B77">
              <w:rPr>
                <w:rFonts w:ascii="Calibri" w:eastAsia="Times New Roman" w:hAnsi="Calibri"/>
                <w:bCs/>
                <w:color w:val="000000"/>
                <w:sz w:val="18"/>
                <w:szCs w:val="18"/>
                <w:vertAlign w:val="superscript"/>
              </w:rPr>
              <w:t>[5]</w:t>
            </w:r>
          </w:p>
        </w:tc>
        <w:tc>
          <w:tcPr>
            <w:tcW w:w="1170" w:type="dxa"/>
            <w:tcBorders>
              <w:top w:val="single" w:sz="4" w:space="0" w:color="448A99"/>
              <w:left w:val="single" w:sz="4" w:space="0" w:color="448A99"/>
              <w:bottom w:val="single" w:sz="4" w:space="0" w:color="448A99"/>
              <w:right w:val="single" w:sz="4" w:space="0" w:color="448A99"/>
            </w:tcBorders>
            <w:shd w:val="clear" w:color="auto" w:fill="D2EAF1"/>
            <w:noWrap/>
            <w:hideMark/>
          </w:tcPr>
          <w:p w:rsidR="008872A9" w:rsidRPr="00B75B77" w:rsidRDefault="008872A9" w:rsidP="000934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18"/>
                <w:szCs w:val="18"/>
              </w:rPr>
            </w:pPr>
            <w:r w:rsidRPr="00B75B77">
              <w:rPr>
                <w:sz w:val="18"/>
                <w:szCs w:val="18"/>
              </w:rPr>
              <w:t>2.</w:t>
            </w:r>
            <w:r w:rsidR="00A377A2" w:rsidRPr="00B75B77">
              <w:rPr>
                <w:sz w:val="18"/>
                <w:szCs w:val="18"/>
              </w:rPr>
              <w:t>76</w:t>
            </w:r>
          </w:p>
        </w:tc>
        <w:tc>
          <w:tcPr>
            <w:cnfStyle w:val="000010000000" w:firstRow="0" w:lastRow="0" w:firstColumn="0" w:lastColumn="0" w:oddVBand="1" w:evenVBand="0" w:oddHBand="0" w:evenHBand="0" w:firstRowFirstColumn="0" w:firstRowLastColumn="0" w:lastRowFirstColumn="0" w:lastRowLastColumn="0"/>
            <w:tcW w:w="1350" w:type="dxa"/>
            <w:tcBorders>
              <w:top w:val="single" w:sz="4" w:space="0" w:color="448A99"/>
              <w:left w:val="single" w:sz="4" w:space="0" w:color="448A99"/>
              <w:bottom w:val="single" w:sz="4" w:space="0" w:color="448A99"/>
              <w:right w:val="single" w:sz="4" w:space="0" w:color="448A99"/>
            </w:tcBorders>
            <w:shd w:val="clear" w:color="auto" w:fill="D2EAF1"/>
            <w:hideMark/>
          </w:tcPr>
          <w:p w:rsidR="008872A9" w:rsidRPr="00B75B77" w:rsidRDefault="008872A9" w:rsidP="00093474">
            <w:pPr>
              <w:jc w:val="right"/>
              <w:rPr>
                <w:rFonts w:ascii="Calibri" w:eastAsia="Times New Roman" w:hAnsi="Calibri"/>
                <w:b/>
                <w:bCs/>
                <w:color w:val="000000"/>
                <w:sz w:val="18"/>
                <w:szCs w:val="18"/>
              </w:rPr>
            </w:pPr>
            <w:r w:rsidRPr="00B75B77">
              <w:rPr>
                <w:sz w:val="18"/>
                <w:szCs w:val="18"/>
              </w:rPr>
              <w:t>2.55</w:t>
            </w:r>
          </w:p>
        </w:tc>
      </w:tr>
      <w:tr w:rsidR="008872A9" w:rsidRPr="00B75B77" w:rsidTr="005E445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97" w:type="dxa"/>
            <w:gridSpan w:val="4"/>
            <w:tcBorders>
              <w:top w:val="single" w:sz="4" w:space="0" w:color="448A99"/>
              <w:left w:val="single" w:sz="4" w:space="0" w:color="448A99"/>
              <w:bottom w:val="single" w:sz="4" w:space="0" w:color="448A99"/>
              <w:right w:val="single" w:sz="4" w:space="0" w:color="448A99"/>
            </w:tcBorders>
            <w:shd w:val="clear" w:color="auto" w:fill="auto"/>
          </w:tcPr>
          <w:p w:rsidR="008872A9" w:rsidRPr="00B75B77" w:rsidRDefault="008872A9" w:rsidP="00D02256">
            <w:pPr>
              <w:jc w:val="left"/>
              <w:rPr>
                <w:rFonts w:ascii="Calibri" w:eastAsia="Times New Roman" w:hAnsi="Calibri"/>
                <w:b w:val="0"/>
                <w:iCs/>
                <w:color w:val="000000"/>
                <w:sz w:val="18"/>
                <w:szCs w:val="18"/>
              </w:rPr>
            </w:pPr>
            <w:r w:rsidRPr="00B75B77">
              <w:rPr>
                <w:rFonts w:ascii="Calibri" w:eastAsia="Times New Roman" w:hAnsi="Calibri"/>
                <w:b w:val="0"/>
                <w:iCs/>
                <w:color w:val="000000"/>
                <w:sz w:val="18"/>
                <w:szCs w:val="18"/>
              </w:rPr>
              <w:t>Per PUC direction, TRC inputs and calculations are required in the Annual Report only and should comply with the 2013 Total Resource Cost Test Order. Please see the “Report Definitions” section of this report for more details.</w:t>
            </w:r>
          </w:p>
          <w:p w:rsidR="008872A9" w:rsidRPr="00B75B77" w:rsidRDefault="008872A9" w:rsidP="00D02256">
            <w:pPr>
              <w:jc w:val="left"/>
              <w:rPr>
                <w:rFonts w:ascii="Calibri" w:eastAsia="Times New Roman" w:hAnsi="Calibri"/>
                <w:b w:val="0"/>
                <w:i/>
                <w:iCs/>
                <w:color w:val="000000"/>
                <w:sz w:val="18"/>
                <w:szCs w:val="18"/>
              </w:rPr>
            </w:pPr>
          </w:p>
          <w:p w:rsidR="008872A9" w:rsidRPr="00B75B77" w:rsidRDefault="008872A9" w:rsidP="00D02256">
            <w:pPr>
              <w:jc w:val="left"/>
              <w:rPr>
                <w:rFonts w:ascii="Calibri" w:eastAsia="Times New Roman" w:hAnsi="Calibri"/>
                <w:b w:val="0"/>
                <w:color w:val="000000"/>
                <w:sz w:val="18"/>
                <w:szCs w:val="18"/>
              </w:rPr>
            </w:pPr>
            <w:r w:rsidRPr="00B75B77">
              <w:rPr>
                <w:rFonts w:ascii="Calibri" w:eastAsia="Times New Roman" w:hAnsi="Calibri"/>
                <w:b w:val="0"/>
                <w:color w:val="000000"/>
                <w:sz w:val="18"/>
                <w:szCs w:val="18"/>
                <w:vertAlign w:val="superscript"/>
              </w:rPr>
              <w:t>[1]</w:t>
            </w:r>
            <w:r w:rsidRPr="00B75B77">
              <w:rPr>
                <w:rFonts w:ascii="Calibri" w:eastAsia="Times New Roman" w:hAnsi="Calibri"/>
                <w:b w:val="0"/>
                <w:color w:val="000000"/>
                <w:sz w:val="18"/>
                <w:szCs w:val="18"/>
              </w:rPr>
              <w:t xml:space="preserve"> Includes rebate processing, tracking system, general administration, EDC and CSP program management, general management</w:t>
            </w:r>
            <w:r w:rsidR="00D56E1C" w:rsidRPr="00B75B77">
              <w:rPr>
                <w:rFonts w:ascii="Calibri" w:eastAsia="Times New Roman" w:hAnsi="Calibri"/>
                <w:b w:val="0"/>
                <w:color w:val="000000"/>
                <w:sz w:val="18"/>
                <w:szCs w:val="18"/>
              </w:rPr>
              <w:t>,</w:t>
            </w:r>
            <w:r w:rsidRPr="00B75B77">
              <w:rPr>
                <w:rFonts w:ascii="Calibri" w:eastAsia="Times New Roman" w:hAnsi="Calibri"/>
                <w:b w:val="0"/>
                <w:color w:val="000000"/>
                <w:sz w:val="18"/>
                <w:szCs w:val="18"/>
              </w:rPr>
              <w:t xml:space="preserve"> and legal and technical assistance. </w:t>
            </w:r>
            <w:r w:rsidRPr="00B75B77">
              <w:rPr>
                <w:rFonts w:ascii="Calibri" w:eastAsia="Times New Roman" w:hAnsi="Calibri"/>
                <w:b w:val="0"/>
                <w:color w:val="000000"/>
                <w:sz w:val="18"/>
                <w:szCs w:val="18"/>
              </w:rPr>
              <w:br/>
            </w:r>
            <w:r w:rsidRPr="00B75B77">
              <w:rPr>
                <w:rFonts w:ascii="Calibri" w:eastAsia="Times New Roman" w:hAnsi="Calibri"/>
                <w:b w:val="0"/>
                <w:color w:val="000000"/>
                <w:sz w:val="18"/>
                <w:szCs w:val="18"/>
                <w:vertAlign w:val="superscript"/>
              </w:rPr>
              <w:t>[2]</w:t>
            </w:r>
            <w:r w:rsidRPr="00B75B77">
              <w:rPr>
                <w:rFonts w:ascii="Calibri" w:eastAsia="Times New Roman" w:hAnsi="Calibri"/>
                <w:b w:val="0"/>
                <w:color w:val="000000"/>
                <w:sz w:val="18"/>
                <w:szCs w:val="18"/>
              </w:rPr>
              <w:t xml:space="preserve"> Includes the marketing CSP and marketing costs by program CSPs. </w:t>
            </w:r>
            <w:r w:rsidRPr="00B75B77">
              <w:rPr>
                <w:rFonts w:ascii="Calibri" w:eastAsia="Times New Roman" w:hAnsi="Calibri"/>
                <w:b w:val="0"/>
                <w:color w:val="000000"/>
                <w:sz w:val="18"/>
                <w:szCs w:val="18"/>
              </w:rPr>
              <w:br/>
            </w:r>
            <w:r w:rsidRPr="00B75B77">
              <w:rPr>
                <w:rFonts w:ascii="Calibri" w:eastAsia="Times New Roman" w:hAnsi="Calibri"/>
                <w:b w:val="0"/>
                <w:color w:val="000000"/>
                <w:sz w:val="18"/>
                <w:szCs w:val="18"/>
                <w:vertAlign w:val="superscript"/>
              </w:rPr>
              <w:t>[3]</w:t>
            </w:r>
            <w:r w:rsidRPr="00B75B77">
              <w:rPr>
                <w:rFonts w:ascii="Calibri" w:eastAsia="Times New Roman" w:hAnsi="Calibri"/>
                <w:b w:val="0"/>
                <w:color w:val="000000"/>
                <w:sz w:val="18"/>
                <w:szCs w:val="18"/>
              </w:rPr>
              <w:t xml:space="preserve"> Total TRC Costs includes Total EDC Costs and Participant Costs.</w:t>
            </w:r>
            <w:r w:rsidRPr="00B75B77">
              <w:rPr>
                <w:rFonts w:ascii="Calibri" w:eastAsia="Times New Roman" w:hAnsi="Calibri"/>
                <w:b w:val="0"/>
                <w:color w:val="000000"/>
                <w:sz w:val="18"/>
                <w:szCs w:val="18"/>
              </w:rPr>
              <w:br/>
            </w:r>
            <w:r w:rsidRPr="00B75B77">
              <w:rPr>
                <w:rFonts w:ascii="Calibri" w:eastAsia="Times New Roman" w:hAnsi="Calibri"/>
                <w:b w:val="0"/>
                <w:color w:val="000000"/>
                <w:sz w:val="18"/>
                <w:szCs w:val="18"/>
                <w:vertAlign w:val="superscript"/>
              </w:rPr>
              <w:t>[4]</w:t>
            </w:r>
            <w:r w:rsidRPr="00B75B77">
              <w:rPr>
                <w:rFonts w:ascii="Calibri" w:eastAsia="Times New Roman" w:hAnsi="Calibri"/>
                <w:b w:val="0"/>
                <w:color w:val="000000"/>
                <w:sz w:val="18"/>
                <w:szCs w:val="18"/>
              </w:rPr>
              <w:t xml:space="preserve"> Total TRC Benefits equals the sum of Total Lifetime Energy Benefits and Total Lifetime Capacity Benefits</w:t>
            </w:r>
            <w:r w:rsidR="00D56E1C" w:rsidRPr="00B75B77">
              <w:rPr>
                <w:rFonts w:ascii="Calibri" w:eastAsia="Times New Roman" w:hAnsi="Calibri"/>
                <w:b w:val="0"/>
                <w:color w:val="000000"/>
                <w:sz w:val="18"/>
                <w:szCs w:val="18"/>
              </w:rPr>
              <w:t xml:space="preserve"> b</w:t>
            </w:r>
            <w:r w:rsidRPr="00B75B77">
              <w:rPr>
                <w:rFonts w:ascii="Calibri" w:eastAsia="Times New Roman" w:hAnsi="Calibri"/>
                <w:b w:val="0"/>
                <w:color w:val="000000"/>
                <w:sz w:val="18"/>
                <w:szCs w:val="18"/>
              </w:rPr>
              <w:t>ased upon verified gross kWh and kW savings. Benefits include avoided supply costs, including the reduction in costs of electric energy, generation, transmission, and distribution capacity, and natural gas valued at marginal cost for periods when there is a load reduction. NOTE: Savings carried over from Phase I are not to be included as a part of Total TRC Benefits for Phase II.</w:t>
            </w:r>
            <w:r w:rsidRPr="00B75B77">
              <w:rPr>
                <w:rFonts w:ascii="Calibri" w:eastAsia="Times New Roman" w:hAnsi="Calibri"/>
                <w:b w:val="0"/>
                <w:color w:val="000000"/>
                <w:sz w:val="18"/>
                <w:szCs w:val="18"/>
              </w:rPr>
              <w:br/>
            </w:r>
            <w:r w:rsidRPr="00B75B77">
              <w:rPr>
                <w:rFonts w:ascii="Calibri" w:eastAsia="Times New Roman" w:hAnsi="Calibri"/>
                <w:b w:val="0"/>
                <w:color w:val="000000"/>
                <w:sz w:val="18"/>
                <w:szCs w:val="18"/>
                <w:vertAlign w:val="superscript"/>
              </w:rPr>
              <w:t>[5]</w:t>
            </w:r>
            <w:r w:rsidRPr="00B75B77">
              <w:rPr>
                <w:rFonts w:ascii="Calibri" w:eastAsia="Times New Roman" w:hAnsi="Calibri"/>
                <w:b w:val="0"/>
                <w:color w:val="000000"/>
                <w:sz w:val="18"/>
                <w:szCs w:val="18"/>
              </w:rPr>
              <w:t xml:space="preserve"> TRC Ratio equals Total NPV TRC Benefits divided by Total NPV TRC Costs.</w:t>
            </w:r>
          </w:p>
          <w:p w:rsidR="008872A9" w:rsidRPr="00B75B77" w:rsidRDefault="008872A9" w:rsidP="00D02256">
            <w:pPr>
              <w:jc w:val="left"/>
              <w:rPr>
                <w:rFonts w:ascii="Calibri" w:eastAsia="Times New Roman" w:hAnsi="Calibri"/>
                <w:b w:val="0"/>
                <w:color w:val="000000"/>
                <w:sz w:val="14"/>
                <w:szCs w:val="14"/>
              </w:rPr>
            </w:pPr>
          </w:p>
          <w:p w:rsidR="008872A9" w:rsidRPr="00B75B77" w:rsidRDefault="008872A9" w:rsidP="00D02256">
            <w:pPr>
              <w:jc w:val="left"/>
              <w:rPr>
                <w:rFonts w:ascii="Calibri" w:eastAsia="Times New Roman" w:hAnsi="Calibri"/>
                <w:b w:val="0"/>
                <w:bCs w:val="0"/>
                <w:color w:val="000000"/>
                <w:sz w:val="20"/>
                <w:szCs w:val="20"/>
              </w:rPr>
            </w:pPr>
            <w:r w:rsidRPr="00B75B77">
              <w:rPr>
                <w:rFonts w:ascii="Calibri" w:hAnsi="Calibri"/>
                <w:b w:val="0"/>
                <w:color w:val="000000"/>
                <w:sz w:val="18"/>
                <w:szCs w:val="18"/>
              </w:rPr>
              <w:t xml:space="preserve">Values in tables may not reconcile exactly </w:t>
            </w:r>
            <w:r w:rsidR="00493C06" w:rsidRPr="00B75B77">
              <w:rPr>
                <w:rFonts w:ascii="Calibri" w:hAnsi="Calibri"/>
                <w:b w:val="0"/>
                <w:color w:val="000000"/>
                <w:sz w:val="18"/>
                <w:szCs w:val="18"/>
              </w:rPr>
              <w:t>with the sum of</w:t>
            </w:r>
            <w:r w:rsidRPr="00B75B77">
              <w:rPr>
                <w:rFonts w:ascii="Calibri" w:hAnsi="Calibri"/>
                <w:b w:val="0"/>
                <w:color w:val="000000"/>
                <w:sz w:val="18"/>
                <w:szCs w:val="18"/>
              </w:rPr>
              <w:t xml:space="preserve"> more detailed level results or previously reported results due to rounding.</w:t>
            </w:r>
          </w:p>
        </w:tc>
      </w:tr>
    </w:tbl>
    <w:p w:rsidR="008872A9" w:rsidRPr="00B75B77" w:rsidRDefault="008872A9" w:rsidP="00093474">
      <w:pPr>
        <w:pStyle w:val="Source"/>
        <w:keepNext/>
        <w:spacing w:after="120"/>
        <w:ind w:left="273" w:hanging="86"/>
      </w:pPr>
      <w:r w:rsidRPr="00B75B77">
        <w:t>Source: Navigant analysis</w:t>
      </w:r>
    </w:p>
    <w:p w:rsidR="008872A9" w:rsidRPr="00B75B77" w:rsidRDefault="008872A9">
      <w:pPr>
        <w:jc w:val="left"/>
      </w:pPr>
    </w:p>
    <w:p w:rsidR="008872A9" w:rsidRPr="00B75B77" w:rsidRDefault="008872A9">
      <w:pPr>
        <w:jc w:val="left"/>
      </w:pPr>
    </w:p>
    <w:p w:rsidR="00936753" w:rsidRPr="00B75B77" w:rsidRDefault="00936753">
      <w:pPr>
        <w:jc w:val="left"/>
        <w:sectPr w:rsidR="00936753" w:rsidRPr="00B75B77" w:rsidSect="00B5438D">
          <w:pgSz w:w="12240" w:h="15840" w:code="1"/>
          <w:pgMar w:top="1170" w:right="1440" w:bottom="1260" w:left="1440" w:header="576" w:footer="475" w:gutter="0"/>
          <w:cols w:space="720"/>
          <w:docGrid w:linePitch="360"/>
        </w:sectPr>
      </w:pPr>
    </w:p>
    <w:p w:rsidR="000E1EED" w:rsidRPr="00B75B77" w:rsidRDefault="000E1EED" w:rsidP="00D12857">
      <w:pPr>
        <w:pStyle w:val="Heading1"/>
      </w:pPr>
      <w:bookmarkStart w:id="755" w:name="_Toc466413409"/>
      <w:r w:rsidRPr="00B75B77">
        <w:lastRenderedPageBreak/>
        <w:t>Smart Equipment Incentives</w:t>
      </w:r>
      <w:r w:rsidR="002540CA" w:rsidRPr="00B75B77">
        <w:t>:</w:t>
      </w:r>
      <w:r w:rsidRPr="00B75B77">
        <w:t xml:space="preserve"> </w:t>
      </w:r>
      <w:r w:rsidR="00B470B5" w:rsidRPr="00B75B77">
        <w:t>GNI</w:t>
      </w:r>
      <w:bookmarkEnd w:id="755"/>
    </w:p>
    <w:p w:rsidR="000E1EED" w:rsidRPr="00B75B77" w:rsidRDefault="000E1EED" w:rsidP="00707B64">
      <w:pPr>
        <w:jc w:val="left"/>
      </w:pPr>
      <w:r w:rsidRPr="00B75B77">
        <w:t xml:space="preserve">PECO launched the Smart Equipment Incentives (SEI) program in Phase I and has continued the program into Phase II. The program offers incentives for projects with prescriptive measures (e.g., lighting and </w:t>
      </w:r>
      <w:r w:rsidR="00FA45FF" w:rsidRPr="00B75B77">
        <w:t>VFDs</w:t>
      </w:r>
      <w:r w:rsidRPr="00B75B77">
        <w:t xml:space="preserve">) and custom projects. A main goal of the SEI program in Phase II is to encourage the installation of efficient non-lighting equipment. </w:t>
      </w:r>
    </w:p>
    <w:p w:rsidR="000E1EED" w:rsidRPr="00B75B77" w:rsidRDefault="000E1EED" w:rsidP="00707B64">
      <w:pPr>
        <w:jc w:val="left"/>
      </w:pPr>
    </w:p>
    <w:p w:rsidR="000E1EED" w:rsidRPr="00B75B77" w:rsidRDefault="000E1EED" w:rsidP="00707B64">
      <w:pPr>
        <w:jc w:val="left"/>
      </w:pPr>
      <w:r w:rsidRPr="00B75B77">
        <w:t xml:space="preserve">PECO filed the SEI program with the Pennsylvania PUC as two programs targeting different nonresidential customer segments: C&amp;I and GNI. The SEI C&amp;I program targets the </w:t>
      </w:r>
      <w:r w:rsidR="00B470B5" w:rsidRPr="00B75B77">
        <w:t>C&amp;I</w:t>
      </w:r>
      <w:r w:rsidRPr="00B75B77">
        <w:t xml:space="preserve"> segment, while the SEI GNI program targets the </w:t>
      </w:r>
      <w:r w:rsidR="00B470B5" w:rsidRPr="00B75B77">
        <w:t>GNI</w:t>
      </w:r>
      <w:r w:rsidRPr="00B75B77">
        <w:t xml:space="preserve"> segment. This section focuses on the SEI GNI program.</w:t>
      </w:r>
    </w:p>
    <w:p w:rsidR="000E1EED" w:rsidRPr="00B75B77" w:rsidRDefault="000E1EED" w:rsidP="00707B64">
      <w:pPr>
        <w:jc w:val="left"/>
      </w:pPr>
    </w:p>
    <w:p w:rsidR="00B470B5" w:rsidRPr="00B75B77" w:rsidRDefault="00B470B5" w:rsidP="00B470B5">
      <w:r w:rsidRPr="00B75B77">
        <w:rPr>
          <w:szCs w:val="20"/>
        </w:rPr>
        <w:t xml:space="preserve">PECO hired a </w:t>
      </w:r>
      <w:r w:rsidRPr="00B75B77">
        <w:t>CSP, DNV GL,</w:t>
      </w:r>
      <w:r w:rsidRPr="00B75B77">
        <w:rPr>
          <w:szCs w:val="20"/>
        </w:rPr>
        <w:t xml:space="preserve"> to implement and market the program throughout the PECO service territory. DNV GL was responsible for </w:t>
      </w:r>
      <w:r w:rsidRPr="00B75B77">
        <w:t>employing the customer service staff to market and assist with program participation while developing and maintaining trade allies. DNV GL is also responsible for program marketing, contractor invoicing, rebate processing, reviews of ex ante savings, and provision of biweekly program participation data that feeds into PECO’s SIDS database.</w:t>
      </w:r>
    </w:p>
    <w:p w:rsidR="000E1EED" w:rsidRPr="00B75B77" w:rsidRDefault="000E1EED" w:rsidP="00B470B5"/>
    <w:p w:rsidR="00B470B5" w:rsidRPr="00B75B77" w:rsidRDefault="000E1EED" w:rsidP="00707B64">
      <w:pPr>
        <w:jc w:val="left"/>
      </w:pPr>
      <w:r w:rsidRPr="00B75B77">
        <w:t xml:space="preserve">PECO’s </w:t>
      </w:r>
      <w:r w:rsidR="00B470B5" w:rsidRPr="00B75B77">
        <w:t>GNI</w:t>
      </w:r>
      <w:r w:rsidRPr="00B75B77">
        <w:t xml:space="preserve"> customers that own or rent their space are eligible for the program. Participating customers first identify energy efficiency projects at their facility including deemed, partially</w:t>
      </w:r>
      <w:r w:rsidR="00B470B5" w:rsidRPr="00B75B77">
        <w:t xml:space="preserve"> </w:t>
      </w:r>
      <w:r w:rsidRPr="00B75B77">
        <w:t>deemed, or custom measures. Next</w:t>
      </w:r>
      <w:r w:rsidR="00B470B5" w:rsidRPr="00B75B77">
        <w:t>,</w:t>
      </w:r>
      <w:r w:rsidRPr="00B75B77">
        <w:t xml:space="preserve"> the customer must submit a pre-application to DNV GL before completing the project. Once approved, the project is implemented by </w:t>
      </w:r>
      <w:r w:rsidR="00C8082F" w:rsidRPr="00B75B77">
        <w:t>the customer’s selected</w:t>
      </w:r>
      <w:r w:rsidRPr="00B75B77">
        <w:t xml:space="preserve"> contractor, and either the customer or the contractor submits the rebate paperwork to DNV GL. DNV GL completed 469 GNI retrofit projects in PY7. </w:t>
      </w:r>
      <w:r w:rsidR="00B470B5" w:rsidRPr="00B75B77">
        <w:t>Notably, 44%</w:t>
      </w:r>
      <w:r w:rsidRPr="00B75B77">
        <w:t xml:space="preserve"> of total SEI GNI PY7 energy savings came from lighting measures, including lighting controls.</w:t>
      </w:r>
    </w:p>
    <w:p w:rsidR="000E1EED" w:rsidRPr="00B75B77" w:rsidRDefault="000E1EED" w:rsidP="00707B64">
      <w:pPr>
        <w:jc w:val="left"/>
        <w:rPr>
          <w:color w:val="FF0000"/>
        </w:rPr>
      </w:pPr>
    </w:p>
    <w:p w:rsidR="000E1EED" w:rsidRPr="00B75B77" w:rsidRDefault="000E1EED" w:rsidP="003E6A9B">
      <w:pPr>
        <w:pStyle w:val="Heading2"/>
      </w:pPr>
      <w:bookmarkStart w:id="756" w:name="_Toc466413410"/>
      <w:r w:rsidRPr="00B75B77">
        <w:t>Program Updates</w:t>
      </w:r>
      <w:bookmarkEnd w:id="756"/>
    </w:p>
    <w:p w:rsidR="000E1EED" w:rsidRPr="00B75B77" w:rsidRDefault="000E1EED" w:rsidP="00707B64">
      <w:pPr>
        <w:jc w:val="left"/>
      </w:pPr>
      <w:r w:rsidRPr="00B75B77">
        <w:t>The SEI program launched a new trade ally program in PY6 that financially rewards trade allies for achieving energy savings targets. Trade allies can become silver</w:t>
      </w:r>
      <w:r w:rsidR="00B470B5" w:rsidRPr="00B75B77">
        <w:t>-</w:t>
      </w:r>
      <w:r w:rsidRPr="00B75B77">
        <w:t>, gold</w:t>
      </w:r>
      <w:r w:rsidR="00B470B5" w:rsidRPr="00B75B77">
        <w:t>-</w:t>
      </w:r>
      <w:r w:rsidRPr="00B75B77">
        <w:t>, or platinum</w:t>
      </w:r>
      <w:r w:rsidR="00B470B5" w:rsidRPr="00B75B77">
        <w:t>-</w:t>
      </w:r>
      <w:r w:rsidRPr="00B75B77">
        <w:t>level trade allies, depending upon the number and size of projects they bring into the SEI program. Trade allies receive recognition at quarterly events and financial compensation for achieving each level. This program became more robust and popular in PY7. The SEI CSP implemented a “limited time offer” in which participants were eligible for additional incentive money if they completed the project before January 31, 2016. Communication between PECO and the CSP was also more consistent and transparent in PY7 compared to past program years.</w:t>
      </w:r>
      <w:r w:rsidR="00025EF3" w:rsidRPr="00B75B77">
        <w:t xml:space="preserve"> PECO also used their account managers in a more strategic role than previous years as advocates for the program with their large account customers. </w:t>
      </w:r>
      <w:r w:rsidRPr="00B75B77">
        <w:t xml:space="preserve"> </w:t>
      </w:r>
    </w:p>
    <w:p w:rsidR="000E1EED" w:rsidRPr="00B75B77" w:rsidRDefault="000E1EED" w:rsidP="00286B52"/>
    <w:p w:rsidR="000E1EED" w:rsidRPr="00B75B77" w:rsidRDefault="000E1EED" w:rsidP="0045485C">
      <w:pPr>
        <w:pStyle w:val="Heading3"/>
      </w:pPr>
      <w:bookmarkStart w:id="757" w:name="_Toc466413411"/>
      <w:r w:rsidRPr="00B75B77">
        <w:t>Definition of Participant</w:t>
      </w:r>
      <w:bookmarkEnd w:id="757"/>
    </w:p>
    <w:p w:rsidR="000E1EED" w:rsidRPr="00B75B77" w:rsidRDefault="000E1EED" w:rsidP="00707B64">
      <w:r w:rsidRPr="00B75B77">
        <w:t>For the SEI program, PECO defines a participant by one completed project. Each project may include the installation of one or more measures, and each project can be of different measure types.</w:t>
      </w:r>
    </w:p>
    <w:p w:rsidR="000E1EED" w:rsidRPr="00B75B77" w:rsidRDefault="000E1EED" w:rsidP="00286B52"/>
    <w:p w:rsidR="000E1EED" w:rsidRPr="00B75B77" w:rsidRDefault="000E1EED" w:rsidP="00B470B5">
      <w:pPr>
        <w:pStyle w:val="Heading2"/>
        <w:keepNext/>
        <w:keepLines/>
      </w:pPr>
      <w:bookmarkStart w:id="758" w:name="_Toc466413412"/>
      <w:r w:rsidRPr="00B75B77">
        <w:lastRenderedPageBreak/>
        <w:t>Impact Evaluation Gross Savings</w:t>
      </w:r>
      <w:bookmarkEnd w:id="758"/>
      <w:r w:rsidRPr="00B75B77">
        <w:t xml:space="preserve"> </w:t>
      </w:r>
    </w:p>
    <w:p w:rsidR="000E1EED" w:rsidRPr="00B75B77" w:rsidRDefault="000E1EED" w:rsidP="00B470B5">
      <w:pPr>
        <w:keepNext/>
        <w:keepLines/>
        <w:jc w:val="left"/>
      </w:pPr>
      <w:r w:rsidRPr="00B75B77">
        <w:rPr>
          <w:rFonts w:ascii="Calibri" w:hAnsi="Calibri" w:cs="Calibri"/>
          <w:color w:val="231F20"/>
        </w:rPr>
        <w:t>The SEI program achieved verified energy and demand savings of 13</w:t>
      </w:r>
      <w:r w:rsidR="00F0287E" w:rsidRPr="00B75B77">
        <w:rPr>
          <w:rFonts w:ascii="Calibri" w:hAnsi="Calibri" w:cs="Calibri"/>
          <w:color w:val="231F20"/>
        </w:rPr>
        <w:t>2,883</w:t>
      </w:r>
      <w:r w:rsidRPr="00B75B77">
        <w:rPr>
          <w:rFonts w:ascii="Calibri" w:hAnsi="Calibri" w:cs="Calibri"/>
          <w:color w:val="231F20"/>
        </w:rPr>
        <w:t xml:space="preserve"> MWh and 25.</w:t>
      </w:r>
      <w:r w:rsidR="00F0287E" w:rsidRPr="00B75B77">
        <w:rPr>
          <w:rFonts w:ascii="Calibri" w:hAnsi="Calibri" w:cs="Calibri"/>
          <w:color w:val="231F20"/>
        </w:rPr>
        <w:t>5</w:t>
      </w:r>
      <w:r w:rsidRPr="00B75B77">
        <w:rPr>
          <w:rFonts w:ascii="Calibri" w:hAnsi="Calibri" w:cs="Calibri"/>
          <w:color w:val="231F20"/>
        </w:rPr>
        <w:t xml:space="preserve"> MW, respectively</w:t>
      </w:r>
      <w:r w:rsidR="002F11F5" w:rsidRPr="00B75B77">
        <w:rPr>
          <w:rFonts w:ascii="Calibri" w:hAnsi="Calibri" w:cs="Calibri"/>
          <w:color w:val="231F20"/>
        </w:rPr>
        <w:t>, in Phase II</w:t>
      </w:r>
      <w:r w:rsidRPr="00B75B77">
        <w:rPr>
          <w:rFonts w:ascii="Calibri" w:hAnsi="Calibri" w:cs="Calibri"/>
          <w:color w:val="231F20"/>
        </w:rPr>
        <w:t xml:space="preserve">. </w:t>
      </w:r>
      <w:r w:rsidRPr="00B75B77">
        <w:t>The total reported energy savings for Phase II were 133,586 MWh, reported gross demand savings were 25.3 MW, and total incentives paid to customers were $</w:t>
      </w:r>
      <w:r w:rsidR="002F11F5" w:rsidRPr="00B75B77">
        <w:t>9,114</w:t>
      </w:r>
      <w:r w:rsidRPr="00B75B77">
        <w:t xml:space="preserve">. </w:t>
      </w:r>
      <w:r w:rsidR="00D56E1C" w:rsidRPr="00B75B77">
        <w:rPr>
          <w:szCs w:val="20"/>
        </w:rPr>
        <w:fldChar w:fldCharType="begin"/>
      </w:r>
      <w:r w:rsidR="00D56E1C" w:rsidRPr="00B75B77">
        <w:instrText xml:space="preserve"> REF _Ref464223250 \h </w:instrText>
      </w:r>
      <w:r w:rsidR="009C1F2B" w:rsidRPr="00B75B77">
        <w:rPr>
          <w:szCs w:val="20"/>
        </w:rPr>
        <w:instrText xml:space="preserve"> \* MERGEFORMAT </w:instrText>
      </w:r>
      <w:r w:rsidR="00D56E1C" w:rsidRPr="00B75B77">
        <w:rPr>
          <w:szCs w:val="20"/>
        </w:rPr>
      </w:r>
      <w:r w:rsidR="00D56E1C" w:rsidRPr="00B75B77">
        <w:rPr>
          <w:szCs w:val="20"/>
        </w:rPr>
        <w:fldChar w:fldCharType="separate"/>
      </w:r>
      <w:r w:rsidR="0004016D" w:rsidRPr="00B75B77">
        <w:t xml:space="preserve">Table </w:t>
      </w:r>
      <w:r w:rsidR="0004016D">
        <w:rPr>
          <w:noProof/>
        </w:rPr>
        <w:t>12</w:t>
      </w:r>
      <w:r w:rsidR="0004016D" w:rsidRPr="00B75B77">
        <w:rPr>
          <w:noProof/>
        </w:rPr>
        <w:noBreakHyphen/>
      </w:r>
      <w:r w:rsidR="0004016D">
        <w:rPr>
          <w:noProof/>
        </w:rPr>
        <w:t>1</w:t>
      </w:r>
      <w:r w:rsidR="00D56E1C" w:rsidRPr="00B75B77">
        <w:rPr>
          <w:szCs w:val="20"/>
        </w:rPr>
        <w:fldChar w:fldCharType="end"/>
      </w:r>
      <w:r w:rsidRPr="00B75B77">
        <w:rPr>
          <w:szCs w:val="20"/>
        </w:rPr>
        <w:t xml:space="preserve"> </w:t>
      </w:r>
      <w:r w:rsidRPr="00B75B77">
        <w:rPr>
          <w:rFonts w:ascii="Calibri" w:hAnsi="Calibri" w:cs="Calibri"/>
          <w:color w:val="231F20"/>
        </w:rPr>
        <w:t xml:space="preserve">shows </w:t>
      </w:r>
      <w:r w:rsidRPr="00B75B77">
        <w:rPr>
          <w:noProof/>
        </w:rPr>
        <w:t>the Phase II savings and incentive results for the SEI program for the GNI sector.</w:t>
      </w:r>
      <w:r w:rsidRPr="00B75B77">
        <w:t xml:space="preserve"> </w:t>
      </w:r>
    </w:p>
    <w:p w:rsidR="00E02D76" w:rsidRPr="00B75B77" w:rsidRDefault="00E02D76" w:rsidP="00B470B5">
      <w:pPr>
        <w:keepNext/>
        <w:keepLines/>
        <w:jc w:val="left"/>
      </w:pPr>
    </w:p>
    <w:p w:rsidR="000E1EED" w:rsidRPr="00B75B77" w:rsidRDefault="000E1EED" w:rsidP="00586985">
      <w:pPr>
        <w:pStyle w:val="Caption"/>
      </w:pPr>
      <w:bookmarkStart w:id="759" w:name="_Ref464223250"/>
      <w:bookmarkStart w:id="760" w:name="_Toc466413598"/>
      <w:r w:rsidRPr="00B75B77">
        <w:t xml:space="preserve">Table </w:t>
      </w:r>
      <w:fldSimple w:instr=" STYLEREF 1 \s ">
        <w:r w:rsidR="0004016D">
          <w:rPr>
            <w:noProof/>
          </w:rPr>
          <w:t>12</w:t>
        </w:r>
      </w:fldSimple>
      <w:r w:rsidR="00F1144C" w:rsidRPr="00B75B77">
        <w:noBreakHyphen/>
      </w:r>
      <w:fldSimple w:instr=" SEQ Table \* ARABIC \s 1 ">
        <w:r w:rsidR="0004016D">
          <w:rPr>
            <w:noProof/>
          </w:rPr>
          <w:t>1</w:t>
        </w:r>
      </w:fldSimple>
      <w:bookmarkEnd w:id="759"/>
      <w:r w:rsidRPr="00B75B77">
        <w:t>: Phase II Smart Equipment Incentives (GNI) Reported Results by Customer Sector</w:t>
      </w:r>
      <w:bookmarkEnd w:id="760"/>
    </w:p>
    <w:tbl>
      <w:tblPr>
        <w:tblStyle w:val="MediumShading1-Accent5"/>
        <w:tblW w:w="4866" w:type="pct"/>
        <w:tblInd w:w="-1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617"/>
        <w:gridCol w:w="1283"/>
        <w:gridCol w:w="1280"/>
        <w:gridCol w:w="1280"/>
        <w:gridCol w:w="1280"/>
        <w:gridCol w:w="1282"/>
        <w:gridCol w:w="1297"/>
      </w:tblGrid>
      <w:tr w:rsidR="000E1EED" w:rsidRPr="00B75B77" w:rsidTr="00442C8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8A99"/>
            <w:vAlign w:val="center"/>
          </w:tcPr>
          <w:p w:rsidR="000E1EED" w:rsidRPr="00B75B77" w:rsidRDefault="00D56E1C" w:rsidP="00D56E1C">
            <w:pPr>
              <w:pStyle w:val="TableHeader"/>
              <w:jc w:val="left"/>
              <w:rPr>
                <w:b/>
                <w:color w:val="FFFFFF" w:themeColor="background1"/>
              </w:rPr>
            </w:pPr>
            <w:r w:rsidRPr="00B75B77">
              <w:rPr>
                <w:b/>
                <w:color w:val="FFFFFF" w:themeColor="background1"/>
              </w:rPr>
              <w:t>Custom</w:t>
            </w:r>
            <w:r w:rsidR="00D22843" w:rsidRPr="00B75B77">
              <w:rPr>
                <w:b/>
                <w:color w:val="FFFFFF" w:themeColor="background1"/>
              </w:rPr>
              <w:t>er</w:t>
            </w:r>
            <w:r w:rsidRPr="00B75B77">
              <w:rPr>
                <w:b/>
                <w:color w:val="FFFFFF" w:themeColor="background1"/>
              </w:rPr>
              <w:t xml:space="preserve"> Sector </w:t>
            </w:r>
            <w:r w:rsidR="000E1EED" w:rsidRPr="00B75B77">
              <w:rPr>
                <w:rFonts w:eastAsia="Times New Roman"/>
                <w:b/>
                <w:color w:val="FFFFFF" w:themeColor="background1"/>
                <w:vertAlign w:val="superscript"/>
              </w:rPr>
              <w:t>[1]</w:t>
            </w:r>
          </w:p>
        </w:tc>
        <w:tc>
          <w:tcPr>
            <w:tcW w:w="68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8A99"/>
            <w:vAlign w:val="center"/>
          </w:tcPr>
          <w:p w:rsidR="000E1EED" w:rsidRPr="00B75B77" w:rsidRDefault="000E1EED" w:rsidP="00594255">
            <w:pPr>
              <w:pStyle w:val="TableHead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Participants</w:t>
            </w:r>
          </w:p>
        </w:tc>
        <w:tc>
          <w:tcPr>
            <w:tcW w:w="68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8A99"/>
            <w:vAlign w:val="center"/>
          </w:tcPr>
          <w:p w:rsidR="000E1EED" w:rsidRPr="00B75B77" w:rsidRDefault="000E1EED" w:rsidP="00594255">
            <w:pPr>
              <w:pStyle w:val="TableHead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Reported Gross Energy Savings (MWh/</w:t>
            </w:r>
            <w:proofErr w:type="spellStart"/>
            <w:r w:rsidRPr="00B75B77">
              <w:rPr>
                <w:b/>
                <w:color w:val="FFFFFF" w:themeColor="background1"/>
              </w:rPr>
              <w:t>yr</w:t>
            </w:r>
            <w:proofErr w:type="spellEnd"/>
            <w:r w:rsidRPr="00B75B77">
              <w:rPr>
                <w:b/>
                <w:color w:val="FFFFFF" w:themeColor="background1"/>
              </w:rPr>
              <w:t>)</w:t>
            </w:r>
          </w:p>
        </w:tc>
        <w:tc>
          <w:tcPr>
            <w:tcW w:w="68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8A99"/>
            <w:vAlign w:val="center"/>
          </w:tcPr>
          <w:p w:rsidR="000E1EED" w:rsidRPr="00B75B77" w:rsidRDefault="000E1EED" w:rsidP="00707B64">
            <w:pPr>
              <w:pStyle w:val="TableHead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Reported Gross Demand Reduction (MW)</w:t>
            </w:r>
            <w:r w:rsidRPr="00B75B77">
              <w:rPr>
                <w:rFonts w:eastAsia="Times New Roman"/>
                <w:b/>
                <w:color w:val="FFFFFF" w:themeColor="background1"/>
                <w:vertAlign w:val="superscript"/>
              </w:rPr>
              <w:t>[2]</w:t>
            </w:r>
          </w:p>
        </w:tc>
        <w:tc>
          <w:tcPr>
            <w:tcW w:w="68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8A99"/>
          </w:tcPr>
          <w:p w:rsidR="000E1EED" w:rsidRPr="00B75B77" w:rsidRDefault="000E1EED" w:rsidP="00594255">
            <w:pPr>
              <w:pStyle w:val="TableHead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Verified Gross Energy Savings (MWh/</w:t>
            </w:r>
            <w:proofErr w:type="spellStart"/>
            <w:r w:rsidRPr="00B75B77">
              <w:rPr>
                <w:b/>
                <w:color w:val="FFFFFF" w:themeColor="background1"/>
              </w:rPr>
              <w:t>yr</w:t>
            </w:r>
            <w:proofErr w:type="spellEnd"/>
            <w:r w:rsidRPr="00B75B77">
              <w:rPr>
                <w:b/>
                <w:color w:val="FFFFFF" w:themeColor="background1"/>
              </w:rPr>
              <w:t>)</w:t>
            </w:r>
          </w:p>
        </w:tc>
        <w:tc>
          <w:tcPr>
            <w:tcW w:w="68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8A99"/>
          </w:tcPr>
          <w:p w:rsidR="000E1EED" w:rsidRPr="00B75B77" w:rsidRDefault="000E1EED" w:rsidP="00707B64">
            <w:pPr>
              <w:pStyle w:val="TableHead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Verified Gross Demand Reduction (MW/</w:t>
            </w:r>
            <w:proofErr w:type="spellStart"/>
            <w:r w:rsidRPr="00B75B77">
              <w:rPr>
                <w:b/>
                <w:color w:val="FFFFFF" w:themeColor="background1"/>
              </w:rPr>
              <w:t>yr</w:t>
            </w:r>
            <w:proofErr w:type="spellEnd"/>
            <w:r w:rsidRPr="00B75B77">
              <w:rPr>
                <w:b/>
                <w:color w:val="FFFFFF" w:themeColor="background1"/>
              </w:rPr>
              <w:t>)</w:t>
            </w:r>
            <w:r w:rsidRPr="00B75B77">
              <w:rPr>
                <w:rFonts w:eastAsia="Times New Roman"/>
                <w:b/>
                <w:color w:val="FFFFFF" w:themeColor="background1"/>
                <w:vertAlign w:val="superscript"/>
              </w:rPr>
              <w:t>[2]</w:t>
            </w:r>
          </w:p>
        </w:tc>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8A99"/>
            <w:vAlign w:val="center"/>
          </w:tcPr>
          <w:p w:rsidR="000E1EED" w:rsidRPr="00B75B77" w:rsidRDefault="000E1EED" w:rsidP="00D56E1C">
            <w:pPr>
              <w:pStyle w:val="TableHead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Incentives Paid</w:t>
            </w:r>
            <w:r w:rsidRPr="00B75B77">
              <w:rPr>
                <w:b/>
                <w:color w:val="FFFFFF" w:themeColor="background1"/>
              </w:rPr>
              <w:br/>
              <w:t>($1,000)</w:t>
            </w:r>
          </w:p>
        </w:tc>
      </w:tr>
      <w:tr w:rsidR="00442C8B" w:rsidRPr="00B75B77" w:rsidTr="00442C8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7" w:type="pct"/>
            <w:tcBorders>
              <w:top w:val="single" w:sz="4" w:space="0" w:color="000000" w:themeColor="text1"/>
              <w:left w:val="single" w:sz="4" w:space="0" w:color="448A99"/>
              <w:bottom w:val="single" w:sz="4" w:space="0" w:color="448A99"/>
              <w:right w:val="single" w:sz="4" w:space="0" w:color="448A99"/>
            </w:tcBorders>
            <w:vAlign w:val="center"/>
          </w:tcPr>
          <w:p w:rsidR="00442C8B" w:rsidRPr="00B75B77" w:rsidRDefault="00442C8B" w:rsidP="00442C8B">
            <w:pPr>
              <w:pStyle w:val="TableText"/>
              <w:spacing w:before="0"/>
              <w:rPr>
                <w:b w:val="0"/>
              </w:rPr>
            </w:pPr>
            <w:r w:rsidRPr="00B75B77">
              <w:rPr>
                <w:rFonts w:ascii="Calibri" w:eastAsia="Times New Roman" w:hAnsi="Calibri"/>
                <w:b w:val="0"/>
              </w:rPr>
              <w:t>Residential</w:t>
            </w:r>
            <w:r w:rsidRPr="00B75B77">
              <w:rPr>
                <w:rFonts w:ascii="Calibri" w:eastAsia="Times New Roman" w:hAnsi="Calibri"/>
                <w:b w:val="0"/>
                <w:bCs w:val="0"/>
              </w:rPr>
              <w:t xml:space="preserve"> (Non-Low-Income)</w:t>
            </w:r>
          </w:p>
        </w:tc>
        <w:tc>
          <w:tcPr>
            <w:tcW w:w="688" w:type="pct"/>
            <w:tcBorders>
              <w:top w:val="single" w:sz="4" w:space="0" w:color="000000" w:themeColor="text1"/>
              <w:left w:val="single" w:sz="4" w:space="0" w:color="448A99"/>
              <w:bottom w:val="single" w:sz="4" w:space="0" w:color="448A99"/>
              <w:right w:val="single" w:sz="4" w:space="0" w:color="448A99"/>
            </w:tcBorders>
            <w:vAlign w:val="center"/>
          </w:tcPr>
          <w:p w:rsidR="00442C8B" w:rsidRPr="00B75B77" w:rsidRDefault="00442C8B" w:rsidP="00442C8B">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0</w:t>
            </w:r>
          </w:p>
        </w:tc>
        <w:tc>
          <w:tcPr>
            <w:tcW w:w="687" w:type="pct"/>
            <w:tcBorders>
              <w:top w:val="single" w:sz="4" w:space="0" w:color="000000" w:themeColor="text1"/>
              <w:left w:val="single" w:sz="4" w:space="0" w:color="448A99"/>
              <w:bottom w:val="single" w:sz="4" w:space="0" w:color="448A99"/>
              <w:right w:val="single" w:sz="4" w:space="0" w:color="448A99"/>
            </w:tcBorders>
            <w:vAlign w:val="center"/>
          </w:tcPr>
          <w:p w:rsidR="00442C8B" w:rsidRPr="00B75B77" w:rsidRDefault="00442C8B" w:rsidP="00442C8B">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0</w:t>
            </w:r>
          </w:p>
        </w:tc>
        <w:tc>
          <w:tcPr>
            <w:tcW w:w="687" w:type="pct"/>
            <w:tcBorders>
              <w:top w:val="single" w:sz="4" w:space="0" w:color="000000" w:themeColor="text1"/>
              <w:left w:val="single" w:sz="4" w:space="0" w:color="448A99"/>
              <w:bottom w:val="single" w:sz="4" w:space="0" w:color="448A99"/>
              <w:right w:val="single" w:sz="4" w:space="0" w:color="448A99"/>
            </w:tcBorders>
            <w:vAlign w:val="center"/>
          </w:tcPr>
          <w:p w:rsidR="00442C8B" w:rsidRPr="00B75B77" w:rsidRDefault="00442C8B" w:rsidP="00442C8B">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0.0</w:t>
            </w:r>
          </w:p>
        </w:tc>
        <w:tc>
          <w:tcPr>
            <w:tcW w:w="687" w:type="pct"/>
            <w:tcBorders>
              <w:top w:val="single" w:sz="4" w:space="0" w:color="000000" w:themeColor="text1"/>
              <w:left w:val="single" w:sz="4" w:space="0" w:color="448A99"/>
              <w:bottom w:val="single" w:sz="4" w:space="0" w:color="448A99"/>
              <w:right w:val="single" w:sz="4" w:space="0" w:color="448A99"/>
            </w:tcBorders>
            <w:vAlign w:val="center"/>
          </w:tcPr>
          <w:p w:rsidR="00442C8B" w:rsidRPr="00B75B77" w:rsidRDefault="00442C8B" w:rsidP="00442C8B">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0</w:t>
            </w:r>
          </w:p>
        </w:tc>
        <w:tc>
          <w:tcPr>
            <w:tcW w:w="688" w:type="pct"/>
            <w:tcBorders>
              <w:top w:val="single" w:sz="4" w:space="0" w:color="000000" w:themeColor="text1"/>
              <w:left w:val="single" w:sz="4" w:space="0" w:color="448A99"/>
              <w:bottom w:val="single" w:sz="4" w:space="0" w:color="448A99"/>
              <w:right w:val="single" w:sz="4" w:space="0" w:color="448A99"/>
            </w:tcBorders>
            <w:vAlign w:val="center"/>
          </w:tcPr>
          <w:p w:rsidR="00442C8B" w:rsidRPr="00B75B77" w:rsidRDefault="00442C8B" w:rsidP="00442C8B">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0.0</w:t>
            </w:r>
          </w:p>
        </w:tc>
        <w:tc>
          <w:tcPr>
            <w:tcW w:w="697" w:type="pct"/>
            <w:tcBorders>
              <w:top w:val="single" w:sz="4" w:space="0" w:color="000000" w:themeColor="text1"/>
              <w:left w:val="single" w:sz="4" w:space="0" w:color="448A99"/>
              <w:bottom w:val="single" w:sz="4" w:space="0" w:color="448A99"/>
              <w:right w:val="single" w:sz="4" w:space="0" w:color="448A99"/>
            </w:tcBorders>
            <w:vAlign w:val="center"/>
          </w:tcPr>
          <w:p w:rsidR="00442C8B" w:rsidRPr="00B75B77" w:rsidRDefault="0036519A" w:rsidP="00442C8B">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$0</w:t>
            </w:r>
          </w:p>
        </w:tc>
      </w:tr>
      <w:tr w:rsidR="00442C8B" w:rsidRPr="00B75B77" w:rsidTr="00442C8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7" w:type="pct"/>
            <w:tcBorders>
              <w:top w:val="single" w:sz="4" w:space="0" w:color="448A99"/>
              <w:left w:val="single" w:sz="4" w:space="0" w:color="448A99"/>
              <w:bottom w:val="single" w:sz="4" w:space="0" w:color="448A99"/>
              <w:right w:val="single" w:sz="4" w:space="0" w:color="448A99"/>
            </w:tcBorders>
            <w:vAlign w:val="center"/>
          </w:tcPr>
          <w:p w:rsidR="00442C8B" w:rsidRPr="00B75B77" w:rsidRDefault="00442C8B" w:rsidP="00442C8B">
            <w:pPr>
              <w:pStyle w:val="TableText"/>
              <w:spacing w:before="0"/>
              <w:rPr>
                <w:b w:val="0"/>
              </w:rPr>
            </w:pPr>
            <w:r w:rsidRPr="00B75B77">
              <w:rPr>
                <w:rFonts w:ascii="Calibri" w:eastAsia="Times New Roman" w:hAnsi="Calibri"/>
                <w:b w:val="0"/>
                <w:bCs w:val="0"/>
              </w:rPr>
              <w:t>Residential (</w:t>
            </w:r>
            <w:r w:rsidRPr="00B75B77">
              <w:rPr>
                <w:rFonts w:ascii="Calibri" w:eastAsia="Times New Roman" w:hAnsi="Calibri"/>
                <w:b w:val="0"/>
              </w:rPr>
              <w:t>Low-Income</w:t>
            </w:r>
            <w:r w:rsidRPr="00B75B77">
              <w:rPr>
                <w:rFonts w:ascii="Calibri" w:eastAsia="Times New Roman" w:hAnsi="Calibri"/>
                <w:b w:val="0"/>
                <w:bCs w:val="0"/>
              </w:rPr>
              <w:t>)</w:t>
            </w:r>
          </w:p>
        </w:tc>
        <w:tc>
          <w:tcPr>
            <w:tcW w:w="688" w:type="pct"/>
            <w:tcBorders>
              <w:top w:val="single" w:sz="4" w:space="0" w:color="448A99"/>
              <w:left w:val="single" w:sz="4" w:space="0" w:color="448A99"/>
              <w:bottom w:val="single" w:sz="4" w:space="0" w:color="448A99"/>
              <w:right w:val="single" w:sz="4" w:space="0" w:color="448A99"/>
            </w:tcBorders>
            <w:vAlign w:val="center"/>
          </w:tcPr>
          <w:p w:rsidR="00442C8B" w:rsidRPr="00B75B77" w:rsidRDefault="00442C8B" w:rsidP="00442C8B">
            <w:pPr>
              <w:pStyle w:val="TableText"/>
              <w:spacing w:before="0"/>
              <w:jc w:val="center"/>
              <w:cnfStyle w:val="000000010000" w:firstRow="0" w:lastRow="0" w:firstColumn="0" w:lastColumn="0" w:oddVBand="0" w:evenVBand="0" w:oddHBand="0" w:evenHBand="1" w:firstRowFirstColumn="0" w:firstRowLastColumn="0" w:lastRowFirstColumn="0" w:lastRowLastColumn="0"/>
            </w:pPr>
            <w:r w:rsidRPr="00B75B77">
              <w:rPr>
                <w:rFonts w:ascii="Calibri" w:hAnsi="Calibri"/>
              </w:rPr>
              <w:t>0</w:t>
            </w:r>
          </w:p>
        </w:tc>
        <w:tc>
          <w:tcPr>
            <w:tcW w:w="687" w:type="pct"/>
            <w:tcBorders>
              <w:top w:val="single" w:sz="4" w:space="0" w:color="448A99"/>
              <w:left w:val="single" w:sz="4" w:space="0" w:color="448A99"/>
              <w:bottom w:val="single" w:sz="4" w:space="0" w:color="448A99"/>
              <w:right w:val="single" w:sz="4" w:space="0" w:color="448A99"/>
            </w:tcBorders>
            <w:vAlign w:val="center"/>
          </w:tcPr>
          <w:p w:rsidR="00442C8B" w:rsidRPr="00B75B77" w:rsidRDefault="00442C8B" w:rsidP="00442C8B">
            <w:pPr>
              <w:pStyle w:val="TableText"/>
              <w:spacing w:before="0"/>
              <w:jc w:val="center"/>
              <w:cnfStyle w:val="000000010000" w:firstRow="0" w:lastRow="0" w:firstColumn="0" w:lastColumn="0" w:oddVBand="0" w:evenVBand="0" w:oddHBand="0" w:evenHBand="1" w:firstRowFirstColumn="0" w:firstRowLastColumn="0" w:lastRowFirstColumn="0" w:lastRowLastColumn="0"/>
            </w:pPr>
            <w:r w:rsidRPr="00B75B77">
              <w:rPr>
                <w:rFonts w:ascii="Calibri" w:hAnsi="Calibri"/>
              </w:rPr>
              <w:t>0</w:t>
            </w:r>
          </w:p>
        </w:tc>
        <w:tc>
          <w:tcPr>
            <w:tcW w:w="687" w:type="pct"/>
            <w:tcBorders>
              <w:top w:val="single" w:sz="4" w:space="0" w:color="448A99"/>
              <w:left w:val="single" w:sz="4" w:space="0" w:color="448A99"/>
              <w:bottom w:val="single" w:sz="4" w:space="0" w:color="448A99"/>
              <w:right w:val="single" w:sz="4" w:space="0" w:color="448A99"/>
            </w:tcBorders>
            <w:vAlign w:val="center"/>
          </w:tcPr>
          <w:p w:rsidR="00442C8B" w:rsidRPr="00B75B77" w:rsidRDefault="00442C8B" w:rsidP="00442C8B">
            <w:pPr>
              <w:pStyle w:val="TableText"/>
              <w:spacing w:before="0"/>
              <w:jc w:val="center"/>
              <w:cnfStyle w:val="000000010000" w:firstRow="0" w:lastRow="0" w:firstColumn="0" w:lastColumn="0" w:oddVBand="0" w:evenVBand="0" w:oddHBand="0" w:evenHBand="1" w:firstRowFirstColumn="0" w:firstRowLastColumn="0" w:lastRowFirstColumn="0" w:lastRowLastColumn="0"/>
            </w:pPr>
            <w:r w:rsidRPr="00B75B77">
              <w:rPr>
                <w:rFonts w:ascii="Calibri" w:hAnsi="Calibri"/>
              </w:rPr>
              <w:t>0.0</w:t>
            </w:r>
          </w:p>
        </w:tc>
        <w:tc>
          <w:tcPr>
            <w:tcW w:w="687" w:type="pct"/>
            <w:tcBorders>
              <w:top w:val="single" w:sz="4" w:space="0" w:color="448A99"/>
              <w:left w:val="single" w:sz="4" w:space="0" w:color="448A99"/>
              <w:bottom w:val="single" w:sz="4" w:space="0" w:color="448A99"/>
              <w:right w:val="single" w:sz="4" w:space="0" w:color="448A99"/>
            </w:tcBorders>
            <w:vAlign w:val="center"/>
          </w:tcPr>
          <w:p w:rsidR="00442C8B" w:rsidRPr="00B75B77" w:rsidRDefault="00442C8B" w:rsidP="00442C8B">
            <w:pPr>
              <w:pStyle w:val="TableText"/>
              <w:spacing w:before="0"/>
              <w:jc w:val="center"/>
              <w:cnfStyle w:val="000000010000" w:firstRow="0" w:lastRow="0" w:firstColumn="0" w:lastColumn="0" w:oddVBand="0" w:evenVBand="0" w:oddHBand="0" w:evenHBand="1" w:firstRowFirstColumn="0" w:firstRowLastColumn="0" w:lastRowFirstColumn="0" w:lastRowLastColumn="0"/>
            </w:pPr>
            <w:r w:rsidRPr="00B75B77">
              <w:rPr>
                <w:rFonts w:ascii="Calibri" w:hAnsi="Calibri"/>
              </w:rPr>
              <w:t>0</w:t>
            </w:r>
          </w:p>
        </w:tc>
        <w:tc>
          <w:tcPr>
            <w:tcW w:w="688" w:type="pct"/>
            <w:tcBorders>
              <w:top w:val="single" w:sz="4" w:space="0" w:color="448A99"/>
              <w:left w:val="single" w:sz="4" w:space="0" w:color="448A99"/>
              <w:bottom w:val="single" w:sz="4" w:space="0" w:color="448A99"/>
              <w:right w:val="single" w:sz="4" w:space="0" w:color="448A99"/>
            </w:tcBorders>
            <w:vAlign w:val="center"/>
          </w:tcPr>
          <w:p w:rsidR="00442C8B" w:rsidRPr="00B75B77" w:rsidRDefault="00442C8B" w:rsidP="00442C8B">
            <w:pPr>
              <w:pStyle w:val="TableText"/>
              <w:spacing w:before="0"/>
              <w:jc w:val="center"/>
              <w:cnfStyle w:val="000000010000" w:firstRow="0" w:lastRow="0" w:firstColumn="0" w:lastColumn="0" w:oddVBand="0" w:evenVBand="0" w:oddHBand="0" w:evenHBand="1" w:firstRowFirstColumn="0" w:firstRowLastColumn="0" w:lastRowFirstColumn="0" w:lastRowLastColumn="0"/>
            </w:pPr>
            <w:r w:rsidRPr="00B75B77">
              <w:rPr>
                <w:rFonts w:ascii="Calibri" w:hAnsi="Calibri"/>
              </w:rPr>
              <w:t>0.0</w:t>
            </w:r>
          </w:p>
        </w:tc>
        <w:tc>
          <w:tcPr>
            <w:tcW w:w="697" w:type="pct"/>
            <w:tcBorders>
              <w:top w:val="single" w:sz="4" w:space="0" w:color="448A99"/>
              <w:left w:val="single" w:sz="4" w:space="0" w:color="448A99"/>
              <w:bottom w:val="single" w:sz="4" w:space="0" w:color="448A99"/>
              <w:right w:val="single" w:sz="4" w:space="0" w:color="448A99"/>
            </w:tcBorders>
            <w:vAlign w:val="center"/>
          </w:tcPr>
          <w:p w:rsidR="00442C8B" w:rsidRPr="00B75B77" w:rsidRDefault="0036519A" w:rsidP="00442C8B">
            <w:pPr>
              <w:pStyle w:val="TableText"/>
              <w:spacing w:before="0"/>
              <w:jc w:val="center"/>
              <w:cnfStyle w:val="000000010000" w:firstRow="0" w:lastRow="0" w:firstColumn="0" w:lastColumn="0" w:oddVBand="0" w:evenVBand="0" w:oddHBand="0" w:evenHBand="1" w:firstRowFirstColumn="0" w:firstRowLastColumn="0" w:lastRowFirstColumn="0" w:lastRowLastColumn="0"/>
            </w:pPr>
            <w:r w:rsidRPr="00B75B77">
              <w:rPr>
                <w:rFonts w:ascii="Calibri" w:hAnsi="Calibri"/>
              </w:rPr>
              <w:t>$0</w:t>
            </w:r>
          </w:p>
        </w:tc>
      </w:tr>
      <w:tr w:rsidR="000E1EED" w:rsidRPr="00B75B77" w:rsidTr="00442C8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7"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0E1EED" w:rsidP="00707B64">
            <w:pPr>
              <w:pStyle w:val="TableText"/>
              <w:spacing w:before="0"/>
              <w:rPr>
                <w:b w:val="0"/>
              </w:rPr>
            </w:pPr>
            <w:r w:rsidRPr="00B75B77">
              <w:rPr>
                <w:b w:val="0"/>
              </w:rPr>
              <w:t>Small C</w:t>
            </w:r>
            <w:r w:rsidR="0054073E" w:rsidRPr="00B75B77">
              <w:rPr>
                <w:b w:val="0"/>
              </w:rPr>
              <w:t>&amp;I</w:t>
            </w:r>
          </w:p>
        </w:tc>
        <w:tc>
          <w:tcPr>
            <w:tcW w:w="688"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0E1EED" w:rsidP="00707B64">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0</w:t>
            </w:r>
          </w:p>
        </w:tc>
        <w:tc>
          <w:tcPr>
            <w:tcW w:w="687"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0E1EED" w:rsidP="00707B64">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0</w:t>
            </w:r>
          </w:p>
        </w:tc>
        <w:tc>
          <w:tcPr>
            <w:tcW w:w="687"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0E1EED" w:rsidP="00707B64">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0.0</w:t>
            </w:r>
          </w:p>
        </w:tc>
        <w:tc>
          <w:tcPr>
            <w:tcW w:w="687"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0E1EED" w:rsidP="00707B64">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0</w:t>
            </w:r>
          </w:p>
        </w:tc>
        <w:tc>
          <w:tcPr>
            <w:tcW w:w="688"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0E1EED" w:rsidP="00707B64">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0.0</w:t>
            </w:r>
          </w:p>
        </w:tc>
        <w:tc>
          <w:tcPr>
            <w:tcW w:w="697"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36519A" w:rsidP="00D56E1C">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$0</w:t>
            </w:r>
          </w:p>
        </w:tc>
      </w:tr>
      <w:tr w:rsidR="000E1EED" w:rsidRPr="00B75B77" w:rsidTr="00442C8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7"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0E1EED" w:rsidP="00707B64">
            <w:pPr>
              <w:pStyle w:val="TableText"/>
              <w:spacing w:before="0"/>
              <w:rPr>
                <w:b w:val="0"/>
              </w:rPr>
            </w:pPr>
            <w:r w:rsidRPr="00B75B77">
              <w:rPr>
                <w:b w:val="0"/>
              </w:rPr>
              <w:t>Large C</w:t>
            </w:r>
            <w:r w:rsidR="0054073E" w:rsidRPr="00B75B77">
              <w:rPr>
                <w:b w:val="0"/>
              </w:rPr>
              <w:t>&amp;I</w:t>
            </w:r>
          </w:p>
        </w:tc>
        <w:tc>
          <w:tcPr>
            <w:tcW w:w="688"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0E1EED" w:rsidP="00707B64">
            <w:pPr>
              <w:pStyle w:val="TableText"/>
              <w:spacing w:before="0"/>
              <w:jc w:val="center"/>
              <w:cnfStyle w:val="000000010000" w:firstRow="0" w:lastRow="0" w:firstColumn="0" w:lastColumn="0" w:oddVBand="0" w:evenVBand="0" w:oddHBand="0" w:evenHBand="1" w:firstRowFirstColumn="0" w:firstRowLastColumn="0" w:lastRowFirstColumn="0" w:lastRowLastColumn="0"/>
            </w:pPr>
            <w:r w:rsidRPr="00B75B77">
              <w:rPr>
                <w:rFonts w:ascii="Calibri" w:hAnsi="Calibri"/>
              </w:rPr>
              <w:t>0</w:t>
            </w:r>
          </w:p>
        </w:tc>
        <w:tc>
          <w:tcPr>
            <w:tcW w:w="687"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0E1EED" w:rsidP="00707B64">
            <w:pPr>
              <w:pStyle w:val="TableText"/>
              <w:spacing w:before="0"/>
              <w:jc w:val="center"/>
              <w:cnfStyle w:val="000000010000" w:firstRow="0" w:lastRow="0" w:firstColumn="0" w:lastColumn="0" w:oddVBand="0" w:evenVBand="0" w:oddHBand="0" w:evenHBand="1" w:firstRowFirstColumn="0" w:firstRowLastColumn="0" w:lastRowFirstColumn="0" w:lastRowLastColumn="0"/>
            </w:pPr>
            <w:r w:rsidRPr="00B75B77">
              <w:rPr>
                <w:rFonts w:ascii="Calibri" w:hAnsi="Calibri"/>
              </w:rPr>
              <w:t>0</w:t>
            </w:r>
          </w:p>
        </w:tc>
        <w:tc>
          <w:tcPr>
            <w:tcW w:w="687"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0E1EED" w:rsidP="00707B64">
            <w:pPr>
              <w:pStyle w:val="TableText"/>
              <w:spacing w:before="0"/>
              <w:jc w:val="center"/>
              <w:cnfStyle w:val="000000010000" w:firstRow="0" w:lastRow="0" w:firstColumn="0" w:lastColumn="0" w:oddVBand="0" w:evenVBand="0" w:oddHBand="0" w:evenHBand="1" w:firstRowFirstColumn="0" w:firstRowLastColumn="0" w:lastRowFirstColumn="0" w:lastRowLastColumn="0"/>
            </w:pPr>
            <w:r w:rsidRPr="00B75B77">
              <w:rPr>
                <w:rFonts w:ascii="Calibri" w:hAnsi="Calibri"/>
              </w:rPr>
              <w:t>0.0</w:t>
            </w:r>
          </w:p>
        </w:tc>
        <w:tc>
          <w:tcPr>
            <w:tcW w:w="687"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0E1EED" w:rsidP="00707B64">
            <w:pPr>
              <w:pStyle w:val="TableText"/>
              <w:spacing w:before="0"/>
              <w:jc w:val="center"/>
              <w:cnfStyle w:val="000000010000" w:firstRow="0" w:lastRow="0" w:firstColumn="0" w:lastColumn="0" w:oddVBand="0" w:evenVBand="0" w:oddHBand="0" w:evenHBand="1" w:firstRowFirstColumn="0" w:firstRowLastColumn="0" w:lastRowFirstColumn="0" w:lastRowLastColumn="0"/>
            </w:pPr>
            <w:r w:rsidRPr="00B75B77">
              <w:rPr>
                <w:rFonts w:ascii="Calibri" w:hAnsi="Calibri"/>
              </w:rPr>
              <w:t>0</w:t>
            </w:r>
          </w:p>
        </w:tc>
        <w:tc>
          <w:tcPr>
            <w:tcW w:w="688"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0E1EED" w:rsidP="00707B64">
            <w:pPr>
              <w:pStyle w:val="TableText"/>
              <w:spacing w:before="0"/>
              <w:jc w:val="center"/>
              <w:cnfStyle w:val="000000010000" w:firstRow="0" w:lastRow="0" w:firstColumn="0" w:lastColumn="0" w:oddVBand="0" w:evenVBand="0" w:oddHBand="0" w:evenHBand="1" w:firstRowFirstColumn="0" w:firstRowLastColumn="0" w:lastRowFirstColumn="0" w:lastRowLastColumn="0"/>
            </w:pPr>
            <w:r w:rsidRPr="00B75B77">
              <w:rPr>
                <w:rFonts w:ascii="Calibri" w:hAnsi="Calibri"/>
              </w:rPr>
              <w:t>0.0</w:t>
            </w:r>
          </w:p>
        </w:tc>
        <w:tc>
          <w:tcPr>
            <w:tcW w:w="697"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36519A" w:rsidP="00D56E1C">
            <w:pPr>
              <w:pStyle w:val="TableText"/>
              <w:spacing w:before="0"/>
              <w:jc w:val="center"/>
              <w:cnfStyle w:val="000000010000" w:firstRow="0" w:lastRow="0" w:firstColumn="0" w:lastColumn="0" w:oddVBand="0" w:evenVBand="0" w:oddHBand="0" w:evenHBand="1" w:firstRowFirstColumn="0" w:firstRowLastColumn="0" w:lastRowFirstColumn="0" w:lastRowLastColumn="0"/>
            </w:pPr>
            <w:r w:rsidRPr="00B75B77">
              <w:rPr>
                <w:rFonts w:ascii="Calibri" w:hAnsi="Calibri"/>
              </w:rPr>
              <w:t>$0</w:t>
            </w:r>
          </w:p>
        </w:tc>
      </w:tr>
      <w:tr w:rsidR="000E1EED" w:rsidRPr="00B75B77" w:rsidTr="00442C8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7"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0E1EED" w:rsidP="00707B64">
            <w:pPr>
              <w:pStyle w:val="TableHeader"/>
              <w:spacing w:before="0"/>
              <w:jc w:val="left"/>
            </w:pPr>
            <w:r w:rsidRPr="00B75B77">
              <w:t>G</w:t>
            </w:r>
            <w:r w:rsidR="0054073E" w:rsidRPr="00B75B77">
              <w:t>NI</w:t>
            </w:r>
          </w:p>
        </w:tc>
        <w:tc>
          <w:tcPr>
            <w:tcW w:w="688"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0B4182" w:rsidP="00707B64">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796</w:t>
            </w:r>
          </w:p>
        </w:tc>
        <w:tc>
          <w:tcPr>
            <w:tcW w:w="687"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0E1EED" w:rsidP="00707B64">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133,586</w:t>
            </w:r>
          </w:p>
        </w:tc>
        <w:tc>
          <w:tcPr>
            <w:tcW w:w="687"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0E1EED" w:rsidP="00707B64">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25.3</w:t>
            </w:r>
          </w:p>
        </w:tc>
        <w:tc>
          <w:tcPr>
            <w:tcW w:w="687"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0E1EED" w:rsidP="00707B64">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13</w:t>
            </w:r>
            <w:r w:rsidR="00F0287E" w:rsidRPr="00B75B77">
              <w:rPr>
                <w:rFonts w:ascii="Calibri" w:hAnsi="Calibri"/>
              </w:rPr>
              <w:t>2,883</w:t>
            </w:r>
          </w:p>
        </w:tc>
        <w:tc>
          <w:tcPr>
            <w:tcW w:w="688"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0E1EED" w:rsidP="00707B64">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25.</w:t>
            </w:r>
            <w:r w:rsidR="00F0287E" w:rsidRPr="00B75B77">
              <w:rPr>
                <w:rFonts w:ascii="Calibri" w:hAnsi="Calibri"/>
              </w:rPr>
              <w:t>5</w:t>
            </w:r>
          </w:p>
        </w:tc>
        <w:tc>
          <w:tcPr>
            <w:tcW w:w="697"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36519A" w:rsidP="00D56E1C">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$9,114</w:t>
            </w:r>
          </w:p>
        </w:tc>
      </w:tr>
      <w:tr w:rsidR="000E1EED" w:rsidRPr="00B75B77" w:rsidTr="00442C8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7"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0E1EED" w:rsidP="00707B64">
            <w:pPr>
              <w:pStyle w:val="TableHeader"/>
              <w:spacing w:before="0"/>
              <w:jc w:val="left"/>
              <w:rPr>
                <w:b/>
                <w:caps/>
              </w:rPr>
            </w:pPr>
            <w:r w:rsidRPr="00B75B77">
              <w:rPr>
                <w:b/>
                <w:caps/>
              </w:rPr>
              <w:t>Phase II Total</w:t>
            </w:r>
          </w:p>
        </w:tc>
        <w:tc>
          <w:tcPr>
            <w:tcW w:w="688"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0B4182" w:rsidP="00707B64">
            <w:pPr>
              <w:pStyle w:val="TableText"/>
              <w:spacing w:before="0"/>
              <w:jc w:val="center"/>
              <w:cnfStyle w:val="000000010000" w:firstRow="0" w:lastRow="0" w:firstColumn="0" w:lastColumn="0" w:oddVBand="0" w:evenVBand="0" w:oddHBand="0" w:evenHBand="1" w:firstRowFirstColumn="0" w:firstRowLastColumn="0" w:lastRowFirstColumn="0" w:lastRowLastColumn="0"/>
              <w:rPr>
                <w:b/>
              </w:rPr>
            </w:pPr>
            <w:r w:rsidRPr="00B75B77">
              <w:rPr>
                <w:rFonts w:ascii="Calibri" w:hAnsi="Calibri"/>
                <w:b/>
              </w:rPr>
              <w:t>796</w:t>
            </w:r>
          </w:p>
        </w:tc>
        <w:tc>
          <w:tcPr>
            <w:tcW w:w="687"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0E1EED" w:rsidP="00707B64">
            <w:pPr>
              <w:pStyle w:val="TableText"/>
              <w:spacing w:before="0"/>
              <w:jc w:val="center"/>
              <w:cnfStyle w:val="000000010000" w:firstRow="0" w:lastRow="0" w:firstColumn="0" w:lastColumn="0" w:oddVBand="0" w:evenVBand="0" w:oddHBand="0" w:evenHBand="1" w:firstRowFirstColumn="0" w:firstRowLastColumn="0" w:lastRowFirstColumn="0" w:lastRowLastColumn="0"/>
              <w:rPr>
                <w:b/>
              </w:rPr>
            </w:pPr>
            <w:r w:rsidRPr="00B75B77">
              <w:rPr>
                <w:rFonts w:ascii="Calibri" w:hAnsi="Calibri"/>
                <w:b/>
              </w:rPr>
              <w:t>133,586</w:t>
            </w:r>
          </w:p>
        </w:tc>
        <w:tc>
          <w:tcPr>
            <w:tcW w:w="687"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0E1EED" w:rsidP="00707B64">
            <w:pPr>
              <w:pStyle w:val="TableText"/>
              <w:spacing w:before="0"/>
              <w:jc w:val="center"/>
              <w:cnfStyle w:val="000000010000" w:firstRow="0" w:lastRow="0" w:firstColumn="0" w:lastColumn="0" w:oddVBand="0" w:evenVBand="0" w:oddHBand="0" w:evenHBand="1" w:firstRowFirstColumn="0" w:firstRowLastColumn="0" w:lastRowFirstColumn="0" w:lastRowLastColumn="0"/>
              <w:rPr>
                <w:b/>
              </w:rPr>
            </w:pPr>
            <w:r w:rsidRPr="00B75B77">
              <w:rPr>
                <w:rFonts w:ascii="Calibri" w:hAnsi="Calibri"/>
                <w:b/>
              </w:rPr>
              <w:t>25.3</w:t>
            </w:r>
          </w:p>
        </w:tc>
        <w:tc>
          <w:tcPr>
            <w:tcW w:w="687"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0E1EED" w:rsidP="00707B64">
            <w:pPr>
              <w:pStyle w:val="TableText"/>
              <w:spacing w:before="0"/>
              <w:jc w:val="center"/>
              <w:cnfStyle w:val="000000010000" w:firstRow="0" w:lastRow="0" w:firstColumn="0" w:lastColumn="0" w:oddVBand="0" w:evenVBand="0" w:oddHBand="0" w:evenHBand="1" w:firstRowFirstColumn="0" w:firstRowLastColumn="0" w:lastRowFirstColumn="0" w:lastRowLastColumn="0"/>
              <w:rPr>
                <w:b/>
              </w:rPr>
            </w:pPr>
            <w:r w:rsidRPr="00B75B77">
              <w:rPr>
                <w:rFonts w:ascii="Calibri" w:hAnsi="Calibri"/>
                <w:b/>
              </w:rPr>
              <w:t>13</w:t>
            </w:r>
            <w:r w:rsidR="00F0287E" w:rsidRPr="00B75B77">
              <w:rPr>
                <w:rFonts w:ascii="Calibri" w:hAnsi="Calibri"/>
                <w:b/>
              </w:rPr>
              <w:t>2,883</w:t>
            </w:r>
          </w:p>
        </w:tc>
        <w:tc>
          <w:tcPr>
            <w:tcW w:w="688"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0E1EED" w:rsidP="00F0287E">
            <w:pPr>
              <w:pStyle w:val="TableText"/>
              <w:spacing w:before="0"/>
              <w:jc w:val="center"/>
              <w:cnfStyle w:val="000000010000" w:firstRow="0" w:lastRow="0" w:firstColumn="0" w:lastColumn="0" w:oddVBand="0" w:evenVBand="0" w:oddHBand="0" w:evenHBand="1" w:firstRowFirstColumn="0" w:firstRowLastColumn="0" w:lastRowFirstColumn="0" w:lastRowLastColumn="0"/>
              <w:rPr>
                <w:b/>
              </w:rPr>
            </w:pPr>
            <w:r w:rsidRPr="00B75B77">
              <w:rPr>
                <w:rFonts w:ascii="Calibri" w:hAnsi="Calibri"/>
                <w:b/>
              </w:rPr>
              <w:t>25.</w:t>
            </w:r>
            <w:r w:rsidR="00F0287E" w:rsidRPr="00B75B77">
              <w:rPr>
                <w:rFonts w:ascii="Calibri" w:hAnsi="Calibri"/>
                <w:b/>
              </w:rPr>
              <w:t>5</w:t>
            </w:r>
          </w:p>
        </w:tc>
        <w:tc>
          <w:tcPr>
            <w:tcW w:w="697"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36519A" w:rsidP="00D56E1C">
            <w:pPr>
              <w:pStyle w:val="TableText"/>
              <w:spacing w:before="0"/>
              <w:jc w:val="center"/>
              <w:cnfStyle w:val="000000010000" w:firstRow="0" w:lastRow="0" w:firstColumn="0" w:lastColumn="0" w:oddVBand="0" w:evenVBand="0" w:oddHBand="0" w:evenHBand="1" w:firstRowFirstColumn="0" w:firstRowLastColumn="0" w:lastRowFirstColumn="0" w:lastRowLastColumn="0"/>
              <w:rPr>
                <w:b/>
              </w:rPr>
            </w:pPr>
            <w:r w:rsidRPr="00B75B77">
              <w:rPr>
                <w:rFonts w:ascii="Calibri" w:hAnsi="Calibri"/>
                <w:b/>
              </w:rPr>
              <w:t>$9,114</w:t>
            </w:r>
          </w:p>
        </w:tc>
      </w:tr>
    </w:tbl>
    <w:p w:rsidR="000E1EED" w:rsidRPr="00B75B77" w:rsidRDefault="000E1EED" w:rsidP="00D56E1C">
      <w:pPr>
        <w:pStyle w:val="Source"/>
        <w:spacing w:before="20" w:after="20"/>
        <w:ind w:left="187" w:hanging="7"/>
        <w:rPr>
          <w:rStyle w:val="Strong"/>
          <w:b w:val="0"/>
          <w:bCs w:val="0"/>
          <w:i w:val="0"/>
        </w:rPr>
      </w:pPr>
      <w:r w:rsidRPr="00B75B77">
        <w:rPr>
          <w:rFonts w:ascii="Calibri" w:hAnsi="Calibri"/>
          <w:i w:val="0"/>
          <w:color w:val="000000"/>
          <w:szCs w:val="18"/>
          <w:vertAlign w:val="superscript"/>
        </w:rPr>
        <w:t>[1]</w:t>
      </w:r>
      <w:r w:rsidRPr="00B75B77">
        <w:rPr>
          <w:rFonts w:ascii="Calibri" w:hAnsi="Calibri"/>
          <w:i w:val="0"/>
          <w:color w:val="000000"/>
          <w:szCs w:val="18"/>
        </w:rPr>
        <w:t xml:space="preserve"> All customer sector totals are exclusive of each other and may be added together to get the Phase II totals.</w:t>
      </w:r>
      <w:r w:rsidRPr="00B75B77">
        <w:rPr>
          <w:rFonts w:ascii="Calibri" w:hAnsi="Calibri"/>
          <w:i w:val="0"/>
          <w:color w:val="000000"/>
          <w:szCs w:val="18"/>
        </w:rPr>
        <w:br/>
      </w:r>
      <w:r w:rsidRPr="00B75B77">
        <w:rPr>
          <w:rFonts w:ascii="Calibri" w:hAnsi="Calibri"/>
          <w:i w:val="0"/>
          <w:color w:val="000000"/>
          <w:szCs w:val="18"/>
          <w:vertAlign w:val="superscript"/>
        </w:rPr>
        <w:t>[2]</w:t>
      </w:r>
      <w:r w:rsidRPr="00B75B77">
        <w:rPr>
          <w:rFonts w:ascii="Calibri" w:hAnsi="Calibri"/>
          <w:i w:val="0"/>
          <w:color w:val="000000"/>
          <w:szCs w:val="18"/>
        </w:rPr>
        <w:t xml:space="preserve"> All reported and verified demand savings in this report include line losses as required.</w:t>
      </w:r>
    </w:p>
    <w:p w:rsidR="000E1EED" w:rsidRPr="00B75B77" w:rsidRDefault="000E1EED" w:rsidP="00D56E1C">
      <w:pPr>
        <w:pStyle w:val="Source"/>
        <w:spacing w:before="20" w:after="20"/>
        <w:ind w:left="187" w:hanging="7"/>
        <w:rPr>
          <w:rStyle w:val="Strong"/>
          <w:b w:val="0"/>
          <w:bCs w:val="0"/>
          <w:i w:val="0"/>
        </w:rPr>
      </w:pPr>
      <w:r w:rsidRPr="00B75B77">
        <w:rPr>
          <w:rStyle w:val="Strong"/>
          <w:b w:val="0"/>
          <w:bCs w:val="0"/>
          <w:i w:val="0"/>
        </w:rPr>
        <w:t xml:space="preserve">Note: </w:t>
      </w:r>
      <w:r w:rsidRPr="00B75B77">
        <w:rPr>
          <w:rFonts w:ascii="Calibri" w:hAnsi="Calibri"/>
          <w:i w:val="0"/>
          <w:iCs/>
          <w:color w:val="000000"/>
          <w:szCs w:val="18"/>
        </w:rPr>
        <w:t>Values in tables may not reconcile exactly with the sum of more detailed level results or previously reported results due to rounding.</w:t>
      </w:r>
    </w:p>
    <w:p w:rsidR="000E1EED" w:rsidRPr="00B75B77" w:rsidRDefault="000E1EED" w:rsidP="00D56E1C">
      <w:pPr>
        <w:pStyle w:val="Source"/>
        <w:spacing w:after="120"/>
        <w:ind w:left="187" w:hanging="7"/>
      </w:pPr>
      <w:r w:rsidRPr="00B75B77">
        <w:t>Source: Navigant analysis</w:t>
      </w:r>
    </w:p>
    <w:p w:rsidR="000E1EED" w:rsidRPr="00B75B77" w:rsidRDefault="000E1EED" w:rsidP="00707B64">
      <w:pPr>
        <w:pStyle w:val="Heading3"/>
      </w:pPr>
      <w:bookmarkStart w:id="761" w:name="_Toc464230475"/>
      <w:bookmarkStart w:id="762" w:name="_Toc466413413"/>
      <w:bookmarkEnd w:id="761"/>
      <w:r w:rsidRPr="00B75B77">
        <w:t>Gross Verified Savings Methodology</w:t>
      </w:r>
      <w:bookmarkEnd w:id="762"/>
      <w:r w:rsidRPr="00B75B77">
        <w:t xml:space="preserve"> </w:t>
      </w:r>
    </w:p>
    <w:p w:rsidR="000E1EED" w:rsidRPr="00B75B77" w:rsidRDefault="000E1EED" w:rsidP="00707B64">
      <w:r w:rsidRPr="00B75B77">
        <w:t xml:space="preserve">Navigant used three main approaches for evaluating the sampled projects: desk reviews, phone verifications, and </w:t>
      </w:r>
      <w:r w:rsidR="00493C06" w:rsidRPr="00B75B77">
        <w:t>onsite</w:t>
      </w:r>
      <w:r w:rsidRPr="00B75B77">
        <w:t xml:space="preserve"> M&amp;V. Navigant completed a desk review for all projects, and carefully reviewed all project documentation and the SIDS for each sampled project. Navigant sampled the population of projects into four categories: municipal lighting, small, medium, and large projects. These projects were determined by the program categorization as well as their energy</w:t>
      </w:r>
      <w:r w:rsidR="00AF5657" w:rsidRPr="00B75B77">
        <w:t xml:space="preserve"> savings</w:t>
      </w:r>
      <w:r w:rsidRPr="00B75B77">
        <w:t xml:space="preserve"> size. Small projects are those with </w:t>
      </w:r>
      <w:proofErr w:type="gramStart"/>
      <w:r w:rsidRPr="00B75B77">
        <w:t>under</w:t>
      </w:r>
      <w:proofErr w:type="gramEnd"/>
      <w:r w:rsidRPr="00B75B77">
        <w:t xml:space="preserve"> 250,000 kWh in energy savings and not municipal lighting</w:t>
      </w:r>
      <w:r w:rsidR="00E02D76" w:rsidRPr="00B75B77">
        <w:t>;</w:t>
      </w:r>
      <w:r w:rsidRPr="00B75B77">
        <w:t xml:space="preserve"> </w:t>
      </w:r>
      <w:r w:rsidR="00E02D76" w:rsidRPr="00B75B77">
        <w:t xml:space="preserve">medium </w:t>
      </w:r>
      <w:r w:rsidRPr="00B75B77">
        <w:t>projects are those between 250,000 kWh and 1,500,000 kWh in energy savings and not municipal lighting</w:t>
      </w:r>
      <w:r w:rsidR="00E02D76" w:rsidRPr="00B75B77">
        <w:t>;</w:t>
      </w:r>
      <w:r w:rsidRPr="00B75B77">
        <w:t xml:space="preserve"> and </w:t>
      </w:r>
      <w:r w:rsidR="00E02D76" w:rsidRPr="00B75B77">
        <w:t>l</w:t>
      </w:r>
      <w:r w:rsidRPr="00B75B77">
        <w:t>arge projects are those with more than 1,500,000 kWh in energy savings.</w:t>
      </w:r>
    </w:p>
    <w:p w:rsidR="00E02D76" w:rsidRPr="00B75B77" w:rsidRDefault="00E02D76" w:rsidP="00707B64"/>
    <w:p w:rsidR="000E1EED" w:rsidRPr="00B75B77" w:rsidRDefault="000E1EED" w:rsidP="009E08FB">
      <w:pPr>
        <w:pStyle w:val="ListParagraph"/>
        <w:numPr>
          <w:ilvl w:val="0"/>
          <w:numId w:val="97"/>
        </w:numPr>
        <w:spacing w:after="60"/>
        <w:contextualSpacing w:val="0"/>
        <w:jc w:val="left"/>
        <w:rPr>
          <w:b/>
        </w:rPr>
      </w:pPr>
      <w:r w:rsidRPr="00B75B77">
        <w:rPr>
          <w:b/>
        </w:rPr>
        <w:t xml:space="preserve">Desk </w:t>
      </w:r>
      <w:r w:rsidR="00E02D76" w:rsidRPr="00B75B77">
        <w:rPr>
          <w:b/>
        </w:rPr>
        <w:t>review</w:t>
      </w:r>
      <w:r w:rsidRPr="00B75B77">
        <w:rPr>
          <w:b/>
        </w:rPr>
        <w:t xml:space="preserve">. </w:t>
      </w:r>
      <w:r w:rsidRPr="00B75B77">
        <w:t xml:space="preserve">All 57 projects underwent a desk review </w:t>
      </w:r>
      <w:r w:rsidR="00E02D76" w:rsidRPr="00B75B77">
        <w:t xml:space="preserve">and </w:t>
      </w:r>
      <w:r w:rsidRPr="00B75B77">
        <w:t>two small strata projects only received a desk review due to difficulty contacting the customer. Navigant made use of project applications, associated calculations, and submitted invoices and specification sheets. Project documentation had to be complete to be used for measure verification. PECO provided project-specific analysis files, invoices, specification sheets, and other retrofit documents for the sampled projects so the evaluation team could conduct the desk reviews. Documentation included scanned files of hard copy application forms and supporting documentation from the applicant (e.g., ex ante impact calculations, invoices, and measure specification sheets), CSP inspection reports, photos of installed measures, and important email and memoranda.</w:t>
      </w:r>
    </w:p>
    <w:p w:rsidR="000E1EED" w:rsidRPr="00B75B77" w:rsidRDefault="000E1EED" w:rsidP="009E08FB">
      <w:pPr>
        <w:pStyle w:val="ListParagraph"/>
        <w:numPr>
          <w:ilvl w:val="0"/>
          <w:numId w:val="97"/>
        </w:numPr>
        <w:spacing w:after="60"/>
        <w:contextualSpacing w:val="0"/>
        <w:jc w:val="left"/>
        <w:rPr>
          <w:b/>
        </w:rPr>
      </w:pPr>
      <w:r w:rsidRPr="00B75B77">
        <w:rPr>
          <w:b/>
        </w:rPr>
        <w:t xml:space="preserve">Phone </w:t>
      </w:r>
      <w:r w:rsidR="00E02D76" w:rsidRPr="00B75B77">
        <w:rPr>
          <w:b/>
        </w:rPr>
        <w:t>verification</w:t>
      </w:r>
      <w:r w:rsidRPr="00B75B77">
        <w:rPr>
          <w:b/>
        </w:rPr>
        <w:t xml:space="preserve">. </w:t>
      </w:r>
      <w:r w:rsidRPr="00B75B77">
        <w:t xml:space="preserve">Navigant supplemented the desk reviews by conducting verification phone calls for eight small and four municipal lighting projects. Navigant used the following criteria when determining which sites could be verified without visiting the site: 1) the project was a small, partially deemed project where the TRM or an IMP applied; 2) the project had relatively small savings (i.e., those in the small sample stratum); and 3) the project documentation was </w:t>
      </w:r>
      <w:r w:rsidRPr="00B75B77">
        <w:lastRenderedPageBreak/>
        <w:t xml:space="preserve">complete and could be used to verify that the measures were installed. The primary objectives of phone verification were to achieve verbal verification of installed measures and to collect the data identified in the SSMVP, including installed quantities and type, equipment nameplate data, operating schedules, and a careful description of site conditions.  </w:t>
      </w:r>
    </w:p>
    <w:p w:rsidR="000E1EED" w:rsidRPr="00B75B77" w:rsidRDefault="000E1EED" w:rsidP="009E08FB">
      <w:pPr>
        <w:pStyle w:val="ListParagraph"/>
        <w:numPr>
          <w:ilvl w:val="0"/>
          <w:numId w:val="97"/>
        </w:numPr>
        <w:spacing w:after="60"/>
        <w:contextualSpacing w:val="0"/>
        <w:jc w:val="left"/>
        <w:rPr>
          <w:b/>
        </w:rPr>
      </w:pPr>
      <w:r w:rsidRPr="00B75B77">
        <w:rPr>
          <w:b/>
        </w:rPr>
        <w:t xml:space="preserve">Onsite </w:t>
      </w:r>
      <w:r w:rsidR="00E02D76" w:rsidRPr="00B75B77">
        <w:rPr>
          <w:b/>
        </w:rPr>
        <w:t>inspections</w:t>
      </w:r>
      <w:r w:rsidRPr="00B75B77">
        <w:rPr>
          <w:b/>
        </w:rPr>
        <w:t xml:space="preserve">. </w:t>
      </w:r>
      <w:r w:rsidRPr="00B75B77">
        <w:t xml:space="preserve">Navigant conducted </w:t>
      </w:r>
      <w:r w:rsidR="00493C06" w:rsidRPr="00B75B77">
        <w:t>onsite</w:t>
      </w:r>
      <w:r w:rsidRPr="00B75B77">
        <w:t xml:space="preserve"> verification for </w:t>
      </w:r>
      <w:r w:rsidR="00E02D76" w:rsidRPr="00B75B77">
        <w:t xml:space="preserve">large and medium </w:t>
      </w:r>
      <w:r w:rsidRPr="00B75B77">
        <w:t xml:space="preserve">sample projects and for </w:t>
      </w:r>
      <w:r w:rsidR="00E02D76" w:rsidRPr="00B75B77">
        <w:t xml:space="preserve">small </w:t>
      </w:r>
      <w:r w:rsidRPr="00B75B77">
        <w:t>projects that did not meet certain requirements to supplement the desk reviews. Navigant visited 43 of the 5</w:t>
      </w:r>
      <w:r w:rsidR="005F7A5B" w:rsidRPr="00B75B77">
        <w:t>8</w:t>
      </w:r>
      <w:r w:rsidRPr="00B75B77">
        <w:t xml:space="preserve"> GNI projects in the sample to verify measure installation. The primary objectives of the visits were to achieve visual verification of installed measures and to collect the data identified in the SSMVP, including installed quantities and type, equipment nameplate data, operating schedules, and a careful description of site conditions. For 37 of the 43 visited sites, Navigant also installed data loggers to measure </w:t>
      </w:r>
      <w:r w:rsidR="009230B4" w:rsidRPr="00B75B77">
        <w:t>runtime</w:t>
      </w:r>
      <w:r w:rsidRPr="00B75B77">
        <w:t xml:space="preserve"> hours and/or energy consumption, downloaded energy consumption data, or completed a billing analysis using utility meter data.  </w:t>
      </w:r>
    </w:p>
    <w:p w:rsidR="000E1EED" w:rsidRPr="00B75B77" w:rsidRDefault="000E1EED" w:rsidP="00707B64"/>
    <w:p w:rsidR="000E1EED" w:rsidRPr="00B75B77" w:rsidRDefault="000E1EED" w:rsidP="00707B64">
      <w:pPr>
        <w:jc w:val="left"/>
      </w:pPr>
      <w:r w:rsidRPr="00B75B77">
        <w:t>The sample design for PY7 SEI projects used stratified ratio estimation similar to the method used in PY5 and PY6. Based on a combined PY7 population of 4</w:t>
      </w:r>
      <w:r w:rsidR="005F7A5B" w:rsidRPr="00B75B77">
        <w:t>70</w:t>
      </w:r>
      <w:r w:rsidRPr="00B75B77">
        <w:t xml:space="preserve"> GNI projects, the final verified sample size for the PY7 evaluation was </w:t>
      </w:r>
      <w:r w:rsidR="005F7A5B" w:rsidRPr="00B75B77">
        <w:t>58</w:t>
      </w:r>
      <w:r w:rsidRPr="00B75B77">
        <w:t xml:space="preserve"> GNI projects, with samples allocated by participation from each quarter and by stratum. The evaluation team designed the final GNI sample to exceed the required 85/15 confidence and precision at the program level with coefficients of variation chosen to reflect the PY4, PY5, and PY6 achieved relative precision targets.</w:t>
      </w:r>
      <w:r w:rsidRPr="00B75B77">
        <w:rPr>
          <w:rStyle w:val="FootnoteReference"/>
        </w:rPr>
        <w:footnoteReference w:id="50"/>
      </w:r>
      <w:r w:rsidRPr="00B75B77">
        <w:t xml:space="preserve"> Navigant also added extra sites to meet the SWE’s request to exceed 90/10 confidence and precision and to better ensure the results meet the required 85/15 confidence and precision.</w:t>
      </w:r>
    </w:p>
    <w:p w:rsidR="000E1EED" w:rsidRPr="00B75B77" w:rsidRDefault="000E1EED" w:rsidP="00707B64"/>
    <w:p w:rsidR="000E1EED" w:rsidRPr="00B75B77" w:rsidRDefault="000E1EED" w:rsidP="00707B64">
      <w:r w:rsidRPr="00B75B77">
        <w:t>The evaluation team defined strata boundaries based participation data, and included approximately the top 33</w:t>
      </w:r>
      <w:r w:rsidR="008D75EE" w:rsidRPr="00B75B77">
        <w:t>%</w:t>
      </w:r>
      <w:r w:rsidRPr="00B75B77">
        <w:t xml:space="preserve"> of reported kWh savings in the </w:t>
      </w:r>
      <w:r w:rsidR="008D75EE" w:rsidRPr="00B75B77">
        <w:t xml:space="preserve">large </w:t>
      </w:r>
      <w:r w:rsidRPr="00B75B77">
        <w:t>stratum, the middle 33</w:t>
      </w:r>
      <w:r w:rsidR="008D75EE" w:rsidRPr="00B75B77">
        <w:t>%</w:t>
      </w:r>
      <w:r w:rsidRPr="00B75B77">
        <w:t xml:space="preserve"> of reported kWh savings in </w:t>
      </w:r>
      <w:r w:rsidR="008D75EE" w:rsidRPr="00B75B77">
        <w:t xml:space="preserve">the medium </w:t>
      </w:r>
      <w:r w:rsidRPr="00B75B77">
        <w:t>stratum, and the lower 33</w:t>
      </w:r>
      <w:r w:rsidR="008D75EE" w:rsidRPr="00B75B77">
        <w:t>%</w:t>
      </w:r>
      <w:r w:rsidRPr="00B75B77">
        <w:t xml:space="preserve"> of reported kWh savings in the </w:t>
      </w:r>
      <w:r w:rsidR="008D75EE" w:rsidRPr="00B75B77">
        <w:t>s</w:t>
      </w:r>
      <w:r w:rsidRPr="00B75B77">
        <w:t xml:space="preserve">mall stratum. This sampling strategy is shown in </w:t>
      </w:r>
      <w:r w:rsidR="00D56E1C" w:rsidRPr="00B75B77">
        <w:fldChar w:fldCharType="begin"/>
      </w:r>
      <w:r w:rsidR="00D56E1C" w:rsidRPr="00B75B77">
        <w:instrText xml:space="preserve"> REF _Ref464223304 \h </w:instrText>
      </w:r>
      <w:r w:rsidR="00B75B77">
        <w:instrText xml:space="preserve"> \* MERGEFORMAT </w:instrText>
      </w:r>
      <w:r w:rsidR="00D56E1C" w:rsidRPr="00B75B77">
        <w:fldChar w:fldCharType="separate"/>
      </w:r>
      <w:r w:rsidR="0004016D" w:rsidRPr="00B75B77">
        <w:t xml:space="preserve">Table </w:t>
      </w:r>
      <w:r w:rsidR="0004016D">
        <w:rPr>
          <w:noProof/>
        </w:rPr>
        <w:t>12</w:t>
      </w:r>
      <w:r w:rsidR="0004016D" w:rsidRPr="00B75B77">
        <w:rPr>
          <w:noProof/>
        </w:rPr>
        <w:noBreakHyphen/>
      </w:r>
      <w:r w:rsidR="0004016D">
        <w:rPr>
          <w:noProof/>
        </w:rPr>
        <w:t>2</w:t>
      </w:r>
      <w:r w:rsidR="00D56E1C" w:rsidRPr="00B75B77">
        <w:fldChar w:fldCharType="end"/>
      </w:r>
      <w:r w:rsidRPr="00B75B77">
        <w:t>.</w:t>
      </w:r>
    </w:p>
    <w:p w:rsidR="000E1EED" w:rsidRPr="00B75B77" w:rsidRDefault="000E1EED" w:rsidP="00707B64">
      <w:pPr>
        <w:pStyle w:val="ListParagraph"/>
        <w:ind w:left="1440"/>
      </w:pPr>
    </w:p>
    <w:p w:rsidR="000E1EED" w:rsidRPr="00B75B77" w:rsidRDefault="000E1EED" w:rsidP="00707B64">
      <w:pPr>
        <w:pStyle w:val="Caption"/>
      </w:pPr>
      <w:bookmarkStart w:id="763" w:name="_Ref464223304"/>
      <w:bookmarkStart w:id="764" w:name="_Toc466413599"/>
      <w:r w:rsidRPr="00B75B77">
        <w:t xml:space="preserve">Table </w:t>
      </w:r>
      <w:fldSimple w:instr=" STYLEREF 1 \s ">
        <w:r w:rsidR="0004016D">
          <w:rPr>
            <w:noProof/>
          </w:rPr>
          <w:t>12</w:t>
        </w:r>
      </w:fldSimple>
      <w:r w:rsidR="00F1144C" w:rsidRPr="00B75B77">
        <w:noBreakHyphen/>
      </w:r>
      <w:fldSimple w:instr=" SEQ Table \* ARABIC \s 1 ">
        <w:r w:rsidR="0004016D">
          <w:rPr>
            <w:noProof/>
          </w:rPr>
          <w:t>2</w:t>
        </w:r>
      </w:fldSimple>
      <w:bookmarkEnd w:id="763"/>
      <w:r w:rsidRPr="00B75B77">
        <w:t>: Smart Equipment Incentives (GNI) Sampling Strategy for PY7</w:t>
      </w:r>
      <w:bookmarkEnd w:id="764"/>
    </w:p>
    <w:tbl>
      <w:tblPr>
        <w:tblStyle w:val="PECOTeal"/>
        <w:tblW w:w="5000" w:type="pct"/>
        <w:tblLook w:val="04A0" w:firstRow="1" w:lastRow="0" w:firstColumn="1" w:lastColumn="0" w:noHBand="0" w:noVBand="1"/>
      </w:tblPr>
      <w:tblGrid>
        <w:gridCol w:w="1733"/>
        <w:gridCol w:w="1406"/>
        <w:gridCol w:w="1331"/>
        <w:gridCol w:w="891"/>
        <w:gridCol w:w="927"/>
        <w:gridCol w:w="3288"/>
      </w:tblGrid>
      <w:tr w:rsidR="000E1EED" w:rsidRPr="00B75B77" w:rsidTr="008D75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1EED" w:rsidRPr="00B75B77" w:rsidRDefault="000E1EED" w:rsidP="00707B64">
            <w:pPr>
              <w:pStyle w:val="TableHeader"/>
              <w:jc w:val="left"/>
              <w:rPr>
                <w:b/>
                <w:color w:val="FFFFFF" w:themeColor="background1"/>
              </w:rPr>
            </w:pPr>
            <w:r w:rsidRPr="00B75B77">
              <w:rPr>
                <w:b/>
                <w:color w:val="FFFFFF" w:themeColor="background1"/>
              </w:rPr>
              <w:t>Stratum</w:t>
            </w:r>
          </w:p>
        </w:tc>
        <w:tc>
          <w:tcPr>
            <w:tcW w:w="7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1EED" w:rsidRPr="00B75B77" w:rsidRDefault="000E1EED" w:rsidP="00707B64">
            <w:pPr>
              <w:pStyle w:val="TableHead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Population Size</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1EED" w:rsidRPr="00B75B77" w:rsidRDefault="000E1EED" w:rsidP="00707B64">
            <w:pPr>
              <w:pStyle w:val="TableHead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Target Levels of Confidence and Precision</w:t>
            </w:r>
          </w:p>
        </w:tc>
        <w:tc>
          <w:tcPr>
            <w:tcW w:w="46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1EED" w:rsidRPr="00B75B77" w:rsidRDefault="000E1EED" w:rsidP="00707B64">
            <w:pPr>
              <w:pStyle w:val="TableHead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Target Sample Size</w:t>
            </w:r>
          </w:p>
        </w:tc>
        <w:tc>
          <w:tcPr>
            <w:tcW w:w="48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1EED" w:rsidRPr="00B75B77" w:rsidRDefault="000E1EED" w:rsidP="00707B64">
            <w:pPr>
              <w:pStyle w:val="TableHead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Achieved Sample Size</w:t>
            </w:r>
          </w:p>
        </w:tc>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1EED" w:rsidRPr="00B75B77" w:rsidRDefault="000E1EED" w:rsidP="008D75EE">
            <w:pPr>
              <w:pStyle w:val="TableHeader"/>
              <w:jc w:val="left"/>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Evaluation Activity</w:t>
            </w:r>
          </w:p>
        </w:tc>
      </w:tr>
      <w:tr w:rsidR="000E1EED" w:rsidRPr="00B75B77" w:rsidTr="008D75E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05" w:type="pct"/>
            <w:tcBorders>
              <w:top w:val="single" w:sz="4" w:space="0" w:color="000000" w:themeColor="text1"/>
            </w:tcBorders>
          </w:tcPr>
          <w:p w:rsidR="000E1EED" w:rsidRPr="00B75B77" w:rsidRDefault="000E1EED" w:rsidP="00707B64">
            <w:pPr>
              <w:pStyle w:val="TableText"/>
              <w:rPr>
                <w:b w:val="0"/>
              </w:rPr>
            </w:pPr>
            <w:r w:rsidRPr="00B75B77">
              <w:rPr>
                <w:rFonts w:ascii="Calibri" w:hAnsi="Calibri"/>
                <w:b w:val="0"/>
                <w:bCs w:val="0"/>
              </w:rPr>
              <w:t>GNI - Large</w:t>
            </w:r>
          </w:p>
        </w:tc>
        <w:tc>
          <w:tcPr>
            <w:tcW w:w="734" w:type="pct"/>
            <w:tcBorders>
              <w:top w:val="single" w:sz="4" w:space="0" w:color="000000" w:themeColor="text1"/>
            </w:tcBorders>
          </w:tcPr>
          <w:p w:rsidR="000E1EED" w:rsidRPr="00B75B77" w:rsidRDefault="000E1EED" w:rsidP="00707B64">
            <w:pPr>
              <w:pStyle w:val="TableText"/>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7</w:t>
            </w:r>
          </w:p>
        </w:tc>
        <w:tc>
          <w:tcPr>
            <w:tcW w:w="695" w:type="pct"/>
            <w:tcBorders>
              <w:top w:val="single" w:sz="4" w:space="0" w:color="000000" w:themeColor="text1"/>
            </w:tcBorders>
          </w:tcPr>
          <w:p w:rsidR="000E1EED" w:rsidRPr="00B75B77" w:rsidRDefault="000E1EED" w:rsidP="00707B64">
            <w:pPr>
              <w:pStyle w:val="TableText"/>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85/15</w:t>
            </w:r>
          </w:p>
        </w:tc>
        <w:tc>
          <w:tcPr>
            <w:tcW w:w="465" w:type="pct"/>
            <w:tcBorders>
              <w:top w:val="single" w:sz="4" w:space="0" w:color="000000" w:themeColor="text1"/>
            </w:tcBorders>
          </w:tcPr>
          <w:p w:rsidR="000E1EED" w:rsidRPr="00B75B77" w:rsidRDefault="000E1EED" w:rsidP="00707B64">
            <w:pPr>
              <w:pStyle w:val="TableText"/>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7</w:t>
            </w:r>
          </w:p>
        </w:tc>
        <w:tc>
          <w:tcPr>
            <w:tcW w:w="484" w:type="pct"/>
            <w:tcBorders>
              <w:top w:val="single" w:sz="4" w:space="0" w:color="000000" w:themeColor="text1"/>
            </w:tcBorders>
          </w:tcPr>
          <w:p w:rsidR="000E1EED" w:rsidRPr="00B75B77" w:rsidRDefault="000E1EED" w:rsidP="00707B64">
            <w:pPr>
              <w:pStyle w:val="TableText"/>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7</w:t>
            </w:r>
          </w:p>
        </w:tc>
        <w:tc>
          <w:tcPr>
            <w:tcW w:w="1717" w:type="pct"/>
            <w:tcBorders>
              <w:top w:val="single" w:sz="4" w:space="0" w:color="000000" w:themeColor="text1"/>
            </w:tcBorders>
          </w:tcPr>
          <w:p w:rsidR="000E1EED" w:rsidRPr="00B75B77" w:rsidRDefault="000E1EED" w:rsidP="008D75EE">
            <w:pPr>
              <w:pStyle w:val="TableText"/>
              <w:cnfStyle w:val="000000100000" w:firstRow="0" w:lastRow="0" w:firstColumn="0" w:lastColumn="0" w:oddVBand="0" w:evenVBand="0" w:oddHBand="1" w:evenHBand="0" w:firstRowFirstColumn="0" w:firstRowLastColumn="0" w:lastRowFirstColumn="0" w:lastRowLastColumn="0"/>
            </w:pPr>
            <w:r w:rsidRPr="00B75B77">
              <w:rPr>
                <w:rFonts w:ascii="Calibri" w:hAnsi="Calibri"/>
              </w:rPr>
              <w:t xml:space="preserve">File </w:t>
            </w:r>
            <w:r w:rsidR="00C363CE" w:rsidRPr="00B75B77">
              <w:rPr>
                <w:rFonts w:ascii="Calibri" w:hAnsi="Calibri"/>
              </w:rPr>
              <w:t>r</w:t>
            </w:r>
            <w:r w:rsidRPr="00B75B77">
              <w:rPr>
                <w:rFonts w:ascii="Calibri" w:hAnsi="Calibri"/>
              </w:rPr>
              <w:t xml:space="preserve">eview </w:t>
            </w:r>
            <w:r w:rsidR="00C363CE" w:rsidRPr="00B75B77">
              <w:rPr>
                <w:rFonts w:ascii="Calibri" w:hAnsi="Calibri"/>
              </w:rPr>
              <w:t>and</w:t>
            </w:r>
            <w:r w:rsidRPr="00B75B77">
              <w:rPr>
                <w:rFonts w:ascii="Calibri" w:hAnsi="Calibri"/>
              </w:rPr>
              <w:t xml:space="preserve"> </w:t>
            </w:r>
            <w:r w:rsidR="00C363CE" w:rsidRPr="00B75B77">
              <w:rPr>
                <w:rFonts w:ascii="Calibri" w:hAnsi="Calibri"/>
              </w:rPr>
              <w:t>i</w:t>
            </w:r>
            <w:r w:rsidRPr="00B75B77">
              <w:rPr>
                <w:rFonts w:ascii="Calibri" w:hAnsi="Calibri"/>
              </w:rPr>
              <w:t xml:space="preserve">mpact </w:t>
            </w:r>
            <w:r w:rsidR="00C363CE" w:rsidRPr="00B75B77">
              <w:rPr>
                <w:rFonts w:ascii="Calibri" w:hAnsi="Calibri"/>
              </w:rPr>
              <w:t>v</w:t>
            </w:r>
            <w:r w:rsidRPr="00B75B77">
              <w:rPr>
                <w:rFonts w:ascii="Calibri" w:hAnsi="Calibri"/>
              </w:rPr>
              <w:t>erification</w:t>
            </w:r>
          </w:p>
        </w:tc>
      </w:tr>
      <w:tr w:rsidR="000E1EED" w:rsidRPr="00B75B77" w:rsidTr="00707B64">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05" w:type="pct"/>
          </w:tcPr>
          <w:p w:rsidR="000E1EED" w:rsidRPr="00B75B77" w:rsidRDefault="000E1EED" w:rsidP="00707B64">
            <w:pPr>
              <w:pStyle w:val="TableText"/>
              <w:rPr>
                <w:b w:val="0"/>
              </w:rPr>
            </w:pPr>
            <w:r w:rsidRPr="00B75B77">
              <w:rPr>
                <w:rFonts w:ascii="Calibri" w:hAnsi="Calibri"/>
                <w:b w:val="0"/>
                <w:bCs w:val="0"/>
              </w:rPr>
              <w:t>GNI - Medium</w:t>
            </w:r>
          </w:p>
        </w:tc>
        <w:tc>
          <w:tcPr>
            <w:tcW w:w="734" w:type="pct"/>
          </w:tcPr>
          <w:p w:rsidR="000E1EED" w:rsidRPr="00B75B77" w:rsidRDefault="000E1EED" w:rsidP="00707B64">
            <w:pPr>
              <w:pStyle w:val="TableText"/>
              <w:jc w:val="center"/>
              <w:cnfStyle w:val="000000010000" w:firstRow="0" w:lastRow="0" w:firstColumn="0" w:lastColumn="0" w:oddVBand="0" w:evenVBand="0" w:oddHBand="0" w:evenHBand="1" w:firstRowFirstColumn="0" w:firstRowLastColumn="0" w:lastRowFirstColumn="0" w:lastRowLastColumn="0"/>
            </w:pPr>
            <w:r w:rsidRPr="00B75B77">
              <w:rPr>
                <w:rFonts w:ascii="Calibri" w:hAnsi="Calibri"/>
              </w:rPr>
              <w:t>65</w:t>
            </w:r>
          </w:p>
        </w:tc>
        <w:tc>
          <w:tcPr>
            <w:tcW w:w="695" w:type="pct"/>
          </w:tcPr>
          <w:p w:rsidR="000E1EED" w:rsidRPr="00B75B77" w:rsidRDefault="000E1EED" w:rsidP="00707B64">
            <w:pPr>
              <w:pStyle w:val="TableText"/>
              <w:jc w:val="center"/>
              <w:cnfStyle w:val="000000010000" w:firstRow="0" w:lastRow="0" w:firstColumn="0" w:lastColumn="0" w:oddVBand="0" w:evenVBand="0" w:oddHBand="0" w:evenHBand="1" w:firstRowFirstColumn="0" w:firstRowLastColumn="0" w:lastRowFirstColumn="0" w:lastRowLastColumn="0"/>
            </w:pPr>
            <w:r w:rsidRPr="00B75B77">
              <w:rPr>
                <w:rFonts w:ascii="Calibri" w:hAnsi="Calibri"/>
              </w:rPr>
              <w:t>85/15</w:t>
            </w:r>
          </w:p>
        </w:tc>
        <w:tc>
          <w:tcPr>
            <w:tcW w:w="465" w:type="pct"/>
          </w:tcPr>
          <w:p w:rsidR="000E1EED" w:rsidRPr="00B75B77" w:rsidRDefault="000E1EED" w:rsidP="00707B64">
            <w:pPr>
              <w:pStyle w:val="TableText"/>
              <w:jc w:val="center"/>
              <w:cnfStyle w:val="000000010000" w:firstRow="0" w:lastRow="0" w:firstColumn="0" w:lastColumn="0" w:oddVBand="0" w:evenVBand="0" w:oddHBand="0" w:evenHBand="1" w:firstRowFirstColumn="0" w:firstRowLastColumn="0" w:lastRowFirstColumn="0" w:lastRowLastColumn="0"/>
            </w:pPr>
            <w:r w:rsidRPr="00B75B77">
              <w:rPr>
                <w:rFonts w:ascii="Calibri" w:hAnsi="Calibri"/>
              </w:rPr>
              <w:t>14</w:t>
            </w:r>
          </w:p>
        </w:tc>
        <w:tc>
          <w:tcPr>
            <w:tcW w:w="484" w:type="pct"/>
          </w:tcPr>
          <w:p w:rsidR="000E1EED" w:rsidRPr="00B75B77" w:rsidRDefault="000E1EED" w:rsidP="00707B64">
            <w:pPr>
              <w:pStyle w:val="TableText"/>
              <w:jc w:val="center"/>
              <w:cnfStyle w:val="000000010000" w:firstRow="0" w:lastRow="0" w:firstColumn="0" w:lastColumn="0" w:oddVBand="0" w:evenVBand="0" w:oddHBand="0" w:evenHBand="1" w:firstRowFirstColumn="0" w:firstRowLastColumn="0" w:lastRowFirstColumn="0" w:lastRowLastColumn="0"/>
            </w:pPr>
            <w:r w:rsidRPr="00B75B77">
              <w:rPr>
                <w:rFonts w:ascii="Calibri" w:hAnsi="Calibri"/>
              </w:rPr>
              <w:t>32</w:t>
            </w:r>
          </w:p>
        </w:tc>
        <w:tc>
          <w:tcPr>
            <w:tcW w:w="1717" w:type="pct"/>
          </w:tcPr>
          <w:p w:rsidR="000E1EED" w:rsidRPr="00B75B77" w:rsidRDefault="00C363CE" w:rsidP="008D75EE">
            <w:pPr>
              <w:pStyle w:val="TableText"/>
              <w:cnfStyle w:val="000000010000" w:firstRow="0" w:lastRow="0" w:firstColumn="0" w:lastColumn="0" w:oddVBand="0" w:evenVBand="0" w:oddHBand="0" w:evenHBand="1" w:firstRowFirstColumn="0" w:firstRowLastColumn="0" w:lastRowFirstColumn="0" w:lastRowLastColumn="0"/>
            </w:pPr>
            <w:r w:rsidRPr="00B75B77">
              <w:rPr>
                <w:rFonts w:ascii="Calibri" w:hAnsi="Calibri"/>
              </w:rPr>
              <w:t>File review and impact verification</w:t>
            </w:r>
          </w:p>
        </w:tc>
      </w:tr>
      <w:tr w:rsidR="000E1EED" w:rsidRPr="00B75B77" w:rsidTr="00707B6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05" w:type="pct"/>
          </w:tcPr>
          <w:p w:rsidR="000E1EED" w:rsidRPr="00B75B77" w:rsidRDefault="000E1EED" w:rsidP="00707B64">
            <w:pPr>
              <w:pStyle w:val="TableText"/>
              <w:rPr>
                <w:b w:val="0"/>
              </w:rPr>
            </w:pPr>
            <w:r w:rsidRPr="00B75B77">
              <w:rPr>
                <w:rFonts w:ascii="Calibri" w:hAnsi="Calibri"/>
                <w:b w:val="0"/>
                <w:bCs w:val="0"/>
              </w:rPr>
              <w:t>GNI - Small</w:t>
            </w:r>
          </w:p>
        </w:tc>
        <w:tc>
          <w:tcPr>
            <w:tcW w:w="734" w:type="pct"/>
          </w:tcPr>
          <w:p w:rsidR="000E1EED" w:rsidRPr="00B75B77" w:rsidRDefault="000E1EED" w:rsidP="00707B64">
            <w:pPr>
              <w:pStyle w:val="TableText"/>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371</w:t>
            </w:r>
          </w:p>
        </w:tc>
        <w:tc>
          <w:tcPr>
            <w:tcW w:w="695" w:type="pct"/>
          </w:tcPr>
          <w:p w:rsidR="000E1EED" w:rsidRPr="00B75B77" w:rsidRDefault="000E1EED" w:rsidP="00707B64">
            <w:pPr>
              <w:pStyle w:val="TableText"/>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85/15</w:t>
            </w:r>
          </w:p>
        </w:tc>
        <w:tc>
          <w:tcPr>
            <w:tcW w:w="465" w:type="pct"/>
          </w:tcPr>
          <w:p w:rsidR="000E1EED" w:rsidRPr="00B75B77" w:rsidRDefault="000E1EED" w:rsidP="00707B64">
            <w:pPr>
              <w:pStyle w:val="TableText"/>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14</w:t>
            </w:r>
          </w:p>
        </w:tc>
        <w:tc>
          <w:tcPr>
            <w:tcW w:w="484" w:type="pct"/>
          </w:tcPr>
          <w:p w:rsidR="000E1EED" w:rsidRPr="00B75B77" w:rsidRDefault="000E1EED" w:rsidP="00707B64">
            <w:pPr>
              <w:pStyle w:val="TableText"/>
              <w:jc w:val="center"/>
              <w:cnfStyle w:val="000000100000" w:firstRow="0" w:lastRow="0" w:firstColumn="0" w:lastColumn="0" w:oddVBand="0" w:evenVBand="0" w:oddHBand="1" w:evenHBand="0" w:firstRowFirstColumn="0" w:firstRowLastColumn="0" w:lastRowFirstColumn="0" w:lastRowLastColumn="0"/>
            </w:pPr>
            <w:r w:rsidRPr="00B75B77">
              <w:rPr>
                <w:rFonts w:ascii="Calibri" w:hAnsi="Calibri"/>
              </w:rPr>
              <w:t>14</w:t>
            </w:r>
          </w:p>
        </w:tc>
        <w:tc>
          <w:tcPr>
            <w:tcW w:w="1717" w:type="pct"/>
          </w:tcPr>
          <w:p w:rsidR="000E1EED" w:rsidRPr="00B75B77" w:rsidRDefault="00C363CE" w:rsidP="008D75EE">
            <w:pPr>
              <w:pStyle w:val="TableText"/>
              <w:cnfStyle w:val="000000100000" w:firstRow="0" w:lastRow="0" w:firstColumn="0" w:lastColumn="0" w:oddVBand="0" w:evenVBand="0" w:oddHBand="1" w:evenHBand="0" w:firstRowFirstColumn="0" w:firstRowLastColumn="0" w:lastRowFirstColumn="0" w:lastRowLastColumn="0"/>
            </w:pPr>
            <w:r w:rsidRPr="00B75B77">
              <w:rPr>
                <w:rFonts w:ascii="Calibri" w:hAnsi="Calibri"/>
              </w:rPr>
              <w:t>File review and impact verification</w:t>
            </w:r>
          </w:p>
        </w:tc>
      </w:tr>
      <w:tr w:rsidR="000E1EED" w:rsidRPr="00B75B77" w:rsidTr="00707B64">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05" w:type="pct"/>
          </w:tcPr>
          <w:p w:rsidR="000E1EED" w:rsidRPr="00B75B77" w:rsidRDefault="000E1EED" w:rsidP="00707B64">
            <w:pPr>
              <w:pStyle w:val="TableText"/>
              <w:rPr>
                <w:b w:val="0"/>
              </w:rPr>
            </w:pPr>
            <w:r w:rsidRPr="00B75B77">
              <w:rPr>
                <w:rFonts w:ascii="Calibri" w:hAnsi="Calibri"/>
                <w:b w:val="0"/>
                <w:bCs w:val="0"/>
              </w:rPr>
              <w:t>GNI - Muni Lighting</w:t>
            </w:r>
          </w:p>
        </w:tc>
        <w:tc>
          <w:tcPr>
            <w:tcW w:w="734" w:type="pct"/>
          </w:tcPr>
          <w:p w:rsidR="000E1EED" w:rsidRPr="00B75B77" w:rsidRDefault="000E1EED" w:rsidP="00707B64">
            <w:pPr>
              <w:pStyle w:val="TableText"/>
              <w:jc w:val="center"/>
              <w:cnfStyle w:val="000000010000" w:firstRow="0" w:lastRow="0" w:firstColumn="0" w:lastColumn="0" w:oddVBand="0" w:evenVBand="0" w:oddHBand="0" w:evenHBand="1" w:firstRowFirstColumn="0" w:firstRowLastColumn="0" w:lastRowFirstColumn="0" w:lastRowLastColumn="0"/>
            </w:pPr>
            <w:r w:rsidRPr="00B75B77">
              <w:rPr>
                <w:rFonts w:ascii="Calibri" w:hAnsi="Calibri"/>
              </w:rPr>
              <w:t>27</w:t>
            </w:r>
          </w:p>
        </w:tc>
        <w:tc>
          <w:tcPr>
            <w:tcW w:w="695" w:type="pct"/>
          </w:tcPr>
          <w:p w:rsidR="000E1EED" w:rsidRPr="00B75B77" w:rsidRDefault="000E1EED" w:rsidP="00707B64">
            <w:pPr>
              <w:pStyle w:val="TableText"/>
              <w:jc w:val="center"/>
              <w:cnfStyle w:val="000000010000" w:firstRow="0" w:lastRow="0" w:firstColumn="0" w:lastColumn="0" w:oddVBand="0" w:evenVBand="0" w:oddHBand="0" w:evenHBand="1" w:firstRowFirstColumn="0" w:firstRowLastColumn="0" w:lastRowFirstColumn="0" w:lastRowLastColumn="0"/>
            </w:pPr>
            <w:r w:rsidRPr="00B75B77">
              <w:rPr>
                <w:rFonts w:ascii="Calibri" w:hAnsi="Calibri"/>
              </w:rPr>
              <w:t>85/15</w:t>
            </w:r>
          </w:p>
        </w:tc>
        <w:tc>
          <w:tcPr>
            <w:tcW w:w="465" w:type="pct"/>
          </w:tcPr>
          <w:p w:rsidR="000E1EED" w:rsidRPr="00B75B77" w:rsidRDefault="000E1EED" w:rsidP="00707B64">
            <w:pPr>
              <w:pStyle w:val="TableText"/>
              <w:jc w:val="center"/>
              <w:cnfStyle w:val="000000010000" w:firstRow="0" w:lastRow="0" w:firstColumn="0" w:lastColumn="0" w:oddVBand="0" w:evenVBand="0" w:oddHBand="0" w:evenHBand="1" w:firstRowFirstColumn="0" w:firstRowLastColumn="0" w:lastRowFirstColumn="0" w:lastRowLastColumn="0"/>
            </w:pPr>
            <w:r w:rsidRPr="00B75B77">
              <w:rPr>
                <w:rFonts w:ascii="Calibri" w:hAnsi="Calibri"/>
              </w:rPr>
              <w:t>4</w:t>
            </w:r>
          </w:p>
        </w:tc>
        <w:tc>
          <w:tcPr>
            <w:tcW w:w="484" w:type="pct"/>
          </w:tcPr>
          <w:p w:rsidR="000E1EED" w:rsidRPr="00B75B77" w:rsidRDefault="000E1EED" w:rsidP="00707B64">
            <w:pPr>
              <w:pStyle w:val="TableText"/>
              <w:jc w:val="center"/>
              <w:cnfStyle w:val="000000010000" w:firstRow="0" w:lastRow="0" w:firstColumn="0" w:lastColumn="0" w:oddVBand="0" w:evenVBand="0" w:oddHBand="0" w:evenHBand="1" w:firstRowFirstColumn="0" w:firstRowLastColumn="0" w:lastRowFirstColumn="0" w:lastRowLastColumn="0"/>
            </w:pPr>
            <w:r w:rsidRPr="00B75B77">
              <w:rPr>
                <w:rFonts w:ascii="Calibri" w:hAnsi="Calibri"/>
              </w:rPr>
              <w:t>5</w:t>
            </w:r>
          </w:p>
        </w:tc>
        <w:tc>
          <w:tcPr>
            <w:tcW w:w="1717" w:type="pct"/>
          </w:tcPr>
          <w:p w:rsidR="000E1EED" w:rsidRPr="00B75B77" w:rsidRDefault="00C363CE" w:rsidP="008D75EE">
            <w:pPr>
              <w:pStyle w:val="TableText"/>
              <w:cnfStyle w:val="000000010000" w:firstRow="0" w:lastRow="0" w:firstColumn="0" w:lastColumn="0" w:oddVBand="0" w:evenVBand="0" w:oddHBand="0" w:evenHBand="1" w:firstRowFirstColumn="0" w:firstRowLastColumn="0" w:lastRowFirstColumn="0" w:lastRowLastColumn="0"/>
            </w:pPr>
            <w:r w:rsidRPr="00B75B77">
              <w:rPr>
                <w:rFonts w:ascii="Calibri" w:hAnsi="Calibri"/>
              </w:rPr>
              <w:t>File review and impact verification</w:t>
            </w:r>
          </w:p>
        </w:tc>
      </w:tr>
      <w:tr w:rsidR="000E1EED" w:rsidRPr="00B75B77" w:rsidTr="00707B6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05" w:type="pct"/>
          </w:tcPr>
          <w:p w:rsidR="000E1EED" w:rsidRPr="00B75B77" w:rsidRDefault="000E1EED" w:rsidP="00707B64">
            <w:pPr>
              <w:pStyle w:val="TableHeader"/>
              <w:jc w:val="left"/>
              <w:rPr>
                <w:b/>
                <w:caps/>
              </w:rPr>
            </w:pPr>
            <w:r w:rsidRPr="00B75B77">
              <w:rPr>
                <w:b/>
                <w:caps/>
              </w:rPr>
              <w:t>Program Total</w:t>
            </w:r>
          </w:p>
        </w:tc>
        <w:tc>
          <w:tcPr>
            <w:tcW w:w="734" w:type="pct"/>
          </w:tcPr>
          <w:p w:rsidR="000E1EED" w:rsidRPr="00B75B77" w:rsidRDefault="000E1EED" w:rsidP="00707B64">
            <w:pPr>
              <w:pStyle w:val="TableText"/>
              <w:jc w:val="center"/>
              <w:cnfStyle w:val="000000100000" w:firstRow="0" w:lastRow="0" w:firstColumn="0" w:lastColumn="0" w:oddVBand="0" w:evenVBand="0" w:oddHBand="1" w:evenHBand="0" w:firstRowFirstColumn="0" w:firstRowLastColumn="0" w:lastRowFirstColumn="0" w:lastRowLastColumn="0"/>
              <w:rPr>
                <w:b/>
              </w:rPr>
            </w:pPr>
            <w:r w:rsidRPr="00B75B77">
              <w:rPr>
                <w:b/>
              </w:rPr>
              <w:t>470</w:t>
            </w:r>
          </w:p>
        </w:tc>
        <w:tc>
          <w:tcPr>
            <w:tcW w:w="695" w:type="pct"/>
          </w:tcPr>
          <w:p w:rsidR="000E1EED" w:rsidRPr="00B75B77" w:rsidRDefault="000E1EED" w:rsidP="00707B64">
            <w:pPr>
              <w:pStyle w:val="TableText"/>
              <w:jc w:val="center"/>
              <w:cnfStyle w:val="000000100000" w:firstRow="0" w:lastRow="0" w:firstColumn="0" w:lastColumn="0" w:oddVBand="0" w:evenVBand="0" w:oddHBand="1" w:evenHBand="0" w:firstRowFirstColumn="0" w:firstRowLastColumn="0" w:lastRowFirstColumn="0" w:lastRowLastColumn="0"/>
              <w:rPr>
                <w:b/>
              </w:rPr>
            </w:pPr>
            <w:r w:rsidRPr="00B75B77">
              <w:rPr>
                <w:rFonts w:ascii="Calibri" w:hAnsi="Calibri"/>
                <w:b/>
              </w:rPr>
              <w:t>85/15</w:t>
            </w:r>
          </w:p>
        </w:tc>
        <w:tc>
          <w:tcPr>
            <w:tcW w:w="465" w:type="pct"/>
          </w:tcPr>
          <w:p w:rsidR="000E1EED" w:rsidRPr="00B75B77" w:rsidRDefault="000E1EED" w:rsidP="00707B64">
            <w:pPr>
              <w:pStyle w:val="TableText"/>
              <w:jc w:val="center"/>
              <w:cnfStyle w:val="000000100000" w:firstRow="0" w:lastRow="0" w:firstColumn="0" w:lastColumn="0" w:oddVBand="0" w:evenVBand="0" w:oddHBand="1" w:evenHBand="0" w:firstRowFirstColumn="0" w:firstRowLastColumn="0" w:lastRowFirstColumn="0" w:lastRowLastColumn="0"/>
              <w:rPr>
                <w:b/>
              </w:rPr>
            </w:pPr>
            <w:r w:rsidRPr="00B75B77">
              <w:rPr>
                <w:b/>
              </w:rPr>
              <w:t>39</w:t>
            </w:r>
          </w:p>
        </w:tc>
        <w:tc>
          <w:tcPr>
            <w:tcW w:w="484" w:type="pct"/>
          </w:tcPr>
          <w:p w:rsidR="000E1EED" w:rsidRPr="00B75B77" w:rsidRDefault="000E1EED" w:rsidP="00707B64">
            <w:pPr>
              <w:pStyle w:val="TableText"/>
              <w:jc w:val="center"/>
              <w:cnfStyle w:val="000000100000" w:firstRow="0" w:lastRow="0" w:firstColumn="0" w:lastColumn="0" w:oddVBand="0" w:evenVBand="0" w:oddHBand="1" w:evenHBand="0" w:firstRowFirstColumn="0" w:firstRowLastColumn="0" w:lastRowFirstColumn="0" w:lastRowLastColumn="0"/>
              <w:rPr>
                <w:b/>
              </w:rPr>
            </w:pPr>
            <w:r w:rsidRPr="00B75B77">
              <w:rPr>
                <w:b/>
              </w:rPr>
              <w:t>58</w:t>
            </w:r>
          </w:p>
        </w:tc>
        <w:tc>
          <w:tcPr>
            <w:tcW w:w="1717" w:type="pct"/>
          </w:tcPr>
          <w:p w:rsidR="000E1EED" w:rsidRPr="00B75B77" w:rsidRDefault="00A377A2" w:rsidP="008D75EE">
            <w:pPr>
              <w:pStyle w:val="TableText"/>
              <w:cnfStyle w:val="000000100000" w:firstRow="0" w:lastRow="0" w:firstColumn="0" w:lastColumn="0" w:oddVBand="0" w:evenVBand="0" w:oddHBand="1" w:evenHBand="0" w:firstRowFirstColumn="0" w:firstRowLastColumn="0" w:lastRowFirstColumn="0" w:lastRowLastColumn="0"/>
              <w:rPr>
                <w:b/>
              </w:rPr>
            </w:pPr>
            <w:r w:rsidRPr="00B75B77">
              <w:rPr>
                <w:b/>
              </w:rPr>
              <w:t>File review and impact verification</w:t>
            </w:r>
          </w:p>
        </w:tc>
      </w:tr>
    </w:tbl>
    <w:p w:rsidR="000E1EED" w:rsidRPr="00B75B77" w:rsidRDefault="000E1EED" w:rsidP="008D75EE">
      <w:pPr>
        <w:pStyle w:val="Source"/>
        <w:spacing w:before="20" w:after="20"/>
        <w:ind w:left="187" w:firstLine="0"/>
        <w:rPr>
          <w:i w:val="0"/>
        </w:rPr>
      </w:pPr>
      <w:r w:rsidRPr="00B75B77">
        <w:rPr>
          <w:i w:val="0"/>
        </w:rPr>
        <w:t xml:space="preserve">Note: </w:t>
      </w:r>
      <w:r w:rsidRPr="00B75B77">
        <w:rPr>
          <w:rFonts w:ascii="Calibri" w:hAnsi="Calibri"/>
          <w:i w:val="0"/>
          <w:iCs/>
          <w:color w:val="000000"/>
          <w:szCs w:val="18"/>
        </w:rPr>
        <w:t>Values in tables may not reconcile exactly with the sum of more detailed level results or previously reported results due to rounding.</w:t>
      </w:r>
    </w:p>
    <w:p w:rsidR="000E1EED" w:rsidRPr="00B75B77" w:rsidRDefault="000E1EED" w:rsidP="008D75EE">
      <w:pPr>
        <w:pStyle w:val="Source"/>
        <w:spacing w:after="120"/>
        <w:ind w:left="734" w:hanging="547"/>
      </w:pPr>
      <w:r w:rsidRPr="00B75B77">
        <w:t>Source: Naviga</w:t>
      </w:r>
      <w:r w:rsidRPr="00B75B77">
        <w:rPr>
          <w:rStyle w:val="SourceChar"/>
        </w:rPr>
        <w:t>n</w:t>
      </w:r>
      <w:r w:rsidRPr="00B75B77">
        <w:t>t analysis</w:t>
      </w:r>
    </w:p>
    <w:p w:rsidR="000E1EED" w:rsidRPr="00B75B77" w:rsidRDefault="000E1EED" w:rsidP="00707B64">
      <w:r w:rsidRPr="00B75B77">
        <w:t xml:space="preserve">The evaluation team pulled the sample in three stages: after Q2 using both Q1 and Q2 data, after Q3, and after Q4. During each stage, the team reviewed the sample design and made adjustments as </w:t>
      </w:r>
      <w:r w:rsidRPr="00B75B77">
        <w:lastRenderedPageBreak/>
        <w:t>needed to ensure that the sample would meet the target confidence and precision. This process included reviewing the projects in the pipeline and estimating the number of projects that would be completed prior to the end of PY7. The percentage of total projects sampled during each stage was based on the number of completed projects in that stage as a proportion of the expected number of projects for the entire program year. Lastly, the team included all projects in the sample design, but only sampled from projects representing the top 98</w:t>
      </w:r>
      <w:r w:rsidR="008D75EE" w:rsidRPr="00B75B77">
        <w:t>%</w:t>
      </w:r>
      <w:r w:rsidRPr="00B75B77">
        <w:t xml:space="preserve"> of aggregate program savings. The team determined that sampling from the smallest projects representing the bottom 2</w:t>
      </w:r>
      <w:r w:rsidR="008D75EE" w:rsidRPr="00B75B77">
        <w:t>%</w:t>
      </w:r>
      <w:r w:rsidRPr="00B75B77">
        <w:t xml:space="preserve"> of aggregate program savings would be of limited value to the program evaluation. The team also worked to mitigate systematic uncertainty in the PY7 evaluation. The sources, examples, and strategies to mitigate systematic uncertainty are listed below.</w:t>
      </w:r>
    </w:p>
    <w:p w:rsidR="000E1EED" w:rsidRPr="00B75B77" w:rsidRDefault="000E1EED" w:rsidP="00707B64"/>
    <w:p w:rsidR="000E1EED" w:rsidRPr="00B75B77" w:rsidRDefault="000E1EED" w:rsidP="009E08FB">
      <w:pPr>
        <w:pStyle w:val="ListParagraph"/>
        <w:numPr>
          <w:ilvl w:val="0"/>
          <w:numId w:val="70"/>
        </w:numPr>
        <w:spacing w:after="60"/>
        <w:contextualSpacing w:val="0"/>
        <w:jc w:val="left"/>
      </w:pPr>
      <w:r w:rsidRPr="00B75B77">
        <w:rPr>
          <w:b/>
        </w:rPr>
        <w:t>Source:</w:t>
      </w:r>
      <w:r w:rsidRPr="00B75B77">
        <w:t xml:space="preserve"> Onsite metering</w:t>
      </w:r>
    </w:p>
    <w:p w:rsidR="000E1EED" w:rsidRPr="00B75B77" w:rsidRDefault="000E1EED" w:rsidP="008D75EE">
      <w:pPr>
        <w:pStyle w:val="ListParagraph"/>
        <w:spacing w:after="60"/>
        <w:contextualSpacing w:val="0"/>
        <w:jc w:val="left"/>
      </w:pPr>
      <w:r w:rsidRPr="00B75B77">
        <w:rPr>
          <w:b/>
        </w:rPr>
        <w:t>Examples:</w:t>
      </w:r>
      <w:r w:rsidRPr="00B75B77">
        <w:t xml:space="preserve"> Uncertainty in the metering device itself, equipment placement, poor calibration</w:t>
      </w:r>
    </w:p>
    <w:p w:rsidR="000E1EED" w:rsidRPr="00B75B77" w:rsidRDefault="000E1EED" w:rsidP="008D75EE">
      <w:pPr>
        <w:pStyle w:val="ListParagraph"/>
        <w:spacing w:after="60"/>
        <w:contextualSpacing w:val="0"/>
        <w:jc w:val="left"/>
      </w:pPr>
      <w:r w:rsidRPr="00B75B77">
        <w:rPr>
          <w:b/>
        </w:rPr>
        <w:t>Strategies to Mitigate:</w:t>
      </w:r>
      <w:r w:rsidRPr="00B75B77">
        <w:t xml:space="preserve"> Systematic uncertainty could have been found in the placement of lighting loggers. If the lighting loggers were not correctly placed, they may have been influenced by alternative lighting sources, including non-program</w:t>
      </w:r>
      <w:r w:rsidR="00AF5657" w:rsidRPr="00B75B77">
        <w:t>-</w:t>
      </w:r>
      <w:r w:rsidRPr="00B75B77">
        <w:t xml:space="preserve">incentivized lighting or natural sunlight. To </w:t>
      </w:r>
      <w:proofErr w:type="gramStart"/>
      <w:r w:rsidRPr="00B75B77">
        <w:t>mitigate</w:t>
      </w:r>
      <w:proofErr w:type="gramEnd"/>
      <w:r w:rsidRPr="00B75B77">
        <w:t xml:space="preserve"> against this uncertainty, Navigant reviewed all logger data to ensure that it was reasonable. Navigant also decided to not use certain logger data if the information was not reasonably comparable with normal lighting use. Navigant ensured against systematic uncertainty in equipment by utilizing experienced field staff to deploy and ensure metering equipment was installed correctly.</w:t>
      </w:r>
    </w:p>
    <w:p w:rsidR="000E1EED" w:rsidRPr="00B75B77" w:rsidRDefault="000E1EED" w:rsidP="009E08FB">
      <w:pPr>
        <w:pStyle w:val="ListParagraph"/>
        <w:numPr>
          <w:ilvl w:val="0"/>
          <w:numId w:val="70"/>
        </w:numPr>
        <w:spacing w:after="60"/>
        <w:contextualSpacing w:val="0"/>
        <w:jc w:val="left"/>
      </w:pPr>
      <w:r w:rsidRPr="00B75B77">
        <w:rPr>
          <w:b/>
        </w:rPr>
        <w:t>Source:</w:t>
      </w:r>
      <w:r w:rsidRPr="00B75B77">
        <w:t xml:space="preserve"> Survey design</w:t>
      </w:r>
    </w:p>
    <w:p w:rsidR="000E1EED" w:rsidRPr="00B75B77" w:rsidRDefault="000E1EED" w:rsidP="008D75EE">
      <w:pPr>
        <w:pStyle w:val="ListParagraph"/>
        <w:spacing w:after="60"/>
        <w:contextualSpacing w:val="0"/>
        <w:jc w:val="left"/>
      </w:pPr>
      <w:r w:rsidRPr="00B75B77">
        <w:rPr>
          <w:b/>
        </w:rPr>
        <w:t>Examples:</w:t>
      </w:r>
      <w:r w:rsidRPr="00B75B77">
        <w:t xml:space="preserve"> Incomplete information collected onsite, leading survey questions</w:t>
      </w:r>
    </w:p>
    <w:p w:rsidR="000E1EED" w:rsidRPr="00B75B77" w:rsidRDefault="000E1EED" w:rsidP="008D75EE">
      <w:pPr>
        <w:pStyle w:val="ListParagraph"/>
        <w:spacing w:after="60"/>
        <w:contextualSpacing w:val="0"/>
        <w:jc w:val="left"/>
      </w:pPr>
      <w:r w:rsidRPr="00B75B77">
        <w:rPr>
          <w:b/>
        </w:rPr>
        <w:t xml:space="preserve">Strategies to Mitigate: </w:t>
      </w:r>
      <w:r w:rsidRPr="00B75B77">
        <w:t xml:space="preserve">Systematic uncertainty could have been found in the collection of information while onsite. To prevent against any potential information lost, Navigant followed up with the customer on any uncertain items such as </w:t>
      </w:r>
      <w:r w:rsidR="00FA45FF" w:rsidRPr="00B75B77">
        <w:t>HOU</w:t>
      </w:r>
      <w:r w:rsidRPr="00B75B77">
        <w:t>, baseline questions, etc.</w:t>
      </w:r>
    </w:p>
    <w:p w:rsidR="000E1EED" w:rsidRPr="00B75B77" w:rsidRDefault="000E1EED" w:rsidP="009E08FB">
      <w:pPr>
        <w:pStyle w:val="ListParagraph"/>
        <w:numPr>
          <w:ilvl w:val="0"/>
          <w:numId w:val="70"/>
        </w:numPr>
        <w:spacing w:after="60"/>
        <w:contextualSpacing w:val="0"/>
        <w:jc w:val="left"/>
      </w:pPr>
      <w:r w:rsidRPr="00B75B77">
        <w:rPr>
          <w:b/>
        </w:rPr>
        <w:t>Source:</w:t>
      </w:r>
      <w:r w:rsidRPr="00B75B77">
        <w:t xml:space="preserve"> Human error during site visits</w:t>
      </w:r>
    </w:p>
    <w:p w:rsidR="000E1EED" w:rsidRPr="00B75B77" w:rsidRDefault="000E1EED" w:rsidP="008D75EE">
      <w:pPr>
        <w:pStyle w:val="ListParagraph"/>
        <w:spacing w:after="60"/>
        <w:contextualSpacing w:val="0"/>
        <w:jc w:val="left"/>
      </w:pPr>
      <w:r w:rsidRPr="00B75B77">
        <w:rPr>
          <w:b/>
        </w:rPr>
        <w:t>Example:</w:t>
      </w:r>
      <w:r w:rsidRPr="00B75B77">
        <w:t xml:space="preserve"> Forgetting to complete a key field on the field form</w:t>
      </w:r>
    </w:p>
    <w:p w:rsidR="000E1EED" w:rsidRPr="00B75B77" w:rsidRDefault="000E1EED" w:rsidP="008D75EE">
      <w:pPr>
        <w:pStyle w:val="ListParagraph"/>
        <w:spacing w:after="60"/>
        <w:contextualSpacing w:val="0"/>
        <w:jc w:val="left"/>
      </w:pPr>
      <w:r w:rsidRPr="00B75B77">
        <w:rPr>
          <w:b/>
        </w:rPr>
        <w:t>Strategies to Mitigate:</w:t>
      </w:r>
      <w:r w:rsidRPr="00B75B77">
        <w:t xml:space="preserve"> Systematic uncertainty could have been found in the information gathered while onsite. To prevent against this, Navigant trained field staff before completing onsite visits and also reviewed field forms to ensure that all proper information was collected from the field staff.</w:t>
      </w:r>
    </w:p>
    <w:p w:rsidR="000E1EED" w:rsidRPr="00B75B77" w:rsidRDefault="000E1EED" w:rsidP="009E08FB">
      <w:pPr>
        <w:pStyle w:val="ListParagraph"/>
        <w:numPr>
          <w:ilvl w:val="0"/>
          <w:numId w:val="70"/>
        </w:numPr>
        <w:spacing w:after="60"/>
        <w:contextualSpacing w:val="0"/>
        <w:jc w:val="left"/>
      </w:pPr>
      <w:r w:rsidRPr="00B75B77">
        <w:rPr>
          <w:b/>
        </w:rPr>
        <w:t xml:space="preserve">Source: </w:t>
      </w:r>
      <w:r w:rsidRPr="00B75B77">
        <w:t>Sample design</w:t>
      </w:r>
    </w:p>
    <w:p w:rsidR="000E1EED" w:rsidRPr="00B75B77" w:rsidRDefault="000E1EED" w:rsidP="008D75EE">
      <w:pPr>
        <w:pStyle w:val="ListParagraph"/>
        <w:spacing w:after="60"/>
        <w:contextualSpacing w:val="0"/>
        <w:jc w:val="left"/>
      </w:pPr>
      <w:r w:rsidRPr="00B75B77">
        <w:rPr>
          <w:b/>
        </w:rPr>
        <w:t xml:space="preserve">Examples: </w:t>
      </w:r>
      <w:r w:rsidRPr="00B75B77">
        <w:t>Non-coverage errors, non-response bias, self-selection bias</w:t>
      </w:r>
    </w:p>
    <w:p w:rsidR="000E1EED" w:rsidRPr="00B75B77" w:rsidRDefault="000E1EED" w:rsidP="008D75EE">
      <w:pPr>
        <w:pStyle w:val="ListParagraph"/>
        <w:spacing w:after="60"/>
        <w:contextualSpacing w:val="0"/>
        <w:jc w:val="left"/>
      </w:pPr>
      <w:r w:rsidRPr="00B75B77">
        <w:rPr>
          <w:b/>
        </w:rPr>
        <w:t>Strategies to Mitigate:</w:t>
      </w:r>
      <w:r w:rsidRPr="00B75B77">
        <w:t xml:space="preserve"> Navigant solicited the help of PECO to contact a few of the sampled sites. Navigant reviewed the sampled sites to ensure that it was representative of the entire population. </w:t>
      </w:r>
    </w:p>
    <w:p w:rsidR="000E1EED" w:rsidRPr="00B75B77" w:rsidRDefault="000E1EED" w:rsidP="00707B64"/>
    <w:p w:rsidR="000E1EED" w:rsidRPr="00B75B77" w:rsidRDefault="000E1EED" w:rsidP="00707B64">
      <w:r w:rsidRPr="00B75B77">
        <w:t>The evaluation team verified gross impacts for demand and energy through different approaches for the three categories of measures in this program: 1) deemed</w:t>
      </w:r>
      <w:r w:rsidR="00845869" w:rsidRPr="00B75B77">
        <w:t>,</w:t>
      </w:r>
      <w:r w:rsidRPr="00B75B77">
        <w:t xml:space="preserve"> 2) partially deemed</w:t>
      </w:r>
      <w:r w:rsidR="00845869" w:rsidRPr="00B75B77">
        <w:t>,</w:t>
      </w:r>
      <w:r w:rsidRPr="00B75B77">
        <w:t xml:space="preserve"> and 3) custom measures. The measures in these categories are defined by the TRM and IMP approved by the Pennsylvania PUC through the SWE team. The impacts for deemed measures were provided in the TRM or in an approved IMP. The evaluation approach for deemed measures was to verify both the installed quantity and that the installed measure matched the TRM-required specifications.</w:t>
      </w:r>
    </w:p>
    <w:p w:rsidR="000E1EED" w:rsidRPr="00B75B77" w:rsidRDefault="000E1EED" w:rsidP="00707B64"/>
    <w:p w:rsidR="000E1EED" w:rsidRPr="00B75B77" w:rsidRDefault="000E1EED" w:rsidP="00707B64">
      <w:r w:rsidRPr="00B75B77">
        <w:t xml:space="preserve">The TRM or approved IMP provided the algorithms and default assumptions for calculating the impacts and the variables to be verified for partially deemed measures. Depending on the complexity of the </w:t>
      </w:r>
      <w:r w:rsidRPr="00B75B77">
        <w:lastRenderedPageBreak/>
        <w:t>partially deemed measure, the evaluation team applied either a basic or enhanced level of rigor</w:t>
      </w:r>
      <w:r w:rsidR="008D75EE" w:rsidRPr="00B75B77">
        <w:t>,</w:t>
      </w:r>
      <w:r w:rsidRPr="00B75B77">
        <w:t xml:space="preserve"> as described in the applicable protocols and the Audit Plan. The evaluation team conducted an application and file review and developed a SSMVP for all partially deemed projects. The team completed site visits (or phone interviews if the criteria described above were satisfied) following the activities laid out in the SSMVP and calculated verified savings using the variables determined through the site visit or phone interview in accordance with the TRM or IMP.</w:t>
      </w:r>
    </w:p>
    <w:p w:rsidR="000E1EED" w:rsidRPr="00B75B77" w:rsidRDefault="000E1EED" w:rsidP="00707B64"/>
    <w:p w:rsidR="000E1EED" w:rsidRPr="00B75B77" w:rsidRDefault="000E1EED" w:rsidP="00707B64">
      <w:r w:rsidRPr="00B75B77">
        <w:t xml:space="preserve">For projects that included custom measures (defined as measures not included in the TRM or in an IMP, or measures that were initially reported as TRM measures but determined through the evaluation to be custom), the evaluation team conducted an application review, developed </w:t>
      </w:r>
      <w:r w:rsidR="008D75EE" w:rsidRPr="00B75B77">
        <w:t>a SSMVP</w:t>
      </w:r>
      <w:r w:rsidRPr="00B75B77">
        <w:t>, and conducted a site visit. The primary difference was that there were no deemed variables and all custom measures followed an enhanced rigor level of effort.</w:t>
      </w:r>
    </w:p>
    <w:p w:rsidR="000E1EED" w:rsidRPr="00B75B77" w:rsidRDefault="000E1EED" w:rsidP="00707B64"/>
    <w:p w:rsidR="000E1EED" w:rsidRPr="00B75B77" w:rsidRDefault="000E1EED" w:rsidP="00707B64">
      <w:r w:rsidRPr="00B75B77" w:rsidDel="00A41E3D">
        <w:t>The peak kW savings estimation methodology was consistent with the SWE’s requirements for each project.</w:t>
      </w:r>
      <w:r w:rsidRPr="00B75B77" w:rsidDel="00A41E3D">
        <w:rPr>
          <w:rStyle w:val="FootnoteReference"/>
        </w:rPr>
        <w:footnoteReference w:id="51"/>
      </w:r>
      <w:r w:rsidRPr="00B75B77" w:rsidDel="00A41E3D">
        <w:t xml:space="preserve"> These requirements align with the PJM peak demand period defined as 2:00-6:00 p.m. on non-holiday weekdays during June, July, and August. The evaluation of PY</w:t>
      </w:r>
      <w:r w:rsidRPr="00B75B77">
        <w:t>7</w:t>
      </w:r>
      <w:r w:rsidRPr="00B75B77" w:rsidDel="00A41E3D">
        <w:t xml:space="preserve"> projects included a review of program tracking data</w:t>
      </w:r>
      <w:r w:rsidRPr="00B75B77">
        <w:t>.</w:t>
      </w:r>
    </w:p>
    <w:p w:rsidR="000E1EED" w:rsidRPr="00B75B77" w:rsidRDefault="000E1EED" w:rsidP="00707B64"/>
    <w:p w:rsidR="000E1EED" w:rsidRPr="00B75B77" w:rsidRDefault="000E1EED" w:rsidP="00707B64">
      <w:pPr>
        <w:pStyle w:val="Heading3"/>
      </w:pPr>
      <w:bookmarkStart w:id="765" w:name="_Toc466413414"/>
      <w:r w:rsidRPr="00B75B77">
        <w:t>Gross Verified Savings Results</w:t>
      </w:r>
      <w:bookmarkEnd w:id="765"/>
      <w:r w:rsidRPr="00B75B77">
        <w:t xml:space="preserve"> </w:t>
      </w:r>
    </w:p>
    <w:p w:rsidR="000E1EED" w:rsidRPr="00B75B77" w:rsidRDefault="000E1EED" w:rsidP="00707B64">
      <w:r w:rsidRPr="00B75B77">
        <w:rPr>
          <w:szCs w:val="20"/>
        </w:rPr>
        <w:t xml:space="preserve">In PY7, the SEI GNI </w:t>
      </w:r>
      <w:proofErr w:type="gramStart"/>
      <w:r w:rsidRPr="00B75B77">
        <w:rPr>
          <w:szCs w:val="20"/>
        </w:rPr>
        <w:t xml:space="preserve">program </w:t>
      </w:r>
      <w:r w:rsidR="00845869" w:rsidRPr="00B75B77">
        <w:rPr>
          <w:szCs w:val="20"/>
        </w:rPr>
        <w:t>achieve</w:t>
      </w:r>
      <w:proofErr w:type="gramEnd"/>
      <w:r w:rsidRPr="00B75B77" w:rsidDel="00845869">
        <w:rPr>
          <w:szCs w:val="20"/>
        </w:rPr>
        <w:t xml:space="preserve"> a gross realization </w:t>
      </w:r>
      <w:r w:rsidR="00845869" w:rsidRPr="00B75B77">
        <w:rPr>
          <w:szCs w:val="20"/>
        </w:rPr>
        <w:t>rate</w:t>
      </w:r>
      <w:r w:rsidRPr="00B75B77">
        <w:rPr>
          <w:szCs w:val="20"/>
        </w:rPr>
        <w:t xml:space="preserve"> of </w:t>
      </w:r>
      <w:r w:rsidRPr="00B75B77">
        <w:t>0.99 for energy</w:t>
      </w:r>
      <w:r w:rsidRPr="00B75B77">
        <w:rPr>
          <w:szCs w:val="20"/>
        </w:rPr>
        <w:t xml:space="preserve">. The program’s verified energy savings was 97,110 MWh/yr. The program-level relative precision was </w:t>
      </w:r>
      <w:r w:rsidR="002C1F78" w:rsidRPr="00B75B77">
        <w:rPr>
          <w:szCs w:val="20"/>
        </w:rPr>
        <w:t>7</w:t>
      </w:r>
      <w:r w:rsidR="007665E5" w:rsidRPr="00B75B77">
        <w:rPr>
          <w:szCs w:val="20"/>
        </w:rPr>
        <w:t>%</w:t>
      </w:r>
      <w:r w:rsidRPr="00B75B77">
        <w:rPr>
          <w:szCs w:val="20"/>
        </w:rPr>
        <w:t xml:space="preserve"> at </w:t>
      </w:r>
      <w:r w:rsidR="007665E5" w:rsidRPr="00B75B77">
        <w:rPr>
          <w:szCs w:val="20"/>
        </w:rPr>
        <w:t xml:space="preserve">an </w:t>
      </w:r>
      <w:r w:rsidRPr="00B75B77">
        <w:rPr>
          <w:szCs w:val="20"/>
        </w:rPr>
        <w:t>85</w:t>
      </w:r>
      <w:r w:rsidR="007665E5" w:rsidRPr="00B75B77">
        <w:rPr>
          <w:szCs w:val="20"/>
        </w:rPr>
        <w:t>%</w:t>
      </w:r>
      <w:r w:rsidRPr="00B75B77">
        <w:rPr>
          <w:szCs w:val="20"/>
        </w:rPr>
        <w:t xml:space="preserve"> confidence interval</w:t>
      </w:r>
      <w:r w:rsidR="007665E5" w:rsidRPr="00B75B77">
        <w:rPr>
          <w:szCs w:val="20"/>
        </w:rPr>
        <w:t>,</w:t>
      </w:r>
      <w:r w:rsidRPr="00B75B77">
        <w:rPr>
          <w:szCs w:val="20"/>
        </w:rPr>
        <w:t xml:space="preserve"> which meets the 15</w:t>
      </w:r>
      <w:r w:rsidR="007665E5" w:rsidRPr="00B75B77">
        <w:rPr>
          <w:szCs w:val="20"/>
        </w:rPr>
        <w:t>%</w:t>
      </w:r>
      <w:r w:rsidRPr="00B75B77">
        <w:rPr>
          <w:szCs w:val="20"/>
        </w:rPr>
        <w:t xml:space="preserve"> relative precision goal for the program year. Each stratum independently achieved realization rates of 0.99</w:t>
      </w:r>
      <w:r w:rsidR="007665E5" w:rsidRPr="00B75B77">
        <w:rPr>
          <w:szCs w:val="20"/>
        </w:rPr>
        <w:t>,</w:t>
      </w:r>
      <w:r w:rsidRPr="00B75B77">
        <w:rPr>
          <w:szCs w:val="20"/>
        </w:rPr>
        <w:t xml:space="preserve"> except the municipal lighting program</w:t>
      </w:r>
      <w:r w:rsidR="007665E5" w:rsidRPr="00B75B77">
        <w:rPr>
          <w:szCs w:val="20"/>
        </w:rPr>
        <w:t>, which</w:t>
      </w:r>
      <w:r w:rsidRPr="00B75B77">
        <w:rPr>
          <w:szCs w:val="20"/>
        </w:rPr>
        <w:t xml:space="preserve"> had a realization rate of 1.00. </w:t>
      </w:r>
      <w:r w:rsidRPr="00B75B77">
        <w:t xml:space="preserve">The summary of the energy evaluation results </w:t>
      </w:r>
      <w:r w:rsidR="007665E5" w:rsidRPr="00B75B77">
        <w:t xml:space="preserve">is </w:t>
      </w:r>
      <w:r w:rsidRPr="00B75B77">
        <w:t xml:space="preserve">presented in </w:t>
      </w:r>
      <w:r w:rsidR="00D56E1C" w:rsidRPr="00B75B77">
        <w:fldChar w:fldCharType="begin"/>
      </w:r>
      <w:r w:rsidR="00D56E1C" w:rsidRPr="00B75B77">
        <w:instrText xml:space="preserve"> REF _Ref464223327 \h </w:instrText>
      </w:r>
      <w:r w:rsidR="00B75B77">
        <w:instrText xml:space="preserve"> \* MERGEFORMAT </w:instrText>
      </w:r>
      <w:r w:rsidR="00D56E1C" w:rsidRPr="00B75B77">
        <w:fldChar w:fldCharType="separate"/>
      </w:r>
      <w:r w:rsidR="0004016D" w:rsidRPr="00B75B77">
        <w:t xml:space="preserve">Table </w:t>
      </w:r>
      <w:r w:rsidR="0004016D">
        <w:rPr>
          <w:noProof/>
        </w:rPr>
        <w:t>12</w:t>
      </w:r>
      <w:r w:rsidR="0004016D" w:rsidRPr="00B75B77">
        <w:rPr>
          <w:noProof/>
        </w:rPr>
        <w:noBreakHyphen/>
      </w:r>
      <w:r w:rsidR="0004016D">
        <w:rPr>
          <w:noProof/>
        </w:rPr>
        <w:t>3</w:t>
      </w:r>
      <w:r w:rsidR="00D56E1C" w:rsidRPr="00B75B77">
        <w:fldChar w:fldCharType="end"/>
      </w:r>
      <w:r w:rsidRPr="00B75B77">
        <w:t>.</w:t>
      </w:r>
    </w:p>
    <w:p w:rsidR="000E1EED" w:rsidRPr="00B75B77" w:rsidRDefault="000E1EED" w:rsidP="00707B64"/>
    <w:p w:rsidR="000E1EED" w:rsidRPr="00B75B77" w:rsidRDefault="000E1EED" w:rsidP="00586985">
      <w:pPr>
        <w:pStyle w:val="Caption"/>
      </w:pPr>
      <w:bookmarkStart w:id="766" w:name="_Ref464223327"/>
      <w:bookmarkStart w:id="767" w:name="_Toc466413600"/>
      <w:r w:rsidRPr="00B75B77">
        <w:t xml:space="preserve">Table </w:t>
      </w:r>
      <w:fldSimple w:instr=" STYLEREF 1 \s ">
        <w:r w:rsidR="0004016D">
          <w:rPr>
            <w:noProof/>
          </w:rPr>
          <w:t>12</w:t>
        </w:r>
      </w:fldSimple>
      <w:r w:rsidR="00F1144C" w:rsidRPr="00B75B77">
        <w:noBreakHyphen/>
      </w:r>
      <w:fldSimple w:instr=" SEQ Table \* ARABIC \s 1 ">
        <w:r w:rsidR="0004016D">
          <w:rPr>
            <w:noProof/>
          </w:rPr>
          <w:t>3</w:t>
        </w:r>
      </w:fldSimple>
      <w:bookmarkEnd w:id="766"/>
      <w:r w:rsidRPr="00B75B77">
        <w:t>: PY7 Smart Equipment Incentives (GNI) Summary of Evaluation Results for Energy</w:t>
      </w:r>
      <w:bookmarkEnd w:id="767"/>
    </w:p>
    <w:tbl>
      <w:tblPr>
        <w:tblStyle w:val="PECOTeal"/>
        <w:tblW w:w="0" w:type="auto"/>
        <w:tblLook w:val="04A0" w:firstRow="1" w:lastRow="0" w:firstColumn="1" w:lastColumn="0" w:noHBand="0" w:noVBand="1"/>
      </w:tblPr>
      <w:tblGrid>
        <w:gridCol w:w="1616"/>
        <w:gridCol w:w="1350"/>
        <w:gridCol w:w="1245"/>
        <w:gridCol w:w="1485"/>
        <w:gridCol w:w="1924"/>
        <w:gridCol w:w="1956"/>
      </w:tblGrid>
      <w:tr w:rsidR="000E1EED" w:rsidRPr="00B75B77" w:rsidTr="007665E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1EED" w:rsidRPr="00B75B77" w:rsidRDefault="000E1EED" w:rsidP="00594255">
            <w:pPr>
              <w:jc w:val="left"/>
              <w:rPr>
                <w:rFonts w:ascii="Calibri" w:eastAsia="Times New Roman" w:hAnsi="Calibri"/>
                <w:bCs w:val="0"/>
                <w:szCs w:val="18"/>
              </w:rPr>
            </w:pPr>
            <w:r w:rsidRPr="00B75B77">
              <w:rPr>
                <w:rFonts w:ascii="Calibri" w:eastAsia="Times New Roman" w:hAnsi="Calibri"/>
                <w:bCs w:val="0"/>
                <w:szCs w:val="18"/>
              </w:rPr>
              <w:t>Stratum</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1EED" w:rsidRPr="00B75B77" w:rsidRDefault="000E1EED" w:rsidP="0059425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Cs w:val="18"/>
              </w:rPr>
            </w:pPr>
            <w:r w:rsidRPr="00B75B77">
              <w:rPr>
                <w:rFonts w:ascii="Calibri" w:eastAsia="Times New Roman" w:hAnsi="Calibri"/>
                <w:bCs w:val="0"/>
                <w:szCs w:val="18"/>
              </w:rPr>
              <w:t>Reported Gross Energy Savings</w:t>
            </w:r>
          </w:p>
          <w:p w:rsidR="000E1EED" w:rsidRPr="00B75B77" w:rsidRDefault="000E1EED" w:rsidP="0059425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Cs w:val="18"/>
              </w:rPr>
            </w:pPr>
            <w:r w:rsidRPr="00B75B77">
              <w:rPr>
                <w:rFonts w:ascii="Calibri" w:eastAsia="Times New Roman" w:hAnsi="Calibri"/>
                <w:bCs w:val="0"/>
                <w:szCs w:val="18"/>
              </w:rPr>
              <w:t>(MWh/</w:t>
            </w:r>
            <w:proofErr w:type="spellStart"/>
            <w:r w:rsidRPr="00B75B77">
              <w:rPr>
                <w:rFonts w:ascii="Calibri" w:eastAsia="Times New Roman" w:hAnsi="Calibri"/>
                <w:bCs w:val="0"/>
                <w:szCs w:val="18"/>
              </w:rPr>
              <w:t>yr</w:t>
            </w:r>
            <w:proofErr w:type="spellEnd"/>
            <w:r w:rsidRPr="00B75B77">
              <w:rPr>
                <w:rFonts w:ascii="Calibri" w:eastAsia="Times New Roman" w:hAnsi="Calibri"/>
                <w:bCs w:val="0"/>
                <w:szCs w:val="18"/>
              </w:rPr>
              <w:t>)</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1EED" w:rsidRPr="00B75B77" w:rsidRDefault="000E1EED" w:rsidP="0059425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Cs w:val="18"/>
              </w:rPr>
            </w:pPr>
            <w:r w:rsidRPr="00B75B77">
              <w:rPr>
                <w:rFonts w:ascii="Calibri" w:eastAsia="Times New Roman" w:hAnsi="Calibri"/>
                <w:bCs w:val="0"/>
                <w:szCs w:val="18"/>
              </w:rPr>
              <w:t>Energy Realization Rate</w:t>
            </w:r>
          </w:p>
          <w:p w:rsidR="000E1EED" w:rsidRPr="00B75B77" w:rsidRDefault="000E1EED" w:rsidP="0059425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Cs w:val="18"/>
              </w:rPr>
            </w:pPr>
            <w:r w:rsidRPr="00B75B77">
              <w:rPr>
                <w:rFonts w:ascii="Calibri" w:eastAsia="Times New Roman" w:hAnsi="Calibri"/>
                <w:bCs w:val="0"/>
                <w:szCs w:val="18"/>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1EED" w:rsidRPr="00B75B77" w:rsidRDefault="000E1EED" w:rsidP="0059425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Cs w:val="18"/>
              </w:rPr>
            </w:pPr>
            <w:r w:rsidRPr="00B75B77">
              <w:rPr>
                <w:rFonts w:ascii="Calibri" w:eastAsia="Times New Roman" w:hAnsi="Calibri"/>
                <w:bCs w:val="0"/>
                <w:szCs w:val="18"/>
              </w:rPr>
              <w:t>Verified Gross Energy Savings</w:t>
            </w:r>
          </w:p>
          <w:p w:rsidR="000E1EED" w:rsidRPr="00B75B77" w:rsidRDefault="000E1EED" w:rsidP="0059425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Cs w:val="18"/>
              </w:rPr>
            </w:pPr>
            <w:r w:rsidRPr="00B75B77">
              <w:rPr>
                <w:rFonts w:ascii="Calibri" w:eastAsia="Times New Roman" w:hAnsi="Calibri"/>
                <w:bCs w:val="0"/>
                <w:szCs w:val="18"/>
              </w:rPr>
              <w:t>(MWh/</w:t>
            </w:r>
            <w:proofErr w:type="spellStart"/>
            <w:r w:rsidRPr="00B75B77">
              <w:rPr>
                <w:rFonts w:ascii="Calibri" w:eastAsia="Times New Roman" w:hAnsi="Calibri"/>
                <w:bCs w:val="0"/>
                <w:szCs w:val="18"/>
              </w:rPr>
              <w:t>yr</w:t>
            </w:r>
            <w:proofErr w:type="spellEnd"/>
            <w:r w:rsidRPr="00B75B77">
              <w:rPr>
                <w:rFonts w:ascii="Calibri" w:eastAsia="Times New Roman" w:hAnsi="Calibri"/>
                <w:bCs w:val="0"/>
                <w:szCs w:val="18"/>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1EED" w:rsidRPr="00B75B77" w:rsidRDefault="000E1EED" w:rsidP="00707B6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Cs w:val="18"/>
              </w:rPr>
            </w:pPr>
            <w:r w:rsidRPr="00B75B77">
              <w:rPr>
                <w:rFonts w:ascii="Calibri" w:eastAsia="Times New Roman" w:hAnsi="Calibri"/>
                <w:bCs w:val="0"/>
                <w:szCs w:val="18"/>
              </w:rPr>
              <w:t>Observed CV or Proportion in Sample Design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1EED" w:rsidRPr="00B75B77" w:rsidRDefault="000E1EED" w:rsidP="00C363C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Cs w:val="18"/>
              </w:rPr>
            </w:pPr>
            <w:r w:rsidRPr="00B75B77">
              <w:rPr>
                <w:rFonts w:ascii="Calibri" w:eastAsia="Times New Roman" w:hAnsi="Calibri"/>
                <w:bCs w:val="0"/>
                <w:szCs w:val="18"/>
              </w:rPr>
              <w:t xml:space="preserve">Relative Precision at 85% </w:t>
            </w:r>
            <w:r w:rsidR="00C363CE" w:rsidRPr="00B75B77">
              <w:rPr>
                <w:rFonts w:ascii="Calibri" w:eastAsia="Times New Roman" w:hAnsi="Calibri"/>
                <w:bCs w:val="0"/>
                <w:szCs w:val="18"/>
              </w:rPr>
              <w:t>Confidence Interval</w:t>
            </w:r>
          </w:p>
        </w:tc>
      </w:tr>
      <w:tr w:rsidR="000E1EED" w:rsidRPr="00B75B77" w:rsidTr="007665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000000" w:themeColor="text1"/>
            </w:tcBorders>
            <w:hideMark/>
          </w:tcPr>
          <w:p w:rsidR="000E1EED" w:rsidRPr="00B75B77" w:rsidRDefault="000E1EED" w:rsidP="00707B64">
            <w:pPr>
              <w:jc w:val="left"/>
              <w:rPr>
                <w:rFonts w:ascii="Calibri" w:eastAsia="Times New Roman" w:hAnsi="Calibri"/>
                <w:b w:val="0"/>
                <w:color w:val="000000"/>
                <w:szCs w:val="18"/>
              </w:rPr>
            </w:pPr>
            <w:r w:rsidRPr="00B75B77">
              <w:rPr>
                <w:b w:val="0"/>
              </w:rPr>
              <w:t>GNI - Large</w:t>
            </w:r>
          </w:p>
        </w:tc>
        <w:tc>
          <w:tcPr>
            <w:tcW w:w="1350" w:type="dxa"/>
            <w:tcBorders>
              <w:top w:val="single" w:sz="4" w:space="0" w:color="000000" w:themeColor="text1"/>
            </w:tcBorders>
            <w:hideMark/>
          </w:tcPr>
          <w:p w:rsidR="000E1EED" w:rsidRPr="00B75B77" w:rsidRDefault="000E1EED" w:rsidP="00707B6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t>38,351</w:t>
            </w:r>
          </w:p>
        </w:tc>
        <w:tc>
          <w:tcPr>
            <w:tcW w:w="1245" w:type="dxa"/>
            <w:tcBorders>
              <w:top w:val="single" w:sz="4" w:space="0" w:color="000000" w:themeColor="text1"/>
            </w:tcBorders>
            <w:hideMark/>
          </w:tcPr>
          <w:p w:rsidR="000E1EED" w:rsidRPr="00B75B77" w:rsidRDefault="000E1EED" w:rsidP="00707B6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t>0.99</w:t>
            </w:r>
          </w:p>
        </w:tc>
        <w:tc>
          <w:tcPr>
            <w:tcW w:w="0" w:type="auto"/>
            <w:tcBorders>
              <w:top w:val="single" w:sz="4" w:space="0" w:color="000000" w:themeColor="text1"/>
            </w:tcBorders>
          </w:tcPr>
          <w:p w:rsidR="000E1EED" w:rsidRPr="00B75B77" w:rsidRDefault="000E1EED" w:rsidP="00707B6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t>38,118</w:t>
            </w:r>
          </w:p>
        </w:tc>
        <w:tc>
          <w:tcPr>
            <w:tcW w:w="0" w:type="auto"/>
            <w:tcBorders>
              <w:top w:val="single" w:sz="4" w:space="0" w:color="000000" w:themeColor="text1"/>
            </w:tcBorders>
            <w:hideMark/>
          </w:tcPr>
          <w:p w:rsidR="000E1EED" w:rsidRPr="00B75B77" w:rsidRDefault="000E1EED" w:rsidP="00707B6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t>0.10</w:t>
            </w:r>
          </w:p>
        </w:tc>
        <w:tc>
          <w:tcPr>
            <w:tcW w:w="0" w:type="auto"/>
            <w:tcBorders>
              <w:top w:val="single" w:sz="4" w:space="0" w:color="000000" w:themeColor="text1"/>
            </w:tcBorders>
            <w:hideMark/>
          </w:tcPr>
          <w:p w:rsidR="000E1EED" w:rsidRPr="00B75B77" w:rsidRDefault="000E1EED" w:rsidP="00707B6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t>0%</w:t>
            </w:r>
          </w:p>
        </w:tc>
      </w:tr>
      <w:tr w:rsidR="000E1EED" w:rsidRPr="00B75B77" w:rsidTr="007665E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15" w:type="dxa"/>
          </w:tcPr>
          <w:p w:rsidR="000E1EED" w:rsidRPr="00B75B77" w:rsidRDefault="000E1EED" w:rsidP="00707B64">
            <w:pPr>
              <w:jc w:val="left"/>
              <w:rPr>
                <w:rFonts w:ascii="Calibri" w:eastAsia="Times New Roman" w:hAnsi="Calibri"/>
                <w:b w:val="0"/>
                <w:color w:val="000000"/>
                <w:szCs w:val="18"/>
              </w:rPr>
            </w:pPr>
            <w:r w:rsidRPr="00B75B77">
              <w:rPr>
                <w:b w:val="0"/>
              </w:rPr>
              <w:t>GNI - Medium</w:t>
            </w:r>
          </w:p>
        </w:tc>
        <w:tc>
          <w:tcPr>
            <w:tcW w:w="1350" w:type="dxa"/>
          </w:tcPr>
          <w:p w:rsidR="000E1EED" w:rsidRPr="00B75B77" w:rsidRDefault="000E1EED" w:rsidP="00707B6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t>38,488</w:t>
            </w:r>
          </w:p>
        </w:tc>
        <w:tc>
          <w:tcPr>
            <w:tcW w:w="1245" w:type="dxa"/>
          </w:tcPr>
          <w:p w:rsidR="000E1EED" w:rsidRPr="00B75B77" w:rsidRDefault="000E1EED" w:rsidP="00707B6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t>0.99</w:t>
            </w:r>
          </w:p>
        </w:tc>
        <w:tc>
          <w:tcPr>
            <w:tcW w:w="0" w:type="auto"/>
          </w:tcPr>
          <w:p w:rsidR="000E1EED" w:rsidRPr="00B75B77" w:rsidRDefault="000E1EED" w:rsidP="00707B6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t>38,292</w:t>
            </w:r>
          </w:p>
        </w:tc>
        <w:tc>
          <w:tcPr>
            <w:tcW w:w="0" w:type="auto"/>
          </w:tcPr>
          <w:p w:rsidR="000E1EED" w:rsidRPr="00B75B77" w:rsidRDefault="000E1EED" w:rsidP="00707B6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t>0.20</w:t>
            </w:r>
          </w:p>
        </w:tc>
        <w:tc>
          <w:tcPr>
            <w:tcW w:w="0" w:type="auto"/>
          </w:tcPr>
          <w:p w:rsidR="000E1EED" w:rsidRPr="00B75B77" w:rsidRDefault="000E1EED" w:rsidP="00707B6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t>4%</w:t>
            </w:r>
          </w:p>
        </w:tc>
      </w:tr>
      <w:tr w:rsidR="000E1EED" w:rsidRPr="00B75B77" w:rsidTr="007665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15" w:type="dxa"/>
            <w:hideMark/>
          </w:tcPr>
          <w:p w:rsidR="000E1EED" w:rsidRPr="00B75B77" w:rsidRDefault="000E1EED" w:rsidP="00707B64">
            <w:pPr>
              <w:jc w:val="left"/>
              <w:rPr>
                <w:rFonts w:ascii="Calibri" w:eastAsia="Times New Roman" w:hAnsi="Calibri"/>
                <w:b w:val="0"/>
                <w:color w:val="000000"/>
                <w:szCs w:val="18"/>
              </w:rPr>
            </w:pPr>
            <w:r w:rsidRPr="00B75B77">
              <w:rPr>
                <w:b w:val="0"/>
              </w:rPr>
              <w:t>GNI - Small</w:t>
            </w:r>
          </w:p>
        </w:tc>
        <w:tc>
          <w:tcPr>
            <w:tcW w:w="1350" w:type="dxa"/>
            <w:hideMark/>
          </w:tcPr>
          <w:p w:rsidR="000E1EED" w:rsidRPr="00B75B77" w:rsidRDefault="000E1EED" w:rsidP="00707B6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t>18,961</w:t>
            </w:r>
          </w:p>
        </w:tc>
        <w:tc>
          <w:tcPr>
            <w:tcW w:w="1245" w:type="dxa"/>
            <w:hideMark/>
          </w:tcPr>
          <w:p w:rsidR="000E1EED" w:rsidRPr="00B75B77" w:rsidRDefault="000E1EED" w:rsidP="00707B6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t>0.99</w:t>
            </w:r>
          </w:p>
        </w:tc>
        <w:tc>
          <w:tcPr>
            <w:tcW w:w="0" w:type="auto"/>
          </w:tcPr>
          <w:p w:rsidR="000E1EED" w:rsidRPr="00B75B77" w:rsidRDefault="000E1EED" w:rsidP="00707B6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t>18,729</w:t>
            </w:r>
          </w:p>
        </w:tc>
        <w:tc>
          <w:tcPr>
            <w:tcW w:w="0" w:type="auto"/>
            <w:hideMark/>
          </w:tcPr>
          <w:p w:rsidR="000E1EED" w:rsidRPr="00B75B77" w:rsidRDefault="000E1EED" w:rsidP="00707B6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t>0.84</w:t>
            </w:r>
          </w:p>
        </w:tc>
        <w:tc>
          <w:tcPr>
            <w:tcW w:w="0" w:type="auto"/>
            <w:hideMark/>
          </w:tcPr>
          <w:p w:rsidR="000E1EED" w:rsidRPr="00B75B77" w:rsidRDefault="000E1EED" w:rsidP="00707B6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t>34%</w:t>
            </w:r>
          </w:p>
        </w:tc>
      </w:tr>
      <w:tr w:rsidR="000E1EED" w:rsidRPr="00B75B77" w:rsidTr="007665E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15" w:type="dxa"/>
            <w:hideMark/>
          </w:tcPr>
          <w:p w:rsidR="000E1EED" w:rsidRPr="00B75B77" w:rsidRDefault="000E1EED" w:rsidP="00707B64">
            <w:pPr>
              <w:jc w:val="left"/>
              <w:rPr>
                <w:rFonts w:ascii="Calibri" w:eastAsia="Times New Roman" w:hAnsi="Calibri"/>
                <w:b w:val="0"/>
                <w:color w:val="000000"/>
                <w:szCs w:val="18"/>
              </w:rPr>
            </w:pPr>
            <w:r w:rsidRPr="00B75B77">
              <w:rPr>
                <w:b w:val="0"/>
              </w:rPr>
              <w:t>GNI - Muni Lighting</w:t>
            </w:r>
          </w:p>
        </w:tc>
        <w:tc>
          <w:tcPr>
            <w:tcW w:w="1350" w:type="dxa"/>
            <w:hideMark/>
          </w:tcPr>
          <w:p w:rsidR="000E1EED" w:rsidRPr="00B75B77" w:rsidRDefault="000E1EED" w:rsidP="00707B6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t>1,968</w:t>
            </w:r>
          </w:p>
        </w:tc>
        <w:tc>
          <w:tcPr>
            <w:tcW w:w="1245" w:type="dxa"/>
            <w:hideMark/>
          </w:tcPr>
          <w:p w:rsidR="000E1EED" w:rsidRPr="00B75B77" w:rsidRDefault="000E1EED" w:rsidP="00707B6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t>1.00</w:t>
            </w:r>
          </w:p>
        </w:tc>
        <w:tc>
          <w:tcPr>
            <w:tcW w:w="0" w:type="auto"/>
          </w:tcPr>
          <w:p w:rsidR="000E1EED" w:rsidRPr="00B75B77" w:rsidRDefault="000E1EED" w:rsidP="00707B6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t>1,971</w:t>
            </w:r>
          </w:p>
        </w:tc>
        <w:tc>
          <w:tcPr>
            <w:tcW w:w="0" w:type="auto"/>
            <w:hideMark/>
          </w:tcPr>
          <w:p w:rsidR="000E1EED" w:rsidRPr="00B75B77" w:rsidRDefault="000E1EED" w:rsidP="00707B6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t>0.00</w:t>
            </w:r>
          </w:p>
        </w:tc>
        <w:tc>
          <w:tcPr>
            <w:tcW w:w="0" w:type="auto"/>
            <w:hideMark/>
          </w:tcPr>
          <w:p w:rsidR="000E1EED" w:rsidRPr="00B75B77" w:rsidRDefault="000E1EED" w:rsidP="00707B6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t>0%</w:t>
            </w:r>
          </w:p>
        </w:tc>
      </w:tr>
      <w:tr w:rsidR="000E1EED" w:rsidRPr="00B75B77" w:rsidTr="007665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15" w:type="dxa"/>
            <w:hideMark/>
          </w:tcPr>
          <w:p w:rsidR="000E1EED" w:rsidRPr="00B75B77" w:rsidRDefault="007665E5" w:rsidP="00707B64">
            <w:pPr>
              <w:jc w:val="left"/>
              <w:rPr>
                <w:rFonts w:ascii="Calibri" w:eastAsia="Times New Roman" w:hAnsi="Calibri"/>
                <w:bCs w:val="0"/>
                <w:caps/>
                <w:color w:val="000000"/>
                <w:szCs w:val="18"/>
              </w:rPr>
            </w:pPr>
            <w:r w:rsidRPr="00B75B77">
              <w:t>PROGRAM TOTAL</w:t>
            </w:r>
          </w:p>
        </w:tc>
        <w:tc>
          <w:tcPr>
            <w:tcW w:w="1350" w:type="dxa"/>
            <w:hideMark/>
          </w:tcPr>
          <w:p w:rsidR="000E1EED" w:rsidRPr="00B75B77" w:rsidRDefault="000E1EED" w:rsidP="00707B6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Cs w:val="18"/>
              </w:rPr>
            </w:pPr>
            <w:r w:rsidRPr="00B75B77">
              <w:rPr>
                <w:b/>
              </w:rPr>
              <w:t>97,768</w:t>
            </w:r>
          </w:p>
        </w:tc>
        <w:tc>
          <w:tcPr>
            <w:tcW w:w="1245" w:type="dxa"/>
            <w:hideMark/>
          </w:tcPr>
          <w:p w:rsidR="000E1EED" w:rsidRPr="00B75B77" w:rsidRDefault="000E1EED" w:rsidP="00707B6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Cs w:val="18"/>
              </w:rPr>
            </w:pPr>
            <w:r w:rsidRPr="00B75B77">
              <w:rPr>
                <w:b/>
              </w:rPr>
              <w:t>0.99</w:t>
            </w:r>
          </w:p>
        </w:tc>
        <w:tc>
          <w:tcPr>
            <w:tcW w:w="0" w:type="auto"/>
          </w:tcPr>
          <w:p w:rsidR="000E1EED" w:rsidRPr="00B75B77" w:rsidRDefault="000E1EED" w:rsidP="00707B6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Cs w:val="18"/>
              </w:rPr>
            </w:pPr>
            <w:r w:rsidRPr="00B75B77">
              <w:rPr>
                <w:b/>
              </w:rPr>
              <w:t>97,110</w:t>
            </w:r>
          </w:p>
        </w:tc>
        <w:tc>
          <w:tcPr>
            <w:tcW w:w="0" w:type="auto"/>
            <w:hideMark/>
          </w:tcPr>
          <w:p w:rsidR="000E1EED" w:rsidRPr="00B75B77" w:rsidRDefault="000E1EED" w:rsidP="00707B6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Cs w:val="18"/>
              </w:rPr>
            </w:pPr>
            <w:r w:rsidRPr="00B75B77">
              <w:rPr>
                <w:b/>
              </w:rPr>
              <w:t>N/A</w:t>
            </w:r>
          </w:p>
        </w:tc>
        <w:tc>
          <w:tcPr>
            <w:tcW w:w="0" w:type="auto"/>
            <w:hideMark/>
          </w:tcPr>
          <w:p w:rsidR="000E1EED" w:rsidRPr="00B75B77" w:rsidRDefault="000E1EED" w:rsidP="00707B6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Cs w:val="18"/>
              </w:rPr>
            </w:pPr>
            <w:r w:rsidRPr="00B75B77">
              <w:rPr>
                <w:b/>
              </w:rPr>
              <w:t>7%</w:t>
            </w:r>
          </w:p>
        </w:tc>
      </w:tr>
    </w:tbl>
    <w:p w:rsidR="000E1EED" w:rsidRPr="00B75B77" w:rsidRDefault="000E1EED" w:rsidP="00C363CE">
      <w:pPr>
        <w:pStyle w:val="Source"/>
        <w:spacing w:before="20" w:after="20"/>
        <w:ind w:left="90" w:firstLine="0"/>
        <w:rPr>
          <w:i w:val="0"/>
        </w:rPr>
      </w:pPr>
      <w:r w:rsidRPr="00B75B77">
        <w:rPr>
          <w:i w:val="0"/>
        </w:rPr>
        <w:t xml:space="preserve">Note: </w:t>
      </w:r>
      <w:r w:rsidRPr="00B75B77">
        <w:rPr>
          <w:rFonts w:ascii="Calibri" w:hAnsi="Calibri"/>
          <w:i w:val="0"/>
          <w:iCs/>
          <w:color w:val="000000"/>
          <w:szCs w:val="18"/>
        </w:rPr>
        <w:t>Values in tables may not reconcile exactly with the sum of more detailed level results or previously reported results due to rounding.</w:t>
      </w:r>
    </w:p>
    <w:p w:rsidR="000E1EED" w:rsidRPr="00B75B77" w:rsidRDefault="000E1EED" w:rsidP="00C363CE">
      <w:pPr>
        <w:pStyle w:val="Source"/>
        <w:spacing w:after="120"/>
        <w:ind w:left="90" w:firstLine="0"/>
      </w:pPr>
      <w:r w:rsidRPr="00B75B77">
        <w:t>Source: Navigant analysis</w:t>
      </w:r>
    </w:p>
    <w:p w:rsidR="000E1EED" w:rsidRPr="00B75B77" w:rsidRDefault="000E1EED" w:rsidP="007665E5">
      <w:pPr>
        <w:keepNext/>
        <w:keepLines/>
      </w:pPr>
      <w:r w:rsidRPr="00B75B77">
        <w:rPr>
          <w:szCs w:val="20"/>
        </w:rPr>
        <w:t xml:space="preserve">Overall, the SEI GNI program achieved a gross realization rate of </w:t>
      </w:r>
      <w:r w:rsidRPr="00B75B77">
        <w:t>1.04 for demand</w:t>
      </w:r>
      <w:r w:rsidRPr="00B75B77">
        <w:rPr>
          <w:szCs w:val="20"/>
        </w:rPr>
        <w:t>. The program’s verified demand savings was 21.4 MW. The program-level relative precision was 6</w:t>
      </w:r>
      <w:r w:rsidR="007665E5" w:rsidRPr="00B75B77">
        <w:rPr>
          <w:szCs w:val="20"/>
        </w:rPr>
        <w:t>%</w:t>
      </w:r>
      <w:r w:rsidRPr="00B75B77">
        <w:rPr>
          <w:szCs w:val="20"/>
        </w:rPr>
        <w:t xml:space="preserve"> at </w:t>
      </w:r>
      <w:r w:rsidR="007665E5" w:rsidRPr="00B75B77">
        <w:rPr>
          <w:szCs w:val="20"/>
        </w:rPr>
        <w:t xml:space="preserve">an </w:t>
      </w:r>
      <w:r w:rsidRPr="00B75B77">
        <w:rPr>
          <w:szCs w:val="20"/>
        </w:rPr>
        <w:t>85</w:t>
      </w:r>
      <w:r w:rsidR="007665E5" w:rsidRPr="00B75B77">
        <w:rPr>
          <w:szCs w:val="20"/>
        </w:rPr>
        <w:t>%</w:t>
      </w:r>
      <w:r w:rsidRPr="00B75B77">
        <w:rPr>
          <w:szCs w:val="20"/>
        </w:rPr>
        <w:t xml:space="preserve"> confidence interval</w:t>
      </w:r>
      <w:r w:rsidR="007665E5" w:rsidRPr="00B75B77">
        <w:rPr>
          <w:szCs w:val="20"/>
        </w:rPr>
        <w:t>,</w:t>
      </w:r>
      <w:r w:rsidRPr="00B75B77">
        <w:rPr>
          <w:szCs w:val="20"/>
        </w:rPr>
        <w:t xml:space="preserve"> which meets the 15</w:t>
      </w:r>
      <w:r w:rsidR="007665E5" w:rsidRPr="00B75B77">
        <w:rPr>
          <w:szCs w:val="20"/>
        </w:rPr>
        <w:t>%</w:t>
      </w:r>
      <w:r w:rsidRPr="00B75B77">
        <w:rPr>
          <w:szCs w:val="20"/>
        </w:rPr>
        <w:t xml:space="preserve"> relative precision goal for the program year. Each stratum independently achieved realization rates of 1.01 for </w:t>
      </w:r>
      <w:r w:rsidR="007665E5" w:rsidRPr="00B75B77">
        <w:rPr>
          <w:szCs w:val="20"/>
        </w:rPr>
        <w:t>large</w:t>
      </w:r>
      <w:r w:rsidRPr="00B75B77">
        <w:rPr>
          <w:szCs w:val="20"/>
        </w:rPr>
        <w:t xml:space="preserve"> projects, 1.10 for </w:t>
      </w:r>
      <w:r w:rsidR="007665E5" w:rsidRPr="00B75B77">
        <w:rPr>
          <w:szCs w:val="20"/>
        </w:rPr>
        <w:t>medium</w:t>
      </w:r>
      <w:r w:rsidRPr="00B75B77">
        <w:rPr>
          <w:szCs w:val="20"/>
        </w:rPr>
        <w:t xml:space="preserve"> projects, 0.99 for </w:t>
      </w:r>
      <w:r w:rsidR="007665E5" w:rsidRPr="00B75B77">
        <w:rPr>
          <w:szCs w:val="20"/>
        </w:rPr>
        <w:t>small</w:t>
      </w:r>
      <w:r w:rsidRPr="00B75B77">
        <w:rPr>
          <w:szCs w:val="20"/>
        </w:rPr>
        <w:t xml:space="preserve"> projects, and 0.00 for </w:t>
      </w:r>
      <w:r w:rsidR="007665E5" w:rsidRPr="00B75B77">
        <w:rPr>
          <w:szCs w:val="20"/>
        </w:rPr>
        <w:t>municipal lighting</w:t>
      </w:r>
      <w:r w:rsidRPr="00B75B77">
        <w:rPr>
          <w:szCs w:val="20"/>
        </w:rPr>
        <w:t xml:space="preserve"> projects. </w:t>
      </w:r>
      <w:r w:rsidRPr="00B75B77">
        <w:t xml:space="preserve">The summary of the demand evaluation results </w:t>
      </w:r>
      <w:r w:rsidR="007665E5" w:rsidRPr="00B75B77">
        <w:t xml:space="preserve">is </w:t>
      </w:r>
      <w:r w:rsidRPr="00B75B77">
        <w:t xml:space="preserve">presented in </w:t>
      </w:r>
      <w:r w:rsidR="00D56E1C" w:rsidRPr="00B75B77">
        <w:fldChar w:fldCharType="begin"/>
      </w:r>
      <w:r w:rsidR="00D56E1C" w:rsidRPr="00B75B77">
        <w:instrText xml:space="preserve"> REF _Ref464223333 \h </w:instrText>
      </w:r>
      <w:r w:rsidR="00B75B77">
        <w:instrText xml:space="preserve"> \* MERGEFORMAT </w:instrText>
      </w:r>
      <w:r w:rsidR="00D56E1C" w:rsidRPr="00B75B77">
        <w:fldChar w:fldCharType="separate"/>
      </w:r>
      <w:r w:rsidR="0004016D" w:rsidRPr="00B75B77">
        <w:t xml:space="preserve">Table </w:t>
      </w:r>
      <w:r w:rsidR="0004016D">
        <w:rPr>
          <w:noProof/>
        </w:rPr>
        <w:t>12</w:t>
      </w:r>
      <w:r w:rsidR="0004016D" w:rsidRPr="00B75B77">
        <w:rPr>
          <w:noProof/>
        </w:rPr>
        <w:noBreakHyphen/>
      </w:r>
      <w:r w:rsidR="0004016D">
        <w:rPr>
          <w:noProof/>
        </w:rPr>
        <w:t>4</w:t>
      </w:r>
      <w:r w:rsidR="00D56E1C" w:rsidRPr="00B75B77">
        <w:fldChar w:fldCharType="end"/>
      </w:r>
      <w:r w:rsidR="00D56E1C" w:rsidRPr="00B75B77">
        <w:t>.</w:t>
      </w:r>
    </w:p>
    <w:p w:rsidR="000E1EED" w:rsidRPr="00B75B77" w:rsidRDefault="000E1EED" w:rsidP="00286B52"/>
    <w:p w:rsidR="000E1EED" w:rsidRPr="00B75B77" w:rsidRDefault="000E1EED" w:rsidP="00586985">
      <w:pPr>
        <w:pStyle w:val="Caption"/>
      </w:pPr>
      <w:bookmarkStart w:id="768" w:name="_Ref464223333"/>
      <w:bookmarkStart w:id="769" w:name="_Toc466413601"/>
      <w:r w:rsidRPr="00B75B77">
        <w:lastRenderedPageBreak/>
        <w:t xml:space="preserve">Table </w:t>
      </w:r>
      <w:fldSimple w:instr=" STYLEREF 1 \s ">
        <w:r w:rsidR="0004016D">
          <w:rPr>
            <w:noProof/>
          </w:rPr>
          <w:t>12</w:t>
        </w:r>
      </w:fldSimple>
      <w:r w:rsidR="00F1144C" w:rsidRPr="00B75B77">
        <w:noBreakHyphen/>
      </w:r>
      <w:fldSimple w:instr=" SEQ Table \* ARABIC \s 1 ">
        <w:r w:rsidR="0004016D">
          <w:rPr>
            <w:noProof/>
          </w:rPr>
          <w:t>4</w:t>
        </w:r>
      </w:fldSimple>
      <w:bookmarkEnd w:id="768"/>
      <w:r w:rsidRPr="00B75B77">
        <w:t>: PY7 Smart Equipment Incentives (GNI) Summary of Evaluation Results for Demand</w:t>
      </w:r>
      <w:bookmarkEnd w:id="769"/>
    </w:p>
    <w:tbl>
      <w:tblPr>
        <w:tblStyle w:val="PECOTeal"/>
        <w:tblW w:w="9350" w:type="dxa"/>
        <w:tblLayout w:type="fixed"/>
        <w:tblLook w:val="04A0" w:firstRow="1" w:lastRow="0" w:firstColumn="1" w:lastColumn="0" w:noHBand="0" w:noVBand="1"/>
      </w:tblPr>
      <w:tblGrid>
        <w:gridCol w:w="1800"/>
        <w:gridCol w:w="1502"/>
        <w:gridCol w:w="1142"/>
        <w:gridCol w:w="1440"/>
        <w:gridCol w:w="1936"/>
        <w:gridCol w:w="1530"/>
      </w:tblGrid>
      <w:tr w:rsidR="000E1EED" w:rsidRPr="00B75B77" w:rsidTr="007665E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1EED" w:rsidRPr="00B75B77" w:rsidRDefault="000E1EED" w:rsidP="00594255">
            <w:pPr>
              <w:jc w:val="left"/>
              <w:rPr>
                <w:rFonts w:ascii="Calibri" w:eastAsia="Times New Roman" w:hAnsi="Calibri"/>
                <w:bCs w:val="0"/>
                <w:szCs w:val="18"/>
              </w:rPr>
            </w:pPr>
            <w:r w:rsidRPr="00B75B77">
              <w:rPr>
                <w:rFonts w:ascii="Calibri" w:eastAsia="Times New Roman" w:hAnsi="Calibri"/>
                <w:bCs w:val="0"/>
                <w:szCs w:val="18"/>
              </w:rPr>
              <w:t>Stratum</w:t>
            </w:r>
          </w:p>
        </w:tc>
        <w:tc>
          <w:tcPr>
            <w:tcW w:w="1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1EED" w:rsidRPr="00B75B77" w:rsidRDefault="000E1EED" w:rsidP="00707B6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Cs w:val="18"/>
              </w:rPr>
            </w:pPr>
            <w:r w:rsidRPr="00B75B77">
              <w:rPr>
                <w:rFonts w:ascii="Calibri" w:eastAsia="Times New Roman" w:hAnsi="Calibri"/>
                <w:bCs w:val="0"/>
                <w:szCs w:val="18"/>
              </w:rPr>
              <w:t>Reported Gross Demand Savings (MW)</w:t>
            </w:r>
            <w:r w:rsidRPr="00B75B77">
              <w:rPr>
                <w:rFonts w:eastAsia="Times New Roman"/>
                <w:bCs w:val="0"/>
                <w:szCs w:val="18"/>
                <w:vertAlign w:val="superscript"/>
              </w:rPr>
              <w:t>[1]</w:t>
            </w:r>
          </w:p>
        </w:tc>
        <w:tc>
          <w:tcPr>
            <w:tcW w:w="11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1EED" w:rsidRPr="00B75B77" w:rsidRDefault="000E1EED" w:rsidP="0059425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Cs w:val="18"/>
              </w:rPr>
            </w:pPr>
            <w:r w:rsidRPr="00B75B77">
              <w:rPr>
                <w:rFonts w:ascii="Calibri" w:eastAsia="Times New Roman" w:hAnsi="Calibri"/>
                <w:bCs w:val="0"/>
                <w:szCs w:val="18"/>
              </w:rPr>
              <w:t>Demand Realization Rate (%)</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1EED" w:rsidRPr="00B75B77" w:rsidRDefault="000E1EED" w:rsidP="0059425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Cs w:val="18"/>
              </w:rPr>
            </w:pPr>
            <w:r w:rsidRPr="00B75B77">
              <w:rPr>
                <w:rFonts w:ascii="Calibri" w:eastAsia="Times New Roman" w:hAnsi="Calibri"/>
                <w:bCs w:val="0"/>
                <w:szCs w:val="18"/>
              </w:rPr>
              <w:t>Verified Gross Demand Savings (MW)</w:t>
            </w:r>
            <w:r w:rsidRPr="00B75B77">
              <w:rPr>
                <w:rFonts w:eastAsia="Times New Roman"/>
                <w:bCs w:val="0"/>
                <w:szCs w:val="18"/>
                <w:vertAlign w:val="superscript"/>
              </w:rPr>
              <w:t>[1]</w:t>
            </w: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1EED" w:rsidRPr="00B75B77" w:rsidRDefault="000E1EED" w:rsidP="00707B6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Cs w:val="18"/>
              </w:rPr>
            </w:pPr>
            <w:r w:rsidRPr="00B75B77">
              <w:rPr>
                <w:rFonts w:ascii="Calibri" w:eastAsia="Times New Roman" w:hAnsi="Calibri"/>
                <w:bCs w:val="0"/>
                <w:szCs w:val="18"/>
              </w:rPr>
              <w:t>Observed CV or Proportion in Sample Design</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1EED" w:rsidRPr="00B75B77" w:rsidRDefault="000E1EED" w:rsidP="00C363C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Cs w:val="18"/>
              </w:rPr>
            </w:pPr>
            <w:r w:rsidRPr="00B75B77">
              <w:rPr>
                <w:rFonts w:ascii="Calibri" w:eastAsia="Times New Roman" w:hAnsi="Calibri"/>
                <w:bCs w:val="0"/>
                <w:szCs w:val="18"/>
              </w:rPr>
              <w:t xml:space="preserve">Relative Precision at 85% </w:t>
            </w:r>
            <w:r w:rsidR="00C363CE" w:rsidRPr="00B75B77">
              <w:rPr>
                <w:rFonts w:ascii="Calibri" w:eastAsia="Times New Roman" w:hAnsi="Calibri"/>
                <w:bCs w:val="0"/>
                <w:szCs w:val="18"/>
              </w:rPr>
              <w:t>Confidence Interval</w:t>
            </w:r>
          </w:p>
        </w:tc>
      </w:tr>
      <w:tr w:rsidR="000E1EED" w:rsidRPr="00B75B77" w:rsidTr="007665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000000" w:themeColor="text1"/>
            </w:tcBorders>
            <w:hideMark/>
          </w:tcPr>
          <w:p w:rsidR="000E1EED" w:rsidRPr="00B75B77" w:rsidRDefault="000E1EED" w:rsidP="00707B64">
            <w:pPr>
              <w:jc w:val="left"/>
              <w:rPr>
                <w:rFonts w:ascii="Calibri" w:eastAsia="Times New Roman" w:hAnsi="Calibri"/>
                <w:b w:val="0"/>
                <w:color w:val="000000"/>
                <w:szCs w:val="18"/>
              </w:rPr>
            </w:pPr>
            <w:r w:rsidRPr="00B75B77">
              <w:rPr>
                <w:b w:val="0"/>
              </w:rPr>
              <w:t>GNI - Large</w:t>
            </w:r>
          </w:p>
        </w:tc>
        <w:tc>
          <w:tcPr>
            <w:tcW w:w="1502" w:type="dxa"/>
            <w:tcBorders>
              <w:top w:val="single" w:sz="4" w:space="0" w:color="000000" w:themeColor="text1"/>
            </w:tcBorders>
            <w:hideMark/>
          </w:tcPr>
          <w:p w:rsidR="000E1EED" w:rsidRPr="00B75B77" w:rsidRDefault="000E1EED" w:rsidP="00707B6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t>9.2</w:t>
            </w:r>
          </w:p>
        </w:tc>
        <w:tc>
          <w:tcPr>
            <w:tcW w:w="1142" w:type="dxa"/>
            <w:tcBorders>
              <w:top w:val="single" w:sz="4" w:space="0" w:color="000000" w:themeColor="text1"/>
            </w:tcBorders>
            <w:hideMark/>
          </w:tcPr>
          <w:p w:rsidR="000E1EED" w:rsidRPr="00B75B77" w:rsidRDefault="000E1EED" w:rsidP="00707B6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t>1.01</w:t>
            </w:r>
          </w:p>
        </w:tc>
        <w:tc>
          <w:tcPr>
            <w:tcW w:w="1440" w:type="dxa"/>
            <w:tcBorders>
              <w:top w:val="single" w:sz="4" w:space="0" w:color="000000" w:themeColor="text1"/>
            </w:tcBorders>
          </w:tcPr>
          <w:p w:rsidR="000E1EED" w:rsidRPr="00B75B77" w:rsidRDefault="000E1EED" w:rsidP="00707B6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t>9.3</w:t>
            </w:r>
          </w:p>
        </w:tc>
        <w:tc>
          <w:tcPr>
            <w:tcW w:w="1936" w:type="dxa"/>
            <w:tcBorders>
              <w:top w:val="single" w:sz="4" w:space="0" w:color="000000" w:themeColor="text1"/>
            </w:tcBorders>
            <w:hideMark/>
          </w:tcPr>
          <w:p w:rsidR="000E1EED" w:rsidRPr="00B75B77" w:rsidRDefault="000E1EED" w:rsidP="00707B6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t>0.19</w:t>
            </w:r>
          </w:p>
        </w:tc>
        <w:tc>
          <w:tcPr>
            <w:tcW w:w="1530" w:type="dxa"/>
            <w:tcBorders>
              <w:top w:val="single" w:sz="4" w:space="0" w:color="000000" w:themeColor="text1"/>
            </w:tcBorders>
            <w:hideMark/>
          </w:tcPr>
          <w:p w:rsidR="000E1EED" w:rsidRPr="00B75B77" w:rsidRDefault="000E1EED" w:rsidP="00707B6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t>0%</w:t>
            </w:r>
          </w:p>
        </w:tc>
      </w:tr>
      <w:tr w:rsidR="000E1EED" w:rsidRPr="00B75B77" w:rsidTr="007665E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00" w:type="dxa"/>
            <w:hideMark/>
          </w:tcPr>
          <w:p w:rsidR="000E1EED" w:rsidRPr="00B75B77" w:rsidRDefault="000E1EED" w:rsidP="00707B64">
            <w:pPr>
              <w:jc w:val="left"/>
              <w:rPr>
                <w:rFonts w:ascii="Calibri" w:eastAsia="Times New Roman" w:hAnsi="Calibri"/>
                <w:b w:val="0"/>
                <w:color w:val="000000"/>
                <w:szCs w:val="18"/>
              </w:rPr>
            </w:pPr>
            <w:r w:rsidRPr="00B75B77">
              <w:rPr>
                <w:b w:val="0"/>
              </w:rPr>
              <w:t>GNI - Medium</w:t>
            </w:r>
          </w:p>
        </w:tc>
        <w:tc>
          <w:tcPr>
            <w:tcW w:w="1502" w:type="dxa"/>
            <w:hideMark/>
          </w:tcPr>
          <w:p w:rsidR="000E1EED" w:rsidRPr="00B75B77" w:rsidRDefault="000E1EED" w:rsidP="00707B6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t>7.4</w:t>
            </w:r>
          </w:p>
        </w:tc>
        <w:tc>
          <w:tcPr>
            <w:tcW w:w="1142" w:type="dxa"/>
            <w:hideMark/>
          </w:tcPr>
          <w:p w:rsidR="000E1EED" w:rsidRPr="00B75B77" w:rsidRDefault="000E1EED" w:rsidP="00707B6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t>1.10</w:t>
            </w:r>
          </w:p>
        </w:tc>
        <w:tc>
          <w:tcPr>
            <w:tcW w:w="1440" w:type="dxa"/>
          </w:tcPr>
          <w:p w:rsidR="000E1EED" w:rsidRPr="00B75B77" w:rsidRDefault="000E1EED" w:rsidP="00707B6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t>8.2</w:t>
            </w:r>
          </w:p>
        </w:tc>
        <w:tc>
          <w:tcPr>
            <w:tcW w:w="1936" w:type="dxa"/>
            <w:hideMark/>
          </w:tcPr>
          <w:p w:rsidR="000E1EED" w:rsidRPr="00B75B77" w:rsidRDefault="000E1EED" w:rsidP="00707B6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t>0.71</w:t>
            </w:r>
          </w:p>
        </w:tc>
        <w:tc>
          <w:tcPr>
            <w:tcW w:w="1530" w:type="dxa"/>
            <w:hideMark/>
          </w:tcPr>
          <w:p w:rsidR="000E1EED" w:rsidRPr="00B75B77" w:rsidRDefault="000E1EED" w:rsidP="00707B6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t>13%</w:t>
            </w:r>
          </w:p>
        </w:tc>
      </w:tr>
      <w:tr w:rsidR="000E1EED" w:rsidRPr="00B75B77" w:rsidTr="007665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00" w:type="dxa"/>
            <w:hideMark/>
          </w:tcPr>
          <w:p w:rsidR="000E1EED" w:rsidRPr="00B75B77" w:rsidRDefault="000E1EED" w:rsidP="00707B64">
            <w:pPr>
              <w:jc w:val="left"/>
              <w:rPr>
                <w:rFonts w:ascii="Calibri" w:eastAsia="Times New Roman" w:hAnsi="Calibri"/>
                <w:b w:val="0"/>
                <w:color w:val="000000"/>
                <w:szCs w:val="18"/>
              </w:rPr>
            </w:pPr>
            <w:r w:rsidRPr="00B75B77">
              <w:rPr>
                <w:b w:val="0"/>
              </w:rPr>
              <w:t>GNI - Small</w:t>
            </w:r>
          </w:p>
        </w:tc>
        <w:tc>
          <w:tcPr>
            <w:tcW w:w="1502" w:type="dxa"/>
            <w:hideMark/>
          </w:tcPr>
          <w:p w:rsidR="000E1EED" w:rsidRPr="00B75B77" w:rsidRDefault="000E1EED" w:rsidP="00707B6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t>4.0</w:t>
            </w:r>
          </w:p>
        </w:tc>
        <w:tc>
          <w:tcPr>
            <w:tcW w:w="1142" w:type="dxa"/>
            <w:hideMark/>
          </w:tcPr>
          <w:p w:rsidR="000E1EED" w:rsidRPr="00B75B77" w:rsidRDefault="000E1EED" w:rsidP="00707B6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t>0.99</w:t>
            </w:r>
          </w:p>
        </w:tc>
        <w:tc>
          <w:tcPr>
            <w:tcW w:w="1440" w:type="dxa"/>
          </w:tcPr>
          <w:p w:rsidR="000E1EED" w:rsidRPr="00B75B77" w:rsidRDefault="000E1EED" w:rsidP="00707B6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t>4.0</w:t>
            </w:r>
          </w:p>
        </w:tc>
        <w:tc>
          <w:tcPr>
            <w:tcW w:w="1936" w:type="dxa"/>
            <w:hideMark/>
          </w:tcPr>
          <w:p w:rsidR="000E1EED" w:rsidRPr="00B75B77" w:rsidRDefault="000E1EED" w:rsidP="00707B6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t>0.50</w:t>
            </w:r>
          </w:p>
        </w:tc>
        <w:tc>
          <w:tcPr>
            <w:tcW w:w="1530" w:type="dxa"/>
            <w:hideMark/>
          </w:tcPr>
          <w:p w:rsidR="000E1EED" w:rsidRPr="00B75B77" w:rsidRDefault="000E1EED" w:rsidP="00707B6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t>21%</w:t>
            </w:r>
          </w:p>
        </w:tc>
      </w:tr>
      <w:tr w:rsidR="000E1EED" w:rsidRPr="00B75B77" w:rsidTr="007665E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00" w:type="dxa"/>
          </w:tcPr>
          <w:p w:rsidR="000E1EED" w:rsidRPr="00B75B77" w:rsidRDefault="000E1EED" w:rsidP="00707B64">
            <w:pPr>
              <w:jc w:val="left"/>
              <w:rPr>
                <w:rFonts w:ascii="Calibri" w:eastAsia="Times New Roman" w:hAnsi="Calibri"/>
                <w:b w:val="0"/>
                <w:color w:val="000000"/>
                <w:szCs w:val="18"/>
              </w:rPr>
            </w:pPr>
            <w:r w:rsidRPr="00B75B77">
              <w:rPr>
                <w:b w:val="0"/>
              </w:rPr>
              <w:t>GNI - Muni Lighting</w:t>
            </w:r>
          </w:p>
        </w:tc>
        <w:tc>
          <w:tcPr>
            <w:tcW w:w="1502" w:type="dxa"/>
          </w:tcPr>
          <w:p w:rsidR="000E1EED" w:rsidRPr="00B75B77" w:rsidRDefault="000E1EED" w:rsidP="00707B6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t>0.0</w:t>
            </w:r>
          </w:p>
        </w:tc>
        <w:tc>
          <w:tcPr>
            <w:tcW w:w="1142" w:type="dxa"/>
          </w:tcPr>
          <w:p w:rsidR="000E1EED" w:rsidRPr="00B75B77" w:rsidRDefault="000E1EED" w:rsidP="00707B6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t>0.00</w:t>
            </w:r>
          </w:p>
        </w:tc>
        <w:tc>
          <w:tcPr>
            <w:tcW w:w="1440" w:type="dxa"/>
          </w:tcPr>
          <w:p w:rsidR="000E1EED" w:rsidRPr="00B75B77" w:rsidRDefault="000E1EED" w:rsidP="00707B6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t>0.0</w:t>
            </w:r>
          </w:p>
        </w:tc>
        <w:tc>
          <w:tcPr>
            <w:tcW w:w="1936" w:type="dxa"/>
          </w:tcPr>
          <w:p w:rsidR="000E1EED" w:rsidRPr="00B75B77" w:rsidRDefault="000E1EED" w:rsidP="00707B6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t>N/A</w:t>
            </w:r>
          </w:p>
        </w:tc>
        <w:tc>
          <w:tcPr>
            <w:tcW w:w="1530" w:type="dxa"/>
          </w:tcPr>
          <w:p w:rsidR="000E1EED" w:rsidRPr="00B75B77" w:rsidRDefault="000E1EED" w:rsidP="00707B6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Cs w:val="18"/>
              </w:rPr>
            </w:pPr>
            <w:r w:rsidRPr="00B75B77">
              <w:t>0%</w:t>
            </w:r>
          </w:p>
        </w:tc>
      </w:tr>
      <w:tr w:rsidR="000E1EED" w:rsidRPr="00B75B77" w:rsidTr="007665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00" w:type="dxa"/>
            <w:hideMark/>
          </w:tcPr>
          <w:p w:rsidR="000E1EED" w:rsidRPr="00B75B77" w:rsidRDefault="000E1EED" w:rsidP="00707B64">
            <w:pPr>
              <w:jc w:val="left"/>
              <w:rPr>
                <w:rFonts w:ascii="Calibri" w:eastAsia="Times New Roman" w:hAnsi="Calibri"/>
                <w:bCs w:val="0"/>
                <w:caps/>
                <w:color w:val="000000"/>
                <w:szCs w:val="18"/>
              </w:rPr>
            </w:pPr>
            <w:r w:rsidRPr="00B75B77">
              <w:rPr>
                <w:rFonts w:ascii="Calibri" w:eastAsia="Times New Roman" w:hAnsi="Calibri"/>
                <w:bCs w:val="0"/>
                <w:caps/>
                <w:color w:val="000000"/>
                <w:szCs w:val="18"/>
              </w:rPr>
              <w:t>Program Total</w:t>
            </w:r>
          </w:p>
        </w:tc>
        <w:tc>
          <w:tcPr>
            <w:tcW w:w="1502" w:type="dxa"/>
            <w:hideMark/>
          </w:tcPr>
          <w:p w:rsidR="000E1EED" w:rsidRPr="00B75B77" w:rsidRDefault="000E1EED" w:rsidP="00707B6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t>20.6</w:t>
            </w:r>
          </w:p>
        </w:tc>
        <w:tc>
          <w:tcPr>
            <w:tcW w:w="1142" w:type="dxa"/>
            <w:hideMark/>
          </w:tcPr>
          <w:p w:rsidR="000E1EED" w:rsidRPr="00B75B77" w:rsidRDefault="000E1EED" w:rsidP="00707B6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t>1.04</w:t>
            </w:r>
          </w:p>
        </w:tc>
        <w:tc>
          <w:tcPr>
            <w:tcW w:w="1440" w:type="dxa"/>
          </w:tcPr>
          <w:p w:rsidR="000E1EED" w:rsidRPr="00B75B77" w:rsidRDefault="000E1EED" w:rsidP="00707B6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t>21.4</w:t>
            </w:r>
          </w:p>
        </w:tc>
        <w:tc>
          <w:tcPr>
            <w:tcW w:w="1936" w:type="dxa"/>
            <w:hideMark/>
          </w:tcPr>
          <w:p w:rsidR="000E1EED" w:rsidRPr="00B75B77" w:rsidRDefault="000E1EED" w:rsidP="00707B6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t>N/A</w:t>
            </w:r>
          </w:p>
        </w:tc>
        <w:tc>
          <w:tcPr>
            <w:tcW w:w="1530" w:type="dxa"/>
            <w:hideMark/>
          </w:tcPr>
          <w:p w:rsidR="000E1EED" w:rsidRPr="00B75B77" w:rsidRDefault="00A377A2" w:rsidP="00707B6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18"/>
              </w:rPr>
            </w:pPr>
            <w:r w:rsidRPr="00B75B77">
              <w:rPr>
                <w:rFonts w:ascii="Calibri" w:eastAsia="Times New Roman" w:hAnsi="Calibri"/>
                <w:color w:val="000000"/>
                <w:szCs w:val="18"/>
              </w:rPr>
              <w:t>6%</w:t>
            </w:r>
          </w:p>
        </w:tc>
      </w:tr>
    </w:tbl>
    <w:p w:rsidR="000E1EED" w:rsidRPr="00B75B77" w:rsidRDefault="000E1EED" w:rsidP="00707B64">
      <w:pPr>
        <w:pStyle w:val="Source"/>
        <w:spacing w:before="20" w:after="20"/>
        <w:ind w:left="86" w:firstLine="0"/>
        <w:rPr>
          <w:rFonts w:ascii="Calibri" w:hAnsi="Calibri"/>
          <w:i w:val="0"/>
          <w:color w:val="000000"/>
          <w:szCs w:val="18"/>
        </w:rPr>
      </w:pPr>
      <w:r w:rsidRPr="00B75B77">
        <w:rPr>
          <w:rFonts w:ascii="Calibri" w:hAnsi="Calibri"/>
          <w:i w:val="0"/>
          <w:color w:val="000000"/>
          <w:szCs w:val="18"/>
          <w:vertAlign w:val="superscript"/>
        </w:rPr>
        <w:t>[1]</w:t>
      </w:r>
      <w:r w:rsidRPr="00B75B77">
        <w:rPr>
          <w:rFonts w:ascii="Calibri" w:hAnsi="Calibri"/>
          <w:i w:val="0"/>
          <w:color w:val="000000"/>
          <w:szCs w:val="18"/>
        </w:rPr>
        <w:t xml:space="preserve"> All reported and verified demand savings in this report include line losses as required.</w:t>
      </w:r>
    </w:p>
    <w:p w:rsidR="000E1EED" w:rsidRPr="00B75B77" w:rsidRDefault="000E1EED" w:rsidP="00707B64">
      <w:pPr>
        <w:pStyle w:val="Source"/>
        <w:spacing w:before="20" w:after="20"/>
        <w:ind w:left="86" w:firstLine="0"/>
        <w:rPr>
          <w:i w:val="0"/>
        </w:rPr>
      </w:pPr>
      <w:r w:rsidRPr="00B75B77">
        <w:rPr>
          <w:rFonts w:ascii="Calibri" w:hAnsi="Calibri"/>
          <w:i w:val="0"/>
          <w:color w:val="000000"/>
          <w:szCs w:val="18"/>
        </w:rPr>
        <w:t xml:space="preserve">Note: </w:t>
      </w:r>
      <w:r w:rsidRPr="00B75B77">
        <w:rPr>
          <w:rFonts w:ascii="Calibri" w:hAnsi="Calibri"/>
          <w:i w:val="0"/>
          <w:iCs/>
          <w:color w:val="000000"/>
          <w:szCs w:val="18"/>
        </w:rPr>
        <w:t xml:space="preserve">Values in tables may not reconcile exactly </w:t>
      </w:r>
      <w:r w:rsidR="00493C06" w:rsidRPr="00B75B77">
        <w:rPr>
          <w:rFonts w:ascii="Calibri" w:hAnsi="Calibri"/>
          <w:i w:val="0"/>
          <w:iCs/>
          <w:color w:val="000000"/>
          <w:szCs w:val="18"/>
        </w:rPr>
        <w:t>with the sum of</w:t>
      </w:r>
      <w:r w:rsidRPr="00B75B77">
        <w:rPr>
          <w:rFonts w:ascii="Calibri" w:hAnsi="Calibri"/>
          <w:i w:val="0"/>
          <w:iCs/>
          <w:color w:val="000000"/>
          <w:szCs w:val="18"/>
        </w:rPr>
        <w:t xml:space="preserve"> more detailed level results or previously reported results due to rounding.</w:t>
      </w:r>
    </w:p>
    <w:p w:rsidR="000E1EED" w:rsidRPr="00B75B77" w:rsidRDefault="000E1EED" w:rsidP="007665E5">
      <w:pPr>
        <w:pStyle w:val="Source"/>
        <w:spacing w:after="120"/>
        <w:ind w:hanging="634"/>
      </w:pPr>
      <w:r w:rsidRPr="00B75B77">
        <w:t>Source: Navigant analysis</w:t>
      </w:r>
    </w:p>
    <w:p w:rsidR="000E1EED" w:rsidRPr="00B75B77" w:rsidRDefault="000E1EED" w:rsidP="00707B64">
      <w:r w:rsidRPr="00B75B77">
        <w:t xml:space="preserve">Through Navigant’s gross evaluation, Navigant found zero projects with major discrepancies. However, Navigant did find various differences between the </w:t>
      </w:r>
      <w:r w:rsidR="000A7067" w:rsidRPr="00B75B77">
        <w:t xml:space="preserve">ex </w:t>
      </w:r>
      <w:r w:rsidRPr="00B75B77">
        <w:t xml:space="preserve">ante and ex post savings estimates from using updated </w:t>
      </w:r>
      <w:r w:rsidRPr="00B75B77" w:rsidDel="00845869">
        <w:t>utility</w:t>
      </w:r>
      <w:r w:rsidR="00845869" w:rsidRPr="00B75B77">
        <w:t>-metered</w:t>
      </w:r>
      <w:r w:rsidRPr="00B75B77">
        <w:t xml:space="preserve"> data</w:t>
      </w:r>
      <w:r w:rsidR="00C44F88" w:rsidRPr="00B75B77">
        <w:t xml:space="preserve"> and</w:t>
      </w:r>
      <w:r w:rsidRPr="00B75B77">
        <w:t xml:space="preserve"> trend data and finding differences in fixture quantities and fixture </w:t>
      </w:r>
      <w:r w:rsidR="00FA45FF" w:rsidRPr="00B75B77">
        <w:t>HOU</w:t>
      </w:r>
      <w:r w:rsidRPr="00B75B77">
        <w:t xml:space="preserve"> and </w:t>
      </w:r>
      <w:r w:rsidR="00FA45FF" w:rsidRPr="00B75B77">
        <w:t>CFs</w:t>
      </w:r>
      <w:r w:rsidRPr="00B75B77">
        <w:t xml:space="preserve">. </w:t>
      </w:r>
      <w:r w:rsidR="00D56E1C" w:rsidRPr="00B75B77">
        <w:fldChar w:fldCharType="begin"/>
      </w:r>
      <w:r w:rsidR="00D56E1C" w:rsidRPr="00B75B77">
        <w:instrText xml:space="preserve"> REF _Ref464223348 \h </w:instrText>
      </w:r>
      <w:r w:rsidR="00B75B77">
        <w:instrText xml:space="preserve"> \* MERGEFORMAT </w:instrText>
      </w:r>
      <w:r w:rsidR="00D56E1C" w:rsidRPr="00B75B77">
        <w:fldChar w:fldCharType="separate"/>
      </w:r>
      <w:r w:rsidR="0004016D" w:rsidRPr="00B75B77">
        <w:t xml:space="preserve">Table </w:t>
      </w:r>
      <w:r w:rsidR="0004016D">
        <w:rPr>
          <w:noProof/>
        </w:rPr>
        <w:t>12</w:t>
      </w:r>
      <w:r w:rsidR="0004016D" w:rsidRPr="00B75B77">
        <w:rPr>
          <w:noProof/>
        </w:rPr>
        <w:noBreakHyphen/>
      </w:r>
      <w:r w:rsidR="0004016D">
        <w:rPr>
          <w:noProof/>
        </w:rPr>
        <w:t>5</w:t>
      </w:r>
      <w:r w:rsidR="00D56E1C" w:rsidRPr="00B75B77">
        <w:fldChar w:fldCharType="end"/>
      </w:r>
      <w:r w:rsidR="00C44F88" w:rsidRPr="00B75B77">
        <w:t xml:space="preserve"> </w:t>
      </w:r>
      <w:r w:rsidRPr="00B75B77">
        <w:t xml:space="preserve">indicates the total number of discrepancies across the </w:t>
      </w:r>
      <w:r w:rsidR="00493C06" w:rsidRPr="00B75B77">
        <w:t>onsite</w:t>
      </w:r>
      <w:r w:rsidRPr="00B75B77">
        <w:t xml:space="preserve"> inspections. </w:t>
      </w:r>
    </w:p>
    <w:p w:rsidR="000E1EED" w:rsidRPr="00B75B77" w:rsidRDefault="000E1EED" w:rsidP="00707B64"/>
    <w:p w:rsidR="000E1EED" w:rsidRPr="00B75B77" w:rsidRDefault="000E1EED" w:rsidP="00707B64">
      <w:pPr>
        <w:pStyle w:val="Caption"/>
      </w:pPr>
      <w:bookmarkStart w:id="770" w:name="_Ref464223348"/>
      <w:bookmarkStart w:id="771" w:name="_Toc466413602"/>
      <w:r w:rsidRPr="00B75B77">
        <w:t xml:space="preserve">Table </w:t>
      </w:r>
      <w:fldSimple w:instr=" STYLEREF 1 \s ">
        <w:r w:rsidR="0004016D">
          <w:rPr>
            <w:noProof/>
          </w:rPr>
          <w:t>12</w:t>
        </w:r>
      </w:fldSimple>
      <w:r w:rsidR="00F1144C" w:rsidRPr="00B75B77">
        <w:noBreakHyphen/>
      </w:r>
      <w:fldSimple w:instr=" SEQ Table \* ARABIC \s 1 ">
        <w:r w:rsidR="0004016D">
          <w:rPr>
            <w:noProof/>
          </w:rPr>
          <w:t>5</w:t>
        </w:r>
      </w:fldSimple>
      <w:bookmarkEnd w:id="770"/>
      <w:r w:rsidR="00D56E1C" w:rsidRPr="00B75B77">
        <w:t>:</w:t>
      </w:r>
      <w:r w:rsidRPr="00B75B77">
        <w:t xml:space="preserve"> PY7 Smart Equipment Incentives (GNI) On</w:t>
      </w:r>
      <w:r w:rsidR="00AF5657" w:rsidRPr="00B75B77">
        <w:t>s</w:t>
      </w:r>
      <w:r w:rsidRPr="00B75B77">
        <w:t>ite Inspections Summary</w:t>
      </w:r>
      <w:bookmarkEnd w:id="771"/>
      <w:r w:rsidRPr="00B75B77">
        <w:t xml:space="preserve"> </w:t>
      </w:r>
    </w:p>
    <w:tbl>
      <w:tblPr>
        <w:tblStyle w:val="PECOTeal"/>
        <w:tblW w:w="0" w:type="auto"/>
        <w:tblLook w:val="04A0" w:firstRow="1" w:lastRow="0" w:firstColumn="1" w:lastColumn="0" w:noHBand="0" w:noVBand="1"/>
      </w:tblPr>
      <w:tblGrid>
        <w:gridCol w:w="1610"/>
        <w:gridCol w:w="1530"/>
        <w:gridCol w:w="1260"/>
        <w:gridCol w:w="1338"/>
        <w:gridCol w:w="2216"/>
        <w:gridCol w:w="1622"/>
      </w:tblGrid>
      <w:tr w:rsidR="000E1EED" w:rsidRPr="00B75B77" w:rsidTr="007665E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1EED" w:rsidRPr="00B75B77" w:rsidRDefault="000E1EED">
            <w:pPr>
              <w:rPr>
                <w:rFonts w:ascii="Calibri" w:hAnsi="Calibri"/>
                <w:bCs w:val="0"/>
                <w:color w:val="FFFFFF"/>
                <w:szCs w:val="18"/>
              </w:rPr>
            </w:pPr>
            <w:r w:rsidRPr="00B75B77">
              <w:rPr>
                <w:rFonts w:ascii="Calibri" w:hAnsi="Calibri"/>
                <w:bCs w:val="0"/>
                <w:color w:val="FFFFFF"/>
                <w:szCs w:val="18"/>
              </w:rPr>
              <w:t>Measure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1EED" w:rsidRPr="00B75B77" w:rsidRDefault="000E1EED">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FFFFFF"/>
                <w:szCs w:val="18"/>
              </w:rPr>
            </w:pPr>
            <w:r w:rsidRPr="00B75B77">
              <w:rPr>
                <w:rFonts w:ascii="Calibri" w:hAnsi="Calibri"/>
                <w:bCs w:val="0"/>
                <w:color w:val="FFFFFF"/>
                <w:szCs w:val="18"/>
              </w:rPr>
              <w:t>Inspection Firm</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1EED" w:rsidRPr="00B75B77" w:rsidRDefault="000E1EED">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FFFFFF"/>
                <w:szCs w:val="18"/>
              </w:rPr>
            </w:pPr>
            <w:r w:rsidRPr="00B75B77">
              <w:rPr>
                <w:rFonts w:ascii="Calibri" w:hAnsi="Calibri"/>
                <w:bCs w:val="0"/>
                <w:color w:val="FFFFFF"/>
                <w:szCs w:val="18"/>
              </w:rPr>
              <w:t>Number of Inspections Planned</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1EED" w:rsidRPr="00B75B77" w:rsidRDefault="000E1EED">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FFFFFF"/>
                <w:szCs w:val="18"/>
              </w:rPr>
            </w:pPr>
            <w:r w:rsidRPr="00B75B77">
              <w:rPr>
                <w:rFonts w:ascii="Calibri" w:hAnsi="Calibri"/>
                <w:bCs w:val="0"/>
                <w:color w:val="FFFFFF"/>
                <w:szCs w:val="18"/>
              </w:rPr>
              <w:t>Number of Inspections Conducted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1EED" w:rsidRPr="00B75B77" w:rsidRDefault="000E1EED">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FFFFFF"/>
                <w:szCs w:val="18"/>
              </w:rPr>
            </w:pPr>
            <w:r w:rsidRPr="00B75B77">
              <w:rPr>
                <w:rFonts w:ascii="Calibri" w:hAnsi="Calibri"/>
                <w:bCs w:val="0"/>
                <w:color w:val="FFFFFF"/>
                <w:szCs w:val="18"/>
              </w:rPr>
              <w:t>Number of Sites with Discrepancies from Reports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1EED" w:rsidRPr="00B75B77" w:rsidRDefault="000E1EED">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FFFFFF"/>
                <w:szCs w:val="18"/>
              </w:rPr>
            </w:pPr>
            <w:r w:rsidRPr="00B75B77">
              <w:rPr>
                <w:rFonts w:ascii="Calibri" w:hAnsi="Calibri"/>
                <w:bCs w:val="0"/>
                <w:color w:val="FFFFFF"/>
                <w:szCs w:val="18"/>
              </w:rPr>
              <w:t>Resolution of Discrepancies</w:t>
            </w:r>
          </w:p>
        </w:tc>
      </w:tr>
      <w:tr w:rsidR="000E1EED" w:rsidRPr="00B75B77" w:rsidTr="007665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10" w:type="dxa"/>
            <w:tcBorders>
              <w:top w:val="single" w:sz="4" w:space="0" w:color="000000" w:themeColor="text1"/>
            </w:tcBorders>
            <w:hideMark/>
          </w:tcPr>
          <w:p w:rsidR="000E1EED" w:rsidRPr="00B75B77" w:rsidRDefault="000E1EED" w:rsidP="00707B64">
            <w:pPr>
              <w:jc w:val="left"/>
              <w:rPr>
                <w:rFonts w:ascii="Calibri" w:hAnsi="Calibri"/>
                <w:b w:val="0"/>
                <w:color w:val="000000"/>
                <w:szCs w:val="18"/>
              </w:rPr>
            </w:pPr>
            <w:r w:rsidRPr="00B75B77">
              <w:rPr>
                <w:rFonts w:ascii="Calibri" w:hAnsi="Calibri"/>
                <w:b w:val="0"/>
                <w:color w:val="000000"/>
                <w:szCs w:val="18"/>
              </w:rPr>
              <w:t>Lighting</w:t>
            </w:r>
          </w:p>
        </w:tc>
        <w:tc>
          <w:tcPr>
            <w:tcW w:w="1530" w:type="dxa"/>
            <w:tcBorders>
              <w:top w:val="single" w:sz="4" w:space="0" w:color="000000" w:themeColor="text1"/>
            </w:tcBorders>
            <w:hideMark/>
          </w:tcPr>
          <w:p w:rsidR="000E1EED" w:rsidRPr="00B75B77" w:rsidRDefault="000E1EE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Navigant/</w:t>
            </w:r>
            <w:proofErr w:type="spellStart"/>
            <w:r w:rsidRPr="00B75B77">
              <w:rPr>
                <w:rFonts w:ascii="Calibri" w:hAnsi="Calibri"/>
                <w:color w:val="000000"/>
                <w:szCs w:val="18"/>
              </w:rPr>
              <w:t>Mondre</w:t>
            </w:r>
            <w:proofErr w:type="spellEnd"/>
          </w:p>
        </w:tc>
        <w:tc>
          <w:tcPr>
            <w:tcW w:w="1260" w:type="dxa"/>
            <w:tcBorders>
              <w:top w:val="single" w:sz="4" w:space="0" w:color="000000" w:themeColor="text1"/>
            </w:tcBorders>
            <w:hideMark/>
          </w:tcPr>
          <w:p w:rsidR="000E1EED" w:rsidRPr="00B75B77" w:rsidRDefault="000E1EE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18</w:t>
            </w:r>
          </w:p>
        </w:tc>
        <w:tc>
          <w:tcPr>
            <w:tcW w:w="1338" w:type="dxa"/>
            <w:tcBorders>
              <w:top w:val="single" w:sz="4" w:space="0" w:color="000000" w:themeColor="text1"/>
            </w:tcBorders>
            <w:hideMark/>
          </w:tcPr>
          <w:p w:rsidR="000E1EED" w:rsidRPr="00B75B77" w:rsidRDefault="000E1EED" w:rsidP="00707B6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17</w:t>
            </w:r>
          </w:p>
        </w:tc>
        <w:tc>
          <w:tcPr>
            <w:tcW w:w="0" w:type="auto"/>
            <w:tcBorders>
              <w:top w:val="single" w:sz="4" w:space="0" w:color="000000" w:themeColor="text1"/>
            </w:tcBorders>
            <w:hideMark/>
          </w:tcPr>
          <w:p w:rsidR="000E1EED" w:rsidRPr="00B75B77" w:rsidRDefault="000E1EE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0</w:t>
            </w:r>
          </w:p>
        </w:tc>
        <w:tc>
          <w:tcPr>
            <w:tcW w:w="0" w:type="auto"/>
            <w:tcBorders>
              <w:top w:val="single" w:sz="4" w:space="0" w:color="000000" w:themeColor="text1"/>
            </w:tcBorders>
            <w:hideMark/>
          </w:tcPr>
          <w:p w:rsidR="000E1EED" w:rsidRPr="00B75B77" w:rsidRDefault="007665E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N/A</w:t>
            </w:r>
          </w:p>
        </w:tc>
      </w:tr>
      <w:tr w:rsidR="000E1EED" w:rsidRPr="00B75B77" w:rsidTr="007665E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10" w:type="dxa"/>
          </w:tcPr>
          <w:p w:rsidR="000E1EED" w:rsidRPr="00B75B77" w:rsidRDefault="000E1EED" w:rsidP="00707B64">
            <w:pPr>
              <w:jc w:val="left"/>
              <w:rPr>
                <w:rFonts w:ascii="Calibri" w:hAnsi="Calibri"/>
                <w:b w:val="0"/>
                <w:color w:val="000000"/>
                <w:szCs w:val="18"/>
              </w:rPr>
            </w:pPr>
            <w:r w:rsidRPr="00B75B77">
              <w:rPr>
                <w:rFonts w:ascii="Calibri" w:hAnsi="Calibri"/>
                <w:b w:val="0"/>
                <w:color w:val="000000"/>
                <w:szCs w:val="18"/>
              </w:rPr>
              <w:t>HVAC</w:t>
            </w:r>
          </w:p>
        </w:tc>
        <w:tc>
          <w:tcPr>
            <w:tcW w:w="1530" w:type="dxa"/>
          </w:tcPr>
          <w:p w:rsidR="000E1EED" w:rsidRPr="00B75B77" w:rsidRDefault="000E1EED" w:rsidP="00707B64">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Cs w:val="18"/>
              </w:rPr>
            </w:pPr>
            <w:r w:rsidRPr="00B75B77">
              <w:rPr>
                <w:rFonts w:ascii="Calibri" w:hAnsi="Calibri"/>
                <w:color w:val="000000"/>
                <w:szCs w:val="18"/>
              </w:rPr>
              <w:t>Navigant/</w:t>
            </w:r>
            <w:proofErr w:type="spellStart"/>
            <w:r w:rsidRPr="00B75B77">
              <w:rPr>
                <w:rFonts w:ascii="Calibri" w:hAnsi="Calibri"/>
                <w:color w:val="000000"/>
                <w:szCs w:val="18"/>
              </w:rPr>
              <w:t>Mondre</w:t>
            </w:r>
            <w:proofErr w:type="spellEnd"/>
          </w:p>
        </w:tc>
        <w:tc>
          <w:tcPr>
            <w:tcW w:w="1260" w:type="dxa"/>
          </w:tcPr>
          <w:p w:rsidR="000E1EED" w:rsidRPr="00B75B77" w:rsidRDefault="000E1EED" w:rsidP="00707B64">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Cs w:val="18"/>
              </w:rPr>
            </w:pPr>
            <w:r w:rsidRPr="00B75B77">
              <w:rPr>
                <w:rFonts w:ascii="Calibri" w:hAnsi="Calibri"/>
                <w:color w:val="000000"/>
                <w:szCs w:val="18"/>
              </w:rPr>
              <w:t>12</w:t>
            </w:r>
          </w:p>
        </w:tc>
        <w:tc>
          <w:tcPr>
            <w:tcW w:w="1338" w:type="dxa"/>
          </w:tcPr>
          <w:p w:rsidR="000E1EED" w:rsidRPr="00B75B77" w:rsidRDefault="000E1EED" w:rsidP="00707B64">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Cs w:val="18"/>
              </w:rPr>
            </w:pPr>
            <w:r w:rsidRPr="00B75B77">
              <w:rPr>
                <w:rFonts w:ascii="Calibri" w:hAnsi="Calibri"/>
                <w:color w:val="000000"/>
                <w:szCs w:val="18"/>
              </w:rPr>
              <w:t>12</w:t>
            </w:r>
          </w:p>
        </w:tc>
        <w:tc>
          <w:tcPr>
            <w:tcW w:w="0" w:type="auto"/>
          </w:tcPr>
          <w:p w:rsidR="000E1EED" w:rsidRPr="00B75B77" w:rsidRDefault="000E1EED" w:rsidP="00707B64">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Cs w:val="18"/>
              </w:rPr>
            </w:pPr>
            <w:r w:rsidRPr="00B75B77">
              <w:rPr>
                <w:rFonts w:ascii="Calibri" w:hAnsi="Calibri"/>
                <w:color w:val="000000"/>
                <w:szCs w:val="18"/>
              </w:rPr>
              <w:t>0</w:t>
            </w:r>
          </w:p>
        </w:tc>
        <w:tc>
          <w:tcPr>
            <w:tcW w:w="0" w:type="auto"/>
          </w:tcPr>
          <w:p w:rsidR="000E1EED" w:rsidRPr="00B75B77" w:rsidRDefault="007665E5" w:rsidP="00707B64">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Cs w:val="18"/>
              </w:rPr>
            </w:pPr>
            <w:r w:rsidRPr="00B75B77">
              <w:rPr>
                <w:rFonts w:ascii="Calibri" w:hAnsi="Calibri"/>
                <w:color w:val="000000"/>
                <w:szCs w:val="18"/>
              </w:rPr>
              <w:t>N/A</w:t>
            </w:r>
          </w:p>
        </w:tc>
      </w:tr>
      <w:tr w:rsidR="000E1EED" w:rsidRPr="00B75B77" w:rsidTr="007665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10" w:type="dxa"/>
          </w:tcPr>
          <w:p w:rsidR="000E1EED" w:rsidRPr="00B75B77" w:rsidRDefault="000E1EED" w:rsidP="00707B64">
            <w:pPr>
              <w:jc w:val="left"/>
              <w:rPr>
                <w:rFonts w:ascii="Calibri" w:hAnsi="Calibri"/>
                <w:b w:val="0"/>
                <w:color w:val="000000"/>
                <w:szCs w:val="18"/>
              </w:rPr>
            </w:pPr>
            <w:r w:rsidRPr="00B75B77">
              <w:rPr>
                <w:rFonts w:ascii="Calibri" w:hAnsi="Calibri"/>
                <w:b w:val="0"/>
                <w:color w:val="000000"/>
                <w:szCs w:val="18"/>
              </w:rPr>
              <w:t>Motors and Drives</w:t>
            </w:r>
          </w:p>
        </w:tc>
        <w:tc>
          <w:tcPr>
            <w:tcW w:w="1530" w:type="dxa"/>
          </w:tcPr>
          <w:p w:rsidR="000E1EED" w:rsidRPr="00B75B77" w:rsidRDefault="000E1EED" w:rsidP="00707B6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Navigant/</w:t>
            </w:r>
            <w:proofErr w:type="spellStart"/>
            <w:r w:rsidRPr="00B75B77">
              <w:rPr>
                <w:rFonts w:ascii="Calibri" w:hAnsi="Calibri"/>
                <w:color w:val="000000"/>
                <w:szCs w:val="18"/>
              </w:rPr>
              <w:t>Mondre</w:t>
            </w:r>
            <w:proofErr w:type="spellEnd"/>
          </w:p>
        </w:tc>
        <w:tc>
          <w:tcPr>
            <w:tcW w:w="1260" w:type="dxa"/>
          </w:tcPr>
          <w:p w:rsidR="000E1EED" w:rsidRPr="00B75B77" w:rsidRDefault="000E1EED" w:rsidP="00707B6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6</w:t>
            </w:r>
          </w:p>
        </w:tc>
        <w:tc>
          <w:tcPr>
            <w:tcW w:w="1338" w:type="dxa"/>
          </w:tcPr>
          <w:p w:rsidR="000E1EED" w:rsidRPr="00B75B77" w:rsidRDefault="000E1EED" w:rsidP="00707B6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6</w:t>
            </w:r>
          </w:p>
        </w:tc>
        <w:tc>
          <w:tcPr>
            <w:tcW w:w="0" w:type="auto"/>
          </w:tcPr>
          <w:p w:rsidR="000E1EED" w:rsidRPr="00B75B77" w:rsidRDefault="000E1EED" w:rsidP="00707B6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0</w:t>
            </w:r>
          </w:p>
        </w:tc>
        <w:tc>
          <w:tcPr>
            <w:tcW w:w="0" w:type="auto"/>
          </w:tcPr>
          <w:p w:rsidR="000E1EED" w:rsidRPr="00B75B77" w:rsidRDefault="007665E5" w:rsidP="00707B6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N/A</w:t>
            </w:r>
          </w:p>
        </w:tc>
      </w:tr>
      <w:tr w:rsidR="000E1EED" w:rsidRPr="00B75B77" w:rsidTr="007665E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10" w:type="dxa"/>
          </w:tcPr>
          <w:p w:rsidR="000E1EED" w:rsidRPr="00B75B77" w:rsidRDefault="000E1EED" w:rsidP="00707B64">
            <w:pPr>
              <w:jc w:val="left"/>
              <w:rPr>
                <w:rFonts w:ascii="Calibri" w:hAnsi="Calibri"/>
                <w:b w:val="0"/>
                <w:color w:val="000000"/>
                <w:szCs w:val="18"/>
              </w:rPr>
            </w:pPr>
            <w:r w:rsidRPr="00B75B77">
              <w:rPr>
                <w:rFonts w:ascii="Calibri" w:hAnsi="Calibri"/>
                <w:b w:val="0"/>
                <w:color w:val="000000"/>
                <w:szCs w:val="18"/>
              </w:rPr>
              <w:t>Custom</w:t>
            </w:r>
          </w:p>
        </w:tc>
        <w:tc>
          <w:tcPr>
            <w:tcW w:w="1530" w:type="dxa"/>
          </w:tcPr>
          <w:p w:rsidR="000E1EED" w:rsidRPr="00B75B77" w:rsidRDefault="000E1EED" w:rsidP="00707B64">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Cs w:val="18"/>
              </w:rPr>
            </w:pPr>
            <w:r w:rsidRPr="00B75B77">
              <w:rPr>
                <w:rFonts w:ascii="Calibri" w:hAnsi="Calibri"/>
                <w:color w:val="000000"/>
                <w:szCs w:val="18"/>
              </w:rPr>
              <w:t>Navigant/</w:t>
            </w:r>
            <w:proofErr w:type="spellStart"/>
            <w:r w:rsidRPr="00B75B77">
              <w:rPr>
                <w:rFonts w:ascii="Calibri" w:hAnsi="Calibri"/>
                <w:color w:val="000000"/>
                <w:szCs w:val="18"/>
              </w:rPr>
              <w:t>Mondre</w:t>
            </w:r>
            <w:proofErr w:type="spellEnd"/>
          </w:p>
        </w:tc>
        <w:tc>
          <w:tcPr>
            <w:tcW w:w="1260" w:type="dxa"/>
          </w:tcPr>
          <w:p w:rsidR="000E1EED" w:rsidRPr="00B75B77" w:rsidRDefault="000E1EED" w:rsidP="00707B64">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Cs w:val="18"/>
              </w:rPr>
            </w:pPr>
            <w:r w:rsidRPr="00B75B77">
              <w:rPr>
                <w:rFonts w:ascii="Calibri" w:hAnsi="Calibri"/>
                <w:color w:val="000000"/>
                <w:szCs w:val="18"/>
              </w:rPr>
              <w:t>2</w:t>
            </w:r>
          </w:p>
        </w:tc>
        <w:tc>
          <w:tcPr>
            <w:tcW w:w="1338" w:type="dxa"/>
          </w:tcPr>
          <w:p w:rsidR="000E1EED" w:rsidRPr="00B75B77" w:rsidRDefault="000E1EED" w:rsidP="00707B64">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Cs w:val="18"/>
              </w:rPr>
            </w:pPr>
            <w:r w:rsidRPr="00B75B77">
              <w:rPr>
                <w:rFonts w:ascii="Calibri" w:hAnsi="Calibri"/>
                <w:color w:val="000000"/>
                <w:szCs w:val="18"/>
              </w:rPr>
              <w:t>2</w:t>
            </w:r>
          </w:p>
        </w:tc>
        <w:tc>
          <w:tcPr>
            <w:tcW w:w="0" w:type="auto"/>
          </w:tcPr>
          <w:p w:rsidR="000E1EED" w:rsidRPr="00B75B77" w:rsidRDefault="000E1EED" w:rsidP="00707B64">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Cs w:val="18"/>
              </w:rPr>
            </w:pPr>
            <w:r w:rsidRPr="00B75B77">
              <w:rPr>
                <w:rFonts w:ascii="Calibri" w:hAnsi="Calibri"/>
                <w:color w:val="000000"/>
                <w:szCs w:val="18"/>
              </w:rPr>
              <w:t>0</w:t>
            </w:r>
          </w:p>
        </w:tc>
        <w:tc>
          <w:tcPr>
            <w:tcW w:w="0" w:type="auto"/>
          </w:tcPr>
          <w:p w:rsidR="000E1EED" w:rsidRPr="00B75B77" w:rsidRDefault="007665E5" w:rsidP="00707B64">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Cs w:val="18"/>
              </w:rPr>
            </w:pPr>
            <w:r w:rsidRPr="00B75B77">
              <w:rPr>
                <w:rFonts w:ascii="Calibri" w:hAnsi="Calibri"/>
                <w:color w:val="000000"/>
                <w:szCs w:val="18"/>
              </w:rPr>
              <w:t>N/A</w:t>
            </w:r>
          </w:p>
        </w:tc>
      </w:tr>
      <w:tr w:rsidR="000E1EED" w:rsidRPr="00B75B77" w:rsidTr="007665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10" w:type="dxa"/>
          </w:tcPr>
          <w:p w:rsidR="000E1EED" w:rsidRPr="00B75B77" w:rsidRDefault="000E1EED" w:rsidP="00707B64">
            <w:pPr>
              <w:jc w:val="left"/>
              <w:rPr>
                <w:rFonts w:ascii="Calibri" w:hAnsi="Calibri"/>
                <w:b w:val="0"/>
                <w:color w:val="000000"/>
                <w:szCs w:val="18"/>
              </w:rPr>
            </w:pPr>
            <w:r w:rsidRPr="00B75B77">
              <w:rPr>
                <w:rFonts w:ascii="Calibri" w:hAnsi="Calibri"/>
                <w:b w:val="0"/>
                <w:color w:val="000000"/>
                <w:szCs w:val="18"/>
              </w:rPr>
              <w:t>Mixed</w:t>
            </w:r>
          </w:p>
        </w:tc>
        <w:tc>
          <w:tcPr>
            <w:tcW w:w="1530" w:type="dxa"/>
          </w:tcPr>
          <w:p w:rsidR="000E1EED" w:rsidRPr="00B75B77" w:rsidRDefault="000E1EE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Navigant/</w:t>
            </w:r>
            <w:proofErr w:type="spellStart"/>
            <w:r w:rsidRPr="00B75B77">
              <w:rPr>
                <w:rFonts w:ascii="Calibri" w:hAnsi="Calibri"/>
                <w:color w:val="000000"/>
                <w:szCs w:val="18"/>
              </w:rPr>
              <w:t>Mondre</w:t>
            </w:r>
            <w:proofErr w:type="spellEnd"/>
          </w:p>
        </w:tc>
        <w:tc>
          <w:tcPr>
            <w:tcW w:w="1260" w:type="dxa"/>
          </w:tcPr>
          <w:p w:rsidR="000E1EED" w:rsidRPr="00B75B77" w:rsidRDefault="000E1EE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5</w:t>
            </w:r>
          </w:p>
        </w:tc>
        <w:tc>
          <w:tcPr>
            <w:tcW w:w="1338" w:type="dxa"/>
          </w:tcPr>
          <w:p w:rsidR="000E1EED" w:rsidRPr="00B75B77" w:rsidRDefault="000E1EE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5</w:t>
            </w:r>
          </w:p>
        </w:tc>
        <w:tc>
          <w:tcPr>
            <w:tcW w:w="0" w:type="auto"/>
          </w:tcPr>
          <w:p w:rsidR="000E1EED" w:rsidRPr="00B75B77" w:rsidRDefault="000E1EE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0</w:t>
            </w:r>
          </w:p>
        </w:tc>
        <w:tc>
          <w:tcPr>
            <w:tcW w:w="0" w:type="auto"/>
          </w:tcPr>
          <w:p w:rsidR="000E1EED" w:rsidRPr="00B75B77" w:rsidRDefault="007665E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N/A</w:t>
            </w:r>
          </w:p>
        </w:tc>
      </w:tr>
      <w:tr w:rsidR="000E1EED" w:rsidRPr="00B75B77" w:rsidTr="007665E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10" w:type="dxa"/>
          </w:tcPr>
          <w:p w:rsidR="000E1EED" w:rsidRPr="00B75B77" w:rsidRDefault="00C44F88" w:rsidP="00707B64">
            <w:pPr>
              <w:jc w:val="left"/>
              <w:rPr>
                <w:rFonts w:ascii="Calibri" w:hAnsi="Calibri"/>
                <w:color w:val="000000"/>
                <w:szCs w:val="18"/>
              </w:rPr>
            </w:pPr>
            <w:r w:rsidRPr="00B75B77">
              <w:rPr>
                <w:rFonts w:ascii="Calibri" w:hAnsi="Calibri"/>
                <w:color w:val="000000"/>
                <w:szCs w:val="18"/>
              </w:rPr>
              <w:t>TOTAL</w:t>
            </w:r>
          </w:p>
        </w:tc>
        <w:tc>
          <w:tcPr>
            <w:tcW w:w="1530" w:type="dxa"/>
          </w:tcPr>
          <w:p w:rsidR="000E1EED" w:rsidRPr="00B75B77" w:rsidRDefault="000E1EED">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zCs w:val="18"/>
              </w:rPr>
            </w:pPr>
          </w:p>
        </w:tc>
        <w:tc>
          <w:tcPr>
            <w:tcW w:w="1260" w:type="dxa"/>
          </w:tcPr>
          <w:p w:rsidR="000E1EED" w:rsidRPr="00B75B77" w:rsidRDefault="000E1EED">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zCs w:val="18"/>
              </w:rPr>
            </w:pPr>
            <w:r w:rsidRPr="00B75B77">
              <w:rPr>
                <w:rFonts w:ascii="Calibri" w:hAnsi="Calibri"/>
                <w:b/>
                <w:color w:val="000000"/>
                <w:szCs w:val="18"/>
              </w:rPr>
              <w:t>43</w:t>
            </w:r>
          </w:p>
        </w:tc>
        <w:tc>
          <w:tcPr>
            <w:tcW w:w="1338" w:type="dxa"/>
          </w:tcPr>
          <w:p w:rsidR="000E1EED" w:rsidRPr="00B75B77" w:rsidRDefault="000E1EED">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zCs w:val="18"/>
              </w:rPr>
            </w:pPr>
            <w:r w:rsidRPr="00B75B77">
              <w:rPr>
                <w:rFonts w:ascii="Calibri" w:hAnsi="Calibri"/>
                <w:b/>
                <w:color w:val="000000"/>
                <w:szCs w:val="18"/>
              </w:rPr>
              <w:t>42</w:t>
            </w:r>
          </w:p>
        </w:tc>
        <w:tc>
          <w:tcPr>
            <w:tcW w:w="0" w:type="auto"/>
          </w:tcPr>
          <w:p w:rsidR="000E1EED" w:rsidRPr="00B75B77" w:rsidRDefault="000E1EED">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zCs w:val="18"/>
              </w:rPr>
            </w:pPr>
            <w:r w:rsidRPr="00B75B77">
              <w:rPr>
                <w:rFonts w:ascii="Calibri" w:hAnsi="Calibri"/>
                <w:b/>
                <w:color w:val="000000"/>
                <w:szCs w:val="18"/>
              </w:rPr>
              <w:t>0</w:t>
            </w:r>
          </w:p>
        </w:tc>
        <w:tc>
          <w:tcPr>
            <w:tcW w:w="0" w:type="auto"/>
          </w:tcPr>
          <w:p w:rsidR="000E1EED" w:rsidRPr="00B75B77" w:rsidRDefault="007665E5">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zCs w:val="18"/>
              </w:rPr>
            </w:pPr>
            <w:r w:rsidRPr="00B75B77">
              <w:rPr>
                <w:rFonts w:ascii="Calibri" w:hAnsi="Calibri"/>
                <w:b/>
                <w:color w:val="000000"/>
                <w:szCs w:val="18"/>
              </w:rPr>
              <w:t>N/A</w:t>
            </w:r>
          </w:p>
        </w:tc>
      </w:tr>
    </w:tbl>
    <w:p w:rsidR="000E1EED" w:rsidRPr="00B75B77" w:rsidRDefault="000E1EED" w:rsidP="00707B64">
      <w:pPr>
        <w:pStyle w:val="Source"/>
        <w:spacing w:after="120"/>
        <w:ind w:left="90" w:firstLine="0"/>
      </w:pPr>
      <w:r w:rsidRPr="00B75B77">
        <w:t>Source: Navigant analysis</w:t>
      </w:r>
    </w:p>
    <w:p w:rsidR="000E1EED" w:rsidRPr="00B75B77" w:rsidRDefault="000E1EED" w:rsidP="003E6A9B">
      <w:pPr>
        <w:pStyle w:val="Heading2"/>
      </w:pPr>
      <w:bookmarkStart w:id="772" w:name="_Toc464230478"/>
      <w:bookmarkStart w:id="773" w:name="_Toc466413415"/>
      <w:bookmarkEnd w:id="772"/>
      <w:r w:rsidRPr="00B75B77">
        <w:t>Impact Evaluation Net Savings</w:t>
      </w:r>
      <w:bookmarkEnd w:id="773"/>
      <w:r w:rsidRPr="00B75B77">
        <w:t xml:space="preserve"> </w:t>
      </w:r>
    </w:p>
    <w:p w:rsidR="000E1EED" w:rsidRPr="00B75B77" w:rsidRDefault="000E1EED" w:rsidP="00707B64">
      <w:pPr>
        <w:keepNext/>
      </w:pPr>
      <w:r w:rsidRPr="00B75B77">
        <w:t xml:space="preserve">After Navigant calculated gross program impacts, the team derived net program impacts by estimating a NTG ratio to quantify the percentage of the gross program impacts that can reliably be attributed to the program. </w:t>
      </w:r>
    </w:p>
    <w:p w:rsidR="000E1EED" w:rsidRPr="00B75B77" w:rsidRDefault="000E1EED" w:rsidP="00707B64"/>
    <w:p w:rsidR="000E1EED" w:rsidRPr="00B75B77" w:rsidRDefault="000E1EED" w:rsidP="00B945B3">
      <w:pPr>
        <w:pStyle w:val="Heading3"/>
        <w:keepNext/>
        <w:keepLines/>
      </w:pPr>
      <w:bookmarkStart w:id="774" w:name="_Toc466413416"/>
      <w:r w:rsidRPr="00B75B77">
        <w:t>Net Verified Savings Methodology</w:t>
      </w:r>
      <w:bookmarkEnd w:id="774"/>
      <w:r w:rsidRPr="00B75B77">
        <w:t xml:space="preserve"> </w:t>
      </w:r>
    </w:p>
    <w:p w:rsidR="000E1EED" w:rsidRPr="00B75B77" w:rsidRDefault="000E1EED" w:rsidP="00B945B3">
      <w:pPr>
        <w:keepNext/>
        <w:keepLines/>
      </w:pPr>
      <w:r w:rsidRPr="00B75B77">
        <w:t xml:space="preserve">The evaluation team calculated the final PY7 program NTG value using a system that weighted customer NTG responses based on the total kWh savings contributed to the SEI program during the program year. </w:t>
      </w:r>
      <w:r w:rsidR="00D56E1C" w:rsidRPr="00B75B77">
        <w:fldChar w:fldCharType="begin"/>
      </w:r>
      <w:r w:rsidR="00D56E1C" w:rsidRPr="00B75B77">
        <w:instrText xml:space="preserve"> REF _Ref464223377 \h </w:instrText>
      </w:r>
      <w:r w:rsidR="00B75B77">
        <w:instrText xml:space="preserve"> \* MERGEFORMAT </w:instrText>
      </w:r>
      <w:r w:rsidR="00D56E1C" w:rsidRPr="00B75B77">
        <w:fldChar w:fldCharType="separate"/>
      </w:r>
      <w:r w:rsidR="0004016D" w:rsidRPr="00B75B77">
        <w:t xml:space="preserve">Table </w:t>
      </w:r>
      <w:r w:rsidR="0004016D">
        <w:rPr>
          <w:noProof/>
        </w:rPr>
        <w:t>12</w:t>
      </w:r>
      <w:r w:rsidR="0004016D" w:rsidRPr="00B75B77">
        <w:rPr>
          <w:noProof/>
        </w:rPr>
        <w:noBreakHyphen/>
      </w:r>
      <w:r w:rsidR="0004016D">
        <w:rPr>
          <w:noProof/>
        </w:rPr>
        <w:t>6</w:t>
      </w:r>
      <w:r w:rsidR="00D56E1C" w:rsidRPr="00B75B77">
        <w:fldChar w:fldCharType="end"/>
      </w:r>
      <w:r w:rsidRPr="00B75B77">
        <w:t xml:space="preserve"> shows the sample design for the PY7 NTG research, and illustrates the need to weight the resulting NTG values, due to oversampling the small strata and </w:t>
      </w:r>
      <w:proofErr w:type="spellStart"/>
      <w:r w:rsidRPr="00B75B77">
        <w:t>undersampling</w:t>
      </w:r>
      <w:proofErr w:type="spellEnd"/>
      <w:r w:rsidRPr="00B75B77">
        <w:t xml:space="preserve"> large and medium strata.</w:t>
      </w:r>
    </w:p>
    <w:p w:rsidR="000E1EED" w:rsidRPr="00B75B77" w:rsidRDefault="000E1EED" w:rsidP="00286B52"/>
    <w:p w:rsidR="000E1EED" w:rsidRPr="00B75B77" w:rsidRDefault="000E1EED" w:rsidP="00502659">
      <w:pPr>
        <w:pStyle w:val="Caption"/>
      </w:pPr>
      <w:bookmarkStart w:id="775" w:name="_Ref464223377"/>
      <w:bookmarkStart w:id="776" w:name="_Toc466413603"/>
      <w:r w:rsidRPr="00B75B77">
        <w:lastRenderedPageBreak/>
        <w:t xml:space="preserve">Table </w:t>
      </w:r>
      <w:fldSimple w:instr=" STYLEREF 1 \s ">
        <w:r w:rsidR="0004016D">
          <w:rPr>
            <w:noProof/>
          </w:rPr>
          <w:t>12</w:t>
        </w:r>
      </w:fldSimple>
      <w:r w:rsidR="00F1144C" w:rsidRPr="00B75B77">
        <w:noBreakHyphen/>
      </w:r>
      <w:fldSimple w:instr=" SEQ Table \* ARABIC \s 1 ">
        <w:r w:rsidR="0004016D">
          <w:rPr>
            <w:noProof/>
          </w:rPr>
          <w:t>6</w:t>
        </w:r>
      </w:fldSimple>
      <w:bookmarkEnd w:id="775"/>
      <w:r w:rsidRPr="00B75B77">
        <w:t>: Smart Equipment Incentives (GNI) Sampling Strategy for PY7 NTG Research</w:t>
      </w:r>
      <w:bookmarkEnd w:id="776"/>
    </w:p>
    <w:tbl>
      <w:tblPr>
        <w:tblStyle w:val="MediumShading1-Accent5"/>
        <w:tblW w:w="9360" w:type="dxa"/>
        <w:tblInd w:w="-1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706"/>
        <w:gridCol w:w="1084"/>
        <w:gridCol w:w="1080"/>
        <w:gridCol w:w="1080"/>
        <w:gridCol w:w="1080"/>
        <w:gridCol w:w="1080"/>
        <w:gridCol w:w="990"/>
        <w:gridCol w:w="1260"/>
      </w:tblGrid>
      <w:tr w:rsidR="000E1EED" w:rsidRPr="00B75B77" w:rsidTr="001565B3">
        <w:trPr>
          <w:cnfStyle w:val="100000000000" w:firstRow="1" w:lastRow="0" w:firstColumn="0" w:lastColumn="0" w:oddVBand="0" w:evenVBand="0" w:oddHBand="0" w:evenHBand="0" w:firstRowFirstColumn="0" w:firstRowLastColumn="0" w:lastRowFirstColumn="0" w:lastRowLastColumn="0"/>
          <w:trHeight w:val="1259"/>
        </w:trPr>
        <w:tc>
          <w:tcPr>
            <w:cnfStyle w:val="001000000000" w:firstRow="0" w:lastRow="0" w:firstColumn="1" w:lastColumn="0" w:oddVBand="0" w:evenVBand="0" w:oddHBand="0" w:evenHBand="0" w:firstRowFirstColumn="0" w:firstRowLastColumn="0" w:lastRowFirstColumn="0" w:lastRowLastColumn="0"/>
            <w:tcW w:w="1706" w:type="dxa"/>
            <w:tcBorders>
              <w:top w:val="single" w:sz="4" w:space="0" w:color="auto"/>
              <w:left w:val="single" w:sz="4" w:space="0" w:color="auto"/>
              <w:bottom w:val="single" w:sz="4" w:space="0" w:color="auto"/>
              <w:right w:val="single" w:sz="4" w:space="0" w:color="auto"/>
            </w:tcBorders>
            <w:shd w:val="clear" w:color="auto" w:fill="448A99"/>
            <w:vAlign w:val="center"/>
            <w:hideMark/>
          </w:tcPr>
          <w:p w:rsidR="000E1EED" w:rsidRPr="00B75B77" w:rsidRDefault="000E1EED" w:rsidP="00502659">
            <w:pPr>
              <w:keepNext/>
              <w:jc w:val="left"/>
              <w:rPr>
                <w:rFonts w:ascii="Calibri" w:eastAsia="Times New Roman" w:hAnsi="Calibri"/>
                <w:bCs w:val="0"/>
                <w:sz w:val="18"/>
                <w:szCs w:val="18"/>
              </w:rPr>
            </w:pPr>
            <w:r w:rsidRPr="00B75B77">
              <w:rPr>
                <w:rFonts w:ascii="Calibri" w:eastAsia="Times New Roman" w:hAnsi="Calibri"/>
                <w:bCs w:val="0"/>
                <w:sz w:val="18"/>
                <w:szCs w:val="18"/>
              </w:rPr>
              <w:t>Stratum</w:t>
            </w:r>
          </w:p>
        </w:tc>
        <w:tc>
          <w:tcPr>
            <w:tcW w:w="1084" w:type="dxa"/>
            <w:tcBorders>
              <w:top w:val="single" w:sz="4" w:space="0" w:color="auto"/>
              <w:left w:val="single" w:sz="4" w:space="0" w:color="auto"/>
              <w:bottom w:val="single" w:sz="4" w:space="0" w:color="auto"/>
              <w:right w:val="single" w:sz="4" w:space="0" w:color="auto"/>
            </w:tcBorders>
            <w:shd w:val="clear" w:color="auto" w:fill="448A99"/>
            <w:vAlign w:val="center"/>
            <w:hideMark/>
          </w:tcPr>
          <w:p w:rsidR="000E1EED" w:rsidRPr="00B75B77" w:rsidRDefault="000E1EED" w:rsidP="00502659">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Stratum Boundaries</w:t>
            </w:r>
          </w:p>
        </w:tc>
        <w:tc>
          <w:tcPr>
            <w:tcW w:w="1080" w:type="dxa"/>
            <w:tcBorders>
              <w:top w:val="single" w:sz="4" w:space="0" w:color="auto"/>
              <w:left w:val="single" w:sz="4" w:space="0" w:color="auto"/>
              <w:bottom w:val="single" w:sz="4" w:space="0" w:color="auto"/>
              <w:right w:val="single" w:sz="4" w:space="0" w:color="auto"/>
            </w:tcBorders>
            <w:shd w:val="clear" w:color="auto" w:fill="448A99"/>
            <w:vAlign w:val="center"/>
            <w:hideMark/>
          </w:tcPr>
          <w:p w:rsidR="000E1EED" w:rsidRPr="00B75B77" w:rsidRDefault="000E1EED" w:rsidP="00502659">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Population Size</w:t>
            </w:r>
          </w:p>
        </w:tc>
        <w:tc>
          <w:tcPr>
            <w:tcW w:w="1080" w:type="dxa"/>
            <w:tcBorders>
              <w:top w:val="single" w:sz="4" w:space="0" w:color="auto"/>
              <w:left w:val="single" w:sz="4" w:space="0" w:color="auto"/>
              <w:bottom w:val="single" w:sz="4" w:space="0" w:color="auto"/>
              <w:right w:val="single" w:sz="4" w:space="0" w:color="auto"/>
            </w:tcBorders>
            <w:shd w:val="clear" w:color="auto" w:fill="448A99"/>
            <w:vAlign w:val="center"/>
            <w:hideMark/>
          </w:tcPr>
          <w:p w:rsidR="000E1EED" w:rsidRPr="00B75B77" w:rsidRDefault="000E1EED" w:rsidP="00502659">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Assumed CV or Proportion in Sample Design</w:t>
            </w:r>
          </w:p>
        </w:tc>
        <w:tc>
          <w:tcPr>
            <w:tcW w:w="1080" w:type="dxa"/>
            <w:tcBorders>
              <w:top w:val="single" w:sz="4" w:space="0" w:color="auto"/>
              <w:left w:val="single" w:sz="4" w:space="0" w:color="auto"/>
              <w:bottom w:val="single" w:sz="4" w:space="0" w:color="auto"/>
              <w:right w:val="single" w:sz="4" w:space="0" w:color="auto"/>
            </w:tcBorders>
            <w:shd w:val="clear" w:color="auto" w:fill="448A99"/>
            <w:vAlign w:val="center"/>
            <w:hideMark/>
          </w:tcPr>
          <w:p w:rsidR="000E1EED" w:rsidRPr="00B75B77" w:rsidRDefault="000E1EED" w:rsidP="00502659">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Assumed Levels of Confidence and Precision</w:t>
            </w:r>
          </w:p>
        </w:tc>
        <w:tc>
          <w:tcPr>
            <w:tcW w:w="1080" w:type="dxa"/>
            <w:tcBorders>
              <w:top w:val="single" w:sz="4" w:space="0" w:color="auto"/>
              <w:left w:val="single" w:sz="4" w:space="0" w:color="auto"/>
              <w:bottom w:val="single" w:sz="4" w:space="0" w:color="auto"/>
              <w:right w:val="single" w:sz="4" w:space="0" w:color="auto"/>
            </w:tcBorders>
            <w:shd w:val="clear" w:color="auto" w:fill="448A99"/>
            <w:vAlign w:val="center"/>
            <w:hideMark/>
          </w:tcPr>
          <w:p w:rsidR="000E1EED" w:rsidRPr="00B75B77" w:rsidRDefault="000E1EED" w:rsidP="00502659">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 xml:space="preserve">Target </w:t>
            </w:r>
            <w:r w:rsidR="00F81128" w:rsidRPr="00B75B77">
              <w:rPr>
                <w:rFonts w:ascii="Calibri" w:eastAsia="Times New Roman" w:hAnsi="Calibri"/>
                <w:bCs w:val="0"/>
                <w:sz w:val="18"/>
                <w:szCs w:val="18"/>
              </w:rPr>
              <w:t>Sample Size</w:t>
            </w:r>
          </w:p>
        </w:tc>
        <w:tc>
          <w:tcPr>
            <w:tcW w:w="990" w:type="dxa"/>
            <w:tcBorders>
              <w:top w:val="single" w:sz="4" w:space="0" w:color="auto"/>
              <w:left w:val="single" w:sz="4" w:space="0" w:color="auto"/>
              <w:bottom w:val="single" w:sz="4" w:space="0" w:color="auto"/>
              <w:right w:val="single" w:sz="4" w:space="0" w:color="auto"/>
            </w:tcBorders>
            <w:shd w:val="clear" w:color="auto" w:fill="448A99"/>
            <w:vAlign w:val="center"/>
            <w:hideMark/>
          </w:tcPr>
          <w:p w:rsidR="000E1EED" w:rsidRPr="00B75B77" w:rsidRDefault="000E1EED" w:rsidP="00502659">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Achieved Sample Size</w:t>
            </w:r>
          </w:p>
        </w:tc>
        <w:tc>
          <w:tcPr>
            <w:tcW w:w="1260" w:type="dxa"/>
            <w:tcBorders>
              <w:top w:val="single" w:sz="4" w:space="0" w:color="auto"/>
              <w:left w:val="single" w:sz="4" w:space="0" w:color="auto"/>
              <w:bottom w:val="single" w:sz="4" w:space="0" w:color="auto"/>
              <w:right w:val="single" w:sz="4" w:space="0" w:color="auto"/>
            </w:tcBorders>
            <w:shd w:val="clear" w:color="auto" w:fill="448A99"/>
            <w:vAlign w:val="center"/>
            <w:hideMark/>
          </w:tcPr>
          <w:p w:rsidR="000E1EED" w:rsidRPr="00B75B77" w:rsidRDefault="000E1EED" w:rsidP="00502659">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Percent</w:t>
            </w:r>
            <w:r w:rsidR="00C363CE" w:rsidRPr="00B75B77">
              <w:rPr>
                <w:rFonts w:ascii="Calibri" w:eastAsia="Times New Roman" w:hAnsi="Calibri"/>
                <w:bCs w:val="0"/>
                <w:sz w:val="18"/>
                <w:szCs w:val="18"/>
              </w:rPr>
              <w:t>age</w:t>
            </w:r>
            <w:r w:rsidRPr="00B75B77">
              <w:rPr>
                <w:rFonts w:ascii="Calibri" w:eastAsia="Times New Roman" w:hAnsi="Calibri"/>
                <w:bCs w:val="0"/>
                <w:sz w:val="18"/>
                <w:szCs w:val="18"/>
              </w:rPr>
              <w:t xml:space="preserve"> of Sample Frame Contacted</w:t>
            </w:r>
            <w:r w:rsidRPr="00B75B77">
              <w:rPr>
                <w:rFonts w:ascii="Calibri" w:eastAsia="Times New Roman" w:hAnsi="Calibri"/>
                <w:bCs w:val="0"/>
                <w:sz w:val="18"/>
                <w:szCs w:val="18"/>
                <w:vertAlign w:val="superscript"/>
              </w:rPr>
              <w:t>[</w:t>
            </w:r>
            <w:r w:rsidRPr="00B75B77">
              <w:rPr>
                <w:rFonts w:eastAsia="Times New Roman"/>
                <w:bCs w:val="0"/>
                <w:sz w:val="18"/>
                <w:szCs w:val="18"/>
                <w:vertAlign w:val="superscript"/>
              </w:rPr>
              <w:t>1</w:t>
            </w:r>
            <w:r w:rsidRPr="00B75B77">
              <w:rPr>
                <w:rFonts w:ascii="Calibri" w:eastAsia="Times New Roman" w:hAnsi="Calibri"/>
                <w:bCs w:val="0"/>
                <w:sz w:val="18"/>
                <w:szCs w:val="18"/>
                <w:vertAlign w:val="superscript"/>
              </w:rPr>
              <w:t>]</w:t>
            </w:r>
            <w:r w:rsidRPr="00B75B77">
              <w:rPr>
                <w:rFonts w:ascii="Calibri" w:eastAsia="Times New Roman" w:hAnsi="Calibri"/>
                <w:bCs w:val="0"/>
                <w:sz w:val="18"/>
                <w:szCs w:val="18"/>
              </w:rPr>
              <w:t xml:space="preserve"> to Achieve Sample</w:t>
            </w:r>
          </w:p>
        </w:tc>
      </w:tr>
      <w:tr w:rsidR="000E1EED" w:rsidRPr="00B75B77" w:rsidTr="001565B3">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706" w:type="dxa"/>
            <w:tcBorders>
              <w:top w:val="single" w:sz="4" w:space="0" w:color="auto"/>
              <w:left w:val="single" w:sz="4" w:space="0" w:color="448A99"/>
              <w:bottom w:val="single" w:sz="4" w:space="0" w:color="448A99"/>
              <w:right w:val="single" w:sz="4" w:space="0" w:color="448A99"/>
            </w:tcBorders>
            <w:noWrap/>
            <w:vAlign w:val="center"/>
            <w:hideMark/>
          </w:tcPr>
          <w:p w:rsidR="000E1EED" w:rsidRPr="00B75B77" w:rsidRDefault="000E1EED" w:rsidP="00502659">
            <w:pPr>
              <w:keepNext/>
              <w:jc w:val="left"/>
              <w:rPr>
                <w:rFonts w:ascii="Calibri" w:eastAsia="Times New Roman" w:hAnsi="Calibri"/>
                <w:b w:val="0"/>
                <w:color w:val="000000"/>
                <w:sz w:val="18"/>
                <w:szCs w:val="18"/>
              </w:rPr>
            </w:pPr>
            <w:r w:rsidRPr="00B75B77">
              <w:rPr>
                <w:b w:val="0"/>
                <w:sz w:val="18"/>
              </w:rPr>
              <w:t>GNI Large</w:t>
            </w:r>
          </w:p>
        </w:tc>
        <w:tc>
          <w:tcPr>
            <w:tcW w:w="1084" w:type="dxa"/>
            <w:tcBorders>
              <w:top w:val="single" w:sz="4" w:space="0" w:color="auto"/>
              <w:left w:val="single" w:sz="4" w:space="0" w:color="448A99"/>
              <w:bottom w:val="single" w:sz="4" w:space="0" w:color="448A99"/>
              <w:right w:val="single" w:sz="4" w:space="0" w:color="448A99"/>
            </w:tcBorders>
            <w:noWrap/>
            <w:vAlign w:val="center"/>
            <w:hideMark/>
          </w:tcPr>
          <w:p w:rsidR="000E1EED" w:rsidRPr="00B75B77" w:rsidRDefault="000E1EED"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rPr>
            </w:pPr>
            <w:r w:rsidRPr="00B75B77">
              <w:rPr>
                <w:sz w:val="18"/>
              </w:rPr>
              <w:t>&gt;= 500,000 kWh Total Savings</w:t>
            </w:r>
          </w:p>
        </w:tc>
        <w:tc>
          <w:tcPr>
            <w:tcW w:w="1080" w:type="dxa"/>
            <w:tcBorders>
              <w:top w:val="single" w:sz="4" w:space="0" w:color="auto"/>
              <w:left w:val="single" w:sz="4" w:space="0" w:color="448A99"/>
              <w:bottom w:val="single" w:sz="4" w:space="0" w:color="448A99"/>
              <w:right w:val="single" w:sz="4" w:space="0" w:color="448A99"/>
            </w:tcBorders>
            <w:noWrap/>
            <w:vAlign w:val="center"/>
            <w:hideMark/>
          </w:tcPr>
          <w:p w:rsidR="000E1EED" w:rsidRPr="00B75B77" w:rsidRDefault="000E1EED"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rPr>
            </w:pPr>
            <w:r w:rsidRPr="00B75B77">
              <w:rPr>
                <w:sz w:val="18"/>
              </w:rPr>
              <w:t>25</w:t>
            </w:r>
          </w:p>
        </w:tc>
        <w:tc>
          <w:tcPr>
            <w:tcW w:w="1080" w:type="dxa"/>
            <w:tcBorders>
              <w:top w:val="single" w:sz="4" w:space="0" w:color="auto"/>
              <w:left w:val="single" w:sz="4" w:space="0" w:color="448A99"/>
              <w:bottom w:val="single" w:sz="4" w:space="0" w:color="448A99"/>
              <w:right w:val="single" w:sz="4" w:space="0" w:color="448A99"/>
            </w:tcBorders>
            <w:noWrap/>
            <w:vAlign w:val="center"/>
            <w:hideMark/>
          </w:tcPr>
          <w:p w:rsidR="000E1EED" w:rsidRPr="00B75B77" w:rsidRDefault="000E1EED"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rPr>
            </w:pPr>
            <w:r w:rsidRPr="00B75B77">
              <w:rPr>
                <w:sz w:val="18"/>
              </w:rPr>
              <w:t>0.50</w:t>
            </w:r>
          </w:p>
        </w:tc>
        <w:tc>
          <w:tcPr>
            <w:tcW w:w="1080" w:type="dxa"/>
            <w:tcBorders>
              <w:top w:val="single" w:sz="4" w:space="0" w:color="auto"/>
              <w:left w:val="single" w:sz="4" w:space="0" w:color="448A99"/>
              <w:bottom w:val="single" w:sz="4" w:space="0" w:color="448A99"/>
              <w:right w:val="single" w:sz="4" w:space="0" w:color="448A99"/>
            </w:tcBorders>
            <w:noWrap/>
            <w:vAlign w:val="center"/>
            <w:hideMark/>
          </w:tcPr>
          <w:p w:rsidR="000E1EED" w:rsidRPr="00B75B77" w:rsidRDefault="000E1EED"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rPr>
            </w:pPr>
            <w:r w:rsidRPr="00B75B77">
              <w:rPr>
                <w:sz w:val="18"/>
              </w:rPr>
              <w:t>85/15</w:t>
            </w:r>
          </w:p>
        </w:tc>
        <w:tc>
          <w:tcPr>
            <w:tcW w:w="1080" w:type="dxa"/>
            <w:tcBorders>
              <w:top w:val="single" w:sz="4" w:space="0" w:color="auto"/>
              <w:left w:val="single" w:sz="4" w:space="0" w:color="448A99"/>
              <w:bottom w:val="single" w:sz="4" w:space="0" w:color="448A99"/>
              <w:right w:val="single" w:sz="4" w:space="0" w:color="448A99"/>
            </w:tcBorders>
            <w:noWrap/>
            <w:vAlign w:val="center"/>
            <w:hideMark/>
          </w:tcPr>
          <w:p w:rsidR="000E1EED" w:rsidRPr="00B75B77" w:rsidRDefault="000E1EED"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rPr>
            </w:pPr>
            <w:r w:rsidRPr="00B75B77">
              <w:rPr>
                <w:sz w:val="18"/>
              </w:rPr>
              <w:t>Attempted Census</w:t>
            </w:r>
          </w:p>
        </w:tc>
        <w:tc>
          <w:tcPr>
            <w:tcW w:w="990" w:type="dxa"/>
            <w:tcBorders>
              <w:top w:val="single" w:sz="4" w:space="0" w:color="auto"/>
              <w:left w:val="single" w:sz="4" w:space="0" w:color="448A99"/>
              <w:bottom w:val="single" w:sz="4" w:space="0" w:color="448A99"/>
              <w:right w:val="single" w:sz="4" w:space="0" w:color="448A99"/>
            </w:tcBorders>
            <w:noWrap/>
            <w:vAlign w:val="center"/>
            <w:hideMark/>
          </w:tcPr>
          <w:p w:rsidR="000E1EED" w:rsidRPr="00B75B77" w:rsidRDefault="000E1EED"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rPr>
            </w:pPr>
            <w:r w:rsidRPr="00B75B77">
              <w:rPr>
                <w:sz w:val="18"/>
              </w:rPr>
              <w:t>7</w:t>
            </w:r>
          </w:p>
        </w:tc>
        <w:tc>
          <w:tcPr>
            <w:tcW w:w="1260" w:type="dxa"/>
            <w:tcBorders>
              <w:top w:val="single" w:sz="4" w:space="0" w:color="auto"/>
              <w:left w:val="single" w:sz="4" w:space="0" w:color="448A99"/>
              <w:bottom w:val="single" w:sz="4" w:space="0" w:color="448A99"/>
              <w:right w:val="single" w:sz="4" w:space="0" w:color="448A99"/>
            </w:tcBorders>
            <w:noWrap/>
            <w:vAlign w:val="center"/>
            <w:hideMark/>
          </w:tcPr>
          <w:p w:rsidR="000E1EED" w:rsidRPr="00B75B77" w:rsidRDefault="000E1EED"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rPr>
            </w:pPr>
            <w:r w:rsidRPr="00B75B77">
              <w:rPr>
                <w:sz w:val="18"/>
              </w:rPr>
              <w:t>100%</w:t>
            </w:r>
          </w:p>
        </w:tc>
      </w:tr>
      <w:tr w:rsidR="000E1EED" w:rsidRPr="00B75B77" w:rsidTr="001565B3">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706" w:type="dxa"/>
            <w:tcBorders>
              <w:top w:val="single" w:sz="4" w:space="0" w:color="448A99"/>
              <w:left w:val="single" w:sz="4" w:space="0" w:color="448A99"/>
              <w:bottom w:val="single" w:sz="4" w:space="0" w:color="448A99"/>
              <w:right w:val="single" w:sz="4" w:space="0" w:color="448A99"/>
            </w:tcBorders>
            <w:noWrap/>
            <w:vAlign w:val="center"/>
            <w:hideMark/>
          </w:tcPr>
          <w:p w:rsidR="000E1EED" w:rsidRPr="00B75B77" w:rsidRDefault="000E1EED" w:rsidP="00502659">
            <w:pPr>
              <w:keepNext/>
              <w:jc w:val="left"/>
              <w:rPr>
                <w:rFonts w:ascii="Calibri" w:eastAsia="Times New Roman" w:hAnsi="Calibri"/>
                <w:b w:val="0"/>
                <w:color w:val="000000"/>
                <w:sz w:val="18"/>
                <w:szCs w:val="18"/>
              </w:rPr>
            </w:pPr>
            <w:r w:rsidRPr="00B75B77">
              <w:rPr>
                <w:b w:val="0"/>
                <w:sz w:val="18"/>
              </w:rPr>
              <w:t>GNI Small</w:t>
            </w:r>
          </w:p>
        </w:tc>
        <w:tc>
          <w:tcPr>
            <w:tcW w:w="1084" w:type="dxa"/>
            <w:tcBorders>
              <w:top w:val="single" w:sz="4" w:space="0" w:color="448A99"/>
              <w:left w:val="single" w:sz="4" w:space="0" w:color="448A99"/>
              <w:bottom w:val="single" w:sz="4" w:space="0" w:color="448A99"/>
              <w:right w:val="single" w:sz="4" w:space="0" w:color="448A99"/>
            </w:tcBorders>
            <w:noWrap/>
            <w:vAlign w:val="center"/>
            <w:hideMark/>
          </w:tcPr>
          <w:p w:rsidR="000E1EED" w:rsidRPr="00B75B77" w:rsidRDefault="000E1EED" w:rsidP="00502659">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rPr>
            </w:pPr>
            <w:r w:rsidRPr="00B75B77">
              <w:rPr>
                <w:sz w:val="18"/>
              </w:rPr>
              <w:t>&lt; 500,000 kWh Total Savings</w:t>
            </w:r>
          </w:p>
        </w:tc>
        <w:tc>
          <w:tcPr>
            <w:tcW w:w="1080" w:type="dxa"/>
            <w:tcBorders>
              <w:top w:val="single" w:sz="4" w:space="0" w:color="448A99"/>
              <w:left w:val="single" w:sz="4" w:space="0" w:color="448A99"/>
              <w:bottom w:val="single" w:sz="4" w:space="0" w:color="448A99"/>
              <w:right w:val="single" w:sz="4" w:space="0" w:color="448A99"/>
            </w:tcBorders>
            <w:noWrap/>
            <w:vAlign w:val="center"/>
            <w:hideMark/>
          </w:tcPr>
          <w:p w:rsidR="000E1EED" w:rsidRPr="00B75B77" w:rsidRDefault="000E1EED" w:rsidP="00502659">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rPr>
            </w:pPr>
            <w:r w:rsidRPr="00B75B77">
              <w:rPr>
                <w:sz w:val="18"/>
              </w:rPr>
              <w:t>137</w:t>
            </w:r>
          </w:p>
        </w:tc>
        <w:tc>
          <w:tcPr>
            <w:tcW w:w="1080" w:type="dxa"/>
            <w:tcBorders>
              <w:top w:val="single" w:sz="4" w:space="0" w:color="448A99"/>
              <w:left w:val="single" w:sz="4" w:space="0" w:color="448A99"/>
              <w:bottom w:val="single" w:sz="4" w:space="0" w:color="448A99"/>
              <w:right w:val="single" w:sz="4" w:space="0" w:color="448A99"/>
            </w:tcBorders>
            <w:noWrap/>
            <w:vAlign w:val="center"/>
            <w:hideMark/>
          </w:tcPr>
          <w:p w:rsidR="000E1EED" w:rsidRPr="00B75B77" w:rsidRDefault="000E1EED" w:rsidP="00502659">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rPr>
            </w:pPr>
            <w:r w:rsidRPr="00B75B77">
              <w:rPr>
                <w:sz w:val="18"/>
              </w:rPr>
              <w:t>0.50</w:t>
            </w:r>
          </w:p>
        </w:tc>
        <w:tc>
          <w:tcPr>
            <w:tcW w:w="1080" w:type="dxa"/>
            <w:tcBorders>
              <w:top w:val="single" w:sz="4" w:space="0" w:color="448A99"/>
              <w:left w:val="single" w:sz="4" w:space="0" w:color="448A99"/>
              <w:bottom w:val="single" w:sz="4" w:space="0" w:color="448A99"/>
              <w:right w:val="single" w:sz="4" w:space="0" w:color="448A99"/>
            </w:tcBorders>
            <w:noWrap/>
            <w:vAlign w:val="center"/>
            <w:hideMark/>
          </w:tcPr>
          <w:p w:rsidR="000E1EED" w:rsidRPr="00B75B77" w:rsidRDefault="000E1EED" w:rsidP="00502659">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rPr>
            </w:pPr>
            <w:r w:rsidRPr="00B75B77">
              <w:rPr>
                <w:sz w:val="18"/>
              </w:rPr>
              <w:t>85/15</w:t>
            </w:r>
          </w:p>
        </w:tc>
        <w:tc>
          <w:tcPr>
            <w:tcW w:w="1080" w:type="dxa"/>
            <w:tcBorders>
              <w:top w:val="single" w:sz="4" w:space="0" w:color="448A99"/>
              <w:left w:val="single" w:sz="4" w:space="0" w:color="448A99"/>
              <w:bottom w:val="single" w:sz="4" w:space="0" w:color="448A99"/>
              <w:right w:val="single" w:sz="4" w:space="0" w:color="448A99"/>
            </w:tcBorders>
            <w:noWrap/>
            <w:vAlign w:val="center"/>
            <w:hideMark/>
          </w:tcPr>
          <w:p w:rsidR="000E1EED" w:rsidRPr="00B75B77" w:rsidRDefault="000E1EED" w:rsidP="00502659">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rPr>
            </w:pPr>
            <w:r w:rsidRPr="00B75B77">
              <w:rPr>
                <w:sz w:val="18"/>
              </w:rPr>
              <w:t>Attempted Census</w:t>
            </w:r>
          </w:p>
        </w:tc>
        <w:tc>
          <w:tcPr>
            <w:tcW w:w="990" w:type="dxa"/>
            <w:tcBorders>
              <w:top w:val="single" w:sz="4" w:space="0" w:color="448A99"/>
              <w:left w:val="single" w:sz="4" w:space="0" w:color="448A99"/>
              <w:bottom w:val="single" w:sz="4" w:space="0" w:color="448A99"/>
              <w:right w:val="single" w:sz="4" w:space="0" w:color="448A99"/>
            </w:tcBorders>
            <w:noWrap/>
            <w:vAlign w:val="center"/>
            <w:hideMark/>
          </w:tcPr>
          <w:p w:rsidR="000E1EED" w:rsidRPr="00B75B77" w:rsidRDefault="000E1EED" w:rsidP="00502659">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rPr>
            </w:pPr>
            <w:r w:rsidRPr="00B75B77">
              <w:rPr>
                <w:sz w:val="18"/>
              </w:rPr>
              <w:t>28</w:t>
            </w:r>
          </w:p>
        </w:tc>
        <w:tc>
          <w:tcPr>
            <w:tcW w:w="1260" w:type="dxa"/>
            <w:tcBorders>
              <w:top w:val="single" w:sz="4" w:space="0" w:color="448A99"/>
              <w:left w:val="single" w:sz="4" w:space="0" w:color="448A99"/>
              <w:bottom w:val="single" w:sz="4" w:space="0" w:color="448A99"/>
              <w:right w:val="single" w:sz="4" w:space="0" w:color="448A99"/>
            </w:tcBorders>
            <w:noWrap/>
            <w:vAlign w:val="center"/>
            <w:hideMark/>
          </w:tcPr>
          <w:p w:rsidR="000E1EED" w:rsidRPr="00B75B77" w:rsidRDefault="000E1EED" w:rsidP="00502659">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rPr>
            </w:pPr>
            <w:r w:rsidRPr="00B75B77">
              <w:rPr>
                <w:sz w:val="18"/>
              </w:rPr>
              <w:t>100%</w:t>
            </w:r>
          </w:p>
        </w:tc>
      </w:tr>
      <w:tr w:rsidR="000E1EED" w:rsidRPr="00B75B77" w:rsidTr="001565B3">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1706" w:type="dxa"/>
            <w:tcBorders>
              <w:top w:val="single" w:sz="4" w:space="0" w:color="448A99"/>
              <w:left w:val="single" w:sz="4" w:space="0" w:color="448A99"/>
              <w:bottom w:val="single" w:sz="4" w:space="0" w:color="448A99"/>
              <w:right w:val="single" w:sz="4" w:space="0" w:color="448A99"/>
            </w:tcBorders>
            <w:noWrap/>
            <w:vAlign w:val="center"/>
            <w:hideMark/>
          </w:tcPr>
          <w:p w:rsidR="000E1EED" w:rsidRPr="00B75B77" w:rsidRDefault="000E1EED" w:rsidP="00502659">
            <w:pPr>
              <w:keepNext/>
              <w:jc w:val="left"/>
              <w:rPr>
                <w:rFonts w:ascii="Calibri" w:eastAsia="Times New Roman" w:hAnsi="Calibri"/>
                <w:caps/>
                <w:color w:val="000000"/>
                <w:sz w:val="18"/>
                <w:szCs w:val="18"/>
              </w:rPr>
            </w:pPr>
            <w:r w:rsidRPr="00B75B77">
              <w:rPr>
                <w:rFonts w:ascii="Calibri" w:eastAsia="Times New Roman" w:hAnsi="Calibri"/>
                <w:caps/>
                <w:color w:val="000000"/>
                <w:sz w:val="18"/>
                <w:szCs w:val="18"/>
              </w:rPr>
              <w:t>Program Total</w:t>
            </w:r>
          </w:p>
        </w:tc>
        <w:tc>
          <w:tcPr>
            <w:tcW w:w="1084" w:type="dxa"/>
            <w:tcBorders>
              <w:top w:val="single" w:sz="4" w:space="0" w:color="448A99"/>
              <w:left w:val="single" w:sz="4" w:space="0" w:color="448A99"/>
              <w:bottom w:val="single" w:sz="4" w:space="0" w:color="448A99"/>
              <w:right w:val="single" w:sz="4" w:space="0" w:color="448A99"/>
            </w:tcBorders>
            <w:noWrap/>
            <w:vAlign w:val="center"/>
            <w:hideMark/>
          </w:tcPr>
          <w:p w:rsidR="000E1EED" w:rsidRPr="00B75B77" w:rsidRDefault="00A377A2"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18"/>
              </w:rPr>
            </w:pPr>
            <w:r w:rsidRPr="00B75B77">
              <w:rPr>
                <w:rFonts w:ascii="Calibri" w:eastAsia="Times New Roman" w:hAnsi="Calibri"/>
                <w:b/>
                <w:color w:val="000000"/>
                <w:sz w:val="18"/>
              </w:rPr>
              <w:t>N/A</w:t>
            </w:r>
          </w:p>
        </w:tc>
        <w:tc>
          <w:tcPr>
            <w:tcW w:w="1080" w:type="dxa"/>
            <w:tcBorders>
              <w:top w:val="single" w:sz="4" w:space="0" w:color="448A99"/>
              <w:left w:val="single" w:sz="4" w:space="0" w:color="448A99"/>
              <w:bottom w:val="single" w:sz="4" w:space="0" w:color="448A99"/>
              <w:right w:val="single" w:sz="4" w:space="0" w:color="448A99"/>
            </w:tcBorders>
            <w:noWrap/>
            <w:vAlign w:val="center"/>
            <w:hideMark/>
          </w:tcPr>
          <w:p w:rsidR="000E1EED" w:rsidRPr="00B75B77" w:rsidRDefault="000E1EED"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18"/>
              </w:rPr>
            </w:pPr>
            <w:r w:rsidRPr="00B75B77">
              <w:rPr>
                <w:rFonts w:ascii="Calibri" w:eastAsia="Times New Roman" w:hAnsi="Calibri"/>
                <w:b/>
                <w:color w:val="000000"/>
                <w:sz w:val="18"/>
              </w:rPr>
              <w:t>162</w:t>
            </w:r>
          </w:p>
        </w:tc>
        <w:tc>
          <w:tcPr>
            <w:tcW w:w="1080" w:type="dxa"/>
            <w:tcBorders>
              <w:top w:val="single" w:sz="4" w:space="0" w:color="448A99"/>
              <w:left w:val="single" w:sz="4" w:space="0" w:color="448A99"/>
              <w:bottom w:val="single" w:sz="4" w:space="0" w:color="448A99"/>
              <w:right w:val="single" w:sz="4" w:space="0" w:color="448A99"/>
            </w:tcBorders>
            <w:noWrap/>
            <w:vAlign w:val="center"/>
            <w:hideMark/>
          </w:tcPr>
          <w:p w:rsidR="000E1EED" w:rsidRPr="00B75B77" w:rsidRDefault="00A377A2"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18"/>
              </w:rPr>
            </w:pPr>
            <w:r w:rsidRPr="00B75B77">
              <w:rPr>
                <w:rFonts w:ascii="Calibri" w:eastAsia="Times New Roman" w:hAnsi="Calibri"/>
                <w:b/>
                <w:color w:val="000000"/>
                <w:sz w:val="18"/>
              </w:rPr>
              <w:t>N/A</w:t>
            </w:r>
          </w:p>
        </w:tc>
        <w:tc>
          <w:tcPr>
            <w:tcW w:w="1080" w:type="dxa"/>
            <w:tcBorders>
              <w:top w:val="single" w:sz="4" w:space="0" w:color="448A99"/>
              <w:left w:val="single" w:sz="4" w:space="0" w:color="448A99"/>
              <w:bottom w:val="single" w:sz="4" w:space="0" w:color="448A99"/>
              <w:right w:val="single" w:sz="4" w:space="0" w:color="448A99"/>
            </w:tcBorders>
            <w:noWrap/>
            <w:vAlign w:val="center"/>
            <w:hideMark/>
          </w:tcPr>
          <w:p w:rsidR="000E1EED" w:rsidRPr="00B75B77" w:rsidRDefault="00A377A2"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18"/>
              </w:rPr>
            </w:pPr>
            <w:r w:rsidRPr="00B75B77">
              <w:rPr>
                <w:rFonts w:ascii="Calibri" w:eastAsia="Times New Roman" w:hAnsi="Calibri"/>
                <w:b/>
                <w:color w:val="000000"/>
                <w:sz w:val="18"/>
              </w:rPr>
              <w:t>85/15</w:t>
            </w:r>
          </w:p>
        </w:tc>
        <w:tc>
          <w:tcPr>
            <w:tcW w:w="1080" w:type="dxa"/>
            <w:tcBorders>
              <w:top w:val="single" w:sz="4" w:space="0" w:color="448A99"/>
              <w:left w:val="single" w:sz="4" w:space="0" w:color="448A99"/>
              <w:bottom w:val="single" w:sz="4" w:space="0" w:color="448A99"/>
              <w:right w:val="single" w:sz="4" w:space="0" w:color="448A99"/>
            </w:tcBorders>
            <w:noWrap/>
            <w:vAlign w:val="center"/>
            <w:hideMark/>
          </w:tcPr>
          <w:p w:rsidR="000E1EED" w:rsidRPr="00B75B77" w:rsidRDefault="00A377A2"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18"/>
              </w:rPr>
            </w:pPr>
            <w:r w:rsidRPr="00B75B77">
              <w:rPr>
                <w:rFonts w:ascii="Calibri" w:eastAsia="Times New Roman" w:hAnsi="Calibri"/>
                <w:b/>
                <w:color w:val="000000"/>
                <w:sz w:val="18"/>
              </w:rPr>
              <w:t>Attempted Census</w:t>
            </w:r>
          </w:p>
        </w:tc>
        <w:tc>
          <w:tcPr>
            <w:tcW w:w="990" w:type="dxa"/>
            <w:tcBorders>
              <w:top w:val="single" w:sz="4" w:space="0" w:color="448A99"/>
              <w:left w:val="single" w:sz="4" w:space="0" w:color="448A99"/>
              <w:bottom w:val="single" w:sz="4" w:space="0" w:color="448A99"/>
              <w:right w:val="single" w:sz="4" w:space="0" w:color="448A99"/>
            </w:tcBorders>
            <w:noWrap/>
            <w:vAlign w:val="center"/>
            <w:hideMark/>
          </w:tcPr>
          <w:p w:rsidR="000E1EED" w:rsidRPr="00B75B77" w:rsidRDefault="000E1EED"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18"/>
              </w:rPr>
            </w:pPr>
            <w:r w:rsidRPr="00B75B77">
              <w:rPr>
                <w:rFonts w:ascii="Calibri" w:eastAsia="Times New Roman" w:hAnsi="Calibri"/>
                <w:b/>
                <w:color w:val="000000"/>
                <w:sz w:val="18"/>
              </w:rPr>
              <w:t>35</w:t>
            </w:r>
          </w:p>
        </w:tc>
        <w:tc>
          <w:tcPr>
            <w:tcW w:w="1260" w:type="dxa"/>
            <w:tcBorders>
              <w:top w:val="single" w:sz="4" w:space="0" w:color="448A99"/>
              <w:left w:val="single" w:sz="4" w:space="0" w:color="448A99"/>
              <w:bottom w:val="single" w:sz="4" w:space="0" w:color="448A99"/>
              <w:right w:val="single" w:sz="4" w:space="0" w:color="448A99"/>
            </w:tcBorders>
            <w:noWrap/>
            <w:vAlign w:val="center"/>
            <w:hideMark/>
          </w:tcPr>
          <w:p w:rsidR="000E1EED" w:rsidRPr="00B75B77" w:rsidRDefault="00A377A2"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18"/>
              </w:rPr>
            </w:pPr>
            <w:r w:rsidRPr="00B75B77">
              <w:rPr>
                <w:rFonts w:ascii="Calibri" w:eastAsia="Times New Roman" w:hAnsi="Calibri"/>
                <w:b/>
                <w:color w:val="000000"/>
                <w:sz w:val="18"/>
              </w:rPr>
              <w:t>100%</w:t>
            </w:r>
          </w:p>
        </w:tc>
      </w:tr>
    </w:tbl>
    <w:p w:rsidR="00C363CE" w:rsidRPr="00B75B77" w:rsidRDefault="000E1EED" w:rsidP="00502659">
      <w:pPr>
        <w:pStyle w:val="Source"/>
        <w:keepNext/>
        <w:spacing w:before="20" w:after="20"/>
        <w:ind w:left="86" w:firstLine="0"/>
        <w:rPr>
          <w:rFonts w:ascii="Calibri" w:hAnsi="Calibri"/>
          <w:i w:val="0"/>
          <w:color w:val="000000"/>
          <w:szCs w:val="18"/>
        </w:rPr>
      </w:pPr>
      <w:r w:rsidRPr="00B75B77">
        <w:rPr>
          <w:rFonts w:ascii="Calibri" w:hAnsi="Calibri"/>
          <w:i w:val="0"/>
          <w:color w:val="000000"/>
          <w:szCs w:val="18"/>
          <w:vertAlign w:val="superscript"/>
        </w:rPr>
        <w:t>[1]</w:t>
      </w:r>
      <w:r w:rsidRPr="00B75B77">
        <w:rPr>
          <w:rFonts w:ascii="Calibri" w:hAnsi="Calibri"/>
          <w:i w:val="0"/>
          <w:color w:val="000000"/>
          <w:szCs w:val="18"/>
        </w:rPr>
        <w:t xml:space="preserve"> The sample frame is a list of contacts that have a chance to be selected into the sample. Percentage contacted means of all the sample frame the percentage that were contacted to get the completed surveys.</w:t>
      </w:r>
    </w:p>
    <w:p w:rsidR="000E1EED" w:rsidRPr="00B75B77" w:rsidRDefault="000E1EED" w:rsidP="00502659">
      <w:pPr>
        <w:pStyle w:val="Source"/>
        <w:keepNext/>
        <w:spacing w:before="20" w:after="20"/>
        <w:ind w:left="86" w:firstLine="0"/>
        <w:rPr>
          <w:i w:val="0"/>
        </w:rPr>
      </w:pPr>
      <w:r w:rsidRPr="00B75B77">
        <w:rPr>
          <w:rFonts w:ascii="Calibri" w:hAnsi="Calibri"/>
          <w:i w:val="0"/>
          <w:iCs/>
          <w:color w:val="000000"/>
          <w:szCs w:val="18"/>
        </w:rPr>
        <w:t>Note: Values in tables may not reconcile exactly with the sum of more detailed level results or previously reported results due to rounding.</w:t>
      </w:r>
    </w:p>
    <w:p w:rsidR="000E1EED" w:rsidRPr="00B75B77" w:rsidRDefault="000E1EED" w:rsidP="00502659">
      <w:pPr>
        <w:pStyle w:val="Source"/>
        <w:keepNext/>
        <w:spacing w:after="120"/>
        <w:ind w:left="86" w:firstLine="0"/>
      </w:pPr>
      <w:r w:rsidRPr="00B75B77">
        <w:t>Source: Navigant analysis</w:t>
      </w:r>
    </w:p>
    <w:p w:rsidR="000E1EED" w:rsidRPr="00B75B77" w:rsidRDefault="000E1EED" w:rsidP="00B945B3">
      <w:r w:rsidRPr="00B75B77">
        <w:t xml:space="preserve">Once the evaluation team estimated free ridership, Navigant calculated the NTG ratios, as illustrated in the </w:t>
      </w:r>
      <w:r w:rsidR="00873516" w:rsidRPr="00B75B77">
        <w:t xml:space="preserve">following </w:t>
      </w:r>
      <w:r w:rsidRPr="00B75B77">
        <w:t>equation.</w:t>
      </w:r>
    </w:p>
    <w:p w:rsidR="000E1EED" w:rsidRPr="00B75B77" w:rsidRDefault="000E1EED" w:rsidP="00707B64">
      <w:pPr>
        <w:pStyle w:val="Caption"/>
      </w:pPr>
      <w:bookmarkStart w:id="777" w:name="_Toc466413705"/>
      <w:r w:rsidRPr="00B75B77">
        <w:t xml:space="preserve">Equation </w:t>
      </w:r>
      <w:fldSimple w:instr=" STYLEREF 1 \s ">
        <w:r w:rsidR="0004016D">
          <w:rPr>
            <w:noProof/>
          </w:rPr>
          <w:t>12</w:t>
        </w:r>
      </w:fldSimple>
      <w:r w:rsidRPr="00B75B77">
        <w:noBreakHyphen/>
      </w:r>
      <w:fldSimple w:instr=" SEQ Equation \* ARABIC \s 1 ">
        <w:r w:rsidR="0004016D">
          <w:rPr>
            <w:noProof/>
          </w:rPr>
          <w:t>1</w:t>
        </w:r>
      </w:fldSimple>
      <w:r w:rsidR="00D56E1C" w:rsidRPr="00B75B77">
        <w:t>:</w:t>
      </w:r>
      <w:r w:rsidRPr="00B75B77">
        <w:t xml:space="preserve"> Total NTG Ratio</w:t>
      </w:r>
      <w:bookmarkEnd w:id="777"/>
    </w:p>
    <w:p w:rsidR="000E1EED" w:rsidRPr="00B75B77" w:rsidRDefault="000E1EED" w:rsidP="00707B64">
      <w:pPr>
        <w:jc w:val="center"/>
        <w:rPr>
          <w:i/>
        </w:rPr>
      </w:pPr>
      <w:r w:rsidRPr="00B75B77">
        <w:rPr>
          <w:i/>
        </w:rPr>
        <w:t>NTG Ratio = 1 – Free Ridership Rate</w:t>
      </w:r>
    </w:p>
    <w:p w:rsidR="000E1EED" w:rsidRPr="00B75B77" w:rsidRDefault="000E1EED" w:rsidP="00286B52"/>
    <w:p w:rsidR="000E1EED" w:rsidRPr="00B75B77" w:rsidRDefault="000E1EED" w:rsidP="00707B64">
      <w:r w:rsidRPr="00B75B77">
        <w:t>The team assessed free ridership using a customer self-report approach following the SWE’s Common Approach for Downstream Programs.</w:t>
      </w:r>
      <w:r w:rsidRPr="00B75B77">
        <w:rPr>
          <w:vertAlign w:val="superscript"/>
        </w:rPr>
        <w:footnoteReference w:id="52"/>
      </w:r>
      <w:r w:rsidRPr="00B75B77">
        <w:t xml:space="preserve"> This approach uses a survey designed to assess the likelihood that participants would have installed some or all of the energy efficiency measures incented by the program, even if the program had not existed. Based on the ETO methodology, the SEI free ridership analysis included the following two elements of free ridership: 1) intention to carry out the energy efficient project without program funds</w:t>
      </w:r>
      <w:r w:rsidR="00873516" w:rsidRPr="00B75B77">
        <w:t>;</w:t>
      </w:r>
      <w:r w:rsidRPr="00B75B77">
        <w:t xml:space="preserve"> and 2) influence of the program in the decision to carry out the energy efficient project. </w:t>
      </w:r>
    </w:p>
    <w:p w:rsidR="00873516" w:rsidRPr="00B75B77" w:rsidRDefault="00873516" w:rsidP="00707B64"/>
    <w:p w:rsidR="000E1EED" w:rsidRPr="00B75B77" w:rsidRDefault="000E1EED" w:rsidP="00707B64">
      <w:r w:rsidRPr="00B75B77">
        <w:t xml:space="preserve">The total free ridership score illustrated in </w:t>
      </w:r>
      <w:r w:rsidRPr="00B75B77">
        <w:fldChar w:fldCharType="begin"/>
      </w:r>
      <w:r w:rsidRPr="00B75B77">
        <w:instrText xml:space="preserve"> REF _Ref401220905 \h </w:instrText>
      </w:r>
      <w:r w:rsidR="00B945B3" w:rsidRPr="00B75B77">
        <w:instrText xml:space="preserve"> \* MERGEFORMAT </w:instrText>
      </w:r>
      <w:r w:rsidRPr="00B75B77">
        <w:fldChar w:fldCharType="separate"/>
      </w:r>
      <w:r w:rsidR="0004016D" w:rsidRPr="00B75B77">
        <w:t xml:space="preserve">Equation </w:t>
      </w:r>
      <w:r w:rsidR="0004016D">
        <w:t>15</w:t>
      </w:r>
      <w:r w:rsidR="0004016D" w:rsidRPr="00B75B77">
        <w:noBreakHyphen/>
      </w:r>
      <w:r w:rsidR="0004016D">
        <w:t>2</w:t>
      </w:r>
      <w:r w:rsidRPr="00B75B77">
        <w:fldChar w:fldCharType="end"/>
      </w:r>
      <w:r w:rsidRPr="00B75B77">
        <w:t xml:space="preserve"> is the sum of the intention and the program influence scores, resulting in a score ranging from 0 to 100. This score is divided by 100 to convert it into a proportion for application to gross savings values.</w:t>
      </w:r>
    </w:p>
    <w:p w:rsidR="000E1EED" w:rsidRPr="00B75B77" w:rsidRDefault="000E1EED" w:rsidP="00707B64">
      <w:pPr>
        <w:keepNext/>
      </w:pPr>
    </w:p>
    <w:p w:rsidR="000E1EED" w:rsidRPr="00B75B77" w:rsidRDefault="000E1EED" w:rsidP="00707B64">
      <w:pPr>
        <w:pStyle w:val="Caption"/>
      </w:pPr>
      <w:bookmarkStart w:id="778" w:name="_Ref464223430"/>
      <w:bookmarkStart w:id="779" w:name="_Toc466413706"/>
      <w:r w:rsidRPr="00B75B77">
        <w:t xml:space="preserve">Equation </w:t>
      </w:r>
      <w:fldSimple w:instr=" STYLEREF 1 \s ">
        <w:r w:rsidR="0004016D">
          <w:rPr>
            <w:noProof/>
          </w:rPr>
          <w:t>12</w:t>
        </w:r>
      </w:fldSimple>
      <w:r w:rsidRPr="00B75B77">
        <w:noBreakHyphen/>
      </w:r>
      <w:fldSimple w:instr=" SEQ Equation \* ARABIC \s 1 ">
        <w:r w:rsidR="0004016D">
          <w:rPr>
            <w:noProof/>
          </w:rPr>
          <w:t>2</w:t>
        </w:r>
      </w:fldSimple>
      <w:bookmarkEnd w:id="778"/>
      <w:r w:rsidR="00D56E1C" w:rsidRPr="00B75B77">
        <w:t>:</w:t>
      </w:r>
      <w:r w:rsidRPr="00B75B77">
        <w:t xml:space="preserve"> Total Free Ridership</w:t>
      </w:r>
      <w:bookmarkEnd w:id="779"/>
      <w:r w:rsidRPr="00B75B77">
        <w:t xml:space="preserve"> </w:t>
      </w:r>
    </w:p>
    <w:p w:rsidR="000E1EED" w:rsidRPr="00B75B77" w:rsidRDefault="00D56E1C" w:rsidP="00707B64">
      <m:oMathPara>
        <m:oMath>
          <m:r>
            <m:rPr>
              <m:nor/>
            </m:rPr>
            <m:t>Free Ridership</m:t>
          </m:r>
          <m:r>
            <w:rPr>
              <w:rFonts w:ascii="Cambria Math" w:hAnsi="Cambria Math"/>
            </w:rPr>
            <m:t xml:space="preserve"> </m:t>
          </m:r>
          <m:d>
            <m:dPr>
              <m:ctrlPr>
                <w:rPr>
                  <w:rFonts w:ascii="Cambria Math" w:hAnsi="Cambria Math"/>
                  <w:i/>
                </w:rPr>
              </m:ctrlPr>
            </m:dPr>
            <m:e>
              <m:r>
                <m:rPr>
                  <m:nor/>
                </m:rPr>
                <m:t>FR</m:t>
              </m:r>
            </m:e>
          </m:d>
          <m:r>
            <m:rPr>
              <m:nor/>
            </m:rPr>
            <m:t>=</m:t>
          </m:r>
          <m:f>
            <m:fPr>
              <m:ctrlPr>
                <w:rPr>
                  <w:rFonts w:ascii="Cambria Math" w:hAnsi="Cambria Math"/>
                  <w:i/>
                </w:rPr>
              </m:ctrlPr>
            </m:fPr>
            <m:num>
              <m:r>
                <m:rPr>
                  <m:nor/>
                </m:rPr>
                <m:t>Intention Score</m:t>
              </m:r>
              <m:r>
                <m:rPr>
                  <m:nor/>
                </m:rPr>
                <w:rPr>
                  <w:rFonts w:ascii="Cambria Math"/>
                </w:rPr>
                <m:t xml:space="preserve"> </m:t>
              </m:r>
              <m:r>
                <m:rPr>
                  <m:nor/>
                </m:rPr>
                <m:t>+</m:t>
              </m:r>
              <m:r>
                <m:rPr>
                  <m:nor/>
                </m:rPr>
                <w:rPr>
                  <w:rFonts w:ascii="Cambria Math"/>
                </w:rPr>
                <m:t xml:space="preserve"> </m:t>
              </m:r>
              <m:r>
                <m:rPr>
                  <m:nor/>
                </m:rPr>
                <m:t>Program Influence Score</m:t>
              </m:r>
            </m:num>
            <m:den>
              <m:r>
                <m:rPr>
                  <m:nor/>
                </m:rPr>
                <m:t>100</m:t>
              </m:r>
            </m:den>
          </m:f>
        </m:oMath>
      </m:oMathPara>
    </w:p>
    <w:p w:rsidR="000E1EED" w:rsidRPr="00B75B77" w:rsidRDefault="000E1EED" w:rsidP="00707B64">
      <w:pPr>
        <w:rPr>
          <w:b/>
        </w:rPr>
      </w:pPr>
    </w:p>
    <w:p w:rsidR="000E1EED" w:rsidRPr="00B75B77" w:rsidRDefault="000E1EED" w:rsidP="00B945B3">
      <w:pPr>
        <w:pStyle w:val="Heading4"/>
        <w:keepNext/>
      </w:pPr>
      <w:r w:rsidRPr="00B75B77">
        <w:t>Intention Score</w:t>
      </w:r>
    </w:p>
    <w:p w:rsidR="000E1EED" w:rsidRPr="00B75B77" w:rsidRDefault="000E1EED" w:rsidP="00707B64">
      <w:pPr>
        <w:rPr>
          <w:bCs/>
        </w:rPr>
      </w:pPr>
      <w:r w:rsidRPr="00B75B77">
        <w:rPr>
          <w:bCs/>
        </w:rPr>
        <w:t xml:space="preserve">The intention score was assessed through several brief questions used to determine how the upgrade or equipment replacement likely would have differed if the respondent had not received the program assistance. The initial question asked the respondent to identify, out of a limited set of options, the option that best described what most likely would have occurred without the program assistance. Note that program assistance often includes more than just the incentive—it may also include audits, </w:t>
      </w:r>
      <w:r w:rsidRPr="00B75B77">
        <w:rPr>
          <w:bCs/>
        </w:rPr>
        <w:lastRenderedPageBreak/>
        <w:t xml:space="preserve">technical assistance, etc. The offered response options (typically four or five, and preferably no more than six) captured the following four general outcomes: </w:t>
      </w:r>
    </w:p>
    <w:p w:rsidR="000E1EED" w:rsidRPr="00B75B77" w:rsidRDefault="000E1EED" w:rsidP="00707B64">
      <w:pPr>
        <w:rPr>
          <w:bCs/>
        </w:rPr>
      </w:pPr>
    </w:p>
    <w:p w:rsidR="000E1EED" w:rsidRPr="00B75B77" w:rsidRDefault="000E1EED" w:rsidP="009E08FB">
      <w:pPr>
        <w:pStyle w:val="ListParagraph"/>
        <w:numPr>
          <w:ilvl w:val="0"/>
          <w:numId w:val="71"/>
        </w:numPr>
        <w:spacing w:after="200"/>
        <w:rPr>
          <w:bCs/>
        </w:rPr>
      </w:pPr>
      <w:r w:rsidRPr="00B75B77">
        <w:t xml:space="preserve">Would have canceled or postponed the project, upgrade, or purchase </w:t>
      </w:r>
    </w:p>
    <w:p w:rsidR="000E1EED" w:rsidRPr="00B75B77" w:rsidRDefault="000E1EED" w:rsidP="009E08FB">
      <w:pPr>
        <w:pStyle w:val="ListParagraph"/>
        <w:numPr>
          <w:ilvl w:val="0"/>
          <w:numId w:val="71"/>
        </w:numPr>
        <w:spacing w:after="200"/>
        <w:rPr>
          <w:bCs/>
        </w:rPr>
      </w:pPr>
      <w:r w:rsidRPr="00B75B77">
        <w:t>Would have done something that would have produced savings, but not as much as those achieved through the upgrade or equipment replacement as implemented</w:t>
      </w:r>
    </w:p>
    <w:p w:rsidR="000E1EED" w:rsidRPr="00B75B77" w:rsidRDefault="000E1EED" w:rsidP="009E08FB">
      <w:pPr>
        <w:pStyle w:val="ListParagraph"/>
        <w:numPr>
          <w:ilvl w:val="0"/>
          <w:numId w:val="71"/>
        </w:numPr>
        <w:spacing w:after="200"/>
        <w:rPr>
          <w:bCs/>
        </w:rPr>
      </w:pPr>
      <w:r w:rsidRPr="00B75B77">
        <w:t>Would have completed the upgrade or equipment replacement as implemented</w:t>
      </w:r>
    </w:p>
    <w:p w:rsidR="000E1EED" w:rsidRPr="00B75B77" w:rsidRDefault="000E1EED" w:rsidP="009E08FB">
      <w:pPr>
        <w:pStyle w:val="ListParagraph"/>
        <w:numPr>
          <w:ilvl w:val="0"/>
          <w:numId w:val="71"/>
        </w:numPr>
        <w:spacing w:after="200"/>
        <w:rPr>
          <w:bCs/>
        </w:rPr>
      </w:pPr>
      <w:r w:rsidRPr="00B75B77">
        <w:t xml:space="preserve">Don’t know </w:t>
      </w:r>
    </w:p>
    <w:p w:rsidR="000E1EED" w:rsidRPr="00B75B77" w:rsidRDefault="000E1EED" w:rsidP="00707B64">
      <w:r w:rsidRPr="00B75B77">
        <w:t>The algorithm does consider respondents who said they would have canceled or postponed the project as free riders in terms of intention (a score of 0 for the intention score). The approach did consider respondents who indicated they would have done something that would have resulted in less energy savings as partial free riders in terms of intention (free ridership ranging from 12.5 to 37.5 for the intention component in the case of nonresidential programs). The respondents that indicated they would have undertaken the project as implemented without the program received a score based on how they would have paid for the upgrade. “Don’t know” responses were assigned the midpoint score of 25 for the intention component.</w:t>
      </w:r>
    </w:p>
    <w:p w:rsidR="000E1EED" w:rsidRPr="00B75B77" w:rsidRDefault="000E1EED" w:rsidP="00707B64"/>
    <w:p w:rsidR="000E1EED" w:rsidRPr="00B75B77" w:rsidRDefault="000E1EED" w:rsidP="00B945B3">
      <w:pPr>
        <w:pStyle w:val="Heading4"/>
      </w:pPr>
      <w:r w:rsidRPr="00B75B77">
        <w:t>Program Influence Score</w:t>
      </w:r>
    </w:p>
    <w:p w:rsidR="000E1EED" w:rsidRPr="00B75B77" w:rsidRDefault="000E1EED" w:rsidP="00707B64">
      <w:pPr>
        <w:keepNext/>
      </w:pPr>
      <w:r w:rsidRPr="00B75B77">
        <w:t xml:space="preserve">To assess the program influence score on the participant’s decision to implement energy efficiency improvements, Navigant asked respondents how much influence—on a scale of 1 (no influence) to 5 (great influence)—various program elements had on the decision to implement the project. The elements used to influence customer decision-making included program information, program incentives, interaction with program staff (technical assistance), and interaction with program proxies, such as members of a trade ally network. </w:t>
      </w:r>
    </w:p>
    <w:p w:rsidR="000E1EED" w:rsidRPr="00B75B77" w:rsidRDefault="000E1EED" w:rsidP="00707B64"/>
    <w:p w:rsidR="000E1EED" w:rsidRPr="00B75B77" w:rsidRDefault="000E1EED" w:rsidP="00707B64">
      <w:r w:rsidRPr="00B75B77">
        <w:t xml:space="preserve">A participant’s program influence score was then set to the participant’s maximum influence rating for any program element. The rationale was that if any given program element had a great influence score on the respondent’s decision, </w:t>
      </w:r>
      <w:proofErr w:type="gramStart"/>
      <w:r w:rsidRPr="00B75B77">
        <w:t>then</w:t>
      </w:r>
      <w:proofErr w:type="gramEnd"/>
      <w:r w:rsidRPr="00B75B77">
        <w:t xml:space="preserve"> the program itself had that level of influence, even if other elements had less influence. The program influence score and free ridership have an inverse relationship: the greater the program influence, the lower the free ridership, and vice versa.</w:t>
      </w:r>
    </w:p>
    <w:p w:rsidR="000E1EED" w:rsidRPr="00B75B77" w:rsidRDefault="000E1EED" w:rsidP="00707B64"/>
    <w:p w:rsidR="000E1EED" w:rsidRPr="00B75B77" w:rsidRDefault="000E1EED" w:rsidP="000422FD">
      <w:pPr>
        <w:keepNext/>
        <w:keepLines/>
      </w:pPr>
      <w:r w:rsidRPr="00B75B77">
        <w:lastRenderedPageBreak/>
        <w:fldChar w:fldCharType="begin"/>
      </w:r>
      <w:r w:rsidRPr="00B75B77">
        <w:instrText xml:space="preserve"> REF _Ref401238943 \h </w:instrText>
      </w:r>
      <w:r w:rsidR="000422FD" w:rsidRPr="00B75B77">
        <w:instrText xml:space="preserve"> \* MERGEFORMAT </w:instrText>
      </w:r>
      <w:r w:rsidRPr="00B75B77">
        <w:fldChar w:fldCharType="separate"/>
      </w:r>
      <w:r w:rsidR="0004016D" w:rsidRPr="00B75B77">
        <w:t xml:space="preserve">Figure </w:t>
      </w:r>
      <w:r w:rsidR="0004016D">
        <w:t>15</w:t>
      </w:r>
      <w:r w:rsidR="0004016D" w:rsidRPr="00B75B77">
        <w:noBreakHyphen/>
      </w:r>
      <w:r w:rsidR="0004016D">
        <w:t>1</w:t>
      </w:r>
      <w:r w:rsidRPr="00B75B77">
        <w:fldChar w:fldCharType="end"/>
      </w:r>
      <w:r w:rsidRPr="00B75B77">
        <w:t xml:space="preserve"> summarizes both the intention score and program influence score calculations for the SEI program. The figure shows the possible response combinations to the questions described in the intention score section and the value assigned to each unique combination. In addition, it shows the program influence score and possible answers to the </w:t>
      </w:r>
      <w:r w:rsidR="000422FD" w:rsidRPr="00B75B77">
        <w:t>5</w:t>
      </w:r>
      <w:r w:rsidRPr="00B75B77">
        <w:t>-point scale along with the “don’t know” answers.</w:t>
      </w:r>
    </w:p>
    <w:p w:rsidR="000E1EED" w:rsidRPr="00B75B77" w:rsidRDefault="000E1EED" w:rsidP="000422FD">
      <w:pPr>
        <w:keepNext/>
        <w:keepLines/>
      </w:pPr>
    </w:p>
    <w:p w:rsidR="000E1EED" w:rsidRPr="00B75B77" w:rsidRDefault="000E1EED" w:rsidP="00707B64">
      <w:pPr>
        <w:pStyle w:val="Caption"/>
      </w:pPr>
      <w:bookmarkStart w:id="780" w:name="_Ref464223466"/>
      <w:bookmarkStart w:id="781" w:name="_Toc466413689"/>
      <w:r w:rsidRPr="00B75B77">
        <w:t xml:space="preserve">Figure </w:t>
      </w:r>
      <w:fldSimple w:instr=" STYLEREF 1 \s ">
        <w:r w:rsidR="0004016D">
          <w:rPr>
            <w:noProof/>
          </w:rPr>
          <w:t>12</w:t>
        </w:r>
      </w:fldSimple>
      <w:r w:rsidR="00BA3BA9" w:rsidRPr="00B75B77">
        <w:noBreakHyphen/>
      </w:r>
      <w:fldSimple w:instr=" SEQ Figure \* ARABIC \s 1 ">
        <w:r w:rsidR="0004016D">
          <w:rPr>
            <w:noProof/>
          </w:rPr>
          <w:t>1</w:t>
        </w:r>
      </w:fldSimple>
      <w:bookmarkEnd w:id="780"/>
      <w:r w:rsidRPr="00B75B77">
        <w:t>: Phase II Free Ridership Algorithm</w:t>
      </w:r>
      <w:bookmarkEnd w:id="781"/>
    </w:p>
    <w:p w:rsidR="000E1EED" w:rsidRPr="00B75B77" w:rsidRDefault="000E1EED" w:rsidP="00707B64">
      <w:r w:rsidRPr="00B75B77">
        <w:rPr>
          <w:noProof/>
        </w:rPr>
        <w:drawing>
          <wp:inline distT="0" distB="0" distL="0" distR="0" wp14:anchorId="3675E0E6" wp14:editId="6341AC12">
            <wp:extent cx="5883965" cy="4492487"/>
            <wp:effectExtent l="0" t="0" r="2540" b="381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0">
                      <a:extLst>
                        <a:ext uri="{28A0092B-C50C-407E-A947-70E740481C1C}">
                          <a14:useLocalDpi xmlns:a14="http://schemas.microsoft.com/office/drawing/2010/main" val="0"/>
                        </a:ext>
                      </a:extLst>
                    </a:blip>
                    <a:srcRect l="937" b="1340"/>
                    <a:stretch/>
                  </pic:blipFill>
                  <pic:spPr bwMode="auto">
                    <a:xfrm>
                      <a:off x="0" y="0"/>
                      <a:ext cx="5887934" cy="4495517"/>
                    </a:xfrm>
                    <a:prstGeom prst="rect">
                      <a:avLst/>
                    </a:prstGeom>
                    <a:noFill/>
                    <a:ln>
                      <a:noFill/>
                    </a:ln>
                    <a:extLst>
                      <a:ext uri="{53640926-AAD7-44D8-BBD7-CCE9431645EC}">
                        <a14:shadowObscured xmlns:a14="http://schemas.microsoft.com/office/drawing/2010/main"/>
                      </a:ext>
                    </a:extLst>
                  </pic:spPr>
                </pic:pic>
              </a:graphicData>
            </a:graphic>
          </wp:inline>
        </w:drawing>
      </w:r>
    </w:p>
    <w:p w:rsidR="000E1EED" w:rsidRPr="00B75B77" w:rsidRDefault="000E1EED" w:rsidP="000422FD">
      <w:pPr>
        <w:pStyle w:val="Source"/>
        <w:spacing w:after="120"/>
        <w:ind w:left="734" w:hanging="547"/>
      </w:pPr>
      <w:r w:rsidRPr="00B75B77">
        <w:t>Source: Navigant analysis</w:t>
      </w:r>
    </w:p>
    <w:p w:rsidR="000E1EED" w:rsidRPr="00B75B77" w:rsidRDefault="000E1EED" w:rsidP="00707B64">
      <w:pPr>
        <w:keepNext/>
      </w:pPr>
      <w:r w:rsidRPr="00B75B77">
        <w:t>Spillover occurs when there are reductions in energy consumption or demand caused by the presence of the energy efficiency program, but which the program does not directly influence. The evaluation team asked program participants a battery of questions to quantitatively assess spillover. Below are examples of the spillover questions:</w:t>
      </w:r>
    </w:p>
    <w:p w:rsidR="000E1EED" w:rsidRPr="00B75B77" w:rsidRDefault="000E1EED" w:rsidP="00707B64"/>
    <w:p w:rsidR="000E1EED" w:rsidRPr="00B75B77" w:rsidRDefault="000E1EED" w:rsidP="009E08FB">
      <w:pPr>
        <w:pStyle w:val="ListParagraph"/>
        <w:numPr>
          <w:ilvl w:val="0"/>
          <w:numId w:val="72"/>
        </w:numPr>
        <w:spacing w:after="200"/>
        <w:jc w:val="left"/>
      </w:pPr>
      <w:r w:rsidRPr="00B75B77">
        <w:t>Since your participation in the program, did you install any additional energy efficiency measures at this facility that did not receive incentives through any utility or government program?</w:t>
      </w:r>
    </w:p>
    <w:p w:rsidR="000E1EED" w:rsidRPr="00B75B77" w:rsidRDefault="000E1EED" w:rsidP="009E08FB">
      <w:pPr>
        <w:pStyle w:val="ListParagraph"/>
        <w:numPr>
          <w:ilvl w:val="0"/>
          <w:numId w:val="72"/>
        </w:numPr>
        <w:spacing w:after="200"/>
        <w:jc w:val="left"/>
      </w:pPr>
      <w:r w:rsidRPr="00B75B77">
        <w:t>To the best of your knowledge, do you know when you installed the additional energy efficient equipment?</w:t>
      </w:r>
    </w:p>
    <w:p w:rsidR="000E1EED" w:rsidRPr="00B75B77" w:rsidRDefault="000E1EED" w:rsidP="009E08FB">
      <w:pPr>
        <w:pStyle w:val="ListParagraph"/>
        <w:numPr>
          <w:ilvl w:val="0"/>
          <w:numId w:val="72"/>
        </w:numPr>
        <w:spacing w:after="200"/>
        <w:jc w:val="left"/>
      </w:pPr>
      <w:r w:rsidRPr="00B75B77">
        <w:t>Could you describe the energy efficiency measure installed?</w:t>
      </w:r>
    </w:p>
    <w:p w:rsidR="000E1EED" w:rsidRPr="00B75B77" w:rsidRDefault="000E1EED" w:rsidP="009E08FB">
      <w:pPr>
        <w:pStyle w:val="ListParagraph"/>
        <w:numPr>
          <w:ilvl w:val="0"/>
          <w:numId w:val="72"/>
        </w:numPr>
        <w:spacing w:after="200"/>
        <w:jc w:val="left"/>
      </w:pPr>
      <w:r w:rsidRPr="00B75B77">
        <w:t>Thinking of the additional measure(s) you installed on your own at this same facility, how do the energy savings compare to what you installed through the program? Were the savings lower, about the same, or higher? (Probe for percentage as compared to all incented projects.)</w:t>
      </w:r>
    </w:p>
    <w:p w:rsidR="000E1EED" w:rsidRPr="00B75B77" w:rsidRDefault="000E1EED" w:rsidP="009E08FB">
      <w:pPr>
        <w:pStyle w:val="ListParagraph"/>
        <w:numPr>
          <w:ilvl w:val="0"/>
          <w:numId w:val="72"/>
        </w:numPr>
        <w:spacing w:after="200"/>
        <w:jc w:val="left"/>
      </w:pPr>
      <w:r w:rsidRPr="00B75B77">
        <w:lastRenderedPageBreak/>
        <w:t>Since participating in the program, have you installed any energy efficient measures in other facilities within PECO’s territory?</w:t>
      </w:r>
    </w:p>
    <w:p w:rsidR="000E1EED" w:rsidRPr="00B75B77" w:rsidRDefault="000E1EED" w:rsidP="009E08FB">
      <w:pPr>
        <w:pStyle w:val="ListParagraph"/>
        <w:numPr>
          <w:ilvl w:val="0"/>
          <w:numId w:val="72"/>
        </w:numPr>
        <w:spacing w:after="200"/>
        <w:jc w:val="left"/>
      </w:pPr>
      <w:r w:rsidRPr="00B75B77">
        <w:t>Thinking of these additional measure(s) you installed on your own at other facilities, how does the quantity compare to what you installed through the program? Did you install more, less, or the same amount of measures? (Probe for percentage as compared to all incented projects.)</w:t>
      </w:r>
    </w:p>
    <w:p w:rsidR="000E1EED" w:rsidRPr="00B75B77" w:rsidRDefault="000E1EED" w:rsidP="009E08FB">
      <w:pPr>
        <w:pStyle w:val="ListParagraph"/>
        <w:numPr>
          <w:ilvl w:val="0"/>
          <w:numId w:val="72"/>
        </w:numPr>
        <w:spacing w:after="200"/>
        <w:jc w:val="left"/>
      </w:pPr>
      <w:r w:rsidRPr="00B75B77">
        <w:t>Have or will these measures receive incentives through the program?</w:t>
      </w:r>
    </w:p>
    <w:p w:rsidR="000E1EED" w:rsidRPr="00B75B77" w:rsidRDefault="000E1EED" w:rsidP="009E08FB">
      <w:pPr>
        <w:pStyle w:val="ListParagraph"/>
        <w:numPr>
          <w:ilvl w:val="0"/>
          <w:numId w:val="72"/>
        </w:numPr>
        <w:contextualSpacing w:val="0"/>
        <w:jc w:val="left"/>
      </w:pPr>
      <w:r w:rsidRPr="00B75B77">
        <w:t>What were the reasons that they did not receive an incentive?</w:t>
      </w:r>
    </w:p>
    <w:p w:rsidR="00E92EDC" w:rsidRPr="00B75B77" w:rsidRDefault="00E92EDC" w:rsidP="00E92EDC">
      <w:pPr>
        <w:pStyle w:val="ListParagraph"/>
        <w:jc w:val="left"/>
      </w:pPr>
    </w:p>
    <w:p w:rsidR="000E1EED" w:rsidRPr="00B75B77" w:rsidRDefault="000E1EED" w:rsidP="00707B64">
      <w:r w:rsidRPr="00B75B77">
        <w:t>The battery of questions attempted to quantify all the savings from additional non-incented equipment installed after the respondent’s participation in the program. Additionally, the evaluation team included a question about the level of influence the program had on the respondent’s decision to install the additional measures. An example of the question is below.</w:t>
      </w:r>
    </w:p>
    <w:p w:rsidR="000E1EED" w:rsidRPr="00B75B77" w:rsidRDefault="000E1EED" w:rsidP="00707B64"/>
    <w:p w:rsidR="000E1EED" w:rsidRPr="00B75B77" w:rsidRDefault="000E1EED" w:rsidP="009E08FB">
      <w:pPr>
        <w:numPr>
          <w:ilvl w:val="0"/>
          <w:numId w:val="73"/>
        </w:numPr>
      </w:pPr>
      <w:r w:rsidRPr="00B75B77">
        <w:t>On a 0 to 5 scale, with 0 meaning “</w:t>
      </w:r>
      <w:r w:rsidR="00C363CE" w:rsidRPr="00B75B77">
        <w:t>N</w:t>
      </w:r>
      <w:r w:rsidRPr="00B75B77">
        <w:t>ot at all influential” and 5 meaning “</w:t>
      </w:r>
      <w:r w:rsidR="00C363CE" w:rsidRPr="00B75B77">
        <w:t>E</w:t>
      </w:r>
      <w:r w:rsidRPr="00B75B77">
        <w:t>xtremely influential,” how influential was your experience with PECO's program in your decision to install the additional energy efficient equipment?</w:t>
      </w:r>
    </w:p>
    <w:p w:rsidR="00E92EDC" w:rsidRPr="00B75B77" w:rsidRDefault="00E92EDC" w:rsidP="00707B64"/>
    <w:p w:rsidR="000E1EED" w:rsidRPr="00B75B77" w:rsidRDefault="000E1EED" w:rsidP="00707B64">
      <w:r w:rsidRPr="00B75B77">
        <w:t>The team assigned the influence rating a value, which determined what proportion of the measure’s energy savings were attributed to the program:</w:t>
      </w:r>
    </w:p>
    <w:p w:rsidR="000E1EED" w:rsidRPr="00B75B77" w:rsidRDefault="000E1EED" w:rsidP="00707B64"/>
    <w:p w:rsidR="000E1EED" w:rsidRPr="00B75B77" w:rsidRDefault="000E1EED" w:rsidP="009E08FB">
      <w:pPr>
        <w:pStyle w:val="ListParagraph"/>
        <w:numPr>
          <w:ilvl w:val="0"/>
          <w:numId w:val="70"/>
        </w:numPr>
      </w:pPr>
      <w:r w:rsidRPr="00B75B77">
        <w:t>A rating of 4 or 5 = 1.0 (full savings attributed to the program)</w:t>
      </w:r>
    </w:p>
    <w:p w:rsidR="000E1EED" w:rsidRPr="00B75B77" w:rsidRDefault="000E1EED" w:rsidP="009E08FB">
      <w:pPr>
        <w:pStyle w:val="ListParagraph"/>
        <w:numPr>
          <w:ilvl w:val="0"/>
          <w:numId w:val="70"/>
        </w:numPr>
      </w:pPr>
      <w:r w:rsidRPr="00B75B77">
        <w:t>A rating of 2 or 3 = 0.5 (half of the savings attributed to the program)</w:t>
      </w:r>
    </w:p>
    <w:p w:rsidR="000E1EED" w:rsidRPr="00B75B77" w:rsidRDefault="000E1EED" w:rsidP="009E08FB">
      <w:pPr>
        <w:pStyle w:val="ListParagraph"/>
        <w:numPr>
          <w:ilvl w:val="0"/>
          <w:numId w:val="70"/>
        </w:numPr>
      </w:pPr>
      <w:r w:rsidRPr="00B75B77">
        <w:t>A rating of 0 or 1 = 0 (no savings attributed to the program)</w:t>
      </w:r>
    </w:p>
    <w:p w:rsidR="00E92EDC" w:rsidRPr="00B75B77" w:rsidRDefault="00E92EDC" w:rsidP="00707B64"/>
    <w:p w:rsidR="000E1EED" w:rsidRPr="00B75B77" w:rsidRDefault="000E1EED" w:rsidP="00707B64">
      <w:r w:rsidRPr="00B75B77">
        <w:t>Where applicable, Navigant calculated the savings for each additional measure installed per the TRM. For measures not included in the TRM, the evaluator may conduct a brief engineering analysis to assess savings or to identify an alternative source and methodology for assessing savings.</w:t>
      </w:r>
    </w:p>
    <w:p w:rsidR="000E1EED" w:rsidRPr="00B75B77" w:rsidRDefault="000E1EED" w:rsidP="00707B64"/>
    <w:p w:rsidR="000E1EED" w:rsidRPr="00B75B77" w:rsidRDefault="000E1EED" w:rsidP="00707B64">
      <w:r w:rsidRPr="00B75B77">
        <w:t xml:space="preserve">Navigant calculated spillover for measures reported as the product of the measure savings, number of units, and influence score, as illustrated in </w:t>
      </w:r>
      <w:r w:rsidR="00D56E1C" w:rsidRPr="00B75B77">
        <w:fldChar w:fldCharType="begin"/>
      </w:r>
      <w:r w:rsidR="00D56E1C" w:rsidRPr="00B75B77">
        <w:instrText xml:space="preserve"> REF _Ref464223504 \h  \* MERGEFORMAT </w:instrText>
      </w:r>
      <w:r w:rsidR="00D56E1C" w:rsidRPr="00B75B77">
        <w:fldChar w:fldCharType="separate"/>
      </w:r>
      <w:r w:rsidR="0004016D" w:rsidRPr="00B75B77">
        <w:t xml:space="preserve">Equation </w:t>
      </w:r>
      <w:r w:rsidR="0004016D">
        <w:rPr>
          <w:noProof/>
        </w:rPr>
        <w:t>12</w:t>
      </w:r>
      <w:r w:rsidR="0004016D" w:rsidRPr="00B75B77">
        <w:rPr>
          <w:noProof/>
        </w:rPr>
        <w:noBreakHyphen/>
      </w:r>
      <w:r w:rsidR="0004016D">
        <w:rPr>
          <w:noProof/>
        </w:rPr>
        <w:t>3</w:t>
      </w:r>
      <w:r w:rsidR="00D56E1C" w:rsidRPr="00B75B77">
        <w:fldChar w:fldCharType="end"/>
      </w:r>
      <w:r w:rsidRPr="00B75B77">
        <w:t xml:space="preserve">. Navigant calculated all spillover estimates using customer self-reported data and did not conduct follow-up interviews or site visits. </w:t>
      </w:r>
    </w:p>
    <w:p w:rsidR="000E1EED" w:rsidRPr="00B75B77" w:rsidRDefault="000E1EED" w:rsidP="00707B64"/>
    <w:p w:rsidR="000E1EED" w:rsidRPr="00B75B77" w:rsidRDefault="000E1EED" w:rsidP="00707B64">
      <w:pPr>
        <w:pStyle w:val="Caption"/>
      </w:pPr>
      <w:bookmarkStart w:id="782" w:name="_Ref464223504"/>
      <w:bookmarkStart w:id="783" w:name="_Toc466413707"/>
      <w:r w:rsidRPr="00B75B77">
        <w:t xml:space="preserve">Equation </w:t>
      </w:r>
      <w:fldSimple w:instr=" STYLEREF 1 \s ">
        <w:r w:rsidR="0004016D">
          <w:rPr>
            <w:noProof/>
          </w:rPr>
          <w:t>12</w:t>
        </w:r>
      </w:fldSimple>
      <w:r w:rsidRPr="00B75B77">
        <w:noBreakHyphen/>
      </w:r>
      <w:fldSimple w:instr=" SEQ Equation \* ARABIC \s 1 ">
        <w:r w:rsidR="0004016D">
          <w:rPr>
            <w:noProof/>
          </w:rPr>
          <w:t>3</w:t>
        </w:r>
      </w:fldSimple>
      <w:bookmarkEnd w:id="782"/>
      <w:r w:rsidR="00D56E1C" w:rsidRPr="00B75B77">
        <w:t>:</w:t>
      </w:r>
      <w:r w:rsidRPr="00B75B77">
        <w:t xml:space="preserve"> Spillover Savings from Installed Measures</w:t>
      </w:r>
      <w:bookmarkEnd w:id="783"/>
    </w:p>
    <w:p w:rsidR="000E1EED" w:rsidRPr="00B75B77" w:rsidRDefault="00D56E1C" w:rsidP="00707B64">
      <w:pPr>
        <w:rPr>
          <w:i/>
        </w:rPr>
      </w:pPr>
      <m:oMathPara>
        <m:oMath>
          <m:r>
            <m:rPr>
              <m:nor/>
            </m:rPr>
            <m:t xml:space="preserve">Measure SO= Measure Savings *Number of Units*Program Influence </m:t>
          </m:r>
        </m:oMath>
      </m:oMathPara>
    </w:p>
    <w:p w:rsidR="00E92EDC" w:rsidRPr="00B75B77" w:rsidRDefault="00E92EDC" w:rsidP="00707B64"/>
    <w:p w:rsidR="000E1EED" w:rsidRPr="00B75B77" w:rsidRDefault="000E1EED" w:rsidP="00707B64">
      <w:r w:rsidRPr="00B75B77">
        <w:t xml:space="preserve">For each of the above categories, the evaluators then totaled the savings associated with each program participant, to give the overall participant spillover savings reflected in </w:t>
      </w:r>
      <w:r w:rsidR="00D56E1C" w:rsidRPr="00B75B77">
        <w:fldChar w:fldCharType="begin"/>
      </w:r>
      <w:r w:rsidR="00D56E1C" w:rsidRPr="00B75B77">
        <w:instrText xml:space="preserve"> REF _Ref464223514 \h </w:instrText>
      </w:r>
      <w:r w:rsidR="00B75B77">
        <w:instrText xml:space="preserve"> \* MERGEFORMAT </w:instrText>
      </w:r>
      <w:r w:rsidR="00D56E1C" w:rsidRPr="00B75B77">
        <w:fldChar w:fldCharType="separate"/>
      </w:r>
      <w:r w:rsidR="0004016D" w:rsidRPr="00B75B77">
        <w:t xml:space="preserve">Equation </w:t>
      </w:r>
      <w:r w:rsidR="0004016D">
        <w:rPr>
          <w:noProof/>
        </w:rPr>
        <w:t>12</w:t>
      </w:r>
      <w:r w:rsidR="0004016D" w:rsidRPr="00B75B77">
        <w:rPr>
          <w:noProof/>
        </w:rPr>
        <w:noBreakHyphen/>
      </w:r>
      <w:r w:rsidR="0004016D">
        <w:rPr>
          <w:noProof/>
        </w:rPr>
        <w:t>4</w:t>
      </w:r>
      <w:r w:rsidR="00D56E1C" w:rsidRPr="00B75B77">
        <w:fldChar w:fldCharType="end"/>
      </w:r>
      <w:r w:rsidRPr="00B75B77">
        <w:t xml:space="preserve">. </w:t>
      </w:r>
    </w:p>
    <w:p w:rsidR="000E1EED" w:rsidRPr="00B75B77" w:rsidRDefault="000E1EED" w:rsidP="00707B64"/>
    <w:p w:rsidR="000E1EED" w:rsidRPr="00B75B77" w:rsidRDefault="000E1EED" w:rsidP="00707B64">
      <w:pPr>
        <w:pStyle w:val="Caption"/>
      </w:pPr>
      <w:bookmarkStart w:id="784" w:name="_Ref464223514"/>
      <w:bookmarkStart w:id="785" w:name="_Toc466413708"/>
      <w:r w:rsidRPr="00B75B77">
        <w:t xml:space="preserve">Equation </w:t>
      </w:r>
      <w:fldSimple w:instr=" STYLEREF 1 \s ">
        <w:r w:rsidR="0004016D">
          <w:rPr>
            <w:noProof/>
          </w:rPr>
          <w:t>12</w:t>
        </w:r>
      </w:fldSimple>
      <w:r w:rsidRPr="00B75B77">
        <w:noBreakHyphen/>
      </w:r>
      <w:fldSimple w:instr=" SEQ Equation \* ARABIC \s 1 ">
        <w:r w:rsidR="0004016D">
          <w:rPr>
            <w:noProof/>
          </w:rPr>
          <w:t>4</w:t>
        </w:r>
      </w:fldSimple>
      <w:bookmarkEnd w:id="784"/>
      <w:r w:rsidR="00D56E1C" w:rsidRPr="00B75B77">
        <w:t>:</w:t>
      </w:r>
      <w:r w:rsidRPr="00B75B77">
        <w:t xml:space="preserve"> Overall Participant Spillover</w:t>
      </w:r>
      <w:bookmarkEnd w:id="785"/>
    </w:p>
    <w:p w:rsidR="000E1EED" w:rsidRPr="00B75B77" w:rsidRDefault="000E1EED" w:rsidP="00707B64">
      <w:pPr>
        <w:jc w:val="center"/>
        <w:rPr>
          <w:i/>
        </w:rPr>
      </w:pPr>
      <w:r w:rsidRPr="00B75B77">
        <w:rPr>
          <w:i/>
        </w:rPr>
        <w:t xml:space="preserve">Participant SO = </w:t>
      </w:r>
      <w:proofErr w:type="spellStart"/>
      <w:r w:rsidRPr="00B75B77">
        <w:rPr>
          <w:i/>
        </w:rPr>
        <w:t>ΣMeasure</w:t>
      </w:r>
      <w:proofErr w:type="spellEnd"/>
      <w:r w:rsidRPr="00B75B77">
        <w:rPr>
          <w:i/>
        </w:rPr>
        <w:t xml:space="preserve"> SO</w:t>
      </w:r>
    </w:p>
    <w:p w:rsidR="000E1EED" w:rsidRPr="00B75B77" w:rsidRDefault="000E1EED" w:rsidP="00707B64">
      <w:pPr>
        <w:jc w:val="center"/>
        <w:rPr>
          <w:i/>
        </w:rPr>
      </w:pPr>
    </w:p>
    <w:p w:rsidR="000E1EED" w:rsidRPr="00B75B77" w:rsidRDefault="000E1EED" w:rsidP="00707B64">
      <w:r w:rsidRPr="00B75B77">
        <w:t xml:space="preserve">The team then multiplied the mean participant spillover savings for the participant sample by the total number of participants to yield an estimated total participant spillover savings for the program. </w:t>
      </w:r>
      <w:r w:rsidR="00D56E1C" w:rsidRPr="00B75B77">
        <w:fldChar w:fldCharType="begin"/>
      </w:r>
      <w:r w:rsidR="00D56E1C" w:rsidRPr="00B75B77">
        <w:instrText xml:space="preserve"> REF _Ref464223528 \h </w:instrText>
      </w:r>
      <w:r w:rsidR="00B75B77">
        <w:instrText xml:space="preserve"> \* MERGEFORMAT </w:instrText>
      </w:r>
      <w:r w:rsidR="00D56E1C" w:rsidRPr="00B75B77">
        <w:fldChar w:fldCharType="separate"/>
      </w:r>
      <w:r w:rsidR="0004016D" w:rsidRPr="00B75B77">
        <w:t xml:space="preserve">Equation </w:t>
      </w:r>
      <w:r w:rsidR="0004016D">
        <w:rPr>
          <w:noProof/>
        </w:rPr>
        <w:t>12</w:t>
      </w:r>
      <w:r w:rsidR="0004016D" w:rsidRPr="00B75B77">
        <w:rPr>
          <w:noProof/>
        </w:rPr>
        <w:noBreakHyphen/>
      </w:r>
      <w:r w:rsidR="0004016D">
        <w:rPr>
          <w:noProof/>
        </w:rPr>
        <w:t>5</w:t>
      </w:r>
      <w:r w:rsidR="00D56E1C" w:rsidRPr="00B75B77">
        <w:fldChar w:fldCharType="end"/>
      </w:r>
      <w:r w:rsidRPr="00B75B77">
        <w:t xml:space="preserve"> shows the algorithm used to calculate spillover for the program.</w:t>
      </w:r>
    </w:p>
    <w:p w:rsidR="000E1EED" w:rsidRPr="00B75B77" w:rsidRDefault="000E1EED" w:rsidP="00707B64"/>
    <w:p w:rsidR="000E1EED" w:rsidRPr="00B75B77" w:rsidRDefault="000E1EED" w:rsidP="00707B64">
      <w:pPr>
        <w:pStyle w:val="Caption"/>
      </w:pPr>
      <w:bookmarkStart w:id="786" w:name="_Ref464223528"/>
      <w:bookmarkStart w:id="787" w:name="_Toc466413709"/>
      <w:r w:rsidRPr="00B75B77">
        <w:t xml:space="preserve">Equation </w:t>
      </w:r>
      <w:fldSimple w:instr=" STYLEREF 1 \s ">
        <w:r w:rsidR="0004016D">
          <w:rPr>
            <w:noProof/>
          </w:rPr>
          <w:t>12</w:t>
        </w:r>
      </w:fldSimple>
      <w:r w:rsidRPr="00B75B77">
        <w:noBreakHyphen/>
      </w:r>
      <w:fldSimple w:instr=" SEQ Equation \* ARABIC \s 1 ">
        <w:r w:rsidR="0004016D">
          <w:rPr>
            <w:noProof/>
          </w:rPr>
          <w:t>5</w:t>
        </w:r>
      </w:fldSimple>
      <w:bookmarkEnd w:id="786"/>
      <w:r w:rsidR="00D56E1C" w:rsidRPr="00B75B77">
        <w:t>:</w:t>
      </w:r>
      <w:r w:rsidRPr="00B75B77">
        <w:t xml:space="preserve"> Spillover Savings for the Program</w:t>
      </w:r>
      <w:bookmarkEnd w:id="787"/>
    </w:p>
    <w:p w:rsidR="000E1EED" w:rsidRPr="00B75B77" w:rsidRDefault="00D56E1C" w:rsidP="00707B64">
      <w:pPr>
        <w:jc w:val="center"/>
        <w:rPr>
          <w:i/>
          <w:lang w:val="fr-HT"/>
        </w:rPr>
      </w:pPr>
      <w:proofErr w:type="spellStart"/>
      <m:oMath>
        <m:r>
          <m:rPr>
            <m:nor/>
          </m:rPr>
          <m:t>ΣParticipant</m:t>
        </m:r>
        <w:proofErr w:type="spellEnd"/>
        <m:r>
          <m:rPr>
            <m:nor/>
          </m:rPr>
          <w:rPr>
            <w:lang w:val="fr-HT"/>
          </w:rPr>
          <m:t xml:space="preserve"> </m:t>
        </m:r>
        <m:r>
          <m:rPr>
            <m:nor/>
          </m:rPr>
          <m:t>SO</m:t>
        </m:r>
        <m:r>
          <m:rPr>
            <m:nor/>
          </m:rPr>
          <w:rPr>
            <w:lang w:val="fr-HT"/>
          </w:rPr>
          <m:t xml:space="preserve"> (</m:t>
        </m:r>
        <m:r>
          <m:rPr>
            <m:nor/>
          </m:rPr>
          <m:t>population</m:t>
        </m:r>
        <m:r>
          <m:rPr>
            <m:nor/>
          </m:rPr>
          <w:rPr>
            <w:lang w:val="fr-HT"/>
          </w:rPr>
          <m:t xml:space="preserve">)= </m:t>
        </m:r>
        <m:f>
          <m:fPr>
            <m:ctrlPr>
              <w:rPr>
                <w:rFonts w:ascii="Cambria Math" w:hAnsi="Cambria Math"/>
                <w:i/>
              </w:rPr>
            </m:ctrlPr>
          </m:fPr>
          <m:num>
            <m:nary>
              <m:naryPr>
                <m:chr m:val="∑"/>
                <m:limLoc m:val="undOvr"/>
                <m:subHide m:val="1"/>
                <m:supHide m:val="1"/>
                <m:ctrlPr>
                  <w:rPr>
                    <w:rFonts w:ascii="Cambria Math" w:hAnsi="Cambria Math"/>
                    <w:i/>
                  </w:rPr>
                </m:ctrlPr>
              </m:naryPr>
              <m:sub/>
              <m:sup/>
              <m:e>
                <m:r>
                  <m:rPr>
                    <m:nor/>
                  </m:rPr>
                  <m:t>Participant</m:t>
                </m:r>
                <m:r>
                  <m:rPr>
                    <m:nor/>
                  </m:rPr>
                  <w:rPr>
                    <w:lang w:val="fr-HT"/>
                  </w:rPr>
                  <m:t xml:space="preserve"> </m:t>
                </m:r>
                <m:r>
                  <m:rPr>
                    <m:nor/>
                  </m:rPr>
                  <m:t>SO</m:t>
                </m:r>
                <m:r>
                  <m:rPr>
                    <m:nor/>
                  </m:rPr>
                  <w:rPr>
                    <w:lang w:val="fr-HT"/>
                  </w:rPr>
                  <m:t xml:space="preserve"> (</m:t>
                </m:r>
                <m:r>
                  <m:rPr>
                    <m:nor/>
                  </m:rPr>
                  <m:t>sample</m:t>
                </m:r>
                <m:r>
                  <m:rPr>
                    <m:nor/>
                  </m:rPr>
                  <w:rPr>
                    <w:lang w:val="fr-HT"/>
                  </w:rPr>
                  <m:t>)</m:t>
                </m:r>
              </m:e>
            </m:nary>
          </m:num>
          <m:den>
            <m:r>
              <m:rPr>
                <m:nor/>
              </m:rPr>
              <m:t>Sample</m:t>
            </m:r>
            <m:r>
              <m:rPr>
                <m:nor/>
              </m:rPr>
              <w:rPr>
                <w:lang w:val="fr-HT"/>
              </w:rPr>
              <m:t xml:space="preserve"> </m:t>
            </m:r>
            <m:r>
              <m:rPr>
                <m:nor/>
              </m:rPr>
              <m:t>n</m:t>
            </m:r>
          </m:den>
        </m:f>
      </m:oMath>
      <w:r w:rsidR="000E1EED" w:rsidRPr="00B75B77">
        <w:rPr>
          <w:lang w:val="fr-HT"/>
        </w:rPr>
        <w:t xml:space="preserve"> </w:t>
      </w:r>
      <m:oMath>
        <m:r>
          <w:rPr>
            <w:rFonts w:ascii="Cambria Math" w:hAnsi="Cambria Math"/>
            <w:lang w:val="fr-HT"/>
          </w:rPr>
          <m:t>*</m:t>
        </m:r>
      </m:oMath>
      <w:r w:rsidR="000E1EED" w:rsidRPr="00B75B77">
        <w:rPr>
          <w:lang w:val="fr-HT"/>
        </w:rPr>
        <w:t xml:space="preserve"> Population </w:t>
      </w:r>
      <w:r w:rsidR="000E1EED" w:rsidRPr="00B75B77">
        <w:rPr>
          <w:i/>
          <w:lang w:val="fr-HT"/>
        </w:rPr>
        <w:t>N</w:t>
      </w:r>
    </w:p>
    <w:p w:rsidR="000E1EED" w:rsidRPr="00B75B77" w:rsidRDefault="000E1EED" w:rsidP="00707B64">
      <w:pPr>
        <w:jc w:val="center"/>
        <w:rPr>
          <w:lang w:val="fr-HT"/>
        </w:rPr>
      </w:pPr>
    </w:p>
    <w:p w:rsidR="000E1EED" w:rsidRPr="00B75B77" w:rsidRDefault="000E1EED" w:rsidP="00707B64">
      <w:r w:rsidRPr="00B75B77">
        <w:lastRenderedPageBreak/>
        <w:t xml:space="preserve">Finally, the team divided the total savings by the total program savings to yield a participant spillover percentage, as shown in </w:t>
      </w:r>
      <w:r w:rsidR="00D56E1C" w:rsidRPr="00B75B77">
        <w:fldChar w:fldCharType="begin"/>
      </w:r>
      <w:r w:rsidR="00D56E1C" w:rsidRPr="00B75B77">
        <w:instrText xml:space="preserve"> REF _Ref464223559 \h </w:instrText>
      </w:r>
      <w:r w:rsidR="00B75B77">
        <w:instrText xml:space="preserve"> \* MERGEFORMAT </w:instrText>
      </w:r>
      <w:r w:rsidR="00D56E1C" w:rsidRPr="00B75B77">
        <w:fldChar w:fldCharType="separate"/>
      </w:r>
      <w:r w:rsidR="0004016D" w:rsidRPr="00B75B77">
        <w:t xml:space="preserve">Equation </w:t>
      </w:r>
      <w:r w:rsidR="0004016D">
        <w:rPr>
          <w:noProof/>
        </w:rPr>
        <w:t>12</w:t>
      </w:r>
      <w:r w:rsidR="0004016D" w:rsidRPr="00B75B77">
        <w:rPr>
          <w:noProof/>
        </w:rPr>
        <w:noBreakHyphen/>
      </w:r>
      <w:r w:rsidR="0004016D">
        <w:rPr>
          <w:noProof/>
        </w:rPr>
        <w:t>6</w:t>
      </w:r>
      <w:r w:rsidR="00D56E1C" w:rsidRPr="00B75B77">
        <w:fldChar w:fldCharType="end"/>
      </w:r>
      <w:r w:rsidRPr="00B75B77">
        <w:t>.</w:t>
      </w:r>
    </w:p>
    <w:p w:rsidR="000E1EED" w:rsidRPr="00B75B77" w:rsidRDefault="000E1EED" w:rsidP="00707B64"/>
    <w:p w:rsidR="000E1EED" w:rsidRPr="00B75B77" w:rsidRDefault="000E1EED" w:rsidP="00707B64">
      <w:pPr>
        <w:pStyle w:val="Caption"/>
      </w:pPr>
      <w:bookmarkStart w:id="788" w:name="_Ref464223559"/>
      <w:bookmarkStart w:id="789" w:name="_Toc466413710"/>
      <w:r w:rsidRPr="00B75B77">
        <w:t xml:space="preserve">Equation </w:t>
      </w:r>
      <w:fldSimple w:instr=" STYLEREF 1 \s ">
        <w:r w:rsidR="0004016D">
          <w:rPr>
            <w:noProof/>
          </w:rPr>
          <w:t>12</w:t>
        </w:r>
      </w:fldSimple>
      <w:r w:rsidRPr="00B75B77">
        <w:noBreakHyphen/>
      </w:r>
      <w:fldSimple w:instr=" SEQ Equation \* ARABIC \s 1 ">
        <w:r w:rsidR="0004016D">
          <w:rPr>
            <w:noProof/>
          </w:rPr>
          <w:t>6</w:t>
        </w:r>
      </w:fldSimple>
      <w:bookmarkEnd w:id="788"/>
      <w:r w:rsidR="00D56E1C" w:rsidRPr="00B75B77">
        <w:t>:</w:t>
      </w:r>
      <w:r w:rsidRPr="00B75B77">
        <w:t xml:space="preserve"> Participant Spillover Percentage</w:t>
      </w:r>
      <w:bookmarkEnd w:id="789"/>
    </w:p>
    <w:p w:rsidR="000E1EED" w:rsidRPr="00B75B77" w:rsidRDefault="00D56E1C" w:rsidP="00707B64">
      <w:pPr>
        <w:jc w:val="center"/>
      </w:pPr>
      <m:oMath>
        <m:r>
          <m:rPr>
            <m:nor/>
          </m:rPr>
          <m:t xml:space="preserve">% Participant SO = </m:t>
        </m:r>
        <m:f>
          <m:fPr>
            <m:ctrlPr>
              <w:rPr>
                <w:rFonts w:ascii="Cambria Math" w:hAnsi="Cambria Math"/>
                <w:i/>
              </w:rPr>
            </m:ctrlPr>
          </m:fPr>
          <m:num>
            <m:nary>
              <m:naryPr>
                <m:chr m:val="∑"/>
                <m:limLoc m:val="undOvr"/>
                <m:subHide m:val="1"/>
                <m:supHide m:val="1"/>
                <m:ctrlPr>
                  <w:rPr>
                    <w:rFonts w:ascii="Cambria Math" w:hAnsi="Cambria Math"/>
                    <w:i/>
                  </w:rPr>
                </m:ctrlPr>
              </m:naryPr>
              <m:sub/>
              <m:sup/>
              <m:e>
                <m:r>
                  <m:rPr>
                    <m:nor/>
                  </m:rPr>
                  <m:t>Participant SO (population)</m:t>
                </m:r>
              </m:e>
            </m:nary>
          </m:num>
          <m:den>
            <m:r>
              <m:rPr>
                <m:nor/>
              </m:rPr>
              <m:t>Program Savings</m:t>
            </m:r>
          </m:den>
        </m:f>
      </m:oMath>
      <w:r w:rsidR="000E1EED" w:rsidRPr="00B75B77">
        <w:t xml:space="preserve"> </w:t>
      </w:r>
      <m:oMath>
        <m:r>
          <w:rPr>
            <w:rFonts w:ascii="Cambria Math" w:hAnsi="Cambria Math"/>
          </w:rPr>
          <m:t>*</m:t>
        </m:r>
      </m:oMath>
      <w:r w:rsidR="000E1EED" w:rsidRPr="00B75B77">
        <w:t xml:space="preserve"> 100</w:t>
      </w:r>
    </w:p>
    <w:p w:rsidR="000E1EED" w:rsidRPr="00B75B77" w:rsidRDefault="000E1EED" w:rsidP="004D2FBE"/>
    <w:p w:rsidR="000E1EED" w:rsidRPr="00B75B77" w:rsidRDefault="000E1EED" w:rsidP="00707B64">
      <w:pPr>
        <w:pStyle w:val="Heading3"/>
      </w:pPr>
      <w:bookmarkStart w:id="790" w:name="_Toc464230481"/>
      <w:bookmarkStart w:id="791" w:name="_Toc466413417"/>
      <w:bookmarkEnd w:id="790"/>
      <w:r w:rsidRPr="00B75B77">
        <w:t>Net Verified Savings Results</w:t>
      </w:r>
      <w:bookmarkEnd w:id="791"/>
      <w:r w:rsidRPr="00B75B77">
        <w:t xml:space="preserve"> </w:t>
      </w:r>
    </w:p>
    <w:p w:rsidR="000E1EED" w:rsidRPr="00B75B77" w:rsidRDefault="000E1EED" w:rsidP="00707B64">
      <w:r w:rsidRPr="00B75B77">
        <w:t xml:space="preserve">The SEI GNI NTG evaluation research in PY7 resulted in lower confidence and precision than planned, due to a low survey response rate among larger participants. Several of the largest participants failed to respond to the NTG survey, despite repeated requests from the evaluation team. This issue was compounded by the fact that several surveys were completed by contractors as opposed to decision makers, which resulted in those responses being omitted from the sample. This issue has been observed in previous evaluations as well, and </w:t>
      </w:r>
      <w:r w:rsidR="00E92EDC" w:rsidRPr="00B75B77">
        <w:t>is</w:t>
      </w:r>
      <w:r w:rsidRPr="00B75B77">
        <w:t xml:space="preserve"> further discussed in Section </w:t>
      </w:r>
      <w:r w:rsidRPr="00B75B77">
        <w:fldChar w:fldCharType="begin"/>
      </w:r>
      <w:r w:rsidRPr="00B75B77">
        <w:instrText xml:space="preserve"> REF _Ref462997822 \r \p \h </w:instrText>
      </w:r>
      <w:r w:rsidR="00E92EDC" w:rsidRPr="00B75B77">
        <w:instrText xml:space="preserve"> \* MERGEFORMAT </w:instrText>
      </w:r>
      <w:r w:rsidRPr="00B75B77">
        <w:fldChar w:fldCharType="separate"/>
      </w:r>
      <w:r w:rsidR="0004016D">
        <w:t>11.4 above</w:t>
      </w:r>
      <w:r w:rsidRPr="00B75B77">
        <w:fldChar w:fldCharType="end"/>
      </w:r>
      <w:r w:rsidRPr="00B75B77">
        <w:t xml:space="preserve">. </w:t>
      </w:r>
    </w:p>
    <w:p w:rsidR="000E1EED" w:rsidRPr="00B75B77" w:rsidRDefault="000E1EED" w:rsidP="00707B64"/>
    <w:p w:rsidR="000E1EED" w:rsidRPr="00B75B77" w:rsidRDefault="000E1EED" w:rsidP="00707B64">
      <w:r w:rsidRPr="00B75B77">
        <w:t xml:space="preserve">In PY7, the Navigant team analyzed the responses of the online survey through which spillover was identified based on participant responses. Navigant designed the spillover survey questions to identify those cases where spillover was possible and to quantify the self-reported energy and demand savings from the spillover equipment installation. </w:t>
      </w:r>
    </w:p>
    <w:p w:rsidR="000E1EED" w:rsidRPr="00B75B77" w:rsidRDefault="000E1EED" w:rsidP="00707B64"/>
    <w:p w:rsidR="00E92EDC" w:rsidRPr="00B75B77" w:rsidRDefault="000E1EED" w:rsidP="00707B64">
      <w:pPr>
        <w:keepNext/>
        <w:jc w:val="left"/>
      </w:pPr>
      <w:r w:rsidRPr="00B75B77">
        <w:t xml:space="preserve">As shown in </w:t>
      </w:r>
      <w:r w:rsidR="00D56E1C" w:rsidRPr="00B75B77">
        <w:fldChar w:fldCharType="begin"/>
      </w:r>
      <w:r w:rsidR="00D56E1C" w:rsidRPr="00B75B77">
        <w:instrText xml:space="preserve"> REF _Ref464223588 \h  \* MERGEFORMAT </w:instrText>
      </w:r>
      <w:r w:rsidR="00D56E1C" w:rsidRPr="00B75B77">
        <w:fldChar w:fldCharType="separate"/>
      </w:r>
      <w:r w:rsidR="0004016D" w:rsidRPr="00B75B77">
        <w:t xml:space="preserve">Figure </w:t>
      </w:r>
      <w:r w:rsidR="0004016D">
        <w:rPr>
          <w:noProof/>
        </w:rPr>
        <w:t>12</w:t>
      </w:r>
      <w:r w:rsidR="0004016D" w:rsidRPr="00B75B77">
        <w:rPr>
          <w:noProof/>
        </w:rPr>
        <w:noBreakHyphen/>
      </w:r>
      <w:r w:rsidR="0004016D">
        <w:rPr>
          <w:noProof/>
        </w:rPr>
        <w:t>2</w:t>
      </w:r>
      <w:r w:rsidR="00D56E1C" w:rsidRPr="00B75B77">
        <w:fldChar w:fldCharType="end"/>
      </w:r>
      <w:r w:rsidRPr="00B75B77">
        <w:t>, the Navigant team determined that of the 35 participants surveyed, 15 reported installing additional energy efficient equipment. Out of those 15 participants, nine participants either could not verify that the spillover projects were developed during PY</w:t>
      </w:r>
      <w:r w:rsidR="00C8082F" w:rsidRPr="00B75B77">
        <w:t>7</w:t>
      </w:r>
      <w:r w:rsidRPr="00B75B77">
        <w:t xml:space="preserve"> or did not give enough information to estimate energy savings. </w:t>
      </w:r>
    </w:p>
    <w:p w:rsidR="00E92EDC" w:rsidRPr="00B75B77" w:rsidRDefault="00E92EDC" w:rsidP="00707B64">
      <w:pPr>
        <w:keepNext/>
        <w:jc w:val="left"/>
      </w:pPr>
    </w:p>
    <w:p w:rsidR="000E1EED" w:rsidRPr="00B75B77" w:rsidRDefault="000E1EED" w:rsidP="00707B64">
      <w:pPr>
        <w:keepNext/>
        <w:jc w:val="left"/>
      </w:pPr>
      <w:r w:rsidRPr="00B75B77">
        <w:t>While the spillover analysis revealed a high percentage of self-reported activity, only four participants provided enough information to quantify spillover; the spillover calculated was 0.01.</w:t>
      </w:r>
    </w:p>
    <w:p w:rsidR="000E1EED" w:rsidRPr="00B75B77" w:rsidRDefault="000E1EED" w:rsidP="00707B64">
      <w:pPr>
        <w:keepNext/>
      </w:pPr>
    </w:p>
    <w:p w:rsidR="000E1EED" w:rsidRPr="00B75B77" w:rsidRDefault="000E1EED" w:rsidP="00707B64">
      <w:pPr>
        <w:pStyle w:val="Caption"/>
      </w:pPr>
      <w:bookmarkStart w:id="792" w:name="_Ref464223588"/>
      <w:bookmarkStart w:id="793" w:name="_Toc466413690"/>
      <w:r w:rsidRPr="00B75B77">
        <w:t xml:space="preserve">Figure </w:t>
      </w:r>
      <w:fldSimple w:instr=" STYLEREF 1 \s ">
        <w:r w:rsidR="0004016D">
          <w:rPr>
            <w:noProof/>
          </w:rPr>
          <w:t>12</w:t>
        </w:r>
      </w:fldSimple>
      <w:r w:rsidR="00BA3BA9" w:rsidRPr="00B75B77">
        <w:noBreakHyphen/>
      </w:r>
      <w:fldSimple w:instr=" SEQ Figure \* ARABIC \s 1 ">
        <w:r w:rsidR="0004016D">
          <w:rPr>
            <w:noProof/>
          </w:rPr>
          <w:t>2</w:t>
        </w:r>
      </w:fldSimple>
      <w:bookmarkEnd w:id="792"/>
      <w:r w:rsidRPr="00B75B77">
        <w:t>: PY7 Smart Equipment Incentives (GNI) Spillover Results Illustration</w:t>
      </w:r>
      <w:bookmarkEnd w:id="793"/>
    </w:p>
    <w:p w:rsidR="000E1EED" w:rsidRPr="00B75B77" w:rsidRDefault="000E1EED" w:rsidP="00707B64">
      <w:pPr>
        <w:keepNext/>
        <w:spacing w:before="240" w:after="240"/>
        <w:jc w:val="left"/>
        <w:rPr>
          <w:rFonts w:ascii="Palatino Linotype" w:eastAsia="Times New Roman" w:hAnsi="Palatino Linotype"/>
          <w:color w:val="FF0000"/>
          <w:sz w:val="20"/>
          <w:szCs w:val="24"/>
        </w:rPr>
      </w:pPr>
      <w:r w:rsidRPr="00B75B77">
        <w:rPr>
          <w:rFonts w:ascii="Calibri" w:hAnsi="Calibri"/>
          <w:noProof/>
        </w:rPr>
        <mc:AlternateContent>
          <mc:Choice Requires="wps">
            <w:drawing>
              <wp:anchor distT="0" distB="0" distL="114300" distR="114300" simplePos="0" relativeHeight="251666432" behindDoc="0" locked="0" layoutInCell="1" allowOverlap="1" wp14:anchorId="69732A8B" wp14:editId="023407F1">
                <wp:simplePos x="0" y="0"/>
                <wp:positionH relativeFrom="column">
                  <wp:posOffset>3105150</wp:posOffset>
                </wp:positionH>
                <wp:positionV relativeFrom="paragraph">
                  <wp:posOffset>1672590</wp:posOffset>
                </wp:positionV>
                <wp:extent cx="1073150" cy="619760"/>
                <wp:effectExtent l="0" t="285750" r="12700" b="27940"/>
                <wp:wrapNone/>
                <wp:docPr id="297" name="Rectangular Callout 297"/>
                <wp:cNvGraphicFramePr/>
                <a:graphic xmlns:a="http://schemas.openxmlformats.org/drawingml/2006/main">
                  <a:graphicData uri="http://schemas.microsoft.com/office/word/2010/wordprocessingShape">
                    <wps:wsp>
                      <wps:cNvSpPr/>
                      <wps:spPr>
                        <a:xfrm>
                          <a:off x="0" y="0"/>
                          <a:ext cx="1073150" cy="619760"/>
                        </a:xfrm>
                        <a:prstGeom prst="wedgeRectCallout">
                          <a:avLst>
                            <a:gd name="adj1" fmla="val 23581"/>
                            <a:gd name="adj2" fmla="val -93969"/>
                          </a:avLst>
                        </a:prstGeom>
                        <a:solidFill>
                          <a:sysClr val="window" lastClr="FFFFFF"/>
                        </a:solidFill>
                        <a:ln w="3175" cap="flat" cmpd="sng" algn="ctr">
                          <a:solidFill>
                            <a:sysClr val="windowText" lastClr="000000"/>
                          </a:solidFill>
                          <a:prstDash val="sysDash"/>
                        </a:ln>
                        <a:effectLst/>
                      </wps:spPr>
                      <wps:txbx>
                        <w:txbxContent>
                          <w:p w:rsidR="00E639E7" w:rsidRPr="00D56E1C" w:rsidRDefault="00E639E7" w:rsidP="00707B64">
                            <w:pPr>
                              <w:jc w:val="center"/>
                              <w:rPr>
                                <w:sz w:val="20"/>
                                <w:szCs w:val="18"/>
                              </w:rPr>
                            </w:pPr>
                            <w:r w:rsidRPr="00D56E1C">
                              <w:rPr>
                                <w:sz w:val="20"/>
                                <w:szCs w:val="18"/>
                              </w:rPr>
                              <w:t>17% of sample had qualified spillover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97" o:spid="_x0000_s1088" type="#_x0000_t61" style="position:absolute;margin-left:244.5pt;margin-top:131.7pt;width:84.5pt;height:4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" adj="15893,-9497" fillcolor="window" strokecolor="windowText" strokeweight=".25pt">
                <v:stroke dashstyle="3 1"/>
                <v:textbox>
                  <w:txbxContent>
                    <w:p w:rsidR="00E639E7" w:rsidRPr="00D56E1C" w:rsidRDefault="00E639E7" w:rsidP="00707B64">
                      <w:pPr>
                        <w:jc w:val="center"/>
                        <w:rPr>
                          <w:sz w:val="20"/>
                          <w:szCs w:val="18"/>
                        </w:rPr>
                      </w:pPr>
                      <w:r w:rsidRPr="00D56E1C">
                        <w:rPr>
                          <w:sz w:val="20"/>
                          <w:szCs w:val="18"/>
                        </w:rPr>
                        <w:t>17% of sample had qualified spillover</w:t>
                      </w:r>
                    </w:p>
                  </w:txbxContent>
                </v:textbox>
              </v:shape>
            </w:pict>
          </mc:Fallback>
        </mc:AlternateContent>
      </w:r>
      <w:r w:rsidRPr="00B75B77">
        <w:rPr>
          <w:rFonts w:ascii="Palatino Linotype" w:eastAsia="Times New Roman" w:hAnsi="Palatino Linotype"/>
          <w:noProof/>
          <w:sz w:val="20"/>
          <w:szCs w:val="24"/>
        </w:rPr>
        <w:drawing>
          <wp:inline distT="0" distB="0" distL="0" distR="0" wp14:anchorId="21215C2E" wp14:editId="17DA09F6">
            <wp:extent cx="5829300" cy="1809750"/>
            <wp:effectExtent l="0" t="0" r="38100" b="0"/>
            <wp:docPr id="311" name="Diagram 3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0E1EED" w:rsidRPr="00B75B77" w:rsidRDefault="000E1EED" w:rsidP="00707B64">
      <w:pPr>
        <w:pStyle w:val="Source"/>
      </w:pPr>
      <w:r w:rsidRPr="00B75B77">
        <w:t>Source: PY7</w:t>
      </w:r>
      <w:r w:rsidR="00C8082F" w:rsidRPr="00B75B77">
        <w:t xml:space="preserve"> NTG </w:t>
      </w:r>
      <w:r w:rsidRPr="00B75B77">
        <w:t>participant survey</w:t>
      </w:r>
      <w:r w:rsidR="00C8082F" w:rsidRPr="00B75B77">
        <w:t>s</w:t>
      </w:r>
    </w:p>
    <w:p w:rsidR="000E1EED" w:rsidRPr="00B75B77" w:rsidRDefault="000E1EED" w:rsidP="00707B64"/>
    <w:p w:rsidR="000E1EED" w:rsidRPr="00B75B77" w:rsidRDefault="00AE3DED" w:rsidP="00E92EDC">
      <w:pPr>
        <w:keepNext/>
        <w:keepLines/>
      </w:pPr>
      <w:r w:rsidRPr="00B75B77">
        <w:lastRenderedPageBreak/>
        <w:fldChar w:fldCharType="begin"/>
      </w:r>
      <w:r w:rsidRPr="00B75B77">
        <w:instrText xml:space="preserve"> REF _Ref464223677 \h </w:instrText>
      </w:r>
      <w:r w:rsidR="00B75B77">
        <w:instrText xml:space="preserve"> \* MERGEFORMAT </w:instrText>
      </w:r>
      <w:r w:rsidRPr="00B75B77">
        <w:fldChar w:fldCharType="separate"/>
      </w:r>
      <w:r w:rsidR="0004016D" w:rsidRPr="00B75B77">
        <w:t xml:space="preserve">Table </w:t>
      </w:r>
      <w:r w:rsidR="0004016D">
        <w:rPr>
          <w:noProof/>
        </w:rPr>
        <w:t>12</w:t>
      </w:r>
      <w:r w:rsidR="0004016D" w:rsidRPr="00B75B77">
        <w:rPr>
          <w:noProof/>
        </w:rPr>
        <w:noBreakHyphen/>
      </w:r>
      <w:r w:rsidR="0004016D">
        <w:rPr>
          <w:noProof/>
        </w:rPr>
        <w:t>7</w:t>
      </w:r>
      <w:r w:rsidRPr="00B75B77">
        <w:fldChar w:fldCharType="end"/>
      </w:r>
      <w:r w:rsidR="000E1EED" w:rsidRPr="00B75B77">
        <w:t xml:space="preserve"> shows the results of the PY7 NTG research. </w:t>
      </w:r>
    </w:p>
    <w:p w:rsidR="000E1EED" w:rsidRPr="00B75B77" w:rsidRDefault="000E1EED" w:rsidP="00E92EDC">
      <w:pPr>
        <w:keepNext/>
        <w:keepLines/>
        <w:jc w:val="left"/>
        <w:rPr>
          <w:b/>
          <w:bCs/>
        </w:rPr>
      </w:pPr>
    </w:p>
    <w:p w:rsidR="000E1EED" w:rsidRPr="00B75B77" w:rsidRDefault="000E1EED" w:rsidP="00707B64">
      <w:pPr>
        <w:pStyle w:val="Caption"/>
      </w:pPr>
      <w:bookmarkStart w:id="794" w:name="_Ref464223677"/>
      <w:bookmarkStart w:id="795" w:name="_Toc466413604"/>
      <w:r w:rsidRPr="00B75B77">
        <w:t xml:space="preserve">Table </w:t>
      </w:r>
      <w:fldSimple w:instr=" STYLEREF 1 \s ">
        <w:r w:rsidR="0004016D">
          <w:rPr>
            <w:noProof/>
          </w:rPr>
          <w:t>12</w:t>
        </w:r>
      </w:fldSimple>
      <w:r w:rsidR="00F1144C" w:rsidRPr="00B75B77">
        <w:noBreakHyphen/>
      </w:r>
      <w:fldSimple w:instr=" SEQ Table \* ARABIC \s 1 ">
        <w:r w:rsidR="0004016D">
          <w:rPr>
            <w:noProof/>
          </w:rPr>
          <w:t>7</w:t>
        </w:r>
      </w:fldSimple>
      <w:bookmarkEnd w:id="794"/>
      <w:r w:rsidRPr="00B75B77">
        <w:t>: PY7 Smart Equipment Incentives (GNI) Summary of Evaluation Results for NTG Research</w:t>
      </w:r>
      <w:bookmarkEnd w:id="795"/>
    </w:p>
    <w:tbl>
      <w:tblPr>
        <w:tblStyle w:val="MediumShading1-Accent5"/>
        <w:tblW w:w="9374" w:type="dxa"/>
        <w:tblInd w:w="-1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2023"/>
        <w:gridCol w:w="1710"/>
        <w:gridCol w:w="1663"/>
        <w:gridCol w:w="1174"/>
        <w:gridCol w:w="1440"/>
        <w:gridCol w:w="1364"/>
      </w:tblGrid>
      <w:tr w:rsidR="000E1EED" w:rsidRPr="00B75B77" w:rsidTr="00E92ED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3" w:type="dxa"/>
            <w:vMerge w:val="restart"/>
            <w:tcBorders>
              <w:top w:val="single" w:sz="4" w:space="0" w:color="auto"/>
              <w:left w:val="single" w:sz="4" w:space="0" w:color="auto"/>
              <w:bottom w:val="single" w:sz="4" w:space="0" w:color="auto"/>
              <w:right w:val="single" w:sz="4" w:space="0" w:color="auto"/>
            </w:tcBorders>
            <w:shd w:val="clear" w:color="auto" w:fill="448A99"/>
            <w:vAlign w:val="center"/>
            <w:hideMark/>
          </w:tcPr>
          <w:p w:rsidR="000E1EED" w:rsidRPr="00B75B77" w:rsidRDefault="000E1EED" w:rsidP="00707B64">
            <w:pPr>
              <w:keepNext/>
              <w:jc w:val="left"/>
              <w:rPr>
                <w:rFonts w:ascii="Calibri" w:eastAsia="Times New Roman" w:hAnsi="Calibri"/>
                <w:bCs w:val="0"/>
                <w:sz w:val="18"/>
                <w:szCs w:val="18"/>
              </w:rPr>
            </w:pPr>
            <w:r w:rsidRPr="00B75B77">
              <w:rPr>
                <w:rFonts w:ascii="Calibri" w:eastAsia="Times New Roman" w:hAnsi="Calibri"/>
                <w:bCs w:val="0"/>
                <w:sz w:val="18"/>
                <w:szCs w:val="18"/>
              </w:rPr>
              <w:t xml:space="preserve">Stratum </w:t>
            </w:r>
          </w:p>
        </w:tc>
        <w:tc>
          <w:tcPr>
            <w:tcW w:w="1710" w:type="dxa"/>
            <w:vMerge w:val="restart"/>
            <w:tcBorders>
              <w:top w:val="single" w:sz="4" w:space="0" w:color="auto"/>
              <w:left w:val="single" w:sz="4" w:space="0" w:color="auto"/>
              <w:bottom w:val="single" w:sz="4" w:space="0" w:color="auto"/>
              <w:right w:val="single" w:sz="4" w:space="0" w:color="auto"/>
            </w:tcBorders>
            <w:shd w:val="clear" w:color="auto" w:fill="448A99"/>
            <w:vAlign w:val="center"/>
            <w:hideMark/>
          </w:tcPr>
          <w:p w:rsidR="000E1EED" w:rsidRPr="00B75B77" w:rsidRDefault="000E1EED" w:rsidP="00707B64">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Estimated Free Ridership</w:t>
            </w:r>
          </w:p>
        </w:tc>
        <w:tc>
          <w:tcPr>
            <w:tcW w:w="1663" w:type="dxa"/>
            <w:vMerge w:val="restart"/>
            <w:tcBorders>
              <w:top w:val="single" w:sz="4" w:space="0" w:color="auto"/>
              <w:left w:val="single" w:sz="4" w:space="0" w:color="auto"/>
              <w:bottom w:val="single" w:sz="4" w:space="0" w:color="auto"/>
              <w:right w:val="single" w:sz="4" w:space="0" w:color="auto"/>
            </w:tcBorders>
            <w:shd w:val="clear" w:color="auto" w:fill="448A99"/>
            <w:vAlign w:val="center"/>
            <w:hideMark/>
          </w:tcPr>
          <w:p w:rsidR="000E1EED" w:rsidRPr="00B75B77" w:rsidRDefault="000E1EED" w:rsidP="00707B64">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Estimated Participant Spillover</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448A99"/>
            <w:vAlign w:val="center"/>
            <w:hideMark/>
          </w:tcPr>
          <w:p w:rsidR="000E1EED" w:rsidRPr="00B75B77" w:rsidRDefault="000E1EED" w:rsidP="00707B64">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NTG Ratio</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448A99"/>
            <w:vAlign w:val="center"/>
            <w:hideMark/>
          </w:tcPr>
          <w:p w:rsidR="000E1EED" w:rsidRPr="00B75B77" w:rsidRDefault="000E1EED" w:rsidP="00C363CE">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 xml:space="preserve">Observed </w:t>
            </w:r>
            <w:r w:rsidR="00C363CE" w:rsidRPr="00B75B77">
              <w:rPr>
                <w:rFonts w:ascii="Calibri" w:eastAsia="Times New Roman" w:hAnsi="Calibri"/>
                <w:bCs w:val="0"/>
                <w:sz w:val="18"/>
                <w:szCs w:val="18"/>
              </w:rPr>
              <w:t>CV</w:t>
            </w:r>
            <w:r w:rsidRPr="00B75B77">
              <w:rPr>
                <w:rFonts w:ascii="Calibri" w:eastAsia="Times New Roman" w:hAnsi="Calibri"/>
                <w:bCs w:val="0"/>
                <w:sz w:val="18"/>
                <w:szCs w:val="18"/>
              </w:rPr>
              <w:t xml:space="preserve"> or Proportion</w:t>
            </w:r>
          </w:p>
        </w:tc>
        <w:tc>
          <w:tcPr>
            <w:tcW w:w="1364" w:type="dxa"/>
            <w:vMerge w:val="restart"/>
            <w:tcBorders>
              <w:top w:val="single" w:sz="4" w:space="0" w:color="auto"/>
              <w:left w:val="single" w:sz="4" w:space="0" w:color="auto"/>
              <w:bottom w:val="single" w:sz="4" w:space="0" w:color="auto"/>
              <w:right w:val="single" w:sz="4" w:space="0" w:color="auto"/>
            </w:tcBorders>
            <w:shd w:val="clear" w:color="auto" w:fill="448A99"/>
            <w:vAlign w:val="center"/>
            <w:hideMark/>
          </w:tcPr>
          <w:p w:rsidR="000E1EED" w:rsidRPr="00B75B77" w:rsidRDefault="000E1EED" w:rsidP="00707B64">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Relative Precision</w:t>
            </w:r>
          </w:p>
        </w:tc>
      </w:tr>
      <w:tr w:rsidR="000E1EED" w:rsidRPr="00B75B77" w:rsidTr="002143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3" w:type="dxa"/>
            <w:vMerge/>
            <w:tcBorders>
              <w:top w:val="single" w:sz="4" w:space="0" w:color="auto"/>
              <w:left w:val="single" w:sz="4" w:space="0" w:color="auto"/>
              <w:bottom w:val="single" w:sz="4" w:space="0" w:color="auto"/>
              <w:right w:val="single" w:sz="4" w:space="0" w:color="auto"/>
            </w:tcBorders>
            <w:shd w:val="clear" w:color="auto" w:fill="448A99"/>
            <w:vAlign w:val="center"/>
            <w:hideMark/>
          </w:tcPr>
          <w:p w:rsidR="000E1EED" w:rsidRPr="00B75B77" w:rsidRDefault="000E1EED" w:rsidP="00707B64">
            <w:pPr>
              <w:keepNext/>
              <w:jc w:val="left"/>
              <w:rPr>
                <w:rFonts w:ascii="Calibri" w:eastAsia="Times New Roman" w:hAnsi="Calibri"/>
                <w:b w:val="0"/>
                <w:bCs w:val="0"/>
                <w:color w:val="000000"/>
                <w:sz w:val="18"/>
                <w:szCs w:val="18"/>
              </w:rPr>
            </w:pPr>
          </w:p>
        </w:tc>
        <w:tc>
          <w:tcPr>
            <w:tcW w:w="1710" w:type="dxa"/>
            <w:vMerge/>
            <w:tcBorders>
              <w:top w:val="single" w:sz="4" w:space="0" w:color="auto"/>
              <w:left w:val="single" w:sz="4" w:space="0" w:color="auto"/>
              <w:bottom w:val="single" w:sz="4" w:space="0" w:color="auto"/>
              <w:right w:val="single" w:sz="4" w:space="0" w:color="auto"/>
            </w:tcBorders>
            <w:shd w:val="clear" w:color="auto" w:fill="448A99"/>
            <w:vAlign w:val="center"/>
            <w:hideMark/>
          </w:tcPr>
          <w:p w:rsidR="000E1EED" w:rsidRPr="00B75B77" w:rsidRDefault="000E1EED" w:rsidP="00707B64">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18"/>
                <w:szCs w:val="18"/>
              </w:rPr>
            </w:pPr>
          </w:p>
        </w:tc>
        <w:tc>
          <w:tcPr>
            <w:tcW w:w="1663" w:type="dxa"/>
            <w:vMerge/>
            <w:tcBorders>
              <w:top w:val="single" w:sz="4" w:space="0" w:color="auto"/>
              <w:left w:val="single" w:sz="4" w:space="0" w:color="auto"/>
              <w:bottom w:val="single" w:sz="4" w:space="0" w:color="auto"/>
              <w:right w:val="single" w:sz="4" w:space="0" w:color="auto"/>
            </w:tcBorders>
            <w:shd w:val="clear" w:color="auto" w:fill="448A99"/>
            <w:vAlign w:val="center"/>
            <w:hideMark/>
          </w:tcPr>
          <w:p w:rsidR="000E1EED" w:rsidRPr="00B75B77" w:rsidRDefault="000E1EED" w:rsidP="00707B64">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18"/>
                <w:szCs w:val="18"/>
              </w:rPr>
            </w:pPr>
          </w:p>
        </w:tc>
        <w:tc>
          <w:tcPr>
            <w:tcW w:w="1174" w:type="dxa"/>
            <w:vMerge/>
            <w:tcBorders>
              <w:top w:val="single" w:sz="4" w:space="0" w:color="auto"/>
              <w:left w:val="single" w:sz="4" w:space="0" w:color="auto"/>
              <w:bottom w:val="single" w:sz="4" w:space="0" w:color="auto"/>
              <w:right w:val="single" w:sz="4" w:space="0" w:color="auto"/>
            </w:tcBorders>
            <w:shd w:val="clear" w:color="auto" w:fill="448A99"/>
            <w:vAlign w:val="center"/>
            <w:hideMark/>
          </w:tcPr>
          <w:p w:rsidR="000E1EED" w:rsidRPr="00B75B77" w:rsidRDefault="000E1EED" w:rsidP="00707B64">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18"/>
                <w:szCs w:val="18"/>
              </w:rPr>
            </w:pPr>
          </w:p>
        </w:tc>
        <w:tc>
          <w:tcPr>
            <w:tcW w:w="1440" w:type="dxa"/>
            <w:vMerge/>
            <w:tcBorders>
              <w:top w:val="single" w:sz="4" w:space="0" w:color="auto"/>
              <w:left w:val="single" w:sz="4" w:space="0" w:color="auto"/>
              <w:bottom w:val="single" w:sz="4" w:space="0" w:color="auto"/>
              <w:right w:val="single" w:sz="4" w:space="0" w:color="auto"/>
            </w:tcBorders>
            <w:shd w:val="clear" w:color="auto" w:fill="448A99"/>
            <w:vAlign w:val="center"/>
            <w:hideMark/>
          </w:tcPr>
          <w:p w:rsidR="000E1EED" w:rsidRPr="00B75B77" w:rsidRDefault="000E1EED" w:rsidP="00707B64">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18"/>
                <w:szCs w:val="18"/>
              </w:rPr>
            </w:pPr>
          </w:p>
        </w:tc>
        <w:tc>
          <w:tcPr>
            <w:tcW w:w="1364" w:type="dxa"/>
            <w:vMerge/>
            <w:tcBorders>
              <w:top w:val="single" w:sz="4" w:space="0" w:color="auto"/>
              <w:left w:val="single" w:sz="4" w:space="0" w:color="auto"/>
              <w:bottom w:val="single" w:sz="4" w:space="0" w:color="auto"/>
              <w:right w:val="single" w:sz="4" w:space="0" w:color="auto"/>
            </w:tcBorders>
            <w:shd w:val="clear" w:color="auto" w:fill="448A99"/>
            <w:vAlign w:val="center"/>
            <w:hideMark/>
          </w:tcPr>
          <w:p w:rsidR="000E1EED" w:rsidRPr="00B75B77" w:rsidRDefault="000E1EED" w:rsidP="00707B64">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18"/>
                <w:szCs w:val="18"/>
              </w:rPr>
            </w:pPr>
          </w:p>
        </w:tc>
      </w:tr>
      <w:tr w:rsidR="000E1EED" w:rsidRPr="00B75B77" w:rsidTr="002143B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3" w:type="dxa"/>
            <w:tcBorders>
              <w:top w:val="single" w:sz="4" w:space="0" w:color="auto"/>
              <w:left w:val="single" w:sz="4" w:space="0" w:color="448A99"/>
              <w:bottom w:val="single" w:sz="4" w:space="0" w:color="448A99"/>
              <w:right w:val="single" w:sz="4" w:space="0" w:color="448A99"/>
            </w:tcBorders>
            <w:noWrap/>
            <w:vAlign w:val="center"/>
            <w:hideMark/>
          </w:tcPr>
          <w:p w:rsidR="000E1EED" w:rsidRPr="00B75B77" w:rsidRDefault="000E1EED" w:rsidP="00707B64">
            <w:pPr>
              <w:keepNext/>
              <w:jc w:val="left"/>
              <w:rPr>
                <w:rFonts w:ascii="Calibri" w:eastAsia="Times New Roman" w:hAnsi="Calibri"/>
                <w:b w:val="0"/>
                <w:color w:val="000000"/>
                <w:sz w:val="18"/>
                <w:szCs w:val="18"/>
              </w:rPr>
            </w:pPr>
            <w:r w:rsidRPr="00B75B77">
              <w:rPr>
                <w:b w:val="0"/>
                <w:sz w:val="18"/>
                <w:szCs w:val="18"/>
              </w:rPr>
              <w:t>GNI Large</w:t>
            </w:r>
          </w:p>
        </w:tc>
        <w:tc>
          <w:tcPr>
            <w:tcW w:w="1710" w:type="dxa"/>
            <w:tcBorders>
              <w:top w:val="single" w:sz="4" w:space="0" w:color="auto"/>
              <w:left w:val="single" w:sz="4" w:space="0" w:color="448A99"/>
              <w:bottom w:val="single" w:sz="4" w:space="0" w:color="448A99"/>
              <w:right w:val="single" w:sz="4" w:space="0" w:color="448A99"/>
            </w:tcBorders>
            <w:vAlign w:val="center"/>
            <w:hideMark/>
          </w:tcPr>
          <w:p w:rsidR="000E1EED" w:rsidRPr="00B75B77" w:rsidRDefault="000E1EED" w:rsidP="00707B64">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sz w:val="18"/>
                <w:szCs w:val="18"/>
              </w:rPr>
              <w:t>0.64</w:t>
            </w:r>
          </w:p>
        </w:tc>
        <w:tc>
          <w:tcPr>
            <w:tcW w:w="1663" w:type="dxa"/>
            <w:tcBorders>
              <w:top w:val="single" w:sz="4" w:space="0" w:color="auto"/>
              <w:left w:val="single" w:sz="4" w:space="0" w:color="448A99"/>
              <w:bottom w:val="single" w:sz="4" w:space="0" w:color="448A99"/>
              <w:right w:val="single" w:sz="4" w:space="0" w:color="448A99"/>
            </w:tcBorders>
            <w:vAlign w:val="center"/>
            <w:hideMark/>
          </w:tcPr>
          <w:p w:rsidR="000E1EED" w:rsidRPr="00B75B77" w:rsidRDefault="000E1EED" w:rsidP="00707B64">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sz w:val="18"/>
                <w:szCs w:val="18"/>
              </w:rPr>
              <w:t>0.01</w:t>
            </w:r>
          </w:p>
        </w:tc>
        <w:tc>
          <w:tcPr>
            <w:tcW w:w="1174" w:type="dxa"/>
            <w:tcBorders>
              <w:top w:val="single" w:sz="4" w:space="0" w:color="auto"/>
              <w:left w:val="single" w:sz="4" w:space="0" w:color="448A99"/>
              <w:bottom w:val="single" w:sz="4" w:space="0" w:color="448A99"/>
              <w:right w:val="single" w:sz="4" w:space="0" w:color="448A99"/>
            </w:tcBorders>
            <w:vAlign w:val="center"/>
            <w:hideMark/>
          </w:tcPr>
          <w:p w:rsidR="000E1EED" w:rsidRPr="00B75B77" w:rsidRDefault="000E1EED" w:rsidP="00707B64">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sz w:val="18"/>
                <w:szCs w:val="18"/>
              </w:rPr>
              <w:t>0.37</w:t>
            </w:r>
          </w:p>
        </w:tc>
        <w:tc>
          <w:tcPr>
            <w:tcW w:w="1440" w:type="dxa"/>
            <w:tcBorders>
              <w:top w:val="single" w:sz="4" w:space="0" w:color="auto"/>
              <w:left w:val="single" w:sz="4" w:space="0" w:color="448A99"/>
              <w:bottom w:val="single" w:sz="4" w:space="0" w:color="448A99"/>
              <w:right w:val="single" w:sz="4" w:space="0" w:color="448A99"/>
            </w:tcBorders>
            <w:vAlign w:val="center"/>
            <w:hideMark/>
          </w:tcPr>
          <w:p w:rsidR="000E1EED" w:rsidRPr="00B75B77" w:rsidRDefault="000E1EED" w:rsidP="00707B64">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sz w:val="18"/>
                <w:szCs w:val="18"/>
              </w:rPr>
              <w:t>0.82</w:t>
            </w:r>
          </w:p>
        </w:tc>
        <w:tc>
          <w:tcPr>
            <w:tcW w:w="1364" w:type="dxa"/>
            <w:tcBorders>
              <w:top w:val="single" w:sz="4" w:space="0" w:color="auto"/>
              <w:left w:val="single" w:sz="4" w:space="0" w:color="448A99"/>
              <w:bottom w:val="single" w:sz="4" w:space="0" w:color="448A99"/>
              <w:right w:val="single" w:sz="4" w:space="0" w:color="448A99"/>
            </w:tcBorders>
            <w:vAlign w:val="center"/>
            <w:hideMark/>
          </w:tcPr>
          <w:p w:rsidR="000E1EED" w:rsidRPr="00B75B77" w:rsidRDefault="000E1EED" w:rsidP="00707B64">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sz w:val="18"/>
                <w:szCs w:val="18"/>
              </w:rPr>
              <w:t>51%</w:t>
            </w:r>
          </w:p>
        </w:tc>
      </w:tr>
      <w:tr w:rsidR="000E1EED" w:rsidRPr="00B75B77" w:rsidTr="002143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3" w:type="dxa"/>
            <w:tcBorders>
              <w:top w:val="single" w:sz="4" w:space="0" w:color="448A99"/>
              <w:left w:val="single" w:sz="4" w:space="0" w:color="448A99"/>
              <w:bottom w:val="single" w:sz="4" w:space="0" w:color="448A99"/>
              <w:right w:val="single" w:sz="4" w:space="0" w:color="448A99"/>
            </w:tcBorders>
            <w:noWrap/>
            <w:vAlign w:val="center"/>
            <w:hideMark/>
          </w:tcPr>
          <w:p w:rsidR="000E1EED" w:rsidRPr="00B75B77" w:rsidRDefault="000E1EED" w:rsidP="00707B64">
            <w:pPr>
              <w:keepNext/>
              <w:jc w:val="left"/>
              <w:rPr>
                <w:rFonts w:ascii="Calibri" w:eastAsia="Times New Roman" w:hAnsi="Calibri"/>
                <w:b w:val="0"/>
                <w:color w:val="000000"/>
                <w:sz w:val="18"/>
                <w:szCs w:val="18"/>
              </w:rPr>
            </w:pPr>
            <w:r w:rsidRPr="00B75B77">
              <w:rPr>
                <w:b w:val="0"/>
                <w:sz w:val="18"/>
                <w:szCs w:val="18"/>
              </w:rPr>
              <w:t>GNI Small</w:t>
            </w:r>
          </w:p>
        </w:tc>
        <w:tc>
          <w:tcPr>
            <w:tcW w:w="1710" w:type="dxa"/>
            <w:tcBorders>
              <w:top w:val="single" w:sz="4" w:space="0" w:color="448A99"/>
              <w:left w:val="single" w:sz="4" w:space="0" w:color="448A99"/>
              <w:bottom w:val="single" w:sz="4" w:space="0" w:color="448A99"/>
              <w:right w:val="single" w:sz="4" w:space="0" w:color="448A99"/>
            </w:tcBorders>
            <w:vAlign w:val="center"/>
            <w:hideMark/>
          </w:tcPr>
          <w:p w:rsidR="000E1EED" w:rsidRPr="00B75B77" w:rsidRDefault="000E1EED" w:rsidP="00707B64">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sz w:val="18"/>
                <w:szCs w:val="18"/>
              </w:rPr>
              <w:t>0.29</w:t>
            </w:r>
          </w:p>
        </w:tc>
        <w:tc>
          <w:tcPr>
            <w:tcW w:w="1663" w:type="dxa"/>
            <w:tcBorders>
              <w:top w:val="single" w:sz="4" w:space="0" w:color="448A99"/>
              <w:left w:val="single" w:sz="4" w:space="0" w:color="448A99"/>
              <w:bottom w:val="single" w:sz="4" w:space="0" w:color="448A99"/>
              <w:right w:val="single" w:sz="4" w:space="0" w:color="448A99"/>
            </w:tcBorders>
            <w:vAlign w:val="center"/>
            <w:hideMark/>
          </w:tcPr>
          <w:p w:rsidR="000E1EED" w:rsidRPr="00B75B77" w:rsidRDefault="000E1EED" w:rsidP="00707B64">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sz w:val="18"/>
                <w:szCs w:val="18"/>
              </w:rPr>
              <w:t>0.00</w:t>
            </w:r>
          </w:p>
        </w:tc>
        <w:tc>
          <w:tcPr>
            <w:tcW w:w="1174" w:type="dxa"/>
            <w:tcBorders>
              <w:top w:val="single" w:sz="4" w:space="0" w:color="448A99"/>
              <w:left w:val="single" w:sz="4" w:space="0" w:color="448A99"/>
              <w:bottom w:val="single" w:sz="4" w:space="0" w:color="448A99"/>
              <w:right w:val="single" w:sz="4" w:space="0" w:color="448A99"/>
            </w:tcBorders>
            <w:vAlign w:val="center"/>
            <w:hideMark/>
          </w:tcPr>
          <w:p w:rsidR="000E1EED" w:rsidRPr="00B75B77" w:rsidRDefault="000E1EED" w:rsidP="00707B64">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sz w:val="18"/>
                <w:szCs w:val="18"/>
              </w:rPr>
              <w:t>0.72</w:t>
            </w:r>
          </w:p>
        </w:tc>
        <w:tc>
          <w:tcPr>
            <w:tcW w:w="1440" w:type="dxa"/>
            <w:tcBorders>
              <w:top w:val="single" w:sz="4" w:space="0" w:color="448A99"/>
              <w:left w:val="single" w:sz="4" w:space="0" w:color="448A99"/>
              <w:bottom w:val="single" w:sz="4" w:space="0" w:color="448A99"/>
              <w:right w:val="single" w:sz="4" w:space="0" w:color="448A99"/>
            </w:tcBorders>
            <w:vAlign w:val="center"/>
            <w:hideMark/>
          </w:tcPr>
          <w:p w:rsidR="000E1EED" w:rsidRPr="00B75B77" w:rsidRDefault="000E1EED" w:rsidP="00707B64">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sz w:val="18"/>
                <w:szCs w:val="18"/>
              </w:rPr>
              <w:t>0.32</w:t>
            </w:r>
          </w:p>
        </w:tc>
        <w:tc>
          <w:tcPr>
            <w:tcW w:w="1364" w:type="dxa"/>
            <w:tcBorders>
              <w:top w:val="single" w:sz="4" w:space="0" w:color="448A99"/>
              <w:left w:val="single" w:sz="4" w:space="0" w:color="448A99"/>
              <w:bottom w:val="single" w:sz="4" w:space="0" w:color="448A99"/>
              <w:right w:val="single" w:sz="4" w:space="0" w:color="448A99"/>
            </w:tcBorders>
            <w:vAlign w:val="center"/>
            <w:hideMark/>
          </w:tcPr>
          <w:p w:rsidR="000E1EED" w:rsidRPr="00B75B77" w:rsidRDefault="000E1EED" w:rsidP="00707B64">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sz w:val="18"/>
                <w:szCs w:val="18"/>
              </w:rPr>
              <w:t>9%</w:t>
            </w:r>
          </w:p>
        </w:tc>
      </w:tr>
      <w:tr w:rsidR="000E1EED" w:rsidRPr="00B75B77" w:rsidTr="002143B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3" w:type="dxa"/>
            <w:tcBorders>
              <w:top w:val="single" w:sz="4" w:space="0" w:color="448A99"/>
              <w:left w:val="single" w:sz="4" w:space="0" w:color="448A99"/>
              <w:bottom w:val="single" w:sz="4" w:space="0" w:color="448A99"/>
              <w:right w:val="single" w:sz="4" w:space="0" w:color="448A99"/>
            </w:tcBorders>
            <w:noWrap/>
            <w:vAlign w:val="center"/>
            <w:hideMark/>
          </w:tcPr>
          <w:p w:rsidR="000E1EED" w:rsidRPr="00B75B77" w:rsidRDefault="000E1EED" w:rsidP="00707B64">
            <w:pPr>
              <w:keepNext/>
              <w:jc w:val="left"/>
              <w:rPr>
                <w:rFonts w:ascii="Calibri" w:eastAsia="Times New Roman" w:hAnsi="Calibri"/>
                <w:color w:val="000000"/>
                <w:sz w:val="18"/>
                <w:szCs w:val="18"/>
              </w:rPr>
            </w:pPr>
            <w:r w:rsidRPr="00B75B77">
              <w:rPr>
                <w:rFonts w:ascii="Calibri" w:eastAsia="Times New Roman" w:hAnsi="Calibri"/>
                <w:caps/>
                <w:color w:val="000000"/>
                <w:sz w:val="18"/>
                <w:szCs w:val="18"/>
              </w:rPr>
              <w:t>Program Total</w:t>
            </w:r>
          </w:p>
        </w:tc>
        <w:tc>
          <w:tcPr>
            <w:tcW w:w="1710" w:type="dxa"/>
            <w:tcBorders>
              <w:top w:val="single" w:sz="4" w:space="0" w:color="448A99"/>
              <w:left w:val="single" w:sz="4" w:space="0" w:color="448A99"/>
              <w:bottom w:val="single" w:sz="4" w:space="0" w:color="448A99"/>
              <w:right w:val="single" w:sz="4" w:space="0" w:color="448A99"/>
            </w:tcBorders>
            <w:vAlign w:val="center"/>
            <w:hideMark/>
          </w:tcPr>
          <w:p w:rsidR="000E1EED" w:rsidRPr="00B75B77" w:rsidRDefault="000E1EED" w:rsidP="00707B64">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color w:val="000000"/>
                <w:sz w:val="18"/>
                <w:szCs w:val="18"/>
              </w:rPr>
            </w:pPr>
            <w:r w:rsidRPr="00B75B77">
              <w:rPr>
                <w:rFonts w:ascii="Calibri" w:hAnsi="Calibri"/>
                <w:b/>
                <w:sz w:val="18"/>
                <w:szCs w:val="18"/>
              </w:rPr>
              <w:t>0.58</w:t>
            </w:r>
          </w:p>
        </w:tc>
        <w:tc>
          <w:tcPr>
            <w:tcW w:w="1663" w:type="dxa"/>
            <w:tcBorders>
              <w:top w:val="single" w:sz="4" w:space="0" w:color="448A99"/>
              <w:left w:val="single" w:sz="4" w:space="0" w:color="448A99"/>
              <w:bottom w:val="single" w:sz="4" w:space="0" w:color="448A99"/>
              <w:right w:val="single" w:sz="4" w:space="0" w:color="448A99"/>
            </w:tcBorders>
            <w:vAlign w:val="center"/>
            <w:hideMark/>
          </w:tcPr>
          <w:p w:rsidR="000E1EED" w:rsidRPr="00B75B77" w:rsidRDefault="000E1EED" w:rsidP="00707B64">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color w:val="000000"/>
                <w:sz w:val="18"/>
                <w:szCs w:val="18"/>
              </w:rPr>
            </w:pPr>
            <w:r w:rsidRPr="00B75B77">
              <w:rPr>
                <w:rFonts w:ascii="Calibri" w:hAnsi="Calibri"/>
                <w:b/>
                <w:sz w:val="18"/>
                <w:szCs w:val="18"/>
              </w:rPr>
              <w:t>0.01</w:t>
            </w:r>
          </w:p>
        </w:tc>
        <w:tc>
          <w:tcPr>
            <w:tcW w:w="1174" w:type="dxa"/>
            <w:tcBorders>
              <w:top w:val="single" w:sz="4" w:space="0" w:color="448A99"/>
              <w:left w:val="single" w:sz="4" w:space="0" w:color="448A99"/>
              <w:bottom w:val="single" w:sz="4" w:space="0" w:color="448A99"/>
              <w:right w:val="single" w:sz="4" w:space="0" w:color="448A99"/>
            </w:tcBorders>
            <w:vAlign w:val="center"/>
            <w:hideMark/>
          </w:tcPr>
          <w:p w:rsidR="000E1EED" w:rsidRPr="00B75B77" w:rsidRDefault="000E1EED" w:rsidP="00707B64">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color w:val="000000"/>
                <w:sz w:val="18"/>
                <w:szCs w:val="18"/>
              </w:rPr>
            </w:pPr>
            <w:r w:rsidRPr="00B75B77">
              <w:rPr>
                <w:rFonts w:ascii="Calibri" w:hAnsi="Calibri"/>
                <w:b/>
                <w:sz w:val="18"/>
                <w:szCs w:val="18"/>
              </w:rPr>
              <w:t>0.43</w:t>
            </w:r>
          </w:p>
        </w:tc>
        <w:tc>
          <w:tcPr>
            <w:tcW w:w="1440" w:type="dxa"/>
            <w:tcBorders>
              <w:top w:val="single" w:sz="4" w:space="0" w:color="448A99"/>
              <w:left w:val="single" w:sz="4" w:space="0" w:color="448A99"/>
              <w:bottom w:val="single" w:sz="4" w:space="0" w:color="448A99"/>
              <w:right w:val="single" w:sz="4" w:space="0" w:color="448A99"/>
            </w:tcBorders>
            <w:vAlign w:val="center"/>
            <w:hideMark/>
          </w:tcPr>
          <w:p w:rsidR="000E1EED" w:rsidRPr="00B75B77" w:rsidRDefault="00864276" w:rsidP="00707B64">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color w:val="000000"/>
                <w:sz w:val="18"/>
                <w:szCs w:val="18"/>
              </w:rPr>
            </w:pPr>
            <w:r w:rsidRPr="00B75B77">
              <w:rPr>
                <w:rFonts w:ascii="Calibri" w:eastAsia="Times New Roman" w:hAnsi="Calibri"/>
                <w:b/>
                <w:color w:val="000000"/>
                <w:sz w:val="18"/>
                <w:szCs w:val="18"/>
              </w:rPr>
              <w:t>N/A</w:t>
            </w:r>
          </w:p>
        </w:tc>
        <w:tc>
          <w:tcPr>
            <w:tcW w:w="1364" w:type="dxa"/>
            <w:tcBorders>
              <w:top w:val="single" w:sz="4" w:space="0" w:color="448A99"/>
              <w:left w:val="single" w:sz="4" w:space="0" w:color="448A99"/>
              <w:bottom w:val="single" w:sz="4" w:space="0" w:color="448A99"/>
              <w:right w:val="single" w:sz="4" w:space="0" w:color="448A99"/>
            </w:tcBorders>
            <w:vAlign w:val="center"/>
            <w:hideMark/>
          </w:tcPr>
          <w:p w:rsidR="000E1EED" w:rsidRPr="00B75B77" w:rsidRDefault="00864276" w:rsidP="00707B64">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color w:val="000000"/>
                <w:sz w:val="18"/>
                <w:szCs w:val="18"/>
              </w:rPr>
            </w:pPr>
            <w:r w:rsidRPr="00B75B77">
              <w:rPr>
                <w:rFonts w:ascii="Calibri" w:eastAsia="Times New Roman" w:hAnsi="Calibri"/>
                <w:b/>
                <w:color w:val="000000"/>
                <w:sz w:val="18"/>
                <w:szCs w:val="18"/>
              </w:rPr>
              <w:t>41%</w:t>
            </w:r>
          </w:p>
        </w:tc>
      </w:tr>
    </w:tbl>
    <w:p w:rsidR="000E1EED" w:rsidRPr="00B75B77" w:rsidRDefault="000E1EED" w:rsidP="00707B64">
      <w:pPr>
        <w:pStyle w:val="Source"/>
        <w:keepNext/>
        <w:spacing w:before="20" w:after="20"/>
        <w:ind w:left="0" w:firstLine="0"/>
        <w:rPr>
          <w:i w:val="0"/>
        </w:rPr>
      </w:pPr>
      <w:r w:rsidRPr="00B75B77">
        <w:rPr>
          <w:i w:val="0"/>
        </w:rPr>
        <w:t xml:space="preserve">Note: </w:t>
      </w:r>
      <w:r w:rsidRPr="00B75B77">
        <w:rPr>
          <w:rFonts w:ascii="Calibri" w:hAnsi="Calibri"/>
          <w:i w:val="0"/>
          <w:iCs/>
          <w:color w:val="000000"/>
          <w:szCs w:val="18"/>
        </w:rPr>
        <w:t>Values in tables may not reconcile exactly with the sum of more detailed level results or previously reported results due to rounding.</w:t>
      </w:r>
    </w:p>
    <w:p w:rsidR="000E1EED" w:rsidRPr="00B75B77" w:rsidRDefault="000E1EED" w:rsidP="002143BE">
      <w:pPr>
        <w:pStyle w:val="Source"/>
        <w:keepNext/>
        <w:spacing w:after="120"/>
        <w:ind w:left="0" w:firstLine="0"/>
      </w:pPr>
      <w:r w:rsidRPr="00B75B77">
        <w:t>Source: Navigant analysis</w:t>
      </w:r>
    </w:p>
    <w:p w:rsidR="000E1EED" w:rsidRPr="00B75B77" w:rsidRDefault="000E1EED" w:rsidP="00963027">
      <w:pPr>
        <w:pStyle w:val="Heading2"/>
        <w:keepNext/>
      </w:pPr>
      <w:bookmarkStart w:id="796" w:name="_Toc466413418"/>
      <w:r w:rsidRPr="00B75B77">
        <w:t>Process Evaluation</w:t>
      </w:r>
      <w:bookmarkEnd w:id="796"/>
    </w:p>
    <w:p w:rsidR="000E1EED" w:rsidRPr="00B75B77" w:rsidRDefault="000E1EED" w:rsidP="00707B64">
      <w:r w:rsidRPr="00B75B77">
        <w:t xml:space="preserve">The evaluation team conducted multiple research activities in support of the SEI PY7 process evaluation. Navigant evaluated the SEI GNI and C&amp;I participant groups together; thus, the results of the process evaluation are presented identically in </w:t>
      </w:r>
      <w:r w:rsidR="00822ED4" w:rsidRPr="00B75B77">
        <w:t>both SEI sections of this report.</w:t>
      </w:r>
    </w:p>
    <w:p w:rsidR="000E1EED" w:rsidRPr="00B75B77" w:rsidRDefault="000E1EED" w:rsidP="00963027">
      <w:pPr>
        <w:keepNext/>
        <w:rPr>
          <w:color w:val="000000"/>
        </w:rPr>
      </w:pPr>
    </w:p>
    <w:p w:rsidR="000E1EED" w:rsidRPr="00B75B77" w:rsidRDefault="000E1EED" w:rsidP="00707B64">
      <w:pPr>
        <w:pStyle w:val="Heading3"/>
      </w:pPr>
      <w:bookmarkStart w:id="797" w:name="_Toc466413419"/>
      <w:r w:rsidRPr="00B75B77">
        <w:t>Process Evaluation Methodology</w:t>
      </w:r>
      <w:bookmarkEnd w:id="797"/>
      <w:r w:rsidRPr="00B75B77">
        <w:t xml:space="preserve"> </w:t>
      </w:r>
    </w:p>
    <w:p w:rsidR="000E1EED" w:rsidRPr="00B75B77" w:rsidRDefault="000E1EED" w:rsidP="00707B64">
      <w:r w:rsidRPr="00B75B77">
        <w:t>The process evaluation research activities included the following:</w:t>
      </w:r>
    </w:p>
    <w:p w:rsidR="000E1EED" w:rsidRPr="00B75B77" w:rsidRDefault="000E1EED" w:rsidP="00707B64"/>
    <w:p w:rsidR="000E1EED" w:rsidRPr="00B75B77" w:rsidRDefault="000E1EED" w:rsidP="009E08FB">
      <w:pPr>
        <w:pStyle w:val="ListParagraph"/>
        <w:numPr>
          <w:ilvl w:val="0"/>
          <w:numId w:val="84"/>
        </w:numPr>
        <w:spacing w:after="200"/>
        <w:jc w:val="left"/>
      </w:pPr>
      <w:r w:rsidRPr="00B75B77">
        <w:t>Program marketing plan review</w:t>
      </w:r>
    </w:p>
    <w:p w:rsidR="000E1EED" w:rsidRPr="00B75B77" w:rsidRDefault="000E1EED" w:rsidP="009E08FB">
      <w:pPr>
        <w:pStyle w:val="ListParagraph"/>
        <w:numPr>
          <w:ilvl w:val="0"/>
          <w:numId w:val="84"/>
        </w:numPr>
        <w:spacing w:after="200"/>
        <w:jc w:val="left"/>
      </w:pPr>
      <w:r w:rsidRPr="00B75B77">
        <w:t>Tracking system review</w:t>
      </w:r>
    </w:p>
    <w:p w:rsidR="000E1EED" w:rsidRPr="00B75B77" w:rsidRDefault="000E1EED" w:rsidP="009E08FB">
      <w:pPr>
        <w:pStyle w:val="ListParagraph"/>
        <w:numPr>
          <w:ilvl w:val="0"/>
          <w:numId w:val="84"/>
        </w:numPr>
        <w:spacing w:after="200"/>
        <w:jc w:val="left"/>
      </w:pPr>
      <w:r w:rsidRPr="00B75B77">
        <w:t xml:space="preserve">Interviews with </w:t>
      </w:r>
      <w:r w:rsidR="00193BBB" w:rsidRPr="00B75B77">
        <w:t>three</w:t>
      </w:r>
      <w:r w:rsidRPr="00B75B77">
        <w:t xml:space="preserve"> PECO program management staff, and four implementation contractor staff</w:t>
      </w:r>
    </w:p>
    <w:p w:rsidR="000E1EED" w:rsidRPr="00B75B77" w:rsidRDefault="000E1EED" w:rsidP="009E08FB">
      <w:pPr>
        <w:pStyle w:val="ListParagraph"/>
        <w:numPr>
          <w:ilvl w:val="0"/>
          <w:numId w:val="84"/>
        </w:numPr>
        <w:spacing w:after="200"/>
        <w:jc w:val="left"/>
      </w:pPr>
      <w:r w:rsidRPr="00B75B77">
        <w:t>Seven interviews with distributors and other market actors</w:t>
      </w:r>
    </w:p>
    <w:p w:rsidR="000E1EED" w:rsidRPr="00B75B77" w:rsidRDefault="000E1EED" w:rsidP="009E08FB">
      <w:pPr>
        <w:pStyle w:val="ListParagraph"/>
        <w:numPr>
          <w:ilvl w:val="0"/>
          <w:numId w:val="84"/>
        </w:numPr>
        <w:spacing w:after="200"/>
        <w:jc w:val="left"/>
      </w:pPr>
      <w:r w:rsidRPr="00B75B77">
        <w:t>Online surveys with 35 participating GNI customers</w:t>
      </w:r>
    </w:p>
    <w:p w:rsidR="000E1EED" w:rsidRPr="00B75B77" w:rsidRDefault="000E1EED" w:rsidP="00707B64">
      <w:pPr>
        <w:spacing w:after="200"/>
        <w:jc w:val="left"/>
      </w:pPr>
      <w:r w:rsidRPr="00B75B77">
        <w:t xml:space="preserve">The sampling strategy for the process evaluation activities are presented in </w:t>
      </w:r>
      <w:r w:rsidR="00AE3DED" w:rsidRPr="00B75B77">
        <w:fldChar w:fldCharType="begin"/>
      </w:r>
      <w:r w:rsidR="00AE3DED" w:rsidRPr="00B75B77">
        <w:instrText xml:space="preserve"> REF _Ref464223684 \h </w:instrText>
      </w:r>
      <w:r w:rsidR="00B75B77">
        <w:instrText xml:space="preserve"> \* MERGEFORMAT </w:instrText>
      </w:r>
      <w:r w:rsidR="00AE3DED" w:rsidRPr="00B75B77">
        <w:fldChar w:fldCharType="separate"/>
      </w:r>
      <w:r w:rsidR="0004016D" w:rsidRPr="00B75B77">
        <w:t xml:space="preserve">Table </w:t>
      </w:r>
      <w:r w:rsidR="0004016D">
        <w:rPr>
          <w:noProof/>
        </w:rPr>
        <w:t>12</w:t>
      </w:r>
      <w:r w:rsidR="0004016D" w:rsidRPr="00B75B77">
        <w:rPr>
          <w:noProof/>
        </w:rPr>
        <w:noBreakHyphen/>
      </w:r>
      <w:r w:rsidR="0004016D">
        <w:rPr>
          <w:noProof/>
        </w:rPr>
        <w:t>8</w:t>
      </w:r>
      <w:r w:rsidR="00AE3DED" w:rsidRPr="00B75B77">
        <w:fldChar w:fldCharType="end"/>
      </w:r>
      <w:r w:rsidR="00AE3DED" w:rsidRPr="00B75B77">
        <w:t>.</w:t>
      </w:r>
    </w:p>
    <w:p w:rsidR="000E1EED" w:rsidRPr="00B75B77" w:rsidRDefault="000E1EED" w:rsidP="00AE45CC">
      <w:pPr>
        <w:pStyle w:val="Caption"/>
      </w:pPr>
      <w:bookmarkStart w:id="798" w:name="_Ref464223684"/>
      <w:bookmarkStart w:id="799" w:name="_Toc466413605"/>
      <w:r w:rsidRPr="00B75B77">
        <w:t xml:space="preserve">Table </w:t>
      </w:r>
      <w:fldSimple w:instr=" STYLEREF 1 \s ">
        <w:r w:rsidR="0004016D">
          <w:rPr>
            <w:noProof/>
          </w:rPr>
          <w:t>12</w:t>
        </w:r>
      </w:fldSimple>
      <w:r w:rsidR="00F1144C" w:rsidRPr="00B75B77">
        <w:noBreakHyphen/>
      </w:r>
      <w:fldSimple w:instr=" SEQ Table \* ARABIC \s 1 ">
        <w:r w:rsidR="0004016D">
          <w:rPr>
            <w:noProof/>
          </w:rPr>
          <w:t>8</w:t>
        </w:r>
      </w:fldSimple>
      <w:bookmarkEnd w:id="798"/>
      <w:r w:rsidRPr="00B75B77">
        <w:t>: Smart Equipment Incentives (GNI) Process Sampling Strategy for PY7</w:t>
      </w:r>
      <w:bookmarkEnd w:id="799"/>
      <w:r w:rsidRPr="00B75B77">
        <w:t xml:space="preserve"> </w:t>
      </w:r>
    </w:p>
    <w:tbl>
      <w:tblPr>
        <w:tblStyle w:val="MediumShading1-Accent5"/>
        <w:tblW w:w="5195" w:type="pct"/>
        <w:tblInd w:w="-252"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451"/>
        <w:gridCol w:w="1295"/>
        <w:gridCol w:w="1200"/>
        <w:gridCol w:w="1104"/>
        <w:gridCol w:w="832"/>
        <w:gridCol w:w="1013"/>
        <w:gridCol w:w="1383"/>
        <w:gridCol w:w="1671"/>
      </w:tblGrid>
      <w:tr w:rsidR="000E1EED" w:rsidRPr="00B75B77" w:rsidTr="004170FC">
        <w:trPr>
          <w:cnfStyle w:val="100000000000" w:firstRow="1" w:lastRow="0" w:firstColumn="0" w:lastColumn="0" w:oddVBand="0" w:evenVBand="0" w:oddHBand="0"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729" w:type="pct"/>
            <w:tcBorders>
              <w:top w:val="single" w:sz="4" w:space="0" w:color="auto"/>
              <w:left w:val="single" w:sz="4" w:space="0" w:color="auto"/>
              <w:bottom w:val="single" w:sz="4" w:space="0" w:color="auto"/>
              <w:right w:val="single" w:sz="4" w:space="0" w:color="auto"/>
            </w:tcBorders>
            <w:shd w:val="clear" w:color="auto" w:fill="448A99"/>
            <w:vAlign w:val="center"/>
          </w:tcPr>
          <w:p w:rsidR="000E1EED" w:rsidRPr="00B75B77" w:rsidRDefault="000E1EED" w:rsidP="00707B64">
            <w:pPr>
              <w:jc w:val="left"/>
              <w:rPr>
                <w:bCs w:val="0"/>
                <w:sz w:val="18"/>
                <w:szCs w:val="18"/>
              </w:rPr>
            </w:pPr>
            <w:r w:rsidRPr="00B75B77">
              <w:rPr>
                <w:bCs w:val="0"/>
                <w:sz w:val="18"/>
                <w:szCs w:val="18"/>
              </w:rPr>
              <w:t>Stratum</w:t>
            </w:r>
          </w:p>
        </w:tc>
        <w:tc>
          <w:tcPr>
            <w:tcW w:w="651" w:type="pct"/>
            <w:tcBorders>
              <w:top w:val="single" w:sz="4" w:space="0" w:color="auto"/>
              <w:left w:val="single" w:sz="4" w:space="0" w:color="auto"/>
              <w:bottom w:val="single" w:sz="4" w:space="0" w:color="auto"/>
              <w:right w:val="single" w:sz="4" w:space="0" w:color="auto"/>
            </w:tcBorders>
            <w:shd w:val="clear" w:color="auto" w:fill="448A99"/>
            <w:vAlign w:val="center"/>
          </w:tcPr>
          <w:p w:rsidR="000E1EED" w:rsidRPr="00B75B77" w:rsidRDefault="000E1EED" w:rsidP="00594255">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B75B77">
              <w:rPr>
                <w:bCs w:val="0"/>
                <w:sz w:val="18"/>
                <w:szCs w:val="18"/>
              </w:rPr>
              <w:t>Population Size</w:t>
            </w:r>
          </w:p>
        </w:tc>
        <w:tc>
          <w:tcPr>
            <w:tcW w:w="603" w:type="pct"/>
            <w:tcBorders>
              <w:top w:val="single" w:sz="4" w:space="0" w:color="auto"/>
              <w:left w:val="single" w:sz="4" w:space="0" w:color="auto"/>
              <w:bottom w:val="single" w:sz="4" w:space="0" w:color="auto"/>
              <w:right w:val="single" w:sz="4" w:space="0" w:color="auto"/>
            </w:tcBorders>
            <w:shd w:val="clear" w:color="auto" w:fill="448A99"/>
            <w:vAlign w:val="center"/>
          </w:tcPr>
          <w:p w:rsidR="000E1EED" w:rsidRPr="00B75B77" w:rsidRDefault="000E1EED" w:rsidP="00594255">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B75B77">
              <w:rPr>
                <w:bCs w:val="0"/>
                <w:sz w:val="18"/>
                <w:szCs w:val="18"/>
              </w:rPr>
              <w:t>Assumed Proportion or CV in Sample Design</w:t>
            </w:r>
          </w:p>
        </w:tc>
        <w:tc>
          <w:tcPr>
            <w:tcW w:w="555" w:type="pct"/>
            <w:tcBorders>
              <w:top w:val="single" w:sz="4" w:space="0" w:color="auto"/>
              <w:left w:val="single" w:sz="4" w:space="0" w:color="auto"/>
              <w:bottom w:val="single" w:sz="4" w:space="0" w:color="auto"/>
              <w:right w:val="single" w:sz="4" w:space="0" w:color="auto"/>
            </w:tcBorders>
            <w:shd w:val="clear" w:color="auto" w:fill="448A99"/>
            <w:vAlign w:val="center"/>
          </w:tcPr>
          <w:p w:rsidR="000E1EED" w:rsidRPr="00B75B77" w:rsidRDefault="000E1EED" w:rsidP="00594255">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B75B77">
              <w:rPr>
                <w:bCs w:val="0"/>
                <w:sz w:val="18"/>
                <w:szCs w:val="18"/>
              </w:rPr>
              <w:t xml:space="preserve">Assumed Levels of Confidence </w:t>
            </w:r>
            <w:r w:rsidR="00C363CE" w:rsidRPr="00B75B77">
              <w:rPr>
                <w:bCs w:val="0"/>
                <w:sz w:val="18"/>
                <w:szCs w:val="18"/>
              </w:rPr>
              <w:t>and</w:t>
            </w:r>
            <w:r w:rsidRPr="00B75B77">
              <w:rPr>
                <w:bCs w:val="0"/>
                <w:sz w:val="18"/>
                <w:szCs w:val="18"/>
              </w:rPr>
              <w:t xml:space="preserve"> Precision</w:t>
            </w:r>
          </w:p>
        </w:tc>
        <w:tc>
          <w:tcPr>
            <w:tcW w:w="418" w:type="pct"/>
            <w:tcBorders>
              <w:top w:val="single" w:sz="4" w:space="0" w:color="auto"/>
              <w:left w:val="single" w:sz="4" w:space="0" w:color="auto"/>
              <w:bottom w:val="single" w:sz="4" w:space="0" w:color="auto"/>
              <w:right w:val="single" w:sz="4" w:space="0" w:color="auto"/>
            </w:tcBorders>
            <w:shd w:val="clear" w:color="auto" w:fill="448A99"/>
            <w:vAlign w:val="center"/>
          </w:tcPr>
          <w:p w:rsidR="000E1EED" w:rsidRPr="00B75B77" w:rsidRDefault="000E1EED" w:rsidP="00594255">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B75B77">
              <w:rPr>
                <w:bCs w:val="0"/>
                <w:sz w:val="18"/>
                <w:szCs w:val="18"/>
              </w:rPr>
              <w:t>Target Sample Size</w:t>
            </w:r>
          </w:p>
        </w:tc>
        <w:tc>
          <w:tcPr>
            <w:tcW w:w="509" w:type="pct"/>
            <w:tcBorders>
              <w:top w:val="single" w:sz="4" w:space="0" w:color="auto"/>
              <w:left w:val="single" w:sz="4" w:space="0" w:color="auto"/>
              <w:bottom w:val="single" w:sz="4" w:space="0" w:color="auto"/>
              <w:right w:val="single" w:sz="4" w:space="0" w:color="auto"/>
            </w:tcBorders>
            <w:shd w:val="clear" w:color="auto" w:fill="448A99"/>
            <w:vAlign w:val="center"/>
          </w:tcPr>
          <w:p w:rsidR="000E1EED" w:rsidRPr="00B75B77" w:rsidRDefault="000E1EED" w:rsidP="00594255">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B75B77">
              <w:rPr>
                <w:bCs w:val="0"/>
                <w:sz w:val="18"/>
                <w:szCs w:val="18"/>
              </w:rPr>
              <w:t>Achieved Sample Size</w:t>
            </w:r>
          </w:p>
        </w:tc>
        <w:tc>
          <w:tcPr>
            <w:tcW w:w="695" w:type="pct"/>
            <w:tcBorders>
              <w:top w:val="single" w:sz="4" w:space="0" w:color="auto"/>
              <w:left w:val="single" w:sz="4" w:space="0" w:color="auto"/>
              <w:bottom w:val="single" w:sz="4" w:space="0" w:color="auto"/>
              <w:right w:val="single" w:sz="4" w:space="0" w:color="auto"/>
            </w:tcBorders>
            <w:shd w:val="clear" w:color="auto" w:fill="448A99"/>
            <w:vAlign w:val="center"/>
          </w:tcPr>
          <w:p w:rsidR="000E1EED" w:rsidRPr="00B75B77" w:rsidRDefault="000E1EED" w:rsidP="00594255">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B75B77">
              <w:rPr>
                <w:bCs w:val="0"/>
                <w:sz w:val="18"/>
                <w:szCs w:val="18"/>
              </w:rPr>
              <w:t>Percent</w:t>
            </w:r>
            <w:r w:rsidR="00C363CE" w:rsidRPr="00B75B77">
              <w:rPr>
                <w:bCs w:val="0"/>
                <w:sz w:val="18"/>
                <w:szCs w:val="18"/>
              </w:rPr>
              <w:t>age</w:t>
            </w:r>
            <w:r w:rsidRPr="00B75B77">
              <w:rPr>
                <w:bCs w:val="0"/>
                <w:sz w:val="18"/>
                <w:szCs w:val="18"/>
              </w:rPr>
              <w:t xml:space="preserve"> of Population Frame Contacted to Achieve Sample</w:t>
            </w:r>
          </w:p>
        </w:tc>
        <w:tc>
          <w:tcPr>
            <w:tcW w:w="840" w:type="pct"/>
            <w:tcBorders>
              <w:top w:val="single" w:sz="4" w:space="0" w:color="auto"/>
              <w:left w:val="single" w:sz="4" w:space="0" w:color="auto"/>
              <w:bottom w:val="single" w:sz="4" w:space="0" w:color="auto"/>
              <w:right w:val="single" w:sz="4" w:space="0" w:color="auto"/>
            </w:tcBorders>
            <w:shd w:val="clear" w:color="auto" w:fill="448A99"/>
            <w:vAlign w:val="center"/>
          </w:tcPr>
          <w:p w:rsidR="000E1EED" w:rsidRPr="00B75B77" w:rsidRDefault="00EA1A8E" w:rsidP="002143BE">
            <w:pPr>
              <w:jc w:val="left"/>
              <w:cnfStyle w:val="100000000000" w:firstRow="1" w:lastRow="0" w:firstColumn="0" w:lastColumn="0" w:oddVBand="0" w:evenVBand="0" w:oddHBand="0" w:evenHBand="0" w:firstRowFirstColumn="0" w:firstRowLastColumn="0" w:lastRowFirstColumn="0" w:lastRowLastColumn="0"/>
              <w:rPr>
                <w:bCs w:val="0"/>
                <w:sz w:val="18"/>
                <w:szCs w:val="18"/>
              </w:rPr>
            </w:pPr>
            <w:r w:rsidRPr="00B75B77">
              <w:rPr>
                <w:bCs w:val="0"/>
                <w:sz w:val="18"/>
                <w:szCs w:val="18"/>
              </w:rPr>
              <w:t>Used for</w:t>
            </w:r>
            <w:r w:rsidR="000E1EED" w:rsidRPr="00B75B77">
              <w:rPr>
                <w:bCs w:val="0"/>
                <w:sz w:val="18"/>
                <w:szCs w:val="18"/>
              </w:rPr>
              <w:t xml:space="preserve"> Evaluation Activities (Impact, Process, NTG)</w:t>
            </w:r>
          </w:p>
        </w:tc>
      </w:tr>
      <w:tr w:rsidR="000E1EED" w:rsidRPr="00B75B77" w:rsidTr="004170F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29" w:type="pct"/>
            <w:tcBorders>
              <w:top w:val="single" w:sz="4" w:space="0" w:color="auto"/>
              <w:left w:val="single" w:sz="4" w:space="0" w:color="448A99"/>
              <w:bottom w:val="single" w:sz="4" w:space="0" w:color="448A99"/>
              <w:right w:val="single" w:sz="4" w:space="0" w:color="448A99"/>
            </w:tcBorders>
            <w:vAlign w:val="center"/>
          </w:tcPr>
          <w:p w:rsidR="000E1EED" w:rsidRPr="00B75B77" w:rsidRDefault="000E1EED" w:rsidP="00707B64">
            <w:pPr>
              <w:jc w:val="left"/>
              <w:rPr>
                <w:b w:val="0"/>
                <w:sz w:val="18"/>
                <w:szCs w:val="18"/>
              </w:rPr>
            </w:pPr>
            <w:r w:rsidRPr="00B75B77">
              <w:rPr>
                <w:b w:val="0"/>
                <w:sz w:val="18"/>
                <w:szCs w:val="18"/>
              </w:rPr>
              <w:t>PECO Program Managers</w:t>
            </w:r>
          </w:p>
        </w:tc>
        <w:tc>
          <w:tcPr>
            <w:tcW w:w="651" w:type="pct"/>
            <w:tcBorders>
              <w:top w:val="single" w:sz="4" w:space="0" w:color="auto"/>
              <w:left w:val="single" w:sz="4" w:space="0" w:color="448A99"/>
              <w:bottom w:val="single" w:sz="4" w:space="0" w:color="448A99"/>
              <w:right w:val="single" w:sz="4" w:space="0" w:color="448A99"/>
            </w:tcBorders>
            <w:vAlign w:val="center"/>
          </w:tcPr>
          <w:p w:rsidR="000E1EED" w:rsidRPr="00B75B77" w:rsidRDefault="000E1EED" w:rsidP="00707B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3</w:t>
            </w:r>
          </w:p>
        </w:tc>
        <w:tc>
          <w:tcPr>
            <w:tcW w:w="603" w:type="pct"/>
            <w:tcBorders>
              <w:top w:val="single" w:sz="4" w:space="0" w:color="auto"/>
              <w:left w:val="single" w:sz="4" w:space="0" w:color="448A99"/>
              <w:bottom w:val="single" w:sz="4" w:space="0" w:color="448A99"/>
              <w:right w:val="single" w:sz="4" w:space="0" w:color="448A99"/>
            </w:tcBorders>
            <w:vAlign w:val="center"/>
          </w:tcPr>
          <w:p w:rsidR="000E1EED" w:rsidRPr="00B75B77" w:rsidRDefault="00A377A2" w:rsidP="00707B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N/A</w:t>
            </w:r>
          </w:p>
        </w:tc>
        <w:tc>
          <w:tcPr>
            <w:tcW w:w="555" w:type="pct"/>
            <w:tcBorders>
              <w:top w:val="single" w:sz="4" w:space="0" w:color="auto"/>
              <w:left w:val="single" w:sz="4" w:space="0" w:color="448A99"/>
              <w:bottom w:val="single" w:sz="4" w:space="0" w:color="448A99"/>
              <w:right w:val="single" w:sz="4" w:space="0" w:color="448A99"/>
            </w:tcBorders>
            <w:vAlign w:val="center"/>
          </w:tcPr>
          <w:p w:rsidR="000E1EED" w:rsidRPr="00B75B77" w:rsidRDefault="00A377A2" w:rsidP="00707B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N/A</w:t>
            </w:r>
          </w:p>
        </w:tc>
        <w:tc>
          <w:tcPr>
            <w:tcW w:w="418" w:type="pct"/>
            <w:tcBorders>
              <w:top w:val="single" w:sz="4" w:space="0" w:color="auto"/>
              <w:left w:val="single" w:sz="4" w:space="0" w:color="448A99"/>
              <w:bottom w:val="single" w:sz="4" w:space="0" w:color="448A99"/>
              <w:right w:val="single" w:sz="4" w:space="0" w:color="448A99"/>
            </w:tcBorders>
            <w:vAlign w:val="center"/>
          </w:tcPr>
          <w:p w:rsidR="000E1EED" w:rsidRPr="00B75B77" w:rsidRDefault="000E1EED" w:rsidP="00707B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3</w:t>
            </w:r>
          </w:p>
        </w:tc>
        <w:tc>
          <w:tcPr>
            <w:tcW w:w="509" w:type="pct"/>
            <w:tcBorders>
              <w:top w:val="single" w:sz="4" w:space="0" w:color="auto"/>
              <w:left w:val="single" w:sz="4" w:space="0" w:color="448A99"/>
              <w:bottom w:val="single" w:sz="4" w:space="0" w:color="448A99"/>
              <w:right w:val="single" w:sz="4" w:space="0" w:color="448A99"/>
            </w:tcBorders>
            <w:vAlign w:val="center"/>
          </w:tcPr>
          <w:p w:rsidR="000E1EED" w:rsidRPr="00B75B77" w:rsidRDefault="000E1EED" w:rsidP="00707B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3</w:t>
            </w:r>
          </w:p>
        </w:tc>
        <w:tc>
          <w:tcPr>
            <w:tcW w:w="695" w:type="pct"/>
            <w:tcBorders>
              <w:top w:val="single" w:sz="4" w:space="0" w:color="auto"/>
              <w:left w:val="single" w:sz="4" w:space="0" w:color="448A99"/>
              <w:bottom w:val="single" w:sz="4" w:space="0" w:color="448A99"/>
              <w:right w:val="single" w:sz="4" w:space="0" w:color="448A99"/>
            </w:tcBorders>
            <w:vAlign w:val="center"/>
          </w:tcPr>
          <w:p w:rsidR="000E1EED" w:rsidRPr="00B75B77" w:rsidRDefault="000E1EED" w:rsidP="00707B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100%</w:t>
            </w:r>
          </w:p>
        </w:tc>
        <w:tc>
          <w:tcPr>
            <w:tcW w:w="840" w:type="pct"/>
            <w:tcBorders>
              <w:top w:val="single" w:sz="4" w:space="0" w:color="auto"/>
              <w:left w:val="single" w:sz="4" w:space="0" w:color="448A99"/>
              <w:bottom w:val="single" w:sz="4" w:space="0" w:color="448A99"/>
              <w:right w:val="single" w:sz="4" w:space="0" w:color="448A99"/>
            </w:tcBorders>
            <w:vAlign w:val="center"/>
          </w:tcPr>
          <w:p w:rsidR="000E1EED" w:rsidRPr="00B75B77" w:rsidRDefault="00093474" w:rsidP="00C363CE">
            <w:pPr>
              <w:jc w:val="left"/>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Process Evaluation</w:t>
            </w:r>
          </w:p>
        </w:tc>
      </w:tr>
      <w:tr w:rsidR="000E1EED" w:rsidRPr="00B75B77" w:rsidTr="004170FC">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29"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0E1EED" w:rsidP="00707B64">
            <w:pPr>
              <w:jc w:val="left"/>
              <w:rPr>
                <w:b w:val="0"/>
                <w:sz w:val="18"/>
                <w:szCs w:val="18"/>
              </w:rPr>
            </w:pPr>
            <w:r w:rsidRPr="00B75B77">
              <w:rPr>
                <w:b w:val="0"/>
                <w:sz w:val="18"/>
                <w:szCs w:val="18"/>
              </w:rPr>
              <w:t>Implementation Contractors</w:t>
            </w:r>
          </w:p>
        </w:tc>
        <w:tc>
          <w:tcPr>
            <w:tcW w:w="651"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0E1EED" w:rsidP="00707B64">
            <w:pPr>
              <w:jc w:val="center"/>
              <w:cnfStyle w:val="000000010000" w:firstRow="0" w:lastRow="0" w:firstColumn="0" w:lastColumn="0" w:oddVBand="0" w:evenVBand="0" w:oddHBand="0" w:evenHBand="1" w:firstRowFirstColumn="0" w:firstRowLastColumn="0" w:lastRowFirstColumn="0" w:lastRowLastColumn="0"/>
              <w:rPr>
                <w:sz w:val="18"/>
                <w:szCs w:val="18"/>
              </w:rPr>
            </w:pPr>
            <w:r w:rsidRPr="00B75B77">
              <w:rPr>
                <w:sz w:val="18"/>
                <w:szCs w:val="18"/>
              </w:rPr>
              <w:t>4</w:t>
            </w:r>
          </w:p>
        </w:tc>
        <w:tc>
          <w:tcPr>
            <w:tcW w:w="603"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A377A2" w:rsidP="00707B64">
            <w:pPr>
              <w:jc w:val="center"/>
              <w:cnfStyle w:val="000000010000" w:firstRow="0" w:lastRow="0" w:firstColumn="0" w:lastColumn="0" w:oddVBand="0" w:evenVBand="0" w:oddHBand="0" w:evenHBand="1" w:firstRowFirstColumn="0" w:firstRowLastColumn="0" w:lastRowFirstColumn="0" w:lastRowLastColumn="0"/>
              <w:rPr>
                <w:sz w:val="18"/>
                <w:szCs w:val="18"/>
              </w:rPr>
            </w:pPr>
            <w:r w:rsidRPr="00B75B77">
              <w:rPr>
                <w:sz w:val="18"/>
                <w:szCs w:val="18"/>
              </w:rPr>
              <w:t>N/A</w:t>
            </w:r>
          </w:p>
        </w:tc>
        <w:tc>
          <w:tcPr>
            <w:tcW w:w="555"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A377A2" w:rsidP="00707B64">
            <w:pPr>
              <w:jc w:val="center"/>
              <w:cnfStyle w:val="000000010000" w:firstRow="0" w:lastRow="0" w:firstColumn="0" w:lastColumn="0" w:oddVBand="0" w:evenVBand="0" w:oddHBand="0" w:evenHBand="1" w:firstRowFirstColumn="0" w:firstRowLastColumn="0" w:lastRowFirstColumn="0" w:lastRowLastColumn="0"/>
              <w:rPr>
                <w:sz w:val="18"/>
                <w:szCs w:val="18"/>
              </w:rPr>
            </w:pPr>
            <w:r w:rsidRPr="00B75B77">
              <w:rPr>
                <w:sz w:val="18"/>
                <w:szCs w:val="18"/>
              </w:rPr>
              <w:t>N/A</w:t>
            </w:r>
          </w:p>
        </w:tc>
        <w:tc>
          <w:tcPr>
            <w:tcW w:w="418"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0E1EED" w:rsidP="00707B64">
            <w:pPr>
              <w:jc w:val="center"/>
              <w:cnfStyle w:val="000000010000" w:firstRow="0" w:lastRow="0" w:firstColumn="0" w:lastColumn="0" w:oddVBand="0" w:evenVBand="0" w:oddHBand="0" w:evenHBand="1" w:firstRowFirstColumn="0" w:firstRowLastColumn="0" w:lastRowFirstColumn="0" w:lastRowLastColumn="0"/>
              <w:rPr>
                <w:sz w:val="18"/>
                <w:szCs w:val="18"/>
              </w:rPr>
            </w:pPr>
            <w:r w:rsidRPr="00B75B77">
              <w:rPr>
                <w:sz w:val="18"/>
                <w:szCs w:val="18"/>
              </w:rPr>
              <w:t>4</w:t>
            </w:r>
          </w:p>
        </w:tc>
        <w:tc>
          <w:tcPr>
            <w:tcW w:w="509"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0E1EED" w:rsidP="00707B64">
            <w:pPr>
              <w:jc w:val="center"/>
              <w:cnfStyle w:val="000000010000" w:firstRow="0" w:lastRow="0" w:firstColumn="0" w:lastColumn="0" w:oddVBand="0" w:evenVBand="0" w:oddHBand="0" w:evenHBand="1" w:firstRowFirstColumn="0" w:firstRowLastColumn="0" w:lastRowFirstColumn="0" w:lastRowLastColumn="0"/>
              <w:rPr>
                <w:sz w:val="18"/>
                <w:szCs w:val="18"/>
              </w:rPr>
            </w:pPr>
            <w:r w:rsidRPr="00B75B77">
              <w:rPr>
                <w:sz w:val="18"/>
                <w:szCs w:val="18"/>
              </w:rPr>
              <w:t>4</w:t>
            </w:r>
          </w:p>
        </w:tc>
        <w:tc>
          <w:tcPr>
            <w:tcW w:w="695"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0E1EED" w:rsidP="00707B64">
            <w:pPr>
              <w:jc w:val="center"/>
              <w:cnfStyle w:val="000000010000" w:firstRow="0" w:lastRow="0" w:firstColumn="0" w:lastColumn="0" w:oddVBand="0" w:evenVBand="0" w:oddHBand="0" w:evenHBand="1" w:firstRowFirstColumn="0" w:firstRowLastColumn="0" w:lastRowFirstColumn="0" w:lastRowLastColumn="0"/>
              <w:rPr>
                <w:sz w:val="18"/>
                <w:szCs w:val="18"/>
              </w:rPr>
            </w:pPr>
            <w:r w:rsidRPr="00B75B77">
              <w:rPr>
                <w:sz w:val="18"/>
                <w:szCs w:val="18"/>
              </w:rPr>
              <w:t>100%</w:t>
            </w:r>
          </w:p>
        </w:tc>
        <w:tc>
          <w:tcPr>
            <w:tcW w:w="840"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093474" w:rsidP="00C363CE">
            <w:pPr>
              <w:jc w:val="left"/>
              <w:cnfStyle w:val="000000010000" w:firstRow="0" w:lastRow="0" w:firstColumn="0" w:lastColumn="0" w:oddVBand="0" w:evenVBand="0" w:oddHBand="0" w:evenHBand="1" w:firstRowFirstColumn="0" w:firstRowLastColumn="0" w:lastRowFirstColumn="0" w:lastRowLastColumn="0"/>
              <w:rPr>
                <w:sz w:val="18"/>
                <w:szCs w:val="18"/>
              </w:rPr>
            </w:pPr>
            <w:r w:rsidRPr="00B75B77">
              <w:rPr>
                <w:sz w:val="18"/>
                <w:szCs w:val="18"/>
              </w:rPr>
              <w:t>Process Evaluation</w:t>
            </w:r>
          </w:p>
        </w:tc>
      </w:tr>
      <w:tr w:rsidR="000E1EED" w:rsidRPr="00B75B77" w:rsidTr="004170F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29"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0E1EED" w:rsidP="00707B64">
            <w:pPr>
              <w:jc w:val="left"/>
              <w:rPr>
                <w:b w:val="0"/>
                <w:sz w:val="18"/>
                <w:szCs w:val="18"/>
              </w:rPr>
            </w:pPr>
            <w:r w:rsidRPr="00B75B77">
              <w:rPr>
                <w:b w:val="0"/>
                <w:sz w:val="18"/>
                <w:szCs w:val="18"/>
              </w:rPr>
              <w:t>Distributor/</w:t>
            </w:r>
            <w:r w:rsidR="004170FC" w:rsidRPr="00B75B77">
              <w:rPr>
                <w:b w:val="0"/>
                <w:sz w:val="18"/>
                <w:szCs w:val="18"/>
              </w:rPr>
              <w:t xml:space="preserve"> </w:t>
            </w:r>
            <w:r w:rsidRPr="00B75B77">
              <w:rPr>
                <w:b w:val="0"/>
                <w:sz w:val="18"/>
                <w:szCs w:val="18"/>
              </w:rPr>
              <w:t>Trade Allies</w:t>
            </w:r>
          </w:p>
        </w:tc>
        <w:tc>
          <w:tcPr>
            <w:tcW w:w="651"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097B91" w:rsidP="00707B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Unknown</w:t>
            </w:r>
          </w:p>
        </w:tc>
        <w:tc>
          <w:tcPr>
            <w:tcW w:w="603"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A377A2" w:rsidP="00707B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N/A</w:t>
            </w:r>
          </w:p>
        </w:tc>
        <w:tc>
          <w:tcPr>
            <w:tcW w:w="555"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A377A2" w:rsidP="00707B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N/A</w:t>
            </w:r>
          </w:p>
        </w:tc>
        <w:tc>
          <w:tcPr>
            <w:tcW w:w="418"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0E1EED" w:rsidP="00707B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7</w:t>
            </w:r>
          </w:p>
        </w:tc>
        <w:tc>
          <w:tcPr>
            <w:tcW w:w="509"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0E1EED" w:rsidP="00707B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7</w:t>
            </w:r>
          </w:p>
        </w:tc>
        <w:tc>
          <w:tcPr>
            <w:tcW w:w="695"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0E1EED" w:rsidP="00707B64">
            <w:pPr>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100%</w:t>
            </w:r>
          </w:p>
        </w:tc>
        <w:tc>
          <w:tcPr>
            <w:tcW w:w="840"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093474" w:rsidP="00C363CE">
            <w:pPr>
              <w:jc w:val="left"/>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Process Evaluation</w:t>
            </w:r>
          </w:p>
        </w:tc>
      </w:tr>
      <w:tr w:rsidR="000E1EED" w:rsidRPr="00B75B77" w:rsidTr="004170FC">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29"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0E1EED" w:rsidP="00707B64">
            <w:pPr>
              <w:jc w:val="left"/>
              <w:rPr>
                <w:bCs w:val="0"/>
                <w:caps/>
                <w:sz w:val="18"/>
                <w:szCs w:val="18"/>
              </w:rPr>
            </w:pPr>
            <w:r w:rsidRPr="00B75B77">
              <w:rPr>
                <w:bCs w:val="0"/>
                <w:caps/>
                <w:sz w:val="18"/>
                <w:szCs w:val="18"/>
              </w:rPr>
              <w:t>Program Total</w:t>
            </w:r>
          </w:p>
        </w:tc>
        <w:tc>
          <w:tcPr>
            <w:tcW w:w="651"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A377A2" w:rsidP="00707B64">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B75B77">
              <w:rPr>
                <w:b/>
                <w:sz w:val="18"/>
                <w:szCs w:val="18"/>
              </w:rPr>
              <w:t>N/A</w:t>
            </w:r>
          </w:p>
        </w:tc>
        <w:tc>
          <w:tcPr>
            <w:tcW w:w="603"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A377A2" w:rsidP="00707B64">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B75B77">
              <w:rPr>
                <w:b/>
                <w:sz w:val="18"/>
                <w:szCs w:val="18"/>
              </w:rPr>
              <w:t>N/A</w:t>
            </w:r>
          </w:p>
        </w:tc>
        <w:tc>
          <w:tcPr>
            <w:tcW w:w="555"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A377A2" w:rsidP="00707B64">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B75B77">
              <w:rPr>
                <w:b/>
                <w:sz w:val="18"/>
                <w:szCs w:val="18"/>
              </w:rPr>
              <w:t>N/A</w:t>
            </w:r>
          </w:p>
        </w:tc>
        <w:tc>
          <w:tcPr>
            <w:tcW w:w="418"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0E1EED" w:rsidP="00707B64">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B75B77">
              <w:rPr>
                <w:b/>
                <w:sz w:val="18"/>
                <w:szCs w:val="18"/>
              </w:rPr>
              <w:t>14</w:t>
            </w:r>
          </w:p>
        </w:tc>
        <w:tc>
          <w:tcPr>
            <w:tcW w:w="509"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0E1EED" w:rsidP="00707B64">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B75B77">
              <w:rPr>
                <w:b/>
                <w:sz w:val="18"/>
                <w:szCs w:val="18"/>
              </w:rPr>
              <w:t>14</w:t>
            </w:r>
          </w:p>
        </w:tc>
        <w:tc>
          <w:tcPr>
            <w:tcW w:w="695"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A377A2" w:rsidP="00707B64">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B75B77">
              <w:rPr>
                <w:b/>
                <w:sz w:val="18"/>
                <w:szCs w:val="18"/>
              </w:rPr>
              <w:t>100%</w:t>
            </w:r>
          </w:p>
        </w:tc>
        <w:tc>
          <w:tcPr>
            <w:tcW w:w="840" w:type="pct"/>
            <w:tcBorders>
              <w:top w:val="single" w:sz="4" w:space="0" w:color="448A99"/>
              <w:left w:val="single" w:sz="4" w:space="0" w:color="448A99"/>
              <w:bottom w:val="single" w:sz="4" w:space="0" w:color="448A99"/>
              <w:right w:val="single" w:sz="4" w:space="0" w:color="448A99"/>
            </w:tcBorders>
            <w:vAlign w:val="center"/>
          </w:tcPr>
          <w:p w:rsidR="000E1EED" w:rsidRPr="00B75B77" w:rsidRDefault="00A377A2" w:rsidP="00C363CE">
            <w:pPr>
              <w:jc w:val="left"/>
              <w:cnfStyle w:val="000000010000" w:firstRow="0" w:lastRow="0" w:firstColumn="0" w:lastColumn="0" w:oddVBand="0" w:evenVBand="0" w:oddHBand="0" w:evenHBand="1" w:firstRowFirstColumn="0" w:firstRowLastColumn="0" w:lastRowFirstColumn="0" w:lastRowLastColumn="0"/>
              <w:rPr>
                <w:b/>
                <w:sz w:val="18"/>
                <w:szCs w:val="18"/>
              </w:rPr>
            </w:pPr>
            <w:r w:rsidRPr="00B75B77">
              <w:rPr>
                <w:b/>
                <w:sz w:val="18"/>
                <w:szCs w:val="18"/>
              </w:rPr>
              <w:t>Process Evaluation</w:t>
            </w:r>
          </w:p>
        </w:tc>
      </w:tr>
    </w:tbl>
    <w:p w:rsidR="000E1EED" w:rsidRPr="00B75B77" w:rsidRDefault="000E1EED" w:rsidP="00707B64">
      <w:pPr>
        <w:pStyle w:val="Source"/>
        <w:keepNext/>
        <w:spacing w:before="20" w:after="20"/>
        <w:ind w:left="0" w:firstLine="0"/>
        <w:rPr>
          <w:i w:val="0"/>
        </w:rPr>
      </w:pPr>
      <w:r w:rsidRPr="00B75B77">
        <w:rPr>
          <w:i w:val="0"/>
        </w:rPr>
        <w:t xml:space="preserve">Note: </w:t>
      </w:r>
      <w:r w:rsidRPr="00B75B77">
        <w:rPr>
          <w:rFonts w:ascii="Calibri" w:hAnsi="Calibri"/>
          <w:i w:val="0"/>
          <w:iCs/>
          <w:color w:val="000000"/>
          <w:szCs w:val="18"/>
        </w:rPr>
        <w:t>Values in tables may not reconcile exactly with the sum of more detailed level results or previously reported results due to rounding.</w:t>
      </w:r>
    </w:p>
    <w:p w:rsidR="000E1EED" w:rsidRPr="00B75B77" w:rsidRDefault="000E1EED" w:rsidP="002143BE">
      <w:pPr>
        <w:pStyle w:val="Source"/>
        <w:keepNext/>
        <w:spacing w:after="120"/>
        <w:ind w:left="0" w:firstLine="0"/>
      </w:pPr>
      <w:r w:rsidRPr="00B75B77">
        <w:t>Source: Navigant analysis</w:t>
      </w:r>
    </w:p>
    <w:p w:rsidR="000E1EED" w:rsidRPr="00B75B77" w:rsidRDefault="000E1EED" w:rsidP="00707B64">
      <w:pPr>
        <w:pStyle w:val="Heading3"/>
      </w:pPr>
      <w:bookmarkStart w:id="800" w:name="_Toc466413420"/>
      <w:r w:rsidRPr="00B75B77">
        <w:t>Process Evaluation Results</w:t>
      </w:r>
      <w:bookmarkEnd w:id="800"/>
      <w:r w:rsidRPr="00B75B77">
        <w:t xml:space="preserve"> </w:t>
      </w:r>
    </w:p>
    <w:p w:rsidR="000E1EED" w:rsidRPr="00B75B77" w:rsidRDefault="000E1EED" w:rsidP="00707B64">
      <w:pPr>
        <w:jc w:val="left"/>
      </w:pPr>
      <w:r w:rsidRPr="00B75B77">
        <w:rPr>
          <w:rFonts w:cs="Arial"/>
          <w:color w:val="000000"/>
        </w:rPr>
        <w:t xml:space="preserve">The SEI program was successful at moving its measure mix toward non-lighting measures in PY7, and </w:t>
      </w:r>
      <w:r w:rsidR="002143BE" w:rsidRPr="00B75B77">
        <w:rPr>
          <w:rFonts w:cs="Arial"/>
          <w:color w:val="000000"/>
        </w:rPr>
        <w:t xml:space="preserve">it </w:t>
      </w:r>
      <w:r w:rsidRPr="00B75B77">
        <w:rPr>
          <w:rFonts w:cs="Arial"/>
          <w:color w:val="000000"/>
        </w:rPr>
        <w:t xml:space="preserve">is encouraging some changes within the market. In summary, the Phase II SEI program strategy worked, </w:t>
      </w:r>
      <w:r w:rsidRPr="00B75B77">
        <w:rPr>
          <w:rFonts w:cs="Arial"/>
          <w:color w:val="000000"/>
        </w:rPr>
        <w:lastRenderedPageBreak/>
        <w:t xml:space="preserve">but to have a greater market impact in Phase III, PECO will need to add implementation tactics to increase market transformation. </w:t>
      </w:r>
      <w:r w:rsidRPr="00B75B77">
        <w:t>The results of the SEI process evaluation are as follows:</w:t>
      </w:r>
    </w:p>
    <w:p w:rsidR="000E1EED" w:rsidRPr="00B75B77" w:rsidRDefault="000E1EED" w:rsidP="00707B64"/>
    <w:p w:rsidR="000E1EED" w:rsidRPr="00B75B77" w:rsidRDefault="000E1EED" w:rsidP="009E08FB">
      <w:pPr>
        <w:pStyle w:val="NormalWeb"/>
        <w:numPr>
          <w:ilvl w:val="0"/>
          <w:numId w:val="101"/>
        </w:numPr>
        <w:spacing w:before="0" w:beforeAutospacing="0" w:after="120" w:afterAutospacing="0"/>
        <w:jc w:val="left"/>
        <w:rPr>
          <w:rFonts w:asciiTheme="minorHAnsi" w:hAnsiTheme="minorHAnsi" w:cs="Arial"/>
          <w:b/>
          <w:color w:val="000000"/>
          <w:sz w:val="22"/>
          <w:szCs w:val="22"/>
        </w:rPr>
      </w:pPr>
      <w:r w:rsidRPr="00B75B77">
        <w:rPr>
          <w:rFonts w:asciiTheme="minorHAnsi" w:hAnsiTheme="minorHAnsi" w:cs="Arial"/>
          <w:b/>
          <w:color w:val="000000"/>
          <w:sz w:val="22"/>
          <w:szCs w:val="22"/>
        </w:rPr>
        <w:t>Finding:</w:t>
      </w:r>
      <w:r w:rsidRPr="00B75B77">
        <w:rPr>
          <w:rFonts w:asciiTheme="minorHAnsi" w:hAnsiTheme="minorHAnsi" w:cs="Arial"/>
          <w:color w:val="000000"/>
          <w:sz w:val="22"/>
          <w:szCs w:val="22"/>
        </w:rPr>
        <w:t xml:space="preserve"> the SEI program participants vary widely across business sizes, types, and other defining characteristics. As the SEI incentive levels will be reduced in Phase III, PECO may need to find ways to add value to the program for its varied customers in order to maintain high levels of participation. For example, the needs of a church are different from those of a small business.</w:t>
      </w:r>
    </w:p>
    <w:p w:rsidR="000E1EED" w:rsidRPr="00B75B77" w:rsidRDefault="000E1EED" w:rsidP="009E08FB">
      <w:pPr>
        <w:pStyle w:val="NormalWeb"/>
        <w:numPr>
          <w:ilvl w:val="1"/>
          <w:numId w:val="101"/>
        </w:numPr>
        <w:spacing w:before="0" w:beforeAutospacing="0" w:after="60" w:afterAutospacing="0"/>
        <w:jc w:val="left"/>
        <w:rPr>
          <w:rFonts w:asciiTheme="minorHAnsi" w:hAnsiTheme="minorHAnsi" w:cs="Arial"/>
          <w:b/>
          <w:color w:val="000000"/>
          <w:sz w:val="22"/>
          <w:szCs w:val="22"/>
        </w:rPr>
      </w:pPr>
      <w:r w:rsidRPr="00B75B77">
        <w:rPr>
          <w:rFonts w:asciiTheme="minorHAnsi" w:hAnsiTheme="minorHAnsi" w:cs="Arial"/>
          <w:b/>
          <w:color w:val="000000"/>
          <w:sz w:val="22"/>
          <w:szCs w:val="22"/>
        </w:rPr>
        <w:t>Recommendation:</w:t>
      </w:r>
      <w:r w:rsidRPr="00B75B77">
        <w:rPr>
          <w:rFonts w:asciiTheme="minorHAnsi" w:hAnsiTheme="minorHAnsi" w:cs="Arial"/>
          <w:color w:val="000000"/>
          <w:sz w:val="22"/>
          <w:szCs w:val="22"/>
        </w:rPr>
        <w:t xml:space="preserve"> Segment the eligible customer population further to explore the value of the SEI program, and identify marketing or outreach approaches to reach each segment effectively. </w:t>
      </w:r>
    </w:p>
    <w:p w:rsidR="000E1EED" w:rsidRPr="00B75B77" w:rsidRDefault="000E1EED" w:rsidP="009E08FB">
      <w:pPr>
        <w:pStyle w:val="NormalWeb"/>
        <w:numPr>
          <w:ilvl w:val="0"/>
          <w:numId w:val="101"/>
        </w:numPr>
        <w:spacing w:before="0" w:beforeAutospacing="0" w:after="120" w:afterAutospacing="0"/>
        <w:jc w:val="left"/>
        <w:rPr>
          <w:rFonts w:asciiTheme="minorHAnsi" w:hAnsiTheme="minorHAnsi" w:cs="Arial"/>
          <w:b/>
          <w:color w:val="000000"/>
          <w:sz w:val="22"/>
          <w:szCs w:val="22"/>
        </w:rPr>
      </w:pPr>
      <w:r w:rsidRPr="00B75B77">
        <w:rPr>
          <w:rFonts w:asciiTheme="minorHAnsi" w:hAnsiTheme="minorHAnsi" w:cs="Arial"/>
          <w:b/>
          <w:color w:val="000000"/>
          <w:sz w:val="22"/>
          <w:szCs w:val="22"/>
        </w:rPr>
        <w:t>Finding:</w:t>
      </w:r>
      <w:r w:rsidRPr="00B75B77">
        <w:rPr>
          <w:rFonts w:asciiTheme="minorHAnsi" w:hAnsiTheme="minorHAnsi" w:cs="Arial"/>
          <w:color w:val="000000"/>
          <w:sz w:val="22"/>
          <w:szCs w:val="22"/>
        </w:rPr>
        <w:t xml:space="preserve"> Based on program staff interviews, the trade ally incentive program succeeded in PY7 by rewarding trade allies for completing a certain number of projects through the SEI program. This approach is a great tool to encourage trade allies to engage in the program and pursue projects. It does not, however, provide control over what types of projects or customers are engaged by trade allies. The participating trade allies are often larger companies themselves </w:t>
      </w:r>
      <w:r w:rsidR="00097B91" w:rsidRPr="00B75B77">
        <w:rPr>
          <w:rFonts w:asciiTheme="minorHAnsi" w:hAnsiTheme="minorHAnsi" w:cs="Arial"/>
          <w:color w:val="000000"/>
          <w:sz w:val="22"/>
          <w:szCs w:val="22"/>
        </w:rPr>
        <w:t xml:space="preserve">that </w:t>
      </w:r>
      <w:r w:rsidRPr="00B75B77">
        <w:rPr>
          <w:rFonts w:asciiTheme="minorHAnsi" w:hAnsiTheme="minorHAnsi" w:cs="Arial"/>
          <w:color w:val="000000"/>
          <w:sz w:val="22"/>
          <w:szCs w:val="22"/>
        </w:rPr>
        <w:t>may have the ability to pursue and leverage projects regionally or nationwide. These trade allies, while skilled at completing rebate applications, may shift their business strategy in Phase III to focus on other utility regions where incentives are richer in response to PECO’s lower incentive levels. This leaves an opportunity to engage more local contractors in the program.</w:t>
      </w:r>
    </w:p>
    <w:p w:rsidR="000E1EED" w:rsidRPr="00B75B77" w:rsidRDefault="000E1EED" w:rsidP="009E08FB">
      <w:pPr>
        <w:pStyle w:val="NormalWeb"/>
        <w:numPr>
          <w:ilvl w:val="1"/>
          <w:numId w:val="101"/>
        </w:numPr>
        <w:spacing w:before="0" w:beforeAutospacing="0" w:after="60" w:afterAutospacing="0"/>
        <w:jc w:val="left"/>
        <w:rPr>
          <w:rStyle w:val="CommentReference"/>
          <w:rFonts w:asciiTheme="minorHAnsi" w:hAnsiTheme="minorHAnsi" w:cs="Arial"/>
          <w:b/>
          <w:color w:val="000000"/>
          <w:sz w:val="22"/>
          <w:szCs w:val="22"/>
        </w:rPr>
      </w:pPr>
      <w:r w:rsidRPr="00B75B77">
        <w:rPr>
          <w:rFonts w:asciiTheme="minorHAnsi" w:hAnsiTheme="minorHAnsi" w:cs="Arial"/>
          <w:b/>
          <w:color w:val="000000"/>
          <w:sz w:val="22"/>
          <w:szCs w:val="22"/>
        </w:rPr>
        <w:t xml:space="preserve">Recommendation: </w:t>
      </w:r>
      <w:r w:rsidRPr="00B75B77">
        <w:rPr>
          <w:rFonts w:asciiTheme="minorHAnsi" w:hAnsiTheme="minorHAnsi" w:cs="Arial"/>
          <w:color w:val="000000"/>
          <w:sz w:val="22"/>
          <w:szCs w:val="22"/>
        </w:rPr>
        <w:t>Change the trade ally incentives program to incent targeted project types or customer segments.</w:t>
      </w:r>
    </w:p>
    <w:p w:rsidR="000E1EED" w:rsidRPr="00B75B77" w:rsidRDefault="000E1EED" w:rsidP="009E08FB">
      <w:pPr>
        <w:pStyle w:val="NormalWeb"/>
        <w:numPr>
          <w:ilvl w:val="1"/>
          <w:numId w:val="101"/>
        </w:numPr>
        <w:spacing w:before="0" w:beforeAutospacing="0" w:after="60" w:afterAutospacing="0"/>
        <w:jc w:val="left"/>
        <w:rPr>
          <w:rFonts w:asciiTheme="minorHAnsi" w:hAnsiTheme="minorHAnsi" w:cs="Arial"/>
          <w:b/>
          <w:color w:val="000000"/>
          <w:sz w:val="22"/>
          <w:szCs w:val="22"/>
        </w:rPr>
      </w:pPr>
      <w:r w:rsidRPr="00B75B77">
        <w:rPr>
          <w:rFonts w:asciiTheme="minorHAnsi" w:hAnsiTheme="minorHAnsi" w:cs="Arial"/>
          <w:b/>
          <w:color w:val="000000"/>
          <w:sz w:val="22"/>
          <w:szCs w:val="22"/>
        </w:rPr>
        <w:t>Recommendation:</w:t>
      </w:r>
      <w:r w:rsidRPr="00B75B77">
        <w:rPr>
          <w:rFonts w:asciiTheme="minorHAnsi" w:hAnsiTheme="minorHAnsi" w:cs="Arial"/>
          <w:color w:val="000000"/>
          <w:sz w:val="22"/>
          <w:szCs w:val="22"/>
        </w:rPr>
        <w:t xml:space="preserve"> Conduct additional outreach to engage new trade allies in the program (especially local contractors, who are less likely than larger companies to transfer their focus to projects in other states where incentives are richer).</w:t>
      </w:r>
    </w:p>
    <w:p w:rsidR="000E1EED" w:rsidRPr="00B75B77" w:rsidRDefault="000E1EED" w:rsidP="009E08FB">
      <w:pPr>
        <w:pStyle w:val="ListParagraph"/>
        <w:numPr>
          <w:ilvl w:val="0"/>
          <w:numId w:val="101"/>
        </w:numPr>
        <w:tabs>
          <w:tab w:val="left" w:pos="0"/>
          <w:tab w:val="left" w:pos="360"/>
          <w:tab w:val="left" w:pos="720"/>
          <w:tab w:val="left" w:pos="1080"/>
          <w:tab w:val="left" w:pos="1440"/>
        </w:tabs>
        <w:spacing w:after="120"/>
        <w:contextualSpacing w:val="0"/>
        <w:jc w:val="left"/>
        <w:rPr>
          <w:rFonts w:cs="Arial"/>
          <w:b/>
          <w:i/>
        </w:rPr>
      </w:pPr>
      <w:r w:rsidRPr="00B75B77">
        <w:rPr>
          <w:rFonts w:cs="Arial"/>
          <w:b/>
          <w:color w:val="000000"/>
        </w:rPr>
        <w:t>Finding:</w:t>
      </w:r>
      <w:r w:rsidRPr="00B75B77">
        <w:rPr>
          <w:rFonts w:cs="Arial"/>
          <w:color w:val="000000"/>
        </w:rPr>
        <w:t xml:space="preserve"> </w:t>
      </w:r>
      <w:r w:rsidRPr="00B75B77">
        <w:rPr>
          <w:rFonts w:cs="Arial"/>
        </w:rPr>
        <w:t xml:space="preserve">SEI has a goal of bringing in a diverse measure mix, focusing on achieving a higher percentage </w:t>
      </w:r>
      <w:r w:rsidR="00097B91" w:rsidRPr="00B75B77">
        <w:rPr>
          <w:rFonts w:cs="Arial"/>
        </w:rPr>
        <w:t xml:space="preserve">of </w:t>
      </w:r>
      <w:r w:rsidRPr="00B75B77">
        <w:rPr>
          <w:rFonts w:cs="Arial"/>
        </w:rPr>
        <w:t>non-lighting projects. In Phase II, SEI succeeded at reducing the percent</w:t>
      </w:r>
      <w:r w:rsidR="007665E5" w:rsidRPr="00B75B77">
        <w:rPr>
          <w:rFonts w:cs="Arial"/>
        </w:rPr>
        <w:t>age</w:t>
      </w:r>
      <w:r w:rsidRPr="00B75B77">
        <w:rPr>
          <w:rFonts w:cs="Arial"/>
        </w:rPr>
        <w:t xml:space="preserve"> of lighting projects from PY5 to PY7, increasing custom projects. In Phase III, an increased focus on prescriptive measures could aid in the effort to encourage non-lighting projects, but the decreased incentive levels might mean a decrease in these non-lighting measures, as engineering costs will remain high.</w:t>
      </w:r>
      <w:r w:rsidRPr="00B75B77">
        <w:rPr>
          <w:rFonts w:cs="Arial"/>
          <w:i/>
        </w:rPr>
        <w:t xml:space="preserve"> </w:t>
      </w:r>
      <w:r w:rsidRPr="00B75B77">
        <w:rPr>
          <w:rFonts w:cs="Arial"/>
        </w:rPr>
        <w:t>Interviews and survey responses indicate that in some cases, PY7 incentive levels barely covered the cost of the engineering requirements in the rebate application.</w:t>
      </w:r>
    </w:p>
    <w:p w:rsidR="000E1EED" w:rsidRPr="00B75B77" w:rsidRDefault="000E1EED" w:rsidP="009E08FB">
      <w:pPr>
        <w:pStyle w:val="ListParagraph"/>
        <w:numPr>
          <w:ilvl w:val="1"/>
          <w:numId w:val="101"/>
        </w:numPr>
        <w:tabs>
          <w:tab w:val="left" w:pos="0"/>
          <w:tab w:val="left" w:pos="360"/>
          <w:tab w:val="left" w:pos="720"/>
          <w:tab w:val="left" w:pos="1080"/>
          <w:tab w:val="left" w:pos="1440"/>
        </w:tabs>
        <w:spacing w:after="60"/>
        <w:contextualSpacing w:val="0"/>
        <w:jc w:val="left"/>
        <w:rPr>
          <w:rFonts w:cs="Arial"/>
          <w:b/>
          <w:i/>
        </w:rPr>
      </w:pPr>
      <w:r w:rsidRPr="00B75B77">
        <w:rPr>
          <w:rFonts w:cs="Arial"/>
          <w:b/>
        </w:rPr>
        <w:t>Recommendation:</w:t>
      </w:r>
      <w:r w:rsidRPr="00B75B77">
        <w:rPr>
          <w:rFonts w:cs="Arial"/>
        </w:rPr>
        <w:t xml:space="preserve"> Increase assistance to participants and trade allies with completing required documentation and TRM worksheets for custom projects.</w:t>
      </w:r>
    </w:p>
    <w:p w:rsidR="000E1EED" w:rsidRPr="00B75B77" w:rsidRDefault="000E1EED" w:rsidP="009E08FB">
      <w:pPr>
        <w:pStyle w:val="ListParagraph"/>
        <w:numPr>
          <w:ilvl w:val="0"/>
          <w:numId w:val="101"/>
        </w:numPr>
        <w:tabs>
          <w:tab w:val="left" w:pos="0"/>
          <w:tab w:val="left" w:pos="360"/>
          <w:tab w:val="left" w:pos="720"/>
          <w:tab w:val="left" w:pos="1080"/>
          <w:tab w:val="left" w:pos="1440"/>
        </w:tabs>
        <w:spacing w:after="60"/>
        <w:contextualSpacing w:val="0"/>
        <w:jc w:val="left"/>
        <w:rPr>
          <w:rFonts w:cs="Arial"/>
          <w:b/>
        </w:rPr>
      </w:pPr>
      <w:r w:rsidRPr="00B75B77">
        <w:rPr>
          <w:rFonts w:cs="Arial"/>
          <w:b/>
        </w:rPr>
        <w:t>Finding:</w:t>
      </w:r>
      <w:r w:rsidRPr="00B75B77">
        <w:rPr>
          <w:rFonts w:cs="Arial"/>
        </w:rPr>
        <w:t xml:space="preserve"> The “limited time offer” marketing effort was very successful. It encouraged undecided participants to apply earlier and contributed to projects finishing earlier than anticipated. The offer brought in more projects in February and March, rather than later in May and June.</w:t>
      </w:r>
    </w:p>
    <w:p w:rsidR="000E1EED" w:rsidRPr="00B75B77" w:rsidRDefault="000E1EED" w:rsidP="009E08FB">
      <w:pPr>
        <w:pStyle w:val="ListParagraph"/>
        <w:numPr>
          <w:ilvl w:val="1"/>
          <w:numId w:val="101"/>
        </w:numPr>
        <w:tabs>
          <w:tab w:val="left" w:pos="0"/>
          <w:tab w:val="left" w:pos="360"/>
          <w:tab w:val="left" w:pos="720"/>
          <w:tab w:val="left" w:pos="1080"/>
          <w:tab w:val="left" w:pos="1440"/>
        </w:tabs>
        <w:spacing w:after="60"/>
        <w:contextualSpacing w:val="0"/>
        <w:jc w:val="left"/>
        <w:rPr>
          <w:rFonts w:cs="Arial"/>
          <w:b/>
        </w:rPr>
      </w:pPr>
      <w:r w:rsidRPr="00B75B77">
        <w:rPr>
          <w:rFonts w:cs="Arial"/>
          <w:b/>
        </w:rPr>
        <w:t>Recommendation:</w:t>
      </w:r>
      <w:r w:rsidRPr="00B75B77">
        <w:rPr>
          <w:rFonts w:cs="Arial"/>
        </w:rPr>
        <w:t xml:space="preserve"> Use the </w:t>
      </w:r>
      <w:r w:rsidR="00097B91" w:rsidRPr="00B75B77">
        <w:rPr>
          <w:rFonts w:cs="Arial"/>
        </w:rPr>
        <w:t>“</w:t>
      </w:r>
      <w:r w:rsidRPr="00B75B77">
        <w:rPr>
          <w:rFonts w:cs="Arial"/>
        </w:rPr>
        <w:t>limited time offer</w:t>
      </w:r>
      <w:r w:rsidR="00097B91" w:rsidRPr="00B75B77">
        <w:rPr>
          <w:rFonts w:cs="Arial"/>
        </w:rPr>
        <w:t>”</w:t>
      </w:r>
      <w:r w:rsidRPr="00B75B77">
        <w:rPr>
          <w:rFonts w:cs="Arial"/>
        </w:rPr>
        <w:t xml:space="preserve"> as a lever in future years if participation is low. </w:t>
      </w:r>
    </w:p>
    <w:p w:rsidR="000E1EED" w:rsidRPr="00B75B77" w:rsidRDefault="000E1EED" w:rsidP="009E08FB">
      <w:pPr>
        <w:pStyle w:val="ListParagraph"/>
        <w:numPr>
          <w:ilvl w:val="0"/>
          <w:numId w:val="101"/>
        </w:numPr>
        <w:tabs>
          <w:tab w:val="left" w:pos="0"/>
          <w:tab w:val="left" w:pos="360"/>
          <w:tab w:val="left" w:pos="720"/>
          <w:tab w:val="left" w:pos="1080"/>
          <w:tab w:val="left" w:pos="1440"/>
        </w:tabs>
        <w:spacing w:after="120"/>
        <w:contextualSpacing w:val="0"/>
        <w:jc w:val="left"/>
        <w:rPr>
          <w:rFonts w:cs="Arial"/>
          <w:b/>
        </w:rPr>
      </w:pPr>
      <w:r w:rsidRPr="00B75B77">
        <w:rPr>
          <w:rFonts w:cs="Arial"/>
          <w:b/>
        </w:rPr>
        <w:t>Finding:</w:t>
      </w:r>
      <w:r w:rsidRPr="00B75B77">
        <w:rPr>
          <w:rFonts w:cs="Arial"/>
        </w:rPr>
        <w:t xml:space="preserve"> The project database and application process has improved over Phase II, but there are additional changes that could be made to streamline applications in Phase III. For example, threshold metering sites were not always correctly or quickly identified which caused evaluation challenges. </w:t>
      </w:r>
      <w:r w:rsidR="00C8082F" w:rsidRPr="00B75B77">
        <w:rPr>
          <w:rFonts w:cs="Arial"/>
        </w:rPr>
        <w:t>Overall, the</w:t>
      </w:r>
      <w:r w:rsidRPr="00B75B77">
        <w:rPr>
          <w:rFonts w:cs="Arial"/>
        </w:rPr>
        <w:t xml:space="preserve"> database contains many columns that Navigant does not need for analysis.</w:t>
      </w:r>
    </w:p>
    <w:p w:rsidR="000E1EED" w:rsidRPr="00B75B77" w:rsidRDefault="000E1EED" w:rsidP="009E08FB">
      <w:pPr>
        <w:pStyle w:val="ListParagraph"/>
        <w:numPr>
          <w:ilvl w:val="1"/>
          <w:numId w:val="101"/>
        </w:numPr>
        <w:tabs>
          <w:tab w:val="left" w:pos="0"/>
          <w:tab w:val="left" w:pos="360"/>
          <w:tab w:val="left" w:pos="720"/>
          <w:tab w:val="left" w:pos="1080"/>
          <w:tab w:val="left" w:pos="1440"/>
        </w:tabs>
        <w:spacing w:after="60"/>
        <w:contextualSpacing w:val="0"/>
        <w:jc w:val="left"/>
        <w:rPr>
          <w:rFonts w:cs="Arial"/>
          <w:b/>
        </w:rPr>
      </w:pPr>
      <w:r w:rsidRPr="00B75B77">
        <w:rPr>
          <w:rFonts w:cs="Arial"/>
          <w:b/>
        </w:rPr>
        <w:t>Recommendation:</w:t>
      </w:r>
      <w:r w:rsidRPr="00B75B77">
        <w:rPr>
          <w:rFonts w:cs="Arial"/>
        </w:rPr>
        <w:t xml:space="preserve"> PECO should require the CSP to build in a "flag" in </w:t>
      </w:r>
      <w:r w:rsidR="00097B91" w:rsidRPr="00B75B77">
        <w:rPr>
          <w:rFonts w:cs="Arial"/>
        </w:rPr>
        <w:t xml:space="preserve">its </w:t>
      </w:r>
      <w:r w:rsidRPr="00B75B77">
        <w:rPr>
          <w:rFonts w:cs="Arial"/>
        </w:rPr>
        <w:t xml:space="preserve">project database that identifies if a site is a threshold metering project. The CSP should then </w:t>
      </w:r>
      <w:r w:rsidRPr="00B75B77">
        <w:rPr>
          <w:rFonts w:cs="Arial"/>
        </w:rPr>
        <w:lastRenderedPageBreak/>
        <w:t>send over the project files to the evaluation team as soon as they are entered into the system rather than waiting for the quarterly data transfer.</w:t>
      </w:r>
    </w:p>
    <w:p w:rsidR="000E1EED" w:rsidRPr="00B75B77" w:rsidRDefault="000E1EED" w:rsidP="009E08FB">
      <w:pPr>
        <w:pStyle w:val="ListParagraph"/>
        <w:numPr>
          <w:ilvl w:val="1"/>
          <w:numId w:val="101"/>
        </w:numPr>
        <w:tabs>
          <w:tab w:val="left" w:pos="0"/>
          <w:tab w:val="left" w:pos="360"/>
          <w:tab w:val="left" w:pos="720"/>
          <w:tab w:val="left" w:pos="1080"/>
          <w:tab w:val="left" w:pos="1440"/>
        </w:tabs>
        <w:spacing w:after="60"/>
        <w:contextualSpacing w:val="0"/>
        <w:jc w:val="left"/>
        <w:rPr>
          <w:rFonts w:cs="Arial"/>
          <w:b/>
        </w:rPr>
      </w:pPr>
      <w:r w:rsidRPr="00B75B77">
        <w:rPr>
          <w:rFonts w:cs="Arial"/>
          <w:b/>
        </w:rPr>
        <w:t>Recommendation:</w:t>
      </w:r>
      <w:r w:rsidRPr="00B75B77">
        <w:rPr>
          <w:rFonts w:cs="Arial"/>
        </w:rPr>
        <w:t xml:space="preserve"> Streamline database by limiting number of fields, removing unnecessary fields, and ensuring accuracy of dates entered. Assess data requirements of all relevant parties (PECO, SWE, and Navigant) and only include required fields.</w:t>
      </w:r>
    </w:p>
    <w:p w:rsidR="000E1EED" w:rsidRPr="00B75B77" w:rsidRDefault="000E1EED" w:rsidP="00707B64"/>
    <w:p w:rsidR="000E1EED" w:rsidRPr="00B75B77" w:rsidRDefault="000E1EED" w:rsidP="003E6A9B">
      <w:pPr>
        <w:pStyle w:val="Heading2"/>
      </w:pPr>
      <w:bookmarkStart w:id="801" w:name="_Toc466413421"/>
      <w:r w:rsidRPr="00B75B77">
        <w:t>Status of Recommendations for Program</w:t>
      </w:r>
      <w:bookmarkEnd w:id="801"/>
    </w:p>
    <w:p w:rsidR="000E1EED" w:rsidRPr="00B75B77" w:rsidRDefault="000E1EED" w:rsidP="00707B64">
      <w:r w:rsidRPr="00B75B77" w:rsidDel="0058175D">
        <w:t>The evaluation team used various analytical methods to complete the evaluation</w:t>
      </w:r>
      <w:r w:rsidRPr="00B75B77">
        <w:t>,</w:t>
      </w:r>
      <w:r w:rsidRPr="00B75B77" w:rsidDel="0058175D">
        <w:t xml:space="preserve"> including performing a gross impact evaluation</w:t>
      </w:r>
      <w:r w:rsidRPr="00B75B77">
        <w:t>;</w:t>
      </w:r>
      <w:r w:rsidRPr="00B75B77" w:rsidDel="0058175D">
        <w:t xml:space="preserve"> program materials review</w:t>
      </w:r>
      <w:r w:rsidRPr="00B75B77">
        <w:t>;</w:t>
      </w:r>
      <w:r w:rsidRPr="00B75B77" w:rsidDel="0058175D">
        <w:t xml:space="preserve"> tracking system review</w:t>
      </w:r>
      <w:r w:rsidRPr="00B75B77">
        <w:t>;</w:t>
      </w:r>
      <w:r w:rsidRPr="00B75B77" w:rsidDel="0058175D">
        <w:t xml:space="preserve"> a verification and due diligence review</w:t>
      </w:r>
      <w:r w:rsidRPr="00B75B77">
        <w:t>;</w:t>
      </w:r>
      <w:r w:rsidRPr="00B75B77" w:rsidDel="0058175D">
        <w:t xml:space="preserve"> interviews with PECO program managers</w:t>
      </w:r>
      <w:r w:rsidRPr="00B75B77">
        <w:t xml:space="preserve"> and</w:t>
      </w:r>
      <w:r w:rsidRPr="00B75B77" w:rsidDel="0058175D">
        <w:t xml:space="preserve"> i</w:t>
      </w:r>
      <w:r w:rsidRPr="00B75B77">
        <w:t>mplementation contractor staff;</w:t>
      </w:r>
      <w:r w:rsidRPr="00B75B77" w:rsidDel="0058175D">
        <w:t xml:space="preserve"> participant surveys</w:t>
      </w:r>
      <w:r w:rsidRPr="00B75B77">
        <w:t>;</w:t>
      </w:r>
      <w:r w:rsidRPr="00B75B77" w:rsidDel="0058175D">
        <w:t xml:space="preserve"> and market actor</w:t>
      </w:r>
      <w:r w:rsidRPr="00B75B77">
        <w:t xml:space="preserve"> interviews</w:t>
      </w:r>
      <w:r w:rsidRPr="00B75B77" w:rsidDel="0058175D">
        <w:t xml:space="preserve">. </w:t>
      </w:r>
      <w:r w:rsidR="00AE3DED" w:rsidRPr="00B75B77">
        <w:fldChar w:fldCharType="begin"/>
      </w:r>
      <w:r w:rsidR="00AE3DED" w:rsidRPr="00B75B77">
        <w:instrText xml:space="preserve"> REF _Ref464223704 \h </w:instrText>
      </w:r>
      <w:r w:rsidR="00B75B77">
        <w:instrText xml:space="preserve"> \* MERGEFORMAT </w:instrText>
      </w:r>
      <w:r w:rsidR="00AE3DED" w:rsidRPr="00B75B77">
        <w:fldChar w:fldCharType="separate"/>
      </w:r>
      <w:r w:rsidR="0004016D" w:rsidRPr="00B75B77">
        <w:t xml:space="preserve">Table </w:t>
      </w:r>
      <w:r w:rsidR="0004016D">
        <w:rPr>
          <w:noProof/>
        </w:rPr>
        <w:t>12</w:t>
      </w:r>
      <w:r w:rsidR="0004016D" w:rsidRPr="00B75B77">
        <w:rPr>
          <w:noProof/>
        </w:rPr>
        <w:noBreakHyphen/>
      </w:r>
      <w:r w:rsidR="0004016D">
        <w:rPr>
          <w:noProof/>
        </w:rPr>
        <w:t>9</w:t>
      </w:r>
      <w:r w:rsidR="00AE3DED" w:rsidRPr="00B75B77">
        <w:fldChar w:fldCharType="end"/>
      </w:r>
      <w:r w:rsidRPr="00B75B77">
        <w:t xml:space="preserve"> lists a summary of each recommendation along with the PECO status.</w:t>
      </w:r>
    </w:p>
    <w:p w:rsidR="000E1EED" w:rsidRPr="00B75B77" w:rsidRDefault="000E1EED" w:rsidP="0004543D"/>
    <w:p w:rsidR="000E1EED" w:rsidRPr="00B75B77" w:rsidRDefault="000E1EED" w:rsidP="007F0D42">
      <w:pPr>
        <w:pStyle w:val="Caption"/>
      </w:pPr>
      <w:bookmarkStart w:id="802" w:name="_Ref464223704"/>
      <w:bookmarkStart w:id="803" w:name="_Toc466413606"/>
      <w:r w:rsidRPr="00B75B77">
        <w:t xml:space="preserve">Table </w:t>
      </w:r>
      <w:fldSimple w:instr=" STYLEREF 1 \s ">
        <w:r w:rsidR="0004016D">
          <w:rPr>
            <w:noProof/>
          </w:rPr>
          <w:t>12</w:t>
        </w:r>
      </w:fldSimple>
      <w:r w:rsidR="00F1144C" w:rsidRPr="00B75B77">
        <w:noBreakHyphen/>
      </w:r>
      <w:fldSimple w:instr=" SEQ Table \* ARABIC \s 1 ">
        <w:r w:rsidR="0004016D">
          <w:rPr>
            <w:noProof/>
          </w:rPr>
          <w:t>9</w:t>
        </w:r>
      </w:fldSimple>
      <w:bookmarkEnd w:id="802"/>
      <w:r w:rsidRPr="00B75B77">
        <w:t>: Smart Equipment Incentives (GNI) Status Report on Process and Impact Recommendations</w:t>
      </w:r>
      <w:bookmarkEnd w:id="803"/>
      <w:r w:rsidRPr="00B75B77">
        <w:t xml:space="preserve"> </w:t>
      </w:r>
    </w:p>
    <w:tbl>
      <w:tblPr>
        <w:tblStyle w:val="MediumShading1-Accent5"/>
        <w:tblW w:w="936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4680"/>
        <w:gridCol w:w="4680"/>
      </w:tblGrid>
      <w:tr w:rsidR="000E1EED" w:rsidRPr="00B75B77" w:rsidTr="00FE621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auto"/>
              <w:left w:val="single" w:sz="4" w:space="0" w:color="auto"/>
              <w:bottom w:val="single" w:sz="4" w:space="0" w:color="auto"/>
              <w:right w:val="single" w:sz="4" w:space="0" w:color="auto"/>
            </w:tcBorders>
            <w:shd w:val="clear" w:color="auto" w:fill="448A99"/>
            <w:vAlign w:val="center"/>
            <w:hideMark/>
          </w:tcPr>
          <w:p w:rsidR="000E1EED" w:rsidRPr="00B75B77" w:rsidRDefault="000E1EED" w:rsidP="00594255">
            <w:pPr>
              <w:jc w:val="left"/>
              <w:rPr>
                <w:rFonts w:ascii="Calibri" w:eastAsia="Times New Roman" w:hAnsi="Calibri"/>
                <w:bCs w:val="0"/>
                <w:sz w:val="18"/>
              </w:rPr>
            </w:pPr>
            <w:r w:rsidRPr="00B75B77">
              <w:rPr>
                <w:rFonts w:ascii="Calibri" w:eastAsia="Times New Roman" w:hAnsi="Calibri"/>
                <w:bCs w:val="0"/>
                <w:sz w:val="18"/>
              </w:rPr>
              <w:t>Recommendations</w:t>
            </w:r>
          </w:p>
        </w:tc>
        <w:tc>
          <w:tcPr>
            <w:tcW w:w="4680" w:type="dxa"/>
            <w:tcBorders>
              <w:top w:val="single" w:sz="4" w:space="0" w:color="auto"/>
              <w:left w:val="single" w:sz="4" w:space="0" w:color="auto"/>
              <w:bottom w:val="single" w:sz="4" w:space="0" w:color="auto"/>
              <w:right w:val="single" w:sz="4" w:space="0" w:color="auto"/>
            </w:tcBorders>
            <w:shd w:val="clear" w:color="auto" w:fill="448A99"/>
            <w:vAlign w:val="center"/>
            <w:hideMark/>
          </w:tcPr>
          <w:p w:rsidR="000E1EED" w:rsidRPr="00B75B77" w:rsidRDefault="000E1EED" w:rsidP="00594255">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rPr>
            </w:pPr>
            <w:r w:rsidRPr="00B75B77">
              <w:rPr>
                <w:rFonts w:ascii="Calibri" w:eastAsia="Times New Roman" w:hAnsi="Calibri"/>
                <w:bCs w:val="0"/>
                <w:sz w:val="18"/>
              </w:rPr>
              <w:t>EDC Status of Recommendation (Implemented, Being Considered, Rejected AND Explanation of Action Taken by EDC)</w:t>
            </w:r>
          </w:p>
        </w:tc>
      </w:tr>
      <w:tr w:rsidR="000E1EED" w:rsidRPr="00B75B77" w:rsidTr="003E49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auto"/>
              <w:left w:val="single" w:sz="4" w:space="0" w:color="448A99"/>
              <w:bottom w:val="single" w:sz="4" w:space="0" w:color="448A99"/>
              <w:right w:val="single" w:sz="4" w:space="0" w:color="448A99"/>
            </w:tcBorders>
            <w:noWrap/>
            <w:vAlign w:val="center"/>
            <w:hideMark/>
          </w:tcPr>
          <w:p w:rsidR="000E1EED" w:rsidRPr="00B75B77" w:rsidRDefault="000E1EED" w:rsidP="00594255">
            <w:pPr>
              <w:jc w:val="left"/>
              <w:rPr>
                <w:rFonts w:ascii="Calibri" w:eastAsia="Times New Roman" w:hAnsi="Calibri"/>
                <w:b w:val="0"/>
                <w:color w:val="000000"/>
                <w:sz w:val="18"/>
              </w:rPr>
            </w:pPr>
            <w:r w:rsidRPr="00B75B77">
              <w:rPr>
                <w:rFonts w:ascii="Calibri" w:eastAsia="Times New Roman" w:hAnsi="Calibri"/>
                <w:color w:val="000000"/>
                <w:sz w:val="18"/>
              </w:rPr>
              <w:t>Recommendation 1</w:t>
            </w:r>
            <w:r w:rsidR="00186B48" w:rsidRPr="00B75B77">
              <w:rPr>
                <w:rFonts w:ascii="Calibri" w:eastAsia="Times New Roman" w:hAnsi="Calibri"/>
                <w:color w:val="000000"/>
                <w:sz w:val="18"/>
              </w:rPr>
              <w:t xml:space="preserve">: </w:t>
            </w:r>
            <w:r w:rsidRPr="00B75B77">
              <w:rPr>
                <w:rFonts w:cs="Arial"/>
                <w:b w:val="0"/>
                <w:color w:val="000000"/>
                <w:sz w:val="18"/>
              </w:rPr>
              <w:t>Segment population further to explore the value of the SEI program and identify marketing or outreach approaches to reach the harder to reach segments. Develop marketing approaches for specific business types to cater to the needs of that segment.</w:t>
            </w:r>
          </w:p>
        </w:tc>
        <w:tc>
          <w:tcPr>
            <w:tcW w:w="4680" w:type="dxa"/>
            <w:tcBorders>
              <w:top w:val="single" w:sz="4" w:space="0" w:color="auto"/>
              <w:left w:val="single" w:sz="4" w:space="0" w:color="448A99"/>
              <w:bottom w:val="single" w:sz="4" w:space="0" w:color="448A99"/>
              <w:right w:val="single" w:sz="4" w:space="0" w:color="448A99"/>
            </w:tcBorders>
            <w:noWrap/>
            <w:hideMark/>
          </w:tcPr>
          <w:p w:rsidR="000E1EED" w:rsidRPr="00B75B77" w:rsidRDefault="003E49D6" w:rsidP="003E49D6">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rPr>
            </w:pPr>
            <w:r w:rsidRPr="00B75B77">
              <w:rPr>
                <w:rFonts w:ascii="Calibri" w:eastAsia="Times New Roman" w:hAnsi="Calibri"/>
                <w:b/>
                <w:color w:val="000000"/>
                <w:sz w:val="18"/>
              </w:rPr>
              <w:t xml:space="preserve">Implemented: </w:t>
            </w:r>
            <w:r w:rsidRPr="00B75B77">
              <w:rPr>
                <w:rFonts w:ascii="Calibri" w:eastAsia="Times New Roman" w:hAnsi="Calibri"/>
                <w:color w:val="000000"/>
                <w:sz w:val="18"/>
              </w:rPr>
              <w:t>PECO has been working on a robust marketing plan to target the industrial and commercial sector areas that are hard to reach.</w:t>
            </w:r>
          </w:p>
        </w:tc>
      </w:tr>
      <w:tr w:rsidR="000E1EED" w:rsidRPr="00B75B77" w:rsidTr="003E49D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448A99"/>
              <w:left w:val="single" w:sz="4" w:space="0" w:color="448A99"/>
              <w:bottom w:val="single" w:sz="4" w:space="0" w:color="448A99"/>
              <w:right w:val="single" w:sz="4" w:space="0" w:color="448A99"/>
            </w:tcBorders>
            <w:shd w:val="clear" w:color="auto" w:fill="auto"/>
            <w:noWrap/>
            <w:vAlign w:val="center"/>
            <w:hideMark/>
          </w:tcPr>
          <w:p w:rsidR="004170FC" w:rsidRPr="00B75B77" w:rsidRDefault="000E1EED" w:rsidP="00594255">
            <w:pPr>
              <w:jc w:val="left"/>
              <w:rPr>
                <w:rFonts w:ascii="Calibri" w:eastAsia="Times New Roman" w:hAnsi="Calibri"/>
                <w:color w:val="000000"/>
                <w:sz w:val="18"/>
              </w:rPr>
            </w:pPr>
            <w:r w:rsidRPr="00B75B77">
              <w:rPr>
                <w:rFonts w:ascii="Calibri" w:eastAsia="Times New Roman" w:hAnsi="Calibri"/>
                <w:color w:val="000000"/>
                <w:sz w:val="18"/>
              </w:rPr>
              <w:t>Recommendation 2</w:t>
            </w:r>
            <w:r w:rsidR="004170FC" w:rsidRPr="00B75B77">
              <w:rPr>
                <w:rFonts w:ascii="Calibri" w:eastAsia="Times New Roman" w:hAnsi="Calibri"/>
                <w:color w:val="000000"/>
                <w:sz w:val="18"/>
              </w:rPr>
              <w:t>:</w:t>
            </w:r>
            <w:r w:rsidR="00186B48" w:rsidRPr="00B75B77">
              <w:rPr>
                <w:rFonts w:ascii="Calibri" w:eastAsia="Times New Roman" w:hAnsi="Calibri"/>
                <w:color w:val="000000"/>
                <w:sz w:val="18"/>
              </w:rPr>
              <w:t xml:space="preserve"> </w:t>
            </w:r>
          </w:p>
          <w:p w:rsidR="004170FC" w:rsidRPr="00B75B77" w:rsidRDefault="004170FC" w:rsidP="004170FC">
            <w:pPr>
              <w:ind w:left="247" w:hanging="247"/>
              <w:jc w:val="left"/>
              <w:rPr>
                <w:rFonts w:cs="Arial"/>
                <w:b w:val="0"/>
                <w:color w:val="000000"/>
                <w:sz w:val="18"/>
              </w:rPr>
            </w:pPr>
            <w:r w:rsidRPr="00B75B77">
              <w:rPr>
                <w:rFonts w:cs="Arial"/>
                <w:b w:val="0"/>
                <w:color w:val="000000"/>
                <w:sz w:val="18"/>
              </w:rPr>
              <w:t xml:space="preserve">a.   </w:t>
            </w:r>
            <w:r w:rsidR="000E1EED" w:rsidRPr="00B75B77">
              <w:rPr>
                <w:rFonts w:cs="Arial"/>
                <w:b w:val="0"/>
                <w:color w:val="000000"/>
                <w:sz w:val="18"/>
              </w:rPr>
              <w:t xml:space="preserve">Change the trade ally incentives program to incent targeted project types or customer segments. </w:t>
            </w:r>
          </w:p>
          <w:p w:rsidR="004170FC" w:rsidRPr="00B75B77" w:rsidRDefault="004170FC" w:rsidP="00C8082F">
            <w:pPr>
              <w:ind w:left="247" w:hanging="247"/>
              <w:jc w:val="left"/>
              <w:rPr>
                <w:rFonts w:cs="Arial"/>
                <w:b w:val="0"/>
                <w:color w:val="000000"/>
                <w:sz w:val="18"/>
              </w:rPr>
            </w:pPr>
            <w:proofErr w:type="gramStart"/>
            <w:r w:rsidRPr="00B75B77">
              <w:rPr>
                <w:rFonts w:cs="Arial"/>
                <w:b w:val="0"/>
                <w:color w:val="000000"/>
                <w:sz w:val="18"/>
              </w:rPr>
              <w:t>b.  Outreach</w:t>
            </w:r>
            <w:proofErr w:type="gramEnd"/>
            <w:r w:rsidRPr="00B75B77">
              <w:rPr>
                <w:rFonts w:cs="Arial"/>
                <w:b w:val="0"/>
                <w:color w:val="000000"/>
                <w:sz w:val="18"/>
              </w:rPr>
              <w:t xml:space="preserve"> to engage new trade allies in the program (especially local contractors, who are less likely to pursue projects in other states where incentives are richer).</w:t>
            </w:r>
          </w:p>
        </w:tc>
        <w:tc>
          <w:tcPr>
            <w:tcW w:w="4680" w:type="dxa"/>
            <w:tcBorders>
              <w:top w:val="single" w:sz="4" w:space="0" w:color="448A99"/>
              <w:left w:val="single" w:sz="4" w:space="0" w:color="448A99"/>
              <w:bottom w:val="single" w:sz="4" w:space="0" w:color="448A99"/>
              <w:right w:val="single" w:sz="4" w:space="0" w:color="448A99"/>
            </w:tcBorders>
            <w:shd w:val="clear" w:color="auto" w:fill="auto"/>
            <w:noWrap/>
            <w:hideMark/>
          </w:tcPr>
          <w:p w:rsidR="000E1EED" w:rsidRPr="00B75B77" w:rsidRDefault="003E49D6" w:rsidP="003E49D6">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rPr>
            </w:pPr>
            <w:r w:rsidRPr="00B75B77">
              <w:rPr>
                <w:rFonts w:ascii="Calibri" w:eastAsia="Times New Roman" w:hAnsi="Calibri"/>
                <w:b/>
                <w:color w:val="000000"/>
                <w:sz w:val="18"/>
              </w:rPr>
              <w:t>Implemented:</w:t>
            </w:r>
            <w:r w:rsidR="002548AE" w:rsidRPr="00B75B77">
              <w:rPr>
                <w:rFonts w:ascii="Calibri" w:eastAsia="Times New Roman" w:hAnsi="Calibri"/>
                <w:color w:val="000000"/>
                <w:sz w:val="18"/>
              </w:rPr>
              <w:t xml:space="preserve"> In Phase III, </w:t>
            </w:r>
            <w:r w:rsidRPr="00B75B77">
              <w:rPr>
                <w:rFonts w:ascii="Calibri" w:eastAsia="Times New Roman" w:hAnsi="Calibri"/>
                <w:color w:val="000000"/>
                <w:sz w:val="18"/>
              </w:rPr>
              <w:t>PECO revised the program design to incent the trade ally’s on a project or customer basis, to offer a comprehensive solution as oppose to measure based approach.</w:t>
            </w:r>
          </w:p>
        </w:tc>
      </w:tr>
      <w:tr w:rsidR="000E1EED" w:rsidRPr="00B75B77" w:rsidTr="003E49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448A99"/>
              <w:left w:val="single" w:sz="4" w:space="0" w:color="448A99"/>
              <w:bottom w:val="single" w:sz="4" w:space="0" w:color="448A99"/>
              <w:right w:val="single" w:sz="4" w:space="0" w:color="448A99"/>
            </w:tcBorders>
            <w:shd w:val="clear" w:color="auto" w:fill="D2EAF1"/>
            <w:noWrap/>
            <w:vAlign w:val="center"/>
            <w:hideMark/>
          </w:tcPr>
          <w:p w:rsidR="000E1EED" w:rsidRPr="00B75B77" w:rsidRDefault="000E1EED" w:rsidP="00594255">
            <w:pPr>
              <w:jc w:val="left"/>
              <w:rPr>
                <w:rFonts w:ascii="Calibri" w:eastAsia="Times New Roman" w:hAnsi="Calibri"/>
                <w:b w:val="0"/>
                <w:color w:val="000000"/>
                <w:sz w:val="18"/>
              </w:rPr>
            </w:pPr>
            <w:r w:rsidRPr="00B75B77">
              <w:rPr>
                <w:rFonts w:ascii="Calibri" w:eastAsia="Times New Roman" w:hAnsi="Calibri"/>
                <w:color w:val="000000"/>
                <w:sz w:val="18"/>
              </w:rPr>
              <w:t>Recommendation 3</w:t>
            </w:r>
            <w:r w:rsidR="00186B48" w:rsidRPr="00B75B77">
              <w:rPr>
                <w:rFonts w:ascii="Calibri" w:eastAsia="Times New Roman" w:hAnsi="Calibri"/>
                <w:color w:val="000000"/>
                <w:sz w:val="18"/>
              </w:rPr>
              <w:t xml:space="preserve">: </w:t>
            </w:r>
            <w:r w:rsidRPr="00B75B77">
              <w:rPr>
                <w:rFonts w:cs="Arial"/>
                <w:b w:val="0"/>
                <w:sz w:val="18"/>
              </w:rPr>
              <w:t>Increase assistance with completing required documentation and TRM worksheets for custom projects.</w:t>
            </w:r>
          </w:p>
        </w:tc>
        <w:tc>
          <w:tcPr>
            <w:tcW w:w="4680" w:type="dxa"/>
            <w:tcBorders>
              <w:top w:val="single" w:sz="4" w:space="0" w:color="448A99"/>
              <w:left w:val="single" w:sz="4" w:space="0" w:color="448A99"/>
              <w:bottom w:val="single" w:sz="4" w:space="0" w:color="448A99"/>
              <w:right w:val="single" w:sz="4" w:space="0" w:color="448A99"/>
            </w:tcBorders>
            <w:shd w:val="clear" w:color="auto" w:fill="D2EAF1"/>
            <w:noWrap/>
            <w:hideMark/>
          </w:tcPr>
          <w:p w:rsidR="000E1EED" w:rsidRPr="00B75B77" w:rsidRDefault="003E49D6" w:rsidP="003E49D6">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rPr>
            </w:pPr>
            <w:r w:rsidRPr="00B75B77">
              <w:rPr>
                <w:b/>
                <w:sz w:val="18"/>
                <w:szCs w:val="18"/>
              </w:rPr>
              <w:t>Implemented:</w:t>
            </w:r>
            <w:r w:rsidRPr="00B75B77">
              <w:rPr>
                <w:sz w:val="18"/>
                <w:szCs w:val="18"/>
              </w:rPr>
              <w:t xml:space="preserve"> PECO is offering “hand-held” assistance with translating the TRM specifications for custom projects.</w:t>
            </w:r>
          </w:p>
        </w:tc>
      </w:tr>
      <w:tr w:rsidR="000E1EED" w:rsidRPr="00B75B77" w:rsidTr="003E49D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0E1EED" w:rsidRPr="00B75B77" w:rsidRDefault="000E1EED" w:rsidP="00594255">
            <w:pPr>
              <w:jc w:val="left"/>
              <w:rPr>
                <w:rFonts w:ascii="Calibri" w:eastAsia="Times New Roman" w:hAnsi="Calibri"/>
                <w:b w:val="0"/>
                <w:color w:val="000000"/>
                <w:sz w:val="18"/>
              </w:rPr>
            </w:pPr>
            <w:r w:rsidRPr="00B75B77">
              <w:rPr>
                <w:rFonts w:ascii="Calibri" w:eastAsia="Times New Roman" w:hAnsi="Calibri"/>
                <w:color w:val="000000"/>
                <w:sz w:val="18"/>
              </w:rPr>
              <w:t>Recommendation 4</w:t>
            </w:r>
            <w:r w:rsidR="00186B48" w:rsidRPr="00B75B77">
              <w:rPr>
                <w:rFonts w:ascii="Calibri" w:eastAsia="Times New Roman" w:hAnsi="Calibri"/>
                <w:color w:val="000000"/>
                <w:sz w:val="18"/>
              </w:rPr>
              <w:t xml:space="preserve">: </w:t>
            </w:r>
            <w:r w:rsidRPr="00B75B77">
              <w:rPr>
                <w:rFonts w:cs="Arial"/>
                <w:b w:val="0"/>
                <w:sz w:val="18"/>
              </w:rPr>
              <w:t xml:space="preserve">Use the </w:t>
            </w:r>
            <w:r w:rsidR="00FE621B" w:rsidRPr="00B75B77">
              <w:rPr>
                <w:rFonts w:cs="Arial"/>
                <w:b w:val="0"/>
                <w:sz w:val="18"/>
              </w:rPr>
              <w:t>“</w:t>
            </w:r>
            <w:r w:rsidRPr="00B75B77">
              <w:rPr>
                <w:rFonts w:cs="Arial"/>
                <w:b w:val="0"/>
                <w:sz w:val="18"/>
              </w:rPr>
              <w:t>limited time offer</w:t>
            </w:r>
            <w:r w:rsidR="00FE621B" w:rsidRPr="00B75B77">
              <w:rPr>
                <w:rFonts w:cs="Arial"/>
                <w:b w:val="0"/>
                <w:sz w:val="18"/>
              </w:rPr>
              <w:t>”</w:t>
            </w:r>
            <w:r w:rsidRPr="00B75B77">
              <w:rPr>
                <w:rFonts w:cs="Arial"/>
                <w:b w:val="0"/>
                <w:sz w:val="18"/>
              </w:rPr>
              <w:t xml:space="preserve"> as a lever in future years if participation is low.</w:t>
            </w:r>
          </w:p>
        </w:tc>
        <w:tc>
          <w:tcPr>
            <w:tcW w:w="4680" w:type="dxa"/>
            <w:tcBorders>
              <w:top w:val="single" w:sz="4" w:space="0" w:color="448A99"/>
              <w:left w:val="single" w:sz="4" w:space="0" w:color="448A99"/>
              <w:bottom w:val="single" w:sz="4" w:space="0" w:color="448A99"/>
              <w:right w:val="single" w:sz="4" w:space="0" w:color="448A99"/>
            </w:tcBorders>
            <w:shd w:val="clear" w:color="auto" w:fill="auto"/>
            <w:noWrap/>
          </w:tcPr>
          <w:p w:rsidR="000E1EED" w:rsidRPr="00B75B77" w:rsidRDefault="003E49D6" w:rsidP="003E49D6">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rPr>
            </w:pPr>
            <w:r w:rsidRPr="00B75B77">
              <w:rPr>
                <w:b/>
                <w:color w:val="000000"/>
                <w:sz w:val="18"/>
                <w:szCs w:val="18"/>
              </w:rPr>
              <w:t>Implemented:</w:t>
            </w:r>
            <w:r w:rsidRPr="00B75B77">
              <w:rPr>
                <w:color w:val="000000"/>
                <w:sz w:val="18"/>
                <w:szCs w:val="18"/>
              </w:rPr>
              <w:t xml:space="preserve"> PECO is working with EEMF to establish a lever to have better controls around program participation.</w:t>
            </w:r>
          </w:p>
        </w:tc>
      </w:tr>
      <w:tr w:rsidR="000E1EED" w:rsidRPr="00B75B77" w:rsidTr="003E49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4170FC" w:rsidRPr="00B75B77" w:rsidRDefault="000E1EED" w:rsidP="00594255">
            <w:pPr>
              <w:jc w:val="left"/>
              <w:rPr>
                <w:rFonts w:ascii="Calibri" w:eastAsia="Times New Roman" w:hAnsi="Calibri"/>
                <w:color w:val="000000"/>
                <w:sz w:val="18"/>
              </w:rPr>
            </w:pPr>
            <w:r w:rsidRPr="00B75B77">
              <w:rPr>
                <w:rFonts w:ascii="Calibri" w:eastAsia="Times New Roman" w:hAnsi="Calibri"/>
                <w:color w:val="000000"/>
                <w:sz w:val="18"/>
              </w:rPr>
              <w:t xml:space="preserve">Recommendation </w:t>
            </w:r>
            <w:r w:rsidR="004170FC" w:rsidRPr="00B75B77">
              <w:rPr>
                <w:rFonts w:ascii="Calibri" w:eastAsia="Times New Roman" w:hAnsi="Calibri"/>
                <w:color w:val="000000"/>
                <w:sz w:val="18"/>
              </w:rPr>
              <w:t xml:space="preserve">5: </w:t>
            </w:r>
          </w:p>
          <w:p w:rsidR="004170FC" w:rsidRPr="00B75B77" w:rsidRDefault="004170FC" w:rsidP="004170FC">
            <w:pPr>
              <w:ind w:left="247" w:hanging="247"/>
              <w:jc w:val="left"/>
              <w:rPr>
                <w:rFonts w:cs="Arial"/>
                <w:b w:val="0"/>
                <w:sz w:val="18"/>
              </w:rPr>
            </w:pPr>
            <w:proofErr w:type="gramStart"/>
            <w:r w:rsidRPr="00B75B77">
              <w:rPr>
                <w:rFonts w:ascii="Calibri" w:eastAsia="Times New Roman" w:hAnsi="Calibri"/>
                <w:b w:val="0"/>
                <w:color w:val="000000"/>
                <w:sz w:val="18"/>
              </w:rPr>
              <w:t xml:space="preserve">a.  </w:t>
            </w:r>
            <w:r w:rsidR="000E1EED" w:rsidRPr="00B75B77">
              <w:rPr>
                <w:rFonts w:cs="Arial"/>
                <w:b w:val="0"/>
                <w:sz w:val="18"/>
              </w:rPr>
              <w:t>PECO</w:t>
            </w:r>
            <w:proofErr w:type="gramEnd"/>
            <w:r w:rsidR="000E1EED" w:rsidRPr="00B75B77">
              <w:rPr>
                <w:rFonts w:cs="Arial"/>
                <w:b w:val="0"/>
                <w:sz w:val="18"/>
              </w:rPr>
              <w:t xml:space="preserve"> should require the implementer to build in a "flag" in </w:t>
            </w:r>
            <w:r w:rsidR="00FE621B" w:rsidRPr="00B75B77">
              <w:rPr>
                <w:rFonts w:cs="Arial"/>
                <w:b w:val="0"/>
                <w:sz w:val="18"/>
              </w:rPr>
              <w:t xml:space="preserve">its </w:t>
            </w:r>
            <w:r w:rsidR="000E1EED" w:rsidRPr="00B75B77">
              <w:rPr>
                <w:rFonts w:cs="Arial"/>
                <w:b w:val="0"/>
                <w:sz w:val="18"/>
              </w:rPr>
              <w:t>project database that identifies if a site is threshold metering. The implementer should then make sure to send over the project files to evaluator as soon as they are entered into the system.</w:t>
            </w:r>
          </w:p>
          <w:p w:rsidR="004170FC" w:rsidRPr="00B75B77" w:rsidRDefault="004170FC" w:rsidP="004170FC">
            <w:pPr>
              <w:ind w:left="247" w:hanging="247"/>
              <w:jc w:val="left"/>
              <w:rPr>
                <w:rFonts w:cs="Arial"/>
                <w:b w:val="0"/>
                <w:sz w:val="18"/>
              </w:rPr>
            </w:pPr>
            <w:proofErr w:type="gramStart"/>
            <w:r w:rsidRPr="00B75B77">
              <w:rPr>
                <w:rFonts w:cs="Arial"/>
                <w:b w:val="0"/>
                <w:sz w:val="18"/>
              </w:rPr>
              <w:t>b.  Streamline</w:t>
            </w:r>
            <w:proofErr w:type="gramEnd"/>
            <w:r w:rsidRPr="00B75B77">
              <w:rPr>
                <w:rFonts w:cs="Arial"/>
                <w:b w:val="0"/>
                <w:sz w:val="18"/>
              </w:rPr>
              <w:t xml:space="preserve"> database by limiting number of dates and removing unnecessary fields. Assess data requirements of all relevant parties (PECO, SWE, and Navigant) and only include required fields.</w:t>
            </w:r>
          </w:p>
        </w:tc>
        <w:tc>
          <w:tcPr>
            <w:tcW w:w="4680" w:type="dxa"/>
            <w:tcBorders>
              <w:top w:val="single" w:sz="4" w:space="0" w:color="448A99"/>
              <w:left w:val="single" w:sz="4" w:space="0" w:color="448A99"/>
              <w:bottom w:val="single" w:sz="4" w:space="0" w:color="448A99"/>
              <w:right w:val="single" w:sz="4" w:space="0" w:color="448A99"/>
            </w:tcBorders>
            <w:shd w:val="clear" w:color="auto" w:fill="D2EAF1"/>
            <w:noWrap/>
          </w:tcPr>
          <w:p w:rsidR="000E1EED" w:rsidRPr="00B75B77" w:rsidRDefault="003E49D6" w:rsidP="003E49D6">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18"/>
              </w:rPr>
            </w:pPr>
            <w:r w:rsidRPr="00B75B77">
              <w:rPr>
                <w:b/>
                <w:sz w:val="18"/>
                <w:szCs w:val="18"/>
              </w:rPr>
              <w:t>Being Considered:</w:t>
            </w:r>
            <w:r w:rsidRPr="00B75B77">
              <w:rPr>
                <w:sz w:val="18"/>
                <w:szCs w:val="18"/>
              </w:rPr>
              <w:t xml:space="preserve"> Working with tracking system vendor to capture these features in the next Phase.</w:t>
            </w:r>
          </w:p>
        </w:tc>
      </w:tr>
    </w:tbl>
    <w:p w:rsidR="000E1EED" w:rsidRPr="00B75B77" w:rsidRDefault="000E1EED" w:rsidP="00707B64">
      <w:pPr>
        <w:pStyle w:val="Source"/>
        <w:keepNext/>
        <w:ind w:left="90" w:firstLine="0"/>
      </w:pPr>
      <w:r w:rsidRPr="00B75B77">
        <w:t>Source: Navigant analysis</w:t>
      </w:r>
    </w:p>
    <w:p w:rsidR="000E1EED" w:rsidRPr="00B75B77" w:rsidRDefault="000E1EED" w:rsidP="00B513C0"/>
    <w:p w:rsidR="000E1EED" w:rsidRPr="00B75B77" w:rsidRDefault="000E1EED">
      <w:pPr>
        <w:jc w:val="left"/>
        <w:rPr>
          <w:rFonts w:ascii="Century Gothic" w:hAnsi="Century Gothic"/>
          <w:b/>
          <w:smallCaps/>
          <w:sz w:val="24"/>
        </w:rPr>
      </w:pPr>
      <w:r w:rsidRPr="00B75B77">
        <w:br w:type="page"/>
      </w:r>
    </w:p>
    <w:p w:rsidR="000E1EED" w:rsidRPr="00B75B77" w:rsidRDefault="000E1EED" w:rsidP="00D12857">
      <w:pPr>
        <w:pStyle w:val="Heading2"/>
      </w:pPr>
      <w:bookmarkStart w:id="804" w:name="_Toc466413422"/>
      <w:r w:rsidRPr="00B75B77">
        <w:lastRenderedPageBreak/>
        <w:t>Financial Reporting</w:t>
      </w:r>
      <w:bookmarkEnd w:id="804"/>
    </w:p>
    <w:p w:rsidR="000E1EED" w:rsidRPr="00B75B77" w:rsidRDefault="000E1EED" w:rsidP="00707B64">
      <w:pPr>
        <w:keepNext/>
      </w:pPr>
      <w:r w:rsidRPr="00B75B77">
        <w:t xml:space="preserve">A breakdown of the program finances (by program) is presented in </w:t>
      </w:r>
      <w:r w:rsidR="00AE3DED" w:rsidRPr="00B75B77">
        <w:fldChar w:fldCharType="begin"/>
      </w:r>
      <w:r w:rsidR="00AE3DED" w:rsidRPr="00B75B77">
        <w:instrText xml:space="preserve"> REF _Ref464223713 \h  \* MERGEFORMAT </w:instrText>
      </w:r>
      <w:r w:rsidR="00AE3DED" w:rsidRPr="00B75B77">
        <w:fldChar w:fldCharType="separate"/>
      </w:r>
      <w:r w:rsidR="0004016D" w:rsidRPr="00B75B77">
        <w:t xml:space="preserve">Table </w:t>
      </w:r>
      <w:r w:rsidR="0004016D">
        <w:rPr>
          <w:noProof/>
        </w:rPr>
        <w:t>12</w:t>
      </w:r>
      <w:r w:rsidR="0004016D" w:rsidRPr="00B75B77">
        <w:rPr>
          <w:noProof/>
        </w:rPr>
        <w:noBreakHyphen/>
      </w:r>
      <w:r w:rsidR="0004016D">
        <w:rPr>
          <w:noProof/>
        </w:rPr>
        <w:t>10</w:t>
      </w:r>
      <w:r w:rsidR="00AE3DED" w:rsidRPr="00B75B77">
        <w:fldChar w:fldCharType="end"/>
      </w:r>
      <w:r w:rsidR="00AE3DED" w:rsidRPr="00B75B77">
        <w:t>.</w:t>
      </w:r>
    </w:p>
    <w:p w:rsidR="000E1EED" w:rsidRPr="00B75B77" w:rsidRDefault="000E1EED" w:rsidP="003402AA">
      <w:pPr>
        <w:jc w:val="center"/>
      </w:pPr>
    </w:p>
    <w:p w:rsidR="000E1EED" w:rsidRPr="00B75B77" w:rsidRDefault="000E1EED" w:rsidP="007F0D42">
      <w:pPr>
        <w:pStyle w:val="Caption"/>
      </w:pPr>
      <w:bookmarkStart w:id="805" w:name="_Ref464223713"/>
      <w:bookmarkStart w:id="806" w:name="_Toc466413607"/>
      <w:r w:rsidRPr="00B75B77">
        <w:t xml:space="preserve">Table </w:t>
      </w:r>
      <w:fldSimple w:instr=" STYLEREF 1 \s ">
        <w:r w:rsidR="0004016D">
          <w:rPr>
            <w:noProof/>
          </w:rPr>
          <w:t>12</w:t>
        </w:r>
      </w:fldSimple>
      <w:r w:rsidR="00F1144C" w:rsidRPr="00B75B77">
        <w:noBreakHyphen/>
      </w:r>
      <w:fldSimple w:instr=" SEQ Table \* ARABIC \s 1 ">
        <w:r w:rsidR="0004016D">
          <w:rPr>
            <w:noProof/>
          </w:rPr>
          <w:t>10</w:t>
        </w:r>
      </w:fldSimple>
      <w:bookmarkEnd w:id="805"/>
      <w:r w:rsidRPr="00B75B77">
        <w:t>: Summary of Smart Equipment Incentives (GNI) Program Finances</w:t>
      </w:r>
      <w:bookmarkEnd w:id="806"/>
    </w:p>
    <w:tbl>
      <w:tblPr>
        <w:tblStyle w:val="MediumShading1-Accent5"/>
        <w:tblW w:w="9517" w:type="dxa"/>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0A0" w:firstRow="1" w:lastRow="0" w:firstColumn="1" w:lastColumn="0" w:noHBand="0" w:noVBand="0"/>
      </w:tblPr>
      <w:tblGrid>
        <w:gridCol w:w="1062"/>
        <w:gridCol w:w="5935"/>
        <w:gridCol w:w="1168"/>
        <w:gridCol w:w="1352"/>
      </w:tblGrid>
      <w:tr w:rsidR="000E1EED" w:rsidRPr="00B75B77" w:rsidTr="005E445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2" w:type="dxa"/>
            <w:vMerge w:val="restart"/>
            <w:tcBorders>
              <w:top w:val="single" w:sz="4" w:space="0" w:color="auto"/>
              <w:left w:val="single" w:sz="4" w:space="0" w:color="auto"/>
              <w:bottom w:val="single" w:sz="4" w:space="0" w:color="auto"/>
              <w:right w:val="single" w:sz="4" w:space="0" w:color="auto"/>
            </w:tcBorders>
            <w:shd w:val="clear" w:color="auto" w:fill="448A99"/>
            <w:vAlign w:val="center"/>
          </w:tcPr>
          <w:p w:rsidR="000E1EED" w:rsidRPr="00B75B77" w:rsidRDefault="000E1EED" w:rsidP="00594255">
            <w:pPr>
              <w:jc w:val="center"/>
              <w:rPr>
                <w:rFonts w:ascii="Calibri" w:eastAsia="Times New Roman" w:hAnsi="Calibri"/>
                <w:bCs w:val="0"/>
                <w:sz w:val="18"/>
                <w:szCs w:val="18"/>
              </w:rPr>
            </w:pPr>
            <w:r w:rsidRPr="00B75B77">
              <w:rPr>
                <w:rFonts w:ascii="Calibri" w:eastAsia="Times New Roman" w:hAnsi="Calibri"/>
                <w:bCs w:val="0"/>
                <w:sz w:val="18"/>
                <w:szCs w:val="18"/>
              </w:rPr>
              <w:t>Row #</w:t>
            </w:r>
          </w:p>
        </w:tc>
        <w:tc>
          <w:tcPr>
            <w:cnfStyle w:val="000010000000" w:firstRow="0" w:lastRow="0" w:firstColumn="0" w:lastColumn="0" w:oddVBand="1" w:evenVBand="0" w:oddHBand="0" w:evenHBand="0" w:firstRowFirstColumn="0" w:firstRowLastColumn="0" w:lastRowFirstColumn="0" w:lastRowLastColumn="0"/>
            <w:tcW w:w="5935" w:type="dxa"/>
            <w:vMerge w:val="restart"/>
            <w:tcBorders>
              <w:top w:val="single" w:sz="4" w:space="0" w:color="auto"/>
              <w:left w:val="single" w:sz="4" w:space="0" w:color="auto"/>
              <w:bottom w:val="single" w:sz="4" w:space="0" w:color="auto"/>
              <w:right w:val="single" w:sz="4" w:space="0" w:color="auto"/>
            </w:tcBorders>
            <w:shd w:val="clear" w:color="auto" w:fill="448A99"/>
            <w:noWrap/>
            <w:vAlign w:val="center"/>
            <w:hideMark/>
          </w:tcPr>
          <w:p w:rsidR="000E1EED" w:rsidRPr="00B75B77" w:rsidRDefault="000E1EED" w:rsidP="00594255">
            <w:pPr>
              <w:jc w:val="left"/>
              <w:rPr>
                <w:rFonts w:ascii="Calibri" w:eastAsia="Times New Roman" w:hAnsi="Calibri"/>
                <w:bCs w:val="0"/>
                <w:sz w:val="18"/>
                <w:szCs w:val="18"/>
              </w:rPr>
            </w:pPr>
            <w:r w:rsidRPr="00B75B77">
              <w:rPr>
                <w:rFonts w:ascii="Calibri" w:eastAsia="Times New Roman" w:hAnsi="Calibri"/>
                <w:bCs w:val="0"/>
                <w:sz w:val="18"/>
                <w:szCs w:val="18"/>
              </w:rPr>
              <w:t>Cost Category </w:t>
            </w:r>
          </w:p>
        </w:tc>
        <w:tc>
          <w:tcPr>
            <w:tcW w:w="1168" w:type="dxa"/>
            <w:tcBorders>
              <w:top w:val="single" w:sz="4" w:space="0" w:color="auto"/>
              <w:left w:val="single" w:sz="4" w:space="0" w:color="auto"/>
              <w:bottom w:val="single" w:sz="4" w:space="0" w:color="auto"/>
              <w:right w:val="single" w:sz="4" w:space="0" w:color="auto"/>
            </w:tcBorders>
            <w:shd w:val="clear" w:color="auto" w:fill="448A99"/>
            <w:vAlign w:val="center"/>
            <w:hideMark/>
          </w:tcPr>
          <w:p w:rsidR="000E1EED" w:rsidRPr="00B75B77" w:rsidRDefault="000E1EED" w:rsidP="004170F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Actual PYTD</w:t>
            </w:r>
          </w:p>
          <w:p w:rsidR="000E1EED" w:rsidRPr="00B75B77" w:rsidRDefault="000E1EED" w:rsidP="004170F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Costs</w:t>
            </w:r>
          </w:p>
        </w:tc>
        <w:tc>
          <w:tcPr>
            <w:cnfStyle w:val="000010000000" w:firstRow="0" w:lastRow="0" w:firstColumn="0" w:lastColumn="0" w:oddVBand="1" w:evenVBand="0" w:oddHBand="0" w:evenHBand="0" w:firstRowFirstColumn="0" w:firstRowLastColumn="0" w:lastRowFirstColumn="0" w:lastRowLastColumn="0"/>
            <w:tcW w:w="1352" w:type="dxa"/>
            <w:tcBorders>
              <w:top w:val="single" w:sz="4" w:space="0" w:color="auto"/>
              <w:left w:val="single" w:sz="4" w:space="0" w:color="auto"/>
              <w:bottom w:val="single" w:sz="4" w:space="0" w:color="auto"/>
              <w:right w:val="single" w:sz="4" w:space="0" w:color="auto"/>
            </w:tcBorders>
            <w:shd w:val="clear" w:color="auto" w:fill="448A99"/>
            <w:vAlign w:val="center"/>
            <w:hideMark/>
          </w:tcPr>
          <w:p w:rsidR="000E1EED" w:rsidRPr="00B75B77" w:rsidRDefault="000E1EED" w:rsidP="004170FC">
            <w:pPr>
              <w:jc w:val="right"/>
              <w:rPr>
                <w:rFonts w:ascii="Calibri" w:eastAsia="Times New Roman" w:hAnsi="Calibri"/>
                <w:bCs w:val="0"/>
                <w:sz w:val="18"/>
                <w:szCs w:val="18"/>
              </w:rPr>
            </w:pPr>
            <w:r w:rsidRPr="00B75B77">
              <w:rPr>
                <w:rFonts w:ascii="Calibri" w:eastAsia="Times New Roman" w:hAnsi="Calibri"/>
                <w:bCs w:val="0"/>
                <w:sz w:val="18"/>
                <w:szCs w:val="18"/>
              </w:rPr>
              <w:t>Actual Phase II</w:t>
            </w:r>
          </w:p>
          <w:p w:rsidR="000E1EED" w:rsidRPr="00B75B77" w:rsidRDefault="000E1EED" w:rsidP="004170FC">
            <w:pPr>
              <w:jc w:val="right"/>
              <w:rPr>
                <w:rFonts w:ascii="Calibri" w:eastAsia="Times New Roman" w:hAnsi="Calibri"/>
                <w:bCs w:val="0"/>
                <w:sz w:val="18"/>
                <w:szCs w:val="18"/>
              </w:rPr>
            </w:pPr>
            <w:r w:rsidRPr="00B75B77">
              <w:rPr>
                <w:rFonts w:ascii="Calibri" w:eastAsia="Times New Roman" w:hAnsi="Calibri"/>
                <w:bCs w:val="0"/>
                <w:sz w:val="18"/>
                <w:szCs w:val="18"/>
              </w:rPr>
              <w:t>Costs</w:t>
            </w:r>
          </w:p>
        </w:tc>
      </w:tr>
      <w:tr w:rsidR="000E1EED" w:rsidRPr="00B75B77" w:rsidTr="005E445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vMerge/>
            <w:tcBorders>
              <w:top w:val="single" w:sz="4" w:space="0" w:color="auto"/>
              <w:left w:val="single" w:sz="4" w:space="0" w:color="auto"/>
              <w:bottom w:val="single" w:sz="4" w:space="0" w:color="auto"/>
              <w:right w:val="single" w:sz="4" w:space="0" w:color="auto"/>
            </w:tcBorders>
            <w:shd w:val="clear" w:color="auto" w:fill="448A99"/>
            <w:vAlign w:val="center"/>
          </w:tcPr>
          <w:p w:rsidR="000E1EED" w:rsidRPr="00B75B77" w:rsidRDefault="000E1EED" w:rsidP="00594255">
            <w:pPr>
              <w:jc w:val="center"/>
              <w:rPr>
                <w:rFonts w:ascii="Calibri" w:eastAsia="Times New Roman" w:hAnsi="Calibri"/>
                <w:bCs w:val="0"/>
                <w:color w:val="FFFFFF" w:themeColor="background1"/>
                <w:sz w:val="18"/>
                <w:szCs w:val="18"/>
              </w:rPr>
            </w:pPr>
          </w:p>
        </w:tc>
        <w:tc>
          <w:tcPr>
            <w:cnfStyle w:val="000010000000" w:firstRow="0" w:lastRow="0" w:firstColumn="0" w:lastColumn="0" w:oddVBand="1" w:evenVBand="0" w:oddHBand="0" w:evenHBand="0" w:firstRowFirstColumn="0" w:firstRowLastColumn="0" w:lastRowFirstColumn="0" w:lastRowLastColumn="0"/>
            <w:tcW w:w="5935" w:type="dxa"/>
            <w:vMerge/>
            <w:tcBorders>
              <w:top w:val="single" w:sz="4" w:space="0" w:color="auto"/>
              <w:left w:val="single" w:sz="4" w:space="0" w:color="auto"/>
              <w:bottom w:val="single" w:sz="4" w:space="0" w:color="auto"/>
              <w:right w:val="single" w:sz="4" w:space="0" w:color="auto"/>
            </w:tcBorders>
            <w:shd w:val="clear" w:color="auto" w:fill="448A99"/>
            <w:vAlign w:val="center"/>
            <w:hideMark/>
          </w:tcPr>
          <w:p w:rsidR="000E1EED" w:rsidRPr="00B75B77" w:rsidRDefault="000E1EED" w:rsidP="00594255">
            <w:pPr>
              <w:jc w:val="left"/>
              <w:rPr>
                <w:rFonts w:ascii="Calibri" w:eastAsia="Times New Roman" w:hAnsi="Calibri"/>
                <w:b/>
                <w:bCs/>
                <w:color w:val="FFFFFF" w:themeColor="background1"/>
                <w:sz w:val="18"/>
                <w:szCs w:val="18"/>
              </w:rPr>
            </w:pPr>
          </w:p>
        </w:tc>
        <w:tc>
          <w:tcPr>
            <w:tcW w:w="1168" w:type="dxa"/>
            <w:tcBorders>
              <w:top w:val="single" w:sz="4" w:space="0" w:color="auto"/>
              <w:left w:val="single" w:sz="4" w:space="0" w:color="auto"/>
              <w:bottom w:val="single" w:sz="4" w:space="0" w:color="auto"/>
              <w:right w:val="single" w:sz="4" w:space="0" w:color="auto"/>
            </w:tcBorders>
            <w:shd w:val="clear" w:color="auto" w:fill="448A99"/>
            <w:vAlign w:val="center"/>
            <w:hideMark/>
          </w:tcPr>
          <w:p w:rsidR="000E1EED" w:rsidRPr="00B75B77" w:rsidRDefault="000E1EED" w:rsidP="004170F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FFFFFF" w:themeColor="background1"/>
                <w:sz w:val="18"/>
                <w:szCs w:val="18"/>
              </w:rPr>
            </w:pPr>
            <w:r w:rsidRPr="00B75B77">
              <w:rPr>
                <w:rFonts w:ascii="Calibri" w:eastAsia="Times New Roman" w:hAnsi="Calibri"/>
                <w:b/>
                <w:color w:val="FFFFFF" w:themeColor="background1"/>
                <w:sz w:val="18"/>
                <w:szCs w:val="18"/>
              </w:rPr>
              <w:t>($1,000)</w:t>
            </w:r>
          </w:p>
        </w:tc>
        <w:tc>
          <w:tcPr>
            <w:cnfStyle w:val="000010000000" w:firstRow="0" w:lastRow="0" w:firstColumn="0" w:lastColumn="0" w:oddVBand="1" w:evenVBand="0" w:oddHBand="0" w:evenHBand="0" w:firstRowFirstColumn="0" w:firstRowLastColumn="0" w:lastRowFirstColumn="0" w:lastRowLastColumn="0"/>
            <w:tcW w:w="1352" w:type="dxa"/>
            <w:tcBorders>
              <w:top w:val="single" w:sz="4" w:space="0" w:color="auto"/>
              <w:left w:val="single" w:sz="4" w:space="0" w:color="auto"/>
              <w:bottom w:val="single" w:sz="4" w:space="0" w:color="auto"/>
              <w:right w:val="single" w:sz="4" w:space="0" w:color="auto"/>
            </w:tcBorders>
            <w:shd w:val="clear" w:color="auto" w:fill="448A99"/>
            <w:vAlign w:val="center"/>
            <w:hideMark/>
          </w:tcPr>
          <w:p w:rsidR="000E1EED" w:rsidRPr="00B75B77" w:rsidRDefault="000E1EED" w:rsidP="004170FC">
            <w:pPr>
              <w:jc w:val="right"/>
              <w:rPr>
                <w:rFonts w:ascii="Calibri" w:eastAsia="Times New Roman" w:hAnsi="Calibri"/>
                <w:b/>
                <w:color w:val="FFFFFF" w:themeColor="background1"/>
                <w:sz w:val="18"/>
                <w:szCs w:val="18"/>
              </w:rPr>
            </w:pPr>
            <w:r w:rsidRPr="00B75B77">
              <w:rPr>
                <w:rFonts w:ascii="Calibri" w:eastAsia="Times New Roman" w:hAnsi="Calibri"/>
                <w:b/>
                <w:color w:val="FFFFFF" w:themeColor="background1"/>
                <w:sz w:val="18"/>
                <w:szCs w:val="18"/>
              </w:rPr>
              <w:t>($1,000)</w:t>
            </w:r>
          </w:p>
        </w:tc>
      </w:tr>
      <w:tr w:rsidR="000E1EED" w:rsidRPr="00B75B77" w:rsidTr="005E445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auto"/>
              <w:left w:val="single" w:sz="4" w:space="0" w:color="448A99"/>
              <w:bottom w:val="single" w:sz="4" w:space="0" w:color="448A99"/>
              <w:right w:val="single" w:sz="4" w:space="0" w:color="448A99"/>
            </w:tcBorders>
            <w:shd w:val="clear" w:color="auto" w:fill="auto"/>
            <w:vAlign w:val="center"/>
          </w:tcPr>
          <w:p w:rsidR="000E1EED" w:rsidRPr="00B75B77" w:rsidRDefault="000E1EED" w:rsidP="00707B64">
            <w:pPr>
              <w:jc w:val="center"/>
              <w:rPr>
                <w:rFonts w:ascii="Calibri" w:eastAsia="Times New Roman" w:hAnsi="Calibri"/>
                <w:color w:val="000000"/>
                <w:sz w:val="18"/>
                <w:szCs w:val="18"/>
              </w:rPr>
            </w:pPr>
            <w:r w:rsidRPr="00B75B77">
              <w:rPr>
                <w:rFonts w:ascii="Calibri" w:eastAsia="Times New Roman" w:hAnsi="Calibri"/>
                <w:color w:val="000000"/>
                <w:sz w:val="18"/>
                <w:szCs w:val="18"/>
              </w:rPr>
              <w:t>1</w:t>
            </w:r>
          </w:p>
        </w:tc>
        <w:tc>
          <w:tcPr>
            <w:cnfStyle w:val="000010000000" w:firstRow="0" w:lastRow="0" w:firstColumn="0" w:lastColumn="0" w:oddVBand="1" w:evenVBand="0" w:oddHBand="0" w:evenHBand="0" w:firstRowFirstColumn="0" w:firstRowLastColumn="0" w:lastRowFirstColumn="0" w:lastRowLastColumn="0"/>
            <w:tcW w:w="5935" w:type="dxa"/>
            <w:tcBorders>
              <w:top w:val="single" w:sz="4" w:space="0" w:color="auto"/>
              <w:left w:val="single" w:sz="4" w:space="0" w:color="448A99"/>
              <w:bottom w:val="single" w:sz="4" w:space="0" w:color="448A99"/>
              <w:right w:val="single" w:sz="4" w:space="0" w:color="448A99"/>
            </w:tcBorders>
            <w:shd w:val="clear" w:color="auto" w:fill="auto"/>
            <w:noWrap/>
            <w:vAlign w:val="center"/>
          </w:tcPr>
          <w:p w:rsidR="000E1EED" w:rsidRPr="00B75B77" w:rsidRDefault="000E1EED" w:rsidP="00707B64">
            <w:pPr>
              <w:jc w:val="left"/>
              <w:rPr>
                <w:rFonts w:ascii="Calibri" w:eastAsia="Times New Roman" w:hAnsi="Calibri"/>
                <w:color w:val="000000"/>
                <w:sz w:val="18"/>
                <w:szCs w:val="18"/>
              </w:rPr>
            </w:pPr>
            <w:r w:rsidRPr="00B75B77">
              <w:rPr>
                <w:rFonts w:ascii="Calibri" w:eastAsia="Times New Roman" w:hAnsi="Calibri"/>
                <w:color w:val="000000"/>
                <w:sz w:val="18"/>
                <w:szCs w:val="18"/>
              </w:rPr>
              <w:t>Incremental Measure Costs (Sum of Rows 2 through 4)</w:t>
            </w:r>
          </w:p>
        </w:tc>
        <w:tc>
          <w:tcPr>
            <w:tcW w:w="1168" w:type="dxa"/>
            <w:tcBorders>
              <w:top w:val="single" w:sz="4" w:space="0" w:color="auto"/>
              <w:left w:val="single" w:sz="4" w:space="0" w:color="448A99"/>
              <w:bottom w:val="single" w:sz="4" w:space="0" w:color="448A99"/>
              <w:right w:val="single" w:sz="4" w:space="0" w:color="448A99"/>
            </w:tcBorders>
            <w:shd w:val="clear" w:color="auto" w:fill="auto"/>
            <w:noWrap/>
            <w:vAlign w:val="center"/>
          </w:tcPr>
          <w:p w:rsidR="000E1EED" w:rsidRPr="00B75B77" w:rsidRDefault="000E1EED" w:rsidP="004170FC">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B75B77">
              <w:rPr>
                <w:sz w:val="18"/>
                <w:szCs w:val="18"/>
              </w:rPr>
              <w:t>24,161</w:t>
            </w:r>
          </w:p>
        </w:tc>
        <w:tc>
          <w:tcPr>
            <w:cnfStyle w:val="000010000000" w:firstRow="0" w:lastRow="0" w:firstColumn="0" w:lastColumn="0" w:oddVBand="1" w:evenVBand="0" w:oddHBand="0" w:evenHBand="0" w:firstRowFirstColumn="0" w:firstRowLastColumn="0" w:lastRowFirstColumn="0" w:lastRowLastColumn="0"/>
            <w:tcW w:w="1352" w:type="dxa"/>
            <w:tcBorders>
              <w:top w:val="single" w:sz="4" w:space="0" w:color="auto"/>
              <w:left w:val="single" w:sz="4" w:space="0" w:color="448A99"/>
              <w:bottom w:val="single" w:sz="4" w:space="0" w:color="448A99"/>
              <w:right w:val="single" w:sz="4" w:space="0" w:color="448A99"/>
            </w:tcBorders>
            <w:shd w:val="clear" w:color="auto" w:fill="auto"/>
            <w:vAlign w:val="center"/>
          </w:tcPr>
          <w:p w:rsidR="000E1EED" w:rsidRPr="00B75B77" w:rsidRDefault="000E1EED" w:rsidP="004170FC">
            <w:pPr>
              <w:jc w:val="right"/>
              <w:rPr>
                <w:rFonts w:eastAsia="Times New Roman"/>
                <w:color w:val="000000"/>
                <w:sz w:val="18"/>
                <w:szCs w:val="18"/>
              </w:rPr>
            </w:pPr>
            <w:r w:rsidRPr="00B75B77">
              <w:rPr>
                <w:sz w:val="18"/>
                <w:szCs w:val="18"/>
              </w:rPr>
              <w:t>34,664</w:t>
            </w:r>
          </w:p>
        </w:tc>
      </w:tr>
      <w:tr w:rsidR="000E1EED" w:rsidRPr="00B75B77" w:rsidTr="005E445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448A99"/>
              <w:left w:val="single" w:sz="4" w:space="0" w:color="448A99"/>
              <w:bottom w:val="single" w:sz="4" w:space="0" w:color="448A99"/>
              <w:right w:val="single" w:sz="4" w:space="0" w:color="448A99"/>
            </w:tcBorders>
            <w:vAlign w:val="center"/>
          </w:tcPr>
          <w:p w:rsidR="000E1EED" w:rsidRPr="00B75B77" w:rsidRDefault="000E1EED" w:rsidP="00707B64">
            <w:pPr>
              <w:jc w:val="center"/>
              <w:rPr>
                <w:rFonts w:ascii="Calibri" w:eastAsia="Times New Roman" w:hAnsi="Calibri"/>
                <w:color w:val="000000"/>
                <w:sz w:val="18"/>
                <w:szCs w:val="18"/>
              </w:rPr>
            </w:pPr>
            <w:r w:rsidRPr="00B75B77">
              <w:rPr>
                <w:rFonts w:ascii="Calibri" w:eastAsia="Times New Roman" w:hAnsi="Calibri"/>
                <w:color w:val="000000"/>
                <w:sz w:val="18"/>
                <w:szCs w:val="18"/>
              </w:rPr>
              <w:t>2</w:t>
            </w:r>
          </w:p>
        </w:tc>
        <w:tc>
          <w:tcPr>
            <w:cnfStyle w:val="000010000000" w:firstRow="0" w:lastRow="0" w:firstColumn="0" w:lastColumn="0" w:oddVBand="1" w:evenVBand="0" w:oddHBand="0" w:evenHBand="0" w:firstRowFirstColumn="0" w:firstRowLastColumn="0" w:lastRowFirstColumn="0" w:lastRowLastColumn="0"/>
            <w:tcW w:w="5935" w:type="dxa"/>
            <w:tcBorders>
              <w:top w:val="single" w:sz="4" w:space="0" w:color="448A99"/>
              <w:left w:val="single" w:sz="4" w:space="0" w:color="448A99"/>
              <w:bottom w:val="single" w:sz="4" w:space="0" w:color="448A99"/>
              <w:right w:val="single" w:sz="4" w:space="0" w:color="448A99"/>
            </w:tcBorders>
            <w:noWrap/>
            <w:vAlign w:val="center"/>
            <w:hideMark/>
          </w:tcPr>
          <w:p w:rsidR="000E1EED" w:rsidRPr="00B75B77" w:rsidRDefault="000E1EED" w:rsidP="00707B64">
            <w:pPr>
              <w:jc w:val="left"/>
              <w:rPr>
                <w:rFonts w:ascii="Calibri" w:eastAsia="Times New Roman" w:hAnsi="Calibri"/>
                <w:color w:val="000000"/>
                <w:sz w:val="18"/>
                <w:szCs w:val="18"/>
              </w:rPr>
            </w:pPr>
            <w:r w:rsidRPr="00B75B77">
              <w:rPr>
                <w:rFonts w:ascii="Calibri" w:eastAsia="Times New Roman" w:hAnsi="Calibri"/>
                <w:color w:val="000000"/>
                <w:sz w:val="18"/>
                <w:szCs w:val="18"/>
              </w:rPr>
              <w:t>EDC Incentives to Participants</w:t>
            </w:r>
          </w:p>
        </w:tc>
        <w:tc>
          <w:tcPr>
            <w:tcW w:w="1168" w:type="dxa"/>
            <w:tcBorders>
              <w:top w:val="single" w:sz="4" w:space="0" w:color="448A99"/>
              <w:left w:val="single" w:sz="4" w:space="0" w:color="448A99"/>
              <w:bottom w:val="single" w:sz="4" w:space="0" w:color="448A99"/>
              <w:right w:val="single" w:sz="4" w:space="0" w:color="448A99"/>
            </w:tcBorders>
            <w:noWrap/>
            <w:vAlign w:val="center"/>
            <w:hideMark/>
          </w:tcPr>
          <w:p w:rsidR="000E1EED" w:rsidRPr="00B75B77" w:rsidRDefault="000E1EED" w:rsidP="004170F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75B77">
              <w:rPr>
                <w:sz w:val="18"/>
                <w:szCs w:val="18"/>
              </w:rPr>
              <w:t>9,114</w:t>
            </w:r>
          </w:p>
        </w:tc>
        <w:tc>
          <w:tcPr>
            <w:cnfStyle w:val="000010000000" w:firstRow="0" w:lastRow="0" w:firstColumn="0" w:lastColumn="0" w:oddVBand="1" w:evenVBand="0" w:oddHBand="0" w:evenHBand="0" w:firstRowFirstColumn="0" w:firstRowLastColumn="0" w:lastRowFirstColumn="0" w:lastRowLastColumn="0"/>
            <w:tcW w:w="1352" w:type="dxa"/>
            <w:tcBorders>
              <w:top w:val="single" w:sz="4" w:space="0" w:color="448A99"/>
              <w:left w:val="single" w:sz="4" w:space="0" w:color="448A99"/>
              <w:bottom w:val="single" w:sz="4" w:space="0" w:color="448A99"/>
              <w:right w:val="single" w:sz="4" w:space="0" w:color="448A99"/>
            </w:tcBorders>
            <w:vAlign w:val="center"/>
            <w:hideMark/>
          </w:tcPr>
          <w:p w:rsidR="000E1EED" w:rsidRPr="00B75B77" w:rsidRDefault="000E1EED" w:rsidP="004170FC">
            <w:pPr>
              <w:jc w:val="right"/>
              <w:rPr>
                <w:rFonts w:eastAsia="Times New Roman"/>
                <w:color w:val="000000"/>
                <w:sz w:val="18"/>
                <w:szCs w:val="18"/>
              </w:rPr>
            </w:pPr>
            <w:r w:rsidRPr="00B75B77">
              <w:rPr>
                <w:sz w:val="18"/>
                <w:szCs w:val="18"/>
              </w:rPr>
              <w:t>12,977</w:t>
            </w:r>
          </w:p>
        </w:tc>
      </w:tr>
      <w:tr w:rsidR="000E1EED" w:rsidRPr="00B75B77" w:rsidTr="005E445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448A99"/>
              <w:left w:val="single" w:sz="4" w:space="0" w:color="448A99"/>
              <w:bottom w:val="single" w:sz="4" w:space="0" w:color="448A99"/>
              <w:right w:val="single" w:sz="4" w:space="0" w:color="448A99"/>
            </w:tcBorders>
            <w:shd w:val="clear" w:color="auto" w:fill="auto"/>
            <w:vAlign w:val="center"/>
          </w:tcPr>
          <w:p w:rsidR="000E1EED" w:rsidRPr="00B75B77" w:rsidRDefault="000E1EED" w:rsidP="00707B64">
            <w:pPr>
              <w:jc w:val="center"/>
              <w:rPr>
                <w:rFonts w:ascii="Calibri" w:eastAsia="Times New Roman" w:hAnsi="Calibri"/>
                <w:color w:val="000000"/>
                <w:sz w:val="18"/>
                <w:szCs w:val="18"/>
              </w:rPr>
            </w:pPr>
            <w:r w:rsidRPr="00B75B77">
              <w:rPr>
                <w:rFonts w:ascii="Calibri" w:eastAsia="Times New Roman" w:hAnsi="Calibri"/>
                <w:color w:val="000000"/>
                <w:sz w:val="18"/>
                <w:szCs w:val="18"/>
              </w:rPr>
              <w:t>3</w:t>
            </w:r>
          </w:p>
        </w:tc>
        <w:tc>
          <w:tcPr>
            <w:cnfStyle w:val="000010000000" w:firstRow="0" w:lastRow="0" w:firstColumn="0" w:lastColumn="0" w:oddVBand="1" w:evenVBand="0" w:oddHBand="0" w:evenHBand="0" w:firstRowFirstColumn="0" w:firstRowLastColumn="0" w:lastRowFirstColumn="0" w:lastRowLastColumn="0"/>
            <w:tcW w:w="5935" w:type="dxa"/>
            <w:tcBorders>
              <w:top w:val="single" w:sz="4" w:space="0" w:color="448A99"/>
              <w:left w:val="single" w:sz="4" w:space="0" w:color="448A99"/>
              <w:bottom w:val="single" w:sz="4" w:space="0" w:color="448A99"/>
              <w:right w:val="single" w:sz="4" w:space="0" w:color="448A99"/>
            </w:tcBorders>
            <w:shd w:val="clear" w:color="auto" w:fill="auto"/>
            <w:noWrap/>
            <w:vAlign w:val="center"/>
            <w:hideMark/>
          </w:tcPr>
          <w:p w:rsidR="000E1EED" w:rsidRPr="00B75B77" w:rsidRDefault="000E1EED" w:rsidP="00707B64">
            <w:pPr>
              <w:jc w:val="left"/>
              <w:rPr>
                <w:rFonts w:ascii="Calibri" w:eastAsia="Times New Roman" w:hAnsi="Calibri"/>
                <w:color w:val="000000"/>
                <w:sz w:val="18"/>
                <w:szCs w:val="18"/>
              </w:rPr>
            </w:pPr>
            <w:r w:rsidRPr="00B75B77">
              <w:rPr>
                <w:rFonts w:ascii="Calibri" w:eastAsia="Times New Roman" w:hAnsi="Calibri"/>
                <w:color w:val="000000"/>
                <w:sz w:val="18"/>
                <w:szCs w:val="18"/>
              </w:rPr>
              <w:t>EDC Incentives to Trade Allies</w:t>
            </w:r>
          </w:p>
        </w:tc>
        <w:tc>
          <w:tcPr>
            <w:tcW w:w="1168" w:type="dxa"/>
            <w:tcBorders>
              <w:top w:val="single" w:sz="4" w:space="0" w:color="448A99"/>
              <w:left w:val="single" w:sz="4" w:space="0" w:color="448A99"/>
              <w:bottom w:val="single" w:sz="4" w:space="0" w:color="448A99"/>
              <w:right w:val="single" w:sz="4" w:space="0" w:color="448A99"/>
            </w:tcBorders>
            <w:shd w:val="clear" w:color="auto" w:fill="auto"/>
            <w:noWrap/>
            <w:vAlign w:val="center"/>
            <w:hideMark/>
          </w:tcPr>
          <w:p w:rsidR="000E1EED" w:rsidRPr="00B75B77" w:rsidRDefault="000E1EED" w:rsidP="004170FC">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B75B77">
              <w:rPr>
                <w:sz w:val="18"/>
                <w:szCs w:val="18"/>
              </w:rPr>
              <w:t>0</w:t>
            </w:r>
          </w:p>
        </w:tc>
        <w:tc>
          <w:tcPr>
            <w:cnfStyle w:val="000010000000" w:firstRow="0" w:lastRow="0" w:firstColumn="0" w:lastColumn="0" w:oddVBand="1" w:evenVBand="0" w:oddHBand="0" w:evenHBand="0" w:firstRowFirstColumn="0" w:firstRowLastColumn="0" w:lastRowFirstColumn="0" w:lastRowLastColumn="0"/>
            <w:tcW w:w="1352" w:type="dxa"/>
            <w:tcBorders>
              <w:top w:val="single" w:sz="4" w:space="0" w:color="448A99"/>
              <w:left w:val="single" w:sz="4" w:space="0" w:color="448A99"/>
              <w:bottom w:val="single" w:sz="4" w:space="0" w:color="448A99"/>
              <w:right w:val="single" w:sz="4" w:space="0" w:color="448A99"/>
            </w:tcBorders>
            <w:shd w:val="clear" w:color="auto" w:fill="auto"/>
            <w:vAlign w:val="center"/>
            <w:hideMark/>
          </w:tcPr>
          <w:p w:rsidR="000E1EED" w:rsidRPr="00B75B77" w:rsidRDefault="000E1EED" w:rsidP="004170FC">
            <w:pPr>
              <w:jc w:val="right"/>
              <w:rPr>
                <w:rFonts w:eastAsia="Times New Roman"/>
                <w:color w:val="000000"/>
                <w:sz w:val="18"/>
                <w:szCs w:val="18"/>
              </w:rPr>
            </w:pPr>
            <w:r w:rsidRPr="00B75B77">
              <w:rPr>
                <w:sz w:val="18"/>
                <w:szCs w:val="18"/>
              </w:rPr>
              <w:t>0</w:t>
            </w:r>
          </w:p>
        </w:tc>
      </w:tr>
      <w:tr w:rsidR="000E1EED" w:rsidRPr="00B75B77" w:rsidTr="005E445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448A99"/>
              <w:left w:val="single" w:sz="4" w:space="0" w:color="448A99"/>
              <w:bottom w:val="single" w:sz="4" w:space="0" w:color="448A99"/>
              <w:right w:val="single" w:sz="4" w:space="0" w:color="448A99"/>
            </w:tcBorders>
            <w:vAlign w:val="center"/>
          </w:tcPr>
          <w:p w:rsidR="000E1EED" w:rsidRPr="00B75B77" w:rsidDel="00B4154B" w:rsidRDefault="000E1EED" w:rsidP="00707B64">
            <w:pPr>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4</w:t>
            </w:r>
          </w:p>
        </w:tc>
        <w:tc>
          <w:tcPr>
            <w:cnfStyle w:val="000010000000" w:firstRow="0" w:lastRow="0" w:firstColumn="0" w:lastColumn="0" w:oddVBand="1" w:evenVBand="0" w:oddHBand="0" w:evenHBand="0" w:firstRowFirstColumn="0" w:firstRowLastColumn="0" w:lastRowFirstColumn="0" w:lastRowLastColumn="0"/>
            <w:tcW w:w="5935" w:type="dxa"/>
            <w:tcBorders>
              <w:top w:val="single" w:sz="4" w:space="0" w:color="448A99"/>
              <w:left w:val="single" w:sz="4" w:space="0" w:color="448A99"/>
              <w:bottom w:val="single" w:sz="4" w:space="0" w:color="448A99"/>
              <w:right w:val="single" w:sz="4" w:space="0" w:color="448A99"/>
            </w:tcBorders>
            <w:noWrap/>
            <w:vAlign w:val="center"/>
            <w:hideMark/>
          </w:tcPr>
          <w:p w:rsidR="000E1EED" w:rsidRPr="00B75B77" w:rsidRDefault="000E1EED" w:rsidP="00707B64">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Participant Costs (Net of Incentives/Rebates Paid by Utilities)</w:t>
            </w:r>
          </w:p>
        </w:tc>
        <w:tc>
          <w:tcPr>
            <w:tcW w:w="1168" w:type="dxa"/>
            <w:tcBorders>
              <w:top w:val="single" w:sz="4" w:space="0" w:color="448A99"/>
              <w:left w:val="single" w:sz="4" w:space="0" w:color="448A99"/>
              <w:bottom w:val="single" w:sz="4" w:space="0" w:color="448A99"/>
              <w:right w:val="single" w:sz="4" w:space="0" w:color="448A99"/>
            </w:tcBorders>
            <w:vAlign w:val="center"/>
            <w:hideMark/>
          </w:tcPr>
          <w:p w:rsidR="000E1EED" w:rsidRPr="00B75B77" w:rsidRDefault="000E1EED" w:rsidP="004170F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75B77">
              <w:rPr>
                <w:sz w:val="18"/>
                <w:szCs w:val="18"/>
              </w:rPr>
              <w:t>15,047</w:t>
            </w:r>
          </w:p>
        </w:tc>
        <w:tc>
          <w:tcPr>
            <w:cnfStyle w:val="000010000000" w:firstRow="0" w:lastRow="0" w:firstColumn="0" w:lastColumn="0" w:oddVBand="1" w:evenVBand="0" w:oddHBand="0" w:evenHBand="0" w:firstRowFirstColumn="0" w:firstRowLastColumn="0" w:lastRowFirstColumn="0" w:lastRowLastColumn="0"/>
            <w:tcW w:w="1352" w:type="dxa"/>
            <w:tcBorders>
              <w:top w:val="single" w:sz="4" w:space="0" w:color="448A99"/>
              <w:left w:val="single" w:sz="4" w:space="0" w:color="448A99"/>
              <w:bottom w:val="single" w:sz="4" w:space="0" w:color="448A99"/>
              <w:right w:val="single" w:sz="4" w:space="0" w:color="448A99"/>
            </w:tcBorders>
            <w:vAlign w:val="center"/>
            <w:hideMark/>
          </w:tcPr>
          <w:p w:rsidR="000E1EED" w:rsidRPr="00B75B77" w:rsidRDefault="000E1EED" w:rsidP="004170FC">
            <w:pPr>
              <w:jc w:val="right"/>
              <w:rPr>
                <w:rFonts w:eastAsia="Times New Roman"/>
                <w:color w:val="000000"/>
                <w:sz w:val="18"/>
                <w:szCs w:val="18"/>
              </w:rPr>
            </w:pPr>
            <w:r w:rsidRPr="00B75B77">
              <w:rPr>
                <w:sz w:val="18"/>
                <w:szCs w:val="18"/>
              </w:rPr>
              <w:t>21,687</w:t>
            </w:r>
          </w:p>
        </w:tc>
      </w:tr>
      <w:tr w:rsidR="000E1EED" w:rsidRPr="00B75B77" w:rsidTr="005E4455">
        <w:trPr>
          <w:cnfStyle w:val="000000010000" w:firstRow="0" w:lastRow="0" w:firstColumn="0" w:lastColumn="0" w:oddVBand="0" w:evenVBand="0" w:oddHBand="0" w:evenHBand="1"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9517" w:type="dxa"/>
            <w:gridSpan w:val="4"/>
            <w:tcBorders>
              <w:top w:val="single" w:sz="4" w:space="0" w:color="448A99"/>
              <w:left w:val="single" w:sz="4" w:space="0" w:color="448A99"/>
              <w:bottom w:val="single" w:sz="4" w:space="0" w:color="448A99"/>
              <w:right w:val="single" w:sz="4" w:space="0" w:color="448A99"/>
            </w:tcBorders>
            <w:shd w:val="clear" w:color="auto" w:fill="AEAAAA"/>
            <w:vAlign w:val="center"/>
          </w:tcPr>
          <w:p w:rsidR="000E1EED" w:rsidRPr="00B75B77" w:rsidRDefault="000E1EED" w:rsidP="004170FC">
            <w:pPr>
              <w:jc w:val="right"/>
              <w:rPr>
                <w:rFonts w:eastAsia="Times New Roman"/>
                <w:color w:val="000000"/>
                <w:sz w:val="18"/>
                <w:szCs w:val="18"/>
              </w:rPr>
            </w:pPr>
          </w:p>
        </w:tc>
      </w:tr>
      <w:tr w:rsidR="000E1EED" w:rsidRPr="00B75B77" w:rsidTr="005E445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448A99"/>
              <w:left w:val="single" w:sz="4" w:space="0" w:color="448A99"/>
              <w:bottom w:val="single" w:sz="4" w:space="0" w:color="448A99"/>
              <w:right w:val="single" w:sz="4" w:space="0" w:color="448A99"/>
            </w:tcBorders>
            <w:shd w:val="clear" w:color="auto" w:fill="auto"/>
            <w:vAlign w:val="center"/>
          </w:tcPr>
          <w:p w:rsidR="000E1EED" w:rsidRPr="00B75B77" w:rsidRDefault="000E1EED" w:rsidP="00707B64">
            <w:pPr>
              <w:jc w:val="center"/>
              <w:rPr>
                <w:rFonts w:ascii="Calibri" w:eastAsia="Times New Roman" w:hAnsi="Calibri"/>
                <w:color w:val="000000"/>
                <w:sz w:val="18"/>
                <w:szCs w:val="18"/>
              </w:rPr>
            </w:pPr>
            <w:r w:rsidRPr="00B75B77">
              <w:rPr>
                <w:rFonts w:ascii="Calibri" w:eastAsia="Times New Roman" w:hAnsi="Calibri"/>
                <w:color w:val="000000"/>
                <w:sz w:val="18"/>
                <w:szCs w:val="18"/>
              </w:rPr>
              <w:t>5</w:t>
            </w:r>
          </w:p>
        </w:tc>
        <w:tc>
          <w:tcPr>
            <w:cnfStyle w:val="000010000000" w:firstRow="0" w:lastRow="0" w:firstColumn="0" w:lastColumn="0" w:oddVBand="1" w:evenVBand="0" w:oddHBand="0" w:evenHBand="0" w:firstRowFirstColumn="0" w:firstRowLastColumn="0" w:lastRowFirstColumn="0" w:lastRowLastColumn="0"/>
            <w:tcW w:w="5935"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0E1EED" w:rsidRPr="00B75B77" w:rsidRDefault="000E1EED" w:rsidP="00707B64">
            <w:pPr>
              <w:jc w:val="left"/>
              <w:rPr>
                <w:rFonts w:ascii="Calibri" w:eastAsia="Times New Roman" w:hAnsi="Calibri"/>
                <w:color w:val="000000"/>
                <w:sz w:val="18"/>
                <w:szCs w:val="18"/>
              </w:rPr>
            </w:pPr>
            <w:r w:rsidRPr="00B75B77">
              <w:rPr>
                <w:rFonts w:ascii="Calibri" w:eastAsia="Times New Roman" w:hAnsi="Calibri"/>
                <w:color w:val="000000"/>
                <w:sz w:val="18"/>
                <w:szCs w:val="18"/>
              </w:rPr>
              <w:t>Program Overhead Costs (Sum of Rows 6 through 10)</w:t>
            </w:r>
          </w:p>
        </w:tc>
        <w:tc>
          <w:tcPr>
            <w:tcW w:w="1168"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0E1EED" w:rsidRPr="00B75B77" w:rsidRDefault="000E1EED" w:rsidP="004170F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75B77">
              <w:rPr>
                <w:sz w:val="18"/>
                <w:szCs w:val="18"/>
              </w:rPr>
              <w:t>2,803</w:t>
            </w:r>
          </w:p>
        </w:tc>
        <w:tc>
          <w:tcPr>
            <w:cnfStyle w:val="000010000000" w:firstRow="0" w:lastRow="0" w:firstColumn="0" w:lastColumn="0" w:oddVBand="1" w:evenVBand="0" w:oddHBand="0" w:evenHBand="0" w:firstRowFirstColumn="0" w:firstRowLastColumn="0" w:lastRowFirstColumn="0" w:lastRowLastColumn="0"/>
            <w:tcW w:w="1352" w:type="dxa"/>
            <w:tcBorders>
              <w:top w:val="single" w:sz="4" w:space="0" w:color="448A99"/>
              <w:left w:val="single" w:sz="4" w:space="0" w:color="448A99"/>
              <w:bottom w:val="single" w:sz="4" w:space="0" w:color="448A99"/>
              <w:right w:val="single" w:sz="4" w:space="0" w:color="448A99"/>
            </w:tcBorders>
            <w:shd w:val="clear" w:color="auto" w:fill="auto"/>
            <w:vAlign w:val="center"/>
          </w:tcPr>
          <w:p w:rsidR="000E1EED" w:rsidRPr="00B75B77" w:rsidRDefault="000E1EED" w:rsidP="004170FC">
            <w:pPr>
              <w:jc w:val="right"/>
              <w:rPr>
                <w:rFonts w:eastAsia="Times New Roman"/>
                <w:color w:val="000000"/>
                <w:sz w:val="18"/>
                <w:szCs w:val="18"/>
              </w:rPr>
            </w:pPr>
            <w:r w:rsidRPr="00B75B77">
              <w:rPr>
                <w:sz w:val="18"/>
                <w:szCs w:val="18"/>
              </w:rPr>
              <w:t>8,383</w:t>
            </w:r>
          </w:p>
        </w:tc>
      </w:tr>
      <w:tr w:rsidR="000E1EED" w:rsidRPr="00B75B77" w:rsidTr="005E445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448A99"/>
              <w:left w:val="single" w:sz="4" w:space="0" w:color="448A99"/>
              <w:bottom w:val="single" w:sz="4" w:space="0" w:color="448A99"/>
              <w:right w:val="single" w:sz="4" w:space="0" w:color="448A99"/>
            </w:tcBorders>
            <w:shd w:val="clear" w:color="auto" w:fill="D2EAF1"/>
            <w:vAlign w:val="center"/>
          </w:tcPr>
          <w:p w:rsidR="000E1EED" w:rsidRPr="00B75B77" w:rsidRDefault="000E1EED" w:rsidP="00707B64">
            <w:pPr>
              <w:jc w:val="center"/>
              <w:rPr>
                <w:rFonts w:ascii="Calibri" w:eastAsia="Times New Roman" w:hAnsi="Calibri"/>
                <w:color w:val="000000"/>
                <w:sz w:val="18"/>
                <w:szCs w:val="18"/>
              </w:rPr>
            </w:pPr>
            <w:r w:rsidRPr="00B75B77">
              <w:rPr>
                <w:rFonts w:ascii="Calibri" w:eastAsia="Times New Roman" w:hAnsi="Calibri"/>
                <w:color w:val="000000"/>
                <w:sz w:val="18"/>
                <w:szCs w:val="18"/>
              </w:rPr>
              <w:t>6</w:t>
            </w:r>
          </w:p>
        </w:tc>
        <w:tc>
          <w:tcPr>
            <w:cnfStyle w:val="000010000000" w:firstRow="0" w:lastRow="0" w:firstColumn="0" w:lastColumn="0" w:oddVBand="1" w:evenVBand="0" w:oddHBand="0" w:evenHBand="0" w:firstRowFirstColumn="0" w:firstRowLastColumn="0" w:lastRowFirstColumn="0" w:lastRowLastColumn="0"/>
            <w:tcW w:w="5935" w:type="dxa"/>
            <w:tcBorders>
              <w:top w:val="single" w:sz="4" w:space="0" w:color="448A99"/>
              <w:left w:val="single" w:sz="4" w:space="0" w:color="448A99"/>
              <w:bottom w:val="single" w:sz="4" w:space="0" w:color="448A99"/>
              <w:right w:val="single" w:sz="4" w:space="0" w:color="448A99"/>
            </w:tcBorders>
            <w:shd w:val="clear" w:color="auto" w:fill="D2EAF1"/>
            <w:noWrap/>
            <w:vAlign w:val="center"/>
            <w:hideMark/>
          </w:tcPr>
          <w:p w:rsidR="000E1EED" w:rsidRPr="00B75B77" w:rsidRDefault="000E1EED" w:rsidP="00707B64">
            <w:pPr>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Design </w:t>
            </w:r>
            <w:r w:rsidR="004170FC" w:rsidRPr="00B75B77">
              <w:rPr>
                <w:rFonts w:ascii="Calibri" w:eastAsia="Times New Roman" w:hAnsi="Calibri"/>
                <w:color w:val="000000"/>
                <w:sz w:val="18"/>
                <w:szCs w:val="18"/>
              </w:rPr>
              <w:t>and</w:t>
            </w:r>
            <w:r w:rsidRPr="00B75B77">
              <w:rPr>
                <w:rFonts w:ascii="Calibri" w:eastAsia="Times New Roman" w:hAnsi="Calibri"/>
                <w:color w:val="000000"/>
                <w:sz w:val="18"/>
                <w:szCs w:val="18"/>
              </w:rPr>
              <w:t xml:space="preserve"> Development</w:t>
            </w:r>
          </w:p>
        </w:tc>
        <w:tc>
          <w:tcPr>
            <w:tcW w:w="1168" w:type="dxa"/>
            <w:tcBorders>
              <w:top w:val="single" w:sz="4" w:space="0" w:color="448A99"/>
              <w:left w:val="single" w:sz="4" w:space="0" w:color="448A99"/>
              <w:bottom w:val="single" w:sz="4" w:space="0" w:color="448A99"/>
              <w:right w:val="single" w:sz="4" w:space="0" w:color="448A99"/>
            </w:tcBorders>
            <w:shd w:val="clear" w:color="auto" w:fill="D2EAF1"/>
            <w:noWrap/>
            <w:vAlign w:val="center"/>
            <w:hideMark/>
          </w:tcPr>
          <w:p w:rsidR="000E1EED" w:rsidRPr="00B75B77" w:rsidRDefault="000E1EED" w:rsidP="004170FC">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B75B77">
              <w:rPr>
                <w:sz w:val="18"/>
                <w:szCs w:val="18"/>
              </w:rPr>
              <w:t>0</w:t>
            </w:r>
          </w:p>
        </w:tc>
        <w:tc>
          <w:tcPr>
            <w:cnfStyle w:val="000010000000" w:firstRow="0" w:lastRow="0" w:firstColumn="0" w:lastColumn="0" w:oddVBand="1" w:evenVBand="0" w:oddHBand="0" w:evenHBand="0" w:firstRowFirstColumn="0" w:firstRowLastColumn="0" w:lastRowFirstColumn="0" w:lastRowLastColumn="0"/>
            <w:tcW w:w="1352" w:type="dxa"/>
            <w:tcBorders>
              <w:top w:val="single" w:sz="4" w:space="0" w:color="448A99"/>
              <w:left w:val="single" w:sz="4" w:space="0" w:color="448A99"/>
              <w:bottom w:val="single" w:sz="4" w:space="0" w:color="448A99"/>
              <w:right w:val="single" w:sz="4" w:space="0" w:color="448A99"/>
            </w:tcBorders>
            <w:shd w:val="clear" w:color="auto" w:fill="D2EAF1"/>
            <w:vAlign w:val="center"/>
            <w:hideMark/>
          </w:tcPr>
          <w:p w:rsidR="000E1EED" w:rsidRPr="00B75B77" w:rsidRDefault="000E1EED" w:rsidP="004170FC">
            <w:pPr>
              <w:jc w:val="right"/>
              <w:rPr>
                <w:rFonts w:eastAsia="Times New Roman"/>
                <w:color w:val="000000"/>
                <w:sz w:val="18"/>
                <w:szCs w:val="18"/>
              </w:rPr>
            </w:pPr>
            <w:r w:rsidRPr="00B75B77">
              <w:rPr>
                <w:sz w:val="18"/>
                <w:szCs w:val="18"/>
              </w:rPr>
              <w:t>0</w:t>
            </w:r>
          </w:p>
        </w:tc>
      </w:tr>
      <w:tr w:rsidR="000E1EED" w:rsidRPr="00B75B77" w:rsidTr="005E44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448A99"/>
              <w:left w:val="single" w:sz="4" w:space="0" w:color="448A99"/>
              <w:bottom w:val="single" w:sz="4" w:space="0" w:color="448A99"/>
              <w:right w:val="single" w:sz="4" w:space="0" w:color="448A99"/>
            </w:tcBorders>
            <w:shd w:val="clear" w:color="auto" w:fill="auto"/>
            <w:vAlign w:val="center"/>
          </w:tcPr>
          <w:p w:rsidR="000E1EED" w:rsidRPr="00B75B77" w:rsidRDefault="000E1EED" w:rsidP="00707B64">
            <w:pPr>
              <w:jc w:val="center"/>
              <w:rPr>
                <w:rFonts w:ascii="Calibri" w:eastAsia="Times New Roman" w:hAnsi="Calibri"/>
                <w:color w:val="000000"/>
                <w:sz w:val="18"/>
                <w:szCs w:val="18"/>
              </w:rPr>
            </w:pPr>
            <w:r w:rsidRPr="00B75B77">
              <w:rPr>
                <w:rFonts w:ascii="Calibri" w:eastAsia="Times New Roman" w:hAnsi="Calibri"/>
                <w:color w:val="000000"/>
                <w:sz w:val="18"/>
                <w:szCs w:val="18"/>
              </w:rPr>
              <w:t>7</w:t>
            </w:r>
          </w:p>
        </w:tc>
        <w:tc>
          <w:tcPr>
            <w:cnfStyle w:val="000010000000" w:firstRow="0" w:lastRow="0" w:firstColumn="0" w:lastColumn="0" w:oddVBand="1" w:evenVBand="0" w:oddHBand="0" w:evenHBand="0" w:firstRowFirstColumn="0" w:firstRowLastColumn="0" w:lastRowFirstColumn="0" w:lastRowLastColumn="0"/>
            <w:tcW w:w="5935" w:type="dxa"/>
            <w:tcBorders>
              <w:top w:val="single" w:sz="4" w:space="0" w:color="448A99"/>
              <w:left w:val="single" w:sz="4" w:space="0" w:color="448A99"/>
              <w:bottom w:val="single" w:sz="4" w:space="0" w:color="448A99"/>
              <w:right w:val="single" w:sz="4" w:space="0" w:color="448A99"/>
            </w:tcBorders>
            <w:shd w:val="clear" w:color="auto" w:fill="auto"/>
            <w:noWrap/>
            <w:vAlign w:val="center"/>
            <w:hideMark/>
          </w:tcPr>
          <w:p w:rsidR="000E1EED" w:rsidRPr="00B75B77" w:rsidRDefault="000E1EED" w:rsidP="00707B64">
            <w:pPr>
              <w:jc w:val="left"/>
              <w:rPr>
                <w:rFonts w:ascii="Calibri" w:eastAsia="Times New Roman" w:hAnsi="Calibri"/>
                <w:color w:val="000000"/>
                <w:sz w:val="18"/>
                <w:szCs w:val="18"/>
              </w:rPr>
            </w:pPr>
            <w:r w:rsidRPr="00B75B77">
              <w:rPr>
                <w:rFonts w:ascii="Calibri" w:eastAsia="Times New Roman" w:hAnsi="Calibri"/>
                <w:color w:val="000000"/>
                <w:sz w:val="18"/>
                <w:szCs w:val="18"/>
              </w:rPr>
              <w:t>Administration, Management, and Technical Assistance</w:t>
            </w:r>
            <w:r w:rsidRPr="00B75B77">
              <w:rPr>
                <w:rFonts w:ascii="Calibri" w:eastAsia="Times New Roman" w:hAnsi="Calibri"/>
                <w:b/>
                <w:bCs/>
                <w:color w:val="000000"/>
                <w:sz w:val="18"/>
                <w:szCs w:val="18"/>
                <w:vertAlign w:val="superscript"/>
              </w:rPr>
              <w:t>[1]</w:t>
            </w:r>
          </w:p>
        </w:tc>
        <w:tc>
          <w:tcPr>
            <w:tcW w:w="1168" w:type="dxa"/>
            <w:tcBorders>
              <w:top w:val="single" w:sz="4" w:space="0" w:color="448A99"/>
              <w:left w:val="single" w:sz="4" w:space="0" w:color="448A99"/>
              <w:bottom w:val="single" w:sz="4" w:space="0" w:color="448A99"/>
              <w:right w:val="single" w:sz="4" w:space="0" w:color="448A99"/>
            </w:tcBorders>
            <w:shd w:val="clear" w:color="auto" w:fill="auto"/>
            <w:noWrap/>
            <w:vAlign w:val="center"/>
            <w:hideMark/>
          </w:tcPr>
          <w:p w:rsidR="000E1EED" w:rsidRPr="00B75B77" w:rsidRDefault="000E1EED" w:rsidP="004170F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75B77">
              <w:rPr>
                <w:sz w:val="18"/>
                <w:szCs w:val="18"/>
              </w:rPr>
              <w:t>2,633</w:t>
            </w:r>
          </w:p>
        </w:tc>
        <w:tc>
          <w:tcPr>
            <w:cnfStyle w:val="000010000000" w:firstRow="0" w:lastRow="0" w:firstColumn="0" w:lastColumn="0" w:oddVBand="1" w:evenVBand="0" w:oddHBand="0" w:evenHBand="0" w:firstRowFirstColumn="0" w:firstRowLastColumn="0" w:lastRowFirstColumn="0" w:lastRowLastColumn="0"/>
            <w:tcW w:w="1352" w:type="dxa"/>
            <w:tcBorders>
              <w:top w:val="single" w:sz="4" w:space="0" w:color="448A99"/>
              <w:left w:val="single" w:sz="4" w:space="0" w:color="448A99"/>
              <w:bottom w:val="single" w:sz="4" w:space="0" w:color="448A99"/>
              <w:right w:val="single" w:sz="4" w:space="0" w:color="448A99"/>
            </w:tcBorders>
            <w:shd w:val="clear" w:color="auto" w:fill="auto"/>
            <w:vAlign w:val="center"/>
            <w:hideMark/>
          </w:tcPr>
          <w:p w:rsidR="000E1EED" w:rsidRPr="00B75B77" w:rsidRDefault="000E1EED" w:rsidP="004170FC">
            <w:pPr>
              <w:jc w:val="right"/>
              <w:rPr>
                <w:rFonts w:eastAsia="Times New Roman"/>
                <w:color w:val="000000"/>
                <w:sz w:val="18"/>
                <w:szCs w:val="18"/>
              </w:rPr>
            </w:pPr>
            <w:r w:rsidRPr="00B75B77">
              <w:rPr>
                <w:sz w:val="18"/>
                <w:szCs w:val="18"/>
              </w:rPr>
              <w:t>8,213</w:t>
            </w:r>
          </w:p>
        </w:tc>
      </w:tr>
      <w:tr w:rsidR="000E1EED" w:rsidRPr="00B75B77" w:rsidTr="005E445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448A99"/>
              <w:left w:val="single" w:sz="4" w:space="0" w:color="448A99"/>
              <w:bottom w:val="single" w:sz="4" w:space="0" w:color="448A99"/>
              <w:right w:val="single" w:sz="4" w:space="0" w:color="448A99"/>
            </w:tcBorders>
            <w:shd w:val="clear" w:color="auto" w:fill="D2EAF1"/>
            <w:vAlign w:val="center"/>
          </w:tcPr>
          <w:p w:rsidR="000E1EED" w:rsidRPr="00B75B77" w:rsidRDefault="000E1EED" w:rsidP="00707B64">
            <w:pPr>
              <w:jc w:val="center"/>
              <w:rPr>
                <w:rFonts w:ascii="Calibri" w:eastAsia="Times New Roman" w:hAnsi="Calibri"/>
                <w:color w:val="000000"/>
                <w:sz w:val="18"/>
                <w:szCs w:val="18"/>
              </w:rPr>
            </w:pPr>
            <w:r w:rsidRPr="00B75B77">
              <w:rPr>
                <w:rFonts w:ascii="Calibri" w:eastAsia="Times New Roman" w:hAnsi="Calibri"/>
                <w:color w:val="000000"/>
                <w:sz w:val="18"/>
                <w:szCs w:val="18"/>
              </w:rPr>
              <w:t>8</w:t>
            </w:r>
          </w:p>
        </w:tc>
        <w:tc>
          <w:tcPr>
            <w:cnfStyle w:val="000010000000" w:firstRow="0" w:lastRow="0" w:firstColumn="0" w:lastColumn="0" w:oddVBand="1" w:evenVBand="0" w:oddHBand="0" w:evenHBand="0" w:firstRowFirstColumn="0" w:firstRowLastColumn="0" w:lastRowFirstColumn="0" w:lastRowLastColumn="0"/>
            <w:tcW w:w="5935" w:type="dxa"/>
            <w:tcBorders>
              <w:top w:val="single" w:sz="4" w:space="0" w:color="448A99"/>
              <w:left w:val="single" w:sz="4" w:space="0" w:color="448A99"/>
              <w:bottom w:val="single" w:sz="4" w:space="0" w:color="448A99"/>
              <w:right w:val="single" w:sz="4" w:space="0" w:color="448A99"/>
            </w:tcBorders>
            <w:shd w:val="clear" w:color="auto" w:fill="D2EAF1"/>
            <w:noWrap/>
            <w:vAlign w:val="center"/>
            <w:hideMark/>
          </w:tcPr>
          <w:p w:rsidR="000E1EED" w:rsidRPr="00B75B77" w:rsidRDefault="000E1EED" w:rsidP="00707B64">
            <w:pPr>
              <w:jc w:val="left"/>
              <w:rPr>
                <w:rFonts w:ascii="Calibri" w:eastAsia="Times New Roman" w:hAnsi="Calibri"/>
                <w:color w:val="000000"/>
                <w:sz w:val="18"/>
                <w:szCs w:val="18"/>
              </w:rPr>
            </w:pPr>
            <w:r w:rsidRPr="00B75B77">
              <w:rPr>
                <w:rFonts w:ascii="Calibri" w:eastAsia="Times New Roman" w:hAnsi="Calibri"/>
                <w:color w:val="000000"/>
                <w:sz w:val="18"/>
                <w:szCs w:val="18"/>
              </w:rPr>
              <w:t>Marketing</w:t>
            </w:r>
            <w:r w:rsidRPr="00B75B77">
              <w:rPr>
                <w:rFonts w:ascii="Calibri" w:eastAsia="Times New Roman" w:hAnsi="Calibri"/>
                <w:b/>
                <w:bCs/>
                <w:color w:val="000000"/>
                <w:sz w:val="18"/>
                <w:szCs w:val="18"/>
                <w:vertAlign w:val="superscript"/>
              </w:rPr>
              <w:t>[2]</w:t>
            </w:r>
          </w:p>
        </w:tc>
        <w:tc>
          <w:tcPr>
            <w:tcW w:w="1168" w:type="dxa"/>
            <w:tcBorders>
              <w:top w:val="single" w:sz="4" w:space="0" w:color="448A99"/>
              <w:left w:val="single" w:sz="4" w:space="0" w:color="448A99"/>
              <w:bottom w:val="single" w:sz="4" w:space="0" w:color="448A99"/>
              <w:right w:val="single" w:sz="4" w:space="0" w:color="448A99"/>
            </w:tcBorders>
            <w:shd w:val="clear" w:color="auto" w:fill="D2EAF1"/>
            <w:noWrap/>
            <w:vAlign w:val="center"/>
            <w:hideMark/>
          </w:tcPr>
          <w:p w:rsidR="000E1EED" w:rsidRPr="00B75B77" w:rsidRDefault="000E1EED" w:rsidP="004170FC">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B75B77">
              <w:rPr>
                <w:sz w:val="18"/>
                <w:szCs w:val="18"/>
              </w:rPr>
              <w:t>170</w:t>
            </w:r>
          </w:p>
        </w:tc>
        <w:tc>
          <w:tcPr>
            <w:cnfStyle w:val="000010000000" w:firstRow="0" w:lastRow="0" w:firstColumn="0" w:lastColumn="0" w:oddVBand="1" w:evenVBand="0" w:oddHBand="0" w:evenHBand="0" w:firstRowFirstColumn="0" w:firstRowLastColumn="0" w:lastRowFirstColumn="0" w:lastRowLastColumn="0"/>
            <w:tcW w:w="1352" w:type="dxa"/>
            <w:tcBorders>
              <w:top w:val="single" w:sz="4" w:space="0" w:color="448A99"/>
              <w:left w:val="single" w:sz="4" w:space="0" w:color="448A99"/>
              <w:bottom w:val="single" w:sz="4" w:space="0" w:color="448A99"/>
              <w:right w:val="single" w:sz="4" w:space="0" w:color="448A99"/>
            </w:tcBorders>
            <w:shd w:val="clear" w:color="auto" w:fill="D2EAF1"/>
            <w:vAlign w:val="center"/>
            <w:hideMark/>
          </w:tcPr>
          <w:p w:rsidR="000E1EED" w:rsidRPr="00B75B77" w:rsidRDefault="000E1EED" w:rsidP="004170FC">
            <w:pPr>
              <w:jc w:val="right"/>
              <w:rPr>
                <w:rFonts w:eastAsia="Times New Roman"/>
                <w:color w:val="000000"/>
                <w:sz w:val="18"/>
                <w:szCs w:val="18"/>
              </w:rPr>
            </w:pPr>
            <w:r w:rsidRPr="00B75B77">
              <w:rPr>
                <w:sz w:val="18"/>
                <w:szCs w:val="18"/>
              </w:rPr>
              <w:t>170</w:t>
            </w:r>
          </w:p>
        </w:tc>
      </w:tr>
      <w:tr w:rsidR="000E1EED" w:rsidRPr="00B75B77" w:rsidTr="005E445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448A99"/>
              <w:left w:val="single" w:sz="4" w:space="0" w:color="448A99"/>
              <w:bottom w:val="single" w:sz="4" w:space="0" w:color="448A99"/>
              <w:right w:val="single" w:sz="4" w:space="0" w:color="448A99"/>
            </w:tcBorders>
            <w:shd w:val="clear" w:color="auto" w:fill="auto"/>
            <w:vAlign w:val="center"/>
          </w:tcPr>
          <w:p w:rsidR="000E1EED" w:rsidRPr="00B75B77" w:rsidRDefault="000E1EED" w:rsidP="00707B64">
            <w:pPr>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9</w:t>
            </w:r>
          </w:p>
        </w:tc>
        <w:tc>
          <w:tcPr>
            <w:cnfStyle w:val="000010000000" w:firstRow="0" w:lastRow="0" w:firstColumn="0" w:lastColumn="0" w:oddVBand="1" w:evenVBand="0" w:oddHBand="0" w:evenHBand="0" w:firstRowFirstColumn="0" w:firstRowLastColumn="0" w:lastRowFirstColumn="0" w:lastRowLastColumn="0"/>
            <w:tcW w:w="5935"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0E1EED" w:rsidRPr="00B75B77" w:rsidRDefault="000E1EED" w:rsidP="00707B64">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EDC Evaluation Costs</w:t>
            </w:r>
          </w:p>
        </w:tc>
        <w:tc>
          <w:tcPr>
            <w:tcW w:w="1168" w:type="dxa"/>
            <w:tcBorders>
              <w:top w:val="single" w:sz="4" w:space="0" w:color="448A99"/>
              <w:left w:val="single" w:sz="4" w:space="0" w:color="448A99"/>
              <w:bottom w:val="single" w:sz="4" w:space="0" w:color="448A99"/>
              <w:right w:val="single" w:sz="4" w:space="0" w:color="448A99"/>
            </w:tcBorders>
            <w:shd w:val="clear" w:color="auto" w:fill="auto"/>
            <w:noWrap/>
            <w:vAlign w:val="center"/>
            <w:hideMark/>
          </w:tcPr>
          <w:p w:rsidR="000E1EED" w:rsidRPr="00B75B77" w:rsidRDefault="000E1EED" w:rsidP="004170FC">
            <w:pPr>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 w:val="18"/>
                <w:szCs w:val="18"/>
              </w:rPr>
            </w:pPr>
            <w:r w:rsidRPr="00B75B77">
              <w:rPr>
                <w:sz w:val="18"/>
                <w:szCs w:val="18"/>
              </w:rPr>
              <w:t>0</w:t>
            </w:r>
          </w:p>
        </w:tc>
        <w:tc>
          <w:tcPr>
            <w:cnfStyle w:val="000010000000" w:firstRow="0" w:lastRow="0" w:firstColumn="0" w:lastColumn="0" w:oddVBand="1" w:evenVBand="0" w:oddHBand="0" w:evenHBand="0" w:firstRowFirstColumn="0" w:firstRowLastColumn="0" w:lastRowFirstColumn="0" w:lastRowLastColumn="0"/>
            <w:tcW w:w="1352" w:type="dxa"/>
            <w:tcBorders>
              <w:top w:val="single" w:sz="4" w:space="0" w:color="448A99"/>
              <w:left w:val="single" w:sz="4" w:space="0" w:color="448A99"/>
              <w:bottom w:val="single" w:sz="4" w:space="0" w:color="448A99"/>
              <w:right w:val="single" w:sz="4" w:space="0" w:color="448A99"/>
            </w:tcBorders>
            <w:shd w:val="clear" w:color="auto" w:fill="auto"/>
            <w:vAlign w:val="center"/>
            <w:hideMark/>
          </w:tcPr>
          <w:p w:rsidR="000E1EED" w:rsidRPr="00B75B77" w:rsidRDefault="000E1EED" w:rsidP="004170FC">
            <w:pPr>
              <w:jc w:val="right"/>
              <w:rPr>
                <w:rFonts w:eastAsia="Times New Roman"/>
                <w:b/>
                <w:color w:val="000000"/>
                <w:sz w:val="18"/>
                <w:szCs w:val="18"/>
              </w:rPr>
            </w:pPr>
            <w:r w:rsidRPr="00B75B77">
              <w:rPr>
                <w:sz w:val="18"/>
                <w:szCs w:val="18"/>
              </w:rPr>
              <w:t>0</w:t>
            </w:r>
          </w:p>
        </w:tc>
      </w:tr>
      <w:tr w:rsidR="000E1EED" w:rsidRPr="00B75B77" w:rsidTr="005E445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448A99"/>
              <w:left w:val="single" w:sz="4" w:space="0" w:color="448A99"/>
              <w:bottom w:val="single" w:sz="4" w:space="0" w:color="448A99"/>
              <w:right w:val="single" w:sz="4" w:space="0" w:color="448A99"/>
            </w:tcBorders>
            <w:shd w:val="clear" w:color="auto" w:fill="D2EAF1"/>
            <w:vAlign w:val="center"/>
          </w:tcPr>
          <w:p w:rsidR="000E1EED" w:rsidRPr="00B75B77" w:rsidRDefault="000E1EED" w:rsidP="00707B64">
            <w:pPr>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10</w:t>
            </w:r>
          </w:p>
        </w:tc>
        <w:tc>
          <w:tcPr>
            <w:cnfStyle w:val="000010000000" w:firstRow="0" w:lastRow="0" w:firstColumn="0" w:lastColumn="0" w:oddVBand="1" w:evenVBand="0" w:oddHBand="0" w:evenHBand="0" w:firstRowFirstColumn="0" w:firstRowLastColumn="0" w:lastRowFirstColumn="0" w:lastRowLastColumn="0"/>
            <w:tcW w:w="5935"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0E1EED" w:rsidRPr="00B75B77" w:rsidRDefault="000E1EED" w:rsidP="00707B64">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SWE Audit Costs</w:t>
            </w:r>
          </w:p>
        </w:tc>
        <w:tc>
          <w:tcPr>
            <w:tcW w:w="1168"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0E1EED" w:rsidRPr="00B75B77" w:rsidRDefault="000E1EED" w:rsidP="004170FC">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B75B77">
              <w:rPr>
                <w:sz w:val="18"/>
                <w:szCs w:val="18"/>
              </w:rPr>
              <w:t>0</w:t>
            </w:r>
          </w:p>
        </w:tc>
        <w:tc>
          <w:tcPr>
            <w:cnfStyle w:val="000010000000" w:firstRow="0" w:lastRow="0" w:firstColumn="0" w:lastColumn="0" w:oddVBand="1" w:evenVBand="0" w:oddHBand="0" w:evenHBand="0" w:firstRowFirstColumn="0" w:firstRowLastColumn="0" w:lastRowFirstColumn="0" w:lastRowLastColumn="0"/>
            <w:tcW w:w="1352" w:type="dxa"/>
            <w:tcBorders>
              <w:top w:val="single" w:sz="4" w:space="0" w:color="448A99"/>
              <w:left w:val="single" w:sz="4" w:space="0" w:color="448A99"/>
              <w:bottom w:val="single" w:sz="4" w:space="0" w:color="448A99"/>
              <w:right w:val="single" w:sz="4" w:space="0" w:color="448A99"/>
            </w:tcBorders>
            <w:shd w:val="clear" w:color="auto" w:fill="D2EAF1"/>
            <w:vAlign w:val="center"/>
          </w:tcPr>
          <w:p w:rsidR="000E1EED" w:rsidRPr="00B75B77" w:rsidRDefault="000E1EED" w:rsidP="004170FC">
            <w:pPr>
              <w:jc w:val="right"/>
              <w:rPr>
                <w:rFonts w:eastAsia="Times New Roman"/>
                <w:color w:val="000000"/>
                <w:sz w:val="18"/>
                <w:szCs w:val="18"/>
              </w:rPr>
            </w:pPr>
            <w:r w:rsidRPr="00B75B77">
              <w:rPr>
                <w:sz w:val="18"/>
                <w:szCs w:val="18"/>
              </w:rPr>
              <w:t>0</w:t>
            </w:r>
          </w:p>
        </w:tc>
      </w:tr>
      <w:tr w:rsidR="000E1EED" w:rsidRPr="00B75B77" w:rsidTr="005E4455">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9517" w:type="dxa"/>
            <w:gridSpan w:val="4"/>
            <w:tcBorders>
              <w:top w:val="single" w:sz="4" w:space="0" w:color="448A99"/>
              <w:left w:val="single" w:sz="4" w:space="0" w:color="448A99"/>
              <w:bottom w:val="single" w:sz="4" w:space="0" w:color="448A99"/>
              <w:right w:val="single" w:sz="4" w:space="0" w:color="448A99"/>
            </w:tcBorders>
            <w:shd w:val="clear" w:color="auto" w:fill="AEAAAA"/>
            <w:vAlign w:val="center"/>
          </w:tcPr>
          <w:p w:rsidR="000E1EED" w:rsidRPr="00B75B77" w:rsidRDefault="000E1EED" w:rsidP="004170FC">
            <w:pPr>
              <w:jc w:val="right"/>
              <w:rPr>
                <w:rFonts w:eastAsia="Times New Roman"/>
                <w:b w:val="0"/>
                <w:color w:val="000000"/>
                <w:sz w:val="18"/>
                <w:szCs w:val="18"/>
              </w:rPr>
            </w:pPr>
          </w:p>
        </w:tc>
      </w:tr>
      <w:tr w:rsidR="000E1EED" w:rsidRPr="00B75B77" w:rsidTr="005E445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448A99"/>
              <w:left w:val="single" w:sz="4" w:space="0" w:color="448A99"/>
              <w:bottom w:val="single" w:sz="4" w:space="0" w:color="448A99"/>
              <w:right w:val="single" w:sz="4" w:space="0" w:color="448A99"/>
            </w:tcBorders>
            <w:shd w:val="clear" w:color="auto" w:fill="auto"/>
            <w:vAlign w:val="center"/>
          </w:tcPr>
          <w:p w:rsidR="000E1EED" w:rsidRPr="00B75B77" w:rsidRDefault="000E1EED" w:rsidP="00594255">
            <w:pPr>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11</w:t>
            </w:r>
          </w:p>
        </w:tc>
        <w:tc>
          <w:tcPr>
            <w:cnfStyle w:val="000010000000" w:firstRow="0" w:lastRow="0" w:firstColumn="0" w:lastColumn="0" w:oddVBand="1" w:evenVBand="0" w:oddHBand="0" w:evenHBand="0" w:firstRowFirstColumn="0" w:firstRowLastColumn="0" w:lastRowFirstColumn="0" w:lastRowLastColumn="0"/>
            <w:tcW w:w="5935"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0E1EED" w:rsidRPr="00B75B77" w:rsidRDefault="000E1EED" w:rsidP="00594255">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Increases in Costs of Natural Gas (or Other Fuels) for Fuel-Switching Programs</w:t>
            </w:r>
          </w:p>
        </w:tc>
        <w:tc>
          <w:tcPr>
            <w:tcW w:w="1168"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0E1EED" w:rsidRPr="00B75B77" w:rsidRDefault="000E1EED" w:rsidP="004170FC">
            <w:pPr>
              <w:jc w:val="right"/>
              <w:cnfStyle w:val="000000010000" w:firstRow="0" w:lastRow="0" w:firstColumn="0" w:lastColumn="0" w:oddVBand="0" w:evenVBand="0" w:oddHBand="0" w:evenHBand="1" w:firstRowFirstColumn="0" w:firstRowLastColumn="0" w:lastRowFirstColumn="0" w:lastRowLastColumn="0"/>
              <w:rPr>
                <w:rFonts w:eastAsia="Times New Roman"/>
                <w:b/>
                <w:color w:val="000000"/>
                <w:sz w:val="18"/>
                <w:szCs w:val="18"/>
              </w:rPr>
            </w:pPr>
            <w:r w:rsidRPr="00B75B77">
              <w:rPr>
                <w:rFonts w:eastAsia="Times New Roman"/>
                <w:b/>
                <w:color w:val="000000"/>
                <w:sz w:val="18"/>
                <w:szCs w:val="18"/>
              </w:rPr>
              <w:t>0</w:t>
            </w:r>
          </w:p>
        </w:tc>
        <w:tc>
          <w:tcPr>
            <w:cnfStyle w:val="000010000000" w:firstRow="0" w:lastRow="0" w:firstColumn="0" w:lastColumn="0" w:oddVBand="1" w:evenVBand="0" w:oddHBand="0" w:evenHBand="0" w:firstRowFirstColumn="0" w:firstRowLastColumn="0" w:lastRowFirstColumn="0" w:lastRowLastColumn="0"/>
            <w:tcW w:w="1352" w:type="dxa"/>
            <w:tcBorders>
              <w:top w:val="single" w:sz="4" w:space="0" w:color="448A99"/>
              <w:left w:val="single" w:sz="4" w:space="0" w:color="448A99"/>
              <w:bottom w:val="single" w:sz="4" w:space="0" w:color="448A99"/>
              <w:right w:val="single" w:sz="4" w:space="0" w:color="448A99"/>
            </w:tcBorders>
            <w:shd w:val="clear" w:color="auto" w:fill="auto"/>
            <w:vAlign w:val="center"/>
          </w:tcPr>
          <w:p w:rsidR="000E1EED" w:rsidRPr="00B75B77" w:rsidRDefault="000E1EED" w:rsidP="004170FC">
            <w:pPr>
              <w:jc w:val="right"/>
              <w:rPr>
                <w:rFonts w:eastAsia="Times New Roman"/>
                <w:b/>
                <w:color w:val="000000"/>
                <w:sz w:val="18"/>
                <w:szCs w:val="18"/>
              </w:rPr>
            </w:pPr>
            <w:r w:rsidRPr="00B75B77">
              <w:rPr>
                <w:rFonts w:eastAsia="Times New Roman"/>
                <w:b/>
                <w:color w:val="000000"/>
                <w:sz w:val="18"/>
                <w:szCs w:val="18"/>
              </w:rPr>
              <w:t>0</w:t>
            </w:r>
          </w:p>
        </w:tc>
      </w:tr>
      <w:tr w:rsidR="000E1EED" w:rsidRPr="00B75B77" w:rsidTr="005E4455">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9517" w:type="dxa"/>
            <w:gridSpan w:val="4"/>
            <w:tcBorders>
              <w:top w:val="single" w:sz="4" w:space="0" w:color="448A99"/>
              <w:left w:val="single" w:sz="4" w:space="0" w:color="448A99"/>
              <w:bottom w:val="single" w:sz="4" w:space="0" w:color="448A99"/>
              <w:right w:val="single" w:sz="4" w:space="0" w:color="448A99"/>
            </w:tcBorders>
            <w:shd w:val="clear" w:color="auto" w:fill="AEAAAA"/>
            <w:vAlign w:val="center"/>
          </w:tcPr>
          <w:p w:rsidR="000E1EED" w:rsidRPr="00B75B77" w:rsidRDefault="000E1EED" w:rsidP="004170FC">
            <w:pPr>
              <w:jc w:val="right"/>
              <w:rPr>
                <w:rFonts w:eastAsia="Times New Roman"/>
                <w:b w:val="0"/>
                <w:color w:val="000000"/>
                <w:sz w:val="18"/>
                <w:szCs w:val="18"/>
              </w:rPr>
            </w:pPr>
          </w:p>
        </w:tc>
      </w:tr>
      <w:tr w:rsidR="000E1EED" w:rsidRPr="00B75B77" w:rsidTr="005E445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448A99"/>
              <w:left w:val="single" w:sz="4" w:space="0" w:color="448A99"/>
              <w:bottom w:val="single" w:sz="4" w:space="0" w:color="448A99"/>
              <w:right w:val="single" w:sz="4" w:space="0" w:color="448A99"/>
            </w:tcBorders>
            <w:shd w:val="clear" w:color="auto" w:fill="D2EAF1"/>
            <w:vAlign w:val="center"/>
          </w:tcPr>
          <w:p w:rsidR="000E1EED" w:rsidRPr="00B75B77" w:rsidRDefault="000E1EED" w:rsidP="00707B64">
            <w:pPr>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12</w:t>
            </w:r>
          </w:p>
        </w:tc>
        <w:tc>
          <w:tcPr>
            <w:cnfStyle w:val="000010000000" w:firstRow="0" w:lastRow="0" w:firstColumn="0" w:lastColumn="0" w:oddVBand="1" w:evenVBand="0" w:oddHBand="0" w:evenHBand="0" w:firstRowFirstColumn="0" w:firstRowLastColumn="0" w:lastRowFirstColumn="0" w:lastRowLastColumn="0"/>
            <w:tcW w:w="5935" w:type="dxa"/>
            <w:tcBorders>
              <w:top w:val="single" w:sz="4" w:space="0" w:color="448A99"/>
              <w:left w:val="single" w:sz="4" w:space="0" w:color="448A99"/>
              <w:bottom w:val="single" w:sz="4" w:space="0" w:color="448A99"/>
              <w:right w:val="single" w:sz="4" w:space="0" w:color="448A99"/>
            </w:tcBorders>
            <w:noWrap/>
            <w:vAlign w:val="center"/>
            <w:hideMark/>
          </w:tcPr>
          <w:p w:rsidR="000E1EED" w:rsidRPr="00B75B77" w:rsidRDefault="000E1EED" w:rsidP="00707B64">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Total TRC Costs</w:t>
            </w:r>
            <w:r w:rsidRPr="00B75B77">
              <w:rPr>
                <w:rFonts w:ascii="Calibri" w:eastAsia="Times New Roman" w:hAnsi="Calibri"/>
                <w:bCs/>
                <w:color w:val="000000"/>
                <w:sz w:val="18"/>
                <w:szCs w:val="18"/>
                <w:vertAlign w:val="superscript"/>
              </w:rPr>
              <w:t xml:space="preserve">[3] </w:t>
            </w:r>
            <w:r w:rsidRPr="00B75B77">
              <w:rPr>
                <w:rFonts w:ascii="Calibri" w:eastAsia="Times New Roman" w:hAnsi="Calibri"/>
                <w:bCs/>
                <w:color w:val="000000"/>
                <w:sz w:val="18"/>
                <w:szCs w:val="18"/>
              </w:rPr>
              <w:t>(Sum of Rows 1, 5, and 11)</w:t>
            </w:r>
          </w:p>
        </w:tc>
        <w:tc>
          <w:tcPr>
            <w:tcW w:w="1168"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hideMark/>
          </w:tcPr>
          <w:p w:rsidR="000E1EED" w:rsidRPr="00B75B77" w:rsidRDefault="000E1EED" w:rsidP="004170FC">
            <w:pPr>
              <w:jc w:val="right"/>
              <w:cnfStyle w:val="000000010000" w:firstRow="0" w:lastRow="0" w:firstColumn="0" w:lastColumn="0" w:oddVBand="0" w:evenVBand="0" w:oddHBand="0" w:evenHBand="1" w:firstRowFirstColumn="0" w:firstRowLastColumn="0" w:lastRowFirstColumn="0" w:lastRowLastColumn="0"/>
              <w:rPr>
                <w:rFonts w:eastAsia="Times New Roman"/>
                <w:b/>
                <w:color w:val="000000"/>
                <w:sz w:val="18"/>
                <w:szCs w:val="18"/>
              </w:rPr>
            </w:pPr>
            <w:r w:rsidRPr="00B75B77">
              <w:rPr>
                <w:sz w:val="18"/>
                <w:szCs w:val="18"/>
              </w:rPr>
              <w:t>26,964</w:t>
            </w:r>
          </w:p>
        </w:tc>
        <w:tc>
          <w:tcPr>
            <w:cnfStyle w:val="000010000000" w:firstRow="0" w:lastRow="0" w:firstColumn="0" w:lastColumn="0" w:oddVBand="1" w:evenVBand="0" w:oddHBand="0" w:evenHBand="0" w:firstRowFirstColumn="0" w:firstRowLastColumn="0" w:lastRowFirstColumn="0" w:lastRowLastColumn="0"/>
            <w:tcW w:w="1352" w:type="dxa"/>
            <w:tcBorders>
              <w:top w:val="single" w:sz="4" w:space="0" w:color="448A99"/>
              <w:left w:val="single" w:sz="4" w:space="0" w:color="448A99"/>
              <w:bottom w:val="single" w:sz="4" w:space="0" w:color="448A99"/>
              <w:right w:val="single" w:sz="4" w:space="0" w:color="448A99"/>
            </w:tcBorders>
            <w:vAlign w:val="center"/>
            <w:hideMark/>
          </w:tcPr>
          <w:p w:rsidR="000E1EED" w:rsidRPr="00B75B77" w:rsidRDefault="000E1EED" w:rsidP="004170FC">
            <w:pPr>
              <w:jc w:val="right"/>
              <w:rPr>
                <w:rFonts w:eastAsia="Times New Roman"/>
                <w:b/>
                <w:color w:val="000000"/>
                <w:sz w:val="18"/>
                <w:szCs w:val="18"/>
              </w:rPr>
            </w:pPr>
            <w:r w:rsidRPr="00B75B77">
              <w:rPr>
                <w:sz w:val="18"/>
                <w:szCs w:val="18"/>
              </w:rPr>
              <w:t>43,048</w:t>
            </w:r>
          </w:p>
        </w:tc>
      </w:tr>
      <w:tr w:rsidR="000E1EED" w:rsidRPr="00B75B77" w:rsidTr="005E445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448A99"/>
              <w:left w:val="single" w:sz="4" w:space="0" w:color="448A99"/>
              <w:bottom w:val="single" w:sz="4" w:space="0" w:color="448A99"/>
              <w:right w:val="single" w:sz="4" w:space="0" w:color="448A99"/>
            </w:tcBorders>
            <w:shd w:val="clear" w:color="auto" w:fill="auto"/>
            <w:vAlign w:val="center"/>
          </w:tcPr>
          <w:p w:rsidR="000E1EED" w:rsidRPr="00B75B77" w:rsidRDefault="000E1EED" w:rsidP="00707B64">
            <w:pPr>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13</w:t>
            </w:r>
          </w:p>
        </w:tc>
        <w:tc>
          <w:tcPr>
            <w:cnfStyle w:val="000010000000" w:firstRow="0" w:lastRow="0" w:firstColumn="0" w:lastColumn="0" w:oddVBand="1" w:evenVBand="0" w:oddHBand="0" w:evenHBand="0" w:firstRowFirstColumn="0" w:firstRowLastColumn="0" w:lastRowFirstColumn="0" w:lastRowLastColumn="0"/>
            <w:tcW w:w="5935" w:type="dxa"/>
            <w:tcBorders>
              <w:top w:val="single" w:sz="4" w:space="0" w:color="448A99"/>
              <w:left w:val="single" w:sz="4" w:space="0" w:color="448A99"/>
              <w:bottom w:val="single" w:sz="4" w:space="0" w:color="448A99"/>
              <w:right w:val="single" w:sz="4" w:space="0" w:color="448A99"/>
            </w:tcBorders>
            <w:shd w:val="clear" w:color="auto" w:fill="auto"/>
            <w:noWrap/>
            <w:vAlign w:val="center"/>
            <w:hideMark/>
          </w:tcPr>
          <w:p w:rsidR="000E1EED" w:rsidRPr="00B75B77" w:rsidRDefault="000E1EED" w:rsidP="00707B64">
            <w:pPr>
              <w:jc w:val="left"/>
              <w:rPr>
                <w:rFonts w:ascii="Calibri" w:eastAsia="Times New Roman" w:hAnsi="Calibri"/>
                <w:color w:val="000000"/>
                <w:sz w:val="18"/>
                <w:szCs w:val="18"/>
              </w:rPr>
            </w:pPr>
            <w:r w:rsidRPr="00B75B77">
              <w:rPr>
                <w:rFonts w:ascii="Calibri" w:eastAsia="Times New Roman" w:hAnsi="Calibri"/>
                <w:bCs/>
                <w:color w:val="000000"/>
                <w:sz w:val="18"/>
                <w:szCs w:val="18"/>
              </w:rPr>
              <w:t>Total NPV Lifetime Energy Benefits</w:t>
            </w:r>
          </w:p>
        </w:tc>
        <w:tc>
          <w:tcPr>
            <w:tcW w:w="1168" w:type="dxa"/>
            <w:tcBorders>
              <w:top w:val="single" w:sz="4" w:space="0" w:color="448A99"/>
              <w:left w:val="single" w:sz="4" w:space="0" w:color="448A99"/>
              <w:bottom w:val="single" w:sz="4" w:space="0" w:color="448A99"/>
              <w:right w:val="single" w:sz="4" w:space="0" w:color="448A99"/>
            </w:tcBorders>
            <w:shd w:val="clear" w:color="auto" w:fill="auto"/>
            <w:noWrap/>
            <w:vAlign w:val="center"/>
            <w:hideMark/>
          </w:tcPr>
          <w:p w:rsidR="000E1EED" w:rsidRPr="00B75B77" w:rsidRDefault="000E1EED" w:rsidP="004170FC">
            <w:pPr>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 w:val="18"/>
                <w:szCs w:val="18"/>
              </w:rPr>
            </w:pPr>
            <w:r w:rsidRPr="00B75B77">
              <w:rPr>
                <w:sz w:val="18"/>
                <w:szCs w:val="18"/>
              </w:rPr>
              <w:t>58,</w:t>
            </w:r>
            <w:r w:rsidR="00F0287E" w:rsidRPr="00B75B77">
              <w:rPr>
                <w:sz w:val="18"/>
                <w:szCs w:val="18"/>
              </w:rPr>
              <w:t>367</w:t>
            </w:r>
          </w:p>
        </w:tc>
        <w:tc>
          <w:tcPr>
            <w:cnfStyle w:val="000010000000" w:firstRow="0" w:lastRow="0" w:firstColumn="0" w:lastColumn="0" w:oddVBand="1" w:evenVBand="0" w:oddHBand="0" w:evenHBand="0" w:firstRowFirstColumn="0" w:firstRowLastColumn="0" w:lastRowFirstColumn="0" w:lastRowLastColumn="0"/>
            <w:tcW w:w="1352" w:type="dxa"/>
            <w:tcBorders>
              <w:top w:val="single" w:sz="4" w:space="0" w:color="448A99"/>
              <w:left w:val="single" w:sz="4" w:space="0" w:color="448A99"/>
              <w:bottom w:val="single" w:sz="4" w:space="0" w:color="448A99"/>
              <w:right w:val="single" w:sz="4" w:space="0" w:color="448A99"/>
            </w:tcBorders>
            <w:shd w:val="clear" w:color="auto" w:fill="auto"/>
            <w:vAlign w:val="center"/>
            <w:hideMark/>
          </w:tcPr>
          <w:p w:rsidR="000E1EED" w:rsidRPr="00B75B77" w:rsidRDefault="000E1EED" w:rsidP="00F0287E">
            <w:pPr>
              <w:jc w:val="right"/>
              <w:rPr>
                <w:rFonts w:eastAsia="Times New Roman"/>
                <w:b/>
                <w:color w:val="000000"/>
                <w:sz w:val="18"/>
                <w:szCs w:val="18"/>
              </w:rPr>
            </w:pPr>
            <w:r w:rsidRPr="00B75B77">
              <w:rPr>
                <w:sz w:val="18"/>
                <w:szCs w:val="18"/>
              </w:rPr>
              <w:t>81,</w:t>
            </w:r>
            <w:r w:rsidR="00F0287E" w:rsidRPr="00B75B77">
              <w:rPr>
                <w:sz w:val="18"/>
                <w:szCs w:val="18"/>
              </w:rPr>
              <w:t>360</w:t>
            </w:r>
          </w:p>
        </w:tc>
      </w:tr>
      <w:tr w:rsidR="000E1EED" w:rsidRPr="00B75B77" w:rsidTr="005E445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448A99"/>
              <w:left w:val="single" w:sz="4" w:space="0" w:color="448A99"/>
              <w:bottom w:val="single" w:sz="4" w:space="0" w:color="448A99"/>
              <w:right w:val="single" w:sz="4" w:space="0" w:color="448A99"/>
            </w:tcBorders>
            <w:shd w:val="clear" w:color="auto" w:fill="D2EAF1"/>
            <w:vAlign w:val="center"/>
          </w:tcPr>
          <w:p w:rsidR="000E1EED" w:rsidRPr="00B75B77" w:rsidRDefault="000E1EED" w:rsidP="00707B64">
            <w:pPr>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14</w:t>
            </w:r>
          </w:p>
        </w:tc>
        <w:tc>
          <w:tcPr>
            <w:cnfStyle w:val="000010000000" w:firstRow="0" w:lastRow="0" w:firstColumn="0" w:lastColumn="0" w:oddVBand="1" w:evenVBand="0" w:oddHBand="0" w:evenHBand="0" w:firstRowFirstColumn="0" w:firstRowLastColumn="0" w:lastRowFirstColumn="0" w:lastRowLastColumn="0"/>
            <w:tcW w:w="5935" w:type="dxa"/>
            <w:tcBorders>
              <w:top w:val="single" w:sz="4" w:space="0" w:color="448A99"/>
              <w:left w:val="single" w:sz="4" w:space="0" w:color="448A99"/>
              <w:bottom w:val="single" w:sz="4" w:space="0" w:color="448A99"/>
              <w:right w:val="single" w:sz="4" w:space="0" w:color="448A99"/>
            </w:tcBorders>
            <w:noWrap/>
            <w:vAlign w:val="center"/>
            <w:hideMark/>
          </w:tcPr>
          <w:p w:rsidR="000E1EED" w:rsidRPr="00B75B77" w:rsidRDefault="000E1EED" w:rsidP="00707B64">
            <w:pPr>
              <w:jc w:val="left"/>
              <w:rPr>
                <w:rFonts w:ascii="Calibri" w:eastAsia="Times New Roman" w:hAnsi="Calibri"/>
                <w:color w:val="000000"/>
                <w:sz w:val="18"/>
                <w:szCs w:val="18"/>
              </w:rPr>
            </w:pPr>
            <w:r w:rsidRPr="00B75B77">
              <w:rPr>
                <w:rFonts w:ascii="Calibri" w:eastAsia="Times New Roman" w:hAnsi="Calibri"/>
                <w:bCs/>
                <w:color w:val="000000"/>
                <w:sz w:val="18"/>
                <w:szCs w:val="18"/>
              </w:rPr>
              <w:t>Total NPV Lifetime Capacity Benefits</w:t>
            </w:r>
          </w:p>
        </w:tc>
        <w:tc>
          <w:tcPr>
            <w:tcW w:w="1168"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hideMark/>
          </w:tcPr>
          <w:p w:rsidR="000E1EED" w:rsidRPr="00B75B77" w:rsidRDefault="000E1EED" w:rsidP="004170FC">
            <w:pPr>
              <w:jc w:val="right"/>
              <w:cnfStyle w:val="000000010000" w:firstRow="0" w:lastRow="0" w:firstColumn="0" w:lastColumn="0" w:oddVBand="0" w:evenVBand="0" w:oddHBand="0" w:evenHBand="1" w:firstRowFirstColumn="0" w:firstRowLastColumn="0" w:lastRowFirstColumn="0" w:lastRowLastColumn="0"/>
              <w:rPr>
                <w:rFonts w:eastAsia="Times New Roman"/>
                <w:b/>
                <w:color w:val="000000"/>
                <w:sz w:val="18"/>
                <w:szCs w:val="18"/>
              </w:rPr>
            </w:pPr>
            <w:r w:rsidRPr="00B75B77">
              <w:rPr>
                <w:sz w:val="18"/>
                <w:szCs w:val="18"/>
              </w:rPr>
              <w:t>11,</w:t>
            </w:r>
            <w:r w:rsidR="00F0287E" w:rsidRPr="00B75B77">
              <w:rPr>
                <w:sz w:val="18"/>
                <w:szCs w:val="18"/>
              </w:rPr>
              <w:t>191</w:t>
            </w:r>
          </w:p>
        </w:tc>
        <w:tc>
          <w:tcPr>
            <w:cnfStyle w:val="000010000000" w:firstRow="0" w:lastRow="0" w:firstColumn="0" w:lastColumn="0" w:oddVBand="1" w:evenVBand="0" w:oddHBand="0" w:evenHBand="0" w:firstRowFirstColumn="0" w:firstRowLastColumn="0" w:lastRowFirstColumn="0" w:lastRowLastColumn="0"/>
            <w:tcW w:w="1352" w:type="dxa"/>
            <w:tcBorders>
              <w:top w:val="single" w:sz="4" w:space="0" w:color="448A99"/>
              <w:left w:val="single" w:sz="4" w:space="0" w:color="448A99"/>
              <w:bottom w:val="single" w:sz="4" w:space="0" w:color="448A99"/>
              <w:right w:val="single" w:sz="4" w:space="0" w:color="448A99"/>
            </w:tcBorders>
            <w:vAlign w:val="center"/>
            <w:hideMark/>
          </w:tcPr>
          <w:p w:rsidR="000E1EED" w:rsidRPr="00B75B77" w:rsidRDefault="000E1EED" w:rsidP="004170FC">
            <w:pPr>
              <w:jc w:val="right"/>
              <w:rPr>
                <w:rFonts w:eastAsia="Times New Roman"/>
                <w:b/>
                <w:color w:val="000000"/>
                <w:sz w:val="18"/>
                <w:szCs w:val="18"/>
              </w:rPr>
            </w:pPr>
            <w:r w:rsidRPr="00B75B77">
              <w:rPr>
                <w:sz w:val="18"/>
                <w:szCs w:val="18"/>
              </w:rPr>
              <w:t>13,</w:t>
            </w:r>
            <w:r w:rsidR="00F0287E" w:rsidRPr="00B75B77">
              <w:rPr>
                <w:sz w:val="18"/>
                <w:szCs w:val="18"/>
              </w:rPr>
              <w:t>224</w:t>
            </w:r>
          </w:p>
        </w:tc>
      </w:tr>
      <w:tr w:rsidR="000E1EED" w:rsidRPr="00B75B77" w:rsidTr="005E445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448A99"/>
              <w:left w:val="single" w:sz="4" w:space="0" w:color="448A99"/>
              <w:bottom w:val="single" w:sz="4" w:space="0" w:color="448A99"/>
              <w:right w:val="single" w:sz="4" w:space="0" w:color="448A99"/>
            </w:tcBorders>
            <w:shd w:val="clear" w:color="auto" w:fill="auto"/>
            <w:vAlign w:val="center"/>
          </w:tcPr>
          <w:p w:rsidR="000E1EED" w:rsidRPr="00B75B77" w:rsidRDefault="000E1EED" w:rsidP="00707B64">
            <w:pPr>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15</w:t>
            </w:r>
          </w:p>
        </w:tc>
        <w:tc>
          <w:tcPr>
            <w:cnfStyle w:val="000010000000" w:firstRow="0" w:lastRow="0" w:firstColumn="0" w:lastColumn="0" w:oddVBand="1" w:evenVBand="0" w:oddHBand="0" w:evenHBand="0" w:firstRowFirstColumn="0" w:firstRowLastColumn="0" w:lastRowFirstColumn="0" w:lastRowLastColumn="0"/>
            <w:tcW w:w="5935" w:type="dxa"/>
            <w:tcBorders>
              <w:top w:val="single" w:sz="4" w:space="0" w:color="448A99"/>
              <w:left w:val="single" w:sz="4" w:space="0" w:color="448A99"/>
              <w:bottom w:val="single" w:sz="4" w:space="0" w:color="448A99"/>
              <w:right w:val="single" w:sz="4" w:space="0" w:color="448A99"/>
            </w:tcBorders>
            <w:shd w:val="clear" w:color="auto" w:fill="auto"/>
            <w:noWrap/>
            <w:vAlign w:val="center"/>
            <w:hideMark/>
          </w:tcPr>
          <w:p w:rsidR="000E1EED" w:rsidRPr="00B75B77" w:rsidRDefault="000E1EED" w:rsidP="00707B64">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Total NPV TRC Benefits</w:t>
            </w:r>
            <w:r w:rsidRPr="00B75B77">
              <w:rPr>
                <w:rFonts w:ascii="Calibri" w:eastAsia="Times New Roman" w:hAnsi="Calibri"/>
                <w:bCs/>
                <w:color w:val="000000"/>
                <w:sz w:val="18"/>
                <w:szCs w:val="18"/>
                <w:vertAlign w:val="superscript"/>
              </w:rPr>
              <w:t>[4]</w:t>
            </w:r>
          </w:p>
        </w:tc>
        <w:tc>
          <w:tcPr>
            <w:tcW w:w="1168" w:type="dxa"/>
            <w:tcBorders>
              <w:top w:val="single" w:sz="4" w:space="0" w:color="448A99"/>
              <w:left w:val="single" w:sz="4" w:space="0" w:color="448A99"/>
              <w:bottom w:val="single" w:sz="4" w:space="0" w:color="448A99"/>
              <w:right w:val="single" w:sz="4" w:space="0" w:color="448A99"/>
            </w:tcBorders>
            <w:shd w:val="clear" w:color="auto" w:fill="auto"/>
            <w:noWrap/>
            <w:vAlign w:val="center"/>
            <w:hideMark/>
          </w:tcPr>
          <w:p w:rsidR="000E1EED" w:rsidRPr="00B75B77" w:rsidRDefault="00F0287E" w:rsidP="004170FC">
            <w:pPr>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 w:val="18"/>
                <w:szCs w:val="18"/>
              </w:rPr>
            </w:pPr>
            <w:r w:rsidRPr="00B75B77">
              <w:rPr>
                <w:sz w:val="18"/>
                <w:szCs w:val="18"/>
              </w:rPr>
              <w:t>69,659</w:t>
            </w:r>
          </w:p>
        </w:tc>
        <w:tc>
          <w:tcPr>
            <w:cnfStyle w:val="000010000000" w:firstRow="0" w:lastRow="0" w:firstColumn="0" w:lastColumn="0" w:oddVBand="1" w:evenVBand="0" w:oddHBand="0" w:evenHBand="0" w:firstRowFirstColumn="0" w:firstRowLastColumn="0" w:lastRowFirstColumn="0" w:lastRowLastColumn="0"/>
            <w:tcW w:w="1352" w:type="dxa"/>
            <w:tcBorders>
              <w:top w:val="single" w:sz="4" w:space="0" w:color="448A99"/>
              <w:left w:val="single" w:sz="4" w:space="0" w:color="448A99"/>
              <w:bottom w:val="single" w:sz="4" w:space="0" w:color="448A99"/>
              <w:right w:val="single" w:sz="4" w:space="0" w:color="448A99"/>
            </w:tcBorders>
            <w:shd w:val="clear" w:color="auto" w:fill="auto"/>
            <w:vAlign w:val="center"/>
            <w:hideMark/>
          </w:tcPr>
          <w:p w:rsidR="000E1EED" w:rsidRPr="00B75B77" w:rsidRDefault="00F0287E" w:rsidP="004170FC">
            <w:pPr>
              <w:jc w:val="right"/>
              <w:rPr>
                <w:rFonts w:eastAsia="Times New Roman"/>
                <w:b/>
                <w:color w:val="000000"/>
                <w:sz w:val="18"/>
                <w:szCs w:val="18"/>
              </w:rPr>
            </w:pPr>
            <w:r w:rsidRPr="00B75B77">
              <w:rPr>
                <w:sz w:val="18"/>
                <w:szCs w:val="18"/>
              </w:rPr>
              <w:t>94,697</w:t>
            </w:r>
          </w:p>
        </w:tc>
      </w:tr>
      <w:tr w:rsidR="000E1EED" w:rsidRPr="00B75B77" w:rsidTr="005E4455">
        <w:trPr>
          <w:cnfStyle w:val="000000010000" w:firstRow="0" w:lastRow="0" w:firstColumn="0" w:lastColumn="0" w:oddVBand="0" w:evenVBand="0" w:oddHBand="0" w:evenHBand="1"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517" w:type="dxa"/>
            <w:gridSpan w:val="4"/>
            <w:tcBorders>
              <w:top w:val="single" w:sz="4" w:space="0" w:color="448A99"/>
              <w:left w:val="single" w:sz="4" w:space="0" w:color="448A99"/>
              <w:bottom w:val="single" w:sz="4" w:space="0" w:color="448A99"/>
              <w:right w:val="single" w:sz="4" w:space="0" w:color="448A99"/>
            </w:tcBorders>
            <w:shd w:val="clear" w:color="auto" w:fill="AEAAAA"/>
            <w:vAlign w:val="center"/>
          </w:tcPr>
          <w:p w:rsidR="000E1EED" w:rsidRPr="00B75B77" w:rsidRDefault="000E1EED" w:rsidP="004170FC">
            <w:pPr>
              <w:jc w:val="right"/>
              <w:rPr>
                <w:rFonts w:eastAsia="Times New Roman"/>
                <w:b w:val="0"/>
                <w:color w:val="000000"/>
                <w:sz w:val="18"/>
                <w:szCs w:val="18"/>
              </w:rPr>
            </w:pPr>
          </w:p>
        </w:tc>
      </w:tr>
      <w:tr w:rsidR="000E1EED" w:rsidRPr="00B75B77" w:rsidTr="005E445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448A99"/>
              <w:left w:val="single" w:sz="4" w:space="0" w:color="448A99"/>
              <w:bottom w:val="single" w:sz="4" w:space="0" w:color="448A99"/>
              <w:right w:val="single" w:sz="4" w:space="0" w:color="448A99"/>
            </w:tcBorders>
            <w:shd w:val="clear" w:color="auto" w:fill="D2EAF1"/>
            <w:vAlign w:val="center"/>
          </w:tcPr>
          <w:p w:rsidR="000E1EED" w:rsidRPr="00B75B77" w:rsidRDefault="000E1EED" w:rsidP="00707B64">
            <w:pPr>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16</w:t>
            </w:r>
          </w:p>
        </w:tc>
        <w:tc>
          <w:tcPr>
            <w:cnfStyle w:val="000010000000" w:firstRow="0" w:lastRow="0" w:firstColumn="0" w:lastColumn="0" w:oddVBand="1" w:evenVBand="0" w:oddHBand="0" w:evenHBand="0" w:firstRowFirstColumn="0" w:firstRowLastColumn="0" w:lastRowFirstColumn="0" w:lastRowLastColumn="0"/>
            <w:tcW w:w="5935" w:type="dxa"/>
            <w:tcBorders>
              <w:top w:val="single" w:sz="4" w:space="0" w:color="448A99"/>
              <w:left w:val="single" w:sz="4" w:space="0" w:color="448A99"/>
              <w:bottom w:val="single" w:sz="4" w:space="0" w:color="448A99"/>
              <w:right w:val="single" w:sz="4" w:space="0" w:color="448A99"/>
            </w:tcBorders>
            <w:shd w:val="clear" w:color="auto" w:fill="D2EAF1"/>
            <w:noWrap/>
            <w:vAlign w:val="center"/>
            <w:hideMark/>
          </w:tcPr>
          <w:p w:rsidR="000E1EED" w:rsidRPr="00B75B77" w:rsidRDefault="000E1EED" w:rsidP="00707B64">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TRC Benefit-Cost Ratio</w:t>
            </w:r>
            <w:r w:rsidRPr="00B75B77">
              <w:rPr>
                <w:rFonts w:ascii="Calibri" w:eastAsia="Times New Roman" w:hAnsi="Calibri"/>
                <w:bCs/>
                <w:color w:val="000000"/>
                <w:sz w:val="18"/>
                <w:szCs w:val="18"/>
                <w:vertAlign w:val="superscript"/>
              </w:rPr>
              <w:t>[5]</w:t>
            </w:r>
          </w:p>
        </w:tc>
        <w:tc>
          <w:tcPr>
            <w:tcW w:w="1168" w:type="dxa"/>
            <w:tcBorders>
              <w:top w:val="single" w:sz="4" w:space="0" w:color="448A99"/>
              <w:left w:val="single" w:sz="4" w:space="0" w:color="448A99"/>
              <w:bottom w:val="single" w:sz="4" w:space="0" w:color="448A99"/>
              <w:right w:val="single" w:sz="4" w:space="0" w:color="448A99"/>
            </w:tcBorders>
            <w:shd w:val="clear" w:color="auto" w:fill="D2EAF1"/>
            <w:noWrap/>
            <w:vAlign w:val="center"/>
            <w:hideMark/>
          </w:tcPr>
          <w:p w:rsidR="000E1EED" w:rsidRPr="00B75B77" w:rsidRDefault="000E1EED" w:rsidP="004170FC">
            <w:pPr>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sz w:val="18"/>
                <w:szCs w:val="18"/>
              </w:rPr>
            </w:pPr>
            <w:r w:rsidRPr="00B75B77">
              <w:rPr>
                <w:rFonts w:cs="Arial"/>
                <w:color w:val="000000"/>
                <w:sz w:val="18"/>
                <w:szCs w:val="18"/>
              </w:rPr>
              <w:t>2.</w:t>
            </w:r>
            <w:r w:rsidR="00F0287E" w:rsidRPr="00B75B77">
              <w:rPr>
                <w:rFonts w:cs="Arial"/>
                <w:color w:val="000000"/>
                <w:sz w:val="18"/>
                <w:szCs w:val="18"/>
              </w:rPr>
              <w:t>58</w:t>
            </w:r>
          </w:p>
        </w:tc>
        <w:tc>
          <w:tcPr>
            <w:cnfStyle w:val="000010000000" w:firstRow="0" w:lastRow="0" w:firstColumn="0" w:lastColumn="0" w:oddVBand="1" w:evenVBand="0" w:oddHBand="0" w:evenHBand="0" w:firstRowFirstColumn="0" w:firstRowLastColumn="0" w:lastRowFirstColumn="0" w:lastRowLastColumn="0"/>
            <w:tcW w:w="1352" w:type="dxa"/>
            <w:tcBorders>
              <w:top w:val="single" w:sz="4" w:space="0" w:color="448A99"/>
              <w:left w:val="single" w:sz="4" w:space="0" w:color="448A99"/>
              <w:bottom w:val="single" w:sz="4" w:space="0" w:color="448A99"/>
              <w:right w:val="single" w:sz="4" w:space="0" w:color="448A99"/>
            </w:tcBorders>
            <w:shd w:val="clear" w:color="auto" w:fill="D2EAF1"/>
            <w:vAlign w:val="center"/>
            <w:hideMark/>
          </w:tcPr>
          <w:p w:rsidR="000E1EED" w:rsidRPr="00B75B77" w:rsidRDefault="000E1EED" w:rsidP="004170FC">
            <w:pPr>
              <w:jc w:val="right"/>
              <w:rPr>
                <w:rFonts w:eastAsia="Times New Roman"/>
                <w:b/>
                <w:color w:val="000000"/>
                <w:sz w:val="18"/>
                <w:szCs w:val="18"/>
              </w:rPr>
            </w:pPr>
            <w:r w:rsidRPr="00B75B77">
              <w:rPr>
                <w:rFonts w:cs="Arial"/>
                <w:color w:val="000000"/>
                <w:sz w:val="18"/>
                <w:szCs w:val="18"/>
              </w:rPr>
              <w:t>2.2</w:t>
            </w:r>
            <w:r w:rsidR="00F0287E" w:rsidRPr="00B75B77">
              <w:rPr>
                <w:rFonts w:cs="Arial"/>
                <w:color w:val="000000"/>
                <w:sz w:val="18"/>
                <w:szCs w:val="18"/>
              </w:rPr>
              <w:t>0</w:t>
            </w:r>
          </w:p>
        </w:tc>
      </w:tr>
      <w:tr w:rsidR="000E1EED" w:rsidRPr="00B75B77" w:rsidTr="005E445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17" w:type="dxa"/>
            <w:gridSpan w:val="4"/>
            <w:tcBorders>
              <w:top w:val="single" w:sz="4" w:space="0" w:color="448A99"/>
              <w:left w:val="single" w:sz="4" w:space="0" w:color="448A99"/>
              <w:bottom w:val="single" w:sz="4" w:space="0" w:color="448A99"/>
              <w:right w:val="single" w:sz="4" w:space="0" w:color="448A99"/>
            </w:tcBorders>
            <w:shd w:val="clear" w:color="auto" w:fill="auto"/>
          </w:tcPr>
          <w:p w:rsidR="000E1EED" w:rsidRPr="00B75B77" w:rsidRDefault="000E1EED" w:rsidP="00D02256">
            <w:pPr>
              <w:jc w:val="left"/>
              <w:rPr>
                <w:rFonts w:ascii="Calibri" w:eastAsia="Times New Roman" w:hAnsi="Calibri"/>
                <w:b w:val="0"/>
                <w:iCs/>
                <w:color w:val="000000"/>
                <w:sz w:val="18"/>
                <w:szCs w:val="18"/>
              </w:rPr>
            </w:pPr>
            <w:r w:rsidRPr="00B75B77">
              <w:rPr>
                <w:rFonts w:ascii="Calibri" w:eastAsia="Times New Roman" w:hAnsi="Calibri"/>
                <w:b w:val="0"/>
                <w:iCs/>
                <w:color w:val="000000"/>
                <w:sz w:val="18"/>
                <w:szCs w:val="18"/>
              </w:rPr>
              <w:t>Per PUC direction, TRC inputs and calculations are required in the Annual Report only and should comply with the 2013 Total Resource Cost Test Order. Please see the “Report Definitions” section of this report for more details.</w:t>
            </w:r>
          </w:p>
          <w:p w:rsidR="000E1EED" w:rsidRPr="00B75B77" w:rsidRDefault="000E1EED" w:rsidP="00D02256">
            <w:pPr>
              <w:jc w:val="left"/>
              <w:rPr>
                <w:rFonts w:ascii="Calibri" w:eastAsia="Times New Roman" w:hAnsi="Calibri"/>
                <w:b w:val="0"/>
                <w:i/>
                <w:iCs/>
                <w:color w:val="000000"/>
                <w:sz w:val="18"/>
                <w:szCs w:val="18"/>
              </w:rPr>
            </w:pPr>
          </w:p>
          <w:p w:rsidR="000E1EED" w:rsidRPr="00B75B77" w:rsidRDefault="000E1EED" w:rsidP="00D02256">
            <w:pPr>
              <w:jc w:val="left"/>
              <w:rPr>
                <w:rFonts w:ascii="Calibri" w:eastAsia="Times New Roman" w:hAnsi="Calibri"/>
                <w:b w:val="0"/>
                <w:color w:val="000000"/>
                <w:sz w:val="18"/>
                <w:szCs w:val="18"/>
              </w:rPr>
            </w:pPr>
            <w:r w:rsidRPr="00B75B77">
              <w:rPr>
                <w:rFonts w:ascii="Calibri" w:eastAsia="Times New Roman" w:hAnsi="Calibri"/>
                <w:b w:val="0"/>
                <w:color w:val="000000"/>
                <w:sz w:val="18"/>
                <w:szCs w:val="18"/>
                <w:vertAlign w:val="superscript"/>
              </w:rPr>
              <w:t>[1]</w:t>
            </w:r>
            <w:r w:rsidRPr="00B75B77">
              <w:rPr>
                <w:rFonts w:ascii="Calibri" w:eastAsia="Times New Roman" w:hAnsi="Calibri"/>
                <w:b w:val="0"/>
                <w:color w:val="000000"/>
                <w:sz w:val="18"/>
                <w:szCs w:val="18"/>
              </w:rPr>
              <w:t xml:space="preserve"> Includes rebate processing, tracking system, general administration, EDC and CSP program management, general management</w:t>
            </w:r>
            <w:r w:rsidR="004170FC" w:rsidRPr="00B75B77">
              <w:rPr>
                <w:rFonts w:ascii="Calibri" w:eastAsia="Times New Roman" w:hAnsi="Calibri"/>
                <w:b w:val="0"/>
                <w:color w:val="000000"/>
                <w:sz w:val="18"/>
                <w:szCs w:val="18"/>
              </w:rPr>
              <w:t>,</w:t>
            </w:r>
            <w:r w:rsidRPr="00B75B77">
              <w:rPr>
                <w:rFonts w:ascii="Calibri" w:eastAsia="Times New Roman" w:hAnsi="Calibri"/>
                <w:b w:val="0"/>
                <w:color w:val="000000"/>
                <w:sz w:val="18"/>
                <w:szCs w:val="18"/>
              </w:rPr>
              <w:t xml:space="preserve"> and legal and technical assistance. </w:t>
            </w:r>
            <w:r w:rsidRPr="00B75B77">
              <w:rPr>
                <w:rFonts w:ascii="Calibri" w:eastAsia="Times New Roman" w:hAnsi="Calibri"/>
                <w:b w:val="0"/>
                <w:color w:val="000000"/>
                <w:sz w:val="18"/>
                <w:szCs w:val="18"/>
              </w:rPr>
              <w:br/>
            </w:r>
            <w:r w:rsidRPr="00B75B77">
              <w:rPr>
                <w:rFonts w:ascii="Calibri" w:eastAsia="Times New Roman" w:hAnsi="Calibri"/>
                <w:b w:val="0"/>
                <w:color w:val="000000"/>
                <w:sz w:val="18"/>
                <w:szCs w:val="18"/>
                <w:vertAlign w:val="superscript"/>
              </w:rPr>
              <w:t>[2]</w:t>
            </w:r>
            <w:r w:rsidRPr="00B75B77">
              <w:rPr>
                <w:rFonts w:ascii="Calibri" w:eastAsia="Times New Roman" w:hAnsi="Calibri"/>
                <w:b w:val="0"/>
                <w:color w:val="000000"/>
                <w:sz w:val="18"/>
                <w:szCs w:val="18"/>
              </w:rPr>
              <w:t xml:space="preserve"> Includes the marketing CSP and marketing costs by program CSPs. </w:t>
            </w:r>
            <w:r w:rsidRPr="00B75B77">
              <w:rPr>
                <w:rFonts w:ascii="Calibri" w:eastAsia="Times New Roman" w:hAnsi="Calibri"/>
                <w:b w:val="0"/>
                <w:color w:val="000000"/>
                <w:sz w:val="18"/>
                <w:szCs w:val="18"/>
              </w:rPr>
              <w:br/>
            </w:r>
            <w:r w:rsidRPr="00B75B77">
              <w:rPr>
                <w:rFonts w:ascii="Calibri" w:eastAsia="Times New Roman" w:hAnsi="Calibri"/>
                <w:b w:val="0"/>
                <w:color w:val="000000"/>
                <w:sz w:val="18"/>
                <w:szCs w:val="18"/>
                <w:vertAlign w:val="superscript"/>
              </w:rPr>
              <w:t>[3]</w:t>
            </w:r>
            <w:r w:rsidRPr="00B75B77">
              <w:rPr>
                <w:rFonts w:ascii="Calibri" w:eastAsia="Times New Roman" w:hAnsi="Calibri"/>
                <w:b w:val="0"/>
                <w:color w:val="000000"/>
                <w:sz w:val="18"/>
                <w:szCs w:val="18"/>
              </w:rPr>
              <w:t xml:space="preserve"> Total TRC Costs includes Total EDC Costs and Participant Costs.</w:t>
            </w:r>
            <w:r w:rsidRPr="00B75B77">
              <w:rPr>
                <w:rFonts w:ascii="Calibri" w:eastAsia="Times New Roman" w:hAnsi="Calibri"/>
                <w:b w:val="0"/>
                <w:color w:val="000000"/>
                <w:sz w:val="18"/>
                <w:szCs w:val="18"/>
              </w:rPr>
              <w:br/>
            </w:r>
            <w:r w:rsidRPr="00B75B77">
              <w:rPr>
                <w:rFonts w:ascii="Calibri" w:eastAsia="Times New Roman" w:hAnsi="Calibri"/>
                <w:b w:val="0"/>
                <w:color w:val="000000"/>
                <w:sz w:val="18"/>
                <w:szCs w:val="18"/>
                <w:vertAlign w:val="superscript"/>
              </w:rPr>
              <w:t>[4]</w:t>
            </w:r>
            <w:r w:rsidRPr="00B75B77">
              <w:rPr>
                <w:rFonts w:ascii="Calibri" w:eastAsia="Times New Roman" w:hAnsi="Calibri"/>
                <w:b w:val="0"/>
                <w:color w:val="000000"/>
                <w:sz w:val="18"/>
                <w:szCs w:val="18"/>
              </w:rPr>
              <w:t xml:space="preserve"> Total TRC Benefits equals the sum of Total Lifetime Energy Benefits and Total Lifetime Capacity Benefits</w:t>
            </w:r>
            <w:r w:rsidR="004170FC" w:rsidRPr="00B75B77">
              <w:rPr>
                <w:rFonts w:ascii="Calibri" w:eastAsia="Times New Roman" w:hAnsi="Calibri"/>
                <w:b w:val="0"/>
                <w:color w:val="000000"/>
                <w:sz w:val="18"/>
                <w:szCs w:val="18"/>
              </w:rPr>
              <w:t xml:space="preserve"> b</w:t>
            </w:r>
            <w:r w:rsidRPr="00B75B77">
              <w:rPr>
                <w:rFonts w:ascii="Calibri" w:eastAsia="Times New Roman" w:hAnsi="Calibri"/>
                <w:b w:val="0"/>
                <w:color w:val="000000"/>
                <w:sz w:val="18"/>
                <w:szCs w:val="18"/>
              </w:rPr>
              <w:t>ased upon verified gross kWh and kW savings. Benefits include avoided supply costs, including the reduction in costs of electric energy, generation, transmission, and distribution capacity, and natural gas valued at marginal cost for periods when there is a load reduction. NOTE: Savings carried over from Phase I are not to be included as a part of Total TRC Benefits for Phase II.</w:t>
            </w:r>
            <w:r w:rsidRPr="00B75B77">
              <w:rPr>
                <w:rFonts w:ascii="Calibri" w:eastAsia="Times New Roman" w:hAnsi="Calibri"/>
                <w:b w:val="0"/>
                <w:color w:val="000000"/>
                <w:sz w:val="18"/>
                <w:szCs w:val="18"/>
              </w:rPr>
              <w:br/>
            </w:r>
            <w:r w:rsidRPr="00B75B77">
              <w:rPr>
                <w:rFonts w:ascii="Calibri" w:eastAsia="Times New Roman" w:hAnsi="Calibri"/>
                <w:b w:val="0"/>
                <w:color w:val="000000"/>
                <w:sz w:val="18"/>
                <w:szCs w:val="18"/>
                <w:vertAlign w:val="superscript"/>
              </w:rPr>
              <w:t>[5]</w:t>
            </w:r>
            <w:r w:rsidRPr="00B75B77">
              <w:rPr>
                <w:rFonts w:ascii="Calibri" w:eastAsia="Times New Roman" w:hAnsi="Calibri"/>
                <w:b w:val="0"/>
                <w:color w:val="000000"/>
                <w:sz w:val="18"/>
                <w:szCs w:val="18"/>
              </w:rPr>
              <w:t xml:space="preserve"> TRC Ratio equals Total NPV TRC Benefits divided by Total NPV TRC Costs.</w:t>
            </w:r>
          </w:p>
          <w:p w:rsidR="000E1EED" w:rsidRPr="00B75B77" w:rsidRDefault="000E1EED" w:rsidP="00D02256">
            <w:pPr>
              <w:jc w:val="left"/>
              <w:rPr>
                <w:rFonts w:ascii="Calibri" w:eastAsia="Times New Roman" w:hAnsi="Calibri"/>
                <w:b w:val="0"/>
                <w:color w:val="000000"/>
                <w:sz w:val="14"/>
                <w:szCs w:val="14"/>
              </w:rPr>
            </w:pPr>
          </w:p>
          <w:p w:rsidR="000E1EED" w:rsidRPr="00B75B77" w:rsidRDefault="000E1EED" w:rsidP="00D02256">
            <w:pPr>
              <w:jc w:val="left"/>
              <w:rPr>
                <w:rFonts w:ascii="Calibri" w:eastAsia="Times New Roman" w:hAnsi="Calibri"/>
                <w:b w:val="0"/>
                <w:bCs w:val="0"/>
                <w:color w:val="000000"/>
                <w:sz w:val="20"/>
                <w:szCs w:val="20"/>
              </w:rPr>
            </w:pPr>
            <w:r w:rsidRPr="00B75B77">
              <w:rPr>
                <w:rFonts w:ascii="Calibri" w:hAnsi="Calibri"/>
                <w:b w:val="0"/>
                <w:color w:val="000000"/>
                <w:sz w:val="18"/>
                <w:szCs w:val="18"/>
              </w:rPr>
              <w:t xml:space="preserve">Values in tables may not reconcile exactly </w:t>
            </w:r>
            <w:r w:rsidR="00493C06" w:rsidRPr="00B75B77">
              <w:rPr>
                <w:rFonts w:ascii="Calibri" w:hAnsi="Calibri"/>
                <w:b w:val="0"/>
                <w:color w:val="000000"/>
                <w:sz w:val="18"/>
                <w:szCs w:val="18"/>
              </w:rPr>
              <w:t>with the sum of</w:t>
            </w:r>
            <w:r w:rsidRPr="00B75B77">
              <w:rPr>
                <w:rFonts w:ascii="Calibri" w:hAnsi="Calibri"/>
                <w:b w:val="0"/>
                <w:color w:val="000000"/>
                <w:sz w:val="18"/>
                <w:szCs w:val="18"/>
              </w:rPr>
              <w:t xml:space="preserve"> more detailed level results or previously reported results due to rounding.</w:t>
            </w:r>
          </w:p>
        </w:tc>
      </w:tr>
    </w:tbl>
    <w:p w:rsidR="000E1EED" w:rsidRPr="00B75B77" w:rsidRDefault="000E1EED" w:rsidP="00D60F79">
      <w:pPr>
        <w:pStyle w:val="Source"/>
        <w:keepNext/>
        <w:spacing w:after="120"/>
        <w:ind w:left="273" w:hanging="86"/>
      </w:pPr>
      <w:r w:rsidRPr="00B75B77">
        <w:t>Source: Navigant analysis</w:t>
      </w:r>
    </w:p>
    <w:p w:rsidR="000E1EED" w:rsidRPr="00B75B77" w:rsidRDefault="000E1EED" w:rsidP="00707B64"/>
    <w:p w:rsidR="000E1EED" w:rsidRPr="00B75B77" w:rsidRDefault="000E1EED"/>
    <w:p w:rsidR="00936753" w:rsidRPr="00B75B77" w:rsidRDefault="00936753" w:rsidP="00B45010">
      <w:pPr>
        <w:jc w:val="left"/>
      </w:pPr>
    </w:p>
    <w:p w:rsidR="000E1EED" w:rsidRPr="00B75B77" w:rsidRDefault="000E1EED" w:rsidP="00B45010">
      <w:pPr>
        <w:jc w:val="left"/>
      </w:pPr>
    </w:p>
    <w:p w:rsidR="000E1EED" w:rsidRPr="00B75B77" w:rsidRDefault="000E1EED" w:rsidP="00B45010">
      <w:pPr>
        <w:jc w:val="left"/>
        <w:sectPr w:rsidR="000E1EED" w:rsidRPr="00B75B77" w:rsidSect="00B5438D">
          <w:pgSz w:w="12240" w:h="15840" w:code="1"/>
          <w:pgMar w:top="1170" w:right="1440" w:bottom="1260" w:left="1440" w:header="576" w:footer="475" w:gutter="0"/>
          <w:cols w:space="720"/>
          <w:docGrid w:linePitch="360"/>
        </w:sectPr>
      </w:pPr>
    </w:p>
    <w:p w:rsidR="008A2056" w:rsidRPr="00B75B77" w:rsidRDefault="008A2056" w:rsidP="00D12857">
      <w:pPr>
        <w:pStyle w:val="Heading1"/>
      </w:pPr>
      <w:bookmarkStart w:id="807" w:name="_Toc466413423"/>
      <w:r w:rsidRPr="00B75B77">
        <w:lastRenderedPageBreak/>
        <w:t>Smart Construction Incentives</w:t>
      </w:r>
      <w:bookmarkEnd w:id="807"/>
      <w:r w:rsidRPr="00B75B77">
        <w:t xml:space="preserve"> </w:t>
      </w:r>
    </w:p>
    <w:p w:rsidR="008A2056" w:rsidRPr="00B75B77" w:rsidRDefault="008A2056" w:rsidP="00CA16D1">
      <w:pPr>
        <w:jc w:val="left"/>
      </w:pPr>
      <w:r w:rsidRPr="00B75B77">
        <w:t>The PECO Smart Construction Incentives (SCI) program is designed to instill and accelerate adoption of energy efficient design and construction practices so that new C&amp;I facilities in PECO</w:t>
      </w:r>
      <w:r w:rsidR="00C31AF7" w:rsidRPr="00B75B77">
        <w:t>’s</w:t>
      </w:r>
      <w:r w:rsidRPr="00B75B77">
        <w:t xml:space="preserve"> territory are more energy efficient than the current stock. The program covers both new construction </w:t>
      </w:r>
      <w:r w:rsidR="00C31AF7" w:rsidRPr="00B75B77">
        <w:t>and</w:t>
      </w:r>
      <w:r w:rsidRPr="00B75B77">
        <w:t xml:space="preserve"> buildings undergoing major renovation</w:t>
      </w:r>
      <w:r w:rsidR="00C31AF7" w:rsidRPr="00B75B77">
        <w:t>,</w:t>
      </w:r>
      <w:r w:rsidRPr="00B75B77">
        <w:t xml:space="preserve"> which</w:t>
      </w:r>
      <w:r w:rsidR="0061553F" w:rsidRPr="00B75B77">
        <w:t xml:space="preserve"> PECO</w:t>
      </w:r>
      <w:r w:rsidRPr="00B75B77">
        <w:t xml:space="preserve"> </w:t>
      </w:r>
      <w:r w:rsidR="0061553F" w:rsidRPr="00B75B77">
        <w:t>defines</w:t>
      </w:r>
      <w:r w:rsidRPr="00B75B77">
        <w:t xml:space="preserve"> as construction projects that involve the complete removal, redesign, and replacement of two or more major building systems. The target markets for the SCI program include customer organization decision makers, renovation contractors, and developers. The program provides facility designers and builders with training, design assistance, and financial incentives to incorporate energy efficient systems into their building designs. The eligible customer population for the program includes all C&amp;I and GNI new construction and major renovation projects in PECO</w:t>
      </w:r>
      <w:r w:rsidR="00C31AF7" w:rsidRPr="00B75B77">
        <w:t>’s</w:t>
      </w:r>
      <w:r w:rsidRPr="00B75B77">
        <w:t xml:space="preserve"> service territory or accounts provided with electricity by PECO, including GNI facilities.</w:t>
      </w:r>
    </w:p>
    <w:p w:rsidR="008A2056" w:rsidRPr="00B75B77" w:rsidRDefault="008A2056" w:rsidP="00CA16D1"/>
    <w:p w:rsidR="008A2056" w:rsidRPr="00B75B77" w:rsidRDefault="008A2056" w:rsidP="00CA16D1">
      <w:pPr>
        <w:jc w:val="left"/>
        <w:rPr>
          <w:rFonts w:ascii="Calibri" w:hAnsi="Calibri" w:cs="Calibri"/>
          <w:color w:val="231F20"/>
        </w:rPr>
      </w:pPr>
      <w:r w:rsidRPr="00B75B77">
        <w:t>PECO hired a CSP, DNV GL, to implement and market the SCI program throughout the PECO service territory. In PY7, the CSP continued its previously</w:t>
      </w:r>
      <w:r w:rsidR="00C31AF7" w:rsidRPr="00B75B77">
        <w:t xml:space="preserve"> </w:t>
      </w:r>
      <w:r w:rsidRPr="00B75B77">
        <w:t xml:space="preserve">developed outreach strategies by engaging with customers and contractors. In PY7, the SCI program completed </w:t>
      </w:r>
      <w:r w:rsidRPr="00B75B77">
        <w:rPr>
          <w:rFonts w:ascii="Calibri" w:hAnsi="Calibri" w:cs="Calibri"/>
          <w:color w:val="231F20"/>
        </w:rPr>
        <w:t>18</w:t>
      </w:r>
      <w:r w:rsidR="00DC3CF2" w:rsidRPr="00B75B77">
        <w:rPr>
          <w:rFonts w:ascii="Calibri" w:hAnsi="Calibri" w:cs="Calibri"/>
          <w:color w:val="231F20"/>
        </w:rPr>
        <w:t>1</w:t>
      </w:r>
      <w:r w:rsidRPr="00B75B77">
        <w:rPr>
          <w:rFonts w:ascii="Calibri" w:hAnsi="Calibri" w:cs="Calibri"/>
          <w:color w:val="231F20"/>
        </w:rPr>
        <w:t xml:space="preserve"> projects. Of these </w:t>
      </w:r>
      <w:r w:rsidR="00DC3CF2" w:rsidRPr="00B75B77">
        <w:rPr>
          <w:rFonts w:ascii="Calibri" w:hAnsi="Calibri" w:cs="Calibri"/>
          <w:color w:val="231F20"/>
        </w:rPr>
        <w:t>181</w:t>
      </w:r>
      <w:r w:rsidRPr="00B75B77">
        <w:rPr>
          <w:rFonts w:ascii="Calibri" w:hAnsi="Calibri" w:cs="Calibri"/>
          <w:color w:val="231F20"/>
        </w:rPr>
        <w:t xml:space="preserve"> projects, 137 were in the C&amp;I sector and 4</w:t>
      </w:r>
      <w:r w:rsidR="00DC3CF2" w:rsidRPr="00B75B77">
        <w:rPr>
          <w:rFonts w:ascii="Calibri" w:hAnsi="Calibri" w:cs="Calibri"/>
          <w:color w:val="231F20"/>
        </w:rPr>
        <w:t>4</w:t>
      </w:r>
      <w:r w:rsidRPr="00B75B77">
        <w:rPr>
          <w:rFonts w:ascii="Calibri" w:hAnsi="Calibri" w:cs="Calibri"/>
          <w:color w:val="231F20"/>
        </w:rPr>
        <w:t xml:space="preserve"> were in the GNI sector.</w:t>
      </w:r>
    </w:p>
    <w:p w:rsidR="008A2056" w:rsidRPr="00B75B77" w:rsidRDefault="008A2056" w:rsidP="00286B52">
      <w:pPr>
        <w:rPr>
          <w:color w:val="FF0000"/>
        </w:rPr>
      </w:pPr>
    </w:p>
    <w:p w:rsidR="008A2056" w:rsidRPr="00B75B77" w:rsidRDefault="008A2056" w:rsidP="003E6A9B">
      <w:pPr>
        <w:pStyle w:val="Heading2"/>
      </w:pPr>
      <w:bookmarkStart w:id="808" w:name="_Toc466413424"/>
      <w:r w:rsidRPr="00B75B77">
        <w:t>Program Updates</w:t>
      </w:r>
      <w:bookmarkEnd w:id="808"/>
    </w:p>
    <w:p w:rsidR="008A2056" w:rsidRPr="00B75B77" w:rsidRDefault="008A2056" w:rsidP="00CA16D1">
      <w:pPr>
        <w:jc w:val="left"/>
      </w:pPr>
      <w:r w:rsidRPr="00B75B77">
        <w:t>PECO did</w:t>
      </w:r>
      <w:r w:rsidR="00C31AF7" w:rsidRPr="00B75B77">
        <w:t xml:space="preserve"> </w:t>
      </w:r>
      <w:r w:rsidRPr="00B75B77">
        <w:t>n</w:t>
      </w:r>
      <w:r w:rsidR="00C31AF7" w:rsidRPr="00B75B77">
        <w:t>o</w:t>
      </w:r>
      <w:r w:rsidRPr="00B75B77">
        <w:t xml:space="preserve">t make any major updates to the SCI program in PY7 and continued to build on its plan by implementing outreach, marketing, and trade ally relations efforts from PY5 and PY6. PECO rebuilt and </w:t>
      </w:r>
      <w:proofErr w:type="spellStart"/>
      <w:r w:rsidRPr="00B75B77">
        <w:t>recharacterized</w:t>
      </w:r>
      <w:proofErr w:type="spellEnd"/>
      <w:r w:rsidRPr="00B75B77">
        <w:t xml:space="preserve"> its trade ally network in the middle of PY6, ensuring that all trade allies were fully committed to the effort. </w:t>
      </w:r>
      <w:r w:rsidR="00C31AF7" w:rsidRPr="00B75B77">
        <w:t>PECO vetted the trade allies</w:t>
      </w:r>
      <w:r w:rsidRPr="00B75B77">
        <w:t xml:space="preserve"> through in-depth surveys</w:t>
      </w:r>
      <w:r w:rsidR="00C31AF7" w:rsidRPr="00B75B77">
        <w:t xml:space="preserve"> and</w:t>
      </w:r>
      <w:r w:rsidRPr="00B75B77">
        <w:t xml:space="preserve"> verified references</w:t>
      </w:r>
      <w:r w:rsidR="00C31AF7" w:rsidRPr="00B75B77">
        <w:t>; trade allies</w:t>
      </w:r>
      <w:r w:rsidRPr="00B75B77">
        <w:t xml:space="preserve"> </w:t>
      </w:r>
      <w:r w:rsidR="00C31AF7" w:rsidRPr="00B75B77">
        <w:t>were also</w:t>
      </w:r>
      <w:r w:rsidRPr="00B75B77">
        <w:t xml:space="preserve"> provided with trainings to ensure complete buy-in. These strategies helped increase program participation in PY7 to attain a significantly higher percentage of the </w:t>
      </w:r>
      <w:r w:rsidR="00C31AF7" w:rsidRPr="00B75B77">
        <w:t>p</w:t>
      </w:r>
      <w:r w:rsidRPr="00B75B77">
        <w:t xml:space="preserve">rogram </w:t>
      </w:r>
      <w:r w:rsidR="00C31AF7" w:rsidRPr="00B75B77">
        <w:t>y</w:t>
      </w:r>
      <w:r w:rsidRPr="00B75B77">
        <w:t>ear goal than in previous years. Program managers are confident that these strategies will continue to provide benefit the new construction sector into Phase III.</w:t>
      </w:r>
    </w:p>
    <w:p w:rsidR="008A2056" w:rsidRPr="00B75B77" w:rsidRDefault="008A2056" w:rsidP="00286B52"/>
    <w:p w:rsidR="008A2056" w:rsidRPr="00B75B77" w:rsidRDefault="008A2056" w:rsidP="0045485C">
      <w:pPr>
        <w:pStyle w:val="Heading3"/>
      </w:pPr>
      <w:bookmarkStart w:id="809" w:name="_Toc466413425"/>
      <w:r w:rsidRPr="00B75B77">
        <w:t>Definition of Participant</w:t>
      </w:r>
      <w:bookmarkEnd w:id="809"/>
    </w:p>
    <w:p w:rsidR="008A2056" w:rsidRPr="00B75B77" w:rsidRDefault="0061553F" w:rsidP="00C31AF7">
      <w:pPr>
        <w:autoSpaceDE w:val="0"/>
        <w:autoSpaceDN w:val="0"/>
        <w:adjustRightInd w:val="0"/>
        <w:jc w:val="left"/>
        <w:rPr>
          <w:rFonts w:ascii="Calibri" w:hAnsi="Calibri" w:cs="Calibri"/>
          <w:color w:val="231F20"/>
        </w:rPr>
      </w:pPr>
      <w:r w:rsidRPr="00B75B77">
        <w:rPr>
          <w:rFonts w:ascii="Calibri" w:hAnsi="Calibri" w:cs="Calibri"/>
          <w:color w:val="231F20"/>
        </w:rPr>
        <w:t xml:space="preserve">PECO </w:t>
      </w:r>
      <w:r w:rsidR="00C31AF7" w:rsidRPr="00B75B77">
        <w:rPr>
          <w:rFonts w:ascii="Calibri" w:hAnsi="Calibri" w:cs="Calibri"/>
          <w:color w:val="231F20"/>
        </w:rPr>
        <w:t>defines e</w:t>
      </w:r>
      <w:r w:rsidR="008A2056" w:rsidRPr="00B75B77">
        <w:rPr>
          <w:rFonts w:ascii="Calibri" w:hAnsi="Calibri" w:cs="Calibri"/>
          <w:color w:val="231F20"/>
        </w:rPr>
        <w:t>ach participant of the SCI program by a completed project. Each project may include the</w:t>
      </w:r>
      <w:r w:rsidR="00C31AF7" w:rsidRPr="00B75B77">
        <w:rPr>
          <w:rFonts w:ascii="Calibri" w:hAnsi="Calibri" w:cs="Calibri"/>
          <w:color w:val="231F20"/>
        </w:rPr>
        <w:t xml:space="preserve"> </w:t>
      </w:r>
      <w:r w:rsidR="008A2056" w:rsidRPr="00B75B77">
        <w:rPr>
          <w:rFonts w:ascii="Calibri" w:hAnsi="Calibri" w:cs="Calibri"/>
          <w:color w:val="231F20"/>
        </w:rPr>
        <w:t>installation of one or more measures, and each can be of different measure types.</w:t>
      </w:r>
    </w:p>
    <w:p w:rsidR="008A2056" w:rsidRPr="00B75B77" w:rsidRDefault="008A2056" w:rsidP="00286B52"/>
    <w:p w:rsidR="008A2056" w:rsidRPr="00B75B77" w:rsidRDefault="008A2056" w:rsidP="00CA16D1">
      <w:pPr>
        <w:pStyle w:val="Heading2"/>
      </w:pPr>
      <w:bookmarkStart w:id="810" w:name="_Toc466413426"/>
      <w:r w:rsidRPr="00B75B77">
        <w:t>Impact Evaluation Gross Savings</w:t>
      </w:r>
      <w:bookmarkEnd w:id="810"/>
      <w:r w:rsidRPr="00B75B77">
        <w:t xml:space="preserve"> </w:t>
      </w:r>
    </w:p>
    <w:p w:rsidR="008A2056" w:rsidRPr="00B75B77" w:rsidRDefault="008A2056" w:rsidP="00CA16D1">
      <w:pPr>
        <w:jc w:val="left"/>
      </w:pPr>
      <w:r w:rsidRPr="00B75B77">
        <w:rPr>
          <w:rFonts w:ascii="Calibri" w:hAnsi="Calibri" w:cs="Calibri"/>
          <w:color w:val="231F20"/>
        </w:rPr>
        <w:t xml:space="preserve">The SCI program achieved </w:t>
      </w:r>
      <w:r w:rsidR="00151466" w:rsidRPr="00B75B77">
        <w:rPr>
          <w:rFonts w:ascii="Calibri" w:hAnsi="Calibri" w:cs="Calibri"/>
          <w:color w:val="231F20"/>
        </w:rPr>
        <w:t xml:space="preserve">PY7 </w:t>
      </w:r>
      <w:r w:rsidRPr="00B75B77">
        <w:rPr>
          <w:rFonts w:ascii="Calibri" w:hAnsi="Calibri" w:cs="Calibri"/>
          <w:color w:val="231F20"/>
        </w:rPr>
        <w:t>verified</w:t>
      </w:r>
      <w:r w:rsidR="00151466" w:rsidRPr="00B75B77">
        <w:rPr>
          <w:rFonts w:ascii="Calibri" w:hAnsi="Calibri" w:cs="Calibri"/>
          <w:color w:val="231F20"/>
        </w:rPr>
        <w:t xml:space="preserve"> gross</w:t>
      </w:r>
      <w:r w:rsidRPr="00B75B77">
        <w:rPr>
          <w:rFonts w:ascii="Calibri" w:hAnsi="Calibri" w:cs="Calibri"/>
          <w:color w:val="231F20"/>
        </w:rPr>
        <w:t xml:space="preserve"> energy and demand savings of 22,995 MWh and 3.7 MW, respectively. </w:t>
      </w:r>
      <w:r w:rsidRPr="00B75B77">
        <w:t xml:space="preserve">The total reported energy savings for Phase II were </w:t>
      </w:r>
      <w:r w:rsidR="00395286" w:rsidRPr="00B75B77">
        <w:t>45,254</w:t>
      </w:r>
      <w:r w:rsidRPr="00B75B77">
        <w:t xml:space="preserve"> </w:t>
      </w:r>
      <w:proofErr w:type="gramStart"/>
      <w:r w:rsidRPr="00B75B77">
        <w:t>MWh,</w:t>
      </w:r>
      <w:proofErr w:type="gramEnd"/>
      <w:r w:rsidRPr="00B75B77">
        <w:t xml:space="preserve"> reported gross demand savings were </w:t>
      </w:r>
      <w:r w:rsidR="00395286" w:rsidRPr="00B75B77">
        <w:t>8</w:t>
      </w:r>
      <w:r w:rsidRPr="00B75B77">
        <w:t xml:space="preserve"> MW. </w:t>
      </w:r>
      <w:r w:rsidRPr="00B75B77">
        <w:rPr>
          <w:rFonts w:ascii="Calibri" w:hAnsi="Calibri" w:cs="Calibri"/>
          <w:color w:val="231F20"/>
        </w:rPr>
        <w:fldChar w:fldCharType="begin"/>
      </w:r>
      <w:r w:rsidRPr="00B75B77">
        <w:rPr>
          <w:rFonts w:ascii="Calibri" w:hAnsi="Calibri" w:cs="Calibri"/>
          <w:color w:val="231F20"/>
        </w:rPr>
        <w:instrText xml:space="preserve"> REF _Ref462846309 \h </w:instrText>
      </w:r>
      <w:r w:rsidR="0061553F" w:rsidRPr="00B75B77">
        <w:rPr>
          <w:rFonts w:ascii="Calibri" w:hAnsi="Calibri" w:cs="Calibri"/>
          <w:color w:val="231F20"/>
        </w:rPr>
        <w:instrText xml:space="preserve"> \* MERGEFORMAT </w:instrText>
      </w:r>
      <w:r w:rsidRPr="00B75B77">
        <w:rPr>
          <w:rFonts w:ascii="Calibri" w:hAnsi="Calibri" w:cs="Calibri"/>
          <w:color w:val="231F20"/>
        </w:rPr>
      </w:r>
      <w:r w:rsidRPr="00B75B77">
        <w:rPr>
          <w:rFonts w:ascii="Calibri" w:hAnsi="Calibri" w:cs="Calibri"/>
          <w:color w:val="231F20"/>
        </w:rPr>
        <w:fldChar w:fldCharType="separate"/>
      </w:r>
      <w:r w:rsidR="0004016D" w:rsidRPr="00B75B77">
        <w:t xml:space="preserve">Table </w:t>
      </w:r>
      <w:r w:rsidR="0004016D">
        <w:rPr>
          <w:noProof/>
        </w:rPr>
        <w:t>13</w:t>
      </w:r>
      <w:r w:rsidR="0004016D" w:rsidRPr="00B75B77">
        <w:rPr>
          <w:noProof/>
        </w:rPr>
        <w:noBreakHyphen/>
      </w:r>
      <w:r w:rsidR="0004016D">
        <w:rPr>
          <w:noProof/>
        </w:rPr>
        <w:t>1</w:t>
      </w:r>
      <w:r w:rsidRPr="00B75B77">
        <w:rPr>
          <w:rFonts w:ascii="Calibri" w:hAnsi="Calibri" w:cs="Calibri"/>
          <w:color w:val="231F20"/>
        </w:rPr>
        <w:fldChar w:fldCharType="end"/>
      </w:r>
      <w:r w:rsidRPr="00B75B77">
        <w:rPr>
          <w:rFonts w:ascii="Calibri" w:hAnsi="Calibri" w:cs="Calibri"/>
          <w:color w:val="231F20"/>
        </w:rPr>
        <w:t xml:space="preserve"> shows </w:t>
      </w:r>
      <w:r w:rsidRPr="00B75B77">
        <w:rPr>
          <w:noProof/>
        </w:rPr>
        <w:t>the Phase II savings and incentive results for the SCI program by customer sector.</w:t>
      </w:r>
      <w:r w:rsidRPr="00B75B77">
        <w:t xml:space="preserve"> </w:t>
      </w:r>
    </w:p>
    <w:p w:rsidR="008A2056" w:rsidRPr="00B75B77" w:rsidRDefault="008A2056" w:rsidP="00286B52">
      <w:pPr>
        <w:rPr>
          <w:rFonts w:ascii="Calibri" w:hAnsi="Calibri" w:cs="Calibri"/>
          <w:color w:val="231F20"/>
        </w:rPr>
      </w:pPr>
    </w:p>
    <w:p w:rsidR="008A2056" w:rsidRPr="00B75B77" w:rsidRDefault="008A2056" w:rsidP="00286B52"/>
    <w:p w:rsidR="008A2056" w:rsidRPr="00B75B77" w:rsidRDefault="008A2056" w:rsidP="00586985">
      <w:pPr>
        <w:pStyle w:val="Caption"/>
      </w:pPr>
      <w:bookmarkStart w:id="811" w:name="_Ref464134685"/>
      <w:bookmarkStart w:id="812" w:name="_Ref462846309"/>
      <w:bookmarkStart w:id="813" w:name="_Toc466413608"/>
      <w:r w:rsidRPr="00B75B77">
        <w:lastRenderedPageBreak/>
        <w:t xml:space="preserve">Table </w:t>
      </w:r>
      <w:fldSimple w:instr=" STYLEREF 1 \s ">
        <w:r w:rsidR="0004016D">
          <w:rPr>
            <w:noProof/>
          </w:rPr>
          <w:t>13</w:t>
        </w:r>
      </w:fldSimple>
      <w:r w:rsidR="00F1144C" w:rsidRPr="00B75B77">
        <w:noBreakHyphen/>
      </w:r>
      <w:fldSimple w:instr=" SEQ Table \* ARABIC \s 1 ">
        <w:r w:rsidR="0004016D">
          <w:rPr>
            <w:noProof/>
          </w:rPr>
          <w:t>1</w:t>
        </w:r>
      </w:fldSimple>
      <w:bookmarkEnd w:id="811"/>
      <w:bookmarkEnd w:id="812"/>
      <w:r w:rsidRPr="00B75B77">
        <w:t>: Phase II Smart Construction Incentives Reported Results by Customer Sector</w:t>
      </w:r>
      <w:bookmarkEnd w:id="813"/>
    </w:p>
    <w:tbl>
      <w:tblPr>
        <w:tblStyle w:val="MediumShading1-Accent5"/>
        <w:tblW w:w="4866" w:type="pct"/>
        <w:tblInd w:w="-1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615"/>
        <w:gridCol w:w="1283"/>
        <w:gridCol w:w="1280"/>
        <w:gridCol w:w="1280"/>
        <w:gridCol w:w="1280"/>
        <w:gridCol w:w="1282"/>
        <w:gridCol w:w="1299"/>
      </w:tblGrid>
      <w:tr w:rsidR="008A2056" w:rsidRPr="00B75B77" w:rsidTr="00A92A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8A99"/>
            <w:vAlign w:val="center"/>
          </w:tcPr>
          <w:p w:rsidR="008A2056" w:rsidRPr="00B75B77" w:rsidRDefault="008A2056" w:rsidP="004C67C0">
            <w:pPr>
              <w:pStyle w:val="TableHeader"/>
              <w:jc w:val="left"/>
              <w:rPr>
                <w:b/>
                <w:color w:val="FFFFFF" w:themeColor="background1"/>
              </w:rPr>
            </w:pPr>
            <w:r w:rsidRPr="00B75B77">
              <w:rPr>
                <w:b/>
                <w:color w:val="FFFFFF" w:themeColor="background1"/>
              </w:rPr>
              <w:t>Customer Sector</w:t>
            </w:r>
            <w:r w:rsidRPr="00B75B77">
              <w:rPr>
                <w:rFonts w:eastAsia="Times New Roman"/>
                <w:b/>
                <w:color w:val="FFFFFF" w:themeColor="background1"/>
                <w:vertAlign w:val="superscript"/>
              </w:rPr>
              <w:t>[1]</w:t>
            </w:r>
          </w:p>
        </w:tc>
        <w:tc>
          <w:tcPr>
            <w:tcW w:w="688" w:type="pct"/>
            <w:tcBorders>
              <w:top w:val="single" w:sz="8" w:space="0" w:color="000000" w:themeColor="text1"/>
              <w:left w:val="single" w:sz="8" w:space="0" w:color="000000" w:themeColor="text1"/>
              <w:bottom w:val="single" w:sz="4" w:space="0" w:color="auto"/>
              <w:right w:val="single" w:sz="8" w:space="0" w:color="000000" w:themeColor="text1"/>
            </w:tcBorders>
            <w:shd w:val="clear" w:color="auto" w:fill="448A99"/>
            <w:vAlign w:val="center"/>
          </w:tcPr>
          <w:p w:rsidR="008A2056" w:rsidRPr="00B75B77" w:rsidRDefault="008A2056" w:rsidP="00594255">
            <w:pPr>
              <w:pStyle w:val="TableHead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Participants</w:t>
            </w:r>
          </w:p>
        </w:tc>
        <w:tc>
          <w:tcPr>
            <w:tcW w:w="687" w:type="pct"/>
            <w:tcBorders>
              <w:top w:val="single" w:sz="8" w:space="0" w:color="000000" w:themeColor="text1"/>
              <w:left w:val="single" w:sz="8" w:space="0" w:color="000000" w:themeColor="text1"/>
              <w:bottom w:val="single" w:sz="4" w:space="0" w:color="auto"/>
              <w:right w:val="single" w:sz="8" w:space="0" w:color="000000" w:themeColor="text1"/>
            </w:tcBorders>
            <w:shd w:val="clear" w:color="auto" w:fill="448A99"/>
            <w:vAlign w:val="center"/>
          </w:tcPr>
          <w:p w:rsidR="008A2056" w:rsidRPr="00B75B77" w:rsidRDefault="008A2056" w:rsidP="00594255">
            <w:pPr>
              <w:pStyle w:val="TableHead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Reported Gross Energy Savings (MWh/</w:t>
            </w:r>
            <w:proofErr w:type="spellStart"/>
            <w:r w:rsidRPr="00B75B77">
              <w:rPr>
                <w:b/>
                <w:color w:val="FFFFFF" w:themeColor="background1"/>
              </w:rPr>
              <w:t>yr</w:t>
            </w:r>
            <w:proofErr w:type="spellEnd"/>
            <w:r w:rsidRPr="00B75B77">
              <w:rPr>
                <w:b/>
                <w:color w:val="FFFFFF" w:themeColor="background1"/>
              </w:rPr>
              <w:t>)</w:t>
            </w:r>
          </w:p>
        </w:tc>
        <w:tc>
          <w:tcPr>
            <w:tcW w:w="687" w:type="pct"/>
            <w:tcBorders>
              <w:top w:val="single" w:sz="8" w:space="0" w:color="000000" w:themeColor="text1"/>
              <w:left w:val="single" w:sz="8" w:space="0" w:color="000000" w:themeColor="text1"/>
              <w:bottom w:val="single" w:sz="4" w:space="0" w:color="auto"/>
              <w:right w:val="single" w:sz="8" w:space="0" w:color="000000" w:themeColor="text1"/>
            </w:tcBorders>
            <w:shd w:val="clear" w:color="auto" w:fill="448A99"/>
            <w:vAlign w:val="center"/>
          </w:tcPr>
          <w:p w:rsidR="008A2056" w:rsidRPr="00B75B77" w:rsidRDefault="008A2056" w:rsidP="00CA16D1">
            <w:pPr>
              <w:pStyle w:val="TableHead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Reported Gross Demand Reduction (MW)</w:t>
            </w:r>
            <w:r w:rsidRPr="00B75B77">
              <w:rPr>
                <w:rFonts w:eastAsia="Times New Roman"/>
                <w:b/>
                <w:color w:val="FFFFFF" w:themeColor="background1"/>
                <w:vertAlign w:val="superscript"/>
              </w:rPr>
              <w:t xml:space="preserve"> [2]</w:t>
            </w:r>
          </w:p>
        </w:tc>
        <w:tc>
          <w:tcPr>
            <w:tcW w:w="687" w:type="pct"/>
            <w:tcBorders>
              <w:top w:val="single" w:sz="8" w:space="0" w:color="000000" w:themeColor="text1"/>
              <w:left w:val="single" w:sz="8" w:space="0" w:color="000000" w:themeColor="text1"/>
              <w:bottom w:val="single" w:sz="4" w:space="0" w:color="auto"/>
              <w:right w:val="single" w:sz="8" w:space="0" w:color="000000" w:themeColor="text1"/>
            </w:tcBorders>
            <w:shd w:val="clear" w:color="auto" w:fill="448A99"/>
          </w:tcPr>
          <w:p w:rsidR="008A2056" w:rsidRPr="00B75B77" w:rsidRDefault="008A2056" w:rsidP="00594255">
            <w:pPr>
              <w:pStyle w:val="TableHead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Verified Gross Energy Savings (MWh/</w:t>
            </w:r>
            <w:proofErr w:type="spellStart"/>
            <w:r w:rsidRPr="00B75B77">
              <w:rPr>
                <w:b/>
                <w:color w:val="FFFFFF" w:themeColor="background1"/>
              </w:rPr>
              <w:t>yr</w:t>
            </w:r>
            <w:proofErr w:type="spellEnd"/>
            <w:r w:rsidRPr="00B75B77">
              <w:rPr>
                <w:b/>
                <w:color w:val="FFFFFF" w:themeColor="background1"/>
              </w:rPr>
              <w:t>)</w:t>
            </w:r>
          </w:p>
        </w:tc>
        <w:tc>
          <w:tcPr>
            <w:tcW w:w="688" w:type="pct"/>
            <w:tcBorders>
              <w:top w:val="single" w:sz="8" w:space="0" w:color="000000" w:themeColor="text1"/>
              <w:left w:val="single" w:sz="8" w:space="0" w:color="000000" w:themeColor="text1"/>
              <w:bottom w:val="single" w:sz="4" w:space="0" w:color="auto"/>
              <w:right w:val="single" w:sz="8" w:space="0" w:color="000000" w:themeColor="text1"/>
            </w:tcBorders>
            <w:shd w:val="clear" w:color="auto" w:fill="448A99"/>
          </w:tcPr>
          <w:p w:rsidR="008A2056" w:rsidRPr="00B75B77" w:rsidRDefault="008A2056" w:rsidP="00CA16D1">
            <w:pPr>
              <w:pStyle w:val="TableHead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Verified Gross Demand Reduction (MW/</w:t>
            </w:r>
            <w:proofErr w:type="spellStart"/>
            <w:r w:rsidRPr="00B75B77">
              <w:rPr>
                <w:b/>
                <w:color w:val="FFFFFF" w:themeColor="background1"/>
              </w:rPr>
              <w:t>yr</w:t>
            </w:r>
            <w:proofErr w:type="spellEnd"/>
            <w:r w:rsidRPr="00B75B77">
              <w:rPr>
                <w:b/>
                <w:color w:val="FFFFFF" w:themeColor="background1"/>
              </w:rPr>
              <w:t>)</w:t>
            </w:r>
            <w:r w:rsidRPr="00B75B77">
              <w:rPr>
                <w:rFonts w:eastAsia="Times New Roman"/>
                <w:b/>
                <w:color w:val="FFFFFF" w:themeColor="background1"/>
                <w:vertAlign w:val="superscript"/>
              </w:rPr>
              <w:t xml:space="preserve"> [2]</w:t>
            </w:r>
          </w:p>
        </w:tc>
        <w:tc>
          <w:tcPr>
            <w:tcW w:w="697" w:type="pct"/>
            <w:tcBorders>
              <w:top w:val="single" w:sz="8" w:space="0" w:color="000000" w:themeColor="text1"/>
              <w:left w:val="single" w:sz="8" w:space="0" w:color="000000" w:themeColor="text1"/>
              <w:bottom w:val="single" w:sz="4" w:space="0" w:color="auto"/>
              <w:right w:val="single" w:sz="8" w:space="0" w:color="000000" w:themeColor="text1"/>
            </w:tcBorders>
            <w:shd w:val="clear" w:color="auto" w:fill="448A99"/>
            <w:vAlign w:val="center"/>
          </w:tcPr>
          <w:p w:rsidR="008A2056" w:rsidRPr="00B75B77" w:rsidRDefault="008A2056" w:rsidP="00594255">
            <w:pPr>
              <w:pStyle w:val="TableHead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Incentives Paid</w:t>
            </w:r>
            <w:r w:rsidRPr="00B75B77">
              <w:rPr>
                <w:b/>
                <w:color w:val="FFFFFF" w:themeColor="background1"/>
              </w:rPr>
              <w:br/>
              <w:t>($1,000)</w:t>
            </w:r>
          </w:p>
        </w:tc>
      </w:tr>
      <w:tr w:rsidR="00442C8B" w:rsidRPr="00B75B77" w:rsidTr="00A92A7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6" w:type="pct"/>
            <w:tcBorders>
              <w:top w:val="single" w:sz="8" w:space="0" w:color="000000" w:themeColor="text1"/>
              <w:right w:val="single" w:sz="8" w:space="0" w:color="448A99"/>
            </w:tcBorders>
            <w:vAlign w:val="center"/>
          </w:tcPr>
          <w:p w:rsidR="00442C8B" w:rsidRPr="00B75B77" w:rsidRDefault="00442C8B" w:rsidP="00442C8B">
            <w:pPr>
              <w:pStyle w:val="TableText"/>
              <w:spacing w:before="0"/>
              <w:rPr>
                <w:b w:val="0"/>
              </w:rPr>
            </w:pPr>
            <w:r w:rsidRPr="00B75B77">
              <w:rPr>
                <w:rFonts w:ascii="Calibri" w:eastAsia="Times New Roman" w:hAnsi="Calibri"/>
                <w:b w:val="0"/>
              </w:rPr>
              <w:t>Residential</w:t>
            </w:r>
            <w:r w:rsidRPr="00B75B77">
              <w:rPr>
                <w:rFonts w:ascii="Calibri" w:eastAsia="Times New Roman" w:hAnsi="Calibri"/>
                <w:b w:val="0"/>
                <w:bCs w:val="0"/>
              </w:rPr>
              <w:t xml:space="preserve"> (Non-Low-Income)</w:t>
            </w:r>
          </w:p>
        </w:tc>
        <w:tc>
          <w:tcPr>
            <w:tcW w:w="688" w:type="pct"/>
            <w:tcBorders>
              <w:top w:val="single" w:sz="4" w:space="0" w:color="auto"/>
              <w:left w:val="single" w:sz="8" w:space="0" w:color="448A99"/>
              <w:bottom w:val="single" w:sz="4" w:space="0" w:color="448A99"/>
              <w:right w:val="single" w:sz="8" w:space="0" w:color="448A99"/>
            </w:tcBorders>
            <w:vAlign w:val="center"/>
          </w:tcPr>
          <w:p w:rsidR="00442C8B" w:rsidRPr="00B75B77" w:rsidRDefault="00442C8B" w:rsidP="00442C8B">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t>0</w:t>
            </w:r>
          </w:p>
        </w:tc>
        <w:tc>
          <w:tcPr>
            <w:tcW w:w="687" w:type="pct"/>
            <w:tcBorders>
              <w:top w:val="single" w:sz="4" w:space="0" w:color="auto"/>
              <w:left w:val="single" w:sz="8" w:space="0" w:color="448A99"/>
              <w:bottom w:val="single" w:sz="4" w:space="0" w:color="448A99"/>
              <w:right w:val="single" w:sz="8" w:space="0" w:color="448A99"/>
            </w:tcBorders>
            <w:vAlign w:val="center"/>
          </w:tcPr>
          <w:p w:rsidR="00442C8B" w:rsidRPr="00B75B77" w:rsidRDefault="00442C8B" w:rsidP="00442C8B">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t>0</w:t>
            </w:r>
          </w:p>
        </w:tc>
        <w:tc>
          <w:tcPr>
            <w:tcW w:w="687" w:type="pct"/>
            <w:tcBorders>
              <w:top w:val="single" w:sz="4" w:space="0" w:color="auto"/>
              <w:left w:val="single" w:sz="8" w:space="0" w:color="448A99"/>
              <w:bottom w:val="single" w:sz="4" w:space="0" w:color="448A99"/>
              <w:right w:val="single" w:sz="8" w:space="0" w:color="448A99"/>
            </w:tcBorders>
            <w:vAlign w:val="center"/>
          </w:tcPr>
          <w:p w:rsidR="00442C8B" w:rsidRPr="00B75B77" w:rsidRDefault="00442C8B" w:rsidP="00442C8B">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t>0</w:t>
            </w:r>
          </w:p>
        </w:tc>
        <w:tc>
          <w:tcPr>
            <w:tcW w:w="687" w:type="pct"/>
            <w:tcBorders>
              <w:top w:val="single" w:sz="4" w:space="0" w:color="auto"/>
              <w:left w:val="single" w:sz="8" w:space="0" w:color="448A99"/>
              <w:bottom w:val="single" w:sz="4" w:space="0" w:color="448A99"/>
              <w:right w:val="single" w:sz="8" w:space="0" w:color="448A99"/>
            </w:tcBorders>
            <w:vAlign w:val="center"/>
          </w:tcPr>
          <w:p w:rsidR="00442C8B" w:rsidRPr="00B75B77" w:rsidRDefault="00442C8B" w:rsidP="00442C8B">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t>0</w:t>
            </w:r>
          </w:p>
        </w:tc>
        <w:tc>
          <w:tcPr>
            <w:tcW w:w="688" w:type="pct"/>
            <w:tcBorders>
              <w:top w:val="single" w:sz="4" w:space="0" w:color="auto"/>
              <w:left w:val="single" w:sz="8" w:space="0" w:color="448A99"/>
              <w:bottom w:val="single" w:sz="4" w:space="0" w:color="448A99"/>
              <w:right w:val="single" w:sz="8" w:space="0" w:color="448A99"/>
            </w:tcBorders>
            <w:vAlign w:val="center"/>
          </w:tcPr>
          <w:p w:rsidR="00442C8B" w:rsidRPr="00B75B77" w:rsidRDefault="00442C8B" w:rsidP="00442C8B">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t>0</w:t>
            </w:r>
          </w:p>
        </w:tc>
        <w:tc>
          <w:tcPr>
            <w:tcW w:w="697" w:type="pct"/>
            <w:tcBorders>
              <w:top w:val="single" w:sz="4" w:space="0" w:color="auto"/>
              <w:left w:val="single" w:sz="8" w:space="0" w:color="448A99"/>
              <w:bottom w:val="single" w:sz="4" w:space="0" w:color="448A99"/>
              <w:right w:val="single" w:sz="8" w:space="0" w:color="448A99"/>
            </w:tcBorders>
            <w:vAlign w:val="center"/>
          </w:tcPr>
          <w:p w:rsidR="00442C8B" w:rsidRPr="00B75B77" w:rsidRDefault="00442C8B" w:rsidP="00442C8B">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t>$0</w:t>
            </w:r>
          </w:p>
        </w:tc>
      </w:tr>
      <w:tr w:rsidR="00442C8B" w:rsidRPr="00B75B77" w:rsidTr="00A92A7D">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448A99"/>
            </w:tcBorders>
            <w:vAlign w:val="center"/>
          </w:tcPr>
          <w:p w:rsidR="00442C8B" w:rsidRPr="00B75B77" w:rsidRDefault="00442C8B" w:rsidP="00442C8B">
            <w:pPr>
              <w:pStyle w:val="TableText"/>
              <w:spacing w:before="0"/>
              <w:rPr>
                <w:b w:val="0"/>
              </w:rPr>
            </w:pPr>
            <w:r w:rsidRPr="00B75B77">
              <w:rPr>
                <w:rFonts w:ascii="Calibri" w:eastAsia="Times New Roman" w:hAnsi="Calibri"/>
                <w:b w:val="0"/>
                <w:bCs w:val="0"/>
              </w:rPr>
              <w:t>Residential (</w:t>
            </w:r>
            <w:r w:rsidRPr="00B75B77">
              <w:rPr>
                <w:rFonts w:ascii="Calibri" w:eastAsia="Times New Roman" w:hAnsi="Calibri"/>
                <w:b w:val="0"/>
              </w:rPr>
              <w:t>Low-Income</w:t>
            </w:r>
            <w:r w:rsidRPr="00B75B77">
              <w:rPr>
                <w:rFonts w:ascii="Calibri" w:eastAsia="Times New Roman" w:hAnsi="Calibri"/>
                <w:b w:val="0"/>
                <w:bCs w:val="0"/>
              </w:rPr>
              <w:t>)</w:t>
            </w:r>
          </w:p>
        </w:tc>
        <w:tc>
          <w:tcPr>
            <w:tcW w:w="688" w:type="pct"/>
            <w:tcBorders>
              <w:top w:val="single" w:sz="4" w:space="0" w:color="448A99"/>
              <w:left w:val="single" w:sz="8" w:space="0" w:color="448A99"/>
              <w:bottom w:val="single" w:sz="4" w:space="0" w:color="448A99"/>
              <w:right w:val="single" w:sz="8" w:space="0" w:color="448A99"/>
            </w:tcBorders>
            <w:vAlign w:val="center"/>
          </w:tcPr>
          <w:p w:rsidR="00442C8B" w:rsidRPr="00B75B77" w:rsidRDefault="00442C8B" w:rsidP="00442C8B">
            <w:pPr>
              <w:pStyle w:val="TableText"/>
              <w:spacing w:before="0"/>
              <w:jc w:val="center"/>
              <w:cnfStyle w:val="000000010000" w:firstRow="0" w:lastRow="0" w:firstColumn="0" w:lastColumn="0" w:oddVBand="0" w:evenVBand="0" w:oddHBand="0" w:evenHBand="1" w:firstRowFirstColumn="0" w:firstRowLastColumn="0" w:lastRowFirstColumn="0" w:lastRowLastColumn="0"/>
            </w:pPr>
            <w:r w:rsidRPr="00B75B77">
              <w:t>0</w:t>
            </w:r>
          </w:p>
        </w:tc>
        <w:tc>
          <w:tcPr>
            <w:tcW w:w="687" w:type="pct"/>
            <w:tcBorders>
              <w:top w:val="single" w:sz="4" w:space="0" w:color="448A99"/>
              <w:left w:val="single" w:sz="8" w:space="0" w:color="448A99"/>
              <w:bottom w:val="single" w:sz="4" w:space="0" w:color="448A99"/>
              <w:right w:val="single" w:sz="8" w:space="0" w:color="448A99"/>
            </w:tcBorders>
            <w:vAlign w:val="center"/>
          </w:tcPr>
          <w:p w:rsidR="00442C8B" w:rsidRPr="00B75B77" w:rsidRDefault="00442C8B" w:rsidP="00442C8B">
            <w:pPr>
              <w:pStyle w:val="TableText"/>
              <w:spacing w:before="0"/>
              <w:jc w:val="center"/>
              <w:cnfStyle w:val="000000010000" w:firstRow="0" w:lastRow="0" w:firstColumn="0" w:lastColumn="0" w:oddVBand="0" w:evenVBand="0" w:oddHBand="0" w:evenHBand="1" w:firstRowFirstColumn="0" w:firstRowLastColumn="0" w:lastRowFirstColumn="0" w:lastRowLastColumn="0"/>
            </w:pPr>
            <w:r w:rsidRPr="00B75B77">
              <w:t>0</w:t>
            </w:r>
          </w:p>
        </w:tc>
        <w:tc>
          <w:tcPr>
            <w:tcW w:w="687" w:type="pct"/>
            <w:tcBorders>
              <w:top w:val="single" w:sz="4" w:space="0" w:color="448A99"/>
              <w:left w:val="single" w:sz="8" w:space="0" w:color="448A99"/>
              <w:bottom w:val="single" w:sz="4" w:space="0" w:color="448A99"/>
              <w:right w:val="single" w:sz="8" w:space="0" w:color="448A99"/>
            </w:tcBorders>
            <w:vAlign w:val="center"/>
          </w:tcPr>
          <w:p w:rsidR="00442C8B" w:rsidRPr="00B75B77" w:rsidRDefault="00442C8B" w:rsidP="00442C8B">
            <w:pPr>
              <w:pStyle w:val="TableText"/>
              <w:spacing w:before="0"/>
              <w:jc w:val="center"/>
              <w:cnfStyle w:val="000000010000" w:firstRow="0" w:lastRow="0" w:firstColumn="0" w:lastColumn="0" w:oddVBand="0" w:evenVBand="0" w:oddHBand="0" w:evenHBand="1" w:firstRowFirstColumn="0" w:firstRowLastColumn="0" w:lastRowFirstColumn="0" w:lastRowLastColumn="0"/>
            </w:pPr>
            <w:r w:rsidRPr="00B75B77">
              <w:t>0</w:t>
            </w:r>
          </w:p>
        </w:tc>
        <w:tc>
          <w:tcPr>
            <w:tcW w:w="687" w:type="pct"/>
            <w:tcBorders>
              <w:top w:val="single" w:sz="4" w:space="0" w:color="448A99"/>
              <w:left w:val="single" w:sz="8" w:space="0" w:color="448A99"/>
              <w:bottom w:val="single" w:sz="4" w:space="0" w:color="448A99"/>
              <w:right w:val="single" w:sz="8" w:space="0" w:color="448A99"/>
            </w:tcBorders>
            <w:vAlign w:val="center"/>
          </w:tcPr>
          <w:p w:rsidR="00442C8B" w:rsidRPr="00B75B77" w:rsidRDefault="00442C8B" w:rsidP="00442C8B">
            <w:pPr>
              <w:pStyle w:val="TableText"/>
              <w:spacing w:before="0"/>
              <w:jc w:val="center"/>
              <w:cnfStyle w:val="000000010000" w:firstRow="0" w:lastRow="0" w:firstColumn="0" w:lastColumn="0" w:oddVBand="0" w:evenVBand="0" w:oddHBand="0" w:evenHBand="1" w:firstRowFirstColumn="0" w:firstRowLastColumn="0" w:lastRowFirstColumn="0" w:lastRowLastColumn="0"/>
            </w:pPr>
            <w:r w:rsidRPr="00B75B77">
              <w:t>0</w:t>
            </w:r>
          </w:p>
        </w:tc>
        <w:tc>
          <w:tcPr>
            <w:tcW w:w="688" w:type="pct"/>
            <w:tcBorders>
              <w:top w:val="single" w:sz="4" w:space="0" w:color="448A99"/>
              <w:left w:val="single" w:sz="8" w:space="0" w:color="448A99"/>
              <w:bottom w:val="single" w:sz="4" w:space="0" w:color="448A99"/>
              <w:right w:val="single" w:sz="8" w:space="0" w:color="448A99"/>
            </w:tcBorders>
            <w:vAlign w:val="center"/>
          </w:tcPr>
          <w:p w:rsidR="00442C8B" w:rsidRPr="00B75B77" w:rsidRDefault="00442C8B" w:rsidP="00442C8B">
            <w:pPr>
              <w:pStyle w:val="TableText"/>
              <w:spacing w:before="0"/>
              <w:jc w:val="center"/>
              <w:cnfStyle w:val="000000010000" w:firstRow="0" w:lastRow="0" w:firstColumn="0" w:lastColumn="0" w:oddVBand="0" w:evenVBand="0" w:oddHBand="0" w:evenHBand="1" w:firstRowFirstColumn="0" w:firstRowLastColumn="0" w:lastRowFirstColumn="0" w:lastRowLastColumn="0"/>
            </w:pPr>
            <w:r w:rsidRPr="00B75B77">
              <w:t>0</w:t>
            </w:r>
          </w:p>
        </w:tc>
        <w:tc>
          <w:tcPr>
            <w:tcW w:w="697" w:type="pct"/>
            <w:tcBorders>
              <w:top w:val="single" w:sz="4" w:space="0" w:color="448A99"/>
              <w:left w:val="single" w:sz="8" w:space="0" w:color="448A99"/>
              <w:bottom w:val="single" w:sz="4" w:space="0" w:color="448A99"/>
              <w:right w:val="single" w:sz="8" w:space="0" w:color="448A99"/>
            </w:tcBorders>
            <w:vAlign w:val="center"/>
          </w:tcPr>
          <w:p w:rsidR="00442C8B" w:rsidRPr="00B75B77" w:rsidRDefault="00442C8B" w:rsidP="00442C8B">
            <w:pPr>
              <w:pStyle w:val="TableText"/>
              <w:spacing w:before="0"/>
              <w:jc w:val="center"/>
              <w:cnfStyle w:val="000000010000" w:firstRow="0" w:lastRow="0" w:firstColumn="0" w:lastColumn="0" w:oddVBand="0" w:evenVBand="0" w:oddHBand="0" w:evenHBand="1" w:firstRowFirstColumn="0" w:firstRowLastColumn="0" w:lastRowFirstColumn="0" w:lastRowLastColumn="0"/>
            </w:pPr>
            <w:r w:rsidRPr="00B75B77">
              <w:t>$0</w:t>
            </w:r>
          </w:p>
        </w:tc>
      </w:tr>
      <w:tr w:rsidR="008A2056" w:rsidRPr="00B75B77" w:rsidTr="00A92A7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448A99"/>
            </w:tcBorders>
            <w:vAlign w:val="center"/>
          </w:tcPr>
          <w:p w:rsidR="008A2056" w:rsidRPr="00B75B77" w:rsidRDefault="008A2056" w:rsidP="00CA16D1">
            <w:pPr>
              <w:pStyle w:val="TableText"/>
              <w:spacing w:before="0"/>
              <w:rPr>
                <w:b w:val="0"/>
              </w:rPr>
            </w:pPr>
            <w:r w:rsidRPr="00B75B77">
              <w:rPr>
                <w:b w:val="0"/>
              </w:rPr>
              <w:t>Small C</w:t>
            </w:r>
            <w:r w:rsidR="0054073E" w:rsidRPr="00B75B77">
              <w:rPr>
                <w:b w:val="0"/>
              </w:rPr>
              <w:t>&amp;I</w:t>
            </w:r>
          </w:p>
        </w:tc>
        <w:tc>
          <w:tcPr>
            <w:tcW w:w="688" w:type="pct"/>
            <w:tcBorders>
              <w:top w:val="single" w:sz="4" w:space="0" w:color="448A99"/>
              <w:left w:val="single" w:sz="8" w:space="0" w:color="448A99"/>
              <w:bottom w:val="single" w:sz="4" w:space="0" w:color="448A99"/>
              <w:right w:val="single" w:sz="8" w:space="0" w:color="448A99"/>
            </w:tcBorders>
            <w:vAlign w:val="center"/>
          </w:tcPr>
          <w:p w:rsidR="008A2056" w:rsidRPr="00B75B77" w:rsidRDefault="008A2056" w:rsidP="00CA16D1">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t>137</w:t>
            </w:r>
          </w:p>
        </w:tc>
        <w:tc>
          <w:tcPr>
            <w:tcW w:w="687" w:type="pct"/>
            <w:tcBorders>
              <w:top w:val="single" w:sz="4" w:space="0" w:color="448A99"/>
              <w:left w:val="single" w:sz="8" w:space="0" w:color="448A99"/>
              <w:bottom w:val="single" w:sz="4" w:space="0" w:color="448A99"/>
              <w:right w:val="single" w:sz="8" w:space="0" w:color="448A99"/>
            </w:tcBorders>
            <w:vAlign w:val="center"/>
          </w:tcPr>
          <w:p w:rsidR="008A2056" w:rsidRPr="00B75B77" w:rsidRDefault="008A2056" w:rsidP="00CA16D1">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t>9,657</w:t>
            </w:r>
          </w:p>
        </w:tc>
        <w:tc>
          <w:tcPr>
            <w:tcW w:w="687" w:type="pct"/>
            <w:tcBorders>
              <w:top w:val="single" w:sz="4" w:space="0" w:color="448A99"/>
              <w:left w:val="single" w:sz="8" w:space="0" w:color="448A99"/>
              <w:bottom w:val="single" w:sz="4" w:space="0" w:color="448A99"/>
              <w:right w:val="single" w:sz="8" w:space="0" w:color="448A99"/>
            </w:tcBorders>
            <w:vAlign w:val="center"/>
          </w:tcPr>
          <w:p w:rsidR="008A2056" w:rsidRPr="00B75B77" w:rsidRDefault="008A2056" w:rsidP="00CA16D1">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t>2.0</w:t>
            </w:r>
          </w:p>
        </w:tc>
        <w:tc>
          <w:tcPr>
            <w:tcW w:w="687" w:type="pct"/>
            <w:tcBorders>
              <w:top w:val="single" w:sz="4" w:space="0" w:color="448A99"/>
              <w:left w:val="single" w:sz="8" w:space="0" w:color="448A99"/>
              <w:bottom w:val="single" w:sz="4" w:space="0" w:color="448A99"/>
              <w:right w:val="single" w:sz="8" w:space="0" w:color="448A99"/>
            </w:tcBorders>
            <w:vAlign w:val="center"/>
          </w:tcPr>
          <w:p w:rsidR="008A2056" w:rsidRPr="00B75B77" w:rsidRDefault="008A2056" w:rsidP="00CA16D1">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t>9,129</w:t>
            </w:r>
          </w:p>
        </w:tc>
        <w:tc>
          <w:tcPr>
            <w:tcW w:w="688" w:type="pct"/>
            <w:tcBorders>
              <w:top w:val="single" w:sz="4" w:space="0" w:color="448A99"/>
              <w:left w:val="single" w:sz="8" w:space="0" w:color="448A99"/>
              <w:bottom w:val="single" w:sz="4" w:space="0" w:color="448A99"/>
              <w:right w:val="single" w:sz="8" w:space="0" w:color="448A99"/>
            </w:tcBorders>
            <w:vAlign w:val="center"/>
          </w:tcPr>
          <w:p w:rsidR="008A2056" w:rsidRPr="00B75B77" w:rsidRDefault="008A2056" w:rsidP="00CA16D1">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t>1.6</w:t>
            </w:r>
          </w:p>
        </w:tc>
        <w:tc>
          <w:tcPr>
            <w:tcW w:w="697" w:type="pct"/>
            <w:tcBorders>
              <w:top w:val="single" w:sz="4" w:space="0" w:color="448A99"/>
              <w:left w:val="single" w:sz="8" w:space="0" w:color="448A99"/>
              <w:bottom w:val="single" w:sz="4" w:space="0" w:color="448A99"/>
              <w:right w:val="single" w:sz="8" w:space="0" w:color="448A99"/>
            </w:tcBorders>
            <w:vAlign w:val="center"/>
          </w:tcPr>
          <w:p w:rsidR="008A2056" w:rsidRPr="00B75B77" w:rsidRDefault="008A2056" w:rsidP="00CA16D1">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t>$893</w:t>
            </w:r>
          </w:p>
        </w:tc>
      </w:tr>
      <w:tr w:rsidR="008A2056" w:rsidRPr="00B75B77" w:rsidTr="00A92A7D">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448A99"/>
            </w:tcBorders>
            <w:vAlign w:val="center"/>
          </w:tcPr>
          <w:p w:rsidR="008A2056" w:rsidRPr="00B75B77" w:rsidRDefault="008A2056" w:rsidP="00CA16D1">
            <w:pPr>
              <w:pStyle w:val="TableText"/>
              <w:spacing w:before="0"/>
              <w:rPr>
                <w:b w:val="0"/>
              </w:rPr>
            </w:pPr>
            <w:r w:rsidRPr="00B75B77">
              <w:rPr>
                <w:b w:val="0"/>
              </w:rPr>
              <w:t>Large C</w:t>
            </w:r>
            <w:r w:rsidR="0054073E" w:rsidRPr="00B75B77">
              <w:rPr>
                <w:b w:val="0"/>
              </w:rPr>
              <w:t>&amp;I</w:t>
            </w:r>
          </w:p>
        </w:tc>
        <w:tc>
          <w:tcPr>
            <w:tcW w:w="688" w:type="pct"/>
            <w:tcBorders>
              <w:top w:val="single" w:sz="4" w:space="0" w:color="448A99"/>
              <w:left w:val="single" w:sz="8" w:space="0" w:color="448A99"/>
              <w:bottom w:val="single" w:sz="4" w:space="0" w:color="448A99"/>
              <w:right w:val="single" w:sz="8" w:space="0" w:color="448A99"/>
            </w:tcBorders>
            <w:vAlign w:val="center"/>
          </w:tcPr>
          <w:p w:rsidR="008A2056" w:rsidRPr="00B75B77" w:rsidRDefault="008A2056" w:rsidP="00CA16D1">
            <w:pPr>
              <w:pStyle w:val="TableText"/>
              <w:spacing w:before="0"/>
              <w:jc w:val="center"/>
              <w:cnfStyle w:val="000000010000" w:firstRow="0" w:lastRow="0" w:firstColumn="0" w:lastColumn="0" w:oddVBand="0" w:evenVBand="0" w:oddHBand="0" w:evenHBand="1" w:firstRowFirstColumn="0" w:firstRowLastColumn="0" w:lastRowFirstColumn="0" w:lastRowLastColumn="0"/>
            </w:pPr>
            <w:r w:rsidRPr="00B75B77">
              <w:t>78</w:t>
            </w:r>
          </w:p>
        </w:tc>
        <w:tc>
          <w:tcPr>
            <w:tcW w:w="687" w:type="pct"/>
            <w:tcBorders>
              <w:top w:val="single" w:sz="4" w:space="0" w:color="448A99"/>
              <w:left w:val="single" w:sz="8" w:space="0" w:color="448A99"/>
              <w:bottom w:val="single" w:sz="4" w:space="0" w:color="448A99"/>
              <w:right w:val="single" w:sz="8" w:space="0" w:color="448A99"/>
            </w:tcBorders>
            <w:vAlign w:val="center"/>
          </w:tcPr>
          <w:p w:rsidR="008A2056" w:rsidRPr="00B75B77" w:rsidRDefault="008A2056" w:rsidP="00CA16D1">
            <w:pPr>
              <w:pStyle w:val="TableText"/>
              <w:spacing w:before="0"/>
              <w:jc w:val="center"/>
              <w:cnfStyle w:val="000000010000" w:firstRow="0" w:lastRow="0" w:firstColumn="0" w:lastColumn="0" w:oddVBand="0" w:evenVBand="0" w:oddHBand="0" w:evenHBand="1" w:firstRowFirstColumn="0" w:firstRowLastColumn="0" w:lastRowFirstColumn="0" w:lastRowLastColumn="0"/>
            </w:pPr>
            <w:r w:rsidRPr="00B75B77">
              <w:t>23,366</w:t>
            </w:r>
          </w:p>
        </w:tc>
        <w:tc>
          <w:tcPr>
            <w:tcW w:w="687" w:type="pct"/>
            <w:tcBorders>
              <w:top w:val="single" w:sz="4" w:space="0" w:color="448A99"/>
              <w:left w:val="single" w:sz="8" w:space="0" w:color="448A99"/>
              <w:bottom w:val="single" w:sz="4" w:space="0" w:color="448A99"/>
              <w:right w:val="single" w:sz="8" w:space="0" w:color="448A99"/>
            </w:tcBorders>
            <w:vAlign w:val="center"/>
          </w:tcPr>
          <w:p w:rsidR="008A2056" w:rsidRPr="00B75B77" w:rsidRDefault="008A2056" w:rsidP="00CA16D1">
            <w:pPr>
              <w:pStyle w:val="TableText"/>
              <w:spacing w:before="0"/>
              <w:jc w:val="center"/>
              <w:cnfStyle w:val="000000010000" w:firstRow="0" w:lastRow="0" w:firstColumn="0" w:lastColumn="0" w:oddVBand="0" w:evenVBand="0" w:oddHBand="0" w:evenHBand="1" w:firstRowFirstColumn="0" w:firstRowLastColumn="0" w:lastRowFirstColumn="0" w:lastRowLastColumn="0"/>
            </w:pPr>
            <w:r w:rsidRPr="00B75B77">
              <w:t>4.1</w:t>
            </w:r>
          </w:p>
        </w:tc>
        <w:tc>
          <w:tcPr>
            <w:tcW w:w="687" w:type="pct"/>
            <w:tcBorders>
              <w:top w:val="single" w:sz="4" w:space="0" w:color="448A99"/>
              <w:left w:val="single" w:sz="8" w:space="0" w:color="448A99"/>
              <w:bottom w:val="single" w:sz="4" w:space="0" w:color="448A99"/>
              <w:right w:val="single" w:sz="8" w:space="0" w:color="448A99"/>
            </w:tcBorders>
            <w:vAlign w:val="center"/>
          </w:tcPr>
          <w:p w:rsidR="008A2056" w:rsidRPr="00B75B77" w:rsidRDefault="008A2056" w:rsidP="00CA16D1">
            <w:pPr>
              <w:pStyle w:val="TableText"/>
              <w:spacing w:before="0"/>
              <w:jc w:val="center"/>
              <w:cnfStyle w:val="000000010000" w:firstRow="0" w:lastRow="0" w:firstColumn="0" w:lastColumn="0" w:oddVBand="0" w:evenVBand="0" w:oddHBand="0" w:evenHBand="1" w:firstRowFirstColumn="0" w:firstRowLastColumn="0" w:lastRowFirstColumn="0" w:lastRowLastColumn="0"/>
            </w:pPr>
            <w:r w:rsidRPr="00B75B77">
              <w:t>22,516</w:t>
            </w:r>
          </w:p>
        </w:tc>
        <w:tc>
          <w:tcPr>
            <w:tcW w:w="688" w:type="pct"/>
            <w:tcBorders>
              <w:top w:val="single" w:sz="4" w:space="0" w:color="448A99"/>
              <w:left w:val="single" w:sz="8" w:space="0" w:color="448A99"/>
              <w:bottom w:val="single" w:sz="4" w:space="0" w:color="448A99"/>
              <w:right w:val="single" w:sz="8" w:space="0" w:color="448A99"/>
            </w:tcBorders>
            <w:vAlign w:val="center"/>
          </w:tcPr>
          <w:p w:rsidR="008A2056" w:rsidRPr="00B75B77" w:rsidRDefault="008A2056" w:rsidP="00CA16D1">
            <w:pPr>
              <w:pStyle w:val="TableText"/>
              <w:spacing w:before="0"/>
              <w:jc w:val="center"/>
              <w:cnfStyle w:val="000000010000" w:firstRow="0" w:lastRow="0" w:firstColumn="0" w:lastColumn="0" w:oddVBand="0" w:evenVBand="0" w:oddHBand="0" w:evenHBand="1" w:firstRowFirstColumn="0" w:firstRowLastColumn="0" w:lastRowFirstColumn="0" w:lastRowLastColumn="0"/>
            </w:pPr>
            <w:r w:rsidRPr="00B75B77">
              <w:t>3.3</w:t>
            </w:r>
          </w:p>
        </w:tc>
        <w:tc>
          <w:tcPr>
            <w:tcW w:w="697" w:type="pct"/>
            <w:tcBorders>
              <w:top w:val="single" w:sz="4" w:space="0" w:color="448A99"/>
              <w:left w:val="single" w:sz="8" w:space="0" w:color="448A99"/>
              <w:bottom w:val="single" w:sz="4" w:space="0" w:color="448A99"/>
              <w:right w:val="single" w:sz="8" w:space="0" w:color="448A99"/>
            </w:tcBorders>
            <w:vAlign w:val="center"/>
          </w:tcPr>
          <w:p w:rsidR="008A2056" w:rsidRPr="00B75B77" w:rsidRDefault="008A2056" w:rsidP="00CA16D1">
            <w:pPr>
              <w:pStyle w:val="TableText"/>
              <w:spacing w:before="0"/>
              <w:jc w:val="center"/>
              <w:cnfStyle w:val="000000010000" w:firstRow="0" w:lastRow="0" w:firstColumn="0" w:lastColumn="0" w:oddVBand="0" w:evenVBand="0" w:oddHBand="0" w:evenHBand="1" w:firstRowFirstColumn="0" w:firstRowLastColumn="0" w:lastRowFirstColumn="0" w:lastRowLastColumn="0"/>
            </w:pPr>
            <w:r w:rsidRPr="00B75B77">
              <w:t>$2,662</w:t>
            </w:r>
          </w:p>
        </w:tc>
      </w:tr>
      <w:tr w:rsidR="008A2056" w:rsidRPr="00B75B77" w:rsidTr="00A92A7D">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448A99"/>
            </w:tcBorders>
            <w:vAlign w:val="center"/>
          </w:tcPr>
          <w:p w:rsidR="008A2056" w:rsidRPr="00B75B77" w:rsidRDefault="008A2056" w:rsidP="00CA16D1">
            <w:pPr>
              <w:pStyle w:val="TableHeader"/>
              <w:spacing w:before="0"/>
              <w:jc w:val="left"/>
            </w:pPr>
            <w:r w:rsidRPr="00B75B77">
              <w:t>G</w:t>
            </w:r>
            <w:r w:rsidR="0054073E" w:rsidRPr="00B75B77">
              <w:t>NI</w:t>
            </w:r>
          </w:p>
        </w:tc>
        <w:tc>
          <w:tcPr>
            <w:tcW w:w="688" w:type="pct"/>
            <w:tcBorders>
              <w:top w:val="single" w:sz="4" w:space="0" w:color="448A99"/>
              <w:left w:val="single" w:sz="8" w:space="0" w:color="448A99"/>
              <w:bottom w:val="single" w:sz="4" w:space="0" w:color="448A99"/>
              <w:right w:val="single" w:sz="8" w:space="0" w:color="448A99"/>
            </w:tcBorders>
            <w:vAlign w:val="center"/>
          </w:tcPr>
          <w:p w:rsidR="008A2056" w:rsidRPr="00B75B77" w:rsidRDefault="007010AC" w:rsidP="00CA16D1">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t>68</w:t>
            </w:r>
          </w:p>
        </w:tc>
        <w:tc>
          <w:tcPr>
            <w:tcW w:w="687" w:type="pct"/>
            <w:tcBorders>
              <w:top w:val="single" w:sz="4" w:space="0" w:color="448A99"/>
              <w:left w:val="single" w:sz="8" w:space="0" w:color="448A99"/>
              <w:bottom w:val="single" w:sz="4" w:space="0" w:color="448A99"/>
              <w:right w:val="single" w:sz="8" w:space="0" w:color="448A99"/>
            </w:tcBorders>
            <w:vAlign w:val="center"/>
          </w:tcPr>
          <w:p w:rsidR="008A2056" w:rsidRPr="00B75B77" w:rsidRDefault="008A2056" w:rsidP="00CA16D1">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t>12,231</w:t>
            </w:r>
          </w:p>
        </w:tc>
        <w:tc>
          <w:tcPr>
            <w:tcW w:w="687" w:type="pct"/>
            <w:tcBorders>
              <w:top w:val="single" w:sz="4" w:space="0" w:color="448A99"/>
              <w:left w:val="single" w:sz="8" w:space="0" w:color="448A99"/>
              <w:bottom w:val="single" w:sz="4" w:space="0" w:color="448A99"/>
              <w:right w:val="single" w:sz="8" w:space="0" w:color="448A99"/>
            </w:tcBorders>
            <w:vAlign w:val="center"/>
          </w:tcPr>
          <w:p w:rsidR="008A2056" w:rsidRPr="00B75B77" w:rsidRDefault="008A2056" w:rsidP="00CA16D1">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t>2.0</w:t>
            </w:r>
          </w:p>
        </w:tc>
        <w:tc>
          <w:tcPr>
            <w:tcW w:w="687" w:type="pct"/>
            <w:tcBorders>
              <w:top w:val="single" w:sz="4" w:space="0" w:color="448A99"/>
              <w:left w:val="single" w:sz="8" w:space="0" w:color="448A99"/>
              <w:bottom w:val="single" w:sz="4" w:space="0" w:color="448A99"/>
              <w:right w:val="single" w:sz="8" w:space="0" w:color="448A99"/>
            </w:tcBorders>
            <w:vAlign w:val="center"/>
          </w:tcPr>
          <w:p w:rsidR="008A2056" w:rsidRPr="00B75B77" w:rsidRDefault="008A2056" w:rsidP="00CA16D1">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t>11,703</w:t>
            </w:r>
          </w:p>
        </w:tc>
        <w:tc>
          <w:tcPr>
            <w:tcW w:w="688" w:type="pct"/>
            <w:tcBorders>
              <w:top w:val="single" w:sz="4" w:space="0" w:color="448A99"/>
              <w:left w:val="single" w:sz="8" w:space="0" w:color="448A99"/>
              <w:bottom w:val="single" w:sz="4" w:space="0" w:color="448A99"/>
              <w:right w:val="single" w:sz="8" w:space="0" w:color="448A99"/>
            </w:tcBorders>
            <w:vAlign w:val="center"/>
          </w:tcPr>
          <w:p w:rsidR="008A2056" w:rsidRPr="00B75B77" w:rsidRDefault="008A2056" w:rsidP="00CA16D1">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t>1.7</w:t>
            </w:r>
          </w:p>
        </w:tc>
        <w:tc>
          <w:tcPr>
            <w:tcW w:w="697" w:type="pct"/>
            <w:tcBorders>
              <w:top w:val="single" w:sz="4" w:space="0" w:color="448A99"/>
              <w:left w:val="single" w:sz="8" w:space="0" w:color="448A99"/>
              <w:bottom w:val="single" w:sz="4" w:space="0" w:color="448A99"/>
              <w:right w:val="single" w:sz="8" w:space="0" w:color="448A99"/>
            </w:tcBorders>
            <w:vAlign w:val="center"/>
          </w:tcPr>
          <w:p w:rsidR="008A2056" w:rsidRPr="00B75B77" w:rsidRDefault="008A2056" w:rsidP="00CA16D1">
            <w:pPr>
              <w:pStyle w:val="TableText"/>
              <w:spacing w:before="0"/>
              <w:jc w:val="center"/>
              <w:cnfStyle w:val="000000100000" w:firstRow="0" w:lastRow="0" w:firstColumn="0" w:lastColumn="0" w:oddVBand="0" w:evenVBand="0" w:oddHBand="1" w:evenHBand="0" w:firstRowFirstColumn="0" w:firstRowLastColumn="0" w:lastRowFirstColumn="0" w:lastRowLastColumn="0"/>
            </w:pPr>
            <w:r w:rsidRPr="00B75B77">
              <w:t>$1,547</w:t>
            </w:r>
          </w:p>
        </w:tc>
      </w:tr>
      <w:tr w:rsidR="008A2056" w:rsidRPr="00B75B77" w:rsidTr="00A92A7D">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6" w:type="pct"/>
            <w:tcBorders>
              <w:bottom w:val="single" w:sz="8" w:space="0" w:color="448A99"/>
              <w:right w:val="single" w:sz="8" w:space="0" w:color="448A99"/>
            </w:tcBorders>
            <w:vAlign w:val="center"/>
          </w:tcPr>
          <w:p w:rsidR="008A2056" w:rsidRPr="00B75B77" w:rsidRDefault="008A2056" w:rsidP="00CA16D1">
            <w:pPr>
              <w:pStyle w:val="TableHeader"/>
              <w:spacing w:before="0"/>
              <w:jc w:val="left"/>
              <w:rPr>
                <w:b/>
                <w:caps/>
              </w:rPr>
            </w:pPr>
            <w:r w:rsidRPr="00B75B77">
              <w:rPr>
                <w:b/>
                <w:caps/>
              </w:rPr>
              <w:t>Phase II Total</w:t>
            </w:r>
          </w:p>
        </w:tc>
        <w:tc>
          <w:tcPr>
            <w:tcW w:w="688" w:type="pct"/>
            <w:tcBorders>
              <w:top w:val="single" w:sz="4" w:space="0" w:color="448A99"/>
              <w:left w:val="single" w:sz="8" w:space="0" w:color="448A99"/>
              <w:bottom w:val="single" w:sz="8" w:space="0" w:color="448A99"/>
              <w:right w:val="single" w:sz="8" w:space="0" w:color="448A99"/>
            </w:tcBorders>
            <w:vAlign w:val="center"/>
          </w:tcPr>
          <w:p w:rsidR="008A2056" w:rsidRPr="00B75B77" w:rsidRDefault="007010AC" w:rsidP="00CA16D1">
            <w:pPr>
              <w:pStyle w:val="TableText"/>
              <w:spacing w:before="0"/>
              <w:jc w:val="center"/>
              <w:cnfStyle w:val="000000010000" w:firstRow="0" w:lastRow="0" w:firstColumn="0" w:lastColumn="0" w:oddVBand="0" w:evenVBand="0" w:oddHBand="0" w:evenHBand="1" w:firstRowFirstColumn="0" w:firstRowLastColumn="0" w:lastRowFirstColumn="0" w:lastRowLastColumn="0"/>
              <w:rPr>
                <w:b/>
              </w:rPr>
            </w:pPr>
            <w:r w:rsidRPr="00B75B77">
              <w:rPr>
                <w:b/>
              </w:rPr>
              <w:t>283</w:t>
            </w:r>
          </w:p>
        </w:tc>
        <w:tc>
          <w:tcPr>
            <w:tcW w:w="687" w:type="pct"/>
            <w:tcBorders>
              <w:top w:val="single" w:sz="4" w:space="0" w:color="448A99"/>
              <w:left w:val="single" w:sz="8" w:space="0" w:color="448A99"/>
              <w:bottom w:val="single" w:sz="8" w:space="0" w:color="448A99"/>
              <w:right w:val="single" w:sz="8" w:space="0" w:color="448A99"/>
            </w:tcBorders>
            <w:vAlign w:val="center"/>
          </w:tcPr>
          <w:p w:rsidR="008A2056" w:rsidRPr="00B75B77" w:rsidRDefault="008A2056" w:rsidP="00CA16D1">
            <w:pPr>
              <w:pStyle w:val="TableText"/>
              <w:spacing w:before="0"/>
              <w:jc w:val="center"/>
              <w:cnfStyle w:val="000000010000" w:firstRow="0" w:lastRow="0" w:firstColumn="0" w:lastColumn="0" w:oddVBand="0" w:evenVBand="0" w:oddHBand="0" w:evenHBand="1" w:firstRowFirstColumn="0" w:firstRowLastColumn="0" w:lastRowFirstColumn="0" w:lastRowLastColumn="0"/>
              <w:rPr>
                <w:b/>
              </w:rPr>
            </w:pPr>
            <w:r w:rsidRPr="00B75B77">
              <w:rPr>
                <w:b/>
              </w:rPr>
              <w:t>45,254</w:t>
            </w:r>
          </w:p>
        </w:tc>
        <w:tc>
          <w:tcPr>
            <w:tcW w:w="687" w:type="pct"/>
            <w:tcBorders>
              <w:top w:val="single" w:sz="4" w:space="0" w:color="448A99"/>
              <w:left w:val="single" w:sz="8" w:space="0" w:color="448A99"/>
              <w:bottom w:val="single" w:sz="8" w:space="0" w:color="448A99"/>
              <w:right w:val="single" w:sz="8" w:space="0" w:color="448A99"/>
            </w:tcBorders>
            <w:vAlign w:val="center"/>
          </w:tcPr>
          <w:p w:rsidR="008A2056" w:rsidRPr="00B75B77" w:rsidRDefault="008A2056" w:rsidP="00CA16D1">
            <w:pPr>
              <w:pStyle w:val="TableText"/>
              <w:spacing w:before="0"/>
              <w:jc w:val="center"/>
              <w:cnfStyle w:val="000000010000" w:firstRow="0" w:lastRow="0" w:firstColumn="0" w:lastColumn="0" w:oddVBand="0" w:evenVBand="0" w:oddHBand="0" w:evenHBand="1" w:firstRowFirstColumn="0" w:firstRowLastColumn="0" w:lastRowFirstColumn="0" w:lastRowLastColumn="0"/>
              <w:rPr>
                <w:b/>
              </w:rPr>
            </w:pPr>
            <w:r w:rsidRPr="00B75B77">
              <w:rPr>
                <w:b/>
              </w:rPr>
              <w:t>8.0</w:t>
            </w:r>
          </w:p>
        </w:tc>
        <w:tc>
          <w:tcPr>
            <w:tcW w:w="687" w:type="pct"/>
            <w:tcBorders>
              <w:top w:val="single" w:sz="4" w:space="0" w:color="448A99"/>
              <w:left w:val="single" w:sz="8" w:space="0" w:color="448A99"/>
              <w:bottom w:val="single" w:sz="8" w:space="0" w:color="448A99"/>
              <w:right w:val="single" w:sz="8" w:space="0" w:color="448A99"/>
            </w:tcBorders>
            <w:vAlign w:val="center"/>
          </w:tcPr>
          <w:p w:rsidR="008A2056" w:rsidRPr="00B75B77" w:rsidRDefault="008A2056" w:rsidP="00CA16D1">
            <w:pPr>
              <w:pStyle w:val="TableText"/>
              <w:spacing w:before="0"/>
              <w:jc w:val="center"/>
              <w:cnfStyle w:val="000000010000" w:firstRow="0" w:lastRow="0" w:firstColumn="0" w:lastColumn="0" w:oddVBand="0" w:evenVBand="0" w:oddHBand="0" w:evenHBand="1" w:firstRowFirstColumn="0" w:firstRowLastColumn="0" w:lastRowFirstColumn="0" w:lastRowLastColumn="0"/>
              <w:rPr>
                <w:b/>
              </w:rPr>
            </w:pPr>
            <w:r w:rsidRPr="00B75B77">
              <w:rPr>
                <w:b/>
              </w:rPr>
              <w:t>43,348</w:t>
            </w:r>
          </w:p>
        </w:tc>
        <w:tc>
          <w:tcPr>
            <w:tcW w:w="688" w:type="pct"/>
            <w:tcBorders>
              <w:top w:val="single" w:sz="4" w:space="0" w:color="448A99"/>
              <w:left w:val="single" w:sz="8" w:space="0" w:color="448A99"/>
              <w:bottom w:val="single" w:sz="8" w:space="0" w:color="448A99"/>
              <w:right w:val="single" w:sz="8" w:space="0" w:color="448A99"/>
            </w:tcBorders>
            <w:vAlign w:val="center"/>
          </w:tcPr>
          <w:p w:rsidR="008A2056" w:rsidRPr="00B75B77" w:rsidRDefault="008A2056" w:rsidP="00CA16D1">
            <w:pPr>
              <w:pStyle w:val="TableText"/>
              <w:spacing w:before="0"/>
              <w:jc w:val="center"/>
              <w:cnfStyle w:val="000000010000" w:firstRow="0" w:lastRow="0" w:firstColumn="0" w:lastColumn="0" w:oddVBand="0" w:evenVBand="0" w:oddHBand="0" w:evenHBand="1" w:firstRowFirstColumn="0" w:firstRowLastColumn="0" w:lastRowFirstColumn="0" w:lastRowLastColumn="0"/>
              <w:rPr>
                <w:b/>
              </w:rPr>
            </w:pPr>
            <w:r w:rsidRPr="00B75B77">
              <w:rPr>
                <w:b/>
              </w:rPr>
              <w:t>6.6</w:t>
            </w:r>
          </w:p>
        </w:tc>
        <w:tc>
          <w:tcPr>
            <w:tcW w:w="697" w:type="pct"/>
            <w:tcBorders>
              <w:top w:val="single" w:sz="4" w:space="0" w:color="448A99"/>
              <w:left w:val="single" w:sz="8" w:space="0" w:color="448A99"/>
              <w:bottom w:val="single" w:sz="8" w:space="0" w:color="448A99"/>
              <w:right w:val="single" w:sz="8" w:space="0" w:color="448A99"/>
            </w:tcBorders>
            <w:vAlign w:val="center"/>
          </w:tcPr>
          <w:p w:rsidR="008A2056" w:rsidRPr="00B75B77" w:rsidRDefault="008A2056" w:rsidP="00CA16D1">
            <w:pPr>
              <w:pStyle w:val="TableText"/>
              <w:spacing w:before="0"/>
              <w:jc w:val="center"/>
              <w:cnfStyle w:val="000000010000" w:firstRow="0" w:lastRow="0" w:firstColumn="0" w:lastColumn="0" w:oddVBand="0" w:evenVBand="0" w:oddHBand="0" w:evenHBand="1" w:firstRowFirstColumn="0" w:firstRowLastColumn="0" w:lastRowFirstColumn="0" w:lastRowLastColumn="0"/>
              <w:rPr>
                <w:b/>
              </w:rPr>
            </w:pPr>
            <w:r w:rsidRPr="00B75B77">
              <w:rPr>
                <w:b/>
              </w:rPr>
              <w:t>$5,102</w:t>
            </w:r>
          </w:p>
        </w:tc>
      </w:tr>
    </w:tbl>
    <w:p w:rsidR="008A2056" w:rsidRPr="00B75B77" w:rsidRDefault="008A2056" w:rsidP="00CA16D1">
      <w:pPr>
        <w:spacing w:before="20" w:after="20"/>
        <w:jc w:val="left"/>
        <w:rPr>
          <w:rFonts w:eastAsia="Times New Roman"/>
          <w:sz w:val="18"/>
          <w:szCs w:val="20"/>
        </w:rPr>
      </w:pPr>
      <w:r w:rsidRPr="00B75B77">
        <w:rPr>
          <w:rFonts w:ascii="Calibri" w:eastAsia="Times New Roman" w:hAnsi="Calibri"/>
          <w:color w:val="000000"/>
          <w:sz w:val="18"/>
          <w:szCs w:val="18"/>
          <w:vertAlign w:val="superscript"/>
        </w:rPr>
        <w:t>[1]</w:t>
      </w:r>
      <w:r w:rsidRPr="00B75B77">
        <w:rPr>
          <w:rFonts w:ascii="Calibri" w:eastAsia="Times New Roman" w:hAnsi="Calibri"/>
          <w:color w:val="000000"/>
          <w:sz w:val="18"/>
          <w:szCs w:val="18"/>
        </w:rPr>
        <w:t xml:space="preserve"> All customer sector totals are exclusive of each other and may be added together to get the Phase II totals.</w:t>
      </w:r>
      <w:r w:rsidRPr="00B75B77">
        <w:rPr>
          <w:rFonts w:ascii="Calibri" w:eastAsia="Times New Roman" w:hAnsi="Calibri"/>
          <w:color w:val="000000"/>
          <w:sz w:val="18"/>
          <w:szCs w:val="18"/>
        </w:rPr>
        <w:br/>
      </w:r>
      <w:r w:rsidRPr="00B75B77">
        <w:rPr>
          <w:rFonts w:ascii="Calibri" w:eastAsia="Times New Roman" w:hAnsi="Calibri"/>
          <w:color w:val="000000"/>
          <w:sz w:val="18"/>
          <w:szCs w:val="18"/>
          <w:vertAlign w:val="superscript"/>
        </w:rPr>
        <w:t>[2]</w:t>
      </w:r>
      <w:r w:rsidRPr="00B75B77">
        <w:rPr>
          <w:rFonts w:ascii="Calibri" w:eastAsia="Times New Roman" w:hAnsi="Calibri"/>
          <w:color w:val="000000"/>
          <w:sz w:val="18"/>
          <w:szCs w:val="18"/>
        </w:rPr>
        <w:t xml:space="preserve"> All reported and verified demand savings in this report include line losses as required.</w:t>
      </w:r>
      <w:r w:rsidRPr="00B75B77">
        <w:rPr>
          <w:rFonts w:ascii="Calibri" w:eastAsia="Times New Roman" w:hAnsi="Calibri"/>
          <w:color w:val="000000"/>
          <w:sz w:val="18"/>
          <w:szCs w:val="18"/>
        </w:rPr>
        <w:br/>
      </w:r>
      <w:r w:rsidRPr="00B75B77">
        <w:rPr>
          <w:rFonts w:ascii="Calibri" w:eastAsia="Times New Roman" w:hAnsi="Calibri"/>
          <w:iCs/>
          <w:color w:val="000000"/>
          <w:sz w:val="18"/>
          <w:szCs w:val="18"/>
        </w:rPr>
        <w:t>Note: Values in tables may not reconcile exactly with the sum of more detailed level results or previously reported results due to rounding.</w:t>
      </w:r>
    </w:p>
    <w:p w:rsidR="008A2056" w:rsidRPr="00B75B77" w:rsidRDefault="008A2056" w:rsidP="00CA16D1">
      <w:pPr>
        <w:pStyle w:val="Source"/>
        <w:spacing w:after="120"/>
        <w:ind w:left="0" w:firstLine="0"/>
      </w:pPr>
      <w:r w:rsidRPr="00B75B77">
        <w:t>Source: Navigant analysis</w:t>
      </w:r>
    </w:p>
    <w:p w:rsidR="008A2056" w:rsidRPr="00B75B77" w:rsidRDefault="008A2056" w:rsidP="00286B52">
      <w:pPr>
        <w:pStyle w:val="NormalSpacer"/>
      </w:pPr>
    </w:p>
    <w:p w:rsidR="008A2056" w:rsidRPr="00B75B77" w:rsidRDefault="008A2056" w:rsidP="00CA16D1">
      <w:pPr>
        <w:pStyle w:val="Heading3"/>
      </w:pPr>
      <w:bookmarkStart w:id="814" w:name="_Toc466413427"/>
      <w:r w:rsidRPr="00B75B77">
        <w:t>Gross Verified Savings Methodology</w:t>
      </w:r>
      <w:bookmarkEnd w:id="814"/>
      <w:r w:rsidRPr="00B75B77">
        <w:t xml:space="preserve"> </w:t>
      </w:r>
    </w:p>
    <w:p w:rsidR="008A2056" w:rsidRPr="00B75B77" w:rsidRDefault="008A2056" w:rsidP="00845869">
      <w:pPr>
        <w:autoSpaceDE w:val="0"/>
        <w:autoSpaceDN w:val="0"/>
        <w:adjustRightInd w:val="0"/>
        <w:jc w:val="left"/>
        <w:rPr>
          <w:rFonts w:ascii="Calibri" w:hAnsi="Calibri" w:cs="Calibri"/>
          <w:color w:val="231F20"/>
        </w:rPr>
      </w:pPr>
      <w:r w:rsidRPr="00B75B77">
        <w:rPr>
          <w:rFonts w:ascii="Calibri" w:hAnsi="Calibri" w:cs="Calibri"/>
          <w:color w:val="231F20"/>
        </w:rPr>
        <w:t>The gross impact evaluation consisted of a combination of desk reviews, telephone verifications, onsite</w:t>
      </w:r>
      <w:r w:rsidR="00845869" w:rsidRPr="00B75B77">
        <w:rPr>
          <w:rFonts w:ascii="Calibri" w:hAnsi="Calibri" w:cs="Calibri"/>
          <w:color w:val="231F20"/>
        </w:rPr>
        <w:t xml:space="preserve"> </w:t>
      </w:r>
      <w:r w:rsidR="0076594F" w:rsidRPr="00B75B77">
        <w:rPr>
          <w:rFonts w:ascii="Calibri" w:hAnsi="Calibri" w:cs="Calibri"/>
          <w:color w:val="231F20"/>
        </w:rPr>
        <w:t>v</w:t>
      </w:r>
      <w:r w:rsidRPr="00B75B77">
        <w:rPr>
          <w:rFonts w:ascii="Calibri" w:hAnsi="Calibri" w:cs="Calibri"/>
          <w:color w:val="231F20"/>
        </w:rPr>
        <w:t>erifications</w:t>
      </w:r>
      <w:r w:rsidR="004C67C0" w:rsidRPr="00B75B77">
        <w:rPr>
          <w:rFonts w:ascii="Calibri" w:hAnsi="Calibri" w:cs="Calibri"/>
          <w:color w:val="231F20"/>
        </w:rPr>
        <w:t>,</w:t>
      </w:r>
      <w:r w:rsidRPr="00B75B77">
        <w:rPr>
          <w:rFonts w:ascii="Calibri" w:hAnsi="Calibri" w:cs="Calibri"/>
          <w:color w:val="231F20"/>
        </w:rPr>
        <w:t xml:space="preserve"> and building energy models for a sample of projects. </w:t>
      </w:r>
    </w:p>
    <w:p w:rsidR="00845869" w:rsidRPr="00B75B77" w:rsidRDefault="00845869" w:rsidP="00845869">
      <w:pPr>
        <w:autoSpaceDE w:val="0"/>
        <w:autoSpaceDN w:val="0"/>
        <w:adjustRightInd w:val="0"/>
        <w:jc w:val="left"/>
      </w:pPr>
    </w:p>
    <w:p w:rsidR="008A2056" w:rsidRPr="00B75B77" w:rsidRDefault="008A2056" w:rsidP="009E08FB">
      <w:pPr>
        <w:pStyle w:val="ListParagraph"/>
        <w:numPr>
          <w:ilvl w:val="0"/>
          <w:numId w:val="64"/>
        </w:numPr>
        <w:spacing w:after="120"/>
        <w:contextualSpacing w:val="0"/>
        <w:jc w:val="left"/>
        <w:rPr>
          <w:rFonts w:ascii="Calibri" w:hAnsi="Calibri" w:cs="Calibri"/>
          <w:color w:val="231F20"/>
        </w:rPr>
      </w:pPr>
      <w:r w:rsidRPr="00B75B77">
        <w:rPr>
          <w:b/>
        </w:rPr>
        <w:t xml:space="preserve">Desk </w:t>
      </w:r>
      <w:r w:rsidR="004C67C0" w:rsidRPr="00B75B77">
        <w:rPr>
          <w:b/>
        </w:rPr>
        <w:t>r</w:t>
      </w:r>
      <w:r w:rsidRPr="00B75B77">
        <w:rPr>
          <w:b/>
        </w:rPr>
        <w:t xml:space="preserve">eview and </w:t>
      </w:r>
      <w:r w:rsidR="004C67C0" w:rsidRPr="00B75B77">
        <w:rPr>
          <w:b/>
        </w:rPr>
        <w:t>t</w:t>
      </w:r>
      <w:r w:rsidRPr="00B75B77">
        <w:rPr>
          <w:b/>
        </w:rPr>
        <w:t xml:space="preserve">elephone </w:t>
      </w:r>
      <w:r w:rsidR="004C67C0" w:rsidRPr="00B75B77">
        <w:rPr>
          <w:b/>
        </w:rPr>
        <w:t>v</w:t>
      </w:r>
      <w:r w:rsidRPr="00B75B77">
        <w:rPr>
          <w:b/>
        </w:rPr>
        <w:t>erification.</w:t>
      </w:r>
      <w:r w:rsidRPr="00B75B77">
        <w:t xml:space="preserve"> </w:t>
      </w:r>
      <w:r w:rsidRPr="00B75B77">
        <w:rPr>
          <w:rFonts w:ascii="Calibri" w:hAnsi="Calibri" w:cs="Calibri"/>
          <w:color w:val="231F20"/>
        </w:rPr>
        <w:t xml:space="preserve">Navigant conducted desk reviews for all projects in the evaluation sample. The desk reviews made use of project applications, project-specific analysis files and associated calculation sheets, measure invoices, measure specification sheets, construction plans, and other construction documents provided by PECO. Documentation included scanned files of hard copy forms, as well as electronic files of CSP inspection reports, photos of installed measures, important emails, and memoranda. For whole-building projects, PECO also provided the executable modeling files and related model output files. The evaluation team supplemented the desk reviews with telephone verification or onsite verification. The telephone verification consisted of interviewing customers about their projects, the quantities and type of each measure installed, the operating status of the measures, equipment nameplate data, operating schedules, a careful description of site conditions, and overall verification of the information contained in the project files. </w:t>
      </w:r>
    </w:p>
    <w:p w:rsidR="008A2056" w:rsidRPr="00B75B77" w:rsidRDefault="008A2056" w:rsidP="009E08FB">
      <w:pPr>
        <w:pStyle w:val="ListParagraph"/>
        <w:numPr>
          <w:ilvl w:val="0"/>
          <w:numId w:val="64"/>
        </w:numPr>
        <w:spacing w:after="120"/>
        <w:contextualSpacing w:val="0"/>
        <w:jc w:val="left"/>
        <w:rPr>
          <w:rFonts w:ascii="Calibri" w:hAnsi="Calibri" w:cs="Calibri"/>
          <w:color w:val="231F20"/>
        </w:rPr>
      </w:pPr>
      <w:r w:rsidRPr="00B75B77">
        <w:rPr>
          <w:b/>
        </w:rPr>
        <w:t xml:space="preserve">Desk </w:t>
      </w:r>
      <w:r w:rsidR="004C67C0" w:rsidRPr="00B75B77">
        <w:rPr>
          <w:b/>
        </w:rPr>
        <w:t>r</w:t>
      </w:r>
      <w:r w:rsidRPr="00B75B77">
        <w:rPr>
          <w:b/>
        </w:rPr>
        <w:t xml:space="preserve">eview and </w:t>
      </w:r>
      <w:r w:rsidR="004C67C0" w:rsidRPr="00B75B77">
        <w:rPr>
          <w:b/>
        </w:rPr>
        <w:t>ons</w:t>
      </w:r>
      <w:r w:rsidRPr="00B75B77">
        <w:rPr>
          <w:b/>
        </w:rPr>
        <w:t xml:space="preserve">ite M&amp;V. </w:t>
      </w:r>
      <w:r w:rsidRPr="00B75B77">
        <w:rPr>
          <w:rFonts w:ascii="Calibri" w:hAnsi="Calibri" w:cs="Calibri"/>
          <w:color w:val="231F20"/>
        </w:rPr>
        <w:t>Navigant conducted onsite verification for all projects in the Large and Large Whole</w:t>
      </w:r>
      <w:r w:rsidR="004C67C0" w:rsidRPr="00B75B77">
        <w:rPr>
          <w:rFonts w:ascii="Calibri" w:hAnsi="Calibri" w:cs="Calibri"/>
          <w:color w:val="231F20"/>
        </w:rPr>
        <w:t>-</w:t>
      </w:r>
      <w:r w:rsidRPr="00B75B77">
        <w:rPr>
          <w:rFonts w:ascii="Calibri" w:hAnsi="Calibri" w:cs="Calibri"/>
          <w:color w:val="231F20"/>
        </w:rPr>
        <w:t>Building sample strata. The team also conducted onsite verification for complex projects in the Small and Small Whole</w:t>
      </w:r>
      <w:r w:rsidR="004C67C0" w:rsidRPr="00B75B77">
        <w:rPr>
          <w:rFonts w:ascii="Calibri" w:hAnsi="Calibri" w:cs="Calibri"/>
          <w:color w:val="231F20"/>
        </w:rPr>
        <w:t>-</w:t>
      </w:r>
      <w:r w:rsidRPr="00B75B77">
        <w:rPr>
          <w:rFonts w:ascii="Calibri" w:hAnsi="Calibri" w:cs="Calibri"/>
          <w:color w:val="231F20"/>
        </w:rPr>
        <w:t>Building strata where project documentation was insufficient for verification via desk review or telephone interview. Large projects are those with reported annual savings of at least 250,000 kWh, while small</w:t>
      </w:r>
      <w:r w:rsidRPr="00B75B77">
        <w:rPr>
          <w:rFonts w:ascii="Calibri" w:hAnsi="Calibri" w:cs="Calibri"/>
          <w:i/>
          <w:color w:val="231F20"/>
        </w:rPr>
        <w:t xml:space="preserve"> </w:t>
      </w:r>
      <w:r w:rsidRPr="00B75B77">
        <w:rPr>
          <w:rFonts w:ascii="Calibri" w:hAnsi="Calibri" w:cs="Calibri"/>
          <w:color w:val="231F20"/>
        </w:rPr>
        <w:t xml:space="preserve">projects are those with reported annual savings values below 250,000 kWh. Navigant also conducted </w:t>
      </w:r>
      <w:r w:rsidR="00685BDE" w:rsidRPr="00B75B77">
        <w:rPr>
          <w:rFonts w:ascii="Calibri" w:hAnsi="Calibri" w:cs="Calibri"/>
          <w:color w:val="231F20"/>
        </w:rPr>
        <w:t>onsite</w:t>
      </w:r>
      <w:r w:rsidRPr="00B75B77">
        <w:rPr>
          <w:rFonts w:ascii="Calibri" w:hAnsi="Calibri" w:cs="Calibri"/>
          <w:color w:val="231F20"/>
        </w:rPr>
        <w:t xml:space="preserve"> verification for projects where the 2015 PA TRM</w:t>
      </w:r>
      <w:r w:rsidR="00AF5657" w:rsidRPr="00B75B77">
        <w:rPr>
          <w:rFonts w:ascii="Calibri" w:hAnsi="Calibri" w:cs="Calibri"/>
          <w:color w:val="231F20"/>
        </w:rPr>
        <w:t xml:space="preserve"> required</w:t>
      </w:r>
      <w:r w:rsidRPr="00B75B77">
        <w:rPr>
          <w:rFonts w:ascii="Calibri" w:hAnsi="Calibri" w:cs="Calibri"/>
          <w:color w:val="231F20"/>
        </w:rPr>
        <w:t xml:space="preserve"> a detailed inventory, such as lighting projects with demand savings greater than 20 kW. The primary objective of the site visits was to collect the data identified in the SSMVP</w:t>
      </w:r>
      <w:r w:rsidR="00FA45FF" w:rsidRPr="00B75B77">
        <w:rPr>
          <w:rFonts w:ascii="Calibri" w:hAnsi="Calibri" w:cs="Calibri"/>
          <w:color w:val="231F20"/>
        </w:rPr>
        <w:t>s</w:t>
      </w:r>
      <w:r w:rsidRPr="00B75B77">
        <w:rPr>
          <w:rFonts w:ascii="Calibri" w:hAnsi="Calibri" w:cs="Calibri"/>
          <w:color w:val="231F20"/>
        </w:rPr>
        <w:t xml:space="preserve">, including verification of installed measure quantities and type, equipment nameplate data, operating schedules, and a careful description of site conditions. </w:t>
      </w:r>
      <w:r w:rsidRPr="00B75B77">
        <w:rPr>
          <w:rFonts w:ascii="Calibri" w:hAnsi="Calibri" w:cs="Calibri"/>
          <w:color w:val="231F20"/>
        </w:rPr>
        <w:lastRenderedPageBreak/>
        <w:t xml:space="preserve">Navigant achieved the verification through visual inspection of the measures and by interviewing the customers. </w:t>
      </w:r>
      <w:r w:rsidRPr="00B75B77">
        <w:t xml:space="preserve">For projects that surpassed the expected kWh savings thresholds set in Table 1-2 of the 2015 PA TRM, </w:t>
      </w:r>
      <w:r w:rsidRPr="00B75B77">
        <w:rPr>
          <w:rFonts w:ascii="Calibri" w:hAnsi="Calibri" w:cs="Calibri"/>
          <w:color w:val="231F20"/>
        </w:rPr>
        <w:t xml:space="preserve">the evaluation team </w:t>
      </w:r>
      <w:r w:rsidR="00685BDE" w:rsidRPr="00B75B77">
        <w:rPr>
          <w:rFonts w:ascii="Calibri" w:hAnsi="Calibri" w:cs="Calibri"/>
          <w:color w:val="231F20"/>
        </w:rPr>
        <w:t>collected</w:t>
      </w:r>
      <w:r w:rsidRPr="00B75B77">
        <w:rPr>
          <w:rFonts w:ascii="Calibri" w:hAnsi="Calibri" w:cs="Calibri"/>
          <w:color w:val="231F20"/>
        </w:rPr>
        <w:t xml:space="preserve"> site-specific information for open variables used in the calculation of energy and demand savings. Site-specific information included end-use metered data and trend data from a building management system.</w:t>
      </w:r>
    </w:p>
    <w:p w:rsidR="00685BDE" w:rsidRPr="00B75B77" w:rsidRDefault="008A2056" w:rsidP="009E08FB">
      <w:pPr>
        <w:pStyle w:val="ListParagraph"/>
        <w:numPr>
          <w:ilvl w:val="0"/>
          <w:numId w:val="64"/>
        </w:numPr>
        <w:spacing w:after="120"/>
        <w:contextualSpacing w:val="0"/>
        <w:jc w:val="left"/>
        <w:rPr>
          <w:rFonts w:ascii="Calibri" w:hAnsi="Calibri" w:cs="Calibri"/>
          <w:color w:val="231F20"/>
        </w:rPr>
      </w:pPr>
      <w:r w:rsidRPr="00B75B77">
        <w:rPr>
          <w:b/>
        </w:rPr>
        <w:t>Whole-</w:t>
      </w:r>
      <w:r w:rsidR="004C67C0" w:rsidRPr="00B75B77">
        <w:rPr>
          <w:b/>
        </w:rPr>
        <w:t>b</w:t>
      </w:r>
      <w:r w:rsidRPr="00B75B77">
        <w:rPr>
          <w:b/>
        </w:rPr>
        <w:t xml:space="preserve">uilding </w:t>
      </w:r>
      <w:r w:rsidR="004C67C0" w:rsidRPr="00B75B77">
        <w:rPr>
          <w:b/>
        </w:rPr>
        <w:t>e</w:t>
      </w:r>
      <w:r w:rsidRPr="00B75B77">
        <w:rPr>
          <w:b/>
        </w:rPr>
        <w:t xml:space="preserve">nergy </w:t>
      </w:r>
      <w:r w:rsidR="004C67C0" w:rsidRPr="00B75B77">
        <w:rPr>
          <w:b/>
        </w:rPr>
        <w:t>m</w:t>
      </w:r>
      <w:r w:rsidRPr="00B75B77">
        <w:rPr>
          <w:b/>
        </w:rPr>
        <w:t xml:space="preserve">odeling. </w:t>
      </w:r>
      <w:r w:rsidRPr="00B75B77">
        <w:rPr>
          <w:rFonts w:ascii="Calibri" w:hAnsi="Calibri" w:cs="Calibri"/>
          <w:color w:val="231F20"/>
        </w:rPr>
        <w:t>Navigant verified the building models for all projects in the Small Whole</w:t>
      </w:r>
      <w:r w:rsidR="00685BDE" w:rsidRPr="00B75B77">
        <w:rPr>
          <w:rFonts w:ascii="Calibri" w:hAnsi="Calibri" w:cs="Calibri"/>
          <w:color w:val="231F20"/>
        </w:rPr>
        <w:t>-</w:t>
      </w:r>
      <w:r w:rsidRPr="00B75B77">
        <w:rPr>
          <w:rFonts w:ascii="Calibri" w:hAnsi="Calibri" w:cs="Calibri"/>
          <w:color w:val="231F20"/>
        </w:rPr>
        <w:t>Building and Large Whole</w:t>
      </w:r>
      <w:r w:rsidR="00685BDE" w:rsidRPr="00B75B77">
        <w:rPr>
          <w:rFonts w:ascii="Calibri" w:hAnsi="Calibri" w:cs="Calibri"/>
          <w:color w:val="231F20"/>
        </w:rPr>
        <w:t>-</w:t>
      </w:r>
      <w:r w:rsidRPr="00B75B77">
        <w:rPr>
          <w:rFonts w:ascii="Calibri" w:hAnsi="Calibri" w:cs="Calibri"/>
          <w:color w:val="231F20"/>
        </w:rPr>
        <w:t>Building strata. This analysis included comparing model inputs to verified parameters and making adjustments to modeled savings as needed. In all cases, PECO provided the executable modeling files and Navigant was able to directly adjust the original models.</w:t>
      </w:r>
    </w:p>
    <w:p w:rsidR="008A2056" w:rsidRPr="00B75B77" w:rsidRDefault="008A2056" w:rsidP="009E08FB">
      <w:pPr>
        <w:pStyle w:val="ListParagraph"/>
        <w:numPr>
          <w:ilvl w:val="0"/>
          <w:numId w:val="64"/>
        </w:numPr>
        <w:spacing w:after="120"/>
        <w:contextualSpacing w:val="0"/>
        <w:jc w:val="left"/>
        <w:rPr>
          <w:rFonts w:ascii="Calibri" w:hAnsi="Calibri" w:cs="Calibri"/>
          <w:color w:val="231F20"/>
        </w:rPr>
      </w:pPr>
      <w:r w:rsidRPr="00B75B77">
        <w:rPr>
          <w:b/>
        </w:rPr>
        <w:t>On</w:t>
      </w:r>
      <w:r w:rsidR="004C67C0" w:rsidRPr="00B75B77">
        <w:rPr>
          <w:b/>
        </w:rPr>
        <w:t>s</w:t>
      </w:r>
      <w:r w:rsidRPr="00B75B77">
        <w:rPr>
          <w:b/>
        </w:rPr>
        <w:t xml:space="preserve">ite </w:t>
      </w:r>
      <w:r w:rsidR="004C67C0" w:rsidRPr="00B75B77">
        <w:rPr>
          <w:b/>
        </w:rPr>
        <w:t>i</w:t>
      </w:r>
      <w:r w:rsidRPr="00B75B77">
        <w:rPr>
          <w:b/>
        </w:rPr>
        <w:t xml:space="preserve">nspections. </w:t>
      </w:r>
      <w:r w:rsidRPr="00B75B77">
        <w:rPr>
          <w:rFonts w:ascii="Calibri" w:hAnsi="Calibri" w:cs="Calibri"/>
          <w:color w:val="231F20"/>
        </w:rPr>
        <w:t xml:space="preserve">The evaluation team conducted </w:t>
      </w:r>
      <w:r w:rsidR="00685BDE" w:rsidRPr="00B75B77">
        <w:rPr>
          <w:rFonts w:ascii="Calibri" w:hAnsi="Calibri" w:cs="Calibri"/>
          <w:color w:val="231F20"/>
        </w:rPr>
        <w:t>onsite</w:t>
      </w:r>
      <w:r w:rsidRPr="00B75B77">
        <w:rPr>
          <w:rFonts w:ascii="Calibri" w:hAnsi="Calibri" w:cs="Calibri"/>
          <w:color w:val="231F20"/>
        </w:rPr>
        <w:t xml:space="preserve"> verification for a total of 20 projects in the PY7 evaluation sample. Of these projects, five were in the </w:t>
      </w:r>
      <w:proofErr w:type="gramStart"/>
      <w:r w:rsidRPr="00B75B77">
        <w:rPr>
          <w:rFonts w:ascii="Calibri" w:hAnsi="Calibri" w:cs="Calibri"/>
          <w:color w:val="231F20"/>
        </w:rPr>
        <w:t>Large</w:t>
      </w:r>
      <w:proofErr w:type="gramEnd"/>
      <w:r w:rsidRPr="00B75B77">
        <w:rPr>
          <w:rFonts w:ascii="Calibri" w:hAnsi="Calibri" w:cs="Calibri"/>
          <w:color w:val="231F20"/>
        </w:rPr>
        <w:t xml:space="preserve"> stratum, eight were in the Large Whole</w:t>
      </w:r>
      <w:r w:rsidR="00685BDE" w:rsidRPr="00B75B77">
        <w:rPr>
          <w:rFonts w:ascii="Calibri" w:hAnsi="Calibri" w:cs="Calibri"/>
          <w:color w:val="231F20"/>
        </w:rPr>
        <w:t>-</w:t>
      </w:r>
      <w:r w:rsidRPr="00B75B77">
        <w:rPr>
          <w:rFonts w:ascii="Calibri" w:hAnsi="Calibri" w:cs="Calibri"/>
          <w:color w:val="231F20"/>
        </w:rPr>
        <w:t>Building stratum, six were in the Small stratum</w:t>
      </w:r>
      <w:r w:rsidR="00685BDE" w:rsidRPr="00B75B77">
        <w:rPr>
          <w:rFonts w:ascii="Calibri" w:hAnsi="Calibri" w:cs="Calibri"/>
          <w:color w:val="231F20"/>
        </w:rPr>
        <w:t>,</w:t>
      </w:r>
      <w:r w:rsidRPr="00B75B77">
        <w:rPr>
          <w:rFonts w:ascii="Calibri" w:hAnsi="Calibri" w:cs="Calibri"/>
          <w:color w:val="231F20"/>
        </w:rPr>
        <w:t xml:space="preserve"> and one was in the Small Whole</w:t>
      </w:r>
      <w:r w:rsidR="00685BDE" w:rsidRPr="00B75B77">
        <w:rPr>
          <w:rFonts w:ascii="Calibri" w:hAnsi="Calibri" w:cs="Calibri"/>
          <w:color w:val="231F20"/>
        </w:rPr>
        <w:t>-</w:t>
      </w:r>
      <w:r w:rsidRPr="00B75B77">
        <w:rPr>
          <w:rFonts w:ascii="Calibri" w:hAnsi="Calibri" w:cs="Calibri"/>
          <w:color w:val="231F20"/>
        </w:rPr>
        <w:t xml:space="preserve">Building stratum. The </w:t>
      </w:r>
      <w:r w:rsidR="00685BDE" w:rsidRPr="00B75B77">
        <w:rPr>
          <w:rFonts w:ascii="Calibri" w:hAnsi="Calibri" w:cs="Calibri"/>
          <w:color w:val="231F20"/>
        </w:rPr>
        <w:t>onsite</w:t>
      </w:r>
      <w:r w:rsidRPr="00B75B77">
        <w:rPr>
          <w:rFonts w:ascii="Calibri" w:hAnsi="Calibri" w:cs="Calibri"/>
          <w:color w:val="231F20"/>
        </w:rPr>
        <w:t xml:space="preserve"> verification of these 20 projects aligns with the SCI </w:t>
      </w:r>
      <w:r w:rsidR="003E5592" w:rsidRPr="00B75B77">
        <w:rPr>
          <w:rFonts w:ascii="Calibri" w:hAnsi="Calibri" w:cs="Calibri"/>
          <w:color w:val="231F20"/>
        </w:rPr>
        <w:t>e</w:t>
      </w:r>
      <w:r w:rsidRPr="00B75B77">
        <w:rPr>
          <w:rFonts w:ascii="Calibri" w:hAnsi="Calibri" w:cs="Calibri"/>
          <w:color w:val="231F20"/>
        </w:rPr>
        <w:t xml:space="preserve">valuation </w:t>
      </w:r>
      <w:r w:rsidR="003E5592" w:rsidRPr="00B75B77">
        <w:rPr>
          <w:rFonts w:ascii="Calibri" w:hAnsi="Calibri" w:cs="Calibri"/>
          <w:color w:val="231F20"/>
        </w:rPr>
        <w:t>p</w:t>
      </w:r>
      <w:r w:rsidRPr="00B75B77">
        <w:rPr>
          <w:rFonts w:ascii="Calibri" w:hAnsi="Calibri" w:cs="Calibri"/>
          <w:color w:val="231F20"/>
        </w:rPr>
        <w:t>lan for Phase II,</w:t>
      </w:r>
      <w:r w:rsidRPr="00B75B77">
        <w:rPr>
          <w:rFonts w:ascii="Calibri" w:hAnsi="Calibri" w:cs="Calibri"/>
          <w:color w:val="231F20"/>
          <w:sz w:val="14"/>
          <w:szCs w:val="14"/>
        </w:rPr>
        <w:t xml:space="preserve"> </w:t>
      </w:r>
      <w:r w:rsidRPr="00B75B77">
        <w:rPr>
          <w:rFonts w:ascii="Calibri" w:hAnsi="Calibri" w:cs="Calibri"/>
          <w:color w:val="231F20"/>
        </w:rPr>
        <w:t xml:space="preserve">which states that Navigant will conduct </w:t>
      </w:r>
      <w:r w:rsidR="00685BDE" w:rsidRPr="00B75B77">
        <w:rPr>
          <w:rFonts w:ascii="Calibri" w:hAnsi="Calibri" w:cs="Calibri"/>
          <w:color w:val="231F20"/>
        </w:rPr>
        <w:t>onsite</w:t>
      </w:r>
      <w:r w:rsidRPr="00B75B77">
        <w:rPr>
          <w:rFonts w:ascii="Calibri" w:hAnsi="Calibri" w:cs="Calibri"/>
          <w:color w:val="231F20"/>
        </w:rPr>
        <w:t xml:space="preserve"> verification for all sampled projects in the top whole</w:t>
      </w:r>
      <w:r w:rsidR="00685BDE" w:rsidRPr="00B75B77">
        <w:rPr>
          <w:rFonts w:ascii="Calibri" w:hAnsi="Calibri" w:cs="Calibri"/>
          <w:color w:val="231F20"/>
        </w:rPr>
        <w:t>-</w:t>
      </w:r>
      <w:r w:rsidRPr="00B75B77">
        <w:rPr>
          <w:rFonts w:ascii="Calibri" w:hAnsi="Calibri" w:cs="Calibri"/>
          <w:color w:val="231F20"/>
        </w:rPr>
        <w:t>building strata (Large Whole</w:t>
      </w:r>
      <w:r w:rsidR="007518B7" w:rsidRPr="00B75B77">
        <w:rPr>
          <w:rFonts w:ascii="Calibri" w:hAnsi="Calibri" w:cs="Calibri"/>
          <w:color w:val="231F20"/>
        </w:rPr>
        <w:t>-</w:t>
      </w:r>
      <w:r w:rsidRPr="00B75B77">
        <w:rPr>
          <w:rFonts w:ascii="Calibri" w:hAnsi="Calibri" w:cs="Calibri"/>
          <w:color w:val="231F20"/>
        </w:rPr>
        <w:t>Building) and the top non-whole</w:t>
      </w:r>
      <w:r w:rsidR="00685BDE" w:rsidRPr="00B75B77">
        <w:rPr>
          <w:rFonts w:ascii="Calibri" w:hAnsi="Calibri" w:cs="Calibri"/>
          <w:color w:val="231F20"/>
        </w:rPr>
        <w:t>-</w:t>
      </w:r>
      <w:r w:rsidRPr="00B75B77">
        <w:rPr>
          <w:rFonts w:ascii="Calibri" w:hAnsi="Calibri" w:cs="Calibri"/>
          <w:color w:val="231F20"/>
        </w:rPr>
        <w:t xml:space="preserve">building strata (Large). In addition, the </w:t>
      </w:r>
      <w:r w:rsidR="003E5592" w:rsidRPr="00B75B77">
        <w:rPr>
          <w:rFonts w:ascii="Calibri" w:hAnsi="Calibri" w:cs="Calibri"/>
          <w:color w:val="231F20"/>
        </w:rPr>
        <w:t>e</w:t>
      </w:r>
      <w:r w:rsidRPr="00B75B77">
        <w:rPr>
          <w:rFonts w:ascii="Calibri" w:hAnsi="Calibri" w:cs="Calibri"/>
          <w:color w:val="231F20"/>
        </w:rPr>
        <w:t xml:space="preserve">valuation </w:t>
      </w:r>
      <w:r w:rsidR="003E5592" w:rsidRPr="00B75B77">
        <w:rPr>
          <w:rFonts w:ascii="Calibri" w:hAnsi="Calibri" w:cs="Calibri"/>
          <w:color w:val="231F20"/>
        </w:rPr>
        <w:t>p</w:t>
      </w:r>
      <w:r w:rsidRPr="00B75B77">
        <w:rPr>
          <w:rFonts w:ascii="Calibri" w:hAnsi="Calibri" w:cs="Calibri"/>
          <w:color w:val="231F20"/>
        </w:rPr>
        <w:t xml:space="preserve">lan states that Navigant may support verification by gathering supplemental information or performing </w:t>
      </w:r>
      <w:r w:rsidR="00685BDE" w:rsidRPr="00B75B77">
        <w:rPr>
          <w:rFonts w:ascii="Calibri" w:hAnsi="Calibri" w:cs="Calibri"/>
          <w:color w:val="231F20"/>
        </w:rPr>
        <w:t>onsite</w:t>
      </w:r>
      <w:r w:rsidRPr="00B75B77">
        <w:rPr>
          <w:rFonts w:ascii="Calibri" w:hAnsi="Calibri" w:cs="Calibri"/>
          <w:color w:val="231F20"/>
        </w:rPr>
        <w:t xml:space="preserve"> verification for other whole</w:t>
      </w:r>
      <w:r w:rsidR="007518B7" w:rsidRPr="00B75B77">
        <w:rPr>
          <w:rFonts w:ascii="Calibri" w:hAnsi="Calibri" w:cs="Calibri"/>
          <w:color w:val="231F20"/>
        </w:rPr>
        <w:t>-</w:t>
      </w:r>
      <w:r w:rsidRPr="00B75B77">
        <w:rPr>
          <w:rFonts w:ascii="Calibri" w:hAnsi="Calibri" w:cs="Calibri"/>
          <w:color w:val="231F20"/>
        </w:rPr>
        <w:t>building projects (Small Whole</w:t>
      </w:r>
      <w:r w:rsidR="007518B7" w:rsidRPr="00B75B77">
        <w:rPr>
          <w:rFonts w:ascii="Calibri" w:hAnsi="Calibri" w:cs="Calibri"/>
          <w:color w:val="231F20"/>
        </w:rPr>
        <w:t>-</w:t>
      </w:r>
      <w:r w:rsidRPr="00B75B77">
        <w:rPr>
          <w:rFonts w:ascii="Calibri" w:hAnsi="Calibri" w:cs="Calibri"/>
          <w:color w:val="231F20"/>
        </w:rPr>
        <w:t>Building stratum) and projects for which project files are unclear (Small Whole</w:t>
      </w:r>
      <w:r w:rsidR="007518B7" w:rsidRPr="00B75B77">
        <w:rPr>
          <w:rFonts w:ascii="Calibri" w:hAnsi="Calibri" w:cs="Calibri"/>
          <w:color w:val="231F20"/>
        </w:rPr>
        <w:t>-</w:t>
      </w:r>
      <w:r w:rsidRPr="00B75B77">
        <w:rPr>
          <w:rFonts w:ascii="Calibri" w:hAnsi="Calibri" w:cs="Calibri"/>
          <w:color w:val="231F20"/>
        </w:rPr>
        <w:t>Building and Small strata).</w:t>
      </w:r>
    </w:p>
    <w:p w:rsidR="008A2056" w:rsidRPr="00B75B77" w:rsidRDefault="008A2056" w:rsidP="00CA16D1">
      <w:pPr>
        <w:autoSpaceDE w:val="0"/>
        <w:autoSpaceDN w:val="0"/>
        <w:adjustRightInd w:val="0"/>
        <w:jc w:val="left"/>
      </w:pPr>
    </w:p>
    <w:p w:rsidR="00151466" w:rsidRPr="00B75B77" w:rsidRDefault="008A2056" w:rsidP="00751A38">
      <w:pPr>
        <w:rPr>
          <w:rFonts w:ascii="Calibri" w:hAnsi="Calibri" w:cs="Calibri"/>
          <w:color w:val="231F20"/>
        </w:rPr>
      </w:pPr>
      <w:r w:rsidRPr="00B75B77">
        <w:rPr>
          <w:rFonts w:ascii="Calibri" w:hAnsi="Calibri" w:cs="Calibri"/>
          <w:color w:val="231F20"/>
        </w:rPr>
        <w:t>Navigant selected a sample of projects for the impact evaluation by following a dynamic sampling methodology executed on a batch-wise basis. This approach used a stratified random sample of projects from the population of program participants in the PY7 tracking database. The evaluation team conducted sampling activities after Q2, Q3</w:t>
      </w:r>
      <w:r w:rsidR="007518B7" w:rsidRPr="00B75B77">
        <w:rPr>
          <w:rFonts w:ascii="Calibri" w:hAnsi="Calibri" w:cs="Calibri"/>
          <w:color w:val="231F20"/>
        </w:rPr>
        <w:t>,</w:t>
      </w:r>
      <w:r w:rsidRPr="00B75B77">
        <w:rPr>
          <w:rFonts w:ascii="Calibri" w:hAnsi="Calibri" w:cs="Calibri"/>
          <w:color w:val="231F20"/>
        </w:rPr>
        <w:t xml:space="preserve"> and Q4. The sample design targeted program-level confidence and precision of 85/15 (two-tailed) based on the kWh savings for measures incented by the SCI program and reported in PY7. The original sampling strategy used in PY7 is presented in </w:t>
      </w:r>
      <w:r w:rsidR="007518B7" w:rsidRPr="00B75B77">
        <w:rPr>
          <w:rFonts w:ascii="Calibri" w:hAnsi="Calibri" w:cs="Calibri"/>
          <w:color w:val="231F20"/>
        </w:rPr>
        <w:fldChar w:fldCharType="begin"/>
      </w:r>
      <w:r w:rsidR="007518B7" w:rsidRPr="00B75B77">
        <w:rPr>
          <w:rFonts w:ascii="Calibri" w:hAnsi="Calibri" w:cs="Calibri"/>
          <w:color w:val="231F20"/>
        </w:rPr>
        <w:instrText xml:space="preserve"> REF _Ref464129874 \h </w:instrText>
      </w:r>
      <w:r w:rsidR="00B75B77">
        <w:rPr>
          <w:rFonts w:ascii="Calibri" w:hAnsi="Calibri" w:cs="Calibri"/>
          <w:color w:val="231F20"/>
        </w:rPr>
        <w:instrText xml:space="preserve"> \* MERGEFORMAT </w:instrText>
      </w:r>
      <w:r w:rsidR="007518B7" w:rsidRPr="00B75B77">
        <w:rPr>
          <w:rFonts w:ascii="Calibri" w:hAnsi="Calibri" w:cs="Calibri"/>
          <w:color w:val="231F20"/>
        </w:rPr>
      </w:r>
      <w:r w:rsidR="007518B7" w:rsidRPr="00B75B77">
        <w:rPr>
          <w:rFonts w:ascii="Calibri" w:hAnsi="Calibri" w:cs="Calibri"/>
          <w:color w:val="231F20"/>
        </w:rPr>
        <w:fldChar w:fldCharType="separate"/>
      </w:r>
      <w:r w:rsidR="0004016D" w:rsidRPr="00B75B77">
        <w:t xml:space="preserve">Table </w:t>
      </w:r>
      <w:r w:rsidR="0004016D">
        <w:rPr>
          <w:noProof/>
        </w:rPr>
        <w:t>13</w:t>
      </w:r>
      <w:r w:rsidR="0004016D" w:rsidRPr="00B75B77">
        <w:rPr>
          <w:noProof/>
        </w:rPr>
        <w:noBreakHyphen/>
      </w:r>
      <w:r w:rsidR="0004016D">
        <w:rPr>
          <w:noProof/>
        </w:rPr>
        <w:t>2</w:t>
      </w:r>
      <w:r w:rsidR="007518B7" w:rsidRPr="00B75B77">
        <w:rPr>
          <w:rFonts w:ascii="Calibri" w:hAnsi="Calibri" w:cs="Calibri"/>
          <w:color w:val="231F20"/>
        </w:rPr>
        <w:fldChar w:fldCharType="end"/>
      </w:r>
      <w:r w:rsidR="00151466" w:rsidRPr="00B75B77">
        <w:rPr>
          <w:rFonts w:ascii="Calibri" w:hAnsi="Calibri" w:cs="Calibri"/>
          <w:color w:val="231F20"/>
        </w:rPr>
        <w:t>.</w:t>
      </w:r>
    </w:p>
    <w:p w:rsidR="008A2056" w:rsidRPr="00B75B77" w:rsidRDefault="008A2056" w:rsidP="00CA16D1"/>
    <w:p w:rsidR="008A2056" w:rsidRPr="00B75B77" w:rsidRDefault="008A2056" w:rsidP="00CA16D1">
      <w:pPr>
        <w:pStyle w:val="Caption"/>
      </w:pPr>
      <w:bookmarkStart w:id="815" w:name="_Ref464129874"/>
      <w:bookmarkStart w:id="816" w:name="_Toc466413609"/>
      <w:r w:rsidRPr="00B75B77">
        <w:t xml:space="preserve">Table </w:t>
      </w:r>
      <w:fldSimple w:instr=" STYLEREF 1 \s ">
        <w:r w:rsidR="0004016D">
          <w:rPr>
            <w:noProof/>
          </w:rPr>
          <w:t>13</w:t>
        </w:r>
      </w:fldSimple>
      <w:r w:rsidR="00F1144C" w:rsidRPr="00B75B77">
        <w:noBreakHyphen/>
      </w:r>
      <w:fldSimple w:instr=" SEQ Table \* ARABIC \s 1 ">
        <w:r w:rsidR="0004016D">
          <w:rPr>
            <w:noProof/>
          </w:rPr>
          <w:t>2</w:t>
        </w:r>
      </w:fldSimple>
      <w:bookmarkEnd w:id="815"/>
      <w:r w:rsidRPr="00B75B77">
        <w:t>: Smart Construction Incentives Original Sampling Strategy for PY7</w:t>
      </w:r>
      <w:bookmarkEnd w:id="816"/>
    </w:p>
    <w:tbl>
      <w:tblPr>
        <w:tblStyle w:val="MediumShading1-Accent5"/>
        <w:tblW w:w="5000" w:type="pct"/>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1733"/>
        <w:gridCol w:w="1406"/>
        <w:gridCol w:w="1331"/>
        <w:gridCol w:w="891"/>
        <w:gridCol w:w="927"/>
        <w:gridCol w:w="3288"/>
      </w:tblGrid>
      <w:tr w:rsidR="008A2056" w:rsidRPr="00B75B77" w:rsidTr="00CA16D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8A99"/>
            <w:vAlign w:val="center"/>
          </w:tcPr>
          <w:p w:rsidR="008A2056" w:rsidRPr="00B75B77" w:rsidRDefault="008A2056" w:rsidP="00CA16D1">
            <w:pPr>
              <w:pStyle w:val="TableHeader"/>
              <w:jc w:val="left"/>
              <w:rPr>
                <w:b/>
                <w:color w:val="FFFFFF" w:themeColor="background1"/>
              </w:rPr>
            </w:pPr>
            <w:r w:rsidRPr="00B75B77">
              <w:rPr>
                <w:b/>
                <w:color w:val="FFFFFF" w:themeColor="background1"/>
              </w:rPr>
              <w:t>Stratum</w:t>
            </w:r>
          </w:p>
        </w:tc>
        <w:tc>
          <w:tcPr>
            <w:tcW w:w="73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8A99"/>
            <w:vAlign w:val="center"/>
          </w:tcPr>
          <w:p w:rsidR="008A2056" w:rsidRPr="00B75B77" w:rsidRDefault="008A2056" w:rsidP="00CA16D1">
            <w:pPr>
              <w:pStyle w:val="TableHead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Population Size</w:t>
            </w:r>
          </w:p>
        </w:tc>
        <w:tc>
          <w:tcPr>
            <w:tcW w:w="69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8A99"/>
            <w:vAlign w:val="center"/>
          </w:tcPr>
          <w:p w:rsidR="008A2056" w:rsidRPr="00B75B77" w:rsidRDefault="008A2056" w:rsidP="00CA16D1">
            <w:pPr>
              <w:pStyle w:val="TableHead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 xml:space="preserve">Target Levels of Confidence </w:t>
            </w:r>
            <w:r w:rsidR="004170FC" w:rsidRPr="00B75B77">
              <w:rPr>
                <w:b/>
                <w:color w:val="FFFFFF" w:themeColor="background1"/>
              </w:rPr>
              <w:t>and</w:t>
            </w:r>
            <w:r w:rsidRPr="00B75B77">
              <w:rPr>
                <w:b/>
                <w:color w:val="FFFFFF" w:themeColor="background1"/>
              </w:rPr>
              <w:t xml:space="preserve"> Precision</w:t>
            </w:r>
          </w:p>
        </w:tc>
        <w:tc>
          <w:tcPr>
            <w:tcW w:w="46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8A99"/>
            <w:vAlign w:val="center"/>
          </w:tcPr>
          <w:p w:rsidR="008A2056" w:rsidRPr="00B75B77" w:rsidRDefault="008A2056" w:rsidP="00CA16D1">
            <w:pPr>
              <w:pStyle w:val="TableHead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Target Sample Size</w:t>
            </w:r>
          </w:p>
        </w:tc>
        <w:tc>
          <w:tcPr>
            <w:tcW w:w="48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8A99"/>
            <w:vAlign w:val="center"/>
          </w:tcPr>
          <w:p w:rsidR="008A2056" w:rsidRPr="00B75B77" w:rsidRDefault="008A2056" w:rsidP="00CA16D1">
            <w:pPr>
              <w:pStyle w:val="TableHead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Achieved Sample Size</w:t>
            </w:r>
          </w:p>
        </w:tc>
        <w:tc>
          <w:tcPr>
            <w:tcW w:w="171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8A99"/>
            <w:vAlign w:val="center"/>
          </w:tcPr>
          <w:p w:rsidR="008A2056" w:rsidRPr="00B75B77" w:rsidRDefault="008A2056" w:rsidP="007518B7">
            <w:pPr>
              <w:pStyle w:val="TableHeader"/>
              <w:jc w:val="left"/>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Evaluation Activity</w:t>
            </w:r>
          </w:p>
        </w:tc>
      </w:tr>
      <w:tr w:rsidR="008A2056" w:rsidRPr="00B75B77" w:rsidTr="00CA16D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05" w:type="pct"/>
            <w:tcBorders>
              <w:top w:val="single" w:sz="8" w:space="0" w:color="000000" w:themeColor="text1"/>
              <w:bottom w:val="single" w:sz="8" w:space="0" w:color="448A99"/>
              <w:right w:val="single" w:sz="8" w:space="0" w:color="448A99"/>
            </w:tcBorders>
            <w:shd w:val="clear" w:color="auto" w:fill="D2EAF1"/>
            <w:vAlign w:val="center"/>
          </w:tcPr>
          <w:p w:rsidR="008A2056" w:rsidRPr="00B75B77" w:rsidRDefault="008A2056" w:rsidP="00CA16D1">
            <w:pPr>
              <w:pStyle w:val="TableText"/>
              <w:rPr>
                <w:b w:val="0"/>
              </w:rPr>
            </w:pPr>
            <w:r w:rsidRPr="00B75B77">
              <w:rPr>
                <w:b w:val="0"/>
              </w:rPr>
              <w:t>Large</w:t>
            </w:r>
          </w:p>
        </w:tc>
        <w:tc>
          <w:tcPr>
            <w:tcW w:w="734" w:type="pct"/>
            <w:tcBorders>
              <w:top w:val="single" w:sz="8" w:space="0" w:color="000000" w:themeColor="text1"/>
              <w:left w:val="single" w:sz="8" w:space="0" w:color="448A99"/>
              <w:bottom w:val="single" w:sz="8" w:space="0" w:color="448A99"/>
              <w:right w:val="single" w:sz="8" w:space="0" w:color="448A99"/>
            </w:tcBorders>
            <w:shd w:val="clear" w:color="auto" w:fill="D2EAF1"/>
            <w:vAlign w:val="center"/>
          </w:tcPr>
          <w:p w:rsidR="008A2056" w:rsidRPr="00B75B77" w:rsidRDefault="008A2056" w:rsidP="00CA16D1">
            <w:pPr>
              <w:pStyle w:val="TableText"/>
              <w:jc w:val="center"/>
              <w:cnfStyle w:val="000000100000" w:firstRow="0" w:lastRow="0" w:firstColumn="0" w:lastColumn="0" w:oddVBand="0" w:evenVBand="0" w:oddHBand="1" w:evenHBand="0" w:firstRowFirstColumn="0" w:firstRowLastColumn="0" w:lastRowFirstColumn="0" w:lastRowLastColumn="0"/>
            </w:pPr>
            <w:r w:rsidRPr="00B75B77">
              <w:t>26</w:t>
            </w:r>
          </w:p>
        </w:tc>
        <w:tc>
          <w:tcPr>
            <w:tcW w:w="695" w:type="pct"/>
            <w:tcBorders>
              <w:top w:val="single" w:sz="8" w:space="0" w:color="000000" w:themeColor="text1"/>
              <w:left w:val="single" w:sz="8" w:space="0" w:color="448A99"/>
              <w:bottom w:val="single" w:sz="8" w:space="0" w:color="448A99"/>
              <w:right w:val="single" w:sz="8" w:space="0" w:color="448A99"/>
            </w:tcBorders>
            <w:shd w:val="clear" w:color="auto" w:fill="D2EAF1"/>
            <w:vAlign w:val="center"/>
          </w:tcPr>
          <w:p w:rsidR="008A2056" w:rsidRPr="00B75B77" w:rsidRDefault="008A2056" w:rsidP="00CA16D1">
            <w:pPr>
              <w:pStyle w:val="TableText"/>
              <w:jc w:val="center"/>
              <w:cnfStyle w:val="000000100000" w:firstRow="0" w:lastRow="0" w:firstColumn="0" w:lastColumn="0" w:oddVBand="0" w:evenVBand="0" w:oddHBand="1" w:evenHBand="0" w:firstRowFirstColumn="0" w:firstRowLastColumn="0" w:lastRowFirstColumn="0" w:lastRowLastColumn="0"/>
            </w:pPr>
            <w:r w:rsidRPr="00B75B77">
              <w:t>85/15</w:t>
            </w:r>
          </w:p>
        </w:tc>
        <w:tc>
          <w:tcPr>
            <w:tcW w:w="465" w:type="pct"/>
            <w:tcBorders>
              <w:top w:val="single" w:sz="8" w:space="0" w:color="000000" w:themeColor="text1"/>
              <w:left w:val="single" w:sz="8" w:space="0" w:color="448A99"/>
              <w:bottom w:val="single" w:sz="8" w:space="0" w:color="448A99"/>
              <w:right w:val="single" w:sz="8" w:space="0" w:color="448A99"/>
            </w:tcBorders>
            <w:shd w:val="clear" w:color="auto" w:fill="D2EAF1"/>
            <w:vAlign w:val="center"/>
          </w:tcPr>
          <w:p w:rsidR="008A2056" w:rsidRPr="00B75B77" w:rsidRDefault="008A2056" w:rsidP="00CA16D1">
            <w:pPr>
              <w:pStyle w:val="TableText"/>
              <w:jc w:val="center"/>
              <w:cnfStyle w:val="000000100000" w:firstRow="0" w:lastRow="0" w:firstColumn="0" w:lastColumn="0" w:oddVBand="0" w:evenVBand="0" w:oddHBand="1" w:evenHBand="0" w:firstRowFirstColumn="0" w:firstRowLastColumn="0" w:lastRowFirstColumn="0" w:lastRowLastColumn="0"/>
            </w:pPr>
            <w:r w:rsidRPr="00B75B77">
              <w:t>11</w:t>
            </w:r>
          </w:p>
        </w:tc>
        <w:tc>
          <w:tcPr>
            <w:tcW w:w="484" w:type="pct"/>
            <w:tcBorders>
              <w:top w:val="single" w:sz="8" w:space="0" w:color="000000" w:themeColor="text1"/>
              <w:left w:val="single" w:sz="8" w:space="0" w:color="448A99"/>
              <w:bottom w:val="single" w:sz="8" w:space="0" w:color="448A99"/>
              <w:right w:val="single" w:sz="8" w:space="0" w:color="448A99"/>
            </w:tcBorders>
            <w:shd w:val="clear" w:color="auto" w:fill="D2EAF1"/>
            <w:vAlign w:val="center"/>
          </w:tcPr>
          <w:p w:rsidR="008A2056" w:rsidRPr="00B75B77" w:rsidRDefault="008A2056" w:rsidP="00CA16D1">
            <w:pPr>
              <w:pStyle w:val="TableText"/>
              <w:jc w:val="center"/>
              <w:cnfStyle w:val="000000100000" w:firstRow="0" w:lastRow="0" w:firstColumn="0" w:lastColumn="0" w:oddVBand="0" w:evenVBand="0" w:oddHBand="1" w:evenHBand="0" w:firstRowFirstColumn="0" w:firstRowLastColumn="0" w:lastRowFirstColumn="0" w:lastRowLastColumn="0"/>
            </w:pPr>
            <w:r w:rsidRPr="00B75B77">
              <w:t>10</w:t>
            </w:r>
          </w:p>
        </w:tc>
        <w:tc>
          <w:tcPr>
            <w:tcW w:w="1717" w:type="pct"/>
            <w:tcBorders>
              <w:top w:val="single" w:sz="8" w:space="0" w:color="000000" w:themeColor="text1"/>
              <w:left w:val="single" w:sz="8" w:space="0" w:color="448A99"/>
              <w:bottom w:val="single" w:sz="8" w:space="0" w:color="448A99"/>
            </w:tcBorders>
            <w:shd w:val="clear" w:color="auto" w:fill="D2EAF1"/>
            <w:vAlign w:val="center"/>
          </w:tcPr>
          <w:p w:rsidR="008A2056" w:rsidRPr="00B75B77" w:rsidRDefault="008A2056" w:rsidP="007518B7">
            <w:pPr>
              <w:pStyle w:val="TableText"/>
              <w:cnfStyle w:val="000000100000" w:firstRow="0" w:lastRow="0" w:firstColumn="0" w:lastColumn="0" w:oddVBand="0" w:evenVBand="0" w:oddHBand="1" w:evenHBand="0" w:firstRowFirstColumn="0" w:firstRowLastColumn="0" w:lastRowFirstColumn="0" w:lastRowLastColumn="0"/>
            </w:pPr>
            <w:r w:rsidRPr="00B75B77">
              <w:t xml:space="preserve">Desk </w:t>
            </w:r>
            <w:r w:rsidR="007518B7" w:rsidRPr="00B75B77">
              <w:t>r</w:t>
            </w:r>
            <w:r w:rsidRPr="00B75B77">
              <w:t xml:space="preserve">eview and </w:t>
            </w:r>
            <w:r w:rsidR="007518B7" w:rsidRPr="00B75B77">
              <w:t>o</w:t>
            </w:r>
            <w:r w:rsidR="00685BDE" w:rsidRPr="00B75B77">
              <w:t>nsite</w:t>
            </w:r>
            <w:r w:rsidRPr="00B75B77">
              <w:t xml:space="preserve"> M&amp;V</w:t>
            </w:r>
          </w:p>
        </w:tc>
      </w:tr>
      <w:tr w:rsidR="008A2056" w:rsidRPr="00B75B77" w:rsidTr="00CA16D1">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05" w:type="pct"/>
            <w:tcBorders>
              <w:top w:val="single" w:sz="8" w:space="0" w:color="448A99"/>
              <w:bottom w:val="single" w:sz="8" w:space="0" w:color="448A99"/>
              <w:right w:val="single" w:sz="8" w:space="0" w:color="448A99"/>
            </w:tcBorders>
            <w:shd w:val="clear" w:color="auto" w:fill="auto"/>
            <w:vAlign w:val="center"/>
          </w:tcPr>
          <w:p w:rsidR="008A2056" w:rsidRPr="00B75B77" w:rsidRDefault="008A2056" w:rsidP="00CA16D1">
            <w:pPr>
              <w:pStyle w:val="TableText"/>
              <w:rPr>
                <w:b w:val="0"/>
              </w:rPr>
            </w:pPr>
            <w:r w:rsidRPr="00B75B77">
              <w:rPr>
                <w:b w:val="0"/>
              </w:rPr>
              <w:t>Small</w:t>
            </w:r>
          </w:p>
        </w:tc>
        <w:tc>
          <w:tcPr>
            <w:tcW w:w="734" w:type="pct"/>
            <w:tcBorders>
              <w:top w:val="single" w:sz="8" w:space="0" w:color="448A99"/>
              <w:left w:val="single" w:sz="8" w:space="0" w:color="448A99"/>
              <w:bottom w:val="single" w:sz="8" w:space="0" w:color="448A99"/>
              <w:right w:val="single" w:sz="8" w:space="0" w:color="448A99"/>
            </w:tcBorders>
            <w:vAlign w:val="center"/>
          </w:tcPr>
          <w:p w:rsidR="008A2056" w:rsidRPr="00B75B77" w:rsidRDefault="008A2056" w:rsidP="00CA16D1">
            <w:pPr>
              <w:pStyle w:val="TableText"/>
              <w:jc w:val="center"/>
              <w:cnfStyle w:val="000000010000" w:firstRow="0" w:lastRow="0" w:firstColumn="0" w:lastColumn="0" w:oddVBand="0" w:evenVBand="0" w:oddHBand="0" w:evenHBand="1" w:firstRowFirstColumn="0" w:firstRowLastColumn="0" w:lastRowFirstColumn="0" w:lastRowLastColumn="0"/>
            </w:pPr>
            <w:r w:rsidRPr="00B75B77">
              <w:t>142</w:t>
            </w:r>
          </w:p>
        </w:tc>
        <w:tc>
          <w:tcPr>
            <w:tcW w:w="695" w:type="pct"/>
            <w:tcBorders>
              <w:top w:val="single" w:sz="8" w:space="0" w:color="448A99"/>
              <w:left w:val="single" w:sz="8" w:space="0" w:color="448A99"/>
              <w:bottom w:val="single" w:sz="8" w:space="0" w:color="448A99"/>
              <w:right w:val="single" w:sz="8" w:space="0" w:color="448A99"/>
            </w:tcBorders>
            <w:vAlign w:val="center"/>
          </w:tcPr>
          <w:p w:rsidR="008A2056" w:rsidRPr="00B75B77" w:rsidRDefault="008A2056" w:rsidP="00CA16D1">
            <w:pPr>
              <w:pStyle w:val="TableText"/>
              <w:jc w:val="center"/>
              <w:cnfStyle w:val="000000010000" w:firstRow="0" w:lastRow="0" w:firstColumn="0" w:lastColumn="0" w:oddVBand="0" w:evenVBand="0" w:oddHBand="0" w:evenHBand="1" w:firstRowFirstColumn="0" w:firstRowLastColumn="0" w:lastRowFirstColumn="0" w:lastRowLastColumn="0"/>
            </w:pPr>
            <w:r w:rsidRPr="00B75B77">
              <w:t>85/15</w:t>
            </w:r>
          </w:p>
        </w:tc>
        <w:tc>
          <w:tcPr>
            <w:tcW w:w="465" w:type="pct"/>
            <w:tcBorders>
              <w:top w:val="single" w:sz="8" w:space="0" w:color="448A99"/>
              <w:left w:val="single" w:sz="8" w:space="0" w:color="448A99"/>
              <w:bottom w:val="single" w:sz="8" w:space="0" w:color="448A99"/>
              <w:right w:val="single" w:sz="8" w:space="0" w:color="448A99"/>
            </w:tcBorders>
            <w:vAlign w:val="center"/>
          </w:tcPr>
          <w:p w:rsidR="008A2056" w:rsidRPr="00B75B77" w:rsidRDefault="008A2056" w:rsidP="00CA16D1">
            <w:pPr>
              <w:pStyle w:val="TableText"/>
              <w:jc w:val="center"/>
              <w:cnfStyle w:val="000000010000" w:firstRow="0" w:lastRow="0" w:firstColumn="0" w:lastColumn="0" w:oddVBand="0" w:evenVBand="0" w:oddHBand="0" w:evenHBand="1" w:firstRowFirstColumn="0" w:firstRowLastColumn="0" w:lastRowFirstColumn="0" w:lastRowLastColumn="0"/>
            </w:pPr>
            <w:r w:rsidRPr="00B75B77">
              <w:t>13</w:t>
            </w:r>
          </w:p>
        </w:tc>
        <w:tc>
          <w:tcPr>
            <w:tcW w:w="484" w:type="pct"/>
            <w:tcBorders>
              <w:top w:val="single" w:sz="8" w:space="0" w:color="448A99"/>
              <w:left w:val="single" w:sz="8" w:space="0" w:color="448A99"/>
              <w:bottom w:val="single" w:sz="8" w:space="0" w:color="448A99"/>
              <w:right w:val="single" w:sz="8" w:space="0" w:color="448A99"/>
            </w:tcBorders>
            <w:shd w:val="clear" w:color="auto" w:fill="auto"/>
            <w:vAlign w:val="center"/>
          </w:tcPr>
          <w:p w:rsidR="008A2056" w:rsidRPr="00B75B77" w:rsidRDefault="008A2056" w:rsidP="00CA16D1">
            <w:pPr>
              <w:pStyle w:val="TableText"/>
              <w:jc w:val="center"/>
              <w:cnfStyle w:val="000000010000" w:firstRow="0" w:lastRow="0" w:firstColumn="0" w:lastColumn="0" w:oddVBand="0" w:evenVBand="0" w:oddHBand="0" w:evenHBand="1" w:firstRowFirstColumn="0" w:firstRowLastColumn="0" w:lastRowFirstColumn="0" w:lastRowLastColumn="0"/>
            </w:pPr>
            <w:r w:rsidRPr="00B75B77">
              <w:t>13</w:t>
            </w:r>
          </w:p>
        </w:tc>
        <w:tc>
          <w:tcPr>
            <w:tcW w:w="1717" w:type="pct"/>
            <w:tcBorders>
              <w:top w:val="single" w:sz="8" w:space="0" w:color="448A99"/>
              <w:left w:val="single" w:sz="8" w:space="0" w:color="448A99"/>
              <w:bottom w:val="single" w:sz="8" w:space="0" w:color="448A99"/>
            </w:tcBorders>
            <w:vAlign w:val="center"/>
          </w:tcPr>
          <w:p w:rsidR="008A2056" w:rsidRPr="00B75B77" w:rsidRDefault="008A2056" w:rsidP="007518B7">
            <w:pPr>
              <w:pStyle w:val="TableText"/>
              <w:cnfStyle w:val="000000010000" w:firstRow="0" w:lastRow="0" w:firstColumn="0" w:lastColumn="0" w:oddVBand="0" w:evenVBand="0" w:oddHBand="0" w:evenHBand="1" w:firstRowFirstColumn="0" w:firstRowLastColumn="0" w:lastRowFirstColumn="0" w:lastRowLastColumn="0"/>
            </w:pPr>
            <w:r w:rsidRPr="00B75B77">
              <w:t xml:space="preserve">Desk </w:t>
            </w:r>
            <w:r w:rsidR="007518B7" w:rsidRPr="00B75B77">
              <w:t>r</w:t>
            </w:r>
            <w:r w:rsidRPr="00B75B77">
              <w:t xml:space="preserve">eview and </w:t>
            </w:r>
            <w:r w:rsidR="007518B7" w:rsidRPr="00B75B77">
              <w:t>t</w:t>
            </w:r>
            <w:r w:rsidRPr="00B75B77">
              <w:t xml:space="preserve">elephone </w:t>
            </w:r>
            <w:r w:rsidR="007518B7" w:rsidRPr="00B75B77">
              <w:t>v</w:t>
            </w:r>
            <w:r w:rsidRPr="00B75B77">
              <w:t>erification</w:t>
            </w:r>
          </w:p>
        </w:tc>
      </w:tr>
      <w:tr w:rsidR="008A2056" w:rsidRPr="00B75B77" w:rsidTr="00CA16D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05" w:type="pct"/>
            <w:tcBorders>
              <w:top w:val="single" w:sz="8" w:space="0" w:color="448A99"/>
              <w:bottom w:val="single" w:sz="8" w:space="0" w:color="448A99"/>
              <w:right w:val="single" w:sz="8" w:space="0" w:color="448A99"/>
            </w:tcBorders>
            <w:shd w:val="clear" w:color="auto" w:fill="D2EAF1"/>
            <w:vAlign w:val="center"/>
          </w:tcPr>
          <w:p w:rsidR="008A2056" w:rsidRPr="00B75B77" w:rsidRDefault="008A2056" w:rsidP="00CA16D1">
            <w:pPr>
              <w:pStyle w:val="TableText"/>
              <w:rPr>
                <w:b w:val="0"/>
              </w:rPr>
            </w:pPr>
            <w:r w:rsidRPr="00B75B77">
              <w:rPr>
                <w:b w:val="0"/>
              </w:rPr>
              <w:t>Large Whole</w:t>
            </w:r>
            <w:r w:rsidR="007456EB" w:rsidRPr="00B75B77">
              <w:rPr>
                <w:b w:val="0"/>
              </w:rPr>
              <w:t>-</w:t>
            </w:r>
            <w:r w:rsidRPr="00B75B77">
              <w:rPr>
                <w:b w:val="0"/>
              </w:rPr>
              <w:t>Building</w:t>
            </w:r>
          </w:p>
        </w:tc>
        <w:tc>
          <w:tcPr>
            <w:tcW w:w="734" w:type="pct"/>
            <w:tcBorders>
              <w:top w:val="single" w:sz="8" w:space="0" w:color="448A99"/>
              <w:left w:val="single" w:sz="8" w:space="0" w:color="448A99"/>
              <w:bottom w:val="single" w:sz="8" w:space="0" w:color="448A99"/>
              <w:right w:val="single" w:sz="8" w:space="0" w:color="448A99"/>
            </w:tcBorders>
            <w:shd w:val="clear" w:color="auto" w:fill="D2EAF1"/>
            <w:vAlign w:val="center"/>
          </w:tcPr>
          <w:p w:rsidR="008A2056" w:rsidRPr="00B75B77" w:rsidRDefault="008A2056" w:rsidP="00CA16D1">
            <w:pPr>
              <w:pStyle w:val="TableText"/>
              <w:jc w:val="center"/>
              <w:cnfStyle w:val="000000100000" w:firstRow="0" w:lastRow="0" w:firstColumn="0" w:lastColumn="0" w:oddVBand="0" w:evenVBand="0" w:oddHBand="1" w:evenHBand="0" w:firstRowFirstColumn="0" w:firstRowLastColumn="0" w:lastRowFirstColumn="0" w:lastRowLastColumn="0"/>
            </w:pPr>
            <w:r w:rsidRPr="00B75B77">
              <w:t>11</w:t>
            </w:r>
          </w:p>
        </w:tc>
        <w:tc>
          <w:tcPr>
            <w:tcW w:w="695" w:type="pct"/>
            <w:tcBorders>
              <w:top w:val="single" w:sz="8" w:space="0" w:color="448A99"/>
              <w:left w:val="single" w:sz="8" w:space="0" w:color="448A99"/>
              <w:bottom w:val="single" w:sz="8" w:space="0" w:color="448A99"/>
              <w:right w:val="single" w:sz="8" w:space="0" w:color="448A99"/>
            </w:tcBorders>
            <w:shd w:val="clear" w:color="auto" w:fill="D2EAF1"/>
            <w:vAlign w:val="center"/>
          </w:tcPr>
          <w:p w:rsidR="008A2056" w:rsidRPr="00B75B77" w:rsidRDefault="008A2056" w:rsidP="00CA16D1">
            <w:pPr>
              <w:pStyle w:val="TableText"/>
              <w:jc w:val="center"/>
              <w:cnfStyle w:val="000000100000" w:firstRow="0" w:lastRow="0" w:firstColumn="0" w:lastColumn="0" w:oddVBand="0" w:evenVBand="0" w:oddHBand="1" w:evenHBand="0" w:firstRowFirstColumn="0" w:firstRowLastColumn="0" w:lastRowFirstColumn="0" w:lastRowLastColumn="0"/>
            </w:pPr>
            <w:r w:rsidRPr="00B75B77">
              <w:t>85/15</w:t>
            </w:r>
          </w:p>
        </w:tc>
        <w:tc>
          <w:tcPr>
            <w:tcW w:w="465" w:type="pct"/>
            <w:tcBorders>
              <w:top w:val="single" w:sz="8" w:space="0" w:color="448A99"/>
              <w:left w:val="single" w:sz="8" w:space="0" w:color="448A99"/>
              <w:bottom w:val="single" w:sz="8" w:space="0" w:color="448A99"/>
              <w:right w:val="single" w:sz="8" w:space="0" w:color="448A99"/>
            </w:tcBorders>
            <w:shd w:val="clear" w:color="auto" w:fill="D2EAF1"/>
            <w:vAlign w:val="center"/>
          </w:tcPr>
          <w:p w:rsidR="008A2056" w:rsidRPr="00B75B77" w:rsidRDefault="008A2056" w:rsidP="00CA16D1">
            <w:pPr>
              <w:pStyle w:val="TableText"/>
              <w:jc w:val="center"/>
              <w:cnfStyle w:val="000000100000" w:firstRow="0" w:lastRow="0" w:firstColumn="0" w:lastColumn="0" w:oddVBand="0" w:evenVBand="0" w:oddHBand="1" w:evenHBand="0" w:firstRowFirstColumn="0" w:firstRowLastColumn="0" w:lastRowFirstColumn="0" w:lastRowLastColumn="0"/>
            </w:pPr>
            <w:r w:rsidRPr="00B75B77">
              <w:t>4</w:t>
            </w:r>
          </w:p>
        </w:tc>
        <w:tc>
          <w:tcPr>
            <w:tcW w:w="484" w:type="pct"/>
            <w:tcBorders>
              <w:top w:val="single" w:sz="8" w:space="0" w:color="448A99"/>
              <w:left w:val="single" w:sz="8" w:space="0" w:color="448A99"/>
              <w:bottom w:val="single" w:sz="8" w:space="0" w:color="448A99"/>
              <w:right w:val="single" w:sz="8" w:space="0" w:color="448A99"/>
            </w:tcBorders>
            <w:shd w:val="clear" w:color="auto" w:fill="D2EAF1"/>
            <w:vAlign w:val="center"/>
          </w:tcPr>
          <w:p w:rsidR="008A2056" w:rsidRPr="00B75B77" w:rsidRDefault="008A2056" w:rsidP="00CA16D1">
            <w:pPr>
              <w:pStyle w:val="TableText"/>
              <w:jc w:val="center"/>
              <w:cnfStyle w:val="000000100000" w:firstRow="0" w:lastRow="0" w:firstColumn="0" w:lastColumn="0" w:oddVBand="0" w:evenVBand="0" w:oddHBand="1" w:evenHBand="0" w:firstRowFirstColumn="0" w:firstRowLastColumn="0" w:lastRowFirstColumn="0" w:lastRowLastColumn="0"/>
            </w:pPr>
            <w:r w:rsidRPr="00B75B77">
              <w:t>7</w:t>
            </w:r>
          </w:p>
        </w:tc>
        <w:tc>
          <w:tcPr>
            <w:tcW w:w="1717" w:type="pct"/>
            <w:tcBorders>
              <w:top w:val="single" w:sz="8" w:space="0" w:color="448A99"/>
              <w:left w:val="single" w:sz="8" w:space="0" w:color="448A99"/>
              <w:bottom w:val="single" w:sz="8" w:space="0" w:color="448A99"/>
            </w:tcBorders>
            <w:shd w:val="clear" w:color="auto" w:fill="D2EAF1"/>
            <w:vAlign w:val="center"/>
          </w:tcPr>
          <w:p w:rsidR="008A2056" w:rsidRPr="00B75B77" w:rsidRDefault="008A2056" w:rsidP="0076594F">
            <w:pPr>
              <w:pStyle w:val="TableText"/>
              <w:cnfStyle w:val="000000100000" w:firstRow="0" w:lastRow="0" w:firstColumn="0" w:lastColumn="0" w:oddVBand="0" w:evenVBand="0" w:oddHBand="1" w:evenHBand="0" w:firstRowFirstColumn="0" w:firstRowLastColumn="0" w:lastRowFirstColumn="0" w:lastRowLastColumn="0"/>
            </w:pPr>
            <w:r w:rsidRPr="00B75B77">
              <w:t xml:space="preserve">Desk </w:t>
            </w:r>
            <w:r w:rsidR="007518B7" w:rsidRPr="00B75B77">
              <w:t>r</w:t>
            </w:r>
            <w:r w:rsidRPr="00B75B77">
              <w:t xml:space="preserve">eview, </w:t>
            </w:r>
            <w:r w:rsidR="0076594F" w:rsidRPr="00B75B77">
              <w:t>o</w:t>
            </w:r>
            <w:r w:rsidR="00685BDE" w:rsidRPr="00B75B77">
              <w:t>nsite</w:t>
            </w:r>
            <w:r w:rsidRPr="00B75B77">
              <w:t xml:space="preserve"> M&amp;V</w:t>
            </w:r>
            <w:r w:rsidR="007518B7" w:rsidRPr="00B75B77">
              <w:t>,</w:t>
            </w:r>
            <w:r w:rsidRPr="00B75B77">
              <w:t xml:space="preserve"> and </w:t>
            </w:r>
            <w:r w:rsidR="007518B7" w:rsidRPr="00B75B77">
              <w:t>w</w:t>
            </w:r>
            <w:r w:rsidRPr="00B75B77">
              <w:t>hole-</w:t>
            </w:r>
            <w:r w:rsidR="007518B7" w:rsidRPr="00B75B77">
              <w:t>b</w:t>
            </w:r>
            <w:r w:rsidRPr="00B75B77">
              <w:t xml:space="preserve">uilding </w:t>
            </w:r>
            <w:r w:rsidR="007518B7" w:rsidRPr="00B75B77">
              <w:t>e</w:t>
            </w:r>
            <w:r w:rsidRPr="00B75B77">
              <w:t xml:space="preserve">nergy </w:t>
            </w:r>
            <w:r w:rsidR="007518B7" w:rsidRPr="00B75B77">
              <w:t>m</w:t>
            </w:r>
            <w:r w:rsidRPr="00B75B77">
              <w:t>odel</w:t>
            </w:r>
          </w:p>
        </w:tc>
      </w:tr>
      <w:tr w:rsidR="008A2056" w:rsidRPr="00B75B77" w:rsidTr="00CA16D1">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05" w:type="pct"/>
            <w:tcBorders>
              <w:top w:val="single" w:sz="8" w:space="0" w:color="448A99"/>
              <w:bottom w:val="single" w:sz="8" w:space="0" w:color="448A99"/>
              <w:right w:val="single" w:sz="8" w:space="0" w:color="448A99"/>
            </w:tcBorders>
            <w:shd w:val="clear" w:color="auto" w:fill="auto"/>
            <w:vAlign w:val="center"/>
          </w:tcPr>
          <w:p w:rsidR="008A2056" w:rsidRPr="00B75B77" w:rsidRDefault="008A2056" w:rsidP="00CA16D1">
            <w:pPr>
              <w:pStyle w:val="TableText"/>
              <w:rPr>
                <w:b w:val="0"/>
              </w:rPr>
            </w:pPr>
            <w:r w:rsidRPr="00B75B77">
              <w:rPr>
                <w:b w:val="0"/>
              </w:rPr>
              <w:t>Small Whole</w:t>
            </w:r>
            <w:r w:rsidR="007456EB" w:rsidRPr="00B75B77">
              <w:rPr>
                <w:b w:val="0"/>
              </w:rPr>
              <w:t>-</w:t>
            </w:r>
            <w:r w:rsidRPr="00B75B77">
              <w:rPr>
                <w:b w:val="0"/>
              </w:rPr>
              <w:t>Building</w:t>
            </w:r>
          </w:p>
        </w:tc>
        <w:tc>
          <w:tcPr>
            <w:tcW w:w="734" w:type="pct"/>
            <w:tcBorders>
              <w:top w:val="single" w:sz="8" w:space="0" w:color="448A99"/>
              <w:left w:val="single" w:sz="8" w:space="0" w:color="448A99"/>
              <w:bottom w:val="single" w:sz="8" w:space="0" w:color="448A99"/>
              <w:right w:val="single" w:sz="8" w:space="0" w:color="448A99"/>
            </w:tcBorders>
            <w:vAlign w:val="center"/>
          </w:tcPr>
          <w:p w:rsidR="008A2056" w:rsidRPr="00B75B77" w:rsidRDefault="008A2056" w:rsidP="00CA16D1">
            <w:pPr>
              <w:pStyle w:val="TableText"/>
              <w:jc w:val="center"/>
              <w:cnfStyle w:val="000000010000" w:firstRow="0" w:lastRow="0" w:firstColumn="0" w:lastColumn="0" w:oddVBand="0" w:evenVBand="0" w:oddHBand="0" w:evenHBand="1" w:firstRowFirstColumn="0" w:firstRowLastColumn="0" w:lastRowFirstColumn="0" w:lastRowLastColumn="0"/>
            </w:pPr>
            <w:r w:rsidRPr="00B75B77">
              <w:t>3</w:t>
            </w:r>
          </w:p>
        </w:tc>
        <w:tc>
          <w:tcPr>
            <w:tcW w:w="695" w:type="pct"/>
            <w:tcBorders>
              <w:top w:val="single" w:sz="8" w:space="0" w:color="448A99"/>
              <w:left w:val="single" w:sz="8" w:space="0" w:color="448A99"/>
              <w:bottom w:val="single" w:sz="8" w:space="0" w:color="448A99"/>
              <w:right w:val="single" w:sz="8" w:space="0" w:color="448A99"/>
            </w:tcBorders>
            <w:vAlign w:val="center"/>
          </w:tcPr>
          <w:p w:rsidR="008A2056" w:rsidRPr="00B75B77" w:rsidRDefault="008A2056" w:rsidP="00CA16D1">
            <w:pPr>
              <w:pStyle w:val="TableText"/>
              <w:jc w:val="center"/>
              <w:cnfStyle w:val="000000010000" w:firstRow="0" w:lastRow="0" w:firstColumn="0" w:lastColumn="0" w:oddVBand="0" w:evenVBand="0" w:oddHBand="0" w:evenHBand="1" w:firstRowFirstColumn="0" w:firstRowLastColumn="0" w:lastRowFirstColumn="0" w:lastRowLastColumn="0"/>
            </w:pPr>
            <w:r w:rsidRPr="00B75B77">
              <w:t>85/15</w:t>
            </w:r>
          </w:p>
        </w:tc>
        <w:tc>
          <w:tcPr>
            <w:tcW w:w="465" w:type="pct"/>
            <w:tcBorders>
              <w:top w:val="single" w:sz="8" w:space="0" w:color="448A99"/>
              <w:left w:val="single" w:sz="8" w:space="0" w:color="448A99"/>
              <w:bottom w:val="single" w:sz="8" w:space="0" w:color="448A99"/>
              <w:right w:val="single" w:sz="8" w:space="0" w:color="448A99"/>
            </w:tcBorders>
            <w:vAlign w:val="center"/>
          </w:tcPr>
          <w:p w:rsidR="008A2056" w:rsidRPr="00B75B77" w:rsidRDefault="008A2056" w:rsidP="00CA16D1">
            <w:pPr>
              <w:pStyle w:val="TableText"/>
              <w:jc w:val="center"/>
              <w:cnfStyle w:val="000000010000" w:firstRow="0" w:lastRow="0" w:firstColumn="0" w:lastColumn="0" w:oddVBand="0" w:evenVBand="0" w:oddHBand="0" w:evenHBand="1" w:firstRowFirstColumn="0" w:firstRowLastColumn="0" w:lastRowFirstColumn="0" w:lastRowLastColumn="0"/>
            </w:pPr>
            <w:r w:rsidRPr="00B75B77">
              <w:t>2</w:t>
            </w:r>
          </w:p>
        </w:tc>
        <w:tc>
          <w:tcPr>
            <w:tcW w:w="484" w:type="pct"/>
            <w:tcBorders>
              <w:top w:val="single" w:sz="8" w:space="0" w:color="448A99"/>
              <w:left w:val="single" w:sz="8" w:space="0" w:color="448A99"/>
              <w:bottom w:val="single" w:sz="8" w:space="0" w:color="448A99"/>
              <w:right w:val="single" w:sz="8" w:space="0" w:color="448A99"/>
            </w:tcBorders>
            <w:shd w:val="clear" w:color="auto" w:fill="auto"/>
            <w:vAlign w:val="center"/>
          </w:tcPr>
          <w:p w:rsidR="008A2056" w:rsidRPr="00B75B77" w:rsidRDefault="008A2056" w:rsidP="00CA16D1">
            <w:pPr>
              <w:pStyle w:val="TableText"/>
              <w:jc w:val="center"/>
              <w:cnfStyle w:val="000000010000" w:firstRow="0" w:lastRow="0" w:firstColumn="0" w:lastColumn="0" w:oddVBand="0" w:evenVBand="0" w:oddHBand="0" w:evenHBand="1" w:firstRowFirstColumn="0" w:firstRowLastColumn="0" w:lastRowFirstColumn="0" w:lastRowLastColumn="0"/>
            </w:pPr>
            <w:r w:rsidRPr="00B75B77">
              <w:t>2</w:t>
            </w:r>
          </w:p>
        </w:tc>
        <w:tc>
          <w:tcPr>
            <w:tcW w:w="1717" w:type="pct"/>
            <w:tcBorders>
              <w:top w:val="single" w:sz="8" w:space="0" w:color="448A99"/>
              <w:left w:val="single" w:sz="8" w:space="0" w:color="448A99"/>
              <w:bottom w:val="single" w:sz="8" w:space="0" w:color="448A99"/>
            </w:tcBorders>
            <w:vAlign w:val="center"/>
          </w:tcPr>
          <w:p w:rsidR="008A2056" w:rsidRPr="00B75B77" w:rsidRDefault="008A2056" w:rsidP="007518B7">
            <w:pPr>
              <w:pStyle w:val="TableText"/>
              <w:cnfStyle w:val="000000010000" w:firstRow="0" w:lastRow="0" w:firstColumn="0" w:lastColumn="0" w:oddVBand="0" w:evenVBand="0" w:oddHBand="0" w:evenHBand="1" w:firstRowFirstColumn="0" w:firstRowLastColumn="0" w:lastRowFirstColumn="0" w:lastRowLastColumn="0"/>
            </w:pPr>
            <w:r w:rsidRPr="00B75B77">
              <w:t xml:space="preserve">Desk </w:t>
            </w:r>
            <w:r w:rsidR="007518B7" w:rsidRPr="00B75B77">
              <w:t>r</w:t>
            </w:r>
            <w:r w:rsidRPr="00B75B77">
              <w:t xml:space="preserve">eview, </w:t>
            </w:r>
            <w:r w:rsidR="007518B7" w:rsidRPr="00B75B77">
              <w:t>t</w:t>
            </w:r>
            <w:r w:rsidRPr="00B75B77">
              <w:t xml:space="preserve">elephone </w:t>
            </w:r>
            <w:r w:rsidR="007518B7" w:rsidRPr="00B75B77">
              <w:t>v</w:t>
            </w:r>
            <w:r w:rsidRPr="00B75B77">
              <w:t xml:space="preserve">erification and </w:t>
            </w:r>
            <w:r w:rsidR="007518B7" w:rsidRPr="00B75B77">
              <w:t>w</w:t>
            </w:r>
            <w:r w:rsidRPr="00B75B77">
              <w:t>hole-</w:t>
            </w:r>
            <w:r w:rsidR="007518B7" w:rsidRPr="00B75B77">
              <w:t>b</w:t>
            </w:r>
            <w:r w:rsidRPr="00B75B77">
              <w:t xml:space="preserve">uilding </w:t>
            </w:r>
            <w:r w:rsidR="007518B7" w:rsidRPr="00B75B77">
              <w:t>e</w:t>
            </w:r>
            <w:r w:rsidRPr="00B75B77">
              <w:t xml:space="preserve">nergy </w:t>
            </w:r>
            <w:r w:rsidR="007518B7" w:rsidRPr="00B75B77">
              <w:t>m</w:t>
            </w:r>
            <w:r w:rsidRPr="00B75B77">
              <w:t>odel</w:t>
            </w:r>
          </w:p>
        </w:tc>
      </w:tr>
      <w:tr w:rsidR="008A2056" w:rsidRPr="00B75B77" w:rsidTr="00CA16D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05" w:type="pct"/>
            <w:tcBorders>
              <w:top w:val="single" w:sz="8" w:space="0" w:color="448A99"/>
              <w:right w:val="single" w:sz="8" w:space="0" w:color="448A99"/>
            </w:tcBorders>
            <w:vAlign w:val="center"/>
          </w:tcPr>
          <w:p w:rsidR="008A2056" w:rsidRPr="00B75B77" w:rsidRDefault="008A2056" w:rsidP="00CA16D1">
            <w:pPr>
              <w:pStyle w:val="TableHeader"/>
              <w:jc w:val="left"/>
              <w:rPr>
                <w:b/>
                <w:caps/>
              </w:rPr>
            </w:pPr>
            <w:r w:rsidRPr="00B75B77">
              <w:rPr>
                <w:b/>
                <w:caps/>
              </w:rPr>
              <w:t>Program Total</w:t>
            </w:r>
          </w:p>
        </w:tc>
        <w:tc>
          <w:tcPr>
            <w:tcW w:w="734" w:type="pct"/>
            <w:tcBorders>
              <w:top w:val="single" w:sz="8" w:space="0" w:color="448A99"/>
              <w:left w:val="single" w:sz="8" w:space="0" w:color="448A99"/>
              <w:right w:val="single" w:sz="8" w:space="0" w:color="448A99"/>
            </w:tcBorders>
            <w:vAlign w:val="center"/>
          </w:tcPr>
          <w:p w:rsidR="008A2056" w:rsidRPr="00B75B77" w:rsidRDefault="008A2056" w:rsidP="00CA16D1">
            <w:pPr>
              <w:pStyle w:val="TableText"/>
              <w:jc w:val="center"/>
              <w:cnfStyle w:val="000000100000" w:firstRow="0" w:lastRow="0" w:firstColumn="0" w:lastColumn="0" w:oddVBand="0" w:evenVBand="0" w:oddHBand="1" w:evenHBand="0" w:firstRowFirstColumn="0" w:firstRowLastColumn="0" w:lastRowFirstColumn="0" w:lastRowLastColumn="0"/>
              <w:rPr>
                <w:b/>
              </w:rPr>
            </w:pPr>
            <w:r w:rsidRPr="00B75B77">
              <w:rPr>
                <w:b/>
              </w:rPr>
              <w:t>182</w:t>
            </w:r>
          </w:p>
        </w:tc>
        <w:tc>
          <w:tcPr>
            <w:tcW w:w="695" w:type="pct"/>
            <w:tcBorders>
              <w:top w:val="single" w:sz="8" w:space="0" w:color="448A99"/>
              <w:left w:val="single" w:sz="8" w:space="0" w:color="448A99"/>
              <w:right w:val="single" w:sz="8" w:space="0" w:color="448A99"/>
            </w:tcBorders>
            <w:vAlign w:val="center"/>
          </w:tcPr>
          <w:p w:rsidR="008A2056" w:rsidRPr="00B75B77" w:rsidRDefault="00793203" w:rsidP="00CA16D1">
            <w:pPr>
              <w:pStyle w:val="TableText"/>
              <w:jc w:val="center"/>
              <w:cnfStyle w:val="000000100000" w:firstRow="0" w:lastRow="0" w:firstColumn="0" w:lastColumn="0" w:oddVBand="0" w:evenVBand="0" w:oddHBand="1" w:evenHBand="0" w:firstRowFirstColumn="0" w:firstRowLastColumn="0" w:lastRowFirstColumn="0" w:lastRowLastColumn="0"/>
              <w:rPr>
                <w:b/>
              </w:rPr>
            </w:pPr>
            <w:r w:rsidRPr="00B75B77">
              <w:rPr>
                <w:b/>
              </w:rPr>
              <w:t>85/15</w:t>
            </w:r>
          </w:p>
        </w:tc>
        <w:tc>
          <w:tcPr>
            <w:tcW w:w="465" w:type="pct"/>
            <w:tcBorders>
              <w:top w:val="single" w:sz="8" w:space="0" w:color="448A99"/>
              <w:left w:val="single" w:sz="8" w:space="0" w:color="448A99"/>
              <w:right w:val="single" w:sz="8" w:space="0" w:color="448A99"/>
            </w:tcBorders>
            <w:vAlign w:val="center"/>
          </w:tcPr>
          <w:p w:rsidR="008A2056" w:rsidRPr="00B75B77" w:rsidRDefault="008A2056" w:rsidP="00CA16D1">
            <w:pPr>
              <w:pStyle w:val="TableText"/>
              <w:jc w:val="center"/>
              <w:cnfStyle w:val="000000100000" w:firstRow="0" w:lastRow="0" w:firstColumn="0" w:lastColumn="0" w:oddVBand="0" w:evenVBand="0" w:oddHBand="1" w:evenHBand="0" w:firstRowFirstColumn="0" w:firstRowLastColumn="0" w:lastRowFirstColumn="0" w:lastRowLastColumn="0"/>
              <w:rPr>
                <w:b/>
              </w:rPr>
            </w:pPr>
            <w:r w:rsidRPr="00B75B77">
              <w:rPr>
                <w:b/>
              </w:rPr>
              <w:t>30</w:t>
            </w:r>
          </w:p>
        </w:tc>
        <w:tc>
          <w:tcPr>
            <w:tcW w:w="484" w:type="pct"/>
            <w:tcBorders>
              <w:top w:val="single" w:sz="8" w:space="0" w:color="448A99"/>
              <w:left w:val="single" w:sz="8" w:space="0" w:color="448A99"/>
              <w:right w:val="single" w:sz="8" w:space="0" w:color="448A99"/>
            </w:tcBorders>
            <w:shd w:val="clear" w:color="auto" w:fill="D2EAF1"/>
            <w:vAlign w:val="center"/>
          </w:tcPr>
          <w:p w:rsidR="008A2056" w:rsidRPr="00B75B77" w:rsidRDefault="008A2056" w:rsidP="00CA16D1">
            <w:pPr>
              <w:pStyle w:val="TableText"/>
              <w:jc w:val="center"/>
              <w:cnfStyle w:val="000000100000" w:firstRow="0" w:lastRow="0" w:firstColumn="0" w:lastColumn="0" w:oddVBand="0" w:evenVBand="0" w:oddHBand="1" w:evenHBand="0" w:firstRowFirstColumn="0" w:firstRowLastColumn="0" w:lastRowFirstColumn="0" w:lastRowLastColumn="0"/>
              <w:rPr>
                <w:b/>
              </w:rPr>
            </w:pPr>
            <w:r w:rsidRPr="00B75B77">
              <w:rPr>
                <w:b/>
              </w:rPr>
              <w:t>32</w:t>
            </w:r>
          </w:p>
        </w:tc>
        <w:tc>
          <w:tcPr>
            <w:tcW w:w="1717" w:type="pct"/>
            <w:tcBorders>
              <w:top w:val="single" w:sz="8" w:space="0" w:color="448A99"/>
              <w:left w:val="single" w:sz="8" w:space="0" w:color="448A99"/>
            </w:tcBorders>
            <w:vAlign w:val="center"/>
          </w:tcPr>
          <w:p w:rsidR="008A2056" w:rsidRPr="00B75B77" w:rsidRDefault="00793203" w:rsidP="007518B7">
            <w:pPr>
              <w:pStyle w:val="TableText"/>
              <w:cnfStyle w:val="000000100000" w:firstRow="0" w:lastRow="0" w:firstColumn="0" w:lastColumn="0" w:oddVBand="0" w:evenVBand="0" w:oddHBand="1" w:evenHBand="0" w:firstRowFirstColumn="0" w:firstRowLastColumn="0" w:lastRowFirstColumn="0" w:lastRowLastColumn="0"/>
              <w:rPr>
                <w:b/>
              </w:rPr>
            </w:pPr>
            <w:r w:rsidRPr="00B75B77">
              <w:rPr>
                <w:b/>
              </w:rPr>
              <w:t>N/A</w:t>
            </w:r>
          </w:p>
        </w:tc>
      </w:tr>
    </w:tbl>
    <w:p w:rsidR="008A2056" w:rsidRPr="00B75B77" w:rsidRDefault="008A2056" w:rsidP="00CA16D1">
      <w:pPr>
        <w:keepNext/>
        <w:spacing w:before="20" w:after="20"/>
        <w:ind w:left="180"/>
        <w:jc w:val="left"/>
        <w:rPr>
          <w:rFonts w:eastAsia="Times New Roman"/>
          <w:i/>
          <w:sz w:val="18"/>
          <w:szCs w:val="20"/>
        </w:rPr>
      </w:pPr>
      <w:r w:rsidRPr="00B75B77">
        <w:rPr>
          <w:rFonts w:ascii="Calibri" w:eastAsia="Times New Roman" w:hAnsi="Calibri"/>
          <w:sz w:val="18"/>
          <w:szCs w:val="18"/>
        </w:rPr>
        <w:t>Note: Values in tables may not reconcile exactly with the sum of more detailed level results or previously reported results due to rounding.</w:t>
      </w:r>
    </w:p>
    <w:p w:rsidR="008A2056" w:rsidRPr="00B75B77" w:rsidRDefault="008A2056" w:rsidP="00CA16D1">
      <w:pPr>
        <w:pStyle w:val="Source"/>
        <w:spacing w:after="120"/>
      </w:pPr>
      <w:r w:rsidRPr="00B75B77">
        <w:t>Source: Navigant analysis</w:t>
      </w:r>
    </w:p>
    <w:p w:rsidR="001B0760" w:rsidRPr="00B75B77" w:rsidRDefault="008A2056" w:rsidP="007456EB">
      <w:pPr>
        <w:pStyle w:val="Source"/>
        <w:spacing w:after="120"/>
        <w:ind w:left="90" w:firstLine="0"/>
        <w:rPr>
          <w:rFonts w:eastAsia="Calibri"/>
          <w:i w:val="0"/>
          <w:sz w:val="22"/>
          <w:szCs w:val="22"/>
        </w:rPr>
      </w:pPr>
      <w:r w:rsidRPr="00B75B77">
        <w:rPr>
          <w:rFonts w:eastAsia="Calibri"/>
          <w:i w:val="0"/>
          <w:sz w:val="22"/>
          <w:szCs w:val="22"/>
        </w:rPr>
        <w:t xml:space="preserve">While conducting site visits on several Q4 projects, Navigant found that five of </w:t>
      </w:r>
      <w:r w:rsidR="007518B7" w:rsidRPr="00B75B77">
        <w:rPr>
          <w:rFonts w:eastAsia="Calibri"/>
          <w:i w:val="0"/>
          <w:sz w:val="22"/>
          <w:szCs w:val="22"/>
        </w:rPr>
        <w:t xml:space="preserve">10 </w:t>
      </w:r>
      <w:r w:rsidRPr="00B75B77">
        <w:rPr>
          <w:rFonts w:eastAsia="Calibri"/>
          <w:i w:val="0"/>
          <w:sz w:val="22"/>
          <w:szCs w:val="22"/>
        </w:rPr>
        <w:t>visited sites were either not fully complete or not fully occupied, despite having passed the TRM-mandated deadline for completion and occupancy</w:t>
      </w:r>
      <w:r w:rsidR="00151466" w:rsidRPr="00B75B77">
        <w:rPr>
          <w:rFonts w:eastAsia="Calibri"/>
          <w:i w:val="0"/>
          <w:sz w:val="22"/>
          <w:szCs w:val="22"/>
        </w:rPr>
        <w:t xml:space="preserve"> to be counted towards Phase II</w:t>
      </w:r>
      <w:r w:rsidRPr="00B75B77">
        <w:rPr>
          <w:rFonts w:eastAsia="Calibri"/>
          <w:i w:val="0"/>
          <w:sz w:val="22"/>
          <w:szCs w:val="22"/>
        </w:rPr>
        <w:t xml:space="preserve">. The savings for these projects were </w:t>
      </w:r>
      <w:r w:rsidRPr="00B75B77">
        <w:rPr>
          <w:rFonts w:eastAsia="Calibri"/>
          <w:i w:val="0"/>
          <w:sz w:val="22"/>
          <w:szCs w:val="22"/>
        </w:rPr>
        <w:lastRenderedPageBreak/>
        <w:t xml:space="preserve">credited </w:t>
      </w:r>
      <w:r w:rsidR="00151466" w:rsidRPr="00B75B77">
        <w:rPr>
          <w:rFonts w:eastAsia="Calibri"/>
          <w:i w:val="0"/>
          <w:sz w:val="22"/>
          <w:szCs w:val="22"/>
        </w:rPr>
        <w:t xml:space="preserve">with PY7 verified savings </w:t>
      </w:r>
      <w:r w:rsidRPr="00B75B77">
        <w:rPr>
          <w:rFonts w:eastAsia="Calibri"/>
          <w:i w:val="0"/>
          <w:sz w:val="22"/>
          <w:szCs w:val="22"/>
        </w:rPr>
        <w:t xml:space="preserve">according to TRM protocol, but the accompanying realization rates were low, as Navigant only counted savings in spaces that were both fully complete and fully occupied. </w:t>
      </w:r>
    </w:p>
    <w:p w:rsidR="008A2056" w:rsidRPr="00B75B77" w:rsidRDefault="008A2056" w:rsidP="007456EB">
      <w:pPr>
        <w:pStyle w:val="Source"/>
        <w:spacing w:after="120"/>
        <w:ind w:left="90" w:firstLine="0"/>
        <w:rPr>
          <w:rFonts w:eastAsia="Calibri"/>
          <w:i w:val="0"/>
          <w:sz w:val="22"/>
          <w:szCs w:val="22"/>
        </w:rPr>
      </w:pPr>
      <w:r w:rsidRPr="00B75B77">
        <w:rPr>
          <w:rFonts w:eastAsia="Calibri"/>
          <w:i w:val="0"/>
          <w:sz w:val="22"/>
          <w:szCs w:val="22"/>
        </w:rPr>
        <w:t xml:space="preserve">Navigant determined that the best course of action for extrapolating the realization rates related to this finding to the entire PY7 population would be to create separate strata for Q4 and </w:t>
      </w:r>
      <w:r w:rsidR="001B0760" w:rsidRPr="00B75B77">
        <w:rPr>
          <w:rFonts w:eastAsia="Calibri"/>
          <w:i w:val="0"/>
          <w:sz w:val="22"/>
          <w:szCs w:val="22"/>
        </w:rPr>
        <w:t>dead-zone</w:t>
      </w:r>
      <w:r w:rsidRPr="00B75B77">
        <w:rPr>
          <w:rFonts w:eastAsia="Calibri"/>
          <w:i w:val="0"/>
          <w:sz w:val="22"/>
          <w:szCs w:val="22"/>
        </w:rPr>
        <w:t xml:space="preserve"> (</w:t>
      </w:r>
      <w:r w:rsidR="001B0760" w:rsidRPr="00B75B77">
        <w:rPr>
          <w:rFonts w:eastAsia="Calibri"/>
          <w:i w:val="0"/>
          <w:sz w:val="22"/>
          <w:szCs w:val="22"/>
        </w:rPr>
        <w:t>DZ</w:t>
      </w:r>
      <w:r w:rsidRPr="00B75B77">
        <w:rPr>
          <w:rFonts w:eastAsia="Calibri"/>
          <w:i w:val="0"/>
          <w:sz w:val="22"/>
          <w:szCs w:val="22"/>
        </w:rPr>
        <w:t>) projects</w:t>
      </w:r>
      <w:r w:rsidR="001B0760" w:rsidRPr="00B75B77">
        <w:rPr>
          <w:rFonts w:eastAsia="Calibri"/>
          <w:i w:val="0"/>
          <w:sz w:val="22"/>
          <w:szCs w:val="22"/>
        </w:rPr>
        <w:t>,</w:t>
      </w:r>
      <w:r w:rsidRPr="00B75B77">
        <w:rPr>
          <w:rFonts w:eastAsia="Calibri"/>
          <w:i w:val="0"/>
          <w:sz w:val="22"/>
          <w:szCs w:val="22"/>
        </w:rPr>
        <w:t xml:space="preserve"> as project incompletion was not an issue in any of the visited Q1, Q2</w:t>
      </w:r>
      <w:r w:rsidR="007456EB" w:rsidRPr="00B75B77">
        <w:rPr>
          <w:rFonts w:eastAsia="Calibri"/>
          <w:i w:val="0"/>
          <w:sz w:val="22"/>
          <w:szCs w:val="22"/>
        </w:rPr>
        <w:t>,</w:t>
      </w:r>
      <w:r w:rsidRPr="00B75B77">
        <w:rPr>
          <w:rFonts w:eastAsia="Calibri"/>
          <w:i w:val="0"/>
          <w:sz w:val="22"/>
          <w:szCs w:val="22"/>
        </w:rPr>
        <w:t xml:space="preserve"> or Q3 sites. </w:t>
      </w:r>
      <w:r w:rsidR="001B0760" w:rsidRPr="00B75B77">
        <w:rPr>
          <w:rFonts w:eastAsia="Calibri"/>
          <w:i w:val="0"/>
          <w:sz w:val="22"/>
          <w:szCs w:val="22"/>
        </w:rPr>
        <w:t>DZ</w:t>
      </w:r>
      <w:r w:rsidRPr="00B75B77">
        <w:rPr>
          <w:rFonts w:eastAsia="Calibri"/>
          <w:i w:val="0"/>
          <w:sz w:val="22"/>
          <w:szCs w:val="22"/>
        </w:rPr>
        <w:t xml:space="preserve"> projects are those that were completed in Q4</w:t>
      </w:r>
      <w:r w:rsidR="001B0760" w:rsidRPr="00B75B77">
        <w:rPr>
          <w:rFonts w:eastAsia="Calibri"/>
          <w:i w:val="0"/>
          <w:sz w:val="22"/>
          <w:szCs w:val="22"/>
        </w:rPr>
        <w:t>, but too late to be included in the standard final program quarterly data extract for sampling</w:t>
      </w:r>
      <w:r w:rsidRPr="00B75B77">
        <w:rPr>
          <w:rFonts w:eastAsia="Calibri"/>
          <w:i w:val="0"/>
          <w:sz w:val="22"/>
          <w:szCs w:val="22"/>
        </w:rPr>
        <w:t xml:space="preserve">. </w:t>
      </w:r>
      <w:r w:rsidRPr="00B75B77">
        <w:rPr>
          <w:rFonts w:eastAsia="Calibri"/>
          <w:i w:val="0"/>
          <w:sz w:val="22"/>
          <w:szCs w:val="22"/>
        </w:rPr>
        <w:fldChar w:fldCharType="begin"/>
      </w:r>
      <w:r w:rsidRPr="00B75B77">
        <w:rPr>
          <w:rFonts w:eastAsia="Calibri"/>
          <w:i w:val="0"/>
          <w:sz w:val="22"/>
          <w:szCs w:val="22"/>
        </w:rPr>
        <w:instrText xml:space="preserve"> REF _Ref463948889 \h  \* MERGEFORMAT </w:instrText>
      </w:r>
      <w:r w:rsidRPr="00B75B77">
        <w:rPr>
          <w:rFonts w:eastAsia="Calibri"/>
          <w:i w:val="0"/>
          <w:sz w:val="22"/>
          <w:szCs w:val="22"/>
        </w:rPr>
      </w:r>
      <w:r w:rsidRPr="00B75B77">
        <w:rPr>
          <w:rFonts w:eastAsia="Calibri"/>
          <w:i w:val="0"/>
          <w:sz w:val="22"/>
          <w:szCs w:val="22"/>
        </w:rPr>
        <w:fldChar w:fldCharType="separate"/>
      </w:r>
      <w:r w:rsidR="0004016D" w:rsidRPr="0004016D">
        <w:rPr>
          <w:rFonts w:eastAsia="Calibri"/>
          <w:i w:val="0"/>
          <w:sz w:val="22"/>
          <w:szCs w:val="22"/>
        </w:rPr>
        <w:t>Table 13</w:t>
      </w:r>
      <w:r w:rsidR="0004016D" w:rsidRPr="0004016D">
        <w:rPr>
          <w:rFonts w:eastAsia="Calibri"/>
          <w:i w:val="0"/>
          <w:sz w:val="22"/>
          <w:szCs w:val="22"/>
        </w:rPr>
        <w:noBreakHyphen/>
        <w:t>3</w:t>
      </w:r>
      <w:r w:rsidRPr="00B75B77">
        <w:rPr>
          <w:rFonts w:eastAsia="Calibri"/>
          <w:i w:val="0"/>
          <w:sz w:val="22"/>
          <w:szCs w:val="22"/>
        </w:rPr>
        <w:fldChar w:fldCharType="end"/>
      </w:r>
      <w:r w:rsidRPr="00B75B77">
        <w:rPr>
          <w:rFonts w:eastAsia="Calibri"/>
          <w:i w:val="0"/>
          <w:sz w:val="22"/>
          <w:szCs w:val="22"/>
        </w:rPr>
        <w:t xml:space="preserve"> shows the modified sampling strategy used in PY7.</w:t>
      </w:r>
    </w:p>
    <w:p w:rsidR="008A2056" w:rsidRPr="00B75B77" w:rsidRDefault="008A2056" w:rsidP="00CA16D1">
      <w:pPr>
        <w:pStyle w:val="Caption"/>
      </w:pPr>
      <w:bookmarkStart w:id="817" w:name="_Ref463948889"/>
      <w:bookmarkStart w:id="818" w:name="_Toc466413610"/>
      <w:r w:rsidRPr="00B75B77">
        <w:t xml:space="preserve">Table </w:t>
      </w:r>
      <w:fldSimple w:instr=" STYLEREF 1 \s ">
        <w:r w:rsidR="0004016D">
          <w:rPr>
            <w:noProof/>
          </w:rPr>
          <w:t>13</w:t>
        </w:r>
      </w:fldSimple>
      <w:r w:rsidR="00F1144C" w:rsidRPr="00B75B77">
        <w:noBreakHyphen/>
      </w:r>
      <w:fldSimple w:instr=" SEQ Table \* ARABIC \s 1 ">
        <w:r w:rsidR="0004016D">
          <w:rPr>
            <w:noProof/>
          </w:rPr>
          <w:t>3</w:t>
        </w:r>
      </w:fldSimple>
      <w:bookmarkEnd w:id="817"/>
      <w:r w:rsidRPr="00B75B77">
        <w:t>: Smart Construction Incentives Modified Sampling Strategy for PY7</w:t>
      </w:r>
      <w:bookmarkEnd w:id="818"/>
    </w:p>
    <w:tbl>
      <w:tblPr>
        <w:tblStyle w:val="MediumShading1-Accent5"/>
        <w:tblW w:w="4516" w:type="pct"/>
        <w:jc w:val="center"/>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1728"/>
        <w:gridCol w:w="1197"/>
        <w:gridCol w:w="1522"/>
        <w:gridCol w:w="927"/>
        <w:gridCol w:w="3275"/>
      </w:tblGrid>
      <w:tr w:rsidR="008A2056" w:rsidRPr="00B75B77" w:rsidTr="0076594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99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8A99"/>
            <w:vAlign w:val="center"/>
          </w:tcPr>
          <w:p w:rsidR="008A2056" w:rsidRPr="00B75B77" w:rsidRDefault="008A2056" w:rsidP="00CA16D1">
            <w:pPr>
              <w:pStyle w:val="TableHeader"/>
              <w:jc w:val="left"/>
              <w:rPr>
                <w:b/>
                <w:color w:val="FFFFFF" w:themeColor="background1"/>
              </w:rPr>
            </w:pPr>
            <w:r w:rsidRPr="00B75B77">
              <w:rPr>
                <w:b/>
                <w:color w:val="FFFFFF" w:themeColor="background1"/>
              </w:rPr>
              <w:t>Stratum</w:t>
            </w:r>
          </w:p>
        </w:tc>
        <w:tc>
          <w:tcPr>
            <w:tcW w:w="69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8A99"/>
            <w:vAlign w:val="center"/>
          </w:tcPr>
          <w:p w:rsidR="008A2056" w:rsidRPr="00B75B77" w:rsidRDefault="008A2056" w:rsidP="00CA16D1">
            <w:pPr>
              <w:pStyle w:val="TableHead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Population Size</w:t>
            </w:r>
          </w:p>
        </w:tc>
        <w:tc>
          <w:tcPr>
            <w:tcW w:w="88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8A99"/>
            <w:vAlign w:val="center"/>
          </w:tcPr>
          <w:p w:rsidR="008A2056" w:rsidRPr="00B75B77" w:rsidRDefault="008A2056" w:rsidP="00CA16D1">
            <w:pPr>
              <w:pStyle w:val="TableHead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 xml:space="preserve">Target Levels of Confidence </w:t>
            </w:r>
            <w:r w:rsidR="007456EB" w:rsidRPr="00B75B77">
              <w:rPr>
                <w:b/>
                <w:color w:val="FFFFFF" w:themeColor="background1"/>
              </w:rPr>
              <w:t>and</w:t>
            </w:r>
            <w:r w:rsidRPr="00B75B77">
              <w:rPr>
                <w:b/>
                <w:color w:val="FFFFFF" w:themeColor="background1"/>
              </w:rPr>
              <w:t xml:space="preserve"> Precision</w:t>
            </w:r>
          </w:p>
        </w:tc>
        <w:tc>
          <w:tcPr>
            <w:tcW w:w="5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8A99"/>
            <w:vAlign w:val="center"/>
          </w:tcPr>
          <w:p w:rsidR="008A2056" w:rsidRPr="00B75B77" w:rsidRDefault="008A2056" w:rsidP="00CA16D1">
            <w:pPr>
              <w:pStyle w:val="TableHead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Achieved Sample Size</w:t>
            </w:r>
          </w:p>
        </w:tc>
        <w:tc>
          <w:tcPr>
            <w:tcW w:w="1893"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8A99"/>
            <w:vAlign w:val="center"/>
          </w:tcPr>
          <w:p w:rsidR="008A2056" w:rsidRPr="00B75B77" w:rsidRDefault="008A2056" w:rsidP="007456EB">
            <w:pPr>
              <w:pStyle w:val="TableHeader"/>
              <w:jc w:val="left"/>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Evaluation Activity</w:t>
            </w:r>
          </w:p>
        </w:tc>
      </w:tr>
      <w:tr w:rsidR="008A2056" w:rsidRPr="00B75B77" w:rsidTr="0076594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999" w:type="pct"/>
            <w:tcBorders>
              <w:top w:val="single" w:sz="8" w:space="0" w:color="000000" w:themeColor="text1"/>
              <w:bottom w:val="single" w:sz="8" w:space="0" w:color="448A99"/>
              <w:right w:val="single" w:sz="8" w:space="0" w:color="448A99"/>
            </w:tcBorders>
            <w:shd w:val="clear" w:color="auto" w:fill="D2EAF1"/>
            <w:vAlign w:val="center"/>
          </w:tcPr>
          <w:p w:rsidR="008A2056" w:rsidRPr="00B75B77" w:rsidRDefault="008A2056" w:rsidP="00CA16D1">
            <w:pPr>
              <w:pStyle w:val="TableText"/>
              <w:rPr>
                <w:b w:val="0"/>
              </w:rPr>
            </w:pPr>
            <w:r w:rsidRPr="00B75B77">
              <w:rPr>
                <w:rFonts w:ascii="Calibri" w:eastAsia="Times New Roman" w:hAnsi="Calibri"/>
                <w:b w:val="0"/>
              </w:rPr>
              <w:t>Large Q1-Q3</w:t>
            </w:r>
          </w:p>
        </w:tc>
        <w:tc>
          <w:tcPr>
            <w:tcW w:w="692" w:type="pct"/>
            <w:tcBorders>
              <w:top w:val="single" w:sz="8" w:space="0" w:color="000000" w:themeColor="text1"/>
              <w:left w:val="single" w:sz="8" w:space="0" w:color="448A99"/>
              <w:bottom w:val="single" w:sz="8" w:space="0" w:color="448A99"/>
              <w:right w:val="single" w:sz="8" w:space="0" w:color="448A99"/>
            </w:tcBorders>
            <w:shd w:val="clear" w:color="auto" w:fill="D2EAF1"/>
            <w:vAlign w:val="center"/>
          </w:tcPr>
          <w:p w:rsidR="008A2056" w:rsidRPr="00B75B77" w:rsidRDefault="008A2056" w:rsidP="00CA16D1">
            <w:pPr>
              <w:pStyle w:val="TableText"/>
              <w:jc w:val="center"/>
              <w:cnfStyle w:val="000000100000" w:firstRow="0" w:lastRow="0" w:firstColumn="0" w:lastColumn="0" w:oddVBand="0" w:evenVBand="0" w:oddHBand="1" w:evenHBand="0" w:firstRowFirstColumn="0" w:firstRowLastColumn="0" w:lastRowFirstColumn="0" w:lastRowLastColumn="0"/>
            </w:pPr>
            <w:r w:rsidRPr="00B75B77">
              <w:t>13</w:t>
            </w:r>
          </w:p>
        </w:tc>
        <w:tc>
          <w:tcPr>
            <w:tcW w:w="880" w:type="pct"/>
            <w:tcBorders>
              <w:top w:val="single" w:sz="8" w:space="0" w:color="000000" w:themeColor="text1"/>
              <w:left w:val="single" w:sz="8" w:space="0" w:color="448A99"/>
              <w:bottom w:val="single" w:sz="8" w:space="0" w:color="448A99"/>
              <w:right w:val="single" w:sz="8" w:space="0" w:color="448A99"/>
            </w:tcBorders>
            <w:shd w:val="clear" w:color="auto" w:fill="D2EAF1"/>
            <w:vAlign w:val="center"/>
          </w:tcPr>
          <w:p w:rsidR="008A2056" w:rsidRPr="00B75B77" w:rsidRDefault="008A2056" w:rsidP="00CA16D1">
            <w:pPr>
              <w:pStyle w:val="TableText"/>
              <w:jc w:val="center"/>
              <w:cnfStyle w:val="000000100000" w:firstRow="0" w:lastRow="0" w:firstColumn="0" w:lastColumn="0" w:oddVBand="0" w:evenVBand="0" w:oddHBand="1" w:evenHBand="0" w:firstRowFirstColumn="0" w:firstRowLastColumn="0" w:lastRowFirstColumn="0" w:lastRowLastColumn="0"/>
            </w:pPr>
            <w:r w:rsidRPr="00B75B77">
              <w:t>85/15</w:t>
            </w:r>
          </w:p>
        </w:tc>
        <w:tc>
          <w:tcPr>
            <w:tcW w:w="536" w:type="pct"/>
            <w:tcBorders>
              <w:top w:val="single" w:sz="8" w:space="0" w:color="000000" w:themeColor="text1"/>
              <w:left w:val="single" w:sz="8" w:space="0" w:color="448A99"/>
              <w:bottom w:val="single" w:sz="8" w:space="0" w:color="448A99"/>
              <w:right w:val="single" w:sz="8" w:space="0" w:color="448A99"/>
            </w:tcBorders>
            <w:shd w:val="clear" w:color="auto" w:fill="D2EAF1"/>
            <w:vAlign w:val="center"/>
          </w:tcPr>
          <w:p w:rsidR="008A2056" w:rsidRPr="00B75B77" w:rsidRDefault="008A2056" w:rsidP="00CA16D1">
            <w:pPr>
              <w:pStyle w:val="TableText"/>
              <w:jc w:val="center"/>
              <w:cnfStyle w:val="000000100000" w:firstRow="0" w:lastRow="0" w:firstColumn="0" w:lastColumn="0" w:oddVBand="0" w:evenVBand="0" w:oddHBand="1" w:evenHBand="0" w:firstRowFirstColumn="0" w:firstRowLastColumn="0" w:lastRowFirstColumn="0" w:lastRowLastColumn="0"/>
            </w:pPr>
            <w:r w:rsidRPr="00B75B77">
              <w:t>7</w:t>
            </w:r>
          </w:p>
        </w:tc>
        <w:tc>
          <w:tcPr>
            <w:tcW w:w="1893" w:type="pct"/>
            <w:tcBorders>
              <w:top w:val="single" w:sz="8" w:space="0" w:color="000000" w:themeColor="text1"/>
              <w:left w:val="single" w:sz="8" w:space="0" w:color="448A99"/>
              <w:bottom w:val="single" w:sz="8" w:space="0" w:color="448A99"/>
            </w:tcBorders>
            <w:shd w:val="clear" w:color="auto" w:fill="D2EAF1"/>
            <w:vAlign w:val="center"/>
          </w:tcPr>
          <w:p w:rsidR="008A2056" w:rsidRPr="00B75B77" w:rsidRDefault="008A2056" w:rsidP="007456EB">
            <w:pPr>
              <w:pStyle w:val="TableText"/>
              <w:cnfStyle w:val="000000100000" w:firstRow="0" w:lastRow="0" w:firstColumn="0" w:lastColumn="0" w:oddVBand="0" w:evenVBand="0" w:oddHBand="1" w:evenHBand="0" w:firstRowFirstColumn="0" w:firstRowLastColumn="0" w:lastRowFirstColumn="0" w:lastRowLastColumn="0"/>
            </w:pPr>
            <w:r w:rsidRPr="00B75B77">
              <w:t xml:space="preserve">Desk </w:t>
            </w:r>
            <w:r w:rsidR="007456EB" w:rsidRPr="00B75B77">
              <w:t>r</w:t>
            </w:r>
            <w:r w:rsidRPr="00B75B77">
              <w:t xml:space="preserve">eview and </w:t>
            </w:r>
            <w:r w:rsidR="007456EB" w:rsidRPr="00B75B77">
              <w:t>o</w:t>
            </w:r>
            <w:r w:rsidR="00685BDE" w:rsidRPr="00B75B77">
              <w:t>nsite</w:t>
            </w:r>
            <w:r w:rsidRPr="00B75B77">
              <w:t xml:space="preserve"> M&amp;V</w:t>
            </w:r>
          </w:p>
        </w:tc>
      </w:tr>
      <w:tr w:rsidR="008A2056" w:rsidRPr="00B75B77" w:rsidTr="00A154F7">
        <w:trPr>
          <w:cnfStyle w:val="000000010000" w:firstRow="0" w:lastRow="0" w:firstColumn="0" w:lastColumn="0" w:oddVBand="0" w:evenVBand="0" w:oddHBand="0" w:evenHBand="1"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999" w:type="pct"/>
            <w:tcBorders>
              <w:top w:val="single" w:sz="8" w:space="0" w:color="448A99"/>
              <w:bottom w:val="single" w:sz="8" w:space="0" w:color="448A99"/>
              <w:right w:val="single" w:sz="8" w:space="0" w:color="448A99"/>
            </w:tcBorders>
            <w:shd w:val="clear" w:color="auto" w:fill="auto"/>
            <w:vAlign w:val="center"/>
          </w:tcPr>
          <w:p w:rsidR="008A2056" w:rsidRPr="00B75B77" w:rsidRDefault="008A2056" w:rsidP="001B0760">
            <w:pPr>
              <w:pStyle w:val="TableText"/>
              <w:rPr>
                <w:b w:val="0"/>
              </w:rPr>
            </w:pPr>
            <w:r w:rsidRPr="00B75B77">
              <w:rPr>
                <w:rFonts w:ascii="Calibri" w:eastAsia="Times New Roman" w:hAnsi="Calibri"/>
                <w:b w:val="0"/>
              </w:rPr>
              <w:t>Large Q4-</w:t>
            </w:r>
            <w:r w:rsidR="001B0760" w:rsidRPr="00B75B77">
              <w:rPr>
                <w:rFonts w:ascii="Calibri" w:eastAsia="Times New Roman" w:hAnsi="Calibri"/>
                <w:b w:val="0"/>
              </w:rPr>
              <w:t>DZ</w:t>
            </w:r>
          </w:p>
        </w:tc>
        <w:tc>
          <w:tcPr>
            <w:tcW w:w="692" w:type="pct"/>
            <w:tcBorders>
              <w:top w:val="single" w:sz="8" w:space="0" w:color="448A99"/>
              <w:left w:val="single" w:sz="8" w:space="0" w:color="448A99"/>
              <w:bottom w:val="single" w:sz="8" w:space="0" w:color="448A99"/>
              <w:right w:val="single" w:sz="8" w:space="0" w:color="448A99"/>
            </w:tcBorders>
            <w:vAlign w:val="center"/>
          </w:tcPr>
          <w:p w:rsidR="008A2056" w:rsidRPr="00B75B77" w:rsidRDefault="008A2056" w:rsidP="00CA16D1">
            <w:pPr>
              <w:pStyle w:val="TableText"/>
              <w:jc w:val="center"/>
              <w:cnfStyle w:val="000000010000" w:firstRow="0" w:lastRow="0" w:firstColumn="0" w:lastColumn="0" w:oddVBand="0" w:evenVBand="0" w:oddHBand="0" w:evenHBand="1" w:firstRowFirstColumn="0" w:firstRowLastColumn="0" w:lastRowFirstColumn="0" w:lastRowLastColumn="0"/>
            </w:pPr>
            <w:r w:rsidRPr="00B75B77">
              <w:t>13</w:t>
            </w:r>
          </w:p>
        </w:tc>
        <w:tc>
          <w:tcPr>
            <w:tcW w:w="880" w:type="pct"/>
            <w:tcBorders>
              <w:top w:val="single" w:sz="8" w:space="0" w:color="448A99"/>
              <w:left w:val="single" w:sz="8" w:space="0" w:color="448A99"/>
              <w:bottom w:val="single" w:sz="8" w:space="0" w:color="448A99"/>
              <w:right w:val="single" w:sz="8" w:space="0" w:color="448A99"/>
            </w:tcBorders>
            <w:vAlign w:val="center"/>
          </w:tcPr>
          <w:p w:rsidR="008A2056" w:rsidRPr="00B75B77" w:rsidRDefault="008A2056" w:rsidP="00CA16D1">
            <w:pPr>
              <w:pStyle w:val="TableText"/>
              <w:jc w:val="center"/>
              <w:cnfStyle w:val="000000010000" w:firstRow="0" w:lastRow="0" w:firstColumn="0" w:lastColumn="0" w:oddVBand="0" w:evenVBand="0" w:oddHBand="0" w:evenHBand="1" w:firstRowFirstColumn="0" w:firstRowLastColumn="0" w:lastRowFirstColumn="0" w:lastRowLastColumn="0"/>
            </w:pPr>
            <w:r w:rsidRPr="00B75B77">
              <w:t>85/15</w:t>
            </w:r>
          </w:p>
        </w:tc>
        <w:tc>
          <w:tcPr>
            <w:tcW w:w="536" w:type="pct"/>
            <w:tcBorders>
              <w:top w:val="single" w:sz="8" w:space="0" w:color="448A99"/>
              <w:left w:val="single" w:sz="8" w:space="0" w:color="448A99"/>
              <w:bottom w:val="single" w:sz="8" w:space="0" w:color="448A99"/>
              <w:right w:val="single" w:sz="8" w:space="0" w:color="448A99"/>
            </w:tcBorders>
            <w:vAlign w:val="center"/>
          </w:tcPr>
          <w:p w:rsidR="008A2056" w:rsidRPr="00B75B77" w:rsidRDefault="008A2056" w:rsidP="00CA16D1">
            <w:pPr>
              <w:pStyle w:val="TableText"/>
              <w:jc w:val="center"/>
              <w:cnfStyle w:val="000000010000" w:firstRow="0" w:lastRow="0" w:firstColumn="0" w:lastColumn="0" w:oddVBand="0" w:evenVBand="0" w:oddHBand="0" w:evenHBand="1" w:firstRowFirstColumn="0" w:firstRowLastColumn="0" w:lastRowFirstColumn="0" w:lastRowLastColumn="0"/>
            </w:pPr>
            <w:r w:rsidRPr="00B75B77">
              <w:t>3</w:t>
            </w:r>
          </w:p>
        </w:tc>
        <w:tc>
          <w:tcPr>
            <w:tcW w:w="1893" w:type="pct"/>
            <w:tcBorders>
              <w:top w:val="single" w:sz="8" w:space="0" w:color="448A99"/>
              <w:left w:val="single" w:sz="8" w:space="0" w:color="448A99"/>
              <w:bottom w:val="single" w:sz="8" w:space="0" w:color="448A99"/>
            </w:tcBorders>
            <w:vAlign w:val="center"/>
          </w:tcPr>
          <w:p w:rsidR="008A2056" w:rsidRPr="00B75B77" w:rsidRDefault="008A2056" w:rsidP="007456EB">
            <w:pPr>
              <w:pStyle w:val="TableText"/>
              <w:cnfStyle w:val="000000010000" w:firstRow="0" w:lastRow="0" w:firstColumn="0" w:lastColumn="0" w:oddVBand="0" w:evenVBand="0" w:oddHBand="0" w:evenHBand="1" w:firstRowFirstColumn="0" w:firstRowLastColumn="0" w:lastRowFirstColumn="0" w:lastRowLastColumn="0"/>
            </w:pPr>
            <w:r w:rsidRPr="00B75B77">
              <w:t xml:space="preserve">Desk </w:t>
            </w:r>
            <w:r w:rsidR="007456EB" w:rsidRPr="00B75B77">
              <w:t>r</w:t>
            </w:r>
            <w:r w:rsidRPr="00B75B77">
              <w:t xml:space="preserve">eview and </w:t>
            </w:r>
            <w:r w:rsidR="007456EB" w:rsidRPr="00B75B77">
              <w:t>o</w:t>
            </w:r>
            <w:r w:rsidR="00685BDE" w:rsidRPr="00B75B77">
              <w:t>nsite</w:t>
            </w:r>
            <w:r w:rsidRPr="00B75B77">
              <w:t xml:space="preserve"> M&amp;V</w:t>
            </w:r>
          </w:p>
        </w:tc>
      </w:tr>
      <w:tr w:rsidR="008A2056" w:rsidRPr="00B75B77" w:rsidTr="00A154F7">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999" w:type="pct"/>
            <w:tcBorders>
              <w:top w:val="single" w:sz="8" w:space="0" w:color="448A99"/>
              <w:bottom w:val="single" w:sz="8" w:space="0" w:color="448A99"/>
              <w:right w:val="single" w:sz="8" w:space="0" w:color="448A99"/>
            </w:tcBorders>
            <w:shd w:val="clear" w:color="auto" w:fill="D2EAF1"/>
            <w:vAlign w:val="center"/>
          </w:tcPr>
          <w:p w:rsidR="008A2056" w:rsidRPr="00B75B77" w:rsidRDefault="008A2056" w:rsidP="00CA16D1">
            <w:pPr>
              <w:pStyle w:val="TableText"/>
              <w:rPr>
                <w:b w:val="0"/>
              </w:rPr>
            </w:pPr>
            <w:r w:rsidRPr="00B75B77">
              <w:rPr>
                <w:rFonts w:ascii="Calibri" w:eastAsia="Times New Roman" w:hAnsi="Calibri"/>
                <w:b w:val="0"/>
              </w:rPr>
              <w:t>Small Q1-Q3</w:t>
            </w:r>
          </w:p>
        </w:tc>
        <w:tc>
          <w:tcPr>
            <w:tcW w:w="692" w:type="pct"/>
            <w:tcBorders>
              <w:top w:val="single" w:sz="8" w:space="0" w:color="448A99"/>
              <w:left w:val="single" w:sz="8" w:space="0" w:color="448A99"/>
              <w:bottom w:val="single" w:sz="8" w:space="0" w:color="448A99"/>
              <w:right w:val="single" w:sz="8" w:space="0" w:color="448A99"/>
            </w:tcBorders>
            <w:shd w:val="clear" w:color="auto" w:fill="D2EAF1"/>
            <w:vAlign w:val="center"/>
          </w:tcPr>
          <w:p w:rsidR="008A2056" w:rsidRPr="00B75B77" w:rsidRDefault="008A2056" w:rsidP="00CA16D1">
            <w:pPr>
              <w:pStyle w:val="TableText"/>
              <w:jc w:val="center"/>
              <w:cnfStyle w:val="000000100000" w:firstRow="0" w:lastRow="0" w:firstColumn="0" w:lastColumn="0" w:oddVBand="0" w:evenVBand="0" w:oddHBand="1" w:evenHBand="0" w:firstRowFirstColumn="0" w:firstRowLastColumn="0" w:lastRowFirstColumn="0" w:lastRowLastColumn="0"/>
            </w:pPr>
            <w:r w:rsidRPr="00B75B77">
              <w:t>80</w:t>
            </w:r>
          </w:p>
        </w:tc>
        <w:tc>
          <w:tcPr>
            <w:tcW w:w="880" w:type="pct"/>
            <w:tcBorders>
              <w:top w:val="single" w:sz="8" w:space="0" w:color="448A99"/>
              <w:left w:val="single" w:sz="8" w:space="0" w:color="448A99"/>
              <w:bottom w:val="single" w:sz="8" w:space="0" w:color="448A99"/>
              <w:right w:val="single" w:sz="8" w:space="0" w:color="448A99"/>
            </w:tcBorders>
            <w:vAlign w:val="center"/>
          </w:tcPr>
          <w:p w:rsidR="008A2056" w:rsidRPr="00B75B77" w:rsidRDefault="008A2056" w:rsidP="00CA16D1">
            <w:pPr>
              <w:pStyle w:val="TableText"/>
              <w:jc w:val="center"/>
              <w:cnfStyle w:val="000000100000" w:firstRow="0" w:lastRow="0" w:firstColumn="0" w:lastColumn="0" w:oddVBand="0" w:evenVBand="0" w:oddHBand="1" w:evenHBand="0" w:firstRowFirstColumn="0" w:firstRowLastColumn="0" w:lastRowFirstColumn="0" w:lastRowLastColumn="0"/>
            </w:pPr>
            <w:r w:rsidRPr="00B75B77">
              <w:t>85/15</w:t>
            </w:r>
          </w:p>
        </w:tc>
        <w:tc>
          <w:tcPr>
            <w:tcW w:w="536" w:type="pct"/>
            <w:tcBorders>
              <w:top w:val="single" w:sz="8" w:space="0" w:color="448A99"/>
              <w:left w:val="single" w:sz="8" w:space="0" w:color="448A99"/>
              <w:bottom w:val="single" w:sz="8" w:space="0" w:color="448A99"/>
              <w:right w:val="single" w:sz="8" w:space="0" w:color="448A99"/>
            </w:tcBorders>
            <w:vAlign w:val="center"/>
          </w:tcPr>
          <w:p w:rsidR="008A2056" w:rsidRPr="00B75B77" w:rsidRDefault="008A2056" w:rsidP="00CA16D1">
            <w:pPr>
              <w:pStyle w:val="TableText"/>
              <w:jc w:val="center"/>
              <w:cnfStyle w:val="000000100000" w:firstRow="0" w:lastRow="0" w:firstColumn="0" w:lastColumn="0" w:oddVBand="0" w:evenVBand="0" w:oddHBand="1" w:evenHBand="0" w:firstRowFirstColumn="0" w:firstRowLastColumn="0" w:lastRowFirstColumn="0" w:lastRowLastColumn="0"/>
            </w:pPr>
            <w:r w:rsidRPr="00B75B77">
              <w:t>8</w:t>
            </w:r>
          </w:p>
        </w:tc>
        <w:tc>
          <w:tcPr>
            <w:tcW w:w="1893" w:type="pct"/>
            <w:tcBorders>
              <w:top w:val="single" w:sz="8" w:space="0" w:color="448A99"/>
              <w:left w:val="single" w:sz="8" w:space="0" w:color="448A99"/>
              <w:bottom w:val="single" w:sz="8" w:space="0" w:color="448A99"/>
            </w:tcBorders>
            <w:vAlign w:val="center"/>
          </w:tcPr>
          <w:p w:rsidR="008A2056" w:rsidRPr="00B75B77" w:rsidRDefault="008A2056" w:rsidP="007456EB">
            <w:pPr>
              <w:pStyle w:val="TableText"/>
              <w:cnfStyle w:val="000000100000" w:firstRow="0" w:lastRow="0" w:firstColumn="0" w:lastColumn="0" w:oddVBand="0" w:evenVBand="0" w:oddHBand="1" w:evenHBand="0" w:firstRowFirstColumn="0" w:firstRowLastColumn="0" w:lastRowFirstColumn="0" w:lastRowLastColumn="0"/>
            </w:pPr>
            <w:r w:rsidRPr="00B75B77">
              <w:t xml:space="preserve">Desk </w:t>
            </w:r>
            <w:r w:rsidR="007456EB" w:rsidRPr="00B75B77">
              <w:t>r</w:t>
            </w:r>
            <w:r w:rsidRPr="00B75B77">
              <w:t xml:space="preserve">eview and </w:t>
            </w:r>
            <w:r w:rsidR="007456EB" w:rsidRPr="00B75B77">
              <w:t>t</w:t>
            </w:r>
            <w:r w:rsidRPr="00B75B77">
              <w:t xml:space="preserve">elephone </w:t>
            </w:r>
            <w:r w:rsidR="007456EB" w:rsidRPr="00B75B77">
              <w:t>v</w:t>
            </w:r>
            <w:r w:rsidRPr="00B75B77">
              <w:t>erification</w:t>
            </w:r>
          </w:p>
        </w:tc>
      </w:tr>
      <w:tr w:rsidR="008A2056" w:rsidRPr="00B75B77" w:rsidTr="00A154F7">
        <w:trPr>
          <w:cnfStyle w:val="000000010000" w:firstRow="0" w:lastRow="0" w:firstColumn="0" w:lastColumn="0" w:oddVBand="0" w:evenVBand="0" w:oddHBand="0" w:evenHBand="1"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999" w:type="pct"/>
            <w:tcBorders>
              <w:top w:val="single" w:sz="8" w:space="0" w:color="448A99"/>
              <w:bottom w:val="single" w:sz="8" w:space="0" w:color="448A99"/>
              <w:right w:val="single" w:sz="8" w:space="0" w:color="448A99"/>
            </w:tcBorders>
            <w:shd w:val="clear" w:color="auto" w:fill="auto"/>
            <w:vAlign w:val="center"/>
          </w:tcPr>
          <w:p w:rsidR="008A2056" w:rsidRPr="00B75B77" w:rsidRDefault="008A2056" w:rsidP="001B0760">
            <w:pPr>
              <w:pStyle w:val="TableText"/>
              <w:rPr>
                <w:b w:val="0"/>
              </w:rPr>
            </w:pPr>
            <w:r w:rsidRPr="00B75B77">
              <w:rPr>
                <w:rFonts w:ascii="Calibri" w:eastAsia="Times New Roman" w:hAnsi="Calibri"/>
                <w:b w:val="0"/>
              </w:rPr>
              <w:t>Small Q4-</w:t>
            </w:r>
            <w:r w:rsidR="001B0760" w:rsidRPr="00B75B77">
              <w:rPr>
                <w:rFonts w:ascii="Calibri" w:eastAsia="Times New Roman" w:hAnsi="Calibri"/>
                <w:b w:val="0"/>
              </w:rPr>
              <w:t>DZ</w:t>
            </w:r>
          </w:p>
        </w:tc>
        <w:tc>
          <w:tcPr>
            <w:tcW w:w="692" w:type="pct"/>
            <w:tcBorders>
              <w:top w:val="single" w:sz="8" w:space="0" w:color="448A99"/>
              <w:left w:val="single" w:sz="8" w:space="0" w:color="448A99"/>
              <w:bottom w:val="single" w:sz="8" w:space="0" w:color="448A99"/>
              <w:right w:val="single" w:sz="8" w:space="0" w:color="448A99"/>
            </w:tcBorders>
            <w:vAlign w:val="center"/>
          </w:tcPr>
          <w:p w:rsidR="008A2056" w:rsidRPr="00B75B77" w:rsidRDefault="008A2056" w:rsidP="00CA16D1">
            <w:pPr>
              <w:pStyle w:val="TableText"/>
              <w:jc w:val="center"/>
              <w:cnfStyle w:val="000000010000" w:firstRow="0" w:lastRow="0" w:firstColumn="0" w:lastColumn="0" w:oddVBand="0" w:evenVBand="0" w:oddHBand="0" w:evenHBand="1" w:firstRowFirstColumn="0" w:firstRowLastColumn="0" w:lastRowFirstColumn="0" w:lastRowLastColumn="0"/>
            </w:pPr>
            <w:r w:rsidRPr="00B75B77">
              <w:t>62</w:t>
            </w:r>
          </w:p>
        </w:tc>
        <w:tc>
          <w:tcPr>
            <w:tcW w:w="880" w:type="pct"/>
            <w:tcBorders>
              <w:top w:val="single" w:sz="8" w:space="0" w:color="448A99"/>
              <w:left w:val="single" w:sz="8" w:space="0" w:color="448A99"/>
              <w:bottom w:val="single" w:sz="8" w:space="0" w:color="448A99"/>
              <w:right w:val="single" w:sz="8" w:space="0" w:color="448A99"/>
            </w:tcBorders>
            <w:vAlign w:val="center"/>
          </w:tcPr>
          <w:p w:rsidR="008A2056" w:rsidRPr="00B75B77" w:rsidRDefault="008A2056" w:rsidP="00CA16D1">
            <w:pPr>
              <w:pStyle w:val="TableText"/>
              <w:jc w:val="center"/>
              <w:cnfStyle w:val="000000010000" w:firstRow="0" w:lastRow="0" w:firstColumn="0" w:lastColumn="0" w:oddVBand="0" w:evenVBand="0" w:oddHBand="0" w:evenHBand="1" w:firstRowFirstColumn="0" w:firstRowLastColumn="0" w:lastRowFirstColumn="0" w:lastRowLastColumn="0"/>
            </w:pPr>
            <w:r w:rsidRPr="00B75B77">
              <w:t>85/15</w:t>
            </w:r>
          </w:p>
        </w:tc>
        <w:tc>
          <w:tcPr>
            <w:tcW w:w="536" w:type="pct"/>
            <w:tcBorders>
              <w:top w:val="single" w:sz="8" w:space="0" w:color="448A99"/>
              <w:left w:val="single" w:sz="8" w:space="0" w:color="448A99"/>
              <w:bottom w:val="single" w:sz="8" w:space="0" w:color="448A99"/>
              <w:right w:val="single" w:sz="8" w:space="0" w:color="448A99"/>
            </w:tcBorders>
            <w:vAlign w:val="center"/>
          </w:tcPr>
          <w:p w:rsidR="008A2056" w:rsidRPr="00B75B77" w:rsidRDefault="008A2056" w:rsidP="00CA16D1">
            <w:pPr>
              <w:pStyle w:val="TableText"/>
              <w:jc w:val="center"/>
              <w:cnfStyle w:val="000000010000" w:firstRow="0" w:lastRow="0" w:firstColumn="0" w:lastColumn="0" w:oddVBand="0" w:evenVBand="0" w:oddHBand="0" w:evenHBand="1" w:firstRowFirstColumn="0" w:firstRowLastColumn="0" w:lastRowFirstColumn="0" w:lastRowLastColumn="0"/>
            </w:pPr>
            <w:r w:rsidRPr="00B75B77">
              <w:t>5</w:t>
            </w:r>
          </w:p>
        </w:tc>
        <w:tc>
          <w:tcPr>
            <w:tcW w:w="1893" w:type="pct"/>
            <w:tcBorders>
              <w:top w:val="single" w:sz="8" w:space="0" w:color="448A99"/>
              <w:left w:val="single" w:sz="8" w:space="0" w:color="448A99"/>
              <w:bottom w:val="single" w:sz="8" w:space="0" w:color="448A99"/>
            </w:tcBorders>
            <w:vAlign w:val="center"/>
          </w:tcPr>
          <w:p w:rsidR="008A2056" w:rsidRPr="00B75B77" w:rsidRDefault="008A2056" w:rsidP="007456EB">
            <w:pPr>
              <w:pStyle w:val="TableText"/>
              <w:cnfStyle w:val="000000010000" w:firstRow="0" w:lastRow="0" w:firstColumn="0" w:lastColumn="0" w:oddVBand="0" w:evenVBand="0" w:oddHBand="0" w:evenHBand="1" w:firstRowFirstColumn="0" w:firstRowLastColumn="0" w:lastRowFirstColumn="0" w:lastRowLastColumn="0"/>
            </w:pPr>
            <w:r w:rsidRPr="00B75B77">
              <w:t xml:space="preserve">Desk </w:t>
            </w:r>
            <w:r w:rsidR="007456EB" w:rsidRPr="00B75B77">
              <w:t>r</w:t>
            </w:r>
            <w:r w:rsidRPr="00B75B77">
              <w:t xml:space="preserve">eview and </w:t>
            </w:r>
            <w:r w:rsidR="007456EB" w:rsidRPr="00B75B77">
              <w:t>t</w:t>
            </w:r>
            <w:r w:rsidRPr="00B75B77">
              <w:t xml:space="preserve">elephone </w:t>
            </w:r>
            <w:r w:rsidR="007456EB" w:rsidRPr="00B75B77">
              <w:t>v</w:t>
            </w:r>
            <w:r w:rsidRPr="00B75B77">
              <w:t>erification</w:t>
            </w:r>
          </w:p>
        </w:tc>
      </w:tr>
      <w:tr w:rsidR="008A2056" w:rsidRPr="00B75B77" w:rsidTr="00A154F7">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999" w:type="pct"/>
            <w:tcBorders>
              <w:top w:val="single" w:sz="8" w:space="0" w:color="448A99"/>
              <w:bottom w:val="single" w:sz="8" w:space="0" w:color="448A99"/>
              <w:right w:val="single" w:sz="8" w:space="0" w:color="448A99"/>
            </w:tcBorders>
            <w:vAlign w:val="center"/>
          </w:tcPr>
          <w:p w:rsidR="008A2056" w:rsidRPr="00B75B77" w:rsidRDefault="008A2056" w:rsidP="00CA16D1">
            <w:pPr>
              <w:pStyle w:val="TableHeader"/>
              <w:jc w:val="left"/>
              <w:rPr>
                <w:caps/>
              </w:rPr>
            </w:pPr>
            <w:r w:rsidRPr="00B75B77">
              <w:rPr>
                <w:rFonts w:ascii="Calibri" w:eastAsia="Times New Roman" w:hAnsi="Calibri"/>
              </w:rPr>
              <w:t>Large Whole</w:t>
            </w:r>
            <w:r w:rsidR="007456EB" w:rsidRPr="00B75B77">
              <w:rPr>
                <w:rFonts w:ascii="Calibri" w:eastAsia="Times New Roman" w:hAnsi="Calibri"/>
              </w:rPr>
              <w:t>-</w:t>
            </w:r>
            <w:r w:rsidRPr="00B75B77">
              <w:rPr>
                <w:rFonts w:ascii="Calibri" w:eastAsia="Times New Roman" w:hAnsi="Calibri"/>
              </w:rPr>
              <w:t>Building Q1-Q3</w:t>
            </w:r>
          </w:p>
        </w:tc>
        <w:tc>
          <w:tcPr>
            <w:tcW w:w="692" w:type="pct"/>
            <w:tcBorders>
              <w:top w:val="single" w:sz="8" w:space="0" w:color="448A99"/>
              <w:left w:val="single" w:sz="8" w:space="0" w:color="448A99"/>
              <w:bottom w:val="single" w:sz="8" w:space="0" w:color="448A99"/>
              <w:right w:val="single" w:sz="8" w:space="0" w:color="448A99"/>
            </w:tcBorders>
            <w:vAlign w:val="center"/>
          </w:tcPr>
          <w:p w:rsidR="008A2056" w:rsidRPr="00B75B77" w:rsidRDefault="008A2056" w:rsidP="00CA16D1">
            <w:pPr>
              <w:pStyle w:val="TableText"/>
              <w:jc w:val="center"/>
              <w:cnfStyle w:val="000000100000" w:firstRow="0" w:lastRow="0" w:firstColumn="0" w:lastColumn="0" w:oddVBand="0" w:evenVBand="0" w:oddHBand="1" w:evenHBand="0" w:firstRowFirstColumn="0" w:firstRowLastColumn="0" w:lastRowFirstColumn="0" w:lastRowLastColumn="0"/>
            </w:pPr>
            <w:r w:rsidRPr="00B75B77">
              <w:t>7</w:t>
            </w:r>
          </w:p>
        </w:tc>
        <w:tc>
          <w:tcPr>
            <w:tcW w:w="880" w:type="pct"/>
            <w:tcBorders>
              <w:top w:val="single" w:sz="8" w:space="0" w:color="448A99"/>
              <w:left w:val="single" w:sz="8" w:space="0" w:color="448A99"/>
              <w:bottom w:val="single" w:sz="8" w:space="0" w:color="448A99"/>
              <w:right w:val="single" w:sz="8" w:space="0" w:color="448A99"/>
            </w:tcBorders>
            <w:vAlign w:val="center"/>
          </w:tcPr>
          <w:p w:rsidR="008A2056" w:rsidRPr="00B75B77" w:rsidRDefault="008A2056" w:rsidP="00CA16D1">
            <w:pPr>
              <w:pStyle w:val="TableText"/>
              <w:jc w:val="center"/>
              <w:cnfStyle w:val="000000100000" w:firstRow="0" w:lastRow="0" w:firstColumn="0" w:lastColumn="0" w:oddVBand="0" w:evenVBand="0" w:oddHBand="1" w:evenHBand="0" w:firstRowFirstColumn="0" w:firstRowLastColumn="0" w:lastRowFirstColumn="0" w:lastRowLastColumn="0"/>
            </w:pPr>
            <w:r w:rsidRPr="00B75B77">
              <w:t>85/15</w:t>
            </w:r>
          </w:p>
        </w:tc>
        <w:tc>
          <w:tcPr>
            <w:tcW w:w="536" w:type="pct"/>
            <w:tcBorders>
              <w:top w:val="single" w:sz="8" w:space="0" w:color="448A99"/>
              <w:left w:val="single" w:sz="8" w:space="0" w:color="448A99"/>
              <w:bottom w:val="single" w:sz="8" w:space="0" w:color="448A99"/>
              <w:right w:val="single" w:sz="8" w:space="0" w:color="448A99"/>
            </w:tcBorders>
            <w:vAlign w:val="center"/>
          </w:tcPr>
          <w:p w:rsidR="008A2056" w:rsidRPr="00B75B77" w:rsidRDefault="008A2056" w:rsidP="00CA16D1">
            <w:pPr>
              <w:pStyle w:val="TableText"/>
              <w:jc w:val="center"/>
              <w:cnfStyle w:val="000000100000" w:firstRow="0" w:lastRow="0" w:firstColumn="0" w:lastColumn="0" w:oddVBand="0" w:evenVBand="0" w:oddHBand="1" w:evenHBand="0" w:firstRowFirstColumn="0" w:firstRowLastColumn="0" w:lastRowFirstColumn="0" w:lastRowLastColumn="0"/>
            </w:pPr>
            <w:r w:rsidRPr="00B75B77">
              <w:t>5</w:t>
            </w:r>
          </w:p>
        </w:tc>
        <w:tc>
          <w:tcPr>
            <w:tcW w:w="1893" w:type="pct"/>
            <w:tcBorders>
              <w:top w:val="single" w:sz="8" w:space="0" w:color="448A99"/>
              <w:left w:val="single" w:sz="8" w:space="0" w:color="448A99"/>
              <w:bottom w:val="single" w:sz="8" w:space="0" w:color="448A99"/>
            </w:tcBorders>
            <w:vAlign w:val="center"/>
          </w:tcPr>
          <w:p w:rsidR="008A2056" w:rsidRPr="00B75B77" w:rsidRDefault="008A2056" w:rsidP="007456EB">
            <w:pPr>
              <w:pStyle w:val="TableText"/>
              <w:cnfStyle w:val="000000100000" w:firstRow="0" w:lastRow="0" w:firstColumn="0" w:lastColumn="0" w:oddVBand="0" w:evenVBand="0" w:oddHBand="1" w:evenHBand="0" w:firstRowFirstColumn="0" w:firstRowLastColumn="0" w:lastRowFirstColumn="0" w:lastRowLastColumn="0"/>
            </w:pPr>
            <w:r w:rsidRPr="00B75B77">
              <w:t xml:space="preserve">Desk </w:t>
            </w:r>
            <w:r w:rsidR="007456EB" w:rsidRPr="00B75B77">
              <w:t>r</w:t>
            </w:r>
            <w:r w:rsidRPr="00B75B77">
              <w:t xml:space="preserve">eview, </w:t>
            </w:r>
            <w:r w:rsidR="00685BDE" w:rsidRPr="00B75B77">
              <w:t>Onsite</w:t>
            </w:r>
            <w:r w:rsidRPr="00B75B77">
              <w:t xml:space="preserve"> M&amp;V</w:t>
            </w:r>
            <w:r w:rsidR="007456EB" w:rsidRPr="00B75B77">
              <w:t>,</w:t>
            </w:r>
            <w:r w:rsidRPr="00B75B77">
              <w:t xml:space="preserve"> and </w:t>
            </w:r>
            <w:r w:rsidR="007456EB" w:rsidRPr="00B75B77">
              <w:t>w</w:t>
            </w:r>
            <w:r w:rsidRPr="00B75B77">
              <w:t>hole-</w:t>
            </w:r>
            <w:r w:rsidR="007456EB" w:rsidRPr="00B75B77">
              <w:t>b</w:t>
            </w:r>
            <w:r w:rsidRPr="00B75B77">
              <w:t xml:space="preserve">uilding </w:t>
            </w:r>
            <w:r w:rsidR="007456EB" w:rsidRPr="00B75B77">
              <w:t>e</w:t>
            </w:r>
            <w:r w:rsidRPr="00B75B77">
              <w:t xml:space="preserve">nergy </w:t>
            </w:r>
            <w:r w:rsidR="007456EB" w:rsidRPr="00B75B77">
              <w:t>m</w:t>
            </w:r>
            <w:r w:rsidRPr="00B75B77">
              <w:t>odel</w:t>
            </w:r>
          </w:p>
        </w:tc>
      </w:tr>
      <w:tr w:rsidR="008A2056" w:rsidRPr="00B75B77" w:rsidTr="00A154F7">
        <w:trPr>
          <w:cnfStyle w:val="000000010000" w:firstRow="0" w:lastRow="0" w:firstColumn="0" w:lastColumn="0" w:oddVBand="0" w:evenVBand="0" w:oddHBand="0" w:evenHBand="1"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999" w:type="pct"/>
            <w:tcBorders>
              <w:top w:val="single" w:sz="8" w:space="0" w:color="448A99"/>
              <w:bottom w:val="single" w:sz="8" w:space="0" w:color="448A99"/>
              <w:right w:val="single" w:sz="8" w:space="0" w:color="448A99"/>
            </w:tcBorders>
            <w:vAlign w:val="center"/>
          </w:tcPr>
          <w:p w:rsidR="008A2056" w:rsidRPr="00B75B77" w:rsidRDefault="008A2056" w:rsidP="001B0760">
            <w:pPr>
              <w:pStyle w:val="TableHeader"/>
              <w:jc w:val="left"/>
              <w:rPr>
                <w:rFonts w:ascii="Calibri" w:eastAsia="Times New Roman" w:hAnsi="Calibri"/>
              </w:rPr>
            </w:pPr>
            <w:r w:rsidRPr="00B75B77">
              <w:rPr>
                <w:rFonts w:ascii="Calibri" w:eastAsia="Times New Roman" w:hAnsi="Calibri"/>
              </w:rPr>
              <w:t>Large Whole</w:t>
            </w:r>
            <w:r w:rsidR="007456EB" w:rsidRPr="00B75B77">
              <w:rPr>
                <w:rFonts w:ascii="Calibri" w:eastAsia="Times New Roman" w:hAnsi="Calibri"/>
              </w:rPr>
              <w:t>-</w:t>
            </w:r>
            <w:r w:rsidRPr="00B75B77">
              <w:rPr>
                <w:rFonts w:ascii="Calibri" w:eastAsia="Times New Roman" w:hAnsi="Calibri"/>
              </w:rPr>
              <w:t>Building Q4-</w:t>
            </w:r>
            <w:r w:rsidR="001B0760" w:rsidRPr="00B75B77">
              <w:rPr>
                <w:rFonts w:ascii="Calibri" w:eastAsia="Times New Roman" w:hAnsi="Calibri"/>
              </w:rPr>
              <w:t>DZ</w:t>
            </w:r>
          </w:p>
        </w:tc>
        <w:tc>
          <w:tcPr>
            <w:tcW w:w="692" w:type="pct"/>
            <w:tcBorders>
              <w:top w:val="single" w:sz="8" w:space="0" w:color="448A99"/>
              <w:left w:val="single" w:sz="8" w:space="0" w:color="448A99"/>
              <w:bottom w:val="single" w:sz="8" w:space="0" w:color="448A99"/>
              <w:right w:val="single" w:sz="8" w:space="0" w:color="448A99"/>
            </w:tcBorders>
            <w:vAlign w:val="center"/>
          </w:tcPr>
          <w:p w:rsidR="008A2056" w:rsidRPr="00B75B77" w:rsidDel="00992D54" w:rsidRDefault="008A2056" w:rsidP="00CA16D1">
            <w:pPr>
              <w:pStyle w:val="TableText"/>
              <w:jc w:val="center"/>
              <w:cnfStyle w:val="000000010000" w:firstRow="0" w:lastRow="0" w:firstColumn="0" w:lastColumn="0" w:oddVBand="0" w:evenVBand="0" w:oddHBand="0" w:evenHBand="1" w:firstRowFirstColumn="0" w:firstRowLastColumn="0" w:lastRowFirstColumn="0" w:lastRowLastColumn="0"/>
            </w:pPr>
            <w:r w:rsidRPr="00B75B77">
              <w:t>4</w:t>
            </w:r>
          </w:p>
        </w:tc>
        <w:tc>
          <w:tcPr>
            <w:tcW w:w="880" w:type="pct"/>
            <w:tcBorders>
              <w:top w:val="single" w:sz="8" w:space="0" w:color="448A99"/>
              <w:left w:val="single" w:sz="8" w:space="0" w:color="448A99"/>
              <w:bottom w:val="single" w:sz="8" w:space="0" w:color="448A99"/>
              <w:right w:val="single" w:sz="8" w:space="0" w:color="448A99"/>
            </w:tcBorders>
            <w:vAlign w:val="center"/>
          </w:tcPr>
          <w:p w:rsidR="008A2056" w:rsidRPr="00B75B77" w:rsidRDefault="008A2056" w:rsidP="00CA16D1">
            <w:pPr>
              <w:pStyle w:val="TableText"/>
              <w:jc w:val="center"/>
              <w:cnfStyle w:val="000000010000" w:firstRow="0" w:lastRow="0" w:firstColumn="0" w:lastColumn="0" w:oddVBand="0" w:evenVBand="0" w:oddHBand="0" w:evenHBand="1" w:firstRowFirstColumn="0" w:firstRowLastColumn="0" w:lastRowFirstColumn="0" w:lastRowLastColumn="0"/>
            </w:pPr>
            <w:r w:rsidRPr="00B75B77">
              <w:t>85/15</w:t>
            </w:r>
          </w:p>
        </w:tc>
        <w:tc>
          <w:tcPr>
            <w:tcW w:w="536" w:type="pct"/>
            <w:tcBorders>
              <w:top w:val="single" w:sz="8" w:space="0" w:color="448A99"/>
              <w:left w:val="single" w:sz="8" w:space="0" w:color="448A99"/>
              <w:bottom w:val="single" w:sz="8" w:space="0" w:color="448A99"/>
              <w:right w:val="single" w:sz="8" w:space="0" w:color="448A99"/>
            </w:tcBorders>
            <w:vAlign w:val="center"/>
          </w:tcPr>
          <w:p w:rsidR="008A2056" w:rsidRPr="00B75B77" w:rsidRDefault="008A2056" w:rsidP="00CA16D1">
            <w:pPr>
              <w:pStyle w:val="TableText"/>
              <w:jc w:val="center"/>
              <w:cnfStyle w:val="000000010000" w:firstRow="0" w:lastRow="0" w:firstColumn="0" w:lastColumn="0" w:oddVBand="0" w:evenVBand="0" w:oddHBand="0" w:evenHBand="1" w:firstRowFirstColumn="0" w:firstRowLastColumn="0" w:lastRowFirstColumn="0" w:lastRowLastColumn="0"/>
            </w:pPr>
            <w:r w:rsidRPr="00B75B77">
              <w:t>2</w:t>
            </w:r>
          </w:p>
        </w:tc>
        <w:tc>
          <w:tcPr>
            <w:tcW w:w="1893" w:type="pct"/>
            <w:tcBorders>
              <w:top w:val="single" w:sz="8" w:space="0" w:color="448A99"/>
              <w:left w:val="single" w:sz="8" w:space="0" w:color="448A99"/>
              <w:bottom w:val="single" w:sz="8" w:space="0" w:color="448A99"/>
            </w:tcBorders>
            <w:vAlign w:val="center"/>
          </w:tcPr>
          <w:p w:rsidR="008A2056" w:rsidRPr="00B75B77" w:rsidRDefault="008A2056" w:rsidP="007456EB">
            <w:pPr>
              <w:pStyle w:val="TableText"/>
              <w:cnfStyle w:val="000000010000" w:firstRow="0" w:lastRow="0" w:firstColumn="0" w:lastColumn="0" w:oddVBand="0" w:evenVBand="0" w:oddHBand="0" w:evenHBand="1" w:firstRowFirstColumn="0" w:firstRowLastColumn="0" w:lastRowFirstColumn="0" w:lastRowLastColumn="0"/>
            </w:pPr>
            <w:r w:rsidRPr="00B75B77">
              <w:t xml:space="preserve">Desk </w:t>
            </w:r>
            <w:r w:rsidR="007456EB" w:rsidRPr="00B75B77">
              <w:t>r</w:t>
            </w:r>
            <w:r w:rsidRPr="00B75B77">
              <w:t xml:space="preserve">eview, </w:t>
            </w:r>
            <w:r w:rsidR="007456EB" w:rsidRPr="00B75B77">
              <w:t>o</w:t>
            </w:r>
            <w:r w:rsidR="00685BDE" w:rsidRPr="00B75B77">
              <w:t>nsite</w:t>
            </w:r>
            <w:r w:rsidRPr="00B75B77">
              <w:t xml:space="preserve"> M&amp;V</w:t>
            </w:r>
            <w:r w:rsidR="007456EB" w:rsidRPr="00B75B77">
              <w:t>,</w:t>
            </w:r>
            <w:r w:rsidRPr="00B75B77">
              <w:t xml:space="preserve"> and </w:t>
            </w:r>
            <w:r w:rsidR="007456EB" w:rsidRPr="00B75B77">
              <w:t>w</w:t>
            </w:r>
            <w:r w:rsidRPr="00B75B77">
              <w:t>hole-</w:t>
            </w:r>
            <w:r w:rsidR="007456EB" w:rsidRPr="00B75B77">
              <w:t>b</w:t>
            </w:r>
            <w:r w:rsidRPr="00B75B77">
              <w:t xml:space="preserve">uilding </w:t>
            </w:r>
            <w:r w:rsidR="007456EB" w:rsidRPr="00B75B77">
              <w:t>e</w:t>
            </w:r>
            <w:r w:rsidRPr="00B75B77">
              <w:t xml:space="preserve">nergy </w:t>
            </w:r>
            <w:r w:rsidR="007456EB" w:rsidRPr="00B75B77">
              <w:t>m</w:t>
            </w:r>
            <w:r w:rsidRPr="00B75B77">
              <w:t>odel</w:t>
            </w:r>
          </w:p>
        </w:tc>
      </w:tr>
      <w:tr w:rsidR="008A2056" w:rsidRPr="00B75B77" w:rsidTr="00A154F7">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999" w:type="pct"/>
            <w:tcBorders>
              <w:top w:val="single" w:sz="8" w:space="0" w:color="448A99"/>
              <w:bottom w:val="single" w:sz="8" w:space="0" w:color="448A99"/>
              <w:right w:val="single" w:sz="8" w:space="0" w:color="448A99"/>
            </w:tcBorders>
            <w:vAlign w:val="center"/>
          </w:tcPr>
          <w:p w:rsidR="008A2056" w:rsidRPr="00B75B77" w:rsidRDefault="008A2056" w:rsidP="00CA16D1">
            <w:pPr>
              <w:pStyle w:val="TableHeader"/>
              <w:jc w:val="left"/>
              <w:rPr>
                <w:rFonts w:ascii="Calibri" w:eastAsia="Times New Roman" w:hAnsi="Calibri"/>
              </w:rPr>
            </w:pPr>
            <w:r w:rsidRPr="00B75B77">
              <w:rPr>
                <w:rFonts w:ascii="Calibri" w:eastAsia="Times New Roman" w:hAnsi="Calibri"/>
              </w:rPr>
              <w:t>Small Whole</w:t>
            </w:r>
            <w:r w:rsidR="007456EB" w:rsidRPr="00B75B77">
              <w:rPr>
                <w:rFonts w:ascii="Calibri" w:eastAsia="Times New Roman" w:hAnsi="Calibri"/>
              </w:rPr>
              <w:t>-</w:t>
            </w:r>
            <w:r w:rsidRPr="00B75B77">
              <w:rPr>
                <w:rFonts w:ascii="Calibri" w:eastAsia="Times New Roman" w:hAnsi="Calibri"/>
              </w:rPr>
              <w:t>Building Q1-Q3</w:t>
            </w:r>
          </w:p>
        </w:tc>
        <w:tc>
          <w:tcPr>
            <w:tcW w:w="692" w:type="pct"/>
            <w:tcBorders>
              <w:top w:val="single" w:sz="8" w:space="0" w:color="448A99"/>
              <w:left w:val="single" w:sz="8" w:space="0" w:color="448A99"/>
              <w:bottom w:val="single" w:sz="8" w:space="0" w:color="448A99"/>
              <w:right w:val="single" w:sz="8" w:space="0" w:color="448A99"/>
            </w:tcBorders>
            <w:vAlign w:val="center"/>
          </w:tcPr>
          <w:p w:rsidR="008A2056" w:rsidRPr="00B75B77" w:rsidDel="00992D54" w:rsidRDefault="008A2056" w:rsidP="00CA16D1">
            <w:pPr>
              <w:pStyle w:val="TableText"/>
              <w:jc w:val="center"/>
              <w:cnfStyle w:val="000000100000" w:firstRow="0" w:lastRow="0" w:firstColumn="0" w:lastColumn="0" w:oddVBand="0" w:evenVBand="0" w:oddHBand="1" w:evenHBand="0" w:firstRowFirstColumn="0" w:firstRowLastColumn="0" w:lastRowFirstColumn="0" w:lastRowLastColumn="0"/>
            </w:pPr>
            <w:r w:rsidRPr="00B75B77">
              <w:t>3</w:t>
            </w:r>
          </w:p>
        </w:tc>
        <w:tc>
          <w:tcPr>
            <w:tcW w:w="880" w:type="pct"/>
            <w:tcBorders>
              <w:top w:val="single" w:sz="8" w:space="0" w:color="448A99"/>
              <w:left w:val="single" w:sz="8" w:space="0" w:color="448A99"/>
              <w:bottom w:val="single" w:sz="8" w:space="0" w:color="448A99"/>
              <w:right w:val="single" w:sz="8" w:space="0" w:color="448A99"/>
            </w:tcBorders>
            <w:vAlign w:val="center"/>
          </w:tcPr>
          <w:p w:rsidR="008A2056" w:rsidRPr="00B75B77" w:rsidRDefault="008A2056" w:rsidP="00CA16D1">
            <w:pPr>
              <w:pStyle w:val="TableText"/>
              <w:jc w:val="center"/>
              <w:cnfStyle w:val="000000100000" w:firstRow="0" w:lastRow="0" w:firstColumn="0" w:lastColumn="0" w:oddVBand="0" w:evenVBand="0" w:oddHBand="1" w:evenHBand="0" w:firstRowFirstColumn="0" w:firstRowLastColumn="0" w:lastRowFirstColumn="0" w:lastRowLastColumn="0"/>
            </w:pPr>
            <w:r w:rsidRPr="00B75B77">
              <w:t>85/15</w:t>
            </w:r>
          </w:p>
        </w:tc>
        <w:tc>
          <w:tcPr>
            <w:tcW w:w="536" w:type="pct"/>
            <w:tcBorders>
              <w:top w:val="single" w:sz="8" w:space="0" w:color="448A99"/>
              <w:left w:val="single" w:sz="8" w:space="0" w:color="448A99"/>
              <w:bottom w:val="single" w:sz="8" w:space="0" w:color="448A99"/>
              <w:right w:val="single" w:sz="8" w:space="0" w:color="448A99"/>
            </w:tcBorders>
            <w:vAlign w:val="center"/>
          </w:tcPr>
          <w:p w:rsidR="008A2056" w:rsidRPr="00B75B77" w:rsidRDefault="008A2056" w:rsidP="00CA16D1">
            <w:pPr>
              <w:pStyle w:val="TableText"/>
              <w:jc w:val="center"/>
              <w:cnfStyle w:val="000000100000" w:firstRow="0" w:lastRow="0" w:firstColumn="0" w:lastColumn="0" w:oddVBand="0" w:evenVBand="0" w:oddHBand="1" w:evenHBand="0" w:firstRowFirstColumn="0" w:firstRowLastColumn="0" w:lastRowFirstColumn="0" w:lastRowLastColumn="0"/>
            </w:pPr>
            <w:r w:rsidRPr="00B75B77">
              <w:t>2</w:t>
            </w:r>
          </w:p>
        </w:tc>
        <w:tc>
          <w:tcPr>
            <w:tcW w:w="1893" w:type="pct"/>
            <w:tcBorders>
              <w:top w:val="single" w:sz="8" w:space="0" w:color="448A99"/>
              <w:left w:val="single" w:sz="8" w:space="0" w:color="448A99"/>
              <w:bottom w:val="single" w:sz="8" w:space="0" w:color="448A99"/>
            </w:tcBorders>
            <w:vAlign w:val="center"/>
          </w:tcPr>
          <w:p w:rsidR="008A2056" w:rsidRPr="00B75B77" w:rsidRDefault="008A2056" w:rsidP="007456EB">
            <w:pPr>
              <w:pStyle w:val="TableText"/>
              <w:cnfStyle w:val="000000100000" w:firstRow="0" w:lastRow="0" w:firstColumn="0" w:lastColumn="0" w:oddVBand="0" w:evenVBand="0" w:oddHBand="1" w:evenHBand="0" w:firstRowFirstColumn="0" w:firstRowLastColumn="0" w:lastRowFirstColumn="0" w:lastRowLastColumn="0"/>
            </w:pPr>
            <w:r w:rsidRPr="00B75B77">
              <w:t xml:space="preserve">Desk </w:t>
            </w:r>
            <w:r w:rsidR="007456EB" w:rsidRPr="00B75B77">
              <w:t>r</w:t>
            </w:r>
            <w:r w:rsidRPr="00B75B77">
              <w:t xml:space="preserve">eview, </w:t>
            </w:r>
            <w:r w:rsidR="007456EB" w:rsidRPr="00B75B77">
              <w:t>t</w:t>
            </w:r>
            <w:r w:rsidRPr="00B75B77">
              <w:t xml:space="preserve">elephone </w:t>
            </w:r>
            <w:r w:rsidR="007456EB" w:rsidRPr="00B75B77">
              <w:t>v</w:t>
            </w:r>
            <w:r w:rsidRPr="00B75B77">
              <w:t>erification</w:t>
            </w:r>
            <w:r w:rsidR="007456EB" w:rsidRPr="00B75B77">
              <w:t>,</w:t>
            </w:r>
            <w:r w:rsidRPr="00B75B77">
              <w:t xml:space="preserve"> and </w:t>
            </w:r>
            <w:r w:rsidR="007456EB" w:rsidRPr="00B75B77">
              <w:t>w</w:t>
            </w:r>
            <w:r w:rsidRPr="00B75B77">
              <w:t>hole-</w:t>
            </w:r>
            <w:r w:rsidR="007456EB" w:rsidRPr="00B75B77">
              <w:t>b</w:t>
            </w:r>
            <w:r w:rsidRPr="00B75B77">
              <w:t xml:space="preserve">uilding </w:t>
            </w:r>
            <w:r w:rsidR="007456EB" w:rsidRPr="00B75B77">
              <w:t>e</w:t>
            </w:r>
            <w:r w:rsidRPr="00B75B77">
              <w:t xml:space="preserve">nergy </w:t>
            </w:r>
            <w:r w:rsidR="007456EB" w:rsidRPr="00B75B77">
              <w:t>m</w:t>
            </w:r>
            <w:r w:rsidRPr="00B75B77">
              <w:t>odel</w:t>
            </w:r>
          </w:p>
        </w:tc>
      </w:tr>
      <w:tr w:rsidR="008A2056" w:rsidRPr="00B75B77" w:rsidTr="00A154F7">
        <w:trPr>
          <w:cnfStyle w:val="000000010000" w:firstRow="0" w:lastRow="0" w:firstColumn="0" w:lastColumn="0" w:oddVBand="0" w:evenVBand="0" w:oddHBand="0" w:evenHBand="1"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999" w:type="pct"/>
            <w:tcBorders>
              <w:top w:val="single" w:sz="8" w:space="0" w:color="448A99"/>
              <w:right w:val="single" w:sz="8" w:space="0" w:color="448A99"/>
            </w:tcBorders>
            <w:vAlign w:val="center"/>
          </w:tcPr>
          <w:p w:rsidR="008A2056" w:rsidRPr="00B75B77" w:rsidRDefault="007456EB" w:rsidP="00CA16D1">
            <w:pPr>
              <w:pStyle w:val="TableHeader"/>
              <w:jc w:val="left"/>
              <w:rPr>
                <w:rFonts w:ascii="Calibri" w:eastAsia="Times New Roman" w:hAnsi="Calibri"/>
                <w:b/>
              </w:rPr>
            </w:pPr>
            <w:r w:rsidRPr="00B75B77">
              <w:rPr>
                <w:rFonts w:ascii="Calibri" w:eastAsia="Times New Roman" w:hAnsi="Calibri"/>
                <w:b/>
              </w:rPr>
              <w:t>PROGRAM TOTAL</w:t>
            </w:r>
          </w:p>
        </w:tc>
        <w:tc>
          <w:tcPr>
            <w:tcW w:w="692" w:type="pct"/>
            <w:tcBorders>
              <w:top w:val="single" w:sz="8" w:space="0" w:color="448A99"/>
              <w:left w:val="single" w:sz="8" w:space="0" w:color="448A99"/>
              <w:right w:val="single" w:sz="8" w:space="0" w:color="448A99"/>
            </w:tcBorders>
            <w:vAlign w:val="center"/>
          </w:tcPr>
          <w:p w:rsidR="008A2056" w:rsidRPr="00B75B77" w:rsidDel="00992D54" w:rsidRDefault="008A2056" w:rsidP="00CA16D1">
            <w:pPr>
              <w:pStyle w:val="TableText"/>
              <w:jc w:val="center"/>
              <w:cnfStyle w:val="000000010000" w:firstRow="0" w:lastRow="0" w:firstColumn="0" w:lastColumn="0" w:oddVBand="0" w:evenVBand="0" w:oddHBand="0" w:evenHBand="1" w:firstRowFirstColumn="0" w:firstRowLastColumn="0" w:lastRowFirstColumn="0" w:lastRowLastColumn="0"/>
              <w:rPr>
                <w:b/>
              </w:rPr>
            </w:pPr>
            <w:r w:rsidRPr="00B75B77">
              <w:rPr>
                <w:b/>
              </w:rPr>
              <w:t>182</w:t>
            </w:r>
          </w:p>
        </w:tc>
        <w:tc>
          <w:tcPr>
            <w:tcW w:w="880" w:type="pct"/>
            <w:tcBorders>
              <w:top w:val="single" w:sz="8" w:space="0" w:color="448A99"/>
              <w:left w:val="single" w:sz="8" w:space="0" w:color="448A99"/>
              <w:right w:val="single" w:sz="8" w:space="0" w:color="448A99"/>
            </w:tcBorders>
            <w:vAlign w:val="center"/>
          </w:tcPr>
          <w:p w:rsidR="008A2056" w:rsidRPr="00B75B77" w:rsidRDefault="00793203" w:rsidP="00CA16D1">
            <w:pPr>
              <w:pStyle w:val="TableText"/>
              <w:jc w:val="center"/>
              <w:cnfStyle w:val="000000010000" w:firstRow="0" w:lastRow="0" w:firstColumn="0" w:lastColumn="0" w:oddVBand="0" w:evenVBand="0" w:oddHBand="0" w:evenHBand="1" w:firstRowFirstColumn="0" w:firstRowLastColumn="0" w:lastRowFirstColumn="0" w:lastRowLastColumn="0"/>
              <w:rPr>
                <w:b/>
              </w:rPr>
            </w:pPr>
            <w:r w:rsidRPr="00B75B77">
              <w:rPr>
                <w:b/>
              </w:rPr>
              <w:t>85/15</w:t>
            </w:r>
          </w:p>
        </w:tc>
        <w:tc>
          <w:tcPr>
            <w:tcW w:w="536" w:type="pct"/>
            <w:tcBorders>
              <w:top w:val="single" w:sz="8" w:space="0" w:color="448A99"/>
              <w:left w:val="single" w:sz="8" w:space="0" w:color="448A99"/>
              <w:right w:val="single" w:sz="8" w:space="0" w:color="448A99"/>
            </w:tcBorders>
            <w:vAlign w:val="center"/>
          </w:tcPr>
          <w:p w:rsidR="008A2056" w:rsidRPr="00B75B77" w:rsidRDefault="008A2056" w:rsidP="00CA16D1">
            <w:pPr>
              <w:pStyle w:val="TableText"/>
              <w:jc w:val="center"/>
              <w:cnfStyle w:val="000000010000" w:firstRow="0" w:lastRow="0" w:firstColumn="0" w:lastColumn="0" w:oddVBand="0" w:evenVBand="0" w:oddHBand="0" w:evenHBand="1" w:firstRowFirstColumn="0" w:firstRowLastColumn="0" w:lastRowFirstColumn="0" w:lastRowLastColumn="0"/>
              <w:rPr>
                <w:b/>
              </w:rPr>
            </w:pPr>
            <w:r w:rsidRPr="00B75B77">
              <w:rPr>
                <w:b/>
              </w:rPr>
              <w:t>32</w:t>
            </w:r>
          </w:p>
        </w:tc>
        <w:tc>
          <w:tcPr>
            <w:tcW w:w="1893" w:type="pct"/>
            <w:tcBorders>
              <w:top w:val="single" w:sz="8" w:space="0" w:color="448A99"/>
              <w:left w:val="single" w:sz="8" w:space="0" w:color="448A99"/>
            </w:tcBorders>
            <w:vAlign w:val="center"/>
          </w:tcPr>
          <w:p w:rsidR="008A2056" w:rsidRPr="00B75B77" w:rsidRDefault="00793203" w:rsidP="007456EB">
            <w:pPr>
              <w:pStyle w:val="TableText"/>
              <w:cnfStyle w:val="000000010000" w:firstRow="0" w:lastRow="0" w:firstColumn="0" w:lastColumn="0" w:oddVBand="0" w:evenVBand="0" w:oddHBand="0" w:evenHBand="1" w:firstRowFirstColumn="0" w:firstRowLastColumn="0" w:lastRowFirstColumn="0" w:lastRowLastColumn="0"/>
              <w:rPr>
                <w:b/>
              </w:rPr>
            </w:pPr>
            <w:r w:rsidRPr="00B75B77">
              <w:rPr>
                <w:b/>
              </w:rPr>
              <w:t>N/A</w:t>
            </w:r>
          </w:p>
        </w:tc>
      </w:tr>
    </w:tbl>
    <w:p w:rsidR="008A2056" w:rsidRPr="00B75B77" w:rsidRDefault="008A2056" w:rsidP="00A154F7">
      <w:pPr>
        <w:keepNext/>
        <w:spacing w:before="20" w:after="20"/>
        <w:ind w:left="450"/>
        <w:jc w:val="left"/>
        <w:rPr>
          <w:rFonts w:eastAsia="Times New Roman"/>
          <w:i/>
          <w:sz w:val="18"/>
          <w:szCs w:val="20"/>
        </w:rPr>
      </w:pPr>
      <w:r w:rsidRPr="00B75B77">
        <w:rPr>
          <w:rFonts w:ascii="Calibri" w:eastAsia="Times New Roman" w:hAnsi="Calibri"/>
          <w:sz w:val="18"/>
          <w:szCs w:val="18"/>
        </w:rPr>
        <w:t>Note: Values in tables may not reconcile exactly with the sum of more detailed level results or previously reported results due to rounding.</w:t>
      </w:r>
    </w:p>
    <w:p w:rsidR="008A2056" w:rsidRPr="00B75B77" w:rsidRDefault="008A2056" w:rsidP="00A154F7">
      <w:pPr>
        <w:pStyle w:val="Source"/>
        <w:ind w:left="450" w:firstLine="0"/>
      </w:pPr>
      <w:r w:rsidRPr="00B75B77">
        <w:t>Source: Navigant analysis</w:t>
      </w:r>
    </w:p>
    <w:p w:rsidR="008A2056" w:rsidRPr="00B75B77" w:rsidRDefault="008A2056" w:rsidP="004170FC">
      <w:pPr>
        <w:pStyle w:val="Heading3"/>
      </w:pPr>
      <w:bookmarkStart w:id="819" w:name="_Toc466413428"/>
      <w:r w:rsidRPr="00B75B77">
        <w:t>Gross Verified Savings Results</w:t>
      </w:r>
      <w:bookmarkEnd w:id="819"/>
      <w:r w:rsidRPr="00B75B77">
        <w:t xml:space="preserve"> </w:t>
      </w:r>
    </w:p>
    <w:p w:rsidR="001B0760" w:rsidRPr="00B75B77" w:rsidRDefault="008A2056" w:rsidP="00CA16D1">
      <w:pPr>
        <w:jc w:val="left"/>
      </w:pPr>
      <w:r w:rsidRPr="00B75B77">
        <w:t>Overall, the SCI program achieved PY7 gross realization rates of 0.87 for energy and 0.72 for demand. Given the modified stratification approach</w:t>
      </w:r>
      <w:r w:rsidR="001B0760" w:rsidRPr="00B75B77">
        <w:t xml:space="preserve"> to accommodate the multiple incomplete projects found in the Q4 sample</w:t>
      </w:r>
      <w:r w:rsidRPr="00B75B77">
        <w:t xml:space="preserve">, the </w:t>
      </w:r>
      <w:r w:rsidR="001B0760" w:rsidRPr="00B75B77">
        <w:t xml:space="preserve">achieved </w:t>
      </w:r>
      <w:r w:rsidRPr="00B75B77">
        <w:t>program-level relative precision was 29</w:t>
      </w:r>
      <w:r w:rsidR="00BB0374" w:rsidRPr="00B75B77">
        <w:t>%</w:t>
      </w:r>
      <w:r w:rsidRPr="00B75B77">
        <w:t xml:space="preserve"> at 85</w:t>
      </w:r>
      <w:r w:rsidR="00BB0374" w:rsidRPr="00B75B77">
        <w:t xml:space="preserve">% </w:t>
      </w:r>
      <w:r w:rsidRPr="00B75B77">
        <w:t xml:space="preserve">confidence </w:t>
      </w:r>
      <w:r w:rsidR="001B0760" w:rsidRPr="00B75B77">
        <w:t xml:space="preserve">interval </w:t>
      </w:r>
      <w:r w:rsidRPr="00B75B77">
        <w:t>for energy and 22</w:t>
      </w:r>
      <w:r w:rsidR="00BB0374" w:rsidRPr="00B75B77">
        <w:t xml:space="preserve">% </w:t>
      </w:r>
      <w:r w:rsidR="001B0760" w:rsidRPr="00B75B77">
        <w:t xml:space="preserve">relative precision </w:t>
      </w:r>
      <w:r w:rsidRPr="00B75B77">
        <w:t>at 85</w:t>
      </w:r>
      <w:r w:rsidR="00BB0374" w:rsidRPr="00B75B77">
        <w:t xml:space="preserve">% </w:t>
      </w:r>
      <w:r w:rsidRPr="00B75B77">
        <w:t xml:space="preserve">confidence </w:t>
      </w:r>
      <w:r w:rsidR="001B0760" w:rsidRPr="00B75B77">
        <w:t xml:space="preserve">interval </w:t>
      </w:r>
      <w:r w:rsidRPr="00B75B77">
        <w:t xml:space="preserve">for demand. The </w:t>
      </w:r>
      <w:r w:rsidR="00BB0374" w:rsidRPr="00B75B77">
        <w:t xml:space="preserve">program </w:t>
      </w:r>
      <w:r w:rsidR="001B0760" w:rsidRPr="00B75B77">
        <w:t xml:space="preserve">therefore </w:t>
      </w:r>
      <w:r w:rsidR="00BB0374" w:rsidRPr="00B75B77">
        <w:t xml:space="preserve">did not meet the </w:t>
      </w:r>
      <w:r w:rsidRPr="00B75B77">
        <w:t xml:space="preserve">goal of 15% precision at 85% confidence for either energy or demand. This is due to the decision to re-stratify the population in order to most accurately estimate the program-level energy savings after the incomplete projects uncovered in Q4. </w:t>
      </w:r>
    </w:p>
    <w:p w:rsidR="001B0760" w:rsidRPr="00B75B77" w:rsidRDefault="001B0760" w:rsidP="00CA16D1">
      <w:pPr>
        <w:jc w:val="left"/>
      </w:pPr>
    </w:p>
    <w:p w:rsidR="008A2056" w:rsidRPr="00B75B77" w:rsidRDefault="001B0760" w:rsidP="00CA16D1">
      <w:pPr>
        <w:jc w:val="left"/>
      </w:pPr>
      <w:r w:rsidRPr="00B75B77">
        <w:t xml:space="preserve">While the program did not achieve the required PY7 sampling statistics, Navigant believes the modified sample stratification is the </w:t>
      </w:r>
      <w:r w:rsidR="00907F11" w:rsidRPr="00B75B77">
        <w:t xml:space="preserve">most appropriate </w:t>
      </w:r>
      <w:r w:rsidRPr="00B75B77">
        <w:t xml:space="preserve">approach to estimating savings for the program given the findings </w:t>
      </w:r>
      <w:r w:rsidR="00907F11" w:rsidRPr="00B75B77">
        <w:t xml:space="preserve">for </w:t>
      </w:r>
      <w:r w:rsidRPr="00B75B77">
        <w:t xml:space="preserve">the Q4 wave, which </w:t>
      </w:r>
      <w:r w:rsidR="00907F11" w:rsidRPr="00B75B77">
        <w:t>showed a significant difference</w:t>
      </w:r>
      <w:r w:rsidRPr="00B75B77">
        <w:t xml:space="preserve"> from the Q1-Q3 sample waves. While the sampling statistics were not met for PY7, they were met for the SCI program over the course of the phase. </w:t>
      </w:r>
      <w:r w:rsidR="008A2056" w:rsidRPr="00B75B77">
        <w:t xml:space="preserve">The summary of verified savings results for energy and demand </w:t>
      </w:r>
      <w:r w:rsidRPr="00B75B77">
        <w:t xml:space="preserve">is </w:t>
      </w:r>
      <w:r w:rsidR="008A2056" w:rsidRPr="00B75B77">
        <w:t xml:space="preserve">presented in </w:t>
      </w:r>
      <w:r w:rsidR="008A2056" w:rsidRPr="00B75B77">
        <w:fldChar w:fldCharType="begin"/>
      </w:r>
      <w:r w:rsidR="008A2056" w:rsidRPr="00B75B77">
        <w:instrText xml:space="preserve"> REF _Ref462913232 \h  \* MERGEFORMAT </w:instrText>
      </w:r>
      <w:r w:rsidR="008A2056" w:rsidRPr="00B75B77">
        <w:fldChar w:fldCharType="separate"/>
      </w:r>
      <w:r w:rsidR="0004016D" w:rsidRPr="00B75B77">
        <w:t xml:space="preserve">Table </w:t>
      </w:r>
      <w:r w:rsidR="0004016D">
        <w:rPr>
          <w:noProof/>
        </w:rPr>
        <w:t>13</w:t>
      </w:r>
      <w:r w:rsidR="0004016D" w:rsidRPr="00B75B77">
        <w:rPr>
          <w:noProof/>
        </w:rPr>
        <w:noBreakHyphen/>
      </w:r>
      <w:r w:rsidR="0004016D">
        <w:rPr>
          <w:noProof/>
        </w:rPr>
        <w:t>4</w:t>
      </w:r>
      <w:r w:rsidR="008A2056" w:rsidRPr="00B75B77">
        <w:fldChar w:fldCharType="end"/>
      </w:r>
      <w:r w:rsidR="008A2056" w:rsidRPr="00B75B77">
        <w:t xml:space="preserve"> and </w:t>
      </w:r>
      <w:r w:rsidR="008A2056" w:rsidRPr="00B75B77">
        <w:fldChar w:fldCharType="begin"/>
      </w:r>
      <w:r w:rsidR="008A2056" w:rsidRPr="00B75B77">
        <w:instrText xml:space="preserve"> REF _Ref462913238 \h  \* MERGEFORMAT </w:instrText>
      </w:r>
      <w:r w:rsidR="008A2056" w:rsidRPr="00B75B77">
        <w:fldChar w:fldCharType="separate"/>
      </w:r>
      <w:r w:rsidR="0004016D" w:rsidRPr="00B75B77">
        <w:t xml:space="preserve">Table </w:t>
      </w:r>
      <w:r w:rsidR="0004016D">
        <w:rPr>
          <w:noProof/>
        </w:rPr>
        <w:t>13</w:t>
      </w:r>
      <w:r w:rsidR="0004016D" w:rsidRPr="00B75B77">
        <w:rPr>
          <w:noProof/>
        </w:rPr>
        <w:noBreakHyphen/>
      </w:r>
      <w:r w:rsidR="0004016D">
        <w:rPr>
          <w:noProof/>
        </w:rPr>
        <w:t>5</w:t>
      </w:r>
      <w:r w:rsidR="008A2056" w:rsidRPr="00B75B77">
        <w:fldChar w:fldCharType="end"/>
      </w:r>
      <w:r w:rsidR="008A2056" w:rsidRPr="00B75B77">
        <w:t>, respectively.</w:t>
      </w:r>
    </w:p>
    <w:p w:rsidR="008A2056" w:rsidRPr="00B75B77" w:rsidRDefault="008A2056" w:rsidP="00CA16D1"/>
    <w:p w:rsidR="008A2056" w:rsidRPr="00B75B77" w:rsidRDefault="008A2056" w:rsidP="007456EB">
      <w:pPr>
        <w:pStyle w:val="Caption"/>
      </w:pPr>
      <w:bookmarkStart w:id="820" w:name="_Ref462913232"/>
      <w:bookmarkStart w:id="821" w:name="_Toc466413611"/>
      <w:r w:rsidRPr="00B75B77">
        <w:lastRenderedPageBreak/>
        <w:t xml:space="preserve">Table </w:t>
      </w:r>
      <w:fldSimple w:instr=" STYLEREF 1 \s ">
        <w:r w:rsidR="0004016D">
          <w:rPr>
            <w:noProof/>
          </w:rPr>
          <w:t>13</w:t>
        </w:r>
      </w:fldSimple>
      <w:r w:rsidR="00F1144C" w:rsidRPr="00B75B77">
        <w:noBreakHyphen/>
      </w:r>
      <w:fldSimple w:instr=" SEQ Table \* ARABIC \s 1 ">
        <w:r w:rsidR="0004016D">
          <w:rPr>
            <w:noProof/>
          </w:rPr>
          <w:t>4</w:t>
        </w:r>
      </w:fldSimple>
      <w:bookmarkEnd w:id="820"/>
      <w:r w:rsidRPr="00B75B77">
        <w:t>: PY7 Smart Construction Incentives Summary of Evaluation Results for Energy</w:t>
      </w:r>
      <w:bookmarkEnd w:id="821"/>
    </w:p>
    <w:tbl>
      <w:tblPr>
        <w:tblStyle w:val="MediumShading1-Accent5"/>
        <w:tblW w:w="0" w:type="auto"/>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1439"/>
        <w:gridCol w:w="1482"/>
        <w:gridCol w:w="1353"/>
        <w:gridCol w:w="1447"/>
        <w:gridCol w:w="1858"/>
        <w:gridCol w:w="1889"/>
      </w:tblGrid>
      <w:tr w:rsidR="00E30491" w:rsidRPr="00B75B77" w:rsidTr="0076594F">
        <w:trPr>
          <w:cnfStyle w:val="100000000000" w:firstRow="1" w:lastRow="0" w:firstColumn="0" w:lastColumn="0" w:oddVBand="0" w:evenVBand="0" w:oddHBand="0" w:evenHBand="0" w:firstRowFirstColumn="0" w:firstRowLastColumn="0" w:lastRowFirstColumn="0" w:lastRowLastColumn="0"/>
          <w:trHeight w:val="955"/>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left w:val="single" w:sz="8" w:space="0" w:color="auto"/>
              <w:bottom w:val="single" w:sz="4" w:space="0" w:color="000000" w:themeColor="text1"/>
              <w:right w:val="single" w:sz="8" w:space="0" w:color="auto"/>
            </w:tcBorders>
            <w:shd w:val="clear" w:color="auto" w:fill="448A99"/>
            <w:vAlign w:val="center"/>
            <w:hideMark/>
          </w:tcPr>
          <w:p w:rsidR="008A2056" w:rsidRPr="00B75B77" w:rsidRDefault="008A2056" w:rsidP="007456EB">
            <w:pPr>
              <w:keepNext/>
              <w:jc w:val="left"/>
              <w:rPr>
                <w:rFonts w:ascii="Calibri" w:eastAsia="Times New Roman" w:hAnsi="Calibri"/>
                <w:bCs w:val="0"/>
                <w:sz w:val="18"/>
                <w:szCs w:val="18"/>
              </w:rPr>
            </w:pPr>
            <w:r w:rsidRPr="00B75B77">
              <w:rPr>
                <w:rFonts w:ascii="Calibri" w:eastAsia="Times New Roman" w:hAnsi="Calibri"/>
                <w:bCs w:val="0"/>
                <w:sz w:val="18"/>
                <w:szCs w:val="18"/>
              </w:rPr>
              <w:t>Stratum</w:t>
            </w:r>
          </w:p>
        </w:tc>
        <w:tc>
          <w:tcPr>
            <w:tcW w:w="0" w:type="auto"/>
            <w:tcBorders>
              <w:top w:val="single" w:sz="8" w:space="0" w:color="auto"/>
              <w:left w:val="single" w:sz="8" w:space="0" w:color="auto"/>
              <w:bottom w:val="single" w:sz="4" w:space="0" w:color="000000" w:themeColor="text1"/>
              <w:right w:val="single" w:sz="8" w:space="0" w:color="auto"/>
            </w:tcBorders>
            <w:shd w:val="clear" w:color="auto" w:fill="448A99"/>
            <w:vAlign w:val="center"/>
            <w:hideMark/>
          </w:tcPr>
          <w:p w:rsidR="008A2056" w:rsidRPr="00B75B77" w:rsidRDefault="008A2056" w:rsidP="007456EB">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Reported Gross Energy Savings</w:t>
            </w:r>
          </w:p>
          <w:p w:rsidR="008A2056" w:rsidRPr="00B75B77" w:rsidRDefault="008A2056" w:rsidP="007456EB">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(MWh/</w:t>
            </w:r>
            <w:proofErr w:type="spellStart"/>
            <w:r w:rsidRPr="00B75B77">
              <w:rPr>
                <w:rFonts w:ascii="Calibri" w:eastAsia="Times New Roman" w:hAnsi="Calibri"/>
                <w:bCs w:val="0"/>
                <w:sz w:val="18"/>
                <w:szCs w:val="18"/>
              </w:rPr>
              <w:t>yr</w:t>
            </w:r>
            <w:proofErr w:type="spellEnd"/>
            <w:r w:rsidRPr="00B75B77">
              <w:rPr>
                <w:rFonts w:ascii="Calibri" w:eastAsia="Times New Roman" w:hAnsi="Calibri"/>
                <w:bCs w:val="0"/>
                <w:sz w:val="18"/>
                <w:szCs w:val="18"/>
              </w:rPr>
              <w:t>)</w:t>
            </w:r>
          </w:p>
        </w:tc>
        <w:tc>
          <w:tcPr>
            <w:tcW w:w="0" w:type="auto"/>
            <w:tcBorders>
              <w:top w:val="single" w:sz="8" w:space="0" w:color="auto"/>
              <w:left w:val="single" w:sz="8" w:space="0" w:color="auto"/>
              <w:bottom w:val="single" w:sz="4" w:space="0" w:color="000000" w:themeColor="text1"/>
              <w:right w:val="single" w:sz="8" w:space="0" w:color="auto"/>
            </w:tcBorders>
            <w:shd w:val="clear" w:color="auto" w:fill="448A99"/>
            <w:vAlign w:val="center"/>
            <w:hideMark/>
          </w:tcPr>
          <w:p w:rsidR="008A2056" w:rsidRPr="00B75B77" w:rsidRDefault="008A2056" w:rsidP="007456EB">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Energy Realization Rate</w:t>
            </w:r>
          </w:p>
          <w:p w:rsidR="008A2056" w:rsidRPr="00B75B77" w:rsidRDefault="008A2056" w:rsidP="007456EB">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w:t>
            </w:r>
          </w:p>
        </w:tc>
        <w:tc>
          <w:tcPr>
            <w:tcW w:w="0" w:type="auto"/>
            <w:tcBorders>
              <w:top w:val="single" w:sz="8" w:space="0" w:color="auto"/>
              <w:left w:val="single" w:sz="8" w:space="0" w:color="auto"/>
              <w:bottom w:val="single" w:sz="4" w:space="0" w:color="000000" w:themeColor="text1"/>
              <w:right w:val="single" w:sz="8" w:space="0" w:color="auto"/>
            </w:tcBorders>
            <w:shd w:val="clear" w:color="auto" w:fill="448A99"/>
            <w:vAlign w:val="center"/>
          </w:tcPr>
          <w:p w:rsidR="008A2056" w:rsidRPr="00B75B77" w:rsidRDefault="008A2056" w:rsidP="007456EB">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Verified Gross Energy Savings</w:t>
            </w:r>
          </w:p>
          <w:p w:rsidR="008A2056" w:rsidRPr="00B75B77" w:rsidRDefault="008A2056" w:rsidP="007456EB">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(MWh/</w:t>
            </w:r>
            <w:proofErr w:type="spellStart"/>
            <w:r w:rsidRPr="00B75B77">
              <w:rPr>
                <w:rFonts w:ascii="Calibri" w:eastAsia="Times New Roman" w:hAnsi="Calibri"/>
                <w:bCs w:val="0"/>
                <w:sz w:val="18"/>
                <w:szCs w:val="18"/>
              </w:rPr>
              <w:t>yr</w:t>
            </w:r>
            <w:proofErr w:type="spellEnd"/>
            <w:r w:rsidRPr="00B75B77">
              <w:rPr>
                <w:rFonts w:ascii="Calibri" w:eastAsia="Times New Roman" w:hAnsi="Calibri"/>
                <w:bCs w:val="0"/>
                <w:sz w:val="18"/>
                <w:szCs w:val="18"/>
              </w:rPr>
              <w:t>)</w:t>
            </w:r>
          </w:p>
        </w:tc>
        <w:tc>
          <w:tcPr>
            <w:tcW w:w="0" w:type="auto"/>
            <w:tcBorders>
              <w:top w:val="single" w:sz="8" w:space="0" w:color="auto"/>
              <w:left w:val="single" w:sz="8" w:space="0" w:color="auto"/>
              <w:bottom w:val="single" w:sz="4" w:space="0" w:color="000000" w:themeColor="text1"/>
              <w:right w:val="single" w:sz="8" w:space="0" w:color="auto"/>
            </w:tcBorders>
            <w:shd w:val="clear" w:color="auto" w:fill="448A99"/>
            <w:vAlign w:val="center"/>
            <w:hideMark/>
          </w:tcPr>
          <w:p w:rsidR="008A2056" w:rsidRPr="00B75B77" w:rsidRDefault="008A2056" w:rsidP="00A154F7">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 xml:space="preserve">Observed </w:t>
            </w:r>
            <w:r w:rsidR="00A154F7" w:rsidRPr="00B75B77">
              <w:rPr>
                <w:rFonts w:ascii="Calibri" w:eastAsia="Times New Roman" w:hAnsi="Calibri"/>
                <w:bCs w:val="0"/>
                <w:sz w:val="18"/>
                <w:szCs w:val="18"/>
              </w:rPr>
              <w:t xml:space="preserve">CV </w:t>
            </w:r>
            <w:r w:rsidRPr="00B75B77">
              <w:rPr>
                <w:rFonts w:ascii="Calibri" w:eastAsia="Times New Roman" w:hAnsi="Calibri"/>
                <w:bCs w:val="0"/>
                <w:sz w:val="18"/>
                <w:szCs w:val="18"/>
              </w:rPr>
              <w:t>or Proportion in Sample Design</w:t>
            </w:r>
          </w:p>
        </w:tc>
        <w:tc>
          <w:tcPr>
            <w:tcW w:w="0" w:type="auto"/>
            <w:tcBorders>
              <w:top w:val="single" w:sz="8" w:space="0" w:color="auto"/>
              <w:left w:val="single" w:sz="8" w:space="0" w:color="auto"/>
              <w:bottom w:val="single" w:sz="4" w:space="0" w:color="000000" w:themeColor="text1"/>
              <w:right w:val="single" w:sz="8" w:space="0" w:color="auto"/>
            </w:tcBorders>
            <w:shd w:val="clear" w:color="auto" w:fill="448A99"/>
            <w:vAlign w:val="center"/>
            <w:hideMark/>
          </w:tcPr>
          <w:p w:rsidR="008A2056" w:rsidRPr="00B75B77" w:rsidRDefault="008A2056" w:rsidP="00E30491">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 xml:space="preserve">Relative Precision at 85% </w:t>
            </w:r>
            <w:r w:rsidR="00E30491" w:rsidRPr="00B75B77">
              <w:rPr>
                <w:rFonts w:ascii="Calibri" w:eastAsia="Times New Roman" w:hAnsi="Calibri"/>
                <w:bCs w:val="0"/>
                <w:sz w:val="18"/>
                <w:szCs w:val="18"/>
              </w:rPr>
              <w:t>Confidence Interval</w:t>
            </w:r>
          </w:p>
        </w:tc>
      </w:tr>
      <w:tr w:rsidR="00E30491" w:rsidRPr="00B75B77" w:rsidTr="0076594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themeColor="text1"/>
              <w:right w:val="single" w:sz="8" w:space="0" w:color="448A99"/>
            </w:tcBorders>
            <w:vAlign w:val="center"/>
            <w:hideMark/>
          </w:tcPr>
          <w:p w:rsidR="008A2056" w:rsidRPr="00B75B77" w:rsidRDefault="008A2056" w:rsidP="007456EB">
            <w:pPr>
              <w:keepNext/>
              <w:jc w:val="left"/>
              <w:rPr>
                <w:rFonts w:ascii="Calibri" w:eastAsia="Times New Roman" w:hAnsi="Calibri"/>
                <w:b w:val="0"/>
                <w:color w:val="000000"/>
                <w:sz w:val="18"/>
                <w:szCs w:val="18"/>
              </w:rPr>
            </w:pPr>
            <w:r w:rsidRPr="00B75B77">
              <w:rPr>
                <w:rFonts w:ascii="Calibri" w:eastAsia="Times New Roman" w:hAnsi="Calibri"/>
                <w:b w:val="0"/>
                <w:color w:val="000000"/>
                <w:sz w:val="18"/>
                <w:szCs w:val="18"/>
              </w:rPr>
              <w:t>Large Q1-Q3</w:t>
            </w:r>
          </w:p>
        </w:tc>
        <w:tc>
          <w:tcPr>
            <w:tcW w:w="0" w:type="auto"/>
            <w:tcBorders>
              <w:top w:val="single" w:sz="4" w:space="0" w:color="000000" w:themeColor="text1"/>
              <w:left w:val="single" w:sz="8" w:space="0" w:color="448A99"/>
              <w:right w:val="single" w:sz="8" w:space="0" w:color="448A99"/>
            </w:tcBorders>
            <w:vAlign w:val="center"/>
            <w:hideMark/>
          </w:tcPr>
          <w:p w:rsidR="008A2056" w:rsidRPr="00B75B77" w:rsidRDefault="008A2056" w:rsidP="007456EB">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6,229</w:t>
            </w:r>
          </w:p>
        </w:tc>
        <w:tc>
          <w:tcPr>
            <w:tcW w:w="0" w:type="auto"/>
            <w:tcBorders>
              <w:top w:val="single" w:sz="4" w:space="0" w:color="000000" w:themeColor="text1"/>
              <w:left w:val="single" w:sz="8" w:space="0" w:color="448A99"/>
              <w:right w:val="single" w:sz="8" w:space="0" w:color="448A99"/>
            </w:tcBorders>
            <w:vAlign w:val="center"/>
          </w:tcPr>
          <w:p w:rsidR="008A2056" w:rsidRPr="00B75B77" w:rsidRDefault="008A2056" w:rsidP="007456EB">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1.14</w:t>
            </w:r>
          </w:p>
        </w:tc>
        <w:tc>
          <w:tcPr>
            <w:tcW w:w="0" w:type="auto"/>
            <w:tcBorders>
              <w:top w:val="single" w:sz="4" w:space="0" w:color="000000" w:themeColor="text1"/>
              <w:left w:val="single" w:sz="8" w:space="0" w:color="448A99"/>
              <w:right w:val="single" w:sz="8" w:space="0" w:color="448A99"/>
            </w:tcBorders>
            <w:vAlign w:val="center"/>
          </w:tcPr>
          <w:p w:rsidR="008A2056" w:rsidRPr="00B75B77" w:rsidRDefault="008A2056" w:rsidP="007456EB">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7,117</w:t>
            </w:r>
          </w:p>
        </w:tc>
        <w:tc>
          <w:tcPr>
            <w:tcW w:w="0" w:type="auto"/>
            <w:tcBorders>
              <w:top w:val="single" w:sz="4" w:space="0" w:color="000000" w:themeColor="text1"/>
              <w:left w:val="single" w:sz="8" w:space="0" w:color="448A99"/>
              <w:right w:val="single" w:sz="8" w:space="0" w:color="448A99"/>
            </w:tcBorders>
            <w:vAlign w:val="center"/>
          </w:tcPr>
          <w:p w:rsidR="008A2056" w:rsidRPr="00B75B77" w:rsidRDefault="008A2056" w:rsidP="007456EB">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0.55</w:t>
            </w:r>
          </w:p>
        </w:tc>
        <w:tc>
          <w:tcPr>
            <w:tcW w:w="0" w:type="auto"/>
            <w:tcBorders>
              <w:top w:val="single" w:sz="4" w:space="0" w:color="000000" w:themeColor="text1"/>
              <w:left w:val="single" w:sz="8" w:space="0" w:color="448A99"/>
            </w:tcBorders>
            <w:vAlign w:val="center"/>
          </w:tcPr>
          <w:p w:rsidR="008A2056" w:rsidRPr="00B75B77" w:rsidRDefault="008A2056" w:rsidP="007456EB">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23%</w:t>
            </w:r>
          </w:p>
        </w:tc>
      </w:tr>
      <w:tr w:rsidR="00E30491" w:rsidRPr="00B75B77" w:rsidTr="00CA16D1">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8A99"/>
            </w:tcBorders>
            <w:vAlign w:val="center"/>
            <w:hideMark/>
          </w:tcPr>
          <w:p w:rsidR="008A2056" w:rsidRPr="00B75B77" w:rsidRDefault="008A2056" w:rsidP="007456EB">
            <w:pPr>
              <w:keepNext/>
              <w:jc w:val="left"/>
              <w:rPr>
                <w:rFonts w:ascii="Calibri" w:eastAsia="Times New Roman" w:hAnsi="Calibri"/>
                <w:b w:val="0"/>
                <w:color w:val="000000"/>
                <w:sz w:val="18"/>
                <w:szCs w:val="18"/>
              </w:rPr>
            </w:pPr>
            <w:r w:rsidRPr="00B75B77">
              <w:rPr>
                <w:rFonts w:ascii="Calibri" w:eastAsia="Times New Roman" w:hAnsi="Calibri"/>
                <w:b w:val="0"/>
                <w:color w:val="000000"/>
                <w:sz w:val="18"/>
                <w:szCs w:val="18"/>
              </w:rPr>
              <w:t>Large Q4-OT</w:t>
            </w:r>
          </w:p>
        </w:tc>
        <w:tc>
          <w:tcPr>
            <w:tcW w:w="0" w:type="auto"/>
            <w:tcBorders>
              <w:left w:val="single" w:sz="8" w:space="0" w:color="448A99"/>
              <w:right w:val="single" w:sz="8" w:space="0" w:color="448A99"/>
            </w:tcBorders>
            <w:vAlign w:val="center"/>
            <w:hideMark/>
          </w:tcPr>
          <w:p w:rsidR="008A2056" w:rsidRPr="00B75B77" w:rsidRDefault="008A2056" w:rsidP="007456EB">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5,970</w:t>
            </w:r>
          </w:p>
        </w:tc>
        <w:tc>
          <w:tcPr>
            <w:tcW w:w="0" w:type="auto"/>
            <w:tcBorders>
              <w:left w:val="single" w:sz="8" w:space="0" w:color="448A99"/>
              <w:right w:val="single" w:sz="8" w:space="0" w:color="448A99"/>
            </w:tcBorders>
            <w:vAlign w:val="center"/>
          </w:tcPr>
          <w:p w:rsidR="008A2056" w:rsidRPr="00B75B77" w:rsidRDefault="008A2056" w:rsidP="007456EB">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0.15</w:t>
            </w:r>
          </w:p>
        </w:tc>
        <w:tc>
          <w:tcPr>
            <w:tcW w:w="0" w:type="auto"/>
            <w:tcBorders>
              <w:left w:val="single" w:sz="8" w:space="0" w:color="448A99"/>
              <w:right w:val="single" w:sz="8" w:space="0" w:color="448A99"/>
            </w:tcBorders>
            <w:vAlign w:val="center"/>
          </w:tcPr>
          <w:p w:rsidR="008A2056" w:rsidRPr="00B75B77" w:rsidRDefault="008A2056" w:rsidP="007456EB">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895</w:t>
            </w:r>
          </w:p>
        </w:tc>
        <w:tc>
          <w:tcPr>
            <w:tcW w:w="0" w:type="auto"/>
            <w:tcBorders>
              <w:left w:val="single" w:sz="8" w:space="0" w:color="448A99"/>
              <w:right w:val="single" w:sz="8" w:space="0" w:color="448A99"/>
            </w:tcBorders>
            <w:vAlign w:val="center"/>
          </w:tcPr>
          <w:p w:rsidR="008A2056" w:rsidRPr="00B75B77" w:rsidRDefault="008A2056" w:rsidP="007456EB">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1.03</w:t>
            </w:r>
          </w:p>
        </w:tc>
        <w:tc>
          <w:tcPr>
            <w:tcW w:w="0" w:type="auto"/>
            <w:tcBorders>
              <w:left w:val="single" w:sz="8" w:space="0" w:color="448A99"/>
            </w:tcBorders>
            <w:vAlign w:val="center"/>
          </w:tcPr>
          <w:p w:rsidR="008A2056" w:rsidRPr="00B75B77" w:rsidRDefault="008A2056" w:rsidP="007456EB">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118%</w:t>
            </w:r>
          </w:p>
        </w:tc>
      </w:tr>
      <w:tr w:rsidR="00E30491" w:rsidRPr="00B75B77" w:rsidTr="00CA16D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8A99"/>
            </w:tcBorders>
            <w:vAlign w:val="center"/>
            <w:hideMark/>
          </w:tcPr>
          <w:p w:rsidR="008A2056" w:rsidRPr="00B75B77" w:rsidRDefault="008A2056" w:rsidP="007456EB">
            <w:pPr>
              <w:keepNext/>
              <w:jc w:val="left"/>
              <w:rPr>
                <w:rFonts w:ascii="Calibri" w:eastAsia="Times New Roman" w:hAnsi="Calibri"/>
                <w:b w:val="0"/>
                <w:color w:val="000000"/>
                <w:sz w:val="18"/>
                <w:szCs w:val="18"/>
              </w:rPr>
            </w:pPr>
            <w:r w:rsidRPr="00B75B77">
              <w:rPr>
                <w:rFonts w:ascii="Calibri" w:eastAsia="Times New Roman" w:hAnsi="Calibri"/>
                <w:b w:val="0"/>
                <w:color w:val="000000"/>
                <w:sz w:val="18"/>
                <w:szCs w:val="18"/>
              </w:rPr>
              <w:t>Small Q1-Q3</w:t>
            </w:r>
          </w:p>
        </w:tc>
        <w:tc>
          <w:tcPr>
            <w:tcW w:w="0" w:type="auto"/>
            <w:tcBorders>
              <w:left w:val="single" w:sz="8" w:space="0" w:color="448A99"/>
              <w:right w:val="single" w:sz="8" w:space="0" w:color="448A99"/>
            </w:tcBorders>
            <w:vAlign w:val="center"/>
            <w:hideMark/>
          </w:tcPr>
          <w:p w:rsidR="008A2056" w:rsidRPr="00B75B77" w:rsidRDefault="008A2056" w:rsidP="007456EB">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4,275</w:t>
            </w:r>
          </w:p>
        </w:tc>
        <w:tc>
          <w:tcPr>
            <w:tcW w:w="0" w:type="auto"/>
            <w:tcBorders>
              <w:left w:val="single" w:sz="8" w:space="0" w:color="448A99"/>
              <w:right w:val="single" w:sz="8" w:space="0" w:color="448A99"/>
            </w:tcBorders>
            <w:vAlign w:val="center"/>
          </w:tcPr>
          <w:p w:rsidR="008A2056" w:rsidRPr="00B75B77" w:rsidRDefault="008A2056" w:rsidP="007456EB">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1.07</w:t>
            </w:r>
          </w:p>
        </w:tc>
        <w:tc>
          <w:tcPr>
            <w:tcW w:w="0" w:type="auto"/>
            <w:tcBorders>
              <w:left w:val="single" w:sz="8" w:space="0" w:color="448A99"/>
              <w:right w:val="single" w:sz="8" w:space="0" w:color="448A99"/>
            </w:tcBorders>
            <w:vAlign w:val="center"/>
          </w:tcPr>
          <w:p w:rsidR="008A2056" w:rsidRPr="00B75B77" w:rsidRDefault="008A2056" w:rsidP="007456EB">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4,573</w:t>
            </w:r>
          </w:p>
        </w:tc>
        <w:tc>
          <w:tcPr>
            <w:tcW w:w="0" w:type="auto"/>
            <w:tcBorders>
              <w:left w:val="single" w:sz="8" w:space="0" w:color="448A99"/>
              <w:right w:val="single" w:sz="8" w:space="0" w:color="448A99"/>
            </w:tcBorders>
            <w:vAlign w:val="center"/>
          </w:tcPr>
          <w:p w:rsidR="008A2056" w:rsidRPr="00B75B77" w:rsidRDefault="008A2056" w:rsidP="007456EB">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0.32</w:t>
            </w:r>
          </w:p>
        </w:tc>
        <w:tc>
          <w:tcPr>
            <w:tcW w:w="0" w:type="auto"/>
            <w:tcBorders>
              <w:left w:val="single" w:sz="8" w:space="0" w:color="448A99"/>
            </w:tcBorders>
            <w:vAlign w:val="center"/>
          </w:tcPr>
          <w:p w:rsidR="008A2056" w:rsidRPr="00B75B77" w:rsidRDefault="008A2056" w:rsidP="007456EB">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17%</w:t>
            </w:r>
          </w:p>
        </w:tc>
      </w:tr>
      <w:tr w:rsidR="00E30491" w:rsidRPr="00B75B77" w:rsidTr="00CA16D1">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8A99"/>
            </w:tcBorders>
            <w:vAlign w:val="center"/>
          </w:tcPr>
          <w:p w:rsidR="008A2056" w:rsidRPr="00B75B77" w:rsidRDefault="008A2056" w:rsidP="007456EB">
            <w:pPr>
              <w:keepNext/>
              <w:jc w:val="left"/>
              <w:rPr>
                <w:rFonts w:ascii="Calibri" w:eastAsia="Times New Roman" w:hAnsi="Calibri"/>
                <w:b w:val="0"/>
                <w:color w:val="000000"/>
                <w:sz w:val="18"/>
                <w:szCs w:val="18"/>
              </w:rPr>
            </w:pPr>
            <w:r w:rsidRPr="00B75B77">
              <w:rPr>
                <w:rFonts w:ascii="Calibri" w:eastAsia="Times New Roman" w:hAnsi="Calibri"/>
                <w:b w:val="0"/>
                <w:color w:val="000000"/>
                <w:sz w:val="18"/>
                <w:szCs w:val="18"/>
              </w:rPr>
              <w:t>Small Q4-OT</w:t>
            </w:r>
          </w:p>
        </w:tc>
        <w:tc>
          <w:tcPr>
            <w:tcW w:w="0" w:type="auto"/>
            <w:tcBorders>
              <w:left w:val="single" w:sz="8" w:space="0" w:color="448A99"/>
              <w:right w:val="single" w:sz="8" w:space="0" w:color="448A99"/>
            </w:tcBorders>
            <w:vAlign w:val="center"/>
          </w:tcPr>
          <w:p w:rsidR="008A2056" w:rsidRPr="00B75B77" w:rsidRDefault="008A2056" w:rsidP="007456EB">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3,852</w:t>
            </w:r>
          </w:p>
        </w:tc>
        <w:tc>
          <w:tcPr>
            <w:tcW w:w="0" w:type="auto"/>
            <w:tcBorders>
              <w:left w:val="single" w:sz="8" w:space="0" w:color="448A99"/>
              <w:right w:val="single" w:sz="8" w:space="0" w:color="448A99"/>
            </w:tcBorders>
            <w:vAlign w:val="center"/>
          </w:tcPr>
          <w:p w:rsidR="008A2056" w:rsidRPr="00B75B77" w:rsidRDefault="008A2056" w:rsidP="007456EB">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1.22</w:t>
            </w:r>
          </w:p>
        </w:tc>
        <w:tc>
          <w:tcPr>
            <w:tcW w:w="0" w:type="auto"/>
            <w:tcBorders>
              <w:left w:val="single" w:sz="8" w:space="0" w:color="448A99"/>
              <w:right w:val="single" w:sz="8" w:space="0" w:color="448A99"/>
            </w:tcBorders>
            <w:vAlign w:val="center"/>
          </w:tcPr>
          <w:p w:rsidR="008A2056" w:rsidRPr="00B75B77" w:rsidRDefault="008A2056" w:rsidP="007456EB">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4,713</w:t>
            </w:r>
          </w:p>
        </w:tc>
        <w:tc>
          <w:tcPr>
            <w:tcW w:w="0" w:type="auto"/>
            <w:tcBorders>
              <w:left w:val="single" w:sz="8" w:space="0" w:color="448A99"/>
              <w:right w:val="single" w:sz="8" w:space="0" w:color="448A99"/>
            </w:tcBorders>
            <w:vAlign w:val="center"/>
          </w:tcPr>
          <w:p w:rsidR="008A2056" w:rsidRPr="00B75B77" w:rsidRDefault="008A2056" w:rsidP="007456EB">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0.36</w:t>
            </w:r>
          </w:p>
        </w:tc>
        <w:tc>
          <w:tcPr>
            <w:tcW w:w="0" w:type="auto"/>
            <w:tcBorders>
              <w:left w:val="single" w:sz="8" w:space="0" w:color="448A99"/>
            </w:tcBorders>
            <w:vAlign w:val="center"/>
          </w:tcPr>
          <w:p w:rsidR="008A2056" w:rsidRPr="00B75B77" w:rsidRDefault="008A2056" w:rsidP="007456EB">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28%</w:t>
            </w:r>
          </w:p>
        </w:tc>
      </w:tr>
      <w:tr w:rsidR="00E30491" w:rsidRPr="00B75B77" w:rsidTr="00CA16D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8A99"/>
            </w:tcBorders>
            <w:vAlign w:val="center"/>
            <w:hideMark/>
          </w:tcPr>
          <w:p w:rsidR="008A2056" w:rsidRPr="00B75B77" w:rsidRDefault="008A2056" w:rsidP="007456EB">
            <w:pPr>
              <w:keepNext/>
              <w:jc w:val="left"/>
              <w:rPr>
                <w:rFonts w:ascii="Calibri" w:eastAsia="Times New Roman" w:hAnsi="Calibri"/>
                <w:bCs w:val="0"/>
                <w:caps/>
                <w:color w:val="000000"/>
                <w:sz w:val="18"/>
                <w:szCs w:val="18"/>
              </w:rPr>
            </w:pPr>
            <w:r w:rsidRPr="00B75B77">
              <w:rPr>
                <w:rFonts w:ascii="Calibri" w:eastAsia="Times New Roman" w:hAnsi="Calibri"/>
                <w:b w:val="0"/>
                <w:color w:val="000000"/>
                <w:sz w:val="18"/>
                <w:szCs w:val="18"/>
              </w:rPr>
              <w:t>Large Whole</w:t>
            </w:r>
            <w:r w:rsidR="00E30491" w:rsidRPr="00B75B77">
              <w:rPr>
                <w:rFonts w:ascii="Calibri" w:eastAsia="Times New Roman" w:hAnsi="Calibri"/>
                <w:b w:val="0"/>
                <w:color w:val="000000"/>
                <w:sz w:val="18"/>
                <w:szCs w:val="18"/>
              </w:rPr>
              <w:t>-</w:t>
            </w:r>
            <w:r w:rsidRPr="00B75B77">
              <w:rPr>
                <w:rFonts w:ascii="Calibri" w:eastAsia="Times New Roman" w:hAnsi="Calibri"/>
                <w:b w:val="0"/>
                <w:color w:val="000000"/>
                <w:sz w:val="18"/>
                <w:szCs w:val="18"/>
              </w:rPr>
              <w:t>Building Q1-Q3</w:t>
            </w:r>
          </w:p>
        </w:tc>
        <w:tc>
          <w:tcPr>
            <w:tcW w:w="0" w:type="auto"/>
            <w:tcBorders>
              <w:left w:val="single" w:sz="8" w:space="0" w:color="448A99"/>
              <w:right w:val="single" w:sz="8" w:space="0" w:color="448A99"/>
            </w:tcBorders>
            <w:vAlign w:val="center"/>
            <w:hideMark/>
          </w:tcPr>
          <w:p w:rsidR="008A2056" w:rsidRPr="00B75B77" w:rsidRDefault="008A2056" w:rsidP="007456EB">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4,150</w:t>
            </w:r>
          </w:p>
        </w:tc>
        <w:tc>
          <w:tcPr>
            <w:tcW w:w="0" w:type="auto"/>
            <w:tcBorders>
              <w:left w:val="single" w:sz="8" w:space="0" w:color="448A99"/>
              <w:right w:val="single" w:sz="8" w:space="0" w:color="448A99"/>
            </w:tcBorders>
            <w:vAlign w:val="center"/>
          </w:tcPr>
          <w:p w:rsidR="008A2056" w:rsidRPr="00B75B77" w:rsidRDefault="008A2056" w:rsidP="007456EB">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1.10</w:t>
            </w:r>
          </w:p>
        </w:tc>
        <w:tc>
          <w:tcPr>
            <w:tcW w:w="0" w:type="auto"/>
            <w:tcBorders>
              <w:left w:val="single" w:sz="8" w:space="0" w:color="448A99"/>
              <w:right w:val="single" w:sz="8" w:space="0" w:color="448A99"/>
            </w:tcBorders>
            <w:vAlign w:val="center"/>
          </w:tcPr>
          <w:p w:rsidR="008A2056" w:rsidRPr="00B75B77" w:rsidRDefault="008A2056" w:rsidP="007456EB">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4,553</w:t>
            </w:r>
          </w:p>
        </w:tc>
        <w:tc>
          <w:tcPr>
            <w:tcW w:w="0" w:type="auto"/>
            <w:tcBorders>
              <w:left w:val="single" w:sz="8" w:space="0" w:color="448A99"/>
              <w:right w:val="single" w:sz="8" w:space="0" w:color="448A99"/>
            </w:tcBorders>
            <w:vAlign w:val="center"/>
          </w:tcPr>
          <w:p w:rsidR="008A2056" w:rsidRPr="00B75B77" w:rsidRDefault="008A2056" w:rsidP="007456EB">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0.36</w:t>
            </w:r>
          </w:p>
        </w:tc>
        <w:tc>
          <w:tcPr>
            <w:tcW w:w="0" w:type="auto"/>
            <w:tcBorders>
              <w:left w:val="single" w:sz="8" w:space="0" w:color="448A99"/>
            </w:tcBorders>
            <w:vAlign w:val="center"/>
          </w:tcPr>
          <w:p w:rsidR="008A2056" w:rsidRPr="00B75B77" w:rsidRDefault="008A2056" w:rsidP="007456EB">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15%</w:t>
            </w:r>
          </w:p>
        </w:tc>
      </w:tr>
      <w:tr w:rsidR="00E30491" w:rsidRPr="00B75B77" w:rsidTr="00CA16D1">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8A99"/>
            </w:tcBorders>
          </w:tcPr>
          <w:p w:rsidR="008A2056" w:rsidRPr="00B75B77" w:rsidRDefault="008A2056" w:rsidP="007456EB">
            <w:pPr>
              <w:keepNext/>
              <w:jc w:val="left"/>
              <w:rPr>
                <w:rFonts w:ascii="Calibri" w:eastAsia="Times New Roman" w:hAnsi="Calibri"/>
                <w:bCs w:val="0"/>
                <w:caps/>
                <w:color w:val="000000"/>
                <w:sz w:val="18"/>
                <w:szCs w:val="18"/>
              </w:rPr>
            </w:pPr>
            <w:r w:rsidRPr="00B75B77">
              <w:rPr>
                <w:rFonts w:ascii="Calibri" w:eastAsia="Times New Roman" w:hAnsi="Calibri"/>
                <w:b w:val="0"/>
                <w:color w:val="000000"/>
                <w:sz w:val="18"/>
                <w:szCs w:val="18"/>
              </w:rPr>
              <w:t>Large Whole</w:t>
            </w:r>
            <w:r w:rsidR="00E30491" w:rsidRPr="00B75B77">
              <w:rPr>
                <w:rFonts w:ascii="Calibri" w:eastAsia="Times New Roman" w:hAnsi="Calibri"/>
                <w:b w:val="0"/>
                <w:color w:val="000000"/>
                <w:sz w:val="18"/>
                <w:szCs w:val="18"/>
              </w:rPr>
              <w:t>-</w:t>
            </w:r>
            <w:r w:rsidRPr="00B75B77">
              <w:rPr>
                <w:rFonts w:ascii="Calibri" w:eastAsia="Times New Roman" w:hAnsi="Calibri"/>
                <w:b w:val="0"/>
                <w:color w:val="000000"/>
                <w:sz w:val="18"/>
                <w:szCs w:val="18"/>
              </w:rPr>
              <w:t>Building Q4-OT</w:t>
            </w:r>
          </w:p>
        </w:tc>
        <w:tc>
          <w:tcPr>
            <w:tcW w:w="0" w:type="auto"/>
            <w:tcBorders>
              <w:left w:val="single" w:sz="8" w:space="0" w:color="448A99"/>
              <w:right w:val="single" w:sz="8" w:space="0" w:color="448A99"/>
            </w:tcBorders>
            <w:vAlign w:val="center"/>
          </w:tcPr>
          <w:p w:rsidR="008A2056" w:rsidRPr="00B75B77" w:rsidRDefault="008A2056" w:rsidP="007456EB">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1,599</w:t>
            </w:r>
          </w:p>
        </w:tc>
        <w:tc>
          <w:tcPr>
            <w:tcW w:w="0" w:type="auto"/>
            <w:tcBorders>
              <w:left w:val="single" w:sz="8" w:space="0" w:color="448A99"/>
              <w:right w:val="single" w:sz="8" w:space="0" w:color="448A99"/>
            </w:tcBorders>
            <w:vAlign w:val="center"/>
          </w:tcPr>
          <w:p w:rsidR="008A2056" w:rsidRPr="00B75B77" w:rsidRDefault="008A2056" w:rsidP="007456EB">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0.42</w:t>
            </w:r>
          </w:p>
        </w:tc>
        <w:tc>
          <w:tcPr>
            <w:tcW w:w="0" w:type="auto"/>
            <w:tcBorders>
              <w:left w:val="single" w:sz="8" w:space="0" w:color="448A99"/>
              <w:right w:val="single" w:sz="8" w:space="0" w:color="448A99"/>
            </w:tcBorders>
            <w:vAlign w:val="center"/>
          </w:tcPr>
          <w:p w:rsidR="008A2056" w:rsidRPr="00B75B77" w:rsidRDefault="008A2056" w:rsidP="007456EB">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676</w:t>
            </w:r>
          </w:p>
        </w:tc>
        <w:tc>
          <w:tcPr>
            <w:tcW w:w="0" w:type="auto"/>
            <w:tcBorders>
              <w:left w:val="single" w:sz="8" w:space="0" w:color="448A99"/>
              <w:right w:val="single" w:sz="8" w:space="0" w:color="448A99"/>
            </w:tcBorders>
            <w:vAlign w:val="center"/>
          </w:tcPr>
          <w:p w:rsidR="008A2056" w:rsidRPr="00B75B77" w:rsidRDefault="008A2056" w:rsidP="007456EB">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0.76</w:t>
            </w:r>
          </w:p>
        </w:tc>
        <w:tc>
          <w:tcPr>
            <w:tcW w:w="0" w:type="auto"/>
            <w:tcBorders>
              <w:left w:val="single" w:sz="8" w:space="0" w:color="448A99"/>
            </w:tcBorders>
            <w:vAlign w:val="center"/>
          </w:tcPr>
          <w:p w:rsidR="008A2056" w:rsidRPr="00B75B77" w:rsidRDefault="008A2056" w:rsidP="007456EB">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159%</w:t>
            </w:r>
          </w:p>
        </w:tc>
      </w:tr>
      <w:tr w:rsidR="00E30491" w:rsidRPr="00B75B77" w:rsidTr="00CA16D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8A99"/>
            </w:tcBorders>
            <w:vAlign w:val="center"/>
          </w:tcPr>
          <w:p w:rsidR="008A2056" w:rsidRPr="00B75B77" w:rsidRDefault="008A2056" w:rsidP="007456EB">
            <w:pPr>
              <w:keepNext/>
              <w:jc w:val="left"/>
              <w:rPr>
                <w:rFonts w:ascii="Calibri" w:hAnsi="Calibri"/>
                <w:sz w:val="18"/>
              </w:rPr>
            </w:pPr>
            <w:r w:rsidRPr="00B75B77">
              <w:rPr>
                <w:rFonts w:ascii="Calibri" w:eastAsia="Times New Roman" w:hAnsi="Calibri"/>
                <w:b w:val="0"/>
                <w:color w:val="000000"/>
                <w:sz w:val="18"/>
                <w:szCs w:val="18"/>
              </w:rPr>
              <w:t>Small Whole</w:t>
            </w:r>
            <w:r w:rsidR="00E30491" w:rsidRPr="00B75B77">
              <w:rPr>
                <w:rFonts w:ascii="Calibri" w:eastAsia="Times New Roman" w:hAnsi="Calibri"/>
                <w:b w:val="0"/>
                <w:color w:val="000000"/>
                <w:sz w:val="18"/>
                <w:szCs w:val="18"/>
              </w:rPr>
              <w:t>-</w:t>
            </w:r>
            <w:r w:rsidRPr="00B75B77">
              <w:rPr>
                <w:rFonts w:ascii="Calibri" w:eastAsia="Times New Roman" w:hAnsi="Calibri"/>
                <w:b w:val="0"/>
                <w:color w:val="000000"/>
                <w:sz w:val="18"/>
                <w:szCs w:val="18"/>
              </w:rPr>
              <w:t>Building Q1-Q3</w:t>
            </w:r>
          </w:p>
        </w:tc>
        <w:tc>
          <w:tcPr>
            <w:tcW w:w="0" w:type="auto"/>
            <w:tcBorders>
              <w:left w:val="single" w:sz="8" w:space="0" w:color="448A99"/>
              <w:right w:val="single" w:sz="8" w:space="0" w:color="448A99"/>
            </w:tcBorders>
            <w:vAlign w:val="center"/>
          </w:tcPr>
          <w:p w:rsidR="008A2056" w:rsidRPr="00B75B77" w:rsidRDefault="008A2056" w:rsidP="007456EB">
            <w:pPr>
              <w:keepNext/>
              <w:jc w:val="center"/>
              <w:cnfStyle w:val="000000100000" w:firstRow="0" w:lastRow="0" w:firstColumn="0" w:lastColumn="0" w:oddVBand="0" w:evenVBand="0" w:oddHBand="1" w:evenHBand="0" w:firstRowFirstColumn="0" w:firstRowLastColumn="0" w:lastRowFirstColumn="0" w:lastRowLastColumn="0"/>
              <w:rPr>
                <w:rFonts w:ascii="Calibri" w:hAnsi="Calibri"/>
                <w:sz w:val="18"/>
              </w:rPr>
            </w:pPr>
            <w:r w:rsidRPr="00B75B77">
              <w:rPr>
                <w:rFonts w:ascii="Calibri" w:hAnsi="Calibri"/>
                <w:sz w:val="18"/>
              </w:rPr>
              <w:t>470</w:t>
            </w:r>
          </w:p>
        </w:tc>
        <w:tc>
          <w:tcPr>
            <w:tcW w:w="0" w:type="auto"/>
            <w:tcBorders>
              <w:left w:val="single" w:sz="8" w:space="0" w:color="448A99"/>
              <w:right w:val="single" w:sz="8" w:space="0" w:color="448A99"/>
            </w:tcBorders>
            <w:vAlign w:val="center"/>
          </w:tcPr>
          <w:p w:rsidR="008A2056" w:rsidRPr="00B75B77" w:rsidRDefault="008A2056" w:rsidP="007456EB">
            <w:pPr>
              <w:keepNext/>
              <w:jc w:val="center"/>
              <w:cnfStyle w:val="000000100000" w:firstRow="0" w:lastRow="0" w:firstColumn="0" w:lastColumn="0" w:oddVBand="0" w:evenVBand="0" w:oddHBand="1" w:evenHBand="0" w:firstRowFirstColumn="0" w:firstRowLastColumn="0" w:lastRowFirstColumn="0" w:lastRowLastColumn="0"/>
              <w:rPr>
                <w:rFonts w:ascii="Calibri" w:hAnsi="Calibri"/>
                <w:sz w:val="18"/>
              </w:rPr>
            </w:pPr>
            <w:r w:rsidRPr="00B75B77">
              <w:rPr>
                <w:rFonts w:ascii="Calibri" w:hAnsi="Calibri"/>
                <w:sz w:val="18"/>
              </w:rPr>
              <w:t>1.00</w:t>
            </w:r>
          </w:p>
        </w:tc>
        <w:tc>
          <w:tcPr>
            <w:tcW w:w="0" w:type="auto"/>
            <w:tcBorders>
              <w:left w:val="single" w:sz="8" w:space="0" w:color="448A99"/>
              <w:right w:val="single" w:sz="8" w:space="0" w:color="448A99"/>
            </w:tcBorders>
            <w:vAlign w:val="center"/>
          </w:tcPr>
          <w:p w:rsidR="008A2056" w:rsidRPr="00B75B77" w:rsidRDefault="008A2056" w:rsidP="007456EB">
            <w:pPr>
              <w:keepNext/>
              <w:jc w:val="center"/>
              <w:cnfStyle w:val="000000100000" w:firstRow="0" w:lastRow="0" w:firstColumn="0" w:lastColumn="0" w:oddVBand="0" w:evenVBand="0" w:oddHBand="1" w:evenHBand="0" w:firstRowFirstColumn="0" w:firstRowLastColumn="0" w:lastRowFirstColumn="0" w:lastRowLastColumn="0"/>
              <w:rPr>
                <w:rFonts w:ascii="Calibri" w:hAnsi="Calibri"/>
                <w:sz w:val="18"/>
              </w:rPr>
            </w:pPr>
            <w:r w:rsidRPr="00B75B77">
              <w:rPr>
                <w:rFonts w:ascii="Calibri" w:hAnsi="Calibri"/>
                <w:sz w:val="18"/>
              </w:rPr>
              <w:t>469</w:t>
            </w:r>
          </w:p>
        </w:tc>
        <w:tc>
          <w:tcPr>
            <w:tcW w:w="0" w:type="auto"/>
            <w:tcBorders>
              <w:left w:val="single" w:sz="8" w:space="0" w:color="448A99"/>
              <w:right w:val="single" w:sz="8" w:space="0" w:color="448A99"/>
            </w:tcBorders>
            <w:vAlign w:val="center"/>
          </w:tcPr>
          <w:p w:rsidR="008A2056" w:rsidRPr="00B75B77" w:rsidRDefault="008A2056" w:rsidP="007456EB">
            <w:pPr>
              <w:keepNext/>
              <w:jc w:val="center"/>
              <w:cnfStyle w:val="000000100000" w:firstRow="0" w:lastRow="0" w:firstColumn="0" w:lastColumn="0" w:oddVBand="0" w:evenVBand="0" w:oddHBand="1" w:evenHBand="0" w:firstRowFirstColumn="0" w:firstRowLastColumn="0" w:lastRowFirstColumn="0" w:lastRowLastColumn="0"/>
              <w:rPr>
                <w:rFonts w:ascii="Calibri" w:hAnsi="Calibri"/>
                <w:sz w:val="18"/>
              </w:rPr>
            </w:pPr>
            <w:r w:rsidRPr="00B75B77">
              <w:rPr>
                <w:rFonts w:ascii="Calibri" w:hAnsi="Calibri"/>
                <w:sz w:val="18"/>
              </w:rPr>
              <w:t>0.00</w:t>
            </w:r>
          </w:p>
        </w:tc>
        <w:tc>
          <w:tcPr>
            <w:tcW w:w="0" w:type="auto"/>
            <w:tcBorders>
              <w:left w:val="single" w:sz="8" w:space="0" w:color="448A99"/>
            </w:tcBorders>
            <w:vAlign w:val="center"/>
          </w:tcPr>
          <w:p w:rsidR="008A2056" w:rsidRPr="00B75B77" w:rsidRDefault="008A2056" w:rsidP="007456EB">
            <w:pPr>
              <w:keepNext/>
              <w:jc w:val="center"/>
              <w:cnfStyle w:val="000000100000" w:firstRow="0" w:lastRow="0" w:firstColumn="0" w:lastColumn="0" w:oddVBand="0" w:evenVBand="0" w:oddHBand="1" w:evenHBand="0" w:firstRowFirstColumn="0" w:firstRowLastColumn="0" w:lastRowFirstColumn="0" w:lastRowLastColumn="0"/>
              <w:rPr>
                <w:rFonts w:ascii="Calibri" w:hAnsi="Calibri"/>
                <w:sz w:val="18"/>
              </w:rPr>
            </w:pPr>
            <w:r w:rsidRPr="00B75B77">
              <w:rPr>
                <w:rFonts w:ascii="Calibri" w:hAnsi="Calibri"/>
                <w:sz w:val="18"/>
              </w:rPr>
              <w:t>0%</w:t>
            </w:r>
          </w:p>
        </w:tc>
      </w:tr>
      <w:tr w:rsidR="00E30491" w:rsidRPr="00B75B77" w:rsidTr="00CA16D1">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8A99"/>
            </w:tcBorders>
          </w:tcPr>
          <w:p w:rsidR="008A2056" w:rsidRPr="00B75B77" w:rsidRDefault="008A2056" w:rsidP="007456EB">
            <w:pPr>
              <w:keepNext/>
              <w:jc w:val="left"/>
              <w:rPr>
                <w:rFonts w:ascii="Calibri" w:hAnsi="Calibri"/>
                <w:sz w:val="18"/>
              </w:rPr>
            </w:pPr>
            <w:r w:rsidRPr="00B75B77">
              <w:rPr>
                <w:rFonts w:ascii="Calibri" w:eastAsia="Times New Roman" w:hAnsi="Calibri"/>
                <w:b w:val="0"/>
                <w:color w:val="000000"/>
                <w:sz w:val="18"/>
                <w:szCs w:val="18"/>
              </w:rPr>
              <w:t>Small Whole</w:t>
            </w:r>
            <w:r w:rsidR="00E30491" w:rsidRPr="00B75B77">
              <w:rPr>
                <w:rFonts w:ascii="Calibri" w:eastAsia="Times New Roman" w:hAnsi="Calibri"/>
                <w:b w:val="0"/>
                <w:color w:val="000000"/>
                <w:sz w:val="18"/>
                <w:szCs w:val="18"/>
              </w:rPr>
              <w:t>-</w:t>
            </w:r>
            <w:r w:rsidRPr="00B75B77">
              <w:rPr>
                <w:rFonts w:ascii="Calibri" w:eastAsia="Times New Roman" w:hAnsi="Calibri"/>
                <w:b w:val="0"/>
                <w:color w:val="000000"/>
                <w:sz w:val="18"/>
                <w:szCs w:val="18"/>
              </w:rPr>
              <w:t>Building Q4-OT</w:t>
            </w:r>
          </w:p>
        </w:tc>
        <w:tc>
          <w:tcPr>
            <w:tcW w:w="0" w:type="auto"/>
            <w:tcBorders>
              <w:left w:val="single" w:sz="8" w:space="0" w:color="448A99"/>
              <w:right w:val="single" w:sz="8" w:space="0" w:color="448A99"/>
            </w:tcBorders>
            <w:vAlign w:val="center"/>
          </w:tcPr>
          <w:p w:rsidR="008A2056" w:rsidRPr="00B75B77" w:rsidRDefault="008A2056" w:rsidP="007456EB">
            <w:pPr>
              <w:keepNext/>
              <w:jc w:val="center"/>
              <w:cnfStyle w:val="000000010000" w:firstRow="0" w:lastRow="0" w:firstColumn="0" w:lastColumn="0" w:oddVBand="0" w:evenVBand="0" w:oddHBand="0" w:evenHBand="1" w:firstRowFirstColumn="0" w:firstRowLastColumn="0" w:lastRowFirstColumn="0" w:lastRowLastColumn="0"/>
              <w:rPr>
                <w:rFonts w:ascii="Calibri" w:hAnsi="Calibri"/>
                <w:sz w:val="18"/>
              </w:rPr>
            </w:pPr>
            <w:r w:rsidRPr="00B75B77">
              <w:rPr>
                <w:rFonts w:ascii="Calibri" w:hAnsi="Calibri"/>
                <w:sz w:val="18"/>
              </w:rPr>
              <w:t>0</w:t>
            </w:r>
          </w:p>
        </w:tc>
        <w:tc>
          <w:tcPr>
            <w:tcW w:w="0" w:type="auto"/>
            <w:tcBorders>
              <w:left w:val="single" w:sz="8" w:space="0" w:color="448A99"/>
              <w:right w:val="single" w:sz="8" w:space="0" w:color="448A99"/>
            </w:tcBorders>
            <w:vAlign w:val="center"/>
          </w:tcPr>
          <w:p w:rsidR="008A2056" w:rsidRPr="00B75B77" w:rsidRDefault="0061553F" w:rsidP="007456EB">
            <w:pPr>
              <w:keepNext/>
              <w:jc w:val="center"/>
              <w:cnfStyle w:val="000000010000" w:firstRow="0" w:lastRow="0" w:firstColumn="0" w:lastColumn="0" w:oddVBand="0" w:evenVBand="0" w:oddHBand="0" w:evenHBand="1" w:firstRowFirstColumn="0" w:firstRowLastColumn="0" w:lastRowFirstColumn="0" w:lastRowLastColumn="0"/>
              <w:rPr>
                <w:rFonts w:ascii="Calibri" w:hAnsi="Calibri"/>
                <w:sz w:val="18"/>
              </w:rPr>
            </w:pPr>
            <w:r w:rsidRPr="00B75B77">
              <w:rPr>
                <w:rFonts w:ascii="Calibri" w:hAnsi="Calibri"/>
                <w:sz w:val="18"/>
              </w:rPr>
              <w:t>N/A</w:t>
            </w:r>
          </w:p>
        </w:tc>
        <w:tc>
          <w:tcPr>
            <w:tcW w:w="0" w:type="auto"/>
            <w:tcBorders>
              <w:left w:val="single" w:sz="8" w:space="0" w:color="448A99"/>
              <w:right w:val="single" w:sz="8" w:space="0" w:color="448A99"/>
            </w:tcBorders>
            <w:vAlign w:val="center"/>
          </w:tcPr>
          <w:p w:rsidR="008A2056" w:rsidRPr="00B75B77" w:rsidRDefault="008A2056" w:rsidP="007456EB">
            <w:pPr>
              <w:keepNext/>
              <w:jc w:val="center"/>
              <w:cnfStyle w:val="000000010000" w:firstRow="0" w:lastRow="0" w:firstColumn="0" w:lastColumn="0" w:oddVBand="0" w:evenVBand="0" w:oddHBand="0" w:evenHBand="1" w:firstRowFirstColumn="0" w:firstRowLastColumn="0" w:lastRowFirstColumn="0" w:lastRowLastColumn="0"/>
              <w:rPr>
                <w:rFonts w:ascii="Calibri" w:hAnsi="Calibri"/>
                <w:sz w:val="18"/>
              </w:rPr>
            </w:pPr>
            <w:r w:rsidRPr="00B75B77">
              <w:rPr>
                <w:rFonts w:ascii="Calibri" w:hAnsi="Calibri"/>
                <w:sz w:val="18"/>
              </w:rPr>
              <w:t>0</w:t>
            </w:r>
          </w:p>
        </w:tc>
        <w:tc>
          <w:tcPr>
            <w:tcW w:w="0" w:type="auto"/>
            <w:tcBorders>
              <w:left w:val="single" w:sz="8" w:space="0" w:color="448A99"/>
              <w:right w:val="single" w:sz="8" w:space="0" w:color="448A99"/>
            </w:tcBorders>
            <w:vAlign w:val="center"/>
          </w:tcPr>
          <w:p w:rsidR="008A2056" w:rsidRPr="00B75B77" w:rsidRDefault="0061553F" w:rsidP="007456EB">
            <w:pPr>
              <w:keepNext/>
              <w:jc w:val="center"/>
              <w:cnfStyle w:val="000000010000" w:firstRow="0" w:lastRow="0" w:firstColumn="0" w:lastColumn="0" w:oddVBand="0" w:evenVBand="0" w:oddHBand="0" w:evenHBand="1" w:firstRowFirstColumn="0" w:firstRowLastColumn="0" w:lastRowFirstColumn="0" w:lastRowLastColumn="0"/>
              <w:rPr>
                <w:rFonts w:ascii="Calibri" w:hAnsi="Calibri"/>
                <w:sz w:val="18"/>
              </w:rPr>
            </w:pPr>
            <w:r w:rsidRPr="00B75B77">
              <w:rPr>
                <w:rFonts w:ascii="Calibri" w:hAnsi="Calibri"/>
                <w:sz w:val="18"/>
              </w:rPr>
              <w:t>N/A</w:t>
            </w:r>
          </w:p>
        </w:tc>
        <w:tc>
          <w:tcPr>
            <w:tcW w:w="0" w:type="auto"/>
            <w:tcBorders>
              <w:left w:val="single" w:sz="8" w:space="0" w:color="448A99"/>
            </w:tcBorders>
            <w:vAlign w:val="center"/>
          </w:tcPr>
          <w:p w:rsidR="008A2056" w:rsidRPr="00B75B77" w:rsidRDefault="008A2056" w:rsidP="007456EB">
            <w:pPr>
              <w:keepNext/>
              <w:jc w:val="center"/>
              <w:cnfStyle w:val="000000010000" w:firstRow="0" w:lastRow="0" w:firstColumn="0" w:lastColumn="0" w:oddVBand="0" w:evenVBand="0" w:oddHBand="0" w:evenHBand="1" w:firstRowFirstColumn="0" w:firstRowLastColumn="0" w:lastRowFirstColumn="0" w:lastRowLastColumn="0"/>
              <w:rPr>
                <w:rFonts w:ascii="Calibri" w:hAnsi="Calibri"/>
                <w:sz w:val="18"/>
              </w:rPr>
            </w:pPr>
            <w:r w:rsidRPr="00B75B77">
              <w:rPr>
                <w:rFonts w:ascii="Calibri" w:hAnsi="Calibri"/>
                <w:sz w:val="18"/>
              </w:rPr>
              <w:t>0%</w:t>
            </w:r>
          </w:p>
        </w:tc>
      </w:tr>
      <w:tr w:rsidR="00E30491" w:rsidRPr="00B75B77" w:rsidTr="00CA16D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8A99"/>
            </w:tcBorders>
          </w:tcPr>
          <w:p w:rsidR="008A2056" w:rsidRPr="00B75B77" w:rsidRDefault="008A2056" w:rsidP="007456EB">
            <w:pPr>
              <w:keepNext/>
              <w:jc w:val="left"/>
              <w:rPr>
                <w:rFonts w:ascii="Calibri" w:hAnsi="Calibri"/>
                <w:sz w:val="18"/>
              </w:rPr>
            </w:pPr>
            <w:r w:rsidRPr="00B75B77">
              <w:rPr>
                <w:rFonts w:ascii="Calibri" w:eastAsia="Times New Roman" w:hAnsi="Calibri"/>
                <w:bCs w:val="0"/>
                <w:caps/>
                <w:color w:val="000000"/>
                <w:sz w:val="18"/>
                <w:szCs w:val="18"/>
              </w:rPr>
              <w:t>Program Total</w:t>
            </w:r>
          </w:p>
        </w:tc>
        <w:tc>
          <w:tcPr>
            <w:tcW w:w="0" w:type="auto"/>
            <w:tcBorders>
              <w:left w:val="single" w:sz="8" w:space="0" w:color="448A99"/>
              <w:right w:val="single" w:sz="8" w:space="0" w:color="448A99"/>
            </w:tcBorders>
            <w:vAlign w:val="center"/>
          </w:tcPr>
          <w:p w:rsidR="008A2056" w:rsidRPr="00B75B77" w:rsidRDefault="008A2056" w:rsidP="007456EB">
            <w:pPr>
              <w:keepNext/>
              <w:jc w:val="center"/>
              <w:cnfStyle w:val="000000100000" w:firstRow="0" w:lastRow="0" w:firstColumn="0" w:lastColumn="0" w:oddVBand="0" w:evenVBand="0" w:oddHBand="1" w:evenHBand="0" w:firstRowFirstColumn="0" w:firstRowLastColumn="0" w:lastRowFirstColumn="0" w:lastRowLastColumn="0"/>
              <w:rPr>
                <w:rFonts w:ascii="Calibri" w:hAnsi="Calibri"/>
                <w:b/>
                <w:sz w:val="18"/>
              </w:rPr>
            </w:pPr>
            <w:r w:rsidRPr="00B75B77">
              <w:rPr>
                <w:rFonts w:ascii="Calibri" w:hAnsi="Calibri"/>
                <w:b/>
                <w:sz w:val="18"/>
              </w:rPr>
              <w:t>26,545</w:t>
            </w:r>
          </w:p>
        </w:tc>
        <w:tc>
          <w:tcPr>
            <w:tcW w:w="0" w:type="auto"/>
            <w:tcBorders>
              <w:left w:val="single" w:sz="8" w:space="0" w:color="448A99"/>
              <w:right w:val="single" w:sz="8" w:space="0" w:color="448A99"/>
            </w:tcBorders>
            <w:vAlign w:val="center"/>
          </w:tcPr>
          <w:p w:rsidR="008A2056" w:rsidRPr="00B75B77" w:rsidRDefault="008A2056" w:rsidP="007456EB">
            <w:pPr>
              <w:keepNext/>
              <w:jc w:val="center"/>
              <w:cnfStyle w:val="000000100000" w:firstRow="0" w:lastRow="0" w:firstColumn="0" w:lastColumn="0" w:oddVBand="0" w:evenVBand="0" w:oddHBand="1" w:evenHBand="0" w:firstRowFirstColumn="0" w:firstRowLastColumn="0" w:lastRowFirstColumn="0" w:lastRowLastColumn="0"/>
              <w:rPr>
                <w:rFonts w:ascii="Calibri" w:hAnsi="Calibri"/>
                <w:b/>
                <w:sz w:val="18"/>
              </w:rPr>
            </w:pPr>
            <w:r w:rsidRPr="00B75B77">
              <w:rPr>
                <w:rFonts w:ascii="Calibri" w:hAnsi="Calibri"/>
                <w:b/>
                <w:sz w:val="18"/>
              </w:rPr>
              <w:t>0.87</w:t>
            </w:r>
          </w:p>
        </w:tc>
        <w:tc>
          <w:tcPr>
            <w:tcW w:w="0" w:type="auto"/>
            <w:tcBorders>
              <w:left w:val="single" w:sz="8" w:space="0" w:color="448A99"/>
              <w:right w:val="single" w:sz="8" w:space="0" w:color="448A99"/>
            </w:tcBorders>
            <w:vAlign w:val="center"/>
          </w:tcPr>
          <w:p w:rsidR="008A2056" w:rsidRPr="00B75B77" w:rsidRDefault="008A2056" w:rsidP="007456EB">
            <w:pPr>
              <w:keepNext/>
              <w:jc w:val="center"/>
              <w:cnfStyle w:val="000000100000" w:firstRow="0" w:lastRow="0" w:firstColumn="0" w:lastColumn="0" w:oddVBand="0" w:evenVBand="0" w:oddHBand="1" w:evenHBand="0" w:firstRowFirstColumn="0" w:firstRowLastColumn="0" w:lastRowFirstColumn="0" w:lastRowLastColumn="0"/>
              <w:rPr>
                <w:rFonts w:ascii="Calibri" w:hAnsi="Calibri"/>
                <w:b/>
                <w:sz w:val="18"/>
              </w:rPr>
            </w:pPr>
            <w:r w:rsidRPr="00B75B77">
              <w:rPr>
                <w:rFonts w:ascii="Calibri" w:hAnsi="Calibri"/>
                <w:b/>
                <w:sz w:val="18"/>
              </w:rPr>
              <w:t>22,995</w:t>
            </w:r>
          </w:p>
        </w:tc>
        <w:tc>
          <w:tcPr>
            <w:tcW w:w="0" w:type="auto"/>
            <w:tcBorders>
              <w:left w:val="single" w:sz="8" w:space="0" w:color="448A99"/>
              <w:right w:val="single" w:sz="8" w:space="0" w:color="448A99"/>
            </w:tcBorders>
            <w:vAlign w:val="center"/>
          </w:tcPr>
          <w:p w:rsidR="008A2056" w:rsidRPr="00B75B77" w:rsidRDefault="008A2056" w:rsidP="007456EB">
            <w:pPr>
              <w:keepNext/>
              <w:jc w:val="center"/>
              <w:cnfStyle w:val="000000100000" w:firstRow="0" w:lastRow="0" w:firstColumn="0" w:lastColumn="0" w:oddVBand="0" w:evenVBand="0" w:oddHBand="1" w:evenHBand="0" w:firstRowFirstColumn="0" w:firstRowLastColumn="0" w:lastRowFirstColumn="0" w:lastRowLastColumn="0"/>
              <w:rPr>
                <w:rFonts w:ascii="Calibri" w:hAnsi="Calibri"/>
                <w:b/>
                <w:sz w:val="18"/>
              </w:rPr>
            </w:pPr>
            <w:r w:rsidRPr="00B75B77">
              <w:rPr>
                <w:rFonts w:ascii="Calibri" w:hAnsi="Calibri"/>
                <w:b/>
                <w:sz w:val="18"/>
              </w:rPr>
              <w:t>N/A</w:t>
            </w:r>
          </w:p>
        </w:tc>
        <w:tc>
          <w:tcPr>
            <w:tcW w:w="0" w:type="auto"/>
            <w:tcBorders>
              <w:left w:val="single" w:sz="8" w:space="0" w:color="448A99"/>
            </w:tcBorders>
            <w:vAlign w:val="center"/>
          </w:tcPr>
          <w:p w:rsidR="008A2056" w:rsidRPr="00B75B77" w:rsidRDefault="008A2056" w:rsidP="007456EB">
            <w:pPr>
              <w:keepNext/>
              <w:jc w:val="center"/>
              <w:cnfStyle w:val="000000100000" w:firstRow="0" w:lastRow="0" w:firstColumn="0" w:lastColumn="0" w:oddVBand="0" w:evenVBand="0" w:oddHBand="1" w:evenHBand="0" w:firstRowFirstColumn="0" w:firstRowLastColumn="0" w:lastRowFirstColumn="0" w:lastRowLastColumn="0"/>
              <w:rPr>
                <w:rFonts w:ascii="Calibri" w:hAnsi="Calibri"/>
                <w:b/>
                <w:sz w:val="18"/>
              </w:rPr>
            </w:pPr>
            <w:r w:rsidRPr="00B75B77">
              <w:rPr>
                <w:rFonts w:ascii="Calibri" w:hAnsi="Calibri"/>
                <w:b/>
                <w:sz w:val="18"/>
              </w:rPr>
              <w:t>29%</w:t>
            </w:r>
          </w:p>
        </w:tc>
      </w:tr>
    </w:tbl>
    <w:p w:rsidR="008A2056" w:rsidRPr="00B75B77" w:rsidRDefault="008A2056" w:rsidP="00A154F7">
      <w:pPr>
        <w:keepNext/>
        <w:spacing w:before="20" w:after="20"/>
        <w:ind w:left="270"/>
        <w:jc w:val="left"/>
        <w:rPr>
          <w:rFonts w:eastAsia="Times New Roman"/>
          <w:i/>
          <w:sz w:val="18"/>
          <w:szCs w:val="20"/>
        </w:rPr>
      </w:pPr>
      <w:r w:rsidRPr="00B75B77">
        <w:rPr>
          <w:rFonts w:ascii="Calibri" w:eastAsia="Times New Roman" w:hAnsi="Calibri"/>
          <w:sz w:val="18"/>
          <w:szCs w:val="18"/>
        </w:rPr>
        <w:t>Note: Values in tables may not reconcile exactly with the sum of more detailed level results or previously reported results due to rounding.</w:t>
      </w:r>
    </w:p>
    <w:p w:rsidR="008A2056" w:rsidRPr="00B75B77" w:rsidRDefault="008A2056" w:rsidP="006D3977">
      <w:pPr>
        <w:pStyle w:val="Source"/>
        <w:ind w:hanging="450"/>
      </w:pPr>
      <w:r w:rsidRPr="00B75B77">
        <w:t>Source: Navigant analysis</w:t>
      </w:r>
    </w:p>
    <w:p w:rsidR="008A2056" w:rsidRPr="00B75B77" w:rsidRDefault="008A2056" w:rsidP="00586985">
      <w:pPr>
        <w:pStyle w:val="Caption"/>
      </w:pPr>
      <w:bookmarkStart w:id="822" w:name="_Ref462913238"/>
      <w:bookmarkStart w:id="823" w:name="_Toc466413612"/>
      <w:r w:rsidRPr="00B75B77">
        <w:t xml:space="preserve">Table </w:t>
      </w:r>
      <w:fldSimple w:instr=" STYLEREF 1 \s ">
        <w:r w:rsidR="0004016D">
          <w:rPr>
            <w:noProof/>
          </w:rPr>
          <w:t>13</w:t>
        </w:r>
      </w:fldSimple>
      <w:r w:rsidR="00F1144C" w:rsidRPr="00B75B77">
        <w:noBreakHyphen/>
      </w:r>
      <w:fldSimple w:instr=" SEQ Table \* ARABIC \s 1 ">
        <w:r w:rsidR="0004016D">
          <w:rPr>
            <w:noProof/>
          </w:rPr>
          <w:t>5</w:t>
        </w:r>
      </w:fldSimple>
      <w:bookmarkEnd w:id="822"/>
      <w:r w:rsidRPr="00B75B77">
        <w:t>: PY7 Smart Construction Incentives Summary of Evaluation Results for Demand</w:t>
      </w:r>
      <w:bookmarkEnd w:id="823"/>
    </w:p>
    <w:tbl>
      <w:tblPr>
        <w:tblStyle w:val="MediumShading1-Accent5"/>
        <w:tblW w:w="0" w:type="auto"/>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1420"/>
        <w:gridCol w:w="1456"/>
        <w:gridCol w:w="1376"/>
        <w:gridCol w:w="1788"/>
        <w:gridCol w:w="1580"/>
        <w:gridCol w:w="1848"/>
      </w:tblGrid>
      <w:tr w:rsidR="006D3977" w:rsidRPr="00B75B77" w:rsidTr="004170FC">
        <w:trPr>
          <w:cnfStyle w:val="100000000000" w:firstRow="1" w:lastRow="0" w:firstColumn="0" w:lastColumn="0" w:oddVBand="0" w:evenVBand="0" w:oddHBand="0" w:evenHBand="0" w:firstRowFirstColumn="0" w:firstRowLastColumn="0" w:lastRowFirstColumn="0" w:lastRowLastColumn="0"/>
          <w:trHeight w:val="955"/>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left w:val="single" w:sz="8" w:space="0" w:color="auto"/>
              <w:bottom w:val="single" w:sz="8" w:space="0" w:color="auto"/>
              <w:right w:val="single" w:sz="8" w:space="0" w:color="auto"/>
            </w:tcBorders>
            <w:shd w:val="clear" w:color="auto" w:fill="448A99"/>
            <w:vAlign w:val="center"/>
            <w:hideMark/>
          </w:tcPr>
          <w:p w:rsidR="008A2056" w:rsidRPr="00B75B77" w:rsidRDefault="008A2056" w:rsidP="00CA16D1">
            <w:pPr>
              <w:jc w:val="left"/>
              <w:rPr>
                <w:rFonts w:ascii="Calibri" w:eastAsia="Times New Roman" w:hAnsi="Calibri"/>
                <w:bCs w:val="0"/>
                <w:sz w:val="18"/>
                <w:szCs w:val="18"/>
              </w:rPr>
            </w:pPr>
            <w:r w:rsidRPr="00B75B77">
              <w:rPr>
                <w:rFonts w:ascii="Calibri" w:eastAsia="Times New Roman" w:hAnsi="Calibri"/>
                <w:bCs w:val="0"/>
                <w:sz w:val="18"/>
                <w:szCs w:val="18"/>
              </w:rPr>
              <w:t>Stratum</w:t>
            </w:r>
          </w:p>
        </w:tc>
        <w:tc>
          <w:tcPr>
            <w:tcW w:w="0" w:type="auto"/>
            <w:tcBorders>
              <w:top w:val="single" w:sz="8" w:space="0" w:color="auto"/>
              <w:left w:val="single" w:sz="8" w:space="0" w:color="auto"/>
              <w:bottom w:val="single" w:sz="8" w:space="0" w:color="auto"/>
              <w:right w:val="single" w:sz="8" w:space="0" w:color="auto"/>
            </w:tcBorders>
            <w:shd w:val="clear" w:color="auto" w:fill="448A99"/>
            <w:vAlign w:val="center"/>
            <w:hideMark/>
          </w:tcPr>
          <w:p w:rsidR="008A2056" w:rsidRPr="00B75B77" w:rsidRDefault="008A2056" w:rsidP="00CA16D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Reported Gross Demand Savings</w:t>
            </w:r>
          </w:p>
          <w:p w:rsidR="008A2056" w:rsidRPr="00B75B77" w:rsidRDefault="008A2056" w:rsidP="00CA16D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(MW)</w:t>
            </w:r>
            <w:r w:rsidRPr="00B75B77">
              <w:rPr>
                <w:rFonts w:ascii="Calibri" w:eastAsia="Times New Roman" w:hAnsi="Calibri"/>
                <w:bCs w:val="0"/>
                <w:sz w:val="18"/>
                <w:szCs w:val="18"/>
                <w:vertAlign w:val="superscript"/>
              </w:rPr>
              <w:t xml:space="preserve"> [1]</w:t>
            </w:r>
          </w:p>
        </w:tc>
        <w:tc>
          <w:tcPr>
            <w:tcW w:w="0" w:type="auto"/>
            <w:tcBorders>
              <w:top w:val="single" w:sz="8" w:space="0" w:color="auto"/>
              <w:left w:val="single" w:sz="8" w:space="0" w:color="auto"/>
              <w:bottom w:val="single" w:sz="8" w:space="0" w:color="auto"/>
              <w:right w:val="single" w:sz="8" w:space="0" w:color="auto"/>
            </w:tcBorders>
            <w:shd w:val="clear" w:color="auto" w:fill="448A99"/>
            <w:vAlign w:val="center"/>
            <w:hideMark/>
          </w:tcPr>
          <w:p w:rsidR="008A2056" w:rsidRPr="00B75B77" w:rsidRDefault="008A2056" w:rsidP="00CA16D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Demand Realization Rate</w:t>
            </w:r>
          </w:p>
          <w:p w:rsidR="008A2056" w:rsidRPr="00B75B77" w:rsidRDefault="008A2056" w:rsidP="00CA16D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w:t>
            </w:r>
          </w:p>
        </w:tc>
        <w:tc>
          <w:tcPr>
            <w:tcW w:w="1788" w:type="dxa"/>
            <w:tcBorders>
              <w:top w:val="single" w:sz="8" w:space="0" w:color="auto"/>
              <w:left w:val="single" w:sz="8" w:space="0" w:color="auto"/>
              <w:bottom w:val="single" w:sz="8" w:space="0" w:color="auto"/>
              <w:right w:val="single" w:sz="8" w:space="0" w:color="auto"/>
            </w:tcBorders>
            <w:shd w:val="clear" w:color="auto" w:fill="448A99"/>
            <w:vAlign w:val="center"/>
          </w:tcPr>
          <w:p w:rsidR="008A2056" w:rsidRPr="00B75B77" w:rsidRDefault="008A2056" w:rsidP="00CA16D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Verified Gross Demand Savings</w:t>
            </w:r>
          </w:p>
          <w:p w:rsidR="008A2056" w:rsidRPr="00B75B77" w:rsidRDefault="008A2056" w:rsidP="00CA16D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(MW)</w:t>
            </w:r>
            <w:r w:rsidRPr="00B75B77">
              <w:rPr>
                <w:rFonts w:ascii="Calibri" w:eastAsia="Times New Roman" w:hAnsi="Calibri"/>
                <w:bCs w:val="0"/>
                <w:sz w:val="18"/>
                <w:szCs w:val="18"/>
                <w:vertAlign w:val="superscript"/>
              </w:rPr>
              <w:t>[1]</w:t>
            </w:r>
          </w:p>
        </w:tc>
        <w:tc>
          <w:tcPr>
            <w:tcW w:w="1580" w:type="dxa"/>
            <w:tcBorders>
              <w:top w:val="single" w:sz="8" w:space="0" w:color="auto"/>
              <w:left w:val="single" w:sz="8" w:space="0" w:color="auto"/>
              <w:bottom w:val="single" w:sz="8" w:space="0" w:color="auto"/>
              <w:right w:val="single" w:sz="8" w:space="0" w:color="auto"/>
            </w:tcBorders>
            <w:shd w:val="clear" w:color="auto" w:fill="448A99"/>
            <w:vAlign w:val="center"/>
            <w:hideMark/>
          </w:tcPr>
          <w:p w:rsidR="008A2056" w:rsidRPr="00B75B77" w:rsidRDefault="008A2056" w:rsidP="006D397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Observed</w:t>
            </w:r>
            <w:r w:rsidR="006D3977" w:rsidRPr="00B75B77">
              <w:rPr>
                <w:rFonts w:ascii="Calibri" w:eastAsia="Times New Roman" w:hAnsi="Calibri"/>
                <w:bCs w:val="0"/>
                <w:sz w:val="18"/>
                <w:szCs w:val="18"/>
              </w:rPr>
              <w:t xml:space="preserve"> CV </w:t>
            </w:r>
            <w:r w:rsidRPr="00B75B77">
              <w:rPr>
                <w:rFonts w:ascii="Calibri" w:eastAsia="Times New Roman" w:hAnsi="Calibri"/>
                <w:bCs w:val="0"/>
                <w:sz w:val="18"/>
                <w:szCs w:val="18"/>
              </w:rPr>
              <w:t>or Proportion in Sample Design</w:t>
            </w:r>
          </w:p>
        </w:tc>
        <w:tc>
          <w:tcPr>
            <w:tcW w:w="0" w:type="auto"/>
            <w:tcBorders>
              <w:top w:val="single" w:sz="8" w:space="0" w:color="auto"/>
              <w:left w:val="single" w:sz="8" w:space="0" w:color="auto"/>
              <w:bottom w:val="single" w:sz="8" w:space="0" w:color="auto"/>
              <w:right w:val="single" w:sz="8" w:space="0" w:color="auto"/>
            </w:tcBorders>
            <w:shd w:val="clear" w:color="auto" w:fill="448A99"/>
            <w:vAlign w:val="center"/>
            <w:hideMark/>
          </w:tcPr>
          <w:p w:rsidR="008A2056" w:rsidRPr="00B75B77" w:rsidRDefault="008A2056" w:rsidP="006D397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 xml:space="preserve">Relative Precision at 85% </w:t>
            </w:r>
            <w:r w:rsidR="006D3977" w:rsidRPr="00B75B77">
              <w:rPr>
                <w:rFonts w:ascii="Calibri" w:eastAsia="Times New Roman" w:hAnsi="Calibri"/>
                <w:bCs w:val="0"/>
                <w:sz w:val="18"/>
                <w:szCs w:val="18"/>
              </w:rPr>
              <w:t>Confidence Interval</w:t>
            </w:r>
          </w:p>
        </w:tc>
      </w:tr>
      <w:tr w:rsidR="006D3977" w:rsidRPr="00B75B77" w:rsidTr="004170F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tcBorders>
            <w:vAlign w:val="center"/>
            <w:hideMark/>
          </w:tcPr>
          <w:p w:rsidR="008A2056" w:rsidRPr="00B75B77" w:rsidRDefault="008A2056" w:rsidP="00CA16D1">
            <w:pPr>
              <w:jc w:val="left"/>
              <w:rPr>
                <w:rFonts w:ascii="Calibri" w:eastAsia="Times New Roman" w:hAnsi="Calibri"/>
                <w:b w:val="0"/>
                <w:color w:val="000000"/>
                <w:sz w:val="18"/>
                <w:szCs w:val="18"/>
              </w:rPr>
            </w:pPr>
            <w:r w:rsidRPr="00B75B77">
              <w:rPr>
                <w:rFonts w:ascii="Calibri" w:eastAsia="Times New Roman" w:hAnsi="Calibri"/>
                <w:b w:val="0"/>
                <w:color w:val="000000"/>
                <w:sz w:val="18"/>
                <w:szCs w:val="18"/>
              </w:rPr>
              <w:t>Large Q1-Q3</w:t>
            </w:r>
          </w:p>
        </w:tc>
        <w:tc>
          <w:tcPr>
            <w:tcW w:w="0" w:type="auto"/>
            <w:tcBorders>
              <w:top w:val="single" w:sz="8" w:space="0" w:color="auto"/>
            </w:tcBorders>
            <w:vAlign w:val="center"/>
          </w:tcPr>
          <w:p w:rsidR="008A2056" w:rsidRPr="00B75B77" w:rsidRDefault="008A2056" w:rsidP="00CA16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1.2</w:t>
            </w:r>
          </w:p>
        </w:tc>
        <w:tc>
          <w:tcPr>
            <w:tcW w:w="0" w:type="auto"/>
            <w:tcBorders>
              <w:top w:val="single" w:sz="8" w:space="0" w:color="auto"/>
            </w:tcBorders>
            <w:vAlign w:val="center"/>
          </w:tcPr>
          <w:p w:rsidR="008A2056" w:rsidRPr="00B75B77" w:rsidRDefault="008A2056" w:rsidP="00CA16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0.91</w:t>
            </w:r>
          </w:p>
        </w:tc>
        <w:tc>
          <w:tcPr>
            <w:tcW w:w="1788" w:type="dxa"/>
            <w:tcBorders>
              <w:top w:val="single" w:sz="8" w:space="0" w:color="auto"/>
            </w:tcBorders>
            <w:vAlign w:val="center"/>
          </w:tcPr>
          <w:p w:rsidR="008A2056" w:rsidRPr="00B75B77" w:rsidRDefault="008A2056" w:rsidP="00CA16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1.1</w:t>
            </w:r>
          </w:p>
        </w:tc>
        <w:tc>
          <w:tcPr>
            <w:tcW w:w="1580" w:type="dxa"/>
            <w:tcBorders>
              <w:top w:val="single" w:sz="8" w:space="0" w:color="auto"/>
            </w:tcBorders>
            <w:vAlign w:val="center"/>
          </w:tcPr>
          <w:p w:rsidR="008A2056" w:rsidRPr="00B75B77" w:rsidRDefault="008A2056" w:rsidP="00CA16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0.46</w:t>
            </w:r>
          </w:p>
        </w:tc>
        <w:tc>
          <w:tcPr>
            <w:tcW w:w="0" w:type="auto"/>
            <w:tcBorders>
              <w:top w:val="single" w:sz="8" w:space="0" w:color="auto"/>
            </w:tcBorders>
            <w:vAlign w:val="center"/>
          </w:tcPr>
          <w:p w:rsidR="008A2056" w:rsidRPr="00B75B77" w:rsidRDefault="008A2056" w:rsidP="00CA16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19%</w:t>
            </w:r>
          </w:p>
        </w:tc>
      </w:tr>
      <w:tr w:rsidR="006D3977" w:rsidRPr="00B75B77" w:rsidTr="004170FC">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A2056" w:rsidRPr="00B75B77" w:rsidRDefault="008A2056" w:rsidP="00CA16D1">
            <w:pPr>
              <w:jc w:val="left"/>
              <w:rPr>
                <w:rFonts w:ascii="Calibri" w:eastAsia="Times New Roman" w:hAnsi="Calibri"/>
                <w:b w:val="0"/>
                <w:color w:val="000000"/>
                <w:sz w:val="18"/>
                <w:szCs w:val="18"/>
              </w:rPr>
            </w:pPr>
            <w:r w:rsidRPr="00B75B77">
              <w:rPr>
                <w:rFonts w:ascii="Calibri" w:eastAsia="Times New Roman" w:hAnsi="Calibri"/>
                <w:b w:val="0"/>
                <w:color w:val="000000"/>
                <w:sz w:val="18"/>
                <w:szCs w:val="18"/>
              </w:rPr>
              <w:t>Large Q4-OT</w:t>
            </w:r>
          </w:p>
        </w:tc>
        <w:tc>
          <w:tcPr>
            <w:tcW w:w="0" w:type="auto"/>
            <w:vAlign w:val="center"/>
          </w:tcPr>
          <w:p w:rsidR="008A2056" w:rsidRPr="00B75B77" w:rsidRDefault="008A2056" w:rsidP="00CA16D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1.2</w:t>
            </w:r>
          </w:p>
        </w:tc>
        <w:tc>
          <w:tcPr>
            <w:tcW w:w="0" w:type="auto"/>
            <w:vAlign w:val="center"/>
          </w:tcPr>
          <w:p w:rsidR="008A2056" w:rsidRPr="00B75B77" w:rsidRDefault="008A2056" w:rsidP="00CA16D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0.14</w:t>
            </w:r>
          </w:p>
        </w:tc>
        <w:tc>
          <w:tcPr>
            <w:tcW w:w="1788" w:type="dxa"/>
            <w:vAlign w:val="center"/>
          </w:tcPr>
          <w:p w:rsidR="008A2056" w:rsidRPr="00B75B77" w:rsidRDefault="008A2056" w:rsidP="00CA16D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0.2</w:t>
            </w:r>
          </w:p>
        </w:tc>
        <w:tc>
          <w:tcPr>
            <w:tcW w:w="1580" w:type="dxa"/>
            <w:vAlign w:val="center"/>
          </w:tcPr>
          <w:p w:rsidR="008A2056" w:rsidRPr="00B75B77" w:rsidRDefault="008A2056" w:rsidP="00CA16D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0.72</w:t>
            </w:r>
          </w:p>
        </w:tc>
        <w:tc>
          <w:tcPr>
            <w:tcW w:w="0" w:type="auto"/>
            <w:vAlign w:val="center"/>
          </w:tcPr>
          <w:p w:rsidR="008A2056" w:rsidRPr="00B75B77" w:rsidRDefault="008A2056" w:rsidP="00CA16D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83%</w:t>
            </w:r>
          </w:p>
        </w:tc>
      </w:tr>
      <w:tr w:rsidR="006D3977" w:rsidRPr="00B75B77" w:rsidTr="004170F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A2056" w:rsidRPr="00B75B77" w:rsidRDefault="008A2056" w:rsidP="00CA16D1">
            <w:pPr>
              <w:jc w:val="left"/>
              <w:rPr>
                <w:rFonts w:ascii="Calibri" w:eastAsia="Times New Roman" w:hAnsi="Calibri"/>
                <w:b w:val="0"/>
                <w:color w:val="000000"/>
                <w:sz w:val="18"/>
                <w:szCs w:val="18"/>
              </w:rPr>
            </w:pPr>
            <w:r w:rsidRPr="00B75B77">
              <w:rPr>
                <w:rFonts w:ascii="Calibri" w:eastAsia="Times New Roman" w:hAnsi="Calibri"/>
                <w:b w:val="0"/>
                <w:color w:val="000000"/>
                <w:sz w:val="18"/>
                <w:szCs w:val="18"/>
              </w:rPr>
              <w:t>Small Q1-Q3</w:t>
            </w:r>
          </w:p>
        </w:tc>
        <w:tc>
          <w:tcPr>
            <w:tcW w:w="0" w:type="auto"/>
            <w:vAlign w:val="center"/>
          </w:tcPr>
          <w:p w:rsidR="008A2056" w:rsidRPr="00B75B77" w:rsidRDefault="008A2056" w:rsidP="00CA16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1.0</w:t>
            </w:r>
          </w:p>
        </w:tc>
        <w:tc>
          <w:tcPr>
            <w:tcW w:w="0" w:type="auto"/>
            <w:vAlign w:val="center"/>
          </w:tcPr>
          <w:p w:rsidR="008A2056" w:rsidRPr="00B75B77" w:rsidRDefault="008A2056" w:rsidP="00CA16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0.95</w:t>
            </w:r>
          </w:p>
        </w:tc>
        <w:tc>
          <w:tcPr>
            <w:tcW w:w="1788" w:type="dxa"/>
            <w:vAlign w:val="center"/>
          </w:tcPr>
          <w:p w:rsidR="008A2056" w:rsidRPr="00B75B77" w:rsidRDefault="008A2056" w:rsidP="00CA16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0.9</w:t>
            </w:r>
          </w:p>
        </w:tc>
        <w:tc>
          <w:tcPr>
            <w:tcW w:w="1580" w:type="dxa"/>
            <w:vAlign w:val="center"/>
          </w:tcPr>
          <w:p w:rsidR="008A2056" w:rsidRPr="00B75B77" w:rsidRDefault="008A2056" w:rsidP="00CA16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0.29</w:t>
            </w:r>
          </w:p>
        </w:tc>
        <w:tc>
          <w:tcPr>
            <w:tcW w:w="0" w:type="auto"/>
            <w:vAlign w:val="center"/>
          </w:tcPr>
          <w:p w:rsidR="008A2056" w:rsidRPr="00B75B77" w:rsidRDefault="008A2056" w:rsidP="00CA16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16%</w:t>
            </w:r>
          </w:p>
        </w:tc>
      </w:tr>
      <w:tr w:rsidR="006D3977" w:rsidRPr="00B75B77" w:rsidTr="004170FC">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vAlign w:val="center"/>
          </w:tcPr>
          <w:p w:rsidR="008A2056" w:rsidRPr="00B75B77" w:rsidRDefault="008A2056" w:rsidP="00CA16D1">
            <w:pPr>
              <w:jc w:val="left"/>
              <w:rPr>
                <w:rFonts w:ascii="Calibri" w:eastAsia="Times New Roman" w:hAnsi="Calibri"/>
                <w:b w:val="0"/>
                <w:color w:val="000000"/>
                <w:sz w:val="18"/>
                <w:szCs w:val="18"/>
              </w:rPr>
            </w:pPr>
            <w:r w:rsidRPr="00B75B77">
              <w:rPr>
                <w:rFonts w:ascii="Calibri" w:eastAsia="Times New Roman" w:hAnsi="Calibri"/>
                <w:b w:val="0"/>
                <w:color w:val="000000"/>
                <w:sz w:val="18"/>
                <w:szCs w:val="18"/>
              </w:rPr>
              <w:t>Small Q4-OT</w:t>
            </w:r>
          </w:p>
        </w:tc>
        <w:tc>
          <w:tcPr>
            <w:tcW w:w="0" w:type="auto"/>
            <w:vAlign w:val="center"/>
          </w:tcPr>
          <w:p w:rsidR="008A2056" w:rsidRPr="00B75B77" w:rsidRDefault="008A2056" w:rsidP="00CA16D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0.8</w:t>
            </w:r>
          </w:p>
        </w:tc>
        <w:tc>
          <w:tcPr>
            <w:tcW w:w="0" w:type="auto"/>
            <w:vAlign w:val="center"/>
          </w:tcPr>
          <w:p w:rsidR="008A2056" w:rsidRPr="00B75B77" w:rsidRDefault="008A2056" w:rsidP="00CA16D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0.73</w:t>
            </w:r>
          </w:p>
        </w:tc>
        <w:tc>
          <w:tcPr>
            <w:tcW w:w="1788" w:type="dxa"/>
            <w:vAlign w:val="center"/>
          </w:tcPr>
          <w:p w:rsidR="008A2056" w:rsidRPr="00B75B77" w:rsidRDefault="008A2056" w:rsidP="00CA16D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0.6</w:t>
            </w:r>
          </w:p>
        </w:tc>
        <w:tc>
          <w:tcPr>
            <w:tcW w:w="1580" w:type="dxa"/>
            <w:vAlign w:val="center"/>
          </w:tcPr>
          <w:p w:rsidR="008A2056" w:rsidRPr="00B75B77" w:rsidRDefault="008A2056" w:rsidP="00CA16D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0.46</w:t>
            </w:r>
          </w:p>
        </w:tc>
        <w:tc>
          <w:tcPr>
            <w:tcW w:w="0" w:type="auto"/>
            <w:vAlign w:val="center"/>
          </w:tcPr>
          <w:p w:rsidR="008A2056" w:rsidRPr="00B75B77" w:rsidRDefault="008A2056" w:rsidP="00CA16D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35%</w:t>
            </w:r>
          </w:p>
        </w:tc>
      </w:tr>
      <w:tr w:rsidR="006D3977" w:rsidRPr="00B75B77" w:rsidTr="004170F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A2056" w:rsidRPr="00B75B77" w:rsidRDefault="008A2056" w:rsidP="00CA16D1">
            <w:pPr>
              <w:jc w:val="left"/>
              <w:rPr>
                <w:rFonts w:ascii="Calibri" w:eastAsia="Times New Roman" w:hAnsi="Calibri"/>
                <w:bCs w:val="0"/>
                <w:caps/>
                <w:color w:val="000000"/>
                <w:sz w:val="18"/>
                <w:szCs w:val="18"/>
              </w:rPr>
            </w:pPr>
            <w:r w:rsidRPr="00B75B77">
              <w:rPr>
                <w:rFonts w:ascii="Calibri" w:eastAsia="Times New Roman" w:hAnsi="Calibri"/>
                <w:b w:val="0"/>
                <w:color w:val="000000"/>
                <w:sz w:val="18"/>
                <w:szCs w:val="18"/>
              </w:rPr>
              <w:t>Large Whole</w:t>
            </w:r>
            <w:r w:rsidR="00E30491" w:rsidRPr="00B75B77">
              <w:rPr>
                <w:rFonts w:ascii="Calibri" w:eastAsia="Times New Roman" w:hAnsi="Calibri"/>
                <w:b w:val="0"/>
                <w:color w:val="000000"/>
                <w:sz w:val="18"/>
                <w:szCs w:val="18"/>
              </w:rPr>
              <w:t>-</w:t>
            </w:r>
            <w:r w:rsidRPr="00B75B77">
              <w:rPr>
                <w:rFonts w:ascii="Calibri" w:eastAsia="Times New Roman" w:hAnsi="Calibri"/>
                <w:b w:val="0"/>
                <w:color w:val="000000"/>
                <w:sz w:val="18"/>
                <w:szCs w:val="18"/>
              </w:rPr>
              <w:t>Building Q1-Q3</w:t>
            </w:r>
          </w:p>
        </w:tc>
        <w:tc>
          <w:tcPr>
            <w:tcW w:w="0" w:type="auto"/>
            <w:vAlign w:val="center"/>
          </w:tcPr>
          <w:p w:rsidR="008A2056" w:rsidRPr="00B75B77" w:rsidRDefault="008A2056" w:rsidP="00CA16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0.5</w:t>
            </w:r>
          </w:p>
        </w:tc>
        <w:tc>
          <w:tcPr>
            <w:tcW w:w="0" w:type="auto"/>
            <w:vAlign w:val="center"/>
          </w:tcPr>
          <w:p w:rsidR="008A2056" w:rsidRPr="00B75B77" w:rsidRDefault="008A2056" w:rsidP="00CA16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1.17</w:t>
            </w:r>
          </w:p>
        </w:tc>
        <w:tc>
          <w:tcPr>
            <w:tcW w:w="1788" w:type="dxa"/>
            <w:vAlign w:val="center"/>
          </w:tcPr>
          <w:p w:rsidR="008A2056" w:rsidRPr="00B75B77" w:rsidRDefault="008A2056" w:rsidP="00CA16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0.6</w:t>
            </w:r>
          </w:p>
        </w:tc>
        <w:tc>
          <w:tcPr>
            <w:tcW w:w="1580" w:type="dxa"/>
            <w:vAlign w:val="center"/>
          </w:tcPr>
          <w:p w:rsidR="008A2056" w:rsidRPr="00B75B77" w:rsidRDefault="008A2056" w:rsidP="00CA16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0.45</w:t>
            </w:r>
          </w:p>
        </w:tc>
        <w:tc>
          <w:tcPr>
            <w:tcW w:w="0" w:type="auto"/>
            <w:vAlign w:val="center"/>
          </w:tcPr>
          <w:p w:rsidR="008A2056" w:rsidRPr="00B75B77" w:rsidRDefault="008A2056" w:rsidP="00CA16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19%</w:t>
            </w:r>
          </w:p>
        </w:tc>
      </w:tr>
      <w:tr w:rsidR="006D3977" w:rsidRPr="00B75B77" w:rsidTr="004170FC">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tcPr>
          <w:p w:rsidR="008A2056" w:rsidRPr="00B75B77" w:rsidRDefault="008A2056" w:rsidP="00CA16D1">
            <w:pPr>
              <w:jc w:val="left"/>
              <w:rPr>
                <w:rFonts w:ascii="Calibri" w:eastAsia="Times New Roman" w:hAnsi="Calibri"/>
                <w:bCs w:val="0"/>
                <w:caps/>
                <w:color w:val="000000"/>
                <w:sz w:val="18"/>
                <w:szCs w:val="18"/>
              </w:rPr>
            </w:pPr>
            <w:r w:rsidRPr="00B75B77">
              <w:rPr>
                <w:rFonts w:ascii="Calibri" w:eastAsia="Times New Roman" w:hAnsi="Calibri"/>
                <w:b w:val="0"/>
                <w:color w:val="000000"/>
                <w:sz w:val="18"/>
                <w:szCs w:val="18"/>
              </w:rPr>
              <w:t>Large Whole</w:t>
            </w:r>
            <w:r w:rsidR="00E30491" w:rsidRPr="00B75B77">
              <w:rPr>
                <w:rFonts w:ascii="Calibri" w:eastAsia="Times New Roman" w:hAnsi="Calibri"/>
                <w:b w:val="0"/>
                <w:color w:val="000000"/>
                <w:sz w:val="18"/>
                <w:szCs w:val="18"/>
              </w:rPr>
              <w:t>-</w:t>
            </w:r>
            <w:r w:rsidRPr="00B75B77">
              <w:rPr>
                <w:rFonts w:ascii="Calibri" w:eastAsia="Times New Roman" w:hAnsi="Calibri"/>
                <w:b w:val="0"/>
                <w:color w:val="000000"/>
                <w:sz w:val="18"/>
                <w:szCs w:val="18"/>
              </w:rPr>
              <w:t>Building Q4-OT</w:t>
            </w:r>
          </w:p>
        </w:tc>
        <w:tc>
          <w:tcPr>
            <w:tcW w:w="0" w:type="auto"/>
            <w:vAlign w:val="center"/>
          </w:tcPr>
          <w:p w:rsidR="008A2056" w:rsidRPr="00B75B77" w:rsidRDefault="008A2056" w:rsidP="00CA16D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0.3</w:t>
            </w:r>
          </w:p>
        </w:tc>
        <w:tc>
          <w:tcPr>
            <w:tcW w:w="0" w:type="auto"/>
            <w:vAlign w:val="center"/>
          </w:tcPr>
          <w:p w:rsidR="008A2056" w:rsidRPr="00B75B77" w:rsidRDefault="008A2056" w:rsidP="00CA16D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0.42</w:t>
            </w:r>
          </w:p>
        </w:tc>
        <w:tc>
          <w:tcPr>
            <w:tcW w:w="1788" w:type="dxa"/>
            <w:vAlign w:val="center"/>
          </w:tcPr>
          <w:p w:rsidR="008A2056" w:rsidRPr="00B75B77" w:rsidRDefault="008A2056" w:rsidP="00CA16D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0.1</w:t>
            </w:r>
          </w:p>
        </w:tc>
        <w:tc>
          <w:tcPr>
            <w:tcW w:w="1580" w:type="dxa"/>
            <w:vAlign w:val="center"/>
          </w:tcPr>
          <w:p w:rsidR="008A2056" w:rsidRPr="00B75B77" w:rsidRDefault="008A2056" w:rsidP="00CA16D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0.61</w:t>
            </w:r>
          </w:p>
        </w:tc>
        <w:tc>
          <w:tcPr>
            <w:tcW w:w="0" w:type="auto"/>
            <w:vAlign w:val="center"/>
          </w:tcPr>
          <w:p w:rsidR="008A2056" w:rsidRPr="00B75B77" w:rsidRDefault="008A2056" w:rsidP="00CA16D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127%</w:t>
            </w:r>
          </w:p>
        </w:tc>
      </w:tr>
      <w:tr w:rsidR="006D3977" w:rsidRPr="00B75B77" w:rsidTr="004170F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vAlign w:val="center"/>
          </w:tcPr>
          <w:p w:rsidR="008A2056" w:rsidRPr="00B75B77" w:rsidRDefault="008A2056" w:rsidP="00CA16D1">
            <w:pPr>
              <w:jc w:val="left"/>
              <w:rPr>
                <w:rFonts w:ascii="Calibri" w:hAnsi="Calibri"/>
                <w:sz w:val="18"/>
              </w:rPr>
            </w:pPr>
            <w:r w:rsidRPr="00B75B77">
              <w:rPr>
                <w:rFonts w:ascii="Calibri" w:eastAsia="Times New Roman" w:hAnsi="Calibri"/>
                <w:b w:val="0"/>
                <w:color w:val="000000"/>
                <w:sz w:val="18"/>
                <w:szCs w:val="18"/>
              </w:rPr>
              <w:t>Small Whole</w:t>
            </w:r>
            <w:r w:rsidR="00E30491" w:rsidRPr="00B75B77">
              <w:rPr>
                <w:rFonts w:ascii="Calibri" w:eastAsia="Times New Roman" w:hAnsi="Calibri"/>
                <w:b w:val="0"/>
                <w:color w:val="000000"/>
                <w:sz w:val="18"/>
                <w:szCs w:val="18"/>
              </w:rPr>
              <w:t>-</w:t>
            </w:r>
            <w:r w:rsidRPr="00B75B77">
              <w:rPr>
                <w:rFonts w:ascii="Calibri" w:eastAsia="Times New Roman" w:hAnsi="Calibri"/>
                <w:b w:val="0"/>
                <w:color w:val="000000"/>
                <w:sz w:val="18"/>
                <w:szCs w:val="18"/>
              </w:rPr>
              <w:t>Building Q1-Q3</w:t>
            </w:r>
          </w:p>
        </w:tc>
        <w:tc>
          <w:tcPr>
            <w:tcW w:w="0" w:type="auto"/>
            <w:vAlign w:val="center"/>
          </w:tcPr>
          <w:p w:rsidR="008A2056" w:rsidRPr="00B75B77" w:rsidRDefault="008A2056" w:rsidP="00CA16D1">
            <w:pPr>
              <w:jc w:val="center"/>
              <w:cnfStyle w:val="000000100000" w:firstRow="0" w:lastRow="0" w:firstColumn="0" w:lastColumn="0" w:oddVBand="0" w:evenVBand="0" w:oddHBand="1" w:evenHBand="0" w:firstRowFirstColumn="0" w:firstRowLastColumn="0" w:lastRowFirstColumn="0" w:lastRowLastColumn="0"/>
              <w:rPr>
                <w:rFonts w:ascii="Calibri" w:hAnsi="Calibri"/>
                <w:sz w:val="18"/>
              </w:rPr>
            </w:pPr>
            <w:r w:rsidRPr="00B75B77">
              <w:rPr>
                <w:rFonts w:ascii="Calibri" w:hAnsi="Calibri"/>
                <w:sz w:val="18"/>
              </w:rPr>
              <w:t>0.1</w:t>
            </w:r>
          </w:p>
        </w:tc>
        <w:tc>
          <w:tcPr>
            <w:tcW w:w="0" w:type="auto"/>
            <w:vAlign w:val="center"/>
          </w:tcPr>
          <w:p w:rsidR="008A2056" w:rsidRPr="00B75B77" w:rsidRDefault="008A2056" w:rsidP="00CA16D1">
            <w:pPr>
              <w:jc w:val="center"/>
              <w:cnfStyle w:val="000000100000" w:firstRow="0" w:lastRow="0" w:firstColumn="0" w:lastColumn="0" w:oddVBand="0" w:evenVBand="0" w:oddHBand="1" w:evenHBand="0" w:firstRowFirstColumn="0" w:firstRowLastColumn="0" w:lastRowFirstColumn="0" w:lastRowLastColumn="0"/>
              <w:rPr>
                <w:rFonts w:ascii="Calibri" w:hAnsi="Calibri"/>
                <w:sz w:val="18"/>
              </w:rPr>
            </w:pPr>
            <w:r w:rsidRPr="00B75B77">
              <w:rPr>
                <w:rFonts w:ascii="Calibri" w:hAnsi="Calibri"/>
                <w:sz w:val="18"/>
              </w:rPr>
              <w:t>2.10</w:t>
            </w:r>
          </w:p>
        </w:tc>
        <w:tc>
          <w:tcPr>
            <w:tcW w:w="1788" w:type="dxa"/>
            <w:vAlign w:val="center"/>
          </w:tcPr>
          <w:p w:rsidR="008A2056" w:rsidRPr="00B75B77" w:rsidRDefault="008A2056" w:rsidP="00CA16D1">
            <w:pPr>
              <w:jc w:val="center"/>
              <w:cnfStyle w:val="000000100000" w:firstRow="0" w:lastRow="0" w:firstColumn="0" w:lastColumn="0" w:oddVBand="0" w:evenVBand="0" w:oddHBand="1" w:evenHBand="0" w:firstRowFirstColumn="0" w:firstRowLastColumn="0" w:lastRowFirstColumn="0" w:lastRowLastColumn="0"/>
              <w:rPr>
                <w:rFonts w:ascii="Calibri" w:hAnsi="Calibri"/>
                <w:sz w:val="18"/>
              </w:rPr>
            </w:pPr>
            <w:r w:rsidRPr="00B75B77">
              <w:rPr>
                <w:rFonts w:ascii="Calibri" w:hAnsi="Calibri"/>
                <w:sz w:val="18"/>
              </w:rPr>
              <w:t>0.1</w:t>
            </w:r>
          </w:p>
        </w:tc>
        <w:tc>
          <w:tcPr>
            <w:tcW w:w="1580" w:type="dxa"/>
            <w:vAlign w:val="center"/>
          </w:tcPr>
          <w:p w:rsidR="008A2056" w:rsidRPr="00B75B77" w:rsidRDefault="008A2056" w:rsidP="00CA16D1">
            <w:pPr>
              <w:jc w:val="center"/>
              <w:cnfStyle w:val="000000100000" w:firstRow="0" w:lastRow="0" w:firstColumn="0" w:lastColumn="0" w:oddVBand="0" w:evenVBand="0" w:oddHBand="1" w:evenHBand="0" w:firstRowFirstColumn="0" w:firstRowLastColumn="0" w:lastRowFirstColumn="0" w:lastRowLastColumn="0"/>
              <w:rPr>
                <w:rFonts w:ascii="Calibri" w:hAnsi="Calibri"/>
                <w:sz w:val="18"/>
              </w:rPr>
            </w:pPr>
            <w:r w:rsidRPr="00B75B77">
              <w:rPr>
                <w:rFonts w:ascii="Calibri" w:hAnsi="Calibri"/>
                <w:sz w:val="18"/>
              </w:rPr>
              <w:t>0.46</w:t>
            </w:r>
          </w:p>
        </w:tc>
        <w:tc>
          <w:tcPr>
            <w:tcW w:w="0" w:type="auto"/>
            <w:vAlign w:val="center"/>
          </w:tcPr>
          <w:p w:rsidR="008A2056" w:rsidRPr="00B75B77" w:rsidRDefault="008A2056" w:rsidP="00CA16D1">
            <w:pPr>
              <w:jc w:val="center"/>
              <w:cnfStyle w:val="000000100000" w:firstRow="0" w:lastRow="0" w:firstColumn="0" w:lastColumn="0" w:oddVBand="0" w:evenVBand="0" w:oddHBand="1" w:evenHBand="0" w:firstRowFirstColumn="0" w:firstRowLastColumn="0" w:lastRowFirstColumn="0" w:lastRowLastColumn="0"/>
              <w:rPr>
                <w:rFonts w:ascii="Calibri" w:hAnsi="Calibri"/>
                <w:sz w:val="18"/>
              </w:rPr>
            </w:pPr>
            <w:r w:rsidRPr="00B75B77">
              <w:rPr>
                <w:rFonts w:ascii="Calibri" w:hAnsi="Calibri"/>
                <w:sz w:val="18"/>
              </w:rPr>
              <w:t>78%</w:t>
            </w:r>
          </w:p>
        </w:tc>
      </w:tr>
      <w:tr w:rsidR="006D3977" w:rsidRPr="00B75B77" w:rsidTr="004170FC">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tcPr>
          <w:p w:rsidR="008A2056" w:rsidRPr="00B75B77" w:rsidRDefault="008A2056" w:rsidP="00CA16D1">
            <w:pPr>
              <w:jc w:val="left"/>
              <w:rPr>
                <w:rFonts w:ascii="Calibri" w:hAnsi="Calibri"/>
                <w:sz w:val="18"/>
              </w:rPr>
            </w:pPr>
            <w:r w:rsidRPr="00B75B77">
              <w:rPr>
                <w:rFonts w:ascii="Calibri" w:eastAsia="Times New Roman" w:hAnsi="Calibri"/>
                <w:bCs w:val="0"/>
                <w:caps/>
                <w:color w:val="000000"/>
                <w:sz w:val="18"/>
                <w:szCs w:val="18"/>
              </w:rPr>
              <w:t>Program Total</w:t>
            </w:r>
          </w:p>
        </w:tc>
        <w:tc>
          <w:tcPr>
            <w:tcW w:w="0" w:type="auto"/>
            <w:vAlign w:val="center"/>
          </w:tcPr>
          <w:p w:rsidR="008A2056" w:rsidRPr="00B75B77" w:rsidRDefault="008A2056" w:rsidP="00CA16D1">
            <w:pPr>
              <w:jc w:val="center"/>
              <w:cnfStyle w:val="000000010000" w:firstRow="0" w:lastRow="0" w:firstColumn="0" w:lastColumn="0" w:oddVBand="0" w:evenVBand="0" w:oddHBand="0" w:evenHBand="1" w:firstRowFirstColumn="0" w:firstRowLastColumn="0" w:lastRowFirstColumn="0" w:lastRowLastColumn="0"/>
              <w:rPr>
                <w:rFonts w:ascii="Calibri" w:hAnsi="Calibri"/>
                <w:b/>
                <w:sz w:val="18"/>
              </w:rPr>
            </w:pPr>
            <w:r w:rsidRPr="00B75B77">
              <w:rPr>
                <w:rFonts w:ascii="Calibri" w:hAnsi="Calibri"/>
                <w:b/>
                <w:sz w:val="18"/>
              </w:rPr>
              <w:t>5.1</w:t>
            </w:r>
          </w:p>
        </w:tc>
        <w:tc>
          <w:tcPr>
            <w:tcW w:w="0" w:type="auto"/>
            <w:vAlign w:val="center"/>
          </w:tcPr>
          <w:p w:rsidR="008A2056" w:rsidRPr="00B75B77" w:rsidRDefault="008A2056" w:rsidP="00CA16D1">
            <w:pPr>
              <w:jc w:val="center"/>
              <w:cnfStyle w:val="000000010000" w:firstRow="0" w:lastRow="0" w:firstColumn="0" w:lastColumn="0" w:oddVBand="0" w:evenVBand="0" w:oddHBand="0" w:evenHBand="1" w:firstRowFirstColumn="0" w:firstRowLastColumn="0" w:lastRowFirstColumn="0" w:lastRowLastColumn="0"/>
              <w:rPr>
                <w:rFonts w:ascii="Calibri" w:hAnsi="Calibri"/>
                <w:b/>
                <w:sz w:val="18"/>
              </w:rPr>
            </w:pPr>
            <w:r w:rsidRPr="00B75B77">
              <w:rPr>
                <w:rFonts w:ascii="Calibri" w:hAnsi="Calibri"/>
                <w:b/>
                <w:sz w:val="18"/>
              </w:rPr>
              <w:t>0.72</w:t>
            </w:r>
          </w:p>
        </w:tc>
        <w:tc>
          <w:tcPr>
            <w:tcW w:w="1788" w:type="dxa"/>
            <w:vAlign w:val="center"/>
          </w:tcPr>
          <w:p w:rsidR="008A2056" w:rsidRPr="00B75B77" w:rsidRDefault="008A2056" w:rsidP="00CA16D1">
            <w:pPr>
              <w:jc w:val="center"/>
              <w:cnfStyle w:val="000000010000" w:firstRow="0" w:lastRow="0" w:firstColumn="0" w:lastColumn="0" w:oddVBand="0" w:evenVBand="0" w:oddHBand="0" w:evenHBand="1" w:firstRowFirstColumn="0" w:firstRowLastColumn="0" w:lastRowFirstColumn="0" w:lastRowLastColumn="0"/>
              <w:rPr>
                <w:rFonts w:ascii="Calibri" w:hAnsi="Calibri"/>
                <w:b/>
                <w:sz w:val="18"/>
              </w:rPr>
            </w:pPr>
            <w:r w:rsidRPr="00B75B77">
              <w:rPr>
                <w:rFonts w:ascii="Calibri" w:hAnsi="Calibri"/>
                <w:b/>
                <w:sz w:val="18"/>
              </w:rPr>
              <w:t>3.7</w:t>
            </w:r>
          </w:p>
        </w:tc>
        <w:tc>
          <w:tcPr>
            <w:tcW w:w="1580" w:type="dxa"/>
            <w:vAlign w:val="center"/>
          </w:tcPr>
          <w:p w:rsidR="008A2056" w:rsidRPr="00B75B77" w:rsidRDefault="008A2056" w:rsidP="00CA16D1">
            <w:pPr>
              <w:jc w:val="center"/>
              <w:cnfStyle w:val="000000010000" w:firstRow="0" w:lastRow="0" w:firstColumn="0" w:lastColumn="0" w:oddVBand="0" w:evenVBand="0" w:oddHBand="0" w:evenHBand="1" w:firstRowFirstColumn="0" w:firstRowLastColumn="0" w:lastRowFirstColumn="0" w:lastRowLastColumn="0"/>
              <w:rPr>
                <w:rFonts w:ascii="Calibri" w:hAnsi="Calibri"/>
                <w:b/>
                <w:sz w:val="18"/>
              </w:rPr>
            </w:pPr>
            <w:r w:rsidRPr="00B75B77">
              <w:rPr>
                <w:rFonts w:ascii="Calibri" w:hAnsi="Calibri"/>
                <w:b/>
                <w:sz w:val="18"/>
              </w:rPr>
              <w:t>N/A</w:t>
            </w:r>
          </w:p>
        </w:tc>
        <w:tc>
          <w:tcPr>
            <w:tcW w:w="0" w:type="auto"/>
            <w:vAlign w:val="center"/>
          </w:tcPr>
          <w:p w:rsidR="008A2056" w:rsidRPr="00B75B77" w:rsidRDefault="008A2056" w:rsidP="00CA16D1">
            <w:pPr>
              <w:jc w:val="center"/>
              <w:cnfStyle w:val="000000010000" w:firstRow="0" w:lastRow="0" w:firstColumn="0" w:lastColumn="0" w:oddVBand="0" w:evenVBand="0" w:oddHBand="0" w:evenHBand="1" w:firstRowFirstColumn="0" w:firstRowLastColumn="0" w:lastRowFirstColumn="0" w:lastRowLastColumn="0"/>
              <w:rPr>
                <w:rFonts w:ascii="Calibri" w:hAnsi="Calibri"/>
                <w:b/>
                <w:sz w:val="18"/>
              </w:rPr>
            </w:pPr>
            <w:r w:rsidRPr="00B75B77">
              <w:rPr>
                <w:rFonts w:ascii="Calibri" w:hAnsi="Calibri"/>
                <w:b/>
                <w:sz w:val="18"/>
              </w:rPr>
              <w:t>22%</w:t>
            </w:r>
          </w:p>
        </w:tc>
      </w:tr>
    </w:tbl>
    <w:p w:rsidR="008A2056" w:rsidRPr="00B75B77" w:rsidRDefault="008A2056" w:rsidP="00CA16D1">
      <w:pPr>
        <w:keepNext/>
        <w:spacing w:before="20" w:after="20"/>
        <w:ind w:left="180"/>
        <w:jc w:val="left"/>
        <w:rPr>
          <w:rFonts w:ascii="Calibri" w:eastAsia="Times New Roman" w:hAnsi="Calibri"/>
          <w:color w:val="000000"/>
          <w:sz w:val="18"/>
          <w:szCs w:val="18"/>
        </w:rPr>
      </w:pPr>
      <w:r w:rsidRPr="00B75B77">
        <w:rPr>
          <w:rFonts w:ascii="Calibri" w:eastAsia="Times New Roman" w:hAnsi="Calibri"/>
          <w:color w:val="000000"/>
          <w:sz w:val="18"/>
          <w:szCs w:val="18"/>
          <w:vertAlign w:val="superscript"/>
        </w:rPr>
        <w:t>[1]</w:t>
      </w:r>
      <w:r w:rsidRPr="00B75B77">
        <w:rPr>
          <w:rFonts w:ascii="Calibri" w:eastAsia="Times New Roman" w:hAnsi="Calibri"/>
          <w:color w:val="000000"/>
          <w:sz w:val="18"/>
          <w:szCs w:val="18"/>
        </w:rPr>
        <w:t xml:space="preserve"> All reported and verified demand savings in this report include line losses as required.</w:t>
      </w:r>
    </w:p>
    <w:p w:rsidR="008A2056" w:rsidRPr="00B75B77" w:rsidRDefault="008A2056" w:rsidP="00CA16D1">
      <w:pPr>
        <w:keepNext/>
        <w:spacing w:before="20" w:after="20"/>
        <w:ind w:left="180"/>
        <w:jc w:val="left"/>
        <w:rPr>
          <w:rFonts w:eastAsia="Times New Roman"/>
          <w:sz w:val="18"/>
          <w:szCs w:val="20"/>
        </w:rPr>
      </w:pPr>
      <w:r w:rsidRPr="00B75B77">
        <w:rPr>
          <w:rFonts w:ascii="Calibri" w:eastAsia="Times New Roman" w:hAnsi="Calibri"/>
          <w:iCs/>
          <w:color w:val="000000"/>
          <w:sz w:val="18"/>
          <w:szCs w:val="18"/>
        </w:rPr>
        <w:t>Note: Values in tables may not reconcile exactly with the sum of more detailed level results or previously reported results due to rounding.</w:t>
      </w:r>
    </w:p>
    <w:p w:rsidR="008A2056" w:rsidRPr="00B75B77" w:rsidRDefault="008A2056" w:rsidP="00CA16D1">
      <w:pPr>
        <w:pStyle w:val="Source"/>
        <w:spacing w:after="120"/>
        <w:ind w:left="180" w:firstLine="0"/>
      </w:pPr>
      <w:r w:rsidRPr="00B75B77">
        <w:t>Source: Navigant analysis</w:t>
      </w:r>
    </w:p>
    <w:p w:rsidR="00907F11" w:rsidRPr="00B75B77" w:rsidRDefault="008A2056" w:rsidP="00CA16D1">
      <w:pPr>
        <w:jc w:val="left"/>
      </w:pPr>
      <w:r w:rsidRPr="00B75B77">
        <w:t>The SCI program completed site inspections for 20 projects in PY7, in accordance with the evaluation plan</w:t>
      </w:r>
      <w:r w:rsidRPr="00B75B77" w:rsidDel="00845869">
        <w:t>.</w:t>
      </w:r>
      <w:r w:rsidR="00845869" w:rsidRPr="00B75B77">
        <w:t xml:space="preserve"> </w:t>
      </w:r>
      <w:r w:rsidRPr="00B75B77">
        <w:t xml:space="preserve">Warren Energy Engineering, an evaluation team member, </w:t>
      </w:r>
      <w:r w:rsidR="00BB0374" w:rsidRPr="00B75B77">
        <w:t xml:space="preserve">conducted six of the inspections, </w:t>
      </w:r>
      <w:r w:rsidRPr="00B75B77">
        <w:t xml:space="preserve">and </w:t>
      </w:r>
      <w:r w:rsidR="00BB0374" w:rsidRPr="00B75B77">
        <w:t xml:space="preserve">Navigant conducted the remaining </w:t>
      </w:r>
      <w:r w:rsidRPr="00B75B77">
        <w:t>14 inspections.</w:t>
      </w:r>
      <w:r w:rsidR="00907F11" w:rsidRPr="00B75B77">
        <w:t xml:space="preserve"> </w:t>
      </w:r>
      <w:r w:rsidRPr="00B75B77">
        <w:t xml:space="preserve">In most cases, the </w:t>
      </w:r>
      <w:r w:rsidR="00685BDE" w:rsidRPr="00B75B77">
        <w:t>onsite</w:t>
      </w:r>
      <w:r w:rsidRPr="00B75B77">
        <w:t xml:space="preserve"> verification team verified </w:t>
      </w:r>
      <w:r w:rsidRPr="00B75B77">
        <w:lastRenderedPageBreak/>
        <w:t>that equipment was installed and in operation within a fully</w:t>
      </w:r>
      <w:r w:rsidR="00BB0374" w:rsidRPr="00B75B77">
        <w:t xml:space="preserve"> </w:t>
      </w:r>
      <w:r w:rsidRPr="00B75B77">
        <w:t xml:space="preserve">occupied space; however, five of </w:t>
      </w:r>
      <w:r w:rsidR="00BB0374" w:rsidRPr="00B75B77">
        <w:t xml:space="preserve">10 </w:t>
      </w:r>
      <w:r w:rsidRPr="00B75B77">
        <w:t xml:space="preserve">Q4 sites failed the inspection process with regard to project completion or partial occupancy. Navigant credited the program with verified savings only in the portions of each project that were complete and occupied in accordance with the PA TRM requirements for </w:t>
      </w:r>
      <w:r w:rsidR="0054073E" w:rsidRPr="00B75B77">
        <w:t>c</w:t>
      </w:r>
      <w:r w:rsidRPr="00B75B77">
        <w:t xml:space="preserve">ommercial </w:t>
      </w:r>
      <w:r w:rsidR="0054073E" w:rsidRPr="00B75B77">
        <w:t>d</w:t>
      </w:r>
      <w:r w:rsidRPr="00B75B77">
        <w:t xml:space="preserve">ate of </w:t>
      </w:r>
      <w:r w:rsidR="0054073E" w:rsidRPr="00B75B77">
        <w:t>o</w:t>
      </w:r>
      <w:r w:rsidRPr="00B75B77">
        <w:t xml:space="preserve">peration (CDO) for new construction projects. As a result, four of the five projects achieved realization rates of 40% or lower. </w:t>
      </w:r>
    </w:p>
    <w:p w:rsidR="00907F11" w:rsidRPr="00B75B77" w:rsidRDefault="00907F11" w:rsidP="00CA16D1">
      <w:pPr>
        <w:jc w:val="left"/>
      </w:pPr>
    </w:p>
    <w:p w:rsidR="008A2056" w:rsidRPr="00B75B77" w:rsidRDefault="00907F11" w:rsidP="00CA16D1">
      <w:pPr>
        <w:jc w:val="left"/>
      </w:pPr>
      <w:r w:rsidRPr="00B75B77">
        <w:t>In addition to the adjustments for completion percentage, t</w:t>
      </w:r>
      <w:r w:rsidR="00E05925" w:rsidRPr="00B75B77">
        <w:t xml:space="preserve">he verification team used data it gathered </w:t>
      </w:r>
      <w:r w:rsidR="008A2056" w:rsidRPr="00B75B77">
        <w:t xml:space="preserve">to adjust the inputs for open variables in the calculation of verified energy and demand savings. The parameter </w:t>
      </w:r>
      <w:r w:rsidR="00E05925" w:rsidRPr="00B75B77">
        <w:t>the team</w:t>
      </w:r>
      <w:r w:rsidR="008A2056" w:rsidRPr="00B75B77">
        <w:t xml:space="preserve"> updated most frequently was equipment hours of operation. Navigant adjusted open variables for most of the 20 projects that were verified </w:t>
      </w:r>
      <w:r w:rsidR="00685BDE" w:rsidRPr="00B75B77">
        <w:t>onsite</w:t>
      </w:r>
      <w:r w:rsidR="008A2056" w:rsidRPr="00B75B77">
        <w:t>.</w:t>
      </w:r>
    </w:p>
    <w:p w:rsidR="008A2056" w:rsidRPr="00B75B77" w:rsidRDefault="008A2056" w:rsidP="00CA16D1">
      <w:pPr>
        <w:jc w:val="left"/>
      </w:pPr>
    </w:p>
    <w:p w:rsidR="008A2056" w:rsidRPr="00B75B77" w:rsidRDefault="008A2056" w:rsidP="00CA16D1">
      <w:pPr>
        <w:jc w:val="left"/>
      </w:pPr>
      <w:r w:rsidRPr="00B75B77">
        <w:fldChar w:fldCharType="begin"/>
      </w:r>
      <w:r w:rsidRPr="00B75B77">
        <w:instrText xml:space="preserve"> REF _Ref462917986 \h  \* MERGEFORMAT </w:instrText>
      </w:r>
      <w:r w:rsidRPr="00B75B77">
        <w:fldChar w:fldCharType="separate"/>
      </w:r>
      <w:r w:rsidR="0004016D" w:rsidRPr="00B75B77">
        <w:t xml:space="preserve">Table </w:t>
      </w:r>
      <w:r w:rsidR="0004016D">
        <w:rPr>
          <w:noProof/>
        </w:rPr>
        <w:t>13</w:t>
      </w:r>
      <w:r w:rsidR="0004016D" w:rsidRPr="00B75B77">
        <w:rPr>
          <w:noProof/>
        </w:rPr>
        <w:noBreakHyphen/>
      </w:r>
      <w:r w:rsidR="0004016D">
        <w:rPr>
          <w:noProof/>
        </w:rPr>
        <w:t>6</w:t>
      </w:r>
      <w:r w:rsidRPr="00B75B77">
        <w:fldChar w:fldCharType="end"/>
      </w:r>
      <w:r w:rsidRPr="00B75B77">
        <w:t xml:space="preserve"> summarizes the site inspection activities and results for PY7.</w:t>
      </w:r>
    </w:p>
    <w:p w:rsidR="008A2056" w:rsidRPr="00B75B77" w:rsidRDefault="008A2056" w:rsidP="00CA16D1"/>
    <w:p w:rsidR="008A2056" w:rsidRPr="00B75B77" w:rsidRDefault="008A2056" w:rsidP="00CA16D1">
      <w:pPr>
        <w:pStyle w:val="Caption"/>
      </w:pPr>
      <w:bookmarkStart w:id="824" w:name="_Ref462917986"/>
      <w:bookmarkStart w:id="825" w:name="_Toc466413613"/>
      <w:r w:rsidRPr="00B75B77">
        <w:t xml:space="preserve">Table </w:t>
      </w:r>
      <w:r w:rsidR="00237810">
        <w:fldChar w:fldCharType="begin"/>
      </w:r>
      <w:r w:rsidR="00237810">
        <w:instrText xml:space="preserve"> STYLEREF 1 \s </w:instrText>
      </w:r>
      <w:r w:rsidR="00237810">
        <w:fldChar w:fldCharType="separate"/>
      </w:r>
      <w:r w:rsidR="0004016D">
        <w:rPr>
          <w:noProof/>
        </w:rPr>
        <w:t>13</w:t>
      </w:r>
      <w:r w:rsidR="00237810">
        <w:rPr>
          <w:noProof/>
        </w:rPr>
        <w:fldChar w:fldCharType="end"/>
      </w:r>
      <w:r w:rsidR="00F1144C" w:rsidRPr="00B75B77">
        <w:noBreakHyphen/>
      </w:r>
      <w:r w:rsidR="00237810">
        <w:fldChar w:fldCharType="begin"/>
      </w:r>
      <w:r w:rsidR="00237810">
        <w:instrText xml:space="preserve"> SEQ Table \* ARABIC \s 1 </w:instrText>
      </w:r>
      <w:r w:rsidR="00237810">
        <w:fldChar w:fldCharType="separate"/>
      </w:r>
      <w:r w:rsidR="0004016D">
        <w:rPr>
          <w:noProof/>
        </w:rPr>
        <w:t>6</w:t>
      </w:r>
      <w:r w:rsidR="00237810">
        <w:rPr>
          <w:noProof/>
        </w:rPr>
        <w:fldChar w:fldCharType="end"/>
      </w:r>
      <w:bookmarkEnd w:id="824"/>
      <w:r w:rsidR="00E05925" w:rsidRPr="00B75B77">
        <w:t>:</w:t>
      </w:r>
      <w:r w:rsidRPr="00B75B77">
        <w:t xml:space="preserve"> PY7 Smart Construction Incentives </w:t>
      </w:r>
      <w:r w:rsidR="00685BDE" w:rsidRPr="00B75B77">
        <w:t>Onsite</w:t>
      </w:r>
      <w:r w:rsidRPr="00B75B77">
        <w:t xml:space="preserve"> Inspections Summary</w:t>
      </w:r>
      <w:bookmarkEnd w:id="825"/>
      <w:r w:rsidRPr="00B75B77">
        <w:t xml:space="preserve"> </w:t>
      </w:r>
    </w:p>
    <w:tbl>
      <w:tblPr>
        <w:tblStyle w:val="MediumShading1-Accent5"/>
        <w:tblW w:w="9152" w:type="dxa"/>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592"/>
        <w:gridCol w:w="1170"/>
        <w:gridCol w:w="1080"/>
        <w:gridCol w:w="1080"/>
        <w:gridCol w:w="1350"/>
        <w:gridCol w:w="2880"/>
      </w:tblGrid>
      <w:tr w:rsidR="008A2056" w:rsidRPr="00B75B77" w:rsidTr="0076594F">
        <w:trPr>
          <w:cnfStyle w:val="100000000000" w:firstRow="1" w:lastRow="0" w:firstColumn="0" w:lastColumn="0" w:oddVBand="0" w:evenVBand="0" w:oddHBand="0" w:evenHBand="0" w:firstRowFirstColumn="0" w:firstRowLastColumn="0" w:lastRowFirstColumn="0" w:lastRowLastColumn="0"/>
          <w:trHeight w:val="1318"/>
        </w:trPr>
        <w:tc>
          <w:tcPr>
            <w:cnfStyle w:val="001000000000" w:firstRow="0" w:lastRow="0" w:firstColumn="1" w:lastColumn="0" w:oddVBand="0" w:evenVBand="0" w:oddHBand="0" w:evenHBand="0" w:firstRowFirstColumn="0" w:firstRowLastColumn="0" w:lastRowFirstColumn="0" w:lastRowLastColumn="0"/>
            <w:tcW w:w="1592" w:type="dxa"/>
            <w:tcBorders>
              <w:top w:val="single" w:sz="8" w:space="0" w:color="auto"/>
              <w:left w:val="single" w:sz="8" w:space="0" w:color="auto"/>
              <w:bottom w:val="single" w:sz="4" w:space="0" w:color="000000" w:themeColor="text1"/>
              <w:right w:val="single" w:sz="8" w:space="0" w:color="auto"/>
            </w:tcBorders>
            <w:shd w:val="clear" w:color="auto" w:fill="448A99"/>
            <w:vAlign w:val="center"/>
            <w:hideMark/>
          </w:tcPr>
          <w:p w:rsidR="008A2056" w:rsidRPr="00B75B77" w:rsidRDefault="008A2056" w:rsidP="00CA16D1">
            <w:pPr>
              <w:jc w:val="left"/>
              <w:rPr>
                <w:rFonts w:ascii="Calibri" w:eastAsia="Times New Roman" w:hAnsi="Calibri"/>
                <w:bCs w:val="0"/>
                <w:sz w:val="18"/>
                <w:szCs w:val="18"/>
              </w:rPr>
            </w:pPr>
            <w:r w:rsidRPr="00B75B77">
              <w:rPr>
                <w:rFonts w:ascii="Calibri" w:eastAsia="Times New Roman" w:hAnsi="Calibri"/>
                <w:bCs w:val="0"/>
                <w:sz w:val="18"/>
                <w:szCs w:val="18"/>
              </w:rPr>
              <w:t>Measure</w:t>
            </w:r>
          </w:p>
        </w:tc>
        <w:tc>
          <w:tcPr>
            <w:tcW w:w="1170" w:type="dxa"/>
            <w:tcBorders>
              <w:top w:val="single" w:sz="8" w:space="0" w:color="auto"/>
              <w:left w:val="single" w:sz="8" w:space="0" w:color="auto"/>
              <w:bottom w:val="single" w:sz="4" w:space="0" w:color="000000" w:themeColor="text1"/>
              <w:right w:val="single" w:sz="8" w:space="0" w:color="auto"/>
            </w:tcBorders>
            <w:shd w:val="clear" w:color="auto" w:fill="448A99"/>
            <w:vAlign w:val="center"/>
            <w:hideMark/>
          </w:tcPr>
          <w:p w:rsidR="008A2056" w:rsidRPr="00B75B77" w:rsidRDefault="008A2056" w:rsidP="00CA16D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Inspection Firm</w:t>
            </w:r>
          </w:p>
        </w:tc>
        <w:tc>
          <w:tcPr>
            <w:tcW w:w="1080" w:type="dxa"/>
            <w:tcBorders>
              <w:top w:val="single" w:sz="8" w:space="0" w:color="auto"/>
              <w:left w:val="single" w:sz="8" w:space="0" w:color="auto"/>
              <w:bottom w:val="single" w:sz="4" w:space="0" w:color="000000" w:themeColor="text1"/>
              <w:right w:val="single" w:sz="8" w:space="0" w:color="auto"/>
            </w:tcBorders>
            <w:shd w:val="clear" w:color="auto" w:fill="448A99"/>
            <w:vAlign w:val="center"/>
            <w:hideMark/>
          </w:tcPr>
          <w:p w:rsidR="008A2056" w:rsidRPr="00B75B77" w:rsidRDefault="008A2056" w:rsidP="00CA16D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Number of Inspections Planned</w:t>
            </w:r>
          </w:p>
        </w:tc>
        <w:tc>
          <w:tcPr>
            <w:tcW w:w="1080" w:type="dxa"/>
            <w:tcBorders>
              <w:top w:val="single" w:sz="8" w:space="0" w:color="auto"/>
              <w:left w:val="single" w:sz="8" w:space="0" w:color="auto"/>
              <w:bottom w:val="single" w:sz="4" w:space="0" w:color="000000" w:themeColor="text1"/>
              <w:right w:val="single" w:sz="8" w:space="0" w:color="auto"/>
            </w:tcBorders>
            <w:shd w:val="clear" w:color="auto" w:fill="448A99"/>
            <w:vAlign w:val="center"/>
          </w:tcPr>
          <w:p w:rsidR="008A2056" w:rsidRPr="00B75B77" w:rsidRDefault="008A2056" w:rsidP="00CA16D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Number of Inspections Conducted</w:t>
            </w:r>
          </w:p>
        </w:tc>
        <w:tc>
          <w:tcPr>
            <w:tcW w:w="1350" w:type="dxa"/>
            <w:tcBorders>
              <w:top w:val="single" w:sz="8" w:space="0" w:color="auto"/>
              <w:left w:val="single" w:sz="8" w:space="0" w:color="auto"/>
              <w:bottom w:val="single" w:sz="4" w:space="0" w:color="000000" w:themeColor="text1"/>
              <w:right w:val="single" w:sz="8" w:space="0" w:color="auto"/>
            </w:tcBorders>
            <w:shd w:val="clear" w:color="auto" w:fill="448A99"/>
            <w:vAlign w:val="center"/>
            <w:hideMark/>
          </w:tcPr>
          <w:p w:rsidR="008A2056" w:rsidRPr="00B75B77" w:rsidRDefault="008A2056" w:rsidP="00CA16D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Number of Sites with Discrepancies from Reports</w:t>
            </w:r>
          </w:p>
        </w:tc>
        <w:tc>
          <w:tcPr>
            <w:tcW w:w="2880" w:type="dxa"/>
            <w:tcBorders>
              <w:top w:val="single" w:sz="8" w:space="0" w:color="auto"/>
              <w:left w:val="single" w:sz="8" w:space="0" w:color="auto"/>
              <w:bottom w:val="single" w:sz="4" w:space="0" w:color="000000" w:themeColor="text1"/>
              <w:right w:val="single" w:sz="8" w:space="0" w:color="auto"/>
            </w:tcBorders>
            <w:shd w:val="clear" w:color="auto" w:fill="448A99"/>
            <w:vAlign w:val="center"/>
            <w:hideMark/>
          </w:tcPr>
          <w:p w:rsidR="008A2056" w:rsidRPr="00B75B77" w:rsidRDefault="008A2056" w:rsidP="00CA16D1">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Resolution of Discrepancies</w:t>
            </w:r>
          </w:p>
        </w:tc>
      </w:tr>
      <w:tr w:rsidR="008A2056" w:rsidRPr="00B75B77" w:rsidTr="0076594F">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92" w:type="dxa"/>
            <w:tcBorders>
              <w:top w:val="single" w:sz="4" w:space="0" w:color="000000" w:themeColor="text1"/>
              <w:right w:val="single" w:sz="8" w:space="0" w:color="448A99"/>
            </w:tcBorders>
            <w:vAlign w:val="center"/>
            <w:hideMark/>
          </w:tcPr>
          <w:p w:rsidR="008A2056" w:rsidRPr="00B75B77" w:rsidRDefault="008A2056" w:rsidP="00CA16D1">
            <w:pPr>
              <w:pStyle w:val="Default"/>
              <w:rPr>
                <w:rFonts w:ascii="Calibri" w:eastAsiaTheme="minorHAnsi" w:hAnsi="Calibri"/>
                <w:b w:val="0"/>
                <w:color w:val="auto"/>
                <w:sz w:val="18"/>
                <w:szCs w:val="18"/>
              </w:rPr>
            </w:pPr>
            <w:r w:rsidRPr="00B75B77">
              <w:rPr>
                <w:rFonts w:ascii="Calibri" w:eastAsiaTheme="minorHAnsi" w:hAnsi="Calibri"/>
                <w:b w:val="0"/>
                <w:color w:val="auto"/>
                <w:sz w:val="18"/>
                <w:szCs w:val="18"/>
              </w:rPr>
              <w:t>Whole</w:t>
            </w:r>
            <w:r w:rsidR="00E05925" w:rsidRPr="00B75B77">
              <w:rPr>
                <w:rFonts w:ascii="Calibri" w:eastAsiaTheme="minorHAnsi" w:hAnsi="Calibri"/>
                <w:b w:val="0"/>
                <w:color w:val="auto"/>
                <w:sz w:val="18"/>
                <w:szCs w:val="18"/>
              </w:rPr>
              <w:t>-</w:t>
            </w:r>
            <w:r w:rsidRPr="00B75B77">
              <w:rPr>
                <w:rFonts w:ascii="Calibri" w:eastAsiaTheme="minorHAnsi" w:hAnsi="Calibri"/>
                <w:b w:val="0"/>
                <w:color w:val="auto"/>
                <w:sz w:val="18"/>
                <w:szCs w:val="18"/>
              </w:rPr>
              <w:t xml:space="preserve">Building, HVAC, Lighting, Motors and Drives, Custom, Refrigeration </w:t>
            </w:r>
          </w:p>
        </w:tc>
        <w:tc>
          <w:tcPr>
            <w:tcW w:w="1170" w:type="dxa"/>
            <w:tcBorders>
              <w:top w:val="single" w:sz="4" w:space="0" w:color="000000" w:themeColor="text1"/>
              <w:left w:val="single" w:sz="8" w:space="0" w:color="448A99"/>
              <w:right w:val="single" w:sz="8" w:space="0" w:color="448A99"/>
            </w:tcBorders>
            <w:vAlign w:val="center"/>
            <w:hideMark/>
          </w:tcPr>
          <w:p w:rsidR="008A2056" w:rsidRPr="00B75B77" w:rsidRDefault="008A2056" w:rsidP="00CA16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Navigant Consulting</w:t>
            </w:r>
          </w:p>
        </w:tc>
        <w:tc>
          <w:tcPr>
            <w:tcW w:w="1080" w:type="dxa"/>
            <w:tcBorders>
              <w:top w:val="single" w:sz="4" w:space="0" w:color="000000" w:themeColor="text1"/>
              <w:left w:val="single" w:sz="8" w:space="0" w:color="448A99"/>
              <w:right w:val="single" w:sz="8" w:space="0" w:color="448A99"/>
            </w:tcBorders>
            <w:vAlign w:val="center"/>
            <w:hideMark/>
          </w:tcPr>
          <w:p w:rsidR="008A2056" w:rsidRPr="00B75B77" w:rsidRDefault="008A2056" w:rsidP="00CA16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14</w:t>
            </w:r>
          </w:p>
        </w:tc>
        <w:tc>
          <w:tcPr>
            <w:tcW w:w="1080" w:type="dxa"/>
            <w:tcBorders>
              <w:top w:val="single" w:sz="4" w:space="0" w:color="000000" w:themeColor="text1"/>
              <w:left w:val="single" w:sz="8" w:space="0" w:color="448A99"/>
              <w:right w:val="single" w:sz="8" w:space="0" w:color="448A99"/>
            </w:tcBorders>
            <w:vAlign w:val="center"/>
          </w:tcPr>
          <w:p w:rsidR="008A2056" w:rsidRPr="00B75B77" w:rsidRDefault="008A2056" w:rsidP="00CA16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14</w:t>
            </w:r>
          </w:p>
        </w:tc>
        <w:tc>
          <w:tcPr>
            <w:tcW w:w="1350" w:type="dxa"/>
            <w:tcBorders>
              <w:top w:val="single" w:sz="4" w:space="0" w:color="000000" w:themeColor="text1"/>
              <w:left w:val="single" w:sz="8" w:space="0" w:color="448A99"/>
              <w:right w:val="single" w:sz="8" w:space="0" w:color="448A99"/>
            </w:tcBorders>
            <w:vAlign w:val="center"/>
            <w:hideMark/>
          </w:tcPr>
          <w:p w:rsidR="008A2056" w:rsidRPr="00B75B77" w:rsidRDefault="008A2056" w:rsidP="00CA16D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4</w:t>
            </w:r>
          </w:p>
        </w:tc>
        <w:tc>
          <w:tcPr>
            <w:tcW w:w="2880" w:type="dxa"/>
            <w:tcBorders>
              <w:top w:val="single" w:sz="4" w:space="0" w:color="000000" w:themeColor="text1"/>
              <w:left w:val="single" w:sz="8" w:space="0" w:color="448A99"/>
            </w:tcBorders>
            <w:vAlign w:val="center"/>
            <w:hideMark/>
          </w:tcPr>
          <w:p w:rsidR="008A2056" w:rsidRPr="00B75B77" w:rsidRDefault="008A2056" w:rsidP="00E0592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For projects not fully complete and occupied by 5/31/2016, verified savings accrued only in portions of the project that were both complete and fully</w:t>
            </w:r>
            <w:r w:rsidR="00E05925" w:rsidRPr="00B75B77">
              <w:rPr>
                <w:rFonts w:ascii="Calibri" w:eastAsia="Times New Roman" w:hAnsi="Calibri"/>
                <w:color w:val="000000"/>
                <w:sz w:val="18"/>
                <w:szCs w:val="18"/>
              </w:rPr>
              <w:t xml:space="preserve"> </w:t>
            </w:r>
            <w:r w:rsidRPr="00B75B77">
              <w:rPr>
                <w:rFonts w:ascii="Calibri" w:eastAsia="Times New Roman" w:hAnsi="Calibri"/>
                <w:color w:val="000000"/>
                <w:sz w:val="18"/>
                <w:szCs w:val="18"/>
              </w:rPr>
              <w:t>occupied.</w:t>
            </w:r>
          </w:p>
        </w:tc>
      </w:tr>
      <w:tr w:rsidR="008A2056" w:rsidRPr="00B75B77" w:rsidTr="00E05925">
        <w:trPr>
          <w:cnfStyle w:val="000000010000" w:firstRow="0" w:lastRow="0" w:firstColumn="0" w:lastColumn="0" w:oddVBand="0" w:evenVBand="0" w:oddHBand="0" w:evenHBand="1"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92" w:type="dxa"/>
            <w:tcBorders>
              <w:right w:val="single" w:sz="8" w:space="0" w:color="448A99"/>
            </w:tcBorders>
            <w:vAlign w:val="center"/>
            <w:hideMark/>
          </w:tcPr>
          <w:p w:rsidR="008A2056" w:rsidRPr="00B75B77" w:rsidRDefault="008A2056" w:rsidP="00CA16D1">
            <w:pPr>
              <w:pStyle w:val="Default"/>
              <w:rPr>
                <w:rFonts w:ascii="Calibri" w:eastAsiaTheme="minorHAnsi" w:hAnsi="Calibri"/>
                <w:b w:val="0"/>
                <w:color w:val="auto"/>
                <w:sz w:val="18"/>
                <w:szCs w:val="18"/>
              </w:rPr>
            </w:pPr>
            <w:r w:rsidRPr="00B75B77">
              <w:rPr>
                <w:rFonts w:ascii="Calibri" w:eastAsiaTheme="minorHAnsi" w:hAnsi="Calibri"/>
                <w:b w:val="0"/>
                <w:color w:val="auto"/>
                <w:sz w:val="18"/>
                <w:szCs w:val="18"/>
              </w:rPr>
              <w:t>Whole</w:t>
            </w:r>
            <w:r w:rsidR="00E05925" w:rsidRPr="00B75B77">
              <w:rPr>
                <w:rFonts w:ascii="Calibri" w:eastAsiaTheme="minorHAnsi" w:hAnsi="Calibri"/>
                <w:b w:val="0"/>
                <w:color w:val="auto"/>
                <w:sz w:val="18"/>
                <w:szCs w:val="18"/>
              </w:rPr>
              <w:t>-</w:t>
            </w:r>
            <w:r w:rsidRPr="00B75B77">
              <w:rPr>
                <w:rFonts w:ascii="Calibri" w:eastAsiaTheme="minorHAnsi" w:hAnsi="Calibri"/>
                <w:b w:val="0"/>
                <w:color w:val="auto"/>
                <w:sz w:val="18"/>
                <w:szCs w:val="18"/>
              </w:rPr>
              <w:t xml:space="preserve">Building, HVAC, Lighting, Motors and Drives, Custom, Refrigeration </w:t>
            </w:r>
          </w:p>
        </w:tc>
        <w:tc>
          <w:tcPr>
            <w:tcW w:w="1170" w:type="dxa"/>
            <w:tcBorders>
              <w:left w:val="single" w:sz="8" w:space="0" w:color="448A99"/>
              <w:right w:val="single" w:sz="8" w:space="0" w:color="448A99"/>
            </w:tcBorders>
            <w:vAlign w:val="center"/>
            <w:hideMark/>
          </w:tcPr>
          <w:p w:rsidR="008A2056" w:rsidRPr="00B75B77" w:rsidRDefault="008A2056" w:rsidP="00CA16D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Warren Energy Engineering</w:t>
            </w:r>
          </w:p>
        </w:tc>
        <w:tc>
          <w:tcPr>
            <w:tcW w:w="1080" w:type="dxa"/>
            <w:tcBorders>
              <w:left w:val="single" w:sz="8" w:space="0" w:color="448A99"/>
              <w:right w:val="single" w:sz="8" w:space="0" w:color="448A99"/>
            </w:tcBorders>
            <w:vAlign w:val="center"/>
            <w:hideMark/>
          </w:tcPr>
          <w:p w:rsidR="008A2056" w:rsidRPr="00B75B77" w:rsidRDefault="008A2056" w:rsidP="00CA16D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6</w:t>
            </w:r>
          </w:p>
        </w:tc>
        <w:tc>
          <w:tcPr>
            <w:tcW w:w="1080" w:type="dxa"/>
            <w:tcBorders>
              <w:left w:val="single" w:sz="8" w:space="0" w:color="448A99"/>
              <w:right w:val="single" w:sz="8" w:space="0" w:color="448A99"/>
            </w:tcBorders>
            <w:vAlign w:val="center"/>
          </w:tcPr>
          <w:p w:rsidR="008A2056" w:rsidRPr="00B75B77" w:rsidRDefault="008A2056" w:rsidP="00CA16D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6</w:t>
            </w:r>
          </w:p>
        </w:tc>
        <w:tc>
          <w:tcPr>
            <w:tcW w:w="1350" w:type="dxa"/>
            <w:tcBorders>
              <w:left w:val="single" w:sz="8" w:space="0" w:color="448A99"/>
              <w:right w:val="single" w:sz="8" w:space="0" w:color="448A99"/>
            </w:tcBorders>
            <w:vAlign w:val="center"/>
            <w:hideMark/>
          </w:tcPr>
          <w:p w:rsidR="008A2056" w:rsidRPr="00B75B77" w:rsidRDefault="008A2056" w:rsidP="00CA16D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1</w:t>
            </w:r>
          </w:p>
        </w:tc>
        <w:tc>
          <w:tcPr>
            <w:tcW w:w="2880" w:type="dxa"/>
            <w:tcBorders>
              <w:left w:val="single" w:sz="8" w:space="0" w:color="448A99"/>
            </w:tcBorders>
            <w:vAlign w:val="center"/>
            <w:hideMark/>
          </w:tcPr>
          <w:p w:rsidR="008A2056" w:rsidRPr="00B75B77" w:rsidRDefault="008A2056" w:rsidP="00E05925">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For projects not fully complete and occupied by 5/31/2016, verified savings accrued only in portions of the project that were both complete and fully</w:t>
            </w:r>
            <w:r w:rsidR="00E05925" w:rsidRPr="00B75B77">
              <w:rPr>
                <w:rFonts w:ascii="Calibri" w:eastAsia="Times New Roman" w:hAnsi="Calibri"/>
                <w:color w:val="000000"/>
                <w:sz w:val="18"/>
                <w:szCs w:val="18"/>
              </w:rPr>
              <w:t xml:space="preserve"> </w:t>
            </w:r>
            <w:r w:rsidRPr="00B75B77">
              <w:rPr>
                <w:rFonts w:ascii="Calibri" w:eastAsia="Times New Roman" w:hAnsi="Calibri"/>
                <w:color w:val="000000"/>
                <w:sz w:val="18"/>
                <w:szCs w:val="18"/>
              </w:rPr>
              <w:t>occupied.</w:t>
            </w:r>
          </w:p>
        </w:tc>
      </w:tr>
    </w:tbl>
    <w:p w:rsidR="008A2056" w:rsidRPr="00B75B77" w:rsidRDefault="008A2056" w:rsidP="00E05925">
      <w:pPr>
        <w:pStyle w:val="Source"/>
        <w:spacing w:after="120"/>
        <w:ind w:left="90" w:firstLine="90"/>
      </w:pPr>
      <w:r w:rsidRPr="00B75B77">
        <w:t>Source: Navigant analysis</w:t>
      </w:r>
    </w:p>
    <w:p w:rsidR="008A2056" w:rsidRPr="00B75B77" w:rsidRDefault="008A2056" w:rsidP="000E74B9"/>
    <w:p w:rsidR="008A2056" w:rsidRPr="00B75B77" w:rsidRDefault="008A2056" w:rsidP="003E6A9B">
      <w:pPr>
        <w:pStyle w:val="Heading2"/>
      </w:pPr>
      <w:bookmarkStart w:id="826" w:name="_Toc466413429"/>
      <w:r w:rsidRPr="00B75B77">
        <w:t>Impact Evaluation Net Savings</w:t>
      </w:r>
      <w:bookmarkEnd w:id="826"/>
      <w:r w:rsidRPr="00B75B77">
        <w:t xml:space="preserve"> </w:t>
      </w:r>
    </w:p>
    <w:p w:rsidR="008A2056" w:rsidRPr="00B75B77" w:rsidRDefault="008A2056" w:rsidP="00BF778E">
      <w:r w:rsidRPr="00B75B77">
        <w:t>Navigant quantified</w:t>
      </w:r>
      <w:r w:rsidR="003E5592" w:rsidRPr="00B75B77">
        <w:t>,</w:t>
      </w:r>
      <w:r w:rsidRPr="00B75B77">
        <w:t xml:space="preserve"> in detail</w:t>
      </w:r>
      <w:r w:rsidR="003E5592" w:rsidRPr="00B75B77">
        <w:t>,</w:t>
      </w:r>
      <w:r w:rsidRPr="00B75B77">
        <w:t xml:space="preserve"> the NTG ratio during PY6 in accordance with the Phase II </w:t>
      </w:r>
      <w:r w:rsidR="003E5592" w:rsidRPr="00B75B77">
        <w:t>e</w:t>
      </w:r>
      <w:r w:rsidRPr="00B75B77">
        <w:t xml:space="preserve">valuation </w:t>
      </w:r>
      <w:r w:rsidR="003E5592" w:rsidRPr="00B75B77">
        <w:t>p</w:t>
      </w:r>
      <w:r w:rsidRPr="00B75B77">
        <w:t xml:space="preserve">lan. There are no significant factors leading Navigant to believe that the NTG ratio should change for PY7. Details of the PY6 NTG methodology and calculations can be found in Section 13.3 of the PY6 </w:t>
      </w:r>
      <w:r w:rsidR="00DA6B46" w:rsidRPr="00B75B77">
        <w:t>Annual Report</w:t>
      </w:r>
      <w:r w:rsidRPr="00B75B77">
        <w:t>.</w:t>
      </w:r>
      <w:r w:rsidR="00907F11" w:rsidRPr="00B75B77">
        <w:t xml:space="preserve"> </w:t>
      </w:r>
      <w:r w:rsidRPr="00B75B77">
        <w:t xml:space="preserve">The results from the PY6 NTG research are shown in </w:t>
      </w:r>
      <w:r w:rsidRPr="00B75B77">
        <w:fldChar w:fldCharType="begin"/>
      </w:r>
      <w:r w:rsidRPr="00B75B77">
        <w:instrText xml:space="preserve"> REF _Ref432668507 \h </w:instrText>
      </w:r>
      <w:r w:rsidR="00BF778E" w:rsidRPr="00B75B77">
        <w:instrText xml:space="preserve"> \* MERGEFORMAT </w:instrText>
      </w:r>
      <w:r w:rsidRPr="00B75B77">
        <w:fldChar w:fldCharType="separate"/>
      </w:r>
      <w:r w:rsidR="0004016D" w:rsidRPr="00B75B77">
        <w:t xml:space="preserve">Table </w:t>
      </w:r>
      <w:r w:rsidR="0004016D">
        <w:rPr>
          <w:noProof/>
        </w:rPr>
        <w:t>13</w:t>
      </w:r>
      <w:r w:rsidR="0004016D" w:rsidRPr="00B75B77">
        <w:rPr>
          <w:noProof/>
        </w:rPr>
        <w:noBreakHyphen/>
      </w:r>
      <w:r w:rsidR="0004016D">
        <w:rPr>
          <w:noProof/>
        </w:rPr>
        <w:t>7</w:t>
      </w:r>
      <w:r w:rsidRPr="00B75B77">
        <w:fldChar w:fldCharType="end"/>
      </w:r>
      <w:r w:rsidRPr="00B75B77">
        <w:t>. The overall SCI NTG ratio</w:t>
      </w:r>
      <w:r w:rsidR="00907F11" w:rsidRPr="00B75B77">
        <w:t xml:space="preserve"> from the PY6</w:t>
      </w:r>
      <w:r w:rsidRPr="00B75B77">
        <w:t xml:space="preserve"> </w:t>
      </w:r>
      <w:r w:rsidR="00907F11" w:rsidRPr="00B75B77">
        <w:t xml:space="preserve">evaluation </w:t>
      </w:r>
      <w:r w:rsidR="003E5592" w:rsidRPr="00B75B77">
        <w:t>wa</w:t>
      </w:r>
      <w:r w:rsidRPr="00B75B77">
        <w:t>s 0.52.</w:t>
      </w:r>
      <w:r w:rsidR="00907F11" w:rsidRPr="00B75B77">
        <w:t xml:space="preserve"> This is the NTG value that was applied to the PY7 verified gross savings to estimate net savings for PY7.</w:t>
      </w:r>
    </w:p>
    <w:p w:rsidR="008A2056" w:rsidRPr="00B75B77" w:rsidRDefault="008A2056" w:rsidP="00CA16D1">
      <w:pPr>
        <w:pStyle w:val="Caption"/>
      </w:pPr>
      <w:bookmarkStart w:id="827" w:name="_Ref431758864"/>
    </w:p>
    <w:p w:rsidR="008A2056" w:rsidRPr="00B75B77" w:rsidRDefault="008A2056" w:rsidP="00CA16D1">
      <w:pPr>
        <w:pStyle w:val="Caption"/>
      </w:pPr>
      <w:bookmarkStart w:id="828" w:name="_Ref432668507"/>
      <w:bookmarkStart w:id="829" w:name="_Toc434597652"/>
      <w:bookmarkStart w:id="830" w:name="_Toc466413614"/>
      <w:r w:rsidRPr="00B75B77">
        <w:t xml:space="preserve">Table </w:t>
      </w:r>
      <w:fldSimple w:instr=" STYLEREF 1 \s ">
        <w:r w:rsidR="0004016D">
          <w:rPr>
            <w:noProof/>
          </w:rPr>
          <w:t>13</w:t>
        </w:r>
      </w:fldSimple>
      <w:r w:rsidR="00F1144C" w:rsidRPr="00B75B77">
        <w:noBreakHyphen/>
      </w:r>
      <w:fldSimple w:instr=" SEQ Table \* ARABIC \s 1 ">
        <w:r w:rsidR="0004016D">
          <w:rPr>
            <w:noProof/>
          </w:rPr>
          <w:t>7</w:t>
        </w:r>
      </w:fldSimple>
      <w:bookmarkEnd w:id="827"/>
      <w:bookmarkEnd w:id="828"/>
      <w:r w:rsidRPr="00B75B77">
        <w:t xml:space="preserve">: </w:t>
      </w:r>
      <w:r w:rsidR="003E5592" w:rsidRPr="00B75B77">
        <w:t>PY</w:t>
      </w:r>
      <w:r w:rsidRPr="00B75B77">
        <w:t>6 Smart Construction Incentives</w:t>
      </w:r>
      <w:r w:rsidRPr="00B75B77" w:rsidDel="00D0624D">
        <w:t xml:space="preserve"> </w:t>
      </w:r>
      <w:r w:rsidRPr="00B75B77">
        <w:t>Summary of Evaluation Results for NTG Research</w:t>
      </w:r>
      <w:bookmarkEnd w:id="829"/>
      <w:bookmarkEnd w:id="830"/>
    </w:p>
    <w:tbl>
      <w:tblPr>
        <w:tblStyle w:val="MediumShading1-Accent5"/>
        <w:tblW w:w="9374" w:type="dxa"/>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2023"/>
        <w:gridCol w:w="1710"/>
        <w:gridCol w:w="1459"/>
        <w:gridCol w:w="814"/>
        <w:gridCol w:w="1796"/>
        <w:gridCol w:w="1572"/>
      </w:tblGrid>
      <w:tr w:rsidR="008A2056" w:rsidRPr="00B75B77" w:rsidTr="004170F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023" w:type="dxa"/>
            <w:vMerge w:val="restart"/>
            <w:tcBorders>
              <w:top w:val="single" w:sz="8" w:space="0" w:color="auto"/>
              <w:left w:val="single" w:sz="8" w:space="0" w:color="auto"/>
              <w:bottom w:val="single" w:sz="8" w:space="0" w:color="auto"/>
              <w:right w:val="single" w:sz="8" w:space="0" w:color="auto"/>
            </w:tcBorders>
            <w:shd w:val="clear" w:color="auto" w:fill="448A99"/>
            <w:vAlign w:val="center"/>
            <w:hideMark/>
          </w:tcPr>
          <w:p w:rsidR="008A2056" w:rsidRPr="00B75B77" w:rsidRDefault="008A2056" w:rsidP="00CA16D1">
            <w:pPr>
              <w:keepNext/>
              <w:jc w:val="left"/>
              <w:rPr>
                <w:rFonts w:ascii="Calibri" w:eastAsia="Times New Roman" w:hAnsi="Calibri"/>
                <w:bCs w:val="0"/>
                <w:sz w:val="18"/>
                <w:szCs w:val="18"/>
              </w:rPr>
            </w:pPr>
            <w:r w:rsidRPr="00B75B77">
              <w:rPr>
                <w:rFonts w:ascii="Calibri" w:eastAsia="Times New Roman" w:hAnsi="Calibri"/>
                <w:bCs w:val="0"/>
                <w:sz w:val="18"/>
                <w:szCs w:val="18"/>
              </w:rPr>
              <w:t>Stratum</w:t>
            </w:r>
          </w:p>
        </w:tc>
        <w:tc>
          <w:tcPr>
            <w:tcW w:w="1710" w:type="dxa"/>
            <w:vMerge w:val="restart"/>
            <w:tcBorders>
              <w:top w:val="single" w:sz="8" w:space="0" w:color="auto"/>
              <w:left w:val="single" w:sz="8" w:space="0" w:color="auto"/>
              <w:bottom w:val="single" w:sz="8" w:space="0" w:color="auto"/>
              <w:right w:val="single" w:sz="8" w:space="0" w:color="auto"/>
            </w:tcBorders>
            <w:shd w:val="clear" w:color="auto" w:fill="448A99"/>
            <w:vAlign w:val="center"/>
            <w:hideMark/>
          </w:tcPr>
          <w:p w:rsidR="008A2056" w:rsidRPr="00B75B77" w:rsidRDefault="008A2056" w:rsidP="00CA16D1">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Estimated Free Ridership</w:t>
            </w:r>
          </w:p>
        </w:tc>
        <w:tc>
          <w:tcPr>
            <w:tcW w:w="1459" w:type="dxa"/>
            <w:vMerge w:val="restart"/>
            <w:tcBorders>
              <w:top w:val="single" w:sz="8" w:space="0" w:color="auto"/>
              <w:left w:val="single" w:sz="8" w:space="0" w:color="auto"/>
              <w:bottom w:val="single" w:sz="8" w:space="0" w:color="auto"/>
              <w:right w:val="single" w:sz="8" w:space="0" w:color="auto"/>
            </w:tcBorders>
            <w:shd w:val="clear" w:color="auto" w:fill="448A99"/>
            <w:vAlign w:val="center"/>
            <w:hideMark/>
          </w:tcPr>
          <w:p w:rsidR="008A2056" w:rsidRPr="00B75B77" w:rsidRDefault="008A2056" w:rsidP="00CA16D1">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Estimated Participant Spillover</w:t>
            </w:r>
          </w:p>
        </w:tc>
        <w:tc>
          <w:tcPr>
            <w:tcW w:w="814" w:type="dxa"/>
            <w:vMerge w:val="restart"/>
            <w:tcBorders>
              <w:top w:val="single" w:sz="8" w:space="0" w:color="auto"/>
              <w:left w:val="single" w:sz="8" w:space="0" w:color="auto"/>
              <w:bottom w:val="single" w:sz="8" w:space="0" w:color="auto"/>
              <w:right w:val="single" w:sz="8" w:space="0" w:color="auto"/>
            </w:tcBorders>
            <w:shd w:val="clear" w:color="auto" w:fill="448A99"/>
            <w:vAlign w:val="center"/>
            <w:hideMark/>
          </w:tcPr>
          <w:p w:rsidR="008A2056" w:rsidRPr="00B75B77" w:rsidRDefault="008A2056" w:rsidP="00CA16D1">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NTG Ratio</w:t>
            </w:r>
          </w:p>
        </w:tc>
        <w:tc>
          <w:tcPr>
            <w:tcW w:w="1796" w:type="dxa"/>
            <w:vMerge w:val="restart"/>
            <w:tcBorders>
              <w:top w:val="single" w:sz="8" w:space="0" w:color="auto"/>
              <w:left w:val="single" w:sz="8" w:space="0" w:color="auto"/>
              <w:bottom w:val="single" w:sz="8" w:space="0" w:color="auto"/>
              <w:right w:val="single" w:sz="8" w:space="0" w:color="auto"/>
            </w:tcBorders>
            <w:shd w:val="clear" w:color="auto" w:fill="448A99"/>
            <w:vAlign w:val="center"/>
            <w:hideMark/>
          </w:tcPr>
          <w:p w:rsidR="008A2056" w:rsidRPr="00B75B77" w:rsidRDefault="008A2056" w:rsidP="003E5592">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 xml:space="preserve">Planned </w:t>
            </w:r>
            <w:r w:rsidR="003E5592" w:rsidRPr="00B75B77">
              <w:rPr>
                <w:rFonts w:ascii="Calibri" w:eastAsia="Times New Roman" w:hAnsi="Calibri"/>
                <w:bCs w:val="0"/>
                <w:sz w:val="18"/>
                <w:szCs w:val="18"/>
              </w:rPr>
              <w:t>CV</w:t>
            </w:r>
            <w:r w:rsidRPr="00B75B77">
              <w:rPr>
                <w:rFonts w:ascii="Calibri" w:eastAsia="Times New Roman" w:hAnsi="Calibri"/>
                <w:bCs w:val="0"/>
                <w:sz w:val="18"/>
                <w:szCs w:val="18"/>
              </w:rPr>
              <w:t xml:space="preserve"> or Proportion</w:t>
            </w:r>
          </w:p>
        </w:tc>
        <w:tc>
          <w:tcPr>
            <w:tcW w:w="1572" w:type="dxa"/>
            <w:vMerge w:val="restart"/>
            <w:tcBorders>
              <w:top w:val="single" w:sz="8" w:space="0" w:color="auto"/>
              <w:left w:val="single" w:sz="8" w:space="0" w:color="auto"/>
              <w:bottom w:val="single" w:sz="8" w:space="0" w:color="auto"/>
              <w:right w:val="single" w:sz="8" w:space="0" w:color="auto"/>
            </w:tcBorders>
            <w:shd w:val="clear" w:color="auto" w:fill="448A99"/>
            <w:vAlign w:val="center"/>
            <w:hideMark/>
          </w:tcPr>
          <w:p w:rsidR="008A2056" w:rsidRPr="00B75B77" w:rsidRDefault="008A2056" w:rsidP="00CA16D1">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Relative Precision</w:t>
            </w:r>
          </w:p>
        </w:tc>
      </w:tr>
      <w:tr w:rsidR="008A2056" w:rsidRPr="00B75B77" w:rsidTr="004170FC">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023" w:type="dxa"/>
            <w:vMerge/>
            <w:tcBorders>
              <w:top w:val="single" w:sz="8" w:space="0" w:color="auto"/>
              <w:left w:val="single" w:sz="8" w:space="0" w:color="auto"/>
              <w:bottom w:val="single" w:sz="8" w:space="0" w:color="auto"/>
              <w:right w:val="single" w:sz="8" w:space="0" w:color="auto"/>
            </w:tcBorders>
            <w:shd w:val="clear" w:color="auto" w:fill="448A99"/>
            <w:vAlign w:val="center"/>
            <w:hideMark/>
          </w:tcPr>
          <w:p w:rsidR="008A2056" w:rsidRPr="00B75B77" w:rsidRDefault="008A2056" w:rsidP="00CA16D1">
            <w:pPr>
              <w:keepNext/>
              <w:jc w:val="left"/>
              <w:rPr>
                <w:rFonts w:ascii="Calibri" w:eastAsia="Times New Roman" w:hAnsi="Calibri"/>
                <w:b w:val="0"/>
                <w:bCs w:val="0"/>
                <w:color w:val="000000"/>
                <w:sz w:val="18"/>
                <w:szCs w:val="18"/>
              </w:rPr>
            </w:pPr>
          </w:p>
        </w:tc>
        <w:tc>
          <w:tcPr>
            <w:tcW w:w="1710" w:type="dxa"/>
            <w:vMerge/>
            <w:tcBorders>
              <w:top w:val="single" w:sz="8" w:space="0" w:color="auto"/>
              <w:left w:val="single" w:sz="8" w:space="0" w:color="auto"/>
              <w:bottom w:val="single" w:sz="8" w:space="0" w:color="auto"/>
              <w:right w:val="single" w:sz="8" w:space="0" w:color="auto"/>
            </w:tcBorders>
            <w:shd w:val="clear" w:color="auto" w:fill="448A99"/>
            <w:vAlign w:val="center"/>
            <w:hideMark/>
          </w:tcPr>
          <w:p w:rsidR="008A2056" w:rsidRPr="00B75B77" w:rsidRDefault="008A2056" w:rsidP="00CA16D1">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18"/>
                <w:szCs w:val="18"/>
              </w:rPr>
            </w:pPr>
          </w:p>
        </w:tc>
        <w:tc>
          <w:tcPr>
            <w:tcW w:w="1459" w:type="dxa"/>
            <w:vMerge/>
            <w:tcBorders>
              <w:top w:val="single" w:sz="8" w:space="0" w:color="auto"/>
              <w:left w:val="single" w:sz="8" w:space="0" w:color="auto"/>
              <w:bottom w:val="single" w:sz="8" w:space="0" w:color="auto"/>
              <w:right w:val="single" w:sz="8" w:space="0" w:color="auto"/>
            </w:tcBorders>
            <w:shd w:val="clear" w:color="auto" w:fill="448A99"/>
            <w:vAlign w:val="center"/>
            <w:hideMark/>
          </w:tcPr>
          <w:p w:rsidR="008A2056" w:rsidRPr="00B75B77" w:rsidRDefault="008A2056" w:rsidP="00CA16D1">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18"/>
                <w:szCs w:val="18"/>
              </w:rPr>
            </w:pPr>
          </w:p>
        </w:tc>
        <w:tc>
          <w:tcPr>
            <w:tcW w:w="814" w:type="dxa"/>
            <w:vMerge/>
            <w:tcBorders>
              <w:top w:val="single" w:sz="8" w:space="0" w:color="auto"/>
              <w:left w:val="single" w:sz="8" w:space="0" w:color="auto"/>
              <w:bottom w:val="single" w:sz="8" w:space="0" w:color="auto"/>
              <w:right w:val="single" w:sz="8" w:space="0" w:color="auto"/>
            </w:tcBorders>
            <w:shd w:val="clear" w:color="auto" w:fill="448A99"/>
            <w:vAlign w:val="center"/>
            <w:hideMark/>
          </w:tcPr>
          <w:p w:rsidR="008A2056" w:rsidRPr="00B75B77" w:rsidRDefault="008A2056" w:rsidP="00CA16D1">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18"/>
                <w:szCs w:val="18"/>
              </w:rPr>
            </w:pPr>
          </w:p>
        </w:tc>
        <w:tc>
          <w:tcPr>
            <w:tcW w:w="1796" w:type="dxa"/>
            <w:vMerge/>
            <w:tcBorders>
              <w:top w:val="single" w:sz="8" w:space="0" w:color="auto"/>
              <w:left w:val="single" w:sz="8" w:space="0" w:color="auto"/>
              <w:bottom w:val="single" w:sz="8" w:space="0" w:color="auto"/>
              <w:right w:val="single" w:sz="8" w:space="0" w:color="auto"/>
            </w:tcBorders>
            <w:shd w:val="clear" w:color="auto" w:fill="448A99"/>
            <w:vAlign w:val="center"/>
            <w:hideMark/>
          </w:tcPr>
          <w:p w:rsidR="008A2056" w:rsidRPr="00B75B77" w:rsidRDefault="008A2056" w:rsidP="00CA16D1">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18"/>
                <w:szCs w:val="18"/>
              </w:rPr>
            </w:pPr>
          </w:p>
        </w:tc>
        <w:tc>
          <w:tcPr>
            <w:tcW w:w="1572" w:type="dxa"/>
            <w:vMerge/>
            <w:tcBorders>
              <w:top w:val="single" w:sz="8" w:space="0" w:color="auto"/>
              <w:left w:val="single" w:sz="8" w:space="0" w:color="auto"/>
              <w:bottom w:val="single" w:sz="8" w:space="0" w:color="auto"/>
              <w:right w:val="single" w:sz="8" w:space="0" w:color="auto"/>
            </w:tcBorders>
            <w:shd w:val="clear" w:color="auto" w:fill="448A99"/>
            <w:vAlign w:val="center"/>
            <w:hideMark/>
          </w:tcPr>
          <w:p w:rsidR="008A2056" w:rsidRPr="00B75B77" w:rsidRDefault="008A2056" w:rsidP="00CA16D1">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18"/>
                <w:szCs w:val="18"/>
              </w:rPr>
            </w:pPr>
          </w:p>
        </w:tc>
      </w:tr>
      <w:tr w:rsidR="008A2056" w:rsidRPr="00B75B77" w:rsidTr="004170FC">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023" w:type="dxa"/>
            <w:tcBorders>
              <w:top w:val="single" w:sz="8" w:space="0" w:color="auto"/>
              <w:right w:val="single" w:sz="8" w:space="0" w:color="448A99"/>
            </w:tcBorders>
            <w:noWrap/>
            <w:vAlign w:val="center"/>
            <w:hideMark/>
          </w:tcPr>
          <w:p w:rsidR="008A2056" w:rsidRPr="00B75B77" w:rsidRDefault="008A2056" w:rsidP="00CA16D1">
            <w:pPr>
              <w:keepNext/>
              <w:jc w:val="left"/>
              <w:rPr>
                <w:rFonts w:ascii="Calibri" w:eastAsia="Times New Roman" w:hAnsi="Calibri"/>
                <w:b w:val="0"/>
                <w:color w:val="000000"/>
                <w:sz w:val="18"/>
                <w:szCs w:val="18"/>
              </w:rPr>
            </w:pPr>
            <w:r w:rsidRPr="00B75B77">
              <w:rPr>
                <w:rFonts w:ascii="Calibri" w:eastAsia="Times New Roman" w:hAnsi="Calibri"/>
                <w:b w:val="0"/>
                <w:color w:val="000000"/>
                <w:sz w:val="18"/>
                <w:szCs w:val="18"/>
              </w:rPr>
              <w:t>Small</w:t>
            </w:r>
          </w:p>
        </w:tc>
        <w:tc>
          <w:tcPr>
            <w:tcW w:w="1710" w:type="dxa"/>
            <w:tcBorders>
              <w:top w:val="single" w:sz="8" w:space="0" w:color="auto"/>
              <w:left w:val="single" w:sz="8" w:space="0" w:color="448A99"/>
              <w:right w:val="single" w:sz="8" w:space="0" w:color="448A99"/>
            </w:tcBorders>
            <w:vAlign w:val="center"/>
            <w:hideMark/>
          </w:tcPr>
          <w:p w:rsidR="008A2056" w:rsidRPr="00B75B77" w:rsidRDefault="008A2056" w:rsidP="00CA16D1">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hAnsi="Calibri"/>
                <w:color w:val="000000"/>
                <w:sz w:val="18"/>
                <w:szCs w:val="18"/>
              </w:rPr>
              <w:t>0.69</w:t>
            </w:r>
          </w:p>
        </w:tc>
        <w:tc>
          <w:tcPr>
            <w:tcW w:w="1459" w:type="dxa"/>
            <w:tcBorders>
              <w:top w:val="single" w:sz="8" w:space="0" w:color="auto"/>
              <w:left w:val="single" w:sz="8" w:space="0" w:color="448A99"/>
              <w:right w:val="single" w:sz="8" w:space="0" w:color="448A99"/>
            </w:tcBorders>
            <w:vAlign w:val="center"/>
            <w:hideMark/>
          </w:tcPr>
          <w:p w:rsidR="008A2056" w:rsidRPr="00B75B77" w:rsidRDefault="008A2056" w:rsidP="00CA16D1">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hAnsi="Calibri"/>
                <w:color w:val="000000"/>
                <w:sz w:val="18"/>
                <w:szCs w:val="18"/>
              </w:rPr>
              <w:t>0.00</w:t>
            </w:r>
          </w:p>
        </w:tc>
        <w:tc>
          <w:tcPr>
            <w:tcW w:w="814" w:type="dxa"/>
            <w:tcBorders>
              <w:top w:val="single" w:sz="8" w:space="0" w:color="auto"/>
              <w:left w:val="single" w:sz="8" w:space="0" w:color="448A99"/>
              <w:right w:val="single" w:sz="8" w:space="0" w:color="448A99"/>
            </w:tcBorders>
            <w:vAlign w:val="center"/>
            <w:hideMark/>
          </w:tcPr>
          <w:p w:rsidR="008A2056" w:rsidRPr="00B75B77" w:rsidRDefault="008A2056" w:rsidP="00CA16D1">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hAnsi="Calibri"/>
                <w:color w:val="000000"/>
                <w:sz w:val="18"/>
                <w:szCs w:val="18"/>
              </w:rPr>
              <w:t>0.31</w:t>
            </w:r>
          </w:p>
        </w:tc>
        <w:tc>
          <w:tcPr>
            <w:tcW w:w="1796" w:type="dxa"/>
            <w:tcBorders>
              <w:top w:val="single" w:sz="8" w:space="0" w:color="auto"/>
              <w:left w:val="single" w:sz="8" w:space="0" w:color="448A99"/>
              <w:right w:val="single" w:sz="8" w:space="0" w:color="448A99"/>
            </w:tcBorders>
            <w:vAlign w:val="center"/>
            <w:hideMark/>
          </w:tcPr>
          <w:p w:rsidR="008A2056" w:rsidRPr="00B75B77" w:rsidRDefault="008A2056" w:rsidP="00CA16D1">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hAnsi="Calibri"/>
                <w:color w:val="000000"/>
                <w:sz w:val="18"/>
                <w:szCs w:val="18"/>
              </w:rPr>
              <w:t>0.50</w:t>
            </w:r>
          </w:p>
        </w:tc>
        <w:tc>
          <w:tcPr>
            <w:tcW w:w="1572" w:type="dxa"/>
            <w:tcBorders>
              <w:top w:val="single" w:sz="8" w:space="0" w:color="auto"/>
              <w:left w:val="single" w:sz="8" w:space="0" w:color="448A99"/>
            </w:tcBorders>
            <w:vAlign w:val="center"/>
            <w:hideMark/>
          </w:tcPr>
          <w:p w:rsidR="008A2056" w:rsidRPr="00B75B77" w:rsidRDefault="008A2056" w:rsidP="00CA16D1">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hAnsi="Calibri"/>
                <w:color w:val="000000"/>
                <w:sz w:val="18"/>
                <w:szCs w:val="18"/>
              </w:rPr>
              <w:t>46.5%</w:t>
            </w:r>
          </w:p>
        </w:tc>
      </w:tr>
      <w:tr w:rsidR="008A2056" w:rsidRPr="00B75B77" w:rsidTr="004170FC">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023" w:type="dxa"/>
            <w:tcBorders>
              <w:right w:val="single" w:sz="8" w:space="0" w:color="448A99"/>
            </w:tcBorders>
            <w:noWrap/>
            <w:vAlign w:val="center"/>
            <w:hideMark/>
          </w:tcPr>
          <w:p w:rsidR="008A2056" w:rsidRPr="00B75B77" w:rsidRDefault="008A2056" w:rsidP="00CA16D1">
            <w:pPr>
              <w:keepNext/>
              <w:jc w:val="left"/>
              <w:rPr>
                <w:rFonts w:ascii="Calibri" w:eastAsia="Times New Roman" w:hAnsi="Calibri"/>
                <w:b w:val="0"/>
                <w:color w:val="000000"/>
                <w:sz w:val="18"/>
                <w:szCs w:val="18"/>
              </w:rPr>
            </w:pPr>
            <w:r w:rsidRPr="00B75B77">
              <w:rPr>
                <w:rFonts w:ascii="Calibri" w:eastAsia="Times New Roman" w:hAnsi="Calibri"/>
                <w:b w:val="0"/>
                <w:color w:val="000000"/>
                <w:sz w:val="18"/>
                <w:szCs w:val="18"/>
              </w:rPr>
              <w:t>Medium</w:t>
            </w:r>
          </w:p>
        </w:tc>
        <w:tc>
          <w:tcPr>
            <w:tcW w:w="1710" w:type="dxa"/>
            <w:tcBorders>
              <w:left w:val="single" w:sz="8" w:space="0" w:color="448A99"/>
              <w:right w:val="single" w:sz="8" w:space="0" w:color="448A99"/>
            </w:tcBorders>
            <w:vAlign w:val="center"/>
            <w:hideMark/>
          </w:tcPr>
          <w:p w:rsidR="008A2056" w:rsidRPr="00B75B77" w:rsidRDefault="008A2056" w:rsidP="00CA16D1">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hAnsi="Calibri"/>
                <w:color w:val="000000"/>
                <w:sz w:val="18"/>
                <w:szCs w:val="18"/>
              </w:rPr>
              <w:t>0.43</w:t>
            </w:r>
          </w:p>
        </w:tc>
        <w:tc>
          <w:tcPr>
            <w:tcW w:w="1459" w:type="dxa"/>
            <w:tcBorders>
              <w:left w:val="single" w:sz="8" w:space="0" w:color="448A99"/>
              <w:right w:val="single" w:sz="8" w:space="0" w:color="448A99"/>
            </w:tcBorders>
            <w:vAlign w:val="center"/>
            <w:hideMark/>
          </w:tcPr>
          <w:p w:rsidR="008A2056" w:rsidRPr="00B75B77" w:rsidRDefault="008A2056" w:rsidP="00CA16D1">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hAnsi="Calibri"/>
                <w:color w:val="000000"/>
                <w:sz w:val="18"/>
                <w:szCs w:val="18"/>
              </w:rPr>
              <w:t>0.00</w:t>
            </w:r>
          </w:p>
        </w:tc>
        <w:tc>
          <w:tcPr>
            <w:tcW w:w="814" w:type="dxa"/>
            <w:tcBorders>
              <w:left w:val="single" w:sz="8" w:space="0" w:color="448A99"/>
              <w:right w:val="single" w:sz="8" w:space="0" w:color="448A99"/>
            </w:tcBorders>
            <w:vAlign w:val="center"/>
            <w:hideMark/>
          </w:tcPr>
          <w:p w:rsidR="008A2056" w:rsidRPr="00B75B77" w:rsidRDefault="008A2056" w:rsidP="00CA16D1">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hAnsi="Calibri"/>
                <w:color w:val="000000"/>
                <w:sz w:val="18"/>
                <w:szCs w:val="18"/>
              </w:rPr>
              <w:t>0.57</w:t>
            </w:r>
          </w:p>
        </w:tc>
        <w:tc>
          <w:tcPr>
            <w:tcW w:w="1796" w:type="dxa"/>
            <w:tcBorders>
              <w:left w:val="single" w:sz="8" w:space="0" w:color="448A99"/>
              <w:right w:val="single" w:sz="8" w:space="0" w:color="448A99"/>
            </w:tcBorders>
            <w:vAlign w:val="center"/>
            <w:hideMark/>
          </w:tcPr>
          <w:p w:rsidR="008A2056" w:rsidRPr="00B75B77" w:rsidRDefault="008A2056" w:rsidP="00CA16D1">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hAnsi="Calibri"/>
                <w:color w:val="000000"/>
                <w:sz w:val="18"/>
                <w:szCs w:val="18"/>
              </w:rPr>
              <w:t>0.50</w:t>
            </w:r>
          </w:p>
        </w:tc>
        <w:tc>
          <w:tcPr>
            <w:tcW w:w="1572" w:type="dxa"/>
            <w:tcBorders>
              <w:left w:val="single" w:sz="8" w:space="0" w:color="448A99"/>
            </w:tcBorders>
            <w:vAlign w:val="center"/>
            <w:hideMark/>
          </w:tcPr>
          <w:p w:rsidR="008A2056" w:rsidRPr="00B75B77" w:rsidRDefault="008A2056" w:rsidP="00CA16D1">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hAnsi="Calibri"/>
                <w:color w:val="000000"/>
                <w:sz w:val="18"/>
                <w:szCs w:val="18"/>
              </w:rPr>
              <w:t>12.5%</w:t>
            </w:r>
          </w:p>
        </w:tc>
      </w:tr>
      <w:tr w:rsidR="008A2056" w:rsidRPr="00B75B77" w:rsidTr="004170FC">
        <w:trPr>
          <w:cnfStyle w:val="000000010000" w:firstRow="0" w:lastRow="0" w:firstColumn="0" w:lastColumn="0" w:oddVBand="0" w:evenVBand="0" w:oddHBand="0" w:evenHBand="1"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2023" w:type="dxa"/>
            <w:tcBorders>
              <w:right w:val="single" w:sz="8" w:space="0" w:color="448A99"/>
            </w:tcBorders>
            <w:noWrap/>
            <w:vAlign w:val="center"/>
            <w:hideMark/>
          </w:tcPr>
          <w:p w:rsidR="008A2056" w:rsidRPr="00B75B77" w:rsidRDefault="008A2056" w:rsidP="00CA16D1">
            <w:pPr>
              <w:keepNext/>
              <w:jc w:val="left"/>
              <w:rPr>
                <w:rFonts w:ascii="Calibri" w:eastAsia="Times New Roman" w:hAnsi="Calibri"/>
                <w:b w:val="0"/>
                <w:color w:val="000000"/>
                <w:sz w:val="18"/>
                <w:szCs w:val="18"/>
              </w:rPr>
            </w:pPr>
            <w:r w:rsidRPr="00B75B77">
              <w:rPr>
                <w:rFonts w:ascii="Calibri" w:eastAsia="Times New Roman" w:hAnsi="Calibri"/>
                <w:b w:val="0"/>
                <w:color w:val="000000"/>
                <w:sz w:val="18"/>
                <w:szCs w:val="18"/>
              </w:rPr>
              <w:t>Large</w:t>
            </w:r>
          </w:p>
        </w:tc>
        <w:tc>
          <w:tcPr>
            <w:tcW w:w="1710" w:type="dxa"/>
            <w:tcBorders>
              <w:left w:val="single" w:sz="8" w:space="0" w:color="448A99"/>
              <w:right w:val="single" w:sz="8" w:space="0" w:color="448A99"/>
            </w:tcBorders>
            <w:vAlign w:val="center"/>
            <w:hideMark/>
          </w:tcPr>
          <w:p w:rsidR="008A2056" w:rsidRPr="00B75B77" w:rsidRDefault="008A2056" w:rsidP="00CA16D1">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hAnsi="Calibri"/>
                <w:color w:val="000000"/>
                <w:sz w:val="18"/>
                <w:szCs w:val="18"/>
              </w:rPr>
              <w:t>0.35</w:t>
            </w:r>
          </w:p>
        </w:tc>
        <w:tc>
          <w:tcPr>
            <w:tcW w:w="1459" w:type="dxa"/>
            <w:tcBorders>
              <w:left w:val="single" w:sz="8" w:space="0" w:color="448A99"/>
              <w:right w:val="single" w:sz="8" w:space="0" w:color="448A99"/>
            </w:tcBorders>
            <w:vAlign w:val="center"/>
            <w:hideMark/>
          </w:tcPr>
          <w:p w:rsidR="008A2056" w:rsidRPr="00B75B77" w:rsidRDefault="008A2056" w:rsidP="00CA16D1">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hAnsi="Calibri"/>
                <w:color w:val="000000"/>
                <w:sz w:val="18"/>
                <w:szCs w:val="18"/>
              </w:rPr>
              <w:t>0.00</w:t>
            </w:r>
          </w:p>
        </w:tc>
        <w:tc>
          <w:tcPr>
            <w:tcW w:w="814" w:type="dxa"/>
            <w:tcBorders>
              <w:left w:val="single" w:sz="8" w:space="0" w:color="448A99"/>
              <w:right w:val="single" w:sz="8" w:space="0" w:color="448A99"/>
            </w:tcBorders>
            <w:vAlign w:val="center"/>
            <w:hideMark/>
          </w:tcPr>
          <w:p w:rsidR="008A2056" w:rsidRPr="00B75B77" w:rsidRDefault="008A2056" w:rsidP="00CA16D1">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hAnsi="Calibri"/>
                <w:color w:val="000000"/>
                <w:sz w:val="18"/>
                <w:szCs w:val="18"/>
              </w:rPr>
              <w:t>0.65</w:t>
            </w:r>
          </w:p>
        </w:tc>
        <w:tc>
          <w:tcPr>
            <w:tcW w:w="1796" w:type="dxa"/>
            <w:tcBorders>
              <w:left w:val="single" w:sz="8" w:space="0" w:color="448A99"/>
              <w:right w:val="single" w:sz="8" w:space="0" w:color="448A99"/>
            </w:tcBorders>
            <w:vAlign w:val="center"/>
            <w:hideMark/>
          </w:tcPr>
          <w:p w:rsidR="008A2056" w:rsidRPr="00B75B77" w:rsidRDefault="008A2056" w:rsidP="00CA16D1">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hAnsi="Calibri"/>
                <w:color w:val="000000"/>
                <w:sz w:val="18"/>
                <w:szCs w:val="18"/>
              </w:rPr>
              <w:t>0.50</w:t>
            </w:r>
          </w:p>
        </w:tc>
        <w:tc>
          <w:tcPr>
            <w:tcW w:w="1572" w:type="dxa"/>
            <w:tcBorders>
              <w:left w:val="single" w:sz="8" w:space="0" w:color="448A99"/>
            </w:tcBorders>
            <w:vAlign w:val="center"/>
            <w:hideMark/>
          </w:tcPr>
          <w:p w:rsidR="008A2056" w:rsidRPr="00B75B77" w:rsidRDefault="008A2056" w:rsidP="00CA16D1">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hAnsi="Calibri"/>
                <w:color w:val="000000"/>
                <w:sz w:val="18"/>
                <w:szCs w:val="18"/>
              </w:rPr>
              <w:t>17.3%</w:t>
            </w:r>
          </w:p>
        </w:tc>
      </w:tr>
      <w:tr w:rsidR="008A2056" w:rsidRPr="00B75B77" w:rsidTr="004170FC">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2023" w:type="dxa"/>
            <w:tcBorders>
              <w:right w:val="single" w:sz="8" w:space="0" w:color="448A99"/>
            </w:tcBorders>
            <w:noWrap/>
            <w:vAlign w:val="center"/>
            <w:hideMark/>
          </w:tcPr>
          <w:p w:rsidR="008A2056" w:rsidRPr="00B75B77" w:rsidRDefault="003E5592" w:rsidP="00CA16D1">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PROGRAM TOTAL</w:t>
            </w:r>
            <w:r w:rsidRPr="00B75B77">
              <w:rPr>
                <w:vertAlign w:val="superscript"/>
              </w:rPr>
              <w:t>[</w:t>
            </w:r>
            <w:r w:rsidR="008A2056" w:rsidRPr="00B75B77">
              <w:rPr>
                <w:vertAlign w:val="superscript"/>
              </w:rPr>
              <w:t>1]</w:t>
            </w:r>
          </w:p>
        </w:tc>
        <w:tc>
          <w:tcPr>
            <w:tcW w:w="1710" w:type="dxa"/>
            <w:tcBorders>
              <w:left w:val="single" w:sz="8" w:space="0" w:color="448A99"/>
              <w:right w:val="single" w:sz="8" w:space="0" w:color="448A99"/>
            </w:tcBorders>
            <w:vAlign w:val="center"/>
            <w:hideMark/>
          </w:tcPr>
          <w:p w:rsidR="008A2056" w:rsidRPr="00B75B77" w:rsidRDefault="008A2056" w:rsidP="00CA16D1">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18"/>
                <w:szCs w:val="18"/>
              </w:rPr>
            </w:pPr>
            <w:r w:rsidRPr="00B75B77">
              <w:rPr>
                <w:rFonts w:ascii="Calibri" w:eastAsia="Times New Roman" w:hAnsi="Calibri"/>
                <w:b/>
                <w:color w:val="000000"/>
                <w:sz w:val="18"/>
                <w:szCs w:val="18"/>
              </w:rPr>
              <w:t>0.48</w:t>
            </w:r>
          </w:p>
        </w:tc>
        <w:tc>
          <w:tcPr>
            <w:tcW w:w="1459" w:type="dxa"/>
            <w:tcBorders>
              <w:left w:val="single" w:sz="8" w:space="0" w:color="448A99"/>
              <w:right w:val="single" w:sz="8" w:space="0" w:color="448A99"/>
            </w:tcBorders>
            <w:vAlign w:val="center"/>
            <w:hideMark/>
          </w:tcPr>
          <w:p w:rsidR="008A2056" w:rsidRPr="00B75B77" w:rsidRDefault="008A2056" w:rsidP="00CA16D1">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18"/>
                <w:szCs w:val="18"/>
              </w:rPr>
            </w:pPr>
            <w:r w:rsidRPr="00B75B77">
              <w:rPr>
                <w:rFonts w:ascii="Calibri" w:eastAsia="Times New Roman" w:hAnsi="Calibri"/>
                <w:b/>
                <w:color w:val="000000"/>
                <w:sz w:val="18"/>
                <w:szCs w:val="18"/>
              </w:rPr>
              <w:t>0.00</w:t>
            </w:r>
          </w:p>
        </w:tc>
        <w:tc>
          <w:tcPr>
            <w:tcW w:w="814" w:type="dxa"/>
            <w:tcBorders>
              <w:left w:val="single" w:sz="8" w:space="0" w:color="448A99"/>
              <w:right w:val="single" w:sz="8" w:space="0" w:color="448A99"/>
            </w:tcBorders>
            <w:vAlign w:val="center"/>
            <w:hideMark/>
          </w:tcPr>
          <w:p w:rsidR="008A2056" w:rsidRPr="00B75B77" w:rsidRDefault="008A2056" w:rsidP="00CA16D1">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18"/>
                <w:szCs w:val="18"/>
              </w:rPr>
            </w:pPr>
            <w:r w:rsidRPr="00B75B77">
              <w:rPr>
                <w:rFonts w:ascii="Calibri" w:eastAsia="Times New Roman" w:hAnsi="Calibri"/>
                <w:b/>
                <w:color w:val="000000"/>
                <w:sz w:val="18"/>
                <w:szCs w:val="18"/>
              </w:rPr>
              <w:t>0.52</w:t>
            </w:r>
          </w:p>
        </w:tc>
        <w:tc>
          <w:tcPr>
            <w:tcW w:w="1796" w:type="dxa"/>
            <w:tcBorders>
              <w:left w:val="single" w:sz="8" w:space="0" w:color="448A99"/>
              <w:right w:val="single" w:sz="8" w:space="0" w:color="448A99"/>
            </w:tcBorders>
            <w:vAlign w:val="center"/>
            <w:hideMark/>
          </w:tcPr>
          <w:p w:rsidR="008A2056" w:rsidRPr="00B75B77" w:rsidRDefault="008A2056" w:rsidP="00CA16D1">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18"/>
                <w:szCs w:val="18"/>
              </w:rPr>
            </w:pPr>
            <w:r w:rsidRPr="00B75B77">
              <w:rPr>
                <w:rFonts w:ascii="Calibri" w:eastAsia="Times New Roman" w:hAnsi="Calibri"/>
                <w:b/>
                <w:color w:val="000000"/>
                <w:sz w:val="18"/>
                <w:szCs w:val="18"/>
              </w:rPr>
              <w:t>0.50</w:t>
            </w:r>
          </w:p>
        </w:tc>
        <w:tc>
          <w:tcPr>
            <w:tcW w:w="1572" w:type="dxa"/>
            <w:tcBorders>
              <w:left w:val="single" w:sz="8" w:space="0" w:color="448A99"/>
            </w:tcBorders>
            <w:vAlign w:val="center"/>
            <w:hideMark/>
          </w:tcPr>
          <w:p w:rsidR="008A2056" w:rsidRPr="00B75B77" w:rsidRDefault="008A2056" w:rsidP="00CA16D1">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18"/>
                <w:szCs w:val="18"/>
              </w:rPr>
            </w:pPr>
            <w:r w:rsidRPr="00B75B77">
              <w:rPr>
                <w:rFonts w:ascii="Calibri" w:eastAsia="Times New Roman" w:hAnsi="Calibri"/>
                <w:b/>
                <w:color w:val="000000"/>
                <w:sz w:val="18"/>
                <w:szCs w:val="18"/>
              </w:rPr>
              <w:t>9.5%</w:t>
            </w:r>
          </w:p>
        </w:tc>
      </w:tr>
    </w:tbl>
    <w:p w:rsidR="008A2056" w:rsidRPr="00B75B77" w:rsidRDefault="008A2056" w:rsidP="00CA16D1">
      <w:pPr>
        <w:pStyle w:val="Source"/>
        <w:spacing w:after="0"/>
        <w:ind w:left="180" w:firstLine="0"/>
        <w:contextualSpacing/>
        <w:rPr>
          <w:i w:val="0"/>
        </w:rPr>
      </w:pPr>
      <w:r w:rsidRPr="00B75B77">
        <w:rPr>
          <w:i w:val="0"/>
          <w:vertAlign w:val="superscript"/>
        </w:rPr>
        <w:t xml:space="preserve">[1] </w:t>
      </w:r>
      <w:r w:rsidRPr="00B75B77">
        <w:rPr>
          <w:i w:val="0"/>
        </w:rPr>
        <w:t xml:space="preserve">NTG ratio at the program level should be developed using stratum weight and stratum NTG ratios. </w:t>
      </w:r>
    </w:p>
    <w:p w:rsidR="008A2056" w:rsidRPr="00B75B77" w:rsidRDefault="008A2056" w:rsidP="00CA16D1">
      <w:pPr>
        <w:pStyle w:val="Source"/>
        <w:spacing w:before="20" w:after="20"/>
        <w:ind w:left="180" w:firstLine="0"/>
        <w:rPr>
          <w:i w:val="0"/>
        </w:rPr>
      </w:pPr>
      <w:r w:rsidRPr="00B75B77">
        <w:rPr>
          <w:i w:val="0"/>
        </w:rPr>
        <w:lastRenderedPageBreak/>
        <w:t xml:space="preserve">Note: </w:t>
      </w:r>
      <w:r w:rsidRPr="00B75B77">
        <w:rPr>
          <w:rFonts w:ascii="Calibri" w:hAnsi="Calibri"/>
          <w:i w:val="0"/>
          <w:iCs/>
          <w:color w:val="000000"/>
          <w:szCs w:val="18"/>
        </w:rPr>
        <w:t>Values in tables may not reconcile exactly with the sum of more detailed level results or previously reported results due to rounding.</w:t>
      </w:r>
    </w:p>
    <w:p w:rsidR="008A2056" w:rsidRPr="00B75B77" w:rsidRDefault="008A2056" w:rsidP="003E5592">
      <w:pPr>
        <w:pStyle w:val="Source"/>
      </w:pPr>
      <w:r w:rsidRPr="00B75B77">
        <w:t>Source: Navigant analysis</w:t>
      </w:r>
    </w:p>
    <w:p w:rsidR="008A2056" w:rsidRPr="00B75B77" w:rsidRDefault="008A2056" w:rsidP="00CA16D1">
      <w:pPr>
        <w:pStyle w:val="Heading3"/>
      </w:pPr>
      <w:bookmarkStart w:id="831" w:name="_Toc466413430"/>
      <w:r w:rsidRPr="00B75B77">
        <w:t>Net Verified Savings Results</w:t>
      </w:r>
      <w:bookmarkEnd w:id="831"/>
      <w:r w:rsidRPr="00B75B77">
        <w:t xml:space="preserve"> </w:t>
      </w:r>
    </w:p>
    <w:p w:rsidR="003E5592" w:rsidRPr="00B75B77" w:rsidRDefault="008A2056" w:rsidP="009A1E1A">
      <w:pPr>
        <w:jc w:val="left"/>
      </w:pPr>
      <w:r w:rsidRPr="00B75B77">
        <w:t>Accounting for the individual NTG ratios of the different program strata as well as an overall program NTG ratio of 0.52, the SCI program achieved PY7 net savings of 13,</w:t>
      </w:r>
      <w:r w:rsidR="00395286" w:rsidRPr="00B75B77">
        <w:t>193</w:t>
      </w:r>
      <w:r w:rsidRPr="00B75B77">
        <w:t xml:space="preserve"> MWh for energy and 2.1 MW for demand. For Phase II as a whole, the program achieved net savings of 25,072 MWh for energy and 3.7 MW for demand. A summary of net savings results can be seen in </w:t>
      </w:r>
      <w:r w:rsidRPr="00B75B77">
        <w:fldChar w:fldCharType="begin"/>
      </w:r>
      <w:r w:rsidRPr="00B75B77">
        <w:instrText xml:space="preserve"> REF _Ref463950459 \h </w:instrText>
      </w:r>
      <w:r w:rsidR="00B75B77">
        <w:instrText xml:space="preserve"> \* MERGEFORMAT </w:instrText>
      </w:r>
      <w:r w:rsidRPr="00B75B77">
        <w:fldChar w:fldCharType="separate"/>
      </w:r>
      <w:r w:rsidR="0004016D" w:rsidRPr="00B75B77">
        <w:t xml:space="preserve">Table </w:t>
      </w:r>
      <w:r w:rsidR="0004016D">
        <w:rPr>
          <w:noProof/>
        </w:rPr>
        <w:t>13</w:t>
      </w:r>
      <w:r w:rsidR="0004016D" w:rsidRPr="00B75B77">
        <w:rPr>
          <w:noProof/>
        </w:rPr>
        <w:noBreakHyphen/>
      </w:r>
      <w:r w:rsidR="0004016D">
        <w:rPr>
          <w:noProof/>
        </w:rPr>
        <w:t>8</w:t>
      </w:r>
      <w:r w:rsidRPr="00B75B77">
        <w:fldChar w:fldCharType="end"/>
      </w:r>
      <w:r w:rsidRPr="00B75B77">
        <w:t>.</w:t>
      </w:r>
    </w:p>
    <w:p w:rsidR="003E5592" w:rsidRPr="00B75B77" w:rsidRDefault="003E5592" w:rsidP="009A1E1A">
      <w:pPr>
        <w:jc w:val="left"/>
      </w:pPr>
    </w:p>
    <w:p w:rsidR="008A2056" w:rsidRPr="00B75B77" w:rsidRDefault="008A2056" w:rsidP="00CA16D1">
      <w:pPr>
        <w:pStyle w:val="Caption"/>
      </w:pPr>
      <w:bookmarkStart w:id="832" w:name="_Ref463950459"/>
      <w:bookmarkStart w:id="833" w:name="_Toc466413615"/>
      <w:r w:rsidRPr="00B75B77">
        <w:t xml:space="preserve">Table </w:t>
      </w:r>
      <w:fldSimple w:instr=" STYLEREF 1 \s ">
        <w:r w:rsidR="0004016D">
          <w:rPr>
            <w:noProof/>
          </w:rPr>
          <w:t>13</w:t>
        </w:r>
      </w:fldSimple>
      <w:r w:rsidR="00F1144C" w:rsidRPr="00B75B77">
        <w:noBreakHyphen/>
      </w:r>
      <w:fldSimple w:instr=" SEQ Table \* ARABIC \s 1 ">
        <w:r w:rsidR="0004016D">
          <w:rPr>
            <w:noProof/>
          </w:rPr>
          <w:t>8</w:t>
        </w:r>
      </w:fldSimple>
      <w:bookmarkEnd w:id="832"/>
      <w:r w:rsidRPr="00B75B77">
        <w:t xml:space="preserve">: </w:t>
      </w:r>
      <w:r w:rsidR="003E5592" w:rsidRPr="00B75B77">
        <w:t>PY</w:t>
      </w:r>
      <w:r w:rsidRPr="00B75B77">
        <w:t xml:space="preserve">7 </w:t>
      </w:r>
      <w:r w:rsidR="00907F11" w:rsidRPr="00B75B77">
        <w:t xml:space="preserve">and Phase II </w:t>
      </w:r>
      <w:r w:rsidRPr="00B75B77">
        <w:t>Smart Construction Incentives Summary of NTG Savings Results</w:t>
      </w:r>
      <w:bookmarkEnd w:id="833"/>
    </w:p>
    <w:tbl>
      <w:tblPr>
        <w:tblStyle w:val="MediumShading1-Accent5"/>
        <w:tblW w:w="0" w:type="auto"/>
        <w:jc w:val="center"/>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1166"/>
        <w:gridCol w:w="1854"/>
        <w:gridCol w:w="1885"/>
        <w:gridCol w:w="1126"/>
        <w:gridCol w:w="1757"/>
        <w:gridCol w:w="1788"/>
      </w:tblGrid>
      <w:tr w:rsidR="008A2056" w:rsidRPr="00B75B77" w:rsidTr="003E5592">
        <w:trPr>
          <w:cnfStyle w:val="100000000000" w:firstRow="1" w:lastRow="0" w:firstColumn="0" w:lastColumn="0" w:oddVBand="0" w:evenVBand="0" w:oddHBand="0" w:evenHBand="0" w:firstRowFirstColumn="0" w:firstRowLastColumn="0" w:lastRowFirstColumn="0" w:lastRowLastColumn="0"/>
          <w:trHeight w:val="772"/>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left w:val="single" w:sz="8" w:space="0" w:color="auto"/>
              <w:bottom w:val="single" w:sz="8" w:space="0" w:color="auto"/>
              <w:right w:val="single" w:sz="8" w:space="0" w:color="auto"/>
            </w:tcBorders>
            <w:shd w:val="clear" w:color="auto" w:fill="448A99"/>
            <w:vAlign w:val="center"/>
            <w:hideMark/>
          </w:tcPr>
          <w:p w:rsidR="008A2056" w:rsidRPr="00B75B77" w:rsidRDefault="008A2056" w:rsidP="003E5592">
            <w:pPr>
              <w:jc w:val="left"/>
              <w:rPr>
                <w:rFonts w:eastAsia="Times New Roman"/>
                <w:bCs w:val="0"/>
                <w:sz w:val="18"/>
                <w:szCs w:val="18"/>
              </w:rPr>
            </w:pPr>
            <w:r w:rsidRPr="00B75B77">
              <w:rPr>
                <w:sz w:val="18"/>
                <w:szCs w:val="18"/>
              </w:rPr>
              <w:t xml:space="preserve">Phase II </w:t>
            </w:r>
            <w:r w:rsidR="003E5592" w:rsidRPr="00B75B77">
              <w:rPr>
                <w:sz w:val="18"/>
                <w:szCs w:val="18"/>
              </w:rPr>
              <w:t>O</w:t>
            </w:r>
            <w:r w:rsidRPr="00B75B77">
              <w:rPr>
                <w:sz w:val="18"/>
                <w:szCs w:val="18"/>
              </w:rPr>
              <w:t>verall</w:t>
            </w:r>
          </w:p>
        </w:tc>
        <w:tc>
          <w:tcPr>
            <w:tcW w:w="0" w:type="auto"/>
            <w:tcBorders>
              <w:top w:val="single" w:sz="8" w:space="0" w:color="auto"/>
              <w:left w:val="single" w:sz="8" w:space="0" w:color="auto"/>
              <w:bottom w:val="single" w:sz="8" w:space="0" w:color="auto"/>
              <w:right w:val="single" w:sz="8" w:space="0" w:color="auto"/>
            </w:tcBorders>
            <w:shd w:val="clear" w:color="auto" w:fill="448A99"/>
            <w:vAlign w:val="center"/>
            <w:hideMark/>
          </w:tcPr>
          <w:p w:rsidR="008A2056" w:rsidRPr="00B75B77" w:rsidRDefault="008A2056" w:rsidP="003E5592">
            <w:pPr>
              <w:jc w:val="center"/>
              <w:cnfStyle w:val="100000000000" w:firstRow="1" w:lastRow="0" w:firstColumn="0" w:lastColumn="0" w:oddVBand="0" w:evenVBand="0" w:oddHBand="0" w:evenHBand="0" w:firstRowFirstColumn="0" w:firstRowLastColumn="0" w:lastRowFirstColumn="0" w:lastRowLastColumn="0"/>
              <w:rPr>
                <w:rFonts w:eastAsia="Times New Roman"/>
                <w:bCs w:val="0"/>
                <w:sz w:val="18"/>
                <w:szCs w:val="18"/>
              </w:rPr>
            </w:pPr>
            <w:r w:rsidRPr="00B75B77">
              <w:rPr>
                <w:sz w:val="18"/>
                <w:szCs w:val="18"/>
              </w:rPr>
              <w:t xml:space="preserve">Gross Verified Energy </w:t>
            </w:r>
            <w:r w:rsidR="003E5592" w:rsidRPr="00B75B77">
              <w:rPr>
                <w:sz w:val="18"/>
                <w:szCs w:val="18"/>
              </w:rPr>
              <w:t>(</w:t>
            </w:r>
            <w:r w:rsidRPr="00B75B77">
              <w:rPr>
                <w:sz w:val="18"/>
                <w:szCs w:val="18"/>
              </w:rPr>
              <w:t>MWh</w:t>
            </w:r>
            <w:r w:rsidR="003E5592" w:rsidRPr="00B75B77">
              <w:rPr>
                <w:sz w:val="18"/>
                <w:szCs w:val="18"/>
              </w:rPr>
              <w:t>)</w:t>
            </w:r>
          </w:p>
        </w:tc>
        <w:tc>
          <w:tcPr>
            <w:tcW w:w="0" w:type="auto"/>
            <w:tcBorders>
              <w:top w:val="single" w:sz="8" w:space="0" w:color="auto"/>
              <w:left w:val="single" w:sz="8" w:space="0" w:color="auto"/>
              <w:bottom w:val="single" w:sz="8" w:space="0" w:color="auto"/>
              <w:right w:val="single" w:sz="8" w:space="0" w:color="auto"/>
            </w:tcBorders>
            <w:shd w:val="clear" w:color="auto" w:fill="448A99"/>
            <w:vAlign w:val="center"/>
            <w:hideMark/>
          </w:tcPr>
          <w:p w:rsidR="008A2056" w:rsidRPr="00B75B77" w:rsidRDefault="008A2056" w:rsidP="003E5592">
            <w:pPr>
              <w:jc w:val="center"/>
              <w:cnfStyle w:val="100000000000" w:firstRow="1" w:lastRow="0" w:firstColumn="0" w:lastColumn="0" w:oddVBand="0" w:evenVBand="0" w:oddHBand="0" w:evenHBand="0" w:firstRowFirstColumn="0" w:firstRowLastColumn="0" w:lastRowFirstColumn="0" w:lastRowLastColumn="0"/>
              <w:rPr>
                <w:rFonts w:eastAsia="Times New Roman"/>
                <w:bCs w:val="0"/>
                <w:sz w:val="18"/>
                <w:szCs w:val="18"/>
              </w:rPr>
            </w:pPr>
            <w:r w:rsidRPr="00B75B77">
              <w:rPr>
                <w:sz w:val="18"/>
                <w:szCs w:val="18"/>
              </w:rPr>
              <w:t xml:space="preserve">Gross Verified Demand </w:t>
            </w:r>
            <w:r w:rsidR="003E5592" w:rsidRPr="00B75B77">
              <w:rPr>
                <w:sz w:val="18"/>
                <w:szCs w:val="18"/>
              </w:rPr>
              <w:t>(</w:t>
            </w:r>
            <w:r w:rsidRPr="00B75B77">
              <w:rPr>
                <w:sz w:val="18"/>
                <w:szCs w:val="18"/>
              </w:rPr>
              <w:t>MW</w:t>
            </w:r>
            <w:r w:rsidR="003E5592" w:rsidRPr="00B75B77">
              <w:rPr>
                <w:sz w:val="18"/>
                <w:szCs w:val="18"/>
              </w:rPr>
              <w:t>)</w:t>
            </w:r>
          </w:p>
        </w:tc>
        <w:tc>
          <w:tcPr>
            <w:tcW w:w="0" w:type="auto"/>
            <w:tcBorders>
              <w:top w:val="single" w:sz="8" w:space="0" w:color="auto"/>
              <w:left w:val="single" w:sz="8" w:space="0" w:color="auto"/>
              <w:bottom w:val="single" w:sz="8" w:space="0" w:color="auto"/>
              <w:right w:val="single" w:sz="8" w:space="0" w:color="auto"/>
            </w:tcBorders>
            <w:shd w:val="clear" w:color="auto" w:fill="448A99"/>
            <w:vAlign w:val="center"/>
          </w:tcPr>
          <w:p w:rsidR="008A2056" w:rsidRPr="00B75B77" w:rsidRDefault="008A2056" w:rsidP="003E5592">
            <w:pPr>
              <w:jc w:val="center"/>
              <w:cnfStyle w:val="100000000000" w:firstRow="1" w:lastRow="0" w:firstColumn="0" w:lastColumn="0" w:oddVBand="0" w:evenVBand="0" w:oddHBand="0" w:evenHBand="0" w:firstRowFirstColumn="0" w:firstRowLastColumn="0" w:lastRowFirstColumn="0" w:lastRowLastColumn="0"/>
              <w:rPr>
                <w:rFonts w:eastAsia="Times New Roman"/>
                <w:bCs w:val="0"/>
                <w:sz w:val="18"/>
                <w:szCs w:val="18"/>
              </w:rPr>
            </w:pPr>
            <w:r w:rsidRPr="00B75B77">
              <w:rPr>
                <w:sz w:val="18"/>
                <w:szCs w:val="18"/>
              </w:rPr>
              <w:t>NTG (from PY6)</w:t>
            </w:r>
          </w:p>
        </w:tc>
        <w:tc>
          <w:tcPr>
            <w:tcW w:w="0" w:type="auto"/>
            <w:tcBorders>
              <w:top w:val="single" w:sz="8" w:space="0" w:color="auto"/>
              <w:left w:val="single" w:sz="8" w:space="0" w:color="auto"/>
              <w:bottom w:val="single" w:sz="8" w:space="0" w:color="auto"/>
              <w:right w:val="single" w:sz="8" w:space="0" w:color="auto"/>
            </w:tcBorders>
            <w:shd w:val="clear" w:color="auto" w:fill="448A99"/>
            <w:vAlign w:val="center"/>
            <w:hideMark/>
          </w:tcPr>
          <w:p w:rsidR="008A2056" w:rsidRPr="00B75B77" w:rsidRDefault="008A2056" w:rsidP="003E5592">
            <w:pPr>
              <w:jc w:val="center"/>
              <w:cnfStyle w:val="100000000000" w:firstRow="1" w:lastRow="0" w:firstColumn="0" w:lastColumn="0" w:oddVBand="0" w:evenVBand="0" w:oddHBand="0" w:evenHBand="0" w:firstRowFirstColumn="0" w:firstRowLastColumn="0" w:lastRowFirstColumn="0" w:lastRowLastColumn="0"/>
              <w:rPr>
                <w:rFonts w:eastAsia="Times New Roman"/>
                <w:bCs w:val="0"/>
                <w:sz w:val="18"/>
                <w:szCs w:val="18"/>
              </w:rPr>
            </w:pPr>
            <w:r w:rsidRPr="00B75B77">
              <w:rPr>
                <w:sz w:val="18"/>
                <w:szCs w:val="18"/>
              </w:rPr>
              <w:t xml:space="preserve">Net Verified Energy </w:t>
            </w:r>
            <w:r w:rsidR="003E5592" w:rsidRPr="00B75B77">
              <w:rPr>
                <w:sz w:val="18"/>
                <w:szCs w:val="18"/>
              </w:rPr>
              <w:t>(</w:t>
            </w:r>
            <w:r w:rsidRPr="00B75B77">
              <w:rPr>
                <w:sz w:val="18"/>
                <w:szCs w:val="18"/>
              </w:rPr>
              <w:t>MWh</w:t>
            </w:r>
            <w:r w:rsidR="003E5592" w:rsidRPr="00B75B77">
              <w:rPr>
                <w:sz w:val="18"/>
                <w:szCs w:val="18"/>
              </w:rPr>
              <w:t>)</w:t>
            </w:r>
          </w:p>
        </w:tc>
        <w:tc>
          <w:tcPr>
            <w:tcW w:w="0" w:type="auto"/>
            <w:tcBorders>
              <w:top w:val="single" w:sz="8" w:space="0" w:color="auto"/>
              <w:left w:val="single" w:sz="8" w:space="0" w:color="auto"/>
              <w:bottom w:val="single" w:sz="8" w:space="0" w:color="auto"/>
              <w:right w:val="single" w:sz="8" w:space="0" w:color="auto"/>
            </w:tcBorders>
            <w:shd w:val="clear" w:color="auto" w:fill="448A99"/>
            <w:vAlign w:val="center"/>
            <w:hideMark/>
          </w:tcPr>
          <w:p w:rsidR="008A2056" w:rsidRPr="00B75B77" w:rsidRDefault="008A2056" w:rsidP="003E5592">
            <w:pPr>
              <w:jc w:val="center"/>
              <w:cnfStyle w:val="100000000000" w:firstRow="1" w:lastRow="0" w:firstColumn="0" w:lastColumn="0" w:oddVBand="0" w:evenVBand="0" w:oddHBand="0" w:evenHBand="0" w:firstRowFirstColumn="0" w:firstRowLastColumn="0" w:lastRowFirstColumn="0" w:lastRowLastColumn="0"/>
              <w:rPr>
                <w:rFonts w:eastAsia="Times New Roman"/>
                <w:bCs w:val="0"/>
                <w:sz w:val="18"/>
                <w:szCs w:val="18"/>
              </w:rPr>
            </w:pPr>
            <w:r w:rsidRPr="00B75B77">
              <w:rPr>
                <w:sz w:val="18"/>
                <w:szCs w:val="18"/>
              </w:rPr>
              <w:t xml:space="preserve">Net Verified Demand </w:t>
            </w:r>
            <w:r w:rsidR="003E5592" w:rsidRPr="00B75B77">
              <w:rPr>
                <w:sz w:val="18"/>
                <w:szCs w:val="18"/>
              </w:rPr>
              <w:t>(</w:t>
            </w:r>
            <w:r w:rsidRPr="00B75B77">
              <w:rPr>
                <w:sz w:val="18"/>
                <w:szCs w:val="18"/>
              </w:rPr>
              <w:t>MW</w:t>
            </w:r>
            <w:r w:rsidR="003E5592" w:rsidRPr="00B75B77">
              <w:rPr>
                <w:sz w:val="18"/>
                <w:szCs w:val="18"/>
              </w:rPr>
              <w:t>)</w:t>
            </w:r>
          </w:p>
        </w:tc>
      </w:tr>
      <w:tr w:rsidR="008A2056" w:rsidRPr="00B75B77" w:rsidTr="003E5592">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right w:val="single" w:sz="8" w:space="0" w:color="448A99"/>
            </w:tcBorders>
            <w:vAlign w:val="center"/>
            <w:hideMark/>
          </w:tcPr>
          <w:p w:rsidR="008A2056" w:rsidRPr="00B75B77" w:rsidRDefault="008A2056" w:rsidP="003E5592">
            <w:pPr>
              <w:jc w:val="left"/>
              <w:rPr>
                <w:rFonts w:eastAsia="Times New Roman"/>
                <w:b w:val="0"/>
                <w:color w:val="000000"/>
                <w:sz w:val="18"/>
                <w:szCs w:val="18"/>
              </w:rPr>
            </w:pPr>
            <w:r w:rsidRPr="00B75B77">
              <w:rPr>
                <w:b w:val="0"/>
                <w:sz w:val="18"/>
                <w:szCs w:val="18"/>
              </w:rPr>
              <w:t xml:space="preserve">Small </w:t>
            </w:r>
            <w:r w:rsidR="003E5592" w:rsidRPr="00B75B77">
              <w:rPr>
                <w:b w:val="0"/>
                <w:sz w:val="18"/>
                <w:szCs w:val="18"/>
              </w:rPr>
              <w:t>C</w:t>
            </w:r>
            <w:r w:rsidR="0054073E" w:rsidRPr="00B75B77">
              <w:rPr>
                <w:b w:val="0"/>
                <w:sz w:val="18"/>
                <w:szCs w:val="18"/>
              </w:rPr>
              <w:t>&amp;I</w:t>
            </w:r>
          </w:p>
        </w:tc>
        <w:tc>
          <w:tcPr>
            <w:tcW w:w="0" w:type="auto"/>
            <w:tcBorders>
              <w:top w:val="single" w:sz="8" w:space="0" w:color="auto"/>
              <w:left w:val="single" w:sz="8" w:space="0" w:color="448A99"/>
              <w:right w:val="single" w:sz="8" w:space="0" w:color="448A99"/>
            </w:tcBorders>
            <w:vAlign w:val="center"/>
            <w:hideMark/>
          </w:tcPr>
          <w:p w:rsidR="008A2056" w:rsidRPr="00B75B77" w:rsidRDefault="008A2056" w:rsidP="003E5592">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75B77">
              <w:rPr>
                <w:sz w:val="18"/>
                <w:szCs w:val="18"/>
              </w:rPr>
              <w:t>9,129</w:t>
            </w:r>
          </w:p>
        </w:tc>
        <w:tc>
          <w:tcPr>
            <w:tcW w:w="0" w:type="auto"/>
            <w:tcBorders>
              <w:top w:val="single" w:sz="8" w:space="0" w:color="auto"/>
              <w:left w:val="single" w:sz="8" w:space="0" w:color="448A99"/>
              <w:right w:val="single" w:sz="8" w:space="0" w:color="448A99"/>
            </w:tcBorders>
            <w:vAlign w:val="center"/>
          </w:tcPr>
          <w:p w:rsidR="008A2056" w:rsidRPr="00B75B77" w:rsidRDefault="008A2056" w:rsidP="003E5592">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75B77">
              <w:rPr>
                <w:sz w:val="18"/>
                <w:szCs w:val="18"/>
              </w:rPr>
              <w:t>1.6</w:t>
            </w:r>
          </w:p>
        </w:tc>
        <w:tc>
          <w:tcPr>
            <w:tcW w:w="0" w:type="auto"/>
            <w:tcBorders>
              <w:top w:val="single" w:sz="8" w:space="0" w:color="auto"/>
              <w:left w:val="single" w:sz="8" w:space="0" w:color="448A99"/>
              <w:right w:val="single" w:sz="8" w:space="0" w:color="448A99"/>
            </w:tcBorders>
            <w:vAlign w:val="center"/>
          </w:tcPr>
          <w:p w:rsidR="008A2056" w:rsidRPr="00B75B77" w:rsidRDefault="008A2056" w:rsidP="003E5592">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75B77">
              <w:rPr>
                <w:sz w:val="18"/>
                <w:szCs w:val="18"/>
              </w:rPr>
              <w:t>0.31</w:t>
            </w:r>
          </w:p>
        </w:tc>
        <w:tc>
          <w:tcPr>
            <w:tcW w:w="0" w:type="auto"/>
            <w:tcBorders>
              <w:top w:val="single" w:sz="8" w:space="0" w:color="auto"/>
              <w:left w:val="single" w:sz="8" w:space="0" w:color="448A99"/>
              <w:right w:val="single" w:sz="8" w:space="0" w:color="448A99"/>
            </w:tcBorders>
            <w:vAlign w:val="center"/>
          </w:tcPr>
          <w:p w:rsidR="008A2056" w:rsidRPr="00B75B77" w:rsidRDefault="008A2056" w:rsidP="003E5592">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75B77">
              <w:rPr>
                <w:sz w:val="18"/>
                <w:szCs w:val="18"/>
              </w:rPr>
              <w:t>2,830</w:t>
            </w:r>
          </w:p>
        </w:tc>
        <w:tc>
          <w:tcPr>
            <w:tcW w:w="0" w:type="auto"/>
            <w:tcBorders>
              <w:top w:val="single" w:sz="8" w:space="0" w:color="auto"/>
              <w:left w:val="single" w:sz="8" w:space="0" w:color="448A99"/>
            </w:tcBorders>
            <w:vAlign w:val="center"/>
          </w:tcPr>
          <w:p w:rsidR="008A2056" w:rsidRPr="00B75B77" w:rsidRDefault="008A2056" w:rsidP="003E5592">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75B77">
              <w:rPr>
                <w:sz w:val="18"/>
                <w:szCs w:val="18"/>
              </w:rPr>
              <w:t>0.5</w:t>
            </w:r>
          </w:p>
        </w:tc>
      </w:tr>
      <w:tr w:rsidR="008A2056" w:rsidRPr="00B75B77" w:rsidTr="003E5592">
        <w:trPr>
          <w:cnfStyle w:val="000000010000" w:firstRow="0" w:lastRow="0" w:firstColumn="0" w:lastColumn="0" w:oddVBand="0" w:evenVBand="0" w:oddHBand="0" w:evenHBand="1"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8A99"/>
            </w:tcBorders>
            <w:vAlign w:val="center"/>
            <w:hideMark/>
          </w:tcPr>
          <w:p w:rsidR="008A2056" w:rsidRPr="00B75B77" w:rsidRDefault="008A2056" w:rsidP="003E5592">
            <w:pPr>
              <w:jc w:val="left"/>
              <w:rPr>
                <w:rFonts w:eastAsia="Times New Roman"/>
                <w:b w:val="0"/>
                <w:color w:val="000000"/>
                <w:sz w:val="18"/>
                <w:szCs w:val="18"/>
              </w:rPr>
            </w:pPr>
            <w:r w:rsidRPr="00B75B77">
              <w:rPr>
                <w:b w:val="0"/>
                <w:sz w:val="18"/>
                <w:szCs w:val="18"/>
              </w:rPr>
              <w:t xml:space="preserve">Large </w:t>
            </w:r>
            <w:r w:rsidR="003E5592" w:rsidRPr="00B75B77">
              <w:rPr>
                <w:b w:val="0"/>
                <w:sz w:val="18"/>
                <w:szCs w:val="18"/>
              </w:rPr>
              <w:t>C</w:t>
            </w:r>
            <w:r w:rsidR="0054073E" w:rsidRPr="00B75B77">
              <w:rPr>
                <w:b w:val="0"/>
                <w:sz w:val="18"/>
                <w:szCs w:val="18"/>
              </w:rPr>
              <w:t>&amp;I</w:t>
            </w:r>
          </w:p>
        </w:tc>
        <w:tc>
          <w:tcPr>
            <w:tcW w:w="0" w:type="auto"/>
            <w:tcBorders>
              <w:left w:val="single" w:sz="8" w:space="0" w:color="448A99"/>
              <w:right w:val="single" w:sz="8" w:space="0" w:color="448A99"/>
            </w:tcBorders>
            <w:vAlign w:val="center"/>
            <w:hideMark/>
          </w:tcPr>
          <w:p w:rsidR="008A2056" w:rsidRPr="00B75B77" w:rsidRDefault="008A2056" w:rsidP="003E5592">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B75B77">
              <w:rPr>
                <w:sz w:val="18"/>
                <w:szCs w:val="18"/>
              </w:rPr>
              <w:t>22,516</w:t>
            </w:r>
          </w:p>
        </w:tc>
        <w:tc>
          <w:tcPr>
            <w:tcW w:w="0" w:type="auto"/>
            <w:tcBorders>
              <w:left w:val="single" w:sz="8" w:space="0" w:color="448A99"/>
              <w:right w:val="single" w:sz="8" w:space="0" w:color="448A99"/>
            </w:tcBorders>
            <w:vAlign w:val="center"/>
          </w:tcPr>
          <w:p w:rsidR="008A2056" w:rsidRPr="00B75B77" w:rsidRDefault="008A2056" w:rsidP="003E5592">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B75B77">
              <w:rPr>
                <w:sz w:val="18"/>
                <w:szCs w:val="18"/>
              </w:rPr>
              <w:t>3.3</w:t>
            </w:r>
          </w:p>
        </w:tc>
        <w:tc>
          <w:tcPr>
            <w:tcW w:w="0" w:type="auto"/>
            <w:tcBorders>
              <w:left w:val="single" w:sz="8" w:space="0" w:color="448A99"/>
              <w:right w:val="single" w:sz="8" w:space="0" w:color="448A99"/>
            </w:tcBorders>
            <w:vAlign w:val="center"/>
          </w:tcPr>
          <w:p w:rsidR="008A2056" w:rsidRPr="00B75B77" w:rsidRDefault="008A2056" w:rsidP="003E5592">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B75B77">
              <w:rPr>
                <w:sz w:val="18"/>
                <w:szCs w:val="18"/>
              </w:rPr>
              <w:t>0.65</w:t>
            </w:r>
          </w:p>
        </w:tc>
        <w:tc>
          <w:tcPr>
            <w:tcW w:w="0" w:type="auto"/>
            <w:tcBorders>
              <w:left w:val="single" w:sz="8" w:space="0" w:color="448A99"/>
              <w:right w:val="single" w:sz="8" w:space="0" w:color="448A99"/>
            </w:tcBorders>
            <w:vAlign w:val="center"/>
          </w:tcPr>
          <w:p w:rsidR="008A2056" w:rsidRPr="00B75B77" w:rsidRDefault="008A2056" w:rsidP="003E5592">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B75B77">
              <w:rPr>
                <w:sz w:val="18"/>
                <w:szCs w:val="18"/>
              </w:rPr>
              <w:t>14,635</w:t>
            </w:r>
          </w:p>
        </w:tc>
        <w:tc>
          <w:tcPr>
            <w:tcW w:w="0" w:type="auto"/>
            <w:tcBorders>
              <w:left w:val="single" w:sz="8" w:space="0" w:color="448A99"/>
            </w:tcBorders>
            <w:vAlign w:val="center"/>
          </w:tcPr>
          <w:p w:rsidR="008A2056" w:rsidRPr="00B75B77" w:rsidRDefault="008A2056" w:rsidP="003E5592">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B75B77">
              <w:rPr>
                <w:sz w:val="18"/>
                <w:szCs w:val="18"/>
              </w:rPr>
              <w:t>2.1</w:t>
            </w:r>
          </w:p>
        </w:tc>
      </w:tr>
      <w:tr w:rsidR="008A2056" w:rsidRPr="00B75B77" w:rsidTr="003E5592">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8A99"/>
            </w:tcBorders>
            <w:vAlign w:val="center"/>
            <w:hideMark/>
          </w:tcPr>
          <w:p w:rsidR="008A2056" w:rsidRPr="00B75B77" w:rsidRDefault="008A2056" w:rsidP="003E5592">
            <w:pPr>
              <w:jc w:val="left"/>
              <w:rPr>
                <w:rFonts w:eastAsia="Times New Roman"/>
                <w:b w:val="0"/>
                <w:color w:val="000000"/>
                <w:sz w:val="18"/>
                <w:szCs w:val="18"/>
              </w:rPr>
            </w:pPr>
            <w:r w:rsidRPr="00B75B77">
              <w:rPr>
                <w:b w:val="0"/>
                <w:sz w:val="18"/>
                <w:szCs w:val="18"/>
              </w:rPr>
              <w:t>G</w:t>
            </w:r>
            <w:r w:rsidR="0054073E" w:rsidRPr="00B75B77">
              <w:rPr>
                <w:b w:val="0"/>
                <w:sz w:val="18"/>
                <w:szCs w:val="18"/>
              </w:rPr>
              <w:t>NI</w:t>
            </w:r>
          </w:p>
        </w:tc>
        <w:tc>
          <w:tcPr>
            <w:tcW w:w="0" w:type="auto"/>
            <w:tcBorders>
              <w:left w:val="single" w:sz="8" w:space="0" w:color="448A99"/>
              <w:right w:val="single" w:sz="8" w:space="0" w:color="448A99"/>
            </w:tcBorders>
            <w:vAlign w:val="center"/>
            <w:hideMark/>
          </w:tcPr>
          <w:p w:rsidR="008A2056" w:rsidRPr="00B75B77" w:rsidRDefault="008A2056" w:rsidP="003E5592">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75B77">
              <w:rPr>
                <w:sz w:val="18"/>
                <w:szCs w:val="18"/>
              </w:rPr>
              <w:t>11,703</w:t>
            </w:r>
          </w:p>
        </w:tc>
        <w:tc>
          <w:tcPr>
            <w:tcW w:w="0" w:type="auto"/>
            <w:tcBorders>
              <w:left w:val="single" w:sz="8" w:space="0" w:color="448A99"/>
              <w:right w:val="single" w:sz="8" w:space="0" w:color="448A99"/>
            </w:tcBorders>
            <w:vAlign w:val="center"/>
          </w:tcPr>
          <w:p w:rsidR="008A2056" w:rsidRPr="00B75B77" w:rsidRDefault="008A2056" w:rsidP="003E5592">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75B77">
              <w:rPr>
                <w:sz w:val="18"/>
                <w:szCs w:val="18"/>
              </w:rPr>
              <w:t>1.7</w:t>
            </w:r>
          </w:p>
        </w:tc>
        <w:tc>
          <w:tcPr>
            <w:tcW w:w="0" w:type="auto"/>
            <w:tcBorders>
              <w:left w:val="single" w:sz="8" w:space="0" w:color="448A99"/>
              <w:right w:val="single" w:sz="8" w:space="0" w:color="448A99"/>
            </w:tcBorders>
            <w:vAlign w:val="center"/>
          </w:tcPr>
          <w:p w:rsidR="008A2056" w:rsidRPr="00B75B77" w:rsidRDefault="008A2056" w:rsidP="003E5592">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75B77">
              <w:rPr>
                <w:sz w:val="18"/>
                <w:szCs w:val="18"/>
              </w:rPr>
              <w:t>0.65</w:t>
            </w:r>
          </w:p>
        </w:tc>
        <w:tc>
          <w:tcPr>
            <w:tcW w:w="0" w:type="auto"/>
            <w:tcBorders>
              <w:left w:val="single" w:sz="8" w:space="0" w:color="448A99"/>
              <w:right w:val="single" w:sz="8" w:space="0" w:color="448A99"/>
            </w:tcBorders>
            <w:vAlign w:val="center"/>
          </w:tcPr>
          <w:p w:rsidR="008A2056" w:rsidRPr="00B75B77" w:rsidRDefault="008A2056" w:rsidP="003E5592">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75B77">
              <w:rPr>
                <w:sz w:val="18"/>
                <w:szCs w:val="18"/>
              </w:rPr>
              <w:t>7,607</w:t>
            </w:r>
          </w:p>
        </w:tc>
        <w:tc>
          <w:tcPr>
            <w:tcW w:w="0" w:type="auto"/>
            <w:tcBorders>
              <w:left w:val="single" w:sz="8" w:space="0" w:color="448A99"/>
            </w:tcBorders>
            <w:vAlign w:val="center"/>
          </w:tcPr>
          <w:p w:rsidR="008A2056" w:rsidRPr="00B75B77" w:rsidRDefault="008A2056" w:rsidP="003E5592">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75B77">
              <w:rPr>
                <w:sz w:val="18"/>
                <w:szCs w:val="18"/>
              </w:rPr>
              <w:t>1.1</w:t>
            </w:r>
          </w:p>
        </w:tc>
      </w:tr>
      <w:tr w:rsidR="008A2056" w:rsidRPr="00B75B77" w:rsidTr="003E5592">
        <w:trPr>
          <w:cnfStyle w:val="000000010000" w:firstRow="0" w:lastRow="0" w:firstColumn="0" w:lastColumn="0" w:oddVBand="0" w:evenVBand="0" w:oddHBand="0" w:evenHBand="1"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right w:val="single" w:sz="8" w:space="0" w:color="448A99"/>
            </w:tcBorders>
            <w:vAlign w:val="center"/>
          </w:tcPr>
          <w:p w:rsidR="008A2056" w:rsidRPr="00B75B77" w:rsidRDefault="003E5592" w:rsidP="003E5592">
            <w:pPr>
              <w:jc w:val="left"/>
              <w:rPr>
                <w:rFonts w:eastAsia="Times New Roman"/>
                <w:color w:val="000000"/>
                <w:sz w:val="18"/>
                <w:szCs w:val="18"/>
              </w:rPr>
            </w:pPr>
            <w:r w:rsidRPr="00B75B77">
              <w:rPr>
                <w:sz w:val="18"/>
                <w:szCs w:val="18"/>
              </w:rPr>
              <w:t>TOTAL</w:t>
            </w:r>
          </w:p>
        </w:tc>
        <w:tc>
          <w:tcPr>
            <w:tcW w:w="0" w:type="auto"/>
            <w:tcBorders>
              <w:left w:val="single" w:sz="8" w:space="0" w:color="448A99"/>
              <w:bottom w:val="single" w:sz="4" w:space="0" w:color="auto"/>
              <w:right w:val="single" w:sz="8" w:space="0" w:color="448A99"/>
            </w:tcBorders>
            <w:vAlign w:val="center"/>
          </w:tcPr>
          <w:p w:rsidR="008A2056" w:rsidRPr="00B75B77" w:rsidRDefault="008A2056" w:rsidP="003E5592">
            <w:pPr>
              <w:jc w:val="center"/>
              <w:cnfStyle w:val="000000010000" w:firstRow="0" w:lastRow="0" w:firstColumn="0" w:lastColumn="0" w:oddVBand="0" w:evenVBand="0" w:oddHBand="0" w:evenHBand="1" w:firstRowFirstColumn="0" w:firstRowLastColumn="0" w:lastRowFirstColumn="0" w:lastRowLastColumn="0"/>
              <w:rPr>
                <w:rFonts w:eastAsia="Times New Roman"/>
                <w:b/>
                <w:color w:val="000000"/>
                <w:sz w:val="18"/>
                <w:szCs w:val="18"/>
              </w:rPr>
            </w:pPr>
            <w:r w:rsidRPr="00B75B77">
              <w:rPr>
                <w:b/>
                <w:sz w:val="18"/>
                <w:szCs w:val="18"/>
              </w:rPr>
              <w:t>43,348</w:t>
            </w:r>
          </w:p>
        </w:tc>
        <w:tc>
          <w:tcPr>
            <w:tcW w:w="0" w:type="auto"/>
            <w:tcBorders>
              <w:left w:val="single" w:sz="8" w:space="0" w:color="448A99"/>
              <w:bottom w:val="single" w:sz="4" w:space="0" w:color="auto"/>
              <w:right w:val="single" w:sz="8" w:space="0" w:color="448A99"/>
            </w:tcBorders>
            <w:vAlign w:val="center"/>
          </w:tcPr>
          <w:p w:rsidR="008A2056" w:rsidRPr="00B75B77" w:rsidRDefault="008A2056" w:rsidP="003E5592">
            <w:pPr>
              <w:jc w:val="center"/>
              <w:cnfStyle w:val="000000010000" w:firstRow="0" w:lastRow="0" w:firstColumn="0" w:lastColumn="0" w:oddVBand="0" w:evenVBand="0" w:oddHBand="0" w:evenHBand="1" w:firstRowFirstColumn="0" w:firstRowLastColumn="0" w:lastRowFirstColumn="0" w:lastRowLastColumn="0"/>
              <w:rPr>
                <w:rFonts w:eastAsia="Times New Roman"/>
                <w:b/>
                <w:color w:val="000000"/>
                <w:sz w:val="18"/>
                <w:szCs w:val="18"/>
              </w:rPr>
            </w:pPr>
            <w:r w:rsidRPr="00B75B77">
              <w:rPr>
                <w:b/>
                <w:sz w:val="18"/>
                <w:szCs w:val="18"/>
              </w:rPr>
              <w:t>6.6</w:t>
            </w:r>
          </w:p>
        </w:tc>
        <w:tc>
          <w:tcPr>
            <w:tcW w:w="0" w:type="auto"/>
            <w:tcBorders>
              <w:left w:val="single" w:sz="8" w:space="0" w:color="448A99"/>
              <w:bottom w:val="single" w:sz="4" w:space="0" w:color="auto"/>
              <w:right w:val="single" w:sz="8" w:space="0" w:color="448A99"/>
            </w:tcBorders>
            <w:vAlign w:val="center"/>
          </w:tcPr>
          <w:p w:rsidR="008A2056" w:rsidRPr="00B75B77" w:rsidRDefault="00976D8E" w:rsidP="003E5592">
            <w:pPr>
              <w:jc w:val="center"/>
              <w:cnfStyle w:val="000000010000" w:firstRow="0" w:lastRow="0" w:firstColumn="0" w:lastColumn="0" w:oddVBand="0" w:evenVBand="0" w:oddHBand="0" w:evenHBand="1" w:firstRowFirstColumn="0" w:firstRowLastColumn="0" w:lastRowFirstColumn="0" w:lastRowLastColumn="0"/>
              <w:rPr>
                <w:rFonts w:eastAsia="Times New Roman"/>
                <w:b/>
                <w:color w:val="000000"/>
                <w:sz w:val="18"/>
                <w:szCs w:val="18"/>
              </w:rPr>
            </w:pPr>
            <w:r w:rsidRPr="00B75B77">
              <w:rPr>
                <w:b/>
                <w:sz w:val="18"/>
                <w:szCs w:val="18"/>
              </w:rPr>
              <w:t>0.52</w:t>
            </w:r>
          </w:p>
        </w:tc>
        <w:tc>
          <w:tcPr>
            <w:tcW w:w="0" w:type="auto"/>
            <w:tcBorders>
              <w:left w:val="single" w:sz="8" w:space="0" w:color="448A99"/>
              <w:bottom w:val="single" w:sz="4" w:space="0" w:color="auto"/>
              <w:right w:val="single" w:sz="8" w:space="0" w:color="448A99"/>
            </w:tcBorders>
            <w:vAlign w:val="center"/>
          </w:tcPr>
          <w:p w:rsidR="008A2056" w:rsidRPr="00B75B77" w:rsidRDefault="008A2056" w:rsidP="003E5592">
            <w:pPr>
              <w:jc w:val="center"/>
              <w:cnfStyle w:val="000000010000" w:firstRow="0" w:lastRow="0" w:firstColumn="0" w:lastColumn="0" w:oddVBand="0" w:evenVBand="0" w:oddHBand="0" w:evenHBand="1" w:firstRowFirstColumn="0" w:firstRowLastColumn="0" w:lastRowFirstColumn="0" w:lastRowLastColumn="0"/>
              <w:rPr>
                <w:rFonts w:eastAsia="Times New Roman"/>
                <w:b/>
                <w:color w:val="000000"/>
                <w:sz w:val="18"/>
                <w:szCs w:val="18"/>
              </w:rPr>
            </w:pPr>
            <w:r w:rsidRPr="00B75B77">
              <w:rPr>
                <w:b/>
                <w:sz w:val="18"/>
                <w:szCs w:val="18"/>
              </w:rPr>
              <w:t>25,072</w:t>
            </w:r>
          </w:p>
        </w:tc>
        <w:tc>
          <w:tcPr>
            <w:tcW w:w="0" w:type="auto"/>
            <w:tcBorders>
              <w:left w:val="single" w:sz="8" w:space="0" w:color="448A99"/>
              <w:bottom w:val="single" w:sz="4" w:space="0" w:color="auto"/>
            </w:tcBorders>
            <w:vAlign w:val="center"/>
          </w:tcPr>
          <w:p w:rsidR="008A2056" w:rsidRPr="00B75B77" w:rsidRDefault="008A2056" w:rsidP="003E5592">
            <w:pPr>
              <w:jc w:val="center"/>
              <w:cnfStyle w:val="000000010000" w:firstRow="0" w:lastRow="0" w:firstColumn="0" w:lastColumn="0" w:oddVBand="0" w:evenVBand="0" w:oddHBand="0" w:evenHBand="1" w:firstRowFirstColumn="0" w:firstRowLastColumn="0" w:lastRowFirstColumn="0" w:lastRowLastColumn="0"/>
              <w:rPr>
                <w:rFonts w:eastAsia="Times New Roman"/>
                <w:b/>
                <w:color w:val="000000"/>
                <w:sz w:val="18"/>
                <w:szCs w:val="18"/>
              </w:rPr>
            </w:pPr>
            <w:r w:rsidRPr="00B75B77">
              <w:rPr>
                <w:b/>
                <w:sz w:val="18"/>
                <w:szCs w:val="18"/>
              </w:rPr>
              <w:t>3.7</w:t>
            </w:r>
          </w:p>
        </w:tc>
      </w:tr>
      <w:tr w:rsidR="008A2056" w:rsidRPr="00B75B77" w:rsidTr="003E5592">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448A99"/>
            <w:vAlign w:val="center"/>
            <w:hideMark/>
          </w:tcPr>
          <w:p w:rsidR="008A2056" w:rsidRPr="00B75B77" w:rsidRDefault="008A2056" w:rsidP="003E5592">
            <w:pPr>
              <w:jc w:val="left"/>
              <w:rPr>
                <w:rFonts w:eastAsia="Times New Roman"/>
                <w:bCs w:val="0"/>
                <w:caps/>
                <w:color w:val="FFFFFF" w:themeColor="background1"/>
                <w:sz w:val="18"/>
                <w:szCs w:val="18"/>
              </w:rPr>
            </w:pPr>
            <w:r w:rsidRPr="00B75B77">
              <w:rPr>
                <w:color w:val="FFFFFF" w:themeColor="background1"/>
                <w:sz w:val="18"/>
                <w:szCs w:val="18"/>
              </w:rPr>
              <w:t>PY7</w:t>
            </w:r>
          </w:p>
        </w:tc>
        <w:tc>
          <w:tcPr>
            <w:tcW w:w="0" w:type="auto"/>
            <w:tcBorders>
              <w:top w:val="single" w:sz="4" w:space="0" w:color="auto"/>
              <w:left w:val="single" w:sz="4" w:space="0" w:color="auto"/>
              <w:bottom w:val="single" w:sz="4" w:space="0" w:color="auto"/>
              <w:right w:val="single" w:sz="4" w:space="0" w:color="auto"/>
            </w:tcBorders>
            <w:shd w:val="clear" w:color="auto" w:fill="448A99"/>
            <w:vAlign w:val="center"/>
            <w:hideMark/>
          </w:tcPr>
          <w:p w:rsidR="008A2056" w:rsidRPr="00B75B77" w:rsidRDefault="0061553F" w:rsidP="003E5592">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sz w:val="18"/>
                <w:szCs w:val="18"/>
              </w:rPr>
            </w:pPr>
            <w:r w:rsidRPr="00B75B77">
              <w:rPr>
                <w:b/>
                <w:color w:val="FFFFFF" w:themeColor="background1"/>
                <w:sz w:val="18"/>
                <w:szCs w:val="18"/>
              </w:rPr>
              <w:t>Gross Verified Energy (MWh)</w:t>
            </w:r>
          </w:p>
        </w:tc>
        <w:tc>
          <w:tcPr>
            <w:tcW w:w="0" w:type="auto"/>
            <w:tcBorders>
              <w:top w:val="single" w:sz="4" w:space="0" w:color="auto"/>
              <w:left w:val="single" w:sz="4" w:space="0" w:color="auto"/>
              <w:bottom w:val="single" w:sz="4" w:space="0" w:color="auto"/>
              <w:right w:val="single" w:sz="4" w:space="0" w:color="auto"/>
            </w:tcBorders>
            <w:shd w:val="clear" w:color="auto" w:fill="448A99"/>
            <w:vAlign w:val="center"/>
          </w:tcPr>
          <w:p w:rsidR="008A2056" w:rsidRPr="00B75B77" w:rsidRDefault="0061553F" w:rsidP="003E5592">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sz w:val="18"/>
                <w:szCs w:val="18"/>
              </w:rPr>
            </w:pPr>
            <w:r w:rsidRPr="00B75B77">
              <w:rPr>
                <w:b/>
                <w:color w:val="FFFFFF" w:themeColor="background1"/>
                <w:sz w:val="18"/>
                <w:szCs w:val="18"/>
              </w:rPr>
              <w:t>Gross Verified Demand (MW)</w:t>
            </w:r>
          </w:p>
        </w:tc>
        <w:tc>
          <w:tcPr>
            <w:tcW w:w="0" w:type="auto"/>
            <w:tcBorders>
              <w:top w:val="single" w:sz="4" w:space="0" w:color="auto"/>
              <w:left w:val="single" w:sz="4" w:space="0" w:color="auto"/>
              <w:bottom w:val="single" w:sz="4" w:space="0" w:color="auto"/>
              <w:right w:val="single" w:sz="4" w:space="0" w:color="auto"/>
            </w:tcBorders>
            <w:shd w:val="clear" w:color="auto" w:fill="448A99"/>
            <w:vAlign w:val="center"/>
          </w:tcPr>
          <w:p w:rsidR="008A2056" w:rsidRPr="00B75B77" w:rsidRDefault="008A2056" w:rsidP="003E5592">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sz w:val="18"/>
                <w:szCs w:val="18"/>
              </w:rPr>
            </w:pPr>
            <w:r w:rsidRPr="00B75B77">
              <w:rPr>
                <w:b/>
                <w:color w:val="FFFFFF" w:themeColor="background1"/>
                <w:sz w:val="18"/>
                <w:szCs w:val="18"/>
              </w:rPr>
              <w:t>NTG (from PY6)</w:t>
            </w:r>
          </w:p>
        </w:tc>
        <w:tc>
          <w:tcPr>
            <w:tcW w:w="0" w:type="auto"/>
            <w:tcBorders>
              <w:top w:val="single" w:sz="4" w:space="0" w:color="auto"/>
              <w:left w:val="single" w:sz="4" w:space="0" w:color="auto"/>
              <w:bottom w:val="single" w:sz="4" w:space="0" w:color="auto"/>
              <w:right w:val="single" w:sz="4" w:space="0" w:color="auto"/>
            </w:tcBorders>
            <w:shd w:val="clear" w:color="auto" w:fill="448A99"/>
            <w:vAlign w:val="center"/>
          </w:tcPr>
          <w:p w:rsidR="008A2056" w:rsidRPr="00B75B77" w:rsidRDefault="0061553F" w:rsidP="003E5592">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sz w:val="18"/>
                <w:szCs w:val="18"/>
              </w:rPr>
            </w:pPr>
            <w:r w:rsidRPr="00B75B77">
              <w:rPr>
                <w:b/>
                <w:color w:val="FFFFFF" w:themeColor="background1"/>
                <w:sz w:val="18"/>
                <w:szCs w:val="18"/>
              </w:rPr>
              <w:t>Net Verified Energy (MWh)</w:t>
            </w:r>
          </w:p>
        </w:tc>
        <w:tc>
          <w:tcPr>
            <w:tcW w:w="0" w:type="auto"/>
            <w:tcBorders>
              <w:top w:val="single" w:sz="4" w:space="0" w:color="auto"/>
              <w:left w:val="single" w:sz="4" w:space="0" w:color="auto"/>
              <w:bottom w:val="single" w:sz="4" w:space="0" w:color="auto"/>
              <w:right w:val="single" w:sz="4" w:space="0" w:color="auto"/>
            </w:tcBorders>
            <w:shd w:val="clear" w:color="auto" w:fill="448A99"/>
            <w:vAlign w:val="center"/>
          </w:tcPr>
          <w:p w:rsidR="008A2056" w:rsidRPr="00B75B77" w:rsidRDefault="0061553F" w:rsidP="003E5592">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sz w:val="18"/>
                <w:szCs w:val="18"/>
              </w:rPr>
            </w:pPr>
            <w:r w:rsidRPr="00B75B77">
              <w:rPr>
                <w:b/>
                <w:color w:val="FFFFFF" w:themeColor="background1"/>
                <w:sz w:val="18"/>
                <w:szCs w:val="18"/>
              </w:rPr>
              <w:t>Net Verified Demand (MW)</w:t>
            </w:r>
          </w:p>
        </w:tc>
      </w:tr>
      <w:tr w:rsidR="008A2056" w:rsidRPr="00B75B77" w:rsidTr="003E5592">
        <w:trPr>
          <w:cnfStyle w:val="000000010000" w:firstRow="0" w:lastRow="0" w:firstColumn="0" w:lastColumn="0" w:oddVBand="0" w:evenVBand="0" w:oddHBand="0" w:evenHBand="1"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8" w:space="0" w:color="448A99"/>
            </w:tcBorders>
            <w:vAlign w:val="center"/>
          </w:tcPr>
          <w:p w:rsidR="008A2056" w:rsidRPr="00B75B77" w:rsidRDefault="008A2056" w:rsidP="003E5592">
            <w:pPr>
              <w:jc w:val="left"/>
              <w:rPr>
                <w:rFonts w:eastAsia="Times New Roman"/>
                <w:b w:val="0"/>
                <w:bCs w:val="0"/>
                <w:caps/>
                <w:color w:val="000000"/>
                <w:sz w:val="18"/>
                <w:szCs w:val="18"/>
              </w:rPr>
            </w:pPr>
            <w:r w:rsidRPr="00B75B77">
              <w:rPr>
                <w:b w:val="0"/>
                <w:sz w:val="18"/>
                <w:szCs w:val="18"/>
              </w:rPr>
              <w:t xml:space="preserve">Small </w:t>
            </w:r>
            <w:r w:rsidR="003E5592" w:rsidRPr="00B75B77">
              <w:rPr>
                <w:b w:val="0"/>
                <w:sz w:val="18"/>
                <w:szCs w:val="18"/>
              </w:rPr>
              <w:t>C</w:t>
            </w:r>
            <w:r w:rsidR="0054073E" w:rsidRPr="00B75B77">
              <w:rPr>
                <w:b w:val="0"/>
                <w:sz w:val="18"/>
                <w:szCs w:val="18"/>
              </w:rPr>
              <w:t>&amp;I</w:t>
            </w:r>
          </w:p>
        </w:tc>
        <w:tc>
          <w:tcPr>
            <w:tcW w:w="0" w:type="auto"/>
            <w:tcBorders>
              <w:top w:val="single" w:sz="4" w:space="0" w:color="auto"/>
              <w:left w:val="single" w:sz="8" w:space="0" w:color="448A99"/>
              <w:right w:val="single" w:sz="8" w:space="0" w:color="448A99"/>
            </w:tcBorders>
            <w:vAlign w:val="center"/>
          </w:tcPr>
          <w:p w:rsidR="008A2056" w:rsidRPr="00B75B77" w:rsidRDefault="008A2056" w:rsidP="003E5592">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B75B77">
              <w:rPr>
                <w:sz w:val="18"/>
                <w:szCs w:val="18"/>
              </w:rPr>
              <w:t>5,160</w:t>
            </w:r>
          </w:p>
        </w:tc>
        <w:tc>
          <w:tcPr>
            <w:tcW w:w="0" w:type="auto"/>
            <w:tcBorders>
              <w:top w:val="single" w:sz="4" w:space="0" w:color="auto"/>
              <w:left w:val="single" w:sz="8" w:space="0" w:color="448A99"/>
              <w:right w:val="single" w:sz="8" w:space="0" w:color="448A99"/>
            </w:tcBorders>
            <w:vAlign w:val="center"/>
          </w:tcPr>
          <w:p w:rsidR="008A2056" w:rsidRPr="00B75B77" w:rsidRDefault="008A2056" w:rsidP="003E5592">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B75B77">
              <w:rPr>
                <w:sz w:val="18"/>
                <w:szCs w:val="18"/>
              </w:rPr>
              <w:t>0.9</w:t>
            </w:r>
          </w:p>
        </w:tc>
        <w:tc>
          <w:tcPr>
            <w:tcW w:w="0" w:type="auto"/>
            <w:tcBorders>
              <w:top w:val="single" w:sz="4" w:space="0" w:color="auto"/>
              <w:left w:val="single" w:sz="8" w:space="0" w:color="448A99"/>
              <w:right w:val="single" w:sz="8" w:space="0" w:color="448A99"/>
            </w:tcBorders>
            <w:vAlign w:val="center"/>
          </w:tcPr>
          <w:p w:rsidR="008A2056" w:rsidRPr="00B75B77" w:rsidRDefault="008A2056" w:rsidP="003E5592">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B75B77">
              <w:rPr>
                <w:sz w:val="18"/>
                <w:szCs w:val="18"/>
              </w:rPr>
              <w:t>0.31</w:t>
            </w:r>
          </w:p>
        </w:tc>
        <w:tc>
          <w:tcPr>
            <w:tcW w:w="0" w:type="auto"/>
            <w:tcBorders>
              <w:top w:val="single" w:sz="4" w:space="0" w:color="auto"/>
              <w:left w:val="single" w:sz="8" w:space="0" w:color="448A99"/>
              <w:right w:val="single" w:sz="8" w:space="0" w:color="448A99"/>
            </w:tcBorders>
            <w:vAlign w:val="center"/>
          </w:tcPr>
          <w:p w:rsidR="008A2056" w:rsidRPr="00B75B77" w:rsidRDefault="008A2056" w:rsidP="003E5592">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B75B77">
              <w:rPr>
                <w:sz w:val="18"/>
                <w:szCs w:val="18"/>
              </w:rPr>
              <w:t>1,600</w:t>
            </w:r>
          </w:p>
        </w:tc>
        <w:tc>
          <w:tcPr>
            <w:tcW w:w="0" w:type="auto"/>
            <w:tcBorders>
              <w:top w:val="single" w:sz="4" w:space="0" w:color="auto"/>
              <w:left w:val="single" w:sz="8" w:space="0" w:color="448A99"/>
            </w:tcBorders>
            <w:vAlign w:val="center"/>
          </w:tcPr>
          <w:p w:rsidR="008A2056" w:rsidRPr="00B75B77" w:rsidRDefault="008A2056" w:rsidP="003E5592">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B75B77">
              <w:rPr>
                <w:sz w:val="18"/>
                <w:szCs w:val="18"/>
              </w:rPr>
              <w:t>0.3</w:t>
            </w:r>
          </w:p>
        </w:tc>
      </w:tr>
      <w:tr w:rsidR="008A2056" w:rsidRPr="00B75B77" w:rsidTr="003E5592">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8A99"/>
            </w:tcBorders>
            <w:vAlign w:val="center"/>
          </w:tcPr>
          <w:p w:rsidR="008A2056" w:rsidRPr="00B75B77" w:rsidRDefault="008A2056" w:rsidP="003E5592">
            <w:pPr>
              <w:jc w:val="left"/>
              <w:rPr>
                <w:b w:val="0"/>
                <w:sz w:val="18"/>
                <w:szCs w:val="18"/>
              </w:rPr>
            </w:pPr>
            <w:r w:rsidRPr="00B75B77">
              <w:rPr>
                <w:b w:val="0"/>
                <w:sz w:val="18"/>
                <w:szCs w:val="18"/>
              </w:rPr>
              <w:t xml:space="preserve">Large </w:t>
            </w:r>
            <w:r w:rsidR="003E5592" w:rsidRPr="00B75B77">
              <w:rPr>
                <w:b w:val="0"/>
                <w:sz w:val="18"/>
                <w:szCs w:val="18"/>
              </w:rPr>
              <w:t>C</w:t>
            </w:r>
            <w:r w:rsidR="0054073E" w:rsidRPr="00B75B77">
              <w:rPr>
                <w:b w:val="0"/>
                <w:sz w:val="18"/>
                <w:szCs w:val="18"/>
              </w:rPr>
              <w:t>&amp;I</w:t>
            </w:r>
          </w:p>
        </w:tc>
        <w:tc>
          <w:tcPr>
            <w:tcW w:w="0" w:type="auto"/>
            <w:tcBorders>
              <w:left w:val="single" w:sz="8" w:space="0" w:color="448A99"/>
              <w:right w:val="single" w:sz="8" w:space="0" w:color="448A99"/>
            </w:tcBorders>
            <w:vAlign w:val="center"/>
          </w:tcPr>
          <w:p w:rsidR="008A2056" w:rsidRPr="00B75B77" w:rsidRDefault="008A2056" w:rsidP="003E5592">
            <w:pPr>
              <w:jc w:val="center"/>
              <w:cnfStyle w:val="000000100000" w:firstRow="0" w:lastRow="0" w:firstColumn="0" w:lastColumn="0" w:oddVBand="0" w:evenVBand="0" w:oddHBand="1" w:evenHBand="0" w:firstRowFirstColumn="0" w:firstRowLastColumn="0" w:lastRowFirstColumn="0" w:lastRowLastColumn="0"/>
              <w:rPr>
                <w:i/>
                <w:sz w:val="18"/>
                <w:szCs w:val="18"/>
              </w:rPr>
            </w:pPr>
            <w:r w:rsidRPr="00B75B77">
              <w:rPr>
                <w:sz w:val="18"/>
                <w:szCs w:val="18"/>
              </w:rPr>
              <w:t>11,427</w:t>
            </w:r>
          </w:p>
        </w:tc>
        <w:tc>
          <w:tcPr>
            <w:tcW w:w="0" w:type="auto"/>
            <w:tcBorders>
              <w:left w:val="single" w:sz="8" w:space="0" w:color="448A99"/>
              <w:right w:val="single" w:sz="8" w:space="0" w:color="448A99"/>
            </w:tcBorders>
            <w:vAlign w:val="center"/>
          </w:tcPr>
          <w:p w:rsidR="008A2056" w:rsidRPr="00B75B77" w:rsidRDefault="008A2056" w:rsidP="003E5592">
            <w:pPr>
              <w:jc w:val="center"/>
              <w:cnfStyle w:val="000000100000" w:firstRow="0" w:lastRow="0" w:firstColumn="0" w:lastColumn="0" w:oddVBand="0" w:evenVBand="0" w:oddHBand="1" w:evenHBand="0" w:firstRowFirstColumn="0" w:firstRowLastColumn="0" w:lastRowFirstColumn="0" w:lastRowLastColumn="0"/>
              <w:rPr>
                <w:i/>
                <w:sz w:val="18"/>
                <w:szCs w:val="18"/>
              </w:rPr>
            </w:pPr>
            <w:r w:rsidRPr="00B75B77">
              <w:rPr>
                <w:sz w:val="18"/>
                <w:szCs w:val="18"/>
              </w:rPr>
              <w:t>1.7</w:t>
            </w:r>
          </w:p>
        </w:tc>
        <w:tc>
          <w:tcPr>
            <w:tcW w:w="0" w:type="auto"/>
            <w:tcBorders>
              <w:left w:val="single" w:sz="8" w:space="0" w:color="448A99"/>
              <w:right w:val="single" w:sz="8" w:space="0" w:color="448A99"/>
            </w:tcBorders>
            <w:vAlign w:val="center"/>
          </w:tcPr>
          <w:p w:rsidR="008A2056" w:rsidRPr="00B75B77" w:rsidRDefault="008A2056" w:rsidP="003E5592">
            <w:pPr>
              <w:jc w:val="center"/>
              <w:cnfStyle w:val="000000100000" w:firstRow="0" w:lastRow="0" w:firstColumn="0" w:lastColumn="0" w:oddVBand="0" w:evenVBand="0" w:oddHBand="1" w:evenHBand="0" w:firstRowFirstColumn="0" w:firstRowLastColumn="0" w:lastRowFirstColumn="0" w:lastRowLastColumn="0"/>
              <w:rPr>
                <w:i/>
                <w:sz w:val="18"/>
                <w:szCs w:val="18"/>
              </w:rPr>
            </w:pPr>
            <w:r w:rsidRPr="00B75B77">
              <w:rPr>
                <w:sz w:val="18"/>
                <w:szCs w:val="18"/>
              </w:rPr>
              <w:t>0.65</w:t>
            </w:r>
          </w:p>
        </w:tc>
        <w:tc>
          <w:tcPr>
            <w:tcW w:w="0" w:type="auto"/>
            <w:tcBorders>
              <w:left w:val="single" w:sz="8" w:space="0" w:color="448A99"/>
              <w:right w:val="single" w:sz="8" w:space="0" w:color="448A99"/>
            </w:tcBorders>
            <w:vAlign w:val="center"/>
          </w:tcPr>
          <w:p w:rsidR="008A2056" w:rsidRPr="00B75B77" w:rsidRDefault="008A2056" w:rsidP="003E5592">
            <w:pPr>
              <w:jc w:val="center"/>
              <w:cnfStyle w:val="000000100000" w:firstRow="0" w:lastRow="0" w:firstColumn="0" w:lastColumn="0" w:oddVBand="0" w:evenVBand="0" w:oddHBand="1" w:evenHBand="0" w:firstRowFirstColumn="0" w:firstRowLastColumn="0" w:lastRowFirstColumn="0" w:lastRowLastColumn="0"/>
              <w:rPr>
                <w:i/>
                <w:sz w:val="18"/>
                <w:szCs w:val="18"/>
              </w:rPr>
            </w:pPr>
            <w:r w:rsidRPr="00B75B77">
              <w:rPr>
                <w:sz w:val="18"/>
                <w:szCs w:val="18"/>
              </w:rPr>
              <w:t>7,</w:t>
            </w:r>
            <w:r w:rsidR="00B343FA" w:rsidRPr="00B75B77">
              <w:rPr>
                <w:sz w:val="18"/>
                <w:szCs w:val="18"/>
              </w:rPr>
              <w:t>428</w:t>
            </w:r>
          </w:p>
        </w:tc>
        <w:tc>
          <w:tcPr>
            <w:tcW w:w="0" w:type="auto"/>
            <w:tcBorders>
              <w:left w:val="single" w:sz="8" w:space="0" w:color="448A99"/>
            </w:tcBorders>
            <w:vAlign w:val="center"/>
          </w:tcPr>
          <w:p w:rsidR="008A2056" w:rsidRPr="00B75B77" w:rsidRDefault="008A2056" w:rsidP="003E5592">
            <w:pPr>
              <w:jc w:val="center"/>
              <w:cnfStyle w:val="000000100000" w:firstRow="0" w:lastRow="0" w:firstColumn="0" w:lastColumn="0" w:oddVBand="0" w:evenVBand="0" w:oddHBand="1" w:evenHBand="0" w:firstRowFirstColumn="0" w:firstRowLastColumn="0" w:lastRowFirstColumn="0" w:lastRowLastColumn="0"/>
              <w:rPr>
                <w:i/>
                <w:sz w:val="18"/>
                <w:szCs w:val="18"/>
              </w:rPr>
            </w:pPr>
            <w:r w:rsidRPr="00B75B77">
              <w:rPr>
                <w:sz w:val="18"/>
                <w:szCs w:val="18"/>
              </w:rPr>
              <w:t>1.1</w:t>
            </w:r>
          </w:p>
        </w:tc>
      </w:tr>
      <w:tr w:rsidR="008A2056" w:rsidRPr="00B75B77" w:rsidTr="003E5592">
        <w:trPr>
          <w:cnfStyle w:val="000000010000" w:firstRow="0" w:lastRow="0" w:firstColumn="0" w:lastColumn="0" w:oddVBand="0" w:evenVBand="0" w:oddHBand="0" w:evenHBand="1"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8A99"/>
            </w:tcBorders>
            <w:vAlign w:val="center"/>
          </w:tcPr>
          <w:p w:rsidR="008A2056" w:rsidRPr="00B75B77" w:rsidRDefault="008A2056" w:rsidP="003E5592">
            <w:pPr>
              <w:jc w:val="left"/>
              <w:rPr>
                <w:b w:val="0"/>
                <w:sz w:val="18"/>
                <w:szCs w:val="18"/>
              </w:rPr>
            </w:pPr>
            <w:r w:rsidRPr="00B75B77">
              <w:rPr>
                <w:b w:val="0"/>
                <w:sz w:val="18"/>
                <w:szCs w:val="18"/>
              </w:rPr>
              <w:t>G</w:t>
            </w:r>
            <w:r w:rsidR="0054073E" w:rsidRPr="00B75B77">
              <w:rPr>
                <w:b w:val="0"/>
                <w:sz w:val="18"/>
                <w:szCs w:val="18"/>
              </w:rPr>
              <w:t>NI</w:t>
            </w:r>
          </w:p>
        </w:tc>
        <w:tc>
          <w:tcPr>
            <w:tcW w:w="0" w:type="auto"/>
            <w:tcBorders>
              <w:left w:val="single" w:sz="8" w:space="0" w:color="448A99"/>
              <w:right w:val="single" w:sz="8" w:space="0" w:color="448A99"/>
            </w:tcBorders>
            <w:vAlign w:val="center"/>
          </w:tcPr>
          <w:p w:rsidR="008A2056" w:rsidRPr="00B75B77" w:rsidRDefault="008A2056" w:rsidP="003E5592">
            <w:pPr>
              <w:jc w:val="center"/>
              <w:cnfStyle w:val="000000010000" w:firstRow="0" w:lastRow="0" w:firstColumn="0" w:lastColumn="0" w:oddVBand="0" w:evenVBand="0" w:oddHBand="0" w:evenHBand="1" w:firstRowFirstColumn="0" w:firstRowLastColumn="0" w:lastRowFirstColumn="0" w:lastRowLastColumn="0"/>
              <w:rPr>
                <w:i/>
                <w:sz w:val="18"/>
                <w:szCs w:val="18"/>
              </w:rPr>
            </w:pPr>
            <w:r w:rsidRPr="00B75B77">
              <w:rPr>
                <w:sz w:val="18"/>
                <w:szCs w:val="18"/>
              </w:rPr>
              <w:t>6,409</w:t>
            </w:r>
          </w:p>
        </w:tc>
        <w:tc>
          <w:tcPr>
            <w:tcW w:w="0" w:type="auto"/>
            <w:tcBorders>
              <w:left w:val="single" w:sz="8" w:space="0" w:color="448A99"/>
              <w:right w:val="single" w:sz="8" w:space="0" w:color="448A99"/>
            </w:tcBorders>
            <w:vAlign w:val="center"/>
          </w:tcPr>
          <w:p w:rsidR="008A2056" w:rsidRPr="00B75B77" w:rsidRDefault="008A2056" w:rsidP="003E5592">
            <w:pPr>
              <w:jc w:val="center"/>
              <w:cnfStyle w:val="000000010000" w:firstRow="0" w:lastRow="0" w:firstColumn="0" w:lastColumn="0" w:oddVBand="0" w:evenVBand="0" w:oddHBand="0" w:evenHBand="1" w:firstRowFirstColumn="0" w:firstRowLastColumn="0" w:lastRowFirstColumn="0" w:lastRowLastColumn="0"/>
              <w:rPr>
                <w:i/>
                <w:sz w:val="18"/>
                <w:szCs w:val="18"/>
              </w:rPr>
            </w:pPr>
            <w:r w:rsidRPr="00B75B77">
              <w:rPr>
                <w:sz w:val="18"/>
                <w:szCs w:val="18"/>
              </w:rPr>
              <w:t>1.0</w:t>
            </w:r>
          </w:p>
        </w:tc>
        <w:tc>
          <w:tcPr>
            <w:tcW w:w="0" w:type="auto"/>
            <w:tcBorders>
              <w:left w:val="single" w:sz="8" w:space="0" w:color="448A99"/>
              <w:right w:val="single" w:sz="8" w:space="0" w:color="448A99"/>
            </w:tcBorders>
            <w:vAlign w:val="center"/>
          </w:tcPr>
          <w:p w:rsidR="008A2056" w:rsidRPr="00B75B77" w:rsidRDefault="008A2056" w:rsidP="003E5592">
            <w:pPr>
              <w:jc w:val="center"/>
              <w:cnfStyle w:val="000000010000" w:firstRow="0" w:lastRow="0" w:firstColumn="0" w:lastColumn="0" w:oddVBand="0" w:evenVBand="0" w:oddHBand="0" w:evenHBand="1" w:firstRowFirstColumn="0" w:firstRowLastColumn="0" w:lastRowFirstColumn="0" w:lastRowLastColumn="0"/>
              <w:rPr>
                <w:i/>
                <w:sz w:val="18"/>
                <w:szCs w:val="18"/>
              </w:rPr>
            </w:pPr>
            <w:r w:rsidRPr="00B75B77">
              <w:rPr>
                <w:sz w:val="18"/>
                <w:szCs w:val="18"/>
              </w:rPr>
              <w:t>0.65</w:t>
            </w:r>
          </w:p>
        </w:tc>
        <w:tc>
          <w:tcPr>
            <w:tcW w:w="0" w:type="auto"/>
            <w:tcBorders>
              <w:left w:val="single" w:sz="8" w:space="0" w:color="448A99"/>
              <w:right w:val="single" w:sz="8" w:space="0" w:color="448A99"/>
            </w:tcBorders>
            <w:vAlign w:val="center"/>
          </w:tcPr>
          <w:p w:rsidR="008A2056" w:rsidRPr="00B75B77" w:rsidRDefault="008A2056" w:rsidP="003E5592">
            <w:pPr>
              <w:jc w:val="center"/>
              <w:cnfStyle w:val="000000010000" w:firstRow="0" w:lastRow="0" w:firstColumn="0" w:lastColumn="0" w:oddVBand="0" w:evenVBand="0" w:oddHBand="0" w:evenHBand="1" w:firstRowFirstColumn="0" w:firstRowLastColumn="0" w:lastRowFirstColumn="0" w:lastRowLastColumn="0"/>
              <w:rPr>
                <w:i/>
                <w:sz w:val="18"/>
                <w:szCs w:val="18"/>
              </w:rPr>
            </w:pPr>
            <w:r w:rsidRPr="00B75B77">
              <w:rPr>
                <w:sz w:val="18"/>
                <w:szCs w:val="18"/>
              </w:rPr>
              <w:t>4,166</w:t>
            </w:r>
          </w:p>
        </w:tc>
        <w:tc>
          <w:tcPr>
            <w:tcW w:w="0" w:type="auto"/>
            <w:tcBorders>
              <w:left w:val="single" w:sz="8" w:space="0" w:color="448A99"/>
            </w:tcBorders>
            <w:vAlign w:val="center"/>
          </w:tcPr>
          <w:p w:rsidR="008A2056" w:rsidRPr="00B75B77" w:rsidRDefault="008A2056" w:rsidP="003E5592">
            <w:pPr>
              <w:jc w:val="center"/>
              <w:cnfStyle w:val="000000010000" w:firstRow="0" w:lastRow="0" w:firstColumn="0" w:lastColumn="0" w:oddVBand="0" w:evenVBand="0" w:oddHBand="0" w:evenHBand="1" w:firstRowFirstColumn="0" w:firstRowLastColumn="0" w:lastRowFirstColumn="0" w:lastRowLastColumn="0"/>
              <w:rPr>
                <w:i/>
                <w:sz w:val="18"/>
                <w:szCs w:val="18"/>
              </w:rPr>
            </w:pPr>
            <w:r w:rsidRPr="00B75B77">
              <w:rPr>
                <w:sz w:val="18"/>
                <w:szCs w:val="18"/>
              </w:rPr>
              <w:t>0.7</w:t>
            </w:r>
          </w:p>
        </w:tc>
      </w:tr>
      <w:tr w:rsidR="008A2056" w:rsidRPr="00B75B77" w:rsidTr="003E5592">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8A99"/>
            </w:tcBorders>
            <w:vAlign w:val="center"/>
          </w:tcPr>
          <w:p w:rsidR="008A2056" w:rsidRPr="00B75B77" w:rsidRDefault="003E5592" w:rsidP="003E5592">
            <w:pPr>
              <w:jc w:val="left"/>
              <w:rPr>
                <w:sz w:val="18"/>
                <w:szCs w:val="18"/>
              </w:rPr>
            </w:pPr>
            <w:r w:rsidRPr="00B75B77">
              <w:rPr>
                <w:sz w:val="18"/>
                <w:szCs w:val="18"/>
              </w:rPr>
              <w:t>TOTAL</w:t>
            </w:r>
          </w:p>
        </w:tc>
        <w:tc>
          <w:tcPr>
            <w:tcW w:w="0" w:type="auto"/>
            <w:tcBorders>
              <w:left w:val="single" w:sz="8" w:space="0" w:color="448A99"/>
              <w:right w:val="single" w:sz="8" w:space="0" w:color="448A99"/>
            </w:tcBorders>
            <w:vAlign w:val="center"/>
          </w:tcPr>
          <w:p w:rsidR="008A2056" w:rsidRPr="00B75B77" w:rsidRDefault="008A2056" w:rsidP="003E5592">
            <w:pPr>
              <w:jc w:val="center"/>
              <w:cnfStyle w:val="000000100000" w:firstRow="0" w:lastRow="0" w:firstColumn="0" w:lastColumn="0" w:oddVBand="0" w:evenVBand="0" w:oddHBand="1" w:evenHBand="0" w:firstRowFirstColumn="0" w:firstRowLastColumn="0" w:lastRowFirstColumn="0" w:lastRowLastColumn="0"/>
              <w:rPr>
                <w:b/>
                <w:i/>
                <w:sz w:val="18"/>
                <w:szCs w:val="18"/>
              </w:rPr>
            </w:pPr>
            <w:r w:rsidRPr="00B75B77">
              <w:rPr>
                <w:b/>
                <w:sz w:val="18"/>
                <w:szCs w:val="18"/>
              </w:rPr>
              <w:t>22,995</w:t>
            </w:r>
          </w:p>
        </w:tc>
        <w:tc>
          <w:tcPr>
            <w:tcW w:w="0" w:type="auto"/>
            <w:tcBorders>
              <w:left w:val="single" w:sz="8" w:space="0" w:color="448A99"/>
              <w:right w:val="single" w:sz="8" w:space="0" w:color="448A99"/>
            </w:tcBorders>
            <w:vAlign w:val="center"/>
          </w:tcPr>
          <w:p w:rsidR="008A2056" w:rsidRPr="00B75B77" w:rsidRDefault="008A2056" w:rsidP="003E5592">
            <w:pPr>
              <w:jc w:val="center"/>
              <w:cnfStyle w:val="000000100000" w:firstRow="0" w:lastRow="0" w:firstColumn="0" w:lastColumn="0" w:oddVBand="0" w:evenVBand="0" w:oddHBand="1" w:evenHBand="0" w:firstRowFirstColumn="0" w:firstRowLastColumn="0" w:lastRowFirstColumn="0" w:lastRowLastColumn="0"/>
              <w:rPr>
                <w:b/>
                <w:i/>
                <w:sz w:val="18"/>
                <w:szCs w:val="18"/>
              </w:rPr>
            </w:pPr>
            <w:r w:rsidRPr="00B75B77">
              <w:rPr>
                <w:b/>
                <w:sz w:val="18"/>
                <w:szCs w:val="18"/>
              </w:rPr>
              <w:t>3.7</w:t>
            </w:r>
          </w:p>
        </w:tc>
        <w:tc>
          <w:tcPr>
            <w:tcW w:w="0" w:type="auto"/>
            <w:tcBorders>
              <w:left w:val="single" w:sz="8" w:space="0" w:color="448A99"/>
              <w:right w:val="single" w:sz="8" w:space="0" w:color="448A99"/>
            </w:tcBorders>
            <w:vAlign w:val="center"/>
          </w:tcPr>
          <w:p w:rsidR="008A2056" w:rsidRPr="00B75B77" w:rsidRDefault="00410DA1" w:rsidP="003E5592">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B75B77">
              <w:rPr>
                <w:b/>
                <w:sz w:val="18"/>
                <w:szCs w:val="18"/>
              </w:rPr>
              <w:t>0.52</w:t>
            </w:r>
          </w:p>
        </w:tc>
        <w:tc>
          <w:tcPr>
            <w:tcW w:w="0" w:type="auto"/>
            <w:tcBorders>
              <w:left w:val="single" w:sz="8" w:space="0" w:color="448A99"/>
              <w:right w:val="single" w:sz="8" w:space="0" w:color="448A99"/>
            </w:tcBorders>
            <w:vAlign w:val="center"/>
          </w:tcPr>
          <w:p w:rsidR="008A2056" w:rsidRPr="00B75B77" w:rsidRDefault="008A2056" w:rsidP="003E5592">
            <w:pPr>
              <w:jc w:val="center"/>
              <w:cnfStyle w:val="000000100000" w:firstRow="0" w:lastRow="0" w:firstColumn="0" w:lastColumn="0" w:oddVBand="0" w:evenVBand="0" w:oddHBand="1" w:evenHBand="0" w:firstRowFirstColumn="0" w:firstRowLastColumn="0" w:lastRowFirstColumn="0" w:lastRowLastColumn="0"/>
              <w:rPr>
                <w:b/>
                <w:i/>
                <w:sz w:val="18"/>
                <w:szCs w:val="18"/>
              </w:rPr>
            </w:pPr>
            <w:r w:rsidRPr="00B75B77">
              <w:rPr>
                <w:b/>
                <w:sz w:val="18"/>
                <w:szCs w:val="18"/>
              </w:rPr>
              <w:t>13,</w:t>
            </w:r>
            <w:r w:rsidR="00B343FA" w:rsidRPr="00B75B77">
              <w:rPr>
                <w:b/>
                <w:sz w:val="18"/>
                <w:szCs w:val="18"/>
              </w:rPr>
              <w:t>193</w:t>
            </w:r>
          </w:p>
        </w:tc>
        <w:tc>
          <w:tcPr>
            <w:tcW w:w="0" w:type="auto"/>
            <w:tcBorders>
              <w:left w:val="single" w:sz="8" w:space="0" w:color="448A99"/>
            </w:tcBorders>
            <w:vAlign w:val="center"/>
          </w:tcPr>
          <w:p w:rsidR="008A2056" w:rsidRPr="00B75B77" w:rsidRDefault="008A2056" w:rsidP="003E5592">
            <w:pPr>
              <w:jc w:val="center"/>
              <w:cnfStyle w:val="000000100000" w:firstRow="0" w:lastRow="0" w:firstColumn="0" w:lastColumn="0" w:oddVBand="0" w:evenVBand="0" w:oddHBand="1" w:evenHBand="0" w:firstRowFirstColumn="0" w:firstRowLastColumn="0" w:lastRowFirstColumn="0" w:lastRowLastColumn="0"/>
              <w:rPr>
                <w:b/>
                <w:i/>
                <w:sz w:val="18"/>
                <w:szCs w:val="18"/>
              </w:rPr>
            </w:pPr>
            <w:r w:rsidRPr="00B75B77">
              <w:rPr>
                <w:b/>
                <w:sz w:val="18"/>
                <w:szCs w:val="18"/>
              </w:rPr>
              <w:t>2.1</w:t>
            </w:r>
          </w:p>
        </w:tc>
      </w:tr>
    </w:tbl>
    <w:p w:rsidR="008A2056" w:rsidRPr="00B75B77" w:rsidRDefault="008A2056" w:rsidP="00CA16D1">
      <w:pPr>
        <w:spacing w:before="20" w:after="20"/>
        <w:jc w:val="left"/>
        <w:rPr>
          <w:rFonts w:eastAsia="Times New Roman"/>
          <w:sz w:val="18"/>
          <w:szCs w:val="20"/>
        </w:rPr>
      </w:pPr>
      <w:r w:rsidRPr="00B75B77">
        <w:rPr>
          <w:rFonts w:eastAsia="Times New Roman"/>
          <w:sz w:val="18"/>
          <w:szCs w:val="20"/>
        </w:rPr>
        <w:t xml:space="preserve">Note: </w:t>
      </w:r>
      <w:r w:rsidRPr="00B75B77">
        <w:rPr>
          <w:rFonts w:ascii="Calibri" w:eastAsia="Times New Roman" w:hAnsi="Calibri"/>
          <w:iCs/>
          <w:color w:val="000000"/>
          <w:sz w:val="18"/>
          <w:szCs w:val="18"/>
        </w:rPr>
        <w:t>Values in tables may not reconcile exactly with the sum of more detailed level results or previously reported results due to rounding.</w:t>
      </w:r>
    </w:p>
    <w:p w:rsidR="008A2056" w:rsidRPr="00B75B77" w:rsidRDefault="008A2056" w:rsidP="003E5592">
      <w:pPr>
        <w:spacing w:before="60" w:after="240"/>
        <w:ind w:left="90" w:hanging="90"/>
        <w:jc w:val="left"/>
        <w:rPr>
          <w:rFonts w:eastAsia="Times New Roman"/>
          <w:i/>
          <w:sz w:val="18"/>
          <w:szCs w:val="20"/>
        </w:rPr>
      </w:pPr>
      <w:r w:rsidRPr="00B75B77">
        <w:rPr>
          <w:rFonts w:eastAsia="Times New Roman"/>
          <w:i/>
          <w:sz w:val="18"/>
          <w:szCs w:val="20"/>
        </w:rPr>
        <w:t>Source: Navigant analysis</w:t>
      </w:r>
    </w:p>
    <w:p w:rsidR="008A2056" w:rsidRPr="00B75B77" w:rsidRDefault="008A2056" w:rsidP="00963027">
      <w:pPr>
        <w:pStyle w:val="Heading2"/>
        <w:keepNext/>
      </w:pPr>
      <w:bookmarkStart w:id="834" w:name="_Toc466413431"/>
      <w:r w:rsidRPr="00B75B77">
        <w:t>Process Evaluation</w:t>
      </w:r>
      <w:bookmarkEnd w:id="834"/>
    </w:p>
    <w:p w:rsidR="008A2056" w:rsidRPr="00B75B77" w:rsidRDefault="008A2056" w:rsidP="00CA16D1">
      <w:pPr>
        <w:autoSpaceDE w:val="0"/>
        <w:autoSpaceDN w:val="0"/>
        <w:adjustRightInd w:val="0"/>
        <w:jc w:val="left"/>
        <w:rPr>
          <w:rFonts w:ascii="Calibri" w:hAnsi="Calibri" w:cs="Calibri"/>
        </w:rPr>
      </w:pPr>
      <w:r w:rsidRPr="00B75B77">
        <w:rPr>
          <w:rFonts w:ascii="Calibri" w:hAnsi="Calibri" w:cs="Calibri"/>
        </w:rPr>
        <w:t xml:space="preserve">In accordance with the evaluation plan and in conjunction with </w:t>
      </w:r>
      <w:r w:rsidR="00E71A7C" w:rsidRPr="00B75B77">
        <w:rPr>
          <w:rFonts w:ascii="Calibri" w:hAnsi="Calibri" w:cs="Calibri"/>
        </w:rPr>
        <w:t xml:space="preserve">the </w:t>
      </w:r>
      <w:r w:rsidRPr="00B75B77">
        <w:rPr>
          <w:rFonts w:ascii="Calibri" w:hAnsi="Calibri" w:cs="Calibri"/>
        </w:rPr>
        <w:t xml:space="preserve">extensive process evaluation activities conducted in prior years, the evaluation team conducted multiple research activities in support of a high-level process evaluation in PY7. These research activities included an interview with PECO program management staff and two interviews with CSP staff. </w:t>
      </w:r>
    </w:p>
    <w:p w:rsidR="008A2056" w:rsidRPr="00B75B77" w:rsidRDefault="008A2056" w:rsidP="00963027">
      <w:pPr>
        <w:keepNext/>
        <w:rPr>
          <w:color w:val="000000"/>
        </w:rPr>
      </w:pPr>
    </w:p>
    <w:p w:rsidR="008A2056" w:rsidRPr="00B75B77" w:rsidRDefault="008A2056" w:rsidP="00CA16D1">
      <w:pPr>
        <w:pStyle w:val="Heading3"/>
      </w:pPr>
      <w:bookmarkStart w:id="835" w:name="_Toc466413432"/>
      <w:r w:rsidRPr="00B75B77">
        <w:t>Process Evaluation Methodology</w:t>
      </w:r>
      <w:bookmarkEnd w:id="835"/>
      <w:r w:rsidRPr="00B75B77">
        <w:t xml:space="preserve"> </w:t>
      </w:r>
    </w:p>
    <w:p w:rsidR="008A2056" w:rsidRPr="00B75B77" w:rsidRDefault="008A2056" w:rsidP="00CA16D1">
      <w:pPr>
        <w:jc w:val="left"/>
      </w:pPr>
      <w:r w:rsidRPr="00B75B77">
        <w:t xml:space="preserve">Navigant limited </w:t>
      </w:r>
      <w:r w:rsidR="00E71A7C" w:rsidRPr="00B75B77">
        <w:t xml:space="preserve">the </w:t>
      </w:r>
      <w:r w:rsidRPr="00B75B77">
        <w:t xml:space="preserve">PY7 process research to interviews with PECO and CSP staff. </w:t>
      </w:r>
      <w:r w:rsidRPr="00B75B77">
        <w:rPr>
          <w:rFonts w:ascii="Calibri" w:hAnsi="Calibri" w:cs="Calibri"/>
          <w:color w:val="000000"/>
        </w:rPr>
        <w:t xml:space="preserve">The evaluation team conducted these in-depth interviews in February 2016. Navigant designed the interview guides to enable the evaluation team to ask questions about the program’s administration and delivery during PY7, and to obtain real-time information about current program activity through open-ended questions that created a free-flowing conversation. To aid in making these interviews informative, the evaluation team also reviewed current program reporting documents and marketing plans and materials in advance. </w:t>
      </w:r>
      <w:r w:rsidRPr="00B75B77">
        <w:fldChar w:fldCharType="begin"/>
      </w:r>
      <w:r w:rsidRPr="00B75B77">
        <w:instrText xml:space="preserve"> REF _Ref462919785 \h  \* MERGEFORMAT </w:instrText>
      </w:r>
      <w:r w:rsidRPr="00B75B77">
        <w:fldChar w:fldCharType="separate"/>
      </w:r>
      <w:r w:rsidR="0004016D" w:rsidRPr="00B75B77">
        <w:t xml:space="preserve">Table </w:t>
      </w:r>
      <w:r w:rsidR="0004016D">
        <w:rPr>
          <w:noProof/>
        </w:rPr>
        <w:t>13</w:t>
      </w:r>
      <w:r w:rsidR="0004016D" w:rsidRPr="00B75B77">
        <w:rPr>
          <w:noProof/>
        </w:rPr>
        <w:noBreakHyphen/>
      </w:r>
      <w:r w:rsidR="0004016D">
        <w:rPr>
          <w:noProof/>
        </w:rPr>
        <w:t>9</w:t>
      </w:r>
      <w:r w:rsidRPr="00B75B77">
        <w:fldChar w:fldCharType="end"/>
      </w:r>
      <w:r w:rsidRPr="00B75B77">
        <w:t xml:space="preserve"> summarizes these process evaluation activities.</w:t>
      </w:r>
    </w:p>
    <w:p w:rsidR="008A2056" w:rsidRPr="00B75B77" w:rsidRDefault="008A2056" w:rsidP="00CA16D1"/>
    <w:p w:rsidR="008A2056" w:rsidRPr="00B75B77" w:rsidRDefault="008A2056" w:rsidP="00AE45CC">
      <w:pPr>
        <w:pStyle w:val="Caption"/>
      </w:pPr>
      <w:bookmarkStart w:id="836" w:name="_Ref462919785"/>
      <w:bookmarkStart w:id="837" w:name="_Toc466413616"/>
      <w:r w:rsidRPr="00B75B77">
        <w:lastRenderedPageBreak/>
        <w:t xml:space="preserve">Table </w:t>
      </w:r>
      <w:fldSimple w:instr=" STYLEREF 1 \s ">
        <w:r w:rsidR="0004016D">
          <w:rPr>
            <w:noProof/>
          </w:rPr>
          <w:t>13</w:t>
        </w:r>
      </w:fldSimple>
      <w:r w:rsidR="00F1144C" w:rsidRPr="00B75B77">
        <w:noBreakHyphen/>
      </w:r>
      <w:fldSimple w:instr=" SEQ Table \* ARABIC \s 1 ">
        <w:r w:rsidR="0004016D">
          <w:rPr>
            <w:noProof/>
          </w:rPr>
          <w:t>9</w:t>
        </w:r>
      </w:fldSimple>
      <w:bookmarkEnd w:id="836"/>
      <w:r w:rsidRPr="00B75B77">
        <w:t>: Smart Construction Incentives Process Sampling Strategy for PY7</w:t>
      </w:r>
      <w:bookmarkEnd w:id="837"/>
      <w:r w:rsidRPr="00B75B77">
        <w:t xml:space="preserve"> </w:t>
      </w:r>
    </w:p>
    <w:tbl>
      <w:tblPr>
        <w:tblStyle w:val="MediumShading1-Accent5"/>
        <w:tblW w:w="5300" w:type="pct"/>
        <w:tblInd w:w="8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723"/>
        <w:gridCol w:w="1139"/>
        <w:gridCol w:w="1261"/>
        <w:gridCol w:w="1100"/>
        <w:gridCol w:w="790"/>
        <w:gridCol w:w="987"/>
        <w:gridCol w:w="1462"/>
        <w:gridCol w:w="1689"/>
      </w:tblGrid>
      <w:tr w:rsidR="008A2056" w:rsidRPr="00B75B77" w:rsidTr="00E71A7C">
        <w:trPr>
          <w:cnfStyle w:val="100000000000" w:firstRow="1" w:lastRow="0" w:firstColumn="0" w:lastColumn="0" w:oddVBand="0" w:evenVBand="0" w:oddHBand="0"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849" w:type="pct"/>
            <w:tcBorders>
              <w:top w:val="single" w:sz="8" w:space="0" w:color="auto"/>
              <w:left w:val="single" w:sz="8" w:space="0" w:color="auto"/>
              <w:bottom w:val="single" w:sz="8" w:space="0" w:color="auto"/>
              <w:right w:val="single" w:sz="8" w:space="0" w:color="auto"/>
            </w:tcBorders>
            <w:shd w:val="clear" w:color="auto" w:fill="448A99"/>
            <w:vAlign w:val="center"/>
          </w:tcPr>
          <w:p w:rsidR="008A2056" w:rsidRPr="00B75B77" w:rsidRDefault="008A2056" w:rsidP="00CA16D1">
            <w:pPr>
              <w:jc w:val="left"/>
              <w:rPr>
                <w:bCs w:val="0"/>
                <w:sz w:val="18"/>
                <w:szCs w:val="18"/>
              </w:rPr>
            </w:pPr>
            <w:r w:rsidRPr="00B75B77">
              <w:rPr>
                <w:bCs w:val="0"/>
                <w:sz w:val="18"/>
                <w:szCs w:val="18"/>
              </w:rPr>
              <w:t>Stratum</w:t>
            </w:r>
          </w:p>
        </w:tc>
        <w:tc>
          <w:tcPr>
            <w:tcW w:w="561" w:type="pct"/>
            <w:tcBorders>
              <w:top w:val="single" w:sz="8" w:space="0" w:color="auto"/>
              <w:left w:val="single" w:sz="8" w:space="0" w:color="auto"/>
              <w:bottom w:val="single" w:sz="8" w:space="0" w:color="auto"/>
              <w:right w:val="single" w:sz="8" w:space="0" w:color="auto"/>
            </w:tcBorders>
            <w:shd w:val="clear" w:color="auto" w:fill="448A99"/>
            <w:vAlign w:val="center"/>
          </w:tcPr>
          <w:p w:rsidR="008A2056" w:rsidRPr="00B75B77" w:rsidRDefault="008A2056" w:rsidP="00594255">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B75B77">
              <w:rPr>
                <w:bCs w:val="0"/>
                <w:sz w:val="18"/>
                <w:szCs w:val="18"/>
              </w:rPr>
              <w:t>Population Size</w:t>
            </w:r>
          </w:p>
        </w:tc>
        <w:tc>
          <w:tcPr>
            <w:tcW w:w="621" w:type="pct"/>
            <w:tcBorders>
              <w:top w:val="single" w:sz="8" w:space="0" w:color="auto"/>
              <w:left w:val="single" w:sz="8" w:space="0" w:color="auto"/>
              <w:bottom w:val="single" w:sz="8" w:space="0" w:color="auto"/>
              <w:right w:val="single" w:sz="8" w:space="0" w:color="auto"/>
            </w:tcBorders>
            <w:shd w:val="clear" w:color="auto" w:fill="448A99"/>
            <w:vAlign w:val="center"/>
          </w:tcPr>
          <w:p w:rsidR="008A2056" w:rsidRPr="00B75B77" w:rsidRDefault="008A2056" w:rsidP="00594255">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B75B77">
              <w:rPr>
                <w:bCs w:val="0"/>
                <w:sz w:val="18"/>
                <w:szCs w:val="18"/>
              </w:rPr>
              <w:t>Assumed Proportion or CV in Sample Design</w:t>
            </w:r>
          </w:p>
        </w:tc>
        <w:tc>
          <w:tcPr>
            <w:tcW w:w="542" w:type="pct"/>
            <w:tcBorders>
              <w:top w:val="single" w:sz="8" w:space="0" w:color="auto"/>
              <w:left w:val="single" w:sz="8" w:space="0" w:color="auto"/>
              <w:bottom w:val="single" w:sz="8" w:space="0" w:color="auto"/>
              <w:right w:val="single" w:sz="8" w:space="0" w:color="auto"/>
            </w:tcBorders>
            <w:shd w:val="clear" w:color="auto" w:fill="448A99"/>
            <w:vAlign w:val="center"/>
          </w:tcPr>
          <w:p w:rsidR="008A2056" w:rsidRPr="00B75B77" w:rsidRDefault="008A2056" w:rsidP="00CA16D1">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B75B77">
              <w:rPr>
                <w:bCs w:val="0"/>
                <w:sz w:val="18"/>
                <w:szCs w:val="18"/>
              </w:rPr>
              <w:t>Assumed Levels of Confidence and Precision</w:t>
            </w:r>
          </w:p>
        </w:tc>
        <w:tc>
          <w:tcPr>
            <w:tcW w:w="389" w:type="pct"/>
            <w:tcBorders>
              <w:top w:val="single" w:sz="8" w:space="0" w:color="auto"/>
              <w:left w:val="single" w:sz="8" w:space="0" w:color="auto"/>
              <w:bottom w:val="single" w:sz="8" w:space="0" w:color="auto"/>
              <w:right w:val="single" w:sz="8" w:space="0" w:color="auto"/>
            </w:tcBorders>
            <w:shd w:val="clear" w:color="auto" w:fill="448A99"/>
            <w:vAlign w:val="center"/>
          </w:tcPr>
          <w:p w:rsidR="008A2056" w:rsidRPr="00B75B77" w:rsidRDefault="008A2056" w:rsidP="00594255">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B75B77">
              <w:rPr>
                <w:bCs w:val="0"/>
                <w:sz w:val="18"/>
                <w:szCs w:val="18"/>
              </w:rPr>
              <w:t>Target Sample Size</w:t>
            </w:r>
          </w:p>
        </w:tc>
        <w:tc>
          <w:tcPr>
            <w:tcW w:w="486" w:type="pct"/>
            <w:tcBorders>
              <w:top w:val="single" w:sz="8" w:space="0" w:color="auto"/>
              <w:left w:val="single" w:sz="8" w:space="0" w:color="auto"/>
              <w:bottom w:val="single" w:sz="8" w:space="0" w:color="auto"/>
              <w:right w:val="single" w:sz="8" w:space="0" w:color="auto"/>
            </w:tcBorders>
            <w:shd w:val="clear" w:color="auto" w:fill="448A99"/>
            <w:vAlign w:val="center"/>
          </w:tcPr>
          <w:p w:rsidR="008A2056" w:rsidRPr="00B75B77" w:rsidRDefault="008A2056" w:rsidP="00594255">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B75B77">
              <w:rPr>
                <w:bCs w:val="0"/>
                <w:sz w:val="18"/>
                <w:szCs w:val="18"/>
              </w:rPr>
              <w:t>Achieved Sample Size</w:t>
            </w:r>
          </w:p>
        </w:tc>
        <w:tc>
          <w:tcPr>
            <w:tcW w:w="720" w:type="pct"/>
            <w:tcBorders>
              <w:top w:val="single" w:sz="8" w:space="0" w:color="auto"/>
              <w:left w:val="single" w:sz="8" w:space="0" w:color="auto"/>
              <w:bottom w:val="single" w:sz="8" w:space="0" w:color="auto"/>
              <w:right w:val="single" w:sz="8" w:space="0" w:color="auto"/>
            </w:tcBorders>
            <w:shd w:val="clear" w:color="auto" w:fill="448A99"/>
            <w:vAlign w:val="center"/>
          </w:tcPr>
          <w:p w:rsidR="008A2056" w:rsidRPr="00B75B77" w:rsidRDefault="008A2056" w:rsidP="00594255">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B75B77">
              <w:rPr>
                <w:bCs w:val="0"/>
                <w:sz w:val="18"/>
                <w:szCs w:val="18"/>
              </w:rPr>
              <w:t>Percent</w:t>
            </w:r>
            <w:r w:rsidR="00E71A7C" w:rsidRPr="00B75B77">
              <w:rPr>
                <w:bCs w:val="0"/>
                <w:sz w:val="18"/>
                <w:szCs w:val="18"/>
              </w:rPr>
              <w:t>age</w:t>
            </w:r>
            <w:r w:rsidRPr="00B75B77">
              <w:rPr>
                <w:bCs w:val="0"/>
                <w:sz w:val="18"/>
                <w:szCs w:val="18"/>
              </w:rPr>
              <w:t xml:space="preserve"> of Population Frame Contacted to Achieve Sample</w:t>
            </w:r>
          </w:p>
        </w:tc>
        <w:tc>
          <w:tcPr>
            <w:tcW w:w="832" w:type="pct"/>
            <w:tcBorders>
              <w:top w:val="single" w:sz="8" w:space="0" w:color="auto"/>
              <w:left w:val="single" w:sz="8" w:space="0" w:color="auto"/>
              <w:bottom w:val="single" w:sz="8" w:space="0" w:color="auto"/>
              <w:right w:val="single" w:sz="8" w:space="0" w:color="auto"/>
            </w:tcBorders>
            <w:shd w:val="clear" w:color="auto" w:fill="448A99"/>
            <w:vAlign w:val="center"/>
          </w:tcPr>
          <w:p w:rsidR="008A2056" w:rsidRPr="00B75B77" w:rsidRDefault="00EA1A8E" w:rsidP="00CA16D1">
            <w:pPr>
              <w:jc w:val="left"/>
              <w:cnfStyle w:val="100000000000" w:firstRow="1" w:lastRow="0" w:firstColumn="0" w:lastColumn="0" w:oddVBand="0" w:evenVBand="0" w:oddHBand="0" w:evenHBand="0" w:firstRowFirstColumn="0" w:firstRowLastColumn="0" w:lastRowFirstColumn="0" w:lastRowLastColumn="0"/>
              <w:rPr>
                <w:bCs w:val="0"/>
                <w:sz w:val="18"/>
                <w:szCs w:val="18"/>
              </w:rPr>
            </w:pPr>
            <w:r w:rsidRPr="00B75B77">
              <w:rPr>
                <w:bCs w:val="0"/>
                <w:sz w:val="18"/>
                <w:szCs w:val="18"/>
              </w:rPr>
              <w:t>Used for</w:t>
            </w:r>
            <w:r w:rsidR="008A2056" w:rsidRPr="00B75B77">
              <w:rPr>
                <w:bCs w:val="0"/>
                <w:sz w:val="18"/>
                <w:szCs w:val="18"/>
              </w:rPr>
              <w:t xml:space="preserve"> Evaluation Activities (Impact, Process, NTG)</w:t>
            </w:r>
          </w:p>
        </w:tc>
      </w:tr>
      <w:tr w:rsidR="008A2056" w:rsidRPr="00B75B77" w:rsidTr="00E71A7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49" w:type="pct"/>
            <w:tcBorders>
              <w:top w:val="single" w:sz="8" w:space="0" w:color="auto"/>
              <w:right w:val="single" w:sz="8" w:space="0" w:color="448A99"/>
            </w:tcBorders>
            <w:vAlign w:val="center"/>
          </w:tcPr>
          <w:p w:rsidR="008A2056" w:rsidRPr="00B75B77" w:rsidRDefault="008A2056" w:rsidP="00594255">
            <w:pPr>
              <w:jc w:val="left"/>
              <w:rPr>
                <w:b w:val="0"/>
                <w:sz w:val="18"/>
                <w:szCs w:val="18"/>
              </w:rPr>
            </w:pPr>
            <w:r w:rsidRPr="00B75B77">
              <w:rPr>
                <w:b w:val="0"/>
                <w:sz w:val="18"/>
                <w:szCs w:val="18"/>
              </w:rPr>
              <w:t>Program Manager</w:t>
            </w:r>
          </w:p>
        </w:tc>
        <w:tc>
          <w:tcPr>
            <w:tcW w:w="561" w:type="pct"/>
            <w:tcBorders>
              <w:top w:val="single" w:sz="8" w:space="0" w:color="auto"/>
              <w:left w:val="single" w:sz="8" w:space="0" w:color="448A99"/>
              <w:right w:val="single" w:sz="8" w:space="0" w:color="448A99"/>
            </w:tcBorders>
            <w:vAlign w:val="center"/>
          </w:tcPr>
          <w:p w:rsidR="008A2056" w:rsidRPr="00B75B77" w:rsidRDefault="008A2056" w:rsidP="00594255">
            <w:pPr>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1</w:t>
            </w:r>
          </w:p>
        </w:tc>
        <w:tc>
          <w:tcPr>
            <w:tcW w:w="621" w:type="pct"/>
            <w:tcBorders>
              <w:top w:val="single" w:sz="8" w:space="0" w:color="auto"/>
              <w:left w:val="single" w:sz="8" w:space="0" w:color="448A99"/>
              <w:right w:val="single" w:sz="8" w:space="0" w:color="448A99"/>
            </w:tcBorders>
            <w:vAlign w:val="center"/>
          </w:tcPr>
          <w:p w:rsidR="008A2056" w:rsidRPr="00B75B77" w:rsidRDefault="008A2056" w:rsidP="00594255">
            <w:pPr>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N/A</w:t>
            </w:r>
          </w:p>
        </w:tc>
        <w:tc>
          <w:tcPr>
            <w:tcW w:w="542" w:type="pct"/>
            <w:tcBorders>
              <w:top w:val="single" w:sz="8" w:space="0" w:color="auto"/>
              <w:left w:val="single" w:sz="8" w:space="0" w:color="448A99"/>
              <w:right w:val="single" w:sz="8" w:space="0" w:color="448A99"/>
            </w:tcBorders>
            <w:vAlign w:val="center"/>
          </w:tcPr>
          <w:p w:rsidR="008A2056" w:rsidRPr="00B75B77" w:rsidRDefault="008A2056" w:rsidP="00594255">
            <w:pPr>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N/A</w:t>
            </w:r>
          </w:p>
        </w:tc>
        <w:tc>
          <w:tcPr>
            <w:tcW w:w="389" w:type="pct"/>
            <w:tcBorders>
              <w:top w:val="single" w:sz="8" w:space="0" w:color="auto"/>
              <w:left w:val="single" w:sz="8" w:space="0" w:color="448A99"/>
              <w:right w:val="single" w:sz="8" w:space="0" w:color="448A99"/>
            </w:tcBorders>
            <w:vAlign w:val="center"/>
          </w:tcPr>
          <w:p w:rsidR="008A2056" w:rsidRPr="00B75B77" w:rsidRDefault="008A2056" w:rsidP="00594255">
            <w:pPr>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1</w:t>
            </w:r>
          </w:p>
        </w:tc>
        <w:tc>
          <w:tcPr>
            <w:tcW w:w="486" w:type="pct"/>
            <w:tcBorders>
              <w:top w:val="single" w:sz="8" w:space="0" w:color="auto"/>
              <w:left w:val="single" w:sz="8" w:space="0" w:color="448A99"/>
              <w:right w:val="single" w:sz="8" w:space="0" w:color="448A99"/>
            </w:tcBorders>
            <w:vAlign w:val="center"/>
          </w:tcPr>
          <w:p w:rsidR="008A2056" w:rsidRPr="00B75B77" w:rsidRDefault="008A2056" w:rsidP="00594255">
            <w:pPr>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1</w:t>
            </w:r>
          </w:p>
        </w:tc>
        <w:tc>
          <w:tcPr>
            <w:tcW w:w="720" w:type="pct"/>
            <w:tcBorders>
              <w:top w:val="single" w:sz="8" w:space="0" w:color="auto"/>
              <w:left w:val="single" w:sz="8" w:space="0" w:color="448A99"/>
              <w:right w:val="single" w:sz="8" w:space="0" w:color="448A99"/>
            </w:tcBorders>
            <w:vAlign w:val="center"/>
          </w:tcPr>
          <w:p w:rsidR="008A2056" w:rsidRPr="00B75B77" w:rsidRDefault="008A2056" w:rsidP="00594255">
            <w:pPr>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100%</w:t>
            </w:r>
          </w:p>
        </w:tc>
        <w:tc>
          <w:tcPr>
            <w:tcW w:w="832" w:type="pct"/>
            <w:tcBorders>
              <w:top w:val="single" w:sz="8" w:space="0" w:color="auto"/>
              <w:left w:val="single" w:sz="8" w:space="0" w:color="448A99"/>
            </w:tcBorders>
            <w:vAlign w:val="center"/>
          </w:tcPr>
          <w:p w:rsidR="008A2056" w:rsidRPr="00B75B77" w:rsidRDefault="008A2056" w:rsidP="00CA16D1">
            <w:pPr>
              <w:jc w:val="left"/>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Process</w:t>
            </w:r>
          </w:p>
        </w:tc>
      </w:tr>
      <w:tr w:rsidR="008A2056" w:rsidRPr="00B75B77" w:rsidTr="00E71A7C">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49" w:type="pct"/>
            <w:tcBorders>
              <w:right w:val="single" w:sz="8" w:space="0" w:color="448A99"/>
            </w:tcBorders>
            <w:vAlign w:val="center"/>
          </w:tcPr>
          <w:p w:rsidR="008A2056" w:rsidRPr="00B75B77" w:rsidRDefault="008A2056" w:rsidP="00594255">
            <w:pPr>
              <w:jc w:val="left"/>
              <w:rPr>
                <w:b w:val="0"/>
                <w:sz w:val="18"/>
                <w:szCs w:val="18"/>
              </w:rPr>
            </w:pPr>
            <w:r w:rsidRPr="00B75B77">
              <w:rPr>
                <w:b w:val="0"/>
                <w:sz w:val="18"/>
                <w:szCs w:val="18"/>
              </w:rPr>
              <w:t>Program CSP</w:t>
            </w:r>
          </w:p>
        </w:tc>
        <w:tc>
          <w:tcPr>
            <w:tcW w:w="561" w:type="pct"/>
            <w:tcBorders>
              <w:left w:val="single" w:sz="8" w:space="0" w:color="448A99"/>
              <w:right w:val="single" w:sz="8" w:space="0" w:color="448A99"/>
            </w:tcBorders>
            <w:vAlign w:val="center"/>
          </w:tcPr>
          <w:p w:rsidR="008A2056" w:rsidRPr="00B75B77" w:rsidRDefault="008A2056" w:rsidP="00594255">
            <w:pPr>
              <w:jc w:val="center"/>
              <w:cnfStyle w:val="000000010000" w:firstRow="0" w:lastRow="0" w:firstColumn="0" w:lastColumn="0" w:oddVBand="0" w:evenVBand="0" w:oddHBand="0" w:evenHBand="1" w:firstRowFirstColumn="0" w:firstRowLastColumn="0" w:lastRowFirstColumn="0" w:lastRowLastColumn="0"/>
              <w:rPr>
                <w:sz w:val="18"/>
                <w:szCs w:val="18"/>
              </w:rPr>
            </w:pPr>
            <w:r w:rsidRPr="00B75B77">
              <w:rPr>
                <w:sz w:val="18"/>
                <w:szCs w:val="18"/>
              </w:rPr>
              <w:t>2</w:t>
            </w:r>
          </w:p>
        </w:tc>
        <w:tc>
          <w:tcPr>
            <w:tcW w:w="621" w:type="pct"/>
            <w:tcBorders>
              <w:left w:val="single" w:sz="8" w:space="0" w:color="448A99"/>
              <w:right w:val="single" w:sz="8" w:space="0" w:color="448A99"/>
            </w:tcBorders>
            <w:vAlign w:val="center"/>
          </w:tcPr>
          <w:p w:rsidR="008A2056" w:rsidRPr="00B75B77" w:rsidRDefault="008A2056" w:rsidP="00594255">
            <w:pPr>
              <w:jc w:val="center"/>
              <w:cnfStyle w:val="000000010000" w:firstRow="0" w:lastRow="0" w:firstColumn="0" w:lastColumn="0" w:oddVBand="0" w:evenVBand="0" w:oddHBand="0" w:evenHBand="1" w:firstRowFirstColumn="0" w:firstRowLastColumn="0" w:lastRowFirstColumn="0" w:lastRowLastColumn="0"/>
              <w:rPr>
                <w:sz w:val="18"/>
                <w:szCs w:val="18"/>
              </w:rPr>
            </w:pPr>
            <w:r w:rsidRPr="00B75B77">
              <w:rPr>
                <w:sz w:val="18"/>
                <w:szCs w:val="18"/>
              </w:rPr>
              <w:t>N/A</w:t>
            </w:r>
          </w:p>
        </w:tc>
        <w:tc>
          <w:tcPr>
            <w:tcW w:w="542" w:type="pct"/>
            <w:tcBorders>
              <w:left w:val="single" w:sz="8" w:space="0" w:color="448A99"/>
              <w:right w:val="single" w:sz="8" w:space="0" w:color="448A99"/>
            </w:tcBorders>
            <w:vAlign w:val="center"/>
          </w:tcPr>
          <w:p w:rsidR="008A2056" w:rsidRPr="00B75B77" w:rsidRDefault="008A2056" w:rsidP="00594255">
            <w:pPr>
              <w:jc w:val="center"/>
              <w:cnfStyle w:val="000000010000" w:firstRow="0" w:lastRow="0" w:firstColumn="0" w:lastColumn="0" w:oddVBand="0" w:evenVBand="0" w:oddHBand="0" w:evenHBand="1" w:firstRowFirstColumn="0" w:firstRowLastColumn="0" w:lastRowFirstColumn="0" w:lastRowLastColumn="0"/>
              <w:rPr>
                <w:sz w:val="18"/>
                <w:szCs w:val="18"/>
              </w:rPr>
            </w:pPr>
            <w:r w:rsidRPr="00B75B77">
              <w:rPr>
                <w:sz w:val="18"/>
                <w:szCs w:val="18"/>
              </w:rPr>
              <w:t>N/A</w:t>
            </w:r>
          </w:p>
        </w:tc>
        <w:tc>
          <w:tcPr>
            <w:tcW w:w="389" w:type="pct"/>
            <w:tcBorders>
              <w:left w:val="single" w:sz="8" w:space="0" w:color="448A99"/>
              <w:right w:val="single" w:sz="8" w:space="0" w:color="448A99"/>
            </w:tcBorders>
            <w:vAlign w:val="center"/>
          </w:tcPr>
          <w:p w:rsidR="008A2056" w:rsidRPr="00B75B77" w:rsidRDefault="008A2056" w:rsidP="00594255">
            <w:pPr>
              <w:jc w:val="center"/>
              <w:cnfStyle w:val="000000010000" w:firstRow="0" w:lastRow="0" w:firstColumn="0" w:lastColumn="0" w:oddVBand="0" w:evenVBand="0" w:oddHBand="0" w:evenHBand="1" w:firstRowFirstColumn="0" w:firstRowLastColumn="0" w:lastRowFirstColumn="0" w:lastRowLastColumn="0"/>
              <w:rPr>
                <w:sz w:val="18"/>
                <w:szCs w:val="18"/>
              </w:rPr>
            </w:pPr>
            <w:r w:rsidRPr="00B75B77">
              <w:rPr>
                <w:sz w:val="18"/>
                <w:szCs w:val="18"/>
              </w:rPr>
              <w:t>2</w:t>
            </w:r>
          </w:p>
        </w:tc>
        <w:tc>
          <w:tcPr>
            <w:tcW w:w="486" w:type="pct"/>
            <w:tcBorders>
              <w:left w:val="single" w:sz="8" w:space="0" w:color="448A99"/>
              <w:right w:val="single" w:sz="8" w:space="0" w:color="448A99"/>
            </w:tcBorders>
            <w:vAlign w:val="center"/>
          </w:tcPr>
          <w:p w:rsidR="008A2056" w:rsidRPr="00B75B77" w:rsidRDefault="008A2056" w:rsidP="00594255">
            <w:pPr>
              <w:jc w:val="center"/>
              <w:cnfStyle w:val="000000010000" w:firstRow="0" w:lastRow="0" w:firstColumn="0" w:lastColumn="0" w:oddVBand="0" w:evenVBand="0" w:oddHBand="0" w:evenHBand="1" w:firstRowFirstColumn="0" w:firstRowLastColumn="0" w:lastRowFirstColumn="0" w:lastRowLastColumn="0"/>
              <w:rPr>
                <w:sz w:val="18"/>
                <w:szCs w:val="18"/>
              </w:rPr>
            </w:pPr>
            <w:r w:rsidRPr="00B75B77">
              <w:rPr>
                <w:sz w:val="18"/>
                <w:szCs w:val="18"/>
              </w:rPr>
              <w:t>2</w:t>
            </w:r>
          </w:p>
        </w:tc>
        <w:tc>
          <w:tcPr>
            <w:tcW w:w="720" w:type="pct"/>
            <w:tcBorders>
              <w:left w:val="single" w:sz="8" w:space="0" w:color="448A99"/>
              <w:right w:val="single" w:sz="8" w:space="0" w:color="448A99"/>
            </w:tcBorders>
            <w:vAlign w:val="center"/>
          </w:tcPr>
          <w:p w:rsidR="008A2056" w:rsidRPr="00B75B77" w:rsidRDefault="008A2056" w:rsidP="00594255">
            <w:pPr>
              <w:jc w:val="center"/>
              <w:cnfStyle w:val="000000010000" w:firstRow="0" w:lastRow="0" w:firstColumn="0" w:lastColumn="0" w:oddVBand="0" w:evenVBand="0" w:oddHBand="0" w:evenHBand="1" w:firstRowFirstColumn="0" w:firstRowLastColumn="0" w:lastRowFirstColumn="0" w:lastRowLastColumn="0"/>
              <w:rPr>
                <w:sz w:val="18"/>
                <w:szCs w:val="18"/>
              </w:rPr>
            </w:pPr>
            <w:r w:rsidRPr="00B75B77">
              <w:rPr>
                <w:sz w:val="18"/>
                <w:szCs w:val="18"/>
              </w:rPr>
              <w:t>100%</w:t>
            </w:r>
          </w:p>
        </w:tc>
        <w:tc>
          <w:tcPr>
            <w:tcW w:w="832" w:type="pct"/>
            <w:tcBorders>
              <w:left w:val="single" w:sz="8" w:space="0" w:color="448A99"/>
            </w:tcBorders>
            <w:vAlign w:val="center"/>
          </w:tcPr>
          <w:p w:rsidR="008A2056" w:rsidRPr="00B75B77" w:rsidRDefault="008A2056" w:rsidP="00CA16D1">
            <w:pPr>
              <w:jc w:val="left"/>
              <w:cnfStyle w:val="000000010000" w:firstRow="0" w:lastRow="0" w:firstColumn="0" w:lastColumn="0" w:oddVBand="0" w:evenVBand="0" w:oddHBand="0" w:evenHBand="1" w:firstRowFirstColumn="0" w:firstRowLastColumn="0" w:lastRowFirstColumn="0" w:lastRowLastColumn="0"/>
              <w:rPr>
                <w:sz w:val="18"/>
                <w:szCs w:val="18"/>
              </w:rPr>
            </w:pPr>
            <w:r w:rsidRPr="00B75B77">
              <w:rPr>
                <w:sz w:val="18"/>
                <w:szCs w:val="18"/>
              </w:rPr>
              <w:t>Process</w:t>
            </w:r>
          </w:p>
        </w:tc>
      </w:tr>
      <w:tr w:rsidR="008A2056" w:rsidRPr="00B75B77" w:rsidTr="00E71A7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49" w:type="pct"/>
            <w:tcBorders>
              <w:right w:val="single" w:sz="8" w:space="0" w:color="448A99"/>
            </w:tcBorders>
            <w:vAlign w:val="center"/>
          </w:tcPr>
          <w:p w:rsidR="008A2056" w:rsidRPr="00B75B77" w:rsidRDefault="008A2056" w:rsidP="00594255">
            <w:pPr>
              <w:jc w:val="left"/>
              <w:rPr>
                <w:bCs w:val="0"/>
                <w:caps/>
                <w:sz w:val="18"/>
                <w:szCs w:val="18"/>
              </w:rPr>
            </w:pPr>
            <w:r w:rsidRPr="00B75B77">
              <w:rPr>
                <w:bCs w:val="0"/>
                <w:caps/>
                <w:sz w:val="18"/>
                <w:szCs w:val="18"/>
              </w:rPr>
              <w:t>Program Total</w:t>
            </w:r>
          </w:p>
        </w:tc>
        <w:tc>
          <w:tcPr>
            <w:tcW w:w="561" w:type="pct"/>
            <w:tcBorders>
              <w:left w:val="single" w:sz="8" w:space="0" w:color="448A99"/>
              <w:right w:val="single" w:sz="8" w:space="0" w:color="448A99"/>
            </w:tcBorders>
            <w:vAlign w:val="center"/>
          </w:tcPr>
          <w:p w:rsidR="008A2056" w:rsidRPr="00B75B77" w:rsidRDefault="008A2056" w:rsidP="00594255">
            <w:pPr>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3</w:t>
            </w:r>
          </w:p>
        </w:tc>
        <w:tc>
          <w:tcPr>
            <w:tcW w:w="621" w:type="pct"/>
            <w:tcBorders>
              <w:left w:val="single" w:sz="8" w:space="0" w:color="448A99"/>
              <w:right w:val="single" w:sz="8" w:space="0" w:color="448A99"/>
            </w:tcBorders>
            <w:vAlign w:val="center"/>
          </w:tcPr>
          <w:p w:rsidR="008A2056" w:rsidRPr="00B75B77" w:rsidRDefault="008A2056" w:rsidP="00594255">
            <w:pPr>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N/A</w:t>
            </w:r>
          </w:p>
        </w:tc>
        <w:tc>
          <w:tcPr>
            <w:tcW w:w="542" w:type="pct"/>
            <w:tcBorders>
              <w:left w:val="single" w:sz="8" w:space="0" w:color="448A99"/>
              <w:right w:val="single" w:sz="8" w:space="0" w:color="448A99"/>
            </w:tcBorders>
            <w:vAlign w:val="center"/>
          </w:tcPr>
          <w:p w:rsidR="008A2056" w:rsidRPr="00B75B77" w:rsidRDefault="008A2056" w:rsidP="00594255">
            <w:pPr>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N/A</w:t>
            </w:r>
          </w:p>
        </w:tc>
        <w:tc>
          <w:tcPr>
            <w:tcW w:w="389" w:type="pct"/>
            <w:tcBorders>
              <w:left w:val="single" w:sz="8" w:space="0" w:color="448A99"/>
              <w:right w:val="single" w:sz="8" w:space="0" w:color="448A99"/>
            </w:tcBorders>
            <w:vAlign w:val="center"/>
          </w:tcPr>
          <w:p w:rsidR="008A2056" w:rsidRPr="00B75B77" w:rsidRDefault="008A2056" w:rsidP="00594255">
            <w:pPr>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3</w:t>
            </w:r>
          </w:p>
        </w:tc>
        <w:tc>
          <w:tcPr>
            <w:tcW w:w="486" w:type="pct"/>
            <w:tcBorders>
              <w:left w:val="single" w:sz="8" w:space="0" w:color="448A99"/>
              <w:right w:val="single" w:sz="8" w:space="0" w:color="448A99"/>
            </w:tcBorders>
            <w:vAlign w:val="center"/>
          </w:tcPr>
          <w:p w:rsidR="008A2056" w:rsidRPr="00B75B77" w:rsidRDefault="008A2056" w:rsidP="00594255">
            <w:pPr>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3</w:t>
            </w:r>
          </w:p>
        </w:tc>
        <w:tc>
          <w:tcPr>
            <w:tcW w:w="720" w:type="pct"/>
            <w:tcBorders>
              <w:left w:val="single" w:sz="8" w:space="0" w:color="448A99"/>
              <w:right w:val="single" w:sz="8" w:space="0" w:color="448A99"/>
            </w:tcBorders>
            <w:vAlign w:val="center"/>
          </w:tcPr>
          <w:p w:rsidR="008A2056" w:rsidRPr="00B75B77" w:rsidRDefault="008A2056" w:rsidP="00594255">
            <w:pPr>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100%</w:t>
            </w:r>
          </w:p>
        </w:tc>
        <w:tc>
          <w:tcPr>
            <w:tcW w:w="832" w:type="pct"/>
            <w:tcBorders>
              <w:left w:val="single" w:sz="8" w:space="0" w:color="448A99"/>
            </w:tcBorders>
            <w:vAlign w:val="center"/>
          </w:tcPr>
          <w:p w:rsidR="008A2056" w:rsidRPr="00B75B77" w:rsidRDefault="008A2056" w:rsidP="00CA16D1">
            <w:pPr>
              <w:jc w:val="left"/>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Process</w:t>
            </w:r>
          </w:p>
        </w:tc>
      </w:tr>
    </w:tbl>
    <w:p w:rsidR="008A2056" w:rsidRPr="00B75B77" w:rsidRDefault="008A2056" w:rsidP="00CA16D1">
      <w:pPr>
        <w:pStyle w:val="Source"/>
        <w:keepNext/>
        <w:spacing w:before="20" w:after="20"/>
        <w:ind w:left="270" w:firstLine="0"/>
        <w:rPr>
          <w:i w:val="0"/>
        </w:rPr>
      </w:pPr>
      <w:r w:rsidRPr="00B75B77">
        <w:rPr>
          <w:i w:val="0"/>
        </w:rPr>
        <w:t xml:space="preserve">Note: </w:t>
      </w:r>
      <w:r w:rsidRPr="00B75B77">
        <w:rPr>
          <w:rFonts w:ascii="Calibri" w:hAnsi="Calibri"/>
          <w:i w:val="0"/>
          <w:iCs/>
          <w:color w:val="000000"/>
          <w:szCs w:val="18"/>
        </w:rPr>
        <w:t>Values in tables may not reconcile exactly with the sum of more detailed level results or previously reported results due to rounding.</w:t>
      </w:r>
    </w:p>
    <w:p w:rsidR="008A2056" w:rsidRPr="00B75B77" w:rsidRDefault="008A2056" w:rsidP="00CA16D1">
      <w:pPr>
        <w:pStyle w:val="Source"/>
        <w:keepNext/>
        <w:ind w:left="270" w:firstLine="0"/>
      </w:pPr>
      <w:r w:rsidRPr="00B75B77">
        <w:t>Source: Navigant analysis</w:t>
      </w:r>
    </w:p>
    <w:p w:rsidR="008A2056" w:rsidRPr="00B75B77" w:rsidRDefault="008A2056" w:rsidP="00CA16D1">
      <w:pPr>
        <w:pStyle w:val="Heading3"/>
      </w:pPr>
      <w:bookmarkStart w:id="838" w:name="_Toc466413433"/>
      <w:r w:rsidRPr="00B75B77">
        <w:t>Process Findings and Recommendations</w:t>
      </w:r>
      <w:bookmarkEnd w:id="838"/>
    </w:p>
    <w:p w:rsidR="008A2056" w:rsidRPr="00B75B77" w:rsidRDefault="008A2056" w:rsidP="00E71A7C">
      <w:pPr>
        <w:autoSpaceDE w:val="0"/>
        <w:autoSpaceDN w:val="0"/>
        <w:adjustRightInd w:val="0"/>
        <w:jc w:val="left"/>
        <w:rPr>
          <w:rFonts w:ascii="Calibri" w:hAnsi="Calibri" w:cs="Calibri"/>
          <w:color w:val="000000"/>
        </w:rPr>
      </w:pPr>
      <w:r w:rsidRPr="00B75B77">
        <w:rPr>
          <w:rFonts w:ascii="Calibri" w:hAnsi="Calibri" w:cs="Calibri"/>
          <w:color w:val="000000"/>
        </w:rPr>
        <w:t xml:space="preserve">Based on the </w:t>
      </w:r>
      <w:r w:rsidR="00E71A7C" w:rsidRPr="00B75B77">
        <w:rPr>
          <w:rFonts w:ascii="Calibri" w:hAnsi="Calibri" w:cs="Calibri"/>
          <w:color w:val="000000"/>
        </w:rPr>
        <w:t>evaluation</w:t>
      </w:r>
      <w:r w:rsidRPr="00B75B77">
        <w:rPr>
          <w:rFonts w:ascii="Calibri" w:hAnsi="Calibri" w:cs="Calibri"/>
          <w:color w:val="000000"/>
        </w:rPr>
        <w:t xml:space="preserve"> activities conducted in PY7, </w:t>
      </w:r>
      <w:r w:rsidR="00E71A7C" w:rsidRPr="00B75B77">
        <w:rPr>
          <w:rFonts w:ascii="Calibri" w:hAnsi="Calibri" w:cs="Calibri"/>
          <w:color w:val="000000"/>
        </w:rPr>
        <w:t>Navigant</w:t>
      </w:r>
      <w:r w:rsidRPr="00B75B77">
        <w:rPr>
          <w:rFonts w:ascii="Calibri" w:hAnsi="Calibri" w:cs="Calibri"/>
          <w:color w:val="000000"/>
        </w:rPr>
        <w:t xml:space="preserve"> presents the following process findings and recommendations:</w:t>
      </w:r>
    </w:p>
    <w:p w:rsidR="00E71A7C" w:rsidRPr="00B75B77" w:rsidRDefault="008A2056" w:rsidP="009E08FB">
      <w:pPr>
        <w:pStyle w:val="ListParagraph"/>
        <w:numPr>
          <w:ilvl w:val="0"/>
          <w:numId w:val="69"/>
        </w:numPr>
        <w:spacing w:before="120" w:after="120"/>
        <w:contextualSpacing w:val="0"/>
        <w:jc w:val="left"/>
        <w:rPr>
          <w:b/>
        </w:rPr>
      </w:pPr>
      <w:r w:rsidRPr="00B75B77">
        <w:rPr>
          <w:b/>
        </w:rPr>
        <w:t xml:space="preserve">Finding: </w:t>
      </w:r>
      <w:r w:rsidRPr="00B75B77">
        <w:t xml:space="preserve">During the course of the site inspection process, </w:t>
      </w:r>
      <w:r w:rsidR="00E71A7C" w:rsidRPr="00B75B77">
        <w:t xml:space="preserve">the evaluation team found </w:t>
      </w:r>
      <w:r w:rsidRPr="00B75B77">
        <w:t xml:space="preserve">several </w:t>
      </w:r>
      <w:r w:rsidR="00E71A7C" w:rsidRPr="00B75B77">
        <w:t xml:space="preserve">incomplete </w:t>
      </w:r>
      <w:r w:rsidRPr="00B75B77">
        <w:t xml:space="preserve">projects, especially in Q4. Ten Q4 projects received site visits, of which </w:t>
      </w:r>
      <w:r w:rsidR="001F5DA3" w:rsidRPr="00B75B77">
        <w:t xml:space="preserve">the evaluation team found </w:t>
      </w:r>
      <w:r w:rsidRPr="00B75B77">
        <w:t xml:space="preserve">five projects to be less than 100% complete </w:t>
      </w:r>
      <w:r w:rsidR="00907F11" w:rsidRPr="00B75B77">
        <w:t>and/</w:t>
      </w:r>
      <w:r w:rsidRPr="00B75B77">
        <w:t xml:space="preserve">or less than 100% occupied. At these sites, either some of the equipment </w:t>
      </w:r>
      <w:r w:rsidR="001F5DA3" w:rsidRPr="00B75B77">
        <w:t xml:space="preserve">still needed </w:t>
      </w:r>
      <w:r w:rsidRPr="00B75B77">
        <w:t>to be installed or the building had yet to be fully</w:t>
      </w:r>
      <w:r w:rsidR="001F5DA3" w:rsidRPr="00B75B77">
        <w:t xml:space="preserve"> </w:t>
      </w:r>
      <w:r w:rsidRPr="00B75B77">
        <w:t xml:space="preserve">occupied </w:t>
      </w:r>
      <w:r w:rsidR="001F5DA3" w:rsidRPr="00B75B77">
        <w:t>by</w:t>
      </w:r>
      <w:r w:rsidRPr="00B75B77">
        <w:t xml:space="preserve"> the end of the PY7 deadline. Navigant credited the program with verified savings only in the portions of each project that were complete and occupied in accordance with the PA TRM requirements for CDO for new construction projects. As a result, four of the five projects achieved realization rates of 40% or lower, resulting in lower whole-program realization rates, delayed savings opportunities, and increased spending, as the incentives paid for these projects did not end up contributing to the overall savings portfolio for Phase II. The energy savings realization rates dropped from over 112%</w:t>
      </w:r>
      <w:r w:rsidR="001F5DA3" w:rsidRPr="00B75B77">
        <w:t xml:space="preserve"> (</w:t>
      </w:r>
      <w:r w:rsidRPr="00B75B77">
        <w:t>had the buildings been fully complete and occupied</w:t>
      </w:r>
      <w:r w:rsidR="001F5DA3" w:rsidRPr="00B75B77">
        <w:t xml:space="preserve">) </w:t>
      </w:r>
      <w:r w:rsidRPr="00B75B77">
        <w:t xml:space="preserve">to 87% as verified in the current states </w:t>
      </w:r>
      <w:r w:rsidR="00E71A7C" w:rsidRPr="00B75B77">
        <w:t>of completion and occupancy.</w:t>
      </w:r>
    </w:p>
    <w:p w:rsidR="008A2056" w:rsidRPr="00B75B77" w:rsidRDefault="008A2056" w:rsidP="004170FC">
      <w:pPr>
        <w:pStyle w:val="ListParagraph"/>
        <w:spacing w:before="120" w:after="120"/>
        <w:contextualSpacing w:val="0"/>
        <w:jc w:val="left"/>
      </w:pPr>
      <w:r w:rsidRPr="00B75B77">
        <w:t>Navigant identified several root causes of the incomplete or partially</w:t>
      </w:r>
      <w:r w:rsidR="001F5DA3" w:rsidRPr="00B75B77">
        <w:t xml:space="preserve"> </w:t>
      </w:r>
      <w:r w:rsidRPr="00B75B77">
        <w:t>occupied projects</w:t>
      </w:r>
      <w:r w:rsidR="002B27AF" w:rsidRPr="00B75B77">
        <w:t>. These include</w:t>
      </w:r>
      <w:r w:rsidRPr="00B75B77">
        <w:t xml:space="preserve"> the overzealous pursuit of projects despite tight deadlines</w:t>
      </w:r>
      <w:r w:rsidR="002B27AF" w:rsidRPr="00B75B77">
        <w:t xml:space="preserve"> by the CSP</w:t>
      </w:r>
      <w:r w:rsidRPr="00B75B77">
        <w:t xml:space="preserve">, empathy for customers rushing to be included in Phase II of the program, internal confusion </w:t>
      </w:r>
      <w:r w:rsidR="00907F11" w:rsidRPr="00B75B77">
        <w:t xml:space="preserve">at the CSP </w:t>
      </w:r>
      <w:r w:rsidRPr="00B75B77">
        <w:t xml:space="preserve">about TRM rules for completion and occupancy, and slightly ambiguous language in the </w:t>
      </w:r>
      <w:r w:rsidR="002B27AF" w:rsidRPr="00B75B77">
        <w:t xml:space="preserve">program </w:t>
      </w:r>
      <w:r w:rsidRPr="00B75B77">
        <w:t xml:space="preserve">application about </w:t>
      </w:r>
      <w:r w:rsidR="001F5DA3" w:rsidRPr="00B75B77">
        <w:t>c</w:t>
      </w:r>
      <w:r w:rsidRPr="00B75B77">
        <w:t xml:space="preserve">ertificates of </w:t>
      </w:r>
      <w:r w:rsidR="001F5DA3" w:rsidRPr="00B75B77">
        <w:t>o</w:t>
      </w:r>
      <w:r w:rsidRPr="00B75B77">
        <w:t xml:space="preserve">ccupancy. In addition, </w:t>
      </w:r>
      <w:r w:rsidR="001F5DA3" w:rsidRPr="00B75B77">
        <w:t xml:space="preserve">the </w:t>
      </w:r>
      <w:r w:rsidR="002B27AF" w:rsidRPr="00B75B77">
        <w:t>CSP M&amp;V</w:t>
      </w:r>
      <w:r w:rsidR="001F5DA3" w:rsidRPr="00B75B77">
        <w:t xml:space="preserve"> team only selected a subset of the project population</w:t>
      </w:r>
      <w:r w:rsidRPr="00B75B77">
        <w:t xml:space="preserve"> to receive post-installation inspections (which would have alerted the program manager of </w:t>
      </w:r>
      <w:r w:rsidR="005958A8" w:rsidRPr="00B75B77">
        <w:t xml:space="preserve">a </w:t>
      </w:r>
      <w:r w:rsidRPr="00B75B77">
        <w:t>project</w:t>
      </w:r>
      <w:r w:rsidR="005958A8" w:rsidRPr="00B75B77">
        <w:t>’</w:t>
      </w:r>
      <w:r w:rsidRPr="00B75B77">
        <w:t xml:space="preserve">s </w:t>
      </w:r>
      <w:r w:rsidR="001F5DA3" w:rsidRPr="00B75B77">
        <w:t>completion status</w:t>
      </w:r>
      <w:r w:rsidRPr="00B75B77">
        <w:t xml:space="preserve">) and post-installation inspection reports were frequently not reviewed in detail </w:t>
      </w:r>
      <w:r w:rsidR="002B27AF" w:rsidRPr="00B75B77">
        <w:t xml:space="preserve">by program and CSP management staff </w:t>
      </w:r>
      <w:r w:rsidRPr="00B75B77">
        <w:t>beyond ensuring their existence.</w:t>
      </w:r>
    </w:p>
    <w:p w:rsidR="008A2056" w:rsidRPr="00B75B77" w:rsidRDefault="008A2056" w:rsidP="009E08FB">
      <w:pPr>
        <w:pStyle w:val="ListParagraph"/>
        <w:numPr>
          <w:ilvl w:val="1"/>
          <w:numId w:val="68"/>
        </w:numPr>
        <w:spacing w:before="120" w:after="120"/>
        <w:contextualSpacing w:val="0"/>
        <w:jc w:val="left"/>
        <w:rPr>
          <w:b/>
        </w:rPr>
      </w:pPr>
      <w:r w:rsidRPr="00B75B77">
        <w:rPr>
          <w:b/>
        </w:rPr>
        <w:t xml:space="preserve">Recommendation: </w:t>
      </w:r>
      <w:r w:rsidRPr="00B75B77">
        <w:t xml:space="preserve">To the extent possible, </w:t>
      </w:r>
      <w:r w:rsidR="005958A8" w:rsidRPr="00B75B77">
        <w:t xml:space="preserve">PECO should </w:t>
      </w:r>
      <w:r w:rsidRPr="00B75B77">
        <w:t>ensure that all reported projects are fully completed and operational before completing the incentive process. Doing so will increase the effectiveness of the incentives paid out by the program, while reducing the risk associated with missing out on the overall regulatory mandates. Navigant recommends specific steps to achieve this goal:</w:t>
      </w:r>
    </w:p>
    <w:p w:rsidR="008A2056" w:rsidRPr="00B75B77" w:rsidRDefault="008A2056" w:rsidP="009E08FB">
      <w:pPr>
        <w:pStyle w:val="ListParagraph"/>
        <w:numPr>
          <w:ilvl w:val="0"/>
          <w:numId w:val="67"/>
        </w:numPr>
        <w:spacing w:before="60" w:after="60"/>
        <w:ind w:left="2246"/>
        <w:contextualSpacing w:val="0"/>
        <w:jc w:val="left"/>
        <w:rPr>
          <w:b/>
        </w:rPr>
      </w:pPr>
      <w:r w:rsidRPr="00B75B77">
        <w:t>Re-emphasize the specific completion and occupancy rules in the TRM each year during program kickoff meetings</w:t>
      </w:r>
    </w:p>
    <w:p w:rsidR="008A2056" w:rsidRPr="00B75B77" w:rsidRDefault="008A2056" w:rsidP="009E08FB">
      <w:pPr>
        <w:pStyle w:val="ListParagraph"/>
        <w:numPr>
          <w:ilvl w:val="0"/>
          <w:numId w:val="67"/>
        </w:numPr>
        <w:spacing w:before="60" w:after="60"/>
        <w:ind w:left="2246"/>
        <w:contextualSpacing w:val="0"/>
        <w:jc w:val="left"/>
        <w:rPr>
          <w:b/>
        </w:rPr>
      </w:pPr>
      <w:r w:rsidRPr="00B75B77">
        <w:lastRenderedPageBreak/>
        <w:t>Include the TRM occupancy requirement and explicit CDO deadline on the application</w:t>
      </w:r>
    </w:p>
    <w:p w:rsidR="008A2056" w:rsidRPr="00B75B77" w:rsidRDefault="008A2056" w:rsidP="009E08FB">
      <w:pPr>
        <w:pStyle w:val="ListParagraph"/>
        <w:numPr>
          <w:ilvl w:val="0"/>
          <w:numId w:val="67"/>
        </w:numPr>
        <w:spacing w:before="60" w:after="60"/>
        <w:ind w:left="2246"/>
        <w:contextualSpacing w:val="0"/>
        <w:jc w:val="left"/>
        <w:rPr>
          <w:b/>
        </w:rPr>
      </w:pPr>
      <w:r w:rsidRPr="00B75B77">
        <w:t>Exclude projects that are unlikely to meet the CDO deadline for either completion or occupancy</w:t>
      </w:r>
    </w:p>
    <w:p w:rsidR="008A2056" w:rsidRPr="00B75B77" w:rsidRDefault="008A2056" w:rsidP="009E08FB">
      <w:pPr>
        <w:pStyle w:val="ListParagraph"/>
        <w:numPr>
          <w:ilvl w:val="0"/>
          <w:numId w:val="67"/>
        </w:numPr>
        <w:spacing w:before="60" w:after="60"/>
        <w:ind w:left="2246"/>
        <w:contextualSpacing w:val="0"/>
        <w:jc w:val="left"/>
        <w:rPr>
          <w:b/>
        </w:rPr>
      </w:pPr>
      <w:r w:rsidRPr="00B75B77">
        <w:t>Schedule simple walk</w:t>
      </w:r>
      <w:r w:rsidR="00AF5657" w:rsidRPr="00B75B77">
        <w:t>through</w:t>
      </w:r>
      <w:r w:rsidRPr="00B75B77">
        <w:t xml:space="preserve"> post-install inspections for more (or all) sites</w:t>
      </w:r>
    </w:p>
    <w:p w:rsidR="008A2056" w:rsidRPr="00B75B77" w:rsidRDefault="008A2056" w:rsidP="009E08FB">
      <w:pPr>
        <w:pStyle w:val="ListParagraph"/>
        <w:numPr>
          <w:ilvl w:val="0"/>
          <w:numId w:val="67"/>
        </w:numPr>
        <w:spacing w:before="60" w:after="60"/>
        <w:ind w:left="2246"/>
        <w:contextualSpacing w:val="0"/>
        <w:jc w:val="left"/>
        <w:rPr>
          <w:b/>
        </w:rPr>
      </w:pPr>
      <w:r w:rsidRPr="00B75B77">
        <w:t>Strengthen the review process of post-install inspection documents to emphasize both completion and occupancy</w:t>
      </w:r>
    </w:p>
    <w:p w:rsidR="008A2056" w:rsidRPr="00B75B77" w:rsidRDefault="008A2056" w:rsidP="009E08FB">
      <w:pPr>
        <w:pStyle w:val="ListParagraph"/>
        <w:numPr>
          <w:ilvl w:val="0"/>
          <w:numId w:val="69"/>
        </w:numPr>
        <w:spacing w:before="120" w:after="120"/>
        <w:contextualSpacing w:val="0"/>
      </w:pPr>
      <w:r w:rsidRPr="00B75B77">
        <w:rPr>
          <w:b/>
        </w:rPr>
        <w:t>Finding:</w:t>
      </w:r>
      <w:r w:rsidRPr="00B75B77">
        <w:t xml:space="preserve"> The SCI program greatly improved upon its prior Phase II performance in PY7, in part due to the program’s PY6 efforts to identify and requalify committed trade allies. The actions taken in December 2014 included rebuilding the trade ally database from scratch by conducting surveys, collecting and checking trade ally references, conducting training activities, and creating a peering program to ensure the alignment of goals and achievement of trade ally incentive targets. Interviews with the CSP revealed a strong feeling that the encouraging performance in PY7 was most likely a product of an improved trade ally network. Program managers are confident that these strategies will continue to provide benefit in the new construction sector well into Phase III.</w:t>
      </w:r>
    </w:p>
    <w:p w:rsidR="008A2056" w:rsidRPr="00B75B77" w:rsidRDefault="008A2056" w:rsidP="009E08FB">
      <w:pPr>
        <w:pStyle w:val="ListParagraph"/>
        <w:numPr>
          <w:ilvl w:val="1"/>
          <w:numId w:val="65"/>
        </w:numPr>
        <w:spacing w:before="120" w:after="120"/>
        <w:contextualSpacing w:val="0"/>
      </w:pPr>
      <w:r w:rsidRPr="00B75B77">
        <w:rPr>
          <w:b/>
        </w:rPr>
        <w:t>Recommendation</w:t>
      </w:r>
      <w:r w:rsidRPr="00B75B77">
        <w:t>: Continue to leverage strong relationships with committed trade allies to achieve and maintain greater participation in the program. P</w:t>
      </w:r>
      <w:r w:rsidRPr="00B75B77">
        <w:rPr>
          <w:rFonts w:ascii="Calibri" w:hAnsi="Calibri" w:cs="Calibri"/>
          <w:color w:val="000000"/>
        </w:rPr>
        <w:t>articipation in professional trade organizations has been among the most effective means of increasing program awareness. These methods place an emphasis on talking to potential participants one-on-one about the program, developing relationships</w:t>
      </w:r>
      <w:r w:rsidR="005958A8" w:rsidRPr="00B75B77">
        <w:rPr>
          <w:rFonts w:ascii="Calibri" w:hAnsi="Calibri" w:cs="Calibri"/>
          <w:color w:val="000000"/>
        </w:rPr>
        <w:t>,</w:t>
      </w:r>
      <w:r w:rsidRPr="00B75B77">
        <w:rPr>
          <w:rFonts w:ascii="Calibri" w:hAnsi="Calibri" w:cs="Calibri"/>
          <w:color w:val="000000"/>
        </w:rPr>
        <w:t xml:space="preserve"> and asking about specific projects that might be applicable and of</w:t>
      </w:r>
      <w:r w:rsidR="005958A8" w:rsidRPr="00B75B77">
        <w:rPr>
          <w:rFonts w:ascii="Calibri" w:hAnsi="Calibri" w:cs="Calibri"/>
          <w:color w:val="000000"/>
        </w:rPr>
        <w:t xml:space="preserve"> </w:t>
      </w:r>
      <w:r w:rsidRPr="00B75B77">
        <w:rPr>
          <w:rFonts w:ascii="Calibri" w:hAnsi="Calibri" w:cs="Calibri"/>
          <w:color w:val="000000"/>
        </w:rPr>
        <w:t>interest to the program and to the client. PECO has already been sourcing potential trade allies through reports from Dodge Data &amp; Analytics and by hosting trade ally open house events</w:t>
      </w:r>
      <w:r w:rsidR="005958A8" w:rsidRPr="00B75B77">
        <w:rPr>
          <w:rFonts w:ascii="Calibri" w:hAnsi="Calibri" w:cs="Calibri"/>
          <w:color w:val="000000"/>
        </w:rPr>
        <w:t>.</w:t>
      </w:r>
      <w:r w:rsidRPr="00B75B77">
        <w:rPr>
          <w:rFonts w:ascii="Calibri" w:hAnsi="Calibri" w:cs="Calibri"/>
          <w:color w:val="000000"/>
        </w:rPr>
        <w:t xml:space="preserve"> </w:t>
      </w:r>
      <w:r w:rsidR="005958A8" w:rsidRPr="00B75B77">
        <w:rPr>
          <w:rFonts w:ascii="Calibri" w:hAnsi="Calibri" w:cs="Calibri"/>
          <w:color w:val="000000"/>
        </w:rPr>
        <w:t>T</w:t>
      </w:r>
      <w:r w:rsidRPr="00B75B77">
        <w:rPr>
          <w:rFonts w:ascii="Calibri" w:hAnsi="Calibri" w:cs="Calibri"/>
          <w:color w:val="000000"/>
        </w:rPr>
        <w:t>he continuation of such activities is highly encouraged.</w:t>
      </w:r>
    </w:p>
    <w:p w:rsidR="00E71A7C" w:rsidRPr="00B75B77" w:rsidRDefault="008A2056" w:rsidP="009E08FB">
      <w:pPr>
        <w:pStyle w:val="ListParagraph"/>
        <w:numPr>
          <w:ilvl w:val="0"/>
          <w:numId w:val="69"/>
        </w:numPr>
        <w:spacing w:before="120" w:after="120"/>
        <w:contextualSpacing w:val="0"/>
      </w:pPr>
      <w:r w:rsidRPr="00B75B77">
        <w:rPr>
          <w:b/>
        </w:rPr>
        <w:t>Finding</w:t>
      </w:r>
      <w:r w:rsidRPr="00B75B77">
        <w:t>: The new construction projects that participate in the SCI program have long lead times and require consistent and committed long-term partners to guide them through the program. Looking at the improvements in participation from PY5 through PY7, the program appears to have a long ramp</w:t>
      </w:r>
      <w:r w:rsidR="00AF5657" w:rsidRPr="00B75B77">
        <w:t xml:space="preserve"> </w:t>
      </w:r>
      <w:r w:rsidRPr="00B75B77">
        <w:t>up in performance that appears somewhat likely to continue into Phase III.</w:t>
      </w:r>
    </w:p>
    <w:p w:rsidR="008A2056" w:rsidRPr="00B75B77" w:rsidRDefault="008A2056" w:rsidP="009E08FB">
      <w:pPr>
        <w:pStyle w:val="ListParagraph"/>
        <w:numPr>
          <w:ilvl w:val="1"/>
          <w:numId w:val="69"/>
        </w:numPr>
        <w:spacing w:before="120" w:after="120"/>
        <w:contextualSpacing w:val="0"/>
      </w:pPr>
      <w:r w:rsidRPr="00B75B77">
        <w:rPr>
          <w:b/>
        </w:rPr>
        <w:t>Recommendation</w:t>
      </w:r>
      <w:r w:rsidRPr="00B75B77">
        <w:t>: Continue to provide early and continuous outreach efforts, especially for new construction projects. Treat each project as a long-term relationship and avoid using the new construction portfolio as a lever to ramp up or ramp down program</w:t>
      </w:r>
      <w:r w:rsidR="004170FC" w:rsidRPr="00B75B77">
        <w:t>-</w:t>
      </w:r>
      <w:r w:rsidRPr="00B75B77">
        <w:t>wide energy savings.</w:t>
      </w:r>
    </w:p>
    <w:p w:rsidR="00E71A7C" w:rsidRPr="00B75B77" w:rsidRDefault="008A2056" w:rsidP="009E08FB">
      <w:pPr>
        <w:pStyle w:val="ListParagraph"/>
        <w:numPr>
          <w:ilvl w:val="0"/>
          <w:numId w:val="69"/>
        </w:numPr>
        <w:autoSpaceDE w:val="0"/>
        <w:autoSpaceDN w:val="0"/>
        <w:adjustRightInd w:val="0"/>
        <w:spacing w:before="120" w:after="120"/>
        <w:contextualSpacing w:val="0"/>
        <w:rPr>
          <w:rFonts w:ascii="Calibri" w:hAnsi="Calibri" w:cs="Calibri"/>
          <w:color w:val="000000"/>
        </w:rPr>
      </w:pPr>
      <w:r w:rsidRPr="00B75B77">
        <w:rPr>
          <w:b/>
        </w:rPr>
        <w:t xml:space="preserve">Finding: </w:t>
      </w:r>
      <w:r w:rsidRPr="00B75B77">
        <w:rPr>
          <w:rFonts w:ascii="Calibri" w:hAnsi="Calibri" w:cs="Calibri"/>
          <w:color w:val="000000"/>
        </w:rPr>
        <w:t xml:space="preserve">The SCI program has consistently relied on lighting to achieve a majority of its savings and looks to continue with a similar end-use portfolio. The overall Phase II end-use breakdown includes over 75% of the portfolio coming from either </w:t>
      </w:r>
      <w:r w:rsidR="005958A8" w:rsidRPr="00B75B77">
        <w:rPr>
          <w:rFonts w:ascii="Calibri" w:hAnsi="Calibri" w:cs="Calibri"/>
          <w:color w:val="000000"/>
        </w:rPr>
        <w:t>l</w:t>
      </w:r>
      <w:r w:rsidRPr="00B75B77">
        <w:rPr>
          <w:rFonts w:ascii="Calibri" w:hAnsi="Calibri" w:cs="Calibri"/>
          <w:color w:val="000000"/>
        </w:rPr>
        <w:t xml:space="preserve">ighting or </w:t>
      </w:r>
      <w:r w:rsidR="005958A8" w:rsidRPr="00B75B77">
        <w:rPr>
          <w:rFonts w:ascii="Calibri" w:hAnsi="Calibri" w:cs="Calibri"/>
          <w:color w:val="000000"/>
        </w:rPr>
        <w:t>c</w:t>
      </w:r>
      <w:r w:rsidRPr="00B75B77">
        <w:rPr>
          <w:rFonts w:ascii="Calibri" w:hAnsi="Calibri" w:cs="Calibri"/>
          <w:color w:val="000000"/>
        </w:rPr>
        <w:t xml:space="preserve">ustom projects. </w:t>
      </w:r>
      <w:r w:rsidRPr="00B75B77">
        <w:t xml:space="preserve">In practice, the </w:t>
      </w:r>
      <w:r w:rsidR="005958A8" w:rsidRPr="00B75B77">
        <w:t xml:space="preserve">custom </w:t>
      </w:r>
      <w:r w:rsidRPr="00B75B77">
        <w:t>project type has also tended to include a majority of lighting savings. The planned Phase III breakdown of project end</w:t>
      </w:r>
      <w:r w:rsidR="00AF5657" w:rsidRPr="00B75B77">
        <w:t xml:space="preserve"> </w:t>
      </w:r>
      <w:r w:rsidRPr="00B75B77">
        <w:t xml:space="preserve">uses is similar, with </w:t>
      </w:r>
      <w:r w:rsidR="005958A8" w:rsidRPr="00B75B77">
        <w:t>lighting</w:t>
      </w:r>
      <w:r w:rsidRPr="00B75B77">
        <w:t xml:space="preserve"> and </w:t>
      </w:r>
      <w:r w:rsidR="005958A8" w:rsidRPr="00B75B77">
        <w:t>whole-building</w:t>
      </w:r>
      <w:r w:rsidRPr="00B75B77">
        <w:t xml:space="preserve"> contributing roughly 75% of the program’s total savings again.</w:t>
      </w:r>
    </w:p>
    <w:p w:rsidR="008A2056" w:rsidRPr="00B75B77" w:rsidRDefault="008A2056" w:rsidP="009E08FB">
      <w:pPr>
        <w:pStyle w:val="ListParagraph"/>
        <w:numPr>
          <w:ilvl w:val="1"/>
          <w:numId w:val="69"/>
        </w:numPr>
        <w:autoSpaceDE w:val="0"/>
        <w:autoSpaceDN w:val="0"/>
        <w:adjustRightInd w:val="0"/>
        <w:spacing w:before="120" w:after="120"/>
        <w:contextualSpacing w:val="0"/>
        <w:rPr>
          <w:rFonts w:ascii="Calibri" w:hAnsi="Calibri" w:cs="Calibri"/>
          <w:color w:val="000000"/>
        </w:rPr>
      </w:pPr>
      <w:r w:rsidRPr="00B75B77">
        <w:rPr>
          <w:rFonts w:ascii="Calibri" w:hAnsi="Calibri" w:cs="Calibri"/>
          <w:b/>
          <w:color w:val="000000"/>
        </w:rPr>
        <w:t>Recommendation:</w:t>
      </w:r>
      <w:r w:rsidRPr="00B75B77">
        <w:rPr>
          <w:rFonts w:ascii="Calibri" w:hAnsi="Calibri" w:cs="Calibri"/>
          <w:color w:val="000000"/>
        </w:rPr>
        <w:t xml:space="preserve"> Strive for measure end-use diversification and ensure that </w:t>
      </w:r>
      <w:r w:rsidR="005958A8" w:rsidRPr="00B75B77">
        <w:rPr>
          <w:rFonts w:ascii="Calibri" w:hAnsi="Calibri" w:cs="Calibri"/>
          <w:color w:val="000000"/>
        </w:rPr>
        <w:t>whole-building</w:t>
      </w:r>
      <w:r w:rsidRPr="00B75B77">
        <w:rPr>
          <w:rFonts w:ascii="Calibri" w:hAnsi="Calibri" w:cs="Calibri"/>
          <w:color w:val="000000"/>
        </w:rPr>
        <w:t xml:space="preserve"> projects are saving energy in more ways than just lighting. It is important to think about program diversification as LED lighting becomes codified and lighting energy savings relative to code </w:t>
      </w:r>
      <w:r w:rsidR="005958A8" w:rsidRPr="00B75B77">
        <w:rPr>
          <w:rFonts w:ascii="Calibri" w:hAnsi="Calibri" w:cs="Calibri"/>
          <w:color w:val="000000"/>
        </w:rPr>
        <w:t xml:space="preserve">becomes </w:t>
      </w:r>
      <w:r w:rsidRPr="00B75B77">
        <w:rPr>
          <w:rFonts w:ascii="Calibri" w:hAnsi="Calibri" w:cs="Calibri"/>
          <w:color w:val="000000"/>
        </w:rPr>
        <w:t>more difficult to achieve. Structuring incentives toward projects with end</w:t>
      </w:r>
      <w:r w:rsidR="005958A8" w:rsidRPr="00B75B77">
        <w:rPr>
          <w:rFonts w:ascii="Calibri" w:hAnsi="Calibri" w:cs="Calibri"/>
          <w:color w:val="000000"/>
        </w:rPr>
        <w:t xml:space="preserve"> </w:t>
      </w:r>
      <w:r w:rsidRPr="00B75B77">
        <w:rPr>
          <w:rFonts w:ascii="Calibri" w:hAnsi="Calibri" w:cs="Calibri"/>
          <w:color w:val="000000"/>
        </w:rPr>
        <w:t xml:space="preserve">uses other than lighting will help to smooth the transition away from lighting as a source of easy energy savings. </w:t>
      </w:r>
      <w:r w:rsidRPr="00B75B77">
        <w:rPr>
          <w:rFonts w:ascii="Calibri" w:hAnsi="Calibri" w:cs="Calibri"/>
        </w:rPr>
        <w:t xml:space="preserve">A high diversity in the types of </w:t>
      </w:r>
      <w:r w:rsidRPr="00B75B77">
        <w:rPr>
          <w:rFonts w:ascii="Calibri" w:hAnsi="Calibri" w:cs="Calibri"/>
        </w:rPr>
        <w:lastRenderedPageBreak/>
        <w:t>projects also is an indirect indicator of the success of the marketing program and the awareness created by greater market penetration.</w:t>
      </w:r>
    </w:p>
    <w:p w:rsidR="008A2056" w:rsidRPr="00B75B77" w:rsidRDefault="008A2056" w:rsidP="00CA16D1">
      <w:pPr>
        <w:pStyle w:val="ListBullet"/>
        <w:numPr>
          <w:ilvl w:val="0"/>
          <w:numId w:val="0"/>
        </w:numPr>
        <w:autoSpaceDE w:val="0"/>
        <w:autoSpaceDN w:val="0"/>
        <w:adjustRightInd w:val="0"/>
      </w:pPr>
    </w:p>
    <w:p w:rsidR="008A2056" w:rsidRPr="00B75B77" w:rsidRDefault="008A2056" w:rsidP="00CA16D1">
      <w:pPr>
        <w:pStyle w:val="Heading2"/>
      </w:pPr>
      <w:bookmarkStart w:id="839" w:name="_Toc466413434"/>
      <w:r w:rsidRPr="00B75B77">
        <w:t>Status of Recommendations for Plug-in</w:t>
      </w:r>
      <w:bookmarkEnd w:id="839"/>
    </w:p>
    <w:p w:rsidR="008A2056" w:rsidRPr="00B75B77" w:rsidRDefault="008A2056" w:rsidP="00CA16D1">
      <w:pPr>
        <w:autoSpaceDE w:val="0"/>
        <w:autoSpaceDN w:val="0"/>
        <w:adjustRightInd w:val="0"/>
        <w:jc w:val="left"/>
      </w:pPr>
      <w:r w:rsidRPr="00B75B77">
        <w:rPr>
          <w:rFonts w:eastAsia="Times New Roman"/>
          <w:color w:val="000000"/>
        </w:rPr>
        <w:t xml:space="preserve">The evaluation team’s recommendations for the SCI program are provided in </w:t>
      </w:r>
      <w:r w:rsidRPr="00B75B77">
        <w:rPr>
          <w:rFonts w:ascii="Calibri" w:hAnsi="Calibri" w:cs="Calibri"/>
          <w:color w:val="231F20"/>
        </w:rPr>
        <w:fldChar w:fldCharType="begin"/>
      </w:r>
      <w:r w:rsidRPr="00B75B77">
        <w:rPr>
          <w:rFonts w:ascii="Calibri" w:hAnsi="Calibri" w:cs="Calibri"/>
          <w:color w:val="231F20"/>
        </w:rPr>
        <w:instrText xml:space="preserve"> REF _Ref462919875 \h </w:instrText>
      </w:r>
      <w:r w:rsidR="00B75B77">
        <w:rPr>
          <w:rFonts w:ascii="Calibri" w:hAnsi="Calibri" w:cs="Calibri"/>
          <w:color w:val="231F20"/>
        </w:rPr>
        <w:instrText xml:space="preserve"> \* MERGEFORMAT </w:instrText>
      </w:r>
      <w:r w:rsidRPr="00B75B77">
        <w:rPr>
          <w:rFonts w:ascii="Calibri" w:hAnsi="Calibri" w:cs="Calibri"/>
          <w:color w:val="231F20"/>
        </w:rPr>
      </w:r>
      <w:r w:rsidRPr="00B75B77">
        <w:rPr>
          <w:rFonts w:ascii="Calibri" w:hAnsi="Calibri" w:cs="Calibri"/>
          <w:color w:val="231F20"/>
        </w:rPr>
        <w:fldChar w:fldCharType="separate"/>
      </w:r>
      <w:r w:rsidR="0004016D" w:rsidRPr="00B75B77">
        <w:t xml:space="preserve">Table </w:t>
      </w:r>
      <w:r w:rsidR="0004016D">
        <w:rPr>
          <w:noProof/>
        </w:rPr>
        <w:t>13</w:t>
      </w:r>
      <w:r w:rsidR="0004016D" w:rsidRPr="00B75B77">
        <w:rPr>
          <w:noProof/>
        </w:rPr>
        <w:noBreakHyphen/>
      </w:r>
      <w:r w:rsidR="0004016D">
        <w:rPr>
          <w:noProof/>
        </w:rPr>
        <w:t>10</w:t>
      </w:r>
      <w:r w:rsidRPr="00B75B77">
        <w:rPr>
          <w:rFonts w:ascii="Calibri" w:hAnsi="Calibri" w:cs="Calibri"/>
          <w:color w:val="231F20"/>
        </w:rPr>
        <w:fldChar w:fldCharType="end"/>
      </w:r>
      <w:r w:rsidRPr="00B75B77">
        <w:rPr>
          <w:rFonts w:ascii="Calibri" w:hAnsi="Calibri" w:cs="Calibri"/>
          <w:color w:val="231F20"/>
        </w:rPr>
        <w:t xml:space="preserve">. </w:t>
      </w:r>
      <w:r w:rsidRPr="00B75B77">
        <w:rPr>
          <w:rFonts w:eastAsia="Times New Roman"/>
          <w:color w:val="000000"/>
        </w:rPr>
        <w:t xml:space="preserve">These recommendations are based on the results of the PY7 evaluation and PECO’s vision for the program going forward into Phase III. </w:t>
      </w:r>
      <w:r w:rsidRPr="00B75B77">
        <w:t xml:space="preserve"> </w:t>
      </w:r>
    </w:p>
    <w:p w:rsidR="008A2056" w:rsidRPr="00B75B77" w:rsidRDefault="008A2056" w:rsidP="0004543D"/>
    <w:p w:rsidR="008A2056" w:rsidRPr="00B75B77" w:rsidRDefault="008A2056" w:rsidP="00163E84">
      <w:pPr>
        <w:pStyle w:val="Caption"/>
      </w:pPr>
      <w:bookmarkStart w:id="840" w:name="_Ref462919875"/>
      <w:bookmarkStart w:id="841" w:name="_Toc466413617"/>
      <w:r w:rsidRPr="00B75B77">
        <w:t xml:space="preserve">Table </w:t>
      </w:r>
      <w:fldSimple w:instr=" STYLEREF 1 \s ">
        <w:r w:rsidR="0004016D">
          <w:rPr>
            <w:noProof/>
          </w:rPr>
          <w:t>13</w:t>
        </w:r>
      </w:fldSimple>
      <w:r w:rsidR="00F1144C" w:rsidRPr="00B75B77">
        <w:noBreakHyphen/>
      </w:r>
      <w:fldSimple w:instr=" SEQ Table \* ARABIC \s 1 ">
        <w:r w:rsidR="0004016D">
          <w:rPr>
            <w:noProof/>
          </w:rPr>
          <w:t>10</w:t>
        </w:r>
      </w:fldSimple>
      <w:bookmarkEnd w:id="840"/>
      <w:r w:rsidRPr="00B75B77">
        <w:t>: Smart Construction Incentives Status Report on Process and Impact Recommendations</w:t>
      </w:r>
      <w:bookmarkEnd w:id="841"/>
      <w:r w:rsidRPr="00B75B77">
        <w:t xml:space="preserve"> </w:t>
      </w:r>
    </w:p>
    <w:tbl>
      <w:tblPr>
        <w:tblStyle w:val="MediumShading1-Accent5"/>
        <w:tblW w:w="936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4680"/>
        <w:gridCol w:w="4680"/>
      </w:tblGrid>
      <w:tr w:rsidR="008A2056" w:rsidRPr="00B75B77" w:rsidTr="005958A8">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4680" w:type="dxa"/>
            <w:tcBorders>
              <w:top w:val="single" w:sz="8" w:space="0" w:color="auto"/>
              <w:left w:val="single" w:sz="8" w:space="0" w:color="auto"/>
              <w:bottom w:val="single" w:sz="8" w:space="0" w:color="auto"/>
              <w:right w:val="single" w:sz="8" w:space="0" w:color="auto"/>
            </w:tcBorders>
            <w:shd w:val="clear" w:color="auto" w:fill="448A99"/>
            <w:vAlign w:val="center"/>
            <w:hideMark/>
          </w:tcPr>
          <w:p w:rsidR="008A2056" w:rsidRPr="00B75B77" w:rsidRDefault="008A2056" w:rsidP="00163E84">
            <w:pPr>
              <w:keepNext/>
              <w:jc w:val="left"/>
              <w:rPr>
                <w:rFonts w:ascii="Calibri" w:eastAsia="Times New Roman" w:hAnsi="Calibri"/>
                <w:bCs w:val="0"/>
                <w:sz w:val="18"/>
              </w:rPr>
            </w:pPr>
            <w:r w:rsidRPr="00B75B77">
              <w:rPr>
                <w:rFonts w:ascii="Calibri" w:eastAsia="Times New Roman" w:hAnsi="Calibri"/>
                <w:bCs w:val="0"/>
                <w:sz w:val="18"/>
              </w:rPr>
              <w:t>Recommendations</w:t>
            </w:r>
          </w:p>
        </w:tc>
        <w:tc>
          <w:tcPr>
            <w:tcW w:w="4680" w:type="dxa"/>
            <w:tcBorders>
              <w:top w:val="single" w:sz="8" w:space="0" w:color="auto"/>
              <w:left w:val="single" w:sz="8" w:space="0" w:color="auto"/>
              <w:bottom w:val="single" w:sz="8" w:space="0" w:color="auto"/>
              <w:right w:val="single" w:sz="8" w:space="0" w:color="auto"/>
            </w:tcBorders>
            <w:shd w:val="clear" w:color="auto" w:fill="448A99"/>
            <w:vAlign w:val="center"/>
            <w:hideMark/>
          </w:tcPr>
          <w:p w:rsidR="008A2056" w:rsidRPr="00B75B77" w:rsidRDefault="008A2056" w:rsidP="00163E84">
            <w:pPr>
              <w:keepNext/>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rPr>
            </w:pPr>
            <w:r w:rsidRPr="00B75B77">
              <w:rPr>
                <w:rFonts w:ascii="Calibri" w:eastAsia="Times New Roman" w:hAnsi="Calibri"/>
                <w:bCs w:val="0"/>
                <w:sz w:val="18"/>
              </w:rPr>
              <w:t>EDC Status of Recommendation (Implemented, Being Considered, Rejected AND Explanation of Action Taken by EDC)</w:t>
            </w:r>
          </w:p>
        </w:tc>
      </w:tr>
      <w:tr w:rsidR="008A2056" w:rsidRPr="00B75B77" w:rsidTr="003E49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tcBorders>
              <w:top w:val="single" w:sz="8" w:space="0" w:color="auto"/>
              <w:right w:val="single" w:sz="8" w:space="0" w:color="448A99"/>
            </w:tcBorders>
            <w:noWrap/>
            <w:vAlign w:val="center"/>
            <w:hideMark/>
          </w:tcPr>
          <w:p w:rsidR="008A2056" w:rsidRPr="00B75B77" w:rsidRDefault="005958A8" w:rsidP="00163E84">
            <w:pPr>
              <w:keepNext/>
              <w:jc w:val="left"/>
              <w:rPr>
                <w:rFonts w:ascii="Calibri" w:eastAsia="Times New Roman" w:hAnsi="Calibri"/>
                <w:color w:val="000000"/>
                <w:sz w:val="18"/>
              </w:rPr>
            </w:pPr>
            <w:r w:rsidRPr="00B75B77">
              <w:rPr>
                <w:rFonts w:ascii="Calibri" w:eastAsia="Times New Roman" w:hAnsi="Calibri"/>
                <w:color w:val="000000"/>
                <w:sz w:val="18"/>
              </w:rPr>
              <w:t>Recommendation</w:t>
            </w:r>
            <w:r w:rsidR="008A2056" w:rsidRPr="00B75B77">
              <w:rPr>
                <w:rFonts w:ascii="Calibri" w:eastAsia="Times New Roman" w:hAnsi="Calibri"/>
                <w:color w:val="000000"/>
                <w:sz w:val="18"/>
              </w:rPr>
              <w:t xml:space="preserve"> 1: </w:t>
            </w:r>
            <w:r w:rsidR="008A2056" w:rsidRPr="00B75B77">
              <w:rPr>
                <w:rFonts w:ascii="Calibri" w:eastAsia="Times New Roman" w:hAnsi="Calibri"/>
                <w:b w:val="0"/>
                <w:color w:val="000000"/>
                <w:sz w:val="18"/>
              </w:rPr>
              <w:t>Ensure that all projects are complete before the close of the incentive process:</w:t>
            </w:r>
          </w:p>
          <w:p w:rsidR="008A2056" w:rsidRPr="00B75B77" w:rsidRDefault="008A2056" w:rsidP="009E08FB">
            <w:pPr>
              <w:pStyle w:val="ListParagraph"/>
              <w:keepNext/>
              <w:numPr>
                <w:ilvl w:val="0"/>
                <w:numId w:val="66"/>
              </w:numPr>
              <w:ind w:left="512" w:hanging="270"/>
              <w:jc w:val="left"/>
              <w:rPr>
                <w:rFonts w:ascii="Calibri" w:eastAsia="Times New Roman" w:hAnsi="Calibri"/>
                <w:b w:val="0"/>
                <w:color w:val="000000"/>
                <w:sz w:val="18"/>
              </w:rPr>
            </w:pPr>
            <w:r w:rsidRPr="00B75B77">
              <w:rPr>
                <w:rFonts w:ascii="Calibri" w:eastAsia="Times New Roman" w:hAnsi="Calibri"/>
                <w:b w:val="0"/>
                <w:color w:val="000000"/>
                <w:sz w:val="18"/>
              </w:rPr>
              <w:t>Set clear occupancy expectations when qualifying projects</w:t>
            </w:r>
          </w:p>
          <w:p w:rsidR="008A2056" w:rsidRPr="00B75B77" w:rsidRDefault="008A2056" w:rsidP="009E08FB">
            <w:pPr>
              <w:pStyle w:val="ListParagraph"/>
              <w:keepNext/>
              <w:numPr>
                <w:ilvl w:val="0"/>
                <w:numId w:val="66"/>
              </w:numPr>
              <w:ind w:left="512" w:hanging="270"/>
              <w:jc w:val="left"/>
              <w:rPr>
                <w:rFonts w:ascii="Calibri" w:eastAsia="Times New Roman" w:hAnsi="Calibri"/>
                <w:b w:val="0"/>
                <w:color w:val="000000"/>
                <w:sz w:val="18"/>
              </w:rPr>
            </w:pPr>
            <w:r w:rsidRPr="00B75B77">
              <w:rPr>
                <w:rFonts w:ascii="Calibri" w:eastAsia="Times New Roman" w:hAnsi="Calibri"/>
                <w:b w:val="0"/>
                <w:color w:val="000000"/>
                <w:sz w:val="18"/>
              </w:rPr>
              <w:t>Re-emphasize TRM rules to the entire team</w:t>
            </w:r>
          </w:p>
          <w:p w:rsidR="008A2056" w:rsidRPr="00B75B77" w:rsidRDefault="008A2056" w:rsidP="009E08FB">
            <w:pPr>
              <w:pStyle w:val="ListParagraph"/>
              <w:keepNext/>
              <w:numPr>
                <w:ilvl w:val="0"/>
                <w:numId w:val="66"/>
              </w:numPr>
              <w:ind w:left="512" w:hanging="270"/>
              <w:jc w:val="left"/>
              <w:rPr>
                <w:rFonts w:ascii="Calibri" w:eastAsia="Times New Roman" w:hAnsi="Calibri"/>
                <w:b w:val="0"/>
                <w:color w:val="000000"/>
                <w:sz w:val="18"/>
              </w:rPr>
            </w:pPr>
            <w:r w:rsidRPr="00B75B77">
              <w:rPr>
                <w:rFonts w:ascii="Calibri" w:eastAsia="Times New Roman" w:hAnsi="Calibri"/>
                <w:b w:val="0"/>
                <w:color w:val="000000"/>
                <w:sz w:val="18"/>
              </w:rPr>
              <w:t>Strengthen post-install inspection protocol</w:t>
            </w:r>
          </w:p>
          <w:p w:rsidR="008A2056" w:rsidRPr="00B75B77" w:rsidRDefault="008A2056" w:rsidP="009E08FB">
            <w:pPr>
              <w:pStyle w:val="ListParagraph"/>
              <w:keepNext/>
              <w:numPr>
                <w:ilvl w:val="0"/>
                <w:numId w:val="66"/>
              </w:numPr>
              <w:ind w:left="512" w:hanging="270"/>
              <w:jc w:val="left"/>
              <w:rPr>
                <w:rFonts w:ascii="Calibri" w:eastAsia="Times New Roman" w:hAnsi="Calibri"/>
                <w:color w:val="000000"/>
                <w:sz w:val="18"/>
              </w:rPr>
            </w:pPr>
            <w:r w:rsidRPr="00B75B77">
              <w:rPr>
                <w:rFonts w:ascii="Calibri" w:eastAsia="Times New Roman" w:hAnsi="Calibri"/>
                <w:b w:val="0"/>
                <w:color w:val="000000"/>
                <w:sz w:val="18"/>
              </w:rPr>
              <w:t>Strengthen post-install documentation review</w:t>
            </w:r>
          </w:p>
        </w:tc>
        <w:tc>
          <w:tcPr>
            <w:tcW w:w="4680" w:type="dxa"/>
            <w:tcBorders>
              <w:top w:val="single" w:sz="8" w:space="0" w:color="auto"/>
              <w:left w:val="single" w:sz="8" w:space="0" w:color="448A99"/>
            </w:tcBorders>
            <w:noWrap/>
            <w:hideMark/>
          </w:tcPr>
          <w:p w:rsidR="008A2056" w:rsidRPr="00B75B77" w:rsidRDefault="003E49D6" w:rsidP="003E49D6">
            <w:pPr>
              <w:keepNext/>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rPr>
            </w:pPr>
            <w:r w:rsidRPr="00B75B77">
              <w:rPr>
                <w:rFonts w:ascii="Calibri" w:eastAsia="Times New Roman" w:hAnsi="Calibri"/>
                <w:b/>
                <w:color w:val="000000"/>
                <w:sz w:val="18"/>
              </w:rPr>
              <w:t xml:space="preserve">Being Considered: </w:t>
            </w:r>
            <w:r w:rsidRPr="00B75B77">
              <w:rPr>
                <w:rFonts w:ascii="Calibri" w:eastAsia="Times New Roman" w:hAnsi="Calibri"/>
                <w:color w:val="000000"/>
                <w:sz w:val="18"/>
              </w:rPr>
              <w:t xml:space="preserve">PECO will ensure that these </w:t>
            </w:r>
            <w:proofErr w:type="gramStart"/>
            <w:r w:rsidRPr="00B75B77">
              <w:rPr>
                <w:rFonts w:ascii="Calibri" w:eastAsia="Times New Roman" w:hAnsi="Calibri"/>
                <w:color w:val="000000"/>
                <w:sz w:val="18"/>
              </w:rPr>
              <w:t>point</w:t>
            </w:r>
            <w:proofErr w:type="gramEnd"/>
            <w:r w:rsidRPr="00B75B77">
              <w:rPr>
                <w:rFonts w:ascii="Calibri" w:eastAsia="Times New Roman" w:hAnsi="Calibri"/>
                <w:color w:val="000000"/>
                <w:sz w:val="18"/>
              </w:rPr>
              <w:t xml:space="preserve"> are refined and implemented going into Phase III. CSP and program managers will be held accountable to institute protocols.</w:t>
            </w:r>
          </w:p>
        </w:tc>
      </w:tr>
      <w:tr w:rsidR="008A2056" w:rsidRPr="00B75B77" w:rsidTr="003E49D6">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tcBorders>
              <w:right w:val="single" w:sz="8" w:space="0" w:color="448A99"/>
            </w:tcBorders>
            <w:noWrap/>
            <w:vAlign w:val="center"/>
            <w:hideMark/>
          </w:tcPr>
          <w:p w:rsidR="008A2056" w:rsidRPr="00B75B77" w:rsidRDefault="008A2056" w:rsidP="00163E84">
            <w:pPr>
              <w:keepNext/>
              <w:jc w:val="left"/>
              <w:rPr>
                <w:rFonts w:ascii="Calibri" w:eastAsia="Times New Roman" w:hAnsi="Calibri"/>
                <w:b w:val="0"/>
                <w:color w:val="000000"/>
                <w:sz w:val="18"/>
              </w:rPr>
            </w:pPr>
            <w:r w:rsidRPr="00B75B77">
              <w:rPr>
                <w:rFonts w:ascii="Calibri" w:eastAsia="Times New Roman" w:hAnsi="Calibri"/>
                <w:color w:val="000000"/>
                <w:sz w:val="18"/>
              </w:rPr>
              <w:t>Recommendation 2:</w:t>
            </w:r>
            <w:r w:rsidRPr="00B75B77">
              <w:rPr>
                <w:rFonts w:ascii="Calibri" w:eastAsia="Times New Roman" w:hAnsi="Calibri"/>
                <w:b w:val="0"/>
                <w:color w:val="000000"/>
                <w:sz w:val="18"/>
              </w:rPr>
              <w:t xml:space="preserve"> Leverage strong relationships with committed trade allies to achieve greater program participation. Continue trade ally training and recruitment as a tool to sustain current program performance.</w:t>
            </w:r>
          </w:p>
        </w:tc>
        <w:tc>
          <w:tcPr>
            <w:tcW w:w="4680" w:type="dxa"/>
            <w:tcBorders>
              <w:left w:val="single" w:sz="8" w:space="0" w:color="448A99"/>
            </w:tcBorders>
            <w:noWrap/>
            <w:hideMark/>
          </w:tcPr>
          <w:p w:rsidR="008A2056" w:rsidRPr="00B75B77" w:rsidRDefault="003E49D6" w:rsidP="002548AE">
            <w:pPr>
              <w:keepNext/>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rPr>
            </w:pPr>
            <w:r w:rsidRPr="00B75B77">
              <w:rPr>
                <w:rFonts w:ascii="Calibri" w:eastAsia="Times New Roman" w:hAnsi="Calibri"/>
                <w:b/>
                <w:color w:val="000000"/>
                <w:sz w:val="18"/>
              </w:rPr>
              <w:t xml:space="preserve">Implemented: </w:t>
            </w:r>
            <w:r w:rsidR="002548AE" w:rsidRPr="00B75B77">
              <w:rPr>
                <w:rFonts w:ascii="Calibri" w:eastAsia="Times New Roman" w:hAnsi="Calibri"/>
                <w:color w:val="000000"/>
                <w:sz w:val="18"/>
              </w:rPr>
              <w:t>S</w:t>
            </w:r>
            <w:r w:rsidRPr="00B75B77">
              <w:rPr>
                <w:rFonts w:ascii="Calibri" w:eastAsia="Times New Roman" w:hAnsi="Calibri"/>
                <w:color w:val="000000"/>
                <w:sz w:val="18"/>
              </w:rPr>
              <w:t>trengthening the trade ally training and recruitment to maintain existing and form new relationships.</w:t>
            </w:r>
          </w:p>
        </w:tc>
      </w:tr>
      <w:tr w:rsidR="008A2056" w:rsidRPr="00B75B77" w:rsidTr="003E49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tcBorders>
              <w:right w:val="single" w:sz="8" w:space="0" w:color="448A99"/>
            </w:tcBorders>
            <w:noWrap/>
            <w:vAlign w:val="center"/>
            <w:hideMark/>
          </w:tcPr>
          <w:p w:rsidR="008A2056" w:rsidRPr="00B75B77" w:rsidRDefault="008A2056" w:rsidP="00163E84">
            <w:pPr>
              <w:keepNext/>
              <w:jc w:val="left"/>
              <w:rPr>
                <w:rFonts w:ascii="Calibri" w:eastAsia="Times New Roman" w:hAnsi="Calibri"/>
                <w:b w:val="0"/>
                <w:color w:val="000000"/>
                <w:sz w:val="18"/>
              </w:rPr>
            </w:pPr>
            <w:r w:rsidRPr="00B75B77">
              <w:rPr>
                <w:rFonts w:ascii="Calibri" w:eastAsia="Times New Roman" w:hAnsi="Calibri"/>
                <w:color w:val="000000"/>
                <w:sz w:val="18"/>
              </w:rPr>
              <w:t xml:space="preserve">Recommendation 3: </w:t>
            </w:r>
            <w:r w:rsidRPr="00B75B77">
              <w:rPr>
                <w:rFonts w:ascii="Calibri" w:eastAsia="Times New Roman" w:hAnsi="Calibri"/>
                <w:b w:val="0"/>
                <w:color w:val="000000"/>
                <w:sz w:val="18"/>
              </w:rPr>
              <w:t>Provide early and continuous outreach efforts, especially for new construction projects. Avoid using new construction as a lever for portfolio-level savings.</w:t>
            </w:r>
          </w:p>
        </w:tc>
        <w:tc>
          <w:tcPr>
            <w:tcW w:w="4680" w:type="dxa"/>
            <w:tcBorders>
              <w:left w:val="single" w:sz="8" w:space="0" w:color="448A99"/>
            </w:tcBorders>
            <w:noWrap/>
            <w:hideMark/>
          </w:tcPr>
          <w:p w:rsidR="008A2056" w:rsidRPr="00B75B77" w:rsidRDefault="003E49D6" w:rsidP="003E49D6">
            <w:pPr>
              <w:keepNext/>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rPr>
            </w:pPr>
            <w:r w:rsidRPr="00B75B77">
              <w:rPr>
                <w:rFonts w:ascii="Calibri" w:eastAsia="Times New Roman" w:hAnsi="Calibri"/>
                <w:b/>
                <w:color w:val="000000"/>
                <w:sz w:val="18"/>
              </w:rPr>
              <w:t xml:space="preserve">Implemented: </w:t>
            </w:r>
            <w:r w:rsidR="002548AE" w:rsidRPr="00B75B77">
              <w:rPr>
                <w:rFonts w:ascii="Calibri" w:eastAsia="Times New Roman" w:hAnsi="Calibri"/>
                <w:color w:val="000000"/>
                <w:sz w:val="18"/>
              </w:rPr>
              <w:t>T</w:t>
            </w:r>
            <w:r w:rsidRPr="00B75B77">
              <w:rPr>
                <w:rFonts w:ascii="Calibri" w:eastAsia="Times New Roman" w:hAnsi="Calibri"/>
                <w:color w:val="000000"/>
                <w:sz w:val="18"/>
              </w:rPr>
              <w:t>his recommendation was implemented in late stages of the Phase II plan. However, the wait list in Phase II pushed the program behind schedule and it became difficult to capture early stage projects.</w:t>
            </w:r>
          </w:p>
        </w:tc>
      </w:tr>
      <w:tr w:rsidR="008A2056" w:rsidRPr="00B75B77" w:rsidTr="003E49D6">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tcBorders>
              <w:right w:val="single" w:sz="8" w:space="0" w:color="448A99"/>
            </w:tcBorders>
            <w:noWrap/>
            <w:vAlign w:val="center"/>
          </w:tcPr>
          <w:p w:rsidR="008A2056" w:rsidRPr="00B75B77" w:rsidRDefault="008A2056" w:rsidP="00163E84">
            <w:pPr>
              <w:keepNext/>
              <w:jc w:val="left"/>
              <w:rPr>
                <w:rFonts w:ascii="Calibri" w:eastAsia="Times New Roman" w:hAnsi="Calibri"/>
                <w:color w:val="000000"/>
                <w:sz w:val="18"/>
              </w:rPr>
            </w:pPr>
            <w:r w:rsidRPr="00B75B77">
              <w:rPr>
                <w:rFonts w:ascii="Calibri" w:eastAsia="Times New Roman" w:hAnsi="Calibri"/>
                <w:color w:val="000000"/>
                <w:sz w:val="18"/>
              </w:rPr>
              <w:t>Recommendation 4:</w:t>
            </w:r>
            <w:r w:rsidRPr="00B75B77">
              <w:rPr>
                <w:rFonts w:ascii="Calibri" w:eastAsia="Times New Roman" w:hAnsi="Calibri"/>
                <w:b w:val="0"/>
                <w:color w:val="000000"/>
                <w:sz w:val="18"/>
              </w:rPr>
              <w:t xml:space="preserve"> Strive for greater measure end-use diversification in Phase III (with special emphasis away from lighting projects).</w:t>
            </w:r>
          </w:p>
        </w:tc>
        <w:tc>
          <w:tcPr>
            <w:tcW w:w="4680" w:type="dxa"/>
            <w:tcBorders>
              <w:left w:val="single" w:sz="8" w:space="0" w:color="448A99"/>
            </w:tcBorders>
            <w:noWrap/>
          </w:tcPr>
          <w:p w:rsidR="008A2056" w:rsidRPr="00B75B77" w:rsidRDefault="003E49D6" w:rsidP="003E49D6">
            <w:pPr>
              <w:keepNext/>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b/>
                <w:color w:val="000000"/>
                <w:sz w:val="18"/>
              </w:rPr>
            </w:pPr>
            <w:r w:rsidRPr="00B75B77">
              <w:rPr>
                <w:rFonts w:ascii="Calibri" w:eastAsia="Times New Roman" w:hAnsi="Calibri"/>
                <w:b/>
                <w:color w:val="000000"/>
                <w:sz w:val="18"/>
              </w:rPr>
              <w:t xml:space="preserve">Implemented: </w:t>
            </w:r>
            <w:r w:rsidR="002548AE" w:rsidRPr="00B75B77">
              <w:rPr>
                <w:rFonts w:ascii="Calibri" w:eastAsia="Times New Roman" w:hAnsi="Calibri"/>
                <w:color w:val="000000"/>
                <w:sz w:val="18"/>
              </w:rPr>
              <w:t>T</w:t>
            </w:r>
            <w:r w:rsidRPr="00B75B77">
              <w:rPr>
                <w:rFonts w:ascii="Calibri" w:eastAsia="Times New Roman" w:hAnsi="Calibri"/>
                <w:color w:val="000000"/>
                <w:sz w:val="18"/>
              </w:rPr>
              <w:t>he whole building model approach was designed to create projects that are more comprehensive.</w:t>
            </w:r>
          </w:p>
        </w:tc>
      </w:tr>
    </w:tbl>
    <w:p w:rsidR="008A2056" w:rsidRPr="00B75B77" w:rsidRDefault="008A2056" w:rsidP="00163E84">
      <w:pPr>
        <w:pStyle w:val="Source"/>
        <w:keepNext/>
        <w:ind w:left="90" w:firstLine="0"/>
      </w:pPr>
      <w:r w:rsidRPr="00B75B77">
        <w:t>Source: Navigant analysis</w:t>
      </w:r>
    </w:p>
    <w:p w:rsidR="008A2056" w:rsidRPr="00B75B77" w:rsidRDefault="008A2056" w:rsidP="005958A8">
      <w:pPr>
        <w:pStyle w:val="Heading2"/>
        <w:keepNext/>
      </w:pPr>
      <w:bookmarkStart w:id="842" w:name="_Toc466413435"/>
      <w:r w:rsidRPr="00B75B77">
        <w:t>Financial Reporting</w:t>
      </w:r>
      <w:bookmarkEnd w:id="842"/>
    </w:p>
    <w:p w:rsidR="008A2056" w:rsidRPr="00B75B77" w:rsidRDefault="008A2056" w:rsidP="00951DD7">
      <w:pPr>
        <w:keepNext/>
        <w:autoSpaceDE w:val="0"/>
        <w:autoSpaceDN w:val="0"/>
        <w:adjustRightInd w:val="0"/>
        <w:jc w:val="left"/>
        <w:rPr>
          <w:rFonts w:ascii="Calibri" w:hAnsi="Calibri" w:cs="Calibri"/>
          <w:color w:val="231F20"/>
        </w:rPr>
      </w:pPr>
      <w:r w:rsidRPr="00B75B77">
        <w:rPr>
          <w:rFonts w:ascii="Calibri" w:hAnsi="Calibri" w:cs="Calibri"/>
          <w:color w:val="231F20"/>
        </w:rPr>
        <w:t xml:space="preserve">The SCI program achieved a TRC benefit-cost ratio </w:t>
      </w:r>
      <w:r w:rsidR="00951DD7" w:rsidRPr="00B75B77">
        <w:rPr>
          <w:rFonts w:ascii="Calibri" w:hAnsi="Calibri" w:cs="Calibri"/>
          <w:color w:val="231F20"/>
        </w:rPr>
        <w:t xml:space="preserve">of </w:t>
      </w:r>
      <w:r w:rsidRPr="00B75B77">
        <w:rPr>
          <w:rFonts w:ascii="Calibri" w:hAnsi="Calibri" w:cs="Calibri"/>
          <w:color w:val="231F20"/>
        </w:rPr>
        <w:t>1.38 in PY7. This shows that the program continues to</w:t>
      </w:r>
      <w:r w:rsidR="00951DD7" w:rsidRPr="00B75B77">
        <w:rPr>
          <w:rFonts w:ascii="Calibri" w:hAnsi="Calibri" w:cs="Calibri"/>
          <w:color w:val="231F20"/>
        </w:rPr>
        <w:t xml:space="preserve"> </w:t>
      </w:r>
      <w:r w:rsidRPr="00B75B77">
        <w:rPr>
          <w:rFonts w:ascii="Calibri" w:hAnsi="Calibri" w:cs="Calibri"/>
          <w:color w:val="231F20"/>
        </w:rPr>
        <w:t xml:space="preserve">operate cost-effectively. A breakdown of the program finances is presented in </w:t>
      </w:r>
      <w:r w:rsidR="00951DD7" w:rsidRPr="00B75B77">
        <w:rPr>
          <w:rFonts w:ascii="Calibri" w:hAnsi="Calibri" w:cs="Calibri"/>
          <w:color w:val="231F20"/>
        </w:rPr>
        <w:fldChar w:fldCharType="begin"/>
      </w:r>
      <w:r w:rsidR="00951DD7" w:rsidRPr="00B75B77">
        <w:rPr>
          <w:rFonts w:ascii="Calibri" w:hAnsi="Calibri" w:cs="Calibri"/>
          <w:color w:val="231F20"/>
        </w:rPr>
        <w:instrText xml:space="preserve"> REF _Ref464134719 \h </w:instrText>
      </w:r>
      <w:r w:rsidR="00B75B77">
        <w:rPr>
          <w:rFonts w:ascii="Calibri" w:hAnsi="Calibri" w:cs="Calibri"/>
          <w:color w:val="231F20"/>
        </w:rPr>
        <w:instrText xml:space="preserve"> \* MERGEFORMAT </w:instrText>
      </w:r>
      <w:r w:rsidR="00951DD7" w:rsidRPr="00B75B77">
        <w:rPr>
          <w:rFonts w:ascii="Calibri" w:hAnsi="Calibri" w:cs="Calibri"/>
          <w:color w:val="231F20"/>
        </w:rPr>
      </w:r>
      <w:r w:rsidR="00951DD7" w:rsidRPr="00B75B77">
        <w:rPr>
          <w:rFonts w:ascii="Calibri" w:hAnsi="Calibri" w:cs="Calibri"/>
          <w:color w:val="231F20"/>
        </w:rPr>
        <w:fldChar w:fldCharType="separate"/>
      </w:r>
      <w:r w:rsidR="0004016D" w:rsidRPr="00B75B77">
        <w:t xml:space="preserve">Table </w:t>
      </w:r>
      <w:r w:rsidR="0004016D">
        <w:rPr>
          <w:noProof/>
        </w:rPr>
        <w:t>13</w:t>
      </w:r>
      <w:r w:rsidR="0004016D" w:rsidRPr="00B75B77">
        <w:rPr>
          <w:noProof/>
        </w:rPr>
        <w:noBreakHyphen/>
      </w:r>
      <w:r w:rsidR="0004016D">
        <w:rPr>
          <w:noProof/>
        </w:rPr>
        <w:t>11</w:t>
      </w:r>
      <w:r w:rsidR="00951DD7" w:rsidRPr="00B75B77">
        <w:rPr>
          <w:rFonts w:ascii="Calibri" w:hAnsi="Calibri" w:cs="Calibri"/>
          <w:color w:val="231F20"/>
        </w:rPr>
        <w:fldChar w:fldCharType="end"/>
      </w:r>
      <w:r w:rsidRPr="00B75B77">
        <w:rPr>
          <w:rFonts w:ascii="Calibri" w:hAnsi="Calibri" w:cs="Calibri"/>
          <w:color w:val="231F20"/>
        </w:rPr>
        <w:t>.</w:t>
      </w:r>
    </w:p>
    <w:p w:rsidR="008A2056" w:rsidRPr="00B75B77" w:rsidRDefault="008A2056" w:rsidP="003402AA">
      <w:pPr>
        <w:jc w:val="center"/>
      </w:pPr>
    </w:p>
    <w:p w:rsidR="008A2056" w:rsidRPr="00B75B77" w:rsidRDefault="008A2056" w:rsidP="004170FC">
      <w:pPr>
        <w:pStyle w:val="Caption"/>
      </w:pPr>
      <w:bookmarkStart w:id="843" w:name="_Ref464134719"/>
      <w:bookmarkStart w:id="844" w:name="_Toc466413618"/>
      <w:r w:rsidRPr="00B75B77">
        <w:lastRenderedPageBreak/>
        <w:t xml:space="preserve">Table </w:t>
      </w:r>
      <w:fldSimple w:instr=" STYLEREF 1 \s ">
        <w:r w:rsidR="0004016D">
          <w:rPr>
            <w:noProof/>
          </w:rPr>
          <w:t>13</w:t>
        </w:r>
      </w:fldSimple>
      <w:r w:rsidR="00F1144C" w:rsidRPr="00B75B77">
        <w:noBreakHyphen/>
      </w:r>
      <w:fldSimple w:instr=" SEQ Table \* ARABIC \s 1 ">
        <w:r w:rsidR="0004016D">
          <w:rPr>
            <w:noProof/>
          </w:rPr>
          <w:t>11</w:t>
        </w:r>
      </w:fldSimple>
      <w:bookmarkEnd w:id="843"/>
      <w:r w:rsidRPr="00B75B77">
        <w:t>: Summary of Smart Construction Incentives Program Finances</w:t>
      </w:r>
      <w:bookmarkEnd w:id="844"/>
    </w:p>
    <w:tbl>
      <w:tblPr>
        <w:tblStyle w:val="MediumShading1-Accent5"/>
        <w:tblW w:w="9512" w:type="dxa"/>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0A0" w:firstRow="1" w:lastRow="0" w:firstColumn="1" w:lastColumn="0" w:noHBand="0" w:noVBand="0"/>
      </w:tblPr>
      <w:tblGrid>
        <w:gridCol w:w="1062"/>
        <w:gridCol w:w="5840"/>
        <w:gridCol w:w="1263"/>
        <w:gridCol w:w="1347"/>
      </w:tblGrid>
      <w:tr w:rsidR="008A2056" w:rsidRPr="00B75B77" w:rsidTr="005E445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2" w:type="dxa"/>
            <w:vMerge w:val="restart"/>
            <w:tcBorders>
              <w:top w:val="single" w:sz="8" w:space="0" w:color="auto"/>
              <w:left w:val="single" w:sz="8" w:space="0" w:color="auto"/>
              <w:bottom w:val="single" w:sz="8" w:space="0" w:color="auto"/>
              <w:right w:val="single" w:sz="8" w:space="0" w:color="auto"/>
            </w:tcBorders>
            <w:shd w:val="clear" w:color="auto" w:fill="448A99"/>
            <w:vAlign w:val="center"/>
          </w:tcPr>
          <w:p w:rsidR="008A2056" w:rsidRPr="00B75B77" w:rsidRDefault="008A2056" w:rsidP="004170FC">
            <w:pPr>
              <w:keepNext/>
              <w:jc w:val="center"/>
              <w:rPr>
                <w:rFonts w:ascii="Calibri" w:eastAsia="Times New Roman" w:hAnsi="Calibri"/>
                <w:bCs w:val="0"/>
                <w:sz w:val="18"/>
                <w:szCs w:val="18"/>
              </w:rPr>
            </w:pPr>
            <w:r w:rsidRPr="00B75B77">
              <w:rPr>
                <w:rFonts w:ascii="Calibri" w:eastAsia="Times New Roman" w:hAnsi="Calibri"/>
                <w:bCs w:val="0"/>
                <w:sz w:val="18"/>
                <w:szCs w:val="18"/>
              </w:rPr>
              <w:t>Row #</w:t>
            </w:r>
          </w:p>
        </w:tc>
        <w:tc>
          <w:tcPr>
            <w:cnfStyle w:val="000010000000" w:firstRow="0" w:lastRow="0" w:firstColumn="0" w:lastColumn="0" w:oddVBand="1" w:evenVBand="0" w:oddHBand="0" w:evenHBand="0" w:firstRowFirstColumn="0" w:firstRowLastColumn="0" w:lastRowFirstColumn="0" w:lastRowLastColumn="0"/>
            <w:tcW w:w="5840" w:type="dxa"/>
            <w:vMerge w:val="restart"/>
            <w:tcBorders>
              <w:top w:val="single" w:sz="8" w:space="0" w:color="auto"/>
              <w:left w:val="single" w:sz="8" w:space="0" w:color="auto"/>
              <w:bottom w:val="single" w:sz="8" w:space="0" w:color="auto"/>
              <w:right w:val="single" w:sz="8" w:space="0" w:color="auto"/>
            </w:tcBorders>
            <w:shd w:val="clear" w:color="auto" w:fill="448A99"/>
            <w:noWrap/>
            <w:vAlign w:val="center"/>
            <w:hideMark/>
          </w:tcPr>
          <w:p w:rsidR="008A2056" w:rsidRPr="00B75B77" w:rsidRDefault="008A2056" w:rsidP="004170FC">
            <w:pPr>
              <w:keepNext/>
              <w:jc w:val="left"/>
              <w:rPr>
                <w:rFonts w:ascii="Calibri" w:eastAsia="Times New Roman" w:hAnsi="Calibri"/>
                <w:bCs w:val="0"/>
                <w:sz w:val="18"/>
                <w:szCs w:val="18"/>
              </w:rPr>
            </w:pPr>
            <w:r w:rsidRPr="00B75B77">
              <w:rPr>
                <w:rFonts w:ascii="Calibri" w:eastAsia="Times New Roman" w:hAnsi="Calibri"/>
                <w:bCs w:val="0"/>
                <w:sz w:val="18"/>
                <w:szCs w:val="18"/>
              </w:rPr>
              <w:t>Cost Category </w:t>
            </w:r>
          </w:p>
        </w:tc>
        <w:tc>
          <w:tcPr>
            <w:tcW w:w="1263" w:type="dxa"/>
            <w:tcBorders>
              <w:top w:val="single" w:sz="8" w:space="0" w:color="auto"/>
              <w:left w:val="single" w:sz="8" w:space="0" w:color="auto"/>
              <w:bottom w:val="single" w:sz="8" w:space="0" w:color="auto"/>
              <w:right w:val="single" w:sz="8" w:space="0" w:color="auto"/>
            </w:tcBorders>
            <w:shd w:val="clear" w:color="auto" w:fill="448A99"/>
            <w:vAlign w:val="center"/>
            <w:hideMark/>
          </w:tcPr>
          <w:p w:rsidR="008A2056" w:rsidRPr="00B75B77" w:rsidRDefault="008A2056" w:rsidP="002B27AF">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Actual PYTD</w:t>
            </w:r>
          </w:p>
          <w:p w:rsidR="008A2056" w:rsidRPr="00B75B77" w:rsidRDefault="008A2056" w:rsidP="002B27AF">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Costs</w:t>
            </w:r>
          </w:p>
        </w:tc>
        <w:tc>
          <w:tcPr>
            <w:cnfStyle w:val="000010000000" w:firstRow="0" w:lastRow="0" w:firstColumn="0" w:lastColumn="0" w:oddVBand="1" w:evenVBand="0" w:oddHBand="0" w:evenHBand="0" w:firstRowFirstColumn="0" w:firstRowLastColumn="0" w:lastRowFirstColumn="0" w:lastRowLastColumn="0"/>
            <w:tcW w:w="1347" w:type="dxa"/>
            <w:tcBorders>
              <w:top w:val="single" w:sz="8" w:space="0" w:color="auto"/>
              <w:left w:val="single" w:sz="8" w:space="0" w:color="auto"/>
              <w:bottom w:val="single" w:sz="8" w:space="0" w:color="auto"/>
              <w:right w:val="single" w:sz="8" w:space="0" w:color="auto"/>
            </w:tcBorders>
            <w:shd w:val="clear" w:color="auto" w:fill="448A99"/>
            <w:vAlign w:val="center"/>
            <w:hideMark/>
          </w:tcPr>
          <w:p w:rsidR="008A2056" w:rsidRPr="00B75B77" w:rsidRDefault="008A2056" w:rsidP="002B27AF">
            <w:pPr>
              <w:keepNext/>
              <w:jc w:val="center"/>
              <w:rPr>
                <w:rFonts w:ascii="Calibri" w:eastAsia="Times New Roman" w:hAnsi="Calibri"/>
                <w:bCs w:val="0"/>
                <w:sz w:val="18"/>
                <w:szCs w:val="18"/>
              </w:rPr>
            </w:pPr>
            <w:r w:rsidRPr="00B75B77">
              <w:rPr>
                <w:rFonts w:ascii="Calibri" w:eastAsia="Times New Roman" w:hAnsi="Calibri"/>
                <w:bCs w:val="0"/>
                <w:sz w:val="18"/>
                <w:szCs w:val="18"/>
              </w:rPr>
              <w:t>Actual Phase II</w:t>
            </w:r>
          </w:p>
          <w:p w:rsidR="008A2056" w:rsidRPr="00B75B77" w:rsidRDefault="008A2056" w:rsidP="002B27AF">
            <w:pPr>
              <w:keepNext/>
              <w:jc w:val="center"/>
              <w:rPr>
                <w:rFonts w:ascii="Calibri" w:eastAsia="Times New Roman" w:hAnsi="Calibri"/>
                <w:bCs w:val="0"/>
                <w:sz w:val="18"/>
                <w:szCs w:val="18"/>
              </w:rPr>
            </w:pPr>
            <w:r w:rsidRPr="00B75B77">
              <w:rPr>
                <w:rFonts w:ascii="Calibri" w:eastAsia="Times New Roman" w:hAnsi="Calibri"/>
                <w:bCs w:val="0"/>
                <w:sz w:val="18"/>
                <w:szCs w:val="18"/>
              </w:rPr>
              <w:t>Costs</w:t>
            </w:r>
          </w:p>
        </w:tc>
      </w:tr>
      <w:tr w:rsidR="008A2056" w:rsidRPr="00B75B77" w:rsidTr="005E445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vMerge/>
            <w:tcBorders>
              <w:top w:val="single" w:sz="8" w:space="0" w:color="auto"/>
              <w:left w:val="single" w:sz="8" w:space="0" w:color="auto"/>
              <w:bottom w:val="single" w:sz="8" w:space="0" w:color="auto"/>
              <w:right w:val="single" w:sz="8" w:space="0" w:color="auto"/>
            </w:tcBorders>
            <w:shd w:val="clear" w:color="auto" w:fill="448A99"/>
            <w:vAlign w:val="center"/>
          </w:tcPr>
          <w:p w:rsidR="008A2056" w:rsidRPr="00B75B77" w:rsidRDefault="008A2056" w:rsidP="004170FC">
            <w:pPr>
              <w:keepNext/>
              <w:jc w:val="center"/>
              <w:rPr>
                <w:rFonts w:ascii="Calibri" w:eastAsia="Times New Roman" w:hAnsi="Calibri"/>
                <w:bCs w:val="0"/>
                <w:color w:val="FFFFFF" w:themeColor="background1"/>
                <w:sz w:val="18"/>
                <w:szCs w:val="18"/>
              </w:rPr>
            </w:pPr>
          </w:p>
        </w:tc>
        <w:tc>
          <w:tcPr>
            <w:cnfStyle w:val="000010000000" w:firstRow="0" w:lastRow="0" w:firstColumn="0" w:lastColumn="0" w:oddVBand="1" w:evenVBand="0" w:oddHBand="0" w:evenHBand="0" w:firstRowFirstColumn="0" w:firstRowLastColumn="0" w:lastRowFirstColumn="0" w:lastRowLastColumn="0"/>
            <w:tcW w:w="5840" w:type="dxa"/>
            <w:vMerge/>
            <w:tcBorders>
              <w:top w:val="single" w:sz="8" w:space="0" w:color="auto"/>
              <w:left w:val="single" w:sz="8" w:space="0" w:color="auto"/>
              <w:bottom w:val="single" w:sz="8" w:space="0" w:color="448A99"/>
              <w:right w:val="single" w:sz="8" w:space="0" w:color="auto"/>
            </w:tcBorders>
            <w:shd w:val="clear" w:color="auto" w:fill="448A99"/>
            <w:vAlign w:val="center"/>
            <w:hideMark/>
          </w:tcPr>
          <w:p w:rsidR="008A2056" w:rsidRPr="00B75B77" w:rsidRDefault="008A2056" w:rsidP="004170FC">
            <w:pPr>
              <w:keepNext/>
              <w:jc w:val="left"/>
              <w:rPr>
                <w:rFonts w:ascii="Calibri" w:eastAsia="Times New Roman" w:hAnsi="Calibri"/>
                <w:b/>
                <w:bCs/>
                <w:color w:val="FFFFFF" w:themeColor="background1"/>
                <w:sz w:val="18"/>
                <w:szCs w:val="18"/>
              </w:rPr>
            </w:pPr>
          </w:p>
        </w:tc>
        <w:tc>
          <w:tcPr>
            <w:tcW w:w="1263" w:type="dxa"/>
            <w:tcBorders>
              <w:top w:val="single" w:sz="8" w:space="0" w:color="auto"/>
              <w:left w:val="single" w:sz="8" w:space="0" w:color="auto"/>
              <w:bottom w:val="single" w:sz="8" w:space="0" w:color="448A99"/>
              <w:right w:val="single" w:sz="8" w:space="0" w:color="auto"/>
            </w:tcBorders>
            <w:shd w:val="clear" w:color="auto" w:fill="448A99"/>
            <w:vAlign w:val="center"/>
            <w:hideMark/>
          </w:tcPr>
          <w:p w:rsidR="008A2056" w:rsidRPr="00B75B77" w:rsidRDefault="008A2056" w:rsidP="002B27AF">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FFFFFF" w:themeColor="background1"/>
                <w:sz w:val="18"/>
                <w:szCs w:val="18"/>
              </w:rPr>
            </w:pPr>
            <w:r w:rsidRPr="00B75B77">
              <w:rPr>
                <w:rFonts w:ascii="Calibri" w:eastAsia="Times New Roman" w:hAnsi="Calibri"/>
                <w:b/>
                <w:bCs/>
                <w:color w:val="FFFFFF" w:themeColor="background1"/>
                <w:sz w:val="18"/>
                <w:szCs w:val="18"/>
              </w:rPr>
              <w:t>($1,000)</w:t>
            </w:r>
          </w:p>
        </w:tc>
        <w:tc>
          <w:tcPr>
            <w:cnfStyle w:val="000010000000" w:firstRow="0" w:lastRow="0" w:firstColumn="0" w:lastColumn="0" w:oddVBand="1" w:evenVBand="0" w:oddHBand="0" w:evenHBand="0" w:firstRowFirstColumn="0" w:firstRowLastColumn="0" w:lastRowFirstColumn="0" w:lastRowLastColumn="0"/>
            <w:tcW w:w="1347" w:type="dxa"/>
            <w:tcBorders>
              <w:top w:val="single" w:sz="8" w:space="0" w:color="auto"/>
              <w:left w:val="single" w:sz="8" w:space="0" w:color="auto"/>
              <w:bottom w:val="single" w:sz="8" w:space="0" w:color="448A99"/>
              <w:right w:val="single" w:sz="8" w:space="0" w:color="auto"/>
            </w:tcBorders>
            <w:shd w:val="clear" w:color="auto" w:fill="448A99"/>
            <w:vAlign w:val="center"/>
            <w:hideMark/>
          </w:tcPr>
          <w:p w:rsidR="008A2056" w:rsidRPr="00B75B77" w:rsidRDefault="008A2056" w:rsidP="002B27AF">
            <w:pPr>
              <w:keepNext/>
              <w:jc w:val="center"/>
              <w:rPr>
                <w:rFonts w:ascii="Calibri" w:eastAsia="Times New Roman" w:hAnsi="Calibri"/>
                <w:b/>
                <w:bCs/>
                <w:color w:val="FFFFFF" w:themeColor="background1"/>
                <w:sz w:val="18"/>
                <w:szCs w:val="18"/>
              </w:rPr>
            </w:pPr>
            <w:r w:rsidRPr="00B75B77">
              <w:rPr>
                <w:rFonts w:ascii="Calibri" w:eastAsia="Times New Roman" w:hAnsi="Calibri"/>
                <w:b/>
                <w:bCs/>
                <w:color w:val="FFFFFF" w:themeColor="background1"/>
                <w:sz w:val="18"/>
                <w:szCs w:val="18"/>
              </w:rPr>
              <w:t>($1,000)</w:t>
            </w:r>
          </w:p>
        </w:tc>
      </w:tr>
      <w:tr w:rsidR="008A2056" w:rsidRPr="00B75B77" w:rsidTr="005E445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top w:val="single" w:sz="8" w:space="0" w:color="auto"/>
              <w:right w:val="single" w:sz="8" w:space="0" w:color="448A99"/>
            </w:tcBorders>
            <w:shd w:val="clear" w:color="auto" w:fill="auto"/>
            <w:vAlign w:val="center"/>
          </w:tcPr>
          <w:p w:rsidR="008A2056" w:rsidRPr="00B75B77" w:rsidRDefault="008A2056" w:rsidP="004170F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w:t>
            </w:r>
          </w:p>
        </w:tc>
        <w:tc>
          <w:tcPr>
            <w:cnfStyle w:val="000010000000" w:firstRow="0" w:lastRow="0" w:firstColumn="0" w:lastColumn="0" w:oddVBand="1" w:evenVBand="0" w:oddHBand="0" w:evenHBand="0" w:firstRowFirstColumn="0" w:firstRowLastColumn="0" w:lastRowFirstColumn="0" w:lastRowLastColumn="0"/>
            <w:tcW w:w="5840" w:type="dxa"/>
            <w:tcBorders>
              <w:top w:val="single" w:sz="8" w:space="0" w:color="448A99"/>
              <w:left w:val="single" w:sz="8" w:space="0" w:color="448A99"/>
              <w:right w:val="single" w:sz="8" w:space="0" w:color="448A99"/>
            </w:tcBorders>
            <w:shd w:val="clear" w:color="auto" w:fill="auto"/>
            <w:noWrap/>
            <w:vAlign w:val="center"/>
          </w:tcPr>
          <w:p w:rsidR="008A2056" w:rsidRPr="00B75B77" w:rsidRDefault="008A2056" w:rsidP="004170FC">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Incremental Measure Costs (Sum of Rows 2 through 4)</w:t>
            </w:r>
          </w:p>
        </w:tc>
        <w:tc>
          <w:tcPr>
            <w:tcW w:w="1263" w:type="dxa"/>
            <w:tcBorders>
              <w:top w:val="single" w:sz="8" w:space="0" w:color="448A99"/>
              <w:left w:val="single" w:sz="8" w:space="0" w:color="448A99"/>
              <w:right w:val="single" w:sz="8" w:space="0" w:color="448A99"/>
            </w:tcBorders>
            <w:shd w:val="clear" w:color="auto" w:fill="auto"/>
            <w:noWrap/>
            <w:vAlign w:val="center"/>
          </w:tcPr>
          <w:p w:rsidR="008A2056" w:rsidRPr="00B75B77" w:rsidRDefault="008A2056" w:rsidP="004170F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12,122</w:t>
            </w:r>
          </w:p>
        </w:tc>
        <w:tc>
          <w:tcPr>
            <w:cnfStyle w:val="000010000000" w:firstRow="0" w:lastRow="0" w:firstColumn="0" w:lastColumn="0" w:oddVBand="1" w:evenVBand="0" w:oddHBand="0" w:evenHBand="0" w:firstRowFirstColumn="0" w:firstRowLastColumn="0" w:lastRowFirstColumn="0" w:lastRowLastColumn="0"/>
            <w:tcW w:w="1347" w:type="dxa"/>
            <w:tcBorders>
              <w:top w:val="single" w:sz="8" w:space="0" w:color="448A99"/>
              <w:left w:val="single" w:sz="8" w:space="0" w:color="448A99"/>
            </w:tcBorders>
            <w:shd w:val="clear" w:color="auto" w:fill="auto"/>
            <w:vAlign w:val="center"/>
          </w:tcPr>
          <w:p w:rsidR="008A2056" w:rsidRPr="00B75B77" w:rsidRDefault="008A2056" w:rsidP="004170F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21,034</w:t>
            </w:r>
          </w:p>
        </w:tc>
      </w:tr>
      <w:tr w:rsidR="008A2056" w:rsidRPr="00B75B77" w:rsidTr="005E445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single" w:sz="8" w:space="0" w:color="448A99"/>
            </w:tcBorders>
            <w:vAlign w:val="center"/>
          </w:tcPr>
          <w:p w:rsidR="008A2056" w:rsidRPr="00B75B77" w:rsidRDefault="008A2056" w:rsidP="004170F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2</w:t>
            </w:r>
          </w:p>
        </w:tc>
        <w:tc>
          <w:tcPr>
            <w:cnfStyle w:val="000010000000" w:firstRow="0" w:lastRow="0" w:firstColumn="0" w:lastColumn="0" w:oddVBand="1" w:evenVBand="0" w:oddHBand="0" w:evenHBand="0" w:firstRowFirstColumn="0" w:firstRowLastColumn="0" w:lastRowFirstColumn="0" w:lastRowLastColumn="0"/>
            <w:tcW w:w="5840" w:type="dxa"/>
            <w:tcBorders>
              <w:left w:val="single" w:sz="8" w:space="0" w:color="448A99"/>
              <w:right w:val="single" w:sz="8" w:space="0" w:color="448A99"/>
            </w:tcBorders>
            <w:noWrap/>
            <w:vAlign w:val="center"/>
            <w:hideMark/>
          </w:tcPr>
          <w:p w:rsidR="008A2056" w:rsidRPr="00B75B77" w:rsidRDefault="008A2056" w:rsidP="004170FC">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EDC Incentives to Participants</w:t>
            </w:r>
          </w:p>
        </w:tc>
        <w:tc>
          <w:tcPr>
            <w:tcW w:w="1263" w:type="dxa"/>
            <w:tcBorders>
              <w:left w:val="single" w:sz="8" w:space="0" w:color="448A99"/>
              <w:right w:val="single" w:sz="8" w:space="0" w:color="448A99"/>
            </w:tcBorders>
            <w:noWrap/>
            <w:vAlign w:val="center"/>
            <w:hideMark/>
          </w:tcPr>
          <w:p w:rsidR="008A2056" w:rsidRPr="00B75B77" w:rsidRDefault="008A2056" w:rsidP="004170F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2,585</w:t>
            </w:r>
          </w:p>
        </w:tc>
        <w:tc>
          <w:tcPr>
            <w:cnfStyle w:val="000010000000" w:firstRow="0" w:lastRow="0" w:firstColumn="0" w:lastColumn="0" w:oddVBand="1" w:evenVBand="0" w:oddHBand="0" w:evenHBand="0" w:firstRowFirstColumn="0" w:firstRowLastColumn="0" w:lastRowFirstColumn="0" w:lastRowLastColumn="0"/>
            <w:tcW w:w="1347" w:type="dxa"/>
            <w:tcBorders>
              <w:left w:val="single" w:sz="8" w:space="0" w:color="448A99"/>
            </w:tcBorders>
            <w:vAlign w:val="center"/>
            <w:hideMark/>
          </w:tcPr>
          <w:p w:rsidR="008A2056" w:rsidRPr="00B75B77" w:rsidRDefault="008A2056" w:rsidP="004170F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4,602</w:t>
            </w:r>
          </w:p>
        </w:tc>
      </w:tr>
      <w:tr w:rsidR="008A2056" w:rsidRPr="00B75B77" w:rsidTr="005E445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single" w:sz="8" w:space="0" w:color="448A99"/>
            </w:tcBorders>
            <w:shd w:val="clear" w:color="auto" w:fill="auto"/>
            <w:vAlign w:val="center"/>
          </w:tcPr>
          <w:p w:rsidR="008A2056" w:rsidRPr="00B75B77" w:rsidRDefault="008A2056" w:rsidP="004170F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3</w:t>
            </w:r>
          </w:p>
        </w:tc>
        <w:tc>
          <w:tcPr>
            <w:cnfStyle w:val="000010000000" w:firstRow="0" w:lastRow="0" w:firstColumn="0" w:lastColumn="0" w:oddVBand="1" w:evenVBand="0" w:oddHBand="0" w:evenHBand="0" w:firstRowFirstColumn="0" w:firstRowLastColumn="0" w:lastRowFirstColumn="0" w:lastRowLastColumn="0"/>
            <w:tcW w:w="5840" w:type="dxa"/>
            <w:tcBorders>
              <w:left w:val="single" w:sz="8" w:space="0" w:color="448A99"/>
              <w:right w:val="single" w:sz="8" w:space="0" w:color="448A99"/>
            </w:tcBorders>
            <w:shd w:val="clear" w:color="auto" w:fill="auto"/>
            <w:noWrap/>
            <w:vAlign w:val="center"/>
            <w:hideMark/>
          </w:tcPr>
          <w:p w:rsidR="008A2056" w:rsidRPr="00B75B77" w:rsidRDefault="008A2056" w:rsidP="004170FC">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EDC Incentives to Trade Allies</w:t>
            </w:r>
          </w:p>
        </w:tc>
        <w:tc>
          <w:tcPr>
            <w:tcW w:w="1263" w:type="dxa"/>
            <w:tcBorders>
              <w:left w:val="single" w:sz="8" w:space="0" w:color="448A99"/>
              <w:right w:val="single" w:sz="8" w:space="0" w:color="448A99"/>
            </w:tcBorders>
            <w:shd w:val="clear" w:color="auto" w:fill="auto"/>
            <w:noWrap/>
            <w:vAlign w:val="center"/>
            <w:hideMark/>
          </w:tcPr>
          <w:p w:rsidR="008A2056" w:rsidRPr="00B75B77" w:rsidRDefault="008A2056" w:rsidP="004170F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248</w:t>
            </w:r>
          </w:p>
        </w:tc>
        <w:tc>
          <w:tcPr>
            <w:cnfStyle w:val="000010000000" w:firstRow="0" w:lastRow="0" w:firstColumn="0" w:lastColumn="0" w:oddVBand="1" w:evenVBand="0" w:oddHBand="0" w:evenHBand="0" w:firstRowFirstColumn="0" w:firstRowLastColumn="0" w:lastRowFirstColumn="0" w:lastRowLastColumn="0"/>
            <w:tcW w:w="1347" w:type="dxa"/>
            <w:tcBorders>
              <w:left w:val="single" w:sz="8" w:space="0" w:color="448A99"/>
            </w:tcBorders>
            <w:shd w:val="clear" w:color="auto" w:fill="auto"/>
            <w:vAlign w:val="center"/>
            <w:hideMark/>
          </w:tcPr>
          <w:p w:rsidR="008A2056" w:rsidRPr="00B75B77" w:rsidRDefault="008A2056" w:rsidP="004170F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501</w:t>
            </w:r>
          </w:p>
        </w:tc>
      </w:tr>
      <w:tr w:rsidR="008A2056" w:rsidRPr="00B75B77" w:rsidTr="005E445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single" w:sz="8" w:space="0" w:color="448A99"/>
            </w:tcBorders>
            <w:vAlign w:val="center"/>
          </w:tcPr>
          <w:p w:rsidR="008A2056" w:rsidRPr="00B75B77" w:rsidDel="00B4154B" w:rsidRDefault="008A2056" w:rsidP="004170FC">
            <w:pPr>
              <w:keepNext/>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4</w:t>
            </w:r>
          </w:p>
        </w:tc>
        <w:tc>
          <w:tcPr>
            <w:cnfStyle w:val="000010000000" w:firstRow="0" w:lastRow="0" w:firstColumn="0" w:lastColumn="0" w:oddVBand="1" w:evenVBand="0" w:oddHBand="0" w:evenHBand="0" w:firstRowFirstColumn="0" w:firstRowLastColumn="0" w:lastRowFirstColumn="0" w:lastRowLastColumn="0"/>
            <w:tcW w:w="5840" w:type="dxa"/>
            <w:tcBorders>
              <w:left w:val="single" w:sz="8" w:space="0" w:color="448A99"/>
              <w:right w:val="single" w:sz="8" w:space="0" w:color="448A99"/>
            </w:tcBorders>
            <w:noWrap/>
            <w:vAlign w:val="center"/>
            <w:hideMark/>
          </w:tcPr>
          <w:p w:rsidR="008A2056" w:rsidRPr="00B75B77" w:rsidRDefault="008A2056" w:rsidP="004170FC">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Participant Costs (Net of Incentives/Rebates Paid by Utilities)</w:t>
            </w:r>
          </w:p>
        </w:tc>
        <w:tc>
          <w:tcPr>
            <w:tcW w:w="1263" w:type="dxa"/>
            <w:tcBorders>
              <w:left w:val="single" w:sz="8" w:space="0" w:color="448A99"/>
              <w:right w:val="single" w:sz="8" w:space="0" w:color="448A99"/>
            </w:tcBorders>
            <w:vAlign w:val="center"/>
            <w:hideMark/>
          </w:tcPr>
          <w:p w:rsidR="008A2056" w:rsidRPr="00B75B77" w:rsidRDefault="008A2056" w:rsidP="004170F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9,289</w:t>
            </w:r>
          </w:p>
        </w:tc>
        <w:tc>
          <w:tcPr>
            <w:cnfStyle w:val="000010000000" w:firstRow="0" w:lastRow="0" w:firstColumn="0" w:lastColumn="0" w:oddVBand="1" w:evenVBand="0" w:oddHBand="0" w:evenHBand="0" w:firstRowFirstColumn="0" w:firstRowLastColumn="0" w:lastRowFirstColumn="0" w:lastRowLastColumn="0"/>
            <w:tcW w:w="1347" w:type="dxa"/>
            <w:tcBorders>
              <w:left w:val="single" w:sz="8" w:space="0" w:color="448A99"/>
            </w:tcBorders>
            <w:vAlign w:val="center"/>
            <w:hideMark/>
          </w:tcPr>
          <w:p w:rsidR="008A2056" w:rsidRPr="00B75B77" w:rsidRDefault="008A2056" w:rsidP="004170F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15,932</w:t>
            </w:r>
          </w:p>
        </w:tc>
      </w:tr>
      <w:tr w:rsidR="008A2056" w:rsidRPr="00B75B77" w:rsidTr="005E4455">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512" w:type="dxa"/>
            <w:gridSpan w:val="4"/>
            <w:shd w:val="clear" w:color="auto" w:fill="AEAAAA"/>
            <w:vAlign w:val="center"/>
          </w:tcPr>
          <w:p w:rsidR="008A2056" w:rsidRPr="00B75B77" w:rsidRDefault="008A2056" w:rsidP="004170FC">
            <w:pPr>
              <w:keepNext/>
              <w:jc w:val="center"/>
              <w:rPr>
                <w:rFonts w:ascii="Calibri" w:eastAsia="Times New Roman" w:hAnsi="Calibri"/>
                <w:color w:val="000000"/>
                <w:sz w:val="12"/>
                <w:szCs w:val="18"/>
              </w:rPr>
            </w:pPr>
          </w:p>
        </w:tc>
      </w:tr>
      <w:tr w:rsidR="008A2056" w:rsidRPr="00B75B77" w:rsidTr="005E445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single" w:sz="8" w:space="0" w:color="448A99"/>
            </w:tcBorders>
            <w:shd w:val="clear" w:color="auto" w:fill="auto"/>
            <w:vAlign w:val="center"/>
          </w:tcPr>
          <w:p w:rsidR="008A2056" w:rsidRPr="00B75B77" w:rsidRDefault="008A2056" w:rsidP="004170F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5</w:t>
            </w:r>
          </w:p>
        </w:tc>
        <w:tc>
          <w:tcPr>
            <w:cnfStyle w:val="000010000000" w:firstRow="0" w:lastRow="0" w:firstColumn="0" w:lastColumn="0" w:oddVBand="1" w:evenVBand="0" w:oddHBand="0" w:evenHBand="0" w:firstRowFirstColumn="0" w:firstRowLastColumn="0" w:lastRowFirstColumn="0" w:lastRowLastColumn="0"/>
            <w:tcW w:w="5840" w:type="dxa"/>
            <w:tcBorders>
              <w:left w:val="single" w:sz="8" w:space="0" w:color="448A99"/>
              <w:right w:val="single" w:sz="8" w:space="0" w:color="448A99"/>
            </w:tcBorders>
            <w:shd w:val="clear" w:color="auto" w:fill="auto"/>
            <w:noWrap/>
            <w:vAlign w:val="center"/>
          </w:tcPr>
          <w:p w:rsidR="008A2056" w:rsidRPr="00B75B77" w:rsidRDefault="008A2056" w:rsidP="004170FC">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Program Overhead Costs (Sum of Rows 6 through 10 )</w:t>
            </w:r>
          </w:p>
        </w:tc>
        <w:tc>
          <w:tcPr>
            <w:tcW w:w="1263" w:type="dxa"/>
            <w:tcBorders>
              <w:left w:val="single" w:sz="8" w:space="0" w:color="448A99"/>
              <w:right w:val="single" w:sz="8" w:space="0" w:color="448A99"/>
            </w:tcBorders>
            <w:shd w:val="clear" w:color="auto" w:fill="auto"/>
            <w:noWrap/>
            <w:vAlign w:val="center"/>
          </w:tcPr>
          <w:p w:rsidR="008A2056" w:rsidRPr="00B75B77" w:rsidRDefault="008A2056" w:rsidP="004170F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1,194</w:t>
            </w:r>
          </w:p>
        </w:tc>
        <w:tc>
          <w:tcPr>
            <w:cnfStyle w:val="000010000000" w:firstRow="0" w:lastRow="0" w:firstColumn="0" w:lastColumn="0" w:oddVBand="1" w:evenVBand="0" w:oddHBand="0" w:evenHBand="0" w:firstRowFirstColumn="0" w:firstRowLastColumn="0" w:lastRowFirstColumn="0" w:lastRowLastColumn="0"/>
            <w:tcW w:w="1347" w:type="dxa"/>
            <w:tcBorders>
              <w:left w:val="single" w:sz="8" w:space="0" w:color="448A99"/>
            </w:tcBorders>
            <w:shd w:val="clear" w:color="auto" w:fill="auto"/>
            <w:vAlign w:val="center"/>
          </w:tcPr>
          <w:p w:rsidR="008A2056" w:rsidRPr="00B75B77" w:rsidRDefault="008A2056" w:rsidP="004170F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3,529</w:t>
            </w:r>
          </w:p>
        </w:tc>
      </w:tr>
      <w:tr w:rsidR="008A2056" w:rsidRPr="00B75B77" w:rsidTr="005E445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single" w:sz="8" w:space="0" w:color="448A99"/>
            </w:tcBorders>
            <w:shd w:val="clear" w:color="auto" w:fill="D2EAF1"/>
            <w:vAlign w:val="center"/>
          </w:tcPr>
          <w:p w:rsidR="008A2056" w:rsidRPr="00B75B77" w:rsidRDefault="008A2056" w:rsidP="004170F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6</w:t>
            </w:r>
          </w:p>
        </w:tc>
        <w:tc>
          <w:tcPr>
            <w:cnfStyle w:val="000010000000" w:firstRow="0" w:lastRow="0" w:firstColumn="0" w:lastColumn="0" w:oddVBand="1" w:evenVBand="0" w:oddHBand="0" w:evenHBand="0" w:firstRowFirstColumn="0" w:firstRowLastColumn="0" w:lastRowFirstColumn="0" w:lastRowLastColumn="0"/>
            <w:tcW w:w="5840" w:type="dxa"/>
            <w:tcBorders>
              <w:left w:val="single" w:sz="8" w:space="0" w:color="448A99"/>
              <w:right w:val="single" w:sz="8" w:space="0" w:color="448A99"/>
            </w:tcBorders>
            <w:shd w:val="clear" w:color="auto" w:fill="D2EAF1"/>
            <w:noWrap/>
            <w:vAlign w:val="center"/>
            <w:hideMark/>
          </w:tcPr>
          <w:p w:rsidR="008A2056" w:rsidRPr="00B75B77" w:rsidRDefault="008A2056" w:rsidP="004170FC">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Design </w:t>
            </w:r>
            <w:r w:rsidR="00951DD7" w:rsidRPr="00B75B77">
              <w:rPr>
                <w:rFonts w:ascii="Calibri" w:eastAsia="Times New Roman" w:hAnsi="Calibri"/>
                <w:color w:val="000000"/>
                <w:sz w:val="18"/>
                <w:szCs w:val="18"/>
              </w:rPr>
              <w:t>and</w:t>
            </w:r>
            <w:r w:rsidRPr="00B75B77">
              <w:rPr>
                <w:rFonts w:ascii="Calibri" w:eastAsia="Times New Roman" w:hAnsi="Calibri"/>
                <w:color w:val="000000"/>
                <w:sz w:val="18"/>
                <w:szCs w:val="18"/>
              </w:rPr>
              <w:t xml:space="preserve"> Development</w:t>
            </w:r>
          </w:p>
        </w:tc>
        <w:tc>
          <w:tcPr>
            <w:tcW w:w="1263" w:type="dxa"/>
            <w:tcBorders>
              <w:left w:val="single" w:sz="8" w:space="0" w:color="448A99"/>
              <w:right w:val="single" w:sz="8" w:space="0" w:color="448A99"/>
            </w:tcBorders>
            <w:shd w:val="clear" w:color="auto" w:fill="D2EAF1"/>
            <w:noWrap/>
            <w:vAlign w:val="center"/>
            <w:hideMark/>
          </w:tcPr>
          <w:p w:rsidR="008A2056" w:rsidRPr="00B75B77" w:rsidRDefault="008A2056" w:rsidP="004170F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w:t>
            </w:r>
          </w:p>
        </w:tc>
        <w:tc>
          <w:tcPr>
            <w:cnfStyle w:val="000010000000" w:firstRow="0" w:lastRow="0" w:firstColumn="0" w:lastColumn="0" w:oddVBand="1" w:evenVBand="0" w:oddHBand="0" w:evenHBand="0" w:firstRowFirstColumn="0" w:firstRowLastColumn="0" w:lastRowFirstColumn="0" w:lastRowLastColumn="0"/>
            <w:tcW w:w="1347" w:type="dxa"/>
            <w:tcBorders>
              <w:left w:val="single" w:sz="8" w:space="0" w:color="448A99"/>
            </w:tcBorders>
            <w:shd w:val="clear" w:color="auto" w:fill="D2EAF1"/>
            <w:vAlign w:val="center"/>
            <w:hideMark/>
          </w:tcPr>
          <w:p w:rsidR="008A2056" w:rsidRPr="00B75B77" w:rsidRDefault="008A2056" w:rsidP="004170F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8A2056" w:rsidRPr="00B75B77" w:rsidTr="005E44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2" w:type="dxa"/>
            <w:tcBorders>
              <w:right w:val="single" w:sz="8" w:space="0" w:color="448A99"/>
            </w:tcBorders>
            <w:shd w:val="clear" w:color="auto" w:fill="auto"/>
            <w:vAlign w:val="center"/>
          </w:tcPr>
          <w:p w:rsidR="008A2056" w:rsidRPr="00B75B77" w:rsidRDefault="008A2056" w:rsidP="004170F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7</w:t>
            </w:r>
          </w:p>
        </w:tc>
        <w:tc>
          <w:tcPr>
            <w:cnfStyle w:val="000010000000" w:firstRow="0" w:lastRow="0" w:firstColumn="0" w:lastColumn="0" w:oddVBand="1" w:evenVBand="0" w:oddHBand="0" w:evenHBand="0" w:firstRowFirstColumn="0" w:firstRowLastColumn="0" w:lastRowFirstColumn="0" w:lastRowLastColumn="0"/>
            <w:tcW w:w="5840" w:type="dxa"/>
            <w:tcBorders>
              <w:left w:val="single" w:sz="8" w:space="0" w:color="448A99"/>
              <w:right w:val="single" w:sz="8" w:space="0" w:color="448A99"/>
            </w:tcBorders>
            <w:shd w:val="clear" w:color="auto" w:fill="auto"/>
            <w:noWrap/>
            <w:vAlign w:val="center"/>
            <w:hideMark/>
          </w:tcPr>
          <w:p w:rsidR="008A2056" w:rsidRPr="00B75B77" w:rsidRDefault="008A2056" w:rsidP="004170FC">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Administration, Management</w:t>
            </w:r>
            <w:r w:rsidR="00951DD7" w:rsidRPr="00B75B77">
              <w:rPr>
                <w:rFonts w:ascii="Calibri" w:eastAsia="Times New Roman" w:hAnsi="Calibri"/>
                <w:color w:val="000000"/>
                <w:sz w:val="18"/>
                <w:szCs w:val="18"/>
              </w:rPr>
              <w:t>,</w:t>
            </w:r>
            <w:r w:rsidRPr="00B75B77">
              <w:rPr>
                <w:rFonts w:ascii="Calibri" w:eastAsia="Times New Roman" w:hAnsi="Calibri"/>
                <w:color w:val="000000"/>
                <w:sz w:val="18"/>
                <w:szCs w:val="18"/>
              </w:rPr>
              <w:t xml:space="preserve"> and Technical Assistance</w:t>
            </w:r>
            <w:r w:rsidRPr="00B75B77">
              <w:rPr>
                <w:rFonts w:ascii="Calibri" w:eastAsia="Times New Roman" w:hAnsi="Calibri"/>
                <w:b/>
                <w:bCs/>
                <w:color w:val="000000"/>
                <w:sz w:val="18"/>
                <w:szCs w:val="18"/>
                <w:vertAlign w:val="superscript"/>
              </w:rPr>
              <w:t>[1]</w:t>
            </w:r>
          </w:p>
        </w:tc>
        <w:tc>
          <w:tcPr>
            <w:tcW w:w="1263" w:type="dxa"/>
            <w:tcBorders>
              <w:left w:val="single" w:sz="8" w:space="0" w:color="448A99"/>
              <w:right w:val="single" w:sz="8" w:space="0" w:color="448A99"/>
            </w:tcBorders>
            <w:shd w:val="clear" w:color="auto" w:fill="auto"/>
            <w:noWrap/>
            <w:vAlign w:val="center"/>
            <w:hideMark/>
          </w:tcPr>
          <w:p w:rsidR="008A2056" w:rsidRPr="00B75B77" w:rsidRDefault="008A2056" w:rsidP="004170F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1,102</w:t>
            </w:r>
          </w:p>
        </w:tc>
        <w:tc>
          <w:tcPr>
            <w:cnfStyle w:val="000010000000" w:firstRow="0" w:lastRow="0" w:firstColumn="0" w:lastColumn="0" w:oddVBand="1" w:evenVBand="0" w:oddHBand="0" w:evenHBand="0" w:firstRowFirstColumn="0" w:firstRowLastColumn="0" w:lastRowFirstColumn="0" w:lastRowLastColumn="0"/>
            <w:tcW w:w="1347" w:type="dxa"/>
            <w:tcBorders>
              <w:left w:val="single" w:sz="8" w:space="0" w:color="448A99"/>
            </w:tcBorders>
            <w:shd w:val="clear" w:color="auto" w:fill="auto"/>
            <w:vAlign w:val="center"/>
            <w:hideMark/>
          </w:tcPr>
          <w:p w:rsidR="008A2056" w:rsidRPr="00B75B77" w:rsidRDefault="008A2056" w:rsidP="004170F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3,437</w:t>
            </w:r>
          </w:p>
        </w:tc>
      </w:tr>
      <w:tr w:rsidR="008A2056" w:rsidRPr="00B75B77" w:rsidTr="005E445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single" w:sz="8" w:space="0" w:color="448A99"/>
            </w:tcBorders>
            <w:shd w:val="clear" w:color="auto" w:fill="D2EAF1"/>
            <w:vAlign w:val="center"/>
          </w:tcPr>
          <w:p w:rsidR="008A2056" w:rsidRPr="00B75B77" w:rsidRDefault="008A2056" w:rsidP="004170F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8</w:t>
            </w:r>
          </w:p>
        </w:tc>
        <w:tc>
          <w:tcPr>
            <w:cnfStyle w:val="000010000000" w:firstRow="0" w:lastRow="0" w:firstColumn="0" w:lastColumn="0" w:oddVBand="1" w:evenVBand="0" w:oddHBand="0" w:evenHBand="0" w:firstRowFirstColumn="0" w:firstRowLastColumn="0" w:lastRowFirstColumn="0" w:lastRowLastColumn="0"/>
            <w:tcW w:w="5840" w:type="dxa"/>
            <w:tcBorders>
              <w:left w:val="single" w:sz="8" w:space="0" w:color="448A99"/>
              <w:right w:val="single" w:sz="8" w:space="0" w:color="448A99"/>
            </w:tcBorders>
            <w:shd w:val="clear" w:color="auto" w:fill="D2EAF1"/>
            <w:noWrap/>
            <w:vAlign w:val="center"/>
            <w:hideMark/>
          </w:tcPr>
          <w:p w:rsidR="008A2056" w:rsidRPr="00B75B77" w:rsidRDefault="008A2056" w:rsidP="004170FC">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Marketing</w:t>
            </w:r>
            <w:r w:rsidRPr="00B75B77">
              <w:rPr>
                <w:rFonts w:ascii="Calibri" w:eastAsia="Times New Roman" w:hAnsi="Calibri"/>
                <w:b/>
                <w:bCs/>
                <w:color w:val="000000"/>
                <w:sz w:val="18"/>
                <w:szCs w:val="18"/>
                <w:vertAlign w:val="superscript"/>
              </w:rPr>
              <w:t>[2]</w:t>
            </w:r>
          </w:p>
        </w:tc>
        <w:tc>
          <w:tcPr>
            <w:tcW w:w="1263" w:type="dxa"/>
            <w:tcBorders>
              <w:left w:val="single" w:sz="8" w:space="0" w:color="448A99"/>
              <w:right w:val="single" w:sz="8" w:space="0" w:color="448A99"/>
            </w:tcBorders>
            <w:shd w:val="clear" w:color="auto" w:fill="D2EAF1"/>
            <w:noWrap/>
            <w:vAlign w:val="center"/>
            <w:hideMark/>
          </w:tcPr>
          <w:p w:rsidR="008A2056" w:rsidRPr="00B75B77" w:rsidRDefault="008A2056" w:rsidP="004170F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92</w:t>
            </w:r>
          </w:p>
        </w:tc>
        <w:tc>
          <w:tcPr>
            <w:cnfStyle w:val="000010000000" w:firstRow="0" w:lastRow="0" w:firstColumn="0" w:lastColumn="0" w:oddVBand="1" w:evenVBand="0" w:oddHBand="0" w:evenHBand="0" w:firstRowFirstColumn="0" w:firstRowLastColumn="0" w:lastRowFirstColumn="0" w:lastRowLastColumn="0"/>
            <w:tcW w:w="1347" w:type="dxa"/>
            <w:tcBorders>
              <w:left w:val="single" w:sz="8" w:space="0" w:color="448A99"/>
            </w:tcBorders>
            <w:shd w:val="clear" w:color="auto" w:fill="D2EAF1"/>
            <w:vAlign w:val="center"/>
            <w:hideMark/>
          </w:tcPr>
          <w:p w:rsidR="008A2056" w:rsidRPr="00B75B77" w:rsidRDefault="008A2056" w:rsidP="004170F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92</w:t>
            </w:r>
          </w:p>
        </w:tc>
      </w:tr>
      <w:tr w:rsidR="008A2056" w:rsidRPr="00B75B77" w:rsidTr="005E445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single" w:sz="8" w:space="0" w:color="448A99"/>
            </w:tcBorders>
            <w:shd w:val="clear" w:color="auto" w:fill="auto"/>
            <w:vAlign w:val="center"/>
          </w:tcPr>
          <w:p w:rsidR="008A2056" w:rsidRPr="00B75B77" w:rsidRDefault="008A2056" w:rsidP="004170FC">
            <w:pPr>
              <w:keepNext/>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9</w:t>
            </w:r>
          </w:p>
        </w:tc>
        <w:tc>
          <w:tcPr>
            <w:cnfStyle w:val="000010000000" w:firstRow="0" w:lastRow="0" w:firstColumn="0" w:lastColumn="0" w:oddVBand="1" w:evenVBand="0" w:oddHBand="0" w:evenHBand="0" w:firstRowFirstColumn="0" w:firstRowLastColumn="0" w:lastRowFirstColumn="0" w:lastRowLastColumn="0"/>
            <w:tcW w:w="5840" w:type="dxa"/>
            <w:tcBorders>
              <w:left w:val="single" w:sz="8" w:space="0" w:color="448A99"/>
              <w:right w:val="single" w:sz="8" w:space="0" w:color="448A99"/>
            </w:tcBorders>
            <w:shd w:val="clear" w:color="auto" w:fill="auto"/>
            <w:noWrap/>
            <w:vAlign w:val="center"/>
          </w:tcPr>
          <w:p w:rsidR="008A2056" w:rsidRPr="00B75B77" w:rsidRDefault="008A2056" w:rsidP="004170FC">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EDC Evaluation Costs</w:t>
            </w:r>
          </w:p>
        </w:tc>
        <w:tc>
          <w:tcPr>
            <w:tcW w:w="1263" w:type="dxa"/>
            <w:tcBorders>
              <w:left w:val="single" w:sz="8" w:space="0" w:color="448A99"/>
              <w:right w:val="single" w:sz="8" w:space="0" w:color="448A99"/>
            </w:tcBorders>
            <w:shd w:val="clear" w:color="auto" w:fill="auto"/>
            <w:noWrap/>
            <w:vAlign w:val="center"/>
            <w:hideMark/>
          </w:tcPr>
          <w:p w:rsidR="008A2056" w:rsidRPr="00B75B77" w:rsidRDefault="008A2056" w:rsidP="004170F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Cs/>
                <w:color w:val="000000"/>
                <w:sz w:val="18"/>
                <w:szCs w:val="18"/>
              </w:rPr>
            </w:pPr>
            <w:r w:rsidRPr="00B75B77">
              <w:rPr>
                <w:rFonts w:ascii="Calibri" w:eastAsia="Times New Roman" w:hAnsi="Calibri"/>
                <w:bCs/>
                <w:color w:val="000000"/>
                <w:sz w:val="18"/>
                <w:szCs w:val="18"/>
              </w:rPr>
              <w:t>0</w:t>
            </w:r>
          </w:p>
        </w:tc>
        <w:tc>
          <w:tcPr>
            <w:cnfStyle w:val="000010000000" w:firstRow="0" w:lastRow="0" w:firstColumn="0" w:lastColumn="0" w:oddVBand="1" w:evenVBand="0" w:oddHBand="0" w:evenHBand="0" w:firstRowFirstColumn="0" w:firstRowLastColumn="0" w:lastRowFirstColumn="0" w:lastRowLastColumn="0"/>
            <w:tcW w:w="1347" w:type="dxa"/>
            <w:tcBorders>
              <w:left w:val="single" w:sz="8" w:space="0" w:color="448A99"/>
            </w:tcBorders>
            <w:shd w:val="clear" w:color="auto" w:fill="auto"/>
            <w:vAlign w:val="center"/>
            <w:hideMark/>
          </w:tcPr>
          <w:p w:rsidR="008A2056" w:rsidRPr="00B75B77" w:rsidRDefault="008A2056" w:rsidP="004170FC">
            <w:pPr>
              <w:keepNext/>
              <w:jc w:val="center"/>
              <w:rPr>
                <w:rFonts w:ascii="Calibri" w:eastAsia="Times New Roman" w:hAnsi="Calibri"/>
                <w:bCs/>
                <w:color w:val="000000"/>
                <w:sz w:val="18"/>
                <w:szCs w:val="18"/>
              </w:rPr>
            </w:pPr>
            <w:r w:rsidRPr="00B75B77">
              <w:rPr>
                <w:rFonts w:ascii="Calibri" w:eastAsia="Times New Roman" w:hAnsi="Calibri"/>
                <w:bCs/>
                <w:color w:val="000000"/>
                <w:sz w:val="18"/>
                <w:szCs w:val="18"/>
              </w:rPr>
              <w:t>0</w:t>
            </w:r>
          </w:p>
        </w:tc>
      </w:tr>
      <w:tr w:rsidR="008A2056" w:rsidRPr="00B75B77" w:rsidTr="005E445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single" w:sz="8" w:space="0" w:color="448A99"/>
            </w:tcBorders>
            <w:shd w:val="clear" w:color="auto" w:fill="D2EAF1"/>
            <w:vAlign w:val="center"/>
          </w:tcPr>
          <w:p w:rsidR="008A2056" w:rsidRPr="00B75B77" w:rsidRDefault="008A2056" w:rsidP="004170FC">
            <w:pPr>
              <w:keepNext/>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10</w:t>
            </w:r>
          </w:p>
        </w:tc>
        <w:tc>
          <w:tcPr>
            <w:cnfStyle w:val="000010000000" w:firstRow="0" w:lastRow="0" w:firstColumn="0" w:lastColumn="0" w:oddVBand="1" w:evenVBand="0" w:oddHBand="0" w:evenHBand="0" w:firstRowFirstColumn="0" w:firstRowLastColumn="0" w:lastRowFirstColumn="0" w:lastRowLastColumn="0"/>
            <w:tcW w:w="5840" w:type="dxa"/>
            <w:tcBorders>
              <w:left w:val="single" w:sz="8" w:space="0" w:color="448A99"/>
              <w:right w:val="single" w:sz="8" w:space="0" w:color="448A99"/>
            </w:tcBorders>
            <w:shd w:val="clear" w:color="auto" w:fill="D2EAF1"/>
            <w:noWrap/>
            <w:vAlign w:val="center"/>
          </w:tcPr>
          <w:p w:rsidR="008A2056" w:rsidRPr="00B75B77" w:rsidRDefault="008A2056" w:rsidP="004170FC">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SWE Audit Costs</w:t>
            </w:r>
          </w:p>
        </w:tc>
        <w:tc>
          <w:tcPr>
            <w:tcW w:w="1263" w:type="dxa"/>
            <w:tcBorders>
              <w:left w:val="single" w:sz="8" w:space="0" w:color="448A99"/>
              <w:right w:val="single" w:sz="8" w:space="0" w:color="448A99"/>
            </w:tcBorders>
            <w:shd w:val="clear" w:color="auto" w:fill="D2EAF1"/>
            <w:noWrap/>
            <w:vAlign w:val="center"/>
          </w:tcPr>
          <w:p w:rsidR="008A2056" w:rsidRPr="00B75B77" w:rsidRDefault="008A2056" w:rsidP="004170F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w:t>
            </w:r>
          </w:p>
        </w:tc>
        <w:tc>
          <w:tcPr>
            <w:cnfStyle w:val="000010000000" w:firstRow="0" w:lastRow="0" w:firstColumn="0" w:lastColumn="0" w:oddVBand="1" w:evenVBand="0" w:oddHBand="0" w:evenHBand="0" w:firstRowFirstColumn="0" w:firstRowLastColumn="0" w:lastRowFirstColumn="0" w:lastRowLastColumn="0"/>
            <w:tcW w:w="1347" w:type="dxa"/>
            <w:tcBorders>
              <w:left w:val="single" w:sz="8" w:space="0" w:color="448A99"/>
            </w:tcBorders>
            <w:shd w:val="clear" w:color="auto" w:fill="D2EAF1"/>
            <w:vAlign w:val="center"/>
          </w:tcPr>
          <w:p w:rsidR="008A2056" w:rsidRPr="00B75B77" w:rsidRDefault="008A2056" w:rsidP="004170F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8A2056" w:rsidRPr="00B75B77" w:rsidTr="005E4455">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512" w:type="dxa"/>
            <w:gridSpan w:val="4"/>
            <w:shd w:val="clear" w:color="auto" w:fill="AEAAAA"/>
            <w:vAlign w:val="center"/>
          </w:tcPr>
          <w:p w:rsidR="008A2056" w:rsidRPr="00B75B77" w:rsidRDefault="008A2056" w:rsidP="004170FC">
            <w:pPr>
              <w:keepNext/>
              <w:jc w:val="center"/>
              <w:rPr>
                <w:rFonts w:ascii="Calibri" w:eastAsia="Times New Roman" w:hAnsi="Calibri"/>
                <w:b w:val="0"/>
                <w:bCs w:val="0"/>
                <w:color w:val="000000"/>
                <w:sz w:val="12"/>
                <w:szCs w:val="18"/>
              </w:rPr>
            </w:pPr>
          </w:p>
        </w:tc>
      </w:tr>
      <w:tr w:rsidR="008A2056" w:rsidRPr="00B75B77" w:rsidTr="005E445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single" w:sz="8" w:space="0" w:color="448A99"/>
            </w:tcBorders>
            <w:shd w:val="clear" w:color="auto" w:fill="auto"/>
            <w:vAlign w:val="center"/>
          </w:tcPr>
          <w:p w:rsidR="008A2056" w:rsidRPr="00B75B77" w:rsidRDefault="008A2056" w:rsidP="004170FC">
            <w:pPr>
              <w:keepNext/>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11</w:t>
            </w:r>
          </w:p>
        </w:tc>
        <w:tc>
          <w:tcPr>
            <w:cnfStyle w:val="000010000000" w:firstRow="0" w:lastRow="0" w:firstColumn="0" w:lastColumn="0" w:oddVBand="1" w:evenVBand="0" w:oddHBand="0" w:evenHBand="0" w:firstRowFirstColumn="0" w:firstRowLastColumn="0" w:lastRowFirstColumn="0" w:lastRowLastColumn="0"/>
            <w:tcW w:w="5840" w:type="dxa"/>
            <w:tcBorders>
              <w:left w:val="single" w:sz="8" w:space="0" w:color="448A99"/>
              <w:right w:val="single" w:sz="8" w:space="0" w:color="448A99"/>
            </w:tcBorders>
            <w:shd w:val="clear" w:color="auto" w:fill="auto"/>
            <w:noWrap/>
            <w:vAlign w:val="center"/>
          </w:tcPr>
          <w:p w:rsidR="008A2056" w:rsidRPr="00B75B77" w:rsidRDefault="008A2056" w:rsidP="004170FC">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Increases in Costs of Natural Gas (or Other Fuels) for Fuel-Switching Programs</w:t>
            </w:r>
          </w:p>
        </w:tc>
        <w:tc>
          <w:tcPr>
            <w:tcW w:w="1263" w:type="dxa"/>
            <w:tcBorders>
              <w:left w:val="single" w:sz="8" w:space="0" w:color="448A99"/>
              <w:right w:val="single" w:sz="8" w:space="0" w:color="448A99"/>
            </w:tcBorders>
            <w:shd w:val="clear" w:color="auto" w:fill="auto"/>
            <w:noWrap/>
            <w:vAlign w:val="center"/>
          </w:tcPr>
          <w:p w:rsidR="008A2056" w:rsidRPr="00B75B77" w:rsidRDefault="008A2056" w:rsidP="004170F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Cs/>
                <w:color w:val="000000"/>
                <w:sz w:val="18"/>
                <w:szCs w:val="18"/>
              </w:rPr>
            </w:pPr>
            <w:r w:rsidRPr="00B75B77">
              <w:rPr>
                <w:rFonts w:ascii="Calibri" w:eastAsia="Times New Roman" w:hAnsi="Calibri"/>
                <w:bCs/>
                <w:color w:val="000000"/>
                <w:sz w:val="18"/>
                <w:szCs w:val="18"/>
              </w:rPr>
              <w:t>0</w:t>
            </w:r>
          </w:p>
        </w:tc>
        <w:tc>
          <w:tcPr>
            <w:cnfStyle w:val="000010000000" w:firstRow="0" w:lastRow="0" w:firstColumn="0" w:lastColumn="0" w:oddVBand="1" w:evenVBand="0" w:oddHBand="0" w:evenHBand="0" w:firstRowFirstColumn="0" w:firstRowLastColumn="0" w:lastRowFirstColumn="0" w:lastRowLastColumn="0"/>
            <w:tcW w:w="1347" w:type="dxa"/>
            <w:tcBorders>
              <w:left w:val="single" w:sz="8" w:space="0" w:color="448A99"/>
            </w:tcBorders>
            <w:shd w:val="clear" w:color="auto" w:fill="auto"/>
            <w:vAlign w:val="center"/>
          </w:tcPr>
          <w:p w:rsidR="008A2056" w:rsidRPr="00B75B77" w:rsidRDefault="008A2056" w:rsidP="004170FC">
            <w:pPr>
              <w:keepNext/>
              <w:jc w:val="center"/>
              <w:rPr>
                <w:rFonts w:ascii="Calibri" w:eastAsia="Times New Roman" w:hAnsi="Calibri"/>
                <w:bCs/>
                <w:color w:val="000000"/>
                <w:sz w:val="18"/>
                <w:szCs w:val="18"/>
              </w:rPr>
            </w:pPr>
            <w:r w:rsidRPr="00B75B77">
              <w:rPr>
                <w:rFonts w:ascii="Calibri" w:eastAsia="Times New Roman" w:hAnsi="Calibri"/>
                <w:bCs/>
                <w:color w:val="000000"/>
                <w:sz w:val="18"/>
                <w:szCs w:val="18"/>
              </w:rPr>
              <w:t>0</w:t>
            </w:r>
          </w:p>
        </w:tc>
      </w:tr>
      <w:tr w:rsidR="008A2056" w:rsidRPr="00B75B77" w:rsidTr="005E4455">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512" w:type="dxa"/>
            <w:gridSpan w:val="4"/>
            <w:shd w:val="clear" w:color="auto" w:fill="AEAAAA"/>
            <w:vAlign w:val="center"/>
          </w:tcPr>
          <w:p w:rsidR="008A2056" w:rsidRPr="00B75B77" w:rsidRDefault="008A2056" w:rsidP="004170FC">
            <w:pPr>
              <w:keepNext/>
              <w:jc w:val="center"/>
              <w:rPr>
                <w:rFonts w:ascii="Calibri" w:eastAsia="Times New Roman" w:hAnsi="Calibri"/>
                <w:b w:val="0"/>
                <w:bCs w:val="0"/>
                <w:color w:val="000000"/>
                <w:sz w:val="12"/>
                <w:szCs w:val="18"/>
              </w:rPr>
            </w:pPr>
          </w:p>
        </w:tc>
      </w:tr>
      <w:tr w:rsidR="008A2056" w:rsidRPr="00B75B77" w:rsidTr="005E445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single" w:sz="8" w:space="0" w:color="448A99"/>
            </w:tcBorders>
            <w:shd w:val="clear" w:color="auto" w:fill="D2EAF1"/>
            <w:vAlign w:val="center"/>
          </w:tcPr>
          <w:p w:rsidR="008A2056" w:rsidRPr="00B75B77" w:rsidRDefault="008A2056" w:rsidP="004170FC">
            <w:pPr>
              <w:keepNext/>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12</w:t>
            </w:r>
          </w:p>
        </w:tc>
        <w:tc>
          <w:tcPr>
            <w:cnfStyle w:val="000010000000" w:firstRow="0" w:lastRow="0" w:firstColumn="0" w:lastColumn="0" w:oddVBand="1" w:evenVBand="0" w:oddHBand="0" w:evenHBand="0" w:firstRowFirstColumn="0" w:firstRowLastColumn="0" w:lastRowFirstColumn="0" w:lastRowLastColumn="0"/>
            <w:tcW w:w="5840" w:type="dxa"/>
            <w:tcBorders>
              <w:left w:val="single" w:sz="8" w:space="0" w:color="448A99"/>
              <w:right w:val="single" w:sz="8" w:space="0" w:color="448A99"/>
            </w:tcBorders>
            <w:noWrap/>
            <w:vAlign w:val="center"/>
            <w:hideMark/>
          </w:tcPr>
          <w:p w:rsidR="008A2056" w:rsidRPr="00B75B77" w:rsidRDefault="008A2056" w:rsidP="004170FC">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Total  TRC Costs</w:t>
            </w:r>
            <w:r w:rsidRPr="00B75B77">
              <w:rPr>
                <w:rFonts w:ascii="Calibri" w:eastAsia="Times New Roman" w:hAnsi="Calibri"/>
                <w:bCs/>
                <w:color w:val="000000"/>
                <w:sz w:val="18"/>
                <w:szCs w:val="18"/>
                <w:vertAlign w:val="superscript"/>
              </w:rPr>
              <w:t xml:space="preserve">[3] </w:t>
            </w:r>
            <w:r w:rsidRPr="00B75B77">
              <w:rPr>
                <w:rFonts w:ascii="Calibri" w:eastAsia="Times New Roman" w:hAnsi="Calibri"/>
                <w:bCs/>
                <w:color w:val="000000"/>
                <w:sz w:val="18"/>
                <w:szCs w:val="18"/>
              </w:rPr>
              <w:t>(Sum of Rows 1, 5</w:t>
            </w:r>
            <w:r w:rsidR="00951DD7" w:rsidRPr="00B75B77">
              <w:rPr>
                <w:rFonts w:ascii="Calibri" w:eastAsia="Times New Roman" w:hAnsi="Calibri"/>
                <w:bCs/>
                <w:color w:val="000000"/>
                <w:sz w:val="18"/>
                <w:szCs w:val="18"/>
              </w:rPr>
              <w:t>,</w:t>
            </w:r>
            <w:r w:rsidRPr="00B75B77">
              <w:rPr>
                <w:rFonts w:ascii="Calibri" w:eastAsia="Times New Roman" w:hAnsi="Calibri"/>
                <w:bCs/>
                <w:color w:val="000000"/>
                <w:sz w:val="18"/>
                <w:szCs w:val="18"/>
              </w:rPr>
              <w:t xml:space="preserve"> and 11)</w:t>
            </w:r>
          </w:p>
        </w:tc>
        <w:tc>
          <w:tcPr>
            <w:tcW w:w="1263" w:type="dxa"/>
            <w:tcBorders>
              <w:left w:val="single" w:sz="8" w:space="0" w:color="448A99"/>
              <w:right w:val="single" w:sz="8" w:space="0" w:color="448A99"/>
            </w:tcBorders>
            <w:shd w:val="clear" w:color="auto" w:fill="DAEEF3" w:themeFill="accent5" w:themeFillTint="33"/>
            <w:noWrap/>
            <w:vAlign w:val="center"/>
            <w:hideMark/>
          </w:tcPr>
          <w:p w:rsidR="008A2056" w:rsidRPr="00B75B77" w:rsidRDefault="008A2056" w:rsidP="004170F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Cs/>
                <w:color w:val="000000"/>
                <w:sz w:val="18"/>
                <w:szCs w:val="18"/>
              </w:rPr>
            </w:pPr>
            <w:r w:rsidRPr="00B75B77">
              <w:rPr>
                <w:rFonts w:ascii="Calibri" w:eastAsia="Times New Roman" w:hAnsi="Calibri"/>
                <w:bCs/>
                <w:color w:val="000000"/>
                <w:sz w:val="18"/>
                <w:szCs w:val="18"/>
              </w:rPr>
              <w:t>13,316</w:t>
            </w:r>
          </w:p>
        </w:tc>
        <w:tc>
          <w:tcPr>
            <w:cnfStyle w:val="000010000000" w:firstRow="0" w:lastRow="0" w:firstColumn="0" w:lastColumn="0" w:oddVBand="1" w:evenVBand="0" w:oddHBand="0" w:evenHBand="0" w:firstRowFirstColumn="0" w:firstRowLastColumn="0" w:lastRowFirstColumn="0" w:lastRowLastColumn="0"/>
            <w:tcW w:w="1347" w:type="dxa"/>
            <w:tcBorders>
              <w:left w:val="single" w:sz="8" w:space="0" w:color="448A99"/>
            </w:tcBorders>
            <w:vAlign w:val="center"/>
            <w:hideMark/>
          </w:tcPr>
          <w:p w:rsidR="008A2056" w:rsidRPr="00B75B77" w:rsidRDefault="008A2056" w:rsidP="004170FC">
            <w:pPr>
              <w:keepNext/>
              <w:jc w:val="center"/>
              <w:rPr>
                <w:rFonts w:ascii="Calibri" w:eastAsia="Times New Roman" w:hAnsi="Calibri"/>
                <w:bCs/>
                <w:color w:val="000000"/>
                <w:sz w:val="18"/>
                <w:szCs w:val="18"/>
              </w:rPr>
            </w:pPr>
            <w:r w:rsidRPr="00B75B77">
              <w:rPr>
                <w:rFonts w:ascii="Calibri" w:eastAsia="Times New Roman" w:hAnsi="Calibri"/>
                <w:bCs/>
                <w:color w:val="000000"/>
                <w:sz w:val="18"/>
                <w:szCs w:val="18"/>
              </w:rPr>
              <w:t>24,563</w:t>
            </w:r>
          </w:p>
        </w:tc>
      </w:tr>
      <w:tr w:rsidR="008A2056" w:rsidRPr="00B75B77" w:rsidTr="005E445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single" w:sz="8" w:space="0" w:color="448A99"/>
            </w:tcBorders>
            <w:shd w:val="clear" w:color="auto" w:fill="auto"/>
            <w:vAlign w:val="center"/>
          </w:tcPr>
          <w:p w:rsidR="008A2056" w:rsidRPr="00B75B77" w:rsidRDefault="008A2056" w:rsidP="004170FC">
            <w:pPr>
              <w:keepNext/>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13</w:t>
            </w:r>
          </w:p>
        </w:tc>
        <w:tc>
          <w:tcPr>
            <w:cnfStyle w:val="000010000000" w:firstRow="0" w:lastRow="0" w:firstColumn="0" w:lastColumn="0" w:oddVBand="1" w:evenVBand="0" w:oddHBand="0" w:evenHBand="0" w:firstRowFirstColumn="0" w:firstRowLastColumn="0" w:lastRowFirstColumn="0" w:lastRowLastColumn="0"/>
            <w:tcW w:w="5840" w:type="dxa"/>
            <w:tcBorders>
              <w:left w:val="single" w:sz="8" w:space="0" w:color="448A99"/>
              <w:right w:val="single" w:sz="8" w:space="0" w:color="448A99"/>
            </w:tcBorders>
            <w:shd w:val="clear" w:color="auto" w:fill="auto"/>
            <w:noWrap/>
            <w:vAlign w:val="center"/>
            <w:hideMark/>
          </w:tcPr>
          <w:p w:rsidR="008A2056" w:rsidRPr="00B75B77" w:rsidRDefault="008A2056" w:rsidP="004170FC">
            <w:pPr>
              <w:keepNext/>
              <w:jc w:val="left"/>
              <w:rPr>
                <w:rFonts w:ascii="Calibri" w:eastAsia="Times New Roman" w:hAnsi="Calibri"/>
                <w:color w:val="000000"/>
                <w:sz w:val="18"/>
                <w:szCs w:val="18"/>
              </w:rPr>
            </w:pPr>
            <w:r w:rsidRPr="00B75B77">
              <w:rPr>
                <w:rFonts w:ascii="Calibri" w:eastAsia="Times New Roman" w:hAnsi="Calibri"/>
                <w:bCs/>
                <w:color w:val="000000"/>
                <w:sz w:val="18"/>
                <w:szCs w:val="18"/>
              </w:rPr>
              <w:t>Total NPV Lifetime Energy Benefits</w:t>
            </w:r>
          </w:p>
        </w:tc>
        <w:tc>
          <w:tcPr>
            <w:tcW w:w="1263" w:type="dxa"/>
            <w:tcBorders>
              <w:left w:val="single" w:sz="8" w:space="0" w:color="448A99"/>
              <w:bottom w:val="single" w:sz="8" w:space="0" w:color="448A99"/>
              <w:right w:val="single" w:sz="8" w:space="0" w:color="448A99"/>
            </w:tcBorders>
            <w:shd w:val="clear" w:color="auto" w:fill="auto"/>
            <w:noWrap/>
            <w:vAlign w:val="center"/>
            <w:hideMark/>
          </w:tcPr>
          <w:p w:rsidR="008A2056" w:rsidRPr="00B75B77" w:rsidRDefault="008A2056" w:rsidP="004170F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Cs/>
                <w:color w:val="000000"/>
                <w:sz w:val="18"/>
                <w:szCs w:val="18"/>
              </w:rPr>
            </w:pPr>
            <w:r w:rsidRPr="00B75B77">
              <w:rPr>
                <w:rFonts w:ascii="Calibri" w:eastAsia="Times New Roman" w:hAnsi="Calibri"/>
                <w:bCs/>
                <w:color w:val="000000"/>
                <w:sz w:val="18"/>
                <w:szCs w:val="18"/>
              </w:rPr>
              <w:t>16,197</w:t>
            </w:r>
          </w:p>
        </w:tc>
        <w:tc>
          <w:tcPr>
            <w:cnfStyle w:val="000010000000" w:firstRow="0" w:lastRow="0" w:firstColumn="0" w:lastColumn="0" w:oddVBand="1" w:evenVBand="0" w:oddHBand="0" w:evenHBand="0" w:firstRowFirstColumn="0" w:firstRowLastColumn="0" w:lastRowFirstColumn="0" w:lastRowLastColumn="0"/>
            <w:tcW w:w="1347" w:type="dxa"/>
            <w:tcBorders>
              <w:left w:val="single" w:sz="8" w:space="0" w:color="448A99"/>
            </w:tcBorders>
            <w:shd w:val="clear" w:color="auto" w:fill="auto"/>
            <w:vAlign w:val="center"/>
            <w:hideMark/>
          </w:tcPr>
          <w:p w:rsidR="008A2056" w:rsidRPr="00B75B77" w:rsidRDefault="008A2056" w:rsidP="004170FC">
            <w:pPr>
              <w:keepNext/>
              <w:jc w:val="center"/>
              <w:rPr>
                <w:rFonts w:ascii="Calibri" w:eastAsia="Times New Roman" w:hAnsi="Calibri"/>
                <w:bCs/>
                <w:color w:val="000000"/>
                <w:sz w:val="18"/>
                <w:szCs w:val="18"/>
              </w:rPr>
            </w:pPr>
            <w:r w:rsidRPr="00B75B77">
              <w:rPr>
                <w:rFonts w:ascii="Calibri" w:eastAsia="Times New Roman" w:hAnsi="Calibri"/>
                <w:bCs/>
                <w:color w:val="000000"/>
                <w:sz w:val="18"/>
                <w:szCs w:val="18"/>
              </w:rPr>
              <w:t>30,578</w:t>
            </w:r>
          </w:p>
        </w:tc>
      </w:tr>
      <w:tr w:rsidR="008A2056" w:rsidRPr="00B75B77" w:rsidTr="005E445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single" w:sz="8" w:space="0" w:color="448A99"/>
            </w:tcBorders>
            <w:shd w:val="clear" w:color="auto" w:fill="D2EAF1"/>
            <w:vAlign w:val="center"/>
          </w:tcPr>
          <w:p w:rsidR="008A2056" w:rsidRPr="00B75B77" w:rsidRDefault="008A2056" w:rsidP="004170FC">
            <w:pPr>
              <w:keepNext/>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14</w:t>
            </w:r>
          </w:p>
        </w:tc>
        <w:tc>
          <w:tcPr>
            <w:cnfStyle w:val="000010000000" w:firstRow="0" w:lastRow="0" w:firstColumn="0" w:lastColumn="0" w:oddVBand="1" w:evenVBand="0" w:oddHBand="0" w:evenHBand="0" w:firstRowFirstColumn="0" w:firstRowLastColumn="0" w:lastRowFirstColumn="0" w:lastRowLastColumn="0"/>
            <w:tcW w:w="5840" w:type="dxa"/>
            <w:tcBorders>
              <w:left w:val="single" w:sz="8" w:space="0" w:color="448A99"/>
              <w:right w:val="single" w:sz="8" w:space="0" w:color="448A99"/>
            </w:tcBorders>
            <w:noWrap/>
            <w:vAlign w:val="center"/>
            <w:hideMark/>
          </w:tcPr>
          <w:p w:rsidR="008A2056" w:rsidRPr="00B75B77" w:rsidRDefault="008A2056" w:rsidP="004170FC">
            <w:pPr>
              <w:keepNext/>
              <w:jc w:val="left"/>
              <w:rPr>
                <w:rFonts w:ascii="Calibri" w:eastAsia="Times New Roman" w:hAnsi="Calibri"/>
                <w:color w:val="000000"/>
                <w:sz w:val="18"/>
                <w:szCs w:val="18"/>
              </w:rPr>
            </w:pPr>
            <w:r w:rsidRPr="00B75B77">
              <w:rPr>
                <w:rFonts w:ascii="Calibri" w:eastAsia="Times New Roman" w:hAnsi="Calibri"/>
                <w:bCs/>
                <w:color w:val="000000"/>
                <w:sz w:val="18"/>
                <w:szCs w:val="18"/>
              </w:rPr>
              <w:t>Total NPV Lifetime Capacity Benefits</w:t>
            </w:r>
          </w:p>
        </w:tc>
        <w:tc>
          <w:tcPr>
            <w:tcW w:w="1263" w:type="dxa"/>
            <w:tcBorders>
              <w:left w:val="single" w:sz="8" w:space="0" w:color="448A99"/>
              <w:right w:val="single" w:sz="8" w:space="0" w:color="448A99"/>
            </w:tcBorders>
            <w:shd w:val="clear" w:color="auto" w:fill="DAEEF3" w:themeFill="accent5" w:themeFillTint="33"/>
            <w:noWrap/>
            <w:vAlign w:val="center"/>
            <w:hideMark/>
          </w:tcPr>
          <w:p w:rsidR="008A2056" w:rsidRPr="00B75B77" w:rsidRDefault="008A2056" w:rsidP="004170FC">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Cs/>
                <w:color w:val="000000"/>
                <w:sz w:val="18"/>
                <w:szCs w:val="18"/>
              </w:rPr>
            </w:pPr>
            <w:r w:rsidRPr="00B75B77">
              <w:rPr>
                <w:rFonts w:ascii="Calibri" w:eastAsia="Times New Roman" w:hAnsi="Calibri"/>
                <w:bCs/>
                <w:color w:val="000000"/>
                <w:sz w:val="18"/>
                <w:szCs w:val="18"/>
              </w:rPr>
              <w:t>2,115</w:t>
            </w:r>
          </w:p>
        </w:tc>
        <w:tc>
          <w:tcPr>
            <w:cnfStyle w:val="000010000000" w:firstRow="0" w:lastRow="0" w:firstColumn="0" w:lastColumn="0" w:oddVBand="1" w:evenVBand="0" w:oddHBand="0" w:evenHBand="0" w:firstRowFirstColumn="0" w:firstRowLastColumn="0" w:lastRowFirstColumn="0" w:lastRowLastColumn="0"/>
            <w:tcW w:w="1347" w:type="dxa"/>
            <w:tcBorders>
              <w:left w:val="single" w:sz="8" w:space="0" w:color="448A99"/>
            </w:tcBorders>
            <w:vAlign w:val="center"/>
            <w:hideMark/>
          </w:tcPr>
          <w:p w:rsidR="008A2056" w:rsidRPr="00B75B77" w:rsidRDefault="008A2056" w:rsidP="004170FC">
            <w:pPr>
              <w:keepNext/>
              <w:jc w:val="center"/>
              <w:rPr>
                <w:rFonts w:ascii="Calibri" w:eastAsia="Times New Roman" w:hAnsi="Calibri"/>
                <w:bCs/>
                <w:color w:val="000000"/>
                <w:sz w:val="18"/>
                <w:szCs w:val="18"/>
              </w:rPr>
            </w:pPr>
            <w:r w:rsidRPr="00B75B77">
              <w:rPr>
                <w:rFonts w:ascii="Calibri" w:eastAsia="Times New Roman" w:hAnsi="Calibri"/>
                <w:bCs/>
                <w:color w:val="000000"/>
                <w:sz w:val="18"/>
                <w:szCs w:val="18"/>
              </w:rPr>
              <w:t>3,757</w:t>
            </w:r>
          </w:p>
        </w:tc>
      </w:tr>
      <w:tr w:rsidR="008A2056" w:rsidRPr="00B75B77" w:rsidTr="005E445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single" w:sz="8" w:space="0" w:color="448A99"/>
            </w:tcBorders>
            <w:shd w:val="clear" w:color="auto" w:fill="auto"/>
            <w:vAlign w:val="center"/>
          </w:tcPr>
          <w:p w:rsidR="008A2056" w:rsidRPr="00B75B77" w:rsidRDefault="008A2056" w:rsidP="004170FC">
            <w:pPr>
              <w:keepNext/>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15</w:t>
            </w:r>
          </w:p>
        </w:tc>
        <w:tc>
          <w:tcPr>
            <w:cnfStyle w:val="000010000000" w:firstRow="0" w:lastRow="0" w:firstColumn="0" w:lastColumn="0" w:oddVBand="1" w:evenVBand="0" w:oddHBand="0" w:evenHBand="0" w:firstRowFirstColumn="0" w:firstRowLastColumn="0" w:lastRowFirstColumn="0" w:lastRowLastColumn="0"/>
            <w:tcW w:w="5840" w:type="dxa"/>
            <w:tcBorders>
              <w:left w:val="single" w:sz="8" w:space="0" w:color="448A99"/>
              <w:right w:val="single" w:sz="8" w:space="0" w:color="448A99"/>
            </w:tcBorders>
            <w:shd w:val="clear" w:color="auto" w:fill="auto"/>
            <w:noWrap/>
            <w:vAlign w:val="center"/>
            <w:hideMark/>
          </w:tcPr>
          <w:p w:rsidR="008A2056" w:rsidRPr="00B75B77" w:rsidRDefault="008A2056" w:rsidP="004170FC">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Total NPV TRC Benefits</w:t>
            </w:r>
            <w:r w:rsidRPr="00B75B77">
              <w:rPr>
                <w:rFonts w:ascii="Calibri" w:eastAsia="Times New Roman" w:hAnsi="Calibri"/>
                <w:bCs/>
                <w:color w:val="000000"/>
                <w:sz w:val="18"/>
                <w:szCs w:val="18"/>
                <w:vertAlign w:val="superscript"/>
              </w:rPr>
              <w:t>[4]</w:t>
            </w:r>
          </w:p>
        </w:tc>
        <w:tc>
          <w:tcPr>
            <w:tcW w:w="1263" w:type="dxa"/>
            <w:tcBorders>
              <w:left w:val="single" w:sz="8" w:space="0" w:color="448A99"/>
              <w:right w:val="single" w:sz="8" w:space="0" w:color="448A99"/>
            </w:tcBorders>
            <w:shd w:val="clear" w:color="auto" w:fill="auto"/>
            <w:noWrap/>
            <w:vAlign w:val="center"/>
            <w:hideMark/>
          </w:tcPr>
          <w:p w:rsidR="008A2056" w:rsidRPr="00B75B77" w:rsidRDefault="008A2056" w:rsidP="004170F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Cs/>
                <w:color w:val="000000"/>
                <w:sz w:val="18"/>
                <w:szCs w:val="18"/>
              </w:rPr>
            </w:pPr>
            <w:r w:rsidRPr="00B75B77">
              <w:rPr>
                <w:rFonts w:ascii="Calibri" w:eastAsia="Times New Roman" w:hAnsi="Calibri"/>
                <w:bCs/>
                <w:color w:val="000000"/>
                <w:sz w:val="18"/>
                <w:szCs w:val="18"/>
              </w:rPr>
              <w:t>18,312</w:t>
            </w:r>
          </w:p>
        </w:tc>
        <w:tc>
          <w:tcPr>
            <w:cnfStyle w:val="000010000000" w:firstRow="0" w:lastRow="0" w:firstColumn="0" w:lastColumn="0" w:oddVBand="1" w:evenVBand="0" w:oddHBand="0" w:evenHBand="0" w:firstRowFirstColumn="0" w:firstRowLastColumn="0" w:lastRowFirstColumn="0" w:lastRowLastColumn="0"/>
            <w:tcW w:w="1347" w:type="dxa"/>
            <w:tcBorders>
              <w:left w:val="single" w:sz="8" w:space="0" w:color="448A99"/>
            </w:tcBorders>
            <w:shd w:val="clear" w:color="auto" w:fill="auto"/>
            <w:vAlign w:val="center"/>
            <w:hideMark/>
          </w:tcPr>
          <w:p w:rsidR="008A2056" w:rsidRPr="00B75B77" w:rsidRDefault="008A2056" w:rsidP="004170FC">
            <w:pPr>
              <w:keepNext/>
              <w:jc w:val="center"/>
              <w:rPr>
                <w:rFonts w:ascii="Calibri" w:eastAsia="Times New Roman" w:hAnsi="Calibri"/>
                <w:bCs/>
                <w:color w:val="000000"/>
                <w:sz w:val="18"/>
                <w:szCs w:val="18"/>
              </w:rPr>
            </w:pPr>
            <w:r w:rsidRPr="00B75B77">
              <w:rPr>
                <w:rFonts w:ascii="Calibri" w:eastAsia="Times New Roman" w:hAnsi="Calibri"/>
                <w:bCs/>
                <w:color w:val="000000"/>
                <w:sz w:val="18"/>
                <w:szCs w:val="18"/>
              </w:rPr>
              <w:t>34,335</w:t>
            </w:r>
          </w:p>
        </w:tc>
      </w:tr>
      <w:tr w:rsidR="008A2056" w:rsidRPr="00B75B77" w:rsidTr="005E4455">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512" w:type="dxa"/>
            <w:gridSpan w:val="4"/>
            <w:shd w:val="clear" w:color="auto" w:fill="AEAAAA"/>
            <w:vAlign w:val="center"/>
          </w:tcPr>
          <w:p w:rsidR="008A2056" w:rsidRPr="00B75B77" w:rsidRDefault="008A2056" w:rsidP="004170FC">
            <w:pPr>
              <w:keepNext/>
              <w:jc w:val="center"/>
              <w:rPr>
                <w:rFonts w:ascii="Calibri" w:eastAsia="Times New Roman" w:hAnsi="Calibri"/>
                <w:b w:val="0"/>
                <w:bCs w:val="0"/>
                <w:color w:val="000000"/>
                <w:sz w:val="12"/>
                <w:szCs w:val="18"/>
              </w:rPr>
            </w:pPr>
          </w:p>
        </w:tc>
      </w:tr>
      <w:tr w:rsidR="008A2056" w:rsidRPr="00B75B77" w:rsidTr="005E445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single" w:sz="8" w:space="0" w:color="448A99"/>
            </w:tcBorders>
            <w:shd w:val="clear" w:color="auto" w:fill="D2EAF1"/>
            <w:vAlign w:val="center"/>
          </w:tcPr>
          <w:p w:rsidR="008A2056" w:rsidRPr="00B75B77" w:rsidRDefault="008A2056" w:rsidP="004170FC">
            <w:pPr>
              <w:keepNext/>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16</w:t>
            </w:r>
          </w:p>
        </w:tc>
        <w:tc>
          <w:tcPr>
            <w:cnfStyle w:val="000010000000" w:firstRow="0" w:lastRow="0" w:firstColumn="0" w:lastColumn="0" w:oddVBand="1" w:evenVBand="0" w:oddHBand="0" w:evenHBand="0" w:firstRowFirstColumn="0" w:firstRowLastColumn="0" w:lastRowFirstColumn="0" w:lastRowLastColumn="0"/>
            <w:tcW w:w="5840" w:type="dxa"/>
            <w:tcBorders>
              <w:left w:val="single" w:sz="8" w:space="0" w:color="448A99"/>
              <w:right w:val="single" w:sz="8" w:space="0" w:color="448A99"/>
            </w:tcBorders>
            <w:shd w:val="clear" w:color="auto" w:fill="D2EAF1"/>
            <w:noWrap/>
            <w:vAlign w:val="center"/>
            <w:hideMark/>
          </w:tcPr>
          <w:p w:rsidR="008A2056" w:rsidRPr="00B75B77" w:rsidRDefault="008A2056" w:rsidP="004170FC">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TRC Benefit-Cost Ratio</w:t>
            </w:r>
            <w:r w:rsidRPr="00B75B77">
              <w:rPr>
                <w:rFonts w:ascii="Calibri" w:eastAsia="Times New Roman" w:hAnsi="Calibri"/>
                <w:bCs/>
                <w:color w:val="000000"/>
                <w:sz w:val="18"/>
                <w:szCs w:val="18"/>
                <w:vertAlign w:val="superscript"/>
              </w:rPr>
              <w:t>[5]</w:t>
            </w:r>
          </w:p>
        </w:tc>
        <w:tc>
          <w:tcPr>
            <w:tcW w:w="1263" w:type="dxa"/>
            <w:tcBorders>
              <w:left w:val="single" w:sz="8" w:space="0" w:color="448A99"/>
              <w:right w:val="single" w:sz="8" w:space="0" w:color="448A99"/>
            </w:tcBorders>
            <w:shd w:val="clear" w:color="auto" w:fill="D2EAF1"/>
            <w:noWrap/>
            <w:vAlign w:val="center"/>
            <w:hideMark/>
          </w:tcPr>
          <w:p w:rsidR="008A2056" w:rsidRPr="00B75B77" w:rsidRDefault="008A2056" w:rsidP="004170FC">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Cs/>
                <w:color w:val="000000"/>
                <w:sz w:val="18"/>
                <w:szCs w:val="18"/>
              </w:rPr>
            </w:pPr>
            <w:r w:rsidRPr="00B75B77">
              <w:rPr>
                <w:rFonts w:ascii="Calibri" w:eastAsia="Times New Roman" w:hAnsi="Calibri"/>
                <w:bCs/>
                <w:color w:val="000000"/>
                <w:sz w:val="18"/>
                <w:szCs w:val="18"/>
              </w:rPr>
              <w:t>1.38</w:t>
            </w:r>
          </w:p>
        </w:tc>
        <w:tc>
          <w:tcPr>
            <w:cnfStyle w:val="000010000000" w:firstRow="0" w:lastRow="0" w:firstColumn="0" w:lastColumn="0" w:oddVBand="1" w:evenVBand="0" w:oddHBand="0" w:evenHBand="0" w:firstRowFirstColumn="0" w:firstRowLastColumn="0" w:lastRowFirstColumn="0" w:lastRowLastColumn="0"/>
            <w:tcW w:w="1347" w:type="dxa"/>
            <w:tcBorders>
              <w:left w:val="single" w:sz="8" w:space="0" w:color="448A99"/>
            </w:tcBorders>
            <w:shd w:val="clear" w:color="auto" w:fill="D2EAF1"/>
            <w:vAlign w:val="center"/>
            <w:hideMark/>
          </w:tcPr>
          <w:p w:rsidR="008A2056" w:rsidRPr="00B75B77" w:rsidRDefault="008A2056" w:rsidP="004170FC">
            <w:pPr>
              <w:keepNext/>
              <w:jc w:val="center"/>
              <w:rPr>
                <w:rFonts w:ascii="Calibri" w:eastAsia="Times New Roman" w:hAnsi="Calibri"/>
                <w:bCs/>
                <w:color w:val="000000"/>
                <w:sz w:val="18"/>
                <w:szCs w:val="18"/>
              </w:rPr>
            </w:pPr>
            <w:r w:rsidRPr="00B75B77">
              <w:rPr>
                <w:rFonts w:ascii="Calibri" w:eastAsia="Times New Roman" w:hAnsi="Calibri"/>
                <w:bCs/>
                <w:color w:val="000000"/>
                <w:sz w:val="18"/>
                <w:szCs w:val="18"/>
              </w:rPr>
              <w:t>1.40</w:t>
            </w:r>
          </w:p>
        </w:tc>
      </w:tr>
      <w:tr w:rsidR="008A2056" w:rsidRPr="00B75B77" w:rsidTr="005E445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12" w:type="dxa"/>
            <w:gridSpan w:val="4"/>
            <w:shd w:val="clear" w:color="auto" w:fill="auto"/>
          </w:tcPr>
          <w:p w:rsidR="008A2056" w:rsidRPr="00B75B77" w:rsidRDefault="008A2056" w:rsidP="004170FC">
            <w:pPr>
              <w:keepNext/>
              <w:jc w:val="left"/>
              <w:rPr>
                <w:rFonts w:ascii="Calibri" w:eastAsia="Times New Roman" w:hAnsi="Calibri"/>
                <w:b w:val="0"/>
                <w:iCs/>
                <w:color w:val="000000"/>
                <w:sz w:val="18"/>
                <w:szCs w:val="18"/>
              </w:rPr>
            </w:pPr>
            <w:r w:rsidRPr="00B75B77">
              <w:rPr>
                <w:rFonts w:ascii="Calibri" w:eastAsia="Times New Roman" w:hAnsi="Calibri"/>
                <w:b w:val="0"/>
                <w:iCs/>
                <w:color w:val="000000"/>
                <w:sz w:val="18"/>
                <w:szCs w:val="18"/>
              </w:rPr>
              <w:t>Per PUC direction, TRC inputs and calculations are required in the Annual Report only and should comply with the 2013 Total Resource Cost Test Order. Please see the “Report Definitions” section of this report for more details.</w:t>
            </w:r>
          </w:p>
          <w:p w:rsidR="008A2056" w:rsidRPr="00B75B77" w:rsidRDefault="008A2056" w:rsidP="004170FC">
            <w:pPr>
              <w:keepNext/>
              <w:jc w:val="left"/>
              <w:rPr>
                <w:rFonts w:ascii="Calibri" w:eastAsia="Times New Roman" w:hAnsi="Calibri"/>
                <w:b w:val="0"/>
                <w:i/>
                <w:iCs/>
                <w:color w:val="000000"/>
                <w:sz w:val="18"/>
                <w:szCs w:val="18"/>
              </w:rPr>
            </w:pPr>
          </w:p>
          <w:p w:rsidR="008A2056" w:rsidRPr="00B75B77" w:rsidRDefault="008A2056" w:rsidP="004170FC">
            <w:pPr>
              <w:keepNext/>
              <w:jc w:val="left"/>
              <w:rPr>
                <w:rFonts w:ascii="Calibri" w:eastAsia="Times New Roman" w:hAnsi="Calibri"/>
                <w:b w:val="0"/>
                <w:color w:val="000000"/>
                <w:sz w:val="18"/>
                <w:szCs w:val="18"/>
              </w:rPr>
            </w:pPr>
            <w:r w:rsidRPr="00B75B77">
              <w:rPr>
                <w:rFonts w:ascii="Calibri" w:eastAsia="Times New Roman" w:hAnsi="Calibri"/>
                <w:b w:val="0"/>
                <w:color w:val="000000"/>
                <w:sz w:val="18"/>
                <w:szCs w:val="18"/>
                <w:vertAlign w:val="superscript"/>
              </w:rPr>
              <w:t>[1]</w:t>
            </w:r>
            <w:r w:rsidRPr="00B75B77">
              <w:rPr>
                <w:rFonts w:ascii="Calibri" w:eastAsia="Times New Roman" w:hAnsi="Calibri"/>
                <w:b w:val="0"/>
                <w:color w:val="000000"/>
                <w:sz w:val="18"/>
                <w:szCs w:val="18"/>
              </w:rPr>
              <w:t xml:space="preserve"> Includes rebate processing, tracking system, general administration, EDC and CSP program management, general management</w:t>
            </w:r>
            <w:r w:rsidR="00951DD7" w:rsidRPr="00B75B77">
              <w:rPr>
                <w:rFonts w:ascii="Calibri" w:eastAsia="Times New Roman" w:hAnsi="Calibri"/>
                <w:b w:val="0"/>
                <w:color w:val="000000"/>
                <w:sz w:val="18"/>
                <w:szCs w:val="18"/>
              </w:rPr>
              <w:t>,</w:t>
            </w:r>
            <w:r w:rsidRPr="00B75B77">
              <w:rPr>
                <w:rFonts w:ascii="Calibri" w:eastAsia="Times New Roman" w:hAnsi="Calibri"/>
                <w:b w:val="0"/>
                <w:color w:val="000000"/>
                <w:sz w:val="18"/>
                <w:szCs w:val="18"/>
              </w:rPr>
              <w:t xml:space="preserve"> and legal and technical assistance. </w:t>
            </w:r>
            <w:r w:rsidRPr="00B75B77">
              <w:rPr>
                <w:rFonts w:ascii="Calibri" w:eastAsia="Times New Roman" w:hAnsi="Calibri"/>
                <w:b w:val="0"/>
                <w:color w:val="000000"/>
                <w:sz w:val="18"/>
                <w:szCs w:val="18"/>
              </w:rPr>
              <w:br/>
            </w:r>
            <w:r w:rsidRPr="00B75B77">
              <w:rPr>
                <w:rFonts w:ascii="Calibri" w:eastAsia="Times New Roman" w:hAnsi="Calibri"/>
                <w:b w:val="0"/>
                <w:color w:val="000000"/>
                <w:sz w:val="18"/>
                <w:szCs w:val="18"/>
                <w:vertAlign w:val="superscript"/>
              </w:rPr>
              <w:t>[2]</w:t>
            </w:r>
            <w:r w:rsidRPr="00B75B77">
              <w:rPr>
                <w:rFonts w:ascii="Calibri" w:eastAsia="Times New Roman" w:hAnsi="Calibri"/>
                <w:b w:val="0"/>
                <w:color w:val="000000"/>
                <w:sz w:val="18"/>
                <w:szCs w:val="18"/>
              </w:rPr>
              <w:t xml:space="preserve"> Includes the marketing CSP and marketing costs by program CSPs. </w:t>
            </w:r>
            <w:r w:rsidRPr="00B75B77">
              <w:rPr>
                <w:rFonts w:ascii="Calibri" w:eastAsia="Times New Roman" w:hAnsi="Calibri"/>
                <w:b w:val="0"/>
                <w:color w:val="000000"/>
                <w:sz w:val="18"/>
                <w:szCs w:val="18"/>
              </w:rPr>
              <w:br/>
            </w:r>
            <w:r w:rsidRPr="00B75B77">
              <w:rPr>
                <w:rFonts w:ascii="Calibri" w:eastAsia="Times New Roman" w:hAnsi="Calibri"/>
                <w:b w:val="0"/>
                <w:color w:val="000000"/>
                <w:sz w:val="18"/>
                <w:szCs w:val="18"/>
                <w:vertAlign w:val="superscript"/>
              </w:rPr>
              <w:t>[3]</w:t>
            </w:r>
            <w:r w:rsidRPr="00B75B77">
              <w:rPr>
                <w:rFonts w:ascii="Calibri" w:eastAsia="Times New Roman" w:hAnsi="Calibri"/>
                <w:b w:val="0"/>
                <w:color w:val="000000"/>
                <w:sz w:val="18"/>
                <w:szCs w:val="18"/>
              </w:rPr>
              <w:t xml:space="preserve"> Total TRC Costs includes Total EDC Costs and Participant Costs.</w:t>
            </w:r>
            <w:r w:rsidRPr="00B75B77">
              <w:rPr>
                <w:rFonts w:ascii="Calibri" w:eastAsia="Times New Roman" w:hAnsi="Calibri"/>
                <w:b w:val="0"/>
                <w:color w:val="000000"/>
                <w:sz w:val="18"/>
                <w:szCs w:val="18"/>
              </w:rPr>
              <w:br/>
            </w:r>
            <w:r w:rsidRPr="00B75B77">
              <w:rPr>
                <w:rFonts w:ascii="Calibri" w:eastAsia="Times New Roman" w:hAnsi="Calibri"/>
                <w:b w:val="0"/>
                <w:color w:val="000000"/>
                <w:sz w:val="18"/>
                <w:szCs w:val="18"/>
                <w:vertAlign w:val="superscript"/>
              </w:rPr>
              <w:t>[4]</w:t>
            </w:r>
            <w:r w:rsidRPr="00B75B77">
              <w:rPr>
                <w:rFonts w:ascii="Calibri" w:eastAsia="Times New Roman" w:hAnsi="Calibri"/>
                <w:b w:val="0"/>
                <w:color w:val="000000"/>
                <w:sz w:val="18"/>
                <w:szCs w:val="18"/>
              </w:rPr>
              <w:t xml:space="preserve"> Total TRC Benefits equals the sum of Total Lifetime Energy Benefits and Total Lifetime Capacity Benefits</w:t>
            </w:r>
            <w:r w:rsidR="00951DD7" w:rsidRPr="00B75B77">
              <w:rPr>
                <w:rFonts w:ascii="Calibri" w:eastAsia="Times New Roman" w:hAnsi="Calibri"/>
                <w:b w:val="0"/>
                <w:color w:val="000000"/>
                <w:sz w:val="18"/>
                <w:szCs w:val="18"/>
              </w:rPr>
              <w:t xml:space="preserve"> b</w:t>
            </w:r>
            <w:r w:rsidRPr="00B75B77">
              <w:rPr>
                <w:rFonts w:ascii="Calibri" w:eastAsia="Times New Roman" w:hAnsi="Calibri"/>
                <w:b w:val="0"/>
                <w:color w:val="000000"/>
                <w:sz w:val="18"/>
                <w:szCs w:val="18"/>
              </w:rPr>
              <w:t>ased upon verified gross kWh and kW savings. Benefits include avoided supply costs, including the reduction in costs of electric energy, generation, transmission and distribution capacity and natural gas valued at marginal cost for periods when there is a load reduction. NOTE: Savings carried over from Phase I are not to be included as a part of Total TRC Benefits for Phase II.</w:t>
            </w:r>
            <w:r w:rsidRPr="00B75B77">
              <w:rPr>
                <w:rFonts w:ascii="Calibri" w:eastAsia="Times New Roman" w:hAnsi="Calibri"/>
                <w:b w:val="0"/>
                <w:color w:val="000000"/>
                <w:sz w:val="18"/>
                <w:szCs w:val="18"/>
              </w:rPr>
              <w:br/>
            </w:r>
            <w:r w:rsidRPr="00B75B77">
              <w:rPr>
                <w:rFonts w:ascii="Calibri" w:eastAsia="Times New Roman" w:hAnsi="Calibri"/>
                <w:b w:val="0"/>
                <w:color w:val="000000"/>
                <w:sz w:val="18"/>
                <w:szCs w:val="18"/>
                <w:vertAlign w:val="superscript"/>
              </w:rPr>
              <w:t>[5]</w:t>
            </w:r>
            <w:r w:rsidRPr="00B75B77">
              <w:rPr>
                <w:rFonts w:ascii="Calibri" w:eastAsia="Times New Roman" w:hAnsi="Calibri"/>
                <w:b w:val="0"/>
                <w:color w:val="000000"/>
                <w:sz w:val="18"/>
                <w:szCs w:val="18"/>
              </w:rPr>
              <w:t xml:space="preserve"> TRC Ratio equals Total NPV TRC Benefits divided by Total NPV TRC Costs.</w:t>
            </w:r>
          </w:p>
          <w:p w:rsidR="008A2056" w:rsidRPr="00B75B77" w:rsidRDefault="008A2056" w:rsidP="004170FC">
            <w:pPr>
              <w:keepNext/>
              <w:jc w:val="left"/>
              <w:rPr>
                <w:rFonts w:ascii="Calibri" w:eastAsia="Times New Roman" w:hAnsi="Calibri"/>
                <w:b w:val="0"/>
                <w:color w:val="000000"/>
                <w:sz w:val="14"/>
                <w:szCs w:val="14"/>
              </w:rPr>
            </w:pPr>
          </w:p>
          <w:p w:rsidR="008A2056" w:rsidRPr="00B75B77" w:rsidRDefault="008A2056" w:rsidP="004170FC">
            <w:pPr>
              <w:keepNext/>
              <w:jc w:val="left"/>
              <w:rPr>
                <w:rFonts w:ascii="Calibri" w:eastAsia="Times New Roman" w:hAnsi="Calibri"/>
                <w:b w:val="0"/>
                <w:bCs w:val="0"/>
                <w:color w:val="000000"/>
                <w:sz w:val="20"/>
                <w:szCs w:val="20"/>
              </w:rPr>
            </w:pPr>
            <w:r w:rsidRPr="00B75B77">
              <w:rPr>
                <w:rFonts w:ascii="Calibri" w:hAnsi="Calibri"/>
                <w:b w:val="0"/>
                <w:color w:val="000000"/>
                <w:sz w:val="18"/>
                <w:szCs w:val="18"/>
              </w:rPr>
              <w:t xml:space="preserve">Values in tables may not reconcile exactly with </w:t>
            </w:r>
            <w:r w:rsidR="00951DD7" w:rsidRPr="00B75B77">
              <w:rPr>
                <w:rFonts w:ascii="Calibri" w:hAnsi="Calibri"/>
                <w:b w:val="0"/>
                <w:color w:val="000000"/>
                <w:sz w:val="18"/>
                <w:szCs w:val="18"/>
              </w:rPr>
              <w:t xml:space="preserve">the </w:t>
            </w:r>
            <w:r w:rsidRPr="00B75B77">
              <w:rPr>
                <w:rFonts w:ascii="Calibri" w:hAnsi="Calibri"/>
                <w:b w:val="0"/>
                <w:color w:val="000000"/>
                <w:sz w:val="18"/>
                <w:szCs w:val="18"/>
              </w:rPr>
              <w:t>sum of more detailed level results or previously reported results due to rounding.</w:t>
            </w:r>
          </w:p>
        </w:tc>
      </w:tr>
    </w:tbl>
    <w:p w:rsidR="008A2056" w:rsidRPr="00B75B77" w:rsidRDefault="008A2056" w:rsidP="004170FC">
      <w:pPr>
        <w:pStyle w:val="Source"/>
        <w:keepNext/>
        <w:ind w:left="270" w:hanging="90"/>
      </w:pPr>
      <w:r w:rsidRPr="00B75B77">
        <w:t>Source: Navigant analysis</w:t>
      </w:r>
    </w:p>
    <w:p w:rsidR="00936753" w:rsidRPr="00B75B77" w:rsidRDefault="00936753">
      <w:pPr>
        <w:jc w:val="left"/>
        <w:sectPr w:rsidR="00936753" w:rsidRPr="00B75B77" w:rsidSect="00B5438D">
          <w:pgSz w:w="12240" w:h="15840" w:code="1"/>
          <w:pgMar w:top="1170" w:right="1440" w:bottom="1260" w:left="1440" w:header="576" w:footer="475" w:gutter="0"/>
          <w:cols w:space="720"/>
          <w:docGrid w:linePitch="360"/>
        </w:sectPr>
      </w:pPr>
    </w:p>
    <w:p w:rsidR="00BB039B" w:rsidRPr="00B75B77" w:rsidRDefault="00BB039B" w:rsidP="00D12857">
      <w:pPr>
        <w:pStyle w:val="Heading1"/>
      </w:pPr>
      <w:bookmarkStart w:id="845" w:name="_Toc466413436"/>
      <w:r w:rsidRPr="00B75B77">
        <w:lastRenderedPageBreak/>
        <w:t>Smart Multi-Family Solutions Program</w:t>
      </w:r>
      <w:bookmarkEnd w:id="845"/>
    </w:p>
    <w:p w:rsidR="00BB039B" w:rsidRPr="00B75B77" w:rsidRDefault="00BB039B" w:rsidP="00BB039B">
      <w:r w:rsidRPr="00B75B77">
        <w:t xml:space="preserve">The PECO Smart Multi-Family (SMF) Solutions program’s purpose is to increase awareness of energy savings opportunities in multifamily buildings and to assist multifamily tenants and property owners/managers (referred to as landlords in the remainder of this report) to act on those opportunities. </w:t>
      </w:r>
      <w:r w:rsidR="00F121BD" w:rsidRPr="00B75B77">
        <w:t>PECO designed this program</w:t>
      </w:r>
      <w:r w:rsidRPr="00B75B77">
        <w:t xml:space="preserve"> to encourage and assist customers by offering two main participation channels. The DI channel offers cost-free CFL, low-flow showerhead, and low-flow faucet aerator direct installation in apartment units/condos (units) or common areas. The prescriptive channel offers incentives to multifamily landlords who install high</w:t>
      </w:r>
      <w:r w:rsidR="00037B84" w:rsidRPr="00B75B77">
        <w:t xml:space="preserve"> </w:t>
      </w:r>
      <w:r w:rsidRPr="00B75B77">
        <w:t xml:space="preserve">efficiency equipment in common areas. </w:t>
      </w:r>
    </w:p>
    <w:p w:rsidR="00BB039B" w:rsidRPr="00B75B77" w:rsidRDefault="00BB039B" w:rsidP="00BB039B"/>
    <w:p w:rsidR="00BB039B" w:rsidRPr="00B75B77" w:rsidRDefault="00BB039B" w:rsidP="00BB039B">
      <w:r w:rsidRPr="00B75B77">
        <w:t>A major barrier to energy efficient measure adoption in multifamily buildings is the division of responsibilities between landlords and tenants. Landlords are responsible for building improvements</w:t>
      </w:r>
      <w:r w:rsidR="00F121BD" w:rsidRPr="00B75B77">
        <w:t>,</w:t>
      </w:r>
      <w:r w:rsidRPr="00B75B77">
        <w:t xml:space="preserve"> </w:t>
      </w:r>
      <w:r w:rsidR="00F121BD" w:rsidRPr="00B75B77">
        <w:t>but</w:t>
      </w:r>
      <w:r w:rsidRPr="00B75B77">
        <w:t xml:space="preserve"> they usually are not the ones paying the energy bills for tenant spaces</w:t>
      </w:r>
      <w:r w:rsidR="00F121BD" w:rsidRPr="00B75B77">
        <w:t>.</w:t>
      </w:r>
      <w:r w:rsidRPr="00B75B77">
        <w:t xml:space="preserve"> </w:t>
      </w:r>
      <w:r w:rsidR="00F121BD" w:rsidRPr="00B75B77">
        <w:t>T</w:t>
      </w:r>
      <w:r w:rsidRPr="00B75B77">
        <w:t>herefore</w:t>
      </w:r>
      <w:r w:rsidR="00F121BD" w:rsidRPr="00B75B77">
        <w:t>, they</w:t>
      </w:r>
      <w:r w:rsidRPr="00B75B77">
        <w:t xml:space="preserve"> do not reap the benefits of installing more expensive energy</w:t>
      </w:r>
      <w:r w:rsidR="00F121BD" w:rsidRPr="00B75B77">
        <w:t xml:space="preserve"> </w:t>
      </w:r>
      <w:r w:rsidRPr="00B75B77">
        <w:t>efficient measures within those spaces. This is also known as the split incentive issue</w:t>
      </w:r>
      <w:r w:rsidR="00F121BD" w:rsidRPr="00B75B77">
        <w:t>.</w:t>
      </w:r>
      <w:r w:rsidRPr="00B75B77">
        <w:t xml:space="preserve"> The issue often results in energy efficiency becoming a low</w:t>
      </w:r>
      <w:r w:rsidR="00F121BD" w:rsidRPr="00B75B77">
        <w:t xml:space="preserve"> </w:t>
      </w:r>
      <w:r w:rsidRPr="00B75B77">
        <w:t xml:space="preserve">priority item for both landlords and tenants. The SMF Solutions program helps PECO overcome the split incentive issue by including cost-free </w:t>
      </w:r>
      <w:r w:rsidR="00F121BD" w:rsidRPr="00B75B77">
        <w:t>DI</w:t>
      </w:r>
      <w:r w:rsidRPr="00B75B77">
        <w:t xml:space="preserve"> measures</w:t>
      </w:r>
      <w:r w:rsidR="003407A0" w:rsidRPr="00B75B77">
        <w:t>, which</w:t>
      </w:r>
      <w:r w:rsidRPr="00B75B77">
        <w:t xml:space="preserve"> helps landlords save capital to potentially spend on the program’s prescriptive channel offerings.</w:t>
      </w:r>
    </w:p>
    <w:p w:rsidR="00BB039B" w:rsidRPr="00B75B77" w:rsidRDefault="00BB039B" w:rsidP="00BB039B"/>
    <w:p w:rsidR="00BB039B" w:rsidRPr="00B75B77" w:rsidRDefault="00BB039B" w:rsidP="00BB039B">
      <w:r w:rsidRPr="00B75B77">
        <w:t xml:space="preserve">The evaluation team analyzed the </w:t>
      </w:r>
      <w:r w:rsidR="00936753" w:rsidRPr="00B75B77">
        <w:t xml:space="preserve">SMF Solutions </w:t>
      </w:r>
      <w:r w:rsidRPr="00B75B77">
        <w:t xml:space="preserve">program’s residential and nonresidential sectors separately; this section includes results for both sectors. The residential sector includes a sub-population of low-income participants. The nonresidential sector includes participants from the C&amp;I </w:t>
      </w:r>
      <w:r w:rsidR="00936753" w:rsidRPr="00B75B77">
        <w:t xml:space="preserve">and </w:t>
      </w:r>
      <w:r w:rsidRPr="00B75B77">
        <w:t>GNI segment</w:t>
      </w:r>
      <w:r w:rsidR="00936753" w:rsidRPr="00B75B77">
        <w:t>s</w:t>
      </w:r>
      <w:r w:rsidRPr="00B75B77">
        <w:t xml:space="preserve">. </w:t>
      </w:r>
    </w:p>
    <w:p w:rsidR="00BB039B" w:rsidRPr="00B75B77" w:rsidRDefault="00BB039B" w:rsidP="00286B52">
      <w:pPr>
        <w:rPr>
          <w:color w:val="FF0000"/>
        </w:rPr>
      </w:pPr>
    </w:p>
    <w:p w:rsidR="00BB039B" w:rsidRPr="00B75B77" w:rsidRDefault="00BB039B" w:rsidP="003E6A9B">
      <w:pPr>
        <w:pStyle w:val="Heading2"/>
      </w:pPr>
      <w:bookmarkStart w:id="846" w:name="_Toc466413437"/>
      <w:r w:rsidRPr="00B75B77">
        <w:t>Program Updates</w:t>
      </w:r>
      <w:bookmarkEnd w:id="846"/>
    </w:p>
    <w:p w:rsidR="00BB039B" w:rsidRPr="00B75B77" w:rsidRDefault="00BB039B" w:rsidP="00BB039B">
      <w:r w:rsidRPr="00B75B77">
        <w:t xml:space="preserve">PECO has not made any major changes to the SMF Solutions program offerings outlined in the Phase II </w:t>
      </w:r>
      <w:r w:rsidR="00936753" w:rsidRPr="00B75B77">
        <w:t xml:space="preserve">evaluation </w:t>
      </w:r>
      <w:r w:rsidRPr="00B75B77">
        <w:t xml:space="preserve">plan. </w:t>
      </w:r>
    </w:p>
    <w:p w:rsidR="00BB039B" w:rsidRPr="00B75B77" w:rsidRDefault="00BB039B" w:rsidP="00286B52"/>
    <w:p w:rsidR="00BB039B" w:rsidRPr="00B75B77" w:rsidRDefault="00BB039B" w:rsidP="0045485C">
      <w:pPr>
        <w:pStyle w:val="Heading3"/>
      </w:pPr>
      <w:bookmarkStart w:id="847" w:name="_Toc466413438"/>
      <w:r w:rsidRPr="00B75B77">
        <w:t>Definition of Participant</w:t>
      </w:r>
      <w:bookmarkEnd w:id="847"/>
    </w:p>
    <w:p w:rsidR="00BB039B" w:rsidRPr="00B75B77" w:rsidRDefault="00BB039B" w:rsidP="00BB039B">
      <w:r w:rsidRPr="00B75B77">
        <w:t xml:space="preserve">For reporting purposes, PECO defines the participant count as the number of individual utility accounts impacted by SMF Solutions program projects. In the residential sector, a single utility account corresponds to an individually metered apartment unit or condo. In the nonresidential sector, a single utility account could correspond to </w:t>
      </w:r>
      <w:proofErr w:type="gramStart"/>
      <w:r w:rsidRPr="00B75B77">
        <w:t>either a</w:t>
      </w:r>
      <w:proofErr w:type="gramEnd"/>
      <w:r w:rsidRPr="00B75B77">
        <w:t xml:space="preserve"> property’s common or office areas, a group of master metered units, or a group of third-party units.</w:t>
      </w:r>
    </w:p>
    <w:p w:rsidR="00BB039B" w:rsidRPr="00B75B77" w:rsidRDefault="00BB039B" w:rsidP="00286B52"/>
    <w:p w:rsidR="00BB039B" w:rsidRPr="00B75B77" w:rsidRDefault="00BB039B" w:rsidP="00BB039B">
      <w:pPr>
        <w:pStyle w:val="Heading2"/>
      </w:pPr>
      <w:bookmarkStart w:id="848" w:name="_Ref463931618"/>
      <w:bookmarkStart w:id="849" w:name="_Toc466413439"/>
      <w:r w:rsidRPr="00B75B77">
        <w:t>Impact Evaluation Gross Savings</w:t>
      </w:r>
      <w:bookmarkEnd w:id="848"/>
      <w:bookmarkEnd w:id="849"/>
      <w:r w:rsidRPr="00B75B77">
        <w:t xml:space="preserve"> </w:t>
      </w:r>
    </w:p>
    <w:p w:rsidR="00BB039B" w:rsidRPr="00B75B77" w:rsidRDefault="00BB039B" w:rsidP="00286B52">
      <w:r w:rsidRPr="00B75B77">
        <w:t>In Phase II, the SMF Solutions program serviced a total of 22,338 PECO customers</w:t>
      </w:r>
      <w:r w:rsidR="00936753" w:rsidRPr="00B75B77">
        <w:t>,</w:t>
      </w:r>
      <w:r w:rsidRPr="00B75B77">
        <w:t xml:space="preserve"> and Navigant verified 16,835 MWh </w:t>
      </w:r>
      <w:r w:rsidR="00936753" w:rsidRPr="00B75B77">
        <w:t xml:space="preserve">of </w:t>
      </w:r>
      <w:r w:rsidRPr="00B75B77">
        <w:t xml:space="preserve">gross energy savings and 1.8 MW </w:t>
      </w:r>
      <w:r w:rsidR="00936753" w:rsidRPr="00B75B77">
        <w:t xml:space="preserve">of </w:t>
      </w:r>
      <w:r w:rsidRPr="00B75B77">
        <w:t xml:space="preserve">gross demand savings. </w:t>
      </w:r>
      <w:r w:rsidRPr="00B75B77">
        <w:fldChar w:fldCharType="begin"/>
      </w:r>
      <w:r w:rsidRPr="00B75B77">
        <w:instrText xml:space="preserve"> REF _Ref463307698 \h  \* MERGEFORMAT </w:instrText>
      </w:r>
      <w:r w:rsidRPr="00B75B77">
        <w:fldChar w:fldCharType="separate"/>
      </w:r>
      <w:r w:rsidR="0004016D" w:rsidRPr="00B75B77">
        <w:t xml:space="preserve">Table </w:t>
      </w:r>
      <w:r w:rsidR="0004016D">
        <w:rPr>
          <w:noProof/>
        </w:rPr>
        <w:t>14</w:t>
      </w:r>
      <w:r w:rsidR="0004016D" w:rsidRPr="00B75B77">
        <w:rPr>
          <w:noProof/>
        </w:rPr>
        <w:noBreakHyphen/>
      </w:r>
      <w:r w:rsidR="0004016D">
        <w:rPr>
          <w:noProof/>
        </w:rPr>
        <w:t>1</w:t>
      </w:r>
      <w:r w:rsidRPr="00B75B77">
        <w:fldChar w:fldCharType="end"/>
      </w:r>
      <w:r w:rsidRPr="00B75B77">
        <w:t xml:space="preserve"> provides the reported and verified savings totals at the close of Phase II. </w:t>
      </w:r>
    </w:p>
    <w:p w:rsidR="00BB039B" w:rsidRPr="00B75B77" w:rsidRDefault="00BB039B" w:rsidP="00286B52"/>
    <w:p w:rsidR="00BB039B" w:rsidRPr="00B75B77" w:rsidRDefault="00BB039B" w:rsidP="004170FC">
      <w:pPr>
        <w:pStyle w:val="Caption"/>
      </w:pPr>
      <w:bookmarkStart w:id="850" w:name="_Ref463307698"/>
      <w:bookmarkStart w:id="851" w:name="_Toc466413619"/>
      <w:r w:rsidRPr="00B75B77">
        <w:lastRenderedPageBreak/>
        <w:t xml:space="preserve">Table </w:t>
      </w:r>
      <w:fldSimple w:instr=" STYLEREF 1 \s ">
        <w:r w:rsidR="0004016D">
          <w:rPr>
            <w:noProof/>
          </w:rPr>
          <w:t>14</w:t>
        </w:r>
      </w:fldSimple>
      <w:r w:rsidR="00F1144C" w:rsidRPr="00B75B77">
        <w:noBreakHyphen/>
      </w:r>
      <w:fldSimple w:instr=" SEQ Table \* ARABIC \s 1 ">
        <w:r w:rsidR="0004016D">
          <w:rPr>
            <w:noProof/>
          </w:rPr>
          <w:t>1</w:t>
        </w:r>
      </w:fldSimple>
      <w:bookmarkEnd w:id="850"/>
      <w:r w:rsidRPr="00B75B77">
        <w:t>: Phase II Smart Multi</w:t>
      </w:r>
      <w:r w:rsidR="00936753" w:rsidRPr="00B75B77">
        <w:t>-F</w:t>
      </w:r>
      <w:r w:rsidRPr="00B75B77">
        <w:t>amily Solutions Program Reported Results by Customer Sector</w:t>
      </w:r>
      <w:bookmarkEnd w:id="851"/>
    </w:p>
    <w:tbl>
      <w:tblPr>
        <w:tblW w:w="9535" w:type="dxa"/>
        <w:tblLook w:val="04A0" w:firstRow="1" w:lastRow="0" w:firstColumn="1" w:lastColumn="0" w:noHBand="0" w:noVBand="1"/>
      </w:tblPr>
      <w:tblGrid>
        <w:gridCol w:w="1497"/>
        <w:gridCol w:w="1108"/>
        <w:gridCol w:w="1260"/>
        <w:gridCol w:w="1890"/>
        <w:gridCol w:w="1350"/>
        <w:gridCol w:w="1440"/>
        <w:gridCol w:w="990"/>
      </w:tblGrid>
      <w:tr w:rsidR="00BB039B" w:rsidRPr="00B75B77" w:rsidTr="00442C8B">
        <w:trPr>
          <w:divId w:val="155650363"/>
          <w:trHeight w:val="648"/>
        </w:trPr>
        <w:tc>
          <w:tcPr>
            <w:tcW w:w="1497" w:type="dxa"/>
            <w:tcBorders>
              <w:top w:val="single" w:sz="4" w:space="0" w:color="auto"/>
              <w:left w:val="single" w:sz="4" w:space="0" w:color="auto"/>
              <w:bottom w:val="single" w:sz="4" w:space="0" w:color="auto"/>
              <w:right w:val="single" w:sz="4" w:space="0" w:color="auto"/>
            </w:tcBorders>
            <w:shd w:val="clear" w:color="000000" w:fill="448A99"/>
            <w:vAlign w:val="center"/>
            <w:hideMark/>
          </w:tcPr>
          <w:p w:rsidR="00BB039B" w:rsidRPr="00B75B77" w:rsidRDefault="00BB039B" w:rsidP="004170FC">
            <w:pPr>
              <w:keepNext/>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Customer Sector </w:t>
            </w:r>
            <w:r w:rsidRPr="00B75B77">
              <w:rPr>
                <w:rFonts w:ascii="Calibri" w:eastAsia="Times New Roman" w:hAnsi="Calibri"/>
                <w:b/>
                <w:bCs/>
                <w:color w:val="FFFFFF"/>
                <w:sz w:val="18"/>
                <w:szCs w:val="18"/>
                <w:vertAlign w:val="superscript"/>
              </w:rPr>
              <w:t>[1]</w:t>
            </w:r>
          </w:p>
        </w:tc>
        <w:tc>
          <w:tcPr>
            <w:tcW w:w="1108" w:type="dxa"/>
            <w:tcBorders>
              <w:top w:val="single" w:sz="4" w:space="0" w:color="auto"/>
              <w:left w:val="nil"/>
              <w:bottom w:val="single" w:sz="4" w:space="0" w:color="auto"/>
              <w:right w:val="single" w:sz="4" w:space="0" w:color="auto"/>
            </w:tcBorders>
            <w:shd w:val="clear" w:color="000000" w:fill="448A99"/>
            <w:vAlign w:val="center"/>
            <w:hideMark/>
          </w:tcPr>
          <w:p w:rsidR="00BB039B" w:rsidRPr="00B75B77" w:rsidRDefault="00BB039B" w:rsidP="004170FC">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Participants</w:t>
            </w:r>
          </w:p>
        </w:tc>
        <w:tc>
          <w:tcPr>
            <w:tcW w:w="1260" w:type="dxa"/>
            <w:tcBorders>
              <w:top w:val="single" w:sz="4" w:space="0" w:color="auto"/>
              <w:left w:val="nil"/>
              <w:bottom w:val="single" w:sz="4" w:space="0" w:color="auto"/>
              <w:right w:val="single" w:sz="4" w:space="0" w:color="auto"/>
            </w:tcBorders>
            <w:shd w:val="clear" w:color="000000" w:fill="448A99"/>
            <w:vAlign w:val="center"/>
            <w:hideMark/>
          </w:tcPr>
          <w:p w:rsidR="00BB039B" w:rsidRPr="00B75B77" w:rsidRDefault="00BB039B" w:rsidP="004170FC">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Reported Gross Energy Savings (MWh)</w:t>
            </w:r>
          </w:p>
        </w:tc>
        <w:tc>
          <w:tcPr>
            <w:tcW w:w="1890" w:type="dxa"/>
            <w:tcBorders>
              <w:top w:val="single" w:sz="4" w:space="0" w:color="auto"/>
              <w:left w:val="nil"/>
              <w:bottom w:val="single" w:sz="4" w:space="0" w:color="auto"/>
              <w:right w:val="single" w:sz="4" w:space="0" w:color="auto"/>
            </w:tcBorders>
            <w:shd w:val="clear" w:color="000000" w:fill="448A99"/>
            <w:vAlign w:val="center"/>
            <w:hideMark/>
          </w:tcPr>
          <w:p w:rsidR="00BB039B" w:rsidRPr="00B75B77" w:rsidRDefault="00BB039B" w:rsidP="004170FC">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Reported Gross Demand Reduction (MW) </w:t>
            </w:r>
            <w:r w:rsidRPr="00B75B77">
              <w:rPr>
                <w:rFonts w:ascii="Calibri" w:eastAsia="Times New Roman" w:hAnsi="Calibri"/>
                <w:b/>
                <w:bCs/>
                <w:color w:val="FFFFFF"/>
                <w:sz w:val="18"/>
                <w:szCs w:val="18"/>
                <w:vertAlign w:val="superscript"/>
              </w:rPr>
              <w:t>[2]</w:t>
            </w:r>
          </w:p>
        </w:tc>
        <w:tc>
          <w:tcPr>
            <w:tcW w:w="1350" w:type="dxa"/>
            <w:tcBorders>
              <w:top w:val="single" w:sz="4" w:space="0" w:color="auto"/>
              <w:left w:val="nil"/>
              <w:bottom w:val="single" w:sz="4" w:space="0" w:color="auto"/>
              <w:right w:val="single" w:sz="4" w:space="0" w:color="auto"/>
            </w:tcBorders>
            <w:shd w:val="clear" w:color="000000" w:fill="448A99"/>
            <w:vAlign w:val="center"/>
            <w:hideMark/>
          </w:tcPr>
          <w:p w:rsidR="00BB039B" w:rsidRPr="00B75B77" w:rsidRDefault="00BB039B" w:rsidP="004170FC">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Verified Gross Energy Savings (MWh)</w:t>
            </w:r>
          </w:p>
        </w:tc>
        <w:tc>
          <w:tcPr>
            <w:tcW w:w="1440" w:type="dxa"/>
            <w:tcBorders>
              <w:top w:val="single" w:sz="4" w:space="0" w:color="auto"/>
              <w:left w:val="nil"/>
              <w:bottom w:val="single" w:sz="4" w:space="0" w:color="auto"/>
              <w:right w:val="single" w:sz="4" w:space="0" w:color="auto"/>
            </w:tcBorders>
            <w:shd w:val="clear" w:color="000000" w:fill="448A99"/>
            <w:vAlign w:val="center"/>
            <w:hideMark/>
          </w:tcPr>
          <w:p w:rsidR="00BB039B" w:rsidRPr="00B75B77" w:rsidRDefault="00BB039B" w:rsidP="004170FC">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Verified Gross Demand Reduction (MW) </w:t>
            </w:r>
            <w:r w:rsidRPr="00B75B77">
              <w:rPr>
                <w:rFonts w:ascii="Calibri" w:eastAsia="Times New Roman" w:hAnsi="Calibri"/>
                <w:b/>
                <w:bCs/>
                <w:color w:val="FFFFFF"/>
                <w:sz w:val="18"/>
                <w:szCs w:val="18"/>
                <w:vertAlign w:val="superscript"/>
              </w:rPr>
              <w:t>[2]</w:t>
            </w:r>
          </w:p>
        </w:tc>
        <w:tc>
          <w:tcPr>
            <w:tcW w:w="990" w:type="dxa"/>
            <w:tcBorders>
              <w:top w:val="single" w:sz="4" w:space="0" w:color="auto"/>
              <w:left w:val="nil"/>
              <w:bottom w:val="single" w:sz="4" w:space="0" w:color="auto"/>
              <w:right w:val="single" w:sz="4" w:space="0" w:color="auto"/>
            </w:tcBorders>
            <w:shd w:val="clear" w:color="000000" w:fill="448A99"/>
            <w:vAlign w:val="center"/>
            <w:hideMark/>
          </w:tcPr>
          <w:p w:rsidR="00BB039B" w:rsidRPr="00B75B77" w:rsidRDefault="00BB039B" w:rsidP="004170FC">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Incentives Paid</w:t>
            </w:r>
            <w:r w:rsidRPr="00B75B77">
              <w:rPr>
                <w:rFonts w:ascii="Calibri" w:eastAsia="Times New Roman" w:hAnsi="Calibri"/>
                <w:b/>
                <w:bCs/>
                <w:color w:val="FFFFFF"/>
                <w:sz w:val="18"/>
                <w:szCs w:val="18"/>
              </w:rPr>
              <w:br/>
              <w:t>($1,000)</w:t>
            </w:r>
          </w:p>
        </w:tc>
      </w:tr>
      <w:tr w:rsidR="00442C8B" w:rsidRPr="00B75B77" w:rsidTr="00442C8B">
        <w:trPr>
          <w:divId w:val="155650363"/>
          <w:trHeight w:val="372"/>
        </w:trPr>
        <w:tc>
          <w:tcPr>
            <w:tcW w:w="1497" w:type="dxa"/>
            <w:tcBorders>
              <w:top w:val="nil"/>
              <w:left w:val="single" w:sz="4" w:space="0" w:color="448A99"/>
              <w:bottom w:val="single" w:sz="4" w:space="0" w:color="448A99"/>
              <w:right w:val="single" w:sz="4" w:space="0" w:color="448A99"/>
            </w:tcBorders>
            <w:shd w:val="clear" w:color="000000" w:fill="D2EAF1"/>
            <w:vAlign w:val="center"/>
            <w:hideMark/>
          </w:tcPr>
          <w:p w:rsidR="00442C8B" w:rsidRPr="00B75B77" w:rsidRDefault="00442C8B" w:rsidP="00442C8B">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Residential (Non-Low-Income)</w:t>
            </w:r>
          </w:p>
        </w:tc>
        <w:tc>
          <w:tcPr>
            <w:tcW w:w="1108"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442C8B">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21,479</w:t>
            </w:r>
          </w:p>
        </w:tc>
        <w:tc>
          <w:tcPr>
            <w:tcW w:w="1260"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442C8B">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7,873</w:t>
            </w:r>
          </w:p>
        </w:tc>
        <w:tc>
          <w:tcPr>
            <w:tcW w:w="1890"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442C8B">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0.9</w:t>
            </w:r>
          </w:p>
        </w:tc>
        <w:tc>
          <w:tcPr>
            <w:tcW w:w="1350"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442C8B">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7,436</w:t>
            </w:r>
          </w:p>
        </w:tc>
        <w:tc>
          <w:tcPr>
            <w:tcW w:w="1440"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442C8B">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0.8</w:t>
            </w:r>
          </w:p>
        </w:tc>
        <w:tc>
          <w:tcPr>
            <w:tcW w:w="990"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442C8B">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442C8B" w:rsidRPr="00B75B77" w:rsidTr="00442C8B">
        <w:trPr>
          <w:divId w:val="155650363"/>
          <w:trHeight w:val="372"/>
        </w:trPr>
        <w:tc>
          <w:tcPr>
            <w:tcW w:w="1497" w:type="dxa"/>
            <w:tcBorders>
              <w:top w:val="nil"/>
              <w:left w:val="single" w:sz="4" w:space="0" w:color="448A99"/>
              <w:bottom w:val="single" w:sz="4" w:space="0" w:color="448A99"/>
              <w:right w:val="single" w:sz="4" w:space="0" w:color="448A99"/>
            </w:tcBorders>
            <w:shd w:val="clear" w:color="000000" w:fill="FFFFFF"/>
            <w:vAlign w:val="center"/>
            <w:hideMark/>
          </w:tcPr>
          <w:p w:rsidR="00442C8B" w:rsidRPr="00B75B77" w:rsidRDefault="00442C8B" w:rsidP="00442C8B">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Residential (Low-Income)</w:t>
            </w:r>
          </w:p>
        </w:tc>
        <w:tc>
          <w:tcPr>
            <w:tcW w:w="1108"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442C8B">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260"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442C8B">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890"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442C8B">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350"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442C8B">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440"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442C8B">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990"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442C8B">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BB039B" w:rsidRPr="00B75B77" w:rsidTr="00442C8B">
        <w:trPr>
          <w:divId w:val="155650363"/>
          <w:trHeight w:val="372"/>
        </w:trPr>
        <w:tc>
          <w:tcPr>
            <w:tcW w:w="1497" w:type="dxa"/>
            <w:tcBorders>
              <w:top w:val="nil"/>
              <w:left w:val="single" w:sz="4" w:space="0" w:color="448A99"/>
              <w:bottom w:val="single" w:sz="4" w:space="0" w:color="448A99"/>
              <w:right w:val="single" w:sz="4" w:space="0" w:color="448A99"/>
            </w:tcBorders>
            <w:shd w:val="clear" w:color="000000" w:fill="D2EAF1"/>
            <w:vAlign w:val="center"/>
            <w:hideMark/>
          </w:tcPr>
          <w:p w:rsidR="00BB039B" w:rsidRPr="00B75B77" w:rsidRDefault="00BB039B" w:rsidP="004170FC">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Small C</w:t>
            </w:r>
            <w:r w:rsidR="0054073E" w:rsidRPr="00B75B77">
              <w:rPr>
                <w:rFonts w:ascii="Calibri" w:eastAsia="Times New Roman" w:hAnsi="Calibri"/>
                <w:bCs/>
                <w:color w:val="000000"/>
                <w:sz w:val="18"/>
                <w:szCs w:val="18"/>
              </w:rPr>
              <w:t>&amp;I</w:t>
            </w:r>
          </w:p>
        </w:tc>
        <w:tc>
          <w:tcPr>
            <w:tcW w:w="1108"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4170F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736</w:t>
            </w:r>
          </w:p>
        </w:tc>
        <w:tc>
          <w:tcPr>
            <w:tcW w:w="1260"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4170F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4,989</w:t>
            </w:r>
          </w:p>
        </w:tc>
        <w:tc>
          <w:tcPr>
            <w:tcW w:w="1890"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4170F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0.5</w:t>
            </w:r>
          </w:p>
        </w:tc>
        <w:tc>
          <w:tcPr>
            <w:tcW w:w="1350"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4170F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4,853</w:t>
            </w:r>
          </w:p>
        </w:tc>
        <w:tc>
          <w:tcPr>
            <w:tcW w:w="1440"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4170F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0.5</w:t>
            </w:r>
          </w:p>
        </w:tc>
        <w:tc>
          <w:tcPr>
            <w:tcW w:w="990"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4170F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BB039B" w:rsidRPr="00B75B77" w:rsidTr="00442C8B">
        <w:trPr>
          <w:divId w:val="155650363"/>
          <w:trHeight w:val="372"/>
        </w:trPr>
        <w:tc>
          <w:tcPr>
            <w:tcW w:w="1497" w:type="dxa"/>
            <w:tcBorders>
              <w:top w:val="nil"/>
              <w:left w:val="single" w:sz="4" w:space="0" w:color="448A99"/>
              <w:bottom w:val="single" w:sz="4" w:space="0" w:color="448A99"/>
              <w:right w:val="single" w:sz="4" w:space="0" w:color="448A99"/>
            </w:tcBorders>
            <w:shd w:val="clear" w:color="000000" w:fill="FFFFFF"/>
            <w:vAlign w:val="center"/>
            <w:hideMark/>
          </w:tcPr>
          <w:p w:rsidR="00BB039B" w:rsidRPr="00B75B77" w:rsidRDefault="00BB039B" w:rsidP="004170FC">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Large C</w:t>
            </w:r>
            <w:r w:rsidR="0054073E" w:rsidRPr="00B75B77">
              <w:rPr>
                <w:rFonts w:ascii="Calibri" w:eastAsia="Times New Roman" w:hAnsi="Calibri"/>
                <w:bCs/>
                <w:color w:val="000000"/>
                <w:sz w:val="18"/>
                <w:szCs w:val="18"/>
              </w:rPr>
              <w:t>&amp;I</w:t>
            </w:r>
          </w:p>
        </w:tc>
        <w:tc>
          <w:tcPr>
            <w:tcW w:w="1108" w:type="dxa"/>
            <w:tcBorders>
              <w:top w:val="nil"/>
              <w:left w:val="nil"/>
              <w:bottom w:val="single" w:sz="4" w:space="0" w:color="448A99"/>
              <w:right w:val="single" w:sz="4" w:space="0" w:color="448A99"/>
            </w:tcBorders>
            <w:shd w:val="clear" w:color="000000" w:fill="FFFFFF"/>
            <w:vAlign w:val="center"/>
            <w:hideMark/>
          </w:tcPr>
          <w:p w:rsidR="00BB039B" w:rsidRPr="00B75B77" w:rsidRDefault="00BB039B" w:rsidP="004170F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75</w:t>
            </w:r>
          </w:p>
        </w:tc>
        <w:tc>
          <w:tcPr>
            <w:tcW w:w="1260" w:type="dxa"/>
            <w:tcBorders>
              <w:top w:val="nil"/>
              <w:left w:val="nil"/>
              <w:bottom w:val="single" w:sz="4" w:space="0" w:color="448A99"/>
              <w:right w:val="single" w:sz="4" w:space="0" w:color="448A99"/>
            </w:tcBorders>
            <w:shd w:val="clear" w:color="000000" w:fill="FFFFFF"/>
            <w:vAlign w:val="center"/>
            <w:hideMark/>
          </w:tcPr>
          <w:p w:rsidR="00BB039B" w:rsidRPr="00B75B77" w:rsidRDefault="00BB039B" w:rsidP="004170F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3,736</w:t>
            </w:r>
          </w:p>
        </w:tc>
        <w:tc>
          <w:tcPr>
            <w:tcW w:w="1890" w:type="dxa"/>
            <w:tcBorders>
              <w:top w:val="nil"/>
              <w:left w:val="nil"/>
              <w:bottom w:val="single" w:sz="4" w:space="0" w:color="448A99"/>
              <w:right w:val="single" w:sz="4" w:space="0" w:color="448A99"/>
            </w:tcBorders>
            <w:shd w:val="clear" w:color="000000" w:fill="FFFFFF"/>
            <w:vAlign w:val="center"/>
            <w:hideMark/>
          </w:tcPr>
          <w:p w:rsidR="00BB039B" w:rsidRPr="00B75B77" w:rsidRDefault="00BB039B" w:rsidP="004170F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0.4</w:t>
            </w:r>
          </w:p>
        </w:tc>
        <w:tc>
          <w:tcPr>
            <w:tcW w:w="1350" w:type="dxa"/>
            <w:tcBorders>
              <w:top w:val="nil"/>
              <w:left w:val="nil"/>
              <w:bottom w:val="single" w:sz="4" w:space="0" w:color="448A99"/>
              <w:right w:val="single" w:sz="4" w:space="0" w:color="448A99"/>
            </w:tcBorders>
            <w:shd w:val="clear" w:color="000000" w:fill="FFFFFF"/>
            <w:vAlign w:val="center"/>
            <w:hideMark/>
          </w:tcPr>
          <w:p w:rsidR="00BB039B" w:rsidRPr="00B75B77" w:rsidRDefault="00BB039B" w:rsidP="004170F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3,526</w:t>
            </w:r>
          </w:p>
        </w:tc>
        <w:tc>
          <w:tcPr>
            <w:tcW w:w="1440" w:type="dxa"/>
            <w:tcBorders>
              <w:top w:val="nil"/>
              <w:left w:val="nil"/>
              <w:bottom w:val="single" w:sz="4" w:space="0" w:color="448A99"/>
              <w:right w:val="single" w:sz="4" w:space="0" w:color="448A99"/>
            </w:tcBorders>
            <w:shd w:val="clear" w:color="000000" w:fill="FFFFFF"/>
            <w:vAlign w:val="center"/>
            <w:hideMark/>
          </w:tcPr>
          <w:p w:rsidR="00BB039B" w:rsidRPr="00B75B77" w:rsidRDefault="00BB039B" w:rsidP="004170F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0.4</w:t>
            </w:r>
          </w:p>
        </w:tc>
        <w:tc>
          <w:tcPr>
            <w:tcW w:w="990" w:type="dxa"/>
            <w:tcBorders>
              <w:top w:val="nil"/>
              <w:left w:val="nil"/>
              <w:bottom w:val="single" w:sz="4" w:space="0" w:color="448A99"/>
              <w:right w:val="single" w:sz="4" w:space="0" w:color="448A99"/>
            </w:tcBorders>
            <w:shd w:val="clear" w:color="000000" w:fill="FFFFFF"/>
            <w:vAlign w:val="center"/>
            <w:hideMark/>
          </w:tcPr>
          <w:p w:rsidR="00BB039B" w:rsidRPr="00B75B77" w:rsidRDefault="00BB039B" w:rsidP="004170F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BB039B" w:rsidRPr="00B75B77" w:rsidTr="00442C8B">
        <w:trPr>
          <w:divId w:val="155650363"/>
          <w:trHeight w:val="372"/>
        </w:trPr>
        <w:tc>
          <w:tcPr>
            <w:tcW w:w="1497" w:type="dxa"/>
            <w:tcBorders>
              <w:top w:val="nil"/>
              <w:left w:val="single" w:sz="4" w:space="0" w:color="448A99"/>
              <w:bottom w:val="single" w:sz="4" w:space="0" w:color="448A99"/>
              <w:right w:val="single" w:sz="4" w:space="0" w:color="448A99"/>
            </w:tcBorders>
            <w:shd w:val="clear" w:color="000000" w:fill="D2EAF1"/>
            <w:vAlign w:val="center"/>
            <w:hideMark/>
          </w:tcPr>
          <w:p w:rsidR="00BB039B" w:rsidRPr="00B75B77" w:rsidRDefault="00BB039B" w:rsidP="004170FC">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G</w:t>
            </w:r>
            <w:r w:rsidR="0054073E" w:rsidRPr="00B75B77">
              <w:rPr>
                <w:rFonts w:ascii="Calibri" w:eastAsia="Times New Roman" w:hAnsi="Calibri"/>
                <w:bCs/>
                <w:color w:val="000000"/>
                <w:sz w:val="18"/>
                <w:szCs w:val="18"/>
              </w:rPr>
              <w:t>NI</w:t>
            </w:r>
          </w:p>
        </w:tc>
        <w:tc>
          <w:tcPr>
            <w:tcW w:w="1108"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4170F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48</w:t>
            </w:r>
          </w:p>
        </w:tc>
        <w:tc>
          <w:tcPr>
            <w:tcW w:w="1260"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4170F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1,139</w:t>
            </w:r>
          </w:p>
        </w:tc>
        <w:tc>
          <w:tcPr>
            <w:tcW w:w="1890"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4170F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0.1</w:t>
            </w:r>
          </w:p>
        </w:tc>
        <w:tc>
          <w:tcPr>
            <w:tcW w:w="1350"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4170F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1,020</w:t>
            </w:r>
          </w:p>
        </w:tc>
        <w:tc>
          <w:tcPr>
            <w:tcW w:w="1440"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4170F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0.1</w:t>
            </w:r>
          </w:p>
        </w:tc>
        <w:tc>
          <w:tcPr>
            <w:tcW w:w="990"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4170FC">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BB039B" w:rsidRPr="00B75B77" w:rsidTr="00442C8B">
        <w:trPr>
          <w:divId w:val="155650363"/>
          <w:trHeight w:val="312"/>
        </w:trPr>
        <w:tc>
          <w:tcPr>
            <w:tcW w:w="1497" w:type="dxa"/>
            <w:tcBorders>
              <w:top w:val="nil"/>
              <w:left w:val="single" w:sz="4" w:space="0" w:color="448A99"/>
              <w:bottom w:val="single" w:sz="4" w:space="0" w:color="448A99"/>
              <w:right w:val="single" w:sz="4" w:space="0" w:color="448A99"/>
            </w:tcBorders>
            <w:shd w:val="clear" w:color="000000" w:fill="FFFFFF"/>
            <w:vAlign w:val="center"/>
            <w:hideMark/>
          </w:tcPr>
          <w:p w:rsidR="00BB039B" w:rsidRPr="00B75B77" w:rsidRDefault="00BB039B" w:rsidP="004170FC">
            <w:pPr>
              <w:keepNext/>
              <w:jc w:val="left"/>
              <w:rPr>
                <w:rFonts w:ascii="Calibri" w:eastAsia="Times New Roman" w:hAnsi="Calibri"/>
                <w:b/>
                <w:color w:val="000000"/>
                <w:sz w:val="18"/>
                <w:szCs w:val="18"/>
              </w:rPr>
            </w:pPr>
            <w:r w:rsidRPr="00B75B77">
              <w:rPr>
                <w:rFonts w:ascii="Calibri" w:eastAsia="Times New Roman" w:hAnsi="Calibri"/>
                <w:b/>
                <w:color w:val="000000"/>
                <w:sz w:val="18"/>
                <w:szCs w:val="18"/>
              </w:rPr>
              <w:t>PHASE II TOTAL</w:t>
            </w:r>
          </w:p>
        </w:tc>
        <w:tc>
          <w:tcPr>
            <w:tcW w:w="1108" w:type="dxa"/>
            <w:tcBorders>
              <w:top w:val="nil"/>
              <w:left w:val="nil"/>
              <w:bottom w:val="single" w:sz="4" w:space="0" w:color="448A99"/>
              <w:right w:val="single" w:sz="4" w:space="0" w:color="448A99"/>
            </w:tcBorders>
            <w:shd w:val="clear" w:color="000000" w:fill="FFFFFF"/>
            <w:vAlign w:val="center"/>
            <w:hideMark/>
          </w:tcPr>
          <w:p w:rsidR="00BB039B" w:rsidRPr="00B75B77" w:rsidRDefault="00BB039B" w:rsidP="004170FC">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22,338</w:t>
            </w:r>
          </w:p>
        </w:tc>
        <w:tc>
          <w:tcPr>
            <w:tcW w:w="1260" w:type="dxa"/>
            <w:tcBorders>
              <w:top w:val="nil"/>
              <w:left w:val="nil"/>
              <w:bottom w:val="single" w:sz="4" w:space="0" w:color="448A99"/>
              <w:right w:val="single" w:sz="4" w:space="0" w:color="448A99"/>
            </w:tcBorders>
            <w:shd w:val="clear" w:color="000000" w:fill="FFFFFF"/>
            <w:vAlign w:val="center"/>
            <w:hideMark/>
          </w:tcPr>
          <w:p w:rsidR="00BB039B" w:rsidRPr="00B75B77" w:rsidRDefault="00BB039B" w:rsidP="004170FC">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17,737</w:t>
            </w:r>
          </w:p>
        </w:tc>
        <w:tc>
          <w:tcPr>
            <w:tcW w:w="1890" w:type="dxa"/>
            <w:tcBorders>
              <w:top w:val="nil"/>
              <w:left w:val="nil"/>
              <w:bottom w:val="single" w:sz="4" w:space="0" w:color="448A99"/>
              <w:right w:val="single" w:sz="4" w:space="0" w:color="448A99"/>
            </w:tcBorders>
            <w:shd w:val="clear" w:color="000000" w:fill="FFFFFF"/>
            <w:vAlign w:val="center"/>
            <w:hideMark/>
          </w:tcPr>
          <w:p w:rsidR="00BB039B" w:rsidRPr="00B75B77" w:rsidRDefault="00BB039B" w:rsidP="004170FC">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1.9</w:t>
            </w:r>
          </w:p>
        </w:tc>
        <w:tc>
          <w:tcPr>
            <w:tcW w:w="1350" w:type="dxa"/>
            <w:tcBorders>
              <w:top w:val="nil"/>
              <w:left w:val="nil"/>
              <w:bottom w:val="single" w:sz="4" w:space="0" w:color="448A99"/>
              <w:right w:val="single" w:sz="4" w:space="0" w:color="448A99"/>
            </w:tcBorders>
            <w:shd w:val="clear" w:color="000000" w:fill="FFFFFF"/>
            <w:vAlign w:val="center"/>
            <w:hideMark/>
          </w:tcPr>
          <w:p w:rsidR="00BB039B" w:rsidRPr="00B75B77" w:rsidRDefault="00BB039B" w:rsidP="004170FC">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16,835</w:t>
            </w:r>
          </w:p>
        </w:tc>
        <w:tc>
          <w:tcPr>
            <w:tcW w:w="1440" w:type="dxa"/>
            <w:tcBorders>
              <w:top w:val="nil"/>
              <w:left w:val="nil"/>
              <w:bottom w:val="single" w:sz="4" w:space="0" w:color="448A99"/>
              <w:right w:val="single" w:sz="4" w:space="0" w:color="448A99"/>
            </w:tcBorders>
            <w:shd w:val="clear" w:color="000000" w:fill="FFFFFF"/>
            <w:vAlign w:val="center"/>
            <w:hideMark/>
          </w:tcPr>
          <w:p w:rsidR="00BB039B" w:rsidRPr="00B75B77" w:rsidRDefault="00BB039B" w:rsidP="004170FC">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1.8</w:t>
            </w:r>
          </w:p>
        </w:tc>
        <w:tc>
          <w:tcPr>
            <w:tcW w:w="990" w:type="dxa"/>
            <w:tcBorders>
              <w:top w:val="nil"/>
              <w:left w:val="nil"/>
              <w:bottom w:val="single" w:sz="4" w:space="0" w:color="448A99"/>
              <w:right w:val="single" w:sz="4" w:space="0" w:color="448A99"/>
            </w:tcBorders>
            <w:shd w:val="clear" w:color="000000" w:fill="FFFFFF"/>
            <w:vAlign w:val="center"/>
            <w:hideMark/>
          </w:tcPr>
          <w:p w:rsidR="00BB039B" w:rsidRPr="00B75B77" w:rsidRDefault="00BB039B" w:rsidP="004170FC">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$0</w:t>
            </w:r>
          </w:p>
        </w:tc>
      </w:tr>
    </w:tbl>
    <w:p w:rsidR="00BB039B" w:rsidRPr="00B75B77" w:rsidRDefault="00BB039B" w:rsidP="004170FC">
      <w:pPr>
        <w:pStyle w:val="Source"/>
        <w:keepNext/>
        <w:spacing w:before="20" w:after="20"/>
        <w:ind w:left="86" w:firstLine="0"/>
        <w:rPr>
          <w:rFonts w:ascii="Calibri" w:hAnsi="Calibri"/>
          <w:i w:val="0"/>
          <w:iCs/>
          <w:color w:val="000000"/>
          <w:szCs w:val="18"/>
        </w:rPr>
      </w:pPr>
      <w:r w:rsidRPr="00B75B77">
        <w:rPr>
          <w:rFonts w:ascii="Calibri" w:hAnsi="Calibri"/>
          <w:i w:val="0"/>
          <w:color w:val="000000"/>
          <w:szCs w:val="18"/>
          <w:vertAlign w:val="superscript"/>
        </w:rPr>
        <w:t>[1]</w:t>
      </w:r>
      <w:r w:rsidRPr="00B75B77">
        <w:rPr>
          <w:rFonts w:ascii="Calibri" w:hAnsi="Calibri"/>
          <w:i w:val="0"/>
          <w:color w:val="000000"/>
          <w:szCs w:val="18"/>
        </w:rPr>
        <w:t xml:space="preserve"> All customer sector totals are exclusive of each other and may be added together to get the Phase II totals.</w:t>
      </w:r>
      <w:r w:rsidRPr="00B75B77">
        <w:rPr>
          <w:rFonts w:ascii="Calibri" w:hAnsi="Calibri"/>
          <w:i w:val="0"/>
          <w:color w:val="000000"/>
          <w:szCs w:val="18"/>
        </w:rPr>
        <w:br/>
      </w:r>
      <w:r w:rsidRPr="00B75B77">
        <w:rPr>
          <w:rFonts w:ascii="Calibri" w:hAnsi="Calibri"/>
          <w:i w:val="0"/>
          <w:color w:val="000000"/>
          <w:szCs w:val="18"/>
          <w:vertAlign w:val="superscript"/>
        </w:rPr>
        <w:t>[2]</w:t>
      </w:r>
      <w:r w:rsidRPr="00B75B77">
        <w:rPr>
          <w:rFonts w:ascii="Calibri" w:hAnsi="Calibri"/>
          <w:i w:val="0"/>
          <w:color w:val="000000"/>
          <w:szCs w:val="18"/>
        </w:rPr>
        <w:t xml:space="preserve"> All reported and verified demand savings in this report include line losses as required.</w:t>
      </w:r>
      <w:r w:rsidRPr="00B75B77">
        <w:rPr>
          <w:rFonts w:ascii="Calibri" w:hAnsi="Calibri"/>
          <w:i w:val="0"/>
          <w:color w:val="000000"/>
          <w:szCs w:val="18"/>
        </w:rPr>
        <w:br/>
      </w:r>
      <w:r w:rsidRPr="00B75B77">
        <w:rPr>
          <w:rFonts w:ascii="Calibri" w:hAnsi="Calibri"/>
          <w:i w:val="0"/>
          <w:iCs/>
          <w:color w:val="000000"/>
          <w:szCs w:val="18"/>
        </w:rPr>
        <w:t>Note: Values in tables may not reconcile exactly with the sum of more detailed level results or previously reported results due to rounding.</w:t>
      </w:r>
    </w:p>
    <w:p w:rsidR="00BB039B" w:rsidRPr="00B75B77" w:rsidRDefault="00BB039B" w:rsidP="004170FC">
      <w:pPr>
        <w:pStyle w:val="Source"/>
        <w:keepNext/>
        <w:ind w:left="90" w:firstLine="0"/>
      </w:pPr>
      <w:r w:rsidRPr="00B75B77">
        <w:t>Source: Navigant analysis</w:t>
      </w:r>
    </w:p>
    <w:p w:rsidR="00BB039B" w:rsidRPr="00B75B77" w:rsidRDefault="00BB039B" w:rsidP="00BB039B">
      <w:pPr>
        <w:pStyle w:val="Heading3"/>
      </w:pPr>
      <w:bookmarkStart w:id="852" w:name="_Toc466413440"/>
      <w:r w:rsidRPr="00B75B77">
        <w:t>Gross Verified Savings Methodology</w:t>
      </w:r>
      <w:bookmarkEnd w:id="852"/>
      <w:r w:rsidRPr="00B75B77">
        <w:t xml:space="preserve">  </w:t>
      </w:r>
    </w:p>
    <w:p w:rsidR="00BB039B" w:rsidRPr="00B75B77" w:rsidRDefault="00BB039B" w:rsidP="00BB039B">
      <w:r w:rsidRPr="00B75B77">
        <w:t xml:space="preserve">The gross impact evaluation consisted of several steps. The evaluation team conducted file reviews and telephone surveys with participants for verbal verification of DI measure installation. The team then conducted </w:t>
      </w:r>
      <w:r w:rsidR="00685BDE" w:rsidRPr="00B75B77">
        <w:t>onsite</w:t>
      </w:r>
      <w:r w:rsidRPr="00B75B77">
        <w:t xml:space="preserve"> visits for a subset of telephoned participants for enhanced verification. The evaluation team also verified the ex</w:t>
      </w:r>
      <w:r w:rsidR="00936753" w:rsidRPr="00B75B77">
        <w:t xml:space="preserve"> </w:t>
      </w:r>
      <w:r w:rsidRPr="00B75B77">
        <w:t>ante savings algorithm’s adherence to the TRM for the census of program projects.</w:t>
      </w:r>
    </w:p>
    <w:p w:rsidR="00BB039B" w:rsidRPr="00B75B77" w:rsidRDefault="00BB039B" w:rsidP="00BB039B"/>
    <w:p w:rsidR="00BB039B" w:rsidRPr="00B75B77" w:rsidRDefault="00BB039B" w:rsidP="00BB039B">
      <w:r w:rsidRPr="00B75B77">
        <w:t xml:space="preserve">The evaluation team performed savings calculations for each record in the program tracking data based on guidance from the Pennsylvania TRM (June 2015) and compared the independently calculated savings to each record’s reported savings. This review found reported gross savings aligned with </w:t>
      </w:r>
      <w:r w:rsidR="00936753" w:rsidRPr="00B75B77">
        <w:t xml:space="preserve">the </w:t>
      </w:r>
      <w:r w:rsidRPr="00B75B77">
        <w:t>TRM</w:t>
      </w:r>
      <w:r w:rsidR="00936753" w:rsidRPr="00B75B77">
        <w:t>’s</w:t>
      </w:r>
      <w:r w:rsidRPr="00B75B77">
        <w:t xml:space="preserve"> methodology.</w:t>
      </w:r>
    </w:p>
    <w:p w:rsidR="00BB039B" w:rsidRPr="00B75B77" w:rsidRDefault="00BB039B" w:rsidP="00BB039B"/>
    <w:p w:rsidR="00BB039B" w:rsidRPr="00B75B77" w:rsidRDefault="00BB039B" w:rsidP="00BB039B">
      <w:r w:rsidRPr="00B75B77">
        <w:t>Navigant conducted file reviews on the selected sample to verify that measure counts, efficiency ratings, and reported savings in the project summary files matched the program tracking data. T</w:t>
      </w:r>
      <w:r w:rsidR="00936753" w:rsidRPr="00B75B77">
        <w:t>he evaluation team then conducted t</w:t>
      </w:r>
      <w:r w:rsidRPr="00B75B77">
        <w:t xml:space="preserve">elephone surveys to verify measure counts. </w:t>
      </w:r>
      <w:r w:rsidR="00936753" w:rsidRPr="00B75B77">
        <w:t>The team visited a</w:t>
      </w:r>
      <w:r w:rsidRPr="00B75B77">
        <w:t xml:space="preserve"> sub-sampled set of the reviewed projects to verify measure counts and efficiency ratings through visual inspection. For those sample points that received </w:t>
      </w:r>
      <w:r w:rsidR="00685BDE" w:rsidRPr="00B75B77">
        <w:t>onsite</w:t>
      </w:r>
      <w:r w:rsidRPr="00B75B77">
        <w:t xml:space="preserve"> visits, the </w:t>
      </w:r>
      <w:r w:rsidR="00685BDE" w:rsidRPr="00B75B77">
        <w:t>onsite</w:t>
      </w:r>
      <w:r w:rsidRPr="00B75B77">
        <w:t xml:space="preserve"> visit results replaced telephone survey results in </w:t>
      </w:r>
      <w:r w:rsidR="00936753" w:rsidRPr="00B75B77">
        <w:t xml:space="preserve">the </w:t>
      </w:r>
      <w:r w:rsidRPr="00B75B77">
        <w:t xml:space="preserve">gross impact calculations. In total, the evaluation team included 72 sample points in the gross impact evaluation, where 15 of the 72 sample points received enhanced gross impact evaluations through </w:t>
      </w:r>
      <w:r w:rsidR="00685BDE" w:rsidRPr="00B75B77">
        <w:t>onsite</w:t>
      </w:r>
      <w:r w:rsidRPr="00B75B77">
        <w:t xml:space="preserve"> visits. </w:t>
      </w:r>
    </w:p>
    <w:p w:rsidR="00BB039B" w:rsidRPr="00B75B77" w:rsidRDefault="00BB039B" w:rsidP="00BB039B"/>
    <w:p w:rsidR="00BB039B" w:rsidRPr="00B75B77" w:rsidRDefault="00BB039B" w:rsidP="00BB039B">
      <w:r w:rsidRPr="00B75B77">
        <w:t xml:space="preserve">During each </w:t>
      </w:r>
      <w:r w:rsidR="00685BDE" w:rsidRPr="00B75B77">
        <w:t>onsite</w:t>
      </w:r>
      <w:r w:rsidRPr="00B75B77">
        <w:t xml:space="preserve"> visit, evaluation team personnel conducted a walkthrough of the facility in order to verify installed measure counts and pertinent details such as wattage and flow</w:t>
      </w:r>
      <w:r w:rsidR="00936753" w:rsidRPr="00B75B77">
        <w:t xml:space="preserve"> </w:t>
      </w:r>
      <w:r w:rsidRPr="00B75B77">
        <w:t xml:space="preserve">rate. Installed measures included CFLs, </w:t>
      </w:r>
      <w:r w:rsidR="00F121BD" w:rsidRPr="00B75B77">
        <w:t>low-flow faucet aerator</w:t>
      </w:r>
      <w:r w:rsidR="00936753" w:rsidRPr="00B75B77">
        <w:t>s</w:t>
      </w:r>
      <w:r w:rsidRPr="00B75B77">
        <w:t xml:space="preserve">, and </w:t>
      </w:r>
      <w:r w:rsidR="00F121BD" w:rsidRPr="00B75B77">
        <w:t>low-flow showerhead</w:t>
      </w:r>
      <w:r w:rsidR="00936753" w:rsidRPr="00B75B77">
        <w:t>s</w:t>
      </w:r>
      <w:r w:rsidRPr="00B75B77">
        <w:t xml:space="preserve">. </w:t>
      </w:r>
      <w:r w:rsidR="00936753" w:rsidRPr="00B75B77">
        <w:t>Program</w:t>
      </w:r>
      <w:r w:rsidRPr="00B75B77">
        <w:t xml:space="preserve"> tracking data does not include the DI measures’ make and model information. For CFLs, the tracking data only lists the bulb shape and wattage. For </w:t>
      </w:r>
      <w:r w:rsidR="00F121BD" w:rsidRPr="00B75B77">
        <w:t>low-flow faucet aerator</w:t>
      </w:r>
      <w:r w:rsidR="00936753" w:rsidRPr="00B75B77">
        <w:t>s</w:t>
      </w:r>
      <w:r w:rsidRPr="00B75B77">
        <w:t xml:space="preserve"> and </w:t>
      </w:r>
      <w:r w:rsidR="00F121BD" w:rsidRPr="00B75B77">
        <w:t>low-flow showerhead</w:t>
      </w:r>
      <w:r w:rsidR="00936753" w:rsidRPr="00B75B77">
        <w:t>s</w:t>
      </w:r>
      <w:r w:rsidRPr="00B75B77">
        <w:t>, the tracking data only lists the fixture’s flow</w:t>
      </w:r>
      <w:r w:rsidR="00936753" w:rsidRPr="00B75B77">
        <w:t xml:space="preserve"> </w:t>
      </w:r>
      <w:r w:rsidRPr="00B75B77">
        <w:t xml:space="preserve">rate. </w:t>
      </w:r>
      <w:r w:rsidR="00685BDE" w:rsidRPr="00B75B77">
        <w:t>Onsite</w:t>
      </w:r>
      <w:r w:rsidRPr="00B75B77">
        <w:t xml:space="preserve"> personnel identified a bulb or fixture as a program measure if the shape and wattage (CFLs) or the marked flow</w:t>
      </w:r>
      <w:r w:rsidR="00936753" w:rsidRPr="00B75B77">
        <w:t xml:space="preserve"> </w:t>
      </w:r>
      <w:r w:rsidRPr="00B75B77">
        <w:t>rate (</w:t>
      </w:r>
      <w:r w:rsidR="00F121BD" w:rsidRPr="00B75B77">
        <w:t>low-flow faucet aerator</w:t>
      </w:r>
      <w:r w:rsidRPr="00B75B77">
        <w:t xml:space="preserve"> or </w:t>
      </w:r>
      <w:r w:rsidR="00F121BD" w:rsidRPr="00B75B77">
        <w:t>low-flow showerhead</w:t>
      </w:r>
      <w:r w:rsidRPr="00B75B77">
        <w:t xml:space="preserve">) matched the tracking data specifications. It is important to note that if a program measure failed or was otherwise removed and replaced in-kind, the visual inspection would falsely identify the equipment as </w:t>
      </w:r>
      <w:r w:rsidRPr="00B75B77">
        <w:lastRenderedPageBreak/>
        <w:t xml:space="preserve">an installed program measure. This issue could inflate the evaluation realization rates found through </w:t>
      </w:r>
      <w:r w:rsidR="00685BDE" w:rsidRPr="00B75B77">
        <w:t>onsite</w:t>
      </w:r>
      <w:r w:rsidRPr="00B75B77">
        <w:t xml:space="preserve"> visits.</w:t>
      </w:r>
    </w:p>
    <w:p w:rsidR="00BB039B" w:rsidRPr="00B75B77" w:rsidRDefault="00BB039B" w:rsidP="00BB039B"/>
    <w:p w:rsidR="00BB039B" w:rsidRPr="00B75B77" w:rsidRDefault="00BB039B" w:rsidP="00BB039B">
      <w:r w:rsidRPr="00B75B77">
        <w:t xml:space="preserve">The evaluation team selected a stratified random sample from the program population for file reviews and telephone surveys. </w:t>
      </w:r>
      <w:r w:rsidR="00532DE3" w:rsidRPr="00B75B77">
        <w:t>The team selected a</w:t>
      </w:r>
      <w:r w:rsidRPr="00B75B77">
        <w:t xml:space="preserve"> separate sample for the residential and nonresidential sectors. The evaluation team selected sample sites from size-stratified residential (strata = unit project size) and nonresidential populations (strata = property total project size). The residential sector was further stratified by low</w:t>
      </w:r>
      <w:r w:rsidR="004170FC" w:rsidRPr="00B75B77">
        <w:t>-</w:t>
      </w:r>
      <w:r w:rsidRPr="00B75B77">
        <w:t xml:space="preserve">income status. </w:t>
      </w:r>
      <w:r w:rsidR="00532DE3" w:rsidRPr="00B75B77">
        <w:t>The evaluation team designated p</w:t>
      </w:r>
      <w:r w:rsidRPr="00B75B77">
        <w:t>articipants as low</w:t>
      </w:r>
      <w:r w:rsidR="00532DE3" w:rsidRPr="00B75B77">
        <w:t xml:space="preserve"> </w:t>
      </w:r>
      <w:r w:rsidRPr="00B75B77">
        <w:t>income if they participate in a PECO-sponsored bill-pay assistance program for</w:t>
      </w:r>
      <w:r w:rsidR="00532DE3" w:rsidRPr="00B75B77">
        <w:t xml:space="preserve"> low-income </w:t>
      </w:r>
      <w:r w:rsidRPr="00B75B77">
        <w:t xml:space="preserve">customers. The evaluation plan called for </w:t>
      </w:r>
      <w:r w:rsidR="00532DE3" w:rsidRPr="00B75B77">
        <w:t xml:space="preserve">a </w:t>
      </w:r>
      <w:r w:rsidRPr="00B75B77">
        <w:t xml:space="preserve">separate evaluation of </w:t>
      </w:r>
      <w:r w:rsidR="00532DE3" w:rsidRPr="00B75B77">
        <w:t>low-income</w:t>
      </w:r>
      <w:r w:rsidRPr="00B75B77">
        <w:t xml:space="preserve"> and non-</w:t>
      </w:r>
      <w:r w:rsidR="00532DE3" w:rsidRPr="00B75B77">
        <w:t>low-income</w:t>
      </w:r>
      <w:r w:rsidRPr="00B75B77">
        <w:t xml:space="preserve"> residential participants</w:t>
      </w:r>
      <w:r w:rsidR="00532DE3" w:rsidRPr="00B75B77">
        <w:t>;</w:t>
      </w:r>
      <w:r w:rsidRPr="00B75B77">
        <w:t xml:space="preserve"> however</w:t>
      </w:r>
      <w:r w:rsidR="00532DE3" w:rsidRPr="00B75B77">
        <w:t>,</w:t>
      </w:r>
      <w:r w:rsidRPr="00B75B77">
        <w:t xml:space="preserve"> since savings from the </w:t>
      </w:r>
      <w:r w:rsidR="00532DE3" w:rsidRPr="00B75B77">
        <w:t>low-income</w:t>
      </w:r>
      <w:r w:rsidRPr="00B75B77">
        <w:t xml:space="preserve"> population (13% of total residential reported gross energy savings) fell below the 20% threshold at which separate reporting is required per </w:t>
      </w:r>
      <w:r w:rsidR="00532DE3" w:rsidRPr="00B75B77">
        <w:t>S</w:t>
      </w:r>
      <w:r w:rsidRPr="00B75B77">
        <w:t xml:space="preserve">ection 3.4.1 of the Evaluation Framework, separate reporting was not necessary. </w:t>
      </w:r>
    </w:p>
    <w:p w:rsidR="00BB039B" w:rsidRPr="00B75B77" w:rsidRDefault="00BB039B" w:rsidP="00BB039B"/>
    <w:p w:rsidR="00BB039B" w:rsidRPr="00B75B77" w:rsidRDefault="00BB039B" w:rsidP="00BB039B">
      <w:r w:rsidRPr="00B75B77">
        <w:t xml:space="preserve">The evaluation team selected 48 total units for the residential </w:t>
      </w:r>
      <w:r w:rsidR="00255BBB" w:rsidRPr="00B75B77">
        <w:t xml:space="preserve">sector </w:t>
      </w:r>
      <w:r w:rsidRPr="00B75B77">
        <w:t xml:space="preserve">and 24 properties for the nonresidential sector. </w:t>
      </w:r>
      <w:r w:rsidR="00255BBB" w:rsidRPr="00B75B77">
        <w:t>The team also utilized t</w:t>
      </w:r>
      <w:r w:rsidRPr="00B75B77">
        <w:t>his sample for the NTG research and process evaluation telephone surveys. The evaluation team sub-sampled 15 sites (</w:t>
      </w:r>
      <w:r w:rsidR="00255BBB" w:rsidRPr="00B75B77">
        <w:t>nine</w:t>
      </w:r>
      <w:r w:rsidRPr="00B75B77">
        <w:t xml:space="preserve"> residential</w:t>
      </w:r>
      <w:r w:rsidRPr="00B75B77">
        <w:rPr>
          <w:rStyle w:val="FootnoteReference"/>
        </w:rPr>
        <w:footnoteReference w:id="53"/>
      </w:r>
      <w:r w:rsidRPr="00B75B77">
        <w:t xml:space="preserve"> and </w:t>
      </w:r>
      <w:r w:rsidR="00255BBB" w:rsidRPr="00B75B77">
        <w:t>six</w:t>
      </w:r>
      <w:r w:rsidRPr="00B75B77">
        <w:t xml:space="preserve"> non</w:t>
      </w:r>
      <w:r w:rsidR="00AF5657" w:rsidRPr="00B75B77">
        <w:t>residential</w:t>
      </w:r>
      <w:r w:rsidRPr="00B75B77">
        <w:t xml:space="preserve">) from the 72 sample points for </w:t>
      </w:r>
      <w:r w:rsidR="00685BDE" w:rsidRPr="00B75B77">
        <w:t>onsite</w:t>
      </w:r>
      <w:r w:rsidRPr="00B75B77">
        <w:t xml:space="preserve"> visits. </w:t>
      </w:r>
      <w:r w:rsidR="00255BBB" w:rsidRPr="00B75B77">
        <w:fldChar w:fldCharType="begin"/>
      </w:r>
      <w:r w:rsidR="00255BBB" w:rsidRPr="00B75B77">
        <w:instrText xml:space="preserve"> REF _Ref464136308 \h </w:instrText>
      </w:r>
      <w:r w:rsidR="00B75B77">
        <w:instrText xml:space="preserve"> \* MERGEFORMAT </w:instrText>
      </w:r>
      <w:r w:rsidR="00255BBB" w:rsidRPr="00B75B77">
        <w:fldChar w:fldCharType="separate"/>
      </w:r>
      <w:r w:rsidR="0004016D" w:rsidRPr="00B75B77">
        <w:t xml:space="preserve">Table </w:t>
      </w:r>
      <w:r w:rsidR="0004016D">
        <w:rPr>
          <w:noProof/>
        </w:rPr>
        <w:t>14</w:t>
      </w:r>
      <w:r w:rsidR="0004016D" w:rsidRPr="00B75B77">
        <w:rPr>
          <w:noProof/>
        </w:rPr>
        <w:noBreakHyphen/>
      </w:r>
      <w:r w:rsidR="0004016D">
        <w:rPr>
          <w:noProof/>
        </w:rPr>
        <w:t>2</w:t>
      </w:r>
      <w:r w:rsidR="00255BBB" w:rsidRPr="00B75B77">
        <w:fldChar w:fldCharType="end"/>
      </w:r>
      <w:r w:rsidRPr="00B75B77">
        <w:t xml:space="preserve"> details the sampling strategy for the gross impact evaluation.</w:t>
      </w:r>
    </w:p>
    <w:p w:rsidR="00BB039B" w:rsidRPr="00B75B77" w:rsidRDefault="00BB039B" w:rsidP="00BB039B"/>
    <w:p w:rsidR="00BB039B" w:rsidRPr="00B75B77" w:rsidRDefault="00BB039B" w:rsidP="00466674">
      <w:pPr>
        <w:pStyle w:val="Caption"/>
      </w:pPr>
      <w:bookmarkStart w:id="853" w:name="_Ref464136308"/>
      <w:bookmarkStart w:id="854" w:name="_Toc466413620"/>
      <w:r w:rsidRPr="00B75B77">
        <w:t xml:space="preserve">Table </w:t>
      </w:r>
      <w:fldSimple w:instr=" STYLEREF 1 \s ">
        <w:r w:rsidR="0004016D">
          <w:rPr>
            <w:noProof/>
          </w:rPr>
          <w:t>14</w:t>
        </w:r>
      </w:fldSimple>
      <w:r w:rsidR="00F1144C" w:rsidRPr="00B75B77">
        <w:noBreakHyphen/>
      </w:r>
      <w:fldSimple w:instr=" SEQ Table \* ARABIC \s 1 ">
        <w:r w:rsidR="0004016D">
          <w:rPr>
            <w:noProof/>
          </w:rPr>
          <w:t>2</w:t>
        </w:r>
      </w:fldSimple>
      <w:bookmarkEnd w:id="853"/>
      <w:r w:rsidRPr="00B75B77">
        <w:t>: Smart Multi</w:t>
      </w:r>
      <w:r w:rsidR="00255BBB" w:rsidRPr="00B75B77">
        <w:t>-F</w:t>
      </w:r>
      <w:r w:rsidRPr="00B75B77">
        <w:t>amily Solutions Program Sampling Strategy for PY7</w:t>
      </w:r>
      <w:bookmarkEnd w:id="854"/>
    </w:p>
    <w:tbl>
      <w:tblPr>
        <w:tblStyle w:val="MediumShading1-Accent5"/>
        <w:tblW w:w="5000" w:type="pct"/>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1732"/>
        <w:gridCol w:w="1406"/>
        <w:gridCol w:w="1331"/>
        <w:gridCol w:w="891"/>
        <w:gridCol w:w="1163"/>
        <w:gridCol w:w="3053"/>
      </w:tblGrid>
      <w:tr w:rsidR="00BB039B" w:rsidRPr="00B75B77" w:rsidTr="00255B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8A99"/>
            <w:vAlign w:val="center"/>
          </w:tcPr>
          <w:p w:rsidR="00BB039B" w:rsidRPr="00B75B77" w:rsidRDefault="00BB039B" w:rsidP="00594255">
            <w:pPr>
              <w:pStyle w:val="TableHeader"/>
              <w:jc w:val="left"/>
              <w:rPr>
                <w:b/>
                <w:color w:val="FFFFFF" w:themeColor="background1"/>
              </w:rPr>
            </w:pPr>
            <w:r w:rsidRPr="00B75B77">
              <w:rPr>
                <w:b/>
                <w:color w:val="FFFFFF" w:themeColor="background1"/>
              </w:rPr>
              <w:t>Stratum</w:t>
            </w:r>
          </w:p>
        </w:tc>
        <w:tc>
          <w:tcPr>
            <w:tcW w:w="73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8A99"/>
            <w:vAlign w:val="center"/>
          </w:tcPr>
          <w:p w:rsidR="00BB039B" w:rsidRPr="00B75B77" w:rsidRDefault="00BB039B" w:rsidP="00BB039B">
            <w:pPr>
              <w:pStyle w:val="TableHead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Population Size</w:t>
            </w:r>
            <w:r w:rsidRPr="00B75B77">
              <w:rPr>
                <w:b/>
                <w:color w:val="FFFFFF" w:themeColor="background1"/>
                <w:vertAlign w:val="superscript"/>
              </w:rPr>
              <w:t>[1]</w:t>
            </w:r>
          </w:p>
        </w:tc>
        <w:tc>
          <w:tcPr>
            <w:tcW w:w="69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8A99"/>
            <w:vAlign w:val="center"/>
          </w:tcPr>
          <w:p w:rsidR="00BB039B" w:rsidRPr="00B75B77" w:rsidRDefault="00BB039B" w:rsidP="00594255">
            <w:pPr>
              <w:pStyle w:val="TableHead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 xml:space="preserve">Target Levels of Confidence </w:t>
            </w:r>
            <w:r w:rsidR="00255BBB" w:rsidRPr="00B75B77">
              <w:rPr>
                <w:b/>
                <w:color w:val="FFFFFF" w:themeColor="background1"/>
              </w:rPr>
              <w:t>and</w:t>
            </w:r>
            <w:r w:rsidRPr="00B75B77">
              <w:rPr>
                <w:b/>
                <w:color w:val="FFFFFF" w:themeColor="background1"/>
              </w:rPr>
              <w:t xml:space="preserve"> Precision</w:t>
            </w:r>
          </w:p>
        </w:tc>
        <w:tc>
          <w:tcPr>
            <w:tcW w:w="46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8A99"/>
            <w:vAlign w:val="center"/>
          </w:tcPr>
          <w:p w:rsidR="00BB039B" w:rsidRPr="00B75B77" w:rsidRDefault="00BB039B" w:rsidP="00BB039B">
            <w:pPr>
              <w:pStyle w:val="TableHead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Target Sample Size</w:t>
            </w:r>
            <w:r w:rsidRPr="00B75B77">
              <w:rPr>
                <w:b/>
                <w:color w:val="FFFFFF" w:themeColor="background1"/>
                <w:vertAlign w:val="superscript"/>
              </w:rPr>
              <w:t>[2]</w:t>
            </w:r>
          </w:p>
        </w:tc>
        <w:tc>
          <w:tcPr>
            <w:tcW w:w="60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8A99"/>
            <w:vAlign w:val="center"/>
          </w:tcPr>
          <w:p w:rsidR="00BB039B" w:rsidRPr="00B75B77" w:rsidRDefault="00BB039B" w:rsidP="00BB039B">
            <w:pPr>
              <w:pStyle w:val="TableHead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Achieved Sample Size</w:t>
            </w:r>
          </w:p>
        </w:tc>
        <w:tc>
          <w:tcPr>
            <w:tcW w:w="159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8A99"/>
            <w:vAlign w:val="center"/>
          </w:tcPr>
          <w:p w:rsidR="00BB039B" w:rsidRPr="00B75B77" w:rsidRDefault="00BB039B" w:rsidP="00255BBB">
            <w:pPr>
              <w:pStyle w:val="TableHeader"/>
              <w:jc w:val="left"/>
              <w:cnfStyle w:val="100000000000" w:firstRow="1" w:lastRow="0" w:firstColumn="0" w:lastColumn="0" w:oddVBand="0" w:evenVBand="0" w:oddHBand="0" w:evenHBand="0" w:firstRowFirstColumn="0" w:firstRowLastColumn="0" w:lastRowFirstColumn="0" w:lastRowLastColumn="0"/>
              <w:rPr>
                <w:b/>
                <w:color w:val="FFFFFF" w:themeColor="background1"/>
              </w:rPr>
            </w:pPr>
            <w:r w:rsidRPr="00B75B77">
              <w:rPr>
                <w:b/>
                <w:color w:val="FFFFFF" w:themeColor="background1"/>
              </w:rPr>
              <w:t>Evaluation Activity</w:t>
            </w:r>
          </w:p>
        </w:tc>
      </w:tr>
      <w:tr w:rsidR="00BB039B" w:rsidRPr="00B75B77" w:rsidTr="00255BB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05" w:type="pct"/>
            <w:tcBorders>
              <w:top w:val="single" w:sz="8" w:space="0" w:color="000000" w:themeColor="text1"/>
              <w:right w:val="none" w:sz="0" w:space="0" w:color="auto"/>
            </w:tcBorders>
            <w:vAlign w:val="center"/>
          </w:tcPr>
          <w:p w:rsidR="00BB039B" w:rsidRPr="00B75B77" w:rsidRDefault="00BB039B" w:rsidP="00594255">
            <w:pPr>
              <w:pStyle w:val="TableText"/>
              <w:rPr>
                <w:b w:val="0"/>
              </w:rPr>
            </w:pPr>
            <w:r w:rsidRPr="00B75B77">
              <w:rPr>
                <w:b w:val="0"/>
              </w:rPr>
              <w:t>Residential Participants</w:t>
            </w:r>
          </w:p>
        </w:tc>
        <w:tc>
          <w:tcPr>
            <w:tcW w:w="734" w:type="pct"/>
            <w:tcBorders>
              <w:top w:val="single" w:sz="8" w:space="0" w:color="000000" w:themeColor="text1"/>
              <w:left w:val="none" w:sz="0" w:space="0" w:color="auto"/>
              <w:right w:val="none" w:sz="0" w:space="0" w:color="auto"/>
            </w:tcBorders>
            <w:vAlign w:val="center"/>
          </w:tcPr>
          <w:p w:rsidR="00BB039B" w:rsidRPr="00B75B77" w:rsidRDefault="00BB039B" w:rsidP="00594255">
            <w:pPr>
              <w:pStyle w:val="TableText"/>
              <w:jc w:val="center"/>
              <w:cnfStyle w:val="000000100000" w:firstRow="0" w:lastRow="0" w:firstColumn="0" w:lastColumn="0" w:oddVBand="0" w:evenVBand="0" w:oddHBand="1" w:evenHBand="0" w:firstRowFirstColumn="0" w:firstRowLastColumn="0" w:lastRowFirstColumn="0" w:lastRowLastColumn="0"/>
            </w:pPr>
            <w:r w:rsidRPr="00B75B77">
              <w:t>3,726</w:t>
            </w:r>
          </w:p>
        </w:tc>
        <w:tc>
          <w:tcPr>
            <w:tcW w:w="695" w:type="pct"/>
            <w:tcBorders>
              <w:top w:val="single" w:sz="8" w:space="0" w:color="000000" w:themeColor="text1"/>
              <w:left w:val="none" w:sz="0" w:space="0" w:color="auto"/>
              <w:right w:val="none" w:sz="0" w:space="0" w:color="auto"/>
            </w:tcBorders>
            <w:vAlign w:val="center"/>
          </w:tcPr>
          <w:p w:rsidR="00BB039B" w:rsidRPr="00B75B77" w:rsidRDefault="00BB039B" w:rsidP="00594255">
            <w:pPr>
              <w:pStyle w:val="TableText"/>
              <w:jc w:val="center"/>
              <w:cnfStyle w:val="000000100000" w:firstRow="0" w:lastRow="0" w:firstColumn="0" w:lastColumn="0" w:oddVBand="0" w:evenVBand="0" w:oddHBand="1" w:evenHBand="0" w:firstRowFirstColumn="0" w:firstRowLastColumn="0" w:lastRowFirstColumn="0" w:lastRowLastColumn="0"/>
            </w:pPr>
            <w:r w:rsidRPr="00B75B77">
              <w:t>85/15</w:t>
            </w:r>
          </w:p>
        </w:tc>
        <w:tc>
          <w:tcPr>
            <w:tcW w:w="465" w:type="pct"/>
            <w:tcBorders>
              <w:top w:val="single" w:sz="8" w:space="0" w:color="000000" w:themeColor="text1"/>
              <w:left w:val="none" w:sz="0" w:space="0" w:color="auto"/>
              <w:right w:val="none" w:sz="0" w:space="0" w:color="auto"/>
            </w:tcBorders>
            <w:vAlign w:val="center"/>
          </w:tcPr>
          <w:p w:rsidR="00BB039B" w:rsidRPr="00B75B77" w:rsidRDefault="00BB039B" w:rsidP="00594255">
            <w:pPr>
              <w:pStyle w:val="TableText"/>
              <w:jc w:val="center"/>
              <w:cnfStyle w:val="000000100000" w:firstRow="0" w:lastRow="0" w:firstColumn="0" w:lastColumn="0" w:oddVBand="0" w:evenVBand="0" w:oddHBand="1" w:evenHBand="0" w:firstRowFirstColumn="0" w:firstRowLastColumn="0" w:lastRowFirstColumn="0" w:lastRowLastColumn="0"/>
            </w:pPr>
            <w:r w:rsidRPr="00B75B77">
              <w:t>48 (10)</w:t>
            </w:r>
          </w:p>
        </w:tc>
        <w:tc>
          <w:tcPr>
            <w:tcW w:w="607" w:type="pct"/>
            <w:tcBorders>
              <w:top w:val="single" w:sz="8" w:space="0" w:color="000000" w:themeColor="text1"/>
              <w:left w:val="none" w:sz="0" w:space="0" w:color="auto"/>
              <w:right w:val="none" w:sz="0" w:space="0" w:color="auto"/>
            </w:tcBorders>
            <w:vAlign w:val="center"/>
          </w:tcPr>
          <w:p w:rsidR="00BB039B" w:rsidRPr="00B75B77" w:rsidRDefault="00BB039B" w:rsidP="00594255">
            <w:pPr>
              <w:pStyle w:val="TableText"/>
              <w:jc w:val="center"/>
              <w:cnfStyle w:val="000000100000" w:firstRow="0" w:lastRow="0" w:firstColumn="0" w:lastColumn="0" w:oddVBand="0" w:evenVBand="0" w:oddHBand="1" w:evenHBand="0" w:firstRowFirstColumn="0" w:firstRowLastColumn="0" w:lastRowFirstColumn="0" w:lastRowLastColumn="0"/>
            </w:pPr>
            <w:r w:rsidRPr="00B75B77">
              <w:t>48 (9)</w:t>
            </w:r>
          </w:p>
        </w:tc>
        <w:tc>
          <w:tcPr>
            <w:tcW w:w="1594" w:type="pct"/>
            <w:tcBorders>
              <w:top w:val="single" w:sz="8" w:space="0" w:color="000000" w:themeColor="text1"/>
              <w:left w:val="none" w:sz="0" w:space="0" w:color="auto"/>
            </w:tcBorders>
            <w:vAlign w:val="center"/>
          </w:tcPr>
          <w:p w:rsidR="00BB039B" w:rsidRPr="00B75B77" w:rsidRDefault="00BB039B" w:rsidP="00255BBB">
            <w:pPr>
              <w:pStyle w:val="TableText"/>
              <w:cnfStyle w:val="000000100000" w:firstRow="0" w:lastRow="0" w:firstColumn="0" w:lastColumn="0" w:oddVBand="0" w:evenVBand="0" w:oddHBand="1" w:evenHBand="0" w:firstRowFirstColumn="0" w:firstRowLastColumn="0" w:lastRowFirstColumn="0" w:lastRowLastColumn="0"/>
            </w:pPr>
            <w:r w:rsidRPr="00B75B77">
              <w:t xml:space="preserve">File </w:t>
            </w:r>
            <w:r w:rsidR="00255BBB" w:rsidRPr="00B75B77">
              <w:t>r</w:t>
            </w:r>
            <w:r w:rsidRPr="00B75B77">
              <w:t xml:space="preserve">eviews </w:t>
            </w:r>
            <w:r w:rsidR="00255BBB" w:rsidRPr="00B75B77">
              <w:t>and</w:t>
            </w:r>
            <w:r w:rsidRPr="00B75B77">
              <w:t xml:space="preserve"> </w:t>
            </w:r>
            <w:r w:rsidR="00255BBB" w:rsidRPr="00B75B77">
              <w:t>t</w:t>
            </w:r>
            <w:r w:rsidRPr="00B75B77">
              <w:t xml:space="preserve">elephone </w:t>
            </w:r>
            <w:r w:rsidR="00255BBB" w:rsidRPr="00B75B77">
              <w:t>s</w:t>
            </w:r>
            <w:r w:rsidRPr="00B75B77">
              <w:t>urveys  (</w:t>
            </w:r>
            <w:r w:rsidR="00255BBB" w:rsidRPr="00B75B77">
              <w:t>o</w:t>
            </w:r>
            <w:r w:rsidR="00685BDE" w:rsidRPr="00B75B77">
              <w:t>nsite</w:t>
            </w:r>
            <w:r w:rsidRPr="00B75B77">
              <w:t xml:space="preserve"> Visits)</w:t>
            </w:r>
          </w:p>
        </w:tc>
      </w:tr>
      <w:tr w:rsidR="00BB039B" w:rsidRPr="00B75B77" w:rsidTr="00255BBB">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05" w:type="pct"/>
            <w:tcBorders>
              <w:right w:val="none" w:sz="0" w:space="0" w:color="auto"/>
            </w:tcBorders>
            <w:vAlign w:val="center"/>
          </w:tcPr>
          <w:p w:rsidR="00BB039B" w:rsidRPr="00B75B77" w:rsidRDefault="00BB039B" w:rsidP="00594255">
            <w:pPr>
              <w:pStyle w:val="TableText"/>
              <w:rPr>
                <w:b w:val="0"/>
              </w:rPr>
            </w:pPr>
            <w:r w:rsidRPr="00B75B77">
              <w:rPr>
                <w:b w:val="0"/>
              </w:rPr>
              <w:t>Nonresidential Participants</w:t>
            </w:r>
          </w:p>
        </w:tc>
        <w:tc>
          <w:tcPr>
            <w:tcW w:w="734" w:type="pct"/>
            <w:tcBorders>
              <w:left w:val="none" w:sz="0" w:space="0" w:color="auto"/>
              <w:right w:val="none" w:sz="0" w:space="0" w:color="auto"/>
            </w:tcBorders>
            <w:vAlign w:val="center"/>
          </w:tcPr>
          <w:p w:rsidR="00BB039B" w:rsidRPr="00B75B77" w:rsidRDefault="00BB039B" w:rsidP="00594255">
            <w:pPr>
              <w:pStyle w:val="TableText"/>
              <w:jc w:val="center"/>
              <w:cnfStyle w:val="000000010000" w:firstRow="0" w:lastRow="0" w:firstColumn="0" w:lastColumn="0" w:oddVBand="0" w:evenVBand="0" w:oddHBand="0" w:evenHBand="1" w:firstRowFirstColumn="0" w:firstRowLastColumn="0" w:lastRowFirstColumn="0" w:lastRowLastColumn="0"/>
            </w:pPr>
            <w:r w:rsidRPr="00B75B77">
              <w:t>122</w:t>
            </w:r>
          </w:p>
        </w:tc>
        <w:tc>
          <w:tcPr>
            <w:tcW w:w="695" w:type="pct"/>
            <w:tcBorders>
              <w:left w:val="none" w:sz="0" w:space="0" w:color="auto"/>
              <w:right w:val="none" w:sz="0" w:space="0" w:color="auto"/>
            </w:tcBorders>
            <w:vAlign w:val="center"/>
          </w:tcPr>
          <w:p w:rsidR="00BB039B" w:rsidRPr="00B75B77" w:rsidRDefault="00BB039B" w:rsidP="00594255">
            <w:pPr>
              <w:pStyle w:val="TableText"/>
              <w:jc w:val="center"/>
              <w:cnfStyle w:val="000000010000" w:firstRow="0" w:lastRow="0" w:firstColumn="0" w:lastColumn="0" w:oddVBand="0" w:evenVBand="0" w:oddHBand="0" w:evenHBand="1" w:firstRowFirstColumn="0" w:firstRowLastColumn="0" w:lastRowFirstColumn="0" w:lastRowLastColumn="0"/>
            </w:pPr>
            <w:r w:rsidRPr="00B75B77">
              <w:t>85/15</w:t>
            </w:r>
          </w:p>
        </w:tc>
        <w:tc>
          <w:tcPr>
            <w:tcW w:w="465" w:type="pct"/>
            <w:tcBorders>
              <w:left w:val="none" w:sz="0" w:space="0" w:color="auto"/>
              <w:right w:val="none" w:sz="0" w:space="0" w:color="auto"/>
            </w:tcBorders>
            <w:vAlign w:val="center"/>
          </w:tcPr>
          <w:p w:rsidR="00BB039B" w:rsidRPr="00B75B77" w:rsidRDefault="00BB039B" w:rsidP="00594255">
            <w:pPr>
              <w:pStyle w:val="TableText"/>
              <w:jc w:val="center"/>
              <w:cnfStyle w:val="000000010000" w:firstRow="0" w:lastRow="0" w:firstColumn="0" w:lastColumn="0" w:oddVBand="0" w:evenVBand="0" w:oddHBand="0" w:evenHBand="1" w:firstRowFirstColumn="0" w:firstRowLastColumn="0" w:lastRowFirstColumn="0" w:lastRowLastColumn="0"/>
            </w:pPr>
            <w:r w:rsidRPr="00B75B77">
              <w:t>24 (6)</w:t>
            </w:r>
          </w:p>
        </w:tc>
        <w:tc>
          <w:tcPr>
            <w:tcW w:w="607" w:type="pct"/>
            <w:tcBorders>
              <w:left w:val="none" w:sz="0" w:space="0" w:color="auto"/>
              <w:right w:val="none" w:sz="0" w:space="0" w:color="auto"/>
            </w:tcBorders>
            <w:vAlign w:val="center"/>
          </w:tcPr>
          <w:p w:rsidR="00BB039B" w:rsidRPr="00B75B77" w:rsidRDefault="00BB039B" w:rsidP="00594255">
            <w:pPr>
              <w:pStyle w:val="TableText"/>
              <w:jc w:val="center"/>
              <w:cnfStyle w:val="000000010000" w:firstRow="0" w:lastRow="0" w:firstColumn="0" w:lastColumn="0" w:oddVBand="0" w:evenVBand="0" w:oddHBand="0" w:evenHBand="1" w:firstRowFirstColumn="0" w:firstRowLastColumn="0" w:lastRowFirstColumn="0" w:lastRowLastColumn="0"/>
            </w:pPr>
            <w:r w:rsidRPr="00B75B77">
              <w:t>24 (6)</w:t>
            </w:r>
          </w:p>
        </w:tc>
        <w:tc>
          <w:tcPr>
            <w:tcW w:w="1594" w:type="pct"/>
            <w:tcBorders>
              <w:left w:val="none" w:sz="0" w:space="0" w:color="auto"/>
            </w:tcBorders>
            <w:vAlign w:val="center"/>
          </w:tcPr>
          <w:p w:rsidR="00BB039B" w:rsidRPr="00B75B77" w:rsidRDefault="00BB039B" w:rsidP="00255BBB">
            <w:pPr>
              <w:pStyle w:val="TableText"/>
              <w:cnfStyle w:val="000000010000" w:firstRow="0" w:lastRow="0" w:firstColumn="0" w:lastColumn="0" w:oddVBand="0" w:evenVBand="0" w:oddHBand="0" w:evenHBand="1" w:firstRowFirstColumn="0" w:firstRowLastColumn="0" w:lastRowFirstColumn="0" w:lastRowLastColumn="0"/>
            </w:pPr>
            <w:r w:rsidRPr="00B75B77">
              <w:t xml:space="preserve">File </w:t>
            </w:r>
            <w:r w:rsidR="00255BBB" w:rsidRPr="00B75B77">
              <w:t>r</w:t>
            </w:r>
            <w:r w:rsidRPr="00B75B77">
              <w:t xml:space="preserve">eviews </w:t>
            </w:r>
            <w:r w:rsidR="00255BBB" w:rsidRPr="00B75B77">
              <w:t>and</w:t>
            </w:r>
            <w:r w:rsidRPr="00B75B77">
              <w:t xml:space="preserve"> </w:t>
            </w:r>
            <w:r w:rsidR="00255BBB" w:rsidRPr="00B75B77">
              <w:t>t</w:t>
            </w:r>
            <w:r w:rsidRPr="00B75B77">
              <w:t xml:space="preserve">elephone </w:t>
            </w:r>
            <w:r w:rsidR="00255BBB" w:rsidRPr="00B75B77">
              <w:t>s</w:t>
            </w:r>
            <w:r w:rsidRPr="00B75B77">
              <w:t>urveys  (</w:t>
            </w:r>
            <w:r w:rsidR="00255BBB" w:rsidRPr="00B75B77">
              <w:t>o</w:t>
            </w:r>
            <w:r w:rsidR="00685BDE" w:rsidRPr="00B75B77">
              <w:t>nsite</w:t>
            </w:r>
            <w:r w:rsidRPr="00B75B77">
              <w:t xml:space="preserve"> Visits)</w:t>
            </w:r>
          </w:p>
        </w:tc>
      </w:tr>
      <w:tr w:rsidR="00BB039B" w:rsidRPr="00B75B77" w:rsidTr="00255BB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05" w:type="pct"/>
            <w:tcBorders>
              <w:right w:val="none" w:sz="0" w:space="0" w:color="auto"/>
            </w:tcBorders>
            <w:vAlign w:val="center"/>
          </w:tcPr>
          <w:p w:rsidR="00BB039B" w:rsidRPr="00B75B77" w:rsidRDefault="00BB039B" w:rsidP="00594255">
            <w:pPr>
              <w:pStyle w:val="TableHeader"/>
              <w:jc w:val="left"/>
              <w:rPr>
                <w:b/>
                <w:caps/>
              </w:rPr>
            </w:pPr>
            <w:r w:rsidRPr="00B75B77">
              <w:rPr>
                <w:b/>
                <w:caps/>
              </w:rPr>
              <w:t>Program Total</w:t>
            </w:r>
          </w:p>
        </w:tc>
        <w:tc>
          <w:tcPr>
            <w:tcW w:w="734" w:type="pct"/>
            <w:tcBorders>
              <w:left w:val="none" w:sz="0" w:space="0" w:color="auto"/>
              <w:right w:val="none" w:sz="0" w:space="0" w:color="auto"/>
            </w:tcBorders>
            <w:vAlign w:val="center"/>
          </w:tcPr>
          <w:p w:rsidR="00BB039B" w:rsidRPr="00B75B77" w:rsidRDefault="00BB039B" w:rsidP="00594255">
            <w:pPr>
              <w:pStyle w:val="TableText"/>
              <w:jc w:val="center"/>
              <w:cnfStyle w:val="000000100000" w:firstRow="0" w:lastRow="0" w:firstColumn="0" w:lastColumn="0" w:oddVBand="0" w:evenVBand="0" w:oddHBand="1" w:evenHBand="0" w:firstRowFirstColumn="0" w:firstRowLastColumn="0" w:lastRowFirstColumn="0" w:lastRowLastColumn="0"/>
              <w:rPr>
                <w:b/>
              </w:rPr>
            </w:pPr>
            <w:r w:rsidRPr="00B75B77">
              <w:rPr>
                <w:b/>
              </w:rPr>
              <w:t>3,848</w:t>
            </w:r>
          </w:p>
        </w:tc>
        <w:tc>
          <w:tcPr>
            <w:tcW w:w="695" w:type="pct"/>
            <w:tcBorders>
              <w:left w:val="none" w:sz="0" w:space="0" w:color="auto"/>
              <w:right w:val="none" w:sz="0" w:space="0" w:color="auto"/>
            </w:tcBorders>
            <w:vAlign w:val="center"/>
          </w:tcPr>
          <w:p w:rsidR="00BB039B" w:rsidRPr="00B75B77" w:rsidRDefault="00BB039B" w:rsidP="00594255">
            <w:pPr>
              <w:pStyle w:val="TableText"/>
              <w:jc w:val="center"/>
              <w:cnfStyle w:val="000000100000" w:firstRow="0" w:lastRow="0" w:firstColumn="0" w:lastColumn="0" w:oddVBand="0" w:evenVBand="0" w:oddHBand="1" w:evenHBand="0" w:firstRowFirstColumn="0" w:firstRowLastColumn="0" w:lastRowFirstColumn="0" w:lastRowLastColumn="0"/>
              <w:rPr>
                <w:b/>
              </w:rPr>
            </w:pPr>
            <w:r w:rsidRPr="00B75B77">
              <w:rPr>
                <w:b/>
              </w:rPr>
              <w:t>85/15</w:t>
            </w:r>
          </w:p>
        </w:tc>
        <w:tc>
          <w:tcPr>
            <w:tcW w:w="465" w:type="pct"/>
            <w:tcBorders>
              <w:left w:val="none" w:sz="0" w:space="0" w:color="auto"/>
              <w:right w:val="none" w:sz="0" w:space="0" w:color="auto"/>
            </w:tcBorders>
            <w:vAlign w:val="center"/>
          </w:tcPr>
          <w:p w:rsidR="00BB039B" w:rsidRPr="00B75B77" w:rsidRDefault="00BB039B" w:rsidP="00594255">
            <w:pPr>
              <w:pStyle w:val="TableText"/>
              <w:jc w:val="center"/>
              <w:cnfStyle w:val="000000100000" w:firstRow="0" w:lastRow="0" w:firstColumn="0" w:lastColumn="0" w:oddVBand="0" w:evenVBand="0" w:oddHBand="1" w:evenHBand="0" w:firstRowFirstColumn="0" w:firstRowLastColumn="0" w:lastRowFirstColumn="0" w:lastRowLastColumn="0"/>
              <w:rPr>
                <w:b/>
              </w:rPr>
            </w:pPr>
            <w:r w:rsidRPr="00B75B77">
              <w:rPr>
                <w:b/>
              </w:rPr>
              <w:t>72 (16)</w:t>
            </w:r>
          </w:p>
        </w:tc>
        <w:tc>
          <w:tcPr>
            <w:tcW w:w="607" w:type="pct"/>
            <w:tcBorders>
              <w:left w:val="none" w:sz="0" w:space="0" w:color="auto"/>
              <w:right w:val="none" w:sz="0" w:space="0" w:color="auto"/>
            </w:tcBorders>
            <w:vAlign w:val="center"/>
          </w:tcPr>
          <w:p w:rsidR="00BB039B" w:rsidRPr="00B75B77" w:rsidRDefault="00BB039B" w:rsidP="00594255">
            <w:pPr>
              <w:pStyle w:val="TableText"/>
              <w:jc w:val="center"/>
              <w:cnfStyle w:val="000000100000" w:firstRow="0" w:lastRow="0" w:firstColumn="0" w:lastColumn="0" w:oddVBand="0" w:evenVBand="0" w:oddHBand="1" w:evenHBand="0" w:firstRowFirstColumn="0" w:firstRowLastColumn="0" w:lastRowFirstColumn="0" w:lastRowLastColumn="0"/>
              <w:rPr>
                <w:b/>
              </w:rPr>
            </w:pPr>
            <w:r w:rsidRPr="00B75B77">
              <w:rPr>
                <w:b/>
              </w:rPr>
              <w:t>72 (15)</w:t>
            </w:r>
          </w:p>
        </w:tc>
        <w:tc>
          <w:tcPr>
            <w:tcW w:w="1594" w:type="pct"/>
            <w:tcBorders>
              <w:left w:val="none" w:sz="0" w:space="0" w:color="auto"/>
            </w:tcBorders>
            <w:vAlign w:val="center"/>
          </w:tcPr>
          <w:p w:rsidR="00BB039B" w:rsidRPr="00B75B77" w:rsidRDefault="00BB039B" w:rsidP="00255BBB">
            <w:pPr>
              <w:pStyle w:val="TableText"/>
              <w:cnfStyle w:val="000000100000" w:firstRow="0" w:lastRow="0" w:firstColumn="0" w:lastColumn="0" w:oddVBand="0" w:evenVBand="0" w:oddHBand="1" w:evenHBand="0" w:firstRowFirstColumn="0" w:firstRowLastColumn="0" w:lastRowFirstColumn="0" w:lastRowLastColumn="0"/>
              <w:rPr>
                <w:b/>
              </w:rPr>
            </w:pPr>
            <w:r w:rsidRPr="00B75B77">
              <w:rPr>
                <w:b/>
              </w:rPr>
              <w:t xml:space="preserve">File </w:t>
            </w:r>
            <w:r w:rsidR="00255BBB" w:rsidRPr="00B75B77">
              <w:rPr>
                <w:b/>
              </w:rPr>
              <w:t>r</w:t>
            </w:r>
            <w:r w:rsidRPr="00B75B77">
              <w:rPr>
                <w:b/>
              </w:rPr>
              <w:t xml:space="preserve">eviews </w:t>
            </w:r>
            <w:r w:rsidR="00255BBB" w:rsidRPr="00B75B77">
              <w:rPr>
                <w:b/>
              </w:rPr>
              <w:t>and</w:t>
            </w:r>
            <w:r w:rsidRPr="00B75B77">
              <w:rPr>
                <w:b/>
              </w:rPr>
              <w:t xml:space="preserve"> </w:t>
            </w:r>
            <w:r w:rsidR="00255BBB" w:rsidRPr="00B75B77">
              <w:rPr>
                <w:b/>
              </w:rPr>
              <w:t>t</w:t>
            </w:r>
            <w:r w:rsidRPr="00B75B77">
              <w:rPr>
                <w:b/>
              </w:rPr>
              <w:t xml:space="preserve">elephone </w:t>
            </w:r>
            <w:r w:rsidR="00255BBB" w:rsidRPr="00B75B77">
              <w:rPr>
                <w:b/>
              </w:rPr>
              <w:t>s</w:t>
            </w:r>
            <w:r w:rsidRPr="00B75B77">
              <w:rPr>
                <w:b/>
              </w:rPr>
              <w:t>urveys  (</w:t>
            </w:r>
            <w:r w:rsidR="00255BBB" w:rsidRPr="00B75B77">
              <w:rPr>
                <w:b/>
              </w:rPr>
              <w:t>o</w:t>
            </w:r>
            <w:r w:rsidR="00685BDE" w:rsidRPr="00B75B77">
              <w:rPr>
                <w:b/>
              </w:rPr>
              <w:t>nsite</w:t>
            </w:r>
            <w:r w:rsidRPr="00B75B77">
              <w:rPr>
                <w:b/>
              </w:rPr>
              <w:t xml:space="preserve"> Visits)</w:t>
            </w:r>
          </w:p>
        </w:tc>
      </w:tr>
    </w:tbl>
    <w:p w:rsidR="00BB039B" w:rsidRPr="00B75B77" w:rsidRDefault="00255BBB" w:rsidP="004170FC">
      <w:pPr>
        <w:pStyle w:val="TableText"/>
        <w:spacing w:before="0"/>
        <w:ind w:left="180"/>
        <w:rPr>
          <w:rFonts w:ascii="Calibri" w:hAnsi="Calibri"/>
        </w:rPr>
      </w:pPr>
      <w:r w:rsidRPr="00B75B77" w:rsidDel="00255BBB">
        <w:rPr>
          <w:rFonts w:ascii="Calibri" w:hAnsi="Calibri"/>
          <w:i/>
          <w:iCs/>
        </w:rPr>
        <w:t xml:space="preserve"> </w:t>
      </w:r>
      <w:r w:rsidR="00BB039B" w:rsidRPr="00B75B77">
        <w:rPr>
          <w:rFonts w:ascii="Calibri" w:hAnsi="Calibri"/>
          <w:vertAlign w:val="superscript"/>
        </w:rPr>
        <w:t>[1]</w:t>
      </w:r>
      <w:r w:rsidR="00BB039B" w:rsidRPr="00B75B77">
        <w:rPr>
          <w:rFonts w:ascii="Calibri" w:hAnsi="Calibri"/>
        </w:rPr>
        <w:t xml:space="preserve"> The residential population size indicates the number of participants (i.e., apartment units or condos). The nonresidential population size indicates the number of participating properties</w:t>
      </w:r>
      <w:r w:rsidRPr="00B75B77">
        <w:rPr>
          <w:rFonts w:ascii="Calibri" w:hAnsi="Calibri"/>
        </w:rPr>
        <w:t>.</w:t>
      </w:r>
    </w:p>
    <w:p w:rsidR="00BB039B" w:rsidRPr="00B75B77" w:rsidRDefault="00BB039B" w:rsidP="004170FC">
      <w:pPr>
        <w:pStyle w:val="Source"/>
        <w:spacing w:before="20" w:after="20"/>
        <w:ind w:left="180" w:firstLine="0"/>
        <w:rPr>
          <w:rFonts w:ascii="Calibri" w:hAnsi="Calibri"/>
          <w:i w:val="0"/>
          <w:iCs/>
          <w:color w:val="000000"/>
          <w:szCs w:val="18"/>
        </w:rPr>
      </w:pPr>
      <w:r w:rsidRPr="00B75B77">
        <w:rPr>
          <w:rFonts w:ascii="Calibri" w:hAnsi="Calibri"/>
          <w:i w:val="0"/>
          <w:vertAlign w:val="superscript"/>
        </w:rPr>
        <w:t>[2]</w:t>
      </w:r>
      <w:r w:rsidR="00255BBB" w:rsidRPr="00B75B77">
        <w:rPr>
          <w:rFonts w:ascii="Calibri" w:hAnsi="Calibri"/>
          <w:i w:val="0"/>
          <w:vertAlign w:val="superscript"/>
        </w:rPr>
        <w:t xml:space="preserve"> </w:t>
      </w:r>
      <w:r w:rsidR="00255BBB" w:rsidRPr="00B75B77">
        <w:rPr>
          <w:rFonts w:ascii="Calibri" w:hAnsi="Calibri"/>
          <w:i w:val="0"/>
        </w:rPr>
        <w:t>Parenthetical</w:t>
      </w:r>
      <w:r w:rsidRPr="00B75B77">
        <w:rPr>
          <w:rFonts w:ascii="Calibri" w:hAnsi="Calibri"/>
          <w:i w:val="0"/>
        </w:rPr>
        <w:t xml:space="preserve"> values indicate the size for </w:t>
      </w:r>
      <w:r w:rsidR="00685BDE" w:rsidRPr="00B75B77">
        <w:rPr>
          <w:rFonts w:ascii="Calibri" w:hAnsi="Calibri"/>
          <w:i w:val="0"/>
        </w:rPr>
        <w:t>onsite</w:t>
      </w:r>
      <w:r w:rsidRPr="00B75B77">
        <w:rPr>
          <w:rFonts w:ascii="Calibri" w:hAnsi="Calibri"/>
          <w:i w:val="0"/>
        </w:rPr>
        <w:t xml:space="preserve"> verification. </w:t>
      </w:r>
      <w:r w:rsidR="00255BBB" w:rsidRPr="00B75B77">
        <w:rPr>
          <w:rFonts w:ascii="Calibri" w:hAnsi="Calibri"/>
          <w:i w:val="0"/>
        </w:rPr>
        <w:t>The evaluation team made o</w:t>
      </w:r>
      <w:r w:rsidR="00685BDE" w:rsidRPr="00B75B77">
        <w:rPr>
          <w:rFonts w:ascii="Calibri" w:hAnsi="Calibri"/>
          <w:i w:val="0"/>
        </w:rPr>
        <w:t>nsite</w:t>
      </w:r>
      <w:r w:rsidRPr="00B75B77">
        <w:rPr>
          <w:rFonts w:ascii="Calibri" w:hAnsi="Calibri"/>
          <w:i w:val="0"/>
        </w:rPr>
        <w:t xml:space="preserve"> visits to a sub-sample of the telephoned population.</w:t>
      </w:r>
    </w:p>
    <w:p w:rsidR="00255BBB" w:rsidRPr="00B75B77" w:rsidRDefault="00255BBB" w:rsidP="004170FC">
      <w:pPr>
        <w:pStyle w:val="TableText"/>
        <w:spacing w:before="0"/>
        <w:ind w:left="180"/>
        <w:rPr>
          <w:rFonts w:ascii="Calibri" w:hAnsi="Calibri"/>
        </w:rPr>
      </w:pPr>
      <w:r w:rsidRPr="00B75B77">
        <w:rPr>
          <w:rFonts w:ascii="Calibri" w:hAnsi="Calibri"/>
          <w:iCs/>
        </w:rPr>
        <w:t>Note: Values in tables may not reconcile exactly with the sum of more detailed level results or previously reported results due to rounding.</w:t>
      </w:r>
      <w:r w:rsidRPr="00B75B77">
        <w:rPr>
          <w:rFonts w:ascii="Calibri" w:hAnsi="Calibri"/>
        </w:rPr>
        <w:t xml:space="preserve"> </w:t>
      </w:r>
    </w:p>
    <w:p w:rsidR="00BB039B" w:rsidRPr="00B75B77" w:rsidRDefault="00BB039B" w:rsidP="004170FC">
      <w:pPr>
        <w:pStyle w:val="Source"/>
        <w:ind w:left="180" w:firstLine="0"/>
      </w:pPr>
      <w:r w:rsidRPr="00B75B77">
        <w:t>Source: Navigant analysis</w:t>
      </w:r>
    </w:p>
    <w:p w:rsidR="00BB039B" w:rsidRPr="00B75B77" w:rsidRDefault="00BB039B" w:rsidP="00BB039B">
      <w:pPr>
        <w:pStyle w:val="Heading3"/>
      </w:pPr>
      <w:bookmarkStart w:id="855" w:name="_Toc466413441"/>
      <w:r w:rsidRPr="00B75B77">
        <w:t>Gross Verified Savings Results</w:t>
      </w:r>
      <w:bookmarkEnd w:id="855"/>
      <w:r w:rsidRPr="00B75B77">
        <w:t xml:space="preserve"> </w:t>
      </w:r>
    </w:p>
    <w:p w:rsidR="00BB039B" w:rsidRPr="00B75B77" w:rsidRDefault="00BB039B" w:rsidP="00BB039B">
      <w:r w:rsidRPr="00B75B77">
        <w:t xml:space="preserve">The residential sector gross impact evaluation efforts yielded a 0.94 realization rate for energy savings. The realization rate </w:t>
      </w:r>
      <w:r w:rsidR="00255BBB" w:rsidRPr="00B75B77">
        <w:t>wa</w:t>
      </w:r>
      <w:r w:rsidRPr="00B75B77">
        <w:t>s less than one because telephone survey participants indicated that either the measure counts noted in the program tracking data were wrong, they did</w:t>
      </w:r>
      <w:r w:rsidR="00255BBB" w:rsidRPr="00B75B77">
        <w:t xml:space="preserve"> </w:t>
      </w:r>
      <w:r w:rsidRPr="00B75B77">
        <w:t>n</w:t>
      </w:r>
      <w:r w:rsidR="00255BBB" w:rsidRPr="00B75B77">
        <w:t>o</w:t>
      </w:r>
      <w:r w:rsidRPr="00B75B77">
        <w:t xml:space="preserve">t receive the measure at all, or that </w:t>
      </w:r>
      <w:r w:rsidR="00255BBB" w:rsidRPr="00B75B77">
        <w:t xml:space="preserve">the </w:t>
      </w:r>
      <w:r w:rsidRPr="00B75B77">
        <w:t xml:space="preserve">measure had been replaced. Additionally, the </w:t>
      </w:r>
      <w:r w:rsidR="00685BDE" w:rsidRPr="00B75B77">
        <w:t>onsite</w:t>
      </w:r>
      <w:r w:rsidRPr="00B75B77">
        <w:t xml:space="preserve"> visits discovered two sites where the number of CFLs reported in the tracking data did not match the number of CFLs found onsite, </w:t>
      </w:r>
      <w:r w:rsidR="00255BBB" w:rsidRPr="00B75B77">
        <w:t xml:space="preserve">as the </w:t>
      </w:r>
      <w:r w:rsidRPr="00B75B77">
        <w:t xml:space="preserve">measures either failed or were removed by the customer. The residential gross impact evaluation </w:t>
      </w:r>
      <w:r w:rsidRPr="00B75B77">
        <w:lastRenderedPageBreak/>
        <w:t xml:space="preserve">achieved 4% relative precision at 85% confidence (below the 15% target). </w:t>
      </w:r>
      <w:r w:rsidRPr="00B75B77">
        <w:fldChar w:fldCharType="begin"/>
      </w:r>
      <w:r w:rsidRPr="00B75B77">
        <w:instrText xml:space="preserve"> REF _Ref463415580 \h  \* MERGEFORMAT </w:instrText>
      </w:r>
      <w:r w:rsidRPr="00B75B77">
        <w:fldChar w:fldCharType="separate"/>
      </w:r>
      <w:r w:rsidR="0004016D" w:rsidRPr="00B75B77">
        <w:t xml:space="preserve">Table </w:t>
      </w:r>
      <w:r w:rsidR="0004016D">
        <w:rPr>
          <w:noProof/>
        </w:rPr>
        <w:t>14</w:t>
      </w:r>
      <w:r w:rsidR="0004016D" w:rsidRPr="00B75B77">
        <w:rPr>
          <w:noProof/>
        </w:rPr>
        <w:noBreakHyphen/>
      </w:r>
      <w:r w:rsidR="0004016D">
        <w:rPr>
          <w:noProof/>
        </w:rPr>
        <w:t>3</w:t>
      </w:r>
      <w:r w:rsidRPr="00B75B77">
        <w:fldChar w:fldCharType="end"/>
      </w:r>
      <w:r w:rsidRPr="00B75B77">
        <w:t xml:space="preserve"> provides the gross impact summary for the residential sector energy savings.</w:t>
      </w:r>
    </w:p>
    <w:p w:rsidR="00BB039B" w:rsidRPr="00B75B77" w:rsidRDefault="00BB039B" w:rsidP="00BB039B"/>
    <w:p w:rsidR="00BB039B" w:rsidRPr="00B75B77" w:rsidRDefault="00BB039B" w:rsidP="00586985">
      <w:pPr>
        <w:pStyle w:val="Caption"/>
      </w:pPr>
      <w:bookmarkStart w:id="856" w:name="_Ref463415580"/>
      <w:bookmarkStart w:id="857" w:name="_Toc466413621"/>
      <w:r w:rsidRPr="00B75B77">
        <w:t xml:space="preserve">Table </w:t>
      </w:r>
      <w:fldSimple w:instr=" STYLEREF 1 \s ">
        <w:r w:rsidR="0004016D">
          <w:rPr>
            <w:noProof/>
          </w:rPr>
          <w:t>14</w:t>
        </w:r>
      </w:fldSimple>
      <w:r w:rsidR="00F1144C" w:rsidRPr="00B75B77">
        <w:noBreakHyphen/>
      </w:r>
      <w:fldSimple w:instr=" SEQ Table \* ARABIC \s 1 ">
        <w:r w:rsidR="0004016D">
          <w:rPr>
            <w:noProof/>
          </w:rPr>
          <w:t>3</w:t>
        </w:r>
      </w:fldSimple>
      <w:bookmarkEnd w:id="856"/>
      <w:r w:rsidRPr="00B75B77">
        <w:t>: PY7 Smart Multi</w:t>
      </w:r>
      <w:r w:rsidR="00223995" w:rsidRPr="00B75B77">
        <w:t>-F</w:t>
      </w:r>
      <w:r w:rsidRPr="00B75B77">
        <w:t>amily Solutions Residential Sector Summary of Evaluation Results for Energy</w:t>
      </w:r>
      <w:bookmarkEnd w:id="857"/>
    </w:p>
    <w:tbl>
      <w:tblPr>
        <w:tblStyle w:val="MediumShading1-Accent5"/>
        <w:tblW w:w="0" w:type="auto"/>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1352"/>
        <w:gridCol w:w="1416"/>
        <w:gridCol w:w="1256"/>
        <w:gridCol w:w="1232"/>
        <w:gridCol w:w="2366"/>
        <w:gridCol w:w="1610"/>
      </w:tblGrid>
      <w:tr w:rsidR="00BB039B" w:rsidRPr="00B75B77" w:rsidTr="00BB039B">
        <w:trPr>
          <w:cnfStyle w:val="100000000000" w:firstRow="1" w:lastRow="0" w:firstColumn="0" w:lastColumn="0" w:oddVBand="0" w:evenVBand="0" w:oddHBand="0" w:evenHBand="0" w:firstRowFirstColumn="0" w:firstRowLastColumn="0" w:lastRowFirstColumn="0" w:lastRowLastColumn="0"/>
          <w:trHeight w:val="955"/>
        </w:trPr>
        <w:tc>
          <w:tcPr>
            <w:cnfStyle w:val="001000000000" w:firstRow="0" w:lastRow="0" w:firstColumn="1" w:lastColumn="0" w:oddVBand="0" w:evenVBand="0" w:oddHBand="0" w:evenHBand="0" w:firstRowFirstColumn="0" w:firstRowLastColumn="0" w:lastRowFirstColumn="0" w:lastRowLastColumn="0"/>
            <w:tcW w:w="1352" w:type="dxa"/>
            <w:tcBorders>
              <w:top w:val="single" w:sz="8" w:space="0" w:color="auto"/>
              <w:left w:val="single" w:sz="8" w:space="0" w:color="auto"/>
              <w:bottom w:val="single" w:sz="8" w:space="0" w:color="auto"/>
              <w:right w:val="single" w:sz="8" w:space="0" w:color="auto"/>
            </w:tcBorders>
            <w:shd w:val="clear" w:color="auto" w:fill="448A99"/>
            <w:vAlign w:val="center"/>
            <w:hideMark/>
          </w:tcPr>
          <w:p w:rsidR="00BB039B" w:rsidRPr="00B75B77" w:rsidRDefault="00BB039B" w:rsidP="00594255">
            <w:pPr>
              <w:jc w:val="left"/>
              <w:rPr>
                <w:rFonts w:ascii="Calibri" w:eastAsia="Times New Roman" w:hAnsi="Calibri"/>
                <w:bCs w:val="0"/>
                <w:sz w:val="18"/>
                <w:szCs w:val="18"/>
              </w:rPr>
            </w:pPr>
            <w:r w:rsidRPr="00B75B77">
              <w:rPr>
                <w:rFonts w:ascii="Calibri" w:eastAsia="Times New Roman" w:hAnsi="Calibri"/>
                <w:bCs w:val="0"/>
                <w:sz w:val="18"/>
                <w:szCs w:val="18"/>
              </w:rPr>
              <w:t>Stratum</w:t>
            </w:r>
          </w:p>
        </w:tc>
        <w:tc>
          <w:tcPr>
            <w:tcW w:w="1416" w:type="dxa"/>
            <w:tcBorders>
              <w:top w:val="single" w:sz="8" w:space="0" w:color="auto"/>
              <w:left w:val="single" w:sz="8" w:space="0" w:color="auto"/>
              <w:bottom w:val="single" w:sz="8" w:space="0" w:color="auto"/>
              <w:right w:val="single" w:sz="8" w:space="0" w:color="auto"/>
            </w:tcBorders>
            <w:shd w:val="clear" w:color="auto" w:fill="448A99"/>
            <w:vAlign w:val="center"/>
            <w:hideMark/>
          </w:tcPr>
          <w:p w:rsidR="00BB039B" w:rsidRPr="00B75B77" w:rsidRDefault="00BB039B" w:rsidP="0059425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Reported Gross Energy Savings</w:t>
            </w:r>
          </w:p>
          <w:p w:rsidR="00BB039B" w:rsidRPr="00B75B77" w:rsidRDefault="00BB039B" w:rsidP="0059425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(MWh/</w:t>
            </w:r>
            <w:proofErr w:type="spellStart"/>
            <w:r w:rsidRPr="00B75B77">
              <w:rPr>
                <w:rFonts w:ascii="Calibri" w:eastAsia="Times New Roman" w:hAnsi="Calibri"/>
                <w:bCs w:val="0"/>
                <w:sz w:val="18"/>
                <w:szCs w:val="18"/>
              </w:rPr>
              <w:t>yr</w:t>
            </w:r>
            <w:proofErr w:type="spellEnd"/>
            <w:r w:rsidRPr="00B75B77">
              <w:rPr>
                <w:rFonts w:ascii="Calibri" w:eastAsia="Times New Roman" w:hAnsi="Calibri"/>
                <w:bCs w:val="0"/>
                <w:sz w:val="18"/>
                <w:szCs w:val="18"/>
              </w:rPr>
              <w:t>)</w:t>
            </w:r>
          </w:p>
        </w:tc>
        <w:tc>
          <w:tcPr>
            <w:tcW w:w="1256" w:type="dxa"/>
            <w:tcBorders>
              <w:top w:val="single" w:sz="8" w:space="0" w:color="auto"/>
              <w:left w:val="single" w:sz="8" w:space="0" w:color="auto"/>
              <w:bottom w:val="single" w:sz="8" w:space="0" w:color="auto"/>
              <w:right w:val="single" w:sz="8" w:space="0" w:color="auto"/>
            </w:tcBorders>
            <w:shd w:val="clear" w:color="auto" w:fill="448A99"/>
            <w:vAlign w:val="center"/>
            <w:hideMark/>
          </w:tcPr>
          <w:p w:rsidR="00BB039B" w:rsidRPr="00B75B77" w:rsidRDefault="00BB039B" w:rsidP="0059425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Energy Realization Rate</w:t>
            </w:r>
          </w:p>
          <w:p w:rsidR="00BB039B" w:rsidRPr="00B75B77" w:rsidRDefault="00BB039B" w:rsidP="0059425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w:t>
            </w:r>
          </w:p>
        </w:tc>
        <w:tc>
          <w:tcPr>
            <w:tcW w:w="1232" w:type="dxa"/>
            <w:tcBorders>
              <w:top w:val="single" w:sz="8" w:space="0" w:color="auto"/>
              <w:left w:val="single" w:sz="8" w:space="0" w:color="auto"/>
              <w:bottom w:val="single" w:sz="8" w:space="0" w:color="auto"/>
              <w:right w:val="single" w:sz="8" w:space="0" w:color="auto"/>
            </w:tcBorders>
            <w:shd w:val="clear" w:color="auto" w:fill="448A99"/>
            <w:vAlign w:val="center"/>
          </w:tcPr>
          <w:p w:rsidR="00BB039B" w:rsidRPr="00B75B77" w:rsidRDefault="00BB039B" w:rsidP="0059425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Verified Gross Energy Savings</w:t>
            </w:r>
          </w:p>
          <w:p w:rsidR="00BB039B" w:rsidRPr="00B75B77" w:rsidRDefault="00BB039B" w:rsidP="0059425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(MWh/</w:t>
            </w:r>
            <w:proofErr w:type="spellStart"/>
            <w:r w:rsidRPr="00B75B77">
              <w:rPr>
                <w:rFonts w:ascii="Calibri" w:eastAsia="Times New Roman" w:hAnsi="Calibri"/>
                <w:bCs w:val="0"/>
                <w:sz w:val="18"/>
                <w:szCs w:val="18"/>
              </w:rPr>
              <w:t>yr</w:t>
            </w:r>
            <w:proofErr w:type="spellEnd"/>
            <w:r w:rsidRPr="00B75B77">
              <w:rPr>
                <w:rFonts w:ascii="Calibri" w:eastAsia="Times New Roman" w:hAnsi="Calibri"/>
                <w:bCs w:val="0"/>
                <w:sz w:val="18"/>
                <w:szCs w:val="18"/>
              </w:rPr>
              <w:t>)</w:t>
            </w:r>
          </w:p>
        </w:tc>
        <w:tc>
          <w:tcPr>
            <w:tcW w:w="2366" w:type="dxa"/>
            <w:tcBorders>
              <w:top w:val="single" w:sz="8" w:space="0" w:color="auto"/>
              <w:left w:val="single" w:sz="8" w:space="0" w:color="auto"/>
              <w:bottom w:val="single" w:sz="8" w:space="0" w:color="auto"/>
              <w:right w:val="single" w:sz="8" w:space="0" w:color="auto"/>
            </w:tcBorders>
            <w:shd w:val="clear" w:color="auto" w:fill="448A99"/>
            <w:vAlign w:val="center"/>
            <w:hideMark/>
          </w:tcPr>
          <w:p w:rsidR="00BB039B" w:rsidRPr="00B75B77" w:rsidRDefault="00BB039B" w:rsidP="0059425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color w:val="FFFFFF"/>
                <w:sz w:val="18"/>
                <w:szCs w:val="18"/>
              </w:rPr>
              <w:t>Observed CV or Proportion in Sample Design</w:t>
            </w:r>
          </w:p>
        </w:tc>
        <w:tc>
          <w:tcPr>
            <w:tcW w:w="1610" w:type="dxa"/>
            <w:tcBorders>
              <w:top w:val="single" w:sz="8" w:space="0" w:color="auto"/>
              <w:left w:val="single" w:sz="8" w:space="0" w:color="auto"/>
              <w:bottom w:val="single" w:sz="8" w:space="0" w:color="auto"/>
              <w:right w:val="single" w:sz="8" w:space="0" w:color="auto"/>
            </w:tcBorders>
            <w:shd w:val="clear" w:color="auto" w:fill="448A99"/>
            <w:vAlign w:val="center"/>
            <w:hideMark/>
          </w:tcPr>
          <w:p w:rsidR="00BB039B" w:rsidRPr="00B75B77" w:rsidRDefault="00BB039B" w:rsidP="00255BB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 xml:space="preserve">Relative Precision at 85% </w:t>
            </w:r>
            <w:r w:rsidR="00255BBB" w:rsidRPr="00B75B77">
              <w:rPr>
                <w:rFonts w:ascii="Calibri" w:eastAsia="Times New Roman" w:hAnsi="Calibri"/>
                <w:bCs w:val="0"/>
                <w:sz w:val="18"/>
                <w:szCs w:val="18"/>
              </w:rPr>
              <w:t>Confidence Interval</w:t>
            </w:r>
          </w:p>
        </w:tc>
      </w:tr>
      <w:tr w:rsidR="00BB039B" w:rsidRPr="00B75B77" w:rsidTr="00BB03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52" w:type="dxa"/>
            <w:tcBorders>
              <w:top w:val="single" w:sz="8" w:space="0" w:color="auto"/>
              <w:right w:val="single" w:sz="8" w:space="0" w:color="448A99"/>
            </w:tcBorders>
            <w:vAlign w:val="center"/>
            <w:hideMark/>
          </w:tcPr>
          <w:p w:rsidR="00BB039B" w:rsidRPr="00B75B77" w:rsidRDefault="00223995" w:rsidP="00223995">
            <w:pPr>
              <w:jc w:val="left"/>
              <w:rPr>
                <w:rFonts w:ascii="Calibri" w:eastAsia="Times New Roman" w:hAnsi="Calibri"/>
                <w:b w:val="0"/>
                <w:color w:val="000000"/>
                <w:sz w:val="18"/>
                <w:szCs w:val="18"/>
              </w:rPr>
            </w:pPr>
            <w:r w:rsidRPr="00B75B77">
              <w:rPr>
                <w:rFonts w:ascii="Calibri" w:eastAsia="Times New Roman" w:hAnsi="Calibri"/>
                <w:b w:val="0"/>
                <w:color w:val="000000"/>
                <w:sz w:val="18"/>
                <w:szCs w:val="18"/>
              </w:rPr>
              <w:t>Res Non-LI –</w:t>
            </w:r>
            <w:r w:rsidR="00BB039B" w:rsidRPr="00B75B77">
              <w:rPr>
                <w:rFonts w:ascii="Calibri" w:eastAsia="Times New Roman" w:hAnsi="Calibri"/>
                <w:b w:val="0"/>
                <w:color w:val="000000"/>
                <w:sz w:val="18"/>
                <w:szCs w:val="18"/>
              </w:rPr>
              <w:t xml:space="preserve"> Small</w:t>
            </w:r>
          </w:p>
        </w:tc>
        <w:tc>
          <w:tcPr>
            <w:tcW w:w="1416" w:type="dxa"/>
            <w:tcBorders>
              <w:top w:val="single" w:sz="8" w:space="0" w:color="auto"/>
              <w:left w:val="single" w:sz="8" w:space="0" w:color="448A99"/>
              <w:right w:val="single" w:sz="8" w:space="0" w:color="448A99"/>
            </w:tcBorders>
            <w:vAlign w:val="center"/>
            <w:hideMark/>
          </w:tcPr>
          <w:p w:rsidR="00BB039B" w:rsidRPr="00B75B77" w:rsidRDefault="00BB039B" w:rsidP="005942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526</w:t>
            </w:r>
          </w:p>
        </w:tc>
        <w:tc>
          <w:tcPr>
            <w:tcW w:w="1256" w:type="dxa"/>
            <w:tcBorders>
              <w:top w:val="single" w:sz="8" w:space="0" w:color="auto"/>
              <w:left w:val="single" w:sz="8" w:space="0" w:color="448A99"/>
              <w:right w:val="single" w:sz="8" w:space="0" w:color="448A99"/>
            </w:tcBorders>
            <w:vAlign w:val="center"/>
            <w:hideMark/>
          </w:tcPr>
          <w:p w:rsidR="00BB039B" w:rsidRPr="00B75B77" w:rsidRDefault="00BB039B" w:rsidP="005942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1.00</w:t>
            </w:r>
          </w:p>
        </w:tc>
        <w:tc>
          <w:tcPr>
            <w:tcW w:w="1232" w:type="dxa"/>
            <w:tcBorders>
              <w:top w:val="single" w:sz="8" w:space="0" w:color="auto"/>
              <w:left w:val="single" w:sz="8" w:space="0" w:color="448A99"/>
              <w:right w:val="single" w:sz="8" w:space="0" w:color="448A99"/>
            </w:tcBorders>
            <w:vAlign w:val="center"/>
          </w:tcPr>
          <w:p w:rsidR="00BB039B" w:rsidRPr="00B75B77" w:rsidRDefault="00BB039B" w:rsidP="005942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526</w:t>
            </w:r>
          </w:p>
        </w:tc>
        <w:tc>
          <w:tcPr>
            <w:tcW w:w="2366" w:type="dxa"/>
            <w:tcBorders>
              <w:top w:val="single" w:sz="8" w:space="0" w:color="auto"/>
              <w:left w:val="single" w:sz="8" w:space="0" w:color="448A99"/>
              <w:right w:val="single" w:sz="8" w:space="0" w:color="448A99"/>
            </w:tcBorders>
            <w:vAlign w:val="center"/>
            <w:hideMark/>
          </w:tcPr>
          <w:p w:rsidR="00BB039B" w:rsidRPr="00B75B77" w:rsidRDefault="00BB039B" w:rsidP="005942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0.00</w:t>
            </w:r>
          </w:p>
        </w:tc>
        <w:tc>
          <w:tcPr>
            <w:tcW w:w="1610" w:type="dxa"/>
            <w:tcBorders>
              <w:top w:val="single" w:sz="8" w:space="0" w:color="auto"/>
              <w:left w:val="single" w:sz="8" w:space="0" w:color="448A99"/>
            </w:tcBorders>
            <w:vAlign w:val="center"/>
            <w:hideMark/>
          </w:tcPr>
          <w:p w:rsidR="00BB039B" w:rsidRPr="00B75B77" w:rsidRDefault="00BB039B" w:rsidP="005942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BB039B" w:rsidRPr="00B75B77" w:rsidTr="00BB039B">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52" w:type="dxa"/>
            <w:tcBorders>
              <w:right w:val="single" w:sz="8" w:space="0" w:color="448A99"/>
            </w:tcBorders>
            <w:vAlign w:val="center"/>
            <w:hideMark/>
          </w:tcPr>
          <w:p w:rsidR="00BB039B" w:rsidRPr="00B75B77" w:rsidRDefault="00223995" w:rsidP="00594255">
            <w:pPr>
              <w:jc w:val="left"/>
              <w:rPr>
                <w:rFonts w:ascii="Calibri" w:eastAsia="Times New Roman" w:hAnsi="Calibri"/>
                <w:b w:val="0"/>
                <w:color w:val="000000"/>
                <w:sz w:val="18"/>
                <w:szCs w:val="18"/>
              </w:rPr>
            </w:pPr>
            <w:r w:rsidRPr="00B75B77">
              <w:rPr>
                <w:rFonts w:ascii="Calibri" w:eastAsia="Times New Roman" w:hAnsi="Calibri"/>
                <w:b w:val="0"/>
                <w:color w:val="000000"/>
                <w:sz w:val="18"/>
                <w:szCs w:val="18"/>
              </w:rPr>
              <w:t>Res Non-LI</w:t>
            </w:r>
            <w:r w:rsidR="00BB039B" w:rsidRPr="00B75B77">
              <w:rPr>
                <w:rFonts w:ascii="Calibri" w:eastAsia="Times New Roman" w:hAnsi="Calibri"/>
                <w:b w:val="0"/>
                <w:color w:val="000000"/>
                <w:sz w:val="18"/>
                <w:szCs w:val="18"/>
              </w:rPr>
              <w:t xml:space="preserve"> </w:t>
            </w:r>
            <w:r w:rsidRPr="00B75B77">
              <w:rPr>
                <w:rFonts w:ascii="Calibri" w:eastAsia="Times New Roman" w:hAnsi="Calibri"/>
                <w:b w:val="0"/>
                <w:color w:val="000000"/>
                <w:sz w:val="18"/>
                <w:szCs w:val="18"/>
              </w:rPr>
              <w:t>–</w:t>
            </w:r>
            <w:r w:rsidR="00BB039B" w:rsidRPr="00B75B77">
              <w:rPr>
                <w:rFonts w:ascii="Calibri" w:eastAsia="Times New Roman" w:hAnsi="Calibri"/>
                <w:b w:val="0"/>
                <w:color w:val="000000"/>
                <w:sz w:val="18"/>
                <w:szCs w:val="18"/>
              </w:rPr>
              <w:t>Medium</w:t>
            </w:r>
          </w:p>
        </w:tc>
        <w:tc>
          <w:tcPr>
            <w:tcW w:w="1416" w:type="dxa"/>
            <w:tcBorders>
              <w:left w:val="single" w:sz="8" w:space="0" w:color="448A99"/>
              <w:right w:val="single" w:sz="8" w:space="0" w:color="448A99"/>
            </w:tcBorders>
            <w:vAlign w:val="center"/>
            <w:hideMark/>
          </w:tcPr>
          <w:p w:rsidR="00BB039B" w:rsidRPr="00B75B77" w:rsidRDefault="00BB039B" w:rsidP="0059425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481</w:t>
            </w:r>
          </w:p>
        </w:tc>
        <w:tc>
          <w:tcPr>
            <w:tcW w:w="1256" w:type="dxa"/>
            <w:tcBorders>
              <w:left w:val="single" w:sz="8" w:space="0" w:color="448A99"/>
              <w:right w:val="single" w:sz="8" w:space="0" w:color="448A99"/>
            </w:tcBorders>
            <w:vAlign w:val="center"/>
            <w:hideMark/>
          </w:tcPr>
          <w:p w:rsidR="00BB039B" w:rsidRPr="00B75B77" w:rsidRDefault="00BB039B" w:rsidP="0059425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0.91</w:t>
            </w:r>
          </w:p>
        </w:tc>
        <w:tc>
          <w:tcPr>
            <w:tcW w:w="1232" w:type="dxa"/>
            <w:tcBorders>
              <w:left w:val="single" w:sz="8" w:space="0" w:color="448A99"/>
              <w:right w:val="single" w:sz="8" w:space="0" w:color="448A99"/>
            </w:tcBorders>
            <w:vAlign w:val="center"/>
          </w:tcPr>
          <w:p w:rsidR="00BB039B" w:rsidRPr="00B75B77" w:rsidRDefault="00BB039B" w:rsidP="0059425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439</w:t>
            </w:r>
          </w:p>
        </w:tc>
        <w:tc>
          <w:tcPr>
            <w:tcW w:w="2366" w:type="dxa"/>
            <w:tcBorders>
              <w:left w:val="single" w:sz="8" w:space="0" w:color="448A99"/>
              <w:right w:val="single" w:sz="8" w:space="0" w:color="448A99"/>
            </w:tcBorders>
            <w:vAlign w:val="center"/>
            <w:hideMark/>
          </w:tcPr>
          <w:p w:rsidR="00BB039B" w:rsidRPr="00B75B77" w:rsidRDefault="00BB039B" w:rsidP="0059425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0.24</w:t>
            </w:r>
          </w:p>
        </w:tc>
        <w:tc>
          <w:tcPr>
            <w:tcW w:w="1610" w:type="dxa"/>
            <w:tcBorders>
              <w:left w:val="single" w:sz="8" w:space="0" w:color="448A99"/>
            </w:tcBorders>
            <w:vAlign w:val="center"/>
            <w:hideMark/>
          </w:tcPr>
          <w:p w:rsidR="00BB039B" w:rsidRPr="00B75B77" w:rsidRDefault="00BB039B" w:rsidP="0059425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12%</w:t>
            </w:r>
          </w:p>
        </w:tc>
      </w:tr>
      <w:tr w:rsidR="00BB039B" w:rsidRPr="00B75B77" w:rsidTr="00BB03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52" w:type="dxa"/>
            <w:tcBorders>
              <w:right w:val="single" w:sz="8" w:space="0" w:color="448A99"/>
            </w:tcBorders>
            <w:vAlign w:val="center"/>
            <w:hideMark/>
          </w:tcPr>
          <w:p w:rsidR="00BB039B" w:rsidRPr="00B75B77" w:rsidRDefault="00223995" w:rsidP="00594255">
            <w:pPr>
              <w:jc w:val="left"/>
              <w:rPr>
                <w:rFonts w:ascii="Calibri" w:eastAsia="Times New Roman" w:hAnsi="Calibri"/>
                <w:b w:val="0"/>
                <w:color w:val="000000"/>
                <w:sz w:val="18"/>
                <w:szCs w:val="18"/>
              </w:rPr>
            </w:pPr>
            <w:r w:rsidRPr="00B75B77">
              <w:rPr>
                <w:rFonts w:ascii="Calibri" w:eastAsia="Times New Roman" w:hAnsi="Calibri"/>
                <w:b w:val="0"/>
                <w:color w:val="000000"/>
                <w:sz w:val="18"/>
                <w:szCs w:val="18"/>
              </w:rPr>
              <w:t>Res Non-LI</w:t>
            </w:r>
            <w:r w:rsidR="00BB039B" w:rsidRPr="00B75B77">
              <w:rPr>
                <w:rFonts w:ascii="Calibri" w:eastAsia="Times New Roman" w:hAnsi="Calibri"/>
                <w:b w:val="0"/>
                <w:color w:val="000000"/>
                <w:sz w:val="18"/>
                <w:szCs w:val="18"/>
              </w:rPr>
              <w:t xml:space="preserve"> </w:t>
            </w:r>
            <w:r w:rsidRPr="00B75B77">
              <w:rPr>
                <w:rFonts w:ascii="Calibri" w:eastAsia="Times New Roman" w:hAnsi="Calibri"/>
                <w:b w:val="0"/>
                <w:color w:val="000000"/>
                <w:sz w:val="18"/>
                <w:szCs w:val="18"/>
              </w:rPr>
              <w:t xml:space="preserve">– </w:t>
            </w:r>
            <w:r w:rsidR="00BB039B" w:rsidRPr="00B75B77">
              <w:rPr>
                <w:rFonts w:ascii="Calibri" w:eastAsia="Times New Roman" w:hAnsi="Calibri"/>
                <w:b w:val="0"/>
                <w:color w:val="000000"/>
                <w:sz w:val="18"/>
                <w:szCs w:val="18"/>
              </w:rPr>
              <w:t>Large</w:t>
            </w:r>
          </w:p>
        </w:tc>
        <w:tc>
          <w:tcPr>
            <w:tcW w:w="1416" w:type="dxa"/>
            <w:tcBorders>
              <w:left w:val="single" w:sz="8" w:space="0" w:color="448A99"/>
              <w:right w:val="single" w:sz="8" w:space="0" w:color="448A99"/>
            </w:tcBorders>
            <w:vAlign w:val="center"/>
            <w:hideMark/>
          </w:tcPr>
          <w:p w:rsidR="00BB039B" w:rsidRPr="00B75B77" w:rsidRDefault="00BB039B" w:rsidP="005942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713</w:t>
            </w:r>
          </w:p>
        </w:tc>
        <w:tc>
          <w:tcPr>
            <w:tcW w:w="1256" w:type="dxa"/>
            <w:tcBorders>
              <w:left w:val="single" w:sz="8" w:space="0" w:color="448A99"/>
              <w:right w:val="single" w:sz="8" w:space="0" w:color="448A99"/>
            </w:tcBorders>
            <w:vAlign w:val="center"/>
            <w:hideMark/>
          </w:tcPr>
          <w:p w:rsidR="00BB039B" w:rsidRPr="00B75B77" w:rsidRDefault="00BB039B" w:rsidP="005942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0.92</w:t>
            </w:r>
          </w:p>
        </w:tc>
        <w:tc>
          <w:tcPr>
            <w:tcW w:w="1232" w:type="dxa"/>
            <w:tcBorders>
              <w:left w:val="single" w:sz="8" w:space="0" w:color="448A99"/>
              <w:right w:val="single" w:sz="8" w:space="0" w:color="448A99"/>
            </w:tcBorders>
            <w:vAlign w:val="center"/>
          </w:tcPr>
          <w:p w:rsidR="00BB039B" w:rsidRPr="00B75B77" w:rsidRDefault="00BB039B" w:rsidP="005942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654</w:t>
            </w:r>
          </w:p>
        </w:tc>
        <w:tc>
          <w:tcPr>
            <w:tcW w:w="2366" w:type="dxa"/>
            <w:tcBorders>
              <w:left w:val="single" w:sz="8" w:space="0" w:color="448A99"/>
              <w:right w:val="single" w:sz="8" w:space="0" w:color="448A99"/>
            </w:tcBorders>
            <w:vAlign w:val="center"/>
            <w:hideMark/>
          </w:tcPr>
          <w:p w:rsidR="00BB039B" w:rsidRPr="00B75B77" w:rsidRDefault="00BB039B" w:rsidP="005942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0.18</w:t>
            </w:r>
          </w:p>
        </w:tc>
        <w:tc>
          <w:tcPr>
            <w:tcW w:w="1610" w:type="dxa"/>
            <w:tcBorders>
              <w:left w:val="single" w:sz="8" w:space="0" w:color="448A99"/>
            </w:tcBorders>
            <w:vAlign w:val="center"/>
            <w:hideMark/>
          </w:tcPr>
          <w:p w:rsidR="00BB039B" w:rsidRPr="00B75B77" w:rsidRDefault="00BB039B" w:rsidP="005942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9%</w:t>
            </w:r>
          </w:p>
        </w:tc>
      </w:tr>
      <w:tr w:rsidR="00BB039B" w:rsidRPr="00B75B77" w:rsidTr="00BB039B">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52" w:type="dxa"/>
            <w:tcBorders>
              <w:right w:val="single" w:sz="8" w:space="0" w:color="448A99"/>
            </w:tcBorders>
            <w:vAlign w:val="center"/>
          </w:tcPr>
          <w:p w:rsidR="00BB039B" w:rsidRPr="00B75B77" w:rsidRDefault="00223995" w:rsidP="00594255">
            <w:pPr>
              <w:jc w:val="left"/>
              <w:rPr>
                <w:rFonts w:ascii="Calibri" w:eastAsia="Times New Roman" w:hAnsi="Calibri"/>
                <w:b w:val="0"/>
                <w:color w:val="000000"/>
                <w:sz w:val="18"/>
                <w:szCs w:val="18"/>
              </w:rPr>
            </w:pPr>
            <w:r w:rsidRPr="00B75B77">
              <w:rPr>
                <w:rFonts w:ascii="Calibri" w:eastAsia="Times New Roman" w:hAnsi="Calibri"/>
                <w:b w:val="0"/>
                <w:color w:val="000000"/>
                <w:sz w:val="18"/>
                <w:szCs w:val="18"/>
              </w:rPr>
              <w:t xml:space="preserve">Res LI  </w:t>
            </w:r>
            <w:r w:rsidR="00BB039B" w:rsidRPr="00B75B77">
              <w:rPr>
                <w:rFonts w:ascii="Calibri" w:eastAsia="Times New Roman" w:hAnsi="Calibri"/>
                <w:b w:val="0"/>
                <w:color w:val="000000"/>
                <w:sz w:val="18"/>
                <w:szCs w:val="18"/>
              </w:rPr>
              <w:t>– Small</w:t>
            </w:r>
          </w:p>
        </w:tc>
        <w:tc>
          <w:tcPr>
            <w:tcW w:w="1416" w:type="dxa"/>
            <w:tcBorders>
              <w:left w:val="single" w:sz="8" w:space="0" w:color="448A99"/>
              <w:right w:val="single" w:sz="8" w:space="0" w:color="448A99"/>
            </w:tcBorders>
            <w:vAlign w:val="center"/>
          </w:tcPr>
          <w:p w:rsidR="00BB039B" w:rsidRPr="00B75B77" w:rsidRDefault="00BB039B" w:rsidP="0059425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82</w:t>
            </w:r>
          </w:p>
        </w:tc>
        <w:tc>
          <w:tcPr>
            <w:tcW w:w="1256" w:type="dxa"/>
            <w:tcBorders>
              <w:left w:val="single" w:sz="8" w:space="0" w:color="448A99"/>
              <w:right w:val="single" w:sz="8" w:space="0" w:color="448A99"/>
            </w:tcBorders>
            <w:vAlign w:val="center"/>
          </w:tcPr>
          <w:p w:rsidR="00BB039B" w:rsidRPr="00B75B77" w:rsidRDefault="00BB039B" w:rsidP="0059425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0.99</w:t>
            </w:r>
          </w:p>
        </w:tc>
        <w:tc>
          <w:tcPr>
            <w:tcW w:w="1232" w:type="dxa"/>
            <w:tcBorders>
              <w:left w:val="single" w:sz="8" w:space="0" w:color="448A99"/>
              <w:right w:val="single" w:sz="8" w:space="0" w:color="448A99"/>
            </w:tcBorders>
            <w:vAlign w:val="center"/>
          </w:tcPr>
          <w:p w:rsidR="00BB039B" w:rsidRPr="00B75B77" w:rsidRDefault="00BB039B" w:rsidP="0059425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81</w:t>
            </w:r>
          </w:p>
        </w:tc>
        <w:tc>
          <w:tcPr>
            <w:tcW w:w="2366" w:type="dxa"/>
            <w:tcBorders>
              <w:left w:val="single" w:sz="8" w:space="0" w:color="448A99"/>
              <w:right w:val="single" w:sz="8" w:space="0" w:color="448A99"/>
            </w:tcBorders>
            <w:vAlign w:val="center"/>
          </w:tcPr>
          <w:p w:rsidR="00BB039B" w:rsidRPr="00B75B77" w:rsidRDefault="00BB039B" w:rsidP="0059425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0.05</w:t>
            </w:r>
          </w:p>
        </w:tc>
        <w:tc>
          <w:tcPr>
            <w:tcW w:w="1610" w:type="dxa"/>
            <w:tcBorders>
              <w:left w:val="single" w:sz="8" w:space="0" w:color="448A99"/>
            </w:tcBorders>
            <w:vAlign w:val="center"/>
          </w:tcPr>
          <w:p w:rsidR="00BB039B" w:rsidRPr="00B75B77" w:rsidRDefault="00BB039B" w:rsidP="0059425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2%</w:t>
            </w:r>
          </w:p>
        </w:tc>
      </w:tr>
      <w:tr w:rsidR="00BB039B" w:rsidRPr="00B75B77" w:rsidTr="00BB03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52" w:type="dxa"/>
            <w:tcBorders>
              <w:right w:val="single" w:sz="8" w:space="0" w:color="448A99"/>
            </w:tcBorders>
            <w:vAlign w:val="center"/>
          </w:tcPr>
          <w:p w:rsidR="00BB039B" w:rsidRPr="00B75B77" w:rsidRDefault="00BB039B" w:rsidP="00594255">
            <w:pPr>
              <w:jc w:val="left"/>
              <w:rPr>
                <w:rFonts w:ascii="Calibri" w:eastAsia="Times New Roman" w:hAnsi="Calibri"/>
                <w:b w:val="0"/>
                <w:color w:val="000000"/>
                <w:sz w:val="18"/>
                <w:szCs w:val="18"/>
              </w:rPr>
            </w:pPr>
            <w:r w:rsidRPr="00B75B77">
              <w:rPr>
                <w:rFonts w:ascii="Calibri" w:eastAsia="Times New Roman" w:hAnsi="Calibri"/>
                <w:b w:val="0"/>
                <w:color w:val="000000"/>
                <w:sz w:val="18"/>
                <w:szCs w:val="18"/>
              </w:rPr>
              <w:t>R</w:t>
            </w:r>
            <w:r w:rsidR="00223995" w:rsidRPr="00B75B77">
              <w:rPr>
                <w:rFonts w:ascii="Calibri" w:eastAsia="Times New Roman" w:hAnsi="Calibri"/>
                <w:b w:val="0"/>
                <w:color w:val="000000"/>
                <w:sz w:val="18"/>
                <w:szCs w:val="18"/>
              </w:rPr>
              <w:t xml:space="preserve">es </w:t>
            </w:r>
            <w:r w:rsidRPr="00B75B77">
              <w:rPr>
                <w:rFonts w:ascii="Calibri" w:eastAsia="Times New Roman" w:hAnsi="Calibri"/>
                <w:b w:val="0"/>
                <w:color w:val="000000"/>
                <w:sz w:val="18"/>
                <w:szCs w:val="18"/>
              </w:rPr>
              <w:t>LI – Medium</w:t>
            </w:r>
          </w:p>
        </w:tc>
        <w:tc>
          <w:tcPr>
            <w:tcW w:w="1416" w:type="dxa"/>
            <w:tcBorders>
              <w:left w:val="single" w:sz="8" w:space="0" w:color="448A99"/>
              <w:right w:val="single" w:sz="8" w:space="0" w:color="448A99"/>
            </w:tcBorders>
            <w:vAlign w:val="center"/>
          </w:tcPr>
          <w:p w:rsidR="00BB039B" w:rsidRPr="00B75B77" w:rsidRDefault="00BB039B" w:rsidP="005942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93</w:t>
            </w:r>
          </w:p>
        </w:tc>
        <w:tc>
          <w:tcPr>
            <w:tcW w:w="1256" w:type="dxa"/>
            <w:tcBorders>
              <w:left w:val="single" w:sz="8" w:space="0" w:color="448A99"/>
              <w:right w:val="single" w:sz="8" w:space="0" w:color="448A99"/>
            </w:tcBorders>
            <w:vAlign w:val="center"/>
          </w:tcPr>
          <w:p w:rsidR="00BB039B" w:rsidRPr="00B75B77" w:rsidRDefault="00BB039B" w:rsidP="005942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0.82</w:t>
            </w:r>
          </w:p>
        </w:tc>
        <w:tc>
          <w:tcPr>
            <w:tcW w:w="1232" w:type="dxa"/>
            <w:tcBorders>
              <w:left w:val="single" w:sz="8" w:space="0" w:color="448A99"/>
              <w:right w:val="single" w:sz="8" w:space="0" w:color="448A99"/>
            </w:tcBorders>
            <w:vAlign w:val="center"/>
          </w:tcPr>
          <w:p w:rsidR="00BB039B" w:rsidRPr="00B75B77" w:rsidRDefault="00BB039B" w:rsidP="005942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77</w:t>
            </w:r>
          </w:p>
        </w:tc>
        <w:tc>
          <w:tcPr>
            <w:tcW w:w="2366" w:type="dxa"/>
            <w:tcBorders>
              <w:left w:val="single" w:sz="8" w:space="0" w:color="448A99"/>
              <w:right w:val="single" w:sz="8" w:space="0" w:color="448A99"/>
            </w:tcBorders>
            <w:vAlign w:val="center"/>
          </w:tcPr>
          <w:p w:rsidR="00BB039B" w:rsidRPr="00B75B77" w:rsidRDefault="00BB039B" w:rsidP="005942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0.40</w:t>
            </w:r>
          </w:p>
        </w:tc>
        <w:tc>
          <w:tcPr>
            <w:tcW w:w="1610" w:type="dxa"/>
            <w:tcBorders>
              <w:left w:val="single" w:sz="8" w:space="0" w:color="448A99"/>
            </w:tcBorders>
            <w:vAlign w:val="center"/>
          </w:tcPr>
          <w:p w:rsidR="00BB039B" w:rsidRPr="00B75B77" w:rsidRDefault="00BB039B" w:rsidP="005942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23%</w:t>
            </w:r>
          </w:p>
        </w:tc>
      </w:tr>
      <w:tr w:rsidR="00BB039B" w:rsidRPr="00B75B77" w:rsidTr="00BB039B">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52" w:type="dxa"/>
            <w:tcBorders>
              <w:right w:val="single" w:sz="8" w:space="0" w:color="448A99"/>
            </w:tcBorders>
            <w:vAlign w:val="center"/>
          </w:tcPr>
          <w:p w:rsidR="00BB039B" w:rsidRPr="00B75B77" w:rsidRDefault="00BB039B" w:rsidP="00594255">
            <w:pPr>
              <w:jc w:val="left"/>
              <w:rPr>
                <w:rFonts w:ascii="Calibri" w:eastAsia="Times New Roman" w:hAnsi="Calibri"/>
                <w:b w:val="0"/>
                <w:color w:val="000000"/>
                <w:sz w:val="18"/>
                <w:szCs w:val="18"/>
              </w:rPr>
            </w:pPr>
            <w:r w:rsidRPr="00B75B77">
              <w:rPr>
                <w:rFonts w:ascii="Calibri" w:eastAsia="Times New Roman" w:hAnsi="Calibri"/>
                <w:b w:val="0"/>
                <w:color w:val="000000"/>
                <w:sz w:val="18"/>
                <w:szCs w:val="18"/>
              </w:rPr>
              <w:t>R</w:t>
            </w:r>
            <w:r w:rsidR="00223995" w:rsidRPr="00B75B77">
              <w:rPr>
                <w:rFonts w:ascii="Calibri" w:eastAsia="Times New Roman" w:hAnsi="Calibri"/>
                <w:b w:val="0"/>
                <w:color w:val="000000"/>
                <w:sz w:val="18"/>
                <w:szCs w:val="18"/>
              </w:rPr>
              <w:t xml:space="preserve">es </w:t>
            </w:r>
            <w:r w:rsidRPr="00B75B77">
              <w:rPr>
                <w:rFonts w:ascii="Calibri" w:eastAsia="Times New Roman" w:hAnsi="Calibri"/>
                <w:b w:val="0"/>
                <w:color w:val="000000"/>
                <w:sz w:val="18"/>
                <w:szCs w:val="18"/>
              </w:rPr>
              <w:t xml:space="preserve">LI </w:t>
            </w:r>
            <w:r w:rsidR="004170FC" w:rsidRPr="00B75B77">
              <w:rPr>
                <w:rFonts w:ascii="Calibri" w:eastAsia="Times New Roman" w:hAnsi="Calibri"/>
                <w:b w:val="0"/>
                <w:color w:val="000000"/>
                <w:sz w:val="18"/>
                <w:szCs w:val="18"/>
              </w:rPr>
              <w:t>–</w:t>
            </w:r>
            <w:r w:rsidRPr="00B75B77">
              <w:rPr>
                <w:rFonts w:ascii="Calibri" w:eastAsia="Times New Roman" w:hAnsi="Calibri"/>
                <w:b w:val="0"/>
                <w:color w:val="000000"/>
                <w:sz w:val="18"/>
                <w:szCs w:val="18"/>
              </w:rPr>
              <w:t xml:space="preserve"> Large</w:t>
            </w:r>
          </w:p>
        </w:tc>
        <w:tc>
          <w:tcPr>
            <w:tcW w:w="1416" w:type="dxa"/>
            <w:tcBorders>
              <w:left w:val="single" w:sz="8" w:space="0" w:color="448A99"/>
              <w:right w:val="single" w:sz="8" w:space="0" w:color="448A99"/>
            </w:tcBorders>
            <w:vAlign w:val="center"/>
          </w:tcPr>
          <w:p w:rsidR="00BB039B" w:rsidRPr="00B75B77" w:rsidRDefault="00BB039B" w:rsidP="0059425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92</w:t>
            </w:r>
          </w:p>
        </w:tc>
        <w:tc>
          <w:tcPr>
            <w:tcW w:w="1256" w:type="dxa"/>
            <w:tcBorders>
              <w:left w:val="single" w:sz="8" w:space="0" w:color="448A99"/>
              <w:right w:val="single" w:sz="8" w:space="0" w:color="448A99"/>
            </w:tcBorders>
            <w:vAlign w:val="center"/>
          </w:tcPr>
          <w:p w:rsidR="00BB039B" w:rsidRPr="00B75B77" w:rsidRDefault="00BB039B" w:rsidP="0059425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0.98</w:t>
            </w:r>
          </w:p>
        </w:tc>
        <w:tc>
          <w:tcPr>
            <w:tcW w:w="1232" w:type="dxa"/>
            <w:tcBorders>
              <w:left w:val="single" w:sz="8" w:space="0" w:color="448A99"/>
              <w:right w:val="single" w:sz="8" w:space="0" w:color="448A99"/>
            </w:tcBorders>
            <w:vAlign w:val="center"/>
          </w:tcPr>
          <w:p w:rsidR="00BB039B" w:rsidRPr="00B75B77" w:rsidRDefault="00BB039B" w:rsidP="0059425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90</w:t>
            </w:r>
          </w:p>
        </w:tc>
        <w:tc>
          <w:tcPr>
            <w:tcW w:w="2366" w:type="dxa"/>
            <w:tcBorders>
              <w:left w:val="single" w:sz="8" w:space="0" w:color="448A99"/>
              <w:right w:val="single" w:sz="8" w:space="0" w:color="448A99"/>
            </w:tcBorders>
            <w:vAlign w:val="center"/>
          </w:tcPr>
          <w:p w:rsidR="00BB039B" w:rsidRPr="00B75B77" w:rsidRDefault="00BB039B" w:rsidP="0059425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0.05</w:t>
            </w:r>
          </w:p>
        </w:tc>
        <w:tc>
          <w:tcPr>
            <w:tcW w:w="1610" w:type="dxa"/>
            <w:tcBorders>
              <w:left w:val="single" w:sz="8" w:space="0" w:color="448A99"/>
            </w:tcBorders>
            <w:vAlign w:val="center"/>
          </w:tcPr>
          <w:p w:rsidR="00BB039B" w:rsidRPr="00B75B77" w:rsidRDefault="00BB039B" w:rsidP="0059425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3%</w:t>
            </w:r>
          </w:p>
        </w:tc>
      </w:tr>
      <w:tr w:rsidR="00BB039B" w:rsidRPr="00B75B77" w:rsidTr="00BB03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52" w:type="dxa"/>
            <w:tcBorders>
              <w:bottom w:val="single" w:sz="8" w:space="0" w:color="448A99"/>
              <w:right w:val="single" w:sz="8" w:space="0" w:color="448A99"/>
            </w:tcBorders>
            <w:vAlign w:val="center"/>
            <w:hideMark/>
          </w:tcPr>
          <w:p w:rsidR="00BB039B" w:rsidRPr="00B75B77" w:rsidRDefault="00BB039B" w:rsidP="00594255">
            <w:pPr>
              <w:jc w:val="left"/>
              <w:rPr>
                <w:rFonts w:ascii="Calibri" w:eastAsia="Times New Roman" w:hAnsi="Calibri"/>
                <w:bCs w:val="0"/>
                <w:caps/>
                <w:color w:val="000000"/>
                <w:sz w:val="18"/>
                <w:szCs w:val="18"/>
              </w:rPr>
            </w:pPr>
            <w:r w:rsidRPr="00B75B77">
              <w:rPr>
                <w:rFonts w:ascii="Calibri" w:eastAsia="Times New Roman" w:hAnsi="Calibri"/>
                <w:bCs w:val="0"/>
                <w:caps/>
                <w:color w:val="000000"/>
                <w:sz w:val="18"/>
                <w:szCs w:val="18"/>
              </w:rPr>
              <w:t>Program Total</w:t>
            </w:r>
          </w:p>
        </w:tc>
        <w:tc>
          <w:tcPr>
            <w:tcW w:w="1416" w:type="dxa"/>
            <w:tcBorders>
              <w:left w:val="single" w:sz="8" w:space="0" w:color="448A99"/>
              <w:right w:val="single" w:sz="8" w:space="0" w:color="448A99"/>
            </w:tcBorders>
            <w:vAlign w:val="center"/>
            <w:hideMark/>
          </w:tcPr>
          <w:p w:rsidR="00BB039B" w:rsidRPr="00B75B77" w:rsidRDefault="00BB039B" w:rsidP="005942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18"/>
                <w:szCs w:val="18"/>
              </w:rPr>
            </w:pPr>
            <w:r w:rsidRPr="00B75B77">
              <w:rPr>
                <w:rFonts w:ascii="Calibri" w:eastAsia="Times New Roman" w:hAnsi="Calibri"/>
                <w:b/>
                <w:color w:val="000000"/>
                <w:sz w:val="18"/>
                <w:szCs w:val="18"/>
              </w:rPr>
              <w:t>1,988</w:t>
            </w:r>
          </w:p>
        </w:tc>
        <w:tc>
          <w:tcPr>
            <w:tcW w:w="1256" w:type="dxa"/>
            <w:tcBorders>
              <w:left w:val="single" w:sz="8" w:space="0" w:color="448A99"/>
              <w:right w:val="single" w:sz="8" w:space="0" w:color="448A99"/>
            </w:tcBorders>
            <w:vAlign w:val="center"/>
            <w:hideMark/>
          </w:tcPr>
          <w:p w:rsidR="00BB039B" w:rsidRPr="00B75B77" w:rsidRDefault="00BB039B" w:rsidP="005942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18"/>
                <w:szCs w:val="18"/>
              </w:rPr>
            </w:pPr>
            <w:r w:rsidRPr="00B75B77">
              <w:rPr>
                <w:rFonts w:ascii="Calibri" w:eastAsia="Times New Roman" w:hAnsi="Calibri"/>
                <w:b/>
                <w:color w:val="000000"/>
                <w:sz w:val="18"/>
                <w:szCs w:val="18"/>
              </w:rPr>
              <w:t>0.94</w:t>
            </w:r>
          </w:p>
        </w:tc>
        <w:tc>
          <w:tcPr>
            <w:tcW w:w="1232" w:type="dxa"/>
            <w:tcBorders>
              <w:left w:val="single" w:sz="8" w:space="0" w:color="448A99"/>
              <w:right w:val="single" w:sz="8" w:space="0" w:color="448A99"/>
            </w:tcBorders>
            <w:vAlign w:val="center"/>
          </w:tcPr>
          <w:p w:rsidR="00BB039B" w:rsidRPr="00B75B77" w:rsidRDefault="00BB039B" w:rsidP="005942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18"/>
                <w:szCs w:val="18"/>
              </w:rPr>
            </w:pPr>
            <w:r w:rsidRPr="00B75B77">
              <w:rPr>
                <w:rFonts w:ascii="Calibri" w:eastAsia="Times New Roman" w:hAnsi="Calibri"/>
                <w:b/>
                <w:color w:val="000000"/>
                <w:sz w:val="18"/>
                <w:szCs w:val="18"/>
              </w:rPr>
              <w:t>1,867</w:t>
            </w:r>
          </w:p>
        </w:tc>
        <w:tc>
          <w:tcPr>
            <w:tcW w:w="2366" w:type="dxa"/>
            <w:tcBorders>
              <w:left w:val="single" w:sz="8" w:space="0" w:color="448A99"/>
              <w:right w:val="single" w:sz="8" w:space="0" w:color="448A99"/>
            </w:tcBorders>
            <w:vAlign w:val="center"/>
            <w:hideMark/>
          </w:tcPr>
          <w:p w:rsidR="00BB039B" w:rsidRPr="00B75B77" w:rsidRDefault="00BB039B" w:rsidP="005942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18"/>
                <w:szCs w:val="18"/>
              </w:rPr>
            </w:pPr>
            <w:r w:rsidRPr="00B75B77">
              <w:rPr>
                <w:rFonts w:ascii="Calibri" w:eastAsia="Times New Roman" w:hAnsi="Calibri"/>
                <w:b/>
                <w:color w:val="000000"/>
                <w:sz w:val="18"/>
                <w:szCs w:val="18"/>
              </w:rPr>
              <w:t>0.21</w:t>
            </w:r>
          </w:p>
        </w:tc>
        <w:tc>
          <w:tcPr>
            <w:tcW w:w="1610" w:type="dxa"/>
            <w:tcBorders>
              <w:left w:val="single" w:sz="8" w:space="0" w:color="448A99"/>
            </w:tcBorders>
            <w:vAlign w:val="center"/>
            <w:hideMark/>
          </w:tcPr>
          <w:p w:rsidR="00BB039B" w:rsidRPr="00B75B77" w:rsidRDefault="00BB039B" w:rsidP="0059425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18"/>
                <w:szCs w:val="18"/>
              </w:rPr>
            </w:pPr>
            <w:r w:rsidRPr="00B75B77">
              <w:rPr>
                <w:rFonts w:ascii="Calibri" w:eastAsia="Times New Roman" w:hAnsi="Calibri"/>
                <w:b/>
                <w:color w:val="000000"/>
                <w:sz w:val="18"/>
                <w:szCs w:val="18"/>
              </w:rPr>
              <w:t>4%</w:t>
            </w:r>
          </w:p>
        </w:tc>
      </w:tr>
    </w:tbl>
    <w:p w:rsidR="00BB039B" w:rsidRPr="00B75B77" w:rsidRDefault="00BB039B" w:rsidP="00255BBB">
      <w:pPr>
        <w:pStyle w:val="Source"/>
        <w:tabs>
          <w:tab w:val="left" w:pos="1044"/>
        </w:tabs>
        <w:spacing w:before="20" w:after="20"/>
        <w:ind w:left="180" w:firstLine="0"/>
        <w:rPr>
          <w:rFonts w:ascii="Calibri" w:hAnsi="Calibri"/>
          <w:i w:val="0"/>
          <w:iCs/>
          <w:color w:val="000000"/>
          <w:szCs w:val="18"/>
        </w:rPr>
      </w:pPr>
      <w:r w:rsidRPr="00B75B77">
        <w:rPr>
          <w:rFonts w:ascii="Calibri" w:hAnsi="Calibri"/>
          <w:i w:val="0"/>
          <w:iCs/>
          <w:color w:val="000000"/>
          <w:szCs w:val="18"/>
        </w:rPr>
        <w:t xml:space="preserve">Note: Values in tables may not reconcile exactly with </w:t>
      </w:r>
      <w:r w:rsidR="005445EA" w:rsidRPr="00B75B77">
        <w:rPr>
          <w:rFonts w:ascii="Calibri" w:hAnsi="Calibri"/>
          <w:i w:val="0"/>
          <w:iCs/>
          <w:color w:val="000000"/>
          <w:szCs w:val="18"/>
        </w:rPr>
        <w:t xml:space="preserve">the </w:t>
      </w:r>
      <w:r w:rsidRPr="00B75B77">
        <w:rPr>
          <w:rFonts w:ascii="Calibri" w:hAnsi="Calibri"/>
          <w:i w:val="0"/>
          <w:iCs/>
          <w:color w:val="000000"/>
          <w:szCs w:val="18"/>
        </w:rPr>
        <w:t>sum of more detailed level results or previously reported results due to rounding.</w:t>
      </w:r>
    </w:p>
    <w:p w:rsidR="00BB039B" w:rsidRPr="00B75B77" w:rsidRDefault="00BB039B" w:rsidP="00255BBB">
      <w:pPr>
        <w:pStyle w:val="Source"/>
        <w:tabs>
          <w:tab w:val="left" w:pos="1044"/>
        </w:tabs>
        <w:ind w:left="180" w:firstLine="0"/>
      </w:pPr>
      <w:r w:rsidRPr="00B75B77">
        <w:t>Source: Navigant analysis</w:t>
      </w:r>
    </w:p>
    <w:p w:rsidR="00BB039B" w:rsidRPr="00B75B77" w:rsidRDefault="00BB039B" w:rsidP="00BB039B">
      <w:r w:rsidRPr="00B75B77">
        <w:t xml:space="preserve">The nonresidential sector gross impact evaluation yielded a 0.88 realization rate for energy savings. The realization rate </w:t>
      </w:r>
      <w:r w:rsidR="00223995" w:rsidRPr="00B75B77">
        <w:t>was</w:t>
      </w:r>
      <w:r w:rsidRPr="00B75B77">
        <w:t xml:space="preserve"> less than one because telephone survey participants indicated that either the measure counts were wrong, they </w:t>
      </w:r>
      <w:r w:rsidR="00223995" w:rsidRPr="00B75B77">
        <w:t>did not</w:t>
      </w:r>
      <w:r w:rsidRPr="00B75B77">
        <w:t xml:space="preserve"> receive the measure at all, or that </w:t>
      </w:r>
      <w:r w:rsidR="00223995" w:rsidRPr="00B75B77">
        <w:t xml:space="preserve">the </w:t>
      </w:r>
      <w:r w:rsidRPr="00B75B77">
        <w:t xml:space="preserve">measure had been replaced. </w:t>
      </w:r>
      <w:r w:rsidR="00223995" w:rsidRPr="00B75B77">
        <w:t>Additionally, t</w:t>
      </w:r>
      <w:r w:rsidRPr="00B75B77">
        <w:t xml:space="preserve">he </w:t>
      </w:r>
      <w:r w:rsidR="00685BDE" w:rsidRPr="00B75B77">
        <w:t>onsite</w:t>
      </w:r>
      <w:r w:rsidRPr="00B75B77">
        <w:t xml:space="preserve"> efforts discovered one site where the amount of CFLs and </w:t>
      </w:r>
      <w:r w:rsidR="00F121BD" w:rsidRPr="00B75B77">
        <w:t>low-flow faucet aerators</w:t>
      </w:r>
      <w:r w:rsidRPr="00B75B77">
        <w:t xml:space="preserve"> found in the property’s common area was less than reported in the tracking data, </w:t>
      </w:r>
      <w:r w:rsidR="00223995" w:rsidRPr="00B75B77">
        <w:t xml:space="preserve">as the </w:t>
      </w:r>
      <w:r w:rsidRPr="00B75B77">
        <w:t>measures either failed or were removed by the customer. Additionally, through visiting a sub</w:t>
      </w:r>
      <w:r w:rsidR="00223995" w:rsidRPr="00B75B77">
        <w:t>-</w:t>
      </w:r>
      <w:r w:rsidRPr="00B75B77">
        <w:t xml:space="preserve">sample of dwelling units within the property, the evaluation team discovered three sites where the amount of CFLs found </w:t>
      </w:r>
      <w:r w:rsidR="00685BDE" w:rsidRPr="00B75B77">
        <w:t>onsite</w:t>
      </w:r>
      <w:r w:rsidRPr="00B75B77">
        <w:t xml:space="preserve"> </w:t>
      </w:r>
      <w:r w:rsidR="005445EA" w:rsidRPr="00B75B77">
        <w:t xml:space="preserve">was </w:t>
      </w:r>
      <w:r w:rsidRPr="00B75B77">
        <w:t xml:space="preserve">less than reported in the tracking data. The nonresidential gross impact evaluation achieved 4% relative precision at 85% confidence (well below the 15% target). </w:t>
      </w:r>
      <w:r w:rsidRPr="00B75B77">
        <w:fldChar w:fldCharType="begin"/>
      </w:r>
      <w:r w:rsidRPr="00B75B77">
        <w:instrText xml:space="preserve"> REF _Ref463415643 \h </w:instrText>
      </w:r>
      <w:r w:rsidR="00B75B77">
        <w:instrText xml:space="preserve"> \* MERGEFORMAT </w:instrText>
      </w:r>
      <w:r w:rsidRPr="00B75B77">
        <w:fldChar w:fldCharType="separate"/>
      </w:r>
      <w:r w:rsidR="0004016D" w:rsidRPr="00B75B77">
        <w:t xml:space="preserve">Table </w:t>
      </w:r>
      <w:r w:rsidR="0004016D">
        <w:rPr>
          <w:noProof/>
        </w:rPr>
        <w:t>14</w:t>
      </w:r>
      <w:r w:rsidR="0004016D" w:rsidRPr="00B75B77">
        <w:rPr>
          <w:noProof/>
        </w:rPr>
        <w:noBreakHyphen/>
      </w:r>
      <w:r w:rsidR="0004016D">
        <w:rPr>
          <w:noProof/>
        </w:rPr>
        <w:t>4</w:t>
      </w:r>
      <w:r w:rsidRPr="00B75B77">
        <w:fldChar w:fldCharType="end"/>
      </w:r>
      <w:r w:rsidRPr="00B75B77">
        <w:t xml:space="preserve"> provides the gross impact summary for the nonresidential sector energy savings.</w:t>
      </w:r>
    </w:p>
    <w:p w:rsidR="00BB039B" w:rsidRPr="00B75B77" w:rsidRDefault="00BB039B" w:rsidP="00286B52"/>
    <w:p w:rsidR="00BB039B" w:rsidRPr="00B75B77" w:rsidRDefault="00BB039B" w:rsidP="00BB039B">
      <w:pPr>
        <w:pStyle w:val="Caption"/>
      </w:pPr>
      <w:bookmarkStart w:id="858" w:name="_Ref463415643"/>
      <w:bookmarkStart w:id="859" w:name="_Toc466413622"/>
      <w:r w:rsidRPr="00B75B77">
        <w:t xml:space="preserve">Table </w:t>
      </w:r>
      <w:fldSimple w:instr=" STYLEREF 1 \s ">
        <w:r w:rsidR="0004016D">
          <w:rPr>
            <w:noProof/>
          </w:rPr>
          <w:t>14</w:t>
        </w:r>
      </w:fldSimple>
      <w:r w:rsidR="00F1144C" w:rsidRPr="00B75B77">
        <w:noBreakHyphen/>
      </w:r>
      <w:fldSimple w:instr=" SEQ Table \* ARABIC \s 1 ">
        <w:r w:rsidR="0004016D">
          <w:rPr>
            <w:noProof/>
          </w:rPr>
          <w:t>4</w:t>
        </w:r>
      </w:fldSimple>
      <w:bookmarkEnd w:id="858"/>
      <w:r w:rsidRPr="00B75B77">
        <w:t>: PY7 Smart Multi</w:t>
      </w:r>
      <w:r w:rsidR="00223995" w:rsidRPr="00B75B77">
        <w:t>-F</w:t>
      </w:r>
      <w:r w:rsidRPr="00B75B77">
        <w:t>amily Solutions Nonresidential Sector Summary of Evaluation Results for Energy</w:t>
      </w:r>
      <w:bookmarkEnd w:id="859"/>
    </w:p>
    <w:tbl>
      <w:tblPr>
        <w:tblStyle w:val="MediumShading1-Accent5"/>
        <w:tblW w:w="0" w:type="auto"/>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1564"/>
        <w:gridCol w:w="1460"/>
        <w:gridCol w:w="1340"/>
        <w:gridCol w:w="1427"/>
        <w:gridCol w:w="1823"/>
        <w:gridCol w:w="1854"/>
      </w:tblGrid>
      <w:tr w:rsidR="00223995" w:rsidRPr="00B75B77" w:rsidTr="00BB039B">
        <w:trPr>
          <w:cnfStyle w:val="100000000000" w:firstRow="1" w:lastRow="0" w:firstColumn="0" w:lastColumn="0" w:oddVBand="0" w:evenVBand="0" w:oddHBand="0" w:evenHBand="0" w:firstRowFirstColumn="0" w:firstRowLastColumn="0" w:lastRowFirstColumn="0" w:lastRowLastColumn="0"/>
          <w:trHeight w:val="955"/>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shd w:val="clear" w:color="auto" w:fill="448A99"/>
            <w:vAlign w:val="center"/>
            <w:hideMark/>
          </w:tcPr>
          <w:p w:rsidR="00BB039B" w:rsidRPr="00B75B77" w:rsidRDefault="00BB039B" w:rsidP="00BB039B">
            <w:pPr>
              <w:jc w:val="left"/>
              <w:rPr>
                <w:rFonts w:ascii="Calibri" w:eastAsia="Times New Roman" w:hAnsi="Calibri"/>
                <w:bCs w:val="0"/>
                <w:sz w:val="18"/>
                <w:szCs w:val="18"/>
              </w:rPr>
            </w:pPr>
            <w:r w:rsidRPr="00B75B77">
              <w:rPr>
                <w:rFonts w:ascii="Calibri" w:eastAsia="Times New Roman" w:hAnsi="Calibri"/>
                <w:bCs w:val="0"/>
                <w:sz w:val="18"/>
                <w:szCs w:val="18"/>
              </w:rPr>
              <w:t>Stratum</w:t>
            </w:r>
          </w:p>
        </w:tc>
        <w:tc>
          <w:tcPr>
            <w:tcW w:w="0" w:type="auto"/>
            <w:tcBorders>
              <w:top w:val="single" w:sz="6" w:space="0" w:color="auto"/>
              <w:left w:val="single" w:sz="6" w:space="0" w:color="auto"/>
              <w:bottom w:val="single" w:sz="6" w:space="0" w:color="auto"/>
              <w:right w:val="single" w:sz="6" w:space="0" w:color="auto"/>
            </w:tcBorders>
            <w:shd w:val="clear" w:color="auto" w:fill="448A99"/>
            <w:vAlign w:val="center"/>
            <w:hideMark/>
          </w:tcPr>
          <w:p w:rsidR="00BB039B" w:rsidRPr="00B75B77" w:rsidRDefault="00BB039B" w:rsidP="00BB03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Reported Gross Energy Savings</w:t>
            </w:r>
          </w:p>
          <w:p w:rsidR="00BB039B" w:rsidRPr="00B75B77" w:rsidRDefault="00BB039B" w:rsidP="00BB03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(MWh/</w:t>
            </w:r>
            <w:proofErr w:type="spellStart"/>
            <w:r w:rsidRPr="00B75B77">
              <w:rPr>
                <w:rFonts w:ascii="Calibri" w:eastAsia="Times New Roman" w:hAnsi="Calibri"/>
                <w:bCs w:val="0"/>
                <w:sz w:val="18"/>
                <w:szCs w:val="18"/>
              </w:rPr>
              <w:t>yr</w:t>
            </w:r>
            <w:proofErr w:type="spellEnd"/>
            <w:r w:rsidRPr="00B75B77">
              <w:rPr>
                <w:rFonts w:ascii="Calibri" w:eastAsia="Times New Roman" w:hAnsi="Calibri"/>
                <w:bCs w:val="0"/>
                <w:sz w:val="18"/>
                <w:szCs w:val="18"/>
              </w:rPr>
              <w:t>)</w:t>
            </w:r>
          </w:p>
        </w:tc>
        <w:tc>
          <w:tcPr>
            <w:tcW w:w="0" w:type="auto"/>
            <w:tcBorders>
              <w:top w:val="single" w:sz="6" w:space="0" w:color="auto"/>
              <w:left w:val="single" w:sz="6" w:space="0" w:color="auto"/>
              <w:bottom w:val="single" w:sz="6" w:space="0" w:color="auto"/>
              <w:right w:val="single" w:sz="6" w:space="0" w:color="auto"/>
            </w:tcBorders>
            <w:shd w:val="clear" w:color="auto" w:fill="448A99"/>
            <w:vAlign w:val="center"/>
            <w:hideMark/>
          </w:tcPr>
          <w:p w:rsidR="00BB039B" w:rsidRPr="00B75B77" w:rsidRDefault="00BB039B" w:rsidP="00BB03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Energy Realization Rate</w:t>
            </w:r>
          </w:p>
          <w:p w:rsidR="00BB039B" w:rsidRPr="00B75B77" w:rsidRDefault="00BB039B" w:rsidP="00BB03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w:t>
            </w:r>
          </w:p>
        </w:tc>
        <w:tc>
          <w:tcPr>
            <w:tcW w:w="0" w:type="auto"/>
            <w:tcBorders>
              <w:top w:val="single" w:sz="6" w:space="0" w:color="auto"/>
              <w:left w:val="single" w:sz="6" w:space="0" w:color="auto"/>
              <w:bottom w:val="single" w:sz="6" w:space="0" w:color="auto"/>
              <w:right w:val="single" w:sz="6" w:space="0" w:color="auto"/>
            </w:tcBorders>
            <w:shd w:val="clear" w:color="auto" w:fill="448A99"/>
            <w:vAlign w:val="center"/>
          </w:tcPr>
          <w:p w:rsidR="00BB039B" w:rsidRPr="00B75B77" w:rsidRDefault="00BB039B" w:rsidP="00BB03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Verified Gross Energy Savings</w:t>
            </w:r>
          </w:p>
          <w:p w:rsidR="00BB039B" w:rsidRPr="00B75B77" w:rsidRDefault="00BB039B" w:rsidP="00BB03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(MWh/</w:t>
            </w:r>
            <w:proofErr w:type="spellStart"/>
            <w:r w:rsidRPr="00B75B77">
              <w:rPr>
                <w:rFonts w:ascii="Calibri" w:eastAsia="Times New Roman" w:hAnsi="Calibri"/>
                <w:bCs w:val="0"/>
                <w:sz w:val="18"/>
                <w:szCs w:val="18"/>
              </w:rPr>
              <w:t>yr</w:t>
            </w:r>
            <w:proofErr w:type="spellEnd"/>
            <w:r w:rsidRPr="00B75B77">
              <w:rPr>
                <w:rFonts w:ascii="Calibri" w:eastAsia="Times New Roman" w:hAnsi="Calibri"/>
                <w:bCs w:val="0"/>
                <w:sz w:val="18"/>
                <w:szCs w:val="18"/>
              </w:rPr>
              <w:t>)</w:t>
            </w:r>
          </w:p>
        </w:tc>
        <w:tc>
          <w:tcPr>
            <w:tcW w:w="0" w:type="auto"/>
            <w:tcBorders>
              <w:top w:val="single" w:sz="6" w:space="0" w:color="auto"/>
              <w:left w:val="single" w:sz="6" w:space="0" w:color="auto"/>
              <w:bottom w:val="single" w:sz="6" w:space="0" w:color="auto"/>
              <w:right w:val="single" w:sz="6" w:space="0" w:color="auto"/>
            </w:tcBorders>
            <w:shd w:val="clear" w:color="auto" w:fill="448A99"/>
            <w:vAlign w:val="center"/>
            <w:hideMark/>
          </w:tcPr>
          <w:p w:rsidR="00BB039B" w:rsidRPr="00B75B77" w:rsidRDefault="00BB039B" w:rsidP="00BB03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color w:val="FFFFFF"/>
                <w:sz w:val="18"/>
                <w:szCs w:val="18"/>
              </w:rPr>
              <w:t>Observed CV or Proportion in Sample Design</w:t>
            </w:r>
          </w:p>
        </w:tc>
        <w:tc>
          <w:tcPr>
            <w:tcW w:w="0" w:type="auto"/>
            <w:tcBorders>
              <w:top w:val="single" w:sz="6" w:space="0" w:color="auto"/>
              <w:left w:val="single" w:sz="6" w:space="0" w:color="auto"/>
              <w:bottom w:val="single" w:sz="6" w:space="0" w:color="auto"/>
              <w:right w:val="nil"/>
            </w:tcBorders>
            <w:shd w:val="clear" w:color="auto" w:fill="448A99"/>
            <w:vAlign w:val="center"/>
            <w:hideMark/>
          </w:tcPr>
          <w:p w:rsidR="00BB039B" w:rsidRPr="00B75B77" w:rsidRDefault="00BB039B" w:rsidP="0022399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 xml:space="preserve">Relative Precision at 85% </w:t>
            </w:r>
            <w:r w:rsidR="00223995" w:rsidRPr="00B75B77">
              <w:rPr>
                <w:rFonts w:ascii="Calibri" w:eastAsia="Times New Roman" w:hAnsi="Calibri"/>
                <w:bCs w:val="0"/>
                <w:sz w:val="18"/>
                <w:szCs w:val="18"/>
              </w:rPr>
              <w:t>Confidence Interval</w:t>
            </w:r>
          </w:p>
        </w:tc>
      </w:tr>
      <w:tr w:rsidR="00223995" w:rsidRPr="00B75B77" w:rsidTr="00BB03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right w:val="single" w:sz="8" w:space="0" w:color="448A99"/>
            </w:tcBorders>
            <w:vAlign w:val="center"/>
            <w:hideMark/>
          </w:tcPr>
          <w:p w:rsidR="00BB039B" w:rsidRPr="00B75B77" w:rsidRDefault="00223995" w:rsidP="00BB039B">
            <w:pPr>
              <w:jc w:val="left"/>
              <w:rPr>
                <w:rFonts w:ascii="Calibri" w:eastAsia="Times New Roman" w:hAnsi="Calibri"/>
                <w:b w:val="0"/>
                <w:color w:val="000000"/>
                <w:sz w:val="18"/>
                <w:szCs w:val="18"/>
              </w:rPr>
            </w:pPr>
            <w:r w:rsidRPr="00B75B77">
              <w:rPr>
                <w:rFonts w:ascii="Calibri" w:eastAsia="Times New Roman" w:hAnsi="Calibri"/>
                <w:b w:val="0"/>
                <w:color w:val="000000"/>
                <w:sz w:val="18"/>
                <w:szCs w:val="18"/>
              </w:rPr>
              <w:t>Non-Res  –</w:t>
            </w:r>
            <w:r w:rsidR="00BB039B" w:rsidRPr="00B75B77">
              <w:rPr>
                <w:rFonts w:ascii="Calibri" w:eastAsia="Times New Roman" w:hAnsi="Calibri"/>
                <w:b w:val="0"/>
                <w:color w:val="000000"/>
                <w:sz w:val="18"/>
                <w:szCs w:val="18"/>
              </w:rPr>
              <w:t xml:space="preserve"> Small</w:t>
            </w:r>
          </w:p>
        </w:tc>
        <w:tc>
          <w:tcPr>
            <w:tcW w:w="0" w:type="auto"/>
            <w:tcBorders>
              <w:top w:val="single" w:sz="6" w:space="0" w:color="auto"/>
              <w:left w:val="single" w:sz="8" w:space="0" w:color="448A99"/>
              <w:right w:val="single" w:sz="8" w:space="0" w:color="448A99"/>
            </w:tcBorders>
            <w:vAlign w:val="center"/>
          </w:tcPr>
          <w:p w:rsidR="00BB039B" w:rsidRPr="00B75B77" w:rsidRDefault="00BB039B" w:rsidP="00BB03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899</w:t>
            </w:r>
          </w:p>
        </w:tc>
        <w:tc>
          <w:tcPr>
            <w:tcW w:w="0" w:type="auto"/>
            <w:tcBorders>
              <w:top w:val="single" w:sz="6" w:space="0" w:color="auto"/>
              <w:left w:val="single" w:sz="8" w:space="0" w:color="448A99"/>
              <w:right w:val="single" w:sz="8" w:space="0" w:color="448A99"/>
            </w:tcBorders>
            <w:vAlign w:val="center"/>
          </w:tcPr>
          <w:p w:rsidR="00BB039B" w:rsidRPr="00B75B77" w:rsidRDefault="00BB039B" w:rsidP="00BB03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0.85</w:t>
            </w:r>
          </w:p>
        </w:tc>
        <w:tc>
          <w:tcPr>
            <w:tcW w:w="0" w:type="auto"/>
            <w:tcBorders>
              <w:top w:val="single" w:sz="6" w:space="0" w:color="auto"/>
              <w:left w:val="single" w:sz="8" w:space="0" w:color="448A99"/>
              <w:right w:val="single" w:sz="8" w:space="0" w:color="448A99"/>
            </w:tcBorders>
            <w:vAlign w:val="center"/>
          </w:tcPr>
          <w:p w:rsidR="00BB039B" w:rsidRPr="00B75B77" w:rsidRDefault="00BB039B" w:rsidP="00BB03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767</w:t>
            </w:r>
          </w:p>
        </w:tc>
        <w:tc>
          <w:tcPr>
            <w:tcW w:w="0" w:type="auto"/>
            <w:tcBorders>
              <w:top w:val="single" w:sz="6" w:space="0" w:color="auto"/>
              <w:left w:val="single" w:sz="8" w:space="0" w:color="448A99"/>
              <w:right w:val="single" w:sz="8" w:space="0" w:color="448A99"/>
            </w:tcBorders>
            <w:vAlign w:val="center"/>
          </w:tcPr>
          <w:p w:rsidR="00BB039B" w:rsidRPr="00B75B77" w:rsidRDefault="00BB039B" w:rsidP="00BB03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0.23</w:t>
            </w:r>
          </w:p>
        </w:tc>
        <w:tc>
          <w:tcPr>
            <w:tcW w:w="0" w:type="auto"/>
            <w:tcBorders>
              <w:top w:val="single" w:sz="6" w:space="0" w:color="auto"/>
              <w:left w:val="single" w:sz="8" w:space="0" w:color="448A99"/>
            </w:tcBorders>
            <w:vAlign w:val="center"/>
          </w:tcPr>
          <w:p w:rsidR="00BB039B" w:rsidRPr="00B75B77" w:rsidRDefault="00BB039B" w:rsidP="00BB03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7%</w:t>
            </w:r>
          </w:p>
        </w:tc>
      </w:tr>
      <w:tr w:rsidR="00223995" w:rsidRPr="00B75B77" w:rsidTr="00BB039B">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8A99"/>
            </w:tcBorders>
            <w:vAlign w:val="center"/>
            <w:hideMark/>
          </w:tcPr>
          <w:p w:rsidR="00BB039B" w:rsidRPr="00B75B77" w:rsidRDefault="00223995" w:rsidP="00BB039B">
            <w:pPr>
              <w:jc w:val="left"/>
              <w:rPr>
                <w:rFonts w:ascii="Calibri" w:eastAsia="Times New Roman" w:hAnsi="Calibri"/>
                <w:b w:val="0"/>
                <w:color w:val="000000"/>
                <w:sz w:val="18"/>
                <w:szCs w:val="18"/>
              </w:rPr>
            </w:pPr>
            <w:r w:rsidRPr="00B75B77">
              <w:rPr>
                <w:rFonts w:ascii="Calibri" w:eastAsia="Times New Roman" w:hAnsi="Calibri"/>
                <w:b w:val="0"/>
                <w:color w:val="000000"/>
                <w:sz w:val="18"/>
                <w:szCs w:val="18"/>
              </w:rPr>
              <w:t xml:space="preserve">Non-Res  </w:t>
            </w:r>
            <w:r w:rsidR="00BB039B" w:rsidRPr="00B75B77">
              <w:rPr>
                <w:rFonts w:ascii="Calibri" w:eastAsia="Times New Roman" w:hAnsi="Calibri"/>
                <w:b w:val="0"/>
                <w:color w:val="000000"/>
                <w:sz w:val="18"/>
                <w:szCs w:val="18"/>
              </w:rPr>
              <w:t>– Medium/Large</w:t>
            </w:r>
          </w:p>
        </w:tc>
        <w:tc>
          <w:tcPr>
            <w:tcW w:w="0" w:type="auto"/>
            <w:tcBorders>
              <w:left w:val="single" w:sz="8" w:space="0" w:color="448A99"/>
              <w:right w:val="single" w:sz="8" w:space="0" w:color="448A99"/>
            </w:tcBorders>
            <w:vAlign w:val="center"/>
          </w:tcPr>
          <w:p w:rsidR="00BB039B" w:rsidRPr="00B75B77" w:rsidRDefault="00BB039B" w:rsidP="00BB03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2,687</w:t>
            </w:r>
          </w:p>
        </w:tc>
        <w:tc>
          <w:tcPr>
            <w:tcW w:w="0" w:type="auto"/>
            <w:tcBorders>
              <w:left w:val="single" w:sz="8" w:space="0" w:color="448A99"/>
              <w:right w:val="single" w:sz="8" w:space="0" w:color="448A99"/>
            </w:tcBorders>
            <w:vAlign w:val="center"/>
          </w:tcPr>
          <w:p w:rsidR="00BB039B" w:rsidRPr="00B75B77" w:rsidRDefault="00BB039B" w:rsidP="00BB03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0.89</w:t>
            </w:r>
          </w:p>
        </w:tc>
        <w:tc>
          <w:tcPr>
            <w:tcW w:w="0" w:type="auto"/>
            <w:tcBorders>
              <w:left w:val="single" w:sz="8" w:space="0" w:color="448A99"/>
              <w:right w:val="single" w:sz="8" w:space="0" w:color="448A99"/>
            </w:tcBorders>
            <w:vAlign w:val="center"/>
          </w:tcPr>
          <w:p w:rsidR="00BB039B" w:rsidRPr="00B75B77" w:rsidRDefault="00BB039B" w:rsidP="00BB03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2,404</w:t>
            </w:r>
          </w:p>
        </w:tc>
        <w:tc>
          <w:tcPr>
            <w:tcW w:w="0" w:type="auto"/>
            <w:tcBorders>
              <w:left w:val="single" w:sz="8" w:space="0" w:color="448A99"/>
              <w:right w:val="single" w:sz="8" w:space="0" w:color="448A99"/>
            </w:tcBorders>
            <w:vAlign w:val="center"/>
          </w:tcPr>
          <w:p w:rsidR="00BB039B" w:rsidRPr="00B75B77" w:rsidRDefault="00BB039B" w:rsidP="00BB03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0.10</w:t>
            </w:r>
          </w:p>
        </w:tc>
        <w:tc>
          <w:tcPr>
            <w:tcW w:w="0" w:type="auto"/>
            <w:tcBorders>
              <w:left w:val="single" w:sz="8" w:space="0" w:color="448A99"/>
            </w:tcBorders>
            <w:vAlign w:val="center"/>
          </w:tcPr>
          <w:p w:rsidR="00BB039B" w:rsidRPr="00B75B77" w:rsidRDefault="00BB039B" w:rsidP="00BB03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5%</w:t>
            </w:r>
          </w:p>
        </w:tc>
      </w:tr>
      <w:tr w:rsidR="00223995" w:rsidRPr="00B75B77" w:rsidTr="00BB03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448A99"/>
              <w:right w:val="single" w:sz="8" w:space="0" w:color="448A99"/>
            </w:tcBorders>
            <w:vAlign w:val="center"/>
            <w:hideMark/>
          </w:tcPr>
          <w:p w:rsidR="00BB039B" w:rsidRPr="00B75B77" w:rsidRDefault="00223995" w:rsidP="00BB039B">
            <w:pPr>
              <w:jc w:val="left"/>
              <w:rPr>
                <w:rFonts w:ascii="Calibri" w:eastAsia="Times New Roman" w:hAnsi="Calibri"/>
                <w:bCs w:val="0"/>
                <w:caps/>
                <w:color w:val="000000"/>
                <w:sz w:val="18"/>
                <w:szCs w:val="18"/>
              </w:rPr>
            </w:pPr>
            <w:r w:rsidRPr="00B75B77">
              <w:rPr>
                <w:rFonts w:ascii="Calibri" w:eastAsia="Times New Roman" w:hAnsi="Calibri"/>
                <w:color w:val="000000"/>
                <w:sz w:val="18"/>
                <w:szCs w:val="18"/>
              </w:rPr>
              <w:t>PROGRAM TOTAL</w:t>
            </w:r>
          </w:p>
        </w:tc>
        <w:tc>
          <w:tcPr>
            <w:tcW w:w="0" w:type="auto"/>
            <w:tcBorders>
              <w:left w:val="single" w:sz="8" w:space="0" w:color="448A99"/>
              <w:right w:val="single" w:sz="8" w:space="0" w:color="448A99"/>
            </w:tcBorders>
            <w:vAlign w:val="center"/>
          </w:tcPr>
          <w:p w:rsidR="00BB039B" w:rsidRPr="00B75B77" w:rsidRDefault="00BB039B" w:rsidP="00BB03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18"/>
                <w:szCs w:val="18"/>
              </w:rPr>
            </w:pPr>
            <w:r w:rsidRPr="00B75B77">
              <w:rPr>
                <w:rFonts w:ascii="Calibri" w:eastAsia="Times New Roman" w:hAnsi="Calibri"/>
                <w:b/>
                <w:color w:val="000000"/>
                <w:sz w:val="18"/>
                <w:szCs w:val="18"/>
              </w:rPr>
              <w:t>3,586</w:t>
            </w:r>
          </w:p>
        </w:tc>
        <w:tc>
          <w:tcPr>
            <w:tcW w:w="0" w:type="auto"/>
            <w:tcBorders>
              <w:left w:val="single" w:sz="8" w:space="0" w:color="448A99"/>
              <w:right w:val="single" w:sz="8" w:space="0" w:color="448A99"/>
            </w:tcBorders>
            <w:vAlign w:val="center"/>
          </w:tcPr>
          <w:p w:rsidR="00BB039B" w:rsidRPr="00B75B77" w:rsidRDefault="00BB039B" w:rsidP="00BB03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18"/>
                <w:szCs w:val="18"/>
              </w:rPr>
            </w:pPr>
            <w:r w:rsidRPr="00B75B77">
              <w:rPr>
                <w:rFonts w:ascii="Calibri" w:eastAsia="Times New Roman" w:hAnsi="Calibri"/>
                <w:b/>
                <w:color w:val="000000"/>
                <w:sz w:val="18"/>
                <w:szCs w:val="18"/>
              </w:rPr>
              <w:t>0.88</w:t>
            </w:r>
          </w:p>
        </w:tc>
        <w:tc>
          <w:tcPr>
            <w:tcW w:w="0" w:type="auto"/>
            <w:tcBorders>
              <w:left w:val="single" w:sz="8" w:space="0" w:color="448A99"/>
              <w:right w:val="single" w:sz="8" w:space="0" w:color="448A99"/>
            </w:tcBorders>
            <w:vAlign w:val="center"/>
          </w:tcPr>
          <w:p w:rsidR="00BB039B" w:rsidRPr="00B75B77" w:rsidRDefault="00BB039B" w:rsidP="00BB03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18"/>
                <w:szCs w:val="18"/>
              </w:rPr>
            </w:pPr>
            <w:r w:rsidRPr="00B75B77">
              <w:rPr>
                <w:rFonts w:ascii="Calibri" w:eastAsia="Times New Roman" w:hAnsi="Calibri"/>
                <w:b/>
                <w:color w:val="000000"/>
                <w:sz w:val="18"/>
                <w:szCs w:val="18"/>
              </w:rPr>
              <w:t>3,171</w:t>
            </w:r>
          </w:p>
        </w:tc>
        <w:tc>
          <w:tcPr>
            <w:tcW w:w="0" w:type="auto"/>
            <w:tcBorders>
              <w:left w:val="single" w:sz="8" w:space="0" w:color="448A99"/>
              <w:right w:val="single" w:sz="8" w:space="0" w:color="448A99"/>
            </w:tcBorders>
            <w:vAlign w:val="center"/>
          </w:tcPr>
          <w:p w:rsidR="00BB039B" w:rsidRPr="00B75B77" w:rsidRDefault="00BB039B" w:rsidP="00BB03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18"/>
                <w:szCs w:val="18"/>
              </w:rPr>
            </w:pPr>
            <w:r w:rsidRPr="00B75B77">
              <w:rPr>
                <w:rFonts w:ascii="Calibri" w:eastAsia="Times New Roman" w:hAnsi="Calibri"/>
                <w:b/>
                <w:color w:val="000000"/>
                <w:sz w:val="18"/>
                <w:szCs w:val="18"/>
              </w:rPr>
              <w:t>0.16</w:t>
            </w:r>
          </w:p>
        </w:tc>
        <w:tc>
          <w:tcPr>
            <w:tcW w:w="0" w:type="auto"/>
            <w:tcBorders>
              <w:left w:val="single" w:sz="8" w:space="0" w:color="448A99"/>
            </w:tcBorders>
            <w:vAlign w:val="center"/>
          </w:tcPr>
          <w:p w:rsidR="00BB039B" w:rsidRPr="00B75B77" w:rsidRDefault="00BB039B" w:rsidP="00BB03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18"/>
                <w:szCs w:val="18"/>
              </w:rPr>
            </w:pPr>
            <w:r w:rsidRPr="00B75B77">
              <w:rPr>
                <w:rFonts w:ascii="Calibri" w:eastAsia="Times New Roman" w:hAnsi="Calibri"/>
                <w:b/>
                <w:color w:val="000000"/>
                <w:sz w:val="18"/>
                <w:szCs w:val="18"/>
              </w:rPr>
              <w:t>4%</w:t>
            </w:r>
          </w:p>
        </w:tc>
      </w:tr>
    </w:tbl>
    <w:p w:rsidR="00BB039B" w:rsidRPr="00B75B77" w:rsidRDefault="00BB039B" w:rsidP="00223995">
      <w:pPr>
        <w:ind w:left="180"/>
        <w:rPr>
          <w:rFonts w:eastAsia="Times New Roman"/>
          <w:sz w:val="18"/>
          <w:szCs w:val="20"/>
        </w:rPr>
      </w:pPr>
      <w:r w:rsidRPr="00B75B77">
        <w:rPr>
          <w:rFonts w:eastAsia="Times New Roman"/>
          <w:sz w:val="18"/>
          <w:szCs w:val="20"/>
        </w:rPr>
        <w:t xml:space="preserve">Note: Values in tables may not reconcile exactly with </w:t>
      </w:r>
      <w:r w:rsidR="005445EA" w:rsidRPr="00B75B77">
        <w:rPr>
          <w:rFonts w:eastAsia="Times New Roman"/>
          <w:sz w:val="18"/>
          <w:szCs w:val="20"/>
        </w:rPr>
        <w:t xml:space="preserve">the </w:t>
      </w:r>
      <w:r w:rsidRPr="00B75B77">
        <w:rPr>
          <w:rFonts w:eastAsia="Times New Roman"/>
          <w:sz w:val="18"/>
          <w:szCs w:val="20"/>
        </w:rPr>
        <w:t>sum of more detailed level results or previously reported results due to rounding.</w:t>
      </w:r>
    </w:p>
    <w:p w:rsidR="00BB039B" w:rsidRPr="00B75B77" w:rsidRDefault="00BB039B" w:rsidP="00223995">
      <w:pPr>
        <w:ind w:left="180"/>
        <w:rPr>
          <w:rFonts w:eastAsia="Times New Roman"/>
          <w:i/>
          <w:sz w:val="18"/>
          <w:szCs w:val="20"/>
        </w:rPr>
      </w:pPr>
      <w:r w:rsidRPr="00B75B77">
        <w:rPr>
          <w:rFonts w:eastAsia="Times New Roman"/>
          <w:i/>
          <w:sz w:val="18"/>
          <w:szCs w:val="20"/>
        </w:rPr>
        <w:t>Source: Navigant analysis</w:t>
      </w:r>
    </w:p>
    <w:p w:rsidR="00BB039B" w:rsidRPr="00B75B77" w:rsidRDefault="00BB039B" w:rsidP="00BB039B"/>
    <w:p w:rsidR="00BB039B" w:rsidRPr="00B75B77" w:rsidRDefault="00BB039B" w:rsidP="00BB039B">
      <w:r w:rsidRPr="00B75B77">
        <w:lastRenderedPageBreak/>
        <w:t xml:space="preserve">The residential sector gross impact evaluation efforts yielded a 0.94 realization rate for demand savings. The realization rate </w:t>
      </w:r>
      <w:r w:rsidR="005445EA" w:rsidRPr="00B75B77">
        <w:t>wa</w:t>
      </w:r>
      <w:r w:rsidRPr="00B75B77">
        <w:t>s less than one because telephone survey participants indicated that either the measure counts were wrong, they did</w:t>
      </w:r>
      <w:r w:rsidR="005445EA" w:rsidRPr="00B75B77">
        <w:t xml:space="preserve"> </w:t>
      </w:r>
      <w:r w:rsidRPr="00B75B77">
        <w:t>n</w:t>
      </w:r>
      <w:r w:rsidR="005445EA" w:rsidRPr="00B75B77">
        <w:t>o</w:t>
      </w:r>
      <w:r w:rsidRPr="00B75B77">
        <w:t xml:space="preserve">t receive the measure at all, or that </w:t>
      </w:r>
      <w:r w:rsidR="005445EA" w:rsidRPr="00B75B77">
        <w:t xml:space="preserve">the </w:t>
      </w:r>
      <w:r w:rsidRPr="00B75B77">
        <w:t xml:space="preserve">measure had been replaced. Additionally, the </w:t>
      </w:r>
      <w:r w:rsidR="00685BDE" w:rsidRPr="00B75B77">
        <w:t>onsite</w:t>
      </w:r>
      <w:r w:rsidRPr="00B75B77">
        <w:t xml:space="preserve"> visits discovered two sites where the number of CFLs reported in the tracking data did not match the number of CFLs found onsite. The residential gross impact evaluation achieved 4% relative precision at 85% confidence (below the 15% target). </w:t>
      </w:r>
      <w:r w:rsidRPr="00B75B77">
        <w:fldChar w:fldCharType="begin"/>
      </w:r>
      <w:r w:rsidRPr="00B75B77">
        <w:instrText xml:space="preserve"> REF _Ref463416351 \h </w:instrText>
      </w:r>
      <w:r w:rsidR="00B75B77">
        <w:instrText xml:space="preserve"> \* MERGEFORMAT </w:instrText>
      </w:r>
      <w:r w:rsidRPr="00B75B77">
        <w:fldChar w:fldCharType="separate"/>
      </w:r>
      <w:r w:rsidR="0004016D" w:rsidRPr="00B75B77">
        <w:t xml:space="preserve">Table </w:t>
      </w:r>
      <w:r w:rsidR="0004016D">
        <w:rPr>
          <w:noProof/>
        </w:rPr>
        <w:t>14</w:t>
      </w:r>
      <w:r w:rsidR="0004016D" w:rsidRPr="00B75B77">
        <w:rPr>
          <w:noProof/>
        </w:rPr>
        <w:noBreakHyphen/>
      </w:r>
      <w:r w:rsidR="0004016D">
        <w:rPr>
          <w:noProof/>
        </w:rPr>
        <w:t>5</w:t>
      </w:r>
      <w:r w:rsidRPr="00B75B77">
        <w:fldChar w:fldCharType="end"/>
      </w:r>
      <w:r w:rsidRPr="00B75B77">
        <w:t xml:space="preserve"> provides the gross impact summary for the residential sector demand savings.</w:t>
      </w:r>
    </w:p>
    <w:p w:rsidR="00BB039B" w:rsidRPr="00B75B77" w:rsidRDefault="00BB039B" w:rsidP="00286B52"/>
    <w:p w:rsidR="00BB039B" w:rsidRPr="00B75B77" w:rsidRDefault="00BB039B" w:rsidP="00BB039B">
      <w:pPr>
        <w:pStyle w:val="Caption"/>
      </w:pPr>
      <w:bookmarkStart w:id="860" w:name="_Ref463416351"/>
      <w:bookmarkStart w:id="861" w:name="_Toc466413623"/>
      <w:r w:rsidRPr="00B75B77">
        <w:t xml:space="preserve">Table </w:t>
      </w:r>
      <w:fldSimple w:instr=" STYLEREF 1 \s ">
        <w:r w:rsidR="0004016D">
          <w:rPr>
            <w:noProof/>
          </w:rPr>
          <w:t>14</w:t>
        </w:r>
      </w:fldSimple>
      <w:r w:rsidR="00F1144C" w:rsidRPr="00B75B77">
        <w:noBreakHyphen/>
      </w:r>
      <w:fldSimple w:instr=" SEQ Table \* ARABIC \s 1 ">
        <w:r w:rsidR="0004016D">
          <w:rPr>
            <w:noProof/>
          </w:rPr>
          <w:t>5</w:t>
        </w:r>
      </w:fldSimple>
      <w:bookmarkEnd w:id="860"/>
      <w:r w:rsidRPr="00B75B77">
        <w:t>: PY7 Smart Multi</w:t>
      </w:r>
      <w:r w:rsidR="005445EA" w:rsidRPr="00B75B77">
        <w:t>-F</w:t>
      </w:r>
      <w:r w:rsidRPr="00B75B77">
        <w:t>amily Solutions Residential Sector Summary of Evaluation Results for Demand</w:t>
      </w:r>
      <w:bookmarkEnd w:id="861"/>
    </w:p>
    <w:tbl>
      <w:tblPr>
        <w:tblW w:w="9715" w:type="dxa"/>
        <w:tblLook w:val="04A0" w:firstRow="1" w:lastRow="0" w:firstColumn="1" w:lastColumn="0" w:noHBand="0" w:noVBand="1"/>
      </w:tblPr>
      <w:tblGrid>
        <w:gridCol w:w="1795"/>
        <w:gridCol w:w="1800"/>
        <w:gridCol w:w="1350"/>
        <w:gridCol w:w="1440"/>
        <w:gridCol w:w="2070"/>
        <w:gridCol w:w="1260"/>
      </w:tblGrid>
      <w:tr w:rsidR="00BB039B" w:rsidRPr="00B75B77" w:rsidTr="00BB039B">
        <w:trPr>
          <w:divId w:val="1529945518"/>
          <w:trHeight w:val="588"/>
        </w:trPr>
        <w:tc>
          <w:tcPr>
            <w:tcW w:w="1795"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BB039B" w:rsidRPr="00B75B77" w:rsidRDefault="00BB039B" w:rsidP="005445EA">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Stratum</w:t>
            </w:r>
          </w:p>
        </w:tc>
        <w:tc>
          <w:tcPr>
            <w:tcW w:w="1800"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BB039B" w:rsidRPr="00B75B77" w:rsidRDefault="00BB039B" w:rsidP="00BB039B">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Reported Gross Demand Savings </w:t>
            </w:r>
            <w:r w:rsidRPr="00B75B77">
              <w:rPr>
                <w:rFonts w:ascii="Calibri" w:eastAsia="Times New Roman" w:hAnsi="Calibri"/>
                <w:b/>
                <w:bCs/>
                <w:color w:val="FFFFFF"/>
                <w:sz w:val="18"/>
                <w:szCs w:val="18"/>
              </w:rPr>
              <w:br/>
              <w:t>(MW)</w:t>
            </w:r>
            <w:r w:rsidRPr="00B75B77">
              <w:rPr>
                <w:rFonts w:ascii="Calibri" w:eastAsia="Times New Roman" w:hAnsi="Calibri"/>
                <w:b/>
                <w:bCs/>
                <w:color w:val="FFFFFF"/>
                <w:sz w:val="18"/>
                <w:szCs w:val="18"/>
                <w:vertAlign w:val="superscript"/>
              </w:rPr>
              <w:t>[1]</w:t>
            </w:r>
          </w:p>
        </w:tc>
        <w:tc>
          <w:tcPr>
            <w:tcW w:w="1350"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BB039B" w:rsidRPr="00B75B77" w:rsidRDefault="00BB039B" w:rsidP="00BB039B">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Demand Realization Rate (%)</w:t>
            </w:r>
          </w:p>
        </w:tc>
        <w:tc>
          <w:tcPr>
            <w:tcW w:w="1440"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BB039B" w:rsidRPr="00B75B77" w:rsidRDefault="00BB039B" w:rsidP="00BB039B">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Verified Gross Demand Savings (MW)</w:t>
            </w:r>
            <w:r w:rsidRPr="00B75B77">
              <w:rPr>
                <w:rFonts w:ascii="Calibri" w:eastAsia="Times New Roman" w:hAnsi="Calibri"/>
                <w:b/>
                <w:bCs/>
                <w:color w:val="FFFFFF"/>
                <w:sz w:val="18"/>
                <w:szCs w:val="18"/>
                <w:vertAlign w:val="superscript"/>
              </w:rPr>
              <w:t>[1]</w:t>
            </w:r>
          </w:p>
        </w:tc>
        <w:tc>
          <w:tcPr>
            <w:tcW w:w="2070"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BB039B" w:rsidRPr="00B75B77" w:rsidRDefault="00BF778E" w:rsidP="00BB039B">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Observed CV</w:t>
            </w:r>
            <w:r w:rsidR="00BB039B" w:rsidRPr="00B75B77">
              <w:rPr>
                <w:rFonts w:ascii="Calibri" w:eastAsia="Times New Roman" w:hAnsi="Calibri"/>
                <w:b/>
                <w:bCs/>
                <w:color w:val="FFFFFF"/>
                <w:sz w:val="18"/>
                <w:szCs w:val="18"/>
              </w:rPr>
              <w:t xml:space="preserve"> or Proportion in Sample Design</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BB039B" w:rsidRPr="00B75B77" w:rsidRDefault="00BB039B" w:rsidP="00D52DAD">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Relative Precision at 85% </w:t>
            </w:r>
            <w:r w:rsidR="00D52DAD" w:rsidRPr="00B75B77">
              <w:rPr>
                <w:rFonts w:ascii="Calibri" w:eastAsia="Times New Roman" w:hAnsi="Calibri"/>
                <w:b/>
                <w:bCs/>
                <w:color w:val="FFFFFF"/>
                <w:sz w:val="18"/>
                <w:szCs w:val="18"/>
              </w:rPr>
              <w:t>Confidence Interval</w:t>
            </w:r>
          </w:p>
        </w:tc>
      </w:tr>
      <w:tr w:rsidR="00BB039B" w:rsidRPr="00B75B77" w:rsidTr="00BB039B">
        <w:trPr>
          <w:divId w:val="1529945518"/>
          <w:trHeight w:val="288"/>
        </w:trPr>
        <w:tc>
          <w:tcPr>
            <w:tcW w:w="1795" w:type="dxa"/>
            <w:vMerge/>
            <w:tcBorders>
              <w:top w:val="single" w:sz="4" w:space="0" w:color="auto"/>
              <w:left w:val="single" w:sz="4" w:space="0" w:color="auto"/>
              <w:bottom w:val="single" w:sz="4" w:space="0" w:color="auto"/>
              <w:right w:val="single" w:sz="4" w:space="0" w:color="auto"/>
            </w:tcBorders>
            <w:vAlign w:val="center"/>
            <w:hideMark/>
          </w:tcPr>
          <w:p w:rsidR="00BB039B" w:rsidRPr="00B75B77" w:rsidRDefault="00BB039B" w:rsidP="00BB039B">
            <w:pPr>
              <w:jc w:val="left"/>
              <w:rPr>
                <w:rFonts w:ascii="Calibri" w:eastAsia="Times New Roman" w:hAnsi="Calibri"/>
                <w:b/>
                <w:bCs/>
                <w:color w:val="FFFFFF"/>
                <w:sz w:val="18"/>
                <w:szCs w:val="18"/>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BB039B" w:rsidRPr="00B75B77" w:rsidRDefault="00BB039B" w:rsidP="00BB039B">
            <w:pPr>
              <w:jc w:val="left"/>
              <w:rPr>
                <w:rFonts w:ascii="Calibri" w:eastAsia="Times New Roman" w:hAnsi="Calibri"/>
                <w:b/>
                <w:bCs/>
                <w:color w:val="FFFFFF"/>
                <w:sz w:val="18"/>
                <w:szCs w:val="18"/>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BB039B" w:rsidRPr="00B75B77" w:rsidRDefault="00BB039B" w:rsidP="00BB039B">
            <w:pPr>
              <w:jc w:val="left"/>
              <w:rPr>
                <w:rFonts w:ascii="Calibri" w:eastAsia="Times New Roman" w:hAnsi="Calibri"/>
                <w:b/>
                <w:bCs/>
                <w:color w:val="FFFFFF"/>
                <w:sz w:val="18"/>
                <w:szCs w:val="18"/>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BB039B" w:rsidRPr="00B75B77" w:rsidRDefault="00BB039B" w:rsidP="00BB039B">
            <w:pPr>
              <w:jc w:val="left"/>
              <w:rPr>
                <w:rFonts w:ascii="Calibri" w:eastAsia="Times New Roman" w:hAnsi="Calibri"/>
                <w:b/>
                <w:bCs/>
                <w:color w:val="FFFFFF"/>
                <w:sz w:val="18"/>
                <w:szCs w:val="18"/>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rsidR="00BB039B" w:rsidRPr="00B75B77" w:rsidRDefault="00BB039B" w:rsidP="00BB039B">
            <w:pPr>
              <w:jc w:val="left"/>
              <w:rPr>
                <w:rFonts w:ascii="Calibri" w:eastAsia="Times New Roman" w:hAnsi="Calibri"/>
                <w:b/>
                <w:bCs/>
                <w:color w:val="FFFFFF"/>
                <w:sz w:val="18"/>
                <w:szCs w:val="18"/>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BB039B" w:rsidRPr="00B75B77" w:rsidRDefault="00BB039B" w:rsidP="00BB039B">
            <w:pPr>
              <w:jc w:val="left"/>
              <w:rPr>
                <w:rFonts w:ascii="Calibri" w:eastAsia="Times New Roman" w:hAnsi="Calibri"/>
                <w:b/>
                <w:bCs/>
                <w:color w:val="FFFFFF"/>
                <w:sz w:val="18"/>
                <w:szCs w:val="18"/>
              </w:rPr>
            </w:pPr>
          </w:p>
        </w:tc>
      </w:tr>
      <w:tr w:rsidR="00BB039B" w:rsidRPr="00B75B77" w:rsidTr="00BB039B">
        <w:trPr>
          <w:divId w:val="1529945518"/>
          <w:trHeight w:val="300"/>
        </w:trPr>
        <w:tc>
          <w:tcPr>
            <w:tcW w:w="1795" w:type="dxa"/>
            <w:vMerge/>
            <w:tcBorders>
              <w:top w:val="single" w:sz="4" w:space="0" w:color="auto"/>
              <w:left w:val="single" w:sz="4" w:space="0" w:color="auto"/>
              <w:bottom w:val="single" w:sz="4" w:space="0" w:color="auto"/>
              <w:right w:val="single" w:sz="4" w:space="0" w:color="auto"/>
            </w:tcBorders>
            <w:vAlign w:val="center"/>
            <w:hideMark/>
          </w:tcPr>
          <w:p w:rsidR="00BB039B" w:rsidRPr="00B75B77" w:rsidRDefault="00BB039B" w:rsidP="00BB039B">
            <w:pPr>
              <w:jc w:val="left"/>
              <w:rPr>
                <w:rFonts w:ascii="Calibri" w:eastAsia="Times New Roman" w:hAnsi="Calibri"/>
                <w:b/>
                <w:bCs/>
                <w:color w:val="FFFFFF"/>
                <w:sz w:val="18"/>
                <w:szCs w:val="18"/>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BB039B" w:rsidRPr="00B75B77" w:rsidRDefault="00BB039B" w:rsidP="00BB039B">
            <w:pPr>
              <w:jc w:val="left"/>
              <w:rPr>
                <w:rFonts w:ascii="Calibri" w:eastAsia="Times New Roman" w:hAnsi="Calibri"/>
                <w:b/>
                <w:bCs/>
                <w:color w:val="FFFFFF"/>
                <w:sz w:val="18"/>
                <w:szCs w:val="18"/>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BB039B" w:rsidRPr="00B75B77" w:rsidRDefault="00BB039B" w:rsidP="00BB039B">
            <w:pPr>
              <w:jc w:val="left"/>
              <w:rPr>
                <w:rFonts w:ascii="Calibri" w:eastAsia="Times New Roman" w:hAnsi="Calibri"/>
                <w:b/>
                <w:bCs/>
                <w:color w:val="FFFFFF"/>
                <w:sz w:val="18"/>
                <w:szCs w:val="18"/>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BB039B" w:rsidRPr="00B75B77" w:rsidRDefault="00BB039B" w:rsidP="00BB039B">
            <w:pPr>
              <w:jc w:val="left"/>
              <w:rPr>
                <w:rFonts w:ascii="Calibri" w:eastAsia="Times New Roman" w:hAnsi="Calibri"/>
                <w:b/>
                <w:bCs/>
                <w:color w:val="FFFFFF"/>
                <w:sz w:val="18"/>
                <w:szCs w:val="18"/>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rsidR="00BB039B" w:rsidRPr="00B75B77" w:rsidRDefault="00BB039B" w:rsidP="00BB039B">
            <w:pPr>
              <w:jc w:val="left"/>
              <w:rPr>
                <w:rFonts w:ascii="Calibri" w:eastAsia="Times New Roman" w:hAnsi="Calibri"/>
                <w:b/>
                <w:bCs/>
                <w:color w:val="FFFFFF"/>
                <w:sz w:val="18"/>
                <w:szCs w:val="18"/>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BB039B" w:rsidRPr="00B75B77" w:rsidRDefault="00BB039B" w:rsidP="00BB039B">
            <w:pPr>
              <w:jc w:val="left"/>
              <w:rPr>
                <w:rFonts w:ascii="Calibri" w:eastAsia="Times New Roman" w:hAnsi="Calibri"/>
                <w:b/>
                <w:bCs/>
                <w:color w:val="FFFFFF"/>
                <w:sz w:val="18"/>
                <w:szCs w:val="18"/>
              </w:rPr>
            </w:pPr>
          </w:p>
        </w:tc>
      </w:tr>
      <w:tr w:rsidR="00BB039B" w:rsidRPr="00B75B77" w:rsidTr="00BB039B">
        <w:trPr>
          <w:divId w:val="1529945518"/>
          <w:trHeight w:val="300"/>
        </w:trPr>
        <w:tc>
          <w:tcPr>
            <w:tcW w:w="1795" w:type="dxa"/>
            <w:tcBorders>
              <w:top w:val="nil"/>
              <w:left w:val="single" w:sz="4" w:space="0" w:color="448A99"/>
              <w:bottom w:val="single" w:sz="4" w:space="0" w:color="448A99"/>
              <w:right w:val="single" w:sz="4" w:space="0" w:color="448A99"/>
            </w:tcBorders>
            <w:shd w:val="clear" w:color="000000" w:fill="D2EAF1"/>
            <w:vAlign w:val="center"/>
            <w:hideMark/>
          </w:tcPr>
          <w:p w:rsidR="00BB039B" w:rsidRPr="00B75B77" w:rsidRDefault="005445EA" w:rsidP="00BB039B">
            <w:pPr>
              <w:jc w:val="left"/>
              <w:rPr>
                <w:rFonts w:ascii="Calibri" w:eastAsia="Times New Roman" w:hAnsi="Calibri"/>
                <w:bCs/>
                <w:color w:val="000000"/>
                <w:sz w:val="18"/>
                <w:szCs w:val="18"/>
              </w:rPr>
            </w:pPr>
            <w:r w:rsidRPr="00B75B77">
              <w:rPr>
                <w:rFonts w:ascii="Calibri" w:eastAsia="Times New Roman" w:hAnsi="Calibri"/>
                <w:color w:val="000000"/>
                <w:sz w:val="18"/>
                <w:szCs w:val="18"/>
              </w:rPr>
              <w:t>Res Non-LI – Small</w:t>
            </w:r>
          </w:p>
        </w:tc>
        <w:tc>
          <w:tcPr>
            <w:tcW w:w="1800"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0.1</w:t>
            </w:r>
          </w:p>
        </w:tc>
        <w:tc>
          <w:tcPr>
            <w:tcW w:w="1350"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1.00</w:t>
            </w:r>
          </w:p>
        </w:tc>
        <w:tc>
          <w:tcPr>
            <w:tcW w:w="1440"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0.1</w:t>
            </w:r>
          </w:p>
        </w:tc>
        <w:tc>
          <w:tcPr>
            <w:tcW w:w="2070"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0.00</w:t>
            </w:r>
          </w:p>
        </w:tc>
        <w:tc>
          <w:tcPr>
            <w:tcW w:w="1260"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BB039B" w:rsidRPr="00B75B77" w:rsidTr="00BB039B">
        <w:trPr>
          <w:divId w:val="1529945518"/>
          <w:trHeight w:val="300"/>
        </w:trPr>
        <w:tc>
          <w:tcPr>
            <w:tcW w:w="1795" w:type="dxa"/>
            <w:tcBorders>
              <w:top w:val="nil"/>
              <w:left w:val="single" w:sz="4" w:space="0" w:color="448A99"/>
              <w:bottom w:val="single" w:sz="4" w:space="0" w:color="448A99"/>
              <w:right w:val="single" w:sz="4" w:space="0" w:color="448A99"/>
            </w:tcBorders>
            <w:shd w:val="clear" w:color="000000" w:fill="FFFFFF"/>
            <w:vAlign w:val="center"/>
            <w:hideMark/>
          </w:tcPr>
          <w:p w:rsidR="00BB039B" w:rsidRPr="00B75B77" w:rsidRDefault="00BB039B" w:rsidP="00BB039B">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R</w:t>
            </w:r>
            <w:r w:rsidR="005445EA" w:rsidRPr="00B75B77">
              <w:rPr>
                <w:rFonts w:ascii="Calibri" w:eastAsia="Times New Roman" w:hAnsi="Calibri"/>
                <w:bCs/>
                <w:color w:val="000000"/>
                <w:sz w:val="18"/>
                <w:szCs w:val="18"/>
              </w:rPr>
              <w:t xml:space="preserve">es </w:t>
            </w:r>
            <w:r w:rsidRPr="00B75B77">
              <w:rPr>
                <w:rFonts w:ascii="Calibri" w:eastAsia="Times New Roman" w:hAnsi="Calibri"/>
                <w:bCs/>
                <w:color w:val="000000"/>
                <w:sz w:val="18"/>
                <w:szCs w:val="18"/>
              </w:rPr>
              <w:t>N</w:t>
            </w:r>
            <w:r w:rsidR="005445EA" w:rsidRPr="00B75B77">
              <w:rPr>
                <w:rFonts w:ascii="Calibri" w:eastAsia="Times New Roman" w:hAnsi="Calibri"/>
                <w:bCs/>
                <w:color w:val="000000"/>
                <w:sz w:val="18"/>
                <w:szCs w:val="18"/>
              </w:rPr>
              <w:t>on-</w:t>
            </w:r>
            <w:r w:rsidRPr="00B75B77">
              <w:rPr>
                <w:rFonts w:ascii="Calibri" w:eastAsia="Times New Roman" w:hAnsi="Calibri"/>
                <w:bCs/>
                <w:color w:val="000000"/>
                <w:sz w:val="18"/>
                <w:szCs w:val="18"/>
              </w:rPr>
              <w:t xml:space="preserve">LI </w:t>
            </w:r>
            <w:r w:rsidR="005445EA" w:rsidRPr="00B75B77">
              <w:rPr>
                <w:rFonts w:ascii="Calibri" w:eastAsia="Times New Roman" w:hAnsi="Calibri"/>
                <w:color w:val="000000"/>
                <w:sz w:val="18"/>
                <w:szCs w:val="18"/>
              </w:rPr>
              <w:t>–</w:t>
            </w:r>
            <w:r w:rsidRPr="00B75B77">
              <w:rPr>
                <w:rFonts w:ascii="Calibri" w:eastAsia="Times New Roman" w:hAnsi="Calibri"/>
                <w:bCs/>
                <w:color w:val="000000"/>
                <w:sz w:val="18"/>
                <w:szCs w:val="18"/>
              </w:rPr>
              <w:t xml:space="preserve"> Medium</w:t>
            </w:r>
          </w:p>
        </w:tc>
        <w:tc>
          <w:tcPr>
            <w:tcW w:w="1800" w:type="dxa"/>
            <w:tcBorders>
              <w:top w:val="nil"/>
              <w:left w:val="nil"/>
              <w:bottom w:val="single" w:sz="4" w:space="0" w:color="448A99"/>
              <w:right w:val="single" w:sz="4" w:space="0" w:color="448A99"/>
            </w:tcBorders>
            <w:shd w:val="clear" w:color="000000" w:fill="FFFFFF"/>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0.1</w:t>
            </w:r>
          </w:p>
        </w:tc>
        <w:tc>
          <w:tcPr>
            <w:tcW w:w="1350" w:type="dxa"/>
            <w:tcBorders>
              <w:top w:val="nil"/>
              <w:left w:val="nil"/>
              <w:bottom w:val="single" w:sz="4" w:space="0" w:color="448A99"/>
              <w:right w:val="single" w:sz="4" w:space="0" w:color="448A99"/>
            </w:tcBorders>
            <w:shd w:val="clear" w:color="000000" w:fill="FFFFFF"/>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0.91</w:t>
            </w:r>
          </w:p>
        </w:tc>
        <w:tc>
          <w:tcPr>
            <w:tcW w:w="1440" w:type="dxa"/>
            <w:tcBorders>
              <w:top w:val="nil"/>
              <w:left w:val="nil"/>
              <w:bottom w:val="single" w:sz="4" w:space="0" w:color="448A99"/>
              <w:right w:val="single" w:sz="4" w:space="0" w:color="448A99"/>
            </w:tcBorders>
            <w:shd w:val="clear" w:color="000000" w:fill="FFFFFF"/>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0.1</w:t>
            </w:r>
          </w:p>
        </w:tc>
        <w:tc>
          <w:tcPr>
            <w:tcW w:w="2070" w:type="dxa"/>
            <w:tcBorders>
              <w:top w:val="nil"/>
              <w:left w:val="nil"/>
              <w:bottom w:val="single" w:sz="4" w:space="0" w:color="448A99"/>
              <w:right w:val="single" w:sz="4" w:space="0" w:color="448A99"/>
            </w:tcBorders>
            <w:shd w:val="clear" w:color="000000" w:fill="FFFFFF"/>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0.24</w:t>
            </w:r>
          </w:p>
        </w:tc>
        <w:tc>
          <w:tcPr>
            <w:tcW w:w="1260" w:type="dxa"/>
            <w:tcBorders>
              <w:top w:val="nil"/>
              <w:left w:val="nil"/>
              <w:bottom w:val="single" w:sz="4" w:space="0" w:color="448A99"/>
              <w:right w:val="single" w:sz="4" w:space="0" w:color="448A99"/>
            </w:tcBorders>
            <w:shd w:val="clear" w:color="000000" w:fill="FFFFFF"/>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12%</w:t>
            </w:r>
          </w:p>
        </w:tc>
      </w:tr>
      <w:tr w:rsidR="00BB039B" w:rsidRPr="00B75B77" w:rsidTr="00BB039B">
        <w:trPr>
          <w:divId w:val="1529945518"/>
          <w:trHeight w:val="300"/>
        </w:trPr>
        <w:tc>
          <w:tcPr>
            <w:tcW w:w="1795" w:type="dxa"/>
            <w:tcBorders>
              <w:top w:val="nil"/>
              <w:left w:val="single" w:sz="4" w:space="0" w:color="448A99"/>
              <w:bottom w:val="single" w:sz="4" w:space="0" w:color="448A99"/>
              <w:right w:val="single" w:sz="4" w:space="0" w:color="448A99"/>
            </w:tcBorders>
            <w:shd w:val="clear" w:color="000000" w:fill="D2EAF1"/>
            <w:vAlign w:val="center"/>
            <w:hideMark/>
          </w:tcPr>
          <w:p w:rsidR="00BB039B" w:rsidRPr="00B75B77" w:rsidRDefault="00BB039B" w:rsidP="00BB039B">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R</w:t>
            </w:r>
            <w:r w:rsidR="005445EA" w:rsidRPr="00B75B77">
              <w:rPr>
                <w:rFonts w:ascii="Calibri" w:eastAsia="Times New Roman" w:hAnsi="Calibri"/>
                <w:bCs/>
                <w:color w:val="000000"/>
                <w:sz w:val="18"/>
                <w:szCs w:val="18"/>
              </w:rPr>
              <w:t xml:space="preserve">es </w:t>
            </w:r>
            <w:r w:rsidRPr="00B75B77">
              <w:rPr>
                <w:rFonts w:ascii="Calibri" w:eastAsia="Times New Roman" w:hAnsi="Calibri"/>
                <w:bCs/>
                <w:color w:val="000000"/>
                <w:sz w:val="18"/>
                <w:szCs w:val="18"/>
              </w:rPr>
              <w:t>N</w:t>
            </w:r>
            <w:r w:rsidR="005445EA" w:rsidRPr="00B75B77">
              <w:rPr>
                <w:rFonts w:ascii="Calibri" w:eastAsia="Times New Roman" w:hAnsi="Calibri"/>
                <w:bCs/>
                <w:color w:val="000000"/>
                <w:sz w:val="18"/>
                <w:szCs w:val="18"/>
              </w:rPr>
              <w:t>on-</w:t>
            </w:r>
            <w:r w:rsidRPr="00B75B77">
              <w:rPr>
                <w:rFonts w:ascii="Calibri" w:eastAsia="Times New Roman" w:hAnsi="Calibri"/>
                <w:bCs/>
                <w:color w:val="000000"/>
                <w:sz w:val="18"/>
                <w:szCs w:val="18"/>
              </w:rPr>
              <w:t xml:space="preserve">LI </w:t>
            </w:r>
            <w:r w:rsidR="005445EA" w:rsidRPr="00B75B77">
              <w:rPr>
                <w:rFonts w:ascii="Calibri" w:eastAsia="Times New Roman" w:hAnsi="Calibri"/>
                <w:color w:val="000000"/>
                <w:sz w:val="18"/>
                <w:szCs w:val="18"/>
              </w:rPr>
              <w:t>–</w:t>
            </w:r>
            <w:r w:rsidRPr="00B75B77">
              <w:rPr>
                <w:rFonts w:ascii="Calibri" w:eastAsia="Times New Roman" w:hAnsi="Calibri"/>
                <w:bCs/>
                <w:color w:val="000000"/>
                <w:sz w:val="18"/>
                <w:szCs w:val="18"/>
              </w:rPr>
              <w:t xml:space="preserve"> Large</w:t>
            </w:r>
          </w:p>
        </w:tc>
        <w:tc>
          <w:tcPr>
            <w:tcW w:w="1800"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0.1</w:t>
            </w:r>
          </w:p>
        </w:tc>
        <w:tc>
          <w:tcPr>
            <w:tcW w:w="1350"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0.92</w:t>
            </w:r>
          </w:p>
        </w:tc>
        <w:tc>
          <w:tcPr>
            <w:tcW w:w="1440"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0.1</w:t>
            </w:r>
          </w:p>
        </w:tc>
        <w:tc>
          <w:tcPr>
            <w:tcW w:w="2070"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0.17</w:t>
            </w:r>
          </w:p>
        </w:tc>
        <w:tc>
          <w:tcPr>
            <w:tcW w:w="1260"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9%</w:t>
            </w:r>
          </w:p>
        </w:tc>
      </w:tr>
      <w:tr w:rsidR="00BB039B" w:rsidRPr="00B75B77" w:rsidTr="00BB039B">
        <w:trPr>
          <w:divId w:val="1529945518"/>
          <w:trHeight w:val="300"/>
        </w:trPr>
        <w:tc>
          <w:tcPr>
            <w:tcW w:w="1795" w:type="dxa"/>
            <w:tcBorders>
              <w:top w:val="nil"/>
              <w:left w:val="single" w:sz="4" w:space="0" w:color="448A99"/>
              <w:bottom w:val="single" w:sz="4" w:space="0" w:color="448A99"/>
              <w:right w:val="single" w:sz="4" w:space="0" w:color="448A99"/>
            </w:tcBorders>
            <w:shd w:val="clear" w:color="000000" w:fill="FFFFFF"/>
            <w:vAlign w:val="center"/>
            <w:hideMark/>
          </w:tcPr>
          <w:p w:rsidR="00BB039B" w:rsidRPr="00B75B77" w:rsidRDefault="00BB039B" w:rsidP="00BB039B">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R</w:t>
            </w:r>
            <w:r w:rsidR="005445EA" w:rsidRPr="00B75B77">
              <w:rPr>
                <w:rFonts w:ascii="Calibri" w:eastAsia="Times New Roman" w:hAnsi="Calibri"/>
                <w:bCs/>
                <w:color w:val="000000"/>
                <w:sz w:val="18"/>
                <w:szCs w:val="18"/>
              </w:rPr>
              <w:t xml:space="preserve">es </w:t>
            </w:r>
            <w:r w:rsidRPr="00B75B77">
              <w:rPr>
                <w:rFonts w:ascii="Calibri" w:eastAsia="Times New Roman" w:hAnsi="Calibri"/>
                <w:bCs/>
                <w:color w:val="000000"/>
                <w:sz w:val="18"/>
                <w:szCs w:val="18"/>
              </w:rPr>
              <w:t xml:space="preserve">LI </w:t>
            </w:r>
            <w:r w:rsidR="005445EA" w:rsidRPr="00B75B77">
              <w:rPr>
                <w:rFonts w:ascii="Calibri" w:eastAsia="Times New Roman" w:hAnsi="Calibri"/>
                <w:color w:val="000000"/>
                <w:sz w:val="18"/>
                <w:szCs w:val="18"/>
              </w:rPr>
              <w:t>–</w:t>
            </w:r>
            <w:r w:rsidRPr="00B75B77">
              <w:rPr>
                <w:rFonts w:ascii="Calibri" w:eastAsia="Times New Roman" w:hAnsi="Calibri"/>
                <w:bCs/>
                <w:color w:val="000000"/>
                <w:sz w:val="18"/>
                <w:szCs w:val="18"/>
              </w:rPr>
              <w:t xml:space="preserve"> Small</w:t>
            </w:r>
          </w:p>
        </w:tc>
        <w:tc>
          <w:tcPr>
            <w:tcW w:w="1800" w:type="dxa"/>
            <w:tcBorders>
              <w:top w:val="nil"/>
              <w:left w:val="nil"/>
              <w:bottom w:val="single" w:sz="4" w:space="0" w:color="448A99"/>
              <w:right w:val="single" w:sz="4" w:space="0" w:color="448A99"/>
            </w:tcBorders>
            <w:shd w:val="clear" w:color="000000" w:fill="FFFFFF"/>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350" w:type="dxa"/>
            <w:tcBorders>
              <w:top w:val="nil"/>
              <w:left w:val="nil"/>
              <w:bottom w:val="single" w:sz="4" w:space="0" w:color="448A99"/>
              <w:right w:val="single" w:sz="4" w:space="0" w:color="448A99"/>
            </w:tcBorders>
            <w:shd w:val="clear" w:color="000000" w:fill="FFFFFF"/>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0.99</w:t>
            </w:r>
          </w:p>
        </w:tc>
        <w:tc>
          <w:tcPr>
            <w:tcW w:w="1440" w:type="dxa"/>
            <w:tcBorders>
              <w:top w:val="nil"/>
              <w:left w:val="nil"/>
              <w:bottom w:val="single" w:sz="4" w:space="0" w:color="448A99"/>
              <w:right w:val="single" w:sz="4" w:space="0" w:color="448A99"/>
            </w:tcBorders>
            <w:shd w:val="clear" w:color="000000" w:fill="FFFFFF"/>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2070" w:type="dxa"/>
            <w:tcBorders>
              <w:top w:val="nil"/>
              <w:left w:val="nil"/>
              <w:bottom w:val="single" w:sz="4" w:space="0" w:color="448A99"/>
              <w:right w:val="single" w:sz="4" w:space="0" w:color="448A99"/>
            </w:tcBorders>
            <w:shd w:val="clear" w:color="000000" w:fill="FFFFFF"/>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0.05</w:t>
            </w:r>
          </w:p>
        </w:tc>
        <w:tc>
          <w:tcPr>
            <w:tcW w:w="1260" w:type="dxa"/>
            <w:tcBorders>
              <w:top w:val="nil"/>
              <w:left w:val="nil"/>
              <w:bottom w:val="single" w:sz="4" w:space="0" w:color="448A99"/>
              <w:right w:val="single" w:sz="4" w:space="0" w:color="448A99"/>
            </w:tcBorders>
            <w:shd w:val="clear" w:color="000000" w:fill="FFFFFF"/>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2%</w:t>
            </w:r>
          </w:p>
        </w:tc>
      </w:tr>
      <w:tr w:rsidR="00BB039B" w:rsidRPr="00B75B77" w:rsidTr="00BB039B">
        <w:trPr>
          <w:divId w:val="1529945518"/>
          <w:trHeight w:val="300"/>
        </w:trPr>
        <w:tc>
          <w:tcPr>
            <w:tcW w:w="1795" w:type="dxa"/>
            <w:tcBorders>
              <w:top w:val="nil"/>
              <w:left w:val="single" w:sz="4" w:space="0" w:color="448A99"/>
              <w:bottom w:val="single" w:sz="4" w:space="0" w:color="448A99"/>
              <w:right w:val="single" w:sz="4" w:space="0" w:color="448A99"/>
            </w:tcBorders>
            <w:shd w:val="clear" w:color="000000" w:fill="D2EAF1"/>
            <w:vAlign w:val="center"/>
            <w:hideMark/>
          </w:tcPr>
          <w:p w:rsidR="00BB039B" w:rsidRPr="00B75B77" w:rsidRDefault="00BB039B" w:rsidP="00BB039B">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R</w:t>
            </w:r>
            <w:r w:rsidR="005445EA" w:rsidRPr="00B75B77">
              <w:rPr>
                <w:rFonts w:ascii="Calibri" w:eastAsia="Times New Roman" w:hAnsi="Calibri"/>
                <w:bCs/>
                <w:color w:val="000000"/>
                <w:sz w:val="18"/>
                <w:szCs w:val="18"/>
              </w:rPr>
              <w:t xml:space="preserve">es </w:t>
            </w:r>
            <w:r w:rsidRPr="00B75B77">
              <w:rPr>
                <w:rFonts w:ascii="Calibri" w:eastAsia="Times New Roman" w:hAnsi="Calibri"/>
                <w:bCs/>
                <w:color w:val="000000"/>
                <w:sz w:val="18"/>
                <w:szCs w:val="18"/>
              </w:rPr>
              <w:t xml:space="preserve">LI </w:t>
            </w:r>
            <w:r w:rsidR="005445EA" w:rsidRPr="00B75B77">
              <w:rPr>
                <w:rFonts w:ascii="Calibri" w:eastAsia="Times New Roman" w:hAnsi="Calibri"/>
                <w:color w:val="000000"/>
                <w:sz w:val="18"/>
                <w:szCs w:val="18"/>
              </w:rPr>
              <w:t>–</w:t>
            </w:r>
            <w:r w:rsidRPr="00B75B77">
              <w:rPr>
                <w:rFonts w:ascii="Calibri" w:eastAsia="Times New Roman" w:hAnsi="Calibri"/>
                <w:bCs/>
                <w:color w:val="000000"/>
                <w:sz w:val="18"/>
                <w:szCs w:val="18"/>
              </w:rPr>
              <w:t xml:space="preserve"> Medium</w:t>
            </w:r>
          </w:p>
        </w:tc>
        <w:tc>
          <w:tcPr>
            <w:tcW w:w="1800"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350"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0.84</w:t>
            </w:r>
          </w:p>
        </w:tc>
        <w:tc>
          <w:tcPr>
            <w:tcW w:w="1440"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2070"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0.34</w:t>
            </w:r>
          </w:p>
        </w:tc>
        <w:tc>
          <w:tcPr>
            <w:tcW w:w="1260"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20%</w:t>
            </w:r>
          </w:p>
        </w:tc>
      </w:tr>
      <w:tr w:rsidR="00BB039B" w:rsidRPr="00B75B77" w:rsidTr="00BB039B">
        <w:trPr>
          <w:divId w:val="1529945518"/>
          <w:trHeight w:val="300"/>
        </w:trPr>
        <w:tc>
          <w:tcPr>
            <w:tcW w:w="1795" w:type="dxa"/>
            <w:tcBorders>
              <w:top w:val="nil"/>
              <w:left w:val="single" w:sz="4" w:space="0" w:color="448A99"/>
              <w:bottom w:val="single" w:sz="4" w:space="0" w:color="448A99"/>
              <w:right w:val="single" w:sz="4" w:space="0" w:color="448A99"/>
            </w:tcBorders>
            <w:shd w:val="clear" w:color="000000" w:fill="FFFFFF"/>
            <w:vAlign w:val="center"/>
            <w:hideMark/>
          </w:tcPr>
          <w:p w:rsidR="00BB039B" w:rsidRPr="00B75B77" w:rsidRDefault="00BB039B" w:rsidP="00BB039B">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R</w:t>
            </w:r>
            <w:r w:rsidR="005445EA" w:rsidRPr="00B75B77">
              <w:rPr>
                <w:rFonts w:ascii="Calibri" w:eastAsia="Times New Roman" w:hAnsi="Calibri"/>
                <w:bCs/>
                <w:color w:val="000000"/>
                <w:sz w:val="18"/>
                <w:szCs w:val="18"/>
              </w:rPr>
              <w:t xml:space="preserve">es </w:t>
            </w:r>
            <w:r w:rsidRPr="00B75B77">
              <w:rPr>
                <w:rFonts w:ascii="Calibri" w:eastAsia="Times New Roman" w:hAnsi="Calibri"/>
                <w:bCs/>
                <w:color w:val="000000"/>
                <w:sz w:val="18"/>
                <w:szCs w:val="18"/>
              </w:rPr>
              <w:t xml:space="preserve">LI </w:t>
            </w:r>
            <w:r w:rsidR="005445EA" w:rsidRPr="00B75B77">
              <w:rPr>
                <w:rFonts w:ascii="Calibri" w:eastAsia="Times New Roman" w:hAnsi="Calibri"/>
                <w:color w:val="000000"/>
                <w:sz w:val="18"/>
                <w:szCs w:val="18"/>
              </w:rPr>
              <w:t>–</w:t>
            </w:r>
            <w:r w:rsidRPr="00B75B77">
              <w:rPr>
                <w:rFonts w:ascii="Calibri" w:eastAsia="Times New Roman" w:hAnsi="Calibri"/>
                <w:bCs/>
                <w:color w:val="000000"/>
                <w:sz w:val="18"/>
                <w:szCs w:val="18"/>
              </w:rPr>
              <w:t xml:space="preserve"> Large</w:t>
            </w:r>
          </w:p>
        </w:tc>
        <w:tc>
          <w:tcPr>
            <w:tcW w:w="1800" w:type="dxa"/>
            <w:tcBorders>
              <w:top w:val="nil"/>
              <w:left w:val="nil"/>
              <w:bottom w:val="single" w:sz="4" w:space="0" w:color="448A99"/>
              <w:right w:val="single" w:sz="4" w:space="0" w:color="448A99"/>
            </w:tcBorders>
            <w:shd w:val="clear" w:color="000000" w:fill="FFFFFF"/>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350" w:type="dxa"/>
            <w:tcBorders>
              <w:top w:val="nil"/>
              <w:left w:val="nil"/>
              <w:bottom w:val="single" w:sz="4" w:space="0" w:color="448A99"/>
              <w:right w:val="single" w:sz="4" w:space="0" w:color="448A99"/>
            </w:tcBorders>
            <w:shd w:val="clear" w:color="000000" w:fill="FFFFFF"/>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0.97</w:t>
            </w:r>
          </w:p>
        </w:tc>
        <w:tc>
          <w:tcPr>
            <w:tcW w:w="1440" w:type="dxa"/>
            <w:tcBorders>
              <w:top w:val="nil"/>
              <w:left w:val="nil"/>
              <w:bottom w:val="single" w:sz="4" w:space="0" w:color="448A99"/>
              <w:right w:val="single" w:sz="4" w:space="0" w:color="448A99"/>
            </w:tcBorders>
            <w:shd w:val="clear" w:color="000000" w:fill="FFFFFF"/>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2070" w:type="dxa"/>
            <w:tcBorders>
              <w:top w:val="nil"/>
              <w:left w:val="nil"/>
              <w:bottom w:val="single" w:sz="4" w:space="0" w:color="448A99"/>
              <w:right w:val="single" w:sz="4" w:space="0" w:color="448A99"/>
            </w:tcBorders>
            <w:shd w:val="clear" w:color="000000" w:fill="FFFFFF"/>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0.07</w:t>
            </w:r>
          </w:p>
        </w:tc>
        <w:tc>
          <w:tcPr>
            <w:tcW w:w="1260" w:type="dxa"/>
            <w:tcBorders>
              <w:top w:val="nil"/>
              <w:left w:val="nil"/>
              <w:bottom w:val="single" w:sz="4" w:space="0" w:color="448A99"/>
              <w:right w:val="single" w:sz="4" w:space="0" w:color="448A99"/>
            </w:tcBorders>
            <w:shd w:val="clear" w:color="000000" w:fill="FFFFFF"/>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4%</w:t>
            </w:r>
          </w:p>
        </w:tc>
      </w:tr>
      <w:tr w:rsidR="00BB039B" w:rsidRPr="00B75B77" w:rsidTr="00BB039B">
        <w:trPr>
          <w:divId w:val="1529945518"/>
          <w:trHeight w:val="288"/>
        </w:trPr>
        <w:tc>
          <w:tcPr>
            <w:tcW w:w="1795" w:type="dxa"/>
            <w:tcBorders>
              <w:top w:val="nil"/>
              <w:left w:val="single" w:sz="4" w:space="0" w:color="448A99"/>
              <w:bottom w:val="single" w:sz="4" w:space="0" w:color="448A99"/>
              <w:right w:val="single" w:sz="4" w:space="0" w:color="448A99"/>
            </w:tcBorders>
            <w:shd w:val="clear" w:color="000000" w:fill="D2EAF1"/>
            <w:vAlign w:val="center"/>
            <w:hideMark/>
          </w:tcPr>
          <w:p w:rsidR="00BB039B" w:rsidRPr="00B75B77" w:rsidRDefault="00BB039B" w:rsidP="00BB039B">
            <w:pPr>
              <w:jc w:val="left"/>
              <w:rPr>
                <w:rFonts w:ascii="Calibri" w:eastAsia="Times New Roman" w:hAnsi="Calibri"/>
                <w:b/>
                <w:color w:val="000000"/>
                <w:sz w:val="18"/>
                <w:szCs w:val="18"/>
              </w:rPr>
            </w:pPr>
            <w:r w:rsidRPr="00B75B77">
              <w:rPr>
                <w:rFonts w:ascii="Calibri" w:eastAsia="Times New Roman" w:hAnsi="Calibri"/>
                <w:b/>
                <w:color w:val="000000"/>
                <w:sz w:val="18"/>
                <w:szCs w:val="18"/>
              </w:rPr>
              <w:t>PROGRAM TOTAL</w:t>
            </w:r>
          </w:p>
        </w:tc>
        <w:tc>
          <w:tcPr>
            <w:tcW w:w="1800"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BB039B">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0.3</w:t>
            </w:r>
          </w:p>
        </w:tc>
        <w:tc>
          <w:tcPr>
            <w:tcW w:w="1350"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BB039B">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0.94</w:t>
            </w:r>
          </w:p>
        </w:tc>
        <w:tc>
          <w:tcPr>
            <w:tcW w:w="1440"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BB039B">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0.2</w:t>
            </w:r>
          </w:p>
        </w:tc>
        <w:tc>
          <w:tcPr>
            <w:tcW w:w="2070"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BB039B">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0.20</w:t>
            </w:r>
          </w:p>
        </w:tc>
        <w:tc>
          <w:tcPr>
            <w:tcW w:w="1260"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BB039B">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4%</w:t>
            </w:r>
          </w:p>
        </w:tc>
      </w:tr>
    </w:tbl>
    <w:p w:rsidR="00BB039B" w:rsidRPr="00B75B77" w:rsidRDefault="00BB039B" w:rsidP="00BB039B">
      <w:pPr>
        <w:pStyle w:val="Source"/>
        <w:spacing w:before="20" w:after="20"/>
        <w:ind w:left="0" w:firstLine="0"/>
        <w:rPr>
          <w:rFonts w:ascii="Calibri" w:hAnsi="Calibri"/>
          <w:i w:val="0"/>
          <w:color w:val="000000"/>
          <w:szCs w:val="18"/>
        </w:rPr>
      </w:pPr>
      <w:r w:rsidRPr="00B75B77">
        <w:rPr>
          <w:rFonts w:ascii="Calibri" w:hAnsi="Calibri"/>
          <w:i w:val="0"/>
          <w:color w:val="000000"/>
          <w:szCs w:val="18"/>
          <w:vertAlign w:val="superscript"/>
        </w:rPr>
        <w:t>[1]</w:t>
      </w:r>
      <w:r w:rsidRPr="00B75B77">
        <w:rPr>
          <w:rFonts w:ascii="Calibri" w:hAnsi="Calibri"/>
          <w:i w:val="0"/>
          <w:color w:val="000000"/>
          <w:szCs w:val="18"/>
        </w:rPr>
        <w:t xml:space="preserve"> All reported and verified demand savings in this report include line losses as required.</w:t>
      </w:r>
    </w:p>
    <w:p w:rsidR="00BB039B" w:rsidRPr="00B75B77" w:rsidRDefault="00BB039B" w:rsidP="00BB039B">
      <w:pPr>
        <w:pStyle w:val="Source"/>
        <w:spacing w:before="20" w:after="20"/>
        <w:ind w:left="0" w:firstLine="0"/>
        <w:rPr>
          <w:i w:val="0"/>
        </w:rPr>
      </w:pPr>
      <w:r w:rsidRPr="00B75B77">
        <w:rPr>
          <w:rFonts w:ascii="Calibri" w:hAnsi="Calibri"/>
          <w:i w:val="0"/>
          <w:iCs/>
          <w:color w:val="000000"/>
          <w:szCs w:val="18"/>
        </w:rPr>
        <w:t xml:space="preserve">Note: Values in tables may not reconcile exactly with </w:t>
      </w:r>
      <w:r w:rsidR="005445EA" w:rsidRPr="00B75B77">
        <w:rPr>
          <w:rFonts w:ascii="Calibri" w:hAnsi="Calibri"/>
          <w:i w:val="0"/>
          <w:iCs/>
          <w:color w:val="000000"/>
          <w:szCs w:val="18"/>
        </w:rPr>
        <w:t xml:space="preserve">the </w:t>
      </w:r>
      <w:r w:rsidRPr="00B75B77">
        <w:rPr>
          <w:rFonts w:ascii="Calibri" w:hAnsi="Calibri"/>
          <w:i w:val="0"/>
          <w:iCs/>
          <w:color w:val="000000"/>
          <w:szCs w:val="18"/>
        </w:rPr>
        <w:t>sum of more detailed level results or previously reported results due to rounding.</w:t>
      </w:r>
    </w:p>
    <w:p w:rsidR="00BB039B" w:rsidRPr="00B75B77" w:rsidRDefault="00BB039B" w:rsidP="005445EA">
      <w:pPr>
        <w:pStyle w:val="Source"/>
        <w:ind w:hanging="720"/>
      </w:pPr>
      <w:r w:rsidRPr="00B75B77">
        <w:t>Source: Navigant analysis</w:t>
      </w:r>
    </w:p>
    <w:p w:rsidR="00BB039B" w:rsidRPr="00B75B77" w:rsidRDefault="00BB039B" w:rsidP="00BB039B">
      <w:r w:rsidRPr="00B75B77">
        <w:t xml:space="preserve">The nonresidential sector gross impact evaluation yielded a 0.88 realization rate for demand savings. The realization rate </w:t>
      </w:r>
      <w:r w:rsidR="005445EA" w:rsidRPr="00B75B77">
        <w:t>wa</w:t>
      </w:r>
      <w:r w:rsidRPr="00B75B77">
        <w:t xml:space="preserve">s less than one because telephone survey participants indicated that either the measure counts were wrong, they did not receive the measure at all, or that </w:t>
      </w:r>
      <w:r w:rsidR="005445EA" w:rsidRPr="00B75B77">
        <w:t xml:space="preserve">the </w:t>
      </w:r>
      <w:r w:rsidRPr="00B75B77">
        <w:t xml:space="preserve">measure had been replaced. The </w:t>
      </w:r>
      <w:r w:rsidR="00685BDE" w:rsidRPr="00B75B77">
        <w:t>onsite</w:t>
      </w:r>
      <w:r w:rsidRPr="00B75B77">
        <w:t xml:space="preserve"> efforts discovered one site where the amount of CFLs and </w:t>
      </w:r>
      <w:r w:rsidR="00F121BD" w:rsidRPr="00B75B77">
        <w:t xml:space="preserve">low-flow faucet aerators </w:t>
      </w:r>
      <w:r w:rsidRPr="00B75B77">
        <w:t>found in the property’s common area was less than reported in the tracking data. Additionally, through visiting a sub</w:t>
      </w:r>
      <w:r w:rsidR="00223995" w:rsidRPr="00B75B77">
        <w:t>-</w:t>
      </w:r>
      <w:r w:rsidRPr="00B75B77">
        <w:t xml:space="preserve">sample of dwelling units within the property, </w:t>
      </w:r>
      <w:r w:rsidR="005445EA" w:rsidRPr="00B75B77">
        <w:t xml:space="preserve">the evaluation team </w:t>
      </w:r>
      <w:r w:rsidRPr="00B75B77">
        <w:t xml:space="preserve">discovered three sites where the amount of CFLs found </w:t>
      </w:r>
      <w:r w:rsidR="00685BDE" w:rsidRPr="00B75B77">
        <w:t>onsite</w:t>
      </w:r>
      <w:r w:rsidRPr="00B75B77">
        <w:t xml:space="preserve"> w</w:t>
      </w:r>
      <w:r w:rsidR="005445EA" w:rsidRPr="00B75B77">
        <w:t>as</w:t>
      </w:r>
      <w:r w:rsidRPr="00B75B77">
        <w:t xml:space="preserve"> less than reported in the tracking data. The nonresidential gross impact evaluation achieved 4% relative precision at 85% confidence (well below the 15% target). </w:t>
      </w:r>
      <w:r w:rsidRPr="00B75B77">
        <w:fldChar w:fldCharType="begin"/>
      </w:r>
      <w:r w:rsidRPr="00B75B77">
        <w:instrText xml:space="preserve"> REF _Ref463416385 \h </w:instrText>
      </w:r>
      <w:r w:rsidR="00B75B77">
        <w:instrText xml:space="preserve"> \* MERGEFORMAT </w:instrText>
      </w:r>
      <w:r w:rsidRPr="00B75B77">
        <w:fldChar w:fldCharType="separate"/>
      </w:r>
      <w:r w:rsidR="0004016D" w:rsidRPr="00B75B77">
        <w:t xml:space="preserve">Table </w:t>
      </w:r>
      <w:r w:rsidR="0004016D">
        <w:rPr>
          <w:noProof/>
        </w:rPr>
        <w:t>14</w:t>
      </w:r>
      <w:r w:rsidR="0004016D" w:rsidRPr="00B75B77">
        <w:rPr>
          <w:noProof/>
        </w:rPr>
        <w:noBreakHyphen/>
      </w:r>
      <w:r w:rsidR="0004016D">
        <w:rPr>
          <w:noProof/>
        </w:rPr>
        <w:t>6</w:t>
      </w:r>
      <w:r w:rsidRPr="00B75B77">
        <w:fldChar w:fldCharType="end"/>
      </w:r>
      <w:r w:rsidRPr="00B75B77">
        <w:t xml:space="preserve"> provides the gross impact summary for the nonresidential sector demand savings.</w:t>
      </w:r>
    </w:p>
    <w:p w:rsidR="00BB039B" w:rsidRPr="00B75B77" w:rsidRDefault="00BB039B" w:rsidP="00BB039B">
      <w:pPr>
        <w:pStyle w:val="Source"/>
        <w:spacing w:after="120"/>
        <w:ind w:left="90" w:firstLine="0"/>
      </w:pPr>
    </w:p>
    <w:p w:rsidR="00BB039B" w:rsidRPr="00B75B77" w:rsidRDefault="00BB039B" w:rsidP="005445EA">
      <w:pPr>
        <w:pStyle w:val="Caption"/>
      </w:pPr>
      <w:bookmarkStart w:id="862" w:name="_Ref463416385"/>
      <w:bookmarkStart w:id="863" w:name="_Toc466413624"/>
      <w:r w:rsidRPr="00B75B77">
        <w:lastRenderedPageBreak/>
        <w:t xml:space="preserve">Table </w:t>
      </w:r>
      <w:fldSimple w:instr=" STYLEREF 1 \s ">
        <w:r w:rsidR="0004016D">
          <w:rPr>
            <w:noProof/>
          </w:rPr>
          <w:t>14</w:t>
        </w:r>
      </w:fldSimple>
      <w:r w:rsidR="00F1144C" w:rsidRPr="00B75B77">
        <w:noBreakHyphen/>
      </w:r>
      <w:fldSimple w:instr=" SEQ Table \* ARABIC \s 1 ">
        <w:r w:rsidR="0004016D">
          <w:rPr>
            <w:noProof/>
          </w:rPr>
          <w:t>6</w:t>
        </w:r>
      </w:fldSimple>
      <w:bookmarkEnd w:id="862"/>
      <w:r w:rsidRPr="00B75B77">
        <w:t>: PY7 Smart Multi</w:t>
      </w:r>
      <w:r w:rsidR="005445EA" w:rsidRPr="00B75B77">
        <w:t>-F</w:t>
      </w:r>
      <w:r w:rsidRPr="00B75B77">
        <w:t>amily Solutions Nonresidential Sector Summary of Evaluation Results for Demand</w:t>
      </w:r>
      <w:bookmarkEnd w:id="863"/>
    </w:p>
    <w:tbl>
      <w:tblPr>
        <w:tblW w:w="9355" w:type="dxa"/>
        <w:tblLook w:val="04A0" w:firstRow="1" w:lastRow="0" w:firstColumn="1" w:lastColumn="0" w:noHBand="0" w:noVBand="1"/>
      </w:tblPr>
      <w:tblGrid>
        <w:gridCol w:w="1615"/>
        <w:gridCol w:w="1620"/>
        <w:gridCol w:w="1350"/>
        <w:gridCol w:w="1800"/>
        <w:gridCol w:w="1260"/>
        <w:gridCol w:w="1710"/>
      </w:tblGrid>
      <w:tr w:rsidR="00BB039B" w:rsidRPr="00B75B77" w:rsidTr="00BB039B">
        <w:trPr>
          <w:divId w:val="521013796"/>
          <w:trHeight w:val="588"/>
        </w:trPr>
        <w:tc>
          <w:tcPr>
            <w:tcW w:w="1615"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BB039B" w:rsidRPr="00B75B77" w:rsidRDefault="00BB039B" w:rsidP="00FE1A79">
            <w:pPr>
              <w:keepNext/>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Stratum</w:t>
            </w:r>
          </w:p>
        </w:tc>
        <w:tc>
          <w:tcPr>
            <w:tcW w:w="1620"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BB039B" w:rsidRPr="00B75B77" w:rsidRDefault="00BB039B" w:rsidP="005445EA">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Reported Gross Demand Savings </w:t>
            </w:r>
            <w:r w:rsidRPr="00B75B77">
              <w:rPr>
                <w:rFonts w:ascii="Calibri" w:eastAsia="Times New Roman" w:hAnsi="Calibri"/>
                <w:b/>
                <w:bCs/>
                <w:color w:val="FFFFFF"/>
                <w:sz w:val="18"/>
                <w:szCs w:val="18"/>
              </w:rPr>
              <w:br/>
              <w:t>(MW)</w:t>
            </w:r>
            <w:r w:rsidRPr="00B75B77">
              <w:rPr>
                <w:rFonts w:ascii="Calibri" w:eastAsia="Times New Roman" w:hAnsi="Calibri"/>
                <w:b/>
                <w:bCs/>
                <w:color w:val="FFFFFF"/>
                <w:sz w:val="18"/>
                <w:szCs w:val="18"/>
                <w:vertAlign w:val="superscript"/>
              </w:rPr>
              <w:t>[1]</w:t>
            </w:r>
          </w:p>
        </w:tc>
        <w:tc>
          <w:tcPr>
            <w:tcW w:w="1350"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BB039B" w:rsidRPr="00B75B77" w:rsidRDefault="00BB039B" w:rsidP="005445EA">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Demand Realization Rate (%)</w:t>
            </w:r>
          </w:p>
        </w:tc>
        <w:tc>
          <w:tcPr>
            <w:tcW w:w="1800" w:type="dxa"/>
            <w:vMerge w:val="restart"/>
            <w:tcBorders>
              <w:top w:val="single" w:sz="4" w:space="0" w:color="auto"/>
              <w:left w:val="single" w:sz="4" w:space="0" w:color="auto"/>
              <w:bottom w:val="single" w:sz="4" w:space="0" w:color="auto"/>
              <w:right w:val="single" w:sz="4" w:space="0" w:color="448A99"/>
            </w:tcBorders>
            <w:shd w:val="clear" w:color="000000" w:fill="448A99"/>
            <w:vAlign w:val="center"/>
            <w:hideMark/>
          </w:tcPr>
          <w:p w:rsidR="00BB039B" w:rsidRPr="00B75B77" w:rsidRDefault="00BB039B" w:rsidP="005445EA">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Verified Gross Demand Savings (MW)</w:t>
            </w:r>
            <w:r w:rsidRPr="00B75B77">
              <w:rPr>
                <w:rFonts w:ascii="Calibri" w:eastAsia="Times New Roman" w:hAnsi="Calibri"/>
                <w:b/>
                <w:bCs/>
                <w:color w:val="FFFFFF"/>
                <w:sz w:val="18"/>
                <w:szCs w:val="18"/>
                <w:vertAlign w:val="superscript"/>
              </w:rPr>
              <w:t>[1]</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BB039B" w:rsidRPr="00B75B77" w:rsidRDefault="00BB039B" w:rsidP="005445EA">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Observed CV or Proportion in Sample Design</w:t>
            </w:r>
          </w:p>
        </w:tc>
        <w:tc>
          <w:tcPr>
            <w:tcW w:w="1710"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BB039B" w:rsidRPr="00B75B77" w:rsidRDefault="00BB039B" w:rsidP="00FE1A79">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Relative Precision at 85% </w:t>
            </w:r>
            <w:r w:rsidR="00FE1A79" w:rsidRPr="00B75B77">
              <w:rPr>
                <w:rFonts w:ascii="Calibri" w:eastAsia="Times New Roman" w:hAnsi="Calibri"/>
                <w:b/>
                <w:bCs/>
                <w:color w:val="FFFFFF"/>
                <w:sz w:val="18"/>
                <w:szCs w:val="18"/>
              </w:rPr>
              <w:t>Confidence Interval</w:t>
            </w:r>
          </w:p>
        </w:tc>
      </w:tr>
      <w:tr w:rsidR="00BB039B" w:rsidRPr="00B75B77" w:rsidTr="00BB039B">
        <w:trPr>
          <w:divId w:val="521013796"/>
          <w:trHeight w:val="288"/>
        </w:trPr>
        <w:tc>
          <w:tcPr>
            <w:tcW w:w="1615" w:type="dxa"/>
            <w:vMerge/>
            <w:tcBorders>
              <w:top w:val="single" w:sz="4" w:space="0" w:color="auto"/>
              <w:left w:val="single" w:sz="4" w:space="0" w:color="auto"/>
              <w:bottom w:val="single" w:sz="4" w:space="0" w:color="auto"/>
              <w:right w:val="single" w:sz="4" w:space="0" w:color="auto"/>
            </w:tcBorders>
            <w:vAlign w:val="center"/>
            <w:hideMark/>
          </w:tcPr>
          <w:p w:rsidR="00BB039B" w:rsidRPr="00B75B77" w:rsidRDefault="00BB039B" w:rsidP="005445EA">
            <w:pPr>
              <w:keepNext/>
              <w:jc w:val="left"/>
              <w:rPr>
                <w:rFonts w:ascii="Calibri" w:eastAsia="Times New Roman" w:hAnsi="Calibri"/>
                <w:b/>
                <w:bCs/>
                <w:color w:val="FFFFFF"/>
                <w:sz w:val="18"/>
                <w:szCs w:val="18"/>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BB039B" w:rsidRPr="00B75B77" w:rsidRDefault="00BB039B" w:rsidP="005445EA">
            <w:pPr>
              <w:keepNext/>
              <w:jc w:val="left"/>
              <w:rPr>
                <w:rFonts w:ascii="Calibri" w:eastAsia="Times New Roman" w:hAnsi="Calibri"/>
                <w:b/>
                <w:bCs/>
                <w:color w:val="FFFFFF"/>
                <w:sz w:val="18"/>
                <w:szCs w:val="18"/>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BB039B" w:rsidRPr="00B75B77" w:rsidRDefault="00BB039B" w:rsidP="005445EA">
            <w:pPr>
              <w:keepNext/>
              <w:jc w:val="left"/>
              <w:rPr>
                <w:rFonts w:ascii="Calibri" w:eastAsia="Times New Roman" w:hAnsi="Calibri"/>
                <w:b/>
                <w:bCs/>
                <w:color w:val="FFFFFF"/>
                <w:sz w:val="18"/>
                <w:szCs w:val="18"/>
              </w:rPr>
            </w:pPr>
          </w:p>
        </w:tc>
        <w:tc>
          <w:tcPr>
            <w:tcW w:w="1800" w:type="dxa"/>
            <w:vMerge/>
            <w:tcBorders>
              <w:top w:val="single" w:sz="4" w:space="0" w:color="auto"/>
              <w:left w:val="single" w:sz="4" w:space="0" w:color="auto"/>
              <w:bottom w:val="single" w:sz="4" w:space="0" w:color="auto"/>
              <w:right w:val="single" w:sz="4" w:space="0" w:color="448A99"/>
            </w:tcBorders>
            <w:vAlign w:val="center"/>
            <w:hideMark/>
          </w:tcPr>
          <w:p w:rsidR="00BB039B" w:rsidRPr="00B75B77" w:rsidRDefault="00BB039B" w:rsidP="005445EA">
            <w:pPr>
              <w:keepNext/>
              <w:jc w:val="left"/>
              <w:rPr>
                <w:rFonts w:ascii="Calibri" w:eastAsia="Times New Roman" w:hAnsi="Calibri"/>
                <w:b/>
                <w:bCs/>
                <w:color w:val="FFFFFF"/>
                <w:sz w:val="18"/>
                <w:szCs w:val="18"/>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BB039B" w:rsidRPr="00B75B77" w:rsidRDefault="00BB039B" w:rsidP="005445EA">
            <w:pPr>
              <w:keepNext/>
              <w:jc w:val="left"/>
              <w:rPr>
                <w:rFonts w:ascii="Calibri" w:eastAsia="Times New Roman" w:hAnsi="Calibri"/>
                <w:b/>
                <w:bCs/>
                <w:color w:val="FFFFFF"/>
                <w:sz w:val="18"/>
                <w:szCs w:val="18"/>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BB039B" w:rsidRPr="00B75B77" w:rsidRDefault="00BB039B" w:rsidP="005445EA">
            <w:pPr>
              <w:keepNext/>
              <w:jc w:val="left"/>
              <w:rPr>
                <w:rFonts w:ascii="Calibri" w:eastAsia="Times New Roman" w:hAnsi="Calibri"/>
                <w:b/>
                <w:bCs/>
                <w:color w:val="FFFFFF"/>
                <w:sz w:val="18"/>
                <w:szCs w:val="18"/>
              </w:rPr>
            </w:pPr>
          </w:p>
        </w:tc>
      </w:tr>
      <w:tr w:rsidR="00BB039B" w:rsidRPr="00B75B77" w:rsidTr="00BB039B">
        <w:trPr>
          <w:divId w:val="521013796"/>
          <w:trHeight w:val="300"/>
        </w:trPr>
        <w:tc>
          <w:tcPr>
            <w:tcW w:w="1615" w:type="dxa"/>
            <w:vMerge/>
            <w:tcBorders>
              <w:top w:val="single" w:sz="4" w:space="0" w:color="auto"/>
              <w:left w:val="single" w:sz="4" w:space="0" w:color="auto"/>
              <w:bottom w:val="single" w:sz="4" w:space="0" w:color="auto"/>
              <w:right w:val="single" w:sz="4" w:space="0" w:color="auto"/>
            </w:tcBorders>
            <w:vAlign w:val="center"/>
            <w:hideMark/>
          </w:tcPr>
          <w:p w:rsidR="00BB039B" w:rsidRPr="00B75B77" w:rsidRDefault="00BB039B" w:rsidP="005445EA">
            <w:pPr>
              <w:keepNext/>
              <w:jc w:val="left"/>
              <w:rPr>
                <w:rFonts w:ascii="Calibri" w:eastAsia="Times New Roman" w:hAnsi="Calibri"/>
                <w:b/>
                <w:bCs/>
                <w:color w:val="FFFFFF"/>
                <w:sz w:val="18"/>
                <w:szCs w:val="18"/>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BB039B" w:rsidRPr="00B75B77" w:rsidRDefault="00BB039B" w:rsidP="005445EA">
            <w:pPr>
              <w:keepNext/>
              <w:jc w:val="left"/>
              <w:rPr>
                <w:rFonts w:ascii="Calibri" w:eastAsia="Times New Roman" w:hAnsi="Calibri"/>
                <w:b/>
                <w:bCs/>
                <w:color w:val="FFFFFF"/>
                <w:sz w:val="18"/>
                <w:szCs w:val="18"/>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BB039B" w:rsidRPr="00B75B77" w:rsidRDefault="00BB039B" w:rsidP="005445EA">
            <w:pPr>
              <w:keepNext/>
              <w:jc w:val="left"/>
              <w:rPr>
                <w:rFonts w:ascii="Calibri" w:eastAsia="Times New Roman" w:hAnsi="Calibri"/>
                <w:b/>
                <w:bCs/>
                <w:color w:val="FFFFFF"/>
                <w:sz w:val="18"/>
                <w:szCs w:val="18"/>
              </w:rPr>
            </w:pPr>
          </w:p>
        </w:tc>
        <w:tc>
          <w:tcPr>
            <w:tcW w:w="1800" w:type="dxa"/>
            <w:vMerge/>
            <w:tcBorders>
              <w:top w:val="single" w:sz="4" w:space="0" w:color="auto"/>
              <w:left w:val="single" w:sz="4" w:space="0" w:color="auto"/>
              <w:bottom w:val="single" w:sz="4" w:space="0" w:color="auto"/>
              <w:right w:val="single" w:sz="4" w:space="0" w:color="448A99"/>
            </w:tcBorders>
            <w:vAlign w:val="center"/>
            <w:hideMark/>
          </w:tcPr>
          <w:p w:rsidR="00BB039B" w:rsidRPr="00B75B77" w:rsidRDefault="00BB039B" w:rsidP="005445EA">
            <w:pPr>
              <w:keepNext/>
              <w:jc w:val="left"/>
              <w:rPr>
                <w:rFonts w:ascii="Calibri" w:eastAsia="Times New Roman" w:hAnsi="Calibri"/>
                <w:b/>
                <w:bCs/>
                <w:color w:val="FFFFFF"/>
                <w:sz w:val="18"/>
                <w:szCs w:val="18"/>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BB039B" w:rsidRPr="00B75B77" w:rsidRDefault="00BB039B" w:rsidP="005445EA">
            <w:pPr>
              <w:keepNext/>
              <w:jc w:val="left"/>
              <w:rPr>
                <w:rFonts w:ascii="Calibri" w:eastAsia="Times New Roman" w:hAnsi="Calibri"/>
                <w:b/>
                <w:bCs/>
                <w:color w:val="FFFFFF"/>
                <w:sz w:val="18"/>
                <w:szCs w:val="18"/>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BB039B" w:rsidRPr="00B75B77" w:rsidRDefault="00BB039B" w:rsidP="005445EA">
            <w:pPr>
              <w:keepNext/>
              <w:jc w:val="left"/>
              <w:rPr>
                <w:rFonts w:ascii="Calibri" w:eastAsia="Times New Roman" w:hAnsi="Calibri"/>
                <w:b/>
                <w:bCs/>
                <w:color w:val="FFFFFF"/>
                <w:sz w:val="18"/>
                <w:szCs w:val="18"/>
              </w:rPr>
            </w:pPr>
          </w:p>
        </w:tc>
      </w:tr>
      <w:tr w:rsidR="00BB039B" w:rsidRPr="00B75B77" w:rsidTr="00BB039B">
        <w:trPr>
          <w:divId w:val="521013796"/>
          <w:trHeight w:val="300"/>
        </w:trPr>
        <w:tc>
          <w:tcPr>
            <w:tcW w:w="1615" w:type="dxa"/>
            <w:tcBorders>
              <w:top w:val="nil"/>
              <w:left w:val="single" w:sz="4" w:space="0" w:color="448A99"/>
              <w:bottom w:val="single" w:sz="4" w:space="0" w:color="448A99"/>
              <w:right w:val="single" w:sz="4" w:space="0" w:color="448A99"/>
            </w:tcBorders>
            <w:shd w:val="clear" w:color="000000" w:fill="D2EAF1"/>
            <w:vAlign w:val="center"/>
            <w:hideMark/>
          </w:tcPr>
          <w:p w:rsidR="00BB039B" w:rsidRPr="00B75B77" w:rsidRDefault="00FE1A79" w:rsidP="00FE1A79">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Non-Res – Small</w:t>
            </w:r>
          </w:p>
        </w:tc>
        <w:tc>
          <w:tcPr>
            <w:tcW w:w="1620"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5445EA">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0.11</w:t>
            </w:r>
          </w:p>
        </w:tc>
        <w:tc>
          <w:tcPr>
            <w:tcW w:w="1350"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5445EA">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0.85</w:t>
            </w:r>
          </w:p>
        </w:tc>
        <w:tc>
          <w:tcPr>
            <w:tcW w:w="1800"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5445EA">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0.09</w:t>
            </w:r>
          </w:p>
        </w:tc>
        <w:tc>
          <w:tcPr>
            <w:tcW w:w="1260"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5445EA">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0.23</w:t>
            </w:r>
          </w:p>
        </w:tc>
        <w:tc>
          <w:tcPr>
            <w:tcW w:w="1710"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5445EA">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7%</w:t>
            </w:r>
          </w:p>
        </w:tc>
      </w:tr>
      <w:tr w:rsidR="00BB039B" w:rsidRPr="00B75B77" w:rsidTr="00BB039B">
        <w:trPr>
          <w:divId w:val="521013796"/>
          <w:trHeight w:val="300"/>
        </w:trPr>
        <w:tc>
          <w:tcPr>
            <w:tcW w:w="1615" w:type="dxa"/>
            <w:tcBorders>
              <w:top w:val="nil"/>
              <w:left w:val="single" w:sz="4" w:space="0" w:color="448A99"/>
              <w:bottom w:val="single" w:sz="4" w:space="0" w:color="448A99"/>
              <w:right w:val="single" w:sz="4" w:space="0" w:color="448A99"/>
            </w:tcBorders>
            <w:shd w:val="clear" w:color="000000" w:fill="FFFFFF"/>
            <w:vAlign w:val="center"/>
            <w:hideMark/>
          </w:tcPr>
          <w:p w:rsidR="00BB039B" w:rsidRPr="00B75B77" w:rsidRDefault="00FE1A79" w:rsidP="005445EA">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Non-Res – Medium/Large</w:t>
            </w:r>
          </w:p>
        </w:tc>
        <w:tc>
          <w:tcPr>
            <w:tcW w:w="1620" w:type="dxa"/>
            <w:tcBorders>
              <w:top w:val="nil"/>
              <w:left w:val="nil"/>
              <w:bottom w:val="single" w:sz="4" w:space="0" w:color="448A99"/>
              <w:right w:val="single" w:sz="4" w:space="0" w:color="448A99"/>
            </w:tcBorders>
            <w:shd w:val="clear" w:color="000000" w:fill="FFFFFF"/>
            <w:vAlign w:val="center"/>
            <w:hideMark/>
          </w:tcPr>
          <w:p w:rsidR="00BB039B" w:rsidRPr="00B75B77" w:rsidRDefault="00BB039B" w:rsidP="005445EA">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0.31</w:t>
            </w:r>
          </w:p>
        </w:tc>
        <w:tc>
          <w:tcPr>
            <w:tcW w:w="1350" w:type="dxa"/>
            <w:tcBorders>
              <w:top w:val="nil"/>
              <w:left w:val="nil"/>
              <w:bottom w:val="single" w:sz="4" w:space="0" w:color="448A99"/>
              <w:right w:val="single" w:sz="4" w:space="0" w:color="448A99"/>
            </w:tcBorders>
            <w:shd w:val="clear" w:color="000000" w:fill="FFFFFF"/>
            <w:vAlign w:val="center"/>
            <w:hideMark/>
          </w:tcPr>
          <w:p w:rsidR="00BB039B" w:rsidRPr="00B75B77" w:rsidRDefault="00BB039B" w:rsidP="005445EA">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0.88</w:t>
            </w:r>
          </w:p>
        </w:tc>
        <w:tc>
          <w:tcPr>
            <w:tcW w:w="1800" w:type="dxa"/>
            <w:tcBorders>
              <w:top w:val="nil"/>
              <w:left w:val="nil"/>
              <w:bottom w:val="single" w:sz="4" w:space="0" w:color="448A99"/>
              <w:right w:val="single" w:sz="4" w:space="0" w:color="448A99"/>
            </w:tcBorders>
            <w:shd w:val="clear" w:color="000000" w:fill="FFFFFF"/>
            <w:vAlign w:val="center"/>
            <w:hideMark/>
          </w:tcPr>
          <w:p w:rsidR="00BB039B" w:rsidRPr="00B75B77" w:rsidRDefault="00BB039B" w:rsidP="005445EA">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0.28</w:t>
            </w:r>
          </w:p>
        </w:tc>
        <w:tc>
          <w:tcPr>
            <w:tcW w:w="1260" w:type="dxa"/>
            <w:tcBorders>
              <w:top w:val="nil"/>
              <w:left w:val="nil"/>
              <w:bottom w:val="single" w:sz="4" w:space="0" w:color="448A99"/>
              <w:right w:val="single" w:sz="4" w:space="0" w:color="448A99"/>
            </w:tcBorders>
            <w:shd w:val="clear" w:color="000000" w:fill="FFFFFF"/>
            <w:vAlign w:val="center"/>
            <w:hideMark/>
          </w:tcPr>
          <w:p w:rsidR="00BB039B" w:rsidRPr="00B75B77" w:rsidRDefault="00BB039B" w:rsidP="005445EA">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0.10</w:t>
            </w:r>
          </w:p>
        </w:tc>
        <w:tc>
          <w:tcPr>
            <w:tcW w:w="1710" w:type="dxa"/>
            <w:tcBorders>
              <w:top w:val="nil"/>
              <w:left w:val="nil"/>
              <w:bottom w:val="single" w:sz="4" w:space="0" w:color="448A99"/>
              <w:right w:val="single" w:sz="4" w:space="0" w:color="448A99"/>
            </w:tcBorders>
            <w:shd w:val="clear" w:color="000000" w:fill="FFFFFF"/>
            <w:vAlign w:val="center"/>
            <w:hideMark/>
          </w:tcPr>
          <w:p w:rsidR="00BB039B" w:rsidRPr="00B75B77" w:rsidRDefault="00BB039B" w:rsidP="005445EA">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5%</w:t>
            </w:r>
          </w:p>
        </w:tc>
      </w:tr>
      <w:tr w:rsidR="00BB039B" w:rsidRPr="00B75B77" w:rsidTr="00BB039B">
        <w:trPr>
          <w:divId w:val="521013796"/>
          <w:trHeight w:val="288"/>
        </w:trPr>
        <w:tc>
          <w:tcPr>
            <w:tcW w:w="1615" w:type="dxa"/>
            <w:tcBorders>
              <w:top w:val="nil"/>
              <w:left w:val="single" w:sz="4" w:space="0" w:color="448A99"/>
              <w:bottom w:val="single" w:sz="4" w:space="0" w:color="448A99"/>
              <w:right w:val="single" w:sz="4" w:space="0" w:color="448A99"/>
            </w:tcBorders>
            <w:shd w:val="clear" w:color="000000" w:fill="D2EAF1"/>
            <w:vAlign w:val="center"/>
            <w:hideMark/>
          </w:tcPr>
          <w:p w:rsidR="00BB039B" w:rsidRPr="00B75B77" w:rsidRDefault="00BB039B" w:rsidP="005445EA">
            <w:pPr>
              <w:keepNext/>
              <w:jc w:val="left"/>
              <w:rPr>
                <w:rFonts w:ascii="Calibri" w:eastAsia="Times New Roman" w:hAnsi="Calibri"/>
                <w:b/>
                <w:color w:val="000000"/>
                <w:sz w:val="18"/>
                <w:szCs w:val="18"/>
              </w:rPr>
            </w:pPr>
            <w:r w:rsidRPr="00B75B77">
              <w:rPr>
                <w:rFonts w:ascii="Calibri" w:eastAsia="Times New Roman" w:hAnsi="Calibri"/>
                <w:b/>
                <w:color w:val="000000"/>
                <w:sz w:val="18"/>
                <w:szCs w:val="18"/>
              </w:rPr>
              <w:t>PROGRAM TOTAL</w:t>
            </w:r>
          </w:p>
        </w:tc>
        <w:tc>
          <w:tcPr>
            <w:tcW w:w="1620"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5445EA">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0.42</w:t>
            </w:r>
          </w:p>
        </w:tc>
        <w:tc>
          <w:tcPr>
            <w:tcW w:w="1350"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5445EA">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0.88</w:t>
            </w:r>
          </w:p>
        </w:tc>
        <w:tc>
          <w:tcPr>
            <w:tcW w:w="1800"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5445EA">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0.37</w:t>
            </w:r>
          </w:p>
        </w:tc>
        <w:tc>
          <w:tcPr>
            <w:tcW w:w="1260"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5445EA">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0.16</w:t>
            </w:r>
          </w:p>
        </w:tc>
        <w:tc>
          <w:tcPr>
            <w:tcW w:w="1710"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5445EA">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4%</w:t>
            </w:r>
          </w:p>
        </w:tc>
      </w:tr>
    </w:tbl>
    <w:p w:rsidR="00BB039B" w:rsidRPr="00B75B77" w:rsidRDefault="00BB039B" w:rsidP="005445EA">
      <w:pPr>
        <w:pStyle w:val="Source"/>
        <w:keepNext/>
        <w:spacing w:before="20" w:after="20"/>
        <w:ind w:left="0" w:firstLine="0"/>
        <w:rPr>
          <w:rFonts w:ascii="Calibri" w:hAnsi="Calibri"/>
          <w:i w:val="0"/>
          <w:color w:val="000000"/>
          <w:szCs w:val="18"/>
        </w:rPr>
      </w:pPr>
      <w:r w:rsidRPr="00B75B77">
        <w:rPr>
          <w:rFonts w:ascii="Calibri" w:hAnsi="Calibri"/>
          <w:i w:val="0"/>
          <w:color w:val="000000"/>
          <w:szCs w:val="18"/>
          <w:vertAlign w:val="superscript"/>
        </w:rPr>
        <w:t>[1]</w:t>
      </w:r>
      <w:r w:rsidRPr="00B75B77">
        <w:rPr>
          <w:rFonts w:ascii="Calibri" w:hAnsi="Calibri"/>
          <w:i w:val="0"/>
          <w:color w:val="000000"/>
          <w:szCs w:val="18"/>
        </w:rPr>
        <w:t xml:space="preserve"> All reported and verified demand savings in this report include line losses as required.</w:t>
      </w:r>
    </w:p>
    <w:p w:rsidR="00BB039B" w:rsidRPr="00B75B77" w:rsidRDefault="00BB039B" w:rsidP="005445EA">
      <w:pPr>
        <w:pStyle w:val="Source"/>
        <w:keepNext/>
        <w:spacing w:before="20" w:after="20"/>
        <w:ind w:left="0" w:firstLine="0"/>
        <w:rPr>
          <w:i w:val="0"/>
        </w:rPr>
      </w:pPr>
      <w:r w:rsidRPr="00B75B77">
        <w:rPr>
          <w:rFonts w:ascii="Calibri" w:hAnsi="Calibri"/>
          <w:i w:val="0"/>
          <w:iCs/>
          <w:color w:val="000000"/>
          <w:szCs w:val="18"/>
        </w:rPr>
        <w:t xml:space="preserve">Note: Values in tables may not reconcile exactly </w:t>
      </w:r>
      <w:r w:rsidR="00493C06" w:rsidRPr="00B75B77">
        <w:rPr>
          <w:rFonts w:ascii="Calibri" w:hAnsi="Calibri"/>
          <w:i w:val="0"/>
          <w:iCs/>
          <w:color w:val="000000"/>
          <w:szCs w:val="18"/>
        </w:rPr>
        <w:t>with the sum of</w:t>
      </w:r>
      <w:r w:rsidRPr="00B75B77">
        <w:rPr>
          <w:rFonts w:ascii="Calibri" w:hAnsi="Calibri"/>
          <w:i w:val="0"/>
          <w:iCs/>
          <w:color w:val="000000"/>
          <w:szCs w:val="18"/>
        </w:rPr>
        <w:t xml:space="preserve"> more detailed level results or previously reported results due to rounding.</w:t>
      </w:r>
    </w:p>
    <w:p w:rsidR="00BB039B" w:rsidRPr="00B75B77" w:rsidRDefault="00BB039B" w:rsidP="005445EA">
      <w:pPr>
        <w:pStyle w:val="Source"/>
        <w:ind w:hanging="720"/>
      </w:pPr>
      <w:r w:rsidRPr="00B75B77">
        <w:t>Source: Navigant analysis</w:t>
      </w:r>
    </w:p>
    <w:p w:rsidR="00BB039B" w:rsidRPr="00B75B77" w:rsidRDefault="00BB039B" w:rsidP="00220859">
      <w:r w:rsidRPr="00B75B77">
        <w:t xml:space="preserve">In PY7, the evaluation </w:t>
      </w:r>
      <w:r w:rsidR="005445EA" w:rsidRPr="00B75B77">
        <w:t xml:space="preserve">team </w:t>
      </w:r>
      <w:r w:rsidRPr="00B75B77">
        <w:t xml:space="preserve">completed 15 </w:t>
      </w:r>
      <w:r w:rsidR="00685BDE" w:rsidRPr="00B75B77">
        <w:t>onsite</w:t>
      </w:r>
      <w:r w:rsidRPr="00B75B77">
        <w:t xml:space="preserve"> visits as enhanced gross verification sample points. </w:t>
      </w:r>
      <w:r w:rsidR="005445EA" w:rsidRPr="00B75B77">
        <w:t>The team visited s</w:t>
      </w:r>
      <w:r w:rsidRPr="00B75B77">
        <w:t xml:space="preserve">ix sites in the nonresidential sector and nine sites in the residential sector. The evaluation plan called for </w:t>
      </w:r>
      <w:r w:rsidR="005445EA" w:rsidRPr="00B75B77">
        <w:t xml:space="preserve">10 </w:t>
      </w:r>
      <w:r w:rsidRPr="00B75B77">
        <w:t>sites in the residential sector</w:t>
      </w:r>
      <w:r w:rsidR="005445EA" w:rsidRPr="00B75B77">
        <w:t>;</w:t>
      </w:r>
      <w:r w:rsidRPr="00B75B77">
        <w:t xml:space="preserve"> however</w:t>
      </w:r>
      <w:r w:rsidR="005445EA" w:rsidRPr="00B75B77">
        <w:t>,</w:t>
      </w:r>
      <w:r w:rsidRPr="00B75B77">
        <w:t xml:space="preserve"> </w:t>
      </w:r>
      <w:r w:rsidR="00FE1A79" w:rsidRPr="00B75B77">
        <w:t xml:space="preserve">the evaluation team dropped </w:t>
      </w:r>
      <w:r w:rsidRPr="00B75B77">
        <w:t xml:space="preserve">one site from </w:t>
      </w:r>
      <w:r w:rsidR="00FE1A79" w:rsidRPr="00B75B77">
        <w:t xml:space="preserve">the </w:t>
      </w:r>
      <w:r w:rsidRPr="00B75B77">
        <w:t>analysis because the participant had recently moved within the same property and the</w:t>
      </w:r>
      <w:r w:rsidR="00DE384F" w:rsidRPr="00B75B77">
        <w:t xml:space="preserve"> evaluation </w:t>
      </w:r>
      <w:r w:rsidRPr="00B75B77">
        <w:t xml:space="preserve">team visited the new address. Within the nonresidential sites all common area measures were verified as well as a sample of units within </w:t>
      </w:r>
      <w:r w:rsidR="00FE1A79" w:rsidRPr="00B75B77">
        <w:t xml:space="preserve">the </w:t>
      </w:r>
      <w:r w:rsidRPr="00B75B77">
        <w:t xml:space="preserve">dwellings. In the residential sector, </w:t>
      </w:r>
      <w:r w:rsidR="00FE1A79" w:rsidRPr="00B75B77">
        <w:t xml:space="preserve">the team found </w:t>
      </w:r>
      <w:r w:rsidRPr="00B75B77">
        <w:t>two sites with discrepancies, where the number of CFLs reported in the tracking data did not match the number of CFLs found onsite. In the nonresidential sector, four sites were found with discrepancies</w:t>
      </w:r>
      <w:r w:rsidR="00FE1A79" w:rsidRPr="00B75B77">
        <w:t>:</w:t>
      </w:r>
      <w:r w:rsidRPr="00B75B77">
        <w:t xml:space="preserve"> </w:t>
      </w:r>
      <w:r w:rsidR="00FE1A79" w:rsidRPr="00B75B77">
        <w:t>o</w:t>
      </w:r>
      <w:r w:rsidRPr="00B75B77">
        <w:t xml:space="preserve">ne nonresidential site where the amount of CFLs and </w:t>
      </w:r>
      <w:r w:rsidR="00F121BD" w:rsidRPr="00B75B77">
        <w:t>low-flow faucet aerators</w:t>
      </w:r>
      <w:r w:rsidRPr="00B75B77">
        <w:t xml:space="preserve"> found in the property’s common area was less than reported in the tracking data and three sites where the amount of CFLs found within dwelling units w</w:t>
      </w:r>
      <w:r w:rsidR="00FE1A79" w:rsidRPr="00B75B77">
        <w:t>as</w:t>
      </w:r>
      <w:r w:rsidRPr="00B75B77">
        <w:t xml:space="preserve"> less than reported in the tracking data. </w:t>
      </w:r>
      <w:r w:rsidRPr="00B75B77">
        <w:fldChar w:fldCharType="begin"/>
      </w:r>
      <w:r w:rsidRPr="00B75B77">
        <w:instrText xml:space="preserve"> REF _Ref463416885 \h </w:instrText>
      </w:r>
      <w:r w:rsidR="00B75B77">
        <w:instrText xml:space="preserve"> \* MERGEFORMAT </w:instrText>
      </w:r>
      <w:r w:rsidRPr="00B75B77">
        <w:fldChar w:fldCharType="separate"/>
      </w:r>
      <w:r w:rsidR="0004016D" w:rsidRPr="00B75B77">
        <w:t xml:space="preserve">Table </w:t>
      </w:r>
      <w:r w:rsidR="0004016D">
        <w:rPr>
          <w:noProof/>
        </w:rPr>
        <w:t>14</w:t>
      </w:r>
      <w:r w:rsidR="0004016D" w:rsidRPr="00B75B77">
        <w:rPr>
          <w:noProof/>
        </w:rPr>
        <w:noBreakHyphen/>
      </w:r>
      <w:r w:rsidR="0004016D">
        <w:rPr>
          <w:noProof/>
        </w:rPr>
        <w:t>7</w:t>
      </w:r>
      <w:r w:rsidRPr="00B75B77">
        <w:fldChar w:fldCharType="end"/>
      </w:r>
      <w:r w:rsidRPr="00B75B77">
        <w:t xml:space="preserve"> summarizes these findings.</w:t>
      </w:r>
    </w:p>
    <w:p w:rsidR="00BB039B" w:rsidRPr="00B75B77" w:rsidRDefault="00BB039B" w:rsidP="00BB039B"/>
    <w:p w:rsidR="00BB039B" w:rsidRPr="00B75B77" w:rsidRDefault="00BB039B" w:rsidP="00BB039B">
      <w:pPr>
        <w:pStyle w:val="Caption"/>
      </w:pPr>
      <w:bookmarkStart w:id="864" w:name="_Ref463416885"/>
      <w:bookmarkStart w:id="865" w:name="_Toc466413625"/>
      <w:r w:rsidRPr="00B75B77">
        <w:t xml:space="preserve">Table </w:t>
      </w:r>
      <w:fldSimple w:instr=" STYLEREF 1 \s ">
        <w:r w:rsidR="0004016D">
          <w:rPr>
            <w:noProof/>
          </w:rPr>
          <w:t>14</w:t>
        </w:r>
      </w:fldSimple>
      <w:r w:rsidR="00F1144C" w:rsidRPr="00B75B77">
        <w:noBreakHyphen/>
      </w:r>
      <w:fldSimple w:instr=" SEQ Table \* ARABIC \s 1 ">
        <w:r w:rsidR="0004016D">
          <w:rPr>
            <w:noProof/>
          </w:rPr>
          <w:t>7</w:t>
        </w:r>
      </w:fldSimple>
      <w:bookmarkEnd w:id="864"/>
      <w:r w:rsidR="005679D7" w:rsidRPr="00B75B77">
        <w:t>:</w:t>
      </w:r>
      <w:r w:rsidRPr="00B75B77">
        <w:t xml:space="preserve"> PY7 Smart </w:t>
      </w:r>
      <w:r w:rsidR="005679D7" w:rsidRPr="00B75B77">
        <w:t>Multi-Family</w:t>
      </w:r>
      <w:r w:rsidRPr="00B75B77">
        <w:t xml:space="preserve"> Solutions On</w:t>
      </w:r>
      <w:r w:rsidR="00FE1A79" w:rsidRPr="00B75B77">
        <w:t>s</w:t>
      </w:r>
      <w:r w:rsidRPr="00B75B77">
        <w:t>ite Inspections Summary</w:t>
      </w:r>
      <w:bookmarkEnd w:id="865"/>
      <w:r w:rsidRPr="00B75B77">
        <w:t xml:space="preserve"> </w:t>
      </w:r>
    </w:p>
    <w:tbl>
      <w:tblPr>
        <w:tblW w:w="8616" w:type="dxa"/>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CellMar>
          <w:left w:w="0" w:type="dxa"/>
          <w:right w:w="0" w:type="dxa"/>
        </w:tblCellMar>
        <w:tblLook w:val="04A0" w:firstRow="1" w:lastRow="0" w:firstColumn="1" w:lastColumn="0" w:noHBand="0" w:noVBand="1"/>
      </w:tblPr>
      <w:tblGrid>
        <w:gridCol w:w="2042"/>
        <w:gridCol w:w="1080"/>
        <w:gridCol w:w="1080"/>
        <w:gridCol w:w="1080"/>
        <w:gridCol w:w="1260"/>
        <w:gridCol w:w="2074"/>
      </w:tblGrid>
      <w:tr w:rsidR="00BB039B" w:rsidRPr="00B75B77" w:rsidTr="00BB039B">
        <w:trPr>
          <w:trHeight w:val="898"/>
        </w:trPr>
        <w:tc>
          <w:tcPr>
            <w:tcW w:w="2042" w:type="dxa"/>
            <w:tcBorders>
              <w:top w:val="single" w:sz="4" w:space="0" w:color="auto"/>
              <w:left w:val="single" w:sz="4" w:space="0" w:color="auto"/>
              <w:bottom w:val="single" w:sz="4" w:space="0" w:color="auto"/>
              <w:right w:val="single" w:sz="4" w:space="0" w:color="auto"/>
            </w:tcBorders>
            <w:shd w:val="clear" w:color="auto" w:fill="448A99"/>
            <w:tcMar>
              <w:top w:w="0" w:type="dxa"/>
              <w:left w:w="108" w:type="dxa"/>
              <w:bottom w:w="0" w:type="dxa"/>
              <w:right w:w="108" w:type="dxa"/>
            </w:tcMar>
            <w:vAlign w:val="center"/>
            <w:hideMark/>
          </w:tcPr>
          <w:p w:rsidR="00BB039B" w:rsidRPr="00B75B77" w:rsidRDefault="00BB039B">
            <w:r w:rsidRPr="00B75B77">
              <w:rPr>
                <w:rFonts w:ascii="Calibri" w:hAnsi="Calibri"/>
                <w:b/>
                <w:bCs/>
                <w:color w:val="FFFFFF"/>
                <w:sz w:val="18"/>
                <w:szCs w:val="18"/>
              </w:rPr>
              <w:t>Measure</w:t>
            </w:r>
          </w:p>
        </w:tc>
        <w:tc>
          <w:tcPr>
            <w:tcW w:w="1080" w:type="dxa"/>
            <w:tcBorders>
              <w:top w:val="single" w:sz="4" w:space="0" w:color="auto"/>
              <w:left w:val="single" w:sz="4" w:space="0" w:color="auto"/>
              <w:bottom w:val="single" w:sz="4" w:space="0" w:color="auto"/>
              <w:right w:val="single" w:sz="4" w:space="0" w:color="auto"/>
            </w:tcBorders>
            <w:shd w:val="clear" w:color="auto" w:fill="448A99"/>
            <w:tcMar>
              <w:top w:w="0" w:type="dxa"/>
              <w:left w:w="108" w:type="dxa"/>
              <w:bottom w:w="0" w:type="dxa"/>
              <w:right w:w="108" w:type="dxa"/>
            </w:tcMar>
            <w:vAlign w:val="center"/>
            <w:hideMark/>
          </w:tcPr>
          <w:p w:rsidR="00BB039B" w:rsidRPr="00B75B77" w:rsidRDefault="00BB039B">
            <w:pPr>
              <w:jc w:val="center"/>
            </w:pPr>
            <w:r w:rsidRPr="00B75B77">
              <w:rPr>
                <w:rFonts w:ascii="Calibri" w:hAnsi="Calibri"/>
                <w:b/>
                <w:bCs/>
                <w:color w:val="FFFFFF"/>
                <w:sz w:val="18"/>
                <w:szCs w:val="18"/>
              </w:rPr>
              <w:t>Inspection Firm</w:t>
            </w:r>
          </w:p>
        </w:tc>
        <w:tc>
          <w:tcPr>
            <w:tcW w:w="1080" w:type="dxa"/>
            <w:tcBorders>
              <w:top w:val="single" w:sz="4" w:space="0" w:color="auto"/>
              <w:left w:val="single" w:sz="4" w:space="0" w:color="auto"/>
              <w:bottom w:val="single" w:sz="4" w:space="0" w:color="auto"/>
              <w:right w:val="single" w:sz="4" w:space="0" w:color="auto"/>
            </w:tcBorders>
            <w:shd w:val="clear" w:color="auto" w:fill="448A99"/>
            <w:tcMar>
              <w:top w:w="0" w:type="dxa"/>
              <w:left w:w="108" w:type="dxa"/>
              <w:bottom w:w="0" w:type="dxa"/>
              <w:right w:w="108" w:type="dxa"/>
            </w:tcMar>
            <w:vAlign w:val="center"/>
            <w:hideMark/>
          </w:tcPr>
          <w:p w:rsidR="00BB039B" w:rsidRPr="00B75B77" w:rsidRDefault="00BB039B">
            <w:pPr>
              <w:jc w:val="center"/>
            </w:pPr>
            <w:r w:rsidRPr="00B75B77">
              <w:rPr>
                <w:rFonts w:ascii="Calibri" w:hAnsi="Calibri"/>
                <w:b/>
                <w:bCs/>
                <w:color w:val="FFFFFF"/>
                <w:sz w:val="18"/>
                <w:szCs w:val="18"/>
              </w:rPr>
              <w:t>Number of Inspections Planned</w:t>
            </w:r>
          </w:p>
        </w:tc>
        <w:tc>
          <w:tcPr>
            <w:tcW w:w="1080" w:type="dxa"/>
            <w:tcBorders>
              <w:top w:val="single" w:sz="4" w:space="0" w:color="auto"/>
              <w:left w:val="single" w:sz="4" w:space="0" w:color="auto"/>
              <w:bottom w:val="single" w:sz="4" w:space="0" w:color="auto"/>
              <w:right w:val="single" w:sz="4" w:space="0" w:color="auto"/>
            </w:tcBorders>
            <w:shd w:val="clear" w:color="auto" w:fill="448A99"/>
            <w:tcMar>
              <w:top w:w="0" w:type="dxa"/>
              <w:left w:w="108" w:type="dxa"/>
              <w:bottom w:w="0" w:type="dxa"/>
              <w:right w:w="108" w:type="dxa"/>
            </w:tcMar>
            <w:vAlign w:val="center"/>
            <w:hideMark/>
          </w:tcPr>
          <w:p w:rsidR="00BB039B" w:rsidRPr="00B75B77" w:rsidRDefault="00BB039B">
            <w:pPr>
              <w:jc w:val="center"/>
            </w:pPr>
            <w:r w:rsidRPr="00B75B77">
              <w:rPr>
                <w:rFonts w:ascii="Calibri" w:hAnsi="Calibri"/>
                <w:b/>
                <w:bCs/>
                <w:color w:val="FFFFFF"/>
                <w:sz w:val="18"/>
                <w:szCs w:val="18"/>
              </w:rPr>
              <w:t>Number of Inspections Conducted</w:t>
            </w:r>
          </w:p>
        </w:tc>
        <w:tc>
          <w:tcPr>
            <w:tcW w:w="1260" w:type="dxa"/>
            <w:tcBorders>
              <w:top w:val="single" w:sz="4" w:space="0" w:color="auto"/>
              <w:left w:val="single" w:sz="4" w:space="0" w:color="auto"/>
              <w:bottom w:val="single" w:sz="4" w:space="0" w:color="auto"/>
              <w:right w:val="single" w:sz="4" w:space="0" w:color="auto"/>
            </w:tcBorders>
            <w:shd w:val="clear" w:color="auto" w:fill="448A99"/>
            <w:tcMar>
              <w:top w:w="0" w:type="dxa"/>
              <w:left w:w="108" w:type="dxa"/>
              <w:bottom w:w="0" w:type="dxa"/>
              <w:right w:w="108" w:type="dxa"/>
            </w:tcMar>
            <w:vAlign w:val="center"/>
            <w:hideMark/>
          </w:tcPr>
          <w:p w:rsidR="00BB039B" w:rsidRPr="00B75B77" w:rsidRDefault="00BB039B">
            <w:pPr>
              <w:jc w:val="center"/>
            </w:pPr>
            <w:r w:rsidRPr="00B75B77">
              <w:rPr>
                <w:rFonts w:ascii="Calibri" w:hAnsi="Calibri"/>
                <w:b/>
                <w:bCs/>
                <w:color w:val="FFFFFF"/>
                <w:sz w:val="18"/>
                <w:szCs w:val="18"/>
              </w:rPr>
              <w:t>Number of Sites with Discrepancies from Reports</w:t>
            </w:r>
          </w:p>
        </w:tc>
        <w:tc>
          <w:tcPr>
            <w:tcW w:w="2074" w:type="dxa"/>
            <w:tcBorders>
              <w:top w:val="single" w:sz="4" w:space="0" w:color="auto"/>
              <w:left w:val="single" w:sz="4" w:space="0" w:color="auto"/>
              <w:bottom w:val="single" w:sz="4" w:space="0" w:color="auto"/>
              <w:right w:val="single" w:sz="4" w:space="0" w:color="auto"/>
            </w:tcBorders>
            <w:shd w:val="clear" w:color="auto" w:fill="448A99"/>
            <w:tcMar>
              <w:top w:w="0" w:type="dxa"/>
              <w:left w:w="108" w:type="dxa"/>
              <w:bottom w:w="0" w:type="dxa"/>
              <w:right w:w="108" w:type="dxa"/>
            </w:tcMar>
            <w:vAlign w:val="center"/>
            <w:hideMark/>
          </w:tcPr>
          <w:p w:rsidR="00BB039B" w:rsidRPr="00B75B77" w:rsidRDefault="00BB039B" w:rsidP="00FE1A79">
            <w:pPr>
              <w:jc w:val="left"/>
            </w:pPr>
            <w:r w:rsidRPr="00B75B77">
              <w:rPr>
                <w:rFonts w:ascii="Calibri" w:hAnsi="Calibri"/>
                <w:b/>
                <w:bCs/>
                <w:color w:val="FFFFFF"/>
                <w:sz w:val="18"/>
                <w:szCs w:val="18"/>
              </w:rPr>
              <w:t>Resolution of Discrepancies</w:t>
            </w:r>
          </w:p>
        </w:tc>
      </w:tr>
      <w:tr w:rsidR="00BB039B" w:rsidRPr="00B75B77" w:rsidTr="00BB039B">
        <w:trPr>
          <w:trHeight w:val="534"/>
        </w:trPr>
        <w:tc>
          <w:tcPr>
            <w:tcW w:w="2042" w:type="dxa"/>
            <w:tcBorders>
              <w:top w:val="single" w:sz="4" w:space="0" w:color="auto"/>
            </w:tcBorders>
            <w:shd w:val="clear" w:color="auto" w:fill="D2EAF1"/>
            <w:tcMar>
              <w:top w:w="0" w:type="dxa"/>
              <w:left w:w="108" w:type="dxa"/>
              <w:bottom w:w="0" w:type="dxa"/>
              <w:right w:w="108" w:type="dxa"/>
            </w:tcMar>
            <w:vAlign w:val="center"/>
            <w:hideMark/>
          </w:tcPr>
          <w:p w:rsidR="00BB039B" w:rsidRPr="00B75B77" w:rsidRDefault="00BB039B" w:rsidP="00BB039B">
            <w:pPr>
              <w:jc w:val="left"/>
            </w:pPr>
            <w:r w:rsidRPr="00B75B77">
              <w:rPr>
                <w:rFonts w:ascii="Calibri" w:hAnsi="Calibri"/>
                <w:b/>
                <w:color w:val="000000"/>
                <w:sz w:val="18"/>
                <w:szCs w:val="18"/>
              </w:rPr>
              <w:t>Residential:</w:t>
            </w:r>
            <w:r w:rsidRPr="00B75B77">
              <w:rPr>
                <w:rFonts w:ascii="Calibri" w:hAnsi="Calibri"/>
                <w:color w:val="000000"/>
                <w:sz w:val="18"/>
                <w:szCs w:val="18"/>
              </w:rPr>
              <w:t xml:space="preserve"> CFL, Low-Flow Faucet Aerator, Low-Flow Showerhead</w:t>
            </w:r>
          </w:p>
        </w:tc>
        <w:tc>
          <w:tcPr>
            <w:tcW w:w="1080" w:type="dxa"/>
            <w:tcBorders>
              <w:top w:val="single" w:sz="4" w:space="0" w:color="auto"/>
            </w:tcBorders>
            <w:shd w:val="clear" w:color="auto" w:fill="D2EAF1"/>
            <w:tcMar>
              <w:top w:w="0" w:type="dxa"/>
              <w:left w:w="108" w:type="dxa"/>
              <w:bottom w:w="0" w:type="dxa"/>
              <w:right w:w="108" w:type="dxa"/>
            </w:tcMar>
            <w:vAlign w:val="center"/>
            <w:hideMark/>
          </w:tcPr>
          <w:p w:rsidR="00BB039B" w:rsidRPr="00B75B77" w:rsidRDefault="00BB039B">
            <w:pPr>
              <w:jc w:val="center"/>
            </w:pPr>
            <w:r w:rsidRPr="00B75B77">
              <w:rPr>
                <w:rFonts w:ascii="Calibri" w:hAnsi="Calibri"/>
                <w:color w:val="000000"/>
                <w:sz w:val="18"/>
                <w:szCs w:val="18"/>
              </w:rPr>
              <w:t xml:space="preserve">Navigant </w:t>
            </w:r>
            <w:r w:rsidR="00FE1A79" w:rsidRPr="00B75B77">
              <w:rPr>
                <w:rFonts w:ascii="Calibri" w:hAnsi="Calibri"/>
                <w:color w:val="000000"/>
                <w:sz w:val="18"/>
                <w:szCs w:val="18"/>
              </w:rPr>
              <w:t>and</w:t>
            </w:r>
            <w:r w:rsidRPr="00B75B77">
              <w:rPr>
                <w:rFonts w:ascii="Calibri" w:hAnsi="Calibri"/>
                <w:color w:val="000000"/>
                <w:sz w:val="18"/>
                <w:szCs w:val="18"/>
              </w:rPr>
              <w:t xml:space="preserve"> </w:t>
            </w:r>
            <w:proofErr w:type="spellStart"/>
            <w:r w:rsidRPr="00B75B77">
              <w:rPr>
                <w:rFonts w:ascii="Calibri" w:hAnsi="Calibri"/>
                <w:color w:val="000000"/>
                <w:sz w:val="18"/>
                <w:szCs w:val="18"/>
              </w:rPr>
              <w:t>Mondre</w:t>
            </w:r>
            <w:proofErr w:type="spellEnd"/>
            <w:r w:rsidRPr="00B75B77">
              <w:rPr>
                <w:rFonts w:ascii="Calibri" w:hAnsi="Calibri"/>
                <w:color w:val="000000"/>
                <w:sz w:val="18"/>
                <w:szCs w:val="18"/>
              </w:rPr>
              <w:t xml:space="preserve"> Energy</w:t>
            </w:r>
          </w:p>
        </w:tc>
        <w:tc>
          <w:tcPr>
            <w:tcW w:w="1080" w:type="dxa"/>
            <w:tcBorders>
              <w:top w:val="single" w:sz="4" w:space="0" w:color="auto"/>
            </w:tcBorders>
            <w:shd w:val="clear" w:color="auto" w:fill="D2EAF1"/>
            <w:tcMar>
              <w:top w:w="0" w:type="dxa"/>
              <w:left w:w="108" w:type="dxa"/>
              <w:bottom w:w="0" w:type="dxa"/>
              <w:right w:w="108" w:type="dxa"/>
            </w:tcMar>
            <w:vAlign w:val="center"/>
            <w:hideMark/>
          </w:tcPr>
          <w:p w:rsidR="00BB039B" w:rsidRPr="00B75B77" w:rsidRDefault="00BB039B">
            <w:pPr>
              <w:jc w:val="center"/>
            </w:pPr>
            <w:r w:rsidRPr="00B75B77">
              <w:rPr>
                <w:rFonts w:ascii="Calibri" w:hAnsi="Calibri"/>
                <w:color w:val="000000"/>
                <w:sz w:val="18"/>
                <w:szCs w:val="18"/>
              </w:rPr>
              <w:t>10</w:t>
            </w:r>
          </w:p>
        </w:tc>
        <w:tc>
          <w:tcPr>
            <w:tcW w:w="1080" w:type="dxa"/>
            <w:tcBorders>
              <w:top w:val="single" w:sz="4" w:space="0" w:color="auto"/>
            </w:tcBorders>
            <w:shd w:val="clear" w:color="auto" w:fill="D2EAF1"/>
            <w:tcMar>
              <w:top w:w="0" w:type="dxa"/>
              <w:left w:w="108" w:type="dxa"/>
              <w:bottom w:w="0" w:type="dxa"/>
              <w:right w:w="108" w:type="dxa"/>
            </w:tcMar>
            <w:vAlign w:val="center"/>
            <w:hideMark/>
          </w:tcPr>
          <w:p w:rsidR="00BB039B" w:rsidRPr="00B75B77" w:rsidRDefault="00BB039B">
            <w:pPr>
              <w:jc w:val="center"/>
            </w:pPr>
            <w:r w:rsidRPr="00B75B77">
              <w:rPr>
                <w:rFonts w:ascii="Calibri" w:hAnsi="Calibri"/>
                <w:color w:val="000000"/>
                <w:sz w:val="18"/>
                <w:szCs w:val="18"/>
              </w:rPr>
              <w:t>9</w:t>
            </w:r>
          </w:p>
        </w:tc>
        <w:tc>
          <w:tcPr>
            <w:tcW w:w="1260" w:type="dxa"/>
            <w:tcBorders>
              <w:top w:val="single" w:sz="4" w:space="0" w:color="auto"/>
            </w:tcBorders>
            <w:shd w:val="clear" w:color="auto" w:fill="D2EAF1"/>
            <w:tcMar>
              <w:top w:w="0" w:type="dxa"/>
              <w:left w:w="108" w:type="dxa"/>
              <w:bottom w:w="0" w:type="dxa"/>
              <w:right w:w="108" w:type="dxa"/>
            </w:tcMar>
            <w:vAlign w:val="center"/>
            <w:hideMark/>
          </w:tcPr>
          <w:p w:rsidR="00BB039B" w:rsidRPr="00B75B77" w:rsidRDefault="00BB039B">
            <w:pPr>
              <w:jc w:val="center"/>
            </w:pPr>
            <w:r w:rsidRPr="00B75B77">
              <w:rPr>
                <w:rFonts w:ascii="Calibri" w:hAnsi="Calibri"/>
                <w:color w:val="000000"/>
                <w:sz w:val="18"/>
                <w:szCs w:val="18"/>
              </w:rPr>
              <w:t>2</w:t>
            </w:r>
          </w:p>
        </w:tc>
        <w:tc>
          <w:tcPr>
            <w:tcW w:w="2074" w:type="dxa"/>
            <w:tcBorders>
              <w:top w:val="single" w:sz="4" w:space="0" w:color="auto"/>
            </w:tcBorders>
            <w:shd w:val="clear" w:color="auto" w:fill="D2EAF1"/>
            <w:tcMar>
              <w:top w:w="0" w:type="dxa"/>
              <w:left w:w="108" w:type="dxa"/>
              <w:bottom w:w="0" w:type="dxa"/>
              <w:right w:w="108" w:type="dxa"/>
            </w:tcMar>
            <w:vAlign w:val="center"/>
            <w:hideMark/>
          </w:tcPr>
          <w:p w:rsidR="00BB039B" w:rsidRPr="00B75B77" w:rsidRDefault="00BB039B" w:rsidP="00FE1A79">
            <w:pPr>
              <w:jc w:val="left"/>
            </w:pPr>
            <w:r w:rsidRPr="00B75B77">
              <w:rPr>
                <w:rFonts w:ascii="Calibri" w:hAnsi="Calibri"/>
                <w:color w:val="000000"/>
                <w:sz w:val="18"/>
                <w:szCs w:val="18"/>
              </w:rPr>
              <w:t>DI measures removed after installation; No Action</w:t>
            </w:r>
          </w:p>
        </w:tc>
      </w:tr>
      <w:tr w:rsidR="00BB039B" w:rsidRPr="00B75B77" w:rsidTr="00BB039B">
        <w:trPr>
          <w:trHeight w:val="534"/>
        </w:trPr>
        <w:tc>
          <w:tcPr>
            <w:tcW w:w="2042" w:type="dxa"/>
            <w:shd w:val="clear" w:color="auto" w:fill="FFFFFF" w:themeFill="background1"/>
            <w:tcMar>
              <w:top w:w="0" w:type="dxa"/>
              <w:left w:w="108" w:type="dxa"/>
              <w:bottom w:w="0" w:type="dxa"/>
              <w:right w:w="108" w:type="dxa"/>
            </w:tcMar>
            <w:vAlign w:val="center"/>
          </w:tcPr>
          <w:p w:rsidR="00BB039B" w:rsidRPr="00B75B77" w:rsidRDefault="00BB039B" w:rsidP="00BB039B">
            <w:pPr>
              <w:jc w:val="left"/>
              <w:rPr>
                <w:rFonts w:ascii="Calibri" w:hAnsi="Calibri"/>
                <w:color w:val="000000"/>
                <w:sz w:val="18"/>
                <w:szCs w:val="18"/>
              </w:rPr>
            </w:pPr>
            <w:r w:rsidRPr="00B75B77">
              <w:rPr>
                <w:rFonts w:ascii="Calibri" w:hAnsi="Calibri"/>
                <w:b/>
                <w:color w:val="000000"/>
                <w:sz w:val="18"/>
                <w:szCs w:val="18"/>
              </w:rPr>
              <w:t>Nonresidential:</w:t>
            </w:r>
            <w:r w:rsidRPr="00B75B77">
              <w:rPr>
                <w:rFonts w:ascii="Calibri" w:hAnsi="Calibri"/>
                <w:color w:val="000000"/>
                <w:sz w:val="18"/>
                <w:szCs w:val="18"/>
              </w:rPr>
              <w:t xml:space="preserve"> CFL, Low-Flow Faucet Aerator, Low-Flow Showerhead</w:t>
            </w:r>
          </w:p>
        </w:tc>
        <w:tc>
          <w:tcPr>
            <w:tcW w:w="1080" w:type="dxa"/>
            <w:shd w:val="clear" w:color="auto" w:fill="FFFFFF" w:themeFill="background1"/>
            <w:tcMar>
              <w:top w:w="0" w:type="dxa"/>
              <w:left w:w="108" w:type="dxa"/>
              <w:bottom w:w="0" w:type="dxa"/>
              <w:right w:w="108" w:type="dxa"/>
            </w:tcMar>
            <w:vAlign w:val="center"/>
          </w:tcPr>
          <w:p w:rsidR="00BB039B" w:rsidRPr="00B75B77" w:rsidRDefault="00BB039B" w:rsidP="00BB039B">
            <w:pPr>
              <w:jc w:val="center"/>
              <w:rPr>
                <w:rFonts w:ascii="Calibri" w:hAnsi="Calibri"/>
                <w:color w:val="000000"/>
                <w:sz w:val="18"/>
                <w:szCs w:val="18"/>
              </w:rPr>
            </w:pPr>
            <w:r w:rsidRPr="00B75B77">
              <w:rPr>
                <w:rFonts w:ascii="Calibri" w:hAnsi="Calibri"/>
                <w:color w:val="000000"/>
                <w:sz w:val="18"/>
                <w:szCs w:val="18"/>
              </w:rPr>
              <w:t xml:space="preserve">Navigant </w:t>
            </w:r>
            <w:r w:rsidR="00FE1A79" w:rsidRPr="00B75B77">
              <w:rPr>
                <w:rFonts w:ascii="Calibri" w:hAnsi="Calibri"/>
                <w:color w:val="000000"/>
                <w:sz w:val="18"/>
                <w:szCs w:val="18"/>
              </w:rPr>
              <w:t>and</w:t>
            </w:r>
            <w:r w:rsidRPr="00B75B77">
              <w:rPr>
                <w:rFonts w:ascii="Calibri" w:hAnsi="Calibri"/>
                <w:color w:val="000000"/>
                <w:sz w:val="18"/>
                <w:szCs w:val="18"/>
              </w:rPr>
              <w:t xml:space="preserve"> </w:t>
            </w:r>
            <w:proofErr w:type="spellStart"/>
            <w:r w:rsidRPr="00B75B77">
              <w:rPr>
                <w:rFonts w:ascii="Calibri" w:hAnsi="Calibri"/>
                <w:color w:val="000000"/>
                <w:sz w:val="18"/>
                <w:szCs w:val="18"/>
              </w:rPr>
              <w:t>Mondre</w:t>
            </w:r>
            <w:proofErr w:type="spellEnd"/>
            <w:r w:rsidRPr="00B75B77">
              <w:rPr>
                <w:rFonts w:ascii="Calibri" w:hAnsi="Calibri"/>
                <w:color w:val="000000"/>
                <w:sz w:val="18"/>
                <w:szCs w:val="18"/>
              </w:rPr>
              <w:t xml:space="preserve"> Energy</w:t>
            </w:r>
          </w:p>
        </w:tc>
        <w:tc>
          <w:tcPr>
            <w:tcW w:w="1080" w:type="dxa"/>
            <w:shd w:val="clear" w:color="auto" w:fill="FFFFFF" w:themeFill="background1"/>
            <w:tcMar>
              <w:top w:w="0" w:type="dxa"/>
              <w:left w:w="108" w:type="dxa"/>
              <w:bottom w:w="0" w:type="dxa"/>
              <w:right w:w="108" w:type="dxa"/>
            </w:tcMar>
            <w:vAlign w:val="center"/>
          </w:tcPr>
          <w:p w:rsidR="00BB039B" w:rsidRPr="00B75B77" w:rsidRDefault="00BB039B" w:rsidP="00BB039B">
            <w:pPr>
              <w:jc w:val="center"/>
              <w:rPr>
                <w:rFonts w:ascii="Calibri" w:hAnsi="Calibri"/>
                <w:color w:val="000000"/>
                <w:sz w:val="18"/>
                <w:szCs w:val="18"/>
              </w:rPr>
            </w:pPr>
            <w:r w:rsidRPr="00B75B77">
              <w:rPr>
                <w:rFonts w:ascii="Calibri" w:hAnsi="Calibri"/>
                <w:color w:val="000000"/>
                <w:sz w:val="18"/>
                <w:szCs w:val="18"/>
              </w:rPr>
              <w:t>6</w:t>
            </w:r>
          </w:p>
        </w:tc>
        <w:tc>
          <w:tcPr>
            <w:tcW w:w="1080" w:type="dxa"/>
            <w:shd w:val="clear" w:color="auto" w:fill="FFFFFF" w:themeFill="background1"/>
            <w:tcMar>
              <w:top w:w="0" w:type="dxa"/>
              <w:left w:w="108" w:type="dxa"/>
              <w:bottom w:w="0" w:type="dxa"/>
              <w:right w:w="108" w:type="dxa"/>
            </w:tcMar>
            <w:vAlign w:val="center"/>
          </w:tcPr>
          <w:p w:rsidR="00BB039B" w:rsidRPr="00B75B77" w:rsidRDefault="00BB039B" w:rsidP="00BB039B">
            <w:pPr>
              <w:jc w:val="center"/>
              <w:rPr>
                <w:rFonts w:ascii="Calibri" w:hAnsi="Calibri"/>
                <w:color w:val="000000"/>
                <w:sz w:val="18"/>
                <w:szCs w:val="18"/>
              </w:rPr>
            </w:pPr>
            <w:r w:rsidRPr="00B75B77">
              <w:rPr>
                <w:rFonts w:ascii="Calibri" w:hAnsi="Calibri"/>
                <w:color w:val="000000"/>
                <w:sz w:val="18"/>
                <w:szCs w:val="18"/>
              </w:rPr>
              <w:t>6</w:t>
            </w:r>
          </w:p>
        </w:tc>
        <w:tc>
          <w:tcPr>
            <w:tcW w:w="1260" w:type="dxa"/>
            <w:shd w:val="clear" w:color="auto" w:fill="FFFFFF" w:themeFill="background1"/>
            <w:tcMar>
              <w:top w:w="0" w:type="dxa"/>
              <w:left w:w="108" w:type="dxa"/>
              <w:bottom w:w="0" w:type="dxa"/>
              <w:right w:w="108" w:type="dxa"/>
            </w:tcMar>
            <w:vAlign w:val="center"/>
          </w:tcPr>
          <w:p w:rsidR="00BB039B" w:rsidRPr="00B75B77" w:rsidRDefault="00BB039B" w:rsidP="00BB039B">
            <w:pPr>
              <w:jc w:val="center"/>
              <w:rPr>
                <w:rFonts w:ascii="Calibri" w:hAnsi="Calibri"/>
                <w:color w:val="000000"/>
                <w:sz w:val="18"/>
                <w:szCs w:val="18"/>
              </w:rPr>
            </w:pPr>
            <w:r w:rsidRPr="00B75B77">
              <w:rPr>
                <w:rFonts w:ascii="Calibri" w:hAnsi="Calibri"/>
                <w:color w:val="000000"/>
                <w:sz w:val="18"/>
                <w:szCs w:val="18"/>
              </w:rPr>
              <w:t>4</w:t>
            </w:r>
          </w:p>
        </w:tc>
        <w:tc>
          <w:tcPr>
            <w:tcW w:w="2074" w:type="dxa"/>
            <w:shd w:val="clear" w:color="auto" w:fill="FFFFFF" w:themeFill="background1"/>
            <w:tcMar>
              <w:top w:w="0" w:type="dxa"/>
              <w:left w:w="108" w:type="dxa"/>
              <w:bottom w:w="0" w:type="dxa"/>
              <w:right w:w="108" w:type="dxa"/>
            </w:tcMar>
            <w:vAlign w:val="center"/>
          </w:tcPr>
          <w:p w:rsidR="00BB039B" w:rsidRPr="00B75B77" w:rsidRDefault="00BB039B" w:rsidP="00FE1A79">
            <w:pPr>
              <w:jc w:val="left"/>
              <w:rPr>
                <w:rFonts w:ascii="Calibri" w:hAnsi="Calibri"/>
                <w:color w:val="000000"/>
                <w:sz w:val="18"/>
                <w:szCs w:val="18"/>
              </w:rPr>
            </w:pPr>
            <w:r w:rsidRPr="00B75B77">
              <w:rPr>
                <w:rFonts w:ascii="Calibri" w:hAnsi="Calibri"/>
                <w:color w:val="000000"/>
                <w:sz w:val="18"/>
                <w:szCs w:val="18"/>
              </w:rPr>
              <w:t>DI measures removed after installation; No Action</w:t>
            </w:r>
          </w:p>
        </w:tc>
      </w:tr>
    </w:tbl>
    <w:p w:rsidR="00BB039B" w:rsidRPr="00B75B77" w:rsidRDefault="00BB039B" w:rsidP="00FE1A79">
      <w:pPr>
        <w:pStyle w:val="Source"/>
      </w:pPr>
      <w:r w:rsidRPr="00B75B77">
        <w:t>Source: Navigant analysis</w:t>
      </w:r>
    </w:p>
    <w:p w:rsidR="00BB039B" w:rsidRPr="00B75B77" w:rsidRDefault="00BB039B" w:rsidP="003E6A9B">
      <w:pPr>
        <w:pStyle w:val="Heading2"/>
      </w:pPr>
      <w:bookmarkStart w:id="866" w:name="_Toc466413442"/>
      <w:r w:rsidRPr="00B75B77">
        <w:t>Impact Evaluation Net Savings</w:t>
      </w:r>
      <w:bookmarkEnd w:id="866"/>
      <w:r w:rsidRPr="00B75B77">
        <w:t xml:space="preserve"> </w:t>
      </w:r>
    </w:p>
    <w:p w:rsidR="00BB039B" w:rsidRPr="00B75B77" w:rsidRDefault="00BB039B" w:rsidP="00BB039B">
      <w:pPr>
        <w:rPr>
          <w:rFonts w:eastAsia="Times New Roman"/>
        </w:rPr>
      </w:pPr>
      <w:r w:rsidRPr="00B75B77">
        <w:rPr>
          <w:rFonts w:eastAsia="Times New Roman"/>
        </w:rPr>
        <w:t>The evaluation team determined net impact by including the SWE Common NTG methodology’s free</w:t>
      </w:r>
      <w:r w:rsidR="00771F7B" w:rsidRPr="00B75B77">
        <w:rPr>
          <w:rFonts w:eastAsia="Times New Roman"/>
        </w:rPr>
        <w:t xml:space="preserve"> </w:t>
      </w:r>
      <w:r w:rsidRPr="00B75B77">
        <w:rPr>
          <w:rFonts w:eastAsia="Times New Roman"/>
        </w:rPr>
        <w:t>ridership and spillover question batteries in</w:t>
      </w:r>
      <w:r w:rsidR="00754C4E" w:rsidRPr="00B75B77">
        <w:rPr>
          <w:rFonts w:eastAsia="Times New Roman"/>
        </w:rPr>
        <w:t>to</w:t>
      </w:r>
      <w:r w:rsidRPr="00B75B77">
        <w:rPr>
          <w:rFonts w:eastAsia="Times New Roman"/>
        </w:rPr>
        <w:t xml:space="preserve"> the participant telephone survey. The evaluation team utilized the SWE Common NTG methodology for analyzing the responses to those questions to determine NTG ratios for all sampled sites. In the residential sector, tenants answered questions regarding the project in their apartment unit or condo. In the nonresidential sector, landlords answered </w:t>
      </w:r>
      <w:r w:rsidR="00754C4E" w:rsidRPr="00B75B77">
        <w:rPr>
          <w:rFonts w:eastAsia="Times New Roman"/>
        </w:rPr>
        <w:t xml:space="preserve">a </w:t>
      </w:r>
      <w:r w:rsidRPr="00B75B77">
        <w:rPr>
          <w:rFonts w:eastAsia="Times New Roman"/>
        </w:rPr>
        <w:t xml:space="preserve">separate set of questions regarding the property’s common areas and dwelling units. </w:t>
      </w:r>
    </w:p>
    <w:p w:rsidR="00BB039B" w:rsidRPr="00B75B77" w:rsidRDefault="00BB039B" w:rsidP="00BB039B"/>
    <w:p w:rsidR="00BB039B" w:rsidRPr="00B75B77" w:rsidRDefault="00BB039B" w:rsidP="00BB039B">
      <w:pPr>
        <w:pStyle w:val="Heading3"/>
      </w:pPr>
      <w:bookmarkStart w:id="867" w:name="_Toc466413443"/>
      <w:r w:rsidRPr="00B75B77">
        <w:t>Net Verified Savings Methodology</w:t>
      </w:r>
      <w:bookmarkEnd w:id="867"/>
      <w:r w:rsidRPr="00B75B77">
        <w:t xml:space="preserve"> </w:t>
      </w:r>
    </w:p>
    <w:p w:rsidR="00BB039B" w:rsidRPr="00B75B77" w:rsidRDefault="00BB039B" w:rsidP="00BB039B">
      <w:r w:rsidRPr="00B75B77">
        <w:t>NTG was defined in PY7 through two components</w:t>
      </w:r>
      <w:r w:rsidR="00754C4E" w:rsidRPr="00B75B77">
        <w:t>:</w:t>
      </w:r>
      <w:r w:rsidRPr="00B75B77">
        <w:t xml:space="preserve"> free ridership and spillover. </w:t>
      </w:r>
    </w:p>
    <w:p w:rsidR="00BB039B" w:rsidRPr="00B75B77" w:rsidRDefault="00BB039B" w:rsidP="00BB039B"/>
    <w:p w:rsidR="008E5423" w:rsidRPr="00B75B77" w:rsidRDefault="008E5423" w:rsidP="008E5423">
      <w:pPr>
        <w:pStyle w:val="Caption"/>
      </w:pPr>
      <w:bookmarkStart w:id="868" w:name="_Toc466413711"/>
      <w:r w:rsidRPr="00B75B77">
        <w:t xml:space="preserve">Equation </w:t>
      </w:r>
      <w:fldSimple w:instr=" STYLEREF 1 \s ">
        <w:r w:rsidR="0004016D">
          <w:rPr>
            <w:noProof/>
          </w:rPr>
          <w:t>14</w:t>
        </w:r>
      </w:fldSimple>
      <w:r w:rsidRPr="00B75B77">
        <w:noBreakHyphen/>
      </w:r>
      <w:fldSimple w:instr=" SEQ Equation \* ARABIC \s 1 ">
        <w:r w:rsidR="0004016D">
          <w:rPr>
            <w:noProof/>
          </w:rPr>
          <w:t>1</w:t>
        </w:r>
      </w:fldSimple>
      <w:r w:rsidRPr="00B75B77">
        <w:t>: Total NTG Ratio</w:t>
      </w:r>
      <w:bookmarkEnd w:id="868"/>
    </w:p>
    <w:p w:rsidR="008E5423" w:rsidRPr="00B75B77" w:rsidRDefault="008E5423" w:rsidP="008E5423">
      <w:pPr>
        <w:jc w:val="center"/>
        <w:rPr>
          <w:i/>
        </w:rPr>
      </w:pPr>
      <w:r w:rsidRPr="00B75B77">
        <w:rPr>
          <w:i/>
        </w:rPr>
        <w:t>NTG Ratio = 1 – Free Ridership Rate + Spillover Rate</w:t>
      </w:r>
    </w:p>
    <w:p w:rsidR="00BB039B" w:rsidRPr="00B75B77" w:rsidRDefault="00BB039B" w:rsidP="00BB039B"/>
    <w:p w:rsidR="00BB039B" w:rsidRPr="00B75B77" w:rsidRDefault="00BB039B" w:rsidP="00BB039B">
      <w:r w:rsidRPr="00B75B77">
        <w:t xml:space="preserve">In PY7, free ridership was determined from the telephone surveys using the SWE Common NTG methodology, </w:t>
      </w:r>
      <w:r w:rsidR="00E5196E" w:rsidRPr="00B75B77">
        <w:t xml:space="preserve">which is </w:t>
      </w:r>
      <w:r w:rsidRPr="00B75B77">
        <w:t xml:space="preserve">summarized in the tables below. In this method an intention score and an influence score are determined through a series </w:t>
      </w:r>
      <w:r w:rsidR="001A5A4A">
        <w:t xml:space="preserve">of </w:t>
      </w:r>
      <w:r w:rsidRPr="00B75B77">
        <w:t xml:space="preserve">questions regarding the participant’s intentions in the program’s absence and the influence of the program on their decision to install the equipment. Free ridership is defined as the sum of the intention and influence scores. </w:t>
      </w:r>
      <w:r w:rsidRPr="00B75B77">
        <w:fldChar w:fldCharType="begin"/>
      </w:r>
      <w:r w:rsidRPr="00B75B77">
        <w:instrText xml:space="preserve"> REF _Ref463417755 \h </w:instrText>
      </w:r>
      <w:r w:rsidR="00B75B77">
        <w:instrText xml:space="preserve"> \* MERGEFORMAT </w:instrText>
      </w:r>
      <w:r w:rsidRPr="00B75B77">
        <w:fldChar w:fldCharType="separate"/>
      </w:r>
      <w:r w:rsidR="0004016D" w:rsidRPr="00B75B77">
        <w:t xml:space="preserve">Table </w:t>
      </w:r>
      <w:r w:rsidR="0004016D">
        <w:rPr>
          <w:noProof/>
        </w:rPr>
        <w:t>14</w:t>
      </w:r>
      <w:r w:rsidR="0004016D" w:rsidRPr="00B75B77">
        <w:rPr>
          <w:noProof/>
        </w:rPr>
        <w:noBreakHyphen/>
      </w:r>
      <w:r w:rsidR="0004016D">
        <w:rPr>
          <w:noProof/>
        </w:rPr>
        <w:t>8</w:t>
      </w:r>
      <w:r w:rsidRPr="00B75B77">
        <w:fldChar w:fldCharType="end"/>
      </w:r>
      <w:r w:rsidRPr="00B75B77">
        <w:t xml:space="preserve"> and </w:t>
      </w:r>
      <w:r w:rsidRPr="00B75B77">
        <w:fldChar w:fldCharType="begin"/>
      </w:r>
      <w:r w:rsidRPr="00B75B77">
        <w:instrText xml:space="preserve"> REF _Ref463417764 \h </w:instrText>
      </w:r>
      <w:r w:rsidR="00B75B77">
        <w:instrText xml:space="preserve"> \* MERGEFORMAT </w:instrText>
      </w:r>
      <w:r w:rsidRPr="00B75B77">
        <w:fldChar w:fldCharType="separate"/>
      </w:r>
      <w:r w:rsidR="0004016D" w:rsidRPr="00B75B77">
        <w:t xml:space="preserve">Table </w:t>
      </w:r>
      <w:r w:rsidR="0004016D">
        <w:rPr>
          <w:noProof/>
        </w:rPr>
        <w:t>14</w:t>
      </w:r>
      <w:r w:rsidR="0004016D" w:rsidRPr="00B75B77">
        <w:rPr>
          <w:noProof/>
        </w:rPr>
        <w:noBreakHyphen/>
      </w:r>
      <w:r w:rsidR="0004016D">
        <w:rPr>
          <w:noProof/>
        </w:rPr>
        <w:t>9</w:t>
      </w:r>
      <w:r w:rsidRPr="00B75B77">
        <w:fldChar w:fldCharType="end"/>
      </w:r>
      <w:r w:rsidRPr="00B75B77">
        <w:t xml:space="preserve"> describe the intention score and influence score methodology, respectively.</w:t>
      </w:r>
    </w:p>
    <w:p w:rsidR="00BB039B" w:rsidRPr="00B75B77" w:rsidRDefault="00BB039B" w:rsidP="00BB039B">
      <w:pPr>
        <w:pStyle w:val="Caption"/>
        <w:jc w:val="both"/>
      </w:pPr>
    </w:p>
    <w:p w:rsidR="00BB039B" w:rsidRPr="00B75B77" w:rsidRDefault="00BB039B" w:rsidP="00BB039B">
      <w:pPr>
        <w:pStyle w:val="Caption"/>
      </w:pPr>
      <w:bookmarkStart w:id="869" w:name="_Ref463417755"/>
      <w:bookmarkStart w:id="870" w:name="_Toc466413626"/>
      <w:r w:rsidRPr="00B75B77">
        <w:t xml:space="preserve">Table </w:t>
      </w:r>
      <w:fldSimple w:instr=" STYLEREF 1 \s ">
        <w:r w:rsidR="0004016D">
          <w:rPr>
            <w:noProof/>
          </w:rPr>
          <w:t>14</w:t>
        </w:r>
      </w:fldSimple>
      <w:r w:rsidR="00F1144C" w:rsidRPr="00B75B77">
        <w:noBreakHyphen/>
      </w:r>
      <w:fldSimple w:instr=" SEQ Table \* ARABIC \s 1 ">
        <w:r w:rsidR="0004016D">
          <w:rPr>
            <w:noProof/>
          </w:rPr>
          <w:t>8</w:t>
        </w:r>
      </w:fldSimple>
      <w:bookmarkEnd w:id="869"/>
      <w:r w:rsidR="005679D7" w:rsidRPr="00B75B77">
        <w:rPr>
          <w:noProof/>
        </w:rPr>
        <w:t>:</w:t>
      </w:r>
      <w:r w:rsidRPr="00B75B77">
        <w:t xml:space="preserve"> Smart Multi</w:t>
      </w:r>
      <w:r w:rsidR="00754C4E" w:rsidRPr="00B75B77">
        <w:t>-F</w:t>
      </w:r>
      <w:r w:rsidRPr="00B75B77">
        <w:t>amily Solutions NTG Intention Score Method</w:t>
      </w:r>
      <w:bookmarkEnd w:id="870"/>
    </w:p>
    <w:tbl>
      <w:tblPr>
        <w:tblStyle w:val="PECOTeal"/>
        <w:tblW w:w="5000" w:type="pct"/>
        <w:tblLayout w:type="fixed"/>
        <w:tblLook w:val="04A0" w:firstRow="1" w:lastRow="0" w:firstColumn="1" w:lastColumn="0" w:noHBand="0" w:noVBand="1"/>
      </w:tblPr>
      <w:tblGrid>
        <w:gridCol w:w="3591"/>
        <w:gridCol w:w="4144"/>
        <w:gridCol w:w="1841"/>
      </w:tblGrid>
      <w:tr w:rsidR="00BB039B" w:rsidRPr="00B75B77" w:rsidTr="00754C4E">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875" w:type="pct"/>
            <w:tcBorders>
              <w:top w:val="single" w:sz="4" w:space="0" w:color="auto"/>
              <w:left w:val="single" w:sz="4" w:space="0" w:color="auto"/>
              <w:bottom w:val="single" w:sz="4" w:space="0" w:color="auto"/>
              <w:right w:val="single" w:sz="4" w:space="0" w:color="auto"/>
            </w:tcBorders>
          </w:tcPr>
          <w:p w:rsidR="00BB039B" w:rsidRPr="00B75B77" w:rsidRDefault="00BB039B" w:rsidP="00754C4E">
            <w:pPr>
              <w:pStyle w:val="TableHeadingLeftAlign"/>
              <w:spacing w:before="0" w:after="0"/>
              <w:rPr>
                <w:rFonts w:asciiTheme="minorHAnsi" w:hAnsiTheme="minorHAnsi"/>
                <w:b/>
                <w:smallCaps w:val="0"/>
                <w:sz w:val="18"/>
              </w:rPr>
            </w:pPr>
            <w:r w:rsidRPr="00B75B77">
              <w:rPr>
                <w:rFonts w:asciiTheme="minorHAnsi" w:hAnsiTheme="minorHAnsi"/>
                <w:b/>
                <w:smallCaps w:val="0"/>
                <w:sz w:val="18"/>
              </w:rPr>
              <w:t>Question</w:t>
            </w:r>
          </w:p>
        </w:tc>
        <w:tc>
          <w:tcPr>
            <w:tcW w:w="2164" w:type="pct"/>
            <w:tcBorders>
              <w:top w:val="single" w:sz="4" w:space="0" w:color="auto"/>
              <w:left w:val="single" w:sz="4" w:space="0" w:color="auto"/>
              <w:bottom w:val="single" w:sz="4" w:space="0" w:color="auto"/>
              <w:right w:val="single" w:sz="4" w:space="0" w:color="auto"/>
            </w:tcBorders>
            <w:noWrap/>
            <w:hideMark/>
          </w:tcPr>
          <w:p w:rsidR="00BB039B" w:rsidRPr="00B75B77" w:rsidRDefault="00BB039B" w:rsidP="00754C4E">
            <w:pPr>
              <w:pStyle w:val="TableHeadingLeftAlign"/>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smallCaps w:val="0"/>
                <w:sz w:val="18"/>
              </w:rPr>
            </w:pPr>
            <w:r w:rsidRPr="00B75B77">
              <w:rPr>
                <w:rFonts w:asciiTheme="minorHAnsi" w:hAnsiTheme="minorHAnsi"/>
                <w:b/>
                <w:smallCaps w:val="0"/>
                <w:sz w:val="18"/>
              </w:rPr>
              <w:t>Response</w:t>
            </w:r>
          </w:p>
        </w:tc>
        <w:tc>
          <w:tcPr>
            <w:tcW w:w="961" w:type="pct"/>
            <w:tcBorders>
              <w:top w:val="single" w:sz="4" w:space="0" w:color="auto"/>
              <w:left w:val="single" w:sz="4" w:space="0" w:color="auto"/>
              <w:bottom w:val="single" w:sz="4" w:space="0" w:color="auto"/>
              <w:right w:val="single" w:sz="4" w:space="0" w:color="auto"/>
            </w:tcBorders>
            <w:noWrap/>
            <w:hideMark/>
          </w:tcPr>
          <w:p w:rsidR="00BB039B" w:rsidRPr="00B75B77" w:rsidRDefault="00BB039B" w:rsidP="00754C4E">
            <w:pPr>
              <w:pStyle w:val="TableHeading0"/>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smallCaps w:val="0"/>
                <w:sz w:val="18"/>
              </w:rPr>
            </w:pPr>
            <w:r w:rsidRPr="00B75B77">
              <w:rPr>
                <w:rFonts w:asciiTheme="minorHAnsi" w:hAnsiTheme="minorHAnsi"/>
                <w:b/>
                <w:smallCaps w:val="0"/>
                <w:sz w:val="18"/>
              </w:rPr>
              <w:t>Intention Score</w:t>
            </w:r>
          </w:p>
        </w:tc>
      </w:tr>
      <w:tr w:rsidR="00BB039B" w:rsidRPr="00B75B77" w:rsidTr="00771F7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75" w:type="pct"/>
            <w:vMerge w:val="restart"/>
            <w:tcBorders>
              <w:top w:val="single" w:sz="4" w:space="0" w:color="auto"/>
            </w:tcBorders>
          </w:tcPr>
          <w:p w:rsidR="00BB039B" w:rsidRPr="00B75B77" w:rsidRDefault="00BB039B" w:rsidP="00BB039B">
            <w:pPr>
              <w:pStyle w:val="TableBodyHeading"/>
              <w:keepNext/>
              <w:ind w:left="180" w:hanging="180"/>
              <w:rPr>
                <w:rFonts w:asciiTheme="minorHAnsi" w:hAnsiTheme="minorHAnsi"/>
              </w:rPr>
            </w:pPr>
            <w:r w:rsidRPr="00B75B77">
              <w:rPr>
                <w:rFonts w:asciiTheme="minorHAnsi" w:hAnsiTheme="minorHAnsi"/>
              </w:rPr>
              <w:t>1. I would like you to think about what you would have done at this property if PECO’s Smart Multi-</w:t>
            </w:r>
            <w:r w:rsidR="00FA45FF" w:rsidRPr="00B75B77">
              <w:rPr>
                <w:rFonts w:asciiTheme="minorHAnsi" w:hAnsiTheme="minorHAnsi"/>
              </w:rPr>
              <w:t>F</w:t>
            </w:r>
            <w:r w:rsidRPr="00B75B77">
              <w:rPr>
                <w:rFonts w:asciiTheme="minorHAnsi" w:hAnsiTheme="minorHAnsi"/>
              </w:rPr>
              <w:t>amily Solutions program was not available. Within the next year, would you have installed all, some, or none of the equipment that was installed through the program, had they not been provided?</w:t>
            </w:r>
          </w:p>
        </w:tc>
        <w:tc>
          <w:tcPr>
            <w:tcW w:w="2164" w:type="pct"/>
            <w:tcBorders>
              <w:top w:val="single" w:sz="4" w:space="0" w:color="auto"/>
            </w:tcBorders>
            <w:noWrap/>
            <w:hideMark/>
          </w:tcPr>
          <w:p w:rsidR="00BB039B" w:rsidRPr="00B75B77" w:rsidRDefault="00BB039B" w:rsidP="00BB039B">
            <w:pPr>
              <w:pStyle w:val="TableBodyHeading"/>
              <w:keepNex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75B77">
              <w:rPr>
                <w:rFonts w:asciiTheme="minorHAnsi" w:hAnsiTheme="minorHAnsi"/>
              </w:rPr>
              <w:t>None of the equipment that was installed through the program</w:t>
            </w:r>
          </w:p>
        </w:tc>
        <w:tc>
          <w:tcPr>
            <w:tcW w:w="961" w:type="pct"/>
            <w:tcBorders>
              <w:top w:val="single" w:sz="4" w:space="0" w:color="auto"/>
            </w:tcBorders>
            <w:noWrap/>
            <w:hideMark/>
          </w:tcPr>
          <w:p w:rsidR="00BB039B" w:rsidRPr="00B75B77" w:rsidRDefault="00BB039B" w:rsidP="00BB039B">
            <w:pPr>
              <w:pStyle w:val="TableBody"/>
              <w:keepNex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75B77">
              <w:rPr>
                <w:rFonts w:asciiTheme="minorHAnsi" w:hAnsiTheme="minorHAnsi"/>
              </w:rPr>
              <w:t>0</w:t>
            </w:r>
          </w:p>
        </w:tc>
      </w:tr>
      <w:tr w:rsidR="00BB039B" w:rsidRPr="00B75B77" w:rsidTr="00771F7B">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75" w:type="pct"/>
            <w:vMerge/>
          </w:tcPr>
          <w:p w:rsidR="00BB039B" w:rsidRPr="00B75B77" w:rsidRDefault="00BB039B" w:rsidP="00BB039B">
            <w:pPr>
              <w:pStyle w:val="TableBodyHeading"/>
              <w:keepNext/>
              <w:ind w:left="180" w:hanging="180"/>
              <w:rPr>
                <w:rFonts w:asciiTheme="minorHAnsi" w:hAnsiTheme="minorHAnsi"/>
              </w:rPr>
            </w:pPr>
          </w:p>
        </w:tc>
        <w:tc>
          <w:tcPr>
            <w:tcW w:w="2164" w:type="pct"/>
            <w:noWrap/>
            <w:hideMark/>
          </w:tcPr>
          <w:p w:rsidR="00BB039B" w:rsidRPr="00B75B77" w:rsidRDefault="00BB039B" w:rsidP="00BB039B">
            <w:pPr>
              <w:pStyle w:val="TableBodyHeading"/>
              <w:keepNex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B75B77">
              <w:rPr>
                <w:rFonts w:asciiTheme="minorHAnsi" w:hAnsiTheme="minorHAnsi"/>
              </w:rPr>
              <w:t>Some, but not all, of the energy efficient equipment</w:t>
            </w:r>
          </w:p>
        </w:tc>
        <w:tc>
          <w:tcPr>
            <w:tcW w:w="961" w:type="pct"/>
            <w:noWrap/>
            <w:hideMark/>
          </w:tcPr>
          <w:p w:rsidR="00BB039B" w:rsidRPr="00B75B77" w:rsidRDefault="00BB039B" w:rsidP="00BB039B">
            <w:pPr>
              <w:pStyle w:val="TableBody"/>
              <w:keepNext/>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rPr>
            </w:pPr>
            <w:r w:rsidRPr="00B75B77">
              <w:rPr>
                <w:rFonts w:asciiTheme="minorHAnsi" w:hAnsiTheme="minorHAnsi"/>
                <w:color w:val="000000"/>
              </w:rPr>
              <w:t>Based on response to Q3</w:t>
            </w:r>
          </w:p>
        </w:tc>
      </w:tr>
      <w:tr w:rsidR="00BB039B" w:rsidRPr="00B75B77" w:rsidTr="00771F7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75" w:type="pct"/>
            <w:vMerge/>
          </w:tcPr>
          <w:p w:rsidR="00BB039B" w:rsidRPr="00B75B77" w:rsidRDefault="00BB039B" w:rsidP="00BB039B">
            <w:pPr>
              <w:pStyle w:val="TableBodyHeading"/>
              <w:keepNext/>
              <w:ind w:left="180" w:hanging="180"/>
              <w:rPr>
                <w:rFonts w:asciiTheme="minorHAnsi" w:hAnsiTheme="minorHAnsi"/>
              </w:rPr>
            </w:pPr>
          </w:p>
        </w:tc>
        <w:tc>
          <w:tcPr>
            <w:tcW w:w="2164" w:type="pct"/>
            <w:shd w:val="clear" w:color="auto" w:fill="auto"/>
            <w:noWrap/>
            <w:hideMark/>
          </w:tcPr>
          <w:p w:rsidR="00BB039B" w:rsidRPr="00B75B77" w:rsidRDefault="00BB039B" w:rsidP="00BB039B">
            <w:pPr>
              <w:pStyle w:val="TableBodyHeading"/>
              <w:keepNex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75B77">
              <w:rPr>
                <w:rFonts w:asciiTheme="minorHAnsi" w:hAnsiTheme="minorHAnsi"/>
              </w:rPr>
              <w:t>All of the same energy efficiency equipment</w:t>
            </w:r>
          </w:p>
        </w:tc>
        <w:tc>
          <w:tcPr>
            <w:tcW w:w="961" w:type="pct"/>
            <w:shd w:val="clear" w:color="auto" w:fill="auto"/>
            <w:noWrap/>
            <w:hideMark/>
          </w:tcPr>
          <w:p w:rsidR="00BB039B" w:rsidRPr="00B75B77" w:rsidRDefault="00BB039B" w:rsidP="00BB039B">
            <w:pPr>
              <w:pStyle w:val="TableBody"/>
              <w:keepNex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B75B77">
              <w:rPr>
                <w:rFonts w:asciiTheme="minorHAnsi" w:hAnsiTheme="minorHAnsi"/>
                <w:color w:val="000000"/>
              </w:rPr>
              <w:t>Based on response to Q2</w:t>
            </w:r>
          </w:p>
        </w:tc>
      </w:tr>
      <w:tr w:rsidR="00BB039B" w:rsidRPr="00B75B77" w:rsidTr="00771F7B">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75" w:type="pct"/>
            <w:vMerge/>
          </w:tcPr>
          <w:p w:rsidR="00BB039B" w:rsidRPr="00B75B77" w:rsidRDefault="00BB039B" w:rsidP="00BB039B">
            <w:pPr>
              <w:pStyle w:val="TableBodyHeading"/>
              <w:keepNext/>
              <w:ind w:left="180" w:hanging="180"/>
              <w:rPr>
                <w:rFonts w:asciiTheme="minorHAnsi" w:hAnsiTheme="minorHAnsi"/>
              </w:rPr>
            </w:pPr>
          </w:p>
        </w:tc>
        <w:tc>
          <w:tcPr>
            <w:tcW w:w="2164" w:type="pct"/>
            <w:noWrap/>
            <w:hideMark/>
          </w:tcPr>
          <w:p w:rsidR="00BB039B" w:rsidRPr="00B75B77" w:rsidRDefault="00BB039B" w:rsidP="00BB039B">
            <w:pPr>
              <w:pStyle w:val="TableBodyHeading"/>
              <w:keepNex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B75B77">
              <w:rPr>
                <w:rFonts w:asciiTheme="minorHAnsi" w:hAnsiTheme="minorHAnsi"/>
              </w:rPr>
              <w:t>Don’t know</w:t>
            </w:r>
          </w:p>
        </w:tc>
        <w:tc>
          <w:tcPr>
            <w:tcW w:w="961" w:type="pct"/>
            <w:noWrap/>
            <w:hideMark/>
          </w:tcPr>
          <w:p w:rsidR="00BB039B" w:rsidRPr="00B75B77" w:rsidRDefault="00BB039B" w:rsidP="00BB039B">
            <w:pPr>
              <w:pStyle w:val="TableBody"/>
              <w:keepNex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B75B77">
              <w:rPr>
                <w:rFonts w:asciiTheme="minorHAnsi" w:hAnsiTheme="minorHAnsi"/>
              </w:rPr>
              <w:t>25</w:t>
            </w:r>
          </w:p>
        </w:tc>
      </w:tr>
      <w:tr w:rsidR="00BB039B" w:rsidRPr="00B75B77" w:rsidTr="00771F7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75" w:type="pct"/>
            <w:vMerge w:val="restart"/>
          </w:tcPr>
          <w:p w:rsidR="00BB039B" w:rsidRPr="00B75B77" w:rsidRDefault="00BB039B" w:rsidP="00BB039B">
            <w:pPr>
              <w:pStyle w:val="TableBodyHeading"/>
              <w:keepNext/>
              <w:ind w:left="180" w:hanging="180"/>
              <w:rPr>
                <w:rFonts w:asciiTheme="minorHAnsi" w:hAnsiTheme="minorHAnsi"/>
              </w:rPr>
            </w:pPr>
            <w:r w:rsidRPr="00B75B77">
              <w:rPr>
                <w:rFonts w:asciiTheme="minorHAnsi" w:hAnsiTheme="minorHAnsi"/>
              </w:rPr>
              <w:t>2. Would you have paid the entire cost to purchase and install this equipment?</w:t>
            </w:r>
          </w:p>
        </w:tc>
        <w:tc>
          <w:tcPr>
            <w:tcW w:w="2164" w:type="pct"/>
            <w:shd w:val="clear" w:color="auto" w:fill="auto"/>
            <w:noWrap/>
            <w:hideMark/>
          </w:tcPr>
          <w:p w:rsidR="00BB039B" w:rsidRPr="00B75B77" w:rsidRDefault="00BB039B" w:rsidP="00BB039B">
            <w:pPr>
              <w:pStyle w:val="TableBodyHeading"/>
              <w:keepNex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75B77">
              <w:rPr>
                <w:rFonts w:asciiTheme="minorHAnsi" w:hAnsiTheme="minorHAnsi"/>
              </w:rPr>
              <w:t>Yes</w:t>
            </w:r>
          </w:p>
        </w:tc>
        <w:tc>
          <w:tcPr>
            <w:tcW w:w="961" w:type="pct"/>
            <w:shd w:val="clear" w:color="auto" w:fill="auto"/>
            <w:noWrap/>
          </w:tcPr>
          <w:p w:rsidR="00BB039B" w:rsidRPr="00B75B77" w:rsidRDefault="00BB039B" w:rsidP="00BB039B">
            <w:pPr>
              <w:pStyle w:val="TableBody"/>
              <w:keepNex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75B77">
              <w:rPr>
                <w:rFonts w:asciiTheme="minorHAnsi" w:hAnsiTheme="minorHAnsi"/>
              </w:rPr>
              <w:t>50</w:t>
            </w:r>
          </w:p>
        </w:tc>
      </w:tr>
      <w:tr w:rsidR="00BB039B" w:rsidRPr="00B75B77" w:rsidTr="00771F7B">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75" w:type="pct"/>
            <w:vMerge/>
          </w:tcPr>
          <w:p w:rsidR="00BB039B" w:rsidRPr="00B75B77" w:rsidRDefault="00BB039B" w:rsidP="00BB039B">
            <w:pPr>
              <w:pStyle w:val="TableBodyHeading"/>
              <w:ind w:left="180" w:hanging="180"/>
              <w:rPr>
                <w:rFonts w:asciiTheme="minorHAnsi" w:hAnsiTheme="minorHAnsi"/>
              </w:rPr>
            </w:pPr>
          </w:p>
        </w:tc>
        <w:tc>
          <w:tcPr>
            <w:tcW w:w="2164" w:type="pct"/>
            <w:noWrap/>
            <w:hideMark/>
          </w:tcPr>
          <w:p w:rsidR="00BB039B" w:rsidRPr="00B75B77" w:rsidRDefault="00BB039B" w:rsidP="00BB039B">
            <w:pPr>
              <w:pStyle w:val="TableBodyHeading"/>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B75B77">
              <w:rPr>
                <w:rFonts w:asciiTheme="minorHAnsi" w:hAnsiTheme="minorHAnsi"/>
              </w:rPr>
              <w:t>No</w:t>
            </w:r>
          </w:p>
        </w:tc>
        <w:tc>
          <w:tcPr>
            <w:tcW w:w="961" w:type="pct"/>
            <w:noWrap/>
          </w:tcPr>
          <w:p w:rsidR="00BB039B" w:rsidRPr="00B75B77" w:rsidRDefault="00BB039B" w:rsidP="00BB039B">
            <w:pPr>
              <w:pStyle w:val="TableBody"/>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B75B77">
              <w:rPr>
                <w:rFonts w:asciiTheme="minorHAnsi" w:hAnsiTheme="minorHAnsi"/>
              </w:rPr>
              <w:t>25</w:t>
            </w:r>
          </w:p>
        </w:tc>
      </w:tr>
      <w:tr w:rsidR="00BB039B" w:rsidRPr="00B75B77" w:rsidTr="00771F7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75" w:type="pct"/>
            <w:vMerge/>
          </w:tcPr>
          <w:p w:rsidR="00BB039B" w:rsidRPr="00B75B77" w:rsidRDefault="00BB039B" w:rsidP="00BB039B">
            <w:pPr>
              <w:pStyle w:val="TableBodyHeading"/>
              <w:ind w:left="180" w:hanging="180"/>
              <w:rPr>
                <w:rFonts w:asciiTheme="minorHAnsi" w:hAnsiTheme="minorHAnsi"/>
              </w:rPr>
            </w:pPr>
          </w:p>
        </w:tc>
        <w:tc>
          <w:tcPr>
            <w:tcW w:w="2164" w:type="pct"/>
            <w:shd w:val="clear" w:color="auto" w:fill="auto"/>
            <w:noWrap/>
            <w:hideMark/>
          </w:tcPr>
          <w:p w:rsidR="00BB039B" w:rsidRPr="00B75B77" w:rsidRDefault="00BB039B" w:rsidP="00BB039B">
            <w:pPr>
              <w:pStyle w:val="TableBodyHeading"/>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75B77">
              <w:rPr>
                <w:rFonts w:asciiTheme="minorHAnsi" w:hAnsiTheme="minorHAnsi"/>
              </w:rPr>
              <w:t>The cost would be shared between tenant and property management or owner</w:t>
            </w:r>
          </w:p>
        </w:tc>
        <w:tc>
          <w:tcPr>
            <w:tcW w:w="961" w:type="pct"/>
            <w:shd w:val="clear" w:color="auto" w:fill="auto"/>
            <w:noWrap/>
          </w:tcPr>
          <w:p w:rsidR="00BB039B" w:rsidRPr="00B75B77" w:rsidRDefault="00BB039B" w:rsidP="00BB039B">
            <w:pPr>
              <w:pStyle w:val="TableBody"/>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75B77">
              <w:rPr>
                <w:rFonts w:asciiTheme="minorHAnsi" w:hAnsiTheme="minorHAnsi"/>
              </w:rPr>
              <w:t>37.5</w:t>
            </w:r>
          </w:p>
        </w:tc>
      </w:tr>
      <w:tr w:rsidR="00BB039B" w:rsidRPr="00B75B77" w:rsidTr="00771F7B">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75" w:type="pct"/>
            <w:vMerge/>
          </w:tcPr>
          <w:p w:rsidR="00BB039B" w:rsidRPr="00B75B77" w:rsidRDefault="00BB039B" w:rsidP="00BB039B">
            <w:pPr>
              <w:pStyle w:val="TableBodyHeading"/>
              <w:ind w:left="180" w:hanging="180"/>
              <w:rPr>
                <w:rFonts w:asciiTheme="minorHAnsi" w:hAnsiTheme="minorHAnsi"/>
              </w:rPr>
            </w:pPr>
          </w:p>
        </w:tc>
        <w:tc>
          <w:tcPr>
            <w:tcW w:w="2164" w:type="pct"/>
            <w:noWrap/>
          </w:tcPr>
          <w:p w:rsidR="00BB039B" w:rsidRPr="00B75B77" w:rsidRDefault="00BB039B" w:rsidP="00BB039B">
            <w:pPr>
              <w:pStyle w:val="TableBodyHeading"/>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B75B77">
              <w:rPr>
                <w:rFonts w:asciiTheme="minorHAnsi" w:hAnsiTheme="minorHAnsi"/>
              </w:rPr>
              <w:t>Don’t know</w:t>
            </w:r>
          </w:p>
        </w:tc>
        <w:tc>
          <w:tcPr>
            <w:tcW w:w="961" w:type="pct"/>
            <w:noWrap/>
          </w:tcPr>
          <w:p w:rsidR="00BB039B" w:rsidRPr="00B75B77" w:rsidRDefault="00BB039B" w:rsidP="00BB039B">
            <w:pPr>
              <w:pStyle w:val="TableBody"/>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B75B77">
              <w:rPr>
                <w:rFonts w:asciiTheme="minorHAnsi" w:hAnsiTheme="minorHAnsi"/>
              </w:rPr>
              <w:t>25</w:t>
            </w:r>
          </w:p>
        </w:tc>
      </w:tr>
      <w:tr w:rsidR="00BB039B" w:rsidRPr="00B75B77" w:rsidTr="00771F7B">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1875" w:type="pct"/>
            <w:vMerge w:val="restart"/>
          </w:tcPr>
          <w:p w:rsidR="00BB039B" w:rsidRPr="00B75B77" w:rsidRDefault="00BB039B" w:rsidP="00BB039B">
            <w:pPr>
              <w:pStyle w:val="TableBodyHeading"/>
              <w:ind w:left="180" w:hanging="180"/>
              <w:rPr>
                <w:rFonts w:asciiTheme="minorHAnsi" w:hAnsiTheme="minorHAnsi"/>
              </w:rPr>
            </w:pPr>
            <w:r w:rsidRPr="00B75B77">
              <w:rPr>
                <w:rFonts w:asciiTheme="minorHAnsi" w:hAnsiTheme="minorHAnsi"/>
              </w:rPr>
              <w:t>3. By how much would you have reduced the amount of equipment installed? Would you say</w:t>
            </w:r>
            <w:proofErr w:type="gramStart"/>
            <w:r w:rsidRPr="00B75B77">
              <w:rPr>
                <w:rFonts w:asciiTheme="minorHAnsi" w:hAnsiTheme="minorHAnsi"/>
              </w:rPr>
              <w:t>…</w:t>
            </w:r>
            <w:proofErr w:type="gramEnd"/>
          </w:p>
        </w:tc>
        <w:tc>
          <w:tcPr>
            <w:tcW w:w="2164" w:type="pct"/>
            <w:shd w:val="clear" w:color="auto" w:fill="auto"/>
            <w:noWrap/>
          </w:tcPr>
          <w:p w:rsidR="00BB039B" w:rsidRPr="00B75B77" w:rsidRDefault="00BB039B" w:rsidP="00BB039B">
            <w:pPr>
              <w:pStyle w:val="TableBodyHeading"/>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75B77">
              <w:rPr>
                <w:rFonts w:asciiTheme="minorHAnsi" w:hAnsiTheme="minorHAnsi"/>
                <w:color w:val="000000"/>
              </w:rPr>
              <w:t>Between 0% to 35% reduction</w:t>
            </w:r>
          </w:p>
        </w:tc>
        <w:tc>
          <w:tcPr>
            <w:tcW w:w="961" w:type="pct"/>
            <w:shd w:val="clear" w:color="auto" w:fill="auto"/>
            <w:noWrap/>
          </w:tcPr>
          <w:p w:rsidR="00BB039B" w:rsidRPr="00B75B77" w:rsidRDefault="00BB039B" w:rsidP="00BB039B">
            <w:pPr>
              <w:pStyle w:val="TableBody"/>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75B77">
              <w:rPr>
                <w:rFonts w:asciiTheme="minorHAnsi" w:hAnsiTheme="minorHAnsi"/>
              </w:rPr>
              <w:t>37.5</w:t>
            </w:r>
          </w:p>
        </w:tc>
      </w:tr>
      <w:tr w:rsidR="00BB039B" w:rsidRPr="00B75B77" w:rsidTr="00771F7B">
        <w:trPr>
          <w:cnfStyle w:val="000000010000" w:firstRow="0" w:lastRow="0" w:firstColumn="0" w:lastColumn="0" w:oddVBand="0" w:evenVBand="0" w:oddHBand="0" w:evenHBand="1"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1875" w:type="pct"/>
            <w:vMerge/>
          </w:tcPr>
          <w:p w:rsidR="00BB039B" w:rsidRPr="00B75B77" w:rsidRDefault="00BB039B" w:rsidP="00BB039B">
            <w:pPr>
              <w:pStyle w:val="TableBodyHeading"/>
              <w:ind w:left="180" w:hanging="180"/>
              <w:rPr>
                <w:rFonts w:asciiTheme="minorHAnsi" w:hAnsiTheme="minorHAnsi"/>
              </w:rPr>
            </w:pPr>
          </w:p>
        </w:tc>
        <w:tc>
          <w:tcPr>
            <w:tcW w:w="2164" w:type="pct"/>
            <w:noWrap/>
          </w:tcPr>
          <w:p w:rsidR="00BB039B" w:rsidRPr="00B75B77" w:rsidRDefault="00BB039B" w:rsidP="00BB039B">
            <w:pPr>
              <w:pStyle w:val="TableBody"/>
              <w:jc w:val="left"/>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rPr>
            </w:pPr>
            <w:r w:rsidRPr="00B75B77">
              <w:rPr>
                <w:rFonts w:asciiTheme="minorHAnsi" w:hAnsiTheme="minorHAnsi"/>
                <w:color w:val="000000"/>
              </w:rPr>
              <w:t>Between 35% to 65% reduction</w:t>
            </w:r>
          </w:p>
        </w:tc>
        <w:tc>
          <w:tcPr>
            <w:tcW w:w="961" w:type="pct"/>
            <w:noWrap/>
          </w:tcPr>
          <w:p w:rsidR="00BB039B" w:rsidRPr="00B75B77" w:rsidRDefault="00BB039B" w:rsidP="00BB039B">
            <w:pPr>
              <w:pStyle w:val="TableBody"/>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B75B77">
              <w:rPr>
                <w:rFonts w:asciiTheme="minorHAnsi" w:hAnsiTheme="minorHAnsi"/>
              </w:rPr>
              <w:t>25</w:t>
            </w:r>
          </w:p>
        </w:tc>
      </w:tr>
      <w:tr w:rsidR="00BB039B" w:rsidRPr="00B75B77" w:rsidTr="00771F7B">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1875" w:type="pct"/>
            <w:vMerge/>
          </w:tcPr>
          <w:p w:rsidR="00BB039B" w:rsidRPr="00B75B77" w:rsidRDefault="00BB039B" w:rsidP="00BB039B">
            <w:pPr>
              <w:pStyle w:val="TableBodyHeading"/>
              <w:ind w:left="180" w:hanging="180"/>
              <w:rPr>
                <w:rFonts w:asciiTheme="minorHAnsi" w:hAnsiTheme="minorHAnsi"/>
              </w:rPr>
            </w:pPr>
          </w:p>
        </w:tc>
        <w:tc>
          <w:tcPr>
            <w:tcW w:w="2164" w:type="pct"/>
            <w:shd w:val="clear" w:color="auto" w:fill="auto"/>
            <w:noWrap/>
          </w:tcPr>
          <w:p w:rsidR="00BB039B" w:rsidRPr="00B75B77" w:rsidRDefault="00BB039B" w:rsidP="00BB039B">
            <w:pPr>
              <w:pStyle w:val="TableBodyHeading"/>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B75B77">
              <w:rPr>
                <w:rFonts w:asciiTheme="minorHAnsi" w:hAnsiTheme="minorHAnsi"/>
                <w:color w:val="000000"/>
              </w:rPr>
              <w:t>Between 65% to 100% reduction</w:t>
            </w:r>
          </w:p>
        </w:tc>
        <w:tc>
          <w:tcPr>
            <w:tcW w:w="961" w:type="pct"/>
            <w:shd w:val="clear" w:color="auto" w:fill="auto"/>
            <w:noWrap/>
          </w:tcPr>
          <w:p w:rsidR="00BB039B" w:rsidRPr="00B75B77" w:rsidRDefault="00BB039B" w:rsidP="00BB039B">
            <w:pPr>
              <w:pStyle w:val="TableBody"/>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75B77">
              <w:rPr>
                <w:rFonts w:asciiTheme="minorHAnsi" w:hAnsiTheme="minorHAnsi"/>
              </w:rPr>
              <w:t>12.5</w:t>
            </w:r>
          </w:p>
        </w:tc>
      </w:tr>
      <w:tr w:rsidR="00BB039B" w:rsidRPr="00B75B77" w:rsidTr="00771F7B">
        <w:trPr>
          <w:cnfStyle w:val="000000010000" w:firstRow="0" w:lastRow="0" w:firstColumn="0" w:lastColumn="0" w:oddVBand="0" w:evenVBand="0" w:oddHBand="0" w:evenHBand="1"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1875" w:type="pct"/>
            <w:vMerge/>
          </w:tcPr>
          <w:p w:rsidR="00BB039B" w:rsidRPr="00B75B77" w:rsidRDefault="00BB039B" w:rsidP="00BB039B">
            <w:pPr>
              <w:pStyle w:val="TableBodyHeading"/>
              <w:ind w:left="180" w:hanging="180"/>
              <w:rPr>
                <w:rFonts w:asciiTheme="minorHAnsi" w:hAnsiTheme="minorHAnsi"/>
              </w:rPr>
            </w:pPr>
          </w:p>
        </w:tc>
        <w:tc>
          <w:tcPr>
            <w:tcW w:w="2164" w:type="pct"/>
            <w:noWrap/>
          </w:tcPr>
          <w:p w:rsidR="00BB039B" w:rsidRPr="00B75B77" w:rsidRDefault="00BB039B" w:rsidP="00BB039B">
            <w:pPr>
              <w:pStyle w:val="TableBodyHeading"/>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rPr>
            </w:pPr>
            <w:r w:rsidRPr="00B75B77">
              <w:rPr>
                <w:rFonts w:asciiTheme="minorHAnsi" w:hAnsiTheme="minorHAnsi"/>
                <w:color w:val="000000"/>
              </w:rPr>
              <w:t>Don’t know</w:t>
            </w:r>
          </w:p>
        </w:tc>
        <w:tc>
          <w:tcPr>
            <w:tcW w:w="961" w:type="pct"/>
            <w:noWrap/>
          </w:tcPr>
          <w:p w:rsidR="00BB039B" w:rsidRPr="00B75B77" w:rsidRDefault="00BB039B" w:rsidP="00BB039B">
            <w:pPr>
              <w:pStyle w:val="TableBody"/>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B75B77">
              <w:rPr>
                <w:rFonts w:asciiTheme="minorHAnsi" w:hAnsiTheme="minorHAnsi"/>
              </w:rPr>
              <w:t>25</w:t>
            </w:r>
          </w:p>
        </w:tc>
      </w:tr>
    </w:tbl>
    <w:p w:rsidR="00BB039B" w:rsidRPr="00B75B77" w:rsidRDefault="00BB039B" w:rsidP="00BB039B">
      <w:pPr>
        <w:pStyle w:val="Source"/>
        <w:spacing w:after="120"/>
        <w:ind w:left="90" w:firstLine="0"/>
      </w:pPr>
      <w:r w:rsidRPr="00B75B77">
        <w:t>Source: Adapted from SWE Common Approach for Measuring Free-Riders</w:t>
      </w:r>
    </w:p>
    <w:p w:rsidR="00BB039B" w:rsidRPr="00B75B77" w:rsidRDefault="00BB039B" w:rsidP="00BB039B"/>
    <w:p w:rsidR="00BB039B" w:rsidRPr="00B75B77" w:rsidRDefault="00BB039B" w:rsidP="00BB039B">
      <w:pPr>
        <w:pStyle w:val="Caption"/>
      </w:pPr>
      <w:bookmarkStart w:id="871" w:name="_Ref463417764"/>
      <w:bookmarkStart w:id="872" w:name="_Toc466413627"/>
      <w:r w:rsidRPr="00B75B77">
        <w:t xml:space="preserve">Table </w:t>
      </w:r>
      <w:fldSimple w:instr=" STYLEREF 1 \s ">
        <w:r w:rsidR="0004016D">
          <w:rPr>
            <w:noProof/>
          </w:rPr>
          <w:t>14</w:t>
        </w:r>
      </w:fldSimple>
      <w:r w:rsidR="00F1144C" w:rsidRPr="00B75B77">
        <w:noBreakHyphen/>
      </w:r>
      <w:fldSimple w:instr=" SEQ Table \* ARABIC \s 1 ">
        <w:r w:rsidR="0004016D">
          <w:rPr>
            <w:noProof/>
          </w:rPr>
          <w:t>9</w:t>
        </w:r>
      </w:fldSimple>
      <w:bookmarkEnd w:id="871"/>
      <w:r w:rsidR="005679D7" w:rsidRPr="00B75B77">
        <w:rPr>
          <w:noProof/>
        </w:rPr>
        <w:t>:</w:t>
      </w:r>
      <w:r w:rsidRPr="00B75B77">
        <w:t xml:space="preserve"> Smart Multi</w:t>
      </w:r>
      <w:r w:rsidR="00754C4E" w:rsidRPr="00B75B77">
        <w:t>-F</w:t>
      </w:r>
      <w:r w:rsidRPr="00B75B77">
        <w:t>amily Solutions NTG Influence Score Method</w:t>
      </w:r>
      <w:bookmarkEnd w:id="872"/>
    </w:p>
    <w:tbl>
      <w:tblPr>
        <w:tblStyle w:val="PECOTeal"/>
        <w:tblW w:w="5000" w:type="pct"/>
        <w:tblLook w:val="04A0" w:firstRow="1" w:lastRow="0" w:firstColumn="1" w:lastColumn="0" w:noHBand="0" w:noVBand="1"/>
      </w:tblPr>
      <w:tblGrid>
        <w:gridCol w:w="6641"/>
        <w:gridCol w:w="2935"/>
      </w:tblGrid>
      <w:tr w:rsidR="00754C4E" w:rsidRPr="00B75B77" w:rsidTr="00D52DAD">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754C4E" w:rsidRPr="00B75B77" w:rsidRDefault="00754C4E" w:rsidP="00754C4E">
            <w:pPr>
              <w:pStyle w:val="TableHeading0"/>
              <w:spacing w:before="0" w:after="0"/>
              <w:jc w:val="left"/>
              <w:rPr>
                <w:rFonts w:asciiTheme="minorHAnsi" w:hAnsiTheme="minorHAnsi"/>
                <w:b/>
                <w:smallCaps w:val="0"/>
                <w:sz w:val="18"/>
              </w:rPr>
            </w:pPr>
            <w:r w:rsidRPr="00B75B77">
              <w:rPr>
                <w:rFonts w:asciiTheme="minorHAnsi" w:hAnsiTheme="minorHAnsi"/>
                <w:b/>
                <w:smallCaps w:val="0"/>
                <w:sz w:val="18"/>
              </w:rPr>
              <w:t>Question</w:t>
            </w:r>
          </w:p>
        </w:tc>
      </w:tr>
      <w:tr w:rsidR="00BB039B" w:rsidRPr="00B75B77" w:rsidTr="00E5196E">
        <w:trPr>
          <w:cnfStyle w:val="000000100000" w:firstRow="0" w:lastRow="0" w:firstColumn="0" w:lastColumn="0" w:oddVBand="0" w:evenVBand="0" w:oddHBand="1" w:evenHBand="0" w:firstRowFirstColumn="0" w:firstRowLastColumn="0" w:lastRowFirstColumn="0" w:lastRowLastColumn="0"/>
          <w:trHeight w:val="208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0000" w:themeColor="text1"/>
            </w:tcBorders>
            <w:noWrap/>
          </w:tcPr>
          <w:p w:rsidR="00BB039B" w:rsidRPr="00B75B77" w:rsidRDefault="00BB039B" w:rsidP="00BB039B">
            <w:pPr>
              <w:contextualSpacing/>
              <w:rPr>
                <w:rFonts w:cs="Arial"/>
              </w:rPr>
            </w:pPr>
            <w:r w:rsidRPr="00B75B77">
              <w:rPr>
                <w:rFonts w:cs="Arial"/>
              </w:rPr>
              <w:t xml:space="preserve">Next, I am going to list some elements of the Smart </w:t>
            </w:r>
            <w:r w:rsidRPr="00B75B77">
              <w:rPr>
                <w:rFonts w:cs="Arial"/>
                <w:szCs w:val="18"/>
              </w:rPr>
              <w:t>Multi</w:t>
            </w:r>
            <w:r w:rsidR="00754C4E" w:rsidRPr="00B75B77">
              <w:rPr>
                <w:rFonts w:cs="Arial"/>
                <w:szCs w:val="18"/>
              </w:rPr>
              <w:t>-F</w:t>
            </w:r>
            <w:r w:rsidRPr="00B75B77">
              <w:rPr>
                <w:rFonts w:cs="Arial"/>
                <w:szCs w:val="18"/>
              </w:rPr>
              <w:t>amily</w:t>
            </w:r>
            <w:r w:rsidRPr="00B75B77">
              <w:rPr>
                <w:rFonts w:cs="Arial"/>
              </w:rPr>
              <w:t xml:space="preserve"> program. On a 1 to 5 scale where 1 is “not at all influential” and 5 is “extremely influential,” please rate the influence of each element on your decision to participate in the Smart Multifamily program</w:t>
            </w:r>
          </w:p>
          <w:p w:rsidR="00BB039B" w:rsidRPr="00B75B77" w:rsidRDefault="00BB039B" w:rsidP="00BB039B">
            <w:pPr>
              <w:contextualSpacing/>
              <w:rPr>
                <w:rFonts w:cs="Arial"/>
              </w:rPr>
            </w:pPr>
            <w:r w:rsidRPr="00B75B77">
              <w:rPr>
                <w:rFonts w:cs="Arial"/>
              </w:rPr>
              <w:t>1  The free equipment</w:t>
            </w:r>
          </w:p>
          <w:p w:rsidR="00BB039B" w:rsidRPr="00B75B77" w:rsidRDefault="00BB039B" w:rsidP="00BB039B">
            <w:pPr>
              <w:contextualSpacing/>
              <w:rPr>
                <w:rFonts w:cs="Arial"/>
              </w:rPr>
            </w:pPr>
            <w:r w:rsidRPr="00B75B77">
              <w:rPr>
                <w:rFonts w:cs="Arial"/>
              </w:rPr>
              <w:t>2</w:t>
            </w:r>
            <w:r w:rsidRPr="00B75B77">
              <w:rPr>
                <w:rFonts w:cs="Arial"/>
              </w:rPr>
              <w:tab/>
              <w:t xml:space="preserve">  The energy cost savings associated with the efficient equipment </w:t>
            </w:r>
          </w:p>
          <w:p w:rsidR="00BB039B" w:rsidRPr="00B75B77" w:rsidRDefault="00BB039B" w:rsidP="00BB039B">
            <w:pPr>
              <w:contextualSpacing/>
              <w:rPr>
                <w:rFonts w:cs="Arial"/>
              </w:rPr>
            </w:pPr>
            <w:r w:rsidRPr="00B75B77">
              <w:rPr>
                <w:rFonts w:cs="Arial"/>
              </w:rPr>
              <w:t xml:space="preserve">3  </w:t>
            </w:r>
            <w:r w:rsidRPr="00B75B77">
              <w:rPr>
                <w:rFonts w:cs="Arial"/>
              </w:rPr>
              <w:tab/>
              <w:t>Your interaction with PECO</w:t>
            </w:r>
          </w:p>
          <w:p w:rsidR="00BB039B" w:rsidRPr="00B75B77" w:rsidRDefault="00BB039B" w:rsidP="00BB039B">
            <w:pPr>
              <w:contextualSpacing/>
              <w:rPr>
                <w:rFonts w:cs="Arial"/>
              </w:rPr>
            </w:pPr>
            <w:r w:rsidRPr="00B75B77">
              <w:rPr>
                <w:rFonts w:cs="Arial"/>
              </w:rPr>
              <w:t>4</w:t>
            </w:r>
            <w:r w:rsidRPr="00B75B77">
              <w:rPr>
                <w:rFonts w:cs="Arial"/>
              </w:rPr>
              <w:tab/>
              <w:t xml:space="preserve">  The information provided through marketing materials</w:t>
            </w:r>
          </w:p>
          <w:p w:rsidR="00BB039B" w:rsidRPr="00B75B77" w:rsidRDefault="00BB039B" w:rsidP="00BB039B">
            <w:pPr>
              <w:contextualSpacing/>
              <w:rPr>
                <w:rFonts w:cs="Arial"/>
              </w:rPr>
            </w:pPr>
            <w:r w:rsidRPr="00B75B77">
              <w:rPr>
                <w:rFonts w:cs="Arial"/>
              </w:rPr>
              <w:t>5   [nonresidential sector only] The prescriptive program incentives</w:t>
            </w:r>
          </w:p>
          <w:p w:rsidR="00BB039B" w:rsidRPr="00B75B77" w:rsidRDefault="00754C4E" w:rsidP="00754C4E">
            <w:pPr>
              <w:contextualSpacing/>
            </w:pPr>
            <w:r w:rsidRPr="00B75B77">
              <w:rPr>
                <w:rFonts w:cs="Arial"/>
              </w:rPr>
              <w:t>6</w:t>
            </w:r>
            <w:r w:rsidRPr="00B75B77">
              <w:rPr>
                <w:rFonts w:cs="Arial"/>
              </w:rPr>
              <w:tab/>
              <w:t xml:space="preserve">   OTHER MENTION</w:t>
            </w:r>
          </w:p>
        </w:tc>
      </w:tr>
      <w:tr w:rsidR="00BB039B" w:rsidRPr="00B75B77" w:rsidTr="00754C4E">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single" w:sz="4" w:space="0" w:color="auto"/>
            </w:tcBorders>
            <w:shd w:val="clear" w:color="auto" w:fill="auto"/>
            <w:noWrap/>
          </w:tcPr>
          <w:p w:rsidR="00BB039B" w:rsidRPr="00B75B77" w:rsidRDefault="00BB039B" w:rsidP="00BB039B">
            <w:pPr>
              <w:contextualSpacing/>
              <w:rPr>
                <w:rFonts w:cs="Arial"/>
              </w:rPr>
            </w:pPr>
            <w:r w:rsidRPr="00B75B77">
              <w:rPr>
                <w:rFonts w:cs="Arial"/>
                <w:b w:val="0"/>
              </w:rPr>
              <w:lastRenderedPageBreak/>
              <w:t>T</w:t>
            </w:r>
            <w:r w:rsidR="00754C4E" w:rsidRPr="00B75B77">
              <w:rPr>
                <w:rFonts w:cs="Arial"/>
                <w:b w:val="0"/>
              </w:rPr>
              <w:t>he maximum response to the above question is scored as follows:</w:t>
            </w:r>
          </w:p>
        </w:tc>
      </w:tr>
      <w:tr w:rsidR="00BB039B" w:rsidRPr="00B75B77" w:rsidTr="00D52DAD">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491" w:type="pct"/>
            <w:tcBorders>
              <w:top w:val="single" w:sz="4" w:space="0" w:color="auto"/>
              <w:left w:val="single" w:sz="4" w:space="0" w:color="auto"/>
              <w:bottom w:val="single" w:sz="4" w:space="0" w:color="auto"/>
              <w:right w:val="single" w:sz="4" w:space="0" w:color="auto"/>
            </w:tcBorders>
            <w:shd w:val="clear" w:color="auto" w:fill="448A99"/>
            <w:noWrap/>
            <w:hideMark/>
          </w:tcPr>
          <w:p w:rsidR="00BB039B" w:rsidRPr="00B75B77" w:rsidRDefault="00BB039B" w:rsidP="00754C4E">
            <w:pPr>
              <w:pStyle w:val="TableHeadingLeftAlign"/>
              <w:spacing w:before="0" w:after="0"/>
              <w:rPr>
                <w:rFonts w:asciiTheme="minorHAnsi" w:hAnsiTheme="minorHAnsi"/>
                <w:b/>
                <w:smallCaps w:val="0"/>
                <w:color w:val="FFFFFF" w:themeColor="background1"/>
                <w:sz w:val="18"/>
              </w:rPr>
            </w:pPr>
            <w:r w:rsidRPr="00B75B77">
              <w:rPr>
                <w:rFonts w:asciiTheme="minorHAnsi" w:hAnsiTheme="minorHAnsi"/>
                <w:b/>
                <w:smallCaps w:val="0"/>
                <w:color w:val="FFFFFF" w:themeColor="background1"/>
                <w:sz w:val="18"/>
              </w:rPr>
              <w:t>Program Influence Rating</w:t>
            </w:r>
          </w:p>
        </w:tc>
        <w:tc>
          <w:tcPr>
            <w:tcW w:w="1509" w:type="pct"/>
            <w:tcBorders>
              <w:top w:val="single" w:sz="4" w:space="0" w:color="auto"/>
              <w:left w:val="single" w:sz="4" w:space="0" w:color="auto"/>
              <w:bottom w:val="single" w:sz="4" w:space="0" w:color="auto"/>
              <w:right w:val="single" w:sz="4" w:space="0" w:color="auto"/>
            </w:tcBorders>
            <w:shd w:val="clear" w:color="auto" w:fill="448A99"/>
            <w:noWrap/>
            <w:hideMark/>
          </w:tcPr>
          <w:p w:rsidR="00BB039B" w:rsidRPr="00B75B77" w:rsidRDefault="00BB039B" w:rsidP="00754C4E">
            <w:pPr>
              <w:pStyle w:val="TableHeading0"/>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mallCaps w:val="0"/>
                <w:color w:val="FFFFFF" w:themeColor="background1"/>
                <w:sz w:val="18"/>
              </w:rPr>
            </w:pPr>
            <w:r w:rsidRPr="00B75B77">
              <w:rPr>
                <w:rFonts w:asciiTheme="minorHAnsi" w:hAnsiTheme="minorHAnsi"/>
                <w:smallCaps w:val="0"/>
                <w:color w:val="FFFFFF" w:themeColor="background1"/>
                <w:sz w:val="18"/>
              </w:rPr>
              <w:t>Influence Score</w:t>
            </w:r>
          </w:p>
        </w:tc>
      </w:tr>
      <w:tr w:rsidR="00BB039B" w:rsidRPr="00B75B77" w:rsidTr="00D52DAD">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491" w:type="pct"/>
            <w:tcBorders>
              <w:top w:val="single" w:sz="4" w:space="0" w:color="auto"/>
            </w:tcBorders>
            <w:noWrap/>
            <w:hideMark/>
          </w:tcPr>
          <w:p w:rsidR="00BB039B" w:rsidRPr="00B75B77" w:rsidRDefault="00BB039B" w:rsidP="00754C4E">
            <w:pPr>
              <w:pStyle w:val="TableBodyHeading"/>
              <w:spacing w:before="0" w:after="0"/>
              <w:rPr>
                <w:rFonts w:asciiTheme="minorHAnsi" w:hAnsiTheme="minorHAnsi"/>
              </w:rPr>
            </w:pPr>
            <w:r w:rsidRPr="00B75B77">
              <w:rPr>
                <w:rFonts w:asciiTheme="minorHAnsi" w:hAnsiTheme="minorHAnsi"/>
              </w:rPr>
              <w:t xml:space="preserve">1 – </w:t>
            </w:r>
            <w:r w:rsidR="00754C4E" w:rsidRPr="00B75B77">
              <w:rPr>
                <w:rFonts w:asciiTheme="minorHAnsi" w:hAnsiTheme="minorHAnsi"/>
              </w:rPr>
              <w:t>N</w:t>
            </w:r>
            <w:r w:rsidRPr="00B75B77">
              <w:rPr>
                <w:rFonts w:asciiTheme="minorHAnsi" w:hAnsiTheme="minorHAnsi"/>
              </w:rPr>
              <w:t>ot at all influential</w:t>
            </w:r>
          </w:p>
        </w:tc>
        <w:tc>
          <w:tcPr>
            <w:tcW w:w="1509" w:type="pct"/>
            <w:tcBorders>
              <w:top w:val="single" w:sz="4" w:space="0" w:color="auto"/>
            </w:tcBorders>
            <w:noWrap/>
            <w:hideMark/>
          </w:tcPr>
          <w:p w:rsidR="00BB039B" w:rsidRPr="00B75B77" w:rsidRDefault="00BB039B" w:rsidP="00754C4E">
            <w:pPr>
              <w:pStyle w:val="TableBody"/>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B75B77">
              <w:rPr>
                <w:rFonts w:asciiTheme="minorHAnsi" w:hAnsiTheme="minorHAnsi"/>
              </w:rPr>
              <w:t>50</w:t>
            </w:r>
          </w:p>
        </w:tc>
      </w:tr>
      <w:tr w:rsidR="00BB039B" w:rsidRPr="00B75B77" w:rsidTr="00D52DA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491" w:type="pct"/>
            <w:noWrap/>
            <w:hideMark/>
          </w:tcPr>
          <w:p w:rsidR="00BB039B" w:rsidRPr="00B75B77" w:rsidRDefault="00BB039B" w:rsidP="00754C4E">
            <w:pPr>
              <w:pStyle w:val="TableBodyHeading"/>
              <w:spacing w:before="0" w:after="0"/>
              <w:rPr>
                <w:rFonts w:asciiTheme="minorHAnsi" w:hAnsiTheme="minorHAnsi"/>
              </w:rPr>
            </w:pPr>
            <w:r w:rsidRPr="00B75B77">
              <w:rPr>
                <w:rFonts w:asciiTheme="minorHAnsi" w:hAnsiTheme="minorHAnsi"/>
              </w:rPr>
              <w:t>2</w:t>
            </w:r>
          </w:p>
        </w:tc>
        <w:tc>
          <w:tcPr>
            <w:tcW w:w="1509" w:type="pct"/>
            <w:noWrap/>
            <w:hideMark/>
          </w:tcPr>
          <w:p w:rsidR="00BB039B" w:rsidRPr="00B75B77" w:rsidRDefault="00BB039B" w:rsidP="00754C4E">
            <w:pPr>
              <w:pStyle w:val="TableBody"/>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75B77">
              <w:rPr>
                <w:rFonts w:asciiTheme="minorHAnsi" w:hAnsiTheme="minorHAnsi"/>
              </w:rPr>
              <w:t>37.5</w:t>
            </w:r>
          </w:p>
        </w:tc>
      </w:tr>
      <w:tr w:rsidR="00BB039B" w:rsidRPr="00B75B77" w:rsidTr="00D52DAD">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491" w:type="pct"/>
            <w:noWrap/>
            <w:hideMark/>
          </w:tcPr>
          <w:p w:rsidR="00BB039B" w:rsidRPr="00B75B77" w:rsidRDefault="00BB039B" w:rsidP="00754C4E">
            <w:pPr>
              <w:pStyle w:val="TableBodyHeading"/>
              <w:spacing w:before="0" w:after="0"/>
              <w:rPr>
                <w:rFonts w:asciiTheme="minorHAnsi" w:hAnsiTheme="minorHAnsi"/>
              </w:rPr>
            </w:pPr>
            <w:r w:rsidRPr="00B75B77">
              <w:rPr>
                <w:rFonts w:asciiTheme="minorHAnsi" w:hAnsiTheme="minorHAnsi"/>
              </w:rPr>
              <w:t>3</w:t>
            </w:r>
          </w:p>
        </w:tc>
        <w:tc>
          <w:tcPr>
            <w:tcW w:w="1509" w:type="pct"/>
            <w:noWrap/>
            <w:hideMark/>
          </w:tcPr>
          <w:p w:rsidR="00BB039B" w:rsidRPr="00B75B77" w:rsidRDefault="00BB039B" w:rsidP="00754C4E">
            <w:pPr>
              <w:pStyle w:val="TableBody"/>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B75B77">
              <w:rPr>
                <w:rFonts w:asciiTheme="minorHAnsi" w:hAnsiTheme="minorHAnsi"/>
              </w:rPr>
              <w:t>25</w:t>
            </w:r>
          </w:p>
        </w:tc>
      </w:tr>
      <w:tr w:rsidR="00BB039B" w:rsidRPr="00B75B77" w:rsidTr="00D52DA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491" w:type="pct"/>
            <w:noWrap/>
            <w:hideMark/>
          </w:tcPr>
          <w:p w:rsidR="00BB039B" w:rsidRPr="00B75B77" w:rsidRDefault="00BB039B" w:rsidP="00754C4E">
            <w:pPr>
              <w:pStyle w:val="TableBodyHeading"/>
              <w:spacing w:before="0" w:after="0"/>
              <w:rPr>
                <w:rFonts w:asciiTheme="minorHAnsi" w:hAnsiTheme="minorHAnsi"/>
              </w:rPr>
            </w:pPr>
            <w:r w:rsidRPr="00B75B77">
              <w:rPr>
                <w:rFonts w:asciiTheme="minorHAnsi" w:hAnsiTheme="minorHAnsi"/>
              </w:rPr>
              <w:t>4</w:t>
            </w:r>
          </w:p>
        </w:tc>
        <w:tc>
          <w:tcPr>
            <w:tcW w:w="1509" w:type="pct"/>
            <w:noWrap/>
            <w:hideMark/>
          </w:tcPr>
          <w:p w:rsidR="00BB039B" w:rsidRPr="00B75B77" w:rsidRDefault="00BB039B" w:rsidP="00754C4E">
            <w:pPr>
              <w:pStyle w:val="TableBody"/>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75B77">
              <w:rPr>
                <w:rFonts w:asciiTheme="minorHAnsi" w:hAnsiTheme="minorHAnsi"/>
              </w:rPr>
              <w:t>12.5</w:t>
            </w:r>
          </w:p>
        </w:tc>
      </w:tr>
      <w:tr w:rsidR="00BB039B" w:rsidRPr="00B75B77" w:rsidTr="00D52DAD">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491" w:type="pct"/>
            <w:noWrap/>
            <w:hideMark/>
          </w:tcPr>
          <w:p w:rsidR="00BB039B" w:rsidRPr="00B75B77" w:rsidRDefault="00BB039B" w:rsidP="00754C4E">
            <w:pPr>
              <w:pStyle w:val="TableBodyHeading"/>
              <w:spacing w:before="0" w:after="0"/>
              <w:rPr>
                <w:rFonts w:asciiTheme="minorHAnsi" w:hAnsiTheme="minorHAnsi"/>
              </w:rPr>
            </w:pPr>
            <w:r w:rsidRPr="00B75B77">
              <w:rPr>
                <w:rFonts w:asciiTheme="minorHAnsi" w:hAnsiTheme="minorHAnsi"/>
              </w:rPr>
              <w:t xml:space="preserve">5 – </w:t>
            </w:r>
            <w:r w:rsidR="00754C4E" w:rsidRPr="00B75B77">
              <w:rPr>
                <w:rFonts w:asciiTheme="minorHAnsi" w:hAnsiTheme="minorHAnsi"/>
              </w:rPr>
              <w:t>E</w:t>
            </w:r>
            <w:r w:rsidRPr="00B75B77">
              <w:rPr>
                <w:rFonts w:asciiTheme="minorHAnsi" w:hAnsiTheme="minorHAnsi"/>
              </w:rPr>
              <w:t>xtremely influential</w:t>
            </w:r>
          </w:p>
        </w:tc>
        <w:tc>
          <w:tcPr>
            <w:tcW w:w="1509" w:type="pct"/>
            <w:noWrap/>
            <w:hideMark/>
          </w:tcPr>
          <w:p w:rsidR="00BB039B" w:rsidRPr="00B75B77" w:rsidRDefault="00BB039B" w:rsidP="00754C4E">
            <w:pPr>
              <w:pStyle w:val="TableBody"/>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B75B77">
              <w:rPr>
                <w:rFonts w:asciiTheme="minorHAnsi" w:hAnsiTheme="minorHAnsi"/>
              </w:rPr>
              <w:t>0</w:t>
            </w:r>
          </w:p>
        </w:tc>
      </w:tr>
      <w:tr w:rsidR="00BB039B" w:rsidRPr="00B75B77" w:rsidTr="00D52DA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491" w:type="pct"/>
            <w:noWrap/>
            <w:hideMark/>
          </w:tcPr>
          <w:p w:rsidR="00BB039B" w:rsidRPr="00B75B77" w:rsidRDefault="00BB039B" w:rsidP="00754C4E">
            <w:pPr>
              <w:pStyle w:val="TableBodyHeading"/>
              <w:spacing w:before="0" w:after="0"/>
              <w:rPr>
                <w:rFonts w:asciiTheme="minorHAnsi" w:hAnsiTheme="minorHAnsi"/>
              </w:rPr>
            </w:pPr>
            <w:r w:rsidRPr="00B75B77">
              <w:rPr>
                <w:rFonts w:asciiTheme="minorHAnsi" w:hAnsiTheme="minorHAnsi"/>
              </w:rPr>
              <w:t>DK</w:t>
            </w:r>
          </w:p>
        </w:tc>
        <w:tc>
          <w:tcPr>
            <w:tcW w:w="1509" w:type="pct"/>
            <w:noWrap/>
            <w:hideMark/>
          </w:tcPr>
          <w:p w:rsidR="00BB039B" w:rsidRPr="00B75B77" w:rsidRDefault="00BB039B" w:rsidP="00754C4E">
            <w:pPr>
              <w:pStyle w:val="TableBody"/>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75B77">
              <w:rPr>
                <w:rFonts w:asciiTheme="minorHAnsi" w:hAnsiTheme="minorHAnsi"/>
              </w:rPr>
              <w:t>25</w:t>
            </w:r>
          </w:p>
        </w:tc>
      </w:tr>
    </w:tbl>
    <w:p w:rsidR="00BB039B" w:rsidRPr="00B75B77" w:rsidRDefault="00BB039B" w:rsidP="00754C4E">
      <w:pPr>
        <w:pStyle w:val="Source"/>
        <w:ind w:hanging="630"/>
      </w:pPr>
      <w:r w:rsidRPr="00B75B77">
        <w:t>Source: Adapted from SWE Common Approach for Measuring Free-Riders</w:t>
      </w:r>
    </w:p>
    <w:p w:rsidR="00BB039B" w:rsidRPr="00B75B77" w:rsidRDefault="00BB039B" w:rsidP="00BB039B">
      <w:r w:rsidRPr="00B75B77">
        <w:t xml:space="preserve">The evaluation team adapted the SWE common approach for measuring spillover in PY7. Based on a combination of telephone surveys and </w:t>
      </w:r>
      <w:r w:rsidR="00E5196E" w:rsidRPr="00B75B77">
        <w:t xml:space="preserve">an </w:t>
      </w:r>
      <w:r w:rsidRPr="00B75B77">
        <w:t xml:space="preserve">engineer desk review, </w:t>
      </w:r>
      <w:r w:rsidR="00E5196E" w:rsidRPr="00B75B77">
        <w:t xml:space="preserve">the team calculated </w:t>
      </w:r>
      <w:r w:rsidRPr="00B75B77">
        <w:t xml:space="preserve">spillover using the methodology summarized in </w:t>
      </w:r>
      <w:r w:rsidRPr="00B75B77">
        <w:fldChar w:fldCharType="begin"/>
      </w:r>
      <w:r w:rsidRPr="00B75B77">
        <w:instrText xml:space="preserve"> REF _Ref463418072 \h </w:instrText>
      </w:r>
      <w:r w:rsidR="00B75B77">
        <w:instrText xml:space="preserve"> \* MERGEFORMAT </w:instrText>
      </w:r>
      <w:r w:rsidRPr="00B75B77">
        <w:fldChar w:fldCharType="separate"/>
      </w:r>
      <w:r w:rsidR="0004016D" w:rsidRPr="00B75B77">
        <w:t xml:space="preserve">Table </w:t>
      </w:r>
      <w:r w:rsidR="0004016D">
        <w:rPr>
          <w:noProof/>
        </w:rPr>
        <w:t>14</w:t>
      </w:r>
      <w:r w:rsidR="0004016D" w:rsidRPr="00B75B77">
        <w:rPr>
          <w:noProof/>
        </w:rPr>
        <w:noBreakHyphen/>
      </w:r>
      <w:r w:rsidR="0004016D">
        <w:rPr>
          <w:noProof/>
        </w:rPr>
        <w:t>10</w:t>
      </w:r>
      <w:r w:rsidRPr="00B75B77">
        <w:fldChar w:fldCharType="end"/>
      </w:r>
      <w:r w:rsidRPr="00B75B77">
        <w:t>.</w:t>
      </w:r>
    </w:p>
    <w:p w:rsidR="00BB039B" w:rsidRPr="00B75B77" w:rsidRDefault="00BB039B" w:rsidP="00BB039B"/>
    <w:p w:rsidR="00BB039B" w:rsidRPr="00B75B77" w:rsidRDefault="00BB039B" w:rsidP="00E5196E">
      <w:pPr>
        <w:pStyle w:val="Caption"/>
      </w:pPr>
      <w:bookmarkStart w:id="873" w:name="_Ref463418072"/>
      <w:bookmarkStart w:id="874" w:name="_Toc466413628"/>
      <w:r w:rsidRPr="00B75B77">
        <w:t xml:space="preserve">Table </w:t>
      </w:r>
      <w:fldSimple w:instr=" STYLEREF 1 \s ">
        <w:r w:rsidR="0004016D">
          <w:rPr>
            <w:noProof/>
          </w:rPr>
          <w:t>14</w:t>
        </w:r>
      </w:fldSimple>
      <w:r w:rsidR="00F1144C" w:rsidRPr="00B75B77">
        <w:noBreakHyphen/>
      </w:r>
      <w:fldSimple w:instr=" SEQ Table \* ARABIC \s 1 ">
        <w:r w:rsidR="0004016D">
          <w:rPr>
            <w:noProof/>
          </w:rPr>
          <w:t>10</w:t>
        </w:r>
      </w:fldSimple>
      <w:bookmarkEnd w:id="873"/>
      <w:r w:rsidR="005679D7" w:rsidRPr="00B75B77">
        <w:rPr>
          <w:noProof/>
        </w:rPr>
        <w:t>:</w:t>
      </w:r>
      <w:r w:rsidRPr="00B75B77">
        <w:t xml:space="preserve"> Smart Multi</w:t>
      </w:r>
      <w:r w:rsidR="00D52DAD" w:rsidRPr="00B75B77">
        <w:t>-F</w:t>
      </w:r>
      <w:r w:rsidRPr="00B75B77">
        <w:t>amily Solutions NTG Spillover Method</w:t>
      </w:r>
      <w:bookmarkEnd w:id="874"/>
    </w:p>
    <w:tbl>
      <w:tblPr>
        <w:tblStyle w:val="PECOTeal"/>
        <w:tblW w:w="5000" w:type="pct"/>
        <w:tblLayout w:type="fixed"/>
        <w:tblLook w:val="04A0" w:firstRow="1" w:lastRow="0" w:firstColumn="1" w:lastColumn="0" w:noHBand="0" w:noVBand="1"/>
      </w:tblPr>
      <w:tblGrid>
        <w:gridCol w:w="4068"/>
        <w:gridCol w:w="2970"/>
        <w:gridCol w:w="2538"/>
      </w:tblGrid>
      <w:tr w:rsidR="00BB039B" w:rsidRPr="00B75B77" w:rsidTr="00D52DAD">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124" w:type="pct"/>
          </w:tcPr>
          <w:p w:rsidR="00BB039B" w:rsidRPr="00B75B77" w:rsidRDefault="00BB039B" w:rsidP="00E5196E">
            <w:pPr>
              <w:pStyle w:val="TableHeadingLeftAlign"/>
              <w:spacing w:before="0" w:after="0"/>
              <w:rPr>
                <w:rFonts w:asciiTheme="minorHAnsi" w:hAnsiTheme="minorHAnsi"/>
                <w:b/>
                <w:smallCaps w:val="0"/>
                <w:sz w:val="18"/>
              </w:rPr>
            </w:pPr>
            <w:r w:rsidRPr="00B75B77">
              <w:rPr>
                <w:rFonts w:asciiTheme="minorHAnsi" w:hAnsiTheme="minorHAnsi"/>
                <w:b/>
                <w:smallCaps w:val="0"/>
                <w:sz w:val="18"/>
              </w:rPr>
              <w:t>Question</w:t>
            </w:r>
          </w:p>
        </w:tc>
        <w:tc>
          <w:tcPr>
            <w:tcW w:w="1551" w:type="pct"/>
            <w:noWrap/>
            <w:hideMark/>
          </w:tcPr>
          <w:p w:rsidR="00BB039B" w:rsidRPr="00B75B77" w:rsidRDefault="00BB039B" w:rsidP="00E5196E">
            <w:pPr>
              <w:pStyle w:val="TableHeadingLeftAlign"/>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smallCaps w:val="0"/>
                <w:sz w:val="18"/>
              </w:rPr>
            </w:pPr>
            <w:r w:rsidRPr="00B75B77">
              <w:rPr>
                <w:rFonts w:asciiTheme="minorHAnsi" w:hAnsiTheme="minorHAnsi"/>
                <w:b/>
                <w:smallCaps w:val="0"/>
                <w:sz w:val="18"/>
              </w:rPr>
              <w:t>Response</w:t>
            </w:r>
          </w:p>
        </w:tc>
        <w:tc>
          <w:tcPr>
            <w:tcW w:w="1325" w:type="pct"/>
            <w:noWrap/>
            <w:hideMark/>
          </w:tcPr>
          <w:p w:rsidR="00BB039B" w:rsidRPr="00B75B77" w:rsidRDefault="00BB039B" w:rsidP="00E5196E">
            <w:pPr>
              <w:pStyle w:val="TableHeading0"/>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smallCaps w:val="0"/>
                <w:sz w:val="18"/>
              </w:rPr>
            </w:pPr>
            <w:r w:rsidRPr="00B75B77">
              <w:rPr>
                <w:rFonts w:asciiTheme="minorHAnsi" w:hAnsiTheme="minorHAnsi"/>
                <w:b/>
                <w:smallCaps w:val="0"/>
                <w:sz w:val="18"/>
              </w:rPr>
              <w:t>Algorithm</w:t>
            </w:r>
          </w:p>
        </w:tc>
      </w:tr>
      <w:tr w:rsidR="00BB039B" w:rsidRPr="00B75B77" w:rsidTr="00E5196E">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2124" w:type="pct"/>
            <w:vMerge w:val="restart"/>
            <w:shd w:val="clear" w:color="auto" w:fill="auto"/>
          </w:tcPr>
          <w:p w:rsidR="00BB039B" w:rsidRPr="00B75B77" w:rsidRDefault="00BB039B" w:rsidP="00E5196E">
            <w:pPr>
              <w:pStyle w:val="TableBodyHeading"/>
              <w:keepNext/>
              <w:spacing w:before="0" w:after="0"/>
              <w:ind w:left="180" w:hanging="180"/>
              <w:rPr>
                <w:rFonts w:asciiTheme="minorHAnsi" w:hAnsiTheme="minorHAnsi"/>
              </w:rPr>
            </w:pPr>
            <w:r w:rsidRPr="00B75B77">
              <w:rPr>
                <w:rFonts w:asciiTheme="minorHAnsi" w:hAnsiTheme="minorHAnsi"/>
              </w:rPr>
              <w:t>1. As a result of your participation in the Smart Multi</w:t>
            </w:r>
            <w:r w:rsidR="002C3D01" w:rsidRPr="00B75B77">
              <w:rPr>
                <w:rFonts w:asciiTheme="minorHAnsi" w:hAnsiTheme="minorHAnsi"/>
              </w:rPr>
              <w:t>-F</w:t>
            </w:r>
            <w:r w:rsidRPr="00B75B77">
              <w:rPr>
                <w:rFonts w:asciiTheme="minorHAnsi" w:hAnsiTheme="minorHAnsi"/>
              </w:rPr>
              <w:t>amily Solutions Program, have you implemented any additional energy efficient measures for which you did not receive an incentive through any utility or government program?</w:t>
            </w:r>
          </w:p>
        </w:tc>
        <w:tc>
          <w:tcPr>
            <w:tcW w:w="1551" w:type="pct"/>
            <w:noWrap/>
          </w:tcPr>
          <w:p w:rsidR="00BB039B" w:rsidRPr="00B75B77" w:rsidRDefault="00BB039B" w:rsidP="00E5196E">
            <w:pPr>
              <w:pStyle w:val="TableBodyHeading"/>
              <w:keepN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75B77">
              <w:rPr>
                <w:rFonts w:asciiTheme="minorHAnsi" w:hAnsiTheme="minorHAnsi"/>
              </w:rPr>
              <w:t>YES</w:t>
            </w:r>
          </w:p>
        </w:tc>
        <w:tc>
          <w:tcPr>
            <w:tcW w:w="1325" w:type="pct"/>
            <w:noWrap/>
          </w:tcPr>
          <w:p w:rsidR="00BB039B" w:rsidRPr="00B75B77" w:rsidRDefault="00BB039B" w:rsidP="00E5196E">
            <w:pPr>
              <w:pStyle w:val="TableBody"/>
              <w:keepNext/>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75B77">
              <w:rPr>
                <w:rFonts w:asciiTheme="minorHAnsi" w:hAnsiTheme="minorHAnsi"/>
                <w:color w:val="000000"/>
              </w:rPr>
              <w:t>Go to Q2</w:t>
            </w:r>
          </w:p>
        </w:tc>
      </w:tr>
      <w:tr w:rsidR="00BB039B" w:rsidRPr="00B75B77" w:rsidTr="00E5196E">
        <w:trPr>
          <w:cnfStyle w:val="000000010000" w:firstRow="0" w:lastRow="0" w:firstColumn="0" w:lastColumn="0" w:oddVBand="0" w:evenVBand="0" w:oddHBand="0" w:evenHBand="1"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2124" w:type="pct"/>
            <w:vMerge/>
            <w:shd w:val="clear" w:color="auto" w:fill="auto"/>
          </w:tcPr>
          <w:p w:rsidR="00BB039B" w:rsidRPr="00B75B77" w:rsidRDefault="00BB039B" w:rsidP="00E5196E">
            <w:pPr>
              <w:pStyle w:val="TableBodyHeading"/>
              <w:keepNext/>
              <w:spacing w:before="0" w:after="0"/>
              <w:ind w:left="180" w:hanging="180"/>
              <w:rPr>
                <w:rFonts w:asciiTheme="minorHAnsi" w:hAnsiTheme="minorHAnsi"/>
              </w:rPr>
            </w:pPr>
          </w:p>
        </w:tc>
        <w:tc>
          <w:tcPr>
            <w:tcW w:w="1551" w:type="pct"/>
            <w:shd w:val="clear" w:color="auto" w:fill="auto"/>
            <w:noWrap/>
          </w:tcPr>
          <w:p w:rsidR="00BB039B" w:rsidRPr="00B75B77" w:rsidRDefault="00BB039B" w:rsidP="00E5196E">
            <w:pPr>
              <w:pStyle w:val="TableBodyHeading"/>
              <w:keepNext/>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B75B77">
              <w:rPr>
                <w:rFonts w:asciiTheme="minorHAnsi" w:hAnsiTheme="minorHAnsi"/>
              </w:rPr>
              <w:t>NO</w:t>
            </w:r>
          </w:p>
        </w:tc>
        <w:tc>
          <w:tcPr>
            <w:tcW w:w="1325" w:type="pct"/>
            <w:shd w:val="clear" w:color="auto" w:fill="auto"/>
            <w:noWrap/>
          </w:tcPr>
          <w:p w:rsidR="00BB039B" w:rsidRPr="00B75B77" w:rsidRDefault="00BB039B" w:rsidP="00E5196E">
            <w:pPr>
              <w:pStyle w:val="TableBody"/>
              <w:keepNext/>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rPr>
            </w:pPr>
            <w:r w:rsidRPr="00B75B77">
              <w:rPr>
                <w:rFonts w:asciiTheme="minorHAnsi" w:hAnsiTheme="minorHAnsi"/>
                <w:color w:val="000000"/>
              </w:rPr>
              <w:t>SPILLOVER = 0</w:t>
            </w:r>
          </w:p>
        </w:tc>
      </w:tr>
      <w:tr w:rsidR="00BB039B" w:rsidRPr="00B75B77" w:rsidTr="00E5196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124" w:type="pct"/>
          </w:tcPr>
          <w:p w:rsidR="00BB039B" w:rsidRPr="00B75B77" w:rsidRDefault="00BB039B" w:rsidP="00E5196E">
            <w:pPr>
              <w:pStyle w:val="TableBodyHeading"/>
              <w:keepNext/>
              <w:spacing w:before="0" w:after="0"/>
              <w:ind w:left="180" w:hanging="180"/>
              <w:rPr>
                <w:rFonts w:asciiTheme="minorHAnsi" w:hAnsiTheme="minorHAnsi"/>
              </w:rPr>
            </w:pPr>
            <w:r w:rsidRPr="00B75B77">
              <w:rPr>
                <w:rFonts w:asciiTheme="minorHAnsi" w:hAnsiTheme="minorHAnsi"/>
              </w:rPr>
              <w:t>2. What was the first, second, third measure you implemented?</w:t>
            </w:r>
          </w:p>
        </w:tc>
        <w:tc>
          <w:tcPr>
            <w:tcW w:w="1551" w:type="pct"/>
            <w:noWrap/>
          </w:tcPr>
          <w:p w:rsidR="00BB039B" w:rsidRPr="00B75B77" w:rsidRDefault="00BB039B" w:rsidP="00E5196E">
            <w:pPr>
              <w:pStyle w:val="TableBodyHeading"/>
              <w:keepN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75B77">
              <w:rPr>
                <w:rFonts w:asciiTheme="minorHAnsi" w:hAnsiTheme="minorHAnsi"/>
              </w:rPr>
              <w:t>NewMeasure1, NewMeasure2, NewMeasure3</w:t>
            </w:r>
          </w:p>
        </w:tc>
        <w:tc>
          <w:tcPr>
            <w:tcW w:w="1325" w:type="pct"/>
            <w:noWrap/>
          </w:tcPr>
          <w:p w:rsidR="00BB039B" w:rsidRPr="00B75B77" w:rsidRDefault="00BB039B" w:rsidP="00E5196E">
            <w:pPr>
              <w:pStyle w:val="TableBody"/>
              <w:keepNext/>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75B77">
              <w:rPr>
                <w:rFonts w:asciiTheme="minorHAnsi" w:hAnsiTheme="minorHAnsi"/>
              </w:rPr>
              <w:t>Go to Q3</w:t>
            </w:r>
          </w:p>
        </w:tc>
      </w:tr>
      <w:tr w:rsidR="00BB039B" w:rsidRPr="00B75B77" w:rsidTr="00E5196E">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124" w:type="pct"/>
            <w:shd w:val="clear" w:color="auto" w:fill="auto"/>
          </w:tcPr>
          <w:p w:rsidR="00BB039B" w:rsidRPr="00B75B77" w:rsidRDefault="00BB039B" w:rsidP="00E5196E">
            <w:pPr>
              <w:pStyle w:val="TableBodyHeading"/>
              <w:keepNext/>
              <w:spacing w:before="0" w:after="0"/>
              <w:ind w:left="180" w:hanging="180"/>
              <w:rPr>
                <w:rFonts w:asciiTheme="minorHAnsi" w:hAnsiTheme="minorHAnsi"/>
              </w:rPr>
            </w:pPr>
            <w:r w:rsidRPr="00B75B77">
              <w:rPr>
                <w:rFonts w:asciiTheme="minorHAnsi" w:hAnsiTheme="minorHAnsi"/>
              </w:rPr>
              <w:t>3. Please describe the QUANTITY, SIZE, and EFFICIENCY of this measure</w:t>
            </w:r>
          </w:p>
        </w:tc>
        <w:tc>
          <w:tcPr>
            <w:tcW w:w="1551" w:type="pct"/>
            <w:shd w:val="clear" w:color="auto" w:fill="auto"/>
            <w:noWrap/>
          </w:tcPr>
          <w:p w:rsidR="00BB039B" w:rsidRPr="00B75B77" w:rsidRDefault="00BB039B" w:rsidP="00E5196E">
            <w:pPr>
              <w:pStyle w:val="TableBodyHeading"/>
              <w:keepNext/>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B75B77">
              <w:rPr>
                <w:rFonts w:asciiTheme="minorHAnsi" w:hAnsiTheme="minorHAnsi"/>
              </w:rPr>
              <w:t>Quantity, Size, Efficiency</w:t>
            </w:r>
          </w:p>
        </w:tc>
        <w:tc>
          <w:tcPr>
            <w:tcW w:w="1325" w:type="pct"/>
            <w:shd w:val="clear" w:color="auto" w:fill="auto"/>
            <w:noWrap/>
          </w:tcPr>
          <w:p w:rsidR="00BB039B" w:rsidRPr="00B75B77" w:rsidRDefault="00BB039B" w:rsidP="00E5196E">
            <w:pPr>
              <w:pStyle w:val="TableBody"/>
              <w:keepNext/>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B75B77">
              <w:rPr>
                <w:rFonts w:asciiTheme="minorHAnsi" w:hAnsiTheme="minorHAnsi"/>
              </w:rPr>
              <w:t>Varies</w:t>
            </w:r>
          </w:p>
        </w:tc>
      </w:tr>
      <w:tr w:rsidR="00BB039B" w:rsidRPr="00B75B77" w:rsidTr="00E5196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124" w:type="pct"/>
            <w:vMerge w:val="restart"/>
          </w:tcPr>
          <w:p w:rsidR="00BB039B" w:rsidRPr="00B75B77" w:rsidRDefault="00BB039B" w:rsidP="00E5196E">
            <w:pPr>
              <w:pStyle w:val="TableBodyHeading"/>
              <w:keepNext/>
              <w:spacing w:before="0" w:after="0"/>
              <w:ind w:left="180" w:hanging="180"/>
              <w:rPr>
                <w:rFonts w:asciiTheme="minorHAnsi" w:hAnsiTheme="minorHAnsi"/>
              </w:rPr>
            </w:pPr>
            <w:r w:rsidRPr="00B75B77">
              <w:rPr>
                <w:rFonts w:asciiTheme="minorHAnsi" w:hAnsiTheme="minorHAnsi"/>
              </w:rPr>
              <w:t>4. How significant was your experience in the Smart Multi</w:t>
            </w:r>
            <w:r w:rsidR="002C3D01" w:rsidRPr="00B75B77">
              <w:rPr>
                <w:rFonts w:asciiTheme="minorHAnsi" w:hAnsiTheme="minorHAnsi"/>
              </w:rPr>
              <w:t>-F</w:t>
            </w:r>
            <w:r w:rsidRPr="00B75B77">
              <w:rPr>
                <w:rFonts w:asciiTheme="minorHAnsi" w:hAnsiTheme="minorHAnsi"/>
              </w:rPr>
              <w:t>amily Solutions program in your decision to implement &lt;NEWMEASURE_#&gt;, using a scale of 0 to 5, where 0 is not at all significant and 5 is extremely significant?</w:t>
            </w:r>
          </w:p>
        </w:tc>
        <w:tc>
          <w:tcPr>
            <w:tcW w:w="1551" w:type="pct"/>
            <w:noWrap/>
          </w:tcPr>
          <w:p w:rsidR="00BB039B" w:rsidRPr="00B75B77" w:rsidRDefault="00BB039B" w:rsidP="00E5196E">
            <w:pPr>
              <w:pStyle w:val="TableBodyHeading"/>
              <w:keepN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75B77">
              <w:rPr>
                <w:rFonts w:asciiTheme="minorHAnsi" w:hAnsiTheme="minorHAnsi"/>
              </w:rPr>
              <w:t>4 or 5</w:t>
            </w:r>
          </w:p>
        </w:tc>
        <w:tc>
          <w:tcPr>
            <w:tcW w:w="1325" w:type="pct"/>
            <w:noWrap/>
          </w:tcPr>
          <w:p w:rsidR="00BB039B" w:rsidRPr="00B75B77" w:rsidRDefault="00BB039B" w:rsidP="00E5196E">
            <w:pPr>
              <w:pStyle w:val="TableBody"/>
              <w:keepNext/>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75B77">
              <w:rPr>
                <w:rFonts w:asciiTheme="minorHAnsi" w:hAnsiTheme="minorHAnsi"/>
              </w:rPr>
              <w:t>1.0</w:t>
            </w:r>
          </w:p>
        </w:tc>
      </w:tr>
      <w:tr w:rsidR="00BB039B" w:rsidRPr="00B75B77" w:rsidTr="00E5196E">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124" w:type="pct"/>
            <w:vMerge/>
            <w:shd w:val="clear" w:color="auto" w:fill="D2EAF1"/>
          </w:tcPr>
          <w:p w:rsidR="00BB039B" w:rsidRPr="00B75B77" w:rsidRDefault="00BB039B" w:rsidP="00E5196E">
            <w:pPr>
              <w:pStyle w:val="TableBodyHeading"/>
              <w:keepNext/>
              <w:spacing w:before="0" w:after="0"/>
              <w:ind w:left="180" w:hanging="180"/>
              <w:rPr>
                <w:rFonts w:asciiTheme="minorHAnsi" w:hAnsiTheme="minorHAnsi"/>
              </w:rPr>
            </w:pPr>
          </w:p>
        </w:tc>
        <w:tc>
          <w:tcPr>
            <w:tcW w:w="1551" w:type="pct"/>
            <w:shd w:val="clear" w:color="auto" w:fill="auto"/>
            <w:noWrap/>
          </w:tcPr>
          <w:p w:rsidR="00BB039B" w:rsidRPr="00B75B77" w:rsidRDefault="00BB039B" w:rsidP="00E5196E">
            <w:pPr>
              <w:pStyle w:val="TableBodyHeading"/>
              <w:keepNext/>
              <w:spacing w:before="0" w:after="0"/>
              <w:ind w:left="180" w:hanging="18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B75B77">
              <w:rPr>
                <w:rFonts w:asciiTheme="minorHAnsi" w:hAnsiTheme="minorHAnsi"/>
              </w:rPr>
              <w:t>2 or 3</w:t>
            </w:r>
          </w:p>
        </w:tc>
        <w:tc>
          <w:tcPr>
            <w:tcW w:w="1325" w:type="pct"/>
            <w:shd w:val="clear" w:color="auto" w:fill="auto"/>
            <w:noWrap/>
          </w:tcPr>
          <w:p w:rsidR="00BB039B" w:rsidRPr="00B75B77" w:rsidRDefault="00BB039B" w:rsidP="00E5196E">
            <w:pPr>
              <w:pStyle w:val="TableBody"/>
              <w:keepNext/>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B75B77">
              <w:rPr>
                <w:rFonts w:asciiTheme="minorHAnsi" w:hAnsiTheme="minorHAnsi"/>
              </w:rPr>
              <w:t>0.5</w:t>
            </w:r>
          </w:p>
        </w:tc>
      </w:tr>
      <w:tr w:rsidR="00BB039B" w:rsidRPr="00B75B77" w:rsidTr="00E5196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124" w:type="pct"/>
            <w:vMerge/>
            <w:tcBorders>
              <w:bottom w:val="single" w:sz="4" w:space="0" w:color="auto"/>
            </w:tcBorders>
          </w:tcPr>
          <w:p w:rsidR="00BB039B" w:rsidRPr="00B75B77" w:rsidRDefault="00BB039B" w:rsidP="00E5196E">
            <w:pPr>
              <w:pStyle w:val="TableBodyHeading"/>
              <w:keepNext/>
              <w:spacing w:before="0" w:after="0"/>
              <w:ind w:left="180" w:hanging="180"/>
              <w:rPr>
                <w:rFonts w:asciiTheme="minorHAnsi" w:hAnsiTheme="minorHAnsi"/>
              </w:rPr>
            </w:pPr>
          </w:p>
        </w:tc>
        <w:tc>
          <w:tcPr>
            <w:tcW w:w="1551" w:type="pct"/>
            <w:tcBorders>
              <w:bottom w:val="single" w:sz="4" w:space="0" w:color="auto"/>
            </w:tcBorders>
            <w:noWrap/>
          </w:tcPr>
          <w:p w:rsidR="00BB039B" w:rsidRPr="00B75B77" w:rsidRDefault="00BB039B" w:rsidP="00E5196E">
            <w:pPr>
              <w:pStyle w:val="TableBodyHeading"/>
              <w:keepNext/>
              <w:spacing w:before="0" w:after="0"/>
              <w:ind w:left="180" w:hanging="1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75B77">
              <w:rPr>
                <w:rFonts w:asciiTheme="minorHAnsi" w:hAnsiTheme="minorHAnsi"/>
              </w:rPr>
              <w:t>0 or 1</w:t>
            </w:r>
          </w:p>
        </w:tc>
        <w:tc>
          <w:tcPr>
            <w:tcW w:w="1325" w:type="pct"/>
            <w:tcBorders>
              <w:bottom w:val="single" w:sz="4" w:space="0" w:color="auto"/>
            </w:tcBorders>
            <w:noWrap/>
          </w:tcPr>
          <w:p w:rsidR="00BB039B" w:rsidRPr="00B75B77" w:rsidRDefault="00BB039B" w:rsidP="00E5196E">
            <w:pPr>
              <w:pStyle w:val="TableBody"/>
              <w:keepNext/>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75B77">
              <w:rPr>
                <w:rFonts w:asciiTheme="minorHAnsi" w:hAnsiTheme="minorHAnsi"/>
              </w:rPr>
              <w:t>0</w:t>
            </w:r>
          </w:p>
        </w:tc>
      </w:tr>
      <w:tr w:rsidR="00BB039B" w:rsidRPr="00B75B77" w:rsidTr="00D52DAD">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448A99"/>
          </w:tcPr>
          <w:p w:rsidR="00BB039B" w:rsidRPr="00B75B77" w:rsidRDefault="00E5196E" w:rsidP="00E5196E">
            <w:pPr>
              <w:pStyle w:val="TableBody"/>
              <w:keepNext/>
              <w:spacing w:before="0" w:after="0"/>
              <w:ind w:left="187" w:hanging="187"/>
              <w:jc w:val="left"/>
              <w:rPr>
                <w:rFonts w:asciiTheme="minorHAnsi" w:hAnsiTheme="minorHAnsi"/>
              </w:rPr>
            </w:pPr>
            <w:r w:rsidRPr="00B75B77">
              <w:rPr>
                <w:rFonts w:asciiTheme="minorHAnsi" w:hAnsiTheme="minorHAnsi"/>
                <w:color w:val="FFFFFF" w:themeColor="background1"/>
              </w:rPr>
              <w:t>Steps</w:t>
            </w:r>
          </w:p>
        </w:tc>
      </w:tr>
      <w:tr w:rsidR="00BB039B" w:rsidRPr="00B75B77" w:rsidTr="00E5196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tcBorders>
            <w:shd w:val="clear" w:color="auto" w:fill="auto"/>
          </w:tcPr>
          <w:p w:rsidR="00BB039B" w:rsidRPr="00B75B77" w:rsidRDefault="00BB039B" w:rsidP="00E5196E">
            <w:pPr>
              <w:pStyle w:val="TableBody"/>
              <w:keepNext/>
              <w:spacing w:before="0" w:after="0"/>
              <w:jc w:val="left"/>
              <w:rPr>
                <w:rFonts w:asciiTheme="minorHAnsi" w:hAnsiTheme="minorHAnsi"/>
              </w:rPr>
            </w:pPr>
            <w:r w:rsidRPr="00B75B77">
              <w:rPr>
                <w:rFonts w:asciiTheme="minorHAnsi" w:hAnsiTheme="minorHAnsi"/>
              </w:rPr>
              <w:t xml:space="preserve">Step 1. </w:t>
            </w:r>
            <w:r w:rsidRPr="00B75B77">
              <w:rPr>
                <w:rFonts w:asciiTheme="minorHAnsi" w:hAnsiTheme="minorHAnsi"/>
                <w:b w:val="0"/>
              </w:rPr>
              <w:t>IF [response to Q4 ≥ 2] THEN engineers will use responses to Q3 to estimate gross savings with the associated measure. OTHERWISE the estimated gross savings with the associated measure will be set to zero.</w:t>
            </w:r>
          </w:p>
          <w:p w:rsidR="00BB039B" w:rsidRPr="00B75B77" w:rsidRDefault="00BB039B" w:rsidP="00E5196E">
            <w:pPr>
              <w:pStyle w:val="TableBody"/>
              <w:keepNext/>
              <w:spacing w:before="0" w:after="0"/>
              <w:jc w:val="left"/>
              <w:rPr>
                <w:rFonts w:asciiTheme="minorHAnsi" w:hAnsiTheme="minorHAnsi"/>
              </w:rPr>
            </w:pPr>
            <w:r w:rsidRPr="00B75B77">
              <w:rPr>
                <w:rFonts w:asciiTheme="minorHAnsi" w:hAnsiTheme="minorHAnsi"/>
              </w:rPr>
              <w:t xml:space="preserve">Step 2. </w:t>
            </w:r>
            <w:r w:rsidRPr="00B75B77">
              <w:rPr>
                <w:rFonts w:asciiTheme="minorHAnsi" w:hAnsiTheme="minorHAnsi"/>
                <w:b w:val="0"/>
              </w:rPr>
              <w:t>The estimated gross savings will be multiplied by attribution percentage indicated by response to Q4.</w:t>
            </w:r>
          </w:p>
          <w:p w:rsidR="00BB039B" w:rsidRPr="00B75B77" w:rsidRDefault="00BB039B" w:rsidP="00E5196E">
            <w:pPr>
              <w:pStyle w:val="TableBody"/>
              <w:keepNext/>
              <w:spacing w:before="0" w:after="0"/>
              <w:jc w:val="left"/>
              <w:rPr>
                <w:rFonts w:asciiTheme="minorHAnsi" w:hAnsiTheme="minorHAnsi"/>
              </w:rPr>
            </w:pPr>
            <w:r w:rsidRPr="00B75B77">
              <w:rPr>
                <w:rFonts w:asciiTheme="minorHAnsi" w:hAnsiTheme="minorHAnsi"/>
              </w:rPr>
              <w:t xml:space="preserve">Step 3. </w:t>
            </w:r>
            <w:r w:rsidRPr="00B75B77">
              <w:rPr>
                <w:rFonts w:asciiTheme="minorHAnsi" w:hAnsiTheme="minorHAnsi"/>
                <w:b w:val="0"/>
              </w:rPr>
              <w:t>Spillover rate will be equal to the sum of the individual spillover savings divided by the ex post gross kWh savings associated with the survey sample.</w:t>
            </w:r>
          </w:p>
        </w:tc>
      </w:tr>
      <w:tr w:rsidR="00BB039B" w:rsidRPr="00B75B77" w:rsidTr="00D52DAD">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2EAF1"/>
          </w:tcPr>
          <w:p w:rsidR="00BB039B" w:rsidRPr="00B75B77" w:rsidRDefault="00237810" w:rsidP="00E5196E">
            <w:pPr>
              <w:pStyle w:val="TableBody"/>
              <w:keepNext/>
              <w:shd w:val="clear" w:color="auto" w:fill="D2EAF1"/>
              <w:tabs>
                <w:tab w:val="decimal" w:pos="1253"/>
              </w:tabs>
              <w:spacing w:before="0" w:after="0"/>
              <w:jc w:val="left"/>
              <w:rPr>
                <w:rFonts w:asciiTheme="minorHAnsi" w:hAnsiTheme="minorHAnsi"/>
              </w:rPr>
            </w:pPr>
            <m:oMath>
              <m:sSub>
                <m:sSubPr>
                  <m:ctrlPr>
                    <w:rPr>
                      <w:rFonts w:ascii="Cambria Math" w:hAnsi="Cambria Math"/>
                      <w:i/>
                    </w:rPr>
                  </m:ctrlPr>
                </m:sSubPr>
                <m:e>
                  <m:r>
                    <m:rPr>
                      <m:nor/>
                    </m:rPr>
                    <w:rPr>
                      <w:rFonts w:asciiTheme="minorHAnsi" w:hAnsiTheme="minorHAnsi"/>
                    </w:rPr>
                    <m:t>SpilloverSavings</m:t>
                  </m:r>
                </m:e>
                <m:sub>
                  <m:r>
                    <m:rPr>
                      <m:nor/>
                    </m:rPr>
                    <w:rPr>
                      <w:rFonts w:asciiTheme="minorHAnsi" w:hAnsiTheme="minorHAnsi"/>
                    </w:rPr>
                    <m:t>i</m:t>
                  </m:r>
                </m:sub>
              </m:sSub>
              <m:r>
                <m:rPr>
                  <m:nor/>
                </m:rPr>
                <w:rPr>
                  <w:rFonts w:asciiTheme="minorHAnsi" w:hAnsiTheme="minorHAnsi"/>
                </w:rPr>
                <m:t>=</m:t>
              </m:r>
              <m:nary>
                <m:naryPr>
                  <m:chr m:val="∑"/>
                  <m:limLoc m:val="undOvr"/>
                  <m:supHide m:val="1"/>
                  <m:ctrlPr>
                    <w:rPr>
                      <w:rFonts w:ascii="Cambria Math" w:hAnsi="Cambria Math"/>
                      <w:i/>
                    </w:rPr>
                  </m:ctrlPr>
                </m:naryPr>
                <m:sub>
                  <m:r>
                    <m:rPr>
                      <m:nor/>
                    </m:rPr>
                    <w:rPr>
                      <w:rFonts w:asciiTheme="minorHAnsi" w:hAnsiTheme="minorHAnsi"/>
                    </w:rPr>
                    <m:t>m</m:t>
                  </m:r>
                </m:sub>
                <m:sup/>
                <m:e>
                  <m:sSub>
                    <m:sSubPr>
                      <m:ctrlPr>
                        <w:rPr>
                          <w:rFonts w:ascii="Cambria Math" w:hAnsi="Cambria Math"/>
                          <w:i/>
                        </w:rPr>
                      </m:ctrlPr>
                    </m:sSubPr>
                    <m:e>
                      <m:r>
                        <m:rPr>
                          <m:nor/>
                        </m:rPr>
                        <w:rPr>
                          <w:rFonts w:asciiTheme="minorHAnsi" w:hAnsiTheme="minorHAnsi"/>
                        </w:rPr>
                        <m:t>EstimatedGrossSavings</m:t>
                      </m:r>
                    </m:e>
                    <m:sub>
                      <m:r>
                        <m:rPr>
                          <m:nor/>
                        </m:rPr>
                        <w:rPr>
                          <w:rFonts w:asciiTheme="minorHAnsi" w:hAnsiTheme="minorHAnsi"/>
                        </w:rPr>
                        <m:t>m</m:t>
                      </m:r>
                    </m:sub>
                  </m:sSub>
                  <m:r>
                    <m:rPr>
                      <m:nor/>
                    </m:rPr>
                    <w:rPr>
                      <w:rFonts w:asciiTheme="minorHAnsi" w:hAnsiTheme="minorHAnsi"/>
                    </w:rPr>
                    <m:t>*</m:t>
                  </m:r>
                  <m:sSub>
                    <m:sSubPr>
                      <m:ctrlPr>
                        <w:rPr>
                          <w:rFonts w:ascii="Cambria Math" w:hAnsi="Cambria Math"/>
                          <w:i/>
                        </w:rPr>
                      </m:ctrlPr>
                    </m:sSubPr>
                    <m:e>
                      <m:r>
                        <m:rPr>
                          <m:nor/>
                        </m:rPr>
                        <w:rPr>
                          <w:rFonts w:asciiTheme="minorHAnsi" w:hAnsiTheme="minorHAnsi"/>
                        </w:rPr>
                        <m:t>Q4</m:t>
                      </m:r>
                    </m:e>
                    <m:sub>
                      <m:r>
                        <m:rPr>
                          <m:nor/>
                        </m:rPr>
                        <w:rPr>
                          <w:rFonts w:asciiTheme="minorHAnsi" w:hAnsiTheme="minorHAnsi"/>
                        </w:rPr>
                        <m:t>m</m:t>
                      </m:r>
                    </m:sub>
                  </m:sSub>
                </m:e>
              </m:nary>
            </m:oMath>
            <w:r w:rsidR="00BB039B" w:rsidRPr="00B75B77">
              <w:rPr>
                <w:rFonts w:asciiTheme="minorHAnsi" w:hAnsiTheme="minorHAnsi"/>
                <w:sz w:val="16"/>
              </w:rPr>
              <w:t xml:space="preserve"> </w:t>
            </w:r>
          </w:p>
          <w:p w:rsidR="00BB039B" w:rsidRPr="00B75B77" w:rsidRDefault="00BB039B" w:rsidP="00E5196E">
            <w:pPr>
              <w:pStyle w:val="TableBody"/>
              <w:keepNext/>
              <w:shd w:val="clear" w:color="auto" w:fill="D2EAF1"/>
              <w:tabs>
                <w:tab w:val="decimal" w:pos="1253"/>
              </w:tabs>
              <w:spacing w:before="0" w:after="0"/>
              <w:jc w:val="left"/>
              <w:rPr>
                <w:rFonts w:asciiTheme="minorHAnsi" w:hAnsiTheme="minorHAnsi"/>
                <w:sz w:val="16"/>
              </w:rPr>
            </w:pPr>
            <w:r w:rsidRPr="00B75B77">
              <w:rPr>
                <w:rFonts w:asciiTheme="minorHAnsi" w:hAnsiTheme="minorHAnsi"/>
              </w:rPr>
              <w:t>i = individual, {1 , … , n survey sample} AND m = measure, {1,2,3}</w:t>
            </w:r>
          </w:p>
          <w:p w:rsidR="00BB039B" w:rsidRPr="00B75B77" w:rsidRDefault="00E5196E" w:rsidP="00E5196E">
            <w:pPr>
              <w:pStyle w:val="TableBody"/>
              <w:keepNext/>
              <w:shd w:val="clear" w:color="auto" w:fill="D2EAF1"/>
              <w:tabs>
                <w:tab w:val="decimal" w:pos="1253"/>
              </w:tabs>
              <w:spacing w:before="0" w:after="0"/>
              <w:rPr>
                <w:rFonts w:asciiTheme="minorHAnsi" w:hAnsiTheme="minorHAnsi"/>
              </w:rPr>
            </w:pPr>
            <m:oMathPara>
              <m:oMath>
                <m:r>
                  <m:rPr>
                    <m:nor/>
                  </m:rPr>
                  <w:rPr>
                    <w:rFonts w:asciiTheme="minorHAnsi" w:hAnsiTheme="minorHAnsi"/>
                  </w:rPr>
                  <m:t>TOTAL</m:t>
                </m:r>
                <m:r>
                  <m:rPr>
                    <m:nor/>
                  </m:rPr>
                  <w:rPr>
                    <w:rFonts w:asciiTheme="minorHAnsi" w:hAnsiTheme="minorHAnsi"/>
                    <w:b w:val="0"/>
                  </w:rPr>
                  <m:t xml:space="preserve"> </m:t>
                </m:r>
                <m:r>
                  <m:rPr>
                    <m:nor/>
                  </m:rPr>
                  <w:rPr>
                    <w:rFonts w:asciiTheme="minorHAnsi" w:hAnsiTheme="minorHAnsi"/>
                  </w:rPr>
                  <m:t>spillover=</m:t>
                </m:r>
                <m:f>
                  <m:fPr>
                    <m:type m:val="lin"/>
                    <m:ctrlPr>
                      <w:rPr>
                        <w:rFonts w:ascii="Cambria Math" w:hAnsi="Cambria Math"/>
                        <w:i/>
                      </w:rPr>
                    </m:ctrlPr>
                  </m:fPr>
                  <m:num>
                    <m:nary>
                      <m:naryPr>
                        <m:chr m:val="∑"/>
                        <m:limLoc m:val="undOvr"/>
                        <m:supHide m:val="1"/>
                        <m:ctrlPr>
                          <w:rPr>
                            <w:rFonts w:ascii="Cambria Math" w:hAnsi="Cambria Math"/>
                            <w:i/>
                          </w:rPr>
                        </m:ctrlPr>
                      </m:naryPr>
                      <m:sub>
                        <m:r>
                          <m:rPr>
                            <m:nor/>
                          </m:rPr>
                          <w:rPr>
                            <w:rFonts w:asciiTheme="minorHAnsi" w:hAnsiTheme="minorHAnsi"/>
                          </w:rPr>
                          <m:t>i</m:t>
                        </m:r>
                      </m:sub>
                      <m:sup/>
                      <m:e>
                        <m:sSub>
                          <m:sSubPr>
                            <m:ctrlPr>
                              <w:rPr>
                                <w:rFonts w:ascii="Cambria Math" w:hAnsi="Cambria Math"/>
                                <w:i/>
                              </w:rPr>
                            </m:ctrlPr>
                          </m:sSubPr>
                          <m:e>
                            <m:r>
                              <m:rPr>
                                <m:nor/>
                              </m:rPr>
                              <w:rPr>
                                <w:rFonts w:asciiTheme="minorHAnsi" w:hAnsiTheme="minorHAnsi"/>
                              </w:rPr>
                              <m:t>SpilloverSavings</m:t>
                            </m:r>
                          </m:e>
                          <m:sub>
                            <m:r>
                              <m:rPr>
                                <m:nor/>
                              </m:rPr>
                              <w:rPr>
                                <w:rFonts w:asciiTheme="minorHAnsi" w:hAnsiTheme="minorHAnsi"/>
                              </w:rPr>
                              <m:t>i</m:t>
                            </m:r>
                          </m:sub>
                        </m:sSub>
                      </m:e>
                    </m:nary>
                  </m:num>
                  <m:den>
                    <m:nary>
                      <m:naryPr>
                        <m:chr m:val="∑"/>
                        <m:limLoc m:val="undOvr"/>
                        <m:supHide m:val="1"/>
                        <m:ctrlPr>
                          <w:rPr>
                            <w:rFonts w:ascii="Cambria Math" w:hAnsi="Cambria Math"/>
                            <w:i/>
                          </w:rPr>
                        </m:ctrlPr>
                      </m:naryPr>
                      <m:sub>
                        <m:r>
                          <m:rPr>
                            <m:nor/>
                          </m:rPr>
                          <w:rPr>
                            <w:rFonts w:asciiTheme="minorHAnsi" w:hAnsiTheme="minorHAnsi"/>
                          </w:rPr>
                          <m:t>i</m:t>
                        </m:r>
                      </m:sub>
                      <m:sup/>
                      <m:e>
                        <m:sSub>
                          <m:sSubPr>
                            <m:ctrlPr>
                              <w:rPr>
                                <w:rFonts w:ascii="Cambria Math" w:hAnsi="Cambria Math"/>
                                <w:i/>
                              </w:rPr>
                            </m:ctrlPr>
                          </m:sSubPr>
                          <m:e>
                            <m:r>
                              <m:rPr>
                                <m:nor/>
                              </m:rPr>
                              <w:rPr>
                                <w:rFonts w:asciiTheme="minorHAnsi" w:hAnsiTheme="minorHAnsi"/>
                              </w:rPr>
                              <m:t>ExPostGrosskWhSavings</m:t>
                            </m:r>
                          </m:e>
                          <m:sub>
                            <m:r>
                              <m:rPr>
                                <m:nor/>
                              </m:rPr>
                              <w:rPr>
                                <w:rFonts w:asciiTheme="minorHAnsi" w:hAnsiTheme="minorHAnsi"/>
                              </w:rPr>
                              <m:t>i</m:t>
                            </m:r>
                          </m:sub>
                        </m:sSub>
                      </m:e>
                    </m:nary>
                  </m:den>
                </m:f>
              </m:oMath>
            </m:oMathPara>
          </w:p>
        </w:tc>
      </w:tr>
    </w:tbl>
    <w:p w:rsidR="00BB039B" w:rsidRPr="00B75B77" w:rsidRDefault="00BB039B" w:rsidP="00E5196E">
      <w:pPr>
        <w:pStyle w:val="Source"/>
        <w:keepNext/>
        <w:ind w:hanging="630"/>
      </w:pPr>
      <w:r w:rsidRPr="00B75B77">
        <w:t>Source: Adapted from SWE Common Approach for Measuring Spillover</w:t>
      </w:r>
    </w:p>
    <w:p w:rsidR="00BB039B" w:rsidRPr="00B75B77" w:rsidRDefault="00BB039B" w:rsidP="00BB039B">
      <w:pPr>
        <w:rPr>
          <w:rFonts w:eastAsia="Times New Roman"/>
        </w:rPr>
      </w:pPr>
      <w:r w:rsidRPr="00B75B77">
        <w:rPr>
          <w:rFonts w:eastAsia="Times New Roman"/>
        </w:rPr>
        <w:t xml:space="preserve">As described in Section </w:t>
      </w:r>
      <w:r w:rsidRPr="00B75B77">
        <w:rPr>
          <w:rFonts w:eastAsia="Times New Roman"/>
        </w:rPr>
        <w:fldChar w:fldCharType="begin"/>
      </w:r>
      <w:r w:rsidRPr="00B75B77">
        <w:rPr>
          <w:rFonts w:eastAsia="Times New Roman"/>
        </w:rPr>
        <w:instrText xml:space="preserve"> REF _Ref463931618 \r \h </w:instrText>
      </w:r>
      <w:r w:rsidR="00B75B77">
        <w:rPr>
          <w:rFonts w:eastAsia="Times New Roman"/>
        </w:rPr>
        <w:instrText xml:space="preserve"> \* MERGEFORMAT </w:instrText>
      </w:r>
      <w:r w:rsidRPr="00B75B77">
        <w:rPr>
          <w:rFonts w:eastAsia="Times New Roman"/>
        </w:rPr>
      </w:r>
      <w:r w:rsidRPr="00B75B77">
        <w:rPr>
          <w:rFonts w:eastAsia="Times New Roman"/>
        </w:rPr>
        <w:fldChar w:fldCharType="separate"/>
      </w:r>
      <w:r w:rsidR="0004016D">
        <w:rPr>
          <w:rFonts w:eastAsia="Times New Roman"/>
        </w:rPr>
        <w:t>14.2</w:t>
      </w:r>
      <w:r w:rsidRPr="00B75B77">
        <w:rPr>
          <w:rFonts w:eastAsia="Times New Roman"/>
        </w:rPr>
        <w:fldChar w:fldCharType="end"/>
      </w:r>
      <w:r w:rsidRPr="00B75B77">
        <w:rPr>
          <w:rFonts w:eastAsia="Times New Roman"/>
        </w:rPr>
        <w:t xml:space="preserve">, the evaluation team selected a stratified random sample from the program population for the telephone survey. A separate sample was selected for the residential and nonresidential sectors. The sample was selected from size-stratified residential (strata = unit project size) and nonresidential populations (strata = property total project size). </w:t>
      </w:r>
      <w:r w:rsidR="00D52DAD" w:rsidRPr="00B75B77">
        <w:rPr>
          <w:rFonts w:eastAsia="Times New Roman"/>
        </w:rPr>
        <w:t>The team selected 48</w:t>
      </w:r>
      <w:r w:rsidRPr="00B75B77">
        <w:rPr>
          <w:rFonts w:eastAsia="Times New Roman"/>
        </w:rPr>
        <w:t xml:space="preserve"> total units for the residential sector and 24 properties for the nonresidential sector. This sample was also utilized for the gross impact and process evaluation telephone surveys</w:t>
      </w:r>
      <w:r w:rsidR="00D52DAD" w:rsidRPr="00B75B77">
        <w:rPr>
          <w:rFonts w:eastAsia="Times New Roman"/>
        </w:rPr>
        <w:t>;</w:t>
      </w:r>
      <w:r w:rsidRPr="00B75B77">
        <w:rPr>
          <w:rFonts w:eastAsia="Times New Roman"/>
        </w:rPr>
        <w:t xml:space="preserve"> however</w:t>
      </w:r>
      <w:r w:rsidR="00D52DAD" w:rsidRPr="00B75B77">
        <w:rPr>
          <w:rFonts w:eastAsia="Times New Roman"/>
        </w:rPr>
        <w:t>,</w:t>
      </w:r>
      <w:r w:rsidRPr="00B75B77">
        <w:rPr>
          <w:rFonts w:eastAsia="Times New Roman"/>
        </w:rPr>
        <w:t xml:space="preserve"> some points needed to be dropped (</w:t>
      </w:r>
      <w:r w:rsidR="00D52DAD" w:rsidRPr="00B75B77">
        <w:rPr>
          <w:rFonts w:eastAsia="Times New Roman"/>
        </w:rPr>
        <w:t xml:space="preserve">eight </w:t>
      </w:r>
      <w:r w:rsidRPr="00B75B77">
        <w:rPr>
          <w:rFonts w:eastAsia="Times New Roman"/>
        </w:rPr>
        <w:t xml:space="preserve">residential and </w:t>
      </w:r>
      <w:r w:rsidR="00D52DAD" w:rsidRPr="00B75B77">
        <w:rPr>
          <w:rFonts w:eastAsia="Times New Roman"/>
        </w:rPr>
        <w:t>two</w:t>
      </w:r>
      <w:r w:rsidRPr="00B75B77">
        <w:rPr>
          <w:rFonts w:eastAsia="Times New Roman"/>
        </w:rPr>
        <w:t xml:space="preserve"> nonresidential) in the NTG analysis since respondents refused to </w:t>
      </w:r>
      <w:r w:rsidRPr="00B75B77">
        <w:rPr>
          <w:rFonts w:eastAsia="Times New Roman"/>
        </w:rPr>
        <w:lastRenderedPageBreak/>
        <w:t xml:space="preserve">answer that portion of the survey battery. </w:t>
      </w:r>
      <w:r w:rsidRPr="00B75B77">
        <w:rPr>
          <w:rFonts w:eastAsia="Times New Roman"/>
        </w:rPr>
        <w:fldChar w:fldCharType="begin"/>
      </w:r>
      <w:r w:rsidRPr="00B75B77">
        <w:rPr>
          <w:rFonts w:eastAsia="Times New Roman"/>
        </w:rPr>
        <w:instrText xml:space="preserve"> REF _Ref463418178 \h  \* MERGEFORMAT </w:instrText>
      </w:r>
      <w:r w:rsidRPr="00B75B77">
        <w:rPr>
          <w:rFonts w:eastAsia="Times New Roman"/>
        </w:rPr>
      </w:r>
      <w:r w:rsidRPr="00B75B77">
        <w:rPr>
          <w:rFonts w:eastAsia="Times New Roman"/>
        </w:rPr>
        <w:fldChar w:fldCharType="separate"/>
      </w:r>
      <w:r w:rsidR="0004016D" w:rsidRPr="00B75B77">
        <w:t xml:space="preserve">Table </w:t>
      </w:r>
      <w:r w:rsidR="0004016D">
        <w:rPr>
          <w:noProof/>
        </w:rPr>
        <w:t>14</w:t>
      </w:r>
      <w:r w:rsidR="0004016D" w:rsidRPr="00B75B77">
        <w:rPr>
          <w:noProof/>
        </w:rPr>
        <w:noBreakHyphen/>
      </w:r>
      <w:r w:rsidR="0004016D">
        <w:rPr>
          <w:noProof/>
        </w:rPr>
        <w:t>11</w:t>
      </w:r>
      <w:r w:rsidRPr="00B75B77">
        <w:rPr>
          <w:rFonts w:eastAsia="Times New Roman"/>
        </w:rPr>
        <w:fldChar w:fldCharType="end"/>
      </w:r>
      <w:r w:rsidRPr="00B75B77">
        <w:rPr>
          <w:rFonts w:eastAsia="Times New Roman"/>
        </w:rPr>
        <w:t xml:space="preserve"> and </w:t>
      </w:r>
      <w:r w:rsidRPr="00B75B77">
        <w:rPr>
          <w:rFonts w:eastAsia="Times New Roman"/>
        </w:rPr>
        <w:fldChar w:fldCharType="begin"/>
      </w:r>
      <w:r w:rsidRPr="00B75B77">
        <w:rPr>
          <w:rFonts w:eastAsia="Times New Roman"/>
        </w:rPr>
        <w:instrText xml:space="preserve"> REF _Ref463418187 \h  \* MERGEFORMAT </w:instrText>
      </w:r>
      <w:r w:rsidRPr="00B75B77">
        <w:rPr>
          <w:rFonts w:eastAsia="Times New Roman"/>
        </w:rPr>
      </w:r>
      <w:r w:rsidRPr="00B75B77">
        <w:rPr>
          <w:rFonts w:eastAsia="Times New Roman"/>
        </w:rPr>
        <w:fldChar w:fldCharType="separate"/>
      </w:r>
      <w:r w:rsidR="0004016D" w:rsidRPr="00B75B77">
        <w:t xml:space="preserve">Table </w:t>
      </w:r>
      <w:r w:rsidR="0004016D">
        <w:rPr>
          <w:noProof/>
        </w:rPr>
        <w:t>14</w:t>
      </w:r>
      <w:r w:rsidR="0004016D" w:rsidRPr="00B75B77">
        <w:rPr>
          <w:noProof/>
        </w:rPr>
        <w:noBreakHyphen/>
      </w:r>
      <w:r w:rsidR="0004016D">
        <w:rPr>
          <w:noProof/>
        </w:rPr>
        <w:t>12</w:t>
      </w:r>
      <w:r w:rsidRPr="00B75B77">
        <w:rPr>
          <w:rFonts w:eastAsia="Times New Roman"/>
        </w:rPr>
        <w:fldChar w:fldCharType="end"/>
      </w:r>
      <w:r w:rsidRPr="00B75B77">
        <w:rPr>
          <w:rFonts w:eastAsia="Times New Roman"/>
        </w:rPr>
        <w:t xml:space="preserve"> detail the sampling strategy for the residential and nonresidential NTG surveys, respectively.</w:t>
      </w:r>
    </w:p>
    <w:p w:rsidR="00BB039B" w:rsidRPr="00B75B77" w:rsidRDefault="00BB039B" w:rsidP="00502659">
      <w:pPr>
        <w:pStyle w:val="Caption"/>
      </w:pPr>
      <w:bookmarkStart w:id="875" w:name="_Ref463418178"/>
      <w:bookmarkStart w:id="876" w:name="_Toc466413629"/>
      <w:r w:rsidRPr="00B75B77">
        <w:t xml:space="preserve">Table </w:t>
      </w:r>
      <w:fldSimple w:instr=" STYLEREF 1 \s ">
        <w:r w:rsidR="0004016D">
          <w:rPr>
            <w:noProof/>
          </w:rPr>
          <w:t>14</w:t>
        </w:r>
      </w:fldSimple>
      <w:r w:rsidR="00F1144C" w:rsidRPr="00B75B77">
        <w:noBreakHyphen/>
      </w:r>
      <w:fldSimple w:instr=" SEQ Table \* ARABIC \s 1 ">
        <w:r w:rsidR="0004016D">
          <w:rPr>
            <w:noProof/>
          </w:rPr>
          <w:t>11</w:t>
        </w:r>
      </w:fldSimple>
      <w:bookmarkEnd w:id="875"/>
      <w:r w:rsidRPr="00B75B77">
        <w:t>: Smart Multi</w:t>
      </w:r>
      <w:r w:rsidR="00D52DAD" w:rsidRPr="00B75B77">
        <w:t>-F</w:t>
      </w:r>
      <w:r w:rsidRPr="00B75B77">
        <w:t>amily Solutions Residential Sector Sampling Strategy for PY7 NTG Research</w:t>
      </w:r>
      <w:bookmarkEnd w:id="876"/>
    </w:p>
    <w:tbl>
      <w:tblPr>
        <w:tblStyle w:val="MediumShading1-Accent5"/>
        <w:tblW w:w="9360" w:type="dxa"/>
        <w:tblInd w:w="-1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170"/>
        <w:gridCol w:w="1620"/>
        <w:gridCol w:w="1080"/>
        <w:gridCol w:w="1080"/>
        <w:gridCol w:w="1080"/>
        <w:gridCol w:w="990"/>
        <w:gridCol w:w="1080"/>
        <w:gridCol w:w="1260"/>
      </w:tblGrid>
      <w:tr w:rsidR="00BB039B" w:rsidRPr="00B75B77" w:rsidTr="00BB039B">
        <w:trPr>
          <w:cnfStyle w:val="100000000000" w:firstRow="1" w:lastRow="0" w:firstColumn="0" w:lastColumn="0" w:oddVBand="0" w:evenVBand="0" w:oddHBand="0" w:evenHBand="0" w:firstRowFirstColumn="0" w:firstRowLastColumn="0" w:lastRowFirstColumn="0" w:lastRowLastColumn="0"/>
          <w:trHeight w:val="1259"/>
        </w:trPr>
        <w:tc>
          <w:tcPr>
            <w:cnfStyle w:val="001000000000" w:firstRow="0" w:lastRow="0" w:firstColumn="1" w:lastColumn="0" w:oddVBand="0" w:evenVBand="0" w:oddHBand="0" w:evenHBand="0" w:firstRowFirstColumn="0" w:firstRowLastColumn="0" w:lastRowFirstColumn="0" w:lastRowLastColumn="0"/>
            <w:tcW w:w="1170" w:type="dxa"/>
            <w:tcBorders>
              <w:top w:val="single" w:sz="8" w:space="0" w:color="auto"/>
              <w:left w:val="single" w:sz="8" w:space="0" w:color="auto"/>
              <w:bottom w:val="single" w:sz="8" w:space="0" w:color="auto"/>
              <w:right w:val="single" w:sz="8" w:space="0" w:color="auto"/>
            </w:tcBorders>
            <w:shd w:val="clear" w:color="auto" w:fill="448A99"/>
            <w:vAlign w:val="center"/>
            <w:hideMark/>
          </w:tcPr>
          <w:p w:rsidR="00BB039B" w:rsidRPr="00B75B77" w:rsidRDefault="00BB039B" w:rsidP="00502659">
            <w:pPr>
              <w:keepNext/>
              <w:jc w:val="left"/>
              <w:rPr>
                <w:rFonts w:ascii="Calibri" w:eastAsia="Times New Roman" w:hAnsi="Calibri"/>
                <w:bCs w:val="0"/>
                <w:sz w:val="18"/>
                <w:szCs w:val="18"/>
              </w:rPr>
            </w:pPr>
            <w:r w:rsidRPr="00B75B77">
              <w:rPr>
                <w:rFonts w:ascii="Calibri" w:eastAsia="Times New Roman" w:hAnsi="Calibri"/>
                <w:bCs w:val="0"/>
                <w:sz w:val="18"/>
                <w:szCs w:val="18"/>
              </w:rPr>
              <w:t>Stratum</w:t>
            </w:r>
          </w:p>
        </w:tc>
        <w:tc>
          <w:tcPr>
            <w:tcW w:w="1620" w:type="dxa"/>
            <w:tcBorders>
              <w:top w:val="single" w:sz="8" w:space="0" w:color="auto"/>
              <w:left w:val="single" w:sz="8" w:space="0" w:color="auto"/>
              <w:bottom w:val="single" w:sz="8" w:space="0" w:color="auto"/>
              <w:right w:val="single" w:sz="8" w:space="0" w:color="auto"/>
            </w:tcBorders>
            <w:shd w:val="clear" w:color="auto" w:fill="448A99"/>
            <w:vAlign w:val="center"/>
            <w:hideMark/>
          </w:tcPr>
          <w:p w:rsidR="00BB039B" w:rsidRPr="00B75B77" w:rsidRDefault="00BB039B" w:rsidP="00502659">
            <w:pPr>
              <w:keepNext/>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Stratum Boundaries</w:t>
            </w:r>
          </w:p>
        </w:tc>
        <w:tc>
          <w:tcPr>
            <w:tcW w:w="1080" w:type="dxa"/>
            <w:tcBorders>
              <w:top w:val="single" w:sz="8" w:space="0" w:color="auto"/>
              <w:left w:val="single" w:sz="8" w:space="0" w:color="auto"/>
              <w:bottom w:val="single" w:sz="8" w:space="0" w:color="auto"/>
              <w:right w:val="single" w:sz="8" w:space="0" w:color="auto"/>
            </w:tcBorders>
            <w:shd w:val="clear" w:color="auto" w:fill="448A99"/>
            <w:vAlign w:val="center"/>
            <w:hideMark/>
          </w:tcPr>
          <w:p w:rsidR="00BB039B" w:rsidRPr="00B75B77" w:rsidRDefault="00BB039B" w:rsidP="00502659">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Population Size</w:t>
            </w:r>
          </w:p>
        </w:tc>
        <w:tc>
          <w:tcPr>
            <w:tcW w:w="1080" w:type="dxa"/>
            <w:tcBorders>
              <w:top w:val="single" w:sz="8" w:space="0" w:color="auto"/>
              <w:left w:val="single" w:sz="8" w:space="0" w:color="auto"/>
              <w:bottom w:val="single" w:sz="8" w:space="0" w:color="auto"/>
              <w:right w:val="single" w:sz="8" w:space="0" w:color="auto"/>
            </w:tcBorders>
            <w:shd w:val="clear" w:color="auto" w:fill="448A99"/>
            <w:vAlign w:val="center"/>
            <w:hideMark/>
          </w:tcPr>
          <w:p w:rsidR="00BB039B" w:rsidRPr="00B75B77" w:rsidRDefault="00BB039B" w:rsidP="00502659">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Assumed CV or Proportion in Sample Design</w:t>
            </w:r>
          </w:p>
        </w:tc>
        <w:tc>
          <w:tcPr>
            <w:tcW w:w="1080" w:type="dxa"/>
            <w:tcBorders>
              <w:top w:val="single" w:sz="8" w:space="0" w:color="auto"/>
              <w:left w:val="single" w:sz="8" w:space="0" w:color="auto"/>
              <w:bottom w:val="single" w:sz="8" w:space="0" w:color="auto"/>
              <w:right w:val="single" w:sz="8" w:space="0" w:color="auto"/>
            </w:tcBorders>
            <w:shd w:val="clear" w:color="auto" w:fill="448A99"/>
            <w:vAlign w:val="center"/>
            <w:hideMark/>
          </w:tcPr>
          <w:p w:rsidR="00BB039B" w:rsidRPr="00B75B77" w:rsidRDefault="00BB039B" w:rsidP="00502659">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Assumed Levels of Confidence and Precision</w:t>
            </w:r>
          </w:p>
        </w:tc>
        <w:tc>
          <w:tcPr>
            <w:tcW w:w="990" w:type="dxa"/>
            <w:tcBorders>
              <w:top w:val="single" w:sz="8" w:space="0" w:color="auto"/>
              <w:left w:val="single" w:sz="8" w:space="0" w:color="auto"/>
              <w:bottom w:val="single" w:sz="8" w:space="0" w:color="auto"/>
              <w:right w:val="single" w:sz="8" w:space="0" w:color="auto"/>
            </w:tcBorders>
            <w:shd w:val="clear" w:color="auto" w:fill="448A99"/>
            <w:vAlign w:val="center"/>
            <w:hideMark/>
          </w:tcPr>
          <w:p w:rsidR="00BB039B" w:rsidRPr="00B75B77" w:rsidRDefault="00BB039B" w:rsidP="00502659">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 xml:space="preserve">Target Sample </w:t>
            </w:r>
            <w:r w:rsidR="00D52DAD" w:rsidRPr="00B75B77">
              <w:rPr>
                <w:rFonts w:ascii="Calibri" w:eastAsia="Times New Roman" w:hAnsi="Calibri"/>
                <w:bCs w:val="0"/>
                <w:sz w:val="18"/>
                <w:szCs w:val="18"/>
              </w:rPr>
              <w:t>S</w:t>
            </w:r>
            <w:r w:rsidRPr="00B75B77">
              <w:rPr>
                <w:rFonts w:ascii="Calibri" w:eastAsia="Times New Roman" w:hAnsi="Calibri"/>
                <w:bCs w:val="0"/>
                <w:sz w:val="18"/>
                <w:szCs w:val="18"/>
              </w:rPr>
              <w:t>ize</w:t>
            </w:r>
          </w:p>
        </w:tc>
        <w:tc>
          <w:tcPr>
            <w:tcW w:w="1080" w:type="dxa"/>
            <w:tcBorders>
              <w:top w:val="single" w:sz="8" w:space="0" w:color="auto"/>
              <w:left w:val="single" w:sz="8" w:space="0" w:color="auto"/>
              <w:bottom w:val="single" w:sz="8" w:space="0" w:color="auto"/>
              <w:right w:val="single" w:sz="8" w:space="0" w:color="auto"/>
            </w:tcBorders>
            <w:shd w:val="clear" w:color="auto" w:fill="448A99"/>
            <w:vAlign w:val="center"/>
            <w:hideMark/>
          </w:tcPr>
          <w:p w:rsidR="00BB039B" w:rsidRPr="00B75B77" w:rsidRDefault="00BB039B" w:rsidP="00502659">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Achieved Sample Size</w:t>
            </w:r>
          </w:p>
        </w:tc>
        <w:tc>
          <w:tcPr>
            <w:tcW w:w="1260" w:type="dxa"/>
            <w:tcBorders>
              <w:top w:val="single" w:sz="8" w:space="0" w:color="auto"/>
              <w:left w:val="single" w:sz="8" w:space="0" w:color="auto"/>
              <w:bottom w:val="single" w:sz="8" w:space="0" w:color="auto"/>
              <w:right w:val="single" w:sz="8" w:space="0" w:color="448A99"/>
            </w:tcBorders>
            <w:shd w:val="clear" w:color="auto" w:fill="448A99"/>
            <w:vAlign w:val="center"/>
            <w:hideMark/>
          </w:tcPr>
          <w:p w:rsidR="00BB039B" w:rsidRPr="00B75B77" w:rsidRDefault="00BB039B" w:rsidP="00502659">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Percent</w:t>
            </w:r>
            <w:r w:rsidR="00D52DAD" w:rsidRPr="00B75B77">
              <w:rPr>
                <w:rFonts w:ascii="Calibri" w:eastAsia="Times New Roman" w:hAnsi="Calibri"/>
                <w:bCs w:val="0"/>
                <w:sz w:val="18"/>
                <w:szCs w:val="18"/>
              </w:rPr>
              <w:t>age</w:t>
            </w:r>
            <w:r w:rsidRPr="00B75B77">
              <w:rPr>
                <w:rFonts w:ascii="Calibri" w:eastAsia="Times New Roman" w:hAnsi="Calibri"/>
                <w:bCs w:val="0"/>
                <w:sz w:val="18"/>
                <w:szCs w:val="18"/>
              </w:rPr>
              <w:t xml:space="preserve"> of Sample Frame Contacted </w:t>
            </w:r>
            <w:r w:rsidRPr="00B75B77">
              <w:rPr>
                <w:rFonts w:ascii="Calibri" w:eastAsia="Times New Roman" w:hAnsi="Calibri"/>
                <w:bCs w:val="0"/>
                <w:sz w:val="18"/>
                <w:szCs w:val="18"/>
                <w:vertAlign w:val="superscript"/>
              </w:rPr>
              <w:t>[</w:t>
            </w:r>
            <w:r w:rsidRPr="00B75B77">
              <w:rPr>
                <w:rFonts w:eastAsia="Times New Roman"/>
                <w:bCs w:val="0"/>
                <w:sz w:val="18"/>
                <w:szCs w:val="18"/>
                <w:vertAlign w:val="superscript"/>
              </w:rPr>
              <w:t>1</w:t>
            </w:r>
            <w:r w:rsidRPr="00B75B77">
              <w:rPr>
                <w:rFonts w:ascii="Calibri" w:eastAsia="Times New Roman" w:hAnsi="Calibri"/>
                <w:bCs w:val="0"/>
                <w:sz w:val="18"/>
                <w:szCs w:val="18"/>
                <w:vertAlign w:val="superscript"/>
              </w:rPr>
              <w:t>]</w:t>
            </w:r>
            <w:r w:rsidRPr="00B75B77">
              <w:rPr>
                <w:rFonts w:ascii="Calibri" w:eastAsia="Times New Roman" w:hAnsi="Calibri"/>
                <w:bCs w:val="0"/>
                <w:sz w:val="18"/>
                <w:szCs w:val="18"/>
              </w:rPr>
              <w:t xml:space="preserve"> to Achieve Sample</w:t>
            </w:r>
          </w:p>
        </w:tc>
      </w:tr>
      <w:tr w:rsidR="00BB039B" w:rsidRPr="00B75B77" w:rsidTr="00BB039B">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170" w:type="dxa"/>
            <w:tcBorders>
              <w:top w:val="single" w:sz="8" w:space="0" w:color="auto"/>
              <w:right w:val="none" w:sz="0" w:space="0" w:color="auto"/>
            </w:tcBorders>
            <w:noWrap/>
            <w:vAlign w:val="center"/>
            <w:hideMark/>
          </w:tcPr>
          <w:p w:rsidR="00BB039B" w:rsidRPr="00B75B77" w:rsidRDefault="00D52DAD" w:rsidP="00502659">
            <w:pPr>
              <w:keepNext/>
              <w:jc w:val="left"/>
              <w:rPr>
                <w:rFonts w:ascii="Calibri" w:eastAsia="Times New Roman" w:hAnsi="Calibri"/>
                <w:b w:val="0"/>
                <w:color w:val="000000"/>
                <w:sz w:val="18"/>
                <w:szCs w:val="18"/>
              </w:rPr>
            </w:pPr>
            <w:r w:rsidRPr="00B75B77">
              <w:rPr>
                <w:rFonts w:ascii="Calibri" w:eastAsia="Times New Roman" w:hAnsi="Calibri"/>
                <w:b w:val="0"/>
                <w:color w:val="000000"/>
                <w:sz w:val="18"/>
                <w:szCs w:val="18"/>
              </w:rPr>
              <w:t>Res Non-LI –</w:t>
            </w:r>
            <w:r w:rsidR="00BB039B" w:rsidRPr="00B75B77">
              <w:rPr>
                <w:rFonts w:ascii="Calibri" w:eastAsia="Times New Roman" w:hAnsi="Calibri"/>
                <w:b w:val="0"/>
                <w:color w:val="000000"/>
                <w:sz w:val="18"/>
                <w:szCs w:val="18"/>
              </w:rPr>
              <w:t xml:space="preserve"> Small</w:t>
            </w:r>
          </w:p>
        </w:tc>
        <w:tc>
          <w:tcPr>
            <w:tcW w:w="1620" w:type="dxa"/>
            <w:tcBorders>
              <w:top w:val="single" w:sz="8" w:space="0" w:color="auto"/>
              <w:left w:val="none" w:sz="0" w:space="0" w:color="auto"/>
              <w:right w:val="none" w:sz="0" w:space="0" w:color="auto"/>
            </w:tcBorders>
            <w:noWrap/>
            <w:vAlign w:val="center"/>
            <w:hideMark/>
          </w:tcPr>
          <w:p w:rsidR="00BB039B" w:rsidRPr="00B75B77" w:rsidRDefault="00BB039B" w:rsidP="00502659">
            <w:pPr>
              <w:keepNext/>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Projects &lt;583 Reported kWh Savings</w:t>
            </w:r>
          </w:p>
        </w:tc>
        <w:tc>
          <w:tcPr>
            <w:tcW w:w="1080" w:type="dxa"/>
            <w:tcBorders>
              <w:top w:val="single" w:sz="8" w:space="0" w:color="auto"/>
              <w:left w:val="none" w:sz="0" w:space="0" w:color="auto"/>
              <w:right w:val="none" w:sz="0" w:space="0" w:color="auto"/>
            </w:tcBorders>
            <w:noWrap/>
            <w:vAlign w:val="center"/>
            <w:hideMark/>
          </w:tcPr>
          <w:p w:rsidR="00BB039B" w:rsidRPr="00B75B77" w:rsidRDefault="00BB039B"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1,831</w:t>
            </w:r>
          </w:p>
        </w:tc>
        <w:tc>
          <w:tcPr>
            <w:tcW w:w="1080" w:type="dxa"/>
            <w:tcBorders>
              <w:top w:val="single" w:sz="8" w:space="0" w:color="auto"/>
              <w:left w:val="none" w:sz="0" w:space="0" w:color="auto"/>
              <w:right w:val="none" w:sz="0" w:space="0" w:color="auto"/>
            </w:tcBorders>
            <w:noWrap/>
            <w:vAlign w:val="center"/>
            <w:hideMark/>
          </w:tcPr>
          <w:p w:rsidR="00BB039B" w:rsidRPr="00B75B77" w:rsidRDefault="00BB039B"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0.50</w:t>
            </w:r>
          </w:p>
        </w:tc>
        <w:tc>
          <w:tcPr>
            <w:tcW w:w="1080" w:type="dxa"/>
            <w:tcBorders>
              <w:top w:val="single" w:sz="8" w:space="0" w:color="auto"/>
              <w:left w:val="none" w:sz="0" w:space="0" w:color="auto"/>
              <w:right w:val="none" w:sz="0" w:space="0" w:color="auto"/>
            </w:tcBorders>
            <w:noWrap/>
            <w:vAlign w:val="center"/>
            <w:hideMark/>
          </w:tcPr>
          <w:p w:rsidR="00BB039B" w:rsidRPr="00B75B77" w:rsidRDefault="00BB039B"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990" w:type="dxa"/>
            <w:tcBorders>
              <w:top w:val="single" w:sz="8" w:space="0" w:color="auto"/>
              <w:left w:val="none" w:sz="0" w:space="0" w:color="auto"/>
              <w:right w:val="none" w:sz="0" w:space="0" w:color="auto"/>
            </w:tcBorders>
            <w:noWrap/>
            <w:vAlign w:val="center"/>
            <w:hideMark/>
          </w:tcPr>
          <w:p w:rsidR="00BB039B" w:rsidRPr="00B75B77" w:rsidRDefault="00BB039B"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8</w:t>
            </w:r>
          </w:p>
        </w:tc>
        <w:tc>
          <w:tcPr>
            <w:tcW w:w="1080" w:type="dxa"/>
            <w:tcBorders>
              <w:top w:val="single" w:sz="8" w:space="0" w:color="auto"/>
              <w:left w:val="none" w:sz="0" w:space="0" w:color="auto"/>
              <w:right w:val="none" w:sz="0" w:space="0" w:color="auto"/>
            </w:tcBorders>
            <w:noWrap/>
            <w:vAlign w:val="center"/>
            <w:hideMark/>
          </w:tcPr>
          <w:p w:rsidR="00BB039B" w:rsidRPr="00B75B77" w:rsidRDefault="00BB039B"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8</w:t>
            </w:r>
          </w:p>
        </w:tc>
        <w:tc>
          <w:tcPr>
            <w:tcW w:w="1260" w:type="dxa"/>
            <w:tcBorders>
              <w:top w:val="single" w:sz="8" w:space="0" w:color="auto"/>
              <w:left w:val="none" w:sz="0" w:space="0" w:color="auto"/>
            </w:tcBorders>
            <w:noWrap/>
            <w:vAlign w:val="center"/>
            <w:hideMark/>
          </w:tcPr>
          <w:p w:rsidR="00BB039B" w:rsidRPr="00B75B77" w:rsidRDefault="00BB039B"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14%</w:t>
            </w:r>
          </w:p>
        </w:tc>
      </w:tr>
      <w:tr w:rsidR="00BB039B" w:rsidRPr="00B75B77" w:rsidTr="00BB039B">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170" w:type="dxa"/>
            <w:tcBorders>
              <w:right w:val="none" w:sz="0" w:space="0" w:color="auto"/>
            </w:tcBorders>
            <w:noWrap/>
            <w:vAlign w:val="center"/>
            <w:hideMark/>
          </w:tcPr>
          <w:p w:rsidR="00BB039B" w:rsidRPr="00B75B77" w:rsidRDefault="00D52DAD" w:rsidP="00502659">
            <w:pPr>
              <w:keepNext/>
              <w:jc w:val="left"/>
              <w:rPr>
                <w:rFonts w:ascii="Calibri" w:eastAsia="Times New Roman" w:hAnsi="Calibri"/>
                <w:b w:val="0"/>
                <w:color w:val="000000"/>
                <w:sz w:val="18"/>
                <w:szCs w:val="18"/>
              </w:rPr>
            </w:pPr>
            <w:r w:rsidRPr="00B75B77">
              <w:rPr>
                <w:rFonts w:ascii="Calibri" w:eastAsia="Times New Roman" w:hAnsi="Calibri"/>
                <w:b w:val="0"/>
                <w:color w:val="000000"/>
                <w:sz w:val="18"/>
                <w:szCs w:val="18"/>
              </w:rPr>
              <w:t>Res Non-LI –</w:t>
            </w:r>
            <w:r w:rsidR="00BB039B" w:rsidRPr="00B75B77">
              <w:rPr>
                <w:rFonts w:ascii="Calibri" w:eastAsia="Times New Roman" w:hAnsi="Calibri"/>
                <w:b w:val="0"/>
                <w:color w:val="000000"/>
                <w:sz w:val="18"/>
                <w:szCs w:val="18"/>
              </w:rPr>
              <w:t xml:space="preserve"> Medium</w:t>
            </w:r>
          </w:p>
        </w:tc>
        <w:tc>
          <w:tcPr>
            <w:tcW w:w="1620" w:type="dxa"/>
            <w:tcBorders>
              <w:left w:val="none" w:sz="0" w:space="0" w:color="auto"/>
              <w:right w:val="none" w:sz="0" w:space="0" w:color="auto"/>
            </w:tcBorders>
            <w:noWrap/>
            <w:hideMark/>
          </w:tcPr>
          <w:p w:rsidR="00BB039B" w:rsidRPr="00B75B77" w:rsidRDefault="00BB039B" w:rsidP="00502659">
            <w:pPr>
              <w:keepNext/>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sz w:val="18"/>
                <w:szCs w:val="18"/>
              </w:rPr>
              <w:t>Projects 583-809 Reported kWh Savings</w:t>
            </w:r>
          </w:p>
        </w:tc>
        <w:tc>
          <w:tcPr>
            <w:tcW w:w="1080" w:type="dxa"/>
            <w:tcBorders>
              <w:left w:val="none" w:sz="0" w:space="0" w:color="auto"/>
              <w:right w:val="none" w:sz="0" w:space="0" w:color="auto"/>
            </w:tcBorders>
            <w:noWrap/>
            <w:vAlign w:val="center"/>
            <w:hideMark/>
          </w:tcPr>
          <w:p w:rsidR="00BB039B" w:rsidRPr="00B75B77" w:rsidRDefault="00BB039B" w:rsidP="00502659">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694</w:t>
            </w:r>
          </w:p>
        </w:tc>
        <w:tc>
          <w:tcPr>
            <w:tcW w:w="1080" w:type="dxa"/>
            <w:tcBorders>
              <w:left w:val="none" w:sz="0" w:space="0" w:color="auto"/>
              <w:right w:val="none" w:sz="0" w:space="0" w:color="auto"/>
            </w:tcBorders>
            <w:noWrap/>
            <w:vAlign w:val="center"/>
            <w:hideMark/>
          </w:tcPr>
          <w:p w:rsidR="00BB039B" w:rsidRPr="00B75B77" w:rsidRDefault="00BB039B" w:rsidP="00502659">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0.50</w:t>
            </w:r>
          </w:p>
        </w:tc>
        <w:tc>
          <w:tcPr>
            <w:tcW w:w="1080" w:type="dxa"/>
            <w:tcBorders>
              <w:left w:val="none" w:sz="0" w:space="0" w:color="auto"/>
              <w:right w:val="none" w:sz="0" w:space="0" w:color="auto"/>
            </w:tcBorders>
            <w:noWrap/>
            <w:vAlign w:val="center"/>
            <w:hideMark/>
          </w:tcPr>
          <w:p w:rsidR="00BB039B" w:rsidRPr="00B75B77" w:rsidRDefault="00BB039B" w:rsidP="00502659">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990" w:type="dxa"/>
            <w:tcBorders>
              <w:left w:val="none" w:sz="0" w:space="0" w:color="auto"/>
              <w:right w:val="none" w:sz="0" w:space="0" w:color="auto"/>
            </w:tcBorders>
            <w:noWrap/>
            <w:vAlign w:val="center"/>
            <w:hideMark/>
          </w:tcPr>
          <w:p w:rsidR="00BB039B" w:rsidRPr="00B75B77" w:rsidRDefault="00BB039B" w:rsidP="00502659">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8</w:t>
            </w:r>
          </w:p>
        </w:tc>
        <w:tc>
          <w:tcPr>
            <w:tcW w:w="1080" w:type="dxa"/>
            <w:tcBorders>
              <w:left w:val="none" w:sz="0" w:space="0" w:color="auto"/>
              <w:right w:val="none" w:sz="0" w:space="0" w:color="auto"/>
            </w:tcBorders>
            <w:noWrap/>
            <w:vAlign w:val="center"/>
            <w:hideMark/>
          </w:tcPr>
          <w:p w:rsidR="00BB039B" w:rsidRPr="00B75B77" w:rsidRDefault="00BB039B" w:rsidP="00502659">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8</w:t>
            </w:r>
          </w:p>
        </w:tc>
        <w:tc>
          <w:tcPr>
            <w:tcW w:w="1260" w:type="dxa"/>
            <w:tcBorders>
              <w:left w:val="none" w:sz="0" w:space="0" w:color="auto"/>
            </w:tcBorders>
            <w:noWrap/>
            <w:vAlign w:val="center"/>
            <w:hideMark/>
          </w:tcPr>
          <w:p w:rsidR="00BB039B" w:rsidRPr="00B75B77" w:rsidRDefault="00BB039B" w:rsidP="00502659">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87%</w:t>
            </w:r>
          </w:p>
        </w:tc>
      </w:tr>
      <w:tr w:rsidR="00BB039B" w:rsidRPr="00B75B77" w:rsidTr="00BB039B">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170" w:type="dxa"/>
            <w:tcBorders>
              <w:right w:val="none" w:sz="0" w:space="0" w:color="auto"/>
            </w:tcBorders>
            <w:noWrap/>
            <w:vAlign w:val="center"/>
            <w:hideMark/>
          </w:tcPr>
          <w:p w:rsidR="00BB039B" w:rsidRPr="00B75B77" w:rsidRDefault="00D52DAD" w:rsidP="00502659">
            <w:pPr>
              <w:keepNext/>
              <w:jc w:val="left"/>
              <w:rPr>
                <w:rFonts w:ascii="Calibri" w:eastAsia="Times New Roman" w:hAnsi="Calibri"/>
                <w:b w:val="0"/>
                <w:color w:val="000000"/>
                <w:sz w:val="18"/>
                <w:szCs w:val="18"/>
              </w:rPr>
            </w:pPr>
            <w:r w:rsidRPr="00B75B77">
              <w:rPr>
                <w:rFonts w:ascii="Calibri" w:eastAsia="Times New Roman" w:hAnsi="Calibri"/>
                <w:b w:val="0"/>
                <w:color w:val="000000"/>
                <w:sz w:val="18"/>
                <w:szCs w:val="18"/>
              </w:rPr>
              <w:t xml:space="preserve">Res Non-LI </w:t>
            </w:r>
            <w:r w:rsidR="00BB039B" w:rsidRPr="00B75B77">
              <w:rPr>
                <w:rFonts w:ascii="Calibri" w:eastAsia="Times New Roman" w:hAnsi="Calibri"/>
                <w:b w:val="0"/>
                <w:color w:val="000000"/>
                <w:sz w:val="18"/>
                <w:szCs w:val="18"/>
              </w:rPr>
              <w:t xml:space="preserve"> </w:t>
            </w:r>
            <w:r w:rsidRPr="00B75B77">
              <w:rPr>
                <w:rFonts w:ascii="Calibri" w:eastAsia="Times New Roman" w:hAnsi="Calibri"/>
                <w:b w:val="0"/>
                <w:color w:val="000000"/>
                <w:sz w:val="18"/>
                <w:szCs w:val="18"/>
              </w:rPr>
              <w:t>–</w:t>
            </w:r>
            <w:r w:rsidR="00BB039B" w:rsidRPr="00B75B77">
              <w:rPr>
                <w:rFonts w:ascii="Calibri" w:eastAsia="Times New Roman" w:hAnsi="Calibri"/>
                <w:b w:val="0"/>
                <w:color w:val="000000"/>
                <w:sz w:val="18"/>
                <w:szCs w:val="18"/>
              </w:rPr>
              <w:t>Large</w:t>
            </w:r>
          </w:p>
        </w:tc>
        <w:tc>
          <w:tcPr>
            <w:tcW w:w="1620" w:type="dxa"/>
            <w:tcBorders>
              <w:left w:val="none" w:sz="0" w:space="0" w:color="auto"/>
              <w:right w:val="none" w:sz="0" w:space="0" w:color="auto"/>
            </w:tcBorders>
            <w:noWrap/>
            <w:hideMark/>
          </w:tcPr>
          <w:p w:rsidR="00BB039B" w:rsidRPr="00B75B77" w:rsidRDefault="00BB039B" w:rsidP="00502659">
            <w:pPr>
              <w:keepNext/>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sz w:val="18"/>
                <w:szCs w:val="18"/>
              </w:rPr>
              <w:t>Projects &gt; 809 Reported kWh Savings</w:t>
            </w:r>
          </w:p>
        </w:tc>
        <w:tc>
          <w:tcPr>
            <w:tcW w:w="1080" w:type="dxa"/>
            <w:tcBorders>
              <w:left w:val="none" w:sz="0" w:space="0" w:color="auto"/>
              <w:right w:val="none" w:sz="0" w:space="0" w:color="auto"/>
            </w:tcBorders>
            <w:noWrap/>
            <w:vAlign w:val="center"/>
            <w:hideMark/>
          </w:tcPr>
          <w:p w:rsidR="00BB039B" w:rsidRPr="00B75B77" w:rsidRDefault="00BB039B"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617</w:t>
            </w:r>
          </w:p>
        </w:tc>
        <w:tc>
          <w:tcPr>
            <w:tcW w:w="1080" w:type="dxa"/>
            <w:tcBorders>
              <w:left w:val="none" w:sz="0" w:space="0" w:color="auto"/>
              <w:right w:val="none" w:sz="0" w:space="0" w:color="auto"/>
            </w:tcBorders>
            <w:noWrap/>
            <w:vAlign w:val="center"/>
            <w:hideMark/>
          </w:tcPr>
          <w:p w:rsidR="00BB039B" w:rsidRPr="00B75B77" w:rsidRDefault="00BB039B"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0.50</w:t>
            </w:r>
          </w:p>
        </w:tc>
        <w:tc>
          <w:tcPr>
            <w:tcW w:w="1080" w:type="dxa"/>
            <w:tcBorders>
              <w:left w:val="none" w:sz="0" w:space="0" w:color="auto"/>
              <w:right w:val="none" w:sz="0" w:space="0" w:color="auto"/>
            </w:tcBorders>
            <w:noWrap/>
            <w:vAlign w:val="center"/>
            <w:hideMark/>
          </w:tcPr>
          <w:p w:rsidR="00BB039B" w:rsidRPr="00B75B77" w:rsidRDefault="00BB039B"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990" w:type="dxa"/>
            <w:tcBorders>
              <w:left w:val="none" w:sz="0" w:space="0" w:color="auto"/>
              <w:right w:val="none" w:sz="0" w:space="0" w:color="auto"/>
            </w:tcBorders>
            <w:noWrap/>
            <w:vAlign w:val="center"/>
            <w:hideMark/>
          </w:tcPr>
          <w:p w:rsidR="00BB039B" w:rsidRPr="00B75B77" w:rsidRDefault="00BB039B"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8</w:t>
            </w:r>
          </w:p>
        </w:tc>
        <w:tc>
          <w:tcPr>
            <w:tcW w:w="1080" w:type="dxa"/>
            <w:tcBorders>
              <w:left w:val="none" w:sz="0" w:space="0" w:color="auto"/>
              <w:right w:val="none" w:sz="0" w:space="0" w:color="auto"/>
            </w:tcBorders>
            <w:noWrap/>
            <w:vAlign w:val="center"/>
            <w:hideMark/>
          </w:tcPr>
          <w:p w:rsidR="00BB039B" w:rsidRPr="00B75B77" w:rsidRDefault="00BB039B"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8</w:t>
            </w:r>
          </w:p>
        </w:tc>
        <w:tc>
          <w:tcPr>
            <w:tcW w:w="1260" w:type="dxa"/>
            <w:tcBorders>
              <w:left w:val="none" w:sz="0" w:space="0" w:color="auto"/>
            </w:tcBorders>
            <w:noWrap/>
            <w:vAlign w:val="center"/>
            <w:hideMark/>
          </w:tcPr>
          <w:p w:rsidR="00BB039B" w:rsidRPr="00B75B77" w:rsidRDefault="00BB039B"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40%</w:t>
            </w:r>
          </w:p>
        </w:tc>
      </w:tr>
      <w:tr w:rsidR="00BB039B" w:rsidRPr="00B75B77" w:rsidTr="00BB039B">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170" w:type="dxa"/>
            <w:tcBorders>
              <w:right w:val="none" w:sz="0" w:space="0" w:color="auto"/>
            </w:tcBorders>
            <w:noWrap/>
            <w:vAlign w:val="center"/>
            <w:hideMark/>
          </w:tcPr>
          <w:p w:rsidR="00BB039B" w:rsidRPr="00B75B77" w:rsidRDefault="00BB039B" w:rsidP="00502659">
            <w:pPr>
              <w:keepNext/>
              <w:jc w:val="left"/>
              <w:rPr>
                <w:rFonts w:ascii="Calibri" w:eastAsia="Times New Roman" w:hAnsi="Calibri"/>
                <w:b w:val="0"/>
                <w:color w:val="000000"/>
                <w:sz w:val="18"/>
                <w:szCs w:val="18"/>
              </w:rPr>
            </w:pPr>
            <w:r w:rsidRPr="00B75B77">
              <w:rPr>
                <w:rFonts w:ascii="Calibri" w:eastAsia="Times New Roman" w:hAnsi="Calibri"/>
                <w:b w:val="0"/>
                <w:color w:val="000000"/>
                <w:sz w:val="18"/>
                <w:szCs w:val="18"/>
              </w:rPr>
              <w:t>R</w:t>
            </w:r>
            <w:r w:rsidR="00D52DAD" w:rsidRPr="00B75B77">
              <w:rPr>
                <w:rFonts w:ascii="Calibri" w:eastAsia="Times New Roman" w:hAnsi="Calibri"/>
                <w:b w:val="0"/>
                <w:color w:val="000000"/>
                <w:sz w:val="18"/>
                <w:szCs w:val="18"/>
              </w:rPr>
              <w:t xml:space="preserve">es </w:t>
            </w:r>
            <w:r w:rsidRPr="00B75B77">
              <w:rPr>
                <w:rFonts w:ascii="Calibri" w:eastAsia="Times New Roman" w:hAnsi="Calibri"/>
                <w:b w:val="0"/>
                <w:color w:val="000000"/>
                <w:sz w:val="18"/>
                <w:szCs w:val="18"/>
              </w:rPr>
              <w:t>LI – Small</w:t>
            </w:r>
          </w:p>
        </w:tc>
        <w:tc>
          <w:tcPr>
            <w:tcW w:w="1620" w:type="dxa"/>
            <w:tcBorders>
              <w:left w:val="none" w:sz="0" w:space="0" w:color="auto"/>
              <w:right w:val="none" w:sz="0" w:space="0" w:color="auto"/>
            </w:tcBorders>
            <w:noWrap/>
            <w:hideMark/>
          </w:tcPr>
          <w:p w:rsidR="00BB039B" w:rsidRPr="00B75B77" w:rsidRDefault="00BB039B" w:rsidP="00502659">
            <w:pPr>
              <w:keepNext/>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sz w:val="18"/>
                <w:szCs w:val="18"/>
              </w:rPr>
              <w:t>Projects &lt; 471 Reported kWh Savings</w:t>
            </w:r>
          </w:p>
        </w:tc>
        <w:tc>
          <w:tcPr>
            <w:tcW w:w="1080" w:type="dxa"/>
            <w:tcBorders>
              <w:left w:val="none" w:sz="0" w:space="0" w:color="auto"/>
              <w:right w:val="none" w:sz="0" w:space="0" w:color="auto"/>
            </w:tcBorders>
            <w:noWrap/>
            <w:vAlign w:val="center"/>
            <w:hideMark/>
          </w:tcPr>
          <w:p w:rsidR="00BB039B" w:rsidRPr="00B75B77" w:rsidRDefault="00BB039B" w:rsidP="00502659">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353</w:t>
            </w:r>
          </w:p>
        </w:tc>
        <w:tc>
          <w:tcPr>
            <w:tcW w:w="1080" w:type="dxa"/>
            <w:tcBorders>
              <w:left w:val="none" w:sz="0" w:space="0" w:color="auto"/>
              <w:right w:val="none" w:sz="0" w:space="0" w:color="auto"/>
            </w:tcBorders>
            <w:noWrap/>
            <w:vAlign w:val="center"/>
            <w:hideMark/>
          </w:tcPr>
          <w:p w:rsidR="00BB039B" w:rsidRPr="00B75B77" w:rsidRDefault="00BB039B" w:rsidP="00502659">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0.50</w:t>
            </w:r>
          </w:p>
        </w:tc>
        <w:tc>
          <w:tcPr>
            <w:tcW w:w="1080" w:type="dxa"/>
            <w:tcBorders>
              <w:left w:val="none" w:sz="0" w:space="0" w:color="auto"/>
              <w:right w:val="none" w:sz="0" w:space="0" w:color="auto"/>
            </w:tcBorders>
            <w:noWrap/>
            <w:vAlign w:val="center"/>
            <w:hideMark/>
          </w:tcPr>
          <w:p w:rsidR="00BB039B" w:rsidRPr="00B75B77" w:rsidRDefault="00BB039B" w:rsidP="00502659">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990" w:type="dxa"/>
            <w:tcBorders>
              <w:left w:val="none" w:sz="0" w:space="0" w:color="auto"/>
              <w:right w:val="none" w:sz="0" w:space="0" w:color="auto"/>
            </w:tcBorders>
            <w:noWrap/>
            <w:vAlign w:val="center"/>
            <w:hideMark/>
          </w:tcPr>
          <w:p w:rsidR="00BB039B" w:rsidRPr="00B75B77" w:rsidRDefault="00BB039B" w:rsidP="00502659">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8</w:t>
            </w:r>
          </w:p>
        </w:tc>
        <w:tc>
          <w:tcPr>
            <w:tcW w:w="1080" w:type="dxa"/>
            <w:tcBorders>
              <w:left w:val="none" w:sz="0" w:space="0" w:color="auto"/>
              <w:right w:val="none" w:sz="0" w:space="0" w:color="auto"/>
            </w:tcBorders>
            <w:noWrap/>
            <w:vAlign w:val="center"/>
            <w:hideMark/>
          </w:tcPr>
          <w:p w:rsidR="00BB039B" w:rsidRPr="00B75B77" w:rsidRDefault="00BB039B" w:rsidP="00502659">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13</w:t>
            </w:r>
          </w:p>
        </w:tc>
        <w:tc>
          <w:tcPr>
            <w:tcW w:w="1260" w:type="dxa"/>
            <w:tcBorders>
              <w:left w:val="none" w:sz="0" w:space="0" w:color="auto"/>
            </w:tcBorders>
            <w:noWrap/>
            <w:vAlign w:val="center"/>
            <w:hideMark/>
          </w:tcPr>
          <w:p w:rsidR="00BB039B" w:rsidRPr="00B75B77" w:rsidRDefault="00BB039B" w:rsidP="00502659">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100%</w:t>
            </w:r>
          </w:p>
        </w:tc>
      </w:tr>
      <w:tr w:rsidR="00BB039B" w:rsidRPr="00B75B77" w:rsidTr="00BB039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170" w:type="dxa"/>
            <w:tcBorders>
              <w:right w:val="single" w:sz="8" w:space="0" w:color="448A99"/>
            </w:tcBorders>
            <w:noWrap/>
            <w:vAlign w:val="center"/>
          </w:tcPr>
          <w:p w:rsidR="00BB039B" w:rsidRPr="00B75B77" w:rsidRDefault="00BB039B" w:rsidP="00502659">
            <w:pPr>
              <w:keepNext/>
              <w:jc w:val="left"/>
              <w:rPr>
                <w:rFonts w:ascii="Calibri" w:eastAsia="Times New Roman" w:hAnsi="Calibri"/>
                <w:b w:val="0"/>
                <w:color w:val="000000"/>
                <w:sz w:val="18"/>
                <w:szCs w:val="18"/>
              </w:rPr>
            </w:pPr>
            <w:r w:rsidRPr="00B75B77">
              <w:rPr>
                <w:rFonts w:ascii="Calibri" w:eastAsia="Times New Roman" w:hAnsi="Calibri"/>
                <w:b w:val="0"/>
                <w:color w:val="000000"/>
                <w:sz w:val="18"/>
                <w:szCs w:val="18"/>
              </w:rPr>
              <w:t>R</w:t>
            </w:r>
            <w:r w:rsidR="00D52DAD" w:rsidRPr="00B75B77">
              <w:rPr>
                <w:rFonts w:ascii="Calibri" w:eastAsia="Times New Roman" w:hAnsi="Calibri"/>
                <w:b w:val="0"/>
                <w:color w:val="000000"/>
                <w:sz w:val="18"/>
                <w:szCs w:val="18"/>
              </w:rPr>
              <w:t xml:space="preserve">es </w:t>
            </w:r>
            <w:r w:rsidRPr="00B75B77">
              <w:rPr>
                <w:rFonts w:ascii="Calibri" w:eastAsia="Times New Roman" w:hAnsi="Calibri"/>
                <w:b w:val="0"/>
                <w:color w:val="000000"/>
                <w:sz w:val="18"/>
                <w:szCs w:val="18"/>
              </w:rPr>
              <w:t>LI – Medium</w:t>
            </w:r>
          </w:p>
        </w:tc>
        <w:tc>
          <w:tcPr>
            <w:tcW w:w="1620" w:type="dxa"/>
            <w:tcBorders>
              <w:left w:val="single" w:sz="8" w:space="0" w:color="448A99"/>
              <w:right w:val="single" w:sz="8" w:space="0" w:color="448A99"/>
            </w:tcBorders>
            <w:noWrap/>
          </w:tcPr>
          <w:p w:rsidR="00BB039B" w:rsidRPr="00B75B77" w:rsidRDefault="00BB039B" w:rsidP="00502659">
            <w:pPr>
              <w:keepNext/>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sz w:val="18"/>
                <w:szCs w:val="18"/>
              </w:rPr>
              <w:t>Projects 471-855 Reported kWh Savings</w:t>
            </w:r>
          </w:p>
        </w:tc>
        <w:tc>
          <w:tcPr>
            <w:tcW w:w="1080" w:type="dxa"/>
            <w:tcBorders>
              <w:left w:val="single" w:sz="8" w:space="0" w:color="448A99"/>
              <w:right w:val="single" w:sz="8" w:space="0" w:color="448A99"/>
            </w:tcBorders>
            <w:noWrap/>
            <w:vAlign w:val="center"/>
          </w:tcPr>
          <w:p w:rsidR="00BB039B" w:rsidRPr="00B75B77" w:rsidRDefault="00BB039B"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151</w:t>
            </w:r>
          </w:p>
        </w:tc>
        <w:tc>
          <w:tcPr>
            <w:tcW w:w="1080" w:type="dxa"/>
            <w:tcBorders>
              <w:left w:val="single" w:sz="8" w:space="0" w:color="448A99"/>
              <w:right w:val="single" w:sz="8" w:space="0" w:color="448A99"/>
            </w:tcBorders>
            <w:noWrap/>
            <w:vAlign w:val="center"/>
          </w:tcPr>
          <w:p w:rsidR="00BB039B" w:rsidRPr="00B75B77" w:rsidRDefault="00BB039B"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0.50</w:t>
            </w:r>
          </w:p>
        </w:tc>
        <w:tc>
          <w:tcPr>
            <w:tcW w:w="1080" w:type="dxa"/>
            <w:tcBorders>
              <w:left w:val="single" w:sz="8" w:space="0" w:color="448A99"/>
              <w:right w:val="single" w:sz="8" w:space="0" w:color="448A99"/>
            </w:tcBorders>
            <w:noWrap/>
            <w:vAlign w:val="center"/>
          </w:tcPr>
          <w:p w:rsidR="00BB039B" w:rsidRPr="00B75B77" w:rsidRDefault="00BB039B"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990" w:type="dxa"/>
            <w:tcBorders>
              <w:left w:val="single" w:sz="8" w:space="0" w:color="448A99"/>
              <w:right w:val="single" w:sz="8" w:space="0" w:color="448A99"/>
            </w:tcBorders>
            <w:noWrap/>
            <w:vAlign w:val="center"/>
          </w:tcPr>
          <w:p w:rsidR="00BB039B" w:rsidRPr="00B75B77" w:rsidRDefault="00BB039B"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8</w:t>
            </w:r>
          </w:p>
        </w:tc>
        <w:tc>
          <w:tcPr>
            <w:tcW w:w="1080" w:type="dxa"/>
            <w:tcBorders>
              <w:left w:val="single" w:sz="8" w:space="0" w:color="448A99"/>
              <w:right w:val="single" w:sz="8" w:space="0" w:color="448A99"/>
            </w:tcBorders>
            <w:noWrap/>
            <w:vAlign w:val="center"/>
          </w:tcPr>
          <w:p w:rsidR="00BB039B" w:rsidRPr="00B75B77" w:rsidRDefault="00BB039B"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6</w:t>
            </w:r>
          </w:p>
        </w:tc>
        <w:tc>
          <w:tcPr>
            <w:tcW w:w="1260" w:type="dxa"/>
            <w:tcBorders>
              <w:left w:val="single" w:sz="8" w:space="0" w:color="448A99"/>
            </w:tcBorders>
            <w:noWrap/>
            <w:vAlign w:val="center"/>
          </w:tcPr>
          <w:p w:rsidR="00BB039B" w:rsidRPr="00B75B77" w:rsidRDefault="00BB039B"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100%</w:t>
            </w:r>
          </w:p>
        </w:tc>
      </w:tr>
      <w:tr w:rsidR="00BB039B" w:rsidRPr="00B75B77" w:rsidTr="00BB039B">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170" w:type="dxa"/>
            <w:tcBorders>
              <w:right w:val="single" w:sz="8" w:space="0" w:color="448A99"/>
            </w:tcBorders>
            <w:noWrap/>
            <w:vAlign w:val="center"/>
          </w:tcPr>
          <w:p w:rsidR="00BB039B" w:rsidRPr="00B75B77" w:rsidRDefault="00BB039B" w:rsidP="00502659">
            <w:pPr>
              <w:keepNext/>
              <w:jc w:val="left"/>
              <w:rPr>
                <w:rFonts w:ascii="Calibri" w:eastAsia="Times New Roman" w:hAnsi="Calibri"/>
                <w:b w:val="0"/>
                <w:color w:val="000000"/>
                <w:sz w:val="18"/>
                <w:szCs w:val="18"/>
              </w:rPr>
            </w:pPr>
            <w:r w:rsidRPr="00B75B77">
              <w:rPr>
                <w:rFonts w:ascii="Calibri" w:eastAsia="Times New Roman" w:hAnsi="Calibri"/>
                <w:b w:val="0"/>
                <w:color w:val="000000"/>
                <w:sz w:val="18"/>
                <w:szCs w:val="18"/>
              </w:rPr>
              <w:t>R</w:t>
            </w:r>
            <w:r w:rsidR="00D52DAD" w:rsidRPr="00B75B77">
              <w:rPr>
                <w:rFonts w:ascii="Calibri" w:eastAsia="Times New Roman" w:hAnsi="Calibri"/>
                <w:b w:val="0"/>
                <w:color w:val="000000"/>
                <w:sz w:val="18"/>
                <w:szCs w:val="18"/>
              </w:rPr>
              <w:t xml:space="preserve">es </w:t>
            </w:r>
            <w:r w:rsidRPr="00B75B77">
              <w:rPr>
                <w:rFonts w:ascii="Calibri" w:eastAsia="Times New Roman" w:hAnsi="Calibri"/>
                <w:b w:val="0"/>
                <w:color w:val="000000"/>
                <w:sz w:val="18"/>
                <w:szCs w:val="18"/>
              </w:rPr>
              <w:t xml:space="preserve">LI </w:t>
            </w:r>
            <w:r w:rsidR="002F3BF8" w:rsidRPr="00B75B77">
              <w:rPr>
                <w:rFonts w:ascii="Calibri" w:eastAsia="Times New Roman" w:hAnsi="Calibri"/>
                <w:b w:val="0"/>
                <w:color w:val="000000"/>
                <w:sz w:val="18"/>
                <w:szCs w:val="18"/>
              </w:rPr>
              <w:t>–</w:t>
            </w:r>
            <w:r w:rsidRPr="00B75B77">
              <w:rPr>
                <w:rFonts w:ascii="Calibri" w:eastAsia="Times New Roman" w:hAnsi="Calibri"/>
                <w:b w:val="0"/>
                <w:color w:val="000000"/>
                <w:sz w:val="18"/>
                <w:szCs w:val="18"/>
              </w:rPr>
              <w:t xml:space="preserve"> Large</w:t>
            </w:r>
          </w:p>
        </w:tc>
        <w:tc>
          <w:tcPr>
            <w:tcW w:w="1620" w:type="dxa"/>
            <w:tcBorders>
              <w:left w:val="single" w:sz="8" w:space="0" w:color="448A99"/>
              <w:right w:val="single" w:sz="8" w:space="0" w:color="448A99"/>
            </w:tcBorders>
            <w:noWrap/>
          </w:tcPr>
          <w:p w:rsidR="00BB039B" w:rsidRPr="00B75B77" w:rsidRDefault="00BB039B" w:rsidP="00502659">
            <w:pPr>
              <w:keepNext/>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sz w:val="18"/>
                <w:szCs w:val="18"/>
              </w:rPr>
              <w:t>Projects &gt;= 855 Reported kWh Savings</w:t>
            </w:r>
          </w:p>
        </w:tc>
        <w:tc>
          <w:tcPr>
            <w:tcW w:w="1080" w:type="dxa"/>
            <w:tcBorders>
              <w:left w:val="single" w:sz="8" w:space="0" w:color="448A99"/>
              <w:right w:val="single" w:sz="8" w:space="0" w:color="448A99"/>
            </w:tcBorders>
            <w:noWrap/>
            <w:vAlign w:val="center"/>
          </w:tcPr>
          <w:p w:rsidR="00BB039B" w:rsidRPr="00B75B77" w:rsidRDefault="00BB039B" w:rsidP="00502659">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80</w:t>
            </w:r>
          </w:p>
        </w:tc>
        <w:tc>
          <w:tcPr>
            <w:tcW w:w="1080" w:type="dxa"/>
            <w:tcBorders>
              <w:left w:val="single" w:sz="8" w:space="0" w:color="448A99"/>
              <w:right w:val="single" w:sz="8" w:space="0" w:color="448A99"/>
            </w:tcBorders>
            <w:noWrap/>
            <w:vAlign w:val="center"/>
          </w:tcPr>
          <w:p w:rsidR="00BB039B" w:rsidRPr="00B75B77" w:rsidRDefault="00BB039B" w:rsidP="00502659">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0.50</w:t>
            </w:r>
          </w:p>
        </w:tc>
        <w:tc>
          <w:tcPr>
            <w:tcW w:w="1080" w:type="dxa"/>
            <w:tcBorders>
              <w:left w:val="single" w:sz="8" w:space="0" w:color="448A99"/>
              <w:right w:val="single" w:sz="8" w:space="0" w:color="448A99"/>
            </w:tcBorders>
            <w:noWrap/>
            <w:vAlign w:val="center"/>
          </w:tcPr>
          <w:p w:rsidR="00BB039B" w:rsidRPr="00B75B77" w:rsidRDefault="00BB039B" w:rsidP="00502659">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990" w:type="dxa"/>
            <w:tcBorders>
              <w:left w:val="single" w:sz="8" w:space="0" w:color="448A99"/>
              <w:right w:val="single" w:sz="8" w:space="0" w:color="448A99"/>
            </w:tcBorders>
            <w:noWrap/>
            <w:vAlign w:val="center"/>
          </w:tcPr>
          <w:p w:rsidR="00BB039B" w:rsidRPr="00B75B77" w:rsidRDefault="00BB039B" w:rsidP="00502659">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8</w:t>
            </w:r>
          </w:p>
        </w:tc>
        <w:tc>
          <w:tcPr>
            <w:tcW w:w="1080" w:type="dxa"/>
            <w:tcBorders>
              <w:left w:val="single" w:sz="8" w:space="0" w:color="448A99"/>
              <w:right w:val="single" w:sz="8" w:space="0" w:color="448A99"/>
            </w:tcBorders>
            <w:noWrap/>
            <w:vAlign w:val="center"/>
          </w:tcPr>
          <w:p w:rsidR="00BB039B" w:rsidRPr="00B75B77" w:rsidRDefault="00BB039B" w:rsidP="00502659">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5</w:t>
            </w:r>
          </w:p>
        </w:tc>
        <w:tc>
          <w:tcPr>
            <w:tcW w:w="1260" w:type="dxa"/>
            <w:tcBorders>
              <w:left w:val="single" w:sz="8" w:space="0" w:color="448A99"/>
            </w:tcBorders>
            <w:noWrap/>
            <w:vAlign w:val="center"/>
          </w:tcPr>
          <w:p w:rsidR="00BB039B" w:rsidRPr="00B75B77" w:rsidRDefault="00BB039B" w:rsidP="00502659">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100%</w:t>
            </w:r>
          </w:p>
        </w:tc>
      </w:tr>
      <w:tr w:rsidR="00BB039B" w:rsidRPr="00B75B77" w:rsidTr="00BB039B">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1170" w:type="dxa"/>
            <w:tcBorders>
              <w:bottom w:val="single" w:sz="8" w:space="0" w:color="448A99"/>
              <w:right w:val="none" w:sz="0" w:space="0" w:color="auto"/>
            </w:tcBorders>
            <w:noWrap/>
            <w:vAlign w:val="center"/>
            <w:hideMark/>
          </w:tcPr>
          <w:p w:rsidR="00BB039B" w:rsidRPr="00B75B77" w:rsidRDefault="00BB039B" w:rsidP="00502659">
            <w:pPr>
              <w:keepNext/>
              <w:jc w:val="left"/>
              <w:rPr>
                <w:rFonts w:ascii="Calibri" w:eastAsia="Times New Roman" w:hAnsi="Calibri"/>
                <w:caps/>
                <w:color w:val="000000"/>
                <w:sz w:val="18"/>
                <w:szCs w:val="18"/>
              </w:rPr>
            </w:pPr>
            <w:r w:rsidRPr="00B75B77">
              <w:rPr>
                <w:rFonts w:ascii="Calibri" w:eastAsia="Times New Roman" w:hAnsi="Calibri"/>
                <w:caps/>
                <w:color w:val="000000"/>
                <w:sz w:val="18"/>
                <w:szCs w:val="18"/>
              </w:rPr>
              <w:t>Program Total</w:t>
            </w:r>
          </w:p>
        </w:tc>
        <w:tc>
          <w:tcPr>
            <w:tcW w:w="1620" w:type="dxa"/>
            <w:tcBorders>
              <w:left w:val="none" w:sz="0" w:space="0" w:color="auto"/>
              <w:right w:val="none" w:sz="0" w:space="0" w:color="auto"/>
            </w:tcBorders>
            <w:noWrap/>
            <w:vAlign w:val="center"/>
            <w:hideMark/>
          </w:tcPr>
          <w:p w:rsidR="00BB039B" w:rsidRPr="00B75B77" w:rsidRDefault="00793203" w:rsidP="00502659">
            <w:pPr>
              <w:keepNext/>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18"/>
                <w:szCs w:val="18"/>
              </w:rPr>
            </w:pPr>
            <w:r w:rsidRPr="00B75B77">
              <w:rPr>
                <w:rFonts w:ascii="Calibri" w:eastAsia="Times New Roman" w:hAnsi="Calibri"/>
                <w:b/>
                <w:color w:val="000000"/>
                <w:sz w:val="18"/>
                <w:szCs w:val="18"/>
              </w:rPr>
              <w:t>N/A</w:t>
            </w:r>
          </w:p>
        </w:tc>
        <w:tc>
          <w:tcPr>
            <w:tcW w:w="1080" w:type="dxa"/>
            <w:tcBorders>
              <w:left w:val="none" w:sz="0" w:space="0" w:color="auto"/>
              <w:right w:val="none" w:sz="0" w:space="0" w:color="auto"/>
            </w:tcBorders>
            <w:noWrap/>
            <w:vAlign w:val="center"/>
            <w:hideMark/>
          </w:tcPr>
          <w:p w:rsidR="00BB039B" w:rsidRPr="00B75B77" w:rsidRDefault="00BB039B"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18"/>
                <w:szCs w:val="18"/>
              </w:rPr>
            </w:pPr>
            <w:r w:rsidRPr="00B75B77">
              <w:rPr>
                <w:rFonts w:ascii="Calibri" w:eastAsia="Times New Roman" w:hAnsi="Calibri"/>
                <w:b/>
                <w:color w:val="000000"/>
                <w:sz w:val="18"/>
                <w:szCs w:val="18"/>
              </w:rPr>
              <w:t>3,726</w:t>
            </w:r>
          </w:p>
        </w:tc>
        <w:tc>
          <w:tcPr>
            <w:tcW w:w="1080" w:type="dxa"/>
            <w:tcBorders>
              <w:left w:val="none" w:sz="0" w:space="0" w:color="auto"/>
              <w:right w:val="none" w:sz="0" w:space="0" w:color="auto"/>
            </w:tcBorders>
            <w:noWrap/>
            <w:vAlign w:val="center"/>
            <w:hideMark/>
          </w:tcPr>
          <w:p w:rsidR="00BB039B" w:rsidRPr="00B75B77" w:rsidRDefault="00BB039B"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18"/>
                <w:szCs w:val="18"/>
              </w:rPr>
            </w:pPr>
            <w:r w:rsidRPr="00B75B77">
              <w:rPr>
                <w:rFonts w:ascii="Calibri" w:eastAsia="Times New Roman" w:hAnsi="Calibri"/>
                <w:b/>
                <w:color w:val="000000"/>
                <w:sz w:val="18"/>
                <w:szCs w:val="18"/>
              </w:rPr>
              <w:t>0.50</w:t>
            </w:r>
          </w:p>
        </w:tc>
        <w:tc>
          <w:tcPr>
            <w:tcW w:w="1080" w:type="dxa"/>
            <w:tcBorders>
              <w:left w:val="none" w:sz="0" w:space="0" w:color="auto"/>
              <w:right w:val="none" w:sz="0" w:space="0" w:color="auto"/>
            </w:tcBorders>
            <w:noWrap/>
            <w:vAlign w:val="center"/>
            <w:hideMark/>
          </w:tcPr>
          <w:p w:rsidR="00BB039B" w:rsidRPr="00B75B77" w:rsidRDefault="00BB039B"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18"/>
                <w:szCs w:val="18"/>
              </w:rPr>
            </w:pPr>
            <w:r w:rsidRPr="00B75B77">
              <w:rPr>
                <w:rFonts w:ascii="Calibri" w:eastAsia="Times New Roman" w:hAnsi="Calibri"/>
                <w:b/>
                <w:color w:val="000000"/>
                <w:sz w:val="18"/>
                <w:szCs w:val="18"/>
              </w:rPr>
              <w:t>85/15</w:t>
            </w:r>
          </w:p>
        </w:tc>
        <w:tc>
          <w:tcPr>
            <w:tcW w:w="990" w:type="dxa"/>
            <w:tcBorders>
              <w:left w:val="none" w:sz="0" w:space="0" w:color="auto"/>
              <w:right w:val="none" w:sz="0" w:space="0" w:color="auto"/>
            </w:tcBorders>
            <w:noWrap/>
            <w:vAlign w:val="center"/>
            <w:hideMark/>
          </w:tcPr>
          <w:p w:rsidR="00BB039B" w:rsidRPr="00B75B77" w:rsidRDefault="00BB039B"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18"/>
                <w:szCs w:val="18"/>
              </w:rPr>
            </w:pPr>
            <w:r w:rsidRPr="00B75B77">
              <w:rPr>
                <w:rFonts w:ascii="Calibri" w:eastAsia="Times New Roman" w:hAnsi="Calibri"/>
                <w:b/>
                <w:color w:val="000000"/>
                <w:sz w:val="18"/>
                <w:szCs w:val="18"/>
              </w:rPr>
              <w:t>48</w:t>
            </w:r>
          </w:p>
        </w:tc>
        <w:tc>
          <w:tcPr>
            <w:tcW w:w="1080" w:type="dxa"/>
            <w:tcBorders>
              <w:left w:val="none" w:sz="0" w:space="0" w:color="auto"/>
              <w:right w:val="none" w:sz="0" w:space="0" w:color="auto"/>
            </w:tcBorders>
            <w:noWrap/>
            <w:vAlign w:val="center"/>
            <w:hideMark/>
          </w:tcPr>
          <w:p w:rsidR="00BB039B" w:rsidRPr="00B75B77" w:rsidRDefault="00BB039B"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18"/>
                <w:szCs w:val="18"/>
              </w:rPr>
            </w:pPr>
            <w:r w:rsidRPr="00B75B77">
              <w:rPr>
                <w:rFonts w:ascii="Calibri" w:eastAsia="Times New Roman" w:hAnsi="Calibri"/>
                <w:b/>
                <w:color w:val="000000"/>
                <w:sz w:val="18"/>
                <w:szCs w:val="18"/>
              </w:rPr>
              <w:t>48</w:t>
            </w:r>
          </w:p>
        </w:tc>
        <w:tc>
          <w:tcPr>
            <w:tcW w:w="1260" w:type="dxa"/>
            <w:tcBorders>
              <w:left w:val="none" w:sz="0" w:space="0" w:color="auto"/>
            </w:tcBorders>
            <w:noWrap/>
            <w:vAlign w:val="center"/>
            <w:hideMark/>
          </w:tcPr>
          <w:p w:rsidR="00BB039B" w:rsidRPr="00B75B77" w:rsidRDefault="00BB039B" w:rsidP="0050265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18"/>
                <w:szCs w:val="18"/>
              </w:rPr>
            </w:pPr>
            <w:r w:rsidRPr="00B75B77">
              <w:rPr>
                <w:rFonts w:ascii="Calibri" w:eastAsia="Times New Roman" w:hAnsi="Calibri"/>
                <w:b/>
                <w:color w:val="000000"/>
                <w:sz w:val="18"/>
                <w:szCs w:val="18"/>
              </w:rPr>
              <w:t>43%</w:t>
            </w:r>
          </w:p>
        </w:tc>
      </w:tr>
    </w:tbl>
    <w:p w:rsidR="00D52DAD" w:rsidRPr="00B75B77" w:rsidRDefault="00BB039B" w:rsidP="00502659">
      <w:pPr>
        <w:pStyle w:val="Source"/>
        <w:keepNext/>
        <w:spacing w:before="20" w:after="20"/>
        <w:ind w:left="0" w:firstLine="0"/>
        <w:rPr>
          <w:rFonts w:ascii="Calibri" w:hAnsi="Calibri"/>
        </w:rPr>
      </w:pPr>
      <w:r w:rsidRPr="00B75B77">
        <w:rPr>
          <w:rFonts w:ascii="Calibri" w:hAnsi="Calibri"/>
          <w:i w:val="0"/>
          <w:vertAlign w:val="superscript"/>
        </w:rPr>
        <w:t xml:space="preserve"> [1]</w:t>
      </w:r>
      <w:r w:rsidRPr="00B75B77">
        <w:rPr>
          <w:rFonts w:ascii="Calibri" w:hAnsi="Calibri"/>
          <w:i w:val="0"/>
        </w:rPr>
        <w:t xml:space="preserve"> </w:t>
      </w:r>
      <w:r w:rsidR="00D52DAD" w:rsidRPr="00B75B77">
        <w:rPr>
          <w:rFonts w:ascii="Calibri" w:hAnsi="Calibri"/>
          <w:i w:val="0"/>
          <w:color w:val="000000"/>
          <w:szCs w:val="18"/>
        </w:rPr>
        <w:t>Sample frame is a list of contacts that have a chance to be selected into the sample. Percentage contacted means of all the sample frame the percentage that were contacted to get the completed surveys.</w:t>
      </w:r>
    </w:p>
    <w:p w:rsidR="00BB039B" w:rsidRPr="00B75B77" w:rsidRDefault="00BB039B" w:rsidP="00502659">
      <w:pPr>
        <w:pStyle w:val="Source"/>
        <w:keepNext/>
        <w:spacing w:before="20" w:after="40"/>
        <w:ind w:left="0" w:firstLine="0"/>
        <w:rPr>
          <w:rFonts w:ascii="Calibri" w:hAnsi="Calibri"/>
          <w:i w:val="0"/>
        </w:rPr>
      </w:pPr>
      <w:r w:rsidRPr="00B75B77">
        <w:rPr>
          <w:rFonts w:ascii="Calibri" w:hAnsi="Calibri"/>
          <w:i w:val="0"/>
          <w:iCs/>
          <w:color w:val="000000"/>
          <w:szCs w:val="18"/>
        </w:rPr>
        <w:t>Note: Values in tables may not reconcile exactly with the sum of more detailed level results or previously reported results due to rounding.</w:t>
      </w:r>
    </w:p>
    <w:p w:rsidR="00BB039B" w:rsidRPr="00B75B77" w:rsidRDefault="00BB039B" w:rsidP="00502659">
      <w:pPr>
        <w:pStyle w:val="Source"/>
        <w:keepNext/>
        <w:ind w:left="0" w:firstLine="0"/>
        <w:rPr>
          <w:rFonts w:ascii="Calibri" w:hAnsi="Calibri"/>
        </w:rPr>
      </w:pPr>
      <w:r w:rsidRPr="00B75B77">
        <w:t>Source: Navigant analysis</w:t>
      </w:r>
    </w:p>
    <w:p w:rsidR="00BB039B" w:rsidRPr="00B75B77" w:rsidRDefault="00BB039B" w:rsidP="00BB039B">
      <w:pPr>
        <w:pStyle w:val="Caption"/>
      </w:pPr>
      <w:bookmarkStart w:id="877" w:name="_Ref463418187"/>
      <w:bookmarkStart w:id="878" w:name="_Toc466413630"/>
      <w:r w:rsidRPr="00B75B77">
        <w:t xml:space="preserve">Table </w:t>
      </w:r>
      <w:fldSimple w:instr=" STYLEREF 1 \s ">
        <w:r w:rsidR="0004016D">
          <w:rPr>
            <w:noProof/>
          </w:rPr>
          <w:t>14</w:t>
        </w:r>
      </w:fldSimple>
      <w:r w:rsidR="00F1144C" w:rsidRPr="00B75B77">
        <w:noBreakHyphen/>
      </w:r>
      <w:fldSimple w:instr=" SEQ Table \* ARABIC \s 1 ">
        <w:r w:rsidR="0004016D">
          <w:rPr>
            <w:noProof/>
          </w:rPr>
          <w:t>12</w:t>
        </w:r>
      </w:fldSimple>
      <w:bookmarkEnd w:id="877"/>
      <w:r w:rsidRPr="00B75B77">
        <w:t xml:space="preserve">: Smart </w:t>
      </w:r>
      <w:r w:rsidR="00D52DAD" w:rsidRPr="00B75B77">
        <w:t>Multi-Family</w:t>
      </w:r>
      <w:r w:rsidRPr="00B75B77">
        <w:t xml:space="preserve"> Solutions Nonresidential Sector Sampling Strategy for PY7 NTG Research</w:t>
      </w:r>
      <w:bookmarkEnd w:id="878"/>
    </w:p>
    <w:tbl>
      <w:tblPr>
        <w:tblW w:w="9445" w:type="dxa"/>
        <w:tblLook w:val="04A0" w:firstRow="1" w:lastRow="0" w:firstColumn="1" w:lastColumn="0" w:noHBand="0" w:noVBand="1"/>
      </w:tblPr>
      <w:tblGrid>
        <w:gridCol w:w="1615"/>
        <w:gridCol w:w="1530"/>
        <w:gridCol w:w="1035"/>
        <w:gridCol w:w="1125"/>
        <w:gridCol w:w="1080"/>
        <w:gridCol w:w="1080"/>
        <w:gridCol w:w="905"/>
        <w:gridCol w:w="1075"/>
      </w:tblGrid>
      <w:tr w:rsidR="00BB039B" w:rsidRPr="00B75B77" w:rsidTr="00BB039B">
        <w:trPr>
          <w:divId w:val="1708991147"/>
          <w:trHeight w:val="480"/>
        </w:trPr>
        <w:tc>
          <w:tcPr>
            <w:tcW w:w="1615" w:type="dxa"/>
            <w:tcBorders>
              <w:top w:val="single" w:sz="4" w:space="0" w:color="auto"/>
              <w:left w:val="single" w:sz="4" w:space="0" w:color="auto"/>
              <w:bottom w:val="single" w:sz="4" w:space="0" w:color="auto"/>
              <w:right w:val="single" w:sz="4" w:space="0" w:color="auto"/>
            </w:tcBorders>
            <w:shd w:val="clear" w:color="000000" w:fill="448A99"/>
            <w:vAlign w:val="center"/>
            <w:hideMark/>
          </w:tcPr>
          <w:p w:rsidR="00BB039B" w:rsidRPr="00B75B77" w:rsidRDefault="00BB039B" w:rsidP="00D52DAD">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Stratum</w:t>
            </w:r>
          </w:p>
        </w:tc>
        <w:tc>
          <w:tcPr>
            <w:tcW w:w="1530" w:type="dxa"/>
            <w:tcBorders>
              <w:top w:val="single" w:sz="4" w:space="0" w:color="auto"/>
              <w:left w:val="nil"/>
              <w:bottom w:val="single" w:sz="4" w:space="0" w:color="auto"/>
              <w:right w:val="single" w:sz="4" w:space="0" w:color="auto"/>
            </w:tcBorders>
            <w:shd w:val="clear" w:color="000000" w:fill="448A99"/>
            <w:vAlign w:val="center"/>
            <w:hideMark/>
          </w:tcPr>
          <w:p w:rsidR="00BB039B" w:rsidRPr="00B75B77" w:rsidRDefault="00BB039B" w:rsidP="00D52DAD">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Stratum Boundaries</w:t>
            </w:r>
          </w:p>
        </w:tc>
        <w:tc>
          <w:tcPr>
            <w:tcW w:w="1035" w:type="dxa"/>
            <w:tcBorders>
              <w:top w:val="single" w:sz="4" w:space="0" w:color="auto"/>
              <w:left w:val="nil"/>
              <w:bottom w:val="single" w:sz="4" w:space="0" w:color="auto"/>
              <w:right w:val="single" w:sz="4" w:space="0" w:color="auto"/>
            </w:tcBorders>
            <w:shd w:val="clear" w:color="000000" w:fill="448A99"/>
            <w:vAlign w:val="center"/>
            <w:hideMark/>
          </w:tcPr>
          <w:p w:rsidR="00BB039B" w:rsidRPr="00B75B77" w:rsidRDefault="00BB039B" w:rsidP="00BB039B">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Population Size</w:t>
            </w:r>
          </w:p>
        </w:tc>
        <w:tc>
          <w:tcPr>
            <w:tcW w:w="1125" w:type="dxa"/>
            <w:tcBorders>
              <w:top w:val="single" w:sz="4" w:space="0" w:color="auto"/>
              <w:left w:val="nil"/>
              <w:bottom w:val="single" w:sz="4" w:space="0" w:color="auto"/>
              <w:right w:val="single" w:sz="4" w:space="0" w:color="auto"/>
            </w:tcBorders>
            <w:shd w:val="clear" w:color="000000" w:fill="448A99"/>
            <w:vAlign w:val="center"/>
            <w:hideMark/>
          </w:tcPr>
          <w:p w:rsidR="00BB039B" w:rsidRPr="00B75B77" w:rsidRDefault="00BB039B" w:rsidP="00BB039B">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Assumed CV or Proportion in Sample Design</w:t>
            </w:r>
          </w:p>
        </w:tc>
        <w:tc>
          <w:tcPr>
            <w:tcW w:w="1080" w:type="dxa"/>
            <w:tcBorders>
              <w:top w:val="single" w:sz="4" w:space="0" w:color="auto"/>
              <w:left w:val="nil"/>
              <w:bottom w:val="single" w:sz="4" w:space="0" w:color="auto"/>
              <w:right w:val="single" w:sz="4" w:space="0" w:color="auto"/>
            </w:tcBorders>
            <w:shd w:val="clear" w:color="000000" w:fill="448A99"/>
            <w:vAlign w:val="center"/>
            <w:hideMark/>
          </w:tcPr>
          <w:p w:rsidR="00BB039B" w:rsidRPr="00B75B77" w:rsidRDefault="00BB039B" w:rsidP="00BB039B">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Assumed Levels of Confidence and Precision</w:t>
            </w:r>
          </w:p>
        </w:tc>
        <w:tc>
          <w:tcPr>
            <w:tcW w:w="1080" w:type="dxa"/>
            <w:tcBorders>
              <w:top w:val="single" w:sz="4" w:space="0" w:color="auto"/>
              <w:left w:val="nil"/>
              <w:bottom w:val="single" w:sz="4" w:space="0" w:color="auto"/>
              <w:right w:val="single" w:sz="4" w:space="0" w:color="auto"/>
            </w:tcBorders>
            <w:shd w:val="clear" w:color="000000" w:fill="448A99"/>
            <w:vAlign w:val="center"/>
            <w:hideMark/>
          </w:tcPr>
          <w:p w:rsidR="00BB039B" w:rsidRPr="00B75B77" w:rsidRDefault="00BB039B" w:rsidP="00BB039B">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Target Sample </w:t>
            </w:r>
            <w:r w:rsidR="00D52DAD" w:rsidRPr="00B75B77">
              <w:rPr>
                <w:rFonts w:ascii="Calibri" w:eastAsia="Times New Roman" w:hAnsi="Calibri"/>
                <w:b/>
                <w:bCs/>
                <w:color w:val="FFFFFF"/>
                <w:sz w:val="18"/>
                <w:szCs w:val="18"/>
              </w:rPr>
              <w:t>S</w:t>
            </w:r>
            <w:r w:rsidRPr="00B75B77">
              <w:rPr>
                <w:rFonts w:ascii="Calibri" w:eastAsia="Times New Roman" w:hAnsi="Calibri"/>
                <w:b/>
                <w:bCs/>
                <w:color w:val="FFFFFF"/>
                <w:sz w:val="18"/>
                <w:szCs w:val="18"/>
              </w:rPr>
              <w:t>ize</w:t>
            </w:r>
          </w:p>
        </w:tc>
        <w:tc>
          <w:tcPr>
            <w:tcW w:w="905" w:type="dxa"/>
            <w:tcBorders>
              <w:top w:val="single" w:sz="4" w:space="0" w:color="auto"/>
              <w:left w:val="nil"/>
              <w:bottom w:val="single" w:sz="4" w:space="0" w:color="auto"/>
              <w:right w:val="single" w:sz="4" w:space="0" w:color="auto"/>
            </w:tcBorders>
            <w:shd w:val="clear" w:color="000000" w:fill="448A99"/>
            <w:vAlign w:val="center"/>
            <w:hideMark/>
          </w:tcPr>
          <w:p w:rsidR="00BB039B" w:rsidRPr="00B75B77" w:rsidRDefault="00BB039B" w:rsidP="00BB039B">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Achieved Sample Size</w:t>
            </w:r>
          </w:p>
        </w:tc>
        <w:tc>
          <w:tcPr>
            <w:tcW w:w="1075" w:type="dxa"/>
            <w:tcBorders>
              <w:top w:val="single" w:sz="4" w:space="0" w:color="auto"/>
              <w:left w:val="nil"/>
              <w:bottom w:val="single" w:sz="4" w:space="0" w:color="auto"/>
              <w:right w:val="single" w:sz="4" w:space="0" w:color="auto"/>
            </w:tcBorders>
            <w:shd w:val="clear" w:color="000000" w:fill="448A99"/>
            <w:vAlign w:val="center"/>
            <w:hideMark/>
          </w:tcPr>
          <w:p w:rsidR="00BB039B" w:rsidRPr="00B75B77" w:rsidRDefault="00237810" w:rsidP="00BB039B">
            <w:pPr>
              <w:jc w:val="center"/>
              <w:rPr>
                <w:rFonts w:ascii="Calibri" w:eastAsia="Times New Roman" w:hAnsi="Calibri"/>
                <w:b/>
                <w:bCs/>
                <w:color w:val="FFFFFF"/>
                <w:sz w:val="18"/>
                <w:szCs w:val="18"/>
              </w:rPr>
            </w:pPr>
            <w:hyperlink r:id="rId91" w:anchor="RANGE!_ftn1" w:history="1">
              <w:r w:rsidR="00BB039B" w:rsidRPr="00B75B77">
                <w:rPr>
                  <w:rFonts w:ascii="Calibri" w:eastAsia="Times New Roman" w:hAnsi="Calibri"/>
                  <w:b/>
                  <w:bCs/>
                  <w:color w:val="FFFFFF"/>
                  <w:sz w:val="18"/>
                  <w:szCs w:val="18"/>
                </w:rPr>
                <w:t>Percent</w:t>
              </w:r>
              <w:r w:rsidR="00D52DAD" w:rsidRPr="00B75B77">
                <w:rPr>
                  <w:rFonts w:ascii="Calibri" w:eastAsia="Times New Roman" w:hAnsi="Calibri"/>
                  <w:b/>
                  <w:bCs/>
                  <w:color w:val="FFFFFF"/>
                  <w:sz w:val="18"/>
                  <w:szCs w:val="18"/>
                </w:rPr>
                <w:t>age</w:t>
              </w:r>
              <w:r w:rsidR="00BB039B" w:rsidRPr="00B75B77">
                <w:rPr>
                  <w:rFonts w:ascii="Calibri" w:eastAsia="Times New Roman" w:hAnsi="Calibri"/>
                  <w:b/>
                  <w:bCs/>
                  <w:color w:val="FFFFFF"/>
                  <w:sz w:val="18"/>
                  <w:szCs w:val="18"/>
                </w:rPr>
                <w:t xml:space="preserve"> of Sample Frame</w:t>
              </w:r>
              <w:r w:rsidR="00BB039B" w:rsidRPr="00B75B77">
                <w:rPr>
                  <w:rFonts w:ascii="Calibri" w:eastAsia="Times New Roman" w:hAnsi="Calibri"/>
                  <w:b/>
                  <w:color w:val="FFFFFF" w:themeColor="background1"/>
                  <w:sz w:val="18"/>
                  <w:szCs w:val="18"/>
                </w:rPr>
                <w:t xml:space="preserve"> </w:t>
              </w:r>
              <w:r w:rsidR="00BB039B" w:rsidRPr="00B75B77">
                <w:rPr>
                  <w:rFonts w:ascii="Calibri" w:eastAsia="Times New Roman" w:hAnsi="Calibri"/>
                  <w:b/>
                  <w:color w:val="FFFFFF" w:themeColor="background1"/>
                  <w:sz w:val="18"/>
                  <w:szCs w:val="18"/>
                  <w:vertAlign w:val="superscript"/>
                </w:rPr>
                <w:t>[</w:t>
              </w:r>
              <w:r w:rsidR="00BB039B" w:rsidRPr="00B75B77">
                <w:rPr>
                  <w:rFonts w:eastAsia="Times New Roman"/>
                  <w:b/>
                  <w:color w:val="FFFFFF" w:themeColor="background1"/>
                  <w:sz w:val="18"/>
                  <w:szCs w:val="18"/>
                  <w:vertAlign w:val="superscript"/>
                </w:rPr>
                <w:t>1</w:t>
              </w:r>
              <w:r w:rsidR="00BB039B" w:rsidRPr="00B75B77">
                <w:rPr>
                  <w:rFonts w:ascii="Calibri" w:eastAsia="Times New Roman" w:hAnsi="Calibri"/>
                  <w:b/>
                  <w:color w:val="FFFFFF" w:themeColor="background1"/>
                  <w:sz w:val="18"/>
                  <w:szCs w:val="18"/>
                  <w:vertAlign w:val="superscript"/>
                </w:rPr>
                <w:t>]</w:t>
              </w:r>
              <w:r w:rsidR="00BB039B" w:rsidRPr="00B75B77">
                <w:rPr>
                  <w:rFonts w:ascii="Calibri" w:eastAsia="Times New Roman" w:hAnsi="Calibri"/>
                  <w:b/>
                  <w:color w:val="FFFFFF" w:themeColor="background1"/>
                  <w:sz w:val="18"/>
                  <w:szCs w:val="18"/>
                </w:rPr>
                <w:t xml:space="preserve"> </w:t>
              </w:r>
              <w:r w:rsidR="00BB039B" w:rsidRPr="00B75B77">
                <w:rPr>
                  <w:rFonts w:ascii="Calibri" w:eastAsia="Times New Roman" w:hAnsi="Calibri"/>
                  <w:b/>
                  <w:bCs/>
                  <w:color w:val="FFFFFF"/>
                  <w:sz w:val="18"/>
                  <w:szCs w:val="18"/>
                </w:rPr>
                <w:t>Contacted to Achieve Sample</w:t>
              </w:r>
            </w:hyperlink>
          </w:p>
        </w:tc>
      </w:tr>
      <w:tr w:rsidR="00BB039B" w:rsidRPr="00B75B77" w:rsidTr="00BB039B">
        <w:trPr>
          <w:divId w:val="1708991147"/>
          <w:trHeight w:val="288"/>
        </w:trPr>
        <w:tc>
          <w:tcPr>
            <w:tcW w:w="1615" w:type="dxa"/>
            <w:tcBorders>
              <w:top w:val="nil"/>
              <w:left w:val="single" w:sz="4" w:space="0" w:color="448A99"/>
              <w:bottom w:val="single" w:sz="4" w:space="0" w:color="448A99"/>
              <w:right w:val="single" w:sz="4" w:space="0" w:color="448A99"/>
            </w:tcBorders>
            <w:shd w:val="clear" w:color="000000" w:fill="D2EAF1"/>
            <w:vAlign w:val="center"/>
            <w:hideMark/>
          </w:tcPr>
          <w:p w:rsidR="00BB039B" w:rsidRPr="00B75B77" w:rsidRDefault="002F3BF8" w:rsidP="00D52DAD">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Non-Res –</w:t>
            </w:r>
            <w:r w:rsidR="00BB039B" w:rsidRPr="00B75B77">
              <w:rPr>
                <w:rFonts w:ascii="Calibri" w:eastAsia="Times New Roman" w:hAnsi="Calibri"/>
                <w:bCs/>
                <w:color w:val="000000"/>
                <w:sz w:val="18"/>
                <w:szCs w:val="18"/>
              </w:rPr>
              <w:t xml:space="preserve"> Small</w:t>
            </w:r>
          </w:p>
        </w:tc>
        <w:tc>
          <w:tcPr>
            <w:tcW w:w="1530" w:type="dxa"/>
            <w:tcBorders>
              <w:top w:val="nil"/>
              <w:left w:val="nil"/>
              <w:bottom w:val="single" w:sz="4" w:space="0" w:color="448A99"/>
              <w:right w:val="single" w:sz="4" w:space="0" w:color="448A99"/>
            </w:tcBorders>
            <w:shd w:val="clear" w:color="000000" w:fill="D2EAF1"/>
            <w:noWrap/>
            <w:vAlign w:val="center"/>
            <w:hideMark/>
          </w:tcPr>
          <w:p w:rsidR="00BB039B" w:rsidRPr="00B75B77" w:rsidRDefault="00BB039B" w:rsidP="00D52DAD">
            <w:pPr>
              <w:jc w:val="left"/>
              <w:rPr>
                <w:rFonts w:ascii="Calibri" w:eastAsia="Times New Roman" w:hAnsi="Calibri"/>
                <w:color w:val="000000"/>
                <w:sz w:val="18"/>
                <w:szCs w:val="18"/>
              </w:rPr>
            </w:pPr>
            <w:r w:rsidRPr="00B75B77">
              <w:rPr>
                <w:rFonts w:ascii="Calibri" w:eastAsia="Times New Roman" w:hAnsi="Calibri"/>
                <w:color w:val="000000"/>
                <w:sz w:val="18"/>
                <w:szCs w:val="18"/>
              </w:rPr>
              <w:t>&lt; 27.2 Reported MWh Savings</w:t>
            </w:r>
          </w:p>
        </w:tc>
        <w:tc>
          <w:tcPr>
            <w:tcW w:w="1035"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91</w:t>
            </w:r>
          </w:p>
        </w:tc>
        <w:tc>
          <w:tcPr>
            <w:tcW w:w="1125" w:type="dxa"/>
            <w:tcBorders>
              <w:top w:val="nil"/>
              <w:left w:val="nil"/>
              <w:bottom w:val="single" w:sz="4" w:space="0" w:color="448A99"/>
              <w:right w:val="single" w:sz="4" w:space="0" w:color="448A99"/>
            </w:tcBorders>
            <w:shd w:val="clear" w:color="000000" w:fill="D2EAF1"/>
            <w:noWrap/>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0.50</w:t>
            </w:r>
          </w:p>
        </w:tc>
        <w:tc>
          <w:tcPr>
            <w:tcW w:w="1080" w:type="dxa"/>
            <w:tcBorders>
              <w:top w:val="nil"/>
              <w:left w:val="nil"/>
              <w:bottom w:val="single" w:sz="4" w:space="0" w:color="448A99"/>
              <w:right w:val="single" w:sz="4" w:space="0" w:color="448A99"/>
            </w:tcBorders>
            <w:shd w:val="clear" w:color="000000" w:fill="D2EAF1"/>
            <w:noWrap/>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1080" w:type="dxa"/>
            <w:tcBorders>
              <w:top w:val="nil"/>
              <w:left w:val="nil"/>
              <w:bottom w:val="single" w:sz="4" w:space="0" w:color="448A99"/>
              <w:right w:val="single" w:sz="4" w:space="0" w:color="448A99"/>
            </w:tcBorders>
            <w:shd w:val="clear" w:color="000000" w:fill="D2EAF1"/>
            <w:noWrap/>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10</w:t>
            </w:r>
          </w:p>
        </w:tc>
        <w:tc>
          <w:tcPr>
            <w:tcW w:w="905"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16</w:t>
            </w:r>
          </w:p>
        </w:tc>
        <w:tc>
          <w:tcPr>
            <w:tcW w:w="1075" w:type="dxa"/>
            <w:tcBorders>
              <w:top w:val="nil"/>
              <w:left w:val="nil"/>
              <w:bottom w:val="single" w:sz="4" w:space="0" w:color="448A99"/>
              <w:right w:val="single" w:sz="4" w:space="0" w:color="448A99"/>
            </w:tcBorders>
            <w:shd w:val="clear" w:color="000000" w:fill="D2EAF1"/>
            <w:noWrap/>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100%</w:t>
            </w:r>
          </w:p>
        </w:tc>
      </w:tr>
      <w:tr w:rsidR="00BB039B" w:rsidRPr="00B75B77" w:rsidTr="00BB039B">
        <w:trPr>
          <w:divId w:val="1708991147"/>
          <w:trHeight w:val="288"/>
        </w:trPr>
        <w:tc>
          <w:tcPr>
            <w:tcW w:w="1615" w:type="dxa"/>
            <w:tcBorders>
              <w:top w:val="nil"/>
              <w:left w:val="single" w:sz="4" w:space="0" w:color="448A99"/>
              <w:bottom w:val="single" w:sz="4" w:space="0" w:color="448A99"/>
              <w:right w:val="single" w:sz="4" w:space="0" w:color="448A99"/>
            </w:tcBorders>
            <w:shd w:val="clear" w:color="000000" w:fill="FFFFFF"/>
            <w:vAlign w:val="center"/>
            <w:hideMark/>
          </w:tcPr>
          <w:p w:rsidR="00BB039B" w:rsidRPr="00B75B77" w:rsidRDefault="002F3BF8" w:rsidP="00D52DAD">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Non-Res –</w:t>
            </w:r>
            <w:r w:rsidR="00BB039B" w:rsidRPr="00B75B77">
              <w:rPr>
                <w:rFonts w:ascii="Calibri" w:eastAsia="Times New Roman" w:hAnsi="Calibri"/>
                <w:bCs/>
                <w:color w:val="000000"/>
                <w:sz w:val="18"/>
                <w:szCs w:val="18"/>
              </w:rPr>
              <w:t xml:space="preserve"> Medium/Large</w:t>
            </w:r>
          </w:p>
        </w:tc>
        <w:tc>
          <w:tcPr>
            <w:tcW w:w="1530" w:type="dxa"/>
            <w:tcBorders>
              <w:top w:val="nil"/>
              <w:left w:val="nil"/>
              <w:bottom w:val="single" w:sz="4" w:space="0" w:color="448A99"/>
              <w:right w:val="single" w:sz="4" w:space="0" w:color="448A99"/>
            </w:tcBorders>
            <w:shd w:val="clear" w:color="000000" w:fill="FFFFFF"/>
            <w:noWrap/>
            <w:vAlign w:val="center"/>
            <w:hideMark/>
          </w:tcPr>
          <w:p w:rsidR="00BB039B" w:rsidRPr="00B75B77" w:rsidRDefault="00BB039B" w:rsidP="00D52DAD">
            <w:pPr>
              <w:jc w:val="left"/>
              <w:rPr>
                <w:rFonts w:ascii="Calibri" w:eastAsia="Times New Roman" w:hAnsi="Calibri"/>
                <w:color w:val="000000"/>
                <w:sz w:val="18"/>
                <w:szCs w:val="18"/>
              </w:rPr>
            </w:pPr>
            <w:r w:rsidRPr="00B75B77">
              <w:rPr>
                <w:rFonts w:ascii="Calibri" w:eastAsia="Times New Roman" w:hAnsi="Calibri"/>
                <w:color w:val="000000"/>
                <w:sz w:val="18"/>
                <w:szCs w:val="18"/>
              </w:rPr>
              <w:t>&gt;= 27.2 Reported MWh Savings</w:t>
            </w:r>
          </w:p>
        </w:tc>
        <w:tc>
          <w:tcPr>
            <w:tcW w:w="1035" w:type="dxa"/>
            <w:tcBorders>
              <w:top w:val="nil"/>
              <w:left w:val="nil"/>
              <w:bottom w:val="single" w:sz="4" w:space="0" w:color="448A99"/>
              <w:right w:val="single" w:sz="4" w:space="0" w:color="448A99"/>
            </w:tcBorders>
            <w:shd w:val="clear" w:color="000000" w:fill="FFFFFF"/>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31</w:t>
            </w:r>
          </w:p>
        </w:tc>
        <w:tc>
          <w:tcPr>
            <w:tcW w:w="1125" w:type="dxa"/>
            <w:tcBorders>
              <w:top w:val="nil"/>
              <w:left w:val="nil"/>
              <w:bottom w:val="single" w:sz="4" w:space="0" w:color="448A99"/>
              <w:right w:val="single" w:sz="4" w:space="0" w:color="448A99"/>
            </w:tcBorders>
            <w:shd w:val="clear" w:color="000000" w:fill="FFFFFF"/>
            <w:noWrap/>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0.50</w:t>
            </w:r>
          </w:p>
        </w:tc>
        <w:tc>
          <w:tcPr>
            <w:tcW w:w="1080" w:type="dxa"/>
            <w:tcBorders>
              <w:top w:val="nil"/>
              <w:left w:val="nil"/>
              <w:bottom w:val="single" w:sz="4" w:space="0" w:color="448A99"/>
              <w:right w:val="single" w:sz="4" w:space="0" w:color="448A99"/>
            </w:tcBorders>
            <w:shd w:val="clear" w:color="000000" w:fill="FFFFFF"/>
            <w:noWrap/>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1080" w:type="dxa"/>
            <w:tcBorders>
              <w:top w:val="nil"/>
              <w:left w:val="nil"/>
              <w:bottom w:val="single" w:sz="4" w:space="0" w:color="448A99"/>
              <w:right w:val="single" w:sz="4" w:space="0" w:color="448A99"/>
            </w:tcBorders>
            <w:shd w:val="clear" w:color="000000" w:fill="FFFFFF"/>
            <w:noWrap/>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14</w:t>
            </w:r>
          </w:p>
        </w:tc>
        <w:tc>
          <w:tcPr>
            <w:tcW w:w="905" w:type="dxa"/>
            <w:tcBorders>
              <w:top w:val="nil"/>
              <w:left w:val="nil"/>
              <w:bottom w:val="single" w:sz="4" w:space="0" w:color="448A99"/>
              <w:right w:val="single" w:sz="4" w:space="0" w:color="448A99"/>
            </w:tcBorders>
            <w:shd w:val="clear" w:color="000000" w:fill="FFFFFF"/>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6</w:t>
            </w:r>
          </w:p>
        </w:tc>
        <w:tc>
          <w:tcPr>
            <w:tcW w:w="1075" w:type="dxa"/>
            <w:tcBorders>
              <w:top w:val="nil"/>
              <w:left w:val="nil"/>
              <w:bottom w:val="single" w:sz="4" w:space="0" w:color="448A99"/>
              <w:right w:val="single" w:sz="4" w:space="0" w:color="448A99"/>
            </w:tcBorders>
            <w:shd w:val="clear" w:color="000000" w:fill="FFFFFF"/>
            <w:noWrap/>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100%</w:t>
            </w:r>
          </w:p>
        </w:tc>
      </w:tr>
      <w:tr w:rsidR="00BB039B" w:rsidRPr="00B75B77" w:rsidTr="00BB039B">
        <w:trPr>
          <w:divId w:val="1708991147"/>
          <w:trHeight w:val="240"/>
        </w:trPr>
        <w:tc>
          <w:tcPr>
            <w:tcW w:w="1615" w:type="dxa"/>
            <w:tcBorders>
              <w:top w:val="nil"/>
              <w:left w:val="single" w:sz="4" w:space="0" w:color="448A99"/>
              <w:bottom w:val="single" w:sz="4" w:space="0" w:color="448A99"/>
              <w:right w:val="single" w:sz="4" w:space="0" w:color="448A99"/>
            </w:tcBorders>
            <w:shd w:val="clear" w:color="000000" w:fill="D2EAF1"/>
            <w:noWrap/>
            <w:vAlign w:val="center"/>
            <w:hideMark/>
          </w:tcPr>
          <w:p w:rsidR="00BB039B" w:rsidRPr="00B75B77" w:rsidRDefault="00BB039B" w:rsidP="00D52DAD">
            <w:pPr>
              <w:jc w:val="left"/>
              <w:rPr>
                <w:rFonts w:ascii="Calibri" w:eastAsia="Times New Roman" w:hAnsi="Calibri"/>
                <w:b/>
                <w:color w:val="000000"/>
                <w:sz w:val="18"/>
                <w:szCs w:val="18"/>
              </w:rPr>
            </w:pPr>
            <w:r w:rsidRPr="00B75B77">
              <w:rPr>
                <w:rFonts w:ascii="Calibri" w:eastAsia="Times New Roman" w:hAnsi="Calibri"/>
                <w:b/>
                <w:caps/>
                <w:color w:val="000000"/>
                <w:sz w:val="18"/>
                <w:szCs w:val="18"/>
              </w:rPr>
              <w:t>Program Total</w:t>
            </w:r>
          </w:p>
        </w:tc>
        <w:tc>
          <w:tcPr>
            <w:tcW w:w="1530" w:type="dxa"/>
            <w:tcBorders>
              <w:top w:val="nil"/>
              <w:left w:val="nil"/>
              <w:bottom w:val="single" w:sz="4" w:space="0" w:color="448A99"/>
              <w:right w:val="single" w:sz="4" w:space="0" w:color="448A99"/>
            </w:tcBorders>
            <w:shd w:val="clear" w:color="000000" w:fill="D2EAF1"/>
            <w:noWrap/>
            <w:vAlign w:val="center"/>
            <w:hideMark/>
          </w:tcPr>
          <w:p w:rsidR="00BB039B" w:rsidRPr="00B75B77" w:rsidRDefault="00BB039B" w:rsidP="00D52DAD">
            <w:pPr>
              <w:jc w:val="left"/>
              <w:rPr>
                <w:rFonts w:ascii="Calibri" w:eastAsia="Times New Roman" w:hAnsi="Calibri"/>
                <w:b/>
                <w:color w:val="000000"/>
                <w:sz w:val="18"/>
                <w:szCs w:val="18"/>
              </w:rPr>
            </w:pPr>
            <w:r w:rsidRPr="00B75B77">
              <w:rPr>
                <w:rFonts w:ascii="Calibri" w:eastAsia="Times New Roman" w:hAnsi="Calibri"/>
                <w:b/>
                <w:color w:val="000000"/>
                <w:sz w:val="18"/>
                <w:szCs w:val="18"/>
              </w:rPr>
              <w:t> </w:t>
            </w:r>
            <w:r w:rsidR="00793203" w:rsidRPr="00B75B77">
              <w:rPr>
                <w:rFonts w:ascii="Calibri" w:eastAsia="Times New Roman" w:hAnsi="Calibri"/>
                <w:b/>
                <w:color w:val="000000"/>
                <w:sz w:val="18"/>
                <w:szCs w:val="18"/>
              </w:rPr>
              <w:t>N/A</w:t>
            </w:r>
          </w:p>
        </w:tc>
        <w:tc>
          <w:tcPr>
            <w:tcW w:w="1035" w:type="dxa"/>
            <w:tcBorders>
              <w:top w:val="nil"/>
              <w:left w:val="nil"/>
              <w:bottom w:val="single" w:sz="4" w:space="0" w:color="448A99"/>
              <w:right w:val="single" w:sz="4" w:space="0" w:color="448A99"/>
            </w:tcBorders>
            <w:shd w:val="clear" w:color="000000" w:fill="D2EAF1"/>
            <w:noWrap/>
            <w:vAlign w:val="center"/>
            <w:hideMark/>
          </w:tcPr>
          <w:p w:rsidR="00BB039B" w:rsidRPr="00B75B77" w:rsidRDefault="00BB039B" w:rsidP="00BB039B">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122</w:t>
            </w:r>
          </w:p>
        </w:tc>
        <w:tc>
          <w:tcPr>
            <w:tcW w:w="1125" w:type="dxa"/>
            <w:tcBorders>
              <w:top w:val="nil"/>
              <w:left w:val="nil"/>
              <w:bottom w:val="single" w:sz="4" w:space="0" w:color="448A99"/>
              <w:right w:val="single" w:sz="4" w:space="0" w:color="448A99"/>
            </w:tcBorders>
            <w:shd w:val="clear" w:color="000000" w:fill="D2EAF1"/>
            <w:noWrap/>
            <w:vAlign w:val="center"/>
            <w:hideMark/>
          </w:tcPr>
          <w:p w:rsidR="00BB039B" w:rsidRPr="00B75B77" w:rsidRDefault="00793203" w:rsidP="00BB039B">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N/A</w:t>
            </w:r>
            <w:r w:rsidR="00BB039B" w:rsidRPr="00B75B77">
              <w:rPr>
                <w:rFonts w:ascii="Calibri" w:eastAsia="Times New Roman" w:hAnsi="Calibri"/>
                <w:b/>
                <w:color w:val="000000"/>
                <w:sz w:val="18"/>
                <w:szCs w:val="18"/>
              </w:rPr>
              <w:t> </w:t>
            </w:r>
          </w:p>
        </w:tc>
        <w:tc>
          <w:tcPr>
            <w:tcW w:w="1080" w:type="dxa"/>
            <w:tcBorders>
              <w:top w:val="nil"/>
              <w:left w:val="nil"/>
              <w:bottom w:val="single" w:sz="4" w:space="0" w:color="448A99"/>
              <w:right w:val="single" w:sz="4" w:space="0" w:color="448A99"/>
            </w:tcBorders>
            <w:shd w:val="clear" w:color="000000" w:fill="D2EAF1"/>
            <w:noWrap/>
            <w:vAlign w:val="center"/>
            <w:hideMark/>
          </w:tcPr>
          <w:p w:rsidR="00BB039B" w:rsidRPr="00B75B77" w:rsidRDefault="00793203" w:rsidP="00BB039B">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85/15</w:t>
            </w:r>
            <w:r w:rsidR="00BB039B" w:rsidRPr="00B75B77">
              <w:rPr>
                <w:rFonts w:ascii="Calibri" w:eastAsia="Times New Roman" w:hAnsi="Calibri"/>
                <w:b/>
                <w:color w:val="000000"/>
                <w:sz w:val="18"/>
                <w:szCs w:val="18"/>
              </w:rPr>
              <w:t> </w:t>
            </w:r>
          </w:p>
        </w:tc>
        <w:tc>
          <w:tcPr>
            <w:tcW w:w="1080" w:type="dxa"/>
            <w:tcBorders>
              <w:top w:val="nil"/>
              <w:left w:val="nil"/>
              <w:bottom w:val="single" w:sz="4" w:space="0" w:color="448A99"/>
              <w:right w:val="single" w:sz="4" w:space="0" w:color="448A99"/>
            </w:tcBorders>
            <w:shd w:val="clear" w:color="000000" w:fill="D2EAF1"/>
            <w:noWrap/>
            <w:vAlign w:val="center"/>
            <w:hideMark/>
          </w:tcPr>
          <w:p w:rsidR="00BB039B" w:rsidRPr="00B75B77" w:rsidRDefault="00BB039B" w:rsidP="00BB039B">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24</w:t>
            </w:r>
          </w:p>
        </w:tc>
        <w:tc>
          <w:tcPr>
            <w:tcW w:w="905" w:type="dxa"/>
            <w:tcBorders>
              <w:top w:val="nil"/>
              <w:left w:val="nil"/>
              <w:bottom w:val="single" w:sz="4" w:space="0" w:color="448A99"/>
              <w:right w:val="single" w:sz="4" w:space="0" w:color="448A99"/>
            </w:tcBorders>
            <w:shd w:val="clear" w:color="000000" w:fill="D2EAF1"/>
            <w:noWrap/>
            <w:vAlign w:val="center"/>
            <w:hideMark/>
          </w:tcPr>
          <w:p w:rsidR="00BB039B" w:rsidRPr="00B75B77" w:rsidRDefault="00BB039B" w:rsidP="00BB039B">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22</w:t>
            </w:r>
          </w:p>
        </w:tc>
        <w:tc>
          <w:tcPr>
            <w:tcW w:w="1075" w:type="dxa"/>
            <w:tcBorders>
              <w:top w:val="nil"/>
              <w:left w:val="nil"/>
              <w:bottom w:val="single" w:sz="4" w:space="0" w:color="448A99"/>
              <w:right w:val="single" w:sz="4" w:space="0" w:color="448A99"/>
            </w:tcBorders>
            <w:shd w:val="clear" w:color="000000" w:fill="D2EAF1"/>
            <w:noWrap/>
            <w:vAlign w:val="center"/>
            <w:hideMark/>
          </w:tcPr>
          <w:p w:rsidR="00BB039B" w:rsidRPr="00B75B77" w:rsidRDefault="00BB039B" w:rsidP="00BB039B">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100%</w:t>
            </w:r>
          </w:p>
        </w:tc>
      </w:tr>
    </w:tbl>
    <w:p w:rsidR="00BB039B" w:rsidRPr="00B75B77" w:rsidRDefault="00BB039B" w:rsidP="00D52DAD">
      <w:pPr>
        <w:pStyle w:val="Source"/>
        <w:spacing w:before="20" w:after="20"/>
        <w:ind w:left="0" w:firstLine="0"/>
        <w:rPr>
          <w:i w:val="0"/>
        </w:rPr>
      </w:pPr>
      <w:r w:rsidRPr="00B75B77">
        <w:rPr>
          <w:rFonts w:ascii="Calibri" w:hAnsi="Calibri"/>
          <w:i w:val="0"/>
          <w:color w:val="000000"/>
          <w:szCs w:val="18"/>
          <w:vertAlign w:val="superscript"/>
        </w:rPr>
        <w:t>[1]</w:t>
      </w:r>
      <w:r w:rsidRPr="00B75B77">
        <w:rPr>
          <w:rFonts w:ascii="Calibri" w:hAnsi="Calibri"/>
          <w:i w:val="0"/>
          <w:color w:val="000000"/>
          <w:szCs w:val="18"/>
        </w:rPr>
        <w:t xml:space="preserve"> Sample frame is a list of contacts that have a chance to be selected into the sample. Percentage contacted means of all the sample frame the percentage that were contacted to get the completed surveys.</w:t>
      </w:r>
    </w:p>
    <w:p w:rsidR="00BB039B" w:rsidRPr="00B75B77" w:rsidRDefault="00BB039B" w:rsidP="00BB039B">
      <w:pPr>
        <w:pStyle w:val="Source"/>
        <w:spacing w:before="20" w:after="20"/>
        <w:ind w:left="0" w:firstLine="0"/>
      </w:pPr>
      <w:r w:rsidRPr="00B75B77">
        <w:rPr>
          <w:rFonts w:ascii="Calibri" w:hAnsi="Calibri"/>
          <w:i w:val="0"/>
          <w:iCs/>
          <w:color w:val="000000"/>
          <w:szCs w:val="18"/>
        </w:rPr>
        <w:t>Note: Values in tables may not reconcile exactly with the sum of more detailed level results or previously reported results due to rounding.</w:t>
      </w:r>
    </w:p>
    <w:p w:rsidR="00BB039B" w:rsidRPr="00B75B77" w:rsidRDefault="00BB039B" w:rsidP="00D52DAD">
      <w:pPr>
        <w:pStyle w:val="Source"/>
        <w:ind w:hanging="720"/>
      </w:pPr>
      <w:r w:rsidRPr="00B75B77">
        <w:t>Source: Navigant analysis</w:t>
      </w:r>
    </w:p>
    <w:p w:rsidR="00BB039B" w:rsidRPr="00B75B77" w:rsidRDefault="00BB039B" w:rsidP="00BB039B">
      <w:pPr>
        <w:pStyle w:val="Heading3"/>
      </w:pPr>
      <w:bookmarkStart w:id="879" w:name="_Toc466413444"/>
      <w:r w:rsidRPr="00B75B77">
        <w:t>Net Verified Savings Results</w:t>
      </w:r>
      <w:bookmarkEnd w:id="879"/>
      <w:r w:rsidRPr="00B75B77">
        <w:t xml:space="preserve"> </w:t>
      </w:r>
    </w:p>
    <w:p w:rsidR="00BB039B" w:rsidRPr="00B75B77" w:rsidRDefault="00BB039B" w:rsidP="00BB039B">
      <w:pPr>
        <w:rPr>
          <w:rFonts w:eastAsia="Times New Roman"/>
        </w:rPr>
      </w:pPr>
      <w:r w:rsidRPr="00B75B77">
        <w:rPr>
          <w:rFonts w:eastAsia="Times New Roman"/>
        </w:rPr>
        <w:t>The net impact evaluation yielded a 0.59 NTG ratio in the residential sector and a 0.62 NTG ratio in the nonresidential sector. Both sectors indicate low likelihoods of program free</w:t>
      </w:r>
      <w:r w:rsidR="00D52DAD" w:rsidRPr="00B75B77">
        <w:rPr>
          <w:rFonts w:eastAsia="Times New Roman"/>
        </w:rPr>
        <w:t xml:space="preserve"> </w:t>
      </w:r>
      <w:r w:rsidRPr="00B75B77">
        <w:rPr>
          <w:rFonts w:eastAsia="Times New Roman"/>
        </w:rPr>
        <w:t xml:space="preserve">ridership and </w:t>
      </w:r>
      <w:r w:rsidR="00D52DAD" w:rsidRPr="00B75B77">
        <w:rPr>
          <w:rFonts w:eastAsia="Times New Roman"/>
        </w:rPr>
        <w:t>n</w:t>
      </w:r>
      <w:r w:rsidRPr="00B75B77">
        <w:rPr>
          <w:rFonts w:eastAsia="Times New Roman"/>
        </w:rPr>
        <w:t xml:space="preserve">egligible </w:t>
      </w:r>
      <w:r w:rsidRPr="00B75B77">
        <w:rPr>
          <w:rFonts w:eastAsia="Times New Roman"/>
        </w:rPr>
        <w:lastRenderedPageBreak/>
        <w:t xml:space="preserve">levels of spillover. The residential net impact evaluation achieved </w:t>
      </w:r>
      <w:r w:rsidR="00793203" w:rsidRPr="00B75B77">
        <w:rPr>
          <w:rFonts w:eastAsia="Times New Roman"/>
        </w:rPr>
        <w:t>5</w:t>
      </w:r>
      <w:r w:rsidRPr="00B75B77">
        <w:rPr>
          <w:rFonts w:eastAsia="Times New Roman"/>
        </w:rPr>
        <w:t xml:space="preserve">% relative precision and the nonresidential net impact evaluation achieved 7% relative precision (both below the 15% target) at 85% confidence. </w:t>
      </w:r>
      <w:r w:rsidRPr="00B75B77">
        <w:rPr>
          <w:rFonts w:eastAsia="Times New Roman"/>
        </w:rPr>
        <w:fldChar w:fldCharType="begin"/>
      </w:r>
      <w:r w:rsidRPr="00B75B77">
        <w:rPr>
          <w:rFonts w:eastAsia="Times New Roman"/>
        </w:rPr>
        <w:instrText xml:space="preserve"> REF _Ref463418435 \h </w:instrText>
      </w:r>
      <w:r w:rsidR="00B75B77">
        <w:rPr>
          <w:rFonts w:eastAsia="Times New Roman"/>
        </w:rPr>
        <w:instrText xml:space="preserve"> \* MERGEFORMAT </w:instrText>
      </w:r>
      <w:r w:rsidRPr="00B75B77">
        <w:rPr>
          <w:rFonts w:eastAsia="Times New Roman"/>
        </w:rPr>
      </w:r>
      <w:r w:rsidRPr="00B75B77">
        <w:rPr>
          <w:rFonts w:eastAsia="Times New Roman"/>
        </w:rPr>
        <w:fldChar w:fldCharType="separate"/>
      </w:r>
      <w:r w:rsidR="0004016D" w:rsidRPr="00B75B77">
        <w:t xml:space="preserve">Table </w:t>
      </w:r>
      <w:r w:rsidR="0004016D">
        <w:rPr>
          <w:noProof/>
        </w:rPr>
        <w:t>14</w:t>
      </w:r>
      <w:r w:rsidR="0004016D" w:rsidRPr="00B75B77">
        <w:rPr>
          <w:noProof/>
        </w:rPr>
        <w:noBreakHyphen/>
      </w:r>
      <w:r w:rsidR="0004016D">
        <w:rPr>
          <w:noProof/>
        </w:rPr>
        <w:t>13</w:t>
      </w:r>
      <w:r w:rsidRPr="00B75B77">
        <w:rPr>
          <w:rFonts w:eastAsia="Times New Roman"/>
        </w:rPr>
        <w:fldChar w:fldCharType="end"/>
      </w:r>
      <w:r w:rsidRPr="00B75B77">
        <w:rPr>
          <w:rFonts w:eastAsia="Times New Roman"/>
        </w:rPr>
        <w:t xml:space="preserve"> and </w:t>
      </w:r>
      <w:r w:rsidRPr="00B75B77">
        <w:rPr>
          <w:rFonts w:eastAsia="Times New Roman"/>
        </w:rPr>
        <w:fldChar w:fldCharType="begin"/>
      </w:r>
      <w:r w:rsidRPr="00B75B77">
        <w:rPr>
          <w:rFonts w:eastAsia="Times New Roman"/>
        </w:rPr>
        <w:instrText xml:space="preserve"> REF _Ref463418447 \h </w:instrText>
      </w:r>
      <w:r w:rsidR="00B75B77">
        <w:rPr>
          <w:rFonts w:eastAsia="Times New Roman"/>
        </w:rPr>
        <w:instrText xml:space="preserve"> \* MERGEFORMAT </w:instrText>
      </w:r>
      <w:r w:rsidRPr="00B75B77">
        <w:rPr>
          <w:rFonts w:eastAsia="Times New Roman"/>
        </w:rPr>
      </w:r>
      <w:r w:rsidRPr="00B75B77">
        <w:rPr>
          <w:rFonts w:eastAsia="Times New Roman"/>
        </w:rPr>
        <w:fldChar w:fldCharType="separate"/>
      </w:r>
      <w:r w:rsidR="0004016D" w:rsidRPr="00B75B77">
        <w:t xml:space="preserve">Table </w:t>
      </w:r>
      <w:r w:rsidR="0004016D">
        <w:rPr>
          <w:noProof/>
        </w:rPr>
        <w:t>14</w:t>
      </w:r>
      <w:r w:rsidR="0004016D" w:rsidRPr="00B75B77">
        <w:rPr>
          <w:noProof/>
        </w:rPr>
        <w:noBreakHyphen/>
      </w:r>
      <w:r w:rsidR="0004016D">
        <w:rPr>
          <w:noProof/>
        </w:rPr>
        <w:t>14</w:t>
      </w:r>
      <w:r w:rsidRPr="00B75B77">
        <w:rPr>
          <w:rFonts w:eastAsia="Times New Roman"/>
        </w:rPr>
        <w:fldChar w:fldCharType="end"/>
      </w:r>
      <w:r w:rsidRPr="00B75B77">
        <w:rPr>
          <w:rFonts w:eastAsia="Times New Roman"/>
        </w:rPr>
        <w:t xml:space="preserve"> provide a summary of the residential and nonresidential sector NTG ratios, respectively. </w:t>
      </w:r>
    </w:p>
    <w:p w:rsidR="00BB039B" w:rsidRPr="00B75B77" w:rsidRDefault="00BB039B">
      <w:pPr>
        <w:jc w:val="left"/>
        <w:rPr>
          <w:b/>
          <w:bCs/>
        </w:rPr>
      </w:pPr>
    </w:p>
    <w:p w:rsidR="00BB039B" w:rsidRPr="00B75B77" w:rsidRDefault="00BB039B" w:rsidP="00D52DAD">
      <w:pPr>
        <w:pStyle w:val="Caption"/>
      </w:pPr>
      <w:bookmarkStart w:id="880" w:name="_Ref463418435"/>
      <w:bookmarkStart w:id="881" w:name="_Toc466413631"/>
      <w:r w:rsidRPr="00B75B77">
        <w:t xml:space="preserve">Table </w:t>
      </w:r>
      <w:fldSimple w:instr=" STYLEREF 1 \s ">
        <w:r w:rsidR="0004016D">
          <w:rPr>
            <w:noProof/>
          </w:rPr>
          <w:t>14</w:t>
        </w:r>
      </w:fldSimple>
      <w:r w:rsidR="00F1144C" w:rsidRPr="00B75B77">
        <w:noBreakHyphen/>
      </w:r>
      <w:fldSimple w:instr=" SEQ Table \* ARABIC \s 1 ">
        <w:r w:rsidR="0004016D">
          <w:rPr>
            <w:noProof/>
          </w:rPr>
          <w:t>13</w:t>
        </w:r>
      </w:fldSimple>
      <w:bookmarkEnd w:id="880"/>
      <w:r w:rsidRPr="00B75B77">
        <w:t>: PY7 Smart Multi</w:t>
      </w:r>
      <w:r w:rsidR="00D52DAD" w:rsidRPr="00B75B77">
        <w:t>-F</w:t>
      </w:r>
      <w:r w:rsidRPr="00B75B77">
        <w:t>amily Solutions Residential Sector Summary of Evaluation Results for NTG Research</w:t>
      </w:r>
      <w:bookmarkEnd w:id="881"/>
    </w:p>
    <w:tbl>
      <w:tblPr>
        <w:tblW w:w="0" w:type="auto"/>
        <w:tblLook w:val="04A0" w:firstRow="1" w:lastRow="0" w:firstColumn="1" w:lastColumn="0" w:noHBand="0" w:noVBand="1"/>
      </w:tblPr>
      <w:tblGrid>
        <w:gridCol w:w="1709"/>
        <w:gridCol w:w="1730"/>
        <w:gridCol w:w="2049"/>
        <w:gridCol w:w="858"/>
        <w:gridCol w:w="1851"/>
        <w:gridCol w:w="1379"/>
      </w:tblGrid>
      <w:tr w:rsidR="00D52DAD" w:rsidRPr="00B75B77" w:rsidTr="00BB039B">
        <w:trPr>
          <w:divId w:val="474496975"/>
          <w:trHeight w:val="42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BB039B" w:rsidRPr="00B75B77" w:rsidRDefault="00BB039B" w:rsidP="00D52DAD">
            <w:pPr>
              <w:keepNext/>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Stratum</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BB039B" w:rsidRPr="00B75B77" w:rsidRDefault="00BB039B" w:rsidP="00D52DAD">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Estimated Free Ridership</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BB039B" w:rsidRPr="00B75B77" w:rsidRDefault="00BB039B" w:rsidP="00D52DAD">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Estimated Participant Spillover</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BB039B" w:rsidRPr="00B75B77" w:rsidRDefault="00BB039B" w:rsidP="00D52DAD">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NTG Ratio</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BB039B" w:rsidRPr="00B75B77" w:rsidRDefault="00BB039B" w:rsidP="00D52DAD">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Observed CV or Proportion</w:t>
            </w:r>
          </w:p>
        </w:tc>
        <w:tc>
          <w:tcPr>
            <w:tcW w:w="1379"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BB039B" w:rsidRPr="00B75B77" w:rsidRDefault="00BB039B" w:rsidP="00D52DAD">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Relative Precision</w:t>
            </w:r>
          </w:p>
        </w:tc>
      </w:tr>
      <w:tr w:rsidR="00D52DAD" w:rsidRPr="00B75B77" w:rsidTr="00BB039B">
        <w:trPr>
          <w:divId w:val="474496975"/>
          <w:trHeight w:val="288"/>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BB039B" w:rsidRPr="00B75B77" w:rsidRDefault="00BB039B" w:rsidP="00D52DAD">
            <w:pPr>
              <w:keepNext/>
              <w:jc w:val="left"/>
              <w:rPr>
                <w:rFonts w:ascii="Calibri" w:eastAsia="Times New Roman" w:hAnsi="Calibri"/>
                <w:b/>
                <w:bCs/>
                <w:color w:val="FFFFFF"/>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039B" w:rsidRPr="00B75B77" w:rsidRDefault="00BB039B" w:rsidP="00D52DAD">
            <w:pPr>
              <w:keepNext/>
              <w:jc w:val="left"/>
              <w:rPr>
                <w:rFonts w:ascii="Calibri" w:eastAsia="Times New Roman" w:hAnsi="Calibri"/>
                <w:b/>
                <w:bCs/>
                <w:color w:val="FFFFFF"/>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039B" w:rsidRPr="00B75B77" w:rsidRDefault="00BB039B" w:rsidP="00D52DAD">
            <w:pPr>
              <w:keepNext/>
              <w:jc w:val="left"/>
              <w:rPr>
                <w:rFonts w:ascii="Calibri" w:eastAsia="Times New Roman" w:hAnsi="Calibri"/>
                <w:b/>
                <w:bCs/>
                <w:color w:val="FFFFFF"/>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039B" w:rsidRPr="00B75B77" w:rsidRDefault="00BB039B" w:rsidP="00D52DAD">
            <w:pPr>
              <w:keepNext/>
              <w:jc w:val="left"/>
              <w:rPr>
                <w:rFonts w:ascii="Calibri" w:eastAsia="Times New Roman" w:hAnsi="Calibri"/>
                <w:b/>
                <w:bCs/>
                <w:color w:val="FFFFFF"/>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B039B" w:rsidRPr="00B75B77" w:rsidRDefault="00BB039B" w:rsidP="00D52DAD">
            <w:pPr>
              <w:keepNext/>
              <w:jc w:val="left"/>
              <w:rPr>
                <w:rFonts w:ascii="Calibri" w:eastAsia="Times New Roman" w:hAnsi="Calibri"/>
                <w:b/>
                <w:bCs/>
                <w:color w:val="FFFFFF"/>
                <w:sz w:val="18"/>
                <w:szCs w:val="18"/>
              </w:rPr>
            </w:pPr>
          </w:p>
        </w:tc>
        <w:tc>
          <w:tcPr>
            <w:tcW w:w="1379" w:type="dxa"/>
            <w:vMerge/>
            <w:tcBorders>
              <w:top w:val="single" w:sz="4" w:space="0" w:color="auto"/>
              <w:left w:val="single" w:sz="4" w:space="0" w:color="auto"/>
              <w:bottom w:val="single" w:sz="4" w:space="0" w:color="000000"/>
              <w:right w:val="single" w:sz="4" w:space="0" w:color="auto"/>
            </w:tcBorders>
            <w:vAlign w:val="center"/>
            <w:hideMark/>
          </w:tcPr>
          <w:p w:rsidR="00BB039B" w:rsidRPr="00B75B77" w:rsidRDefault="00BB039B" w:rsidP="00D52DAD">
            <w:pPr>
              <w:keepNext/>
              <w:jc w:val="left"/>
              <w:rPr>
                <w:rFonts w:ascii="Calibri" w:eastAsia="Times New Roman" w:hAnsi="Calibri"/>
                <w:b/>
                <w:bCs/>
                <w:color w:val="FFFFFF"/>
                <w:sz w:val="18"/>
                <w:szCs w:val="18"/>
              </w:rPr>
            </w:pPr>
          </w:p>
        </w:tc>
      </w:tr>
      <w:tr w:rsidR="00D52DAD" w:rsidRPr="00B75B77" w:rsidTr="00BB039B">
        <w:trPr>
          <w:divId w:val="474496975"/>
          <w:trHeight w:val="288"/>
        </w:trPr>
        <w:tc>
          <w:tcPr>
            <w:tcW w:w="0" w:type="auto"/>
            <w:tcBorders>
              <w:top w:val="nil"/>
              <w:left w:val="single" w:sz="4" w:space="0" w:color="448A99"/>
              <w:bottom w:val="single" w:sz="4" w:space="0" w:color="448A99"/>
              <w:right w:val="single" w:sz="4" w:space="0" w:color="448A99"/>
            </w:tcBorders>
            <w:shd w:val="clear" w:color="000000" w:fill="D2EAF1"/>
            <w:vAlign w:val="center"/>
            <w:hideMark/>
          </w:tcPr>
          <w:p w:rsidR="00BB039B" w:rsidRPr="00B75B77" w:rsidRDefault="00D52DAD" w:rsidP="00D52DAD">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Res Non-LI –</w:t>
            </w:r>
            <w:r w:rsidR="00BB039B" w:rsidRPr="00B75B77">
              <w:rPr>
                <w:rFonts w:ascii="Calibri" w:eastAsia="Times New Roman" w:hAnsi="Calibri"/>
                <w:bCs/>
                <w:color w:val="000000"/>
                <w:sz w:val="18"/>
                <w:szCs w:val="18"/>
              </w:rPr>
              <w:t xml:space="preserve"> Small</w:t>
            </w:r>
          </w:p>
        </w:tc>
        <w:tc>
          <w:tcPr>
            <w:tcW w:w="0" w:type="auto"/>
            <w:tcBorders>
              <w:top w:val="nil"/>
              <w:left w:val="nil"/>
              <w:bottom w:val="single" w:sz="4" w:space="0" w:color="448A99"/>
              <w:right w:val="single" w:sz="4" w:space="0" w:color="448A99"/>
            </w:tcBorders>
            <w:shd w:val="clear" w:color="000000" w:fill="D2EAF1"/>
            <w:vAlign w:val="center"/>
            <w:hideMark/>
          </w:tcPr>
          <w:p w:rsidR="00BB039B" w:rsidRPr="00B75B77" w:rsidRDefault="00BB039B" w:rsidP="00D52DAD">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0.44</w:t>
            </w:r>
          </w:p>
        </w:tc>
        <w:tc>
          <w:tcPr>
            <w:tcW w:w="0" w:type="auto"/>
            <w:tcBorders>
              <w:top w:val="nil"/>
              <w:left w:val="nil"/>
              <w:bottom w:val="single" w:sz="4" w:space="0" w:color="448A99"/>
              <w:right w:val="single" w:sz="4" w:space="0" w:color="448A99"/>
            </w:tcBorders>
            <w:shd w:val="clear" w:color="000000" w:fill="D2EAF1"/>
            <w:vAlign w:val="center"/>
            <w:hideMark/>
          </w:tcPr>
          <w:p w:rsidR="00BB039B" w:rsidRPr="00B75B77" w:rsidRDefault="00BB039B" w:rsidP="00D52DAD">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0.00</w:t>
            </w:r>
          </w:p>
        </w:tc>
        <w:tc>
          <w:tcPr>
            <w:tcW w:w="0" w:type="auto"/>
            <w:tcBorders>
              <w:top w:val="nil"/>
              <w:left w:val="nil"/>
              <w:bottom w:val="single" w:sz="4" w:space="0" w:color="448A99"/>
              <w:right w:val="single" w:sz="4" w:space="0" w:color="448A99"/>
            </w:tcBorders>
            <w:shd w:val="clear" w:color="000000" w:fill="D2EAF1"/>
            <w:vAlign w:val="center"/>
            <w:hideMark/>
          </w:tcPr>
          <w:p w:rsidR="00BB039B" w:rsidRPr="00B75B77" w:rsidRDefault="00BB039B" w:rsidP="00D52DAD">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0.56</w:t>
            </w:r>
          </w:p>
        </w:tc>
        <w:tc>
          <w:tcPr>
            <w:tcW w:w="0" w:type="auto"/>
            <w:tcBorders>
              <w:top w:val="nil"/>
              <w:left w:val="nil"/>
              <w:bottom w:val="single" w:sz="4" w:space="0" w:color="448A99"/>
              <w:right w:val="single" w:sz="4" w:space="0" w:color="448A99"/>
            </w:tcBorders>
            <w:shd w:val="clear" w:color="000000" w:fill="D2EAF1"/>
            <w:vAlign w:val="center"/>
            <w:hideMark/>
          </w:tcPr>
          <w:p w:rsidR="00BB039B" w:rsidRPr="00B75B77" w:rsidRDefault="00BB039B" w:rsidP="00D52DAD">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0.45</w:t>
            </w:r>
          </w:p>
        </w:tc>
        <w:tc>
          <w:tcPr>
            <w:tcW w:w="1379"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D52DAD">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27%</w:t>
            </w:r>
          </w:p>
        </w:tc>
      </w:tr>
      <w:tr w:rsidR="00D52DAD" w:rsidRPr="00B75B77" w:rsidTr="00BB039B">
        <w:trPr>
          <w:divId w:val="474496975"/>
          <w:trHeight w:val="288"/>
        </w:trPr>
        <w:tc>
          <w:tcPr>
            <w:tcW w:w="0" w:type="auto"/>
            <w:tcBorders>
              <w:top w:val="nil"/>
              <w:left w:val="single" w:sz="4" w:space="0" w:color="448A99"/>
              <w:bottom w:val="single" w:sz="4" w:space="0" w:color="448A99"/>
              <w:right w:val="single" w:sz="4" w:space="0" w:color="448A99"/>
            </w:tcBorders>
            <w:shd w:val="clear" w:color="000000" w:fill="FFFFFF"/>
            <w:vAlign w:val="center"/>
            <w:hideMark/>
          </w:tcPr>
          <w:p w:rsidR="00BB039B" w:rsidRPr="00B75B77" w:rsidRDefault="00D52DAD" w:rsidP="00D52DAD">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Res Non-LI –</w:t>
            </w:r>
            <w:r w:rsidR="00BB039B" w:rsidRPr="00B75B77">
              <w:rPr>
                <w:rFonts w:ascii="Calibri" w:eastAsia="Times New Roman" w:hAnsi="Calibri"/>
                <w:bCs/>
                <w:color w:val="000000"/>
                <w:sz w:val="18"/>
                <w:szCs w:val="18"/>
              </w:rPr>
              <w:t xml:space="preserve"> Medium</w:t>
            </w:r>
          </w:p>
        </w:tc>
        <w:tc>
          <w:tcPr>
            <w:tcW w:w="0" w:type="auto"/>
            <w:tcBorders>
              <w:top w:val="nil"/>
              <w:left w:val="nil"/>
              <w:bottom w:val="single" w:sz="4" w:space="0" w:color="448A99"/>
              <w:right w:val="single" w:sz="4" w:space="0" w:color="448A99"/>
            </w:tcBorders>
            <w:shd w:val="clear" w:color="000000" w:fill="FFFFFF"/>
            <w:vAlign w:val="center"/>
            <w:hideMark/>
          </w:tcPr>
          <w:p w:rsidR="00BB039B" w:rsidRPr="00B75B77" w:rsidRDefault="00BB039B" w:rsidP="00D52DAD">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0.39</w:t>
            </w:r>
          </w:p>
        </w:tc>
        <w:tc>
          <w:tcPr>
            <w:tcW w:w="0" w:type="auto"/>
            <w:tcBorders>
              <w:top w:val="nil"/>
              <w:left w:val="nil"/>
              <w:bottom w:val="single" w:sz="4" w:space="0" w:color="448A99"/>
              <w:right w:val="single" w:sz="4" w:space="0" w:color="448A99"/>
            </w:tcBorders>
            <w:shd w:val="clear" w:color="000000" w:fill="FFFFFF"/>
            <w:vAlign w:val="center"/>
            <w:hideMark/>
          </w:tcPr>
          <w:p w:rsidR="00BB039B" w:rsidRPr="00B75B77" w:rsidRDefault="00BB039B" w:rsidP="00D52DAD">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0.03</w:t>
            </w:r>
          </w:p>
        </w:tc>
        <w:tc>
          <w:tcPr>
            <w:tcW w:w="0" w:type="auto"/>
            <w:tcBorders>
              <w:top w:val="nil"/>
              <w:left w:val="nil"/>
              <w:bottom w:val="single" w:sz="4" w:space="0" w:color="448A99"/>
              <w:right w:val="single" w:sz="4" w:space="0" w:color="448A99"/>
            </w:tcBorders>
            <w:shd w:val="clear" w:color="000000" w:fill="FFFFFF"/>
            <w:vAlign w:val="center"/>
            <w:hideMark/>
          </w:tcPr>
          <w:p w:rsidR="00BB039B" w:rsidRPr="00B75B77" w:rsidRDefault="00BB039B" w:rsidP="00D52DAD">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0.65</w:t>
            </w:r>
          </w:p>
        </w:tc>
        <w:tc>
          <w:tcPr>
            <w:tcW w:w="0" w:type="auto"/>
            <w:tcBorders>
              <w:top w:val="nil"/>
              <w:left w:val="nil"/>
              <w:bottom w:val="single" w:sz="4" w:space="0" w:color="448A99"/>
              <w:right w:val="single" w:sz="4" w:space="0" w:color="448A99"/>
            </w:tcBorders>
            <w:shd w:val="clear" w:color="000000" w:fill="FFFFFF"/>
            <w:vAlign w:val="center"/>
            <w:hideMark/>
          </w:tcPr>
          <w:p w:rsidR="00BB039B" w:rsidRPr="00B75B77" w:rsidRDefault="00BB039B" w:rsidP="00D52DAD">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0.36</w:t>
            </w:r>
          </w:p>
        </w:tc>
        <w:tc>
          <w:tcPr>
            <w:tcW w:w="1379" w:type="dxa"/>
            <w:tcBorders>
              <w:top w:val="nil"/>
              <w:left w:val="nil"/>
              <w:bottom w:val="single" w:sz="4" w:space="0" w:color="448A99"/>
              <w:right w:val="single" w:sz="4" w:space="0" w:color="448A99"/>
            </w:tcBorders>
            <w:shd w:val="clear" w:color="000000" w:fill="FFFFFF"/>
            <w:vAlign w:val="center"/>
            <w:hideMark/>
          </w:tcPr>
          <w:p w:rsidR="00BB039B" w:rsidRPr="00B75B77" w:rsidRDefault="00BB039B" w:rsidP="00D52DAD">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18%</w:t>
            </w:r>
          </w:p>
        </w:tc>
      </w:tr>
      <w:tr w:rsidR="00D52DAD" w:rsidRPr="00B75B77" w:rsidTr="00BB039B">
        <w:trPr>
          <w:divId w:val="474496975"/>
          <w:trHeight w:val="288"/>
        </w:trPr>
        <w:tc>
          <w:tcPr>
            <w:tcW w:w="0" w:type="auto"/>
            <w:tcBorders>
              <w:top w:val="nil"/>
              <w:left w:val="single" w:sz="4" w:space="0" w:color="448A99"/>
              <w:bottom w:val="single" w:sz="4" w:space="0" w:color="448A99"/>
              <w:right w:val="single" w:sz="4" w:space="0" w:color="448A99"/>
            </w:tcBorders>
            <w:shd w:val="clear" w:color="000000" w:fill="D2EAF1"/>
            <w:vAlign w:val="center"/>
            <w:hideMark/>
          </w:tcPr>
          <w:p w:rsidR="00BB039B" w:rsidRPr="00B75B77" w:rsidRDefault="00D52DAD" w:rsidP="00D52DAD">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 xml:space="preserve">Res Non-LI </w:t>
            </w:r>
            <w:r w:rsidR="00BB039B" w:rsidRPr="00B75B77">
              <w:rPr>
                <w:rFonts w:ascii="Calibri" w:eastAsia="Times New Roman" w:hAnsi="Calibri"/>
                <w:bCs/>
                <w:color w:val="000000"/>
                <w:sz w:val="18"/>
                <w:szCs w:val="18"/>
              </w:rPr>
              <w:t xml:space="preserve"> </w:t>
            </w:r>
            <w:r w:rsidRPr="00B75B77">
              <w:rPr>
                <w:rFonts w:ascii="Calibri" w:eastAsia="Times New Roman" w:hAnsi="Calibri"/>
                <w:bCs/>
                <w:color w:val="000000"/>
                <w:sz w:val="18"/>
                <w:szCs w:val="18"/>
              </w:rPr>
              <w:t>–</w:t>
            </w:r>
            <w:r w:rsidR="00BB039B" w:rsidRPr="00B75B77">
              <w:rPr>
                <w:rFonts w:ascii="Calibri" w:eastAsia="Times New Roman" w:hAnsi="Calibri"/>
                <w:bCs/>
                <w:color w:val="000000"/>
                <w:sz w:val="18"/>
                <w:szCs w:val="18"/>
              </w:rPr>
              <w:t>Large</w:t>
            </w:r>
          </w:p>
        </w:tc>
        <w:tc>
          <w:tcPr>
            <w:tcW w:w="0" w:type="auto"/>
            <w:tcBorders>
              <w:top w:val="nil"/>
              <w:left w:val="nil"/>
              <w:bottom w:val="single" w:sz="4" w:space="0" w:color="448A99"/>
              <w:right w:val="single" w:sz="4" w:space="0" w:color="448A99"/>
            </w:tcBorders>
            <w:shd w:val="clear" w:color="000000" w:fill="D2EAF1"/>
            <w:vAlign w:val="center"/>
            <w:hideMark/>
          </w:tcPr>
          <w:p w:rsidR="00BB039B" w:rsidRPr="00B75B77" w:rsidRDefault="00BB039B" w:rsidP="00D52DAD">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0.46</w:t>
            </w:r>
          </w:p>
        </w:tc>
        <w:tc>
          <w:tcPr>
            <w:tcW w:w="0" w:type="auto"/>
            <w:tcBorders>
              <w:top w:val="nil"/>
              <w:left w:val="nil"/>
              <w:bottom w:val="single" w:sz="4" w:space="0" w:color="448A99"/>
              <w:right w:val="single" w:sz="4" w:space="0" w:color="448A99"/>
            </w:tcBorders>
            <w:shd w:val="clear" w:color="000000" w:fill="D2EAF1"/>
            <w:vAlign w:val="center"/>
            <w:hideMark/>
          </w:tcPr>
          <w:p w:rsidR="00BB039B" w:rsidRPr="00B75B77" w:rsidRDefault="00BB039B" w:rsidP="00D52DAD">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0.00</w:t>
            </w:r>
          </w:p>
        </w:tc>
        <w:tc>
          <w:tcPr>
            <w:tcW w:w="0" w:type="auto"/>
            <w:tcBorders>
              <w:top w:val="nil"/>
              <w:left w:val="nil"/>
              <w:bottom w:val="single" w:sz="4" w:space="0" w:color="448A99"/>
              <w:right w:val="single" w:sz="4" w:space="0" w:color="448A99"/>
            </w:tcBorders>
            <w:shd w:val="clear" w:color="000000" w:fill="D2EAF1"/>
            <w:vAlign w:val="center"/>
            <w:hideMark/>
          </w:tcPr>
          <w:p w:rsidR="00BB039B" w:rsidRPr="00B75B77" w:rsidRDefault="00BB039B" w:rsidP="00D52DAD">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0.54</w:t>
            </w:r>
          </w:p>
        </w:tc>
        <w:tc>
          <w:tcPr>
            <w:tcW w:w="0" w:type="auto"/>
            <w:tcBorders>
              <w:top w:val="nil"/>
              <w:left w:val="nil"/>
              <w:bottom w:val="single" w:sz="4" w:space="0" w:color="448A99"/>
              <w:right w:val="single" w:sz="4" w:space="0" w:color="448A99"/>
            </w:tcBorders>
            <w:shd w:val="clear" w:color="000000" w:fill="D2EAF1"/>
            <w:vAlign w:val="center"/>
            <w:hideMark/>
          </w:tcPr>
          <w:p w:rsidR="00BB039B" w:rsidRPr="00B75B77" w:rsidRDefault="00BB039B" w:rsidP="00D52DAD">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0.60</w:t>
            </w:r>
          </w:p>
        </w:tc>
        <w:tc>
          <w:tcPr>
            <w:tcW w:w="1379"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D52DAD">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30%</w:t>
            </w:r>
          </w:p>
        </w:tc>
      </w:tr>
      <w:tr w:rsidR="00D52DAD" w:rsidRPr="00B75B77" w:rsidTr="00BB039B">
        <w:trPr>
          <w:divId w:val="474496975"/>
          <w:trHeight w:val="288"/>
        </w:trPr>
        <w:tc>
          <w:tcPr>
            <w:tcW w:w="0" w:type="auto"/>
            <w:tcBorders>
              <w:top w:val="nil"/>
              <w:left w:val="single" w:sz="4" w:space="0" w:color="448A99"/>
              <w:bottom w:val="single" w:sz="4" w:space="0" w:color="448A99"/>
              <w:right w:val="single" w:sz="4" w:space="0" w:color="448A99"/>
            </w:tcBorders>
            <w:shd w:val="clear" w:color="000000" w:fill="FFFFFF"/>
            <w:vAlign w:val="center"/>
            <w:hideMark/>
          </w:tcPr>
          <w:p w:rsidR="00BB039B" w:rsidRPr="00B75B77" w:rsidRDefault="00BB039B" w:rsidP="00D52DAD">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R</w:t>
            </w:r>
            <w:r w:rsidR="00D52DAD" w:rsidRPr="00B75B77">
              <w:rPr>
                <w:rFonts w:ascii="Calibri" w:eastAsia="Times New Roman" w:hAnsi="Calibri"/>
                <w:bCs/>
                <w:color w:val="000000"/>
                <w:sz w:val="18"/>
                <w:szCs w:val="18"/>
              </w:rPr>
              <w:t xml:space="preserve">es </w:t>
            </w:r>
            <w:r w:rsidRPr="00B75B77">
              <w:rPr>
                <w:rFonts w:ascii="Calibri" w:eastAsia="Times New Roman" w:hAnsi="Calibri"/>
                <w:bCs/>
                <w:color w:val="000000"/>
                <w:sz w:val="18"/>
                <w:szCs w:val="18"/>
              </w:rPr>
              <w:t xml:space="preserve">LI </w:t>
            </w:r>
            <w:r w:rsidR="00D52DAD" w:rsidRPr="00B75B77">
              <w:rPr>
                <w:rFonts w:ascii="Calibri" w:eastAsia="Times New Roman" w:hAnsi="Calibri"/>
                <w:bCs/>
                <w:color w:val="000000"/>
                <w:sz w:val="18"/>
                <w:szCs w:val="18"/>
              </w:rPr>
              <w:t>–</w:t>
            </w:r>
            <w:r w:rsidRPr="00B75B77">
              <w:rPr>
                <w:rFonts w:ascii="Calibri" w:eastAsia="Times New Roman" w:hAnsi="Calibri"/>
                <w:bCs/>
                <w:color w:val="000000"/>
                <w:sz w:val="18"/>
                <w:szCs w:val="18"/>
              </w:rPr>
              <w:t xml:space="preserve"> Small</w:t>
            </w:r>
          </w:p>
        </w:tc>
        <w:tc>
          <w:tcPr>
            <w:tcW w:w="0" w:type="auto"/>
            <w:tcBorders>
              <w:top w:val="nil"/>
              <w:left w:val="nil"/>
              <w:bottom w:val="single" w:sz="4" w:space="0" w:color="448A99"/>
              <w:right w:val="single" w:sz="4" w:space="0" w:color="448A99"/>
            </w:tcBorders>
            <w:shd w:val="clear" w:color="000000" w:fill="FFFFFF"/>
            <w:vAlign w:val="center"/>
            <w:hideMark/>
          </w:tcPr>
          <w:p w:rsidR="00BB039B" w:rsidRPr="00B75B77" w:rsidRDefault="00BB039B" w:rsidP="00D52DAD">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0.33</w:t>
            </w:r>
          </w:p>
        </w:tc>
        <w:tc>
          <w:tcPr>
            <w:tcW w:w="0" w:type="auto"/>
            <w:tcBorders>
              <w:top w:val="nil"/>
              <w:left w:val="nil"/>
              <w:bottom w:val="single" w:sz="4" w:space="0" w:color="448A99"/>
              <w:right w:val="single" w:sz="4" w:space="0" w:color="448A99"/>
            </w:tcBorders>
            <w:shd w:val="clear" w:color="000000" w:fill="FFFFFF"/>
            <w:vAlign w:val="center"/>
            <w:hideMark/>
          </w:tcPr>
          <w:p w:rsidR="00BB039B" w:rsidRPr="00B75B77" w:rsidRDefault="00BB039B" w:rsidP="00D52DAD">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0.02</w:t>
            </w:r>
          </w:p>
        </w:tc>
        <w:tc>
          <w:tcPr>
            <w:tcW w:w="0" w:type="auto"/>
            <w:tcBorders>
              <w:top w:val="nil"/>
              <w:left w:val="nil"/>
              <w:bottom w:val="single" w:sz="4" w:space="0" w:color="448A99"/>
              <w:right w:val="single" w:sz="4" w:space="0" w:color="448A99"/>
            </w:tcBorders>
            <w:shd w:val="clear" w:color="000000" w:fill="FFFFFF"/>
            <w:vAlign w:val="center"/>
            <w:hideMark/>
          </w:tcPr>
          <w:p w:rsidR="00BB039B" w:rsidRPr="00B75B77" w:rsidRDefault="00BB039B" w:rsidP="00D52DAD">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0.69</w:t>
            </w:r>
          </w:p>
        </w:tc>
        <w:tc>
          <w:tcPr>
            <w:tcW w:w="0" w:type="auto"/>
            <w:tcBorders>
              <w:top w:val="nil"/>
              <w:left w:val="nil"/>
              <w:bottom w:val="single" w:sz="4" w:space="0" w:color="448A99"/>
              <w:right w:val="single" w:sz="4" w:space="0" w:color="448A99"/>
            </w:tcBorders>
            <w:shd w:val="clear" w:color="000000" w:fill="FFFFFF"/>
            <w:vAlign w:val="center"/>
            <w:hideMark/>
          </w:tcPr>
          <w:p w:rsidR="00BB039B" w:rsidRPr="00B75B77" w:rsidRDefault="00BB039B" w:rsidP="00D52DAD">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0.35</w:t>
            </w:r>
          </w:p>
        </w:tc>
        <w:tc>
          <w:tcPr>
            <w:tcW w:w="1379" w:type="dxa"/>
            <w:tcBorders>
              <w:top w:val="nil"/>
              <w:left w:val="nil"/>
              <w:bottom w:val="single" w:sz="4" w:space="0" w:color="448A99"/>
              <w:right w:val="single" w:sz="4" w:space="0" w:color="448A99"/>
            </w:tcBorders>
            <w:shd w:val="clear" w:color="000000" w:fill="FFFFFF"/>
            <w:vAlign w:val="center"/>
            <w:hideMark/>
          </w:tcPr>
          <w:p w:rsidR="00BB039B" w:rsidRPr="00B75B77" w:rsidRDefault="00BB039B" w:rsidP="00D52DAD">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17%</w:t>
            </w:r>
          </w:p>
        </w:tc>
      </w:tr>
      <w:tr w:rsidR="00D52DAD" w:rsidRPr="00B75B77" w:rsidTr="00BB039B">
        <w:trPr>
          <w:divId w:val="474496975"/>
          <w:trHeight w:val="288"/>
        </w:trPr>
        <w:tc>
          <w:tcPr>
            <w:tcW w:w="0" w:type="auto"/>
            <w:tcBorders>
              <w:top w:val="nil"/>
              <w:left w:val="single" w:sz="4" w:space="0" w:color="448A99"/>
              <w:bottom w:val="single" w:sz="4" w:space="0" w:color="448A99"/>
              <w:right w:val="single" w:sz="4" w:space="0" w:color="448A99"/>
            </w:tcBorders>
            <w:shd w:val="clear" w:color="000000" w:fill="D2EAF1"/>
            <w:vAlign w:val="center"/>
            <w:hideMark/>
          </w:tcPr>
          <w:p w:rsidR="00BB039B" w:rsidRPr="00B75B77" w:rsidRDefault="00BB039B" w:rsidP="00D52DAD">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R</w:t>
            </w:r>
            <w:r w:rsidR="00D52DAD" w:rsidRPr="00B75B77">
              <w:rPr>
                <w:rFonts w:ascii="Calibri" w:eastAsia="Times New Roman" w:hAnsi="Calibri"/>
                <w:bCs/>
                <w:color w:val="000000"/>
                <w:sz w:val="18"/>
                <w:szCs w:val="18"/>
              </w:rPr>
              <w:t xml:space="preserve">es </w:t>
            </w:r>
            <w:r w:rsidRPr="00B75B77">
              <w:rPr>
                <w:rFonts w:ascii="Calibri" w:eastAsia="Times New Roman" w:hAnsi="Calibri"/>
                <w:bCs/>
                <w:color w:val="000000"/>
                <w:sz w:val="18"/>
                <w:szCs w:val="18"/>
              </w:rPr>
              <w:t xml:space="preserve">LI </w:t>
            </w:r>
            <w:r w:rsidR="00D52DAD" w:rsidRPr="00B75B77">
              <w:rPr>
                <w:rFonts w:ascii="Calibri" w:eastAsia="Times New Roman" w:hAnsi="Calibri"/>
                <w:bCs/>
                <w:color w:val="000000"/>
                <w:sz w:val="18"/>
                <w:szCs w:val="18"/>
              </w:rPr>
              <w:t>–</w:t>
            </w:r>
            <w:r w:rsidRPr="00B75B77">
              <w:rPr>
                <w:rFonts w:ascii="Calibri" w:eastAsia="Times New Roman" w:hAnsi="Calibri"/>
                <w:bCs/>
                <w:color w:val="000000"/>
                <w:sz w:val="18"/>
                <w:szCs w:val="18"/>
              </w:rPr>
              <w:t xml:space="preserve"> Medium</w:t>
            </w:r>
          </w:p>
        </w:tc>
        <w:tc>
          <w:tcPr>
            <w:tcW w:w="0" w:type="auto"/>
            <w:tcBorders>
              <w:top w:val="nil"/>
              <w:left w:val="nil"/>
              <w:bottom w:val="single" w:sz="4" w:space="0" w:color="448A99"/>
              <w:right w:val="single" w:sz="4" w:space="0" w:color="448A99"/>
            </w:tcBorders>
            <w:shd w:val="clear" w:color="000000" w:fill="D2EAF1"/>
            <w:vAlign w:val="center"/>
            <w:hideMark/>
          </w:tcPr>
          <w:p w:rsidR="00BB039B" w:rsidRPr="00B75B77" w:rsidRDefault="00BB039B" w:rsidP="00D52DAD">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0.44</w:t>
            </w:r>
          </w:p>
        </w:tc>
        <w:tc>
          <w:tcPr>
            <w:tcW w:w="0" w:type="auto"/>
            <w:tcBorders>
              <w:top w:val="nil"/>
              <w:left w:val="nil"/>
              <w:bottom w:val="single" w:sz="4" w:space="0" w:color="448A99"/>
              <w:right w:val="single" w:sz="4" w:space="0" w:color="448A99"/>
            </w:tcBorders>
            <w:shd w:val="clear" w:color="000000" w:fill="D2EAF1"/>
            <w:vAlign w:val="center"/>
            <w:hideMark/>
          </w:tcPr>
          <w:p w:rsidR="00BB039B" w:rsidRPr="00B75B77" w:rsidRDefault="00BB039B" w:rsidP="00D52DAD">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0.12</w:t>
            </w:r>
          </w:p>
        </w:tc>
        <w:tc>
          <w:tcPr>
            <w:tcW w:w="0" w:type="auto"/>
            <w:tcBorders>
              <w:top w:val="nil"/>
              <w:left w:val="nil"/>
              <w:bottom w:val="single" w:sz="4" w:space="0" w:color="448A99"/>
              <w:right w:val="single" w:sz="4" w:space="0" w:color="448A99"/>
            </w:tcBorders>
            <w:shd w:val="clear" w:color="000000" w:fill="D2EAF1"/>
            <w:vAlign w:val="center"/>
            <w:hideMark/>
          </w:tcPr>
          <w:p w:rsidR="00BB039B" w:rsidRPr="00B75B77" w:rsidRDefault="00BB039B" w:rsidP="00D52DAD">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0.68</w:t>
            </w:r>
          </w:p>
        </w:tc>
        <w:tc>
          <w:tcPr>
            <w:tcW w:w="0" w:type="auto"/>
            <w:tcBorders>
              <w:top w:val="nil"/>
              <w:left w:val="nil"/>
              <w:bottom w:val="single" w:sz="4" w:space="0" w:color="448A99"/>
              <w:right w:val="single" w:sz="4" w:space="0" w:color="448A99"/>
            </w:tcBorders>
            <w:shd w:val="clear" w:color="000000" w:fill="D2EAF1"/>
            <w:vAlign w:val="center"/>
            <w:hideMark/>
          </w:tcPr>
          <w:p w:rsidR="00BB039B" w:rsidRPr="00B75B77" w:rsidRDefault="00BB039B" w:rsidP="00D52DAD">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0.43</w:t>
            </w:r>
          </w:p>
        </w:tc>
        <w:tc>
          <w:tcPr>
            <w:tcW w:w="1379"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D52DAD">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28%</w:t>
            </w:r>
          </w:p>
        </w:tc>
      </w:tr>
      <w:tr w:rsidR="00D52DAD" w:rsidRPr="00B75B77" w:rsidTr="00BB039B">
        <w:trPr>
          <w:divId w:val="474496975"/>
          <w:trHeight w:val="288"/>
        </w:trPr>
        <w:tc>
          <w:tcPr>
            <w:tcW w:w="0" w:type="auto"/>
            <w:tcBorders>
              <w:top w:val="nil"/>
              <w:left w:val="single" w:sz="4" w:space="0" w:color="448A99"/>
              <w:bottom w:val="single" w:sz="4" w:space="0" w:color="448A99"/>
              <w:right w:val="single" w:sz="4" w:space="0" w:color="448A99"/>
            </w:tcBorders>
            <w:shd w:val="clear" w:color="000000" w:fill="FFFFFF"/>
            <w:vAlign w:val="center"/>
            <w:hideMark/>
          </w:tcPr>
          <w:p w:rsidR="00BB039B" w:rsidRPr="00B75B77" w:rsidRDefault="00BB039B" w:rsidP="00D52DAD">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R</w:t>
            </w:r>
            <w:r w:rsidR="00D52DAD" w:rsidRPr="00B75B77">
              <w:rPr>
                <w:rFonts w:ascii="Calibri" w:eastAsia="Times New Roman" w:hAnsi="Calibri"/>
                <w:bCs/>
                <w:color w:val="000000"/>
                <w:sz w:val="18"/>
                <w:szCs w:val="18"/>
              </w:rPr>
              <w:t xml:space="preserve">es </w:t>
            </w:r>
            <w:r w:rsidRPr="00B75B77">
              <w:rPr>
                <w:rFonts w:ascii="Calibri" w:eastAsia="Times New Roman" w:hAnsi="Calibri"/>
                <w:bCs/>
                <w:color w:val="000000"/>
                <w:sz w:val="18"/>
                <w:szCs w:val="18"/>
              </w:rPr>
              <w:t xml:space="preserve">LI </w:t>
            </w:r>
            <w:r w:rsidR="00D52DAD" w:rsidRPr="00B75B77">
              <w:rPr>
                <w:rFonts w:ascii="Calibri" w:eastAsia="Times New Roman" w:hAnsi="Calibri"/>
                <w:bCs/>
                <w:color w:val="000000"/>
                <w:sz w:val="18"/>
                <w:szCs w:val="18"/>
              </w:rPr>
              <w:t>–</w:t>
            </w:r>
            <w:r w:rsidRPr="00B75B77">
              <w:rPr>
                <w:rFonts w:ascii="Calibri" w:eastAsia="Times New Roman" w:hAnsi="Calibri"/>
                <w:bCs/>
                <w:color w:val="000000"/>
                <w:sz w:val="18"/>
                <w:szCs w:val="18"/>
              </w:rPr>
              <w:t xml:space="preserve"> Large</w:t>
            </w:r>
          </w:p>
        </w:tc>
        <w:tc>
          <w:tcPr>
            <w:tcW w:w="0" w:type="auto"/>
            <w:tcBorders>
              <w:top w:val="nil"/>
              <w:left w:val="nil"/>
              <w:bottom w:val="single" w:sz="4" w:space="0" w:color="448A99"/>
              <w:right w:val="single" w:sz="4" w:space="0" w:color="448A99"/>
            </w:tcBorders>
            <w:shd w:val="clear" w:color="000000" w:fill="FFFFFF"/>
            <w:vAlign w:val="center"/>
            <w:hideMark/>
          </w:tcPr>
          <w:p w:rsidR="00BB039B" w:rsidRPr="00B75B77" w:rsidRDefault="00BB039B" w:rsidP="00D52DAD">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0.33</w:t>
            </w:r>
          </w:p>
        </w:tc>
        <w:tc>
          <w:tcPr>
            <w:tcW w:w="0" w:type="auto"/>
            <w:tcBorders>
              <w:top w:val="nil"/>
              <w:left w:val="nil"/>
              <w:bottom w:val="single" w:sz="4" w:space="0" w:color="448A99"/>
              <w:right w:val="single" w:sz="4" w:space="0" w:color="448A99"/>
            </w:tcBorders>
            <w:shd w:val="clear" w:color="000000" w:fill="FFFFFF"/>
            <w:vAlign w:val="center"/>
            <w:hideMark/>
          </w:tcPr>
          <w:p w:rsidR="00BB039B" w:rsidRPr="00B75B77" w:rsidRDefault="00BB039B" w:rsidP="00D52DAD">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0.00</w:t>
            </w:r>
          </w:p>
        </w:tc>
        <w:tc>
          <w:tcPr>
            <w:tcW w:w="0" w:type="auto"/>
            <w:tcBorders>
              <w:top w:val="nil"/>
              <w:left w:val="nil"/>
              <w:bottom w:val="single" w:sz="4" w:space="0" w:color="448A99"/>
              <w:right w:val="single" w:sz="4" w:space="0" w:color="448A99"/>
            </w:tcBorders>
            <w:shd w:val="clear" w:color="000000" w:fill="FFFFFF"/>
            <w:vAlign w:val="center"/>
            <w:hideMark/>
          </w:tcPr>
          <w:p w:rsidR="00BB039B" w:rsidRPr="00B75B77" w:rsidRDefault="00BB039B" w:rsidP="00D52DAD">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0.67</w:t>
            </w:r>
          </w:p>
        </w:tc>
        <w:tc>
          <w:tcPr>
            <w:tcW w:w="0" w:type="auto"/>
            <w:tcBorders>
              <w:top w:val="nil"/>
              <w:left w:val="nil"/>
              <w:bottom w:val="single" w:sz="4" w:space="0" w:color="448A99"/>
              <w:right w:val="single" w:sz="4" w:space="0" w:color="448A99"/>
            </w:tcBorders>
            <w:shd w:val="clear" w:color="000000" w:fill="FFFFFF"/>
            <w:vAlign w:val="center"/>
            <w:hideMark/>
          </w:tcPr>
          <w:p w:rsidR="00BB039B" w:rsidRPr="00B75B77" w:rsidRDefault="00BB039B" w:rsidP="00D52DAD">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0.50</w:t>
            </w:r>
          </w:p>
        </w:tc>
        <w:tc>
          <w:tcPr>
            <w:tcW w:w="1379" w:type="dxa"/>
            <w:tcBorders>
              <w:top w:val="nil"/>
              <w:left w:val="nil"/>
              <w:bottom w:val="single" w:sz="4" w:space="0" w:color="448A99"/>
              <w:right w:val="single" w:sz="4" w:space="0" w:color="448A99"/>
            </w:tcBorders>
            <w:shd w:val="clear" w:color="000000" w:fill="FFFFFF"/>
            <w:vAlign w:val="center"/>
            <w:hideMark/>
          </w:tcPr>
          <w:p w:rsidR="00BB039B" w:rsidRPr="00B75B77" w:rsidRDefault="00BB039B" w:rsidP="00D52DAD">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36%</w:t>
            </w:r>
          </w:p>
        </w:tc>
      </w:tr>
      <w:tr w:rsidR="00D52DAD" w:rsidRPr="00B75B77" w:rsidTr="00BB039B">
        <w:trPr>
          <w:divId w:val="474496975"/>
          <w:trHeight w:val="288"/>
        </w:trPr>
        <w:tc>
          <w:tcPr>
            <w:tcW w:w="0" w:type="auto"/>
            <w:tcBorders>
              <w:top w:val="nil"/>
              <w:left w:val="single" w:sz="4" w:space="0" w:color="448A99"/>
              <w:bottom w:val="single" w:sz="4" w:space="0" w:color="448A99"/>
              <w:right w:val="single" w:sz="4" w:space="0" w:color="448A99"/>
            </w:tcBorders>
            <w:shd w:val="clear" w:color="000000" w:fill="D2EAF1"/>
            <w:noWrap/>
            <w:vAlign w:val="center"/>
            <w:hideMark/>
          </w:tcPr>
          <w:p w:rsidR="00BB039B" w:rsidRPr="00B75B77" w:rsidRDefault="00BB039B" w:rsidP="00D52DAD">
            <w:pPr>
              <w:keepNext/>
              <w:jc w:val="left"/>
              <w:rPr>
                <w:rFonts w:ascii="Calibri" w:eastAsia="Times New Roman" w:hAnsi="Calibri"/>
                <w:b/>
                <w:color w:val="000000"/>
                <w:sz w:val="18"/>
                <w:szCs w:val="18"/>
              </w:rPr>
            </w:pPr>
            <w:r w:rsidRPr="00B75B77">
              <w:rPr>
                <w:rFonts w:ascii="Calibri" w:eastAsia="Times New Roman" w:hAnsi="Calibri"/>
                <w:b/>
                <w:caps/>
                <w:color w:val="000000"/>
                <w:sz w:val="18"/>
                <w:szCs w:val="18"/>
              </w:rPr>
              <w:t>Program Total</w:t>
            </w:r>
            <w:r w:rsidRPr="00B75B77">
              <w:rPr>
                <w:rFonts w:ascii="Calibri" w:eastAsia="Times New Roman" w:hAnsi="Calibri"/>
                <w:b/>
                <w:color w:val="000000"/>
                <w:sz w:val="18"/>
                <w:szCs w:val="18"/>
                <w:vertAlign w:val="superscript"/>
              </w:rPr>
              <w:t xml:space="preserve">  </w:t>
            </w:r>
          </w:p>
        </w:tc>
        <w:tc>
          <w:tcPr>
            <w:tcW w:w="0" w:type="auto"/>
            <w:tcBorders>
              <w:top w:val="nil"/>
              <w:left w:val="nil"/>
              <w:bottom w:val="single" w:sz="8" w:space="0" w:color="448A99"/>
              <w:right w:val="single" w:sz="4" w:space="0" w:color="448A99"/>
            </w:tcBorders>
            <w:shd w:val="clear" w:color="000000" w:fill="D2EAF1"/>
            <w:vAlign w:val="center"/>
            <w:hideMark/>
          </w:tcPr>
          <w:p w:rsidR="00BB039B" w:rsidRPr="00B75B77" w:rsidRDefault="00BB039B" w:rsidP="00D52DAD">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0.43</w:t>
            </w:r>
          </w:p>
        </w:tc>
        <w:tc>
          <w:tcPr>
            <w:tcW w:w="0" w:type="auto"/>
            <w:tcBorders>
              <w:top w:val="nil"/>
              <w:left w:val="nil"/>
              <w:bottom w:val="single" w:sz="8" w:space="0" w:color="448A99"/>
              <w:right w:val="single" w:sz="4" w:space="0" w:color="448A99"/>
            </w:tcBorders>
            <w:shd w:val="clear" w:color="000000" w:fill="D2EAF1"/>
            <w:vAlign w:val="center"/>
            <w:hideMark/>
          </w:tcPr>
          <w:p w:rsidR="00BB039B" w:rsidRPr="00B75B77" w:rsidRDefault="00BB039B" w:rsidP="00D52DAD">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0.01</w:t>
            </w:r>
          </w:p>
        </w:tc>
        <w:tc>
          <w:tcPr>
            <w:tcW w:w="0" w:type="auto"/>
            <w:tcBorders>
              <w:top w:val="nil"/>
              <w:left w:val="nil"/>
              <w:bottom w:val="single" w:sz="8" w:space="0" w:color="448A99"/>
              <w:right w:val="single" w:sz="4" w:space="0" w:color="448A99"/>
            </w:tcBorders>
            <w:shd w:val="clear" w:color="000000" w:fill="D2EAF1"/>
            <w:noWrap/>
            <w:vAlign w:val="center"/>
            <w:hideMark/>
          </w:tcPr>
          <w:p w:rsidR="00BB039B" w:rsidRPr="00B75B77" w:rsidRDefault="00BB039B" w:rsidP="00D52DAD">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0.59</w:t>
            </w:r>
          </w:p>
        </w:tc>
        <w:tc>
          <w:tcPr>
            <w:tcW w:w="0" w:type="auto"/>
            <w:tcBorders>
              <w:top w:val="nil"/>
              <w:left w:val="nil"/>
              <w:bottom w:val="single" w:sz="8" w:space="0" w:color="448A99"/>
              <w:right w:val="single" w:sz="4" w:space="0" w:color="448A99"/>
            </w:tcBorders>
            <w:shd w:val="clear" w:color="000000" w:fill="D2EAF1"/>
            <w:vAlign w:val="center"/>
            <w:hideMark/>
          </w:tcPr>
          <w:p w:rsidR="00BB039B" w:rsidRPr="00B75B77" w:rsidRDefault="00BB039B" w:rsidP="00D52DAD">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0.26</w:t>
            </w:r>
          </w:p>
        </w:tc>
        <w:tc>
          <w:tcPr>
            <w:tcW w:w="1379" w:type="dxa"/>
            <w:tcBorders>
              <w:top w:val="nil"/>
              <w:left w:val="nil"/>
              <w:bottom w:val="single" w:sz="8" w:space="0" w:color="448A99"/>
              <w:right w:val="single" w:sz="4" w:space="0" w:color="448A99"/>
            </w:tcBorders>
            <w:shd w:val="clear" w:color="000000" w:fill="D2EAF1"/>
            <w:vAlign w:val="center"/>
            <w:hideMark/>
          </w:tcPr>
          <w:p w:rsidR="00BB039B" w:rsidRPr="00B75B77" w:rsidRDefault="00793203" w:rsidP="00D52DAD">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5</w:t>
            </w:r>
            <w:r w:rsidR="00BB039B" w:rsidRPr="00B75B77">
              <w:rPr>
                <w:rFonts w:ascii="Calibri" w:eastAsia="Times New Roman" w:hAnsi="Calibri"/>
                <w:b/>
                <w:color w:val="000000"/>
                <w:sz w:val="18"/>
                <w:szCs w:val="18"/>
              </w:rPr>
              <w:t>%</w:t>
            </w:r>
          </w:p>
        </w:tc>
      </w:tr>
    </w:tbl>
    <w:p w:rsidR="00BB039B" w:rsidRPr="00B75B77" w:rsidRDefault="00BB039B" w:rsidP="00D52DAD">
      <w:pPr>
        <w:pStyle w:val="Source"/>
        <w:keepNext/>
        <w:spacing w:before="20" w:after="20"/>
        <w:ind w:left="0" w:firstLine="0"/>
      </w:pPr>
      <w:r w:rsidRPr="00B75B77">
        <w:rPr>
          <w:rFonts w:ascii="Calibri" w:hAnsi="Calibri"/>
          <w:i w:val="0"/>
          <w:iCs/>
          <w:color w:val="000000"/>
          <w:szCs w:val="18"/>
        </w:rPr>
        <w:t>Note: Values in tables may not reconcile exactly with the sum of more detailed level results or previously reported results due to rounding.</w:t>
      </w:r>
    </w:p>
    <w:p w:rsidR="00BB039B" w:rsidRPr="00B75B77" w:rsidRDefault="00BB039B" w:rsidP="00D52DAD">
      <w:pPr>
        <w:pStyle w:val="Source"/>
        <w:ind w:hanging="720"/>
      </w:pPr>
      <w:r w:rsidRPr="00B75B77">
        <w:t>Source: Navigant analysis</w:t>
      </w:r>
    </w:p>
    <w:p w:rsidR="00BB039B" w:rsidRPr="00B75B77" w:rsidRDefault="00BB039B" w:rsidP="00BB039B">
      <w:pPr>
        <w:pStyle w:val="Caption"/>
      </w:pPr>
      <w:bookmarkStart w:id="882" w:name="_Ref463418447"/>
      <w:bookmarkStart w:id="883" w:name="_Toc466413632"/>
      <w:r w:rsidRPr="00B75B77">
        <w:t xml:space="preserve">Table </w:t>
      </w:r>
      <w:fldSimple w:instr=" STYLEREF 1 \s ">
        <w:r w:rsidR="0004016D">
          <w:rPr>
            <w:noProof/>
          </w:rPr>
          <w:t>14</w:t>
        </w:r>
      </w:fldSimple>
      <w:r w:rsidR="00F1144C" w:rsidRPr="00B75B77">
        <w:noBreakHyphen/>
      </w:r>
      <w:fldSimple w:instr=" SEQ Table \* ARABIC \s 1 ">
        <w:r w:rsidR="0004016D">
          <w:rPr>
            <w:noProof/>
          </w:rPr>
          <w:t>14</w:t>
        </w:r>
      </w:fldSimple>
      <w:bookmarkEnd w:id="882"/>
      <w:r w:rsidRPr="00B75B77">
        <w:t>: PY7 Smart Multi</w:t>
      </w:r>
      <w:r w:rsidR="00D52DAD" w:rsidRPr="00B75B77">
        <w:t>-F</w:t>
      </w:r>
      <w:r w:rsidRPr="00B75B77">
        <w:t>amily Solutions Nonresidential Sector Summary of Evaluation Results for NTG Research</w:t>
      </w:r>
      <w:bookmarkEnd w:id="883"/>
    </w:p>
    <w:tbl>
      <w:tblPr>
        <w:tblW w:w="9355" w:type="dxa"/>
        <w:tblLook w:val="04A0" w:firstRow="1" w:lastRow="0" w:firstColumn="1" w:lastColumn="0" w:noHBand="0" w:noVBand="1"/>
      </w:tblPr>
      <w:tblGrid>
        <w:gridCol w:w="2155"/>
        <w:gridCol w:w="1530"/>
        <w:gridCol w:w="1710"/>
        <w:gridCol w:w="900"/>
        <w:gridCol w:w="1170"/>
        <w:gridCol w:w="1890"/>
      </w:tblGrid>
      <w:tr w:rsidR="00BB039B" w:rsidRPr="00B75B77" w:rsidTr="00BB039B">
        <w:trPr>
          <w:divId w:val="1253391106"/>
          <w:trHeight w:val="420"/>
        </w:trPr>
        <w:tc>
          <w:tcPr>
            <w:tcW w:w="2155"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BB039B" w:rsidRPr="00B75B77" w:rsidRDefault="00BB039B" w:rsidP="00BB039B">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Stratum </w:t>
            </w:r>
          </w:p>
        </w:tc>
        <w:tc>
          <w:tcPr>
            <w:tcW w:w="153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BB039B" w:rsidRPr="00B75B77" w:rsidRDefault="00BB039B" w:rsidP="00BB039B">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Estimated Free Ridership</w:t>
            </w:r>
          </w:p>
        </w:tc>
        <w:tc>
          <w:tcPr>
            <w:tcW w:w="171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BB039B" w:rsidRPr="00B75B77" w:rsidRDefault="00BB039B" w:rsidP="00BB039B">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Estimated Participant Spillover</w:t>
            </w:r>
          </w:p>
        </w:tc>
        <w:tc>
          <w:tcPr>
            <w:tcW w:w="90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BB039B" w:rsidRPr="00B75B77" w:rsidRDefault="00BB039B" w:rsidP="00BB039B">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NTG Ratio</w:t>
            </w:r>
          </w:p>
        </w:tc>
        <w:tc>
          <w:tcPr>
            <w:tcW w:w="117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BB039B" w:rsidRPr="00B75B77" w:rsidRDefault="00BB039B" w:rsidP="00BB039B">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Observed CV or Proportion</w:t>
            </w:r>
          </w:p>
        </w:tc>
        <w:tc>
          <w:tcPr>
            <w:tcW w:w="189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BB039B" w:rsidRPr="00B75B77" w:rsidRDefault="00BB039B" w:rsidP="00BB039B">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Relative Precision</w:t>
            </w:r>
          </w:p>
        </w:tc>
      </w:tr>
      <w:tr w:rsidR="00BB039B" w:rsidRPr="00B75B77" w:rsidTr="00BB039B">
        <w:trPr>
          <w:divId w:val="1253391106"/>
          <w:trHeight w:val="288"/>
        </w:trPr>
        <w:tc>
          <w:tcPr>
            <w:tcW w:w="2155" w:type="dxa"/>
            <w:vMerge/>
            <w:tcBorders>
              <w:top w:val="single" w:sz="4" w:space="0" w:color="auto"/>
              <w:left w:val="single" w:sz="4" w:space="0" w:color="auto"/>
              <w:bottom w:val="single" w:sz="4" w:space="0" w:color="000000"/>
              <w:right w:val="single" w:sz="4" w:space="0" w:color="auto"/>
            </w:tcBorders>
            <w:vAlign w:val="center"/>
            <w:hideMark/>
          </w:tcPr>
          <w:p w:rsidR="00BB039B" w:rsidRPr="00B75B77" w:rsidRDefault="00BB039B" w:rsidP="00BB039B">
            <w:pPr>
              <w:jc w:val="left"/>
              <w:rPr>
                <w:rFonts w:ascii="Calibri" w:eastAsia="Times New Roman" w:hAnsi="Calibri"/>
                <w:b/>
                <w:bCs/>
                <w:color w:val="FFFFFF"/>
                <w:sz w:val="18"/>
                <w:szCs w:val="18"/>
              </w:rPr>
            </w:pPr>
          </w:p>
        </w:tc>
        <w:tc>
          <w:tcPr>
            <w:tcW w:w="1530" w:type="dxa"/>
            <w:vMerge/>
            <w:tcBorders>
              <w:top w:val="single" w:sz="4" w:space="0" w:color="auto"/>
              <w:left w:val="single" w:sz="4" w:space="0" w:color="auto"/>
              <w:bottom w:val="single" w:sz="4" w:space="0" w:color="000000"/>
              <w:right w:val="single" w:sz="4" w:space="0" w:color="auto"/>
            </w:tcBorders>
            <w:vAlign w:val="center"/>
            <w:hideMark/>
          </w:tcPr>
          <w:p w:rsidR="00BB039B" w:rsidRPr="00B75B77" w:rsidRDefault="00BB039B" w:rsidP="00BB039B">
            <w:pPr>
              <w:jc w:val="left"/>
              <w:rPr>
                <w:rFonts w:ascii="Calibri" w:eastAsia="Times New Roman" w:hAnsi="Calibri"/>
                <w:b/>
                <w:bCs/>
                <w:color w:val="FFFFFF"/>
                <w:sz w:val="18"/>
                <w:szCs w:val="18"/>
              </w:rPr>
            </w:pPr>
          </w:p>
        </w:tc>
        <w:tc>
          <w:tcPr>
            <w:tcW w:w="1710" w:type="dxa"/>
            <w:vMerge/>
            <w:tcBorders>
              <w:top w:val="single" w:sz="4" w:space="0" w:color="auto"/>
              <w:left w:val="single" w:sz="4" w:space="0" w:color="auto"/>
              <w:bottom w:val="single" w:sz="4" w:space="0" w:color="000000"/>
              <w:right w:val="single" w:sz="4" w:space="0" w:color="auto"/>
            </w:tcBorders>
            <w:vAlign w:val="center"/>
            <w:hideMark/>
          </w:tcPr>
          <w:p w:rsidR="00BB039B" w:rsidRPr="00B75B77" w:rsidRDefault="00BB039B" w:rsidP="00BB039B">
            <w:pPr>
              <w:jc w:val="left"/>
              <w:rPr>
                <w:rFonts w:ascii="Calibri" w:eastAsia="Times New Roman" w:hAnsi="Calibri"/>
                <w:b/>
                <w:bCs/>
                <w:color w:val="FFFFFF"/>
                <w:sz w:val="18"/>
                <w:szCs w:val="18"/>
              </w:rPr>
            </w:pPr>
          </w:p>
        </w:tc>
        <w:tc>
          <w:tcPr>
            <w:tcW w:w="900" w:type="dxa"/>
            <w:vMerge/>
            <w:tcBorders>
              <w:top w:val="single" w:sz="4" w:space="0" w:color="auto"/>
              <w:left w:val="single" w:sz="4" w:space="0" w:color="auto"/>
              <w:bottom w:val="single" w:sz="4" w:space="0" w:color="000000"/>
              <w:right w:val="single" w:sz="4" w:space="0" w:color="auto"/>
            </w:tcBorders>
            <w:vAlign w:val="center"/>
            <w:hideMark/>
          </w:tcPr>
          <w:p w:rsidR="00BB039B" w:rsidRPr="00B75B77" w:rsidRDefault="00BB039B" w:rsidP="00BB039B">
            <w:pPr>
              <w:jc w:val="left"/>
              <w:rPr>
                <w:rFonts w:ascii="Calibri" w:eastAsia="Times New Roman" w:hAnsi="Calibri"/>
                <w:b/>
                <w:bCs/>
                <w:color w:val="FFFFFF"/>
                <w:sz w:val="18"/>
                <w:szCs w:val="18"/>
              </w:rPr>
            </w:pPr>
          </w:p>
        </w:tc>
        <w:tc>
          <w:tcPr>
            <w:tcW w:w="1170" w:type="dxa"/>
            <w:vMerge/>
            <w:tcBorders>
              <w:top w:val="single" w:sz="4" w:space="0" w:color="auto"/>
              <w:left w:val="single" w:sz="4" w:space="0" w:color="auto"/>
              <w:bottom w:val="single" w:sz="4" w:space="0" w:color="000000"/>
              <w:right w:val="single" w:sz="4" w:space="0" w:color="auto"/>
            </w:tcBorders>
            <w:vAlign w:val="center"/>
            <w:hideMark/>
          </w:tcPr>
          <w:p w:rsidR="00BB039B" w:rsidRPr="00B75B77" w:rsidRDefault="00BB039B" w:rsidP="00BB039B">
            <w:pPr>
              <w:jc w:val="left"/>
              <w:rPr>
                <w:rFonts w:ascii="Calibri" w:eastAsia="Times New Roman" w:hAnsi="Calibri"/>
                <w:b/>
                <w:bCs/>
                <w:color w:val="FFFFFF"/>
                <w:sz w:val="18"/>
                <w:szCs w:val="18"/>
              </w:rPr>
            </w:pPr>
          </w:p>
        </w:tc>
        <w:tc>
          <w:tcPr>
            <w:tcW w:w="1890" w:type="dxa"/>
            <w:vMerge/>
            <w:tcBorders>
              <w:top w:val="single" w:sz="4" w:space="0" w:color="auto"/>
              <w:left w:val="single" w:sz="4" w:space="0" w:color="auto"/>
              <w:bottom w:val="single" w:sz="4" w:space="0" w:color="000000"/>
              <w:right w:val="single" w:sz="4" w:space="0" w:color="auto"/>
            </w:tcBorders>
            <w:vAlign w:val="center"/>
            <w:hideMark/>
          </w:tcPr>
          <w:p w:rsidR="00BB039B" w:rsidRPr="00B75B77" w:rsidRDefault="00BB039B" w:rsidP="00BB039B">
            <w:pPr>
              <w:jc w:val="left"/>
              <w:rPr>
                <w:rFonts w:ascii="Calibri" w:eastAsia="Times New Roman" w:hAnsi="Calibri"/>
                <w:b/>
                <w:bCs/>
                <w:color w:val="FFFFFF"/>
                <w:sz w:val="18"/>
                <w:szCs w:val="18"/>
              </w:rPr>
            </w:pPr>
          </w:p>
        </w:tc>
      </w:tr>
      <w:tr w:rsidR="00BB039B" w:rsidRPr="00B75B77" w:rsidTr="00BB039B">
        <w:trPr>
          <w:divId w:val="1253391106"/>
          <w:trHeight w:val="288"/>
        </w:trPr>
        <w:tc>
          <w:tcPr>
            <w:tcW w:w="2155" w:type="dxa"/>
            <w:tcBorders>
              <w:top w:val="nil"/>
              <w:left w:val="single" w:sz="4" w:space="0" w:color="448A99"/>
              <w:bottom w:val="single" w:sz="4" w:space="0" w:color="448A99"/>
              <w:right w:val="single" w:sz="4" w:space="0" w:color="448A99"/>
            </w:tcBorders>
            <w:shd w:val="clear" w:color="000000" w:fill="D2EAF1"/>
            <w:vAlign w:val="center"/>
            <w:hideMark/>
          </w:tcPr>
          <w:p w:rsidR="00BB039B" w:rsidRPr="00B75B77" w:rsidRDefault="00D52DAD" w:rsidP="00D52DAD">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Non-Res –</w:t>
            </w:r>
            <w:r w:rsidR="00BB039B" w:rsidRPr="00B75B77">
              <w:rPr>
                <w:rFonts w:ascii="Calibri" w:eastAsia="Times New Roman" w:hAnsi="Calibri"/>
                <w:bCs/>
                <w:color w:val="000000"/>
                <w:sz w:val="18"/>
                <w:szCs w:val="18"/>
              </w:rPr>
              <w:t xml:space="preserve"> Small</w:t>
            </w:r>
          </w:p>
        </w:tc>
        <w:tc>
          <w:tcPr>
            <w:tcW w:w="1530"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0.31</w:t>
            </w:r>
          </w:p>
        </w:tc>
        <w:tc>
          <w:tcPr>
            <w:tcW w:w="1710"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0.01</w:t>
            </w:r>
          </w:p>
        </w:tc>
        <w:tc>
          <w:tcPr>
            <w:tcW w:w="900"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0.71</w:t>
            </w:r>
          </w:p>
        </w:tc>
        <w:tc>
          <w:tcPr>
            <w:tcW w:w="1170"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0.29</w:t>
            </w:r>
          </w:p>
        </w:tc>
        <w:tc>
          <w:tcPr>
            <w:tcW w:w="1890"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10%</w:t>
            </w:r>
          </w:p>
        </w:tc>
      </w:tr>
      <w:tr w:rsidR="00BB039B" w:rsidRPr="00B75B77" w:rsidTr="00BB039B">
        <w:trPr>
          <w:divId w:val="1253391106"/>
          <w:trHeight w:val="288"/>
        </w:trPr>
        <w:tc>
          <w:tcPr>
            <w:tcW w:w="2155" w:type="dxa"/>
            <w:tcBorders>
              <w:top w:val="nil"/>
              <w:left w:val="single" w:sz="4" w:space="0" w:color="448A99"/>
              <w:bottom w:val="single" w:sz="4" w:space="0" w:color="448A99"/>
              <w:right w:val="single" w:sz="4" w:space="0" w:color="448A99"/>
            </w:tcBorders>
            <w:shd w:val="clear" w:color="000000" w:fill="FFFFFF"/>
            <w:vAlign w:val="center"/>
            <w:hideMark/>
          </w:tcPr>
          <w:p w:rsidR="00BB039B" w:rsidRPr="00B75B77" w:rsidRDefault="00D52DAD" w:rsidP="00BB039B">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Non-Res –</w:t>
            </w:r>
            <w:r w:rsidR="00BB039B" w:rsidRPr="00B75B77">
              <w:rPr>
                <w:rFonts w:ascii="Calibri" w:eastAsia="Times New Roman" w:hAnsi="Calibri"/>
                <w:bCs/>
                <w:color w:val="000000"/>
                <w:sz w:val="18"/>
                <w:szCs w:val="18"/>
              </w:rPr>
              <w:t>Medium/Large</w:t>
            </w:r>
          </w:p>
        </w:tc>
        <w:tc>
          <w:tcPr>
            <w:tcW w:w="1530" w:type="dxa"/>
            <w:tcBorders>
              <w:top w:val="nil"/>
              <w:left w:val="nil"/>
              <w:bottom w:val="single" w:sz="4" w:space="0" w:color="448A99"/>
              <w:right w:val="single" w:sz="4" w:space="0" w:color="448A99"/>
            </w:tcBorders>
            <w:shd w:val="clear" w:color="000000" w:fill="FFFFFF"/>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0.41</w:t>
            </w:r>
          </w:p>
        </w:tc>
        <w:tc>
          <w:tcPr>
            <w:tcW w:w="1710" w:type="dxa"/>
            <w:tcBorders>
              <w:top w:val="nil"/>
              <w:left w:val="nil"/>
              <w:bottom w:val="single" w:sz="4" w:space="0" w:color="448A99"/>
              <w:right w:val="single" w:sz="4" w:space="0" w:color="448A99"/>
            </w:tcBorders>
            <w:shd w:val="clear" w:color="000000" w:fill="FFFFFF"/>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0.00</w:t>
            </w:r>
          </w:p>
        </w:tc>
        <w:tc>
          <w:tcPr>
            <w:tcW w:w="900" w:type="dxa"/>
            <w:tcBorders>
              <w:top w:val="nil"/>
              <w:left w:val="nil"/>
              <w:bottom w:val="single" w:sz="4" w:space="0" w:color="448A99"/>
              <w:right w:val="single" w:sz="4" w:space="0" w:color="448A99"/>
            </w:tcBorders>
            <w:shd w:val="clear" w:color="000000" w:fill="FFFFFF"/>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0.59</w:t>
            </w:r>
          </w:p>
        </w:tc>
        <w:tc>
          <w:tcPr>
            <w:tcW w:w="1170" w:type="dxa"/>
            <w:tcBorders>
              <w:top w:val="nil"/>
              <w:left w:val="nil"/>
              <w:bottom w:val="single" w:sz="4" w:space="0" w:color="448A99"/>
              <w:right w:val="single" w:sz="4" w:space="0" w:color="448A99"/>
            </w:tcBorders>
            <w:shd w:val="clear" w:color="000000" w:fill="FFFFFF"/>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0.31</w:t>
            </w:r>
          </w:p>
        </w:tc>
        <w:tc>
          <w:tcPr>
            <w:tcW w:w="1890" w:type="dxa"/>
            <w:tcBorders>
              <w:top w:val="nil"/>
              <w:left w:val="nil"/>
              <w:bottom w:val="single" w:sz="4" w:space="0" w:color="448A99"/>
              <w:right w:val="single" w:sz="4" w:space="0" w:color="448A99"/>
            </w:tcBorders>
            <w:shd w:val="clear" w:color="000000" w:fill="FFFFFF"/>
            <w:vAlign w:val="center"/>
            <w:hideMark/>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18%</w:t>
            </w:r>
          </w:p>
        </w:tc>
      </w:tr>
      <w:tr w:rsidR="00BB039B" w:rsidRPr="00B75B77" w:rsidTr="00BB039B">
        <w:trPr>
          <w:divId w:val="1253391106"/>
          <w:trHeight w:val="288"/>
        </w:trPr>
        <w:tc>
          <w:tcPr>
            <w:tcW w:w="2155" w:type="dxa"/>
            <w:tcBorders>
              <w:top w:val="nil"/>
              <w:left w:val="single" w:sz="4" w:space="0" w:color="448A99"/>
              <w:bottom w:val="single" w:sz="4" w:space="0" w:color="448A99"/>
              <w:right w:val="single" w:sz="4" w:space="0" w:color="448A99"/>
            </w:tcBorders>
            <w:shd w:val="clear" w:color="000000" w:fill="D2EAF1"/>
            <w:noWrap/>
            <w:vAlign w:val="center"/>
            <w:hideMark/>
          </w:tcPr>
          <w:p w:rsidR="00BB039B" w:rsidRPr="00B75B77" w:rsidRDefault="00BB039B" w:rsidP="00BB039B">
            <w:pPr>
              <w:jc w:val="left"/>
              <w:rPr>
                <w:rFonts w:ascii="Calibri" w:eastAsia="Times New Roman" w:hAnsi="Calibri"/>
                <w:b/>
                <w:color w:val="000000"/>
                <w:sz w:val="18"/>
                <w:szCs w:val="18"/>
              </w:rPr>
            </w:pPr>
            <w:r w:rsidRPr="00B75B77">
              <w:rPr>
                <w:rFonts w:ascii="Calibri" w:eastAsia="Times New Roman" w:hAnsi="Calibri"/>
                <w:b/>
                <w:caps/>
                <w:color w:val="000000"/>
                <w:sz w:val="18"/>
                <w:szCs w:val="18"/>
              </w:rPr>
              <w:t>Program Total</w:t>
            </w:r>
          </w:p>
        </w:tc>
        <w:tc>
          <w:tcPr>
            <w:tcW w:w="1530"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BB039B">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0.38</w:t>
            </w:r>
          </w:p>
        </w:tc>
        <w:tc>
          <w:tcPr>
            <w:tcW w:w="1710"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BB039B">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0.00</w:t>
            </w:r>
          </w:p>
        </w:tc>
        <w:tc>
          <w:tcPr>
            <w:tcW w:w="900" w:type="dxa"/>
            <w:tcBorders>
              <w:top w:val="nil"/>
              <w:left w:val="nil"/>
              <w:bottom w:val="single" w:sz="4" w:space="0" w:color="448A99"/>
              <w:right w:val="single" w:sz="4" w:space="0" w:color="448A99"/>
            </w:tcBorders>
            <w:shd w:val="clear" w:color="000000" w:fill="D2EAF1"/>
            <w:noWrap/>
            <w:vAlign w:val="center"/>
            <w:hideMark/>
          </w:tcPr>
          <w:p w:rsidR="00BB039B" w:rsidRPr="00B75B77" w:rsidRDefault="00BB039B" w:rsidP="00BB039B">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0.62</w:t>
            </w:r>
          </w:p>
        </w:tc>
        <w:tc>
          <w:tcPr>
            <w:tcW w:w="1170"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BB039B">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0.24</w:t>
            </w:r>
          </w:p>
        </w:tc>
        <w:tc>
          <w:tcPr>
            <w:tcW w:w="1890" w:type="dxa"/>
            <w:tcBorders>
              <w:top w:val="nil"/>
              <w:left w:val="nil"/>
              <w:bottom w:val="single" w:sz="4" w:space="0" w:color="448A99"/>
              <w:right w:val="single" w:sz="4" w:space="0" w:color="448A99"/>
            </w:tcBorders>
            <w:shd w:val="clear" w:color="000000" w:fill="D2EAF1"/>
            <w:vAlign w:val="center"/>
            <w:hideMark/>
          </w:tcPr>
          <w:p w:rsidR="00BB039B" w:rsidRPr="00B75B77" w:rsidRDefault="00BB039B" w:rsidP="00BB039B">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7%</w:t>
            </w:r>
          </w:p>
        </w:tc>
      </w:tr>
    </w:tbl>
    <w:p w:rsidR="00BB039B" w:rsidRPr="00B75B77" w:rsidRDefault="00BB039B" w:rsidP="00D52DAD">
      <w:pPr>
        <w:pStyle w:val="Source"/>
        <w:spacing w:before="20" w:after="20"/>
        <w:ind w:left="0" w:firstLine="0"/>
      </w:pPr>
      <w:r w:rsidRPr="00B75B77">
        <w:rPr>
          <w:rFonts w:ascii="Calibri" w:hAnsi="Calibri"/>
          <w:i w:val="0"/>
          <w:iCs/>
          <w:color w:val="000000"/>
          <w:szCs w:val="18"/>
        </w:rPr>
        <w:t>Note: Values in tables may not reconcile exactly with the sum of more detailed level results or previously reported results due to rounding.</w:t>
      </w:r>
    </w:p>
    <w:p w:rsidR="00BB039B" w:rsidRPr="00B75B77" w:rsidRDefault="00BB039B" w:rsidP="00D52DAD">
      <w:pPr>
        <w:pStyle w:val="Source"/>
        <w:ind w:hanging="720"/>
      </w:pPr>
      <w:r w:rsidRPr="00B75B77">
        <w:t>Source: Navigant analysis</w:t>
      </w:r>
    </w:p>
    <w:p w:rsidR="00BB039B" w:rsidRPr="00B75B77" w:rsidRDefault="00BB039B" w:rsidP="00BB039B">
      <w:pPr>
        <w:pStyle w:val="Heading2"/>
        <w:keepNext/>
      </w:pPr>
      <w:bookmarkStart w:id="884" w:name="_Toc466413445"/>
      <w:r w:rsidRPr="00B75B77">
        <w:t>Process Evaluation</w:t>
      </w:r>
      <w:bookmarkEnd w:id="884"/>
    </w:p>
    <w:p w:rsidR="00BB039B" w:rsidRPr="00B75B77" w:rsidRDefault="00BB039B" w:rsidP="00BB039B">
      <w:r w:rsidRPr="00B75B77">
        <w:t>The PY7 SMF Solutions process evaluation illuminated how participants learned about the program, why they participated, and how aware they were of various other program elements outside of the free DI equipment.</w:t>
      </w:r>
    </w:p>
    <w:p w:rsidR="00BB039B" w:rsidRPr="00B75B77" w:rsidRDefault="00BB039B" w:rsidP="00963027">
      <w:pPr>
        <w:keepNext/>
        <w:rPr>
          <w:color w:val="000000"/>
        </w:rPr>
      </w:pPr>
    </w:p>
    <w:p w:rsidR="00BB039B" w:rsidRPr="00B75B77" w:rsidRDefault="00BB039B" w:rsidP="00BB039B">
      <w:pPr>
        <w:pStyle w:val="Heading3"/>
      </w:pPr>
      <w:bookmarkStart w:id="885" w:name="_Toc466413446"/>
      <w:r w:rsidRPr="00B75B77">
        <w:t>Process Evaluation Methodology</w:t>
      </w:r>
      <w:bookmarkEnd w:id="885"/>
      <w:r w:rsidRPr="00B75B77">
        <w:t xml:space="preserve"> </w:t>
      </w:r>
    </w:p>
    <w:p w:rsidR="00BB039B" w:rsidRPr="00B75B77" w:rsidRDefault="00BB039B" w:rsidP="00D52DAD">
      <w:r w:rsidRPr="00B75B77">
        <w:t xml:space="preserve">The process evaluation for the SMF Solutions program consisted primarily of participant telephone surveys with residential tenants and nonresidential landlords and in-depth interviews with the PECO and CSP program managers. The </w:t>
      </w:r>
      <w:r w:rsidR="00D52DAD" w:rsidRPr="00B75B77">
        <w:t xml:space="preserve">evaluation team used the </w:t>
      </w:r>
      <w:r w:rsidRPr="00B75B77">
        <w:t xml:space="preserve">telephone survey residential tenant sample and nonresidential landlord sample for the impact evaluations as well. </w:t>
      </w:r>
      <w:r w:rsidRPr="00B75B77">
        <w:fldChar w:fldCharType="begin"/>
      </w:r>
      <w:r w:rsidRPr="00B75B77">
        <w:instrText xml:space="preserve"> REF _Ref463418518 \h  \* MERGEFORMAT </w:instrText>
      </w:r>
      <w:r w:rsidRPr="00B75B77">
        <w:fldChar w:fldCharType="separate"/>
      </w:r>
      <w:r w:rsidR="0004016D" w:rsidRPr="00B75B77">
        <w:t xml:space="preserve">Table </w:t>
      </w:r>
      <w:r w:rsidR="0004016D">
        <w:rPr>
          <w:noProof/>
        </w:rPr>
        <w:t>14</w:t>
      </w:r>
      <w:r w:rsidR="0004016D" w:rsidRPr="00B75B77">
        <w:rPr>
          <w:noProof/>
        </w:rPr>
        <w:noBreakHyphen/>
      </w:r>
      <w:r w:rsidR="0004016D">
        <w:rPr>
          <w:noProof/>
        </w:rPr>
        <w:t>15</w:t>
      </w:r>
      <w:r w:rsidRPr="00B75B77">
        <w:fldChar w:fldCharType="end"/>
      </w:r>
      <w:r w:rsidRPr="00B75B77">
        <w:t xml:space="preserve"> shows target sample sizes and achieved sample sizes for each data collection method. </w:t>
      </w:r>
    </w:p>
    <w:p w:rsidR="00BB039B" w:rsidRPr="00B75B77" w:rsidRDefault="00BB039B" w:rsidP="00AE45CC">
      <w:pPr>
        <w:ind w:left="360"/>
        <w:rPr>
          <w:rFonts w:eastAsia="Times New Roman"/>
          <w:color w:val="000000"/>
        </w:rPr>
      </w:pPr>
    </w:p>
    <w:p w:rsidR="00BB039B" w:rsidRPr="00B75B77" w:rsidRDefault="00BB039B" w:rsidP="00AE45CC">
      <w:pPr>
        <w:pStyle w:val="Caption"/>
      </w:pPr>
      <w:bookmarkStart w:id="886" w:name="_Ref463418518"/>
      <w:bookmarkStart w:id="887" w:name="_Toc466413633"/>
      <w:r w:rsidRPr="00B75B77">
        <w:lastRenderedPageBreak/>
        <w:t xml:space="preserve">Table </w:t>
      </w:r>
      <w:fldSimple w:instr=" STYLEREF 1 \s ">
        <w:r w:rsidR="0004016D">
          <w:rPr>
            <w:noProof/>
          </w:rPr>
          <w:t>14</w:t>
        </w:r>
      </w:fldSimple>
      <w:r w:rsidR="00F1144C" w:rsidRPr="00B75B77">
        <w:noBreakHyphen/>
      </w:r>
      <w:fldSimple w:instr=" SEQ Table \* ARABIC \s 1 ">
        <w:r w:rsidR="0004016D">
          <w:rPr>
            <w:noProof/>
          </w:rPr>
          <w:t>15</w:t>
        </w:r>
      </w:fldSimple>
      <w:bookmarkEnd w:id="886"/>
      <w:r w:rsidRPr="00B75B77">
        <w:t>: Smart Multi</w:t>
      </w:r>
      <w:r w:rsidR="00D52DAD" w:rsidRPr="00B75B77">
        <w:t>-F</w:t>
      </w:r>
      <w:r w:rsidRPr="00B75B77">
        <w:t>amily Solutions Process Sampling Strategy for PY7</w:t>
      </w:r>
      <w:bookmarkEnd w:id="887"/>
      <w:r w:rsidRPr="00B75B77">
        <w:t xml:space="preserve"> </w:t>
      </w:r>
    </w:p>
    <w:tbl>
      <w:tblPr>
        <w:tblStyle w:val="MediumShading1-Accent5"/>
        <w:tblW w:w="5140" w:type="pct"/>
        <w:jc w:val="center"/>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349"/>
        <w:gridCol w:w="1112"/>
        <w:gridCol w:w="1199"/>
        <w:gridCol w:w="1199"/>
        <w:gridCol w:w="831"/>
        <w:gridCol w:w="1016"/>
        <w:gridCol w:w="1567"/>
        <w:gridCol w:w="1571"/>
      </w:tblGrid>
      <w:tr w:rsidR="00BB039B" w:rsidRPr="00B75B77" w:rsidTr="00480D8E">
        <w:trPr>
          <w:cnfStyle w:val="100000000000" w:firstRow="1" w:lastRow="0" w:firstColumn="0" w:lastColumn="0" w:oddVBand="0" w:evenVBand="0" w:oddHBand="0" w:evenHBand="0" w:firstRowFirstColumn="0" w:firstRowLastColumn="0" w:lastRowFirstColumn="0" w:lastRowLastColumn="0"/>
          <w:trHeight w:val="1124"/>
          <w:jc w:val="center"/>
        </w:trPr>
        <w:tc>
          <w:tcPr>
            <w:cnfStyle w:val="001000000000" w:firstRow="0" w:lastRow="0" w:firstColumn="1" w:lastColumn="0" w:oddVBand="0" w:evenVBand="0" w:oddHBand="0" w:evenHBand="0" w:firstRowFirstColumn="0" w:firstRowLastColumn="0" w:lastRowFirstColumn="0" w:lastRowLastColumn="0"/>
            <w:tcW w:w="685" w:type="pct"/>
            <w:tcBorders>
              <w:top w:val="single" w:sz="8" w:space="0" w:color="auto"/>
              <w:left w:val="single" w:sz="8" w:space="0" w:color="auto"/>
              <w:bottom w:val="single" w:sz="4" w:space="0" w:color="000000" w:themeColor="text1"/>
              <w:right w:val="single" w:sz="8" w:space="0" w:color="auto"/>
            </w:tcBorders>
            <w:shd w:val="clear" w:color="auto" w:fill="448A99"/>
            <w:vAlign w:val="center"/>
          </w:tcPr>
          <w:p w:rsidR="00BB039B" w:rsidRPr="00B75B77" w:rsidRDefault="00BB039B" w:rsidP="00BB039B">
            <w:pPr>
              <w:jc w:val="left"/>
              <w:rPr>
                <w:bCs w:val="0"/>
                <w:sz w:val="18"/>
                <w:szCs w:val="18"/>
              </w:rPr>
            </w:pPr>
            <w:r w:rsidRPr="00B75B77">
              <w:rPr>
                <w:bCs w:val="0"/>
                <w:sz w:val="18"/>
                <w:szCs w:val="18"/>
              </w:rPr>
              <w:t xml:space="preserve">Target Group </w:t>
            </w:r>
          </w:p>
        </w:tc>
        <w:tc>
          <w:tcPr>
            <w:tcW w:w="565" w:type="pct"/>
            <w:tcBorders>
              <w:top w:val="single" w:sz="8" w:space="0" w:color="auto"/>
              <w:left w:val="single" w:sz="8" w:space="0" w:color="auto"/>
              <w:bottom w:val="single" w:sz="4" w:space="0" w:color="000000" w:themeColor="text1"/>
              <w:right w:val="single" w:sz="8" w:space="0" w:color="auto"/>
            </w:tcBorders>
            <w:shd w:val="clear" w:color="auto" w:fill="448A99"/>
            <w:vAlign w:val="center"/>
          </w:tcPr>
          <w:p w:rsidR="00BB039B" w:rsidRPr="00B75B77" w:rsidRDefault="00BB039B" w:rsidP="00BB039B">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B75B77">
              <w:rPr>
                <w:bCs w:val="0"/>
                <w:sz w:val="18"/>
                <w:szCs w:val="18"/>
              </w:rPr>
              <w:t>Population Size</w:t>
            </w:r>
          </w:p>
        </w:tc>
        <w:tc>
          <w:tcPr>
            <w:tcW w:w="609" w:type="pct"/>
            <w:tcBorders>
              <w:top w:val="single" w:sz="8" w:space="0" w:color="auto"/>
              <w:left w:val="single" w:sz="8" w:space="0" w:color="auto"/>
              <w:bottom w:val="single" w:sz="4" w:space="0" w:color="000000" w:themeColor="text1"/>
              <w:right w:val="single" w:sz="8" w:space="0" w:color="auto"/>
            </w:tcBorders>
            <w:shd w:val="clear" w:color="auto" w:fill="448A99"/>
            <w:vAlign w:val="center"/>
          </w:tcPr>
          <w:p w:rsidR="00BB039B" w:rsidRPr="00B75B77" w:rsidRDefault="00BB039B" w:rsidP="00BB039B">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B75B77">
              <w:rPr>
                <w:bCs w:val="0"/>
                <w:sz w:val="18"/>
                <w:szCs w:val="18"/>
              </w:rPr>
              <w:t>Assumed Proportion or CV in Sample Design</w:t>
            </w:r>
          </w:p>
        </w:tc>
        <w:tc>
          <w:tcPr>
            <w:tcW w:w="609" w:type="pct"/>
            <w:tcBorders>
              <w:top w:val="single" w:sz="8" w:space="0" w:color="auto"/>
              <w:left w:val="single" w:sz="8" w:space="0" w:color="auto"/>
              <w:bottom w:val="single" w:sz="4" w:space="0" w:color="000000" w:themeColor="text1"/>
              <w:right w:val="single" w:sz="8" w:space="0" w:color="auto"/>
            </w:tcBorders>
            <w:shd w:val="clear" w:color="auto" w:fill="448A99"/>
            <w:vAlign w:val="center"/>
          </w:tcPr>
          <w:p w:rsidR="00BB039B" w:rsidRPr="00B75B77" w:rsidRDefault="00BB039B" w:rsidP="00BB039B">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B75B77">
              <w:rPr>
                <w:bCs w:val="0"/>
                <w:sz w:val="18"/>
                <w:szCs w:val="18"/>
              </w:rPr>
              <w:t xml:space="preserve">Assumed Levels of Confidence </w:t>
            </w:r>
            <w:r w:rsidR="00D52DAD" w:rsidRPr="00B75B77">
              <w:rPr>
                <w:bCs w:val="0"/>
                <w:sz w:val="18"/>
                <w:szCs w:val="18"/>
              </w:rPr>
              <w:t>and</w:t>
            </w:r>
            <w:r w:rsidRPr="00B75B77">
              <w:rPr>
                <w:bCs w:val="0"/>
                <w:sz w:val="18"/>
                <w:szCs w:val="18"/>
              </w:rPr>
              <w:t xml:space="preserve"> Precision</w:t>
            </w:r>
          </w:p>
        </w:tc>
        <w:tc>
          <w:tcPr>
            <w:tcW w:w="422" w:type="pct"/>
            <w:tcBorders>
              <w:top w:val="single" w:sz="8" w:space="0" w:color="auto"/>
              <w:left w:val="single" w:sz="8" w:space="0" w:color="auto"/>
              <w:bottom w:val="single" w:sz="4" w:space="0" w:color="000000" w:themeColor="text1"/>
              <w:right w:val="single" w:sz="8" w:space="0" w:color="auto"/>
            </w:tcBorders>
            <w:shd w:val="clear" w:color="auto" w:fill="448A99"/>
            <w:vAlign w:val="center"/>
          </w:tcPr>
          <w:p w:rsidR="00BB039B" w:rsidRPr="00B75B77" w:rsidRDefault="00BB039B" w:rsidP="00BB039B">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B75B77">
              <w:rPr>
                <w:bCs w:val="0"/>
                <w:sz w:val="18"/>
                <w:szCs w:val="18"/>
              </w:rPr>
              <w:t>Target Sample Size</w:t>
            </w:r>
          </w:p>
        </w:tc>
        <w:tc>
          <w:tcPr>
            <w:tcW w:w="516" w:type="pct"/>
            <w:tcBorders>
              <w:top w:val="single" w:sz="8" w:space="0" w:color="auto"/>
              <w:left w:val="single" w:sz="8" w:space="0" w:color="auto"/>
              <w:bottom w:val="single" w:sz="4" w:space="0" w:color="000000" w:themeColor="text1"/>
              <w:right w:val="single" w:sz="8" w:space="0" w:color="auto"/>
            </w:tcBorders>
            <w:shd w:val="clear" w:color="auto" w:fill="448A99"/>
            <w:vAlign w:val="center"/>
          </w:tcPr>
          <w:p w:rsidR="00BB039B" w:rsidRPr="00B75B77" w:rsidRDefault="00BB039B" w:rsidP="00BB039B">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B75B77">
              <w:rPr>
                <w:bCs w:val="0"/>
                <w:sz w:val="18"/>
                <w:szCs w:val="18"/>
              </w:rPr>
              <w:t>Achieved Sample Size</w:t>
            </w:r>
          </w:p>
        </w:tc>
        <w:tc>
          <w:tcPr>
            <w:tcW w:w="796" w:type="pct"/>
            <w:tcBorders>
              <w:top w:val="single" w:sz="8" w:space="0" w:color="auto"/>
              <w:left w:val="single" w:sz="8" w:space="0" w:color="auto"/>
              <w:bottom w:val="single" w:sz="4" w:space="0" w:color="000000" w:themeColor="text1"/>
              <w:right w:val="single" w:sz="8" w:space="0" w:color="auto"/>
            </w:tcBorders>
            <w:shd w:val="clear" w:color="auto" w:fill="448A99"/>
            <w:vAlign w:val="center"/>
          </w:tcPr>
          <w:p w:rsidR="00BB039B" w:rsidRPr="00B75B77" w:rsidRDefault="00BB039B" w:rsidP="00BB039B">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B75B77">
              <w:rPr>
                <w:bCs w:val="0"/>
                <w:sz w:val="18"/>
                <w:szCs w:val="18"/>
              </w:rPr>
              <w:t>Percent</w:t>
            </w:r>
            <w:r w:rsidR="00D52DAD" w:rsidRPr="00B75B77">
              <w:rPr>
                <w:bCs w:val="0"/>
                <w:sz w:val="18"/>
                <w:szCs w:val="18"/>
              </w:rPr>
              <w:t>age</w:t>
            </w:r>
            <w:r w:rsidRPr="00B75B77">
              <w:rPr>
                <w:bCs w:val="0"/>
                <w:sz w:val="18"/>
                <w:szCs w:val="18"/>
              </w:rPr>
              <w:t xml:space="preserve"> of Population Frame Contacted to Achieve Sample</w:t>
            </w:r>
          </w:p>
        </w:tc>
        <w:tc>
          <w:tcPr>
            <w:tcW w:w="798" w:type="pct"/>
            <w:tcBorders>
              <w:top w:val="single" w:sz="8" w:space="0" w:color="auto"/>
              <w:left w:val="single" w:sz="8" w:space="0" w:color="auto"/>
              <w:bottom w:val="single" w:sz="4" w:space="0" w:color="000000" w:themeColor="text1"/>
              <w:right w:val="single" w:sz="8" w:space="0" w:color="auto"/>
            </w:tcBorders>
            <w:shd w:val="clear" w:color="auto" w:fill="448A99"/>
            <w:vAlign w:val="center"/>
          </w:tcPr>
          <w:p w:rsidR="00BB039B" w:rsidRPr="00B75B77" w:rsidRDefault="00EA1A8E" w:rsidP="00D52DAD">
            <w:pPr>
              <w:jc w:val="left"/>
              <w:cnfStyle w:val="100000000000" w:firstRow="1" w:lastRow="0" w:firstColumn="0" w:lastColumn="0" w:oddVBand="0" w:evenVBand="0" w:oddHBand="0" w:evenHBand="0" w:firstRowFirstColumn="0" w:firstRowLastColumn="0" w:lastRowFirstColumn="0" w:lastRowLastColumn="0"/>
              <w:rPr>
                <w:bCs w:val="0"/>
                <w:sz w:val="18"/>
                <w:szCs w:val="18"/>
              </w:rPr>
            </w:pPr>
            <w:r w:rsidRPr="00B75B77">
              <w:rPr>
                <w:bCs w:val="0"/>
                <w:sz w:val="18"/>
                <w:szCs w:val="18"/>
              </w:rPr>
              <w:t>Used for</w:t>
            </w:r>
            <w:r w:rsidR="00BB039B" w:rsidRPr="00B75B77">
              <w:rPr>
                <w:bCs w:val="0"/>
                <w:sz w:val="18"/>
                <w:szCs w:val="18"/>
              </w:rPr>
              <w:t xml:space="preserve"> Evaluation Activities (Impact, Process, NTG)</w:t>
            </w:r>
          </w:p>
        </w:tc>
      </w:tr>
      <w:tr w:rsidR="00BB039B" w:rsidRPr="00B75B77" w:rsidTr="00480D8E">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685" w:type="pct"/>
            <w:tcBorders>
              <w:top w:val="single" w:sz="4" w:space="0" w:color="000000" w:themeColor="text1"/>
              <w:right w:val="single" w:sz="8" w:space="0" w:color="448A99"/>
            </w:tcBorders>
            <w:vAlign w:val="center"/>
          </w:tcPr>
          <w:p w:rsidR="00BB039B" w:rsidRPr="00B75B77" w:rsidRDefault="00BB039B" w:rsidP="00BB039B">
            <w:pPr>
              <w:jc w:val="left"/>
              <w:rPr>
                <w:b w:val="0"/>
                <w:sz w:val="18"/>
                <w:szCs w:val="18"/>
              </w:rPr>
            </w:pPr>
            <w:r w:rsidRPr="00B75B77">
              <w:rPr>
                <w:b w:val="0"/>
                <w:sz w:val="18"/>
                <w:szCs w:val="18"/>
              </w:rPr>
              <w:t>Residential Participating Dwelling Units</w:t>
            </w:r>
          </w:p>
        </w:tc>
        <w:tc>
          <w:tcPr>
            <w:tcW w:w="565" w:type="pct"/>
            <w:tcBorders>
              <w:top w:val="single" w:sz="4" w:space="0" w:color="000000" w:themeColor="text1"/>
              <w:left w:val="single" w:sz="8" w:space="0" w:color="448A99"/>
              <w:right w:val="single" w:sz="8" w:space="0" w:color="448A99"/>
            </w:tcBorders>
            <w:vAlign w:val="center"/>
          </w:tcPr>
          <w:p w:rsidR="00BB039B" w:rsidRPr="00B75B77" w:rsidRDefault="00BB039B" w:rsidP="00BB039B">
            <w:pPr>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3,726</w:t>
            </w:r>
          </w:p>
        </w:tc>
        <w:tc>
          <w:tcPr>
            <w:tcW w:w="609" w:type="pct"/>
            <w:tcBorders>
              <w:top w:val="single" w:sz="4" w:space="0" w:color="000000" w:themeColor="text1"/>
              <w:left w:val="single" w:sz="8" w:space="0" w:color="448A99"/>
              <w:right w:val="single" w:sz="8" w:space="0" w:color="448A99"/>
            </w:tcBorders>
            <w:vAlign w:val="center"/>
          </w:tcPr>
          <w:p w:rsidR="00BB039B" w:rsidRPr="00B75B77" w:rsidRDefault="00BB039B" w:rsidP="00BB039B">
            <w:pPr>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0.50</w:t>
            </w:r>
          </w:p>
        </w:tc>
        <w:tc>
          <w:tcPr>
            <w:tcW w:w="609" w:type="pct"/>
            <w:tcBorders>
              <w:top w:val="single" w:sz="4" w:space="0" w:color="000000" w:themeColor="text1"/>
              <w:left w:val="single" w:sz="8" w:space="0" w:color="448A99"/>
              <w:right w:val="single" w:sz="8" w:space="0" w:color="448A99"/>
            </w:tcBorders>
            <w:vAlign w:val="center"/>
          </w:tcPr>
          <w:p w:rsidR="00BB039B" w:rsidRPr="00B75B77" w:rsidRDefault="00BB039B" w:rsidP="00BB039B">
            <w:pPr>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85/15</w:t>
            </w:r>
          </w:p>
        </w:tc>
        <w:tc>
          <w:tcPr>
            <w:tcW w:w="422" w:type="pct"/>
            <w:tcBorders>
              <w:top w:val="single" w:sz="4" w:space="0" w:color="000000" w:themeColor="text1"/>
              <w:left w:val="single" w:sz="8" w:space="0" w:color="448A99"/>
              <w:right w:val="single" w:sz="8" w:space="0" w:color="448A99"/>
            </w:tcBorders>
            <w:vAlign w:val="center"/>
          </w:tcPr>
          <w:p w:rsidR="00BB039B" w:rsidRPr="00B75B77" w:rsidRDefault="00BB039B" w:rsidP="00BB039B">
            <w:pPr>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48</w:t>
            </w:r>
          </w:p>
        </w:tc>
        <w:tc>
          <w:tcPr>
            <w:tcW w:w="516" w:type="pct"/>
            <w:tcBorders>
              <w:top w:val="single" w:sz="4" w:space="0" w:color="000000" w:themeColor="text1"/>
              <w:left w:val="single" w:sz="8" w:space="0" w:color="448A99"/>
              <w:right w:val="single" w:sz="8" w:space="0" w:color="448A99"/>
            </w:tcBorders>
            <w:vAlign w:val="center"/>
          </w:tcPr>
          <w:p w:rsidR="00BB039B" w:rsidRPr="00B75B77" w:rsidRDefault="00BB039B" w:rsidP="00BB039B">
            <w:pPr>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48</w:t>
            </w:r>
          </w:p>
        </w:tc>
        <w:tc>
          <w:tcPr>
            <w:tcW w:w="796" w:type="pct"/>
            <w:tcBorders>
              <w:top w:val="single" w:sz="4" w:space="0" w:color="000000" w:themeColor="text1"/>
              <w:left w:val="single" w:sz="8" w:space="0" w:color="448A99"/>
              <w:right w:val="single" w:sz="8" w:space="0" w:color="448A99"/>
            </w:tcBorders>
            <w:vAlign w:val="center"/>
          </w:tcPr>
          <w:p w:rsidR="00BB039B" w:rsidRPr="00B75B77" w:rsidRDefault="00BB039B" w:rsidP="00BB039B">
            <w:pPr>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43%</w:t>
            </w:r>
          </w:p>
        </w:tc>
        <w:tc>
          <w:tcPr>
            <w:tcW w:w="798" w:type="pct"/>
            <w:tcBorders>
              <w:top w:val="single" w:sz="4" w:space="0" w:color="000000" w:themeColor="text1"/>
              <w:left w:val="single" w:sz="8" w:space="0" w:color="448A99"/>
            </w:tcBorders>
            <w:vAlign w:val="center"/>
          </w:tcPr>
          <w:p w:rsidR="00BB039B" w:rsidRPr="00B75B77" w:rsidRDefault="00BB039B" w:rsidP="00D52DAD">
            <w:pPr>
              <w:jc w:val="left"/>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 xml:space="preserve">Impact, </w:t>
            </w:r>
            <w:r w:rsidR="00D52DAD" w:rsidRPr="00B75B77">
              <w:rPr>
                <w:sz w:val="18"/>
                <w:szCs w:val="18"/>
              </w:rPr>
              <w:t>p</w:t>
            </w:r>
            <w:r w:rsidRPr="00B75B77">
              <w:rPr>
                <w:sz w:val="18"/>
                <w:szCs w:val="18"/>
              </w:rPr>
              <w:t>rocess, NTG</w:t>
            </w:r>
          </w:p>
        </w:tc>
      </w:tr>
      <w:tr w:rsidR="00BB039B" w:rsidRPr="00B75B77" w:rsidTr="00D52DAD">
        <w:trPr>
          <w:cnfStyle w:val="000000010000" w:firstRow="0" w:lastRow="0" w:firstColumn="0" w:lastColumn="0" w:oddVBand="0" w:evenVBand="0" w:oddHBand="0" w:evenHBand="1"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685" w:type="pct"/>
            <w:tcBorders>
              <w:right w:val="single" w:sz="8" w:space="0" w:color="448A99"/>
            </w:tcBorders>
            <w:vAlign w:val="center"/>
          </w:tcPr>
          <w:p w:rsidR="00BB039B" w:rsidRPr="00B75B77" w:rsidRDefault="00BB039B" w:rsidP="00BB039B">
            <w:pPr>
              <w:jc w:val="left"/>
              <w:rPr>
                <w:b w:val="0"/>
                <w:sz w:val="18"/>
                <w:szCs w:val="18"/>
              </w:rPr>
            </w:pPr>
            <w:r w:rsidRPr="00B75B77">
              <w:rPr>
                <w:b w:val="0"/>
                <w:sz w:val="18"/>
                <w:szCs w:val="18"/>
              </w:rPr>
              <w:t>Nonresidential Participating Properties</w:t>
            </w:r>
          </w:p>
        </w:tc>
        <w:tc>
          <w:tcPr>
            <w:tcW w:w="565" w:type="pct"/>
            <w:tcBorders>
              <w:left w:val="single" w:sz="8" w:space="0" w:color="448A99"/>
              <w:right w:val="single" w:sz="8" w:space="0" w:color="448A99"/>
            </w:tcBorders>
            <w:vAlign w:val="center"/>
          </w:tcPr>
          <w:p w:rsidR="00BB039B" w:rsidRPr="00B75B77" w:rsidRDefault="00BB039B" w:rsidP="00BB039B">
            <w:pPr>
              <w:jc w:val="center"/>
              <w:cnfStyle w:val="000000010000" w:firstRow="0" w:lastRow="0" w:firstColumn="0" w:lastColumn="0" w:oddVBand="0" w:evenVBand="0" w:oddHBand="0" w:evenHBand="1" w:firstRowFirstColumn="0" w:firstRowLastColumn="0" w:lastRowFirstColumn="0" w:lastRowLastColumn="0"/>
              <w:rPr>
                <w:sz w:val="18"/>
                <w:szCs w:val="18"/>
              </w:rPr>
            </w:pPr>
            <w:r w:rsidRPr="00B75B77">
              <w:rPr>
                <w:sz w:val="18"/>
                <w:szCs w:val="18"/>
              </w:rPr>
              <w:t>122</w:t>
            </w:r>
          </w:p>
        </w:tc>
        <w:tc>
          <w:tcPr>
            <w:tcW w:w="609" w:type="pct"/>
            <w:tcBorders>
              <w:left w:val="single" w:sz="8" w:space="0" w:color="448A99"/>
              <w:right w:val="single" w:sz="8" w:space="0" w:color="448A99"/>
            </w:tcBorders>
            <w:vAlign w:val="center"/>
          </w:tcPr>
          <w:p w:rsidR="00BB039B" w:rsidRPr="00B75B77" w:rsidRDefault="00BB039B" w:rsidP="00BB039B">
            <w:pPr>
              <w:jc w:val="center"/>
              <w:cnfStyle w:val="000000010000" w:firstRow="0" w:lastRow="0" w:firstColumn="0" w:lastColumn="0" w:oddVBand="0" w:evenVBand="0" w:oddHBand="0" w:evenHBand="1" w:firstRowFirstColumn="0" w:firstRowLastColumn="0" w:lastRowFirstColumn="0" w:lastRowLastColumn="0"/>
              <w:rPr>
                <w:sz w:val="18"/>
                <w:szCs w:val="18"/>
              </w:rPr>
            </w:pPr>
            <w:r w:rsidRPr="00B75B77">
              <w:rPr>
                <w:sz w:val="18"/>
                <w:szCs w:val="18"/>
              </w:rPr>
              <w:t>0.50</w:t>
            </w:r>
          </w:p>
        </w:tc>
        <w:tc>
          <w:tcPr>
            <w:tcW w:w="609" w:type="pct"/>
            <w:tcBorders>
              <w:left w:val="single" w:sz="8" w:space="0" w:color="448A99"/>
              <w:right w:val="single" w:sz="8" w:space="0" w:color="448A99"/>
            </w:tcBorders>
            <w:vAlign w:val="center"/>
          </w:tcPr>
          <w:p w:rsidR="00BB039B" w:rsidRPr="00B75B77" w:rsidRDefault="00BB039B" w:rsidP="00BB039B">
            <w:pPr>
              <w:jc w:val="center"/>
              <w:cnfStyle w:val="000000010000" w:firstRow="0" w:lastRow="0" w:firstColumn="0" w:lastColumn="0" w:oddVBand="0" w:evenVBand="0" w:oddHBand="0" w:evenHBand="1" w:firstRowFirstColumn="0" w:firstRowLastColumn="0" w:lastRowFirstColumn="0" w:lastRowLastColumn="0"/>
              <w:rPr>
                <w:sz w:val="18"/>
                <w:szCs w:val="18"/>
              </w:rPr>
            </w:pPr>
            <w:r w:rsidRPr="00B75B77">
              <w:rPr>
                <w:sz w:val="18"/>
                <w:szCs w:val="18"/>
              </w:rPr>
              <w:t>85/15</w:t>
            </w:r>
          </w:p>
        </w:tc>
        <w:tc>
          <w:tcPr>
            <w:tcW w:w="422" w:type="pct"/>
            <w:tcBorders>
              <w:left w:val="single" w:sz="8" w:space="0" w:color="448A99"/>
              <w:right w:val="single" w:sz="8" w:space="0" w:color="448A99"/>
            </w:tcBorders>
            <w:vAlign w:val="center"/>
          </w:tcPr>
          <w:p w:rsidR="00BB039B" w:rsidRPr="00B75B77" w:rsidRDefault="00BB039B" w:rsidP="00BB039B">
            <w:pPr>
              <w:jc w:val="center"/>
              <w:cnfStyle w:val="000000010000" w:firstRow="0" w:lastRow="0" w:firstColumn="0" w:lastColumn="0" w:oddVBand="0" w:evenVBand="0" w:oddHBand="0" w:evenHBand="1" w:firstRowFirstColumn="0" w:firstRowLastColumn="0" w:lastRowFirstColumn="0" w:lastRowLastColumn="0"/>
              <w:rPr>
                <w:sz w:val="18"/>
                <w:szCs w:val="18"/>
              </w:rPr>
            </w:pPr>
            <w:r w:rsidRPr="00B75B77">
              <w:rPr>
                <w:sz w:val="18"/>
                <w:szCs w:val="18"/>
              </w:rPr>
              <w:t>24</w:t>
            </w:r>
          </w:p>
        </w:tc>
        <w:tc>
          <w:tcPr>
            <w:tcW w:w="516" w:type="pct"/>
            <w:tcBorders>
              <w:left w:val="single" w:sz="8" w:space="0" w:color="448A99"/>
              <w:right w:val="single" w:sz="8" w:space="0" w:color="448A99"/>
            </w:tcBorders>
            <w:vAlign w:val="center"/>
          </w:tcPr>
          <w:p w:rsidR="00BB039B" w:rsidRPr="00B75B77" w:rsidRDefault="00BB039B" w:rsidP="00BB039B">
            <w:pPr>
              <w:jc w:val="center"/>
              <w:cnfStyle w:val="000000010000" w:firstRow="0" w:lastRow="0" w:firstColumn="0" w:lastColumn="0" w:oddVBand="0" w:evenVBand="0" w:oddHBand="0" w:evenHBand="1" w:firstRowFirstColumn="0" w:firstRowLastColumn="0" w:lastRowFirstColumn="0" w:lastRowLastColumn="0"/>
              <w:rPr>
                <w:sz w:val="18"/>
                <w:szCs w:val="18"/>
              </w:rPr>
            </w:pPr>
            <w:r w:rsidRPr="00B75B77">
              <w:rPr>
                <w:sz w:val="18"/>
                <w:szCs w:val="18"/>
              </w:rPr>
              <w:t>24</w:t>
            </w:r>
          </w:p>
        </w:tc>
        <w:tc>
          <w:tcPr>
            <w:tcW w:w="796" w:type="pct"/>
            <w:tcBorders>
              <w:left w:val="single" w:sz="8" w:space="0" w:color="448A99"/>
              <w:right w:val="single" w:sz="8" w:space="0" w:color="448A99"/>
            </w:tcBorders>
            <w:vAlign w:val="center"/>
          </w:tcPr>
          <w:p w:rsidR="00BB039B" w:rsidRPr="00B75B77" w:rsidRDefault="00BB039B" w:rsidP="00BB039B">
            <w:pPr>
              <w:jc w:val="center"/>
              <w:cnfStyle w:val="000000010000" w:firstRow="0" w:lastRow="0" w:firstColumn="0" w:lastColumn="0" w:oddVBand="0" w:evenVBand="0" w:oddHBand="0" w:evenHBand="1" w:firstRowFirstColumn="0" w:firstRowLastColumn="0" w:lastRowFirstColumn="0" w:lastRowLastColumn="0"/>
              <w:rPr>
                <w:sz w:val="18"/>
                <w:szCs w:val="18"/>
              </w:rPr>
            </w:pPr>
            <w:r w:rsidRPr="00B75B77">
              <w:rPr>
                <w:sz w:val="18"/>
                <w:szCs w:val="18"/>
              </w:rPr>
              <w:t>100%</w:t>
            </w:r>
          </w:p>
        </w:tc>
        <w:tc>
          <w:tcPr>
            <w:tcW w:w="798" w:type="pct"/>
            <w:tcBorders>
              <w:left w:val="single" w:sz="8" w:space="0" w:color="448A99"/>
            </w:tcBorders>
            <w:vAlign w:val="center"/>
          </w:tcPr>
          <w:p w:rsidR="00BB039B" w:rsidRPr="00B75B77" w:rsidRDefault="00BB039B" w:rsidP="00D52DAD">
            <w:pPr>
              <w:jc w:val="left"/>
              <w:cnfStyle w:val="000000010000" w:firstRow="0" w:lastRow="0" w:firstColumn="0" w:lastColumn="0" w:oddVBand="0" w:evenVBand="0" w:oddHBand="0" w:evenHBand="1" w:firstRowFirstColumn="0" w:firstRowLastColumn="0" w:lastRowFirstColumn="0" w:lastRowLastColumn="0"/>
              <w:rPr>
                <w:sz w:val="18"/>
                <w:szCs w:val="18"/>
              </w:rPr>
            </w:pPr>
            <w:r w:rsidRPr="00B75B77">
              <w:rPr>
                <w:sz w:val="18"/>
                <w:szCs w:val="18"/>
              </w:rPr>
              <w:t xml:space="preserve">Impact, </w:t>
            </w:r>
            <w:r w:rsidR="00D52DAD" w:rsidRPr="00B75B77">
              <w:rPr>
                <w:sz w:val="18"/>
                <w:szCs w:val="18"/>
              </w:rPr>
              <w:t>p</w:t>
            </w:r>
            <w:r w:rsidRPr="00B75B77">
              <w:rPr>
                <w:sz w:val="18"/>
                <w:szCs w:val="18"/>
              </w:rPr>
              <w:t>rocess, NTG</w:t>
            </w:r>
          </w:p>
        </w:tc>
      </w:tr>
      <w:tr w:rsidR="00BB039B" w:rsidRPr="00B75B77" w:rsidTr="00D52DAD">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685" w:type="pct"/>
            <w:tcBorders>
              <w:right w:val="single" w:sz="8" w:space="0" w:color="448A99"/>
            </w:tcBorders>
            <w:vAlign w:val="center"/>
          </w:tcPr>
          <w:p w:rsidR="00BB039B" w:rsidRPr="00B75B77" w:rsidRDefault="00BB039B" w:rsidP="00BB039B">
            <w:pPr>
              <w:jc w:val="left"/>
              <w:rPr>
                <w:b w:val="0"/>
                <w:sz w:val="18"/>
                <w:szCs w:val="18"/>
              </w:rPr>
            </w:pPr>
            <w:r w:rsidRPr="00B75B77">
              <w:rPr>
                <w:b w:val="0"/>
                <w:sz w:val="18"/>
                <w:szCs w:val="18"/>
              </w:rPr>
              <w:t>Program Manager</w:t>
            </w:r>
          </w:p>
        </w:tc>
        <w:tc>
          <w:tcPr>
            <w:tcW w:w="565" w:type="pct"/>
            <w:tcBorders>
              <w:left w:val="single" w:sz="8" w:space="0" w:color="448A99"/>
              <w:right w:val="single" w:sz="8" w:space="0" w:color="448A99"/>
            </w:tcBorders>
            <w:vAlign w:val="center"/>
          </w:tcPr>
          <w:p w:rsidR="00BB039B" w:rsidRPr="00B75B77" w:rsidRDefault="00BB039B" w:rsidP="00BB039B">
            <w:pPr>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1</w:t>
            </w:r>
          </w:p>
        </w:tc>
        <w:tc>
          <w:tcPr>
            <w:tcW w:w="609" w:type="pct"/>
            <w:tcBorders>
              <w:left w:val="single" w:sz="8" w:space="0" w:color="448A99"/>
              <w:right w:val="single" w:sz="8" w:space="0" w:color="448A99"/>
            </w:tcBorders>
            <w:vAlign w:val="center"/>
          </w:tcPr>
          <w:p w:rsidR="00BB039B" w:rsidRPr="00B75B77" w:rsidRDefault="00BB039B" w:rsidP="00BB039B">
            <w:pPr>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N/A</w:t>
            </w:r>
          </w:p>
        </w:tc>
        <w:tc>
          <w:tcPr>
            <w:tcW w:w="609" w:type="pct"/>
            <w:tcBorders>
              <w:left w:val="single" w:sz="8" w:space="0" w:color="448A99"/>
              <w:right w:val="single" w:sz="8" w:space="0" w:color="448A99"/>
            </w:tcBorders>
            <w:vAlign w:val="center"/>
          </w:tcPr>
          <w:p w:rsidR="00BB039B" w:rsidRPr="00B75B77" w:rsidRDefault="00BB039B" w:rsidP="00BB039B">
            <w:pPr>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N/A</w:t>
            </w:r>
          </w:p>
        </w:tc>
        <w:tc>
          <w:tcPr>
            <w:tcW w:w="422" w:type="pct"/>
            <w:tcBorders>
              <w:left w:val="single" w:sz="8" w:space="0" w:color="448A99"/>
              <w:right w:val="single" w:sz="8" w:space="0" w:color="448A99"/>
            </w:tcBorders>
            <w:vAlign w:val="center"/>
          </w:tcPr>
          <w:p w:rsidR="00BB039B" w:rsidRPr="00B75B77" w:rsidRDefault="00BB039B" w:rsidP="00BB039B">
            <w:pPr>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1</w:t>
            </w:r>
          </w:p>
        </w:tc>
        <w:tc>
          <w:tcPr>
            <w:tcW w:w="516" w:type="pct"/>
            <w:tcBorders>
              <w:left w:val="single" w:sz="8" w:space="0" w:color="448A99"/>
              <w:right w:val="single" w:sz="8" w:space="0" w:color="448A99"/>
            </w:tcBorders>
            <w:vAlign w:val="center"/>
          </w:tcPr>
          <w:p w:rsidR="00BB039B" w:rsidRPr="00B75B77" w:rsidRDefault="00BB039B" w:rsidP="00BB039B">
            <w:pPr>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1</w:t>
            </w:r>
          </w:p>
        </w:tc>
        <w:tc>
          <w:tcPr>
            <w:tcW w:w="796" w:type="pct"/>
            <w:tcBorders>
              <w:left w:val="single" w:sz="8" w:space="0" w:color="448A99"/>
              <w:right w:val="single" w:sz="8" w:space="0" w:color="448A99"/>
            </w:tcBorders>
            <w:vAlign w:val="center"/>
          </w:tcPr>
          <w:p w:rsidR="00BB039B" w:rsidRPr="00B75B77" w:rsidRDefault="00BB039B" w:rsidP="00BB039B">
            <w:pPr>
              <w:jc w:val="center"/>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100%</w:t>
            </w:r>
          </w:p>
        </w:tc>
        <w:tc>
          <w:tcPr>
            <w:tcW w:w="798" w:type="pct"/>
            <w:tcBorders>
              <w:left w:val="single" w:sz="8" w:space="0" w:color="448A99"/>
            </w:tcBorders>
            <w:vAlign w:val="center"/>
          </w:tcPr>
          <w:p w:rsidR="00BB039B" w:rsidRPr="00B75B77" w:rsidRDefault="00BB039B" w:rsidP="00D52DAD">
            <w:pPr>
              <w:jc w:val="left"/>
              <w:cnfStyle w:val="000000100000" w:firstRow="0" w:lastRow="0" w:firstColumn="0" w:lastColumn="0" w:oddVBand="0" w:evenVBand="0" w:oddHBand="1" w:evenHBand="0" w:firstRowFirstColumn="0" w:firstRowLastColumn="0" w:lastRowFirstColumn="0" w:lastRowLastColumn="0"/>
              <w:rPr>
                <w:sz w:val="18"/>
                <w:szCs w:val="18"/>
              </w:rPr>
            </w:pPr>
            <w:r w:rsidRPr="00B75B77">
              <w:rPr>
                <w:sz w:val="18"/>
                <w:szCs w:val="18"/>
              </w:rPr>
              <w:t>Process</w:t>
            </w:r>
          </w:p>
        </w:tc>
      </w:tr>
      <w:tr w:rsidR="00BB039B" w:rsidRPr="00B75B77" w:rsidTr="00D52DAD">
        <w:trPr>
          <w:cnfStyle w:val="000000010000" w:firstRow="0" w:lastRow="0" w:firstColumn="0" w:lastColumn="0" w:oddVBand="0" w:evenVBand="0" w:oddHBand="0" w:evenHBand="1"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685" w:type="pct"/>
            <w:tcBorders>
              <w:right w:val="single" w:sz="8" w:space="0" w:color="448A99"/>
            </w:tcBorders>
            <w:vAlign w:val="center"/>
          </w:tcPr>
          <w:p w:rsidR="00BB039B" w:rsidRPr="00B75B77" w:rsidRDefault="00BB039B" w:rsidP="00BB039B">
            <w:pPr>
              <w:jc w:val="left"/>
              <w:rPr>
                <w:b w:val="0"/>
                <w:sz w:val="18"/>
                <w:szCs w:val="18"/>
              </w:rPr>
            </w:pPr>
            <w:r w:rsidRPr="00B75B77">
              <w:rPr>
                <w:b w:val="0"/>
                <w:sz w:val="18"/>
                <w:szCs w:val="18"/>
              </w:rPr>
              <w:t>Program Implementer</w:t>
            </w:r>
          </w:p>
        </w:tc>
        <w:tc>
          <w:tcPr>
            <w:tcW w:w="565" w:type="pct"/>
            <w:tcBorders>
              <w:left w:val="single" w:sz="8" w:space="0" w:color="448A99"/>
              <w:right w:val="single" w:sz="8" w:space="0" w:color="448A99"/>
            </w:tcBorders>
            <w:vAlign w:val="center"/>
          </w:tcPr>
          <w:p w:rsidR="00BB039B" w:rsidRPr="00B75B77" w:rsidRDefault="00BB039B" w:rsidP="00BB039B">
            <w:pPr>
              <w:jc w:val="center"/>
              <w:cnfStyle w:val="000000010000" w:firstRow="0" w:lastRow="0" w:firstColumn="0" w:lastColumn="0" w:oddVBand="0" w:evenVBand="0" w:oddHBand="0" w:evenHBand="1" w:firstRowFirstColumn="0" w:firstRowLastColumn="0" w:lastRowFirstColumn="0" w:lastRowLastColumn="0"/>
              <w:rPr>
                <w:sz w:val="18"/>
                <w:szCs w:val="18"/>
              </w:rPr>
            </w:pPr>
            <w:r w:rsidRPr="00B75B77">
              <w:rPr>
                <w:sz w:val="18"/>
                <w:szCs w:val="18"/>
              </w:rPr>
              <w:t>1</w:t>
            </w:r>
          </w:p>
        </w:tc>
        <w:tc>
          <w:tcPr>
            <w:tcW w:w="609" w:type="pct"/>
            <w:tcBorders>
              <w:left w:val="single" w:sz="8" w:space="0" w:color="448A99"/>
              <w:right w:val="single" w:sz="8" w:space="0" w:color="448A99"/>
            </w:tcBorders>
            <w:vAlign w:val="center"/>
          </w:tcPr>
          <w:p w:rsidR="00BB039B" w:rsidRPr="00B75B77" w:rsidRDefault="00BB039B" w:rsidP="00BB039B">
            <w:pPr>
              <w:jc w:val="center"/>
              <w:cnfStyle w:val="000000010000" w:firstRow="0" w:lastRow="0" w:firstColumn="0" w:lastColumn="0" w:oddVBand="0" w:evenVBand="0" w:oddHBand="0" w:evenHBand="1" w:firstRowFirstColumn="0" w:firstRowLastColumn="0" w:lastRowFirstColumn="0" w:lastRowLastColumn="0"/>
              <w:rPr>
                <w:sz w:val="18"/>
                <w:szCs w:val="18"/>
              </w:rPr>
            </w:pPr>
            <w:r w:rsidRPr="00B75B77">
              <w:rPr>
                <w:sz w:val="18"/>
                <w:szCs w:val="18"/>
              </w:rPr>
              <w:t>N/A</w:t>
            </w:r>
          </w:p>
        </w:tc>
        <w:tc>
          <w:tcPr>
            <w:tcW w:w="609" w:type="pct"/>
            <w:tcBorders>
              <w:left w:val="single" w:sz="8" w:space="0" w:color="448A99"/>
              <w:right w:val="single" w:sz="8" w:space="0" w:color="448A99"/>
            </w:tcBorders>
            <w:vAlign w:val="center"/>
          </w:tcPr>
          <w:p w:rsidR="00BB039B" w:rsidRPr="00B75B77" w:rsidRDefault="00BB039B" w:rsidP="00BB039B">
            <w:pPr>
              <w:jc w:val="center"/>
              <w:cnfStyle w:val="000000010000" w:firstRow="0" w:lastRow="0" w:firstColumn="0" w:lastColumn="0" w:oddVBand="0" w:evenVBand="0" w:oddHBand="0" w:evenHBand="1" w:firstRowFirstColumn="0" w:firstRowLastColumn="0" w:lastRowFirstColumn="0" w:lastRowLastColumn="0"/>
              <w:rPr>
                <w:sz w:val="18"/>
                <w:szCs w:val="18"/>
              </w:rPr>
            </w:pPr>
            <w:r w:rsidRPr="00B75B77">
              <w:rPr>
                <w:sz w:val="18"/>
                <w:szCs w:val="18"/>
              </w:rPr>
              <w:t>N/A</w:t>
            </w:r>
          </w:p>
        </w:tc>
        <w:tc>
          <w:tcPr>
            <w:tcW w:w="422" w:type="pct"/>
            <w:tcBorders>
              <w:left w:val="single" w:sz="8" w:space="0" w:color="448A99"/>
              <w:right w:val="single" w:sz="8" w:space="0" w:color="448A99"/>
            </w:tcBorders>
            <w:vAlign w:val="center"/>
          </w:tcPr>
          <w:p w:rsidR="00BB039B" w:rsidRPr="00B75B77" w:rsidRDefault="00BB039B" w:rsidP="00BB039B">
            <w:pPr>
              <w:jc w:val="center"/>
              <w:cnfStyle w:val="000000010000" w:firstRow="0" w:lastRow="0" w:firstColumn="0" w:lastColumn="0" w:oddVBand="0" w:evenVBand="0" w:oddHBand="0" w:evenHBand="1" w:firstRowFirstColumn="0" w:firstRowLastColumn="0" w:lastRowFirstColumn="0" w:lastRowLastColumn="0"/>
              <w:rPr>
                <w:sz w:val="18"/>
                <w:szCs w:val="18"/>
              </w:rPr>
            </w:pPr>
            <w:r w:rsidRPr="00B75B77">
              <w:rPr>
                <w:sz w:val="18"/>
                <w:szCs w:val="18"/>
              </w:rPr>
              <w:t>1</w:t>
            </w:r>
          </w:p>
        </w:tc>
        <w:tc>
          <w:tcPr>
            <w:tcW w:w="516" w:type="pct"/>
            <w:tcBorders>
              <w:left w:val="single" w:sz="8" w:space="0" w:color="448A99"/>
              <w:right w:val="single" w:sz="8" w:space="0" w:color="448A99"/>
            </w:tcBorders>
            <w:vAlign w:val="center"/>
          </w:tcPr>
          <w:p w:rsidR="00BB039B" w:rsidRPr="00B75B77" w:rsidRDefault="00BB039B" w:rsidP="00BB039B">
            <w:pPr>
              <w:jc w:val="center"/>
              <w:cnfStyle w:val="000000010000" w:firstRow="0" w:lastRow="0" w:firstColumn="0" w:lastColumn="0" w:oddVBand="0" w:evenVBand="0" w:oddHBand="0" w:evenHBand="1" w:firstRowFirstColumn="0" w:firstRowLastColumn="0" w:lastRowFirstColumn="0" w:lastRowLastColumn="0"/>
              <w:rPr>
                <w:sz w:val="18"/>
                <w:szCs w:val="18"/>
              </w:rPr>
            </w:pPr>
            <w:r w:rsidRPr="00B75B77">
              <w:rPr>
                <w:sz w:val="18"/>
                <w:szCs w:val="18"/>
              </w:rPr>
              <w:t>1</w:t>
            </w:r>
          </w:p>
        </w:tc>
        <w:tc>
          <w:tcPr>
            <w:tcW w:w="796" w:type="pct"/>
            <w:tcBorders>
              <w:left w:val="single" w:sz="8" w:space="0" w:color="448A99"/>
              <w:right w:val="single" w:sz="8" w:space="0" w:color="448A99"/>
            </w:tcBorders>
            <w:vAlign w:val="center"/>
          </w:tcPr>
          <w:p w:rsidR="00BB039B" w:rsidRPr="00B75B77" w:rsidRDefault="00BB039B" w:rsidP="00BB039B">
            <w:pPr>
              <w:jc w:val="center"/>
              <w:cnfStyle w:val="000000010000" w:firstRow="0" w:lastRow="0" w:firstColumn="0" w:lastColumn="0" w:oddVBand="0" w:evenVBand="0" w:oddHBand="0" w:evenHBand="1" w:firstRowFirstColumn="0" w:firstRowLastColumn="0" w:lastRowFirstColumn="0" w:lastRowLastColumn="0"/>
              <w:rPr>
                <w:sz w:val="18"/>
                <w:szCs w:val="18"/>
              </w:rPr>
            </w:pPr>
            <w:r w:rsidRPr="00B75B77">
              <w:rPr>
                <w:sz w:val="18"/>
                <w:szCs w:val="18"/>
              </w:rPr>
              <w:t>100%</w:t>
            </w:r>
          </w:p>
        </w:tc>
        <w:tc>
          <w:tcPr>
            <w:tcW w:w="798" w:type="pct"/>
            <w:tcBorders>
              <w:left w:val="single" w:sz="8" w:space="0" w:color="448A99"/>
            </w:tcBorders>
            <w:vAlign w:val="center"/>
          </w:tcPr>
          <w:p w:rsidR="00BB039B" w:rsidRPr="00B75B77" w:rsidRDefault="00BB039B" w:rsidP="00D52DAD">
            <w:pPr>
              <w:jc w:val="left"/>
              <w:cnfStyle w:val="000000010000" w:firstRow="0" w:lastRow="0" w:firstColumn="0" w:lastColumn="0" w:oddVBand="0" w:evenVBand="0" w:oddHBand="0" w:evenHBand="1" w:firstRowFirstColumn="0" w:firstRowLastColumn="0" w:lastRowFirstColumn="0" w:lastRowLastColumn="0"/>
              <w:rPr>
                <w:sz w:val="18"/>
                <w:szCs w:val="18"/>
              </w:rPr>
            </w:pPr>
            <w:r w:rsidRPr="00B75B77">
              <w:rPr>
                <w:sz w:val="18"/>
                <w:szCs w:val="18"/>
              </w:rPr>
              <w:t>Process</w:t>
            </w:r>
          </w:p>
        </w:tc>
      </w:tr>
    </w:tbl>
    <w:p w:rsidR="00BB039B" w:rsidRPr="00B75B77" w:rsidRDefault="00BB039B" w:rsidP="00BB039B">
      <w:pPr>
        <w:pStyle w:val="Source"/>
        <w:spacing w:before="20" w:after="20"/>
        <w:ind w:left="0" w:firstLine="0"/>
      </w:pPr>
      <w:r w:rsidRPr="00B75B77">
        <w:rPr>
          <w:rFonts w:ascii="Calibri" w:hAnsi="Calibri"/>
          <w:i w:val="0"/>
          <w:iCs/>
          <w:color w:val="000000"/>
          <w:szCs w:val="18"/>
        </w:rPr>
        <w:t>Note: Values in tables may not reconcile exactly with the sum of more detailed level results or previously reported results due to rounding.</w:t>
      </w:r>
    </w:p>
    <w:p w:rsidR="00BB039B" w:rsidRPr="00B75B77" w:rsidRDefault="00BB039B" w:rsidP="00BB039B">
      <w:pPr>
        <w:pStyle w:val="Source"/>
        <w:ind w:left="0" w:firstLine="0"/>
      </w:pPr>
      <w:r w:rsidRPr="00B75B77">
        <w:t>Source: Navigant analysis</w:t>
      </w:r>
    </w:p>
    <w:p w:rsidR="00BB039B" w:rsidRPr="00B75B77" w:rsidRDefault="00BB039B" w:rsidP="00BB039B">
      <w:pPr>
        <w:pStyle w:val="Heading3"/>
      </w:pPr>
      <w:bookmarkStart w:id="888" w:name="_Toc466413447"/>
      <w:r w:rsidRPr="00B75B77">
        <w:t>Process Findings and Recommendations</w:t>
      </w:r>
      <w:bookmarkEnd w:id="888"/>
      <w:r w:rsidRPr="00B75B77">
        <w:t xml:space="preserve"> </w:t>
      </w:r>
    </w:p>
    <w:p w:rsidR="00BB039B" w:rsidRPr="00B75B77" w:rsidRDefault="00BB039B" w:rsidP="00BB039B">
      <w:r w:rsidRPr="00B75B77">
        <w:rPr>
          <w:color w:val="000000"/>
        </w:rPr>
        <w:t xml:space="preserve">Based on the process research described in the previous section and based on the impact evaluation results, the evaluation team developed several recommendations. </w:t>
      </w:r>
    </w:p>
    <w:p w:rsidR="00BB039B" w:rsidRPr="00B75B77" w:rsidRDefault="00BB039B" w:rsidP="009E08FB">
      <w:pPr>
        <w:pStyle w:val="ListParagraph"/>
        <w:numPr>
          <w:ilvl w:val="0"/>
          <w:numId w:val="80"/>
        </w:numPr>
        <w:spacing w:before="120" w:after="120"/>
        <w:contextualSpacing w:val="0"/>
      </w:pPr>
      <w:r w:rsidRPr="00B75B77">
        <w:rPr>
          <w:b/>
        </w:rPr>
        <w:t>Finding:</w:t>
      </w:r>
      <w:r w:rsidRPr="00B75B77">
        <w:t xml:space="preserve"> Free</w:t>
      </w:r>
      <w:r w:rsidR="00D52DAD" w:rsidRPr="00B75B77">
        <w:t xml:space="preserve"> </w:t>
      </w:r>
      <w:r w:rsidRPr="00B75B77">
        <w:t xml:space="preserve">ridership levels in PY7 increased significantly over PY6 (from 0.17 to 0.38 in the nonresidential sector and from 0.25 to 0.43 in the residential sector). In fact, 36% of landlords and 69% of tenants stated they would have installed all of the same equipment if the program had not been available. Since the majority of energy savings are from DI CFLs (72% of gross reported energy savings in PY7), participants are generally stating that they would have installed CFLs, even without the program. These findings are consistent with market trends, where CFLs are taking up a high proportion of market share and are becoming the default lighting option in many homes and businesses. </w:t>
      </w:r>
    </w:p>
    <w:p w:rsidR="00BB039B" w:rsidRPr="00B75B77" w:rsidRDefault="00BB039B" w:rsidP="009E08FB">
      <w:pPr>
        <w:pStyle w:val="ListParagraph"/>
        <w:numPr>
          <w:ilvl w:val="1"/>
          <w:numId w:val="80"/>
        </w:numPr>
        <w:spacing w:before="120" w:after="120"/>
        <w:contextualSpacing w:val="0"/>
      </w:pPr>
      <w:r w:rsidRPr="00B75B77">
        <w:rPr>
          <w:b/>
        </w:rPr>
        <w:t>Recommendation:</w:t>
      </w:r>
      <w:r w:rsidRPr="00B75B77">
        <w:t xml:space="preserve"> Monitor expansion of DI offerings in Phase III, focusing on LED penetration in each project to reduce free ridership. In Phase III, SMF Solutions will begin to offer DI LEDs in addition to DI CFLs. By installing this newer lighting technology within each project, free ridership may be </w:t>
      </w:r>
      <w:r w:rsidR="00166910" w:rsidRPr="00B75B77">
        <w:t>dampened</w:t>
      </w:r>
      <w:r w:rsidRPr="00B75B77">
        <w:t xml:space="preserve"> as it could be less likely that customers would have installed LEDs without the program. </w:t>
      </w:r>
    </w:p>
    <w:p w:rsidR="00BB039B" w:rsidRPr="00B75B77" w:rsidRDefault="00BB039B" w:rsidP="009E08FB">
      <w:pPr>
        <w:pStyle w:val="ListParagraph"/>
        <w:numPr>
          <w:ilvl w:val="0"/>
          <w:numId w:val="80"/>
        </w:numPr>
        <w:spacing w:before="120" w:after="120"/>
        <w:contextualSpacing w:val="0"/>
      </w:pPr>
      <w:r w:rsidRPr="00B75B77">
        <w:rPr>
          <w:b/>
        </w:rPr>
        <w:t xml:space="preserve">Finding: </w:t>
      </w:r>
      <w:r w:rsidR="00166910" w:rsidRPr="00B75B77">
        <w:t>The SMF Solutions program’s marketing efforts targeted landlords directly</w:t>
      </w:r>
      <w:r w:rsidR="001F3326" w:rsidRPr="00B75B77">
        <w:t xml:space="preserve">, and they in turn </w:t>
      </w:r>
      <w:r w:rsidRPr="00B75B77">
        <w:t>described having heard of the SMF Solutions program via a limited number of channels. Since tenants did not sign up for the program</w:t>
      </w:r>
      <w:r w:rsidR="00166910" w:rsidRPr="00B75B77">
        <w:t xml:space="preserve"> directly</w:t>
      </w:r>
      <w:r w:rsidRPr="00B75B77">
        <w:t xml:space="preserve"> and were only provided an opt-out option, marketing efforts were not aimed toward this group. As shown in </w:t>
      </w:r>
      <w:r w:rsidRPr="00B75B77">
        <w:fldChar w:fldCharType="begin"/>
      </w:r>
      <w:r w:rsidRPr="00B75B77">
        <w:instrText xml:space="preserve"> REF _Ref463312004 \h  \* MERGEFORMAT </w:instrText>
      </w:r>
      <w:r w:rsidRPr="00B75B77">
        <w:fldChar w:fldCharType="separate"/>
      </w:r>
      <w:r w:rsidR="0004016D" w:rsidRPr="00B75B77">
        <w:t xml:space="preserve">Figure </w:t>
      </w:r>
      <w:r w:rsidR="0004016D">
        <w:t>14</w:t>
      </w:r>
      <w:r w:rsidR="0004016D" w:rsidRPr="00B75B77">
        <w:noBreakHyphen/>
      </w:r>
      <w:r w:rsidR="0004016D">
        <w:t>1</w:t>
      </w:r>
      <w:r w:rsidRPr="00B75B77">
        <w:fldChar w:fldCharType="end"/>
      </w:r>
      <w:r w:rsidRPr="00B75B77">
        <w:t xml:space="preserve">, the majority of participants (71%) were contacted directly by a PECO representative (i.e., the </w:t>
      </w:r>
      <w:r w:rsidR="005F2D61" w:rsidRPr="00B75B77">
        <w:t>CSP</w:t>
      </w:r>
      <w:r w:rsidRPr="00B75B77">
        <w:t xml:space="preserve">). Secondly, 19% of landlords reported that they learned about the program by word of mouth. Lastly, just 5% of landlords learned about the program at a tradeshow, workshop, or conference and 5% from the PECO website. These findings are consistent with the marketing efforts discussed with the program manager and implementer, who indicated a large direct mail and cold call effort to reach out to potential landlord participants. </w:t>
      </w:r>
    </w:p>
    <w:p w:rsidR="00BB039B" w:rsidRPr="00B75B77" w:rsidRDefault="00166910" w:rsidP="005679D7">
      <w:pPr>
        <w:pStyle w:val="Caption"/>
      </w:pPr>
      <w:bookmarkStart w:id="889" w:name="_Ref463312004"/>
      <w:bookmarkStart w:id="890" w:name="_Toc466413691"/>
      <w:r w:rsidRPr="00B75B77">
        <w:rPr>
          <w:noProof/>
        </w:rPr>
        <w:lastRenderedPageBreak/>
        <w:drawing>
          <wp:anchor distT="0" distB="0" distL="114300" distR="114300" simplePos="0" relativeHeight="251652096" behindDoc="0" locked="0" layoutInCell="1" allowOverlap="1" wp14:anchorId="22BCE428" wp14:editId="43899871">
            <wp:simplePos x="0" y="0"/>
            <wp:positionH relativeFrom="column">
              <wp:posOffset>685800</wp:posOffset>
            </wp:positionH>
            <wp:positionV relativeFrom="paragraph">
              <wp:posOffset>161925</wp:posOffset>
            </wp:positionV>
            <wp:extent cx="4752975" cy="2743200"/>
            <wp:effectExtent l="0" t="0" r="0" b="0"/>
            <wp:wrapSquare wrapText="bothSides"/>
            <wp:docPr id="305" name="Chart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H relativeFrom="margin">
              <wp14:pctWidth>0</wp14:pctWidth>
            </wp14:sizeRelH>
          </wp:anchor>
        </w:drawing>
      </w:r>
      <w:r w:rsidR="00BB039B" w:rsidRPr="00B75B77">
        <w:t xml:space="preserve">Figure </w:t>
      </w:r>
      <w:fldSimple w:instr=" STYLEREF 1 \s ">
        <w:r w:rsidR="0004016D">
          <w:rPr>
            <w:noProof/>
          </w:rPr>
          <w:t>14</w:t>
        </w:r>
      </w:fldSimple>
      <w:r w:rsidR="00BA3BA9" w:rsidRPr="00B75B77">
        <w:noBreakHyphen/>
      </w:r>
      <w:fldSimple w:instr=" SEQ Figure \* ARABIC \s 1 ">
        <w:r w:rsidR="0004016D">
          <w:rPr>
            <w:noProof/>
          </w:rPr>
          <w:t>1</w:t>
        </w:r>
      </w:fldSimple>
      <w:bookmarkEnd w:id="889"/>
      <w:r w:rsidRPr="00B75B77">
        <w:t>:</w:t>
      </w:r>
      <w:r w:rsidR="00BB039B" w:rsidRPr="00B75B77">
        <w:t xml:space="preserve"> How Landlords First Learned of Smart Multi</w:t>
      </w:r>
      <w:r w:rsidRPr="00B75B77">
        <w:t>-F</w:t>
      </w:r>
      <w:r w:rsidR="00BB039B" w:rsidRPr="00B75B77">
        <w:t>amily Solutions Program</w:t>
      </w:r>
      <w:r w:rsidR="00DE384F" w:rsidRPr="00B75B77">
        <w:t xml:space="preserve"> (n=24)</w:t>
      </w:r>
      <w:bookmarkEnd w:id="890"/>
    </w:p>
    <w:p w:rsidR="00BB039B" w:rsidRPr="00B75B77" w:rsidRDefault="00BB039B" w:rsidP="00166910">
      <w:pPr>
        <w:keepNext/>
        <w:jc w:val="center"/>
      </w:pPr>
    </w:p>
    <w:p w:rsidR="00BB039B" w:rsidRPr="00B75B77" w:rsidRDefault="00BB039B" w:rsidP="00166910">
      <w:pPr>
        <w:pStyle w:val="Source"/>
        <w:ind w:left="722" w:firstLine="538"/>
      </w:pPr>
      <w:r w:rsidRPr="00B75B77">
        <w:t>S</w:t>
      </w:r>
      <w:r w:rsidR="00166910" w:rsidRPr="00B75B77">
        <w:t xml:space="preserve">ource: Navigant analysis </w:t>
      </w:r>
      <w:r w:rsidR="00DE384F" w:rsidRPr="00B75B77">
        <w:t xml:space="preserve">of participant landlord surveys </w:t>
      </w:r>
    </w:p>
    <w:p w:rsidR="00BB039B" w:rsidRPr="00B75B77" w:rsidRDefault="00BB039B" w:rsidP="009E08FB">
      <w:pPr>
        <w:pStyle w:val="ListParagraph"/>
        <w:numPr>
          <w:ilvl w:val="0"/>
          <w:numId w:val="80"/>
        </w:numPr>
      </w:pPr>
      <w:r w:rsidRPr="00B75B77">
        <w:rPr>
          <w:b/>
        </w:rPr>
        <w:t xml:space="preserve">Finding: </w:t>
      </w:r>
      <w:r w:rsidRPr="00B75B77">
        <w:t>Participants generally noted a high degree of satisfaction with the program. Survey respondents were asked to rate their satisfaction with the SMF Solutions program overall on a scale of 1 to 5, where 1 is “</w:t>
      </w:r>
      <w:r w:rsidR="00166910" w:rsidRPr="00B75B77">
        <w:t>N</w:t>
      </w:r>
      <w:r w:rsidRPr="00B75B77">
        <w:t>ot satisfied” and 5 is “</w:t>
      </w:r>
      <w:r w:rsidR="00166910" w:rsidRPr="00B75B77">
        <w:t>E</w:t>
      </w:r>
      <w:r w:rsidRPr="00B75B77">
        <w:t>xtremely satisfied”</w:t>
      </w:r>
      <w:r w:rsidR="00165AF2" w:rsidRPr="00B75B77">
        <w:t>.</w:t>
      </w:r>
      <w:r w:rsidRPr="00B75B77">
        <w:t xml:space="preserve"> Both residential and nonresidential participants reported satisfaction with the program. Nonresidential landlords reported a 4.7 average satisfaction score, whereas the residential tenants reported a 4.5 average satisfaction score. </w:t>
      </w:r>
      <w:r w:rsidRPr="00B75B77">
        <w:fldChar w:fldCharType="begin"/>
      </w:r>
      <w:r w:rsidRPr="00B75B77">
        <w:instrText xml:space="preserve"> REF _Ref463419654 \h  \* MERGEFORMAT </w:instrText>
      </w:r>
      <w:r w:rsidRPr="00B75B77">
        <w:fldChar w:fldCharType="separate"/>
      </w:r>
      <w:r w:rsidR="0004016D" w:rsidRPr="00B75B77">
        <w:t xml:space="preserve">Figure </w:t>
      </w:r>
      <w:r w:rsidR="0004016D">
        <w:t>14</w:t>
      </w:r>
      <w:r w:rsidR="0004016D" w:rsidRPr="00B75B77">
        <w:noBreakHyphen/>
      </w:r>
      <w:r w:rsidR="0004016D">
        <w:t>2</w:t>
      </w:r>
      <w:r w:rsidRPr="00B75B77">
        <w:fldChar w:fldCharType="end"/>
      </w:r>
      <w:r w:rsidRPr="00B75B77">
        <w:t xml:space="preserve"> presents participant program satisfaction scores from both PY6 and PY7. In both sectors, satisfaction increased in PY7 over the previous </w:t>
      </w:r>
      <w:r w:rsidR="00166910" w:rsidRPr="00B75B77">
        <w:t xml:space="preserve">program </w:t>
      </w:r>
      <w:r w:rsidRPr="00B75B77">
        <w:t xml:space="preserve">year. </w:t>
      </w:r>
    </w:p>
    <w:p w:rsidR="00BB039B" w:rsidRPr="00B75B77" w:rsidRDefault="00BB039B" w:rsidP="00BB039B"/>
    <w:p w:rsidR="00BB039B" w:rsidRPr="00B75B77" w:rsidRDefault="00BB039B" w:rsidP="005679D7">
      <w:pPr>
        <w:pStyle w:val="Caption"/>
      </w:pPr>
      <w:bookmarkStart w:id="891" w:name="_Ref463419654"/>
      <w:bookmarkStart w:id="892" w:name="_Toc466413692"/>
      <w:r w:rsidRPr="00B75B77">
        <w:t xml:space="preserve">Figure </w:t>
      </w:r>
      <w:fldSimple w:instr=" STYLEREF 1 \s ">
        <w:r w:rsidR="0004016D">
          <w:rPr>
            <w:noProof/>
          </w:rPr>
          <w:t>14</w:t>
        </w:r>
      </w:fldSimple>
      <w:r w:rsidR="00BA3BA9" w:rsidRPr="00B75B77">
        <w:noBreakHyphen/>
      </w:r>
      <w:fldSimple w:instr=" SEQ Figure \* ARABIC \s 1 ">
        <w:r w:rsidR="0004016D">
          <w:rPr>
            <w:noProof/>
          </w:rPr>
          <w:t>2</w:t>
        </w:r>
      </w:fldSimple>
      <w:bookmarkEnd w:id="891"/>
      <w:r w:rsidR="00166910" w:rsidRPr="00B75B77">
        <w:t>:</w:t>
      </w:r>
      <w:r w:rsidR="00DE384F" w:rsidRPr="00B75B77">
        <w:t xml:space="preserve"> Smart Multi-Family Solutions Average</w:t>
      </w:r>
      <w:r w:rsidRPr="00B75B77">
        <w:t xml:space="preserve"> Participant Satisfaction </w:t>
      </w:r>
      <w:r w:rsidR="00963D28" w:rsidRPr="00B75B77">
        <w:t>o</w:t>
      </w:r>
      <w:r w:rsidRPr="00B75B77">
        <w:t>ver Time</w:t>
      </w:r>
      <w:bookmarkEnd w:id="892"/>
    </w:p>
    <w:p w:rsidR="00BB039B" w:rsidRPr="00B75B77" w:rsidRDefault="00BB039B" w:rsidP="00BB039B">
      <w:pPr>
        <w:jc w:val="center"/>
      </w:pPr>
      <w:r w:rsidRPr="00B75B77">
        <w:rPr>
          <w:noProof/>
        </w:rPr>
        <w:drawing>
          <wp:inline distT="0" distB="0" distL="0" distR="0" wp14:anchorId="10A9EC96" wp14:editId="61E5FF8C">
            <wp:extent cx="4572000" cy="2743200"/>
            <wp:effectExtent l="0" t="0" r="0" b="0"/>
            <wp:docPr id="306" name="Chart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BB039B" w:rsidRPr="00B75B77" w:rsidRDefault="00BB039B" w:rsidP="00963D28">
      <w:pPr>
        <w:pStyle w:val="Source"/>
        <w:keepNext/>
        <w:ind w:left="1440" w:firstLine="0"/>
      </w:pPr>
      <w:r w:rsidRPr="00B75B77">
        <w:t xml:space="preserve">Source: Navigant analysis </w:t>
      </w:r>
      <w:r w:rsidR="00DE384F" w:rsidRPr="00B75B77">
        <w:t xml:space="preserve">of participant survey </w:t>
      </w:r>
      <w:r w:rsidRPr="00B75B77">
        <w:t>(PY6 Nonresidential n=40, PY7 Nonresidential n=22, PY6 Residential n=44, PY7 Residential n=40)</w:t>
      </w:r>
    </w:p>
    <w:p w:rsidR="00BB039B" w:rsidRPr="00B75B77" w:rsidRDefault="00BB039B" w:rsidP="00BB039B">
      <w:pPr>
        <w:jc w:val="center"/>
      </w:pPr>
    </w:p>
    <w:p w:rsidR="00BB039B" w:rsidRPr="00B75B77" w:rsidRDefault="00BB039B" w:rsidP="00BB039B"/>
    <w:p w:rsidR="00BB039B" w:rsidRPr="00B75B77" w:rsidRDefault="00BB039B" w:rsidP="00BB039B"/>
    <w:p w:rsidR="00BB039B" w:rsidRPr="00B75B77" w:rsidRDefault="00BB039B" w:rsidP="009E08FB">
      <w:pPr>
        <w:pStyle w:val="ListParagraph"/>
        <w:numPr>
          <w:ilvl w:val="0"/>
          <w:numId w:val="80"/>
        </w:numPr>
      </w:pPr>
      <w:r w:rsidRPr="00B75B77">
        <w:rPr>
          <w:b/>
        </w:rPr>
        <w:t>Finding:</w:t>
      </w:r>
      <w:r w:rsidRPr="00B75B77">
        <w:t xml:space="preserve"> Participants reported generally high satisfaction with program equipment. Nonresidential landlords reported a 4.7 average satisfaction score, and residential tenants reported a 4.3 average satisfaction score. </w:t>
      </w:r>
      <w:r w:rsidRPr="00B75B77">
        <w:fldChar w:fldCharType="begin"/>
      </w:r>
      <w:r w:rsidRPr="00B75B77">
        <w:instrText xml:space="preserve"> REF _Ref463419756 \h  \* MERGEFORMAT </w:instrText>
      </w:r>
      <w:r w:rsidRPr="00B75B77">
        <w:fldChar w:fldCharType="separate"/>
      </w:r>
      <w:r w:rsidR="0004016D" w:rsidRPr="00B75B77">
        <w:t xml:space="preserve">Figure </w:t>
      </w:r>
      <w:r w:rsidR="0004016D">
        <w:t>14</w:t>
      </w:r>
      <w:r w:rsidR="0004016D" w:rsidRPr="00B75B77">
        <w:noBreakHyphen/>
      </w:r>
      <w:r w:rsidR="0004016D">
        <w:t>3</w:t>
      </w:r>
      <w:r w:rsidRPr="00B75B77">
        <w:fldChar w:fldCharType="end"/>
      </w:r>
      <w:r w:rsidRPr="00B75B77">
        <w:t xml:space="preserve"> presents the equipment satisfaction scores from both PY6 and PY7. As with overall program satisfaction, equipment satisfaction increased in PY7 in comparison to the prior </w:t>
      </w:r>
      <w:r w:rsidR="002117B3" w:rsidRPr="00B75B77">
        <w:t xml:space="preserve">program </w:t>
      </w:r>
      <w:r w:rsidRPr="00B75B77">
        <w:t>year.</w:t>
      </w:r>
    </w:p>
    <w:p w:rsidR="00BB039B" w:rsidRPr="00B75B77" w:rsidRDefault="00BB039B" w:rsidP="00BB039B"/>
    <w:p w:rsidR="00BB039B" w:rsidRPr="00B75B77" w:rsidRDefault="00BB039B" w:rsidP="005679D7">
      <w:pPr>
        <w:pStyle w:val="Caption"/>
      </w:pPr>
      <w:bookmarkStart w:id="893" w:name="_Ref463419756"/>
      <w:bookmarkStart w:id="894" w:name="_Toc466413693"/>
      <w:r w:rsidRPr="00B75B77">
        <w:t xml:space="preserve">Figure </w:t>
      </w:r>
      <w:fldSimple w:instr=" STYLEREF 1 \s ">
        <w:r w:rsidR="0004016D">
          <w:rPr>
            <w:noProof/>
          </w:rPr>
          <w:t>14</w:t>
        </w:r>
      </w:fldSimple>
      <w:r w:rsidR="00BA3BA9" w:rsidRPr="00B75B77">
        <w:noBreakHyphen/>
      </w:r>
      <w:fldSimple w:instr=" SEQ Figure \* ARABIC \s 1 ">
        <w:r w:rsidR="0004016D">
          <w:rPr>
            <w:noProof/>
          </w:rPr>
          <w:t>3</w:t>
        </w:r>
      </w:fldSimple>
      <w:bookmarkEnd w:id="893"/>
      <w:r w:rsidR="00963D28" w:rsidRPr="00B75B77">
        <w:t>:</w:t>
      </w:r>
      <w:r w:rsidRPr="00B75B77">
        <w:t xml:space="preserve"> </w:t>
      </w:r>
      <w:r w:rsidR="00DE384F" w:rsidRPr="00B75B77">
        <w:t xml:space="preserve">Smart Multi-Family Solutions </w:t>
      </w:r>
      <w:r w:rsidRPr="00B75B77">
        <w:t xml:space="preserve">Participant Satisfaction with DI Equipment </w:t>
      </w:r>
      <w:r w:rsidR="00963D28" w:rsidRPr="00B75B77">
        <w:t>o</w:t>
      </w:r>
      <w:r w:rsidRPr="00B75B77">
        <w:t>ver Time</w:t>
      </w:r>
      <w:bookmarkEnd w:id="894"/>
    </w:p>
    <w:p w:rsidR="00BB039B" w:rsidRPr="00B75B77" w:rsidRDefault="00BB039B" w:rsidP="00BB039B">
      <w:pPr>
        <w:jc w:val="center"/>
      </w:pPr>
      <w:r w:rsidRPr="00B75B77">
        <w:rPr>
          <w:noProof/>
        </w:rPr>
        <w:drawing>
          <wp:inline distT="0" distB="0" distL="0" distR="0" wp14:anchorId="4F897B85" wp14:editId="6854791A">
            <wp:extent cx="4572000" cy="2486025"/>
            <wp:effectExtent l="0" t="0" r="0" b="0"/>
            <wp:docPr id="308" name="Chart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BB039B" w:rsidRPr="00B75B77" w:rsidRDefault="00BB039B" w:rsidP="00963D28">
      <w:pPr>
        <w:pStyle w:val="Source"/>
        <w:keepNext/>
        <w:ind w:left="1440" w:firstLine="0"/>
      </w:pPr>
      <w:r w:rsidRPr="00B75B77">
        <w:t xml:space="preserve">Source: Navigant analysis </w:t>
      </w:r>
      <w:r w:rsidR="00DE384F" w:rsidRPr="00B75B77">
        <w:t xml:space="preserve">of participant surveys </w:t>
      </w:r>
      <w:r w:rsidRPr="00B75B77">
        <w:t>(PY6 Nonresidential n=40, PY7 Nonresidential n=24, PY6 Residential n=44, PY7 Residential n=48)</w:t>
      </w:r>
    </w:p>
    <w:p w:rsidR="00BB039B" w:rsidRPr="00B75B77" w:rsidRDefault="00BB039B" w:rsidP="009E08FB">
      <w:pPr>
        <w:pStyle w:val="ListParagraph"/>
        <w:numPr>
          <w:ilvl w:val="0"/>
          <w:numId w:val="80"/>
        </w:numPr>
      </w:pPr>
      <w:r w:rsidRPr="00B75B77">
        <w:rPr>
          <w:b/>
        </w:rPr>
        <w:t>Finding:</w:t>
      </w:r>
      <w:r w:rsidRPr="00B75B77">
        <w:t xml:space="preserve"> Nonresidential landlords described a number of reasons for making the decision to participate in the SMF Solutions program. As shown in </w:t>
      </w:r>
      <w:r w:rsidRPr="00B75B77">
        <w:fldChar w:fldCharType="begin"/>
      </w:r>
      <w:r w:rsidRPr="00B75B77">
        <w:instrText xml:space="preserve"> REF _Ref463419885 \h  \* MERGEFORMAT </w:instrText>
      </w:r>
      <w:r w:rsidRPr="00B75B77">
        <w:fldChar w:fldCharType="separate"/>
      </w:r>
      <w:r w:rsidR="0004016D" w:rsidRPr="00B75B77">
        <w:t xml:space="preserve">Figure </w:t>
      </w:r>
      <w:r w:rsidR="0004016D">
        <w:t>14</w:t>
      </w:r>
      <w:r w:rsidR="0004016D" w:rsidRPr="00B75B77">
        <w:noBreakHyphen/>
      </w:r>
      <w:r w:rsidR="0004016D">
        <w:t>4</w:t>
      </w:r>
      <w:r w:rsidRPr="00B75B77">
        <w:fldChar w:fldCharType="end"/>
      </w:r>
      <w:r w:rsidRPr="00B75B77">
        <w:t xml:space="preserve">, the most commonly cited reasons for program participation were to save energy (42%) and to save money (29%). Secondarily, landlords cited the fact that the DI measures were free as a motivating factor (11%). </w:t>
      </w:r>
    </w:p>
    <w:p w:rsidR="00BB039B" w:rsidRPr="00B75B77" w:rsidRDefault="00BB039B" w:rsidP="00BB039B"/>
    <w:p w:rsidR="00BB039B" w:rsidRPr="00B75B77" w:rsidRDefault="00BB039B" w:rsidP="005679D7">
      <w:pPr>
        <w:pStyle w:val="Caption"/>
      </w:pPr>
      <w:bookmarkStart w:id="895" w:name="_Ref463419885"/>
      <w:bookmarkStart w:id="896" w:name="_Toc466413694"/>
      <w:r w:rsidRPr="00B75B77">
        <w:t xml:space="preserve">Figure </w:t>
      </w:r>
      <w:fldSimple w:instr=" STYLEREF 1 \s ">
        <w:r w:rsidR="0004016D">
          <w:rPr>
            <w:noProof/>
          </w:rPr>
          <w:t>14</w:t>
        </w:r>
      </w:fldSimple>
      <w:r w:rsidR="00BA3BA9" w:rsidRPr="00B75B77">
        <w:noBreakHyphen/>
      </w:r>
      <w:fldSimple w:instr=" SEQ Figure \* ARABIC \s 1 ">
        <w:r w:rsidR="0004016D">
          <w:rPr>
            <w:noProof/>
          </w:rPr>
          <w:t>4</w:t>
        </w:r>
      </w:fldSimple>
      <w:bookmarkEnd w:id="895"/>
      <w:r w:rsidR="00963D28" w:rsidRPr="00B75B77">
        <w:t>:</w:t>
      </w:r>
      <w:r w:rsidRPr="00B75B77">
        <w:t xml:space="preserve"> </w:t>
      </w:r>
      <w:r w:rsidR="00DE384F" w:rsidRPr="00B75B77">
        <w:t>Smart Multi-Family Solutions</w:t>
      </w:r>
      <w:r w:rsidR="002117B3" w:rsidRPr="00B75B77">
        <w:t xml:space="preserve"> </w:t>
      </w:r>
      <w:r w:rsidRPr="00B75B77">
        <w:t>Nonresidential Landlord Reasons for Program Participation</w:t>
      </w:r>
      <w:r w:rsidR="00DE384F" w:rsidRPr="00B75B77">
        <w:t xml:space="preserve"> (n=24)</w:t>
      </w:r>
      <w:bookmarkEnd w:id="896"/>
    </w:p>
    <w:p w:rsidR="00BB039B" w:rsidRPr="00B75B77" w:rsidRDefault="00BB039B" w:rsidP="00BB039B">
      <w:pPr>
        <w:jc w:val="center"/>
      </w:pPr>
      <w:r w:rsidRPr="00B75B77">
        <w:rPr>
          <w:noProof/>
        </w:rPr>
        <w:drawing>
          <wp:inline distT="0" distB="0" distL="0" distR="0" wp14:anchorId="0BB6C7D8" wp14:editId="7E1D646F">
            <wp:extent cx="4572000" cy="2505075"/>
            <wp:effectExtent l="0" t="0" r="0" b="0"/>
            <wp:docPr id="309" name="Chart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BB039B" w:rsidRPr="00B75B77" w:rsidRDefault="00BB039B" w:rsidP="00963D28">
      <w:pPr>
        <w:pStyle w:val="Source"/>
        <w:keepNext/>
        <w:ind w:left="1440" w:firstLine="0"/>
      </w:pPr>
      <w:r w:rsidRPr="00B75B77">
        <w:lastRenderedPageBreak/>
        <w:t xml:space="preserve">Source: Navigant analysis </w:t>
      </w:r>
      <w:r w:rsidR="00DE384F" w:rsidRPr="00B75B77">
        <w:t xml:space="preserve">of participant landlord surveys </w:t>
      </w:r>
    </w:p>
    <w:p w:rsidR="00BB039B" w:rsidRPr="00B75B77" w:rsidRDefault="00BB039B" w:rsidP="00BB039B"/>
    <w:p w:rsidR="00BB039B" w:rsidRPr="00B75B77" w:rsidRDefault="00BB039B" w:rsidP="009E08FB">
      <w:pPr>
        <w:pStyle w:val="ListParagraph"/>
        <w:numPr>
          <w:ilvl w:val="1"/>
          <w:numId w:val="80"/>
        </w:numPr>
        <w:spacing w:before="120" w:after="120"/>
        <w:contextualSpacing w:val="0"/>
      </w:pPr>
      <w:r w:rsidRPr="00B75B77">
        <w:rPr>
          <w:b/>
        </w:rPr>
        <w:t>Recommendation:</w:t>
      </w:r>
      <w:r w:rsidRPr="00B75B77">
        <w:t xml:space="preserve"> Advertise the long</w:t>
      </w:r>
      <w:r w:rsidR="002117B3" w:rsidRPr="00B75B77">
        <w:t>-</w:t>
      </w:r>
      <w:r w:rsidRPr="00B75B77">
        <w:t xml:space="preserve">term energy cost savings associated with the new Phase III prescriptive offerings. Since the program </w:t>
      </w:r>
      <w:r w:rsidR="002117B3" w:rsidRPr="00B75B77">
        <w:t>saw</w:t>
      </w:r>
      <w:r w:rsidRPr="00B75B77">
        <w:t xml:space="preserve"> zero prescriptive participation in Phase II, </w:t>
      </w:r>
      <w:r w:rsidR="002117B3" w:rsidRPr="00B75B77">
        <w:t xml:space="preserve">Navigant </w:t>
      </w:r>
      <w:r w:rsidRPr="00B75B77">
        <w:t>recommend</w:t>
      </w:r>
      <w:r w:rsidR="002117B3" w:rsidRPr="00B75B77">
        <w:t>s</w:t>
      </w:r>
      <w:r w:rsidRPr="00B75B77">
        <w:t xml:space="preserve"> focusing on the improved energy and cost savings associated with the newer incentive structures in Phase III, </w:t>
      </w:r>
      <w:r w:rsidR="00C5009F" w:rsidRPr="00B75B77">
        <w:t xml:space="preserve">which </w:t>
      </w:r>
      <w:r w:rsidRPr="00B75B77">
        <w:t>align</w:t>
      </w:r>
      <w:r w:rsidR="00C5009F" w:rsidRPr="00B75B77">
        <w:t>s</w:t>
      </w:r>
      <w:r w:rsidRPr="00B75B77">
        <w:t xml:space="preserve"> with </w:t>
      </w:r>
      <w:r w:rsidR="00C5009F" w:rsidRPr="00B75B77">
        <w:t xml:space="preserve">the </w:t>
      </w:r>
      <w:r w:rsidRPr="00B75B77">
        <w:t>landlords</w:t>
      </w:r>
      <w:r w:rsidR="00C5009F" w:rsidRPr="00B75B77">
        <w:t>’</w:t>
      </w:r>
      <w:r w:rsidRPr="00B75B77">
        <w:t xml:space="preserve"> stated interests.</w:t>
      </w:r>
    </w:p>
    <w:p w:rsidR="00BB039B" w:rsidRPr="00B75B77" w:rsidRDefault="00BB039B" w:rsidP="009E08FB">
      <w:pPr>
        <w:pStyle w:val="ListParagraph"/>
        <w:numPr>
          <w:ilvl w:val="0"/>
          <w:numId w:val="80"/>
        </w:numPr>
        <w:spacing w:before="120" w:after="120"/>
        <w:contextualSpacing w:val="0"/>
      </w:pPr>
      <w:r w:rsidRPr="00B75B77">
        <w:rPr>
          <w:b/>
        </w:rPr>
        <w:t>Finding:</w:t>
      </w:r>
      <w:r w:rsidRPr="00B75B77">
        <w:t xml:space="preserve"> The participant telephone survey included a series of questions to better understand participant awareness of the program</w:t>
      </w:r>
      <w:r w:rsidR="00C5009F" w:rsidRPr="00B75B77">
        <w:t>’s</w:t>
      </w:r>
      <w:r w:rsidRPr="00B75B77">
        <w:t xml:space="preserve"> prescriptive offerings, audit report, and other Smart Ideas programs. When asked, only 46% of landlords recalled receiving a list of incentivized energy efficiency equipment recommended through the program. The majority of landlords </w:t>
      </w:r>
      <w:r w:rsidR="00C5009F" w:rsidRPr="00B75B77">
        <w:t>were</w:t>
      </w:r>
      <w:r w:rsidRPr="00B75B77">
        <w:t xml:space="preserve"> not aware of or able to recall incentivized offerings through the program’s prescriptive channel. Additionally, only 50% of landlords recalled receiving an audit report as part of the DI project, and of those landlords</w:t>
      </w:r>
      <w:r w:rsidR="00C5009F" w:rsidRPr="00B75B77">
        <w:t>,</w:t>
      </w:r>
      <w:r w:rsidRPr="00B75B77">
        <w:t xml:space="preserve"> 25% reported that the program representative did not review the report with them. Finally, 42% of landlords did not recall being made aware of additional PECO Smart Ideas </w:t>
      </w:r>
      <w:r w:rsidR="00FA45FF" w:rsidRPr="00B75B77">
        <w:t>p</w:t>
      </w:r>
      <w:r w:rsidRPr="00B75B77">
        <w:t>rograms.</w:t>
      </w:r>
    </w:p>
    <w:p w:rsidR="00BB039B" w:rsidRPr="00B75B77" w:rsidRDefault="00BB039B" w:rsidP="009E08FB">
      <w:pPr>
        <w:pStyle w:val="ListParagraph"/>
        <w:numPr>
          <w:ilvl w:val="1"/>
          <w:numId w:val="80"/>
        </w:numPr>
        <w:spacing w:before="120" w:after="120"/>
        <w:contextualSpacing w:val="0"/>
      </w:pPr>
      <w:r w:rsidRPr="00B75B77">
        <w:rPr>
          <w:b/>
        </w:rPr>
        <w:t>Recommendation:</w:t>
      </w:r>
      <w:r w:rsidRPr="00B75B77">
        <w:t xml:space="preserve"> Develop and implement </w:t>
      </w:r>
      <w:r w:rsidR="00C5009F" w:rsidRPr="00B75B77">
        <w:t xml:space="preserve">a </w:t>
      </w:r>
      <w:r w:rsidRPr="00B75B77">
        <w:t xml:space="preserve">program representative checklist to encourage prescriptive and cross-program participation. A significant proportion of the participant population </w:t>
      </w:r>
      <w:r w:rsidR="00C5009F" w:rsidRPr="00B75B77">
        <w:t xml:space="preserve">was </w:t>
      </w:r>
      <w:r w:rsidRPr="00B75B77">
        <w:t xml:space="preserve">not aware of the prescriptive incentives, audit report, or other Smart Ideas </w:t>
      </w:r>
      <w:r w:rsidR="00FA45FF" w:rsidRPr="00B75B77">
        <w:t>p</w:t>
      </w:r>
      <w:r w:rsidRPr="00B75B77">
        <w:t>rograms. By creating a checklist indicating the points the program representative mu</w:t>
      </w:r>
      <w:r w:rsidR="00C5009F" w:rsidRPr="00B75B77">
        <w:t>st</w:t>
      </w:r>
      <w:r w:rsidRPr="00B75B77">
        <w:t xml:space="preserve"> cover with each participant, the likelihood of participants learning about these other opportunities increases.</w:t>
      </w:r>
    </w:p>
    <w:p w:rsidR="00BB039B" w:rsidRPr="00B75B77" w:rsidRDefault="00BB039B" w:rsidP="00BB039B"/>
    <w:p w:rsidR="00BB039B" w:rsidRPr="00B75B77" w:rsidRDefault="00BB039B" w:rsidP="003E6A9B">
      <w:pPr>
        <w:pStyle w:val="Heading2"/>
      </w:pPr>
      <w:bookmarkStart w:id="897" w:name="_Toc466413448"/>
      <w:r w:rsidRPr="00B75B77">
        <w:t>Status of Recommendations for Program</w:t>
      </w:r>
      <w:bookmarkEnd w:id="897"/>
    </w:p>
    <w:p w:rsidR="00BB039B" w:rsidRPr="00B75B77" w:rsidRDefault="00BB039B" w:rsidP="00BB039B">
      <w:r w:rsidRPr="00B75B77">
        <w:fldChar w:fldCharType="begin"/>
      </w:r>
      <w:r w:rsidRPr="00B75B77">
        <w:instrText xml:space="preserve"> REF _Ref463419210 \h  \* MERGEFORMAT </w:instrText>
      </w:r>
      <w:r w:rsidRPr="00B75B77">
        <w:fldChar w:fldCharType="separate"/>
      </w:r>
      <w:r w:rsidR="0004016D" w:rsidRPr="00B75B77">
        <w:t xml:space="preserve">Table </w:t>
      </w:r>
      <w:r w:rsidR="0004016D">
        <w:rPr>
          <w:noProof/>
        </w:rPr>
        <w:t>14</w:t>
      </w:r>
      <w:r w:rsidR="0004016D" w:rsidRPr="00B75B77">
        <w:rPr>
          <w:noProof/>
        </w:rPr>
        <w:noBreakHyphen/>
      </w:r>
      <w:r w:rsidR="0004016D">
        <w:rPr>
          <w:noProof/>
        </w:rPr>
        <w:t>16</w:t>
      </w:r>
      <w:r w:rsidRPr="00B75B77">
        <w:fldChar w:fldCharType="end"/>
      </w:r>
      <w:r w:rsidRPr="00B75B77">
        <w:t xml:space="preserve"> lists recommendations for the SMF Solutions program along with the PECO status for each recommendation.</w:t>
      </w:r>
    </w:p>
    <w:p w:rsidR="00BB039B" w:rsidRPr="00B75B77" w:rsidRDefault="00BB039B" w:rsidP="0004543D"/>
    <w:p w:rsidR="00BB039B" w:rsidRPr="00B75B77" w:rsidRDefault="00BB039B" w:rsidP="007F0D42">
      <w:pPr>
        <w:pStyle w:val="Caption"/>
      </w:pPr>
      <w:bookmarkStart w:id="898" w:name="_Ref463419210"/>
      <w:bookmarkStart w:id="899" w:name="_Toc466413634"/>
      <w:r w:rsidRPr="00B75B77">
        <w:t xml:space="preserve">Table </w:t>
      </w:r>
      <w:fldSimple w:instr=" STYLEREF 1 \s ">
        <w:r w:rsidR="0004016D">
          <w:rPr>
            <w:noProof/>
          </w:rPr>
          <w:t>14</w:t>
        </w:r>
      </w:fldSimple>
      <w:r w:rsidR="00F1144C" w:rsidRPr="00B75B77">
        <w:noBreakHyphen/>
      </w:r>
      <w:fldSimple w:instr=" SEQ Table \* ARABIC \s 1 ">
        <w:r w:rsidR="0004016D">
          <w:rPr>
            <w:noProof/>
          </w:rPr>
          <w:t>16</w:t>
        </w:r>
      </w:fldSimple>
      <w:bookmarkEnd w:id="898"/>
      <w:r w:rsidRPr="00B75B77">
        <w:t>: Smart Multi</w:t>
      </w:r>
      <w:r w:rsidR="00C5009F" w:rsidRPr="00B75B77">
        <w:t>-F</w:t>
      </w:r>
      <w:r w:rsidRPr="00B75B77">
        <w:t>amily Solutions Program Status Report on Process and Impact Recommendations</w:t>
      </w:r>
      <w:bookmarkEnd w:id="899"/>
      <w:r w:rsidRPr="00B75B77">
        <w:t xml:space="preserve"> </w:t>
      </w:r>
    </w:p>
    <w:tbl>
      <w:tblPr>
        <w:tblStyle w:val="MediumShading1-Accent5"/>
        <w:tblW w:w="936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4680"/>
        <w:gridCol w:w="4680"/>
      </w:tblGrid>
      <w:tr w:rsidR="00BB039B" w:rsidRPr="00B75B77" w:rsidTr="00480D8E">
        <w:trPr>
          <w:cnfStyle w:val="100000000000" w:firstRow="1" w:lastRow="0" w:firstColumn="0" w:lastColumn="0" w:oddVBand="0" w:evenVBand="0" w:oddHBand="0"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auto"/>
              <w:left w:val="single" w:sz="4" w:space="0" w:color="auto"/>
              <w:bottom w:val="single" w:sz="4" w:space="0" w:color="000000" w:themeColor="text1"/>
              <w:right w:val="single" w:sz="4" w:space="0" w:color="auto"/>
            </w:tcBorders>
            <w:shd w:val="clear" w:color="auto" w:fill="448A99"/>
            <w:vAlign w:val="center"/>
            <w:hideMark/>
          </w:tcPr>
          <w:p w:rsidR="00BB039B" w:rsidRPr="00B75B77" w:rsidRDefault="00BB039B" w:rsidP="00594255">
            <w:pPr>
              <w:jc w:val="left"/>
              <w:rPr>
                <w:rFonts w:ascii="Calibri" w:eastAsia="Times New Roman" w:hAnsi="Calibri"/>
                <w:bCs w:val="0"/>
                <w:sz w:val="18"/>
              </w:rPr>
            </w:pPr>
            <w:r w:rsidRPr="00B75B77">
              <w:rPr>
                <w:rFonts w:ascii="Calibri" w:eastAsia="Times New Roman" w:hAnsi="Calibri"/>
                <w:bCs w:val="0"/>
                <w:sz w:val="18"/>
              </w:rPr>
              <w:t>Recommendations</w:t>
            </w:r>
          </w:p>
        </w:tc>
        <w:tc>
          <w:tcPr>
            <w:tcW w:w="4680" w:type="dxa"/>
            <w:tcBorders>
              <w:top w:val="single" w:sz="4" w:space="0" w:color="auto"/>
              <w:left w:val="single" w:sz="4" w:space="0" w:color="auto"/>
              <w:bottom w:val="single" w:sz="4" w:space="0" w:color="000000" w:themeColor="text1"/>
              <w:right w:val="single" w:sz="4" w:space="0" w:color="auto"/>
            </w:tcBorders>
            <w:shd w:val="clear" w:color="auto" w:fill="448A99"/>
            <w:vAlign w:val="center"/>
            <w:hideMark/>
          </w:tcPr>
          <w:p w:rsidR="00BB039B" w:rsidRPr="00B75B77" w:rsidRDefault="00BB039B" w:rsidP="00594255">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rPr>
            </w:pPr>
            <w:r w:rsidRPr="00B75B77">
              <w:rPr>
                <w:rFonts w:ascii="Calibri" w:eastAsia="Times New Roman" w:hAnsi="Calibri"/>
                <w:bCs w:val="0"/>
                <w:sz w:val="18"/>
              </w:rPr>
              <w:t>EDC Status of Recommendation (Implemented, Being Considered, Rejected AND Explanation of Action Taken by EDC)</w:t>
            </w:r>
          </w:p>
        </w:tc>
      </w:tr>
      <w:tr w:rsidR="00BB039B" w:rsidRPr="00B75B77" w:rsidTr="003E49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000000" w:themeColor="text1"/>
              <w:right w:val="none" w:sz="0" w:space="0" w:color="auto"/>
            </w:tcBorders>
            <w:shd w:val="clear" w:color="auto" w:fill="D2EAF1"/>
            <w:noWrap/>
            <w:vAlign w:val="center"/>
            <w:hideMark/>
          </w:tcPr>
          <w:p w:rsidR="00BB039B" w:rsidRPr="00B75B77" w:rsidRDefault="00BB039B" w:rsidP="00BB039B">
            <w:pPr>
              <w:jc w:val="left"/>
              <w:rPr>
                <w:rFonts w:ascii="Calibri" w:eastAsia="Times New Roman" w:hAnsi="Calibri"/>
                <w:color w:val="000000"/>
                <w:sz w:val="18"/>
              </w:rPr>
            </w:pPr>
            <w:r w:rsidRPr="00B75B77">
              <w:rPr>
                <w:rFonts w:ascii="Calibri" w:eastAsia="Times New Roman" w:hAnsi="Calibri"/>
                <w:color w:val="000000"/>
                <w:sz w:val="18"/>
              </w:rPr>
              <w:t xml:space="preserve">Recommendation </w:t>
            </w:r>
            <w:r w:rsidR="00C5009F" w:rsidRPr="00B75B77">
              <w:rPr>
                <w:rFonts w:ascii="Calibri" w:eastAsia="Times New Roman" w:hAnsi="Calibri"/>
                <w:color w:val="000000"/>
                <w:sz w:val="18"/>
              </w:rPr>
              <w:t>1</w:t>
            </w:r>
            <w:r w:rsidRPr="00B75B77">
              <w:rPr>
                <w:rFonts w:ascii="Calibri" w:eastAsia="Times New Roman" w:hAnsi="Calibri"/>
                <w:color w:val="000000"/>
                <w:sz w:val="18"/>
              </w:rPr>
              <w:t xml:space="preserve">: </w:t>
            </w:r>
            <w:r w:rsidRPr="00B75B77">
              <w:rPr>
                <w:rFonts w:ascii="Calibri" w:eastAsia="Times New Roman" w:hAnsi="Calibri"/>
                <w:b w:val="0"/>
                <w:color w:val="000000"/>
                <w:sz w:val="18"/>
              </w:rPr>
              <w:t>Monitor expansion of DI offerings in Phase III, focusing on LED penetration in each project to reduce free ridership</w:t>
            </w:r>
            <w:r w:rsidR="00C5009F" w:rsidRPr="00B75B77">
              <w:rPr>
                <w:rFonts w:ascii="Calibri" w:eastAsia="Times New Roman" w:hAnsi="Calibri"/>
                <w:b w:val="0"/>
                <w:color w:val="000000"/>
                <w:sz w:val="18"/>
              </w:rPr>
              <w:t>.</w:t>
            </w:r>
          </w:p>
        </w:tc>
        <w:tc>
          <w:tcPr>
            <w:tcW w:w="4680" w:type="dxa"/>
            <w:tcBorders>
              <w:top w:val="single" w:sz="4" w:space="0" w:color="000000" w:themeColor="text1"/>
              <w:left w:val="none" w:sz="0" w:space="0" w:color="auto"/>
            </w:tcBorders>
            <w:shd w:val="clear" w:color="auto" w:fill="D2EAF1"/>
            <w:noWrap/>
            <w:hideMark/>
          </w:tcPr>
          <w:p w:rsidR="00BB039B" w:rsidRPr="00B75B77" w:rsidRDefault="003E49D6" w:rsidP="003E49D6">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rPr>
            </w:pPr>
            <w:r w:rsidRPr="00B75B77">
              <w:rPr>
                <w:rFonts w:ascii="Calibri" w:hAnsi="Calibri"/>
                <w:b/>
                <w:color w:val="000000"/>
                <w:sz w:val="18"/>
                <w:szCs w:val="18"/>
              </w:rPr>
              <w:t>Implemented:</w:t>
            </w:r>
            <w:r w:rsidRPr="00B75B77">
              <w:rPr>
                <w:rFonts w:ascii="Calibri" w:hAnsi="Calibri"/>
                <w:color w:val="000000"/>
                <w:sz w:val="18"/>
                <w:szCs w:val="18"/>
              </w:rPr>
              <w:t xml:space="preserve"> Going into Phase III, coordinated with CSP to track LED measures in the PECO database.</w:t>
            </w:r>
          </w:p>
        </w:tc>
      </w:tr>
      <w:tr w:rsidR="00BB039B" w:rsidRPr="00B75B77" w:rsidTr="00790590">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tcBorders>
              <w:bottom w:val="single" w:sz="8" w:space="0" w:color="448A99"/>
              <w:right w:val="none" w:sz="0" w:space="0" w:color="auto"/>
            </w:tcBorders>
            <w:shd w:val="clear" w:color="auto" w:fill="auto"/>
            <w:noWrap/>
            <w:vAlign w:val="center"/>
            <w:hideMark/>
          </w:tcPr>
          <w:p w:rsidR="00BB039B" w:rsidRPr="00B75B77" w:rsidRDefault="00BB039B" w:rsidP="00BB039B">
            <w:pPr>
              <w:jc w:val="left"/>
              <w:rPr>
                <w:rFonts w:ascii="Calibri" w:eastAsia="Times New Roman" w:hAnsi="Calibri"/>
                <w:color w:val="000000"/>
                <w:sz w:val="18"/>
              </w:rPr>
            </w:pPr>
            <w:r w:rsidRPr="00B75B77">
              <w:rPr>
                <w:rFonts w:ascii="Calibri" w:eastAsia="Times New Roman" w:hAnsi="Calibri"/>
                <w:color w:val="000000"/>
                <w:sz w:val="18"/>
              </w:rPr>
              <w:t xml:space="preserve">Recommendation </w:t>
            </w:r>
            <w:r w:rsidR="00C5009F" w:rsidRPr="00B75B77">
              <w:rPr>
                <w:rFonts w:ascii="Calibri" w:eastAsia="Times New Roman" w:hAnsi="Calibri"/>
                <w:color w:val="000000"/>
                <w:sz w:val="18"/>
              </w:rPr>
              <w:t>2</w:t>
            </w:r>
            <w:r w:rsidRPr="00B75B77">
              <w:rPr>
                <w:rFonts w:ascii="Calibri" w:eastAsia="Times New Roman" w:hAnsi="Calibri"/>
                <w:color w:val="000000"/>
                <w:sz w:val="18"/>
              </w:rPr>
              <w:t xml:space="preserve">: </w:t>
            </w:r>
            <w:r w:rsidRPr="00B75B77">
              <w:rPr>
                <w:rFonts w:ascii="Calibri" w:eastAsia="Times New Roman" w:hAnsi="Calibri"/>
                <w:b w:val="0"/>
                <w:color w:val="000000"/>
                <w:sz w:val="18"/>
              </w:rPr>
              <w:t>Advertise the long</w:t>
            </w:r>
            <w:r w:rsidR="00C5009F" w:rsidRPr="00B75B77">
              <w:rPr>
                <w:rFonts w:ascii="Calibri" w:eastAsia="Times New Roman" w:hAnsi="Calibri"/>
                <w:b w:val="0"/>
                <w:color w:val="000000"/>
                <w:sz w:val="18"/>
              </w:rPr>
              <w:t>-</w:t>
            </w:r>
            <w:r w:rsidRPr="00B75B77">
              <w:rPr>
                <w:rFonts w:ascii="Calibri" w:eastAsia="Times New Roman" w:hAnsi="Calibri"/>
                <w:b w:val="0"/>
                <w:color w:val="000000"/>
                <w:sz w:val="18"/>
              </w:rPr>
              <w:t>term energy cost savings associated with the new Phase III prescriptive offerings</w:t>
            </w:r>
            <w:r w:rsidR="00C5009F" w:rsidRPr="00B75B77">
              <w:rPr>
                <w:rFonts w:ascii="Calibri" w:eastAsia="Times New Roman" w:hAnsi="Calibri"/>
                <w:b w:val="0"/>
                <w:color w:val="000000"/>
                <w:sz w:val="18"/>
              </w:rPr>
              <w:t>.</w:t>
            </w:r>
          </w:p>
        </w:tc>
        <w:tc>
          <w:tcPr>
            <w:tcW w:w="4680" w:type="dxa"/>
            <w:tcBorders>
              <w:left w:val="none" w:sz="0" w:space="0" w:color="auto"/>
              <w:bottom w:val="single" w:sz="8" w:space="0" w:color="448A99"/>
            </w:tcBorders>
            <w:shd w:val="clear" w:color="auto" w:fill="auto"/>
            <w:noWrap/>
            <w:vAlign w:val="center"/>
            <w:hideMark/>
          </w:tcPr>
          <w:p w:rsidR="00BB039B" w:rsidRPr="00B75B77" w:rsidRDefault="003E49D6" w:rsidP="003E49D6">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rPr>
            </w:pPr>
            <w:r w:rsidRPr="00B75B77">
              <w:rPr>
                <w:rFonts w:ascii="Calibri" w:hAnsi="Calibri"/>
                <w:b/>
                <w:color w:val="000000"/>
                <w:sz w:val="18"/>
                <w:szCs w:val="18"/>
              </w:rPr>
              <w:t>Implemented:</w:t>
            </w:r>
            <w:r w:rsidRPr="00B75B77">
              <w:rPr>
                <w:rFonts w:ascii="Calibri" w:hAnsi="Calibri"/>
                <w:color w:val="000000"/>
                <w:sz w:val="18"/>
                <w:szCs w:val="18"/>
              </w:rPr>
              <w:t xml:space="preserve"> </w:t>
            </w:r>
            <w:r w:rsidRPr="00B75B77">
              <w:rPr>
                <w:rFonts w:ascii="Calibri" w:eastAsia="Times New Roman" w:hAnsi="Calibri"/>
                <w:color w:val="000000"/>
                <w:sz w:val="18"/>
              </w:rPr>
              <w:t>Phase III prescriptive offerings will include marketing efforts which will focus on enhancing the trade ally network and promotion materials.</w:t>
            </w:r>
          </w:p>
        </w:tc>
      </w:tr>
      <w:tr w:rsidR="00C5009F" w:rsidRPr="00B75B77" w:rsidTr="003E49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tcBorders>
              <w:right w:val="single" w:sz="8" w:space="0" w:color="448A99"/>
            </w:tcBorders>
            <w:noWrap/>
          </w:tcPr>
          <w:p w:rsidR="00C5009F" w:rsidRPr="00B75B77" w:rsidRDefault="00C5009F" w:rsidP="00C5009F">
            <w:pPr>
              <w:jc w:val="left"/>
              <w:rPr>
                <w:rFonts w:ascii="Calibri" w:eastAsia="Times New Roman" w:hAnsi="Calibri"/>
                <w:color w:val="000000"/>
                <w:sz w:val="18"/>
              </w:rPr>
            </w:pPr>
            <w:r w:rsidRPr="00B75B77">
              <w:rPr>
                <w:rFonts w:ascii="Calibri" w:eastAsia="Times New Roman" w:hAnsi="Calibri"/>
                <w:color w:val="000000"/>
                <w:sz w:val="18"/>
              </w:rPr>
              <w:t xml:space="preserve">Recommendation 3: </w:t>
            </w:r>
            <w:r w:rsidRPr="00B75B77">
              <w:rPr>
                <w:rFonts w:ascii="Calibri" w:eastAsia="Times New Roman" w:hAnsi="Calibri"/>
                <w:b w:val="0"/>
                <w:color w:val="000000"/>
                <w:sz w:val="18"/>
              </w:rPr>
              <w:t>Develop and implement a program representative checklist to encourage prescriptive and cross-program participation.</w:t>
            </w:r>
          </w:p>
        </w:tc>
        <w:tc>
          <w:tcPr>
            <w:tcW w:w="4680" w:type="dxa"/>
            <w:tcBorders>
              <w:left w:val="single" w:sz="8" w:space="0" w:color="448A99"/>
            </w:tcBorders>
            <w:noWrap/>
            <w:vAlign w:val="center"/>
          </w:tcPr>
          <w:p w:rsidR="00C5009F" w:rsidRPr="00B75B77" w:rsidRDefault="003E49D6" w:rsidP="003E49D6">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rPr>
            </w:pPr>
            <w:r w:rsidRPr="00B75B77">
              <w:rPr>
                <w:rFonts w:ascii="Calibri" w:hAnsi="Calibri"/>
                <w:b/>
                <w:color w:val="000000"/>
                <w:sz w:val="18"/>
                <w:szCs w:val="18"/>
              </w:rPr>
              <w:t>Implemented/ Being Considered:</w:t>
            </w:r>
            <w:r w:rsidRPr="00B75B77">
              <w:rPr>
                <w:rFonts w:ascii="Calibri" w:hAnsi="Calibri"/>
                <w:color w:val="000000"/>
                <w:sz w:val="18"/>
                <w:szCs w:val="18"/>
              </w:rPr>
              <w:t xml:space="preserve"> For Phase II</w:t>
            </w:r>
            <w:r w:rsidR="002548AE" w:rsidRPr="00B75B77">
              <w:rPr>
                <w:rFonts w:ascii="Calibri" w:hAnsi="Calibri"/>
                <w:color w:val="000000"/>
                <w:sz w:val="18"/>
                <w:szCs w:val="18"/>
              </w:rPr>
              <w:t>,</w:t>
            </w:r>
            <w:r w:rsidRPr="00B75B77">
              <w:rPr>
                <w:rFonts w:ascii="Calibri" w:hAnsi="Calibri"/>
                <w:color w:val="000000"/>
                <w:sz w:val="18"/>
                <w:szCs w:val="18"/>
              </w:rPr>
              <w:t xml:space="preserve"> we had a quick reference guide for all of the prescriptive offerings for Multifamily Solutions. This quick reference guide is currently being updated for Phase III. A brochure is currently being developed to cross promote residential Smart Ideas programs.</w:t>
            </w:r>
          </w:p>
        </w:tc>
      </w:tr>
    </w:tbl>
    <w:p w:rsidR="00BB039B" w:rsidRPr="00B75B77" w:rsidRDefault="00BB039B" w:rsidP="00BB039B">
      <w:pPr>
        <w:pStyle w:val="Source"/>
        <w:keepNext/>
        <w:ind w:left="90" w:firstLine="0"/>
      </w:pPr>
      <w:r w:rsidRPr="00B75B77">
        <w:t>Source: Navigant analysis</w:t>
      </w:r>
    </w:p>
    <w:p w:rsidR="00BB039B" w:rsidRPr="00B75B77" w:rsidRDefault="00BB039B" w:rsidP="00D12857">
      <w:pPr>
        <w:pStyle w:val="Heading2"/>
      </w:pPr>
      <w:bookmarkStart w:id="900" w:name="_Toc466413449"/>
      <w:r w:rsidRPr="00B75B77">
        <w:t>Financial Reporting</w:t>
      </w:r>
      <w:bookmarkEnd w:id="900"/>
    </w:p>
    <w:p w:rsidR="00BB039B" w:rsidRPr="00B75B77" w:rsidRDefault="00BB039B" w:rsidP="00BB039B">
      <w:pPr>
        <w:jc w:val="left"/>
      </w:pPr>
      <w:r w:rsidRPr="00B75B77">
        <w:lastRenderedPageBreak/>
        <w:t xml:space="preserve">In the residential sector, the SMF Solutions program underspent budget in PY7. Phase II SMF Solutions residential sector cumulative spending was $3,224,302, about 97% of </w:t>
      </w:r>
      <w:r w:rsidR="00C5009F" w:rsidRPr="00B75B77">
        <w:t xml:space="preserve">the </w:t>
      </w:r>
      <w:r w:rsidRPr="00B75B77">
        <w:t xml:space="preserve">Phase II budget. The residential sector achieved a Phase II TRC of 1.63, just shy of the 1.70 TRC </w:t>
      </w:r>
      <w:proofErr w:type="gramStart"/>
      <w:r w:rsidRPr="00B75B77">
        <w:t>goal</w:t>
      </w:r>
      <w:proofErr w:type="gramEnd"/>
      <w:r w:rsidRPr="00B75B77">
        <w:t xml:space="preserve">. Note that marketing expenses (all program marketing accounted for in the nonresidential sector) in PY7 made up 61% of Phase II marketing expenses. This reflects the extra effort in the final program year </w:t>
      </w:r>
      <w:r w:rsidR="00C5009F" w:rsidRPr="00B75B77">
        <w:t xml:space="preserve">to attempt </w:t>
      </w:r>
      <w:r w:rsidRPr="00B75B77">
        <w:t xml:space="preserve">to recruit nonresidential properties. A breakdown of the SMF Solutions residential sector program finances is presented in </w:t>
      </w:r>
      <w:r w:rsidR="00C5009F" w:rsidRPr="00B75B77">
        <w:fldChar w:fldCharType="begin"/>
      </w:r>
      <w:r w:rsidR="00C5009F" w:rsidRPr="00B75B77">
        <w:instrText xml:space="preserve"> REF _Ref464144053 \h </w:instrText>
      </w:r>
      <w:r w:rsidR="00B75B77">
        <w:instrText xml:space="preserve"> \* MERGEFORMAT </w:instrText>
      </w:r>
      <w:r w:rsidR="00C5009F" w:rsidRPr="00B75B77">
        <w:fldChar w:fldCharType="separate"/>
      </w:r>
      <w:r w:rsidR="0004016D" w:rsidRPr="00B75B77">
        <w:t xml:space="preserve">Table </w:t>
      </w:r>
      <w:r w:rsidR="0004016D">
        <w:rPr>
          <w:noProof/>
        </w:rPr>
        <w:t>14</w:t>
      </w:r>
      <w:r w:rsidR="0004016D" w:rsidRPr="00B75B77">
        <w:rPr>
          <w:noProof/>
        </w:rPr>
        <w:noBreakHyphen/>
      </w:r>
      <w:r w:rsidR="0004016D">
        <w:rPr>
          <w:noProof/>
        </w:rPr>
        <w:t>17</w:t>
      </w:r>
      <w:r w:rsidR="00C5009F" w:rsidRPr="00B75B77">
        <w:fldChar w:fldCharType="end"/>
      </w:r>
      <w:r w:rsidRPr="00B75B77">
        <w:t xml:space="preserve">. </w:t>
      </w:r>
    </w:p>
    <w:p w:rsidR="00BB039B" w:rsidRPr="00B75B77" w:rsidRDefault="00BB039B" w:rsidP="003402AA">
      <w:pPr>
        <w:jc w:val="center"/>
      </w:pPr>
    </w:p>
    <w:p w:rsidR="00BB039B" w:rsidRPr="00B75B77" w:rsidRDefault="00BB039B" w:rsidP="007F0D42">
      <w:pPr>
        <w:pStyle w:val="Caption"/>
      </w:pPr>
      <w:bookmarkStart w:id="901" w:name="_Ref464144053"/>
      <w:bookmarkStart w:id="902" w:name="_Toc466413635"/>
      <w:r w:rsidRPr="00B75B77">
        <w:t xml:space="preserve">Table </w:t>
      </w:r>
      <w:fldSimple w:instr=" STYLEREF 1 \s ">
        <w:r w:rsidR="0004016D">
          <w:rPr>
            <w:noProof/>
          </w:rPr>
          <w:t>14</w:t>
        </w:r>
      </w:fldSimple>
      <w:r w:rsidR="00F1144C" w:rsidRPr="00B75B77">
        <w:noBreakHyphen/>
      </w:r>
      <w:fldSimple w:instr=" SEQ Table \* ARABIC \s 1 ">
        <w:r w:rsidR="0004016D">
          <w:rPr>
            <w:noProof/>
          </w:rPr>
          <w:t>17</w:t>
        </w:r>
      </w:fldSimple>
      <w:bookmarkEnd w:id="901"/>
      <w:r w:rsidRPr="00B75B77">
        <w:t>: Summary of SMF Solutions Residential Sector Program Finances</w:t>
      </w:r>
      <w:bookmarkEnd w:id="902"/>
    </w:p>
    <w:tbl>
      <w:tblPr>
        <w:tblStyle w:val="MediumShading1-Accent5"/>
        <w:tblW w:w="9692" w:type="dxa"/>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0A0" w:firstRow="1" w:lastRow="0" w:firstColumn="1" w:lastColumn="0" w:noHBand="0" w:noVBand="0"/>
      </w:tblPr>
      <w:tblGrid>
        <w:gridCol w:w="1062"/>
        <w:gridCol w:w="6020"/>
        <w:gridCol w:w="1263"/>
        <w:gridCol w:w="1347"/>
      </w:tblGrid>
      <w:tr w:rsidR="00BB039B" w:rsidRPr="00B75B77" w:rsidTr="0023207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2" w:type="dxa"/>
            <w:vMerge w:val="restart"/>
            <w:tcBorders>
              <w:top w:val="single" w:sz="8" w:space="0" w:color="auto"/>
              <w:left w:val="single" w:sz="8" w:space="0" w:color="auto"/>
              <w:bottom w:val="single" w:sz="8" w:space="0" w:color="auto"/>
              <w:right w:val="single" w:sz="8" w:space="0" w:color="auto"/>
            </w:tcBorders>
            <w:shd w:val="clear" w:color="auto" w:fill="448A99"/>
            <w:vAlign w:val="center"/>
          </w:tcPr>
          <w:p w:rsidR="00BB039B" w:rsidRPr="00B75B77" w:rsidRDefault="00BB039B" w:rsidP="00594255">
            <w:pPr>
              <w:jc w:val="center"/>
              <w:rPr>
                <w:rFonts w:ascii="Calibri" w:eastAsia="Times New Roman" w:hAnsi="Calibri"/>
                <w:bCs w:val="0"/>
                <w:sz w:val="18"/>
                <w:szCs w:val="18"/>
              </w:rPr>
            </w:pPr>
            <w:r w:rsidRPr="00B75B77">
              <w:rPr>
                <w:rFonts w:ascii="Calibri" w:eastAsia="Times New Roman" w:hAnsi="Calibri"/>
                <w:bCs w:val="0"/>
                <w:sz w:val="18"/>
                <w:szCs w:val="18"/>
              </w:rPr>
              <w:t>Row #</w:t>
            </w:r>
          </w:p>
        </w:tc>
        <w:tc>
          <w:tcPr>
            <w:cnfStyle w:val="000010000000" w:firstRow="0" w:lastRow="0" w:firstColumn="0" w:lastColumn="0" w:oddVBand="1" w:evenVBand="0" w:oddHBand="0" w:evenHBand="0" w:firstRowFirstColumn="0" w:firstRowLastColumn="0" w:lastRowFirstColumn="0" w:lastRowLastColumn="0"/>
            <w:tcW w:w="6020" w:type="dxa"/>
            <w:vMerge w:val="restart"/>
            <w:tcBorders>
              <w:top w:val="single" w:sz="8" w:space="0" w:color="auto"/>
              <w:left w:val="single" w:sz="8" w:space="0" w:color="auto"/>
              <w:bottom w:val="single" w:sz="8" w:space="0" w:color="auto"/>
              <w:right w:val="single" w:sz="8" w:space="0" w:color="auto"/>
            </w:tcBorders>
            <w:shd w:val="clear" w:color="auto" w:fill="448A99"/>
            <w:noWrap/>
            <w:vAlign w:val="center"/>
            <w:hideMark/>
          </w:tcPr>
          <w:p w:rsidR="00BB039B" w:rsidRPr="00B75B77" w:rsidRDefault="00BB039B" w:rsidP="00594255">
            <w:pPr>
              <w:jc w:val="left"/>
              <w:rPr>
                <w:rFonts w:ascii="Calibri" w:eastAsia="Times New Roman" w:hAnsi="Calibri"/>
                <w:bCs w:val="0"/>
                <w:sz w:val="18"/>
                <w:szCs w:val="18"/>
              </w:rPr>
            </w:pPr>
            <w:r w:rsidRPr="00B75B77">
              <w:rPr>
                <w:rFonts w:ascii="Calibri" w:eastAsia="Times New Roman" w:hAnsi="Calibri"/>
                <w:bCs w:val="0"/>
                <w:sz w:val="18"/>
                <w:szCs w:val="18"/>
              </w:rPr>
              <w:t>Cost Category </w:t>
            </w:r>
          </w:p>
        </w:tc>
        <w:tc>
          <w:tcPr>
            <w:tcW w:w="1263" w:type="dxa"/>
            <w:tcBorders>
              <w:top w:val="single" w:sz="8" w:space="0" w:color="auto"/>
              <w:left w:val="single" w:sz="8" w:space="0" w:color="auto"/>
              <w:bottom w:val="single" w:sz="8" w:space="0" w:color="auto"/>
              <w:right w:val="single" w:sz="8" w:space="0" w:color="auto"/>
            </w:tcBorders>
            <w:shd w:val="clear" w:color="auto" w:fill="448A99"/>
            <w:vAlign w:val="center"/>
            <w:hideMark/>
          </w:tcPr>
          <w:p w:rsidR="00BB039B" w:rsidRPr="00B75B77" w:rsidRDefault="00BB039B" w:rsidP="00C5009F">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Actual PYTD</w:t>
            </w:r>
          </w:p>
          <w:p w:rsidR="00BB039B" w:rsidRPr="00B75B77" w:rsidRDefault="00BB039B" w:rsidP="00C5009F">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Costs</w:t>
            </w:r>
          </w:p>
        </w:tc>
        <w:tc>
          <w:tcPr>
            <w:cnfStyle w:val="000010000000" w:firstRow="0" w:lastRow="0" w:firstColumn="0" w:lastColumn="0" w:oddVBand="1" w:evenVBand="0" w:oddHBand="0" w:evenHBand="0" w:firstRowFirstColumn="0" w:firstRowLastColumn="0" w:lastRowFirstColumn="0" w:lastRowLastColumn="0"/>
            <w:tcW w:w="1347" w:type="dxa"/>
            <w:tcBorders>
              <w:top w:val="single" w:sz="8" w:space="0" w:color="auto"/>
              <w:left w:val="single" w:sz="8" w:space="0" w:color="auto"/>
              <w:bottom w:val="single" w:sz="8" w:space="0" w:color="auto"/>
              <w:right w:val="single" w:sz="8" w:space="0" w:color="auto"/>
            </w:tcBorders>
            <w:shd w:val="clear" w:color="auto" w:fill="448A99"/>
            <w:vAlign w:val="center"/>
            <w:hideMark/>
          </w:tcPr>
          <w:p w:rsidR="00BB039B" w:rsidRPr="00B75B77" w:rsidRDefault="00BB039B" w:rsidP="00C5009F">
            <w:pPr>
              <w:jc w:val="right"/>
              <w:rPr>
                <w:rFonts w:ascii="Calibri" w:eastAsia="Times New Roman" w:hAnsi="Calibri"/>
                <w:bCs w:val="0"/>
                <w:sz w:val="18"/>
                <w:szCs w:val="18"/>
              </w:rPr>
            </w:pPr>
            <w:r w:rsidRPr="00B75B77">
              <w:rPr>
                <w:rFonts w:ascii="Calibri" w:eastAsia="Times New Roman" w:hAnsi="Calibri"/>
                <w:bCs w:val="0"/>
                <w:sz w:val="18"/>
                <w:szCs w:val="18"/>
              </w:rPr>
              <w:t>Actual Phase II</w:t>
            </w:r>
          </w:p>
          <w:p w:rsidR="00BB039B" w:rsidRPr="00B75B77" w:rsidRDefault="00BB039B" w:rsidP="00C5009F">
            <w:pPr>
              <w:jc w:val="right"/>
              <w:rPr>
                <w:rFonts w:ascii="Calibri" w:eastAsia="Times New Roman" w:hAnsi="Calibri"/>
                <w:bCs w:val="0"/>
                <w:sz w:val="18"/>
                <w:szCs w:val="18"/>
              </w:rPr>
            </w:pPr>
            <w:r w:rsidRPr="00B75B77">
              <w:rPr>
                <w:rFonts w:ascii="Calibri" w:eastAsia="Times New Roman" w:hAnsi="Calibri"/>
                <w:bCs w:val="0"/>
                <w:sz w:val="18"/>
                <w:szCs w:val="18"/>
              </w:rPr>
              <w:t>Costs</w:t>
            </w:r>
          </w:p>
        </w:tc>
      </w:tr>
      <w:tr w:rsidR="00BB039B" w:rsidRPr="00B75B77" w:rsidTr="002320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vMerge/>
            <w:tcBorders>
              <w:top w:val="single" w:sz="8" w:space="0" w:color="auto"/>
              <w:left w:val="single" w:sz="8" w:space="0" w:color="auto"/>
              <w:bottom w:val="single" w:sz="8" w:space="0" w:color="auto"/>
              <w:right w:val="single" w:sz="8" w:space="0" w:color="auto"/>
            </w:tcBorders>
            <w:shd w:val="clear" w:color="auto" w:fill="448A99"/>
            <w:vAlign w:val="center"/>
          </w:tcPr>
          <w:p w:rsidR="00BB039B" w:rsidRPr="00B75B77" w:rsidRDefault="00BB039B" w:rsidP="00594255">
            <w:pPr>
              <w:jc w:val="center"/>
              <w:rPr>
                <w:rFonts w:ascii="Calibri" w:eastAsia="Times New Roman" w:hAnsi="Calibri"/>
                <w:bCs w:val="0"/>
                <w:color w:val="FFFFFF" w:themeColor="background1"/>
                <w:sz w:val="18"/>
                <w:szCs w:val="18"/>
              </w:rPr>
            </w:pPr>
          </w:p>
        </w:tc>
        <w:tc>
          <w:tcPr>
            <w:cnfStyle w:val="000010000000" w:firstRow="0" w:lastRow="0" w:firstColumn="0" w:lastColumn="0" w:oddVBand="1" w:evenVBand="0" w:oddHBand="0" w:evenHBand="0" w:firstRowFirstColumn="0" w:firstRowLastColumn="0" w:lastRowFirstColumn="0" w:lastRowLastColumn="0"/>
            <w:tcW w:w="6020" w:type="dxa"/>
            <w:vMerge/>
            <w:tcBorders>
              <w:top w:val="single" w:sz="8" w:space="0" w:color="auto"/>
              <w:left w:val="single" w:sz="8" w:space="0" w:color="auto"/>
              <w:bottom w:val="single" w:sz="8" w:space="0" w:color="auto"/>
              <w:right w:val="single" w:sz="8" w:space="0" w:color="auto"/>
            </w:tcBorders>
            <w:shd w:val="clear" w:color="auto" w:fill="448A99"/>
            <w:vAlign w:val="center"/>
            <w:hideMark/>
          </w:tcPr>
          <w:p w:rsidR="00BB039B" w:rsidRPr="00B75B77" w:rsidRDefault="00BB039B" w:rsidP="00594255">
            <w:pPr>
              <w:jc w:val="left"/>
              <w:rPr>
                <w:rFonts w:ascii="Calibri" w:eastAsia="Times New Roman" w:hAnsi="Calibri"/>
                <w:b/>
                <w:bCs/>
                <w:color w:val="FFFFFF" w:themeColor="background1"/>
                <w:sz w:val="18"/>
                <w:szCs w:val="18"/>
              </w:rPr>
            </w:pPr>
          </w:p>
        </w:tc>
        <w:tc>
          <w:tcPr>
            <w:tcW w:w="1263" w:type="dxa"/>
            <w:tcBorders>
              <w:top w:val="single" w:sz="8" w:space="0" w:color="auto"/>
              <w:left w:val="single" w:sz="8" w:space="0" w:color="auto"/>
              <w:bottom w:val="single" w:sz="8" w:space="0" w:color="auto"/>
              <w:right w:val="single" w:sz="8" w:space="0" w:color="auto"/>
            </w:tcBorders>
            <w:shd w:val="clear" w:color="auto" w:fill="448A99"/>
            <w:vAlign w:val="center"/>
            <w:hideMark/>
          </w:tcPr>
          <w:p w:rsidR="00BB039B" w:rsidRPr="00B75B77" w:rsidRDefault="00BB039B" w:rsidP="00C5009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FFFFFF" w:themeColor="background1"/>
                <w:sz w:val="18"/>
                <w:szCs w:val="18"/>
              </w:rPr>
            </w:pPr>
            <w:r w:rsidRPr="00B75B77">
              <w:rPr>
                <w:rFonts w:ascii="Calibri" w:eastAsia="Times New Roman" w:hAnsi="Calibri"/>
                <w:b/>
                <w:bCs/>
                <w:color w:val="FFFFFF" w:themeColor="background1"/>
                <w:sz w:val="18"/>
                <w:szCs w:val="18"/>
              </w:rPr>
              <w:t>($1,000)</w:t>
            </w:r>
          </w:p>
        </w:tc>
        <w:tc>
          <w:tcPr>
            <w:cnfStyle w:val="000010000000" w:firstRow="0" w:lastRow="0" w:firstColumn="0" w:lastColumn="0" w:oddVBand="1" w:evenVBand="0" w:oddHBand="0" w:evenHBand="0" w:firstRowFirstColumn="0" w:firstRowLastColumn="0" w:lastRowFirstColumn="0" w:lastRowLastColumn="0"/>
            <w:tcW w:w="1347" w:type="dxa"/>
            <w:tcBorders>
              <w:top w:val="single" w:sz="8" w:space="0" w:color="auto"/>
              <w:left w:val="single" w:sz="8" w:space="0" w:color="auto"/>
              <w:bottom w:val="single" w:sz="8" w:space="0" w:color="auto"/>
              <w:right w:val="single" w:sz="8" w:space="0" w:color="auto"/>
            </w:tcBorders>
            <w:shd w:val="clear" w:color="auto" w:fill="448A99"/>
            <w:vAlign w:val="center"/>
            <w:hideMark/>
          </w:tcPr>
          <w:p w:rsidR="00BB039B" w:rsidRPr="00B75B77" w:rsidRDefault="00BB039B" w:rsidP="00C5009F">
            <w:pPr>
              <w:jc w:val="right"/>
              <w:rPr>
                <w:rFonts w:ascii="Calibri" w:eastAsia="Times New Roman" w:hAnsi="Calibri"/>
                <w:b/>
                <w:bCs/>
                <w:color w:val="FFFFFF" w:themeColor="background1"/>
                <w:sz w:val="18"/>
                <w:szCs w:val="18"/>
              </w:rPr>
            </w:pPr>
            <w:r w:rsidRPr="00B75B77">
              <w:rPr>
                <w:rFonts w:ascii="Calibri" w:eastAsia="Times New Roman" w:hAnsi="Calibri"/>
                <w:b/>
                <w:bCs/>
                <w:color w:val="FFFFFF" w:themeColor="background1"/>
                <w:sz w:val="18"/>
                <w:szCs w:val="18"/>
              </w:rPr>
              <w:t>($1,000)</w:t>
            </w:r>
          </w:p>
        </w:tc>
      </w:tr>
      <w:tr w:rsidR="00BB039B" w:rsidRPr="00B75B77" w:rsidTr="0023207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top w:val="single" w:sz="8" w:space="0" w:color="auto"/>
              <w:right w:val="none" w:sz="0" w:space="0" w:color="auto"/>
            </w:tcBorders>
            <w:shd w:val="clear" w:color="auto" w:fill="auto"/>
            <w:vAlign w:val="center"/>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1</w:t>
            </w:r>
          </w:p>
        </w:tc>
        <w:tc>
          <w:tcPr>
            <w:cnfStyle w:val="000010000000" w:firstRow="0" w:lastRow="0" w:firstColumn="0" w:lastColumn="0" w:oddVBand="1" w:evenVBand="0" w:oddHBand="0" w:evenHBand="0" w:firstRowFirstColumn="0" w:firstRowLastColumn="0" w:lastRowFirstColumn="0" w:lastRowLastColumn="0"/>
            <w:tcW w:w="6020" w:type="dxa"/>
            <w:tcBorders>
              <w:top w:val="single" w:sz="8" w:space="0" w:color="auto"/>
              <w:left w:val="none" w:sz="0" w:space="0" w:color="auto"/>
              <w:right w:val="none" w:sz="0" w:space="0" w:color="auto"/>
            </w:tcBorders>
            <w:shd w:val="clear" w:color="auto" w:fill="auto"/>
            <w:noWrap/>
            <w:vAlign w:val="center"/>
          </w:tcPr>
          <w:p w:rsidR="00BB039B" w:rsidRPr="00B75B77" w:rsidRDefault="00BB039B" w:rsidP="00BB039B">
            <w:pPr>
              <w:jc w:val="left"/>
              <w:rPr>
                <w:rFonts w:ascii="Calibri" w:eastAsia="Times New Roman" w:hAnsi="Calibri"/>
                <w:color w:val="000000"/>
                <w:sz w:val="18"/>
                <w:szCs w:val="18"/>
              </w:rPr>
            </w:pPr>
            <w:r w:rsidRPr="00B75B77">
              <w:rPr>
                <w:rFonts w:ascii="Calibri" w:eastAsia="Times New Roman" w:hAnsi="Calibri"/>
                <w:color w:val="000000"/>
                <w:sz w:val="18"/>
                <w:szCs w:val="18"/>
              </w:rPr>
              <w:t>Incremental Measure Costs (Sum of Rows 2 through 4)</w:t>
            </w:r>
          </w:p>
        </w:tc>
        <w:tc>
          <w:tcPr>
            <w:tcW w:w="1263" w:type="dxa"/>
            <w:tcBorders>
              <w:top w:val="single" w:sz="8" w:space="0" w:color="auto"/>
              <w:left w:val="none" w:sz="0" w:space="0" w:color="auto"/>
              <w:right w:val="none" w:sz="0" w:space="0" w:color="auto"/>
            </w:tcBorders>
            <w:shd w:val="clear" w:color="auto" w:fill="auto"/>
            <w:noWrap/>
          </w:tcPr>
          <w:p w:rsidR="00BB039B" w:rsidRPr="00B75B77" w:rsidRDefault="00BB039B" w:rsidP="00BB03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sz w:val="18"/>
                <w:szCs w:val="18"/>
              </w:rPr>
              <w:t>0</w:t>
            </w:r>
          </w:p>
        </w:tc>
        <w:tc>
          <w:tcPr>
            <w:cnfStyle w:val="000010000000" w:firstRow="0" w:lastRow="0" w:firstColumn="0" w:lastColumn="0" w:oddVBand="1" w:evenVBand="0" w:oddHBand="0" w:evenHBand="0" w:firstRowFirstColumn="0" w:firstRowLastColumn="0" w:lastRowFirstColumn="0" w:lastRowLastColumn="0"/>
            <w:tcW w:w="1347" w:type="dxa"/>
            <w:tcBorders>
              <w:top w:val="single" w:sz="8" w:space="0" w:color="auto"/>
              <w:left w:val="none" w:sz="0" w:space="0" w:color="auto"/>
            </w:tcBorders>
            <w:shd w:val="clear" w:color="auto" w:fill="auto"/>
          </w:tcPr>
          <w:p w:rsidR="00BB039B" w:rsidRPr="00B75B77" w:rsidRDefault="00BB039B" w:rsidP="00BB039B">
            <w:pPr>
              <w:jc w:val="center"/>
              <w:rPr>
                <w:rFonts w:ascii="Calibri" w:eastAsia="Times New Roman" w:hAnsi="Calibri"/>
                <w:color w:val="000000"/>
                <w:sz w:val="18"/>
                <w:szCs w:val="18"/>
              </w:rPr>
            </w:pPr>
            <w:r w:rsidRPr="00B75B77">
              <w:rPr>
                <w:sz w:val="18"/>
                <w:szCs w:val="18"/>
              </w:rPr>
              <w:t>0</w:t>
            </w:r>
          </w:p>
        </w:tc>
      </w:tr>
      <w:tr w:rsidR="00BB039B" w:rsidRPr="00B75B77" w:rsidTr="002320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vAlign w:val="center"/>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2</w:t>
            </w:r>
          </w:p>
        </w:tc>
        <w:tc>
          <w:tcPr>
            <w:cnfStyle w:val="000010000000" w:firstRow="0" w:lastRow="0" w:firstColumn="0" w:lastColumn="0" w:oddVBand="1" w:evenVBand="0" w:oddHBand="0" w:evenHBand="0" w:firstRowFirstColumn="0" w:firstRowLastColumn="0" w:lastRowFirstColumn="0" w:lastRowLastColumn="0"/>
            <w:tcW w:w="6020" w:type="dxa"/>
            <w:tcBorders>
              <w:left w:val="none" w:sz="0" w:space="0" w:color="auto"/>
              <w:right w:val="none" w:sz="0" w:space="0" w:color="auto"/>
            </w:tcBorders>
            <w:noWrap/>
            <w:vAlign w:val="center"/>
            <w:hideMark/>
          </w:tcPr>
          <w:p w:rsidR="00BB039B" w:rsidRPr="00B75B77" w:rsidRDefault="00BB039B" w:rsidP="00BB039B">
            <w:pPr>
              <w:jc w:val="left"/>
              <w:rPr>
                <w:rFonts w:ascii="Calibri" w:eastAsia="Times New Roman" w:hAnsi="Calibri"/>
                <w:color w:val="000000"/>
                <w:sz w:val="18"/>
                <w:szCs w:val="18"/>
              </w:rPr>
            </w:pPr>
            <w:r w:rsidRPr="00B75B77">
              <w:rPr>
                <w:rFonts w:ascii="Calibri" w:eastAsia="Times New Roman" w:hAnsi="Calibri"/>
                <w:color w:val="000000"/>
                <w:sz w:val="18"/>
                <w:szCs w:val="18"/>
              </w:rPr>
              <w:t>EDC Incentives to Participants</w:t>
            </w:r>
          </w:p>
        </w:tc>
        <w:tc>
          <w:tcPr>
            <w:tcW w:w="1263" w:type="dxa"/>
            <w:tcBorders>
              <w:left w:val="none" w:sz="0" w:space="0" w:color="auto"/>
              <w:right w:val="none" w:sz="0" w:space="0" w:color="auto"/>
            </w:tcBorders>
            <w:noWrap/>
            <w:hideMark/>
          </w:tcPr>
          <w:p w:rsidR="00BB039B" w:rsidRPr="00B75B77" w:rsidRDefault="00BB039B" w:rsidP="00BB03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sz w:val="18"/>
                <w:szCs w:val="18"/>
              </w:rPr>
              <w:t>0</w:t>
            </w:r>
          </w:p>
        </w:tc>
        <w:tc>
          <w:tcPr>
            <w:cnfStyle w:val="000010000000" w:firstRow="0" w:lastRow="0" w:firstColumn="0" w:lastColumn="0" w:oddVBand="1" w:evenVBand="0" w:oddHBand="0" w:evenHBand="0" w:firstRowFirstColumn="0" w:firstRowLastColumn="0" w:lastRowFirstColumn="0" w:lastRowLastColumn="0"/>
            <w:tcW w:w="1347" w:type="dxa"/>
            <w:tcBorders>
              <w:left w:val="none" w:sz="0" w:space="0" w:color="auto"/>
            </w:tcBorders>
            <w:hideMark/>
          </w:tcPr>
          <w:p w:rsidR="00BB039B" w:rsidRPr="00B75B77" w:rsidRDefault="00BB039B" w:rsidP="00BB039B">
            <w:pPr>
              <w:jc w:val="center"/>
              <w:rPr>
                <w:rFonts w:ascii="Calibri" w:eastAsia="Times New Roman" w:hAnsi="Calibri"/>
                <w:color w:val="000000"/>
                <w:sz w:val="18"/>
                <w:szCs w:val="18"/>
              </w:rPr>
            </w:pPr>
            <w:r w:rsidRPr="00B75B77">
              <w:rPr>
                <w:sz w:val="18"/>
                <w:szCs w:val="18"/>
              </w:rPr>
              <w:t>0</w:t>
            </w:r>
          </w:p>
        </w:tc>
      </w:tr>
      <w:tr w:rsidR="00BB039B" w:rsidRPr="00B75B77" w:rsidTr="0023207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auto"/>
            <w:vAlign w:val="center"/>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3</w:t>
            </w:r>
          </w:p>
        </w:tc>
        <w:tc>
          <w:tcPr>
            <w:cnfStyle w:val="000010000000" w:firstRow="0" w:lastRow="0" w:firstColumn="0" w:lastColumn="0" w:oddVBand="1" w:evenVBand="0" w:oddHBand="0" w:evenHBand="0" w:firstRowFirstColumn="0" w:firstRowLastColumn="0" w:lastRowFirstColumn="0" w:lastRowLastColumn="0"/>
            <w:tcW w:w="6020" w:type="dxa"/>
            <w:tcBorders>
              <w:left w:val="none" w:sz="0" w:space="0" w:color="auto"/>
              <w:right w:val="none" w:sz="0" w:space="0" w:color="auto"/>
            </w:tcBorders>
            <w:shd w:val="clear" w:color="auto" w:fill="auto"/>
            <w:noWrap/>
            <w:vAlign w:val="center"/>
            <w:hideMark/>
          </w:tcPr>
          <w:p w:rsidR="00BB039B" w:rsidRPr="00B75B77" w:rsidRDefault="00BB039B" w:rsidP="00BB039B">
            <w:pPr>
              <w:jc w:val="left"/>
              <w:rPr>
                <w:rFonts w:ascii="Calibri" w:eastAsia="Times New Roman" w:hAnsi="Calibri"/>
                <w:color w:val="000000"/>
                <w:sz w:val="18"/>
                <w:szCs w:val="18"/>
              </w:rPr>
            </w:pPr>
            <w:r w:rsidRPr="00B75B77">
              <w:rPr>
                <w:rFonts w:ascii="Calibri" w:eastAsia="Times New Roman" w:hAnsi="Calibri"/>
                <w:color w:val="000000"/>
                <w:sz w:val="18"/>
                <w:szCs w:val="18"/>
              </w:rPr>
              <w:t>EDC Incentives to Trade Allies</w:t>
            </w:r>
          </w:p>
        </w:tc>
        <w:tc>
          <w:tcPr>
            <w:tcW w:w="1263" w:type="dxa"/>
            <w:tcBorders>
              <w:left w:val="none" w:sz="0" w:space="0" w:color="auto"/>
              <w:right w:val="none" w:sz="0" w:space="0" w:color="auto"/>
            </w:tcBorders>
            <w:shd w:val="clear" w:color="auto" w:fill="auto"/>
            <w:noWrap/>
            <w:hideMark/>
          </w:tcPr>
          <w:p w:rsidR="00BB039B" w:rsidRPr="00B75B77" w:rsidRDefault="00BB039B" w:rsidP="00BB03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sz w:val="18"/>
                <w:szCs w:val="18"/>
              </w:rPr>
              <w:t>0</w:t>
            </w:r>
          </w:p>
        </w:tc>
        <w:tc>
          <w:tcPr>
            <w:cnfStyle w:val="000010000000" w:firstRow="0" w:lastRow="0" w:firstColumn="0" w:lastColumn="0" w:oddVBand="1" w:evenVBand="0" w:oddHBand="0" w:evenHBand="0" w:firstRowFirstColumn="0" w:firstRowLastColumn="0" w:lastRowFirstColumn="0" w:lastRowLastColumn="0"/>
            <w:tcW w:w="1347" w:type="dxa"/>
            <w:tcBorders>
              <w:left w:val="none" w:sz="0" w:space="0" w:color="auto"/>
            </w:tcBorders>
            <w:shd w:val="clear" w:color="auto" w:fill="auto"/>
            <w:hideMark/>
          </w:tcPr>
          <w:p w:rsidR="00BB039B" w:rsidRPr="00B75B77" w:rsidRDefault="00BB039B" w:rsidP="00BB039B">
            <w:pPr>
              <w:jc w:val="center"/>
              <w:rPr>
                <w:rFonts w:ascii="Calibri" w:eastAsia="Times New Roman" w:hAnsi="Calibri"/>
                <w:color w:val="000000"/>
                <w:sz w:val="18"/>
                <w:szCs w:val="18"/>
              </w:rPr>
            </w:pPr>
            <w:r w:rsidRPr="00B75B77">
              <w:rPr>
                <w:sz w:val="18"/>
                <w:szCs w:val="18"/>
              </w:rPr>
              <w:t>0</w:t>
            </w:r>
          </w:p>
        </w:tc>
      </w:tr>
      <w:tr w:rsidR="00BB039B" w:rsidRPr="00B75B77" w:rsidTr="002320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vAlign w:val="center"/>
          </w:tcPr>
          <w:p w:rsidR="00BB039B" w:rsidRPr="00B75B77" w:rsidDel="00B4154B" w:rsidRDefault="00BB039B" w:rsidP="00BB039B">
            <w:pPr>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4</w:t>
            </w:r>
          </w:p>
        </w:tc>
        <w:tc>
          <w:tcPr>
            <w:cnfStyle w:val="000010000000" w:firstRow="0" w:lastRow="0" w:firstColumn="0" w:lastColumn="0" w:oddVBand="1" w:evenVBand="0" w:oddHBand="0" w:evenHBand="0" w:firstRowFirstColumn="0" w:firstRowLastColumn="0" w:lastRowFirstColumn="0" w:lastRowLastColumn="0"/>
            <w:tcW w:w="6020" w:type="dxa"/>
            <w:tcBorders>
              <w:left w:val="none" w:sz="0" w:space="0" w:color="auto"/>
              <w:right w:val="none" w:sz="0" w:space="0" w:color="auto"/>
            </w:tcBorders>
            <w:noWrap/>
            <w:vAlign w:val="center"/>
            <w:hideMark/>
          </w:tcPr>
          <w:p w:rsidR="00BB039B" w:rsidRPr="00B75B77" w:rsidRDefault="00BB039B" w:rsidP="00BB039B">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Participant Costs (Net of Incentives/Rebates Paid by Utilities)</w:t>
            </w:r>
          </w:p>
        </w:tc>
        <w:tc>
          <w:tcPr>
            <w:tcW w:w="1263" w:type="dxa"/>
            <w:tcBorders>
              <w:left w:val="none" w:sz="0" w:space="0" w:color="auto"/>
              <w:right w:val="none" w:sz="0" w:space="0" w:color="auto"/>
            </w:tcBorders>
            <w:hideMark/>
          </w:tcPr>
          <w:p w:rsidR="00BB039B" w:rsidRPr="00B75B77" w:rsidRDefault="00BB039B" w:rsidP="00BB03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sz w:val="18"/>
                <w:szCs w:val="18"/>
              </w:rPr>
              <w:t>0</w:t>
            </w:r>
          </w:p>
        </w:tc>
        <w:tc>
          <w:tcPr>
            <w:cnfStyle w:val="000010000000" w:firstRow="0" w:lastRow="0" w:firstColumn="0" w:lastColumn="0" w:oddVBand="1" w:evenVBand="0" w:oddHBand="0" w:evenHBand="0" w:firstRowFirstColumn="0" w:firstRowLastColumn="0" w:lastRowFirstColumn="0" w:lastRowLastColumn="0"/>
            <w:tcW w:w="1347" w:type="dxa"/>
            <w:tcBorders>
              <w:left w:val="none" w:sz="0" w:space="0" w:color="auto"/>
            </w:tcBorders>
            <w:hideMark/>
          </w:tcPr>
          <w:p w:rsidR="00BB039B" w:rsidRPr="00B75B77" w:rsidRDefault="00BB039B" w:rsidP="00BB039B">
            <w:pPr>
              <w:jc w:val="center"/>
              <w:rPr>
                <w:rFonts w:ascii="Calibri" w:eastAsia="Times New Roman" w:hAnsi="Calibri"/>
                <w:color w:val="000000"/>
                <w:sz w:val="18"/>
                <w:szCs w:val="18"/>
              </w:rPr>
            </w:pPr>
            <w:r w:rsidRPr="00B75B77">
              <w:rPr>
                <w:sz w:val="18"/>
                <w:szCs w:val="18"/>
              </w:rPr>
              <w:t>0</w:t>
            </w:r>
          </w:p>
        </w:tc>
      </w:tr>
      <w:tr w:rsidR="00BB039B" w:rsidRPr="00B75B77" w:rsidTr="0023207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92" w:type="dxa"/>
            <w:gridSpan w:val="4"/>
            <w:shd w:val="clear" w:color="auto" w:fill="AEAAAA"/>
            <w:vAlign w:val="center"/>
          </w:tcPr>
          <w:p w:rsidR="00BB039B" w:rsidRPr="00B75B77" w:rsidRDefault="00BB039B" w:rsidP="00594255">
            <w:pPr>
              <w:jc w:val="center"/>
              <w:rPr>
                <w:rFonts w:ascii="Calibri" w:eastAsia="Times New Roman" w:hAnsi="Calibri"/>
                <w:color w:val="000000"/>
                <w:sz w:val="18"/>
                <w:szCs w:val="18"/>
              </w:rPr>
            </w:pPr>
          </w:p>
        </w:tc>
      </w:tr>
      <w:tr w:rsidR="00BB039B" w:rsidRPr="00B75B77" w:rsidTr="002320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auto"/>
            <w:vAlign w:val="center"/>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5</w:t>
            </w:r>
          </w:p>
        </w:tc>
        <w:tc>
          <w:tcPr>
            <w:cnfStyle w:val="000010000000" w:firstRow="0" w:lastRow="0" w:firstColumn="0" w:lastColumn="0" w:oddVBand="1" w:evenVBand="0" w:oddHBand="0" w:evenHBand="0" w:firstRowFirstColumn="0" w:firstRowLastColumn="0" w:lastRowFirstColumn="0" w:lastRowLastColumn="0"/>
            <w:tcW w:w="6020" w:type="dxa"/>
            <w:tcBorders>
              <w:left w:val="none" w:sz="0" w:space="0" w:color="auto"/>
              <w:right w:val="none" w:sz="0" w:space="0" w:color="auto"/>
            </w:tcBorders>
            <w:shd w:val="clear" w:color="auto" w:fill="auto"/>
            <w:noWrap/>
            <w:vAlign w:val="center"/>
          </w:tcPr>
          <w:p w:rsidR="00BB039B" w:rsidRPr="00B75B77" w:rsidRDefault="00BB039B" w:rsidP="00BB039B">
            <w:pPr>
              <w:jc w:val="left"/>
              <w:rPr>
                <w:rFonts w:ascii="Calibri" w:eastAsia="Times New Roman" w:hAnsi="Calibri"/>
                <w:color w:val="000000"/>
                <w:sz w:val="18"/>
                <w:szCs w:val="18"/>
              </w:rPr>
            </w:pPr>
            <w:r w:rsidRPr="00B75B77">
              <w:rPr>
                <w:rFonts w:ascii="Calibri" w:eastAsia="Times New Roman" w:hAnsi="Calibri"/>
                <w:color w:val="000000"/>
                <w:sz w:val="18"/>
                <w:szCs w:val="18"/>
              </w:rPr>
              <w:t>Program Overhead Costs (Sum of Rows 6 through 10 )</w:t>
            </w:r>
          </w:p>
        </w:tc>
        <w:tc>
          <w:tcPr>
            <w:tcW w:w="1263" w:type="dxa"/>
            <w:tcBorders>
              <w:left w:val="none" w:sz="0" w:space="0" w:color="auto"/>
              <w:right w:val="none" w:sz="0" w:space="0" w:color="auto"/>
            </w:tcBorders>
            <w:shd w:val="clear" w:color="auto" w:fill="auto"/>
            <w:noWrap/>
          </w:tcPr>
          <w:p w:rsidR="00BB039B" w:rsidRPr="00B75B77" w:rsidRDefault="00BB039B" w:rsidP="00BB03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sz w:val="18"/>
                <w:szCs w:val="18"/>
              </w:rPr>
              <w:t>787</w:t>
            </w:r>
          </w:p>
        </w:tc>
        <w:tc>
          <w:tcPr>
            <w:cnfStyle w:val="000010000000" w:firstRow="0" w:lastRow="0" w:firstColumn="0" w:lastColumn="0" w:oddVBand="1" w:evenVBand="0" w:oddHBand="0" w:evenHBand="0" w:firstRowFirstColumn="0" w:firstRowLastColumn="0" w:lastRowFirstColumn="0" w:lastRowLastColumn="0"/>
            <w:tcW w:w="1347" w:type="dxa"/>
            <w:tcBorders>
              <w:left w:val="none" w:sz="0" w:space="0" w:color="auto"/>
            </w:tcBorders>
            <w:shd w:val="clear" w:color="auto" w:fill="auto"/>
          </w:tcPr>
          <w:p w:rsidR="00BB039B" w:rsidRPr="00B75B77" w:rsidRDefault="00BB039B" w:rsidP="00BB039B">
            <w:pPr>
              <w:jc w:val="center"/>
              <w:rPr>
                <w:rFonts w:ascii="Calibri" w:eastAsia="Times New Roman" w:hAnsi="Calibri"/>
                <w:color w:val="000000"/>
                <w:sz w:val="18"/>
                <w:szCs w:val="18"/>
              </w:rPr>
            </w:pPr>
            <w:r w:rsidRPr="00B75B77">
              <w:rPr>
                <w:sz w:val="18"/>
                <w:szCs w:val="18"/>
              </w:rPr>
              <w:t>3,225</w:t>
            </w:r>
          </w:p>
        </w:tc>
      </w:tr>
      <w:tr w:rsidR="00BB039B" w:rsidRPr="00B75B77" w:rsidTr="0023207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D2EAF1"/>
            <w:vAlign w:val="center"/>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6</w:t>
            </w:r>
          </w:p>
        </w:tc>
        <w:tc>
          <w:tcPr>
            <w:cnfStyle w:val="000010000000" w:firstRow="0" w:lastRow="0" w:firstColumn="0" w:lastColumn="0" w:oddVBand="1" w:evenVBand="0" w:oddHBand="0" w:evenHBand="0" w:firstRowFirstColumn="0" w:firstRowLastColumn="0" w:lastRowFirstColumn="0" w:lastRowLastColumn="0"/>
            <w:tcW w:w="6020" w:type="dxa"/>
            <w:tcBorders>
              <w:left w:val="none" w:sz="0" w:space="0" w:color="auto"/>
              <w:right w:val="none" w:sz="0" w:space="0" w:color="auto"/>
            </w:tcBorders>
            <w:shd w:val="clear" w:color="auto" w:fill="D2EAF1"/>
            <w:noWrap/>
            <w:vAlign w:val="center"/>
            <w:hideMark/>
          </w:tcPr>
          <w:p w:rsidR="00BB039B" w:rsidRPr="00B75B77" w:rsidRDefault="00BB039B" w:rsidP="00BB039B">
            <w:pPr>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Design </w:t>
            </w:r>
            <w:r w:rsidR="00C5009F" w:rsidRPr="00B75B77">
              <w:rPr>
                <w:rFonts w:ascii="Calibri" w:eastAsia="Times New Roman" w:hAnsi="Calibri"/>
                <w:color w:val="000000"/>
                <w:sz w:val="18"/>
                <w:szCs w:val="18"/>
              </w:rPr>
              <w:t>and</w:t>
            </w:r>
            <w:r w:rsidRPr="00B75B77">
              <w:rPr>
                <w:rFonts w:ascii="Calibri" w:eastAsia="Times New Roman" w:hAnsi="Calibri"/>
                <w:color w:val="000000"/>
                <w:sz w:val="18"/>
                <w:szCs w:val="18"/>
              </w:rPr>
              <w:t xml:space="preserve"> Development</w:t>
            </w:r>
          </w:p>
        </w:tc>
        <w:tc>
          <w:tcPr>
            <w:tcW w:w="1263" w:type="dxa"/>
            <w:tcBorders>
              <w:left w:val="none" w:sz="0" w:space="0" w:color="auto"/>
              <w:right w:val="none" w:sz="0" w:space="0" w:color="auto"/>
            </w:tcBorders>
            <w:shd w:val="clear" w:color="auto" w:fill="D2EAF1"/>
            <w:noWrap/>
            <w:hideMark/>
          </w:tcPr>
          <w:p w:rsidR="00BB039B" w:rsidRPr="00B75B77" w:rsidRDefault="00BB039B" w:rsidP="00BB03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sz w:val="18"/>
                <w:szCs w:val="18"/>
              </w:rPr>
              <w:t>0</w:t>
            </w:r>
          </w:p>
        </w:tc>
        <w:tc>
          <w:tcPr>
            <w:cnfStyle w:val="000010000000" w:firstRow="0" w:lastRow="0" w:firstColumn="0" w:lastColumn="0" w:oddVBand="1" w:evenVBand="0" w:oddHBand="0" w:evenHBand="0" w:firstRowFirstColumn="0" w:firstRowLastColumn="0" w:lastRowFirstColumn="0" w:lastRowLastColumn="0"/>
            <w:tcW w:w="1347" w:type="dxa"/>
            <w:tcBorders>
              <w:left w:val="none" w:sz="0" w:space="0" w:color="auto"/>
            </w:tcBorders>
            <w:shd w:val="clear" w:color="auto" w:fill="D2EAF1"/>
            <w:hideMark/>
          </w:tcPr>
          <w:p w:rsidR="00BB039B" w:rsidRPr="00B75B77" w:rsidRDefault="00BB039B" w:rsidP="00BB039B">
            <w:pPr>
              <w:jc w:val="center"/>
              <w:rPr>
                <w:rFonts w:ascii="Calibri" w:eastAsia="Times New Roman" w:hAnsi="Calibri"/>
                <w:color w:val="000000"/>
                <w:sz w:val="18"/>
                <w:szCs w:val="18"/>
              </w:rPr>
            </w:pPr>
            <w:r w:rsidRPr="00B75B77">
              <w:rPr>
                <w:sz w:val="18"/>
                <w:szCs w:val="18"/>
              </w:rPr>
              <w:t>0</w:t>
            </w:r>
          </w:p>
        </w:tc>
      </w:tr>
      <w:tr w:rsidR="00BB039B" w:rsidRPr="00B75B77" w:rsidTr="002320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auto"/>
            <w:vAlign w:val="center"/>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7</w:t>
            </w:r>
          </w:p>
        </w:tc>
        <w:tc>
          <w:tcPr>
            <w:cnfStyle w:val="000010000000" w:firstRow="0" w:lastRow="0" w:firstColumn="0" w:lastColumn="0" w:oddVBand="1" w:evenVBand="0" w:oddHBand="0" w:evenHBand="0" w:firstRowFirstColumn="0" w:firstRowLastColumn="0" w:lastRowFirstColumn="0" w:lastRowLastColumn="0"/>
            <w:tcW w:w="6020" w:type="dxa"/>
            <w:tcBorders>
              <w:left w:val="none" w:sz="0" w:space="0" w:color="auto"/>
              <w:right w:val="none" w:sz="0" w:space="0" w:color="auto"/>
            </w:tcBorders>
            <w:shd w:val="clear" w:color="auto" w:fill="auto"/>
            <w:noWrap/>
            <w:vAlign w:val="center"/>
            <w:hideMark/>
          </w:tcPr>
          <w:p w:rsidR="00BB039B" w:rsidRPr="00B75B77" w:rsidRDefault="00BB039B" w:rsidP="00BB039B">
            <w:pPr>
              <w:jc w:val="left"/>
              <w:rPr>
                <w:rFonts w:ascii="Calibri" w:eastAsia="Times New Roman" w:hAnsi="Calibri"/>
                <w:color w:val="000000"/>
                <w:sz w:val="18"/>
                <w:szCs w:val="18"/>
              </w:rPr>
            </w:pPr>
            <w:r w:rsidRPr="00B75B77">
              <w:rPr>
                <w:rFonts w:ascii="Calibri" w:eastAsia="Times New Roman" w:hAnsi="Calibri"/>
                <w:color w:val="000000"/>
                <w:sz w:val="18"/>
                <w:szCs w:val="18"/>
              </w:rPr>
              <w:t>Administration, Management, and Technical Assistance</w:t>
            </w:r>
            <w:r w:rsidRPr="00B75B77">
              <w:rPr>
                <w:rFonts w:ascii="Calibri" w:eastAsia="Times New Roman" w:hAnsi="Calibri"/>
                <w:b/>
                <w:bCs/>
                <w:color w:val="000000"/>
                <w:sz w:val="18"/>
                <w:szCs w:val="18"/>
                <w:vertAlign w:val="superscript"/>
              </w:rPr>
              <w:t>[1]</w:t>
            </w:r>
          </w:p>
        </w:tc>
        <w:tc>
          <w:tcPr>
            <w:tcW w:w="1263" w:type="dxa"/>
            <w:tcBorders>
              <w:left w:val="none" w:sz="0" w:space="0" w:color="auto"/>
              <w:right w:val="none" w:sz="0" w:space="0" w:color="auto"/>
            </w:tcBorders>
            <w:shd w:val="clear" w:color="auto" w:fill="auto"/>
            <w:noWrap/>
            <w:hideMark/>
          </w:tcPr>
          <w:p w:rsidR="00BB039B" w:rsidRPr="00B75B77" w:rsidRDefault="00BB039B" w:rsidP="00BB03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sz w:val="18"/>
                <w:szCs w:val="18"/>
              </w:rPr>
              <w:t>669</w:t>
            </w:r>
          </w:p>
        </w:tc>
        <w:tc>
          <w:tcPr>
            <w:cnfStyle w:val="000010000000" w:firstRow="0" w:lastRow="0" w:firstColumn="0" w:lastColumn="0" w:oddVBand="1" w:evenVBand="0" w:oddHBand="0" w:evenHBand="0" w:firstRowFirstColumn="0" w:firstRowLastColumn="0" w:lastRowFirstColumn="0" w:lastRowLastColumn="0"/>
            <w:tcW w:w="1347" w:type="dxa"/>
            <w:tcBorders>
              <w:left w:val="none" w:sz="0" w:space="0" w:color="auto"/>
            </w:tcBorders>
            <w:shd w:val="clear" w:color="auto" w:fill="auto"/>
            <w:hideMark/>
          </w:tcPr>
          <w:p w:rsidR="00BB039B" w:rsidRPr="00B75B77" w:rsidRDefault="00BB039B" w:rsidP="00BB039B">
            <w:pPr>
              <w:jc w:val="center"/>
              <w:rPr>
                <w:rFonts w:ascii="Calibri" w:eastAsia="Times New Roman" w:hAnsi="Calibri"/>
                <w:color w:val="000000"/>
                <w:sz w:val="18"/>
                <w:szCs w:val="18"/>
              </w:rPr>
            </w:pPr>
            <w:r w:rsidRPr="00B75B77">
              <w:rPr>
                <w:sz w:val="18"/>
                <w:szCs w:val="18"/>
              </w:rPr>
              <w:t>3,032</w:t>
            </w:r>
          </w:p>
        </w:tc>
      </w:tr>
      <w:tr w:rsidR="00BB039B" w:rsidRPr="00B75B77" w:rsidTr="0023207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D2EAF1"/>
            <w:vAlign w:val="center"/>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8</w:t>
            </w:r>
          </w:p>
        </w:tc>
        <w:tc>
          <w:tcPr>
            <w:cnfStyle w:val="000010000000" w:firstRow="0" w:lastRow="0" w:firstColumn="0" w:lastColumn="0" w:oddVBand="1" w:evenVBand="0" w:oddHBand="0" w:evenHBand="0" w:firstRowFirstColumn="0" w:firstRowLastColumn="0" w:lastRowFirstColumn="0" w:lastRowLastColumn="0"/>
            <w:tcW w:w="6020" w:type="dxa"/>
            <w:tcBorders>
              <w:left w:val="none" w:sz="0" w:space="0" w:color="auto"/>
              <w:right w:val="none" w:sz="0" w:space="0" w:color="auto"/>
            </w:tcBorders>
            <w:shd w:val="clear" w:color="auto" w:fill="D2EAF1"/>
            <w:noWrap/>
            <w:vAlign w:val="center"/>
            <w:hideMark/>
          </w:tcPr>
          <w:p w:rsidR="00BB039B" w:rsidRPr="00B75B77" w:rsidRDefault="00BB039B" w:rsidP="00BB039B">
            <w:pPr>
              <w:jc w:val="left"/>
              <w:rPr>
                <w:rFonts w:ascii="Calibri" w:eastAsia="Times New Roman" w:hAnsi="Calibri"/>
                <w:color w:val="000000"/>
                <w:sz w:val="18"/>
                <w:szCs w:val="18"/>
              </w:rPr>
            </w:pPr>
            <w:r w:rsidRPr="00B75B77">
              <w:rPr>
                <w:rFonts w:ascii="Calibri" w:eastAsia="Times New Roman" w:hAnsi="Calibri"/>
                <w:color w:val="000000"/>
                <w:sz w:val="18"/>
                <w:szCs w:val="18"/>
              </w:rPr>
              <w:t>Marketing</w:t>
            </w:r>
            <w:r w:rsidRPr="00B75B77">
              <w:rPr>
                <w:rFonts w:ascii="Calibri" w:eastAsia="Times New Roman" w:hAnsi="Calibri"/>
                <w:b/>
                <w:bCs/>
                <w:color w:val="000000"/>
                <w:sz w:val="18"/>
                <w:szCs w:val="18"/>
                <w:vertAlign w:val="superscript"/>
              </w:rPr>
              <w:t>[2]</w:t>
            </w:r>
          </w:p>
        </w:tc>
        <w:tc>
          <w:tcPr>
            <w:tcW w:w="1263" w:type="dxa"/>
            <w:tcBorders>
              <w:left w:val="none" w:sz="0" w:space="0" w:color="auto"/>
              <w:right w:val="none" w:sz="0" w:space="0" w:color="auto"/>
            </w:tcBorders>
            <w:shd w:val="clear" w:color="auto" w:fill="D2EAF1"/>
            <w:noWrap/>
            <w:hideMark/>
          </w:tcPr>
          <w:p w:rsidR="00BB039B" w:rsidRPr="00B75B77" w:rsidRDefault="00BB039B" w:rsidP="00BB03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sz w:val="18"/>
                <w:szCs w:val="18"/>
              </w:rPr>
              <w:t>118</w:t>
            </w:r>
          </w:p>
        </w:tc>
        <w:tc>
          <w:tcPr>
            <w:cnfStyle w:val="000010000000" w:firstRow="0" w:lastRow="0" w:firstColumn="0" w:lastColumn="0" w:oddVBand="1" w:evenVBand="0" w:oddHBand="0" w:evenHBand="0" w:firstRowFirstColumn="0" w:firstRowLastColumn="0" w:lastRowFirstColumn="0" w:lastRowLastColumn="0"/>
            <w:tcW w:w="1347" w:type="dxa"/>
            <w:tcBorders>
              <w:left w:val="none" w:sz="0" w:space="0" w:color="auto"/>
            </w:tcBorders>
            <w:shd w:val="clear" w:color="auto" w:fill="D2EAF1"/>
            <w:hideMark/>
          </w:tcPr>
          <w:p w:rsidR="00BB039B" w:rsidRPr="00B75B77" w:rsidRDefault="00BB039B" w:rsidP="00BB039B">
            <w:pPr>
              <w:jc w:val="center"/>
              <w:rPr>
                <w:rFonts w:ascii="Calibri" w:eastAsia="Times New Roman" w:hAnsi="Calibri"/>
                <w:color w:val="000000"/>
                <w:sz w:val="18"/>
                <w:szCs w:val="18"/>
              </w:rPr>
            </w:pPr>
            <w:r w:rsidRPr="00B75B77">
              <w:rPr>
                <w:sz w:val="18"/>
                <w:szCs w:val="18"/>
              </w:rPr>
              <w:t>192</w:t>
            </w:r>
          </w:p>
        </w:tc>
      </w:tr>
      <w:tr w:rsidR="00BB039B" w:rsidRPr="00B75B77" w:rsidTr="002320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auto"/>
            <w:vAlign w:val="center"/>
          </w:tcPr>
          <w:p w:rsidR="00BB039B" w:rsidRPr="00B75B77" w:rsidRDefault="00BB039B" w:rsidP="00BB039B">
            <w:pPr>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9</w:t>
            </w:r>
          </w:p>
        </w:tc>
        <w:tc>
          <w:tcPr>
            <w:cnfStyle w:val="000010000000" w:firstRow="0" w:lastRow="0" w:firstColumn="0" w:lastColumn="0" w:oddVBand="1" w:evenVBand="0" w:oddHBand="0" w:evenHBand="0" w:firstRowFirstColumn="0" w:firstRowLastColumn="0" w:lastRowFirstColumn="0" w:lastRowLastColumn="0"/>
            <w:tcW w:w="6020" w:type="dxa"/>
            <w:tcBorders>
              <w:left w:val="none" w:sz="0" w:space="0" w:color="auto"/>
              <w:right w:val="none" w:sz="0" w:space="0" w:color="auto"/>
            </w:tcBorders>
            <w:shd w:val="clear" w:color="auto" w:fill="auto"/>
            <w:noWrap/>
            <w:vAlign w:val="center"/>
          </w:tcPr>
          <w:p w:rsidR="00BB039B" w:rsidRPr="00B75B77" w:rsidRDefault="00BB039B" w:rsidP="00BB039B">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EDC Evaluation Costs</w:t>
            </w:r>
          </w:p>
        </w:tc>
        <w:tc>
          <w:tcPr>
            <w:tcW w:w="1263" w:type="dxa"/>
            <w:tcBorders>
              <w:left w:val="none" w:sz="0" w:space="0" w:color="auto"/>
              <w:right w:val="none" w:sz="0" w:space="0" w:color="auto"/>
            </w:tcBorders>
            <w:shd w:val="clear" w:color="auto" w:fill="auto"/>
            <w:noWrap/>
            <w:hideMark/>
          </w:tcPr>
          <w:p w:rsidR="00BB039B" w:rsidRPr="00B75B77" w:rsidRDefault="00BB039B" w:rsidP="00BB03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18"/>
                <w:szCs w:val="18"/>
              </w:rPr>
            </w:pPr>
            <w:r w:rsidRPr="00B75B77">
              <w:rPr>
                <w:sz w:val="18"/>
                <w:szCs w:val="18"/>
              </w:rPr>
              <w:t>0</w:t>
            </w:r>
          </w:p>
        </w:tc>
        <w:tc>
          <w:tcPr>
            <w:cnfStyle w:val="000010000000" w:firstRow="0" w:lastRow="0" w:firstColumn="0" w:lastColumn="0" w:oddVBand="1" w:evenVBand="0" w:oddHBand="0" w:evenHBand="0" w:firstRowFirstColumn="0" w:firstRowLastColumn="0" w:lastRowFirstColumn="0" w:lastRowLastColumn="0"/>
            <w:tcW w:w="1347" w:type="dxa"/>
            <w:tcBorders>
              <w:left w:val="none" w:sz="0" w:space="0" w:color="auto"/>
            </w:tcBorders>
            <w:shd w:val="clear" w:color="auto" w:fill="auto"/>
            <w:hideMark/>
          </w:tcPr>
          <w:p w:rsidR="00BB039B" w:rsidRPr="00B75B77" w:rsidRDefault="00BB039B" w:rsidP="00BB039B">
            <w:pPr>
              <w:jc w:val="center"/>
              <w:rPr>
                <w:rFonts w:ascii="Calibri" w:eastAsia="Times New Roman" w:hAnsi="Calibri"/>
                <w:b/>
                <w:bCs/>
                <w:color w:val="000000"/>
                <w:sz w:val="18"/>
                <w:szCs w:val="18"/>
              </w:rPr>
            </w:pPr>
            <w:r w:rsidRPr="00B75B77">
              <w:rPr>
                <w:sz w:val="18"/>
                <w:szCs w:val="18"/>
              </w:rPr>
              <w:t>0</w:t>
            </w:r>
          </w:p>
        </w:tc>
      </w:tr>
      <w:tr w:rsidR="00BB039B" w:rsidRPr="00B75B77" w:rsidTr="0023207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D2EAF1"/>
            <w:vAlign w:val="center"/>
          </w:tcPr>
          <w:p w:rsidR="00BB039B" w:rsidRPr="00B75B77" w:rsidRDefault="00BB039B" w:rsidP="00BB039B">
            <w:pPr>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10</w:t>
            </w:r>
          </w:p>
        </w:tc>
        <w:tc>
          <w:tcPr>
            <w:cnfStyle w:val="000010000000" w:firstRow="0" w:lastRow="0" w:firstColumn="0" w:lastColumn="0" w:oddVBand="1" w:evenVBand="0" w:oddHBand="0" w:evenHBand="0" w:firstRowFirstColumn="0" w:firstRowLastColumn="0" w:lastRowFirstColumn="0" w:lastRowLastColumn="0"/>
            <w:tcW w:w="6020" w:type="dxa"/>
            <w:tcBorders>
              <w:left w:val="none" w:sz="0" w:space="0" w:color="auto"/>
              <w:right w:val="none" w:sz="0" w:space="0" w:color="auto"/>
            </w:tcBorders>
            <w:shd w:val="clear" w:color="auto" w:fill="D2EAF1"/>
            <w:noWrap/>
            <w:vAlign w:val="center"/>
          </w:tcPr>
          <w:p w:rsidR="00BB039B" w:rsidRPr="00B75B77" w:rsidRDefault="00BB039B" w:rsidP="00BB039B">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SWE Audit Costs</w:t>
            </w:r>
          </w:p>
        </w:tc>
        <w:tc>
          <w:tcPr>
            <w:tcW w:w="1263" w:type="dxa"/>
            <w:tcBorders>
              <w:left w:val="none" w:sz="0" w:space="0" w:color="auto"/>
              <w:right w:val="none" w:sz="0" w:space="0" w:color="auto"/>
            </w:tcBorders>
            <w:shd w:val="clear" w:color="auto" w:fill="D2EAF1"/>
            <w:noWrap/>
          </w:tcPr>
          <w:p w:rsidR="00BB039B" w:rsidRPr="00B75B77" w:rsidRDefault="00BB039B" w:rsidP="00BB03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sz w:val="18"/>
                <w:szCs w:val="18"/>
              </w:rPr>
              <w:t>0</w:t>
            </w:r>
          </w:p>
        </w:tc>
        <w:tc>
          <w:tcPr>
            <w:cnfStyle w:val="000010000000" w:firstRow="0" w:lastRow="0" w:firstColumn="0" w:lastColumn="0" w:oddVBand="1" w:evenVBand="0" w:oddHBand="0" w:evenHBand="0" w:firstRowFirstColumn="0" w:firstRowLastColumn="0" w:lastRowFirstColumn="0" w:lastRowLastColumn="0"/>
            <w:tcW w:w="1347" w:type="dxa"/>
            <w:tcBorders>
              <w:left w:val="none" w:sz="0" w:space="0" w:color="auto"/>
            </w:tcBorders>
            <w:shd w:val="clear" w:color="auto" w:fill="D2EAF1"/>
          </w:tcPr>
          <w:p w:rsidR="00BB039B" w:rsidRPr="00B75B77" w:rsidRDefault="00BB039B" w:rsidP="00BB039B">
            <w:pPr>
              <w:jc w:val="center"/>
              <w:rPr>
                <w:rFonts w:ascii="Calibri" w:eastAsia="Times New Roman" w:hAnsi="Calibri"/>
                <w:color w:val="000000"/>
                <w:sz w:val="18"/>
                <w:szCs w:val="18"/>
              </w:rPr>
            </w:pPr>
            <w:r w:rsidRPr="00B75B77">
              <w:rPr>
                <w:sz w:val="18"/>
                <w:szCs w:val="18"/>
              </w:rPr>
              <w:t>0</w:t>
            </w:r>
          </w:p>
        </w:tc>
      </w:tr>
      <w:tr w:rsidR="00BB039B" w:rsidRPr="00B75B77" w:rsidTr="00232078">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9692" w:type="dxa"/>
            <w:gridSpan w:val="4"/>
            <w:shd w:val="clear" w:color="auto" w:fill="AEAAAA"/>
            <w:vAlign w:val="center"/>
          </w:tcPr>
          <w:p w:rsidR="00BB039B" w:rsidRPr="00B75B77" w:rsidRDefault="00BB039B" w:rsidP="00594255">
            <w:pPr>
              <w:jc w:val="center"/>
              <w:rPr>
                <w:rFonts w:ascii="Calibri" w:eastAsia="Times New Roman" w:hAnsi="Calibri"/>
                <w:b w:val="0"/>
                <w:bCs w:val="0"/>
                <w:color w:val="000000"/>
                <w:sz w:val="18"/>
                <w:szCs w:val="18"/>
              </w:rPr>
            </w:pPr>
          </w:p>
        </w:tc>
      </w:tr>
      <w:tr w:rsidR="00BB039B" w:rsidRPr="00B75B77" w:rsidTr="0023207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auto"/>
            <w:vAlign w:val="center"/>
          </w:tcPr>
          <w:p w:rsidR="00BB039B" w:rsidRPr="00B75B77" w:rsidRDefault="00BB039B" w:rsidP="00594255">
            <w:pPr>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11</w:t>
            </w:r>
          </w:p>
        </w:tc>
        <w:tc>
          <w:tcPr>
            <w:cnfStyle w:val="000010000000" w:firstRow="0" w:lastRow="0" w:firstColumn="0" w:lastColumn="0" w:oddVBand="1" w:evenVBand="0" w:oddHBand="0" w:evenHBand="0" w:firstRowFirstColumn="0" w:firstRowLastColumn="0" w:lastRowFirstColumn="0" w:lastRowLastColumn="0"/>
            <w:tcW w:w="6020" w:type="dxa"/>
            <w:tcBorders>
              <w:left w:val="none" w:sz="0" w:space="0" w:color="auto"/>
              <w:right w:val="none" w:sz="0" w:space="0" w:color="auto"/>
            </w:tcBorders>
            <w:shd w:val="clear" w:color="auto" w:fill="auto"/>
            <w:noWrap/>
            <w:vAlign w:val="center"/>
          </w:tcPr>
          <w:p w:rsidR="00BB039B" w:rsidRPr="00B75B77" w:rsidRDefault="00BB039B" w:rsidP="00594255">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Increases in Costs of Natural Gas (or Other Fuels) for Fuel-Switching Programs</w:t>
            </w:r>
          </w:p>
        </w:tc>
        <w:tc>
          <w:tcPr>
            <w:tcW w:w="1263" w:type="dxa"/>
            <w:tcBorders>
              <w:left w:val="none" w:sz="0" w:space="0" w:color="auto"/>
              <w:right w:val="none" w:sz="0" w:space="0" w:color="auto"/>
            </w:tcBorders>
            <w:shd w:val="clear" w:color="auto" w:fill="auto"/>
            <w:noWrap/>
            <w:vAlign w:val="center"/>
          </w:tcPr>
          <w:p w:rsidR="00BB039B" w:rsidRPr="00B75B77" w:rsidRDefault="00620F33" w:rsidP="0059425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bCs/>
                <w:color w:val="000000"/>
                <w:sz w:val="18"/>
                <w:szCs w:val="18"/>
              </w:rPr>
              <w:t>0</w:t>
            </w:r>
          </w:p>
        </w:tc>
        <w:tc>
          <w:tcPr>
            <w:cnfStyle w:val="000010000000" w:firstRow="0" w:lastRow="0" w:firstColumn="0" w:lastColumn="0" w:oddVBand="1" w:evenVBand="0" w:oddHBand="0" w:evenHBand="0" w:firstRowFirstColumn="0" w:firstRowLastColumn="0" w:lastRowFirstColumn="0" w:lastRowLastColumn="0"/>
            <w:tcW w:w="1347" w:type="dxa"/>
            <w:tcBorders>
              <w:left w:val="none" w:sz="0" w:space="0" w:color="auto"/>
            </w:tcBorders>
            <w:shd w:val="clear" w:color="auto" w:fill="auto"/>
            <w:vAlign w:val="center"/>
          </w:tcPr>
          <w:p w:rsidR="00BB039B" w:rsidRPr="00B75B77" w:rsidRDefault="00620F33" w:rsidP="00594255">
            <w:pPr>
              <w:jc w:val="center"/>
              <w:rPr>
                <w:rFonts w:ascii="Calibri" w:eastAsia="Times New Roman" w:hAnsi="Calibri"/>
                <w:color w:val="000000"/>
                <w:sz w:val="18"/>
                <w:szCs w:val="18"/>
              </w:rPr>
            </w:pPr>
            <w:r w:rsidRPr="00B75B77">
              <w:rPr>
                <w:rFonts w:ascii="Calibri" w:eastAsia="Times New Roman" w:hAnsi="Calibri"/>
                <w:bCs/>
                <w:color w:val="000000"/>
                <w:sz w:val="18"/>
                <w:szCs w:val="18"/>
              </w:rPr>
              <w:t>0</w:t>
            </w:r>
          </w:p>
        </w:tc>
      </w:tr>
      <w:tr w:rsidR="00BB039B" w:rsidRPr="00B75B77" w:rsidTr="00232078">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9692" w:type="dxa"/>
            <w:gridSpan w:val="4"/>
            <w:shd w:val="clear" w:color="auto" w:fill="AEAAAA"/>
            <w:vAlign w:val="center"/>
          </w:tcPr>
          <w:p w:rsidR="00BB039B" w:rsidRPr="00B75B77" w:rsidRDefault="00BB039B" w:rsidP="00594255">
            <w:pPr>
              <w:jc w:val="center"/>
              <w:rPr>
                <w:rFonts w:ascii="Calibri" w:eastAsia="Times New Roman" w:hAnsi="Calibri"/>
                <w:b w:val="0"/>
                <w:bCs w:val="0"/>
                <w:color w:val="000000"/>
                <w:sz w:val="18"/>
                <w:szCs w:val="18"/>
              </w:rPr>
            </w:pPr>
          </w:p>
        </w:tc>
      </w:tr>
      <w:tr w:rsidR="00BB039B" w:rsidRPr="00B75B77" w:rsidTr="0023207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D2EAF1"/>
            <w:vAlign w:val="center"/>
          </w:tcPr>
          <w:p w:rsidR="00BB039B" w:rsidRPr="00B75B77" w:rsidRDefault="00BB039B" w:rsidP="00BB039B">
            <w:pPr>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12</w:t>
            </w:r>
          </w:p>
        </w:tc>
        <w:tc>
          <w:tcPr>
            <w:cnfStyle w:val="000010000000" w:firstRow="0" w:lastRow="0" w:firstColumn="0" w:lastColumn="0" w:oddVBand="1" w:evenVBand="0" w:oddHBand="0" w:evenHBand="0" w:firstRowFirstColumn="0" w:firstRowLastColumn="0" w:lastRowFirstColumn="0" w:lastRowLastColumn="0"/>
            <w:tcW w:w="6020" w:type="dxa"/>
            <w:tcBorders>
              <w:left w:val="none" w:sz="0" w:space="0" w:color="auto"/>
              <w:right w:val="none" w:sz="0" w:space="0" w:color="auto"/>
            </w:tcBorders>
            <w:noWrap/>
            <w:vAlign w:val="center"/>
            <w:hideMark/>
          </w:tcPr>
          <w:p w:rsidR="00BB039B" w:rsidRPr="00B75B77" w:rsidRDefault="00BB039B" w:rsidP="00BB039B">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Total  TRC Costs</w:t>
            </w:r>
            <w:r w:rsidRPr="00B75B77">
              <w:rPr>
                <w:rFonts w:ascii="Calibri" w:eastAsia="Times New Roman" w:hAnsi="Calibri"/>
                <w:bCs/>
                <w:color w:val="000000"/>
                <w:sz w:val="18"/>
                <w:szCs w:val="18"/>
                <w:vertAlign w:val="superscript"/>
              </w:rPr>
              <w:t xml:space="preserve">[3] </w:t>
            </w:r>
            <w:r w:rsidRPr="00B75B77">
              <w:rPr>
                <w:rFonts w:ascii="Calibri" w:eastAsia="Times New Roman" w:hAnsi="Calibri"/>
                <w:bCs/>
                <w:color w:val="000000"/>
                <w:sz w:val="18"/>
                <w:szCs w:val="18"/>
              </w:rPr>
              <w:t>(Sum of Rows 1, 5, and 11)</w:t>
            </w:r>
          </w:p>
        </w:tc>
        <w:tc>
          <w:tcPr>
            <w:tcW w:w="1263" w:type="dxa"/>
            <w:tcBorders>
              <w:left w:val="none" w:sz="0" w:space="0" w:color="auto"/>
              <w:right w:val="none" w:sz="0" w:space="0" w:color="auto"/>
            </w:tcBorders>
            <w:shd w:val="clear" w:color="auto" w:fill="DAEEF3" w:themeFill="accent5" w:themeFillTint="33"/>
            <w:noWrap/>
            <w:hideMark/>
          </w:tcPr>
          <w:p w:rsidR="00BB039B" w:rsidRPr="00B75B77" w:rsidRDefault="00BB039B" w:rsidP="00BB03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 w:val="18"/>
                <w:szCs w:val="18"/>
              </w:rPr>
            </w:pPr>
            <w:r w:rsidRPr="00B75B77">
              <w:rPr>
                <w:sz w:val="18"/>
                <w:szCs w:val="18"/>
              </w:rPr>
              <w:t>787</w:t>
            </w:r>
          </w:p>
        </w:tc>
        <w:tc>
          <w:tcPr>
            <w:cnfStyle w:val="000010000000" w:firstRow="0" w:lastRow="0" w:firstColumn="0" w:lastColumn="0" w:oddVBand="1" w:evenVBand="0" w:oddHBand="0" w:evenHBand="0" w:firstRowFirstColumn="0" w:firstRowLastColumn="0" w:lastRowFirstColumn="0" w:lastRowLastColumn="0"/>
            <w:tcW w:w="1347" w:type="dxa"/>
            <w:tcBorders>
              <w:left w:val="none" w:sz="0" w:space="0" w:color="auto"/>
            </w:tcBorders>
            <w:hideMark/>
          </w:tcPr>
          <w:p w:rsidR="00BB039B" w:rsidRPr="00B75B77" w:rsidRDefault="00BB039B" w:rsidP="00BB039B">
            <w:pPr>
              <w:jc w:val="center"/>
              <w:rPr>
                <w:rFonts w:ascii="Calibri" w:eastAsia="Times New Roman" w:hAnsi="Calibri"/>
                <w:b/>
                <w:bCs/>
                <w:color w:val="000000"/>
                <w:sz w:val="18"/>
                <w:szCs w:val="18"/>
              </w:rPr>
            </w:pPr>
            <w:r w:rsidRPr="00B75B77">
              <w:rPr>
                <w:sz w:val="18"/>
                <w:szCs w:val="18"/>
              </w:rPr>
              <w:t>3,225</w:t>
            </w:r>
          </w:p>
        </w:tc>
      </w:tr>
      <w:tr w:rsidR="00BB039B" w:rsidRPr="00B75B77" w:rsidTr="002320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auto"/>
            <w:vAlign w:val="center"/>
          </w:tcPr>
          <w:p w:rsidR="00BB039B" w:rsidRPr="00B75B77" w:rsidRDefault="00BB039B" w:rsidP="00BB039B">
            <w:pPr>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13</w:t>
            </w:r>
          </w:p>
        </w:tc>
        <w:tc>
          <w:tcPr>
            <w:cnfStyle w:val="000010000000" w:firstRow="0" w:lastRow="0" w:firstColumn="0" w:lastColumn="0" w:oddVBand="1" w:evenVBand="0" w:oddHBand="0" w:evenHBand="0" w:firstRowFirstColumn="0" w:firstRowLastColumn="0" w:lastRowFirstColumn="0" w:lastRowLastColumn="0"/>
            <w:tcW w:w="6020" w:type="dxa"/>
            <w:tcBorders>
              <w:left w:val="none" w:sz="0" w:space="0" w:color="auto"/>
              <w:right w:val="none" w:sz="0" w:space="0" w:color="auto"/>
            </w:tcBorders>
            <w:shd w:val="clear" w:color="auto" w:fill="auto"/>
            <w:noWrap/>
            <w:vAlign w:val="center"/>
            <w:hideMark/>
          </w:tcPr>
          <w:p w:rsidR="00BB039B" w:rsidRPr="00B75B77" w:rsidRDefault="00BB039B" w:rsidP="00BB039B">
            <w:pPr>
              <w:jc w:val="left"/>
              <w:rPr>
                <w:rFonts w:ascii="Calibri" w:eastAsia="Times New Roman" w:hAnsi="Calibri"/>
                <w:color w:val="000000"/>
                <w:sz w:val="18"/>
                <w:szCs w:val="18"/>
              </w:rPr>
            </w:pPr>
            <w:r w:rsidRPr="00B75B77">
              <w:rPr>
                <w:rFonts w:ascii="Calibri" w:eastAsia="Times New Roman" w:hAnsi="Calibri"/>
                <w:bCs/>
                <w:color w:val="000000"/>
                <w:sz w:val="18"/>
                <w:szCs w:val="18"/>
              </w:rPr>
              <w:t>Total NPV Lifetime Energy Benefits</w:t>
            </w:r>
          </w:p>
        </w:tc>
        <w:tc>
          <w:tcPr>
            <w:tcW w:w="1263" w:type="dxa"/>
            <w:tcBorders>
              <w:left w:val="none" w:sz="0" w:space="0" w:color="auto"/>
              <w:bottom w:val="single" w:sz="8" w:space="0" w:color="448A99"/>
              <w:right w:val="none" w:sz="0" w:space="0" w:color="auto"/>
            </w:tcBorders>
            <w:shd w:val="clear" w:color="auto" w:fill="auto"/>
            <w:noWrap/>
            <w:hideMark/>
          </w:tcPr>
          <w:p w:rsidR="00BB039B" w:rsidRPr="00B75B77" w:rsidRDefault="00BB039B" w:rsidP="00BB03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18"/>
                <w:szCs w:val="18"/>
              </w:rPr>
            </w:pPr>
            <w:r w:rsidRPr="00B75B77">
              <w:rPr>
                <w:sz w:val="18"/>
                <w:szCs w:val="18"/>
              </w:rPr>
              <w:t>1,156</w:t>
            </w:r>
          </w:p>
        </w:tc>
        <w:tc>
          <w:tcPr>
            <w:cnfStyle w:val="000010000000" w:firstRow="0" w:lastRow="0" w:firstColumn="0" w:lastColumn="0" w:oddVBand="1" w:evenVBand="0" w:oddHBand="0" w:evenHBand="0" w:firstRowFirstColumn="0" w:firstRowLastColumn="0" w:lastRowFirstColumn="0" w:lastRowLastColumn="0"/>
            <w:tcW w:w="1347" w:type="dxa"/>
            <w:tcBorders>
              <w:left w:val="none" w:sz="0" w:space="0" w:color="auto"/>
            </w:tcBorders>
            <w:shd w:val="clear" w:color="auto" w:fill="auto"/>
            <w:hideMark/>
          </w:tcPr>
          <w:p w:rsidR="00BB039B" w:rsidRPr="00B75B77" w:rsidRDefault="00BB039B" w:rsidP="00BB039B">
            <w:pPr>
              <w:jc w:val="center"/>
              <w:rPr>
                <w:rFonts w:ascii="Calibri" w:eastAsia="Times New Roman" w:hAnsi="Calibri"/>
                <w:b/>
                <w:bCs/>
                <w:color w:val="000000"/>
                <w:sz w:val="18"/>
                <w:szCs w:val="18"/>
              </w:rPr>
            </w:pPr>
            <w:r w:rsidRPr="00B75B77">
              <w:rPr>
                <w:sz w:val="18"/>
                <w:szCs w:val="18"/>
              </w:rPr>
              <w:t>4,610</w:t>
            </w:r>
          </w:p>
        </w:tc>
      </w:tr>
      <w:tr w:rsidR="00BB039B" w:rsidRPr="00B75B77" w:rsidTr="0023207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D2EAF1"/>
            <w:vAlign w:val="center"/>
          </w:tcPr>
          <w:p w:rsidR="00BB039B" w:rsidRPr="00B75B77" w:rsidRDefault="00BB039B" w:rsidP="00BB039B">
            <w:pPr>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14</w:t>
            </w:r>
          </w:p>
        </w:tc>
        <w:tc>
          <w:tcPr>
            <w:cnfStyle w:val="000010000000" w:firstRow="0" w:lastRow="0" w:firstColumn="0" w:lastColumn="0" w:oddVBand="1" w:evenVBand="0" w:oddHBand="0" w:evenHBand="0" w:firstRowFirstColumn="0" w:firstRowLastColumn="0" w:lastRowFirstColumn="0" w:lastRowLastColumn="0"/>
            <w:tcW w:w="6020" w:type="dxa"/>
            <w:tcBorders>
              <w:left w:val="none" w:sz="0" w:space="0" w:color="auto"/>
              <w:right w:val="none" w:sz="0" w:space="0" w:color="auto"/>
            </w:tcBorders>
            <w:noWrap/>
            <w:vAlign w:val="center"/>
            <w:hideMark/>
          </w:tcPr>
          <w:p w:rsidR="00BB039B" w:rsidRPr="00B75B77" w:rsidRDefault="00BB039B" w:rsidP="00BB039B">
            <w:pPr>
              <w:jc w:val="left"/>
              <w:rPr>
                <w:rFonts w:ascii="Calibri" w:eastAsia="Times New Roman" w:hAnsi="Calibri"/>
                <w:color w:val="000000"/>
                <w:sz w:val="18"/>
                <w:szCs w:val="18"/>
              </w:rPr>
            </w:pPr>
            <w:r w:rsidRPr="00B75B77">
              <w:rPr>
                <w:rFonts w:ascii="Calibri" w:eastAsia="Times New Roman" w:hAnsi="Calibri"/>
                <w:bCs/>
                <w:color w:val="000000"/>
                <w:sz w:val="18"/>
                <w:szCs w:val="18"/>
              </w:rPr>
              <w:t>Total NPV Lifetime Capacity Benefits</w:t>
            </w:r>
          </w:p>
        </w:tc>
        <w:tc>
          <w:tcPr>
            <w:tcW w:w="1263" w:type="dxa"/>
            <w:tcBorders>
              <w:left w:val="none" w:sz="0" w:space="0" w:color="auto"/>
              <w:right w:val="none" w:sz="0" w:space="0" w:color="auto"/>
            </w:tcBorders>
            <w:shd w:val="clear" w:color="auto" w:fill="DAEEF3" w:themeFill="accent5" w:themeFillTint="33"/>
            <w:noWrap/>
            <w:hideMark/>
          </w:tcPr>
          <w:p w:rsidR="00BB039B" w:rsidRPr="00B75B77" w:rsidRDefault="00BB039B" w:rsidP="00BB03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 w:val="18"/>
                <w:szCs w:val="18"/>
              </w:rPr>
            </w:pPr>
            <w:r w:rsidRPr="00B75B77">
              <w:rPr>
                <w:sz w:val="18"/>
                <w:szCs w:val="18"/>
              </w:rPr>
              <w:t>75</w:t>
            </w:r>
          </w:p>
        </w:tc>
        <w:tc>
          <w:tcPr>
            <w:cnfStyle w:val="000010000000" w:firstRow="0" w:lastRow="0" w:firstColumn="0" w:lastColumn="0" w:oddVBand="1" w:evenVBand="0" w:oddHBand="0" w:evenHBand="0" w:firstRowFirstColumn="0" w:firstRowLastColumn="0" w:lastRowFirstColumn="0" w:lastRowLastColumn="0"/>
            <w:tcW w:w="1347" w:type="dxa"/>
            <w:tcBorders>
              <w:left w:val="none" w:sz="0" w:space="0" w:color="auto"/>
            </w:tcBorders>
            <w:hideMark/>
          </w:tcPr>
          <w:p w:rsidR="00BB039B" w:rsidRPr="00B75B77" w:rsidRDefault="00BB039B" w:rsidP="00BB039B">
            <w:pPr>
              <w:jc w:val="center"/>
              <w:rPr>
                <w:rFonts w:ascii="Calibri" w:eastAsia="Times New Roman" w:hAnsi="Calibri"/>
                <w:b/>
                <w:bCs/>
                <w:color w:val="000000"/>
                <w:sz w:val="18"/>
                <w:szCs w:val="18"/>
              </w:rPr>
            </w:pPr>
            <w:r w:rsidRPr="00B75B77">
              <w:rPr>
                <w:sz w:val="18"/>
                <w:szCs w:val="18"/>
              </w:rPr>
              <w:t>263</w:t>
            </w:r>
          </w:p>
        </w:tc>
      </w:tr>
      <w:tr w:rsidR="00BB039B" w:rsidRPr="00B75B77" w:rsidTr="002320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auto"/>
            <w:vAlign w:val="center"/>
          </w:tcPr>
          <w:p w:rsidR="00BB039B" w:rsidRPr="00B75B77" w:rsidRDefault="00BB039B" w:rsidP="00BB039B">
            <w:pPr>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15</w:t>
            </w:r>
          </w:p>
        </w:tc>
        <w:tc>
          <w:tcPr>
            <w:cnfStyle w:val="000010000000" w:firstRow="0" w:lastRow="0" w:firstColumn="0" w:lastColumn="0" w:oddVBand="1" w:evenVBand="0" w:oddHBand="0" w:evenHBand="0" w:firstRowFirstColumn="0" w:firstRowLastColumn="0" w:lastRowFirstColumn="0" w:lastRowLastColumn="0"/>
            <w:tcW w:w="6020" w:type="dxa"/>
            <w:tcBorders>
              <w:left w:val="none" w:sz="0" w:space="0" w:color="auto"/>
              <w:right w:val="none" w:sz="0" w:space="0" w:color="auto"/>
            </w:tcBorders>
            <w:shd w:val="clear" w:color="auto" w:fill="auto"/>
            <w:noWrap/>
            <w:vAlign w:val="center"/>
            <w:hideMark/>
          </w:tcPr>
          <w:p w:rsidR="00BB039B" w:rsidRPr="00B75B77" w:rsidRDefault="00BB039B" w:rsidP="00BB039B">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Total NPV TRC Benefits</w:t>
            </w:r>
            <w:r w:rsidRPr="00B75B77">
              <w:rPr>
                <w:rFonts w:ascii="Calibri" w:eastAsia="Times New Roman" w:hAnsi="Calibri"/>
                <w:bCs/>
                <w:color w:val="000000"/>
                <w:sz w:val="18"/>
                <w:szCs w:val="18"/>
                <w:vertAlign w:val="superscript"/>
              </w:rPr>
              <w:t>[4]</w:t>
            </w:r>
          </w:p>
        </w:tc>
        <w:tc>
          <w:tcPr>
            <w:tcW w:w="1263" w:type="dxa"/>
            <w:tcBorders>
              <w:left w:val="none" w:sz="0" w:space="0" w:color="auto"/>
              <w:right w:val="none" w:sz="0" w:space="0" w:color="auto"/>
            </w:tcBorders>
            <w:shd w:val="clear" w:color="auto" w:fill="auto"/>
            <w:noWrap/>
            <w:hideMark/>
          </w:tcPr>
          <w:p w:rsidR="00BB039B" w:rsidRPr="00B75B77" w:rsidRDefault="00BB039B" w:rsidP="00BB03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18"/>
                <w:szCs w:val="18"/>
              </w:rPr>
            </w:pPr>
            <w:r w:rsidRPr="00B75B77">
              <w:rPr>
                <w:sz w:val="18"/>
                <w:szCs w:val="18"/>
              </w:rPr>
              <w:t>1,317</w:t>
            </w:r>
          </w:p>
        </w:tc>
        <w:tc>
          <w:tcPr>
            <w:cnfStyle w:val="000010000000" w:firstRow="0" w:lastRow="0" w:firstColumn="0" w:lastColumn="0" w:oddVBand="1" w:evenVBand="0" w:oddHBand="0" w:evenHBand="0" w:firstRowFirstColumn="0" w:firstRowLastColumn="0" w:lastRowFirstColumn="0" w:lastRowLastColumn="0"/>
            <w:tcW w:w="1347" w:type="dxa"/>
            <w:tcBorders>
              <w:left w:val="none" w:sz="0" w:space="0" w:color="auto"/>
            </w:tcBorders>
            <w:shd w:val="clear" w:color="auto" w:fill="auto"/>
            <w:hideMark/>
          </w:tcPr>
          <w:p w:rsidR="00BB039B" w:rsidRPr="00B75B77" w:rsidRDefault="00BB039B" w:rsidP="00BB039B">
            <w:pPr>
              <w:jc w:val="center"/>
              <w:rPr>
                <w:rFonts w:ascii="Calibri" w:eastAsia="Times New Roman" w:hAnsi="Calibri"/>
                <w:b/>
                <w:bCs/>
                <w:color w:val="000000"/>
                <w:sz w:val="18"/>
                <w:szCs w:val="18"/>
              </w:rPr>
            </w:pPr>
            <w:r w:rsidRPr="00B75B77">
              <w:rPr>
                <w:sz w:val="18"/>
                <w:szCs w:val="18"/>
              </w:rPr>
              <w:t>5,272</w:t>
            </w:r>
          </w:p>
        </w:tc>
      </w:tr>
      <w:tr w:rsidR="00BB039B" w:rsidRPr="00B75B77" w:rsidTr="00232078">
        <w:trPr>
          <w:cnfStyle w:val="000000010000" w:firstRow="0" w:lastRow="0" w:firstColumn="0" w:lastColumn="0" w:oddVBand="0" w:evenVBand="0" w:oddHBand="0" w:evenHBand="1"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92" w:type="dxa"/>
            <w:gridSpan w:val="4"/>
            <w:shd w:val="clear" w:color="auto" w:fill="AEAAAA"/>
            <w:vAlign w:val="center"/>
          </w:tcPr>
          <w:p w:rsidR="00BB039B" w:rsidRPr="00B75B77" w:rsidRDefault="00BB039B" w:rsidP="00594255">
            <w:pPr>
              <w:jc w:val="center"/>
              <w:rPr>
                <w:rFonts w:ascii="Calibri" w:eastAsia="Times New Roman" w:hAnsi="Calibri"/>
                <w:b w:val="0"/>
                <w:bCs w:val="0"/>
                <w:color w:val="000000"/>
                <w:sz w:val="18"/>
                <w:szCs w:val="18"/>
              </w:rPr>
            </w:pPr>
          </w:p>
        </w:tc>
      </w:tr>
      <w:tr w:rsidR="00BB039B" w:rsidRPr="00B75B77" w:rsidTr="002320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D2EAF1"/>
            <w:vAlign w:val="center"/>
          </w:tcPr>
          <w:p w:rsidR="00BB039B" w:rsidRPr="00B75B77" w:rsidRDefault="00BB039B" w:rsidP="00BB039B">
            <w:pPr>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16</w:t>
            </w:r>
          </w:p>
        </w:tc>
        <w:tc>
          <w:tcPr>
            <w:cnfStyle w:val="000010000000" w:firstRow="0" w:lastRow="0" w:firstColumn="0" w:lastColumn="0" w:oddVBand="1" w:evenVBand="0" w:oddHBand="0" w:evenHBand="0" w:firstRowFirstColumn="0" w:firstRowLastColumn="0" w:lastRowFirstColumn="0" w:lastRowLastColumn="0"/>
            <w:tcW w:w="6020" w:type="dxa"/>
            <w:tcBorders>
              <w:left w:val="none" w:sz="0" w:space="0" w:color="auto"/>
              <w:right w:val="none" w:sz="0" w:space="0" w:color="auto"/>
            </w:tcBorders>
            <w:shd w:val="clear" w:color="auto" w:fill="D2EAF1"/>
            <w:noWrap/>
            <w:vAlign w:val="center"/>
            <w:hideMark/>
          </w:tcPr>
          <w:p w:rsidR="00BB039B" w:rsidRPr="00B75B77" w:rsidRDefault="00BB039B" w:rsidP="00BB039B">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TRC Benefit-Cost Ratio</w:t>
            </w:r>
            <w:r w:rsidRPr="00B75B77">
              <w:rPr>
                <w:rFonts w:ascii="Calibri" w:eastAsia="Times New Roman" w:hAnsi="Calibri"/>
                <w:bCs/>
                <w:color w:val="000000"/>
                <w:sz w:val="18"/>
                <w:szCs w:val="18"/>
                <w:vertAlign w:val="superscript"/>
              </w:rPr>
              <w:t>[5]</w:t>
            </w:r>
          </w:p>
        </w:tc>
        <w:tc>
          <w:tcPr>
            <w:tcW w:w="1263" w:type="dxa"/>
            <w:tcBorders>
              <w:left w:val="none" w:sz="0" w:space="0" w:color="auto"/>
              <w:right w:val="none" w:sz="0" w:space="0" w:color="auto"/>
            </w:tcBorders>
            <w:shd w:val="clear" w:color="auto" w:fill="D2EAF1"/>
            <w:noWrap/>
            <w:hideMark/>
          </w:tcPr>
          <w:p w:rsidR="00BB039B" w:rsidRPr="00B75B77" w:rsidRDefault="00BB039B" w:rsidP="00BB03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18"/>
                <w:szCs w:val="18"/>
              </w:rPr>
            </w:pPr>
            <w:r w:rsidRPr="00B75B77">
              <w:rPr>
                <w:sz w:val="18"/>
                <w:szCs w:val="18"/>
              </w:rPr>
              <w:t>1.67</w:t>
            </w:r>
          </w:p>
        </w:tc>
        <w:tc>
          <w:tcPr>
            <w:cnfStyle w:val="000010000000" w:firstRow="0" w:lastRow="0" w:firstColumn="0" w:lastColumn="0" w:oddVBand="1" w:evenVBand="0" w:oddHBand="0" w:evenHBand="0" w:firstRowFirstColumn="0" w:firstRowLastColumn="0" w:lastRowFirstColumn="0" w:lastRowLastColumn="0"/>
            <w:tcW w:w="1347" w:type="dxa"/>
            <w:tcBorders>
              <w:left w:val="none" w:sz="0" w:space="0" w:color="auto"/>
            </w:tcBorders>
            <w:shd w:val="clear" w:color="auto" w:fill="D2EAF1"/>
            <w:hideMark/>
          </w:tcPr>
          <w:p w:rsidR="00BB039B" w:rsidRPr="00B75B77" w:rsidRDefault="00BB039B" w:rsidP="00BB039B">
            <w:pPr>
              <w:jc w:val="center"/>
              <w:rPr>
                <w:rFonts w:ascii="Calibri" w:eastAsia="Times New Roman" w:hAnsi="Calibri"/>
                <w:b/>
                <w:bCs/>
                <w:color w:val="000000"/>
                <w:sz w:val="18"/>
                <w:szCs w:val="18"/>
              </w:rPr>
            </w:pPr>
            <w:r w:rsidRPr="00B75B77">
              <w:rPr>
                <w:sz w:val="18"/>
                <w:szCs w:val="18"/>
              </w:rPr>
              <w:t>1.63</w:t>
            </w:r>
          </w:p>
        </w:tc>
      </w:tr>
      <w:tr w:rsidR="00BB039B" w:rsidRPr="00B75B77" w:rsidTr="0023207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92" w:type="dxa"/>
            <w:gridSpan w:val="4"/>
            <w:shd w:val="clear" w:color="auto" w:fill="auto"/>
          </w:tcPr>
          <w:p w:rsidR="00BB039B" w:rsidRPr="00B75B77" w:rsidRDefault="00BB039B" w:rsidP="00D02256">
            <w:pPr>
              <w:jc w:val="left"/>
              <w:rPr>
                <w:rFonts w:ascii="Calibri" w:eastAsia="Times New Roman" w:hAnsi="Calibri"/>
                <w:b w:val="0"/>
                <w:iCs/>
                <w:color w:val="000000"/>
                <w:sz w:val="18"/>
                <w:szCs w:val="18"/>
              </w:rPr>
            </w:pPr>
            <w:r w:rsidRPr="00B75B77">
              <w:rPr>
                <w:rFonts w:ascii="Calibri" w:eastAsia="Times New Roman" w:hAnsi="Calibri"/>
                <w:b w:val="0"/>
                <w:iCs/>
                <w:color w:val="000000"/>
                <w:sz w:val="18"/>
                <w:szCs w:val="18"/>
              </w:rPr>
              <w:t>Per PUC direction, TRC inputs and calculations are required in the Annual Report only and should comply with the 2013 Total Resource Cost Test Order. Please see the “Report Definitions” section of this report for more details.</w:t>
            </w:r>
          </w:p>
          <w:p w:rsidR="00BB039B" w:rsidRPr="00B75B77" w:rsidRDefault="00BB039B" w:rsidP="00D02256">
            <w:pPr>
              <w:jc w:val="left"/>
              <w:rPr>
                <w:rFonts w:ascii="Calibri" w:eastAsia="Times New Roman" w:hAnsi="Calibri"/>
                <w:b w:val="0"/>
                <w:i/>
                <w:iCs/>
                <w:color w:val="000000"/>
                <w:sz w:val="18"/>
                <w:szCs w:val="18"/>
              </w:rPr>
            </w:pPr>
          </w:p>
          <w:p w:rsidR="00BB039B" w:rsidRPr="00B75B77" w:rsidRDefault="00BB039B" w:rsidP="00D02256">
            <w:pPr>
              <w:jc w:val="left"/>
              <w:rPr>
                <w:rFonts w:ascii="Calibri" w:eastAsia="Times New Roman" w:hAnsi="Calibri"/>
                <w:b w:val="0"/>
                <w:color w:val="000000"/>
                <w:sz w:val="18"/>
                <w:szCs w:val="18"/>
              </w:rPr>
            </w:pPr>
            <w:r w:rsidRPr="00B75B77">
              <w:rPr>
                <w:rFonts w:ascii="Calibri" w:eastAsia="Times New Roman" w:hAnsi="Calibri"/>
                <w:b w:val="0"/>
                <w:color w:val="000000"/>
                <w:sz w:val="18"/>
                <w:szCs w:val="18"/>
                <w:vertAlign w:val="superscript"/>
              </w:rPr>
              <w:t>[1]</w:t>
            </w:r>
            <w:r w:rsidRPr="00B75B77">
              <w:rPr>
                <w:rFonts w:ascii="Calibri" w:eastAsia="Times New Roman" w:hAnsi="Calibri"/>
                <w:b w:val="0"/>
                <w:color w:val="000000"/>
                <w:sz w:val="18"/>
                <w:szCs w:val="18"/>
              </w:rPr>
              <w:t xml:space="preserve"> Includes rebate processing, tracking system, general administration, EDC and CSP program management, general management</w:t>
            </w:r>
            <w:r w:rsidR="00C5009F" w:rsidRPr="00B75B77">
              <w:rPr>
                <w:rFonts w:ascii="Calibri" w:eastAsia="Times New Roman" w:hAnsi="Calibri"/>
                <w:b w:val="0"/>
                <w:color w:val="000000"/>
                <w:sz w:val="18"/>
                <w:szCs w:val="18"/>
              </w:rPr>
              <w:t>,</w:t>
            </w:r>
            <w:r w:rsidRPr="00B75B77">
              <w:rPr>
                <w:rFonts w:ascii="Calibri" w:eastAsia="Times New Roman" w:hAnsi="Calibri"/>
                <w:b w:val="0"/>
                <w:color w:val="000000"/>
                <w:sz w:val="18"/>
                <w:szCs w:val="18"/>
              </w:rPr>
              <w:t xml:space="preserve"> and legal and technical assistance. </w:t>
            </w:r>
            <w:r w:rsidRPr="00B75B77">
              <w:rPr>
                <w:rFonts w:ascii="Calibri" w:eastAsia="Times New Roman" w:hAnsi="Calibri"/>
                <w:b w:val="0"/>
                <w:color w:val="000000"/>
                <w:sz w:val="18"/>
                <w:szCs w:val="18"/>
              </w:rPr>
              <w:br/>
            </w:r>
            <w:r w:rsidRPr="00B75B77">
              <w:rPr>
                <w:rFonts w:ascii="Calibri" w:eastAsia="Times New Roman" w:hAnsi="Calibri"/>
                <w:b w:val="0"/>
                <w:color w:val="000000"/>
                <w:sz w:val="18"/>
                <w:szCs w:val="18"/>
                <w:vertAlign w:val="superscript"/>
              </w:rPr>
              <w:t>[2]</w:t>
            </w:r>
            <w:r w:rsidRPr="00B75B77">
              <w:rPr>
                <w:rFonts w:ascii="Calibri" w:eastAsia="Times New Roman" w:hAnsi="Calibri"/>
                <w:b w:val="0"/>
                <w:color w:val="000000"/>
                <w:sz w:val="18"/>
                <w:szCs w:val="18"/>
              </w:rPr>
              <w:t xml:space="preserve"> Includes the marketing CSP and marketing costs by program CSPs. </w:t>
            </w:r>
            <w:r w:rsidRPr="00B75B77">
              <w:rPr>
                <w:rFonts w:ascii="Calibri" w:eastAsia="Times New Roman" w:hAnsi="Calibri"/>
                <w:b w:val="0"/>
                <w:color w:val="000000"/>
                <w:sz w:val="18"/>
                <w:szCs w:val="18"/>
              </w:rPr>
              <w:br/>
            </w:r>
            <w:r w:rsidRPr="00B75B77">
              <w:rPr>
                <w:rFonts w:ascii="Calibri" w:eastAsia="Times New Roman" w:hAnsi="Calibri"/>
                <w:b w:val="0"/>
                <w:color w:val="000000"/>
                <w:sz w:val="18"/>
                <w:szCs w:val="18"/>
                <w:vertAlign w:val="superscript"/>
              </w:rPr>
              <w:t>[3]</w:t>
            </w:r>
            <w:r w:rsidRPr="00B75B77">
              <w:rPr>
                <w:rFonts w:ascii="Calibri" w:eastAsia="Times New Roman" w:hAnsi="Calibri"/>
                <w:b w:val="0"/>
                <w:color w:val="000000"/>
                <w:sz w:val="18"/>
                <w:szCs w:val="18"/>
              </w:rPr>
              <w:t xml:space="preserve"> Total TRC Costs includes Total EDC Costs and Participant Costs.</w:t>
            </w:r>
            <w:r w:rsidRPr="00B75B77">
              <w:rPr>
                <w:rFonts w:ascii="Calibri" w:eastAsia="Times New Roman" w:hAnsi="Calibri"/>
                <w:b w:val="0"/>
                <w:color w:val="000000"/>
                <w:sz w:val="18"/>
                <w:szCs w:val="18"/>
              </w:rPr>
              <w:br/>
            </w:r>
            <w:r w:rsidRPr="00B75B77">
              <w:rPr>
                <w:rFonts w:ascii="Calibri" w:eastAsia="Times New Roman" w:hAnsi="Calibri"/>
                <w:b w:val="0"/>
                <w:color w:val="000000"/>
                <w:sz w:val="18"/>
                <w:szCs w:val="18"/>
                <w:vertAlign w:val="superscript"/>
              </w:rPr>
              <w:t>[4]</w:t>
            </w:r>
            <w:r w:rsidRPr="00B75B77">
              <w:rPr>
                <w:rFonts w:ascii="Calibri" w:eastAsia="Times New Roman" w:hAnsi="Calibri"/>
                <w:b w:val="0"/>
                <w:color w:val="000000"/>
                <w:sz w:val="18"/>
                <w:szCs w:val="18"/>
              </w:rPr>
              <w:t xml:space="preserve"> Total TRC Benefits equals the sum of Total Lifetime Energy Benefits and Total Lifetime Capacity Benefits </w:t>
            </w:r>
            <w:r w:rsidR="00C5009F" w:rsidRPr="00B75B77">
              <w:rPr>
                <w:rFonts w:ascii="Calibri" w:eastAsia="Times New Roman" w:hAnsi="Calibri"/>
                <w:b w:val="0"/>
                <w:color w:val="000000"/>
                <w:sz w:val="18"/>
                <w:szCs w:val="18"/>
              </w:rPr>
              <w:t>b</w:t>
            </w:r>
            <w:r w:rsidRPr="00B75B77">
              <w:rPr>
                <w:rFonts w:ascii="Calibri" w:eastAsia="Times New Roman" w:hAnsi="Calibri"/>
                <w:b w:val="0"/>
                <w:color w:val="000000"/>
                <w:sz w:val="18"/>
                <w:szCs w:val="18"/>
              </w:rPr>
              <w:t>ased upon verified gross kWh and kW savings. Benefits include avoided supply costs, including the reduction in costs of electric energy, generation, transmission, and distribution capacity, and natural gas valued at marginal cost for periods when there is a load reduction. NOTE: Savings carried over from Phase I are not to be included as a part of Total TRC Benefits for Phase II.</w:t>
            </w:r>
            <w:r w:rsidRPr="00B75B77">
              <w:rPr>
                <w:rFonts w:ascii="Calibri" w:eastAsia="Times New Roman" w:hAnsi="Calibri"/>
                <w:b w:val="0"/>
                <w:color w:val="000000"/>
                <w:sz w:val="18"/>
                <w:szCs w:val="18"/>
              </w:rPr>
              <w:br/>
            </w:r>
            <w:r w:rsidRPr="00B75B77">
              <w:rPr>
                <w:rFonts w:ascii="Calibri" w:eastAsia="Times New Roman" w:hAnsi="Calibri"/>
                <w:b w:val="0"/>
                <w:color w:val="000000"/>
                <w:sz w:val="18"/>
                <w:szCs w:val="18"/>
                <w:vertAlign w:val="superscript"/>
              </w:rPr>
              <w:t>[5]</w:t>
            </w:r>
            <w:r w:rsidRPr="00B75B77">
              <w:rPr>
                <w:rFonts w:ascii="Calibri" w:eastAsia="Times New Roman" w:hAnsi="Calibri"/>
                <w:b w:val="0"/>
                <w:color w:val="000000"/>
                <w:sz w:val="18"/>
                <w:szCs w:val="18"/>
              </w:rPr>
              <w:t xml:space="preserve"> TRC Ratio equals Total NPV TRC Benefits divided by Total NPV TRC Costs.</w:t>
            </w:r>
          </w:p>
          <w:p w:rsidR="00BB039B" w:rsidRPr="00B75B77" w:rsidRDefault="00BB039B" w:rsidP="00D02256">
            <w:pPr>
              <w:jc w:val="left"/>
              <w:rPr>
                <w:rFonts w:ascii="Calibri" w:eastAsia="Times New Roman" w:hAnsi="Calibri"/>
                <w:b w:val="0"/>
                <w:color w:val="000000"/>
                <w:sz w:val="14"/>
                <w:szCs w:val="14"/>
              </w:rPr>
            </w:pPr>
          </w:p>
          <w:p w:rsidR="00BB039B" w:rsidRPr="00B75B77" w:rsidRDefault="00BB039B" w:rsidP="00D02256">
            <w:pPr>
              <w:jc w:val="left"/>
              <w:rPr>
                <w:rFonts w:ascii="Calibri" w:eastAsia="Times New Roman" w:hAnsi="Calibri"/>
                <w:b w:val="0"/>
                <w:bCs w:val="0"/>
                <w:color w:val="000000"/>
                <w:sz w:val="20"/>
                <w:szCs w:val="20"/>
              </w:rPr>
            </w:pPr>
            <w:r w:rsidRPr="00B75B77">
              <w:rPr>
                <w:rFonts w:ascii="Calibri" w:hAnsi="Calibri"/>
                <w:b w:val="0"/>
                <w:color w:val="000000"/>
                <w:sz w:val="18"/>
                <w:szCs w:val="18"/>
              </w:rPr>
              <w:t xml:space="preserve">Values in tables may not reconcile exactly with </w:t>
            </w:r>
            <w:r w:rsidR="00C5009F" w:rsidRPr="00B75B77">
              <w:rPr>
                <w:rFonts w:ascii="Calibri" w:hAnsi="Calibri"/>
                <w:b w:val="0"/>
                <w:color w:val="000000"/>
                <w:sz w:val="18"/>
                <w:szCs w:val="18"/>
              </w:rPr>
              <w:t xml:space="preserve">the </w:t>
            </w:r>
            <w:r w:rsidRPr="00B75B77">
              <w:rPr>
                <w:rFonts w:ascii="Calibri" w:hAnsi="Calibri"/>
                <w:b w:val="0"/>
                <w:color w:val="000000"/>
                <w:sz w:val="18"/>
                <w:szCs w:val="18"/>
              </w:rPr>
              <w:t>sum of more detailed level results or previously reported results due to rounding.</w:t>
            </w:r>
          </w:p>
        </w:tc>
      </w:tr>
    </w:tbl>
    <w:p w:rsidR="00BB039B" w:rsidRPr="00B75B77" w:rsidRDefault="00BB039B" w:rsidP="00BB039B">
      <w:pPr>
        <w:pStyle w:val="Source"/>
        <w:keepNext/>
        <w:ind w:left="270" w:hanging="90"/>
      </w:pPr>
      <w:r w:rsidRPr="00B75B77">
        <w:lastRenderedPageBreak/>
        <w:t>Source: Navigant analysis</w:t>
      </w:r>
    </w:p>
    <w:p w:rsidR="00BB039B" w:rsidRPr="00B75B77" w:rsidRDefault="00BB039B" w:rsidP="00BB039B">
      <w:r w:rsidRPr="00B75B77">
        <w:t xml:space="preserve">In the nonresidential sector, the SMF Solutions program underspent </w:t>
      </w:r>
      <w:r w:rsidR="004D1969" w:rsidRPr="00B75B77">
        <w:t xml:space="preserve">its </w:t>
      </w:r>
      <w:r w:rsidRPr="00B75B77">
        <w:t xml:space="preserve">budget in PY7. Phase II SMF Solutions nonresidential sector cumulative spending was $2,916,198, about 86% of </w:t>
      </w:r>
      <w:r w:rsidR="004D1969" w:rsidRPr="00B75B77">
        <w:t xml:space="preserve">the </w:t>
      </w:r>
      <w:r w:rsidRPr="00B75B77">
        <w:t>Phase II budget. The nonresidential sector achieved a Phase II TRC of just 1.40, missing the TRC goal of 1.63. Though the sector was able to achieve a high TRC in PY7 (1.74), by minimizing costs in</w:t>
      </w:r>
      <w:r w:rsidR="004D1969" w:rsidRPr="00B75B77">
        <w:t xml:space="preserve"> </w:t>
      </w:r>
      <w:r w:rsidRPr="00B75B77">
        <w:t>line with the reduced energy savings, the PY6 TRC of 1.13 brought down the overall Phase II cost</w:t>
      </w:r>
      <w:r w:rsidR="004D1969" w:rsidRPr="00B75B77">
        <w:t>-</w:t>
      </w:r>
      <w:r w:rsidRPr="00B75B77">
        <w:t xml:space="preserve">effectiveness. A breakdown of the SMF Solutions nonresidential sector program finances is presented in </w:t>
      </w:r>
      <w:r w:rsidR="004D1969" w:rsidRPr="00B75B77">
        <w:fldChar w:fldCharType="begin"/>
      </w:r>
      <w:r w:rsidR="004D1969" w:rsidRPr="00B75B77">
        <w:instrText xml:space="preserve"> REF _Ref464144258 \h </w:instrText>
      </w:r>
      <w:r w:rsidR="00B75B77">
        <w:instrText xml:space="preserve"> \* MERGEFORMAT </w:instrText>
      </w:r>
      <w:r w:rsidR="004D1969" w:rsidRPr="00B75B77">
        <w:fldChar w:fldCharType="separate"/>
      </w:r>
      <w:r w:rsidR="0004016D" w:rsidRPr="00B75B77">
        <w:t xml:space="preserve">Table </w:t>
      </w:r>
      <w:r w:rsidR="0004016D">
        <w:rPr>
          <w:noProof/>
        </w:rPr>
        <w:t>14</w:t>
      </w:r>
      <w:r w:rsidR="0004016D" w:rsidRPr="00B75B77">
        <w:rPr>
          <w:noProof/>
        </w:rPr>
        <w:noBreakHyphen/>
      </w:r>
      <w:r w:rsidR="0004016D">
        <w:rPr>
          <w:noProof/>
        </w:rPr>
        <w:t>18</w:t>
      </w:r>
      <w:r w:rsidR="004D1969" w:rsidRPr="00B75B77">
        <w:fldChar w:fldCharType="end"/>
      </w:r>
      <w:r w:rsidRPr="00B75B77">
        <w:t xml:space="preserve">. </w:t>
      </w:r>
    </w:p>
    <w:p w:rsidR="00BB039B" w:rsidRPr="00B75B77" w:rsidRDefault="00BB039B" w:rsidP="00BB039B"/>
    <w:p w:rsidR="00BB039B" w:rsidRPr="00B75B77" w:rsidRDefault="00BB039B" w:rsidP="00BB039B">
      <w:pPr>
        <w:pStyle w:val="Caption"/>
      </w:pPr>
      <w:bookmarkStart w:id="903" w:name="_Ref464144258"/>
      <w:bookmarkStart w:id="904" w:name="_Ref463934323"/>
      <w:bookmarkStart w:id="905" w:name="_Toc466413636"/>
      <w:r w:rsidRPr="00B75B77">
        <w:t xml:space="preserve">Table </w:t>
      </w:r>
      <w:fldSimple w:instr=" STYLEREF 1 \s ">
        <w:r w:rsidR="0004016D">
          <w:rPr>
            <w:noProof/>
          </w:rPr>
          <w:t>14</w:t>
        </w:r>
      </w:fldSimple>
      <w:r w:rsidR="00F1144C" w:rsidRPr="00B75B77">
        <w:noBreakHyphen/>
      </w:r>
      <w:fldSimple w:instr=" SEQ Table \* ARABIC \s 1 ">
        <w:r w:rsidR="0004016D">
          <w:rPr>
            <w:noProof/>
          </w:rPr>
          <w:t>18</w:t>
        </w:r>
      </w:fldSimple>
      <w:bookmarkEnd w:id="903"/>
      <w:bookmarkEnd w:id="904"/>
      <w:r w:rsidRPr="00B75B77">
        <w:t>: Summary of SMF Solutions Nonresidential Sector Program Finances</w:t>
      </w:r>
      <w:bookmarkEnd w:id="905"/>
    </w:p>
    <w:tbl>
      <w:tblPr>
        <w:tblStyle w:val="MediumShading1-Accent5"/>
        <w:tblW w:w="9602" w:type="dxa"/>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0A0" w:firstRow="1" w:lastRow="0" w:firstColumn="1" w:lastColumn="0" w:noHBand="0" w:noVBand="0"/>
      </w:tblPr>
      <w:tblGrid>
        <w:gridCol w:w="1062"/>
        <w:gridCol w:w="5840"/>
        <w:gridCol w:w="1350"/>
        <w:gridCol w:w="1350"/>
      </w:tblGrid>
      <w:tr w:rsidR="00BB039B" w:rsidRPr="00B75B77" w:rsidTr="0079059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2" w:type="dxa"/>
            <w:vMerge w:val="restart"/>
            <w:tcBorders>
              <w:top w:val="single" w:sz="8" w:space="0" w:color="auto"/>
              <w:left w:val="single" w:sz="8" w:space="0" w:color="auto"/>
              <w:bottom w:val="single" w:sz="8" w:space="0" w:color="auto"/>
              <w:right w:val="single" w:sz="8" w:space="0" w:color="auto"/>
            </w:tcBorders>
            <w:shd w:val="clear" w:color="auto" w:fill="448A99"/>
            <w:vAlign w:val="center"/>
          </w:tcPr>
          <w:p w:rsidR="00BB039B" w:rsidRPr="00B75B77" w:rsidRDefault="00BB039B" w:rsidP="00BB039B">
            <w:pPr>
              <w:jc w:val="center"/>
              <w:rPr>
                <w:rFonts w:ascii="Calibri" w:eastAsia="Times New Roman" w:hAnsi="Calibri"/>
                <w:bCs w:val="0"/>
                <w:sz w:val="18"/>
                <w:szCs w:val="18"/>
              </w:rPr>
            </w:pPr>
            <w:r w:rsidRPr="00B75B77">
              <w:rPr>
                <w:rFonts w:ascii="Calibri" w:eastAsia="Times New Roman" w:hAnsi="Calibri"/>
                <w:bCs w:val="0"/>
                <w:sz w:val="18"/>
                <w:szCs w:val="18"/>
              </w:rPr>
              <w:t>Row #</w:t>
            </w:r>
          </w:p>
        </w:tc>
        <w:tc>
          <w:tcPr>
            <w:cnfStyle w:val="000010000000" w:firstRow="0" w:lastRow="0" w:firstColumn="0" w:lastColumn="0" w:oddVBand="1" w:evenVBand="0" w:oddHBand="0" w:evenHBand="0" w:firstRowFirstColumn="0" w:firstRowLastColumn="0" w:lastRowFirstColumn="0" w:lastRowLastColumn="0"/>
            <w:tcW w:w="5840" w:type="dxa"/>
            <w:vMerge w:val="restart"/>
            <w:tcBorders>
              <w:top w:val="single" w:sz="8" w:space="0" w:color="auto"/>
              <w:left w:val="single" w:sz="8" w:space="0" w:color="auto"/>
              <w:bottom w:val="single" w:sz="8" w:space="0" w:color="auto"/>
              <w:right w:val="single" w:sz="8" w:space="0" w:color="auto"/>
            </w:tcBorders>
            <w:shd w:val="clear" w:color="auto" w:fill="448A99"/>
            <w:noWrap/>
            <w:vAlign w:val="center"/>
            <w:hideMark/>
          </w:tcPr>
          <w:p w:rsidR="00BB039B" w:rsidRPr="00B75B77" w:rsidRDefault="00BB039B" w:rsidP="00BB039B">
            <w:pPr>
              <w:jc w:val="left"/>
              <w:rPr>
                <w:rFonts w:ascii="Calibri" w:eastAsia="Times New Roman" w:hAnsi="Calibri"/>
                <w:bCs w:val="0"/>
                <w:sz w:val="18"/>
                <w:szCs w:val="18"/>
              </w:rPr>
            </w:pPr>
            <w:r w:rsidRPr="00B75B77">
              <w:rPr>
                <w:rFonts w:ascii="Calibri" w:eastAsia="Times New Roman" w:hAnsi="Calibri"/>
                <w:bCs w:val="0"/>
                <w:sz w:val="18"/>
                <w:szCs w:val="18"/>
              </w:rPr>
              <w:t>Cost Category </w:t>
            </w:r>
          </w:p>
        </w:tc>
        <w:tc>
          <w:tcPr>
            <w:tcW w:w="1350" w:type="dxa"/>
            <w:tcBorders>
              <w:top w:val="single" w:sz="8" w:space="0" w:color="auto"/>
              <w:left w:val="single" w:sz="8" w:space="0" w:color="auto"/>
              <w:bottom w:val="single" w:sz="8" w:space="0" w:color="auto"/>
              <w:right w:val="single" w:sz="8" w:space="0" w:color="auto"/>
            </w:tcBorders>
            <w:shd w:val="clear" w:color="auto" w:fill="448A99"/>
            <w:vAlign w:val="center"/>
            <w:hideMark/>
          </w:tcPr>
          <w:p w:rsidR="00BB039B" w:rsidRPr="00B75B77" w:rsidRDefault="00BB039B" w:rsidP="00790590">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Actual PYTD</w:t>
            </w:r>
          </w:p>
          <w:p w:rsidR="00BB039B" w:rsidRPr="00B75B77" w:rsidRDefault="00BB039B" w:rsidP="00790590">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Costs</w:t>
            </w:r>
          </w:p>
        </w:tc>
        <w:tc>
          <w:tcPr>
            <w:cnfStyle w:val="000010000000" w:firstRow="0" w:lastRow="0" w:firstColumn="0" w:lastColumn="0" w:oddVBand="1" w:evenVBand="0" w:oddHBand="0" w:evenHBand="0" w:firstRowFirstColumn="0" w:firstRowLastColumn="0" w:lastRowFirstColumn="0" w:lastRowLastColumn="0"/>
            <w:tcW w:w="1350" w:type="dxa"/>
            <w:tcBorders>
              <w:top w:val="single" w:sz="8" w:space="0" w:color="auto"/>
              <w:left w:val="single" w:sz="8" w:space="0" w:color="auto"/>
              <w:bottom w:val="single" w:sz="8" w:space="0" w:color="auto"/>
              <w:right w:val="single" w:sz="8" w:space="0" w:color="auto"/>
            </w:tcBorders>
            <w:shd w:val="clear" w:color="auto" w:fill="448A99"/>
            <w:vAlign w:val="center"/>
            <w:hideMark/>
          </w:tcPr>
          <w:p w:rsidR="00BB039B" w:rsidRPr="00B75B77" w:rsidRDefault="00BB039B" w:rsidP="00790590">
            <w:pPr>
              <w:jc w:val="right"/>
              <w:rPr>
                <w:rFonts w:ascii="Calibri" w:eastAsia="Times New Roman" w:hAnsi="Calibri"/>
                <w:bCs w:val="0"/>
                <w:sz w:val="18"/>
                <w:szCs w:val="18"/>
              </w:rPr>
            </w:pPr>
            <w:r w:rsidRPr="00B75B77">
              <w:rPr>
                <w:rFonts w:ascii="Calibri" w:eastAsia="Times New Roman" w:hAnsi="Calibri"/>
                <w:bCs w:val="0"/>
                <w:sz w:val="18"/>
                <w:szCs w:val="18"/>
              </w:rPr>
              <w:t>Actual Phase II</w:t>
            </w:r>
          </w:p>
          <w:p w:rsidR="00BB039B" w:rsidRPr="00B75B77" w:rsidRDefault="00BB039B" w:rsidP="00790590">
            <w:pPr>
              <w:jc w:val="right"/>
              <w:rPr>
                <w:rFonts w:ascii="Calibri" w:eastAsia="Times New Roman" w:hAnsi="Calibri"/>
                <w:bCs w:val="0"/>
                <w:sz w:val="18"/>
                <w:szCs w:val="18"/>
              </w:rPr>
            </w:pPr>
            <w:r w:rsidRPr="00B75B77">
              <w:rPr>
                <w:rFonts w:ascii="Calibri" w:eastAsia="Times New Roman" w:hAnsi="Calibri"/>
                <w:bCs w:val="0"/>
                <w:sz w:val="18"/>
                <w:szCs w:val="18"/>
              </w:rPr>
              <w:t>Costs</w:t>
            </w:r>
          </w:p>
        </w:tc>
      </w:tr>
      <w:tr w:rsidR="00BB039B" w:rsidRPr="00B75B77" w:rsidTr="007905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vMerge/>
            <w:tcBorders>
              <w:top w:val="single" w:sz="8" w:space="0" w:color="auto"/>
              <w:left w:val="single" w:sz="8" w:space="0" w:color="auto"/>
              <w:bottom w:val="single" w:sz="8" w:space="0" w:color="auto"/>
              <w:right w:val="single" w:sz="8" w:space="0" w:color="auto"/>
            </w:tcBorders>
            <w:shd w:val="clear" w:color="auto" w:fill="448A99"/>
            <w:vAlign w:val="center"/>
          </w:tcPr>
          <w:p w:rsidR="00BB039B" w:rsidRPr="00B75B77" w:rsidRDefault="00BB039B" w:rsidP="00BB039B">
            <w:pPr>
              <w:jc w:val="center"/>
              <w:rPr>
                <w:rFonts w:ascii="Calibri" w:eastAsia="Times New Roman" w:hAnsi="Calibri"/>
                <w:bCs w:val="0"/>
                <w:color w:val="FFFFFF" w:themeColor="background1"/>
                <w:sz w:val="18"/>
                <w:szCs w:val="18"/>
              </w:rPr>
            </w:pPr>
          </w:p>
        </w:tc>
        <w:tc>
          <w:tcPr>
            <w:cnfStyle w:val="000010000000" w:firstRow="0" w:lastRow="0" w:firstColumn="0" w:lastColumn="0" w:oddVBand="1" w:evenVBand="0" w:oddHBand="0" w:evenHBand="0" w:firstRowFirstColumn="0" w:firstRowLastColumn="0" w:lastRowFirstColumn="0" w:lastRowLastColumn="0"/>
            <w:tcW w:w="5840" w:type="dxa"/>
            <w:vMerge/>
            <w:tcBorders>
              <w:top w:val="single" w:sz="8" w:space="0" w:color="auto"/>
              <w:left w:val="single" w:sz="8" w:space="0" w:color="auto"/>
              <w:bottom w:val="single" w:sz="8" w:space="0" w:color="auto"/>
              <w:right w:val="single" w:sz="8" w:space="0" w:color="auto"/>
            </w:tcBorders>
            <w:shd w:val="clear" w:color="auto" w:fill="448A99"/>
            <w:vAlign w:val="center"/>
            <w:hideMark/>
          </w:tcPr>
          <w:p w:rsidR="00BB039B" w:rsidRPr="00B75B77" w:rsidRDefault="00BB039B" w:rsidP="00BB039B">
            <w:pPr>
              <w:jc w:val="left"/>
              <w:rPr>
                <w:rFonts w:ascii="Calibri" w:eastAsia="Times New Roman" w:hAnsi="Calibri"/>
                <w:b/>
                <w:bCs/>
                <w:color w:val="FFFFFF" w:themeColor="background1"/>
                <w:sz w:val="18"/>
                <w:szCs w:val="18"/>
              </w:rPr>
            </w:pPr>
          </w:p>
        </w:tc>
        <w:tc>
          <w:tcPr>
            <w:tcW w:w="1350" w:type="dxa"/>
            <w:tcBorders>
              <w:top w:val="single" w:sz="8" w:space="0" w:color="auto"/>
              <w:left w:val="single" w:sz="8" w:space="0" w:color="auto"/>
              <w:bottom w:val="single" w:sz="8" w:space="0" w:color="auto"/>
              <w:right w:val="single" w:sz="8" w:space="0" w:color="auto"/>
            </w:tcBorders>
            <w:shd w:val="clear" w:color="auto" w:fill="448A99"/>
            <w:vAlign w:val="center"/>
            <w:hideMark/>
          </w:tcPr>
          <w:p w:rsidR="00BB039B" w:rsidRPr="00B75B77" w:rsidRDefault="00BB039B" w:rsidP="0079059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FFFFFF" w:themeColor="background1"/>
                <w:sz w:val="18"/>
                <w:szCs w:val="18"/>
              </w:rPr>
            </w:pPr>
            <w:r w:rsidRPr="00B75B77">
              <w:rPr>
                <w:rFonts w:ascii="Calibri" w:eastAsia="Times New Roman" w:hAnsi="Calibri"/>
                <w:b/>
                <w:color w:val="FFFFFF" w:themeColor="background1"/>
                <w:sz w:val="18"/>
                <w:szCs w:val="18"/>
              </w:rPr>
              <w:t>($1,000)</w:t>
            </w:r>
          </w:p>
        </w:tc>
        <w:tc>
          <w:tcPr>
            <w:cnfStyle w:val="000010000000" w:firstRow="0" w:lastRow="0" w:firstColumn="0" w:lastColumn="0" w:oddVBand="1" w:evenVBand="0" w:oddHBand="0" w:evenHBand="0" w:firstRowFirstColumn="0" w:firstRowLastColumn="0" w:lastRowFirstColumn="0" w:lastRowLastColumn="0"/>
            <w:tcW w:w="1350" w:type="dxa"/>
            <w:tcBorders>
              <w:top w:val="single" w:sz="8" w:space="0" w:color="auto"/>
              <w:left w:val="single" w:sz="8" w:space="0" w:color="auto"/>
              <w:bottom w:val="single" w:sz="8" w:space="0" w:color="auto"/>
              <w:right w:val="single" w:sz="8" w:space="0" w:color="auto"/>
            </w:tcBorders>
            <w:shd w:val="clear" w:color="auto" w:fill="448A99"/>
            <w:vAlign w:val="center"/>
            <w:hideMark/>
          </w:tcPr>
          <w:p w:rsidR="00BB039B" w:rsidRPr="00B75B77" w:rsidRDefault="00BB039B" w:rsidP="00790590">
            <w:pPr>
              <w:jc w:val="right"/>
              <w:rPr>
                <w:rFonts w:ascii="Calibri" w:eastAsia="Times New Roman" w:hAnsi="Calibri"/>
                <w:b/>
                <w:color w:val="FFFFFF" w:themeColor="background1"/>
                <w:sz w:val="18"/>
                <w:szCs w:val="18"/>
              </w:rPr>
            </w:pPr>
            <w:r w:rsidRPr="00B75B77">
              <w:rPr>
                <w:rFonts w:ascii="Calibri" w:eastAsia="Times New Roman" w:hAnsi="Calibri"/>
                <w:b/>
                <w:color w:val="FFFFFF" w:themeColor="background1"/>
                <w:sz w:val="18"/>
                <w:szCs w:val="18"/>
              </w:rPr>
              <w:t>($1,000)</w:t>
            </w:r>
          </w:p>
        </w:tc>
      </w:tr>
      <w:tr w:rsidR="00BB039B" w:rsidRPr="00B75B77" w:rsidTr="0079059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top w:val="single" w:sz="8" w:space="0" w:color="auto"/>
              <w:right w:val="none" w:sz="0" w:space="0" w:color="auto"/>
            </w:tcBorders>
            <w:shd w:val="clear" w:color="auto" w:fill="auto"/>
            <w:vAlign w:val="center"/>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1</w:t>
            </w:r>
          </w:p>
        </w:tc>
        <w:tc>
          <w:tcPr>
            <w:cnfStyle w:val="000010000000" w:firstRow="0" w:lastRow="0" w:firstColumn="0" w:lastColumn="0" w:oddVBand="1" w:evenVBand="0" w:oddHBand="0" w:evenHBand="0" w:firstRowFirstColumn="0" w:firstRowLastColumn="0" w:lastRowFirstColumn="0" w:lastRowLastColumn="0"/>
            <w:tcW w:w="5840" w:type="dxa"/>
            <w:tcBorders>
              <w:top w:val="single" w:sz="8" w:space="0" w:color="auto"/>
              <w:left w:val="none" w:sz="0" w:space="0" w:color="auto"/>
              <w:right w:val="none" w:sz="0" w:space="0" w:color="auto"/>
            </w:tcBorders>
            <w:shd w:val="clear" w:color="auto" w:fill="auto"/>
            <w:noWrap/>
            <w:vAlign w:val="center"/>
          </w:tcPr>
          <w:p w:rsidR="00BB039B" w:rsidRPr="00B75B77" w:rsidRDefault="00BB039B" w:rsidP="00BB039B">
            <w:pPr>
              <w:jc w:val="left"/>
              <w:rPr>
                <w:rFonts w:ascii="Calibri" w:eastAsia="Times New Roman" w:hAnsi="Calibri"/>
                <w:color w:val="000000"/>
                <w:sz w:val="18"/>
                <w:szCs w:val="18"/>
              </w:rPr>
            </w:pPr>
            <w:r w:rsidRPr="00B75B77">
              <w:rPr>
                <w:rFonts w:ascii="Calibri" w:eastAsia="Times New Roman" w:hAnsi="Calibri"/>
                <w:color w:val="000000"/>
                <w:sz w:val="18"/>
                <w:szCs w:val="18"/>
              </w:rPr>
              <w:t>Incremental Measure Costs (Sum of Rows 2 through 4)</w:t>
            </w:r>
          </w:p>
        </w:tc>
        <w:tc>
          <w:tcPr>
            <w:tcW w:w="1350" w:type="dxa"/>
            <w:tcBorders>
              <w:top w:val="single" w:sz="8" w:space="0" w:color="auto"/>
              <w:left w:val="none" w:sz="0" w:space="0" w:color="auto"/>
              <w:right w:val="none" w:sz="0" w:space="0" w:color="auto"/>
            </w:tcBorders>
            <w:shd w:val="clear" w:color="auto" w:fill="auto"/>
            <w:noWrap/>
          </w:tcPr>
          <w:p w:rsidR="00BB039B" w:rsidRPr="00B75B77" w:rsidRDefault="00BB039B" w:rsidP="00BB03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sz w:val="18"/>
                <w:szCs w:val="18"/>
              </w:rPr>
              <w:t>0</w:t>
            </w:r>
          </w:p>
        </w:tc>
        <w:tc>
          <w:tcPr>
            <w:cnfStyle w:val="000010000000" w:firstRow="0" w:lastRow="0" w:firstColumn="0" w:lastColumn="0" w:oddVBand="1" w:evenVBand="0" w:oddHBand="0" w:evenHBand="0" w:firstRowFirstColumn="0" w:firstRowLastColumn="0" w:lastRowFirstColumn="0" w:lastRowLastColumn="0"/>
            <w:tcW w:w="1350" w:type="dxa"/>
            <w:tcBorders>
              <w:top w:val="single" w:sz="8" w:space="0" w:color="auto"/>
              <w:left w:val="none" w:sz="0" w:space="0" w:color="auto"/>
            </w:tcBorders>
            <w:shd w:val="clear" w:color="auto" w:fill="auto"/>
          </w:tcPr>
          <w:p w:rsidR="00BB039B" w:rsidRPr="00B75B77" w:rsidRDefault="00BB039B" w:rsidP="00BB039B">
            <w:pPr>
              <w:jc w:val="center"/>
              <w:rPr>
                <w:rFonts w:ascii="Calibri" w:eastAsia="Times New Roman" w:hAnsi="Calibri"/>
                <w:color w:val="000000"/>
                <w:sz w:val="18"/>
                <w:szCs w:val="18"/>
              </w:rPr>
            </w:pPr>
            <w:r w:rsidRPr="00B75B77">
              <w:rPr>
                <w:sz w:val="18"/>
                <w:szCs w:val="18"/>
              </w:rPr>
              <w:t>0</w:t>
            </w:r>
          </w:p>
        </w:tc>
      </w:tr>
      <w:tr w:rsidR="00BB039B" w:rsidRPr="00B75B77" w:rsidTr="007905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vAlign w:val="center"/>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2</w:t>
            </w:r>
          </w:p>
        </w:tc>
        <w:tc>
          <w:tcPr>
            <w:cnfStyle w:val="000010000000" w:firstRow="0" w:lastRow="0" w:firstColumn="0" w:lastColumn="0" w:oddVBand="1" w:evenVBand="0" w:oddHBand="0" w:evenHBand="0" w:firstRowFirstColumn="0" w:firstRowLastColumn="0" w:lastRowFirstColumn="0" w:lastRowLastColumn="0"/>
            <w:tcW w:w="5840" w:type="dxa"/>
            <w:tcBorders>
              <w:left w:val="none" w:sz="0" w:space="0" w:color="auto"/>
              <w:right w:val="none" w:sz="0" w:space="0" w:color="auto"/>
            </w:tcBorders>
            <w:noWrap/>
            <w:vAlign w:val="center"/>
            <w:hideMark/>
          </w:tcPr>
          <w:p w:rsidR="00BB039B" w:rsidRPr="00B75B77" w:rsidRDefault="00BB039B" w:rsidP="00BB039B">
            <w:pPr>
              <w:jc w:val="left"/>
              <w:rPr>
                <w:rFonts w:ascii="Calibri" w:eastAsia="Times New Roman" w:hAnsi="Calibri"/>
                <w:color w:val="000000"/>
                <w:sz w:val="18"/>
                <w:szCs w:val="18"/>
              </w:rPr>
            </w:pPr>
            <w:r w:rsidRPr="00B75B77">
              <w:rPr>
                <w:rFonts w:ascii="Calibri" w:eastAsia="Times New Roman" w:hAnsi="Calibri"/>
                <w:color w:val="000000"/>
                <w:sz w:val="18"/>
                <w:szCs w:val="18"/>
              </w:rPr>
              <w:t>EDC Incentives to Participants</w:t>
            </w:r>
          </w:p>
        </w:tc>
        <w:tc>
          <w:tcPr>
            <w:tcW w:w="1350" w:type="dxa"/>
            <w:tcBorders>
              <w:left w:val="none" w:sz="0" w:space="0" w:color="auto"/>
              <w:right w:val="none" w:sz="0" w:space="0" w:color="auto"/>
            </w:tcBorders>
            <w:noWrap/>
            <w:hideMark/>
          </w:tcPr>
          <w:p w:rsidR="00BB039B" w:rsidRPr="00B75B77" w:rsidRDefault="00BB039B" w:rsidP="00BB03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sz w:val="18"/>
                <w:szCs w:val="18"/>
              </w:rPr>
              <w:t>0</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tcBorders>
            <w:hideMark/>
          </w:tcPr>
          <w:p w:rsidR="00BB039B" w:rsidRPr="00B75B77" w:rsidRDefault="00BB039B" w:rsidP="00BB039B">
            <w:pPr>
              <w:jc w:val="center"/>
              <w:rPr>
                <w:rFonts w:ascii="Calibri" w:eastAsia="Times New Roman" w:hAnsi="Calibri"/>
                <w:color w:val="000000"/>
                <w:sz w:val="18"/>
                <w:szCs w:val="18"/>
              </w:rPr>
            </w:pPr>
            <w:r w:rsidRPr="00B75B77">
              <w:rPr>
                <w:sz w:val="18"/>
                <w:szCs w:val="18"/>
              </w:rPr>
              <w:t>0</w:t>
            </w:r>
          </w:p>
        </w:tc>
      </w:tr>
      <w:tr w:rsidR="00BB039B" w:rsidRPr="00B75B77" w:rsidTr="0079059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auto"/>
            <w:vAlign w:val="center"/>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3</w:t>
            </w:r>
          </w:p>
        </w:tc>
        <w:tc>
          <w:tcPr>
            <w:cnfStyle w:val="000010000000" w:firstRow="0" w:lastRow="0" w:firstColumn="0" w:lastColumn="0" w:oddVBand="1" w:evenVBand="0" w:oddHBand="0" w:evenHBand="0" w:firstRowFirstColumn="0" w:firstRowLastColumn="0" w:lastRowFirstColumn="0" w:lastRowLastColumn="0"/>
            <w:tcW w:w="5840" w:type="dxa"/>
            <w:tcBorders>
              <w:left w:val="none" w:sz="0" w:space="0" w:color="auto"/>
              <w:right w:val="none" w:sz="0" w:space="0" w:color="auto"/>
            </w:tcBorders>
            <w:shd w:val="clear" w:color="auto" w:fill="auto"/>
            <w:noWrap/>
            <w:vAlign w:val="center"/>
            <w:hideMark/>
          </w:tcPr>
          <w:p w:rsidR="00BB039B" w:rsidRPr="00B75B77" w:rsidRDefault="00BB039B" w:rsidP="00BB039B">
            <w:pPr>
              <w:jc w:val="left"/>
              <w:rPr>
                <w:rFonts w:ascii="Calibri" w:eastAsia="Times New Roman" w:hAnsi="Calibri"/>
                <w:color w:val="000000"/>
                <w:sz w:val="18"/>
                <w:szCs w:val="18"/>
              </w:rPr>
            </w:pPr>
            <w:r w:rsidRPr="00B75B77">
              <w:rPr>
                <w:rFonts w:ascii="Calibri" w:eastAsia="Times New Roman" w:hAnsi="Calibri"/>
                <w:color w:val="000000"/>
                <w:sz w:val="18"/>
                <w:szCs w:val="18"/>
              </w:rPr>
              <w:t>EDC Incentives to Trade Allies</w:t>
            </w:r>
          </w:p>
        </w:tc>
        <w:tc>
          <w:tcPr>
            <w:tcW w:w="1350" w:type="dxa"/>
            <w:tcBorders>
              <w:left w:val="none" w:sz="0" w:space="0" w:color="auto"/>
              <w:right w:val="none" w:sz="0" w:space="0" w:color="auto"/>
            </w:tcBorders>
            <w:shd w:val="clear" w:color="auto" w:fill="auto"/>
            <w:noWrap/>
            <w:hideMark/>
          </w:tcPr>
          <w:p w:rsidR="00BB039B" w:rsidRPr="00B75B77" w:rsidRDefault="00BB039B" w:rsidP="00BB03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sz w:val="18"/>
                <w:szCs w:val="18"/>
              </w:rPr>
              <w:t>0</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tcBorders>
            <w:shd w:val="clear" w:color="auto" w:fill="auto"/>
            <w:hideMark/>
          </w:tcPr>
          <w:p w:rsidR="00BB039B" w:rsidRPr="00B75B77" w:rsidRDefault="00BB039B" w:rsidP="00BB039B">
            <w:pPr>
              <w:jc w:val="center"/>
              <w:rPr>
                <w:rFonts w:ascii="Calibri" w:eastAsia="Times New Roman" w:hAnsi="Calibri"/>
                <w:color w:val="000000"/>
                <w:sz w:val="18"/>
                <w:szCs w:val="18"/>
              </w:rPr>
            </w:pPr>
            <w:r w:rsidRPr="00B75B77">
              <w:rPr>
                <w:sz w:val="18"/>
                <w:szCs w:val="18"/>
              </w:rPr>
              <w:t>0</w:t>
            </w:r>
          </w:p>
        </w:tc>
      </w:tr>
      <w:tr w:rsidR="00BB039B" w:rsidRPr="00B75B77" w:rsidTr="007905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vAlign w:val="center"/>
          </w:tcPr>
          <w:p w:rsidR="00BB039B" w:rsidRPr="00B75B77" w:rsidDel="00B4154B" w:rsidRDefault="00BB039B" w:rsidP="00BB039B">
            <w:pPr>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4</w:t>
            </w:r>
          </w:p>
        </w:tc>
        <w:tc>
          <w:tcPr>
            <w:cnfStyle w:val="000010000000" w:firstRow="0" w:lastRow="0" w:firstColumn="0" w:lastColumn="0" w:oddVBand="1" w:evenVBand="0" w:oddHBand="0" w:evenHBand="0" w:firstRowFirstColumn="0" w:firstRowLastColumn="0" w:lastRowFirstColumn="0" w:lastRowLastColumn="0"/>
            <w:tcW w:w="5840" w:type="dxa"/>
            <w:tcBorders>
              <w:left w:val="none" w:sz="0" w:space="0" w:color="auto"/>
              <w:right w:val="none" w:sz="0" w:space="0" w:color="auto"/>
            </w:tcBorders>
            <w:noWrap/>
            <w:vAlign w:val="center"/>
            <w:hideMark/>
          </w:tcPr>
          <w:p w:rsidR="00BB039B" w:rsidRPr="00B75B77" w:rsidRDefault="00BB039B" w:rsidP="00BB039B">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Participant Costs (Net of Incentives/Rebates Paid by Utilities)</w:t>
            </w:r>
          </w:p>
        </w:tc>
        <w:tc>
          <w:tcPr>
            <w:tcW w:w="1350" w:type="dxa"/>
            <w:tcBorders>
              <w:left w:val="none" w:sz="0" w:space="0" w:color="auto"/>
              <w:right w:val="none" w:sz="0" w:space="0" w:color="auto"/>
            </w:tcBorders>
            <w:hideMark/>
          </w:tcPr>
          <w:p w:rsidR="00BB039B" w:rsidRPr="00B75B77" w:rsidRDefault="00BB039B" w:rsidP="00BB03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sz w:val="18"/>
                <w:szCs w:val="18"/>
              </w:rPr>
              <w:t>0</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tcBorders>
            <w:hideMark/>
          </w:tcPr>
          <w:p w:rsidR="00BB039B" w:rsidRPr="00B75B77" w:rsidRDefault="00BB039B" w:rsidP="00BB039B">
            <w:pPr>
              <w:jc w:val="center"/>
              <w:rPr>
                <w:rFonts w:ascii="Calibri" w:eastAsia="Times New Roman" w:hAnsi="Calibri"/>
                <w:color w:val="000000"/>
                <w:sz w:val="18"/>
                <w:szCs w:val="18"/>
              </w:rPr>
            </w:pPr>
            <w:r w:rsidRPr="00B75B77">
              <w:rPr>
                <w:sz w:val="18"/>
                <w:szCs w:val="18"/>
              </w:rPr>
              <w:t>0</w:t>
            </w:r>
          </w:p>
        </w:tc>
      </w:tr>
      <w:tr w:rsidR="00BB039B" w:rsidRPr="00B75B77" w:rsidTr="00502659">
        <w:trPr>
          <w:cnfStyle w:val="000000010000" w:firstRow="0" w:lastRow="0" w:firstColumn="0" w:lastColumn="0" w:oddVBand="0" w:evenVBand="0" w:oddHBand="0" w:evenHBand="1"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9602" w:type="dxa"/>
            <w:gridSpan w:val="4"/>
            <w:shd w:val="clear" w:color="auto" w:fill="AEAAAA"/>
            <w:vAlign w:val="center"/>
          </w:tcPr>
          <w:p w:rsidR="00BB039B" w:rsidRPr="00B75B77" w:rsidRDefault="00BB039B" w:rsidP="00BB039B">
            <w:pPr>
              <w:jc w:val="center"/>
              <w:rPr>
                <w:rFonts w:ascii="Calibri" w:eastAsia="Times New Roman" w:hAnsi="Calibri"/>
                <w:color w:val="000000"/>
                <w:sz w:val="18"/>
                <w:szCs w:val="18"/>
              </w:rPr>
            </w:pPr>
          </w:p>
        </w:tc>
      </w:tr>
      <w:tr w:rsidR="00BB039B" w:rsidRPr="00B75B77" w:rsidTr="007905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auto"/>
            <w:vAlign w:val="center"/>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5</w:t>
            </w:r>
          </w:p>
        </w:tc>
        <w:tc>
          <w:tcPr>
            <w:cnfStyle w:val="000010000000" w:firstRow="0" w:lastRow="0" w:firstColumn="0" w:lastColumn="0" w:oddVBand="1" w:evenVBand="0" w:oddHBand="0" w:evenHBand="0" w:firstRowFirstColumn="0" w:firstRowLastColumn="0" w:lastRowFirstColumn="0" w:lastRowLastColumn="0"/>
            <w:tcW w:w="5840" w:type="dxa"/>
            <w:tcBorders>
              <w:left w:val="none" w:sz="0" w:space="0" w:color="auto"/>
              <w:right w:val="none" w:sz="0" w:space="0" w:color="auto"/>
            </w:tcBorders>
            <w:shd w:val="clear" w:color="auto" w:fill="auto"/>
            <w:noWrap/>
            <w:vAlign w:val="center"/>
          </w:tcPr>
          <w:p w:rsidR="00BB039B" w:rsidRPr="00B75B77" w:rsidRDefault="00BB039B" w:rsidP="00BB039B">
            <w:pPr>
              <w:jc w:val="left"/>
              <w:rPr>
                <w:rFonts w:ascii="Calibri" w:eastAsia="Times New Roman" w:hAnsi="Calibri"/>
                <w:color w:val="000000"/>
                <w:sz w:val="18"/>
                <w:szCs w:val="18"/>
              </w:rPr>
            </w:pPr>
            <w:r w:rsidRPr="00B75B77">
              <w:rPr>
                <w:rFonts w:ascii="Calibri" w:eastAsia="Times New Roman" w:hAnsi="Calibri"/>
                <w:color w:val="000000"/>
                <w:sz w:val="18"/>
                <w:szCs w:val="18"/>
              </w:rPr>
              <w:t>Program Overhead Costs (Sum of Rows 6 through 10 )</w:t>
            </w:r>
          </w:p>
        </w:tc>
        <w:tc>
          <w:tcPr>
            <w:tcW w:w="1350" w:type="dxa"/>
            <w:tcBorders>
              <w:left w:val="none" w:sz="0" w:space="0" w:color="auto"/>
              <w:right w:val="none" w:sz="0" w:space="0" w:color="auto"/>
            </w:tcBorders>
            <w:shd w:val="clear" w:color="auto" w:fill="auto"/>
            <w:noWrap/>
          </w:tcPr>
          <w:p w:rsidR="00BB039B" w:rsidRPr="00B75B77" w:rsidRDefault="00BB039B" w:rsidP="00BB03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sz w:val="18"/>
                <w:szCs w:val="18"/>
              </w:rPr>
              <w:t>794</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tcBorders>
            <w:shd w:val="clear" w:color="auto" w:fill="auto"/>
          </w:tcPr>
          <w:p w:rsidR="00BB039B" w:rsidRPr="00B75B77" w:rsidRDefault="00BB039B" w:rsidP="00BB039B">
            <w:pPr>
              <w:jc w:val="center"/>
              <w:rPr>
                <w:rFonts w:ascii="Calibri" w:eastAsia="Times New Roman" w:hAnsi="Calibri"/>
                <w:color w:val="000000"/>
                <w:sz w:val="18"/>
                <w:szCs w:val="18"/>
              </w:rPr>
            </w:pPr>
            <w:r w:rsidRPr="00B75B77">
              <w:rPr>
                <w:sz w:val="18"/>
                <w:szCs w:val="18"/>
              </w:rPr>
              <w:t>2,916</w:t>
            </w:r>
          </w:p>
        </w:tc>
      </w:tr>
      <w:tr w:rsidR="00BB039B" w:rsidRPr="00B75B77" w:rsidTr="0079059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D2EAF1"/>
            <w:vAlign w:val="center"/>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6</w:t>
            </w:r>
          </w:p>
        </w:tc>
        <w:tc>
          <w:tcPr>
            <w:cnfStyle w:val="000010000000" w:firstRow="0" w:lastRow="0" w:firstColumn="0" w:lastColumn="0" w:oddVBand="1" w:evenVBand="0" w:oddHBand="0" w:evenHBand="0" w:firstRowFirstColumn="0" w:firstRowLastColumn="0" w:lastRowFirstColumn="0" w:lastRowLastColumn="0"/>
            <w:tcW w:w="5840" w:type="dxa"/>
            <w:tcBorders>
              <w:left w:val="none" w:sz="0" w:space="0" w:color="auto"/>
              <w:right w:val="none" w:sz="0" w:space="0" w:color="auto"/>
            </w:tcBorders>
            <w:shd w:val="clear" w:color="auto" w:fill="D2EAF1"/>
            <w:noWrap/>
            <w:vAlign w:val="center"/>
            <w:hideMark/>
          </w:tcPr>
          <w:p w:rsidR="00BB039B" w:rsidRPr="00B75B77" w:rsidRDefault="00BB039B" w:rsidP="00BB039B">
            <w:pPr>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Design </w:t>
            </w:r>
            <w:r w:rsidR="004D1969" w:rsidRPr="00B75B77">
              <w:rPr>
                <w:rFonts w:ascii="Calibri" w:eastAsia="Times New Roman" w:hAnsi="Calibri"/>
                <w:color w:val="000000"/>
                <w:sz w:val="18"/>
                <w:szCs w:val="18"/>
              </w:rPr>
              <w:t>and</w:t>
            </w:r>
            <w:r w:rsidRPr="00B75B77">
              <w:rPr>
                <w:rFonts w:ascii="Calibri" w:eastAsia="Times New Roman" w:hAnsi="Calibri"/>
                <w:color w:val="000000"/>
                <w:sz w:val="18"/>
                <w:szCs w:val="18"/>
              </w:rPr>
              <w:t xml:space="preserve"> Development</w:t>
            </w:r>
          </w:p>
        </w:tc>
        <w:tc>
          <w:tcPr>
            <w:tcW w:w="1350" w:type="dxa"/>
            <w:tcBorders>
              <w:left w:val="none" w:sz="0" w:space="0" w:color="auto"/>
              <w:right w:val="none" w:sz="0" w:space="0" w:color="auto"/>
            </w:tcBorders>
            <w:shd w:val="clear" w:color="auto" w:fill="D2EAF1"/>
            <w:noWrap/>
            <w:hideMark/>
          </w:tcPr>
          <w:p w:rsidR="00BB039B" w:rsidRPr="00B75B77" w:rsidRDefault="00BB039B" w:rsidP="00BB03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sz w:val="18"/>
                <w:szCs w:val="18"/>
              </w:rPr>
              <w:t>0</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tcBorders>
            <w:shd w:val="clear" w:color="auto" w:fill="D2EAF1"/>
            <w:hideMark/>
          </w:tcPr>
          <w:p w:rsidR="00BB039B" w:rsidRPr="00B75B77" w:rsidRDefault="00BB039B" w:rsidP="00BB039B">
            <w:pPr>
              <w:jc w:val="center"/>
              <w:rPr>
                <w:rFonts w:ascii="Calibri" w:eastAsia="Times New Roman" w:hAnsi="Calibri"/>
                <w:color w:val="000000"/>
                <w:sz w:val="18"/>
                <w:szCs w:val="18"/>
              </w:rPr>
            </w:pPr>
            <w:r w:rsidRPr="00B75B77">
              <w:rPr>
                <w:sz w:val="18"/>
                <w:szCs w:val="18"/>
              </w:rPr>
              <w:t>0</w:t>
            </w:r>
          </w:p>
        </w:tc>
      </w:tr>
      <w:tr w:rsidR="00BB039B" w:rsidRPr="00B75B77" w:rsidTr="007905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auto"/>
            <w:vAlign w:val="center"/>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7</w:t>
            </w:r>
          </w:p>
        </w:tc>
        <w:tc>
          <w:tcPr>
            <w:cnfStyle w:val="000010000000" w:firstRow="0" w:lastRow="0" w:firstColumn="0" w:lastColumn="0" w:oddVBand="1" w:evenVBand="0" w:oddHBand="0" w:evenHBand="0" w:firstRowFirstColumn="0" w:firstRowLastColumn="0" w:lastRowFirstColumn="0" w:lastRowLastColumn="0"/>
            <w:tcW w:w="5840" w:type="dxa"/>
            <w:tcBorders>
              <w:left w:val="none" w:sz="0" w:space="0" w:color="auto"/>
              <w:right w:val="none" w:sz="0" w:space="0" w:color="auto"/>
            </w:tcBorders>
            <w:shd w:val="clear" w:color="auto" w:fill="auto"/>
            <w:noWrap/>
            <w:vAlign w:val="center"/>
            <w:hideMark/>
          </w:tcPr>
          <w:p w:rsidR="00BB039B" w:rsidRPr="00B75B77" w:rsidRDefault="00BB039B" w:rsidP="00BB039B">
            <w:pPr>
              <w:jc w:val="left"/>
              <w:rPr>
                <w:rFonts w:ascii="Calibri" w:eastAsia="Times New Roman" w:hAnsi="Calibri"/>
                <w:color w:val="000000"/>
                <w:sz w:val="18"/>
                <w:szCs w:val="18"/>
              </w:rPr>
            </w:pPr>
            <w:r w:rsidRPr="00B75B77">
              <w:rPr>
                <w:rFonts w:ascii="Calibri" w:eastAsia="Times New Roman" w:hAnsi="Calibri"/>
                <w:color w:val="000000"/>
                <w:sz w:val="18"/>
                <w:szCs w:val="18"/>
              </w:rPr>
              <w:t>Administration, Management, and Technical Assistance</w:t>
            </w:r>
            <w:r w:rsidRPr="00B75B77">
              <w:rPr>
                <w:rFonts w:ascii="Calibri" w:eastAsia="Times New Roman" w:hAnsi="Calibri"/>
                <w:b/>
                <w:bCs/>
                <w:color w:val="000000"/>
                <w:sz w:val="18"/>
                <w:szCs w:val="18"/>
                <w:vertAlign w:val="superscript"/>
              </w:rPr>
              <w:t>[1]</w:t>
            </w:r>
          </w:p>
        </w:tc>
        <w:tc>
          <w:tcPr>
            <w:tcW w:w="1350" w:type="dxa"/>
            <w:tcBorders>
              <w:left w:val="none" w:sz="0" w:space="0" w:color="auto"/>
              <w:right w:val="none" w:sz="0" w:space="0" w:color="auto"/>
            </w:tcBorders>
            <w:shd w:val="clear" w:color="auto" w:fill="auto"/>
            <w:noWrap/>
            <w:hideMark/>
          </w:tcPr>
          <w:p w:rsidR="00BB039B" w:rsidRPr="00B75B77" w:rsidRDefault="00BB039B" w:rsidP="00BB03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sz w:val="18"/>
                <w:szCs w:val="18"/>
              </w:rPr>
              <w:t>794</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tcBorders>
            <w:shd w:val="clear" w:color="auto" w:fill="auto"/>
            <w:hideMark/>
          </w:tcPr>
          <w:p w:rsidR="00BB039B" w:rsidRPr="00B75B77" w:rsidRDefault="00BB039B" w:rsidP="00BB039B">
            <w:pPr>
              <w:jc w:val="center"/>
              <w:rPr>
                <w:rFonts w:ascii="Calibri" w:eastAsia="Times New Roman" w:hAnsi="Calibri"/>
                <w:color w:val="000000"/>
                <w:sz w:val="18"/>
                <w:szCs w:val="18"/>
              </w:rPr>
            </w:pPr>
            <w:r w:rsidRPr="00B75B77">
              <w:rPr>
                <w:sz w:val="18"/>
                <w:szCs w:val="18"/>
              </w:rPr>
              <w:t>2,916</w:t>
            </w:r>
          </w:p>
        </w:tc>
      </w:tr>
      <w:tr w:rsidR="00BB039B" w:rsidRPr="00B75B77" w:rsidTr="0079059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D2EAF1"/>
            <w:vAlign w:val="center"/>
          </w:tcPr>
          <w:p w:rsidR="00BB039B" w:rsidRPr="00B75B77" w:rsidRDefault="00BB039B" w:rsidP="00BB039B">
            <w:pPr>
              <w:jc w:val="center"/>
              <w:rPr>
                <w:rFonts w:ascii="Calibri" w:eastAsia="Times New Roman" w:hAnsi="Calibri"/>
                <w:color w:val="000000"/>
                <w:sz w:val="18"/>
                <w:szCs w:val="18"/>
              </w:rPr>
            </w:pPr>
            <w:r w:rsidRPr="00B75B77">
              <w:rPr>
                <w:rFonts w:ascii="Calibri" w:eastAsia="Times New Roman" w:hAnsi="Calibri"/>
                <w:color w:val="000000"/>
                <w:sz w:val="18"/>
                <w:szCs w:val="18"/>
              </w:rPr>
              <w:t>8</w:t>
            </w:r>
          </w:p>
        </w:tc>
        <w:tc>
          <w:tcPr>
            <w:cnfStyle w:val="000010000000" w:firstRow="0" w:lastRow="0" w:firstColumn="0" w:lastColumn="0" w:oddVBand="1" w:evenVBand="0" w:oddHBand="0" w:evenHBand="0" w:firstRowFirstColumn="0" w:firstRowLastColumn="0" w:lastRowFirstColumn="0" w:lastRowLastColumn="0"/>
            <w:tcW w:w="5840" w:type="dxa"/>
            <w:tcBorders>
              <w:left w:val="none" w:sz="0" w:space="0" w:color="auto"/>
              <w:right w:val="none" w:sz="0" w:space="0" w:color="auto"/>
            </w:tcBorders>
            <w:shd w:val="clear" w:color="auto" w:fill="D2EAF1"/>
            <w:noWrap/>
            <w:vAlign w:val="center"/>
            <w:hideMark/>
          </w:tcPr>
          <w:p w:rsidR="00BB039B" w:rsidRPr="00B75B77" w:rsidRDefault="00BB039B" w:rsidP="00BB039B">
            <w:pPr>
              <w:jc w:val="left"/>
              <w:rPr>
                <w:rFonts w:ascii="Calibri" w:eastAsia="Times New Roman" w:hAnsi="Calibri"/>
                <w:color w:val="000000"/>
                <w:sz w:val="18"/>
                <w:szCs w:val="18"/>
              </w:rPr>
            </w:pPr>
            <w:r w:rsidRPr="00B75B77">
              <w:rPr>
                <w:rFonts w:ascii="Calibri" w:eastAsia="Times New Roman" w:hAnsi="Calibri"/>
                <w:color w:val="000000"/>
                <w:sz w:val="18"/>
                <w:szCs w:val="18"/>
              </w:rPr>
              <w:t>Marketing</w:t>
            </w:r>
            <w:r w:rsidRPr="00B75B77">
              <w:rPr>
                <w:rFonts w:ascii="Calibri" w:eastAsia="Times New Roman" w:hAnsi="Calibri"/>
                <w:b/>
                <w:bCs/>
                <w:color w:val="000000"/>
                <w:sz w:val="18"/>
                <w:szCs w:val="18"/>
                <w:vertAlign w:val="superscript"/>
              </w:rPr>
              <w:t>[2]</w:t>
            </w:r>
          </w:p>
        </w:tc>
        <w:tc>
          <w:tcPr>
            <w:tcW w:w="1350" w:type="dxa"/>
            <w:tcBorders>
              <w:left w:val="none" w:sz="0" w:space="0" w:color="auto"/>
              <w:right w:val="none" w:sz="0" w:space="0" w:color="auto"/>
            </w:tcBorders>
            <w:shd w:val="clear" w:color="auto" w:fill="D2EAF1"/>
            <w:noWrap/>
            <w:hideMark/>
          </w:tcPr>
          <w:p w:rsidR="00BB039B" w:rsidRPr="00B75B77" w:rsidRDefault="00BB039B" w:rsidP="00BB03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sz w:val="18"/>
                <w:szCs w:val="18"/>
              </w:rPr>
              <w:t>0</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tcBorders>
            <w:shd w:val="clear" w:color="auto" w:fill="D2EAF1"/>
            <w:hideMark/>
          </w:tcPr>
          <w:p w:rsidR="00BB039B" w:rsidRPr="00B75B77" w:rsidRDefault="00BB039B" w:rsidP="00BB039B">
            <w:pPr>
              <w:jc w:val="center"/>
              <w:rPr>
                <w:rFonts w:ascii="Calibri" w:eastAsia="Times New Roman" w:hAnsi="Calibri"/>
                <w:color w:val="000000"/>
                <w:sz w:val="18"/>
                <w:szCs w:val="18"/>
              </w:rPr>
            </w:pPr>
            <w:r w:rsidRPr="00B75B77">
              <w:rPr>
                <w:sz w:val="18"/>
                <w:szCs w:val="18"/>
              </w:rPr>
              <w:t>0</w:t>
            </w:r>
          </w:p>
        </w:tc>
      </w:tr>
      <w:tr w:rsidR="00BB039B" w:rsidRPr="00B75B77" w:rsidTr="007905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auto"/>
            <w:vAlign w:val="center"/>
          </w:tcPr>
          <w:p w:rsidR="00BB039B" w:rsidRPr="00B75B77" w:rsidRDefault="00BB039B" w:rsidP="00BB039B">
            <w:pPr>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9</w:t>
            </w:r>
          </w:p>
        </w:tc>
        <w:tc>
          <w:tcPr>
            <w:cnfStyle w:val="000010000000" w:firstRow="0" w:lastRow="0" w:firstColumn="0" w:lastColumn="0" w:oddVBand="1" w:evenVBand="0" w:oddHBand="0" w:evenHBand="0" w:firstRowFirstColumn="0" w:firstRowLastColumn="0" w:lastRowFirstColumn="0" w:lastRowLastColumn="0"/>
            <w:tcW w:w="5840" w:type="dxa"/>
            <w:tcBorders>
              <w:left w:val="none" w:sz="0" w:space="0" w:color="auto"/>
              <w:right w:val="none" w:sz="0" w:space="0" w:color="auto"/>
            </w:tcBorders>
            <w:shd w:val="clear" w:color="auto" w:fill="auto"/>
            <w:noWrap/>
            <w:vAlign w:val="center"/>
          </w:tcPr>
          <w:p w:rsidR="00BB039B" w:rsidRPr="00B75B77" w:rsidRDefault="00BB039B" w:rsidP="00BB039B">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EDC Evaluation Costs</w:t>
            </w:r>
          </w:p>
        </w:tc>
        <w:tc>
          <w:tcPr>
            <w:tcW w:w="1350" w:type="dxa"/>
            <w:tcBorders>
              <w:left w:val="none" w:sz="0" w:space="0" w:color="auto"/>
              <w:right w:val="none" w:sz="0" w:space="0" w:color="auto"/>
            </w:tcBorders>
            <w:shd w:val="clear" w:color="auto" w:fill="auto"/>
            <w:noWrap/>
            <w:hideMark/>
          </w:tcPr>
          <w:p w:rsidR="00BB039B" w:rsidRPr="00B75B77" w:rsidRDefault="00BB039B" w:rsidP="00BB03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18"/>
                <w:szCs w:val="18"/>
              </w:rPr>
            </w:pPr>
            <w:r w:rsidRPr="00B75B77">
              <w:rPr>
                <w:sz w:val="18"/>
                <w:szCs w:val="18"/>
              </w:rPr>
              <w:t>0</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tcBorders>
            <w:shd w:val="clear" w:color="auto" w:fill="auto"/>
            <w:hideMark/>
          </w:tcPr>
          <w:p w:rsidR="00BB039B" w:rsidRPr="00B75B77" w:rsidRDefault="00BB039B" w:rsidP="00BB039B">
            <w:pPr>
              <w:jc w:val="center"/>
              <w:rPr>
                <w:rFonts w:ascii="Calibri" w:eastAsia="Times New Roman" w:hAnsi="Calibri"/>
                <w:b/>
                <w:bCs/>
                <w:color w:val="000000"/>
                <w:sz w:val="18"/>
                <w:szCs w:val="18"/>
              </w:rPr>
            </w:pPr>
            <w:r w:rsidRPr="00B75B77">
              <w:rPr>
                <w:sz w:val="18"/>
                <w:szCs w:val="18"/>
              </w:rPr>
              <w:t>0</w:t>
            </w:r>
          </w:p>
        </w:tc>
      </w:tr>
      <w:tr w:rsidR="00BB039B" w:rsidRPr="00B75B77" w:rsidTr="0079059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D2EAF1"/>
            <w:vAlign w:val="center"/>
          </w:tcPr>
          <w:p w:rsidR="00BB039B" w:rsidRPr="00B75B77" w:rsidRDefault="00BB039B" w:rsidP="00BB039B">
            <w:pPr>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10</w:t>
            </w:r>
          </w:p>
        </w:tc>
        <w:tc>
          <w:tcPr>
            <w:cnfStyle w:val="000010000000" w:firstRow="0" w:lastRow="0" w:firstColumn="0" w:lastColumn="0" w:oddVBand="1" w:evenVBand="0" w:oddHBand="0" w:evenHBand="0" w:firstRowFirstColumn="0" w:firstRowLastColumn="0" w:lastRowFirstColumn="0" w:lastRowLastColumn="0"/>
            <w:tcW w:w="5840" w:type="dxa"/>
            <w:tcBorders>
              <w:left w:val="none" w:sz="0" w:space="0" w:color="auto"/>
              <w:right w:val="none" w:sz="0" w:space="0" w:color="auto"/>
            </w:tcBorders>
            <w:shd w:val="clear" w:color="auto" w:fill="D2EAF1"/>
            <w:noWrap/>
            <w:vAlign w:val="center"/>
          </w:tcPr>
          <w:p w:rsidR="00BB039B" w:rsidRPr="00B75B77" w:rsidRDefault="00BB039B" w:rsidP="00BB039B">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SWE Audit Costs</w:t>
            </w:r>
          </w:p>
        </w:tc>
        <w:tc>
          <w:tcPr>
            <w:tcW w:w="1350" w:type="dxa"/>
            <w:tcBorders>
              <w:left w:val="none" w:sz="0" w:space="0" w:color="auto"/>
              <w:right w:val="none" w:sz="0" w:space="0" w:color="auto"/>
            </w:tcBorders>
            <w:shd w:val="clear" w:color="auto" w:fill="D2EAF1"/>
            <w:noWrap/>
          </w:tcPr>
          <w:p w:rsidR="00BB039B" w:rsidRPr="00B75B77" w:rsidRDefault="00BB039B" w:rsidP="00BB03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sz w:val="18"/>
                <w:szCs w:val="18"/>
              </w:rPr>
              <w:t>0</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tcBorders>
            <w:shd w:val="clear" w:color="auto" w:fill="D2EAF1"/>
          </w:tcPr>
          <w:p w:rsidR="00BB039B" w:rsidRPr="00B75B77" w:rsidRDefault="00BB039B" w:rsidP="00BB039B">
            <w:pPr>
              <w:jc w:val="center"/>
              <w:rPr>
                <w:rFonts w:ascii="Calibri" w:eastAsia="Times New Roman" w:hAnsi="Calibri"/>
                <w:color w:val="000000"/>
                <w:sz w:val="18"/>
                <w:szCs w:val="18"/>
              </w:rPr>
            </w:pPr>
            <w:r w:rsidRPr="00B75B77">
              <w:rPr>
                <w:sz w:val="18"/>
                <w:szCs w:val="18"/>
              </w:rPr>
              <w:t>0</w:t>
            </w:r>
          </w:p>
        </w:tc>
      </w:tr>
      <w:tr w:rsidR="00BB039B" w:rsidRPr="00B75B77" w:rsidTr="00502659">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9602" w:type="dxa"/>
            <w:gridSpan w:val="4"/>
            <w:shd w:val="clear" w:color="auto" w:fill="AEAAAA"/>
            <w:vAlign w:val="center"/>
          </w:tcPr>
          <w:p w:rsidR="00BB039B" w:rsidRPr="00B75B77" w:rsidRDefault="00BB039B" w:rsidP="00BB039B">
            <w:pPr>
              <w:jc w:val="center"/>
              <w:rPr>
                <w:rFonts w:ascii="Calibri" w:eastAsia="Times New Roman" w:hAnsi="Calibri"/>
                <w:b w:val="0"/>
                <w:bCs w:val="0"/>
                <w:color w:val="000000"/>
                <w:sz w:val="18"/>
                <w:szCs w:val="18"/>
              </w:rPr>
            </w:pPr>
          </w:p>
        </w:tc>
      </w:tr>
      <w:tr w:rsidR="00BB039B" w:rsidRPr="00B75B77" w:rsidTr="0079059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auto"/>
            <w:vAlign w:val="center"/>
          </w:tcPr>
          <w:p w:rsidR="00BB039B" w:rsidRPr="00B75B77" w:rsidRDefault="00BB039B" w:rsidP="00BB039B">
            <w:pPr>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11</w:t>
            </w:r>
          </w:p>
        </w:tc>
        <w:tc>
          <w:tcPr>
            <w:cnfStyle w:val="000010000000" w:firstRow="0" w:lastRow="0" w:firstColumn="0" w:lastColumn="0" w:oddVBand="1" w:evenVBand="0" w:oddHBand="0" w:evenHBand="0" w:firstRowFirstColumn="0" w:firstRowLastColumn="0" w:lastRowFirstColumn="0" w:lastRowLastColumn="0"/>
            <w:tcW w:w="5840" w:type="dxa"/>
            <w:tcBorders>
              <w:left w:val="none" w:sz="0" w:space="0" w:color="auto"/>
              <w:right w:val="none" w:sz="0" w:space="0" w:color="auto"/>
            </w:tcBorders>
            <w:shd w:val="clear" w:color="auto" w:fill="auto"/>
            <w:noWrap/>
            <w:vAlign w:val="center"/>
          </w:tcPr>
          <w:p w:rsidR="00BB039B" w:rsidRPr="00B75B77" w:rsidRDefault="00BB039B" w:rsidP="00BB039B">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Increases in Costs of Natural Gas (or Other Fuels) for Fuel-Switching Programs</w:t>
            </w:r>
          </w:p>
        </w:tc>
        <w:tc>
          <w:tcPr>
            <w:tcW w:w="1350" w:type="dxa"/>
            <w:tcBorders>
              <w:left w:val="none" w:sz="0" w:space="0" w:color="auto"/>
              <w:right w:val="none" w:sz="0" w:space="0" w:color="auto"/>
            </w:tcBorders>
            <w:shd w:val="clear" w:color="auto" w:fill="auto"/>
            <w:noWrap/>
            <w:vAlign w:val="center"/>
          </w:tcPr>
          <w:p w:rsidR="00BB039B" w:rsidRPr="00B75B77" w:rsidRDefault="00BB039B" w:rsidP="00BB03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 w:val="18"/>
                <w:szCs w:val="18"/>
              </w:rPr>
            </w:pPr>
            <w:r w:rsidRPr="00B75B77">
              <w:rPr>
                <w:rFonts w:ascii="Calibri" w:eastAsia="Times New Roman" w:hAnsi="Calibri"/>
                <w:b/>
                <w:bCs/>
                <w:color w:val="000000"/>
                <w:sz w:val="18"/>
                <w:szCs w:val="18"/>
              </w:rPr>
              <w:t>0</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tcBorders>
            <w:shd w:val="clear" w:color="auto" w:fill="auto"/>
            <w:vAlign w:val="center"/>
          </w:tcPr>
          <w:p w:rsidR="00BB039B" w:rsidRPr="00B75B77" w:rsidRDefault="00BB039B" w:rsidP="00BB039B">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0</w:t>
            </w:r>
          </w:p>
        </w:tc>
      </w:tr>
      <w:tr w:rsidR="00BB039B" w:rsidRPr="00B75B77" w:rsidTr="00502659">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9602" w:type="dxa"/>
            <w:gridSpan w:val="4"/>
            <w:shd w:val="clear" w:color="auto" w:fill="AEAAAA"/>
            <w:vAlign w:val="center"/>
          </w:tcPr>
          <w:p w:rsidR="00BB039B" w:rsidRPr="00B75B77" w:rsidRDefault="00BB039B" w:rsidP="00BB039B">
            <w:pPr>
              <w:jc w:val="center"/>
              <w:rPr>
                <w:rFonts w:ascii="Calibri" w:eastAsia="Times New Roman" w:hAnsi="Calibri"/>
                <w:b w:val="0"/>
                <w:bCs w:val="0"/>
                <w:color w:val="000000"/>
                <w:sz w:val="18"/>
                <w:szCs w:val="18"/>
              </w:rPr>
            </w:pPr>
          </w:p>
        </w:tc>
      </w:tr>
      <w:tr w:rsidR="00BB039B" w:rsidRPr="00B75B77" w:rsidTr="0079059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D2EAF1"/>
            <w:vAlign w:val="center"/>
          </w:tcPr>
          <w:p w:rsidR="00BB039B" w:rsidRPr="00B75B77" w:rsidRDefault="00BB039B" w:rsidP="00BB039B">
            <w:pPr>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12</w:t>
            </w:r>
          </w:p>
        </w:tc>
        <w:tc>
          <w:tcPr>
            <w:cnfStyle w:val="000010000000" w:firstRow="0" w:lastRow="0" w:firstColumn="0" w:lastColumn="0" w:oddVBand="1" w:evenVBand="0" w:oddHBand="0" w:evenHBand="0" w:firstRowFirstColumn="0" w:firstRowLastColumn="0" w:lastRowFirstColumn="0" w:lastRowLastColumn="0"/>
            <w:tcW w:w="5840" w:type="dxa"/>
            <w:tcBorders>
              <w:left w:val="none" w:sz="0" w:space="0" w:color="auto"/>
              <w:right w:val="none" w:sz="0" w:space="0" w:color="auto"/>
            </w:tcBorders>
            <w:noWrap/>
            <w:vAlign w:val="center"/>
            <w:hideMark/>
          </w:tcPr>
          <w:p w:rsidR="00BB039B" w:rsidRPr="00B75B77" w:rsidRDefault="00BB039B" w:rsidP="00BB039B">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Total  TRC Costs</w:t>
            </w:r>
            <w:r w:rsidRPr="00B75B77">
              <w:rPr>
                <w:rFonts w:ascii="Calibri" w:eastAsia="Times New Roman" w:hAnsi="Calibri"/>
                <w:bCs/>
                <w:color w:val="000000"/>
                <w:sz w:val="18"/>
                <w:szCs w:val="18"/>
                <w:vertAlign w:val="superscript"/>
              </w:rPr>
              <w:t xml:space="preserve">[3] </w:t>
            </w:r>
            <w:r w:rsidRPr="00B75B77">
              <w:rPr>
                <w:rFonts w:ascii="Calibri" w:eastAsia="Times New Roman" w:hAnsi="Calibri"/>
                <w:bCs/>
                <w:color w:val="000000"/>
                <w:sz w:val="18"/>
                <w:szCs w:val="18"/>
              </w:rPr>
              <w:t>(Sum of Rows 1, 5, and 11)</w:t>
            </w:r>
          </w:p>
        </w:tc>
        <w:tc>
          <w:tcPr>
            <w:tcW w:w="1350" w:type="dxa"/>
            <w:tcBorders>
              <w:left w:val="none" w:sz="0" w:space="0" w:color="auto"/>
              <w:right w:val="none" w:sz="0" w:space="0" w:color="auto"/>
            </w:tcBorders>
            <w:shd w:val="clear" w:color="auto" w:fill="DAEEF3" w:themeFill="accent5" w:themeFillTint="33"/>
            <w:noWrap/>
            <w:hideMark/>
          </w:tcPr>
          <w:p w:rsidR="00BB039B" w:rsidRPr="00B75B77" w:rsidRDefault="00BB039B" w:rsidP="00BB03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 w:val="18"/>
                <w:szCs w:val="18"/>
              </w:rPr>
            </w:pPr>
            <w:r w:rsidRPr="00B75B77">
              <w:rPr>
                <w:sz w:val="18"/>
                <w:szCs w:val="18"/>
              </w:rPr>
              <w:t>794</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tcBorders>
            <w:hideMark/>
          </w:tcPr>
          <w:p w:rsidR="00BB039B" w:rsidRPr="00B75B77" w:rsidRDefault="00BB039B" w:rsidP="00BB039B">
            <w:pPr>
              <w:jc w:val="center"/>
              <w:rPr>
                <w:rFonts w:ascii="Calibri" w:eastAsia="Times New Roman" w:hAnsi="Calibri"/>
                <w:b/>
                <w:bCs/>
                <w:color w:val="000000"/>
                <w:sz w:val="18"/>
                <w:szCs w:val="18"/>
              </w:rPr>
            </w:pPr>
            <w:r w:rsidRPr="00B75B77">
              <w:rPr>
                <w:sz w:val="18"/>
                <w:szCs w:val="18"/>
              </w:rPr>
              <w:t>2,916</w:t>
            </w:r>
          </w:p>
        </w:tc>
      </w:tr>
      <w:tr w:rsidR="00BB039B" w:rsidRPr="00B75B77" w:rsidTr="007905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auto"/>
            <w:vAlign w:val="center"/>
          </w:tcPr>
          <w:p w:rsidR="00BB039B" w:rsidRPr="00B75B77" w:rsidRDefault="00BB039B" w:rsidP="00BB039B">
            <w:pPr>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13</w:t>
            </w:r>
          </w:p>
        </w:tc>
        <w:tc>
          <w:tcPr>
            <w:cnfStyle w:val="000010000000" w:firstRow="0" w:lastRow="0" w:firstColumn="0" w:lastColumn="0" w:oddVBand="1" w:evenVBand="0" w:oddHBand="0" w:evenHBand="0" w:firstRowFirstColumn="0" w:firstRowLastColumn="0" w:lastRowFirstColumn="0" w:lastRowLastColumn="0"/>
            <w:tcW w:w="5840" w:type="dxa"/>
            <w:tcBorders>
              <w:left w:val="none" w:sz="0" w:space="0" w:color="auto"/>
              <w:right w:val="none" w:sz="0" w:space="0" w:color="auto"/>
            </w:tcBorders>
            <w:shd w:val="clear" w:color="auto" w:fill="auto"/>
            <w:noWrap/>
            <w:vAlign w:val="center"/>
            <w:hideMark/>
          </w:tcPr>
          <w:p w:rsidR="00BB039B" w:rsidRPr="00B75B77" w:rsidRDefault="00BB039B" w:rsidP="00BB039B">
            <w:pPr>
              <w:jc w:val="left"/>
              <w:rPr>
                <w:rFonts w:ascii="Calibri" w:eastAsia="Times New Roman" w:hAnsi="Calibri"/>
                <w:color w:val="000000"/>
                <w:sz w:val="18"/>
                <w:szCs w:val="18"/>
              </w:rPr>
            </w:pPr>
            <w:r w:rsidRPr="00B75B77">
              <w:rPr>
                <w:rFonts w:ascii="Calibri" w:eastAsia="Times New Roman" w:hAnsi="Calibri"/>
                <w:bCs/>
                <w:color w:val="000000"/>
                <w:sz w:val="18"/>
                <w:szCs w:val="18"/>
              </w:rPr>
              <w:t>Total NPV Lifetime Energy Benefits</w:t>
            </w:r>
          </w:p>
        </w:tc>
        <w:tc>
          <w:tcPr>
            <w:tcW w:w="1350" w:type="dxa"/>
            <w:tcBorders>
              <w:left w:val="none" w:sz="0" w:space="0" w:color="auto"/>
              <w:bottom w:val="single" w:sz="8" w:space="0" w:color="448A99"/>
              <w:right w:val="none" w:sz="0" w:space="0" w:color="auto"/>
            </w:tcBorders>
            <w:shd w:val="clear" w:color="auto" w:fill="auto"/>
            <w:noWrap/>
            <w:hideMark/>
          </w:tcPr>
          <w:p w:rsidR="00BB039B" w:rsidRPr="00B75B77" w:rsidRDefault="00BB039B" w:rsidP="00BB03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18"/>
                <w:szCs w:val="18"/>
              </w:rPr>
            </w:pPr>
            <w:r w:rsidRPr="00B75B77">
              <w:rPr>
                <w:sz w:val="18"/>
                <w:szCs w:val="18"/>
              </w:rPr>
              <w:t>1,119</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tcBorders>
            <w:shd w:val="clear" w:color="auto" w:fill="auto"/>
            <w:hideMark/>
          </w:tcPr>
          <w:p w:rsidR="00BB039B" w:rsidRPr="00B75B77" w:rsidRDefault="00BB039B" w:rsidP="00BB039B">
            <w:pPr>
              <w:jc w:val="center"/>
              <w:rPr>
                <w:rFonts w:ascii="Calibri" w:eastAsia="Times New Roman" w:hAnsi="Calibri"/>
                <w:b/>
                <w:bCs/>
                <w:color w:val="000000"/>
                <w:sz w:val="18"/>
                <w:szCs w:val="18"/>
              </w:rPr>
            </w:pPr>
            <w:r w:rsidRPr="00B75B77">
              <w:rPr>
                <w:sz w:val="18"/>
                <w:szCs w:val="18"/>
              </w:rPr>
              <w:t>3,352</w:t>
            </w:r>
          </w:p>
        </w:tc>
      </w:tr>
      <w:tr w:rsidR="00BB039B" w:rsidRPr="00B75B77" w:rsidTr="0079059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D2EAF1"/>
            <w:vAlign w:val="center"/>
          </w:tcPr>
          <w:p w:rsidR="00BB039B" w:rsidRPr="00B75B77" w:rsidRDefault="00BB039B" w:rsidP="00BB039B">
            <w:pPr>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14</w:t>
            </w:r>
          </w:p>
        </w:tc>
        <w:tc>
          <w:tcPr>
            <w:cnfStyle w:val="000010000000" w:firstRow="0" w:lastRow="0" w:firstColumn="0" w:lastColumn="0" w:oddVBand="1" w:evenVBand="0" w:oddHBand="0" w:evenHBand="0" w:firstRowFirstColumn="0" w:firstRowLastColumn="0" w:lastRowFirstColumn="0" w:lastRowLastColumn="0"/>
            <w:tcW w:w="5840" w:type="dxa"/>
            <w:tcBorders>
              <w:left w:val="none" w:sz="0" w:space="0" w:color="auto"/>
              <w:right w:val="none" w:sz="0" w:space="0" w:color="auto"/>
            </w:tcBorders>
            <w:noWrap/>
            <w:vAlign w:val="center"/>
            <w:hideMark/>
          </w:tcPr>
          <w:p w:rsidR="00BB039B" w:rsidRPr="00B75B77" w:rsidRDefault="00BB039B" w:rsidP="00BB039B">
            <w:pPr>
              <w:jc w:val="left"/>
              <w:rPr>
                <w:rFonts w:ascii="Calibri" w:eastAsia="Times New Roman" w:hAnsi="Calibri"/>
                <w:color w:val="000000"/>
                <w:sz w:val="18"/>
                <w:szCs w:val="18"/>
              </w:rPr>
            </w:pPr>
            <w:r w:rsidRPr="00B75B77">
              <w:rPr>
                <w:rFonts w:ascii="Calibri" w:eastAsia="Times New Roman" w:hAnsi="Calibri"/>
                <w:bCs/>
                <w:color w:val="000000"/>
                <w:sz w:val="18"/>
                <w:szCs w:val="18"/>
              </w:rPr>
              <w:t>Total NPV Lifetime Capacity Benefits</w:t>
            </w:r>
          </w:p>
        </w:tc>
        <w:tc>
          <w:tcPr>
            <w:tcW w:w="1350" w:type="dxa"/>
            <w:tcBorders>
              <w:left w:val="none" w:sz="0" w:space="0" w:color="auto"/>
              <w:right w:val="none" w:sz="0" w:space="0" w:color="auto"/>
            </w:tcBorders>
            <w:shd w:val="clear" w:color="auto" w:fill="DAEEF3" w:themeFill="accent5" w:themeFillTint="33"/>
            <w:noWrap/>
            <w:hideMark/>
          </w:tcPr>
          <w:p w:rsidR="00BB039B" w:rsidRPr="00B75B77" w:rsidRDefault="00BB039B" w:rsidP="00BB03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 w:val="18"/>
                <w:szCs w:val="18"/>
              </w:rPr>
            </w:pPr>
            <w:r w:rsidRPr="00B75B77">
              <w:rPr>
                <w:sz w:val="18"/>
                <w:szCs w:val="18"/>
              </w:rPr>
              <w:t>111</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tcBorders>
            <w:hideMark/>
          </w:tcPr>
          <w:p w:rsidR="00BB039B" w:rsidRPr="00B75B77" w:rsidRDefault="00BB039B" w:rsidP="00BB039B">
            <w:pPr>
              <w:jc w:val="center"/>
              <w:rPr>
                <w:rFonts w:ascii="Calibri" w:eastAsia="Times New Roman" w:hAnsi="Calibri"/>
                <w:b/>
                <w:bCs/>
                <w:color w:val="000000"/>
                <w:sz w:val="18"/>
                <w:szCs w:val="18"/>
              </w:rPr>
            </w:pPr>
            <w:r w:rsidRPr="00B75B77">
              <w:rPr>
                <w:sz w:val="18"/>
                <w:szCs w:val="18"/>
              </w:rPr>
              <w:t>310</w:t>
            </w:r>
          </w:p>
        </w:tc>
      </w:tr>
      <w:tr w:rsidR="00BB039B" w:rsidRPr="00B75B77" w:rsidTr="007905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auto"/>
            <w:vAlign w:val="center"/>
          </w:tcPr>
          <w:p w:rsidR="00BB039B" w:rsidRPr="00B75B77" w:rsidRDefault="00BB039B" w:rsidP="00BB039B">
            <w:pPr>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15</w:t>
            </w:r>
          </w:p>
        </w:tc>
        <w:tc>
          <w:tcPr>
            <w:cnfStyle w:val="000010000000" w:firstRow="0" w:lastRow="0" w:firstColumn="0" w:lastColumn="0" w:oddVBand="1" w:evenVBand="0" w:oddHBand="0" w:evenHBand="0" w:firstRowFirstColumn="0" w:firstRowLastColumn="0" w:lastRowFirstColumn="0" w:lastRowLastColumn="0"/>
            <w:tcW w:w="5840" w:type="dxa"/>
            <w:tcBorders>
              <w:left w:val="none" w:sz="0" w:space="0" w:color="auto"/>
              <w:right w:val="none" w:sz="0" w:space="0" w:color="auto"/>
            </w:tcBorders>
            <w:shd w:val="clear" w:color="auto" w:fill="auto"/>
            <w:noWrap/>
            <w:vAlign w:val="center"/>
            <w:hideMark/>
          </w:tcPr>
          <w:p w:rsidR="00BB039B" w:rsidRPr="00B75B77" w:rsidRDefault="00BB039B" w:rsidP="00BB039B">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Total NPV TRC Benefits</w:t>
            </w:r>
            <w:r w:rsidRPr="00B75B77">
              <w:rPr>
                <w:rFonts w:ascii="Calibri" w:eastAsia="Times New Roman" w:hAnsi="Calibri"/>
                <w:bCs/>
                <w:color w:val="000000"/>
                <w:sz w:val="18"/>
                <w:szCs w:val="18"/>
                <w:vertAlign w:val="superscript"/>
              </w:rPr>
              <w:t>[4]</w:t>
            </w:r>
          </w:p>
        </w:tc>
        <w:tc>
          <w:tcPr>
            <w:tcW w:w="1350" w:type="dxa"/>
            <w:tcBorders>
              <w:left w:val="none" w:sz="0" w:space="0" w:color="auto"/>
              <w:right w:val="none" w:sz="0" w:space="0" w:color="auto"/>
            </w:tcBorders>
            <w:shd w:val="clear" w:color="auto" w:fill="auto"/>
            <w:noWrap/>
            <w:hideMark/>
          </w:tcPr>
          <w:p w:rsidR="00BB039B" w:rsidRPr="00B75B77" w:rsidRDefault="00BB039B" w:rsidP="00BB03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18"/>
                <w:szCs w:val="18"/>
              </w:rPr>
            </w:pPr>
            <w:r w:rsidRPr="00B75B77">
              <w:rPr>
                <w:sz w:val="18"/>
                <w:szCs w:val="18"/>
              </w:rPr>
              <w:t>1,382</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tcBorders>
            <w:shd w:val="clear" w:color="auto" w:fill="auto"/>
            <w:hideMark/>
          </w:tcPr>
          <w:p w:rsidR="00BB039B" w:rsidRPr="00B75B77" w:rsidRDefault="00BB039B" w:rsidP="00BB039B">
            <w:pPr>
              <w:jc w:val="center"/>
              <w:rPr>
                <w:rFonts w:ascii="Calibri" w:eastAsia="Times New Roman" w:hAnsi="Calibri"/>
                <w:b/>
                <w:bCs/>
                <w:color w:val="000000"/>
                <w:sz w:val="18"/>
                <w:szCs w:val="18"/>
              </w:rPr>
            </w:pPr>
            <w:r w:rsidRPr="00B75B77">
              <w:rPr>
                <w:sz w:val="18"/>
                <w:szCs w:val="18"/>
              </w:rPr>
              <w:t>4,087</w:t>
            </w:r>
          </w:p>
        </w:tc>
      </w:tr>
      <w:tr w:rsidR="00BB039B" w:rsidRPr="00B75B77" w:rsidTr="00502659">
        <w:trPr>
          <w:cnfStyle w:val="000000010000" w:firstRow="0" w:lastRow="0" w:firstColumn="0" w:lastColumn="0" w:oddVBand="0" w:evenVBand="0" w:oddHBand="0" w:evenHBand="1"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02" w:type="dxa"/>
            <w:gridSpan w:val="4"/>
            <w:shd w:val="clear" w:color="auto" w:fill="AEAAAA"/>
            <w:vAlign w:val="center"/>
          </w:tcPr>
          <w:p w:rsidR="00BB039B" w:rsidRPr="00B75B77" w:rsidRDefault="00BB039B" w:rsidP="00BB039B">
            <w:pPr>
              <w:jc w:val="center"/>
              <w:rPr>
                <w:rFonts w:ascii="Calibri" w:eastAsia="Times New Roman" w:hAnsi="Calibri"/>
                <w:b w:val="0"/>
                <w:bCs w:val="0"/>
                <w:color w:val="000000"/>
                <w:sz w:val="18"/>
                <w:szCs w:val="18"/>
              </w:rPr>
            </w:pPr>
          </w:p>
        </w:tc>
      </w:tr>
      <w:tr w:rsidR="00BB039B" w:rsidRPr="00B75B77" w:rsidTr="007905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D2EAF1"/>
            <w:vAlign w:val="center"/>
          </w:tcPr>
          <w:p w:rsidR="00BB039B" w:rsidRPr="00B75B77" w:rsidRDefault="00BB039B" w:rsidP="00BB039B">
            <w:pPr>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16</w:t>
            </w:r>
          </w:p>
        </w:tc>
        <w:tc>
          <w:tcPr>
            <w:cnfStyle w:val="000010000000" w:firstRow="0" w:lastRow="0" w:firstColumn="0" w:lastColumn="0" w:oddVBand="1" w:evenVBand="0" w:oddHBand="0" w:evenHBand="0" w:firstRowFirstColumn="0" w:firstRowLastColumn="0" w:lastRowFirstColumn="0" w:lastRowLastColumn="0"/>
            <w:tcW w:w="5840" w:type="dxa"/>
            <w:tcBorders>
              <w:left w:val="none" w:sz="0" w:space="0" w:color="auto"/>
              <w:right w:val="none" w:sz="0" w:space="0" w:color="auto"/>
            </w:tcBorders>
            <w:shd w:val="clear" w:color="auto" w:fill="D2EAF1"/>
            <w:noWrap/>
            <w:vAlign w:val="center"/>
            <w:hideMark/>
          </w:tcPr>
          <w:p w:rsidR="00BB039B" w:rsidRPr="00B75B77" w:rsidRDefault="00BB039B" w:rsidP="00BB039B">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TRC Benefit-Cost Ratio</w:t>
            </w:r>
            <w:r w:rsidRPr="00B75B77">
              <w:rPr>
                <w:rFonts w:ascii="Calibri" w:eastAsia="Times New Roman" w:hAnsi="Calibri"/>
                <w:bCs/>
                <w:color w:val="000000"/>
                <w:sz w:val="18"/>
                <w:szCs w:val="18"/>
                <w:vertAlign w:val="superscript"/>
              </w:rPr>
              <w:t>[5]</w:t>
            </w:r>
          </w:p>
        </w:tc>
        <w:tc>
          <w:tcPr>
            <w:tcW w:w="1350" w:type="dxa"/>
            <w:tcBorders>
              <w:left w:val="none" w:sz="0" w:space="0" w:color="auto"/>
              <w:right w:val="none" w:sz="0" w:space="0" w:color="auto"/>
            </w:tcBorders>
            <w:shd w:val="clear" w:color="auto" w:fill="D2EAF1"/>
            <w:noWrap/>
            <w:hideMark/>
          </w:tcPr>
          <w:p w:rsidR="00BB039B" w:rsidRPr="00B75B77" w:rsidRDefault="00BB039B" w:rsidP="00BB03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18"/>
                <w:szCs w:val="18"/>
              </w:rPr>
            </w:pPr>
            <w:r w:rsidRPr="00B75B77">
              <w:rPr>
                <w:sz w:val="18"/>
                <w:szCs w:val="18"/>
              </w:rPr>
              <w:t>1.74</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tcBorders>
            <w:shd w:val="clear" w:color="auto" w:fill="D2EAF1"/>
            <w:hideMark/>
          </w:tcPr>
          <w:p w:rsidR="00BB039B" w:rsidRPr="00B75B77" w:rsidRDefault="00BB039B" w:rsidP="00BB039B">
            <w:pPr>
              <w:jc w:val="center"/>
              <w:rPr>
                <w:rFonts w:ascii="Calibri" w:eastAsia="Times New Roman" w:hAnsi="Calibri"/>
                <w:b/>
                <w:bCs/>
                <w:color w:val="000000"/>
                <w:sz w:val="18"/>
                <w:szCs w:val="18"/>
              </w:rPr>
            </w:pPr>
            <w:r w:rsidRPr="00B75B77">
              <w:rPr>
                <w:sz w:val="18"/>
                <w:szCs w:val="18"/>
              </w:rPr>
              <w:t>1.4</w:t>
            </w:r>
            <w:r w:rsidR="00790590" w:rsidRPr="00B75B77">
              <w:rPr>
                <w:sz w:val="18"/>
                <w:szCs w:val="18"/>
              </w:rPr>
              <w:t>0</w:t>
            </w:r>
          </w:p>
        </w:tc>
      </w:tr>
      <w:tr w:rsidR="00BB039B" w:rsidRPr="00B75B77" w:rsidTr="0079059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2" w:type="dxa"/>
            <w:gridSpan w:val="4"/>
            <w:shd w:val="clear" w:color="auto" w:fill="auto"/>
          </w:tcPr>
          <w:p w:rsidR="00BB039B" w:rsidRPr="00B75B77" w:rsidRDefault="00BB039B" w:rsidP="00BB039B">
            <w:pPr>
              <w:jc w:val="left"/>
              <w:rPr>
                <w:rFonts w:ascii="Calibri" w:eastAsia="Times New Roman" w:hAnsi="Calibri"/>
                <w:b w:val="0"/>
                <w:iCs/>
                <w:color w:val="000000"/>
                <w:sz w:val="18"/>
                <w:szCs w:val="18"/>
              </w:rPr>
            </w:pPr>
            <w:r w:rsidRPr="00B75B77">
              <w:rPr>
                <w:rFonts w:ascii="Calibri" w:eastAsia="Times New Roman" w:hAnsi="Calibri"/>
                <w:b w:val="0"/>
                <w:iCs/>
                <w:color w:val="000000"/>
                <w:sz w:val="18"/>
                <w:szCs w:val="18"/>
              </w:rPr>
              <w:t>Per PUC direction, TRC inputs and calculations are required in the Annual Report only and should comply with the 2013 Total Resource Cost Test Order. Please see the “Report Definitions” section of this report for more details.</w:t>
            </w:r>
          </w:p>
          <w:p w:rsidR="00BB039B" w:rsidRPr="00B75B77" w:rsidRDefault="00BB039B" w:rsidP="00BB039B">
            <w:pPr>
              <w:jc w:val="left"/>
              <w:rPr>
                <w:rFonts w:ascii="Calibri" w:eastAsia="Times New Roman" w:hAnsi="Calibri"/>
                <w:b w:val="0"/>
                <w:i/>
                <w:iCs/>
                <w:color w:val="000000"/>
                <w:sz w:val="18"/>
                <w:szCs w:val="18"/>
              </w:rPr>
            </w:pPr>
          </w:p>
          <w:p w:rsidR="00BB039B" w:rsidRPr="00B75B77" w:rsidRDefault="00BB039B" w:rsidP="00BB039B">
            <w:pPr>
              <w:jc w:val="left"/>
              <w:rPr>
                <w:rFonts w:ascii="Calibri" w:eastAsia="Times New Roman" w:hAnsi="Calibri"/>
                <w:b w:val="0"/>
                <w:color w:val="000000"/>
                <w:sz w:val="18"/>
                <w:szCs w:val="18"/>
              </w:rPr>
            </w:pPr>
            <w:r w:rsidRPr="00B75B77">
              <w:rPr>
                <w:rFonts w:ascii="Calibri" w:eastAsia="Times New Roman" w:hAnsi="Calibri"/>
                <w:b w:val="0"/>
                <w:color w:val="000000"/>
                <w:sz w:val="18"/>
                <w:szCs w:val="18"/>
                <w:vertAlign w:val="superscript"/>
              </w:rPr>
              <w:t>[1]</w:t>
            </w:r>
            <w:r w:rsidRPr="00B75B77">
              <w:rPr>
                <w:rFonts w:ascii="Calibri" w:eastAsia="Times New Roman" w:hAnsi="Calibri"/>
                <w:b w:val="0"/>
                <w:color w:val="000000"/>
                <w:sz w:val="18"/>
                <w:szCs w:val="18"/>
              </w:rPr>
              <w:t xml:space="preserve"> Includes rebate processing, tracking system, general administration, EDC and CSP program management, general management</w:t>
            </w:r>
            <w:r w:rsidR="004D1969" w:rsidRPr="00B75B77">
              <w:rPr>
                <w:rFonts w:ascii="Calibri" w:eastAsia="Times New Roman" w:hAnsi="Calibri"/>
                <w:b w:val="0"/>
                <w:color w:val="000000"/>
                <w:sz w:val="18"/>
                <w:szCs w:val="18"/>
              </w:rPr>
              <w:t>,</w:t>
            </w:r>
            <w:r w:rsidRPr="00B75B77">
              <w:rPr>
                <w:rFonts w:ascii="Calibri" w:eastAsia="Times New Roman" w:hAnsi="Calibri"/>
                <w:b w:val="0"/>
                <w:color w:val="000000"/>
                <w:sz w:val="18"/>
                <w:szCs w:val="18"/>
              </w:rPr>
              <w:t xml:space="preserve"> and legal and technical assistance. </w:t>
            </w:r>
            <w:r w:rsidRPr="00B75B77">
              <w:rPr>
                <w:rFonts w:ascii="Calibri" w:eastAsia="Times New Roman" w:hAnsi="Calibri"/>
                <w:b w:val="0"/>
                <w:color w:val="000000"/>
                <w:sz w:val="18"/>
                <w:szCs w:val="18"/>
              </w:rPr>
              <w:br/>
            </w:r>
            <w:r w:rsidRPr="00B75B77">
              <w:rPr>
                <w:rFonts w:ascii="Calibri" w:eastAsia="Times New Roman" w:hAnsi="Calibri"/>
                <w:b w:val="0"/>
                <w:color w:val="000000"/>
                <w:sz w:val="18"/>
                <w:szCs w:val="18"/>
                <w:vertAlign w:val="superscript"/>
              </w:rPr>
              <w:t>[2]</w:t>
            </w:r>
            <w:r w:rsidRPr="00B75B77">
              <w:rPr>
                <w:rFonts w:ascii="Calibri" w:eastAsia="Times New Roman" w:hAnsi="Calibri"/>
                <w:b w:val="0"/>
                <w:color w:val="000000"/>
                <w:sz w:val="18"/>
                <w:szCs w:val="18"/>
              </w:rPr>
              <w:t xml:space="preserve"> Includes the marketing CSP and marketing costs by program CSPs. </w:t>
            </w:r>
            <w:r w:rsidRPr="00B75B77">
              <w:rPr>
                <w:rFonts w:ascii="Calibri" w:eastAsia="Times New Roman" w:hAnsi="Calibri"/>
                <w:b w:val="0"/>
                <w:color w:val="000000"/>
                <w:sz w:val="18"/>
                <w:szCs w:val="18"/>
              </w:rPr>
              <w:br/>
            </w:r>
            <w:r w:rsidRPr="00B75B77">
              <w:rPr>
                <w:rFonts w:ascii="Calibri" w:eastAsia="Times New Roman" w:hAnsi="Calibri"/>
                <w:b w:val="0"/>
                <w:color w:val="000000"/>
                <w:sz w:val="18"/>
                <w:szCs w:val="18"/>
                <w:vertAlign w:val="superscript"/>
              </w:rPr>
              <w:t>[3]</w:t>
            </w:r>
            <w:r w:rsidRPr="00B75B77">
              <w:rPr>
                <w:rFonts w:ascii="Calibri" w:eastAsia="Times New Roman" w:hAnsi="Calibri"/>
                <w:b w:val="0"/>
                <w:color w:val="000000"/>
                <w:sz w:val="18"/>
                <w:szCs w:val="18"/>
              </w:rPr>
              <w:t xml:space="preserve"> Total TRC Costs includes Total EDC Costs and Participant Costs.</w:t>
            </w:r>
            <w:r w:rsidRPr="00B75B77">
              <w:rPr>
                <w:rFonts w:ascii="Calibri" w:eastAsia="Times New Roman" w:hAnsi="Calibri"/>
                <w:b w:val="0"/>
                <w:color w:val="000000"/>
                <w:sz w:val="18"/>
                <w:szCs w:val="18"/>
              </w:rPr>
              <w:br/>
            </w:r>
            <w:r w:rsidRPr="00B75B77">
              <w:rPr>
                <w:rFonts w:ascii="Calibri" w:eastAsia="Times New Roman" w:hAnsi="Calibri"/>
                <w:b w:val="0"/>
                <w:color w:val="000000"/>
                <w:sz w:val="18"/>
                <w:szCs w:val="18"/>
                <w:vertAlign w:val="superscript"/>
              </w:rPr>
              <w:t>[4]</w:t>
            </w:r>
            <w:r w:rsidRPr="00B75B77">
              <w:rPr>
                <w:rFonts w:ascii="Calibri" w:eastAsia="Times New Roman" w:hAnsi="Calibri"/>
                <w:b w:val="0"/>
                <w:color w:val="000000"/>
                <w:sz w:val="18"/>
                <w:szCs w:val="18"/>
              </w:rPr>
              <w:t xml:space="preserve"> Total TRC Benefits equals the sum of Total Lifetime Energy Benefits and Total Lifetime Capacity Benefits </w:t>
            </w:r>
            <w:r w:rsidR="004D1969" w:rsidRPr="00B75B77">
              <w:rPr>
                <w:rFonts w:ascii="Calibri" w:eastAsia="Times New Roman" w:hAnsi="Calibri"/>
                <w:b w:val="0"/>
                <w:color w:val="000000"/>
                <w:sz w:val="18"/>
                <w:szCs w:val="18"/>
              </w:rPr>
              <w:t>b</w:t>
            </w:r>
            <w:r w:rsidRPr="00B75B77">
              <w:rPr>
                <w:rFonts w:ascii="Calibri" w:eastAsia="Times New Roman" w:hAnsi="Calibri"/>
                <w:b w:val="0"/>
                <w:color w:val="000000"/>
                <w:sz w:val="18"/>
                <w:szCs w:val="18"/>
              </w:rPr>
              <w:t>ased upon verified gross kWh and kW savings. Benefits include avoided supply costs, including the reduction in costs of electric energy, generation, transmission, and distribution capacity, and natural gas valued at marginal cost for periods when there is a load reduction. NOTE: Savings carried over from Phase I are not to be included as a part of Total TRC Benefits for Phase II.</w:t>
            </w:r>
            <w:r w:rsidRPr="00B75B77">
              <w:rPr>
                <w:rFonts w:ascii="Calibri" w:eastAsia="Times New Roman" w:hAnsi="Calibri"/>
                <w:b w:val="0"/>
                <w:color w:val="000000"/>
                <w:sz w:val="18"/>
                <w:szCs w:val="18"/>
              </w:rPr>
              <w:br/>
            </w:r>
            <w:r w:rsidRPr="00B75B77">
              <w:rPr>
                <w:rFonts w:ascii="Calibri" w:eastAsia="Times New Roman" w:hAnsi="Calibri"/>
                <w:b w:val="0"/>
                <w:color w:val="000000"/>
                <w:sz w:val="18"/>
                <w:szCs w:val="18"/>
                <w:vertAlign w:val="superscript"/>
              </w:rPr>
              <w:t>[5]</w:t>
            </w:r>
            <w:r w:rsidRPr="00B75B77">
              <w:rPr>
                <w:rFonts w:ascii="Calibri" w:eastAsia="Times New Roman" w:hAnsi="Calibri"/>
                <w:b w:val="0"/>
                <w:color w:val="000000"/>
                <w:sz w:val="18"/>
                <w:szCs w:val="18"/>
              </w:rPr>
              <w:t xml:space="preserve"> TRC Ratio equals Total NPV TRC Benefits divided by Total NPV TRC Costs.</w:t>
            </w:r>
          </w:p>
          <w:p w:rsidR="00BB039B" w:rsidRPr="00B75B77" w:rsidRDefault="00BB039B" w:rsidP="00BB039B">
            <w:pPr>
              <w:jc w:val="left"/>
              <w:rPr>
                <w:rFonts w:ascii="Calibri" w:eastAsia="Times New Roman" w:hAnsi="Calibri"/>
                <w:b w:val="0"/>
                <w:color w:val="000000"/>
                <w:sz w:val="14"/>
                <w:szCs w:val="14"/>
              </w:rPr>
            </w:pPr>
          </w:p>
          <w:p w:rsidR="00BB039B" w:rsidRPr="00B75B77" w:rsidRDefault="00BB039B" w:rsidP="00BB039B">
            <w:pPr>
              <w:jc w:val="left"/>
              <w:rPr>
                <w:rFonts w:ascii="Calibri" w:eastAsia="Times New Roman" w:hAnsi="Calibri"/>
                <w:b w:val="0"/>
                <w:bCs w:val="0"/>
                <w:color w:val="000000"/>
                <w:sz w:val="20"/>
                <w:szCs w:val="20"/>
              </w:rPr>
            </w:pPr>
            <w:r w:rsidRPr="00B75B77">
              <w:rPr>
                <w:rFonts w:ascii="Calibri" w:hAnsi="Calibri"/>
                <w:b w:val="0"/>
                <w:color w:val="000000"/>
                <w:sz w:val="18"/>
                <w:szCs w:val="18"/>
              </w:rPr>
              <w:t xml:space="preserve">Values in tables may not reconcile exactly </w:t>
            </w:r>
            <w:r w:rsidR="00493C06" w:rsidRPr="00B75B77">
              <w:rPr>
                <w:rFonts w:ascii="Calibri" w:hAnsi="Calibri"/>
                <w:b w:val="0"/>
                <w:color w:val="000000"/>
                <w:sz w:val="18"/>
                <w:szCs w:val="18"/>
              </w:rPr>
              <w:t>with the sum of</w:t>
            </w:r>
            <w:r w:rsidRPr="00B75B77">
              <w:rPr>
                <w:rFonts w:ascii="Calibri" w:hAnsi="Calibri"/>
                <w:b w:val="0"/>
                <w:color w:val="000000"/>
                <w:sz w:val="18"/>
                <w:szCs w:val="18"/>
              </w:rPr>
              <w:t xml:space="preserve"> more detailed level results or previously reported results due to rounding.</w:t>
            </w:r>
          </w:p>
        </w:tc>
      </w:tr>
    </w:tbl>
    <w:p w:rsidR="00BB039B" w:rsidRPr="00B75B77" w:rsidRDefault="00BB039B" w:rsidP="00BB039B">
      <w:pPr>
        <w:pStyle w:val="Source"/>
        <w:keepNext/>
        <w:ind w:left="270" w:hanging="90"/>
      </w:pPr>
      <w:r w:rsidRPr="00B75B77">
        <w:lastRenderedPageBreak/>
        <w:t>Source: Navigant analysis</w:t>
      </w:r>
    </w:p>
    <w:p w:rsidR="00BB039B" w:rsidRPr="00B75B77" w:rsidRDefault="00BB039B"/>
    <w:p w:rsidR="004D1969" w:rsidRPr="00B75B77" w:rsidRDefault="004D1969">
      <w:pPr>
        <w:jc w:val="left"/>
        <w:sectPr w:rsidR="004D1969" w:rsidRPr="00B75B77" w:rsidSect="00B5438D">
          <w:pgSz w:w="12240" w:h="15840" w:code="1"/>
          <w:pgMar w:top="1170" w:right="1440" w:bottom="1260" w:left="1440" w:header="576" w:footer="475" w:gutter="0"/>
          <w:cols w:space="720"/>
          <w:docGrid w:linePitch="360"/>
        </w:sectPr>
      </w:pPr>
    </w:p>
    <w:p w:rsidR="00A63401" w:rsidRPr="00B75B77" w:rsidRDefault="00A63401" w:rsidP="00D12857">
      <w:pPr>
        <w:pStyle w:val="Heading1"/>
      </w:pPr>
      <w:bookmarkStart w:id="906" w:name="_Toc466413450"/>
      <w:r w:rsidRPr="00B75B77">
        <w:lastRenderedPageBreak/>
        <w:t>Smart On-Site</w:t>
      </w:r>
      <w:bookmarkEnd w:id="906"/>
    </w:p>
    <w:p w:rsidR="00A63401" w:rsidRPr="00B75B77" w:rsidRDefault="004D1969" w:rsidP="00A63401">
      <w:pPr>
        <w:jc w:val="left"/>
      </w:pPr>
      <w:r w:rsidRPr="00B75B77">
        <w:t>PECO designed its</w:t>
      </w:r>
      <w:r w:rsidR="00A63401" w:rsidRPr="00B75B77">
        <w:t xml:space="preserve"> Smart On-Site (SOS) program to build interest in </w:t>
      </w:r>
      <w:r w:rsidR="00A63401" w:rsidRPr="00B75B77" w:rsidDel="007D4ABE">
        <w:t>CHP</w:t>
      </w:r>
      <w:r w:rsidR="00A63401" w:rsidRPr="00B75B77">
        <w:t xml:space="preserve"> technologies by offering incentives to customers who install CHP to reduce facility energy use. CHP technologies generate electric and thermal energy from a single fuel source. Customers with steady baseload electricity usage coupled with steady thermal demand can realize significant efficiencies and savings by incorporating CHP (sometimes referred to as cogeneration) in their facilities. The best economics are realized for CHP systems sized to match the minimum electric and thermal loads. PECO </w:t>
      </w:r>
      <w:r w:rsidR="00BE6063" w:rsidRPr="00B75B77">
        <w:t xml:space="preserve">designed the </w:t>
      </w:r>
      <w:r w:rsidR="00A63401" w:rsidRPr="00B75B77">
        <w:t xml:space="preserve">SOS program to ensure participating customers install CHP projects that maximize operational savings and minimize operational and maintenance costs. </w:t>
      </w:r>
    </w:p>
    <w:p w:rsidR="00A63401" w:rsidRPr="00B75B77" w:rsidRDefault="00A63401" w:rsidP="00A63401"/>
    <w:p w:rsidR="00A63401" w:rsidRPr="00B75B77" w:rsidRDefault="00A63401" w:rsidP="00A63401">
      <w:r w:rsidRPr="00B75B77">
        <w:t xml:space="preserve">PECO distributes the SOS program incentives based on a declining tiered incentive rate by installed capacity with a separate performance payment. Each tier has a fixed per-MW incentive paid toward the incremental capacity within each tier. Capacity-based incentives will not be paid for incremental capacity above 10 MW. The capacity tiers are as follows: </w:t>
      </w:r>
    </w:p>
    <w:p w:rsidR="00A63401" w:rsidRPr="00B75B77" w:rsidRDefault="00A63401" w:rsidP="00A63401"/>
    <w:p w:rsidR="00A63401" w:rsidRPr="00B75B77" w:rsidRDefault="00A63401" w:rsidP="009E08FB">
      <w:pPr>
        <w:pStyle w:val="ListParagraph"/>
        <w:numPr>
          <w:ilvl w:val="0"/>
          <w:numId w:val="75"/>
        </w:numPr>
      </w:pPr>
      <w:r w:rsidRPr="00B75B77">
        <w:t xml:space="preserve">Less than 0.5 MW </w:t>
      </w:r>
    </w:p>
    <w:p w:rsidR="00A63401" w:rsidRPr="00B75B77" w:rsidRDefault="00A63401" w:rsidP="009E08FB">
      <w:pPr>
        <w:pStyle w:val="ListParagraph"/>
        <w:numPr>
          <w:ilvl w:val="0"/>
          <w:numId w:val="75"/>
        </w:numPr>
      </w:pPr>
      <w:r w:rsidRPr="00B75B77">
        <w:t xml:space="preserve">Between 0.5 MW and 1.5 MW </w:t>
      </w:r>
    </w:p>
    <w:p w:rsidR="00A63401" w:rsidRPr="00B75B77" w:rsidRDefault="00A63401" w:rsidP="009E08FB">
      <w:pPr>
        <w:pStyle w:val="ListParagraph"/>
        <w:numPr>
          <w:ilvl w:val="0"/>
          <w:numId w:val="75"/>
        </w:numPr>
      </w:pPr>
      <w:r w:rsidRPr="00B75B77">
        <w:t xml:space="preserve">Between 1.5 MW and 10.0 MW </w:t>
      </w:r>
    </w:p>
    <w:p w:rsidR="00A63401" w:rsidRPr="00B75B77" w:rsidRDefault="00A63401" w:rsidP="00A63401"/>
    <w:p w:rsidR="00A63401" w:rsidRPr="00B75B77" w:rsidRDefault="00BE6063" w:rsidP="00A63401">
      <w:r w:rsidRPr="00B75B77">
        <w:t>PECO pays t</w:t>
      </w:r>
      <w:r w:rsidR="00A63401" w:rsidRPr="00B75B77">
        <w:t xml:space="preserve">he performance payment on a fixed per-kWh basis based on actual energy savings after a </w:t>
      </w:r>
      <w:r w:rsidRPr="00B75B77">
        <w:t>1</w:t>
      </w:r>
      <w:r w:rsidR="00A63401" w:rsidRPr="00B75B77">
        <w:t xml:space="preserve">-year monitoring period. For projects occurring within the final year of the program, an accelerated performance payment will be available based </w:t>
      </w:r>
      <w:r w:rsidRPr="00B75B77">
        <w:t>up</w:t>
      </w:r>
      <w:r w:rsidR="00A63401" w:rsidRPr="00B75B77">
        <w:t>on the project’s expected first</w:t>
      </w:r>
      <w:r w:rsidR="00AF5657" w:rsidRPr="00B75B77">
        <w:t>-</w:t>
      </w:r>
      <w:r w:rsidR="00A63401" w:rsidRPr="00B75B77">
        <w:t xml:space="preserve">year energy savings. </w:t>
      </w:r>
      <w:r w:rsidR="00DE384F" w:rsidRPr="00B75B77">
        <w:t>PECO claims s</w:t>
      </w:r>
      <w:r w:rsidR="00A63401" w:rsidRPr="00B75B77">
        <w:t>avings for all projects</w:t>
      </w:r>
      <w:r w:rsidR="00DE384F" w:rsidRPr="00B75B77">
        <w:t xml:space="preserve"> </w:t>
      </w:r>
      <w:r w:rsidR="00A63401" w:rsidRPr="00B75B77">
        <w:t>upon implementation and can be adjusted based on the performance monitoring results.</w:t>
      </w:r>
    </w:p>
    <w:p w:rsidR="00A63401" w:rsidRPr="00B75B77" w:rsidRDefault="00A63401" w:rsidP="00A63401"/>
    <w:p w:rsidR="00A63401" w:rsidRPr="00B75B77" w:rsidRDefault="00A63401" w:rsidP="00A63401">
      <w:r w:rsidRPr="00B75B77">
        <w:t>PECO hired a CSP, DNV GL</w:t>
      </w:r>
      <w:r w:rsidR="001B364E" w:rsidRPr="00B75B77">
        <w:t>,</w:t>
      </w:r>
      <w:r w:rsidRPr="00B75B77">
        <w:t xml:space="preserve"> to implement the program throughout </w:t>
      </w:r>
      <w:r w:rsidR="001B364E" w:rsidRPr="00B75B77">
        <w:t>its</w:t>
      </w:r>
      <w:r w:rsidRPr="00B75B77">
        <w:t xml:space="preserve"> service territory. DNV GL was responsible for the program application, savings analysis</w:t>
      </w:r>
      <w:r w:rsidR="001B364E" w:rsidRPr="00B75B77">
        <w:t>,</w:t>
      </w:r>
      <w:r w:rsidRPr="00B75B77">
        <w:t xml:space="preserve"> and rebate processes. DNVL GL provided the participation data for the SIDS database.</w:t>
      </w:r>
    </w:p>
    <w:p w:rsidR="00A63401" w:rsidRPr="00B75B77" w:rsidRDefault="00A63401" w:rsidP="00286B52">
      <w:pPr>
        <w:rPr>
          <w:color w:val="FF0000"/>
        </w:rPr>
      </w:pPr>
    </w:p>
    <w:p w:rsidR="00A63401" w:rsidRPr="00B75B77" w:rsidRDefault="00A63401" w:rsidP="003E6A9B">
      <w:pPr>
        <w:pStyle w:val="Heading2"/>
      </w:pPr>
      <w:bookmarkStart w:id="907" w:name="_Toc466413451"/>
      <w:r w:rsidRPr="00B75B77">
        <w:t>Program Updates</w:t>
      </w:r>
      <w:bookmarkEnd w:id="907"/>
    </w:p>
    <w:p w:rsidR="00A63401" w:rsidRPr="00B75B77" w:rsidRDefault="00A63401" w:rsidP="00A63401">
      <w:r w:rsidRPr="00B75B77">
        <w:t xml:space="preserve">PECO launched this program in PY5 and has not </w:t>
      </w:r>
      <w:r w:rsidR="001B364E" w:rsidRPr="00B75B77">
        <w:t xml:space="preserve">made </w:t>
      </w:r>
      <w:r w:rsidRPr="00B75B77">
        <w:t xml:space="preserve">any major changes to the program </w:t>
      </w:r>
      <w:r w:rsidR="001B364E" w:rsidRPr="00B75B77">
        <w:t>offerings</w:t>
      </w:r>
      <w:r w:rsidRPr="00B75B77">
        <w:t xml:space="preserve"> outlined in the Phase II plan. Six projects were completed and received rebates through the SOS program during PY7. These projects included participants from the GNI and </w:t>
      </w:r>
      <w:r w:rsidR="001B364E" w:rsidRPr="00B75B77">
        <w:t>l</w:t>
      </w:r>
      <w:r w:rsidRPr="00B75B77">
        <w:t xml:space="preserve">arge </w:t>
      </w:r>
      <w:r w:rsidR="001B364E" w:rsidRPr="00B75B77">
        <w:t>C&amp;I</w:t>
      </w:r>
      <w:r w:rsidRPr="00B75B77">
        <w:t xml:space="preserve"> sectors.</w:t>
      </w:r>
    </w:p>
    <w:p w:rsidR="00A63401" w:rsidRPr="00B75B77" w:rsidRDefault="00A63401" w:rsidP="00286B52"/>
    <w:p w:rsidR="00A63401" w:rsidRPr="00B75B77" w:rsidRDefault="00A63401" w:rsidP="0045485C">
      <w:pPr>
        <w:pStyle w:val="Heading3"/>
      </w:pPr>
      <w:bookmarkStart w:id="908" w:name="_Toc466413452"/>
      <w:r w:rsidRPr="00B75B77">
        <w:t>Definition of Participant</w:t>
      </w:r>
      <w:bookmarkEnd w:id="908"/>
    </w:p>
    <w:p w:rsidR="00A63401" w:rsidRPr="00B75B77" w:rsidRDefault="00A63401" w:rsidP="00286B52">
      <w:r w:rsidRPr="00B75B77">
        <w:t xml:space="preserve">PECO defines participation in the SOS program as one project at one facility. </w:t>
      </w:r>
    </w:p>
    <w:p w:rsidR="00A63401" w:rsidRPr="00B75B77" w:rsidRDefault="00A63401" w:rsidP="00286B52"/>
    <w:p w:rsidR="00A63401" w:rsidRPr="00B75B77" w:rsidRDefault="00A63401" w:rsidP="00A63401">
      <w:pPr>
        <w:pStyle w:val="Heading2"/>
      </w:pPr>
      <w:bookmarkStart w:id="909" w:name="_Toc466413453"/>
      <w:r w:rsidRPr="00B75B77">
        <w:t>Impact Evaluation Gross Savings</w:t>
      </w:r>
      <w:bookmarkEnd w:id="909"/>
      <w:r w:rsidRPr="00B75B77">
        <w:t xml:space="preserve"> </w:t>
      </w:r>
    </w:p>
    <w:p w:rsidR="00A63401" w:rsidRPr="00B75B77" w:rsidRDefault="00A63401" w:rsidP="00A63401">
      <w:r w:rsidRPr="00B75B77">
        <w:t xml:space="preserve">For the entirety of Phase II, the SOS program served </w:t>
      </w:r>
      <w:r w:rsidR="001B364E" w:rsidRPr="00B75B77">
        <w:t>eight</w:t>
      </w:r>
      <w:r w:rsidRPr="00B75B77">
        <w:t xml:space="preserve"> participants and Navigant verified energy and demand savings of 90,049 MWh and 11.6 MW. </w:t>
      </w:r>
      <w:r w:rsidR="004C089B" w:rsidRPr="00B75B77">
        <w:fldChar w:fldCharType="begin"/>
      </w:r>
      <w:r w:rsidR="004C089B" w:rsidRPr="00B75B77">
        <w:instrText xml:space="preserve"> REF _Ref464145258 \h </w:instrText>
      </w:r>
      <w:r w:rsidR="00B75B77">
        <w:instrText xml:space="preserve"> \* MERGEFORMAT </w:instrText>
      </w:r>
      <w:r w:rsidR="004C089B" w:rsidRPr="00B75B77">
        <w:fldChar w:fldCharType="separate"/>
      </w:r>
      <w:r w:rsidR="0004016D" w:rsidRPr="00B75B77">
        <w:t xml:space="preserve">Table </w:t>
      </w:r>
      <w:r w:rsidR="0004016D">
        <w:rPr>
          <w:noProof/>
        </w:rPr>
        <w:t>15</w:t>
      </w:r>
      <w:r w:rsidR="0004016D" w:rsidRPr="00B75B77">
        <w:rPr>
          <w:noProof/>
        </w:rPr>
        <w:noBreakHyphen/>
      </w:r>
      <w:r w:rsidR="0004016D">
        <w:rPr>
          <w:noProof/>
        </w:rPr>
        <w:t>1</w:t>
      </w:r>
      <w:r w:rsidR="004C089B" w:rsidRPr="00B75B77">
        <w:fldChar w:fldCharType="end"/>
      </w:r>
      <w:r w:rsidR="004C089B" w:rsidRPr="00B75B77">
        <w:t xml:space="preserve"> </w:t>
      </w:r>
      <w:r w:rsidRPr="00B75B77">
        <w:t xml:space="preserve">presents both the reported and verified Phase II savings results for the SOS program. The program </w:t>
      </w:r>
      <w:r w:rsidR="00DE384F" w:rsidRPr="00B75B77">
        <w:t>targets the</w:t>
      </w:r>
      <w:r w:rsidR="004C089B" w:rsidRPr="00B75B77">
        <w:t xml:space="preserve"> l</w:t>
      </w:r>
      <w:r w:rsidRPr="00B75B77">
        <w:t>arge C&amp;I and GNI sectors and does not have any participants from other sectors.</w:t>
      </w:r>
    </w:p>
    <w:p w:rsidR="00A63401" w:rsidRPr="00B75B77" w:rsidRDefault="00A63401" w:rsidP="00286B52"/>
    <w:p w:rsidR="00A63401" w:rsidRPr="00B75B77" w:rsidRDefault="00A63401" w:rsidP="00A63401">
      <w:pPr>
        <w:pStyle w:val="Caption"/>
      </w:pPr>
      <w:bookmarkStart w:id="910" w:name="_Ref464145258"/>
      <w:bookmarkStart w:id="911" w:name="_Ref463266074"/>
      <w:bookmarkStart w:id="912" w:name="_Toc466413637"/>
      <w:r w:rsidRPr="00B75B77">
        <w:lastRenderedPageBreak/>
        <w:t xml:space="preserve">Table </w:t>
      </w:r>
      <w:fldSimple w:instr=" STYLEREF 1 \s ">
        <w:r w:rsidR="0004016D">
          <w:rPr>
            <w:noProof/>
          </w:rPr>
          <w:t>15</w:t>
        </w:r>
      </w:fldSimple>
      <w:r w:rsidR="00F1144C" w:rsidRPr="00B75B77">
        <w:noBreakHyphen/>
      </w:r>
      <w:fldSimple w:instr=" SEQ Table \* ARABIC \s 1 ">
        <w:r w:rsidR="0004016D">
          <w:rPr>
            <w:noProof/>
          </w:rPr>
          <w:t>1</w:t>
        </w:r>
      </w:fldSimple>
      <w:bookmarkEnd w:id="910"/>
      <w:bookmarkEnd w:id="911"/>
      <w:r w:rsidRPr="00B75B77">
        <w:t>: Phase II Smart On-Site Reported Results by Customer Sector</w:t>
      </w:r>
      <w:bookmarkEnd w:id="912"/>
    </w:p>
    <w:tbl>
      <w:tblPr>
        <w:tblW w:w="9355" w:type="dxa"/>
        <w:tblLook w:val="04A0" w:firstRow="1" w:lastRow="0" w:firstColumn="1" w:lastColumn="0" w:noHBand="0" w:noVBand="1"/>
      </w:tblPr>
      <w:tblGrid>
        <w:gridCol w:w="1705"/>
        <w:gridCol w:w="1108"/>
        <w:gridCol w:w="1232"/>
        <w:gridCol w:w="1350"/>
        <w:gridCol w:w="1350"/>
        <w:gridCol w:w="1350"/>
        <w:gridCol w:w="1260"/>
      </w:tblGrid>
      <w:tr w:rsidR="00A63401" w:rsidRPr="00B75B77" w:rsidTr="00A63401">
        <w:trPr>
          <w:divId w:val="1520586221"/>
          <w:trHeight w:val="648"/>
        </w:trPr>
        <w:tc>
          <w:tcPr>
            <w:tcW w:w="1705" w:type="dxa"/>
            <w:tcBorders>
              <w:top w:val="single" w:sz="4" w:space="0" w:color="auto"/>
              <w:left w:val="single" w:sz="4" w:space="0" w:color="auto"/>
              <w:bottom w:val="single" w:sz="4" w:space="0" w:color="auto"/>
              <w:right w:val="single" w:sz="4" w:space="0" w:color="auto"/>
            </w:tcBorders>
            <w:shd w:val="clear" w:color="000000" w:fill="448A99"/>
            <w:vAlign w:val="center"/>
            <w:hideMark/>
          </w:tcPr>
          <w:p w:rsidR="00A63401" w:rsidRPr="00B75B77" w:rsidRDefault="00A63401" w:rsidP="001B364E">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Customer Sector</w:t>
            </w:r>
            <w:r w:rsidRPr="00B75B77">
              <w:rPr>
                <w:rFonts w:ascii="Calibri" w:eastAsia="Times New Roman" w:hAnsi="Calibri"/>
                <w:b/>
                <w:bCs/>
                <w:color w:val="FFFFFF"/>
                <w:sz w:val="18"/>
                <w:szCs w:val="18"/>
                <w:vertAlign w:val="superscript"/>
              </w:rPr>
              <w:t>[1]</w:t>
            </w:r>
          </w:p>
        </w:tc>
        <w:tc>
          <w:tcPr>
            <w:tcW w:w="1108" w:type="dxa"/>
            <w:tcBorders>
              <w:top w:val="single" w:sz="4" w:space="0" w:color="auto"/>
              <w:left w:val="nil"/>
              <w:bottom w:val="single" w:sz="4" w:space="0" w:color="auto"/>
              <w:right w:val="single" w:sz="4" w:space="0" w:color="auto"/>
            </w:tcBorders>
            <w:shd w:val="clear" w:color="000000" w:fill="448A99"/>
            <w:vAlign w:val="center"/>
            <w:hideMark/>
          </w:tcPr>
          <w:p w:rsidR="00A63401" w:rsidRPr="00B75B77" w:rsidRDefault="00A63401" w:rsidP="00A63401">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Participants</w:t>
            </w:r>
          </w:p>
        </w:tc>
        <w:tc>
          <w:tcPr>
            <w:tcW w:w="1232" w:type="dxa"/>
            <w:tcBorders>
              <w:top w:val="single" w:sz="4" w:space="0" w:color="auto"/>
              <w:left w:val="nil"/>
              <w:bottom w:val="single" w:sz="4" w:space="0" w:color="auto"/>
              <w:right w:val="single" w:sz="4" w:space="0" w:color="auto"/>
            </w:tcBorders>
            <w:shd w:val="clear" w:color="000000" w:fill="448A99"/>
            <w:vAlign w:val="center"/>
            <w:hideMark/>
          </w:tcPr>
          <w:p w:rsidR="00A63401" w:rsidRPr="00B75B77" w:rsidRDefault="00A63401" w:rsidP="00A63401">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Reported Gross Energy Savings (MWh)</w:t>
            </w:r>
          </w:p>
        </w:tc>
        <w:tc>
          <w:tcPr>
            <w:tcW w:w="1350" w:type="dxa"/>
            <w:tcBorders>
              <w:top w:val="single" w:sz="4" w:space="0" w:color="auto"/>
              <w:left w:val="nil"/>
              <w:bottom w:val="single" w:sz="4" w:space="0" w:color="auto"/>
              <w:right w:val="single" w:sz="4" w:space="0" w:color="auto"/>
            </w:tcBorders>
            <w:shd w:val="clear" w:color="000000" w:fill="448A99"/>
            <w:vAlign w:val="center"/>
            <w:hideMark/>
          </w:tcPr>
          <w:p w:rsidR="00A63401" w:rsidRPr="00B75B77" w:rsidRDefault="00A63401" w:rsidP="00A63401">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Reported Gross Demand Reduction (MW) </w:t>
            </w:r>
            <w:r w:rsidRPr="00B75B77">
              <w:rPr>
                <w:rFonts w:ascii="Calibri" w:eastAsia="Times New Roman" w:hAnsi="Calibri"/>
                <w:b/>
                <w:bCs/>
                <w:color w:val="FFFFFF"/>
                <w:sz w:val="18"/>
                <w:szCs w:val="18"/>
                <w:vertAlign w:val="superscript"/>
              </w:rPr>
              <w:t>[2]</w:t>
            </w:r>
          </w:p>
        </w:tc>
        <w:tc>
          <w:tcPr>
            <w:tcW w:w="1350" w:type="dxa"/>
            <w:tcBorders>
              <w:top w:val="single" w:sz="4" w:space="0" w:color="auto"/>
              <w:left w:val="nil"/>
              <w:bottom w:val="single" w:sz="4" w:space="0" w:color="auto"/>
              <w:right w:val="single" w:sz="4" w:space="0" w:color="auto"/>
            </w:tcBorders>
            <w:shd w:val="clear" w:color="000000" w:fill="448A99"/>
            <w:vAlign w:val="center"/>
            <w:hideMark/>
          </w:tcPr>
          <w:p w:rsidR="00A63401" w:rsidRPr="00B75B77" w:rsidRDefault="00A63401" w:rsidP="00A63401">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Verified Gross Energy Savings (MWh)</w:t>
            </w:r>
          </w:p>
        </w:tc>
        <w:tc>
          <w:tcPr>
            <w:tcW w:w="1350" w:type="dxa"/>
            <w:tcBorders>
              <w:top w:val="single" w:sz="4" w:space="0" w:color="auto"/>
              <w:left w:val="nil"/>
              <w:bottom w:val="single" w:sz="4" w:space="0" w:color="auto"/>
              <w:right w:val="single" w:sz="4" w:space="0" w:color="auto"/>
            </w:tcBorders>
            <w:shd w:val="clear" w:color="000000" w:fill="448A99"/>
            <w:vAlign w:val="center"/>
            <w:hideMark/>
          </w:tcPr>
          <w:p w:rsidR="00A63401" w:rsidRPr="00B75B77" w:rsidRDefault="00A63401" w:rsidP="00A63401">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Verified Gross Demand Reduction (MW) </w:t>
            </w:r>
            <w:r w:rsidRPr="00B75B77">
              <w:rPr>
                <w:rFonts w:ascii="Calibri" w:eastAsia="Times New Roman" w:hAnsi="Calibri"/>
                <w:b/>
                <w:bCs/>
                <w:color w:val="FFFFFF"/>
                <w:sz w:val="18"/>
                <w:szCs w:val="18"/>
                <w:vertAlign w:val="superscript"/>
              </w:rPr>
              <w:t>[2]</w:t>
            </w:r>
          </w:p>
        </w:tc>
        <w:tc>
          <w:tcPr>
            <w:tcW w:w="1260" w:type="dxa"/>
            <w:tcBorders>
              <w:top w:val="single" w:sz="4" w:space="0" w:color="auto"/>
              <w:left w:val="nil"/>
              <w:bottom w:val="single" w:sz="4" w:space="0" w:color="auto"/>
              <w:right w:val="single" w:sz="4" w:space="0" w:color="auto"/>
            </w:tcBorders>
            <w:shd w:val="clear" w:color="000000" w:fill="448A99"/>
            <w:vAlign w:val="center"/>
            <w:hideMark/>
          </w:tcPr>
          <w:p w:rsidR="00A63401" w:rsidRPr="00B75B77" w:rsidRDefault="00A63401" w:rsidP="00A63401">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Incentives Paid</w:t>
            </w:r>
            <w:r w:rsidRPr="00B75B77">
              <w:rPr>
                <w:rFonts w:ascii="Calibri" w:eastAsia="Times New Roman" w:hAnsi="Calibri"/>
                <w:b/>
                <w:bCs/>
                <w:color w:val="FFFFFF"/>
                <w:sz w:val="18"/>
                <w:szCs w:val="18"/>
              </w:rPr>
              <w:br/>
              <w:t>($1,000)</w:t>
            </w:r>
          </w:p>
        </w:tc>
      </w:tr>
      <w:tr w:rsidR="00442C8B" w:rsidRPr="00B75B77" w:rsidTr="00A63401">
        <w:trPr>
          <w:divId w:val="1520586221"/>
          <w:trHeight w:val="372"/>
        </w:trPr>
        <w:tc>
          <w:tcPr>
            <w:tcW w:w="1705" w:type="dxa"/>
            <w:tcBorders>
              <w:top w:val="nil"/>
              <w:left w:val="single" w:sz="4" w:space="0" w:color="448A99"/>
              <w:bottom w:val="single" w:sz="4" w:space="0" w:color="448A99"/>
              <w:right w:val="single" w:sz="4" w:space="0" w:color="448A99"/>
            </w:tcBorders>
            <w:shd w:val="clear" w:color="000000" w:fill="D2EAF1"/>
            <w:vAlign w:val="center"/>
            <w:hideMark/>
          </w:tcPr>
          <w:p w:rsidR="00442C8B" w:rsidRPr="00B75B77" w:rsidRDefault="00442C8B" w:rsidP="00442C8B">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Residential (Non-Low-Income)</w:t>
            </w:r>
          </w:p>
        </w:tc>
        <w:tc>
          <w:tcPr>
            <w:tcW w:w="1108"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232"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50"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350"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50"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260"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442C8B" w:rsidRPr="00B75B77" w:rsidTr="00A63401">
        <w:trPr>
          <w:divId w:val="1520586221"/>
          <w:trHeight w:val="372"/>
        </w:trPr>
        <w:tc>
          <w:tcPr>
            <w:tcW w:w="1705" w:type="dxa"/>
            <w:tcBorders>
              <w:top w:val="nil"/>
              <w:left w:val="single" w:sz="4" w:space="0" w:color="448A99"/>
              <w:bottom w:val="single" w:sz="4" w:space="0" w:color="448A99"/>
              <w:right w:val="single" w:sz="4" w:space="0" w:color="448A99"/>
            </w:tcBorders>
            <w:shd w:val="clear" w:color="000000" w:fill="FFFFFF"/>
            <w:vAlign w:val="center"/>
            <w:hideMark/>
          </w:tcPr>
          <w:p w:rsidR="00442C8B" w:rsidRPr="00B75B77" w:rsidRDefault="00442C8B" w:rsidP="00442C8B">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Residential (Low-Income)</w:t>
            </w:r>
          </w:p>
        </w:tc>
        <w:tc>
          <w:tcPr>
            <w:tcW w:w="1108"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232"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50"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350"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50"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260"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442C8B">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A63401" w:rsidRPr="00B75B77" w:rsidTr="00A63401">
        <w:trPr>
          <w:divId w:val="1520586221"/>
          <w:trHeight w:val="372"/>
        </w:trPr>
        <w:tc>
          <w:tcPr>
            <w:tcW w:w="1705" w:type="dxa"/>
            <w:tcBorders>
              <w:top w:val="nil"/>
              <w:left w:val="single" w:sz="4" w:space="0" w:color="448A99"/>
              <w:bottom w:val="single" w:sz="4" w:space="0" w:color="448A99"/>
              <w:right w:val="single" w:sz="4" w:space="0" w:color="448A99"/>
            </w:tcBorders>
            <w:shd w:val="clear" w:color="000000" w:fill="D2EAF1"/>
            <w:vAlign w:val="center"/>
            <w:hideMark/>
          </w:tcPr>
          <w:p w:rsidR="00A63401" w:rsidRPr="00B75B77" w:rsidRDefault="00A63401" w:rsidP="00A63401">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Small C</w:t>
            </w:r>
            <w:r w:rsidR="0054073E" w:rsidRPr="00B75B77">
              <w:rPr>
                <w:rFonts w:ascii="Calibri" w:eastAsia="Times New Roman" w:hAnsi="Calibri"/>
                <w:bCs/>
                <w:color w:val="000000"/>
                <w:sz w:val="18"/>
                <w:szCs w:val="18"/>
              </w:rPr>
              <w:t>&amp;I</w:t>
            </w:r>
          </w:p>
        </w:tc>
        <w:tc>
          <w:tcPr>
            <w:tcW w:w="1108" w:type="dxa"/>
            <w:tcBorders>
              <w:top w:val="nil"/>
              <w:left w:val="nil"/>
              <w:bottom w:val="single" w:sz="4" w:space="0" w:color="448A99"/>
              <w:right w:val="single" w:sz="4" w:space="0" w:color="448A99"/>
            </w:tcBorders>
            <w:shd w:val="clear" w:color="000000" w:fill="D2EAF1"/>
            <w:vAlign w:val="center"/>
            <w:hideMark/>
          </w:tcPr>
          <w:p w:rsidR="00A63401" w:rsidRPr="00B75B77" w:rsidRDefault="00A63401" w:rsidP="00A63401">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232" w:type="dxa"/>
            <w:tcBorders>
              <w:top w:val="nil"/>
              <w:left w:val="nil"/>
              <w:bottom w:val="single" w:sz="4" w:space="0" w:color="448A99"/>
              <w:right w:val="single" w:sz="4" w:space="0" w:color="448A99"/>
            </w:tcBorders>
            <w:shd w:val="clear" w:color="000000" w:fill="D2EAF1"/>
            <w:vAlign w:val="center"/>
            <w:hideMark/>
          </w:tcPr>
          <w:p w:rsidR="00A63401" w:rsidRPr="00B75B77" w:rsidRDefault="00A63401" w:rsidP="00A63401">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50" w:type="dxa"/>
            <w:tcBorders>
              <w:top w:val="nil"/>
              <w:left w:val="nil"/>
              <w:bottom w:val="single" w:sz="4" w:space="0" w:color="448A99"/>
              <w:right w:val="single" w:sz="4" w:space="0" w:color="448A99"/>
            </w:tcBorders>
            <w:shd w:val="clear" w:color="000000" w:fill="D2EAF1"/>
            <w:vAlign w:val="center"/>
            <w:hideMark/>
          </w:tcPr>
          <w:p w:rsidR="00A63401" w:rsidRPr="00B75B77" w:rsidRDefault="00A63401" w:rsidP="00A63401">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350" w:type="dxa"/>
            <w:tcBorders>
              <w:top w:val="nil"/>
              <w:left w:val="nil"/>
              <w:bottom w:val="single" w:sz="4" w:space="0" w:color="448A99"/>
              <w:right w:val="single" w:sz="4" w:space="0" w:color="448A99"/>
            </w:tcBorders>
            <w:shd w:val="clear" w:color="000000" w:fill="D2EAF1"/>
            <w:vAlign w:val="center"/>
            <w:hideMark/>
          </w:tcPr>
          <w:p w:rsidR="00A63401" w:rsidRPr="00B75B77" w:rsidRDefault="00A63401" w:rsidP="00A63401">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50" w:type="dxa"/>
            <w:tcBorders>
              <w:top w:val="nil"/>
              <w:left w:val="nil"/>
              <w:bottom w:val="single" w:sz="4" w:space="0" w:color="448A99"/>
              <w:right w:val="single" w:sz="4" w:space="0" w:color="448A99"/>
            </w:tcBorders>
            <w:shd w:val="clear" w:color="000000" w:fill="D2EAF1"/>
            <w:vAlign w:val="center"/>
            <w:hideMark/>
          </w:tcPr>
          <w:p w:rsidR="00A63401" w:rsidRPr="00B75B77" w:rsidRDefault="00A63401" w:rsidP="00A63401">
            <w:pPr>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260" w:type="dxa"/>
            <w:tcBorders>
              <w:top w:val="nil"/>
              <w:left w:val="nil"/>
              <w:bottom w:val="single" w:sz="4" w:space="0" w:color="448A99"/>
              <w:right w:val="single" w:sz="4" w:space="0" w:color="448A99"/>
            </w:tcBorders>
            <w:shd w:val="clear" w:color="000000" w:fill="D2EAF1"/>
            <w:vAlign w:val="center"/>
            <w:hideMark/>
          </w:tcPr>
          <w:p w:rsidR="00A63401" w:rsidRPr="00B75B77" w:rsidRDefault="00A63401" w:rsidP="00A63401">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A63401" w:rsidRPr="00B75B77" w:rsidTr="00A63401">
        <w:trPr>
          <w:divId w:val="1520586221"/>
          <w:trHeight w:val="372"/>
        </w:trPr>
        <w:tc>
          <w:tcPr>
            <w:tcW w:w="1705" w:type="dxa"/>
            <w:tcBorders>
              <w:top w:val="nil"/>
              <w:left w:val="single" w:sz="4" w:space="0" w:color="448A99"/>
              <w:bottom w:val="single" w:sz="4" w:space="0" w:color="448A99"/>
              <w:right w:val="single" w:sz="4" w:space="0" w:color="448A99"/>
            </w:tcBorders>
            <w:shd w:val="clear" w:color="000000" w:fill="FFFFFF"/>
            <w:vAlign w:val="center"/>
            <w:hideMark/>
          </w:tcPr>
          <w:p w:rsidR="00A63401" w:rsidRPr="00B75B77" w:rsidRDefault="00A63401" w:rsidP="00A63401">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Large C</w:t>
            </w:r>
            <w:r w:rsidR="0054073E" w:rsidRPr="00B75B77">
              <w:rPr>
                <w:rFonts w:ascii="Calibri" w:eastAsia="Times New Roman" w:hAnsi="Calibri"/>
                <w:bCs/>
                <w:color w:val="000000"/>
                <w:sz w:val="18"/>
                <w:szCs w:val="18"/>
              </w:rPr>
              <w:t>&amp;I</w:t>
            </w:r>
          </w:p>
        </w:tc>
        <w:tc>
          <w:tcPr>
            <w:tcW w:w="1108" w:type="dxa"/>
            <w:tcBorders>
              <w:top w:val="nil"/>
              <w:left w:val="nil"/>
              <w:bottom w:val="single" w:sz="4" w:space="0" w:color="448A99"/>
              <w:right w:val="single" w:sz="4" w:space="0" w:color="448A99"/>
            </w:tcBorders>
            <w:shd w:val="clear" w:color="000000" w:fill="FFFFFF"/>
            <w:vAlign w:val="center"/>
            <w:hideMark/>
          </w:tcPr>
          <w:p w:rsidR="00A63401" w:rsidRPr="00B75B77" w:rsidRDefault="00A63401" w:rsidP="00A63401">
            <w:pPr>
              <w:jc w:val="center"/>
              <w:rPr>
                <w:rFonts w:ascii="Calibri" w:eastAsia="Times New Roman" w:hAnsi="Calibri"/>
                <w:color w:val="000000"/>
                <w:sz w:val="18"/>
                <w:szCs w:val="18"/>
              </w:rPr>
            </w:pPr>
            <w:r w:rsidRPr="00B75B77">
              <w:rPr>
                <w:rFonts w:ascii="Calibri" w:eastAsia="Times New Roman" w:hAnsi="Calibri"/>
                <w:color w:val="000000"/>
                <w:sz w:val="18"/>
                <w:szCs w:val="18"/>
              </w:rPr>
              <w:t>3</w:t>
            </w:r>
          </w:p>
        </w:tc>
        <w:tc>
          <w:tcPr>
            <w:tcW w:w="1232" w:type="dxa"/>
            <w:tcBorders>
              <w:top w:val="nil"/>
              <w:left w:val="nil"/>
              <w:bottom w:val="single" w:sz="4" w:space="0" w:color="448A99"/>
              <w:right w:val="single" w:sz="4" w:space="0" w:color="448A99"/>
            </w:tcBorders>
            <w:shd w:val="clear" w:color="000000" w:fill="FFFFFF"/>
            <w:vAlign w:val="center"/>
            <w:hideMark/>
          </w:tcPr>
          <w:p w:rsidR="00A63401" w:rsidRPr="00B75B77" w:rsidRDefault="00A63401" w:rsidP="00A63401">
            <w:pPr>
              <w:jc w:val="center"/>
              <w:rPr>
                <w:rFonts w:ascii="Calibri" w:eastAsia="Times New Roman" w:hAnsi="Calibri"/>
                <w:color w:val="000000"/>
                <w:sz w:val="18"/>
                <w:szCs w:val="18"/>
              </w:rPr>
            </w:pPr>
            <w:r w:rsidRPr="00B75B77">
              <w:rPr>
                <w:rFonts w:ascii="Calibri" w:eastAsia="Times New Roman" w:hAnsi="Calibri"/>
                <w:color w:val="000000"/>
                <w:sz w:val="18"/>
                <w:szCs w:val="18"/>
              </w:rPr>
              <w:t>10,051</w:t>
            </w:r>
          </w:p>
        </w:tc>
        <w:tc>
          <w:tcPr>
            <w:tcW w:w="1350" w:type="dxa"/>
            <w:tcBorders>
              <w:top w:val="nil"/>
              <w:left w:val="nil"/>
              <w:bottom w:val="single" w:sz="4" w:space="0" w:color="448A99"/>
              <w:right w:val="single" w:sz="4" w:space="0" w:color="448A99"/>
            </w:tcBorders>
            <w:shd w:val="clear" w:color="000000" w:fill="FFFFFF"/>
            <w:vAlign w:val="center"/>
            <w:hideMark/>
          </w:tcPr>
          <w:p w:rsidR="00A63401" w:rsidRPr="00B75B77" w:rsidRDefault="00A63401" w:rsidP="00A63401">
            <w:pPr>
              <w:jc w:val="center"/>
              <w:rPr>
                <w:rFonts w:ascii="Calibri" w:eastAsia="Times New Roman" w:hAnsi="Calibri"/>
                <w:color w:val="000000"/>
                <w:sz w:val="18"/>
                <w:szCs w:val="18"/>
              </w:rPr>
            </w:pPr>
            <w:r w:rsidRPr="00B75B77">
              <w:rPr>
                <w:rFonts w:ascii="Calibri" w:eastAsia="Times New Roman" w:hAnsi="Calibri"/>
                <w:color w:val="000000"/>
                <w:sz w:val="18"/>
                <w:szCs w:val="18"/>
              </w:rPr>
              <w:t>1.3</w:t>
            </w:r>
          </w:p>
        </w:tc>
        <w:tc>
          <w:tcPr>
            <w:tcW w:w="1350" w:type="dxa"/>
            <w:tcBorders>
              <w:top w:val="nil"/>
              <w:left w:val="nil"/>
              <w:bottom w:val="single" w:sz="4" w:space="0" w:color="448A99"/>
              <w:right w:val="single" w:sz="4" w:space="0" w:color="448A99"/>
            </w:tcBorders>
            <w:shd w:val="clear" w:color="000000" w:fill="FFFFFF"/>
            <w:vAlign w:val="center"/>
            <w:hideMark/>
          </w:tcPr>
          <w:p w:rsidR="00A63401" w:rsidRPr="00B75B77" w:rsidRDefault="00A63401" w:rsidP="00A63401">
            <w:pPr>
              <w:jc w:val="center"/>
              <w:rPr>
                <w:rFonts w:ascii="Calibri" w:eastAsia="Times New Roman" w:hAnsi="Calibri"/>
                <w:color w:val="000000"/>
                <w:sz w:val="18"/>
                <w:szCs w:val="18"/>
              </w:rPr>
            </w:pPr>
            <w:r w:rsidRPr="00B75B77">
              <w:rPr>
                <w:rFonts w:ascii="Calibri" w:eastAsia="Times New Roman" w:hAnsi="Calibri"/>
                <w:color w:val="000000"/>
                <w:sz w:val="18"/>
                <w:szCs w:val="18"/>
              </w:rPr>
              <w:t>8,745</w:t>
            </w:r>
          </w:p>
        </w:tc>
        <w:tc>
          <w:tcPr>
            <w:tcW w:w="1350" w:type="dxa"/>
            <w:tcBorders>
              <w:top w:val="nil"/>
              <w:left w:val="nil"/>
              <w:bottom w:val="single" w:sz="4" w:space="0" w:color="448A99"/>
              <w:right w:val="single" w:sz="4" w:space="0" w:color="448A99"/>
            </w:tcBorders>
            <w:shd w:val="clear" w:color="000000" w:fill="FFFFFF"/>
            <w:vAlign w:val="center"/>
            <w:hideMark/>
          </w:tcPr>
          <w:p w:rsidR="00A63401" w:rsidRPr="00B75B77" w:rsidRDefault="00A63401" w:rsidP="00A63401">
            <w:pPr>
              <w:jc w:val="center"/>
              <w:rPr>
                <w:rFonts w:ascii="Calibri" w:eastAsia="Times New Roman" w:hAnsi="Calibri"/>
                <w:color w:val="000000"/>
                <w:sz w:val="18"/>
                <w:szCs w:val="18"/>
              </w:rPr>
            </w:pPr>
            <w:r w:rsidRPr="00B75B77">
              <w:rPr>
                <w:rFonts w:ascii="Calibri" w:eastAsia="Times New Roman" w:hAnsi="Calibri"/>
                <w:color w:val="000000"/>
                <w:sz w:val="18"/>
                <w:szCs w:val="18"/>
              </w:rPr>
              <w:t>1.1</w:t>
            </w:r>
          </w:p>
        </w:tc>
        <w:tc>
          <w:tcPr>
            <w:tcW w:w="1260" w:type="dxa"/>
            <w:tcBorders>
              <w:top w:val="nil"/>
              <w:left w:val="nil"/>
              <w:bottom w:val="single" w:sz="4" w:space="0" w:color="448A99"/>
              <w:right w:val="single" w:sz="4" w:space="0" w:color="448A99"/>
            </w:tcBorders>
            <w:shd w:val="clear" w:color="000000" w:fill="FFFFFF"/>
            <w:vAlign w:val="center"/>
            <w:hideMark/>
          </w:tcPr>
          <w:p w:rsidR="00A63401" w:rsidRPr="00B75B77" w:rsidRDefault="00A63401" w:rsidP="00A63401">
            <w:pPr>
              <w:jc w:val="center"/>
              <w:rPr>
                <w:rFonts w:ascii="Calibri" w:eastAsia="Times New Roman" w:hAnsi="Calibri"/>
                <w:color w:val="000000"/>
                <w:sz w:val="18"/>
                <w:szCs w:val="18"/>
              </w:rPr>
            </w:pPr>
            <w:r w:rsidRPr="00B75B77">
              <w:rPr>
                <w:rFonts w:ascii="Calibri" w:eastAsia="Times New Roman" w:hAnsi="Calibri"/>
                <w:color w:val="000000"/>
                <w:sz w:val="18"/>
                <w:szCs w:val="18"/>
              </w:rPr>
              <w:t>$478</w:t>
            </w:r>
          </w:p>
        </w:tc>
      </w:tr>
      <w:tr w:rsidR="00A63401" w:rsidRPr="00B75B77" w:rsidTr="00A63401">
        <w:trPr>
          <w:divId w:val="1520586221"/>
          <w:trHeight w:val="372"/>
        </w:trPr>
        <w:tc>
          <w:tcPr>
            <w:tcW w:w="1705" w:type="dxa"/>
            <w:tcBorders>
              <w:top w:val="nil"/>
              <w:left w:val="single" w:sz="4" w:space="0" w:color="448A99"/>
              <w:bottom w:val="single" w:sz="4" w:space="0" w:color="448A99"/>
              <w:right w:val="single" w:sz="4" w:space="0" w:color="448A99"/>
            </w:tcBorders>
            <w:shd w:val="clear" w:color="000000" w:fill="D2EAF1"/>
            <w:vAlign w:val="center"/>
            <w:hideMark/>
          </w:tcPr>
          <w:p w:rsidR="00A63401" w:rsidRPr="00B75B77" w:rsidRDefault="00A63401" w:rsidP="00A63401">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G</w:t>
            </w:r>
            <w:r w:rsidR="0054073E" w:rsidRPr="00B75B77">
              <w:rPr>
                <w:rFonts w:ascii="Calibri" w:eastAsia="Times New Roman" w:hAnsi="Calibri"/>
                <w:bCs/>
                <w:color w:val="000000"/>
                <w:sz w:val="18"/>
                <w:szCs w:val="18"/>
              </w:rPr>
              <w:t>NI</w:t>
            </w:r>
          </w:p>
        </w:tc>
        <w:tc>
          <w:tcPr>
            <w:tcW w:w="1108" w:type="dxa"/>
            <w:tcBorders>
              <w:top w:val="nil"/>
              <w:left w:val="nil"/>
              <w:bottom w:val="single" w:sz="4" w:space="0" w:color="448A99"/>
              <w:right w:val="single" w:sz="4" w:space="0" w:color="448A99"/>
            </w:tcBorders>
            <w:shd w:val="clear" w:color="000000" w:fill="D2EAF1"/>
            <w:vAlign w:val="center"/>
            <w:hideMark/>
          </w:tcPr>
          <w:p w:rsidR="00A63401" w:rsidRPr="00B75B77" w:rsidRDefault="00A63401" w:rsidP="00A63401">
            <w:pPr>
              <w:jc w:val="center"/>
              <w:rPr>
                <w:rFonts w:ascii="Calibri" w:eastAsia="Times New Roman" w:hAnsi="Calibri"/>
                <w:color w:val="000000"/>
                <w:sz w:val="18"/>
                <w:szCs w:val="18"/>
              </w:rPr>
            </w:pPr>
            <w:r w:rsidRPr="00B75B77">
              <w:rPr>
                <w:rFonts w:ascii="Calibri" w:eastAsia="Times New Roman" w:hAnsi="Calibri"/>
                <w:color w:val="000000"/>
                <w:sz w:val="18"/>
                <w:szCs w:val="18"/>
              </w:rPr>
              <w:t>5</w:t>
            </w:r>
          </w:p>
        </w:tc>
        <w:tc>
          <w:tcPr>
            <w:tcW w:w="1232" w:type="dxa"/>
            <w:tcBorders>
              <w:top w:val="nil"/>
              <w:left w:val="nil"/>
              <w:bottom w:val="single" w:sz="4" w:space="0" w:color="448A99"/>
              <w:right w:val="single" w:sz="4" w:space="0" w:color="448A99"/>
            </w:tcBorders>
            <w:shd w:val="clear" w:color="000000" w:fill="D2EAF1"/>
            <w:vAlign w:val="center"/>
            <w:hideMark/>
          </w:tcPr>
          <w:p w:rsidR="00A63401" w:rsidRPr="00B75B77" w:rsidRDefault="00A63401" w:rsidP="00A63401">
            <w:pPr>
              <w:jc w:val="center"/>
              <w:rPr>
                <w:rFonts w:ascii="Calibri" w:eastAsia="Times New Roman" w:hAnsi="Calibri"/>
                <w:color w:val="000000"/>
                <w:sz w:val="18"/>
                <w:szCs w:val="18"/>
              </w:rPr>
            </w:pPr>
            <w:r w:rsidRPr="00B75B77">
              <w:rPr>
                <w:rFonts w:ascii="Calibri" w:eastAsia="Times New Roman" w:hAnsi="Calibri"/>
                <w:color w:val="000000"/>
                <w:sz w:val="18"/>
                <w:szCs w:val="18"/>
              </w:rPr>
              <w:t>83,937</w:t>
            </w:r>
          </w:p>
        </w:tc>
        <w:tc>
          <w:tcPr>
            <w:tcW w:w="1350" w:type="dxa"/>
            <w:tcBorders>
              <w:top w:val="nil"/>
              <w:left w:val="nil"/>
              <w:bottom w:val="single" w:sz="4" w:space="0" w:color="448A99"/>
              <w:right w:val="single" w:sz="4" w:space="0" w:color="448A99"/>
            </w:tcBorders>
            <w:shd w:val="clear" w:color="000000" w:fill="D2EAF1"/>
            <w:vAlign w:val="center"/>
            <w:hideMark/>
          </w:tcPr>
          <w:p w:rsidR="00A63401" w:rsidRPr="00B75B77" w:rsidRDefault="00A63401" w:rsidP="00A63401">
            <w:pPr>
              <w:jc w:val="center"/>
              <w:rPr>
                <w:rFonts w:ascii="Calibri" w:eastAsia="Times New Roman" w:hAnsi="Calibri"/>
                <w:color w:val="000000"/>
                <w:sz w:val="18"/>
                <w:szCs w:val="18"/>
              </w:rPr>
            </w:pPr>
            <w:r w:rsidRPr="00B75B77">
              <w:rPr>
                <w:rFonts w:ascii="Calibri" w:eastAsia="Times New Roman" w:hAnsi="Calibri"/>
                <w:color w:val="000000"/>
                <w:sz w:val="18"/>
                <w:szCs w:val="18"/>
              </w:rPr>
              <w:t>11.0</w:t>
            </w:r>
          </w:p>
        </w:tc>
        <w:tc>
          <w:tcPr>
            <w:tcW w:w="1350" w:type="dxa"/>
            <w:tcBorders>
              <w:top w:val="nil"/>
              <w:left w:val="nil"/>
              <w:bottom w:val="single" w:sz="4" w:space="0" w:color="448A99"/>
              <w:right w:val="single" w:sz="4" w:space="0" w:color="448A99"/>
            </w:tcBorders>
            <w:shd w:val="clear" w:color="000000" w:fill="D2EAF1"/>
            <w:vAlign w:val="center"/>
            <w:hideMark/>
          </w:tcPr>
          <w:p w:rsidR="00A63401" w:rsidRPr="00B75B77" w:rsidRDefault="00A63401" w:rsidP="00A63401">
            <w:pPr>
              <w:jc w:val="center"/>
              <w:rPr>
                <w:rFonts w:ascii="Calibri" w:eastAsia="Times New Roman" w:hAnsi="Calibri"/>
                <w:color w:val="000000"/>
                <w:sz w:val="18"/>
                <w:szCs w:val="18"/>
              </w:rPr>
            </w:pPr>
            <w:r w:rsidRPr="00B75B77">
              <w:rPr>
                <w:rFonts w:ascii="Calibri" w:eastAsia="Times New Roman" w:hAnsi="Calibri"/>
                <w:color w:val="000000"/>
                <w:sz w:val="18"/>
                <w:szCs w:val="18"/>
              </w:rPr>
              <w:t>81,303</w:t>
            </w:r>
          </w:p>
        </w:tc>
        <w:tc>
          <w:tcPr>
            <w:tcW w:w="1350" w:type="dxa"/>
            <w:tcBorders>
              <w:top w:val="nil"/>
              <w:left w:val="nil"/>
              <w:bottom w:val="single" w:sz="4" w:space="0" w:color="448A99"/>
              <w:right w:val="single" w:sz="4" w:space="0" w:color="448A99"/>
            </w:tcBorders>
            <w:shd w:val="clear" w:color="000000" w:fill="D2EAF1"/>
            <w:vAlign w:val="center"/>
            <w:hideMark/>
          </w:tcPr>
          <w:p w:rsidR="00A63401" w:rsidRPr="00B75B77" w:rsidRDefault="00A63401" w:rsidP="00A63401">
            <w:pPr>
              <w:jc w:val="center"/>
              <w:rPr>
                <w:rFonts w:ascii="Calibri" w:eastAsia="Times New Roman" w:hAnsi="Calibri"/>
                <w:color w:val="000000"/>
                <w:sz w:val="18"/>
                <w:szCs w:val="18"/>
              </w:rPr>
            </w:pPr>
            <w:r w:rsidRPr="00B75B77">
              <w:rPr>
                <w:rFonts w:ascii="Calibri" w:eastAsia="Times New Roman" w:hAnsi="Calibri"/>
                <w:color w:val="000000"/>
                <w:sz w:val="18"/>
                <w:szCs w:val="18"/>
              </w:rPr>
              <w:t>10.4</w:t>
            </w:r>
          </w:p>
        </w:tc>
        <w:tc>
          <w:tcPr>
            <w:tcW w:w="1260" w:type="dxa"/>
            <w:tcBorders>
              <w:top w:val="nil"/>
              <w:left w:val="nil"/>
              <w:bottom w:val="single" w:sz="4" w:space="0" w:color="448A99"/>
              <w:right w:val="single" w:sz="4" w:space="0" w:color="448A99"/>
            </w:tcBorders>
            <w:shd w:val="clear" w:color="000000" w:fill="D2EAF1"/>
            <w:vAlign w:val="center"/>
            <w:hideMark/>
          </w:tcPr>
          <w:p w:rsidR="00A63401" w:rsidRPr="00B75B77" w:rsidRDefault="00A63401" w:rsidP="00A63401">
            <w:pPr>
              <w:jc w:val="center"/>
              <w:rPr>
                <w:rFonts w:ascii="Calibri" w:eastAsia="Times New Roman" w:hAnsi="Calibri"/>
                <w:color w:val="000000"/>
                <w:sz w:val="18"/>
                <w:szCs w:val="18"/>
              </w:rPr>
            </w:pPr>
            <w:r w:rsidRPr="00B75B77">
              <w:rPr>
                <w:rFonts w:ascii="Calibri" w:eastAsia="Times New Roman" w:hAnsi="Calibri"/>
                <w:color w:val="000000"/>
                <w:sz w:val="18"/>
                <w:szCs w:val="18"/>
              </w:rPr>
              <w:t>$6,062</w:t>
            </w:r>
          </w:p>
        </w:tc>
      </w:tr>
      <w:tr w:rsidR="00A63401" w:rsidRPr="00B75B77" w:rsidTr="00A63401">
        <w:trPr>
          <w:divId w:val="1520586221"/>
          <w:trHeight w:val="312"/>
        </w:trPr>
        <w:tc>
          <w:tcPr>
            <w:tcW w:w="1705" w:type="dxa"/>
            <w:tcBorders>
              <w:top w:val="nil"/>
              <w:left w:val="single" w:sz="4" w:space="0" w:color="448A99"/>
              <w:bottom w:val="single" w:sz="4" w:space="0" w:color="448A99"/>
              <w:right w:val="single" w:sz="4" w:space="0" w:color="448A99"/>
            </w:tcBorders>
            <w:shd w:val="clear" w:color="000000" w:fill="FFFFFF"/>
            <w:vAlign w:val="center"/>
            <w:hideMark/>
          </w:tcPr>
          <w:p w:rsidR="00A63401" w:rsidRPr="00B75B77" w:rsidRDefault="001B364E" w:rsidP="00A63401">
            <w:pPr>
              <w:jc w:val="left"/>
              <w:rPr>
                <w:rFonts w:ascii="Calibri" w:eastAsia="Times New Roman" w:hAnsi="Calibri"/>
                <w:b/>
                <w:color w:val="000000"/>
                <w:sz w:val="18"/>
                <w:szCs w:val="18"/>
              </w:rPr>
            </w:pPr>
            <w:r w:rsidRPr="00B75B77">
              <w:rPr>
                <w:rFonts w:ascii="Calibri" w:eastAsia="Times New Roman" w:hAnsi="Calibri"/>
                <w:b/>
                <w:color w:val="000000"/>
                <w:sz w:val="18"/>
                <w:szCs w:val="18"/>
              </w:rPr>
              <w:t>PHASE II TOTAL</w:t>
            </w:r>
          </w:p>
        </w:tc>
        <w:tc>
          <w:tcPr>
            <w:tcW w:w="1108" w:type="dxa"/>
            <w:tcBorders>
              <w:top w:val="nil"/>
              <w:left w:val="nil"/>
              <w:bottom w:val="single" w:sz="4" w:space="0" w:color="448A99"/>
              <w:right w:val="single" w:sz="4" w:space="0" w:color="448A99"/>
            </w:tcBorders>
            <w:shd w:val="clear" w:color="000000" w:fill="FFFFFF"/>
            <w:vAlign w:val="center"/>
            <w:hideMark/>
          </w:tcPr>
          <w:p w:rsidR="00A63401" w:rsidRPr="00B75B77" w:rsidRDefault="00A63401" w:rsidP="00A63401">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8</w:t>
            </w:r>
          </w:p>
        </w:tc>
        <w:tc>
          <w:tcPr>
            <w:tcW w:w="1232" w:type="dxa"/>
            <w:tcBorders>
              <w:top w:val="nil"/>
              <w:left w:val="nil"/>
              <w:bottom w:val="single" w:sz="4" w:space="0" w:color="448A99"/>
              <w:right w:val="single" w:sz="4" w:space="0" w:color="448A99"/>
            </w:tcBorders>
            <w:shd w:val="clear" w:color="000000" w:fill="FFFFFF"/>
            <w:vAlign w:val="center"/>
            <w:hideMark/>
          </w:tcPr>
          <w:p w:rsidR="00A63401" w:rsidRPr="00B75B77" w:rsidRDefault="00A63401" w:rsidP="00A63401">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93,988</w:t>
            </w:r>
          </w:p>
        </w:tc>
        <w:tc>
          <w:tcPr>
            <w:tcW w:w="1350" w:type="dxa"/>
            <w:tcBorders>
              <w:top w:val="nil"/>
              <w:left w:val="nil"/>
              <w:bottom w:val="single" w:sz="4" w:space="0" w:color="448A99"/>
              <w:right w:val="single" w:sz="4" w:space="0" w:color="448A99"/>
            </w:tcBorders>
            <w:shd w:val="clear" w:color="000000" w:fill="FFFFFF"/>
            <w:vAlign w:val="center"/>
            <w:hideMark/>
          </w:tcPr>
          <w:p w:rsidR="00A63401" w:rsidRPr="00B75B77" w:rsidRDefault="00A63401" w:rsidP="00A63401">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12.3</w:t>
            </w:r>
          </w:p>
        </w:tc>
        <w:tc>
          <w:tcPr>
            <w:tcW w:w="1350" w:type="dxa"/>
            <w:tcBorders>
              <w:top w:val="nil"/>
              <w:left w:val="nil"/>
              <w:bottom w:val="single" w:sz="4" w:space="0" w:color="448A99"/>
              <w:right w:val="single" w:sz="4" w:space="0" w:color="448A99"/>
            </w:tcBorders>
            <w:shd w:val="clear" w:color="000000" w:fill="FFFFFF"/>
            <w:vAlign w:val="center"/>
            <w:hideMark/>
          </w:tcPr>
          <w:p w:rsidR="00A63401" w:rsidRPr="00B75B77" w:rsidRDefault="00A63401" w:rsidP="00A63401">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90,049</w:t>
            </w:r>
          </w:p>
        </w:tc>
        <w:tc>
          <w:tcPr>
            <w:tcW w:w="1350" w:type="dxa"/>
            <w:tcBorders>
              <w:top w:val="nil"/>
              <w:left w:val="nil"/>
              <w:bottom w:val="single" w:sz="4" w:space="0" w:color="448A99"/>
              <w:right w:val="single" w:sz="4" w:space="0" w:color="448A99"/>
            </w:tcBorders>
            <w:shd w:val="clear" w:color="000000" w:fill="FFFFFF"/>
            <w:vAlign w:val="center"/>
            <w:hideMark/>
          </w:tcPr>
          <w:p w:rsidR="00A63401" w:rsidRPr="00B75B77" w:rsidRDefault="00A63401" w:rsidP="00A63401">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11.6</w:t>
            </w:r>
          </w:p>
        </w:tc>
        <w:tc>
          <w:tcPr>
            <w:tcW w:w="1260" w:type="dxa"/>
            <w:tcBorders>
              <w:top w:val="nil"/>
              <w:left w:val="nil"/>
              <w:bottom w:val="single" w:sz="4" w:space="0" w:color="448A99"/>
              <w:right w:val="single" w:sz="4" w:space="0" w:color="448A99"/>
            </w:tcBorders>
            <w:shd w:val="clear" w:color="000000" w:fill="FFFFFF"/>
            <w:vAlign w:val="center"/>
            <w:hideMark/>
          </w:tcPr>
          <w:p w:rsidR="00A63401" w:rsidRPr="00B75B77" w:rsidRDefault="00A63401" w:rsidP="00A63401">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6,540</w:t>
            </w:r>
          </w:p>
        </w:tc>
      </w:tr>
    </w:tbl>
    <w:p w:rsidR="00A63401" w:rsidRPr="00B75B77" w:rsidRDefault="00A63401" w:rsidP="00A63401">
      <w:pPr>
        <w:pStyle w:val="Source"/>
        <w:keepNext/>
        <w:spacing w:before="20" w:after="20"/>
        <w:ind w:left="0" w:firstLine="0"/>
        <w:rPr>
          <w:i w:val="0"/>
        </w:rPr>
      </w:pPr>
      <w:r w:rsidRPr="00B75B77">
        <w:rPr>
          <w:rFonts w:ascii="Calibri" w:hAnsi="Calibri"/>
          <w:i w:val="0"/>
          <w:color w:val="000000"/>
          <w:szCs w:val="18"/>
          <w:vertAlign w:val="superscript"/>
        </w:rPr>
        <w:t>[1]</w:t>
      </w:r>
      <w:r w:rsidRPr="00B75B77">
        <w:rPr>
          <w:rFonts w:ascii="Calibri" w:hAnsi="Calibri"/>
          <w:i w:val="0"/>
          <w:color w:val="000000"/>
          <w:szCs w:val="18"/>
        </w:rPr>
        <w:t xml:space="preserve"> All customer sector totals are exclusive of each other and may be added together to get the Phase II totals.</w:t>
      </w:r>
      <w:r w:rsidRPr="00B75B77">
        <w:rPr>
          <w:rFonts w:ascii="Calibri" w:hAnsi="Calibri"/>
          <w:i w:val="0"/>
          <w:color w:val="000000"/>
          <w:szCs w:val="18"/>
        </w:rPr>
        <w:br/>
      </w:r>
      <w:r w:rsidRPr="00B75B77">
        <w:rPr>
          <w:rFonts w:ascii="Calibri" w:hAnsi="Calibri"/>
          <w:i w:val="0"/>
          <w:color w:val="000000"/>
          <w:szCs w:val="18"/>
          <w:vertAlign w:val="superscript"/>
        </w:rPr>
        <w:t>[2]</w:t>
      </w:r>
      <w:r w:rsidRPr="00B75B77">
        <w:rPr>
          <w:rFonts w:ascii="Calibri" w:hAnsi="Calibri"/>
          <w:color w:val="000000"/>
          <w:szCs w:val="18"/>
        </w:rPr>
        <w:t xml:space="preserve"> </w:t>
      </w:r>
      <w:r w:rsidRPr="00B75B77">
        <w:rPr>
          <w:rFonts w:ascii="Calibri" w:hAnsi="Calibri"/>
          <w:i w:val="0"/>
          <w:color w:val="000000"/>
          <w:szCs w:val="18"/>
        </w:rPr>
        <w:t>All reported and verified demand savings in this report include line losses as required.</w:t>
      </w:r>
      <w:r w:rsidRPr="00B75B77">
        <w:rPr>
          <w:rFonts w:ascii="Calibri" w:hAnsi="Calibri"/>
          <w:i w:val="0"/>
          <w:color w:val="000000"/>
          <w:szCs w:val="18"/>
        </w:rPr>
        <w:br/>
        <w:t>Note: Values in tables may not reconcile exactly with the sum of more detailed level results or previously reported results due to rounding.</w:t>
      </w:r>
    </w:p>
    <w:p w:rsidR="00A63401" w:rsidRPr="00B75B77" w:rsidRDefault="00A63401" w:rsidP="004C089B">
      <w:pPr>
        <w:pStyle w:val="Source"/>
        <w:ind w:hanging="720"/>
      </w:pPr>
      <w:r w:rsidRPr="00B75B77">
        <w:t>Source: Navigant analysis</w:t>
      </w:r>
    </w:p>
    <w:p w:rsidR="00A63401" w:rsidRPr="00B75B77" w:rsidRDefault="00A63401" w:rsidP="00A63401">
      <w:pPr>
        <w:pStyle w:val="Heading3"/>
      </w:pPr>
      <w:bookmarkStart w:id="913" w:name="_Toc466413454"/>
      <w:r w:rsidRPr="00B75B77">
        <w:t>Gross Verified Savings Methodology</w:t>
      </w:r>
      <w:bookmarkEnd w:id="913"/>
      <w:r w:rsidRPr="00B75B77">
        <w:t xml:space="preserve"> </w:t>
      </w:r>
    </w:p>
    <w:p w:rsidR="00A63401" w:rsidRPr="00B75B77" w:rsidRDefault="00A63401" w:rsidP="00A63401">
      <w:r w:rsidRPr="00B75B77">
        <w:t xml:space="preserve">Navigant’s evaluation of the SOS program consisted of </w:t>
      </w:r>
      <w:r w:rsidR="00685BDE" w:rsidRPr="00B75B77">
        <w:t>onsite</w:t>
      </w:r>
      <w:r w:rsidRPr="00B75B77">
        <w:t xml:space="preserve"> verification, telephone interviews with program participants and the project developers they worked with, interviews with other CHP project developers who either have active CHP projects or may have such projects in the future, and interviews with the PECO and CSP program managers.</w:t>
      </w:r>
    </w:p>
    <w:p w:rsidR="00A63401" w:rsidRPr="00B75B77" w:rsidRDefault="00A63401" w:rsidP="00A63401"/>
    <w:p w:rsidR="00A63401" w:rsidRPr="00B75B77" w:rsidRDefault="00A63401" w:rsidP="00A63401">
      <w:r w:rsidRPr="00B75B77">
        <w:t xml:space="preserve">All participants in the SOS program are required to log the parameters necessary to calculate electricity generation net of parasitic loads (such as pumps necessary to operate the heat recovery systems) and thermal energy recovery. </w:t>
      </w:r>
      <w:r w:rsidR="00A620A4" w:rsidRPr="00B75B77">
        <w:t>The evaluation team uses this data</w:t>
      </w:r>
      <w:r w:rsidRPr="00B75B77">
        <w:t xml:space="preserve"> to develop the estimates of system capacity and annual generation on which PECO’s capacity and performance incentives are based. Navigant’s PY7 impact evaluation consisted of </w:t>
      </w:r>
      <w:r w:rsidR="00685BDE" w:rsidRPr="00B75B77">
        <w:t>onsite</w:t>
      </w:r>
      <w:r w:rsidRPr="00B75B77">
        <w:t xml:space="preserve"> verification of the installation and operation of the CHP equipment, validation of the customer-installed instrumentation logging the necessary performance parameters, and analysis of the logged data.</w:t>
      </w:r>
    </w:p>
    <w:p w:rsidR="00A63401" w:rsidRPr="00B75B77" w:rsidRDefault="00A63401" w:rsidP="00A63401"/>
    <w:p w:rsidR="00A63401" w:rsidRPr="00B75B77" w:rsidRDefault="00A620A4" w:rsidP="00A63401">
      <w:r w:rsidRPr="00B75B77">
        <w:t>The evaluation team calculated g</w:t>
      </w:r>
      <w:r w:rsidR="00A63401" w:rsidRPr="00B75B77">
        <w:t xml:space="preserve">ross impacts in accordance with the approved custom measure protocol (CMP) for CHP systems. </w:t>
      </w:r>
      <w:r w:rsidRPr="00B75B77">
        <w:t xml:space="preserve">The team also developed </w:t>
      </w:r>
      <w:r w:rsidR="00A63401" w:rsidRPr="00B75B77">
        <w:t xml:space="preserve">SSMVPs in accordance with the CMP </w:t>
      </w:r>
      <w:r w:rsidRPr="00B75B77">
        <w:t xml:space="preserve">that </w:t>
      </w:r>
      <w:r w:rsidR="00A63401" w:rsidRPr="00B75B77">
        <w:t xml:space="preserve">reflected the fact that PECO requires SOS participants to continuously log all relevant parameters necessary to calculate the CHP system’s net electrical generation and the facility’s net change in fuel consumption. As </w:t>
      </w:r>
      <w:r w:rsidRPr="00B75B77">
        <w:rPr>
          <w:rFonts w:ascii="Century Gothic" w:hAnsi="Century Gothic"/>
          <w:b/>
          <w:bCs/>
          <w:color w:val="000000" w:themeColor="text1"/>
          <w:sz w:val="18"/>
          <w:szCs w:val="18"/>
        </w:rPr>
        <w:fldChar w:fldCharType="begin"/>
      </w:r>
      <w:r w:rsidRPr="00B75B77">
        <w:instrText xml:space="preserve"> REF _Ref464145521 \h </w:instrText>
      </w:r>
      <w:r w:rsidR="00B75B77">
        <w:rPr>
          <w:rFonts w:ascii="Century Gothic" w:hAnsi="Century Gothic"/>
          <w:b/>
          <w:bCs/>
          <w:color w:val="000000" w:themeColor="text1"/>
          <w:sz w:val="18"/>
          <w:szCs w:val="18"/>
        </w:rPr>
        <w:instrText xml:space="preserve"> \* MERGEFORMAT </w:instrText>
      </w:r>
      <w:r w:rsidRPr="00B75B77">
        <w:rPr>
          <w:rFonts w:ascii="Century Gothic" w:hAnsi="Century Gothic"/>
          <w:b/>
          <w:bCs/>
          <w:color w:val="000000" w:themeColor="text1"/>
          <w:sz w:val="18"/>
          <w:szCs w:val="18"/>
        </w:rPr>
      </w:r>
      <w:r w:rsidRPr="00B75B77">
        <w:rPr>
          <w:rFonts w:ascii="Century Gothic" w:hAnsi="Century Gothic"/>
          <w:b/>
          <w:bCs/>
          <w:color w:val="000000" w:themeColor="text1"/>
          <w:sz w:val="18"/>
          <w:szCs w:val="18"/>
        </w:rPr>
        <w:fldChar w:fldCharType="separate"/>
      </w:r>
      <w:r w:rsidR="0004016D" w:rsidRPr="00B75B77">
        <w:t xml:space="preserve">Table </w:t>
      </w:r>
      <w:r w:rsidR="0004016D">
        <w:rPr>
          <w:noProof/>
        </w:rPr>
        <w:t>15</w:t>
      </w:r>
      <w:r w:rsidR="0004016D" w:rsidRPr="00B75B77">
        <w:rPr>
          <w:noProof/>
        </w:rPr>
        <w:noBreakHyphen/>
      </w:r>
      <w:r w:rsidR="0004016D">
        <w:rPr>
          <w:noProof/>
        </w:rPr>
        <w:t>2</w:t>
      </w:r>
      <w:r w:rsidRPr="00B75B77">
        <w:rPr>
          <w:rFonts w:ascii="Century Gothic" w:hAnsi="Century Gothic"/>
          <w:b/>
          <w:bCs/>
          <w:color w:val="000000" w:themeColor="text1"/>
          <w:sz w:val="18"/>
          <w:szCs w:val="18"/>
        </w:rPr>
        <w:fldChar w:fldCharType="end"/>
      </w:r>
      <w:r w:rsidR="00A63401" w:rsidRPr="00B75B77">
        <w:t xml:space="preserve"> indicates, Navigant conducted a census of participants, completing six sites. </w:t>
      </w:r>
    </w:p>
    <w:p w:rsidR="00A63401" w:rsidRPr="00B75B77" w:rsidRDefault="00A63401" w:rsidP="00A63401">
      <w:pPr>
        <w:rPr>
          <w:rFonts w:ascii="Calibri" w:hAnsi="Calibri"/>
          <w:b/>
          <w:bCs/>
        </w:rPr>
      </w:pPr>
    </w:p>
    <w:p w:rsidR="00A63401" w:rsidRPr="00B75B77" w:rsidRDefault="00A63401" w:rsidP="00A620A4">
      <w:pPr>
        <w:pStyle w:val="Caption"/>
      </w:pPr>
      <w:bookmarkStart w:id="914" w:name="_Ref464145521"/>
      <w:bookmarkStart w:id="915" w:name="_Toc466413638"/>
      <w:r w:rsidRPr="00B75B77">
        <w:lastRenderedPageBreak/>
        <w:t xml:space="preserve">Table </w:t>
      </w:r>
      <w:fldSimple w:instr=" STYLEREF 1 \s ">
        <w:r w:rsidR="0004016D">
          <w:rPr>
            <w:noProof/>
          </w:rPr>
          <w:t>15</w:t>
        </w:r>
      </w:fldSimple>
      <w:r w:rsidR="00F1144C" w:rsidRPr="00B75B77">
        <w:noBreakHyphen/>
      </w:r>
      <w:fldSimple w:instr=" SEQ Table \* ARABIC \s 1 ">
        <w:r w:rsidR="0004016D">
          <w:rPr>
            <w:noProof/>
          </w:rPr>
          <w:t>2</w:t>
        </w:r>
      </w:fldSimple>
      <w:bookmarkEnd w:id="914"/>
      <w:r w:rsidRPr="00B75B77">
        <w:t>: Smart On-Site Sampling Strategy for PY7</w:t>
      </w:r>
      <w:bookmarkEnd w:id="915"/>
    </w:p>
    <w:tbl>
      <w:tblPr>
        <w:tblW w:w="9355" w:type="dxa"/>
        <w:tblLook w:val="04A0" w:firstRow="1" w:lastRow="0" w:firstColumn="1" w:lastColumn="0" w:noHBand="0" w:noVBand="1"/>
      </w:tblPr>
      <w:tblGrid>
        <w:gridCol w:w="1435"/>
        <w:gridCol w:w="1035"/>
        <w:gridCol w:w="1485"/>
        <w:gridCol w:w="1170"/>
        <w:gridCol w:w="1752"/>
        <w:gridCol w:w="2478"/>
      </w:tblGrid>
      <w:tr w:rsidR="00A63401" w:rsidRPr="00B75B77" w:rsidTr="00A63401">
        <w:trPr>
          <w:divId w:val="351952565"/>
          <w:trHeight w:val="660"/>
        </w:trPr>
        <w:tc>
          <w:tcPr>
            <w:tcW w:w="1435" w:type="dxa"/>
            <w:tcBorders>
              <w:top w:val="single" w:sz="4" w:space="0" w:color="auto"/>
              <w:left w:val="single" w:sz="4" w:space="0" w:color="auto"/>
              <w:bottom w:val="single" w:sz="4" w:space="0" w:color="auto"/>
              <w:right w:val="single" w:sz="4" w:space="0" w:color="auto"/>
            </w:tcBorders>
            <w:shd w:val="clear" w:color="000000" w:fill="448A99"/>
            <w:vAlign w:val="center"/>
            <w:hideMark/>
          </w:tcPr>
          <w:p w:rsidR="00A63401" w:rsidRPr="00B75B77" w:rsidRDefault="00A63401" w:rsidP="00A620A4">
            <w:pPr>
              <w:keepNext/>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Stratum</w:t>
            </w:r>
          </w:p>
        </w:tc>
        <w:tc>
          <w:tcPr>
            <w:tcW w:w="1035" w:type="dxa"/>
            <w:tcBorders>
              <w:top w:val="single" w:sz="4" w:space="0" w:color="auto"/>
              <w:left w:val="nil"/>
              <w:bottom w:val="single" w:sz="4" w:space="0" w:color="auto"/>
              <w:right w:val="single" w:sz="4" w:space="0" w:color="auto"/>
            </w:tcBorders>
            <w:shd w:val="clear" w:color="000000" w:fill="448A99"/>
            <w:vAlign w:val="center"/>
            <w:hideMark/>
          </w:tcPr>
          <w:p w:rsidR="00A63401" w:rsidRPr="00B75B77" w:rsidRDefault="00A63401" w:rsidP="00A620A4">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Population Size</w:t>
            </w:r>
          </w:p>
        </w:tc>
        <w:tc>
          <w:tcPr>
            <w:tcW w:w="1485" w:type="dxa"/>
            <w:tcBorders>
              <w:top w:val="single" w:sz="4" w:space="0" w:color="auto"/>
              <w:left w:val="nil"/>
              <w:bottom w:val="single" w:sz="4" w:space="0" w:color="auto"/>
              <w:right w:val="single" w:sz="4" w:space="0" w:color="auto"/>
            </w:tcBorders>
            <w:shd w:val="clear" w:color="000000" w:fill="448A99"/>
            <w:vAlign w:val="center"/>
            <w:hideMark/>
          </w:tcPr>
          <w:p w:rsidR="00A63401" w:rsidRPr="00B75B77" w:rsidRDefault="00A63401" w:rsidP="00A620A4">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Target Levels of Confidence </w:t>
            </w:r>
            <w:r w:rsidR="00A620A4" w:rsidRPr="00B75B77">
              <w:rPr>
                <w:rFonts w:ascii="Calibri" w:eastAsia="Times New Roman" w:hAnsi="Calibri"/>
                <w:b/>
                <w:bCs/>
                <w:color w:val="FFFFFF"/>
                <w:sz w:val="18"/>
                <w:szCs w:val="18"/>
              </w:rPr>
              <w:t>and</w:t>
            </w:r>
            <w:r w:rsidR="002F3BF8" w:rsidRPr="00B75B77">
              <w:rPr>
                <w:rFonts w:ascii="Calibri" w:eastAsia="Times New Roman" w:hAnsi="Calibri"/>
                <w:b/>
                <w:bCs/>
                <w:color w:val="FFFFFF"/>
                <w:sz w:val="18"/>
                <w:szCs w:val="18"/>
              </w:rPr>
              <w:t xml:space="preserve"> </w:t>
            </w:r>
            <w:r w:rsidRPr="00B75B77">
              <w:rPr>
                <w:rFonts w:ascii="Calibri" w:eastAsia="Times New Roman" w:hAnsi="Calibri"/>
                <w:b/>
                <w:bCs/>
                <w:color w:val="FFFFFF"/>
                <w:sz w:val="18"/>
                <w:szCs w:val="18"/>
              </w:rPr>
              <w:t>Precision</w:t>
            </w:r>
          </w:p>
        </w:tc>
        <w:tc>
          <w:tcPr>
            <w:tcW w:w="1170" w:type="dxa"/>
            <w:tcBorders>
              <w:top w:val="single" w:sz="4" w:space="0" w:color="auto"/>
              <w:left w:val="nil"/>
              <w:bottom w:val="single" w:sz="4" w:space="0" w:color="auto"/>
              <w:right w:val="single" w:sz="4" w:space="0" w:color="auto"/>
            </w:tcBorders>
            <w:shd w:val="clear" w:color="000000" w:fill="448A99"/>
            <w:vAlign w:val="center"/>
            <w:hideMark/>
          </w:tcPr>
          <w:p w:rsidR="00A63401" w:rsidRPr="00B75B77" w:rsidRDefault="00A63401" w:rsidP="00A620A4">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Target Sample Size</w:t>
            </w:r>
          </w:p>
        </w:tc>
        <w:tc>
          <w:tcPr>
            <w:tcW w:w="1752" w:type="dxa"/>
            <w:tcBorders>
              <w:top w:val="single" w:sz="4" w:space="0" w:color="auto"/>
              <w:left w:val="nil"/>
              <w:bottom w:val="single" w:sz="4" w:space="0" w:color="auto"/>
              <w:right w:val="single" w:sz="4" w:space="0" w:color="auto"/>
            </w:tcBorders>
            <w:shd w:val="clear" w:color="000000" w:fill="448A99"/>
            <w:vAlign w:val="center"/>
            <w:hideMark/>
          </w:tcPr>
          <w:p w:rsidR="00A63401" w:rsidRPr="00B75B77" w:rsidRDefault="00A63401" w:rsidP="00A620A4">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Achieved Sample Size</w:t>
            </w:r>
          </w:p>
        </w:tc>
        <w:tc>
          <w:tcPr>
            <w:tcW w:w="2478" w:type="dxa"/>
            <w:tcBorders>
              <w:top w:val="single" w:sz="4" w:space="0" w:color="auto"/>
              <w:left w:val="nil"/>
              <w:bottom w:val="single" w:sz="4" w:space="0" w:color="auto"/>
              <w:right w:val="single" w:sz="4" w:space="0" w:color="auto"/>
            </w:tcBorders>
            <w:shd w:val="clear" w:color="000000" w:fill="448A99"/>
            <w:vAlign w:val="center"/>
            <w:hideMark/>
          </w:tcPr>
          <w:p w:rsidR="00A63401" w:rsidRPr="00B75B77" w:rsidRDefault="00A63401" w:rsidP="00A620A4">
            <w:pPr>
              <w:keepNext/>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Evaluation Activity</w:t>
            </w:r>
          </w:p>
        </w:tc>
      </w:tr>
      <w:tr w:rsidR="00A63401" w:rsidRPr="00B75B77" w:rsidTr="00A63401">
        <w:trPr>
          <w:divId w:val="351952565"/>
          <w:trHeight w:val="288"/>
        </w:trPr>
        <w:tc>
          <w:tcPr>
            <w:tcW w:w="1435" w:type="dxa"/>
            <w:tcBorders>
              <w:top w:val="nil"/>
              <w:left w:val="single" w:sz="4" w:space="0" w:color="448A99"/>
              <w:bottom w:val="single" w:sz="4" w:space="0" w:color="448A99"/>
              <w:right w:val="single" w:sz="4" w:space="0" w:color="448A99"/>
            </w:tcBorders>
            <w:shd w:val="clear" w:color="000000" w:fill="D2EAF1"/>
            <w:vAlign w:val="center"/>
            <w:hideMark/>
          </w:tcPr>
          <w:p w:rsidR="00A63401" w:rsidRPr="00B75B77" w:rsidRDefault="00A63401" w:rsidP="00A620A4">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All</w:t>
            </w:r>
          </w:p>
        </w:tc>
        <w:tc>
          <w:tcPr>
            <w:tcW w:w="1035" w:type="dxa"/>
            <w:tcBorders>
              <w:top w:val="nil"/>
              <w:left w:val="nil"/>
              <w:bottom w:val="single" w:sz="4" w:space="0" w:color="448A99"/>
              <w:right w:val="single" w:sz="4" w:space="0" w:color="448A99"/>
            </w:tcBorders>
            <w:shd w:val="clear" w:color="000000" w:fill="D2EAF1"/>
            <w:vAlign w:val="center"/>
            <w:hideMark/>
          </w:tcPr>
          <w:p w:rsidR="00A63401" w:rsidRPr="00B75B77" w:rsidRDefault="00A63401" w:rsidP="00A620A4">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6</w:t>
            </w:r>
          </w:p>
        </w:tc>
        <w:tc>
          <w:tcPr>
            <w:tcW w:w="1485" w:type="dxa"/>
            <w:tcBorders>
              <w:top w:val="nil"/>
              <w:left w:val="nil"/>
              <w:bottom w:val="single" w:sz="4" w:space="0" w:color="448A99"/>
              <w:right w:val="single" w:sz="4" w:space="0" w:color="448A99"/>
            </w:tcBorders>
            <w:shd w:val="clear" w:color="000000" w:fill="D2EAF1"/>
            <w:vAlign w:val="center"/>
            <w:hideMark/>
          </w:tcPr>
          <w:p w:rsidR="00A63401" w:rsidRPr="00B75B77" w:rsidRDefault="00A63401" w:rsidP="00A620A4">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1170" w:type="dxa"/>
            <w:tcBorders>
              <w:top w:val="nil"/>
              <w:left w:val="nil"/>
              <w:bottom w:val="single" w:sz="4" w:space="0" w:color="448A99"/>
              <w:right w:val="single" w:sz="4" w:space="0" w:color="448A99"/>
            </w:tcBorders>
            <w:shd w:val="clear" w:color="000000" w:fill="D2EAF1"/>
            <w:vAlign w:val="center"/>
            <w:hideMark/>
          </w:tcPr>
          <w:p w:rsidR="00A63401" w:rsidRPr="00B75B77" w:rsidRDefault="00A63401" w:rsidP="00A620A4">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6</w:t>
            </w:r>
          </w:p>
        </w:tc>
        <w:tc>
          <w:tcPr>
            <w:tcW w:w="1752" w:type="dxa"/>
            <w:tcBorders>
              <w:top w:val="nil"/>
              <w:left w:val="nil"/>
              <w:bottom w:val="single" w:sz="4" w:space="0" w:color="448A99"/>
              <w:right w:val="single" w:sz="4" w:space="0" w:color="448A99"/>
            </w:tcBorders>
            <w:shd w:val="clear" w:color="000000" w:fill="D2EAF1"/>
            <w:vAlign w:val="center"/>
            <w:hideMark/>
          </w:tcPr>
          <w:p w:rsidR="00A63401" w:rsidRPr="00B75B77" w:rsidRDefault="00A63401" w:rsidP="00A620A4">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6</w:t>
            </w:r>
          </w:p>
        </w:tc>
        <w:tc>
          <w:tcPr>
            <w:tcW w:w="2478" w:type="dxa"/>
            <w:tcBorders>
              <w:top w:val="nil"/>
              <w:left w:val="nil"/>
              <w:bottom w:val="single" w:sz="4" w:space="0" w:color="448A99"/>
              <w:right w:val="single" w:sz="4" w:space="0" w:color="448A99"/>
            </w:tcBorders>
            <w:shd w:val="clear" w:color="000000" w:fill="D2EAF1"/>
            <w:vAlign w:val="center"/>
            <w:hideMark/>
          </w:tcPr>
          <w:p w:rsidR="00A63401" w:rsidRPr="00B75B77" w:rsidRDefault="00A63401" w:rsidP="00A620A4">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File </w:t>
            </w:r>
            <w:r w:rsidR="001B364E" w:rsidRPr="00B75B77">
              <w:rPr>
                <w:rFonts w:ascii="Calibri" w:eastAsia="Times New Roman" w:hAnsi="Calibri"/>
                <w:color w:val="000000"/>
                <w:sz w:val="18"/>
                <w:szCs w:val="18"/>
              </w:rPr>
              <w:t>r</w:t>
            </w:r>
            <w:r w:rsidRPr="00B75B77">
              <w:rPr>
                <w:rFonts w:ascii="Calibri" w:eastAsia="Times New Roman" w:hAnsi="Calibri"/>
                <w:color w:val="000000"/>
                <w:sz w:val="18"/>
                <w:szCs w:val="18"/>
              </w:rPr>
              <w:t xml:space="preserve">eview </w:t>
            </w:r>
            <w:r w:rsidR="001B364E" w:rsidRPr="00B75B77">
              <w:rPr>
                <w:rFonts w:ascii="Calibri" w:eastAsia="Times New Roman" w:hAnsi="Calibri"/>
                <w:color w:val="000000"/>
                <w:sz w:val="18"/>
                <w:szCs w:val="18"/>
              </w:rPr>
              <w:t>and</w:t>
            </w:r>
            <w:r w:rsidRPr="00B75B77">
              <w:rPr>
                <w:rFonts w:ascii="Calibri" w:eastAsia="Times New Roman" w:hAnsi="Calibri"/>
                <w:color w:val="000000"/>
                <w:sz w:val="18"/>
                <w:szCs w:val="18"/>
              </w:rPr>
              <w:t xml:space="preserve"> </w:t>
            </w:r>
            <w:r w:rsidR="001B364E" w:rsidRPr="00B75B77">
              <w:rPr>
                <w:rFonts w:ascii="Calibri" w:eastAsia="Times New Roman" w:hAnsi="Calibri"/>
                <w:color w:val="000000"/>
                <w:sz w:val="18"/>
                <w:szCs w:val="18"/>
              </w:rPr>
              <w:t>o</w:t>
            </w:r>
            <w:r w:rsidRPr="00B75B77">
              <w:rPr>
                <w:rFonts w:ascii="Calibri" w:eastAsia="Times New Roman" w:hAnsi="Calibri"/>
                <w:color w:val="000000"/>
                <w:sz w:val="18"/>
                <w:szCs w:val="18"/>
              </w:rPr>
              <w:t xml:space="preserve">nsite </w:t>
            </w:r>
            <w:r w:rsidR="001B364E" w:rsidRPr="00B75B77">
              <w:rPr>
                <w:rFonts w:ascii="Calibri" w:eastAsia="Times New Roman" w:hAnsi="Calibri"/>
                <w:color w:val="000000"/>
                <w:sz w:val="18"/>
                <w:szCs w:val="18"/>
              </w:rPr>
              <w:t>v</w:t>
            </w:r>
            <w:r w:rsidRPr="00B75B77">
              <w:rPr>
                <w:rFonts w:ascii="Calibri" w:eastAsia="Times New Roman" w:hAnsi="Calibri"/>
                <w:color w:val="000000"/>
                <w:sz w:val="18"/>
                <w:szCs w:val="18"/>
              </w:rPr>
              <w:t>erification</w:t>
            </w:r>
          </w:p>
        </w:tc>
      </w:tr>
      <w:tr w:rsidR="00A63401" w:rsidRPr="00B75B77" w:rsidTr="00A63401">
        <w:trPr>
          <w:divId w:val="351952565"/>
          <w:trHeight w:val="288"/>
        </w:trPr>
        <w:tc>
          <w:tcPr>
            <w:tcW w:w="1435" w:type="dxa"/>
            <w:tcBorders>
              <w:top w:val="nil"/>
              <w:left w:val="single" w:sz="4" w:space="0" w:color="448A99"/>
              <w:bottom w:val="single" w:sz="4" w:space="0" w:color="448A99"/>
              <w:right w:val="single" w:sz="4" w:space="0" w:color="448A99"/>
            </w:tcBorders>
            <w:shd w:val="clear" w:color="000000" w:fill="FFFFFF"/>
            <w:vAlign w:val="center"/>
            <w:hideMark/>
          </w:tcPr>
          <w:p w:rsidR="00A63401" w:rsidRPr="00B75B77" w:rsidRDefault="001B364E" w:rsidP="00A620A4">
            <w:pPr>
              <w:keepNext/>
              <w:jc w:val="left"/>
              <w:rPr>
                <w:rFonts w:ascii="Calibri" w:eastAsia="Times New Roman" w:hAnsi="Calibri"/>
                <w:b/>
                <w:color w:val="000000"/>
                <w:sz w:val="18"/>
                <w:szCs w:val="18"/>
              </w:rPr>
            </w:pPr>
            <w:r w:rsidRPr="00B75B77">
              <w:rPr>
                <w:rFonts w:ascii="Calibri" w:eastAsia="Times New Roman" w:hAnsi="Calibri"/>
                <w:b/>
                <w:color w:val="000000"/>
                <w:sz w:val="18"/>
                <w:szCs w:val="18"/>
              </w:rPr>
              <w:t>PROGRAM TOTAL</w:t>
            </w:r>
          </w:p>
        </w:tc>
        <w:tc>
          <w:tcPr>
            <w:tcW w:w="1035" w:type="dxa"/>
            <w:tcBorders>
              <w:top w:val="nil"/>
              <w:left w:val="nil"/>
              <w:bottom w:val="single" w:sz="4" w:space="0" w:color="448A99"/>
              <w:right w:val="single" w:sz="4" w:space="0" w:color="448A99"/>
            </w:tcBorders>
            <w:shd w:val="clear" w:color="000000" w:fill="FFFFFF"/>
            <w:vAlign w:val="center"/>
            <w:hideMark/>
          </w:tcPr>
          <w:p w:rsidR="00A63401" w:rsidRPr="00B75B77" w:rsidRDefault="00A63401" w:rsidP="00A620A4">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6</w:t>
            </w:r>
          </w:p>
        </w:tc>
        <w:tc>
          <w:tcPr>
            <w:tcW w:w="1485" w:type="dxa"/>
            <w:tcBorders>
              <w:top w:val="nil"/>
              <w:left w:val="nil"/>
              <w:bottom w:val="single" w:sz="4" w:space="0" w:color="448A99"/>
              <w:right w:val="single" w:sz="4" w:space="0" w:color="448A99"/>
            </w:tcBorders>
            <w:shd w:val="clear" w:color="000000" w:fill="FFFFFF"/>
            <w:vAlign w:val="center"/>
            <w:hideMark/>
          </w:tcPr>
          <w:p w:rsidR="00A63401" w:rsidRPr="00B75B77" w:rsidRDefault="00A63401" w:rsidP="00A620A4">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0</w:t>
            </w:r>
          </w:p>
        </w:tc>
        <w:tc>
          <w:tcPr>
            <w:tcW w:w="1170" w:type="dxa"/>
            <w:tcBorders>
              <w:top w:val="nil"/>
              <w:left w:val="nil"/>
              <w:bottom w:val="single" w:sz="4" w:space="0" w:color="448A99"/>
              <w:right w:val="single" w:sz="4" w:space="0" w:color="448A99"/>
            </w:tcBorders>
            <w:shd w:val="clear" w:color="000000" w:fill="FFFFFF"/>
            <w:vAlign w:val="center"/>
            <w:hideMark/>
          </w:tcPr>
          <w:p w:rsidR="00A63401" w:rsidRPr="00B75B77" w:rsidRDefault="00A63401" w:rsidP="00A620A4">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6</w:t>
            </w:r>
          </w:p>
        </w:tc>
        <w:tc>
          <w:tcPr>
            <w:tcW w:w="1752" w:type="dxa"/>
            <w:tcBorders>
              <w:top w:val="nil"/>
              <w:left w:val="nil"/>
              <w:bottom w:val="single" w:sz="4" w:space="0" w:color="448A99"/>
              <w:right w:val="single" w:sz="4" w:space="0" w:color="448A99"/>
            </w:tcBorders>
            <w:shd w:val="clear" w:color="000000" w:fill="FFFFFF"/>
            <w:vAlign w:val="center"/>
            <w:hideMark/>
          </w:tcPr>
          <w:p w:rsidR="00A63401" w:rsidRPr="00B75B77" w:rsidRDefault="00A63401" w:rsidP="00A620A4">
            <w:pPr>
              <w:keepNext/>
              <w:jc w:val="center"/>
              <w:rPr>
                <w:rFonts w:ascii="Calibri" w:eastAsia="Times New Roman" w:hAnsi="Calibri"/>
                <w:b/>
                <w:color w:val="000000"/>
                <w:sz w:val="18"/>
                <w:szCs w:val="18"/>
              </w:rPr>
            </w:pPr>
            <w:r w:rsidRPr="00B75B77">
              <w:rPr>
                <w:rFonts w:ascii="Calibri" w:eastAsia="Times New Roman" w:hAnsi="Calibri"/>
                <w:b/>
                <w:color w:val="000000"/>
                <w:sz w:val="18"/>
                <w:szCs w:val="18"/>
              </w:rPr>
              <w:t>6</w:t>
            </w:r>
          </w:p>
        </w:tc>
        <w:tc>
          <w:tcPr>
            <w:tcW w:w="2478" w:type="dxa"/>
            <w:tcBorders>
              <w:top w:val="nil"/>
              <w:left w:val="nil"/>
              <w:bottom w:val="single" w:sz="4" w:space="0" w:color="448A99"/>
              <w:right w:val="single" w:sz="4" w:space="0" w:color="448A99"/>
            </w:tcBorders>
            <w:shd w:val="clear" w:color="000000" w:fill="FFFFFF"/>
            <w:vAlign w:val="center"/>
            <w:hideMark/>
          </w:tcPr>
          <w:p w:rsidR="00A63401" w:rsidRPr="00B75B77" w:rsidRDefault="00A63401" w:rsidP="00A620A4">
            <w:pPr>
              <w:keepNext/>
              <w:jc w:val="left"/>
              <w:rPr>
                <w:rFonts w:ascii="Calibri" w:eastAsia="Times New Roman" w:hAnsi="Calibri"/>
                <w:b/>
                <w:color w:val="000000"/>
                <w:sz w:val="18"/>
                <w:szCs w:val="18"/>
              </w:rPr>
            </w:pPr>
            <w:r w:rsidRPr="00B75B77">
              <w:rPr>
                <w:rFonts w:ascii="Calibri" w:eastAsia="Times New Roman" w:hAnsi="Calibri"/>
                <w:b/>
                <w:color w:val="000000"/>
                <w:sz w:val="18"/>
                <w:szCs w:val="18"/>
              </w:rPr>
              <w:t>N/A</w:t>
            </w:r>
          </w:p>
        </w:tc>
      </w:tr>
    </w:tbl>
    <w:p w:rsidR="00A63401" w:rsidRPr="00B75B77" w:rsidRDefault="00A63401" w:rsidP="00A620A4">
      <w:pPr>
        <w:pStyle w:val="Source"/>
        <w:keepNext/>
        <w:spacing w:before="20" w:after="20"/>
        <w:ind w:left="0" w:firstLine="0"/>
      </w:pPr>
      <w:r w:rsidRPr="00B75B77">
        <w:rPr>
          <w:rFonts w:ascii="Calibri" w:hAnsi="Calibri"/>
          <w:i w:val="0"/>
          <w:szCs w:val="18"/>
        </w:rPr>
        <w:t>Note: Values in tables may not reconcile exactly with the sum of more detailed level results or previously reported results due to rounding.</w:t>
      </w:r>
    </w:p>
    <w:p w:rsidR="00A63401" w:rsidRPr="00B75B77" w:rsidRDefault="00A63401" w:rsidP="00A620A4">
      <w:pPr>
        <w:pStyle w:val="Source"/>
        <w:keepNext/>
        <w:ind w:left="0" w:firstLine="0"/>
      </w:pPr>
      <w:r w:rsidRPr="00B75B77">
        <w:t xml:space="preserve">Source: Navigant analysis </w:t>
      </w:r>
    </w:p>
    <w:p w:rsidR="00A63401" w:rsidRPr="00B75B77" w:rsidRDefault="00A63401" w:rsidP="00A63401">
      <w:pPr>
        <w:pStyle w:val="Heading3"/>
      </w:pPr>
      <w:bookmarkStart w:id="916" w:name="_Toc466413455"/>
      <w:r w:rsidRPr="00B75B77">
        <w:t>Gross Verified Savings Results</w:t>
      </w:r>
      <w:bookmarkEnd w:id="916"/>
      <w:r w:rsidRPr="00B75B77">
        <w:t xml:space="preserve"> </w:t>
      </w:r>
    </w:p>
    <w:p w:rsidR="00A63401" w:rsidRPr="00B75B77" w:rsidRDefault="008A2056" w:rsidP="00A63401">
      <w:r w:rsidRPr="00B75B77">
        <w:t>The</w:t>
      </w:r>
      <w:r w:rsidR="00A63401" w:rsidRPr="00B75B77">
        <w:t xml:space="preserve"> program achieved a gross realization rate of 0.87 for energy in PY7. </w:t>
      </w:r>
      <w:r w:rsidR="00A63401" w:rsidRPr="00B75B77">
        <w:fldChar w:fldCharType="begin"/>
      </w:r>
      <w:r w:rsidR="00A63401" w:rsidRPr="00B75B77">
        <w:instrText xml:space="preserve"> REF _Ref463269038 \h </w:instrText>
      </w:r>
      <w:r w:rsidR="00B75B77">
        <w:instrText xml:space="preserve"> \* MERGEFORMAT </w:instrText>
      </w:r>
      <w:r w:rsidR="00A63401" w:rsidRPr="00B75B77">
        <w:fldChar w:fldCharType="separate"/>
      </w:r>
      <w:r w:rsidR="0004016D" w:rsidRPr="00B75B77">
        <w:t xml:space="preserve">Table </w:t>
      </w:r>
      <w:r w:rsidR="0004016D">
        <w:rPr>
          <w:noProof/>
        </w:rPr>
        <w:t>15</w:t>
      </w:r>
      <w:r w:rsidR="0004016D" w:rsidRPr="00B75B77">
        <w:rPr>
          <w:noProof/>
        </w:rPr>
        <w:noBreakHyphen/>
      </w:r>
      <w:r w:rsidR="0004016D">
        <w:rPr>
          <w:noProof/>
        </w:rPr>
        <w:t>3</w:t>
      </w:r>
      <w:r w:rsidR="00A63401" w:rsidRPr="00B75B77">
        <w:fldChar w:fldCharType="end"/>
      </w:r>
      <w:r w:rsidR="00A63401" w:rsidRPr="00B75B77">
        <w:t xml:space="preserve"> presents the gross reported and verified energy savings for PY7. The low realization rate is attributable to two projects performing poorly against their forecast</w:t>
      </w:r>
      <w:r w:rsidR="00A620A4" w:rsidRPr="00B75B77">
        <w:t>ed</w:t>
      </w:r>
      <w:r w:rsidR="00A63401" w:rsidRPr="00B75B77">
        <w:t xml:space="preserve"> savings. One project had issues with oversizing and the other with lingering commissioning issues during the M&amp;V interval. </w:t>
      </w:r>
    </w:p>
    <w:p w:rsidR="00A63401" w:rsidRPr="00B75B77" w:rsidRDefault="00A63401" w:rsidP="00A63401"/>
    <w:p w:rsidR="00A63401" w:rsidRPr="00B75B77" w:rsidRDefault="00A63401" w:rsidP="00A63401">
      <w:pPr>
        <w:pStyle w:val="Caption"/>
        <w:rPr>
          <w:rFonts w:ascii="Calibri" w:hAnsi="Calibri"/>
          <w:i/>
          <w:sz w:val="22"/>
          <w:szCs w:val="22"/>
        </w:rPr>
      </w:pPr>
      <w:bookmarkStart w:id="917" w:name="_Ref463269038"/>
      <w:bookmarkStart w:id="918" w:name="_Toc466413639"/>
      <w:r w:rsidRPr="00B75B77">
        <w:t xml:space="preserve">Table </w:t>
      </w:r>
      <w:fldSimple w:instr=" STYLEREF 1 \s ">
        <w:r w:rsidR="0004016D">
          <w:rPr>
            <w:noProof/>
          </w:rPr>
          <w:t>15</w:t>
        </w:r>
      </w:fldSimple>
      <w:r w:rsidR="00F1144C" w:rsidRPr="00B75B77">
        <w:noBreakHyphen/>
      </w:r>
      <w:fldSimple w:instr=" SEQ Table \* ARABIC \s 1 ">
        <w:r w:rsidR="0004016D">
          <w:rPr>
            <w:noProof/>
          </w:rPr>
          <w:t>3</w:t>
        </w:r>
      </w:fldSimple>
      <w:bookmarkEnd w:id="917"/>
      <w:r w:rsidRPr="00B75B77">
        <w:t>: PY7 Smart On-Site Summary of Evaluation Results for Energy</w:t>
      </w:r>
      <w:bookmarkEnd w:id="918"/>
    </w:p>
    <w:tbl>
      <w:tblPr>
        <w:tblW w:w="9265" w:type="dxa"/>
        <w:tblLook w:val="04A0" w:firstRow="1" w:lastRow="0" w:firstColumn="1" w:lastColumn="0" w:noHBand="0" w:noVBand="1"/>
      </w:tblPr>
      <w:tblGrid>
        <w:gridCol w:w="1885"/>
        <w:gridCol w:w="1350"/>
        <w:gridCol w:w="1260"/>
        <w:gridCol w:w="1530"/>
        <w:gridCol w:w="1890"/>
        <w:gridCol w:w="1350"/>
      </w:tblGrid>
      <w:tr w:rsidR="00A63401" w:rsidRPr="00B75B77" w:rsidTr="00A63401">
        <w:trPr>
          <w:divId w:val="925726404"/>
          <w:trHeight w:val="660"/>
        </w:trPr>
        <w:tc>
          <w:tcPr>
            <w:tcW w:w="1885"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A63401" w:rsidRPr="00B75B77" w:rsidRDefault="00A63401" w:rsidP="00A620A4">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Stratum</w:t>
            </w:r>
          </w:p>
        </w:tc>
        <w:tc>
          <w:tcPr>
            <w:tcW w:w="135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A63401" w:rsidRPr="00B75B77" w:rsidRDefault="00A63401" w:rsidP="00A63401">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Reported Gross Energy Savings (MWh/</w:t>
            </w:r>
            <w:proofErr w:type="spellStart"/>
            <w:r w:rsidRPr="00B75B77">
              <w:rPr>
                <w:rFonts w:ascii="Calibri" w:eastAsia="Times New Roman" w:hAnsi="Calibri"/>
                <w:b/>
                <w:bCs/>
                <w:color w:val="FFFFFF"/>
                <w:sz w:val="18"/>
                <w:szCs w:val="18"/>
              </w:rPr>
              <w:t>yr</w:t>
            </w:r>
            <w:proofErr w:type="spellEnd"/>
            <w:r w:rsidRPr="00B75B77">
              <w:rPr>
                <w:rFonts w:ascii="Calibri" w:eastAsia="Times New Roman" w:hAnsi="Calibri"/>
                <w:b/>
                <w:bCs/>
                <w:color w:val="FFFFFF"/>
                <w:sz w:val="18"/>
                <w:szCs w:val="18"/>
              </w:rPr>
              <w:t>)</w:t>
            </w:r>
          </w:p>
        </w:tc>
        <w:tc>
          <w:tcPr>
            <w:tcW w:w="126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A63401" w:rsidRPr="00B75B77" w:rsidRDefault="00A63401" w:rsidP="00A63401">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Energy Realization Rate (%)</w:t>
            </w:r>
          </w:p>
        </w:tc>
        <w:tc>
          <w:tcPr>
            <w:tcW w:w="153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A63401" w:rsidRPr="00B75B77" w:rsidRDefault="00A63401" w:rsidP="00A63401">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Verified Gross Energy Savings (MWh/</w:t>
            </w:r>
            <w:proofErr w:type="spellStart"/>
            <w:r w:rsidRPr="00B75B77">
              <w:rPr>
                <w:rFonts w:ascii="Calibri" w:eastAsia="Times New Roman" w:hAnsi="Calibri"/>
                <w:b/>
                <w:bCs/>
                <w:color w:val="FFFFFF"/>
                <w:sz w:val="18"/>
                <w:szCs w:val="18"/>
              </w:rPr>
              <w:t>yr</w:t>
            </w:r>
            <w:proofErr w:type="spellEnd"/>
            <w:r w:rsidRPr="00B75B77">
              <w:rPr>
                <w:rFonts w:ascii="Calibri" w:eastAsia="Times New Roman" w:hAnsi="Calibri"/>
                <w:b/>
                <w:bCs/>
                <w:color w:val="FFFFFF"/>
                <w:sz w:val="18"/>
                <w:szCs w:val="18"/>
              </w:rPr>
              <w:t>)</w:t>
            </w:r>
          </w:p>
        </w:tc>
        <w:tc>
          <w:tcPr>
            <w:tcW w:w="1890"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A63401" w:rsidRPr="00B75B77" w:rsidRDefault="00174FFA" w:rsidP="00A63401">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Observed CV </w:t>
            </w:r>
            <w:r w:rsidR="00A63401" w:rsidRPr="00B75B77">
              <w:rPr>
                <w:rFonts w:ascii="Calibri" w:eastAsia="Times New Roman" w:hAnsi="Calibri"/>
                <w:b/>
                <w:bCs/>
                <w:color w:val="FFFFFF"/>
                <w:sz w:val="18"/>
                <w:szCs w:val="18"/>
              </w:rPr>
              <w:t>or Proportion in Sample Design</w:t>
            </w:r>
          </w:p>
        </w:tc>
        <w:tc>
          <w:tcPr>
            <w:tcW w:w="1350"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A63401" w:rsidRPr="00B75B77" w:rsidRDefault="00A63401" w:rsidP="00A620A4">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Relative Precision at 85% </w:t>
            </w:r>
            <w:r w:rsidR="00A620A4" w:rsidRPr="00B75B77">
              <w:rPr>
                <w:rFonts w:ascii="Calibri" w:eastAsia="Times New Roman" w:hAnsi="Calibri"/>
                <w:b/>
                <w:bCs/>
                <w:color w:val="FFFFFF"/>
                <w:sz w:val="18"/>
                <w:szCs w:val="18"/>
              </w:rPr>
              <w:t>Confidence Interval</w:t>
            </w:r>
          </w:p>
        </w:tc>
      </w:tr>
      <w:tr w:rsidR="00A63401" w:rsidRPr="00B75B77" w:rsidTr="00A63401">
        <w:trPr>
          <w:divId w:val="925726404"/>
          <w:trHeight w:val="288"/>
        </w:trPr>
        <w:tc>
          <w:tcPr>
            <w:tcW w:w="1885" w:type="dxa"/>
            <w:vMerge/>
            <w:tcBorders>
              <w:top w:val="single" w:sz="4" w:space="0" w:color="auto"/>
              <w:left w:val="single" w:sz="4" w:space="0" w:color="auto"/>
              <w:bottom w:val="single" w:sz="4" w:space="0" w:color="auto"/>
              <w:right w:val="single" w:sz="4" w:space="0" w:color="auto"/>
            </w:tcBorders>
            <w:vAlign w:val="center"/>
            <w:hideMark/>
          </w:tcPr>
          <w:p w:rsidR="00A63401" w:rsidRPr="00B75B77" w:rsidRDefault="00A63401" w:rsidP="00A63401">
            <w:pPr>
              <w:jc w:val="left"/>
              <w:rPr>
                <w:rFonts w:ascii="Calibri" w:eastAsia="Times New Roman" w:hAnsi="Calibri"/>
                <w:b/>
                <w:bCs/>
                <w:color w:val="FFFFFF"/>
                <w:sz w:val="18"/>
                <w:szCs w:val="18"/>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rsidR="00A63401" w:rsidRPr="00B75B77" w:rsidRDefault="00A63401" w:rsidP="00A63401">
            <w:pPr>
              <w:jc w:val="left"/>
              <w:rPr>
                <w:rFonts w:ascii="Calibri" w:eastAsia="Times New Roman" w:hAnsi="Calibri"/>
                <w:b/>
                <w:bCs/>
                <w:color w:val="FFFFFF"/>
                <w:sz w:val="18"/>
                <w:szCs w:val="18"/>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rsidR="00A63401" w:rsidRPr="00B75B77" w:rsidRDefault="00A63401" w:rsidP="00A63401">
            <w:pPr>
              <w:jc w:val="left"/>
              <w:rPr>
                <w:rFonts w:ascii="Calibri" w:eastAsia="Times New Roman" w:hAnsi="Calibri"/>
                <w:b/>
                <w:bCs/>
                <w:color w:val="FFFFFF"/>
                <w:sz w:val="18"/>
                <w:szCs w:val="18"/>
              </w:rPr>
            </w:pPr>
          </w:p>
        </w:tc>
        <w:tc>
          <w:tcPr>
            <w:tcW w:w="1530" w:type="dxa"/>
            <w:vMerge/>
            <w:tcBorders>
              <w:top w:val="single" w:sz="4" w:space="0" w:color="auto"/>
              <w:left w:val="single" w:sz="4" w:space="0" w:color="auto"/>
              <w:bottom w:val="single" w:sz="4" w:space="0" w:color="000000"/>
              <w:right w:val="single" w:sz="4" w:space="0" w:color="auto"/>
            </w:tcBorders>
            <w:vAlign w:val="center"/>
            <w:hideMark/>
          </w:tcPr>
          <w:p w:rsidR="00A63401" w:rsidRPr="00B75B77" w:rsidRDefault="00A63401" w:rsidP="00A63401">
            <w:pPr>
              <w:jc w:val="left"/>
              <w:rPr>
                <w:rFonts w:ascii="Calibri" w:eastAsia="Times New Roman" w:hAnsi="Calibri"/>
                <w:b/>
                <w:bCs/>
                <w:color w:val="FFFFFF"/>
                <w:sz w:val="18"/>
                <w:szCs w:val="18"/>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rsidR="00A63401" w:rsidRPr="00B75B77" w:rsidRDefault="00A63401" w:rsidP="00A63401">
            <w:pPr>
              <w:jc w:val="left"/>
              <w:rPr>
                <w:rFonts w:ascii="Calibri" w:eastAsia="Times New Roman" w:hAnsi="Calibri"/>
                <w:b/>
                <w:bCs/>
                <w:color w:val="FFFFFF"/>
                <w:sz w:val="18"/>
                <w:szCs w:val="18"/>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A63401" w:rsidRPr="00B75B77" w:rsidRDefault="00A63401" w:rsidP="00A63401">
            <w:pPr>
              <w:jc w:val="left"/>
              <w:rPr>
                <w:rFonts w:ascii="Calibri" w:eastAsia="Times New Roman" w:hAnsi="Calibri"/>
                <w:b/>
                <w:bCs/>
                <w:color w:val="FFFFFF"/>
                <w:sz w:val="18"/>
                <w:szCs w:val="18"/>
              </w:rPr>
            </w:pPr>
          </w:p>
        </w:tc>
      </w:tr>
      <w:tr w:rsidR="00A63401" w:rsidRPr="00B75B77" w:rsidTr="00A620A4">
        <w:trPr>
          <w:divId w:val="925726404"/>
          <w:trHeight w:val="269"/>
        </w:trPr>
        <w:tc>
          <w:tcPr>
            <w:tcW w:w="1885" w:type="dxa"/>
            <w:vMerge/>
            <w:tcBorders>
              <w:top w:val="single" w:sz="4" w:space="0" w:color="auto"/>
              <w:left w:val="single" w:sz="4" w:space="0" w:color="auto"/>
              <w:bottom w:val="single" w:sz="4" w:space="0" w:color="auto"/>
              <w:right w:val="single" w:sz="4" w:space="0" w:color="auto"/>
            </w:tcBorders>
            <w:vAlign w:val="center"/>
            <w:hideMark/>
          </w:tcPr>
          <w:p w:rsidR="00A63401" w:rsidRPr="00B75B77" w:rsidRDefault="00A63401" w:rsidP="00A63401">
            <w:pPr>
              <w:jc w:val="left"/>
              <w:rPr>
                <w:rFonts w:ascii="Calibri" w:eastAsia="Times New Roman" w:hAnsi="Calibri"/>
                <w:b/>
                <w:bCs/>
                <w:color w:val="FFFFFF"/>
                <w:sz w:val="18"/>
                <w:szCs w:val="18"/>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rsidR="00A63401" w:rsidRPr="00B75B77" w:rsidRDefault="00A63401" w:rsidP="00A63401">
            <w:pPr>
              <w:jc w:val="left"/>
              <w:rPr>
                <w:rFonts w:ascii="Calibri" w:eastAsia="Times New Roman" w:hAnsi="Calibri"/>
                <w:b/>
                <w:bCs/>
                <w:color w:val="FFFFFF"/>
                <w:sz w:val="18"/>
                <w:szCs w:val="18"/>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rsidR="00A63401" w:rsidRPr="00B75B77" w:rsidRDefault="00A63401" w:rsidP="00A63401">
            <w:pPr>
              <w:jc w:val="left"/>
              <w:rPr>
                <w:rFonts w:ascii="Calibri" w:eastAsia="Times New Roman" w:hAnsi="Calibri"/>
                <w:b/>
                <w:bCs/>
                <w:color w:val="FFFFFF"/>
                <w:sz w:val="18"/>
                <w:szCs w:val="18"/>
              </w:rPr>
            </w:pPr>
          </w:p>
        </w:tc>
        <w:tc>
          <w:tcPr>
            <w:tcW w:w="1530" w:type="dxa"/>
            <w:vMerge/>
            <w:tcBorders>
              <w:top w:val="single" w:sz="4" w:space="0" w:color="auto"/>
              <w:left w:val="single" w:sz="4" w:space="0" w:color="auto"/>
              <w:bottom w:val="single" w:sz="4" w:space="0" w:color="000000"/>
              <w:right w:val="single" w:sz="4" w:space="0" w:color="auto"/>
            </w:tcBorders>
            <w:vAlign w:val="center"/>
            <w:hideMark/>
          </w:tcPr>
          <w:p w:rsidR="00A63401" w:rsidRPr="00B75B77" w:rsidRDefault="00A63401" w:rsidP="00A63401">
            <w:pPr>
              <w:jc w:val="left"/>
              <w:rPr>
                <w:rFonts w:ascii="Calibri" w:eastAsia="Times New Roman" w:hAnsi="Calibri"/>
                <w:b/>
                <w:bCs/>
                <w:color w:val="FFFFFF"/>
                <w:sz w:val="18"/>
                <w:szCs w:val="18"/>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rsidR="00A63401" w:rsidRPr="00B75B77" w:rsidRDefault="00A63401" w:rsidP="00A63401">
            <w:pPr>
              <w:jc w:val="left"/>
              <w:rPr>
                <w:rFonts w:ascii="Calibri" w:eastAsia="Times New Roman" w:hAnsi="Calibri"/>
                <w:b/>
                <w:bCs/>
                <w:color w:val="FFFFFF"/>
                <w:sz w:val="18"/>
                <w:szCs w:val="18"/>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A63401" w:rsidRPr="00B75B77" w:rsidRDefault="00A63401" w:rsidP="00A63401">
            <w:pPr>
              <w:jc w:val="left"/>
              <w:rPr>
                <w:rFonts w:ascii="Calibri" w:eastAsia="Times New Roman" w:hAnsi="Calibri"/>
                <w:b/>
                <w:bCs/>
                <w:color w:val="FFFFFF"/>
                <w:sz w:val="18"/>
                <w:szCs w:val="18"/>
              </w:rPr>
            </w:pPr>
          </w:p>
        </w:tc>
      </w:tr>
      <w:tr w:rsidR="00A63401" w:rsidRPr="00B75B77" w:rsidTr="00A63401">
        <w:trPr>
          <w:divId w:val="925726404"/>
          <w:trHeight w:val="396"/>
        </w:trPr>
        <w:tc>
          <w:tcPr>
            <w:tcW w:w="1885" w:type="dxa"/>
            <w:tcBorders>
              <w:top w:val="nil"/>
              <w:left w:val="single" w:sz="4" w:space="0" w:color="448A99"/>
              <w:bottom w:val="single" w:sz="4" w:space="0" w:color="448A99"/>
              <w:right w:val="single" w:sz="4" w:space="0" w:color="448A99"/>
            </w:tcBorders>
            <w:shd w:val="clear" w:color="000000" w:fill="D2EAF1"/>
            <w:vAlign w:val="center"/>
            <w:hideMark/>
          </w:tcPr>
          <w:p w:rsidR="00A63401" w:rsidRPr="00B75B77" w:rsidRDefault="00A63401" w:rsidP="00A63401">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All</w:t>
            </w:r>
          </w:p>
        </w:tc>
        <w:tc>
          <w:tcPr>
            <w:tcW w:w="1350" w:type="dxa"/>
            <w:tcBorders>
              <w:top w:val="nil"/>
              <w:left w:val="nil"/>
              <w:bottom w:val="single" w:sz="4" w:space="0" w:color="448A99"/>
              <w:right w:val="single" w:sz="4" w:space="0" w:color="448A99"/>
            </w:tcBorders>
            <w:shd w:val="clear" w:color="000000" w:fill="D2EAF1"/>
            <w:vAlign w:val="center"/>
            <w:hideMark/>
          </w:tcPr>
          <w:p w:rsidR="00A63401" w:rsidRPr="00B75B77" w:rsidRDefault="00A63401" w:rsidP="00A63401">
            <w:pPr>
              <w:jc w:val="center"/>
              <w:rPr>
                <w:rFonts w:ascii="Calibri" w:eastAsia="Times New Roman" w:hAnsi="Calibri"/>
                <w:color w:val="000000"/>
                <w:sz w:val="18"/>
                <w:szCs w:val="18"/>
              </w:rPr>
            </w:pPr>
            <w:r w:rsidRPr="00B75B77">
              <w:rPr>
                <w:rFonts w:ascii="Calibri" w:eastAsia="Times New Roman" w:hAnsi="Calibri"/>
                <w:color w:val="000000"/>
                <w:sz w:val="18"/>
                <w:szCs w:val="18"/>
              </w:rPr>
              <w:t>34,043</w:t>
            </w:r>
          </w:p>
        </w:tc>
        <w:tc>
          <w:tcPr>
            <w:tcW w:w="1260" w:type="dxa"/>
            <w:tcBorders>
              <w:top w:val="nil"/>
              <w:left w:val="nil"/>
              <w:bottom w:val="single" w:sz="4" w:space="0" w:color="448A99"/>
              <w:right w:val="single" w:sz="4" w:space="0" w:color="448A99"/>
            </w:tcBorders>
            <w:shd w:val="clear" w:color="000000" w:fill="D2EAF1"/>
            <w:vAlign w:val="center"/>
            <w:hideMark/>
          </w:tcPr>
          <w:p w:rsidR="00A63401" w:rsidRPr="00B75B77" w:rsidRDefault="00A63401" w:rsidP="00A63401">
            <w:pPr>
              <w:jc w:val="center"/>
              <w:rPr>
                <w:rFonts w:ascii="Calibri" w:eastAsia="Times New Roman" w:hAnsi="Calibri"/>
                <w:color w:val="000000"/>
                <w:sz w:val="18"/>
                <w:szCs w:val="18"/>
              </w:rPr>
            </w:pPr>
            <w:r w:rsidRPr="00B75B77">
              <w:rPr>
                <w:rFonts w:ascii="Calibri" w:eastAsia="Times New Roman" w:hAnsi="Calibri"/>
                <w:color w:val="000000"/>
                <w:sz w:val="18"/>
                <w:szCs w:val="18"/>
              </w:rPr>
              <w:t>0.87</w:t>
            </w:r>
          </w:p>
        </w:tc>
        <w:tc>
          <w:tcPr>
            <w:tcW w:w="1530" w:type="dxa"/>
            <w:tcBorders>
              <w:top w:val="nil"/>
              <w:left w:val="nil"/>
              <w:bottom w:val="single" w:sz="4" w:space="0" w:color="448A99"/>
              <w:right w:val="single" w:sz="4" w:space="0" w:color="448A99"/>
            </w:tcBorders>
            <w:shd w:val="clear" w:color="000000" w:fill="D2EAF1"/>
            <w:vAlign w:val="center"/>
            <w:hideMark/>
          </w:tcPr>
          <w:p w:rsidR="00A63401" w:rsidRPr="00B75B77" w:rsidRDefault="00A63401" w:rsidP="00A63401">
            <w:pPr>
              <w:jc w:val="center"/>
              <w:rPr>
                <w:rFonts w:ascii="Calibri" w:eastAsia="Times New Roman" w:hAnsi="Calibri"/>
                <w:color w:val="000000"/>
                <w:sz w:val="18"/>
                <w:szCs w:val="18"/>
              </w:rPr>
            </w:pPr>
            <w:r w:rsidRPr="00B75B77">
              <w:rPr>
                <w:rFonts w:ascii="Calibri" w:eastAsia="Times New Roman" w:hAnsi="Calibri"/>
                <w:color w:val="000000"/>
                <w:sz w:val="18"/>
                <w:szCs w:val="18"/>
              </w:rPr>
              <w:t>29,621</w:t>
            </w:r>
          </w:p>
        </w:tc>
        <w:tc>
          <w:tcPr>
            <w:tcW w:w="1890" w:type="dxa"/>
            <w:tcBorders>
              <w:top w:val="nil"/>
              <w:left w:val="nil"/>
              <w:bottom w:val="single" w:sz="4" w:space="0" w:color="448A99"/>
              <w:right w:val="single" w:sz="4" w:space="0" w:color="448A99"/>
            </w:tcBorders>
            <w:shd w:val="clear" w:color="000000" w:fill="D2EAF1"/>
            <w:vAlign w:val="center"/>
            <w:hideMark/>
          </w:tcPr>
          <w:p w:rsidR="00A63401" w:rsidRPr="00B75B77" w:rsidRDefault="00A63401" w:rsidP="00A63401">
            <w:pPr>
              <w:jc w:val="center"/>
              <w:rPr>
                <w:rFonts w:ascii="Calibri" w:eastAsia="Times New Roman" w:hAnsi="Calibri"/>
                <w:color w:val="000000"/>
                <w:sz w:val="18"/>
                <w:szCs w:val="18"/>
              </w:rPr>
            </w:pPr>
            <w:r w:rsidRPr="00B75B77">
              <w:rPr>
                <w:rFonts w:ascii="Calibri" w:eastAsia="Times New Roman" w:hAnsi="Calibri"/>
                <w:color w:val="000000"/>
                <w:sz w:val="18"/>
                <w:szCs w:val="18"/>
              </w:rPr>
              <w:t>0.23</w:t>
            </w:r>
          </w:p>
        </w:tc>
        <w:tc>
          <w:tcPr>
            <w:tcW w:w="1350" w:type="dxa"/>
            <w:tcBorders>
              <w:top w:val="nil"/>
              <w:left w:val="nil"/>
              <w:bottom w:val="single" w:sz="4" w:space="0" w:color="448A99"/>
              <w:right w:val="single" w:sz="4" w:space="0" w:color="448A99"/>
            </w:tcBorders>
            <w:shd w:val="clear" w:color="000000" w:fill="D2EAF1"/>
            <w:vAlign w:val="center"/>
            <w:hideMark/>
          </w:tcPr>
          <w:p w:rsidR="00A63401" w:rsidRPr="00B75B77" w:rsidRDefault="00A63401" w:rsidP="00A63401">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A63401" w:rsidRPr="00B75B77" w:rsidTr="00A63401">
        <w:trPr>
          <w:divId w:val="925726404"/>
          <w:trHeight w:val="288"/>
        </w:trPr>
        <w:tc>
          <w:tcPr>
            <w:tcW w:w="1885" w:type="dxa"/>
            <w:tcBorders>
              <w:top w:val="nil"/>
              <w:left w:val="single" w:sz="4" w:space="0" w:color="448A99"/>
              <w:bottom w:val="single" w:sz="4" w:space="0" w:color="448A99"/>
              <w:right w:val="single" w:sz="4" w:space="0" w:color="448A99"/>
            </w:tcBorders>
            <w:shd w:val="clear" w:color="000000" w:fill="FFFFFF"/>
            <w:vAlign w:val="center"/>
            <w:hideMark/>
          </w:tcPr>
          <w:p w:rsidR="00A63401" w:rsidRPr="00B75B77" w:rsidRDefault="00A620A4" w:rsidP="00A63401">
            <w:pPr>
              <w:jc w:val="left"/>
              <w:rPr>
                <w:rFonts w:ascii="Calibri" w:eastAsia="Times New Roman" w:hAnsi="Calibri"/>
                <w:b/>
                <w:color w:val="000000"/>
                <w:sz w:val="18"/>
                <w:szCs w:val="18"/>
              </w:rPr>
            </w:pPr>
            <w:r w:rsidRPr="00B75B77">
              <w:rPr>
                <w:rFonts w:ascii="Calibri" w:eastAsia="Times New Roman" w:hAnsi="Calibri"/>
                <w:b/>
                <w:color w:val="000000"/>
                <w:sz w:val="18"/>
                <w:szCs w:val="18"/>
              </w:rPr>
              <w:t>PROGRAM TOTAL</w:t>
            </w:r>
          </w:p>
        </w:tc>
        <w:tc>
          <w:tcPr>
            <w:tcW w:w="1350" w:type="dxa"/>
            <w:tcBorders>
              <w:top w:val="nil"/>
              <w:left w:val="nil"/>
              <w:bottom w:val="single" w:sz="4" w:space="0" w:color="448A99"/>
              <w:right w:val="single" w:sz="4" w:space="0" w:color="448A99"/>
            </w:tcBorders>
            <w:shd w:val="clear" w:color="000000" w:fill="FFFFFF"/>
            <w:vAlign w:val="center"/>
            <w:hideMark/>
          </w:tcPr>
          <w:p w:rsidR="00A63401" w:rsidRPr="00B75B77" w:rsidRDefault="00A63401" w:rsidP="00A63401">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34,043</w:t>
            </w:r>
          </w:p>
        </w:tc>
        <w:tc>
          <w:tcPr>
            <w:tcW w:w="1260" w:type="dxa"/>
            <w:tcBorders>
              <w:top w:val="nil"/>
              <w:left w:val="nil"/>
              <w:bottom w:val="single" w:sz="4" w:space="0" w:color="448A99"/>
              <w:right w:val="single" w:sz="4" w:space="0" w:color="448A99"/>
            </w:tcBorders>
            <w:shd w:val="clear" w:color="000000" w:fill="FFFFFF"/>
            <w:vAlign w:val="center"/>
            <w:hideMark/>
          </w:tcPr>
          <w:p w:rsidR="00A63401" w:rsidRPr="00B75B77" w:rsidRDefault="00A63401" w:rsidP="00A63401">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0.87</w:t>
            </w:r>
          </w:p>
        </w:tc>
        <w:tc>
          <w:tcPr>
            <w:tcW w:w="1530" w:type="dxa"/>
            <w:tcBorders>
              <w:top w:val="nil"/>
              <w:left w:val="nil"/>
              <w:bottom w:val="single" w:sz="4" w:space="0" w:color="448A99"/>
              <w:right w:val="single" w:sz="4" w:space="0" w:color="448A99"/>
            </w:tcBorders>
            <w:shd w:val="clear" w:color="000000" w:fill="FFFFFF"/>
            <w:vAlign w:val="center"/>
            <w:hideMark/>
          </w:tcPr>
          <w:p w:rsidR="00A63401" w:rsidRPr="00B75B77" w:rsidRDefault="00A63401" w:rsidP="00A63401">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29,621</w:t>
            </w:r>
          </w:p>
        </w:tc>
        <w:tc>
          <w:tcPr>
            <w:tcW w:w="1890" w:type="dxa"/>
            <w:tcBorders>
              <w:top w:val="nil"/>
              <w:left w:val="nil"/>
              <w:bottom w:val="single" w:sz="4" w:space="0" w:color="448A99"/>
              <w:right w:val="single" w:sz="4" w:space="0" w:color="448A99"/>
            </w:tcBorders>
            <w:shd w:val="clear" w:color="000000" w:fill="FFFFFF"/>
            <w:vAlign w:val="center"/>
            <w:hideMark/>
          </w:tcPr>
          <w:p w:rsidR="00A63401" w:rsidRPr="00B75B77" w:rsidRDefault="00A63401" w:rsidP="00A63401">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N/A</w:t>
            </w:r>
          </w:p>
        </w:tc>
        <w:tc>
          <w:tcPr>
            <w:tcW w:w="1350" w:type="dxa"/>
            <w:tcBorders>
              <w:top w:val="nil"/>
              <w:left w:val="nil"/>
              <w:bottom w:val="single" w:sz="4" w:space="0" w:color="448A99"/>
              <w:right w:val="single" w:sz="4" w:space="0" w:color="448A99"/>
            </w:tcBorders>
            <w:shd w:val="clear" w:color="000000" w:fill="FFFFFF"/>
            <w:vAlign w:val="center"/>
            <w:hideMark/>
          </w:tcPr>
          <w:p w:rsidR="00A63401" w:rsidRPr="00B75B77" w:rsidRDefault="00A63401" w:rsidP="00A63401">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0%</w:t>
            </w:r>
          </w:p>
        </w:tc>
      </w:tr>
    </w:tbl>
    <w:p w:rsidR="00A63401" w:rsidRPr="00B75B77" w:rsidRDefault="00A63401" w:rsidP="00A63401">
      <w:pPr>
        <w:pStyle w:val="Source"/>
        <w:spacing w:before="20" w:after="20"/>
        <w:ind w:left="0" w:firstLine="0"/>
      </w:pPr>
      <w:r w:rsidRPr="00B75B77">
        <w:rPr>
          <w:rFonts w:ascii="Calibri" w:hAnsi="Calibri"/>
          <w:i w:val="0"/>
          <w:iCs/>
          <w:color w:val="000000"/>
          <w:szCs w:val="18"/>
        </w:rPr>
        <w:t>Note: Values in tables may not reconcile exactly with the sum of more detailed level results or previously reported results due to rounding.</w:t>
      </w:r>
    </w:p>
    <w:p w:rsidR="00A63401" w:rsidRPr="00B75B77" w:rsidRDefault="00A63401" w:rsidP="008A2056">
      <w:pPr>
        <w:pStyle w:val="Source"/>
        <w:ind w:left="0" w:firstLine="0"/>
      </w:pPr>
      <w:r w:rsidRPr="00B75B77">
        <w:t xml:space="preserve">Source: Navigant analysis </w:t>
      </w:r>
    </w:p>
    <w:p w:rsidR="00A63401" w:rsidRPr="00B75B77" w:rsidRDefault="00A63401" w:rsidP="00A63401">
      <w:r w:rsidRPr="00B75B77">
        <w:t xml:space="preserve">The program achieved a gross realization rate of 0.86 for demand. </w:t>
      </w:r>
      <w:r w:rsidRPr="00B75B77">
        <w:fldChar w:fldCharType="begin"/>
      </w:r>
      <w:r w:rsidRPr="00B75B77">
        <w:instrText xml:space="preserve"> REF _Ref463270219 \h </w:instrText>
      </w:r>
      <w:r w:rsidR="00B75B77">
        <w:instrText xml:space="preserve"> \* MERGEFORMAT </w:instrText>
      </w:r>
      <w:r w:rsidRPr="00B75B77">
        <w:fldChar w:fldCharType="separate"/>
      </w:r>
      <w:r w:rsidR="0004016D" w:rsidRPr="00B75B77">
        <w:t xml:space="preserve">Table </w:t>
      </w:r>
      <w:r w:rsidR="0004016D">
        <w:rPr>
          <w:noProof/>
        </w:rPr>
        <w:t>15</w:t>
      </w:r>
      <w:r w:rsidR="0004016D" w:rsidRPr="00B75B77">
        <w:rPr>
          <w:noProof/>
        </w:rPr>
        <w:noBreakHyphen/>
      </w:r>
      <w:r w:rsidR="0004016D">
        <w:rPr>
          <w:noProof/>
        </w:rPr>
        <w:t>4</w:t>
      </w:r>
      <w:r w:rsidRPr="00B75B77">
        <w:fldChar w:fldCharType="end"/>
      </w:r>
      <w:r w:rsidRPr="00B75B77">
        <w:t xml:space="preserve"> presents the gross reported and verified </w:t>
      </w:r>
      <w:r w:rsidR="00A620A4" w:rsidRPr="00B75B77">
        <w:t xml:space="preserve">demand </w:t>
      </w:r>
      <w:r w:rsidRPr="00B75B77">
        <w:t xml:space="preserve">savings for PY7. The realization rate for energy and demand are similar because CHP systems are designed to operate base loaded. </w:t>
      </w:r>
    </w:p>
    <w:p w:rsidR="00A63401" w:rsidRPr="00B75B77" w:rsidRDefault="00A63401" w:rsidP="00A63401"/>
    <w:p w:rsidR="00A63401" w:rsidRPr="00B75B77" w:rsidRDefault="00A63401" w:rsidP="00A63401">
      <w:pPr>
        <w:pStyle w:val="Caption"/>
      </w:pPr>
      <w:bookmarkStart w:id="919" w:name="_Ref463270219"/>
      <w:bookmarkStart w:id="920" w:name="_Toc466413640"/>
      <w:r w:rsidRPr="00B75B77">
        <w:t xml:space="preserve">Table </w:t>
      </w:r>
      <w:fldSimple w:instr=" STYLEREF 1 \s ">
        <w:r w:rsidR="0004016D">
          <w:rPr>
            <w:noProof/>
          </w:rPr>
          <w:t>15</w:t>
        </w:r>
      </w:fldSimple>
      <w:r w:rsidR="00F1144C" w:rsidRPr="00B75B77">
        <w:noBreakHyphen/>
      </w:r>
      <w:fldSimple w:instr=" SEQ Table \* ARABIC \s 1 ">
        <w:r w:rsidR="0004016D">
          <w:rPr>
            <w:noProof/>
          </w:rPr>
          <w:t>4</w:t>
        </w:r>
      </w:fldSimple>
      <w:bookmarkEnd w:id="919"/>
      <w:r w:rsidRPr="00B75B77">
        <w:t>: PY7 Smart On-Site Summary of Evaluation Results for Demand</w:t>
      </w:r>
      <w:bookmarkEnd w:id="920"/>
    </w:p>
    <w:tbl>
      <w:tblPr>
        <w:tblW w:w="9265" w:type="dxa"/>
        <w:tblLook w:val="04A0" w:firstRow="1" w:lastRow="0" w:firstColumn="1" w:lastColumn="0" w:noHBand="0" w:noVBand="1"/>
      </w:tblPr>
      <w:tblGrid>
        <w:gridCol w:w="1885"/>
        <w:gridCol w:w="1350"/>
        <w:gridCol w:w="1260"/>
        <w:gridCol w:w="1530"/>
        <w:gridCol w:w="1890"/>
        <w:gridCol w:w="1350"/>
      </w:tblGrid>
      <w:tr w:rsidR="00A63401" w:rsidRPr="00B75B77" w:rsidTr="00A63401">
        <w:trPr>
          <w:divId w:val="58484100"/>
          <w:trHeight w:val="588"/>
        </w:trPr>
        <w:tc>
          <w:tcPr>
            <w:tcW w:w="1885"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A63401" w:rsidRPr="00B75B77" w:rsidRDefault="00A63401" w:rsidP="00A620A4">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Stratum</w:t>
            </w:r>
          </w:p>
        </w:tc>
        <w:tc>
          <w:tcPr>
            <w:tcW w:w="1350"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A63401" w:rsidRPr="00B75B77" w:rsidRDefault="00A63401" w:rsidP="00A63401">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Reported Gross Demand Savings </w:t>
            </w:r>
            <w:r w:rsidRPr="00B75B77">
              <w:rPr>
                <w:rFonts w:ascii="Calibri" w:eastAsia="Times New Roman" w:hAnsi="Calibri"/>
                <w:b/>
                <w:bCs/>
                <w:color w:val="FFFFFF"/>
                <w:sz w:val="18"/>
                <w:szCs w:val="18"/>
              </w:rPr>
              <w:br/>
              <w:t>(MW)</w:t>
            </w:r>
            <w:r w:rsidRPr="00B75B77">
              <w:rPr>
                <w:rFonts w:ascii="Calibri" w:eastAsia="Times New Roman" w:hAnsi="Calibri"/>
                <w:b/>
                <w:bCs/>
                <w:color w:val="FFFFFF"/>
                <w:sz w:val="18"/>
                <w:szCs w:val="18"/>
                <w:vertAlign w:val="superscript"/>
              </w:rPr>
              <w:t>[1]</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A63401" w:rsidRPr="00B75B77" w:rsidRDefault="00A63401" w:rsidP="00A63401">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Demand Realization Rate (%)</w:t>
            </w:r>
          </w:p>
        </w:tc>
        <w:tc>
          <w:tcPr>
            <w:tcW w:w="1530"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A63401" w:rsidRPr="00B75B77" w:rsidRDefault="00A63401" w:rsidP="00A63401">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Verified Gross Demand Savings (MW)</w:t>
            </w:r>
            <w:r w:rsidRPr="00B75B77">
              <w:rPr>
                <w:rFonts w:ascii="Calibri" w:eastAsia="Times New Roman" w:hAnsi="Calibri"/>
                <w:b/>
                <w:bCs/>
                <w:color w:val="FFFFFF"/>
                <w:sz w:val="18"/>
                <w:szCs w:val="18"/>
                <w:vertAlign w:val="superscript"/>
              </w:rPr>
              <w:t>[1]</w:t>
            </w:r>
          </w:p>
        </w:tc>
        <w:tc>
          <w:tcPr>
            <w:tcW w:w="1890"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A63401" w:rsidRPr="00B75B77" w:rsidRDefault="00174FFA" w:rsidP="00A63401">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Observed CV </w:t>
            </w:r>
            <w:r w:rsidR="00A63401" w:rsidRPr="00B75B77">
              <w:rPr>
                <w:rFonts w:ascii="Calibri" w:eastAsia="Times New Roman" w:hAnsi="Calibri"/>
                <w:b/>
                <w:bCs/>
                <w:color w:val="FFFFFF"/>
                <w:sz w:val="18"/>
                <w:szCs w:val="18"/>
              </w:rPr>
              <w:t>or Proportion in Sample Design</w:t>
            </w:r>
          </w:p>
        </w:tc>
        <w:tc>
          <w:tcPr>
            <w:tcW w:w="1350" w:type="dxa"/>
            <w:vMerge w:val="restart"/>
            <w:tcBorders>
              <w:top w:val="single" w:sz="4" w:space="0" w:color="auto"/>
              <w:left w:val="single" w:sz="4" w:space="0" w:color="auto"/>
              <w:bottom w:val="single" w:sz="4" w:space="0" w:color="auto"/>
              <w:right w:val="single" w:sz="4" w:space="0" w:color="auto"/>
            </w:tcBorders>
            <w:shd w:val="clear" w:color="000000" w:fill="448A99"/>
            <w:vAlign w:val="center"/>
            <w:hideMark/>
          </w:tcPr>
          <w:p w:rsidR="00A63401" w:rsidRPr="00B75B77" w:rsidRDefault="00A63401" w:rsidP="00A620A4">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Relative Precision at 85% </w:t>
            </w:r>
            <w:r w:rsidR="00A620A4" w:rsidRPr="00B75B77">
              <w:rPr>
                <w:rFonts w:ascii="Calibri" w:eastAsia="Times New Roman" w:hAnsi="Calibri"/>
                <w:b/>
                <w:bCs/>
                <w:color w:val="FFFFFF"/>
                <w:sz w:val="18"/>
                <w:szCs w:val="18"/>
              </w:rPr>
              <w:t>Confidence Interval</w:t>
            </w:r>
          </w:p>
        </w:tc>
      </w:tr>
      <w:tr w:rsidR="00A63401" w:rsidRPr="00B75B77" w:rsidTr="00A63401">
        <w:trPr>
          <w:divId w:val="58484100"/>
          <w:trHeight w:val="288"/>
        </w:trPr>
        <w:tc>
          <w:tcPr>
            <w:tcW w:w="1885" w:type="dxa"/>
            <w:vMerge/>
            <w:tcBorders>
              <w:top w:val="single" w:sz="4" w:space="0" w:color="auto"/>
              <w:left w:val="single" w:sz="4" w:space="0" w:color="auto"/>
              <w:bottom w:val="single" w:sz="4" w:space="0" w:color="auto"/>
              <w:right w:val="single" w:sz="4" w:space="0" w:color="auto"/>
            </w:tcBorders>
            <w:vAlign w:val="center"/>
            <w:hideMark/>
          </w:tcPr>
          <w:p w:rsidR="00A63401" w:rsidRPr="00B75B77" w:rsidRDefault="00A63401" w:rsidP="00A63401">
            <w:pPr>
              <w:jc w:val="left"/>
              <w:rPr>
                <w:rFonts w:ascii="Calibri" w:eastAsia="Times New Roman" w:hAnsi="Calibri"/>
                <w:b/>
                <w:bCs/>
                <w:color w:val="FFFFFF"/>
                <w:sz w:val="18"/>
                <w:szCs w:val="18"/>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A63401" w:rsidRPr="00B75B77" w:rsidRDefault="00A63401" w:rsidP="00A63401">
            <w:pPr>
              <w:jc w:val="left"/>
              <w:rPr>
                <w:rFonts w:ascii="Calibri" w:eastAsia="Times New Roman" w:hAnsi="Calibri"/>
                <w:b/>
                <w:bCs/>
                <w:color w:val="FFFFFF"/>
                <w:sz w:val="18"/>
                <w:szCs w:val="18"/>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A63401" w:rsidRPr="00B75B77" w:rsidRDefault="00A63401" w:rsidP="00A63401">
            <w:pPr>
              <w:jc w:val="left"/>
              <w:rPr>
                <w:rFonts w:ascii="Calibri" w:eastAsia="Times New Roman" w:hAnsi="Calibri"/>
                <w:b/>
                <w:bCs/>
                <w:color w:val="FFFFFF"/>
                <w:sz w:val="18"/>
                <w:szCs w:val="18"/>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A63401" w:rsidRPr="00B75B77" w:rsidRDefault="00A63401" w:rsidP="00A63401">
            <w:pPr>
              <w:jc w:val="left"/>
              <w:rPr>
                <w:rFonts w:ascii="Calibri" w:eastAsia="Times New Roman" w:hAnsi="Calibri"/>
                <w:b/>
                <w:bCs/>
                <w:color w:val="FFFFFF"/>
                <w:sz w:val="18"/>
                <w:szCs w:val="18"/>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rsidR="00A63401" w:rsidRPr="00B75B77" w:rsidRDefault="00A63401" w:rsidP="00A63401">
            <w:pPr>
              <w:jc w:val="left"/>
              <w:rPr>
                <w:rFonts w:ascii="Calibri" w:eastAsia="Times New Roman" w:hAnsi="Calibri"/>
                <w:b/>
                <w:bCs/>
                <w:color w:val="FFFFFF"/>
                <w:sz w:val="18"/>
                <w:szCs w:val="18"/>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A63401" w:rsidRPr="00B75B77" w:rsidRDefault="00A63401" w:rsidP="00A63401">
            <w:pPr>
              <w:jc w:val="left"/>
              <w:rPr>
                <w:rFonts w:ascii="Calibri" w:eastAsia="Times New Roman" w:hAnsi="Calibri"/>
                <w:b/>
                <w:bCs/>
                <w:color w:val="FFFFFF"/>
                <w:sz w:val="18"/>
                <w:szCs w:val="18"/>
              </w:rPr>
            </w:pPr>
          </w:p>
        </w:tc>
      </w:tr>
      <w:tr w:rsidR="00A63401" w:rsidRPr="00B75B77" w:rsidTr="00A63401">
        <w:trPr>
          <w:divId w:val="58484100"/>
          <w:trHeight w:val="300"/>
        </w:trPr>
        <w:tc>
          <w:tcPr>
            <w:tcW w:w="1885" w:type="dxa"/>
            <w:vMerge/>
            <w:tcBorders>
              <w:top w:val="single" w:sz="4" w:space="0" w:color="auto"/>
              <w:left w:val="single" w:sz="4" w:space="0" w:color="auto"/>
              <w:bottom w:val="single" w:sz="4" w:space="0" w:color="auto"/>
              <w:right w:val="single" w:sz="4" w:space="0" w:color="auto"/>
            </w:tcBorders>
            <w:vAlign w:val="center"/>
            <w:hideMark/>
          </w:tcPr>
          <w:p w:rsidR="00A63401" w:rsidRPr="00B75B77" w:rsidRDefault="00A63401" w:rsidP="00A63401">
            <w:pPr>
              <w:jc w:val="left"/>
              <w:rPr>
                <w:rFonts w:ascii="Calibri" w:eastAsia="Times New Roman" w:hAnsi="Calibri"/>
                <w:b/>
                <w:bCs/>
                <w:color w:val="FFFFFF"/>
                <w:sz w:val="18"/>
                <w:szCs w:val="18"/>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A63401" w:rsidRPr="00B75B77" w:rsidRDefault="00A63401" w:rsidP="00A63401">
            <w:pPr>
              <w:jc w:val="left"/>
              <w:rPr>
                <w:rFonts w:ascii="Calibri" w:eastAsia="Times New Roman" w:hAnsi="Calibri"/>
                <w:b/>
                <w:bCs/>
                <w:color w:val="FFFFFF"/>
                <w:sz w:val="18"/>
                <w:szCs w:val="18"/>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A63401" w:rsidRPr="00B75B77" w:rsidRDefault="00A63401" w:rsidP="00A63401">
            <w:pPr>
              <w:jc w:val="left"/>
              <w:rPr>
                <w:rFonts w:ascii="Calibri" w:eastAsia="Times New Roman" w:hAnsi="Calibri"/>
                <w:b/>
                <w:bCs/>
                <w:color w:val="FFFFFF"/>
                <w:sz w:val="18"/>
                <w:szCs w:val="18"/>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A63401" w:rsidRPr="00B75B77" w:rsidRDefault="00A63401" w:rsidP="00A63401">
            <w:pPr>
              <w:jc w:val="left"/>
              <w:rPr>
                <w:rFonts w:ascii="Calibri" w:eastAsia="Times New Roman" w:hAnsi="Calibri"/>
                <w:b/>
                <w:bCs/>
                <w:color w:val="FFFFFF"/>
                <w:sz w:val="18"/>
                <w:szCs w:val="18"/>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rsidR="00A63401" w:rsidRPr="00B75B77" w:rsidRDefault="00A63401" w:rsidP="00A63401">
            <w:pPr>
              <w:jc w:val="left"/>
              <w:rPr>
                <w:rFonts w:ascii="Calibri" w:eastAsia="Times New Roman" w:hAnsi="Calibri"/>
                <w:b/>
                <w:bCs/>
                <w:color w:val="FFFFFF"/>
                <w:sz w:val="18"/>
                <w:szCs w:val="18"/>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A63401" w:rsidRPr="00B75B77" w:rsidRDefault="00A63401" w:rsidP="00A63401">
            <w:pPr>
              <w:jc w:val="left"/>
              <w:rPr>
                <w:rFonts w:ascii="Calibri" w:eastAsia="Times New Roman" w:hAnsi="Calibri"/>
                <w:b/>
                <w:bCs/>
                <w:color w:val="FFFFFF"/>
                <w:sz w:val="18"/>
                <w:szCs w:val="18"/>
              </w:rPr>
            </w:pPr>
          </w:p>
        </w:tc>
      </w:tr>
      <w:tr w:rsidR="00A63401" w:rsidRPr="00B75B77" w:rsidTr="00A63401">
        <w:trPr>
          <w:divId w:val="58484100"/>
          <w:trHeight w:val="300"/>
        </w:trPr>
        <w:tc>
          <w:tcPr>
            <w:tcW w:w="1885" w:type="dxa"/>
            <w:tcBorders>
              <w:top w:val="nil"/>
              <w:left w:val="single" w:sz="4" w:space="0" w:color="448A99"/>
              <w:bottom w:val="single" w:sz="4" w:space="0" w:color="448A99"/>
              <w:right w:val="single" w:sz="4" w:space="0" w:color="448A99"/>
            </w:tcBorders>
            <w:shd w:val="clear" w:color="000000" w:fill="D2EAF1"/>
            <w:vAlign w:val="center"/>
            <w:hideMark/>
          </w:tcPr>
          <w:p w:rsidR="00A63401" w:rsidRPr="00B75B77" w:rsidRDefault="00A63401" w:rsidP="00A63401">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All</w:t>
            </w:r>
          </w:p>
        </w:tc>
        <w:tc>
          <w:tcPr>
            <w:tcW w:w="1350" w:type="dxa"/>
            <w:tcBorders>
              <w:top w:val="nil"/>
              <w:left w:val="nil"/>
              <w:bottom w:val="single" w:sz="4" w:space="0" w:color="448A99"/>
              <w:right w:val="single" w:sz="4" w:space="0" w:color="448A99"/>
            </w:tcBorders>
            <w:shd w:val="clear" w:color="000000" w:fill="D2EAF1"/>
            <w:vAlign w:val="center"/>
            <w:hideMark/>
          </w:tcPr>
          <w:p w:rsidR="00A63401" w:rsidRPr="00B75B77" w:rsidRDefault="00A63401" w:rsidP="00A63401">
            <w:pPr>
              <w:jc w:val="center"/>
              <w:rPr>
                <w:rFonts w:ascii="Calibri" w:eastAsia="Times New Roman" w:hAnsi="Calibri"/>
                <w:color w:val="000000"/>
                <w:sz w:val="18"/>
                <w:szCs w:val="18"/>
              </w:rPr>
            </w:pPr>
            <w:r w:rsidRPr="00B75B77">
              <w:rPr>
                <w:rFonts w:ascii="Calibri" w:eastAsia="Times New Roman" w:hAnsi="Calibri"/>
                <w:color w:val="000000"/>
                <w:sz w:val="18"/>
                <w:szCs w:val="18"/>
              </w:rPr>
              <w:t>4.5</w:t>
            </w:r>
          </w:p>
        </w:tc>
        <w:tc>
          <w:tcPr>
            <w:tcW w:w="1260" w:type="dxa"/>
            <w:tcBorders>
              <w:top w:val="nil"/>
              <w:left w:val="nil"/>
              <w:bottom w:val="single" w:sz="4" w:space="0" w:color="448A99"/>
              <w:right w:val="single" w:sz="4" w:space="0" w:color="448A99"/>
            </w:tcBorders>
            <w:shd w:val="clear" w:color="000000" w:fill="D2EAF1"/>
            <w:vAlign w:val="center"/>
            <w:hideMark/>
          </w:tcPr>
          <w:p w:rsidR="00A63401" w:rsidRPr="00B75B77" w:rsidRDefault="00A63401" w:rsidP="00A63401">
            <w:pPr>
              <w:jc w:val="center"/>
              <w:rPr>
                <w:rFonts w:ascii="Calibri" w:eastAsia="Times New Roman" w:hAnsi="Calibri"/>
                <w:color w:val="000000"/>
                <w:sz w:val="18"/>
                <w:szCs w:val="18"/>
              </w:rPr>
            </w:pPr>
            <w:r w:rsidRPr="00B75B77">
              <w:rPr>
                <w:rFonts w:ascii="Calibri" w:eastAsia="Times New Roman" w:hAnsi="Calibri"/>
                <w:color w:val="000000"/>
                <w:sz w:val="18"/>
                <w:szCs w:val="18"/>
              </w:rPr>
              <w:t>0.86</w:t>
            </w:r>
          </w:p>
        </w:tc>
        <w:tc>
          <w:tcPr>
            <w:tcW w:w="1530" w:type="dxa"/>
            <w:tcBorders>
              <w:top w:val="nil"/>
              <w:left w:val="nil"/>
              <w:bottom w:val="single" w:sz="4" w:space="0" w:color="448A99"/>
              <w:right w:val="single" w:sz="4" w:space="0" w:color="448A99"/>
            </w:tcBorders>
            <w:shd w:val="clear" w:color="000000" w:fill="D2EAF1"/>
            <w:vAlign w:val="center"/>
            <w:hideMark/>
          </w:tcPr>
          <w:p w:rsidR="00A63401" w:rsidRPr="00B75B77" w:rsidRDefault="00A63401" w:rsidP="00A63401">
            <w:pPr>
              <w:jc w:val="center"/>
              <w:rPr>
                <w:rFonts w:ascii="Calibri" w:eastAsia="Times New Roman" w:hAnsi="Calibri"/>
                <w:color w:val="000000"/>
                <w:sz w:val="18"/>
                <w:szCs w:val="18"/>
              </w:rPr>
            </w:pPr>
            <w:r w:rsidRPr="00B75B77">
              <w:rPr>
                <w:rFonts w:ascii="Calibri" w:eastAsia="Times New Roman" w:hAnsi="Calibri"/>
                <w:color w:val="000000"/>
                <w:sz w:val="18"/>
                <w:szCs w:val="18"/>
              </w:rPr>
              <w:t>3.9</w:t>
            </w:r>
          </w:p>
        </w:tc>
        <w:tc>
          <w:tcPr>
            <w:tcW w:w="1890" w:type="dxa"/>
            <w:tcBorders>
              <w:top w:val="nil"/>
              <w:left w:val="nil"/>
              <w:bottom w:val="single" w:sz="4" w:space="0" w:color="448A99"/>
              <w:right w:val="single" w:sz="4" w:space="0" w:color="448A99"/>
            </w:tcBorders>
            <w:shd w:val="clear" w:color="000000" w:fill="D2EAF1"/>
            <w:vAlign w:val="center"/>
            <w:hideMark/>
          </w:tcPr>
          <w:p w:rsidR="00A63401" w:rsidRPr="00B75B77" w:rsidRDefault="00A63401" w:rsidP="00A63401">
            <w:pPr>
              <w:jc w:val="center"/>
              <w:rPr>
                <w:rFonts w:ascii="Calibri" w:eastAsia="Times New Roman" w:hAnsi="Calibri"/>
                <w:color w:val="000000"/>
                <w:sz w:val="18"/>
                <w:szCs w:val="18"/>
              </w:rPr>
            </w:pPr>
            <w:r w:rsidRPr="00B75B77">
              <w:rPr>
                <w:rFonts w:ascii="Calibri" w:eastAsia="Times New Roman" w:hAnsi="Calibri"/>
                <w:color w:val="000000"/>
                <w:sz w:val="18"/>
                <w:szCs w:val="18"/>
              </w:rPr>
              <w:t>0.26</w:t>
            </w:r>
          </w:p>
        </w:tc>
        <w:tc>
          <w:tcPr>
            <w:tcW w:w="1350" w:type="dxa"/>
            <w:tcBorders>
              <w:top w:val="nil"/>
              <w:left w:val="nil"/>
              <w:bottom w:val="single" w:sz="4" w:space="0" w:color="448A99"/>
              <w:right w:val="single" w:sz="4" w:space="0" w:color="448A99"/>
            </w:tcBorders>
            <w:shd w:val="clear" w:color="000000" w:fill="D2EAF1"/>
            <w:vAlign w:val="center"/>
            <w:hideMark/>
          </w:tcPr>
          <w:p w:rsidR="00A63401" w:rsidRPr="00B75B77" w:rsidRDefault="00A63401" w:rsidP="00A63401">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A63401" w:rsidRPr="00B75B77" w:rsidTr="00A63401">
        <w:trPr>
          <w:divId w:val="58484100"/>
          <w:trHeight w:val="288"/>
        </w:trPr>
        <w:tc>
          <w:tcPr>
            <w:tcW w:w="1885" w:type="dxa"/>
            <w:tcBorders>
              <w:top w:val="nil"/>
              <w:left w:val="single" w:sz="4" w:space="0" w:color="448A99"/>
              <w:bottom w:val="single" w:sz="4" w:space="0" w:color="448A99"/>
              <w:right w:val="single" w:sz="4" w:space="0" w:color="448A99"/>
            </w:tcBorders>
            <w:shd w:val="clear" w:color="000000" w:fill="FFFFFF"/>
            <w:vAlign w:val="center"/>
            <w:hideMark/>
          </w:tcPr>
          <w:p w:rsidR="00A63401" w:rsidRPr="00B75B77" w:rsidRDefault="00A620A4" w:rsidP="00A63401">
            <w:pPr>
              <w:jc w:val="left"/>
              <w:rPr>
                <w:rFonts w:ascii="Calibri" w:eastAsia="Times New Roman" w:hAnsi="Calibri"/>
                <w:b/>
                <w:color w:val="000000"/>
                <w:sz w:val="18"/>
                <w:szCs w:val="18"/>
              </w:rPr>
            </w:pPr>
            <w:r w:rsidRPr="00B75B77">
              <w:rPr>
                <w:rFonts w:ascii="Calibri" w:eastAsia="Times New Roman" w:hAnsi="Calibri"/>
                <w:b/>
                <w:color w:val="000000"/>
                <w:sz w:val="18"/>
                <w:szCs w:val="18"/>
              </w:rPr>
              <w:t>PROGRAM TOTAL</w:t>
            </w:r>
          </w:p>
        </w:tc>
        <w:tc>
          <w:tcPr>
            <w:tcW w:w="1350" w:type="dxa"/>
            <w:tcBorders>
              <w:top w:val="nil"/>
              <w:left w:val="nil"/>
              <w:bottom w:val="single" w:sz="4" w:space="0" w:color="448A99"/>
              <w:right w:val="single" w:sz="4" w:space="0" w:color="448A99"/>
            </w:tcBorders>
            <w:shd w:val="clear" w:color="000000" w:fill="FFFFFF"/>
            <w:vAlign w:val="center"/>
            <w:hideMark/>
          </w:tcPr>
          <w:p w:rsidR="00A63401" w:rsidRPr="00B75B77" w:rsidRDefault="00A63401" w:rsidP="00A63401">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4.5</w:t>
            </w:r>
          </w:p>
        </w:tc>
        <w:tc>
          <w:tcPr>
            <w:tcW w:w="1260" w:type="dxa"/>
            <w:tcBorders>
              <w:top w:val="nil"/>
              <w:left w:val="nil"/>
              <w:bottom w:val="single" w:sz="4" w:space="0" w:color="448A99"/>
              <w:right w:val="single" w:sz="4" w:space="0" w:color="448A99"/>
            </w:tcBorders>
            <w:shd w:val="clear" w:color="000000" w:fill="FFFFFF"/>
            <w:vAlign w:val="center"/>
            <w:hideMark/>
          </w:tcPr>
          <w:p w:rsidR="00A63401" w:rsidRPr="00B75B77" w:rsidRDefault="00A63401" w:rsidP="00A63401">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0.86</w:t>
            </w:r>
          </w:p>
        </w:tc>
        <w:tc>
          <w:tcPr>
            <w:tcW w:w="1530" w:type="dxa"/>
            <w:tcBorders>
              <w:top w:val="nil"/>
              <w:left w:val="nil"/>
              <w:bottom w:val="single" w:sz="4" w:space="0" w:color="448A99"/>
              <w:right w:val="single" w:sz="4" w:space="0" w:color="448A99"/>
            </w:tcBorders>
            <w:shd w:val="clear" w:color="000000" w:fill="FFFFFF"/>
            <w:vAlign w:val="center"/>
            <w:hideMark/>
          </w:tcPr>
          <w:p w:rsidR="00A63401" w:rsidRPr="00B75B77" w:rsidRDefault="00A63401" w:rsidP="00A63401">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3.9</w:t>
            </w:r>
          </w:p>
        </w:tc>
        <w:tc>
          <w:tcPr>
            <w:tcW w:w="1890" w:type="dxa"/>
            <w:tcBorders>
              <w:top w:val="nil"/>
              <w:left w:val="nil"/>
              <w:bottom w:val="single" w:sz="4" w:space="0" w:color="448A99"/>
              <w:right w:val="single" w:sz="4" w:space="0" w:color="448A99"/>
            </w:tcBorders>
            <w:shd w:val="clear" w:color="000000" w:fill="FFFFFF"/>
            <w:vAlign w:val="center"/>
            <w:hideMark/>
          </w:tcPr>
          <w:p w:rsidR="00A63401" w:rsidRPr="00B75B77" w:rsidRDefault="00A63401" w:rsidP="00A63401">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N/A</w:t>
            </w:r>
          </w:p>
        </w:tc>
        <w:tc>
          <w:tcPr>
            <w:tcW w:w="1350" w:type="dxa"/>
            <w:tcBorders>
              <w:top w:val="nil"/>
              <w:left w:val="nil"/>
              <w:bottom w:val="single" w:sz="4" w:space="0" w:color="448A99"/>
              <w:right w:val="single" w:sz="4" w:space="0" w:color="448A99"/>
            </w:tcBorders>
            <w:shd w:val="clear" w:color="000000" w:fill="FFFFFF"/>
            <w:vAlign w:val="center"/>
            <w:hideMark/>
          </w:tcPr>
          <w:p w:rsidR="00A63401" w:rsidRPr="00B75B77" w:rsidRDefault="00A63401" w:rsidP="00A63401">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0%</w:t>
            </w:r>
          </w:p>
        </w:tc>
      </w:tr>
    </w:tbl>
    <w:p w:rsidR="00A63401" w:rsidRPr="00B75B77" w:rsidRDefault="00A63401" w:rsidP="00A63401">
      <w:pPr>
        <w:pStyle w:val="Source"/>
        <w:keepNext/>
        <w:spacing w:before="20" w:after="20"/>
        <w:ind w:left="0" w:firstLine="0"/>
        <w:rPr>
          <w:rFonts w:ascii="Calibri" w:hAnsi="Calibri"/>
          <w:i w:val="0"/>
          <w:color w:val="000000"/>
          <w:szCs w:val="18"/>
        </w:rPr>
      </w:pPr>
      <w:r w:rsidRPr="00B75B77">
        <w:rPr>
          <w:rFonts w:ascii="Calibri" w:hAnsi="Calibri"/>
          <w:i w:val="0"/>
          <w:color w:val="000000"/>
          <w:szCs w:val="18"/>
          <w:vertAlign w:val="superscript"/>
        </w:rPr>
        <w:t>[1]</w:t>
      </w:r>
      <w:r w:rsidRPr="00B75B77">
        <w:rPr>
          <w:rFonts w:ascii="Calibri" w:hAnsi="Calibri"/>
          <w:i w:val="0"/>
          <w:color w:val="000000"/>
          <w:szCs w:val="18"/>
        </w:rPr>
        <w:t xml:space="preserve"> All reported and verified demand savings in this report include line losses as required.</w:t>
      </w:r>
    </w:p>
    <w:p w:rsidR="00A63401" w:rsidRPr="00B75B77" w:rsidRDefault="00A63401" w:rsidP="00A63401">
      <w:pPr>
        <w:pStyle w:val="Source"/>
        <w:keepNext/>
        <w:spacing w:before="20" w:after="20"/>
        <w:ind w:left="0" w:firstLine="0"/>
        <w:rPr>
          <w:i w:val="0"/>
        </w:rPr>
      </w:pPr>
      <w:r w:rsidRPr="00B75B77">
        <w:rPr>
          <w:rFonts w:ascii="Calibri" w:hAnsi="Calibri"/>
          <w:i w:val="0"/>
          <w:iCs/>
          <w:color w:val="000000"/>
          <w:szCs w:val="18"/>
        </w:rPr>
        <w:t>Note: Values in tables may not reconcile exactly with the sum of more detailed level results or previously reported results due to rounding.</w:t>
      </w:r>
    </w:p>
    <w:p w:rsidR="00A63401" w:rsidRPr="00B75B77" w:rsidRDefault="00A63401" w:rsidP="00A63401">
      <w:pPr>
        <w:pStyle w:val="Source"/>
        <w:keepNext/>
        <w:ind w:left="0" w:firstLine="0"/>
      </w:pPr>
      <w:r w:rsidRPr="00B75B77">
        <w:t xml:space="preserve">Source: Navigant analysis </w:t>
      </w:r>
    </w:p>
    <w:p w:rsidR="00A63401" w:rsidRPr="00B75B77" w:rsidRDefault="00A63401" w:rsidP="00220859">
      <w:r w:rsidRPr="00B75B77">
        <w:t xml:space="preserve">The onsite M&amp;V activities for PY7 are summarized in </w:t>
      </w:r>
      <w:r w:rsidRPr="00B75B77">
        <w:fldChar w:fldCharType="begin"/>
      </w:r>
      <w:r w:rsidRPr="00B75B77">
        <w:instrText xml:space="preserve"> REF _Ref463270476 \h  \* MERGEFORMAT </w:instrText>
      </w:r>
      <w:r w:rsidRPr="00B75B77">
        <w:fldChar w:fldCharType="separate"/>
      </w:r>
      <w:r w:rsidR="0004016D" w:rsidRPr="00B75B77">
        <w:t xml:space="preserve">Table </w:t>
      </w:r>
      <w:r w:rsidR="0004016D">
        <w:rPr>
          <w:noProof/>
        </w:rPr>
        <w:t>15</w:t>
      </w:r>
      <w:r w:rsidR="0004016D" w:rsidRPr="00B75B77">
        <w:rPr>
          <w:noProof/>
        </w:rPr>
        <w:noBreakHyphen/>
      </w:r>
      <w:r w:rsidR="0004016D">
        <w:rPr>
          <w:noProof/>
        </w:rPr>
        <w:t>5</w:t>
      </w:r>
      <w:r w:rsidRPr="00B75B77">
        <w:fldChar w:fldCharType="end"/>
      </w:r>
      <w:r w:rsidRPr="00B75B77">
        <w:t xml:space="preserve">. Navigant found all of the rebated equipment installed and did not note any discrepancies.  </w:t>
      </w:r>
    </w:p>
    <w:p w:rsidR="00A63401" w:rsidRPr="00B75B77" w:rsidRDefault="00A63401" w:rsidP="00220859"/>
    <w:p w:rsidR="00A63401" w:rsidRPr="00B75B77" w:rsidRDefault="00A63401" w:rsidP="00A63401"/>
    <w:p w:rsidR="00A63401" w:rsidRPr="00B75B77" w:rsidRDefault="00A63401" w:rsidP="00A63401">
      <w:pPr>
        <w:pStyle w:val="Caption"/>
      </w:pPr>
      <w:bookmarkStart w:id="921" w:name="_Ref463270476"/>
      <w:bookmarkStart w:id="922" w:name="_Toc466413641"/>
      <w:r w:rsidRPr="00B75B77">
        <w:t xml:space="preserve">Table </w:t>
      </w:r>
      <w:fldSimple w:instr=" STYLEREF 1 \s ">
        <w:r w:rsidR="0004016D">
          <w:rPr>
            <w:noProof/>
          </w:rPr>
          <w:t>15</w:t>
        </w:r>
      </w:fldSimple>
      <w:r w:rsidR="00F1144C" w:rsidRPr="00B75B77">
        <w:noBreakHyphen/>
      </w:r>
      <w:fldSimple w:instr=" SEQ Table \* ARABIC \s 1 ">
        <w:r w:rsidR="0004016D">
          <w:rPr>
            <w:noProof/>
          </w:rPr>
          <w:t>5</w:t>
        </w:r>
      </w:fldSimple>
      <w:bookmarkEnd w:id="921"/>
      <w:r w:rsidR="00810ADF" w:rsidRPr="00B75B77">
        <w:t>:</w:t>
      </w:r>
      <w:r w:rsidRPr="00B75B77">
        <w:t xml:space="preserve"> PY7 Smart On-Site: On</w:t>
      </w:r>
      <w:r w:rsidR="00AF5657" w:rsidRPr="00B75B77">
        <w:t>s</w:t>
      </w:r>
      <w:r w:rsidRPr="00B75B77">
        <w:t>ite Inspections Summary</w:t>
      </w:r>
      <w:bookmarkEnd w:id="922"/>
      <w:r w:rsidRPr="00B75B77">
        <w:t xml:space="preserve"> </w:t>
      </w:r>
    </w:p>
    <w:tbl>
      <w:tblPr>
        <w:tblStyle w:val="MediumShading1-Accent5"/>
        <w:tblW w:w="8612" w:type="dxa"/>
        <w:jc w:val="center"/>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32"/>
        <w:gridCol w:w="1530"/>
        <w:gridCol w:w="1440"/>
        <w:gridCol w:w="1302"/>
        <w:gridCol w:w="1648"/>
        <w:gridCol w:w="1260"/>
      </w:tblGrid>
      <w:tr w:rsidR="00A63401" w:rsidRPr="00B75B77" w:rsidTr="001C1F2F">
        <w:trPr>
          <w:cnfStyle w:val="100000000000" w:firstRow="1" w:lastRow="0" w:firstColumn="0" w:lastColumn="0" w:oddVBand="0" w:evenVBand="0" w:oddHBand="0" w:evenHBand="0" w:firstRowFirstColumn="0" w:firstRowLastColumn="0" w:lastRowFirstColumn="0" w:lastRowLastColumn="0"/>
          <w:trHeight w:val="723"/>
          <w:jc w:val="center"/>
        </w:trPr>
        <w:tc>
          <w:tcPr>
            <w:cnfStyle w:val="001000000000" w:firstRow="0" w:lastRow="0" w:firstColumn="1" w:lastColumn="0" w:oddVBand="0" w:evenVBand="0" w:oddHBand="0" w:evenHBand="0" w:firstRowFirstColumn="0" w:firstRowLastColumn="0" w:lastRowFirstColumn="0" w:lastRowLastColumn="0"/>
            <w:tcW w:w="1432" w:type="dxa"/>
            <w:tcBorders>
              <w:top w:val="none" w:sz="0" w:space="0" w:color="auto"/>
              <w:left w:val="none" w:sz="0" w:space="0" w:color="auto"/>
              <w:bottom w:val="none" w:sz="0" w:space="0" w:color="auto"/>
              <w:right w:val="none" w:sz="0" w:space="0" w:color="auto"/>
            </w:tcBorders>
            <w:shd w:val="clear" w:color="auto" w:fill="448A99"/>
            <w:vAlign w:val="center"/>
            <w:hideMark/>
          </w:tcPr>
          <w:p w:rsidR="00A63401" w:rsidRPr="00B75B77" w:rsidRDefault="00A63401" w:rsidP="00A63401">
            <w:pPr>
              <w:jc w:val="left"/>
              <w:rPr>
                <w:rFonts w:ascii="Calibri" w:eastAsia="Times New Roman" w:hAnsi="Calibri"/>
                <w:bCs w:val="0"/>
                <w:sz w:val="18"/>
                <w:szCs w:val="18"/>
              </w:rPr>
            </w:pPr>
            <w:r w:rsidRPr="00B75B77">
              <w:rPr>
                <w:rFonts w:ascii="Calibri" w:eastAsia="Times New Roman" w:hAnsi="Calibri"/>
                <w:bCs w:val="0"/>
                <w:sz w:val="18"/>
                <w:szCs w:val="18"/>
              </w:rPr>
              <w:t>Measure</w:t>
            </w:r>
          </w:p>
        </w:tc>
        <w:tc>
          <w:tcPr>
            <w:tcW w:w="1530" w:type="dxa"/>
            <w:tcBorders>
              <w:top w:val="none" w:sz="0" w:space="0" w:color="auto"/>
              <w:left w:val="none" w:sz="0" w:space="0" w:color="auto"/>
              <w:bottom w:val="none" w:sz="0" w:space="0" w:color="auto"/>
              <w:right w:val="none" w:sz="0" w:space="0" w:color="auto"/>
            </w:tcBorders>
            <w:shd w:val="clear" w:color="auto" w:fill="448A99"/>
            <w:vAlign w:val="center"/>
            <w:hideMark/>
          </w:tcPr>
          <w:p w:rsidR="00A63401" w:rsidRPr="00B75B77" w:rsidRDefault="00A63401" w:rsidP="00A6340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Inspection Firm</w:t>
            </w:r>
          </w:p>
        </w:tc>
        <w:tc>
          <w:tcPr>
            <w:tcW w:w="1440" w:type="dxa"/>
            <w:tcBorders>
              <w:top w:val="none" w:sz="0" w:space="0" w:color="auto"/>
              <w:left w:val="none" w:sz="0" w:space="0" w:color="auto"/>
              <w:bottom w:val="none" w:sz="0" w:space="0" w:color="auto"/>
              <w:right w:val="none" w:sz="0" w:space="0" w:color="auto"/>
            </w:tcBorders>
            <w:shd w:val="clear" w:color="auto" w:fill="448A99"/>
            <w:vAlign w:val="center"/>
          </w:tcPr>
          <w:p w:rsidR="00A63401" w:rsidRPr="00B75B77" w:rsidRDefault="00A63401" w:rsidP="00A6340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Number of Inspections Planned</w:t>
            </w:r>
          </w:p>
        </w:tc>
        <w:tc>
          <w:tcPr>
            <w:tcW w:w="1302" w:type="dxa"/>
            <w:tcBorders>
              <w:top w:val="none" w:sz="0" w:space="0" w:color="auto"/>
              <w:left w:val="none" w:sz="0" w:space="0" w:color="auto"/>
              <w:bottom w:val="none" w:sz="0" w:space="0" w:color="auto"/>
              <w:right w:val="none" w:sz="0" w:space="0" w:color="auto"/>
            </w:tcBorders>
            <w:shd w:val="clear" w:color="auto" w:fill="448A99"/>
            <w:vAlign w:val="center"/>
            <w:hideMark/>
          </w:tcPr>
          <w:p w:rsidR="00A63401" w:rsidRPr="00B75B77" w:rsidRDefault="00A63401" w:rsidP="00A6340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Number of Inspections Conducted</w:t>
            </w:r>
          </w:p>
        </w:tc>
        <w:tc>
          <w:tcPr>
            <w:tcW w:w="1648" w:type="dxa"/>
            <w:tcBorders>
              <w:top w:val="none" w:sz="0" w:space="0" w:color="auto"/>
              <w:left w:val="none" w:sz="0" w:space="0" w:color="auto"/>
              <w:bottom w:val="none" w:sz="0" w:space="0" w:color="auto"/>
              <w:right w:val="none" w:sz="0" w:space="0" w:color="auto"/>
            </w:tcBorders>
            <w:shd w:val="clear" w:color="auto" w:fill="448A99"/>
            <w:vAlign w:val="center"/>
          </w:tcPr>
          <w:p w:rsidR="00A63401" w:rsidRPr="00B75B77" w:rsidRDefault="00A63401" w:rsidP="00A6340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Number of Sites with Discrepancies from Reports</w:t>
            </w:r>
          </w:p>
        </w:tc>
        <w:tc>
          <w:tcPr>
            <w:tcW w:w="1260" w:type="dxa"/>
            <w:tcBorders>
              <w:top w:val="none" w:sz="0" w:space="0" w:color="auto"/>
              <w:left w:val="none" w:sz="0" w:space="0" w:color="auto"/>
              <w:bottom w:val="none" w:sz="0" w:space="0" w:color="auto"/>
              <w:right w:val="none" w:sz="0" w:space="0" w:color="auto"/>
            </w:tcBorders>
            <w:shd w:val="clear" w:color="auto" w:fill="448A99"/>
            <w:vAlign w:val="center"/>
            <w:hideMark/>
          </w:tcPr>
          <w:p w:rsidR="00A63401" w:rsidRPr="00B75B77" w:rsidRDefault="00A63401" w:rsidP="00A620A4">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Resolution of Discrepancies</w:t>
            </w:r>
          </w:p>
        </w:tc>
      </w:tr>
      <w:tr w:rsidR="00A63401" w:rsidRPr="00B75B77" w:rsidTr="001C1F2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32" w:type="dxa"/>
            <w:tcBorders>
              <w:right w:val="none" w:sz="0" w:space="0" w:color="auto"/>
            </w:tcBorders>
            <w:shd w:val="clear" w:color="auto" w:fill="auto"/>
            <w:vAlign w:val="center"/>
            <w:hideMark/>
          </w:tcPr>
          <w:p w:rsidR="00A63401" w:rsidRPr="00B75B77" w:rsidRDefault="00A63401" w:rsidP="00A63401">
            <w:pPr>
              <w:jc w:val="left"/>
              <w:rPr>
                <w:rFonts w:ascii="Calibri" w:eastAsia="Times New Roman" w:hAnsi="Calibri"/>
                <w:b w:val="0"/>
                <w:color w:val="000000"/>
                <w:sz w:val="18"/>
                <w:szCs w:val="18"/>
              </w:rPr>
            </w:pPr>
            <w:r w:rsidRPr="00B75B77">
              <w:rPr>
                <w:rFonts w:ascii="Calibri" w:eastAsia="Times New Roman" w:hAnsi="Calibri"/>
                <w:b w:val="0"/>
                <w:color w:val="000000"/>
                <w:sz w:val="18"/>
                <w:szCs w:val="18"/>
              </w:rPr>
              <w:t>CHP</w:t>
            </w:r>
          </w:p>
        </w:tc>
        <w:tc>
          <w:tcPr>
            <w:tcW w:w="1530" w:type="dxa"/>
            <w:tcBorders>
              <w:left w:val="none" w:sz="0" w:space="0" w:color="auto"/>
              <w:right w:val="none" w:sz="0" w:space="0" w:color="auto"/>
            </w:tcBorders>
            <w:shd w:val="clear" w:color="auto" w:fill="auto"/>
            <w:vAlign w:val="center"/>
            <w:hideMark/>
          </w:tcPr>
          <w:p w:rsidR="00A63401" w:rsidRPr="00B75B77" w:rsidRDefault="00A63401" w:rsidP="00A6340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Navigant</w:t>
            </w:r>
          </w:p>
        </w:tc>
        <w:tc>
          <w:tcPr>
            <w:tcW w:w="1440" w:type="dxa"/>
            <w:tcBorders>
              <w:left w:val="none" w:sz="0" w:space="0" w:color="auto"/>
              <w:right w:val="none" w:sz="0" w:space="0" w:color="auto"/>
            </w:tcBorders>
            <w:shd w:val="clear" w:color="auto" w:fill="auto"/>
            <w:vAlign w:val="center"/>
          </w:tcPr>
          <w:p w:rsidR="00A63401" w:rsidRPr="00B75B77" w:rsidRDefault="00A63401" w:rsidP="00A6340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6</w:t>
            </w:r>
          </w:p>
        </w:tc>
        <w:tc>
          <w:tcPr>
            <w:tcW w:w="1302" w:type="dxa"/>
            <w:tcBorders>
              <w:left w:val="none" w:sz="0" w:space="0" w:color="auto"/>
              <w:right w:val="none" w:sz="0" w:space="0" w:color="auto"/>
            </w:tcBorders>
            <w:shd w:val="clear" w:color="auto" w:fill="auto"/>
            <w:vAlign w:val="center"/>
            <w:hideMark/>
          </w:tcPr>
          <w:p w:rsidR="00A63401" w:rsidRPr="00B75B77" w:rsidRDefault="00A63401" w:rsidP="00A6340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6</w:t>
            </w:r>
          </w:p>
        </w:tc>
        <w:tc>
          <w:tcPr>
            <w:tcW w:w="1648" w:type="dxa"/>
            <w:tcBorders>
              <w:left w:val="none" w:sz="0" w:space="0" w:color="auto"/>
              <w:right w:val="none" w:sz="0" w:space="0" w:color="auto"/>
            </w:tcBorders>
            <w:shd w:val="clear" w:color="auto" w:fill="auto"/>
            <w:vAlign w:val="center"/>
          </w:tcPr>
          <w:p w:rsidR="00A63401" w:rsidRPr="00B75B77" w:rsidRDefault="00A63401" w:rsidP="00A6340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260" w:type="dxa"/>
            <w:tcBorders>
              <w:left w:val="none" w:sz="0" w:space="0" w:color="auto"/>
            </w:tcBorders>
            <w:shd w:val="clear" w:color="auto" w:fill="auto"/>
            <w:vAlign w:val="center"/>
            <w:hideMark/>
          </w:tcPr>
          <w:p w:rsidR="00A63401" w:rsidRPr="00B75B77" w:rsidRDefault="00A63401" w:rsidP="00A620A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N</w:t>
            </w:r>
            <w:r w:rsidR="00A620A4" w:rsidRPr="00B75B77">
              <w:rPr>
                <w:rFonts w:ascii="Calibri" w:eastAsia="Times New Roman" w:hAnsi="Calibri"/>
                <w:color w:val="000000"/>
                <w:sz w:val="18"/>
                <w:szCs w:val="18"/>
              </w:rPr>
              <w:t>/</w:t>
            </w:r>
            <w:r w:rsidRPr="00B75B77">
              <w:rPr>
                <w:rFonts w:ascii="Calibri" w:eastAsia="Times New Roman" w:hAnsi="Calibri"/>
                <w:color w:val="000000"/>
                <w:sz w:val="18"/>
                <w:szCs w:val="18"/>
              </w:rPr>
              <w:t>A</w:t>
            </w:r>
          </w:p>
        </w:tc>
      </w:tr>
    </w:tbl>
    <w:p w:rsidR="00A63401" w:rsidRPr="00B75B77" w:rsidRDefault="00A63401" w:rsidP="00A620A4">
      <w:pPr>
        <w:pStyle w:val="Source"/>
        <w:ind w:hanging="270"/>
      </w:pPr>
      <w:r w:rsidRPr="00B75B77">
        <w:t>Source: Navigant analysis</w:t>
      </w:r>
    </w:p>
    <w:p w:rsidR="00A63401" w:rsidRPr="00B75B77" w:rsidRDefault="00A63401" w:rsidP="003E6A9B">
      <w:pPr>
        <w:pStyle w:val="Heading2"/>
      </w:pPr>
      <w:bookmarkStart w:id="923" w:name="_Toc466413456"/>
      <w:r w:rsidRPr="00B75B77">
        <w:t>Impact Evaluation Net Savings</w:t>
      </w:r>
      <w:bookmarkEnd w:id="923"/>
      <w:r w:rsidRPr="00B75B77">
        <w:t xml:space="preserve"> </w:t>
      </w:r>
    </w:p>
    <w:p w:rsidR="00A63401" w:rsidRPr="00B75B77" w:rsidRDefault="00A63401" w:rsidP="00A63401">
      <w:pPr>
        <w:jc w:val="left"/>
      </w:pPr>
      <w:r w:rsidRPr="00B75B77">
        <w:t>Navigant conducted a net savings analysis for all participating projects us</w:t>
      </w:r>
      <w:r w:rsidR="00A620A4" w:rsidRPr="00B75B77">
        <w:t>ing</w:t>
      </w:r>
      <w:r w:rsidRPr="00B75B77">
        <w:t xml:space="preserve"> the SWE</w:t>
      </w:r>
      <w:r w:rsidR="001C1F2F" w:rsidRPr="00B75B77">
        <w:t>-</w:t>
      </w:r>
      <w:r w:rsidRPr="00B75B77">
        <w:t xml:space="preserve">approved NTG battery of questions and methodology for interpreting responses. The analysis indicates significant evidence of free ridership in the </w:t>
      </w:r>
      <w:r w:rsidR="001C1F2F" w:rsidRPr="00B75B77">
        <w:t>l</w:t>
      </w:r>
      <w:r w:rsidRPr="00B75B77">
        <w:t xml:space="preserve">arge C&amp;I sector </w:t>
      </w:r>
      <w:r w:rsidR="001C1F2F" w:rsidRPr="00B75B77">
        <w:t xml:space="preserve">(0.4) </w:t>
      </w:r>
      <w:r w:rsidRPr="00B75B77">
        <w:t>and no free ridership in the GNI sector</w:t>
      </w:r>
      <w:r w:rsidR="001C1F2F" w:rsidRPr="00B75B77">
        <w:t xml:space="preserve">. </w:t>
      </w:r>
      <w:r w:rsidRPr="00B75B77">
        <w:t xml:space="preserve">There is no evidence of spillover savings in either sector. </w:t>
      </w:r>
    </w:p>
    <w:p w:rsidR="00A63401" w:rsidRPr="00B75B77" w:rsidRDefault="00A63401" w:rsidP="00A63401"/>
    <w:p w:rsidR="00A63401" w:rsidRPr="00B75B77" w:rsidRDefault="00A63401" w:rsidP="00A63401">
      <w:pPr>
        <w:pStyle w:val="Heading3"/>
      </w:pPr>
      <w:bookmarkStart w:id="924" w:name="_Toc466413457"/>
      <w:r w:rsidRPr="00B75B77">
        <w:t>Net Verified Savings Methodology</w:t>
      </w:r>
      <w:bookmarkEnd w:id="924"/>
      <w:r w:rsidRPr="00B75B77">
        <w:t xml:space="preserve"> </w:t>
      </w:r>
    </w:p>
    <w:p w:rsidR="00A63401" w:rsidRPr="00B75B77" w:rsidRDefault="00A63401" w:rsidP="00A63401">
      <w:pPr>
        <w:spacing w:before="240"/>
      </w:pPr>
      <w:r w:rsidRPr="00B75B77">
        <w:t xml:space="preserve">The SOS program uses the same NTG approach as the SEI program. The </w:t>
      </w:r>
      <w:r w:rsidR="001C1F2F" w:rsidRPr="00B75B77">
        <w:t xml:space="preserve">evaluation team calculated the </w:t>
      </w:r>
      <w:r w:rsidRPr="00B75B77">
        <w:t xml:space="preserve">NTG ratio for each participating sector using </w:t>
      </w:r>
      <w:r w:rsidRPr="00B75B77">
        <w:fldChar w:fldCharType="begin"/>
      </w:r>
      <w:r w:rsidRPr="00B75B77">
        <w:instrText xml:space="preserve"> REF _Ref463272466 \h </w:instrText>
      </w:r>
      <w:r w:rsidR="00B75B77">
        <w:instrText xml:space="preserve"> \* MERGEFORMAT </w:instrText>
      </w:r>
      <w:r w:rsidRPr="00B75B77">
        <w:fldChar w:fldCharType="separate"/>
      </w:r>
      <w:r w:rsidR="0004016D" w:rsidRPr="00B75B77">
        <w:t xml:space="preserve">Equation </w:t>
      </w:r>
      <w:r w:rsidR="0004016D">
        <w:rPr>
          <w:noProof/>
        </w:rPr>
        <w:t>15</w:t>
      </w:r>
      <w:r w:rsidR="0004016D" w:rsidRPr="00B75B77">
        <w:rPr>
          <w:noProof/>
        </w:rPr>
        <w:noBreakHyphen/>
      </w:r>
      <w:r w:rsidR="0004016D">
        <w:rPr>
          <w:noProof/>
        </w:rPr>
        <w:t>1</w:t>
      </w:r>
      <w:r w:rsidRPr="00B75B77">
        <w:fldChar w:fldCharType="end"/>
      </w:r>
      <w:r w:rsidRPr="00B75B77">
        <w:t xml:space="preserve">. </w:t>
      </w:r>
    </w:p>
    <w:p w:rsidR="00A63401" w:rsidRPr="00B75B77" w:rsidRDefault="00A63401" w:rsidP="00A63401"/>
    <w:p w:rsidR="00A63401" w:rsidRPr="00B75B77" w:rsidRDefault="00A63401" w:rsidP="00A63401">
      <w:pPr>
        <w:pStyle w:val="Caption"/>
      </w:pPr>
      <w:bookmarkStart w:id="925" w:name="_Ref463272466"/>
      <w:bookmarkStart w:id="926" w:name="_Ref463272431"/>
      <w:bookmarkStart w:id="927" w:name="_Toc466413712"/>
      <w:r w:rsidRPr="00B75B77">
        <w:t xml:space="preserve">Equation </w:t>
      </w:r>
      <w:fldSimple w:instr=" STYLEREF 1 \s ">
        <w:r w:rsidR="0004016D">
          <w:rPr>
            <w:noProof/>
          </w:rPr>
          <w:t>15</w:t>
        </w:r>
      </w:fldSimple>
      <w:r w:rsidRPr="00B75B77">
        <w:noBreakHyphen/>
      </w:r>
      <w:fldSimple w:instr=" SEQ Equation \* ARABIC \s 1 ">
        <w:r w:rsidR="0004016D">
          <w:rPr>
            <w:noProof/>
          </w:rPr>
          <w:t>1</w:t>
        </w:r>
      </w:fldSimple>
      <w:bookmarkEnd w:id="925"/>
      <w:r w:rsidR="001C1F2F" w:rsidRPr="00B75B77">
        <w:t>:</w:t>
      </w:r>
      <w:r w:rsidRPr="00B75B77">
        <w:t xml:space="preserve"> Total NTG Ratio</w:t>
      </w:r>
      <w:bookmarkEnd w:id="926"/>
      <w:bookmarkEnd w:id="927"/>
    </w:p>
    <w:p w:rsidR="00A63401" w:rsidRPr="00B75B77" w:rsidRDefault="00A63401" w:rsidP="00A63401">
      <w:pPr>
        <w:jc w:val="center"/>
        <w:rPr>
          <w:i/>
        </w:rPr>
      </w:pPr>
      <w:r w:rsidRPr="00B75B77">
        <w:rPr>
          <w:i/>
        </w:rPr>
        <w:t>NTG Ratio = 1 – Free Ridership Rate + Spillover Rate</w:t>
      </w:r>
    </w:p>
    <w:p w:rsidR="00A63401" w:rsidRPr="00B75B77" w:rsidRDefault="00A63401" w:rsidP="00A63401"/>
    <w:p w:rsidR="00A63401" w:rsidRPr="00B75B77" w:rsidRDefault="00A63401" w:rsidP="00A63401">
      <w:pPr>
        <w:pStyle w:val="Heading4"/>
        <w:ind w:left="864" w:hanging="864"/>
      </w:pPr>
      <w:r w:rsidRPr="00B75B77">
        <w:t xml:space="preserve">Free Ridership Methodology </w:t>
      </w:r>
    </w:p>
    <w:p w:rsidR="00A63401" w:rsidRPr="00B75B77" w:rsidRDefault="001C1F2F" w:rsidP="00A63401">
      <w:r w:rsidRPr="00B75B77">
        <w:t>The evaluation team assessed f</w:t>
      </w:r>
      <w:r w:rsidR="00A63401" w:rsidRPr="00B75B77">
        <w:t xml:space="preserve">ree ridership using a customer self-report approach following the SWE’s Common Approach for Downstream Programs. This approach uses a survey designed to assess the likelihood that participants would have installed some or all of the energy efficiency measures incented by the program even if the program had not existed. Based on the ETO methodology, the free ridership analysis included the following two elements of free ridership: 1) intention to carry out the energy efficient project without program funds, and 2) </w:t>
      </w:r>
      <w:r w:rsidR="00622E51" w:rsidRPr="00B75B77">
        <w:t xml:space="preserve">the </w:t>
      </w:r>
      <w:r w:rsidR="00A63401" w:rsidRPr="00B75B77">
        <w:t xml:space="preserve">influence of the program in the decision to carry out the energy efficient project. </w:t>
      </w:r>
    </w:p>
    <w:p w:rsidR="00622E51" w:rsidRPr="00B75B77" w:rsidRDefault="00622E51" w:rsidP="00A63401"/>
    <w:p w:rsidR="00A63401" w:rsidRPr="00B75B77" w:rsidRDefault="00A63401" w:rsidP="00A63401">
      <w:pPr>
        <w:keepNext/>
      </w:pPr>
      <w:r w:rsidRPr="00B75B77">
        <w:t xml:space="preserve">The total free ridership score illustrated in </w:t>
      </w:r>
      <w:r w:rsidRPr="00B75B77">
        <w:fldChar w:fldCharType="begin"/>
      </w:r>
      <w:r w:rsidRPr="00B75B77">
        <w:instrText xml:space="preserve"> REF _Ref401220905 \h </w:instrText>
      </w:r>
      <w:r w:rsidR="00B75B77">
        <w:instrText xml:space="preserve"> \* MERGEFORMAT </w:instrText>
      </w:r>
      <w:r w:rsidRPr="00B75B77">
        <w:fldChar w:fldCharType="separate"/>
      </w:r>
      <w:r w:rsidR="0004016D" w:rsidRPr="00B75B77">
        <w:t xml:space="preserve">Equation </w:t>
      </w:r>
      <w:r w:rsidR="0004016D">
        <w:rPr>
          <w:noProof/>
        </w:rPr>
        <w:t>15</w:t>
      </w:r>
      <w:r w:rsidR="0004016D" w:rsidRPr="00B75B77">
        <w:rPr>
          <w:noProof/>
        </w:rPr>
        <w:noBreakHyphen/>
      </w:r>
      <w:r w:rsidR="0004016D">
        <w:rPr>
          <w:noProof/>
        </w:rPr>
        <w:t>2</w:t>
      </w:r>
      <w:r w:rsidRPr="00B75B77">
        <w:fldChar w:fldCharType="end"/>
      </w:r>
      <w:r w:rsidRPr="00B75B77">
        <w:t xml:space="preserve"> is the sum of the intention and the program influence scores, resulting in a score ranging from 0 to 100. This score is divided by 100 to convert it into a proportion for application to gross savings values.</w:t>
      </w:r>
    </w:p>
    <w:p w:rsidR="00A63401" w:rsidRPr="00B75B77" w:rsidRDefault="00A63401" w:rsidP="00A63401">
      <w:pPr>
        <w:keepNext/>
      </w:pPr>
    </w:p>
    <w:p w:rsidR="00A63401" w:rsidRPr="00B75B77" w:rsidRDefault="00A63401" w:rsidP="00A63401">
      <w:pPr>
        <w:pStyle w:val="Caption"/>
      </w:pPr>
      <w:bookmarkStart w:id="928" w:name="_Ref401220905"/>
      <w:bookmarkStart w:id="929" w:name="_Toc466413713"/>
      <w:r w:rsidRPr="00B75B77">
        <w:t xml:space="preserve">Equation </w:t>
      </w:r>
      <w:fldSimple w:instr=" STYLEREF 1 \s ">
        <w:r w:rsidR="0004016D">
          <w:rPr>
            <w:noProof/>
          </w:rPr>
          <w:t>15</w:t>
        </w:r>
      </w:fldSimple>
      <w:r w:rsidRPr="00B75B77">
        <w:noBreakHyphen/>
      </w:r>
      <w:fldSimple w:instr=" SEQ Equation \* ARABIC \s 1 ">
        <w:r w:rsidR="0004016D">
          <w:rPr>
            <w:noProof/>
          </w:rPr>
          <w:t>2</w:t>
        </w:r>
      </w:fldSimple>
      <w:bookmarkEnd w:id="928"/>
      <w:r w:rsidR="00622E51" w:rsidRPr="00B75B77">
        <w:t>:</w:t>
      </w:r>
      <w:r w:rsidRPr="00B75B77">
        <w:t xml:space="preserve"> Total Free Ridership</w:t>
      </w:r>
      <w:bookmarkEnd w:id="929"/>
      <w:r w:rsidRPr="00B75B77">
        <w:t xml:space="preserve"> </w:t>
      </w:r>
    </w:p>
    <w:p w:rsidR="00A63401" w:rsidRPr="00B75B77" w:rsidRDefault="001C1F2F" w:rsidP="00A63401">
      <m:oMathPara>
        <m:oMath>
          <m:r>
            <m:rPr>
              <m:nor/>
            </m:rPr>
            <m:t xml:space="preserve">Free Ridership </m:t>
          </m:r>
          <m:d>
            <m:dPr>
              <m:ctrlPr>
                <w:rPr>
                  <w:rFonts w:ascii="Cambria Math" w:hAnsi="Cambria Math"/>
                  <w:i/>
                </w:rPr>
              </m:ctrlPr>
            </m:dPr>
            <m:e>
              <m:r>
                <m:rPr>
                  <m:nor/>
                </m:rPr>
                <m:t>FR</m:t>
              </m:r>
            </m:e>
          </m:d>
          <m:r>
            <m:rPr>
              <m:nor/>
            </m:rPr>
            <m:t>=</m:t>
          </m:r>
          <m:f>
            <m:fPr>
              <m:ctrlPr>
                <w:rPr>
                  <w:rFonts w:ascii="Cambria Math" w:hAnsi="Cambria Math"/>
                  <w:i/>
                </w:rPr>
              </m:ctrlPr>
            </m:fPr>
            <m:num>
              <m:r>
                <m:rPr>
                  <m:nor/>
                </m:rPr>
                <m:t>Intention Score</m:t>
              </m:r>
              <m:r>
                <m:rPr>
                  <m:nor/>
                </m:rPr>
                <w:rPr>
                  <w:rFonts w:ascii="Cambria Math"/>
                </w:rPr>
                <m:t xml:space="preserve"> </m:t>
              </m:r>
              <m:r>
                <m:rPr>
                  <m:nor/>
                </m:rPr>
                <m:t>+</m:t>
              </m:r>
              <m:r>
                <m:rPr>
                  <m:nor/>
                </m:rPr>
                <w:rPr>
                  <w:rFonts w:ascii="Cambria Math"/>
                </w:rPr>
                <m:t xml:space="preserve"> </m:t>
              </m:r>
              <m:r>
                <m:rPr>
                  <m:nor/>
                </m:rPr>
                <m:t>Program Influence Score</m:t>
              </m:r>
            </m:num>
            <m:den>
              <m:r>
                <m:rPr>
                  <m:nor/>
                </m:rPr>
                <m:t>100</m:t>
              </m:r>
            </m:den>
          </m:f>
        </m:oMath>
      </m:oMathPara>
    </w:p>
    <w:p w:rsidR="00A63401" w:rsidRPr="00B75B77" w:rsidRDefault="00A63401" w:rsidP="00A63401"/>
    <w:p w:rsidR="00A63401" w:rsidRPr="00B75B77" w:rsidRDefault="00A63401" w:rsidP="00A63401">
      <w:pPr>
        <w:rPr>
          <w:b/>
        </w:rPr>
      </w:pPr>
      <w:r w:rsidRPr="00B75B77">
        <w:rPr>
          <w:b/>
        </w:rPr>
        <w:t>Intention</w:t>
      </w:r>
      <w:r w:rsidRPr="00B75B77">
        <w:rPr>
          <w:b/>
          <w:bCs/>
        </w:rPr>
        <w:t xml:space="preserve"> </w:t>
      </w:r>
      <w:r w:rsidRPr="00B75B77">
        <w:rPr>
          <w:b/>
        </w:rPr>
        <w:t>Score</w:t>
      </w:r>
    </w:p>
    <w:p w:rsidR="00A63401" w:rsidRPr="00B75B77" w:rsidRDefault="00622E51" w:rsidP="00A63401">
      <w:pPr>
        <w:rPr>
          <w:bCs/>
        </w:rPr>
      </w:pPr>
      <w:r w:rsidRPr="00B75B77">
        <w:rPr>
          <w:bCs/>
        </w:rPr>
        <w:t>The team assessed the intention score</w:t>
      </w:r>
      <w:r w:rsidR="00A63401" w:rsidRPr="00B75B77">
        <w:rPr>
          <w:bCs/>
        </w:rPr>
        <w:t xml:space="preserve"> through several brief questions used to determine how the project likely would have differed if the respondent had not received the program assistance. The initial question asked the respondent to identify, out of a limited set of options, the option that best described what most likely would have occurred without the program assistance. The offered response options (typically four or five, and preferably no more than six) captured the following four general outcomes: </w:t>
      </w:r>
    </w:p>
    <w:p w:rsidR="00A63401" w:rsidRPr="00B75B77" w:rsidRDefault="00A63401" w:rsidP="00A63401">
      <w:pPr>
        <w:rPr>
          <w:bCs/>
        </w:rPr>
      </w:pPr>
    </w:p>
    <w:p w:rsidR="00A63401" w:rsidRPr="00B75B77" w:rsidRDefault="00A63401" w:rsidP="009E08FB">
      <w:pPr>
        <w:pStyle w:val="ListParagraph"/>
        <w:numPr>
          <w:ilvl w:val="0"/>
          <w:numId w:val="71"/>
        </w:numPr>
        <w:spacing w:after="200"/>
        <w:rPr>
          <w:bCs/>
        </w:rPr>
      </w:pPr>
      <w:r w:rsidRPr="00B75B77">
        <w:t xml:space="preserve">Would have canceled or postponed the project </w:t>
      </w:r>
    </w:p>
    <w:p w:rsidR="00A63401" w:rsidRPr="00B75B77" w:rsidRDefault="00A63401" w:rsidP="009E08FB">
      <w:pPr>
        <w:pStyle w:val="ListParagraph"/>
        <w:numPr>
          <w:ilvl w:val="0"/>
          <w:numId w:val="71"/>
        </w:numPr>
        <w:spacing w:after="200"/>
        <w:rPr>
          <w:bCs/>
        </w:rPr>
      </w:pPr>
      <w:r w:rsidRPr="00B75B77">
        <w:lastRenderedPageBreak/>
        <w:t>Would have done something that would have produced savings but not as much as those achieved through the project as implemented</w:t>
      </w:r>
    </w:p>
    <w:p w:rsidR="00A63401" w:rsidRPr="00B75B77" w:rsidRDefault="00A63401" w:rsidP="009E08FB">
      <w:pPr>
        <w:pStyle w:val="ListParagraph"/>
        <w:numPr>
          <w:ilvl w:val="0"/>
          <w:numId w:val="71"/>
        </w:numPr>
        <w:spacing w:after="200"/>
        <w:rPr>
          <w:bCs/>
        </w:rPr>
      </w:pPr>
      <w:r w:rsidRPr="00B75B77">
        <w:t>Would have completed the project as implemented</w:t>
      </w:r>
    </w:p>
    <w:p w:rsidR="00A63401" w:rsidRPr="00B75B77" w:rsidRDefault="00A63401" w:rsidP="009E08FB">
      <w:pPr>
        <w:pStyle w:val="ListParagraph"/>
        <w:numPr>
          <w:ilvl w:val="0"/>
          <w:numId w:val="71"/>
        </w:numPr>
        <w:spacing w:after="200"/>
        <w:rPr>
          <w:bCs/>
        </w:rPr>
      </w:pPr>
      <w:r w:rsidRPr="00B75B77">
        <w:t xml:space="preserve">Don’t know </w:t>
      </w:r>
    </w:p>
    <w:p w:rsidR="00A63401" w:rsidRPr="00B75B77" w:rsidRDefault="00A63401" w:rsidP="00A63401">
      <w:r w:rsidRPr="00B75B77">
        <w:t xml:space="preserve">The algorithm does consider respondents who said they would have canceled or postponed the project as free riders in terms of intention (a score of 0 for the intention score). The approach </w:t>
      </w:r>
      <w:r w:rsidR="00622E51" w:rsidRPr="00B75B77">
        <w:t>also considers</w:t>
      </w:r>
      <w:r w:rsidRPr="00B75B77">
        <w:t xml:space="preserve"> respondents who indicated they would have done something that would have resulted in less energy savings as partial free riders in terms of intention (free ridership ranging from 12.5 to 37.5 for the intention component in the case of nonresidential programs). The respondents that indicated they would have undertaken the project as implemented without the program received a score based on how they would have paid for the upgrade. “Don’t know” responses were assigned the midpoint score of 25 for the intention component.</w:t>
      </w:r>
    </w:p>
    <w:p w:rsidR="00A63401" w:rsidRPr="00B75B77" w:rsidRDefault="00A63401" w:rsidP="00A63401"/>
    <w:p w:rsidR="00A63401" w:rsidRPr="00B75B77" w:rsidRDefault="00A63401" w:rsidP="00A63401">
      <w:pPr>
        <w:keepNext/>
        <w:rPr>
          <w:b/>
        </w:rPr>
      </w:pPr>
      <w:r w:rsidRPr="00B75B77">
        <w:rPr>
          <w:b/>
        </w:rPr>
        <w:t>Program Influence</w:t>
      </w:r>
      <w:r w:rsidRPr="00B75B77">
        <w:rPr>
          <w:b/>
          <w:bCs/>
        </w:rPr>
        <w:t xml:space="preserve"> </w:t>
      </w:r>
      <w:r w:rsidRPr="00B75B77">
        <w:rPr>
          <w:b/>
        </w:rPr>
        <w:t>Score</w:t>
      </w:r>
    </w:p>
    <w:p w:rsidR="00A63401" w:rsidRPr="00B75B77" w:rsidRDefault="00A63401" w:rsidP="00A63401">
      <w:pPr>
        <w:keepNext/>
      </w:pPr>
      <w:r w:rsidRPr="00B75B77">
        <w:t>To assess the program influence score on the participant’s decision to implement energy efficiency improvements, Navigant asked respondents how much influence—on a scale of 1 (no influence) to 5 (great influence)—various program elements had on the decision to implement the project. The elements used to influence customer decision-making included program information, program incentives, and interaction with program staff (technical assistance)</w:t>
      </w:r>
      <w:r w:rsidR="00622E51" w:rsidRPr="00B75B77">
        <w:t>.</w:t>
      </w:r>
    </w:p>
    <w:p w:rsidR="00A63401" w:rsidRPr="00B75B77" w:rsidRDefault="00A63401" w:rsidP="00A63401"/>
    <w:p w:rsidR="00A63401" w:rsidRPr="00B75B77" w:rsidRDefault="00A63401" w:rsidP="00A63401">
      <w:r w:rsidRPr="00B75B77">
        <w:t xml:space="preserve">A participant’s program influence score was then set to the participant’s maximum influence rating for any program element. The rationale was that if any given program element had a great influence score on the respondent’s decision, </w:t>
      </w:r>
      <w:proofErr w:type="gramStart"/>
      <w:r w:rsidRPr="00B75B77">
        <w:t>then</w:t>
      </w:r>
      <w:proofErr w:type="gramEnd"/>
      <w:r w:rsidRPr="00B75B77">
        <w:t xml:space="preserve"> the program itself had that level of influence</w:t>
      </w:r>
      <w:r w:rsidR="00622E51" w:rsidRPr="00B75B77">
        <w:t>—</w:t>
      </w:r>
      <w:r w:rsidRPr="00B75B77">
        <w:t>even if other elements had less influence. The program influence score and free ridership have an inverse relationship: the greater the program influence, the lower the free ridership, and vice versa.</w:t>
      </w:r>
    </w:p>
    <w:p w:rsidR="00A63401" w:rsidRPr="00B75B77" w:rsidRDefault="00A63401" w:rsidP="00A63401"/>
    <w:p w:rsidR="00A63401" w:rsidRPr="00B75B77" w:rsidRDefault="00A63401" w:rsidP="00A63401">
      <w:r w:rsidRPr="00B75B77">
        <w:fldChar w:fldCharType="begin"/>
      </w:r>
      <w:r w:rsidRPr="00B75B77">
        <w:instrText xml:space="preserve"> REF _Ref401238943 \h </w:instrText>
      </w:r>
      <w:r w:rsidR="00B75B77">
        <w:instrText xml:space="preserve"> \* MERGEFORMAT </w:instrText>
      </w:r>
      <w:r w:rsidRPr="00B75B77">
        <w:fldChar w:fldCharType="separate"/>
      </w:r>
      <w:r w:rsidR="0004016D" w:rsidRPr="00B75B77">
        <w:t xml:space="preserve">Figure </w:t>
      </w:r>
      <w:r w:rsidR="0004016D">
        <w:rPr>
          <w:noProof/>
        </w:rPr>
        <w:t>15</w:t>
      </w:r>
      <w:r w:rsidR="0004016D" w:rsidRPr="00B75B77">
        <w:rPr>
          <w:noProof/>
        </w:rPr>
        <w:noBreakHyphen/>
      </w:r>
      <w:r w:rsidR="0004016D">
        <w:rPr>
          <w:noProof/>
        </w:rPr>
        <w:t>1</w:t>
      </w:r>
      <w:r w:rsidRPr="00B75B77">
        <w:fldChar w:fldCharType="end"/>
      </w:r>
      <w:r w:rsidRPr="00B75B77">
        <w:t xml:space="preserve"> summarizes both the intention score and program influence score calculations for the SOS program. The figure shows the possible response combinations to the questions described in the intention score section and the value assigned to each unique combination. In addition, it shows the program influence score and possible answers to the </w:t>
      </w:r>
      <w:r w:rsidR="00622E51" w:rsidRPr="00B75B77">
        <w:t>5</w:t>
      </w:r>
      <w:r w:rsidRPr="00B75B77">
        <w:t>-point scale along with the “don’t know” answers.</w:t>
      </w:r>
    </w:p>
    <w:p w:rsidR="00A63401" w:rsidRPr="00B75B77" w:rsidRDefault="00A63401" w:rsidP="00A63401"/>
    <w:p w:rsidR="00A63401" w:rsidRPr="00B75B77" w:rsidRDefault="00A63401" w:rsidP="00A63401">
      <w:pPr>
        <w:pStyle w:val="Caption"/>
      </w:pPr>
      <w:bookmarkStart w:id="930" w:name="_Ref401238943"/>
      <w:bookmarkStart w:id="931" w:name="_Toc434597509"/>
      <w:bookmarkStart w:id="932" w:name="_Toc466413695"/>
      <w:r w:rsidRPr="00B75B77">
        <w:lastRenderedPageBreak/>
        <w:t xml:space="preserve">Figure </w:t>
      </w:r>
      <w:fldSimple w:instr=" STYLEREF 1 \s ">
        <w:r w:rsidR="0004016D">
          <w:rPr>
            <w:noProof/>
          </w:rPr>
          <w:t>15</w:t>
        </w:r>
      </w:fldSimple>
      <w:r w:rsidR="00BA3BA9" w:rsidRPr="00B75B77">
        <w:noBreakHyphen/>
      </w:r>
      <w:fldSimple w:instr=" SEQ Figure \* ARABIC \s 1 ">
        <w:r w:rsidR="0004016D">
          <w:rPr>
            <w:noProof/>
          </w:rPr>
          <w:t>1</w:t>
        </w:r>
      </w:fldSimple>
      <w:bookmarkEnd w:id="930"/>
      <w:r w:rsidRPr="00B75B77">
        <w:t>: Phase II Free Ridership Algorithm</w:t>
      </w:r>
      <w:bookmarkEnd w:id="931"/>
      <w:bookmarkEnd w:id="932"/>
    </w:p>
    <w:p w:rsidR="00A63401" w:rsidRPr="00B75B77" w:rsidRDefault="00A63401" w:rsidP="00A63401">
      <w:r w:rsidRPr="00B75B77">
        <w:rPr>
          <w:noProof/>
        </w:rPr>
        <w:drawing>
          <wp:inline distT="0" distB="0" distL="0" distR="0" wp14:anchorId="48A2F4A7" wp14:editId="2E908DF3">
            <wp:extent cx="5882524" cy="4203778"/>
            <wp:effectExtent l="0" t="0" r="4445" b="635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0">
                      <a:extLst>
                        <a:ext uri="{28A0092B-C50C-407E-A947-70E740481C1C}">
                          <a14:useLocalDpi xmlns:a14="http://schemas.microsoft.com/office/drawing/2010/main" val="0"/>
                        </a:ext>
                      </a:extLst>
                    </a:blip>
                    <a:srcRect l="937" t="6318" b="1339"/>
                    <a:stretch/>
                  </pic:blipFill>
                  <pic:spPr bwMode="auto">
                    <a:xfrm>
                      <a:off x="0" y="0"/>
                      <a:ext cx="5883315" cy="4204343"/>
                    </a:xfrm>
                    <a:prstGeom prst="rect">
                      <a:avLst/>
                    </a:prstGeom>
                    <a:noFill/>
                    <a:ln>
                      <a:noFill/>
                    </a:ln>
                    <a:extLst>
                      <a:ext uri="{53640926-AAD7-44D8-BBD7-CCE9431645EC}">
                        <a14:shadowObscured xmlns:a14="http://schemas.microsoft.com/office/drawing/2010/main"/>
                      </a:ext>
                    </a:extLst>
                  </pic:spPr>
                </pic:pic>
              </a:graphicData>
            </a:graphic>
          </wp:inline>
        </w:drawing>
      </w:r>
    </w:p>
    <w:p w:rsidR="00A63401" w:rsidRPr="00B75B77" w:rsidRDefault="00A63401" w:rsidP="00622E51">
      <w:pPr>
        <w:pStyle w:val="Source"/>
      </w:pPr>
      <w:r w:rsidRPr="00B75B77">
        <w:t>Source: Navigant analysis</w:t>
      </w:r>
    </w:p>
    <w:p w:rsidR="00A63401" w:rsidRPr="00B75B77" w:rsidRDefault="00A63401" w:rsidP="00A63401">
      <w:pPr>
        <w:keepNext/>
      </w:pPr>
      <w:r w:rsidRPr="00B75B77">
        <w:t xml:space="preserve">Spillover occurs when there are reductions in energy consumption or demand caused by the presence of the energy efficiency program but </w:t>
      </w:r>
      <w:r w:rsidR="00622E51" w:rsidRPr="00B75B77">
        <w:t>that</w:t>
      </w:r>
      <w:r w:rsidRPr="00B75B77">
        <w:t xml:space="preserve"> the program does not directly influence. The evaluation team asked program participants a battery of questions to quantitatively assess spillover. Below are examples of the spillover questions:</w:t>
      </w:r>
    </w:p>
    <w:p w:rsidR="00A63401" w:rsidRPr="00B75B77" w:rsidRDefault="00A63401" w:rsidP="00A63401"/>
    <w:p w:rsidR="00A63401" w:rsidRPr="00B75B77" w:rsidRDefault="00A63401" w:rsidP="009E08FB">
      <w:pPr>
        <w:pStyle w:val="ListParagraph"/>
        <w:numPr>
          <w:ilvl w:val="0"/>
          <w:numId w:val="72"/>
        </w:numPr>
        <w:spacing w:after="200"/>
        <w:jc w:val="left"/>
      </w:pPr>
      <w:r w:rsidRPr="00B75B77">
        <w:t>Since your participation in the program, did you install any additional energy efficiency measures at this facility that did not receive incentives through any utility or government program?</w:t>
      </w:r>
    </w:p>
    <w:p w:rsidR="00A63401" w:rsidRPr="00B75B77" w:rsidRDefault="00A63401" w:rsidP="009E08FB">
      <w:pPr>
        <w:pStyle w:val="ListParagraph"/>
        <w:numPr>
          <w:ilvl w:val="0"/>
          <w:numId w:val="72"/>
        </w:numPr>
        <w:spacing w:after="200"/>
        <w:jc w:val="left"/>
      </w:pPr>
      <w:r w:rsidRPr="00B75B77">
        <w:t>To the best of your knowledge, do you know when you installed the additional energy efficient equipment?</w:t>
      </w:r>
    </w:p>
    <w:p w:rsidR="00A63401" w:rsidRPr="00B75B77" w:rsidRDefault="00A63401" w:rsidP="009E08FB">
      <w:pPr>
        <w:pStyle w:val="ListParagraph"/>
        <w:numPr>
          <w:ilvl w:val="0"/>
          <w:numId w:val="72"/>
        </w:numPr>
        <w:spacing w:after="200"/>
        <w:jc w:val="left"/>
      </w:pPr>
      <w:r w:rsidRPr="00B75B77">
        <w:t>Could you describe the energy efficiency measure installed?</w:t>
      </w:r>
    </w:p>
    <w:p w:rsidR="00A63401" w:rsidRPr="00B75B77" w:rsidRDefault="00A63401" w:rsidP="009E08FB">
      <w:pPr>
        <w:pStyle w:val="ListParagraph"/>
        <w:numPr>
          <w:ilvl w:val="0"/>
          <w:numId w:val="72"/>
        </w:numPr>
        <w:spacing w:after="200"/>
        <w:jc w:val="left"/>
      </w:pPr>
      <w:r w:rsidRPr="00B75B77">
        <w:t>Thinking of the additional measure(s) you installed on your own at this same facility, how do the energy savings compare to what you installed through the program? Were the savings lower, about the same, or higher? (Probe for percentage as compared to all incented projects.)</w:t>
      </w:r>
    </w:p>
    <w:p w:rsidR="00A63401" w:rsidRPr="00B75B77" w:rsidRDefault="00A63401" w:rsidP="009E08FB">
      <w:pPr>
        <w:pStyle w:val="ListParagraph"/>
        <w:numPr>
          <w:ilvl w:val="0"/>
          <w:numId w:val="72"/>
        </w:numPr>
        <w:spacing w:after="200"/>
        <w:jc w:val="left"/>
      </w:pPr>
      <w:r w:rsidRPr="00B75B77">
        <w:t>Since participating in the program, have you installed any energy efficient measures in other facilities within PECO’s territory?</w:t>
      </w:r>
    </w:p>
    <w:p w:rsidR="00A63401" w:rsidRPr="00B75B77" w:rsidRDefault="00A63401" w:rsidP="009E08FB">
      <w:pPr>
        <w:pStyle w:val="ListParagraph"/>
        <w:numPr>
          <w:ilvl w:val="0"/>
          <w:numId w:val="72"/>
        </w:numPr>
        <w:spacing w:after="200"/>
        <w:jc w:val="left"/>
      </w:pPr>
      <w:r w:rsidRPr="00B75B77">
        <w:t>Thinking of these additional measure(s) you installed on your own at other facilities, how does the quantity compare to what you installed through the program? Did you install more, less, or the same amount of measures? (Probe for percentage as compared to all incented projects.)</w:t>
      </w:r>
    </w:p>
    <w:p w:rsidR="00A63401" w:rsidRPr="00B75B77" w:rsidRDefault="00A63401" w:rsidP="009E08FB">
      <w:pPr>
        <w:pStyle w:val="ListParagraph"/>
        <w:numPr>
          <w:ilvl w:val="0"/>
          <w:numId w:val="72"/>
        </w:numPr>
        <w:spacing w:after="200"/>
        <w:jc w:val="left"/>
      </w:pPr>
      <w:r w:rsidRPr="00B75B77">
        <w:t>Have or will these measures receive incentives through the program?</w:t>
      </w:r>
    </w:p>
    <w:p w:rsidR="00A63401" w:rsidRPr="00B75B77" w:rsidRDefault="00A63401" w:rsidP="009E08FB">
      <w:pPr>
        <w:pStyle w:val="ListParagraph"/>
        <w:numPr>
          <w:ilvl w:val="0"/>
          <w:numId w:val="72"/>
        </w:numPr>
        <w:spacing w:after="200"/>
        <w:jc w:val="left"/>
      </w:pPr>
      <w:r w:rsidRPr="00B75B77">
        <w:t>What were the reasons that they did not receive an incentive?</w:t>
      </w:r>
    </w:p>
    <w:p w:rsidR="00A63401" w:rsidRPr="00B75B77" w:rsidRDefault="00A63401" w:rsidP="00A63401">
      <w:r w:rsidRPr="00B75B77">
        <w:lastRenderedPageBreak/>
        <w:t>The battery of questions attempted to quantify all the savings from additional non-incented equipment installed after the respondent’s participation in the program. Additionally, the evaluation team included a question about the level of influence the program had on the respondent’s decision to install the additional measures. An example of the question is below.</w:t>
      </w:r>
    </w:p>
    <w:p w:rsidR="00A63401" w:rsidRPr="00B75B77" w:rsidRDefault="00A63401" w:rsidP="00A63401"/>
    <w:p w:rsidR="00A63401" w:rsidRPr="00B75B77" w:rsidRDefault="00A63401" w:rsidP="009E08FB">
      <w:pPr>
        <w:numPr>
          <w:ilvl w:val="0"/>
          <w:numId w:val="73"/>
        </w:numPr>
        <w:spacing w:after="200"/>
      </w:pPr>
      <w:r w:rsidRPr="00B75B77">
        <w:t>On a 0 to 5 scale, with 0 meaning “</w:t>
      </w:r>
      <w:r w:rsidR="00622E51" w:rsidRPr="00B75B77">
        <w:t>N</w:t>
      </w:r>
      <w:r w:rsidRPr="00B75B77">
        <w:t>ot at all influential” and 5 meaning “</w:t>
      </w:r>
      <w:r w:rsidR="00622E51" w:rsidRPr="00B75B77">
        <w:t>E</w:t>
      </w:r>
      <w:r w:rsidRPr="00B75B77">
        <w:t>xtremely influential,” how influential was your experience with PECO's program in your decision to install the additional energy efficient equipment?</w:t>
      </w:r>
    </w:p>
    <w:p w:rsidR="00A63401" w:rsidRPr="00B75B77" w:rsidRDefault="00A63401" w:rsidP="00A63401">
      <w:r w:rsidRPr="00B75B77">
        <w:t xml:space="preserve">The </w:t>
      </w:r>
      <w:r w:rsidR="00622E51" w:rsidRPr="00B75B77">
        <w:t xml:space="preserve">evaluation </w:t>
      </w:r>
      <w:r w:rsidRPr="00B75B77">
        <w:t xml:space="preserve">team assigned the influence rating a value, which determined what proportion of the measure’s energy savings </w:t>
      </w:r>
      <w:r w:rsidR="00622E51" w:rsidRPr="00B75B77">
        <w:t>the team attributed</w:t>
      </w:r>
      <w:r w:rsidRPr="00B75B77">
        <w:t xml:space="preserve"> to the program:</w:t>
      </w:r>
    </w:p>
    <w:p w:rsidR="00A63401" w:rsidRPr="00B75B77" w:rsidRDefault="00A63401" w:rsidP="00A63401"/>
    <w:p w:rsidR="00A63401" w:rsidRPr="00B75B77" w:rsidRDefault="00A63401" w:rsidP="009E08FB">
      <w:pPr>
        <w:pStyle w:val="ListParagraph"/>
        <w:numPr>
          <w:ilvl w:val="0"/>
          <w:numId w:val="70"/>
        </w:numPr>
        <w:spacing w:after="200" w:line="276" w:lineRule="auto"/>
      </w:pPr>
      <w:r w:rsidRPr="00B75B77">
        <w:t>A rating of 4 or 5 = 1.0 (full savings attributed to the program)</w:t>
      </w:r>
    </w:p>
    <w:p w:rsidR="00A63401" w:rsidRPr="00B75B77" w:rsidRDefault="00A63401" w:rsidP="009E08FB">
      <w:pPr>
        <w:pStyle w:val="ListParagraph"/>
        <w:numPr>
          <w:ilvl w:val="0"/>
          <w:numId w:val="70"/>
        </w:numPr>
        <w:spacing w:after="200" w:line="276" w:lineRule="auto"/>
      </w:pPr>
      <w:r w:rsidRPr="00B75B77">
        <w:t>A rating of 2 or 3 = 0.5 (half of the savings attributed to the program)</w:t>
      </w:r>
    </w:p>
    <w:p w:rsidR="00A63401" w:rsidRPr="00B75B77" w:rsidRDefault="00A63401" w:rsidP="009E08FB">
      <w:pPr>
        <w:pStyle w:val="ListParagraph"/>
        <w:numPr>
          <w:ilvl w:val="0"/>
          <w:numId w:val="70"/>
        </w:numPr>
        <w:spacing w:after="200" w:line="276" w:lineRule="auto"/>
      </w:pPr>
      <w:r w:rsidRPr="00B75B77">
        <w:t>A rating of 0 or 1 = 0 (no savings attributed to the program)</w:t>
      </w:r>
    </w:p>
    <w:p w:rsidR="00A63401" w:rsidRPr="00B75B77" w:rsidRDefault="00A63401" w:rsidP="00A63401">
      <w:r w:rsidRPr="00B75B77">
        <w:t>Where applicable, Navigant calculated the savings for each additional measure installed per the TRM. For measures not included in the TRM, the evaluator may conduct a brief engineering analysis to assess savings or to identify an alternative source and methodology for assessing savings.</w:t>
      </w:r>
    </w:p>
    <w:p w:rsidR="00A63401" w:rsidRPr="00B75B77" w:rsidRDefault="00A63401" w:rsidP="00A63401"/>
    <w:p w:rsidR="00A63401" w:rsidRPr="00B75B77" w:rsidRDefault="00A63401" w:rsidP="00A63401">
      <w:r w:rsidRPr="00B75B77">
        <w:t xml:space="preserve">Navigant calculated spillover for measures reported as the product of the measure savings, number of units, and influence score, as illustrated in </w:t>
      </w:r>
      <w:r w:rsidRPr="00B75B77">
        <w:fldChar w:fldCharType="begin"/>
      </w:r>
      <w:r w:rsidRPr="00B75B77">
        <w:instrText xml:space="preserve"> REF _Ref401231890 \h </w:instrText>
      </w:r>
      <w:r w:rsidR="00B75B77">
        <w:instrText xml:space="preserve"> \* MERGEFORMAT </w:instrText>
      </w:r>
      <w:r w:rsidRPr="00B75B77">
        <w:fldChar w:fldCharType="separate"/>
      </w:r>
      <w:r w:rsidR="0004016D" w:rsidRPr="00B75B77">
        <w:t xml:space="preserve">Equation </w:t>
      </w:r>
      <w:r w:rsidR="0004016D">
        <w:rPr>
          <w:noProof/>
        </w:rPr>
        <w:t>15</w:t>
      </w:r>
      <w:r w:rsidR="0004016D" w:rsidRPr="00B75B77">
        <w:rPr>
          <w:noProof/>
        </w:rPr>
        <w:noBreakHyphen/>
      </w:r>
      <w:r w:rsidR="0004016D">
        <w:rPr>
          <w:noProof/>
        </w:rPr>
        <w:t>3</w:t>
      </w:r>
      <w:r w:rsidRPr="00B75B77">
        <w:fldChar w:fldCharType="end"/>
      </w:r>
      <w:r w:rsidRPr="00B75B77">
        <w:t xml:space="preserve">. Navigant calculated all spillover estimates using customer self-reported data and did not conduct follow-up interviews or site visits. </w:t>
      </w:r>
    </w:p>
    <w:p w:rsidR="00A63401" w:rsidRPr="00B75B77" w:rsidRDefault="00A63401" w:rsidP="00A63401"/>
    <w:p w:rsidR="00A63401" w:rsidRPr="00B75B77" w:rsidRDefault="00A63401" w:rsidP="00A63401">
      <w:pPr>
        <w:pStyle w:val="Caption"/>
      </w:pPr>
      <w:bookmarkStart w:id="933" w:name="_Ref401231890"/>
      <w:bookmarkStart w:id="934" w:name="_Toc466413714"/>
      <w:r w:rsidRPr="00B75B77">
        <w:t xml:space="preserve">Equation </w:t>
      </w:r>
      <w:fldSimple w:instr=" STYLEREF 1 \s ">
        <w:r w:rsidR="0004016D">
          <w:rPr>
            <w:noProof/>
          </w:rPr>
          <w:t>15</w:t>
        </w:r>
      </w:fldSimple>
      <w:r w:rsidRPr="00B75B77">
        <w:noBreakHyphen/>
      </w:r>
      <w:fldSimple w:instr=" SEQ Equation \* ARABIC \s 1 ">
        <w:r w:rsidR="0004016D">
          <w:rPr>
            <w:noProof/>
          </w:rPr>
          <w:t>3</w:t>
        </w:r>
      </w:fldSimple>
      <w:bookmarkEnd w:id="933"/>
      <w:r w:rsidR="00892930" w:rsidRPr="00B75B77">
        <w:rPr>
          <w:noProof/>
        </w:rPr>
        <w:t>:</w:t>
      </w:r>
      <w:r w:rsidRPr="00B75B77">
        <w:t xml:space="preserve"> Spillover Savings from Installed Measures</w:t>
      </w:r>
      <w:bookmarkEnd w:id="934"/>
    </w:p>
    <w:p w:rsidR="00A63401" w:rsidRPr="00B75B77" w:rsidRDefault="00892930" w:rsidP="00A63401">
      <w:pPr>
        <w:rPr>
          <w:i/>
        </w:rPr>
      </w:pPr>
      <m:oMathPara>
        <m:oMath>
          <m:r>
            <m:rPr>
              <m:nor/>
            </m:rPr>
            <m:t xml:space="preserve">Measure SO= Measure Savings *Number of Units*Program Influence </m:t>
          </m:r>
        </m:oMath>
      </m:oMathPara>
    </w:p>
    <w:p w:rsidR="00892930" w:rsidRPr="00B75B77" w:rsidRDefault="00892930" w:rsidP="00A63401"/>
    <w:p w:rsidR="00A63401" w:rsidRPr="00B75B77" w:rsidRDefault="00A63401" w:rsidP="00A63401">
      <w:r w:rsidRPr="00B75B77">
        <w:t xml:space="preserve">For each of the above categories, </w:t>
      </w:r>
      <w:r w:rsidR="00892930" w:rsidRPr="00B75B77">
        <w:t>Navigant</w:t>
      </w:r>
      <w:r w:rsidRPr="00B75B77">
        <w:t xml:space="preserve"> then totaled the savings associated with each program participant to give the overall participant spillover savings reflected in </w:t>
      </w:r>
      <w:r w:rsidRPr="00B75B77">
        <w:fldChar w:fldCharType="begin"/>
      </w:r>
      <w:r w:rsidRPr="00B75B77">
        <w:instrText xml:space="preserve"> REF _Ref401231900 \h </w:instrText>
      </w:r>
      <w:r w:rsidR="00B75B77">
        <w:instrText xml:space="preserve"> \* MERGEFORMAT </w:instrText>
      </w:r>
      <w:r w:rsidRPr="00B75B77">
        <w:fldChar w:fldCharType="separate"/>
      </w:r>
      <w:r w:rsidR="0004016D" w:rsidRPr="00B75B77">
        <w:t xml:space="preserve">Equation </w:t>
      </w:r>
      <w:r w:rsidR="0004016D">
        <w:rPr>
          <w:noProof/>
        </w:rPr>
        <w:t>15</w:t>
      </w:r>
      <w:r w:rsidR="0004016D" w:rsidRPr="00B75B77">
        <w:rPr>
          <w:noProof/>
        </w:rPr>
        <w:noBreakHyphen/>
      </w:r>
      <w:r w:rsidR="0004016D">
        <w:rPr>
          <w:noProof/>
        </w:rPr>
        <w:t>4</w:t>
      </w:r>
      <w:r w:rsidRPr="00B75B77">
        <w:fldChar w:fldCharType="end"/>
      </w:r>
      <w:r w:rsidRPr="00B75B77">
        <w:t xml:space="preserve">. </w:t>
      </w:r>
    </w:p>
    <w:p w:rsidR="00A63401" w:rsidRPr="00B75B77" w:rsidRDefault="00A63401" w:rsidP="00A63401"/>
    <w:p w:rsidR="00A63401" w:rsidRPr="00B75B77" w:rsidRDefault="00A63401" w:rsidP="00A63401">
      <w:pPr>
        <w:pStyle w:val="Caption"/>
      </w:pPr>
      <w:bookmarkStart w:id="935" w:name="_Ref401231900"/>
      <w:bookmarkStart w:id="936" w:name="_Toc466413715"/>
      <w:r w:rsidRPr="00B75B77">
        <w:t xml:space="preserve">Equation </w:t>
      </w:r>
      <w:fldSimple w:instr=" STYLEREF 1 \s ">
        <w:r w:rsidR="0004016D">
          <w:rPr>
            <w:noProof/>
          </w:rPr>
          <w:t>15</w:t>
        </w:r>
      </w:fldSimple>
      <w:r w:rsidRPr="00B75B77">
        <w:noBreakHyphen/>
      </w:r>
      <w:fldSimple w:instr=" SEQ Equation \* ARABIC \s 1 ">
        <w:r w:rsidR="0004016D">
          <w:rPr>
            <w:noProof/>
          </w:rPr>
          <w:t>4</w:t>
        </w:r>
      </w:fldSimple>
      <w:bookmarkEnd w:id="935"/>
      <w:r w:rsidR="00892930" w:rsidRPr="00B75B77">
        <w:t>:</w:t>
      </w:r>
      <w:r w:rsidRPr="00B75B77">
        <w:t xml:space="preserve"> Overall Participant Spillover</w:t>
      </w:r>
      <w:bookmarkEnd w:id="936"/>
    </w:p>
    <w:p w:rsidR="00A63401" w:rsidRPr="00B75B77" w:rsidRDefault="00A63401" w:rsidP="00A63401">
      <w:pPr>
        <w:jc w:val="center"/>
        <w:rPr>
          <w:i/>
        </w:rPr>
      </w:pPr>
      <w:r w:rsidRPr="00B75B77">
        <w:rPr>
          <w:i/>
        </w:rPr>
        <w:t xml:space="preserve">Participant SO = </w:t>
      </w:r>
      <w:proofErr w:type="spellStart"/>
      <w:r w:rsidRPr="00B75B77">
        <w:rPr>
          <w:i/>
        </w:rPr>
        <w:t>ΣMeasure</w:t>
      </w:r>
      <w:proofErr w:type="spellEnd"/>
      <w:r w:rsidRPr="00B75B77">
        <w:rPr>
          <w:i/>
        </w:rPr>
        <w:t xml:space="preserve"> SO</w:t>
      </w:r>
    </w:p>
    <w:p w:rsidR="00A63401" w:rsidRPr="00B75B77" w:rsidRDefault="00A63401" w:rsidP="00A63401">
      <w:pPr>
        <w:jc w:val="center"/>
        <w:rPr>
          <w:i/>
        </w:rPr>
      </w:pPr>
    </w:p>
    <w:p w:rsidR="00A63401" w:rsidRPr="00B75B77" w:rsidRDefault="00A63401" w:rsidP="00A63401">
      <w:r w:rsidRPr="00B75B77">
        <w:t xml:space="preserve">The </w:t>
      </w:r>
      <w:r w:rsidR="00892930" w:rsidRPr="00B75B77">
        <w:t xml:space="preserve">evaluation </w:t>
      </w:r>
      <w:r w:rsidRPr="00B75B77">
        <w:t xml:space="preserve">team then multiplied the mean participant spillover savings for the participant sample by the total number of participants to yield an estimated total participant spillover savings for the program. </w:t>
      </w:r>
      <w:r w:rsidRPr="00B75B77">
        <w:fldChar w:fldCharType="begin"/>
      </w:r>
      <w:r w:rsidRPr="00B75B77">
        <w:instrText xml:space="preserve"> REF _Ref401231909 \h </w:instrText>
      </w:r>
      <w:r w:rsidR="00B75B77">
        <w:instrText xml:space="preserve"> \* MERGEFORMAT </w:instrText>
      </w:r>
      <w:r w:rsidRPr="00B75B77">
        <w:fldChar w:fldCharType="separate"/>
      </w:r>
      <w:r w:rsidR="0004016D" w:rsidRPr="00B75B77">
        <w:t xml:space="preserve">Equation </w:t>
      </w:r>
      <w:r w:rsidR="0004016D">
        <w:rPr>
          <w:noProof/>
        </w:rPr>
        <w:t>15</w:t>
      </w:r>
      <w:r w:rsidR="0004016D" w:rsidRPr="00B75B77">
        <w:rPr>
          <w:noProof/>
        </w:rPr>
        <w:noBreakHyphen/>
      </w:r>
      <w:r w:rsidR="0004016D">
        <w:rPr>
          <w:noProof/>
        </w:rPr>
        <w:t>5</w:t>
      </w:r>
      <w:r w:rsidRPr="00B75B77">
        <w:fldChar w:fldCharType="end"/>
      </w:r>
      <w:r w:rsidRPr="00B75B77">
        <w:t xml:space="preserve"> shows the algorithm used to calculate spillover for the program.</w:t>
      </w:r>
    </w:p>
    <w:p w:rsidR="00A63401" w:rsidRPr="00B75B77" w:rsidRDefault="00A63401" w:rsidP="00A63401"/>
    <w:p w:rsidR="00A63401" w:rsidRPr="00B75B77" w:rsidRDefault="00A63401" w:rsidP="00A63401">
      <w:pPr>
        <w:pStyle w:val="Caption"/>
      </w:pPr>
      <w:bookmarkStart w:id="937" w:name="_Ref401231909"/>
      <w:bookmarkStart w:id="938" w:name="_Toc466413716"/>
      <w:r w:rsidRPr="00B75B77">
        <w:t xml:space="preserve">Equation </w:t>
      </w:r>
      <w:fldSimple w:instr=" STYLEREF 1 \s ">
        <w:r w:rsidR="0004016D">
          <w:rPr>
            <w:noProof/>
          </w:rPr>
          <w:t>15</w:t>
        </w:r>
      </w:fldSimple>
      <w:r w:rsidRPr="00B75B77">
        <w:noBreakHyphen/>
      </w:r>
      <w:fldSimple w:instr=" SEQ Equation \* ARABIC \s 1 ">
        <w:r w:rsidR="0004016D">
          <w:rPr>
            <w:noProof/>
          </w:rPr>
          <w:t>5</w:t>
        </w:r>
      </w:fldSimple>
      <w:bookmarkEnd w:id="937"/>
      <w:r w:rsidR="00892930" w:rsidRPr="00B75B77">
        <w:t>:</w:t>
      </w:r>
      <w:r w:rsidRPr="00B75B77">
        <w:t xml:space="preserve"> Spillover Savings for the Program</w:t>
      </w:r>
      <w:bookmarkEnd w:id="938"/>
    </w:p>
    <w:p w:rsidR="00A63401" w:rsidRPr="00B75B77" w:rsidRDefault="00892930" w:rsidP="00A63401">
      <w:pPr>
        <w:jc w:val="center"/>
        <w:rPr>
          <w:i/>
          <w:lang w:val="fr-HT"/>
        </w:rPr>
      </w:pPr>
      <w:proofErr w:type="spellStart"/>
      <m:oMath>
        <m:r>
          <m:rPr>
            <m:nor/>
          </m:rPr>
          <m:t>ΣParticipant</m:t>
        </m:r>
        <w:proofErr w:type="spellEnd"/>
        <m:r>
          <m:rPr>
            <m:nor/>
          </m:rPr>
          <w:rPr>
            <w:lang w:val="fr-HT"/>
          </w:rPr>
          <m:t xml:space="preserve"> </m:t>
        </m:r>
        <m:r>
          <m:rPr>
            <m:nor/>
          </m:rPr>
          <m:t>SO</m:t>
        </m:r>
        <m:r>
          <m:rPr>
            <m:nor/>
          </m:rPr>
          <w:rPr>
            <w:lang w:val="fr-HT"/>
          </w:rPr>
          <m:t xml:space="preserve"> (</m:t>
        </m:r>
        <m:r>
          <m:rPr>
            <m:nor/>
          </m:rPr>
          <m:t>population</m:t>
        </m:r>
        <m:r>
          <m:rPr>
            <m:nor/>
          </m:rPr>
          <w:rPr>
            <w:lang w:val="fr-HT"/>
          </w:rPr>
          <m:t xml:space="preserve">)= </m:t>
        </m:r>
        <m:f>
          <m:fPr>
            <m:ctrlPr>
              <w:rPr>
                <w:rFonts w:ascii="Cambria Math" w:hAnsi="Cambria Math"/>
                <w:i/>
              </w:rPr>
            </m:ctrlPr>
          </m:fPr>
          <m:num>
            <m:nary>
              <m:naryPr>
                <m:chr m:val="∑"/>
                <m:limLoc m:val="undOvr"/>
                <m:subHide m:val="1"/>
                <m:supHide m:val="1"/>
                <m:ctrlPr>
                  <w:rPr>
                    <w:rFonts w:ascii="Cambria Math" w:hAnsi="Cambria Math"/>
                    <w:i/>
                  </w:rPr>
                </m:ctrlPr>
              </m:naryPr>
              <m:sub/>
              <m:sup/>
              <m:e>
                <m:r>
                  <m:rPr>
                    <m:nor/>
                  </m:rPr>
                  <m:t>Participant</m:t>
                </m:r>
                <m:r>
                  <m:rPr>
                    <m:nor/>
                  </m:rPr>
                  <w:rPr>
                    <w:lang w:val="fr-HT"/>
                  </w:rPr>
                  <m:t xml:space="preserve"> </m:t>
                </m:r>
                <m:r>
                  <m:rPr>
                    <m:nor/>
                  </m:rPr>
                  <m:t>SO</m:t>
                </m:r>
                <m:r>
                  <m:rPr>
                    <m:nor/>
                  </m:rPr>
                  <w:rPr>
                    <w:lang w:val="fr-HT"/>
                  </w:rPr>
                  <m:t xml:space="preserve"> (</m:t>
                </m:r>
                <m:r>
                  <m:rPr>
                    <m:nor/>
                  </m:rPr>
                  <m:t>sample</m:t>
                </m:r>
                <m:r>
                  <m:rPr>
                    <m:nor/>
                  </m:rPr>
                  <w:rPr>
                    <w:lang w:val="fr-HT"/>
                  </w:rPr>
                  <m:t>)</m:t>
                </m:r>
              </m:e>
            </m:nary>
          </m:num>
          <m:den>
            <m:r>
              <m:rPr>
                <m:nor/>
              </m:rPr>
              <m:t>Sample</m:t>
            </m:r>
            <m:r>
              <m:rPr>
                <m:nor/>
              </m:rPr>
              <w:rPr>
                <w:lang w:val="fr-HT"/>
              </w:rPr>
              <m:t xml:space="preserve"> </m:t>
            </m:r>
            <m:r>
              <m:rPr>
                <m:nor/>
              </m:rPr>
              <m:t>n</m:t>
            </m:r>
          </m:den>
        </m:f>
      </m:oMath>
      <w:r w:rsidR="00A63401" w:rsidRPr="00B75B77">
        <w:rPr>
          <w:lang w:val="fr-HT"/>
        </w:rPr>
        <w:t xml:space="preserve"> </w:t>
      </w:r>
      <m:oMath>
        <m:r>
          <w:rPr>
            <w:rFonts w:ascii="Cambria Math" w:hAnsi="Cambria Math"/>
            <w:lang w:val="fr-HT"/>
          </w:rPr>
          <m:t>*</m:t>
        </m:r>
      </m:oMath>
      <w:r w:rsidR="00A63401" w:rsidRPr="00B75B77">
        <w:rPr>
          <w:lang w:val="fr-HT"/>
        </w:rPr>
        <w:t xml:space="preserve"> Population </w:t>
      </w:r>
      <w:r w:rsidR="00A63401" w:rsidRPr="00B75B77">
        <w:rPr>
          <w:i/>
          <w:lang w:val="fr-HT"/>
        </w:rPr>
        <w:t>N</w:t>
      </w:r>
    </w:p>
    <w:p w:rsidR="00A63401" w:rsidRPr="00B75B77" w:rsidRDefault="00A63401" w:rsidP="00A63401">
      <w:pPr>
        <w:jc w:val="center"/>
        <w:rPr>
          <w:lang w:val="fr-HT"/>
        </w:rPr>
      </w:pPr>
    </w:p>
    <w:p w:rsidR="00A63401" w:rsidRPr="00B75B77" w:rsidRDefault="00A63401" w:rsidP="00A63401">
      <w:r w:rsidRPr="00B75B77">
        <w:t xml:space="preserve">Finally, the </w:t>
      </w:r>
      <w:r w:rsidR="00892930" w:rsidRPr="00B75B77">
        <w:t xml:space="preserve">evaluation </w:t>
      </w:r>
      <w:r w:rsidRPr="00B75B77">
        <w:t xml:space="preserve">team divided the total savings by the total program savings to yield a participant spillover percentage, as shown in </w:t>
      </w:r>
      <w:r w:rsidRPr="00B75B77">
        <w:fldChar w:fldCharType="begin"/>
      </w:r>
      <w:r w:rsidRPr="00B75B77">
        <w:instrText xml:space="preserve"> REF _Ref401231924 \h </w:instrText>
      </w:r>
      <w:r w:rsidR="00B75B77">
        <w:instrText xml:space="preserve"> \* MERGEFORMAT </w:instrText>
      </w:r>
      <w:r w:rsidRPr="00B75B77">
        <w:fldChar w:fldCharType="separate"/>
      </w:r>
      <w:r w:rsidR="0004016D" w:rsidRPr="00B75B77">
        <w:t xml:space="preserve">Equation </w:t>
      </w:r>
      <w:r w:rsidR="0004016D">
        <w:rPr>
          <w:noProof/>
        </w:rPr>
        <w:t>15</w:t>
      </w:r>
      <w:r w:rsidR="0004016D" w:rsidRPr="00B75B77">
        <w:rPr>
          <w:noProof/>
        </w:rPr>
        <w:noBreakHyphen/>
      </w:r>
      <w:r w:rsidR="0004016D">
        <w:rPr>
          <w:noProof/>
        </w:rPr>
        <w:t>6</w:t>
      </w:r>
      <w:r w:rsidRPr="00B75B77">
        <w:fldChar w:fldCharType="end"/>
      </w:r>
      <w:r w:rsidRPr="00B75B77">
        <w:t>.</w:t>
      </w:r>
    </w:p>
    <w:p w:rsidR="00A63401" w:rsidRPr="00B75B77" w:rsidRDefault="00A63401" w:rsidP="00A63401"/>
    <w:p w:rsidR="00A63401" w:rsidRPr="00B75B77" w:rsidRDefault="00A63401" w:rsidP="00A63401">
      <w:pPr>
        <w:pStyle w:val="Caption"/>
      </w:pPr>
      <w:bookmarkStart w:id="939" w:name="_Ref401231924"/>
      <w:bookmarkStart w:id="940" w:name="_Toc466413717"/>
      <w:r w:rsidRPr="00B75B77">
        <w:t xml:space="preserve">Equation </w:t>
      </w:r>
      <w:fldSimple w:instr=" STYLEREF 1 \s ">
        <w:r w:rsidR="0004016D">
          <w:rPr>
            <w:noProof/>
          </w:rPr>
          <w:t>15</w:t>
        </w:r>
      </w:fldSimple>
      <w:r w:rsidRPr="00B75B77">
        <w:noBreakHyphen/>
      </w:r>
      <w:fldSimple w:instr=" SEQ Equation \* ARABIC \s 1 ">
        <w:r w:rsidR="0004016D">
          <w:rPr>
            <w:noProof/>
          </w:rPr>
          <w:t>6</w:t>
        </w:r>
      </w:fldSimple>
      <w:bookmarkEnd w:id="939"/>
      <w:r w:rsidR="00892930" w:rsidRPr="00B75B77">
        <w:t>:</w:t>
      </w:r>
      <w:r w:rsidRPr="00B75B77">
        <w:t xml:space="preserve"> Participant Spillover Percentage</w:t>
      </w:r>
      <w:bookmarkEnd w:id="940"/>
    </w:p>
    <w:p w:rsidR="00A63401" w:rsidRPr="00B75B77" w:rsidRDefault="00892930" w:rsidP="00A63401">
      <w:pPr>
        <w:jc w:val="center"/>
      </w:pPr>
      <m:oMath>
        <m:r>
          <m:rPr>
            <m:nor/>
          </m:rPr>
          <m:t xml:space="preserve">% Participant SO = </m:t>
        </m:r>
        <m:f>
          <m:fPr>
            <m:ctrlPr>
              <w:rPr>
                <w:rFonts w:ascii="Cambria Math" w:hAnsi="Cambria Math"/>
                <w:i/>
              </w:rPr>
            </m:ctrlPr>
          </m:fPr>
          <m:num>
            <m:nary>
              <m:naryPr>
                <m:chr m:val="∑"/>
                <m:limLoc m:val="undOvr"/>
                <m:subHide m:val="1"/>
                <m:supHide m:val="1"/>
                <m:ctrlPr>
                  <w:rPr>
                    <w:rFonts w:ascii="Cambria Math" w:hAnsi="Cambria Math"/>
                    <w:i/>
                  </w:rPr>
                </m:ctrlPr>
              </m:naryPr>
              <m:sub/>
              <m:sup/>
              <m:e>
                <m:r>
                  <m:rPr>
                    <m:nor/>
                  </m:rPr>
                  <m:t>Participant SO (population)</m:t>
                </m:r>
              </m:e>
            </m:nary>
          </m:num>
          <m:den>
            <m:r>
              <m:rPr>
                <m:nor/>
              </m:rPr>
              <m:t>Program Savings</m:t>
            </m:r>
          </m:den>
        </m:f>
      </m:oMath>
      <w:r w:rsidR="00A63401" w:rsidRPr="00B75B77">
        <w:t xml:space="preserve"> </w:t>
      </w:r>
      <m:oMath>
        <m:r>
          <w:rPr>
            <w:rFonts w:ascii="Cambria Math" w:hAnsi="Cambria Math"/>
          </w:rPr>
          <m:t>*</m:t>
        </m:r>
      </m:oMath>
      <w:r w:rsidR="00A63401" w:rsidRPr="00B75B77">
        <w:t xml:space="preserve"> 100</w:t>
      </w:r>
    </w:p>
    <w:p w:rsidR="00A63401" w:rsidRPr="00B75B77" w:rsidRDefault="00A63401" w:rsidP="00A63401"/>
    <w:p w:rsidR="00A63401" w:rsidRPr="00B75B77" w:rsidRDefault="00892930" w:rsidP="00A63401">
      <w:r w:rsidRPr="00B75B77">
        <w:t>Navigant based its NTG analysis</w:t>
      </w:r>
      <w:r w:rsidR="00A63401" w:rsidRPr="00B75B77">
        <w:t xml:space="preserve"> on a census of participants, as indicated in </w:t>
      </w:r>
      <w:r w:rsidR="00A63401" w:rsidRPr="00B75B77">
        <w:fldChar w:fldCharType="begin"/>
      </w:r>
      <w:r w:rsidR="00A63401" w:rsidRPr="00B75B77">
        <w:instrText xml:space="preserve"> REF _Ref463271742 \h  \* MERGEFORMAT </w:instrText>
      </w:r>
      <w:r w:rsidR="00A63401" w:rsidRPr="00B75B77">
        <w:fldChar w:fldCharType="separate"/>
      </w:r>
      <w:r w:rsidR="0004016D" w:rsidRPr="00B75B77">
        <w:t xml:space="preserve">Table </w:t>
      </w:r>
      <w:r w:rsidR="0004016D">
        <w:rPr>
          <w:noProof/>
        </w:rPr>
        <w:t>15</w:t>
      </w:r>
      <w:r w:rsidR="0004016D" w:rsidRPr="00B75B77">
        <w:rPr>
          <w:noProof/>
        </w:rPr>
        <w:noBreakHyphen/>
      </w:r>
      <w:r w:rsidR="0004016D">
        <w:rPr>
          <w:noProof/>
        </w:rPr>
        <w:t>6</w:t>
      </w:r>
      <w:r w:rsidR="00A63401" w:rsidRPr="00B75B77">
        <w:fldChar w:fldCharType="end"/>
      </w:r>
      <w:r w:rsidR="00A63401" w:rsidRPr="00B75B77">
        <w:t xml:space="preserve">. </w:t>
      </w:r>
    </w:p>
    <w:p w:rsidR="00A63401" w:rsidRPr="00B75B77" w:rsidRDefault="00A63401" w:rsidP="004D2FBE"/>
    <w:p w:rsidR="00A63401" w:rsidRPr="00B75B77" w:rsidRDefault="00A63401" w:rsidP="00A63401">
      <w:pPr>
        <w:pStyle w:val="Caption"/>
      </w:pPr>
      <w:bookmarkStart w:id="941" w:name="_Ref463271742"/>
      <w:bookmarkStart w:id="942" w:name="_Toc466413642"/>
      <w:r w:rsidRPr="00B75B77">
        <w:t xml:space="preserve">Table </w:t>
      </w:r>
      <w:fldSimple w:instr=" STYLEREF 1 \s ">
        <w:r w:rsidR="0004016D">
          <w:rPr>
            <w:noProof/>
          </w:rPr>
          <w:t>15</w:t>
        </w:r>
      </w:fldSimple>
      <w:r w:rsidR="00F1144C" w:rsidRPr="00B75B77">
        <w:noBreakHyphen/>
      </w:r>
      <w:fldSimple w:instr=" SEQ Table \* ARABIC \s 1 ">
        <w:r w:rsidR="0004016D">
          <w:rPr>
            <w:noProof/>
          </w:rPr>
          <w:t>6</w:t>
        </w:r>
      </w:fldSimple>
      <w:bookmarkEnd w:id="941"/>
      <w:r w:rsidRPr="00B75B77">
        <w:t>: Smart On-Site Sampling Strategy for PY7 NTG Research</w:t>
      </w:r>
      <w:bookmarkEnd w:id="942"/>
    </w:p>
    <w:tbl>
      <w:tblPr>
        <w:tblW w:w="9265" w:type="dxa"/>
        <w:tblLook w:val="04A0" w:firstRow="1" w:lastRow="0" w:firstColumn="1" w:lastColumn="0" w:noHBand="0" w:noVBand="1"/>
      </w:tblPr>
      <w:tblGrid>
        <w:gridCol w:w="1345"/>
        <w:gridCol w:w="1080"/>
        <w:gridCol w:w="1035"/>
        <w:gridCol w:w="1305"/>
        <w:gridCol w:w="1260"/>
        <w:gridCol w:w="900"/>
        <w:gridCol w:w="905"/>
        <w:gridCol w:w="1435"/>
      </w:tblGrid>
      <w:tr w:rsidR="00A63401" w:rsidRPr="00B75B77" w:rsidTr="00892930">
        <w:trPr>
          <w:divId w:val="1490293900"/>
          <w:trHeight w:val="480"/>
        </w:trPr>
        <w:tc>
          <w:tcPr>
            <w:tcW w:w="1345" w:type="dxa"/>
            <w:tcBorders>
              <w:top w:val="single" w:sz="4" w:space="0" w:color="auto"/>
              <w:left w:val="single" w:sz="4" w:space="0" w:color="auto"/>
              <w:bottom w:val="single" w:sz="4" w:space="0" w:color="auto"/>
              <w:right w:val="single" w:sz="4" w:space="0" w:color="auto"/>
            </w:tcBorders>
            <w:shd w:val="clear" w:color="000000" w:fill="448A99"/>
            <w:vAlign w:val="center"/>
            <w:hideMark/>
          </w:tcPr>
          <w:p w:rsidR="00A63401" w:rsidRPr="00B75B77" w:rsidRDefault="00A63401" w:rsidP="00892930">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Stratum</w:t>
            </w:r>
          </w:p>
        </w:tc>
        <w:tc>
          <w:tcPr>
            <w:tcW w:w="1080" w:type="dxa"/>
            <w:tcBorders>
              <w:top w:val="single" w:sz="4" w:space="0" w:color="auto"/>
              <w:left w:val="nil"/>
              <w:bottom w:val="single" w:sz="4" w:space="0" w:color="auto"/>
              <w:right w:val="single" w:sz="4" w:space="0" w:color="auto"/>
            </w:tcBorders>
            <w:shd w:val="clear" w:color="000000" w:fill="448A99"/>
            <w:vAlign w:val="center"/>
            <w:hideMark/>
          </w:tcPr>
          <w:p w:rsidR="00A63401" w:rsidRPr="00B75B77" w:rsidRDefault="00A63401" w:rsidP="00892930">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Stratum Boundaries</w:t>
            </w:r>
          </w:p>
        </w:tc>
        <w:tc>
          <w:tcPr>
            <w:tcW w:w="1035" w:type="dxa"/>
            <w:tcBorders>
              <w:top w:val="single" w:sz="4" w:space="0" w:color="auto"/>
              <w:left w:val="nil"/>
              <w:bottom w:val="single" w:sz="4" w:space="0" w:color="auto"/>
              <w:right w:val="single" w:sz="4" w:space="0" w:color="auto"/>
            </w:tcBorders>
            <w:shd w:val="clear" w:color="000000" w:fill="448A99"/>
            <w:vAlign w:val="center"/>
            <w:hideMark/>
          </w:tcPr>
          <w:p w:rsidR="00A63401" w:rsidRPr="00B75B77" w:rsidRDefault="00A63401" w:rsidP="00892930">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Population Size</w:t>
            </w:r>
          </w:p>
        </w:tc>
        <w:tc>
          <w:tcPr>
            <w:tcW w:w="1305" w:type="dxa"/>
            <w:tcBorders>
              <w:top w:val="single" w:sz="4" w:space="0" w:color="auto"/>
              <w:left w:val="nil"/>
              <w:bottom w:val="single" w:sz="4" w:space="0" w:color="auto"/>
              <w:right w:val="single" w:sz="4" w:space="0" w:color="auto"/>
            </w:tcBorders>
            <w:shd w:val="clear" w:color="000000" w:fill="448A99"/>
            <w:vAlign w:val="center"/>
            <w:hideMark/>
          </w:tcPr>
          <w:p w:rsidR="00A63401" w:rsidRPr="00B75B77" w:rsidRDefault="00A63401" w:rsidP="00892930">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Assumed CV or Proportion in Sample Design</w:t>
            </w:r>
          </w:p>
        </w:tc>
        <w:tc>
          <w:tcPr>
            <w:tcW w:w="1260" w:type="dxa"/>
            <w:tcBorders>
              <w:top w:val="single" w:sz="4" w:space="0" w:color="auto"/>
              <w:left w:val="nil"/>
              <w:bottom w:val="single" w:sz="4" w:space="0" w:color="auto"/>
              <w:right w:val="single" w:sz="4" w:space="0" w:color="auto"/>
            </w:tcBorders>
            <w:shd w:val="clear" w:color="000000" w:fill="448A99"/>
            <w:vAlign w:val="center"/>
            <w:hideMark/>
          </w:tcPr>
          <w:p w:rsidR="00A63401" w:rsidRPr="00B75B77" w:rsidRDefault="00A63401" w:rsidP="00892930">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Assumed Levels of Confidence </w:t>
            </w:r>
            <w:r w:rsidR="00892930" w:rsidRPr="00B75B77">
              <w:rPr>
                <w:rFonts w:ascii="Calibri" w:eastAsia="Times New Roman" w:hAnsi="Calibri"/>
                <w:b/>
                <w:bCs/>
                <w:color w:val="FFFFFF"/>
                <w:sz w:val="18"/>
                <w:szCs w:val="18"/>
              </w:rPr>
              <w:t>and</w:t>
            </w:r>
            <w:r w:rsidRPr="00B75B77">
              <w:rPr>
                <w:rFonts w:ascii="Calibri" w:eastAsia="Times New Roman" w:hAnsi="Calibri"/>
                <w:b/>
                <w:bCs/>
                <w:color w:val="FFFFFF"/>
                <w:sz w:val="18"/>
                <w:szCs w:val="18"/>
              </w:rPr>
              <w:t xml:space="preserve"> Precision</w:t>
            </w:r>
          </w:p>
        </w:tc>
        <w:tc>
          <w:tcPr>
            <w:tcW w:w="900" w:type="dxa"/>
            <w:tcBorders>
              <w:top w:val="single" w:sz="4" w:space="0" w:color="auto"/>
              <w:left w:val="nil"/>
              <w:bottom w:val="single" w:sz="4" w:space="0" w:color="auto"/>
              <w:right w:val="single" w:sz="4" w:space="0" w:color="auto"/>
            </w:tcBorders>
            <w:shd w:val="clear" w:color="000000" w:fill="448A99"/>
            <w:vAlign w:val="center"/>
            <w:hideMark/>
          </w:tcPr>
          <w:p w:rsidR="00A63401" w:rsidRPr="00B75B77" w:rsidRDefault="00A63401" w:rsidP="00892930">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Target Sample </w:t>
            </w:r>
            <w:r w:rsidR="00892930" w:rsidRPr="00B75B77">
              <w:rPr>
                <w:rFonts w:ascii="Calibri" w:eastAsia="Times New Roman" w:hAnsi="Calibri"/>
                <w:b/>
                <w:bCs/>
                <w:color w:val="FFFFFF"/>
                <w:sz w:val="18"/>
                <w:szCs w:val="18"/>
              </w:rPr>
              <w:t>S</w:t>
            </w:r>
            <w:r w:rsidRPr="00B75B77">
              <w:rPr>
                <w:rFonts w:ascii="Calibri" w:eastAsia="Times New Roman" w:hAnsi="Calibri"/>
                <w:b/>
                <w:bCs/>
                <w:color w:val="FFFFFF"/>
                <w:sz w:val="18"/>
                <w:szCs w:val="18"/>
              </w:rPr>
              <w:t>ize</w:t>
            </w:r>
          </w:p>
        </w:tc>
        <w:tc>
          <w:tcPr>
            <w:tcW w:w="905" w:type="dxa"/>
            <w:tcBorders>
              <w:top w:val="single" w:sz="4" w:space="0" w:color="auto"/>
              <w:left w:val="nil"/>
              <w:bottom w:val="single" w:sz="4" w:space="0" w:color="auto"/>
              <w:right w:val="single" w:sz="4" w:space="0" w:color="auto"/>
            </w:tcBorders>
            <w:shd w:val="clear" w:color="000000" w:fill="448A99"/>
            <w:vAlign w:val="center"/>
            <w:hideMark/>
          </w:tcPr>
          <w:p w:rsidR="00A63401" w:rsidRPr="00B75B77" w:rsidRDefault="00A63401" w:rsidP="00892930">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Achieved Sample Size</w:t>
            </w:r>
          </w:p>
        </w:tc>
        <w:tc>
          <w:tcPr>
            <w:tcW w:w="1435" w:type="dxa"/>
            <w:tcBorders>
              <w:top w:val="single" w:sz="4" w:space="0" w:color="auto"/>
              <w:left w:val="nil"/>
              <w:bottom w:val="single" w:sz="4" w:space="0" w:color="auto"/>
              <w:right w:val="single" w:sz="4" w:space="0" w:color="auto"/>
            </w:tcBorders>
            <w:shd w:val="clear" w:color="000000" w:fill="448A99"/>
            <w:vAlign w:val="center"/>
            <w:hideMark/>
          </w:tcPr>
          <w:p w:rsidR="00A63401" w:rsidRPr="00B75B77" w:rsidRDefault="00237810" w:rsidP="00892930">
            <w:pPr>
              <w:jc w:val="center"/>
              <w:rPr>
                <w:rFonts w:ascii="Calibri" w:eastAsia="Times New Roman" w:hAnsi="Calibri"/>
                <w:b/>
                <w:bCs/>
                <w:color w:val="FFFFFF"/>
                <w:sz w:val="18"/>
                <w:szCs w:val="18"/>
              </w:rPr>
            </w:pPr>
            <w:hyperlink r:id="rId96" w:anchor="RANGE!_ftn1" w:history="1">
              <w:r w:rsidR="00A63401" w:rsidRPr="00B75B77">
                <w:rPr>
                  <w:rFonts w:ascii="Calibri" w:eastAsia="Times New Roman" w:hAnsi="Calibri"/>
                  <w:b/>
                  <w:bCs/>
                  <w:color w:val="FFFFFF"/>
                  <w:sz w:val="18"/>
                  <w:szCs w:val="18"/>
                </w:rPr>
                <w:t>Percent</w:t>
              </w:r>
              <w:r w:rsidR="00892930" w:rsidRPr="00B75B77">
                <w:rPr>
                  <w:rFonts w:ascii="Calibri" w:eastAsia="Times New Roman" w:hAnsi="Calibri"/>
                  <w:b/>
                  <w:bCs/>
                  <w:color w:val="FFFFFF"/>
                  <w:sz w:val="18"/>
                  <w:szCs w:val="18"/>
                </w:rPr>
                <w:t>age</w:t>
              </w:r>
              <w:r w:rsidR="00A63401" w:rsidRPr="00B75B77">
                <w:rPr>
                  <w:rFonts w:ascii="Calibri" w:eastAsia="Times New Roman" w:hAnsi="Calibri"/>
                  <w:b/>
                  <w:bCs/>
                  <w:color w:val="FFFFFF"/>
                  <w:sz w:val="18"/>
                  <w:szCs w:val="18"/>
                </w:rPr>
                <w:t xml:space="preserve"> of Sample Frame </w:t>
              </w:r>
              <w:r w:rsidR="00A63401" w:rsidRPr="00B75B77">
                <w:rPr>
                  <w:rFonts w:ascii="Calibri" w:eastAsia="Times New Roman" w:hAnsi="Calibri"/>
                  <w:b/>
                  <w:bCs/>
                  <w:color w:val="FFFFFF"/>
                  <w:sz w:val="18"/>
                  <w:szCs w:val="18"/>
                  <w:vertAlign w:val="superscript"/>
                </w:rPr>
                <w:t>[1]</w:t>
              </w:r>
              <w:r w:rsidR="00A63401" w:rsidRPr="00B75B77">
                <w:rPr>
                  <w:rFonts w:ascii="Calibri" w:eastAsia="Times New Roman" w:hAnsi="Calibri"/>
                  <w:b/>
                  <w:bCs/>
                  <w:color w:val="FFFFFF"/>
                  <w:sz w:val="18"/>
                  <w:szCs w:val="18"/>
                </w:rPr>
                <w:t xml:space="preserve">  Contacted to Achieve Sample</w:t>
              </w:r>
            </w:hyperlink>
          </w:p>
        </w:tc>
      </w:tr>
      <w:tr w:rsidR="00A63401" w:rsidRPr="00B75B77" w:rsidTr="00892930">
        <w:trPr>
          <w:divId w:val="1490293900"/>
          <w:trHeight w:val="288"/>
        </w:trPr>
        <w:tc>
          <w:tcPr>
            <w:tcW w:w="1345" w:type="dxa"/>
            <w:tcBorders>
              <w:top w:val="nil"/>
              <w:left w:val="single" w:sz="4" w:space="0" w:color="448A99"/>
              <w:bottom w:val="single" w:sz="4" w:space="0" w:color="448A99"/>
              <w:right w:val="single" w:sz="4" w:space="0" w:color="448A99"/>
            </w:tcBorders>
            <w:shd w:val="clear" w:color="000000" w:fill="D2EAF1"/>
            <w:vAlign w:val="center"/>
            <w:hideMark/>
          </w:tcPr>
          <w:p w:rsidR="00A63401" w:rsidRPr="00B75B77" w:rsidRDefault="00A63401" w:rsidP="00A63401">
            <w:pPr>
              <w:rPr>
                <w:rFonts w:ascii="Calibri" w:eastAsia="Times New Roman" w:hAnsi="Calibri"/>
                <w:bCs/>
                <w:color w:val="000000"/>
                <w:sz w:val="18"/>
                <w:szCs w:val="18"/>
              </w:rPr>
            </w:pPr>
            <w:r w:rsidRPr="00B75B77">
              <w:rPr>
                <w:rFonts w:ascii="Calibri" w:eastAsia="Times New Roman" w:hAnsi="Calibri"/>
                <w:bCs/>
                <w:color w:val="000000"/>
                <w:sz w:val="18"/>
                <w:szCs w:val="18"/>
              </w:rPr>
              <w:t>C&amp;I Projects</w:t>
            </w:r>
          </w:p>
        </w:tc>
        <w:tc>
          <w:tcPr>
            <w:tcW w:w="1080" w:type="dxa"/>
            <w:tcBorders>
              <w:top w:val="nil"/>
              <w:left w:val="nil"/>
              <w:bottom w:val="single" w:sz="4" w:space="0" w:color="448A99"/>
              <w:right w:val="single" w:sz="4" w:space="0" w:color="448A99"/>
            </w:tcBorders>
            <w:shd w:val="clear" w:color="000000" w:fill="D2EAF1"/>
            <w:noWrap/>
            <w:vAlign w:val="center"/>
            <w:hideMark/>
          </w:tcPr>
          <w:p w:rsidR="00A63401" w:rsidRPr="00B75B77" w:rsidRDefault="00A63401" w:rsidP="00892930">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035" w:type="dxa"/>
            <w:tcBorders>
              <w:top w:val="nil"/>
              <w:left w:val="nil"/>
              <w:bottom w:val="single" w:sz="4" w:space="0" w:color="448A99"/>
              <w:right w:val="single" w:sz="4" w:space="0" w:color="448A99"/>
            </w:tcBorders>
            <w:shd w:val="clear" w:color="000000" w:fill="D2EAF1"/>
            <w:noWrap/>
            <w:vAlign w:val="center"/>
            <w:hideMark/>
          </w:tcPr>
          <w:p w:rsidR="00A63401" w:rsidRPr="00B75B77" w:rsidRDefault="00A63401" w:rsidP="00892930">
            <w:pPr>
              <w:jc w:val="center"/>
              <w:rPr>
                <w:rFonts w:ascii="Calibri" w:eastAsia="Times New Roman" w:hAnsi="Calibri"/>
                <w:color w:val="000000"/>
                <w:sz w:val="18"/>
                <w:szCs w:val="18"/>
              </w:rPr>
            </w:pPr>
            <w:r w:rsidRPr="00B75B77">
              <w:rPr>
                <w:rFonts w:ascii="Calibri" w:eastAsia="Times New Roman" w:hAnsi="Calibri"/>
                <w:color w:val="000000"/>
                <w:sz w:val="18"/>
                <w:szCs w:val="18"/>
              </w:rPr>
              <w:t>3</w:t>
            </w:r>
          </w:p>
        </w:tc>
        <w:tc>
          <w:tcPr>
            <w:tcW w:w="1305" w:type="dxa"/>
            <w:tcBorders>
              <w:top w:val="nil"/>
              <w:left w:val="nil"/>
              <w:bottom w:val="single" w:sz="4" w:space="0" w:color="448A99"/>
              <w:right w:val="single" w:sz="4" w:space="0" w:color="448A99"/>
            </w:tcBorders>
            <w:shd w:val="clear" w:color="000000" w:fill="D2EAF1"/>
            <w:noWrap/>
            <w:vAlign w:val="center"/>
            <w:hideMark/>
          </w:tcPr>
          <w:p w:rsidR="00A63401" w:rsidRPr="00B75B77" w:rsidRDefault="00A63401" w:rsidP="00892930">
            <w:pPr>
              <w:jc w:val="center"/>
              <w:rPr>
                <w:rFonts w:ascii="Calibri" w:eastAsia="Times New Roman" w:hAnsi="Calibri"/>
                <w:color w:val="000000"/>
                <w:sz w:val="18"/>
                <w:szCs w:val="18"/>
              </w:rPr>
            </w:pPr>
            <w:r w:rsidRPr="00B75B77">
              <w:rPr>
                <w:rFonts w:ascii="Calibri" w:eastAsia="Times New Roman" w:hAnsi="Calibri"/>
                <w:color w:val="000000"/>
                <w:sz w:val="18"/>
                <w:szCs w:val="18"/>
              </w:rPr>
              <w:t>0.50</w:t>
            </w:r>
          </w:p>
        </w:tc>
        <w:tc>
          <w:tcPr>
            <w:tcW w:w="1260" w:type="dxa"/>
            <w:tcBorders>
              <w:top w:val="nil"/>
              <w:left w:val="nil"/>
              <w:bottom w:val="single" w:sz="4" w:space="0" w:color="448A99"/>
              <w:right w:val="single" w:sz="4" w:space="0" w:color="448A99"/>
            </w:tcBorders>
            <w:shd w:val="clear" w:color="000000" w:fill="D2EAF1"/>
            <w:noWrap/>
            <w:vAlign w:val="center"/>
            <w:hideMark/>
          </w:tcPr>
          <w:p w:rsidR="00A63401" w:rsidRPr="00B75B77" w:rsidRDefault="00A63401" w:rsidP="00892930">
            <w:pPr>
              <w:jc w:val="center"/>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900" w:type="dxa"/>
            <w:tcBorders>
              <w:top w:val="nil"/>
              <w:left w:val="nil"/>
              <w:bottom w:val="single" w:sz="4" w:space="0" w:color="448A99"/>
              <w:right w:val="single" w:sz="4" w:space="0" w:color="448A99"/>
            </w:tcBorders>
            <w:shd w:val="clear" w:color="000000" w:fill="D2EAF1"/>
            <w:noWrap/>
            <w:vAlign w:val="center"/>
            <w:hideMark/>
          </w:tcPr>
          <w:p w:rsidR="00A63401" w:rsidRPr="00B75B77" w:rsidRDefault="00A63401" w:rsidP="00892930">
            <w:pPr>
              <w:jc w:val="center"/>
              <w:rPr>
                <w:rFonts w:ascii="Calibri" w:eastAsia="Times New Roman" w:hAnsi="Calibri"/>
                <w:color w:val="000000"/>
                <w:sz w:val="18"/>
                <w:szCs w:val="18"/>
              </w:rPr>
            </w:pPr>
            <w:r w:rsidRPr="00B75B77">
              <w:rPr>
                <w:rFonts w:ascii="Calibri" w:eastAsia="Times New Roman" w:hAnsi="Calibri"/>
                <w:color w:val="000000"/>
                <w:sz w:val="18"/>
                <w:szCs w:val="18"/>
              </w:rPr>
              <w:t>3</w:t>
            </w:r>
          </w:p>
        </w:tc>
        <w:tc>
          <w:tcPr>
            <w:tcW w:w="905" w:type="dxa"/>
            <w:tcBorders>
              <w:top w:val="nil"/>
              <w:left w:val="nil"/>
              <w:bottom w:val="single" w:sz="4" w:space="0" w:color="448A99"/>
              <w:right w:val="single" w:sz="4" w:space="0" w:color="448A99"/>
            </w:tcBorders>
            <w:shd w:val="clear" w:color="000000" w:fill="D2EAF1"/>
            <w:noWrap/>
            <w:vAlign w:val="center"/>
            <w:hideMark/>
          </w:tcPr>
          <w:p w:rsidR="00A63401" w:rsidRPr="00B75B77" w:rsidRDefault="00A63401" w:rsidP="00892930">
            <w:pPr>
              <w:jc w:val="center"/>
              <w:rPr>
                <w:rFonts w:ascii="Calibri" w:eastAsia="Times New Roman" w:hAnsi="Calibri"/>
                <w:color w:val="000000"/>
                <w:sz w:val="18"/>
                <w:szCs w:val="18"/>
              </w:rPr>
            </w:pPr>
            <w:r w:rsidRPr="00B75B77">
              <w:rPr>
                <w:rFonts w:ascii="Calibri" w:eastAsia="Times New Roman" w:hAnsi="Calibri"/>
                <w:color w:val="000000"/>
                <w:sz w:val="18"/>
                <w:szCs w:val="18"/>
              </w:rPr>
              <w:t>3</w:t>
            </w:r>
          </w:p>
        </w:tc>
        <w:tc>
          <w:tcPr>
            <w:tcW w:w="1435" w:type="dxa"/>
            <w:tcBorders>
              <w:top w:val="nil"/>
              <w:left w:val="nil"/>
              <w:bottom w:val="single" w:sz="4" w:space="0" w:color="448A99"/>
              <w:right w:val="single" w:sz="4" w:space="0" w:color="448A99"/>
            </w:tcBorders>
            <w:shd w:val="clear" w:color="000000" w:fill="D2EAF1"/>
            <w:noWrap/>
            <w:vAlign w:val="center"/>
            <w:hideMark/>
          </w:tcPr>
          <w:p w:rsidR="00A63401" w:rsidRPr="00B75B77" w:rsidRDefault="00A63401" w:rsidP="00892930">
            <w:pPr>
              <w:jc w:val="center"/>
              <w:rPr>
                <w:rFonts w:ascii="Calibri" w:eastAsia="Times New Roman" w:hAnsi="Calibri"/>
                <w:color w:val="000000"/>
                <w:sz w:val="18"/>
                <w:szCs w:val="18"/>
              </w:rPr>
            </w:pPr>
            <w:r w:rsidRPr="00B75B77">
              <w:rPr>
                <w:rFonts w:ascii="Calibri" w:eastAsia="Times New Roman" w:hAnsi="Calibri"/>
                <w:color w:val="000000"/>
                <w:sz w:val="18"/>
                <w:szCs w:val="18"/>
              </w:rPr>
              <w:t>100%</w:t>
            </w:r>
          </w:p>
        </w:tc>
      </w:tr>
      <w:tr w:rsidR="00A63401" w:rsidRPr="00B75B77" w:rsidTr="00892930">
        <w:trPr>
          <w:divId w:val="1490293900"/>
          <w:trHeight w:val="288"/>
        </w:trPr>
        <w:tc>
          <w:tcPr>
            <w:tcW w:w="1345" w:type="dxa"/>
            <w:tcBorders>
              <w:top w:val="nil"/>
              <w:left w:val="single" w:sz="4" w:space="0" w:color="448A99"/>
              <w:bottom w:val="single" w:sz="4" w:space="0" w:color="448A99"/>
              <w:right w:val="single" w:sz="4" w:space="0" w:color="448A99"/>
            </w:tcBorders>
            <w:shd w:val="clear" w:color="000000" w:fill="FFFFFF"/>
            <w:vAlign w:val="center"/>
            <w:hideMark/>
          </w:tcPr>
          <w:p w:rsidR="00A63401" w:rsidRPr="00B75B77" w:rsidRDefault="00A63401" w:rsidP="00A63401">
            <w:pPr>
              <w:rPr>
                <w:rFonts w:ascii="Calibri" w:eastAsia="Times New Roman" w:hAnsi="Calibri"/>
                <w:bCs/>
                <w:color w:val="000000"/>
                <w:sz w:val="18"/>
                <w:szCs w:val="18"/>
              </w:rPr>
            </w:pPr>
            <w:r w:rsidRPr="00B75B77">
              <w:rPr>
                <w:rFonts w:ascii="Calibri" w:eastAsia="Times New Roman" w:hAnsi="Calibri"/>
                <w:bCs/>
                <w:color w:val="000000"/>
                <w:sz w:val="18"/>
                <w:szCs w:val="18"/>
              </w:rPr>
              <w:t>GNI Projects</w:t>
            </w:r>
          </w:p>
        </w:tc>
        <w:tc>
          <w:tcPr>
            <w:tcW w:w="1080" w:type="dxa"/>
            <w:tcBorders>
              <w:top w:val="nil"/>
              <w:left w:val="nil"/>
              <w:bottom w:val="single" w:sz="4" w:space="0" w:color="448A99"/>
              <w:right w:val="single" w:sz="4" w:space="0" w:color="448A99"/>
            </w:tcBorders>
            <w:shd w:val="clear" w:color="000000" w:fill="FFFFFF"/>
            <w:noWrap/>
            <w:vAlign w:val="center"/>
            <w:hideMark/>
          </w:tcPr>
          <w:p w:rsidR="00A63401" w:rsidRPr="00B75B77" w:rsidRDefault="00A63401" w:rsidP="00892930">
            <w:pPr>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035" w:type="dxa"/>
            <w:tcBorders>
              <w:top w:val="nil"/>
              <w:left w:val="nil"/>
              <w:bottom w:val="single" w:sz="4" w:space="0" w:color="448A99"/>
              <w:right w:val="single" w:sz="4" w:space="0" w:color="448A99"/>
            </w:tcBorders>
            <w:shd w:val="clear" w:color="000000" w:fill="FFFFFF"/>
            <w:noWrap/>
            <w:vAlign w:val="center"/>
            <w:hideMark/>
          </w:tcPr>
          <w:p w:rsidR="00A63401" w:rsidRPr="00B75B77" w:rsidRDefault="00A63401" w:rsidP="00892930">
            <w:pPr>
              <w:jc w:val="center"/>
              <w:rPr>
                <w:rFonts w:ascii="Calibri" w:eastAsia="Times New Roman" w:hAnsi="Calibri"/>
                <w:color w:val="000000"/>
                <w:sz w:val="18"/>
                <w:szCs w:val="18"/>
              </w:rPr>
            </w:pPr>
            <w:r w:rsidRPr="00B75B77">
              <w:rPr>
                <w:rFonts w:ascii="Calibri" w:eastAsia="Times New Roman" w:hAnsi="Calibri"/>
                <w:color w:val="000000"/>
                <w:sz w:val="18"/>
                <w:szCs w:val="18"/>
              </w:rPr>
              <w:t>3</w:t>
            </w:r>
          </w:p>
        </w:tc>
        <w:tc>
          <w:tcPr>
            <w:tcW w:w="1305" w:type="dxa"/>
            <w:tcBorders>
              <w:top w:val="nil"/>
              <w:left w:val="nil"/>
              <w:bottom w:val="single" w:sz="4" w:space="0" w:color="448A99"/>
              <w:right w:val="single" w:sz="4" w:space="0" w:color="448A99"/>
            </w:tcBorders>
            <w:shd w:val="clear" w:color="000000" w:fill="FFFFFF"/>
            <w:noWrap/>
            <w:vAlign w:val="center"/>
            <w:hideMark/>
          </w:tcPr>
          <w:p w:rsidR="00A63401" w:rsidRPr="00B75B77" w:rsidRDefault="00A63401" w:rsidP="00892930">
            <w:pPr>
              <w:jc w:val="center"/>
              <w:rPr>
                <w:rFonts w:ascii="Calibri" w:eastAsia="Times New Roman" w:hAnsi="Calibri"/>
                <w:color w:val="000000"/>
                <w:sz w:val="18"/>
                <w:szCs w:val="18"/>
              </w:rPr>
            </w:pPr>
            <w:r w:rsidRPr="00B75B77">
              <w:rPr>
                <w:rFonts w:ascii="Calibri" w:eastAsia="Times New Roman" w:hAnsi="Calibri"/>
                <w:color w:val="000000"/>
                <w:sz w:val="18"/>
                <w:szCs w:val="18"/>
              </w:rPr>
              <w:t>0.50</w:t>
            </w:r>
          </w:p>
        </w:tc>
        <w:tc>
          <w:tcPr>
            <w:tcW w:w="1260" w:type="dxa"/>
            <w:tcBorders>
              <w:top w:val="nil"/>
              <w:left w:val="nil"/>
              <w:bottom w:val="single" w:sz="4" w:space="0" w:color="448A99"/>
              <w:right w:val="single" w:sz="4" w:space="0" w:color="448A99"/>
            </w:tcBorders>
            <w:shd w:val="clear" w:color="000000" w:fill="FFFFFF"/>
            <w:noWrap/>
            <w:vAlign w:val="center"/>
            <w:hideMark/>
          </w:tcPr>
          <w:p w:rsidR="00A63401" w:rsidRPr="00B75B77" w:rsidRDefault="00A63401" w:rsidP="00892930">
            <w:pPr>
              <w:jc w:val="center"/>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900" w:type="dxa"/>
            <w:tcBorders>
              <w:top w:val="nil"/>
              <w:left w:val="nil"/>
              <w:bottom w:val="single" w:sz="4" w:space="0" w:color="448A99"/>
              <w:right w:val="single" w:sz="4" w:space="0" w:color="448A99"/>
            </w:tcBorders>
            <w:shd w:val="clear" w:color="000000" w:fill="FFFFFF"/>
            <w:noWrap/>
            <w:vAlign w:val="center"/>
            <w:hideMark/>
          </w:tcPr>
          <w:p w:rsidR="00A63401" w:rsidRPr="00B75B77" w:rsidRDefault="00A63401" w:rsidP="00892930">
            <w:pPr>
              <w:jc w:val="center"/>
              <w:rPr>
                <w:rFonts w:ascii="Calibri" w:eastAsia="Times New Roman" w:hAnsi="Calibri"/>
                <w:color w:val="000000"/>
                <w:sz w:val="18"/>
                <w:szCs w:val="18"/>
              </w:rPr>
            </w:pPr>
            <w:r w:rsidRPr="00B75B77">
              <w:rPr>
                <w:rFonts w:ascii="Calibri" w:eastAsia="Times New Roman" w:hAnsi="Calibri"/>
                <w:color w:val="000000"/>
                <w:sz w:val="18"/>
                <w:szCs w:val="18"/>
              </w:rPr>
              <w:t>3</w:t>
            </w:r>
          </w:p>
        </w:tc>
        <w:tc>
          <w:tcPr>
            <w:tcW w:w="905" w:type="dxa"/>
            <w:tcBorders>
              <w:top w:val="nil"/>
              <w:left w:val="nil"/>
              <w:bottom w:val="single" w:sz="4" w:space="0" w:color="448A99"/>
              <w:right w:val="single" w:sz="4" w:space="0" w:color="448A99"/>
            </w:tcBorders>
            <w:shd w:val="clear" w:color="000000" w:fill="FFFFFF"/>
            <w:noWrap/>
            <w:vAlign w:val="center"/>
            <w:hideMark/>
          </w:tcPr>
          <w:p w:rsidR="00A63401" w:rsidRPr="00B75B77" w:rsidRDefault="00A63401" w:rsidP="00892930">
            <w:pPr>
              <w:jc w:val="center"/>
              <w:rPr>
                <w:rFonts w:ascii="Calibri" w:eastAsia="Times New Roman" w:hAnsi="Calibri"/>
                <w:color w:val="000000"/>
                <w:sz w:val="18"/>
                <w:szCs w:val="18"/>
              </w:rPr>
            </w:pPr>
            <w:r w:rsidRPr="00B75B77">
              <w:rPr>
                <w:rFonts w:ascii="Calibri" w:eastAsia="Times New Roman" w:hAnsi="Calibri"/>
                <w:color w:val="000000"/>
                <w:sz w:val="18"/>
                <w:szCs w:val="18"/>
              </w:rPr>
              <w:t>3</w:t>
            </w:r>
          </w:p>
        </w:tc>
        <w:tc>
          <w:tcPr>
            <w:tcW w:w="1435" w:type="dxa"/>
            <w:tcBorders>
              <w:top w:val="nil"/>
              <w:left w:val="nil"/>
              <w:bottom w:val="single" w:sz="4" w:space="0" w:color="448A99"/>
              <w:right w:val="single" w:sz="4" w:space="0" w:color="448A99"/>
            </w:tcBorders>
            <w:shd w:val="clear" w:color="000000" w:fill="FFFFFF"/>
            <w:noWrap/>
            <w:vAlign w:val="center"/>
            <w:hideMark/>
          </w:tcPr>
          <w:p w:rsidR="00A63401" w:rsidRPr="00B75B77" w:rsidRDefault="00A63401" w:rsidP="00892930">
            <w:pPr>
              <w:jc w:val="center"/>
              <w:rPr>
                <w:rFonts w:ascii="Calibri" w:eastAsia="Times New Roman" w:hAnsi="Calibri"/>
                <w:color w:val="000000"/>
                <w:sz w:val="18"/>
                <w:szCs w:val="18"/>
              </w:rPr>
            </w:pPr>
            <w:r w:rsidRPr="00B75B77">
              <w:rPr>
                <w:rFonts w:ascii="Calibri" w:eastAsia="Times New Roman" w:hAnsi="Calibri"/>
                <w:color w:val="000000"/>
                <w:sz w:val="18"/>
                <w:szCs w:val="18"/>
              </w:rPr>
              <w:t>100%</w:t>
            </w:r>
          </w:p>
        </w:tc>
      </w:tr>
      <w:tr w:rsidR="00A63401" w:rsidRPr="00B75B77" w:rsidTr="00892930">
        <w:trPr>
          <w:divId w:val="1490293900"/>
          <w:trHeight w:val="240"/>
        </w:trPr>
        <w:tc>
          <w:tcPr>
            <w:tcW w:w="1345" w:type="dxa"/>
            <w:tcBorders>
              <w:top w:val="nil"/>
              <w:left w:val="single" w:sz="4" w:space="0" w:color="448A99"/>
              <w:bottom w:val="single" w:sz="4" w:space="0" w:color="448A99"/>
              <w:right w:val="single" w:sz="4" w:space="0" w:color="448A99"/>
            </w:tcBorders>
            <w:shd w:val="clear" w:color="000000" w:fill="D2EAF1"/>
            <w:noWrap/>
            <w:vAlign w:val="center"/>
            <w:hideMark/>
          </w:tcPr>
          <w:p w:rsidR="00A63401" w:rsidRPr="00B75B77" w:rsidRDefault="00892930" w:rsidP="00A63401">
            <w:pPr>
              <w:jc w:val="left"/>
              <w:rPr>
                <w:rFonts w:ascii="Calibri" w:eastAsia="Times New Roman" w:hAnsi="Calibri"/>
                <w:b/>
                <w:color w:val="000000"/>
                <w:sz w:val="18"/>
                <w:szCs w:val="18"/>
              </w:rPr>
            </w:pPr>
            <w:r w:rsidRPr="00B75B77">
              <w:rPr>
                <w:rFonts w:ascii="Calibri" w:eastAsia="Times New Roman" w:hAnsi="Calibri"/>
                <w:b/>
                <w:color w:val="000000"/>
                <w:sz w:val="18"/>
                <w:szCs w:val="18"/>
              </w:rPr>
              <w:t>PROGRAM TOTAL</w:t>
            </w:r>
          </w:p>
        </w:tc>
        <w:tc>
          <w:tcPr>
            <w:tcW w:w="1080" w:type="dxa"/>
            <w:tcBorders>
              <w:top w:val="nil"/>
              <w:left w:val="nil"/>
              <w:bottom w:val="single" w:sz="4" w:space="0" w:color="448A99"/>
              <w:right w:val="single" w:sz="4" w:space="0" w:color="448A99"/>
            </w:tcBorders>
            <w:shd w:val="clear" w:color="000000" w:fill="D2EAF1"/>
            <w:noWrap/>
            <w:vAlign w:val="center"/>
            <w:hideMark/>
          </w:tcPr>
          <w:p w:rsidR="00A63401" w:rsidRPr="00B75B77" w:rsidRDefault="00620F33" w:rsidP="00892930">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N/A</w:t>
            </w:r>
          </w:p>
        </w:tc>
        <w:tc>
          <w:tcPr>
            <w:tcW w:w="1035" w:type="dxa"/>
            <w:tcBorders>
              <w:top w:val="nil"/>
              <w:left w:val="nil"/>
              <w:bottom w:val="single" w:sz="4" w:space="0" w:color="448A99"/>
              <w:right w:val="single" w:sz="4" w:space="0" w:color="448A99"/>
            </w:tcBorders>
            <w:shd w:val="clear" w:color="000000" w:fill="D2EAF1"/>
            <w:noWrap/>
            <w:vAlign w:val="center"/>
            <w:hideMark/>
          </w:tcPr>
          <w:p w:rsidR="00A63401" w:rsidRPr="00B75B77" w:rsidRDefault="00892930" w:rsidP="00892930">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6</w:t>
            </w:r>
          </w:p>
        </w:tc>
        <w:tc>
          <w:tcPr>
            <w:tcW w:w="1305" w:type="dxa"/>
            <w:tcBorders>
              <w:top w:val="nil"/>
              <w:left w:val="nil"/>
              <w:bottom w:val="single" w:sz="4" w:space="0" w:color="448A99"/>
              <w:right w:val="single" w:sz="4" w:space="0" w:color="448A99"/>
            </w:tcBorders>
            <w:shd w:val="clear" w:color="000000" w:fill="D2EAF1"/>
            <w:noWrap/>
            <w:vAlign w:val="center"/>
            <w:hideMark/>
          </w:tcPr>
          <w:p w:rsidR="00A63401" w:rsidRPr="00B75B77" w:rsidRDefault="00620F33" w:rsidP="00892930">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N/A</w:t>
            </w:r>
          </w:p>
        </w:tc>
        <w:tc>
          <w:tcPr>
            <w:tcW w:w="1260" w:type="dxa"/>
            <w:tcBorders>
              <w:top w:val="nil"/>
              <w:left w:val="nil"/>
              <w:bottom w:val="single" w:sz="4" w:space="0" w:color="448A99"/>
              <w:right w:val="single" w:sz="4" w:space="0" w:color="448A99"/>
            </w:tcBorders>
            <w:shd w:val="clear" w:color="000000" w:fill="D2EAF1"/>
            <w:noWrap/>
            <w:vAlign w:val="center"/>
            <w:hideMark/>
          </w:tcPr>
          <w:p w:rsidR="00A63401" w:rsidRPr="00B75B77" w:rsidRDefault="00620F33" w:rsidP="00892930">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85/15</w:t>
            </w:r>
          </w:p>
        </w:tc>
        <w:tc>
          <w:tcPr>
            <w:tcW w:w="900" w:type="dxa"/>
            <w:tcBorders>
              <w:top w:val="nil"/>
              <w:left w:val="nil"/>
              <w:bottom w:val="single" w:sz="4" w:space="0" w:color="448A99"/>
              <w:right w:val="single" w:sz="4" w:space="0" w:color="448A99"/>
            </w:tcBorders>
            <w:shd w:val="clear" w:color="000000" w:fill="D2EAF1"/>
            <w:noWrap/>
            <w:vAlign w:val="center"/>
            <w:hideMark/>
          </w:tcPr>
          <w:p w:rsidR="00A63401" w:rsidRPr="00B75B77" w:rsidRDefault="00892930" w:rsidP="00892930">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6</w:t>
            </w:r>
          </w:p>
        </w:tc>
        <w:tc>
          <w:tcPr>
            <w:tcW w:w="905" w:type="dxa"/>
            <w:tcBorders>
              <w:top w:val="nil"/>
              <w:left w:val="nil"/>
              <w:bottom w:val="single" w:sz="4" w:space="0" w:color="448A99"/>
              <w:right w:val="single" w:sz="4" w:space="0" w:color="448A99"/>
            </w:tcBorders>
            <w:shd w:val="clear" w:color="000000" w:fill="D2EAF1"/>
            <w:noWrap/>
            <w:vAlign w:val="center"/>
            <w:hideMark/>
          </w:tcPr>
          <w:p w:rsidR="00A63401" w:rsidRPr="00B75B77" w:rsidRDefault="00892930" w:rsidP="00892930">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6</w:t>
            </w:r>
          </w:p>
        </w:tc>
        <w:tc>
          <w:tcPr>
            <w:tcW w:w="1435" w:type="dxa"/>
            <w:tcBorders>
              <w:top w:val="nil"/>
              <w:left w:val="nil"/>
              <w:bottom w:val="single" w:sz="4" w:space="0" w:color="448A99"/>
              <w:right w:val="single" w:sz="4" w:space="0" w:color="448A99"/>
            </w:tcBorders>
            <w:shd w:val="clear" w:color="000000" w:fill="D2EAF1"/>
            <w:noWrap/>
            <w:vAlign w:val="center"/>
            <w:hideMark/>
          </w:tcPr>
          <w:p w:rsidR="00A63401" w:rsidRPr="00B75B77" w:rsidRDefault="00620F33" w:rsidP="00892930">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100%</w:t>
            </w:r>
          </w:p>
        </w:tc>
      </w:tr>
    </w:tbl>
    <w:p w:rsidR="00A63401" w:rsidRPr="00B75B77" w:rsidRDefault="00A63401" w:rsidP="00A63401">
      <w:pPr>
        <w:jc w:val="left"/>
        <w:rPr>
          <w:rFonts w:ascii="Calibri" w:eastAsia="Times New Roman" w:hAnsi="Calibri"/>
          <w:iCs/>
          <w:color w:val="000000"/>
          <w:sz w:val="18"/>
          <w:szCs w:val="18"/>
        </w:rPr>
      </w:pPr>
      <w:r w:rsidRPr="00B75B77">
        <w:rPr>
          <w:rFonts w:ascii="Calibri" w:eastAsia="Times New Roman" w:hAnsi="Calibri"/>
          <w:iCs/>
          <w:color w:val="000000"/>
          <w:sz w:val="18"/>
          <w:szCs w:val="18"/>
          <w:vertAlign w:val="superscript"/>
        </w:rPr>
        <w:t>[1]</w:t>
      </w:r>
      <w:r w:rsidRPr="00B75B77">
        <w:rPr>
          <w:rFonts w:ascii="Calibri" w:eastAsia="Times New Roman" w:hAnsi="Calibri"/>
          <w:iCs/>
          <w:color w:val="000000"/>
          <w:sz w:val="18"/>
          <w:szCs w:val="18"/>
        </w:rPr>
        <w:t xml:space="preserve"> </w:t>
      </w:r>
      <w:r w:rsidR="00892930" w:rsidRPr="00B75B77">
        <w:rPr>
          <w:rFonts w:ascii="Calibri" w:eastAsia="Times New Roman" w:hAnsi="Calibri"/>
          <w:color w:val="000000"/>
          <w:sz w:val="18"/>
          <w:szCs w:val="18"/>
        </w:rPr>
        <w:t>Sample frame is a list of contacts that have a chance to be selected into the sample. Percentage contacted means of all the sample frame the percentage that were contacted to get the completed surveys.</w:t>
      </w:r>
    </w:p>
    <w:p w:rsidR="00A63401" w:rsidRPr="00B75B77" w:rsidRDefault="00A63401" w:rsidP="00A63401">
      <w:pPr>
        <w:pStyle w:val="Source"/>
        <w:keepNext/>
        <w:spacing w:before="20" w:after="20"/>
        <w:ind w:left="0" w:firstLine="0"/>
        <w:rPr>
          <w:i w:val="0"/>
        </w:rPr>
      </w:pPr>
      <w:r w:rsidRPr="00B75B77">
        <w:rPr>
          <w:rFonts w:ascii="Calibri" w:hAnsi="Calibri"/>
          <w:i w:val="0"/>
          <w:iCs/>
          <w:color w:val="000000"/>
          <w:szCs w:val="18"/>
        </w:rPr>
        <w:t>Note: Values in tables may not reconcile exactly with the sum of more detailed level results or previously reported results due to rounding.</w:t>
      </w:r>
    </w:p>
    <w:p w:rsidR="00A63401" w:rsidRPr="00B75B77" w:rsidRDefault="00A63401" w:rsidP="00A63401">
      <w:pPr>
        <w:pStyle w:val="Source"/>
        <w:spacing w:after="120"/>
        <w:ind w:left="0" w:firstLine="0"/>
      </w:pPr>
      <w:r w:rsidRPr="00B75B77">
        <w:t>Source: Navigant analysis</w:t>
      </w:r>
    </w:p>
    <w:p w:rsidR="00A63401" w:rsidRPr="00B75B77" w:rsidRDefault="00A63401">
      <w:pPr>
        <w:jc w:val="left"/>
        <w:rPr>
          <w:b/>
          <w:bCs/>
        </w:rPr>
      </w:pPr>
    </w:p>
    <w:p w:rsidR="00A63401" w:rsidRPr="00B75B77" w:rsidRDefault="00A63401" w:rsidP="00A63401">
      <w:pPr>
        <w:pStyle w:val="Heading3"/>
      </w:pPr>
      <w:bookmarkStart w:id="943" w:name="_Toc466413458"/>
      <w:r w:rsidRPr="00B75B77">
        <w:t>Net Verified Savings Results</w:t>
      </w:r>
      <w:bookmarkEnd w:id="943"/>
      <w:r w:rsidRPr="00B75B77">
        <w:t xml:space="preserve"> </w:t>
      </w:r>
    </w:p>
    <w:p w:rsidR="00A63401" w:rsidRPr="00B75B77" w:rsidRDefault="00A63401" w:rsidP="00A63401">
      <w:r w:rsidRPr="00B75B77">
        <w:fldChar w:fldCharType="begin"/>
      </w:r>
      <w:r w:rsidRPr="00B75B77">
        <w:instrText xml:space="preserve"> REF _Ref463274466 \h </w:instrText>
      </w:r>
      <w:r w:rsidR="00B75B77">
        <w:instrText xml:space="preserve"> \* MERGEFORMAT </w:instrText>
      </w:r>
      <w:r w:rsidRPr="00B75B77">
        <w:fldChar w:fldCharType="separate"/>
      </w:r>
      <w:r w:rsidR="0004016D" w:rsidRPr="00B75B77">
        <w:t xml:space="preserve">Table </w:t>
      </w:r>
      <w:r w:rsidR="0004016D">
        <w:rPr>
          <w:noProof/>
        </w:rPr>
        <w:t>15</w:t>
      </w:r>
      <w:r w:rsidR="0004016D" w:rsidRPr="00B75B77">
        <w:rPr>
          <w:noProof/>
        </w:rPr>
        <w:noBreakHyphen/>
      </w:r>
      <w:r w:rsidR="0004016D">
        <w:rPr>
          <w:noProof/>
        </w:rPr>
        <w:t>7</w:t>
      </w:r>
      <w:r w:rsidRPr="00B75B77">
        <w:fldChar w:fldCharType="end"/>
      </w:r>
      <w:r w:rsidR="00892930" w:rsidRPr="00B75B77">
        <w:t xml:space="preserve"> summarizes the NTG results</w:t>
      </w:r>
      <w:r w:rsidRPr="00B75B77">
        <w:t xml:space="preserve">. The low NTG ratio for the </w:t>
      </w:r>
      <w:r w:rsidR="00892930" w:rsidRPr="00B75B77">
        <w:t>l</w:t>
      </w:r>
      <w:r w:rsidRPr="00B75B77">
        <w:t xml:space="preserve">arge C&amp;I sector, 0.63, was driven by a single participant with two projects in PY7. Both projects were at apartment complexes owned by a publicly traded real estate investment trust that owns and operates 196 apartment communities nationwide. The company has a grant research and energy efficiency team dedicated to tracking utility incentive programs. </w:t>
      </w:r>
    </w:p>
    <w:p w:rsidR="00A63401" w:rsidRPr="00B75B77" w:rsidRDefault="00A63401" w:rsidP="00A63401"/>
    <w:p w:rsidR="00A63401" w:rsidRPr="00B75B77" w:rsidRDefault="00A63401" w:rsidP="003C6A1E">
      <w:pPr>
        <w:pStyle w:val="Caption"/>
      </w:pPr>
      <w:bookmarkStart w:id="944" w:name="_Ref463274466"/>
      <w:bookmarkStart w:id="945" w:name="_Ref463274450"/>
      <w:bookmarkStart w:id="946" w:name="_Toc466413643"/>
      <w:r w:rsidRPr="00B75B77">
        <w:t xml:space="preserve">Table </w:t>
      </w:r>
      <w:fldSimple w:instr=" STYLEREF 1 \s ">
        <w:r w:rsidR="0004016D">
          <w:rPr>
            <w:noProof/>
          </w:rPr>
          <w:t>15</w:t>
        </w:r>
      </w:fldSimple>
      <w:r w:rsidR="00F1144C" w:rsidRPr="00B75B77">
        <w:noBreakHyphen/>
      </w:r>
      <w:fldSimple w:instr=" SEQ Table \* ARABIC \s 1 ">
        <w:r w:rsidR="0004016D">
          <w:rPr>
            <w:noProof/>
          </w:rPr>
          <w:t>7</w:t>
        </w:r>
      </w:fldSimple>
      <w:bookmarkEnd w:id="944"/>
      <w:r w:rsidRPr="00B75B77">
        <w:t>: PY7 Smart On-Site Summary of Evaluation Results for NTG Research</w:t>
      </w:r>
      <w:bookmarkEnd w:id="945"/>
      <w:bookmarkEnd w:id="946"/>
    </w:p>
    <w:tbl>
      <w:tblPr>
        <w:tblW w:w="9265" w:type="dxa"/>
        <w:tblLayout w:type="fixed"/>
        <w:tblLook w:val="04A0" w:firstRow="1" w:lastRow="0" w:firstColumn="1" w:lastColumn="0" w:noHBand="0" w:noVBand="1"/>
      </w:tblPr>
      <w:tblGrid>
        <w:gridCol w:w="1162"/>
        <w:gridCol w:w="1353"/>
        <w:gridCol w:w="1890"/>
        <w:gridCol w:w="1260"/>
        <w:gridCol w:w="1800"/>
        <w:gridCol w:w="1800"/>
      </w:tblGrid>
      <w:tr w:rsidR="00A63401" w:rsidRPr="00B75B77" w:rsidTr="00A63401">
        <w:trPr>
          <w:divId w:val="1427341262"/>
          <w:trHeight w:val="420"/>
        </w:trPr>
        <w:tc>
          <w:tcPr>
            <w:tcW w:w="1162"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A63401" w:rsidRPr="00B75B77" w:rsidRDefault="00A63401" w:rsidP="00892930">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Stratum</w:t>
            </w:r>
          </w:p>
        </w:tc>
        <w:tc>
          <w:tcPr>
            <w:tcW w:w="1353"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A63401" w:rsidRPr="00B75B77" w:rsidRDefault="00A63401" w:rsidP="00A63401">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Estimated Free Ridership</w:t>
            </w:r>
          </w:p>
        </w:tc>
        <w:tc>
          <w:tcPr>
            <w:tcW w:w="189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A63401" w:rsidRPr="00B75B77" w:rsidRDefault="00A63401" w:rsidP="00A63401">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Estimated Participant Spillover</w:t>
            </w:r>
          </w:p>
        </w:tc>
        <w:tc>
          <w:tcPr>
            <w:tcW w:w="126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A63401" w:rsidRPr="00B75B77" w:rsidRDefault="00A63401" w:rsidP="00A63401">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NTG Ratio</w:t>
            </w:r>
          </w:p>
        </w:tc>
        <w:tc>
          <w:tcPr>
            <w:tcW w:w="180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A63401" w:rsidRPr="00B75B77" w:rsidRDefault="00A63401" w:rsidP="00A63401">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Observed CV or Proportion</w:t>
            </w:r>
          </w:p>
        </w:tc>
        <w:tc>
          <w:tcPr>
            <w:tcW w:w="180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A63401" w:rsidRPr="00B75B77" w:rsidRDefault="00A63401" w:rsidP="00A63401">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Relative Precision</w:t>
            </w:r>
          </w:p>
        </w:tc>
      </w:tr>
      <w:tr w:rsidR="00A63401" w:rsidRPr="00B75B77" w:rsidTr="00A63401">
        <w:trPr>
          <w:divId w:val="1427341262"/>
          <w:trHeight w:val="288"/>
        </w:trPr>
        <w:tc>
          <w:tcPr>
            <w:tcW w:w="1162" w:type="dxa"/>
            <w:vMerge/>
            <w:tcBorders>
              <w:top w:val="single" w:sz="4" w:space="0" w:color="auto"/>
              <w:left w:val="single" w:sz="4" w:space="0" w:color="auto"/>
              <w:bottom w:val="single" w:sz="4" w:space="0" w:color="000000"/>
              <w:right w:val="single" w:sz="4" w:space="0" w:color="auto"/>
            </w:tcBorders>
            <w:vAlign w:val="center"/>
            <w:hideMark/>
          </w:tcPr>
          <w:p w:rsidR="00A63401" w:rsidRPr="00B75B77" w:rsidRDefault="00A63401" w:rsidP="00A63401">
            <w:pPr>
              <w:jc w:val="left"/>
              <w:rPr>
                <w:rFonts w:ascii="Calibri" w:eastAsia="Times New Roman" w:hAnsi="Calibri"/>
                <w:b/>
                <w:bCs/>
                <w:color w:val="FFFFFF"/>
                <w:sz w:val="18"/>
                <w:szCs w:val="18"/>
              </w:rPr>
            </w:pPr>
          </w:p>
        </w:tc>
        <w:tc>
          <w:tcPr>
            <w:tcW w:w="1353" w:type="dxa"/>
            <w:vMerge/>
            <w:tcBorders>
              <w:top w:val="single" w:sz="4" w:space="0" w:color="auto"/>
              <w:left w:val="single" w:sz="4" w:space="0" w:color="auto"/>
              <w:bottom w:val="single" w:sz="4" w:space="0" w:color="000000"/>
              <w:right w:val="single" w:sz="4" w:space="0" w:color="auto"/>
            </w:tcBorders>
            <w:vAlign w:val="center"/>
            <w:hideMark/>
          </w:tcPr>
          <w:p w:rsidR="00A63401" w:rsidRPr="00B75B77" w:rsidRDefault="00A63401" w:rsidP="00A63401">
            <w:pPr>
              <w:jc w:val="left"/>
              <w:rPr>
                <w:rFonts w:ascii="Calibri" w:eastAsia="Times New Roman" w:hAnsi="Calibri"/>
                <w:b/>
                <w:bCs/>
                <w:color w:val="FFFFFF"/>
                <w:sz w:val="18"/>
                <w:szCs w:val="18"/>
              </w:rPr>
            </w:pPr>
          </w:p>
        </w:tc>
        <w:tc>
          <w:tcPr>
            <w:tcW w:w="1890" w:type="dxa"/>
            <w:vMerge/>
            <w:tcBorders>
              <w:top w:val="single" w:sz="4" w:space="0" w:color="auto"/>
              <w:left w:val="single" w:sz="4" w:space="0" w:color="auto"/>
              <w:bottom w:val="single" w:sz="4" w:space="0" w:color="000000"/>
              <w:right w:val="single" w:sz="4" w:space="0" w:color="auto"/>
            </w:tcBorders>
            <w:vAlign w:val="center"/>
            <w:hideMark/>
          </w:tcPr>
          <w:p w:rsidR="00A63401" w:rsidRPr="00B75B77" w:rsidRDefault="00A63401" w:rsidP="00A63401">
            <w:pPr>
              <w:jc w:val="left"/>
              <w:rPr>
                <w:rFonts w:ascii="Calibri" w:eastAsia="Times New Roman" w:hAnsi="Calibri"/>
                <w:b/>
                <w:bCs/>
                <w:color w:val="FFFFFF"/>
                <w:sz w:val="18"/>
                <w:szCs w:val="18"/>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rsidR="00A63401" w:rsidRPr="00B75B77" w:rsidRDefault="00A63401" w:rsidP="00A63401">
            <w:pPr>
              <w:jc w:val="left"/>
              <w:rPr>
                <w:rFonts w:ascii="Calibri" w:eastAsia="Times New Roman" w:hAnsi="Calibri"/>
                <w:b/>
                <w:bCs/>
                <w:color w:val="FFFFFF"/>
                <w:sz w:val="18"/>
                <w:szCs w:val="18"/>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A63401" w:rsidRPr="00B75B77" w:rsidRDefault="00A63401" w:rsidP="00A63401">
            <w:pPr>
              <w:jc w:val="left"/>
              <w:rPr>
                <w:rFonts w:ascii="Calibri" w:eastAsia="Times New Roman" w:hAnsi="Calibri"/>
                <w:b/>
                <w:bCs/>
                <w:color w:val="FFFFFF"/>
                <w:sz w:val="18"/>
                <w:szCs w:val="18"/>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A63401" w:rsidRPr="00B75B77" w:rsidRDefault="00A63401" w:rsidP="00A63401">
            <w:pPr>
              <w:jc w:val="left"/>
              <w:rPr>
                <w:rFonts w:ascii="Calibri" w:eastAsia="Times New Roman" w:hAnsi="Calibri"/>
                <w:b/>
                <w:bCs/>
                <w:color w:val="FFFFFF"/>
                <w:sz w:val="18"/>
                <w:szCs w:val="18"/>
              </w:rPr>
            </w:pPr>
          </w:p>
        </w:tc>
      </w:tr>
      <w:tr w:rsidR="00A63401" w:rsidRPr="00B75B77" w:rsidTr="00A63401">
        <w:trPr>
          <w:divId w:val="1427341262"/>
          <w:trHeight w:val="288"/>
        </w:trPr>
        <w:tc>
          <w:tcPr>
            <w:tcW w:w="1162" w:type="dxa"/>
            <w:tcBorders>
              <w:top w:val="nil"/>
              <w:left w:val="single" w:sz="4" w:space="0" w:color="448A99"/>
              <w:bottom w:val="single" w:sz="4" w:space="0" w:color="448A99"/>
              <w:right w:val="single" w:sz="4" w:space="0" w:color="448A99"/>
            </w:tcBorders>
            <w:shd w:val="clear" w:color="000000" w:fill="D2EAF1"/>
            <w:vAlign w:val="center"/>
            <w:hideMark/>
          </w:tcPr>
          <w:p w:rsidR="00A63401" w:rsidRPr="00B75B77" w:rsidRDefault="00A63401" w:rsidP="00A63401">
            <w:pPr>
              <w:rPr>
                <w:rFonts w:ascii="Calibri" w:eastAsia="Times New Roman" w:hAnsi="Calibri"/>
                <w:bCs/>
                <w:color w:val="000000"/>
                <w:sz w:val="18"/>
                <w:szCs w:val="18"/>
              </w:rPr>
            </w:pPr>
            <w:r w:rsidRPr="00B75B77">
              <w:rPr>
                <w:rFonts w:ascii="Calibri" w:eastAsia="Times New Roman" w:hAnsi="Calibri"/>
                <w:bCs/>
                <w:color w:val="000000"/>
                <w:sz w:val="18"/>
                <w:szCs w:val="18"/>
              </w:rPr>
              <w:t>C&amp;I Projects</w:t>
            </w:r>
          </w:p>
        </w:tc>
        <w:tc>
          <w:tcPr>
            <w:tcW w:w="1353" w:type="dxa"/>
            <w:tcBorders>
              <w:top w:val="nil"/>
              <w:left w:val="nil"/>
              <w:bottom w:val="single" w:sz="4" w:space="0" w:color="448A99"/>
              <w:right w:val="single" w:sz="4" w:space="0" w:color="448A99"/>
            </w:tcBorders>
            <w:shd w:val="clear" w:color="000000" w:fill="D2EAF1"/>
            <w:vAlign w:val="center"/>
            <w:hideMark/>
          </w:tcPr>
          <w:p w:rsidR="00A63401" w:rsidRPr="00B75B77" w:rsidRDefault="00A63401" w:rsidP="00A63401">
            <w:pPr>
              <w:jc w:val="center"/>
              <w:rPr>
                <w:rFonts w:ascii="Calibri" w:eastAsia="Times New Roman" w:hAnsi="Calibri"/>
                <w:color w:val="000000"/>
                <w:sz w:val="18"/>
                <w:szCs w:val="18"/>
              </w:rPr>
            </w:pPr>
            <w:r w:rsidRPr="00B75B77">
              <w:rPr>
                <w:rFonts w:ascii="Calibri" w:eastAsia="Times New Roman" w:hAnsi="Calibri"/>
                <w:color w:val="000000"/>
                <w:sz w:val="18"/>
                <w:szCs w:val="18"/>
              </w:rPr>
              <w:t>0.38</w:t>
            </w:r>
          </w:p>
        </w:tc>
        <w:tc>
          <w:tcPr>
            <w:tcW w:w="1890" w:type="dxa"/>
            <w:tcBorders>
              <w:top w:val="nil"/>
              <w:left w:val="nil"/>
              <w:bottom w:val="single" w:sz="4" w:space="0" w:color="448A99"/>
              <w:right w:val="single" w:sz="4" w:space="0" w:color="448A99"/>
            </w:tcBorders>
            <w:shd w:val="clear" w:color="000000" w:fill="D2EAF1"/>
            <w:vAlign w:val="center"/>
            <w:hideMark/>
          </w:tcPr>
          <w:p w:rsidR="00A63401" w:rsidRPr="00B75B77" w:rsidRDefault="00A63401" w:rsidP="00A63401">
            <w:pPr>
              <w:jc w:val="center"/>
              <w:rPr>
                <w:rFonts w:ascii="Calibri" w:eastAsia="Times New Roman" w:hAnsi="Calibri"/>
                <w:color w:val="000000"/>
                <w:sz w:val="18"/>
                <w:szCs w:val="18"/>
              </w:rPr>
            </w:pPr>
            <w:r w:rsidRPr="00B75B77">
              <w:rPr>
                <w:rFonts w:ascii="Calibri" w:eastAsia="Times New Roman" w:hAnsi="Calibri"/>
                <w:color w:val="000000"/>
                <w:sz w:val="18"/>
                <w:szCs w:val="18"/>
              </w:rPr>
              <w:t>0.00</w:t>
            </w:r>
          </w:p>
        </w:tc>
        <w:tc>
          <w:tcPr>
            <w:tcW w:w="1260" w:type="dxa"/>
            <w:tcBorders>
              <w:top w:val="nil"/>
              <w:left w:val="nil"/>
              <w:bottom w:val="single" w:sz="4" w:space="0" w:color="448A99"/>
              <w:right w:val="single" w:sz="4" w:space="0" w:color="448A99"/>
            </w:tcBorders>
            <w:shd w:val="clear" w:color="000000" w:fill="D2EAF1"/>
            <w:vAlign w:val="center"/>
            <w:hideMark/>
          </w:tcPr>
          <w:p w:rsidR="00A63401" w:rsidRPr="00B75B77" w:rsidRDefault="00A63401" w:rsidP="00A63401">
            <w:pPr>
              <w:jc w:val="center"/>
              <w:rPr>
                <w:rFonts w:ascii="Calibri" w:eastAsia="Times New Roman" w:hAnsi="Calibri"/>
                <w:color w:val="000000"/>
                <w:sz w:val="18"/>
                <w:szCs w:val="18"/>
              </w:rPr>
            </w:pPr>
            <w:r w:rsidRPr="00B75B77">
              <w:rPr>
                <w:rFonts w:ascii="Calibri" w:eastAsia="Times New Roman" w:hAnsi="Calibri"/>
                <w:color w:val="000000"/>
                <w:sz w:val="18"/>
                <w:szCs w:val="18"/>
              </w:rPr>
              <w:t>0.63</w:t>
            </w:r>
          </w:p>
        </w:tc>
        <w:tc>
          <w:tcPr>
            <w:tcW w:w="1800" w:type="dxa"/>
            <w:tcBorders>
              <w:top w:val="nil"/>
              <w:left w:val="nil"/>
              <w:bottom w:val="single" w:sz="4" w:space="0" w:color="448A99"/>
              <w:right w:val="single" w:sz="4" w:space="0" w:color="448A99"/>
            </w:tcBorders>
            <w:shd w:val="clear" w:color="000000" w:fill="D2EAF1"/>
            <w:vAlign w:val="center"/>
            <w:hideMark/>
          </w:tcPr>
          <w:p w:rsidR="00A63401" w:rsidRPr="00B75B77" w:rsidRDefault="00A63401" w:rsidP="00A63401">
            <w:pPr>
              <w:jc w:val="center"/>
              <w:rPr>
                <w:rFonts w:ascii="Calibri" w:eastAsia="Times New Roman" w:hAnsi="Calibri"/>
                <w:color w:val="000000"/>
                <w:sz w:val="18"/>
                <w:szCs w:val="18"/>
              </w:rPr>
            </w:pPr>
            <w:r w:rsidRPr="00B75B77">
              <w:rPr>
                <w:rFonts w:ascii="Calibri" w:eastAsia="Times New Roman" w:hAnsi="Calibri"/>
                <w:color w:val="000000"/>
                <w:sz w:val="18"/>
                <w:szCs w:val="18"/>
              </w:rPr>
              <w:t>0.00</w:t>
            </w:r>
          </w:p>
        </w:tc>
        <w:tc>
          <w:tcPr>
            <w:tcW w:w="1800" w:type="dxa"/>
            <w:tcBorders>
              <w:top w:val="nil"/>
              <w:left w:val="nil"/>
              <w:bottom w:val="single" w:sz="4" w:space="0" w:color="448A99"/>
              <w:right w:val="single" w:sz="4" w:space="0" w:color="448A99"/>
            </w:tcBorders>
            <w:shd w:val="clear" w:color="000000" w:fill="D2EAF1"/>
            <w:vAlign w:val="center"/>
            <w:hideMark/>
          </w:tcPr>
          <w:p w:rsidR="00A63401" w:rsidRPr="00B75B77" w:rsidRDefault="00A63401" w:rsidP="00A63401">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A63401" w:rsidRPr="00B75B77" w:rsidTr="00A63401">
        <w:trPr>
          <w:divId w:val="1427341262"/>
          <w:trHeight w:val="288"/>
        </w:trPr>
        <w:tc>
          <w:tcPr>
            <w:tcW w:w="1162" w:type="dxa"/>
            <w:tcBorders>
              <w:top w:val="nil"/>
              <w:left w:val="single" w:sz="4" w:space="0" w:color="448A99"/>
              <w:bottom w:val="single" w:sz="4" w:space="0" w:color="448A99"/>
              <w:right w:val="single" w:sz="4" w:space="0" w:color="448A99"/>
            </w:tcBorders>
            <w:shd w:val="clear" w:color="000000" w:fill="FFFFFF"/>
            <w:vAlign w:val="center"/>
            <w:hideMark/>
          </w:tcPr>
          <w:p w:rsidR="00A63401" w:rsidRPr="00B75B77" w:rsidRDefault="00A63401" w:rsidP="00A63401">
            <w:pPr>
              <w:rPr>
                <w:rFonts w:ascii="Calibri" w:eastAsia="Times New Roman" w:hAnsi="Calibri"/>
                <w:bCs/>
                <w:color w:val="000000"/>
                <w:sz w:val="18"/>
                <w:szCs w:val="18"/>
              </w:rPr>
            </w:pPr>
            <w:r w:rsidRPr="00B75B77">
              <w:rPr>
                <w:rFonts w:ascii="Calibri" w:eastAsia="Times New Roman" w:hAnsi="Calibri"/>
                <w:bCs/>
                <w:color w:val="000000"/>
                <w:sz w:val="18"/>
                <w:szCs w:val="18"/>
              </w:rPr>
              <w:t>GNI Projects</w:t>
            </w:r>
          </w:p>
        </w:tc>
        <w:tc>
          <w:tcPr>
            <w:tcW w:w="1353" w:type="dxa"/>
            <w:tcBorders>
              <w:top w:val="nil"/>
              <w:left w:val="nil"/>
              <w:bottom w:val="single" w:sz="4" w:space="0" w:color="448A99"/>
              <w:right w:val="single" w:sz="4" w:space="0" w:color="448A99"/>
            </w:tcBorders>
            <w:shd w:val="clear" w:color="000000" w:fill="FFFFFF"/>
            <w:vAlign w:val="center"/>
            <w:hideMark/>
          </w:tcPr>
          <w:p w:rsidR="00A63401" w:rsidRPr="00B75B77" w:rsidRDefault="00A63401" w:rsidP="00A63401">
            <w:pPr>
              <w:jc w:val="center"/>
              <w:rPr>
                <w:rFonts w:ascii="Calibri" w:eastAsia="Times New Roman" w:hAnsi="Calibri"/>
                <w:color w:val="000000"/>
                <w:sz w:val="18"/>
                <w:szCs w:val="18"/>
              </w:rPr>
            </w:pPr>
            <w:r w:rsidRPr="00B75B77">
              <w:rPr>
                <w:rFonts w:ascii="Calibri" w:eastAsia="Times New Roman" w:hAnsi="Calibri"/>
                <w:color w:val="000000"/>
                <w:sz w:val="18"/>
                <w:szCs w:val="18"/>
              </w:rPr>
              <w:t>0.00</w:t>
            </w:r>
          </w:p>
        </w:tc>
        <w:tc>
          <w:tcPr>
            <w:tcW w:w="1890" w:type="dxa"/>
            <w:tcBorders>
              <w:top w:val="nil"/>
              <w:left w:val="nil"/>
              <w:bottom w:val="single" w:sz="4" w:space="0" w:color="448A99"/>
              <w:right w:val="single" w:sz="4" w:space="0" w:color="448A99"/>
            </w:tcBorders>
            <w:shd w:val="clear" w:color="000000" w:fill="FFFFFF"/>
            <w:vAlign w:val="center"/>
            <w:hideMark/>
          </w:tcPr>
          <w:p w:rsidR="00A63401" w:rsidRPr="00B75B77" w:rsidRDefault="00A63401" w:rsidP="00A63401">
            <w:pPr>
              <w:jc w:val="center"/>
              <w:rPr>
                <w:rFonts w:ascii="Calibri" w:eastAsia="Times New Roman" w:hAnsi="Calibri"/>
                <w:color w:val="000000"/>
                <w:sz w:val="18"/>
                <w:szCs w:val="18"/>
              </w:rPr>
            </w:pPr>
            <w:r w:rsidRPr="00B75B77">
              <w:rPr>
                <w:rFonts w:ascii="Calibri" w:eastAsia="Times New Roman" w:hAnsi="Calibri"/>
                <w:color w:val="000000"/>
                <w:sz w:val="18"/>
                <w:szCs w:val="18"/>
              </w:rPr>
              <w:t>0.00</w:t>
            </w:r>
          </w:p>
        </w:tc>
        <w:tc>
          <w:tcPr>
            <w:tcW w:w="1260" w:type="dxa"/>
            <w:tcBorders>
              <w:top w:val="nil"/>
              <w:left w:val="nil"/>
              <w:bottom w:val="single" w:sz="4" w:space="0" w:color="448A99"/>
              <w:right w:val="single" w:sz="4" w:space="0" w:color="448A99"/>
            </w:tcBorders>
            <w:shd w:val="clear" w:color="000000" w:fill="FFFFFF"/>
            <w:vAlign w:val="center"/>
            <w:hideMark/>
          </w:tcPr>
          <w:p w:rsidR="00A63401" w:rsidRPr="00B75B77" w:rsidRDefault="00A63401" w:rsidP="00A63401">
            <w:pPr>
              <w:jc w:val="center"/>
              <w:rPr>
                <w:rFonts w:ascii="Calibri" w:eastAsia="Times New Roman" w:hAnsi="Calibri"/>
                <w:color w:val="000000"/>
                <w:sz w:val="18"/>
                <w:szCs w:val="18"/>
              </w:rPr>
            </w:pPr>
            <w:r w:rsidRPr="00B75B77">
              <w:rPr>
                <w:rFonts w:ascii="Calibri" w:eastAsia="Times New Roman" w:hAnsi="Calibri"/>
                <w:color w:val="000000"/>
                <w:sz w:val="18"/>
                <w:szCs w:val="18"/>
              </w:rPr>
              <w:t>1.00</w:t>
            </w:r>
          </w:p>
        </w:tc>
        <w:tc>
          <w:tcPr>
            <w:tcW w:w="1800" w:type="dxa"/>
            <w:tcBorders>
              <w:top w:val="nil"/>
              <w:left w:val="nil"/>
              <w:bottom w:val="single" w:sz="4" w:space="0" w:color="448A99"/>
              <w:right w:val="single" w:sz="4" w:space="0" w:color="448A99"/>
            </w:tcBorders>
            <w:shd w:val="clear" w:color="000000" w:fill="FFFFFF"/>
            <w:vAlign w:val="center"/>
            <w:hideMark/>
          </w:tcPr>
          <w:p w:rsidR="00A63401" w:rsidRPr="00B75B77" w:rsidRDefault="00A63401" w:rsidP="00A63401">
            <w:pPr>
              <w:jc w:val="center"/>
              <w:rPr>
                <w:rFonts w:ascii="Calibri" w:eastAsia="Times New Roman" w:hAnsi="Calibri"/>
                <w:color w:val="000000"/>
                <w:sz w:val="18"/>
                <w:szCs w:val="18"/>
              </w:rPr>
            </w:pPr>
            <w:r w:rsidRPr="00B75B77">
              <w:rPr>
                <w:rFonts w:ascii="Calibri" w:eastAsia="Times New Roman" w:hAnsi="Calibri"/>
                <w:color w:val="000000"/>
                <w:sz w:val="18"/>
                <w:szCs w:val="18"/>
              </w:rPr>
              <w:t>0.00</w:t>
            </w:r>
          </w:p>
        </w:tc>
        <w:tc>
          <w:tcPr>
            <w:tcW w:w="1800" w:type="dxa"/>
            <w:tcBorders>
              <w:top w:val="nil"/>
              <w:left w:val="nil"/>
              <w:bottom w:val="single" w:sz="4" w:space="0" w:color="448A99"/>
              <w:right w:val="single" w:sz="4" w:space="0" w:color="448A99"/>
            </w:tcBorders>
            <w:shd w:val="clear" w:color="000000" w:fill="FFFFFF"/>
            <w:vAlign w:val="center"/>
            <w:hideMark/>
          </w:tcPr>
          <w:p w:rsidR="00A63401" w:rsidRPr="00B75B77" w:rsidRDefault="00A63401" w:rsidP="00A63401">
            <w:pPr>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A63401" w:rsidRPr="00B75B77" w:rsidTr="00A63401">
        <w:trPr>
          <w:divId w:val="1427341262"/>
          <w:trHeight w:val="288"/>
        </w:trPr>
        <w:tc>
          <w:tcPr>
            <w:tcW w:w="1162" w:type="dxa"/>
            <w:tcBorders>
              <w:top w:val="nil"/>
              <w:left w:val="single" w:sz="4" w:space="0" w:color="448A99"/>
              <w:bottom w:val="single" w:sz="4" w:space="0" w:color="448A99"/>
              <w:right w:val="single" w:sz="4" w:space="0" w:color="448A99"/>
            </w:tcBorders>
            <w:shd w:val="clear" w:color="000000" w:fill="D2EAF1"/>
            <w:noWrap/>
            <w:vAlign w:val="center"/>
            <w:hideMark/>
          </w:tcPr>
          <w:p w:rsidR="00A63401" w:rsidRPr="00B75B77" w:rsidRDefault="00A63401" w:rsidP="00A63401">
            <w:pPr>
              <w:jc w:val="left"/>
              <w:rPr>
                <w:rFonts w:ascii="Calibri" w:eastAsia="Times New Roman" w:hAnsi="Calibri"/>
                <w:color w:val="000000"/>
                <w:sz w:val="18"/>
                <w:szCs w:val="18"/>
              </w:rPr>
            </w:pPr>
            <w:r w:rsidRPr="00B75B77">
              <w:rPr>
                <w:rFonts w:ascii="Calibri" w:eastAsia="Times New Roman" w:hAnsi="Calibri"/>
                <w:b/>
                <w:color w:val="000000"/>
                <w:sz w:val="18"/>
                <w:szCs w:val="18"/>
              </w:rPr>
              <w:t xml:space="preserve">PROGRAM TOTAL </w:t>
            </w:r>
          </w:p>
        </w:tc>
        <w:tc>
          <w:tcPr>
            <w:tcW w:w="1353" w:type="dxa"/>
            <w:tcBorders>
              <w:top w:val="nil"/>
              <w:left w:val="nil"/>
              <w:bottom w:val="single" w:sz="4" w:space="0" w:color="448A99"/>
              <w:right w:val="single" w:sz="4" w:space="0" w:color="448A99"/>
            </w:tcBorders>
            <w:shd w:val="clear" w:color="000000" w:fill="D2EAF1"/>
            <w:vAlign w:val="center"/>
            <w:hideMark/>
          </w:tcPr>
          <w:p w:rsidR="00A63401" w:rsidRPr="00B75B77" w:rsidRDefault="00A63401" w:rsidP="00A63401">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 </w:t>
            </w:r>
            <w:r w:rsidR="00620F33" w:rsidRPr="00B75B77">
              <w:rPr>
                <w:rFonts w:ascii="Calibri" w:eastAsia="Times New Roman" w:hAnsi="Calibri"/>
                <w:b/>
                <w:bCs/>
                <w:color w:val="000000"/>
                <w:sz w:val="18"/>
                <w:szCs w:val="18"/>
              </w:rPr>
              <w:t>0.11</w:t>
            </w:r>
          </w:p>
        </w:tc>
        <w:tc>
          <w:tcPr>
            <w:tcW w:w="1890" w:type="dxa"/>
            <w:tcBorders>
              <w:top w:val="nil"/>
              <w:left w:val="nil"/>
              <w:bottom w:val="single" w:sz="4" w:space="0" w:color="448A99"/>
              <w:right w:val="single" w:sz="4" w:space="0" w:color="448A99"/>
            </w:tcBorders>
            <w:shd w:val="clear" w:color="000000" w:fill="D2EAF1"/>
            <w:vAlign w:val="center"/>
            <w:hideMark/>
          </w:tcPr>
          <w:p w:rsidR="00A63401" w:rsidRPr="00B75B77" w:rsidRDefault="00620F33" w:rsidP="00A63401">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0.00</w:t>
            </w:r>
          </w:p>
        </w:tc>
        <w:tc>
          <w:tcPr>
            <w:tcW w:w="1260" w:type="dxa"/>
            <w:tcBorders>
              <w:top w:val="nil"/>
              <w:left w:val="nil"/>
              <w:bottom w:val="single" w:sz="4" w:space="0" w:color="448A99"/>
              <w:right w:val="single" w:sz="4" w:space="0" w:color="448A99"/>
            </w:tcBorders>
            <w:shd w:val="clear" w:color="000000" w:fill="D2EAF1"/>
            <w:vAlign w:val="center"/>
            <w:hideMark/>
          </w:tcPr>
          <w:p w:rsidR="00A63401" w:rsidRPr="00B75B77" w:rsidRDefault="00620F33" w:rsidP="00A63401">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0.89</w:t>
            </w:r>
            <w:r w:rsidR="00A63401" w:rsidRPr="00B75B77">
              <w:rPr>
                <w:rFonts w:ascii="Calibri" w:eastAsia="Times New Roman" w:hAnsi="Calibri"/>
                <w:b/>
                <w:bCs/>
                <w:color w:val="000000"/>
                <w:sz w:val="18"/>
                <w:szCs w:val="18"/>
              </w:rPr>
              <w:t> </w:t>
            </w:r>
          </w:p>
        </w:tc>
        <w:tc>
          <w:tcPr>
            <w:tcW w:w="1800" w:type="dxa"/>
            <w:tcBorders>
              <w:top w:val="nil"/>
              <w:left w:val="nil"/>
              <w:bottom w:val="single" w:sz="4" w:space="0" w:color="448A99"/>
              <w:right w:val="single" w:sz="4" w:space="0" w:color="448A99"/>
            </w:tcBorders>
            <w:shd w:val="clear" w:color="000000" w:fill="D2EAF1"/>
            <w:vAlign w:val="center"/>
            <w:hideMark/>
          </w:tcPr>
          <w:p w:rsidR="00A63401" w:rsidRPr="00B75B77" w:rsidRDefault="00A63401" w:rsidP="00A63401">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 </w:t>
            </w:r>
            <w:r w:rsidR="00620F33" w:rsidRPr="00B75B77">
              <w:rPr>
                <w:rFonts w:ascii="Calibri" w:eastAsia="Times New Roman" w:hAnsi="Calibri"/>
                <w:b/>
                <w:bCs/>
                <w:color w:val="000000"/>
                <w:sz w:val="18"/>
                <w:szCs w:val="18"/>
              </w:rPr>
              <w:t>0.00</w:t>
            </w:r>
          </w:p>
        </w:tc>
        <w:tc>
          <w:tcPr>
            <w:tcW w:w="1800" w:type="dxa"/>
            <w:tcBorders>
              <w:top w:val="nil"/>
              <w:left w:val="nil"/>
              <w:bottom w:val="single" w:sz="4" w:space="0" w:color="448A99"/>
              <w:right w:val="single" w:sz="4" w:space="0" w:color="448A99"/>
            </w:tcBorders>
            <w:shd w:val="clear" w:color="000000" w:fill="D2EAF1"/>
            <w:vAlign w:val="center"/>
            <w:hideMark/>
          </w:tcPr>
          <w:p w:rsidR="00A63401" w:rsidRPr="00B75B77" w:rsidRDefault="00620F33" w:rsidP="00A63401">
            <w:pPr>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0%</w:t>
            </w:r>
            <w:r w:rsidR="00A63401" w:rsidRPr="00B75B77">
              <w:rPr>
                <w:rFonts w:ascii="Calibri" w:eastAsia="Times New Roman" w:hAnsi="Calibri"/>
                <w:b/>
                <w:bCs/>
                <w:color w:val="000000"/>
                <w:sz w:val="18"/>
                <w:szCs w:val="18"/>
              </w:rPr>
              <w:t> </w:t>
            </w:r>
          </w:p>
        </w:tc>
      </w:tr>
    </w:tbl>
    <w:p w:rsidR="00A63401" w:rsidRPr="00B75B77" w:rsidRDefault="00A63401" w:rsidP="00A63401">
      <w:pPr>
        <w:pStyle w:val="Source"/>
        <w:spacing w:before="20" w:after="20"/>
        <w:ind w:left="0" w:firstLine="0"/>
      </w:pPr>
      <w:r w:rsidRPr="00B75B77">
        <w:rPr>
          <w:rFonts w:ascii="Calibri" w:hAnsi="Calibri"/>
          <w:i w:val="0"/>
          <w:iCs/>
          <w:color w:val="000000"/>
          <w:szCs w:val="18"/>
        </w:rPr>
        <w:t>Note: Values in tables may not reconcile exactly with the sum of more detailed level results or previously reported results due to rounding.</w:t>
      </w:r>
    </w:p>
    <w:p w:rsidR="00A63401" w:rsidRPr="00B75B77" w:rsidRDefault="00A63401" w:rsidP="00A63401">
      <w:pPr>
        <w:pStyle w:val="Source"/>
        <w:ind w:left="0" w:firstLine="0"/>
      </w:pPr>
      <w:r w:rsidRPr="00B75B77">
        <w:t>Source: Navigant analysis</w:t>
      </w:r>
    </w:p>
    <w:p w:rsidR="00A63401" w:rsidRPr="00B75B77" w:rsidRDefault="00A63401" w:rsidP="00963027">
      <w:pPr>
        <w:pStyle w:val="Heading2"/>
        <w:keepNext/>
      </w:pPr>
      <w:bookmarkStart w:id="947" w:name="_Toc466413459"/>
      <w:r w:rsidRPr="00B75B77">
        <w:t>Process Evaluation</w:t>
      </w:r>
      <w:bookmarkEnd w:id="947"/>
    </w:p>
    <w:p w:rsidR="00A63401" w:rsidRPr="00B75B77" w:rsidRDefault="00A63401" w:rsidP="00A63401">
      <w:r w:rsidRPr="00B75B77">
        <w:t>Navigant’s process evaluation of the PY7 SOS program consisted of in-depth interviews with program staff, participants, and project developers.</w:t>
      </w:r>
    </w:p>
    <w:p w:rsidR="00A63401" w:rsidRPr="00B75B77" w:rsidRDefault="00A63401" w:rsidP="00963027">
      <w:pPr>
        <w:keepNext/>
        <w:rPr>
          <w:color w:val="000000"/>
        </w:rPr>
      </w:pPr>
    </w:p>
    <w:p w:rsidR="00A63401" w:rsidRPr="00B75B77" w:rsidRDefault="00A63401" w:rsidP="00892930">
      <w:pPr>
        <w:pStyle w:val="Heading3"/>
        <w:keepNext/>
      </w:pPr>
      <w:bookmarkStart w:id="948" w:name="_Toc466413460"/>
      <w:r w:rsidRPr="00B75B77">
        <w:t>Process Evaluation Methodology</w:t>
      </w:r>
      <w:bookmarkEnd w:id="948"/>
      <w:r w:rsidRPr="00B75B77">
        <w:t xml:space="preserve"> </w:t>
      </w:r>
    </w:p>
    <w:p w:rsidR="00A63401" w:rsidRPr="00B75B77" w:rsidRDefault="00A63401" w:rsidP="00892930">
      <w:pPr>
        <w:keepNext/>
      </w:pPr>
      <w:r w:rsidRPr="00B75B77">
        <w:t>Navigant conducted a census of participating customers and</w:t>
      </w:r>
      <w:r w:rsidR="008A2056" w:rsidRPr="00B75B77">
        <w:t xml:space="preserve"> </w:t>
      </w:r>
      <w:r w:rsidRPr="00B75B77">
        <w:t xml:space="preserve">developers as well as PECO and CSP program staff, as seen in </w:t>
      </w:r>
      <w:r w:rsidRPr="00B75B77">
        <w:fldChar w:fldCharType="begin"/>
      </w:r>
      <w:r w:rsidRPr="00B75B77">
        <w:instrText xml:space="preserve"> REF _Ref463286912 \h </w:instrText>
      </w:r>
      <w:r w:rsidR="00B75B77">
        <w:instrText xml:space="preserve"> \* MERGEFORMAT </w:instrText>
      </w:r>
      <w:r w:rsidRPr="00B75B77">
        <w:fldChar w:fldCharType="separate"/>
      </w:r>
      <w:r w:rsidR="0004016D" w:rsidRPr="00B75B77">
        <w:t xml:space="preserve">Table </w:t>
      </w:r>
      <w:r w:rsidR="0004016D">
        <w:rPr>
          <w:noProof/>
        </w:rPr>
        <w:t>15</w:t>
      </w:r>
      <w:r w:rsidR="0004016D" w:rsidRPr="00B75B77">
        <w:rPr>
          <w:noProof/>
        </w:rPr>
        <w:noBreakHyphen/>
      </w:r>
      <w:r w:rsidR="0004016D">
        <w:rPr>
          <w:noProof/>
        </w:rPr>
        <w:t>8</w:t>
      </w:r>
      <w:r w:rsidRPr="00B75B77">
        <w:fldChar w:fldCharType="end"/>
      </w:r>
      <w:r w:rsidRPr="00B75B77">
        <w:t>.</w:t>
      </w:r>
    </w:p>
    <w:p w:rsidR="00A63401" w:rsidRPr="00B75B77" w:rsidRDefault="00A63401" w:rsidP="00AE45CC">
      <w:pPr>
        <w:ind w:left="360"/>
        <w:rPr>
          <w:rFonts w:eastAsia="Times New Roman"/>
          <w:color w:val="000000"/>
        </w:rPr>
      </w:pPr>
    </w:p>
    <w:p w:rsidR="00A63401" w:rsidRPr="00B75B77" w:rsidRDefault="00A63401" w:rsidP="003C6A1E">
      <w:pPr>
        <w:pStyle w:val="Caption"/>
      </w:pPr>
      <w:bookmarkStart w:id="949" w:name="_Ref463286912"/>
      <w:bookmarkStart w:id="950" w:name="_Toc466413644"/>
      <w:r w:rsidRPr="00B75B77">
        <w:lastRenderedPageBreak/>
        <w:t xml:space="preserve">Table </w:t>
      </w:r>
      <w:fldSimple w:instr=" STYLEREF 1 \s ">
        <w:r w:rsidR="0004016D">
          <w:rPr>
            <w:noProof/>
          </w:rPr>
          <w:t>15</w:t>
        </w:r>
      </w:fldSimple>
      <w:r w:rsidR="00F1144C" w:rsidRPr="00B75B77">
        <w:noBreakHyphen/>
      </w:r>
      <w:fldSimple w:instr=" SEQ Table \* ARABIC \s 1 ">
        <w:r w:rsidR="0004016D">
          <w:rPr>
            <w:noProof/>
          </w:rPr>
          <w:t>8</w:t>
        </w:r>
      </w:fldSimple>
      <w:bookmarkEnd w:id="949"/>
      <w:r w:rsidRPr="00B75B77">
        <w:t>: Smart On-Site Process Sampling Strategy for PY7</w:t>
      </w:r>
      <w:bookmarkEnd w:id="950"/>
      <w:r w:rsidRPr="00B75B77">
        <w:t xml:space="preserve"> </w:t>
      </w:r>
    </w:p>
    <w:tbl>
      <w:tblPr>
        <w:tblW w:w="9823" w:type="dxa"/>
        <w:tblLook w:val="04A0" w:firstRow="1" w:lastRow="0" w:firstColumn="1" w:lastColumn="0" w:noHBand="0" w:noVBand="1"/>
      </w:tblPr>
      <w:tblGrid>
        <w:gridCol w:w="1243"/>
        <w:gridCol w:w="1079"/>
        <w:gridCol w:w="1035"/>
        <w:gridCol w:w="1035"/>
        <w:gridCol w:w="1165"/>
        <w:gridCol w:w="808"/>
        <w:gridCol w:w="1158"/>
        <w:gridCol w:w="1251"/>
        <w:gridCol w:w="1049"/>
      </w:tblGrid>
      <w:tr w:rsidR="00A63401" w:rsidRPr="00B75B77" w:rsidTr="00892930">
        <w:trPr>
          <w:divId w:val="1412309140"/>
          <w:trHeight w:val="480"/>
        </w:trPr>
        <w:tc>
          <w:tcPr>
            <w:tcW w:w="1255" w:type="dxa"/>
            <w:tcBorders>
              <w:top w:val="single" w:sz="4" w:space="0" w:color="auto"/>
              <w:left w:val="single" w:sz="4" w:space="0" w:color="auto"/>
              <w:bottom w:val="single" w:sz="4" w:space="0" w:color="auto"/>
              <w:right w:val="single" w:sz="4" w:space="0" w:color="auto"/>
            </w:tcBorders>
            <w:shd w:val="clear" w:color="000000" w:fill="448A99"/>
            <w:vAlign w:val="center"/>
            <w:hideMark/>
          </w:tcPr>
          <w:p w:rsidR="00A63401" w:rsidRPr="00B75B77" w:rsidRDefault="00A63401" w:rsidP="002F3BF8">
            <w:pPr>
              <w:keepNext/>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Stratum </w:t>
            </w:r>
          </w:p>
        </w:tc>
        <w:tc>
          <w:tcPr>
            <w:tcW w:w="1080" w:type="dxa"/>
            <w:tcBorders>
              <w:top w:val="single" w:sz="4" w:space="0" w:color="auto"/>
              <w:left w:val="nil"/>
              <w:bottom w:val="single" w:sz="4" w:space="0" w:color="auto"/>
              <w:right w:val="single" w:sz="4" w:space="0" w:color="auto"/>
            </w:tcBorders>
            <w:shd w:val="clear" w:color="000000" w:fill="448A99"/>
            <w:vAlign w:val="center"/>
            <w:hideMark/>
          </w:tcPr>
          <w:p w:rsidR="00A63401" w:rsidRPr="00B75B77" w:rsidRDefault="00A63401" w:rsidP="002F3BF8">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Stratum Boundaries </w:t>
            </w:r>
          </w:p>
        </w:tc>
        <w:tc>
          <w:tcPr>
            <w:tcW w:w="1035" w:type="dxa"/>
            <w:tcBorders>
              <w:top w:val="single" w:sz="4" w:space="0" w:color="auto"/>
              <w:left w:val="nil"/>
              <w:bottom w:val="single" w:sz="4" w:space="0" w:color="auto"/>
              <w:right w:val="single" w:sz="4" w:space="0" w:color="auto"/>
            </w:tcBorders>
            <w:shd w:val="clear" w:color="000000" w:fill="448A99"/>
            <w:vAlign w:val="center"/>
            <w:hideMark/>
          </w:tcPr>
          <w:p w:rsidR="00A63401" w:rsidRPr="00B75B77" w:rsidRDefault="00A63401" w:rsidP="002F3BF8">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Population Size</w:t>
            </w:r>
          </w:p>
        </w:tc>
        <w:tc>
          <w:tcPr>
            <w:tcW w:w="1035" w:type="dxa"/>
            <w:tcBorders>
              <w:top w:val="single" w:sz="4" w:space="0" w:color="auto"/>
              <w:left w:val="nil"/>
              <w:bottom w:val="single" w:sz="4" w:space="0" w:color="auto"/>
              <w:right w:val="single" w:sz="4" w:space="0" w:color="auto"/>
            </w:tcBorders>
            <w:shd w:val="clear" w:color="000000" w:fill="448A99"/>
            <w:vAlign w:val="center"/>
            <w:hideMark/>
          </w:tcPr>
          <w:p w:rsidR="00A63401" w:rsidRPr="00B75B77" w:rsidRDefault="00A63401" w:rsidP="002F3BF8">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Assumed Proportion or CV in Sample Design</w:t>
            </w:r>
          </w:p>
        </w:tc>
        <w:tc>
          <w:tcPr>
            <w:tcW w:w="1170" w:type="dxa"/>
            <w:tcBorders>
              <w:top w:val="single" w:sz="4" w:space="0" w:color="auto"/>
              <w:left w:val="nil"/>
              <w:bottom w:val="single" w:sz="4" w:space="0" w:color="auto"/>
              <w:right w:val="single" w:sz="4" w:space="0" w:color="auto"/>
            </w:tcBorders>
            <w:shd w:val="clear" w:color="000000" w:fill="448A99"/>
            <w:vAlign w:val="center"/>
            <w:hideMark/>
          </w:tcPr>
          <w:p w:rsidR="00A63401" w:rsidRPr="00B75B77" w:rsidRDefault="00A63401" w:rsidP="002F3BF8">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Assumed Levels of Confidence and Precision</w:t>
            </w:r>
          </w:p>
        </w:tc>
        <w:tc>
          <w:tcPr>
            <w:tcW w:w="810" w:type="dxa"/>
            <w:tcBorders>
              <w:top w:val="single" w:sz="4" w:space="0" w:color="auto"/>
              <w:left w:val="nil"/>
              <w:bottom w:val="single" w:sz="4" w:space="0" w:color="auto"/>
              <w:right w:val="single" w:sz="4" w:space="0" w:color="auto"/>
            </w:tcBorders>
            <w:shd w:val="clear" w:color="000000" w:fill="448A99"/>
            <w:vAlign w:val="center"/>
            <w:hideMark/>
          </w:tcPr>
          <w:p w:rsidR="00A63401" w:rsidRPr="00B75B77" w:rsidRDefault="00A63401" w:rsidP="002F3BF8">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Target Sample Size</w:t>
            </w:r>
          </w:p>
        </w:tc>
        <w:tc>
          <w:tcPr>
            <w:tcW w:w="1170" w:type="dxa"/>
            <w:tcBorders>
              <w:top w:val="single" w:sz="4" w:space="0" w:color="auto"/>
              <w:left w:val="nil"/>
              <w:bottom w:val="single" w:sz="4" w:space="0" w:color="auto"/>
              <w:right w:val="single" w:sz="4" w:space="0" w:color="auto"/>
            </w:tcBorders>
            <w:shd w:val="clear" w:color="000000" w:fill="448A99"/>
            <w:vAlign w:val="center"/>
            <w:hideMark/>
          </w:tcPr>
          <w:p w:rsidR="00A63401" w:rsidRPr="00B75B77" w:rsidRDefault="00A63401" w:rsidP="002F3BF8">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Achieved Sample Size</w:t>
            </w:r>
          </w:p>
        </w:tc>
        <w:tc>
          <w:tcPr>
            <w:tcW w:w="1260" w:type="dxa"/>
            <w:tcBorders>
              <w:top w:val="single" w:sz="4" w:space="0" w:color="auto"/>
              <w:left w:val="nil"/>
              <w:bottom w:val="single" w:sz="4" w:space="0" w:color="auto"/>
              <w:right w:val="single" w:sz="4" w:space="0" w:color="auto"/>
            </w:tcBorders>
            <w:shd w:val="clear" w:color="000000" w:fill="448A99"/>
            <w:vAlign w:val="center"/>
            <w:hideMark/>
          </w:tcPr>
          <w:p w:rsidR="00A63401" w:rsidRPr="00B75B77" w:rsidRDefault="00237810" w:rsidP="002F3BF8">
            <w:pPr>
              <w:keepNext/>
              <w:jc w:val="center"/>
              <w:rPr>
                <w:rFonts w:ascii="Calibri" w:eastAsia="Times New Roman" w:hAnsi="Calibri"/>
                <w:b/>
                <w:bCs/>
                <w:color w:val="FFFFFF"/>
                <w:sz w:val="18"/>
                <w:szCs w:val="18"/>
              </w:rPr>
            </w:pPr>
            <w:hyperlink r:id="rId97" w:anchor="RANGE!_ftn1" w:history="1">
              <w:r w:rsidR="00A63401" w:rsidRPr="00B75B77">
                <w:rPr>
                  <w:rFonts w:ascii="Calibri" w:eastAsia="Times New Roman" w:hAnsi="Calibri"/>
                  <w:b/>
                  <w:bCs/>
                  <w:color w:val="FFFFFF"/>
                  <w:sz w:val="18"/>
                  <w:szCs w:val="18"/>
                </w:rPr>
                <w:t>Percent</w:t>
              </w:r>
              <w:r w:rsidR="00892930" w:rsidRPr="00B75B77">
                <w:rPr>
                  <w:rFonts w:ascii="Calibri" w:eastAsia="Times New Roman" w:hAnsi="Calibri"/>
                  <w:b/>
                  <w:bCs/>
                  <w:color w:val="FFFFFF"/>
                  <w:sz w:val="18"/>
                  <w:szCs w:val="18"/>
                </w:rPr>
                <w:t>age</w:t>
              </w:r>
              <w:r w:rsidR="00A63401" w:rsidRPr="00B75B77">
                <w:rPr>
                  <w:rFonts w:ascii="Calibri" w:eastAsia="Times New Roman" w:hAnsi="Calibri"/>
                  <w:b/>
                  <w:bCs/>
                  <w:color w:val="FFFFFF"/>
                  <w:sz w:val="18"/>
                  <w:szCs w:val="18"/>
                </w:rPr>
                <w:t xml:space="preserve"> of Sample Frame </w:t>
              </w:r>
              <w:r w:rsidR="00174FFA" w:rsidRPr="00B75B77">
                <w:rPr>
                  <w:rFonts w:ascii="Calibri" w:eastAsia="Times New Roman" w:hAnsi="Calibri"/>
                  <w:b/>
                  <w:bCs/>
                  <w:color w:val="FFFFFF"/>
                  <w:sz w:val="18"/>
                  <w:szCs w:val="18"/>
                  <w:vertAlign w:val="superscript"/>
                </w:rPr>
                <w:t xml:space="preserve"> [1]</w:t>
              </w:r>
              <w:r w:rsidR="00174FFA" w:rsidRPr="00B75B77">
                <w:rPr>
                  <w:rFonts w:ascii="Calibri" w:eastAsia="Times New Roman" w:hAnsi="Calibri"/>
                  <w:b/>
                  <w:bCs/>
                  <w:color w:val="FFFFFF"/>
                  <w:sz w:val="18"/>
                  <w:szCs w:val="18"/>
                </w:rPr>
                <w:t xml:space="preserve"> </w:t>
              </w:r>
              <w:r w:rsidR="00A63401" w:rsidRPr="00B75B77">
                <w:rPr>
                  <w:rFonts w:ascii="Calibri" w:eastAsia="Times New Roman" w:hAnsi="Calibri"/>
                  <w:b/>
                  <w:bCs/>
                  <w:color w:val="FFFFFF"/>
                  <w:sz w:val="18"/>
                  <w:szCs w:val="18"/>
                </w:rPr>
                <w:t>Contacted to Achieve Sample</w:t>
              </w:r>
            </w:hyperlink>
          </w:p>
        </w:tc>
        <w:tc>
          <w:tcPr>
            <w:tcW w:w="1008" w:type="dxa"/>
            <w:tcBorders>
              <w:top w:val="single" w:sz="4" w:space="0" w:color="auto"/>
              <w:left w:val="nil"/>
              <w:bottom w:val="single" w:sz="4" w:space="0" w:color="auto"/>
              <w:right w:val="single" w:sz="4" w:space="0" w:color="auto"/>
            </w:tcBorders>
            <w:shd w:val="clear" w:color="000000" w:fill="448A99"/>
            <w:vAlign w:val="center"/>
            <w:hideMark/>
          </w:tcPr>
          <w:p w:rsidR="00A63401" w:rsidRPr="00B75B77" w:rsidRDefault="00EA1A8E" w:rsidP="002F3BF8">
            <w:pPr>
              <w:keepNext/>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Used for</w:t>
            </w:r>
            <w:r w:rsidR="00A63401" w:rsidRPr="00B75B77">
              <w:rPr>
                <w:rFonts w:ascii="Calibri" w:eastAsia="Times New Roman" w:hAnsi="Calibri"/>
                <w:b/>
                <w:bCs/>
                <w:color w:val="FFFFFF"/>
                <w:sz w:val="18"/>
                <w:szCs w:val="18"/>
              </w:rPr>
              <w:t xml:space="preserve"> Evaluation Activities (Impact, Process, NTG)</w:t>
            </w:r>
          </w:p>
        </w:tc>
      </w:tr>
      <w:tr w:rsidR="00A63401" w:rsidRPr="00B75B77" w:rsidTr="00892930">
        <w:trPr>
          <w:divId w:val="1412309140"/>
          <w:trHeight w:val="288"/>
        </w:trPr>
        <w:tc>
          <w:tcPr>
            <w:tcW w:w="1255" w:type="dxa"/>
            <w:tcBorders>
              <w:top w:val="nil"/>
              <w:left w:val="single" w:sz="4" w:space="0" w:color="448A99"/>
              <w:bottom w:val="single" w:sz="4" w:space="0" w:color="448A99"/>
              <w:right w:val="single" w:sz="4" w:space="0" w:color="448A99"/>
            </w:tcBorders>
            <w:shd w:val="clear" w:color="000000" w:fill="D2EAF1"/>
            <w:vAlign w:val="center"/>
            <w:hideMark/>
          </w:tcPr>
          <w:p w:rsidR="00A63401" w:rsidRPr="00B75B77" w:rsidRDefault="00A63401" w:rsidP="002F3BF8">
            <w:pPr>
              <w:keepNext/>
              <w:rPr>
                <w:rFonts w:ascii="Calibri" w:eastAsia="Times New Roman" w:hAnsi="Calibri"/>
                <w:bCs/>
                <w:color w:val="000000"/>
                <w:sz w:val="18"/>
                <w:szCs w:val="18"/>
              </w:rPr>
            </w:pPr>
            <w:r w:rsidRPr="00B75B77">
              <w:rPr>
                <w:rFonts w:ascii="Calibri" w:eastAsia="Times New Roman" w:hAnsi="Calibri"/>
                <w:bCs/>
                <w:color w:val="000000"/>
                <w:sz w:val="18"/>
                <w:szCs w:val="18"/>
              </w:rPr>
              <w:t>All</w:t>
            </w:r>
          </w:p>
        </w:tc>
        <w:tc>
          <w:tcPr>
            <w:tcW w:w="1080" w:type="dxa"/>
            <w:tcBorders>
              <w:top w:val="nil"/>
              <w:left w:val="nil"/>
              <w:bottom w:val="single" w:sz="4" w:space="0" w:color="448A99"/>
              <w:right w:val="single" w:sz="4" w:space="0" w:color="448A99"/>
            </w:tcBorders>
            <w:shd w:val="clear" w:color="000000" w:fill="D2EAF1"/>
            <w:vAlign w:val="center"/>
            <w:hideMark/>
          </w:tcPr>
          <w:p w:rsidR="00A63401" w:rsidRPr="00B75B77" w:rsidRDefault="00A63401" w:rsidP="002F3BF8">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035" w:type="dxa"/>
            <w:tcBorders>
              <w:top w:val="nil"/>
              <w:left w:val="nil"/>
              <w:bottom w:val="single" w:sz="4" w:space="0" w:color="448A99"/>
              <w:right w:val="single" w:sz="4" w:space="0" w:color="448A99"/>
            </w:tcBorders>
            <w:shd w:val="clear" w:color="000000" w:fill="D2EAF1"/>
            <w:vAlign w:val="center"/>
            <w:hideMark/>
          </w:tcPr>
          <w:p w:rsidR="00A63401" w:rsidRPr="00B75B77" w:rsidRDefault="00A63401" w:rsidP="002F3BF8">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6</w:t>
            </w:r>
          </w:p>
        </w:tc>
        <w:tc>
          <w:tcPr>
            <w:tcW w:w="1035" w:type="dxa"/>
            <w:tcBorders>
              <w:top w:val="nil"/>
              <w:left w:val="nil"/>
              <w:bottom w:val="single" w:sz="4" w:space="0" w:color="448A99"/>
              <w:right w:val="single" w:sz="4" w:space="0" w:color="448A99"/>
            </w:tcBorders>
            <w:shd w:val="clear" w:color="000000" w:fill="D2EAF1"/>
            <w:vAlign w:val="center"/>
            <w:hideMark/>
          </w:tcPr>
          <w:p w:rsidR="00A63401" w:rsidRPr="00B75B77" w:rsidRDefault="00A63401" w:rsidP="002F3BF8">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1170" w:type="dxa"/>
            <w:tcBorders>
              <w:top w:val="nil"/>
              <w:left w:val="nil"/>
              <w:bottom w:val="single" w:sz="4" w:space="0" w:color="448A99"/>
              <w:right w:val="single" w:sz="4" w:space="0" w:color="448A99"/>
            </w:tcBorders>
            <w:shd w:val="clear" w:color="000000" w:fill="D2EAF1"/>
            <w:vAlign w:val="center"/>
            <w:hideMark/>
          </w:tcPr>
          <w:p w:rsidR="00A63401" w:rsidRPr="00B75B77" w:rsidRDefault="00A63401" w:rsidP="002F3BF8">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810" w:type="dxa"/>
            <w:tcBorders>
              <w:top w:val="nil"/>
              <w:left w:val="nil"/>
              <w:bottom w:val="single" w:sz="4" w:space="0" w:color="448A99"/>
              <w:right w:val="single" w:sz="4" w:space="0" w:color="448A99"/>
            </w:tcBorders>
            <w:shd w:val="clear" w:color="000000" w:fill="D2EAF1"/>
            <w:vAlign w:val="center"/>
            <w:hideMark/>
          </w:tcPr>
          <w:p w:rsidR="00A63401" w:rsidRPr="00B75B77" w:rsidRDefault="00A63401" w:rsidP="002F3BF8">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6</w:t>
            </w:r>
          </w:p>
        </w:tc>
        <w:tc>
          <w:tcPr>
            <w:tcW w:w="1170" w:type="dxa"/>
            <w:tcBorders>
              <w:top w:val="nil"/>
              <w:left w:val="nil"/>
              <w:bottom w:val="single" w:sz="4" w:space="0" w:color="448A99"/>
              <w:right w:val="single" w:sz="4" w:space="0" w:color="448A99"/>
            </w:tcBorders>
            <w:shd w:val="clear" w:color="000000" w:fill="D2EAF1"/>
            <w:vAlign w:val="center"/>
            <w:hideMark/>
          </w:tcPr>
          <w:p w:rsidR="00A63401" w:rsidRPr="00B75B77" w:rsidRDefault="00A63401" w:rsidP="002F3BF8">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6</w:t>
            </w:r>
          </w:p>
        </w:tc>
        <w:tc>
          <w:tcPr>
            <w:tcW w:w="1260" w:type="dxa"/>
            <w:tcBorders>
              <w:top w:val="nil"/>
              <w:left w:val="nil"/>
              <w:bottom w:val="single" w:sz="4" w:space="0" w:color="448A99"/>
              <w:right w:val="single" w:sz="4" w:space="0" w:color="448A99"/>
            </w:tcBorders>
            <w:shd w:val="clear" w:color="000000" w:fill="D2EAF1"/>
            <w:vAlign w:val="center"/>
            <w:hideMark/>
          </w:tcPr>
          <w:p w:rsidR="00A63401" w:rsidRPr="00B75B77" w:rsidRDefault="00A63401" w:rsidP="002F3BF8">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100%</w:t>
            </w:r>
          </w:p>
        </w:tc>
        <w:tc>
          <w:tcPr>
            <w:tcW w:w="1008" w:type="dxa"/>
            <w:tcBorders>
              <w:top w:val="nil"/>
              <w:left w:val="nil"/>
              <w:bottom w:val="single" w:sz="4" w:space="0" w:color="448A99"/>
              <w:right w:val="single" w:sz="4" w:space="0" w:color="448A99"/>
            </w:tcBorders>
            <w:shd w:val="clear" w:color="000000" w:fill="D2EAF1"/>
            <w:vAlign w:val="center"/>
            <w:hideMark/>
          </w:tcPr>
          <w:p w:rsidR="00A63401" w:rsidRPr="00B75B77" w:rsidRDefault="00093474" w:rsidP="002F3BF8">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Process Evaluation</w:t>
            </w:r>
          </w:p>
        </w:tc>
      </w:tr>
      <w:tr w:rsidR="00A63401" w:rsidRPr="00B75B77" w:rsidTr="00892930">
        <w:trPr>
          <w:divId w:val="1412309140"/>
          <w:trHeight w:val="288"/>
        </w:trPr>
        <w:tc>
          <w:tcPr>
            <w:tcW w:w="1255" w:type="dxa"/>
            <w:tcBorders>
              <w:top w:val="nil"/>
              <w:left w:val="single" w:sz="4" w:space="0" w:color="448A99"/>
              <w:bottom w:val="single" w:sz="4" w:space="0" w:color="448A99"/>
              <w:right w:val="single" w:sz="4" w:space="0" w:color="448A99"/>
            </w:tcBorders>
            <w:shd w:val="clear" w:color="000000" w:fill="FFFFFF"/>
            <w:vAlign w:val="center"/>
            <w:hideMark/>
          </w:tcPr>
          <w:p w:rsidR="00A63401" w:rsidRPr="00B75B77" w:rsidRDefault="00892930" w:rsidP="002F3BF8">
            <w:pPr>
              <w:keepNext/>
              <w:jc w:val="left"/>
              <w:rPr>
                <w:rFonts w:ascii="Calibri" w:eastAsia="Times New Roman" w:hAnsi="Calibri"/>
                <w:b/>
                <w:color w:val="000000"/>
                <w:sz w:val="18"/>
                <w:szCs w:val="18"/>
              </w:rPr>
            </w:pPr>
            <w:r w:rsidRPr="00B75B77">
              <w:rPr>
                <w:rFonts w:ascii="Calibri" w:eastAsia="Times New Roman" w:hAnsi="Calibri"/>
                <w:b/>
                <w:color w:val="000000"/>
                <w:sz w:val="18"/>
                <w:szCs w:val="18"/>
              </w:rPr>
              <w:t>PROGRAM TOTAL</w:t>
            </w:r>
          </w:p>
        </w:tc>
        <w:tc>
          <w:tcPr>
            <w:tcW w:w="1080" w:type="dxa"/>
            <w:tcBorders>
              <w:top w:val="nil"/>
              <w:left w:val="nil"/>
              <w:bottom w:val="single" w:sz="4" w:space="0" w:color="448A99"/>
              <w:right w:val="single" w:sz="4" w:space="0" w:color="448A99"/>
            </w:tcBorders>
            <w:shd w:val="clear" w:color="000000" w:fill="FFFFFF"/>
            <w:vAlign w:val="center"/>
            <w:hideMark/>
          </w:tcPr>
          <w:p w:rsidR="00A63401" w:rsidRPr="00B75B77" w:rsidRDefault="00A63401" w:rsidP="002F3BF8">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 </w:t>
            </w:r>
            <w:r w:rsidR="00620F33" w:rsidRPr="00B75B77">
              <w:rPr>
                <w:rFonts w:ascii="Calibri" w:eastAsia="Times New Roman" w:hAnsi="Calibri"/>
                <w:b/>
                <w:bCs/>
                <w:color w:val="000000"/>
                <w:sz w:val="18"/>
                <w:szCs w:val="18"/>
              </w:rPr>
              <w:t>N/A</w:t>
            </w:r>
          </w:p>
        </w:tc>
        <w:tc>
          <w:tcPr>
            <w:tcW w:w="1035" w:type="dxa"/>
            <w:tcBorders>
              <w:top w:val="nil"/>
              <w:left w:val="nil"/>
              <w:bottom w:val="single" w:sz="4" w:space="0" w:color="448A99"/>
              <w:right w:val="single" w:sz="4" w:space="0" w:color="448A99"/>
            </w:tcBorders>
            <w:shd w:val="clear" w:color="000000" w:fill="FFFFFF"/>
            <w:vAlign w:val="center"/>
            <w:hideMark/>
          </w:tcPr>
          <w:p w:rsidR="00A63401" w:rsidRPr="00B75B77" w:rsidRDefault="00A63401" w:rsidP="002F3BF8">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6</w:t>
            </w:r>
          </w:p>
        </w:tc>
        <w:tc>
          <w:tcPr>
            <w:tcW w:w="1035" w:type="dxa"/>
            <w:tcBorders>
              <w:top w:val="nil"/>
              <w:left w:val="nil"/>
              <w:bottom w:val="single" w:sz="4" w:space="0" w:color="448A99"/>
              <w:right w:val="single" w:sz="4" w:space="0" w:color="448A99"/>
            </w:tcBorders>
            <w:shd w:val="clear" w:color="000000" w:fill="FFFFFF"/>
            <w:vAlign w:val="center"/>
            <w:hideMark/>
          </w:tcPr>
          <w:p w:rsidR="00A63401" w:rsidRPr="00B75B77" w:rsidRDefault="00620F33" w:rsidP="002F3BF8">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N/A</w:t>
            </w:r>
            <w:r w:rsidR="00A63401" w:rsidRPr="00B75B77">
              <w:rPr>
                <w:rFonts w:ascii="Calibri" w:eastAsia="Times New Roman" w:hAnsi="Calibri"/>
                <w:b/>
                <w:bCs/>
                <w:color w:val="000000"/>
                <w:sz w:val="18"/>
                <w:szCs w:val="18"/>
              </w:rPr>
              <w:t> </w:t>
            </w:r>
          </w:p>
        </w:tc>
        <w:tc>
          <w:tcPr>
            <w:tcW w:w="1170" w:type="dxa"/>
            <w:tcBorders>
              <w:top w:val="nil"/>
              <w:left w:val="nil"/>
              <w:bottom w:val="single" w:sz="4" w:space="0" w:color="448A99"/>
              <w:right w:val="single" w:sz="4" w:space="0" w:color="448A99"/>
            </w:tcBorders>
            <w:shd w:val="clear" w:color="000000" w:fill="FFFFFF"/>
            <w:vAlign w:val="center"/>
            <w:hideMark/>
          </w:tcPr>
          <w:p w:rsidR="00A63401" w:rsidRPr="00B75B77" w:rsidRDefault="00620F33" w:rsidP="002F3BF8">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N/A</w:t>
            </w:r>
            <w:r w:rsidR="00A63401" w:rsidRPr="00B75B77">
              <w:rPr>
                <w:rFonts w:ascii="Calibri" w:eastAsia="Times New Roman" w:hAnsi="Calibri"/>
                <w:b/>
                <w:bCs/>
                <w:color w:val="000000"/>
                <w:sz w:val="18"/>
                <w:szCs w:val="18"/>
              </w:rPr>
              <w:t> </w:t>
            </w:r>
          </w:p>
        </w:tc>
        <w:tc>
          <w:tcPr>
            <w:tcW w:w="810" w:type="dxa"/>
            <w:tcBorders>
              <w:top w:val="nil"/>
              <w:left w:val="nil"/>
              <w:bottom w:val="single" w:sz="4" w:space="0" w:color="448A99"/>
              <w:right w:val="single" w:sz="4" w:space="0" w:color="448A99"/>
            </w:tcBorders>
            <w:shd w:val="clear" w:color="000000" w:fill="FFFFFF"/>
            <w:vAlign w:val="center"/>
            <w:hideMark/>
          </w:tcPr>
          <w:p w:rsidR="00A63401" w:rsidRPr="00B75B77" w:rsidRDefault="00A63401" w:rsidP="002F3BF8">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6</w:t>
            </w:r>
          </w:p>
        </w:tc>
        <w:tc>
          <w:tcPr>
            <w:tcW w:w="1170" w:type="dxa"/>
            <w:tcBorders>
              <w:top w:val="nil"/>
              <w:left w:val="nil"/>
              <w:bottom w:val="single" w:sz="4" w:space="0" w:color="448A99"/>
              <w:right w:val="single" w:sz="4" w:space="0" w:color="448A99"/>
            </w:tcBorders>
            <w:shd w:val="clear" w:color="000000" w:fill="FFFFFF"/>
            <w:vAlign w:val="center"/>
            <w:hideMark/>
          </w:tcPr>
          <w:p w:rsidR="00A63401" w:rsidRPr="00B75B77" w:rsidRDefault="00A63401" w:rsidP="002F3BF8">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6</w:t>
            </w:r>
          </w:p>
        </w:tc>
        <w:tc>
          <w:tcPr>
            <w:tcW w:w="1260" w:type="dxa"/>
            <w:tcBorders>
              <w:top w:val="nil"/>
              <w:left w:val="nil"/>
              <w:bottom w:val="single" w:sz="4" w:space="0" w:color="448A99"/>
              <w:right w:val="single" w:sz="4" w:space="0" w:color="448A99"/>
            </w:tcBorders>
            <w:shd w:val="clear" w:color="000000" w:fill="FFFFFF"/>
            <w:vAlign w:val="center"/>
            <w:hideMark/>
          </w:tcPr>
          <w:p w:rsidR="00A63401" w:rsidRPr="00B75B77" w:rsidRDefault="00620F33" w:rsidP="002F3BF8">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100%</w:t>
            </w:r>
            <w:r w:rsidR="00A63401" w:rsidRPr="00B75B77">
              <w:rPr>
                <w:rFonts w:ascii="Calibri" w:eastAsia="Times New Roman" w:hAnsi="Calibri"/>
                <w:b/>
                <w:bCs/>
                <w:color w:val="000000"/>
                <w:sz w:val="18"/>
                <w:szCs w:val="18"/>
              </w:rPr>
              <w:t> </w:t>
            </w:r>
          </w:p>
        </w:tc>
        <w:tc>
          <w:tcPr>
            <w:tcW w:w="1008" w:type="dxa"/>
            <w:tcBorders>
              <w:top w:val="nil"/>
              <w:left w:val="nil"/>
              <w:bottom w:val="single" w:sz="4" w:space="0" w:color="448A99"/>
              <w:right w:val="single" w:sz="4" w:space="0" w:color="448A99"/>
            </w:tcBorders>
            <w:shd w:val="clear" w:color="000000" w:fill="FFFFFF"/>
            <w:vAlign w:val="center"/>
            <w:hideMark/>
          </w:tcPr>
          <w:p w:rsidR="00A63401" w:rsidRPr="00B75B77" w:rsidRDefault="00620F33" w:rsidP="00620F33">
            <w:pPr>
              <w:keepNext/>
              <w:jc w:val="left"/>
              <w:rPr>
                <w:rFonts w:ascii="Calibri" w:eastAsia="Times New Roman" w:hAnsi="Calibri"/>
                <w:b/>
                <w:bCs/>
                <w:color w:val="000000"/>
                <w:sz w:val="18"/>
                <w:szCs w:val="18"/>
              </w:rPr>
            </w:pPr>
            <w:r w:rsidRPr="00B75B77">
              <w:rPr>
                <w:rFonts w:ascii="Calibri" w:eastAsia="Times New Roman" w:hAnsi="Calibri"/>
                <w:b/>
                <w:bCs/>
                <w:color w:val="000000"/>
                <w:sz w:val="18"/>
                <w:szCs w:val="18"/>
              </w:rPr>
              <w:t>Process Evaluation</w:t>
            </w:r>
            <w:r w:rsidR="00A63401" w:rsidRPr="00B75B77">
              <w:rPr>
                <w:rFonts w:ascii="Calibri" w:eastAsia="Times New Roman" w:hAnsi="Calibri"/>
                <w:b/>
                <w:bCs/>
                <w:color w:val="000000"/>
                <w:sz w:val="18"/>
                <w:szCs w:val="18"/>
              </w:rPr>
              <w:t> </w:t>
            </w:r>
          </w:p>
        </w:tc>
      </w:tr>
    </w:tbl>
    <w:p w:rsidR="00174FFA" w:rsidRPr="00B75B77" w:rsidRDefault="00174FFA" w:rsidP="002F3BF8">
      <w:pPr>
        <w:keepNext/>
        <w:jc w:val="left"/>
        <w:rPr>
          <w:rFonts w:ascii="Calibri" w:hAnsi="Calibri"/>
          <w:sz w:val="18"/>
        </w:rPr>
      </w:pPr>
      <w:r w:rsidRPr="00B75B77">
        <w:rPr>
          <w:rFonts w:ascii="Calibri" w:hAnsi="Calibri"/>
          <w:sz w:val="18"/>
          <w:vertAlign w:val="superscript"/>
        </w:rPr>
        <w:t>[1]</w:t>
      </w:r>
      <w:r w:rsidRPr="00B75B77">
        <w:rPr>
          <w:rFonts w:ascii="Calibri" w:hAnsi="Calibri"/>
          <w:sz w:val="18"/>
        </w:rPr>
        <w:t xml:space="preserve"> </w:t>
      </w:r>
      <w:r w:rsidR="00892930" w:rsidRPr="00B75B77">
        <w:rPr>
          <w:rFonts w:ascii="Calibri" w:eastAsia="Times New Roman" w:hAnsi="Calibri"/>
          <w:color w:val="000000"/>
          <w:sz w:val="18"/>
          <w:szCs w:val="18"/>
        </w:rPr>
        <w:t>Sample frame is a list of contacts that have a chance to be selected into the sample. Percentage contacted means of all the sample frame the percentage that were contacted to get the completed surveys.</w:t>
      </w:r>
    </w:p>
    <w:p w:rsidR="00A63401" w:rsidRPr="00B75B77" w:rsidRDefault="00A63401" w:rsidP="002F3BF8">
      <w:pPr>
        <w:pStyle w:val="Source"/>
        <w:keepNext/>
        <w:spacing w:before="20" w:after="20"/>
        <w:ind w:left="0" w:firstLine="0"/>
        <w:rPr>
          <w:i w:val="0"/>
        </w:rPr>
      </w:pPr>
      <w:r w:rsidRPr="00B75B77">
        <w:rPr>
          <w:i w:val="0"/>
        </w:rPr>
        <w:t xml:space="preserve">Note: </w:t>
      </w:r>
      <w:r w:rsidRPr="00B75B77">
        <w:rPr>
          <w:rFonts w:ascii="Calibri" w:hAnsi="Calibri"/>
          <w:i w:val="0"/>
          <w:iCs/>
          <w:color w:val="000000"/>
          <w:szCs w:val="18"/>
        </w:rPr>
        <w:t>Values in tables may not reconcile exactly with the sum of more detailed level results or previously reported results due to rounding.</w:t>
      </w:r>
    </w:p>
    <w:p w:rsidR="00A63401" w:rsidRPr="00B75B77" w:rsidRDefault="00A63401" w:rsidP="002F3BF8">
      <w:pPr>
        <w:pStyle w:val="Source"/>
        <w:keepNext/>
        <w:ind w:left="0" w:firstLine="0"/>
      </w:pPr>
      <w:r w:rsidRPr="00B75B77">
        <w:t>Source: Navigant analysis</w:t>
      </w:r>
    </w:p>
    <w:p w:rsidR="00A63401" w:rsidRPr="00B75B77" w:rsidRDefault="00A63401" w:rsidP="00A63401">
      <w:pPr>
        <w:pStyle w:val="Heading3"/>
      </w:pPr>
      <w:bookmarkStart w:id="951" w:name="_Toc466413461"/>
      <w:r w:rsidRPr="00B75B77">
        <w:t>Process Findings and Recommendations</w:t>
      </w:r>
      <w:bookmarkEnd w:id="951"/>
      <w:r w:rsidRPr="00B75B77">
        <w:t xml:space="preserve"> </w:t>
      </w:r>
    </w:p>
    <w:p w:rsidR="00A63401" w:rsidRPr="00B75B77" w:rsidRDefault="00A63401" w:rsidP="00892930">
      <w:pPr>
        <w:spacing w:before="120" w:after="120"/>
      </w:pPr>
      <w:r w:rsidRPr="00B75B77">
        <w:t xml:space="preserve">The process evaluation </w:t>
      </w:r>
      <w:r w:rsidR="00892930" w:rsidRPr="00B75B77">
        <w:t xml:space="preserve">in PY7 </w:t>
      </w:r>
      <w:r w:rsidRPr="00B75B77">
        <w:t xml:space="preserve">yielded several findings and potential program improvements. Below are specific recommendations and the associated process evaluation findings on which the </w:t>
      </w:r>
      <w:r w:rsidR="00892930" w:rsidRPr="00B75B77">
        <w:t xml:space="preserve">evaluation team based its </w:t>
      </w:r>
      <w:r w:rsidRPr="00B75B77">
        <w:t>recommendations.</w:t>
      </w:r>
      <w:r w:rsidRPr="00B75B77">
        <w:rPr>
          <w:rStyle w:val="Heading3Char"/>
        </w:rPr>
        <w:t xml:space="preserve"> </w:t>
      </w:r>
      <w:r w:rsidRPr="00B75B77">
        <w:t>Navigant conducted in-depth interviews individuals at the participating organizations who were involved with the system design and decision</w:t>
      </w:r>
      <w:r w:rsidR="00892930" w:rsidRPr="00B75B77">
        <w:t>-</w:t>
      </w:r>
      <w:r w:rsidRPr="00B75B77">
        <w:t xml:space="preserve">making. The following findings and recommendations (where appropriate) are based on the responses of these individuals. Navigant cautions that such a small sample cannot adequately represent the entire population of eligible SOS participants. </w:t>
      </w:r>
    </w:p>
    <w:p w:rsidR="00A63401" w:rsidRPr="00B75B77" w:rsidRDefault="00A63401" w:rsidP="009E08FB">
      <w:pPr>
        <w:pStyle w:val="ListParagraph"/>
        <w:numPr>
          <w:ilvl w:val="0"/>
          <w:numId w:val="74"/>
        </w:numPr>
        <w:spacing w:before="120" w:after="120"/>
        <w:contextualSpacing w:val="0"/>
      </w:pPr>
      <w:r w:rsidRPr="00B75B77">
        <w:rPr>
          <w:b/>
        </w:rPr>
        <w:t xml:space="preserve">Finding: </w:t>
      </w:r>
      <w:r w:rsidRPr="00B75B77">
        <w:t xml:space="preserve">Program staffing is adequate. Both the PECO and CSP program managers expressed the opinion that the program does not need additional staff. </w:t>
      </w:r>
    </w:p>
    <w:p w:rsidR="00A63401" w:rsidRPr="00B75B77" w:rsidRDefault="00A63401" w:rsidP="009E08FB">
      <w:pPr>
        <w:pStyle w:val="ListParagraph"/>
        <w:numPr>
          <w:ilvl w:val="0"/>
          <w:numId w:val="74"/>
        </w:numPr>
        <w:spacing w:before="120" w:after="120"/>
        <w:contextualSpacing w:val="0"/>
      </w:pPr>
      <w:r w:rsidRPr="00B75B77">
        <w:rPr>
          <w:b/>
        </w:rPr>
        <w:t xml:space="preserve">Finding: </w:t>
      </w:r>
      <w:r w:rsidRPr="00B75B77">
        <w:t xml:space="preserve">Existing program promotional efforts were adequate for Phase II. PECO promoted the SOS program primarily by making presentations at trade association events and through direct contact with customers. During Phase II, the SOS program had </w:t>
      </w:r>
      <w:r w:rsidR="00E3061C" w:rsidRPr="00B75B77">
        <w:t xml:space="preserve">projects that amounted to </w:t>
      </w:r>
      <w:r w:rsidRPr="00B75B77">
        <w:t xml:space="preserve">up to 96% of its targeted savings </w:t>
      </w:r>
      <w:r w:rsidR="00E3061C" w:rsidRPr="00B75B77">
        <w:t>goal</w:t>
      </w:r>
      <w:r w:rsidRPr="00B75B77">
        <w:t xml:space="preserve"> enrolled in the program. Any major changes to program size may require increased </w:t>
      </w:r>
      <w:r w:rsidR="008A2056" w:rsidRPr="00B75B77">
        <w:t>promotional</w:t>
      </w:r>
      <w:r w:rsidRPr="00B75B77">
        <w:t xml:space="preserve"> effort. </w:t>
      </w:r>
    </w:p>
    <w:p w:rsidR="00A63401" w:rsidRPr="00B75B77" w:rsidRDefault="00A63401" w:rsidP="009E08FB">
      <w:pPr>
        <w:pStyle w:val="ListParagraph"/>
        <w:numPr>
          <w:ilvl w:val="1"/>
          <w:numId w:val="74"/>
        </w:numPr>
        <w:spacing w:before="120" w:after="120"/>
        <w:contextualSpacing w:val="0"/>
        <w:jc w:val="left"/>
      </w:pPr>
      <w:r w:rsidRPr="00B75B77">
        <w:rPr>
          <w:b/>
        </w:rPr>
        <w:t xml:space="preserve">Recommendation: </w:t>
      </w:r>
      <w:r w:rsidR="00C83BC5" w:rsidRPr="00B75B77">
        <w:t>PECO should l</w:t>
      </w:r>
      <w:r w:rsidRPr="00B75B77">
        <w:t>everage completed SOS projects to promote the technology</w:t>
      </w:r>
      <w:r w:rsidRPr="00B75B77">
        <w:rPr>
          <w:b/>
        </w:rPr>
        <w:t>.</w:t>
      </w:r>
      <w:r w:rsidRPr="00B75B77">
        <w:t xml:space="preserve"> CHP system owners expressed pride for their projects and may welcome the opportunity to publicize their success. If PECO wishes to foster the market for CHP in its service territory, it could invite CHP owners to speak about their experiences with the technology and PECO’s program at relevant industry events. Some CHP owners might be willing to host such events at their facility and provide tours of the system.</w:t>
      </w:r>
    </w:p>
    <w:p w:rsidR="00A63401" w:rsidRPr="00B75B77" w:rsidRDefault="00A63401" w:rsidP="009E08FB">
      <w:pPr>
        <w:pStyle w:val="ListParagraph"/>
        <w:numPr>
          <w:ilvl w:val="1"/>
          <w:numId w:val="74"/>
        </w:numPr>
        <w:spacing w:before="120" w:after="120"/>
        <w:contextualSpacing w:val="0"/>
        <w:jc w:val="left"/>
      </w:pPr>
      <w:r w:rsidRPr="00B75B77">
        <w:rPr>
          <w:b/>
        </w:rPr>
        <w:t xml:space="preserve">Recommendation: </w:t>
      </w:r>
      <w:r w:rsidRPr="00B75B77">
        <w:t>Provide design support to customers. If PECO wishes to foster the market for CHP in its service territory, providing financial support for system design could help in the following ways:</w:t>
      </w:r>
    </w:p>
    <w:p w:rsidR="00A63401" w:rsidRPr="00B75B77" w:rsidRDefault="00A63401" w:rsidP="009E08FB">
      <w:pPr>
        <w:pStyle w:val="ListParagraph"/>
        <w:numPr>
          <w:ilvl w:val="2"/>
          <w:numId w:val="83"/>
        </w:numPr>
        <w:spacing w:before="60" w:after="60"/>
        <w:contextualSpacing w:val="0"/>
        <w:jc w:val="left"/>
      </w:pPr>
      <w:r w:rsidRPr="00B75B77">
        <w:rPr>
          <w:b/>
        </w:rPr>
        <w:t>Reducing barriers by reducing costs.</w:t>
      </w:r>
      <w:r w:rsidRPr="00B75B77">
        <w:t xml:space="preserve"> Providing financial support for the early stages of project development could make it easier for customers to move beyond the barrier posed by the costs incurred to determine whether CHP is even a viable option.</w:t>
      </w:r>
    </w:p>
    <w:p w:rsidR="00A63401" w:rsidRPr="00B75B77" w:rsidRDefault="00A63401" w:rsidP="009E08FB">
      <w:pPr>
        <w:pStyle w:val="ListParagraph"/>
        <w:numPr>
          <w:ilvl w:val="2"/>
          <w:numId w:val="83"/>
        </w:numPr>
        <w:spacing w:before="60" w:after="60"/>
        <w:contextualSpacing w:val="0"/>
        <w:jc w:val="left"/>
      </w:pPr>
      <w:r w:rsidRPr="00B75B77">
        <w:rPr>
          <w:b/>
        </w:rPr>
        <w:t xml:space="preserve">Lending credibility to the technology and to project developers. </w:t>
      </w:r>
      <w:r w:rsidRPr="00B75B77">
        <w:t>Early market intervention by PECO could overcome a credibility gap among customers who are unfamiliar with the technology.</w:t>
      </w:r>
    </w:p>
    <w:p w:rsidR="00A63401" w:rsidRPr="00B75B77" w:rsidRDefault="00A63401" w:rsidP="009E08FB">
      <w:pPr>
        <w:pStyle w:val="ListParagraph"/>
        <w:numPr>
          <w:ilvl w:val="2"/>
          <w:numId w:val="83"/>
        </w:numPr>
        <w:spacing w:before="60" w:after="60"/>
        <w:contextualSpacing w:val="0"/>
        <w:jc w:val="left"/>
      </w:pPr>
      <w:r w:rsidRPr="00B75B77">
        <w:rPr>
          <w:b/>
        </w:rPr>
        <w:lastRenderedPageBreak/>
        <w:t>Assisting customers in identifying qualified project developers.</w:t>
      </w:r>
      <w:r w:rsidRPr="00B75B77">
        <w:t xml:space="preserve"> If PECO were to adopt this recommendation, Navigant strongly recommends that it protect its design assistance investment by developing a list of qualified project developers </w:t>
      </w:r>
      <w:r w:rsidR="00C83BC5" w:rsidRPr="00B75B77">
        <w:t xml:space="preserve">that </w:t>
      </w:r>
      <w:r w:rsidRPr="00B75B77">
        <w:t xml:space="preserve">satisfy a set of rigorous screening criteria. </w:t>
      </w:r>
    </w:p>
    <w:p w:rsidR="00A63401" w:rsidRPr="00B75B77" w:rsidRDefault="00A63401" w:rsidP="009E08FB">
      <w:pPr>
        <w:pStyle w:val="ListParagraph"/>
        <w:numPr>
          <w:ilvl w:val="0"/>
          <w:numId w:val="74"/>
        </w:numPr>
        <w:spacing w:before="120" w:after="120"/>
        <w:contextualSpacing w:val="0"/>
        <w:jc w:val="left"/>
      </w:pPr>
      <w:r w:rsidRPr="00B75B77">
        <w:rPr>
          <w:b/>
        </w:rPr>
        <w:t xml:space="preserve">Finding: </w:t>
      </w:r>
      <w:r w:rsidRPr="00B75B77">
        <w:t>The SOS program creates significant uncertainty and risk for PECO due to the complexity of the projects and the magnitude of the project</w:t>
      </w:r>
      <w:r w:rsidR="008E78A4" w:rsidRPr="00B75B77">
        <w:t>’s</w:t>
      </w:r>
      <w:r w:rsidRPr="00B75B77">
        <w:t xml:space="preserve"> energy savings. For example, the average project size is 7,000 MWh (excluding the 45,000 MWh waste water treatment project). In addition, 17% of the Phase II MWh savings </w:t>
      </w:r>
      <w:r w:rsidR="00EF656D" w:rsidRPr="00B75B77">
        <w:t>goal was</w:t>
      </w:r>
      <w:r w:rsidRPr="00B75B77">
        <w:t xml:space="preserve"> completed in the last two days of the phase</w:t>
      </w:r>
      <w:r w:rsidR="008E78A4" w:rsidRPr="00B75B77">
        <w:t>, and</w:t>
      </w:r>
      <w:r w:rsidRPr="00B75B77">
        <w:t xml:space="preserve"> projects making up 7% of the Phase II MWh goal </w:t>
      </w:r>
      <w:r w:rsidR="008E78A4" w:rsidRPr="00B75B77">
        <w:t>did not get completed</w:t>
      </w:r>
      <w:r w:rsidRPr="00B75B77">
        <w:t xml:space="preserve"> </w:t>
      </w:r>
      <w:r w:rsidR="008E78A4" w:rsidRPr="00B75B77">
        <w:t>during</w:t>
      </w:r>
      <w:r w:rsidRPr="00B75B77">
        <w:t xml:space="preserve"> the Phase. Projects that did </w:t>
      </w:r>
      <w:r w:rsidR="008E78A4" w:rsidRPr="00B75B77">
        <w:t>not finish during</w:t>
      </w:r>
      <w:r w:rsidRPr="00B75B77">
        <w:t xml:space="preserve"> the Phase took between 15 and 28 months from the time of application to completion</w:t>
      </w:r>
      <w:r w:rsidR="008E78A4" w:rsidRPr="00B75B77">
        <w:t>,</w:t>
      </w:r>
      <w:r w:rsidRPr="00B75B77">
        <w:t xml:space="preserve"> making it difficult for PECO to anticipate and react to any need to adjust its plan to meet the portfolio savings goals. </w:t>
      </w:r>
    </w:p>
    <w:p w:rsidR="00A63401" w:rsidRPr="00B75B77" w:rsidRDefault="00A63401" w:rsidP="009E08FB">
      <w:pPr>
        <w:pStyle w:val="ListParagraph"/>
        <w:numPr>
          <w:ilvl w:val="1"/>
          <w:numId w:val="74"/>
        </w:numPr>
        <w:spacing w:before="120" w:after="120"/>
        <w:contextualSpacing w:val="0"/>
        <w:jc w:val="left"/>
      </w:pPr>
      <w:r w:rsidRPr="00B75B77">
        <w:rPr>
          <w:b/>
        </w:rPr>
        <w:t>Recommendation:</w:t>
      </w:r>
      <w:r w:rsidRPr="00B75B77">
        <w:t xml:space="preserve"> </w:t>
      </w:r>
      <w:r w:rsidR="000251BF" w:rsidRPr="00B75B77">
        <w:t xml:space="preserve">Set final Phase III project enrollment deadlines of January 1, 2019 for projects over 1 MW and January 1, 2020 for projects </w:t>
      </w:r>
      <w:r w:rsidR="00EF656D" w:rsidRPr="00B75B77">
        <w:t>less than</w:t>
      </w:r>
      <w:r w:rsidR="000251BF" w:rsidRPr="00B75B77">
        <w:t xml:space="preserve"> 1 MW to mitigate completion risks that lead to portfolio-level uncertainty. </w:t>
      </w:r>
    </w:p>
    <w:p w:rsidR="00A63401" w:rsidRPr="00B75B77" w:rsidRDefault="00A63401" w:rsidP="009E08FB">
      <w:pPr>
        <w:pStyle w:val="ListParagraph"/>
        <w:numPr>
          <w:ilvl w:val="0"/>
          <w:numId w:val="74"/>
        </w:numPr>
        <w:spacing w:before="120" w:after="120"/>
        <w:contextualSpacing w:val="0"/>
        <w:jc w:val="left"/>
      </w:pPr>
      <w:r w:rsidRPr="00B75B77">
        <w:rPr>
          <w:b/>
        </w:rPr>
        <w:t>Finding:</w:t>
      </w:r>
      <w:r w:rsidRPr="00B75B77">
        <w:t xml:space="preserve"> PECO is devoting adequate attention to the impacts of the SOS program on sector- and portfolio-level savings. The PECO program manager indicated that projected SOS savings levels are reviewed with the program managers from other programs and portfolio-level managers on a biweekly basis. This indicates that PECO is aware of and attempting to mitigate the uncertainty and inherent risk that SOS projects pose.</w:t>
      </w:r>
    </w:p>
    <w:p w:rsidR="00A63401" w:rsidRPr="00B75B77" w:rsidRDefault="00A63401" w:rsidP="009E08FB">
      <w:pPr>
        <w:pStyle w:val="ListParagraph"/>
        <w:numPr>
          <w:ilvl w:val="0"/>
          <w:numId w:val="74"/>
        </w:numPr>
        <w:spacing w:before="120" w:after="120"/>
        <w:contextualSpacing w:val="0"/>
      </w:pPr>
      <w:r w:rsidRPr="00B75B77">
        <w:rPr>
          <w:b/>
        </w:rPr>
        <w:t xml:space="preserve">Finding: </w:t>
      </w:r>
      <w:r w:rsidRPr="00B75B77">
        <w:t xml:space="preserve">Developers unanimously oppose restrictions on participation based on system size and Phase deadline. Developers agree that that any change to the current participation requirements would be perceived </w:t>
      </w:r>
      <w:r w:rsidR="008E78A4" w:rsidRPr="00B75B77">
        <w:t xml:space="preserve">as </w:t>
      </w:r>
      <w:r w:rsidRPr="00B75B77">
        <w:t>increased market uncertainty. One developer suggested that the move toward containerized systems for systems as large as 1.5 MW is shortening the development cycle. That developer also noted that smaller systems are not typically design</w:t>
      </w:r>
      <w:r w:rsidR="008E78A4" w:rsidRPr="00B75B77">
        <w:t>ed</w:t>
      </w:r>
      <w:r w:rsidRPr="00B75B77">
        <w:t xml:space="preserve"> by specialized firms and are prone to more issues. However, containerized systems did not complete faster than two traditional projects completed in PY5.</w:t>
      </w:r>
    </w:p>
    <w:p w:rsidR="00A63401" w:rsidRPr="00B75B77" w:rsidRDefault="00A63401" w:rsidP="009E08FB">
      <w:pPr>
        <w:pStyle w:val="ListParagraph"/>
        <w:numPr>
          <w:ilvl w:val="1"/>
          <w:numId w:val="74"/>
        </w:numPr>
        <w:spacing w:before="120" w:after="120"/>
        <w:contextualSpacing w:val="0"/>
        <w:jc w:val="left"/>
        <w:rPr>
          <w:b/>
        </w:rPr>
      </w:pPr>
      <w:r w:rsidRPr="00B75B77">
        <w:rPr>
          <w:b/>
        </w:rPr>
        <w:t xml:space="preserve">Recommendation: </w:t>
      </w:r>
      <w:r w:rsidRPr="00B75B77">
        <w:t>PECO should host an open house for participants and developers to meet PECO and CSP staff to discuss any substantive changes to the program in Phase III. Based on developer sentiment, it is essential that the market clearly understands any major changes to the program to minimize confusion and uncertainty.</w:t>
      </w:r>
    </w:p>
    <w:p w:rsidR="00A63401" w:rsidRPr="00B75B77" w:rsidRDefault="00A63401" w:rsidP="009E08FB">
      <w:pPr>
        <w:pStyle w:val="ListParagraph"/>
        <w:numPr>
          <w:ilvl w:val="0"/>
          <w:numId w:val="74"/>
        </w:numPr>
        <w:spacing w:before="120" w:after="120"/>
        <w:contextualSpacing w:val="0"/>
      </w:pPr>
      <w:r w:rsidRPr="00B75B77">
        <w:rPr>
          <w:b/>
        </w:rPr>
        <w:t xml:space="preserve">Finding: </w:t>
      </w:r>
      <w:r w:rsidRPr="00B75B77">
        <w:t xml:space="preserve">Obtaining an operating permit from the Pennsylvania Department of Environmental Protection (DEP) can delay projects considerably. When asked about the primary factors that contribute to delays in completing CHP systems, all developers pointed to the DEP as the source of considerable delay and uncertainty. Their estimates of the delay ranged from </w:t>
      </w:r>
      <w:r w:rsidR="008E78A4" w:rsidRPr="00B75B77">
        <w:t xml:space="preserve">4 </w:t>
      </w:r>
      <w:r w:rsidRPr="00B75B77">
        <w:t>months to a full year.</w:t>
      </w:r>
    </w:p>
    <w:p w:rsidR="00A63401" w:rsidRPr="00B75B77" w:rsidRDefault="00A63401" w:rsidP="009E08FB">
      <w:pPr>
        <w:pStyle w:val="ListParagraph"/>
        <w:numPr>
          <w:ilvl w:val="1"/>
          <w:numId w:val="74"/>
        </w:numPr>
        <w:spacing w:before="120" w:after="120"/>
        <w:contextualSpacing w:val="0"/>
      </w:pPr>
      <w:r w:rsidRPr="00B75B77">
        <w:rPr>
          <w:b/>
        </w:rPr>
        <w:t>Recommendation</w:t>
      </w:r>
      <w:r w:rsidRPr="00B75B77">
        <w:t>: Create a liaison with the DEP. By creating a relationship with the relevant parties at the DEP and making them aware of the SOS program, PECO may be able increase the priority of SOS project reviews</w:t>
      </w:r>
      <w:r w:rsidR="008E78A4" w:rsidRPr="00B75B77">
        <w:t>—</w:t>
      </w:r>
      <w:r w:rsidRPr="00B75B77">
        <w:t>or at least reduce the uncertainty about the timing of a project’s completion that is due to the permitting process.</w:t>
      </w:r>
    </w:p>
    <w:p w:rsidR="00A63401" w:rsidRPr="00B75B77" w:rsidRDefault="00A63401" w:rsidP="009E08FB">
      <w:pPr>
        <w:pStyle w:val="ListParagraph"/>
        <w:numPr>
          <w:ilvl w:val="0"/>
          <w:numId w:val="74"/>
        </w:numPr>
        <w:spacing w:before="120" w:after="120"/>
        <w:contextualSpacing w:val="0"/>
      </w:pPr>
      <w:r w:rsidRPr="00B75B77">
        <w:rPr>
          <w:b/>
        </w:rPr>
        <w:t xml:space="preserve">Finding: </w:t>
      </w:r>
      <w:r w:rsidRPr="00B75B77">
        <w:t xml:space="preserve">Interconnection agreements remain an issue, creating delays in the project and shortening valuable </w:t>
      </w:r>
      <w:r w:rsidR="008A2056" w:rsidRPr="00B75B77">
        <w:t>commissioning</w:t>
      </w:r>
      <w:r w:rsidRPr="00B75B77">
        <w:t xml:space="preserve"> time. </w:t>
      </w:r>
      <w:r w:rsidR="008E78A4" w:rsidRPr="00B75B77">
        <w:t xml:space="preserve">Three out of four </w:t>
      </w:r>
      <w:r w:rsidRPr="00B75B77">
        <w:t xml:space="preserve">developers said that they had issues with the interconnection agreement. </w:t>
      </w:r>
    </w:p>
    <w:p w:rsidR="00A63401" w:rsidRPr="00B75B77" w:rsidRDefault="00A63401" w:rsidP="009E08FB">
      <w:pPr>
        <w:pStyle w:val="ListParagraph"/>
        <w:numPr>
          <w:ilvl w:val="0"/>
          <w:numId w:val="74"/>
        </w:numPr>
        <w:spacing w:before="120" w:after="120"/>
        <w:contextualSpacing w:val="0"/>
      </w:pPr>
      <w:r w:rsidRPr="00B75B77">
        <w:rPr>
          <w:b/>
        </w:rPr>
        <w:t xml:space="preserve">Finding: </w:t>
      </w:r>
      <w:r w:rsidRPr="00B75B77">
        <w:t xml:space="preserve">Participants had mixed experiences with PECO. On a 5-point scale where 1 indicates </w:t>
      </w:r>
      <w:r w:rsidR="008E78A4" w:rsidRPr="00B75B77">
        <w:t>“V</w:t>
      </w:r>
      <w:r w:rsidRPr="00B75B77">
        <w:t>ery dissatisfied</w:t>
      </w:r>
      <w:r w:rsidR="008E78A4" w:rsidRPr="00B75B77">
        <w:t>”</w:t>
      </w:r>
      <w:r w:rsidRPr="00B75B77">
        <w:t xml:space="preserve"> and 5 indicates </w:t>
      </w:r>
      <w:r w:rsidR="008E78A4" w:rsidRPr="00B75B77">
        <w:t>“V</w:t>
      </w:r>
      <w:r w:rsidRPr="00B75B77">
        <w:t>ery satisfied,</w:t>
      </w:r>
      <w:r w:rsidR="008E78A4" w:rsidRPr="00B75B77">
        <w:t>”</w:t>
      </w:r>
      <w:r w:rsidRPr="00B75B77">
        <w:t xml:space="preserve"> the participants were asked to describe their </w:t>
      </w:r>
      <w:r w:rsidRPr="00B75B77">
        <w:lastRenderedPageBreak/>
        <w:t>satisfaction with program incentives and their overall ratings for the program and for PECO. Several participants noted issues with customer service including responsiveness and consistency of messages across staff. Some of the dissatisfaction was due to confusion over program requirements.</w:t>
      </w:r>
    </w:p>
    <w:p w:rsidR="00A63401" w:rsidRPr="00B75B77" w:rsidRDefault="00A63401" w:rsidP="009E08FB">
      <w:pPr>
        <w:pStyle w:val="ListParagraph"/>
        <w:numPr>
          <w:ilvl w:val="1"/>
          <w:numId w:val="74"/>
        </w:numPr>
        <w:spacing w:before="120" w:after="120"/>
        <w:contextualSpacing w:val="0"/>
        <w:jc w:val="left"/>
        <w:rPr>
          <w:b/>
        </w:rPr>
      </w:pPr>
      <w:r w:rsidRPr="00B75B77">
        <w:rPr>
          <w:b/>
        </w:rPr>
        <w:t>Recommendation:</w:t>
      </w:r>
      <w:r w:rsidRPr="00B75B77">
        <w:t xml:space="preserve"> Develop a program manual for developers and participants. The program manual should provide a standardized feasibility template, a process chart describing key milestones</w:t>
      </w:r>
      <w:r w:rsidR="00E772AB" w:rsidRPr="00B75B77">
        <w:t>,</w:t>
      </w:r>
      <w:r w:rsidRPr="00B75B77">
        <w:t xml:space="preserve"> and more details regarding enrollment, interconnection</w:t>
      </w:r>
      <w:r w:rsidR="00E772AB" w:rsidRPr="00B75B77">
        <w:t>,</w:t>
      </w:r>
      <w:r w:rsidRPr="00B75B77">
        <w:t xml:space="preserve"> and incentive payout. </w:t>
      </w:r>
    </w:p>
    <w:p w:rsidR="00A63401" w:rsidRPr="00B75B77" w:rsidRDefault="00A63401" w:rsidP="00A63401">
      <w:pPr>
        <w:rPr>
          <w:b/>
        </w:rPr>
      </w:pPr>
    </w:p>
    <w:p w:rsidR="00A63401" w:rsidRPr="00B75B77" w:rsidRDefault="00A63401" w:rsidP="003E6A9B">
      <w:pPr>
        <w:pStyle w:val="Heading2"/>
      </w:pPr>
      <w:bookmarkStart w:id="952" w:name="_Toc466413462"/>
      <w:r w:rsidRPr="00B75B77">
        <w:t>Status of Recommendations for Program</w:t>
      </w:r>
      <w:bookmarkEnd w:id="952"/>
    </w:p>
    <w:p w:rsidR="00A63401" w:rsidRPr="00B75B77" w:rsidRDefault="00A63401" w:rsidP="00A63401">
      <w:r w:rsidRPr="00B75B77">
        <w:rPr>
          <w:rFonts w:eastAsia="Times New Roman"/>
          <w:color w:val="000000"/>
        </w:rPr>
        <w:t xml:space="preserve">The evaluation team’s recommendations for the SOS program are provided in </w:t>
      </w:r>
      <w:r w:rsidRPr="00B75B77">
        <w:fldChar w:fldCharType="begin"/>
      </w:r>
      <w:r w:rsidRPr="00B75B77">
        <w:rPr>
          <w:rFonts w:eastAsia="Times New Roman"/>
          <w:color w:val="000000"/>
        </w:rPr>
        <w:instrText xml:space="preserve"> REF _Ref463518379 \h </w:instrText>
      </w:r>
      <w:r w:rsidR="00B75B77">
        <w:instrText xml:space="preserve"> \* MERGEFORMAT </w:instrText>
      </w:r>
      <w:r w:rsidRPr="00B75B77">
        <w:fldChar w:fldCharType="separate"/>
      </w:r>
      <w:r w:rsidR="0004016D" w:rsidRPr="00B75B77">
        <w:t xml:space="preserve">Table </w:t>
      </w:r>
      <w:r w:rsidR="0004016D">
        <w:rPr>
          <w:noProof/>
        </w:rPr>
        <w:t>15</w:t>
      </w:r>
      <w:r w:rsidR="0004016D" w:rsidRPr="00B75B77">
        <w:rPr>
          <w:noProof/>
        </w:rPr>
        <w:noBreakHyphen/>
      </w:r>
      <w:r w:rsidR="0004016D">
        <w:rPr>
          <w:noProof/>
        </w:rPr>
        <w:t>9</w:t>
      </w:r>
      <w:r w:rsidRPr="00B75B77">
        <w:fldChar w:fldCharType="end"/>
      </w:r>
      <w:r w:rsidRPr="00B75B77">
        <w:t xml:space="preserve">. </w:t>
      </w:r>
      <w:r w:rsidRPr="00B75B77">
        <w:rPr>
          <w:rFonts w:eastAsia="Times New Roman"/>
          <w:color w:val="000000"/>
        </w:rPr>
        <w:t xml:space="preserve">These recommendations are based on the results of the PY7 evaluation and PECO’s vision for the program going forward into Phase III.   </w:t>
      </w:r>
      <w:r w:rsidRPr="00B75B77">
        <w:t xml:space="preserve"> </w:t>
      </w:r>
    </w:p>
    <w:p w:rsidR="00A63401" w:rsidRPr="00B75B77" w:rsidRDefault="00A63401" w:rsidP="0004543D"/>
    <w:p w:rsidR="00A63401" w:rsidRPr="00B75B77" w:rsidRDefault="00A63401" w:rsidP="007F0D42">
      <w:pPr>
        <w:pStyle w:val="Caption"/>
      </w:pPr>
      <w:bookmarkStart w:id="953" w:name="_Ref463518379"/>
      <w:bookmarkStart w:id="954" w:name="_Toc466413645"/>
      <w:r w:rsidRPr="00B75B77">
        <w:t xml:space="preserve">Table </w:t>
      </w:r>
      <w:fldSimple w:instr=" STYLEREF 1 \s ">
        <w:r w:rsidR="0004016D">
          <w:rPr>
            <w:noProof/>
          </w:rPr>
          <w:t>15</w:t>
        </w:r>
      </w:fldSimple>
      <w:r w:rsidR="00F1144C" w:rsidRPr="00B75B77">
        <w:noBreakHyphen/>
      </w:r>
      <w:fldSimple w:instr=" SEQ Table \* ARABIC \s 1 ">
        <w:r w:rsidR="0004016D">
          <w:rPr>
            <w:noProof/>
          </w:rPr>
          <w:t>9</w:t>
        </w:r>
      </w:fldSimple>
      <w:bookmarkEnd w:id="953"/>
      <w:r w:rsidRPr="00B75B77">
        <w:t>: Smart On-Site Status Report on Process and Impact Recommendations</w:t>
      </w:r>
      <w:bookmarkEnd w:id="954"/>
      <w:r w:rsidRPr="00B75B77">
        <w:t xml:space="preserve"> </w:t>
      </w:r>
    </w:p>
    <w:tbl>
      <w:tblPr>
        <w:tblStyle w:val="MediumShading1-Accent5"/>
        <w:tblW w:w="936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4680"/>
        <w:gridCol w:w="4680"/>
      </w:tblGrid>
      <w:tr w:rsidR="00A63401" w:rsidRPr="00B75B77" w:rsidTr="00E772AB">
        <w:trPr>
          <w:cnfStyle w:val="100000000000" w:firstRow="1" w:lastRow="0" w:firstColumn="0" w:lastColumn="0" w:oddVBand="0" w:evenVBand="0" w:oddHBand="0" w:evenHBand="0" w:firstRowFirstColumn="0" w:firstRowLastColumn="0" w:lastRowFirstColumn="0" w:lastRowLastColumn="0"/>
          <w:trHeight w:val="944"/>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auto"/>
              <w:left w:val="single" w:sz="8" w:space="0" w:color="auto"/>
              <w:bottom w:val="single" w:sz="8" w:space="0" w:color="auto"/>
              <w:right w:val="single" w:sz="8" w:space="0" w:color="auto"/>
            </w:tcBorders>
            <w:shd w:val="clear" w:color="auto" w:fill="448A99"/>
            <w:vAlign w:val="center"/>
            <w:hideMark/>
          </w:tcPr>
          <w:p w:rsidR="00A63401" w:rsidRPr="00B75B77" w:rsidRDefault="00A63401" w:rsidP="00594255">
            <w:pPr>
              <w:jc w:val="left"/>
              <w:rPr>
                <w:rFonts w:ascii="Calibri" w:eastAsia="Times New Roman" w:hAnsi="Calibri"/>
                <w:bCs w:val="0"/>
                <w:sz w:val="18"/>
              </w:rPr>
            </w:pPr>
            <w:r w:rsidRPr="00B75B77">
              <w:rPr>
                <w:rFonts w:ascii="Calibri" w:eastAsia="Times New Roman" w:hAnsi="Calibri"/>
                <w:bCs w:val="0"/>
                <w:sz w:val="18"/>
              </w:rPr>
              <w:t>Recommendations</w:t>
            </w:r>
          </w:p>
        </w:tc>
        <w:tc>
          <w:tcPr>
            <w:tcW w:w="4680" w:type="dxa"/>
            <w:tcBorders>
              <w:top w:val="single" w:sz="4" w:space="0" w:color="auto"/>
              <w:left w:val="single" w:sz="8" w:space="0" w:color="auto"/>
              <w:bottom w:val="single" w:sz="8" w:space="0" w:color="auto"/>
              <w:right w:val="single" w:sz="8" w:space="0" w:color="auto"/>
            </w:tcBorders>
            <w:shd w:val="clear" w:color="auto" w:fill="448A99"/>
            <w:vAlign w:val="center"/>
            <w:hideMark/>
          </w:tcPr>
          <w:p w:rsidR="00A63401" w:rsidRPr="00B75B77" w:rsidRDefault="00A63401" w:rsidP="00594255">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rPr>
            </w:pPr>
            <w:r w:rsidRPr="00B75B77">
              <w:rPr>
                <w:rFonts w:ascii="Calibri" w:eastAsia="Times New Roman" w:hAnsi="Calibri"/>
                <w:bCs w:val="0"/>
                <w:sz w:val="18"/>
              </w:rPr>
              <w:t>EDC Status of Recommendation (Implemented, Being Considered, Rejected AND Explanation of Action Taken by EDC)</w:t>
            </w:r>
          </w:p>
        </w:tc>
      </w:tr>
      <w:tr w:rsidR="00A63401" w:rsidRPr="00B75B77" w:rsidTr="003E49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tcBorders>
              <w:top w:val="single" w:sz="8" w:space="0" w:color="auto"/>
              <w:right w:val="none" w:sz="0" w:space="0" w:color="auto"/>
            </w:tcBorders>
            <w:noWrap/>
            <w:vAlign w:val="center"/>
            <w:hideMark/>
          </w:tcPr>
          <w:p w:rsidR="00E772AB" w:rsidRPr="00B75B77" w:rsidRDefault="00A63401" w:rsidP="00A63401">
            <w:pPr>
              <w:jc w:val="left"/>
              <w:rPr>
                <w:rFonts w:ascii="Calibri" w:eastAsia="Times New Roman" w:hAnsi="Calibri"/>
                <w:color w:val="000000"/>
                <w:sz w:val="18"/>
              </w:rPr>
            </w:pPr>
            <w:r w:rsidRPr="00B75B77">
              <w:rPr>
                <w:rFonts w:ascii="Calibri" w:eastAsia="Times New Roman" w:hAnsi="Calibri"/>
                <w:color w:val="000000"/>
                <w:sz w:val="18"/>
              </w:rPr>
              <w:t xml:space="preserve">Recommendation 1: </w:t>
            </w:r>
          </w:p>
          <w:p w:rsidR="00E3061C" w:rsidRPr="00B75B77" w:rsidRDefault="00E3061C" w:rsidP="009E08FB">
            <w:pPr>
              <w:pStyle w:val="ListParagraph"/>
              <w:numPr>
                <w:ilvl w:val="4"/>
                <w:numId w:val="58"/>
              </w:numPr>
              <w:ind w:left="512" w:hanging="270"/>
              <w:jc w:val="left"/>
              <w:rPr>
                <w:rFonts w:ascii="Calibri" w:eastAsia="Times New Roman" w:hAnsi="Calibri"/>
                <w:color w:val="000000"/>
                <w:sz w:val="18"/>
              </w:rPr>
            </w:pPr>
            <w:r w:rsidRPr="00B75B77">
              <w:rPr>
                <w:rFonts w:ascii="Calibri" w:eastAsia="Times New Roman" w:hAnsi="Calibri"/>
                <w:b w:val="0"/>
                <w:color w:val="000000"/>
                <w:sz w:val="18"/>
              </w:rPr>
              <w:t>PECO should leverage completed SOS projects to promote the technology. CHP system owners expressed pride for their projects and may welcome the opportunity to publicize their success. If PECO wishes to foster the market for CHP in its service territory, it could invite CHP owners to speak about their experiences with the technology and PECO’s program at relevant industry events. Some CHP owners might be willing to host such events at their facility and provide tours of the system.</w:t>
            </w:r>
          </w:p>
          <w:p w:rsidR="00A63401" w:rsidRPr="00B75B77" w:rsidRDefault="00E772AB" w:rsidP="009E08FB">
            <w:pPr>
              <w:pStyle w:val="ListParagraph"/>
              <w:numPr>
                <w:ilvl w:val="4"/>
                <w:numId w:val="58"/>
              </w:numPr>
              <w:ind w:left="512" w:hanging="270"/>
              <w:jc w:val="left"/>
              <w:rPr>
                <w:rFonts w:ascii="Calibri" w:eastAsia="Times New Roman" w:hAnsi="Calibri"/>
                <w:color w:val="000000"/>
                <w:sz w:val="18"/>
              </w:rPr>
            </w:pPr>
            <w:r w:rsidRPr="00B75B77">
              <w:rPr>
                <w:rFonts w:ascii="Calibri" w:eastAsia="Times New Roman" w:hAnsi="Calibri"/>
                <w:b w:val="0"/>
                <w:color w:val="000000"/>
                <w:sz w:val="18"/>
              </w:rPr>
              <w:t>Provide design support to customers</w:t>
            </w:r>
            <w:r w:rsidR="00E3061C" w:rsidRPr="00B75B77">
              <w:rPr>
                <w:rFonts w:ascii="Calibri" w:eastAsia="Times New Roman" w:hAnsi="Calibri"/>
                <w:b w:val="0"/>
                <w:color w:val="000000"/>
                <w:sz w:val="18"/>
              </w:rPr>
              <w:t xml:space="preserve">. </w:t>
            </w:r>
          </w:p>
        </w:tc>
        <w:tc>
          <w:tcPr>
            <w:tcW w:w="4680" w:type="dxa"/>
            <w:tcBorders>
              <w:top w:val="single" w:sz="8" w:space="0" w:color="auto"/>
              <w:left w:val="none" w:sz="0" w:space="0" w:color="auto"/>
            </w:tcBorders>
            <w:noWrap/>
            <w:hideMark/>
          </w:tcPr>
          <w:p w:rsidR="003E49D6" w:rsidRPr="00B75B77" w:rsidRDefault="003E49D6" w:rsidP="003E49D6">
            <w:pPr>
              <w:pStyle w:val="ListParagraph"/>
              <w:numPr>
                <w:ilvl w:val="0"/>
                <w:numId w:val="124"/>
              </w:num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rPr>
            </w:pPr>
            <w:r w:rsidRPr="00B75B77">
              <w:rPr>
                <w:rFonts w:ascii="Calibri" w:eastAsia="Times New Roman" w:hAnsi="Calibri"/>
                <w:b/>
                <w:color w:val="000000"/>
                <w:sz w:val="18"/>
              </w:rPr>
              <w:t xml:space="preserve">Being Considered: </w:t>
            </w:r>
            <w:r w:rsidRPr="00B75B77">
              <w:rPr>
                <w:rFonts w:ascii="Calibri" w:eastAsia="Times New Roman" w:hAnsi="Calibri"/>
                <w:color w:val="000000"/>
                <w:sz w:val="18"/>
              </w:rPr>
              <w:t>PECO is using marketing awareness campaigns as well as direct marketing outreach segmentation tactics to drive participation in this program.</w:t>
            </w:r>
          </w:p>
          <w:p w:rsidR="00A63401" w:rsidRPr="00B75B77" w:rsidRDefault="003E49D6" w:rsidP="003E49D6">
            <w:pPr>
              <w:pStyle w:val="ListParagraph"/>
              <w:numPr>
                <w:ilvl w:val="0"/>
                <w:numId w:val="124"/>
              </w:num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rPr>
            </w:pPr>
            <w:r w:rsidRPr="00B75B77">
              <w:rPr>
                <w:rFonts w:ascii="Calibri" w:eastAsia="Times New Roman" w:hAnsi="Calibri"/>
                <w:b/>
                <w:color w:val="000000"/>
                <w:sz w:val="18"/>
              </w:rPr>
              <w:t xml:space="preserve">Implemented: </w:t>
            </w:r>
            <w:r w:rsidRPr="00B75B77">
              <w:rPr>
                <w:rFonts w:ascii="Calibri" w:eastAsia="Times New Roman" w:hAnsi="Calibri"/>
                <w:color w:val="000000"/>
                <w:sz w:val="18"/>
              </w:rPr>
              <w:t>PECO did incorporate the design support incentive as part of the Phase III program offering.</w:t>
            </w:r>
          </w:p>
        </w:tc>
      </w:tr>
      <w:tr w:rsidR="00A63401" w:rsidRPr="00B75B77" w:rsidTr="002548AE">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tcBorders>
              <w:bottom w:val="single" w:sz="8" w:space="0" w:color="448A99"/>
              <w:right w:val="none" w:sz="0" w:space="0" w:color="auto"/>
            </w:tcBorders>
            <w:noWrap/>
            <w:hideMark/>
          </w:tcPr>
          <w:p w:rsidR="00A63401" w:rsidRPr="00B75B77" w:rsidRDefault="00A63401" w:rsidP="00A63401">
            <w:pPr>
              <w:jc w:val="left"/>
              <w:rPr>
                <w:rFonts w:ascii="Calibri" w:eastAsia="Times New Roman" w:hAnsi="Calibri"/>
                <w:color w:val="000000"/>
                <w:sz w:val="18"/>
              </w:rPr>
            </w:pPr>
            <w:r w:rsidRPr="00B75B77">
              <w:rPr>
                <w:rFonts w:ascii="Calibri" w:eastAsia="Times New Roman" w:hAnsi="Calibri"/>
                <w:color w:val="000000"/>
                <w:sz w:val="18"/>
              </w:rPr>
              <w:t xml:space="preserve">Recommendation </w:t>
            </w:r>
            <w:r w:rsidR="00E772AB" w:rsidRPr="00B75B77">
              <w:rPr>
                <w:rFonts w:ascii="Calibri" w:eastAsia="Times New Roman" w:hAnsi="Calibri"/>
                <w:color w:val="000000"/>
                <w:sz w:val="18"/>
              </w:rPr>
              <w:t>2</w:t>
            </w:r>
            <w:r w:rsidRPr="00B75B77">
              <w:rPr>
                <w:rFonts w:ascii="Calibri" w:eastAsia="Times New Roman" w:hAnsi="Calibri"/>
                <w:color w:val="000000"/>
                <w:sz w:val="18"/>
              </w:rPr>
              <w:t>:</w:t>
            </w:r>
            <w:r w:rsidRPr="00B75B77">
              <w:t xml:space="preserve"> </w:t>
            </w:r>
            <w:r w:rsidRPr="00B75B77">
              <w:rPr>
                <w:rFonts w:ascii="Calibri" w:eastAsia="Times New Roman" w:hAnsi="Calibri"/>
                <w:b w:val="0"/>
                <w:color w:val="000000"/>
                <w:sz w:val="18"/>
              </w:rPr>
              <w:t xml:space="preserve">Set final Phase III project enrollment deadlines of January 1, 2019 for projects over 1 MW and January 1, 2020 for projects </w:t>
            </w:r>
            <w:r w:rsidR="00EF656D" w:rsidRPr="00B75B77">
              <w:rPr>
                <w:rFonts w:ascii="Calibri" w:eastAsia="Times New Roman" w:hAnsi="Calibri"/>
                <w:b w:val="0"/>
                <w:color w:val="000000"/>
                <w:sz w:val="18"/>
              </w:rPr>
              <w:t>less than</w:t>
            </w:r>
            <w:r w:rsidRPr="00B75B77">
              <w:rPr>
                <w:rFonts w:ascii="Calibri" w:eastAsia="Times New Roman" w:hAnsi="Calibri"/>
                <w:b w:val="0"/>
                <w:color w:val="000000"/>
                <w:sz w:val="18"/>
              </w:rPr>
              <w:t xml:space="preserve"> 1 MW to mitigate completion risks that lead to portfolio</w:t>
            </w:r>
            <w:r w:rsidR="00E772AB" w:rsidRPr="00B75B77">
              <w:rPr>
                <w:rFonts w:ascii="Calibri" w:eastAsia="Times New Roman" w:hAnsi="Calibri"/>
                <w:b w:val="0"/>
                <w:color w:val="000000"/>
                <w:sz w:val="18"/>
              </w:rPr>
              <w:t>-</w:t>
            </w:r>
            <w:r w:rsidRPr="00B75B77">
              <w:rPr>
                <w:rFonts w:ascii="Calibri" w:eastAsia="Times New Roman" w:hAnsi="Calibri"/>
                <w:b w:val="0"/>
                <w:color w:val="000000"/>
                <w:sz w:val="18"/>
              </w:rPr>
              <w:t xml:space="preserve">level uncertainty. </w:t>
            </w:r>
          </w:p>
        </w:tc>
        <w:tc>
          <w:tcPr>
            <w:tcW w:w="4680" w:type="dxa"/>
            <w:tcBorders>
              <w:left w:val="none" w:sz="0" w:space="0" w:color="auto"/>
              <w:bottom w:val="single" w:sz="8" w:space="0" w:color="448A99"/>
            </w:tcBorders>
            <w:noWrap/>
            <w:vAlign w:val="center"/>
            <w:hideMark/>
          </w:tcPr>
          <w:p w:rsidR="00A63401" w:rsidRPr="00B75B77" w:rsidRDefault="00EF656D" w:rsidP="00EF656D">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rPr>
            </w:pPr>
            <w:r w:rsidRPr="00B75B77">
              <w:rPr>
                <w:rFonts w:ascii="Calibri" w:eastAsia="Times New Roman" w:hAnsi="Calibri"/>
                <w:b/>
                <w:color w:val="000000"/>
                <w:sz w:val="18"/>
              </w:rPr>
              <w:t>Being Considered</w:t>
            </w:r>
            <w:r w:rsidR="003E49D6" w:rsidRPr="00B75B77">
              <w:rPr>
                <w:rFonts w:ascii="Calibri" w:eastAsia="Times New Roman" w:hAnsi="Calibri"/>
                <w:b/>
                <w:color w:val="000000"/>
                <w:sz w:val="18"/>
              </w:rPr>
              <w:t xml:space="preserve">: </w:t>
            </w:r>
            <w:r w:rsidR="003E49D6" w:rsidRPr="00B75B77">
              <w:rPr>
                <w:rFonts w:ascii="Calibri" w:eastAsia="Times New Roman" w:hAnsi="Calibri"/>
                <w:color w:val="000000"/>
                <w:sz w:val="18"/>
              </w:rPr>
              <w:t xml:space="preserve">PECO is actively reshaping the enrollment strategies for Phase III by placing </w:t>
            </w:r>
            <w:r w:rsidRPr="00B75B77">
              <w:rPr>
                <w:rFonts w:ascii="Calibri" w:eastAsia="Times New Roman" w:hAnsi="Calibri"/>
                <w:color w:val="000000"/>
                <w:sz w:val="18"/>
              </w:rPr>
              <w:t xml:space="preserve">specific eligibility criteria and </w:t>
            </w:r>
            <w:r w:rsidR="003E49D6" w:rsidRPr="00B75B77">
              <w:rPr>
                <w:rFonts w:ascii="Calibri" w:eastAsia="Times New Roman" w:hAnsi="Calibri"/>
                <w:color w:val="000000"/>
                <w:sz w:val="18"/>
              </w:rPr>
              <w:t xml:space="preserve">guidelines for project </w:t>
            </w:r>
            <w:r w:rsidRPr="00B75B77">
              <w:rPr>
                <w:rFonts w:ascii="Calibri" w:eastAsia="Times New Roman" w:hAnsi="Calibri"/>
                <w:color w:val="000000"/>
                <w:sz w:val="18"/>
              </w:rPr>
              <w:t>participation and enrollment</w:t>
            </w:r>
            <w:r w:rsidR="003E49D6" w:rsidRPr="00B75B77">
              <w:rPr>
                <w:rFonts w:ascii="Calibri" w:eastAsia="Times New Roman" w:hAnsi="Calibri"/>
                <w:color w:val="000000"/>
                <w:sz w:val="18"/>
              </w:rPr>
              <w:t xml:space="preserve"> to </w:t>
            </w:r>
            <w:r w:rsidRPr="00B75B77">
              <w:rPr>
                <w:rFonts w:ascii="Calibri" w:eastAsia="Times New Roman" w:hAnsi="Calibri"/>
                <w:color w:val="000000"/>
                <w:sz w:val="18"/>
              </w:rPr>
              <w:t>mitigate</w:t>
            </w:r>
            <w:r w:rsidR="003E49D6" w:rsidRPr="00B75B77">
              <w:rPr>
                <w:rFonts w:ascii="Calibri" w:eastAsia="Times New Roman" w:hAnsi="Calibri"/>
                <w:color w:val="000000"/>
                <w:sz w:val="18"/>
              </w:rPr>
              <w:t xml:space="preserve"> compliance risk. </w:t>
            </w:r>
            <w:r w:rsidRPr="00B75B77">
              <w:rPr>
                <w:rFonts w:ascii="Calibri" w:eastAsia="Times New Roman" w:hAnsi="Calibri"/>
                <w:color w:val="000000"/>
                <w:sz w:val="18"/>
              </w:rPr>
              <w:t>Project eligibility information</w:t>
            </w:r>
            <w:r w:rsidR="003E49D6" w:rsidRPr="00B75B77">
              <w:rPr>
                <w:rFonts w:ascii="Calibri" w:eastAsia="Times New Roman" w:hAnsi="Calibri"/>
                <w:color w:val="000000"/>
                <w:sz w:val="18"/>
              </w:rPr>
              <w:t xml:space="preserve"> will be communicated upfront as part of the application process.</w:t>
            </w:r>
          </w:p>
        </w:tc>
      </w:tr>
      <w:tr w:rsidR="00A63401" w:rsidRPr="00B75B77" w:rsidTr="002548A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tcBorders>
              <w:right w:val="single" w:sz="8" w:space="0" w:color="448A99"/>
            </w:tcBorders>
            <w:noWrap/>
            <w:vAlign w:val="center"/>
          </w:tcPr>
          <w:p w:rsidR="00A63401" w:rsidRPr="00B75B77" w:rsidRDefault="00A63401" w:rsidP="00A63401">
            <w:pPr>
              <w:jc w:val="left"/>
              <w:rPr>
                <w:rFonts w:ascii="Calibri" w:eastAsia="Times New Roman" w:hAnsi="Calibri"/>
                <w:color w:val="000000"/>
                <w:sz w:val="18"/>
              </w:rPr>
            </w:pPr>
            <w:r w:rsidRPr="00B75B77">
              <w:rPr>
                <w:rFonts w:ascii="Calibri" w:eastAsia="Times New Roman" w:hAnsi="Calibri"/>
                <w:color w:val="000000"/>
                <w:sz w:val="18"/>
              </w:rPr>
              <w:t xml:space="preserve">Recommendation </w:t>
            </w:r>
            <w:r w:rsidR="00E772AB" w:rsidRPr="00B75B77">
              <w:rPr>
                <w:rFonts w:ascii="Calibri" w:eastAsia="Times New Roman" w:hAnsi="Calibri"/>
                <w:color w:val="000000"/>
                <w:sz w:val="18"/>
              </w:rPr>
              <w:t>3</w:t>
            </w:r>
            <w:r w:rsidRPr="00B75B77">
              <w:rPr>
                <w:rFonts w:ascii="Calibri" w:eastAsia="Times New Roman" w:hAnsi="Calibri"/>
                <w:color w:val="000000"/>
                <w:sz w:val="18"/>
              </w:rPr>
              <w:t xml:space="preserve">: </w:t>
            </w:r>
            <w:r w:rsidRPr="00B75B77">
              <w:rPr>
                <w:rFonts w:ascii="Calibri" w:eastAsia="Times New Roman" w:hAnsi="Calibri"/>
                <w:b w:val="0"/>
                <w:color w:val="000000"/>
                <w:sz w:val="18"/>
              </w:rPr>
              <w:t>PECO should host an open house for participants and developers to meet PECO and CSP staff to discuss any substantive changes to the program in Phase III.</w:t>
            </w:r>
          </w:p>
        </w:tc>
        <w:tc>
          <w:tcPr>
            <w:tcW w:w="4680" w:type="dxa"/>
            <w:tcBorders>
              <w:left w:val="single" w:sz="8" w:space="0" w:color="448A99"/>
            </w:tcBorders>
            <w:noWrap/>
          </w:tcPr>
          <w:p w:rsidR="00A63401" w:rsidRPr="00B75B77" w:rsidRDefault="00094AFF" w:rsidP="00094AFF">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rPr>
            </w:pPr>
            <w:r w:rsidRPr="00B75B77">
              <w:rPr>
                <w:rFonts w:ascii="Calibri" w:eastAsia="Times New Roman" w:hAnsi="Calibri"/>
                <w:b/>
                <w:color w:val="000000"/>
                <w:sz w:val="18"/>
              </w:rPr>
              <w:t xml:space="preserve">Being Considered </w:t>
            </w:r>
          </w:p>
        </w:tc>
      </w:tr>
      <w:tr w:rsidR="00A63401" w:rsidRPr="00B75B77" w:rsidTr="00A63401">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tcBorders>
              <w:right w:val="single" w:sz="8" w:space="0" w:color="448A99"/>
            </w:tcBorders>
            <w:noWrap/>
            <w:vAlign w:val="center"/>
          </w:tcPr>
          <w:p w:rsidR="00A63401" w:rsidRPr="00B75B77" w:rsidRDefault="00A63401" w:rsidP="00A63401">
            <w:pPr>
              <w:jc w:val="left"/>
              <w:rPr>
                <w:rFonts w:ascii="Calibri" w:eastAsia="Times New Roman" w:hAnsi="Calibri"/>
                <w:color w:val="000000"/>
                <w:sz w:val="18"/>
              </w:rPr>
            </w:pPr>
            <w:r w:rsidRPr="00B75B77">
              <w:rPr>
                <w:sz w:val="18"/>
              </w:rPr>
              <w:t xml:space="preserve">Recommendation </w:t>
            </w:r>
            <w:r w:rsidR="00E772AB" w:rsidRPr="00B75B77">
              <w:rPr>
                <w:sz w:val="18"/>
              </w:rPr>
              <w:t>4</w:t>
            </w:r>
            <w:r w:rsidRPr="00B75B77">
              <w:rPr>
                <w:sz w:val="18"/>
              </w:rPr>
              <w:t xml:space="preserve">: </w:t>
            </w:r>
            <w:r w:rsidRPr="00B75B77">
              <w:rPr>
                <w:b w:val="0"/>
                <w:sz w:val="18"/>
              </w:rPr>
              <w:t>Create a liaison with the DEP.</w:t>
            </w:r>
          </w:p>
        </w:tc>
        <w:tc>
          <w:tcPr>
            <w:tcW w:w="4680" w:type="dxa"/>
            <w:tcBorders>
              <w:left w:val="single" w:sz="8" w:space="0" w:color="448A99"/>
            </w:tcBorders>
            <w:noWrap/>
            <w:vAlign w:val="center"/>
          </w:tcPr>
          <w:p w:rsidR="00A63401" w:rsidRPr="00B75B77" w:rsidRDefault="00C447DC" w:rsidP="00A63401">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rPr>
            </w:pPr>
            <w:r w:rsidRPr="00B75B77">
              <w:rPr>
                <w:rFonts w:ascii="Calibri" w:eastAsia="Times New Roman" w:hAnsi="Calibri"/>
                <w:b/>
                <w:color w:val="000000"/>
                <w:sz w:val="18"/>
              </w:rPr>
              <w:t>R</w:t>
            </w:r>
            <w:r w:rsidR="008E0052" w:rsidRPr="00B75B77">
              <w:rPr>
                <w:rFonts w:ascii="Calibri" w:eastAsia="Times New Roman" w:hAnsi="Calibri"/>
                <w:b/>
                <w:color w:val="000000"/>
                <w:sz w:val="18"/>
              </w:rPr>
              <w:t>ejected</w:t>
            </w:r>
          </w:p>
        </w:tc>
      </w:tr>
      <w:tr w:rsidR="00A63401" w:rsidRPr="00B75B77" w:rsidTr="002548A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tcBorders>
              <w:right w:val="none" w:sz="0" w:space="0" w:color="auto"/>
            </w:tcBorders>
            <w:noWrap/>
            <w:vAlign w:val="center"/>
          </w:tcPr>
          <w:p w:rsidR="00A63401" w:rsidRPr="00B75B77" w:rsidRDefault="00A63401" w:rsidP="00A63401">
            <w:pPr>
              <w:jc w:val="left"/>
              <w:rPr>
                <w:rFonts w:ascii="Calibri" w:eastAsia="Times New Roman" w:hAnsi="Calibri"/>
                <w:color w:val="000000"/>
                <w:sz w:val="18"/>
              </w:rPr>
            </w:pPr>
            <w:r w:rsidRPr="00B75B77">
              <w:rPr>
                <w:rFonts w:ascii="Calibri" w:eastAsia="Times New Roman" w:hAnsi="Calibri"/>
                <w:color w:val="000000"/>
                <w:sz w:val="18"/>
              </w:rPr>
              <w:t xml:space="preserve">Recommendation </w:t>
            </w:r>
            <w:r w:rsidR="00E772AB" w:rsidRPr="00B75B77">
              <w:rPr>
                <w:rFonts w:ascii="Calibri" w:eastAsia="Times New Roman" w:hAnsi="Calibri"/>
                <w:color w:val="000000"/>
                <w:sz w:val="18"/>
              </w:rPr>
              <w:t>5</w:t>
            </w:r>
            <w:r w:rsidRPr="00B75B77">
              <w:rPr>
                <w:rFonts w:ascii="Calibri" w:eastAsia="Times New Roman" w:hAnsi="Calibri"/>
                <w:color w:val="000000"/>
                <w:sz w:val="18"/>
              </w:rPr>
              <w:t>:</w:t>
            </w:r>
            <w:r w:rsidRPr="00B75B77">
              <w:t xml:space="preserve"> </w:t>
            </w:r>
            <w:r w:rsidR="00E3061C" w:rsidRPr="00B75B77">
              <w:rPr>
                <w:rFonts w:ascii="Calibri" w:eastAsia="Times New Roman" w:hAnsi="Calibri"/>
                <w:b w:val="0"/>
                <w:color w:val="000000"/>
                <w:sz w:val="18"/>
              </w:rPr>
              <w:t>Develop a program manual for developers and participants. The program manual should provide a standardized feasibility template, a process chart describing key milestones, and more details regarding enrollment, interconnection, and incentive payout.</w:t>
            </w:r>
          </w:p>
        </w:tc>
        <w:tc>
          <w:tcPr>
            <w:tcW w:w="4680" w:type="dxa"/>
            <w:tcBorders>
              <w:left w:val="none" w:sz="0" w:space="0" w:color="auto"/>
            </w:tcBorders>
            <w:noWrap/>
          </w:tcPr>
          <w:p w:rsidR="00A63401" w:rsidRPr="00B75B77" w:rsidRDefault="00EF656D" w:rsidP="0059425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rPr>
            </w:pPr>
            <w:r w:rsidRPr="00B75B77">
              <w:rPr>
                <w:rFonts w:ascii="Calibri" w:eastAsia="Times New Roman" w:hAnsi="Calibri"/>
                <w:b/>
                <w:color w:val="000000"/>
                <w:sz w:val="18"/>
              </w:rPr>
              <w:t>Implemented</w:t>
            </w:r>
          </w:p>
        </w:tc>
      </w:tr>
    </w:tbl>
    <w:p w:rsidR="00A63401" w:rsidRPr="00B75B77" w:rsidRDefault="00A63401" w:rsidP="00E772AB">
      <w:pPr>
        <w:pStyle w:val="Source"/>
        <w:ind w:left="90" w:firstLine="0"/>
      </w:pPr>
      <w:r w:rsidRPr="00B75B77">
        <w:t>Source: Navigant analysis</w:t>
      </w:r>
    </w:p>
    <w:p w:rsidR="00A63401" w:rsidRPr="00B75B77" w:rsidRDefault="00A63401" w:rsidP="00E772AB">
      <w:pPr>
        <w:pStyle w:val="Heading2"/>
        <w:keepNext/>
      </w:pPr>
      <w:bookmarkStart w:id="955" w:name="_Toc466413463"/>
      <w:r w:rsidRPr="00B75B77">
        <w:t>Financial Reporting</w:t>
      </w:r>
      <w:bookmarkEnd w:id="955"/>
    </w:p>
    <w:p w:rsidR="00A63401" w:rsidRPr="00B75B77" w:rsidRDefault="00A63401" w:rsidP="00E772AB">
      <w:pPr>
        <w:keepNext/>
      </w:pPr>
      <w:r w:rsidRPr="00B75B77">
        <w:t>In PY5 and PY7 the program was below its TRC goal, which brought the Phase II TRC to 0.</w:t>
      </w:r>
      <w:r w:rsidR="00620F33" w:rsidRPr="00B75B77">
        <w:t>73</w:t>
      </w:r>
      <w:r w:rsidR="00E772AB" w:rsidRPr="00B75B77">
        <w:t>.</w:t>
      </w:r>
      <w:r w:rsidRPr="00B75B77">
        <w:t xml:space="preserve"> </w:t>
      </w:r>
      <w:r w:rsidR="00E772AB" w:rsidRPr="00B75B77">
        <w:t>This</w:t>
      </w:r>
      <w:r w:rsidRPr="00B75B77">
        <w:t xml:space="preserve"> is below the Phase II TRC goal of 3.9, </w:t>
      </w:r>
      <w:r w:rsidR="00E772AB" w:rsidRPr="00B75B77">
        <w:t xml:space="preserve">which was </w:t>
      </w:r>
      <w:r w:rsidRPr="00B75B77">
        <w:t xml:space="preserve">laid out in the March 2014 revision of the Phase II Energy </w:t>
      </w:r>
      <w:r w:rsidRPr="00B75B77">
        <w:lastRenderedPageBreak/>
        <w:t xml:space="preserve">Efficiency and Conservation Plan. A breakdown of the program finances (by program) is presented in </w:t>
      </w:r>
      <w:r w:rsidR="00E772AB" w:rsidRPr="00B75B77">
        <w:fldChar w:fldCharType="begin"/>
      </w:r>
      <w:r w:rsidR="00E772AB" w:rsidRPr="00B75B77">
        <w:instrText xml:space="preserve"> REF _Ref464149055 \h </w:instrText>
      </w:r>
      <w:r w:rsidR="00B75B77">
        <w:instrText xml:space="preserve"> \* MERGEFORMAT </w:instrText>
      </w:r>
      <w:r w:rsidR="00E772AB" w:rsidRPr="00B75B77">
        <w:fldChar w:fldCharType="separate"/>
      </w:r>
      <w:r w:rsidR="0004016D" w:rsidRPr="00B75B77">
        <w:t xml:space="preserve">Table </w:t>
      </w:r>
      <w:r w:rsidR="0004016D">
        <w:rPr>
          <w:noProof/>
        </w:rPr>
        <w:t>15</w:t>
      </w:r>
      <w:r w:rsidR="0004016D" w:rsidRPr="00B75B77">
        <w:rPr>
          <w:noProof/>
        </w:rPr>
        <w:noBreakHyphen/>
      </w:r>
      <w:r w:rsidR="0004016D">
        <w:rPr>
          <w:noProof/>
        </w:rPr>
        <w:t>10</w:t>
      </w:r>
      <w:r w:rsidR="00E772AB" w:rsidRPr="00B75B77">
        <w:fldChar w:fldCharType="end"/>
      </w:r>
      <w:r w:rsidRPr="00B75B77">
        <w:t>.</w:t>
      </w:r>
    </w:p>
    <w:p w:rsidR="00A63401" w:rsidRPr="00B75B77" w:rsidRDefault="00A63401" w:rsidP="003402AA">
      <w:pPr>
        <w:jc w:val="center"/>
      </w:pPr>
    </w:p>
    <w:p w:rsidR="00A63401" w:rsidRPr="00B75B77" w:rsidRDefault="00A63401" w:rsidP="002F3BF8">
      <w:pPr>
        <w:pStyle w:val="Caption"/>
      </w:pPr>
      <w:bookmarkStart w:id="956" w:name="_Ref464149055"/>
      <w:bookmarkStart w:id="957" w:name="_Toc466413646"/>
      <w:r w:rsidRPr="00B75B77">
        <w:t xml:space="preserve">Table </w:t>
      </w:r>
      <w:fldSimple w:instr=" STYLEREF 1 \s ">
        <w:r w:rsidR="0004016D">
          <w:rPr>
            <w:noProof/>
          </w:rPr>
          <w:t>15</w:t>
        </w:r>
      </w:fldSimple>
      <w:r w:rsidR="00F1144C" w:rsidRPr="00B75B77">
        <w:noBreakHyphen/>
      </w:r>
      <w:fldSimple w:instr=" SEQ Table \* ARABIC \s 1 ">
        <w:r w:rsidR="0004016D">
          <w:rPr>
            <w:noProof/>
          </w:rPr>
          <w:t>10</w:t>
        </w:r>
      </w:fldSimple>
      <w:bookmarkEnd w:id="956"/>
      <w:r w:rsidRPr="00B75B77">
        <w:t>: Summary of Smart On-Site Program Finances</w:t>
      </w:r>
      <w:bookmarkEnd w:id="957"/>
    </w:p>
    <w:tbl>
      <w:tblPr>
        <w:tblStyle w:val="MediumShading1-Accent5"/>
        <w:tblW w:w="9422" w:type="dxa"/>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0A0" w:firstRow="1" w:lastRow="0" w:firstColumn="1" w:lastColumn="0" w:noHBand="0" w:noVBand="0"/>
      </w:tblPr>
      <w:tblGrid>
        <w:gridCol w:w="1062"/>
        <w:gridCol w:w="5840"/>
        <w:gridCol w:w="1170"/>
        <w:gridCol w:w="1350"/>
      </w:tblGrid>
      <w:tr w:rsidR="00A63401" w:rsidRPr="00B75B77" w:rsidTr="002D64A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2" w:type="dxa"/>
            <w:vMerge w:val="restart"/>
            <w:tcBorders>
              <w:top w:val="single" w:sz="8" w:space="0" w:color="auto"/>
              <w:left w:val="single" w:sz="8" w:space="0" w:color="auto"/>
              <w:bottom w:val="single" w:sz="8" w:space="0" w:color="auto"/>
              <w:right w:val="single" w:sz="8" w:space="0" w:color="auto"/>
            </w:tcBorders>
            <w:shd w:val="clear" w:color="auto" w:fill="448A99"/>
            <w:vAlign w:val="center"/>
          </w:tcPr>
          <w:p w:rsidR="00A63401" w:rsidRPr="00B75B77" w:rsidRDefault="00A63401" w:rsidP="002F3BF8">
            <w:pPr>
              <w:keepNext/>
              <w:jc w:val="center"/>
              <w:rPr>
                <w:rFonts w:ascii="Calibri" w:eastAsia="Times New Roman" w:hAnsi="Calibri"/>
                <w:bCs w:val="0"/>
                <w:sz w:val="18"/>
                <w:szCs w:val="18"/>
              </w:rPr>
            </w:pPr>
            <w:r w:rsidRPr="00B75B77">
              <w:rPr>
                <w:rFonts w:ascii="Calibri" w:eastAsia="Times New Roman" w:hAnsi="Calibri"/>
                <w:bCs w:val="0"/>
                <w:sz w:val="18"/>
                <w:szCs w:val="18"/>
              </w:rPr>
              <w:t>Row #</w:t>
            </w:r>
          </w:p>
        </w:tc>
        <w:tc>
          <w:tcPr>
            <w:cnfStyle w:val="000010000000" w:firstRow="0" w:lastRow="0" w:firstColumn="0" w:lastColumn="0" w:oddVBand="1" w:evenVBand="0" w:oddHBand="0" w:evenHBand="0" w:firstRowFirstColumn="0" w:firstRowLastColumn="0" w:lastRowFirstColumn="0" w:lastRowLastColumn="0"/>
            <w:tcW w:w="5840" w:type="dxa"/>
            <w:vMerge w:val="restart"/>
            <w:tcBorders>
              <w:top w:val="single" w:sz="8" w:space="0" w:color="auto"/>
              <w:left w:val="single" w:sz="8" w:space="0" w:color="auto"/>
              <w:bottom w:val="single" w:sz="8" w:space="0" w:color="auto"/>
              <w:right w:val="single" w:sz="8" w:space="0" w:color="auto"/>
            </w:tcBorders>
            <w:shd w:val="clear" w:color="auto" w:fill="448A99"/>
            <w:noWrap/>
            <w:vAlign w:val="center"/>
            <w:hideMark/>
          </w:tcPr>
          <w:p w:rsidR="00A63401" w:rsidRPr="00B75B77" w:rsidRDefault="00A63401" w:rsidP="002F3BF8">
            <w:pPr>
              <w:keepNext/>
              <w:jc w:val="left"/>
              <w:rPr>
                <w:rFonts w:ascii="Calibri" w:eastAsia="Times New Roman" w:hAnsi="Calibri"/>
                <w:bCs w:val="0"/>
                <w:sz w:val="18"/>
                <w:szCs w:val="18"/>
              </w:rPr>
            </w:pPr>
            <w:r w:rsidRPr="00B75B77">
              <w:rPr>
                <w:rFonts w:ascii="Calibri" w:eastAsia="Times New Roman" w:hAnsi="Calibri"/>
                <w:bCs w:val="0"/>
                <w:sz w:val="18"/>
                <w:szCs w:val="18"/>
              </w:rPr>
              <w:t>Cost Category </w:t>
            </w:r>
          </w:p>
        </w:tc>
        <w:tc>
          <w:tcPr>
            <w:tcW w:w="1170" w:type="dxa"/>
            <w:tcBorders>
              <w:top w:val="single" w:sz="8" w:space="0" w:color="auto"/>
              <w:left w:val="single" w:sz="8" w:space="0" w:color="auto"/>
              <w:bottom w:val="single" w:sz="8" w:space="0" w:color="auto"/>
              <w:right w:val="single" w:sz="8" w:space="0" w:color="auto"/>
            </w:tcBorders>
            <w:shd w:val="clear" w:color="auto" w:fill="448A99"/>
            <w:vAlign w:val="center"/>
            <w:hideMark/>
          </w:tcPr>
          <w:p w:rsidR="00A63401" w:rsidRPr="00B75B77" w:rsidRDefault="00A63401" w:rsidP="002D64A6">
            <w:pPr>
              <w:keepNext/>
              <w:ind w:left="-87" w:firstLine="87"/>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Actual PYTD</w:t>
            </w:r>
          </w:p>
          <w:p w:rsidR="00A63401" w:rsidRPr="00B75B77" w:rsidRDefault="00A63401" w:rsidP="002D64A6">
            <w:pPr>
              <w:keepNext/>
              <w:ind w:left="-87" w:firstLine="87"/>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Costs</w:t>
            </w:r>
          </w:p>
        </w:tc>
        <w:tc>
          <w:tcPr>
            <w:cnfStyle w:val="000010000000" w:firstRow="0" w:lastRow="0" w:firstColumn="0" w:lastColumn="0" w:oddVBand="1" w:evenVBand="0" w:oddHBand="0" w:evenHBand="0" w:firstRowFirstColumn="0" w:firstRowLastColumn="0" w:lastRowFirstColumn="0" w:lastRowLastColumn="0"/>
            <w:tcW w:w="1350" w:type="dxa"/>
            <w:tcBorders>
              <w:top w:val="single" w:sz="8" w:space="0" w:color="auto"/>
              <w:left w:val="single" w:sz="8" w:space="0" w:color="auto"/>
              <w:bottom w:val="single" w:sz="8" w:space="0" w:color="auto"/>
              <w:right w:val="single" w:sz="8" w:space="0" w:color="auto"/>
            </w:tcBorders>
            <w:shd w:val="clear" w:color="auto" w:fill="448A99"/>
            <w:vAlign w:val="center"/>
            <w:hideMark/>
          </w:tcPr>
          <w:p w:rsidR="00A63401" w:rsidRPr="00B75B77" w:rsidRDefault="00A63401" w:rsidP="002F3BF8">
            <w:pPr>
              <w:keepNext/>
              <w:jc w:val="right"/>
              <w:rPr>
                <w:rFonts w:ascii="Calibri" w:eastAsia="Times New Roman" w:hAnsi="Calibri"/>
                <w:bCs w:val="0"/>
                <w:sz w:val="18"/>
                <w:szCs w:val="18"/>
              </w:rPr>
            </w:pPr>
            <w:r w:rsidRPr="00B75B77">
              <w:rPr>
                <w:rFonts w:ascii="Calibri" w:eastAsia="Times New Roman" w:hAnsi="Calibri"/>
                <w:bCs w:val="0"/>
                <w:sz w:val="18"/>
                <w:szCs w:val="18"/>
              </w:rPr>
              <w:t>Actual Phase II</w:t>
            </w:r>
          </w:p>
          <w:p w:rsidR="00A63401" w:rsidRPr="00B75B77" w:rsidRDefault="00A63401" w:rsidP="002F3BF8">
            <w:pPr>
              <w:keepNext/>
              <w:jc w:val="right"/>
              <w:rPr>
                <w:rFonts w:ascii="Calibri" w:eastAsia="Times New Roman" w:hAnsi="Calibri"/>
                <w:bCs w:val="0"/>
                <w:sz w:val="18"/>
                <w:szCs w:val="18"/>
              </w:rPr>
            </w:pPr>
            <w:r w:rsidRPr="00B75B77">
              <w:rPr>
                <w:rFonts w:ascii="Calibri" w:eastAsia="Times New Roman" w:hAnsi="Calibri"/>
                <w:bCs w:val="0"/>
                <w:sz w:val="18"/>
                <w:szCs w:val="18"/>
              </w:rPr>
              <w:t>Costs</w:t>
            </w:r>
          </w:p>
        </w:tc>
      </w:tr>
      <w:tr w:rsidR="00A63401" w:rsidRPr="00B75B77" w:rsidTr="002D64A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vMerge/>
            <w:tcBorders>
              <w:top w:val="single" w:sz="8" w:space="0" w:color="auto"/>
              <w:left w:val="single" w:sz="8" w:space="0" w:color="auto"/>
              <w:bottom w:val="single" w:sz="8" w:space="0" w:color="auto"/>
              <w:right w:val="single" w:sz="8" w:space="0" w:color="auto"/>
            </w:tcBorders>
            <w:shd w:val="clear" w:color="auto" w:fill="448A99"/>
            <w:vAlign w:val="center"/>
          </w:tcPr>
          <w:p w:rsidR="00A63401" w:rsidRPr="00B75B77" w:rsidRDefault="00A63401" w:rsidP="002F3BF8">
            <w:pPr>
              <w:keepNext/>
              <w:jc w:val="center"/>
              <w:rPr>
                <w:rFonts w:ascii="Calibri" w:eastAsia="Times New Roman" w:hAnsi="Calibri"/>
                <w:bCs w:val="0"/>
                <w:color w:val="FFFFFF" w:themeColor="background1"/>
                <w:sz w:val="18"/>
                <w:szCs w:val="18"/>
              </w:rPr>
            </w:pPr>
          </w:p>
        </w:tc>
        <w:tc>
          <w:tcPr>
            <w:cnfStyle w:val="000010000000" w:firstRow="0" w:lastRow="0" w:firstColumn="0" w:lastColumn="0" w:oddVBand="1" w:evenVBand="0" w:oddHBand="0" w:evenHBand="0" w:firstRowFirstColumn="0" w:firstRowLastColumn="0" w:lastRowFirstColumn="0" w:lastRowLastColumn="0"/>
            <w:tcW w:w="5840" w:type="dxa"/>
            <w:vMerge/>
            <w:tcBorders>
              <w:top w:val="single" w:sz="8" w:space="0" w:color="auto"/>
              <w:left w:val="single" w:sz="8" w:space="0" w:color="auto"/>
              <w:bottom w:val="single" w:sz="8" w:space="0" w:color="auto"/>
              <w:right w:val="single" w:sz="8" w:space="0" w:color="auto"/>
            </w:tcBorders>
            <w:shd w:val="clear" w:color="auto" w:fill="448A99"/>
            <w:vAlign w:val="center"/>
            <w:hideMark/>
          </w:tcPr>
          <w:p w:rsidR="00A63401" w:rsidRPr="00B75B77" w:rsidRDefault="00A63401" w:rsidP="002F3BF8">
            <w:pPr>
              <w:keepNext/>
              <w:jc w:val="left"/>
              <w:rPr>
                <w:rFonts w:ascii="Calibri" w:eastAsia="Times New Roman" w:hAnsi="Calibri"/>
                <w:b/>
                <w:bCs/>
                <w:color w:val="FFFFFF" w:themeColor="background1"/>
                <w:sz w:val="18"/>
                <w:szCs w:val="18"/>
              </w:rPr>
            </w:pPr>
          </w:p>
        </w:tc>
        <w:tc>
          <w:tcPr>
            <w:tcW w:w="1170" w:type="dxa"/>
            <w:tcBorders>
              <w:top w:val="single" w:sz="8" w:space="0" w:color="auto"/>
              <w:left w:val="single" w:sz="8" w:space="0" w:color="auto"/>
              <w:bottom w:val="single" w:sz="8" w:space="0" w:color="auto"/>
              <w:right w:val="single" w:sz="8" w:space="0" w:color="auto"/>
            </w:tcBorders>
            <w:shd w:val="clear" w:color="auto" w:fill="448A99"/>
            <w:vAlign w:val="center"/>
            <w:hideMark/>
          </w:tcPr>
          <w:p w:rsidR="00A63401" w:rsidRPr="00B75B77" w:rsidRDefault="00A63401" w:rsidP="002F3BF8">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FFFFFF" w:themeColor="background1"/>
                <w:sz w:val="18"/>
                <w:szCs w:val="18"/>
              </w:rPr>
            </w:pPr>
            <w:r w:rsidRPr="00B75B77">
              <w:rPr>
                <w:rFonts w:ascii="Calibri" w:eastAsia="Times New Roman" w:hAnsi="Calibri"/>
                <w:b/>
                <w:bCs/>
                <w:color w:val="FFFFFF" w:themeColor="background1"/>
                <w:sz w:val="18"/>
                <w:szCs w:val="18"/>
              </w:rPr>
              <w:t>($1,000)</w:t>
            </w:r>
          </w:p>
        </w:tc>
        <w:tc>
          <w:tcPr>
            <w:cnfStyle w:val="000010000000" w:firstRow="0" w:lastRow="0" w:firstColumn="0" w:lastColumn="0" w:oddVBand="1" w:evenVBand="0" w:oddHBand="0" w:evenHBand="0" w:firstRowFirstColumn="0" w:firstRowLastColumn="0" w:lastRowFirstColumn="0" w:lastRowLastColumn="0"/>
            <w:tcW w:w="1350" w:type="dxa"/>
            <w:tcBorders>
              <w:top w:val="single" w:sz="8" w:space="0" w:color="auto"/>
              <w:left w:val="single" w:sz="8" w:space="0" w:color="auto"/>
              <w:bottom w:val="single" w:sz="8" w:space="0" w:color="auto"/>
              <w:right w:val="single" w:sz="8" w:space="0" w:color="auto"/>
            </w:tcBorders>
            <w:shd w:val="clear" w:color="auto" w:fill="448A99"/>
            <w:vAlign w:val="center"/>
            <w:hideMark/>
          </w:tcPr>
          <w:p w:rsidR="00A63401" w:rsidRPr="00B75B77" w:rsidRDefault="00A63401" w:rsidP="002F3BF8">
            <w:pPr>
              <w:keepNext/>
              <w:jc w:val="right"/>
              <w:rPr>
                <w:rFonts w:ascii="Calibri" w:eastAsia="Times New Roman" w:hAnsi="Calibri"/>
                <w:b/>
                <w:bCs/>
                <w:color w:val="FFFFFF" w:themeColor="background1"/>
                <w:sz w:val="18"/>
                <w:szCs w:val="18"/>
              </w:rPr>
            </w:pPr>
            <w:r w:rsidRPr="00B75B77">
              <w:rPr>
                <w:rFonts w:ascii="Calibri" w:eastAsia="Times New Roman" w:hAnsi="Calibri"/>
                <w:b/>
                <w:bCs/>
                <w:color w:val="FFFFFF" w:themeColor="background1"/>
                <w:sz w:val="18"/>
                <w:szCs w:val="18"/>
              </w:rPr>
              <w:t>($1,000)</w:t>
            </w:r>
          </w:p>
        </w:tc>
      </w:tr>
      <w:tr w:rsidR="00A63401" w:rsidRPr="00B75B77" w:rsidTr="002D64A6">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top w:val="single" w:sz="8" w:space="0" w:color="auto"/>
              <w:right w:val="none" w:sz="0" w:space="0" w:color="auto"/>
            </w:tcBorders>
            <w:shd w:val="clear" w:color="auto" w:fill="auto"/>
            <w:vAlign w:val="center"/>
          </w:tcPr>
          <w:p w:rsidR="00A63401" w:rsidRPr="00B75B77" w:rsidRDefault="00A63401" w:rsidP="002F3BF8">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w:t>
            </w:r>
          </w:p>
        </w:tc>
        <w:tc>
          <w:tcPr>
            <w:cnfStyle w:val="000010000000" w:firstRow="0" w:lastRow="0" w:firstColumn="0" w:lastColumn="0" w:oddVBand="1" w:evenVBand="0" w:oddHBand="0" w:evenHBand="0" w:firstRowFirstColumn="0" w:firstRowLastColumn="0" w:lastRowFirstColumn="0" w:lastRowLastColumn="0"/>
            <w:tcW w:w="5840" w:type="dxa"/>
            <w:tcBorders>
              <w:top w:val="single" w:sz="8" w:space="0" w:color="auto"/>
              <w:left w:val="none" w:sz="0" w:space="0" w:color="auto"/>
              <w:right w:val="none" w:sz="0" w:space="0" w:color="auto"/>
            </w:tcBorders>
            <w:shd w:val="clear" w:color="auto" w:fill="auto"/>
            <w:noWrap/>
            <w:vAlign w:val="center"/>
          </w:tcPr>
          <w:p w:rsidR="00A63401" w:rsidRPr="00B75B77" w:rsidRDefault="00A63401" w:rsidP="002F3BF8">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Incremental Measure Costs (Sum of Rows 2 through 4)</w:t>
            </w:r>
          </w:p>
        </w:tc>
        <w:tc>
          <w:tcPr>
            <w:tcW w:w="1170" w:type="dxa"/>
            <w:tcBorders>
              <w:top w:val="single" w:sz="8" w:space="0" w:color="auto"/>
              <w:left w:val="none" w:sz="0" w:space="0" w:color="auto"/>
              <w:right w:val="none" w:sz="0" w:space="0" w:color="auto"/>
            </w:tcBorders>
            <w:shd w:val="clear" w:color="auto" w:fill="auto"/>
            <w:noWrap/>
          </w:tcPr>
          <w:p w:rsidR="00A63401" w:rsidRPr="00B75B77" w:rsidRDefault="00A63401" w:rsidP="002F3BF8">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sz w:val="18"/>
                <w:szCs w:val="18"/>
              </w:rPr>
              <w:t>24,189</w:t>
            </w:r>
          </w:p>
        </w:tc>
        <w:tc>
          <w:tcPr>
            <w:cnfStyle w:val="000010000000" w:firstRow="0" w:lastRow="0" w:firstColumn="0" w:lastColumn="0" w:oddVBand="1" w:evenVBand="0" w:oddHBand="0" w:evenHBand="0" w:firstRowFirstColumn="0" w:firstRowLastColumn="0" w:lastRowFirstColumn="0" w:lastRowLastColumn="0"/>
            <w:tcW w:w="1350" w:type="dxa"/>
            <w:tcBorders>
              <w:top w:val="single" w:sz="8" w:space="0" w:color="auto"/>
              <w:left w:val="none" w:sz="0" w:space="0" w:color="auto"/>
            </w:tcBorders>
            <w:shd w:val="clear" w:color="auto" w:fill="auto"/>
          </w:tcPr>
          <w:p w:rsidR="00A63401" w:rsidRPr="00B75B77" w:rsidRDefault="00A63401" w:rsidP="002F3BF8">
            <w:pPr>
              <w:keepNext/>
              <w:jc w:val="center"/>
              <w:rPr>
                <w:rFonts w:ascii="Calibri" w:eastAsia="Times New Roman" w:hAnsi="Calibri"/>
                <w:color w:val="000000"/>
                <w:sz w:val="18"/>
                <w:szCs w:val="18"/>
              </w:rPr>
            </w:pPr>
            <w:r w:rsidRPr="00B75B77">
              <w:rPr>
                <w:sz w:val="18"/>
                <w:szCs w:val="18"/>
              </w:rPr>
              <w:t>73,508</w:t>
            </w:r>
          </w:p>
        </w:tc>
      </w:tr>
      <w:tr w:rsidR="00A63401" w:rsidRPr="00B75B77" w:rsidTr="002D64A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vAlign w:val="center"/>
          </w:tcPr>
          <w:p w:rsidR="00A63401" w:rsidRPr="00B75B77" w:rsidRDefault="00A63401" w:rsidP="002F3BF8">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2</w:t>
            </w:r>
          </w:p>
        </w:tc>
        <w:tc>
          <w:tcPr>
            <w:cnfStyle w:val="000010000000" w:firstRow="0" w:lastRow="0" w:firstColumn="0" w:lastColumn="0" w:oddVBand="1" w:evenVBand="0" w:oddHBand="0" w:evenHBand="0" w:firstRowFirstColumn="0" w:firstRowLastColumn="0" w:lastRowFirstColumn="0" w:lastRowLastColumn="0"/>
            <w:tcW w:w="5840" w:type="dxa"/>
            <w:tcBorders>
              <w:left w:val="none" w:sz="0" w:space="0" w:color="auto"/>
              <w:right w:val="none" w:sz="0" w:space="0" w:color="auto"/>
            </w:tcBorders>
            <w:noWrap/>
            <w:vAlign w:val="center"/>
            <w:hideMark/>
          </w:tcPr>
          <w:p w:rsidR="00A63401" w:rsidRPr="00B75B77" w:rsidRDefault="00A63401" w:rsidP="002F3BF8">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EDC Incentives to Participants</w:t>
            </w:r>
          </w:p>
        </w:tc>
        <w:tc>
          <w:tcPr>
            <w:tcW w:w="1170" w:type="dxa"/>
            <w:tcBorders>
              <w:left w:val="none" w:sz="0" w:space="0" w:color="auto"/>
              <w:right w:val="none" w:sz="0" w:space="0" w:color="auto"/>
            </w:tcBorders>
            <w:noWrap/>
            <w:hideMark/>
          </w:tcPr>
          <w:p w:rsidR="00A63401" w:rsidRPr="00B75B77" w:rsidRDefault="00A63401" w:rsidP="002F3BF8">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sz w:val="18"/>
                <w:szCs w:val="18"/>
              </w:rPr>
              <w:t>1,547</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tcBorders>
            <w:hideMark/>
          </w:tcPr>
          <w:p w:rsidR="00A63401" w:rsidRPr="00B75B77" w:rsidRDefault="00A63401" w:rsidP="002F3BF8">
            <w:pPr>
              <w:keepNext/>
              <w:jc w:val="center"/>
              <w:rPr>
                <w:rFonts w:ascii="Calibri" w:eastAsia="Times New Roman" w:hAnsi="Calibri"/>
                <w:color w:val="000000"/>
                <w:sz w:val="18"/>
                <w:szCs w:val="18"/>
              </w:rPr>
            </w:pPr>
            <w:r w:rsidRPr="00B75B77">
              <w:rPr>
                <w:sz w:val="18"/>
                <w:szCs w:val="18"/>
              </w:rPr>
              <w:t>6,540</w:t>
            </w:r>
          </w:p>
        </w:tc>
      </w:tr>
      <w:tr w:rsidR="00A63401" w:rsidRPr="00B75B77" w:rsidTr="002D64A6">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auto"/>
            <w:vAlign w:val="center"/>
          </w:tcPr>
          <w:p w:rsidR="00A63401" w:rsidRPr="00B75B77" w:rsidRDefault="00A63401" w:rsidP="002F3BF8">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3</w:t>
            </w:r>
          </w:p>
        </w:tc>
        <w:tc>
          <w:tcPr>
            <w:cnfStyle w:val="000010000000" w:firstRow="0" w:lastRow="0" w:firstColumn="0" w:lastColumn="0" w:oddVBand="1" w:evenVBand="0" w:oddHBand="0" w:evenHBand="0" w:firstRowFirstColumn="0" w:firstRowLastColumn="0" w:lastRowFirstColumn="0" w:lastRowLastColumn="0"/>
            <w:tcW w:w="5840" w:type="dxa"/>
            <w:tcBorders>
              <w:left w:val="none" w:sz="0" w:space="0" w:color="auto"/>
              <w:right w:val="none" w:sz="0" w:space="0" w:color="auto"/>
            </w:tcBorders>
            <w:shd w:val="clear" w:color="auto" w:fill="auto"/>
            <w:noWrap/>
            <w:vAlign w:val="center"/>
            <w:hideMark/>
          </w:tcPr>
          <w:p w:rsidR="00A63401" w:rsidRPr="00B75B77" w:rsidRDefault="00A63401" w:rsidP="002F3BF8">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EDC Incentives to Trade Allies</w:t>
            </w:r>
          </w:p>
        </w:tc>
        <w:tc>
          <w:tcPr>
            <w:tcW w:w="1170" w:type="dxa"/>
            <w:tcBorders>
              <w:left w:val="none" w:sz="0" w:space="0" w:color="auto"/>
              <w:right w:val="none" w:sz="0" w:space="0" w:color="auto"/>
            </w:tcBorders>
            <w:shd w:val="clear" w:color="auto" w:fill="auto"/>
            <w:noWrap/>
            <w:hideMark/>
          </w:tcPr>
          <w:p w:rsidR="00A63401" w:rsidRPr="00B75B77" w:rsidRDefault="00A63401" w:rsidP="002F3BF8">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sz w:val="18"/>
                <w:szCs w:val="18"/>
              </w:rPr>
              <w:t>0</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tcBorders>
            <w:shd w:val="clear" w:color="auto" w:fill="auto"/>
            <w:hideMark/>
          </w:tcPr>
          <w:p w:rsidR="00A63401" w:rsidRPr="00B75B77" w:rsidRDefault="00A63401" w:rsidP="002F3BF8">
            <w:pPr>
              <w:keepNext/>
              <w:jc w:val="center"/>
              <w:rPr>
                <w:rFonts w:ascii="Calibri" w:eastAsia="Times New Roman" w:hAnsi="Calibri"/>
                <w:color w:val="000000"/>
                <w:sz w:val="18"/>
                <w:szCs w:val="18"/>
              </w:rPr>
            </w:pPr>
            <w:r w:rsidRPr="00B75B77">
              <w:rPr>
                <w:sz w:val="18"/>
                <w:szCs w:val="18"/>
              </w:rPr>
              <w:t>0</w:t>
            </w:r>
          </w:p>
        </w:tc>
      </w:tr>
      <w:tr w:rsidR="00A63401" w:rsidRPr="00B75B77" w:rsidTr="002D64A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vAlign w:val="center"/>
          </w:tcPr>
          <w:p w:rsidR="00A63401" w:rsidRPr="00B75B77" w:rsidDel="00B4154B" w:rsidRDefault="00A63401" w:rsidP="002F3BF8">
            <w:pPr>
              <w:keepNext/>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4</w:t>
            </w:r>
          </w:p>
        </w:tc>
        <w:tc>
          <w:tcPr>
            <w:cnfStyle w:val="000010000000" w:firstRow="0" w:lastRow="0" w:firstColumn="0" w:lastColumn="0" w:oddVBand="1" w:evenVBand="0" w:oddHBand="0" w:evenHBand="0" w:firstRowFirstColumn="0" w:firstRowLastColumn="0" w:lastRowFirstColumn="0" w:lastRowLastColumn="0"/>
            <w:tcW w:w="5840" w:type="dxa"/>
            <w:tcBorders>
              <w:left w:val="none" w:sz="0" w:space="0" w:color="auto"/>
              <w:right w:val="none" w:sz="0" w:space="0" w:color="auto"/>
            </w:tcBorders>
            <w:noWrap/>
            <w:vAlign w:val="center"/>
            <w:hideMark/>
          </w:tcPr>
          <w:p w:rsidR="00A63401" w:rsidRPr="00B75B77" w:rsidRDefault="00A63401" w:rsidP="002F3BF8">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Participant Costs (Net of Incentives/Rebates Paid by Utilities)</w:t>
            </w:r>
          </w:p>
        </w:tc>
        <w:tc>
          <w:tcPr>
            <w:tcW w:w="1170" w:type="dxa"/>
            <w:tcBorders>
              <w:left w:val="none" w:sz="0" w:space="0" w:color="auto"/>
              <w:right w:val="none" w:sz="0" w:space="0" w:color="auto"/>
            </w:tcBorders>
            <w:hideMark/>
          </w:tcPr>
          <w:p w:rsidR="00A63401" w:rsidRPr="00B75B77" w:rsidRDefault="00A63401" w:rsidP="002F3BF8">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sz w:val="18"/>
                <w:szCs w:val="18"/>
              </w:rPr>
              <w:t>22,643</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tcBorders>
            <w:hideMark/>
          </w:tcPr>
          <w:p w:rsidR="00A63401" w:rsidRPr="00B75B77" w:rsidRDefault="00A63401" w:rsidP="002F3BF8">
            <w:pPr>
              <w:keepNext/>
              <w:jc w:val="center"/>
              <w:rPr>
                <w:rFonts w:ascii="Calibri" w:eastAsia="Times New Roman" w:hAnsi="Calibri"/>
                <w:color w:val="000000"/>
                <w:sz w:val="18"/>
                <w:szCs w:val="18"/>
              </w:rPr>
            </w:pPr>
            <w:r w:rsidRPr="00B75B77">
              <w:rPr>
                <w:sz w:val="18"/>
                <w:szCs w:val="18"/>
              </w:rPr>
              <w:t>66,968</w:t>
            </w:r>
          </w:p>
        </w:tc>
      </w:tr>
      <w:tr w:rsidR="00A63401" w:rsidRPr="00B75B77" w:rsidTr="002D64A6">
        <w:trPr>
          <w:cnfStyle w:val="000000010000" w:firstRow="0" w:lastRow="0" w:firstColumn="0" w:lastColumn="0" w:oddVBand="0" w:evenVBand="0" w:oddHBand="0" w:evenHBand="1"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9422" w:type="dxa"/>
            <w:gridSpan w:val="4"/>
            <w:shd w:val="clear" w:color="auto" w:fill="AEAAAA"/>
            <w:vAlign w:val="center"/>
          </w:tcPr>
          <w:p w:rsidR="00A63401" w:rsidRPr="00B75B77" w:rsidRDefault="00A63401" w:rsidP="002F3BF8">
            <w:pPr>
              <w:keepNext/>
              <w:jc w:val="center"/>
              <w:rPr>
                <w:rFonts w:ascii="Calibri" w:eastAsia="Times New Roman" w:hAnsi="Calibri"/>
                <w:color w:val="000000"/>
                <w:sz w:val="18"/>
                <w:szCs w:val="18"/>
              </w:rPr>
            </w:pPr>
          </w:p>
        </w:tc>
      </w:tr>
      <w:tr w:rsidR="00A63401" w:rsidRPr="00B75B77" w:rsidTr="002D64A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auto"/>
            <w:vAlign w:val="center"/>
          </w:tcPr>
          <w:p w:rsidR="00A63401" w:rsidRPr="00B75B77" w:rsidRDefault="00A63401" w:rsidP="002F3BF8">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5</w:t>
            </w:r>
          </w:p>
        </w:tc>
        <w:tc>
          <w:tcPr>
            <w:cnfStyle w:val="000010000000" w:firstRow="0" w:lastRow="0" w:firstColumn="0" w:lastColumn="0" w:oddVBand="1" w:evenVBand="0" w:oddHBand="0" w:evenHBand="0" w:firstRowFirstColumn="0" w:firstRowLastColumn="0" w:lastRowFirstColumn="0" w:lastRowLastColumn="0"/>
            <w:tcW w:w="5840" w:type="dxa"/>
            <w:tcBorders>
              <w:left w:val="none" w:sz="0" w:space="0" w:color="auto"/>
              <w:right w:val="none" w:sz="0" w:space="0" w:color="auto"/>
            </w:tcBorders>
            <w:shd w:val="clear" w:color="auto" w:fill="auto"/>
            <w:noWrap/>
            <w:vAlign w:val="center"/>
          </w:tcPr>
          <w:p w:rsidR="00A63401" w:rsidRPr="00B75B77" w:rsidRDefault="00A63401" w:rsidP="002F3BF8">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Program Overhead Costs (Sum of Rows 6 through 10 )</w:t>
            </w:r>
          </w:p>
        </w:tc>
        <w:tc>
          <w:tcPr>
            <w:tcW w:w="1170" w:type="dxa"/>
            <w:tcBorders>
              <w:left w:val="none" w:sz="0" w:space="0" w:color="auto"/>
              <w:right w:val="none" w:sz="0" w:space="0" w:color="auto"/>
            </w:tcBorders>
            <w:shd w:val="clear" w:color="auto" w:fill="auto"/>
            <w:noWrap/>
          </w:tcPr>
          <w:p w:rsidR="00A63401" w:rsidRPr="00B75B77" w:rsidRDefault="00A63401" w:rsidP="002F3BF8">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sz w:val="18"/>
                <w:szCs w:val="18"/>
              </w:rPr>
              <w:t>482</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tcBorders>
            <w:shd w:val="clear" w:color="auto" w:fill="auto"/>
          </w:tcPr>
          <w:p w:rsidR="00A63401" w:rsidRPr="00B75B77" w:rsidRDefault="00A63401" w:rsidP="002F3BF8">
            <w:pPr>
              <w:keepNext/>
              <w:jc w:val="center"/>
              <w:rPr>
                <w:rFonts w:ascii="Calibri" w:eastAsia="Times New Roman" w:hAnsi="Calibri"/>
                <w:color w:val="000000"/>
                <w:sz w:val="18"/>
                <w:szCs w:val="18"/>
              </w:rPr>
            </w:pPr>
            <w:r w:rsidRPr="00B75B77">
              <w:rPr>
                <w:sz w:val="18"/>
                <w:szCs w:val="18"/>
              </w:rPr>
              <w:t>1,247</w:t>
            </w:r>
          </w:p>
        </w:tc>
      </w:tr>
      <w:tr w:rsidR="00A63401" w:rsidRPr="00B75B77" w:rsidTr="002D64A6">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D2EAF1"/>
            <w:vAlign w:val="center"/>
          </w:tcPr>
          <w:p w:rsidR="00A63401" w:rsidRPr="00B75B77" w:rsidRDefault="00A63401" w:rsidP="002F3BF8">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6</w:t>
            </w:r>
          </w:p>
        </w:tc>
        <w:tc>
          <w:tcPr>
            <w:cnfStyle w:val="000010000000" w:firstRow="0" w:lastRow="0" w:firstColumn="0" w:lastColumn="0" w:oddVBand="1" w:evenVBand="0" w:oddHBand="0" w:evenHBand="0" w:firstRowFirstColumn="0" w:firstRowLastColumn="0" w:lastRowFirstColumn="0" w:lastRowLastColumn="0"/>
            <w:tcW w:w="5840" w:type="dxa"/>
            <w:tcBorders>
              <w:left w:val="none" w:sz="0" w:space="0" w:color="auto"/>
              <w:right w:val="none" w:sz="0" w:space="0" w:color="auto"/>
            </w:tcBorders>
            <w:shd w:val="clear" w:color="auto" w:fill="D2EAF1"/>
            <w:noWrap/>
            <w:vAlign w:val="center"/>
            <w:hideMark/>
          </w:tcPr>
          <w:p w:rsidR="00A63401" w:rsidRPr="00B75B77" w:rsidRDefault="00A63401" w:rsidP="002F3BF8">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Design </w:t>
            </w:r>
            <w:r w:rsidR="00E772AB" w:rsidRPr="00B75B77">
              <w:rPr>
                <w:rFonts w:ascii="Calibri" w:eastAsia="Times New Roman" w:hAnsi="Calibri"/>
                <w:color w:val="000000"/>
                <w:sz w:val="18"/>
                <w:szCs w:val="18"/>
              </w:rPr>
              <w:t>and</w:t>
            </w:r>
            <w:r w:rsidRPr="00B75B77">
              <w:rPr>
                <w:rFonts w:ascii="Calibri" w:eastAsia="Times New Roman" w:hAnsi="Calibri"/>
                <w:color w:val="000000"/>
                <w:sz w:val="18"/>
                <w:szCs w:val="18"/>
              </w:rPr>
              <w:t xml:space="preserve"> Development</w:t>
            </w:r>
          </w:p>
        </w:tc>
        <w:tc>
          <w:tcPr>
            <w:tcW w:w="1170" w:type="dxa"/>
            <w:tcBorders>
              <w:left w:val="none" w:sz="0" w:space="0" w:color="auto"/>
              <w:right w:val="none" w:sz="0" w:space="0" w:color="auto"/>
            </w:tcBorders>
            <w:shd w:val="clear" w:color="auto" w:fill="D2EAF1"/>
            <w:noWrap/>
            <w:hideMark/>
          </w:tcPr>
          <w:p w:rsidR="00A63401" w:rsidRPr="00B75B77" w:rsidRDefault="00A63401" w:rsidP="002F3BF8">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sz w:val="18"/>
                <w:szCs w:val="18"/>
              </w:rPr>
              <w:t>0</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tcBorders>
            <w:shd w:val="clear" w:color="auto" w:fill="D2EAF1"/>
            <w:hideMark/>
          </w:tcPr>
          <w:p w:rsidR="00A63401" w:rsidRPr="00B75B77" w:rsidRDefault="00A63401" w:rsidP="002F3BF8">
            <w:pPr>
              <w:keepNext/>
              <w:jc w:val="center"/>
              <w:rPr>
                <w:rFonts w:ascii="Calibri" w:eastAsia="Times New Roman" w:hAnsi="Calibri"/>
                <w:color w:val="000000"/>
                <w:sz w:val="18"/>
                <w:szCs w:val="18"/>
              </w:rPr>
            </w:pPr>
            <w:r w:rsidRPr="00B75B77">
              <w:rPr>
                <w:sz w:val="18"/>
                <w:szCs w:val="18"/>
              </w:rPr>
              <w:t>0</w:t>
            </w:r>
          </w:p>
        </w:tc>
      </w:tr>
      <w:tr w:rsidR="00A63401" w:rsidRPr="00B75B77" w:rsidTr="002D64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auto"/>
            <w:vAlign w:val="center"/>
          </w:tcPr>
          <w:p w:rsidR="00A63401" w:rsidRPr="00B75B77" w:rsidRDefault="00A63401" w:rsidP="002F3BF8">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7</w:t>
            </w:r>
          </w:p>
        </w:tc>
        <w:tc>
          <w:tcPr>
            <w:cnfStyle w:val="000010000000" w:firstRow="0" w:lastRow="0" w:firstColumn="0" w:lastColumn="0" w:oddVBand="1" w:evenVBand="0" w:oddHBand="0" w:evenHBand="0" w:firstRowFirstColumn="0" w:firstRowLastColumn="0" w:lastRowFirstColumn="0" w:lastRowLastColumn="0"/>
            <w:tcW w:w="5840" w:type="dxa"/>
            <w:tcBorders>
              <w:left w:val="none" w:sz="0" w:space="0" w:color="auto"/>
              <w:right w:val="none" w:sz="0" w:space="0" w:color="auto"/>
            </w:tcBorders>
            <w:shd w:val="clear" w:color="auto" w:fill="auto"/>
            <w:noWrap/>
            <w:vAlign w:val="center"/>
            <w:hideMark/>
          </w:tcPr>
          <w:p w:rsidR="00A63401" w:rsidRPr="00B75B77" w:rsidRDefault="00A63401" w:rsidP="002F3BF8">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Administration, Management, and Technical Assistance</w:t>
            </w:r>
            <w:r w:rsidRPr="00B75B77">
              <w:rPr>
                <w:rFonts w:ascii="Calibri" w:eastAsia="Times New Roman" w:hAnsi="Calibri"/>
                <w:b/>
                <w:bCs/>
                <w:color w:val="000000"/>
                <w:sz w:val="18"/>
                <w:szCs w:val="18"/>
                <w:vertAlign w:val="superscript"/>
              </w:rPr>
              <w:t>[1]</w:t>
            </w:r>
          </w:p>
        </w:tc>
        <w:tc>
          <w:tcPr>
            <w:tcW w:w="1170" w:type="dxa"/>
            <w:tcBorders>
              <w:left w:val="none" w:sz="0" w:space="0" w:color="auto"/>
              <w:right w:val="none" w:sz="0" w:space="0" w:color="auto"/>
            </w:tcBorders>
            <w:shd w:val="clear" w:color="auto" w:fill="auto"/>
            <w:noWrap/>
            <w:hideMark/>
          </w:tcPr>
          <w:p w:rsidR="00A63401" w:rsidRPr="00B75B77" w:rsidRDefault="00A63401" w:rsidP="002F3BF8">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sz w:val="18"/>
                <w:szCs w:val="18"/>
              </w:rPr>
              <w:t>482</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tcBorders>
            <w:shd w:val="clear" w:color="auto" w:fill="auto"/>
            <w:hideMark/>
          </w:tcPr>
          <w:p w:rsidR="00A63401" w:rsidRPr="00B75B77" w:rsidRDefault="00A63401" w:rsidP="002F3BF8">
            <w:pPr>
              <w:keepNext/>
              <w:jc w:val="center"/>
              <w:rPr>
                <w:rFonts w:ascii="Calibri" w:eastAsia="Times New Roman" w:hAnsi="Calibri"/>
                <w:color w:val="000000"/>
                <w:sz w:val="18"/>
                <w:szCs w:val="18"/>
              </w:rPr>
            </w:pPr>
            <w:r w:rsidRPr="00B75B77">
              <w:rPr>
                <w:sz w:val="18"/>
                <w:szCs w:val="18"/>
              </w:rPr>
              <w:t>1,247</w:t>
            </w:r>
          </w:p>
        </w:tc>
      </w:tr>
      <w:tr w:rsidR="00A63401" w:rsidRPr="00B75B77" w:rsidTr="002D64A6">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D2EAF1"/>
            <w:vAlign w:val="center"/>
          </w:tcPr>
          <w:p w:rsidR="00A63401" w:rsidRPr="00B75B77" w:rsidRDefault="00A63401" w:rsidP="002F3BF8">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8</w:t>
            </w:r>
          </w:p>
        </w:tc>
        <w:tc>
          <w:tcPr>
            <w:cnfStyle w:val="000010000000" w:firstRow="0" w:lastRow="0" w:firstColumn="0" w:lastColumn="0" w:oddVBand="1" w:evenVBand="0" w:oddHBand="0" w:evenHBand="0" w:firstRowFirstColumn="0" w:firstRowLastColumn="0" w:lastRowFirstColumn="0" w:lastRowLastColumn="0"/>
            <w:tcW w:w="5840" w:type="dxa"/>
            <w:tcBorders>
              <w:left w:val="none" w:sz="0" w:space="0" w:color="auto"/>
              <w:right w:val="none" w:sz="0" w:space="0" w:color="auto"/>
            </w:tcBorders>
            <w:shd w:val="clear" w:color="auto" w:fill="D2EAF1"/>
            <w:noWrap/>
            <w:vAlign w:val="center"/>
            <w:hideMark/>
          </w:tcPr>
          <w:p w:rsidR="00A63401" w:rsidRPr="00B75B77" w:rsidRDefault="00A63401" w:rsidP="002F3BF8">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Marketing</w:t>
            </w:r>
            <w:r w:rsidRPr="00B75B77">
              <w:rPr>
                <w:rFonts w:ascii="Calibri" w:eastAsia="Times New Roman" w:hAnsi="Calibri"/>
                <w:b/>
                <w:bCs/>
                <w:color w:val="000000"/>
                <w:sz w:val="18"/>
                <w:szCs w:val="18"/>
                <w:vertAlign w:val="superscript"/>
              </w:rPr>
              <w:t>[2]</w:t>
            </w:r>
          </w:p>
        </w:tc>
        <w:tc>
          <w:tcPr>
            <w:tcW w:w="1170" w:type="dxa"/>
            <w:tcBorders>
              <w:left w:val="none" w:sz="0" w:space="0" w:color="auto"/>
              <w:right w:val="none" w:sz="0" w:space="0" w:color="auto"/>
            </w:tcBorders>
            <w:shd w:val="clear" w:color="auto" w:fill="D2EAF1"/>
            <w:noWrap/>
            <w:hideMark/>
          </w:tcPr>
          <w:p w:rsidR="00A63401" w:rsidRPr="00B75B77" w:rsidRDefault="00A63401" w:rsidP="002F3BF8">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sz w:val="18"/>
                <w:szCs w:val="18"/>
              </w:rPr>
              <w:t>0</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tcBorders>
            <w:shd w:val="clear" w:color="auto" w:fill="D2EAF1"/>
            <w:hideMark/>
          </w:tcPr>
          <w:p w:rsidR="00A63401" w:rsidRPr="00B75B77" w:rsidRDefault="00A63401" w:rsidP="002F3BF8">
            <w:pPr>
              <w:keepNext/>
              <w:jc w:val="center"/>
              <w:rPr>
                <w:rFonts w:ascii="Calibri" w:eastAsia="Times New Roman" w:hAnsi="Calibri"/>
                <w:color w:val="000000"/>
                <w:sz w:val="18"/>
                <w:szCs w:val="18"/>
              </w:rPr>
            </w:pPr>
            <w:r w:rsidRPr="00B75B77">
              <w:rPr>
                <w:sz w:val="18"/>
                <w:szCs w:val="18"/>
              </w:rPr>
              <w:t>0</w:t>
            </w:r>
          </w:p>
        </w:tc>
      </w:tr>
      <w:tr w:rsidR="00A63401" w:rsidRPr="00B75B77" w:rsidTr="002D64A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auto"/>
            <w:vAlign w:val="center"/>
          </w:tcPr>
          <w:p w:rsidR="00A63401" w:rsidRPr="00B75B77" w:rsidRDefault="00A63401" w:rsidP="002F3BF8">
            <w:pPr>
              <w:keepNext/>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9</w:t>
            </w:r>
          </w:p>
        </w:tc>
        <w:tc>
          <w:tcPr>
            <w:cnfStyle w:val="000010000000" w:firstRow="0" w:lastRow="0" w:firstColumn="0" w:lastColumn="0" w:oddVBand="1" w:evenVBand="0" w:oddHBand="0" w:evenHBand="0" w:firstRowFirstColumn="0" w:firstRowLastColumn="0" w:lastRowFirstColumn="0" w:lastRowLastColumn="0"/>
            <w:tcW w:w="5840" w:type="dxa"/>
            <w:tcBorders>
              <w:left w:val="none" w:sz="0" w:space="0" w:color="auto"/>
              <w:right w:val="none" w:sz="0" w:space="0" w:color="auto"/>
            </w:tcBorders>
            <w:shd w:val="clear" w:color="auto" w:fill="auto"/>
            <w:noWrap/>
            <w:vAlign w:val="center"/>
          </w:tcPr>
          <w:p w:rsidR="00A63401" w:rsidRPr="00B75B77" w:rsidRDefault="00A63401" w:rsidP="002F3BF8">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EDC Evaluation Costs</w:t>
            </w:r>
          </w:p>
        </w:tc>
        <w:tc>
          <w:tcPr>
            <w:tcW w:w="1170" w:type="dxa"/>
            <w:tcBorders>
              <w:left w:val="none" w:sz="0" w:space="0" w:color="auto"/>
              <w:right w:val="none" w:sz="0" w:space="0" w:color="auto"/>
            </w:tcBorders>
            <w:shd w:val="clear" w:color="auto" w:fill="auto"/>
            <w:noWrap/>
            <w:hideMark/>
          </w:tcPr>
          <w:p w:rsidR="00A63401" w:rsidRPr="00B75B77" w:rsidRDefault="00A63401" w:rsidP="002F3BF8">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18"/>
                <w:szCs w:val="18"/>
              </w:rPr>
            </w:pPr>
            <w:r w:rsidRPr="00B75B77">
              <w:rPr>
                <w:sz w:val="18"/>
                <w:szCs w:val="18"/>
              </w:rPr>
              <w:t>0</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tcBorders>
            <w:shd w:val="clear" w:color="auto" w:fill="auto"/>
            <w:hideMark/>
          </w:tcPr>
          <w:p w:rsidR="00A63401" w:rsidRPr="00B75B77" w:rsidRDefault="00A63401" w:rsidP="002F3BF8">
            <w:pPr>
              <w:keepNext/>
              <w:jc w:val="center"/>
              <w:rPr>
                <w:rFonts w:ascii="Calibri" w:eastAsia="Times New Roman" w:hAnsi="Calibri"/>
                <w:b/>
                <w:bCs/>
                <w:color w:val="000000"/>
                <w:sz w:val="18"/>
                <w:szCs w:val="18"/>
              </w:rPr>
            </w:pPr>
            <w:r w:rsidRPr="00B75B77">
              <w:rPr>
                <w:sz w:val="18"/>
                <w:szCs w:val="18"/>
              </w:rPr>
              <w:t>0</w:t>
            </w:r>
          </w:p>
        </w:tc>
      </w:tr>
      <w:tr w:rsidR="00A63401" w:rsidRPr="00B75B77" w:rsidTr="002D64A6">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D2EAF1"/>
            <w:vAlign w:val="center"/>
          </w:tcPr>
          <w:p w:rsidR="00A63401" w:rsidRPr="00B75B77" w:rsidRDefault="00A63401" w:rsidP="002F3BF8">
            <w:pPr>
              <w:keepNext/>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10</w:t>
            </w:r>
          </w:p>
        </w:tc>
        <w:tc>
          <w:tcPr>
            <w:cnfStyle w:val="000010000000" w:firstRow="0" w:lastRow="0" w:firstColumn="0" w:lastColumn="0" w:oddVBand="1" w:evenVBand="0" w:oddHBand="0" w:evenHBand="0" w:firstRowFirstColumn="0" w:firstRowLastColumn="0" w:lastRowFirstColumn="0" w:lastRowLastColumn="0"/>
            <w:tcW w:w="5840" w:type="dxa"/>
            <w:tcBorders>
              <w:left w:val="none" w:sz="0" w:space="0" w:color="auto"/>
              <w:right w:val="none" w:sz="0" w:space="0" w:color="auto"/>
            </w:tcBorders>
            <w:shd w:val="clear" w:color="auto" w:fill="D2EAF1"/>
            <w:noWrap/>
            <w:vAlign w:val="center"/>
          </w:tcPr>
          <w:p w:rsidR="00A63401" w:rsidRPr="00B75B77" w:rsidRDefault="00A63401" w:rsidP="002F3BF8">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SWE Audit Costs</w:t>
            </w:r>
          </w:p>
        </w:tc>
        <w:tc>
          <w:tcPr>
            <w:tcW w:w="1170" w:type="dxa"/>
            <w:tcBorders>
              <w:left w:val="none" w:sz="0" w:space="0" w:color="auto"/>
              <w:right w:val="none" w:sz="0" w:space="0" w:color="auto"/>
            </w:tcBorders>
            <w:shd w:val="clear" w:color="auto" w:fill="D2EAF1"/>
            <w:noWrap/>
          </w:tcPr>
          <w:p w:rsidR="00A63401" w:rsidRPr="00B75B77" w:rsidRDefault="00A63401" w:rsidP="002F3BF8">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sz w:val="18"/>
                <w:szCs w:val="18"/>
              </w:rPr>
              <w:t>0</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tcBorders>
            <w:shd w:val="clear" w:color="auto" w:fill="D2EAF1"/>
          </w:tcPr>
          <w:p w:rsidR="00A63401" w:rsidRPr="00B75B77" w:rsidRDefault="00A63401" w:rsidP="002F3BF8">
            <w:pPr>
              <w:keepNext/>
              <w:jc w:val="center"/>
              <w:rPr>
                <w:rFonts w:ascii="Calibri" w:eastAsia="Times New Roman" w:hAnsi="Calibri"/>
                <w:color w:val="000000"/>
                <w:sz w:val="18"/>
                <w:szCs w:val="18"/>
              </w:rPr>
            </w:pPr>
            <w:r w:rsidRPr="00B75B77">
              <w:rPr>
                <w:sz w:val="18"/>
                <w:szCs w:val="18"/>
              </w:rPr>
              <w:t>0</w:t>
            </w:r>
          </w:p>
        </w:tc>
      </w:tr>
      <w:tr w:rsidR="00A63401" w:rsidRPr="00B75B77" w:rsidTr="002D64A6">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9422" w:type="dxa"/>
            <w:gridSpan w:val="4"/>
            <w:shd w:val="clear" w:color="auto" w:fill="AEAAAA"/>
            <w:vAlign w:val="center"/>
          </w:tcPr>
          <w:p w:rsidR="00A63401" w:rsidRPr="00B75B77" w:rsidRDefault="00A63401" w:rsidP="002F3BF8">
            <w:pPr>
              <w:keepNext/>
              <w:jc w:val="center"/>
              <w:rPr>
                <w:rFonts w:ascii="Calibri" w:eastAsia="Times New Roman" w:hAnsi="Calibri"/>
                <w:b w:val="0"/>
                <w:bCs w:val="0"/>
                <w:color w:val="000000"/>
                <w:sz w:val="18"/>
                <w:szCs w:val="18"/>
              </w:rPr>
            </w:pPr>
          </w:p>
        </w:tc>
      </w:tr>
      <w:tr w:rsidR="00A63401" w:rsidRPr="00B75B77" w:rsidTr="002D64A6">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auto"/>
            <w:vAlign w:val="center"/>
          </w:tcPr>
          <w:p w:rsidR="00A63401" w:rsidRPr="00B75B77" w:rsidRDefault="00A63401" w:rsidP="002F3BF8">
            <w:pPr>
              <w:keepNext/>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11</w:t>
            </w:r>
          </w:p>
        </w:tc>
        <w:tc>
          <w:tcPr>
            <w:cnfStyle w:val="000010000000" w:firstRow="0" w:lastRow="0" w:firstColumn="0" w:lastColumn="0" w:oddVBand="1" w:evenVBand="0" w:oddHBand="0" w:evenHBand="0" w:firstRowFirstColumn="0" w:firstRowLastColumn="0" w:lastRowFirstColumn="0" w:lastRowLastColumn="0"/>
            <w:tcW w:w="5840" w:type="dxa"/>
            <w:tcBorders>
              <w:left w:val="none" w:sz="0" w:space="0" w:color="auto"/>
              <w:right w:val="none" w:sz="0" w:space="0" w:color="auto"/>
            </w:tcBorders>
            <w:shd w:val="clear" w:color="auto" w:fill="auto"/>
            <w:noWrap/>
            <w:vAlign w:val="center"/>
          </w:tcPr>
          <w:p w:rsidR="00A63401" w:rsidRPr="00B75B77" w:rsidRDefault="00A63401" w:rsidP="002F3BF8">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Increases in Costs of Natural Gas (or Other Fuels) for Fuel-Switching Programs</w:t>
            </w:r>
          </w:p>
        </w:tc>
        <w:tc>
          <w:tcPr>
            <w:tcW w:w="1170" w:type="dxa"/>
            <w:tcBorders>
              <w:left w:val="none" w:sz="0" w:space="0" w:color="auto"/>
              <w:right w:val="none" w:sz="0" w:space="0" w:color="auto"/>
            </w:tcBorders>
            <w:shd w:val="clear" w:color="auto" w:fill="auto"/>
            <w:noWrap/>
          </w:tcPr>
          <w:p w:rsidR="00A63401" w:rsidRPr="00B75B77" w:rsidRDefault="00A63401" w:rsidP="002F3BF8">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 w:val="18"/>
                <w:szCs w:val="18"/>
              </w:rPr>
            </w:pPr>
            <w:r w:rsidRPr="00B75B77">
              <w:rPr>
                <w:sz w:val="18"/>
                <w:szCs w:val="18"/>
              </w:rPr>
              <w:t>5,900</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tcBorders>
            <w:shd w:val="clear" w:color="auto" w:fill="auto"/>
          </w:tcPr>
          <w:p w:rsidR="00A63401" w:rsidRPr="00B75B77" w:rsidRDefault="00A63401" w:rsidP="002F3BF8">
            <w:pPr>
              <w:keepNext/>
              <w:jc w:val="center"/>
              <w:rPr>
                <w:rFonts w:ascii="Calibri" w:eastAsia="Times New Roman" w:hAnsi="Calibri"/>
                <w:b/>
                <w:bCs/>
                <w:color w:val="000000"/>
                <w:sz w:val="18"/>
                <w:szCs w:val="18"/>
              </w:rPr>
            </w:pPr>
            <w:r w:rsidRPr="00B75B77">
              <w:rPr>
                <w:sz w:val="18"/>
                <w:szCs w:val="18"/>
              </w:rPr>
              <w:t>18,944</w:t>
            </w:r>
          </w:p>
        </w:tc>
      </w:tr>
      <w:tr w:rsidR="00A63401" w:rsidRPr="00B75B77" w:rsidTr="002D64A6">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9422" w:type="dxa"/>
            <w:gridSpan w:val="4"/>
            <w:shd w:val="clear" w:color="auto" w:fill="AEAAAA"/>
            <w:vAlign w:val="center"/>
          </w:tcPr>
          <w:p w:rsidR="00A63401" w:rsidRPr="00B75B77" w:rsidRDefault="00A63401" w:rsidP="002F3BF8">
            <w:pPr>
              <w:keepNext/>
              <w:jc w:val="center"/>
              <w:rPr>
                <w:rFonts w:ascii="Calibri" w:eastAsia="Times New Roman" w:hAnsi="Calibri"/>
                <w:b w:val="0"/>
                <w:bCs w:val="0"/>
                <w:color w:val="000000"/>
                <w:sz w:val="18"/>
                <w:szCs w:val="18"/>
              </w:rPr>
            </w:pPr>
          </w:p>
        </w:tc>
      </w:tr>
      <w:tr w:rsidR="00A63401" w:rsidRPr="00B75B77" w:rsidTr="002D64A6">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D2EAF1"/>
            <w:vAlign w:val="center"/>
          </w:tcPr>
          <w:p w:rsidR="00A63401" w:rsidRPr="00B75B77" w:rsidRDefault="00A63401" w:rsidP="002F3BF8">
            <w:pPr>
              <w:keepNext/>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12</w:t>
            </w:r>
          </w:p>
        </w:tc>
        <w:tc>
          <w:tcPr>
            <w:cnfStyle w:val="000010000000" w:firstRow="0" w:lastRow="0" w:firstColumn="0" w:lastColumn="0" w:oddVBand="1" w:evenVBand="0" w:oddHBand="0" w:evenHBand="0" w:firstRowFirstColumn="0" w:firstRowLastColumn="0" w:lastRowFirstColumn="0" w:lastRowLastColumn="0"/>
            <w:tcW w:w="5840" w:type="dxa"/>
            <w:tcBorders>
              <w:left w:val="none" w:sz="0" w:space="0" w:color="auto"/>
              <w:right w:val="none" w:sz="0" w:space="0" w:color="auto"/>
            </w:tcBorders>
            <w:noWrap/>
            <w:vAlign w:val="center"/>
            <w:hideMark/>
          </w:tcPr>
          <w:p w:rsidR="00A63401" w:rsidRPr="00B75B77" w:rsidRDefault="00A63401" w:rsidP="002F3BF8">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Total  TRC Costs</w:t>
            </w:r>
            <w:r w:rsidRPr="00B75B77">
              <w:rPr>
                <w:rFonts w:ascii="Calibri" w:eastAsia="Times New Roman" w:hAnsi="Calibri"/>
                <w:bCs/>
                <w:color w:val="000000"/>
                <w:sz w:val="18"/>
                <w:szCs w:val="18"/>
                <w:vertAlign w:val="superscript"/>
              </w:rPr>
              <w:t xml:space="preserve">[3] </w:t>
            </w:r>
            <w:r w:rsidRPr="00B75B77">
              <w:rPr>
                <w:rFonts w:ascii="Calibri" w:eastAsia="Times New Roman" w:hAnsi="Calibri"/>
                <w:bCs/>
                <w:color w:val="000000"/>
                <w:sz w:val="18"/>
                <w:szCs w:val="18"/>
              </w:rPr>
              <w:t>(Sum of Rows 1, 5, and 11)</w:t>
            </w:r>
          </w:p>
        </w:tc>
        <w:tc>
          <w:tcPr>
            <w:tcW w:w="1170" w:type="dxa"/>
            <w:tcBorders>
              <w:left w:val="none" w:sz="0" w:space="0" w:color="auto"/>
              <w:right w:val="none" w:sz="0" w:space="0" w:color="auto"/>
            </w:tcBorders>
            <w:shd w:val="clear" w:color="auto" w:fill="DAEEF3" w:themeFill="accent5" w:themeFillTint="33"/>
            <w:noWrap/>
            <w:hideMark/>
          </w:tcPr>
          <w:p w:rsidR="00A63401" w:rsidRPr="00B75B77" w:rsidRDefault="00A63401" w:rsidP="002F3BF8">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 w:val="18"/>
                <w:szCs w:val="18"/>
              </w:rPr>
            </w:pPr>
            <w:r w:rsidRPr="00B75B77">
              <w:rPr>
                <w:sz w:val="18"/>
                <w:szCs w:val="18"/>
              </w:rPr>
              <w:t>30,571</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tcBorders>
            <w:hideMark/>
          </w:tcPr>
          <w:p w:rsidR="00A63401" w:rsidRPr="00B75B77" w:rsidRDefault="00A63401" w:rsidP="002F3BF8">
            <w:pPr>
              <w:keepNext/>
              <w:jc w:val="center"/>
              <w:rPr>
                <w:rFonts w:ascii="Calibri" w:eastAsia="Times New Roman" w:hAnsi="Calibri"/>
                <w:b/>
                <w:bCs/>
                <w:color w:val="000000"/>
                <w:sz w:val="18"/>
                <w:szCs w:val="18"/>
              </w:rPr>
            </w:pPr>
            <w:r w:rsidRPr="00B75B77">
              <w:rPr>
                <w:sz w:val="18"/>
                <w:szCs w:val="18"/>
              </w:rPr>
              <w:t>93,699</w:t>
            </w:r>
          </w:p>
        </w:tc>
      </w:tr>
      <w:tr w:rsidR="00A63401" w:rsidRPr="00B75B77" w:rsidTr="002D64A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auto"/>
            <w:vAlign w:val="center"/>
          </w:tcPr>
          <w:p w:rsidR="00A63401" w:rsidRPr="00B75B77" w:rsidRDefault="00A63401" w:rsidP="002F3BF8">
            <w:pPr>
              <w:keepNext/>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13</w:t>
            </w:r>
          </w:p>
        </w:tc>
        <w:tc>
          <w:tcPr>
            <w:cnfStyle w:val="000010000000" w:firstRow="0" w:lastRow="0" w:firstColumn="0" w:lastColumn="0" w:oddVBand="1" w:evenVBand="0" w:oddHBand="0" w:evenHBand="0" w:firstRowFirstColumn="0" w:firstRowLastColumn="0" w:lastRowFirstColumn="0" w:lastRowLastColumn="0"/>
            <w:tcW w:w="5840" w:type="dxa"/>
            <w:tcBorders>
              <w:left w:val="none" w:sz="0" w:space="0" w:color="auto"/>
              <w:right w:val="none" w:sz="0" w:space="0" w:color="auto"/>
            </w:tcBorders>
            <w:shd w:val="clear" w:color="auto" w:fill="auto"/>
            <w:noWrap/>
            <w:vAlign w:val="center"/>
            <w:hideMark/>
          </w:tcPr>
          <w:p w:rsidR="00A63401" w:rsidRPr="00B75B77" w:rsidRDefault="00A63401" w:rsidP="002F3BF8">
            <w:pPr>
              <w:keepNext/>
              <w:jc w:val="left"/>
              <w:rPr>
                <w:rFonts w:ascii="Calibri" w:eastAsia="Times New Roman" w:hAnsi="Calibri"/>
                <w:color w:val="000000"/>
                <w:sz w:val="18"/>
                <w:szCs w:val="18"/>
              </w:rPr>
            </w:pPr>
            <w:r w:rsidRPr="00B75B77">
              <w:rPr>
                <w:rFonts w:ascii="Calibri" w:eastAsia="Times New Roman" w:hAnsi="Calibri"/>
                <w:bCs/>
                <w:color w:val="000000"/>
                <w:sz w:val="18"/>
                <w:szCs w:val="18"/>
              </w:rPr>
              <w:t>Total NPV Lifetime Energy Benefits</w:t>
            </w:r>
          </w:p>
        </w:tc>
        <w:tc>
          <w:tcPr>
            <w:tcW w:w="1170" w:type="dxa"/>
            <w:tcBorders>
              <w:left w:val="none" w:sz="0" w:space="0" w:color="auto"/>
              <w:bottom w:val="single" w:sz="8" w:space="0" w:color="448A99"/>
              <w:right w:val="none" w:sz="0" w:space="0" w:color="auto"/>
            </w:tcBorders>
            <w:shd w:val="clear" w:color="auto" w:fill="auto"/>
            <w:noWrap/>
            <w:hideMark/>
          </w:tcPr>
          <w:p w:rsidR="00A63401" w:rsidRPr="00B75B77" w:rsidRDefault="00620F33" w:rsidP="002F3BF8">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18"/>
                <w:szCs w:val="18"/>
              </w:rPr>
            </w:pPr>
            <w:r w:rsidRPr="00B75B77">
              <w:rPr>
                <w:sz w:val="18"/>
                <w:szCs w:val="18"/>
              </w:rPr>
              <w:t>2</w:t>
            </w:r>
            <w:r w:rsidR="00F0287E" w:rsidRPr="00B75B77">
              <w:rPr>
                <w:sz w:val="18"/>
                <w:szCs w:val="18"/>
              </w:rPr>
              <w:t>0,548</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tcBorders>
            <w:shd w:val="clear" w:color="auto" w:fill="auto"/>
            <w:hideMark/>
          </w:tcPr>
          <w:p w:rsidR="00A63401" w:rsidRPr="00B75B77" w:rsidRDefault="00F0287E" w:rsidP="002F3BF8">
            <w:pPr>
              <w:keepNext/>
              <w:jc w:val="center"/>
              <w:rPr>
                <w:rFonts w:ascii="Calibri" w:eastAsia="Times New Roman" w:hAnsi="Calibri"/>
                <w:b/>
                <w:bCs/>
                <w:color w:val="000000"/>
                <w:sz w:val="18"/>
                <w:szCs w:val="18"/>
              </w:rPr>
            </w:pPr>
            <w:r w:rsidRPr="00B75B77">
              <w:rPr>
                <w:sz w:val="18"/>
                <w:szCs w:val="18"/>
              </w:rPr>
              <w:t>58,529</w:t>
            </w:r>
          </w:p>
        </w:tc>
      </w:tr>
      <w:tr w:rsidR="00A63401" w:rsidRPr="00B75B77" w:rsidTr="002D64A6">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D2EAF1"/>
            <w:vAlign w:val="center"/>
          </w:tcPr>
          <w:p w:rsidR="00A63401" w:rsidRPr="00B75B77" w:rsidRDefault="00A63401" w:rsidP="002F3BF8">
            <w:pPr>
              <w:keepNext/>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14</w:t>
            </w:r>
          </w:p>
        </w:tc>
        <w:tc>
          <w:tcPr>
            <w:cnfStyle w:val="000010000000" w:firstRow="0" w:lastRow="0" w:firstColumn="0" w:lastColumn="0" w:oddVBand="1" w:evenVBand="0" w:oddHBand="0" w:evenHBand="0" w:firstRowFirstColumn="0" w:firstRowLastColumn="0" w:lastRowFirstColumn="0" w:lastRowLastColumn="0"/>
            <w:tcW w:w="5840" w:type="dxa"/>
            <w:tcBorders>
              <w:left w:val="none" w:sz="0" w:space="0" w:color="auto"/>
              <w:right w:val="none" w:sz="0" w:space="0" w:color="auto"/>
            </w:tcBorders>
            <w:noWrap/>
            <w:vAlign w:val="center"/>
            <w:hideMark/>
          </w:tcPr>
          <w:p w:rsidR="00A63401" w:rsidRPr="00B75B77" w:rsidRDefault="00A63401" w:rsidP="002F3BF8">
            <w:pPr>
              <w:keepNext/>
              <w:jc w:val="left"/>
              <w:rPr>
                <w:rFonts w:ascii="Calibri" w:eastAsia="Times New Roman" w:hAnsi="Calibri"/>
                <w:color w:val="000000"/>
                <w:sz w:val="18"/>
                <w:szCs w:val="18"/>
              </w:rPr>
            </w:pPr>
            <w:r w:rsidRPr="00B75B77">
              <w:rPr>
                <w:rFonts w:ascii="Calibri" w:eastAsia="Times New Roman" w:hAnsi="Calibri"/>
                <w:bCs/>
                <w:color w:val="000000"/>
                <w:sz w:val="18"/>
                <w:szCs w:val="18"/>
              </w:rPr>
              <w:t>Total NPV Lifetime Capacity Benefits</w:t>
            </w:r>
          </w:p>
        </w:tc>
        <w:tc>
          <w:tcPr>
            <w:tcW w:w="1170" w:type="dxa"/>
            <w:tcBorders>
              <w:left w:val="none" w:sz="0" w:space="0" w:color="auto"/>
              <w:right w:val="none" w:sz="0" w:space="0" w:color="auto"/>
            </w:tcBorders>
            <w:shd w:val="clear" w:color="auto" w:fill="DAEEF3" w:themeFill="accent5" w:themeFillTint="33"/>
            <w:noWrap/>
            <w:hideMark/>
          </w:tcPr>
          <w:p w:rsidR="00A63401" w:rsidRPr="00B75B77" w:rsidRDefault="00A63401" w:rsidP="002F3BF8">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 w:val="18"/>
                <w:szCs w:val="18"/>
              </w:rPr>
            </w:pPr>
            <w:r w:rsidRPr="00B75B77">
              <w:rPr>
                <w:sz w:val="18"/>
                <w:szCs w:val="18"/>
              </w:rPr>
              <w:t>2,</w:t>
            </w:r>
            <w:r w:rsidR="00F0287E" w:rsidRPr="00B75B77">
              <w:rPr>
                <w:sz w:val="18"/>
                <w:szCs w:val="18"/>
              </w:rPr>
              <w:t>313</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tcBorders>
            <w:hideMark/>
          </w:tcPr>
          <w:p w:rsidR="00A63401" w:rsidRPr="00B75B77" w:rsidRDefault="00F0287E" w:rsidP="002F3BF8">
            <w:pPr>
              <w:keepNext/>
              <w:jc w:val="center"/>
              <w:rPr>
                <w:rFonts w:ascii="Calibri" w:eastAsia="Times New Roman" w:hAnsi="Calibri"/>
                <w:b/>
                <w:bCs/>
                <w:color w:val="000000"/>
                <w:sz w:val="18"/>
                <w:szCs w:val="18"/>
              </w:rPr>
            </w:pPr>
            <w:r w:rsidRPr="00B75B77">
              <w:rPr>
                <w:sz w:val="18"/>
                <w:szCs w:val="18"/>
              </w:rPr>
              <w:t>6,855</w:t>
            </w:r>
          </w:p>
        </w:tc>
      </w:tr>
      <w:tr w:rsidR="00A63401" w:rsidRPr="00B75B77" w:rsidTr="002D64A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auto"/>
            <w:vAlign w:val="center"/>
          </w:tcPr>
          <w:p w:rsidR="00A63401" w:rsidRPr="00B75B77" w:rsidRDefault="00A63401" w:rsidP="002F3BF8">
            <w:pPr>
              <w:keepNext/>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15</w:t>
            </w:r>
          </w:p>
        </w:tc>
        <w:tc>
          <w:tcPr>
            <w:cnfStyle w:val="000010000000" w:firstRow="0" w:lastRow="0" w:firstColumn="0" w:lastColumn="0" w:oddVBand="1" w:evenVBand="0" w:oddHBand="0" w:evenHBand="0" w:firstRowFirstColumn="0" w:firstRowLastColumn="0" w:lastRowFirstColumn="0" w:lastRowLastColumn="0"/>
            <w:tcW w:w="5840" w:type="dxa"/>
            <w:tcBorders>
              <w:left w:val="none" w:sz="0" w:space="0" w:color="auto"/>
              <w:right w:val="none" w:sz="0" w:space="0" w:color="auto"/>
            </w:tcBorders>
            <w:shd w:val="clear" w:color="auto" w:fill="auto"/>
            <w:noWrap/>
            <w:vAlign w:val="center"/>
            <w:hideMark/>
          </w:tcPr>
          <w:p w:rsidR="00A63401" w:rsidRPr="00B75B77" w:rsidRDefault="00A63401" w:rsidP="002F3BF8">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Total NPV TRC Benefits</w:t>
            </w:r>
            <w:r w:rsidRPr="00B75B77">
              <w:rPr>
                <w:rFonts w:ascii="Calibri" w:eastAsia="Times New Roman" w:hAnsi="Calibri"/>
                <w:bCs/>
                <w:color w:val="000000"/>
                <w:sz w:val="18"/>
                <w:szCs w:val="18"/>
                <w:vertAlign w:val="superscript"/>
              </w:rPr>
              <w:t>[4]</w:t>
            </w:r>
          </w:p>
        </w:tc>
        <w:tc>
          <w:tcPr>
            <w:tcW w:w="1170" w:type="dxa"/>
            <w:tcBorders>
              <w:left w:val="none" w:sz="0" w:space="0" w:color="auto"/>
              <w:right w:val="none" w:sz="0" w:space="0" w:color="auto"/>
            </w:tcBorders>
            <w:shd w:val="clear" w:color="auto" w:fill="auto"/>
            <w:noWrap/>
            <w:hideMark/>
          </w:tcPr>
          <w:p w:rsidR="00A63401" w:rsidRPr="00B75B77" w:rsidRDefault="00620F33" w:rsidP="002F3BF8">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18"/>
                <w:szCs w:val="18"/>
              </w:rPr>
            </w:pPr>
            <w:r w:rsidRPr="00B75B77">
              <w:rPr>
                <w:sz w:val="18"/>
                <w:szCs w:val="18"/>
              </w:rPr>
              <w:t>2</w:t>
            </w:r>
            <w:r w:rsidR="00F0287E" w:rsidRPr="00B75B77">
              <w:rPr>
                <w:sz w:val="18"/>
                <w:szCs w:val="18"/>
              </w:rPr>
              <w:t>2,861</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tcBorders>
            <w:shd w:val="clear" w:color="auto" w:fill="auto"/>
            <w:hideMark/>
          </w:tcPr>
          <w:p w:rsidR="00A63401" w:rsidRPr="00B75B77" w:rsidRDefault="00F0287E" w:rsidP="002F3BF8">
            <w:pPr>
              <w:keepNext/>
              <w:jc w:val="center"/>
              <w:rPr>
                <w:rFonts w:ascii="Calibri" w:eastAsia="Times New Roman" w:hAnsi="Calibri"/>
                <w:b/>
                <w:bCs/>
                <w:color w:val="000000"/>
                <w:sz w:val="18"/>
                <w:szCs w:val="18"/>
              </w:rPr>
            </w:pPr>
            <w:r w:rsidRPr="00B75B77">
              <w:rPr>
                <w:sz w:val="18"/>
                <w:szCs w:val="18"/>
              </w:rPr>
              <w:t>65,384</w:t>
            </w:r>
          </w:p>
        </w:tc>
      </w:tr>
      <w:tr w:rsidR="00A63401" w:rsidRPr="00B75B77" w:rsidTr="002D64A6">
        <w:trPr>
          <w:cnfStyle w:val="000000010000" w:firstRow="0" w:lastRow="0" w:firstColumn="0" w:lastColumn="0" w:oddVBand="0" w:evenVBand="0" w:oddHBand="0" w:evenHBand="1"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422" w:type="dxa"/>
            <w:gridSpan w:val="4"/>
            <w:shd w:val="clear" w:color="auto" w:fill="AEAAAA"/>
            <w:vAlign w:val="center"/>
          </w:tcPr>
          <w:p w:rsidR="00A63401" w:rsidRPr="00B75B77" w:rsidRDefault="00A63401" w:rsidP="002F3BF8">
            <w:pPr>
              <w:keepNext/>
              <w:jc w:val="center"/>
              <w:rPr>
                <w:rFonts w:ascii="Calibri" w:eastAsia="Times New Roman" w:hAnsi="Calibri"/>
                <w:b w:val="0"/>
                <w:bCs w:val="0"/>
                <w:color w:val="000000"/>
                <w:sz w:val="18"/>
                <w:szCs w:val="18"/>
              </w:rPr>
            </w:pPr>
          </w:p>
        </w:tc>
      </w:tr>
      <w:tr w:rsidR="00A63401" w:rsidRPr="00B75B77" w:rsidTr="002D64A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D2EAF1"/>
            <w:vAlign w:val="center"/>
          </w:tcPr>
          <w:p w:rsidR="00A63401" w:rsidRPr="00B75B77" w:rsidRDefault="00A63401" w:rsidP="002F3BF8">
            <w:pPr>
              <w:keepNext/>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16</w:t>
            </w:r>
          </w:p>
        </w:tc>
        <w:tc>
          <w:tcPr>
            <w:cnfStyle w:val="000010000000" w:firstRow="0" w:lastRow="0" w:firstColumn="0" w:lastColumn="0" w:oddVBand="1" w:evenVBand="0" w:oddHBand="0" w:evenHBand="0" w:firstRowFirstColumn="0" w:firstRowLastColumn="0" w:lastRowFirstColumn="0" w:lastRowLastColumn="0"/>
            <w:tcW w:w="5840" w:type="dxa"/>
            <w:tcBorders>
              <w:left w:val="none" w:sz="0" w:space="0" w:color="auto"/>
              <w:right w:val="none" w:sz="0" w:space="0" w:color="auto"/>
            </w:tcBorders>
            <w:shd w:val="clear" w:color="auto" w:fill="D2EAF1"/>
            <w:noWrap/>
            <w:vAlign w:val="center"/>
            <w:hideMark/>
          </w:tcPr>
          <w:p w:rsidR="00A63401" w:rsidRPr="00B75B77" w:rsidRDefault="00A63401" w:rsidP="002F3BF8">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TRC Benefit-Cost Ratio</w:t>
            </w:r>
            <w:r w:rsidRPr="00B75B77">
              <w:rPr>
                <w:rFonts w:ascii="Calibri" w:eastAsia="Times New Roman" w:hAnsi="Calibri"/>
                <w:bCs/>
                <w:color w:val="000000"/>
                <w:sz w:val="18"/>
                <w:szCs w:val="18"/>
                <w:vertAlign w:val="superscript"/>
              </w:rPr>
              <w:t>[5]</w:t>
            </w:r>
          </w:p>
        </w:tc>
        <w:tc>
          <w:tcPr>
            <w:tcW w:w="1170" w:type="dxa"/>
            <w:tcBorders>
              <w:left w:val="none" w:sz="0" w:space="0" w:color="auto"/>
              <w:right w:val="none" w:sz="0" w:space="0" w:color="auto"/>
            </w:tcBorders>
            <w:shd w:val="clear" w:color="auto" w:fill="D2EAF1"/>
            <w:noWrap/>
            <w:hideMark/>
          </w:tcPr>
          <w:p w:rsidR="00A63401" w:rsidRPr="00B75B77" w:rsidRDefault="00A63401" w:rsidP="002F3BF8">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18"/>
                <w:szCs w:val="18"/>
              </w:rPr>
            </w:pPr>
            <w:r w:rsidRPr="00B75B77">
              <w:rPr>
                <w:sz w:val="18"/>
                <w:szCs w:val="18"/>
              </w:rPr>
              <w:t>0.</w:t>
            </w:r>
            <w:r w:rsidR="00F0287E" w:rsidRPr="00B75B77">
              <w:rPr>
                <w:sz w:val="18"/>
                <w:szCs w:val="18"/>
              </w:rPr>
              <w:t>75</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tcBorders>
            <w:shd w:val="clear" w:color="auto" w:fill="D2EAF1"/>
            <w:hideMark/>
          </w:tcPr>
          <w:p w:rsidR="00A63401" w:rsidRPr="00B75B77" w:rsidRDefault="00A63401" w:rsidP="00F0287E">
            <w:pPr>
              <w:keepNext/>
              <w:jc w:val="center"/>
              <w:rPr>
                <w:rFonts w:ascii="Calibri" w:eastAsia="Times New Roman" w:hAnsi="Calibri"/>
                <w:b/>
                <w:bCs/>
                <w:color w:val="000000"/>
                <w:sz w:val="18"/>
                <w:szCs w:val="18"/>
              </w:rPr>
            </w:pPr>
            <w:r w:rsidRPr="00B75B77">
              <w:rPr>
                <w:sz w:val="18"/>
                <w:szCs w:val="18"/>
              </w:rPr>
              <w:t>0.7</w:t>
            </w:r>
            <w:r w:rsidR="00F0287E" w:rsidRPr="00B75B77">
              <w:rPr>
                <w:sz w:val="18"/>
                <w:szCs w:val="18"/>
              </w:rPr>
              <w:t>0</w:t>
            </w:r>
          </w:p>
        </w:tc>
      </w:tr>
      <w:tr w:rsidR="00A63401" w:rsidRPr="00B75B77" w:rsidTr="002D64A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22" w:type="dxa"/>
            <w:gridSpan w:val="4"/>
            <w:shd w:val="clear" w:color="auto" w:fill="auto"/>
          </w:tcPr>
          <w:p w:rsidR="00A63401" w:rsidRPr="00B75B77" w:rsidRDefault="00A63401" w:rsidP="002F3BF8">
            <w:pPr>
              <w:keepNext/>
              <w:jc w:val="left"/>
              <w:rPr>
                <w:rFonts w:ascii="Calibri" w:eastAsia="Times New Roman" w:hAnsi="Calibri"/>
                <w:b w:val="0"/>
                <w:iCs/>
                <w:color w:val="000000"/>
                <w:sz w:val="18"/>
                <w:szCs w:val="18"/>
              </w:rPr>
            </w:pPr>
            <w:r w:rsidRPr="00B75B77">
              <w:rPr>
                <w:rFonts w:ascii="Calibri" w:eastAsia="Times New Roman" w:hAnsi="Calibri"/>
                <w:b w:val="0"/>
                <w:iCs/>
                <w:color w:val="000000"/>
                <w:sz w:val="18"/>
                <w:szCs w:val="18"/>
              </w:rPr>
              <w:t>Per PUC direction, TRC inputs and calculations are required in the Annual Report only and should comply with the 2013 Total Resource Cost Test Order. Please see the “Report Definitions” section of this report for more details.</w:t>
            </w:r>
          </w:p>
          <w:p w:rsidR="00A63401" w:rsidRPr="00B75B77" w:rsidRDefault="00A63401" w:rsidP="002F3BF8">
            <w:pPr>
              <w:keepNext/>
              <w:jc w:val="left"/>
              <w:rPr>
                <w:rFonts w:ascii="Calibri" w:eastAsia="Times New Roman" w:hAnsi="Calibri"/>
                <w:b w:val="0"/>
                <w:i/>
                <w:iCs/>
                <w:color w:val="000000"/>
                <w:sz w:val="18"/>
                <w:szCs w:val="18"/>
              </w:rPr>
            </w:pPr>
          </w:p>
          <w:p w:rsidR="00A63401" w:rsidRPr="00B75B77" w:rsidRDefault="00A63401" w:rsidP="002F3BF8">
            <w:pPr>
              <w:keepNext/>
              <w:jc w:val="left"/>
              <w:rPr>
                <w:rFonts w:ascii="Calibri" w:eastAsia="Times New Roman" w:hAnsi="Calibri"/>
                <w:b w:val="0"/>
                <w:color w:val="000000"/>
                <w:sz w:val="18"/>
                <w:szCs w:val="18"/>
              </w:rPr>
            </w:pPr>
            <w:r w:rsidRPr="00B75B77">
              <w:rPr>
                <w:rFonts w:ascii="Calibri" w:eastAsia="Times New Roman" w:hAnsi="Calibri"/>
                <w:b w:val="0"/>
                <w:color w:val="000000"/>
                <w:sz w:val="18"/>
                <w:szCs w:val="18"/>
              </w:rPr>
              <w:t>[1] Includes rebate processing, tracking system, general administration, EDC and CSP program management, general management</w:t>
            </w:r>
            <w:r w:rsidR="00E772AB" w:rsidRPr="00B75B77">
              <w:rPr>
                <w:rFonts w:ascii="Calibri" w:eastAsia="Times New Roman" w:hAnsi="Calibri"/>
                <w:b w:val="0"/>
                <w:color w:val="000000"/>
                <w:sz w:val="18"/>
                <w:szCs w:val="18"/>
              </w:rPr>
              <w:t>,</w:t>
            </w:r>
            <w:r w:rsidRPr="00B75B77">
              <w:rPr>
                <w:rFonts w:ascii="Calibri" w:eastAsia="Times New Roman" w:hAnsi="Calibri"/>
                <w:b w:val="0"/>
                <w:color w:val="000000"/>
                <w:sz w:val="18"/>
                <w:szCs w:val="18"/>
              </w:rPr>
              <w:t xml:space="preserve"> and legal and technical assistance. </w:t>
            </w:r>
            <w:r w:rsidRPr="00B75B77">
              <w:rPr>
                <w:rFonts w:ascii="Calibri" w:eastAsia="Times New Roman" w:hAnsi="Calibri"/>
                <w:b w:val="0"/>
                <w:color w:val="000000"/>
                <w:sz w:val="18"/>
                <w:szCs w:val="18"/>
              </w:rPr>
              <w:br/>
              <w:t xml:space="preserve">[2] Includes the marketing CSP and marketing costs by program CSPs. </w:t>
            </w:r>
            <w:r w:rsidRPr="00B75B77">
              <w:rPr>
                <w:rFonts w:ascii="Calibri" w:eastAsia="Times New Roman" w:hAnsi="Calibri"/>
                <w:b w:val="0"/>
                <w:color w:val="000000"/>
                <w:sz w:val="18"/>
                <w:szCs w:val="18"/>
              </w:rPr>
              <w:br/>
              <w:t>[3] Total TRC Costs includes Total EDC Costs and Participant Costs.</w:t>
            </w:r>
            <w:r w:rsidRPr="00B75B77">
              <w:rPr>
                <w:rFonts w:ascii="Calibri" w:eastAsia="Times New Roman" w:hAnsi="Calibri"/>
                <w:b w:val="0"/>
                <w:color w:val="000000"/>
                <w:sz w:val="18"/>
                <w:szCs w:val="18"/>
              </w:rPr>
              <w:br/>
              <w:t>[4] Total TRC Benefits equals the sum of Total Lifetime Energy Benefits and Total Lifetime Capacity Benefits</w:t>
            </w:r>
            <w:r w:rsidR="00E772AB" w:rsidRPr="00B75B77">
              <w:rPr>
                <w:rFonts w:ascii="Calibri" w:eastAsia="Times New Roman" w:hAnsi="Calibri"/>
                <w:b w:val="0"/>
                <w:color w:val="000000"/>
                <w:sz w:val="18"/>
                <w:szCs w:val="18"/>
              </w:rPr>
              <w:t xml:space="preserve"> b</w:t>
            </w:r>
            <w:r w:rsidRPr="00B75B77">
              <w:rPr>
                <w:rFonts w:ascii="Calibri" w:eastAsia="Times New Roman" w:hAnsi="Calibri"/>
                <w:b w:val="0"/>
                <w:color w:val="000000"/>
                <w:sz w:val="18"/>
                <w:szCs w:val="18"/>
              </w:rPr>
              <w:t>ased upon verified gross kWh and kW savings. Benefits include avoided supply costs, including the reduction in costs of electric energy, generation, transmission, and distribution capacity, and natural gas valued at marginal cost for periods when there is a load reduction. NOTE: Savings carried over from Phase I are not to be included as a part of Total TRC Benefits for Phase II.</w:t>
            </w:r>
            <w:r w:rsidRPr="00B75B77">
              <w:rPr>
                <w:rFonts w:ascii="Calibri" w:eastAsia="Times New Roman" w:hAnsi="Calibri"/>
                <w:b w:val="0"/>
                <w:color w:val="000000"/>
                <w:sz w:val="18"/>
                <w:szCs w:val="18"/>
              </w:rPr>
              <w:br/>
              <w:t>[5] TRC Ratio equals Total NPV TRC Benefits divided by Total NPV TRC Costs.</w:t>
            </w:r>
          </w:p>
          <w:p w:rsidR="00A63401" w:rsidRPr="00B75B77" w:rsidRDefault="00A63401" w:rsidP="002F3BF8">
            <w:pPr>
              <w:keepNext/>
              <w:jc w:val="left"/>
              <w:rPr>
                <w:rFonts w:ascii="Calibri" w:eastAsia="Times New Roman" w:hAnsi="Calibri"/>
                <w:b w:val="0"/>
                <w:color w:val="000000"/>
                <w:sz w:val="14"/>
                <w:szCs w:val="14"/>
              </w:rPr>
            </w:pPr>
          </w:p>
          <w:p w:rsidR="00A63401" w:rsidRPr="00B75B77" w:rsidRDefault="00A63401" w:rsidP="002F3BF8">
            <w:pPr>
              <w:keepNext/>
              <w:jc w:val="left"/>
              <w:rPr>
                <w:rFonts w:ascii="Calibri" w:eastAsia="Times New Roman" w:hAnsi="Calibri"/>
                <w:b w:val="0"/>
                <w:bCs w:val="0"/>
                <w:i/>
                <w:color w:val="000000"/>
                <w:sz w:val="20"/>
                <w:szCs w:val="20"/>
              </w:rPr>
            </w:pPr>
            <w:r w:rsidRPr="00B75B77">
              <w:rPr>
                <w:rFonts w:ascii="Calibri" w:hAnsi="Calibri"/>
                <w:b w:val="0"/>
                <w:color w:val="000000"/>
                <w:sz w:val="18"/>
                <w:szCs w:val="18"/>
              </w:rPr>
              <w:t xml:space="preserve">Values in tables may not reconcile exactly with </w:t>
            </w:r>
            <w:r w:rsidR="00E772AB" w:rsidRPr="00B75B77">
              <w:rPr>
                <w:rFonts w:ascii="Calibri" w:hAnsi="Calibri"/>
                <w:b w:val="0"/>
                <w:color w:val="000000"/>
                <w:sz w:val="18"/>
                <w:szCs w:val="18"/>
              </w:rPr>
              <w:t xml:space="preserve">the </w:t>
            </w:r>
            <w:r w:rsidRPr="00B75B77">
              <w:rPr>
                <w:rFonts w:ascii="Calibri" w:hAnsi="Calibri"/>
                <w:b w:val="0"/>
                <w:color w:val="000000"/>
                <w:sz w:val="18"/>
                <w:szCs w:val="18"/>
              </w:rPr>
              <w:t>sum of more detailed level results or previously reported results due to rounding.</w:t>
            </w:r>
          </w:p>
        </w:tc>
      </w:tr>
    </w:tbl>
    <w:p w:rsidR="00E772AB" w:rsidRPr="00B75B77" w:rsidRDefault="00A63401" w:rsidP="002F3BF8">
      <w:pPr>
        <w:pStyle w:val="Source"/>
        <w:keepNext/>
        <w:ind w:left="273" w:hanging="86"/>
        <w:sectPr w:rsidR="00E772AB" w:rsidRPr="00B75B77" w:rsidSect="00B5438D">
          <w:pgSz w:w="12240" w:h="15840" w:code="1"/>
          <w:pgMar w:top="1170" w:right="1440" w:bottom="1260" w:left="1440" w:header="576" w:footer="475" w:gutter="0"/>
          <w:cols w:space="720"/>
          <w:docGrid w:linePitch="360"/>
        </w:sectPr>
      </w:pPr>
      <w:r w:rsidRPr="00B75B77">
        <w:t>Source: Navigant analysis</w:t>
      </w:r>
    </w:p>
    <w:p w:rsidR="008564A6" w:rsidRPr="00B75B77" w:rsidRDefault="008564A6" w:rsidP="008564A6">
      <w:pPr>
        <w:pStyle w:val="Heading1"/>
      </w:pPr>
      <w:bookmarkStart w:id="958" w:name="_Toc466413464"/>
      <w:r w:rsidRPr="00B75B77">
        <w:lastRenderedPageBreak/>
        <w:t>Smart Business Solutions</w:t>
      </w:r>
      <w:bookmarkEnd w:id="958"/>
    </w:p>
    <w:p w:rsidR="008564A6" w:rsidRPr="00B75B77" w:rsidRDefault="008564A6" w:rsidP="00E163F4">
      <w:r w:rsidRPr="00B75B77">
        <w:t xml:space="preserve">The PECO Smart Business Solutions (SBS) program is designed </w:t>
      </w:r>
      <w:r w:rsidR="00E3061C" w:rsidRPr="00B75B77">
        <w:t xml:space="preserve">to help small business owners in overcoming the barriers to achieving energy efficiency such as time constraints, capital constraints, lack of efficiency awareness, and lack of labor resources. The program addresses these barriers by proactively identifying and evaluating potential savings from energy savings opportunities, providing incentives that are generally higher than similar measures installed through prescriptive and custom programs, and by providing turnkey installation services. </w:t>
      </w:r>
      <w:r w:rsidRPr="00B75B77">
        <w:t xml:space="preserve">SBS is a DI program </w:t>
      </w:r>
      <w:r w:rsidR="008E4699" w:rsidRPr="00B75B77">
        <w:t xml:space="preserve">that </w:t>
      </w:r>
      <w:r w:rsidRPr="00B75B77">
        <w:t>provid</w:t>
      </w:r>
      <w:r w:rsidR="008E4699" w:rsidRPr="00B75B77">
        <w:t>es</w:t>
      </w:r>
      <w:r w:rsidRPr="00B75B77">
        <w:t xml:space="preserve"> deeply discounted installations of lighting, electric water heating, and refrigeration efficiency measures. </w:t>
      </w:r>
    </w:p>
    <w:p w:rsidR="008564A6" w:rsidRPr="00B75B77" w:rsidRDefault="008564A6" w:rsidP="00E163F4"/>
    <w:p w:rsidR="008564A6" w:rsidRPr="00B75B77" w:rsidRDefault="008564A6" w:rsidP="00E163F4">
      <w:r w:rsidRPr="00B75B77">
        <w:t xml:space="preserve">PECO hired a CSP, </w:t>
      </w:r>
      <w:proofErr w:type="spellStart"/>
      <w:r w:rsidRPr="00B75B77">
        <w:t>SmartWatt</w:t>
      </w:r>
      <w:proofErr w:type="spellEnd"/>
      <w:r w:rsidRPr="00B75B77">
        <w:t>, to implement and market the program throughout PECO</w:t>
      </w:r>
      <w:r w:rsidR="008E4699" w:rsidRPr="00B75B77">
        <w:t>’s</w:t>
      </w:r>
      <w:r w:rsidRPr="00B75B77">
        <w:t xml:space="preserve"> service territory. </w:t>
      </w:r>
      <w:proofErr w:type="spellStart"/>
      <w:r w:rsidRPr="00B75B77">
        <w:rPr>
          <w:szCs w:val="20"/>
        </w:rPr>
        <w:t>SmartWatt</w:t>
      </w:r>
      <w:proofErr w:type="spellEnd"/>
      <w:r w:rsidRPr="00B75B77">
        <w:rPr>
          <w:szCs w:val="20"/>
        </w:rPr>
        <w:t xml:space="preserve"> was responsible for h</w:t>
      </w:r>
      <w:r w:rsidRPr="00B75B77">
        <w:t xml:space="preserve">iring and training the </w:t>
      </w:r>
      <w:r w:rsidR="008E4699" w:rsidRPr="00B75B77">
        <w:t>s</w:t>
      </w:r>
      <w:r w:rsidRPr="00B75B77">
        <w:t xml:space="preserve">ales </w:t>
      </w:r>
      <w:r w:rsidR="008E4699" w:rsidRPr="00B75B77">
        <w:t>a</w:t>
      </w:r>
      <w:r w:rsidRPr="00B75B77">
        <w:t xml:space="preserve">uditors performing the onsite energy assessments and audits, employing the customer service staff responding to program inquiries, and maintaining a list of program-approved contractors. </w:t>
      </w:r>
      <w:proofErr w:type="spellStart"/>
      <w:r w:rsidRPr="00B75B77">
        <w:t>SmartWatt</w:t>
      </w:r>
      <w:proofErr w:type="spellEnd"/>
      <w:r w:rsidRPr="00B75B77">
        <w:t xml:space="preserve"> also managed the program</w:t>
      </w:r>
      <w:r w:rsidR="008E4699" w:rsidRPr="00B75B77">
        <w:t>’s</w:t>
      </w:r>
      <w:r w:rsidRPr="00B75B77">
        <w:t xml:space="preserve"> marketing, contractor invoicing, and provided biweekly program participation data that feeds into PECO’s SIDS program tracking database.</w:t>
      </w:r>
      <w:r w:rsidRPr="00B75B77" w:rsidDel="008F424C">
        <w:t xml:space="preserve"> </w:t>
      </w:r>
    </w:p>
    <w:p w:rsidR="008564A6" w:rsidRPr="00B75B77" w:rsidRDefault="008564A6" w:rsidP="00286B52">
      <w:pPr>
        <w:rPr>
          <w:color w:val="FF0000"/>
        </w:rPr>
      </w:pPr>
    </w:p>
    <w:p w:rsidR="008564A6" w:rsidRPr="00B75B77" w:rsidRDefault="008564A6" w:rsidP="003E6A9B">
      <w:pPr>
        <w:pStyle w:val="Heading2"/>
      </w:pPr>
      <w:bookmarkStart w:id="959" w:name="_Toc466413465"/>
      <w:r w:rsidRPr="00B75B77">
        <w:t>Program Updates</w:t>
      </w:r>
      <w:bookmarkEnd w:id="959"/>
    </w:p>
    <w:p w:rsidR="008564A6" w:rsidRPr="00B75B77" w:rsidRDefault="008564A6" w:rsidP="00E163F4">
      <w:r w:rsidRPr="00B75B77">
        <w:t>In its third year of operation</w:t>
      </w:r>
      <w:r w:rsidR="008E4699" w:rsidRPr="00B75B77">
        <w:t>—</w:t>
      </w:r>
      <w:r w:rsidRPr="00B75B77">
        <w:t>PY7</w:t>
      </w:r>
      <w:r w:rsidR="008E4699" w:rsidRPr="00B75B77">
        <w:t>—</w:t>
      </w:r>
      <w:r w:rsidRPr="00B75B77">
        <w:t>the SBS program focused primarily on lighting measures but also installed a variety of refrigeration technologies such as electrically commutated fan motors, anti-sweat heat controls, and night covers</w:t>
      </w:r>
      <w:r w:rsidR="00055913" w:rsidRPr="00B75B77">
        <w:t>, a newly added measure</w:t>
      </w:r>
      <w:r w:rsidRPr="00B75B77">
        <w:t>. Lighting dominated the savings for PY7</w:t>
      </w:r>
      <w:r w:rsidR="00055913" w:rsidRPr="00B75B77">
        <w:t>,</w:t>
      </w:r>
      <w:r w:rsidRPr="00B75B77">
        <w:t xml:space="preserve"> accounting for over 97</w:t>
      </w:r>
      <w:r w:rsidR="00BB0374" w:rsidRPr="00B75B77">
        <w:t>%</w:t>
      </w:r>
      <w:r w:rsidRPr="00B75B77">
        <w:t xml:space="preserve"> of the gross program savings. </w:t>
      </w:r>
      <w:r w:rsidR="00BB0374" w:rsidRPr="00B75B77">
        <w:t>O</w:t>
      </w:r>
      <w:r w:rsidRPr="00B75B77">
        <w:t>f the savings from lighting</w:t>
      </w:r>
      <w:r w:rsidR="00BB0374" w:rsidRPr="00B75B77">
        <w:t>, 67%</w:t>
      </w:r>
      <w:r w:rsidRPr="00B75B77">
        <w:t xml:space="preserve"> came from linear fluorescent upgrades</w:t>
      </w:r>
      <w:r w:rsidR="00055913" w:rsidRPr="00B75B77">
        <w:t>—</w:t>
      </w:r>
      <w:r w:rsidRPr="00B75B77">
        <w:t xml:space="preserve">replacing T12 lamps and fixtures with T8s and T5s. </w:t>
      </w:r>
    </w:p>
    <w:p w:rsidR="008564A6" w:rsidRPr="00B75B77" w:rsidRDefault="008564A6" w:rsidP="00E163F4"/>
    <w:p w:rsidR="008564A6" w:rsidRPr="00B75B77" w:rsidRDefault="008564A6" w:rsidP="00E163F4">
      <w:r w:rsidRPr="00B75B77">
        <w:t xml:space="preserve">PECO scaled back program activity considerably in PY7 </w:t>
      </w:r>
      <w:r w:rsidR="00055913" w:rsidRPr="00B75B77">
        <w:t>due to</w:t>
      </w:r>
      <w:r w:rsidRPr="00B75B77">
        <w:t xml:space="preserve"> cost overruns in PY6.</w:t>
      </w:r>
      <w:r w:rsidRPr="00B75B77">
        <w:rPr>
          <w:rStyle w:val="FootnoteReference"/>
        </w:rPr>
        <w:footnoteReference w:id="54"/>
      </w:r>
      <w:r w:rsidRPr="00B75B77">
        <w:t xml:space="preserve"> The gross program savings in PY7 only amounted to approximately 4,971 MWh, as compared to 13,413 MWh in PY6. Program spending also dropped from $2.6 million in PY6 down to just under $1 million in PY7.</w:t>
      </w:r>
    </w:p>
    <w:p w:rsidR="008564A6" w:rsidRPr="00B75B77" w:rsidRDefault="008564A6" w:rsidP="00286B52"/>
    <w:p w:rsidR="008564A6" w:rsidRPr="00B75B77" w:rsidRDefault="008564A6" w:rsidP="0045485C">
      <w:pPr>
        <w:pStyle w:val="Heading3"/>
      </w:pPr>
      <w:bookmarkStart w:id="960" w:name="_Toc466413466"/>
      <w:r w:rsidRPr="00B75B77">
        <w:t>Definition of Participant</w:t>
      </w:r>
      <w:bookmarkEnd w:id="960"/>
    </w:p>
    <w:p w:rsidR="008564A6" w:rsidRPr="00B75B77" w:rsidRDefault="008564A6" w:rsidP="00E163F4">
      <w:pPr>
        <w:jc w:val="left"/>
      </w:pPr>
      <w:r w:rsidRPr="00B75B77">
        <w:t xml:space="preserve">PECO defines participation in the SBS program as one project at one facility. A project can contain multiple installations of one type of technology (e.g., </w:t>
      </w:r>
      <w:r w:rsidR="00194F07" w:rsidRPr="00B75B77">
        <w:t>multiple</w:t>
      </w:r>
      <w:r w:rsidRPr="00B75B77">
        <w:t xml:space="preserve"> lighting fixtures) but does not include various technologies installed </w:t>
      </w:r>
      <w:r w:rsidR="00055913" w:rsidRPr="00B75B77">
        <w:t xml:space="preserve">in </w:t>
      </w:r>
      <w:r w:rsidRPr="00B75B77">
        <w:t>that facility (e.g., lighting and refrigeration would each be different projects).</w:t>
      </w:r>
    </w:p>
    <w:p w:rsidR="008564A6" w:rsidRPr="00B75B77" w:rsidRDefault="008564A6" w:rsidP="00286B52"/>
    <w:p w:rsidR="008564A6" w:rsidRPr="00B75B77" w:rsidRDefault="008564A6" w:rsidP="00502659">
      <w:pPr>
        <w:pStyle w:val="Heading2"/>
      </w:pPr>
      <w:bookmarkStart w:id="961" w:name="_Toc466413467"/>
      <w:r w:rsidRPr="00B75B77">
        <w:t>Impact Evaluation Gross Savings</w:t>
      </w:r>
      <w:bookmarkEnd w:id="961"/>
      <w:r w:rsidRPr="00B75B77">
        <w:t xml:space="preserve"> </w:t>
      </w:r>
    </w:p>
    <w:p w:rsidR="008564A6" w:rsidRPr="00B75B77" w:rsidRDefault="00055913" w:rsidP="00502659">
      <w:r w:rsidRPr="00B75B77">
        <w:fldChar w:fldCharType="begin"/>
      </w:r>
      <w:r w:rsidRPr="00B75B77">
        <w:instrText xml:space="preserve"> REF _Ref464199376 \h </w:instrText>
      </w:r>
      <w:r w:rsidR="00B75B77">
        <w:instrText xml:space="preserve"> \* MERGEFORMAT </w:instrText>
      </w:r>
      <w:r w:rsidRPr="00B75B77">
        <w:fldChar w:fldCharType="separate"/>
      </w:r>
      <w:r w:rsidR="0004016D" w:rsidRPr="00B75B77">
        <w:t xml:space="preserve">Table </w:t>
      </w:r>
      <w:r w:rsidR="0004016D">
        <w:rPr>
          <w:noProof/>
        </w:rPr>
        <w:t>16</w:t>
      </w:r>
      <w:r w:rsidR="0004016D" w:rsidRPr="00B75B77">
        <w:rPr>
          <w:noProof/>
        </w:rPr>
        <w:noBreakHyphen/>
      </w:r>
      <w:r w:rsidR="0004016D">
        <w:rPr>
          <w:noProof/>
        </w:rPr>
        <w:t>1</w:t>
      </w:r>
      <w:r w:rsidRPr="00B75B77">
        <w:fldChar w:fldCharType="end"/>
      </w:r>
      <w:r w:rsidRPr="00B75B77">
        <w:t xml:space="preserve"> </w:t>
      </w:r>
      <w:r w:rsidR="008564A6" w:rsidRPr="00B75B77">
        <w:t>presents the gross reported energy and demand savings for the SBS program distributed across the impacted customer sectors. As the table demonstrates, approximately 97</w:t>
      </w:r>
      <w:r w:rsidR="00BB0374" w:rsidRPr="00B75B77">
        <w:t>%</w:t>
      </w:r>
      <w:r w:rsidR="008564A6" w:rsidRPr="00B75B77">
        <w:t xml:space="preserve"> of reported program activity in Phase II has been in the C&amp;I sector, with the remainder in the GNI sector. The total verified savings for Phase II were 29,004 MWh and verified gross demand savings were 7.6 MW. </w:t>
      </w:r>
    </w:p>
    <w:p w:rsidR="008564A6" w:rsidRPr="00B75B77" w:rsidRDefault="008564A6" w:rsidP="00502659"/>
    <w:p w:rsidR="008564A6" w:rsidRPr="00B75B77" w:rsidRDefault="008564A6" w:rsidP="00502659">
      <w:pPr>
        <w:pStyle w:val="Caption"/>
      </w:pPr>
      <w:bookmarkStart w:id="962" w:name="_Ref464199376"/>
      <w:bookmarkStart w:id="963" w:name="_Ref463259871"/>
      <w:bookmarkStart w:id="964" w:name="_Toc466413647"/>
      <w:r w:rsidRPr="00B75B77">
        <w:lastRenderedPageBreak/>
        <w:t xml:space="preserve">Table </w:t>
      </w:r>
      <w:fldSimple w:instr=" STYLEREF 1 \s ">
        <w:r w:rsidR="0004016D">
          <w:rPr>
            <w:noProof/>
          </w:rPr>
          <w:t>16</w:t>
        </w:r>
      </w:fldSimple>
      <w:r w:rsidR="00F1144C" w:rsidRPr="00B75B77">
        <w:noBreakHyphen/>
      </w:r>
      <w:fldSimple w:instr=" SEQ Table \* ARABIC \s 1 ">
        <w:r w:rsidR="0004016D">
          <w:rPr>
            <w:noProof/>
          </w:rPr>
          <w:t>1</w:t>
        </w:r>
      </w:fldSimple>
      <w:bookmarkEnd w:id="962"/>
      <w:bookmarkEnd w:id="963"/>
      <w:r w:rsidRPr="00B75B77">
        <w:t>: Phase II Smart Business Solutions Reported Results by Customer Sector</w:t>
      </w:r>
      <w:bookmarkEnd w:id="964"/>
    </w:p>
    <w:tbl>
      <w:tblPr>
        <w:tblW w:w="9355" w:type="dxa"/>
        <w:tblLook w:val="04A0" w:firstRow="1" w:lastRow="0" w:firstColumn="1" w:lastColumn="0" w:noHBand="0" w:noVBand="1"/>
      </w:tblPr>
      <w:tblGrid>
        <w:gridCol w:w="1615"/>
        <w:gridCol w:w="1108"/>
        <w:gridCol w:w="1412"/>
        <w:gridCol w:w="1620"/>
        <w:gridCol w:w="1260"/>
        <w:gridCol w:w="1350"/>
        <w:gridCol w:w="990"/>
      </w:tblGrid>
      <w:tr w:rsidR="008564A6" w:rsidRPr="00B75B77" w:rsidTr="00E163F4">
        <w:trPr>
          <w:trHeight w:val="648"/>
        </w:trPr>
        <w:tc>
          <w:tcPr>
            <w:tcW w:w="1615" w:type="dxa"/>
            <w:tcBorders>
              <w:top w:val="single" w:sz="4" w:space="0" w:color="auto"/>
              <w:left w:val="single" w:sz="4" w:space="0" w:color="auto"/>
              <w:bottom w:val="single" w:sz="4" w:space="0" w:color="auto"/>
              <w:right w:val="single" w:sz="4" w:space="0" w:color="auto"/>
            </w:tcBorders>
            <w:shd w:val="clear" w:color="000000" w:fill="448A99"/>
            <w:vAlign w:val="center"/>
            <w:hideMark/>
          </w:tcPr>
          <w:p w:rsidR="008564A6" w:rsidRPr="00B75B77" w:rsidRDefault="008564A6" w:rsidP="00502659">
            <w:pPr>
              <w:keepNext/>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Customer Sector </w:t>
            </w:r>
            <w:r w:rsidRPr="00B75B77">
              <w:rPr>
                <w:rFonts w:ascii="Calibri" w:eastAsia="Times New Roman" w:hAnsi="Calibri"/>
                <w:b/>
                <w:bCs/>
                <w:color w:val="FFFFFF"/>
                <w:sz w:val="18"/>
                <w:szCs w:val="18"/>
                <w:vertAlign w:val="superscript"/>
              </w:rPr>
              <w:t>[1]</w:t>
            </w:r>
          </w:p>
        </w:tc>
        <w:tc>
          <w:tcPr>
            <w:tcW w:w="1108" w:type="dxa"/>
            <w:tcBorders>
              <w:top w:val="single" w:sz="4" w:space="0" w:color="auto"/>
              <w:left w:val="nil"/>
              <w:bottom w:val="single" w:sz="4" w:space="0" w:color="auto"/>
              <w:right w:val="single" w:sz="4" w:space="0" w:color="auto"/>
            </w:tcBorders>
            <w:shd w:val="clear" w:color="000000" w:fill="448A99"/>
            <w:vAlign w:val="center"/>
            <w:hideMark/>
          </w:tcPr>
          <w:p w:rsidR="008564A6" w:rsidRPr="00B75B77" w:rsidRDefault="008564A6" w:rsidP="00502659">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Participants</w:t>
            </w:r>
          </w:p>
        </w:tc>
        <w:tc>
          <w:tcPr>
            <w:tcW w:w="1412" w:type="dxa"/>
            <w:tcBorders>
              <w:top w:val="single" w:sz="4" w:space="0" w:color="auto"/>
              <w:left w:val="nil"/>
              <w:bottom w:val="single" w:sz="4" w:space="0" w:color="auto"/>
              <w:right w:val="single" w:sz="4" w:space="0" w:color="auto"/>
            </w:tcBorders>
            <w:shd w:val="clear" w:color="000000" w:fill="448A99"/>
            <w:vAlign w:val="center"/>
            <w:hideMark/>
          </w:tcPr>
          <w:p w:rsidR="008564A6" w:rsidRPr="00B75B77" w:rsidRDefault="008564A6" w:rsidP="00502659">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Reported Gross Energy Savings (MWh)</w:t>
            </w:r>
          </w:p>
        </w:tc>
        <w:tc>
          <w:tcPr>
            <w:tcW w:w="1620" w:type="dxa"/>
            <w:tcBorders>
              <w:top w:val="single" w:sz="4" w:space="0" w:color="auto"/>
              <w:left w:val="nil"/>
              <w:bottom w:val="single" w:sz="4" w:space="0" w:color="auto"/>
              <w:right w:val="single" w:sz="4" w:space="0" w:color="auto"/>
            </w:tcBorders>
            <w:shd w:val="clear" w:color="000000" w:fill="448A99"/>
            <w:vAlign w:val="center"/>
            <w:hideMark/>
          </w:tcPr>
          <w:p w:rsidR="008564A6" w:rsidRPr="00B75B77" w:rsidRDefault="008564A6" w:rsidP="00502659">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Reported Gross Demand Reduction (MW)</w:t>
            </w:r>
            <w:r w:rsidRPr="00B75B77">
              <w:rPr>
                <w:rFonts w:ascii="Calibri" w:eastAsia="Times New Roman" w:hAnsi="Calibri"/>
                <w:b/>
                <w:bCs/>
                <w:color w:val="FFFFFF"/>
                <w:sz w:val="18"/>
                <w:szCs w:val="18"/>
                <w:vertAlign w:val="superscript"/>
              </w:rPr>
              <w:t xml:space="preserve"> [2]</w:t>
            </w:r>
          </w:p>
        </w:tc>
        <w:tc>
          <w:tcPr>
            <w:tcW w:w="1260" w:type="dxa"/>
            <w:tcBorders>
              <w:top w:val="single" w:sz="4" w:space="0" w:color="auto"/>
              <w:left w:val="nil"/>
              <w:bottom w:val="single" w:sz="4" w:space="0" w:color="auto"/>
              <w:right w:val="single" w:sz="4" w:space="0" w:color="auto"/>
            </w:tcBorders>
            <w:shd w:val="clear" w:color="000000" w:fill="448A99"/>
            <w:vAlign w:val="center"/>
            <w:hideMark/>
          </w:tcPr>
          <w:p w:rsidR="008564A6" w:rsidRPr="00B75B77" w:rsidRDefault="008564A6" w:rsidP="00502659">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Verified Gross Energy Savings (MWh)</w:t>
            </w:r>
          </w:p>
        </w:tc>
        <w:tc>
          <w:tcPr>
            <w:tcW w:w="1350" w:type="dxa"/>
            <w:tcBorders>
              <w:top w:val="single" w:sz="4" w:space="0" w:color="auto"/>
              <w:left w:val="nil"/>
              <w:bottom w:val="single" w:sz="4" w:space="0" w:color="auto"/>
              <w:right w:val="single" w:sz="4" w:space="0" w:color="auto"/>
            </w:tcBorders>
            <w:shd w:val="clear" w:color="000000" w:fill="448A99"/>
            <w:vAlign w:val="center"/>
            <w:hideMark/>
          </w:tcPr>
          <w:p w:rsidR="008564A6" w:rsidRPr="00B75B77" w:rsidRDefault="008564A6" w:rsidP="00502659">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Verified Gross Demand Reduction (MW)</w:t>
            </w:r>
          </w:p>
        </w:tc>
        <w:tc>
          <w:tcPr>
            <w:tcW w:w="990" w:type="dxa"/>
            <w:tcBorders>
              <w:top w:val="single" w:sz="4" w:space="0" w:color="auto"/>
              <w:left w:val="nil"/>
              <w:bottom w:val="single" w:sz="4" w:space="0" w:color="auto"/>
              <w:right w:val="single" w:sz="4" w:space="0" w:color="auto"/>
            </w:tcBorders>
            <w:shd w:val="clear" w:color="000000" w:fill="448A99"/>
            <w:vAlign w:val="center"/>
            <w:hideMark/>
          </w:tcPr>
          <w:p w:rsidR="008564A6" w:rsidRPr="00B75B77" w:rsidRDefault="008564A6" w:rsidP="00502659">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Incentives Paid</w:t>
            </w:r>
            <w:r w:rsidRPr="00B75B77">
              <w:rPr>
                <w:rFonts w:ascii="Calibri" w:eastAsia="Times New Roman" w:hAnsi="Calibri"/>
                <w:b/>
                <w:bCs/>
                <w:color w:val="FFFFFF"/>
                <w:sz w:val="18"/>
                <w:szCs w:val="18"/>
                <w:vertAlign w:val="superscript"/>
              </w:rPr>
              <w:t>[3]</w:t>
            </w:r>
            <w:r w:rsidRPr="00B75B77">
              <w:rPr>
                <w:rFonts w:ascii="Calibri" w:eastAsia="Times New Roman" w:hAnsi="Calibri"/>
                <w:b/>
                <w:bCs/>
                <w:color w:val="FFFFFF"/>
                <w:sz w:val="18"/>
                <w:szCs w:val="18"/>
              </w:rPr>
              <w:br/>
              <w:t>($1,000)</w:t>
            </w:r>
          </w:p>
        </w:tc>
      </w:tr>
      <w:tr w:rsidR="00442C8B" w:rsidRPr="00B75B77" w:rsidTr="00E163F4">
        <w:trPr>
          <w:trHeight w:val="372"/>
        </w:trPr>
        <w:tc>
          <w:tcPr>
            <w:tcW w:w="1615" w:type="dxa"/>
            <w:tcBorders>
              <w:top w:val="nil"/>
              <w:left w:val="single" w:sz="4" w:space="0" w:color="448A99"/>
              <w:bottom w:val="single" w:sz="4" w:space="0" w:color="448A99"/>
              <w:right w:val="single" w:sz="4" w:space="0" w:color="448A99"/>
            </w:tcBorders>
            <w:shd w:val="clear" w:color="000000" w:fill="D2EAF1"/>
            <w:vAlign w:val="center"/>
            <w:hideMark/>
          </w:tcPr>
          <w:p w:rsidR="00442C8B" w:rsidRPr="00B75B77" w:rsidRDefault="00442C8B" w:rsidP="00502659">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Residential (Non-Low-Income)</w:t>
            </w:r>
          </w:p>
        </w:tc>
        <w:tc>
          <w:tcPr>
            <w:tcW w:w="1108"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412"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620" w:type="dxa"/>
            <w:tcBorders>
              <w:top w:val="nil"/>
              <w:left w:val="nil"/>
              <w:bottom w:val="single" w:sz="4" w:space="0" w:color="448A99"/>
              <w:right w:val="single" w:sz="4" w:space="0" w:color="448A99"/>
            </w:tcBorders>
            <w:shd w:val="clear" w:color="000000" w:fill="D2EAF1"/>
            <w:vAlign w:val="center"/>
            <w:hideMark/>
          </w:tcPr>
          <w:p w:rsidR="00442C8B" w:rsidRPr="00B75B77" w:rsidRDefault="008564A6"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r w:rsidR="00442C8B" w:rsidRPr="00B75B77">
              <w:rPr>
                <w:rFonts w:ascii="Calibri" w:eastAsia="Times New Roman" w:hAnsi="Calibri"/>
                <w:color w:val="000000"/>
                <w:sz w:val="18"/>
                <w:szCs w:val="18"/>
              </w:rPr>
              <w:t>.0</w:t>
            </w:r>
          </w:p>
        </w:tc>
        <w:tc>
          <w:tcPr>
            <w:tcW w:w="1260"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50"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990" w:type="dxa"/>
            <w:tcBorders>
              <w:top w:val="nil"/>
              <w:left w:val="nil"/>
              <w:bottom w:val="single" w:sz="4" w:space="0" w:color="448A99"/>
              <w:right w:val="single" w:sz="4" w:space="0" w:color="448A99"/>
            </w:tcBorders>
            <w:shd w:val="clear" w:color="000000" w:fill="D2EAF1"/>
            <w:vAlign w:val="center"/>
            <w:hideMark/>
          </w:tcPr>
          <w:p w:rsidR="00442C8B" w:rsidRPr="00B75B77" w:rsidRDefault="00442C8B"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442C8B" w:rsidRPr="00B75B77" w:rsidTr="00E163F4">
        <w:trPr>
          <w:trHeight w:val="372"/>
        </w:trPr>
        <w:tc>
          <w:tcPr>
            <w:tcW w:w="1615" w:type="dxa"/>
            <w:tcBorders>
              <w:top w:val="nil"/>
              <w:left w:val="single" w:sz="4" w:space="0" w:color="448A99"/>
              <w:bottom w:val="single" w:sz="4" w:space="0" w:color="448A99"/>
              <w:right w:val="single" w:sz="4" w:space="0" w:color="448A99"/>
            </w:tcBorders>
            <w:shd w:val="clear" w:color="000000" w:fill="FFFFFF"/>
            <w:vAlign w:val="center"/>
            <w:hideMark/>
          </w:tcPr>
          <w:p w:rsidR="00442C8B" w:rsidRPr="00B75B77" w:rsidRDefault="00442C8B" w:rsidP="00502659">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Residential (Low-Income)</w:t>
            </w:r>
          </w:p>
        </w:tc>
        <w:tc>
          <w:tcPr>
            <w:tcW w:w="1108"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412"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620"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1260"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c>
          <w:tcPr>
            <w:tcW w:w="1350"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0.0</w:t>
            </w:r>
          </w:p>
        </w:tc>
        <w:tc>
          <w:tcPr>
            <w:tcW w:w="990" w:type="dxa"/>
            <w:tcBorders>
              <w:top w:val="nil"/>
              <w:left w:val="nil"/>
              <w:bottom w:val="single" w:sz="4" w:space="0" w:color="448A99"/>
              <w:right w:val="single" w:sz="4" w:space="0" w:color="448A99"/>
            </w:tcBorders>
            <w:shd w:val="clear" w:color="000000" w:fill="FFFFFF"/>
            <w:vAlign w:val="center"/>
            <w:hideMark/>
          </w:tcPr>
          <w:p w:rsidR="00442C8B" w:rsidRPr="00B75B77" w:rsidRDefault="00442C8B"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8564A6" w:rsidRPr="00B75B77" w:rsidTr="00E163F4">
        <w:trPr>
          <w:trHeight w:val="372"/>
        </w:trPr>
        <w:tc>
          <w:tcPr>
            <w:tcW w:w="1615" w:type="dxa"/>
            <w:tcBorders>
              <w:top w:val="nil"/>
              <w:left w:val="single" w:sz="4" w:space="0" w:color="448A99"/>
              <w:bottom w:val="single" w:sz="4" w:space="0" w:color="448A99"/>
              <w:right w:val="single" w:sz="4" w:space="0" w:color="448A99"/>
            </w:tcBorders>
            <w:shd w:val="clear" w:color="000000" w:fill="D2EAF1"/>
            <w:vAlign w:val="center"/>
            <w:hideMark/>
          </w:tcPr>
          <w:p w:rsidR="008564A6" w:rsidRPr="00B75B77" w:rsidRDefault="008564A6" w:rsidP="00502659">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Small C</w:t>
            </w:r>
            <w:r w:rsidR="0054073E" w:rsidRPr="00B75B77">
              <w:rPr>
                <w:rFonts w:ascii="Calibri" w:eastAsia="Times New Roman" w:hAnsi="Calibri"/>
                <w:bCs/>
                <w:color w:val="000000"/>
                <w:sz w:val="18"/>
                <w:szCs w:val="18"/>
              </w:rPr>
              <w:t>&amp;I</w:t>
            </w:r>
          </w:p>
        </w:tc>
        <w:tc>
          <w:tcPr>
            <w:tcW w:w="1108" w:type="dxa"/>
            <w:tcBorders>
              <w:top w:val="nil"/>
              <w:left w:val="nil"/>
              <w:bottom w:val="single" w:sz="4" w:space="0" w:color="448A99"/>
              <w:right w:val="single" w:sz="4" w:space="0" w:color="448A99"/>
            </w:tcBorders>
            <w:shd w:val="clear" w:color="000000" w:fill="D2EAF1"/>
            <w:vAlign w:val="center"/>
            <w:hideMark/>
          </w:tcPr>
          <w:p w:rsidR="008564A6" w:rsidRPr="00B75B77" w:rsidRDefault="008564A6"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1,143</w:t>
            </w:r>
          </w:p>
        </w:tc>
        <w:tc>
          <w:tcPr>
            <w:tcW w:w="1412" w:type="dxa"/>
            <w:tcBorders>
              <w:top w:val="nil"/>
              <w:left w:val="nil"/>
              <w:bottom w:val="single" w:sz="4" w:space="0" w:color="448A99"/>
              <w:right w:val="single" w:sz="4" w:space="0" w:color="448A99"/>
            </w:tcBorders>
            <w:shd w:val="clear" w:color="000000" w:fill="D2EAF1"/>
            <w:vAlign w:val="center"/>
            <w:hideMark/>
          </w:tcPr>
          <w:p w:rsidR="008564A6" w:rsidRPr="00B75B77" w:rsidRDefault="008564A6"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30,437</w:t>
            </w:r>
          </w:p>
        </w:tc>
        <w:tc>
          <w:tcPr>
            <w:tcW w:w="1620" w:type="dxa"/>
            <w:tcBorders>
              <w:top w:val="nil"/>
              <w:left w:val="nil"/>
              <w:bottom w:val="single" w:sz="4" w:space="0" w:color="448A99"/>
              <w:right w:val="single" w:sz="4" w:space="0" w:color="448A99"/>
            </w:tcBorders>
            <w:shd w:val="clear" w:color="000000" w:fill="D2EAF1"/>
            <w:vAlign w:val="center"/>
            <w:hideMark/>
          </w:tcPr>
          <w:p w:rsidR="008564A6" w:rsidRPr="00B75B77" w:rsidRDefault="008564A6"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5.9</w:t>
            </w:r>
          </w:p>
        </w:tc>
        <w:tc>
          <w:tcPr>
            <w:tcW w:w="1260" w:type="dxa"/>
            <w:tcBorders>
              <w:top w:val="nil"/>
              <w:left w:val="nil"/>
              <w:bottom w:val="single" w:sz="4" w:space="0" w:color="448A99"/>
              <w:right w:val="single" w:sz="4" w:space="0" w:color="448A99"/>
            </w:tcBorders>
            <w:shd w:val="clear" w:color="000000" w:fill="D2EAF1"/>
            <w:vAlign w:val="center"/>
            <w:hideMark/>
          </w:tcPr>
          <w:p w:rsidR="008564A6" w:rsidRPr="00B75B77" w:rsidRDefault="008564A6"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27,672</w:t>
            </w:r>
          </w:p>
        </w:tc>
        <w:tc>
          <w:tcPr>
            <w:tcW w:w="1350" w:type="dxa"/>
            <w:tcBorders>
              <w:top w:val="nil"/>
              <w:left w:val="nil"/>
              <w:bottom w:val="single" w:sz="4" w:space="0" w:color="448A99"/>
              <w:right w:val="single" w:sz="4" w:space="0" w:color="448A99"/>
            </w:tcBorders>
            <w:shd w:val="clear" w:color="000000" w:fill="D2EAF1"/>
            <w:vAlign w:val="center"/>
            <w:hideMark/>
          </w:tcPr>
          <w:p w:rsidR="008564A6" w:rsidRPr="00B75B77" w:rsidRDefault="008564A6"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7.2</w:t>
            </w:r>
          </w:p>
        </w:tc>
        <w:tc>
          <w:tcPr>
            <w:tcW w:w="990" w:type="dxa"/>
            <w:tcBorders>
              <w:top w:val="nil"/>
              <w:left w:val="nil"/>
              <w:bottom w:val="single" w:sz="4" w:space="0" w:color="448A99"/>
              <w:right w:val="single" w:sz="4" w:space="0" w:color="448A99"/>
            </w:tcBorders>
            <w:shd w:val="clear" w:color="000000" w:fill="D2EAF1"/>
            <w:vAlign w:val="center"/>
            <w:hideMark/>
          </w:tcPr>
          <w:p w:rsidR="008564A6" w:rsidRPr="00B75B77" w:rsidRDefault="008564A6"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8564A6" w:rsidRPr="00B75B77" w:rsidTr="00E163F4">
        <w:trPr>
          <w:trHeight w:val="372"/>
        </w:trPr>
        <w:tc>
          <w:tcPr>
            <w:tcW w:w="1615" w:type="dxa"/>
            <w:tcBorders>
              <w:top w:val="nil"/>
              <w:left w:val="single" w:sz="4" w:space="0" w:color="448A99"/>
              <w:bottom w:val="single" w:sz="4" w:space="0" w:color="448A99"/>
              <w:right w:val="single" w:sz="4" w:space="0" w:color="448A99"/>
            </w:tcBorders>
            <w:shd w:val="clear" w:color="000000" w:fill="FFFFFF"/>
            <w:vAlign w:val="center"/>
            <w:hideMark/>
          </w:tcPr>
          <w:p w:rsidR="008564A6" w:rsidRPr="00B75B77" w:rsidRDefault="008564A6" w:rsidP="00502659">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Large C</w:t>
            </w:r>
            <w:r w:rsidR="0054073E" w:rsidRPr="00B75B77">
              <w:rPr>
                <w:rFonts w:ascii="Calibri" w:eastAsia="Times New Roman" w:hAnsi="Calibri"/>
                <w:bCs/>
                <w:color w:val="000000"/>
                <w:sz w:val="18"/>
                <w:szCs w:val="18"/>
              </w:rPr>
              <w:t>&amp;I</w:t>
            </w:r>
          </w:p>
        </w:tc>
        <w:tc>
          <w:tcPr>
            <w:tcW w:w="1108" w:type="dxa"/>
            <w:tcBorders>
              <w:top w:val="nil"/>
              <w:left w:val="nil"/>
              <w:bottom w:val="single" w:sz="4" w:space="0" w:color="448A99"/>
              <w:right w:val="single" w:sz="4" w:space="0" w:color="448A99"/>
            </w:tcBorders>
            <w:shd w:val="clear" w:color="000000" w:fill="FFFFFF"/>
            <w:vAlign w:val="center"/>
            <w:hideMark/>
          </w:tcPr>
          <w:p w:rsidR="008564A6" w:rsidRPr="00B75B77" w:rsidRDefault="008564A6"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4</w:t>
            </w:r>
          </w:p>
        </w:tc>
        <w:tc>
          <w:tcPr>
            <w:tcW w:w="1412" w:type="dxa"/>
            <w:tcBorders>
              <w:top w:val="nil"/>
              <w:left w:val="nil"/>
              <w:bottom w:val="single" w:sz="4" w:space="0" w:color="448A99"/>
              <w:right w:val="single" w:sz="4" w:space="0" w:color="448A99"/>
            </w:tcBorders>
            <w:shd w:val="clear" w:color="000000" w:fill="FFFFFF"/>
            <w:vAlign w:val="center"/>
            <w:hideMark/>
          </w:tcPr>
          <w:p w:rsidR="008564A6" w:rsidRPr="00B75B77" w:rsidRDefault="008564A6"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315</w:t>
            </w:r>
          </w:p>
        </w:tc>
        <w:tc>
          <w:tcPr>
            <w:tcW w:w="1620" w:type="dxa"/>
            <w:tcBorders>
              <w:top w:val="nil"/>
              <w:left w:val="nil"/>
              <w:bottom w:val="single" w:sz="4" w:space="0" w:color="448A99"/>
              <w:right w:val="single" w:sz="4" w:space="0" w:color="448A99"/>
            </w:tcBorders>
            <w:shd w:val="clear" w:color="000000" w:fill="FFFFFF"/>
            <w:vAlign w:val="center"/>
            <w:hideMark/>
          </w:tcPr>
          <w:p w:rsidR="008564A6" w:rsidRPr="00B75B77" w:rsidRDefault="008564A6"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0.1</w:t>
            </w:r>
          </w:p>
        </w:tc>
        <w:tc>
          <w:tcPr>
            <w:tcW w:w="1260" w:type="dxa"/>
            <w:tcBorders>
              <w:top w:val="nil"/>
              <w:left w:val="nil"/>
              <w:bottom w:val="single" w:sz="4" w:space="0" w:color="448A99"/>
              <w:right w:val="single" w:sz="4" w:space="0" w:color="448A99"/>
            </w:tcBorders>
            <w:shd w:val="clear" w:color="000000" w:fill="FFFFFF"/>
            <w:vAlign w:val="center"/>
            <w:hideMark/>
          </w:tcPr>
          <w:p w:rsidR="008564A6" w:rsidRPr="00B75B77" w:rsidRDefault="008564A6"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290</w:t>
            </w:r>
          </w:p>
        </w:tc>
        <w:tc>
          <w:tcPr>
            <w:tcW w:w="1350" w:type="dxa"/>
            <w:tcBorders>
              <w:top w:val="nil"/>
              <w:left w:val="nil"/>
              <w:bottom w:val="single" w:sz="4" w:space="0" w:color="448A99"/>
              <w:right w:val="single" w:sz="4" w:space="0" w:color="448A99"/>
            </w:tcBorders>
            <w:shd w:val="clear" w:color="000000" w:fill="FFFFFF"/>
            <w:vAlign w:val="center"/>
            <w:hideMark/>
          </w:tcPr>
          <w:p w:rsidR="008564A6" w:rsidRPr="00B75B77" w:rsidRDefault="008564A6"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0.1</w:t>
            </w:r>
          </w:p>
        </w:tc>
        <w:tc>
          <w:tcPr>
            <w:tcW w:w="990" w:type="dxa"/>
            <w:tcBorders>
              <w:top w:val="nil"/>
              <w:left w:val="nil"/>
              <w:bottom w:val="single" w:sz="4" w:space="0" w:color="448A99"/>
              <w:right w:val="single" w:sz="4" w:space="0" w:color="448A99"/>
            </w:tcBorders>
            <w:shd w:val="clear" w:color="000000" w:fill="FFFFFF"/>
            <w:vAlign w:val="center"/>
            <w:hideMark/>
          </w:tcPr>
          <w:p w:rsidR="008564A6" w:rsidRPr="00B75B77" w:rsidRDefault="008564A6"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8564A6" w:rsidRPr="00B75B77" w:rsidTr="00E163F4">
        <w:trPr>
          <w:trHeight w:val="372"/>
        </w:trPr>
        <w:tc>
          <w:tcPr>
            <w:tcW w:w="1615" w:type="dxa"/>
            <w:tcBorders>
              <w:top w:val="nil"/>
              <w:left w:val="single" w:sz="4" w:space="0" w:color="448A99"/>
              <w:bottom w:val="single" w:sz="4" w:space="0" w:color="448A99"/>
              <w:right w:val="single" w:sz="4" w:space="0" w:color="448A99"/>
            </w:tcBorders>
            <w:shd w:val="clear" w:color="000000" w:fill="D2EAF1"/>
            <w:vAlign w:val="center"/>
            <w:hideMark/>
          </w:tcPr>
          <w:p w:rsidR="008564A6" w:rsidRPr="00B75B77" w:rsidRDefault="008564A6" w:rsidP="00502659">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G</w:t>
            </w:r>
            <w:r w:rsidR="0054073E" w:rsidRPr="00B75B77">
              <w:rPr>
                <w:rFonts w:ascii="Calibri" w:eastAsia="Times New Roman" w:hAnsi="Calibri"/>
                <w:bCs/>
                <w:color w:val="000000"/>
                <w:sz w:val="18"/>
                <w:szCs w:val="18"/>
              </w:rPr>
              <w:t>NI</w:t>
            </w:r>
          </w:p>
        </w:tc>
        <w:tc>
          <w:tcPr>
            <w:tcW w:w="1108" w:type="dxa"/>
            <w:tcBorders>
              <w:top w:val="nil"/>
              <w:left w:val="nil"/>
              <w:bottom w:val="single" w:sz="4" w:space="0" w:color="448A99"/>
              <w:right w:val="single" w:sz="4" w:space="0" w:color="448A99"/>
            </w:tcBorders>
            <w:shd w:val="clear" w:color="000000" w:fill="D2EAF1"/>
            <w:vAlign w:val="center"/>
            <w:hideMark/>
          </w:tcPr>
          <w:p w:rsidR="008564A6" w:rsidRPr="00B75B77" w:rsidRDefault="008564A6"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25</w:t>
            </w:r>
          </w:p>
        </w:tc>
        <w:tc>
          <w:tcPr>
            <w:tcW w:w="1412" w:type="dxa"/>
            <w:tcBorders>
              <w:top w:val="nil"/>
              <w:left w:val="nil"/>
              <w:bottom w:val="single" w:sz="4" w:space="0" w:color="448A99"/>
              <w:right w:val="single" w:sz="4" w:space="0" w:color="448A99"/>
            </w:tcBorders>
            <w:shd w:val="clear" w:color="000000" w:fill="D2EAF1"/>
            <w:vAlign w:val="center"/>
            <w:hideMark/>
          </w:tcPr>
          <w:p w:rsidR="008564A6" w:rsidRPr="00B75B77" w:rsidRDefault="008564A6"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1,091</w:t>
            </w:r>
          </w:p>
        </w:tc>
        <w:tc>
          <w:tcPr>
            <w:tcW w:w="1620" w:type="dxa"/>
            <w:tcBorders>
              <w:top w:val="nil"/>
              <w:left w:val="nil"/>
              <w:bottom w:val="single" w:sz="4" w:space="0" w:color="448A99"/>
              <w:right w:val="single" w:sz="4" w:space="0" w:color="448A99"/>
            </w:tcBorders>
            <w:shd w:val="clear" w:color="000000" w:fill="D2EAF1"/>
            <w:vAlign w:val="center"/>
            <w:hideMark/>
          </w:tcPr>
          <w:p w:rsidR="008564A6" w:rsidRPr="00B75B77" w:rsidRDefault="008564A6"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0.2</w:t>
            </w:r>
          </w:p>
        </w:tc>
        <w:tc>
          <w:tcPr>
            <w:tcW w:w="1260" w:type="dxa"/>
            <w:tcBorders>
              <w:top w:val="nil"/>
              <w:left w:val="nil"/>
              <w:bottom w:val="single" w:sz="4" w:space="0" w:color="448A99"/>
              <w:right w:val="single" w:sz="4" w:space="0" w:color="448A99"/>
            </w:tcBorders>
            <w:shd w:val="clear" w:color="000000" w:fill="D2EAF1"/>
            <w:vAlign w:val="center"/>
            <w:hideMark/>
          </w:tcPr>
          <w:p w:rsidR="008564A6" w:rsidRPr="00B75B77" w:rsidRDefault="008564A6"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1,042</w:t>
            </w:r>
          </w:p>
        </w:tc>
        <w:tc>
          <w:tcPr>
            <w:tcW w:w="1350" w:type="dxa"/>
            <w:tcBorders>
              <w:top w:val="nil"/>
              <w:left w:val="nil"/>
              <w:bottom w:val="single" w:sz="4" w:space="0" w:color="448A99"/>
              <w:right w:val="single" w:sz="4" w:space="0" w:color="448A99"/>
            </w:tcBorders>
            <w:shd w:val="clear" w:color="000000" w:fill="D2EAF1"/>
            <w:vAlign w:val="center"/>
            <w:hideMark/>
          </w:tcPr>
          <w:p w:rsidR="008564A6" w:rsidRPr="00B75B77" w:rsidRDefault="008564A6"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0.3</w:t>
            </w:r>
          </w:p>
        </w:tc>
        <w:tc>
          <w:tcPr>
            <w:tcW w:w="990" w:type="dxa"/>
            <w:tcBorders>
              <w:top w:val="nil"/>
              <w:left w:val="nil"/>
              <w:bottom w:val="single" w:sz="4" w:space="0" w:color="448A99"/>
              <w:right w:val="single" w:sz="4" w:space="0" w:color="448A99"/>
            </w:tcBorders>
            <w:shd w:val="clear" w:color="000000" w:fill="D2EAF1"/>
            <w:vAlign w:val="center"/>
            <w:hideMark/>
          </w:tcPr>
          <w:p w:rsidR="008564A6" w:rsidRPr="00B75B77" w:rsidRDefault="008564A6" w:rsidP="00502659">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8564A6" w:rsidRPr="00B75B77" w:rsidTr="00E163F4">
        <w:trPr>
          <w:trHeight w:val="312"/>
        </w:trPr>
        <w:tc>
          <w:tcPr>
            <w:tcW w:w="1615" w:type="dxa"/>
            <w:tcBorders>
              <w:top w:val="nil"/>
              <w:left w:val="single" w:sz="4" w:space="0" w:color="448A99"/>
              <w:bottom w:val="single" w:sz="4" w:space="0" w:color="448A99"/>
              <w:right w:val="single" w:sz="4" w:space="0" w:color="448A99"/>
            </w:tcBorders>
            <w:shd w:val="clear" w:color="000000" w:fill="FFFFFF"/>
            <w:vAlign w:val="center"/>
            <w:hideMark/>
          </w:tcPr>
          <w:p w:rsidR="008564A6" w:rsidRPr="00B75B77" w:rsidRDefault="00055913" w:rsidP="00502659">
            <w:pPr>
              <w:keepNext/>
              <w:jc w:val="left"/>
              <w:rPr>
                <w:rFonts w:ascii="Calibri" w:eastAsia="Times New Roman" w:hAnsi="Calibri"/>
                <w:b/>
                <w:color w:val="000000"/>
                <w:sz w:val="18"/>
                <w:szCs w:val="18"/>
              </w:rPr>
            </w:pPr>
            <w:r w:rsidRPr="00B75B77">
              <w:rPr>
                <w:rFonts w:ascii="Calibri" w:eastAsia="Times New Roman" w:hAnsi="Calibri"/>
                <w:b/>
                <w:color w:val="000000"/>
                <w:sz w:val="18"/>
                <w:szCs w:val="18"/>
              </w:rPr>
              <w:t>PHASE II TOTAL</w:t>
            </w:r>
          </w:p>
        </w:tc>
        <w:tc>
          <w:tcPr>
            <w:tcW w:w="1108" w:type="dxa"/>
            <w:tcBorders>
              <w:top w:val="nil"/>
              <w:left w:val="nil"/>
              <w:bottom w:val="single" w:sz="4" w:space="0" w:color="448A99"/>
              <w:right w:val="single" w:sz="4" w:space="0" w:color="448A99"/>
            </w:tcBorders>
            <w:shd w:val="clear" w:color="000000" w:fill="FFFFFF"/>
            <w:vAlign w:val="center"/>
            <w:hideMark/>
          </w:tcPr>
          <w:p w:rsidR="008564A6" w:rsidRPr="00B75B77" w:rsidRDefault="008564A6" w:rsidP="00502659">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1,172</w:t>
            </w:r>
          </w:p>
        </w:tc>
        <w:tc>
          <w:tcPr>
            <w:tcW w:w="1412" w:type="dxa"/>
            <w:tcBorders>
              <w:top w:val="nil"/>
              <w:left w:val="nil"/>
              <w:bottom w:val="single" w:sz="4" w:space="0" w:color="448A99"/>
              <w:right w:val="single" w:sz="4" w:space="0" w:color="448A99"/>
            </w:tcBorders>
            <w:shd w:val="clear" w:color="000000" w:fill="FFFFFF"/>
            <w:vAlign w:val="center"/>
            <w:hideMark/>
          </w:tcPr>
          <w:p w:rsidR="008564A6" w:rsidRPr="00B75B77" w:rsidRDefault="008564A6" w:rsidP="00502659">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31,844</w:t>
            </w:r>
          </w:p>
        </w:tc>
        <w:tc>
          <w:tcPr>
            <w:tcW w:w="1620" w:type="dxa"/>
            <w:tcBorders>
              <w:top w:val="nil"/>
              <w:left w:val="nil"/>
              <w:bottom w:val="single" w:sz="4" w:space="0" w:color="448A99"/>
              <w:right w:val="single" w:sz="4" w:space="0" w:color="448A99"/>
            </w:tcBorders>
            <w:shd w:val="clear" w:color="000000" w:fill="FFFFFF"/>
            <w:vAlign w:val="center"/>
            <w:hideMark/>
          </w:tcPr>
          <w:p w:rsidR="008564A6" w:rsidRPr="00B75B77" w:rsidRDefault="008564A6" w:rsidP="00502659">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6.2</w:t>
            </w:r>
          </w:p>
        </w:tc>
        <w:tc>
          <w:tcPr>
            <w:tcW w:w="1260" w:type="dxa"/>
            <w:tcBorders>
              <w:top w:val="nil"/>
              <w:left w:val="nil"/>
              <w:bottom w:val="single" w:sz="4" w:space="0" w:color="448A99"/>
              <w:right w:val="single" w:sz="4" w:space="0" w:color="448A99"/>
            </w:tcBorders>
            <w:shd w:val="clear" w:color="000000" w:fill="FFFFFF"/>
            <w:vAlign w:val="center"/>
            <w:hideMark/>
          </w:tcPr>
          <w:p w:rsidR="008564A6" w:rsidRPr="00B75B77" w:rsidRDefault="008564A6" w:rsidP="00502659">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29,004</w:t>
            </w:r>
          </w:p>
        </w:tc>
        <w:tc>
          <w:tcPr>
            <w:tcW w:w="1350" w:type="dxa"/>
            <w:tcBorders>
              <w:top w:val="nil"/>
              <w:left w:val="nil"/>
              <w:bottom w:val="single" w:sz="4" w:space="0" w:color="448A99"/>
              <w:right w:val="single" w:sz="4" w:space="0" w:color="448A99"/>
            </w:tcBorders>
            <w:shd w:val="clear" w:color="000000" w:fill="FFFFFF"/>
            <w:vAlign w:val="center"/>
            <w:hideMark/>
          </w:tcPr>
          <w:p w:rsidR="008564A6" w:rsidRPr="00B75B77" w:rsidRDefault="008564A6" w:rsidP="00502659">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7.6</w:t>
            </w:r>
          </w:p>
        </w:tc>
        <w:tc>
          <w:tcPr>
            <w:tcW w:w="990" w:type="dxa"/>
            <w:tcBorders>
              <w:top w:val="nil"/>
              <w:left w:val="nil"/>
              <w:bottom w:val="single" w:sz="4" w:space="0" w:color="448A99"/>
              <w:right w:val="single" w:sz="4" w:space="0" w:color="448A99"/>
            </w:tcBorders>
            <w:shd w:val="clear" w:color="000000" w:fill="FFFFFF"/>
            <w:vAlign w:val="center"/>
            <w:hideMark/>
          </w:tcPr>
          <w:p w:rsidR="008564A6" w:rsidRPr="00B75B77" w:rsidRDefault="008564A6" w:rsidP="00502659">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$0</w:t>
            </w:r>
          </w:p>
        </w:tc>
      </w:tr>
    </w:tbl>
    <w:p w:rsidR="008564A6" w:rsidRPr="00B75B77" w:rsidRDefault="008564A6" w:rsidP="00502659">
      <w:pPr>
        <w:pStyle w:val="Source"/>
        <w:keepNext/>
        <w:spacing w:before="20" w:after="20"/>
        <w:ind w:left="0" w:firstLine="0"/>
        <w:rPr>
          <w:rFonts w:ascii="Calibri" w:hAnsi="Calibri"/>
          <w:i w:val="0"/>
          <w:color w:val="000000"/>
          <w:szCs w:val="18"/>
        </w:rPr>
      </w:pPr>
      <w:r w:rsidRPr="00B75B77">
        <w:rPr>
          <w:rFonts w:ascii="Calibri" w:hAnsi="Calibri"/>
          <w:i w:val="0"/>
          <w:color w:val="000000"/>
          <w:szCs w:val="18"/>
          <w:vertAlign w:val="superscript"/>
        </w:rPr>
        <w:t>[1]</w:t>
      </w:r>
      <w:r w:rsidRPr="00B75B77">
        <w:rPr>
          <w:rFonts w:ascii="Calibri" w:hAnsi="Calibri"/>
          <w:i w:val="0"/>
          <w:color w:val="000000"/>
          <w:szCs w:val="18"/>
        </w:rPr>
        <w:t xml:space="preserve"> All customer sector totals are exclusive of each other and may be added together to get the Phase II totals.</w:t>
      </w:r>
      <w:r w:rsidRPr="00B75B77">
        <w:rPr>
          <w:rFonts w:ascii="Calibri" w:hAnsi="Calibri"/>
          <w:i w:val="0"/>
          <w:color w:val="000000"/>
          <w:szCs w:val="18"/>
        </w:rPr>
        <w:br/>
      </w:r>
      <w:r w:rsidRPr="00B75B77">
        <w:rPr>
          <w:rFonts w:ascii="Calibri" w:hAnsi="Calibri"/>
          <w:i w:val="0"/>
          <w:color w:val="000000"/>
          <w:szCs w:val="18"/>
          <w:vertAlign w:val="superscript"/>
        </w:rPr>
        <w:t>[2]</w:t>
      </w:r>
      <w:r w:rsidRPr="00B75B77">
        <w:rPr>
          <w:rFonts w:ascii="Calibri" w:hAnsi="Calibri"/>
          <w:i w:val="0"/>
          <w:color w:val="000000"/>
          <w:szCs w:val="18"/>
        </w:rPr>
        <w:t xml:space="preserve"> All reported and verified demand savings in this report include line losses as required.</w:t>
      </w:r>
    </w:p>
    <w:p w:rsidR="008564A6" w:rsidRPr="00B75B77" w:rsidRDefault="008564A6" w:rsidP="00502659">
      <w:pPr>
        <w:pStyle w:val="Source"/>
        <w:keepNext/>
        <w:spacing w:before="20" w:after="20"/>
        <w:ind w:left="0" w:firstLine="0"/>
        <w:rPr>
          <w:i w:val="0"/>
        </w:rPr>
      </w:pPr>
      <w:r w:rsidRPr="00B75B77">
        <w:rPr>
          <w:rFonts w:ascii="Calibri" w:hAnsi="Calibri"/>
          <w:i w:val="0"/>
          <w:color w:val="000000"/>
          <w:szCs w:val="18"/>
          <w:vertAlign w:val="superscript"/>
        </w:rPr>
        <w:t xml:space="preserve">[3] </w:t>
      </w:r>
      <w:r w:rsidR="00055913" w:rsidRPr="00B75B77">
        <w:rPr>
          <w:rFonts w:ascii="Calibri" w:hAnsi="Calibri"/>
          <w:i w:val="0"/>
          <w:color w:val="000000"/>
          <w:szCs w:val="18"/>
        </w:rPr>
        <w:t>DI</w:t>
      </w:r>
      <w:r w:rsidRPr="00B75B77">
        <w:rPr>
          <w:rFonts w:ascii="Calibri" w:hAnsi="Calibri"/>
          <w:i w:val="0"/>
          <w:color w:val="000000"/>
          <w:szCs w:val="18"/>
        </w:rPr>
        <w:t xml:space="preserve"> program</w:t>
      </w:r>
      <w:r w:rsidR="00055913" w:rsidRPr="00B75B77">
        <w:rPr>
          <w:rFonts w:ascii="Calibri" w:hAnsi="Calibri"/>
          <w:i w:val="0"/>
          <w:color w:val="000000"/>
          <w:szCs w:val="18"/>
        </w:rPr>
        <w:t>s</w:t>
      </w:r>
      <w:r w:rsidRPr="00B75B77">
        <w:rPr>
          <w:rFonts w:ascii="Calibri" w:hAnsi="Calibri"/>
          <w:i w:val="0"/>
          <w:color w:val="000000"/>
          <w:szCs w:val="18"/>
        </w:rPr>
        <w:t xml:space="preserve"> handle incentives differently than those offered directly to the customer.</w:t>
      </w:r>
      <w:r w:rsidRPr="00B75B77">
        <w:rPr>
          <w:rFonts w:ascii="Calibri" w:hAnsi="Calibri"/>
          <w:i w:val="0"/>
          <w:color w:val="000000"/>
          <w:szCs w:val="18"/>
        </w:rPr>
        <w:br/>
      </w:r>
      <w:r w:rsidRPr="00B75B77">
        <w:rPr>
          <w:rFonts w:ascii="Calibri" w:hAnsi="Calibri"/>
          <w:i w:val="0"/>
          <w:iCs/>
          <w:color w:val="000000"/>
          <w:szCs w:val="18"/>
        </w:rPr>
        <w:t>Note: Values in tables may not reconcile exactly with the sum of more detailed level results or previously reported results due to rounding.</w:t>
      </w:r>
    </w:p>
    <w:p w:rsidR="008564A6" w:rsidRPr="00B75B77" w:rsidRDefault="008564A6" w:rsidP="00502659">
      <w:pPr>
        <w:pStyle w:val="Source"/>
        <w:keepNext/>
        <w:ind w:left="0" w:firstLine="0"/>
      </w:pPr>
      <w:r w:rsidRPr="00B75B77">
        <w:t xml:space="preserve">Source: Navigant analysis </w:t>
      </w:r>
    </w:p>
    <w:p w:rsidR="008564A6" w:rsidRPr="00B75B77" w:rsidRDefault="008564A6" w:rsidP="00E163F4">
      <w:pPr>
        <w:pStyle w:val="Heading3"/>
      </w:pPr>
      <w:bookmarkStart w:id="965" w:name="_Toc466413468"/>
      <w:r w:rsidRPr="00B75B77">
        <w:t>Gross Verified Savings Methodology</w:t>
      </w:r>
      <w:bookmarkEnd w:id="965"/>
      <w:r w:rsidRPr="00B75B77">
        <w:t xml:space="preserve"> </w:t>
      </w:r>
    </w:p>
    <w:p w:rsidR="008564A6" w:rsidRPr="00B75B77" w:rsidRDefault="008564A6" w:rsidP="00E163F4">
      <w:r w:rsidRPr="00B75B77">
        <w:t xml:space="preserve">Navigant conducted two impact evaluation activities in PY7: 1) an engineering review of all measure-specific records in the tracking database, and 2) a review of project files coupled with telephone verification interviews for a sample of PY7 participants. </w:t>
      </w:r>
    </w:p>
    <w:p w:rsidR="008564A6" w:rsidRPr="00B75B77" w:rsidRDefault="008564A6" w:rsidP="00E163F4"/>
    <w:p w:rsidR="008564A6" w:rsidRPr="00B75B77" w:rsidRDefault="008564A6" w:rsidP="009E08FB">
      <w:pPr>
        <w:pStyle w:val="ListParagraph"/>
        <w:numPr>
          <w:ilvl w:val="0"/>
          <w:numId w:val="62"/>
        </w:numPr>
      </w:pPr>
      <w:r w:rsidRPr="00B75B77">
        <w:rPr>
          <w:b/>
        </w:rPr>
        <w:t xml:space="preserve">Engineering review. </w:t>
      </w:r>
      <w:r w:rsidRPr="00B75B77">
        <w:t xml:space="preserve">The </w:t>
      </w:r>
      <w:r w:rsidR="00055913" w:rsidRPr="00B75B77">
        <w:t xml:space="preserve">evaluation </w:t>
      </w:r>
      <w:r w:rsidRPr="00B75B77">
        <w:t>team conducted a comprehensive engineering review of all measure-specific records in the tracking database to verify proper application of TRM algorithms in reported savings values.</w:t>
      </w:r>
    </w:p>
    <w:p w:rsidR="008564A6" w:rsidRPr="00B75B77" w:rsidRDefault="008564A6" w:rsidP="00E163F4"/>
    <w:p w:rsidR="008564A6" w:rsidRPr="00B75B77" w:rsidRDefault="008564A6" w:rsidP="009E08FB">
      <w:pPr>
        <w:pStyle w:val="ListParagraph"/>
        <w:numPr>
          <w:ilvl w:val="0"/>
          <w:numId w:val="62"/>
        </w:numPr>
      </w:pPr>
      <w:proofErr w:type="gramStart"/>
      <w:r w:rsidRPr="00B75B77">
        <w:rPr>
          <w:b/>
        </w:rPr>
        <w:t>Project file</w:t>
      </w:r>
      <w:proofErr w:type="gramEnd"/>
      <w:r w:rsidRPr="00B75B77">
        <w:rPr>
          <w:b/>
        </w:rPr>
        <w:t xml:space="preserve"> review. </w:t>
      </w:r>
      <w:r w:rsidRPr="00B75B77">
        <w:t xml:space="preserve">Navigant designed a stratified random sample from the population of program participants in the PY7 tracking database at the project level. Navigant presented its sampling plan to the SWE in a memo dated April 29, 2016. To stratify the project file sample and conduct a random sample draw, Navigant first determined strata break points—originally large, medium, and small—and assigned each project to one of the strata. The </w:t>
      </w:r>
      <w:r w:rsidR="00055913" w:rsidRPr="00B75B77">
        <w:t xml:space="preserve">evaluation </w:t>
      </w:r>
      <w:r w:rsidRPr="00B75B77">
        <w:t xml:space="preserve">team then assigned a random number to each project. This allowed the team to sort the projects by stratum and then by random number for inclusion in the sample. The SBS program caters primarily to small business customers and the large strata defined in the sample design only contained </w:t>
      </w:r>
      <w:r w:rsidR="00055913" w:rsidRPr="00B75B77">
        <w:t>six</w:t>
      </w:r>
      <w:r w:rsidRPr="00B75B77">
        <w:t xml:space="preserve"> projects. </w:t>
      </w:r>
      <w:r w:rsidR="00055913" w:rsidRPr="00B75B77">
        <w:t>Navigant</w:t>
      </w:r>
      <w:r w:rsidRPr="00B75B77">
        <w:t xml:space="preserve"> targeted all of these projects in the sample but only completed a file review of one large site. Navigant and PECO worked together to engage more of the large customers to participate in the telephone verification process by sending emails and calling multiple times at various times of the day. None of these efforts proved fruitful, leaving only one complete for the entire strata. This single complete is not representative of the entire strata of large customers</w:t>
      </w:r>
      <w:r w:rsidR="00055913" w:rsidRPr="00B75B77">
        <w:t>,</w:t>
      </w:r>
      <w:r w:rsidRPr="00B75B77">
        <w:t xml:space="preserve"> so Navigant combined the large and medium strata to provide more statistically significant verification results. Since the sample included all </w:t>
      </w:r>
      <w:r w:rsidR="00055913" w:rsidRPr="00B75B77">
        <w:t>six</w:t>
      </w:r>
      <w:r w:rsidRPr="00B75B77">
        <w:t xml:space="preserve"> projects in the large strata, the rigor of the sample design was not impacted by the combination of large and medium strata.</w:t>
      </w:r>
    </w:p>
    <w:p w:rsidR="008564A6" w:rsidRPr="00B75B77" w:rsidRDefault="008564A6" w:rsidP="00E163F4"/>
    <w:p w:rsidR="008564A6" w:rsidRPr="00B75B77" w:rsidRDefault="008564A6" w:rsidP="00E163F4">
      <w:pPr>
        <w:keepNext/>
      </w:pPr>
      <w:r w:rsidRPr="00B75B77">
        <w:t xml:space="preserve">The stratified sample results included 16 project files representing the population of participants at a planned 85/15 confidence and precision. After multiple calls at various times in the day and emails from </w:t>
      </w:r>
      <w:r w:rsidRPr="00B75B77">
        <w:lastRenderedPageBreak/>
        <w:t xml:space="preserve">Navigant and PECO soliciting participation in the study, the </w:t>
      </w:r>
      <w:r w:rsidR="00055913" w:rsidRPr="00B75B77">
        <w:t xml:space="preserve">evaluation </w:t>
      </w:r>
      <w:r w:rsidRPr="00B75B77">
        <w:t xml:space="preserve">team was only able to conduct telephone verification reviews of 12 of the 16 participants. </w:t>
      </w:r>
      <w:r w:rsidR="00055913" w:rsidRPr="00B75B77">
        <w:fldChar w:fldCharType="begin"/>
      </w:r>
      <w:r w:rsidR="00055913" w:rsidRPr="00B75B77">
        <w:instrText xml:space="preserve"> REF _Ref464199680 \h </w:instrText>
      </w:r>
      <w:r w:rsidR="00B75B77">
        <w:instrText xml:space="preserve"> \* MERGEFORMAT </w:instrText>
      </w:r>
      <w:r w:rsidR="00055913" w:rsidRPr="00B75B77">
        <w:fldChar w:fldCharType="separate"/>
      </w:r>
      <w:r w:rsidR="0004016D" w:rsidRPr="00B75B77">
        <w:t xml:space="preserve">Table </w:t>
      </w:r>
      <w:r w:rsidR="0004016D">
        <w:rPr>
          <w:noProof/>
        </w:rPr>
        <w:t>16</w:t>
      </w:r>
      <w:r w:rsidR="0004016D" w:rsidRPr="00B75B77">
        <w:rPr>
          <w:noProof/>
        </w:rPr>
        <w:noBreakHyphen/>
      </w:r>
      <w:r w:rsidR="0004016D">
        <w:rPr>
          <w:noProof/>
        </w:rPr>
        <w:t>2</w:t>
      </w:r>
      <w:r w:rsidR="00055913" w:rsidRPr="00B75B77">
        <w:fldChar w:fldCharType="end"/>
      </w:r>
      <w:r w:rsidR="00055913" w:rsidRPr="00B75B77">
        <w:t xml:space="preserve"> </w:t>
      </w:r>
      <w:r w:rsidRPr="00B75B77">
        <w:t xml:space="preserve">shows the breakdown of the project file review sample. </w:t>
      </w:r>
    </w:p>
    <w:p w:rsidR="008564A6" w:rsidRPr="00B75B77" w:rsidRDefault="008564A6" w:rsidP="00E163F4">
      <w:pPr>
        <w:keepNext/>
      </w:pPr>
    </w:p>
    <w:p w:rsidR="008564A6" w:rsidRPr="00B75B77" w:rsidRDefault="008564A6" w:rsidP="00466674">
      <w:pPr>
        <w:pStyle w:val="Caption"/>
      </w:pPr>
      <w:bookmarkStart w:id="966" w:name="_Ref464199680"/>
      <w:bookmarkStart w:id="967" w:name="_Toc466413648"/>
      <w:r w:rsidRPr="00B75B77">
        <w:t xml:space="preserve">Table </w:t>
      </w:r>
      <w:fldSimple w:instr=" STYLEREF 1 \s ">
        <w:r w:rsidR="0004016D">
          <w:rPr>
            <w:noProof/>
          </w:rPr>
          <w:t>16</w:t>
        </w:r>
      </w:fldSimple>
      <w:r w:rsidR="00F1144C" w:rsidRPr="00B75B77">
        <w:noBreakHyphen/>
      </w:r>
      <w:fldSimple w:instr=" SEQ Table \* ARABIC \s 1 ">
        <w:r w:rsidR="0004016D">
          <w:rPr>
            <w:noProof/>
          </w:rPr>
          <w:t>2</w:t>
        </w:r>
      </w:fldSimple>
      <w:bookmarkEnd w:id="966"/>
      <w:r w:rsidRPr="00B75B77">
        <w:t>: PY7 Smart Business Solutions Sampling Strategy</w:t>
      </w:r>
      <w:bookmarkEnd w:id="967"/>
    </w:p>
    <w:tbl>
      <w:tblPr>
        <w:tblW w:w="9395" w:type="dxa"/>
        <w:tblLook w:val="04A0" w:firstRow="1" w:lastRow="0" w:firstColumn="1" w:lastColumn="0" w:noHBand="0" w:noVBand="1"/>
      </w:tblPr>
      <w:tblGrid>
        <w:gridCol w:w="1345"/>
        <w:gridCol w:w="1035"/>
        <w:gridCol w:w="1575"/>
        <w:gridCol w:w="1170"/>
        <w:gridCol w:w="1170"/>
        <w:gridCol w:w="3100"/>
      </w:tblGrid>
      <w:tr w:rsidR="008564A6" w:rsidRPr="00B75B77" w:rsidTr="00E163F4">
        <w:trPr>
          <w:trHeight w:val="660"/>
        </w:trPr>
        <w:tc>
          <w:tcPr>
            <w:tcW w:w="1345" w:type="dxa"/>
            <w:tcBorders>
              <w:top w:val="single" w:sz="4" w:space="0" w:color="auto"/>
              <w:left w:val="single" w:sz="4" w:space="0" w:color="auto"/>
              <w:bottom w:val="single" w:sz="4" w:space="0" w:color="auto"/>
              <w:right w:val="single" w:sz="4" w:space="0" w:color="auto"/>
            </w:tcBorders>
            <w:shd w:val="clear" w:color="000000" w:fill="448A99"/>
            <w:vAlign w:val="center"/>
            <w:hideMark/>
          </w:tcPr>
          <w:p w:rsidR="008564A6" w:rsidRPr="00B75B77" w:rsidRDefault="008564A6" w:rsidP="00E163F4">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Stratum</w:t>
            </w:r>
          </w:p>
        </w:tc>
        <w:tc>
          <w:tcPr>
            <w:tcW w:w="1035" w:type="dxa"/>
            <w:tcBorders>
              <w:top w:val="single" w:sz="4" w:space="0" w:color="auto"/>
              <w:left w:val="nil"/>
              <w:bottom w:val="single" w:sz="4" w:space="0" w:color="auto"/>
              <w:right w:val="single" w:sz="4" w:space="0" w:color="auto"/>
            </w:tcBorders>
            <w:shd w:val="clear" w:color="000000" w:fill="448A99"/>
            <w:vAlign w:val="center"/>
            <w:hideMark/>
          </w:tcPr>
          <w:p w:rsidR="008564A6" w:rsidRPr="00B75B77" w:rsidRDefault="008564A6" w:rsidP="00E163F4">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Population Size</w:t>
            </w:r>
          </w:p>
        </w:tc>
        <w:tc>
          <w:tcPr>
            <w:tcW w:w="1575" w:type="dxa"/>
            <w:tcBorders>
              <w:top w:val="single" w:sz="4" w:space="0" w:color="auto"/>
              <w:left w:val="nil"/>
              <w:bottom w:val="single" w:sz="4" w:space="0" w:color="auto"/>
              <w:right w:val="single" w:sz="4" w:space="0" w:color="auto"/>
            </w:tcBorders>
            <w:shd w:val="clear" w:color="000000" w:fill="448A99"/>
            <w:vAlign w:val="center"/>
            <w:hideMark/>
          </w:tcPr>
          <w:p w:rsidR="008564A6" w:rsidRPr="00B75B77" w:rsidRDefault="008564A6" w:rsidP="00E163F4">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Target Levels of Confidence and Precision</w:t>
            </w:r>
          </w:p>
        </w:tc>
        <w:tc>
          <w:tcPr>
            <w:tcW w:w="1170" w:type="dxa"/>
            <w:tcBorders>
              <w:top w:val="single" w:sz="4" w:space="0" w:color="auto"/>
              <w:left w:val="nil"/>
              <w:bottom w:val="single" w:sz="4" w:space="0" w:color="auto"/>
              <w:right w:val="single" w:sz="4" w:space="0" w:color="auto"/>
            </w:tcBorders>
            <w:shd w:val="clear" w:color="000000" w:fill="448A99"/>
            <w:vAlign w:val="center"/>
            <w:hideMark/>
          </w:tcPr>
          <w:p w:rsidR="008564A6" w:rsidRPr="00B75B77" w:rsidRDefault="008564A6" w:rsidP="00E163F4">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Target Sample Size</w:t>
            </w:r>
          </w:p>
        </w:tc>
        <w:tc>
          <w:tcPr>
            <w:tcW w:w="1170" w:type="dxa"/>
            <w:tcBorders>
              <w:top w:val="single" w:sz="4" w:space="0" w:color="auto"/>
              <w:left w:val="nil"/>
              <w:bottom w:val="single" w:sz="4" w:space="0" w:color="auto"/>
              <w:right w:val="single" w:sz="4" w:space="0" w:color="auto"/>
            </w:tcBorders>
            <w:shd w:val="clear" w:color="000000" w:fill="448A99"/>
            <w:vAlign w:val="center"/>
            <w:hideMark/>
          </w:tcPr>
          <w:p w:rsidR="008564A6" w:rsidRPr="00B75B77" w:rsidRDefault="008564A6" w:rsidP="00E163F4">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Achieved Sample Size</w:t>
            </w:r>
          </w:p>
        </w:tc>
        <w:tc>
          <w:tcPr>
            <w:tcW w:w="3100" w:type="dxa"/>
            <w:tcBorders>
              <w:top w:val="single" w:sz="4" w:space="0" w:color="auto"/>
              <w:left w:val="nil"/>
              <w:bottom w:val="single" w:sz="4" w:space="0" w:color="auto"/>
              <w:right w:val="single" w:sz="4" w:space="0" w:color="auto"/>
            </w:tcBorders>
            <w:shd w:val="clear" w:color="000000" w:fill="448A99"/>
            <w:vAlign w:val="center"/>
            <w:hideMark/>
          </w:tcPr>
          <w:p w:rsidR="008564A6" w:rsidRPr="00B75B77" w:rsidRDefault="008564A6" w:rsidP="00E163F4">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Evaluation Activity</w:t>
            </w:r>
          </w:p>
        </w:tc>
      </w:tr>
      <w:tr w:rsidR="008564A6" w:rsidRPr="00B75B77" w:rsidTr="00E163F4">
        <w:trPr>
          <w:trHeight w:val="288"/>
        </w:trPr>
        <w:tc>
          <w:tcPr>
            <w:tcW w:w="1345" w:type="dxa"/>
            <w:tcBorders>
              <w:top w:val="nil"/>
              <w:left w:val="single" w:sz="4" w:space="0" w:color="448A99"/>
              <w:bottom w:val="single" w:sz="4" w:space="0" w:color="448A99"/>
              <w:right w:val="single" w:sz="4" w:space="0" w:color="448A99"/>
            </w:tcBorders>
            <w:shd w:val="clear" w:color="000000" w:fill="D2EAF1"/>
            <w:vAlign w:val="center"/>
            <w:hideMark/>
          </w:tcPr>
          <w:p w:rsidR="008564A6" w:rsidRPr="00B75B77" w:rsidRDefault="008564A6" w:rsidP="00E163F4">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Large</w:t>
            </w:r>
          </w:p>
        </w:tc>
        <w:tc>
          <w:tcPr>
            <w:tcW w:w="1035" w:type="dxa"/>
            <w:tcBorders>
              <w:top w:val="nil"/>
              <w:left w:val="nil"/>
              <w:bottom w:val="single" w:sz="4" w:space="0" w:color="448A99"/>
              <w:right w:val="single" w:sz="4" w:space="0" w:color="448A99"/>
            </w:tcBorders>
            <w:shd w:val="clear" w:color="000000" w:fill="D2EAF1"/>
            <w:vAlign w:val="center"/>
            <w:hideMark/>
          </w:tcPr>
          <w:p w:rsidR="008564A6" w:rsidRPr="00B75B77" w:rsidRDefault="008564A6" w:rsidP="00E163F4">
            <w:pPr>
              <w:jc w:val="center"/>
              <w:rPr>
                <w:rFonts w:ascii="Calibri" w:eastAsia="Times New Roman" w:hAnsi="Calibri"/>
                <w:color w:val="000000"/>
                <w:sz w:val="18"/>
                <w:szCs w:val="18"/>
              </w:rPr>
            </w:pPr>
            <w:r w:rsidRPr="00B75B77">
              <w:rPr>
                <w:rFonts w:ascii="Calibri" w:eastAsia="Times New Roman" w:hAnsi="Calibri"/>
                <w:color w:val="000000"/>
                <w:sz w:val="18"/>
                <w:szCs w:val="18"/>
              </w:rPr>
              <w:t>42</w:t>
            </w:r>
          </w:p>
        </w:tc>
        <w:tc>
          <w:tcPr>
            <w:tcW w:w="1575" w:type="dxa"/>
            <w:tcBorders>
              <w:top w:val="nil"/>
              <w:left w:val="nil"/>
              <w:bottom w:val="single" w:sz="4" w:space="0" w:color="448A99"/>
              <w:right w:val="single" w:sz="4" w:space="0" w:color="448A99"/>
            </w:tcBorders>
            <w:shd w:val="clear" w:color="000000" w:fill="D2EAF1"/>
            <w:vAlign w:val="center"/>
            <w:hideMark/>
          </w:tcPr>
          <w:p w:rsidR="008564A6" w:rsidRPr="00B75B77" w:rsidRDefault="008564A6" w:rsidP="00E163F4">
            <w:pPr>
              <w:jc w:val="center"/>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1170" w:type="dxa"/>
            <w:tcBorders>
              <w:top w:val="nil"/>
              <w:left w:val="nil"/>
              <w:bottom w:val="single" w:sz="4" w:space="0" w:color="448A99"/>
              <w:right w:val="single" w:sz="4" w:space="0" w:color="448A99"/>
            </w:tcBorders>
            <w:shd w:val="clear" w:color="000000" w:fill="D2EAF1"/>
            <w:vAlign w:val="center"/>
            <w:hideMark/>
          </w:tcPr>
          <w:p w:rsidR="008564A6" w:rsidRPr="00B75B77" w:rsidRDefault="008564A6" w:rsidP="00E163F4">
            <w:pPr>
              <w:jc w:val="center"/>
              <w:rPr>
                <w:rFonts w:ascii="Calibri" w:eastAsia="Times New Roman" w:hAnsi="Calibri"/>
                <w:color w:val="000000"/>
                <w:sz w:val="18"/>
                <w:szCs w:val="18"/>
              </w:rPr>
            </w:pPr>
            <w:r w:rsidRPr="00B75B77">
              <w:rPr>
                <w:rFonts w:ascii="Calibri" w:eastAsia="Times New Roman" w:hAnsi="Calibri"/>
                <w:color w:val="000000"/>
                <w:sz w:val="18"/>
                <w:szCs w:val="18"/>
              </w:rPr>
              <w:t>11</w:t>
            </w:r>
          </w:p>
        </w:tc>
        <w:tc>
          <w:tcPr>
            <w:tcW w:w="1170" w:type="dxa"/>
            <w:tcBorders>
              <w:top w:val="nil"/>
              <w:left w:val="nil"/>
              <w:bottom w:val="single" w:sz="4" w:space="0" w:color="448A99"/>
              <w:right w:val="single" w:sz="4" w:space="0" w:color="448A99"/>
            </w:tcBorders>
            <w:shd w:val="clear" w:color="000000" w:fill="D2EAF1"/>
            <w:vAlign w:val="center"/>
            <w:hideMark/>
          </w:tcPr>
          <w:p w:rsidR="008564A6" w:rsidRPr="00B75B77" w:rsidRDefault="008564A6" w:rsidP="00E163F4">
            <w:pPr>
              <w:jc w:val="center"/>
              <w:rPr>
                <w:rFonts w:ascii="Calibri" w:eastAsia="Times New Roman" w:hAnsi="Calibri"/>
                <w:color w:val="000000"/>
                <w:sz w:val="18"/>
                <w:szCs w:val="18"/>
              </w:rPr>
            </w:pPr>
            <w:r w:rsidRPr="00B75B77">
              <w:rPr>
                <w:rFonts w:ascii="Calibri" w:eastAsia="Times New Roman" w:hAnsi="Calibri"/>
                <w:color w:val="000000"/>
                <w:sz w:val="18"/>
                <w:szCs w:val="18"/>
              </w:rPr>
              <w:t>7</w:t>
            </w:r>
          </w:p>
        </w:tc>
        <w:tc>
          <w:tcPr>
            <w:tcW w:w="3100" w:type="dxa"/>
            <w:tcBorders>
              <w:top w:val="nil"/>
              <w:left w:val="nil"/>
              <w:bottom w:val="single" w:sz="4" w:space="0" w:color="448A99"/>
              <w:right w:val="single" w:sz="4" w:space="0" w:color="448A99"/>
            </w:tcBorders>
            <w:shd w:val="clear" w:color="000000" w:fill="D2EAF1"/>
            <w:vAlign w:val="center"/>
            <w:hideMark/>
          </w:tcPr>
          <w:p w:rsidR="008564A6" w:rsidRPr="00B75B77" w:rsidRDefault="008564A6" w:rsidP="00E163F4">
            <w:pPr>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Telephone </w:t>
            </w:r>
            <w:r w:rsidR="00055913" w:rsidRPr="00B75B77">
              <w:rPr>
                <w:rFonts w:ascii="Calibri" w:eastAsia="Times New Roman" w:hAnsi="Calibri"/>
                <w:color w:val="000000"/>
                <w:sz w:val="18"/>
                <w:szCs w:val="18"/>
              </w:rPr>
              <w:t>v</w:t>
            </w:r>
            <w:r w:rsidRPr="00B75B77">
              <w:rPr>
                <w:rFonts w:ascii="Calibri" w:eastAsia="Times New Roman" w:hAnsi="Calibri"/>
                <w:color w:val="000000"/>
                <w:sz w:val="18"/>
                <w:szCs w:val="18"/>
              </w:rPr>
              <w:t xml:space="preserve">erification </w:t>
            </w:r>
            <w:r w:rsidR="00055913" w:rsidRPr="00B75B77">
              <w:rPr>
                <w:rFonts w:ascii="Calibri" w:eastAsia="Times New Roman" w:hAnsi="Calibri"/>
                <w:color w:val="000000"/>
                <w:sz w:val="18"/>
                <w:szCs w:val="18"/>
              </w:rPr>
              <w:t>and</w:t>
            </w:r>
            <w:r w:rsidRPr="00B75B77">
              <w:rPr>
                <w:rFonts w:ascii="Calibri" w:eastAsia="Times New Roman" w:hAnsi="Calibri"/>
                <w:color w:val="000000"/>
                <w:sz w:val="18"/>
                <w:szCs w:val="18"/>
              </w:rPr>
              <w:t xml:space="preserve"> </w:t>
            </w:r>
            <w:r w:rsidR="00055913" w:rsidRPr="00B75B77">
              <w:rPr>
                <w:rFonts w:ascii="Calibri" w:eastAsia="Times New Roman" w:hAnsi="Calibri"/>
                <w:color w:val="000000"/>
                <w:sz w:val="18"/>
                <w:szCs w:val="18"/>
              </w:rPr>
              <w:t>f</w:t>
            </w:r>
            <w:r w:rsidRPr="00B75B77">
              <w:rPr>
                <w:rFonts w:ascii="Calibri" w:eastAsia="Times New Roman" w:hAnsi="Calibri"/>
                <w:color w:val="000000"/>
                <w:sz w:val="18"/>
                <w:szCs w:val="18"/>
              </w:rPr>
              <w:t xml:space="preserve">ile </w:t>
            </w:r>
            <w:r w:rsidR="00055913" w:rsidRPr="00B75B77">
              <w:rPr>
                <w:rFonts w:ascii="Calibri" w:eastAsia="Times New Roman" w:hAnsi="Calibri"/>
                <w:color w:val="000000"/>
                <w:sz w:val="18"/>
                <w:szCs w:val="18"/>
              </w:rPr>
              <w:t>r</w:t>
            </w:r>
            <w:r w:rsidRPr="00B75B77">
              <w:rPr>
                <w:rFonts w:ascii="Calibri" w:eastAsia="Times New Roman" w:hAnsi="Calibri"/>
                <w:color w:val="000000"/>
                <w:sz w:val="18"/>
                <w:szCs w:val="18"/>
              </w:rPr>
              <w:t>eviews</w:t>
            </w:r>
          </w:p>
        </w:tc>
      </w:tr>
      <w:tr w:rsidR="008564A6" w:rsidRPr="00B75B77" w:rsidTr="00E163F4">
        <w:trPr>
          <w:trHeight w:val="288"/>
        </w:trPr>
        <w:tc>
          <w:tcPr>
            <w:tcW w:w="1345" w:type="dxa"/>
            <w:tcBorders>
              <w:top w:val="nil"/>
              <w:left w:val="single" w:sz="4" w:space="0" w:color="448A99"/>
              <w:bottom w:val="single" w:sz="4" w:space="0" w:color="448A99"/>
              <w:right w:val="single" w:sz="4" w:space="0" w:color="448A99"/>
            </w:tcBorders>
            <w:shd w:val="clear" w:color="000000" w:fill="FFFFFF"/>
            <w:vAlign w:val="center"/>
            <w:hideMark/>
          </w:tcPr>
          <w:p w:rsidR="008564A6" w:rsidRPr="00B75B77" w:rsidRDefault="008564A6" w:rsidP="00E163F4">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Small</w:t>
            </w:r>
          </w:p>
        </w:tc>
        <w:tc>
          <w:tcPr>
            <w:tcW w:w="1035" w:type="dxa"/>
            <w:tcBorders>
              <w:top w:val="nil"/>
              <w:left w:val="nil"/>
              <w:bottom w:val="single" w:sz="4" w:space="0" w:color="448A99"/>
              <w:right w:val="single" w:sz="4" w:space="0" w:color="448A99"/>
            </w:tcBorders>
            <w:shd w:val="clear" w:color="000000" w:fill="FFFFFF"/>
            <w:vAlign w:val="center"/>
            <w:hideMark/>
          </w:tcPr>
          <w:p w:rsidR="008564A6" w:rsidRPr="00B75B77" w:rsidRDefault="008564A6" w:rsidP="00E163F4">
            <w:pPr>
              <w:jc w:val="center"/>
              <w:rPr>
                <w:rFonts w:ascii="Calibri" w:eastAsia="Times New Roman" w:hAnsi="Calibri"/>
                <w:color w:val="000000"/>
                <w:sz w:val="18"/>
                <w:szCs w:val="18"/>
              </w:rPr>
            </w:pPr>
            <w:r w:rsidRPr="00B75B77">
              <w:rPr>
                <w:rFonts w:ascii="Calibri" w:eastAsia="Times New Roman" w:hAnsi="Calibri"/>
                <w:color w:val="000000"/>
                <w:sz w:val="18"/>
                <w:szCs w:val="18"/>
              </w:rPr>
              <w:t>147</w:t>
            </w:r>
          </w:p>
        </w:tc>
        <w:tc>
          <w:tcPr>
            <w:tcW w:w="1575" w:type="dxa"/>
            <w:tcBorders>
              <w:top w:val="nil"/>
              <w:left w:val="nil"/>
              <w:bottom w:val="single" w:sz="4" w:space="0" w:color="448A99"/>
              <w:right w:val="single" w:sz="4" w:space="0" w:color="448A99"/>
            </w:tcBorders>
            <w:shd w:val="clear" w:color="000000" w:fill="FFFFFF"/>
            <w:vAlign w:val="center"/>
            <w:hideMark/>
          </w:tcPr>
          <w:p w:rsidR="008564A6" w:rsidRPr="00B75B77" w:rsidRDefault="008564A6" w:rsidP="00E163F4">
            <w:pPr>
              <w:jc w:val="center"/>
              <w:rPr>
                <w:rFonts w:ascii="Calibri" w:eastAsia="Times New Roman" w:hAnsi="Calibri"/>
                <w:color w:val="000000"/>
                <w:sz w:val="18"/>
                <w:szCs w:val="18"/>
              </w:rPr>
            </w:pPr>
            <w:r w:rsidRPr="00B75B77">
              <w:rPr>
                <w:rFonts w:ascii="Calibri" w:eastAsia="Times New Roman" w:hAnsi="Calibri"/>
                <w:color w:val="000000"/>
                <w:sz w:val="18"/>
                <w:szCs w:val="18"/>
              </w:rPr>
              <w:t>85/15</w:t>
            </w:r>
          </w:p>
        </w:tc>
        <w:tc>
          <w:tcPr>
            <w:tcW w:w="1170" w:type="dxa"/>
            <w:tcBorders>
              <w:top w:val="nil"/>
              <w:left w:val="nil"/>
              <w:bottom w:val="single" w:sz="4" w:space="0" w:color="448A99"/>
              <w:right w:val="single" w:sz="4" w:space="0" w:color="448A99"/>
            </w:tcBorders>
            <w:shd w:val="clear" w:color="000000" w:fill="FFFFFF"/>
            <w:vAlign w:val="center"/>
            <w:hideMark/>
          </w:tcPr>
          <w:p w:rsidR="008564A6" w:rsidRPr="00B75B77" w:rsidRDefault="008564A6" w:rsidP="00E163F4">
            <w:pPr>
              <w:jc w:val="center"/>
              <w:rPr>
                <w:rFonts w:ascii="Calibri" w:eastAsia="Times New Roman" w:hAnsi="Calibri"/>
                <w:color w:val="000000"/>
                <w:sz w:val="18"/>
                <w:szCs w:val="18"/>
              </w:rPr>
            </w:pPr>
            <w:r w:rsidRPr="00B75B77">
              <w:rPr>
                <w:rFonts w:ascii="Calibri" w:eastAsia="Times New Roman" w:hAnsi="Calibri"/>
                <w:color w:val="000000"/>
                <w:sz w:val="18"/>
                <w:szCs w:val="18"/>
              </w:rPr>
              <w:t>5</w:t>
            </w:r>
          </w:p>
        </w:tc>
        <w:tc>
          <w:tcPr>
            <w:tcW w:w="1170" w:type="dxa"/>
            <w:tcBorders>
              <w:top w:val="nil"/>
              <w:left w:val="nil"/>
              <w:bottom w:val="single" w:sz="4" w:space="0" w:color="448A99"/>
              <w:right w:val="single" w:sz="4" w:space="0" w:color="448A99"/>
            </w:tcBorders>
            <w:shd w:val="clear" w:color="000000" w:fill="FFFFFF"/>
            <w:vAlign w:val="center"/>
            <w:hideMark/>
          </w:tcPr>
          <w:p w:rsidR="008564A6" w:rsidRPr="00B75B77" w:rsidRDefault="008564A6" w:rsidP="00E163F4">
            <w:pPr>
              <w:jc w:val="center"/>
              <w:rPr>
                <w:rFonts w:ascii="Calibri" w:eastAsia="Times New Roman" w:hAnsi="Calibri"/>
                <w:color w:val="000000"/>
                <w:sz w:val="18"/>
                <w:szCs w:val="18"/>
              </w:rPr>
            </w:pPr>
            <w:r w:rsidRPr="00B75B77">
              <w:rPr>
                <w:rFonts w:ascii="Calibri" w:eastAsia="Times New Roman" w:hAnsi="Calibri"/>
                <w:color w:val="000000"/>
                <w:sz w:val="18"/>
                <w:szCs w:val="18"/>
              </w:rPr>
              <w:t>6</w:t>
            </w:r>
          </w:p>
        </w:tc>
        <w:tc>
          <w:tcPr>
            <w:tcW w:w="3100" w:type="dxa"/>
            <w:tcBorders>
              <w:top w:val="nil"/>
              <w:left w:val="nil"/>
              <w:bottom w:val="single" w:sz="4" w:space="0" w:color="448A99"/>
              <w:right w:val="single" w:sz="4" w:space="0" w:color="448A99"/>
            </w:tcBorders>
            <w:shd w:val="clear" w:color="000000" w:fill="FFFFFF"/>
            <w:vAlign w:val="center"/>
            <w:hideMark/>
          </w:tcPr>
          <w:p w:rsidR="008564A6" w:rsidRPr="00B75B77" w:rsidRDefault="008564A6" w:rsidP="00E163F4">
            <w:pPr>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Telephone </w:t>
            </w:r>
            <w:r w:rsidR="00055913" w:rsidRPr="00B75B77">
              <w:rPr>
                <w:rFonts w:ascii="Calibri" w:eastAsia="Times New Roman" w:hAnsi="Calibri"/>
                <w:color w:val="000000"/>
                <w:sz w:val="18"/>
                <w:szCs w:val="18"/>
              </w:rPr>
              <w:t>v</w:t>
            </w:r>
            <w:r w:rsidRPr="00B75B77">
              <w:rPr>
                <w:rFonts w:ascii="Calibri" w:eastAsia="Times New Roman" w:hAnsi="Calibri"/>
                <w:color w:val="000000"/>
                <w:sz w:val="18"/>
                <w:szCs w:val="18"/>
              </w:rPr>
              <w:t xml:space="preserve">erification </w:t>
            </w:r>
            <w:r w:rsidR="00055913" w:rsidRPr="00B75B77">
              <w:rPr>
                <w:rFonts w:ascii="Calibri" w:eastAsia="Times New Roman" w:hAnsi="Calibri"/>
                <w:color w:val="000000"/>
                <w:sz w:val="18"/>
                <w:szCs w:val="18"/>
              </w:rPr>
              <w:t>and</w:t>
            </w:r>
            <w:r w:rsidRPr="00B75B77">
              <w:rPr>
                <w:rFonts w:ascii="Calibri" w:eastAsia="Times New Roman" w:hAnsi="Calibri"/>
                <w:color w:val="000000"/>
                <w:sz w:val="18"/>
                <w:szCs w:val="18"/>
              </w:rPr>
              <w:t xml:space="preserve"> </w:t>
            </w:r>
            <w:r w:rsidR="00055913" w:rsidRPr="00B75B77">
              <w:rPr>
                <w:rFonts w:ascii="Calibri" w:eastAsia="Times New Roman" w:hAnsi="Calibri"/>
                <w:color w:val="000000"/>
                <w:sz w:val="18"/>
                <w:szCs w:val="18"/>
              </w:rPr>
              <w:t>f</w:t>
            </w:r>
            <w:r w:rsidRPr="00B75B77">
              <w:rPr>
                <w:rFonts w:ascii="Calibri" w:eastAsia="Times New Roman" w:hAnsi="Calibri"/>
                <w:color w:val="000000"/>
                <w:sz w:val="18"/>
                <w:szCs w:val="18"/>
              </w:rPr>
              <w:t xml:space="preserve">ile </w:t>
            </w:r>
            <w:r w:rsidR="00055913" w:rsidRPr="00B75B77">
              <w:rPr>
                <w:rFonts w:ascii="Calibri" w:eastAsia="Times New Roman" w:hAnsi="Calibri"/>
                <w:color w:val="000000"/>
                <w:sz w:val="18"/>
                <w:szCs w:val="18"/>
              </w:rPr>
              <w:t>r</w:t>
            </w:r>
            <w:r w:rsidRPr="00B75B77">
              <w:rPr>
                <w:rFonts w:ascii="Calibri" w:eastAsia="Times New Roman" w:hAnsi="Calibri"/>
                <w:color w:val="000000"/>
                <w:sz w:val="18"/>
                <w:szCs w:val="18"/>
              </w:rPr>
              <w:t>eviews</w:t>
            </w:r>
          </w:p>
        </w:tc>
      </w:tr>
      <w:tr w:rsidR="008564A6" w:rsidRPr="00B75B77" w:rsidTr="00E163F4">
        <w:trPr>
          <w:trHeight w:val="288"/>
        </w:trPr>
        <w:tc>
          <w:tcPr>
            <w:tcW w:w="1345" w:type="dxa"/>
            <w:tcBorders>
              <w:top w:val="nil"/>
              <w:left w:val="single" w:sz="4" w:space="0" w:color="448A99"/>
              <w:bottom w:val="single" w:sz="4" w:space="0" w:color="448A99"/>
              <w:right w:val="single" w:sz="4" w:space="0" w:color="448A99"/>
            </w:tcBorders>
            <w:shd w:val="clear" w:color="000000" w:fill="D2EAF1"/>
            <w:vAlign w:val="center"/>
            <w:hideMark/>
          </w:tcPr>
          <w:p w:rsidR="008564A6" w:rsidRPr="00B75B77" w:rsidRDefault="008564A6" w:rsidP="00E163F4">
            <w:pPr>
              <w:jc w:val="left"/>
              <w:rPr>
                <w:rFonts w:ascii="Calibri" w:eastAsia="Times New Roman" w:hAnsi="Calibri"/>
                <w:color w:val="000000"/>
                <w:sz w:val="18"/>
                <w:szCs w:val="18"/>
              </w:rPr>
            </w:pPr>
            <w:r w:rsidRPr="00B75B77">
              <w:rPr>
                <w:rFonts w:ascii="Calibri" w:eastAsia="Times New Roman" w:hAnsi="Calibri"/>
                <w:b/>
                <w:color w:val="000000"/>
                <w:sz w:val="18"/>
                <w:szCs w:val="18"/>
              </w:rPr>
              <w:t>PROGRAM TOTAL</w:t>
            </w:r>
          </w:p>
        </w:tc>
        <w:tc>
          <w:tcPr>
            <w:tcW w:w="1035" w:type="dxa"/>
            <w:tcBorders>
              <w:top w:val="nil"/>
              <w:left w:val="nil"/>
              <w:bottom w:val="single" w:sz="4" w:space="0" w:color="448A99"/>
              <w:right w:val="single" w:sz="4" w:space="0" w:color="448A99"/>
            </w:tcBorders>
            <w:shd w:val="clear" w:color="000000" w:fill="D2EAF1"/>
            <w:vAlign w:val="center"/>
            <w:hideMark/>
          </w:tcPr>
          <w:p w:rsidR="008564A6" w:rsidRPr="00B75B77" w:rsidRDefault="008564A6" w:rsidP="00E163F4">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189</w:t>
            </w:r>
          </w:p>
        </w:tc>
        <w:tc>
          <w:tcPr>
            <w:tcW w:w="1575" w:type="dxa"/>
            <w:tcBorders>
              <w:top w:val="nil"/>
              <w:left w:val="nil"/>
              <w:bottom w:val="single" w:sz="4" w:space="0" w:color="448A99"/>
              <w:right w:val="single" w:sz="4" w:space="0" w:color="448A99"/>
            </w:tcBorders>
            <w:shd w:val="clear" w:color="000000" w:fill="D2EAF1"/>
            <w:vAlign w:val="center"/>
            <w:hideMark/>
          </w:tcPr>
          <w:p w:rsidR="008564A6" w:rsidRPr="00B75B77" w:rsidRDefault="008564A6" w:rsidP="00E163F4">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0</w:t>
            </w:r>
          </w:p>
        </w:tc>
        <w:tc>
          <w:tcPr>
            <w:tcW w:w="1170" w:type="dxa"/>
            <w:tcBorders>
              <w:top w:val="nil"/>
              <w:left w:val="nil"/>
              <w:bottom w:val="single" w:sz="4" w:space="0" w:color="448A99"/>
              <w:right w:val="single" w:sz="4" w:space="0" w:color="448A99"/>
            </w:tcBorders>
            <w:shd w:val="clear" w:color="000000" w:fill="D2EAF1"/>
            <w:vAlign w:val="center"/>
            <w:hideMark/>
          </w:tcPr>
          <w:p w:rsidR="008564A6" w:rsidRPr="00B75B77" w:rsidRDefault="008564A6" w:rsidP="00E163F4">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16</w:t>
            </w:r>
          </w:p>
        </w:tc>
        <w:tc>
          <w:tcPr>
            <w:tcW w:w="1170" w:type="dxa"/>
            <w:tcBorders>
              <w:top w:val="nil"/>
              <w:left w:val="nil"/>
              <w:bottom w:val="single" w:sz="4" w:space="0" w:color="448A99"/>
              <w:right w:val="single" w:sz="4" w:space="0" w:color="448A99"/>
            </w:tcBorders>
            <w:shd w:val="clear" w:color="000000" w:fill="D2EAF1"/>
            <w:vAlign w:val="center"/>
            <w:hideMark/>
          </w:tcPr>
          <w:p w:rsidR="008564A6" w:rsidRPr="00B75B77" w:rsidRDefault="008564A6" w:rsidP="00E163F4">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13</w:t>
            </w:r>
          </w:p>
        </w:tc>
        <w:tc>
          <w:tcPr>
            <w:tcW w:w="3100" w:type="dxa"/>
            <w:tcBorders>
              <w:top w:val="nil"/>
              <w:left w:val="nil"/>
              <w:bottom w:val="single" w:sz="4" w:space="0" w:color="448A99"/>
              <w:right w:val="single" w:sz="4" w:space="0" w:color="448A99"/>
            </w:tcBorders>
            <w:shd w:val="clear" w:color="000000" w:fill="D2EAF1"/>
            <w:vAlign w:val="center"/>
            <w:hideMark/>
          </w:tcPr>
          <w:p w:rsidR="008564A6" w:rsidRPr="00B75B77" w:rsidRDefault="008564A6" w:rsidP="00E163F4">
            <w:pPr>
              <w:jc w:val="left"/>
              <w:rPr>
                <w:rFonts w:ascii="Calibri" w:eastAsia="Times New Roman" w:hAnsi="Calibri"/>
                <w:b/>
                <w:color w:val="000000"/>
                <w:sz w:val="18"/>
                <w:szCs w:val="18"/>
              </w:rPr>
            </w:pPr>
            <w:r w:rsidRPr="00B75B77">
              <w:rPr>
                <w:rFonts w:ascii="Calibri" w:eastAsia="Times New Roman" w:hAnsi="Calibri"/>
                <w:b/>
                <w:color w:val="000000"/>
                <w:sz w:val="18"/>
                <w:szCs w:val="18"/>
              </w:rPr>
              <w:t>N/A</w:t>
            </w:r>
          </w:p>
        </w:tc>
      </w:tr>
    </w:tbl>
    <w:p w:rsidR="008564A6" w:rsidRPr="00B75B77" w:rsidRDefault="008564A6" w:rsidP="00E163F4">
      <w:pPr>
        <w:keepNext/>
        <w:spacing w:before="20" w:after="20"/>
        <w:jc w:val="left"/>
        <w:rPr>
          <w:rFonts w:eastAsia="Times New Roman"/>
          <w:i/>
          <w:sz w:val="18"/>
          <w:szCs w:val="20"/>
        </w:rPr>
      </w:pPr>
      <w:r w:rsidRPr="00B75B77">
        <w:rPr>
          <w:rFonts w:ascii="Calibri" w:eastAsia="Times New Roman" w:hAnsi="Calibri"/>
          <w:sz w:val="18"/>
          <w:szCs w:val="18"/>
        </w:rPr>
        <w:t>Note: Values in tables may not reconcile exactly with the sum of more detailed level results or previously reported results due to rounding.</w:t>
      </w:r>
    </w:p>
    <w:p w:rsidR="008564A6" w:rsidRPr="00B75B77" w:rsidRDefault="008564A6" w:rsidP="00055913">
      <w:pPr>
        <w:pStyle w:val="Source"/>
        <w:ind w:hanging="720"/>
      </w:pPr>
      <w:r w:rsidRPr="00B75B77">
        <w:t>Source: Navigant analysis</w:t>
      </w:r>
    </w:p>
    <w:p w:rsidR="008564A6" w:rsidRPr="00B75B77" w:rsidRDefault="008564A6" w:rsidP="00E163F4">
      <w:r w:rsidRPr="00B75B77">
        <w:t>Both evaluation activities provided information on the types and quantities of baseline and retrofit equipment and its operation bo</w:t>
      </w:r>
      <w:r w:rsidR="008A2056" w:rsidRPr="00B75B77">
        <w:t xml:space="preserve">th prior to and following each </w:t>
      </w:r>
      <w:r w:rsidRPr="00B75B77">
        <w:t xml:space="preserve">project. Navigant used the information collected through these activities to develop revised estimates of savings for each project and to develop program-level realization rates for energy and demand. </w:t>
      </w:r>
    </w:p>
    <w:p w:rsidR="008564A6" w:rsidRPr="00B75B77" w:rsidRDefault="008564A6" w:rsidP="00E163F4"/>
    <w:p w:rsidR="008564A6" w:rsidRPr="00B75B77" w:rsidRDefault="008564A6" w:rsidP="00CA16D1">
      <w:pPr>
        <w:pStyle w:val="Source"/>
        <w:spacing w:after="120"/>
        <w:ind w:left="0" w:firstLine="0"/>
      </w:pPr>
      <w:r w:rsidRPr="00B75B77">
        <w:rPr>
          <w:rFonts w:eastAsia="Calibri"/>
          <w:i w:val="0"/>
          <w:sz w:val="22"/>
          <w:szCs w:val="22"/>
        </w:rPr>
        <w:t>No onsite inspections were conducted for this program, which is consistent with the evaluation plan.</w:t>
      </w:r>
    </w:p>
    <w:p w:rsidR="008564A6" w:rsidRPr="00B75B77" w:rsidRDefault="008564A6" w:rsidP="00E163F4"/>
    <w:p w:rsidR="008564A6" w:rsidRPr="00B75B77" w:rsidRDefault="008564A6" w:rsidP="00E163F4">
      <w:pPr>
        <w:pStyle w:val="Heading3"/>
      </w:pPr>
      <w:bookmarkStart w:id="968" w:name="_Toc466413469"/>
      <w:r w:rsidRPr="00B75B77">
        <w:t>Gross Verified Savings Results</w:t>
      </w:r>
      <w:bookmarkEnd w:id="968"/>
      <w:r w:rsidRPr="00B75B77">
        <w:t xml:space="preserve"> </w:t>
      </w:r>
    </w:p>
    <w:p w:rsidR="008564A6" w:rsidRPr="00B75B77" w:rsidRDefault="008564A6" w:rsidP="00055913">
      <w:r w:rsidRPr="00B75B77">
        <w:t>Navigant calculated an energy realization rate of 0.97, resulting in verified gross energy savings of 4,971 MWh. The realization rate of 0.97 is an improvement over the PY6 result of 0.86, as the CSP’s HOU estimates during this program year more closely aligned with those reported by the sampled participants. Participants verified the types and quantities of measures recorded in the tracking database for all projects, so the verification rate was 100</w:t>
      </w:r>
      <w:r w:rsidR="00BB0374" w:rsidRPr="00B75B77">
        <w:t>%</w:t>
      </w:r>
      <w:r w:rsidRPr="00B75B77">
        <w:t xml:space="preserve">. </w:t>
      </w:r>
      <w:r w:rsidR="00055913" w:rsidRPr="00B75B77">
        <w:fldChar w:fldCharType="begin"/>
      </w:r>
      <w:r w:rsidR="00055913" w:rsidRPr="00B75B77">
        <w:instrText xml:space="preserve"> REF _Ref464199820 \h </w:instrText>
      </w:r>
      <w:r w:rsidR="00B75B77">
        <w:instrText xml:space="preserve"> \* MERGEFORMAT </w:instrText>
      </w:r>
      <w:r w:rsidR="00055913" w:rsidRPr="00B75B77">
        <w:fldChar w:fldCharType="separate"/>
      </w:r>
      <w:r w:rsidR="0004016D" w:rsidRPr="00B75B77">
        <w:t xml:space="preserve">Table </w:t>
      </w:r>
      <w:r w:rsidR="0004016D">
        <w:rPr>
          <w:noProof/>
        </w:rPr>
        <w:t>16</w:t>
      </w:r>
      <w:r w:rsidR="0004016D" w:rsidRPr="00B75B77">
        <w:rPr>
          <w:noProof/>
        </w:rPr>
        <w:noBreakHyphen/>
      </w:r>
      <w:r w:rsidR="0004016D">
        <w:rPr>
          <w:noProof/>
        </w:rPr>
        <w:t>3</w:t>
      </w:r>
      <w:r w:rsidR="00055913" w:rsidRPr="00B75B77">
        <w:fldChar w:fldCharType="end"/>
      </w:r>
      <w:r w:rsidR="00055913" w:rsidRPr="00B75B77">
        <w:t xml:space="preserve"> </w:t>
      </w:r>
      <w:r w:rsidRPr="00B75B77">
        <w:t>presents Navigant’s analysis results for PY7.</w:t>
      </w:r>
    </w:p>
    <w:p w:rsidR="008564A6" w:rsidRPr="00B75B77" w:rsidRDefault="008564A6" w:rsidP="00055913"/>
    <w:p w:rsidR="008564A6" w:rsidRPr="00B75B77" w:rsidRDefault="008564A6" w:rsidP="00055913">
      <w:pPr>
        <w:pStyle w:val="Caption"/>
      </w:pPr>
      <w:bookmarkStart w:id="969" w:name="_Ref464199820"/>
      <w:bookmarkStart w:id="970" w:name="_Ref463260391"/>
      <w:bookmarkStart w:id="971" w:name="_Toc453075296"/>
      <w:bookmarkStart w:id="972" w:name="_Toc466413649"/>
      <w:r w:rsidRPr="00B75B77">
        <w:t xml:space="preserve">Table </w:t>
      </w:r>
      <w:fldSimple w:instr=" STYLEREF 1 \s ">
        <w:r w:rsidR="0004016D">
          <w:rPr>
            <w:noProof/>
          </w:rPr>
          <w:t>16</w:t>
        </w:r>
      </w:fldSimple>
      <w:r w:rsidR="00F1144C" w:rsidRPr="00B75B77">
        <w:noBreakHyphen/>
      </w:r>
      <w:fldSimple w:instr=" SEQ Table \* ARABIC \s 1 ">
        <w:r w:rsidR="0004016D">
          <w:rPr>
            <w:noProof/>
          </w:rPr>
          <w:t>3</w:t>
        </w:r>
      </w:fldSimple>
      <w:bookmarkEnd w:id="969"/>
      <w:bookmarkEnd w:id="970"/>
      <w:r w:rsidRPr="00B75B77">
        <w:t xml:space="preserve">: </w:t>
      </w:r>
      <w:bookmarkEnd w:id="971"/>
      <w:r w:rsidRPr="00B75B77">
        <w:t>PY7 Smart Business Solutions Summary of Evaluation Results for Energy</w:t>
      </w:r>
      <w:bookmarkEnd w:id="972"/>
    </w:p>
    <w:tbl>
      <w:tblPr>
        <w:tblW w:w="9355" w:type="dxa"/>
        <w:tblLook w:val="04A0" w:firstRow="1" w:lastRow="0" w:firstColumn="1" w:lastColumn="0" w:noHBand="0" w:noVBand="1"/>
      </w:tblPr>
      <w:tblGrid>
        <w:gridCol w:w="1435"/>
        <w:gridCol w:w="1535"/>
        <w:gridCol w:w="1435"/>
        <w:gridCol w:w="1350"/>
        <w:gridCol w:w="1530"/>
        <w:gridCol w:w="2070"/>
      </w:tblGrid>
      <w:tr w:rsidR="008564A6" w:rsidRPr="00B75B77" w:rsidTr="00E163F4">
        <w:trPr>
          <w:trHeight w:val="660"/>
        </w:trPr>
        <w:tc>
          <w:tcPr>
            <w:tcW w:w="1435"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8564A6" w:rsidRPr="00B75B77" w:rsidRDefault="008564A6" w:rsidP="00006419">
            <w:pPr>
              <w:keepNext/>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Stratum</w:t>
            </w:r>
          </w:p>
        </w:tc>
        <w:tc>
          <w:tcPr>
            <w:tcW w:w="1535"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8564A6" w:rsidRPr="00B75B77" w:rsidRDefault="008564A6" w:rsidP="00055913">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Reported Gross Energy Savings (MWh/</w:t>
            </w:r>
            <w:proofErr w:type="spellStart"/>
            <w:r w:rsidRPr="00B75B77">
              <w:rPr>
                <w:rFonts w:ascii="Calibri" w:eastAsia="Times New Roman" w:hAnsi="Calibri"/>
                <w:b/>
                <w:bCs/>
                <w:color w:val="FFFFFF"/>
                <w:sz w:val="18"/>
                <w:szCs w:val="18"/>
              </w:rPr>
              <w:t>yr</w:t>
            </w:r>
            <w:proofErr w:type="spellEnd"/>
            <w:r w:rsidRPr="00B75B77">
              <w:rPr>
                <w:rFonts w:ascii="Calibri" w:eastAsia="Times New Roman" w:hAnsi="Calibri"/>
                <w:b/>
                <w:bCs/>
                <w:color w:val="FFFFFF"/>
                <w:sz w:val="18"/>
                <w:szCs w:val="18"/>
              </w:rPr>
              <w:t>)</w:t>
            </w:r>
          </w:p>
        </w:tc>
        <w:tc>
          <w:tcPr>
            <w:tcW w:w="1435"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8564A6" w:rsidRPr="00B75B77" w:rsidRDefault="008564A6" w:rsidP="00055913">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Energy Realization Rate (%)</w:t>
            </w:r>
          </w:p>
        </w:tc>
        <w:tc>
          <w:tcPr>
            <w:tcW w:w="135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8564A6" w:rsidRPr="00B75B77" w:rsidRDefault="008564A6" w:rsidP="00055913">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Verified Gross Energy Savings (MWh/</w:t>
            </w:r>
            <w:proofErr w:type="spellStart"/>
            <w:r w:rsidRPr="00B75B77">
              <w:rPr>
                <w:rFonts w:ascii="Calibri" w:eastAsia="Times New Roman" w:hAnsi="Calibri"/>
                <w:b/>
                <w:bCs/>
                <w:color w:val="FFFFFF"/>
                <w:sz w:val="18"/>
                <w:szCs w:val="18"/>
              </w:rPr>
              <w:t>yr</w:t>
            </w:r>
            <w:proofErr w:type="spellEnd"/>
            <w:r w:rsidRPr="00B75B77">
              <w:rPr>
                <w:rFonts w:ascii="Calibri" w:eastAsia="Times New Roman" w:hAnsi="Calibri"/>
                <w:b/>
                <w:bCs/>
                <w:color w:val="FFFFFF"/>
                <w:sz w:val="18"/>
                <w:szCs w:val="18"/>
              </w:rPr>
              <w:t>)</w:t>
            </w:r>
          </w:p>
        </w:tc>
        <w:tc>
          <w:tcPr>
            <w:tcW w:w="153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8564A6" w:rsidRPr="00B75B77" w:rsidRDefault="008564A6" w:rsidP="00055913">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Observed CV or Proportion in Sample Design</w:t>
            </w:r>
          </w:p>
        </w:tc>
        <w:tc>
          <w:tcPr>
            <w:tcW w:w="207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8564A6" w:rsidRPr="00B75B77" w:rsidRDefault="008564A6" w:rsidP="00006419">
            <w:pPr>
              <w:keepNext/>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Relative Precision at 85% </w:t>
            </w:r>
            <w:r w:rsidR="00006419" w:rsidRPr="00B75B77">
              <w:rPr>
                <w:rFonts w:ascii="Calibri" w:eastAsia="Times New Roman" w:hAnsi="Calibri"/>
                <w:b/>
                <w:bCs/>
                <w:color w:val="FFFFFF"/>
                <w:sz w:val="18"/>
                <w:szCs w:val="18"/>
              </w:rPr>
              <w:t>Confidence Interval</w:t>
            </w:r>
          </w:p>
        </w:tc>
      </w:tr>
      <w:tr w:rsidR="008564A6" w:rsidRPr="00B75B77" w:rsidTr="00E163F4">
        <w:trPr>
          <w:trHeight w:val="288"/>
        </w:trPr>
        <w:tc>
          <w:tcPr>
            <w:tcW w:w="1435" w:type="dxa"/>
            <w:vMerge/>
            <w:tcBorders>
              <w:top w:val="single" w:sz="4" w:space="0" w:color="auto"/>
              <w:left w:val="single" w:sz="4" w:space="0" w:color="auto"/>
              <w:bottom w:val="single" w:sz="4" w:space="0" w:color="000000"/>
              <w:right w:val="single" w:sz="4" w:space="0" w:color="auto"/>
            </w:tcBorders>
            <w:vAlign w:val="center"/>
            <w:hideMark/>
          </w:tcPr>
          <w:p w:rsidR="008564A6" w:rsidRPr="00B75B77" w:rsidRDefault="008564A6" w:rsidP="00055913">
            <w:pPr>
              <w:keepNext/>
              <w:jc w:val="left"/>
              <w:rPr>
                <w:rFonts w:ascii="Calibri" w:eastAsia="Times New Roman" w:hAnsi="Calibri"/>
                <w:b/>
                <w:bCs/>
                <w:color w:val="FFFFFF"/>
                <w:sz w:val="18"/>
                <w:szCs w:val="18"/>
              </w:rPr>
            </w:pPr>
          </w:p>
        </w:tc>
        <w:tc>
          <w:tcPr>
            <w:tcW w:w="1535" w:type="dxa"/>
            <w:vMerge/>
            <w:tcBorders>
              <w:top w:val="single" w:sz="4" w:space="0" w:color="auto"/>
              <w:left w:val="single" w:sz="4" w:space="0" w:color="auto"/>
              <w:bottom w:val="single" w:sz="4" w:space="0" w:color="000000"/>
              <w:right w:val="single" w:sz="4" w:space="0" w:color="auto"/>
            </w:tcBorders>
            <w:vAlign w:val="center"/>
            <w:hideMark/>
          </w:tcPr>
          <w:p w:rsidR="008564A6" w:rsidRPr="00B75B77" w:rsidRDefault="008564A6" w:rsidP="00055913">
            <w:pPr>
              <w:keepNext/>
              <w:jc w:val="left"/>
              <w:rPr>
                <w:rFonts w:ascii="Calibri" w:eastAsia="Times New Roman" w:hAnsi="Calibri"/>
                <w:b/>
                <w:bCs/>
                <w:color w:val="FFFFFF"/>
                <w:sz w:val="18"/>
                <w:szCs w:val="18"/>
              </w:rPr>
            </w:pPr>
          </w:p>
        </w:tc>
        <w:tc>
          <w:tcPr>
            <w:tcW w:w="1435" w:type="dxa"/>
            <w:vMerge/>
            <w:tcBorders>
              <w:top w:val="single" w:sz="4" w:space="0" w:color="auto"/>
              <w:left w:val="single" w:sz="4" w:space="0" w:color="auto"/>
              <w:bottom w:val="single" w:sz="4" w:space="0" w:color="000000"/>
              <w:right w:val="single" w:sz="4" w:space="0" w:color="auto"/>
            </w:tcBorders>
            <w:vAlign w:val="center"/>
            <w:hideMark/>
          </w:tcPr>
          <w:p w:rsidR="008564A6" w:rsidRPr="00B75B77" w:rsidRDefault="008564A6" w:rsidP="00055913">
            <w:pPr>
              <w:keepNext/>
              <w:jc w:val="left"/>
              <w:rPr>
                <w:rFonts w:ascii="Calibri" w:eastAsia="Times New Roman" w:hAnsi="Calibri"/>
                <w:b/>
                <w:bCs/>
                <w:color w:val="FFFFFF"/>
                <w:sz w:val="18"/>
                <w:szCs w:val="18"/>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rsidR="008564A6" w:rsidRPr="00B75B77" w:rsidRDefault="008564A6" w:rsidP="00055913">
            <w:pPr>
              <w:keepNext/>
              <w:jc w:val="left"/>
              <w:rPr>
                <w:rFonts w:ascii="Calibri" w:eastAsia="Times New Roman" w:hAnsi="Calibri"/>
                <w:b/>
                <w:bCs/>
                <w:color w:val="FFFFFF"/>
                <w:sz w:val="18"/>
                <w:szCs w:val="18"/>
              </w:rPr>
            </w:pPr>
          </w:p>
        </w:tc>
        <w:tc>
          <w:tcPr>
            <w:tcW w:w="1530" w:type="dxa"/>
            <w:vMerge/>
            <w:tcBorders>
              <w:top w:val="single" w:sz="4" w:space="0" w:color="auto"/>
              <w:left w:val="single" w:sz="4" w:space="0" w:color="auto"/>
              <w:bottom w:val="single" w:sz="4" w:space="0" w:color="000000"/>
              <w:right w:val="single" w:sz="4" w:space="0" w:color="auto"/>
            </w:tcBorders>
            <w:vAlign w:val="center"/>
            <w:hideMark/>
          </w:tcPr>
          <w:p w:rsidR="008564A6" w:rsidRPr="00B75B77" w:rsidRDefault="008564A6" w:rsidP="00055913">
            <w:pPr>
              <w:keepNext/>
              <w:jc w:val="left"/>
              <w:rPr>
                <w:rFonts w:ascii="Calibri" w:eastAsia="Times New Roman" w:hAnsi="Calibri"/>
                <w:b/>
                <w:bCs/>
                <w:color w:val="FFFFFF"/>
                <w:sz w:val="18"/>
                <w:szCs w:val="18"/>
              </w:rPr>
            </w:pPr>
          </w:p>
        </w:tc>
        <w:tc>
          <w:tcPr>
            <w:tcW w:w="2070" w:type="dxa"/>
            <w:vMerge/>
            <w:tcBorders>
              <w:top w:val="single" w:sz="4" w:space="0" w:color="auto"/>
              <w:left w:val="single" w:sz="4" w:space="0" w:color="auto"/>
              <w:bottom w:val="single" w:sz="4" w:space="0" w:color="000000"/>
              <w:right w:val="single" w:sz="4" w:space="0" w:color="auto"/>
            </w:tcBorders>
            <w:vAlign w:val="center"/>
            <w:hideMark/>
          </w:tcPr>
          <w:p w:rsidR="008564A6" w:rsidRPr="00B75B77" w:rsidRDefault="008564A6" w:rsidP="00055913">
            <w:pPr>
              <w:keepNext/>
              <w:jc w:val="left"/>
              <w:rPr>
                <w:rFonts w:ascii="Calibri" w:eastAsia="Times New Roman" w:hAnsi="Calibri"/>
                <w:b/>
                <w:bCs/>
                <w:color w:val="FFFFFF"/>
                <w:sz w:val="18"/>
                <w:szCs w:val="18"/>
              </w:rPr>
            </w:pPr>
          </w:p>
        </w:tc>
      </w:tr>
      <w:tr w:rsidR="008564A6" w:rsidRPr="00B75B77" w:rsidTr="00E163F4">
        <w:trPr>
          <w:trHeight w:val="300"/>
        </w:trPr>
        <w:tc>
          <w:tcPr>
            <w:tcW w:w="1435" w:type="dxa"/>
            <w:vMerge/>
            <w:tcBorders>
              <w:top w:val="single" w:sz="4" w:space="0" w:color="auto"/>
              <w:left w:val="single" w:sz="4" w:space="0" w:color="auto"/>
              <w:bottom w:val="single" w:sz="4" w:space="0" w:color="000000"/>
              <w:right w:val="single" w:sz="4" w:space="0" w:color="auto"/>
            </w:tcBorders>
            <w:vAlign w:val="center"/>
            <w:hideMark/>
          </w:tcPr>
          <w:p w:rsidR="008564A6" w:rsidRPr="00B75B77" w:rsidRDefault="008564A6" w:rsidP="00055913">
            <w:pPr>
              <w:keepNext/>
              <w:jc w:val="left"/>
              <w:rPr>
                <w:rFonts w:ascii="Calibri" w:eastAsia="Times New Roman" w:hAnsi="Calibri"/>
                <w:b/>
                <w:bCs/>
                <w:color w:val="FFFFFF"/>
                <w:sz w:val="18"/>
                <w:szCs w:val="18"/>
              </w:rPr>
            </w:pPr>
          </w:p>
        </w:tc>
        <w:tc>
          <w:tcPr>
            <w:tcW w:w="1535" w:type="dxa"/>
            <w:vMerge/>
            <w:tcBorders>
              <w:top w:val="single" w:sz="4" w:space="0" w:color="auto"/>
              <w:left w:val="single" w:sz="4" w:space="0" w:color="auto"/>
              <w:bottom w:val="single" w:sz="4" w:space="0" w:color="000000"/>
              <w:right w:val="single" w:sz="4" w:space="0" w:color="auto"/>
            </w:tcBorders>
            <w:vAlign w:val="center"/>
            <w:hideMark/>
          </w:tcPr>
          <w:p w:rsidR="008564A6" w:rsidRPr="00B75B77" w:rsidRDefault="008564A6" w:rsidP="00055913">
            <w:pPr>
              <w:keepNext/>
              <w:jc w:val="left"/>
              <w:rPr>
                <w:rFonts w:ascii="Calibri" w:eastAsia="Times New Roman" w:hAnsi="Calibri"/>
                <w:b/>
                <w:bCs/>
                <w:color w:val="FFFFFF"/>
                <w:sz w:val="18"/>
                <w:szCs w:val="18"/>
              </w:rPr>
            </w:pPr>
          </w:p>
        </w:tc>
        <w:tc>
          <w:tcPr>
            <w:tcW w:w="1435" w:type="dxa"/>
            <w:vMerge/>
            <w:tcBorders>
              <w:top w:val="single" w:sz="4" w:space="0" w:color="auto"/>
              <w:left w:val="single" w:sz="4" w:space="0" w:color="auto"/>
              <w:bottom w:val="single" w:sz="4" w:space="0" w:color="000000"/>
              <w:right w:val="single" w:sz="4" w:space="0" w:color="auto"/>
            </w:tcBorders>
            <w:vAlign w:val="center"/>
            <w:hideMark/>
          </w:tcPr>
          <w:p w:rsidR="008564A6" w:rsidRPr="00B75B77" w:rsidRDefault="008564A6" w:rsidP="00055913">
            <w:pPr>
              <w:keepNext/>
              <w:jc w:val="left"/>
              <w:rPr>
                <w:rFonts w:ascii="Calibri" w:eastAsia="Times New Roman" w:hAnsi="Calibri"/>
                <w:b/>
                <w:bCs/>
                <w:color w:val="FFFFFF"/>
                <w:sz w:val="18"/>
                <w:szCs w:val="18"/>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rsidR="008564A6" w:rsidRPr="00B75B77" w:rsidRDefault="008564A6" w:rsidP="00055913">
            <w:pPr>
              <w:keepNext/>
              <w:jc w:val="left"/>
              <w:rPr>
                <w:rFonts w:ascii="Calibri" w:eastAsia="Times New Roman" w:hAnsi="Calibri"/>
                <w:b/>
                <w:bCs/>
                <w:color w:val="FFFFFF"/>
                <w:sz w:val="18"/>
                <w:szCs w:val="18"/>
              </w:rPr>
            </w:pPr>
          </w:p>
        </w:tc>
        <w:tc>
          <w:tcPr>
            <w:tcW w:w="1530" w:type="dxa"/>
            <w:vMerge/>
            <w:tcBorders>
              <w:top w:val="single" w:sz="4" w:space="0" w:color="auto"/>
              <w:left w:val="single" w:sz="4" w:space="0" w:color="auto"/>
              <w:bottom w:val="single" w:sz="4" w:space="0" w:color="000000"/>
              <w:right w:val="single" w:sz="4" w:space="0" w:color="auto"/>
            </w:tcBorders>
            <w:vAlign w:val="center"/>
            <w:hideMark/>
          </w:tcPr>
          <w:p w:rsidR="008564A6" w:rsidRPr="00B75B77" w:rsidRDefault="008564A6" w:rsidP="00055913">
            <w:pPr>
              <w:keepNext/>
              <w:jc w:val="left"/>
              <w:rPr>
                <w:rFonts w:ascii="Calibri" w:eastAsia="Times New Roman" w:hAnsi="Calibri"/>
                <w:b/>
                <w:bCs/>
                <w:color w:val="FFFFFF"/>
                <w:sz w:val="18"/>
                <w:szCs w:val="18"/>
              </w:rPr>
            </w:pPr>
          </w:p>
        </w:tc>
        <w:tc>
          <w:tcPr>
            <w:tcW w:w="2070" w:type="dxa"/>
            <w:vMerge/>
            <w:tcBorders>
              <w:top w:val="single" w:sz="4" w:space="0" w:color="auto"/>
              <w:left w:val="single" w:sz="4" w:space="0" w:color="auto"/>
              <w:bottom w:val="single" w:sz="4" w:space="0" w:color="000000"/>
              <w:right w:val="single" w:sz="4" w:space="0" w:color="auto"/>
            </w:tcBorders>
            <w:vAlign w:val="center"/>
            <w:hideMark/>
          </w:tcPr>
          <w:p w:rsidR="008564A6" w:rsidRPr="00B75B77" w:rsidRDefault="008564A6" w:rsidP="00055913">
            <w:pPr>
              <w:keepNext/>
              <w:jc w:val="left"/>
              <w:rPr>
                <w:rFonts w:ascii="Calibri" w:eastAsia="Times New Roman" w:hAnsi="Calibri"/>
                <w:b/>
                <w:bCs/>
                <w:color w:val="FFFFFF"/>
                <w:sz w:val="18"/>
                <w:szCs w:val="18"/>
              </w:rPr>
            </w:pPr>
          </w:p>
        </w:tc>
      </w:tr>
      <w:tr w:rsidR="008564A6" w:rsidRPr="00B75B77" w:rsidTr="00E163F4">
        <w:trPr>
          <w:trHeight w:val="300"/>
        </w:trPr>
        <w:tc>
          <w:tcPr>
            <w:tcW w:w="1435" w:type="dxa"/>
            <w:tcBorders>
              <w:top w:val="nil"/>
              <w:left w:val="single" w:sz="4" w:space="0" w:color="448A99"/>
              <w:bottom w:val="single" w:sz="4" w:space="0" w:color="448A99"/>
              <w:right w:val="single" w:sz="4" w:space="0" w:color="448A99"/>
            </w:tcBorders>
            <w:shd w:val="clear" w:color="000000" w:fill="D2EAF1"/>
            <w:vAlign w:val="center"/>
            <w:hideMark/>
          </w:tcPr>
          <w:p w:rsidR="008564A6" w:rsidRPr="00B75B77" w:rsidRDefault="008564A6" w:rsidP="00055913">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Large</w:t>
            </w:r>
          </w:p>
        </w:tc>
        <w:tc>
          <w:tcPr>
            <w:tcW w:w="1535" w:type="dxa"/>
            <w:tcBorders>
              <w:top w:val="nil"/>
              <w:left w:val="nil"/>
              <w:bottom w:val="single" w:sz="4" w:space="0" w:color="448A99"/>
              <w:right w:val="single" w:sz="4" w:space="0" w:color="448A99"/>
            </w:tcBorders>
            <w:shd w:val="clear" w:color="000000" w:fill="D2EAF1"/>
            <w:vAlign w:val="center"/>
            <w:hideMark/>
          </w:tcPr>
          <w:p w:rsidR="008564A6" w:rsidRPr="00B75B77" w:rsidRDefault="008564A6" w:rsidP="00055913">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2,706</w:t>
            </w:r>
          </w:p>
        </w:tc>
        <w:tc>
          <w:tcPr>
            <w:tcW w:w="1435" w:type="dxa"/>
            <w:tcBorders>
              <w:top w:val="nil"/>
              <w:left w:val="nil"/>
              <w:bottom w:val="single" w:sz="4" w:space="0" w:color="448A99"/>
              <w:right w:val="single" w:sz="4" w:space="0" w:color="448A99"/>
            </w:tcBorders>
            <w:shd w:val="clear" w:color="000000" w:fill="D2EAF1"/>
            <w:vAlign w:val="center"/>
            <w:hideMark/>
          </w:tcPr>
          <w:p w:rsidR="008564A6" w:rsidRPr="00B75B77" w:rsidRDefault="008564A6" w:rsidP="00055913">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1.02</w:t>
            </w:r>
          </w:p>
        </w:tc>
        <w:tc>
          <w:tcPr>
            <w:tcW w:w="1350" w:type="dxa"/>
            <w:tcBorders>
              <w:top w:val="nil"/>
              <w:left w:val="nil"/>
              <w:bottom w:val="single" w:sz="4" w:space="0" w:color="448A99"/>
              <w:right w:val="single" w:sz="4" w:space="0" w:color="448A99"/>
            </w:tcBorders>
            <w:shd w:val="clear" w:color="000000" w:fill="D2EAF1"/>
            <w:vAlign w:val="center"/>
            <w:hideMark/>
          </w:tcPr>
          <w:p w:rsidR="008564A6" w:rsidRPr="00B75B77" w:rsidRDefault="008564A6" w:rsidP="00055913">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2,747</w:t>
            </w:r>
          </w:p>
        </w:tc>
        <w:tc>
          <w:tcPr>
            <w:tcW w:w="1530" w:type="dxa"/>
            <w:tcBorders>
              <w:top w:val="nil"/>
              <w:left w:val="nil"/>
              <w:bottom w:val="single" w:sz="4" w:space="0" w:color="448A99"/>
              <w:right w:val="single" w:sz="4" w:space="0" w:color="448A99"/>
            </w:tcBorders>
            <w:shd w:val="clear" w:color="000000" w:fill="D2EAF1"/>
            <w:vAlign w:val="center"/>
            <w:hideMark/>
          </w:tcPr>
          <w:p w:rsidR="008564A6" w:rsidRPr="00B75B77" w:rsidRDefault="008564A6" w:rsidP="00055913">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0.23</w:t>
            </w:r>
          </w:p>
        </w:tc>
        <w:tc>
          <w:tcPr>
            <w:tcW w:w="2070" w:type="dxa"/>
            <w:tcBorders>
              <w:top w:val="nil"/>
              <w:left w:val="nil"/>
              <w:bottom w:val="single" w:sz="4" w:space="0" w:color="448A99"/>
              <w:right w:val="single" w:sz="4" w:space="0" w:color="448A99"/>
            </w:tcBorders>
            <w:shd w:val="clear" w:color="000000" w:fill="D2EAF1"/>
            <w:vAlign w:val="center"/>
            <w:hideMark/>
          </w:tcPr>
          <w:p w:rsidR="008564A6" w:rsidRPr="00B75B77" w:rsidRDefault="008564A6" w:rsidP="00055913">
            <w:pPr>
              <w:keepNext/>
              <w:jc w:val="center"/>
              <w:rPr>
                <w:rFonts w:ascii="Calibri" w:eastAsia="Times New Roman" w:hAnsi="Calibri"/>
                <w:color w:val="000000"/>
                <w:sz w:val="18"/>
                <w:szCs w:val="18"/>
              </w:rPr>
            </w:pPr>
            <w:bookmarkStart w:id="973" w:name="RANGE!G36:G37"/>
            <w:r w:rsidRPr="00B75B77">
              <w:rPr>
                <w:rFonts w:ascii="Calibri" w:eastAsia="Times New Roman" w:hAnsi="Calibri"/>
                <w:color w:val="000000"/>
                <w:sz w:val="18"/>
                <w:szCs w:val="18"/>
              </w:rPr>
              <w:t>13%</w:t>
            </w:r>
            <w:bookmarkEnd w:id="973"/>
          </w:p>
        </w:tc>
      </w:tr>
      <w:tr w:rsidR="008564A6" w:rsidRPr="00B75B77" w:rsidTr="00E163F4">
        <w:trPr>
          <w:trHeight w:val="300"/>
        </w:trPr>
        <w:tc>
          <w:tcPr>
            <w:tcW w:w="1435" w:type="dxa"/>
            <w:tcBorders>
              <w:top w:val="nil"/>
              <w:left w:val="single" w:sz="4" w:space="0" w:color="448A99"/>
              <w:bottom w:val="single" w:sz="4" w:space="0" w:color="448A99"/>
              <w:right w:val="single" w:sz="4" w:space="0" w:color="448A99"/>
            </w:tcBorders>
            <w:shd w:val="clear" w:color="000000" w:fill="FFFFFF"/>
            <w:vAlign w:val="center"/>
            <w:hideMark/>
          </w:tcPr>
          <w:p w:rsidR="008564A6" w:rsidRPr="00B75B77" w:rsidRDefault="008564A6" w:rsidP="00055913">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Small</w:t>
            </w:r>
          </w:p>
        </w:tc>
        <w:tc>
          <w:tcPr>
            <w:tcW w:w="1535" w:type="dxa"/>
            <w:tcBorders>
              <w:top w:val="nil"/>
              <w:left w:val="nil"/>
              <w:bottom w:val="single" w:sz="4" w:space="0" w:color="448A99"/>
              <w:right w:val="single" w:sz="4" w:space="0" w:color="448A99"/>
            </w:tcBorders>
            <w:shd w:val="clear" w:color="000000" w:fill="FFFFFF"/>
            <w:vAlign w:val="center"/>
            <w:hideMark/>
          </w:tcPr>
          <w:p w:rsidR="008564A6" w:rsidRPr="00B75B77" w:rsidRDefault="008564A6" w:rsidP="00055913">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2,408</w:t>
            </w:r>
          </w:p>
        </w:tc>
        <w:tc>
          <w:tcPr>
            <w:tcW w:w="1435" w:type="dxa"/>
            <w:tcBorders>
              <w:top w:val="nil"/>
              <w:left w:val="nil"/>
              <w:bottom w:val="single" w:sz="4" w:space="0" w:color="448A99"/>
              <w:right w:val="single" w:sz="4" w:space="0" w:color="448A99"/>
            </w:tcBorders>
            <w:shd w:val="clear" w:color="000000" w:fill="FFFFFF"/>
            <w:vAlign w:val="center"/>
            <w:hideMark/>
          </w:tcPr>
          <w:p w:rsidR="008564A6" w:rsidRPr="00B75B77" w:rsidRDefault="008564A6" w:rsidP="00055913">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0.92</w:t>
            </w:r>
          </w:p>
        </w:tc>
        <w:tc>
          <w:tcPr>
            <w:tcW w:w="1350" w:type="dxa"/>
            <w:tcBorders>
              <w:top w:val="nil"/>
              <w:left w:val="nil"/>
              <w:bottom w:val="single" w:sz="4" w:space="0" w:color="448A99"/>
              <w:right w:val="single" w:sz="4" w:space="0" w:color="448A99"/>
            </w:tcBorders>
            <w:shd w:val="clear" w:color="000000" w:fill="FFFFFF"/>
            <w:vAlign w:val="center"/>
            <w:hideMark/>
          </w:tcPr>
          <w:p w:rsidR="008564A6" w:rsidRPr="00B75B77" w:rsidRDefault="008564A6" w:rsidP="00055913">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2,224</w:t>
            </w:r>
          </w:p>
        </w:tc>
        <w:tc>
          <w:tcPr>
            <w:tcW w:w="1530" w:type="dxa"/>
            <w:tcBorders>
              <w:top w:val="nil"/>
              <w:left w:val="nil"/>
              <w:bottom w:val="single" w:sz="4" w:space="0" w:color="448A99"/>
              <w:right w:val="single" w:sz="4" w:space="0" w:color="448A99"/>
            </w:tcBorders>
            <w:shd w:val="clear" w:color="000000" w:fill="FFFFFF"/>
            <w:vAlign w:val="center"/>
            <w:hideMark/>
          </w:tcPr>
          <w:p w:rsidR="008564A6" w:rsidRPr="00B75B77" w:rsidRDefault="008564A6" w:rsidP="00055913">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0.29</w:t>
            </w:r>
          </w:p>
        </w:tc>
        <w:tc>
          <w:tcPr>
            <w:tcW w:w="2070" w:type="dxa"/>
            <w:tcBorders>
              <w:top w:val="nil"/>
              <w:left w:val="nil"/>
              <w:bottom w:val="single" w:sz="4" w:space="0" w:color="448A99"/>
              <w:right w:val="single" w:sz="4" w:space="0" w:color="448A99"/>
            </w:tcBorders>
            <w:shd w:val="clear" w:color="000000" w:fill="FFFFFF"/>
            <w:vAlign w:val="center"/>
            <w:hideMark/>
          </w:tcPr>
          <w:p w:rsidR="008564A6" w:rsidRPr="00B75B77" w:rsidRDefault="008564A6" w:rsidP="00055913">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20%</w:t>
            </w:r>
          </w:p>
        </w:tc>
      </w:tr>
      <w:tr w:rsidR="008564A6" w:rsidRPr="00B75B77" w:rsidTr="00E163F4">
        <w:trPr>
          <w:trHeight w:val="288"/>
        </w:trPr>
        <w:tc>
          <w:tcPr>
            <w:tcW w:w="1435" w:type="dxa"/>
            <w:tcBorders>
              <w:top w:val="nil"/>
              <w:left w:val="single" w:sz="4" w:space="0" w:color="448A99"/>
              <w:bottom w:val="single" w:sz="4" w:space="0" w:color="448A99"/>
              <w:right w:val="single" w:sz="4" w:space="0" w:color="448A99"/>
            </w:tcBorders>
            <w:shd w:val="clear" w:color="000000" w:fill="D2EAF1"/>
            <w:vAlign w:val="center"/>
            <w:hideMark/>
          </w:tcPr>
          <w:p w:rsidR="008564A6" w:rsidRPr="00B75B77" w:rsidRDefault="008564A6" w:rsidP="00055913">
            <w:pPr>
              <w:keepNext/>
              <w:jc w:val="left"/>
              <w:rPr>
                <w:rFonts w:ascii="Calibri" w:eastAsia="Times New Roman" w:hAnsi="Calibri"/>
                <w:color w:val="000000"/>
                <w:sz w:val="18"/>
                <w:szCs w:val="18"/>
              </w:rPr>
            </w:pPr>
            <w:r w:rsidRPr="00B75B77">
              <w:rPr>
                <w:rFonts w:ascii="Calibri" w:eastAsia="Times New Roman" w:hAnsi="Calibri"/>
                <w:b/>
                <w:color w:val="000000"/>
                <w:sz w:val="18"/>
                <w:szCs w:val="18"/>
              </w:rPr>
              <w:t>PROGRAM TOTAL</w:t>
            </w:r>
          </w:p>
        </w:tc>
        <w:tc>
          <w:tcPr>
            <w:tcW w:w="1535" w:type="dxa"/>
            <w:tcBorders>
              <w:top w:val="nil"/>
              <w:left w:val="nil"/>
              <w:bottom w:val="single" w:sz="4" w:space="0" w:color="448A99"/>
              <w:right w:val="single" w:sz="4" w:space="0" w:color="448A99"/>
            </w:tcBorders>
            <w:shd w:val="clear" w:color="000000" w:fill="D2EAF1"/>
            <w:vAlign w:val="center"/>
            <w:hideMark/>
          </w:tcPr>
          <w:p w:rsidR="008564A6" w:rsidRPr="00B75B77" w:rsidRDefault="008564A6" w:rsidP="00055913">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5,114</w:t>
            </w:r>
          </w:p>
        </w:tc>
        <w:tc>
          <w:tcPr>
            <w:tcW w:w="1435" w:type="dxa"/>
            <w:tcBorders>
              <w:top w:val="nil"/>
              <w:left w:val="nil"/>
              <w:bottom w:val="single" w:sz="4" w:space="0" w:color="448A99"/>
              <w:right w:val="single" w:sz="4" w:space="0" w:color="448A99"/>
            </w:tcBorders>
            <w:shd w:val="clear" w:color="000000" w:fill="D2EAF1"/>
            <w:vAlign w:val="center"/>
            <w:hideMark/>
          </w:tcPr>
          <w:p w:rsidR="008564A6" w:rsidRPr="00B75B77" w:rsidRDefault="008564A6" w:rsidP="00055913">
            <w:pPr>
              <w:keepNext/>
              <w:jc w:val="center"/>
              <w:rPr>
                <w:rFonts w:ascii="Calibri" w:eastAsia="Times New Roman" w:hAnsi="Calibri"/>
                <w:color w:val="000000"/>
                <w:sz w:val="18"/>
                <w:szCs w:val="18"/>
              </w:rPr>
            </w:pPr>
            <w:bookmarkStart w:id="974" w:name="RANGE!D38"/>
            <w:r w:rsidRPr="00B75B77">
              <w:rPr>
                <w:rFonts w:ascii="Calibri" w:eastAsia="Times New Roman" w:hAnsi="Calibri"/>
                <w:color w:val="000000"/>
                <w:sz w:val="18"/>
                <w:szCs w:val="18"/>
              </w:rPr>
              <w:t>0.97</w:t>
            </w:r>
            <w:bookmarkEnd w:id="974"/>
          </w:p>
        </w:tc>
        <w:tc>
          <w:tcPr>
            <w:tcW w:w="1350" w:type="dxa"/>
            <w:tcBorders>
              <w:top w:val="nil"/>
              <w:left w:val="nil"/>
              <w:bottom w:val="single" w:sz="4" w:space="0" w:color="448A99"/>
              <w:right w:val="single" w:sz="4" w:space="0" w:color="448A99"/>
            </w:tcBorders>
            <w:shd w:val="clear" w:color="000000" w:fill="D2EAF1"/>
            <w:vAlign w:val="center"/>
            <w:hideMark/>
          </w:tcPr>
          <w:p w:rsidR="008564A6" w:rsidRPr="00B75B77" w:rsidRDefault="008564A6" w:rsidP="00055913">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4,971</w:t>
            </w:r>
          </w:p>
        </w:tc>
        <w:tc>
          <w:tcPr>
            <w:tcW w:w="1530" w:type="dxa"/>
            <w:tcBorders>
              <w:top w:val="nil"/>
              <w:left w:val="nil"/>
              <w:bottom w:val="single" w:sz="4" w:space="0" w:color="448A99"/>
              <w:right w:val="single" w:sz="4" w:space="0" w:color="448A99"/>
            </w:tcBorders>
            <w:shd w:val="clear" w:color="000000" w:fill="D2EAF1"/>
            <w:vAlign w:val="center"/>
            <w:hideMark/>
          </w:tcPr>
          <w:p w:rsidR="008564A6" w:rsidRPr="00B75B77" w:rsidRDefault="008564A6" w:rsidP="00055913">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N/A</w:t>
            </w:r>
          </w:p>
        </w:tc>
        <w:tc>
          <w:tcPr>
            <w:tcW w:w="2070" w:type="dxa"/>
            <w:tcBorders>
              <w:top w:val="nil"/>
              <w:left w:val="nil"/>
              <w:bottom w:val="single" w:sz="4" w:space="0" w:color="448A99"/>
              <w:right w:val="single" w:sz="4" w:space="0" w:color="448A99"/>
            </w:tcBorders>
            <w:shd w:val="clear" w:color="000000" w:fill="D2EAF1"/>
            <w:vAlign w:val="center"/>
            <w:hideMark/>
          </w:tcPr>
          <w:p w:rsidR="008564A6" w:rsidRPr="00B75B77" w:rsidRDefault="008564A6" w:rsidP="00055913">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11%</w:t>
            </w:r>
          </w:p>
        </w:tc>
      </w:tr>
    </w:tbl>
    <w:p w:rsidR="008564A6" w:rsidRPr="00B75B77" w:rsidRDefault="008564A6" w:rsidP="00055913">
      <w:pPr>
        <w:keepNext/>
        <w:spacing w:before="20" w:after="20"/>
        <w:jc w:val="left"/>
        <w:rPr>
          <w:rFonts w:eastAsia="Times New Roman"/>
          <w:i/>
          <w:sz w:val="18"/>
          <w:szCs w:val="20"/>
        </w:rPr>
      </w:pPr>
      <w:r w:rsidRPr="00B75B77">
        <w:rPr>
          <w:rFonts w:ascii="Calibri" w:eastAsia="Times New Roman" w:hAnsi="Calibri"/>
          <w:iCs/>
          <w:color w:val="000000"/>
          <w:sz w:val="18"/>
          <w:szCs w:val="18"/>
        </w:rPr>
        <w:t>Note: Values in tables may not reconcile exactly with the sum of more detailed level results or previously reported results due to rounding.</w:t>
      </w:r>
    </w:p>
    <w:p w:rsidR="008564A6" w:rsidRPr="00B75B77" w:rsidRDefault="008564A6" w:rsidP="00055913">
      <w:pPr>
        <w:pStyle w:val="Source"/>
        <w:ind w:hanging="720"/>
      </w:pPr>
      <w:r w:rsidRPr="00B75B77">
        <w:t>Source: Navigant analysis</w:t>
      </w:r>
    </w:p>
    <w:p w:rsidR="008564A6" w:rsidRPr="00B75B77" w:rsidRDefault="00006419" w:rsidP="00E163F4">
      <w:pPr>
        <w:keepNext/>
      </w:pPr>
      <w:r w:rsidRPr="00B75B77">
        <w:lastRenderedPageBreak/>
        <w:fldChar w:fldCharType="begin"/>
      </w:r>
      <w:r w:rsidRPr="00B75B77">
        <w:instrText xml:space="preserve"> REF _Ref464200541 \h </w:instrText>
      </w:r>
      <w:r w:rsidR="00B75B77">
        <w:instrText xml:space="preserve"> \* MERGEFORMAT </w:instrText>
      </w:r>
      <w:r w:rsidRPr="00B75B77">
        <w:fldChar w:fldCharType="separate"/>
      </w:r>
      <w:r w:rsidR="0004016D" w:rsidRPr="00B75B77">
        <w:t xml:space="preserve">Table </w:t>
      </w:r>
      <w:r w:rsidR="0004016D">
        <w:rPr>
          <w:noProof/>
        </w:rPr>
        <w:t>16</w:t>
      </w:r>
      <w:r w:rsidR="0004016D" w:rsidRPr="00B75B77">
        <w:rPr>
          <w:noProof/>
        </w:rPr>
        <w:noBreakHyphen/>
      </w:r>
      <w:r w:rsidR="0004016D">
        <w:rPr>
          <w:noProof/>
        </w:rPr>
        <w:t>4</w:t>
      </w:r>
      <w:r w:rsidRPr="00B75B77">
        <w:fldChar w:fldCharType="end"/>
      </w:r>
      <w:r w:rsidR="008564A6" w:rsidRPr="00B75B77">
        <w:t xml:space="preserve"> presents evaluation results for demand reduction. The realization rate for the program as a whole in PY7 was 0.97. The evaluation team found only minor discrepancies with the peak HOU used in the CSP’s calculations as compared to those reported by the sampled participants</w:t>
      </w:r>
      <w:r w:rsidRPr="00B75B77">
        <w:t>—</w:t>
      </w:r>
      <w:r w:rsidR="008564A6" w:rsidRPr="00B75B77">
        <w:t xml:space="preserve">mainly for projects installing HVAC equipment. </w:t>
      </w:r>
    </w:p>
    <w:p w:rsidR="008564A6" w:rsidRPr="00B75B77" w:rsidRDefault="008564A6" w:rsidP="00286B52"/>
    <w:p w:rsidR="008564A6" w:rsidRPr="00B75B77" w:rsidRDefault="008564A6" w:rsidP="00E163F4">
      <w:pPr>
        <w:pStyle w:val="Caption"/>
      </w:pPr>
      <w:bookmarkStart w:id="975" w:name="_Ref464200541"/>
      <w:bookmarkStart w:id="976" w:name="_Ref463260613"/>
      <w:bookmarkStart w:id="977" w:name="_Toc466413650"/>
      <w:r w:rsidRPr="00B75B77">
        <w:t xml:space="preserve">Table </w:t>
      </w:r>
      <w:fldSimple w:instr=" STYLEREF 1 \s ">
        <w:r w:rsidR="0004016D">
          <w:rPr>
            <w:noProof/>
          </w:rPr>
          <w:t>16</w:t>
        </w:r>
      </w:fldSimple>
      <w:r w:rsidR="00F1144C" w:rsidRPr="00B75B77">
        <w:noBreakHyphen/>
      </w:r>
      <w:fldSimple w:instr=" SEQ Table \* ARABIC \s 1 ">
        <w:r w:rsidR="0004016D">
          <w:rPr>
            <w:noProof/>
          </w:rPr>
          <w:t>4</w:t>
        </w:r>
      </w:fldSimple>
      <w:bookmarkEnd w:id="975"/>
      <w:bookmarkEnd w:id="976"/>
      <w:r w:rsidRPr="00B75B77">
        <w:t>: PY7 Smart Business Solutions Summary of Evaluation Results for Demand</w:t>
      </w:r>
      <w:bookmarkEnd w:id="977"/>
    </w:p>
    <w:tbl>
      <w:tblPr>
        <w:tblW w:w="9355" w:type="dxa"/>
        <w:tblLook w:val="04A0" w:firstRow="1" w:lastRow="0" w:firstColumn="1" w:lastColumn="0" w:noHBand="0" w:noVBand="1"/>
      </w:tblPr>
      <w:tblGrid>
        <w:gridCol w:w="1705"/>
        <w:gridCol w:w="1620"/>
        <w:gridCol w:w="1080"/>
        <w:gridCol w:w="1440"/>
        <w:gridCol w:w="1620"/>
        <w:gridCol w:w="1890"/>
      </w:tblGrid>
      <w:tr w:rsidR="008564A6" w:rsidRPr="00B75B77" w:rsidTr="00E163F4">
        <w:trPr>
          <w:trHeight w:val="588"/>
        </w:trPr>
        <w:tc>
          <w:tcPr>
            <w:tcW w:w="1705"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8564A6" w:rsidRPr="00B75B77" w:rsidRDefault="008564A6" w:rsidP="00006419">
            <w:pPr>
              <w:jc w:val="left"/>
              <w:rPr>
                <w:rFonts w:ascii="Calibri" w:eastAsia="Times New Roman" w:hAnsi="Calibri"/>
                <w:b/>
                <w:bCs/>
                <w:color w:val="FFFFFF"/>
                <w:sz w:val="18"/>
                <w:szCs w:val="18"/>
              </w:rPr>
            </w:pPr>
            <w:r w:rsidRPr="00B75B77">
              <w:rPr>
                <w:rFonts w:ascii="Calibri" w:eastAsia="Times New Roman" w:hAnsi="Calibri"/>
                <w:b/>
                <w:bCs/>
                <w:color w:val="FFFFFF"/>
                <w:sz w:val="18"/>
                <w:szCs w:val="18"/>
              </w:rPr>
              <w:t>Stratum</w:t>
            </w:r>
          </w:p>
        </w:tc>
        <w:tc>
          <w:tcPr>
            <w:tcW w:w="162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8564A6" w:rsidRPr="00B75B77" w:rsidRDefault="008564A6" w:rsidP="00E163F4">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Reported Gross Demand Savings </w:t>
            </w:r>
            <w:r w:rsidRPr="00B75B77">
              <w:rPr>
                <w:rFonts w:ascii="Calibri" w:eastAsia="Times New Roman" w:hAnsi="Calibri"/>
                <w:b/>
                <w:bCs/>
                <w:color w:val="FFFFFF"/>
                <w:sz w:val="18"/>
                <w:szCs w:val="18"/>
              </w:rPr>
              <w:br/>
              <w:t>(MW)</w:t>
            </w:r>
            <w:r w:rsidRPr="00B75B77">
              <w:rPr>
                <w:rFonts w:ascii="Calibri" w:eastAsia="Times New Roman" w:hAnsi="Calibri"/>
                <w:b/>
                <w:bCs/>
                <w:color w:val="FFFFFF"/>
                <w:sz w:val="18"/>
                <w:szCs w:val="18"/>
                <w:vertAlign w:val="superscript"/>
              </w:rPr>
              <w:t xml:space="preserve"> [1]</w:t>
            </w:r>
          </w:p>
        </w:tc>
        <w:tc>
          <w:tcPr>
            <w:tcW w:w="108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8564A6" w:rsidRPr="00B75B77" w:rsidRDefault="008564A6" w:rsidP="00E163F4">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Demand Realization Rate (%)</w:t>
            </w:r>
          </w:p>
        </w:tc>
        <w:tc>
          <w:tcPr>
            <w:tcW w:w="144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8564A6" w:rsidRPr="00B75B77" w:rsidRDefault="008564A6" w:rsidP="00E163F4">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Verified Gross Demand Savings (MW)</w:t>
            </w:r>
            <w:r w:rsidRPr="00B75B77">
              <w:rPr>
                <w:rFonts w:ascii="Calibri" w:eastAsia="Times New Roman" w:hAnsi="Calibri"/>
                <w:b/>
                <w:bCs/>
                <w:color w:val="FFFFFF"/>
                <w:sz w:val="18"/>
                <w:szCs w:val="18"/>
                <w:vertAlign w:val="superscript"/>
              </w:rPr>
              <w:t xml:space="preserve"> [1]</w:t>
            </w:r>
          </w:p>
        </w:tc>
        <w:tc>
          <w:tcPr>
            <w:tcW w:w="162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8564A6" w:rsidRPr="00B75B77" w:rsidRDefault="008564A6" w:rsidP="00E163F4">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Observed CV or Proportion in Sample Design</w:t>
            </w:r>
          </w:p>
        </w:tc>
        <w:tc>
          <w:tcPr>
            <w:tcW w:w="1890" w:type="dxa"/>
            <w:vMerge w:val="restart"/>
            <w:tcBorders>
              <w:top w:val="single" w:sz="4" w:space="0" w:color="auto"/>
              <w:left w:val="single" w:sz="4" w:space="0" w:color="auto"/>
              <w:bottom w:val="single" w:sz="4" w:space="0" w:color="000000"/>
              <w:right w:val="single" w:sz="4" w:space="0" w:color="auto"/>
            </w:tcBorders>
            <w:shd w:val="clear" w:color="000000" w:fill="448A99"/>
            <w:vAlign w:val="center"/>
            <w:hideMark/>
          </w:tcPr>
          <w:p w:rsidR="008564A6" w:rsidRPr="00B75B77" w:rsidRDefault="008564A6" w:rsidP="00006419">
            <w:pPr>
              <w:jc w:val="center"/>
              <w:rPr>
                <w:rFonts w:ascii="Calibri" w:eastAsia="Times New Roman" w:hAnsi="Calibri"/>
                <w:b/>
                <w:bCs/>
                <w:color w:val="FFFFFF"/>
                <w:sz w:val="18"/>
                <w:szCs w:val="18"/>
              </w:rPr>
            </w:pPr>
            <w:r w:rsidRPr="00B75B77">
              <w:rPr>
                <w:rFonts w:ascii="Calibri" w:eastAsia="Times New Roman" w:hAnsi="Calibri"/>
                <w:b/>
                <w:bCs/>
                <w:color w:val="FFFFFF"/>
                <w:sz w:val="18"/>
                <w:szCs w:val="18"/>
              </w:rPr>
              <w:t xml:space="preserve">Relative Precision at 85% </w:t>
            </w:r>
            <w:r w:rsidR="00006419" w:rsidRPr="00B75B77">
              <w:rPr>
                <w:rFonts w:ascii="Calibri" w:eastAsia="Times New Roman" w:hAnsi="Calibri"/>
                <w:b/>
                <w:bCs/>
                <w:color w:val="FFFFFF"/>
                <w:sz w:val="18"/>
                <w:szCs w:val="18"/>
              </w:rPr>
              <w:t>Confidence Interval</w:t>
            </w:r>
          </w:p>
        </w:tc>
      </w:tr>
      <w:tr w:rsidR="008564A6" w:rsidRPr="00B75B77" w:rsidTr="00E163F4">
        <w:trPr>
          <w:trHeight w:val="288"/>
        </w:trPr>
        <w:tc>
          <w:tcPr>
            <w:tcW w:w="1705" w:type="dxa"/>
            <w:vMerge/>
            <w:tcBorders>
              <w:top w:val="single" w:sz="4" w:space="0" w:color="auto"/>
              <w:left w:val="single" w:sz="4" w:space="0" w:color="auto"/>
              <w:bottom w:val="single" w:sz="4" w:space="0" w:color="000000"/>
              <w:right w:val="single" w:sz="4" w:space="0" w:color="auto"/>
            </w:tcBorders>
            <w:vAlign w:val="center"/>
            <w:hideMark/>
          </w:tcPr>
          <w:p w:rsidR="008564A6" w:rsidRPr="00B75B77" w:rsidRDefault="008564A6" w:rsidP="00E163F4">
            <w:pPr>
              <w:jc w:val="left"/>
              <w:rPr>
                <w:rFonts w:ascii="Calibri" w:eastAsia="Times New Roman" w:hAnsi="Calibri"/>
                <w:b/>
                <w:bCs/>
                <w:color w:val="FFFFFF"/>
                <w:sz w:val="18"/>
                <w:szCs w:val="18"/>
              </w:rPr>
            </w:pPr>
          </w:p>
        </w:tc>
        <w:tc>
          <w:tcPr>
            <w:tcW w:w="1620" w:type="dxa"/>
            <w:vMerge/>
            <w:tcBorders>
              <w:top w:val="single" w:sz="4" w:space="0" w:color="auto"/>
              <w:left w:val="single" w:sz="4" w:space="0" w:color="auto"/>
              <w:bottom w:val="single" w:sz="4" w:space="0" w:color="000000"/>
              <w:right w:val="single" w:sz="4" w:space="0" w:color="auto"/>
            </w:tcBorders>
            <w:vAlign w:val="center"/>
            <w:hideMark/>
          </w:tcPr>
          <w:p w:rsidR="008564A6" w:rsidRPr="00B75B77" w:rsidRDefault="008564A6" w:rsidP="00E163F4">
            <w:pPr>
              <w:jc w:val="left"/>
              <w:rPr>
                <w:rFonts w:ascii="Calibri" w:eastAsia="Times New Roman" w:hAnsi="Calibri"/>
                <w:b/>
                <w:bCs/>
                <w:color w:val="FFFFFF"/>
                <w:sz w:val="18"/>
                <w:szCs w:val="18"/>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8564A6" w:rsidRPr="00B75B77" w:rsidRDefault="008564A6" w:rsidP="00E163F4">
            <w:pPr>
              <w:jc w:val="left"/>
              <w:rPr>
                <w:rFonts w:ascii="Calibri" w:eastAsia="Times New Roman" w:hAnsi="Calibri"/>
                <w:b/>
                <w:bCs/>
                <w:color w:val="FFFFFF"/>
                <w:sz w:val="18"/>
                <w:szCs w:val="18"/>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rsidR="008564A6" w:rsidRPr="00B75B77" w:rsidRDefault="008564A6" w:rsidP="00E163F4">
            <w:pPr>
              <w:jc w:val="left"/>
              <w:rPr>
                <w:rFonts w:ascii="Calibri" w:eastAsia="Times New Roman" w:hAnsi="Calibri"/>
                <w:b/>
                <w:bCs/>
                <w:color w:val="FFFFFF"/>
                <w:sz w:val="18"/>
                <w:szCs w:val="18"/>
              </w:rPr>
            </w:pPr>
          </w:p>
        </w:tc>
        <w:tc>
          <w:tcPr>
            <w:tcW w:w="1620" w:type="dxa"/>
            <w:vMerge/>
            <w:tcBorders>
              <w:top w:val="single" w:sz="4" w:space="0" w:color="auto"/>
              <w:left w:val="single" w:sz="4" w:space="0" w:color="auto"/>
              <w:bottom w:val="single" w:sz="4" w:space="0" w:color="000000"/>
              <w:right w:val="single" w:sz="4" w:space="0" w:color="auto"/>
            </w:tcBorders>
            <w:vAlign w:val="center"/>
            <w:hideMark/>
          </w:tcPr>
          <w:p w:rsidR="008564A6" w:rsidRPr="00B75B77" w:rsidRDefault="008564A6" w:rsidP="00E163F4">
            <w:pPr>
              <w:jc w:val="left"/>
              <w:rPr>
                <w:rFonts w:ascii="Calibri" w:eastAsia="Times New Roman" w:hAnsi="Calibri"/>
                <w:b/>
                <w:bCs/>
                <w:color w:val="FFFFFF"/>
                <w:sz w:val="18"/>
                <w:szCs w:val="18"/>
              </w:rPr>
            </w:pPr>
          </w:p>
        </w:tc>
        <w:tc>
          <w:tcPr>
            <w:tcW w:w="1890" w:type="dxa"/>
            <w:vMerge/>
            <w:tcBorders>
              <w:top w:val="single" w:sz="4" w:space="0" w:color="auto"/>
              <w:left w:val="single" w:sz="4" w:space="0" w:color="auto"/>
              <w:bottom w:val="single" w:sz="4" w:space="0" w:color="000000"/>
              <w:right w:val="single" w:sz="4" w:space="0" w:color="auto"/>
            </w:tcBorders>
            <w:vAlign w:val="center"/>
            <w:hideMark/>
          </w:tcPr>
          <w:p w:rsidR="008564A6" w:rsidRPr="00B75B77" w:rsidRDefault="008564A6" w:rsidP="00E163F4">
            <w:pPr>
              <w:jc w:val="left"/>
              <w:rPr>
                <w:rFonts w:ascii="Calibri" w:eastAsia="Times New Roman" w:hAnsi="Calibri"/>
                <w:b/>
                <w:bCs/>
                <w:color w:val="FFFFFF"/>
                <w:sz w:val="18"/>
                <w:szCs w:val="18"/>
              </w:rPr>
            </w:pPr>
          </w:p>
        </w:tc>
      </w:tr>
      <w:tr w:rsidR="008564A6" w:rsidRPr="00B75B77" w:rsidTr="00E163F4">
        <w:trPr>
          <w:trHeight w:val="300"/>
        </w:trPr>
        <w:tc>
          <w:tcPr>
            <w:tcW w:w="1705" w:type="dxa"/>
            <w:vMerge/>
            <w:tcBorders>
              <w:top w:val="single" w:sz="4" w:space="0" w:color="auto"/>
              <w:left w:val="single" w:sz="4" w:space="0" w:color="auto"/>
              <w:bottom w:val="single" w:sz="4" w:space="0" w:color="000000"/>
              <w:right w:val="single" w:sz="4" w:space="0" w:color="auto"/>
            </w:tcBorders>
            <w:vAlign w:val="center"/>
            <w:hideMark/>
          </w:tcPr>
          <w:p w:rsidR="008564A6" w:rsidRPr="00B75B77" w:rsidRDefault="008564A6" w:rsidP="00E163F4">
            <w:pPr>
              <w:jc w:val="left"/>
              <w:rPr>
                <w:rFonts w:ascii="Calibri" w:eastAsia="Times New Roman" w:hAnsi="Calibri"/>
                <w:b/>
                <w:bCs/>
                <w:color w:val="FFFFFF"/>
                <w:sz w:val="18"/>
                <w:szCs w:val="18"/>
              </w:rPr>
            </w:pPr>
          </w:p>
        </w:tc>
        <w:tc>
          <w:tcPr>
            <w:tcW w:w="1620" w:type="dxa"/>
            <w:vMerge/>
            <w:tcBorders>
              <w:top w:val="single" w:sz="4" w:space="0" w:color="auto"/>
              <w:left w:val="single" w:sz="4" w:space="0" w:color="auto"/>
              <w:bottom w:val="single" w:sz="4" w:space="0" w:color="000000"/>
              <w:right w:val="single" w:sz="4" w:space="0" w:color="auto"/>
            </w:tcBorders>
            <w:vAlign w:val="center"/>
            <w:hideMark/>
          </w:tcPr>
          <w:p w:rsidR="008564A6" w:rsidRPr="00B75B77" w:rsidRDefault="008564A6" w:rsidP="00E163F4">
            <w:pPr>
              <w:jc w:val="left"/>
              <w:rPr>
                <w:rFonts w:ascii="Calibri" w:eastAsia="Times New Roman" w:hAnsi="Calibri"/>
                <w:b/>
                <w:bCs/>
                <w:color w:val="FFFFFF"/>
                <w:sz w:val="18"/>
                <w:szCs w:val="18"/>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8564A6" w:rsidRPr="00B75B77" w:rsidRDefault="008564A6" w:rsidP="00E163F4">
            <w:pPr>
              <w:jc w:val="left"/>
              <w:rPr>
                <w:rFonts w:ascii="Calibri" w:eastAsia="Times New Roman" w:hAnsi="Calibri"/>
                <w:b/>
                <w:bCs/>
                <w:color w:val="FFFFFF"/>
                <w:sz w:val="18"/>
                <w:szCs w:val="18"/>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rsidR="008564A6" w:rsidRPr="00B75B77" w:rsidRDefault="008564A6" w:rsidP="00E163F4">
            <w:pPr>
              <w:jc w:val="left"/>
              <w:rPr>
                <w:rFonts w:ascii="Calibri" w:eastAsia="Times New Roman" w:hAnsi="Calibri"/>
                <w:b/>
                <w:bCs/>
                <w:color w:val="FFFFFF"/>
                <w:sz w:val="18"/>
                <w:szCs w:val="18"/>
              </w:rPr>
            </w:pPr>
          </w:p>
        </w:tc>
        <w:tc>
          <w:tcPr>
            <w:tcW w:w="1620" w:type="dxa"/>
            <w:vMerge/>
            <w:tcBorders>
              <w:top w:val="single" w:sz="4" w:space="0" w:color="auto"/>
              <w:left w:val="single" w:sz="4" w:space="0" w:color="auto"/>
              <w:bottom w:val="single" w:sz="4" w:space="0" w:color="000000"/>
              <w:right w:val="single" w:sz="4" w:space="0" w:color="auto"/>
            </w:tcBorders>
            <w:vAlign w:val="center"/>
            <w:hideMark/>
          </w:tcPr>
          <w:p w:rsidR="008564A6" w:rsidRPr="00B75B77" w:rsidRDefault="008564A6" w:rsidP="00E163F4">
            <w:pPr>
              <w:jc w:val="left"/>
              <w:rPr>
                <w:rFonts w:ascii="Calibri" w:eastAsia="Times New Roman" w:hAnsi="Calibri"/>
                <w:b/>
                <w:bCs/>
                <w:color w:val="FFFFFF"/>
                <w:sz w:val="18"/>
                <w:szCs w:val="18"/>
              </w:rPr>
            </w:pPr>
          </w:p>
        </w:tc>
        <w:tc>
          <w:tcPr>
            <w:tcW w:w="1890" w:type="dxa"/>
            <w:vMerge/>
            <w:tcBorders>
              <w:top w:val="single" w:sz="4" w:space="0" w:color="auto"/>
              <w:left w:val="single" w:sz="4" w:space="0" w:color="auto"/>
              <w:bottom w:val="single" w:sz="4" w:space="0" w:color="000000"/>
              <w:right w:val="single" w:sz="4" w:space="0" w:color="auto"/>
            </w:tcBorders>
            <w:vAlign w:val="center"/>
            <w:hideMark/>
          </w:tcPr>
          <w:p w:rsidR="008564A6" w:rsidRPr="00B75B77" w:rsidRDefault="008564A6" w:rsidP="00E163F4">
            <w:pPr>
              <w:jc w:val="left"/>
              <w:rPr>
                <w:rFonts w:ascii="Calibri" w:eastAsia="Times New Roman" w:hAnsi="Calibri"/>
                <w:b/>
                <w:bCs/>
                <w:color w:val="FFFFFF"/>
                <w:sz w:val="18"/>
                <w:szCs w:val="18"/>
              </w:rPr>
            </w:pPr>
          </w:p>
        </w:tc>
      </w:tr>
      <w:tr w:rsidR="008564A6" w:rsidRPr="00B75B77" w:rsidTr="00E163F4">
        <w:trPr>
          <w:trHeight w:val="300"/>
        </w:trPr>
        <w:tc>
          <w:tcPr>
            <w:tcW w:w="1705" w:type="dxa"/>
            <w:tcBorders>
              <w:top w:val="nil"/>
              <w:left w:val="single" w:sz="4" w:space="0" w:color="448A99"/>
              <w:bottom w:val="single" w:sz="4" w:space="0" w:color="448A99"/>
              <w:right w:val="single" w:sz="4" w:space="0" w:color="448A99"/>
            </w:tcBorders>
            <w:shd w:val="clear" w:color="000000" w:fill="D2EAF1"/>
            <w:vAlign w:val="center"/>
            <w:hideMark/>
          </w:tcPr>
          <w:p w:rsidR="008564A6" w:rsidRPr="00B75B77" w:rsidRDefault="008564A6" w:rsidP="00E163F4">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Large</w:t>
            </w:r>
          </w:p>
        </w:tc>
        <w:tc>
          <w:tcPr>
            <w:tcW w:w="1620" w:type="dxa"/>
            <w:tcBorders>
              <w:top w:val="nil"/>
              <w:left w:val="nil"/>
              <w:bottom w:val="single" w:sz="4" w:space="0" w:color="448A99"/>
              <w:right w:val="single" w:sz="4" w:space="0" w:color="448A99"/>
            </w:tcBorders>
            <w:shd w:val="clear" w:color="000000" w:fill="D2EAF1"/>
            <w:vAlign w:val="center"/>
            <w:hideMark/>
          </w:tcPr>
          <w:p w:rsidR="008564A6" w:rsidRPr="00B75B77" w:rsidRDefault="008564A6" w:rsidP="00E163F4">
            <w:pPr>
              <w:jc w:val="center"/>
              <w:rPr>
                <w:rFonts w:ascii="Calibri" w:eastAsia="Times New Roman" w:hAnsi="Calibri"/>
                <w:color w:val="000000"/>
                <w:sz w:val="18"/>
                <w:szCs w:val="18"/>
              </w:rPr>
            </w:pPr>
            <w:r w:rsidRPr="00B75B77">
              <w:rPr>
                <w:rFonts w:ascii="Calibri" w:eastAsia="Times New Roman" w:hAnsi="Calibri"/>
                <w:color w:val="000000"/>
                <w:sz w:val="18"/>
                <w:szCs w:val="18"/>
              </w:rPr>
              <w:t>0.6</w:t>
            </w:r>
          </w:p>
        </w:tc>
        <w:tc>
          <w:tcPr>
            <w:tcW w:w="1080" w:type="dxa"/>
            <w:tcBorders>
              <w:top w:val="nil"/>
              <w:left w:val="nil"/>
              <w:bottom w:val="single" w:sz="4" w:space="0" w:color="448A99"/>
              <w:right w:val="single" w:sz="4" w:space="0" w:color="448A99"/>
            </w:tcBorders>
            <w:shd w:val="clear" w:color="000000" w:fill="D2EAF1"/>
            <w:vAlign w:val="center"/>
            <w:hideMark/>
          </w:tcPr>
          <w:p w:rsidR="008564A6" w:rsidRPr="00B75B77" w:rsidRDefault="008564A6" w:rsidP="00E163F4">
            <w:pPr>
              <w:jc w:val="center"/>
              <w:rPr>
                <w:rFonts w:ascii="Calibri" w:eastAsia="Times New Roman" w:hAnsi="Calibri"/>
                <w:color w:val="000000"/>
                <w:sz w:val="18"/>
                <w:szCs w:val="18"/>
              </w:rPr>
            </w:pPr>
            <w:r w:rsidRPr="00B75B77">
              <w:rPr>
                <w:rFonts w:ascii="Calibri" w:eastAsia="Times New Roman" w:hAnsi="Calibri"/>
                <w:color w:val="000000"/>
                <w:sz w:val="18"/>
                <w:szCs w:val="18"/>
              </w:rPr>
              <w:t>1.07</w:t>
            </w:r>
          </w:p>
        </w:tc>
        <w:tc>
          <w:tcPr>
            <w:tcW w:w="1440" w:type="dxa"/>
            <w:tcBorders>
              <w:top w:val="nil"/>
              <w:left w:val="nil"/>
              <w:bottom w:val="single" w:sz="4" w:space="0" w:color="448A99"/>
              <w:right w:val="single" w:sz="4" w:space="0" w:color="448A99"/>
            </w:tcBorders>
            <w:shd w:val="clear" w:color="000000" w:fill="D2EAF1"/>
            <w:vAlign w:val="center"/>
            <w:hideMark/>
          </w:tcPr>
          <w:p w:rsidR="008564A6" w:rsidRPr="00B75B77" w:rsidRDefault="008564A6" w:rsidP="00E163F4">
            <w:pPr>
              <w:jc w:val="center"/>
              <w:rPr>
                <w:rFonts w:ascii="Calibri" w:eastAsia="Times New Roman" w:hAnsi="Calibri"/>
                <w:color w:val="000000"/>
                <w:sz w:val="18"/>
                <w:szCs w:val="18"/>
              </w:rPr>
            </w:pPr>
            <w:r w:rsidRPr="00B75B77">
              <w:rPr>
                <w:rFonts w:ascii="Calibri" w:eastAsia="Times New Roman" w:hAnsi="Calibri"/>
                <w:color w:val="000000"/>
                <w:sz w:val="18"/>
                <w:szCs w:val="18"/>
              </w:rPr>
              <w:t>0.6</w:t>
            </w:r>
          </w:p>
        </w:tc>
        <w:tc>
          <w:tcPr>
            <w:tcW w:w="1620" w:type="dxa"/>
            <w:tcBorders>
              <w:top w:val="nil"/>
              <w:left w:val="nil"/>
              <w:bottom w:val="single" w:sz="4" w:space="0" w:color="448A99"/>
              <w:right w:val="single" w:sz="4" w:space="0" w:color="448A99"/>
            </w:tcBorders>
            <w:shd w:val="clear" w:color="000000" w:fill="D2EAF1"/>
            <w:vAlign w:val="center"/>
            <w:hideMark/>
          </w:tcPr>
          <w:p w:rsidR="008564A6" w:rsidRPr="00B75B77" w:rsidRDefault="008564A6" w:rsidP="00E163F4">
            <w:pPr>
              <w:jc w:val="center"/>
              <w:rPr>
                <w:rFonts w:ascii="Calibri" w:eastAsia="Times New Roman" w:hAnsi="Calibri"/>
                <w:color w:val="000000"/>
                <w:sz w:val="18"/>
                <w:szCs w:val="18"/>
              </w:rPr>
            </w:pPr>
            <w:r w:rsidRPr="00B75B77">
              <w:rPr>
                <w:rFonts w:ascii="Calibri" w:eastAsia="Times New Roman" w:hAnsi="Calibri"/>
                <w:color w:val="000000"/>
                <w:sz w:val="18"/>
                <w:szCs w:val="18"/>
              </w:rPr>
              <w:t>0.16</w:t>
            </w:r>
          </w:p>
        </w:tc>
        <w:tc>
          <w:tcPr>
            <w:tcW w:w="1890" w:type="dxa"/>
            <w:tcBorders>
              <w:top w:val="nil"/>
              <w:left w:val="nil"/>
              <w:bottom w:val="single" w:sz="4" w:space="0" w:color="448A99"/>
              <w:right w:val="single" w:sz="4" w:space="0" w:color="448A99"/>
            </w:tcBorders>
            <w:shd w:val="clear" w:color="000000" w:fill="D2EAF1"/>
            <w:vAlign w:val="center"/>
            <w:hideMark/>
          </w:tcPr>
          <w:p w:rsidR="008564A6" w:rsidRPr="00B75B77" w:rsidRDefault="008564A6" w:rsidP="00E163F4">
            <w:pPr>
              <w:jc w:val="center"/>
              <w:rPr>
                <w:rFonts w:ascii="Calibri" w:eastAsia="Times New Roman" w:hAnsi="Calibri"/>
                <w:color w:val="000000"/>
                <w:sz w:val="18"/>
                <w:szCs w:val="18"/>
              </w:rPr>
            </w:pPr>
            <w:bookmarkStart w:id="978" w:name="RANGE!G47:G48"/>
            <w:r w:rsidRPr="00B75B77">
              <w:rPr>
                <w:rFonts w:ascii="Calibri" w:eastAsia="Times New Roman" w:hAnsi="Calibri"/>
                <w:color w:val="000000"/>
                <w:sz w:val="18"/>
                <w:szCs w:val="18"/>
              </w:rPr>
              <w:t>9%</w:t>
            </w:r>
            <w:bookmarkEnd w:id="978"/>
          </w:p>
        </w:tc>
      </w:tr>
      <w:tr w:rsidR="008564A6" w:rsidRPr="00B75B77" w:rsidTr="00E163F4">
        <w:trPr>
          <w:trHeight w:val="300"/>
        </w:trPr>
        <w:tc>
          <w:tcPr>
            <w:tcW w:w="1705" w:type="dxa"/>
            <w:tcBorders>
              <w:top w:val="nil"/>
              <w:left w:val="single" w:sz="4" w:space="0" w:color="448A99"/>
              <w:bottom w:val="single" w:sz="4" w:space="0" w:color="448A99"/>
              <w:right w:val="single" w:sz="4" w:space="0" w:color="448A99"/>
            </w:tcBorders>
            <w:shd w:val="clear" w:color="000000" w:fill="FFFFFF"/>
            <w:vAlign w:val="center"/>
            <w:hideMark/>
          </w:tcPr>
          <w:p w:rsidR="008564A6" w:rsidRPr="00B75B77" w:rsidRDefault="008564A6" w:rsidP="00E163F4">
            <w:pPr>
              <w:jc w:val="left"/>
              <w:rPr>
                <w:rFonts w:ascii="Calibri" w:eastAsia="Times New Roman" w:hAnsi="Calibri"/>
                <w:bCs/>
                <w:color w:val="000000"/>
                <w:sz w:val="18"/>
                <w:szCs w:val="18"/>
              </w:rPr>
            </w:pPr>
            <w:r w:rsidRPr="00B75B77">
              <w:rPr>
                <w:rFonts w:ascii="Calibri" w:eastAsia="Times New Roman" w:hAnsi="Calibri"/>
                <w:bCs/>
                <w:color w:val="000000"/>
                <w:sz w:val="18"/>
                <w:szCs w:val="18"/>
              </w:rPr>
              <w:t>Small</w:t>
            </w:r>
          </w:p>
        </w:tc>
        <w:tc>
          <w:tcPr>
            <w:tcW w:w="1620" w:type="dxa"/>
            <w:tcBorders>
              <w:top w:val="nil"/>
              <w:left w:val="nil"/>
              <w:bottom w:val="single" w:sz="4" w:space="0" w:color="448A99"/>
              <w:right w:val="single" w:sz="4" w:space="0" w:color="448A99"/>
            </w:tcBorders>
            <w:shd w:val="clear" w:color="000000" w:fill="FFFFFF"/>
            <w:vAlign w:val="center"/>
            <w:hideMark/>
          </w:tcPr>
          <w:p w:rsidR="008564A6" w:rsidRPr="00B75B77" w:rsidRDefault="008564A6" w:rsidP="00E163F4">
            <w:pPr>
              <w:jc w:val="center"/>
              <w:rPr>
                <w:rFonts w:ascii="Calibri" w:eastAsia="Times New Roman" w:hAnsi="Calibri"/>
                <w:color w:val="000000"/>
                <w:sz w:val="18"/>
                <w:szCs w:val="18"/>
              </w:rPr>
            </w:pPr>
            <w:r w:rsidRPr="00B75B77">
              <w:rPr>
                <w:rFonts w:ascii="Calibri" w:eastAsia="Times New Roman" w:hAnsi="Calibri"/>
                <w:color w:val="000000"/>
                <w:sz w:val="18"/>
                <w:szCs w:val="18"/>
              </w:rPr>
              <w:t>0.5</w:t>
            </w:r>
          </w:p>
        </w:tc>
        <w:tc>
          <w:tcPr>
            <w:tcW w:w="1080" w:type="dxa"/>
            <w:tcBorders>
              <w:top w:val="nil"/>
              <w:left w:val="nil"/>
              <w:bottom w:val="single" w:sz="4" w:space="0" w:color="448A99"/>
              <w:right w:val="single" w:sz="4" w:space="0" w:color="448A99"/>
            </w:tcBorders>
            <w:shd w:val="clear" w:color="000000" w:fill="FFFFFF"/>
            <w:vAlign w:val="center"/>
            <w:hideMark/>
          </w:tcPr>
          <w:p w:rsidR="008564A6" w:rsidRPr="00B75B77" w:rsidRDefault="008564A6" w:rsidP="00E163F4">
            <w:pPr>
              <w:jc w:val="center"/>
              <w:rPr>
                <w:rFonts w:ascii="Calibri" w:eastAsia="Times New Roman" w:hAnsi="Calibri"/>
                <w:color w:val="000000"/>
                <w:sz w:val="18"/>
                <w:szCs w:val="18"/>
              </w:rPr>
            </w:pPr>
            <w:r w:rsidRPr="00B75B77">
              <w:rPr>
                <w:rFonts w:ascii="Calibri" w:eastAsia="Times New Roman" w:hAnsi="Calibri"/>
                <w:color w:val="000000"/>
                <w:sz w:val="18"/>
                <w:szCs w:val="18"/>
              </w:rPr>
              <w:t>0.87</w:t>
            </w:r>
          </w:p>
        </w:tc>
        <w:tc>
          <w:tcPr>
            <w:tcW w:w="1440" w:type="dxa"/>
            <w:tcBorders>
              <w:top w:val="nil"/>
              <w:left w:val="nil"/>
              <w:bottom w:val="single" w:sz="4" w:space="0" w:color="448A99"/>
              <w:right w:val="single" w:sz="4" w:space="0" w:color="448A99"/>
            </w:tcBorders>
            <w:shd w:val="clear" w:color="000000" w:fill="FFFFFF"/>
            <w:vAlign w:val="center"/>
            <w:hideMark/>
          </w:tcPr>
          <w:p w:rsidR="008564A6" w:rsidRPr="00B75B77" w:rsidRDefault="008564A6" w:rsidP="00E163F4">
            <w:pPr>
              <w:jc w:val="center"/>
              <w:rPr>
                <w:rFonts w:ascii="Calibri" w:eastAsia="Times New Roman" w:hAnsi="Calibri"/>
                <w:color w:val="000000"/>
                <w:sz w:val="18"/>
                <w:szCs w:val="18"/>
              </w:rPr>
            </w:pPr>
            <w:r w:rsidRPr="00B75B77">
              <w:rPr>
                <w:rFonts w:ascii="Calibri" w:eastAsia="Times New Roman" w:hAnsi="Calibri"/>
                <w:color w:val="000000"/>
                <w:sz w:val="18"/>
                <w:szCs w:val="18"/>
              </w:rPr>
              <w:t>0.5</w:t>
            </w:r>
          </w:p>
        </w:tc>
        <w:tc>
          <w:tcPr>
            <w:tcW w:w="1620" w:type="dxa"/>
            <w:tcBorders>
              <w:top w:val="nil"/>
              <w:left w:val="nil"/>
              <w:bottom w:val="single" w:sz="4" w:space="0" w:color="448A99"/>
              <w:right w:val="single" w:sz="4" w:space="0" w:color="448A99"/>
            </w:tcBorders>
            <w:shd w:val="clear" w:color="000000" w:fill="FFFFFF"/>
            <w:vAlign w:val="center"/>
            <w:hideMark/>
          </w:tcPr>
          <w:p w:rsidR="008564A6" w:rsidRPr="00B75B77" w:rsidRDefault="008564A6" w:rsidP="00E163F4">
            <w:pPr>
              <w:jc w:val="center"/>
              <w:rPr>
                <w:rFonts w:ascii="Calibri" w:eastAsia="Times New Roman" w:hAnsi="Calibri"/>
                <w:color w:val="000000"/>
                <w:sz w:val="18"/>
                <w:szCs w:val="18"/>
              </w:rPr>
            </w:pPr>
            <w:r w:rsidRPr="00B75B77">
              <w:rPr>
                <w:rFonts w:ascii="Calibri" w:eastAsia="Times New Roman" w:hAnsi="Calibri"/>
                <w:color w:val="000000"/>
                <w:sz w:val="18"/>
                <w:szCs w:val="18"/>
              </w:rPr>
              <w:t>0.19</w:t>
            </w:r>
          </w:p>
        </w:tc>
        <w:tc>
          <w:tcPr>
            <w:tcW w:w="1890" w:type="dxa"/>
            <w:tcBorders>
              <w:top w:val="nil"/>
              <w:left w:val="nil"/>
              <w:bottom w:val="single" w:sz="4" w:space="0" w:color="448A99"/>
              <w:right w:val="single" w:sz="4" w:space="0" w:color="448A99"/>
            </w:tcBorders>
            <w:shd w:val="clear" w:color="000000" w:fill="FFFFFF"/>
            <w:vAlign w:val="center"/>
            <w:hideMark/>
          </w:tcPr>
          <w:p w:rsidR="008564A6" w:rsidRPr="00B75B77" w:rsidRDefault="008564A6" w:rsidP="00E163F4">
            <w:pPr>
              <w:jc w:val="center"/>
              <w:rPr>
                <w:rFonts w:ascii="Calibri" w:eastAsia="Times New Roman" w:hAnsi="Calibri"/>
                <w:color w:val="000000"/>
                <w:sz w:val="18"/>
                <w:szCs w:val="18"/>
              </w:rPr>
            </w:pPr>
            <w:r w:rsidRPr="00B75B77">
              <w:rPr>
                <w:rFonts w:ascii="Calibri" w:eastAsia="Times New Roman" w:hAnsi="Calibri"/>
                <w:color w:val="000000"/>
                <w:sz w:val="18"/>
                <w:szCs w:val="18"/>
              </w:rPr>
              <w:t>13%</w:t>
            </w:r>
          </w:p>
        </w:tc>
      </w:tr>
      <w:tr w:rsidR="008564A6" w:rsidRPr="00B75B77" w:rsidTr="00E163F4">
        <w:trPr>
          <w:trHeight w:val="288"/>
        </w:trPr>
        <w:tc>
          <w:tcPr>
            <w:tcW w:w="1705" w:type="dxa"/>
            <w:tcBorders>
              <w:top w:val="nil"/>
              <w:left w:val="single" w:sz="4" w:space="0" w:color="448A99"/>
              <w:bottom w:val="single" w:sz="4" w:space="0" w:color="448A99"/>
              <w:right w:val="single" w:sz="4" w:space="0" w:color="448A99"/>
            </w:tcBorders>
            <w:shd w:val="clear" w:color="000000" w:fill="D2EAF1"/>
            <w:vAlign w:val="center"/>
            <w:hideMark/>
          </w:tcPr>
          <w:p w:rsidR="008564A6" w:rsidRPr="00B75B77" w:rsidRDefault="008564A6" w:rsidP="00E163F4">
            <w:pPr>
              <w:jc w:val="left"/>
              <w:rPr>
                <w:rFonts w:ascii="Calibri" w:eastAsia="Times New Roman" w:hAnsi="Calibri"/>
                <w:b/>
                <w:color w:val="000000"/>
                <w:sz w:val="18"/>
                <w:szCs w:val="18"/>
              </w:rPr>
            </w:pPr>
            <w:r w:rsidRPr="00B75B77">
              <w:rPr>
                <w:rFonts w:ascii="Calibri" w:eastAsia="Times New Roman" w:hAnsi="Calibri"/>
                <w:b/>
                <w:color w:val="000000"/>
                <w:sz w:val="18"/>
                <w:szCs w:val="18"/>
              </w:rPr>
              <w:t>PROGRAM TOTAL</w:t>
            </w:r>
          </w:p>
        </w:tc>
        <w:tc>
          <w:tcPr>
            <w:tcW w:w="1620" w:type="dxa"/>
            <w:tcBorders>
              <w:top w:val="nil"/>
              <w:left w:val="nil"/>
              <w:bottom w:val="single" w:sz="4" w:space="0" w:color="448A99"/>
              <w:right w:val="single" w:sz="4" w:space="0" w:color="448A99"/>
            </w:tcBorders>
            <w:shd w:val="clear" w:color="000000" w:fill="D2EAF1"/>
            <w:vAlign w:val="center"/>
            <w:hideMark/>
          </w:tcPr>
          <w:p w:rsidR="008564A6" w:rsidRPr="00B75B77" w:rsidRDefault="008564A6" w:rsidP="00E163F4">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1.1</w:t>
            </w:r>
          </w:p>
        </w:tc>
        <w:tc>
          <w:tcPr>
            <w:tcW w:w="1080" w:type="dxa"/>
            <w:tcBorders>
              <w:top w:val="nil"/>
              <w:left w:val="nil"/>
              <w:bottom w:val="single" w:sz="4" w:space="0" w:color="448A99"/>
              <w:right w:val="single" w:sz="4" w:space="0" w:color="448A99"/>
            </w:tcBorders>
            <w:shd w:val="clear" w:color="000000" w:fill="D2EAF1"/>
            <w:vAlign w:val="center"/>
            <w:hideMark/>
          </w:tcPr>
          <w:p w:rsidR="008564A6" w:rsidRPr="00B75B77" w:rsidRDefault="008564A6" w:rsidP="00E163F4">
            <w:pPr>
              <w:jc w:val="center"/>
              <w:rPr>
                <w:rFonts w:ascii="Calibri" w:eastAsia="Times New Roman" w:hAnsi="Calibri"/>
                <w:b/>
                <w:color w:val="000000"/>
                <w:sz w:val="18"/>
                <w:szCs w:val="18"/>
              </w:rPr>
            </w:pPr>
            <w:bookmarkStart w:id="979" w:name="RANGE!D49"/>
            <w:r w:rsidRPr="00B75B77">
              <w:rPr>
                <w:rFonts w:ascii="Calibri" w:eastAsia="Times New Roman" w:hAnsi="Calibri"/>
                <w:b/>
                <w:color w:val="000000"/>
                <w:sz w:val="18"/>
                <w:szCs w:val="18"/>
              </w:rPr>
              <w:t>0.97</w:t>
            </w:r>
            <w:bookmarkEnd w:id="979"/>
          </w:p>
        </w:tc>
        <w:tc>
          <w:tcPr>
            <w:tcW w:w="1440" w:type="dxa"/>
            <w:tcBorders>
              <w:top w:val="nil"/>
              <w:left w:val="nil"/>
              <w:bottom w:val="single" w:sz="4" w:space="0" w:color="448A99"/>
              <w:right w:val="single" w:sz="4" w:space="0" w:color="448A99"/>
            </w:tcBorders>
            <w:shd w:val="clear" w:color="000000" w:fill="D2EAF1"/>
            <w:vAlign w:val="center"/>
            <w:hideMark/>
          </w:tcPr>
          <w:p w:rsidR="008564A6" w:rsidRPr="00B75B77" w:rsidRDefault="008564A6" w:rsidP="00E163F4">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1.1</w:t>
            </w:r>
          </w:p>
        </w:tc>
        <w:tc>
          <w:tcPr>
            <w:tcW w:w="1620" w:type="dxa"/>
            <w:tcBorders>
              <w:top w:val="nil"/>
              <w:left w:val="nil"/>
              <w:bottom w:val="single" w:sz="4" w:space="0" w:color="448A99"/>
              <w:right w:val="single" w:sz="4" w:space="0" w:color="448A99"/>
            </w:tcBorders>
            <w:shd w:val="clear" w:color="000000" w:fill="D2EAF1"/>
            <w:vAlign w:val="center"/>
            <w:hideMark/>
          </w:tcPr>
          <w:p w:rsidR="008564A6" w:rsidRPr="00B75B77" w:rsidRDefault="008564A6" w:rsidP="00E163F4">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N/A</w:t>
            </w:r>
          </w:p>
        </w:tc>
        <w:tc>
          <w:tcPr>
            <w:tcW w:w="1890" w:type="dxa"/>
            <w:tcBorders>
              <w:top w:val="nil"/>
              <w:left w:val="nil"/>
              <w:bottom w:val="single" w:sz="4" w:space="0" w:color="448A99"/>
              <w:right w:val="single" w:sz="4" w:space="0" w:color="448A99"/>
            </w:tcBorders>
            <w:shd w:val="clear" w:color="000000" w:fill="D2EAF1"/>
            <w:vAlign w:val="center"/>
            <w:hideMark/>
          </w:tcPr>
          <w:p w:rsidR="008564A6" w:rsidRPr="00B75B77" w:rsidRDefault="008564A6" w:rsidP="00E163F4">
            <w:pPr>
              <w:jc w:val="center"/>
              <w:rPr>
                <w:rFonts w:ascii="Calibri" w:eastAsia="Times New Roman" w:hAnsi="Calibri"/>
                <w:b/>
                <w:color w:val="000000"/>
                <w:sz w:val="18"/>
                <w:szCs w:val="18"/>
              </w:rPr>
            </w:pPr>
            <w:r w:rsidRPr="00B75B77">
              <w:rPr>
                <w:rFonts w:ascii="Calibri" w:eastAsia="Times New Roman" w:hAnsi="Calibri"/>
                <w:b/>
                <w:color w:val="000000"/>
                <w:sz w:val="18"/>
                <w:szCs w:val="18"/>
              </w:rPr>
              <w:t>8%</w:t>
            </w:r>
          </w:p>
        </w:tc>
      </w:tr>
    </w:tbl>
    <w:p w:rsidR="008564A6" w:rsidRPr="00B75B77" w:rsidRDefault="008564A6" w:rsidP="00E163F4">
      <w:pPr>
        <w:keepNext/>
        <w:spacing w:before="20" w:after="20"/>
        <w:jc w:val="left"/>
        <w:rPr>
          <w:rFonts w:ascii="Calibri" w:eastAsia="Times New Roman" w:hAnsi="Calibri"/>
          <w:color w:val="000000"/>
          <w:sz w:val="18"/>
          <w:szCs w:val="18"/>
        </w:rPr>
      </w:pPr>
      <w:r w:rsidRPr="00B75B77">
        <w:rPr>
          <w:rFonts w:ascii="Calibri" w:eastAsia="Times New Roman" w:hAnsi="Calibri"/>
          <w:color w:val="000000"/>
          <w:sz w:val="18"/>
          <w:szCs w:val="18"/>
          <w:vertAlign w:val="superscript"/>
        </w:rPr>
        <w:t>[1]</w:t>
      </w:r>
      <w:r w:rsidRPr="00B75B77">
        <w:rPr>
          <w:rFonts w:ascii="Calibri" w:eastAsia="Times New Roman" w:hAnsi="Calibri"/>
          <w:color w:val="000000"/>
          <w:sz w:val="18"/>
          <w:szCs w:val="18"/>
        </w:rPr>
        <w:t xml:space="preserve"> All reported and verified demand savings in this report include line losses as required.</w:t>
      </w:r>
    </w:p>
    <w:p w:rsidR="008564A6" w:rsidRPr="00B75B77" w:rsidRDefault="008564A6" w:rsidP="00E163F4">
      <w:pPr>
        <w:keepNext/>
        <w:spacing w:before="20" w:after="20"/>
        <w:jc w:val="left"/>
        <w:rPr>
          <w:rFonts w:eastAsia="Times New Roman"/>
          <w:sz w:val="18"/>
          <w:szCs w:val="20"/>
        </w:rPr>
      </w:pPr>
      <w:r w:rsidRPr="00B75B77">
        <w:rPr>
          <w:rFonts w:ascii="Calibri" w:eastAsia="Times New Roman" w:hAnsi="Calibri"/>
          <w:iCs/>
          <w:color w:val="000000"/>
          <w:sz w:val="18"/>
          <w:szCs w:val="18"/>
        </w:rPr>
        <w:t>Note: Values in tables may not reconcile exactly with the sum of more detailed level results or previously reported results due to rounding.</w:t>
      </w:r>
    </w:p>
    <w:p w:rsidR="008564A6" w:rsidRPr="00B75B77" w:rsidRDefault="008564A6" w:rsidP="00006419">
      <w:pPr>
        <w:pStyle w:val="Source"/>
        <w:ind w:hanging="720"/>
      </w:pPr>
      <w:r w:rsidRPr="00B75B77">
        <w:t>Source: Navigant analysis</w:t>
      </w:r>
    </w:p>
    <w:p w:rsidR="008564A6" w:rsidRPr="00B75B77" w:rsidRDefault="008564A6" w:rsidP="00E163F4">
      <w:pPr>
        <w:pStyle w:val="Heading2"/>
        <w:keepNext/>
      </w:pPr>
      <w:bookmarkStart w:id="980" w:name="_Toc466413470"/>
      <w:r w:rsidRPr="00B75B77">
        <w:t>Impact Evaluation Net Savings</w:t>
      </w:r>
      <w:bookmarkEnd w:id="980"/>
      <w:r w:rsidRPr="00B75B77">
        <w:t xml:space="preserve"> </w:t>
      </w:r>
    </w:p>
    <w:p w:rsidR="008564A6" w:rsidRPr="00B75B77" w:rsidRDefault="008564A6" w:rsidP="00E163F4">
      <w:pPr>
        <w:keepNext/>
      </w:pPr>
      <w:r w:rsidRPr="00B75B77">
        <w:t xml:space="preserve">Navigant applied the results of the net impact evaluation conducted in PY5 to the program activity in PY6 and PY7. This methodology is </w:t>
      </w:r>
      <w:r w:rsidR="00006419" w:rsidRPr="00B75B77">
        <w:t>in line with the</w:t>
      </w:r>
      <w:r w:rsidRPr="00B75B77">
        <w:t xml:space="preserve"> approved Phase II evaluation plan for the SBS program. Refer to the net impact evaluation activities sections of the PY5 report for more information. </w:t>
      </w:r>
    </w:p>
    <w:p w:rsidR="008564A6" w:rsidRPr="00B75B77" w:rsidRDefault="008564A6" w:rsidP="00E163F4">
      <w:pPr>
        <w:keepNext/>
      </w:pPr>
    </w:p>
    <w:p w:rsidR="008564A6" w:rsidRPr="00B75B77" w:rsidRDefault="008564A6" w:rsidP="00963027">
      <w:pPr>
        <w:pStyle w:val="Heading2"/>
        <w:keepNext/>
      </w:pPr>
      <w:bookmarkStart w:id="981" w:name="_Toc466413471"/>
      <w:r w:rsidRPr="00B75B77">
        <w:t>Process Evaluation</w:t>
      </w:r>
      <w:bookmarkEnd w:id="981"/>
    </w:p>
    <w:p w:rsidR="008564A6" w:rsidRPr="00B75B77" w:rsidRDefault="008564A6" w:rsidP="00E163F4">
      <w:pPr>
        <w:keepNext/>
      </w:pPr>
      <w:r w:rsidRPr="00B75B77">
        <w:t xml:space="preserve">Navigant’s primary process evaluation activities in PY7 consisted of in-depth interviews with the PECO and CSP program managers, </w:t>
      </w:r>
      <w:r w:rsidR="00006419" w:rsidRPr="00B75B77">
        <w:t xml:space="preserve">as well as </w:t>
      </w:r>
      <w:r w:rsidRPr="00B75B77">
        <w:t xml:space="preserve">a review of program data. </w:t>
      </w:r>
    </w:p>
    <w:p w:rsidR="008564A6" w:rsidRPr="00B75B77" w:rsidRDefault="008564A6" w:rsidP="00963027">
      <w:pPr>
        <w:keepNext/>
        <w:rPr>
          <w:color w:val="000000"/>
        </w:rPr>
      </w:pPr>
    </w:p>
    <w:p w:rsidR="008564A6" w:rsidRPr="00B75B77" w:rsidRDefault="008564A6" w:rsidP="00E163F4">
      <w:pPr>
        <w:pStyle w:val="Heading3"/>
      </w:pPr>
      <w:bookmarkStart w:id="982" w:name="_Toc466413472"/>
      <w:r w:rsidRPr="00B75B77">
        <w:t>Process Evaluation Methodology</w:t>
      </w:r>
      <w:bookmarkEnd w:id="982"/>
      <w:r w:rsidRPr="00B75B77">
        <w:t xml:space="preserve"> </w:t>
      </w:r>
    </w:p>
    <w:p w:rsidR="008564A6" w:rsidRPr="00B75B77" w:rsidRDefault="008564A6" w:rsidP="00E163F4">
      <w:pPr>
        <w:keepNext/>
      </w:pPr>
      <w:r w:rsidRPr="00B75B77">
        <w:t xml:space="preserve">Navigant conducted independent interviews with the PECO and </w:t>
      </w:r>
      <w:proofErr w:type="spellStart"/>
      <w:r w:rsidR="00006419" w:rsidRPr="00B75B77">
        <w:t>SmartWatt</w:t>
      </w:r>
      <w:proofErr w:type="spellEnd"/>
      <w:r w:rsidR="00006419" w:rsidRPr="00B75B77">
        <w:t xml:space="preserve"> </w:t>
      </w:r>
      <w:r w:rsidRPr="00B75B77">
        <w:t xml:space="preserve">program managers to gather input and perspective on the operation of the program in PY7 and to discuss changes that would improve the program. </w:t>
      </w:r>
      <w:r w:rsidRPr="00B75B77">
        <w:fldChar w:fldCharType="begin"/>
      </w:r>
      <w:r w:rsidRPr="00B75B77">
        <w:instrText xml:space="preserve"> REF _Ref464028670 \h </w:instrText>
      </w:r>
      <w:r w:rsidR="00B75B77">
        <w:instrText xml:space="preserve"> \* MERGEFORMAT </w:instrText>
      </w:r>
      <w:r w:rsidRPr="00B75B77">
        <w:fldChar w:fldCharType="separate"/>
      </w:r>
      <w:r w:rsidR="0004016D" w:rsidRPr="00B75B77">
        <w:t xml:space="preserve">Table </w:t>
      </w:r>
      <w:r w:rsidR="0004016D">
        <w:rPr>
          <w:noProof/>
        </w:rPr>
        <w:t>16</w:t>
      </w:r>
      <w:r w:rsidR="0004016D" w:rsidRPr="00B75B77">
        <w:rPr>
          <w:noProof/>
        </w:rPr>
        <w:noBreakHyphen/>
      </w:r>
      <w:r w:rsidR="0004016D">
        <w:rPr>
          <w:noProof/>
        </w:rPr>
        <w:t>5</w:t>
      </w:r>
      <w:r w:rsidRPr="00B75B77">
        <w:fldChar w:fldCharType="end"/>
      </w:r>
      <w:r w:rsidRPr="00B75B77">
        <w:t xml:space="preserve"> provides the sampling strategy for these interviews.</w:t>
      </w:r>
    </w:p>
    <w:p w:rsidR="008564A6" w:rsidRPr="00B75B77" w:rsidRDefault="008564A6" w:rsidP="00E163F4">
      <w:pPr>
        <w:jc w:val="left"/>
      </w:pPr>
    </w:p>
    <w:p w:rsidR="008564A6" w:rsidRPr="00B75B77" w:rsidRDefault="008564A6" w:rsidP="00E163F4">
      <w:pPr>
        <w:pStyle w:val="Caption"/>
      </w:pPr>
      <w:bookmarkStart w:id="983" w:name="_Ref464028670"/>
      <w:bookmarkStart w:id="984" w:name="_Toc434597686"/>
      <w:bookmarkStart w:id="985" w:name="_Toc466413651"/>
      <w:r w:rsidRPr="00B75B77">
        <w:t xml:space="preserve">Table </w:t>
      </w:r>
      <w:fldSimple w:instr=" STYLEREF 1 \s ">
        <w:r w:rsidR="0004016D">
          <w:rPr>
            <w:noProof/>
          </w:rPr>
          <w:t>16</w:t>
        </w:r>
      </w:fldSimple>
      <w:r w:rsidR="00F1144C" w:rsidRPr="00B75B77">
        <w:noBreakHyphen/>
      </w:r>
      <w:fldSimple w:instr=" SEQ Table \* ARABIC \s 1 ">
        <w:r w:rsidR="0004016D">
          <w:rPr>
            <w:noProof/>
          </w:rPr>
          <w:t>5</w:t>
        </w:r>
      </w:fldSimple>
      <w:bookmarkEnd w:id="983"/>
      <w:r w:rsidRPr="00B75B77">
        <w:t xml:space="preserve">: Smart Business Solutions Sampling Strategy for </w:t>
      </w:r>
      <w:bookmarkEnd w:id="984"/>
      <w:r w:rsidR="00006419" w:rsidRPr="00B75B77">
        <w:t>PY7</w:t>
      </w:r>
      <w:bookmarkEnd w:id="985"/>
    </w:p>
    <w:tbl>
      <w:tblPr>
        <w:tblStyle w:val="PECOTeal"/>
        <w:tblW w:w="5054" w:type="pct"/>
        <w:tblLayout w:type="fixed"/>
        <w:tblLook w:val="04A0" w:firstRow="1" w:lastRow="0" w:firstColumn="1" w:lastColumn="0" w:noHBand="0" w:noVBand="1"/>
      </w:tblPr>
      <w:tblGrid>
        <w:gridCol w:w="1096"/>
        <w:gridCol w:w="1109"/>
        <w:gridCol w:w="1293"/>
        <w:gridCol w:w="1111"/>
        <w:gridCol w:w="801"/>
        <w:gridCol w:w="1009"/>
        <w:gridCol w:w="1601"/>
        <w:gridCol w:w="1659"/>
      </w:tblGrid>
      <w:tr w:rsidR="008564A6" w:rsidRPr="00B75B77" w:rsidTr="00006419">
        <w:trPr>
          <w:cnfStyle w:val="100000000000" w:firstRow="1" w:lastRow="0" w:firstColumn="0" w:lastColumn="0" w:oddVBand="0" w:evenVBand="0" w:oddHBand="0" w:evenHBand="0" w:firstRowFirstColumn="0" w:firstRowLastColumn="0" w:lastRowFirstColumn="0" w:lastRowLastColumn="0"/>
          <w:trHeight w:val="1078"/>
        </w:trPr>
        <w:tc>
          <w:tcPr>
            <w:cnfStyle w:val="001000000000" w:firstRow="0" w:lastRow="0" w:firstColumn="1" w:lastColumn="0" w:oddVBand="0" w:evenVBand="0" w:oddHBand="0" w:evenHBand="0" w:firstRowFirstColumn="0" w:firstRowLastColumn="0" w:lastRowFirstColumn="0" w:lastRowLastColumn="0"/>
            <w:tcW w:w="566" w:type="pct"/>
          </w:tcPr>
          <w:p w:rsidR="008564A6" w:rsidRPr="00B75B77" w:rsidRDefault="008564A6" w:rsidP="00E163F4">
            <w:pPr>
              <w:jc w:val="left"/>
              <w:rPr>
                <w:bCs w:val="0"/>
                <w:szCs w:val="18"/>
              </w:rPr>
            </w:pPr>
            <w:r w:rsidRPr="00B75B77">
              <w:rPr>
                <w:bCs w:val="0"/>
                <w:szCs w:val="18"/>
              </w:rPr>
              <w:t xml:space="preserve">Target Group </w:t>
            </w:r>
          </w:p>
        </w:tc>
        <w:tc>
          <w:tcPr>
            <w:tcW w:w="573" w:type="pct"/>
          </w:tcPr>
          <w:p w:rsidR="008564A6" w:rsidRPr="00B75B77" w:rsidRDefault="008564A6" w:rsidP="00E163F4">
            <w:pPr>
              <w:jc w:val="center"/>
              <w:cnfStyle w:val="100000000000" w:firstRow="1" w:lastRow="0" w:firstColumn="0" w:lastColumn="0" w:oddVBand="0" w:evenVBand="0" w:oddHBand="0" w:evenHBand="0" w:firstRowFirstColumn="0" w:firstRowLastColumn="0" w:lastRowFirstColumn="0" w:lastRowLastColumn="0"/>
              <w:rPr>
                <w:bCs w:val="0"/>
                <w:szCs w:val="18"/>
              </w:rPr>
            </w:pPr>
            <w:r w:rsidRPr="00B75B77">
              <w:rPr>
                <w:bCs w:val="0"/>
                <w:szCs w:val="18"/>
              </w:rPr>
              <w:t>Population Size</w:t>
            </w:r>
          </w:p>
        </w:tc>
        <w:tc>
          <w:tcPr>
            <w:tcW w:w="668" w:type="pct"/>
          </w:tcPr>
          <w:p w:rsidR="008564A6" w:rsidRPr="00B75B77" w:rsidRDefault="008564A6" w:rsidP="00E163F4">
            <w:pPr>
              <w:jc w:val="center"/>
              <w:cnfStyle w:val="100000000000" w:firstRow="1" w:lastRow="0" w:firstColumn="0" w:lastColumn="0" w:oddVBand="0" w:evenVBand="0" w:oddHBand="0" w:evenHBand="0" w:firstRowFirstColumn="0" w:firstRowLastColumn="0" w:lastRowFirstColumn="0" w:lastRowLastColumn="0"/>
              <w:rPr>
                <w:bCs w:val="0"/>
                <w:szCs w:val="18"/>
              </w:rPr>
            </w:pPr>
            <w:r w:rsidRPr="00B75B77">
              <w:rPr>
                <w:bCs w:val="0"/>
                <w:szCs w:val="18"/>
              </w:rPr>
              <w:t>Assumed Proportion or CV in Sample Design</w:t>
            </w:r>
          </w:p>
        </w:tc>
        <w:tc>
          <w:tcPr>
            <w:tcW w:w="574" w:type="pct"/>
          </w:tcPr>
          <w:p w:rsidR="008564A6" w:rsidRPr="00B75B77" w:rsidRDefault="008564A6" w:rsidP="00E163F4">
            <w:pPr>
              <w:jc w:val="center"/>
              <w:cnfStyle w:val="100000000000" w:firstRow="1" w:lastRow="0" w:firstColumn="0" w:lastColumn="0" w:oddVBand="0" w:evenVBand="0" w:oddHBand="0" w:evenHBand="0" w:firstRowFirstColumn="0" w:firstRowLastColumn="0" w:lastRowFirstColumn="0" w:lastRowLastColumn="0"/>
              <w:rPr>
                <w:bCs w:val="0"/>
                <w:szCs w:val="18"/>
              </w:rPr>
            </w:pPr>
            <w:r w:rsidRPr="00B75B77">
              <w:rPr>
                <w:bCs w:val="0"/>
                <w:szCs w:val="18"/>
              </w:rPr>
              <w:t>Assumed Levels of Confidence and Precision</w:t>
            </w:r>
          </w:p>
        </w:tc>
        <w:tc>
          <w:tcPr>
            <w:tcW w:w="414" w:type="pct"/>
          </w:tcPr>
          <w:p w:rsidR="008564A6" w:rsidRPr="00B75B77" w:rsidRDefault="008564A6" w:rsidP="00E163F4">
            <w:pPr>
              <w:jc w:val="center"/>
              <w:cnfStyle w:val="100000000000" w:firstRow="1" w:lastRow="0" w:firstColumn="0" w:lastColumn="0" w:oddVBand="0" w:evenVBand="0" w:oddHBand="0" w:evenHBand="0" w:firstRowFirstColumn="0" w:firstRowLastColumn="0" w:lastRowFirstColumn="0" w:lastRowLastColumn="0"/>
              <w:rPr>
                <w:bCs w:val="0"/>
                <w:szCs w:val="18"/>
              </w:rPr>
            </w:pPr>
            <w:r w:rsidRPr="00B75B77">
              <w:rPr>
                <w:bCs w:val="0"/>
                <w:szCs w:val="18"/>
              </w:rPr>
              <w:t>Target Sample Size</w:t>
            </w:r>
          </w:p>
        </w:tc>
        <w:tc>
          <w:tcPr>
            <w:tcW w:w="521" w:type="pct"/>
          </w:tcPr>
          <w:p w:rsidR="008564A6" w:rsidRPr="00B75B77" w:rsidRDefault="008564A6" w:rsidP="00E163F4">
            <w:pPr>
              <w:jc w:val="center"/>
              <w:cnfStyle w:val="100000000000" w:firstRow="1" w:lastRow="0" w:firstColumn="0" w:lastColumn="0" w:oddVBand="0" w:evenVBand="0" w:oddHBand="0" w:evenHBand="0" w:firstRowFirstColumn="0" w:firstRowLastColumn="0" w:lastRowFirstColumn="0" w:lastRowLastColumn="0"/>
              <w:rPr>
                <w:bCs w:val="0"/>
                <w:szCs w:val="18"/>
              </w:rPr>
            </w:pPr>
            <w:r w:rsidRPr="00B75B77">
              <w:rPr>
                <w:bCs w:val="0"/>
                <w:szCs w:val="18"/>
              </w:rPr>
              <w:t>Achieved Sample Size</w:t>
            </w:r>
          </w:p>
        </w:tc>
        <w:tc>
          <w:tcPr>
            <w:tcW w:w="827" w:type="pct"/>
          </w:tcPr>
          <w:p w:rsidR="008564A6" w:rsidRPr="00B75B77" w:rsidRDefault="008564A6" w:rsidP="00E163F4">
            <w:pPr>
              <w:jc w:val="center"/>
              <w:cnfStyle w:val="100000000000" w:firstRow="1" w:lastRow="0" w:firstColumn="0" w:lastColumn="0" w:oddVBand="0" w:evenVBand="0" w:oddHBand="0" w:evenHBand="0" w:firstRowFirstColumn="0" w:firstRowLastColumn="0" w:lastRowFirstColumn="0" w:lastRowLastColumn="0"/>
              <w:rPr>
                <w:bCs w:val="0"/>
                <w:szCs w:val="18"/>
              </w:rPr>
            </w:pPr>
            <w:r w:rsidRPr="00B75B77">
              <w:rPr>
                <w:bCs w:val="0"/>
                <w:szCs w:val="18"/>
              </w:rPr>
              <w:t>Percent</w:t>
            </w:r>
            <w:r w:rsidR="00006419" w:rsidRPr="00B75B77">
              <w:rPr>
                <w:bCs w:val="0"/>
                <w:szCs w:val="18"/>
              </w:rPr>
              <w:t>age</w:t>
            </w:r>
            <w:r w:rsidRPr="00B75B77">
              <w:rPr>
                <w:bCs w:val="0"/>
                <w:szCs w:val="18"/>
              </w:rPr>
              <w:t xml:space="preserve"> of Population Frame Contacted to Achieve Sample</w:t>
            </w:r>
          </w:p>
        </w:tc>
        <w:tc>
          <w:tcPr>
            <w:tcW w:w="858" w:type="pct"/>
          </w:tcPr>
          <w:p w:rsidR="008564A6" w:rsidRPr="00B75B77" w:rsidRDefault="00EA1A8E" w:rsidP="00006419">
            <w:pPr>
              <w:jc w:val="left"/>
              <w:cnfStyle w:val="100000000000" w:firstRow="1" w:lastRow="0" w:firstColumn="0" w:lastColumn="0" w:oddVBand="0" w:evenVBand="0" w:oddHBand="0" w:evenHBand="0" w:firstRowFirstColumn="0" w:firstRowLastColumn="0" w:lastRowFirstColumn="0" w:lastRowLastColumn="0"/>
              <w:rPr>
                <w:bCs w:val="0"/>
                <w:szCs w:val="18"/>
              </w:rPr>
            </w:pPr>
            <w:r w:rsidRPr="00B75B77">
              <w:rPr>
                <w:bCs w:val="0"/>
                <w:szCs w:val="18"/>
              </w:rPr>
              <w:t>Used for</w:t>
            </w:r>
            <w:r w:rsidR="008564A6" w:rsidRPr="00B75B77">
              <w:rPr>
                <w:bCs w:val="0"/>
                <w:szCs w:val="18"/>
              </w:rPr>
              <w:t xml:space="preserve"> Evaluation Activities (Impact, Process, NTG)</w:t>
            </w:r>
          </w:p>
        </w:tc>
      </w:tr>
      <w:tr w:rsidR="008564A6" w:rsidRPr="00B75B77" w:rsidTr="0000641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66" w:type="pct"/>
          </w:tcPr>
          <w:p w:rsidR="008564A6" w:rsidRPr="00B75B77" w:rsidRDefault="008564A6" w:rsidP="00E163F4">
            <w:pPr>
              <w:jc w:val="left"/>
              <w:rPr>
                <w:b w:val="0"/>
                <w:szCs w:val="18"/>
              </w:rPr>
            </w:pPr>
            <w:r w:rsidRPr="00B75B77">
              <w:rPr>
                <w:b w:val="0"/>
                <w:szCs w:val="18"/>
              </w:rPr>
              <w:t>Program Managers</w:t>
            </w:r>
          </w:p>
        </w:tc>
        <w:tc>
          <w:tcPr>
            <w:tcW w:w="573" w:type="pct"/>
          </w:tcPr>
          <w:p w:rsidR="008564A6" w:rsidRPr="00B75B77" w:rsidRDefault="008564A6" w:rsidP="00E163F4">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szCs w:val="18"/>
              </w:rPr>
              <w:t>2</w:t>
            </w:r>
          </w:p>
        </w:tc>
        <w:tc>
          <w:tcPr>
            <w:tcW w:w="668" w:type="pct"/>
          </w:tcPr>
          <w:p w:rsidR="008564A6" w:rsidRPr="00B75B77" w:rsidRDefault="008564A6" w:rsidP="00E163F4">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szCs w:val="18"/>
              </w:rPr>
              <w:t>N/A</w:t>
            </w:r>
          </w:p>
        </w:tc>
        <w:tc>
          <w:tcPr>
            <w:tcW w:w="574" w:type="pct"/>
          </w:tcPr>
          <w:p w:rsidR="008564A6" w:rsidRPr="00B75B77" w:rsidRDefault="008564A6" w:rsidP="00E163F4">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szCs w:val="18"/>
              </w:rPr>
              <w:t>N/A</w:t>
            </w:r>
          </w:p>
        </w:tc>
        <w:tc>
          <w:tcPr>
            <w:tcW w:w="414" w:type="pct"/>
          </w:tcPr>
          <w:p w:rsidR="008564A6" w:rsidRPr="00B75B77" w:rsidRDefault="008564A6" w:rsidP="00E163F4">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szCs w:val="18"/>
              </w:rPr>
              <w:t>2</w:t>
            </w:r>
          </w:p>
        </w:tc>
        <w:tc>
          <w:tcPr>
            <w:tcW w:w="521" w:type="pct"/>
          </w:tcPr>
          <w:p w:rsidR="008564A6" w:rsidRPr="00B75B77" w:rsidRDefault="008564A6" w:rsidP="00E163F4">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szCs w:val="18"/>
              </w:rPr>
              <w:t>2</w:t>
            </w:r>
          </w:p>
        </w:tc>
        <w:tc>
          <w:tcPr>
            <w:tcW w:w="827" w:type="pct"/>
          </w:tcPr>
          <w:p w:rsidR="008564A6" w:rsidRPr="00B75B77" w:rsidRDefault="008564A6" w:rsidP="00E163F4">
            <w:pPr>
              <w:jc w:val="center"/>
              <w:cnfStyle w:val="000000100000" w:firstRow="0" w:lastRow="0" w:firstColumn="0" w:lastColumn="0" w:oddVBand="0" w:evenVBand="0" w:oddHBand="1" w:evenHBand="0" w:firstRowFirstColumn="0" w:firstRowLastColumn="0" w:lastRowFirstColumn="0" w:lastRowLastColumn="0"/>
              <w:rPr>
                <w:szCs w:val="18"/>
              </w:rPr>
            </w:pPr>
            <w:r w:rsidRPr="00B75B77">
              <w:rPr>
                <w:szCs w:val="18"/>
              </w:rPr>
              <w:t>100</w:t>
            </w:r>
          </w:p>
        </w:tc>
        <w:tc>
          <w:tcPr>
            <w:tcW w:w="858" w:type="pct"/>
          </w:tcPr>
          <w:p w:rsidR="008564A6" w:rsidRPr="00B75B77" w:rsidRDefault="00093474" w:rsidP="00006419">
            <w:pPr>
              <w:jc w:val="left"/>
              <w:cnfStyle w:val="000000100000" w:firstRow="0" w:lastRow="0" w:firstColumn="0" w:lastColumn="0" w:oddVBand="0" w:evenVBand="0" w:oddHBand="1" w:evenHBand="0" w:firstRowFirstColumn="0" w:firstRowLastColumn="0" w:lastRowFirstColumn="0" w:lastRowLastColumn="0"/>
              <w:rPr>
                <w:szCs w:val="18"/>
              </w:rPr>
            </w:pPr>
            <w:r w:rsidRPr="00B75B77">
              <w:rPr>
                <w:szCs w:val="18"/>
              </w:rPr>
              <w:t>Process Evaluation</w:t>
            </w:r>
          </w:p>
        </w:tc>
      </w:tr>
      <w:tr w:rsidR="008564A6" w:rsidRPr="00B75B77" w:rsidTr="00006419">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66" w:type="pct"/>
          </w:tcPr>
          <w:p w:rsidR="008564A6" w:rsidRPr="00B75B77" w:rsidRDefault="008564A6" w:rsidP="00E163F4">
            <w:pPr>
              <w:jc w:val="left"/>
              <w:rPr>
                <w:bCs w:val="0"/>
                <w:szCs w:val="18"/>
              </w:rPr>
            </w:pPr>
            <w:r w:rsidRPr="00B75B77">
              <w:rPr>
                <w:bCs w:val="0"/>
                <w:szCs w:val="18"/>
              </w:rPr>
              <w:t>PROGRAM TOTAL</w:t>
            </w:r>
          </w:p>
        </w:tc>
        <w:tc>
          <w:tcPr>
            <w:tcW w:w="573" w:type="pct"/>
          </w:tcPr>
          <w:p w:rsidR="008564A6" w:rsidRPr="00B75B77" w:rsidRDefault="008564A6" w:rsidP="00E163F4">
            <w:pPr>
              <w:jc w:val="center"/>
              <w:cnfStyle w:val="000000010000" w:firstRow="0" w:lastRow="0" w:firstColumn="0" w:lastColumn="0" w:oddVBand="0" w:evenVBand="0" w:oddHBand="0" w:evenHBand="1" w:firstRowFirstColumn="0" w:firstRowLastColumn="0" w:lastRowFirstColumn="0" w:lastRowLastColumn="0"/>
              <w:rPr>
                <w:b/>
                <w:szCs w:val="18"/>
              </w:rPr>
            </w:pPr>
            <w:r w:rsidRPr="00B75B77">
              <w:rPr>
                <w:b/>
                <w:szCs w:val="18"/>
              </w:rPr>
              <w:t>2</w:t>
            </w:r>
          </w:p>
        </w:tc>
        <w:tc>
          <w:tcPr>
            <w:tcW w:w="668" w:type="pct"/>
          </w:tcPr>
          <w:p w:rsidR="008564A6" w:rsidRPr="00B75B77" w:rsidRDefault="008564A6" w:rsidP="00E163F4">
            <w:pPr>
              <w:jc w:val="center"/>
              <w:cnfStyle w:val="000000010000" w:firstRow="0" w:lastRow="0" w:firstColumn="0" w:lastColumn="0" w:oddVBand="0" w:evenVBand="0" w:oddHBand="0" w:evenHBand="1" w:firstRowFirstColumn="0" w:firstRowLastColumn="0" w:lastRowFirstColumn="0" w:lastRowLastColumn="0"/>
              <w:rPr>
                <w:b/>
                <w:szCs w:val="18"/>
              </w:rPr>
            </w:pPr>
            <w:r w:rsidRPr="00B75B77">
              <w:rPr>
                <w:b/>
                <w:szCs w:val="18"/>
              </w:rPr>
              <w:t>N/A</w:t>
            </w:r>
          </w:p>
        </w:tc>
        <w:tc>
          <w:tcPr>
            <w:tcW w:w="574" w:type="pct"/>
          </w:tcPr>
          <w:p w:rsidR="008564A6" w:rsidRPr="00B75B77" w:rsidRDefault="008564A6" w:rsidP="00E163F4">
            <w:pPr>
              <w:jc w:val="center"/>
              <w:cnfStyle w:val="000000010000" w:firstRow="0" w:lastRow="0" w:firstColumn="0" w:lastColumn="0" w:oddVBand="0" w:evenVBand="0" w:oddHBand="0" w:evenHBand="1" w:firstRowFirstColumn="0" w:firstRowLastColumn="0" w:lastRowFirstColumn="0" w:lastRowLastColumn="0"/>
              <w:rPr>
                <w:b/>
                <w:szCs w:val="18"/>
              </w:rPr>
            </w:pPr>
            <w:r w:rsidRPr="00B75B77">
              <w:rPr>
                <w:b/>
                <w:szCs w:val="18"/>
              </w:rPr>
              <w:t>N/A</w:t>
            </w:r>
          </w:p>
        </w:tc>
        <w:tc>
          <w:tcPr>
            <w:tcW w:w="414" w:type="pct"/>
          </w:tcPr>
          <w:p w:rsidR="008564A6" w:rsidRPr="00B75B77" w:rsidRDefault="008564A6" w:rsidP="00E163F4">
            <w:pPr>
              <w:jc w:val="center"/>
              <w:cnfStyle w:val="000000010000" w:firstRow="0" w:lastRow="0" w:firstColumn="0" w:lastColumn="0" w:oddVBand="0" w:evenVBand="0" w:oddHBand="0" w:evenHBand="1" w:firstRowFirstColumn="0" w:firstRowLastColumn="0" w:lastRowFirstColumn="0" w:lastRowLastColumn="0"/>
              <w:rPr>
                <w:b/>
                <w:szCs w:val="18"/>
              </w:rPr>
            </w:pPr>
            <w:r w:rsidRPr="00B75B77">
              <w:rPr>
                <w:b/>
                <w:szCs w:val="18"/>
              </w:rPr>
              <w:t>2</w:t>
            </w:r>
          </w:p>
        </w:tc>
        <w:tc>
          <w:tcPr>
            <w:tcW w:w="521" w:type="pct"/>
          </w:tcPr>
          <w:p w:rsidR="008564A6" w:rsidRPr="00B75B77" w:rsidRDefault="008564A6" w:rsidP="00E163F4">
            <w:pPr>
              <w:jc w:val="center"/>
              <w:cnfStyle w:val="000000010000" w:firstRow="0" w:lastRow="0" w:firstColumn="0" w:lastColumn="0" w:oddVBand="0" w:evenVBand="0" w:oddHBand="0" w:evenHBand="1" w:firstRowFirstColumn="0" w:firstRowLastColumn="0" w:lastRowFirstColumn="0" w:lastRowLastColumn="0"/>
              <w:rPr>
                <w:b/>
                <w:szCs w:val="18"/>
              </w:rPr>
            </w:pPr>
            <w:r w:rsidRPr="00B75B77">
              <w:rPr>
                <w:b/>
                <w:szCs w:val="18"/>
              </w:rPr>
              <w:t>2</w:t>
            </w:r>
          </w:p>
        </w:tc>
        <w:tc>
          <w:tcPr>
            <w:tcW w:w="827" w:type="pct"/>
          </w:tcPr>
          <w:p w:rsidR="008564A6" w:rsidRPr="00B75B77" w:rsidRDefault="008564A6" w:rsidP="00E163F4">
            <w:pPr>
              <w:jc w:val="center"/>
              <w:cnfStyle w:val="000000010000" w:firstRow="0" w:lastRow="0" w:firstColumn="0" w:lastColumn="0" w:oddVBand="0" w:evenVBand="0" w:oddHBand="0" w:evenHBand="1" w:firstRowFirstColumn="0" w:firstRowLastColumn="0" w:lastRowFirstColumn="0" w:lastRowLastColumn="0"/>
              <w:rPr>
                <w:b/>
                <w:szCs w:val="18"/>
              </w:rPr>
            </w:pPr>
            <w:r w:rsidRPr="00B75B77">
              <w:rPr>
                <w:b/>
                <w:szCs w:val="18"/>
              </w:rPr>
              <w:t>100</w:t>
            </w:r>
          </w:p>
        </w:tc>
        <w:tc>
          <w:tcPr>
            <w:tcW w:w="858" w:type="pct"/>
          </w:tcPr>
          <w:p w:rsidR="008564A6" w:rsidRPr="00B75B77" w:rsidRDefault="00093474" w:rsidP="00006419">
            <w:pPr>
              <w:jc w:val="left"/>
              <w:cnfStyle w:val="000000010000" w:firstRow="0" w:lastRow="0" w:firstColumn="0" w:lastColumn="0" w:oddVBand="0" w:evenVBand="0" w:oddHBand="0" w:evenHBand="1" w:firstRowFirstColumn="0" w:firstRowLastColumn="0" w:lastRowFirstColumn="0" w:lastRowLastColumn="0"/>
              <w:rPr>
                <w:b/>
                <w:szCs w:val="18"/>
              </w:rPr>
            </w:pPr>
            <w:r w:rsidRPr="00B75B77">
              <w:rPr>
                <w:b/>
                <w:szCs w:val="18"/>
              </w:rPr>
              <w:t>Process Evaluation</w:t>
            </w:r>
          </w:p>
        </w:tc>
      </w:tr>
    </w:tbl>
    <w:p w:rsidR="008564A6" w:rsidRPr="00B75B77" w:rsidRDefault="008564A6" w:rsidP="00E163F4">
      <w:pPr>
        <w:jc w:val="left"/>
        <w:rPr>
          <w:sz w:val="18"/>
        </w:rPr>
      </w:pPr>
      <w:r w:rsidRPr="00B75B77">
        <w:rPr>
          <w:iCs/>
          <w:sz w:val="18"/>
        </w:rPr>
        <w:t>Note: Values in tables may not reconcile exactly with the sum of more detailed level results or previously reported results due to rounding.</w:t>
      </w:r>
    </w:p>
    <w:p w:rsidR="008564A6" w:rsidRPr="00B75B77" w:rsidRDefault="008564A6" w:rsidP="00006419">
      <w:pPr>
        <w:pStyle w:val="Source"/>
        <w:ind w:hanging="720"/>
      </w:pPr>
      <w:r w:rsidRPr="00B75B77">
        <w:t>Source: Navigant analysis</w:t>
      </w:r>
    </w:p>
    <w:p w:rsidR="008564A6" w:rsidRPr="00B75B77" w:rsidRDefault="008564A6" w:rsidP="00E163F4">
      <w:pPr>
        <w:pStyle w:val="Heading3"/>
        <w:keepNext/>
      </w:pPr>
      <w:bookmarkStart w:id="986" w:name="_Toc466413473"/>
      <w:r w:rsidRPr="00B75B77">
        <w:lastRenderedPageBreak/>
        <w:t>Process Evaluation Results and Recommendations</w:t>
      </w:r>
      <w:bookmarkEnd w:id="986"/>
    </w:p>
    <w:p w:rsidR="008564A6" w:rsidRPr="00B75B77" w:rsidRDefault="008564A6" w:rsidP="00E163F4">
      <w:pPr>
        <w:keepNext/>
        <w:jc w:val="left"/>
      </w:pPr>
      <w:r w:rsidRPr="00B75B77">
        <w:t>This section discusses the results of the process evaluation efforts and offers a number of recommended improvements for the SBS program in future years.</w:t>
      </w:r>
    </w:p>
    <w:p w:rsidR="008564A6" w:rsidRPr="00B75B77" w:rsidRDefault="008564A6" w:rsidP="00E163F4">
      <w:pPr>
        <w:keepNext/>
        <w:jc w:val="left"/>
      </w:pPr>
    </w:p>
    <w:p w:rsidR="008564A6" w:rsidRPr="00B75B77" w:rsidRDefault="008564A6" w:rsidP="00E163F4">
      <w:r w:rsidRPr="00B75B77">
        <w:rPr>
          <w:b/>
        </w:rPr>
        <w:t xml:space="preserve">Program </w:t>
      </w:r>
      <w:r w:rsidR="00006419" w:rsidRPr="00B75B77">
        <w:rPr>
          <w:b/>
        </w:rPr>
        <w:t>o</w:t>
      </w:r>
      <w:r w:rsidRPr="00B75B77">
        <w:rPr>
          <w:b/>
        </w:rPr>
        <w:t>verall.</w:t>
      </w:r>
      <w:r w:rsidRPr="00B75B77">
        <w:t xml:space="preserve"> The PECO program manager was pleased with the overall activity and accomplishments of the SBS program in PY7, and the </w:t>
      </w:r>
      <w:proofErr w:type="spellStart"/>
      <w:r w:rsidR="00006419" w:rsidRPr="00B75B77">
        <w:t>SmartWatt</w:t>
      </w:r>
      <w:proofErr w:type="spellEnd"/>
      <w:r w:rsidRPr="00B75B77">
        <w:t xml:space="preserve"> program manager thought the program ran smoothly throughout the year. Program data shows the program fell short of the Phase II targets by about 15</w:t>
      </w:r>
      <w:r w:rsidR="00BB0374" w:rsidRPr="00B75B77">
        <w:t>%</w:t>
      </w:r>
      <w:r w:rsidRPr="00B75B77">
        <w:t xml:space="preserve"> and overspent the budget by about $1 million. The PECO </w:t>
      </w:r>
      <w:r w:rsidR="00006419" w:rsidRPr="00B75B77">
        <w:t xml:space="preserve">program manager </w:t>
      </w:r>
      <w:r w:rsidRPr="00B75B77">
        <w:t>described issues with the program in PY5 and PY6 that led to missing the Phase II targets. The program corrected these issues in PY7 and met the goals set forth in the final year of Phase</w:t>
      </w:r>
      <w:r w:rsidR="00006419" w:rsidRPr="00B75B77">
        <w:t xml:space="preserve"> II</w:t>
      </w:r>
      <w:r w:rsidRPr="00B75B77">
        <w:t xml:space="preserve">. </w:t>
      </w:r>
    </w:p>
    <w:p w:rsidR="008564A6" w:rsidRPr="00B75B77" w:rsidRDefault="008564A6" w:rsidP="00E163F4"/>
    <w:p w:rsidR="008564A6" w:rsidRPr="00B75B77" w:rsidRDefault="008564A6" w:rsidP="00E163F4">
      <w:proofErr w:type="gramStart"/>
      <w:r w:rsidRPr="00B75B77">
        <w:rPr>
          <w:b/>
        </w:rPr>
        <w:t xml:space="preserve">Program </w:t>
      </w:r>
      <w:r w:rsidR="00006419" w:rsidRPr="00B75B77">
        <w:rPr>
          <w:b/>
        </w:rPr>
        <w:t>c</w:t>
      </w:r>
      <w:r w:rsidR="00CA16D1" w:rsidRPr="00B75B77">
        <w:rPr>
          <w:b/>
        </w:rPr>
        <w:t>ontrol</w:t>
      </w:r>
      <w:r w:rsidRPr="00B75B77">
        <w:rPr>
          <w:b/>
        </w:rPr>
        <w:t xml:space="preserve"> and </w:t>
      </w:r>
      <w:r w:rsidR="00006419" w:rsidRPr="00B75B77">
        <w:rPr>
          <w:b/>
        </w:rPr>
        <w:t>p</w:t>
      </w:r>
      <w:r w:rsidRPr="00B75B77">
        <w:rPr>
          <w:b/>
        </w:rPr>
        <w:t>redictability.</w:t>
      </w:r>
      <w:proofErr w:type="gramEnd"/>
      <w:r w:rsidRPr="00B75B77">
        <w:t xml:space="preserve"> The program was able to ramp up and down easily and quickly to meet the goals in PY7. The PECO program manager was able to vary the length of time between the onsite audit and the delivery of the efficiency project proposal to increase or decrease the number of projects—and</w:t>
      </w:r>
      <w:r w:rsidR="00EE1498" w:rsidRPr="00B75B77">
        <w:t>,</w:t>
      </w:r>
      <w:r w:rsidRPr="00B75B77">
        <w:t xml:space="preserve"> therefore</w:t>
      </w:r>
      <w:r w:rsidR="00EE1498" w:rsidRPr="00B75B77">
        <w:t>,</w:t>
      </w:r>
      <w:r w:rsidRPr="00B75B77">
        <w:t xml:space="preserve"> control the amount of savings—coming in each month. PECO should consider using the SBS project as a lever for fine</w:t>
      </w:r>
      <w:r w:rsidR="00EE1498" w:rsidRPr="00B75B77">
        <w:t>-</w:t>
      </w:r>
      <w:r w:rsidRPr="00B75B77">
        <w:t xml:space="preserve">tuning savings accomplishments at the overall portfolio level to meet targets. However, since the SBS program is an expensive option for capturing savings, PECO should be aware of the portfolio budget when increasing or decreasing SBS program activity. </w:t>
      </w:r>
    </w:p>
    <w:p w:rsidR="008564A6" w:rsidRPr="00B75B77" w:rsidRDefault="008564A6" w:rsidP="00E163F4"/>
    <w:p w:rsidR="008564A6" w:rsidRPr="00B75B77" w:rsidRDefault="008564A6" w:rsidP="00E163F4">
      <w:proofErr w:type="gramStart"/>
      <w:r w:rsidRPr="00B75B77">
        <w:rPr>
          <w:b/>
        </w:rPr>
        <w:t xml:space="preserve">Program </w:t>
      </w:r>
      <w:r w:rsidR="00006419" w:rsidRPr="00B75B77">
        <w:rPr>
          <w:b/>
        </w:rPr>
        <w:t>c</w:t>
      </w:r>
      <w:r w:rsidRPr="00B75B77">
        <w:rPr>
          <w:b/>
        </w:rPr>
        <w:t>omprehensiveness.</w:t>
      </w:r>
      <w:proofErr w:type="gramEnd"/>
      <w:r w:rsidRPr="00B75B77">
        <w:t xml:space="preserve"> Both the PECO and </w:t>
      </w:r>
      <w:proofErr w:type="spellStart"/>
      <w:r w:rsidR="00EE1498" w:rsidRPr="00B75B77">
        <w:t>SmartWatt</w:t>
      </w:r>
      <w:proofErr w:type="spellEnd"/>
      <w:r w:rsidRPr="00B75B77">
        <w:t xml:space="preserve"> program managers called the program successful in PY7</w:t>
      </w:r>
      <w:r w:rsidR="00EE1498" w:rsidRPr="00B75B77">
        <w:t>,</w:t>
      </w:r>
      <w:r w:rsidRPr="00B75B77">
        <w:t xml:space="preserve"> as it was able to reach out to a wide </w:t>
      </w:r>
      <w:r w:rsidR="00EE1498" w:rsidRPr="00B75B77">
        <w:t xml:space="preserve">variety </w:t>
      </w:r>
      <w:r w:rsidRPr="00B75B77">
        <w:t xml:space="preserve">of small businesses throughout PECO’s service territory. The </w:t>
      </w:r>
      <w:proofErr w:type="spellStart"/>
      <w:r w:rsidR="00EE1498" w:rsidRPr="00B75B77">
        <w:t>SmartWatt</w:t>
      </w:r>
      <w:proofErr w:type="spellEnd"/>
      <w:r w:rsidRPr="00B75B77">
        <w:t xml:space="preserve"> manager also described the SBS program as catering to a customer base that has had little energy efficiency attention in the past due to capital constraints, time, and other such barriers. The SBS </w:t>
      </w:r>
      <w:r w:rsidR="00EE1498" w:rsidRPr="00B75B77">
        <w:t>DI</w:t>
      </w:r>
      <w:r w:rsidRPr="00B75B77">
        <w:t xml:space="preserve"> solution has been able to overcome those barriers and offer small business customers a means of increasing efficiency and lowering electric bills. </w:t>
      </w:r>
    </w:p>
    <w:p w:rsidR="008564A6" w:rsidRPr="00B75B77" w:rsidRDefault="008564A6" w:rsidP="00E163F4"/>
    <w:p w:rsidR="008564A6" w:rsidRPr="00B75B77" w:rsidRDefault="008564A6" w:rsidP="00E163F4">
      <w:proofErr w:type="gramStart"/>
      <w:r w:rsidRPr="00B75B77">
        <w:rPr>
          <w:b/>
        </w:rPr>
        <w:t xml:space="preserve">Program </w:t>
      </w:r>
      <w:r w:rsidR="00006419" w:rsidRPr="00B75B77">
        <w:rPr>
          <w:b/>
        </w:rPr>
        <w:t>e</w:t>
      </w:r>
      <w:r w:rsidRPr="00B75B77">
        <w:rPr>
          <w:b/>
        </w:rPr>
        <w:t>nhancements for Phase III.</w:t>
      </w:r>
      <w:proofErr w:type="gramEnd"/>
      <w:r w:rsidRPr="00B75B77">
        <w:t xml:space="preserve"> The program managers spoke extensively about the changes and enhancements made to the </w:t>
      </w:r>
      <w:r w:rsidR="00EE1498" w:rsidRPr="00B75B77">
        <w:t>SBS</w:t>
      </w:r>
      <w:r w:rsidRPr="00B75B77">
        <w:t xml:space="preserve"> program for the coming Phase III. The PECO program manager identified the following:</w:t>
      </w:r>
    </w:p>
    <w:p w:rsidR="008564A6" w:rsidRPr="00B75B77" w:rsidRDefault="008564A6" w:rsidP="009E08FB">
      <w:pPr>
        <w:pStyle w:val="ListParagraph"/>
        <w:numPr>
          <w:ilvl w:val="0"/>
          <w:numId w:val="61"/>
        </w:numPr>
        <w:spacing w:before="120"/>
        <w:contextualSpacing w:val="0"/>
        <w:jc w:val="left"/>
      </w:pPr>
      <w:r w:rsidRPr="00B75B77">
        <w:rPr>
          <w:b/>
        </w:rPr>
        <w:t>An expanded measure offering through the program.</w:t>
      </w:r>
      <w:r w:rsidRPr="00B75B77">
        <w:t xml:space="preserve"> SBS will continue to be a </w:t>
      </w:r>
      <w:r w:rsidR="00EE1498" w:rsidRPr="00B75B77">
        <w:t xml:space="preserve">DI </w:t>
      </w:r>
      <w:r w:rsidRPr="00B75B77">
        <w:t xml:space="preserve">program for small commercial customers, but </w:t>
      </w:r>
      <w:r w:rsidR="00EE1498" w:rsidRPr="00B75B77">
        <w:t xml:space="preserve">it </w:t>
      </w:r>
      <w:r w:rsidRPr="00B75B77">
        <w:t>will provide a larger list of measure options to capture more potential savings at a single site.</w:t>
      </w:r>
    </w:p>
    <w:p w:rsidR="008564A6" w:rsidRPr="00B75B77" w:rsidRDefault="008564A6" w:rsidP="009E08FB">
      <w:pPr>
        <w:pStyle w:val="ListParagraph"/>
        <w:numPr>
          <w:ilvl w:val="0"/>
          <w:numId w:val="61"/>
        </w:numPr>
        <w:spacing w:before="120"/>
        <w:contextualSpacing w:val="0"/>
        <w:jc w:val="left"/>
      </w:pPr>
      <w:r w:rsidRPr="00B75B77">
        <w:rPr>
          <w:b/>
        </w:rPr>
        <w:t>A reduced focus on measure payback.</w:t>
      </w:r>
      <w:r w:rsidRPr="00B75B77">
        <w:t xml:space="preserve"> PECO plans to move away from focusing on a </w:t>
      </w:r>
      <w:r w:rsidR="00EE1498" w:rsidRPr="00B75B77">
        <w:t>1-</w:t>
      </w:r>
      <w:r w:rsidRPr="00B75B77">
        <w:t>year measure payback for each project during Phase III. Instead, the program now appropriately incentivizes each measure</w:t>
      </w:r>
      <w:r w:rsidR="00EE1498" w:rsidRPr="00B75B77">
        <w:t>,</w:t>
      </w:r>
      <w:r w:rsidRPr="00B75B77">
        <w:t xml:space="preserve"> offering to make them cost-effective for the small business and small industrial sectors.</w:t>
      </w:r>
    </w:p>
    <w:p w:rsidR="008564A6" w:rsidRPr="00B75B77" w:rsidRDefault="008564A6" w:rsidP="00E163F4"/>
    <w:p w:rsidR="008564A6" w:rsidRPr="00B75B77" w:rsidRDefault="008564A6" w:rsidP="00E163F4">
      <w:r w:rsidRPr="00B75B77">
        <w:t xml:space="preserve">The </w:t>
      </w:r>
      <w:proofErr w:type="spellStart"/>
      <w:r w:rsidR="00EE1498" w:rsidRPr="00B75B77">
        <w:t>SmartWatt</w:t>
      </w:r>
      <w:proofErr w:type="spellEnd"/>
      <w:r w:rsidRPr="00B75B77">
        <w:t xml:space="preserve"> program manager added the following to the list of SBS enhancements going into Phase III:</w:t>
      </w:r>
    </w:p>
    <w:p w:rsidR="008564A6" w:rsidRPr="00B75B77" w:rsidRDefault="008564A6" w:rsidP="009E08FB">
      <w:pPr>
        <w:pStyle w:val="ListParagraph"/>
        <w:numPr>
          <w:ilvl w:val="0"/>
          <w:numId w:val="61"/>
        </w:numPr>
        <w:spacing w:before="120" w:line="264" w:lineRule="auto"/>
        <w:contextualSpacing w:val="0"/>
        <w:jc w:val="left"/>
      </w:pPr>
      <w:r w:rsidRPr="00B75B77">
        <w:rPr>
          <w:b/>
        </w:rPr>
        <w:t>Reduced savings for T12 lamps and fixtures.</w:t>
      </w:r>
      <w:r w:rsidRPr="00B75B77">
        <w:t xml:space="preserve"> The </w:t>
      </w:r>
      <w:proofErr w:type="spellStart"/>
      <w:r w:rsidR="00EE1498" w:rsidRPr="00B75B77">
        <w:t>SmartWatt</w:t>
      </w:r>
      <w:proofErr w:type="spellEnd"/>
      <w:r w:rsidRPr="00B75B77">
        <w:t xml:space="preserve"> program manager noted that the TRM for Phase III will use T8s as the baseline for T12 lamps and fixtures. This will reduce the energy savings estimates used for calculating incentives and could </w:t>
      </w:r>
      <w:r w:rsidR="002F3BF8" w:rsidRPr="00B75B77">
        <w:t>affect</w:t>
      </w:r>
      <w:r w:rsidRPr="00B75B77">
        <w:t xml:space="preserve"> program participation. </w:t>
      </w:r>
      <w:proofErr w:type="spellStart"/>
      <w:r w:rsidR="00EE1498" w:rsidRPr="00B75B77">
        <w:t>SmartWatt</w:t>
      </w:r>
      <w:proofErr w:type="spellEnd"/>
      <w:r w:rsidRPr="00B75B77">
        <w:t xml:space="preserve"> auditors would still calculate energy savings at the customer site using the original lamps and fixtures as the baseline. </w:t>
      </w:r>
      <w:proofErr w:type="spellStart"/>
      <w:r w:rsidR="00EE1498" w:rsidRPr="00B75B77">
        <w:t>SmartWatt</w:t>
      </w:r>
      <w:proofErr w:type="spellEnd"/>
      <w:r w:rsidRPr="00B75B77">
        <w:t xml:space="preserve"> still sees a significant saturation of T12 fixtures in the small business and small industrial sector and does not want this change in the TRM to create </w:t>
      </w:r>
      <w:r w:rsidR="00EE1498" w:rsidRPr="00B75B77">
        <w:t xml:space="preserve">a </w:t>
      </w:r>
      <w:r w:rsidRPr="00B75B77">
        <w:t>lost opportunity for energy improvements.</w:t>
      </w:r>
    </w:p>
    <w:p w:rsidR="008564A6" w:rsidRPr="00B75B77" w:rsidRDefault="008564A6" w:rsidP="009E08FB">
      <w:pPr>
        <w:pStyle w:val="ListParagraph"/>
        <w:numPr>
          <w:ilvl w:val="0"/>
          <w:numId w:val="61"/>
        </w:numPr>
        <w:spacing w:before="120" w:line="264" w:lineRule="auto"/>
        <w:contextualSpacing w:val="0"/>
        <w:jc w:val="left"/>
      </w:pPr>
      <w:r w:rsidRPr="00B75B77">
        <w:rPr>
          <w:b/>
        </w:rPr>
        <w:lastRenderedPageBreak/>
        <w:t>LED replacements.</w:t>
      </w:r>
      <w:r w:rsidRPr="00B75B77">
        <w:t xml:space="preserve"> </w:t>
      </w:r>
      <w:proofErr w:type="spellStart"/>
      <w:r w:rsidR="00EE1498" w:rsidRPr="00B75B77">
        <w:t>SmartWatt</w:t>
      </w:r>
      <w:proofErr w:type="spellEnd"/>
      <w:r w:rsidRPr="00B75B77">
        <w:t xml:space="preserve"> noted that Phase III will begin to push LEDs as a replacement for T12 and T8 lamps and fixtures but was concerned about the cost-effectiveness of this new measure offering.</w:t>
      </w:r>
    </w:p>
    <w:p w:rsidR="008564A6" w:rsidRPr="00B75B77" w:rsidRDefault="008564A6" w:rsidP="009E08FB">
      <w:pPr>
        <w:pStyle w:val="ListParagraph"/>
        <w:numPr>
          <w:ilvl w:val="0"/>
          <w:numId w:val="61"/>
        </w:numPr>
        <w:spacing w:before="120" w:line="264" w:lineRule="auto"/>
        <w:contextualSpacing w:val="0"/>
        <w:jc w:val="left"/>
      </w:pPr>
      <w:r w:rsidRPr="00B75B77">
        <w:rPr>
          <w:b/>
        </w:rPr>
        <w:t>Marketing.</w:t>
      </w:r>
      <w:r w:rsidRPr="00B75B77">
        <w:t xml:space="preserve"> PECO plans to bring in a third-party marketing firm to help communicate the enhancements to the program and market the new measure offerings to customers.</w:t>
      </w:r>
    </w:p>
    <w:p w:rsidR="008564A6" w:rsidRPr="00B75B77" w:rsidRDefault="008564A6" w:rsidP="00E163F4">
      <w:pPr>
        <w:keepNext/>
        <w:jc w:val="left"/>
      </w:pPr>
    </w:p>
    <w:p w:rsidR="008564A6" w:rsidRPr="00B75B77" w:rsidRDefault="008564A6" w:rsidP="00E163F4">
      <w:pPr>
        <w:keepNext/>
        <w:jc w:val="left"/>
      </w:pPr>
      <w:r w:rsidRPr="00B75B77">
        <w:t>Navigant offers the following findings and recommendations based on its process evaluation interviews and data review:</w:t>
      </w:r>
    </w:p>
    <w:p w:rsidR="008564A6" w:rsidRPr="00B75B77" w:rsidRDefault="008564A6" w:rsidP="00E163F4">
      <w:pPr>
        <w:jc w:val="left"/>
      </w:pPr>
    </w:p>
    <w:p w:rsidR="008564A6" w:rsidRPr="00B75B77" w:rsidRDefault="008564A6" w:rsidP="009E08FB">
      <w:pPr>
        <w:pStyle w:val="ListParagraph"/>
        <w:keepNext/>
        <w:numPr>
          <w:ilvl w:val="0"/>
          <w:numId w:val="59"/>
        </w:numPr>
        <w:spacing w:after="120"/>
        <w:contextualSpacing w:val="0"/>
        <w:jc w:val="left"/>
      </w:pPr>
      <w:r w:rsidRPr="00B75B77">
        <w:rPr>
          <w:b/>
        </w:rPr>
        <w:t xml:space="preserve">Finding: </w:t>
      </w:r>
      <w:r w:rsidRPr="00B75B77">
        <w:t xml:space="preserve">Based on Navigant’s discussions with sampled participants, there are still inaccuracies in the HOU utilized by the CSP in its ex ante savings estimates. Participant-reported hours were below those used in the </w:t>
      </w:r>
      <w:r w:rsidR="00CA16D1" w:rsidRPr="00B75B77">
        <w:t>ex</w:t>
      </w:r>
      <w:r w:rsidR="00EE1498" w:rsidRPr="00B75B77">
        <w:t xml:space="preserve"> </w:t>
      </w:r>
      <w:r w:rsidR="00CA16D1" w:rsidRPr="00B75B77">
        <w:t>ante</w:t>
      </w:r>
      <w:r w:rsidRPr="00B75B77">
        <w:t xml:space="preserve"> estimates in a small number of the sampled sites. </w:t>
      </w:r>
      <w:proofErr w:type="spellStart"/>
      <w:r w:rsidR="00EE1498" w:rsidRPr="00B75B77">
        <w:t>SmartWatt</w:t>
      </w:r>
      <w:proofErr w:type="spellEnd"/>
      <w:r w:rsidRPr="00B75B77">
        <w:t xml:space="preserve"> also incorrectly applied an 8</w:t>
      </w:r>
      <w:r w:rsidR="00EE1498" w:rsidRPr="00B75B77">
        <w:t>,</w:t>
      </w:r>
      <w:r w:rsidRPr="00B75B77">
        <w:t>760 HOU value for night covers where the TRM requires an HOU of 2</w:t>
      </w:r>
      <w:r w:rsidR="00EE1498" w:rsidRPr="00B75B77">
        <w:t>,</w:t>
      </w:r>
      <w:r w:rsidRPr="00B75B77">
        <w:t>190.</w:t>
      </w:r>
    </w:p>
    <w:p w:rsidR="008564A6" w:rsidRPr="00B75B77" w:rsidRDefault="008564A6" w:rsidP="009E08FB">
      <w:pPr>
        <w:pStyle w:val="ListParagraph"/>
        <w:keepNext/>
        <w:numPr>
          <w:ilvl w:val="1"/>
          <w:numId w:val="59"/>
        </w:numPr>
        <w:spacing w:after="120"/>
        <w:contextualSpacing w:val="0"/>
        <w:jc w:val="left"/>
      </w:pPr>
      <w:r w:rsidRPr="00B75B77">
        <w:rPr>
          <w:b/>
        </w:rPr>
        <w:t xml:space="preserve">Recommendation: </w:t>
      </w:r>
      <w:r w:rsidRPr="00B75B77">
        <w:t>The CSP sales auditor has reduced these HOU inaccuracies since PY6 but should continue to refine the process for gathering accurate lighting schedules at the time of the initial facility audit</w:t>
      </w:r>
      <w:r w:rsidR="00EE1498" w:rsidRPr="00B75B77">
        <w:t>; this includes</w:t>
      </w:r>
      <w:r w:rsidRPr="00B75B77">
        <w:t xml:space="preserve"> documenting that information clearly in the project file. The CSP should also review the TRM HOU values for new measures—such as night covers—and other measures added to the program in Phase III.</w:t>
      </w:r>
    </w:p>
    <w:p w:rsidR="008564A6" w:rsidRPr="00B75B77" w:rsidRDefault="008564A6" w:rsidP="009E08FB">
      <w:pPr>
        <w:pStyle w:val="ListParagraph"/>
        <w:keepNext/>
        <w:numPr>
          <w:ilvl w:val="0"/>
          <w:numId w:val="59"/>
        </w:numPr>
        <w:spacing w:after="120"/>
        <w:contextualSpacing w:val="0"/>
        <w:jc w:val="left"/>
        <w:rPr>
          <w:b/>
        </w:rPr>
      </w:pPr>
      <w:r w:rsidRPr="00B75B77">
        <w:rPr>
          <w:b/>
        </w:rPr>
        <w:t xml:space="preserve">Finding: </w:t>
      </w:r>
      <w:r w:rsidRPr="00B75B77">
        <w:t xml:space="preserve">The SBS program is a highly controllable and predictable program, able to ramp up and down quickly and easily on a monthly basis to meet savings goals and targets. </w:t>
      </w:r>
    </w:p>
    <w:p w:rsidR="008564A6" w:rsidRPr="00B75B77" w:rsidRDefault="008564A6" w:rsidP="009E08FB">
      <w:pPr>
        <w:pStyle w:val="ListParagraph"/>
        <w:keepNext/>
        <w:numPr>
          <w:ilvl w:val="1"/>
          <w:numId w:val="60"/>
        </w:numPr>
        <w:spacing w:after="120"/>
        <w:contextualSpacing w:val="0"/>
        <w:jc w:val="left"/>
        <w:rPr>
          <w:b/>
        </w:rPr>
      </w:pPr>
      <w:r w:rsidRPr="00B75B77">
        <w:rPr>
          <w:b/>
        </w:rPr>
        <w:t>Recommendation:</w:t>
      </w:r>
      <w:r w:rsidRPr="00B75B77">
        <w:t xml:space="preserve"> Going forward into Phase III, PECO should use the solution—renamed Whole</w:t>
      </w:r>
      <w:r w:rsidR="00EE1498" w:rsidRPr="00B75B77">
        <w:t>-</w:t>
      </w:r>
      <w:r w:rsidRPr="00B75B77">
        <w:t>Building—as a lever for fine</w:t>
      </w:r>
      <w:r w:rsidR="00EE1498" w:rsidRPr="00B75B77">
        <w:t>-</w:t>
      </w:r>
      <w:r w:rsidRPr="00B75B77">
        <w:t>tuning portfolio</w:t>
      </w:r>
      <w:r w:rsidR="00871301" w:rsidRPr="00B75B77">
        <w:t>-</w:t>
      </w:r>
      <w:r w:rsidRPr="00B75B77">
        <w:t>level goals and targets, depending on budget.</w:t>
      </w:r>
    </w:p>
    <w:p w:rsidR="008564A6" w:rsidRPr="00B75B77" w:rsidRDefault="008564A6" w:rsidP="009E08FB">
      <w:pPr>
        <w:pStyle w:val="ListParagraph"/>
        <w:keepNext/>
        <w:numPr>
          <w:ilvl w:val="0"/>
          <w:numId w:val="59"/>
        </w:numPr>
        <w:spacing w:after="120"/>
        <w:contextualSpacing w:val="0"/>
        <w:jc w:val="left"/>
        <w:rPr>
          <w:b/>
        </w:rPr>
      </w:pPr>
      <w:r w:rsidRPr="00B75B77">
        <w:rPr>
          <w:b/>
        </w:rPr>
        <w:t xml:space="preserve">Finding: </w:t>
      </w:r>
      <w:r w:rsidRPr="00B75B77">
        <w:t>PY7 savings still revolved around linear fluorescent upgrades of T12s to T8 and T5s</w:t>
      </w:r>
      <w:r w:rsidR="00EE1498" w:rsidRPr="00B75B77">
        <w:t xml:space="preserve">, </w:t>
      </w:r>
      <w:r w:rsidRPr="00B75B77">
        <w:t>accounting for 76</w:t>
      </w:r>
      <w:r w:rsidR="00BB0374" w:rsidRPr="00B75B77">
        <w:t>%</w:t>
      </w:r>
      <w:r w:rsidRPr="00B75B77">
        <w:t xml:space="preserve"> of program savings. The TRM in Phase III will shift the baseline for linear fluorescent upgrades from T12s to T8s, drastically reducing the amount of savings PECO can claim for T12 upgrades.</w:t>
      </w:r>
    </w:p>
    <w:p w:rsidR="008564A6" w:rsidRPr="00B75B77" w:rsidRDefault="008564A6" w:rsidP="009E08FB">
      <w:pPr>
        <w:pStyle w:val="ListParagraph"/>
        <w:keepNext/>
        <w:numPr>
          <w:ilvl w:val="0"/>
          <w:numId w:val="87"/>
        </w:numPr>
        <w:spacing w:after="120"/>
        <w:contextualSpacing w:val="0"/>
        <w:jc w:val="left"/>
        <w:rPr>
          <w:b/>
        </w:rPr>
      </w:pPr>
      <w:r w:rsidRPr="00B75B77">
        <w:rPr>
          <w:b/>
        </w:rPr>
        <w:t xml:space="preserve">Recommendation: </w:t>
      </w:r>
      <w:r w:rsidRPr="00B75B77">
        <w:t xml:space="preserve">PECO should have the CSP more proactively propose the installation of </w:t>
      </w:r>
      <w:r w:rsidR="00635B17" w:rsidRPr="00B75B77">
        <w:t>tubular</w:t>
      </w:r>
      <w:r w:rsidRPr="00B75B77">
        <w:t xml:space="preserve"> LED (TLED) lamps and fixtures as the primary replacement for T12s. The cost of TLEDs is still high, but if PECO wants to continue to achieve strong savings and maintain the controllability of the SBS program, it must promote the TLED technologies.</w:t>
      </w:r>
    </w:p>
    <w:p w:rsidR="008564A6" w:rsidRPr="00B75B77" w:rsidRDefault="008564A6" w:rsidP="009E08FB">
      <w:pPr>
        <w:pStyle w:val="ListParagraph"/>
        <w:keepNext/>
        <w:numPr>
          <w:ilvl w:val="0"/>
          <w:numId w:val="59"/>
        </w:numPr>
        <w:spacing w:after="120"/>
        <w:contextualSpacing w:val="0"/>
        <w:jc w:val="left"/>
        <w:rPr>
          <w:b/>
        </w:rPr>
      </w:pPr>
      <w:r w:rsidRPr="00B75B77">
        <w:rPr>
          <w:b/>
        </w:rPr>
        <w:t xml:space="preserve">Finding: </w:t>
      </w:r>
      <w:r w:rsidRPr="00B75B77">
        <w:t>There seems to be a missed opportunity for PECO to offer customers a more comprehensive approach to energy savings. Onsite visits offer the sales auditor an opportunity to review and propose more efficiency options than those incentivized through SBS, including other prescriptive technologies and behavior change.</w:t>
      </w:r>
    </w:p>
    <w:p w:rsidR="008564A6" w:rsidRPr="00B75B77" w:rsidRDefault="008564A6" w:rsidP="009E08FB">
      <w:pPr>
        <w:pStyle w:val="ListParagraph"/>
        <w:keepNext/>
        <w:numPr>
          <w:ilvl w:val="0"/>
          <w:numId w:val="88"/>
        </w:numPr>
        <w:spacing w:after="120"/>
        <w:contextualSpacing w:val="0"/>
        <w:jc w:val="left"/>
        <w:rPr>
          <w:b/>
        </w:rPr>
      </w:pPr>
      <w:r w:rsidRPr="00B75B77">
        <w:rPr>
          <w:b/>
        </w:rPr>
        <w:t>Recommendation:</w:t>
      </w:r>
      <w:r w:rsidRPr="00B75B77">
        <w:t xml:space="preserve"> PECO should take full advantage of the face</w:t>
      </w:r>
      <w:r w:rsidR="00EE1498" w:rsidRPr="00B75B77">
        <w:t xml:space="preserve"> </w:t>
      </w:r>
      <w:r w:rsidRPr="00B75B77">
        <w:t>time with customers during a Whole</w:t>
      </w:r>
      <w:r w:rsidR="00871301" w:rsidRPr="00B75B77">
        <w:t>-</w:t>
      </w:r>
      <w:r w:rsidRPr="00B75B77">
        <w:t xml:space="preserve">Building audit in Phase III by connecting them with all other aspects of the </w:t>
      </w:r>
      <w:r w:rsidR="00EE1498" w:rsidRPr="00B75B77">
        <w:t>s</w:t>
      </w:r>
      <w:r w:rsidRPr="00B75B77">
        <w:t xml:space="preserve">mall C&amp;I program such as </w:t>
      </w:r>
      <w:r w:rsidR="00EE1498" w:rsidRPr="00B75B77">
        <w:t>b</w:t>
      </w:r>
      <w:r w:rsidRPr="00B75B77">
        <w:t xml:space="preserve">ehavioral and </w:t>
      </w:r>
      <w:r w:rsidR="00EE1498" w:rsidRPr="00B75B77">
        <w:t>e</w:t>
      </w:r>
      <w:r w:rsidRPr="00B75B77">
        <w:t xml:space="preserve">quipment </w:t>
      </w:r>
      <w:r w:rsidR="00EE1498" w:rsidRPr="00B75B77">
        <w:t>s</w:t>
      </w:r>
      <w:r w:rsidRPr="00B75B77">
        <w:t xml:space="preserve">ystems </w:t>
      </w:r>
      <w:r w:rsidR="00EE1498" w:rsidRPr="00B75B77">
        <w:t>s</w:t>
      </w:r>
      <w:r w:rsidRPr="00B75B77">
        <w:t xml:space="preserve">olutions. </w:t>
      </w:r>
      <w:r w:rsidR="00871301" w:rsidRPr="00B75B77">
        <w:t xml:space="preserve">The </w:t>
      </w:r>
      <w:r w:rsidRPr="00B75B77">
        <w:t>CSP should collect primary data while onsite to provide accurate energy savings estimates for these other prescriptive technologies and begin the rebate paperwork for the customer.</w:t>
      </w:r>
    </w:p>
    <w:p w:rsidR="008564A6" w:rsidRPr="00B75B77" w:rsidRDefault="008564A6" w:rsidP="00E163F4"/>
    <w:p w:rsidR="008564A6" w:rsidRPr="00B75B77" w:rsidRDefault="008564A6" w:rsidP="003E6A9B">
      <w:pPr>
        <w:pStyle w:val="Heading2"/>
      </w:pPr>
      <w:bookmarkStart w:id="987" w:name="_Toc466413474"/>
      <w:r w:rsidRPr="00B75B77">
        <w:t>Status of Recommendations for Program</w:t>
      </w:r>
      <w:bookmarkEnd w:id="987"/>
    </w:p>
    <w:p w:rsidR="008564A6" w:rsidRPr="00B75B77" w:rsidRDefault="008564A6" w:rsidP="00E163F4">
      <w:pPr>
        <w:jc w:val="left"/>
      </w:pPr>
      <w:r w:rsidRPr="00B75B77">
        <w:lastRenderedPageBreak/>
        <w:fldChar w:fldCharType="begin"/>
      </w:r>
      <w:r w:rsidRPr="00B75B77">
        <w:instrText xml:space="preserve"> REF _Ref463262236 \h </w:instrText>
      </w:r>
      <w:r w:rsidR="00B75B77">
        <w:instrText xml:space="preserve"> \* MERGEFORMAT </w:instrText>
      </w:r>
      <w:r w:rsidRPr="00B75B77">
        <w:fldChar w:fldCharType="separate"/>
      </w:r>
      <w:r w:rsidR="0004016D" w:rsidRPr="00B75B77">
        <w:t xml:space="preserve">Table </w:t>
      </w:r>
      <w:r w:rsidR="0004016D">
        <w:rPr>
          <w:noProof/>
        </w:rPr>
        <w:t>16</w:t>
      </w:r>
      <w:r w:rsidR="0004016D" w:rsidRPr="00B75B77">
        <w:rPr>
          <w:noProof/>
        </w:rPr>
        <w:noBreakHyphen/>
      </w:r>
      <w:r w:rsidR="0004016D">
        <w:rPr>
          <w:noProof/>
        </w:rPr>
        <w:t>6</w:t>
      </w:r>
      <w:r w:rsidRPr="00B75B77">
        <w:fldChar w:fldCharType="end"/>
      </w:r>
      <w:r w:rsidRPr="00B75B77">
        <w:t xml:space="preserve"> summarizes Navigant’s recommendations and their current status.</w:t>
      </w:r>
    </w:p>
    <w:p w:rsidR="008564A6" w:rsidRPr="00B75B77" w:rsidRDefault="008564A6" w:rsidP="0004543D"/>
    <w:p w:rsidR="008564A6" w:rsidRPr="00B75B77" w:rsidRDefault="008564A6" w:rsidP="007F0D42">
      <w:pPr>
        <w:pStyle w:val="Caption"/>
      </w:pPr>
      <w:bookmarkStart w:id="988" w:name="_Ref463262236"/>
      <w:bookmarkStart w:id="989" w:name="_Toc466413652"/>
      <w:r w:rsidRPr="00B75B77">
        <w:t xml:space="preserve">Table </w:t>
      </w:r>
      <w:fldSimple w:instr=" STYLEREF 1 \s ">
        <w:r w:rsidR="0004016D">
          <w:rPr>
            <w:noProof/>
          </w:rPr>
          <w:t>16</w:t>
        </w:r>
      </w:fldSimple>
      <w:r w:rsidR="00F1144C" w:rsidRPr="00B75B77">
        <w:noBreakHyphen/>
      </w:r>
      <w:fldSimple w:instr=" SEQ Table \* ARABIC \s 1 ">
        <w:r w:rsidR="0004016D">
          <w:rPr>
            <w:noProof/>
          </w:rPr>
          <w:t>6</w:t>
        </w:r>
      </w:fldSimple>
      <w:bookmarkEnd w:id="988"/>
      <w:r w:rsidRPr="00B75B77">
        <w:t>: Smart Business Solutions Status Report on Process and Impact Recommendations</w:t>
      </w:r>
      <w:bookmarkEnd w:id="989"/>
    </w:p>
    <w:tbl>
      <w:tblPr>
        <w:tblStyle w:val="MediumShading1-Accent5"/>
        <w:tblW w:w="934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4940"/>
        <w:gridCol w:w="4400"/>
      </w:tblGrid>
      <w:tr w:rsidR="008564A6" w:rsidRPr="00B75B77" w:rsidTr="00E163F4">
        <w:trPr>
          <w:cnfStyle w:val="100000000000" w:firstRow="1" w:lastRow="0" w:firstColumn="0" w:lastColumn="0" w:oddVBand="0" w:evenVBand="0" w:oddHBand="0"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49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8A99"/>
            <w:vAlign w:val="center"/>
            <w:hideMark/>
          </w:tcPr>
          <w:p w:rsidR="008564A6" w:rsidRPr="00B75B77" w:rsidRDefault="008564A6" w:rsidP="00594255">
            <w:pPr>
              <w:jc w:val="left"/>
              <w:rPr>
                <w:rFonts w:ascii="Calibri" w:eastAsia="Times New Roman" w:hAnsi="Calibri"/>
                <w:bCs w:val="0"/>
                <w:sz w:val="18"/>
              </w:rPr>
            </w:pPr>
            <w:r w:rsidRPr="00B75B77">
              <w:rPr>
                <w:rFonts w:ascii="Calibri" w:eastAsia="Times New Roman" w:hAnsi="Calibri"/>
                <w:bCs w:val="0"/>
                <w:sz w:val="18"/>
              </w:rPr>
              <w:t>Recommendations</w:t>
            </w:r>
          </w:p>
        </w:tc>
        <w:tc>
          <w:tcPr>
            <w:tcW w:w="44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8A99"/>
            <w:vAlign w:val="center"/>
            <w:hideMark/>
          </w:tcPr>
          <w:p w:rsidR="008564A6" w:rsidRPr="00B75B77" w:rsidRDefault="008564A6" w:rsidP="00594255">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rPr>
            </w:pPr>
            <w:r w:rsidRPr="00B75B77">
              <w:rPr>
                <w:rFonts w:ascii="Calibri" w:eastAsia="Times New Roman" w:hAnsi="Calibri"/>
                <w:bCs w:val="0"/>
                <w:sz w:val="18"/>
              </w:rPr>
              <w:t>EDC Status of Recommendation (Implemented, Being Considered, Rejected AND Explanation of Action Taken by EDC)</w:t>
            </w:r>
          </w:p>
        </w:tc>
      </w:tr>
      <w:tr w:rsidR="008564A6" w:rsidRPr="00B75B77" w:rsidTr="002548AE">
        <w:trPr>
          <w:cnfStyle w:val="000000100000" w:firstRow="0" w:lastRow="0" w:firstColumn="0" w:lastColumn="0" w:oddVBand="0" w:evenVBand="0" w:oddHBand="1"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4940" w:type="dxa"/>
            <w:tcBorders>
              <w:top w:val="single" w:sz="8" w:space="0" w:color="000000" w:themeColor="text1"/>
              <w:right w:val="none" w:sz="0" w:space="0" w:color="auto"/>
            </w:tcBorders>
            <w:noWrap/>
            <w:vAlign w:val="center"/>
            <w:hideMark/>
          </w:tcPr>
          <w:p w:rsidR="008564A6" w:rsidRPr="00B75B77" w:rsidRDefault="008564A6" w:rsidP="00E163F4">
            <w:pPr>
              <w:jc w:val="left"/>
              <w:rPr>
                <w:rFonts w:ascii="Calibri" w:eastAsia="Times New Roman" w:hAnsi="Calibri"/>
                <w:color w:val="000000"/>
                <w:sz w:val="18"/>
              </w:rPr>
            </w:pPr>
            <w:r w:rsidRPr="00B75B77">
              <w:rPr>
                <w:rFonts w:ascii="Calibri" w:eastAsia="Times New Roman" w:hAnsi="Calibri"/>
                <w:color w:val="000000"/>
                <w:sz w:val="18"/>
              </w:rPr>
              <w:t xml:space="preserve">Recommendation 1: </w:t>
            </w:r>
            <w:r w:rsidRPr="00B75B77">
              <w:rPr>
                <w:b w:val="0"/>
                <w:sz w:val="18"/>
              </w:rPr>
              <w:t>The CSP sales auditor should further refine the process for gathering and documenting accurate lighting schedules for use in the savings estimates presented to customers and in the calculation of ex ante savings. The CSP should also review the TRM HOU values for new measures—such as night covers—and other measures added to the program in Phase III.</w:t>
            </w:r>
          </w:p>
        </w:tc>
        <w:tc>
          <w:tcPr>
            <w:tcW w:w="4400" w:type="dxa"/>
            <w:tcBorders>
              <w:top w:val="single" w:sz="8" w:space="0" w:color="000000" w:themeColor="text1"/>
              <w:left w:val="none" w:sz="0" w:space="0" w:color="auto"/>
            </w:tcBorders>
            <w:noWrap/>
            <w:hideMark/>
          </w:tcPr>
          <w:p w:rsidR="008564A6" w:rsidRPr="00B75B77" w:rsidRDefault="00094AFF" w:rsidP="00094AFF">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rPr>
            </w:pPr>
            <w:r w:rsidRPr="00B75B77">
              <w:rPr>
                <w:rFonts w:ascii="Calibri" w:eastAsia="Times New Roman" w:hAnsi="Calibri"/>
                <w:b/>
                <w:color w:val="000000"/>
                <w:sz w:val="18"/>
              </w:rPr>
              <w:t>Being Considered:</w:t>
            </w:r>
            <w:r w:rsidRPr="00B75B77">
              <w:rPr>
                <w:rFonts w:ascii="Calibri" w:eastAsia="Times New Roman" w:hAnsi="Calibri"/>
                <w:color w:val="000000"/>
                <w:sz w:val="18"/>
              </w:rPr>
              <w:t xml:space="preserve"> A separate tab will be added to the Schedule C for the sales auditor to document discrepancies between the posted HOU and the true HOU.</w:t>
            </w:r>
          </w:p>
        </w:tc>
      </w:tr>
      <w:tr w:rsidR="008564A6" w:rsidRPr="00B75B77" w:rsidTr="00E163F4">
        <w:trPr>
          <w:cnfStyle w:val="000000010000" w:firstRow="0" w:lastRow="0" w:firstColumn="0" w:lastColumn="0" w:oddVBand="0" w:evenVBand="0" w:oddHBand="0" w:evenHBand="1"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4940" w:type="dxa"/>
            <w:tcBorders>
              <w:right w:val="none" w:sz="0" w:space="0" w:color="auto"/>
            </w:tcBorders>
            <w:noWrap/>
            <w:vAlign w:val="center"/>
            <w:hideMark/>
          </w:tcPr>
          <w:p w:rsidR="008564A6" w:rsidRPr="00B75B77" w:rsidRDefault="008564A6" w:rsidP="00E163F4">
            <w:pPr>
              <w:jc w:val="left"/>
              <w:rPr>
                <w:rFonts w:ascii="Calibri" w:eastAsia="Times New Roman" w:hAnsi="Calibri"/>
                <w:color w:val="000000"/>
                <w:sz w:val="18"/>
              </w:rPr>
            </w:pPr>
            <w:r w:rsidRPr="00B75B77">
              <w:rPr>
                <w:rFonts w:ascii="Calibri" w:eastAsia="Times New Roman" w:hAnsi="Calibri"/>
                <w:color w:val="000000"/>
                <w:sz w:val="18"/>
              </w:rPr>
              <w:t>Recommendation 2</w:t>
            </w:r>
            <w:r w:rsidRPr="00B75B77">
              <w:rPr>
                <w:sz w:val="18"/>
              </w:rPr>
              <w:t>:</w:t>
            </w:r>
            <w:r w:rsidRPr="00B75B77">
              <w:rPr>
                <w:b w:val="0"/>
                <w:sz w:val="18"/>
              </w:rPr>
              <w:t xml:space="preserve"> Going forward into Phase III, PECO should use the program—renamed Whole</w:t>
            </w:r>
            <w:r w:rsidR="00871301" w:rsidRPr="00B75B77">
              <w:rPr>
                <w:b w:val="0"/>
                <w:sz w:val="18"/>
              </w:rPr>
              <w:t>-</w:t>
            </w:r>
            <w:r w:rsidRPr="00B75B77">
              <w:rPr>
                <w:b w:val="0"/>
                <w:sz w:val="18"/>
              </w:rPr>
              <w:t>Building—as a lever for fine</w:t>
            </w:r>
            <w:r w:rsidR="00871301" w:rsidRPr="00B75B77">
              <w:rPr>
                <w:b w:val="0"/>
                <w:sz w:val="18"/>
              </w:rPr>
              <w:t>-</w:t>
            </w:r>
            <w:r w:rsidRPr="00B75B77">
              <w:rPr>
                <w:b w:val="0"/>
                <w:sz w:val="18"/>
              </w:rPr>
              <w:t>tuning portfolio</w:t>
            </w:r>
            <w:r w:rsidR="00871301" w:rsidRPr="00B75B77">
              <w:rPr>
                <w:b w:val="0"/>
                <w:sz w:val="18"/>
              </w:rPr>
              <w:t>-</w:t>
            </w:r>
            <w:r w:rsidRPr="00B75B77">
              <w:rPr>
                <w:b w:val="0"/>
                <w:sz w:val="18"/>
              </w:rPr>
              <w:t>level goals and targets, depending on budget.</w:t>
            </w:r>
          </w:p>
        </w:tc>
        <w:tc>
          <w:tcPr>
            <w:tcW w:w="4400" w:type="dxa"/>
            <w:tcBorders>
              <w:left w:val="none" w:sz="0" w:space="0" w:color="auto"/>
            </w:tcBorders>
            <w:noWrap/>
            <w:vAlign w:val="center"/>
            <w:hideMark/>
          </w:tcPr>
          <w:p w:rsidR="008564A6" w:rsidRPr="00B75B77" w:rsidRDefault="00094AFF" w:rsidP="00094AFF">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rPr>
            </w:pPr>
            <w:r w:rsidRPr="00B75B77">
              <w:rPr>
                <w:rFonts w:ascii="Calibri" w:eastAsia="Times New Roman" w:hAnsi="Calibri"/>
                <w:b/>
                <w:color w:val="000000"/>
                <w:sz w:val="18"/>
              </w:rPr>
              <w:t>Implemented:</w:t>
            </w:r>
            <w:r w:rsidRPr="00B75B77">
              <w:rPr>
                <w:rFonts w:ascii="Calibri" w:eastAsia="Times New Roman" w:hAnsi="Calibri"/>
                <w:color w:val="000000"/>
                <w:sz w:val="18"/>
              </w:rPr>
              <w:t xml:space="preserve"> In the new plan for Phase III</w:t>
            </w:r>
            <w:r w:rsidR="002548AE" w:rsidRPr="00B75B77">
              <w:rPr>
                <w:rFonts w:ascii="Calibri" w:eastAsia="Times New Roman" w:hAnsi="Calibri"/>
                <w:color w:val="000000"/>
                <w:sz w:val="18"/>
              </w:rPr>
              <w:t>,</w:t>
            </w:r>
            <w:r w:rsidRPr="00B75B77">
              <w:rPr>
                <w:rFonts w:ascii="Calibri" w:eastAsia="Times New Roman" w:hAnsi="Calibri"/>
                <w:color w:val="000000"/>
                <w:sz w:val="18"/>
              </w:rPr>
              <w:t xml:space="preserve"> the program is renamed to reflect the treatments and offerings it presents.</w:t>
            </w:r>
          </w:p>
        </w:tc>
      </w:tr>
      <w:tr w:rsidR="008564A6" w:rsidRPr="00B75B77" w:rsidTr="00E163F4">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4940" w:type="dxa"/>
            <w:tcBorders>
              <w:right w:val="none" w:sz="0" w:space="0" w:color="auto"/>
            </w:tcBorders>
            <w:noWrap/>
            <w:vAlign w:val="center"/>
            <w:hideMark/>
          </w:tcPr>
          <w:p w:rsidR="008564A6" w:rsidRPr="00B75B77" w:rsidRDefault="008564A6" w:rsidP="00871301">
            <w:pPr>
              <w:jc w:val="left"/>
              <w:rPr>
                <w:rFonts w:ascii="Calibri" w:eastAsia="Times New Roman" w:hAnsi="Calibri"/>
                <w:color w:val="000000"/>
                <w:sz w:val="18"/>
              </w:rPr>
            </w:pPr>
            <w:r w:rsidRPr="00B75B77">
              <w:rPr>
                <w:rFonts w:ascii="Calibri" w:eastAsia="Times New Roman" w:hAnsi="Calibri"/>
                <w:color w:val="000000"/>
                <w:sz w:val="18"/>
              </w:rPr>
              <w:t xml:space="preserve">Recommendation 3: </w:t>
            </w:r>
            <w:r w:rsidRPr="00B75B77">
              <w:rPr>
                <w:rFonts w:ascii="Calibri" w:eastAsia="Times New Roman" w:hAnsi="Calibri"/>
                <w:b w:val="0"/>
                <w:color w:val="000000"/>
                <w:sz w:val="18"/>
              </w:rPr>
              <w:t xml:space="preserve">PECO should have the CSP more proactively propose the installation of TLED lamps and fixtures as the primary replacement for T12s. </w:t>
            </w:r>
          </w:p>
        </w:tc>
        <w:tc>
          <w:tcPr>
            <w:tcW w:w="4400" w:type="dxa"/>
            <w:tcBorders>
              <w:left w:val="none" w:sz="0" w:space="0" w:color="auto"/>
            </w:tcBorders>
            <w:noWrap/>
            <w:vAlign w:val="center"/>
          </w:tcPr>
          <w:p w:rsidR="008564A6" w:rsidRPr="00B75B77" w:rsidRDefault="00094AFF" w:rsidP="00094AFF">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rPr>
            </w:pPr>
            <w:r w:rsidRPr="00B75B77">
              <w:rPr>
                <w:rFonts w:ascii="Calibri" w:eastAsia="Times New Roman" w:hAnsi="Calibri"/>
                <w:b/>
                <w:color w:val="000000"/>
                <w:sz w:val="18"/>
              </w:rPr>
              <w:t>Implemented:</w:t>
            </w:r>
            <w:r w:rsidRPr="00B75B77">
              <w:rPr>
                <w:rFonts w:ascii="Calibri" w:eastAsia="Times New Roman" w:hAnsi="Calibri"/>
                <w:color w:val="000000"/>
                <w:sz w:val="18"/>
              </w:rPr>
              <w:t xml:space="preserve"> T12s have been proactively replaced with other more efficient measures.</w:t>
            </w:r>
          </w:p>
        </w:tc>
      </w:tr>
      <w:tr w:rsidR="008564A6" w:rsidRPr="00B75B77" w:rsidTr="002548AE">
        <w:trPr>
          <w:cnfStyle w:val="000000010000" w:firstRow="0" w:lastRow="0" w:firstColumn="0" w:lastColumn="0" w:oddVBand="0" w:evenVBand="0" w:oddHBand="0" w:evenHBand="1" w:firstRowFirstColumn="0" w:firstRowLastColumn="0" w:lastRowFirstColumn="0" w:lastRowLastColumn="0"/>
          <w:trHeight w:val="1681"/>
        </w:trPr>
        <w:tc>
          <w:tcPr>
            <w:cnfStyle w:val="001000000000" w:firstRow="0" w:lastRow="0" w:firstColumn="1" w:lastColumn="0" w:oddVBand="0" w:evenVBand="0" w:oddHBand="0" w:evenHBand="0" w:firstRowFirstColumn="0" w:firstRowLastColumn="0" w:lastRowFirstColumn="0" w:lastRowLastColumn="0"/>
            <w:tcW w:w="4940" w:type="dxa"/>
            <w:tcBorders>
              <w:right w:val="none" w:sz="0" w:space="0" w:color="auto"/>
            </w:tcBorders>
            <w:noWrap/>
            <w:vAlign w:val="center"/>
          </w:tcPr>
          <w:p w:rsidR="008564A6" w:rsidRPr="00B75B77" w:rsidRDefault="008564A6" w:rsidP="00E163F4">
            <w:pPr>
              <w:jc w:val="left"/>
              <w:rPr>
                <w:rFonts w:ascii="Calibri" w:eastAsia="Times New Roman" w:hAnsi="Calibri"/>
                <w:color w:val="000000"/>
                <w:sz w:val="18"/>
              </w:rPr>
            </w:pPr>
            <w:r w:rsidRPr="00B75B77">
              <w:rPr>
                <w:rFonts w:ascii="Calibri" w:eastAsia="Times New Roman" w:hAnsi="Calibri"/>
                <w:color w:val="000000"/>
                <w:sz w:val="18"/>
              </w:rPr>
              <w:t xml:space="preserve">Recommendation 4: </w:t>
            </w:r>
            <w:r w:rsidRPr="00B75B77">
              <w:rPr>
                <w:rFonts w:ascii="Calibri" w:eastAsia="Times New Roman" w:hAnsi="Calibri"/>
                <w:b w:val="0"/>
                <w:color w:val="000000"/>
                <w:sz w:val="18"/>
              </w:rPr>
              <w:t>PECO should take full advantage of the face</w:t>
            </w:r>
            <w:r w:rsidR="00871301" w:rsidRPr="00B75B77">
              <w:rPr>
                <w:rFonts w:ascii="Calibri" w:eastAsia="Times New Roman" w:hAnsi="Calibri"/>
                <w:b w:val="0"/>
                <w:color w:val="000000"/>
                <w:sz w:val="18"/>
              </w:rPr>
              <w:t xml:space="preserve"> </w:t>
            </w:r>
            <w:r w:rsidRPr="00B75B77">
              <w:rPr>
                <w:rFonts w:ascii="Calibri" w:eastAsia="Times New Roman" w:hAnsi="Calibri"/>
                <w:b w:val="0"/>
                <w:color w:val="000000"/>
                <w:sz w:val="18"/>
              </w:rPr>
              <w:t>time with customers during a Whole</w:t>
            </w:r>
            <w:r w:rsidR="00871301" w:rsidRPr="00B75B77">
              <w:rPr>
                <w:rFonts w:ascii="Calibri" w:eastAsia="Times New Roman" w:hAnsi="Calibri"/>
                <w:b w:val="0"/>
                <w:color w:val="000000"/>
                <w:sz w:val="18"/>
              </w:rPr>
              <w:t>-</w:t>
            </w:r>
            <w:r w:rsidRPr="00B75B77">
              <w:rPr>
                <w:rFonts w:ascii="Calibri" w:eastAsia="Times New Roman" w:hAnsi="Calibri"/>
                <w:b w:val="0"/>
                <w:color w:val="000000"/>
                <w:sz w:val="18"/>
              </w:rPr>
              <w:t xml:space="preserve">Building audit in Phase III by connecting them with other aspects of the </w:t>
            </w:r>
            <w:r w:rsidR="00871301" w:rsidRPr="00B75B77">
              <w:rPr>
                <w:rFonts w:ascii="Calibri" w:eastAsia="Times New Roman" w:hAnsi="Calibri"/>
                <w:b w:val="0"/>
                <w:color w:val="000000"/>
                <w:sz w:val="18"/>
              </w:rPr>
              <w:t>s</w:t>
            </w:r>
            <w:r w:rsidRPr="00B75B77">
              <w:rPr>
                <w:rFonts w:ascii="Calibri" w:eastAsia="Times New Roman" w:hAnsi="Calibri"/>
                <w:b w:val="0"/>
                <w:color w:val="000000"/>
                <w:sz w:val="18"/>
              </w:rPr>
              <w:t xml:space="preserve">mall C&amp;I program such as </w:t>
            </w:r>
            <w:r w:rsidR="00871301" w:rsidRPr="00B75B77">
              <w:rPr>
                <w:rFonts w:ascii="Calibri" w:eastAsia="Times New Roman" w:hAnsi="Calibri"/>
                <w:b w:val="0"/>
                <w:color w:val="000000"/>
                <w:sz w:val="18"/>
              </w:rPr>
              <w:t>b</w:t>
            </w:r>
            <w:r w:rsidRPr="00B75B77">
              <w:rPr>
                <w:rFonts w:ascii="Calibri" w:eastAsia="Times New Roman" w:hAnsi="Calibri"/>
                <w:b w:val="0"/>
                <w:color w:val="000000"/>
                <w:sz w:val="18"/>
              </w:rPr>
              <w:t xml:space="preserve">ehavioral and </w:t>
            </w:r>
            <w:r w:rsidR="00871301" w:rsidRPr="00B75B77">
              <w:rPr>
                <w:rFonts w:ascii="Calibri" w:eastAsia="Times New Roman" w:hAnsi="Calibri"/>
                <w:b w:val="0"/>
                <w:color w:val="000000"/>
                <w:sz w:val="18"/>
              </w:rPr>
              <w:t>e</w:t>
            </w:r>
            <w:r w:rsidRPr="00B75B77">
              <w:rPr>
                <w:rFonts w:ascii="Calibri" w:eastAsia="Times New Roman" w:hAnsi="Calibri"/>
                <w:b w:val="0"/>
                <w:color w:val="000000"/>
                <w:sz w:val="18"/>
              </w:rPr>
              <w:t xml:space="preserve">quipment </w:t>
            </w:r>
            <w:r w:rsidR="00871301" w:rsidRPr="00B75B77">
              <w:rPr>
                <w:rFonts w:ascii="Calibri" w:eastAsia="Times New Roman" w:hAnsi="Calibri"/>
                <w:b w:val="0"/>
                <w:color w:val="000000"/>
                <w:sz w:val="18"/>
              </w:rPr>
              <w:t>s</w:t>
            </w:r>
            <w:r w:rsidRPr="00B75B77">
              <w:rPr>
                <w:rFonts w:ascii="Calibri" w:eastAsia="Times New Roman" w:hAnsi="Calibri"/>
                <w:b w:val="0"/>
                <w:color w:val="000000"/>
                <w:sz w:val="18"/>
              </w:rPr>
              <w:t xml:space="preserve">ystems </w:t>
            </w:r>
            <w:r w:rsidR="00871301" w:rsidRPr="00B75B77">
              <w:rPr>
                <w:rFonts w:ascii="Calibri" w:eastAsia="Times New Roman" w:hAnsi="Calibri"/>
                <w:b w:val="0"/>
                <w:color w:val="000000"/>
                <w:sz w:val="18"/>
              </w:rPr>
              <w:t>s</w:t>
            </w:r>
            <w:r w:rsidRPr="00B75B77">
              <w:rPr>
                <w:rFonts w:ascii="Calibri" w:eastAsia="Times New Roman" w:hAnsi="Calibri"/>
                <w:b w:val="0"/>
                <w:color w:val="000000"/>
                <w:sz w:val="18"/>
              </w:rPr>
              <w:t xml:space="preserve">olutions. </w:t>
            </w:r>
            <w:r w:rsidR="00871301" w:rsidRPr="00B75B77">
              <w:rPr>
                <w:rFonts w:ascii="Calibri" w:eastAsia="Times New Roman" w:hAnsi="Calibri"/>
                <w:b w:val="0"/>
                <w:color w:val="000000"/>
                <w:sz w:val="18"/>
              </w:rPr>
              <w:t xml:space="preserve">The </w:t>
            </w:r>
            <w:r w:rsidRPr="00B75B77">
              <w:rPr>
                <w:rFonts w:ascii="Calibri" w:eastAsia="Times New Roman" w:hAnsi="Calibri"/>
                <w:b w:val="0"/>
                <w:color w:val="000000"/>
                <w:sz w:val="18"/>
              </w:rPr>
              <w:t>CSP should collect primary data while onsite to provide accurate energy savings estimates for these other prescriptive technologies and begin the rebate paperwork for the customer.</w:t>
            </w:r>
          </w:p>
        </w:tc>
        <w:tc>
          <w:tcPr>
            <w:tcW w:w="4400" w:type="dxa"/>
            <w:tcBorders>
              <w:left w:val="none" w:sz="0" w:space="0" w:color="auto"/>
            </w:tcBorders>
            <w:noWrap/>
          </w:tcPr>
          <w:p w:rsidR="008564A6" w:rsidRPr="00B75B77" w:rsidRDefault="00094AFF" w:rsidP="00094AFF">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rPr>
            </w:pPr>
            <w:r w:rsidRPr="00B75B77">
              <w:rPr>
                <w:rFonts w:ascii="Calibri" w:eastAsia="Times New Roman" w:hAnsi="Calibri"/>
                <w:b/>
                <w:color w:val="000000"/>
                <w:sz w:val="18"/>
              </w:rPr>
              <w:t>Implemented</w:t>
            </w:r>
            <w:r w:rsidRPr="00B75B77">
              <w:rPr>
                <w:rFonts w:ascii="Calibri" w:eastAsia="Times New Roman" w:hAnsi="Calibri"/>
                <w:color w:val="000000"/>
                <w:sz w:val="18"/>
              </w:rPr>
              <w:t>: Currently in process.</w:t>
            </w:r>
          </w:p>
        </w:tc>
      </w:tr>
    </w:tbl>
    <w:p w:rsidR="008564A6" w:rsidRPr="00B75B77" w:rsidRDefault="008564A6" w:rsidP="00E163F4">
      <w:pPr>
        <w:pStyle w:val="Source"/>
        <w:keepNext/>
        <w:ind w:left="90" w:firstLine="0"/>
      </w:pPr>
      <w:r w:rsidRPr="00B75B77">
        <w:t>Source: Navigant analysis</w:t>
      </w:r>
    </w:p>
    <w:p w:rsidR="008564A6" w:rsidRPr="00B75B77" w:rsidRDefault="008564A6" w:rsidP="00D12857">
      <w:pPr>
        <w:pStyle w:val="Heading2"/>
      </w:pPr>
      <w:bookmarkStart w:id="990" w:name="_Toc466413475"/>
      <w:r w:rsidRPr="00B75B77">
        <w:t>Financial Reporting</w:t>
      </w:r>
      <w:bookmarkEnd w:id="990"/>
    </w:p>
    <w:p w:rsidR="008564A6" w:rsidRPr="00B75B77" w:rsidRDefault="008564A6" w:rsidP="00E163F4">
      <w:r w:rsidRPr="00B75B77">
        <w:t xml:space="preserve">Navigant’s cost-effectiveness analysis, presented in </w:t>
      </w:r>
      <w:r w:rsidRPr="00B75B77">
        <w:fldChar w:fldCharType="begin"/>
      </w:r>
      <w:r w:rsidRPr="00B75B77">
        <w:instrText xml:space="preserve"> REF _Ref423076615 \h  \* MERGEFORMAT </w:instrText>
      </w:r>
      <w:r w:rsidRPr="00B75B77">
        <w:fldChar w:fldCharType="separate"/>
      </w:r>
      <w:r w:rsidR="0004016D" w:rsidRPr="00B75B77">
        <w:t xml:space="preserve">Table </w:t>
      </w:r>
      <w:r w:rsidR="0004016D">
        <w:rPr>
          <w:noProof/>
        </w:rPr>
        <w:t>4</w:t>
      </w:r>
      <w:r w:rsidR="0004016D" w:rsidRPr="00B75B77">
        <w:rPr>
          <w:noProof/>
        </w:rPr>
        <w:noBreakHyphen/>
      </w:r>
      <w:r w:rsidR="0004016D">
        <w:rPr>
          <w:noProof/>
        </w:rPr>
        <w:t>12</w:t>
      </w:r>
      <w:r w:rsidRPr="00B75B77">
        <w:fldChar w:fldCharType="end"/>
      </w:r>
      <w:r w:rsidRPr="00B75B77">
        <w:t>, indicates that the SBS program was again cost-effective in PY7, with a benefit-cost ratio of 1.92. The overall program activity in PY7 dropped as it attempted to resolve the overspending issues from PY5 and PY6. This led to significant decreases in all cost categories for the current program year.</w:t>
      </w:r>
    </w:p>
    <w:p w:rsidR="008564A6" w:rsidRPr="00B75B77" w:rsidRDefault="008564A6" w:rsidP="003402AA">
      <w:pPr>
        <w:jc w:val="center"/>
      </w:pPr>
    </w:p>
    <w:p w:rsidR="008564A6" w:rsidRPr="00B75B77" w:rsidRDefault="008564A6" w:rsidP="002F3BF8">
      <w:pPr>
        <w:pStyle w:val="Caption"/>
      </w:pPr>
      <w:bookmarkStart w:id="991" w:name="_Toc466413653"/>
      <w:r w:rsidRPr="00B75B77">
        <w:lastRenderedPageBreak/>
        <w:t xml:space="preserve">Table </w:t>
      </w:r>
      <w:fldSimple w:instr=" STYLEREF 1 \s ">
        <w:r w:rsidR="0004016D">
          <w:rPr>
            <w:noProof/>
          </w:rPr>
          <w:t>16</w:t>
        </w:r>
      </w:fldSimple>
      <w:r w:rsidR="00F1144C" w:rsidRPr="00B75B77">
        <w:noBreakHyphen/>
      </w:r>
      <w:fldSimple w:instr=" SEQ Table \* ARABIC \s 1 ">
        <w:r w:rsidR="0004016D">
          <w:rPr>
            <w:noProof/>
          </w:rPr>
          <w:t>7</w:t>
        </w:r>
      </w:fldSimple>
      <w:r w:rsidRPr="00B75B77">
        <w:t>: Smart Business Solutions Summary of Program Finances</w:t>
      </w:r>
      <w:bookmarkEnd w:id="991"/>
    </w:p>
    <w:tbl>
      <w:tblPr>
        <w:tblStyle w:val="MediumShading1-Accent5"/>
        <w:tblW w:w="9602" w:type="dxa"/>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0A0" w:firstRow="1" w:lastRow="0" w:firstColumn="1" w:lastColumn="0" w:noHBand="0" w:noVBand="0"/>
      </w:tblPr>
      <w:tblGrid>
        <w:gridCol w:w="1062"/>
        <w:gridCol w:w="6020"/>
        <w:gridCol w:w="1170"/>
        <w:gridCol w:w="1350"/>
      </w:tblGrid>
      <w:tr w:rsidR="008564A6" w:rsidRPr="00B75B77" w:rsidTr="002D64A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2" w:type="dxa"/>
            <w:vMerge w:val="restart"/>
            <w:tcBorders>
              <w:top w:val="single" w:sz="8" w:space="0" w:color="auto"/>
              <w:left w:val="single" w:sz="8" w:space="0" w:color="auto"/>
              <w:bottom w:val="single" w:sz="8" w:space="0" w:color="auto"/>
              <w:right w:val="single" w:sz="8" w:space="0" w:color="auto"/>
            </w:tcBorders>
            <w:shd w:val="clear" w:color="auto" w:fill="448A99"/>
            <w:vAlign w:val="center"/>
          </w:tcPr>
          <w:p w:rsidR="008564A6" w:rsidRPr="00B75B77" w:rsidRDefault="008564A6" w:rsidP="002F3BF8">
            <w:pPr>
              <w:keepNext/>
              <w:jc w:val="center"/>
              <w:rPr>
                <w:rFonts w:ascii="Calibri" w:eastAsia="Times New Roman" w:hAnsi="Calibri"/>
                <w:bCs w:val="0"/>
                <w:sz w:val="18"/>
                <w:szCs w:val="18"/>
              </w:rPr>
            </w:pPr>
            <w:r w:rsidRPr="00B75B77">
              <w:rPr>
                <w:rFonts w:ascii="Calibri" w:eastAsia="Times New Roman" w:hAnsi="Calibri"/>
                <w:bCs w:val="0"/>
                <w:sz w:val="18"/>
                <w:szCs w:val="18"/>
              </w:rPr>
              <w:t>Row #</w:t>
            </w:r>
          </w:p>
        </w:tc>
        <w:tc>
          <w:tcPr>
            <w:cnfStyle w:val="000010000000" w:firstRow="0" w:lastRow="0" w:firstColumn="0" w:lastColumn="0" w:oddVBand="1" w:evenVBand="0" w:oddHBand="0" w:evenHBand="0" w:firstRowFirstColumn="0" w:firstRowLastColumn="0" w:lastRowFirstColumn="0" w:lastRowLastColumn="0"/>
            <w:tcW w:w="6020" w:type="dxa"/>
            <w:vMerge w:val="restart"/>
            <w:tcBorders>
              <w:top w:val="single" w:sz="8" w:space="0" w:color="auto"/>
              <w:left w:val="single" w:sz="8" w:space="0" w:color="auto"/>
              <w:bottom w:val="single" w:sz="8" w:space="0" w:color="auto"/>
              <w:right w:val="single" w:sz="8" w:space="0" w:color="auto"/>
            </w:tcBorders>
            <w:shd w:val="clear" w:color="auto" w:fill="448A99"/>
            <w:noWrap/>
            <w:vAlign w:val="center"/>
            <w:hideMark/>
          </w:tcPr>
          <w:p w:rsidR="008564A6" w:rsidRPr="00B75B77" w:rsidRDefault="008564A6" w:rsidP="002F3BF8">
            <w:pPr>
              <w:keepNext/>
              <w:jc w:val="left"/>
              <w:rPr>
                <w:rFonts w:ascii="Calibri" w:eastAsia="Times New Roman" w:hAnsi="Calibri"/>
                <w:bCs w:val="0"/>
                <w:sz w:val="18"/>
                <w:szCs w:val="18"/>
              </w:rPr>
            </w:pPr>
            <w:r w:rsidRPr="00B75B77">
              <w:rPr>
                <w:rFonts w:ascii="Calibri" w:eastAsia="Times New Roman" w:hAnsi="Calibri"/>
                <w:bCs w:val="0"/>
                <w:sz w:val="18"/>
                <w:szCs w:val="18"/>
              </w:rPr>
              <w:t>Cost Category </w:t>
            </w:r>
          </w:p>
        </w:tc>
        <w:tc>
          <w:tcPr>
            <w:tcW w:w="1170" w:type="dxa"/>
            <w:tcBorders>
              <w:top w:val="single" w:sz="8" w:space="0" w:color="auto"/>
              <w:left w:val="single" w:sz="8" w:space="0" w:color="auto"/>
              <w:bottom w:val="single" w:sz="8" w:space="0" w:color="auto"/>
              <w:right w:val="single" w:sz="8" w:space="0" w:color="auto"/>
            </w:tcBorders>
            <w:shd w:val="clear" w:color="auto" w:fill="448A99"/>
            <w:vAlign w:val="center"/>
            <w:hideMark/>
          </w:tcPr>
          <w:p w:rsidR="008564A6" w:rsidRPr="00B75B77" w:rsidRDefault="008564A6" w:rsidP="002F3BF8">
            <w:pPr>
              <w:keepNext/>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Actual PYTD</w:t>
            </w:r>
          </w:p>
          <w:p w:rsidR="008564A6" w:rsidRPr="00B75B77" w:rsidRDefault="008564A6" w:rsidP="002F3BF8">
            <w:pPr>
              <w:keepNext/>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B75B77">
              <w:rPr>
                <w:rFonts w:ascii="Calibri" w:eastAsia="Times New Roman" w:hAnsi="Calibri"/>
                <w:bCs w:val="0"/>
                <w:sz w:val="18"/>
                <w:szCs w:val="18"/>
              </w:rPr>
              <w:t>Costs</w:t>
            </w:r>
          </w:p>
        </w:tc>
        <w:tc>
          <w:tcPr>
            <w:cnfStyle w:val="000010000000" w:firstRow="0" w:lastRow="0" w:firstColumn="0" w:lastColumn="0" w:oddVBand="1" w:evenVBand="0" w:oddHBand="0" w:evenHBand="0" w:firstRowFirstColumn="0" w:firstRowLastColumn="0" w:lastRowFirstColumn="0" w:lastRowLastColumn="0"/>
            <w:tcW w:w="1350" w:type="dxa"/>
            <w:tcBorders>
              <w:top w:val="single" w:sz="8" w:space="0" w:color="auto"/>
              <w:left w:val="single" w:sz="8" w:space="0" w:color="auto"/>
              <w:bottom w:val="single" w:sz="8" w:space="0" w:color="auto"/>
              <w:right w:val="single" w:sz="8" w:space="0" w:color="auto"/>
            </w:tcBorders>
            <w:shd w:val="clear" w:color="auto" w:fill="448A99"/>
            <w:vAlign w:val="center"/>
            <w:hideMark/>
          </w:tcPr>
          <w:p w:rsidR="008564A6" w:rsidRPr="00B75B77" w:rsidRDefault="008564A6" w:rsidP="002F3BF8">
            <w:pPr>
              <w:keepNext/>
              <w:jc w:val="right"/>
              <w:rPr>
                <w:rFonts w:ascii="Calibri" w:eastAsia="Times New Roman" w:hAnsi="Calibri"/>
                <w:bCs w:val="0"/>
                <w:sz w:val="18"/>
                <w:szCs w:val="18"/>
              </w:rPr>
            </w:pPr>
            <w:r w:rsidRPr="00B75B77">
              <w:rPr>
                <w:rFonts w:ascii="Calibri" w:eastAsia="Times New Roman" w:hAnsi="Calibri"/>
                <w:bCs w:val="0"/>
                <w:sz w:val="18"/>
                <w:szCs w:val="18"/>
              </w:rPr>
              <w:t>Actual Phase II</w:t>
            </w:r>
          </w:p>
          <w:p w:rsidR="008564A6" w:rsidRPr="00B75B77" w:rsidRDefault="008564A6" w:rsidP="002F3BF8">
            <w:pPr>
              <w:keepNext/>
              <w:jc w:val="right"/>
              <w:rPr>
                <w:rFonts w:ascii="Calibri" w:eastAsia="Times New Roman" w:hAnsi="Calibri"/>
                <w:bCs w:val="0"/>
                <w:sz w:val="18"/>
                <w:szCs w:val="18"/>
              </w:rPr>
            </w:pPr>
            <w:r w:rsidRPr="00B75B77">
              <w:rPr>
                <w:rFonts w:ascii="Calibri" w:eastAsia="Times New Roman" w:hAnsi="Calibri"/>
                <w:bCs w:val="0"/>
                <w:sz w:val="18"/>
                <w:szCs w:val="18"/>
              </w:rPr>
              <w:t>Costs</w:t>
            </w:r>
          </w:p>
        </w:tc>
      </w:tr>
      <w:tr w:rsidR="008564A6" w:rsidRPr="00B75B77" w:rsidTr="002D64A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vMerge/>
            <w:tcBorders>
              <w:top w:val="single" w:sz="8" w:space="0" w:color="auto"/>
              <w:left w:val="single" w:sz="8" w:space="0" w:color="auto"/>
              <w:bottom w:val="single" w:sz="8" w:space="0" w:color="auto"/>
              <w:right w:val="single" w:sz="8" w:space="0" w:color="auto"/>
            </w:tcBorders>
            <w:shd w:val="clear" w:color="auto" w:fill="448A99"/>
            <w:vAlign w:val="center"/>
          </w:tcPr>
          <w:p w:rsidR="008564A6" w:rsidRPr="00B75B77" w:rsidRDefault="008564A6" w:rsidP="002F3BF8">
            <w:pPr>
              <w:keepNext/>
              <w:jc w:val="center"/>
              <w:rPr>
                <w:rFonts w:ascii="Calibri" w:eastAsia="Times New Roman" w:hAnsi="Calibri"/>
                <w:bCs w:val="0"/>
                <w:color w:val="FFFFFF" w:themeColor="background1"/>
                <w:sz w:val="18"/>
                <w:szCs w:val="18"/>
              </w:rPr>
            </w:pPr>
          </w:p>
        </w:tc>
        <w:tc>
          <w:tcPr>
            <w:cnfStyle w:val="000010000000" w:firstRow="0" w:lastRow="0" w:firstColumn="0" w:lastColumn="0" w:oddVBand="1" w:evenVBand="0" w:oddHBand="0" w:evenHBand="0" w:firstRowFirstColumn="0" w:firstRowLastColumn="0" w:lastRowFirstColumn="0" w:lastRowLastColumn="0"/>
            <w:tcW w:w="6020" w:type="dxa"/>
            <w:vMerge/>
            <w:tcBorders>
              <w:top w:val="single" w:sz="8" w:space="0" w:color="auto"/>
              <w:left w:val="single" w:sz="8" w:space="0" w:color="auto"/>
              <w:bottom w:val="single" w:sz="8" w:space="0" w:color="auto"/>
              <w:right w:val="single" w:sz="8" w:space="0" w:color="auto"/>
            </w:tcBorders>
            <w:shd w:val="clear" w:color="auto" w:fill="448A99"/>
            <w:vAlign w:val="center"/>
            <w:hideMark/>
          </w:tcPr>
          <w:p w:rsidR="008564A6" w:rsidRPr="00B75B77" w:rsidRDefault="008564A6" w:rsidP="002F3BF8">
            <w:pPr>
              <w:keepNext/>
              <w:jc w:val="left"/>
              <w:rPr>
                <w:rFonts w:ascii="Calibri" w:eastAsia="Times New Roman" w:hAnsi="Calibri"/>
                <w:b/>
                <w:bCs/>
                <w:color w:val="FFFFFF" w:themeColor="background1"/>
                <w:sz w:val="18"/>
                <w:szCs w:val="18"/>
              </w:rPr>
            </w:pPr>
          </w:p>
        </w:tc>
        <w:tc>
          <w:tcPr>
            <w:tcW w:w="1170" w:type="dxa"/>
            <w:tcBorders>
              <w:top w:val="single" w:sz="8" w:space="0" w:color="auto"/>
              <w:left w:val="single" w:sz="8" w:space="0" w:color="auto"/>
              <w:bottom w:val="single" w:sz="8" w:space="0" w:color="auto"/>
              <w:right w:val="single" w:sz="8" w:space="0" w:color="auto"/>
            </w:tcBorders>
            <w:shd w:val="clear" w:color="auto" w:fill="448A99"/>
            <w:vAlign w:val="center"/>
            <w:hideMark/>
          </w:tcPr>
          <w:p w:rsidR="008564A6" w:rsidRPr="00B75B77" w:rsidRDefault="008564A6" w:rsidP="002F3BF8">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FFFFFF" w:themeColor="background1"/>
                <w:sz w:val="18"/>
                <w:szCs w:val="18"/>
              </w:rPr>
            </w:pPr>
            <w:r w:rsidRPr="00B75B77">
              <w:rPr>
                <w:rFonts w:ascii="Calibri" w:eastAsia="Times New Roman" w:hAnsi="Calibri"/>
                <w:b/>
                <w:bCs/>
                <w:color w:val="FFFFFF" w:themeColor="background1"/>
                <w:sz w:val="18"/>
                <w:szCs w:val="18"/>
              </w:rPr>
              <w:t>($1,000)</w:t>
            </w:r>
          </w:p>
        </w:tc>
        <w:tc>
          <w:tcPr>
            <w:cnfStyle w:val="000010000000" w:firstRow="0" w:lastRow="0" w:firstColumn="0" w:lastColumn="0" w:oddVBand="1" w:evenVBand="0" w:oddHBand="0" w:evenHBand="0" w:firstRowFirstColumn="0" w:firstRowLastColumn="0" w:lastRowFirstColumn="0" w:lastRowLastColumn="0"/>
            <w:tcW w:w="1350" w:type="dxa"/>
            <w:tcBorders>
              <w:top w:val="single" w:sz="8" w:space="0" w:color="auto"/>
              <w:left w:val="single" w:sz="8" w:space="0" w:color="auto"/>
              <w:bottom w:val="single" w:sz="8" w:space="0" w:color="auto"/>
              <w:right w:val="single" w:sz="8" w:space="0" w:color="auto"/>
            </w:tcBorders>
            <w:shd w:val="clear" w:color="auto" w:fill="448A99"/>
            <w:vAlign w:val="center"/>
            <w:hideMark/>
          </w:tcPr>
          <w:p w:rsidR="008564A6" w:rsidRPr="00B75B77" w:rsidRDefault="008564A6" w:rsidP="002F3BF8">
            <w:pPr>
              <w:keepNext/>
              <w:jc w:val="right"/>
              <w:rPr>
                <w:rFonts w:ascii="Calibri" w:eastAsia="Times New Roman" w:hAnsi="Calibri"/>
                <w:b/>
                <w:bCs/>
                <w:color w:val="FFFFFF" w:themeColor="background1"/>
                <w:sz w:val="18"/>
                <w:szCs w:val="18"/>
              </w:rPr>
            </w:pPr>
            <w:r w:rsidRPr="00B75B77">
              <w:rPr>
                <w:rFonts w:ascii="Calibri" w:eastAsia="Times New Roman" w:hAnsi="Calibri"/>
                <w:b/>
                <w:bCs/>
                <w:color w:val="FFFFFF" w:themeColor="background1"/>
                <w:sz w:val="18"/>
                <w:szCs w:val="18"/>
              </w:rPr>
              <w:t>($1,000)</w:t>
            </w:r>
          </w:p>
        </w:tc>
      </w:tr>
      <w:tr w:rsidR="008564A6" w:rsidRPr="00B75B77" w:rsidTr="002D64A6">
        <w:trPr>
          <w:cnfStyle w:val="000000010000" w:firstRow="0" w:lastRow="0" w:firstColumn="0" w:lastColumn="0" w:oddVBand="0" w:evenVBand="0" w:oddHBand="0" w:evenHBand="1"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1062" w:type="dxa"/>
            <w:tcBorders>
              <w:top w:val="single" w:sz="8" w:space="0" w:color="auto"/>
              <w:right w:val="none" w:sz="0" w:space="0" w:color="auto"/>
            </w:tcBorders>
            <w:shd w:val="clear" w:color="auto" w:fill="auto"/>
            <w:vAlign w:val="center"/>
          </w:tcPr>
          <w:p w:rsidR="008564A6" w:rsidRPr="00B75B77" w:rsidRDefault="008564A6" w:rsidP="002F3BF8">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1</w:t>
            </w:r>
          </w:p>
        </w:tc>
        <w:tc>
          <w:tcPr>
            <w:cnfStyle w:val="000010000000" w:firstRow="0" w:lastRow="0" w:firstColumn="0" w:lastColumn="0" w:oddVBand="1" w:evenVBand="0" w:oddHBand="0" w:evenHBand="0" w:firstRowFirstColumn="0" w:firstRowLastColumn="0" w:lastRowFirstColumn="0" w:lastRowLastColumn="0"/>
            <w:tcW w:w="6020" w:type="dxa"/>
            <w:tcBorders>
              <w:top w:val="single" w:sz="8" w:space="0" w:color="auto"/>
              <w:left w:val="none" w:sz="0" w:space="0" w:color="auto"/>
              <w:right w:val="none" w:sz="0" w:space="0" w:color="auto"/>
            </w:tcBorders>
            <w:shd w:val="clear" w:color="auto" w:fill="auto"/>
            <w:noWrap/>
            <w:vAlign w:val="center"/>
          </w:tcPr>
          <w:p w:rsidR="008564A6" w:rsidRPr="00B75B77" w:rsidRDefault="008564A6" w:rsidP="002F3BF8">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Incremental Measure Costs (Sum of Rows 2 through 4)</w:t>
            </w:r>
          </w:p>
        </w:tc>
        <w:tc>
          <w:tcPr>
            <w:tcW w:w="1170" w:type="dxa"/>
            <w:tcBorders>
              <w:top w:val="single" w:sz="8" w:space="0" w:color="auto"/>
              <w:left w:val="none" w:sz="0" w:space="0" w:color="auto"/>
              <w:right w:val="none" w:sz="0" w:space="0" w:color="auto"/>
            </w:tcBorders>
            <w:shd w:val="clear" w:color="auto" w:fill="auto"/>
            <w:noWrap/>
            <w:vAlign w:val="center"/>
          </w:tcPr>
          <w:p w:rsidR="008564A6" w:rsidRPr="00B75B77" w:rsidRDefault="008564A6" w:rsidP="002F3BF8">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779</w:t>
            </w:r>
          </w:p>
        </w:tc>
        <w:tc>
          <w:tcPr>
            <w:cnfStyle w:val="000010000000" w:firstRow="0" w:lastRow="0" w:firstColumn="0" w:lastColumn="0" w:oddVBand="1" w:evenVBand="0" w:oddHBand="0" w:evenHBand="0" w:firstRowFirstColumn="0" w:firstRowLastColumn="0" w:lastRowFirstColumn="0" w:lastRowLastColumn="0"/>
            <w:tcW w:w="1350" w:type="dxa"/>
            <w:tcBorders>
              <w:top w:val="single" w:sz="8" w:space="0" w:color="auto"/>
              <w:left w:val="none" w:sz="0" w:space="0" w:color="auto"/>
            </w:tcBorders>
            <w:shd w:val="clear" w:color="auto" w:fill="auto"/>
            <w:vAlign w:val="center"/>
          </w:tcPr>
          <w:p w:rsidR="008564A6" w:rsidRPr="00B75B77" w:rsidRDefault="008564A6" w:rsidP="002F3BF8">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7,</w:t>
            </w:r>
            <w:r w:rsidR="00620F33" w:rsidRPr="00B75B77">
              <w:rPr>
                <w:rFonts w:ascii="Calibri" w:eastAsia="Times New Roman" w:hAnsi="Calibri"/>
                <w:color w:val="000000"/>
                <w:sz w:val="18"/>
                <w:szCs w:val="18"/>
              </w:rPr>
              <w:t>170</w:t>
            </w:r>
          </w:p>
        </w:tc>
      </w:tr>
      <w:tr w:rsidR="008564A6" w:rsidRPr="00B75B77" w:rsidTr="002D64A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vAlign w:val="center"/>
          </w:tcPr>
          <w:p w:rsidR="008564A6" w:rsidRPr="00B75B77" w:rsidRDefault="008564A6" w:rsidP="002F3BF8">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2</w:t>
            </w:r>
          </w:p>
        </w:tc>
        <w:tc>
          <w:tcPr>
            <w:cnfStyle w:val="000010000000" w:firstRow="0" w:lastRow="0" w:firstColumn="0" w:lastColumn="0" w:oddVBand="1" w:evenVBand="0" w:oddHBand="0" w:evenHBand="0" w:firstRowFirstColumn="0" w:firstRowLastColumn="0" w:lastRowFirstColumn="0" w:lastRowLastColumn="0"/>
            <w:tcW w:w="6020" w:type="dxa"/>
            <w:tcBorders>
              <w:left w:val="none" w:sz="0" w:space="0" w:color="auto"/>
              <w:right w:val="none" w:sz="0" w:space="0" w:color="auto"/>
            </w:tcBorders>
            <w:noWrap/>
            <w:vAlign w:val="center"/>
            <w:hideMark/>
          </w:tcPr>
          <w:p w:rsidR="008564A6" w:rsidRPr="00B75B77" w:rsidRDefault="008564A6" w:rsidP="002F3BF8">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EDC Incentives to Participants</w:t>
            </w:r>
          </w:p>
        </w:tc>
        <w:tc>
          <w:tcPr>
            <w:tcW w:w="1170" w:type="dxa"/>
            <w:tcBorders>
              <w:left w:val="none" w:sz="0" w:space="0" w:color="auto"/>
              <w:right w:val="none" w:sz="0" w:space="0" w:color="auto"/>
            </w:tcBorders>
            <w:noWrap/>
            <w:vAlign w:val="center"/>
            <w:hideMark/>
          </w:tcPr>
          <w:p w:rsidR="008564A6" w:rsidRPr="00B75B77" w:rsidRDefault="008564A6" w:rsidP="002F3BF8">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tcBorders>
            <w:vAlign w:val="center"/>
            <w:hideMark/>
          </w:tcPr>
          <w:p w:rsidR="008564A6" w:rsidRPr="00B75B77" w:rsidRDefault="008564A6" w:rsidP="002F3BF8">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8564A6" w:rsidRPr="00B75B77" w:rsidTr="002D64A6">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auto"/>
            <w:vAlign w:val="center"/>
          </w:tcPr>
          <w:p w:rsidR="008564A6" w:rsidRPr="00B75B77" w:rsidRDefault="008564A6" w:rsidP="002F3BF8">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3</w:t>
            </w:r>
          </w:p>
        </w:tc>
        <w:tc>
          <w:tcPr>
            <w:cnfStyle w:val="000010000000" w:firstRow="0" w:lastRow="0" w:firstColumn="0" w:lastColumn="0" w:oddVBand="1" w:evenVBand="0" w:oddHBand="0" w:evenHBand="0" w:firstRowFirstColumn="0" w:firstRowLastColumn="0" w:lastRowFirstColumn="0" w:lastRowLastColumn="0"/>
            <w:tcW w:w="6020" w:type="dxa"/>
            <w:tcBorders>
              <w:left w:val="none" w:sz="0" w:space="0" w:color="auto"/>
              <w:right w:val="none" w:sz="0" w:space="0" w:color="auto"/>
            </w:tcBorders>
            <w:shd w:val="clear" w:color="auto" w:fill="auto"/>
            <w:noWrap/>
            <w:vAlign w:val="center"/>
            <w:hideMark/>
          </w:tcPr>
          <w:p w:rsidR="008564A6" w:rsidRPr="00B75B77" w:rsidRDefault="008564A6" w:rsidP="002F3BF8">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EDC Incentives to Trade Allies</w:t>
            </w:r>
          </w:p>
        </w:tc>
        <w:tc>
          <w:tcPr>
            <w:tcW w:w="1170" w:type="dxa"/>
            <w:tcBorders>
              <w:left w:val="none" w:sz="0" w:space="0" w:color="auto"/>
              <w:right w:val="none" w:sz="0" w:space="0" w:color="auto"/>
            </w:tcBorders>
            <w:shd w:val="clear" w:color="auto" w:fill="auto"/>
            <w:noWrap/>
            <w:vAlign w:val="center"/>
            <w:hideMark/>
          </w:tcPr>
          <w:p w:rsidR="008564A6" w:rsidRPr="00B75B77" w:rsidRDefault="008564A6" w:rsidP="002F3BF8">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tcBorders>
            <w:shd w:val="clear" w:color="auto" w:fill="auto"/>
            <w:vAlign w:val="center"/>
            <w:hideMark/>
          </w:tcPr>
          <w:p w:rsidR="008564A6" w:rsidRPr="00B75B77" w:rsidRDefault="008564A6" w:rsidP="002F3BF8">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8564A6" w:rsidRPr="00B75B77" w:rsidTr="002D64A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vAlign w:val="center"/>
          </w:tcPr>
          <w:p w:rsidR="008564A6" w:rsidRPr="00B75B77" w:rsidDel="00B4154B" w:rsidRDefault="008564A6" w:rsidP="002F3BF8">
            <w:pPr>
              <w:keepNext/>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4</w:t>
            </w:r>
          </w:p>
        </w:tc>
        <w:tc>
          <w:tcPr>
            <w:cnfStyle w:val="000010000000" w:firstRow="0" w:lastRow="0" w:firstColumn="0" w:lastColumn="0" w:oddVBand="1" w:evenVBand="0" w:oddHBand="0" w:evenHBand="0" w:firstRowFirstColumn="0" w:firstRowLastColumn="0" w:lastRowFirstColumn="0" w:lastRowLastColumn="0"/>
            <w:tcW w:w="6020" w:type="dxa"/>
            <w:tcBorders>
              <w:left w:val="none" w:sz="0" w:space="0" w:color="auto"/>
              <w:right w:val="none" w:sz="0" w:space="0" w:color="auto"/>
            </w:tcBorders>
            <w:noWrap/>
            <w:vAlign w:val="center"/>
            <w:hideMark/>
          </w:tcPr>
          <w:p w:rsidR="008564A6" w:rsidRPr="00B75B77" w:rsidRDefault="008564A6" w:rsidP="002F3BF8">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Participant Costs (Net of Incentives/Rebates Paid by Utilities)</w:t>
            </w:r>
          </w:p>
        </w:tc>
        <w:tc>
          <w:tcPr>
            <w:tcW w:w="1170" w:type="dxa"/>
            <w:tcBorders>
              <w:left w:val="none" w:sz="0" w:space="0" w:color="auto"/>
              <w:right w:val="none" w:sz="0" w:space="0" w:color="auto"/>
            </w:tcBorders>
            <w:hideMark/>
          </w:tcPr>
          <w:p w:rsidR="008564A6" w:rsidRPr="00B75B77" w:rsidRDefault="008564A6" w:rsidP="002F3BF8">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sz w:val="18"/>
                <w:szCs w:val="18"/>
              </w:rPr>
              <w:t>779</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tcBorders>
            <w:hideMark/>
          </w:tcPr>
          <w:p w:rsidR="008564A6" w:rsidRPr="00B75B77" w:rsidRDefault="008564A6" w:rsidP="002F3BF8">
            <w:pPr>
              <w:keepNext/>
              <w:jc w:val="center"/>
              <w:rPr>
                <w:rFonts w:ascii="Calibri" w:eastAsia="Times New Roman" w:hAnsi="Calibri"/>
                <w:color w:val="000000"/>
                <w:sz w:val="18"/>
                <w:szCs w:val="18"/>
              </w:rPr>
            </w:pPr>
            <w:r w:rsidRPr="00B75B77">
              <w:rPr>
                <w:sz w:val="18"/>
                <w:szCs w:val="18"/>
              </w:rPr>
              <w:t>7,</w:t>
            </w:r>
            <w:r w:rsidR="00620F33" w:rsidRPr="00B75B77">
              <w:rPr>
                <w:sz w:val="18"/>
                <w:szCs w:val="18"/>
              </w:rPr>
              <w:t>170</w:t>
            </w:r>
          </w:p>
        </w:tc>
      </w:tr>
      <w:tr w:rsidR="008564A6" w:rsidRPr="00B75B77" w:rsidTr="002D64A6">
        <w:trPr>
          <w:cnfStyle w:val="000000010000" w:firstRow="0" w:lastRow="0" w:firstColumn="0" w:lastColumn="0" w:oddVBand="0" w:evenVBand="0" w:oddHBand="0" w:evenHBand="1"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9602" w:type="dxa"/>
            <w:gridSpan w:val="4"/>
            <w:shd w:val="clear" w:color="auto" w:fill="AEAAAA"/>
            <w:vAlign w:val="center"/>
          </w:tcPr>
          <w:p w:rsidR="008564A6" w:rsidRPr="00B75B77" w:rsidRDefault="008564A6" w:rsidP="002F3BF8">
            <w:pPr>
              <w:keepNext/>
              <w:jc w:val="center"/>
              <w:rPr>
                <w:rFonts w:ascii="Calibri" w:eastAsia="Times New Roman" w:hAnsi="Calibri"/>
                <w:color w:val="000000"/>
                <w:sz w:val="18"/>
                <w:szCs w:val="18"/>
              </w:rPr>
            </w:pPr>
          </w:p>
        </w:tc>
      </w:tr>
      <w:tr w:rsidR="008564A6" w:rsidRPr="00B75B77" w:rsidTr="002D64A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auto"/>
            <w:vAlign w:val="center"/>
          </w:tcPr>
          <w:p w:rsidR="008564A6" w:rsidRPr="00B75B77" w:rsidRDefault="008564A6" w:rsidP="002F3BF8">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5</w:t>
            </w:r>
          </w:p>
        </w:tc>
        <w:tc>
          <w:tcPr>
            <w:cnfStyle w:val="000010000000" w:firstRow="0" w:lastRow="0" w:firstColumn="0" w:lastColumn="0" w:oddVBand="1" w:evenVBand="0" w:oddHBand="0" w:evenHBand="0" w:firstRowFirstColumn="0" w:firstRowLastColumn="0" w:lastRowFirstColumn="0" w:lastRowLastColumn="0"/>
            <w:tcW w:w="6020" w:type="dxa"/>
            <w:tcBorders>
              <w:left w:val="none" w:sz="0" w:space="0" w:color="auto"/>
              <w:right w:val="none" w:sz="0" w:space="0" w:color="auto"/>
            </w:tcBorders>
            <w:shd w:val="clear" w:color="auto" w:fill="auto"/>
            <w:noWrap/>
            <w:vAlign w:val="center"/>
          </w:tcPr>
          <w:p w:rsidR="008564A6" w:rsidRPr="00B75B77" w:rsidRDefault="008564A6" w:rsidP="002F3BF8">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Program Overhead Costs (Sum of Rows 6 through 10 )</w:t>
            </w:r>
          </w:p>
        </w:tc>
        <w:tc>
          <w:tcPr>
            <w:tcW w:w="1170" w:type="dxa"/>
            <w:tcBorders>
              <w:left w:val="none" w:sz="0" w:space="0" w:color="auto"/>
              <w:right w:val="none" w:sz="0" w:space="0" w:color="auto"/>
            </w:tcBorders>
            <w:shd w:val="clear" w:color="auto" w:fill="auto"/>
            <w:noWrap/>
            <w:vAlign w:val="center"/>
          </w:tcPr>
          <w:p w:rsidR="008564A6" w:rsidRPr="00B75B77" w:rsidRDefault="008564A6" w:rsidP="002F3BF8">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1,000</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tcBorders>
            <w:shd w:val="clear" w:color="auto" w:fill="auto"/>
            <w:vAlign w:val="center"/>
          </w:tcPr>
          <w:p w:rsidR="008564A6" w:rsidRPr="00B75B77" w:rsidRDefault="008564A6" w:rsidP="002F3BF8">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5,536</w:t>
            </w:r>
          </w:p>
        </w:tc>
      </w:tr>
      <w:tr w:rsidR="008564A6" w:rsidRPr="00B75B77" w:rsidTr="002D64A6">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D2EAF1"/>
            <w:vAlign w:val="center"/>
          </w:tcPr>
          <w:p w:rsidR="008564A6" w:rsidRPr="00B75B77" w:rsidRDefault="008564A6" w:rsidP="002F3BF8">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6</w:t>
            </w:r>
          </w:p>
        </w:tc>
        <w:tc>
          <w:tcPr>
            <w:cnfStyle w:val="000010000000" w:firstRow="0" w:lastRow="0" w:firstColumn="0" w:lastColumn="0" w:oddVBand="1" w:evenVBand="0" w:oddHBand="0" w:evenHBand="0" w:firstRowFirstColumn="0" w:firstRowLastColumn="0" w:lastRowFirstColumn="0" w:lastRowLastColumn="0"/>
            <w:tcW w:w="6020" w:type="dxa"/>
            <w:tcBorders>
              <w:left w:val="none" w:sz="0" w:space="0" w:color="auto"/>
              <w:right w:val="none" w:sz="0" w:space="0" w:color="auto"/>
            </w:tcBorders>
            <w:shd w:val="clear" w:color="auto" w:fill="D2EAF1"/>
            <w:noWrap/>
            <w:vAlign w:val="center"/>
            <w:hideMark/>
          </w:tcPr>
          <w:p w:rsidR="008564A6" w:rsidRPr="00B75B77" w:rsidRDefault="008564A6" w:rsidP="002F3BF8">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 xml:space="preserve">Design </w:t>
            </w:r>
            <w:r w:rsidR="00871301" w:rsidRPr="00B75B77">
              <w:rPr>
                <w:rFonts w:ascii="Calibri" w:eastAsia="Times New Roman" w:hAnsi="Calibri"/>
                <w:color w:val="000000"/>
                <w:sz w:val="18"/>
                <w:szCs w:val="18"/>
              </w:rPr>
              <w:t>and</w:t>
            </w:r>
            <w:r w:rsidRPr="00B75B77">
              <w:rPr>
                <w:rFonts w:ascii="Calibri" w:eastAsia="Times New Roman" w:hAnsi="Calibri"/>
                <w:color w:val="000000"/>
                <w:sz w:val="18"/>
                <w:szCs w:val="18"/>
              </w:rPr>
              <w:t xml:space="preserve"> Development</w:t>
            </w:r>
          </w:p>
        </w:tc>
        <w:tc>
          <w:tcPr>
            <w:tcW w:w="1170" w:type="dxa"/>
            <w:tcBorders>
              <w:left w:val="none" w:sz="0" w:space="0" w:color="auto"/>
              <w:right w:val="none" w:sz="0" w:space="0" w:color="auto"/>
            </w:tcBorders>
            <w:shd w:val="clear" w:color="auto" w:fill="D2EAF1"/>
            <w:noWrap/>
            <w:vAlign w:val="center"/>
            <w:hideMark/>
          </w:tcPr>
          <w:p w:rsidR="008564A6" w:rsidRPr="00B75B77" w:rsidRDefault="008564A6" w:rsidP="002F3BF8">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tcBorders>
            <w:shd w:val="clear" w:color="auto" w:fill="D2EAF1"/>
            <w:vAlign w:val="center"/>
            <w:hideMark/>
          </w:tcPr>
          <w:p w:rsidR="008564A6" w:rsidRPr="00B75B77" w:rsidRDefault="008564A6" w:rsidP="002F3BF8">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8564A6" w:rsidRPr="00B75B77" w:rsidTr="002D64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auto"/>
            <w:vAlign w:val="center"/>
          </w:tcPr>
          <w:p w:rsidR="008564A6" w:rsidRPr="00B75B77" w:rsidRDefault="008564A6" w:rsidP="002F3BF8">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7</w:t>
            </w:r>
          </w:p>
        </w:tc>
        <w:tc>
          <w:tcPr>
            <w:cnfStyle w:val="000010000000" w:firstRow="0" w:lastRow="0" w:firstColumn="0" w:lastColumn="0" w:oddVBand="1" w:evenVBand="0" w:oddHBand="0" w:evenHBand="0" w:firstRowFirstColumn="0" w:firstRowLastColumn="0" w:lastRowFirstColumn="0" w:lastRowLastColumn="0"/>
            <w:tcW w:w="6020" w:type="dxa"/>
            <w:tcBorders>
              <w:left w:val="none" w:sz="0" w:space="0" w:color="auto"/>
              <w:right w:val="none" w:sz="0" w:space="0" w:color="auto"/>
            </w:tcBorders>
            <w:shd w:val="clear" w:color="auto" w:fill="auto"/>
            <w:noWrap/>
            <w:vAlign w:val="center"/>
            <w:hideMark/>
          </w:tcPr>
          <w:p w:rsidR="008564A6" w:rsidRPr="00B75B77" w:rsidRDefault="008564A6" w:rsidP="002F3BF8">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Administration, Management, and Technical Assistance</w:t>
            </w:r>
            <w:r w:rsidRPr="00B75B77">
              <w:rPr>
                <w:rFonts w:ascii="Calibri" w:eastAsia="Times New Roman" w:hAnsi="Calibri"/>
                <w:b/>
                <w:bCs/>
                <w:color w:val="000000"/>
                <w:sz w:val="18"/>
                <w:szCs w:val="18"/>
                <w:vertAlign w:val="superscript"/>
              </w:rPr>
              <w:t>[1]</w:t>
            </w:r>
          </w:p>
        </w:tc>
        <w:tc>
          <w:tcPr>
            <w:tcW w:w="1170" w:type="dxa"/>
            <w:tcBorders>
              <w:left w:val="none" w:sz="0" w:space="0" w:color="auto"/>
              <w:right w:val="none" w:sz="0" w:space="0" w:color="auto"/>
            </w:tcBorders>
            <w:shd w:val="clear" w:color="auto" w:fill="auto"/>
            <w:noWrap/>
            <w:vAlign w:val="center"/>
            <w:hideMark/>
          </w:tcPr>
          <w:p w:rsidR="008564A6" w:rsidRPr="00B75B77" w:rsidRDefault="008564A6" w:rsidP="002F3BF8">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999</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tcBorders>
            <w:shd w:val="clear" w:color="auto" w:fill="auto"/>
            <w:vAlign w:val="center"/>
            <w:hideMark/>
          </w:tcPr>
          <w:p w:rsidR="008564A6" w:rsidRPr="00B75B77" w:rsidRDefault="008564A6" w:rsidP="002F3BF8">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5,530</w:t>
            </w:r>
          </w:p>
        </w:tc>
      </w:tr>
      <w:tr w:rsidR="008564A6" w:rsidRPr="00B75B77" w:rsidTr="002D64A6">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D2EAF1"/>
            <w:vAlign w:val="center"/>
          </w:tcPr>
          <w:p w:rsidR="008564A6" w:rsidRPr="00B75B77" w:rsidRDefault="008564A6" w:rsidP="002F3BF8">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8</w:t>
            </w:r>
          </w:p>
        </w:tc>
        <w:tc>
          <w:tcPr>
            <w:cnfStyle w:val="000010000000" w:firstRow="0" w:lastRow="0" w:firstColumn="0" w:lastColumn="0" w:oddVBand="1" w:evenVBand="0" w:oddHBand="0" w:evenHBand="0" w:firstRowFirstColumn="0" w:firstRowLastColumn="0" w:lastRowFirstColumn="0" w:lastRowLastColumn="0"/>
            <w:tcW w:w="6020" w:type="dxa"/>
            <w:tcBorders>
              <w:left w:val="none" w:sz="0" w:space="0" w:color="auto"/>
              <w:right w:val="none" w:sz="0" w:space="0" w:color="auto"/>
            </w:tcBorders>
            <w:shd w:val="clear" w:color="auto" w:fill="D2EAF1"/>
            <w:noWrap/>
            <w:vAlign w:val="center"/>
            <w:hideMark/>
          </w:tcPr>
          <w:p w:rsidR="008564A6" w:rsidRPr="00B75B77" w:rsidRDefault="008564A6" w:rsidP="002F3BF8">
            <w:pPr>
              <w:keepNext/>
              <w:jc w:val="left"/>
              <w:rPr>
                <w:rFonts w:ascii="Calibri" w:eastAsia="Times New Roman" w:hAnsi="Calibri"/>
                <w:color w:val="000000"/>
                <w:sz w:val="18"/>
                <w:szCs w:val="18"/>
              </w:rPr>
            </w:pPr>
            <w:r w:rsidRPr="00B75B77">
              <w:rPr>
                <w:rFonts w:ascii="Calibri" w:eastAsia="Times New Roman" w:hAnsi="Calibri"/>
                <w:color w:val="000000"/>
                <w:sz w:val="18"/>
                <w:szCs w:val="18"/>
              </w:rPr>
              <w:t>Marketing</w:t>
            </w:r>
            <w:r w:rsidRPr="00B75B77">
              <w:rPr>
                <w:rFonts w:ascii="Calibri" w:eastAsia="Times New Roman" w:hAnsi="Calibri"/>
                <w:b/>
                <w:bCs/>
                <w:color w:val="000000"/>
                <w:sz w:val="18"/>
                <w:szCs w:val="18"/>
                <w:vertAlign w:val="superscript"/>
              </w:rPr>
              <w:t>[2]</w:t>
            </w:r>
          </w:p>
        </w:tc>
        <w:tc>
          <w:tcPr>
            <w:tcW w:w="1170" w:type="dxa"/>
            <w:tcBorders>
              <w:left w:val="none" w:sz="0" w:space="0" w:color="auto"/>
              <w:right w:val="none" w:sz="0" w:space="0" w:color="auto"/>
            </w:tcBorders>
            <w:shd w:val="clear" w:color="auto" w:fill="D2EAF1"/>
            <w:noWrap/>
            <w:vAlign w:val="center"/>
            <w:hideMark/>
          </w:tcPr>
          <w:p w:rsidR="008564A6" w:rsidRPr="00B75B77" w:rsidRDefault="008564A6" w:rsidP="002F3BF8">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1</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tcBorders>
            <w:shd w:val="clear" w:color="auto" w:fill="D2EAF1"/>
            <w:vAlign w:val="center"/>
            <w:hideMark/>
          </w:tcPr>
          <w:p w:rsidR="008564A6" w:rsidRPr="00B75B77" w:rsidRDefault="008564A6" w:rsidP="002F3BF8">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6</w:t>
            </w:r>
          </w:p>
        </w:tc>
      </w:tr>
      <w:tr w:rsidR="008564A6" w:rsidRPr="00B75B77" w:rsidTr="002D64A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auto"/>
            <w:vAlign w:val="center"/>
          </w:tcPr>
          <w:p w:rsidR="008564A6" w:rsidRPr="00B75B77" w:rsidRDefault="008564A6" w:rsidP="002F3BF8">
            <w:pPr>
              <w:keepNext/>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9</w:t>
            </w:r>
          </w:p>
        </w:tc>
        <w:tc>
          <w:tcPr>
            <w:cnfStyle w:val="000010000000" w:firstRow="0" w:lastRow="0" w:firstColumn="0" w:lastColumn="0" w:oddVBand="1" w:evenVBand="0" w:oddHBand="0" w:evenHBand="0" w:firstRowFirstColumn="0" w:firstRowLastColumn="0" w:lastRowFirstColumn="0" w:lastRowLastColumn="0"/>
            <w:tcW w:w="6020" w:type="dxa"/>
            <w:tcBorders>
              <w:left w:val="none" w:sz="0" w:space="0" w:color="auto"/>
              <w:right w:val="none" w:sz="0" w:space="0" w:color="auto"/>
            </w:tcBorders>
            <w:shd w:val="clear" w:color="auto" w:fill="auto"/>
            <w:noWrap/>
            <w:vAlign w:val="center"/>
          </w:tcPr>
          <w:p w:rsidR="008564A6" w:rsidRPr="00B75B77" w:rsidRDefault="008564A6" w:rsidP="002F3BF8">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EDC Evaluation Costs</w:t>
            </w:r>
          </w:p>
        </w:tc>
        <w:tc>
          <w:tcPr>
            <w:tcW w:w="1170" w:type="dxa"/>
            <w:tcBorders>
              <w:left w:val="none" w:sz="0" w:space="0" w:color="auto"/>
              <w:right w:val="none" w:sz="0" w:space="0" w:color="auto"/>
            </w:tcBorders>
            <w:shd w:val="clear" w:color="auto" w:fill="auto"/>
            <w:noWrap/>
            <w:vAlign w:val="center"/>
            <w:hideMark/>
          </w:tcPr>
          <w:p w:rsidR="008564A6" w:rsidRPr="00B75B77" w:rsidRDefault="008564A6" w:rsidP="002F3BF8">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18"/>
                <w:szCs w:val="18"/>
              </w:rPr>
            </w:pPr>
            <w:r w:rsidRPr="00B75B77">
              <w:rPr>
                <w:rFonts w:ascii="Calibri" w:eastAsia="Times New Roman" w:hAnsi="Calibri"/>
                <w:b/>
                <w:bCs/>
                <w:color w:val="000000"/>
                <w:sz w:val="18"/>
                <w:szCs w:val="18"/>
              </w:rPr>
              <w:t>0</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tcBorders>
            <w:shd w:val="clear" w:color="auto" w:fill="auto"/>
            <w:vAlign w:val="center"/>
            <w:hideMark/>
          </w:tcPr>
          <w:p w:rsidR="008564A6" w:rsidRPr="00B75B77" w:rsidRDefault="008564A6" w:rsidP="002F3BF8">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0</w:t>
            </w:r>
          </w:p>
        </w:tc>
      </w:tr>
      <w:tr w:rsidR="008564A6" w:rsidRPr="00B75B77" w:rsidTr="002D64A6">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D2EAF1"/>
            <w:vAlign w:val="center"/>
          </w:tcPr>
          <w:p w:rsidR="008564A6" w:rsidRPr="00B75B77" w:rsidRDefault="008564A6" w:rsidP="002F3BF8">
            <w:pPr>
              <w:keepNext/>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10</w:t>
            </w:r>
          </w:p>
        </w:tc>
        <w:tc>
          <w:tcPr>
            <w:cnfStyle w:val="000010000000" w:firstRow="0" w:lastRow="0" w:firstColumn="0" w:lastColumn="0" w:oddVBand="1" w:evenVBand="0" w:oddHBand="0" w:evenHBand="0" w:firstRowFirstColumn="0" w:firstRowLastColumn="0" w:lastRowFirstColumn="0" w:lastRowLastColumn="0"/>
            <w:tcW w:w="6020" w:type="dxa"/>
            <w:tcBorders>
              <w:left w:val="none" w:sz="0" w:space="0" w:color="auto"/>
              <w:right w:val="none" w:sz="0" w:space="0" w:color="auto"/>
            </w:tcBorders>
            <w:shd w:val="clear" w:color="auto" w:fill="D2EAF1"/>
            <w:noWrap/>
            <w:vAlign w:val="center"/>
          </w:tcPr>
          <w:p w:rsidR="008564A6" w:rsidRPr="00B75B77" w:rsidRDefault="008564A6" w:rsidP="002F3BF8">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SWE Audit Costs</w:t>
            </w:r>
          </w:p>
        </w:tc>
        <w:tc>
          <w:tcPr>
            <w:tcW w:w="1170" w:type="dxa"/>
            <w:tcBorders>
              <w:left w:val="none" w:sz="0" w:space="0" w:color="auto"/>
              <w:right w:val="none" w:sz="0" w:space="0" w:color="auto"/>
            </w:tcBorders>
            <w:shd w:val="clear" w:color="auto" w:fill="D2EAF1"/>
            <w:noWrap/>
            <w:vAlign w:val="center"/>
          </w:tcPr>
          <w:p w:rsidR="008564A6" w:rsidRPr="00B75B77" w:rsidRDefault="008564A6" w:rsidP="002F3BF8">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8"/>
                <w:szCs w:val="18"/>
              </w:rPr>
            </w:pPr>
            <w:r w:rsidRPr="00B75B77">
              <w:rPr>
                <w:rFonts w:ascii="Calibri" w:eastAsia="Times New Roman" w:hAnsi="Calibri"/>
                <w:color w:val="000000"/>
                <w:sz w:val="18"/>
                <w:szCs w:val="18"/>
              </w:rPr>
              <w:t>0</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tcBorders>
            <w:shd w:val="clear" w:color="auto" w:fill="D2EAF1"/>
            <w:vAlign w:val="center"/>
          </w:tcPr>
          <w:p w:rsidR="008564A6" w:rsidRPr="00B75B77" w:rsidRDefault="008564A6" w:rsidP="002F3BF8">
            <w:pPr>
              <w:keepNext/>
              <w:jc w:val="center"/>
              <w:rPr>
                <w:rFonts w:ascii="Calibri" w:eastAsia="Times New Roman" w:hAnsi="Calibri"/>
                <w:color w:val="000000"/>
                <w:sz w:val="18"/>
                <w:szCs w:val="18"/>
              </w:rPr>
            </w:pPr>
            <w:r w:rsidRPr="00B75B77">
              <w:rPr>
                <w:rFonts w:ascii="Calibri" w:eastAsia="Times New Roman" w:hAnsi="Calibri"/>
                <w:color w:val="000000"/>
                <w:sz w:val="18"/>
                <w:szCs w:val="18"/>
              </w:rPr>
              <w:t>0</w:t>
            </w:r>
          </w:p>
        </w:tc>
      </w:tr>
      <w:tr w:rsidR="008564A6" w:rsidRPr="00B75B77" w:rsidTr="002D64A6">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9602" w:type="dxa"/>
            <w:gridSpan w:val="4"/>
            <w:shd w:val="clear" w:color="auto" w:fill="AEAAAA"/>
            <w:vAlign w:val="center"/>
          </w:tcPr>
          <w:p w:rsidR="008564A6" w:rsidRPr="00B75B77" w:rsidRDefault="008564A6" w:rsidP="002F3BF8">
            <w:pPr>
              <w:keepNext/>
              <w:jc w:val="center"/>
              <w:rPr>
                <w:rFonts w:ascii="Calibri" w:eastAsia="Times New Roman" w:hAnsi="Calibri"/>
                <w:b w:val="0"/>
                <w:bCs w:val="0"/>
                <w:color w:val="000000"/>
                <w:sz w:val="18"/>
                <w:szCs w:val="18"/>
              </w:rPr>
            </w:pPr>
          </w:p>
        </w:tc>
      </w:tr>
      <w:tr w:rsidR="008564A6" w:rsidRPr="00B75B77" w:rsidTr="002D64A6">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auto"/>
            <w:vAlign w:val="center"/>
          </w:tcPr>
          <w:p w:rsidR="008564A6" w:rsidRPr="00B75B77" w:rsidRDefault="008564A6" w:rsidP="002F3BF8">
            <w:pPr>
              <w:keepNext/>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11</w:t>
            </w:r>
          </w:p>
        </w:tc>
        <w:tc>
          <w:tcPr>
            <w:cnfStyle w:val="000010000000" w:firstRow="0" w:lastRow="0" w:firstColumn="0" w:lastColumn="0" w:oddVBand="1" w:evenVBand="0" w:oddHBand="0" w:evenHBand="0" w:firstRowFirstColumn="0" w:firstRowLastColumn="0" w:lastRowFirstColumn="0" w:lastRowLastColumn="0"/>
            <w:tcW w:w="6020" w:type="dxa"/>
            <w:tcBorders>
              <w:left w:val="none" w:sz="0" w:space="0" w:color="auto"/>
              <w:right w:val="none" w:sz="0" w:space="0" w:color="auto"/>
            </w:tcBorders>
            <w:shd w:val="clear" w:color="auto" w:fill="auto"/>
            <w:noWrap/>
            <w:vAlign w:val="center"/>
          </w:tcPr>
          <w:p w:rsidR="008564A6" w:rsidRPr="00B75B77" w:rsidRDefault="008564A6" w:rsidP="002F3BF8">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Increases in Costs of Natural Gas (or Other Fuels) for Fuel-Switching Programs</w:t>
            </w:r>
          </w:p>
        </w:tc>
        <w:tc>
          <w:tcPr>
            <w:tcW w:w="1170" w:type="dxa"/>
            <w:tcBorders>
              <w:left w:val="none" w:sz="0" w:space="0" w:color="auto"/>
              <w:right w:val="none" w:sz="0" w:space="0" w:color="auto"/>
            </w:tcBorders>
            <w:shd w:val="clear" w:color="auto" w:fill="auto"/>
            <w:noWrap/>
            <w:vAlign w:val="center"/>
          </w:tcPr>
          <w:p w:rsidR="008564A6" w:rsidRPr="00B75B77" w:rsidRDefault="008564A6" w:rsidP="002F3BF8">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 w:val="18"/>
                <w:szCs w:val="18"/>
              </w:rPr>
            </w:pPr>
            <w:r w:rsidRPr="00B75B77">
              <w:rPr>
                <w:rFonts w:ascii="Calibri" w:eastAsia="Times New Roman" w:hAnsi="Calibri"/>
                <w:b/>
                <w:bCs/>
                <w:color w:val="000000"/>
                <w:sz w:val="18"/>
                <w:szCs w:val="18"/>
              </w:rPr>
              <w:t>0</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tcBorders>
            <w:shd w:val="clear" w:color="auto" w:fill="auto"/>
            <w:vAlign w:val="center"/>
          </w:tcPr>
          <w:p w:rsidR="008564A6" w:rsidRPr="00B75B77" w:rsidRDefault="008564A6" w:rsidP="002F3BF8">
            <w:pPr>
              <w:keepNext/>
              <w:jc w:val="center"/>
              <w:rPr>
                <w:rFonts w:ascii="Calibri" w:eastAsia="Times New Roman" w:hAnsi="Calibri"/>
                <w:b/>
                <w:bCs/>
                <w:color w:val="000000"/>
                <w:sz w:val="18"/>
                <w:szCs w:val="18"/>
              </w:rPr>
            </w:pPr>
            <w:r w:rsidRPr="00B75B77">
              <w:rPr>
                <w:rFonts w:ascii="Calibri" w:eastAsia="Times New Roman" w:hAnsi="Calibri"/>
                <w:b/>
                <w:bCs/>
                <w:color w:val="000000"/>
                <w:sz w:val="18"/>
                <w:szCs w:val="18"/>
              </w:rPr>
              <w:t>0</w:t>
            </w:r>
          </w:p>
        </w:tc>
      </w:tr>
      <w:tr w:rsidR="008564A6" w:rsidRPr="00B75B77" w:rsidTr="002D64A6">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9602" w:type="dxa"/>
            <w:gridSpan w:val="4"/>
            <w:shd w:val="clear" w:color="auto" w:fill="AEAAAA"/>
            <w:vAlign w:val="center"/>
          </w:tcPr>
          <w:p w:rsidR="008564A6" w:rsidRPr="00B75B77" w:rsidRDefault="008564A6" w:rsidP="002F3BF8">
            <w:pPr>
              <w:keepNext/>
              <w:jc w:val="center"/>
              <w:rPr>
                <w:rFonts w:ascii="Calibri" w:eastAsia="Times New Roman" w:hAnsi="Calibri"/>
                <w:b w:val="0"/>
                <w:bCs w:val="0"/>
                <w:color w:val="000000"/>
                <w:sz w:val="18"/>
                <w:szCs w:val="18"/>
              </w:rPr>
            </w:pPr>
          </w:p>
        </w:tc>
      </w:tr>
      <w:tr w:rsidR="008564A6" w:rsidRPr="00B75B77" w:rsidTr="002D64A6">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D2EAF1"/>
            <w:vAlign w:val="center"/>
          </w:tcPr>
          <w:p w:rsidR="008564A6" w:rsidRPr="00B75B77" w:rsidRDefault="008564A6" w:rsidP="002F3BF8">
            <w:pPr>
              <w:keepNext/>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12</w:t>
            </w:r>
          </w:p>
        </w:tc>
        <w:tc>
          <w:tcPr>
            <w:cnfStyle w:val="000010000000" w:firstRow="0" w:lastRow="0" w:firstColumn="0" w:lastColumn="0" w:oddVBand="1" w:evenVBand="0" w:oddHBand="0" w:evenHBand="0" w:firstRowFirstColumn="0" w:firstRowLastColumn="0" w:lastRowFirstColumn="0" w:lastRowLastColumn="0"/>
            <w:tcW w:w="6020" w:type="dxa"/>
            <w:tcBorders>
              <w:left w:val="none" w:sz="0" w:space="0" w:color="auto"/>
              <w:right w:val="none" w:sz="0" w:space="0" w:color="auto"/>
            </w:tcBorders>
            <w:noWrap/>
            <w:vAlign w:val="center"/>
            <w:hideMark/>
          </w:tcPr>
          <w:p w:rsidR="008564A6" w:rsidRPr="00B75B77" w:rsidRDefault="008564A6" w:rsidP="002F3BF8">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Total  TRC Costs</w:t>
            </w:r>
            <w:r w:rsidRPr="00B75B77">
              <w:rPr>
                <w:rFonts w:ascii="Calibri" w:eastAsia="Times New Roman" w:hAnsi="Calibri"/>
                <w:bCs/>
                <w:color w:val="000000"/>
                <w:sz w:val="18"/>
                <w:szCs w:val="18"/>
                <w:vertAlign w:val="superscript"/>
              </w:rPr>
              <w:t xml:space="preserve">[3] </w:t>
            </w:r>
            <w:r w:rsidRPr="00B75B77">
              <w:rPr>
                <w:rFonts w:ascii="Calibri" w:eastAsia="Times New Roman" w:hAnsi="Calibri"/>
                <w:bCs/>
                <w:color w:val="000000"/>
                <w:sz w:val="18"/>
                <w:szCs w:val="18"/>
              </w:rPr>
              <w:t>(Sum of Rows 1, 5, and 11)</w:t>
            </w:r>
          </w:p>
        </w:tc>
        <w:tc>
          <w:tcPr>
            <w:tcW w:w="1170" w:type="dxa"/>
            <w:tcBorders>
              <w:left w:val="none" w:sz="0" w:space="0" w:color="auto"/>
              <w:right w:val="none" w:sz="0" w:space="0" w:color="auto"/>
            </w:tcBorders>
            <w:shd w:val="clear" w:color="auto" w:fill="DAEEF3" w:themeFill="accent5" w:themeFillTint="33"/>
            <w:noWrap/>
            <w:hideMark/>
          </w:tcPr>
          <w:p w:rsidR="008564A6" w:rsidRPr="00B75B77" w:rsidRDefault="008564A6" w:rsidP="002F3BF8">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 w:val="18"/>
                <w:szCs w:val="18"/>
              </w:rPr>
            </w:pPr>
            <w:r w:rsidRPr="00B75B77">
              <w:rPr>
                <w:sz w:val="18"/>
                <w:szCs w:val="18"/>
              </w:rPr>
              <w:t>1,779</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tcBorders>
            <w:hideMark/>
          </w:tcPr>
          <w:p w:rsidR="008564A6" w:rsidRPr="00B75B77" w:rsidRDefault="008564A6" w:rsidP="002F3BF8">
            <w:pPr>
              <w:keepNext/>
              <w:jc w:val="center"/>
              <w:rPr>
                <w:rFonts w:ascii="Calibri" w:eastAsia="Times New Roman" w:hAnsi="Calibri"/>
                <w:b/>
                <w:bCs/>
                <w:color w:val="000000"/>
                <w:sz w:val="18"/>
                <w:szCs w:val="18"/>
              </w:rPr>
            </w:pPr>
            <w:r w:rsidRPr="00B75B77">
              <w:rPr>
                <w:sz w:val="18"/>
                <w:szCs w:val="18"/>
              </w:rPr>
              <w:t>12,</w:t>
            </w:r>
            <w:r w:rsidR="00620F33" w:rsidRPr="00B75B77">
              <w:rPr>
                <w:sz w:val="18"/>
                <w:szCs w:val="18"/>
              </w:rPr>
              <w:t>706</w:t>
            </w:r>
          </w:p>
        </w:tc>
      </w:tr>
      <w:tr w:rsidR="008564A6" w:rsidRPr="00B75B77" w:rsidTr="002D64A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auto"/>
            <w:vAlign w:val="center"/>
          </w:tcPr>
          <w:p w:rsidR="008564A6" w:rsidRPr="00B75B77" w:rsidRDefault="008564A6" w:rsidP="002F3BF8">
            <w:pPr>
              <w:keepNext/>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13</w:t>
            </w:r>
          </w:p>
        </w:tc>
        <w:tc>
          <w:tcPr>
            <w:cnfStyle w:val="000010000000" w:firstRow="0" w:lastRow="0" w:firstColumn="0" w:lastColumn="0" w:oddVBand="1" w:evenVBand="0" w:oddHBand="0" w:evenHBand="0" w:firstRowFirstColumn="0" w:firstRowLastColumn="0" w:lastRowFirstColumn="0" w:lastRowLastColumn="0"/>
            <w:tcW w:w="6020" w:type="dxa"/>
            <w:tcBorders>
              <w:left w:val="none" w:sz="0" w:space="0" w:color="auto"/>
              <w:right w:val="none" w:sz="0" w:space="0" w:color="auto"/>
            </w:tcBorders>
            <w:shd w:val="clear" w:color="auto" w:fill="auto"/>
            <w:noWrap/>
            <w:vAlign w:val="center"/>
            <w:hideMark/>
          </w:tcPr>
          <w:p w:rsidR="008564A6" w:rsidRPr="00B75B77" w:rsidRDefault="008564A6" w:rsidP="002F3BF8">
            <w:pPr>
              <w:keepNext/>
              <w:jc w:val="left"/>
              <w:rPr>
                <w:rFonts w:ascii="Calibri" w:eastAsia="Times New Roman" w:hAnsi="Calibri"/>
                <w:color w:val="000000"/>
                <w:sz w:val="18"/>
                <w:szCs w:val="18"/>
              </w:rPr>
            </w:pPr>
            <w:r w:rsidRPr="00B75B77">
              <w:rPr>
                <w:rFonts w:ascii="Calibri" w:eastAsia="Times New Roman" w:hAnsi="Calibri"/>
                <w:bCs/>
                <w:color w:val="000000"/>
                <w:sz w:val="18"/>
                <w:szCs w:val="18"/>
              </w:rPr>
              <w:t>Total NPV Lifetime Energy Benefits</w:t>
            </w:r>
          </w:p>
        </w:tc>
        <w:tc>
          <w:tcPr>
            <w:tcW w:w="1170" w:type="dxa"/>
            <w:tcBorders>
              <w:left w:val="none" w:sz="0" w:space="0" w:color="auto"/>
              <w:bottom w:val="single" w:sz="8" w:space="0" w:color="448A99"/>
              <w:right w:val="none" w:sz="0" w:space="0" w:color="auto"/>
            </w:tcBorders>
            <w:shd w:val="clear" w:color="auto" w:fill="auto"/>
            <w:noWrap/>
            <w:hideMark/>
          </w:tcPr>
          <w:p w:rsidR="008564A6" w:rsidRPr="00B75B77" w:rsidRDefault="008564A6" w:rsidP="002F3BF8">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18"/>
                <w:szCs w:val="18"/>
              </w:rPr>
            </w:pPr>
            <w:r w:rsidRPr="00B75B77">
              <w:rPr>
                <w:sz w:val="18"/>
                <w:szCs w:val="18"/>
              </w:rPr>
              <w:t>2,902</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tcBorders>
            <w:shd w:val="clear" w:color="auto" w:fill="auto"/>
            <w:hideMark/>
          </w:tcPr>
          <w:p w:rsidR="008564A6" w:rsidRPr="00B75B77" w:rsidRDefault="008564A6" w:rsidP="002F3BF8">
            <w:pPr>
              <w:keepNext/>
              <w:jc w:val="center"/>
              <w:rPr>
                <w:rFonts w:ascii="Calibri" w:eastAsia="Times New Roman" w:hAnsi="Calibri"/>
                <w:b/>
                <w:bCs/>
                <w:color w:val="000000"/>
                <w:sz w:val="18"/>
                <w:szCs w:val="18"/>
              </w:rPr>
            </w:pPr>
            <w:r w:rsidRPr="00B75B77">
              <w:rPr>
                <w:sz w:val="18"/>
                <w:szCs w:val="18"/>
              </w:rPr>
              <w:t>19,606</w:t>
            </w:r>
          </w:p>
        </w:tc>
      </w:tr>
      <w:tr w:rsidR="008564A6" w:rsidRPr="00B75B77" w:rsidTr="002D64A6">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D2EAF1"/>
            <w:vAlign w:val="center"/>
          </w:tcPr>
          <w:p w:rsidR="008564A6" w:rsidRPr="00B75B77" w:rsidRDefault="008564A6" w:rsidP="002F3BF8">
            <w:pPr>
              <w:keepNext/>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14</w:t>
            </w:r>
          </w:p>
        </w:tc>
        <w:tc>
          <w:tcPr>
            <w:cnfStyle w:val="000010000000" w:firstRow="0" w:lastRow="0" w:firstColumn="0" w:lastColumn="0" w:oddVBand="1" w:evenVBand="0" w:oddHBand="0" w:evenHBand="0" w:firstRowFirstColumn="0" w:firstRowLastColumn="0" w:lastRowFirstColumn="0" w:lastRowLastColumn="0"/>
            <w:tcW w:w="6020" w:type="dxa"/>
            <w:tcBorders>
              <w:left w:val="none" w:sz="0" w:space="0" w:color="auto"/>
              <w:right w:val="none" w:sz="0" w:space="0" w:color="auto"/>
            </w:tcBorders>
            <w:noWrap/>
            <w:vAlign w:val="center"/>
            <w:hideMark/>
          </w:tcPr>
          <w:p w:rsidR="008564A6" w:rsidRPr="00B75B77" w:rsidRDefault="008564A6" w:rsidP="002F3BF8">
            <w:pPr>
              <w:keepNext/>
              <w:jc w:val="left"/>
              <w:rPr>
                <w:rFonts w:ascii="Calibri" w:eastAsia="Times New Roman" w:hAnsi="Calibri"/>
                <w:color w:val="000000"/>
                <w:sz w:val="18"/>
                <w:szCs w:val="18"/>
              </w:rPr>
            </w:pPr>
            <w:r w:rsidRPr="00B75B77">
              <w:rPr>
                <w:rFonts w:ascii="Calibri" w:eastAsia="Times New Roman" w:hAnsi="Calibri"/>
                <w:bCs/>
                <w:color w:val="000000"/>
                <w:sz w:val="18"/>
                <w:szCs w:val="18"/>
              </w:rPr>
              <w:t>Total NPV Lifetime Capacity Benefits</w:t>
            </w:r>
          </w:p>
        </w:tc>
        <w:tc>
          <w:tcPr>
            <w:tcW w:w="1170" w:type="dxa"/>
            <w:tcBorders>
              <w:left w:val="none" w:sz="0" w:space="0" w:color="auto"/>
              <w:right w:val="none" w:sz="0" w:space="0" w:color="auto"/>
            </w:tcBorders>
            <w:shd w:val="clear" w:color="auto" w:fill="DAEEF3" w:themeFill="accent5" w:themeFillTint="33"/>
            <w:noWrap/>
            <w:hideMark/>
          </w:tcPr>
          <w:p w:rsidR="008564A6" w:rsidRPr="00B75B77" w:rsidRDefault="008564A6" w:rsidP="002F3BF8">
            <w:pPr>
              <w:keepNex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sz w:val="18"/>
                <w:szCs w:val="18"/>
              </w:rPr>
            </w:pPr>
            <w:r w:rsidRPr="00B75B77">
              <w:rPr>
                <w:sz w:val="18"/>
                <w:szCs w:val="18"/>
              </w:rPr>
              <w:t>507</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tcBorders>
            <w:hideMark/>
          </w:tcPr>
          <w:p w:rsidR="008564A6" w:rsidRPr="00B75B77" w:rsidRDefault="008564A6" w:rsidP="002F3BF8">
            <w:pPr>
              <w:keepNext/>
              <w:jc w:val="center"/>
              <w:rPr>
                <w:rFonts w:ascii="Calibri" w:eastAsia="Times New Roman" w:hAnsi="Calibri"/>
                <w:b/>
                <w:bCs/>
                <w:color w:val="000000"/>
                <w:sz w:val="18"/>
                <w:szCs w:val="18"/>
              </w:rPr>
            </w:pPr>
            <w:r w:rsidRPr="00B75B77">
              <w:rPr>
                <w:sz w:val="18"/>
                <w:szCs w:val="18"/>
              </w:rPr>
              <w:t>3,714</w:t>
            </w:r>
          </w:p>
        </w:tc>
      </w:tr>
      <w:tr w:rsidR="008564A6" w:rsidRPr="00B75B77" w:rsidTr="002D64A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auto"/>
            <w:vAlign w:val="center"/>
          </w:tcPr>
          <w:p w:rsidR="008564A6" w:rsidRPr="00B75B77" w:rsidRDefault="008564A6" w:rsidP="002F3BF8">
            <w:pPr>
              <w:keepNext/>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15</w:t>
            </w:r>
          </w:p>
        </w:tc>
        <w:tc>
          <w:tcPr>
            <w:cnfStyle w:val="000010000000" w:firstRow="0" w:lastRow="0" w:firstColumn="0" w:lastColumn="0" w:oddVBand="1" w:evenVBand="0" w:oddHBand="0" w:evenHBand="0" w:firstRowFirstColumn="0" w:firstRowLastColumn="0" w:lastRowFirstColumn="0" w:lastRowLastColumn="0"/>
            <w:tcW w:w="6020" w:type="dxa"/>
            <w:tcBorders>
              <w:left w:val="none" w:sz="0" w:space="0" w:color="auto"/>
              <w:right w:val="none" w:sz="0" w:space="0" w:color="auto"/>
            </w:tcBorders>
            <w:shd w:val="clear" w:color="auto" w:fill="auto"/>
            <w:noWrap/>
            <w:vAlign w:val="center"/>
            <w:hideMark/>
          </w:tcPr>
          <w:p w:rsidR="008564A6" w:rsidRPr="00B75B77" w:rsidRDefault="008564A6" w:rsidP="002F3BF8">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Total NPV TRC Benefits</w:t>
            </w:r>
            <w:r w:rsidRPr="00B75B77">
              <w:rPr>
                <w:rFonts w:ascii="Calibri" w:eastAsia="Times New Roman" w:hAnsi="Calibri"/>
                <w:bCs/>
                <w:color w:val="000000"/>
                <w:sz w:val="18"/>
                <w:szCs w:val="18"/>
                <w:vertAlign w:val="superscript"/>
              </w:rPr>
              <w:t>[4]</w:t>
            </w:r>
          </w:p>
        </w:tc>
        <w:tc>
          <w:tcPr>
            <w:tcW w:w="1170" w:type="dxa"/>
            <w:tcBorders>
              <w:left w:val="none" w:sz="0" w:space="0" w:color="auto"/>
              <w:right w:val="none" w:sz="0" w:space="0" w:color="auto"/>
            </w:tcBorders>
            <w:shd w:val="clear" w:color="auto" w:fill="auto"/>
            <w:noWrap/>
            <w:hideMark/>
          </w:tcPr>
          <w:p w:rsidR="008564A6" w:rsidRPr="00B75B77" w:rsidRDefault="008564A6" w:rsidP="002F3BF8">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18"/>
                <w:szCs w:val="18"/>
              </w:rPr>
            </w:pPr>
            <w:r w:rsidRPr="00B75B77">
              <w:rPr>
                <w:sz w:val="18"/>
                <w:szCs w:val="18"/>
              </w:rPr>
              <w:t>3,410</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tcBorders>
            <w:shd w:val="clear" w:color="auto" w:fill="auto"/>
            <w:hideMark/>
          </w:tcPr>
          <w:p w:rsidR="008564A6" w:rsidRPr="00B75B77" w:rsidRDefault="008564A6" w:rsidP="002F3BF8">
            <w:pPr>
              <w:keepNext/>
              <w:jc w:val="center"/>
              <w:rPr>
                <w:rFonts w:ascii="Calibri" w:eastAsia="Times New Roman" w:hAnsi="Calibri"/>
                <w:b/>
                <w:bCs/>
                <w:color w:val="000000"/>
                <w:sz w:val="18"/>
                <w:szCs w:val="18"/>
              </w:rPr>
            </w:pPr>
            <w:r w:rsidRPr="00B75B77">
              <w:rPr>
                <w:sz w:val="18"/>
                <w:szCs w:val="18"/>
              </w:rPr>
              <w:t>23,417</w:t>
            </w:r>
          </w:p>
        </w:tc>
      </w:tr>
      <w:tr w:rsidR="008564A6" w:rsidRPr="00B75B77" w:rsidTr="002D64A6">
        <w:trPr>
          <w:cnfStyle w:val="000000010000" w:firstRow="0" w:lastRow="0" w:firstColumn="0" w:lastColumn="0" w:oddVBand="0" w:evenVBand="0" w:oddHBand="0" w:evenHBand="1"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602" w:type="dxa"/>
            <w:gridSpan w:val="4"/>
            <w:shd w:val="clear" w:color="auto" w:fill="AEAAAA"/>
            <w:vAlign w:val="center"/>
          </w:tcPr>
          <w:p w:rsidR="008564A6" w:rsidRPr="00B75B77" w:rsidRDefault="008564A6" w:rsidP="002F3BF8">
            <w:pPr>
              <w:keepNext/>
              <w:jc w:val="center"/>
              <w:rPr>
                <w:rFonts w:ascii="Calibri" w:eastAsia="Times New Roman" w:hAnsi="Calibri"/>
                <w:b w:val="0"/>
                <w:bCs w:val="0"/>
                <w:color w:val="000000"/>
                <w:sz w:val="18"/>
                <w:szCs w:val="18"/>
              </w:rPr>
            </w:pPr>
          </w:p>
        </w:tc>
      </w:tr>
      <w:tr w:rsidR="008564A6" w:rsidRPr="00B75B77" w:rsidTr="002D64A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2" w:type="dxa"/>
            <w:tcBorders>
              <w:right w:val="none" w:sz="0" w:space="0" w:color="auto"/>
            </w:tcBorders>
            <w:shd w:val="clear" w:color="auto" w:fill="D2EAF1"/>
            <w:vAlign w:val="center"/>
          </w:tcPr>
          <w:p w:rsidR="008564A6" w:rsidRPr="00B75B77" w:rsidRDefault="008564A6" w:rsidP="002F3BF8">
            <w:pPr>
              <w:keepNext/>
              <w:jc w:val="center"/>
              <w:rPr>
                <w:rFonts w:ascii="Calibri" w:eastAsia="Times New Roman" w:hAnsi="Calibri"/>
                <w:bCs w:val="0"/>
                <w:color w:val="000000"/>
                <w:sz w:val="18"/>
                <w:szCs w:val="18"/>
              </w:rPr>
            </w:pPr>
            <w:r w:rsidRPr="00B75B77">
              <w:rPr>
                <w:rFonts w:ascii="Calibri" w:eastAsia="Times New Roman" w:hAnsi="Calibri"/>
                <w:bCs w:val="0"/>
                <w:color w:val="000000"/>
                <w:sz w:val="18"/>
                <w:szCs w:val="18"/>
              </w:rPr>
              <w:t>16</w:t>
            </w:r>
          </w:p>
        </w:tc>
        <w:tc>
          <w:tcPr>
            <w:cnfStyle w:val="000010000000" w:firstRow="0" w:lastRow="0" w:firstColumn="0" w:lastColumn="0" w:oddVBand="1" w:evenVBand="0" w:oddHBand="0" w:evenHBand="0" w:firstRowFirstColumn="0" w:firstRowLastColumn="0" w:lastRowFirstColumn="0" w:lastRowLastColumn="0"/>
            <w:tcW w:w="6020" w:type="dxa"/>
            <w:tcBorders>
              <w:left w:val="none" w:sz="0" w:space="0" w:color="auto"/>
              <w:right w:val="none" w:sz="0" w:space="0" w:color="auto"/>
            </w:tcBorders>
            <w:shd w:val="clear" w:color="auto" w:fill="D2EAF1"/>
            <w:noWrap/>
            <w:vAlign w:val="center"/>
            <w:hideMark/>
          </w:tcPr>
          <w:p w:rsidR="008564A6" w:rsidRPr="00B75B77" w:rsidRDefault="008564A6" w:rsidP="002F3BF8">
            <w:pPr>
              <w:keepNext/>
              <w:jc w:val="left"/>
              <w:rPr>
                <w:rFonts w:ascii="Calibri" w:eastAsia="Times New Roman" w:hAnsi="Calibri"/>
                <w:bCs/>
                <w:color w:val="000000"/>
                <w:sz w:val="18"/>
                <w:szCs w:val="18"/>
              </w:rPr>
            </w:pPr>
            <w:r w:rsidRPr="00B75B77">
              <w:rPr>
                <w:rFonts w:ascii="Calibri" w:eastAsia="Times New Roman" w:hAnsi="Calibri"/>
                <w:bCs/>
                <w:color w:val="000000"/>
                <w:sz w:val="18"/>
                <w:szCs w:val="18"/>
              </w:rPr>
              <w:t>TRC Benefit-Cost Ratio</w:t>
            </w:r>
            <w:r w:rsidRPr="00B75B77">
              <w:rPr>
                <w:rFonts w:ascii="Calibri" w:eastAsia="Times New Roman" w:hAnsi="Calibri"/>
                <w:bCs/>
                <w:color w:val="000000"/>
                <w:sz w:val="18"/>
                <w:szCs w:val="18"/>
                <w:vertAlign w:val="superscript"/>
              </w:rPr>
              <w:t>[5]</w:t>
            </w:r>
          </w:p>
        </w:tc>
        <w:tc>
          <w:tcPr>
            <w:tcW w:w="1170" w:type="dxa"/>
            <w:tcBorders>
              <w:left w:val="none" w:sz="0" w:space="0" w:color="auto"/>
              <w:right w:val="none" w:sz="0" w:space="0" w:color="auto"/>
            </w:tcBorders>
            <w:shd w:val="clear" w:color="auto" w:fill="D2EAF1"/>
            <w:noWrap/>
            <w:hideMark/>
          </w:tcPr>
          <w:p w:rsidR="008564A6" w:rsidRPr="00B75B77" w:rsidRDefault="008564A6" w:rsidP="002F3BF8">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18"/>
                <w:szCs w:val="18"/>
              </w:rPr>
            </w:pPr>
            <w:r w:rsidRPr="00B75B77">
              <w:rPr>
                <w:sz w:val="18"/>
                <w:szCs w:val="18"/>
              </w:rPr>
              <w:t>1.92</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tcBorders>
            <w:shd w:val="clear" w:color="auto" w:fill="D2EAF1"/>
            <w:hideMark/>
          </w:tcPr>
          <w:p w:rsidR="008564A6" w:rsidRPr="00B75B77" w:rsidRDefault="008564A6" w:rsidP="002F3BF8">
            <w:pPr>
              <w:keepNext/>
              <w:jc w:val="center"/>
              <w:rPr>
                <w:rFonts w:ascii="Calibri" w:eastAsia="Times New Roman" w:hAnsi="Calibri"/>
                <w:b/>
                <w:bCs/>
                <w:color w:val="000000"/>
                <w:sz w:val="18"/>
                <w:szCs w:val="18"/>
              </w:rPr>
            </w:pPr>
            <w:r w:rsidRPr="00B75B77">
              <w:rPr>
                <w:sz w:val="18"/>
                <w:szCs w:val="18"/>
              </w:rPr>
              <w:t>1.84</w:t>
            </w:r>
          </w:p>
        </w:tc>
      </w:tr>
      <w:tr w:rsidR="008564A6" w:rsidRPr="00B75B77" w:rsidTr="002D64A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2" w:type="dxa"/>
            <w:gridSpan w:val="4"/>
            <w:shd w:val="clear" w:color="auto" w:fill="auto"/>
          </w:tcPr>
          <w:p w:rsidR="008564A6" w:rsidRPr="00B75B77" w:rsidRDefault="008564A6" w:rsidP="002F3BF8">
            <w:pPr>
              <w:keepNext/>
              <w:jc w:val="left"/>
              <w:rPr>
                <w:rFonts w:ascii="Calibri" w:eastAsia="Times New Roman" w:hAnsi="Calibri"/>
                <w:b w:val="0"/>
                <w:iCs/>
                <w:color w:val="000000"/>
                <w:sz w:val="18"/>
                <w:szCs w:val="18"/>
              </w:rPr>
            </w:pPr>
            <w:r w:rsidRPr="00B75B77">
              <w:rPr>
                <w:rFonts w:ascii="Calibri" w:eastAsia="Times New Roman" w:hAnsi="Calibri"/>
                <w:b w:val="0"/>
                <w:iCs/>
                <w:color w:val="000000"/>
                <w:sz w:val="18"/>
                <w:szCs w:val="18"/>
              </w:rPr>
              <w:t>Per PUC direction, TRC inputs and calculations are required in the Annual Report only and should comply with the 2013 Total Resource Cost Test Order. Please see the “Report Definitions” section of this report for more details.</w:t>
            </w:r>
          </w:p>
          <w:p w:rsidR="008564A6" w:rsidRPr="00B75B77" w:rsidRDefault="008564A6" w:rsidP="002F3BF8">
            <w:pPr>
              <w:keepNext/>
              <w:jc w:val="left"/>
              <w:rPr>
                <w:rFonts w:ascii="Calibri" w:eastAsia="Times New Roman" w:hAnsi="Calibri"/>
                <w:b w:val="0"/>
                <w:i/>
                <w:iCs/>
                <w:color w:val="000000"/>
                <w:sz w:val="18"/>
                <w:szCs w:val="18"/>
              </w:rPr>
            </w:pPr>
          </w:p>
          <w:p w:rsidR="008564A6" w:rsidRPr="00B75B77" w:rsidRDefault="008564A6" w:rsidP="002F3BF8">
            <w:pPr>
              <w:keepNext/>
              <w:jc w:val="left"/>
              <w:rPr>
                <w:rFonts w:ascii="Calibri" w:eastAsia="Times New Roman" w:hAnsi="Calibri"/>
                <w:b w:val="0"/>
                <w:color w:val="000000"/>
                <w:sz w:val="18"/>
                <w:szCs w:val="18"/>
              </w:rPr>
            </w:pPr>
            <w:r w:rsidRPr="00B75B77">
              <w:rPr>
                <w:rFonts w:ascii="Calibri" w:eastAsia="Times New Roman" w:hAnsi="Calibri"/>
                <w:b w:val="0"/>
                <w:color w:val="000000"/>
                <w:sz w:val="18"/>
                <w:szCs w:val="18"/>
                <w:vertAlign w:val="superscript"/>
              </w:rPr>
              <w:t>[1]</w:t>
            </w:r>
            <w:r w:rsidRPr="00B75B77">
              <w:rPr>
                <w:rFonts w:ascii="Calibri" w:eastAsia="Times New Roman" w:hAnsi="Calibri"/>
                <w:b w:val="0"/>
                <w:color w:val="000000"/>
                <w:sz w:val="18"/>
                <w:szCs w:val="18"/>
              </w:rPr>
              <w:t xml:space="preserve"> Includes rebate processing, tracking system, general administration, EDC and CSP program management, general management</w:t>
            </w:r>
            <w:r w:rsidR="00871301" w:rsidRPr="00B75B77">
              <w:rPr>
                <w:rFonts w:ascii="Calibri" w:eastAsia="Times New Roman" w:hAnsi="Calibri"/>
                <w:b w:val="0"/>
                <w:color w:val="000000"/>
                <w:sz w:val="18"/>
                <w:szCs w:val="18"/>
              </w:rPr>
              <w:t>,</w:t>
            </w:r>
            <w:r w:rsidRPr="00B75B77">
              <w:rPr>
                <w:rFonts w:ascii="Calibri" w:eastAsia="Times New Roman" w:hAnsi="Calibri"/>
                <w:b w:val="0"/>
                <w:color w:val="000000"/>
                <w:sz w:val="18"/>
                <w:szCs w:val="18"/>
              </w:rPr>
              <w:t xml:space="preserve"> and legal and technical assistance. </w:t>
            </w:r>
            <w:r w:rsidRPr="00B75B77">
              <w:rPr>
                <w:rFonts w:ascii="Calibri" w:eastAsia="Times New Roman" w:hAnsi="Calibri"/>
                <w:b w:val="0"/>
                <w:color w:val="000000"/>
                <w:sz w:val="18"/>
                <w:szCs w:val="18"/>
              </w:rPr>
              <w:br/>
            </w:r>
            <w:r w:rsidRPr="00B75B77">
              <w:rPr>
                <w:rFonts w:ascii="Calibri" w:eastAsia="Times New Roman" w:hAnsi="Calibri"/>
                <w:b w:val="0"/>
                <w:color w:val="000000"/>
                <w:sz w:val="18"/>
                <w:szCs w:val="18"/>
                <w:vertAlign w:val="superscript"/>
              </w:rPr>
              <w:t>[2]</w:t>
            </w:r>
            <w:r w:rsidRPr="00B75B77">
              <w:rPr>
                <w:rFonts w:ascii="Calibri" w:eastAsia="Times New Roman" w:hAnsi="Calibri"/>
                <w:b w:val="0"/>
                <w:color w:val="000000"/>
                <w:sz w:val="18"/>
                <w:szCs w:val="18"/>
              </w:rPr>
              <w:t xml:space="preserve"> Includes the marketing CSP and marketing costs by program CSPs. </w:t>
            </w:r>
            <w:r w:rsidRPr="00B75B77">
              <w:rPr>
                <w:rFonts w:ascii="Calibri" w:eastAsia="Times New Roman" w:hAnsi="Calibri"/>
                <w:b w:val="0"/>
                <w:color w:val="000000"/>
                <w:sz w:val="18"/>
                <w:szCs w:val="18"/>
              </w:rPr>
              <w:br/>
            </w:r>
            <w:r w:rsidRPr="00B75B77">
              <w:rPr>
                <w:rFonts w:ascii="Calibri" w:eastAsia="Times New Roman" w:hAnsi="Calibri"/>
                <w:b w:val="0"/>
                <w:color w:val="000000"/>
                <w:sz w:val="18"/>
                <w:szCs w:val="18"/>
                <w:vertAlign w:val="superscript"/>
              </w:rPr>
              <w:t>[3]</w:t>
            </w:r>
            <w:r w:rsidRPr="00B75B77">
              <w:rPr>
                <w:rFonts w:ascii="Calibri" w:eastAsia="Times New Roman" w:hAnsi="Calibri"/>
                <w:b w:val="0"/>
                <w:color w:val="000000"/>
                <w:sz w:val="18"/>
                <w:szCs w:val="18"/>
              </w:rPr>
              <w:t xml:space="preserve"> Total TRC Costs includes Total EDC Costs and Participant Costs.</w:t>
            </w:r>
            <w:r w:rsidRPr="00B75B77">
              <w:rPr>
                <w:rFonts w:ascii="Calibri" w:eastAsia="Times New Roman" w:hAnsi="Calibri"/>
                <w:b w:val="0"/>
                <w:color w:val="000000"/>
                <w:sz w:val="18"/>
                <w:szCs w:val="18"/>
              </w:rPr>
              <w:br/>
            </w:r>
            <w:r w:rsidRPr="00B75B77">
              <w:rPr>
                <w:rFonts w:ascii="Calibri" w:eastAsia="Times New Roman" w:hAnsi="Calibri"/>
                <w:b w:val="0"/>
                <w:color w:val="000000"/>
                <w:sz w:val="18"/>
                <w:szCs w:val="18"/>
                <w:vertAlign w:val="superscript"/>
              </w:rPr>
              <w:t>[4]</w:t>
            </w:r>
            <w:r w:rsidRPr="00B75B77">
              <w:rPr>
                <w:rFonts w:ascii="Calibri" w:eastAsia="Times New Roman" w:hAnsi="Calibri"/>
                <w:b w:val="0"/>
                <w:color w:val="000000"/>
                <w:sz w:val="18"/>
                <w:szCs w:val="18"/>
              </w:rPr>
              <w:t xml:space="preserve"> Total TRC Benefits equals the sum of Total Lifetime Energy Benefits and Total Lifetime Capacity Benefits</w:t>
            </w:r>
            <w:r w:rsidR="00871301" w:rsidRPr="00B75B77">
              <w:rPr>
                <w:rFonts w:ascii="Calibri" w:eastAsia="Times New Roman" w:hAnsi="Calibri"/>
                <w:b w:val="0"/>
                <w:color w:val="000000"/>
                <w:sz w:val="18"/>
                <w:szCs w:val="18"/>
              </w:rPr>
              <w:t xml:space="preserve"> b</w:t>
            </w:r>
            <w:r w:rsidRPr="00B75B77">
              <w:rPr>
                <w:rFonts w:ascii="Calibri" w:eastAsia="Times New Roman" w:hAnsi="Calibri"/>
                <w:b w:val="0"/>
                <w:color w:val="000000"/>
                <w:sz w:val="18"/>
                <w:szCs w:val="18"/>
              </w:rPr>
              <w:t>ased upon verified gross kWh and kW savings. Benefits include avoided supply costs, including the reduction in costs of electric energy, generation, transmission, and distribution capacity, and natural gas valued at marginal cost for periods when there is a load reduction. NOTE: Savings carried over from Phase I are not to be included as a part of Total TRC Benefits for Phase II.</w:t>
            </w:r>
            <w:r w:rsidRPr="00B75B77">
              <w:rPr>
                <w:rFonts w:ascii="Calibri" w:eastAsia="Times New Roman" w:hAnsi="Calibri"/>
                <w:b w:val="0"/>
                <w:color w:val="000000"/>
                <w:sz w:val="18"/>
                <w:szCs w:val="18"/>
              </w:rPr>
              <w:br/>
            </w:r>
            <w:r w:rsidRPr="00B75B77">
              <w:rPr>
                <w:rFonts w:ascii="Calibri" w:eastAsia="Times New Roman" w:hAnsi="Calibri"/>
                <w:b w:val="0"/>
                <w:color w:val="000000"/>
                <w:sz w:val="18"/>
                <w:szCs w:val="18"/>
                <w:vertAlign w:val="superscript"/>
              </w:rPr>
              <w:t>[5]</w:t>
            </w:r>
            <w:r w:rsidRPr="00B75B77">
              <w:rPr>
                <w:rFonts w:ascii="Calibri" w:eastAsia="Times New Roman" w:hAnsi="Calibri"/>
                <w:b w:val="0"/>
                <w:color w:val="000000"/>
                <w:sz w:val="18"/>
                <w:szCs w:val="18"/>
              </w:rPr>
              <w:t xml:space="preserve"> TRC Ratio equals Total NPV TRC Benefits divided by Total NPV TRC Costs.</w:t>
            </w:r>
          </w:p>
          <w:p w:rsidR="008564A6" w:rsidRPr="00B75B77" w:rsidRDefault="008564A6" w:rsidP="002F3BF8">
            <w:pPr>
              <w:keepNext/>
              <w:jc w:val="left"/>
              <w:rPr>
                <w:rFonts w:ascii="Calibri" w:eastAsia="Times New Roman" w:hAnsi="Calibri"/>
                <w:b w:val="0"/>
                <w:color w:val="000000"/>
                <w:sz w:val="14"/>
                <w:szCs w:val="14"/>
              </w:rPr>
            </w:pPr>
          </w:p>
          <w:p w:rsidR="008564A6" w:rsidRPr="00B75B77" w:rsidRDefault="008564A6" w:rsidP="002F3BF8">
            <w:pPr>
              <w:keepNext/>
              <w:jc w:val="left"/>
              <w:rPr>
                <w:rFonts w:ascii="Calibri" w:eastAsia="Times New Roman" w:hAnsi="Calibri"/>
                <w:b w:val="0"/>
                <w:bCs w:val="0"/>
                <w:color w:val="000000"/>
                <w:sz w:val="20"/>
                <w:szCs w:val="20"/>
              </w:rPr>
            </w:pPr>
            <w:r w:rsidRPr="00B75B77">
              <w:rPr>
                <w:rFonts w:ascii="Calibri" w:hAnsi="Calibri"/>
                <w:b w:val="0"/>
                <w:color w:val="000000"/>
                <w:sz w:val="18"/>
                <w:szCs w:val="18"/>
              </w:rPr>
              <w:t xml:space="preserve">Values in tables may not reconcile exactly with </w:t>
            </w:r>
            <w:r w:rsidR="00871301" w:rsidRPr="00B75B77">
              <w:rPr>
                <w:rFonts w:ascii="Calibri" w:hAnsi="Calibri"/>
                <w:b w:val="0"/>
                <w:color w:val="000000"/>
                <w:sz w:val="18"/>
                <w:szCs w:val="18"/>
              </w:rPr>
              <w:t xml:space="preserve">the </w:t>
            </w:r>
            <w:r w:rsidRPr="00B75B77">
              <w:rPr>
                <w:rFonts w:ascii="Calibri" w:hAnsi="Calibri"/>
                <w:b w:val="0"/>
                <w:color w:val="000000"/>
                <w:sz w:val="18"/>
                <w:szCs w:val="18"/>
              </w:rPr>
              <w:t>sum of more detailed level results or previously reported results due to rounding.</w:t>
            </w:r>
          </w:p>
        </w:tc>
      </w:tr>
    </w:tbl>
    <w:p w:rsidR="008564A6" w:rsidRPr="00B75B77" w:rsidRDefault="008564A6" w:rsidP="002F3BF8">
      <w:pPr>
        <w:pStyle w:val="Source"/>
        <w:keepNext/>
        <w:ind w:left="270" w:hanging="90"/>
      </w:pPr>
      <w:r w:rsidRPr="00B75B77">
        <w:t>Source: Navigant analysis</w:t>
      </w:r>
    </w:p>
    <w:p w:rsidR="00547158" w:rsidRPr="00B75B77" w:rsidRDefault="00547158" w:rsidP="006F07FB"/>
    <w:p w:rsidR="006F07FB" w:rsidRPr="00B75B77" w:rsidRDefault="006F07FB" w:rsidP="006F07FB">
      <w:pPr>
        <w:sectPr w:rsidR="006F07FB" w:rsidRPr="00B75B77" w:rsidSect="00B5438D">
          <w:pgSz w:w="12240" w:h="15840" w:code="1"/>
          <w:pgMar w:top="1170" w:right="1440" w:bottom="1260" w:left="1440" w:header="576" w:footer="475" w:gutter="0"/>
          <w:cols w:space="720"/>
          <w:docGrid w:linePitch="360"/>
        </w:sectPr>
      </w:pPr>
    </w:p>
    <w:p w:rsidR="000478F2" w:rsidRPr="00B75B77" w:rsidRDefault="00B85F3B" w:rsidP="002C2973">
      <w:pPr>
        <w:pStyle w:val="Heading5"/>
      </w:pPr>
      <w:bookmarkStart w:id="992" w:name="_Toc466413476"/>
      <w:bookmarkStart w:id="993" w:name="_Toc309053095"/>
      <w:r w:rsidRPr="00B75B77">
        <w:lastRenderedPageBreak/>
        <w:t>EM&amp;V Information</w:t>
      </w:r>
      <w:bookmarkEnd w:id="992"/>
      <w:r w:rsidRPr="00B75B77">
        <w:t xml:space="preserve"> </w:t>
      </w:r>
    </w:p>
    <w:p w:rsidR="00343FCB" w:rsidRPr="00B75B77" w:rsidRDefault="00343FCB" w:rsidP="00610C2D">
      <w:pPr>
        <w:pStyle w:val="Heading6"/>
      </w:pPr>
      <w:bookmarkStart w:id="994" w:name="_Toc466413477"/>
      <w:r w:rsidRPr="00B75B77">
        <w:t>Participant Definitions</w:t>
      </w:r>
      <w:bookmarkEnd w:id="994"/>
    </w:p>
    <w:p w:rsidR="00343FCB" w:rsidRPr="00B75B77" w:rsidRDefault="00E02D8D" w:rsidP="00E02D8D">
      <w:pPr>
        <w:pStyle w:val="Caption"/>
      </w:pPr>
      <w:bookmarkStart w:id="995" w:name="_Ref307727710"/>
      <w:bookmarkStart w:id="996" w:name="_Toc466413654"/>
      <w:r w:rsidRPr="00B75B77">
        <w:t xml:space="preserve">Table </w:t>
      </w:r>
      <w:fldSimple w:instr=" STYLEREF 5 \s ">
        <w:r w:rsidR="0004016D">
          <w:rPr>
            <w:noProof/>
          </w:rPr>
          <w:t>A</w:t>
        </w:r>
      </w:fldSimple>
      <w:r w:rsidR="00502659" w:rsidRPr="00B75B77">
        <w:noBreakHyphen/>
      </w:r>
      <w:fldSimple w:instr=" SEQ Table_Apx \* ARABIC \s 5 ">
        <w:r w:rsidR="0004016D">
          <w:rPr>
            <w:noProof/>
          </w:rPr>
          <w:t>1</w:t>
        </w:r>
      </w:fldSimple>
      <w:r w:rsidRPr="00B75B77">
        <w:t>: PY7 Participant Definition by Program</w:t>
      </w:r>
      <w:bookmarkEnd w:id="995"/>
      <w:bookmarkEnd w:id="996"/>
    </w:p>
    <w:tbl>
      <w:tblPr>
        <w:tblStyle w:val="PECOTeal"/>
        <w:tblW w:w="5000" w:type="pct"/>
        <w:tblLayout w:type="fixed"/>
        <w:tblLook w:val="04A0" w:firstRow="1" w:lastRow="0" w:firstColumn="1" w:lastColumn="0" w:noHBand="0" w:noVBand="1"/>
      </w:tblPr>
      <w:tblGrid>
        <w:gridCol w:w="2051"/>
        <w:gridCol w:w="3022"/>
        <w:gridCol w:w="1954"/>
        <w:gridCol w:w="2549"/>
      </w:tblGrid>
      <w:tr w:rsidR="00E3061C" w:rsidRPr="00B75B77" w:rsidTr="004558DD">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71" w:type="pct"/>
            <w:hideMark/>
          </w:tcPr>
          <w:p w:rsidR="00E3061C" w:rsidRPr="00B75B77" w:rsidRDefault="00E3061C" w:rsidP="004558DD">
            <w:pPr>
              <w:jc w:val="center"/>
              <w:rPr>
                <w:bCs w:val="0"/>
                <w:szCs w:val="18"/>
              </w:rPr>
            </w:pPr>
            <w:r w:rsidRPr="00B75B77">
              <w:rPr>
                <w:bCs w:val="0"/>
                <w:szCs w:val="18"/>
              </w:rPr>
              <w:t>Program</w:t>
            </w:r>
          </w:p>
        </w:tc>
        <w:tc>
          <w:tcPr>
            <w:tcW w:w="1578" w:type="pct"/>
          </w:tcPr>
          <w:p w:rsidR="00E3061C" w:rsidRPr="00B75B77" w:rsidRDefault="00E3061C" w:rsidP="004558DD">
            <w:pPr>
              <w:jc w:val="center"/>
              <w:cnfStyle w:val="100000000000" w:firstRow="1" w:lastRow="0" w:firstColumn="0" w:lastColumn="0" w:oddVBand="0" w:evenVBand="0" w:oddHBand="0" w:evenHBand="0" w:firstRowFirstColumn="0" w:firstRowLastColumn="0" w:lastRowFirstColumn="0" w:lastRowLastColumn="0"/>
              <w:rPr>
                <w:bCs w:val="0"/>
                <w:szCs w:val="18"/>
              </w:rPr>
            </w:pPr>
            <w:r w:rsidRPr="00B75B77">
              <w:rPr>
                <w:bCs w:val="0"/>
                <w:szCs w:val="18"/>
              </w:rPr>
              <w:t>Participant Definition</w:t>
            </w:r>
          </w:p>
        </w:tc>
        <w:tc>
          <w:tcPr>
            <w:tcW w:w="1020" w:type="pct"/>
          </w:tcPr>
          <w:p w:rsidR="00E3061C" w:rsidRPr="00B75B77" w:rsidRDefault="00E3061C" w:rsidP="004558DD">
            <w:pPr>
              <w:jc w:val="center"/>
              <w:cnfStyle w:val="100000000000" w:firstRow="1" w:lastRow="0" w:firstColumn="0" w:lastColumn="0" w:oddVBand="0" w:evenVBand="0" w:oddHBand="0" w:evenHBand="0" w:firstRowFirstColumn="0" w:firstRowLastColumn="0" w:lastRowFirstColumn="0" w:lastRowLastColumn="0"/>
              <w:rPr>
                <w:bCs w:val="0"/>
                <w:szCs w:val="18"/>
              </w:rPr>
            </w:pPr>
            <w:r w:rsidRPr="00B75B77">
              <w:rPr>
                <w:bCs w:val="0"/>
                <w:szCs w:val="18"/>
              </w:rPr>
              <w:t>Can there be more than one measure per participant?</w:t>
            </w:r>
          </w:p>
        </w:tc>
        <w:tc>
          <w:tcPr>
            <w:tcW w:w="1331" w:type="pct"/>
          </w:tcPr>
          <w:p w:rsidR="00E3061C" w:rsidRPr="00B75B77" w:rsidRDefault="00E3061C" w:rsidP="004558DD">
            <w:pPr>
              <w:jc w:val="center"/>
              <w:cnfStyle w:val="100000000000" w:firstRow="1" w:lastRow="0" w:firstColumn="0" w:lastColumn="0" w:oddVBand="0" w:evenVBand="0" w:oddHBand="0" w:evenHBand="0" w:firstRowFirstColumn="0" w:firstRowLastColumn="0" w:lastRowFirstColumn="0" w:lastRowLastColumn="0"/>
              <w:rPr>
                <w:bCs w:val="0"/>
                <w:szCs w:val="18"/>
              </w:rPr>
            </w:pPr>
            <w:r w:rsidRPr="00B75B77">
              <w:rPr>
                <w:bCs w:val="0"/>
                <w:szCs w:val="18"/>
              </w:rPr>
              <w:t>Impact Sample Defined By:</w:t>
            </w:r>
          </w:p>
        </w:tc>
      </w:tr>
      <w:tr w:rsidR="00E3061C" w:rsidRPr="00B75B77" w:rsidTr="004558DD">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71" w:type="pct"/>
            <w:noWrap/>
            <w:hideMark/>
          </w:tcPr>
          <w:p w:rsidR="00E3061C" w:rsidRPr="00B75B77" w:rsidRDefault="00E3061C" w:rsidP="004558DD">
            <w:pPr>
              <w:jc w:val="left"/>
              <w:rPr>
                <w:b w:val="0"/>
                <w:szCs w:val="18"/>
              </w:rPr>
            </w:pPr>
            <w:r w:rsidRPr="00B75B77">
              <w:rPr>
                <w:b w:val="0"/>
                <w:szCs w:val="18"/>
              </w:rPr>
              <w:t>Smart Home Rebates</w:t>
            </w:r>
          </w:p>
        </w:tc>
        <w:tc>
          <w:tcPr>
            <w:tcW w:w="1578" w:type="pct"/>
          </w:tcPr>
          <w:p w:rsidR="00E3061C" w:rsidRPr="00B75B77" w:rsidRDefault="00E3061C" w:rsidP="004558DD">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B75B77">
              <w:rPr>
                <w:rFonts w:cs="Arial"/>
                <w:szCs w:val="18"/>
              </w:rPr>
              <w:t>One purchased measure</w:t>
            </w:r>
          </w:p>
        </w:tc>
        <w:tc>
          <w:tcPr>
            <w:tcW w:w="1020" w:type="pct"/>
          </w:tcPr>
          <w:p w:rsidR="00E3061C" w:rsidRPr="00B75B77" w:rsidRDefault="00E3061C" w:rsidP="004558DD">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B75B77">
              <w:rPr>
                <w:rFonts w:cs="Arial"/>
                <w:szCs w:val="18"/>
              </w:rPr>
              <w:t>Yes</w:t>
            </w:r>
          </w:p>
        </w:tc>
        <w:tc>
          <w:tcPr>
            <w:tcW w:w="1331" w:type="pct"/>
          </w:tcPr>
          <w:p w:rsidR="00E3061C" w:rsidRPr="00B75B77" w:rsidRDefault="00E3061C" w:rsidP="004558DD">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B75B77">
              <w:rPr>
                <w:rFonts w:cs="Arial"/>
                <w:szCs w:val="18"/>
              </w:rPr>
              <w:t xml:space="preserve">Measure </w:t>
            </w:r>
          </w:p>
        </w:tc>
      </w:tr>
      <w:tr w:rsidR="00E3061C" w:rsidRPr="00B75B77" w:rsidTr="004558DD">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71" w:type="pct"/>
            <w:noWrap/>
            <w:hideMark/>
          </w:tcPr>
          <w:p w:rsidR="00E3061C" w:rsidRPr="00B75B77" w:rsidRDefault="00E3061C" w:rsidP="004558DD">
            <w:pPr>
              <w:jc w:val="left"/>
              <w:rPr>
                <w:b w:val="0"/>
                <w:szCs w:val="18"/>
              </w:rPr>
            </w:pPr>
            <w:r w:rsidRPr="00B75B77">
              <w:rPr>
                <w:b w:val="0"/>
                <w:szCs w:val="18"/>
              </w:rPr>
              <w:t>Smart House Call</w:t>
            </w:r>
          </w:p>
        </w:tc>
        <w:tc>
          <w:tcPr>
            <w:tcW w:w="1578" w:type="pct"/>
          </w:tcPr>
          <w:p w:rsidR="00E3061C" w:rsidRPr="00B75B77" w:rsidRDefault="00E3061C"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One home</w:t>
            </w:r>
          </w:p>
        </w:tc>
        <w:tc>
          <w:tcPr>
            <w:tcW w:w="1020" w:type="pct"/>
          </w:tcPr>
          <w:p w:rsidR="00E3061C" w:rsidRPr="00B75B77" w:rsidRDefault="00E3061C"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Yes</w:t>
            </w:r>
          </w:p>
        </w:tc>
        <w:tc>
          <w:tcPr>
            <w:tcW w:w="1331" w:type="pct"/>
          </w:tcPr>
          <w:p w:rsidR="00E3061C" w:rsidRPr="00B75B77" w:rsidRDefault="00E3061C"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Home</w:t>
            </w:r>
          </w:p>
        </w:tc>
      </w:tr>
      <w:tr w:rsidR="00E3061C" w:rsidRPr="00B75B77" w:rsidTr="004558DD">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71" w:type="pct"/>
            <w:noWrap/>
            <w:hideMark/>
          </w:tcPr>
          <w:p w:rsidR="00E3061C" w:rsidRPr="00B75B77" w:rsidRDefault="00E3061C" w:rsidP="004558DD">
            <w:pPr>
              <w:jc w:val="left"/>
              <w:rPr>
                <w:b w:val="0"/>
                <w:szCs w:val="18"/>
              </w:rPr>
            </w:pPr>
            <w:r w:rsidRPr="00B75B77">
              <w:rPr>
                <w:b w:val="0"/>
                <w:szCs w:val="18"/>
              </w:rPr>
              <w:t>Smart Appliance Recycling</w:t>
            </w:r>
          </w:p>
        </w:tc>
        <w:tc>
          <w:tcPr>
            <w:tcW w:w="1578" w:type="pct"/>
          </w:tcPr>
          <w:p w:rsidR="00E3061C" w:rsidRPr="00B75B77" w:rsidRDefault="00E3061C" w:rsidP="004558DD">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B75B77">
              <w:rPr>
                <w:rFonts w:cs="Arial"/>
                <w:szCs w:val="18"/>
              </w:rPr>
              <w:t>One appliance</w:t>
            </w:r>
          </w:p>
        </w:tc>
        <w:tc>
          <w:tcPr>
            <w:tcW w:w="1020" w:type="pct"/>
          </w:tcPr>
          <w:p w:rsidR="00E3061C" w:rsidRPr="00B75B77" w:rsidRDefault="00E3061C" w:rsidP="004558DD">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B75B77">
              <w:rPr>
                <w:rFonts w:cs="Arial"/>
                <w:szCs w:val="18"/>
              </w:rPr>
              <w:t>Yes</w:t>
            </w:r>
          </w:p>
        </w:tc>
        <w:tc>
          <w:tcPr>
            <w:tcW w:w="1331" w:type="pct"/>
          </w:tcPr>
          <w:p w:rsidR="00E3061C" w:rsidRPr="00B75B77" w:rsidRDefault="00E3061C" w:rsidP="004558DD">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B75B77">
              <w:rPr>
                <w:rFonts w:cs="Arial"/>
                <w:szCs w:val="18"/>
              </w:rPr>
              <w:t xml:space="preserve">Measure </w:t>
            </w:r>
          </w:p>
        </w:tc>
      </w:tr>
      <w:tr w:rsidR="00E3061C" w:rsidRPr="00B75B77" w:rsidTr="004558DD">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71" w:type="pct"/>
            <w:noWrap/>
            <w:hideMark/>
          </w:tcPr>
          <w:p w:rsidR="00E3061C" w:rsidRPr="00B75B77" w:rsidRDefault="00E3061C" w:rsidP="004558DD">
            <w:pPr>
              <w:jc w:val="left"/>
              <w:rPr>
                <w:b w:val="0"/>
                <w:szCs w:val="18"/>
              </w:rPr>
            </w:pPr>
            <w:r w:rsidRPr="00B75B77">
              <w:rPr>
                <w:b w:val="0"/>
                <w:szCs w:val="18"/>
              </w:rPr>
              <w:t>Smart Usage Profile</w:t>
            </w:r>
          </w:p>
        </w:tc>
        <w:tc>
          <w:tcPr>
            <w:tcW w:w="1578" w:type="pct"/>
          </w:tcPr>
          <w:p w:rsidR="00E3061C" w:rsidRPr="00B75B77" w:rsidRDefault="00E3061C"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One home</w:t>
            </w:r>
          </w:p>
        </w:tc>
        <w:tc>
          <w:tcPr>
            <w:tcW w:w="1020" w:type="pct"/>
          </w:tcPr>
          <w:p w:rsidR="00E3061C" w:rsidRPr="00B75B77" w:rsidRDefault="00E3061C"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No</w:t>
            </w:r>
          </w:p>
        </w:tc>
        <w:tc>
          <w:tcPr>
            <w:tcW w:w="1331" w:type="pct"/>
          </w:tcPr>
          <w:p w:rsidR="00E3061C" w:rsidRPr="00B75B77" w:rsidRDefault="00E3061C"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Home</w:t>
            </w:r>
          </w:p>
        </w:tc>
      </w:tr>
      <w:tr w:rsidR="00E3061C" w:rsidRPr="00B75B77" w:rsidTr="004558DD">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71" w:type="pct"/>
            <w:noWrap/>
            <w:hideMark/>
          </w:tcPr>
          <w:p w:rsidR="00E3061C" w:rsidRPr="00B75B77" w:rsidRDefault="00E3061C" w:rsidP="004558DD">
            <w:pPr>
              <w:jc w:val="left"/>
              <w:rPr>
                <w:b w:val="0"/>
                <w:szCs w:val="18"/>
              </w:rPr>
            </w:pPr>
            <w:r w:rsidRPr="00B75B77">
              <w:rPr>
                <w:b w:val="0"/>
                <w:szCs w:val="18"/>
              </w:rPr>
              <w:t>Smart Energy Saver</w:t>
            </w:r>
          </w:p>
        </w:tc>
        <w:tc>
          <w:tcPr>
            <w:tcW w:w="1578" w:type="pct"/>
          </w:tcPr>
          <w:p w:rsidR="00E3061C" w:rsidRPr="00B75B77" w:rsidRDefault="00E3061C" w:rsidP="004558DD">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B75B77">
              <w:rPr>
                <w:rFonts w:cs="Arial"/>
                <w:szCs w:val="18"/>
              </w:rPr>
              <w:t>One kit</w:t>
            </w:r>
          </w:p>
        </w:tc>
        <w:tc>
          <w:tcPr>
            <w:tcW w:w="1020" w:type="pct"/>
          </w:tcPr>
          <w:p w:rsidR="00E3061C" w:rsidRPr="00B75B77" w:rsidRDefault="00E3061C" w:rsidP="004558DD">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B75B77">
              <w:rPr>
                <w:rFonts w:cs="Arial"/>
                <w:szCs w:val="18"/>
              </w:rPr>
              <w:t>Yes</w:t>
            </w:r>
          </w:p>
        </w:tc>
        <w:tc>
          <w:tcPr>
            <w:tcW w:w="1331" w:type="pct"/>
          </w:tcPr>
          <w:p w:rsidR="00E3061C" w:rsidRPr="00B75B77" w:rsidRDefault="00E3061C" w:rsidP="004558DD">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B75B77">
              <w:rPr>
                <w:rFonts w:cs="Arial"/>
                <w:szCs w:val="18"/>
              </w:rPr>
              <w:t>Kit</w:t>
            </w:r>
          </w:p>
        </w:tc>
      </w:tr>
      <w:tr w:rsidR="00E3061C" w:rsidRPr="00B75B77" w:rsidTr="004558DD">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71" w:type="pct"/>
            <w:noWrap/>
          </w:tcPr>
          <w:p w:rsidR="00E3061C" w:rsidRPr="00B75B77" w:rsidRDefault="00E3061C" w:rsidP="004558DD">
            <w:pPr>
              <w:jc w:val="left"/>
              <w:rPr>
                <w:b w:val="0"/>
                <w:szCs w:val="18"/>
              </w:rPr>
            </w:pPr>
            <w:r w:rsidRPr="00B75B77">
              <w:rPr>
                <w:b w:val="0"/>
                <w:szCs w:val="18"/>
              </w:rPr>
              <w:t>Smart Builder Rebates</w:t>
            </w:r>
          </w:p>
        </w:tc>
        <w:tc>
          <w:tcPr>
            <w:tcW w:w="1578" w:type="pct"/>
          </w:tcPr>
          <w:p w:rsidR="00E3061C" w:rsidRPr="00B75B77" w:rsidRDefault="00E3061C"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One home</w:t>
            </w:r>
          </w:p>
        </w:tc>
        <w:tc>
          <w:tcPr>
            <w:tcW w:w="1020" w:type="pct"/>
          </w:tcPr>
          <w:p w:rsidR="00E3061C" w:rsidRPr="00B75B77" w:rsidRDefault="00E3061C"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No</w:t>
            </w:r>
          </w:p>
        </w:tc>
        <w:tc>
          <w:tcPr>
            <w:tcW w:w="1331" w:type="pct"/>
          </w:tcPr>
          <w:p w:rsidR="00E3061C" w:rsidRPr="00B75B77" w:rsidRDefault="00E3061C"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 xml:space="preserve">Home </w:t>
            </w:r>
          </w:p>
        </w:tc>
      </w:tr>
      <w:tr w:rsidR="00E3061C" w:rsidRPr="00B75B77" w:rsidTr="004558DD">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71" w:type="pct"/>
            <w:noWrap/>
          </w:tcPr>
          <w:p w:rsidR="00E3061C" w:rsidRPr="00B75B77" w:rsidRDefault="00E3061C" w:rsidP="004558DD">
            <w:pPr>
              <w:jc w:val="left"/>
              <w:rPr>
                <w:b w:val="0"/>
                <w:szCs w:val="18"/>
              </w:rPr>
            </w:pPr>
            <w:r w:rsidRPr="00B75B77">
              <w:rPr>
                <w:b w:val="0"/>
                <w:szCs w:val="18"/>
              </w:rPr>
              <w:t>Low Income Energy Efficiency Program</w:t>
            </w:r>
          </w:p>
        </w:tc>
        <w:tc>
          <w:tcPr>
            <w:tcW w:w="1578" w:type="pct"/>
          </w:tcPr>
          <w:p w:rsidR="00E3061C" w:rsidRPr="00B75B77" w:rsidRDefault="00E3061C" w:rsidP="004558DD">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B75B77">
              <w:rPr>
                <w:rFonts w:cs="Arial"/>
                <w:szCs w:val="18"/>
              </w:rPr>
              <w:t>One home</w:t>
            </w:r>
          </w:p>
        </w:tc>
        <w:tc>
          <w:tcPr>
            <w:tcW w:w="1020" w:type="pct"/>
          </w:tcPr>
          <w:p w:rsidR="00E3061C" w:rsidRPr="00B75B77" w:rsidRDefault="00E3061C" w:rsidP="004558DD">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B75B77">
              <w:rPr>
                <w:rFonts w:cs="Arial"/>
                <w:szCs w:val="18"/>
              </w:rPr>
              <w:t>Yes</w:t>
            </w:r>
          </w:p>
        </w:tc>
        <w:tc>
          <w:tcPr>
            <w:tcW w:w="1331" w:type="pct"/>
          </w:tcPr>
          <w:p w:rsidR="00E3061C" w:rsidRPr="00B75B77" w:rsidRDefault="00E3061C" w:rsidP="004558DD">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B75B77">
              <w:rPr>
                <w:rFonts w:cs="Arial"/>
                <w:szCs w:val="18"/>
              </w:rPr>
              <w:t>Home</w:t>
            </w:r>
          </w:p>
        </w:tc>
      </w:tr>
      <w:tr w:rsidR="00E3061C" w:rsidRPr="00B75B77" w:rsidTr="004558DD">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71" w:type="pct"/>
            <w:noWrap/>
          </w:tcPr>
          <w:p w:rsidR="00E3061C" w:rsidRPr="00B75B77" w:rsidRDefault="00E3061C" w:rsidP="004558DD">
            <w:pPr>
              <w:jc w:val="left"/>
              <w:rPr>
                <w:b w:val="0"/>
                <w:szCs w:val="18"/>
              </w:rPr>
            </w:pPr>
            <w:r w:rsidRPr="00B75B77">
              <w:rPr>
                <w:b w:val="0"/>
                <w:szCs w:val="18"/>
              </w:rPr>
              <w:t xml:space="preserve">Smart AC Saver </w:t>
            </w:r>
          </w:p>
        </w:tc>
        <w:tc>
          <w:tcPr>
            <w:tcW w:w="1578" w:type="pct"/>
          </w:tcPr>
          <w:p w:rsidR="00E3061C" w:rsidRPr="00B75B77" w:rsidRDefault="00E3061C"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One home</w:t>
            </w:r>
          </w:p>
        </w:tc>
        <w:tc>
          <w:tcPr>
            <w:tcW w:w="1020" w:type="pct"/>
          </w:tcPr>
          <w:p w:rsidR="00E3061C" w:rsidRPr="00B75B77" w:rsidRDefault="00E3061C"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Yes</w:t>
            </w:r>
          </w:p>
        </w:tc>
        <w:tc>
          <w:tcPr>
            <w:tcW w:w="1331" w:type="pct"/>
          </w:tcPr>
          <w:p w:rsidR="00E3061C" w:rsidRPr="00B75B77" w:rsidRDefault="00E3061C"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N/A</w:t>
            </w:r>
          </w:p>
        </w:tc>
      </w:tr>
      <w:tr w:rsidR="00E3061C" w:rsidRPr="00B75B77" w:rsidTr="004558DD">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71" w:type="pct"/>
            <w:noWrap/>
          </w:tcPr>
          <w:p w:rsidR="00E3061C" w:rsidRPr="00B75B77" w:rsidRDefault="00E3061C" w:rsidP="004558DD">
            <w:pPr>
              <w:jc w:val="left"/>
              <w:rPr>
                <w:b w:val="0"/>
                <w:szCs w:val="18"/>
              </w:rPr>
            </w:pPr>
            <w:r w:rsidRPr="00B75B77">
              <w:rPr>
                <w:b w:val="0"/>
                <w:szCs w:val="18"/>
              </w:rPr>
              <w:t xml:space="preserve">Smart Equipment Incentives </w:t>
            </w:r>
          </w:p>
        </w:tc>
        <w:tc>
          <w:tcPr>
            <w:tcW w:w="1578" w:type="pct"/>
          </w:tcPr>
          <w:p w:rsidR="00E3061C" w:rsidRPr="00B75B77" w:rsidRDefault="00E3061C" w:rsidP="004558DD">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B75B77">
              <w:rPr>
                <w:rFonts w:cs="Arial"/>
                <w:szCs w:val="18"/>
              </w:rPr>
              <w:t>Unique project number</w:t>
            </w:r>
          </w:p>
        </w:tc>
        <w:tc>
          <w:tcPr>
            <w:tcW w:w="1020" w:type="pct"/>
          </w:tcPr>
          <w:p w:rsidR="00E3061C" w:rsidRPr="00B75B77" w:rsidRDefault="00E3061C" w:rsidP="004558DD">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B75B77">
              <w:rPr>
                <w:rFonts w:cs="Arial"/>
                <w:szCs w:val="18"/>
              </w:rPr>
              <w:t>Yes</w:t>
            </w:r>
          </w:p>
        </w:tc>
        <w:tc>
          <w:tcPr>
            <w:tcW w:w="1331" w:type="pct"/>
          </w:tcPr>
          <w:p w:rsidR="00E3061C" w:rsidRPr="00B75B77" w:rsidRDefault="00E3061C" w:rsidP="004558DD">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B75B77">
              <w:rPr>
                <w:rFonts w:cs="Arial"/>
                <w:szCs w:val="18"/>
              </w:rPr>
              <w:t xml:space="preserve">Project </w:t>
            </w:r>
          </w:p>
        </w:tc>
      </w:tr>
      <w:tr w:rsidR="00E3061C" w:rsidRPr="00B75B77" w:rsidTr="004558DD">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71" w:type="pct"/>
            <w:noWrap/>
          </w:tcPr>
          <w:p w:rsidR="00E3061C" w:rsidRPr="00B75B77" w:rsidRDefault="00E3061C" w:rsidP="004558DD">
            <w:pPr>
              <w:jc w:val="left"/>
              <w:rPr>
                <w:b w:val="0"/>
                <w:szCs w:val="18"/>
              </w:rPr>
            </w:pPr>
            <w:r w:rsidRPr="00B75B77">
              <w:rPr>
                <w:b w:val="0"/>
                <w:szCs w:val="18"/>
              </w:rPr>
              <w:t>Smart Construction Incentives</w:t>
            </w:r>
          </w:p>
        </w:tc>
        <w:tc>
          <w:tcPr>
            <w:tcW w:w="1578" w:type="pct"/>
          </w:tcPr>
          <w:p w:rsidR="00E3061C" w:rsidRPr="00B75B77" w:rsidRDefault="00E3061C"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Unique project number</w:t>
            </w:r>
          </w:p>
        </w:tc>
        <w:tc>
          <w:tcPr>
            <w:tcW w:w="1020" w:type="pct"/>
          </w:tcPr>
          <w:p w:rsidR="00E3061C" w:rsidRPr="00B75B77" w:rsidRDefault="00E3061C"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Yes</w:t>
            </w:r>
          </w:p>
        </w:tc>
        <w:tc>
          <w:tcPr>
            <w:tcW w:w="1331" w:type="pct"/>
          </w:tcPr>
          <w:p w:rsidR="00E3061C" w:rsidRPr="00B75B77" w:rsidRDefault="00E3061C"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Project</w:t>
            </w:r>
          </w:p>
        </w:tc>
      </w:tr>
      <w:tr w:rsidR="00E3061C" w:rsidRPr="00B75B77" w:rsidTr="004558DD">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71" w:type="pct"/>
            <w:noWrap/>
          </w:tcPr>
          <w:p w:rsidR="00E3061C" w:rsidRPr="00B75B77" w:rsidRDefault="00E3061C" w:rsidP="004558DD">
            <w:pPr>
              <w:jc w:val="left"/>
              <w:rPr>
                <w:b w:val="0"/>
                <w:szCs w:val="18"/>
              </w:rPr>
            </w:pPr>
            <w:r w:rsidRPr="00B75B77">
              <w:rPr>
                <w:b w:val="0"/>
                <w:szCs w:val="18"/>
              </w:rPr>
              <w:t>Smart Multi-Family Solutions</w:t>
            </w:r>
          </w:p>
        </w:tc>
        <w:tc>
          <w:tcPr>
            <w:tcW w:w="1578" w:type="pct"/>
          </w:tcPr>
          <w:p w:rsidR="00E3061C" w:rsidRPr="00B75B77" w:rsidRDefault="00E3061C" w:rsidP="004558DD">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B75B77">
              <w:rPr>
                <w:rFonts w:cs="Arial"/>
                <w:szCs w:val="18"/>
              </w:rPr>
              <w:t>Unique account ID (meter)</w:t>
            </w:r>
          </w:p>
        </w:tc>
        <w:tc>
          <w:tcPr>
            <w:tcW w:w="1020" w:type="pct"/>
          </w:tcPr>
          <w:p w:rsidR="00E3061C" w:rsidRPr="00B75B77" w:rsidRDefault="00E3061C" w:rsidP="004558DD">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B75B77">
              <w:rPr>
                <w:rFonts w:cs="Arial"/>
                <w:szCs w:val="18"/>
              </w:rPr>
              <w:t xml:space="preserve">Yes </w:t>
            </w:r>
          </w:p>
        </w:tc>
        <w:tc>
          <w:tcPr>
            <w:tcW w:w="1331" w:type="pct"/>
          </w:tcPr>
          <w:p w:rsidR="00E3061C" w:rsidRPr="00B75B77" w:rsidRDefault="00E3061C" w:rsidP="004558DD">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B75B77">
              <w:rPr>
                <w:rFonts w:cs="Arial"/>
                <w:szCs w:val="18"/>
              </w:rPr>
              <w:t>Meter</w:t>
            </w:r>
          </w:p>
        </w:tc>
      </w:tr>
      <w:tr w:rsidR="00E3061C" w:rsidRPr="00B75B77" w:rsidTr="004558DD">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71" w:type="pct"/>
            <w:noWrap/>
          </w:tcPr>
          <w:p w:rsidR="00E3061C" w:rsidRPr="00B75B77" w:rsidRDefault="00E3061C" w:rsidP="004558DD">
            <w:pPr>
              <w:jc w:val="left"/>
              <w:rPr>
                <w:b w:val="0"/>
                <w:szCs w:val="18"/>
              </w:rPr>
            </w:pPr>
            <w:r w:rsidRPr="00B75B77">
              <w:rPr>
                <w:b w:val="0"/>
                <w:szCs w:val="18"/>
              </w:rPr>
              <w:t>Smart On-Site</w:t>
            </w:r>
          </w:p>
        </w:tc>
        <w:tc>
          <w:tcPr>
            <w:tcW w:w="1578" w:type="pct"/>
          </w:tcPr>
          <w:p w:rsidR="00E3061C" w:rsidRPr="00B75B77" w:rsidRDefault="00E3061C"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Unique project number</w:t>
            </w:r>
          </w:p>
        </w:tc>
        <w:tc>
          <w:tcPr>
            <w:tcW w:w="1020" w:type="pct"/>
          </w:tcPr>
          <w:p w:rsidR="00E3061C" w:rsidRPr="00B75B77" w:rsidRDefault="00E3061C"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No</w:t>
            </w:r>
          </w:p>
        </w:tc>
        <w:tc>
          <w:tcPr>
            <w:tcW w:w="1331" w:type="pct"/>
          </w:tcPr>
          <w:p w:rsidR="00E3061C" w:rsidRPr="00B75B77" w:rsidRDefault="00E3061C" w:rsidP="004558DD">
            <w:pPr>
              <w:tabs>
                <w:tab w:val="right" w:pos="1981"/>
              </w:tabs>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 xml:space="preserve">Project </w:t>
            </w:r>
          </w:p>
        </w:tc>
      </w:tr>
      <w:tr w:rsidR="00E3061C" w:rsidRPr="00B75B77" w:rsidTr="004558DD">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71" w:type="pct"/>
            <w:noWrap/>
          </w:tcPr>
          <w:p w:rsidR="00E3061C" w:rsidRPr="00B75B77" w:rsidRDefault="00E3061C" w:rsidP="004558DD">
            <w:pPr>
              <w:jc w:val="left"/>
              <w:rPr>
                <w:b w:val="0"/>
                <w:szCs w:val="18"/>
              </w:rPr>
            </w:pPr>
            <w:r w:rsidRPr="00B75B77">
              <w:rPr>
                <w:b w:val="0"/>
                <w:szCs w:val="18"/>
              </w:rPr>
              <w:t>Smart Business Solutions</w:t>
            </w:r>
          </w:p>
        </w:tc>
        <w:tc>
          <w:tcPr>
            <w:tcW w:w="1578" w:type="pct"/>
          </w:tcPr>
          <w:p w:rsidR="00E3061C" w:rsidRPr="00B75B77" w:rsidRDefault="00E3061C" w:rsidP="004558DD">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B75B77">
              <w:rPr>
                <w:rFonts w:cs="Arial"/>
                <w:szCs w:val="18"/>
              </w:rPr>
              <w:t>Unique project number</w:t>
            </w:r>
          </w:p>
        </w:tc>
        <w:tc>
          <w:tcPr>
            <w:tcW w:w="1020" w:type="pct"/>
          </w:tcPr>
          <w:p w:rsidR="00E3061C" w:rsidRPr="00B75B77" w:rsidRDefault="00E3061C" w:rsidP="004558DD">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B75B77">
              <w:rPr>
                <w:rFonts w:cs="Arial"/>
                <w:szCs w:val="18"/>
              </w:rPr>
              <w:t>Yes</w:t>
            </w:r>
          </w:p>
        </w:tc>
        <w:tc>
          <w:tcPr>
            <w:tcW w:w="1331" w:type="pct"/>
          </w:tcPr>
          <w:p w:rsidR="00E3061C" w:rsidRPr="00B75B77" w:rsidRDefault="00E3061C" w:rsidP="004558DD">
            <w:pPr>
              <w:tabs>
                <w:tab w:val="right" w:pos="1981"/>
              </w:tabs>
              <w:jc w:val="center"/>
              <w:cnfStyle w:val="000000100000" w:firstRow="0" w:lastRow="0" w:firstColumn="0" w:lastColumn="0" w:oddVBand="0" w:evenVBand="0" w:oddHBand="1" w:evenHBand="0" w:firstRowFirstColumn="0" w:firstRowLastColumn="0" w:lastRowFirstColumn="0" w:lastRowLastColumn="0"/>
              <w:rPr>
                <w:rFonts w:cs="Arial"/>
                <w:szCs w:val="18"/>
              </w:rPr>
            </w:pPr>
            <w:r w:rsidRPr="00B75B77">
              <w:rPr>
                <w:rFonts w:cs="Arial"/>
                <w:szCs w:val="18"/>
              </w:rPr>
              <w:t xml:space="preserve">Project </w:t>
            </w:r>
          </w:p>
        </w:tc>
      </w:tr>
    </w:tbl>
    <w:p w:rsidR="004E77DB" w:rsidRPr="00B75B77" w:rsidRDefault="004E77DB" w:rsidP="004E77DB">
      <w:pPr>
        <w:pStyle w:val="Source"/>
        <w:keepNext/>
        <w:ind w:left="270" w:hanging="90"/>
      </w:pPr>
      <w:r w:rsidRPr="00B75B77">
        <w:t>Source: Navigant analysis</w:t>
      </w:r>
    </w:p>
    <w:p w:rsidR="00E3061C" w:rsidRPr="00B75B77" w:rsidRDefault="00E3061C" w:rsidP="00E3061C"/>
    <w:p w:rsidR="00502659" w:rsidRPr="00B75B77" w:rsidRDefault="00502659">
      <w:pPr>
        <w:jc w:val="left"/>
        <w:rPr>
          <w:rFonts w:ascii="Century Gothic" w:eastAsia="Times New Roman" w:hAnsi="Century Gothic"/>
          <w:b/>
          <w:iCs/>
          <w:smallCaps/>
          <w:sz w:val="24"/>
        </w:rPr>
      </w:pPr>
      <w:r w:rsidRPr="00B75B77">
        <w:br w:type="page"/>
      </w:r>
    </w:p>
    <w:p w:rsidR="00343FCB" w:rsidRPr="00B75B77" w:rsidRDefault="00302AA8" w:rsidP="00E071FF">
      <w:pPr>
        <w:pStyle w:val="Heading6"/>
      </w:pPr>
      <w:bookmarkStart w:id="997" w:name="_Toc466413478"/>
      <w:r w:rsidRPr="00B75B77">
        <w:lastRenderedPageBreak/>
        <w:t>PY7</w:t>
      </w:r>
      <w:r w:rsidR="00343FCB" w:rsidRPr="00B75B77">
        <w:t xml:space="preserve"> Evaluation Activities</w:t>
      </w:r>
      <w:bookmarkEnd w:id="997"/>
    </w:p>
    <w:p w:rsidR="00E02D8D" w:rsidRPr="00B75B77" w:rsidRDefault="00E02D8D" w:rsidP="00E02D8D">
      <w:pPr>
        <w:pStyle w:val="Caption"/>
      </w:pPr>
      <w:bookmarkStart w:id="998" w:name="_Toc466413655"/>
      <w:r w:rsidRPr="00B75B77">
        <w:t xml:space="preserve">Table </w:t>
      </w:r>
      <w:fldSimple w:instr=" STYLEREF 5 \s ">
        <w:r w:rsidR="0004016D">
          <w:rPr>
            <w:noProof/>
          </w:rPr>
          <w:t>A</w:t>
        </w:r>
      </w:fldSimple>
      <w:r w:rsidR="00502659" w:rsidRPr="00B75B77">
        <w:noBreakHyphen/>
      </w:r>
      <w:fldSimple w:instr=" SEQ Table_Apx \* ARABIC \s 5 ">
        <w:r w:rsidR="0004016D">
          <w:rPr>
            <w:noProof/>
          </w:rPr>
          <w:t>2</w:t>
        </w:r>
      </w:fldSimple>
      <w:r w:rsidRPr="00B75B77">
        <w:t>: PY7 Actual Evaluation Activities</w:t>
      </w:r>
      <w:bookmarkEnd w:id="998"/>
    </w:p>
    <w:tbl>
      <w:tblPr>
        <w:tblStyle w:val="PECOTeal"/>
        <w:tblW w:w="5000" w:type="pct"/>
        <w:tblLayout w:type="fixed"/>
        <w:tblLook w:val="04A0" w:firstRow="1" w:lastRow="0" w:firstColumn="1" w:lastColumn="0" w:noHBand="0" w:noVBand="1"/>
      </w:tblPr>
      <w:tblGrid>
        <w:gridCol w:w="1891"/>
        <w:gridCol w:w="1281"/>
        <w:gridCol w:w="1281"/>
        <w:gridCol w:w="1281"/>
        <w:gridCol w:w="1454"/>
        <w:gridCol w:w="1109"/>
        <w:gridCol w:w="1279"/>
      </w:tblGrid>
      <w:tr w:rsidR="007862B4" w:rsidRPr="00B75B77" w:rsidTr="004558DD">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987" w:type="pct"/>
            <w:hideMark/>
          </w:tcPr>
          <w:p w:rsidR="007862B4" w:rsidRPr="00B75B77" w:rsidRDefault="007862B4" w:rsidP="004558DD">
            <w:pPr>
              <w:jc w:val="left"/>
              <w:rPr>
                <w:bCs w:val="0"/>
                <w:szCs w:val="18"/>
              </w:rPr>
            </w:pPr>
            <w:r w:rsidRPr="00B75B77">
              <w:rPr>
                <w:bCs w:val="0"/>
                <w:szCs w:val="18"/>
              </w:rPr>
              <w:t>Programs</w:t>
            </w:r>
          </w:p>
        </w:tc>
        <w:tc>
          <w:tcPr>
            <w:tcW w:w="669" w:type="pct"/>
          </w:tcPr>
          <w:p w:rsidR="007862B4" w:rsidRPr="00B75B77" w:rsidRDefault="007862B4" w:rsidP="004558DD">
            <w:pPr>
              <w:jc w:val="center"/>
              <w:cnfStyle w:val="100000000000" w:firstRow="1" w:lastRow="0" w:firstColumn="0" w:lastColumn="0" w:oddVBand="0" w:evenVBand="0" w:oddHBand="0" w:evenHBand="0" w:firstRowFirstColumn="0" w:firstRowLastColumn="0" w:lastRowFirstColumn="0" w:lastRowLastColumn="0"/>
              <w:rPr>
                <w:bCs w:val="0"/>
                <w:szCs w:val="18"/>
              </w:rPr>
            </w:pPr>
            <w:r w:rsidRPr="00B75B77">
              <w:rPr>
                <w:bCs w:val="0"/>
                <w:szCs w:val="18"/>
              </w:rPr>
              <w:t>Sectors</w:t>
            </w:r>
          </w:p>
        </w:tc>
        <w:tc>
          <w:tcPr>
            <w:tcW w:w="669" w:type="pct"/>
            <w:hideMark/>
          </w:tcPr>
          <w:p w:rsidR="007862B4" w:rsidRPr="00B75B77" w:rsidRDefault="007862B4" w:rsidP="004558DD">
            <w:pPr>
              <w:jc w:val="center"/>
              <w:cnfStyle w:val="100000000000" w:firstRow="1" w:lastRow="0" w:firstColumn="0" w:lastColumn="0" w:oddVBand="0" w:evenVBand="0" w:oddHBand="0" w:evenHBand="0" w:firstRowFirstColumn="0" w:firstRowLastColumn="0" w:lastRowFirstColumn="0" w:lastRowLastColumn="0"/>
              <w:rPr>
                <w:bCs w:val="0"/>
                <w:szCs w:val="18"/>
              </w:rPr>
            </w:pPr>
            <w:r w:rsidRPr="00B75B77">
              <w:rPr>
                <w:bCs w:val="0"/>
                <w:szCs w:val="18"/>
              </w:rPr>
              <w:t>Records Review</w:t>
            </w:r>
          </w:p>
        </w:tc>
        <w:tc>
          <w:tcPr>
            <w:tcW w:w="669" w:type="pct"/>
            <w:hideMark/>
          </w:tcPr>
          <w:p w:rsidR="007862B4" w:rsidRPr="00B75B77" w:rsidRDefault="007862B4" w:rsidP="004558DD">
            <w:pPr>
              <w:jc w:val="center"/>
              <w:cnfStyle w:val="100000000000" w:firstRow="1" w:lastRow="0" w:firstColumn="0" w:lastColumn="0" w:oddVBand="0" w:evenVBand="0" w:oddHBand="0" w:evenHBand="0" w:firstRowFirstColumn="0" w:firstRowLastColumn="0" w:lastRowFirstColumn="0" w:lastRowLastColumn="0"/>
              <w:rPr>
                <w:bCs w:val="0"/>
                <w:szCs w:val="18"/>
              </w:rPr>
            </w:pPr>
            <w:r w:rsidRPr="00B75B77">
              <w:rPr>
                <w:bCs w:val="0"/>
                <w:szCs w:val="18"/>
              </w:rPr>
              <w:t>Participant Surveys</w:t>
            </w:r>
          </w:p>
        </w:tc>
        <w:tc>
          <w:tcPr>
            <w:tcW w:w="759" w:type="pct"/>
            <w:hideMark/>
          </w:tcPr>
          <w:p w:rsidR="007862B4" w:rsidRPr="00B75B77" w:rsidRDefault="007862B4" w:rsidP="004558DD">
            <w:pPr>
              <w:jc w:val="center"/>
              <w:cnfStyle w:val="100000000000" w:firstRow="1" w:lastRow="0" w:firstColumn="0" w:lastColumn="0" w:oddVBand="0" w:evenVBand="0" w:oddHBand="0" w:evenHBand="0" w:firstRowFirstColumn="0" w:firstRowLastColumn="0" w:lastRowFirstColumn="0" w:lastRowLastColumn="0"/>
              <w:rPr>
                <w:bCs w:val="0"/>
                <w:szCs w:val="18"/>
              </w:rPr>
            </w:pPr>
            <w:r w:rsidRPr="00B75B77">
              <w:rPr>
                <w:bCs w:val="0"/>
                <w:szCs w:val="18"/>
              </w:rPr>
              <w:t>Nonparticipant Surveys</w:t>
            </w:r>
          </w:p>
        </w:tc>
        <w:tc>
          <w:tcPr>
            <w:tcW w:w="579" w:type="pct"/>
            <w:hideMark/>
          </w:tcPr>
          <w:p w:rsidR="007862B4" w:rsidRPr="00B75B77" w:rsidRDefault="007862B4" w:rsidP="004558DD">
            <w:pPr>
              <w:jc w:val="center"/>
              <w:cnfStyle w:val="100000000000" w:firstRow="1" w:lastRow="0" w:firstColumn="0" w:lastColumn="0" w:oddVBand="0" w:evenVBand="0" w:oddHBand="0" w:evenHBand="0" w:firstRowFirstColumn="0" w:firstRowLastColumn="0" w:lastRowFirstColumn="0" w:lastRowLastColumn="0"/>
              <w:rPr>
                <w:bCs w:val="0"/>
                <w:szCs w:val="18"/>
              </w:rPr>
            </w:pPr>
            <w:r w:rsidRPr="00B75B77">
              <w:rPr>
                <w:bCs w:val="0"/>
                <w:szCs w:val="18"/>
              </w:rPr>
              <w:t>Site Visits</w:t>
            </w:r>
          </w:p>
        </w:tc>
        <w:tc>
          <w:tcPr>
            <w:tcW w:w="668" w:type="pct"/>
            <w:hideMark/>
          </w:tcPr>
          <w:p w:rsidR="007862B4" w:rsidRPr="00B75B77" w:rsidRDefault="007862B4" w:rsidP="00851875">
            <w:pPr>
              <w:jc w:val="center"/>
              <w:cnfStyle w:val="100000000000" w:firstRow="1" w:lastRow="0" w:firstColumn="0" w:lastColumn="0" w:oddVBand="0" w:evenVBand="0" w:oddHBand="0" w:evenHBand="0" w:firstRowFirstColumn="0" w:firstRowLastColumn="0" w:lastRowFirstColumn="0" w:lastRowLastColumn="0"/>
              <w:rPr>
                <w:bCs w:val="0"/>
                <w:szCs w:val="18"/>
              </w:rPr>
            </w:pPr>
            <w:r w:rsidRPr="00B75B77">
              <w:rPr>
                <w:bCs w:val="0"/>
                <w:szCs w:val="18"/>
              </w:rPr>
              <w:t>Metering</w:t>
            </w:r>
            <w:r w:rsidR="00851875" w:rsidRPr="00B75B77">
              <w:rPr>
                <w:sz w:val="22"/>
                <w:vertAlign w:val="superscript"/>
              </w:rPr>
              <w:t>[1]</w:t>
            </w:r>
          </w:p>
        </w:tc>
      </w:tr>
      <w:tr w:rsidR="007862B4" w:rsidRPr="00B75B77" w:rsidTr="004558DD">
        <w:trPr>
          <w:cnfStyle w:val="000000100000" w:firstRow="0" w:lastRow="0" w:firstColumn="0" w:lastColumn="0" w:oddVBand="0" w:evenVBand="0" w:oddHBand="1"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987" w:type="pct"/>
            <w:noWrap/>
          </w:tcPr>
          <w:p w:rsidR="007862B4" w:rsidRPr="00B75B77" w:rsidRDefault="007862B4" w:rsidP="004558DD">
            <w:pPr>
              <w:jc w:val="left"/>
              <w:rPr>
                <w:rFonts w:cs="Arial"/>
                <w:b w:val="0"/>
                <w:szCs w:val="18"/>
              </w:rPr>
            </w:pPr>
            <w:r w:rsidRPr="00B75B77">
              <w:rPr>
                <w:b w:val="0"/>
                <w:szCs w:val="18"/>
              </w:rPr>
              <w:t>Smart Home Rebates</w:t>
            </w:r>
          </w:p>
        </w:tc>
        <w:tc>
          <w:tcPr>
            <w:tcW w:w="669" w:type="pct"/>
          </w:tcPr>
          <w:p w:rsidR="007862B4" w:rsidRPr="00B75B77" w:rsidRDefault="007862B4" w:rsidP="004558DD">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B75B77">
              <w:rPr>
                <w:rFonts w:cs="Arial"/>
                <w:szCs w:val="18"/>
              </w:rPr>
              <w:t xml:space="preserve">Residential </w:t>
            </w:r>
          </w:p>
        </w:tc>
        <w:tc>
          <w:tcPr>
            <w:tcW w:w="669" w:type="pct"/>
            <w:noWrap/>
          </w:tcPr>
          <w:p w:rsidR="007862B4" w:rsidRPr="00B75B77" w:rsidRDefault="007862B4" w:rsidP="004558DD">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B75B77">
              <w:rPr>
                <w:rFonts w:cs="Arial"/>
                <w:szCs w:val="18"/>
              </w:rPr>
              <w:t>3,614,977</w:t>
            </w:r>
          </w:p>
        </w:tc>
        <w:tc>
          <w:tcPr>
            <w:tcW w:w="669" w:type="pct"/>
            <w:noWrap/>
          </w:tcPr>
          <w:p w:rsidR="007862B4" w:rsidRPr="00B75B77" w:rsidRDefault="007862B4" w:rsidP="004558DD">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B75B77">
              <w:rPr>
                <w:rFonts w:cs="Arial"/>
                <w:szCs w:val="18"/>
              </w:rPr>
              <w:t>744</w:t>
            </w:r>
          </w:p>
        </w:tc>
        <w:tc>
          <w:tcPr>
            <w:tcW w:w="759" w:type="pct"/>
            <w:noWrap/>
          </w:tcPr>
          <w:p w:rsidR="007862B4" w:rsidRPr="00B75B77" w:rsidRDefault="007862B4" w:rsidP="004558DD">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B75B77">
              <w:rPr>
                <w:rFonts w:cs="Arial"/>
                <w:szCs w:val="18"/>
              </w:rPr>
              <w:t>N/A</w:t>
            </w:r>
          </w:p>
        </w:tc>
        <w:tc>
          <w:tcPr>
            <w:tcW w:w="579" w:type="pct"/>
            <w:noWrap/>
          </w:tcPr>
          <w:p w:rsidR="007862B4" w:rsidRPr="00B75B77" w:rsidRDefault="007862B4" w:rsidP="004558DD">
            <w:pPr>
              <w:spacing w:before="30" w:after="3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B75B77">
              <w:rPr>
                <w:rFonts w:cs="Arial"/>
                <w:szCs w:val="18"/>
              </w:rPr>
              <w:t>N/A</w:t>
            </w:r>
          </w:p>
        </w:tc>
        <w:tc>
          <w:tcPr>
            <w:tcW w:w="668" w:type="pct"/>
            <w:noWrap/>
          </w:tcPr>
          <w:p w:rsidR="007862B4" w:rsidRPr="00B75B77" w:rsidRDefault="007862B4" w:rsidP="004558DD">
            <w:pPr>
              <w:spacing w:before="30" w:after="3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B75B77">
              <w:rPr>
                <w:rFonts w:cs="Arial"/>
                <w:szCs w:val="18"/>
              </w:rPr>
              <w:t>N/A</w:t>
            </w:r>
          </w:p>
        </w:tc>
      </w:tr>
      <w:tr w:rsidR="007862B4" w:rsidRPr="00B75B77" w:rsidTr="004558DD">
        <w:trPr>
          <w:cnfStyle w:val="000000010000" w:firstRow="0" w:lastRow="0" w:firstColumn="0" w:lastColumn="0" w:oddVBand="0" w:evenVBand="0" w:oddHBand="0" w:evenHBand="1"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987" w:type="pct"/>
            <w:noWrap/>
          </w:tcPr>
          <w:p w:rsidR="007862B4" w:rsidRPr="00B75B77" w:rsidRDefault="007862B4" w:rsidP="004558DD">
            <w:pPr>
              <w:jc w:val="left"/>
              <w:rPr>
                <w:rFonts w:cs="Arial"/>
                <w:b w:val="0"/>
                <w:szCs w:val="18"/>
              </w:rPr>
            </w:pPr>
            <w:r w:rsidRPr="00B75B77">
              <w:rPr>
                <w:b w:val="0"/>
                <w:szCs w:val="18"/>
              </w:rPr>
              <w:t>Smart House Call</w:t>
            </w:r>
          </w:p>
        </w:tc>
        <w:tc>
          <w:tcPr>
            <w:tcW w:w="669" w:type="pct"/>
          </w:tcPr>
          <w:p w:rsidR="007862B4" w:rsidRPr="00B75B77" w:rsidRDefault="007862B4"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Residential</w:t>
            </w:r>
          </w:p>
        </w:tc>
        <w:tc>
          <w:tcPr>
            <w:tcW w:w="669" w:type="pct"/>
            <w:noWrap/>
          </w:tcPr>
          <w:p w:rsidR="007862B4" w:rsidRPr="00B75B77" w:rsidRDefault="007862B4"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130</w:t>
            </w:r>
          </w:p>
        </w:tc>
        <w:tc>
          <w:tcPr>
            <w:tcW w:w="669" w:type="pct"/>
            <w:noWrap/>
          </w:tcPr>
          <w:p w:rsidR="007862B4" w:rsidRPr="00B75B77" w:rsidRDefault="007862B4"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130</w:t>
            </w:r>
          </w:p>
        </w:tc>
        <w:tc>
          <w:tcPr>
            <w:tcW w:w="759" w:type="pct"/>
            <w:noWrap/>
          </w:tcPr>
          <w:p w:rsidR="007862B4" w:rsidRPr="00B75B77" w:rsidRDefault="007862B4"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N/A</w:t>
            </w:r>
          </w:p>
        </w:tc>
        <w:tc>
          <w:tcPr>
            <w:tcW w:w="579" w:type="pct"/>
            <w:noWrap/>
          </w:tcPr>
          <w:p w:rsidR="007862B4" w:rsidRPr="00B75B77" w:rsidRDefault="007862B4"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N/A</w:t>
            </w:r>
          </w:p>
        </w:tc>
        <w:tc>
          <w:tcPr>
            <w:tcW w:w="668" w:type="pct"/>
            <w:noWrap/>
          </w:tcPr>
          <w:p w:rsidR="007862B4" w:rsidRPr="00B75B77" w:rsidRDefault="007862B4"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N/A</w:t>
            </w:r>
          </w:p>
        </w:tc>
      </w:tr>
      <w:tr w:rsidR="007862B4" w:rsidRPr="00B75B77" w:rsidTr="004558DD">
        <w:trPr>
          <w:cnfStyle w:val="000000100000" w:firstRow="0" w:lastRow="0" w:firstColumn="0" w:lastColumn="0" w:oddVBand="0" w:evenVBand="0" w:oddHBand="1"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987" w:type="pct"/>
            <w:noWrap/>
          </w:tcPr>
          <w:p w:rsidR="007862B4" w:rsidRPr="00B75B77" w:rsidRDefault="007862B4" w:rsidP="004558DD">
            <w:pPr>
              <w:jc w:val="left"/>
              <w:rPr>
                <w:rFonts w:cs="Arial"/>
                <w:b w:val="0"/>
                <w:szCs w:val="18"/>
              </w:rPr>
            </w:pPr>
            <w:r w:rsidRPr="00B75B77">
              <w:rPr>
                <w:b w:val="0"/>
                <w:szCs w:val="18"/>
              </w:rPr>
              <w:t>Smart Appliance Recycling</w:t>
            </w:r>
          </w:p>
        </w:tc>
        <w:tc>
          <w:tcPr>
            <w:tcW w:w="669" w:type="pct"/>
          </w:tcPr>
          <w:p w:rsidR="007862B4" w:rsidRPr="00B75B77" w:rsidRDefault="007862B4" w:rsidP="004558DD">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B75B77">
              <w:rPr>
                <w:rFonts w:cs="Arial"/>
                <w:szCs w:val="18"/>
              </w:rPr>
              <w:t>Residential</w:t>
            </w:r>
          </w:p>
        </w:tc>
        <w:tc>
          <w:tcPr>
            <w:tcW w:w="669" w:type="pct"/>
            <w:noWrap/>
          </w:tcPr>
          <w:p w:rsidR="007862B4" w:rsidRPr="00B75B77" w:rsidRDefault="007862B4" w:rsidP="004558DD">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B75B77">
              <w:rPr>
                <w:rFonts w:cs="Arial"/>
                <w:szCs w:val="18"/>
              </w:rPr>
              <w:t>9,693</w:t>
            </w:r>
          </w:p>
        </w:tc>
        <w:tc>
          <w:tcPr>
            <w:tcW w:w="669" w:type="pct"/>
            <w:noWrap/>
          </w:tcPr>
          <w:p w:rsidR="007862B4" w:rsidRPr="00B75B77" w:rsidRDefault="007862B4" w:rsidP="004558DD">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B75B77">
              <w:rPr>
                <w:rFonts w:cs="Arial"/>
                <w:szCs w:val="18"/>
              </w:rPr>
              <w:t>200</w:t>
            </w:r>
          </w:p>
        </w:tc>
        <w:tc>
          <w:tcPr>
            <w:tcW w:w="759" w:type="pct"/>
            <w:noWrap/>
          </w:tcPr>
          <w:p w:rsidR="007862B4" w:rsidRPr="00B75B77" w:rsidRDefault="007862B4" w:rsidP="004558DD">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B75B77">
              <w:rPr>
                <w:rFonts w:cs="Arial"/>
                <w:szCs w:val="18"/>
              </w:rPr>
              <w:t>N/A</w:t>
            </w:r>
          </w:p>
        </w:tc>
        <w:tc>
          <w:tcPr>
            <w:tcW w:w="579" w:type="pct"/>
            <w:noWrap/>
          </w:tcPr>
          <w:p w:rsidR="007862B4" w:rsidRPr="00B75B77" w:rsidRDefault="007862B4" w:rsidP="004558DD">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B75B77">
              <w:rPr>
                <w:rFonts w:cs="Arial"/>
                <w:szCs w:val="18"/>
              </w:rPr>
              <w:t>N/A</w:t>
            </w:r>
          </w:p>
        </w:tc>
        <w:tc>
          <w:tcPr>
            <w:tcW w:w="668" w:type="pct"/>
            <w:noWrap/>
          </w:tcPr>
          <w:p w:rsidR="007862B4" w:rsidRPr="00B75B77" w:rsidRDefault="007862B4" w:rsidP="004558DD">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B75B77">
              <w:rPr>
                <w:rFonts w:cs="Arial"/>
                <w:szCs w:val="18"/>
              </w:rPr>
              <w:t>N/A</w:t>
            </w:r>
          </w:p>
        </w:tc>
      </w:tr>
      <w:tr w:rsidR="007862B4" w:rsidRPr="00B75B77" w:rsidTr="004558DD">
        <w:trPr>
          <w:cnfStyle w:val="000000010000" w:firstRow="0" w:lastRow="0" w:firstColumn="0" w:lastColumn="0" w:oddVBand="0" w:evenVBand="0" w:oddHBand="0" w:evenHBand="1"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987" w:type="pct"/>
            <w:noWrap/>
          </w:tcPr>
          <w:p w:rsidR="007862B4" w:rsidRPr="00B75B77" w:rsidRDefault="007862B4" w:rsidP="004558DD">
            <w:pPr>
              <w:jc w:val="left"/>
              <w:rPr>
                <w:rFonts w:cs="Arial"/>
                <w:b w:val="0"/>
                <w:szCs w:val="18"/>
              </w:rPr>
            </w:pPr>
            <w:r w:rsidRPr="00B75B77">
              <w:rPr>
                <w:b w:val="0"/>
                <w:szCs w:val="18"/>
              </w:rPr>
              <w:t>Smart Usage Profile</w:t>
            </w:r>
          </w:p>
        </w:tc>
        <w:tc>
          <w:tcPr>
            <w:tcW w:w="669" w:type="pct"/>
          </w:tcPr>
          <w:p w:rsidR="007862B4" w:rsidRPr="00B75B77" w:rsidRDefault="007862B4"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Residential</w:t>
            </w:r>
          </w:p>
        </w:tc>
        <w:tc>
          <w:tcPr>
            <w:tcW w:w="669" w:type="pct"/>
            <w:noWrap/>
          </w:tcPr>
          <w:p w:rsidR="007862B4" w:rsidRPr="00B75B77" w:rsidRDefault="007862B4"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159,076</w:t>
            </w:r>
          </w:p>
        </w:tc>
        <w:tc>
          <w:tcPr>
            <w:tcW w:w="669" w:type="pct"/>
            <w:noWrap/>
          </w:tcPr>
          <w:p w:rsidR="007862B4" w:rsidRPr="00B75B77" w:rsidRDefault="007862B4"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N/A</w:t>
            </w:r>
          </w:p>
        </w:tc>
        <w:tc>
          <w:tcPr>
            <w:tcW w:w="759" w:type="pct"/>
            <w:noWrap/>
          </w:tcPr>
          <w:p w:rsidR="007862B4" w:rsidRPr="00B75B77" w:rsidRDefault="007862B4"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N/A</w:t>
            </w:r>
          </w:p>
        </w:tc>
        <w:tc>
          <w:tcPr>
            <w:tcW w:w="579" w:type="pct"/>
            <w:noWrap/>
          </w:tcPr>
          <w:p w:rsidR="007862B4" w:rsidRPr="00B75B77" w:rsidRDefault="007862B4"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N/A</w:t>
            </w:r>
          </w:p>
        </w:tc>
        <w:tc>
          <w:tcPr>
            <w:tcW w:w="668" w:type="pct"/>
            <w:noWrap/>
          </w:tcPr>
          <w:p w:rsidR="007862B4" w:rsidRPr="00B75B77" w:rsidRDefault="007862B4"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N/A</w:t>
            </w:r>
          </w:p>
        </w:tc>
      </w:tr>
      <w:tr w:rsidR="007862B4" w:rsidRPr="00B75B77" w:rsidTr="004558DD">
        <w:trPr>
          <w:cnfStyle w:val="000000100000" w:firstRow="0" w:lastRow="0" w:firstColumn="0" w:lastColumn="0" w:oddVBand="0" w:evenVBand="0" w:oddHBand="1"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987" w:type="pct"/>
            <w:noWrap/>
          </w:tcPr>
          <w:p w:rsidR="007862B4" w:rsidRPr="00B75B77" w:rsidRDefault="007862B4" w:rsidP="004558DD">
            <w:pPr>
              <w:jc w:val="left"/>
              <w:rPr>
                <w:rFonts w:cs="Arial"/>
                <w:b w:val="0"/>
                <w:szCs w:val="18"/>
              </w:rPr>
            </w:pPr>
            <w:r w:rsidRPr="00B75B77">
              <w:rPr>
                <w:b w:val="0"/>
                <w:szCs w:val="18"/>
              </w:rPr>
              <w:t>Smart Energy Saver</w:t>
            </w:r>
          </w:p>
        </w:tc>
        <w:tc>
          <w:tcPr>
            <w:tcW w:w="669" w:type="pct"/>
          </w:tcPr>
          <w:p w:rsidR="007862B4" w:rsidRPr="00B75B77" w:rsidRDefault="007862B4" w:rsidP="004558DD">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B75B77">
              <w:rPr>
                <w:rFonts w:cs="Arial"/>
                <w:szCs w:val="18"/>
              </w:rPr>
              <w:t>Residential</w:t>
            </w:r>
          </w:p>
        </w:tc>
        <w:tc>
          <w:tcPr>
            <w:tcW w:w="669" w:type="pct"/>
            <w:noWrap/>
          </w:tcPr>
          <w:p w:rsidR="007862B4" w:rsidRPr="00B75B77" w:rsidRDefault="007862B4" w:rsidP="004558DD">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B75B77">
              <w:rPr>
                <w:rFonts w:cs="Arial"/>
                <w:szCs w:val="18"/>
              </w:rPr>
              <w:t>73,365</w:t>
            </w:r>
          </w:p>
        </w:tc>
        <w:tc>
          <w:tcPr>
            <w:tcW w:w="669" w:type="pct"/>
            <w:noWrap/>
          </w:tcPr>
          <w:p w:rsidR="007862B4" w:rsidRPr="00B75B77" w:rsidRDefault="007862B4" w:rsidP="004558DD">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B75B77">
              <w:rPr>
                <w:rFonts w:cs="Arial"/>
                <w:szCs w:val="18"/>
              </w:rPr>
              <w:t>N/A</w:t>
            </w:r>
          </w:p>
        </w:tc>
        <w:tc>
          <w:tcPr>
            <w:tcW w:w="759" w:type="pct"/>
            <w:noWrap/>
          </w:tcPr>
          <w:p w:rsidR="007862B4" w:rsidRPr="00B75B77" w:rsidRDefault="007862B4" w:rsidP="004558DD">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B75B77">
              <w:rPr>
                <w:rFonts w:cs="Arial"/>
                <w:szCs w:val="18"/>
              </w:rPr>
              <w:t>N/A</w:t>
            </w:r>
          </w:p>
        </w:tc>
        <w:tc>
          <w:tcPr>
            <w:tcW w:w="579" w:type="pct"/>
            <w:noWrap/>
          </w:tcPr>
          <w:p w:rsidR="007862B4" w:rsidRPr="00B75B77" w:rsidRDefault="007862B4" w:rsidP="004558DD">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B75B77">
              <w:rPr>
                <w:rFonts w:cs="Arial"/>
                <w:szCs w:val="18"/>
              </w:rPr>
              <w:t>N/A</w:t>
            </w:r>
          </w:p>
        </w:tc>
        <w:tc>
          <w:tcPr>
            <w:tcW w:w="668" w:type="pct"/>
            <w:noWrap/>
          </w:tcPr>
          <w:p w:rsidR="007862B4" w:rsidRPr="00B75B77" w:rsidRDefault="007862B4" w:rsidP="004558DD">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B75B77">
              <w:rPr>
                <w:rFonts w:cs="Arial"/>
                <w:szCs w:val="18"/>
              </w:rPr>
              <w:t>N/A</w:t>
            </w:r>
          </w:p>
        </w:tc>
      </w:tr>
      <w:tr w:rsidR="007862B4" w:rsidRPr="00B75B77" w:rsidTr="004558DD">
        <w:trPr>
          <w:cnfStyle w:val="000000010000" w:firstRow="0" w:lastRow="0" w:firstColumn="0" w:lastColumn="0" w:oddVBand="0" w:evenVBand="0" w:oddHBand="0" w:evenHBand="1"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987" w:type="pct"/>
            <w:noWrap/>
          </w:tcPr>
          <w:p w:rsidR="007862B4" w:rsidRPr="00B75B77" w:rsidRDefault="007862B4" w:rsidP="004558DD">
            <w:pPr>
              <w:jc w:val="left"/>
              <w:rPr>
                <w:rFonts w:cs="Arial"/>
                <w:b w:val="0"/>
                <w:szCs w:val="18"/>
              </w:rPr>
            </w:pPr>
            <w:r w:rsidRPr="00B75B77">
              <w:rPr>
                <w:b w:val="0"/>
                <w:szCs w:val="18"/>
              </w:rPr>
              <w:t>Smart Builder Rebates</w:t>
            </w:r>
          </w:p>
        </w:tc>
        <w:tc>
          <w:tcPr>
            <w:tcW w:w="669" w:type="pct"/>
          </w:tcPr>
          <w:p w:rsidR="007862B4" w:rsidRPr="00B75B77" w:rsidRDefault="007862B4"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Residential</w:t>
            </w:r>
          </w:p>
        </w:tc>
        <w:tc>
          <w:tcPr>
            <w:tcW w:w="669" w:type="pct"/>
            <w:noWrap/>
          </w:tcPr>
          <w:p w:rsidR="007862B4" w:rsidRPr="00B75B77" w:rsidRDefault="007862B4"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10</w:t>
            </w:r>
          </w:p>
        </w:tc>
        <w:tc>
          <w:tcPr>
            <w:tcW w:w="669" w:type="pct"/>
            <w:noWrap/>
          </w:tcPr>
          <w:p w:rsidR="007862B4" w:rsidRPr="00B75B77" w:rsidRDefault="007862B4"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7</w:t>
            </w:r>
          </w:p>
        </w:tc>
        <w:tc>
          <w:tcPr>
            <w:tcW w:w="759" w:type="pct"/>
            <w:noWrap/>
          </w:tcPr>
          <w:p w:rsidR="007862B4" w:rsidRPr="00B75B77" w:rsidRDefault="007862B4"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N/A</w:t>
            </w:r>
          </w:p>
        </w:tc>
        <w:tc>
          <w:tcPr>
            <w:tcW w:w="579" w:type="pct"/>
            <w:noWrap/>
          </w:tcPr>
          <w:p w:rsidR="007862B4" w:rsidRPr="00B75B77" w:rsidRDefault="007862B4"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N/A</w:t>
            </w:r>
          </w:p>
        </w:tc>
        <w:tc>
          <w:tcPr>
            <w:tcW w:w="668" w:type="pct"/>
            <w:noWrap/>
          </w:tcPr>
          <w:p w:rsidR="007862B4" w:rsidRPr="00B75B77" w:rsidRDefault="007862B4"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N/A</w:t>
            </w:r>
          </w:p>
        </w:tc>
      </w:tr>
      <w:tr w:rsidR="007862B4" w:rsidRPr="00B75B77" w:rsidTr="004558DD">
        <w:trPr>
          <w:cnfStyle w:val="000000100000" w:firstRow="0" w:lastRow="0" w:firstColumn="0" w:lastColumn="0" w:oddVBand="0" w:evenVBand="0" w:oddHBand="1"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987" w:type="pct"/>
            <w:noWrap/>
          </w:tcPr>
          <w:p w:rsidR="007862B4" w:rsidRPr="00B75B77" w:rsidRDefault="007862B4" w:rsidP="004558DD">
            <w:pPr>
              <w:jc w:val="left"/>
              <w:rPr>
                <w:rFonts w:cs="Arial"/>
                <w:b w:val="0"/>
                <w:szCs w:val="18"/>
              </w:rPr>
            </w:pPr>
            <w:r w:rsidRPr="00B75B77">
              <w:rPr>
                <w:b w:val="0"/>
                <w:szCs w:val="18"/>
              </w:rPr>
              <w:t>Low Income Energy Efficiency Program</w:t>
            </w:r>
          </w:p>
        </w:tc>
        <w:tc>
          <w:tcPr>
            <w:tcW w:w="669" w:type="pct"/>
          </w:tcPr>
          <w:p w:rsidR="007862B4" w:rsidRPr="00B75B77" w:rsidRDefault="007862B4" w:rsidP="004558DD">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B75B77">
              <w:rPr>
                <w:rFonts w:cs="Arial"/>
                <w:szCs w:val="18"/>
              </w:rPr>
              <w:t>Low Income Residential</w:t>
            </w:r>
          </w:p>
        </w:tc>
        <w:tc>
          <w:tcPr>
            <w:tcW w:w="669" w:type="pct"/>
            <w:noWrap/>
          </w:tcPr>
          <w:p w:rsidR="007862B4" w:rsidRPr="00B75B77" w:rsidRDefault="007862B4" w:rsidP="004558DD">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B75B77">
              <w:rPr>
                <w:rFonts w:eastAsia="Times New Roman"/>
                <w:szCs w:val="18"/>
              </w:rPr>
              <w:t>514,660</w:t>
            </w:r>
          </w:p>
        </w:tc>
        <w:tc>
          <w:tcPr>
            <w:tcW w:w="669" w:type="pct"/>
            <w:noWrap/>
          </w:tcPr>
          <w:p w:rsidR="007862B4" w:rsidRPr="00B75B77" w:rsidRDefault="007862B4" w:rsidP="004558DD">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B75B77">
              <w:rPr>
                <w:rFonts w:cs="Arial"/>
                <w:szCs w:val="18"/>
              </w:rPr>
              <w:t>90</w:t>
            </w:r>
          </w:p>
        </w:tc>
        <w:tc>
          <w:tcPr>
            <w:tcW w:w="759" w:type="pct"/>
            <w:noWrap/>
          </w:tcPr>
          <w:p w:rsidR="007862B4" w:rsidRPr="00B75B77" w:rsidRDefault="007862B4" w:rsidP="004558DD">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B75B77">
              <w:rPr>
                <w:rFonts w:cs="Arial"/>
                <w:szCs w:val="18"/>
              </w:rPr>
              <w:t>N/A</w:t>
            </w:r>
          </w:p>
        </w:tc>
        <w:tc>
          <w:tcPr>
            <w:tcW w:w="579" w:type="pct"/>
            <w:noWrap/>
          </w:tcPr>
          <w:p w:rsidR="007862B4" w:rsidRPr="00B75B77" w:rsidRDefault="00851875" w:rsidP="004558DD">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B75B77">
              <w:rPr>
                <w:rFonts w:cs="Arial"/>
                <w:szCs w:val="18"/>
              </w:rPr>
              <w:t>19</w:t>
            </w:r>
          </w:p>
        </w:tc>
        <w:tc>
          <w:tcPr>
            <w:tcW w:w="668" w:type="pct"/>
            <w:noWrap/>
          </w:tcPr>
          <w:p w:rsidR="007862B4" w:rsidRPr="00B75B77" w:rsidRDefault="007862B4" w:rsidP="004558DD">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B75B77">
              <w:rPr>
                <w:rFonts w:cs="Arial"/>
                <w:szCs w:val="18"/>
              </w:rPr>
              <w:t>N/A</w:t>
            </w:r>
          </w:p>
        </w:tc>
      </w:tr>
      <w:tr w:rsidR="007862B4" w:rsidRPr="00B75B77" w:rsidTr="004558DD">
        <w:trPr>
          <w:cnfStyle w:val="000000010000" w:firstRow="0" w:lastRow="0" w:firstColumn="0" w:lastColumn="0" w:oddVBand="0" w:evenVBand="0" w:oddHBand="0" w:evenHBand="1"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987" w:type="pct"/>
            <w:noWrap/>
          </w:tcPr>
          <w:p w:rsidR="007862B4" w:rsidRPr="00B75B77" w:rsidRDefault="007862B4" w:rsidP="004558DD">
            <w:pPr>
              <w:jc w:val="left"/>
              <w:rPr>
                <w:rFonts w:cs="Arial"/>
                <w:b w:val="0"/>
                <w:szCs w:val="18"/>
              </w:rPr>
            </w:pPr>
            <w:r w:rsidRPr="00B75B77">
              <w:rPr>
                <w:b w:val="0"/>
                <w:szCs w:val="18"/>
              </w:rPr>
              <w:t xml:space="preserve">Smart AC Saver </w:t>
            </w:r>
          </w:p>
        </w:tc>
        <w:tc>
          <w:tcPr>
            <w:tcW w:w="669" w:type="pct"/>
          </w:tcPr>
          <w:p w:rsidR="007862B4" w:rsidRPr="00B75B77" w:rsidRDefault="007862B4"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Residential and C&amp;I</w:t>
            </w:r>
          </w:p>
        </w:tc>
        <w:tc>
          <w:tcPr>
            <w:tcW w:w="669" w:type="pct"/>
            <w:noWrap/>
          </w:tcPr>
          <w:p w:rsidR="007862B4" w:rsidRPr="00B75B77" w:rsidRDefault="007862B4"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94 (Res)</w:t>
            </w:r>
            <w:r w:rsidRPr="00B75B77">
              <w:rPr>
                <w:rFonts w:cs="Arial"/>
                <w:szCs w:val="18"/>
              </w:rPr>
              <w:br/>
              <w:t>91 (C&amp;I)</w:t>
            </w:r>
          </w:p>
        </w:tc>
        <w:tc>
          <w:tcPr>
            <w:tcW w:w="669" w:type="pct"/>
            <w:noWrap/>
          </w:tcPr>
          <w:p w:rsidR="007862B4" w:rsidRPr="00B75B77" w:rsidRDefault="007862B4"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70 (Res)</w:t>
            </w:r>
            <w:r w:rsidRPr="00B75B77">
              <w:rPr>
                <w:rFonts w:cs="Arial"/>
                <w:szCs w:val="18"/>
              </w:rPr>
              <w:br/>
              <w:t>70 (C&amp;I)</w:t>
            </w:r>
          </w:p>
        </w:tc>
        <w:tc>
          <w:tcPr>
            <w:tcW w:w="759" w:type="pct"/>
            <w:noWrap/>
          </w:tcPr>
          <w:p w:rsidR="007862B4" w:rsidRPr="00B75B77" w:rsidRDefault="007862B4"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N/A</w:t>
            </w:r>
          </w:p>
        </w:tc>
        <w:tc>
          <w:tcPr>
            <w:tcW w:w="579" w:type="pct"/>
            <w:noWrap/>
          </w:tcPr>
          <w:p w:rsidR="007862B4" w:rsidRPr="00B75B77" w:rsidRDefault="007862B4"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N/A</w:t>
            </w:r>
          </w:p>
        </w:tc>
        <w:tc>
          <w:tcPr>
            <w:tcW w:w="668" w:type="pct"/>
            <w:noWrap/>
          </w:tcPr>
          <w:p w:rsidR="007862B4" w:rsidRPr="00B75B77" w:rsidRDefault="007862B4"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N/A</w:t>
            </w:r>
          </w:p>
        </w:tc>
      </w:tr>
      <w:tr w:rsidR="007862B4" w:rsidRPr="00B75B77" w:rsidTr="004558DD">
        <w:trPr>
          <w:cnfStyle w:val="000000100000" w:firstRow="0" w:lastRow="0" w:firstColumn="0" w:lastColumn="0" w:oddVBand="0" w:evenVBand="0" w:oddHBand="1"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987" w:type="pct"/>
            <w:noWrap/>
          </w:tcPr>
          <w:p w:rsidR="007862B4" w:rsidRPr="00B75B77" w:rsidRDefault="007862B4" w:rsidP="004558DD">
            <w:pPr>
              <w:jc w:val="left"/>
              <w:rPr>
                <w:rFonts w:cs="Arial"/>
                <w:b w:val="0"/>
                <w:color w:val="000000" w:themeColor="text1"/>
                <w:szCs w:val="18"/>
              </w:rPr>
            </w:pPr>
            <w:r w:rsidRPr="00B75B77">
              <w:rPr>
                <w:b w:val="0"/>
                <w:color w:val="000000" w:themeColor="text1"/>
                <w:szCs w:val="18"/>
              </w:rPr>
              <w:t>Smart Equipment Incentives</w:t>
            </w:r>
          </w:p>
        </w:tc>
        <w:tc>
          <w:tcPr>
            <w:tcW w:w="669" w:type="pct"/>
          </w:tcPr>
          <w:p w:rsidR="007862B4" w:rsidRPr="00B75B77" w:rsidRDefault="007862B4" w:rsidP="004558DD">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B75B77">
              <w:rPr>
                <w:rFonts w:cs="Arial"/>
                <w:color w:val="000000" w:themeColor="text1"/>
                <w:szCs w:val="18"/>
              </w:rPr>
              <w:t>C&amp;I and GNI</w:t>
            </w:r>
          </w:p>
        </w:tc>
        <w:tc>
          <w:tcPr>
            <w:tcW w:w="669" w:type="pct"/>
            <w:noWrap/>
          </w:tcPr>
          <w:p w:rsidR="007862B4" w:rsidRPr="00B75B77" w:rsidRDefault="007862B4" w:rsidP="004558DD">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B75B77">
              <w:rPr>
                <w:rFonts w:cs="Arial"/>
                <w:color w:val="000000" w:themeColor="text1"/>
                <w:szCs w:val="18"/>
              </w:rPr>
              <w:t>74 (C&amp;I)</w:t>
            </w:r>
            <w:r w:rsidRPr="00B75B77">
              <w:rPr>
                <w:rFonts w:cs="Arial"/>
                <w:color w:val="000000" w:themeColor="text1"/>
                <w:szCs w:val="18"/>
              </w:rPr>
              <w:br/>
              <w:t>39 (GNI)</w:t>
            </w:r>
          </w:p>
        </w:tc>
        <w:tc>
          <w:tcPr>
            <w:tcW w:w="669" w:type="pct"/>
            <w:noWrap/>
          </w:tcPr>
          <w:p w:rsidR="007862B4" w:rsidRPr="00B75B77" w:rsidRDefault="007862B4" w:rsidP="004558DD">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B75B77">
              <w:rPr>
                <w:rFonts w:cs="Arial"/>
                <w:color w:val="000000" w:themeColor="text1"/>
                <w:szCs w:val="18"/>
              </w:rPr>
              <w:t>N/A</w:t>
            </w:r>
          </w:p>
        </w:tc>
        <w:tc>
          <w:tcPr>
            <w:tcW w:w="759" w:type="pct"/>
            <w:noWrap/>
          </w:tcPr>
          <w:p w:rsidR="007862B4" w:rsidRPr="00B75B77" w:rsidRDefault="00851875" w:rsidP="004558DD">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B75B77">
              <w:rPr>
                <w:rFonts w:cs="Arial"/>
                <w:color w:val="000000" w:themeColor="text1"/>
                <w:szCs w:val="18"/>
              </w:rPr>
              <w:t>52 (C&amp;I)</w:t>
            </w:r>
            <w:r w:rsidRPr="00B75B77">
              <w:rPr>
                <w:rFonts w:cs="Arial"/>
                <w:color w:val="000000" w:themeColor="text1"/>
                <w:szCs w:val="18"/>
              </w:rPr>
              <w:br/>
              <w:t>35 (GNI)</w:t>
            </w:r>
          </w:p>
        </w:tc>
        <w:tc>
          <w:tcPr>
            <w:tcW w:w="579" w:type="pct"/>
            <w:noWrap/>
          </w:tcPr>
          <w:p w:rsidR="007862B4" w:rsidRPr="00B75B77" w:rsidRDefault="007862B4" w:rsidP="004558DD">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B75B77">
              <w:rPr>
                <w:rFonts w:cs="Arial"/>
                <w:color w:val="000000" w:themeColor="text1"/>
                <w:szCs w:val="18"/>
              </w:rPr>
              <w:t>48 (C&amp;I)</w:t>
            </w:r>
            <w:r w:rsidRPr="00B75B77">
              <w:rPr>
                <w:rFonts w:cs="Arial"/>
                <w:color w:val="000000" w:themeColor="text1"/>
                <w:szCs w:val="18"/>
              </w:rPr>
              <w:br/>
              <w:t>42 (GNI)</w:t>
            </w:r>
          </w:p>
        </w:tc>
        <w:tc>
          <w:tcPr>
            <w:tcW w:w="668" w:type="pct"/>
            <w:noWrap/>
          </w:tcPr>
          <w:p w:rsidR="00635B17" w:rsidRPr="00B75B77" w:rsidRDefault="00635B17" w:rsidP="00635B17">
            <w:pPr>
              <w:jc w:val="center"/>
              <w:cnfStyle w:val="000000100000" w:firstRow="0" w:lastRow="0" w:firstColumn="0" w:lastColumn="0" w:oddVBand="0" w:evenVBand="0" w:oddHBand="1" w:evenHBand="0" w:firstRowFirstColumn="0" w:firstRowLastColumn="0" w:lastRowFirstColumn="0" w:lastRowLastColumn="0"/>
              <w:rPr>
                <w:rFonts w:ascii="Calibri" w:hAnsi="Calibri"/>
                <w:szCs w:val="18"/>
              </w:rPr>
            </w:pPr>
            <w:r w:rsidRPr="00B75B77">
              <w:rPr>
                <w:rFonts w:ascii="Calibri" w:hAnsi="Calibri"/>
                <w:szCs w:val="18"/>
              </w:rPr>
              <w:t>23 (C&amp;I)</w:t>
            </w:r>
          </w:p>
          <w:p w:rsidR="007862B4" w:rsidRPr="00B75B77" w:rsidRDefault="00635B17" w:rsidP="004558DD">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B75B77">
              <w:rPr>
                <w:rFonts w:ascii="Calibri" w:hAnsi="Calibri"/>
                <w:szCs w:val="18"/>
              </w:rPr>
              <w:t>32 (GNI)</w:t>
            </w:r>
          </w:p>
        </w:tc>
      </w:tr>
      <w:tr w:rsidR="007862B4" w:rsidRPr="00B75B77" w:rsidTr="004558DD">
        <w:trPr>
          <w:cnfStyle w:val="000000010000" w:firstRow="0" w:lastRow="0" w:firstColumn="0" w:lastColumn="0" w:oddVBand="0" w:evenVBand="0" w:oddHBand="0" w:evenHBand="1"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987" w:type="pct"/>
            <w:noWrap/>
          </w:tcPr>
          <w:p w:rsidR="007862B4" w:rsidRPr="00B75B77" w:rsidRDefault="007862B4" w:rsidP="004558DD">
            <w:pPr>
              <w:jc w:val="left"/>
              <w:rPr>
                <w:rFonts w:cs="Arial"/>
                <w:b w:val="0"/>
                <w:szCs w:val="18"/>
              </w:rPr>
            </w:pPr>
            <w:r w:rsidRPr="00B75B77">
              <w:rPr>
                <w:b w:val="0"/>
                <w:szCs w:val="18"/>
              </w:rPr>
              <w:t>Smart Construction Incentives</w:t>
            </w:r>
          </w:p>
        </w:tc>
        <w:tc>
          <w:tcPr>
            <w:tcW w:w="669" w:type="pct"/>
          </w:tcPr>
          <w:p w:rsidR="007862B4" w:rsidRPr="00B75B77" w:rsidRDefault="007862B4"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C&amp;I</w:t>
            </w:r>
          </w:p>
        </w:tc>
        <w:tc>
          <w:tcPr>
            <w:tcW w:w="669" w:type="pct"/>
            <w:noWrap/>
          </w:tcPr>
          <w:p w:rsidR="007862B4" w:rsidRPr="00B75B77" w:rsidRDefault="007862B4"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32</w:t>
            </w:r>
          </w:p>
        </w:tc>
        <w:tc>
          <w:tcPr>
            <w:tcW w:w="669" w:type="pct"/>
            <w:noWrap/>
          </w:tcPr>
          <w:p w:rsidR="007862B4" w:rsidRPr="00B75B77" w:rsidRDefault="007862B4"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N/A</w:t>
            </w:r>
          </w:p>
        </w:tc>
        <w:tc>
          <w:tcPr>
            <w:tcW w:w="759" w:type="pct"/>
            <w:noWrap/>
          </w:tcPr>
          <w:p w:rsidR="007862B4" w:rsidRPr="00B75B77" w:rsidRDefault="007862B4"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N/A</w:t>
            </w:r>
          </w:p>
        </w:tc>
        <w:tc>
          <w:tcPr>
            <w:tcW w:w="579" w:type="pct"/>
            <w:noWrap/>
          </w:tcPr>
          <w:p w:rsidR="007862B4" w:rsidRPr="00B75B77" w:rsidRDefault="007862B4"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20</w:t>
            </w:r>
          </w:p>
        </w:tc>
        <w:tc>
          <w:tcPr>
            <w:tcW w:w="668" w:type="pct"/>
            <w:noWrap/>
          </w:tcPr>
          <w:p w:rsidR="007862B4" w:rsidRPr="00B75B77" w:rsidRDefault="005A3E24" w:rsidP="004558DD">
            <w:pPr>
              <w:jc w:val="center"/>
              <w:cnfStyle w:val="000000010000" w:firstRow="0" w:lastRow="0" w:firstColumn="0" w:lastColumn="0" w:oddVBand="0" w:evenVBand="0" w:oddHBand="0" w:evenHBand="1" w:firstRowFirstColumn="0" w:firstRowLastColumn="0" w:lastRowFirstColumn="0" w:lastRowLastColumn="0"/>
              <w:rPr>
                <w:rFonts w:cs="Arial"/>
                <w:color w:val="FF0000"/>
                <w:szCs w:val="18"/>
              </w:rPr>
            </w:pPr>
            <w:r w:rsidRPr="00B75B77">
              <w:rPr>
                <w:rFonts w:cs="Arial"/>
                <w:szCs w:val="18"/>
              </w:rPr>
              <w:t>12</w:t>
            </w:r>
          </w:p>
        </w:tc>
      </w:tr>
      <w:tr w:rsidR="007862B4" w:rsidRPr="00B75B77" w:rsidTr="004558DD">
        <w:trPr>
          <w:cnfStyle w:val="000000100000" w:firstRow="0" w:lastRow="0" w:firstColumn="0" w:lastColumn="0" w:oddVBand="0" w:evenVBand="0" w:oddHBand="1"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987" w:type="pct"/>
            <w:noWrap/>
          </w:tcPr>
          <w:p w:rsidR="007862B4" w:rsidRPr="00B75B77" w:rsidRDefault="007862B4" w:rsidP="004558DD">
            <w:pPr>
              <w:jc w:val="left"/>
              <w:rPr>
                <w:rFonts w:cs="Arial"/>
                <w:b w:val="0"/>
                <w:color w:val="000000" w:themeColor="text1"/>
                <w:szCs w:val="18"/>
              </w:rPr>
            </w:pPr>
            <w:r w:rsidRPr="00B75B77">
              <w:rPr>
                <w:b w:val="0"/>
                <w:color w:val="000000" w:themeColor="text1"/>
                <w:szCs w:val="18"/>
              </w:rPr>
              <w:t>Smart Multi-Family Solutions</w:t>
            </w:r>
          </w:p>
        </w:tc>
        <w:tc>
          <w:tcPr>
            <w:tcW w:w="669" w:type="pct"/>
          </w:tcPr>
          <w:p w:rsidR="007862B4" w:rsidRPr="00B75B77" w:rsidRDefault="007862B4" w:rsidP="004558DD">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B75B77">
              <w:rPr>
                <w:rFonts w:cs="Arial"/>
                <w:color w:val="000000" w:themeColor="text1"/>
                <w:szCs w:val="18"/>
              </w:rPr>
              <w:t>Residential, Commercial, and GNI</w:t>
            </w:r>
          </w:p>
        </w:tc>
        <w:tc>
          <w:tcPr>
            <w:tcW w:w="669" w:type="pct"/>
            <w:noWrap/>
          </w:tcPr>
          <w:p w:rsidR="007862B4" w:rsidRPr="00B75B77" w:rsidRDefault="007862B4" w:rsidP="004558DD">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B75B77">
              <w:rPr>
                <w:rFonts w:cs="Arial"/>
                <w:color w:val="000000" w:themeColor="text1"/>
                <w:szCs w:val="18"/>
              </w:rPr>
              <w:t>72</w:t>
            </w:r>
          </w:p>
        </w:tc>
        <w:tc>
          <w:tcPr>
            <w:tcW w:w="669" w:type="pct"/>
            <w:noWrap/>
          </w:tcPr>
          <w:p w:rsidR="007862B4" w:rsidRPr="00B75B77" w:rsidRDefault="00851875" w:rsidP="004558DD">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B75B77">
              <w:rPr>
                <w:rFonts w:cs="Arial"/>
                <w:color w:val="000000" w:themeColor="text1"/>
                <w:szCs w:val="18"/>
              </w:rPr>
              <w:t>72</w:t>
            </w:r>
          </w:p>
        </w:tc>
        <w:tc>
          <w:tcPr>
            <w:tcW w:w="759" w:type="pct"/>
            <w:noWrap/>
          </w:tcPr>
          <w:p w:rsidR="007862B4" w:rsidRPr="00B75B77" w:rsidRDefault="00851875" w:rsidP="004558DD">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B75B77">
              <w:rPr>
                <w:rFonts w:cs="Arial"/>
                <w:color w:val="000000" w:themeColor="text1"/>
                <w:szCs w:val="18"/>
              </w:rPr>
              <w:t>N/A</w:t>
            </w:r>
          </w:p>
        </w:tc>
        <w:tc>
          <w:tcPr>
            <w:tcW w:w="579" w:type="pct"/>
            <w:noWrap/>
          </w:tcPr>
          <w:p w:rsidR="007862B4" w:rsidRPr="00B75B77" w:rsidRDefault="007862B4" w:rsidP="004558DD">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B75B77">
              <w:rPr>
                <w:rFonts w:cs="Arial"/>
                <w:color w:val="000000" w:themeColor="text1"/>
                <w:szCs w:val="18"/>
              </w:rPr>
              <w:t>15</w:t>
            </w:r>
          </w:p>
        </w:tc>
        <w:tc>
          <w:tcPr>
            <w:tcW w:w="668" w:type="pct"/>
            <w:noWrap/>
          </w:tcPr>
          <w:p w:rsidR="007862B4" w:rsidRPr="00B75B77" w:rsidRDefault="007862B4" w:rsidP="004558DD">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18"/>
              </w:rPr>
            </w:pPr>
            <w:r w:rsidRPr="00B75B77">
              <w:rPr>
                <w:rFonts w:cs="Arial"/>
                <w:color w:val="000000" w:themeColor="text1"/>
                <w:szCs w:val="18"/>
              </w:rPr>
              <w:t>N/A</w:t>
            </w:r>
          </w:p>
        </w:tc>
      </w:tr>
      <w:tr w:rsidR="007862B4" w:rsidRPr="00B75B77" w:rsidTr="004558DD">
        <w:trPr>
          <w:cnfStyle w:val="000000010000" w:firstRow="0" w:lastRow="0" w:firstColumn="0" w:lastColumn="0" w:oddVBand="0" w:evenVBand="0" w:oddHBand="0" w:evenHBand="1"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987" w:type="pct"/>
            <w:noWrap/>
          </w:tcPr>
          <w:p w:rsidR="007862B4" w:rsidRPr="00B75B77" w:rsidRDefault="007862B4" w:rsidP="004558DD">
            <w:pPr>
              <w:jc w:val="left"/>
              <w:rPr>
                <w:rFonts w:cs="Arial"/>
                <w:b w:val="0"/>
                <w:szCs w:val="18"/>
              </w:rPr>
            </w:pPr>
            <w:r w:rsidRPr="00B75B77">
              <w:rPr>
                <w:b w:val="0"/>
                <w:szCs w:val="18"/>
              </w:rPr>
              <w:t>Smart On-Site</w:t>
            </w:r>
          </w:p>
        </w:tc>
        <w:tc>
          <w:tcPr>
            <w:tcW w:w="669" w:type="pct"/>
          </w:tcPr>
          <w:p w:rsidR="007862B4" w:rsidRPr="00B75B77" w:rsidRDefault="007862B4"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Commercial, GNI</w:t>
            </w:r>
          </w:p>
        </w:tc>
        <w:tc>
          <w:tcPr>
            <w:tcW w:w="669" w:type="pct"/>
            <w:noWrap/>
          </w:tcPr>
          <w:p w:rsidR="007862B4" w:rsidRPr="00B75B77" w:rsidRDefault="007862B4"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6</w:t>
            </w:r>
          </w:p>
        </w:tc>
        <w:tc>
          <w:tcPr>
            <w:tcW w:w="669" w:type="pct"/>
            <w:noWrap/>
          </w:tcPr>
          <w:p w:rsidR="007862B4" w:rsidRPr="00B75B77" w:rsidRDefault="007862B4"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3 (C&amp;I)</w:t>
            </w:r>
            <w:r w:rsidRPr="00B75B77">
              <w:rPr>
                <w:rFonts w:cs="Arial"/>
                <w:szCs w:val="18"/>
              </w:rPr>
              <w:br/>
              <w:t>3 (GNI)</w:t>
            </w:r>
          </w:p>
        </w:tc>
        <w:tc>
          <w:tcPr>
            <w:tcW w:w="759" w:type="pct"/>
            <w:noWrap/>
          </w:tcPr>
          <w:p w:rsidR="007862B4" w:rsidRPr="00B75B77" w:rsidRDefault="007862B4"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N/A</w:t>
            </w:r>
          </w:p>
        </w:tc>
        <w:tc>
          <w:tcPr>
            <w:tcW w:w="579" w:type="pct"/>
            <w:noWrap/>
          </w:tcPr>
          <w:p w:rsidR="007862B4" w:rsidRPr="00B75B77" w:rsidRDefault="007862B4"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6</w:t>
            </w:r>
          </w:p>
        </w:tc>
        <w:tc>
          <w:tcPr>
            <w:tcW w:w="668" w:type="pct"/>
            <w:noWrap/>
          </w:tcPr>
          <w:p w:rsidR="007862B4" w:rsidRPr="00B75B77" w:rsidRDefault="004E5EBE" w:rsidP="004558DD">
            <w:pPr>
              <w:jc w:val="center"/>
              <w:cnfStyle w:val="000000010000" w:firstRow="0" w:lastRow="0" w:firstColumn="0" w:lastColumn="0" w:oddVBand="0" w:evenVBand="0" w:oddHBand="0" w:evenHBand="1" w:firstRowFirstColumn="0" w:firstRowLastColumn="0" w:lastRowFirstColumn="0" w:lastRowLastColumn="0"/>
              <w:rPr>
                <w:rFonts w:cs="Arial"/>
                <w:szCs w:val="18"/>
              </w:rPr>
            </w:pPr>
            <w:r w:rsidRPr="00B75B77">
              <w:rPr>
                <w:rFonts w:cs="Arial"/>
                <w:szCs w:val="18"/>
              </w:rPr>
              <w:t>6</w:t>
            </w:r>
          </w:p>
        </w:tc>
      </w:tr>
      <w:tr w:rsidR="007862B4" w:rsidRPr="00B75B77" w:rsidTr="004558DD">
        <w:trPr>
          <w:cnfStyle w:val="000000100000" w:firstRow="0" w:lastRow="0" w:firstColumn="0" w:lastColumn="0" w:oddVBand="0" w:evenVBand="0" w:oddHBand="1"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987" w:type="pct"/>
            <w:noWrap/>
          </w:tcPr>
          <w:p w:rsidR="007862B4" w:rsidRPr="00B75B77" w:rsidRDefault="007862B4" w:rsidP="004558DD">
            <w:pPr>
              <w:jc w:val="left"/>
              <w:rPr>
                <w:szCs w:val="18"/>
              </w:rPr>
            </w:pPr>
            <w:r w:rsidRPr="00B75B77">
              <w:rPr>
                <w:b w:val="0"/>
                <w:szCs w:val="18"/>
              </w:rPr>
              <w:t>Smart Business Solutions</w:t>
            </w:r>
          </w:p>
        </w:tc>
        <w:tc>
          <w:tcPr>
            <w:tcW w:w="669" w:type="pct"/>
          </w:tcPr>
          <w:p w:rsidR="007862B4" w:rsidRPr="00B75B77" w:rsidRDefault="007862B4" w:rsidP="004558DD">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B75B77">
              <w:rPr>
                <w:rFonts w:cs="Arial"/>
                <w:szCs w:val="18"/>
              </w:rPr>
              <w:t>Commercial</w:t>
            </w:r>
          </w:p>
        </w:tc>
        <w:tc>
          <w:tcPr>
            <w:tcW w:w="669" w:type="pct"/>
            <w:noWrap/>
          </w:tcPr>
          <w:p w:rsidR="007862B4" w:rsidRPr="00B75B77" w:rsidRDefault="007862B4" w:rsidP="004558DD">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B75B77">
              <w:rPr>
                <w:rFonts w:cs="Arial"/>
                <w:szCs w:val="18"/>
              </w:rPr>
              <w:t>13</w:t>
            </w:r>
          </w:p>
        </w:tc>
        <w:tc>
          <w:tcPr>
            <w:tcW w:w="669" w:type="pct"/>
            <w:noWrap/>
          </w:tcPr>
          <w:p w:rsidR="007862B4" w:rsidRPr="00B75B77" w:rsidRDefault="007862B4" w:rsidP="004558DD">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B75B77">
              <w:rPr>
                <w:rFonts w:cs="Arial"/>
                <w:szCs w:val="18"/>
              </w:rPr>
              <w:t>N/A</w:t>
            </w:r>
          </w:p>
        </w:tc>
        <w:tc>
          <w:tcPr>
            <w:tcW w:w="759" w:type="pct"/>
            <w:noWrap/>
          </w:tcPr>
          <w:p w:rsidR="007862B4" w:rsidRPr="00B75B77" w:rsidRDefault="007862B4" w:rsidP="004558DD">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B75B77">
              <w:rPr>
                <w:rFonts w:cs="Arial"/>
                <w:szCs w:val="18"/>
              </w:rPr>
              <w:t>N/A</w:t>
            </w:r>
          </w:p>
        </w:tc>
        <w:tc>
          <w:tcPr>
            <w:tcW w:w="579" w:type="pct"/>
            <w:noWrap/>
          </w:tcPr>
          <w:p w:rsidR="007862B4" w:rsidRPr="00B75B77" w:rsidRDefault="007862B4" w:rsidP="004558DD">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B75B77">
              <w:rPr>
                <w:rFonts w:cs="Arial"/>
                <w:szCs w:val="18"/>
              </w:rPr>
              <w:t>N/A</w:t>
            </w:r>
          </w:p>
        </w:tc>
        <w:tc>
          <w:tcPr>
            <w:tcW w:w="668" w:type="pct"/>
            <w:noWrap/>
          </w:tcPr>
          <w:p w:rsidR="007862B4" w:rsidRPr="00B75B77" w:rsidRDefault="007862B4" w:rsidP="004558DD">
            <w:pPr>
              <w:jc w:val="center"/>
              <w:cnfStyle w:val="000000100000" w:firstRow="0" w:lastRow="0" w:firstColumn="0" w:lastColumn="0" w:oddVBand="0" w:evenVBand="0" w:oddHBand="1" w:evenHBand="0" w:firstRowFirstColumn="0" w:firstRowLastColumn="0" w:lastRowFirstColumn="0" w:lastRowLastColumn="0"/>
              <w:rPr>
                <w:rFonts w:cs="Arial"/>
                <w:szCs w:val="18"/>
              </w:rPr>
            </w:pPr>
            <w:r w:rsidRPr="00B75B77">
              <w:rPr>
                <w:rFonts w:cs="Arial"/>
                <w:szCs w:val="18"/>
              </w:rPr>
              <w:t>N/A</w:t>
            </w:r>
          </w:p>
        </w:tc>
      </w:tr>
    </w:tbl>
    <w:p w:rsidR="00851875" w:rsidRPr="00B75B77" w:rsidRDefault="00851875" w:rsidP="00851875">
      <w:pPr>
        <w:keepNext/>
        <w:spacing w:before="20" w:after="20"/>
        <w:jc w:val="left"/>
        <w:rPr>
          <w:rFonts w:ascii="Calibri" w:eastAsia="Times New Roman" w:hAnsi="Calibri"/>
          <w:color w:val="000000"/>
          <w:sz w:val="18"/>
          <w:szCs w:val="18"/>
        </w:rPr>
      </w:pPr>
      <w:r w:rsidRPr="00B75B77">
        <w:rPr>
          <w:rFonts w:ascii="Calibri" w:eastAsia="Times New Roman" w:hAnsi="Calibri"/>
          <w:color w:val="000000"/>
          <w:sz w:val="18"/>
          <w:szCs w:val="18"/>
          <w:vertAlign w:val="superscript"/>
        </w:rPr>
        <w:t>[1]</w:t>
      </w:r>
      <w:r w:rsidRPr="00B75B77">
        <w:rPr>
          <w:rFonts w:ascii="Calibri" w:eastAsia="Times New Roman" w:hAnsi="Calibri"/>
          <w:color w:val="000000"/>
          <w:sz w:val="18"/>
          <w:szCs w:val="18"/>
        </w:rPr>
        <w:t xml:space="preserve"> Does not include statistical billing analysis. </w:t>
      </w:r>
    </w:p>
    <w:p w:rsidR="004E77DB" w:rsidRPr="00B75B77" w:rsidRDefault="004E77DB" w:rsidP="004E77DB">
      <w:pPr>
        <w:pStyle w:val="Source"/>
        <w:keepNext/>
        <w:ind w:left="270" w:hanging="90"/>
      </w:pPr>
      <w:r w:rsidRPr="00B75B77">
        <w:t>Source: Navigant analysis</w:t>
      </w:r>
    </w:p>
    <w:p w:rsidR="00343FCB" w:rsidRPr="00B75B77" w:rsidRDefault="00343FCB" w:rsidP="00343FCB"/>
    <w:p w:rsidR="00CE3685" w:rsidRPr="00B75B77" w:rsidRDefault="00CE3685" w:rsidP="00343FCB"/>
    <w:p w:rsidR="00CE3685" w:rsidRPr="00B75B77" w:rsidRDefault="00CE3685" w:rsidP="00343FCB">
      <w:pPr>
        <w:sectPr w:rsidR="00CE3685" w:rsidRPr="00B75B77" w:rsidSect="00B5438D">
          <w:pgSz w:w="12240" w:h="15840" w:code="1"/>
          <w:pgMar w:top="1170" w:right="1440" w:bottom="1260" w:left="1440" w:header="576" w:footer="475" w:gutter="0"/>
          <w:cols w:space="720"/>
          <w:docGrid w:linePitch="360"/>
        </w:sectPr>
      </w:pPr>
    </w:p>
    <w:p w:rsidR="00357C02" w:rsidRPr="00B75B77" w:rsidRDefault="008156E7" w:rsidP="009804CB">
      <w:pPr>
        <w:pStyle w:val="Heading5"/>
      </w:pPr>
      <w:bookmarkStart w:id="999" w:name="_Toc390682422"/>
      <w:bookmarkStart w:id="1000" w:name="_Toc389747560"/>
      <w:bookmarkStart w:id="1001" w:name="_Toc390175506"/>
      <w:bookmarkStart w:id="1002" w:name="_Toc390943369"/>
      <w:bookmarkStart w:id="1003" w:name="_Toc466413479"/>
      <w:bookmarkStart w:id="1004" w:name="_Toc390947297"/>
      <w:bookmarkEnd w:id="993"/>
      <w:r w:rsidRPr="00B75B77">
        <w:lastRenderedPageBreak/>
        <w:t>TRC Incremental Costs</w:t>
      </w:r>
      <w:bookmarkEnd w:id="999"/>
      <w:bookmarkEnd w:id="1000"/>
      <w:bookmarkEnd w:id="1001"/>
      <w:bookmarkEnd w:id="1002"/>
      <w:bookmarkEnd w:id="1003"/>
      <w:r w:rsidR="009804CB" w:rsidRPr="00B75B77">
        <w:t xml:space="preserve"> </w:t>
      </w:r>
      <w:bookmarkEnd w:id="1004"/>
    </w:p>
    <w:p w:rsidR="00E56168" w:rsidRPr="00B75B77" w:rsidRDefault="00E56168" w:rsidP="009804CB"/>
    <w:p w:rsidR="000F5B08" w:rsidRPr="00B75B77" w:rsidRDefault="00502659" w:rsidP="00502659">
      <w:pPr>
        <w:pStyle w:val="Caption"/>
      </w:pPr>
      <w:bookmarkStart w:id="1005" w:name="_Toc466413656"/>
      <w:r w:rsidRPr="00B75B77">
        <w:t xml:space="preserve">Table </w:t>
      </w:r>
      <w:fldSimple w:instr=" STYLEREF 5 \s ">
        <w:r w:rsidR="0004016D">
          <w:rPr>
            <w:noProof/>
          </w:rPr>
          <w:t>B</w:t>
        </w:r>
      </w:fldSimple>
      <w:r w:rsidRPr="00B75B77">
        <w:noBreakHyphen/>
      </w:r>
      <w:fldSimple w:instr=" SEQ Table_Apx \* ARABIC \s 5 ">
        <w:r w:rsidR="0004016D">
          <w:rPr>
            <w:noProof/>
          </w:rPr>
          <w:t>1</w:t>
        </w:r>
      </w:fldSimple>
      <w:r w:rsidRPr="00B75B77">
        <w:t>: Measure Incremental Costs Not Taken from SWE Database or Filed Plan</w:t>
      </w:r>
      <w:bookmarkEnd w:id="1005"/>
    </w:p>
    <w:tbl>
      <w:tblPr>
        <w:tblStyle w:val="MediumShading1-Accent5"/>
        <w:tblW w:w="9776" w:type="dxa"/>
        <w:tblInd w:w="-1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000" w:firstRow="0" w:lastRow="0" w:firstColumn="0" w:lastColumn="0" w:noHBand="0" w:noVBand="0"/>
      </w:tblPr>
      <w:tblGrid>
        <w:gridCol w:w="1800"/>
        <w:gridCol w:w="3960"/>
        <w:gridCol w:w="1946"/>
        <w:gridCol w:w="2070"/>
      </w:tblGrid>
      <w:tr w:rsidR="00E56168" w:rsidRPr="00B75B77" w:rsidTr="00B75B77">
        <w:trPr>
          <w:cnfStyle w:val="000000010000" w:firstRow="0" w:lastRow="0" w:firstColumn="0" w:lastColumn="0" w:oddVBand="0" w:evenVBand="0" w:oddHBand="0" w:evenHBand="1" w:firstRowFirstColumn="0" w:firstRowLastColumn="0" w:lastRowFirstColumn="0" w:lastRowLastColumn="0"/>
          <w:trHeight w:val="403"/>
          <w:tblHeader/>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auto"/>
              <w:left w:val="single" w:sz="8" w:space="0" w:color="auto"/>
              <w:bottom w:val="single" w:sz="4" w:space="0" w:color="auto"/>
              <w:right w:val="single" w:sz="8" w:space="0" w:color="auto"/>
            </w:tcBorders>
            <w:shd w:val="clear" w:color="auto" w:fill="448A99"/>
            <w:noWrap/>
            <w:vAlign w:val="center"/>
          </w:tcPr>
          <w:p w:rsidR="00790241" w:rsidRPr="00B75B77" w:rsidRDefault="00790241" w:rsidP="00871301">
            <w:pPr>
              <w:spacing w:before="60" w:after="60"/>
              <w:jc w:val="left"/>
              <w:rPr>
                <w:rFonts w:cstheme="minorHAnsi"/>
                <w:b/>
                <w:bCs/>
                <w:color w:val="FFFFFF" w:themeColor="background1"/>
                <w:sz w:val="18"/>
                <w:szCs w:val="18"/>
              </w:rPr>
            </w:pPr>
            <w:r w:rsidRPr="00B75B77">
              <w:rPr>
                <w:rFonts w:cstheme="minorHAnsi"/>
                <w:b/>
                <w:bCs/>
                <w:color w:val="FFFFFF" w:themeColor="background1"/>
                <w:sz w:val="18"/>
                <w:szCs w:val="18"/>
              </w:rPr>
              <w:t>Program</w:t>
            </w:r>
          </w:p>
        </w:tc>
        <w:tc>
          <w:tcPr>
            <w:tcW w:w="3960" w:type="dxa"/>
            <w:tcBorders>
              <w:top w:val="single" w:sz="4" w:space="0" w:color="auto"/>
              <w:left w:val="single" w:sz="8" w:space="0" w:color="auto"/>
              <w:bottom w:val="single" w:sz="4" w:space="0" w:color="auto"/>
              <w:right w:val="single" w:sz="8" w:space="0" w:color="auto"/>
            </w:tcBorders>
            <w:shd w:val="clear" w:color="auto" w:fill="448A99"/>
            <w:vAlign w:val="center"/>
          </w:tcPr>
          <w:p w:rsidR="00790241" w:rsidRPr="00B75B77" w:rsidRDefault="00790241"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b/>
                <w:bCs/>
                <w:color w:val="FFFFFF" w:themeColor="background1"/>
                <w:sz w:val="18"/>
                <w:szCs w:val="18"/>
              </w:rPr>
            </w:pPr>
            <w:r w:rsidRPr="00B75B77">
              <w:rPr>
                <w:rFonts w:cstheme="minorHAnsi"/>
                <w:b/>
                <w:bCs/>
                <w:color w:val="FFFFFF" w:themeColor="background1"/>
                <w:sz w:val="18"/>
                <w:szCs w:val="18"/>
              </w:rPr>
              <w:t>Measure</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auto"/>
              <w:left w:val="single" w:sz="8" w:space="0" w:color="auto"/>
              <w:bottom w:val="single" w:sz="4" w:space="0" w:color="auto"/>
              <w:right w:val="single" w:sz="8" w:space="0" w:color="auto"/>
            </w:tcBorders>
            <w:shd w:val="clear" w:color="auto" w:fill="448A99"/>
            <w:vAlign w:val="center"/>
          </w:tcPr>
          <w:p w:rsidR="00790241" w:rsidRPr="00B75B77" w:rsidRDefault="00790241" w:rsidP="00871301">
            <w:pPr>
              <w:spacing w:before="60" w:after="60"/>
              <w:jc w:val="center"/>
              <w:rPr>
                <w:rFonts w:cstheme="minorHAnsi"/>
                <w:b/>
                <w:bCs/>
                <w:color w:val="FFFFFF" w:themeColor="background1"/>
                <w:sz w:val="18"/>
                <w:szCs w:val="18"/>
              </w:rPr>
            </w:pPr>
            <w:r w:rsidRPr="00B75B77">
              <w:rPr>
                <w:rFonts w:cstheme="minorHAnsi"/>
                <w:b/>
                <w:bCs/>
                <w:color w:val="FFFFFF" w:themeColor="background1"/>
                <w:sz w:val="18"/>
                <w:szCs w:val="18"/>
              </w:rPr>
              <w:t>Incremental Cost</w:t>
            </w:r>
          </w:p>
        </w:tc>
        <w:tc>
          <w:tcPr>
            <w:tcW w:w="2070" w:type="dxa"/>
            <w:tcBorders>
              <w:top w:val="single" w:sz="4" w:space="0" w:color="auto"/>
              <w:left w:val="single" w:sz="8" w:space="0" w:color="auto"/>
              <w:bottom w:val="single" w:sz="4" w:space="0" w:color="auto"/>
              <w:right w:val="single" w:sz="8" w:space="0" w:color="auto"/>
            </w:tcBorders>
            <w:shd w:val="clear" w:color="auto" w:fill="448A99"/>
            <w:vAlign w:val="center"/>
          </w:tcPr>
          <w:p w:rsidR="00790241" w:rsidRPr="00B75B77" w:rsidRDefault="00790241"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b/>
                <w:bCs/>
                <w:color w:val="FFFFFF" w:themeColor="background1"/>
                <w:sz w:val="18"/>
                <w:szCs w:val="18"/>
              </w:rPr>
            </w:pPr>
            <w:r w:rsidRPr="00B75B77">
              <w:rPr>
                <w:rFonts w:cstheme="minorHAnsi"/>
                <w:b/>
                <w:bCs/>
                <w:color w:val="FFFFFF" w:themeColor="background1"/>
                <w:sz w:val="18"/>
                <w:szCs w:val="18"/>
              </w:rPr>
              <w:t>Incremental Cost Source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auto"/>
              <w:left w:val="single" w:sz="4" w:space="0" w:color="448A99"/>
              <w:bottom w:val="single" w:sz="4" w:space="0" w:color="448A99"/>
              <w:right w:val="single" w:sz="4" w:space="0" w:color="448A99"/>
            </w:tcBorders>
            <w:shd w:val="clear" w:color="auto" w:fill="D2EAF1"/>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AC Saver (Commercial)</w:t>
            </w:r>
          </w:p>
        </w:tc>
        <w:tc>
          <w:tcPr>
            <w:tcW w:w="3960" w:type="dxa"/>
            <w:tcBorders>
              <w:top w:val="single" w:sz="4" w:space="0" w:color="auto"/>
              <w:left w:val="single" w:sz="4" w:space="0" w:color="448A99"/>
              <w:bottom w:val="single" w:sz="4" w:space="0" w:color="448A99"/>
              <w:right w:val="single" w:sz="4" w:space="0" w:color="448A99"/>
            </w:tcBorders>
            <w:shd w:val="clear" w:color="auto" w:fill="D2EAF1"/>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Air Conditioning Control Switch</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auto"/>
              <w:left w:val="single" w:sz="4" w:space="0" w:color="448A99"/>
              <w:bottom w:val="single" w:sz="4" w:space="0" w:color="448A99"/>
              <w:right w:val="single" w:sz="4" w:space="0" w:color="448A99"/>
            </w:tcBorders>
            <w:shd w:val="clear" w:color="auto" w:fill="D2EAF1"/>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0</w:t>
            </w:r>
            <w:r w:rsidR="007F2221" w:rsidRPr="00B75B77">
              <w:rPr>
                <w:sz w:val="18"/>
                <w:szCs w:val="18"/>
              </w:rPr>
              <w:t>.00</w:t>
            </w:r>
            <w:r w:rsidRPr="00B75B77">
              <w:rPr>
                <w:sz w:val="18"/>
                <w:szCs w:val="18"/>
              </w:rPr>
              <w:t xml:space="preserve"> / Switch</w:t>
            </w:r>
          </w:p>
        </w:tc>
        <w:tc>
          <w:tcPr>
            <w:tcW w:w="2070" w:type="dxa"/>
            <w:tcBorders>
              <w:top w:val="single" w:sz="4" w:space="0" w:color="auto"/>
              <w:left w:val="single" w:sz="4" w:space="0" w:color="448A99"/>
              <w:bottom w:val="single" w:sz="4" w:space="0" w:color="448A99"/>
              <w:right w:val="single" w:sz="4" w:space="0" w:color="448A99"/>
            </w:tcBorders>
            <w:shd w:val="clear" w:color="auto" w:fill="D2EAF1"/>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Inferred from Program Design</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AC Saver (Residential)</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Air Conditioning Control Switch</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0</w:t>
            </w:r>
            <w:r w:rsidR="007F2221" w:rsidRPr="00B75B77">
              <w:rPr>
                <w:sz w:val="18"/>
                <w:szCs w:val="18"/>
              </w:rPr>
              <w:t>.00</w:t>
            </w:r>
            <w:r w:rsidRPr="00B75B77">
              <w:rPr>
                <w:sz w:val="18"/>
                <w:szCs w:val="18"/>
              </w:rPr>
              <w:t xml:space="preserve"> / Switch</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Inferred from Program Design</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ENERGY STAR Screw-in CFL Bulbs (</w:t>
            </w:r>
            <w:r w:rsidR="00871301" w:rsidRPr="00B75B77">
              <w:rPr>
                <w:sz w:val="18"/>
                <w:szCs w:val="18"/>
              </w:rPr>
              <w:t>G</w:t>
            </w:r>
            <w:r w:rsidRPr="00B75B77">
              <w:rPr>
                <w:sz w:val="18"/>
                <w:szCs w:val="18"/>
              </w:rPr>
              <w:t xml:space="preserve">eneral </w:t>
            </w:r>
            <w:r w:rsidR="00871301" w:rsidRPr="00B75B77">
              <w:rPr>
                <w:sz w:val="18"/>
                <w:szCs w:val="18"/>
              </w:rPr>
              <w:t>S</w:t>
            </w:r>
            <w:r w:rsidRPr="00B75B77">
              <w:rPr>
                <w:sz w:val="18"/>
                <w:szCs w:val="18"/>
              </w:rPr>
              <w:t xml:space="preserve">ervice, </w:t>
            </w:r>
            <w:r w:rsidR="00871301" w:rsidRPr="00B75B77">
              <w:rPr>
                <w:sz w:val="18"/>
                <w:szCs w:val="18"/>
              </w:rPr>
              <w:t>N</w:t>
            </w:r>
            <w:r w:rsidRPr="00B75B77">
              <w:rPr>
                <w:sz w:val="18"/>
                <w:szCs w:val="18"/>
              </w:rPr>
              <w:t>on-</w:t>
            </w:r>
            <w:r w:rsidR="00871301" w:rsidRPr="00B75B77">
              <w:rPr>
                <w:sz w:val="18"/>
                <w:szCs w:val="18"/>
              </w:rPr>
              <w:t>D</w:t>
            </w:r>
            <w:r w:rsidRPr="00B75B77">
              <w:rPr>
                <w:sz w:val="18"/>
                <w:szCs w:val="18"/>
              </w:rPr>
              <w:t>immable)</w:t>
            </w:r>
            <w:r w:rsidR="00871301" w:rsidRPr="00B75B77">
              <w:rPr>
                <w:sz w:val="18"/>
                <w:szCs w:val="18"/>
              </w:rPr>
              <w:t xml:space="preserve"> – L</w:t>
            </w:r>
            <w:r w:rsidRPr="00B75B77">
              <w:rPr>
                <w:sz w:val="18"/>
                <w:szCs w:val="18"/>
              </w:rPr>
              <w:t>umens = 1490 to 2600</w:t>
            </w:r>
            <w:r w:rsidR="00871301" w:rsidRPr="00B75B77">
              <w:rPr>
                <w:sz w:val="18"/>
                <w:szCs w:val="18"/>
              </w:rPr>
              <w:t>,</w:t>
            </w:r>
            <w:r w:rsidRPr="00B75B77">
              <w:rPr>
                <w:sz w:val="18"/>
                <w:szCs w:val="18"/>
              </w:rPr>
              <w:t xml:space="preserve"> 23W</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100.83 / Lamp</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ENERGY STAR Screw-in CFL Bulbs (</w:t>
            </w:r>
            <w:r w:rsidR="00871301" w:rsidRPr="00B75B77">
              <w:rPr>
                <w:sz w:val="18"/>
                <w:szCs w:val="18"/>
              </w:rPr>
              <w:t>G</w:t>
            </w:r>
            <w:r w:rsidRPr="00B75B77">
              <w:rPr>
                <w:sz w:val="18"/>
                <w:szCs w:val="18"/>
              </w:rPr>
              <w:t xml:space="preserve">eneral </w:t>
            </w:r>
            <w:r w:rsidR="00871301" w:rsidRPr="00B75B77">
              <w:rPr>
                <w:sz w:val="18"/>
                <w:szCs w:val="18"/>
              </w:rPr>
              <w:t>S</w:t>
            </w:r>
            <w:r w:rsidRPr="00B75B77">
              <w:rPr>
                <w:sz w:val="18"/>
                <w:szCs w:val="18"/>
              </w:rPr>
              <w:t xml:space="preserve">ervice, </w:t>
            </w:r>
            <w:r w:rsidR="00871301" w:rsidRPr="00B75B77">
              <w:rPr>
                <w:sz w:val="18"/>
                <w:szCs w:val="18"/>
              </w:rPr>
              <w:t>N</w:t>
            </w:r>
            <w:r w:rsidRPr="00B75B77">
              <w:rPr>
                <w:sz w:val="18"/>
                <w:szCs w:val="18"/>
              </w:rPr>
              <w:t>on-</w:t>
            </w:r>
            <w:r w:rsidR="00871301" w:rsidRPr="00B75B77">
              <w:rPr>
                <w:sz w:val="18"/>
                <w:szCs w:val="18"/>
              </w:rPr>
              <w:t>D</w:t>
            </w:r>
            <w:r w:rsidRPr="00B75B77">
              <w:rPr>
                <w:sz w:val="18"/>
                <w:szCs w:val="18"/>
              </w:rPr>
              <w:t xml:space="preserve">immable) </w:t>
            </w:r>
            <w:r w:rsidR="00871301" w:rsidRPr="00B75B77">
              <w:rPr>
                <w:sz w:val="18"/>
                <w:szCs w:val="18"/>
              </w:rPr>
              <w:t>–</w:t>
            </w:r>
            <w:r w:rsidRPr="00B75B77">
              <w:rPr>
                <w:sz w:val="18"/>
                <w:szCs w:val="18"/>
              </w:rPr>
              <w:t xml:space="preserve"> </w:t>
            </w:r>
            <w:r w:rsidR="00871301" w:rsidRPr="00B75B77">
              <w:rPr>
                <w:sz w:val="18"/>
                <w:szCs w:val="18"/>
              </w:rPr>
              <w:t>L</w:t>
            </w:r>
            <w:r w:rsidRPr="00B75B77">
              <w:rPr>
                <w:sz w:val="18"/>
                <w:szCs w:val="18"/>
              </w:rPr>
              <w:t>umens = 750-1049</w:t>
            </w:r>
            <w:r w:rsidR="00871301" w:rsidRPr="00B75B77">
              <w:rPr>
                <w:sz w:val="18"/>
                <w:szCs w:val="18"/>
              </w:rPr>
              <w:t>,</w:t>
            </w:r>
            <w:r w:rsidRPr="00B75B77">
              <w:rPr>
                <w:sz w:val="18"/>
                <w:szCs w:val="18"/>
              </w:rPr>
              <w:t xml:space="preserve"> 13W</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36.39 / Lamp</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ENERGY STAR Screw-in CFL Bulbs (Specialty: Globe) </w:t>
            </w:r>
            <w:r w:rsidR="00871301" w:rsidRPr="00B75B77">
              <w:rPr>
                <w:sz w:val="18"/>
                <w:szCs w:val="18"/>
              </w:rPr>
              <w:t>–</w:t>
            </w:r>
            <w:r w:rsidRPr="00B75B77">
              <w:rPr>
                <w:sz w:val="18"/>
                <w:szCs w:val="18"/>
              </w:rPr>
              <w:t xml:space="preserve"> Lumens = 310-749</w:t>
            </w:r>
            <w:r w:rsidR="00871301" w:rsidRPr="00B75B77">
              <w:rPr>
                <w:sz w:val="18"/>
                <w:szCs w:val="18"/>
              </w:rPr>
              <w:t>,</w:t>
            </w:r>
            <w:r w:rsidRPr="00B75B77">
              <w:rPr>
                <w:sz w:val="18"/>
                <w:szCs w:val="18"/>
              </w:rPr>
              <w:t xml:space="preserve"> 9W</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30.41 / Lamp</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Exit Signs </w:t>
            </w:r>
            <w:r w:rsidR="00871301" w:rsidRPr="00B75B77">
              <w:rPr>
                <w:sz w:val="18"/>
                <w:szCs w:val="18"/>
              </w:rPr>
              <w:t>–</w:t>
            </w:r>
            <w:r w:rsidRPr="00B75B77">
              <w:rPr>
                <w:sz w:val="18"/>
                <w:szCs w:val="18"/>
              </w:rPr>
              <w:t xml:space="preserve"> Interior LED Exit Signs</w:t>
            </w:r>
            <w:r w:rsidR="00871301" w:rsidRPr="00B75B77">
              <w:rPr>
                <w:sz w:val="18"/>
                <w:szCs w:val="18"/>
              </w:rPr>
              <w:t>,</w:t>
            </w:r>
            <w:r w:rsidRPr="00B75B77">
              <w:rPr>
                <w:sz w:val="18"/>
                <w:szCs w:val="18"/>
              </w:rPr>
              <w:t xml:space="preserve"> 2W</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128.1</w:t>
            </w:r>
            <w:r w:rsidR="007F2221" w:rsidRPr="00B75B77">
              <w:rPr>
                <w:sz w:val="18"/>
                <w:szCs w:val="18"/>
              </w:rPr>
              <w:t>0</w:t>
            </w:r>
            <w:r w:rsidRPr="00B75B77">
              <w:rPr>
                <w:sz w:val="18"/>
                <w:szCs w:val="18"/>
              </w:rPr>
              <w:t xml:space="preserve">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LED Refrigeration Case Lighting </w:t>
            </w:r>
            <w:r w:rsidR="00871301" w:rsidRPr="00B75B77">
              <w:rPr>
                <w:sz w:val="18"/>
                <w:szCs w:val="18"/>
              </w:rPr>
              <w:t>–</w:t>
            </w:r>
            <w:r w:rsidRPr="00B75B77">
              <w:rPr>
                <w:sz w:val="18"/>
                <w:szCs w:val="18"/>
              </w:rPr>
              <w:t xml:space="preserve"> 5</w:t>
            </w:r>
            <w:r w:rsidR="00871301" w:rsidRPr="00B75B77">
              <w:rPr>
                <w:sz w:val="18"/>
                <w:szCs w:val="18"/>
              </w:rPr>
              <w:t>-</w:t>
            </w:r>
            <w:r w:rsidRPr="00B75B77">
              <w:rPr>
                <w:sz w:val="18"/>
                <w:szCs w:val="18"/>
              </w:rPr>
              <w:t xml:space="preserve">Door LED Refrigerated Case </w:t>
            </w:r>
            <w:r w:rsidR="00871301" w:rsidRPr="00B75B77">
              <w:rPr>
                <w:sz w:val="18"/>
                <w:szCs w:val="18"/>
              </w:rPr>
              <w:t>–</w:t>
            </w:r>
            <w:r w:rsidRPr="00B75B77">
              <w:rPr>
                <w:sz w:val="18"/>
                <w:szCs w:val="18"/>
              </w:rPr>
              <w:t xml:space="preserve"> 60" LED Sticks</w:t>
            </w:r>
            <w:r w:rsidR="00871301" w:rsidRPr="00B75B77">
              <w:rPr>
                <w:sz w:val="18"/>
                <w:szCs w:val="18"/>
              </w:rPr>
              <w:t>,</w:t>
            </w:r>
            <w:r w:rsidRPr="00B75B77">
              <w:rPr>
                <w:sz w:val="18"/>
                <w:szCs w:val="18"/>
              </w:rPr>
              <w:t xml:space="preserve"> 69.6W</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275.99 / Refrigerated Case</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LED: A19, General Service Incandescent Lamp Replacement </w:t>
            </w:r>
            <w:r w:rsidR="00871301" w:rsidRPr="00B75B77">
              <w:rPr>
                <w:sz w:val="18"/>
                <w:szCs w:val="18"/>
              </w:rPr>
              <w:t>–</w:t>
            </w:r>
            <w:r w:rsidRPr="00B75B77">
              <w:rPr>
                <w:sz w:val="18"/>
                <w:szCs w:val="18"/>
              </w:rPr>
              <w:t xml:space="preserve"> Lumens = 310-749</w:t>
            </w:r>
            <w:r w:rsidR="00871301" w:rsidRPr="00B75B77">
              <w:rPr>
                <w:sz w:val="18"/>
                <w:szCs w:val="18"/>
              </w:rPr>
              <w:t>,</w:t>
            </w:r>
            <w:r w:rsidRPr="00B75B77">
              <w:rPr>
                <w:sz w:val="18"/>
                <w:szCs w:val="18"/>
              </w:rPr>
              <w:t xml:space="preserve"> 19W</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462.26 / Lamp</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LED: A19, General Service Incandescent Lamp Replacement -</w:t>
            </w:r>
            <w:r w:rsidR="00871301" w:rsidRPr="00B75B77">
              <w:rPr>
                <w:sz w:val="18"/>
                <w:szCs w:val="18"/>
              </w:rPr>
              <w:t>–</w:t>
            </w:r>
            <w:r w:rsidRPr="00B75B77">
              <w:rPr>
                <w:sz w:val="18"/>
                <w:szCs w:val="18"/>
              </w:rPr>
              <w:t>Lumens = 310-749</w:t>
            </w:r>
            <w:r w:rsidR="00871301" w:rsidRPr="00B75B77">
              <w:rPr>
                <w:sz w:val="18"/>
                <w:szCs w:val="18"/>
              </w:rPr>
              <w:t>,</w:t>
            </w:r>
            <w:r w:rsidRPr="00B75B77">
              <w:rPr>
                <w:sz w:val="18"/>
                <w:szCs w:val="18"/>
              </w:rPr>
              <w:t xml:space="preserve"> 6.5W</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260.7</w:t>
            </w:r>
            <w:r w:rsidR="007F2221" w:rsidRPr="00B75B77">
              <w:rPr>
                <w:sz w:val="18"/>
                <w:szCs w:val="18"/>
              </w:rPr>
              <w:t>0</w:t>
            </w:r>
            <w:r w:rsidRPr="00B75B77">
              <w:rPr>
                <w:sz w:val="18"/>
                <w:szCs w:val="18"/>
              </w:rPr>
              <w:t xml:space="preserve"> / Lamp</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LED: A19, General Service Incandescent Lamp Replacement </w:t>
            </w:r>
            <w:r w:rsidR="00871301" w:rsidRPr="00B75B77">
              <w:rPr>
                <w:sz w:val="18"/>
                <w:szCs w:val="18"/>
              </w:rPr>
              <w:t>–</w:t>
            </w:r>
            <w:r w:rsidRPr="00B75B77">
              <w:rPr>
                <w:sz w:val="18"/>
                <w:szCs w:val="18"/>
              </w:rPr>
              <w:t xml:space="preserve"> Lumens = 310-749</w:t>
            </w:r>
            <w:r w:rsidR="00871301" w:rsidRPr="00B75B77">
              <w:rPr>
                <w:sz w:val="18"/>
                <w:szCs w:val="18"/>
              </w:rPr>
              <w:t>,</w:t>
            </w:r>
            <w:r w:rsidRPr="00B75B77">
              <w:rPr>
                <w:sz w:val="18"/>
                <w:szCs w:val="18"/>
              </w:rPr>
              <w:t xml:space="preserve"> 7W</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134.36 / Lamp</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LED: A19, General Service Incandescent Lamp Replacement </w:t>
            </w:r>
            <w:r w:rsidR="00AD7463" w:rsidRPr="00B75B77">
              <w:rPr>
                <w:sz w:val="18"/>
                <w:szCs w:val="18"/>
              </w:rPr>
              <w:t>–</w:t>
            </w:r>
            <w:r w:rsidRPr="00B75B77">
              <w:rPr>
                <w:sz w:val="18"/>
                <w:szCs w:val="18"/>
              </w:rPr>
              <w:t xml:space="preserve"> </w:t>
            </w:r>
            <w:r w:rsidR="00AD7463" w:rsidRPr="00B75B77">
              <w:rPr>
                <w:sz w:val="18"/>
                <w:szCs w:val="18"/>
              </w:rPr>
              <w:t>L</w:t>
            </w:r>
            <w:r w:rsidRPr="00B75B77">
              <w:rPr>
                <w:sz w:val="18"/>
                <w:szCs w:val="18"/>
              </w:rPr>
              <w:t>umens = 750-1049</w:t>
            </w:r>
            <w:r w:rsidR="00AD7463" w:rsidRPr="00B75B77">
              <w:rPr>
                <w:sz w:val="18"/>
                <w:szCs w:val="18"/>
              </w:rPr>
              <w:t>,</w:t>
            </w:r>
            <w:r w:rsidRPr="00B75B77">
              <w:rPr>
                <w:sz w:val="18"/>
                <w:szCs w:val="18"/>
              </w:rPr>
              <w:t xml:space="preserve"> 11W</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117.41 / Lamp</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LED: BR30 </w:t>
            </w:r>
            <w:r w:rsidR="00AD7463" w:rsidRPr="00B75B77">
              <w:rPr>
                <w:sz w:val="18"/>
                <w:szCs w:val="18"/>
              </w:rPr>
              <w:t>–</w:t>
            </w:r>
            <w:r w:rsidRPr="00B75B77">
              <w:rPr>
                <w:sz w:val="18"/>
                <w:szCs w:val="18"/>
              </w:rPr>
              <w:t xml:space="preserve"> </w:t>
            </w:r>
            <w:r w:rsidR="00AD7463" w:rsidRPr="00B75B77">
              <w:rPr>
                <w:sz w:val="18"/>
                <w:szCs w:val="18"/>
              </w:rPr>
              <w:t>L</w:t>
            </w:r>
            <w:r w:rsidRPr="00B75B77">
              <w:rPr>
                <w:sz w:val="18"/>
                <w:szCs w:val="18"/>
              </w:rPr>
              <w:t>umens = 561-837</w:t>
            </w:r>
            <w:r w:rsidR="00AD7463" w:rsidRPr="00B75B77">
              <w:rPr>
                <w:sz w:val="18"/>
                <w:szCs w:val="18"/>
              </w:rPr>
              <w:t>,</w:t>
            </w:r>
            <w:r w:rsidRPr="00B75B77">
              <w:rPr>
                <w:sz w:val="18"/>
                <w:szCs w:val="18"/>
              </w:rPr>
              <w:t xml:space="preserve"> 13W</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173.11 / Lamp</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LED: BR40 </w:t>
            </w:r>
            <w:r w:rsidR="00AD7463" w:rsidRPr="00B75B77">
              <w:rPr>
                <w:sz w:val="18"/>
                <w:szCs w:val="18"/>
              </w:rPr>
              <w:t>–</w:t>
            </w:r>
            <w:r w:rsidRPr="00B75B77">
              <w:rPr>
                <w:sz w:val="18"/>
                <w:szCs w:val="18"/>
              </w:rPr>
              <w:t xml:space="preserve"> </w:t>
            </w:r>
            <w:r w:rsidR="00AD7463" w:rsidRPr="00B75B77">
              <w:rPr>
                <w:sz w:val="18"/>
                <w:szCs w:val="18"/>
              </w:rPr>
              <w:t>L</w:t>
            </w:r>
            <w:r w:rsidRPr="00B75B77">
              <w:rPr>
                <w:sz w:val="18"/>
                <w:szCs w:val="18"/>
              </w:rPr>
              <w:t>umens = 561-837</w:t>
            </w:r>
            <w:r w:rsidR="00AD7463" w:rsidRPr="00B75B77">
              <w:rPr>
                <w:sz w:val="18"/>
                <w:szCs w:val="18"/>
              </w:rPr>
              <w:t>,</w:t>
            </w:r>
            <w:r w:rsidRPr="00B75B77">
              <w:rPr>
                <w:sz w:val="18"/>
                <w:szCs w:val="18"/>
              </w:rPr>
              <w:t xml:space="preserve"> 12W</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104.07 / Lamp</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LED: BR40 </w:t>
            </w:r>
            <w:r w:rsidR="00AD7463" w:rsidRPr="00B75B77">
              <w:rPr>
                <w:sz w:val="18"/>
                <w:szCs w:val="18"/>
              </w:rPr>
              <w:t>–</w:t>
            </w:r>
            <w:r w:rsidRPr="00B75B77">
              <w:rPr>
                <w:sz w:val="18"/>
                <w:szCs w:val="18"/>
              </w:rPr>
              <w:t xml:space="preserve"> </w:t>
            </w:r>
            <w:r w:rsidR="00AD7463" w:rsidRPr="00B75B77">
              <w:rPr>
                <w:sz w:val="18"/>
                <w:szCs w:val="18"/>
              </w:rPr>
              <w:t>L</w:t>
            </w:r>
            <w:r w:rsidRPr="00B75B77">
              <w:rPr>
                <w:sz w:val="18"/>
                <w:szCs w:val="18"/>
              </w:rPr>
              <w:t>umens = 561-837</w:t>
            </w:r>
            <w:r w:rsidR="00AD7463" w:rsidRPr="00B75B77">
              <w:rPr>
                <w:sz w:val="18"/>
                <w:szCs w:val="18"/>
              </w:rPr>
              <w:t>,</w:t>
            </w:r>
            <w:r w:rsidRPr="00B75B77">
              <w:rPr>
                <w:sz w:val="18"/>
                <w:szCs w:val="18"/>
              </w:rPr>
              <w:t xml:space="preserve"> 14W</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217.3</w:t>
            </w:r>
            <w:r w:rsidR="007F2221" w:rsidRPr="00B75B77">
              <w:rPr>
                <w:sz w:val="18"/>
                <w:szCs w:val="18"/>
              </w:rPr>
              <w:t>0</w:t>
            </w:r>
            <w:r w:rsidRPr="00B75B77">
              <w:rPr>
                <w:sz w:val="18"/>
                <w:szCs w:val="18"/>
              </w:rPr>
              <w:t xml:space="preserve"> / Lamp</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LED: LED Replacing HID </w:t>
            </w:r>
            <w:r w:rsidR="00AD7463" w:rsidRPr="00B75B77">
              <w:rPr>
                <w:sz w:val="18"/>
                <w:szCs w:val="18"/>
              </w:rPr>
              <w:t>–</w:t>
            </w:r>
            <w:r w:rsidRPr="00B75B77">
              <w:rPr>
                <w:sz w:val="18"/>
                <w:szCs w:val="18"/>
              </w:rPr>
              <w:t xml:space="preserve"> New LED Area/Pole Mount Fixture </w:t>
            </w:r>
            <w:r w:rsidR="00AD7463" w:rsidRPr="00B75B77">
              <w:rPr>
                <w:sz w:val="18"/>
                <w:szCs w:val="18"/>
              </w:rPr>
              <w:t>R</w:t>
            </w:r>
            <w:r w:rsidRPr="00B75B77">
              <w:rPr>
                <w:sz w:val="18"/>
                <w:szCs w:val="18"/>
              </w:rPr>
              <w:t>eplacing HID 100-175W</w:t>
            </w:r>
            <w:r w:rsidR="00AD7463" w:rsidRPr="00B75B77">
              <w:rPr>
                <w:sz w:val="18"/>
                <w:szCs w:val="18"/>
              </w:rPr>
              <w:t>,</w:t>
            </w:r>
            <w:r w:rsidRPr="00B75B77">
              <w:rPr>
                <w:sz w:val="18"/>
                <w:szCs w:val="18"/>
              </w:rPr>
              <w:t xml:space="preserve"> 50W</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878.02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LED: LED Replacing HID </w:t>
            </w:r>
            <w:r w:rsidR="00AD7463" w:rsidRPr="00B75B77">
              <w:rPr>
                <w:sz w:val="18"/>
                <w:szCs w:val="18"/>
              </w:rPr>
              <w:t>–</w:t>
            </w:r>
            <w:r w:rsidRPr="00B75B77">
              <w:rPr>
                <w:sz w:val="18"/>
                <w:szCs w:val="18"/>
              </w:rPr>
              <w:t xml:space="preserve"> New LED Area/Pole Mount Fixture </w:t>
            </w:r>
            <w:r w:rsidR="00AD7463" w:rsidRPr="00B75B77">
              <w:rPr>
                <w:sz w:val="18"/>
                <w:szCs w:val="18"/>
              </w:rPr>
              <w:t>R</w:t>
            </w:r>
            <w:r w:rsidRPr="00B75B77">
              <w:rPr>
                <w:sz w:val="18"/>
                <w:szCs w:val="18"/>
              </w:rPr>
              <w:t>eplacing HID 400W</w:t>
            </w:r>
            <w:r w:rsidR="00AD7463" w:rsidRPr="00B75B77">
              <w:rPr>
                <w:sz w:val="18"/>
                <w:szCs w:val="18"/>
              </w:rPr>
              <w:t>,</w:t>
            </w:r>
            <w:r w:rsidRPr="00B75B77">
              <w:rPr>
                <w:sz w:val="18"/>
                <w:szCs w:val="18"/>
              </w:rPr>
              <w:t xml:space="preserve"> 137W</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518.09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LED: LED Replacing HID </w:t>
            </w:r>
            <w:r w:rsidR="00AD7463" w:rsidRPr="00B75B77">
              <w:rPr>
                <w:sz w:val="18"/>
                <w:szCs w:val="18"/>
              </w:rPr>
              <w:t>–</w:t>
            </w:r>
            <w:r w:rsidRPr="00B75B77">
              <w:rPr>
                <w:sz w:val="18"/>
                <w:szCs w:val="18"/>
              </w:rPr>
              <w:t xml:space="preserve"> New LED Flood </w:t>
            </w:r>
            <w:r w:rsidR="00AD7463" w:rsidRPr="00B75B77">
              <w:rPr>
                <w:sz w:val="18"/>
                <w:szCs w:val="18"/>
              </w:rPr>
              <w:t>R</w:t>
            </w:r>
            <w:r w:rsidRPr="00B75B77">
              <w:rPr>
                <w:sz w:val="18"/>
                <w:szCs w:val="18"/>
              </w:rPr>
              <w:t>eplacing HID 175-320W</w:t>
            </w:r>
            <w:r w:rsidR="00AD7463" w:rsidRPr="00B75B77">
              <w:rPr>
                <w:sz w:val="18"/>
                <w:szCs w:val="18"/>
              </w:rPr>
              <w:t>,</w:t>
            </w:r>
            <w:r w:rsidRPr="00B75B77">
              <w:rPr>
                <w:sz w:val="18"/>
                <w:szCs w:val="18"/>
              </w:rPr>
              <w:t xml:space="preserve"> 41W</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477.71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LED: LED Replacing HID </w:t>
            </w:r>
            <w:r w:rsidR="00AD7463" w:rsidRPr="00B75B77">
              <w:rPr>
                <w:sz w:val="18"/>
                <w:szCs w:val="18"/>
              </w:rPr>
              <w:t>–</w:t>
            </w:r>
            <w:r w:rsidRPr="00B75B77">
              <w:rPr>
                <w:sz w:val="18"/>
                <w:szCs w:val="18"/>
              </w:rPr>
              <w:t xml:space="preserve"> New LED Flood </w:t>
            </w:r>
            <w:r w:rsidR="00AD7463" w:rsidRPr="00B75B77">
              <w:rPr>
                <w:sz w:val="18"/>
                <w:szCs w:val="18"/>
              </w:rPr>
              <w:t>R</w:t>
            </w:r>
            <w:r w:rsidRPr="00B75B77">
              <w:rPr>
                <w:sz w:val="18"/>
                <w:szCs w:val="18"/>
              </w:rPr>
              <w:t>eplacing HID 400W</w:t>
            </w:r>
            <w:r w:rsidR="00AD7463" w:rsidRPr="00B75B77">
              <w:rPr>
                <w:sz w:val="18"/>
                <w:szCs w:val="18"/>
              </w:rPr>
              <w:t>,</w:t>
            </w:r>
            <w:r w:rsidRPr="00B75B77">
              <w:rPr>
                <w:sz w:val="18"/>
                <w:szCs w:val="18"/>
              </w:rPr>
              <w:t xml:space="preserve"> 79W</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833.52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LED: LED Replacing HID </w:t>
            </w:r>
            <w:r w:rsidR="00AD7463" w:rsidRPr="00B75B77">
              <w:rPr>
                <w:sz w:val="18"/>
                <w:szCs w:val="18"/>
              </w:rPr>
              <w:t>–</w:t>
            </w:r>
            <w:r w:rsidRPr="00B75B77">
              <w:rPr>
                <w:sz w:val="18"/>
                <w:szCs w:val="18"/>
              </w:rPr>
              <w:t xml:space="preserve"> New LED </w:t>
            </w:r>
            <w:proofErr w:type="spellStart"/>
            <w:r w:rsidRPr="00B75B77">
              <w:rPr>
                <w:sz w:val="18"/>
                <w:szCs w:val="18"/>
              </w:rPr>
              <w:t>Wallpack</w:t>
            </w:r>
            <w:proofErr w:type="spellEnd"/>
            <w:r w:rsidRPr="00B75B77">
              <w:rPr>
                <w:sz w:val="18"/>
                <w:szCs w:val="18"/>
              </w:rPr>
              <w:t xml:space="preserve"> </w:t>
            </w:r>
            <w:r w:rsidR="00AD7463" w:rsidRPr="00B75B77">
              <w:rPr>
                <w:sz w:val="18"/>
                <w:szCs w:val="18"/>
              </w:rPr>
              <w:t>R</w:t>
            </w:r>
            <w:r w:rsidRPr="00B75B77">
              <w:rPr>
                <w:sz w:val="18"/>
                <w:szCs w:val="18"/>
              </w:rPr>
              <w:t>eplacing HID 176-250W</w:t>
            </w:r>
            <w:r w:rsidR="00AD7463" w:rsidRPr="00B75B77">
              <w:rPr>
                <w:sz w:val="18"/>
                <w:szCs w:val="18"/>
              </w:rPr>
              <w:t>,</w:t>
            </w:r>
            <w:r w:rsidRPr="00B75B77">
              <w:rPr>
                <w:sz w:val="18"/>
                <w:szCs w:val="18"/>
              </w:rPr>
              <w:t xml:space="preserve"> 26W</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958.72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lastRenderedPageBreak/>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LED: MR16 </w:t>
            </w:r>
            <w:r w:rsidR="00AD7463" w:rsidRPr="00B75B77">
              <w:rPr>
                <w:sz w:val="18"/>
                <w:szCs w:val="18"/>
              </w:rPr>
              <w:t>–</w:t>
            </w:r>
            <w:r w:rsidRPr="00B75B77">
              <w:rPr>
                <w:sz w:val="18"/>
                <w:szCs w:val="18"/>
              </w:rPr>
              <w:t xml:space="preserve"> Lumens = 310-749</w:t>
            </w:r>
            <w:r w:rsidR="00AD7463" w:rsidRPr="00B75B77">
              <w:rPr>
                <w:sz w:val="18"/>
                <w:szCs w:val="18"/>
              </w:rPr>
              <w:t>,</w:t>
            </w:r>
            <w:r w:rsidRPr="00B75B77">
              <w:rPr>
                <w:sz w:val="18"/>
                <w:szCs w:val="18"/>
              </w:rPr>
              <w:t xml:space="preserve"> 6.5W</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143.87 / Lamp</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LED: MR16 </w:t>
            </w:r>
            <w:r w:rsidR="00AD7463" w:rsidRPr="00B75B77">
              <w:rPr>
                <w:sz w:val="18"/>
                <w:szCs w:val="18"/>
              </w:rPr>
              <w:t>–</w:t>
            </w:r>
            <w:r w:rsidRPr="00B75B77">
              <w:rPr>
                <w:sz w:val="18"/>
                <w:szCs w:val="18"/>
              </w:rPr>
              <w:t xml:space="preserve"> Lumens = 310-749</w:t>
            </w:r>
            <w:r w:rsidR="00AD7463" w:rsidRPr="00B75B77">
              <w:rPr>
                <w:sz w:val="18"/>
                <w:szCs w:val="18"/>
              </w:rPr>
              <w:t>,</w:t>
            </w:r>
            <w:r w:rsidRPr="00B75B77">
              <w:rPr>
                <w:sz w:val="18"/>
                <w:szCs w:val="18"/>
              </w:rPr>
              <w:t xml:space="preserve"> 6W</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462.77 / Lamp</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LED: PAR20 </w:t>
            </w:r>
            <w:r w:rsidR="00AD7463" w:rsidRPr="00B75B77">
              <w:rPr>
                <w:sz w:val="18"/>
                <w:szCs w:val="18"/>
              </w:rPr>
              <w:t>–</w:t>
            </w:r>
            <w:r w:rsidRPr="00B75B77">
              <w:rPr>
                <w:sz w:val="18"/>
                <w:szCs w:val="18"/>
              </w:rPr>
              <w:t xml:space="preserve"> Lumens = 310-749</w:t>
            </w:r>
            <w:r w:rsidR="00AD7463" w:rsidRPr="00B75B77">
              <w:rPr>
                <w:sz w:val="18"/>
                <w:szCs w:val="18"/>
              </w:rPr>
              <w:t>,</w:t>
            </w:r>
            <w:r w:rsidRPr="00B75B77">
              <w:rPr>
                <w:sz w:val="18"/>
                <w:szCs w:val="18"/>
              </w:rPr>
              <w:t xml:space="preserve"> 8W</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242.68 / Lamp</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LED: PAR30 </w:t>
            </w:r>
            <w:r w:rsidR="00AD7463" w:rsidRPr="00B75B77">
              <w:rPr>
                <w:sz w:val="18"/>
                <w:szCs w:val="18"/>
              </w:rPr>
              <w:t>–</w:t>
            </w:r>
            <w:r w:rsidRPr="00B75B77">
              <w:rPr>
                <w:sz w:val="18"/>
                <w:szCs w:val="18"/>
              </w:rPr>
              <w:t xml:space="preserve"> </w:t>
            </w:r>
            <w:r w:rsidR="00AD7463" w:rsidRPr="00B75B77">
              <w:rPr>
                <w:sz w:val="18"/>
                <w:szCs w:val="18"/>
              </w:rPr>
              <w:t>L</w:t>
            </w:r>
            <w:r w:rsidRPr="00B75B77">
              <w:rPr>
                <w:sz w:val="18"/>
                <w:szCs w:val="18"/>
              </w:rPr>
              <w:t>umens = 561-837</w:t>
            </w:r>
            <w:r w:rsidR="00AD7463" w:rsidRPr="00B75B77">
              <w:rPr>
                <w:sz w:val="18"/>
                <w:szCs w:val="18"/>
              </w:rPr>
              <w:t>,</w:t>
            </w:r>
            <w:r w:rsidRPr="00B75B77">
              <w:rPr>
                <w:sz w:val="18"/>
                <w:szCs w:val="18"/>
              </w:rPr>
              <w:t xml:space="preserve"> 12W</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202.08 / Lamp</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LED: PAR38 </w:t>
            </w:r>
            <w:r w:rsidR="00AD7463" w:rsidRPr="00B75B77">
              <w:rPr>
                <w:sz w:val="18"/>
                <w:szCs w:val="18"/>
              </w:rPr>
              <w:t>–</w:t>
            </w:r>
            <w:r w:rsidRPr="00B75B77">
              <w:rPr>
                <w:sz w:val="18"/>
                <w:szCs w:val="18"/>
              </w:rPr>
              <w:t xml:space="preserve"> </w:t>
            </w:r>
            <w:r w:rsidR="00AD7463" w:rsidRPr="00B75B77">
              <w:rPr>
                <w:sz w:val="18"/>
                <w:szCs w:val="18"/>
              </w:rPr>
              <w:t>L</w:t>
            </w:r>
            <w:r w:rsidRPr="00B75B77">
              <w:rPr>
                <w:sz w:val="18"/>
                <w:szCs w:val="18"/>
              </w:rPr>
              <w:t>umens = 750-1049</w:t>
            </w:r>
            <w:r w:rsidR="00AD7463" w:rsidRPr="00B75B77">
              <w:rPr>
                <w:sz w:val="18"/>
                <w:szCs w:val="18"/>
              </w:rPr>
              <w:t>,</w:t>
            </w:r>
            <w:r w:rsidRPr="00B75B77">
              <w:rPr>
                <w:sz w:val="18"/>
                <w:szCs w:val="18"/>
              </w:rPr>
              <w:t xml:space="preserve"> 13W</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314.26 / Lamp</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LED:</w:t>
            </w:r>
            <w:r w:rsidR="00AD7463" w:rsidRPr="00B75B77">
              <w:rPr>
                <w:sz w:val="18"/>
                <w:szCs w:val="18"/>
              </w:rPr>
              <w:t xml:space="preserve"> </w:t>
            </w:r>
            <w:r w:rsidRPr="00B75B77">
              <w:rPr>
                <w:sz w:val="18"/>
                <w:szCs w:val="18"/>
              </w:rPr>
              <w:t xml:space="preserve">A19 </w:t>
            </w:r>
            <w:r w:rsidR="00AD7463" w:rsidRPr="00B75B77">
              <w:rPr>
                <w:sz w:val="18"/>
                <w:szCs w:val="18"/>
              </w:rPr>
              <w:t>–</w:t>
            </w:r>
            <w:r w:rsidRPr="00B75B77">
              <w:rPr>
                <w:sz w:val="18"/>
                <w:szCs w:val="18"/>
              </w:rPr>
              <w:t xml:space="preserve"> Lumens = 310-749</w:t>
            </w:r>
            <w:r w:rsidR="00AD7463" w:rsidRPr="00B75B77">
              <w:rPr>
                <w:sz w:val="18"/>
                <w:szCs w:val="18"/>
              </w:rPr>
              <w:t>,</w:t>
            </w:r>
            <w:r w:rsidRPr="00B75B77">
              <w:rPr>
                <w:sz w:val="18"/>
                <w:szCs w:val="18"/>
              </w:rPr>
              <w:t xml:space="preserve"> 9.5W</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117.31 / Lamp</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LED:</w:t>
            </w:r>
            <w:r w:rsidR="00AD7463" w:rsidRPr="00B75B77">
              <w:rPr>
                <w:sz w:val="18"/>
                <w:szCs w:val="18"/>
              </w:rPr>
              <w:t xml:space="preserve"> </w:t>
            </w:r>
            <w:r w:rsidRPr="00B75B77">
              <w:rPr>
                <w:sz w:val="18"/>
                <w:szCs w:val="18"/>
              </w:rPr>
              <w:t xml:space="preserve">BR30 </w:t>
            </w:r>
            <w:r w:rsidR="00AD7463" w:rsidRPr="00B75B77">
              <w:rPr>
                <w:sz w:val="18"/>
                <w:szCs w:val="18"/>
              </w:rPr>
              <w:t>–</w:t>
            </w:r>
            <w:r w:rsidRPr="00B75B77">
              <w:rPr>
                <w:sz w:val="18"/>
                <w:szCs w:val="18"/>
              </w:rPr>
              <w:t xml:space="preserve"> Lumens = 310-749</w:t>
            </w:r>
            <w:r w:rsidR="00AD7463" w:rsidRPr="00B75B77">
              <w:rPr>
                <w:sz w:val="18"/>
                <w:szCs w:val="18"/>
              </w:rPr>
              <w:t>,</w:t>
            </w:r>
            <w:r w:rsidRPr="00B75B77">
              <w:rPr>
                <w:sz w:val="18"/>
                <w:szCs w:val="18"/>
              </w:rPr>
              <w:t xml:space="preserve"> 9.5W</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244.18 / Lamp</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LED:</w:t>
            </w:r>
            <w:r w:rsidR="00AD7463" w:rsidRPr="00B75B77">
              <w:rPr>
                <w:sz w:val="18"/>
                <w:szCs w:val="18"/>
              </w:rPr>
              <w:t xml:space="preserve"> </w:t>
            </w:r>
            <w:r w:rsidRPr="00B75B77">
              <w:rPr>
                <w:sz w:val="18"/>
                <w:szCs w:val="18"/>
              </w:rPr>
              <w:t xml:space="preserve">BR30 </w:t>
            </w:r>
            <w:r w:rsidR="00AD7463" w:rsidRPr="00B75B77">
              <w:rPr>
                <w:sz w:val="18"/>
                <w:szCs w:val="18"/>
              </w:rPr>
              <w:t>–</w:t>
            </w:r>
            <w:r w:rsidRPr="00B75B77">
              <w:rPr>
                <w:sz w:val="18"/>
                <w:szCs w:val="18"/>
              </w:rPr>
              <w:t xml:space="preserve"> Lumens = 310-749</w:t>
            </w:r>
            <w:r w:rsidR="00AD7463" w:rsidRPr="00B75B77">
              <w:rPr>
                <w:sz w:val="18"/>
                <w:szCs w:val="18"/>
              </w:rPr>
              <w:t>,</w:t>
            </w:r>
            <w:r w:rsidRPr="00B75B77">
              <w:rPr>
                <w:sz w:val="18"/>
                <w:szCs w:val="18"/>
              </w:rPr>
              <w:t xml:space="preserve"> 9W</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152.06 / Lamp</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LED:</w:t>
            </w:r>
            <w:r w:rsidR="00AD7463" w:rsidRPr="00B75B77">
              <w:rPr>
                <w:sz w:val="18"/>
                <w:szCs w:val="18"/>
              </w:rPr>
              <w:t xml:space="preserve"> </w:t>
            </w:r>
            <w:r w:rsidRPr="00B75B77">
              <w:rPr>
                <w:sz w:val="18"/>
                <w:szCs w:val="18"/>
              </w:rPr>
              <w:t xml:space="preserve">BR30 </w:t>
            </w:r>
            <w:r w:rsidR="00AD7463" w:rsidRPr="00B75B77">
              <w:rPr>
                <w:sz w:val="18"/>
                <w:szCs w:val="18"/>
              </w:rPr>
              <w:t>–</w:t>
            </w:r>
            <w:r w:rsidRPr="00B75B77">
              <w:rPr>
                <w:sz w:val="18"/>
                <w:szCs w:val="18"/>
              </w:rPr>
              <w:t xml:space="preserve"> </w:t>
            </w:r>
            <w:r w:rsidR="00AD7463" w:rsidRPr="00B75B77">
              <w:rPr>
                <w:sz w:val="18"/>
                <w:szCs w:val="18"/>
              </w:rPr>
              <w:t>L</w:t>
            </w:r>
            <w:r w:rsidRPr="00B75B77">
              <w:rPr>
                <w:sz w:val="18"/>
                <w:szCs w:val="18"/>
              </w:rPr>
              <w:t>umens = 561-837</w:t>
            </w:r>
            <w:r w:rsidR="00AD7463" w:rsidRPr="00B75B77">
              <w:rPr>
                <w:sz w:val="18"/>
                <w:szCs w:val="18"/>
              </w:rPr>
              <w:t>,</w:t>
            </w:r>
            <w:r w:rsidRPr="00B75B77">
              <w:rPr>
                <w:sz w:val="18"/>
                <w:szCs w:val="18"/>
              </w:rPr>
              <w:t xml:space="preserve"> 10.5W</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297.54 / Lamp</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LED:</w:t>
            </w:r>
            <w:r w:rsidR="00AD7463" w:rsidRPr="00B75B77">
              <w:rPr>
                <w:sz w:val="18"/>
                <w:szCs w:val="18"/>
              </w:rPr>
              <w:t xml:space="preserve"> </w:t>
            </w:r>
            <w:r w:rsidRPr="00B75B77">
              <w:rPr>
                <w:sz w:val="18"/>
                <w:szCs w:val="18"/>
              </w:rPr>
              <w:t xml:space="preserve">CLBR </w:t>
            </w:r>
            <w:r w:rsidR="00AD7463" w:rsidRPr="00B75B77">
              <w:rPr>
                <w:sz w:val="18"/>
                <w:szCs w:val="18"/>
              </w:rPr>
              <w:t>–</w:t>
            </w:r>
            <w:r w:rsidRPr="00B75B77">
              <w:rPr>
                <w:sz w:val="18"/>
                <w:szCs w:val="18"/>
              </w:rPr>
              <w:t xml:space="preserve"> </w:t>
            </w:r>
            <w:r w:rsidR="00AD7463" w:rsidRPr="00B75B77">
              <w:rPr>
                <w:sz w:val="18"/>
                <w:szCs w:val="18"/>
              </w:rPr>
              <w:t>L</w:t>
            </w:r>
            <w:r w:rsidRPr="00B75B77">
              <w:rPr>
                <w:sz w:val="18"/>
                <w:szCs w:val="18"/>
              </w:rPr>
              <w:t>umens = 180 to 309</w:t>
            </w:r>
            <w:r w:rsidR="00AD7463" w:rsidRPr="00B75B77">
              <w:rPr>
                <w:sz w:val="18"/>
                <w:szCs w:val="18"/>
              </w:rPr>
              <w:t>,</w:t>
            </w:r>
            <w:r w:rsidRPr="00B75B77">
              <w:rPr>
                <w:sz w:val="18"/>
                <w:szCs w:val="18"/>
              </w:rPr>
              <w:t xml:space="preserve"> 4W</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478.09 / Lamp</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LED:</w:t>
            </w:r>
            <w:r w:rsidR="00AD7463" w:rsidRPr="00B75B77">
              <w:rPr>
                <w:sz w:val="18"/>
                <w:szCs w:val="18"/>
              </w:rPr>
              <w:t xml:space="preserve"> </w:t>
            </w:r>
            <w:r w:rsidRPr="00B75B77">
              <w:rPr>
                <w:sz w:val="18"/>
                <w:szCs w:val="18"/>
              </w:rPr>
              <w:t xml:space="preserve">CLBR </w:t>
            </w:r>
            <w:r w:rsidR="00AD7463" w:rsidRPr="00B75B77">
              <w:rPr>
                <w:sz w:val="18"/>
                <w:szCs w:val="18"/>
              </w:rPr>
              <w:t>–</w:t>
            </w:r>
            <w:r w:rsidRPr="00B75B77">
              <w:rPr>
                <w:sz w:val="18"/>
                <w:szCs w:val="18"/>
              </w:rPr>
              <w:t xml:space="preserve"> Lumens = 310-749</w:t>
            </w:r>
            <w:r w:rsidR="00AD7463" w:rsidRPr="00B75B77">
              <w:rPr>
                <w:sz w:val="18"/>
                <w:szCs w:val="18"/>
              </w:rPr>
              <w:t>,</w:t>
            </w:r>
            <w:r w:rsidRPr="00B75B77">
              <w:rPr>
                <w:sz w:val="18"/>
                <w:szCs w:val="18"/>
              </w:rPr>
              <w:t xml:space="preserve"> 4.5W</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486.4 / Lamp</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LED:</w:t>
            </w:r>
            <w:r w:rsidR="00AD7463" w:rsidRPr="00B75B77">
              <w:rPr>
                <w:sz w:val="18"/>
                <w:szCs w:val="18"/>
              </w:rPr>
              <w:t xml:space="preserve"> </w:t>
            </w:r>
            <w:r w:rsidRPr="00B75B77">
              <w:rPr>
                <w:sz w:val="18"/>
                <w:szCs w:val="18"/>
              </w:rPr>
              <w:t xml:space="preserve">CLBR </w:t>
            </w:r>
            <w:r w:rsidR="00AD7463" w:rsidRPr="00B75B77">
              <w:rPr>
                <w:sz w:val="18"/>
                <w:szCs w:val="18"/>
              </w:rPr>
              <w:t>–</w:t>
            </w:r>
            <w:r w:rsidRPr="00B75B77">
              <w:rPr>
                <w:sz w:val="18"/>
                <w:szCs w:val="18"/>
              </w:rPr>
              <w:t xml:space="preserve"> Lumens = 310-749</w:t>
            </w:r>
            <w:r w:rsidR="00AD7463" w:rsidRPr="00B75B77">
              <w:rPr>
                <w:sz w:val="18"/>
                <w:szCs w:val="18"/>
              </w:rPr>
              <w:t>,</w:t>
            </w:r>
            <w:r w:rsidRPr="00B75B77">
              <w:rPr>
                <w:sz w:val="18"/>
                <w:szCs w:val="18"/>
              </w:rPr>
              <w:t xml:space="preserve"> 9W</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130.81 / Lamp</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LED:</w:t>
            </w:r>
            <w:r w:rsidR="00AD7463" w:rsidRPr="00B75B77">
              <w:rPr>
                <w:sz w:val="18"/>
                <w:szCs w:val="18"/>
              </w:rPr>
              <w:t xml:space="preserve"> </w:t>
            </w:r>
            <w:r w:rsidRPr="00B75B77">
              <w:rPr>
                <w:sz w:val="18"/>
                <w:szCs w:val="18"/>
              </w:rPr>
              <w:t xml:space="preserve">MR16 </w:t>
            </w:r>
            <w:r w:rsidR="00AD7463" w:rsidRPr="00B75B77">
              <w:rPr>
                <w:sz w:val="18"/>
                <w:szCs w:val="18"/>
              </w:rPr>
              <w:t>–</w:t>
            </w:r>
            <w:r w:rsidRPr="00B75B77">
              <w:rPr>
                <w:sz w:val="18"/>
                <w:szCs w:val="18"/>
              </w:rPr>
              <w:t xml:space="preserve"> Lumens = 310-749</w:t>
            </w:r>
            <w:r w:rsidR="00AD7463" w:rsidRPr="00B75B77">
              <w:rPr>
                <w:sz w:val="18"/>
                <w:szCs w:val="18"/>
              </w:rPr>
              <w:t>,</w:t>
            </w:r>
            <w:r w:rsidRPr="00B75B77">
              <w:rPr>
                <w:sz w:val="18"/>
                <w:szCs w:val="18"/>
              </w:rPr>
              <w:t xml:space="preserve"> 4.5W</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25.84 / Lamp</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LED:</w:t>
            </w:r>
            <w:r w:rsidR="00AD7463" w:rsidRPr="00B75B77">
              <w:rPr>
                <w:sz w:val="18"/>
                <w:szCs w:val="18"/>
              </w:rPr>
              <w:t xml:space="preserve"> </w:t>
            </w:r>
            <w:r w:rsidRPr="00B75B77">
              <w:rPr>
                <w:sz w:val="18"/>
                <w:szCs w:val="18"/>
              </w:rPr>
              <w:t xml:space="preserve">MR16 </w:t>
            </w:r>
            <w:r w:rsidR="00AD7463" w:rsidRPr="00B75B77">
              <w:rPr>
                <w:sz w:val="18"/>
                <w:szCs w:val="18"/>
              </w:rPr>
              <w:t>–</w:t>
            </w:r>
            <w:r w:rsidRPr="00B75B77">
              <w:rPr>
                <w:sz w:val="18"/>
                <w:szCs w:val="18"/>
              </w:rPr>
              <w:t xml:space="preserve"> Lumens = 310-749</w:t>
            </w:r>
            <w:r w:rsidR="00AD7463" w:rsidRPr="00B75B77">
              <w:rPr>
                <w:sz w:val="18"/>
                <w:szCs w:val="18"/>
              </w:rPr>
              <w:t>,</w:t>
            </w:r>
            <w:r w:rsidRPr="00B75B77">
              <w:rPr>
                <w:sz w:val="18"/>
                <w:szCs w:val="18"/>
              </w:rPr>
              <w:t xml:space="preserve"> 8.5W</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158.27 / Lamp</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AD7463">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Linear Fluorescent: T8/T5 Fluorescent Fixture w/ Electronic Ballast</w:t>
            </w:r>
            <w:r w:rsidR="00AD7463" w:rsidRPr="00B75B77">
              <w:rPr>
                <w:sz w:val="18"/>
                <w:szCs w:val="18"/>
              </w:rPr>
              <w:t>–</w:t>
            </w:r>
            <w:r w:rsidRPr="00B75B77">
              <w:rPr>
                <w:sz w:val="18"/>
                <w:szCs w:val="18"/>
              </w:rPr>
              <w:t xml:space="preserve"> High</w:t>
            </w:r>
            <w:r w:rsidR="00AD7463" w:rsidRPr="00B75B77">
              <w:rPr>
                <w:sz w:val="18"/>
                <w:szCs w:val="18"/>
              </w:rPr>
              <w:t>-</w:t>
            </w:r>
            <w:r w:rsidRPr="00B75B77">
              <w:rPr>
                <w:sz w:val="18"/>
                <w:szCs w:val="18"/>
              </w:rPr>
              <w:t>Bay Fluorescent T-5</w:t>
            </w:r>
            <w:r w:rsidR="00AD7463" w:rsidRPr="00B75B77">
              <w:rPr>
                <w:sz w:val="18"/>
                <w:szCs w:val="18"/>
              </w:rPr>
              <w:t>,</w:t>
            </w:r>
            <w:r w:rsidRPr="00B75B77">
              <w:rPr>
                <w:sz w:val="18"/>
                <w:szCs w:val="18"/>
              </w:rPr>
              <w:t xml:space="preserve"> T5 3F54HO</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4</w:t>
            </w:r>
            <w:r w:rsidR="007F2221" w:rsidRPr="00B75B77">
              <w:rPr>
                <w:sz w:val="18"/>
                <w:szCs w:val="18"/>
              </w:rPr>
              <w:t>,</w:t>
            </w:r>
            <w:r w:rsidRPr="00B75B77">
              <w:rPr>
                <w:sz w:val="18"/>
                <w:szCs w:val="18"/>
              </w:rPr>
              <w:t xml:space="preserve">705.88 / </w:t>
            </w:r>
            <w:r w:rsidR="00AD7463" w:rsidRPr="00B75B77">
              <w:rPr>
                <w:sz w:val="18"/>
                <w:szCs w:val="18"/>
              </w:rPr>
              <w:t>F</w:t>
            </w:r>
            <w:r w:rsidRPr="00B75B77">
              <w:rPr>
                <w:sz w:val="18"/>
                <w:szCs w:val="18"/>
              </w:rPr>
              <w:t>ixture</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AD7463" w:rsidRPr="00B75B77">
              <w:rPr>
                <w:sz w:val="18"/>
                <w:szCs w:val="18"/>
              </w:rPr>
              <w:t>–</w:t>
            </w:r>
            <w:r w:rsidRPr="00B75B77">
              <w:rPr>
                <w:sz w:val="18"/>
                <w:szCs w:val="18"/>
              </w:rPr>
              <w:t xml:space="preserve"> High</w:t>
            </w:r>
            <w:r w:rsidR="00AD7463" w:rsidRPr="00B75B77">
              <w:rPr>
                <w:sz w:val="18"/>
                <w:szCs w:val="18"/>
              </w:rPr>
              <w:t>-</w:t>
            </w:r>
            <w:r w:rsidRPr="00B75B77">
              <w:rPr>
                <w:sz w:val="18"/>
                <w:szCs w:val="18"/>
              </w:rPr>
              <w:t>Bay Fluorescent T-5</w:t>
            </w:r>
            <w:r w:rsidR="00AD7463" w:rsidRPr="00B75B77">
              <w:rPr>
                <w:sz w:val="18"/>
                <w:szCs w:val="18"/>
              </w:rPr>
              <w:t>,</w:t>
            </w:r>
            <w:r w:rsidRPr="00B75B77">
              <w:rPr>
                <w:sz w:val="18"/>
                <w:szCs w:val="18"/>
              </w:rPr>
              <w:t xml:space="preserve"> T5 4F54HO</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1</w:t>
            </w:r>
            <w:r w:rsidR="007F2221" w:rsidRPr="00B75B77">
              <w:rPr>
                <w:sz w:val="18"/>
                <w:szCs w:val="18"/>
              </w:rPr>
              <w:t>,</w:t>
            </w:r>
            <w:r w:rsidRPr="00B75B77">
              <w:rPr>
                <w:sz w:val="18"/>
                <w:szCs w:val="18"/>
              </w:rPr>
              <w:t xml:space="preserve">657.66 / </w:t>
            </w:r>
            <w:r w:rsidR="00AD7463" w:rsidRPr="00B75B77">
              <w:rPr>
                <w:sz w:val="18"/>
                <w:szCs w:val="18"/>
              </w:rPr>
              <w:t>F</w:t>
            </w:r>
            <w:r w:rsidRPr="00B75B77">
              <w:rPr>
                <w:sz w:val="18"/>
                <w:szCs w:val="18"/>
              </w:rPr>
              <w:t>ixture</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AD7463" w:rsidRPr="00B75B77">
              <w:rPr>
                <w:sz w:val="18"/>
                <w:szCs w:val="18"/>
              </w:rPr>
              <w:t>–</w:t>
            </w:r>
            <w:r w:rsidRPr="00B75B77">
              <w:rPr>
                <w:sz w:val="18"/>
                <w:szCs w:val="18"/>
              </w:rPr>
              <w:t xml:space="preserve"> High</w:t>
            </w:r>
            <w:r w:rsidR="00AF5657" w:rsidRPr="00B75B77">
              <w:rPr>
                <w:sz w:val="18"/>
                <w:szCs w:val="18"/>
              </w:rPr>
              <w:t>-</w:t>
            </w:r>
            <w:r w:rsidRPr="00B75B77">
              <w:rPr>
                <w:sz w:val="18"/>
                <w:szCs w:val="18"/>
              </w:rPr>
              <w:t>Bay Fluorescent T-5</w:t>
            </w:r>
            <w:r w:rsidR="00AD7463" w:rsidRPr="00B75B77">
              <w:rPr>
                <w:sz w:val="18"/>
                <w:szCs w:val="18"/>
              </w:rPr>
              <w:t>,</w:t>
            </w:r>
            <w:r w:rsidRPr="00B75B77">
              <w:rPr>
                <w:sz w:val="18"/>
                <w:szCs w:val="18"/>
              </w:rPr>
              <w:t xml:space="preserve"> T5 6F54HO</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 xml:space="preserve">772.87 / </w:t>
            </w:r>
            <w:r w:rsidR="00AD7463" w:rsidRPr="00B75B77">
              <w:rPr>
                <w:sz w:val="18"/>
                <w:szCs w:val="18"/>
              </w:rPr>
              <w:t>F</w:t>
            </w:r>
            <w:r w:rsidRPr="00B75B77">
              <w:rPr>
                <w:sz w:val="18"/>
                <w:szCs w:val="18"/>
              </w:rPr>
              <w:t>ixture</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AD7463" w:rsidRPr="00B75B77">
              <w:rPr>
                <w:sz w:val="18"/>
                <w:szCs w:val="18"/>
              </w:rPr>
              <w:t>–</w:t>
            </w:r>
            <w:r w:rsidRPr="00B75B77">
              <w:rPr>
                <w:sz w:val="18"/>
                <w:szCs w:val="18"/>
              </w:rPr>
              <w:t xml:space="preserve"> High</w:t>
            </w:r>
            <w:r w:rsidR="00AF5657" w:rsidRPr="00B75B77">
              <w:rPr>
                <w:sz w:val="18"/>
                <w:szCs w:val="18"/>
              </w:rPr>
              <w:t>-</w:t>
            </w:r>
            <w:r w:rsidRPr="00B75B77">
              <w:rPr>
                <w:sz w:val="18"/>
                <w:szCs w:val="18"/>
              </w:rPr>
              <w:t>Bay Fluorescent T-8</w:t>
            </w:r>
            <w:r w:rsidR="00AD7463" w:rsidRPr="00B75B77">
              <w:rPr>
                <w:sz w:val="18"/>
                <w:szCs w:val="18"/>
              </w:rPr>
              <w:t>,</w:t>
            </w:r>
            <w:r w:rsidRPr="00B75B77">
              <w:rPr>
                <w:sz w:val="18"/>
                <w:szCs w:val="18"/>
              </w:rPr>
              <w:t xml:space="preserve"> HPT8 4F32 ISH</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615.52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156005" w:rsidRPr="00B75B77">
              <w:rPr>
                <w:sz w:val="18"/>
                <w:szCs w:val="18"/>
              </w:rPr>
              <w:t>–</w:t>
            </w:r>
            <w:r w:rsidRPr="00B75B77">
              <w:rPr>
                <w:sz w:val="18"/>
                <w:szCs w:val="18"/>
              </w:rPr>
              <w:t xml:space="preserve"> High</w:t>
            </w:r>
            <w:r w:rsidR="00AF5657" w:rsidRPr="00B75B77">
              <w:rPr>
                <w:sz w:val="18"/>
                <w:szCs w:val="18"/>
              </w:rPr>
              <w:t>-</w:t>
            </w:r>
            <w:r w:rsidRPr="00B75B77">
              <w:rPr>
                <w:sz w:val="18"/>
                <w:szCs w:val="18"/>
              </w:rPr>
              <w:t>Bay Fluorescent T-8</w:t>
            </w:r>
            <w:r w:rsidR="00722C85" w:rsidRPr="00B75B77">
              <w:rPr>
                <w:sz w:val="18"/>
                <w:szCs w:val="18"/>
              </w:rPr>
              <w:t xml:space="preserve">, </w:t>
            </w:r>
            <w:r w:rsidRPr="00B75B77">
              <w:rPr>
                <w:sz w:val="18"/>
                <w:szCs w:val="18"/>
              </w:rPr>
              <w:t xml:space="preserve"> HPT8 6F32 ISH</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447.53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722C85" w:rsidRPr="00B75B77">
              <w:rPr>
                <w:sz w:val="18"/>
                <w:szCs w:val="18"/>
              </w:rPr>
              <w:t>–</w:t>
            </w:r>
            <w:r w:rsidRPr="00B75B77">
              <w:rPr>
                <w:sz w:val="18"/>
                <w:szCs w:val="18"/>
              </w:rPr>
              <w:t xml:space="preserve"> HPT8 2' </w:t>
            </w:r>
            <w:proofErr w:type="spellStart"/>
            <w:r w:rsidRPr="00B75B77">
              <w:rPr>
                <w:sz w:val="18"/>
                <w:szCs w:val="18"/>
              </w:rPr>
              <w:t>Relamp</w:t>
            </w:r>
            <w:proofErr w:type="spellEnd"/>
            <w:r w:rsidRPr="00B75B77">
              <w:rPr>
                <w:sz w:val="18"/>
                <w:szCs w:val="18"/>
              </w:rPr>
              <w:t xml:space="preserve"> and </w:t>
            </w:r>
            <w:proofErr w:type="spellStart"/>
            <w:r w:rsidRPr="00B75B77">
              <w:rPr>
                <w:sz w:val="18"/>
                <w:szCs w:val="18"/>
              </w:rPr>
              <w:t>Reballast</w:t>
            </w:r>
            <w:proofErr w:type="spellEnd"/>
            <w:r w:rsidR="00722C85" w:rsidRPr="00B75B77">
              <w:rPr>
                <w:sz w:val="18"/>
                <w:szCs w:val="18"/>
              </w:rPr>
              <w:t>,</w:t>
            </w:r>
            <w:r w:rsidRPr="00B75B77">
              <w:rPr>
                <w:sz w:val="18"/>
                <w:szCs w:val="18"/>
              </w:rPr>
              <w:t xml:space="preserve"> </w:t>
            </w:r>
            <w:r w:rsidRPr="00B75B77">
              <w:rPr>
                <w:sz w:val="18"/>
                <w:szCs w:val="18"/>
              </w:rPr>
              <w:lastRenderedPageBreak/>
              <w:t>HPT8 1F17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lastRenderedPageBreak/>
              <w:t>7.55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lastRenderedPageBreak/>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722C85" w:rsidRPr="00B75B77">
              <w:rPr>
                <w:sz w:val="18"/>
                <w:szCs w:val="18"/>
              </w:rPr>
              <w:t>–</w:t>
            </w:r>
            <w:r w:rsidRPr="00B75B77">
              <w:rPr>
                <w:sz w:val="18"/>
                <w:szCs w:val="18"/>
              </w:rPr>
              <w:t xml:space="preserve"> HPT8 2' </w:t>
            </w:r>
            <w:proofErr w:type="spellStart"/>
            <w:r w:rsidRPr="00B75B77">
              <w:rPr>
                <w:sz w:val="18"/>
                <w:szCs w:val="18"/>
              </w:rPr>
              <w:t>Relamp</w:t>
            </w:r>
            <w:proofErr w:type="spellEnd"/>
            <w:r w:rsidRPr="00B75B77">
              <w:rPr>
                <w:sz w:val="18"/>
                <w:szCs w:val="18"/>
              </w:rPr>
              <w:t xml:space="preserve"> and </w:t>
            </w:r>
            <w:proofErr w:type="spellStart"/>
            <w:r w:rsidRPr="00B75B77">
              <w:rPr>
                <w:sz w:val="18"/>
                <w:szCs w:val="18"/>
              </w:rPr>
              <w:t>Reballast</w:t>
            </w:r>
            <w:proofErr w:type="spellEnd"/>
            <w:r w:rsidR="00722C85" w:rsidRPr="00B75B77">
              <w:rPr>
                <w:sz w:val="18"/>
                <w:szCs w:val="18"/>
              </w:rPr>
              <w:t>,</w:t>
            </w:r>
            <w:r w:rsidRPr="00B75B77">
              <w:rPr>
                <w:sz w:val="18"/>
                <w:szCs w:val="18"/>
              </w:rPr>
              <w:t xml:space="preserve"> HPT8 2F17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96.66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722C85" w:rsidRPr="00B75B77">
              <w:rPr>
                <w:sz w:val="18"/>
                <w:szCs w:val="18"/>
              </w:rPr>
              <w:t>–</w:t>
            </w:r>
            <w:r w:rsidRPr="00B75B77">
              <w:rPr>
                <w:sz w:val="18"/>
                <w:szCs w:val="18"/>
              </w:rPr>
              <w:t xml:space="preserve"> HPT8 2x2 Troffer Retrofit</w:t>
            </w:r>
            <w:r w:rsidR="00722C85" w:rsidRPr="00B75B77">
              <w:rPr>
                <w:sz w:val="18"/>
                <w:szCs w:val="18"/>
              </w:rPr>
              <w:t>,</w:t>
            </w:r>
            <w:r w:rsidRPr="00B75B77">
              <w:rPr>
                <w:sz w:val="18"/>
                <w:szCs w:val="18"/>
              </w:rPr>
              <w:t xml:space="preserve"> HPT8 2F17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135.13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722C85" w:rsidRPr="00B75B77">
              <w:rPr>
                <w:sz w:val="18"/>
                <w:szCs w:val="18"/>
              </w:rPr>
              <w:t>–</w:t>
            </w:r>
            <w:r w:rsidRPr="00B75B77">
              <w:rPr>
                <w:sz w:val="18"/>
                <w:szCs w:val="18"/>
              </w:rPr>
              <w:t xml:space="preserve"> HPT8 2x2 Troffer Retrofit</w:t>
            </w:r>
            <w:r w:rsidR="00722C85" w:rsidRPr="00B75B77">
              <w:rPr>
                <w:sz w:val="18"/>
                <w:szCs w:val="18"/>
              </w:rPr>
              <w:t>,</w:t>
            </w:r>
            <w:r w:rsidRPr="00B75B77">
              <w:rPr>
                <w:sz w:val="18"/>
                <w:szCs w:val="18"/>
              </w:rPr>
              <w:t xml:space="preserve"> HPT8 3F17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127.24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722C85" w:rsidRPr="00B75B77">
              <w:rPr>
                <w:sz w:val="18"/>
                <w:szCs w:val="18"/>
              </w:rPr>
              <w:t>–</w:t>
            </w:r>
            <w:r w:rsidRPr="00B75B77">
              <w:rPr>
                <w:sz w:val="18"/>
                <w:szCs w:val="18"/>
              </w:rPr>
              <w:t xml:space="preserve"> HPT8 2x4 Troffer Retrofit</w:t>
            </w:r>
            <w:r w:rsidR="00722C85" w:rsidRPr="00B75B77">
              <w:rPr>
                <w:sz w:val="18"/>
                <w:szCs w:val="18"/>
              </w:rPr>
              <w:t>,</w:t>
            </w:r>
            <w:r w:rsidRPr="00B75B77">
              <w:rPr>
                <w:sz w:val="18"/>
                <w:szCs w:val="18"/>
              </w:rPr>
              <w:t xml:space="preserve"> HPT8 2F28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233.64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722C85" w:rsidRPr="00B75B77">
              <w:rPr>
                <w:sz w:val="18"/>
                <w:szCs w:val="18"/>
              </w:rPr>
              <w:t>–</w:t>
            </w:r>
            <w:r w:rsidRPr="00B75B77">
              <w:rPr>
                <w:sz w:val="18"/>
                <w:szCs w:val="18"/>
              </w:rPr>
              <w:t xml:space="preserve"> HPT8 2x4 Troffer Retrofit</w:t>
            </w:r>
            <w:r w:rsidR="00722C85" w:rsidRPr="00B75B77">
              <w:rPr>
                <w:sz w:val="18"/>
                <w:szCs w:val="18"/>
              </w:rPr>
              <w:t>,</w:t>
            </w:r>
            <w:r w:rsidRPr="00B75B77">
              <w:rPr>
                <w:sz w:val="18"/>
                <w:szCs w:val="18"/>
              </w:rPr>
              <w:t xml:space="preserve"> HPT8 2F32 ISH</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939.95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722C85" w:rsidRPr="00B75B77">
              <w:rPr>
                <w:sz w:val="18"/>
                <w:szCs w:val="18"/>
              </w:rPr>
              <w:t>–</w:t>
            </w:r>
            <w:r w:rsidRPr="00B75B77">
              <w:rPr>
                <w:sz w:val="18"/>
                <w:szCs w:val="18"/>
              </w:rPr>
              <w:t xml:space="preserve"> HPT8 2x4 Troffer Retrofit</w:t>
            </w:r>
            <w:r w:rsidR="00722C85" w:rsidRPr="00B75B77">
              <w:rPr>
                <w:sz w:val="18"/>
                <w:szCs w:val="18"/>
              </w:rPr>
              <w:t>,</w:t>
            </w:r>
            <w:r w:rsidRPr="00B75B77">
              <w:rPr>
                <w:sz w:val="18"/>
                <w:szCs w:val="18"/>
              </w:rPr>
              <w:t xml:space="preserve"> HPT8 2F32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292.24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722C85" w:rsidRPr="00B75B77">
              <w:rPr>
                <w:sz w:val="18"/>
                <w:szCs w:val="18"/>
              </w:rPr>
              <w:t>–</w:t>
            </w:r>
            <w:r w:rsidRPr="00B75B77">
              <w:rPr>
                <w:sz w:val="18"/>
                <w:szCs w:val="18"/>
              </w:rPr>
              <w:t xml:space="preserve"> HPT8 2x4 Troffer Retrofit</w:t>
            </w:r>
            <w:r w:rsidR="00722C85" w:rsidRPr="00B75B77">
              <w:rPr>
                <w:sz w:val="18"/>
                <w:szCs w:val="18"/>
              </w:rPr>
              <w:t>,</w:t>
            </w:r>
            <w:r w:rsidRPr="00B75B77">
              <w:rPr>
                <w:sz w:val="18"/>
                <w:szCs w:val="18"/>
              </w:rPr>
              <w:t xml:space="preserve"> HPT8 2F32 ISN</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409.78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722C85" w:rsidRPr="00B75B77">
              <w:rPr>
                <w:sz w:val="18"/>
                <w:szCs w:val="18"/>
              </w:rPr>
              <w:t>–</w:t>
            </w:r>
            <w:r w:rsidRPr="00B75B77">
              <w:rPr>
                <w:sz w:val="18"/>
                <w:szCs w:val="18"/>
              </w:rPr>
              <w:t xml:space="preserve"> HPT8 3' </w:t>
            </w:r>
            <w:proofErr w:type="spellStart"/>
            <w:r w:rsidRPr="00B75B77">
              <w:rPr>
                <w:sz w:val="18"/>
                <w:szCs w:val="18"/>
              </w:rPr>
              <w:t>Relamp</w:t>
            </w:r>
            <w:proofErr w:type="spellEnd"/>
            <w:r w:rsidRPr="00B75B77">
              <w:rPr>
                <w:sz w:val="18"/>
                <w:szCs w:val="18"/>
              </w:rPr>
              <w:t xml:space="preserve"> and </w:t>
            </w:r>
            <w:proofErr w:type="spellStart"/>
            <w:r w:rsidRPr="00B75B77">
              <w:rPr>
                <w:sz w:val="18"/>
                <w:szCs w:val="18"/>
              </w:rPr>
              <w:t>Reballast</w:t>
            </w:r>
            <w:proofErr w:type="spellEnd"/>
            <w:r w:rsidR="00722C85" w:rsidRPr="00B75B77">
              <w:rPr>
                <w:sz w:val="18"/>
                <w:szCs w:val="18"/>
              </w:rPr>
              <w:t>,</w:t>
            </w:r>
            <w:r w:rsidRPr="00B75B77">
              <w:rPr>
                <w:sz w:val="18"/>
                <w:szCs w:val="18"/>
              </w:rPr>
              <w:t xml:space="preserve"> HPT8 1F25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43.37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722C85" w:rsidRPr="00B75B77">
              <w:rPr>
                <w:sz w:val="18"/>
                <w:szCs w:val="18"/>
              </w:rPr>
              <w:t>–</w:t>
            </w:r>
            <w:r w:rsidRPr="00B75B77">
              <w:rPr>
                <w:sz w:val="18"/>
                <w:szCs w:val="18"/>
              </w:rPr>
              <w:t xml:space="preserve"> HPT8 3' </w:t>
            </w:r>
            <w:proofErr w:type="spellStart"/>
            <w:r w:rsidRPr="00B75B77">
              <w:rPr>
                <w:sz w:val="18"/>
                <w:szCs w:val="18"/>
              </w:rPr>
              <w:t>Relamp</w:t>
            </w:r>
            <w:proofErr w:type="spellEnd"/>
            <w:r w:rsidRPr="00B75B77">
              <w:rPr>
                <w:sz w:val="18"/>
                <w:szCs w:val="18"/>
              </w:rPr>
              <w:t xml:space="preserve"> and </w:t>
            </w:r>
            <w:proofErr w:type="spellStart"/>
            <w:r w:rsidRPr="00B75B77">
              <w:rPr>
                <w:sz w:val="18"/>
                <w:szCs w:val="18"/>
              </w:rPr>
              <w:t>Reballast</w:t>
            </w:r>
            <w:proofErr w:type="spellEnd"/>
            <w:r w:rsidR="00722C85" w:rsidRPr="00B75B77">
              <w:rPr>
                <w:sz w:val="18"/>
                <w:szCs w:val="18"/>
              </w:rPr>
              <w:t>,</w:t>
            </w:r>
            <w:r w:rsidRPr="00B75B77">
              <w:rPr>
                <w:sz w:val="18"/>
                <w:szCs w:val="18"/>
              </w:rPr>
              <w:t xml:space="preserve"> HPT8 2F25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47.93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722C85" w:rsidRPr="00B75B77">
              <w:rPr>
                <w:sz w:val="18"/>
                <w:szCs w:val="18"/>
              </w:rPr>
              <w:t>–</w:t>
            </w:r>
            <w:r w:rsidRPr="00B75B77">
              <w:rPr>
                <w:sz w:val="18"/>
                <w:szCs w:val="18"/>
              </w:rPr>
              <w:t xml:space="preserve"> HPT8 4' Industrial Retrofit</w:t>
            </w:r>
            <w:r w:rsidR="00722C85" w:rsidRPr="00B75B77">
              <w:rPr>
                <w:sz w:val="18"/>
                <w:szCs w:val="18"/>
              </w:rPr>
              <w:t>,</w:t>
            </w:r>
            <w:r w:rsidRPr="00B75B77">
              <w:rPr>
                <w:sz w:val="18"/>
                <w:szCs w:val="18"/>
              </w:rPr>
              <w:t xml:space="preserve"> HPT8 1F28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38.45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722C85" w:rsidRPr="00B75B77">
              <w:rPr>
                <w:sz w:val="18"/>
                <w:szCs w:val="18"/>
              </w:rPr>
              <w:t>–</w:t>
            </w:r>
            <w:r w:rsidRPr="00B75B77">
              <w:rPr>
                <w:sz w:val="18"/>
                <w:szCs w:val="18"/>
              </w:rPr>
              <w:t xml:space="preserve"> HPT8 4' Industrial Retrofit</w:t>
            </w:r>
            <w:r w:rsidR="00722C85" w:rsidRPr="00B75B77">
              <w:rPr>
                <w:sz w:val="18"/>
                <w:szCs w:val="18"/>
              </w:rPr>
              <w:t>,</w:t>
            </w:r>
            <w:r w:rsidRPr="00B75B77">
              <w:rPr>
                <w:sz w:val="18"/>
                <w:szCs w:val="18"/>
              </w:rPr>
              <w:t xml:space="preserve"> HPT8 1F32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69.84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722C85" w:rsidRPr="00B75B77">
              <w:rPr>
                <w:sz w:val="18"/>
                <w:szCs w:val="18"/>
              </w:rPr>
              <w:t>–</w:t>
            </w:r>
            <w:r w:rsidRPr="00B75B77">
              <w:rPr>
                <w:sz w:val="18"/>
                <w:szCs w:val="18"/>
              </w:rPr>
              <w:t xml:space="preserve"> HPT8 4' Industrial Retrofit</w:t>
            </w:r>
            <w:r w:rsidR="00722C85" w:rsidRPr="00B75B77">
              <w:rPr>
                <w:sz w:val="18"/>
                <w:szCs w:val="18"/>
              </w:rPr>
              <w:t>,</w:t>
            </w:r>
            <w:r w:rsidRPr="00B75B77">
              <w:rPr>
                <w:sz w:val="18"/>
                <w:szCs w:val="18"/>
              </w:rPr>
              <w:t xml:space="preserve"> HPT8 1F32 ISN</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256.24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722C85" w:rsidRPr="00B75B77">
              <w:rPr>
                <w:sz w:val="18"/>
                <w:szCs w:val="18"/>
              </w:rPr>
              <w:t>–</w:t>
            </w:r>
            <w:r w:rsidRPr="00B75B77">
              <w:rPr>
                <w:sz w:val="18"/>
                <w:szCs w:val="18"/>
              </w:rPr>
              <w:t xml:space="preserve"> HPT8 4' Industrial Retrofit</w:t>
            </w:r>
            <w:r w:rsidR="00722C85" w:rsidRPr="00B75B77">
              <w:rPr>
                <w:sz w:val="18"/>
                <w:szCs w:val="18"/>
              </w:rPr>
              <w:t>,</w:t>
            </w:r>
            <w:r w:rsidRPr="00B75B77">
              <w:rPr>
                <w:sz w:val="18"/>
                <w:szCs w:val="18"/>
              </w:rPr>
              <w:t xml:space="preserve"> HPT8 2F28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87.27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722C85" w:rsidRPr="00B75B77">
              <w:rPr>
                <w:sz w:val="18"/>
                <w:szCs w:val="18"/>
              </w:rPr>
              <w:t>–</w:t>
            </w:r>
            <w:r w:rsidRPr="00B75B77">
              <w:rPr>
                <w:sz w:val="18"/>
                <w:szCs w:val="18"/>
              </w:rPr>
              <w:t xml:space="preserve"> HPT8 4' Industrial Retrofit</w:t>
            </w:r>
            <w:r w:rsidR="00722C85" w:rsidRPr="00B75B77">
              <w:rPr>
                <w:sz w:val="18"/>
                <w:szCs w:val="18"/>
              </w:rPr>
              <w:t>,</w:t>
            </w:r>
            <w:r w:rsidRPr="00B75B77">
              <w:rPr>
                <w:sz w:val="18"/>
                <w:szCs w:val="18"/>
              </w:rPr>
              <w:t xml:space="preserve"> HPT8 2F32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42.64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722C85" w:rsidRPr="00B75B77">
              <w:rPr>
                <w:sz w:val="18"/>
                <w:szCs w:val="18"/>
              </w:rPr>
              <w:t>–</w:t>
            </w:r>
            <w:r w:rsidRPr="00B75B77">
              <w:rPr>
                <w:sz w:val="18"/>
                <w:szCs w:val="18"/>
              </w:rPr>
              <w:t xml:space="preserve"> HPT8 4' </w:t>
            </w:r>
            <w:proofErr w:type="spellStart"/>
            <w:r w:rsidRPr="00B75B77">
              <w:rPr>
                <w:sz w:val="18"/>
                <w:szCs w:val="18"/>
              </w:rPr>
              <w:t>Relamp</w:t>
            </w:r>
            <w:proofErr w:type="spellEnd"/>
            <w:r w:rsidRPr="00B75B77">
              <w:rPr>
                <w:sz w:val="18"/>
                <w:szCs w:val="18"/>
              </w:rPr>
              <w:t xml:space="preserve"> and </w:t>
            </w:r>
            <w:proofErr w:type="spellStart"/>
            <w:r w:rsidRPr="00B75B77">
              <w:rPr>
                <w:sz w:val="18"/>
                <w:szCs w:val="18"/>
              </w:rPr>
              <w:t>Reballast</w:t>
            </w:r>
            <w:proofErr w:type="spellEnd"/>
            <w:r w:rsidRPr="00B75B77">
              <w:rPr>
                <w:sz w:val="18"/>
                <w:szCs w:val="18"/>
              </w:rPr>
              <w:t xml:space="preserve"> - HPT8 1F28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142.03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lastRenderedPageBreak/>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722C85" w:rsidRPr="00B75B77">
              <w:rPr>
                <w:sz w:val="18"/>
                <w:szCs w:val="18"/>
              </w:rPr>
              <w:t>–</w:t>
            </w:r>
            <w:r w:rsidRPr="00B75B77">
              <w:rPr>
                <w:sz w:val="18"/>
                <w:szCs w:val="18"/>
              </w:rPr>
              <w:t xml:space="preserve"> HPT8 4' </w:t>
            </w:r>
            <w:proofErr w:type="spellStart"/>
            <w:r w:rsidRPr="00B75B77">
              <w:rPr>
                <w:sz w:val="18"/>
                <w:szCs w:val="18"/>
              </w:rPr>
              <w:t>Relamp</w:t>
            </w:r>
            <w:proofErr w:type="spellEnd"/>
            <w:r w:rsidRPr="00B75B77">
              <w:rPr>
                <w:sz w:val="18"/>
                <w:szCs w:val="18"/>
              </w:rPr>
              <w:t xml:space="preserve"> and </w:t>
            </w:r>
            <w:proofErr w:type="spellStart"/>
            <w:r w:rsidRPr="00B75B77">
              <w:rPr>
                <w:sz w:val="18"/>
                <w:szCs w:val="18"/>
              </w:rPr>
              <w:t>Reballast</w:t>
            </w:r>
            <w:proofErr w:type="spellEnd"/>
            <w:r w:rsidRPr="00B75B77">
              <w:rPr>
                <w:sz w:val="18"/>
                <w:szCs w:val="18"/>
              </w:rPr>
              <w:t xml:space="preserve"> - HPT8 1F32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177.08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722C85" w:rsidRPr="00B75B77">
              <w:rPr>
                <w:sz w:val="18"/>
                <w:szCs w:val="18"/>
              </w:rPr>
              <w:t>–</w:t>
            </w:r>
            <w:r w:rsidRPr="00B75B77">
              <w:rPr>
                <w:sz w:val="18"/>
                <w:szCs w:val="18"/>
              </w:rPr>
              <w:t xml:space="preserve"> HPT8 4' </w:t>
            </w:r>
            <w:proofErr w:type="spellStart"/>
            <w:r w:rsidRPr="00B75B77">
              <w:rPr>
                <w:sz w:val="18"/>
                <w:szCs w:val="18"/>
              </w:rPr>
              <w:t>Relamp</w:t>
            </w:r>
            <w:proofErr w:type="spellEnd"/>
            <w:r w:rsidRPr="00B75B77">
              <w:rPr>
                <w:sz w:val="18"/>
                <w:szCs w:val="18"/>
              </w:rPr>
              <w:t xml:space="preserve"> and </w:t>
            </w:r>
            <w:proofErr w:type="spellStart"/>
            <w:r w:rsidRPr="00B75B77">
              <w:rPr>
                <w:sz w:val="18"/>
                <w:szCs w:val="18"/>
              </w:rPr>
              <w:t>Reballast</w:t>
            </w:r>
            <w:proofErr w:type="spellEnd"/>
            <w:r w:rsidRPr="00B75B77">
              <w:rPr>
                <w:sz w:val="18"/>
                <w:szCs w:val="18"/>
              </w:rPr>
              <w:t xml:space="preserve"> - HPT8 2F28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142.84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722C85" w:rsidRPr="00B75B77">
              <w:rPr>
                <w:sz w:val="18"/>
                <w:szCs w:val="18"/>
              </w:rPr>
              <w:t>–</w:t>
            </w:r>
            <w:r w:rsidRPr="00B75B77">
              <w:rPr>
                <w:sz w:val="18"/>
                <w:szCs w:val="18"/>
              </w:rPr>
              <w:t xml:space="preserve"> HPT8 4' </w:t>
            </w:r>
            <w:proofErr w:type="spellStart"/>
            <w:r w:rsidRPr="00B75B77">
              <w:rPr>
                <w:sz w:val="18"/>
                <w:szCs w:val="18"/>
              </w:rPr>
              <w:t>Relamp</w:t>
            </w:r>
            <w:proofErr w:type="spellEnd"/>
            <w:r w:rsidRPr="00B75B77">
              <w:rPr>
                <w:sz w:val="18"/>
                <w:szCs w:val="18"/>
              </w:rPr>
              <w:t xml:space="preserve"> and </w:t>
            </w:r>
            <w:proofErr w:type="spellStart"/>
            <w:r w:rsidRPr="00B75B77">
              <w:rPr>
                <w:sz w:val="18"/>
                <w:szCs w:val="18"/>
              </w:rPr>
              <w:t>Reballast</w:t>
            </w:r>
            <w:proofErr w:type="spellEnd"/>
            <w:r w:rsidRPr="00B75B77">
              <w:rPr>
                <w:sz w:val="18"/>
                <w:szCs w:val="18"/>
              </w:rPr>
              <w:t xml:space="preserve"> - HPT8 2F32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97.71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722C85" w:rsidRPr="00B75B77">
              <w:rPr>
                <w:sz w:val="18"/>
                <w:szCs w:val="18"/>
              </w:rPr>
              <w:t>–</w:t>
            </w:r>
            <w:r w:rsidRPr="00B75B77">
              <w:rPr>
                <w:sz w:val="18"/>
                <w:szCs w:val="18"/>
              </w:rPr>
              <w:t xml:space="preserve"> HPT8 4' </w:t>
            </w:r>
            <w:proofErr w:type="spellStart"/>
            <w:r w:rsidRPr="00B75B77">
              <w:rPr>
                <w:sz w:val="18"/>
                <w:szCs w:val="18"/>
              </w:rPr>
              <w:t>Relamp</w:t>
            </w:r>
            <w:proofErr w:type="spellEnd"/>
            <w:r w:rsidRPr="00B75B77">
              <w:rPr>
                <w:sz w:val="18"/>
                <w:szCs w:val="18"/>
              </w:rPr>
              <w:t xml:space="preserve"> and </w:t>
            </w:r>
            <w:proofErr w:type="spellStart"/>
            <w:r w:rsidRPr="00B75B77">
              <w:rPr>
                <w:sz w:val="18"/>
                <w:szCs w:val="18"/>
              </w:rPr>
              <w:t>Reballast</w:t>
            </w:r>
            <w:proofErr w:type="spellEnd"/>
            <w:r w:rsidRPr="00B75B77">
              <w:rPr>
                <w:sz w:val="18"/>
                <w:szCs w:val="18"/>
              </w:rPr>
              <w:t xml:space="preserve"> - HPT8 2F32 ISN</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499.22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722C85" w:rsidRPr="00B75B77">
              <w:rPr>
                <w:sz w:val="18"/>
                <w:szCs w:val="18"/>
              </w:rPr>
              <w:t>–</w:t>
            </w:r>
            <w:r w:rsidRPr="00B75B77">
              <w:rPr>
                <w:sz w:val="18"/>
                <w:szCs w:val="18"/>
              </w:rPr>
              <w:t xml:space="preserve"> HPT8 4' </w:t>
            </w:r>
            <w:proofErr w:type="spellStart"/>
            <w:r w:rsidRPr="00B75B77">
              <w:rPr>
                <w:sz w:val="18"/>
                <w:szCs w:val="18"/>
              </w:rPr>
              <w:t>Relamp</w:t>
            </w:r>
            <w:proofErr w:type="spellEnd"/>
            <w:r w:rsidRPr="00B75B77">
              <w:rPr>
                <w:sz w:val="18"/>
                <w:szCs w:val="18"/>
              </w:rPr>
              <w:t xml:space="preserve"> and </w:t>
            </w:r>
            <w:proofErr w:type="spellStart"/>
            <w:r w:rsidRPr="00B75B77">
              <w:rPr>
                <w:sz w:val="18"/>
                <w:szCs w:val="18"/>
              </w:rPr>
              <w:t>Reballast</w:t>
            </w:r>
            <w:proofErr w:type="spellEnd"/>
            <w:r w:rsidRPr="00B75B77">
              <w:rPr>
                <w:sz w:val="18"/>
                <w:szCs w:val="18"/>
              </w:rPr>
              <w:t xml:space="preserve"> - HPT8 3F28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461.7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722C85" w:rsidRPr="00B75B77">
              <w:rPr>
                <w:sz w:val="18"/>
                <w:szCs w:val="18"/>
              </w:rPr>
              <w:t>–</w:t>
            </w:r>
            <w:r w:rsidRPr="00B75B77">
              <w:rPr>
                <w:sz w:val="18"/>
                <w:szCs w:val="18"/>
              </w:rPr>
              <w:t xml:space="preserve"> HPT8 4' </w:t>
            </w:r>
            <w:proofErr w:type="spellStart"/>
            <w:r w:rsidRPr="00B75B77">
              <w:rPr>
                <w:sz w:val="18"/>
                <w:szCs w:val="18"/>
              </w:rPr>
              <w:t>Relamp</w:t>
            </w:r>
            <w:proofErr w:type="spellEnd"/>
            <w:r w:rsidRPr="00B75B77">
              <w:rPr>
                <w:sz w:val="18"/>
                <w:szCs w:val="18"/>
              </w:rPr>
              <w:t xml:space="preserve"> and </w:t>
            </w:r>
            <w:proofErr w:type="spellStart"/>
            <w:r w:rsidRPr="00B75B77">
              <w:rPr>
                <w:sz w:val="18"/>
                <w:szCs w:val="18"/>
              </w:rPr>
              <w:t>Reballast</w:t>
            </w:r>
            <w:proofErr w:type="spellEnd"/>
            <w:r w:rsidRPr="00B75B77">
              <w:rPr>
                <w:sz w:val="18"/>
                <w:szCs w:val="18"/>
              </w:rPr>
              <w:t xml:space="preserve"> - HPT8 3F32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3.66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722C85" w:rsidRPr="00B75B77">
              <w:rPr>
                <w:sz w:val="18"/>
                <w:szCs w:val="18"/>
              </w:rPr>
              <w:t>–</w:t>
            </w:r>
            <w:r w:rsidRPr="00B75B77">
              <w:rPr>
                <w:sz w:val="18"/>
                <w:szCs w:val="18"/>
              </w:rPr>
              <w:t xml:space="preserve"> HPT8 4' </w:t>
            </w:r>
            <w:proofErr w:type="spellStart"/>
            <w:r w:rsidRPr="00B75B77">
              <w:rPr>
                <w:sz w:val="18"/>
                <w:szCs w:val="18"/>
              </w:rPr>
              <w:t>Relamp</w:t>
            </w:r>
            <w:proofErr w:type="spellEnd"/>
            <w:r w:rsidRPr="00B75B77">
              <w:rPr>
                <w:sz w:val="18"/>
                <w:szCs w:val="18"/>
              </w:rPr>
              <w:t xml:space="preserve"> and </w:t>
            </w:r>
            <w:proofErr w:type="spellStart"/>
            <w:r w:rsidRPr="00B75B77">
              <w:rPr>
                <w:sz w:val="18"/>
                <w:szCs w:val="18"/>
              </w:rPr>
              <w:t>Reballast</w:t>
            </w:r>
            <w:proofErr w:type="spellEnd"/>
            <w:r w:rsidRPr="00B75B77">
              <w:rPr>
                <w:sz w:val="18"/>
                <w:szCs w:val="18"/>
              </w:rPr>
              <w:t xml:space="preserve"> - HPT8 4F28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255.01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722C85" w:rsidRPr="00B75B77">
              <w:rPr>
                <w:sz w:val="18"/>
                <w:szCs w:val="18"/>
              </w:rPr>
              <w:t>–</w:t>
            </w:r>
            <w:r w:rsidRPr="00B75B77">
              <w:rPr>
                <w:sz w:val="18"/>
                <w:szCs w:val="18"/>
              </w:rPr>
              <w:t xml:space="preserve"> HPT8 4' </w:t>
            </w:r>
            <w:proofErr w:type="spellStart"/>
            <w:r w:rsidRPr="00B75B77">
              <w:rPr>
                <w:sz w:val="18"/>
                <w:szCs w:val="18"/>
              </w:rPr>
              <w:t>Relamp</w:t>
            </w:r>
            <w:proofErr w:type="spellEnd"/>
            <w:r w:rsidRPr="00B75B77">
              <w:rPr>
                <w:sz w:val="18"/>
                <w:szCs w:val="18"/>
              </w:rPr>
              <w:t xml:space="preserve"> and </w:t>
            </w:r>
            <w:proofErr w:type="spellStart"/>
            <w:r w:rsidRPr="00B75B77">
              <w:rPr>
                <w:sz w:val="18"/>
                <w:szCs w:val="18"/>
              </w:rPr>
              <w:t>Reballast</w:t>
            </w:r>
            <w:proofErr w:type="spellEnd"/>
            <w:r w:rsidRPr="00B75B77">
              <w:rPr>
                <w:sz w:val="18"/>
                <w:szCs w:val="18"/>
              </w:rPr>
              <w:t xml:space="preserve"> - HPT8 4F32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172.19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722C85" w:rsidRPr="00B75B77">
              <w:rPr>
                <w:sz w:val="18"/>
                <w:szCs w:val="18"/>
              </w:rPr>
              <w:t>–</w:t>
            </w:r>
            <w:r w:rsidRPr="00B75B77">
              <w:rPr>
                <w:sz w:val="18"/>
                <w:szCs w:val="18"/>
              </w:rPr>
              <w:t xml:space="preserve"> HPT8 6' Industrial Retrofit</w:t>
            </w:r>
            <w:r w:rsidR="00722C85" w:rsidRPr="00B75B77">
              <w:rPr>
                <w:sz w:val="18"/>
                <w:szCs w:val="18"/>
              </w:rPr>
              <w:t xml:space="preserve">, </w:t>
            </w:r>
            <w:r w:rsidRPr="00B75B77">
              <w:rPr>
                <w:sz w:val="18"/>
                <w:szCs w:val="18"/>
              </w:rPr>
              <w:t xml:space="preserve"> HPT8 2F25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95.5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722C85" w:rsidRPr="00B75B77">
              <w:rPr>
                <w:sz w:val="18"/>
                <w:szCs w:val="18"/>
              </w:rPr>
              <w:t>–</w:t>
            </w:r>
            <w:r w:rsidRPr="00B75B77">
              <w:rPr>
                <w:sz w:val="18"/>
                <w:szCs w:val="18"/>
              </w:rPr>
              <w:t xml:space="preserve"> HPT8 6' Industrial Retrofit</w:t>
            </w:r>
            <w:r w:rsidR="00722C85" w:rsidRPr="00B75B77">
              <w:rPr>
                <w:sz w:val="18"/>
                <w:szCs w:val="18"/>
              </w:rPr>
              <w:t>,</w:t>
            </w:r>
            <w:r w:rsidRPr="00B75B77">
              <w:rPr>
                <w:sz w:val="18"/>
                <w:szCs w:val="18"/>
              </w:rPr>
              <w:t xml:space="preserve"> HPT8 4F25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216.28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722C85" w:rsidRPr="00B75B77">
              <w:rPr>
                <w:sz w:val="18"/>
                <w:szCs w:val="18"/>
              </w:rPr>
              <w:t>–</w:t>
            </w:r>
            <w:r w:rsidRPr="00B75B77">
              <w:rPr>
                <w:sz w:val="18"/>
                <w:szCs w:val="18"/>
              </w:rPr>
              <w:t xml:space="preserve"> HPT8 8' Industrial Retrofit</w:t>
            </w:r>
            <w:r w:rsidR="00722C85" w:rsidRPr="00B75B77">
              <w:rPr>
                <w:sz w:val="18"/>
                <w:szCs w:val="18"/>
              </w:rPr>
              <w:t>,</w:t>
            </w:r>
            <w:r w:rsidRPr="00B75B77">
              <w:rPr>
                <w:sz w:val="18"/>
                <w:szCs w:val="18"/>
              </w:rPr>
              <w:t xml:space="preserve"> HPT8 2F28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307.45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722C85" w:rsidRPr="00B75B77">
              <w:rPr>
                <w:sz w:val="18"/>
                <w:szCs w:val="18"/>
              </w:rPr>
              <w:t>–</w:t>
            </w:r>
            <w:r w:rsidRPr="00B75B77">
              <w:rPr>
                <w:sz w:val="18"/>
                <w:szCs w:val="18"/>
              </w:rPr>
              <w:t xml:space="preserve"> HPT8 8' Industrial Retrofit</w:t>
            </w:r>
            <w:r w:rsidR="00722C85" w:rsidRPr="00B75B77">
              <w:rPr>
                <w:sz w:val="18"/>
                <w:szCs w:val="18"/>
              </w:rPr>
              <w:t>,</w:t>
            </w:r>
            <w:r w:rsidRPr="00B75B77">
              <w:rPr>
                <w:sz w:val="18"/>
                <w:szCs w:val="18"/>
              </w:rPr>
              <w:t xml:space="preserve"> HPT8 2F32 ISH</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635.64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722C85" w:rsidRPr="00B75B77">
              <w:rPr>
                <w:sz w:val="18"/>
                <w:szCs w:val="18"/>
              </w:rPr>
              <w:t>–</w:t>
            </w:r>
            <w:r w:rsidRPr="00B75B77">
              <w:rPr>
                <w:sz w:val="18"/>
                <w:szCs w:val="18"/>
              </w:rPr>
              <w:t xml:space="preserve"> HPT8 8' Industrial Retrofit</w:t>
            </w:r>
            <w:r w:rsidR="00722C85" w:rsidRPr="00B75B77">
              <w:rPr>
                <w:sz w:val="18"/>
                <w:szCs w:val="18"/>
              </w:rPr>
              <w:t>,</w:t>
            </w:r>
            <w:r w:rsidRPr="00B75B77">
              <w:rPr>
                <w:sz w:val="18"/>
                <w:szCs w:val="18"/>
              </w:rPr>
              <w:t xml:space="preserve"> HPT8 2F32 ISN</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281.65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722C85" w:rsidRPr="00B75B77">
              <w:rPr>
                <w:sz w:val="18"/>
                <w:szCs w:val="18"/>
              </w:rPr>
              <w:t>–</w:t>
            </w:r>
            <w:r w:rsidRPr="00B75B77">
              <w:rPr>
                <w:sz w:val="18"/>
                <w:szCs w:val="18"/>
              </w:rPr>
              <w:t xml:space="preserve"> HPT8 8' Industrial Retrofit</w:t>
            </w:r>
            <w:r w:rsidR="00722C85" w:rsidRPr="00B75B77">
              <w:rPr>
                <w:sz w:val="18"/>
                <w:szCs w:val="18"/>
              </w:rPr>
              <w:t>,</w:t>
            </w:r>
            <w:r w:rsidRPr="00B75B77">
              <w:rPr>
                <w:sz w:val="18"/>
                <w:szCs w:val="18"/>
              </w:rPr>
              <w:t xml:space="preserve"> HPT8 4F28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565.03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722C85" w:rsidRPr="00B75B77">
              <w:rPr>
                <w:sz w:val="18"/>
                <w:szCs w:val="18"/>
              </w:rPr>
              <w:t>–</w:t>
            </w:r>
            <w:r w:rsidRPr="00B75B77">
              <w:rPr>
                <w:sz w:val="18"/>
                <w:szCs w:val="18"/>
              </w:rPr>
              <w:t xml:space="preserve"> HPT8 8' Industrial Retrofit</w:t>
            </w:r>
            <w:r w:rsidR="00722C85" w:rsidRPr="00B75B77">
              <w:rPr>
                <w:sz w:val="18"/>
                <w:szCs w:val="18"/>
              </w:rPr>
              <w:t>,</w:t>
            </w:r>
            <w:r w:rsidRPr="00B75B77">
              <w:rPr>
                <w:sz w:val="18"/>
                <w:szCs w:val="18"/>
              </w:rPr>
              <w:t xml:space="preserve"> HPT8 4F32 ISH</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255.37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722C85" w:rsidRPr="00B75B77">
              <w:rPr>
                <w:sz w:val="18"/>
                <w:szCs w:val="18"/>
              </w:rPr>
              <w:t>–</w:t>
            </w:r>
            <w:r w:rsidRPr="00B75B77">
              <w:rPr>
                <w:sz w:val="18"/>
                <w:szCs w:val="18"/>
              </w:rPr>
              <w:t xml:space="preserve"> HPT8 8' Industrial Retrofit</w:t>
            </w:r>
            <w:r w:rsidR="00722C85" w:rsidRPr="00B75B77">
              <w:rPr>
                <w:sz w:val="18"/>
                <w:szCs w:val="18"/>
              </w:rPr>
              <w:t>,</w:t>
            </w:r>
            <w:r w:rsidRPr="00B75B77">
              <w:rPr>
                <w:sz w:val="18"/>
                <w:szCs w:val="18"/>
              </w:rPr>
              <w:t xml:space="preserve"> </w:t>
            </w:r>
            <w:r w:rsidRPr="00B75B77">
              <w:rPr>
                <w:sz w:val="18"/>
                <w:szCs w:val="18"/>
              </w:rPr>
              <w:lastRenderedPageBreak/>
              <w:t>HPT8 4F32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lastRenderedPageBreak/>
              <w:t>232.38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lastRenderedPageBreak/>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722C85" w:rsidRPr="00B75B77">
              <w:rPr>
                <w:sz w:val="18"/>
                <w:szCs w:val="18"/>
              </w:rPr>
              <w:t>–</w:t>
            </w:r>
            <w:r w:rsidRPr="00B75B77">
              <w:rPr>
                <w:sz w:val="18"/>
                <w:szCs w:val="18"/>
              </w:rPr>
              <w:t xml:space="preserve"> HPT8 8' Industrial Retrofit</w:t>
            </w:r>
            <w:r w:rsidR="00722C85" w:rsidRPr="00B75B77">
              <w:rPr>
                <w:sz w:val="18"/>
                <w:szCs w:val="18"/>
              </w:rPr>
              <w:t>,</w:t>
            </w:r>
            <w:r w:rsidRPr="00B75B77">
              <w:rPr>
                <w:sz w:val="18"/>
                <w:szCs w:val="18"/>
              </w:rPr>
              <w:t xml:space="preserve"> HPT8 4F32 ISN</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589.58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722C85" w:rsidRPr="00B75B77">
              <w:rPr>
                <w:sz w:val="18"/>
                <w:szCs w:val="18"/>
              </w:rPr>
              <w:t>–</w:t>
            </w:r>
            <w:r w:rsidRPr="00B75B77">
              <w:rPr>
                <w:sz w:val="18"/>
                <w:szCs w:val="18"/>
              </w:rPr>
              <w:t xml:space="preserve"> New HPT8 2X4 Recessed Troffer</w:t>
            </w:r>
            <w:r w:rsidR="00722C85" w:rsidRPr="00B75B77">
              <w:rPr>
                <w:sz w:val="18"/>
                <w:szCs w:val="18"/>
              </w:rPr>
              <w:t>,</w:t>
            </w:r>
            <w:r w:rsidRPr="00B75B77">
              <w:rPr>
                <w:sz w:val="18"/>
                <w:szCs w:val="18"/>
              </w:rPr>
              <w:t xml:space="preserve"> HPT8 2F28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15.74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722C85" w:rsidRPr="00B75B77">
              <w:rPr>
                <w:sz w:val="18"/>
                <w:szCs w:val="18"/>
              </w:rPr>
              <w:t>–</w:t>
            </w:r>
            <w:r w:rsidRPr="00B75B77">
              <w:rPr>
                <w:sz w:val="18"/>
                <w:szCs w:val="18"/>
              </w:rPr>
              <w:t xml:space="preserve"> New HPT8 2X4 Recessed Troffer</w:t>
            </w:r>
            <w:r w:rsidR="00722C85" w:rsidRPr="00B75B77">
              <w:rPr>
                <w:sz w:val="18"/>
                <w:szCs w:val="18"/>
              </w:rPr>
              <w:t>,</w:t>
            </w:r>
            <w:r w:rsidRPr="00B75B77">
              <w:rPr>
                <w:sz w:val="18"/>
                <w:szCs w:val="18"/>
              </w:rPr>
              <w:t xml:space="preserve"> HPT8 2F32 ISN</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337.25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722C85" w:rsidRPr="00B75B77">
              <w:rPr>
                <w:sz w:val="18"/>
                <w:szCs w:val="18"/>
              </w:rPr>
              <w:t>–</w:t>
            </w:r>
            <w:r w:rsidRPr="00B75B77">
              <w:rPr>
                <w:sz w:val="18"/>
                <w:szCs w:val="18"/>
              </w:rPr>
              <w:t xml:space="preserve"> New HPT8 4' Industrial Fixture</w:t>
            </w:r>
            <w:r w:rsidR="00722C85" w:rsidRPr="00B75B77">
              <w:rPr>
                <w:sz w:val="18"/>
                <w:szCs w:val="18"/>
              </w:rPr>
              <w:t>,</w:t>
            </w:r>
            <w:r w:rsidRPr="00B75B77">
              <w:rPr>
                <w:sz w:val="18"/>
                <w:szCs w:val="18"/>
              </w:rPr>
              <w:t xml:space="preserve"> HPT8 1F28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53.29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722C85" w:rsidRPr="00B75B77">
              <w:rPr>
                <w:sz w:val="18"/>
                <w:szCs w:val="18"/>
              </w:rPr>
              <w:t>–</w:t>
            </w:r>
            <w:r w:rsidRPr="00B75B77">
              <w:rPr>
                <w:sz w:val="18"/>
                <w:szCs w:val="18"/>
              </w:rPr>
              <w:t xml:space="preserve"> New HPT8 4' Industrial Fixture</w:t>
            </w:r>
            <w:r w:rsidR="00722C85" w:rsidRPr="00B75B77">
              <w:rPr>
                <w:sz w:val="18"/>
                <w:szCs w:val="18"/>
              </w:rPr>
              <w:t>,</w:t>
            </w:r>
            <w:r w:rsidRPr="00B75B77">
              <w:rPr>
                <w:sz w:val="18"/>
                <w:szCs w:val="18"/>
              </w:rPr>
              <w:t xml:space="preserve"> HPT8 1F32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50.91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722C85" w:rsidRPr="00B75B77">
              <w:rPr>
                <w:sz w:val="18"/>
                <w:szCs w:val="18"/>
              </w:rPr>
              <w:t>–</w:t>
            </w:r>
            <w:r w:rsidRPr="00B75B77">
              <w:rPr>
                <w:sz w:val="18"/>
                <w:szCs w:val="18"/>
              </w:rPr>
              <w:t xml:space="preserve"> New HPT8 4' Industrial Fixture</w:t>
            </w:r>
            <w:r w:rsidR="00722C85" w:rsidRPr="00B75B77">
              <w:rPr>
                <w:sz w:val="18"/>
                <w:szCs w:val="18"/>
              </w:rPr>
              <w:t>,</w:t>
            </w:r>
            <w:r w:rsidRPr="00B75B77">
              <w:rPr>
                <w:sz w:val="18"/>
                <w:szCs w:val="18"/>
              </w:rPr>
              <w:t xml:space="preserve"> HPT8 2F28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1.35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722C85" w:rsidRPr="00B75B77">
              <w:rPr>
                <w:sz w:val="18"/>
                <w:szCs w:val="18"/>
              </w:rPr>
              <w:t>–</w:t>
            </w:r>
            <w:r w:rsidRPr="00B75B77">
              <w:rPr>
                <w:sz w:val="18"/>
                <w:szCs w:val="18"/>
              </w:rPr>
              <w:t xml:space="preserve"> New HPT8 4' Industrial Fixture</w:t>
            </w:r>
            <w:r w:rsidR="00722C85" w:rsidRPr="00B75B77">
              <w:rPr>
                <w:sz w:val="18"/>
                <w:szCs w:val="18"/>
              </w:rPr>
              <w:t>,</w:t>
            </w:r>
            <w:r w:rsidRPr="00B75B77">
              <w:rPr>
                <w:sz w:val="18"/>
                <w:szCs w:val="18"/>
              </w:rPr>
              <w:t xml:space="preserve"> HPT8 2F32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118.09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722C85" w:rsidRPr="00B75B77">
              <w:rPr>
                <w:sz w:val="18"/>
                <w:szCs w:val="18"/>
              </w:rPr>
              <w:t>–</w:t>
            </w:r>
            <w:r w:rsidRPr="00B75B77">
              <w:rPr>
                <w:sz w:val="18"/>
                <w:szCs w:val="18"/>
              </w:rPr>
              <w:t xml:space="preserve"> New HPT8 4' </w:t>
            </w:r>
            <w:proofErr w:type="spellStart"/>
            <w:r w:rsidRPr="00B75B77">
              <w:rPr>
                <w:sz w:val="18"/>
                <w:szCs w:val="18"/>
              </w:rPr>
              <w:t>Vaportight</w:t>
            </w:r>
            <w:proofErr w:type="spellEnd"/>
            <w:r w:rsidRPr="00B75B77">
              <w:rPr>
                <w:sz w:val="18"/>
                <w:szCs w:val="18"/>
              </w:rPr>
              <w:t xml:space="preserve"> Fixture</w:t>
            </w:r>
            <w:r w:rsidR="00722C85" w:rsidRPr="00B75B77">
              <w:rPr>
                <w:sz w:val="18"/>
                <w:szCs w:val="18"/>
              </w:rPr>
              <w:t>,</w:t>
            </w:r>
            <w:r w:rsidRPr="00B75B77">
              <w:rPr>
                <w:sz w:val="18"/>
                <w:szCs w:val="18"/>
              </w:rPr>
              <w:t xml:space="preserve"> HPT8 2F32 ISH</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633.79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722C85" w:rsidRPr="00B75B77">
              <w:rPr>
                <w:sz w:val="18"/>
                <w:szCs w:val="18"/>
              </w:rPr>
              <w:t>–</w:t>
            </w:r>
            <w:r w:rsidRPr="00B75B77">
              <w:rPr>
                <w:sz w:val="18"/>
                <w:szCs w:val="18"/>
              </w:rPr>
              <w:t xml:space="preserve"> New HPT8 4' </w:t>
            </w:r>
            <w:proofErr w:type="spellStart"/>
            <w:r w:rsidRPr="00B75B77">
              <w:rPr>
                <w:sz w:val="18"/>
                <w:szCs w:val="18"/>
              </w:rPr>
              <w:t>Vaportight</w:t>
            </w:r>
            <w:proofErr w:type="spellEnd"/>
            <w:r w:rsidRPr="00B75B77">
              <w:rPr>
                <w:sz w:val="18"/>
                <w:szCs w:val="18"/>
              </w:rPr>
              <w:t xml:space="preserve"> Fixture</w:t>
            </w:r>
            <w:r w:rsidR="00722C85" w:rsidRPr="00B75B77">
              <w:rPr>
                <w:sz w:val="18"/>
                <w:szCs w:val="18"/>
              </w:rPr>
              <w:t>,</w:t>
            </w:r>
            <w:r w:rsidRPr="00B75B77">
              <w:rPr>
                <w:sz w:val="18"/>
                <w:szCs w:val="18"/>
              </w:rPr>
              <w:t xml:space="preserve"> HPT8 2F32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109.61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722C85" w:rsidRPr="00B75B77">
              <w:rPr>
                <w:sz w:val="18"/>
                <w:szCs w:val="18"/>
              </w:rPr>
              <w:t>–</w:t>
            </w:r>
            <w:r w:rsidRPr="00B75B77">
              <w:rPr>
                <w:sz w:val="18"/>
                <w:szCs w:val="18"/>
              </w:rPr>
              <w:t xml:space="preserve"> New HPT8 4' Wrap Fixture</w:t>
            </w:r>
            <w:r w:rsidR="00722C85" w:rsidRPr="00B75B77">
              <w:rPr>
                <w:sz w:val="18"/>
                <w:szCs w:val="18"/>
              </w:rPr>
              <w:t>,</w:t>
            </w:r>
            <w:r w:rsidRPr="00B75B77">
              <w:rPr>
                <w:sz w:val="18"/>
                <w:szCs w:val="18"/>
              </w:rPr>
              <w:t xml:space="preserve"> HPT8 2F28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57.72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722C85">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Linear Fluorescent: T8/T5 Fluorescent Fixture w/ Electronic Ballast</w:t>
            </w:r>
            <w:r w:rsidR="00722C85" w:rsidRPr="00B75B77">
              <w:rPr>
                <w:sz w:val="18"/>
                <w:szCs w:val="18"/>
              </w:rPr>
              <w:t>–</w:t>
            </w:r>
            <w:r w:rsidRPr="00B75B77">
              <w:rPr>
                <w:sz w:val="18"/>
                <w:szCs w:val="18"/>
              </w:rPr>
              <w:t xml:space="preserve"> New HPT8 4' Wrap Fixture</w:t>
            </w:r>
            <w:r w:rsidR="00722C85" w:rsidRPr="00B75B77">
              <w:rPr>
                <w:sz w:val="18"/>
                <w:szCs w:val="18"/>
              </w:rPr>
              <w:t>,</w:t>
            </w:r>
            <w:r w:rsidRPr="00B75B77">
              <w:rPr>
                <w:sz w:val="18"/>
                <w:szCs w:val="18"/>
              </w:rPr>
              <w:t xml:space="preserve"> HPT8 2F32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10.7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722C85">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Linear Fluorescent: T8/T5 Fluorescent Fixture w/ Electronic Ballast</w:t>
            </w:r>
            <w:r w:rsidR="00722C85" w:rsidRPr="00B75B77">
              <w:rPr>
                <w:sz w:val="18"/>
                <w:szCs w:val="18"/>
              </w:rPr>
              <w:t>–</w:t>
            </w:r>
            <w:r w:rsidRPr="00B75B77">
              <w:rPr>
                <w:sz w:val="18"/>
                <w:szCs w:val="18"/>
              </w:rPr>
              <w:t xml:space="preserve"> New HPT8 8' Industrial Fixture</w:t>
            </w:r>
            <w:r w:rsidR="00722C85" w:rsidRPr="00B75B77">
              <w:rPr>
                <w:sz w:val="18"/>
                <w:szCs w:val="18"/>
              </w:rPr>
              <w:t>,</w:t>
            </w:r>
            <w:r w:rsidRPr="00B75B77">
              <w:rPr>
                <w:sz w:val="18"/>
                <w:szCs w:val="18"/>
              </w:rPr>
              <w:t xml:space="preserve"> HPT8 2F28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319.64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722C85" w:rsidRPr="00B75B77">
              <w:rPr>
                <w:sz w:val="18"/>
                <w:szCs w:val="18"/>
              </w:rPr>
              <w:t>–</w:t>
            </w:r>
            <w:r w:rsidRPr="00B75B77">
              <w:rPr>
                <w:sz w:val="18"/>
                <w:szCs w:val="18"/>
              </w:rPr>
              <w:t xml:space="preserve"> New HPT8 8' Industrial Fixture</w:t>
            </w:r>
            <w:r w:rsidR="00722C85" w:rsidRPr="00B75B77">
              <w:rPr>
                <w:sz w:val="18"/>
                <w:szCs w:val="18"/>
              </w:rPr>
              <w:t>,</w:t>
            </w:r>
            <w:r w:rsidRPr="00B75B77">
              <w:rPr>
                <w:sz w:val="18"/>
                <w:szCs w:val="18"/>
              </w:rPr>
              <w:t xml:space="preserve"> HPT8 2F32 ISH</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142.34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722C85" w:rsidRPr="00B75B77">
              <w:rPr>
                <w:sz w:val="18"/>
                <w:szCs w:val="18"/>
              </w:rPr>
              <w:t>–</w:t>
            </w:r>
            <w:r w:rsidRPr="00B75B77">
              <w:rPr>
                <w:sz w:val="18"/>
                <w:szCs w:val="18"/>
              </w:rPr>
              <w:t xml:space="preserve"> New HPT8 8' Industrial Fixture</w:t>
            </w:r>
            <w:r w:rsidR="00722C85" w:rsidRPr="00B75B77">
              <w:rPr>
                <w:sz w:val="18"/>
                <w:szCs w:val="18"/>
              </w:rPr>
              <w:t>,</w:t>
            </w:r>
            <w:r w:rsidRPr="00B75B77">
              <w:rPr>
                <w:sz w:val="18"/>
                <w:szCs w:val="18"/>
              </w:rPr>
              <w:t xml:space="preserve"> HPT8 4F28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139.92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722C85">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Linear Fluorescent: T8/T5 Fluorescent Fixture w/ Electronic Ballast</w:t>
            </w:r>
            <w:r w:rsidR="00722C85" w:rsidRPr="00B75B77">
              <w:rPr>
                <w:sz w:val="18"/>
                <w:szCs w:val="18"/>
              </w:rPr>
              <w:t>–</w:t>
            </w:r>
            <w:r w:rsidRPr="00B75B77">
              <w:rPr>
                <w:sz w:val="18"/>
                <w:szCs w:val="18"/>
              </w:rPr>
              <w:t xml:space="preserve"> New HPT8 8' Industrial Fixture</w:t>
            </w:r>
            <w:r w:rsidR="00722C85" w:rsidRPr="00B75B77">
              <w:rPr>
                <w:sz w:val="18"/>
                <w:szCs w:val="18"/>
              </w:rPr>
              <w:t>,</w:t>
            </w:r>
            <w:r w:rsidRPr="00B75B77">
              <w:rPr>
                <w:sz w:val="18"/>
                <w:szCs w:val="18"/>
              </w:rPr>
              <w:t xml:space="preserve"> HPT8 4F32 ISH</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251.3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lastRenderedPageBreak/>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722C85" w:rsidRPr="00B75B77">
              <w:rPr>
                <w:sz w:val="18"/>
                <w:szCs w:val="18"/>
              </w:rPr>
              <w:t>–</w:t>
            </w:r>
            <w:r w:rsidRPr="00B75B77">
              <w:rPr>
                <w:sz w:val="18"/>
                <w:szCs w:val="18"/>
              </w:rPr>
              <w:t xml:space="preserve"> New HPT8 8' Industrial Fixture</w:t>
            </w:r>
            <w:r w:rsidR="00722C85" w:rsidRPr="00B75B77">
              <w:rPr>
                <w:sz w:val="18"/>
                <w:szCs w:val="18"/>
              </w:rPr>
              <w:t>,</w:t>
            </w:r>
            <w:r w:rsidRPr="00B75B77">
              <w:rPr>
                <w:sz w:val="18"/>
                <w:szCs w:val="18"/>
              </w:rPr>
              <w:t xml:space="preserve"> HPT8 4F32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185.97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722C85" w:rsidRPr="00B75B77">
              <w:rPr>
                <w:sz w:val="18"/>
                <w:szCs w:val="18"/>
              </w:rPr>
              <w:t>–</w:t>
            </w:r>
            <w:r w:rsidRPr="00B75B77">
              <w:rPr>
                <w:sz w:val="18"/>
                <w:szCs w:val="18"/>
              </w:rPr>
              <w:t xml:space="preserve"> New HPT8 8' Industrial Fixture</w:t>
            </w:r>
            <w:r w:rsidR="00722C85" w:rsidRPr="00B75B77">
              <w:rPr>
                <w:sz w:val="18"/>
                <w:szCs w:val="18"/>
              </w:rPr>
              <w:t>,</w:t>
            </w:r>
            <w:r w:rsidRPr="00B75B77">
              <w:rPr>
                <w:sz w:val="18"/>
                <w:szCs w:val="18"/>
              </w:rPr>
              <w:t xml:space="preserve"> HPT8 4F32 ISN</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964.99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722C85" w:rsidRPr="00B75B77">
              <w:rPr>
                <w:sz w:val="18"/>
                <w:szCs w:val="18"/>
              </w:rPr>
              <w:t>–</w:t>
            </w:r>
            <w:r w:rsidRPr="00B75B77">
              <w:rPr>
                <w:sz w:val="18"/>
                <w:szCs w:val="18"/>
              </w:rPr>
              <w:t xml:space="preserve"> New HPT8 8' </w:t>
            </w:r>
            <w:proofErr w:type="spellStart"/>
            <w:r w:rsidRPr="00B75B77">
              <w:rPr>
                <w:sz w:val="18"/>
                <w:szCs w:val="18"/>
              </w:rPr>
              <w:t>Vaportight</w:t>
            </w:r>
            <w:proofErr w:type="spellEnd"/>
            <w:r w:rsidRPr="00B75B77">
              <w:rPr>
                <w:sz w:val="18"/>
                <w:szCs w:val="18"/>
              </w:rPr>
              <w:t xml:space="preserve"> Fixture</w:t>
            </w:r>
            <w:r w:rsidR="00722C85" w:rsidRPr="00B75B77">
              <w:rPr>
                <w:sz w:val="18"/>
                <w:szCs w:val="18"/>
              </w:rPr>
              <w:t>,</w:t>
            </w:r>
            <w:r w:rsidRPr="00B75B77">
              <w:rPr>
                <w:sz w:val="18"/>
                <w:szCs w:val="18"/>
              </w:rPr>
              <w:t xml:space="preserve"> HPT8 4F28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322.33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722C85" w:rsidRPr="00B75B77">
              <w:rPr>
                <w:sz w:val="18"/>
                <w:szCs w:val="18"/>
              </w:rPr>
              <w:t>–</w:t>
            </w:r>
            <w:r w:rsidRPr="00B75B77">
              <w:rPr>
                <w:sz w:val="18"/>
                <w:szCs w:val="18"/>
              </w:rPr>
              <w:t xml:space="preserve"> New HPT8 8' </w:t>
            </w:r>
            <w:proofErr w:type="spellStart"/>
            <w:r w:rsidRPr="00B75B77">
              <w:rPr>
                <w:sz w:val="18"/>
                <w:szCs w:val="18"/>
              </w:rPr>
              <w:t>Vaportight</w:t>
            </w:r>
            <w:proofErr w:type="spellEnd"/>
            <w:r w:rsidRPr="00B75B77">
              <w:rPr>
                <w:sz w:val="18"/>
                <w:szCs w:val="18"/>
              </w:rPr>
              <w:t xml:space="preserve"> Fixture</w:t>
            </w:r>
            <w:r w:rsidR="00722C85" w:rsidRPr="00B75B77">
              <w:rPr>
                <w:sz w:val="18"/>
                <w:szCs w:val="18"/>
              </w:rPr>
              <w:t>,</w:t>
            </w:r>
            <w:r w:rsidRPr="00B75B77">
              <w:rPr>
                <w:sz w:val="18"/>
                <w:szCs w:val="18"/>
              </w:rPr>
              <w:t xml:space="preserve"> HPT8 4F32 ISH</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665.43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722C85" w:rsidRPr="00B75B77">
              <w:rPr>
                <w:sz w:val="18"/>
                <w:szCs w:val="18"/>
              </w:rPr>
              <w:t>–</w:t>
            </w:r>
            <w:r w:rsidRPr="00B75B77">
              <w:rPr>
                <w:sz w:val="18"/>
                <w:szCs w:val="18"/>
              </w:rPr>
              <w:t xml:space="preserve"> New HPT8 8' Wrap Fixture</w:t>
            </w:r>
            <w:r w:rsidR="00722C85" w:rsidRPr="00B75B77">
              <w:rPr>
                <w:sz w:val="18"/>
                <w:szCs w:val="18"/>
              </w:rPr>
              <w:t>,</w:t>
            </w:r>
            <w:r w:rsidRPr="00B75B77">
              <w:rPr>
                <w:sz w:val="18"/>
                <w:szCs w:val="18"/>
              </w:rPr>
              <w:t xml:space="preserve"> HPT8 4F28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150.89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Removed </w:t>
            </w:r>
            <w:r w:rsidR="00722C85" w:rsidRPr="00B75B77">
              <w:rPr>
                <w:sz w:val="18"/>
                <w:szCs w:val="18"/>
              </w:rPr>
              <w:t>–</w:t>
            </w:r>
            <w:r w:rsidRPr="00B75B77">
              <w:rPr>
                <w:sz w:val="18"/>
                <w:szCs w:val="18"/>
              </w:rPr>
              <w:t xml:space="preserve"> Removed Fluorescent Case Lighting</w:t>
            </w:r>
            <w:r w:rsidR="00722C85" w:rsidRPr="00B75B77">
              <w:rPr>
                <w:sz w:val="18"/>
                <w:szCs w:val="18"/>
              </w:rPr>
              <w:t xml:space="preserve">, </w:t>
            </w:r>
            <w:r w:rsidRPr="00B75B77">
              <w:rPr>
                <w:sz w:val="18"/>
                <w:szCs w:val="18"/>
              </w:rPr>
              <w:t xml:space="preserve"> 0W</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2</w:t>
            </w:r>
            <w:r w:rsidR="007F2221" w:rsidRPr="00B75B77">
              <w:rPr>
                <w:sz w:val="18"/>
                <w:szCs w:val="18"/>
              </w:rPr>
              <w:t>,</w:t>
            </w:r>
            <w:r w:rsidRPr="00B75B77">
              <w:rPr>
                <w:sz w:val="18"/>
                <w:szCs w:val="18"/>
              </w:rPr>
              <w:t>626.62 / Refrigerated Case</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722C85">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Removed</w:t>
            </w:r>
            <w:r w:rsidR="00722C85" w:rsidRPr="00B75B77">
              <w:rPr>
                <w:sz w:val="18"/>
                <w:szCs w:val="18"/>
              </w:rPr>
              <w:t xml:space="preserve"> –</w:t>
            </w:r>
            <w:r w:rsidRPr="00B75B77">
              <w:rPr>
                <w:sz w:val="18"/>
                <w:szCs w:val="18"/>
              </w:rPr>
              <w:t xml:space="preserve"> Removed Lighting Fixture</w:t>
            </w:r>
            <w:r w:rsidR="00722C85" w:rsidRPr="00B75B77">
              <w:rPr>
                <w:sz w:val="18"/>
                <w:szCs w:val="18"/>
              </w:rPr>
              <w:t>,</w:t>
            </w:r>
            <w:r w:rsidRPr="00B75B77">
              <w:rPr>
                <w:sz w:val="18"/>
                <w:szCs w:val="18"/>
              </w:rPr>
              <w:t xml:space="preserve"> 0W</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556.75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Controls: Anti-Sweat Heater Controls </w:t>
            </w:r>
            <w:r w:rsidR="00722C85" w:rsidRPr="00B75B77">
              <w:rPr>
                <w:sz w:val="18"/>
                <w:szCs w:val="18"/>
              </w:rPr>
              <w:t>–</w:t>
            </w:r>
            <w:r w:rsidRPr="00B75B77">
              <w:rPr>
                <w:sz w:val="18"/>
                <w:szCs w:val="18"/>
              </w:rPr>
              <w:t xml:space="preserve"> Anti-Sweat Heater Controls</w:t>
            </w:r>
            <w:r w:rsidR="00722C85" w:rsidRPr="00B75B77">
              <w:rPr>
                <w:sz w:val="18"/>
                <w:szCs w:val="18"/>
              </w:rPr>
              <w:t>,</w:t>
            </w:r>
            <w:r w:rsidRPr="00B75B77">
              <w:rPr>
                <w:sz w:val="18"/>
                <w:szCs w:val="18"/>
              </w:rPr>
              <w:t xml:space="preserve"> Off 85% </w:t>
            </w:r>
            <w:r w:rsidR="00722C85" w:rsidRPr="00B75B77">
              <w:rPr>
                <w:sz w:val="18"/>
                <w:szCs w:val="18"/>
              </w:rPr>
              <w:t>A</w:t>
            </w:r>
            <w:r w:rsidRPr="00B75B77">
              <w:rPr>
                <w:sz w:val="18"/>
                <w:szCs w:val="18"/>
              </w:rPr>
              <w:t xml:space="preserve">nnually, 20% of </w:t>
            </w:r>
            <w:r w:rsidR="00722C85" w:rsidRPr="00B75B77">
              <w:rPr>
                <w:sz w:val="18"/>
                <w:szCs w:val="18"/>
              </w:rPr>
              <w:t>P</w:t>
            </w:r>
            <w:r w:rsidRPr="00B75B77">
              <w:rPr>
                <w:sz w:val="18"/>
                <w:szCs w:val="18"/>
              </w:rPr>
              <w:t>eak</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1148.71 / Per Door</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Evaporator Fan EC Motor for Walk-In Cases </w:t>
            </w:r>
            <w:r w:rsidR="00722C85" w:rsidRPr="00B75B77">
              <w:rPr>
                <w:sz w:val="18"/>
                <w:szCs w:val="18"/>
              </w:rPr>
              <w:t>–</w:t>
            </w:r>
            <w:r w:rsidRPr="00B75B77">
              <w:rPr>
                <w:sz w:val="18"/>
                <w:szCs w:val="18"/>
              </w:rPr>
              <w:t xml:space="preserve"> Refrigerator</w:t>
            </w:r>
            <w:r w:rsidR="00722C85" w:rsidRPr="00B75B77">
              <w:rPr>
                <w:sz w:val="18"/>
                <w:szCs w:val="18"/>
              </w:rPr>
              <w:t>,</w:t>
            </w:r>
            <w:r w:rsidRPr="00B75B77">
              <w:rPr>
                <w:sz w:val="18"/>
                <w:szCs w:val="18"/>
              </w:rPr>
              <w:t xml:space="preserve"> PSC to ECM, Cooler: 1/20 HP</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99.94 / Motor</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Evaporator Fan EC Motor for Walk-In Cases </w:t>
            </w:r>
            <w:r w:rsidR="00722C85" w:rsidRPr="00B75B77">
              <w:rPr>
                <w:sz w:val="18"/>
                <w:szCs w:val="18"/>
              </w:rPr>
              <w:t>–</w:t>
            </w:r>
            <w:r w:rsidRPr="00B75B77">
              <w:rPr>
                <w:sz w:val="18"/>
                <w:szCs w:val="18"/>
              </w:rPr>
              <w:t xml:space="preserve"> Refrigerator</w:t>
            </w:r>
            <w:r w:rsidR="00722C85" w:rsidRPr="00B75B77">
              <w:rPr>
                <w:sz w:val="18"/>
                <w:szCs w:val="18"/>
              </w:rPr>
              <w:t>,</w:t>
            </w:r>
            <w:r w:rsidRPr="00B75B77">
              <w:rPr>
                <w:sz w:val="18"/>
                <w:szCs w:val="18"/>
              </w:rPr>
              <w:t xml:space="preserve"> Shaded Pole to ECM, Cooler: 1/15 HP</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2</w:t>
            </w:r>
            <w:r w:rsidR="007F2221" w:rsidRPr="00B75B77">
              <w:rPr>
                <w:sz w:val="18"/>
                <w:szCs w:val="18"/>
              </w:rPr>
              <w:t>,</w:t>
            </w:r>
            <w:r w:rsidRPr="00B75B77">
              <w:rPr>
                <w:sz w:val="18"/>
                <w:szCs w:val="18"/>
              </w:rPr>
              <w:t>446.39 / Motor</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Evaporator Fan EC Motor for Walk-In Cases </w:t>
            </w:r>
            <w:r w:rsidR="00722C85" w:rsidRPr="00B75B77">
              <w:rPr>
                <w:sz w:val="18"/>
                <w:szCs w:val="18"/>
              </w:rPr>
              <w:t>–</w:t>
            </w:r>
            <w:r w:rsidRPr="00B75B77">
              <w:rPr>
                <w:sz w:val="18"/>
                <w:szCs w:val="18"/>
              </w:rPr>
              <w:t xml:space="preserve"> Refrigerator</w:t>
            </w:r>
            <w:r w:rsidR="001A4C5E" w:rsidRPr="00B75B77">
              <w:rPr>
                <w:sz w:val="18"/>
                <w:szCs w:val="18"/>
              </w:rPr>
              <w:t>,</w:t>
            </w:r>
            <w:r w:rsidRPr="00B75B77">
              <w:rPr>
                <w:sz w:val="18"/>
                <w:szCs w:val="18"/>
              </w:rPr>
              <w:t xml:space="preserve"> Shaded Pole to ECM, Cooler: 1/20 HP</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2</w:t>
            </w:r>
            <w:r w:rsidR="007F2221" w:rsidRPr="00B75B77">
              <w:rPr>
                <w:sz w:val="18"/>
                <w:szCs w:val="18"/>
              </w:rPr>
              <w:t>,</w:t>
            </w:r>
            <w:r w:rsidRPr="00B75B77">
              <w:rPr>
                <w:sz w:val="18"/>
                <w:szCs w:val="18"/>
              </w:rPr>
              <w:t>446.39 / Motor</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Evaporator Fan EC Motor for Walk-In Cases </w:t>
            </w:r>
            <w:r w:rsidR="001A4C5E" w:rsidRPr="00B75B77">
              <w:rPr>
                <w:sz w:val="18"/>
                <w:szCs w:val="18"/>
              </w:rPr>
              <w:t>–</w:t>
            </w:r>
            <w:r w:rsidRPr="00B75B77">
              <w:rPr>
                <w:sz w:val="18"/>
                <w:szCs w:val="18"/>
              </w:rPr>
              <w:t xml:space="preserve"> Refrigerator</w:t>
            </w:r>
            <w:r w:rsidR="001A4C5E" w:rsidRPr="00B75B77">
              <w:rPr>
                <w:sz w:val="18"/>
                <w:szCs w:val="18"/>
              </w:rPr>
              <w:t>,</w:t>
            </w:r>
            <w:r w:rsidRPr="00B75B77">
              <w:rPr>
                <w:sz w:val="18"/>
                <w:szCs w:val="18"/>
              </w:rPr>
              <w:t xml:space="preserve"> Shaded Pole to ECM, Freezer: 1/15 HP</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1</w:t>
            </w:r>
            <w:r w:rsidR="007F2221" w:rsidRPr="00B75B77">
              <w:rPr>
                <w:sz w:val="18"/>
                <w:szCs w:val="18"/>
              </w:rPr>
              <w:t>,</w:t>
            </w:r>
            <w:r w:rsidRPr="00B75B77">
              <w:rPr>
                <w:sz w:val="18"/>
                <w:szCs w:val="18"/>
              </w:rPr>
              <w:t>838.02 / Motor</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Evaporator Fan EC Motor for Walk-In Cases </w:t>
            </w:r>
            <w:r w:rsidR="001A4C5E" w:rsidRPr="00B75B77">
              <w:rPr>
                <w:sz w:val="18"/>
                <w:szCs w:val="18"/>
              </w:rPr>
              <w:t>–</w:t>
            </w:r>
            <w:r w:rsidRPr="00B75B77">
              <w:rPr>
                <w:sz w:val="18"/>
                <w:szCs w:val="18"/>
              </w:rPr>
              <w:t xml:space="preserve"> Refrigerator</w:t>
            </w:r>
            <w:r w:rsidR="001A4C5E" w:rsidRPr="00B75B77">
              <w:rPr>
                <w:sz w:val="18"/>
                <w:szCs w:val="18"/>
              </w:rPr>
              <w:t>,</w:t>
            </w:r>
            <w:r w:rsidRPr="00B75B77">
              <w:rPr>
                <w:sz w:val="18"/>
                <w:szCs w:val="18"/>
              </w:rPr>
              <w:t xml:space="preserve"> Shaded Pole to ECM, Freezer: 1/20 HP</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1</w:t>
            </w:r>
            <w:r w:rsidR="007F2221" w:rsidRPr="00B75B77">
              <w:rPr>
                <w:sz w:val="18"/>
                <w:szCs w:val="18"/>
              </w:rPr>
              <w:t>,</w:t>
            </w:r>
            <w:r w:rsidRPr="00B75B77">
              <w:rPr>
                <w:sz w:val="18"/>
                <w:szCs w:val="18"/>
              </w:rPr>
              <w:t>838.02 / Motor</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Night Cover </w:t>
            </w:r>
            <w:r w:rsidR="001A4C5E" w:rsidRPr="00B75B77">
              <w:rPr>
                <w:sz w:val="18"/>
                <w:szCs w:val="18"/>
              </w:rPr>
              <w:t>–</w:t>
            </w:r>
            <w:r w:rsidRPr="00B75B77">
              <w:rPr>
                <w:sz w:val="18"/>
                <w:szCs w:val="18"/>
              </w:rPr>
              <w:t xml:space="preserve"> Night Cover</w:t>
            </w:r>
            <w:r w:rsidR="001A4C5E" w:rsidRPr="00B75B77">
              <w:rPr>
                <w:sz w:val="18"/>
                <w:szCs w:val="18"/>
              </w:rPr>
              <w:t>,</w:t>
            </w:r>
            <w:r w:rsidRPr="00B75B77">
              <w:rPr>
                <w:sz w:val="18"/>
                <w:szCs w:val="18"/>
              </w:rPr>
              <w:t xml:space="preserve"> Night Cover</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348.37 / LF of case</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CFL: ENERGY STAR Screw-in CFL Bulbs (</w:t>
            </w:r>
            <w:r w:rsidR="001A4C5E" w:rsidRPr="00B75B77">
              <w:rPr>
                <w:sz w:val="18"/>
                <w:szCs w:val="18"/>
              </w:rPr>
              <w:t>G</w:t>
            </w:r>
            <w:r w:rsidRPr="00B75B77">
              <w:rPr>
                <w:sz w:val="18"/>
                <w:szCs w:val="18"/>
              </w:rPr>
              <w:t xml:space="preserve">eneral </w:t>
            </w:r>
            <w:r w:rsidR="001A4C5E" w:rsidRPr="00B75B77">
              <w:rPr>
                <w:sz w:val="18"/>
                <w:szCs w:val="18"/>
              </w:rPr>
              <w:t>S</w:t>
            </w:r>
            <w:r w:rsidRPr="00B75B77">
              <w:rPr>
                <w:sz w:val="18"/>
                <w:szCs w:val="18"/>
              </w:rPr>
              <w:t xml:space="preserve">ervice, </w:t>
            </w:r>
            <w:r w:rsidR="001A4C5E" w:rsidRPr="00B75B77">
              <w:rPr>
                <w:sz w:val="18"/>
                <w:szCs w:val="18"/>
              </w:rPr>
              <w:t>N</w:t>
            </w:r>
            <w:r w:rsidRPr="00B75B77">
              <w:rPr>
                <w:sz w:val="18"/>
                <w:szCs w:val="18"/>
              </w:rPr>
              <w:t>on-</w:t>
            </w:r>
            <w:r w:rsidR="001A4C5E" w:rsidRPr="00B75B77">
              <w:rPr>
                <w:sz w:val="18"/>
                <w:szCs w:val="18"/>
              </w:rPr>
              <w:t>D</w:t>
            </w:r>
            <w:r w:rsidRPr="00B75B77">
              <w:rPr>
                <w:sz w:val="18"/>
                <w:szCs w:val="18"/>
              </w:rPr>
              <w:t>immable) - Lumens = 310-749</w:t>
            </w:r>
            <w:r w:rsidR="001A4C5E" w:rsidRPr="00B75B77">
              <w:rPr>
                <w:sz w:val="18"/>
                <w:szCs w:val="18"/>
              </w:rPr>
              <w:t>,</w:t>
            </w:r>
            <w:r w:rsidRPr="00B75B77">
              <w:rPr>
                <w:sz w:val="18"/>
                <w:szCs w:val="18"/>
              </w:rPr>
              <w:t xml:space="preserve"> 7W</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30.1 / Lamp</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1A4C5E">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LED: A19, General Service Incandescent Lamp Replacement</w:t>
            </w:r>
            <w:r w:rsidR="001A4C5E" w:rsidRPr="00B75B77">
              <w:rPr>
                <w:sz w:val="18"/>
                <w:szCs w:val="18"/>
              </w:rPr>
              <w:t>–</w:t>
            </w:r>
            <w:r w:rsidRPr="00B75B77">
              <w:rPr>
                <w:sz w:val="18"/>
                <w:szCs w:val="18"/>
              </w:rPr>
              <w:t xml:space="preserve"> Lumens = 310-749</w:t>
            </w:r>
            <w:r w:rsidR="001A4C5E" w:rsidRPr="00B75B77">
              <w:rPr>
                <w:sz w:val="18"/>
                <w:szCs w:val="18"/>
              </w:rPr>
              <w:t>,</w:t>
            </w:r>
            <w:r w:rsidRPr="00B75B77">
              <w:rPr>
                <w:sz w:val="18"/>
                <w:szCs w:val="18"/>
              </w:rPr>
              <w:t xml:space="preserve"> 19W</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462.26 / Lamp</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LED: A19, General Service Incandescent Lamp Replacement </w:t>
            </w:r>
            <w:r w:rsidR="001A4C5E" w:rsidRPr="00B75B77">
              <w:rPr>
                <w:sz w:val="18"/>
                <w:szCs w:val="18"/>
              </w:rPr>
              <w:t>–</w:t>
            </w:r>
            <w:r w:rsidRPr="00B75B77">
              <w:rPr>
                <w:sz w:val="18"/>
                <w:szCs w:val="18"/>
              </w:rPr>
              <w:t xml:space="preserve"> </w:t>
            </w:r>
            <w:r w:rsidR="001A4C5E" w:rsidRPr="00B75B77">
              <w:rPr>
                <w:sz w:val="18"/>
                <w:szCs w:val="18"/>
              </w:rPr>
              <w:t>L</w:t>
            </w:r>
            <w:r w:rsidRPr="00B75B77">
              <w:rPr>
                <w:sz w:val="18"/>
                <w:szCs w:val="18"/>
              </w:rPr>
              <w:t>umens = 750-1049</w:t>
            </w:r>
            <w:r w:rsidR="001A4C5E" w:rsidRPr="00B75B77">
              <w:rPr>
                <w:sz w:val="18"/>
                <w:szCs w:val="18"/>
              </w:rPr>
              <w:t>,</w:t>
            </w:r>
            <w:r w:rsidRPr="00B75B77">
              <w:rPr>
                <w:sz w:val="18"/>
                <w:szCs w:val="18"/>
              </w:rPr>
              <w:t xml:space="preserve"> 11W</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117.41 / Lamp</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LED: BR30 </w:t>
            </w:r>
            <w:r w:rsidR="001A4C5E" w:rsidRPr="00B75B77">
              <w:rPr>
                <w:sz w:val="18"/>
                <w:szCs w:val="18"/>
              </w:rPr>
              <w:t>–</w:t>
            </w:r>
            <w:r w:rsidRPr="00B75B77">
              <w:rPr>
                <w:sz w:val="18"/>
                <w:szCs w:val="18"/>
              </w:rPr>
              <w:t xml:space="preserve"> </w:t>
            </w:r>
            <w:r w:rsidR="001A4C5E" w:rsidRPr="00B75B77">
              <w:rPr>
                <w:sz w:val="18"/>
                <w:szCs w:val="18"/>
              </w:rPr>
              <w:t>L</w:t>
            </w:r>
            <w:r w:rsidRPr="00B75B77">
              <w:rPr>
                <w:sz w:val="18"/>
                <w:szCs w:val="18"/>
              </w:rPr>
              <w:t>umens = 561-837</w:t>
            </w:r>
            <w:r w:rsidR="001A4C5E" w:rsidRPr="00B75B77">
              <w:rPr>
                <w:sz w:val="18"/>
                <w:szCs w:val="18"/>
              </w:rPr>
              <w:t>,</w:t>
            </w:r>
            <w:r w:rsidRPr="00B75B77">
              <w:rPr>
                <w:sz w:val="18"/>
                <w:szCs w:val="18"/>
              </w:rPr>
              <w:t xml:space="preserve"> 13W</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173.11 / Lamp</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LED: MR16 </w:t>
            </w:r>
            <w:r w:rsidR="001A4C5E" w:rsidRPr="00B75B77">
              <w:rPr>
                <w:sz w:val="18"/>
                <w:szCs w:val="18"/>
              </w:rPr>
              <w:t>–</w:t>
            </w:r>
            <w:r w:rsidRPr="00B75B77">
              <w:rPr>
                <w:sz w:val="18"/>
                <w:szCs w:val="18"/>
              </w:rPr>
              <w:t xml:space="preserve"> Lumens = 310-749</w:t>
            </w:r>
            <w:r w:rsidR="001A4C5E" w:rsidRPr="00B75B77">
              <w:rPr>
                <w:sz w:val="18"/>
                <w:szCs w:val="18"/>
              </w:rPr>
              <w:t>,</w:t>
            </w:r>
            <w:r w:rsidRPr="00B75B77">
              <w:rPr>
                <w:sz w:val="18"/>
                <w:szCs w:val="18"/>
              </w:rPr>
              <w:t xml:space="preserve"> 10W</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141.99 / Lamp</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lastRenderedPageBreak/>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LED: PAR20 </w:t>
            </w:r>
            <w:r w:rsidR="001A4C5E" w:rsidRPr="00B75B77">
              <w:rPr>
                <w:sz w:val="18"/>
                <w:szCs w:val="18"/>
              </w:rPr>
              <w:t>–</w:t>
            </w:r>
            <w:r w:rsidRPr="00B75B77">
              <w:rPr>
                <w:sz w:val="18"/>
                <w:szCs w:val="18"/>
              </w:rPr>
              <w:t xml:space="preserve"> Lumens = 310-749</w:t>
            </w:r>
            <w:r w:rsidR="001A4C5E" w:rsidRPr="00B75B77">
              <w:rPr>
                <w:sz w:val="18"/>
                <w:szCs w:val="18"/>
              </w:rPr>
              <w:t>,</w:t>
            </w:r>
            <w:r w:rsidRPr="00B75B77">
              <w:rPr>
                <w:sz w:val="18"/>
                <w:szCs w:val="18"/>
              </w:rPr>
              <w:t xml:space="preserve"> 8W</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242.68 / Lamp</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LED: PAR30 </w:t>
            </w:r>
            <w:r w:rsidR="001A4C5E" w:rsidRPr="00B75B77">
              <w:rPr>
                <w:sz w:val="18"/>
                <w:szCs w:val="18"/>
              </w:rPr>
              <w:t>–</w:t>
            </w:r>
            <w:r w:rsidRPr="00B75B77">
              <w:rPr>
                <w:sz w:val="18"/>
                <w:szCs w:val="18"/>
              </w:rPr>
              <w:t xml:space="preserve"> </w:t>
            </w:r>
            <w:r w:rsidR="001A4C5E" w:rsidRPr="00B75B77">
              <w:rPr>
                <w:sz w:val="18"/>
                <w:szCs w:val="18"/>
              </w:rPr>
              <w:t>L</w:t>
            </w:r>
            <w:r w:rsidRPr="00B75B77">
              <w:rPr>
                <w:sz w:val="18"/>
                <w:szCs w:val="18"/>
              </w:rPr>
              <w:t>umens = 561-837</w:t>
            </w:r>
            <w:r w:rsidR="001A4C5E" w:rsidRPr="00B75B77">
              <w:rPr>
                <w:sz w:val="18"/>
                <w:szCs w:val="18"/>
              </w:rPr>
              <w:t>,</w:t>
            </w:r>
            <w:r w:rsidRPr="00B75B77">
              <w:rPr>
                <w:sz w:val="18"/>
                <w:szCs w:val="18"/>
              </w:rPr>
              <w:t xml:space="preserve"> 12W</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202.08 / Lamp</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LED: PAR38 </w:t>
            </w:r>
            <w:r w:rsidR="001A4C5E" w:rsidRPr="00B75B77">
              <w:rPr>
                <w:sz w:val="18"/>
                <w:szCs w:val="18"/>
              </w:rPr>
              <w:t>–</w:t>
            </w:r>
            <w:r w:rsidRPr="00B75B77">
              <w:rPr>
                <w:sz w:val="18"/>
                <w:szCs w:val="18"/>
              </w:rPr>
              <w:t xml:space="preserve"> </w:t>
            </w:r>
            <w:r w:rsidR="001A4C5E" w:rsidRPr="00B75B77">
              <w:rPr>
                <w:sz w:val="18"/>
                <w:szCs w:val="18"/>
              </w:rPr>
              <w:t>L</w:t>
            </w:r>
            <w:r w:rsidRPr="00B75B77">
              <w:rPr>
                <w:sz w:val="18"/>
                <w:szCs w:val="18"/>
              </w:rPr>
              <w:t>umens = 750-1049</w:t>
            </w:r>
            <w:r w:rsidR="001A4C5E" w:rsidRPr="00B75B77">
              <w:rPr>
                <w:sz w:val="18"/>
                <w:szCs w:val="18"/>
              </w:rPr>
              <w:t>,</w:t>
            </w:r>
            <w:r w:rsidRPr="00B75B77">
              <w:rPr>
                <w:sz w:val="18"/>
                <w:szCs w:val="18"/>
              </w:rPr>
              <w:t xml:space="preserve"> 13W</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314.26 / Lamp</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LED:</w:t>
            </w:r>
            <w:r w:rsidR="001A4C5E" w:rsidRPr="00B75B77">
              <w:rPr>
                <w:sz w:val="18"/>
                <w:szCs w:val="18"/>
              </w:rPr>
              <w:t xml:space="preserve"> </w:t>
            </w:r>
            <w:r w:rsidRPr="00B75B77">
              <w:rPr>
                <w:sz w:val="18"/>
                <w:szCs w:val="18"/>
              </w:rPr>
              <w:t xml:space="preserve">A19 </w:t>
            </w:r>
            <w:r w:rsidR="001A4C5E" w:rsidRPr="00B75B77">
              <w:rPr>
                <w:sz w:val="18"/>
                <w:szCs w:val="18"/>
              </w:rPr>
              <w:t>–</w:t>
            </w:r>
            <w:r w:rsidRPr="00B75B77">
              <w:rPr>
                <w:sz w:val="18"/>
                <w:szCs w:val="18"/>
              </w:rPr>
              <w:t xml:space="preserve"> Lumens = 310-749</w:t>
            </w:r>
            <w:r w:rsidR="001A4C5E" w:rsidRPr="00B75B77">
              <w:rPr>
                <w:sz w:val="18"/>
                <w:szCs w:val="18"/>
              </w:rPr>
              <w:t>,</w:t>
            </w:r>
            <w:r w:rsidRPr="00B75B77">
              <w:rPr>
                <w:sz w:val="18"/>
                <w:szCs w:val="18"/>
              </w:rPr>
              <w:t xml:space="preserve"> 9.5W</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117.31 / Lamp</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LED:</w:t>
            </w:r>
            <w:r w:rsidR="001A4C5E" w:rsidRPr="00B75B77">
              <w:rPr>
                <w:sz w:val="18"/>
                <w:szCs w:val="18"/>
              </w:rPr>
              <w:t xml:space="preserve"> </w:t>
            </w:r>
            <w:r w:rsidRPr="00B75B77">
              <w:rPr>
                <w:sz w:val="18"/>
                <w:szCs w:val="18"/>
              </w:rPr>
              <w:t xml:space="preserve">BR30 </w:t>
            </w:r>
            <w:r w:rsidR="001A4C5E" w:rsidRPr="00B75B77">
              <w:rPr>
                <w:sz w:val="18"/>
                <w:szCs w:val="18"/>
              </w:rPr>
              <w:t>–</w:t>
            </w:r>
            <w:r w:rsidRPr="00B75B77">
              <w:rPr>
                <w:sz w:val="18"/>
                <w:szCs w:val="18"/>
              </w:rPr>
              <w:t xml:space="preserve"> Lumens = 310-749</w:t>
            </w:r>
            <w:r w:rsidR="001A4C5E" w:rsidRPr="00B75B77">
              <w:rPr>
                <w:sz w:val="18"/>
                <w:szCs w:val="18"/>
              </w:rPr>
              <w:t>,</w:t>
            </w:r>
            <w:r w:rsidRPr="00B75B77">
              <w:rPr>
                <w:sz w:val="18"/>
                <w:szCs w:val="18"/>
              </w:rPr>
              <w:t xml:space="preserve"> 9.5W</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244.18 / Lamp</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LED:</w:t>
            </w:r>
            <w:r w:rsidR="001A4C5E" w:rsidRPr="00B75B77">
              <w:rPr>
                <w:sz w:val="18"/>
                <w:szCs w:val="18"/>
              </w:rPr>
              <w:t xml:space="preserve"> </w:t>
            </w:r>
            <w:r w:rsidRPr="00B75B77">
              <w:rPr>
                <w:sz w:val="18"/>
                <w:szCs w:val="18"/>
              </w:rPr>
              <w:t xml:space="preserve">CLBR </w:t>
            </w:r>
            <w:r w:rsidR="001A4C5E" w:rsidRPr="00B75B77">
              <w:rPr>
                <w:sz w:val="18"/>
                <w:szCs w:val="18"/>
              </w:rPr>
              <w:t>–</w:t>
            </w:r>
            <w:r w:rsidRPr="00B75B77">
              <w:rPr>
                <w:sz w:val="18"/>
                <w:szCs w:val="18"/>
              </w:rPr>
              <w:t xml:space="preserve"> </w:t>
            </w:r>
            <w:r w:rsidR="001A4C5E" w:rsidRPr="00B75B77">
              <w:rPr>
                <w:sz w:val="18"/>
                <w:szCs w:val="18"/>
              </w:rPr>
              <w:t>L</w:t>
            </w:r>
            <w:r w:rsidRPr="00B75B77">
              <w:rPr>
                <w:sz w:val="18"/>
                <w:szCs w:val="18"/>
              </w:rPr>
              <w:t>umens = 180 to 309</w:t>
            </w:r>
            <w:r w:rsidR="001A4C5E" w:rsidRPr="00B75B77">
              <w:rPr>
                <w:sz w:val="18"/>
                <w:szCs w:val="18"/>
              </w:rPr>
              <w:t>,</w:t>
            </w:r>
            <w:r w:rsidRPr="00B75B77">
              <w:rPr>
                <w:sz w:val="18"/>
                <w:szCs w:val="18"/>
              </w:rPr>
              <w:t xml:space="preserve"> 4W</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478.09 / Lamp</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1A4C5E" w:rsidRPr="00B75B77">
              <w:rPr>
                <w:sz w:val="18"/>
                <w:szCs w:val="18"/>
              </w:rPr>
              <w:t>–</w:t>
            </w:r>
            <w:r w:rsidRPr="00B75B77">
              <w:rPr>
                <w:sz w:val="18"/>
                <w:szCs w:val="18"/>
              </w:rPr>
              <w:t xml:space="preserve"> High</w:t>
            </w:r>
            <w:r w:rsidR="001A4C5E" w:rsidRPr="00B75B77">
              <w:rPr>
                <w:sz w:val="18"/>
                <w:szCs w:val="18"/>
              </w:rPr>
              <w:t>-</w:t>
            </w:r>
            <w:r w:rsidRPr="00B75B77">
              <w:rPr>
                <w:sz w:val="18"/>
                <w:szCs w:val="18"/>
              </w:rPr>
              <w:t>Bay Fluorescent T-8</w:t>
            </w:r>
            <w:r w:rsidR="001A4C5E" w:rsidRPr="00B75B77">
              <w:rPr>
                <w:sz w:val="18"/>
                <w:szCs w:val="18"/>
              </w:rPr>
              <w:t>,</w:t>
            </w:r>
            <w:r w:rsidRPr="00B75B77">
              <w:rPr>
                <w:sz w:val="18"/>
                <w:szCs w:val="18"/>
              </w:rPr>
              <w:t xml:space="preserve"> HPT8 4F32 ISH</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615.52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1A4C5E" w:rsidRPr="00B75B77">
              <w:rPr>
                <w:sz w:val="18"/>
                <w:szCs w:val="18"/>
              </w:rPr>
              <w:t>–</w:t>
            </w:r>
            <w:r w:rsidRPr="00B75B77">
              <w:rPr>
                <w:sz w:val="18"/>
                <w:szCs w:val="18"/>
              </w:rPr>
              <w:t xml:space="preserve"> HPT8 2' </w:t>
            </w:r>
            <w:proofErr w:type="spellStart"/>
            <w:r w:rsidRPr="00B75B77">
              <w:rPr>
                <w:sz w:val="18"/>
                <w:szCs w:val="18"/>
              </w:rPr>
              <w:t>Relamp</w:t>
            </w:r>
            <w:proofErr w:type="spellEnd"/>
            <w:r w:rsidRPr="00B75B77">
              <w:rPr>
                <w:sz w:val="18"/>
                <w:szCs w:val="18"/>
              </w:rPr>
              <w:t xml:space="preserve"> and </w:t>
            </w:r>
            <w:proofErr w:type="spellStart"/>
            <w:r w:rsidRPr="00B75B77">
              <w:rPr>
                <w:sz w:val="18"/>
                <w:szCs w:val="18"/>
              </w:rPr>
              <w:t>Reballast</w:t>
            </w:r>
            <w:proofErr w:type="spellEnd"/>
            <w:r w:rsidR="001A4C5E" w:rsidRPr="00B75B77">
              <w:rPr>
                <w:sz w:val="18"/>
                <w:szCs w:val="18"/>
              </w:rPr>
              <w:t>,</w:t>
            </w:r>
            <w:r w:rsidRPr="00B75B77">
              <w:rPr>
                <w:sz w:val="18"/>
                <w:szCs w:val="18"/>
              </w:rPr>
              <w:t xml:space="preserve"> HPT8 1F17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7.55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1A4C5E" w:rsidRPr="00B75B77">
              <w:rPr>
                <w:sz w:val="18"/>
                <w:szCs w:val="18"/>
              </w:rPr>
              <w:t>–</w:t>
            </w:r>
            <w:r w:rsidRPr="00B75B77">
              <w:rPr>
                <w:sz w:val="18"/>
                <w:szCs w:val="18"/>
              </w:rPr>
              <w:t xml:space="preserve"> HPT8 2' </w:t>
            </w:r>
            <w:proofErr w:type="spellStart"/>
            <w:r w:rsidRPr="00B75B77">
              <w:rPr>
                <w:sz w:val="18"/>
                <w:szCs w:val="18"/>
              </w:rPr>
              <w:t>Relamp</w:t>
            </w:r>
            <w:proofErr w:type="spellEnd"/>
            <w:r w:rsidRPr="00B75B77">
              <w:rPr>
                <w:sz w:val="18"/>
                <w:szCs w:val="18"/>
              </w:rPr>
              <w:t xml:space="preserve"> and </w:t>
            </w:r>
            <w:proofErr w:type="spellStart"/>
            <w:r w:rsidRPr="00B75B77">
              <w:rPr>
                <w:sz w:val="18"/>
                <w:szCs w:val="18"/>
              </w:rPr>
              <w:t>Reballast</w:t>
            </w:r>
            <w:proofErr w:type="spellEnd"/>
            <w:r w:rsidR="001A4C5E" w:rsidRPr="00B75B77">
              <w:rPr>
                <w:sz w:val="18"/>
                <w:szCs w:val="18"/>
              </w:rPr>
              <w:t>,</w:t>
            </w:r>
            <w:r w:rsidRPr="00B75B77">
              <w:rPr>
                <w:sz w:val="18"/>
                <w:szCs w:val="18"/>
              </w:rPr>
              <w:t xml:space="preserve"> HPT8 2F17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96.66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1A4C5E" w:rsidRPr="00B75B77">
              <w:rPr>
                <w:sz w:val="18"/>
                <w:szCs w:val="18"/>
              </w:rPr>
              <w:t>–</w:t>
            </w:r>
            <w:r w:rsidRPr="00B75B77">
              <w:rPr>
                <w:sz w:val="18"/>
                <w:szCs w:val="18"/>
              </w:rPr>
              <w:t xml:space="preserve"> HPT8 2x2 Troffer Retrofit</w:t>
            </w:r>
            <w:r w:rsidR="001A4C5E" w:rsidRPr="00B75B77">
              <w:rPr>
                <w:sz w:val="18"/>
                <w:szCs w:val="18"/>
              </w:rPr>
              <w:t>,</w:t>
            </w:r>
            <w:r w:rsidRPr="00B75B77">
              <w:rPr>
                <w:sz w:val="18"/>
                <w:szCs w:val="18"/>
              </w:rPr>
              <w:t xml:space="preserve"> HPT8 2F17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135.13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1A4C5E" w:rsidRPr="00B75B77">
              <w:rPr>
                <w:sz w:val="18"/>
                <w:szCs w:val="18"/>
              </w:rPr>
              <w:t>–</w:t>
            </w:r>
            <w:r w:rsidRPr="00B75B77">
              <w:rPr>
                <w:sz w:val="18"/>
                <w:szCs w:val="18"/>
              </w:rPr>
              <w:t xml:space="preserve"> HPT8 2x2 Troffer Retrofit</w:t>
            </w:r>
            <w:r w:rsidR="001A4C5E" w:rsidRPr="00B75B77">
              <w:rPr>
                <w:sz w:val="18"/>
                <w:szCs w:val="18"/>
              </w:rPr>
              <w:t>,</w:t>
            </w:r>
            <w:r w:rsidRPr="00B75B77">
              <w:rPr>
                <w:sz w:val="18"/>
                <w:szCs w:val="18"/>
              </w:rPr>
              <w:t xml:space="preserve"> HPT8 3F17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127.24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1A4C5E" w:rsidRPr="00B75B77">
              <w:rPr>
                <w:sz w:val="18"/>
                <w:szCs w:val="18"/>
              </w:rPr>
              <w:t>–</w:t>
            </w:r>
            <w:r w:rsidRPr="00B75B77">
              <w:rPr>
                <w:sz w:val="18"/>
                <w:szCs w:val="18"/>
              </w:rPr>
              <w:t xml:space="preserve"> HPT8 2x4 Troffer Retrofit</w:t>
            </w:r>
            <w:r w:rsidR="001A4C5E" w:rsidRPr="00B75B77">
              <w:rPr>
                <w:sz w:val="18"/>
                <w:szCs w:val="18"/>
              </w:rPr>
              <w:t>,</w:t>
            </w:r>
            <w:r w:rsidRPr="00B75B77">
              <w:rPr>
                <w:sz w:val="18"/>
                <w:szCs w:val="18"/>
              </w:rPr>
              <w:t xml:space="preserve"> HPT8 2F28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233.64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1A4C5E" w:rsidRPr="00B75B77">
              <w:rPr>
                <w:sz w:val="18"/>
                <w:szCs w:val="18"/>
              </w:rPr>
              <w:t>–</w:t>
            </w:r>
            <w:r w:rsidRPr="00B75B77">
              <w:rPr>
                <w:sz w:val="18"/>
                <w:szCs w:val="18"/>
              </w:rPr>
              <w:t xml:space="preserve"> HPT8 2x4 Troffer Retrofit</w:t>
            </w:r>
            <w:r w:rsidR="001A4C5E" w:rsidRPr="00B75B77">
              <w:rPr>
                <w:sz w:val="18"/>
                <w:szCs w:val="18"/>
              </w:rPr>
              <w:t>,</w:t>
            </w:r>
            <w:r w:rsidRPr="00B75B77">
              <w:rPr>
                <w:sz w:val="18"/>
                <w:szCs w:val="18"/>
              </w:rPr>
              <w:t xml:space="preserve"> HPT8 2F32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292.24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1A4C5E" w:rsidRPr="00B75B77">
              <w:rPr>
                <w:sz w:val="18"/>
                <w:szCs w:val="18"/>
              </w:rPr>
              <w:t>–</w:t>
            </w:r>
            <w:r w:rsidRPr="00B75B77">
              <w:rPr>
                <w:sz w:val="18"/>
                <w:szCs w:val="18"/>
              </w:rPr>
              <w:t xml:space="preserve"> HPT8 2x4 Troffer Retrofit</w:t>
            </w:r>
            <w:r w:rsidR="001A4C5E" w:rsidRPr="00B75B77">
              <w:rPr>
                <w:sz w:val="18"/>
                <w:szCs w:val="18"/>
              </w:rPr>
              <w:t>,</w:t>
            </w:r>
            <w:r w:rsidRPr="00B75B77">
              <w:rPr>
                <w:sz w:val="18"/>
                <w:szCs w:val="18"/>
              </w:rPr>
              <w:t xml:space="preserve"> HPT8 2F32 ISN</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409.78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1A4C5E" w:rsidRPr="00B75B77">
              <w:rPr>
                <w:sz w:val="18"/>
                <w:szCs w:val="18"/>
              </w:rPr>
              <w:t>–</w:t>
            </w:r>
            <w:r w:rsidRPr="00B75B77">
              <w:rPr>
                <w:sz w:val="18"/>
                <w:szCs w:val="18"/>
              </w:rPr>
              <w:t xml:space="preserve"> HPT8 3' </w:t>
            </w:r>
            <w:proofErr w:type="spellStart"/>
            <w:r w:rsidRPr="00B75B77">
              <w:rPr>
                <w:sz w:val="18"/>
                <w:szCs w:val="18"/>
              </w:rPr>
              <w:t>Relamp</w:t>
            </w:r>
            <w:proofErr w:type="spellEnd"/>
            <w:r w:rsidRPr="00B75B77">
              <w:rPr>
                <w:sz w:val="18"/>
                <w:szCs w:val="18"/>
              </w:rPr>
              <w:t xml:space="preserve"> and </w:t>
            </w:r>
            <w:proofErr w:type="spellStart"/>
            <w:r w:rsidRPr="00B75B77">
              <w:rPr>
                <w:sz w:val="18"/>
                <w:szCs w:val="18"/>
              </w:rPr>
              <w:t>Reballast</w:t>
            </w:r>
            <w:proofErr w:type="spellEnd"/>
            <w:r w:rsidR="001A4C5E" w:rsidRPr="00B75B77">
              <w:rPr>
                <w:sz w:val="18"/>
                <w:szCs w:val="18"/>
              </w:rPr>
              <w:t>,</w:t>
            </w:r>
            <w:r w:rsidRPr="00B75B77">
              <w:rPr>
                <w:sz w:val="18"/>
                <w:szCs w:val="18"/>
              </w:rPr>
              <w:t xml:space="preserve"> HPT8 2F25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47.93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1A4C5E" w:rsidRPr="00B75B77">
              <w:rPr>
                <w:sz w:val="18"/>
                <w:szCs w:val="18"/>
              </w:rPr>
              <w:t>–</w:t>
            </w:r>
            <w:r w:rsidRPr="00B75B77">
              <w:rPr>
                <w:sz w:val="18"/>
                <w:szCs w:val="18"/>
              </w:rPr>
              <w:t xml:space="preserve"> HPT8 4' Industrial Retrofit</w:t>
            </w:r>
            <w:r w:rsidR="001A4C5E" w:rsidRPr="00B75B77">
              <w:rPr>
                <w:sz w:val="18"/>
                <w:szCs w:val="18"/>
              </w:rPr>
              <w:t>,</w:t>
            </w:r>
            <w:r w:rsidRPr="00B75B77">
              <w:rPr>
                <w:sz w:val="18"/>
                <w:szCs w:val="18"/>
              </w:rPr>
              <w:t xml:space="preserve"> HPT8 1F32 ISN</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256.24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1A4C5E" w:rsidRPr="00B75B77">
              <w:rPr>
                <w:sz w:val="18"/>
                <w:szCs w:val="18"/>
              </w:rPr>
              <w:t>–</w:t>
            </w:r>
            <w:r w:rsidRPr="00B75B77">
              <w:rPr>
                <w:sz w:val="18"/>
                <w:szCs w:val="18"/>
              </w:rPr>
              <w:t xml:space="preserve"> HPT8 4' </w:t>
            </w:r>
            <w:proofErr w:type="spellStart"/>
            <w:r w:rsidRPr="00B75B77">
              <w:rPr>
                <w:sz w:val="18"/>
                <w:szCs w:val="18"/>
              </w:rPr>
              <w:t>Relamp</w:t>
            </w:r>
            <w:proofErr w:type="spellEnd"/>
            <w:r w:rsidRPr="00B75B77">
              <w:rPr>
                <w:sz w:val="18"/>
                <w:szCs w:val="18"/>
              </w:rPr>
              <w:t xml:space="preserve"> and </w:t>
            </w:r>
            <w:proofErr w:type="spellStart"/>
            <w:r w:rsidRPr="00B75B77">
              <w:rPr>
                <w:sz w:val="18"/>
                <w:szCs w:val="18"/>
              </w:rPr>
              <w:t>Reballast</w:t>
            </w:r>
            <w:proofErr w:type="spellEnd"/>
            <w:r w:rsidR="001A4C5E" w:rsidRPr="00B75B77">
              <w:rPr>
                <w:sz w:val="18"/>
                <w:szCs w:val="18"/>
              </w:rPr>
              <w:t>,</w:t>
            </w:r>
            <w:r w:rsidRPr="00B75B77">
              <w:rPr>
                <w:sz w:val="18"/>
                <w:szCs w:val="18"/>
              </w:rPr>
              <w:t xml:space="preserve"> HPT8 1F28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142.03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lastRenderedPageBreak/>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1A4C5E" w:rsidRPr="00B75B77">
              <w:rPr>
                <w:sz w:val="18"/>
                <w:szCs w:val="18"/>
              </w:rPr>
              <w:t>–</w:t>
            </w:r>
            <w:r w:rsidRPr="00B75B77">
              <w:rPr>
                <w:sz w:val="18"/>
                <w:szCs w:val="18"/>
              </w:rPr>
              <w:t xml:space="preserve"> HPT8 4' </w:t>
            </w:r>
            <w:proofErr w:type="spellStart"/>
            <w:r w:rsidRPr="00B75B77">
              <w:rPr>
                <w:sz w:val="18"/>
                <w:szCs w:val="18"/>
              </w:rPr>
              <w:t>Relamp</w:t>
            </w:r>
            <w:proofErr w:type="spellEnd"/>
            <w:r w:rsidRPr="00B75B77">
              <w:rPr>
                <w:sz w:val="18"/>
                <w:szCs w:val="18"/>
              </w:rPr>
              <w:t xml:space="preserve"> and </w:t>
            </w:r>
            <w:proofErr w:type="spellStart"/>
            <w:r w:rsidRPr="00B75B77">
              <w:rPr>
                <w:sz w:val="18"/>
                <w:szCs w:val="18"/>
              </w:rPr>
              <w:t>Reballast</w:t>
            </w:r>
            <w:proofErr w:type="spellEnd"/>
            <w:r w:rsidR="001A4C5E" w:rsidRPr="00B75B77">
              <w:rPr>
                <w:sz w:val="18"/>
                <w:szCs w:val="18"/>
              </w:rPr>
              <w:t>,</w:t>
            </w:r>
            <w:r w:rsidRPr="00B75B77">
              <w:rPr>
                <w:sz w:val="18"/>
                <w:szCs w:val="18"/>
              </w:rPr>
              <w:t xml:space="preserve"> HPT8 2F28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142.84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1A4C5E" w:rsidRPr="00B75B77">
              <w:rPr>
                <w:sz w:val="18"/>
                <w:szCs w:val="18"/>
              </w:rPr>
              <w:t>–</w:t>
            </w:r>
            <w:r w:rsidRPr="00B75B77">
              <w:rPr>
                <w:sz w:val="18"/>
                <w:szCs w:val="18"/>
              </w:rPr>
              <w:t xml:space="preserve"> HPT8 4' </w:t>
            </w:r>
            <w:proofErr w:type="spellStart"/>
            <w:r w:rsidRPr="00B75B77">
              <w:rPr>
                <w:sz w:val="18"/>
                <w:szCs w:val="18"/>
              </w:rPr>
              <w:t>Relamp</w:t>
            </w:r>
            <w:proofErr w:type="spellEnd"/>
            <w:r w:rsidRPr="00B75B77">
              <w:rPr>
                <w:sz w:val="18"/>
                <w:szCs w:val="18"/>
              </w:rPr>
              <w:t xml:space="preserve"> and </w:t>
            </w:r>
            <w:proofErr w:type="spellStart"/>
            <w:r w:rsidRPr="00B75B77">
              <w:rPr>
                <w:sz w:val="18"/>
                <w:szCs w:val="18"/>
              </w:rPr>
              <w:t>Reballast</w:t>
            </w:r>
            <w:proofErr w:type="spellEnd"/>
            <w:r w:rsidR="001A4C5E" w:rsidRPr="00B75B77">
              <w:rPr>
                <w:sz w:val="18"/>
                <w:szCs w:val="18"/>
              </w:rPr>
              <w:t>,</w:t>
            </w:r>
            <w:r w:rsidRPr="00B75B77">
              <w:rPr>
                <w:sz w:val="18"/>
                <w:szCs w:val="18"/>
              </w:rPr>
              <w:t xml:space="preserve"> HPT8 2F32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97.71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1A4C5E" w:rsidRPr="00B75B77">
              <w:rPr>
                <w:sz w:val="18"/>
                <w:szCs w:val="18"/>
              </w:rPr>
              <w:t>–</w:t>
            </w:r>
            <w:r w:rsidRPr="00B75B77">
              <w:rPr>
                <w:sz w:val="18"/>
                <w:szCs w:val="18"/>
              </w:rPr>
              <w:t xml:space="preserve"> HPT8 4' </w:t>
            </w:r>
            <w:proofErr w:type="spellStart"/>
            <w:r w:rsidRPr="00B75B77">
              <w:rPr>
                <w:sz w:val="18"/>
                <w:szCs w:val="18"/>
              </w:rPr>
              <w:t>Relamp</w:t>
            </w:r>
            <w:proofErr w:type="spellEnd"/>
            <w:r w:rsidRPr="00B75B77">
              <w:rPr>
                <w:sz w:val="18"/>
                <w:szCs w:val="18"/>
              </w:rPr>
              <w:t xml:space="preserve"> and </w:t>
            </w:r>
            <w:proofErr w:type="spellStart"/>
            <w:r w:rsidRPr="00B75B77">
              <w:rPr>
                <w:sz w:val="18"/>
                <w:szCs w:val="18"/>
              </w:rPr>
              <w:t>Reballast</w:t>
            </w:r>
            <w:proofErr w:type="spellEnd"/>
            <w:r w:rsidR="001A4C5E" w:rsidRPr="00B75B77">
              <w:rPr>
                <w:sz w:val="18"/>
                <w:szCs w:val="18"/>
              </w:rPr>
              <w:t>,</w:t>
            </w:r>
            <w:r w:rsidRPr="00B75B77">
              <w:rPr>
                <w:sz w:val="18"/>
                <w:szCs w:val="18"/>
              </w:rPr>
              <w:t xml:space="preserve"> HPT8 3F28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461.7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1A4C5E" w:rsidRPr="00B75B77">
              <w:rPr>
                <w:sz w:val="18"/>
                <w:szCs w:val="18"/>
              </w:rPr>
              <w:t>–</w:t>
            </w:r>
            <w:r w:rsidRPr="00B75B77">
              <w:rPr>
                <w:sz w:val="18"/>
                <w:szCs w:val="18"/>
              </w:rPr>
              <w:t xml:space="preserve"> HPT8 4' </w:t>
            </w:r>
            <w:proofErr w:type="spellStart"/>
            <w:r w:rsidRPr="00B75B77">
              <w:rPr>
                <w:sz w:val="18"/>
                <w:szCs w:val="18"/>
              </w:rPr>
              <w:t>Relamp</w:t>
            </w:r>
            <w:proofErr w:type="spellEnd"/>
            <w:r w:rsidRPr="00B75B77">
              <w:rPr>
                <w:sz w:val="18"/>
                <w:szCs w:val="18"/>
              </w:rPr>
              <w:t xml:space="preserve"> and </w:t>
            </w:r>
            <w:proofErr w:type="spellStart"/>
            <w:r w:rsidRPr="00B75B77">
              <w:rPr>
                <w:sz w:val="18"/>
                <w:szCs w:val="18"/>
              </w:rPr>
              <w:t>Reballast</w:t>
            </w:r>
            <w:proofErr w:type="spellEnd"/>
            <w:r w:rsidR="001A4C5E" w:rsidRPr="00B75B77">
              <w:rPr>
                <w:sz w:val="18"/>
                <w:szCs w:val="18"/>
              </w:rPr>
              <w:t>,</w:t>
            </w:r>
            <w:r w:rsidRPr="00B75B77">
              <w:rPr>
                <w:sz w:val="18"/>
                <w:szCs w:val="18"/>
              </w:rPr>
              <w:t xml:space="preserve"> HPT8 4F28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255.01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1A4C5E" w:rsidRPr="00B75B77">
              <w:rPr>
                <w:sz w:val="18"/>
                <w:szCs w:val="18"/>
              </w:rPr>
              <w:t>–</w:t>
            </w:r>
            <w:r w:rsidRPr="00B75B77">
              <w:rPr>
                <w:sz w:val="18"/>
                <w:szCs w:val="18"/>
              </w:rPr>
              <w:t xml:space="preserve"> HPT8 8' Industrial Retrofit</w:t>
            </w:r>
            <w:r w:rsidR="001A4C5E" w:rsidRPr="00B75B77">
              <w:rPr>
                <w:sz w:val="18"/>
                <w:szCs w:val="18"/>
              </w:rPr>
              <w:t>,</w:t>
            </w:r>
            <w:r w:rsidRPr="00B75B77">
              <w:rPr>
                <w:sz w:val="18"/>
                <w:szCs w:val="18"/>
              </w:rPr>
              <w:t xml:space="preserve"> HPT8 4F28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565.03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1A4C5E" w:rsidRPr="00B75B77">
              <w:rPr>
                <w:sz w:val="18"/>
                <w:szCs w:val="18"/>
              </w:rPr>
              <w:t>–</w:t>
            </w:r>
            <w:r w:rsidRPr="00B75B77">
              <w:rPr>
                <w:sz w:val="18"/>
                <w:szCs w:val="18"/>
              </w:rPr>
              <w:t xml:space="preserve"> HPT8 8' Industrial Retrofit</w:t>
            </w:r>
            <w:r w:rsidR="001A4C5E" w:rsidRPr="00B75B77">
              <w:rPr>
                <w:sz w:val="18"/>
                <w:szCs w:val="18"/>
              </w:rPr>
              <w:t>,</w:t>
            </w:r>
            <w:r w:rsidRPr="00B75B77">
              <w:rPr>
                <w:sz w:val="18"/>
                <w:szCs w:val="18"/>
              </w:rPr>
              <w:t xml:space="preserve"> HPT8 4F32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232.38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1A4C5E" w:rsidRPr="00B75B77">
              <w:rPr>
                <w:sz w:val="18"/>
                <w:szCs w:val="18"/>
              </w:rPr>
              <w:t>–</w:t>
            </w:r>
            <w:r w:rsidRPr="00B75B77">
              <w:rPr>
                <w:sz w:val="18"/>
                <w:szCs w:val="18"/>
              </w:rPr>
              <w:t xml:space="preserve"> HPT8 8' Industrial Retrofit</w:t>
            </w:r>
            <w:r w:rsidR="001A4C5E" w:rsidRPr="00B75B77">
              <w:rPr>
                <w:sz w:val="18"/>
                <w:szCs w:val="18"/>
              </w:rPr>
              <w:t>,</w:t>
            </w:r>
            <w:r w:rsidRPr="00B75B77">
              <w:rPr>
                <w:sz w:val="18"/>
                <w:szCs w:val="18"/>
              </w:rPr>
              <w:t xml:space="preserve"> HPT8 4F32 ISN</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589.58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1A4C5E" w:rsidRPr="00B75B77">
              <w:rPr>
                <w:sz w:val="18"/>
                <w:szCs w:val="18"/>
              </w:rPr>
              <w:t>–</w:t>
            </w:r>
            <w:r w:rsidRPr="00B75B77">
              <w:rPr>
                <w:sz w:val="18"/>
                <w:szCs w:val="18"/>
              </w:rPr>
              <w:t xml:space="preserve"> New HPT8 4' Industrial Fixture</w:t>
            </w:r>
            <w:r w:rsidR="001A4C5E" w:rsidRPr="00B75B77">
              <w:rPr>
                <w:sz w:val="18"/>
                <w:szCs w:val="18"/>
              </w:rPr>
              <w:t>,</w:t>
            </w:r>
            <w:r w:rsidRPr="00B75B77">
              <w:rPr>
                <w:sz w:val="18"/>
                <w:szCs w:val="18"/>
              </w:rPr>
              <w:t xml:space="preserve"> HPT8 2F28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1.35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1A4C5E" w:rsidRPr="00B75B77">
              <w:rPr>
                <w:sz w:val="18"/>
                <w:szCs w:val="18"/>
              </w:rPr>
              <w:t>–</w:t>
            </w:r>
            <w:r w:rsidRPr="00B75B77">
              <w:rPr>
                <w:sz w:val="18"/>
                <w:szCs w:val="18"/>
              </w:rPr>
              <w:t xml:space="preserve"> New HPT8 8' Industrial Fixture</w:t>
            </w:r>
            <w:r w:rsidR="001A4C5E" w:rsidRPr="00B75B77">
              <w:rPr>
                <w:sz w:val="18"/>
                <w:szCs w:val="18"/>
              </w:rPr>
              <w:t>,</w:t>
            </w:r>
            <w:r w:rsidRPr="00B75B77">
              <w:rPr>
                <w:sz w:val="18"/>
                <w:szCs w:val="18"/>
              </w:rPr>
              <w:t xml:space="preserve"> HPT8 4F28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139.92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Linear Fluorescent: T8/T5 Fluorescent Fixture w/ Electronic Ballast </w:t>
            </w:r>
            <w:r w:rsidR="001A4C5E" w:rsidRPr="00B75B77">
              <w:rPr>
                <w:sz w:val="18"/>
                <w:szCs w:val="18"/>
              </w:rPr>
              <w:t>–</w:t>
            </w:r>
            <w:r w:rsidRPr="00B75B77">
              <w:rPr>
                <w:sz w:val="18"/>
                <w:szCs w:val="18"/>
              </w:rPr>
              <w:t xml:space="preserve"> New HPT8 8' Wrap Fixture</w:t>
            </w:r>
            <w:r w:rsidR="001A4C5E" w:rsidRPr="00B75B77">
              <w:rPr>
                <w:sz w:val="18"/>
                <w:szCs w:val="18"/>
              </w:rPr>
              <w:t>,</w:t>
            </w:r>
            <w:r w:rsidRPr="00B75B77">
              <w:rPr>
                <w:sz w:val="18"/>
                <w:szCs w:val="18"/>
              </w:rPr>
              <w:t xml:space="preserve"> HPT8 4F28 ISL</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150.89 / Fixture</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Business Solutions</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Evaporator Fan EC Motor for Walk-In Cases </w:t>
            </w:r>
            <w:r w:rsidR="001A4C5E" w:rsidRPr="00B75B77">
              <w:rPr>
                <w:sz w:val="18"/>
                <w:szCs w:val="18"/>
              </w:rPr>
              <w:t>–</w:t>
            </w:r>
            <w:r w:rsidRPr="00B75B77">
              <w:rPr>
                <w:sz w:val="18"/>
                <w:szCs w:val="18"/>
              </w:rPr>
              <w:t xml:space="preserve"> Refrigerator</w:t>
            </w:r>
            <w:r w:rsidR="001A4C5E" w:rsidRPr="00B75B77">
              <w:rPr>
                <w:sz w:val="18"/>
                <w:szCs w:val="18"/>
              </w:rPr>
              <w:t>,</w:t>
            </w:r>
            <w:r w:rsidRPr="00B75B77">
              <w:rPr>
                <w:sz w:val="18"/>
                <w:szCs w:val="18"/>
              </w:rPr>
              <w:t xml:space="preserve"> Shaded Pole to ECM, Cooler: 1/15 HP</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2</w:t>
            </w:r>
            <w:r w:rsidR="007F2221" w:rsidRPr="00B75B77">
              <w:rPr>
                <w:sz w:val="18"/>
                <w:szCs w:val="18"/>
              </w:rPr>
              <w:t>,</w:t>
            </w:r>
            <w:r w:rsidRPr="00B75B77">
              <w:rPr>
                <w:sz w:val="18"/>
                <w:szCs w:val="18"/>
              </w:rPr>
              <w:t>446.39 / Motor</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Equipment Incentives (C&amp;I)</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A/C: Air Source </w:t>
            </w:r>
            <w:r w:rsidR="001A4C5E" w:rsidRPr="00B75B77">
              <w:rPr>
                <w:sz w:val="18"/>
                <w:szCs w:val="18"/>
              </w:rPr>
              <w:t>–</w:t>
            </w:r>
            <w:r w:rsidRPr="00B75B77">
              <w:rPr>
                <w:sz w:val="18"/>
                <w:szCs w:val="18"/>
              </w:rPr>
              <w:t xml:space="preserve"> &lt; 65,000 Btu/h</w:t>
            </w:r>
            <w:r w:rsidR="001A4C5E" w:rsidRPr="00B75B77">
              <w:rPr>
                <w:sz w:val="18"/>
                <w:szCs w:val="18"/>
              </w:rPr>
              <w:t>,</w:t>
            </w:r>
            <w:r w:rsidRPr="00B75B77">
              <w:rPr>
                <w:sz w:val="18"/>
                <w:szCs w:val="18"/>
              </w:rPr>
              <w:t xml:space="preserve"> 15 SEER or </w:t>
            </w:r>
            <w:r w:rsidR="001A4C5E" w:rsidRPr="00B75B77">
              <w:rPr>
                <w:sz w:val="18"/>
                <w:szCs w:val="18"/>
              </w:rPr>
              <w:t>G</w:t>
            </w:r>
            <w:r w:rsidRPr="00B75B77">
              <w:rPr>
                <w:sz w:val="18"/>
                <w:szCs w:val="18"/>
              </w:rPr>
              <w:t>reater</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180.43 / Per Ton</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Equipment Incentives (C&amp;I)</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A/C: Air Source </w:t>
            </w:r>
            <w:r w:rsidR="001A4C5E" w:rsidRPr="00B75B77">
              <w:rPr>
                <w:sz w:val="18"/>
                <w:szCs w:val="18"/>
              </w:rPr>
              <w:t>–</w:t>
            </w:r>
            <w:r w:rsidRPr="00B75B77">
              <w:rPr>
                <w:sz w:val="18"/>
                <w:szCs w:val="18"/>
              </w:rPr>
              <w:t xml:space="preserve"> &lt; 65,000 Btu/h (5.5 tons)</w:t>
            </w:r>
            <w:r w:rsidR="001A4C5E" w:rsidRPr="00B75B77">
              <w:rPr>
                <w:sz w:val="18"/>
                <w:szCs w:val="18"/>
              </w:rPr>
              <w:t>,</w:t>
            </w:r>
            <w:r w:rsidRPr="00B75B77">
              <w:rPr>
                <w:sz w:val="18"/>
                <w:szCs w:val="18"/>
              </w:rPr>
              <w:t xml:space="preserve"> 15 SEER or </w:t>
            </w:r>
            <w:r w:rsidR="001A4C5E" w:rsidRPr="00B75B77">
              <w:rPr>
                <w:sz w:val="18"/>
                <w:szCs w:val="18"/>
              </w:rPr>
              <w:t>G</w:t>
            </w:r>
            <w:r w:rsidRPr="00B75B77">
              <w:rPr>
                <w:sz w:val="18"/>
                <w:szCs w:val="18"/>
              </w:rPr>
              <w:t>reater</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172</w:t>
            </w:r>
            <w:r w:rsidR="007F2221" w:rsidRPr="00B75B77">
              <w:rPr>
                <w:sz w:val="18"/>
                <w:szCs w:val="18"/>
              </w:rPr>
              <w:t>.00</w:t>
            </w:r>
            <w:r w:rsidRPr="00B75B77">
              <w:rPr>
                <w:sz w:val="18"/>
                <w:szCs w:val="18"/>
              </w:rPr>
              <w:t xml:space="preserve"> / Per Ton</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Equipment Incentives (C&amp;I)</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A/C: Air Source </w:t>
            </w:r>
            <w:r w:rsidR="001A4C5E" w:rsidRPr="00B75B77">
              <w:rPr>
                <w:sz w:val="18"/>
                <w:szCs w:val="18"/>
              </w:rPr>
              <w:t>–</w:t>
            </w:r>
            <w:r w:rsidRPr="00B75B77">
              <w:rPr>
                <w:sz w:val="18"/>
                <w:szCs w:val="18"/>
              </w:rPr>
              <w:t xml:space="preserve"> &gt;= 135,000 Btu/h and &lt; 240,000 Btu/h</w:t>
            </w:r>
            <w:r w:rsidR="001A4C5E" w:rsidRPr="00B75B77">
              <w:rPr>
                <w:sz w:val="18"/>
                <w:szCs w:val="18"/>
              </w:rPr>
              <w:t>,</w:t>
            </w:r>
            <w:r w:rsidRPr="00B75B77">
              <w:rPr>
                <w:sz w:val="18"/>
                <w:szCs w:val="18"/>
              </w:rPr>
              <w:t xml:space="preserve"> 12.1 EER or </w:t>
            </w:r>
            <w:r w:rsidR="001A4C5E" w:rsidRPr="00B75B77">
              <w:rPr>
                <w:sz w:val="18"/>
                <w:szCs w:val="18"/>
              </w:rPr>
              <w:t>G</w:t>
            </w:r>
            <w:r w:rsidRPr="00B75B77">
              <w:rPr>
                <w:sz w:val="18"/>
                <w:szCs w:val="18"/>
              </w:rPr>
              <w:t>reater</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89.13 / Per Ton</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Equipment Incentives (C&amp;I)</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A/C: Air Source </w:t>
            </w:r>
            <w:r w:rsidR="001A4C5E" w:rsidRPr="00B75B77">
              <w:rPr>
                <w:sz w:val="18"/>
                <w:szCs w:val="18"/>
              </w:rPr>
              <w:t>–</w:t>
            </w:r>
            <w:r w:rsidRPr="00B75B77">
              <w:rPr>
                <w:sz w:val="18"/>
                <w:szCs w:val="18"/>
              </w:rPr>
              <w:t xml:space="preserve"> &gt;= 65,000 Btu/h and &lt; 135,000 Btu/h</w:t>
            </w:r>
            <w:r w:rsidR="001A4C5E" w:rsidRPr="00B75B77">
              <w:rPr>
                <w:sz w:val="18"/>
                <w:szCs w:val="18"/>
              </w:rPr>
              <w:t>,</w:t>
            </w:r>
            <w:r w:rsidRPr="00B75B77">
              <w:rPr>
                <w:sz w:val="18"/>
                <w:szCs w:val="18"/>
              </w:rPr>
              <w:t xml:space="preserve"> 12.3 EER or </w:t>
            </w:r>
            <w:r w:rsidR="001A4C5E" w:rsidRPr="00B75B77">
              <w:rPr>
                <w:sz w:val="18"/>
                <w:szCs w:val="18"/>
              </w:rPr>
              <w:t>G</w:t>
            </w:r>
            <w:r w:rsidRPr="00B75B77">
              <w:rPr>
                <w:sz w:val="18"/>
                <w:szCs w:val="18"/>
              </w:rPr>
              <w:t>reater</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27.35 / Per Ton</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Equipment Incentives (C&amp;I)</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A/C: Air Source </w:t>
            </w:r>
            <w:r w:rsidR="001A4C5E" w:rsidRPr="00B75B77">
              <w:rPr>
                <w:sz w:val="18"/>
                <w:szCs w:val="18"/>
              </w:rPr>
              <w:t>–</w:t>
            </w:r>
            <w:r w:rsidRPr="00B75B77">
              <w:rPr>
                <w:sz w:val="18"/>
                <w:szCs w:val="18"/>
              </w:rPr>
              <w:t xml:space="preserve"> &gt;= 760,000 Btu/h (&gt; 63.33 tons)</w:t>
            </w:r>
            <w:r w:rsidR="001A4C5E" w:rsidRPr="00B75B77">
              <w:rPr>
                <w:sz w:val="18"/>
                <w:szCs w:val="18"/>
              </w:rPr>
              <w:t>,</w:t>
            </w:r>
            <w:r w:rsidRPr="00B75B77">
              <w:rPr>
                <w:sz w:val="18"/>
                <w:szCs w:val="18"/>
              </w:rPr>
              <w:t xml:space="preserve"> 10.3 IEER/10.3 IPLV or </w:t>
            </w:r>
            <w:r w:rsidR="001A4C5E" w:rsidRPr="00B75B77">
              <w:rPr>
                <w:sz w:val="18"/>
                <w:szCs w:val="18"/>
              </w:rPr>
              <w:t>G</w:t>
            </w:r>
            <w:r w:rsidRPr="00B75B77">
              <w:rPr>
                <w:sz w:val="18"/>
                <w:szCs w:val="18"/>
              </w:rPr>
              <w:t>reater</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151.35 / Per Ton</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Equipment Incentives (C&amp;I)</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Controls: EMS</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0.51 / Per Ton</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Equipment Incentives (C&amp;I)</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Controls: Hotel Guest Room Occupancy Sensor </w:t>
            </w:r>
            <w:r w:rsidR="001A4C5E" w:rsidRPr="00B75B77">
              <w:rPr>
                <w:sz w:val="18"/>
                <w:szCs w:val="18"/>
              </w:rPr>
              <w:t>–</w:t>
            </w:r>
            <w:r w:rsidRPr="00B75B77">
              <w:rPr>
                <w:sz w:val="18"/>
                <w:szCs w:val="18"/>
              </w:rPr>
              <w:t xml:space="preserve"> Electric Heat/AC</w:t>
            </w:r>
            <w:r w:rsidR="001A4C5E" w:rsidRPr="00B75B77">
              <w:rPr>
                <w:sz w:val="18"/>
                <w:szCs w:val="18"/>
              </w:rPr>
              <w:t>,</w:t>
            </w:r>
            <w:r w:rsidRPr="00B75B77">
              <w:rPr>
                <w:sz w:val="18"/>
                <w:szCs w:val="18"/>
              </w:rPr>
              <w:t xml:space="preserve"> Electric Heat/AC</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260</w:t>
            </w:r>
            <w:r w:rsidR="007F2221" w:rsidRPr="00B75B77">
              <w:rPr>
                <w:sz w:val="18"/>
                <w:szCs w:val="18"/>
              </w:rPr>
              <w:t>.00</w:t>
            </w:r>
            <w:r w:rsidRPr="00B75B77">
              <w:rPr>
                <w:sz w:val="18"/>
                <w:szCs w:val="18"/>
              </w:rPr>
              <w:t xml:space="preserve"> / Per Ton</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lastRenderedPageBreak/>
              <w:t>Smart Equipment Incentives (C&amp;I)</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1A4C5E">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VSD on Air Compressors</w:t>
            </w:r>
            <w:r w:rsidR="001A4C5E" w:rsidRPr="00B75B77">
              <w:rPr>
                <w:sz w:val="18"/>
                <w:szCs w:val="18"/>
              </w:rPr>
              <w:t>–</w:t>
            </w:r>
            <w:r w:rsidRPr="00B75B77">
              <w:rPr>
                <w:sz w:val="18"/>
                <w:szCs w:val="18"/>
              </w:rPr>
              <w:t xml:space="preserve"> Screw Air Compressor &lt; 50 HP</w:t>
            </w:r>
            <w:r w:rsidR="001A4C5E" w:rsidRPr="00B75B77">
              <w:rPr>
                <w:sz w:val="18"/>
                <w:szCs w:val="18"/>
              </w:rPr>
              <w:t>,</w:t>
            </w:r>
            <w:r w:rsidRPr="00B75B77">
              <w:rPr>
                <w:sz w:val="18"/>
                <w:szCs w:val="18"/>
              </w:rPr>
              <w:t xml:space="preserve"> &lt; 50 HP</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430</w:t>
            </w:r>
            <w:r w:rsidR="007F2221" w:rsidRPr="00B75B77">
              <w:rPr>
                <w:sz w:val="18"/>
                <w:szCs w:val="18"/>
              </w:rPr>
              <w:t>.00</w:t>
            </w:r>
            <w:r w:rsidRPr="00B75B77">
              <w:rPr>
                <w:sz w:val="18"/>
                <w:szCs w:val="18"/>
              </w:rPr>
              <w:t xml:space="preserve"> / Per Fan</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Equipment Incentives (C&amp;I)</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Controls: Evaporator Coil Defrost Control </w:t>
            </w:r>
            <w:r w:rsidR="001A4C5E" w:rsidRPr="00B75B77">
              <w:rPr>
                <w:sz w:val="18"/>
                <w:szCs w:val="18"/>
              </w:rPr>
              <w:t>–</w:t>
            </w:r>
            <w:r w:rsidRPr="00B75B77">
              <w:rPr>
                <w:sz w:val="18"/>
                <w:szCs w:val="18"/>
              </w:rPr>
              <w:t xml:space="preserve"> Evaporator Coil Defrost Control</w:t>
            </w:r>
            <w:r w:rsidR="001A4C5E" w:rsidRPr="00B75B77">
              <w:rPr>
                <w:sz w:val="18"/>
                <w:szCs w:val="18"/>
              </w:rPr>
              <w:t>,</w:t>
            </w:r>
            <w:r w:rsidRPr="00B75B77">
              <w:rPr>
                <w:sz w:val="18"/>
                <w:szCs w:val="18"/>
              </w:rPr>
              <w:t xml:space="preserve"> Controls</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500</w:t>
            </w:r>
            <w:r w:rsidR="007F2221" w:rsidRPr="00B75B77">
              <w:rPr>
                <w:sz w:val="18"/>
                <w:szCs w:val="18"/>
              </w:rPr>
              <w:t>.00</w:t>
            </w:r>
            <w:r w:rsidRPr="00B75B77">
              <w:rPr>
                <w:sz w:val="18"/>
                <w:szCs w:val="18"/>
              </w:rPr>
              <w:t xml:space="preserve"> / Per Unit</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Equipment Incentives (C&amp;I)</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Controls: Floating-</w:t>
            </w:r>
            <w:r w:rsidR="001A4C5E" w:rsidRPr="00B75B77">
              <w:rPr>
                <w:sz w:val="18"/>
                <w:szCs w:val="18"/>
              </w:rPr>
              <w:t>H</w:t>
            </w:r>
            <w:r w:rsidRPr="00B75B77">
              <w:rPr>
                <w:sz w:val="18"/>
                <w:szCs w:val="18"/>
              </w:rPr>
              <w:t xml:space="preserve">ead </w:t>
            </w:r>
            <w:r w:rsidR="001A4C5E" w:rsidRPr="00B75B77">
              <w:rPr>
                <w:sz w:val="18"/>
                <w:szCs w:val="18"/>
              </w:rPr>
              <w:t>P</w:t>
            </w:r>
            <w:r w:rsidRPr="00B75B77">
              <w:rPr>
                <w:sz w:val="18"/>
                <w:szCs w:val="18"/>
              </w:rPr>
              <w:t xml:space="preserve">ressure </w:t>
            </w:r>
            <w:r w:rsidR="001A4C5E" w:rsidRPr="00B75B77">
              <w:rPr>
                <w:sz w:val="18"/>
                <w:szCs w:val="18"/>
              </w:rPr>
              <w:t>C</w:t>
            </w:r>
            <w:r w:rsidRPr="00B75B77">
              <w:rPr>
                <w:sz w:val="18"/>
                <w:szCs w:val="18"/>
              </w:rPr>
              <w:t xml:space="preserve">ontrols </w:t>
            </w:r>
            <w:r w:rsidR="001A4C5E" w:rsidRPr="00B75B77">
              <w:rPr>
                <w:sz w:val="18"/>
                <w:szCs w:val="18"/>
              </w:rPr>
              <w:t>–</w:t>
            </w:r>
            <w:r w:rsidRPr="00B75B77">
              <w:rPr>
                <w:sz w:val="18"/>
                <w:szCs w:val="18"/>
              </w:rPr>
              <w:t xml:space="preserve"> Floating-</w:t>
            </w:r>
            <w:r w:rsidR="001A4C5E" w:rsidRPr="00B75B77">
              <w:rPr>
                <w:sz w:val="18"/>
                <w:szCs w:val="18"/>
              </w:rPr>
              <w:t>H</w:t>
            </w:r>
            <w:r w:rsidRPr="00B75B77">
              <w:rPr>
                <w:sz w:val="18"/>
                <w:szCs w:val="18"/>
              </w:rPr>
              <w:t xml:space="preserve">ead </w:t>
            </w:r>
            <w:r w:rsidR="001A4C5E" w:rsidRPr="00B75B77">
              <w:rPr>
                <w:sz w:val="18"/>
                <w:szCs w:val="18"/>
              </w:rPr>
              <w:t>P</w:t>
            </w:r>
            <w:r w:rsidRPr="00B75B77">
              <w:rPr>
                <w:sz w:val="18"/>
                <w:szCs w:val="18"/>
              </w:rPr>
              <w:t xml:space="preserve">ressure </w:t>
            </w:r>
            <w:r w:rsidR="001A4C5E" w:rsidRPr="00B75B77">
              <w:rPr>
                <w:sz w:val="18"/>
                <w:szCs w:val="18"/>
              </w:rPr>
              <w:t>C</w:t>
            </w:r>
            <w:r w:rsidRPr="00B75B77">
              <w:rPr>
                <w:sz w:val="18"/>
                <w:szCs w:val="18"/>
              </w:rPr>
              <w:t>ontrols</w:t>
            </w:r>
            <w:r w:rsidR="001A4C5E" w:rsidRPr="00B75B77">
              <w:rPr>
                <w:sz w:val="18"/>
                <w:szCs w:val="18"/>
              </w:rPr>
              <w:t>,</w:t>
            </w:r>
            <w:r w:rsidRPr="00B75B77">
              <w:rPr>
                <w:sz w:val="18"/>
                <w:szCs w:val="18"/>
              </w:rPr>
              <w:t xml:space="preserve"> Compressors &gt;= 1.5 HP</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867.25 / Per Unit</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Equipment Incentives (C&amp;I)</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Evaporator Fan EC Motor for Reach-in Cases </w:t>
            </w:r>
            <w:r w:rsidR="001A4C5E" w:rsidRPr="00B75B77">
              <w:rPr>
                <w:sz w:val="18"/>
                <w:szCs w:val="18"/>
              </w:rPr>
              <w:t>–</w:t>
            </w:r>
            <w:r w:rsidRPr="00B75B77">
              <w:rPr>
                <w:sz w:val="18"/>
                <w:szCs w:val="18"/>
              </w:rPr>
              <w:t xml:space="preserve"> Freezer</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185</w:t>
            </w:r>
            <w:r w:rsidR="007F2221" w:rsidRPr="00B75B77">
              <w:rPr>
                <w:sz w:val="18"/>
                <w:szCs w:val="18"/>
              </w:rPr>
              <w:t>.00</w:t>
            </w:r>
            <w:r w:rsidRPr="00B75B77">
              <w:rPr>
                <w:sz w:val="18"/>
                <w:szCs w:val="18"/>
              </w:rPr>
              <w:t xml:space="preserve"> / Per Unit</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Equipment Incentives (C&amp;I)</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Evaporator Fan EC Motor for Reach-in Cases </w:t>
            </w:r>
            <w:r w:rsidR="001A4C5E" w:rsidRPr="00B75B77">
              <w:rPr>
                <w:sz w:val="18"/>
                <w:szCs w:val="18"/>
              </w:rPr>
              <w:t>–</w:t>
            </w:r>
            <w:r w:rsidRPr="00B75B77">
              <w:rPr>
                <w:sz w:val="18"/>
                <w:szCs w:val="18"/>
              </w:rPr>
              <w:t xml:space="preserve"> Refrigerator</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185</w:t>
            </w:r>
            <w:r w:rsidR="007F2221" w:rsidRPr="00B75B77">
              <w:rPr>
                <w:sz w:val="18"/>
                <w:szCs w:val="18"/>
              </w:rPr>
              <w:t>.00</w:t>
            </w:r>
            <w:r w:rsidRPr="00B75B77">
              <w:rPr>
                <w:sz w:val="18"/>
                <w:szCs w:val="18"/>
              </w:rPr>
              <w:t xml:space="preserve"> / Per Unit</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Equipment Incentives (C&amp;I)</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Evaporator Fan EC Motor for Walk-In Cases </w:t>
            </w:r>
            <w:r w:rsidR="001A4C5E" w:rsidRPr="00B75B77">
              <w:rPr>
                <w:sz w:val="18"/>
                <w:szCs w:val="18"/>
              </w:rPr>
              <w:t>–</w:t>
            </w:r>
            <w:r w:rsidRPr="00B75B77">
              <w:rPr>
                <w:sz w:val="18"/>
                <w:szCs w:val="18"/>
              </w:rPr>
              <w:t xml:space="preserve"> Freezer</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250</w:t>
            </w:r>
            <w:r w:rsidR="007F2221" w:rsidRPr="00B75B77">
              <w:rPr>
                <w:sz w:val="18"/>
                <w:szCs w:val="18"/>
              </w:rPr>
              <w:t>.00</w:t>
            </w:r>
            <w:r w:rsidRPr="00B75B77">
              <w:rPr>
                <w:sz w:val="18"/>
                <w:szCs w:val="18"/>
              </w:rPr>
              <w:t xml:space="preserve"> / Per Unit</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Equipment Incentives (C&amp;I)</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Evaporator Fan EC Motor for Walk-In Cases </w:t>
            </w:r>
            <w:r w:rsidR="001A4C5E" w:rsidRPr="00B75B77">
              <w:rPr>
                <w:sz w:val="18"/>
                <w:szCs w:val="18"/>
              </w:rPr>
              <w:t>–</w:t>
            </w:r>
            <w:r w:rsidRPr="00B75B77">
              <w:rPr>
                <w:sz w:val="18"/>
                <w:szCs w:val="18"/>
              </w:rPr>
              <w:t xml:space="preserve"> Refrigerator</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250</w:t>
            </w:r>
            <w:r w:rsidR="007F2221" w:rsidRPr="00B75B77">
              <w:rPr>
                <w:sz w:val="18"/>
                <w:szCs w:val="18"/>
              </w:rPr>
              <w:t>.00</w:t>
            </w:r>
            <w:r w:rsidRPr="00B75B77">
              <w:rPr>
                <w:sz w:val="18"/>
                <w:szCs w:val="18"/>
              </w:rPr>
              <w:t xml:space="preserve"> / Per Unit</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Equipment Incentives (GNI)</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Controls: Hotel Guest Room Occupancy Sensor </w:t>
            </w:r>
            <w:r w:rsidR="001A4C5E" w:rsidRPr="00B75B77">
              <w:rPr>
                <w:sz w:val="18"/>
                <w:szCs w:val="18"/>
              </w:rPr>
              <w:t>–</w:t>
            </w:r>
            <w:r w:rsidRPr="00B75B77">
              <w:rPr>
                <w:sz w:val="18"/>
                <w:szCs w:val="18"/>
              </w:rPr>
              <w:t xml:space="preserve"> Electric Heat/AC</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260</w:t>
            </w:r>
            <w:r w:rsidR="007F2221" w:rsidRPr="00B75B77">
              <w:rPr>
                <w:sz w:val="18"/>
                <w:szCs w:val="18"/>
              </w:rPr>
              <w:t>.00</w:t>
            </w:r>
            <w:r w:rsidRPr="00B75B77">
              <w:rPr>
                <w:sz w:val="18"/>
                <w:szCs w:val="18"/>
              </w:rPr>
              <w:t xml:space="preserve"> / Per Ton</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Program Tracking Database</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On-Site (C&amp;I)</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1A4C5E">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Combined Heat and Power</w:t>
            </w:r>
            <w:r w:rsidR="001A4C5E" w:rsidRPr="00B75B77">
              <w:rPr>
                <w:sz w:val="18"/>
                <w:szCs w:val="18"/>
              </w:rPr>
              <w:t>–</w:t>
            </w:r>
            <w:r w:rsidRPr="00B75B77">
              <w:rPr>
                <w:sz w:val="18"/>
                <w:szCs w:val="18"/>
              </w:rPr>
              <w:t xml:space="preserve"> &lt;= 0.5 MW</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1.93 / per kWh saved</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PECO EE&amp;C Phase II Plan (Converted </w:t>
            </w:r>
            <w:r w:rsidR="00AD7463" w:rsidRPr="00B75B77">
              <w:rPr>
                <w:sz w:val="18"/>
                <w:szCs w:val="18"/>
              </w:rPr>
              <w:t>B</w:t>
            </w:r>
            <w:r w:rsidRPr="00B75B77">
              <w:rPr>
                <w:sz w:val="18"/>
                <w:szCs w:val="18"/>
              </w:rPr>
              <w:t xml:space="preserve">ased on </w:t>
            </w:r>
            <w:r w:rsidR="00AD7463" w:rsidRPr="00B75B77">
              <w:rPr>
                <w:sz w:val="18"/>
                <w:szCs w:val="18"/>
              </w:rPr>
              <w:t>U</w:t>
            </w:r>
            <w:r w:rsidRPr="00B75B77">
              <w:rPr>
                <w:sz w:val="18"/>
                <w:szCs w:val="18"/>
              </w:rPr>
              <w:t xml:space="preserve">nit </w:t>
            </w:r>
            <w:r w:rsidR="00AD7463" w:rsidRPr="00B75B77">
              <w:rPr>
                <w:sz w:val="18"/>
                <w:szCs w:val="18"/>
              </w:rPr>
              <w:t>C</w:t>
            </w:r>
            <w:r w:rsidRPr="00B75B77">
              <w:rPr>
                <w:sz w:val="18"/>
                <w:szCs w:val="18"/>
              </w:rPr>
              <w:t>apacity)</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On-Site (C&amp;I)</w:t>
            </w:r>
          </w:p>
        </w:tc>
        <w:tc>
          <w:tcPr>
            <w:tcW w:w="396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Combined Heat and Power </w:t>
            </w:r>
            <w:r w:rsidR="001A4C5E" w:rsidRPr="00B75B77">
              <w:rPr>
                <w:sz w:val="18"/>
                <w:szCs w:val="18"/>
              </w:rPr>
              <w:t>–</w:t>
            </w:r>
            <w:r w:rsidRPr="00B75B77">
              <w:rPr>
                <w:sz w:val="18"/>
                <w:szCs w:val="18"/>
              </w:rPr>
              <w:t xml:space="preserve"> &gt; 0.5 MW, &lt;= 1.5 MW</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0.79 / per kWh saved</w:t>
            </w:r>
          </w:p>
        </w:tc>
        <w:tc>
          <w:tcPr>
            <w:tcW w:w="2070" w:type="dxa"/>
            <w:tcBorders>
              <w:top w:val="single" w:sz="4" w:space="0" w:color="448A99"/>
              <w:left w:val="single" w:sz="4" w:space="0" w:color="448A99"/>
              <w:bottom w:val="single" w:sz="4" w:space="0" w:color="448A99"/>
              <w:right w:val="single" w:sz="4" w:space="0" w:color="448A99"/>
            </w:tcBorders>
            <w:shd w:val="clear" w:color="auto" w:fill="DAEEF3" w:themeFill="accent5" w:themeFillTint="33"/>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PECO EE&amp;C Phase II Plan (Converted </w:t>
            </w:r>
            <w:r w:rsidR="00AD7463" w:rsidRPr="00B75B77">
              <w:rPr>
                <w:sz w:val="18"/>
                <w:szCs w:val="18"/>
              </w:rPr>
              <w:t>B</w:t>
            </w:r>
            <w:r w:rsidRPr="00B75B77">
              <w:rPr>
                <w:sz w:val="18"/>
                <w:szCs w:val="18"/>
              </w:rPr>
              <w:t xml:space="preserve">ased on </w:t>
            </w:r>
            <w:r w:rsidR="00AD7463" w:rsidRPr="00B75B77">
              <w:rPr>
                <w:sz w:val="18"/>
                <w:szCs w:val="18"/>
              </w:rPr>
              <w:t>U</w:t>
            </w:r>
            <w:r w:rsidRPr="00B75B77">
              <w:rPr>
                <w:sz w:val="18"/>
                <w:szCs w:val="18"/>
              </w:rPr>
              <w:t xml:space="preserve">nit </w:t>
            </w:r>
            <w:r w:rsidR="00AD7463" w:rsidRPr="00B75B77">
              <w:rPr>
                <w:sz w:val="18"/>
                <w:szCs w:val="18"/>
              </w:rPr>
              <w:t>C</w:t>
            </w:r>
            <w:r w:rsidRPr="00B75B77">
              <w:rPr>
                <w:sz w:val="18"/>
                <w:szCs w:val="18"/>
              </w:rPr>
              <w:t>apacity)</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On-Site (GNI)</w:t>
            </w:r>
          </w:p>
        </w:tc>
        <w:tc>
          <w:tcPr>
            <w:tcW w:w="396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Combined Heat and Power </w:t>
            </w:r>
            <w:r w:rsidR="001A4C5E" w:rsidRPr="00B75B77">
              <w:rPr>
                <w:sz w:val="18"/>
                <w:szCs w:val="18"/>
              </w:rPr>
              <w:t>–</w:t>
            </w:r>
            <w:r w:rsidRPr="00B75B77">
              <w:rPr>
                <w:sz w:val="18"/>
                <w:szCs w:val="18"/>
              </w:rPr>
              <w:t xml:space="preserve"> &lt;= 0.5 MW</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1.95 / per kWh saved</w:t>
            </w:r>
          </w:p>
        </w:tc>
        <w:tc>
          <w:tcPr>
            <w:tcW w:w="2070" w:type="dxa"/>
            <w:tcBorders>
              <w:top w:val="single" w:sz="4" w:space="0" w:color="448A99"/>
              <w:left w:val="single" w:sz="4" w:space="0" w:color="448A99"/>
              <w:bottom w:val="single" w:sz="4" w:space="0" w:color="448A99"/>
              <w:right w:val="single" w:sz="4" w:space="0" w:color="448A99"/>
            </w:tcBorders>
            <w:shd w:val="clear" w:color="auto" w:fill="auto"/>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PECO EE&amp;C Phase II Plan (Converted </w:t>
            </w:r>
            <w:r w:rsidR="00AD7463" w:rsidRPr="00B75B77">
              <w:rPr>
                <w:sz w:val="18"/>
                <w:szCs w:val="18"/>
              </w:rPr>
              <w:t>B</w:t>
            </w:r>
            <w:r w:rsidRPr="00B75B77">
              <w:rPr>
                <w:sz w:val="18"/>
                <w:szCs w:val="18"/>
              </w:rPr>
              <w:t xml:space="preserve">ased on </w:t>
            </w:r>
            <w:r w:rsidR="00AD7463" w:rsidRPr="00B75B77">
              <w:rPr>
                <w:sz w:val="18"/>
                <w:szCs w:val="18"/>
              </w:rPr>
              <w:t>U</w:t>
            </w:r>
            <w:r w:rsidRPr="00B75B77">
              <w:rPr>
                <w:sz w:val="18"/>
                <w:szCs w:val="18"/>
              </w:rPr>
              <w:t xml:space="preserve">nit </w:t>
            </w:r>
            <w:r w:rsidR="00AD7463" w:rsidRPr="00B75B77">
              <w:rPr>
                <w:sz w:val="18"/>
                <w:szCs w:val="18"/>
              </w:rPr>
              <w:t>C</w:t>
            </w:r>
            <w:r w:rsidRPr="00B75B77">
              <w:rPr>
                <w:sz w:val="18"/>
                <w:szCs w:val="18"/>
              </w:rPr>
              <w:t>apacity)</w:t>
            </w:r>
          </w:p>
        </w:tc>
      </w:tr>
      <w:tr w:rsidR="00FB4010" w:rsidRPr="00B75B77" w:rsidTr="00B75B7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On-Site (GNI)</w:t>
            </w:r>
          </w:p>
        </w:tc>
        <w:tc>
          <w:tcPr>
            <w:tcW w:w="3960" w:type="dxa"/>
            <w:tcBorders>
              <w:top w:val="single" w:sz="4" w:space="0" w:color="448A99"/>
              <w:left w:val="single" w:sz="4" w:space="0" w:color="448A99"/>
              <w:bottom w:val="single" w:sz="4" w:space="0" w:color="448A99"/>
              <w:right w:val="single" w:sz="4" w:space="0" w:color="448A99"/>
            </w:tcBorders>
            <w:shd w:val="clear" w:color="auto" w:fill="D2EAF1"/>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Combined Heat and Power </w:t>
            </w:r>
            <w:r w:rsidR="001A4C5E" w:rsidRPr="00B75B77">
              <w:rPr>
                <w:sz w:val="18"/>
                <w:szCs w:val="18"/>
              </w:rPr>
              <w:t>–</w:t>
            </w:r>
            <w:r w:rsidRPr="00B75B77">
              <w:rPr>
                <w:sz w:val="18"/>
                <w:szCs w:val="18"/>
              </w:rPr>
              <w:t xml:space="preserve"> &gt; 0.5 MW, &lt;= 1.5 MW</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448A99"/>
              <w:right w:val="single" w:sz="4" w:space="0" w:color="448A99"/>
            </w:tcBorders>
            <w:shd w:val="clear" w:color="auto" w:fill="D2EAF1"/>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0.71 / per kWh saved</w:t>
            </w:r>
          </w:p>
        </w:tc>
        <w:tc>
          <w:tcPr>
            <w:tcW w:w="2070" w:type="dxa"/>
            <w:tcBorders>
              <w:top w:val="single" w:sz="4" w:space="0" w:color="448A99"/>
              <w:left w:val="single" w:sz="4" w:space="0" w:color="448A99"/>
              <w:bottom w:val="single" w:sz="4" w:space="0" w:color="448A99"/>
              <w:right w:val="single" w:sz="4" w:space="0" w:color="448A99"/>
            </w:tcBorders>
            <w:shd w:val="clear" w:color="auto" w:fill="D2EAF1"/>
            <w:vAlign w:val="center"/>
          </w:tcPr>
          <w:p w:rsidR="00FB4010" w:rsidRPr="00B75B77" w:rsidRDefault="00FB4010" w:rsidP="00871301">
            <w:pPr>
              <w:spacing w:before="60" w:after="60"/>
              <w:jc w:val="lef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B75B77">
              <w:rPr>
                <w:sz w:val="18"/>
                <w:szCs w:val="18"/>
              </w:rPr>
              <w:t xml:space="preserve">PECO EE&amp;C Phase II Plan (Converted </w:t>
            </w:r>
            <w:r w:rsidR="00AD7463" w:rsidRPr="00B75B77">
              <w:rPr>
                <w:sz w:val="18"/>
                <w:szCs w:val="18"/>
              </w:rPr>
              <w:t>B</w:t>
            </w:r>
            <w:r w:rsidRPr="00B75B77">
              <w:rPr>
                <w:sz w:val="18"/>
                <w:szCs w:val="18"/>
              </w:rPr>
              <w:t xml:space="preserve">ased on </w:t>
            </w:r>
            <w:r w:rsidR="00AD7463" w:rsidRPr="00B75B77">
              <w:rPr>
                <w:sz w:val="18"/>
                <w:szCs w:val="18"/>
              </w:rPr>
              <w:t>U</w:t>
            </w:r>
            <w:r w:rsidRPr="00B75B77">
              <w:rPr>
                <w:sz w:val="18"/>
                <w:szCs w:val="18"/>
              </w:rPr>
              <w:t xml:space="preserve">nit </w:t>
            </w:r>
            <w:r w:rsidR="00AD7463" w:rsidRPr="00B75B77">
              <w:rPr>
                <w:sz w:val="18"/>
                <w:szCs w:val="18"/>
              </w:rPr>
              <w:t>C</w:t>
            </w:r>
            <w:r w:rsidRPr="00B75B77">
              <w:rPr>
                <w:sz w:val="18"/>
                <w:szCs w:val="18"/>
              </w:rPr>
              <w:t>apacity)</w:t>
            </w:r>
          </w:p>
        </w:tc>
      </w:tr>
      <w:tr w:rsidR="00FB4010" w:rsidRPr="00B75B77" w:rsidTr="00B75B77">
        <w:trPr>
          <w:cnfStyle w:val="000000010000" w:firstRow="0" w:lastRow="0" w:firstColumn="0" w:lastColumn="0" w:oddVBand="0" w:evenVBand="0" w:oddHBand="0" w:evenHBand="1"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448A99"/>
              <w:left w:val="single" w:sz="4" w:space="0" w:color="448A99"/>
              <w:bottom w:val="single" w:sz="4" w:space="0" w:color="auto"/>
              <w:right w:val="single" w:sz="4" w:space="0" w:color="448A99"/>
            </w:tcBorders>
            <w:shd w:val="clear" w:color="auto" w:fill="FFFFFF" w:themeFill="background1"/>
            <w:noWrap/>
            <w:vAlign w:val="center"/>
          </w:tcPr>
          <w:p w:rsidR="00FB4010" w:rsidRPr="00B75B77" w:rsidRDefault="00FB4010" w:rsidP="00871301">
            <w:pPr>
              <w:spacing w:before="60" w:after="60"/>
              <w:jc w:val="left"/>
              <w:rPr>
                <w:rFonts w:cstheme="minorHAnsi"/>
                <w:color w:val="000000"/>
                <w:sz w:val="18"/>
                <w:szCs w:val="18"/>
              </w:rPr>
            </w:pPr>
            <w:r w:rsidRPr="00B75B77">
              <w:rPr>
                <w:sz w:val="18"/>
                <w:szCs w:val="18"/>
              </w:rPr>
              <w:t>Smart On-Site (GNI)</w:t>
            </w:r>
          </w:p>
        </w:tc>
        <w:tc>
          <w:tcPr>
            <w:tcW w:w="3960" w:type="dxa"/>
            <w:tcBorders>
              <w:top w:val="single" w:sz="4" w:space="0" w:color="448A99"/>
              <w:left w:val="single" w:sz="4" w:space="0" w:color="448A99"/>
              <w:bottom w:val="single" w:sz="4" w:space="0" w:color="auto"/>
              <w:right w:val="single" w:sz="4" w:space="0" w:color="448A99"/>
            </w:tcBorders>
            <w:shd w:val="clear" w:color="auto" w:fill="FFFFFF" w:themeFill="background1"/>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Combined Heat and Power </w:t>
            </w:r>
            <w:r w:rsidR="001A4C5E" w:rsidRPr="00B75B77">
              <w:rPr>
                <w:sz w:val="18"/>
                <w:szCs w:val="18"/>
              </w:rPr>
              <w:t>–</w:t>
            </w:r>
            <w:r w:rsidRPr="00B75B77">
              <w:rPr>
                <w:sz w:val="18"/>
                <w:szCs w:val="18"/>
              </w:rPr>
              <w:t xml:space="preserve"> &gt; 1.5 MW, &lt;= 10 MW</w:t>
            </w:r>
          </w:p>
        </w:tc>
        <w:tc>
          <w:tcPr>
            <w:cnfStyle w:val="000010000000" w:firstRow="0" w:lastRow="0" w:firstColumn="0" w:lastColumn="0" w:oddVBand="1" w:evenVBand="0" w:oddHBand="0" w:evenHBand="0" w:firstRowFirstColumn="0" w:firstRowLastColumn="0" w:lastRowFirstColumn="0" w:lastRowLastColumn="0"/>
            <w:tcW w:w="1946" w:type="dxa"/>
            <w:tcBorders>
              <w:top w:val="single" w:sz="4" w:space="0" w:color="448A99"/>
              <w:left w:val="single" w:sz="4" w:space="0" w:color="448A99"/>
              <w:bottom w:val="single" w:sz="4" w:space="0" w:color="auto"/>
              <w:right w:val="single" w:sz="4" w:space="0" w:color="448A99"/>
            </w:tcBorders>
            <w:shd w:val="clear" w:color="auto" w:fill="FFFFFF" w:themeFill="background1"/>
            <w:vAlign w:val="center"/>
          </w:tcPr>
          <w:p w:rsidR="00FB4010" w:rsidRPr="00B75B77" w:rsidRDefault="00FB4010" w:rsidP="00871301">
            <w:pPr>
              <w:spacing w:before="60" w:after="60"/>
              <w:jc w:val="center"/>
              <w:rPr>
                <w:rFonts w:cstheme="minorHAnsi"/>
                <w:color w:val="000000"/>
                <w:sz w:val="18"/>
                <w:szCs w:val="18"/>
              </w:rPr>
            </w:pPr>
            <w:r w:rsidRPr="00B75B77">
              <w:rPr>
                <w:sz w:val="18"/>
                <w:szCs w:val="18"/>
              </w:rPr>
              <w:t>0.35 / per kWh saved</w:t>
            </w:r>
          </w:p>
        </w:tc>
        <w:tc>
          <w:tcPr>
            <w:tcW w:w="2070" w:type="dxa"/>
            <w:tcBorders>
              <w:top w:val="single" w:sz="4" w:space="0" w:color="448A99"/>
              <w:left w:val="single" w:sz="4" w:space="0" w:color="448A99"/>
              <w:bottom w:val="single" w:sz="4" w:space="0" w:color="auto"/>
              <w:right w:val="single" w:sz="4" w:space="0" w:color="448A99"/>
            </w:tcBorders>
            <w:shd w:val="clear" w:color="auto" w:fill="FFFFFF" w:themeFill="background1"/>
            <w:vAlign w:val="center"/>
          </w:tcPr>
          <w:p w:rsidR="00FB4010" w:rsidRPr="00B75B77" w:rsidRDefault="00FB4010" w:rsidP="00871301">
            <w:pPr>
              <w:spacing w:before="60" w:after="60"/>
              <w:jc w:val="left"/>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B75B77">
              <w:rPr>
                <w:sz w:val="18"/>
                <w:szCs w:val="18"/>
              </w:rPr>
              <w:t xml:space="preserve">PECO EE&amp;C Phase II Plan (Converted </w:t>
            </w:r>
            <w:r w:rsidR="00AD7463" w:rsidRPr="00B75B77">
              <w:rPr>
                <w:sz w:val="18"/>
                <w:szCs w:val="18"/>
              </w:rPr>
              <w:t>B</w:t>
            </w:r>
            <w:r w:rsidRPr="00B75B77">
              <w:rPr>
                <w:sz w:val="18"/>
                <w:szCs w:val="18"/>
              </w:rPr>
              <w:t xml:space="preserve">ased on </w:t>
            </w:r>
            <w:r w:rsidR="00AD7463" w:rsidRPr="00B75B77">
              <w:rPr>
                <w:sz w:val="18"/>
                <w:szCs w:val="18"/>
              </w:rPr>
              <w:t>U</w:t>
            </w:r>
            <w:r w:rsidRPr="00B75B77">
              <w:rPr>
                <w:sz w:val="18"/>
                <w:szCs w:val="18"/>
              </w:rPr>
              <w:t xml:space="preserve">nit </w:t>
            </w:r>
            <w:r w:rsidR="00AD7463" w:rsidRPr="00B75B77">
              <w:rPr>
                <w:sz w:val="18"/>
                <w:szCs w:val="18"/>
              </w:rPr>
              <w:t>C</w:t>
            </w:r>
            <w:r w:rsidRPr="00B75B77">
              <w:rPr>
                <w:sz w:val="18"/>
                <w:szCs w:val="18"/>
              </w:rPr>
              <w:t>apacity)</w:t>
            </w:r>
          </w:p>
        </w:tc>
      </w:tr>
    </w:tbl>
    <w:p w:rsidR="008156E7" w:rsidRPr="00B75B77" w:rsidRDefault="008156E7" w:rsidP="008156E7">
      <w:pPr>
        <w:sectPr w:rsidR="008156E7" w:rsidRPr="00B75B77" w:rsidSect="002E3523">
          <w:pgSz w:w="12240" w:h="15840"/>
          <w:pgMar w:top="1440" w:right="1440" w:bottom="1440" w:left="1260" w:header="576" w:footer="475" w:gutter="0"/>
          <w:cols w:space="720"/>
          <w:docGrid w:linePitch="360"/>
        </w:sectPr>
      </w:pPr>
    </w:p>
    <w:p w:rsidR="009804CB" w:rsidRPr="00B75B77" w:rsidRDefault="009804CB" w:rsidP="007A6327">
      <w:pPr>
        <w:pStyle w:val="Heading5"/>
      </w:pPr>
      <w:bookmarkStart w:id="1006" w:name="_Toc390682424"/>
      <w:bookmarkStart w:id="1007" w:name="_Toc389747562"/>
      <w:bookmarkStart w:id="1008" w:name="_Toc390175508"/>
      <w:bookmarkStart w:id="1009" w:name="_Toc390943371"/>
      <w:bookmarkStart w:id="1010" w:name="_Toc390947299"/>
      <w:bookmarkStart w:id="1011" w:name="_Ref464215775"/>
      <w:bookmarkStart w:id="1012" w:name="_Toc466413480"/>
      <w:bookmarkStart w:id="1013" w:name="_Toc390682423"/>
      <w:bookmarkStart w:id="1014" w:name="_Toc389747561"/>
      <w:bookmarkStart w:id="1015" w:name="_Toc390175507"/>
      <w:bookmarkStart w:id="1016" w:name="_Toc390943370"/>
      <w:bookmarkStart w:id="1017" w:name="_Toc390947298"/>
      <w:r w:rsidRPr="00B75B77">
        <w:lastRenderedPageBreak/>
        <w:t>Low-Income Participation in Non-Low-Income Programs</w:t>
      </w:r>
      <w:bookmarkEnd w:id="1006"/>
      <w:bookmarkEnd w:id="1007"/>
      <w:bookmarkEnd w:id="1008"/>
      <w:bookmarkEnd w:id="1009"/>
      <w:bookmarkEnd w:id="1010"/>
      <w:bookmarkEnd w:id="1011"/>
      <w:bookmarkEnd w:id="1012"/>
    </w:p>
    <w:p w:rsidR="00E071FF" w:rsidRPr="00B75B77" w:rsidRDefault="00E071FF" w:rsidP="00E071FF">
      <w:r w:rsidRPr="00B75B77">
        <w:t xml:space="preserve">All </w:t>
      </w:r>
      <w:r w:rsidR="00102BDF" w:rsidRPr="00B75B77">
        <w:t>L</w:t>
      </w:r>
      <w:r w:rsidR="00FA45FF" w:rsidRPr="00B75B77">
        <w:t>ow-Income Energy Efficiency Program (LEEP)</w:t>
      </w:r>
      <w:r w:rsidR="00102BDF" w:rsidRPr="00B75B77">
        <w:t xml:space="preserve"> </w:t>
      </w:r>
      <w:r w:rsidRPr="00B75B77">
        <w:t>participants are assumed to be low</w:t>
      </w:r>
      <w:r w:rsidR="00102BDF" w:rsidRPr="00B75B77">
        <w:t>-</w:t>
      </w:r>
      <w:r w:rsidRPr="00B75B77">
        <w:t>income participants. In order to determine the rate of participation of low-income customers outside of LEEP, Navigant fielded a standard battery of demographics questions for all other residential programs. These batteries include questions regarding the following:</w:t>
      </w:r>
    </w:p>
    <w:p w:rsidR="00E071FF" w:rsidRPr="00B75B77" w:rsidRDefault="00E071FF" w:rsidP="00E071FF">
      <w:pPr>
        <w:tabs>
          <w:tab w:val="left" w:pos="3780"/>
        </w:tabs>
      </w:pPr>
      <w:r w:rsidRPr="00B75B77">
        <w:tab/>
      </w:r>
    </w:p>
    <w:p w:rsidR="00E071FF" w:rsidRPr="00B75B77" w:rsidRDefault="00E071FF" w:rsidP="009E08FB">
      <w:pPr>
        <w:pStyle w:val="ListParagraph"/>
        <w:numPr>
          <w:ilvl w:val="0"/>
          <w:numId w:val="47"/>
        </w:numPr>
        <w:spacing w:after="200" w:line="276" w:lineRule="auto"/>
      </w:pPr>
      <w:r w:rsidRPr="00B75B77">
        <w:t>Number of people (including the respondent) who lived in the respondent’s household full time for at least six month of the year</w:t>
      </w:r>
    </w:p>
    <w:p w:rsidR="00E071FF" w:rsidRPr="00B75B77" w:rsidRDefault="00E071FF" w:rsidP="009E08FB">
      <w:pPr>
        <w:pStyle w:val="ListParagraph"/>
        <w:numPr>
          <w:ilvl w:val="0"/>
          <w:numId w:val="47"/>
        </w:numPr>
        <w:spacing w:after="200" w:line="276" w:lineRule="auto"/>
      </w:pPr>
      <w:r w:rsidRPr="00B75B77">
        <w:t>Total household income for 2013</w:t>
      </w:r>
    </w:p>
    <w:p w:rsidR="00E071FF" w:rsidRPr="00B75B77" w:rsidRDefault="00E071FF" w:rsidP="00E071FF">
      <w:r w:rsidRPr="00B75B77">
        <w:t>For those respondents who would not provide total household income, the survey included questions regarding ranges of income. The survey language was as follows:</w:t>
      </w:r>
    </w:p>
    <w:p w:rsidR="00E071FF" w:rsidRPr="00B75B77" w:rsidRDefault="00E071FF" w:rsidP="00E071FF">
      <w:pPr>
        <w:autoSpaceDE w:val="0"/>
        <w:autoSpaceDN w:val="0"/>
        <w:spacing w:before="240" w:after="240"/>
        <w:contextualSpacing/>
        <w:rPr>
          <w:rFonts w:cs="Arial"/>
          <w:szCs w:val="20"/>
        </w:rPr>
      </w:pPr>
    </w:p>
    <w:p w:rsidR="00E071FF" w:rsidRPr="00B75B77" w:rsidRDefault="00E071FF" w:rsidP="00E071FF">
      <w:pPr>
        <w:autoSpaceDE w:val="0"/>
        <w:autoSpaceDN w:val="0"/>
        <w:spacing w:before="240" w:after="240"/>
        <w:ind w:left="720" w:hanging="720"/>
        <w:contextualSpacing/>
        <w:rPr>
          <w:rFonts w:cs="Arial"/>
          <w:szCs w:val="20"/>
        </w:rPr>
      </w:pPr>
      <w:r w:rsidRPr="00B75B77">
        <w:rPr>
          <w:rFonts w:cs="Arial"/>
          <w:szCs w:val="20"/>
        </w:rPr>
        <w:t xml:space="preserve">QD5A. </w:t>
      </w:r>
      <w:r w:rsidRPr="00B75B77">
        <w:rPr>
          <w:rFonts w:cs="Arial"/>
          <w:i/>
          <w:iCs/>
          <w:szCs w:val="20"/>
        </w:rPr>
        <w:t>  </w:t>
      </w:r>
      <w:r w:rsidRPr="00B75B77">
        <w:rPr>
          <w:rFonts w:cs="Arial"/>
          <w:szCs w:val="20"/>
        </w:rPr>
        <w:t>How many people, including yourself, live in your home full</w:t>
      </w:r>
      <w:r w:rsidR="00AF5657" w:rsidRPr="00B75B77">
        <w:rPr>
          <w:rFonts w:cs="Arial"/>
          <w:szCs w:val="20"/>
        </w:rPr>
        <w:t xml:space="preserve"> </w:t>
      </w:r>
      <w:r w:rsidRPr="00B75B77">
        <w:rPr>
          <w:rFonts w:cs="Arial"/>
          <w:szCs w:val="20"/>
        </w:rPr>
        <w:t>time at least six months of the year?</w:t>
      </w:r>
    </w:p>
    <w:p w:rsidR="00E071FF" w:rsidRPr="00B75B77" w:rsidRDefault="00E071FF" w:rsidP="00E071FF">
      <w:pPr>
        <w:autoSpaceDE w:val="0"/>
        <w:autoSpaceDN w:val="0"/>
        <w:spacing w:before="240" w:after="240"/>
        <w:contextualSpacing/>
        <w:rPr>
          <w:rFonts w:cs="Arial"/>
          <w:szCs w:val="20"/>
        </w:rPr>
      </w:pPr>
    </w:p>
    <w:p w:rsidR="00E071FF" w:rsidRPr="00B75B77" w:rsidRDefault="00E071FF" w:rsidP="00E071FF">
      <w:pPr>
        <w:autoSpaceDE w:val="0"/>
        <w:autoSpaceDN w:val="0"/>
        <w:spacing w:before="240" w:after="240"/>
        <w:ind w:firstLine="720"/>
        <w:contextualSpacing/>
        <w:rPr>
          <w:b/>
        </w:rPr>
      </w:pPr>
      <w:r w:rsidRPr="00B75B77">
        <w:rPr>
          <w:b/>
        </w:rPr>
        <w:t>______ [RECORD NUMBER OF OCCUPANTS]</w:t>
      </w:r>
    </w:p>
    <w:p w:rsidR="00E071FF" w:rsidRPr="00B75B77" w:rsidRDefault="00E071FF" w:rsidP="009E08FB">
      <w:pPr>
        <w:pStyle w:val="ListParagraph"/>
        <w:numPr>
          <w:ilvl w:val="0"/>
          <w:numId w:val="48"/>
        </w:numPr>
        <w:autoSpaceDE w:val="0"/>
        <w:autoSpaceDN w:val="0"/>
        <w:spacing w:before="240" w:after="240"/>
        <w:ind w:left="1440" w:hanging="720"/>
        <w:jc w:val="left"/>
        <w:rPr>
          <w:rFonts w:cs="Arial"/>
          <w:szCs w:val="20"/>
        </w:rPr>
      </w:pPr>
      <w:r w:rsidRPr="00B75B77">
        <w:rPr>
          <w:rFonts w:cs="Arial"/>
          <w:szCs w:val="20"/>
        </w:rPr>
        <w:t>DON’T KNOW</w:t>
      </w:r>
    </w:p>
    <w:p w:rsidR="00E071FF" w:rsidRPr="00B75B77" w:rsidRDefault="00E071FF" w:rsidP="009E08FB">
      <w:pPr>
        <w:pStyle w:val="ListParagraph"/>
        <w:numPr>
          <w:ilvl w:val="0"/>
          <w:numId w:val="48"/>
        </w:numPr>
        <w:autoSpaceDE w:val="0"/>
        <w:autoSpaceDN w:val="0"/>
        <w:spacing w:before="240" w:after="240"/>
        <w:ind w:left="1440" w:hanging="720"/>
        <w:jc w:val="left"/>
        <w:rPr>
          <w:rFonts w:cs="Arial"/>
          <w:szCs w:val="20"/>
        </w:rPr>
      </w:pPr>
      <w:r w:rsidRPr="00B75B77">
        <w:rPr>
          <w:rFonts w:cs="Arial"/>
          <w:szCs w:val="20"/>
        </w:rPr>
        <w:t>REFUSED</w:t>
      </w:r>
    </w:p>
    <w:p w:rsidR="00E071FF" w:rsidRPr="00B75B77" w:rsidRDefault="00E071FF" w:rsidP="00E071FF">
      <w:r w:rsidRPr="00B75B77">
        <w:rPr>
          <w:rFonts w:cs="Calibri"/>
          <w:szCs w:val="20"/>
        </w:rPr>
        <w:t xml:space="preserve">QD5B.  </w:t>
      </w:r>
      <w:r w:rsidRPr="00B75B77">
        <w:t>What is your total 2015 income before taxes for all members of your household? Was it (</w:t>
      </w:r>
      <w:r w:rsidRPr="00B75B77">
        <w:rPr>
          <w:b/>
          <w:i/>
        </w:rPr>
        <w:t xml:space="preserve">READ LIST) STOP ME WHEN I GET TO THE RIGHT </w:t>
      </w:r>
      <w:proofErr w:type="gramStart"/>
      <w:r w:rsidRPr="00B75B77">
        <w:rPr>
          <w:b/>
          <w:i/>
        </w:rPr>
        <w:t>RANGE</w:t>
      </w:r>
      <w:proofErr w:type="gramEnd"/>
    </w:p>
    <w:p w:rsidR="00E071FF" w:rsidRPr="00B75B77" w:rsidRDefault="00E071FF" w:rsidP="009E08FB">
      <w:pPr>
        <w:numPr>
          <w:ilvl w:val="0"/>
          <w:numId w:val="51"/>
        </w:numPr>
        <w:jc w:val="left"/>
      </w:pPr>
      <w:r w:rsidRPr="00B75B77">
        <w:t xml:space="preserve">Less than $30,000 </w:t>
      </w:r>
    </w:p>
    <w:p w:rsidR="00E071FF" w:rsidRPr="00B75B77" w:rsidRDefault="00E071FF" w:rsidP="009E08FB">
      <w:pPr>
        <w:numPr>
          <w:ilvl w:val="0"/>
          <w:numId w:val="51"/>
        </w:numPr>
        <w:jc w:val="left"/>
      </w:pPr>
      <w:r w:rsidRPr="00B75B77">
        <w:t>$30,000 but under $50,000</w:t>
      </w:r>
    </w:p>
    <w:p w:rsidR="00E071FF" w:rsidRPr="00B75B77" w:rsidRDefault="00E071FF" w:rsidP="009E08FB">
      <w:pPr>
        <w:numPr>
          <w:ilvl w:val="0"/>
          <w:numId w:val="51"/>
        </w:numPr>
        <w:jc w:val="left"/>
      </w:pPr>
      <w:r w:rsidRPr="00B75B77">
        <w:t>$50,000 but under $75,000</w:t>
      </w:r>
    </w:p>
    <w:p w:rsidR="00E071FF" w:rsidRPr="00B75B77" w:rsidRDefault="00E071FF" w:rsidP="009E08FB">
      <w:pPr>
        <w:pStyle w:val="ListParagraph"/>
        <w:numPr>
          <w:ilvl w:val="0"/>
          <w:numId w:val="51"/>
        </w:numPr>
        <w:jc w:val="left"/>
      </w:pPr>
      <w:r w:rsidRPr="00B75B77">
        <w:t xml:space="preserve">$75,000 but under $100,000  </w:t>
      </w:r>
    </w:p>
    <w:p w:rsidR="00E071FF" w:rsidRPr="00B75B77" w:rsidRDefault="00E071FF" w:rsidP="009E08FB">
      <w:pPr>
        <w:pStyle w:val="ListParagraph"/>
        <w:numPr>
          <w:ilvl w:val="0"/>
          <w:numId w:val="51"/>
        </w:numPr>
        <w:jc w:val="left"/>
      </w:pPr>
      <w:r w:rsidRPr="00B75B77">
        <w:t>$100,000 but under $150,000</w:t>
      </w:r>
    </w:p>
    <w:p w:rsidR="00E071FF" w:rsidRPr="00B75B77" w:rsidRDefault="00E071FF" w:rsidP="009E08FB">
      <w:pPr>
        <w:pStyle w:val="ListParagraph"/>
        <w:numPr>
          <w:ilvl w:val="0"/>
          <w:numId w:val="51"/>
        </w:numPr>
        <w:jc w:val="left"/>
      </w:pPr>
      <w:r w:rsidRPr="00B75B77">
        <w:t>$150,000 but under $200,000</w:t>
      </w:r>
    </w:p>
    <w:p w:rsidR="00E071FF" w:rsidRPr="00B75B77" w:rsidRDefault="00E071FF" w:rsidP="009E08FB">
      <w:pPr>
        <w:pStyle w:val="ListParagraph"/>
        <w:numPr>
          <w:ilvl w:val="0"/>
          <w:numId w:val="51"/>
        </w:numPr>
        <w:jc w:val="left"/>
      </w:pPr>
      <w:r w:rsidRPr="00B75B77">
        <w:t xml:space="preserve">Above $200,000  </w:t>
      </w:r>
    </w:p>
    <w:p w:rsidR="00E071FF" w:rsidRPr="00B75B77" w:rsidRDefault="00E071FF" w:rsidP="00E071FF">
      <w:pPr>
        <w:spacing w:before="240" w:after="240"/>
        <w:ind w:left="1440" w:hanging="720"/>
        <w:contextualSpacing/>
        <w:rPr>
          <w:rFonts w:cs="Calibri"/>
          <w:szCs w:val="20"/>
        </w:rPr>
      </w:pPr>
      <w:r w:rsidRPr="00B75B77">
        <w:t>99.</w:t>
      </w:r>
      <w:r w:rsidRPr="00B75B77">
        <w:tab/>
        <w:t>Refused</w:t>
      </w:r>
    </w:p>
    <w:p w:rsidR="00E071FF" w:rsidRPr="00B75B77" w:rsidRDefault="00E071FF" w:rsidP="00E071FF">
      <w:pPr>
        <w:spacing w:before="240" w:after="240"/>
        <w:contextualSpacing/>
        <w:rPr>
          <w:rFonts w:cs="Calibri"/>
          <w:szCs w:val="20"/>
        </w:rPr>
      </w:pPr>
    </w:p>
    <w:p w:rsidR="00E071FF" w:rsidRPr="00B75B77" w:rsidRDefault="00E071FF" w:rsidP="00E071FF">
      <w:pPr>
        <w:rPr>
          <w:b/>
        </w:rPr>
      </w:pPr>
      <w:r w:rsidRPr="00B75B77">
        <w:rPr>
          <w:b/>
        </w:rPr>
        <w:t>If the entirety of income range reported in QD5b is greater than the [INCOME_THRESHOLD_150] corresponding to the occupancy level reported in QD5A, Skip to QD7.</w:t>
      </w:r>
    </w:p>
    <w:p w:rsidR="00E071FF" w:rsidRPr="00B75B77" w:rsidRDefault="00E071FF" w:rsidP="00E071FF">
      <w:pPr>
        <w:rPr>
          <w:b/>
        </w:rPr>
      </w:pPr>
    </w:p>
    <w:p w:rsidR="00E071FF" w:rsidRPr="00B75B77" w:rsidRDefault="00E071FF" w:rsidP="00E071FF">
      <w:pPr>
        <w:rPr>
          <w:b/>
        </w:rPr>
      </w:pPr>
      <w:r w:rsidRPr="00B75B77">
        <w:rPr>
          <w:b/>
        </w:rPr>
        <w:t>If the entirety of income range reported in QD5b is less than or equal to the [INCOME_THRESHOLD_150] corresponding to the occupancy level reported in QD5A, flag as “low income &lt;150” and skip to QD7.</w:t>
      </w:r>
    </w:p>
    <w:p w:rsidR="00E071FF" w:rsidRPr="00B75B77" w:rsidRDefault="00E071FF" w:rsidP="00E071FF">
      <w:pPr>
        <w:rPr>
          <w:b/>
        </w:rPr>
      </w:pPr>
    </w:p>
    <w:p w:rsidR="00E071FF" w:rsidRPr="00B75B77" w:rsidRDefault="00E071FF" w:rsidP="00E071FF">
      <w:pPr>
        <w:rPr>
          <w:b/>
        </w:rPr>
      </w:pPr>
      <w:r w:rsidRPr="00B75B77">
        <w:rPr>
          <w:b/>
        </w:rPr>
        <w:t xml:space="preserve">If some, but not all, of the income range reported in QD5b is equal to or less than the [INCOME_THRESHOLD_150] corresponding to the occupancy level reported in QD5A, then </w:t>
      </w:r>
      <w:proofErr w:type="gramStart"/>
      <w:r w:rsidRPr="00B75B77">
        <w:rPr>
          <w:b/>
        </w:rPr>
        <w:t>ask</w:t>
      </w:r>
      <w:proofErr w:type="gramEnd"/>
      <w:r w:rsidRPr="00B75B77">
        <w:rPr>
          <w:b/>
        </w:rPr>
        <w:t xml:space="preserve"> QD6A</w:t>
      </w:r>
    </w:p>
    <w:p w:rsidR="00E071FF" w:rsidRPr="00B75B77" w:rsidRDefault="00E071FF" w:rsidP="00E071FF">
      <w:pPr>
        <w:spacing w:before="240" w:after="240"/>
        <w:contextualSpacing/>
        <w:rPr>
          <w:rFonts w:cs="Calibri"/>
          <w:szCs w:val="20"/>
        </w:rPr>
      </w:pPr>
    </w:p>
    <w:p w:rsidR="00E071FF" w:rsidRPr="00B75B77" w:rsidRDefault="00E071FF" w:rsidP="00E071FF">
      <w:pPr>
        <w:spacing w:before="240" w:after="240"/>
        <w:ind w:left="720" w:hanging="720"/>
        <w:contextualSpacing/>
        <w:rPr>
          <w:rFonts w:cs="Arial"/>
          <w:b/>
          <w:bCs/>
          <w:szCs w:val="20"/>
        </w:rPr>
      </w:pPr>
      <w:r w:rsidRPr="00B75B77">
        <w:rPr>
          <w:rFonts w:cs="Arial"/>
          <w:szCs w:val="20"/>
        </w:rPr>
        <w:t xml:space="preserve">QD6A.  Just for clarification purposes, was your total 2014 household income before taxes below </w:t>
      </w:r>
      <w:r w:rsidRPr="00B75B77">
        <w:rPr>
          <w:rFonts w:cs="Arial"/>
          <w:b/>
          <w:bCs/>
          <w:szCs w:val="20"/>
        </w:rPr>
        <w:t>[INCOME_THRESHOLD_150]</w:t>
      </w:r>
      <w:r w:rsidRPr="00B75B77">
        <w:rPr>
          <w:rFonts w:cs="Arial"/>
          <w:szCs w:val="20"/>
        </w:rPr>
        <w:t xml:space="preserve">? </w:t>
      </w:r>
      <w:r w:rsidRPr="00B75B77">
        <w:rPr>
          <w:rStyle w:val="CommentReference"/>
          <w:rFonts w:eastAsiaTheme="majorEastAsia"/>
          <w:szCs w:val="20"/>
        </w:rPr>
        <w:t>       </w:t>
      </w:r>
    </w:p>
    <w:p w:rsidR="00E071FF" w:rsidRPr="00B75B77" w:rsidRDefault="00E071FF" w:rsidP="00E071FF">
      <w:pPr>
        <w:spacing w:before="240" w:after="240"/>
        <w:ind w:left="360" w:hanging="360"/>
        <w:contextualSpacing/>
        <w:rPr>
          <w:rFonts w:cs="Arial"/>
          <w:b/>
          <w:bCs/>
          <w:szCs w:val="20"/>
        </w:rPr>
      </w:pPr>
    </w:p>
    <w:p w:rsidR="00E071FF" w:rsidRPr="00B75B77" w:rsidRDefault="00E071FF" w:rsidP="009E08FB">
      <w:pPr>
        <w:numPr>
          <w:ilvl w:val="0"/>
          <w:numId w:val="49"/>
        </w:numPr>
        <w:spacing w:before="240" w:after="240"/>
        <w:contextualSpacing/>
        <w:jc w:val="left"/>
        <w:rPr>
          <w:rFonts w:cs="Arial"/>
          <w:szCs w:val="20"/>
        </w:rPr>
      </w:pPr>
      <w:r w:rsidRPr="00B75B77">
        <w:rPr>
          <w:rFonts w:cs="Arial"/>
          <w:szCs w:val="20"/>
        </w:rPr>
        <w:lastRenderedPageBreak/>
        <w:t xml:space="preserve">Yes </w:t>
      </w:r>
      <w:r w:rsidRPr="00B75B77">
        <w:rPr>
          <w:rFonts w:cs="Arial"/>
          <w:b/>
          <w:szCs w:val="20"/>
        </w:rPr>
        <w:t>[FLAG AS “low income &lt; 150” AND SKIP TO QD7]</w:t>
      </w:r>
    </w:p>
    <w:p w:rsidR="00E071FF" w:rsidRPr="00B75B77" w:rsidRDefault="00E071FF" w:rsidP="009E08FB">
      <w:pPr>
        <w:numPr>
          <w:ilvl w:val="0"/>
          <w:numId w:val="49"/>
        </w:numPr>
        <w:spacing w:before="240" w:after="240"/>
        <w:contextualSpacing/>
        <w:jc w:val="left"/>
        <w:rPr>
          <w:rFonts w:cs="Arial"/>
          <w:szCs w:val="20"/>
        </w:rPr>
      </w:pPr>
      <w:r w:rsidRPr="00B75B77">
        <w:rPr>
          <w:rFonts w:cs="Arial"/>
          <w:szCs w:val="20"/>
        </w:rPr>
        <w:t>No</w:t>
      </w:r>
    </w:p>
    <w:p w:rsidR="00E071FF" w:rsidRPr="00B75B77" w:rsidRDefault="00E071FF" w:rsidP="009E08FB">
      <w:pPr>
        <w:numPr>
          <w:ilvl w:val="0"/>
          <w:numId w:val="50"/>
        </w:numPr>
        <w:tabs>
          <w:tab w:val="num" w:pos="1080"/>
        </w:tabs>
        <w:spacing w:before="240" w:after="240"/>
        <w:ind w:left="1440"/>
        <w:contextualSpacing/>
        <w:jc w:val="left"/>
        <w:rPr>
          <w:rFonts w:cs="Arial"/>
          <w:szCs w:val="20"/>
        </w:rPr>
      </w:pPr>
      <w:r w:rsidRPr="00B75B77">
        <w:t xml:space="preserve">   </w:t>
      </w:r>
      <w:r w:rsidRPr="00B75B77">
        <w:tab/>
        <w:t xml:space="preserve">Don’t know </w:t>
      </w:r>
      <w:r w:rsidRPr="00B75B77">
        <w:rPr>
          <w:rFonts w:cs="Arial"/>
          <w:b/>
          <w:szCs w:val="20"/>
        </w:rPr>
        <w:t>[SKIP TO QD7]</w:t>
      </w:r>
    </w:p>
    <w:p w:rsidR="00E071FF" w:rsidRPr="00B75B77" w:rsidRDefault="00E071FF" w:rsidP="009E08FB">
      <w:pPr>
        <w:numPr>
          <w:ilvl w:val="0"/>
          <w:numId w:val="50"/>
        </w:numPr>
        <w:spacing w:before="240" w:after="240"/>
        <w:ind w:left="1440"/>
        <w:contextualSpacing/>
        <w:jc w:val="left"/>
        <w:rPr>
          <w:rFonts w:cs="Arial"/>
          <w:szCs w:val="20"/>
        </w:rPr>
      </w:pPr>
      <w:r w:rsidRPr="00B75B77">
        <w:rPr>
          <w:rFonts w:cs="Arial"/>
          <w:szCs w:val="20"/>
        </w:rPr>
        <w:t xml:space="preserve">Refused </w:t>
      </w:r>
      <w:r w:rsidRPr="00B75B77">
        <w:rPr>
          <w:rFonts w:cs="Arial"/>
          <w:b/>
          <w:szCs w:val="20"/>
        </w:rPr>
        <w:t>[SKIP TO QD7]</w:t>
      </w:r>
    </w:p>
    <w:p w:rsidR="00E071FF" w:rsidRPr="00B75B77" w:rsidRDefault="00E071FF" w:rsidP="00E071FF">
      <w:pPr>
        <w:widowControl w:val="0"/>
        <w:spacing w:before="240" w:after="240"/>
        <w:contextualSpacing/>
        <w:rPr>
          <w:rFonts w:cs="Arial"/>
          <w:b/>
          <w:bCs/>
          <w:szCs w:val="20"/>
        </w:rPr>
      </w:pPr>
    </w:p>
    <w:p w:rsidR="00E071FF" w:rsidRPr="00B75B77" w:rsidRDefault="00E071FF" w:rsidP="00E071FF">
      <w:pPr>
        <w:keepNext/>
        <w:keepLines/>
        <w:spacing w:before="240" w:after="240"/>
        <w:contextualSpacing/>
        <w:rPr>
          <w:rFonts w:cs="Arial"/>
          <w:b/>
          <w:bCs/>
          <w:szCs w:val="20"/>
        </w:rPr>
      </w:pPr>
      <w:r w:rsidRPr="00B75B77">
        <w:rPr>
          <w:rFonts w:cs="Arial"/>
          <w:b/>
          <w:bCs/>
          <w:szCs w:val="20"/>
        </w:rPr>
        <w:t>Income Threshold Table</w:t>
      </w:r>
    </w:p>
    <w:tbl>
      <w:tblPr>
        <w:tblW w:w="5600" w:type="dxa"/>
        <w:tblInd w:w="-13" w:type="dxa"/>
        <w:tblCellMar>
          <w:left w:w="0" w:type="dxa"/>
          <w:right w:w="0" w:type="dxa"/>
        </w:tblCellMar>
        <w:tblLook w:val="04A0" w:firstRow="1" w:lastRow="0" w:firstColumn="1" w:lastColumn="0" w:noHBand="0" w:noVBand="1"/>
      </w:tblPr>
      <w:tblGrid>
        <w:gridCol w:w="2097"/>
        <w:gridCol w:w="3503"/>
      </w:tblGrid>
      <w:tr w:rsidR="00E071FF" w:rsidRPr="00B75B77" w:rsidTr="00E071FF">
        <w:trPr>
          <w:trHeight w:val="144"/>
        </w:trPr>
        <w:tc>
          <w:tcPr>
            <w:tcW w:w="209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E071FF" w:rsidRPr="00B75B77" w:rsidRDefault="00E071FF" w:rsidP="00E071FF">
            <w:pPr>
              <w:keepNext/>
              <w:keepLines/>
              <w:spacing w:before="240" w:after="240"/>
              <w:contextualSpacing/>
              <w:rPr>
                <w:rFonts w:eastAsiaTheme="minorHAnsi" w:cs="Arial"/>
                <w:b/>
                <w:bCs/>
                <w:szCs w:val="20"/>
              </w:rPr>
            </w:pPr>
            <w:r w:rsidRPr="00B75B77">
              <w:rPr>
                <w:rFonts w:cs="Arial"/>
                <w:b/>
                <w:bCs/>
                <w:szCs w:val="20"/>
              </w:rPr>
              <w:t xml:space="preserve">QD5 (# People in HH) </w:t>
            </w:r>
          </w:p>
        </w:tc>
        <w:tc>
          <w:tcPr>
            <w:tcW w:w="350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rsidR="00E071FF" w:rsidRPr="00B75B77" w:rsidRDefault="00E071FF" w:rsidP="00E071FF">
            <w:pPr>
              <w:keepNext/>
              <w:keepLines/>
              <w:spacing w:before="240" w:after="240"/>
              <w:contextualSpacing/>
              <w:rPr>
                <w:rFonts w:eastAsiaTheme="minorHAnsi" w:cs="Arial"/>
                <w:b/>
                <w:bCs/>
                <w:szCs w:val="20"/>
              </w:rPr>
            </w:pPr>
            <w:r w:rsidRPr="00B75B77">
              <w:rPr>
                <w:rFonts w:cs="Arial"/>
                <w:b/>
                <w:bCs/>
                <w:szCs w:val="20"/>
              </w:rPr>
              <w:t xml:space="preserve"> INCOME_THRESHOLD_150 </w:t>
            </w:r>
          </w:p>
        </w:tc>
      </w:tr>
      <w:tr w:rsidR="00E071FF" w:rsidRPr="00B75B77" w:rsidTr="00E071FF">
        <w:trPr>
          <w:trHeight w:val="144"/>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071FF" w:rsidRPr="00B75B77" w:rsidRDefault="00E071FF" w:rsidP="00E071FF">
            <w:pPr>
              <w:jc w:val="center"/>
            </w:pPr>
            <w:r w:rsidRPr="00B75B77">
              <w:rPr>
                <w:rFonts w:cs="Arial"/>
                <w:b/>
                <w:bCs/>
                <w:szCs w:val="20"/>
              </w:rPr>
              <w:t>1</w:t>
            </w:r>
          </w:p>
        </w:tc>
        <w:tc>
          <w:tcPr>
            <w:tcW w:w="35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E071FF" w:rsidRPr="00B75B77" w:rsidRDefault="00E071FF" w:rsidP="00E071FF">
            <w:pPr>
              <w:jc w:val="center"/>
            </w:pPr>
            <w:r w:rsidRPr="00B75B77">
              <w:rPr>
                <w:b/>
              </w:rPr>
              <w:t xml:space="preserve"> $                  18,000</w:t>
            </w:r>
          </w:p>
        </w:tc>
      </w:tr>
      <w:tr w:rsidR="00E071FF" w:rsidRPr="00B75B77" w:rsidTr="00E071FF">
        <w:trPr>
          <w:trHeight w:val="144"/>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071FF" w:rsidRPr="00B75B77" w:rsidRDefault="00E071FF" w:rsidP="00E071FF">
            <w:pPr>
              <w:jc w:val="center"/>
            </w:pPr>
            <w:r w:rsidRPr="00B75B77">
              <w:rPr>
                <w:rFonts w:cs="Arial"/>
                <w:b/>
                <w:bCs/>
                <w:szCs w:val="20"/>
              </w:rPr>
              <w:t xml:space="preserve">2 </w:t>
            </w:r>
          </w:p>
        </w:tc>
        <w:tc>
          <w:tcPr>
            <w:tcW w:w="35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E071FF" w:rsidRPr="00B75B77" w:rsidRDefault="00E071FF" w:rsidP="00E071FF">
            <w:pPr>
              <w:jc w:val="center"/>
            </w:pPr>
            <w:r w:rsidRPr="00B75B77">
              <w:rPr>
                <w:b/>
              </w:rPr>
              <w:t xml:space="preserve"> $                  24,000 </w:t>
            </w:r>
          </w:p>
        </w:tc>
      </w:tr>
      <w:tr w:rsidR="00E071FF" w:rsidRPr="00B75B77" w:rsidTr="00E071FF">
        <w:trPr>
          <w:trHeight w:val="144"/>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071FF" w:rsidRPr="00B75B77" w:rsidRDefault="00E071FF" w:rsidP="00E071FF">
            <w:pPr>
              <w:jc w:val="center"/>
            </w:pPr>
            <w:r w:rsidRPr="00B75B77">
              <w:rPr>
                <w:rFonts w:cs="Arial"/>
                <w:b/>
                <w:bCs/>
                <w:szCs w:val="20"/>
              </w:rPr>
              <w:t>3 or DK/REF</w:t>
            </w:r>
          </w:p>
        </w:tc>
        <w:tc>
          <w:tcPr>
            <w:tcW w:w="35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E071FF" w:rsidRPr="00B75B77" w:rsidRDefault="00E071FF" w:rsidP="00E071FF">
            <w:pPr>
              <w:jc w:val="center"/>
            </w:pPr>
            <w:r w:rsidRPr="00B75B77">
              <w:rPr>
                <w:b/>
              </w:rPr>
              <w:t xml:space="preserve"> $                  30,000 </w:t>
            </w:r>
          </w:p>
        </w:tc>
      </w:tr>
      <w:tr w:rsidR="00E071FF" w:rsidRPr="00B75B77" w:rsidTr="00E071FF">
        <w:trPr>
          <w:trHeight w:val="144"/>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071FF" w:rsidRPr="00B75B77" w:rsidRDefault="00E071FF" w:rsidP="00E071FF">
            <w:pPr>
              <w:jc w:val="center"/>
            </w:pPr>
            <w:r w:rsidRPr="00B75B77">
              <w:rPr>
                <w:rFonts w:cs="Arial"/>
                <w:b/>
                <w:bCs/>
                <w:szCs w:val="20"/>
              </w:rPr>
              <w:t xml:space="preserve">4 </w:t>
            </w:r>
          </w:p>
        </w:tc>
        <w:tc>
          <w:tcPr>
            <w:tcW w:w="35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E071FF" w:rsidRPr="00B75B77" w:rsidRDefault="00E071FF" w:rsidP="00E071FF">
            <w:pPr>
              <w:jc w:val="center"/>
            </w:pPr>
            <w:r w:rsidRPr="00B75B77">
              <w:rPr>
                <w:b/>
              </w:rPr>
              <w:t xml:space="preserve"> $                  37,000 </w:t>
            </w:r>
          </w:p>
        </w:tc>
      </w:tr>
      <w:tr w:rsidR="00E071FF" w:rsidRPr="00B75B77" w:rsidTr="00E071FF">
        <w:trPr>
          <w:trHeight w:val="144"/>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071FF" w:rsidRPr="00B75B77" w:rsidRDefault="00E071FF" w:rsidP="00E071FF">
            <w:pPr>
              <w:jc w:val="center"/>
            </w:pPr>
            <w:r w:rsidRPr="00B75B77">
              <w:rPr>
                <w:rFonts w:cs="Arial"/>
                <w:b/>
                <w:bCs/>
                <w:szCs w:val="20"/>
              </w:rPr>
              <w:t>5</w:t>
            </w:r>
          </w:p>
        </w:tc>
        <w:tc>
          <w:tcPr>
            <w:tcW w:w="35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E071FF" w:rsidRPr="00B75B77" w:rsidRDefault="00E071FF" w:rsidP="00E071FF">
            <w:pPr>
              <w:jc w:val="center"/>
            </w:pPr>
            <w:r w:rsidRPr="00B75B77">
              <w:rPr>
                <w:b/>
              </w:rPr>
              <w:t xml:space="preserve"> $                  43,000 </w:t>
            </w:r>
          </w:p>
        </w:tc>
      </w:tr>
      <w:tr w:rsidR="00E071FF" w:rsidRPr="00B75B77" w:rsidTr="00E071FF">
        <w:trPr>
          <w:trHeight w:val="144"/>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071FF" w:rsidRPr="00B75B77" w:rsidRDefault="00E071FF" w:rsidP="00E071FF">
            <w:pPr>
              <w:jc w:val="center"/>
            </w:pPr>
            <w:r w:rsidRPr="00B75B77">
              <w:rPr>
                <w:rFonts w:cs="Arial"/>
                <w:b/>
                <w:bCs/>
                <w:szCs w:val="20"/>
              </w:rPr>
              <w:t>6</w:t>
            </w:r>
          </w:p>
        </w:tc>
        <w:tc>
          <w:tcPr>
            <w:tcW w:w="35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E071FF" w:rsidRPr="00B75B77" w:rsidRDefault="00E071FF" w:rsidP="00E071FF">
            <w:pPr>
              <w:jc w:val="center"/>
            </w:pPr>
            <w:r w:rsidRPr="00B75B77">
              <w:rPr>
                <w:b/>
              </w:rPr>
              <w:t xml:space="preserve"> $                  49,000</w:t>
            </w:r>
          </w:p>
        </w:tc>
      </w:tr>
      <w:tr w:rsidR="00E071FF" w:rsidRPr="00B75B77" w:rsidTr="00E071FF">
        <w:trPr>
          <w:trHeight w:val="144"/>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071FF" w:rsidRPr="00B75B77" w:rsidRDefault="00E071FF" w:rsidP="00E071FF">
            <w:pPr>
              <w:jc w:val="center"/>
            </w:pPr>
            <w:r w:rsidRPr="00B75B77">
              <w:rPr>
                <w:rFonts w:cs="Arial"/>
                <w:b/>
                <w:bCs/>
                <w:szCs w:val="20"/>
              </w:rPr>
              <w:t>7</w:t>
            </w:r>
          </w:p>
        </w:tc>
        <w:tc>
          <w:tcPr>
            <w:tcW w:w="35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E071FF" w:rsidRPr="00B75B77" w:rsidRDefault="00E071FF" w:rsidP="00E071FF">
            <w:pPr>
              <w:jc w:val="center"/>
            </w:pPr>
            <w:r w:rsidRPr="00B75B77">
              <w:rPr>
                <w:b/>
              </w:rPr>
              <w:t xml:space="preserve"> $                  55,000 </w:t>
            </w:r>
          </w:p>
        </w:tc>
      </w:tr>
      <w:tr w:rsidR="00E071FF" w:rsidRPr="00B75B77" w:rsidTr="00E071FF">
        <w:trPr>
          <w:trHeight w:val="144"/>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071FF" w:rsidRPr="00B75B77" w:rsidRDefault="00E071FF" w:rsidP="00E071FF">
            <w:pPr>
              <w:jc w:val="center"/>
            </w:pPr>
            <w:r w:rsidRPr="00B75B77">
              <w:rPr>
                <w:rFonts w:cs="Arial"/>
                <w:b/>
                <w:bCs/>
                <w:szCs w:val="20"/>
              </w:rPr>
              <w:t>8</w:t>
            </w:r>
          </w:p>
        </w:tc>
        <w:tc>
          <w:tcPr>
            <w:tcW w:w="35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E071FF" w:rsidRPr="00B75B77" w:rsidRDefault="00E071FF" w:rsidP="00E071FF">
            <w:pPr>
              <w:jc w:val="center"/>
            </w:pPr>
            <w:r w:rsidRPr="00B75B77">
              <w:rPr>
                <w:b/>
              </w:rPr>
              <w:t xml:space="preserve"> $                  62,000 </w:t>
            </w:r>
          </w:p>
        </w:tc>
      </w:tr>
      <w:tr w:rsidR="00E071FF" w:rsidRPr="00B75B77" w:rsidTr="00E071FF">
        <w:trPr>
          <w:trHeight w:val="144"/>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071FF" w:rsidRPr="00B75B77" w:rsidRDefault="00E071FF" w:rsidP="00E071FF">
            <w:pPr>
              <w:jc w:val="center"/>
            </w:pPr>
            <w:r w:rsidRPr="00B75B77">
              <w:rPr>
                <w:rFonts w:cs="Arial"/>
                <w:b/>
                <w:bCs/>
                <w:szCs w:val="20"/>
              </w:rPr>
              <w:t>9</w:t>
            </w:r>
          </w:p>
        </w:tc>
        <w:tc>
          <w:tcPr>
            <w:tcW w:w="35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E071FF" w:rsidRPr="00B75B77" w:rsidRDefault="00E071FF" w:rsidP="00E071FF">
            <w:pPr>
              <w:jc w:val="center"/>
            </w:pPr>
            <w:r w:rsidRPr="00B75B77">
              <w:rPr>
                <w:b/>
              </w:rPr>
              <w:t xml:space="preserve"> $                  68,000 </w:t>
            </w:r>
          </w:p>
        </w:tc>
      </w:tr>
      <w:tr w:rsidR="00E071FF" w:rsidRPr="00B75B77" w:rsidTr="00E071FF">
        <w:trPr>
          <w:trHeight w:val="144"/>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071FF" w:rsidRPr="00B75B77" w:rsidRDefault="00E071FF" w:rsidP="00E071FF">
            <w:pPr>
              <w:jc w:val="center"/>
            </w:pPr>
            <w:r w:rsidRPr="00B75B77">
              <w:rPr>
                <w:rFonts w:cs="Arial"/>
                <w:b/>
                <w:bCs/>
                <w:szCs w:val="20"/>
              </w:rPr>
              <w:t>10</w:t>
            </w:r>
          </w:p>
        </w:tc>
        <w:tc>
          <w:tcPr>
            <w:tcW w:w="35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E071FF" w:rsidRPr="00B75B77" w:rsidRDefault="00E071FF" w:rsidP="00E071FF">
            <w:pPr>
              <w:jc w:val="center"/>
            </w:pPr>
            <w:r w:rsidRPr="00B75B77">
              <w:rPr>
                <w:b/>
              </w:rPr>
              <w:t xml:space="preserve"> $                  74,000 </w:t>
            </w:r>
          </w:p>
        </w:tc>
      </w:tr>
      <w:tr w:rsidR="00E071FF" w:rsidRPr="00B75B77" w:rsidTr="00E071FF">
        <w:trPr>
          <w:trHeight w:val="144"/>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071FF" w:rsidRPr="00B75B77" w:rsidRDefault="00E071FF" w:rsidP="00E071FF">
            <w:pPr>
              <w:jc w:val="center"/>
            </w:pPr>
            <w:r w:rsidRPr="00B75B77">
              <w:rPr>
                <w:rFonts w:cs="Arial"/>
                <w:b/>
                <w:bCs/>
                <w:szCs w:val="20"/>
              </w:rPr>
              <w:t>11</w:t>
            </w:r>
          </w:p>
        </w:tc>
        <w:tc>
          <w:tcPr>
            <w:tcW w:w="35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E071FF" w:rsidRPr="00B75B77" w:rsidRDefault="00E071FF" w:rsidP="00E071FF">
            <w:pPr>
              <w:jc w:val="center"/>
            </w:pPr>
            <w:r w:rsidRPr="00B75B77">
              <w:rPr>
                <w:b/>
              </w:rPr>
              <w:t xml:space="preserve"> $                  80,000 </w:t>
            </w:r>
          </w:p>
        </w:tc>
      </w:tr>
      <w:tr w:rsidR="00E071FF" w:rsidRPr="00B75B77" w:rsidTr="00E071FF">
        <w:trPr>
          <w:trHeight w:val="144"/>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071FF" w:rsidRPr="00B75B77" w:rsidRDefault="00E071FF" w:rsidP="00E071FF">
            <w:pPr>
              <w:jc w:val="center"/>
            </w:pPr>
            <w:r w:rsidRPr="00B75B77">
              <w:rPr>
                <w:rFonts w:cs="Arial"/>
                <w:b/>
                <w:bCs/>
                <w:szCs w:val="20"/>
              </w:rPr>
              <w:t>12 or more</w:t>
            </w:r>
          </w:p>
        </w:tc>
        <w:tc>
          <w:tcPr>
            <w:tcW w:w="350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E071FF" w:rsidRPr="00B75B77" w:rsidRDefault="00E071FF" w:rsidP="00E071FF">
            <w:pPr>
              <w:jc w:val="center"/>
            </w:pPr>
            <w:r w:rsidRPr="00B75B77">
              <w:rPr>
                <w:b/>
              </w:rPr>
              <w:t xml:space="preserve"> $                  87,000 </w:t>
            </w:r>
          </w:p>
        </w:tc>
      </w:tr>
    </w:tbl>
    <w:p w:rsidR="00E071FF" w:rsidRPr="00B75B77" w:rsidRDefault="00E071FF" w:rsidP="00E071FF">
      <w:pPr>
        <w:spacing w:before="240" w:after="240"/>
        <w:contextualSpacing/>
      </w:pPr>
    </w:p>
    <w:p w:rsidR="00E071FF" w:rsidRPr="00B75B77" w:rsidRDefault="00E071FF" w:rsidP="00E071FF">
      <w:pPr>
        <w:spacing w:before="240" w:after="240"/>
        <w:contextualSpacing/>
        <w:rPr>
          <w:b/>
          <w:szCs w:val="20"/>
        </w:rPr>
      </w:pPr>
      <w:r w:rsidRPr="00B75B77">
        <w:t xml:space="preserve">QD7. What is the highest education level you have completed? </w:t>
      </w:r>
      <w:r w:rsidRPr="00B75B77">
        <w:rPr>
          <w:szCs w:val="20"/>
        </w:rPr>
        <w:t>[</w:t>
      </w:r>
      <w:r w:rsidRPr="00B75B77">
        <w:rPr>
          <w:b/>
          <w:szCs w:val="20"/>
        </w:rPr>
        <w:t>READ LIST]</w:t>
      </w:r>
    </w:p>
    <w:p w:rsidR="00E071FF" w:rsidRPr="00B75B77" w:rsidRDefault="00E071FF" w:rsidP="009E08FB">
      <w:pPr>
        <w:pStyle w:val="ListParagraph"/>
        <w:numPr>
          <w:ilvl w:val="0"/>
          <w:numId w:val="53"/>
        </w:numPr>
        <w:spacing w:before="240" w:after="240"/>
        <w:ind w:left="1440" w:hanging="720"/>
        <w:jc w:val="left"/>
      </w:pPr>
      <w:r w:rsidRPr="00B75B77">
        <w:t>Some high school</w:t>
      </w:r>
    </w:p>
    <w:p w:rsidR="00E071FF" w:rsidRPr="00B75B77" w:rsidRDefault="00E071FF" w:rsidP="009E08FB">
      <w:pPr>
        <w:pStyle w:val="ListParagraph"/>
        <w:numPr>
          <w:ilvl w:val="0"/>
          <w:numId w:val="53"/>
        </w:numPr>
        <w:spacing w:before="240" w:after="240"/>
        <w:ind w:left="1440" w:hanging="720"/>
        <w:jc w:val="left"/>
      </w:pPr>
      <w:r w:rsidRPr="00B75B77">
        <w:t>High school graduate</w:t>
      </w:r>
    </w:p>
    <w:p w:rsidR="00E071FF" w:rsidRPr="00B75B77" w:rsidRDefault="00E071FF" w:rsidP="009E08FB">
      <w:pPr>
        <w:pStyle w:val="ListParagraph"/>
        <w:numPr>
          <w:ilvl w:val="0"/>
          <w:numId w:val="53"/>
        </w:numPr>
        <w:spacing w:before="240" w:after="240"/>
        <w:ind w:left="1440" w:hanging="720"/>
        <w:jc w:val="left"/>
      </w:pPr>
      <w:r w:rsidRPr="00B75B77">
        <w:t>Some college/vocational school</w:t>
      </w:r>
    </w:p>
    <w:p w:rsidR="00E071FF" w:rsidRPr="00B75B77" w:rsidRDefault="00E071FF" w:rsidP="009E08FB">
      <w:pPr>
        <w:pStyle w:val="ListParagraph"/>
        <w:numPr>
          <w:ilvl w:val="0"/>
          <w:numId w:val="53"/>
        </w:numPr>
        <w:spacing w:before="240" w:after="240"/>
        <w:ind w:left="1440" w:hanging="720"/>
        <w:jc w:val="left"/>
      </w:pPr>
      <w:r w:rsidRPr="00B75B77">
        <w:t>College degree</w:t>
      </w:r>
    </w:p>
    <w:p w:rsidR="00E071FF" w:rsidRPr="00B75B77" w:rsidRDefault="00E071FF" w:rsidP="009E08FB">
      <w:pPr>
        <w:pStyle w:val="ListParagraph"/>
        <w:numPr>
          <w:ilvl w:val="0"/>
          <w:numId w:val="53"/>
        </w:numPr>
        <w:spacing w:before="240" w:after="240"/>
        <w:ind w:left="1440" w:hanging="720"/>
        <w:jc w:val="left"/>
      </w:pPr>
      <w:r w:rsidRPr="00B75B77">
        <w:t xml:space="preserve">Graduate or professional degree  </w:t>
      </w:r>
    </w:p>
    <w:p w:rsidR="00E071FF" w:rsidRPr="00B75B77" w:rsidRDefault="00E071FF" w:rsidP="009E08FB">
      <w:pPr>
        <w:pStyle w:val="ListParagraph"/>
        <w:numPr>
          <w:ilvl w:val="0"/>
          <w:numId w:val="53"/>
        </w:numPr>
        <w:spacing w:before="240" w:after="240"/>
        <w:ind w:left="1440" w:hanging="720"/>
        <w:jc w:val="left"/>
      </w:pPr>
      <w:r w:rsidRPr="00B75B77">
        <w:t xml:space="preserve"> OTHER (SPECIFY) ______________</w:t>
      </w:r>
    </w:p>
    <w:p w:rsidR="00E071FF" w:rsidRPr="00B75B77" w:rsidRDefault="00E071FF" w:rsidP="009E08FB">
      <w:pPr>
        <w:pStyle w:val="ListParagraph"/>
        <w:numPr>
          <w:ilvl w:val="0"/>
          <w:numId w:val="54"/>
        </w:numPr>
        <w:spacing w:before="240" w:after="240"/>
        <w:ind w:hanging="720"/>
        <w:jc w:val="left"/>
      </w:pPr>
      <w:r w:rsidRPr="00B75B77">
        <w:t>REFUSED</w:t>
      </w:r>
    </w:p>
    <w:p w:rsidR="00E071FF" w:rsidRPr="00B75B77" w:rsidRDefault="00E071FF" w:rsidP="00E071FF">
      <w:pPr>
        <w:spacing w:before="240" w:after="240"/>
        <w:contextualSpacing/>
      </w:pPr>
    </w:p>
    <w:p w:rsidR="00E071FF" w:rsidRPr="00B75B77" w:rsidRDefault="00E071FF" w:rsidP="00E071FF">
      <w:pPr>
        <w:spacing w:before="240" w:after="240"/>
        <w:contextualSpacing/>
      </w:pPr>
      <w:r w:rsidRPr="00B75B77">
        <w:t>QD8.</w:t>
      </w:r>
      <w:r w:rsidRPr="00B75B77">
        <w:tab/>
        <w:t xml:space="preserve">Gender </w:t>
      </w:r>
      <w:r w:rsidRPr="00B75B77">
        <w:rPr>
          <w:b/>
        </w:rPr>
        <w:t>[DO NOT ASK RESPONDANT, USE YOUR JUDGEMENT]</w:t>
      </w:r>
    </w:p>
    <w:p w:rsidR="00E071FF" w:rsidRPr="00B75B77" w:rsidRDefault="00E071FF" w:rsidP="009E08FB">
      <w:pPr>
        <w:pStyle w:val="ListParagraph"/>
        <w:numPr>
          <w:ilvl w:val="0"/>
          <w:numId w:val="55"/>
        </w:numPr>
        <w:spacing w:before="240" w:after="240"/>
        <w:ind w:left="1440" w:hanging="720"/>
        <w:jc w:val="left"/>
      </w:pPr>
      <w:r w:rsidRPr="00B75B77">
        <w:t xml:space="preserve">MALE  </w:t>
      </w:r>
    </w:p>
    <w:p w:rsidR="00E071FF" w:rsidRPr="00B75B77" w:rsidRDefault="00E071FF" w:rsidP="009E08FB">
      <w:pPr>
        <w:pStyle w:val="ListParagraph"/>
        <w:numPr>
          <w:ilvl w:val="0"/>
          <w:numId w:val="55"/>
        </w:numPr>
        <w:spacing w:before="240" w:after="240"/>
        <w:ind w:left="1440" w:hanging="720"/>
        <w:jc w:val="left"/>
      </w:pPr>
      <w:r w:rsidRPr="00B75B77">
        <w:t xml:space="preserve">FEMALE </w:t>
      </w:r>
    </w:p>
    <w:p w:rsidR="00E071FF" w:rsidRPr="00B75B77" w:rsidRDefault="00E071FF" w:rsidP="00E071FF">
      <w:pPr>
        <w:spacing w:before="240" w:after="240"/>
        <w:contextualSpacing/>
      </w:pPr>
    </w:p>
    <w:p w:rsidR="00E071FF" w:rsidRPr="00B75B77" w:rsidRDefault="00E071FF" w:rsidP="00E071FF">
      <w:pPr>
        <w:keepNext/>
        <w:keepLines/>
        <w:spacing w:before="240" w:after="240"/>
        <w:contextualSpacing/>
      </w:pPr>
      <w:r w:rsidRPr="00B75B77">
        <w:lastRenderedPageBreak/>
        <w:t xml:space="preserve">QD9. What energy source do you use to heat your water? </w:t>
      </w:r>
      <w:r w:rsidRPr="00B75B77">
        <w:rPr>
          <w:b/>
        </w:rPr>
        <w:t>[PROMPT IF NECESSARY]</w:t>
      </w:r>
    </w:p>
    <w:p w:rsidR="00E071FF" w:rsidRPr="00B75B77" w:rsidRDefault="00E071FF" w:rsidP="009E08FB">
      <w:pPr>
        <w:pStyle w:val="ListParagraph"/>
        <w:keepNext/>
        <w:keepLines/>
        <w:numPr>
          <w:ilvl w:val="0"/>
          <w:numId w:val="52"/>
        </w:numPr>
        <w:spacing w:before="240" w:after="240"/>
        <w:ind w:left="1440" w:hanging="720"/>
        <w:jc w:val="left"/>
      </w:pPr>
      <w:r w:rsidRPr="00B75B77">
        <w:t>Natural Gas</w:t>
      </w:r>
    </w:p>
    <w:p w:rsidR="00E071FF" w:rsidRPr="00B75B77" w:rsidRDefault="00E071FF" w:rsidP="009E08FB">
      <w:pPr>
        <w:pStyle w:val="ListParagraph"/>
        <w:keepNext/>
        <w:keepLines/>
        <w:numPr>
          <w:ilvl w:val="0"/>
          <w:numId w:val="52"/>
        </w:numPr>
        <w:spacing w:before="240" w:after="240"/>
        <w:ind w:left="1440" w:hanging="720"/>
        <w:jc w:val="left"/>
      </w:pPr>
      <w:r w:rsidRPr="00B75B77">
        <w:t>Electricity</w:t>
      </w:r>
    </w:p>
    <w:p w:rsidR="00E071FF" w:rsidRPr="00B75B77" w:rsidRDefault="00E071FF" w:rsidP="009E08FB">
      <w:pPr>
        <w:pStyle w:val="ListParagraph"/>
        <w:keepNext/>
        <w:keepLines/>
        <w:numPr>
          <w:ilvl w:val="0"/>
          <w:numId w:val="52"/>
        </w:numPr>
        <w:spacing w:before="240" w:after="240"/>
        <w:ind w:left="1440" w:hanging="720"/>
        <w:jc w:val="left"/>
      </w:pPr>
      <w:r w:rsidRPr="00B75B77">
        <w:t>Oil</w:t>
      </w:r>
    </w:p>
    <w:p w:rsidR="00E071FF" w:rsidRPr="00B75B77" w:rsidRDefault="00E071FF" w:rsidP="009E08FB">
      <w:pPr>
        <w:pStyle w:val="ListParagraph"/>
        <w:keepNext/>
        <w:keepLines/>
        <w:numPr>
          <w:ilvl w:val="0"/>
          <w:numId w:val="52"/>
        </w:numPr>
        <w:spacing w:before="240" w:after="240"/>
        <w:ind w:left="1440" w:hanging="720"/>
        <w:jc w:val="left"/>
      </w:pPr>
      <w:r w:rsidRPr="00B75B77">
        <w:t>Propane</w:t>
      </w:r>
    </w:p>
    <w:p w:rsidR="00E071FF" w:rsidRPr="00B75B77" w:rsidRDefault="00E071FF" w:rsidP="009E08FB">
      <w:pPr>
        <w:pStyle w:val="ListParagraph"/>
        <w:keepNext/>
        <w:keepLines/>
        <w:numPr>
          <w:ilvl w:val="0"/>
          <w:numId w:val="52"/>
        </w:numPr>
        <w:spacing w:before="240" w:after="240"/>
        <w:ind w:left="1440" w:hanging="720"/>
        <w:jc w:val="left"/>
      </w:pPr>
      <w:r w:rsidRPr="00B75B77">
        <w:t>OTHER (SPECIFY) _____________</w:t>
      </w:r>
    </w:p>
    <w:p w:rsidR="00E071FF" w:rsidRPr="00B75B77" w:rsidRDefault="00E071FF" w:rsidP="009E08FB">
      <w:pPr>
        <w:pStyle w:val="ListParagraph"/>
        <w:keepNext/>
        <w:keepLines/>
        <w:numPr>
          <w:ilvl w:val="0"/>
          <w:numId w:val="56"/>
        </w:numPr>
        <w:spacing w:before="240" w:after="240"/>
        <w:ind w:left="1440" w:hanging="720"/>
        <w:jc w:val="left"/>
      </w:pPr>
      <w:r w:rsidRPr="00B75B77">
        <w:t>DON’T KNOW</w:t>
      </w:r>
    </w:p>
    <w:p w:rsidR="00E071FF" w:rsidRPr="00B75B77" w:rsidRDefault="00E071FF" w:rsidP="009E08FB">
      <w:pPr>
        <w:pStyle w:val="ListParagraph"/>
        <w:keepNext/>
        <w:keepLines/>
        <w:numPr>
          <w:ilvl w:val="0"/>
          <w:numId w:val="56"/>
        </w:numPr>
        <w:spacing w:before="240" w:after="240"/>
        <w:ind w:left="1440" w:hanging="720"/>
        <w:jc w:val="left"/>
      </w:pPr>
      <w:r w:rsidRPr="00B75B77">
        <w:t>REFUSED</w:t>
      </w:r>
    </w:p>
    <w:p w:rsidR="00E071FF" w:rsidRPr="00B75B77" w:rsidRDefault="00E071FF" w:rsidP="00E071FF">
      <w:pPr>
        <w:jc w:val="left"/>
      </w:pPr>
    </w:p>
    <w:p w:rsidR="00E071FF" w:rsidRPr="00B75B77" w:rsidRDefault="00E071FF" w:rsidP="00E071FF">
      <w:pPr>
        <w:jc w:val="left"/>
      </w:pPr>
    </w:p>
    <w:p w:rsidR="00E071FF" w:rsidRPr="00B75B77" w:rsidRDefault="00E071FF" w:rsidP="00E071FF">
      <w:pPr>
        <w:jc w:val="left"/>
        <w:sectPr w:rsidR="00E071FF" w:rsidRPr="00B75B77" w:rsidSect="007B06D2">
          <w:footerReference w:type="default" r:id="rId98"/>
          <w:pgSz w:w="12240" w:h="15840"/>
          <w:pgMar w:top="1224" w:right="1440" w:bottom="1440" w:left="1440" w:header="576" w:footer="475" w:gutter="0"/>
          <w:cols w:space="720"/>
          <w:docGrid w:linePitch="360"/>
        </w:sectPr>
      </w:pPr>
    </w:p>
    <w:p w:rsidR="009804CB" w:rsidRPr="00B75B77" w:rsidRDefault="00902476" w:rsidP="007A6327">
      <w:pPr>
        <w:pStyle w:val="Heading5"/>
      </w:pPr>
      <w:bookmarkStart w:id="1018" w:name="_Toc390682426"/>
      <w:bookmarkStart w:id="1019" w:name="_Toc389747564"/>
      <w:bookmarkStart w:id="1020" w:name="_Toc390175510"/>
      <w:bookmarkStart w:id="1021" w:name="_Toc390947301"/>
      <w:bookmarkStart w:id="1022" w:name="_Toc466413481"/>
      <w:r w:rsidRPr="00B75B77">
        <w:lastRenderedPageBreak/>
        <w:t>SHR</w:t>
      </w:r>
      <w:r w:rsidR="00D51357" w:rsidRPr="00B75B77">
        <w:t xml:space="preserve"> </w:t>
      </w:r>
      <w:r w:rsidR="009804CB" w:rsidRPr="00B75B77">
        <w:t>Residential Lighting Upstream Program Cross-Sector Sales</w:t>
      </w:r>
      <w:bookmarkEnd w:id="1018"/>
      <w:bookmarkEnd w:id="1019"/>
      <w:bookmarkEnd w:id="1020"/>
      <w:bookmarkEnd w:id="1021"/>
      <w:bookmarkEnd w:id="1022"/>
    </w:p>
    <w:p w:rsidR="00D51357" w:rsidRPr="00B75B77" w:rsidRDefault="00D51357" w:rsidP="00D51357">
      <w:r w:rsidRPr="00B75B77">
        <w:t xml:space="preserve">Navigant developed the PY7 cross-sector installation rate from the SHR in-store intercept surveys. As shown in </w:t>
      </w:r>
      <w:r w:rsidR="00726EBF" w:rsidRPr="00B75B77">
        <w:fldChar w:fldCharType="begin"/>
      </w:r>
      <w:r w:rsidR="00726EBF" w:rsidRPr="00B75B77">
        <w:instrText xml:space="preserve"> REF _Ref464205946 \h </w:instrText>
      </w:r>
      <w:r w:rsidR="00B75B77">
        <w:instrText xml:space="preserve"> \* MERGEFORMAT </w:instrText>
      </w:r>
      <w:r w:rsidR="00726EBF" w:rsidRPr="00B75B77">
        <w:fldChar w:fldCharType="separate"/>
      </w:r>
      <w:r w:rsidR="0004016D" w:rsidRPr="00B75B77">
        <w:t xml:space="preserve">Table </w:t>
      </w:r>
      <w:r w:rsidR="0004016D">
        <w:rPr>
          <w:noProof/>
        </w:rPr>
        <w:t>D</w:t>
      </w:r>
      <w:r w:rsidR="0004016D" w:rsidRPr="00B75B77">
        <w:rPr>
          <w:noProof/>
        </w:rPr>
        <w:noBreakHyphen/>
      </w:r>
      <w:r w:rsidR="0004016D">
        <w:rPr>
          <w:noProof/>
        </w:rPr>
        <w:t>1</w:t>
      </w:r>
      <w:r w:rsidR="00726EBF" w:rsidRPr="00B75B77">
        <w:fldChar w:fldCharType="end"/>
      </w:r>
      <w:r w:rsidRPr="00B75B77">
        <w:t xml:space="preserve">, the intercept surveys were conducted in a representative sampling of participating retail stores by sales channel. </w:t>
      </w:r>
    </w:p>
    <w:p w:rsidR="00726EBF" w:rsidRPr="00B75B77" w:rsidRDefault="00726EBF" w:rsidP="00D51357"/>
    <w:p w:rsidR="00D51357" w:rsidRPr="00B75B77" w:rsidRDefault="00726EBF" w:rsidP="00502659">
      <w:pPr>
        <w:pStyle w:val="Caption"/>
      </w:pPr>
      <w:bookmarkStart w:id="1023" w:name="_Ref464205946"/>
      <w:bookmarkStart w:id="1024" w:name="_Toc466413657"/>
      <w:r w:rsidRPr="00B75B77">
        <w:t xml:space="preserve">Table </w:t>
      </w:r>
      <w:fldSimple w:instr=" STYLEREF 5 \s ">
        <w:r w:rsidR="0004016D">
          <w:rPr>
            <w:noProof/>
          </w:rPr>
          <w:t>D</w:t>
        </w:r>
      </w:fldSimple>
      <w:r w:rsidR="00502659" w:rsidRPr="00B75B77">
        <w:noBreakHyphen/>
      </w:r>
      <w:fldSimple w:instr=" SEQ Table_Apx \* ARABIC \s 5 ">
        <w:r w:rsidR="0004016D">
          <w:rPr>
            <w:noProof/>
          </w:rPr>
          <w:t>1</w:t>
        </w:r>
      </w:fldSimple>
      <w:bookmarkEnd w:id="1023"/>
      <w:r w:rsidR="00102BDF" w:rsidRPr="00B75B77">
        <w:t>:</w:t>
      </w:r>
      <w:r w:rsidRPr="00B75B77">
        <w:t xml:space="preserve"> Store Sampling for PY5 Intercepts Based on Proportion of Program Bulb Sales</w:t>
      </w:r>
      <w:bookmarkEnd w:id="1024"/>
    </w:p>
    <w:tbl>
      <w:tblPr>
        <w:tblStyle w:val="PECOTeal"/>
        <w:tblW w:w="9360" w:type="dxa"/>
        <w:tblLayout w:type="fixed"/>
        <w:tblLook w:val="04A0" w:firstRow="1" w:lastRow="0" w:firstColumn="1" w:lastColumn="0" w:noHBand="0" w:noVBand="1"/>
      </w:tblPr>
      <w:tblGrid>
        <w:gridCol w:w="2768"/>
        <w:gridCol w:w="2200"/>
        <w:gridCol w:w="2196"/>
        <w:gridCol w:w="2196"/>
      </w:tblGrid>
      <w:tr w:rsidR="00D51357" w:rsidRPr="00B75B77" w:rsidTr="00102B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9" w:type="pct"/>
            <w:hideMark/>
          </w:tcPr>
          <w:p w:rsidR="00D51357" w:rsidRPr="00B75B77" w:rsidRDefault="00D51357" w:rsidP="00102BDF">
            <w:pPr>
              <w:widowControl w:val="0"/>
              <w:jc w:val="left"/>
              <w:rPr>
                <w:szCs w:val="18"/>
              </w:rPr>
            </w:pPr>
            <w:r w:rsidRPr="00B75B77">
              <w:rPr>
                <w:szCs w:val="18"/>
              </w:rPr>
              <w:t>Retailer Name</w:t>
            </w:r>
          </w:p>
        </w:tc>
        <w:tc>
          <w:tcPr>
            <w:tcW w:w="1175" w:type="pct"/>
            <w:hideMark/>
          </w:tcPr>
          <w:p w:rsidR="00D51357" w:rsidRPr="00B75B77" w:rsidRDefault="00D51357" w:rsidP="00102BDF">
            <w:pPr>
              <w:widowControl w:val="0"/>
              <w:jc w:val="center"/>
              <w:cnfStyle w:val="100000000000" w:firstRow="1" w:lastRow="0" w:firstColumn="0" w:lastColumn="0" w:oddVBand="0" w:evenVBand="0" w:oddHBand="0" w:evenHBand="0" w:firstRowFirstColumn="0" w:firstRowLastColumn="0" w:lastRowFirstColumn="0" w:lastRowLastColumn="0"/>
              <w:rPr>
                <w:b w:val="0"/>
                <w:szCs w:val="18"/>
              </w:rPr>
            </w:pPr>
            <w:r w:rsidRPr="00B75B77">
              <w:rPr>
                <w:szCs w:val="18"/>
              </w:rPr>
              <w:t>Proportion of Total Program Bulb Sales*</w:t>
            </w:r>
          </w:p>
        </w:tc>
        <w:tc>
          <w:tcPr>
            <w:tcW w:w="1173" w:type="pct"/>
            <w:hideMark/>
          </w:tcPr>
          <w:p w:rsidR="00D51357" w:rsidRPr="00B75B77" w:rsidRDefault="00D51357" w:rsidP="00102BDF">
            <w:pPr>
              <w:widowControl w:val="0"/>
              <w:jc w:val="center"/>
              <w:cnfStyle w:val="100000000000" w:firstRow="1" w:lastRow="0" w:firstColumn="0" w:lastColumn="0" w:oddVBand="0" w:evenVBand="0" w:oddHBand="0" w:evenHBand="0" w:firstRowFirstColumn="0" w:firstRowLastColumn="0" w:lastRowFirstColumn="0" w:lastRowLastColumn="0"/>
              <w:rPr>
                <w:b w:val="0"/>
                <w:szCs w:val="18"/>
              </w:rPr>
            </w:pPr>
            <w:r w:rsidRPr="00B75B77">
              <w:rPr>
                <w:szCs w:val="18"/>
              </w:rPr>
              <w:t>Proportional Sample Number of Stores, by Program Sales</w:t>
            </w:r>
          </w:p>
        </w:tc>
        <w:tc>
          <w:tcPr>
            <w:tcW w:w="1173" w:type="pct"/>
            <w:hideMark/>
          </w:tcPr>
          <w:p w:rsidR="00D51357" w:rsidRPr="00B75B77" w:rsidRDefault="00D51357" w:rsidP="00102BDF">
            <w:pPr>
              <w:widowControl w:val="0"/>
              <w:jc w:val="center"/>
              <w:cnfStyle w:val="100000000000" w:firstRow="1" w:lastRow="0" w:firstColumn="0" w:lastColumn="0" w:oddVBand="0" w:evenVBand="0" w:oddHBand="0" w:evenHBand="0" w:firstRowFirstColumn="0" w:firstRowLastColumn="0" w:lastRowFirstColumn="0" w:lastRowLastColumn="0"/>
              <w:rPr>
                <w:b w:val="0"/>
                <w:szCs w:val="18"/>
              </w:rPr>
            </w:pPr>
            <w:r w:rsidRPr="00B75B77">
              <w:rPr>
                <w:szCs w:val="18"/>
              </w:rPr>
              <w:t>Number of Stores Visited by Evaluation Team</w:t>
            </w:r>
          </w:p>
        </w:tc>
      </w:tr>
      <w:tr w:rsidR="00D51357" w:rsidRPr="00B75B77" w:rsidTr="00102BDF">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479" w:type="pct"/>
            <w:hideMark/>
          </w:tcPr>
          <w:p w:rsidR="00D51357" w:rsidRPr="00B75B77" w:rsidRDefault="00D51357" w:rsidP="00102BDF">
            <w:pPr>
              <w:widowControl w:val="0"/>
              <w:spacing w:before="20" w:after="20"/>
              <w:jc w:val="left"/>
              <w:rPr>
                <w:bCs w:val="0"/>
                <w:color w:val="000000"/>
                <w:szCs w:val="18"/>
              </w:rPr>
            </w:pPr>
            <w:r w:rsidRPr="00B75B77">
              <w:rPr>
                <w:rFonts w:ascii="Calibri" w:hAnsi="Calibri"/>
                <w:b w:val="0"/>
                <w:bCs w:val="0"/>
                <w:color w:val="000000"/>
                <w:szCs w:val="18"/>
              </w:rPr>
              <w:t>Ace Hardware</w:t>
            </w:r>
          </w:p>
        </w:tc>
        <w:tc>
          <w:tcPr>
            <w:tcW w:w="1175" w:type="pct"/>
            <w:hideMark/>
          </w:tcPr>
          <w:p w:rsidR="00D51357" w:rsidRPr="00B75B77" w:rsidRDefault="00D51357" w:rsidP="00102BDF">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color w:val="000000"/>
                <w:szCs w:val="18"/>
              </w:rPr>
            </w:pPr>
            <w:r w:rsidRPr="00B75B77">
              <w:rPr>
                <w:rFonts w:ascii="Calibri" w:hAnsi="Calibri"/>
                <w:color w:val="000000"/>
                <w:szCs w:val="18"/>
              </w:rPr>
              <w:t>2%</w:t>
            </w:r>
          </w:p>
        </w:tc>
        <w:tc>
          <w:tcPr>
            <w:tcW w:w="1173" w:type="pct"/>
            <w:hideMark/>
          </w:tcPr>
          <w:p w:rsidR="00D51357" w:rsidRPr="00B75B77" w:rsidRDefault="00D51357" w:rsidP="00102BDF">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color w:val="000000"/>
                <w:szCs w:val="18"/>
              </w:rPr>
            </w:pPr>
            <w:r w:rsidRPr="00B75B77">
              <w:rPr>
                <w:rFonts w:ascii="Calibri" w:hAnsi="Calibri"/>
                <w:color w:val="000000"/>
                <w:szCs w:val="18"/>
              </w:rPr>
              <w:t>0.3</w:t>
            </w:r>
          </w:p>
        </w:tc>
        <w:tc>
          <w:tcPr>
            <w:tcW w:w="1173" w:type="pct"/>
            <w:hideMark/>
          </w:tcPr>
          <w:p w:rsidR="00D51357" w:rsidRPr="00B75B77" w:rsidRDefault="00D51357" w:rsidP="00102BDF">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color w:val="000000"/>
                <w:szCs w:val="18"/>
              </w:rPr>
            </w:pPr>
            <w:r w:rsidRPr="00B75B77">
              <w:rPr>
                <w:rFonts w:ascii="Calibri" w:hAnsi="Calibri"/>
                <w:color w:val="000000"/>
                <w:szCs w:val="18"/>
              </w:rPr>
              <w:t>0</w:t>
            </w:r>
          </w:p>
        </w:tc>
      </w:tr>
      <w:tr w:rsidR="00D51357" w:rsidRPr="00B75B77" w:rsidTr="00102BDF">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479" w:type="pct"/>
            <w:hideMark/>
          </w:tcPr>
          <w:p w:rsidR="00D51357" w:rsidRPr="00B75B77" w:rsidRDefault="00D51357" w:rsidP="00102BDF">
            <w:pPr>
              <w:widowControl w:val="0"/>
              <w:spacing w:before="20" w:after="20"/>
              <w:jc w:val="left"/>
              <w:rPr>
                <w:bCs w:val="0"/>
                <w:color w:val="000000"/>
                <w:szCs w:val="18"/>
              </w:rPr>
            </w:pPr>
            <w:r w:rsidRPr="00B75B77">
              <w:rPr>
                <w:rFonts w:ascii="Calibri" w:hAnsi="Calibri"/>
                <w:b w:val="0"/>
                <w:bCs w:val="0"/>
                <w:color w:val="000000"/>
                <w:szCs w:val="18"/>
              </w:rPr>
              <w:t>BJs Wholesale Club</w:t>
            </w:r>
          </w:p>
        </w:tc>
        <w:tc>
          <w:tcPr>
            <w:tcW w:w="1175" w:type="pct"/>
            <w:hideMark/>
          </w:tcPr>
          <w:p w:rsidR="00D51357" w:rsidRPr="00B75B77" w:rsidRDefault="00D51357" w:rsidP="00102BDF">
            <w:pPr>
              <w:widowControl w:val="0"/>
              <w:spacing w:before="20" w:after="20"/>
              <w:jc w:val="center"/>
              <w:cnfStyle w:val="000000010000" w:firstRow="0" w:lastRow="0" w:firstColumn="0" w:lastColumn="0" w:oddVBand="0" w:evenVBand="0" w:oddHBand="0" w:evenHBand="1" w:firstRowFirstColumn="0" w:firstRowLastColumn="0" w:lastRowFirstColumn="0" w:lastRowLastColumn="0"/>
              <w:rPr>
                <w:color w:val="000000"/>
                <w:szCs w:val="18"/>
              </w:rPr>
            </w:pPr>
            <w:r w:rsidRPr="00B75B77">
              <w:rPr>
                <w:rFonts w:ascii="Calibri" w:hAnsi="Calibri"/>
                <w:color w:val="000000"/>
                <w:szCs w:val="18"/>
              </w:rPr>
              <w:t>1%</w:t>
            </w:r>
          </w:p>
        </w:tc>
        <w:tc>
          <w:tcPr>
            <w:tcW w:w="1173" w:type="pct"/>
            <w:hideMark/>
          </w:tcPr>
          <w:p w:rsidR="00D51357" w:rsidRPr="00B75B77" w:rsidRDefault="00D51357" w:rsidP="00102BDF">
            <w:pPr>
              <w:widowControl w:val="0"/>
              <w:spacing w:before="20" w:after="20"/>
              <w:jc w:val="center"/>
              <w:cnfStyle w:val="000000010000" w:firstRow="0" w:lastRow="0" w:firstColumn="0" w:lastColumn="0" w:oddVBand="0" w:evenVBand="0" w:oddHBand="0" w:evenHBand="1" w:firstRowFirstColumn="0" w:firstRowLastColumn="0" w:lastRowFirstColumn="0" w:lastRowLastColumn="0"/>
              <w:rPr>
                <w:color w:val="000000"/>
                <w:szCs w:val="18"/>
              </w:rPr>
            </w:pPr>
            <w:r w:rsidRPr="00B75B77">
              <w:rPr>
                <w:rFonts w:ascii="Calibri" w:hAnsi="Calibri"/>
                <w:color w:val="000000"/>
                <w:szCs w:val="18"/>
              </w:rPr>
              <w:t>0.1</w:t>
            </w:r>
          </w:p>
        </w:tc>
        <w:tc>
          <w:tcPr>
            <w:tcW w:w="1173" w:type="pct"/>
            <w:hideMark/>
          </w:tcPr>
          <w:p w:rsidR="00D51357" w:rsidRPr="00B75B77" w:rsidRDefault="00D51357" w:rsidP="00102BDF">
            <w:pPr>
              <w:widowControl w:val="0"/>
              <w:spacing w:before="20" w:after="20"/>
              <w:jc w:val="center"/>
              <w:cnfStyle w:val="000000010000" w:firstRow="0" w:lastRow="0" w:firstColumn="0" w:lastColumn="0" w:oddVBand="0" w:evenVBand="0" w:oddHBand="0" w:evenHBand="1" w:firstRowFirstColumn="0" w:firstRowLastColumn="0" w:lastRowFirstColumn="0" w:lastRowLastColumn="0"/>
              <w:rPr>
                <w:color w:val="000000"/>
                <w:szCs w:val="18"/>
              </w:rPr>
            </w:pPr>
            <w:r w:rsidRPr="00B75B77">
              <w:rPr>
                <w:rFonts w:ascii="Calibri" w:hAnsi="Calibri"/>
                <w:color w:val="000000"/>
                <w:szCs w:val="18"/>
              </w:rPr>
              <w:t>0</w:t>
            </w:r>
          </w:p>
        </w:tc>
      </w:tr>
      <w:tr w:rsidR="00D51357" w:rsidRPr="00B75B77" w:rsidTr="00102BDF">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479" w:type="pct"/>
            <w:hideMark/>
          </w:tcPr>
          <w:p w:rsidR="00D51357" w:rsidRPr="00B75B77" w:rsidRDefault="00D51357" w:rsidP="00102BDF">
            <w:pPr>
              <w:widowControl w:val="0"/>
              <w:spacing w:before="20" w:after="20"/>
              <w:jc w:val="left"/>
              <w:rPr>
                <w:bCs w:val="0"/>
                <w:color w:val="000000"/>
                <w:szCs w:val="18"/>
              </w:rPr>
            </w:pPr>
            <w:r w:rsidRPr="00B75B77">
              <w:rPr>
                <w:rFonts w:ascii="Calibri" w:hAnsi="Calibri"/>
                <w:b w:val="0"/>
                <w:bCs w:val="0"/>
                <w:color w:val="000000"/>
                <w:szCs w:val="18"/>
              </w:rPr>
              <w:t>Batteries Plus</w:t>
            </w:r>
          </w:p>
        </w:tc>
        <w:tc>
          <w:tcPr>
            <w:tcW w:w="1175" w:type="pct"/>
            <w:hideMark/>
          </w:tcPr>
          <w:p w:rsidR="00D51357" w:rsidRPr="00B75B77" w:rsidRDefault="00D51357" w:rsidP="00102BDF">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color w:val="000000"/>
                <w:szCs w:val="18"/>
              </w:rPr>
            </w:pPr>
            <w:r w:rsidRPr="00B75B77">
              <w:rPr>
                <w:rFonts w:ascii="Calibri" w:hAnsi="Calibri"/>
                <w:color w:val="000000"/>
                <w:szCs w:val="18"/>
              </w:rPr>
              <w:t>0%</w:t>
            </w:r>
          </w:p>
        </w:tc>
        <w:tc>
          <w:tcPr>
            <w:tcW w:w="1173" w:type="pct"/>
            <w:hideMark/>
          </w:tcPr>
          <w:p w:rsidR="00D51357" w:rsidRPr="00B75B77" w:rsidRDefault="00D51357" w:rsidP="00102BDF">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color w:val="000000"/>
                <w:szCs w:val="18"/>
              </w:rPr>
            </w:pPr>
            <w:r w:rsidRPr="00B75B77">
              <w:rPr>
                <w:rFonts w:ascii="Calibri" w:hAnsi="Calibri"/>
                <w:color w:val="000000"/>
                <w:szCs w:val="18"/>
              </w:rPr>
              <w:t>0</w:t>
            </w:r>
          </w:p>
        </w:tc>
        <w:tc>
          <w:tcPr>
            <w:tcW w:w="1173" w:type="pct"/>
            <w:hideMark/>
          </w:tcPr>
          <w:p w:rsidR="00D51357" w:rsidRPr="00B75B77" w:rsidRDefault="00D51357" w:rsidP="00102BDF">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color w:val="000000"/>
                <w:szCs w:val="18"/>
              </w:rPr>
            </w:pPr>
            <w:r w:rsidRPr="00B75B77">
              <w:rPr>
                <w:rFonts w:ascii="Calibri" w:hAnsi="Calibri"/>
                <w:color w:val="000000"/>
                <w:szCs w:val="18"/>
              </w:rPr>
              <w:t>0</w:t>
            </w:r>
          </w:p>
        </w:tc>
      </w:tr>
      <w:tr w:rsidR="00D51357" w:rsidRPr="00B75B77" w:rsidTr="00102BDF">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479" w:type="pct"/>
            <w:hideMark/>
          </w:tcPr>
          <w:p w:rsidR="00D51357" w:rsidRPr="00B75B77" w:rsidRDefault="00D51357" w:rsidP="00102BDF">
            <w:pPr>
              <w:widowControl w:val="0"/>
              <w:spacing w:before="20" w:after="20"/>
              <w:jc w:val="left"/>
              <w:rPr>
                <w:bCs w:val="0"/>
                <w:color w:val="000000"/>
                <w:szCs w:val="18"/>
              </w:rPr>
            </w:pPr>
            <w:r w:rsidRPr="00B75B77">
              <w:rPr>
                <w:rFonts w:ascii="Calibri" w:hAnsi="Calibri"/>
                <w:b w:val="0"/>
                <w:bCs w:val="0"/>
                <w:color w:val="000000"/>
                <w:szCs w:val="18"/>
              </w:rPr>
              <w:t>Billows Electric Supply</w:t>
            </w:r>
          </w:p>
        </w:tc>
        <w:tc>
          <w:tcPr>
            <w:tcW w:w="1175" w:type="pct"/>
            <w:hideMark/>
          </w:tcPr>
          <w:p w:rsidR="00D51357" w:rsidRPr="00B75B77" w:rsidRDefault="00D51357" w:rsidP="00102BDF">
            <w:pPr>
              <w:widowControl w:val="0"/>
              <w:spacing w:before="20" w:after="20"/>
              <w:jc w:val="center"/>
              <w:cnfStyle w:val="000000010000" w:firstRow="0" w:lastRow="0" w:firstColumn="0" w:lastColumn="0" w:oddVBand="0" w:evenVBand="0" w:oddHBand="0" w:evenHBand="1" w:firstRowFirstColumn="0" w:firstRowLastColumn="0" w:lastRowFirstColumn="0" w:lastRowLastColumn="0"/>
              <w:rPr>
                <w:color w:val="000000"/>
                <w:szCs w:val="18"/>
              </w:rPr>
            </w:pPr>
            <w:r w:rsidRPr="00B75B77">
              <w:rPr>
                <w:rFonts w:ascii="Calibri" w:hAnsi="Calibri"/>
                <w:color w:val="000000"/>
                <w:szCs w:val="18"/>
              </w:rPr>
              <w:t>0%</w:t>
            </w:r>
          </w:p>
        </w:tc>
        <w:tc>
          <w:tcPr>
            <w:tcW w:w="1173" w:type="pct"/>
            <w:hideMark/>
          </w:tcPr>
          <w:p w:rsidR="00D51357" w:rsidRPr="00B75B77" w:rsidRDefault="00D51357" w:rsidP="00102BDF">
            <w:pPr>
              <w:widowControl w:val="0"/>
              <w:spacing w:before="20" w:after="20"/>
              <w:jc w:val="center"/>
              <w:cnfStyle w:val="000000010000" w:firstRow="0" w:lastRow="0" w:firstColumn="0" w:lastColumn="0" w:oddVBand="0" w:evenVBand="0" w:oddHBand="0" w:evenHBand="1" w:firstRowFirstColumn="0" w:firstRowLastColumn="0" w:lastRowFirstColumn="0" w:lastRowLastColumn="0"/>
              <w:rPr>
                <w:color w:val="000000"/>
                <w:szCs w:val="18"/>
              </w:rPr>
            </w:pPr>
            <w:r w:rsidRPr="00B75B77">
              <w:rPr>
                <w:rFonts w:ascii="Calibri" w:hAnsi="Calibri"/>
                <w:color w:val="000000"/>
                <w:szCs w:val="18"/>
              </w:rPr>
              <w:t>0</w:t>
            </w:r>
          </w:p>
        </w:tc>
        <w:tc>
          <w:tcPr>
            <w:tcW w:w="1173" w:type="pct"/>
            <w:hideMark/>
          </w:tcPr>
          <w:p w:rsidR="00D51357" w:rsidRPr="00B75B77" w:rsidRDefault="00D51357" w:rsidP="00102BDF">
            <w:pPr>
              <w:widowControl w:val="0"/>
              <w:spacing w:before="20" w:after="20"/>
              <w:jc w:val="center"/>
              <w:cnfStyle w:val="000000010000" w:firstRow="0" w:lastRow="0" w:firstColumn="0" w:lastColumn="0" w:oddVBand="0" w:evenVBand="0" w:oddHBand="0" w:evenHBand="1" w:firstRowFirstColumn="0" w:firstRowLastColumn="0" w:lastRowFirstColumn="0" w:lastRowLastColumn="0"/>
              <w:rPr>
                <w:color w:val="000000"/>
                <w:szCs w:val="18"/>
              </w:rPr>
            </w:pPr>
            <w:r w:rsidRPr="00B75B77">
              <w:rPr>
                <w:rFonts w:ascii="Calibri" w:hAnsi="Calibri"/>
                <w:color w:val="000000"/>
                <w:szCs w:val="18"/>
              </w:rPr>
              <w:t>0</w:t>
            </w:r>
          </w:p>
        </w:tc>
      </w:tr>
      <w:tr w:rsidR="00D51357" w:rsidRPr="00B75B77" w:rsidTr="00102BDF">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479" w:type="pct"/>
            <w:hideMark/>
          </w:tcPr>
          <w:p w:rsidR="00D51357" w:rsidRPr="00B75B77" w:rsidRDefault="00D51357" w:rsidP="00102BDF">
            <w:pPr>
              <w:widowControl w:val="0"/>
              <w:spacing w:before="20" w:after="20"/>
              <w:jc w:val="left"/>
              <w:rPr>
                <w:bCs w:val="0"/>
                <w:color w:val="000000"/>
                <w:szCs w:val="18"/>
              </w:rPr>
            </w:pPr>
            <w:r w:rsidRPr="00B75B77">
              <w:rPr>
                <w:rFonts w:ascii="Calibri" w:hAnsi="Calibri"/>
                <w:b w:val="0"/>
                <w:bCs w:val="0"/>
                <w:color w:val="000000"/>
                <w:szCs w:val="18"/>
              </w:rPr>
              <w:t>City Electric Supply</w:t>
            </w:r>
          </w:p>
        </w:tc>
        <w:tc>
          <w:tcPr>
            <w:tcW w:w="1175" w:type="pct"/>
            <w:hideMark/>
          </w:tcPr>
          <w:p w:rsidR="00D51357" w:rsidRPr="00B75B77" w:rsidRDefault="00D51357" w:rsidP="00102BDF">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color w:val="000000"/>
                <w:szCs w:val="18"/>
              </w:rPr>
            </w:pPr>
            <w:r w:rsidRPr="00B75B77">
              <w:rPr>
                <w:rFonts w:ascii="Calibri" w:hAnsi="Calibri"/>
                <w:color w:val="000000"/>
                <w:szCs w:val="18"/>
              </w:rPr>
              <w:t>0%</w:t>
            </w:r>
          </w:p>
        </w:tc>
        <w:tc>
          <w:tcPr>
            <w:tcW w:w="1173" w:type="pct"/>
            <w:hideMark/>
          </w:tcPr>
          <w:p w:rsidR="00D51357" w:rsidRPr="00B75B77" w:rsidRDefault="00D51357" w:rsidP="00102BDF">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color w:val="000000"/>
                <w:szCs w:val="18"/>
              </w:rPr>
            </w:pPr>
            <w:r w:rsidRPr="00B75B77">
              <w:rPr>
                <w:rFonts w:ascii="Calibri" w:hAnsi="Calibri"/>
                <w:color w:val="000000"/>
                <w:szCs w:val="18"/>
              </w:rPr>
              <w:t>0</w:t>
            </w:r>
          </w:p>
        </w:tc>
        <w:tc>
          <w:tcPr>
            <w:tcW w:w="1173" w:type="pct"/>
            <w:hideMark/>
          </w:tcPr>
          <w:p w:rsidR="00D51357" w:rsidRPr="00B75B77" w:rsidRDefault="00D51357" w:rsidP="00102BDF">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color w:val="000000"/>
                <w:szCs w:val="18"/>
              </w:rPr>
            </w:pPr>
            <w:r w:rsidRPr="00B75B77">
              <w:rPr>
                <w:rFonts w:ascii="Calibri" w:hAnsi="Calibri"/>
                <w:color w:val="000000"/>
                <w:szCs w:val="18"/>
              </w:rPr>
              <w:t>0</w:t>
            </w:r>
          </w:p>
        </w:tc>
      </w:tr>
      <w:tr w:rsidR="00D51357" w:rsidRPr="00B75B77" w:rsidTr="00102BDF">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479" w:type="pct"/>
            <w:hideMark/>
          </w:tcPr>
          <w:p w:rsidR="00D51357" w:rsidRPr="00B75B77" w:rsidRDefault="00D51357" w:rsidP="00102BDF">
            <w:pPr>
              <w:widowControl w:val="0"/>
              <w:spacing w:before="20" w:after="20"/>
              <w:jc w:val="left"/>
              <w:rPr>
                <w:bCs w:val="0"/>
                <w:color w:val="000000"/>
                <w:szCs w:val="18"/>
              </w:rPr>
            </w:pPr>
            <w:r w:rsidRPr="00B75B77">
              <w:rPr>
                <w:rFonts w:ascii="Calibri" w:hAnsi="Calibri"/>
                <w:b w:val="0"/>
                <w:bCs w:val="0"/>
                <w:color w:val="000000"/>
                <w:szCs w:val="18"/>
              </w:rPr>
              <w:t>Colonial Electric</w:t>
            </w:r>
          </w:p>
        </w:tc>
        <w:tc>
          <w:tcPr>
            <w:tcW w:w="1175" w:type="pct"/>
            <w:hideMark/>
          </w:tcPr>
          <w:p w:rsidR="00D51357" w:rsidRPr="00B75B77" w:rsidRDefault="00D51357" w:rsidP="00102BDF">
            <w:pPr>
              <w:widowControl w:val="0"/>
              <w:spacing w:before="20" w:after="20"/>
              <w:jc w:val="center"/>
              <w:cnfStyle w:val="000000010000" w:firstRow="0" w:lastRow="0" w:firstColumn="0" w:lastColumn="0" w:oddVBand="0" w:evenVBand="0" w:oddHBand="0" w:evenHBand="1" w:firstRowFirstColumn="0" w:firstRowLastColumn="0" w:lastRowFirstColumn="0" w:lastRowLastColumn="0"/>
              <w:rPr>
                <w:color w:val="000000"/>
                <w:szCs w:val="18"/>
              </w:rPr>
            </w:pPr>
            <w:r w:rsidRPr="00B75B77">
              <w:rPr>
                <w:rFonts w:ascii="Calibri" w:hAnsi="Calibri"/>
                <w:color w:val="000000"/>
                <w:szCs w:val="18"/>
              </w:rPr>
              <w:t>0%</w:t>
            </w:r>
          </w:p>
        </w:tc>
        <w:tc>
          <w:tcPr>
            <w:tcW w:w="1173" w:type="pct"/>
            <w:hideMark/>
          </w:tcPr>
          <w:p w:rsidR="00D51357" w:rsidRPr="00B75B77" w:rsidRDefault="00D51357" w:rsidP="00102BDF">
            <w:pPr>
              <w:widowControl w:val="0"/>
              <w:spacing w:before="20" w:after="20"/>
              <w:jc w:val="center"/>
              <w:cnfStyle w:val="000000010000" w:firstRow="0" w:lastRow="0" w:firstColumn="0" w:lastColumn="0" w:oddVBand="0" w:evenVBand="0" w:oddHBand="0" w:evenHBand="1" w:firstRowFirstColumn="0" w:firstRowLastColumn="0" w:lastRowFirstColumn="0" w:lastRowLastColumn="0"/>
              <w:rPr>
                <w:color w:val="000000"/>
                <w:szCs w:val="18"/>
              </w:rPr>
            </w:pPr>
            <w:r w:rsidRPr="00B75B77">
              <w:rPr>
                <w:rFonts w:ascii="Calibri" w:hAnsi="Calibri"/>
                <w:color w:val="000000"/>
                <w:szCs w:val="18"/>
              </w:rPr>
              <w:t>0</w:t>
            </w:r>
          </w:p>
        </w:tc>
        <w:tc>
          <w:tcPr>
            <w:tcW w:w="1173" w:type="pct"/>
            <w:hideMark/>
          </w:tcPr>
          <w:p w:rsidR="00D51357" w:rsidRPr="00B75B77" w:rsidRDefault="00D51357" w:rsidP="00102BDF">
            <w:pPr>
              <w:widowControl w:val="0"/>
              <w:spacing w:before="20" w:after="20"/>
              <w:jc w:val="center"/>
              <w:cnfStyle w:val="000000010000" w:firstRow="0" w:lastRow="0" w:firstColumn="0" w:lastColumn="0" w:oddVBand="0" w:evenVBand="0" w:oddHBand="0" w:evenHBand="1" w:firstRowFirstColumn="0" w:firstRowLastColumn="0" w:lastRowFirstColumn="0" w:lastRowLastColumn="0"/>
              <w:rPr>
                <w:color w:val="000000"/>
                <w:szCs w:val="18"/>
              </w:rPr>
            </w:pPr>
            <w:r w:rsidRPr="00B75B77">
              <w:rPr>
                <w:rFonts w:ascii="Calibri" w:hAnsi="Calibri"/>
                <w:color w:val="000000"/>
                <w:szCs w:val="18"/>
              </w:rPr>
              <w:t>0</w:t>
            </w:r>
          </w:p>
        </w:tc>
      </w:tr>
      <w:tr w:rsidR="00D51357" w:rsidRPr="00B75B77" w:rsidTr="00102BDF">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479" w:type="pct"/>
            <w:hideMark/>
          </w:tcPr>
          <w:p w:rsidR="00D51357" w:rsidRPr="00B75B77" w:rsidRDefault="00D51357" w:rsidP="00102BDF">
            <w:pPr>
              <w:widowControl w:val="0"/>
              <w:spacing w:before="20" w:after="20"/>
              <w:jc w:val="left"/>
              <w:rPr>
                <w:bCs w:val="0"/>
                <w:color w:val="000000"/>
                <w:szCs w:val="18"/>
              </w:rPr>
            </w:pPr>
            <w:r w:rsidRPr="00B75B77">
              <w:rPr>
                <w:rFonts w:ascii="Calibri" w:hAnsi="Calibri"/>
                <w:b w:val="0"/>
                <w:bCs w:val="0"/>
                <w:color w:val="000000"/>
                <w:szCs w:val="18"/>
              </w:rPr>
              <w:t>Costco</w:t>
            </w:r>
          </w:p>
        </w:tc>
        <w:tc>
          <w:tcPr>
            <w:tcW w:w="1175" w:type="pct"/>
            <w:hideMark/>
          </w:tcPr>
          <w:p w:rsidR="00D51357" w:rsidRPr="00B75B77" w:rsidRDefault="00D51357" w:rsidP="00102BDF">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color w:val="000000"/>
                <w:szCs w:val="18"/>
              </w:rPr>
            </w:pPr>
            <w:r w:rsidRPr="00B75B77">
              <w:rPr>
                <w:rFonts w:ascii="Calibri" w:hAnsi="Calibri"/>
                <w:color w:val="000000"/>
                <w:szCs w:val="18"/>
              </w:rPr>
              <w:t>15%</w:t>
            </w:r>
          </w:p>
        </w:tc>
        <w:tc>
          <w:tcPr>
            <w:tcW w:w="1173" w:type="pct"/>
            <w:hideMark/>
          </w:tcPr>
          <w:p w:rsidR="00D51357" w:rsidRPr="00B75B77" w:rsidRDefault="00D51357" w:rsidP="00102BDF">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color w:val="000000"/>
                <w:szCs w:val="18"/>
              </w:rPr>
            </w:pPr>
            <w:r w:rsidRPr="00B75B77">
              <w:rPr>
                <w:rFonts w:ascii="Calibri" w:hAnsi="Calibri"/>
                <w:color w:val="000000"/>
                <w:szCs w:val="18"/>
              </w:rPr>
              <w:t>0.7</w:t>
            </w:r>
          </w:p>
        </w:tc>
        <w:tc>
          <w:tcPr>
            <w:tcW w:w="1173" w:type="pct"/>
            <w:hideMark/>
          </w:tcPr>
          <w:p w:rsidR="00D51357" w:rsidRPr="00B75B77" w:rsidRDefault="00D51357" w:rsidP="00102BDF">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color w:val="000000"/>
                <w:szCs w:val="18"/>
              </w:rPr>
            </w:pPr>
            <w:r w:rsidRPr="00B75B77">
              <w:rPr>
                <w:rFonts w:ascii="Calibri" w:hAnsi="Calibri"/>
                <w:color w:val="000000"/>
                <w:szCs w:val="18"/>
              </w:rPr>
              <w:t>0</w:t>
            </w:r>
          </w:p>
        </w:tc>
      </w:tr>
      <w:tr w:rsidR="00D51357" w:rsidRPr="00B75B77" w:rsidTr="00102BDF">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479" w:type="pct"/>
            <w:hideMark/>
          </w:tcPr>
          <w:p w:rsidR="00D51357" w:rsidRPr="00B75B77" w:rsidRDefault="00D51357" w:rsidP="00102BDF">
            <w:pPr>
              <w:widowControl w:val="0"/>
              <w:spacing w:before="20" w:after="20"/>
              <w:jc w:val="left"/>
              <w:rPr>
                <w:bCs w:val="0"/>
                <w:color w:val="000000"/>
                <w:szCs w:val="18"/>
              </w:rPr>
            </w:pPr>
            <w:r w:rsidRPr="00B75B77">
              <w:rPr>
                <w:rFonts w:ascii="Calibri" w:hAnsi="Calibri"/>
                <w:b w:val="0"/>
                <w:bCs w:val="0"/>
                <w:color w:val="000000"/>
                <w:szCs w:val="18"/>
              </w:rPr>
              <w:t>Denney Electric</w:t>
            </w:r>
          </w:p>
        </w:tc>
        <w:tc>
          <w:tcPr>
            <w:tcW w:w="1175" w:type="pct"/>
            <w:hideMark/>
          </w:tcPr>
          <w:p w:rsidR="00D51357" w:rsidRPr="00B75B77" w:rsidRDefault="00D51357" w:rsidP="00102BDF">
            <w:pPr>
              <w:widowControl w:val="0"/>
              <w:spacing w:before="20" w:after="20"/>
              <w:jc w:val="center"/>
              <w:cnfStyle w:val="000000010000" w:firstRow="0" w:lastRow="0" w:firstColumn="0" w:lastColumn="0" w:oddVBand="0" w:evenVBand="0" w:oddHBand="0" w:evenHBand="1" w:firstRowFirstColumn="0" w:firstRowLastColumn="0" w:lastRowFirstColumn="0" w:lastRowLastColumn="0"/>
              <w:rPr>
                <w:color w:val="000000"/>
                <w:szCs w:val="18"/>
              </w:rPr>
            </w:pPr>
            <w:r w:rsidRPr="00B75B77">
              <w:rPr>
                <w:rFonts w:ascii="Calibri" w:hAnsi="Calibri"/>
                <w:color w:val="000000"/>
                <w:szCs w:val="18"/>
              </w:rPr>
              <w:t>1%</w:t>
            </w:r>
          </w:p>
        </w:tc>
        <w:tc>
          <w:tcPr>
            <w:tcW w:w="1173" w:type="pct"/>
            <w:hideMark/>
          </w:tcPr>
          <w:p w:rsidR="00D51357" w:rsidRPr="00B75B77" w:rsidRDefault="00D51357" w:rsidP="00102BDF">
            <w:pPr>
              <w:widowControl w:val="0"/>
              <w:spacing w:before="20" w:after="20"/>
              <w:jc w:val="center"/>
              <w:cnfStyle w:val="000000010000" w:firstRow="0" w:lastRow="0" w:firstColumn="0" w:lastColumn="0" w:oddVBand="0" w:evenVBand="0" w:oddHBand="0" w:evenHBand="1" w:firstRowFirstColumn="0" w:firstRowLastColumn="0" w:lastRowFirstColumn="0" w:lastRowLastColumn="0"/>
              <w:rPr>
                <w:color w:val="000000"/>
                <w:szCs w:val="18"/>
              </w:rPr>
            </w:pPr>
            <w:r w:rsidRPr="00B75B77">
              <w:rPr>
                <w:rFonts w:ascii="Calibri" w:hAnsi="Calibri"/>
                <w:color w:val="000000"/>
                <w:szCs w:val="18"/>
              </w:rPr>
              <w:t>0</w:t>
            </w:r>
          </w:p>
        </w:tc>
        <w:tc>
          <w:tcPr>
            <w:tcW w:w="1173" w:type="pct"/>
            <w:hideMark/>
          </w:tcPr>
          <w:p w:rsidR="00D51357" w:rsidRPr="00B75B77" w:rsidRDefault="00D51357" w:rsidP="00102BDF">
            <w:pPr>
              <w:widowControl w:val="0"/>
              <w:spacing w:before="20" w:after="20"/>
              <w:jc w:val="center"/>
              <w:cnfStyle w:val="000000010000" w:firstRow="0" w:lastRow="0" w:firstColumn="0" w:lastColumn="0" w:oddVBand="0" w:evenVBand="0" w:oddHBand="0" w:evenHBand="1" w:firstRowFirstColumn="0" w:firstRowLastColumn="0" w:lastRowFirstColumn="0" w:lastRowLastColumn="0"/>
              <w:rPr>
                <w:color w:val="000000"/>
                <w:szCs w:val="18"/>
              </w:rPr>
            </w:pPr>
            <w:r w:rsidRPr="00B75B77">
              <w:rPr>
                <w:rFonts w:ascii="Calibri" w:hAnsi="Calibri"/>
                <w:color w:val="000000"/>
                <w:szCs w:val="18"/>
              </w:rPr>
              <w:t>1</w:t>
            </w:r>
          </w:p>
        </w:tc>
      </w:tr>
      <w:tr w:rsidR="00D51357" w:rsidRPr="00B75B77" w:rsidTr="00102BDF">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479" w:type="pct"/>
            <w:hideMark/>
          </w:tcPr>
          <w:p w:rsidR="00D51357" w:rsidRPr="00B75B77" w:rsidRDefault="00D51357" w:rsidP="00102BDF">
            <w:pPr>
              <w:widowControl w:val="0"/>
              <w:spacing w:before="20" w:after="20"/>
              <w:jc w:val="left"/>
              <w:rPr>
                <w:bCs w:val="0"/>
                <w:color w:val="000000"/>
                <w:szCs w:val="18"/>
              </w:rPr>
            </w:pPr>
            <w:r w:rsidRPr="00B75B77">
              <w:rPr>
                <w:rFonts w:ascii="Calibri" w:hAnsi="Calibri"/>
                <w:b w:val="0"/>
                <w:bCs w:val="0"/>
                <w:color w:val="000000"/>
                <w:szCs w:val="18"/>
              </w:rPr>
              <w:t>Do it Best</w:t>
            </w:r>
          </w:p>
        </w:tc>
        <w:tc>
          <w:tcPr>
            <w:tcW w:w="1175" w:type="pct"/>
            <w:hideMark/>
          </w:tcPr>
          <w:p w:rsidR="00D51357" w:rsidRPr="00B75B77" w:rsidRDefault="00D51357" w:rsidP="00102BDF">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color w:val="000000"/>
                <w:szCs w:val="18"/>
              </w:rPr>
            </w:pPr>
            <w:r w:rsidRPr="00B75B77">
              <w:rPr>
                <w:rFonts w:ascii="Calibri" w:hAnsi="Calibri"/>
                <w:color w:val="000000"/>
                <w:szCs w:val="18"/>
              </w:rPr>
              <w:t>0%</w:t>
            </w:r>
          </w:p>
        </w:tc>
        <w:tc>
          <w:tcPr>
            <w:tcW w:w="1173" w:type="pct"/>
            <w:hideMark/>
          </w:tcPr>
          <w:p w:rsidR="00D51357" w:rsidRPr="00B75B77" w:rsidRDefault="00D51357" w:rsidP="00102BDF">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color w:val="000000"/>
                <w:szCs w:val="18"/>
              </w:rPr>
            </w:pPr>
            <w:r w:rsidRPr="00B75B77">
              <w:rPr>
                <w:rFonts w:ascii="Calibri" w:hAnsi="Calibri"/>
                <w:color w:val="000000"/>
                <w:szCs w:val="18"/>
              </w:rPr>
              <w:t>0</w:t>
            </w:r>
          </w:p>
        </w:tc>
        <w:tc>
          <w:tcPr>
            <w:tcW w:w="1173" w:type="pct"/>
            <w:hideMark/>
          </w:tcPr>
          <w:p w:rsidR="00D51357" w:rsidRPr="00B75B77" w:rsidRDefault="00D51357" w:rsidP="00102BDF">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color w:val="000000"/>
                <w:szCs w:val="18"/>
              </w:rPr>
            </w:pPr>
            <w:r w:rsidRPr="00B75B77">
              <w:rPr>
                <w:rFonts w:ascii="Calibri" w:hAnsi="Calibri"/>
                <w:color w:val="000000"/>
                <w:szCs w:val="18"/>
              </w:rPr>
              <w:t>0</w:t>
            </w:r>
          </w:p>
        </w:tc>
      </w:tr>
      <w:tr w:rsidR="00D51357" w:rsidRPr="00B75B77" w:rsidTr="00102BDF">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479" w:type="pct"/>
            <w:hideMark/>
          </w:tcPr>
          <w:p w:rsidR="00D51357" w:rsidRPr="00B75B77" w:rsidRDefault="00D51357" w:rsidP="00102BDF">
            <w:pPr>
              <w:widowControl w:val="0"/>
              <w:spacing w:before="20" w:after="20"/>
              <w:jc w:val="left"/>
              <w:rPr>
                <w:bCs w:val="0"/>
                <w:color w:val="000000"/>
                <w:szCs w:val="18"/>
              </w:rPr>
            </w:pPr>
            <w:r w:rsidRPr="00B75B77">
              <w:rPr>
                <w:rFonts w:ascii="Calibri" w:hAnsi="Calibri"/>
                <w:b w:val="0"/>
                <w:bCs w:val="0"/>
                <w:color w:val="000000"/>
                <w:szCs w:val="18"/>
              </w:rPr>
              <w:t>Dollar Tree</w:t>
            </w:r>
          </w:p>
        </w:tc>
        <w:tc>
          <w:tcPr>
            <w:tcW w:w="1175" w:type="pct"/>
            <w:hideMark/>
          </w:tcPr>
          <w:p w:rsidR="00D51357" w:rsidRPr="00B75B77" w:rsidRDefault="00D51357" w:rsidP="00102BDF">
            <w:pPr>
              <w:widowControl w:val="0"/>
              <w:spacing w:before="20" w:after="20"/>
              <w:jc w:val="center"/>
              <w:cnfStyle w:val="000000010000" w:firstRow="0" w:lastRow="0" w:firstColumn="0" w:lastColumn="0" w:oddVBand="0" w:evenVBand="0" w:oddHBand="0" w:evenHBand="1" w:firstRowFirstColumn="0" w:firstRowLastColumn="0" w:lastRowFirstColumn="0" w:lastRowLastColumn="0"/>
              <w:rPr>
                <w:color w:val="000000"/>
                <w:szCs w:val="18"/>
              </w:rPr>
            </w:pPr>
            <w:r w:rsidRPr="00B75B77">
              <w:rPr>
                <w:rFonts w:ascii="Calibri" w:hAnsi="Calibri"/>
                <w:color w:val="000000"/>
                <w:szCs w:val="18"/>
              </w:rPr>
              <w:t>1%</w:t>
            </w:r>
          </w:p>
        </w:tc>
        <w:tc>
          <w:tcPr>
            <w:tcW w:w="1173" w:type="pct"/>
            <w:hideMark/>
          </w:tcPr>
          <w:p w:rsidR="00D51357" w:rsidRPr="00B75B77" w:rsidRDefault="00D51357" w:rsidP="00102BDF">
            <w:pPr>
              <w:widowControl w:val="0"/>
              <w:spacing w:before="20" w:after="20"/>
              <w:jc w:val="center"/>
              <w:cnfStyle w:val="000000010000" w:firstRow="0" w:lastRow="0" w:firstColumn="0" w:lastColumn="0" w:oddVBand="0" w:evenVBand="0" w:oddHBand="0" w:evenHBand="1" w:firstRowFirstColumn="0" w:firstRowLastColumn="0" w:lastRowFirstColumn="0" w:lastRowLastColumn="0"/>
              <w:rPr>
                <w:color w:val="000000"/>
                <w:szCs w:val="18"/>
              </w:rPr>
            </w:pPr>
            <w:r w:rsidRPr="00B75B77">
              <w:rPr>
                <w:rFonts w:ascii="Calibri" w:hAnsi="Calibri"/>
                <w:color w:val="000000"/>
                <w:szCs w:val="18"/>
              </w:rPr>
              <w:t>0.5</w:t>
            </w:r>
          </w:p>
        </w:tc>
        <w:tc>
          <w:tcPr>
            <w:tcW w:w="1173" w:type="pct"/>
            <w:hideMark/>
          </w:tcPr>
          <w:p w:rsidR="00D51357" w:rsidRPr="00B75B77" w:rsidRDefault="00D51357" w:rsidP="00102BDF">
            <w:pPr>
              <w:widowControl w:val="0"/>
              <w:spacing w:before="20" w:after="20"/>
              <w:jc w:val="center"/>
              <w:cnfStyle w:val="000000010000" w:firstRow="0" w:lastRow="0" w:firstColumn="0" w:lastColumn="0" w:oddVBand="0" w:evenVBand="0" w:oddHBand="0" w:evenHBand="1" w:firstRowFirstColumn="0" w:firstRowLastColumn="0" w:lastRowFirstColumn="0" w:lastRowLastColumn="0"/>
              <w:rPr>
                <w:color w:val="000000"/>
                <w:szCs w:val="18"/>
              </w:rPr>
            </w:pPr>
            <w:r w:rsidRPr="00B75B77">
              <w:rPr>
                <w:rFonts w:ascii="Calibri" w:hAnsi="Calibri"/>
                <w:color w:val="000000"/>
                <w:szCs w:val="18"/>
              </w:rPr>
              <w:t>0</w:t>
            </w:r>
          </w:p>
        </w:tc>
      </w:tr>
      <w:tr w:rsidR="00D51357" w:rsidRPr="00B75B77" w:rsidTr="00102BDF">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479" w:type="pct"/>
            <w:hideMark/>
          </w:tcPr>
          <w:p w:rsidR="00D51357" w:rsidRPr="00B75B77" w:rsidRDefault="00D51357" w:rsidP="00102BDF">
            <w:pPr>
              <w:widowControl w:val="0"/>
              <w:spacing w:before="20" w:after="20"/>
              <w:jc w:val="left"/>
              <w:rPr>
                <w:bCs w:val="0"/>
                <w:color w:val="000000"/>
                <w:szCs w:val="18"/>
              </w:rPr>
            </w:pPr>
            <w:r w:rsidRPr="00B75B77">
              <w:rPr>
                <w:rFonts w:ascii="Calibri" w:hAnsi="Calibri"/>
                <w:b w:val="0"/>
                <w:bCs w:val="0"/>
                <w:color w:val="000000"/>
                <w:szCs w:val="18"/>
              </w:rPr>
              <w:t>Family Dollar</w:t>
            </w:r>
          </w:p>
        </w:tc>
        <w:tc>
          <w:tcPr>
            <w:tcW w:w="1175" w:type="pct"/>
            <w:hideMark/>
          </w:tcPr>
          <w:p w:rsidR="00D51357" w:rsidRPr="00B75B77" w:rsidRDefault="00D51357" w:rsidP="00102BDF">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color w:val="000000"/>
                <w:szCs w:val="18"/>
              </w:rPr>
            </w:pPr>
            <w:r w:rsidRPr="00B75B77">
              <w:rPr>
                <w:rFonts w:ascii="Calibri" w:hAnsi="Calibri"/>
                <w:color w:val="000000"/>
                <w:szCs w:val="18"/>
              </w:rPr>
              <w:t>2%</w:t>
            </w:r>
          </w:p>
        </w:tc>
        <w:tc>
          <w:tcPr>
            <w:tcW w:w="1173" w:type="pct"/>
            <w:hideMark/>
          </w:tcPr>
          <w:p w:rsidR="00D51357" w:rsidRPr="00B75B77" w:rsidRDefault="00D51357" w:rsidP="00102BDF">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color w:val="000000"/>
                <w:szCs w:val="18"/>
              </w:rPr>
            </w:pPr>
            <w:r w:rsidRPr="00B75B77">
              <w:rPr>
                <w:rFonts w:ascii="Calibri" w:hAnsi="Calibri"/>
                <w:color w:val="000000"/>
                <w:szCs w:val="18"/>
              </w:rPr>
              <w:t>1.3</w:t>
            </w:r>
          </w:p>
        </w:tc>
        <w:tc>
          <w:tcPr>
            <w:tcW w:w="1173" w:type="pct"/>
            <w:hideMark/>
          </w:tcPr>
          <w:p w:rsidR="00D51357" w:rsidRPr="00B75B77" w:rsidRDefault="00D51357" w:rsidP="00102BDF">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color w:val="000000"/>
                <w:szCs w:val="18"/>
              </w:rPr>
            </w:pPr>
            <w:r w:rsidRPr="00B75B77">
              <w:rPr>
                <w:rFonts w:ascii="Calibri" w:hAnsi="Calibri"/>
                <w:color w:val="000000"/>
                <w:szCs w:val="18"/>
              </w:rPr>
              <w:t>0</w:t>
            </w:r>
          </w:p>
        </w:tc>
      </w:tr>
      <w:tr w:rsidR="00D51357" w:rsidRPr="00B75B77" w:rsidTr="00102BDF">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479" w:type="pct"/>
            <w:hideMark/>
          </w:tcPr>
          <w:p w:rsidR="00D51357" w:rsidRPr="00B75B77" w:rsidRDefault="00D51357" w:rsidP="00102BDF">
            <w:pPr>
              <w:widowControl w:val="0"/>
              <w:spacing w:before="20" w:after="20"/>
              <w:jc w:val="left"/>
              <w:rPr>
                <w:bCs w:val="0"/>
                <w:color w:val="000000"/>
                <w:szCs w:val="18"/>
              </w:rPr>
            </w:pPr>
            <w:r w:rsidRPr="00B75B77">
              <w:rPr>
                <w:rFonts w:ascii="Calibri" w:hAnsi="Calibri"/>
                <w:b w:val="0"/>
                <w:bCs w:val="0"/>
                <w:color w:val="000000"/>
                <w:szCs w:val="18"/>
              </w:rPr>
              <w:t>Giant Food Stores</w:t>
            </w:r>
          </w:p>
        </w:tc>
        <w:tc>
          <w:tcPr>
            <w:tcW w:w="1175" w:type="pct"/>
            <w:hideMark/>
          </w:tcPr>
          <w:p w:rsidR="00D51357" w:rsidRPr="00B75B77" w:rsidRDefault="00D51357" w:rsidP="00102BDF">
            <w:pPr>
              <w:widowControl w:val="0"/>
              <w:spacing w:before="20" w:after="20"/>
              <w:jc w:val="center"/>
              <w:cnfStyle w:val="000000010000" w:firstRow="0" w:lastRow="0" w:firstColumn="0" w:lastColumn="0" w:oddVBand="0" w:evenVBand="0" w:oddHBand="0" w:evenHBand="1" w:firstRowFirstColumn="0" w:firstRowLastColumn="0" w:lastRowFirstColumn="0" w:lastRowLastColumn="0"/>
              <w:rPr>
                <w:color w:val="000000"/>
                <w:szCs w:val="18"/>
              </w:rPr>
            </w:pPr>
            <w:r w:rsidRPr="00B75B77">
              <w:rPr>
                <w:rFonts w:ascii="Calibri" w:hAnsi="Calibri"/>
                <w:color w:val="000000"/>
                <w:szCs w:val="18"/>
              </w:rPr>
              <w:t>0%</w:t>
            </w:r>
          </w:p>
        </w:tc>
        <w:tc>
          <w:tcPr>
            <w:tcW w:w="1173" w:type="pct"/>
            <w:hideMark/>
          </w:tcPr>
          <w:p w:rsidR="00D51357" w:rsidRPr="00B75B77" w:rsidRDefault="00D51357" w:rsidP="00102BDF">
            <w:pPr>
              <w:widowControl w:val="0"/>
              <w:spacing w:before="20" w:after="20"/>
              <w:jc w:val="center"/>
              <w:cnfStyle w:val="000000010000" w:firstRow="0" w:lastRow="0" w:firstColumn="0" w:lastColumn="0" w:oddVBand="0" w:evenVBand="0" w:oddHBand="0" w:evenHBand="1" w:firstRowFirstColumn="0" w:firstRowLastColumn="0" w:lastRowFirstColumn="0" w:lastRowLastColumn="0"/>
              <w:rPr>
                <w:color w:val="000000"/>
                <w:szCs w:val="18"/>
              </w:rPr>
            </w:pPr>
            <w:r w:rsidRPr="00B75B77">
              <w:rPr>
                <w:rFonts w:ascii="Calibri" w:hAnsi="Calibri"/>
                <w:color w:val="000000"/>
                <w:szCs w:val="18"/>
              </w:rPr>
              <w:t>0.1</w:t>
            </w:r>
          </w:p>
        </w:tc>
        <w:tc>
          <w:tcPr>
            <w:tcW w:w="1173" w:type="pct"/>
            <w:hideMark/>
          </w:tcPr>
          <w:p w:rsidR="00D51357" w:rsidRPr="00B75B77" w:rsidRDefault="00D51357" w:rsidP="00102BDF">
            <w:pPr>
              <w:widowControl w:val="0"/>
              <w:spacing w:before="20" w:after="20"/>
              <w:jc w:val="center"/>
              <w:cnfStyle w:val="000000010000" w:firstRow="0" w:lastRow="0" w:firstColumn="0" w:lastColumn="0" w:oddVBand="0" w:evenVBand="0" w:oddHBand="0" w:evenHBand="1" w:firstRowFirstColumn="0" w:firstRowLastColumn="0" w:lastRowFirstColumn="0" w:lastRowLastColumn="0"/>
              <w:rPr>
                <w:color w:val="000000"/>
                <w:szCs w:val="18"/>
              </w:rPr>
            </w:pPr>
            <w:r w:rsidRPr="00B75B77">
              <w:rPr>
                <w:rFonts w:ascii="Calibri" w:hAnsi="Calibri"/>
                <w:color w:val="000000"/>
                <w:szCs w:val="18"/>
              </w:rPr>
              <w:t>0</w:t>
            </w:r>
          </w:p>
        </w:tc>
      </w:tr>
      <w:tr w:rsidR="00D51357" w:rsidRPr="00B75B77" w:rsidTr="00102BDF">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479" w:type="pct"/>
            <w:hideMark/>
          </w:tcPr>
          <w:p w:rsidR="00D51357" w:rsidRPr="00B75B77" w:rsidRDefault="00D51357" w:rsidP="00102BDF">
            <w:pPr>
              <w:widowControl w:val="0"/>
              <w:spacing w:before="20" w:after="20"/>
              <w:jc w:val="left"/>
              <w:rPr>
                <w:bCs w:val="0"/>
                <w:color w:val="000000"/>
                <w:szCs w:val="18"/>
              </w:rPr>
            </w:pPr>
            <w:r w:rsidRPr="00B75B77">
              <w:rPr>
                <w:rFonts w:ascii="Calibri" w:hAnsi="Calibri"/>
                <w:b w:val="0"/>
                <w:bCs w:val="0"/>
                <w:color w:val="000000"/>
                <w:szCs w:val="18"/>
              </w:rPr>
              <w:t>Goodwill</w:t>
            </w:r>
          </w:p>
        </w:tc>
        <w:tc>
          <w:tcPr>
            <w:tcW w:w="1175" w:type="pct"/>
            <w:hideMark/>
          </w:tcPr>
          <w:p w:rsidR="00D51357" w:rsidRPr="00B75B77" w:rsidRDefault="00D51357" w:rsidP="00102BDF">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color w:val="000000"/>
                <w:szCs w:val="18"/>
              </w:rPr>
            </w:pPr>
            <w:r w:rsidRPr="00B75B77">
              <w:rPr>
                <w:rFonts w:ascii="Calibri" w:hAnsi="Calibri"/>
                <w:color w:val="000000"/>
                <w:szCs w:val="18"/>
              </w:rPr>
              <w:t>2%</w:t>
            </w:r>
          </w:p>
        </w:tc>
        <w:tc>
          <w:tcPr>
            <w:tcW w:w="1173" w:type="pct"/>
            <w:hideMark/>
          </w:tcPr>
          <w:p w:rsidR="00D51357" w:rsidRPr="00B75B77" w:rsidRDefault="00D51357" w:rsidP="00102BDF">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color w:val="000000"/>
                <w:szCs w:val="18"/>
              </w:rPr>
            </w:pPr>
            <w:r w:rsidRPr="00B75B77">
              <w:rPr>
                <w:rFonts w:ascii="Calibri" w:hAnsi="Calibri"/>
                <w:color w:val="000000"/>
                <w:szCs w:val="18"/>
              </w:rPr>
              <w:t>0.2</w:t>
            </w:r>
          </w:p>
        </w:tc>
        <w:tc>
          <w:tcPr>
            <w:tcW w:w="1173" w:type="pct"/>
            <w:hideMark/>
          </w:tcPr>
          <w:p w:rsidR="00D51357" w:rsidRPr="00B75B77" w:rsidRDefault="00D51357" w:rsidP="00102BDF">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color w:val="000000"/>
                <w:szCs w:val="18"/>
              </w:rPr>
            </w:pPr>
            <w:r w:rsidRPr="00B75B77">
              <w:rPr>
                <w:rFonts w:ascii="Calibri" w:hAnsi="Calibri"/>
                <w:color w:val="000000"/>
                <w:szCs w:val="18"/>
              </w:rPr>
              <w:t>1</w:t>
            </w:r>
          </w:p>
        </w:tc>
      </w:tr>
      <w:tr w:rsidR="00D51357" w:rsidRPr="00B75B77" w:rsidTr="00102BDF">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479" w:type="pct"/>
            <w:hideMark/>
          </w:tcPr>
          <w:p w:rsidR="00D51357" w:rsidRPr="00B75B77" w:rsidRDefault="00D51357" w:rsidP="00102BDF">
            <w:pPr>
              <w:widowControl w:val="0"/>
              <w:spacing w:before="20" w:after="20"/>
              <w:jc w:val="left"/>
              <w:rPr>
                <w:bCs w:val="0"/>
                <w:color w:val="000000"/>
                <w:szCs w:val="18"/>
              </w:rPr>
            </w:pPr>
            <w:r w:rsidRPr="00B75B77">
              <w:rPr>
                <w:rFonts w:ascii="Calibri" w:hAnsi="Calibri"/>
                <w:b w:val="0"/>
                <w:bCs w:val="0"/>
                <w:color w:val="000000"/>
                <w:szCs w:val="18"/>
              </w:rPr>
              <w:t>HTR</w:t>
            </w:r>
          </w:p>
        </w:tc>
        <w:tc>
          <w:tcPr>
            <w:tcW w:w="1175" w:type="pct"/>
            <w:hideMark/>
          </w:tcPr>
          <w:p w:rsidR="00D51357" w:rsidRPr="00B75B77" w:rsidRDefault="00D51357" w:rsidP="00102BDF">
            <w:pPr>
              <w:widowControl w:val="0"/>
              <w:spacing w:before="20" w:after="20"/>
              <w:jc w:val="center"/>
              <w:cnfStyle w:val="000000010000" w:firstRow="0" w:lastRow="0" w:firstColumn="0" w:lastColumn="0" w:oddVBand="0" w:evenVBand="0" w:oddHBand="0" w:evenHBand="1" w:firstRowFirstColumn="0" w:firstRowLastColumn="0" w:lastRowFirstColumn="0" w:lastRowLastColumn="0"/>
              <w:rPr>
                <w:color w:val="000000"/>
                <w:szCs w:val="18"/>
              </w:rPr>
            </w:pPr>
            <w:r w:rsidRPr="00B75B77">
              <w:rPr>
                <w:rFonts w:ascii="Calibri" w:hAnsi="Calibri"/>
                <w:color w:val="000000"/>
                <w:szCs w:val="18"/>
              </w:rPr>
              <w:t>1%</w:t>
            </w:r>
          </w:p>
        </w:tc>
        <w:tc>
          <w:tcPr>
            <w:tcW w:w="1173" w:type="pct"/>
            <w:hideMark/>
          </w:tcPr>
          <w:p w:rsidR="00D51357" w:rsidRPr="00B75B77" w:rsidRDefault="00D51357" w:rsidP="00102BDF">
            <w:pPr>
              <w:widowControl w:val="0"/>
              <w:spacing w:before="20" w:after="20"/>
              <w:jc w:val="center"/>
              <w:cnfStyle w:val="000000010000" w:firstRow="0" w:lastRow="0" w:firstColumn="0" w:lastColumn="0" w:oddVBand="0" w:evenVBand="0" w:oddHBand="0" w:evenHBand="1" w:firstRowFirstColumn="0" w:firstRowLastColumn="0" w:lastRowFirstColumn="0" w:lastRowLastColumn="0"/>
              <w:rPr>
                <w:color w:val="000000"/>
                <w:szCs w:val="18"/>
              </w:rPr>
            </w:pPr>
            <w:r w:rsidRPr="00B75B77">
              <w:rPr>
                <w:rFonts w:ascii="Calibri" w:hAnsi="Calibri"/>
                <w:color w:val="000000"/>
                <w:szCs w:val="18"/>
              </w:rPr>
              <w:t>0.3</w:t>
            </w:r>
          </w:p>
        </w:tc>
        <w:tc>
          <w:tcPr>
            <w:tcW w:w="1173" w:type="pct"/>
            <w:hideMark/>
          </w:tcPr>
          <w:p w:rsidR="00D51357" w:rsidRPr="00B75B77" w:rsidRDefault="00D51357" w:rsidP="00102BDF">
            <w:pPr>
              <w:widowControl w:val="0"/>
              <w:spacing w:before="20" w:after="20"/>
              <w:jc w:val="center"/>
              <w:cnfStyle w:val="000000010000" w:firstRow="0" w:lastRow="0" w:firstColumn="0" w:lastColumn="0" w:oddVBand="0" w:evenVBand="0" w:oddHBand="0" w:evenHBand="1" w:firstRowFirstColumn="0" w:firstRowLastColumn="0" w:lastRowFirstColumn="0" w:lastRowLastColumn="0"/>
              <w:rPr>
                <w:color w:val="000000"/>
                <w:szCs w:val="18"/>
              </w:rPr>
            </w:pPr>
            <w:r w:rsidRPr="00B75B77">
              <w:rPr>
                <w:rFonts w:ascii="Calibri" w:hAnsi="Calibri"/>
                <w:color w:val="000000"/>
                <w:szCs w:val="18"/>
              </w:rPr>
              <w:t>0</w:t>
            </w:r>
          </w:p>
        </w:tc>
      </w:tr>
      <w:tr w:rsidR="00D51357" w:rsidRPr="00B75B77" w:rsidTr="00102BDF">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479" w:type="pct"/>
            <w:hideMark/>
          </w:tcPr>
          <w:p w:rsidR="00D51357" w:rsidRPr="00B75B77" w:rsidRDefault="00D51357" w:rsidP="00102BDF">
            <w:pPr>
              <w:widowControl w:val="0"/>
              <w:spacing w:before="20" w:after="20"/>
              <w:jc w:val="left"/>
              <w:rPr>
                <w:bCs w:val="0"/>
                <w:color w:val="000000"/>
                <w:szCs w:val="18"/>
              </w:rPr>
            </w:pPr>
            <w:r w:rsidRPr="00B75B77">
              <w:rPr>
                <w:rFonts w:ascii="Calibri" w:hAnsi="Calibri"/>
                <w:b w:val="0"/>
                <w:bCs w:val="0"/>
                <w:color w:val="000000"/>
                <w:szCs w:val="18"/>
              </w:rPr>
              <w:t xml:space="preserve">Habitat </w:t>
            </w:r>
            <w:proofErr w:type="spellStart"/>
            <w:r w:rsidRPr="00B75B77">
              <w:rPr>
                <w:rFonts w:ascii="Calibri" w:hAnsi="Calibri"/>
                <w:b w:val="0"/>
                <w:bCs w:val="0"/>
                <w:color w:val="000000"/>
                <w:szCs w:val="18"/>
              </w:rPr>
              <w:t>ReStore</w:t>
            </w:r>
            <w:proofErr w:type="spellEnd"/>
          </w:p>
        </w:tc>
        <w:tc>
          <w:tcPr>
            <w:tcW w:w="1175" w:type="pct"/>
            <w:hideMark/>
          </w:tcPr>
          <w:p w:rsidR="00D51357" w:rsidRPr="00B75B77" w:rsidRDefault="00D51357" w:rsidP="00102BDF">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color w:val="000000"/>
                <w:szCs w:val="18"/>
              </w:rPr>
            </w:pPr>
            <w:r w:rsidRPr="00B75B77">
              <w:rPr>
                <w:rFonts w:ascii="Calibri" w:hAnsi="Calibri"/>
                <w:color w:val="000000"/>
                <w:szCs w:val="18"/>
              </w:rPr>
              <w:t>1%</w:t>
            </w:r>
          </w:p>
        </w:tc>
        <w:tc>
          <w:tcPr>
            <w:tcW w:w="1173" w:type="pct"/>
            <w:hideMark/>
          </w:tcPr>
          <w:p w:rsidR="00D51357" w:rsidRPr="00B75B77" w:rsidRDefault="00D51357" w:rsidP="00102BDF">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color w:val="000000"/>
                <w:szCs w:val="18"/>
              </w:rPr>
            </w:pPr>
            <w:r w:rsidRPr="00B75B77">
              <w:rPr>
                <w:rFonts w:ascii="Calibri" w:hAnsi="Calibri"/>
                <w:color w:val="000000"/>
                <w:szCs w:val="18"/>
              </w:rPr>
              <w:t>0</w:t>
            </w:r>
          </w:p>
        </w:tc>
        <w:tc>
          <w:tcPr>
            <w:tcW w:w="1173" w:type="pct"/>
            <w:hideMark/>
          </w:tcPr>
          <w:p w:rsidR="00D51357" w:rsidRPr="00B75B77" w:rsidRDefault="00D51357" w:rsidP="00102BDF">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color w:val="000000"/>
                <w:szCs w:val="18"/>
              </w:rPr>
            </w:pPr>
            <w:r w:rsidRPr="00B75B77">
              <w:rPr>
                <w:rFonts w:ascii="Calibri" w:hAnsi="Calibri"/>
                <w:color w:val="000000"/>
                <w:szCs w:val="18"/>
              </w:rPr>
              <w:t>0</w:t>
            </w:r>
          </w:p>
        </w:tc>
      </w:tr>
      <w:tr w:rsidR="00D51357" w:rsidRPr="00B75B77" w:rsidTr="00102BDF">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479" w:type="pct"/>
            <w:hideMark/>
          </w:tcPr>
          <w:p w:rsidR="00D51357" w:rsidRPr="00B75B77" w:rsidRDefault="00D51357" w:rsidP="00102BDF">
            <w:pPr>
              <w:widowControl w:val="0"/>
              <w:spacing w:before="20" w:after="20"/>
              <w:jc w:val="left"/>
              <w:rPr>
                <w:bCs w:val="0"/>
                <w:color w:val="000000"/>
                <w:szCs w:val="18"/>
              </w:rPr>
            </w:pPr>
            <w:r w:rsidRPr="00B75B77">
              <w:rPr>
                <w:rFonts w:ascii="Calibri" w:hAnsi="Calibri"/>
                <w:b w:val="0"/>
                <w:bCs w:val="0"/>
                <w:color w:val="000000"/>
                <w:szCs w:val="18"/>
              </w:rPr>
              <w:t>Kody Lighting</w:t>
            </w:r>
          </w:p>
        </w:tc>
        <w:tc>
          <w:tcPr>
            <w:tcW w:w="1175" w:type="pct"/>
            <w:hideMark/>
          </w:tcPr>
          <w:p w:rsidR="00D51357" w:rsidRPr="00B75B77" w:rsidRDefault="00D51357" w:rsidP="00102BDF">
            <w:pPr>
              <w:widowControl w:val="0"/>
              <w:spacing w:before="20" w:after="20"/>
              <w:jc w:val="center"/>
              <w:cnfStyle w:val="000000010000" w:firstRow="0" w:lastRow="0" w:firstColumn="0" w:lastColumn="0" w:oddVBand="0" w:evenVBand="0" w:oddHBand="0" w:evenHBand="1" w:firstRowFirstColumn="0" w:firstRowLastColumn="0" w:lastRowFirstColumn="0" w:lastRowLastColumn="0"/>
              <w:rPr>
                <w:color w:val="000000"/>
                <w:szCs w:val="18"/>
              </w:rPr>
            </w:pPr>
            <w:r w:rsidRPr="00B75B77">
              <w:rPr>
                <w:rFonts w:ascii="Calibri" w:hAnsi="Calibri"/>
                <w:color w:val="000000"/>
                <w:szCs w:val="18"/>
              </w:rPr>
              <w:t>0%</w:t>
            </w:r>
          </w:p>
        </w:tc>
        <w:tc>
          <w:tcPr>
            <w:tcW w:w="1173" w:type="pct"/>
            <w:hideMark/>
          </w:tcPr>
          <w:p w:rsidR="00D51357" w:rsidRPr="00B75B77" w:rsidRDefault="00D51357" w:rsidP="00102BDF">
            <w:pPr>
              <w:widowControl w:val="0"/>
              <w:spacing w:before="20" w:after="20"/>
              <w:jc w:val="center"/>
              <w:cnfStyle w:val="000000010000" w:firstRow="0" w:lastRow="0" w:firstColumn="0" w:lastColumn="0" w:oddVBand="0" w:evenVBand="0" w:oddHBand="0" w:evenHBand="1" w:firstRowFirstColumn="0" w:firstRowLastColumn="0" w:lastRowFirstColumn="0" w:lastRowLastColumn="0"/>
              <w:rPr>
                <w:color w:val="000000"/>
                <w:szCs w:val="18"/>
              </w:rPr>
            </w:pPr>
            <w:r w:rsidRPr="00B75B77">
              <w:rPr>
                <w:rFonts w:ascii="Calibri" w:hAnsi="Calibri"/>
                <w:color w:val="000000"/>
                <w:szCs w:val="18"/>
              </w:rPr>
              <w:t>0</w:t>
            </w:r>
          </w:p>
        </w:tc>
        <w:tc>
          <w:tcPr>
            <w:tcW w:w="1173" w:type="pct"/>
            <w:hideMark/>
          </w:tcPr>
          <w:p w:rsidR="00D51357" w:rsidRPr="00B75B77" w:rsidRDefault="00D51357" w:rsidP="00102BDF">
            <w:pPr>
              <w:widowControl w:val="0"/>
              <w:spacing w:before="20" w:after="20"/>
              <w:jc w:val="center"/>
              <w:cnfStyle w:val="000000010000" w:firstRow="0" w:lastRow="0" w:firstColumn="0" w:lastColumn="0" w:oddVBand="0" w:evenVBand="0" w:oddHBand="0" w:evenHBand="1" w:firstRowFirstColumn="0" w:firstRowLastColumn="0" w:lastRowFirstColumn="0" w:lastRowLastColumn="0"/>
              <w:rPr>
                <w:color w:val="000000"/>
                <w:szCs w:val="18"/>
              </w:rPr>
            </w:pPr>
            <w:r w:rsidRPr="00B75B77">
              <w:rPr>
                <w:rFonts w:ascii="Calibri" w:hAnsi="Calibri"/>
                <w:color w:val="000000"/>
                <w:szCs w:val="18"/>
              </w:rPr>
              <w:t>0</w:t>
            </w:r>
          </w:p>
        </w:tc>
      </w:tr>
      <w:tr w:rsidR="00D51357" w:rsidRPr="00B75B77" w:rsidTr="00102BDF">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479" w:type="pct"/>
            <w:hideMark/>
          </w:tcPr>
          <w:p w:rsidR="00D51357" w:rsidRPr="00B75B77" w:rsidRDefault="00D51357" w:rsidP="00102BDF">
            <w:pPr>
              <w:widowControl w:val="0"/>
              <w:spacing w:before="20" w:after="20"/>
              <w:jc w:val="left"/>
              <w:rPr>
                <w:bCs w:val="0"/>
                <w:color w:val="000000"/>
                <w:szCs w:val="18"/>
              </w:rPr>
            </w:pPr>
            <w:r w:rsidRPr="00B75B77">
              <w:rPr>
                <w:rFonts w:ascii="Calibri" w:hAnsi="Calibri"/>
                <w:b w:val="0"/>
                <w:bCs w:val="0"/>
                <w:color w:val="000000"/>
                <w:szCs w:val="18"/>
              </w:rPr>
              <w:t>Lighting by Design</w:t>
            </w:r>
          </w:p>
        </w:tc>
        <w:tc>
          <w:tcPr>
            <w:tcW w:w="1175" w:type="pct"/>
            <w:hideMark/>
          </w:tcPr>
          <w:p w:rsidR="00D51357" w:rsidRPr="00B75B77" w:rsidRDefault="00D51357" w:rsidP="00102BDF">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color w:val="000000"/>
                <w:szCs w:val="18"/>
              </w:rPr>
            </w:pPr>
            <w:r w:rsidRPr="00B75B77">
              <w:rPr>
                <w:rFonts w:ascii="Calibri" w:hAnsi="Calibri"/>
                <w:color w:val="000000"/>
                <w:szCs w:val="18"/>
              </w:rPr>
              <w:t>0%</w:t>
            </w:r>
          </w:p>
        </w:tc>
        <w:tc>
          <w:tcPr>
            <w:tcW w:w="1173" w:type="pct"/>
            <w:hideMark/>
          </w:tcPr>
          <w:p w:rsidR="00D51357" w:rsidRPr="00B75B77" w:rsidRDefault="00D51357" w:rsidP="00102BDF">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color w:val="000000"/>
                <w:szCs w:val="18"/>
              </w:rPr>
            </w:pPr>
            <w:r w:rsidRPr="00B75B77">
              <w:rPr>
                <w:rFonts w:ascii="Calibri" w:hAnsi="Calibri"/>
                <w:color w:val="000000"/>
                <w:szCs w:val="18"/>
              </w:rPr>
              <w:t>0</w:t>
            </w:r>
          </w:p>
        </w:tc>
        <w:tc>
          <w:tcPr>
            <w:tcW w:w="1173" w:type="pct"/>
            <w:hideMark/>
          </w:tcPr>
          <w:p w:rsidR="00D51357" w:rsidRPr="00B75B77" w:rsidRDefault="00D51357" w:rsidP="00102BDF">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color w:val="000000"/>
                <w:szCs w:val="18"/>
              </w:rPr>
            </w:pPr>
            <w:r w:rsidRPr="00B75B77">
              <w:rPr>
                <w:rFonts w:ascii="Calibri" w:hAnsi="Calibri"/>
                <w:color w:val="000000"/>
                <w:szCs w:val="18"/>
              </w:rPr>
              <w:t>0</w:t>
            </w:r>
          </w:p>
        </w:tc>
      </w:tr>
      <w:tr w:rsidR="00D51357" w:rsidRPr="00B75B77" w:rsidTr="00102BDF">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479" w:type="pct"/>
            <w:hideMark/>
          </w:tcPr>
          <w:p w:rsidR="00D51357" w:rsidRPr="00B75B77" w:rsidRDefault="00D51357" w:rsidP="00102BDF">
            <w:pPr>
              <w:widowControl w:val="0"/>
              <w:spacing w:before="20" w:after="20"/>
              <w:jc w:val="left"/>
              <w:rPr>
                <w:bCs w:val="0"/>
                <w:color w:val="000000"/>
                <w:szCs w:val="18"/>
              </w:rPr>
            </w:pPr>
            <w:r w:rsidRPr="00B75B77">
              <w:rPr>
                <w:rFonts w:ascii="Calibri" w:hAnsi="Calibri"/>
                <w:b w:val="0"/>
                <w:bCs w:val="0"/>
                <w:color w:val="000000"/>
                <w:szCs w:val="18"/>
              </w:rPr>
              <w:t>Lowe</w:t>
            </w:r>
            <w:r w:rsidR="00B25D8C" w:rsidRPr="00B75B77">
              <w:rPr>
                <w:rFonts w:ascii="Calibri" w:hAnsi="Calibri"/>
                <w:b w:val="0"/>
                <w:bCs w:val="0"/>
                <w:color w:val="000000"/>
                <w:szCs w:val="18"/>
              </w:rPr>
              <w:t>’</w:t>
            </w:r>
            <w:r w:rsidRPr="00B75B77">
              <w:rPr>
                <w:rFonts w:ascii="Calibri" w:hAnsi="Calibri"/>
                <w:b w:val="0"/>
                <w:bCs w:val="0"/>
                <w:color w:val="000000"/>
                <w:szCs w:val="18"/>
              </w:rPr>
              <w:t>s</w:t>
            </w:r>
          </w:p>
        </w:tc>
        <w:tc>
          <w:tcPr>
            <w:tcW w:w="1175" w:type="pct"/>
            <w:hideMark/>
          </w:tcPr>
          <w:p w:rsidR="00D51357" w:rsidRPr="00B75B77" w:rsidRDefault="00D51357" w:rsidP="00102BDF">
            <w:pPr>
              <w:widowControl w:val="0"/>
              <w:spacing w:before="20" w:after="20"/>
              <w:jc w:val="center"/>
              <w:cnfStyle w:val="000000010000" w:firstRow="0" w:lastRow="0" w:firstColumn="0" w:lastColumn="0" w:oddVBand="0" w:evenVBand="0" w:oddHBand="0" w:evenHBand="1" w:firstRowFirstColumn="0" w:firstRowLastColumn="0" w:lastRowFirstColumn="0" w:lastRowLastColumn="0"/>
              <w:rPr>
                <w:color w:val="000000"/>
                <w:szCs w:val="18"/>
              </w:rPr>
            </w:pPr>
            <w:r w:rsidRPr="00B75B77">
              <w:rPr>
                <w:rFonts w:ascii="Calibri" w:hAnsi="Calibri"/>
                <w:color w:val="000000"/>
                <w:szCs w:val="18"/>
              </w:rPr>
              <w:t>5%</w:t>
            </w:r>
          </w:p>
        </w:tc>
        <w:tc>
          <w:tcPr>
            <w:tcW w:w="1173" w:type="pct"/>
            <w:hideMark/>
          </w:tcPr>
          <w:p w:rsidR="00D51357" w:rsidRPr="00B75B77" w:rsidRDefault="00D51357" w:rsidP="00102BDF">
            <w:pPr>
              <w:widowControl w:val="0"/>
              <w:spacing w:before="20" w:after="20"/>
              <w:jc w:val="center"/>
              <w:cnfStyle w:val="000000010000" w:firstRow="0" w:lastRow="0" w:firstColumn="0" w:lastColumn="0" w:oddVBand="0" w:evenVBand="0" w:oddHBand="0" w:evenHBand="1" w:firstRowFirstColumn="0" w:firstRowLastColumn="0" w:lastRowFirstColumn="0" w:lastRowLastColumn="0"/>
              <w:rPr>
                <w:color w:val="000000"/>
                <w:szCs w:val="18"/>
              </w:rPr>
            </w:pPr>
            <w:r w:rsidRPr="00B75B77">
              <w:rPr>
                <w:rFonts w:ascii="Calibri" w:hAnsi="Calibri"/>
                <w:color w:val="000000"/>
                <w:szCs w:val="18"/>
              </w:rPr>
              <w:t>0.9</w:t>
            </w:r>
          </w:p>
        </w:tc>
        <w:tc>
          <w:tcPr>
            <w:tcW w:w="1173" w:type="pct"/>
            <w:hideMark/>
          </w:tcPr>
          <w:p w:rsidR="00D51357" w:rsidRPr="00B75B77" w:rsidRDefault="00D51357" w:rsidP="00102BDF">
            <w:pPr>
              <w:widowControl w:val="0"/>
              <w:spacing w:before="20" w:after="20"/>
              <w:jc w:val="center"/>
              <w:cnfStyle w:val="000000010000" w:firstRow="0" w:lastRow="0" w:firstColumn="0" w:lastColumn="0" w:oddVBand="0" w:evenVBand="0" w:oddHBand="0" w:evenHBand="1" w:firstRowFirstColumn="0" w:firstRowLastColumn="0" w:lastRowFirstColumn="0" w:lastRowLastColumn="0"/>
              <w:rPr>
                <w:color w:val="000000"/>
                <w:szCs w:val="18"/>
              </w:rPr>
            </w:pPr>
            <w:r w:rsidRPr="00B75B77">
              <w:rPr>
                <w:rFonts w:ascii="Calibri" w:hAnsi="Calibri"/>
                <w:color w:val="000000"/>
                <w:szCs w:val="18"/>
              </w:rPr>
              <w:t>2</w:t>
            </w:r>
          </w:p>
        </w:tc>
      </w:tr>
      <w:tr w:rsidR="00D51357" w:rsidRPr="00B75B77" w:rsidTr="00102BDF">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479" w:type="pct"/>
            <w:hideMark/>
          </w:tcPr>
          <w:p w:rsidR="00D51357" w:rsidRPr="00B75B77" w:rsidRDefault="00D51357" w:rsidP="00102BDF">
            <w:pPr>
              <w:widowControl w:val="0"/>
              <w:spacing w:before="20" w:after="20"/>
              <w:jc w:val="left"/>
              <w:rPr>
                <w:bCs w:val="0"/>
                <w:color w:val="000000"/>
                <w:szCs w:val="18"/>
              </w:rPr>
            </w:pPr>
            <w:r w:rsidRPr="00B75B77">
              <w:rPr>
                <w:rFonts w:ascii="Calibri" w:hAnsi="Calibri"/>
                <w:b w:val="0"/>
                <w:bCs w:val="0"/>
                <w:color w:val="000000"/>
                <w:szCs w:val="18"/>
              </w:rPr>
              <w:t>Rittenhouse Lighting Supply</w:t>
            </w:r>
          </w:p>
        </w:tc>
        <w:tc>
          <w:tcPr>
            <w:tcW w:w="1175" w:type="pct"/>
            <w:hideMark/>
          </w:tcPr>
          <w:p w:rsidR="00D51357" w:rsidRPr="00B75B77" w:rsidRDefault="00D51357" w:rsidP="00102BDF">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color w:val="000000"/>
                <w:szCs w:val="18"/>
              </w:rPr>
            </w:pPr>
            <w:r w:rsidRPr="00B75B77">
              <w:rPr>
                <w:rFonts w:ascii="Calibri" w:hAnsi="Calibri"/>
                <w:color w:val="000000"/>
                <w:szCs w:val="18"/>
              </w:rPr>
              <w:t>0%</w:t>
            </w:r>
          </w:p>
        </w:tc>
        <w:tc>
          <w:tcPr>
            <w:tcW w:w="1173" w:type="pct"/>
            <w:hideMark/>
          </w:tcPr>
          <w:p w:rsidR="00D51357" w:rsidRPr="00B75B77" w:rsidRDefault="00D51357" w:rsidP="00102BDF">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color w:val="000000"/>
                <w:szCs w:val="18"/>
              </w:rPr>
            </w:pPr>
            <w:r w:rsidRPr="00B75B77">
              <w:rPr>
                <w:rFonts w:ascii="Calibri" w:hAnsi="Calibri"/>
                <w:color w:val="000000"/>
                <w:szCs w:val="18"/>
              </w:rPr>
              <w:t>0</w:t>
            </w:r>
          </w:p>
        </w:tc>
        <w:tc>
          <w:tcPr>
            <w:tcW w:w="1173" w:type="pct"/>
            <w:hideMark/>
          </w:tcPr>
          <w:p w:rsidR="00D51357" w:rsidRPr="00B75B77" w:rsidRDefault="00D51357" w:rsidP="00102BDF">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color w:val="000000"/>
                <w:szCs w:val="18"/>
              </w:rPr>
            </w:pPr>
            <w:r w:rsidRPr="00B75B77">
              <w:rPr>
                <w:rFonts w:ascii="Calibri" w:hAnsi="Calibri"/>
                <w:color w:val="000000"/>
                <w:szCs w:val="18"/>
              </w:rPr>
              <w:t>0</w:t>
            </w:r>
          </w:p>
        </w:tc>
      </w:tr>
      <w:tr w:rsidR="00D51357" w:rsidRPr="00B75B77" w:rsidTr="00102BDF">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479" w:type="pct"/>
            <w:hideMark/>
          </w:tcPr>
          <w:p w:rsidR="00D51357" w:rsidRPr="00B75B77" w:rsidRDefault="00D51357" w:rsidP="00102BDF">
            <w:pPr>
              <w:widowControl w:val="0"/>
              <w:spacing w:before="20" w:after="20"/>
              <w:jc w:val="left"/>
              <w:rPr>
                <w:rFonts w:ascii="Calibri" w:hAnsi="Calibri"/>
                <w:b w:val="0"/>
                <w:bCs w:val="0"/>
                <w:color w:val="000000"/>
                <w:szCs w:val="18"/>
              </w:rPr>
            </w:pPr>
            <w:r w:rsidRPr="00B75B77">
              <w:rPr>
                <w:rFonts w:ascii="Calibri" w:hAnsi="Calibri"/>
                <w:b w:val="0"/>
                <w:bCs w:val="0"/>
                <w:color w:val="000000"/>
                <w:szCs w:val="18"/>
              </w:rPr>
              <w:t>Sam</w:t>
            </w:r>
            <w:r w:rsidR="00B25D8C" w:rsidRPr="00B75B77">
              <w:rPr>
                <w:rFonts w:ascii="Calibri" w:hAnsi="Calibri"/>
                <w:b w:val="0"/>
                <w:bCs w:val="0"/>
                <w:color w:val="000000"/>
                <w:szCs w:val="18"/>
              </w:rPr>
              <w:t>’</w:t>
            </w:r>
            <w:r w:rsidRPr="00B75B77">
              <w:rPr>
                <w:rFonts w:ascii="Calibri" w:hAnsi="Calibri"/>
                <w:b w:val="0"/>
                <w:bCs w:val="0"/>
                <w:color w:val="000000"/>
                <w:szCs w:val="18"/>
              </w:rPr>
              <w:t>s Club</w:t>
            </w:r>
          </w:p>
        </w:tc>
        <w:tc>
          <w:tcPr>
            <w:tcW w:w="1175" w:type="pct"/>
            <w:hideMark/>
          </w:tcPr>
          <w:p w:rsidR="00D51357" w:rsidRPr="00B75B77" w:rsidRDefault="00D51357" w:rsidP="00102BDF">
            <w:pPr>
              <w:widowControl w:val="0"/>
              <w:spacing w:before="20" w:after="20"/>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Cs w:val="18"/>
              </w:rPr>
            </w:pPr>
            <w:r w:rsidRPr="00B75B77">
              <w:rPr>
                <w:rFonts w:ascii="Calibri" w:hAnsi="Calibri"/>
                <w:color w:val="000000"/>
                <w:szCs w:val="18"/>
              </w:rPr>
              <w:t>3%</w:t>
            </w:r>
          </w:p>
        </w:tc>
        <w:tc>
          <w:tcPr>
            <w:tcW w:w="1173" w:type="pct"/>
            <w:hideMark/>
          </w:tcPr>
          <w:p w:rsidR="00D51357" w:rsidRPr="00B75B77" w:rsidRDefault="00D51357" w:rsidP="00102BDF">
            <w:pPr>
              <w:widowControl w:val="0"/>
              <w:spacing w:before="20" w:after="20"/>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Cs w:val="18"/>
              </w:rPr>
            </w:pPr>
            <w:r w:rsidRPr="00B75B77">
              <w:rPr>
                <w:rFonts w:ascii="Calibri" w:hAnsi="Calibri"/>
                <w:color w:val="000000"/>
                <w:szCs w:val="18"/>
              </w:rPr>
              <w:t>0.1</w:t>
            </w:r>
          </w:p>
        </w:tc>
        <w:tc>
          <w:tcPr>
            <w:tcW w:w="1173" w:type="pct"/>
            <w:hideMark/>
          </w:tcPr>
          <w:p w:rsidR="00D51357" w:rsidRPr="00B75B77" w:rsidRDefault="00D51357" w:rsidP="00102BDF">
            <w:pPr>
              <w:widowControl w:val="0"/>
              <w:spacing w:before="20" w:after="20"/>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Cs w:val="18"/>
              </w:rPr>
            </w:pPr>
            <w:r w:rsidRPr="00B75B77">
              <w:rPr>
                <w:rFonts w:ascii="Calibri" w:hAnsi="Calibri"/>
                <w:color w:val="000000"/>
                <w:szCs w:val="18"/>
              </w:rPr>
              <w:t>1</w:t>
            </w:r>
          </w:p>
        </w:tc>
      </w:tr>
      <w:tr w:rsidR="00D51357" w:rsidRPr="00B75B77" w:rsidTr="00102BDF">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479" w:type="pct"/>
            <w:hideMark/>
          </w:tcPr>
          <w:p w:rsidR="00D51357" w:rsidRPr="00B75B77" w:rsidRDefault="00D51357" w:rsidP="00102BDF">
            <w:pPr>
              <w:widowControl w:val="0"/>
              <w:spacing w:before="20" w:after="20"/>
              <w:jc w:val="left"/>
              <w:rPr>
                <w:rFonts w:ascii="Calibri" w:hAnsi="Calibri"/>
                <w:b w:val="0"/>
                <w:bCs w:val="0"/>
                <w:color w:val="000000"/>
                <w:szCs w:val="18"/>
              </w:rPr>
            </w:pPr>
            <w:r w:rsidRPr="00B75B77">
              <w:rPr>
                <w:rFonts w:ascii="Calibri" w:hAnsi="Calibri"/>
                <w:b w:val="0"/>
                <w:bCs w:val="0"/>
                <w:color w:val="000000"/>
                <w:szCs w:val="18"/>
              </w:rPr>
              <w:t>Target</w:t>
            </w:r>
          </w:p>
        </w:tc>
        <w:tc>
          <w:tcPr>
            <w:tcW w:w="1175" w:type="pct"/>
            <w:hideMark/>
          </w:tcPr>
          <w:p w:rsidR="00D51357" w:rsidRPr="00B75B77" w:rsidRDefault="00D51357" w:rsidP="00102BDF">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2%</w:t>
            </w:r>
          </w:p>
        </w:tc>
        <w:tc>
          <w:tcPr>
            <w:tcW w:w="1173" w:type="pct"/>
            <w:hideMark/>
          </w:tcPr>
          <w:p w:rsidR="00D51357" w:rsidRPr="00B75B77" w:rsidRDefault="00D51357" w:rsidP="00102BDF">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0.4</w:t>
            </w:r>
          </w:p>
        </w:tc>
        <w:tc>
          <w:tcPr>
            <w:tcW w:w="1173" w:type="pct"/>
            <w:hideMark/>
          </w:tcPr>
          <w:p w:rsidR="00D51357" w:rsidRPr="00B75B77" w:rsidRDefault="00D51357" w:rsidP="00102BDF">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2</w:t>
            </w:r>
          </w:p>
        </w:tc>
      </w:tr>
      <w:tr w:rsidR="00D51357" w:rsidRPr="00B75B77" w:rsidTr="00102BDF">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479" w:type="pct"/>
            <w:hideMark/>
          </w:tcPr>
          <w:p w:rsidR="00D51357" w:rsidRPr="00B75B77" w:rsidRDefault="00D51357" w:rsidP="00102BDF">
            <w:pPr>
              <w:widowControl w:val="0"/>
              <w:spacing w:before="20" w:after="20"/>
              <w:jc w:val="left"/>
              <w:rPr>
                <w:rFonts w:ascii="Calibri" w:hAnsi="Calibri"/>
                <w:b w:val="0"/>
                <w:bCs w:val="0"/>
                <w:color w:val="000000"/>
                <w:szCs w:val="18"/>
              </w:rPr>
            </w:pPr>
            <w:r w:rsidRPr="00B75B77">
              <w:rPr>
                <w:rFonts w:ascii="Calibri" w:hAnsi="Calibri"/>
                <w:b w:val="0"/>
                <w:bCs w:val="0"/>
                <w:color w:val="000000"/>
                <w:szCs w:val="18"/>
              </w:rPr>
              <w:t>TechniArt.com</w:t>
            </w:r>
          </w:p>
        </w:tc>
        <w:tc>
          <w:tcPr>
            <w:tcW w:w="1175" w:type="pct"/>
            <w:hideMark/>
          </w:tcPr>
          <w:p w:rsidR="00D51357" w:rsidRPr="00B75B77" w:rsidRDefault="00D51357" w:rsidP="00102BDF">
            <w:pPr>
              <w:widowControl w:val="0"/>
              <w:spacing w:before="20" w:after="20"/>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Cs w:val="18"/>
              </w:rPr>
            </w:pPr>
            <w:r w:rsidRPr="00B75B77">
              <w:rPr>
                <w:rFonts w:ascii="Calibri" w:hAnsi="Calibri"/>
                <w:color w:val="000000"/>
                <w:szCs w:val="18"/>
              </w:rPr>
              <w:t>1%</w:t>
            </w:r>
          </w:p>
        </w:tc>
        <w:tc>
          <w:tcPr>
            <w:tcW w:w="1173" w:type="pct"/>
            <w:hideMark/>
          </w:tcPr>
          <w:p w:rsidR="00D51357" w:rsidRPr="00B75B77" w:rsidRDefault="00D51357" w:rsidP="00102BDF">
            <w:pPr>
              <w:widowControl w:val="0"/>
              <w:spacing w:before="20" w:after="20"/>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Cs w:val="18"/>
              </w:rPr>
            </w:pPr>
            <w:r w:rsidRPr="00B75B77">
              <w:rPr>
                <w:rFonts w:ascii="Calibri" w:hAnsi="Calibri"/>
                <w:color w:val="000000"/>
                <w:szCs w:val="18"/>
              </w:rPr>
              <w:t>0</w:t>
            </w:r>
          </w:p>
        </w:tc>
        <w:tc>
          <w:tcPr>
            <w:tcW w:w="1173" w:type="pct"/>
            <w:hideMark/>
          </w:tcPr>
          <w:p w:rsidR="00D51357" w:rsidRPr="00B75B77" w:rsidRDefault="00D51357" w:rsidP="00102BDF">
            <w:pPr>
              <w:widowControl w:val="0"/>
              <w:spacing w:before="20" w:after="20"/>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Cs w:val="18"/>
              </w:rPr>
            </w:pPr>
            <w:r w:rsidRPr="00B75B77">
              <w:rPr>
                <w:rFonts w:ascii="Calibri" w:hAnsi="Calibri"/>
                <w:color w:val="000000"/>
                <w:szCs w:val="18"/>
              </w:rPr>
              <w:t>0</w:t>
            </w:r>
          </w:p>
        </w:tc>
      </w:tr>
      <w:tr w:rsidR="00D51357" w:rsidRPr="00B75B77" w:rsidTr="00102BDF">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479" w:type="pct"/>
            <w:hideMark/>
          </w:tcPr>
          <w:p w:rsidR="00D51357" w:rsidRPr="00B75B77" w:rsidRDefault="00D51357" w:rsidP="00102BDF">
            <w:pPr>
              <w:widowControl w:val="0"/>
              <w:spacing w:before="20" w:after="20"/>
              <w:jc w:val="left"/>
              <w:rPr>
                <w:rFonts w:ascii="Calibri" w:hAnsi="Calibri"/>
                <w:b w:val="0"/>
                <w:bCs w:val="0"/>
                <w:color w:val="000000"/>
                <w:szCs w:val="18"/>
              </w:rPr>
            </w:pPr>
            <w:r w:rsidRPr="00B75B77">
              <w:rPr>
                <w:rFonts w:ascii="Calibri" w:hAnsi="Calibri"/>
                <w:b w:val="0"/>
                <w:bCs w:val="0"/>
                <w:color w:val="000000"/>
                <w:szCs w:val="18"/>
              </w:rPr>
              <w:t>The Home Depot</w:t>
            </w:r>
          </w:p>
        </w:tc>
        <w:tc>
          <w:tcPr>
            <w:tcW w:w="1175" w:type="pct"/>
            <w:hideMark/>
          </w:tcPr>
          <w:p w:rsidR="00D51357" w:rsidRPr="00B75B77" w:rsidRDefault="00D51357" w:rsidP="00102BDF">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53%</w:t>
            </w:r>
          </w:p>
        </w:tc>
        <w:tc>
          <w:tcPr>
            <w:tcW w:w="1173" w:type="pct"/>
            <w:hideMark/>
          </w:tcPr>
          <w:p w:rsidR="00D51357" w:rsidRPr="00B75B77" w:rsidRDefault="00D51357" w:rsidP="00102BDF">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13.2</w:t>
            </w:r>
          </w:p>
        </w:tc>
        <w:tc>
          <w:tcPr>
            <w:tcW w:w="1173" w:type="pct"/>
            <w:hideMark/>
          </w:tcPr>
          <w:p w:rsidR="00D51357" w:rsidRPr="00B75B77" w:rsidRDefault="00D51357" w:rsidP="00102BDF">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10</w:t>
            </w:r>
          </w:p>
        </w:tc>
      </w:tr>
      <w:tr w:rsidR="00D51357" w:rsidRPr="00B75B77" w:rsidTr="00102BDF">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479" w:type="pct"/>
            <w:hideMark/>
          </w:tcPr>
          <w:p w:rsidR="00D51357" w:rsidRPr="00B75B77" w:rsidRDefault="00D51357" w:rsidP="00102BDF">
            <w:pPr>
              <w:widowControl w:val="0"/>
              <w:spacing w:before="20" w:after="20"/>
              <w:jc w:val="left"/>
              <w:rPr>
                <w:rFonts w:ascii="Calibri" w:hAnsi="Calibri"/>
                <w:b w:val="0"/>
                <w:bCs w:val="0"/>
                <w:color w:val="000000"/>
                <w:szCs w:val="18"/>
              </w:rPr>
            </w:pPr>
            <w:r w:rsidRPr="00B75B77">
              <w:rPr>
                <w:rFonts w:ascii="Calibri" w:hAnsi="Calibri"/>
                <w:b w:val="0"/>
                <w:bCs w:val="0"/>
                <w:color w:val="000000"/>
                <w:szCs w:val="18"/>
              </w:rPr>
              <w:t>True Value</w:t>
            </w:r>
          </w:p>
        </w:tc>
        <w:tc>
          <w:tcPr>
            <w:tcW w:w="1175" w:type="pct"/>
            <w:hideMark/>
          </w:tcPr>
          <w:p w:rsidR="00D51357" w:rsidRPr="00B75B77" w:rsidRDefault="00D51357" w:rsidP="00102BDF">
            <w:pPr>
              <w:widowControl w:val="0"/>
              <w:spacing w:before="20" w:after="20"/>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Cs w:val="18"/>
              </w:rPr>
            </w:pPr>
            <w:r w:rsidRPr="00B75B77">
              <w:rPr>
                <w:rFonts w:ascii="Calibri" w:hAnsi="Calibri"/>
                <w:color w:val="000000"/>
                <w:szCs w:val="18"/>
              </w:rPr>
              <w:t>0%</w:t>
            </w:r>
          </w:p>
        </w:tc>
        <w:tc>
          <w:tcPr>
            <w:tcW w:w="1173" w:type="pct"/>
            <w:hideMark/>
          </w:tcPr>
          <w:p w:rsidR="00D51357" w:rsidRPr="00B75B77" w:rsidRDefault="00D51357" w:rsidP="00102BDF">
            <w:pPr>
              <w:widowControl w:val="0"/>
              <w:spacing w:before="20" w:after="20"/>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Cs w:val="18"/>
              </w:rPr>
            </w:pPr>
            <w:r w:rsidRPr="00B75B77">
              <w:rPr>
                <w:rFonts w:ascii="Calibri" w:hAnsi="Calibri"/>
                <w:color w:val="000000"/>
                <w:szCs w:val="18"/>
              </w:rPr>
              <w:t>0</w:t>
            </w:r>
          </w:p>
        </w:tc>
        <w:tc>
          <w:tcPr>
            <w:tcW w:w="1173" w:type="pct"/>
            <w:hideMark/>
          </w:tcPr>
          <w:p w:rsidR="00D51357" w:rsidRPr="00B75B77" w:rsidRDefault="00D51357" w:rsidP="00102BDF">
            <w:pPr>
              <w:widowControl w:val="0"/>
              <w:spacing w:before="20" w:after="20"/>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Cs w:val="18"/>
              </w:rPr>
            </w:pPr>
            <w:r w:rsidRPr="00B75B77">
              <w:rPr>
                <w:rFonts w:ascii="Calibri" w:hAnsi="Calibri"/>
                <w:color w:val="000000"/>
                <w:szCs w:val="18"/>
              </w:rPr>
              <w:t>0</w:t>
            </w:r>
          </w:p>
        </w:tc>
      </w:tr>
      <w:tr w:rsidR="00D51357" w:rsidRPr="00B75B77" w:rsidTr="00102BDF">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479" w:type="pct"/>
            <w:hideMark/>
          </w:tcPr>
          <w:p w:rsidR="00D51357" w:rsidRPr="00B75B77" w:rsidRDefault="00D51357" w:rsidP="00102BDF">
            <w:pPr>
              <w:widowControl w:val="0"/>
              <w:spacing w:before="20" w:after="20"/>
              <w:jc w:val="left"/>
              <w:rPr>
                <w:rFonts w:ascii="Calibri" w:hAnsi="Calibri"/>
                <w:b w:val="0"/>
                <w:bCs w:val="0"/>
                <w:color w:val="000000"/>
                <w:szCs w:val="18"/>
              </w:rPr>
            </w:pPr>
            <w:r w:rsidRPr="00B75B77">
              <w:rPr>
                <w:rFonts w:ascii="Calibri" w:hAnsi="Calibri"/>
                <w:b w:val="0"/>
                <w:bCs w:val="0"/>
                <w:color w:val="000000"/>
                <w:szCs w:val="18"/>
              </w:rPr>
              <w:t>Walgreens</w:t>
            </w:r>
          </w:p>
        </w:tc>
        <w:tc>
          <w:tcPr>
            <w:tcW w:w="1175" w:type="pct"/>
            <w:hideMark/>
          </w:tcPr>
          <w:p w:rsidR="00D51357" w:rsidRPr="00B75B77" w:rsidRDefault="00D51357" w:rsidP="00102BDF">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0%</w:t>
            </w:r>
          </w:p>
        </w:tc>
        <w:tc>
          <w:tcPr>
            <w:tcW w:w="1173" w:type="pct"/>
            <w:hideMark/>
          </w:tcPr>
          <w:p w:rsidR="00D51357" w:rsidRPr="00B75B77" w:rsidRDefault="00D51357" w:rsidP="00102BDF">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0.2</w:t>
            </w:r>
          </w:p>
        </w:tc>
        <w:tc>
          <w:tcPr>
            <w:tcW w:w="1173" w:type="pct"/>
            <w:hideMark/>
          </w:tcPr>
          <w:p w:rsidR="00D51357" w:rsidRPr="00B75B77" w:rsidRDefault="00D51357" w:rsidP="00102BDF">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0</w:t>
            </w:r>
          </w:p>
        </w:tc>
      </w:tr>
      <w:tr w:rsidR="00D51357" w:rsidRPr="00B75B77" w:rsidTr="00102BDF">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479" w:type="pct"/>
            <w:hideMark/>
          </w:tcPr>
          <w:p w:rsidR="00D51357" w:rsidRPr="00B75B77" w:rsidRDefault="00D51357" w:rsidP="00102BDF">
            <w:pPr>
              <w:widowControl w:val="0"/>
              <w:spacing w:before="20" w:after="20"/>
              <w:jc w:val="left"/>
              <w:rPr>
                <w:rFonts w:ascii="Calibri" w:hAnsi="Calibri"/>
                <w:b w:val="0"/>
                <w:bCs w:val="0"/>
                <w:color w:val="000000"/>
                <w:szCs w:val="18"/>
              </w:rPr>
            </w:pPr>
            <w:r w:rsidRPr="00B75B77">
              <w:rPr>
                <w:rFonts w:ascii="Calibri" w:hAnsi="Calibri"/>
                <w:b w:val="0"/>
                <w:bCs w:val="0"/>
                <w:color w:val="000000"/>
                <w:szCs w:val="18"/>
              </w:rPr>
              <w:t>Walmart</w:t>
            </w:r>
          </w:p>
        </w:tc>
        <w:tc>
          <w:tcPr>
            <w:tcW w:w="1175" w:type="pct"/>
            <w:hideMark/>
          </w:tcPr>
          <w:p w:rsidR="00D51357" w:rsidRPr="00B75B77" w:rsidRDefault="00D51357" w:rsidP="00102BDF">
            <w:pPr>
              <w:widowControl w:val="0"/>
              <w:spacing w:before="20" w:after="20"/>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Cs w:val="18"/>
              </w:rPr>
            </w:pPr>
            <w:r w:rsidRPr="00B75B77">
              <w:rPr>
                <w:rFonts w:ascii="Calibri" w:hAnsi="Calibri"/>
                <w:color w:val="000000"/>
                <w:szCs w:val="18"/>
              </w:rPr>
              <w:t>9%</w:t>
            </w:r>
          </w:p>
        </w:tc>
        <w:tc>
          <w:tcPr>
            <w:tcW w:w="1173" w:type="pct"/>
            <w:hideMark/>
          </w:tcPr>
          <w:p w:rsidR="00D51357" w:rsidRPr="00B75B77" w:rsidRDefault="00D51357" w:rsidP="00102BDF">
            <w:pPr>
              <w:widowControl w:val="0"/>
              <w:spacing w:before="20" w:after="20"/>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Cs w:val="18"/>
              </w:rPr>
            </w:pPr>
            <w:r w:rsidRPr="00B75B77">
              <w:rPr>
                <w:rFonts w:ascii="Calibri" w:hAnsi="Calibri"/>
                <w:color w:val="000000"/>
                <w:szCs w:val="18"/>
              </w:rPr>
              <w:t>2.3</w:t>
            </w:r>
          </w:p>
        </w:tc>
        <w:tc>
          <w:tcPr>
            <w:tcW w:w="1173" w:type="pct"/>
            <w:hideMark/>
          </w:tcPr>
          <w:p w:rsidR="00D51357" w:rsidRPr="00B75B77" w:rsidRDefault="00D51357" w:rsidP="00102BDF">
            <w:pPr>
              <w:widowControl w:val="0"/>
              <w:spacing w:before="20" w:after="20"/>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Cs w:val="18"/>
              </w:rPr>
            </w:pPr>
            <w:r w:rsidRPr="00B75B77">
              <w:rPr>
                <w:rFonts w:ascii="Calibri" w:hAnsi="Calibri"/>
                <w:color w:val="000000"/>
                <w:szCs w:val="18"/>
              </w:rPr>
              <w:t>1</w:t>
            </w:r>
          </w:p>
        </w:tc>
      </w:tr>
      <w:tr w:rsidR="00D51357" w:rsidRPr="00B75B77" w:rsidTr="00102BDF">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479" w:type="pct"/>
            <w:hideMark/>
          </w:tcPr>
          <w:p w:rsidR="00D51357" w:rsidRPr="00B75B77" w:rsidRDefault="00D51357" w:rsidP="00102BDF">
            <w:pPr>
              <w:widowControl w:val="0"/>
              <w:spacing w:before="20" w:after="20"/>
              <w:jc w:val="left"/>
              <w:rPr>
                <w:rFonts w:ascii="Calibri" w:hAnsi="Calibri"/>
                <w:b w:val="0"/>
                <w:bCs w:val="0"/>
                <w:color w:val="000000"/>
                <w:szCs w:val="18"/>
              </w:rPr>
            </w:pPr>
            <w:r w:rsidRPr="00B75B77">
              <w:rPr>
                <w:rFonts w:ascii="Calibri" w:hAnsi="Calibri"/>
                <w:b w:val="0"/>
                <w:bCs w:val="0"/>
                <w:color w:val="000000"/>
                <w:szCs w:val="18"/>
              </w:rPr>
              <w:t>Wegmans</w:t>
            </w:r>
          </w:p>
        </w:tc>
        <w:tc>
          <w:tcPr>
            <w:tcW w:w="1175" w:type="pct"/>
            <w:hideMark/>
          </w:tcPr>
          <w:p w:rsidR="00D51357" w:rsidRPr="00B75B77" w:rsidRDefault="00D51357" w:rsidP="00102BDF">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0%</w:t>
            </w:r>
          </w:p>
        </w:tc>
        <w:tc>
          <w:tcPr>
            <w:tcW w:w="1173" w:type="pct"/>
            <w:hideMark/>
          </w:tcPr>
          <w:p w:rsidR="00D51357" w:rsidRPr="00B75B77" w:rsidRDefault="00D51357" w:rsidP="00102BDF">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0</w:t>
            </w:r>
          </w:p>
        </w:tc>
        <w:tc>
          <w:tcPr>
            <w:tcW w:w="1173" w:type="pct"/>
            <w:hideMark/>
          </w:tcPr>
          <w:p w:rsidR="00D51357" w:rsidRPr="00B75B77" w:rsidRDefault="00D51357" w:rsidP="00102BDF">
            <w:pPr>
              <w:widowControl w:val="0"/>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B75B77">
              <w:rPr>
                <w:rFonts w:ascii="Calibri" w:hAnsi="Calibri"/>
                <w:color w:val="000000"/>
                <w:szCs w:val="18"/>
              </w:rPr>
              <w:t>0</w:t>
            </w:r>
          </w:p>
        </w:tc>
      </w:tr>
    </w:tbl>
    <w:p w:rsidR="00102BDF" w:rsidRPr="00B75B77" w:rsidRDefault="00D51357" w:rsidP="00102BDF">
      <w:pPr>
        <w:pStyle w:val="Source"/>
        <w:spacing w:after="20"/>
        <w:ind w:left="734" w:hanging="547"/>
        <w:rPr>
          <w:i w:val="0"/>
        </w:rPr>
      </w:pPr>
      <w:r w:rsidRPr="00B75B77">
        <w:rPr>
          <w:i w:val="0"/>
        </w:rPr>
        <w:t>*Proportions are reported with one significant digit. Values of 0% reflect fractional percentages that are non-zero.</w:t>
      </w:r>
      <w:r w:rsidR="00102BDF" w:rsidRPr="00B75B77">
        <w:rPr>
          <w:i w:val="0"/>
        </w:rPr>
        <w:t xml:space="preserve"> </w:t>
      </w:r>
    </w:p>
    <w:p w:rsidR="00102BDF" w:rsidRPr="00B75B77" w:rsidRDefault="00102BDF" w:rsidP="00102BDF">
      <w:pPr>
        <w:pStyle w:val="Source"/>
      </w:pPr>
      <w:r w:rsidRPr="00B75B77">
        <w:t>Source: Navigant analysis</w:t>
      </w:r>
    </w:p>
    <w:p w:rsidR="00D51357" w:rsidRPr="00B75B77" w:rsidRDefault="00D51357" w:rsidP="00D51357">
      <w:r w:rsidRPr="00B75B77">
        <w:t>In the PY7 analysis, 198 program bulb purchasers answered questions pertaining to cross-sector installation of bulbs. Of the 808 bulbs in the baskets of those 198 respondents, 38 were slated for nonresidential sockets, which yielded a cross-sector sales rate of 7.3%. The evaluation team applied the bulb-specific rates of 11.0</w:t>
      </w:r>
      <w:r w:rsidR="00BB0374" w:rsidRPr="00B75B77">
        <w:t>%</w:t>
      </w:r>
      <w:r w:rsidRPr="00B75B77">
        <w:t xml:space="preserve"> for CFLs, 1.3</w:t>
      </w:r>
      <w:r w:rsidR="00BB0374" w:rsidRPr="00B75B77">
        <w:t>%</w:t>
      </w:r>
      <w:r w:rsidRPr="00B75B77">
        <w:t xml:space="preserve"> for </w:t>
      </w:r>
      <w:proofErr w:type="spellStart"/>
      <w:r w:rsidRPr="00B75B77">
        <w:t>omni</w:t>
      </w:r>
      <w:proofErr w:type="spellEnd"/>
      <w:r w:rsidRPr="00B75B77">
        <w:t>-directional LEDs, and 7.3</w:t>
      </w:r>
      <w:r w:rsidR="00BB0374" w:rsidRPr="00B75B77">
        <w:t>%</w:t>
      </w:r>
      <w:r w:rsidRPr="00B75B77">
        <w:t xml:space="preserve"> for directional LEDs. </w:t>
      </w:r>
      <w:r w:rsidR="00102BDF" w:rsidRPr="00B75B77">
        <w:fldChar w:fldCharType="begin"/>
      </w:r>
      <w:r w:rsidR="00102BDF" w:rsidRPr="00B75B77">
        <w:instrText xml:space="preserve"> REF _Ref464206223 \h  \* MERGEFORMAT </w:instrText>
      </w:r>
      <w:r w:rsidR="00102BDF" w:rsidRPr="00B75B77">
        <w:fldChar w:fldCharType="separate"/>
      </w:r>
      <w:r w:rsidR="0004016D" w:rsidRPr="0004016D">
        <w:t>Table D</w:t>
      </w:r>
      <w:r w:rsidR="0004016D" w:rsidRPr="0004016D">
        <w:noBreakHyphen/>
        <w:t>2</w:t>
      </w:r>
      <w:r w:rsidR="00102BDF" w:rsidRPr="00B75B77">
        <w:fldChar w:fldCharType="end"/>
      </w:r>
      <w:r w:rsidR="00102BDF" w:rsidRPr="00B75B77">
        <w:t xml:space="preserve"> </w:t>
      </w:r>
      <w:r w:rsidRPr="00B75B77">
        <w:t xml:space="preserve">shows cross-sector installations by bulb type and by commercial building type from the PY7 intercept survey data. </w:t>
      </w:r>
    </w:p>
    <w:p w:rsidR="00102BDF" w:rsidRPr="00B75B77" w:rsidRDefault="00102BDF" w:rsidP="00D51357"/>
    <w:p w:rsidR="00D51357" w:rsidRPr="00B75B77" w:rsidRDefault="00102BDF" w:rsidP="00CF1606">
      <w:pPr>
        <w:pStyle w:val="Caption"/>
      </w:pPr>
      <w:bookmarkStart w:id="1025" w:name="_Ref464206223"/>
      <w:bookmarkStart w:id="1026" w:name="_Toc466413658"/>
      <w:r w:rsidRPr="00B75B77">
        <w:rPr>
          <w:rStyle w:val="CaptionChar1"/>
          <w:b/>
          <w:bCs/>
        </w:rPr>
        <w:lastRenderedPageBreak/>
        <w:t xml:space="preserve">Table </w:t>
      </w:r>
      <w:r w:rsidR="00502659" w:rsidRPr="00B75B77">
        <w:rPr>
          <w:rStyle w:val="CaptionChar1"/>
          <w:b/>
          <w:bCs/>
        </w:rPr>
        <w:fldChar w:fldCharType="begin"/>
      </w:r>
      <w:r w:rsidR="00502659" w:rsidRPr="00B75B77">
        <w:rPr>
          <w:rStyle w:val="CaptionChar1"/>
          <w:b/>
          <w:bCs/>
        </w:rPr>
        <w:instrText xml:space="preserve"> STYLEREF 5 \s </w:instrText>
      </w:r>
      <w:r w:rsidR="00502659" w:rsidRPr="00B75B77">
        <w:rPr>
          <w:rStyle w:val="CaptionChar1"/>
          <w:b/>
          <w:bCs/>
        </w:rPr>
        <w:fldChar w:fldCharType="separate"/>
      </w:r>
      <w:r w:rsidR="0004016D">
        <w:rPr>
          <w:rStyle w:val="CaptionChar1"/>
          <w:b/>
          <w:bCs/>
          <w:noProof/>
        </w:rPr>
        <w:t>D</w:t>
      </w:r>
      <w:r w:rsidR="00502659" w:rsidRPr="00B75B77">
        <w:rPr>
          <w:rStyle w:val="CaptionChar1"/>
          <w:b/>
          <w:bCs/>
        </w:rPr>
        <w:fldChar w:fldCharType="end"/>
      </w:r>
      <w:r w:rsidR="00502659" w:rsidRPr="00B75B77">
        <w:rPr>
          <w:rStyle w:val="CaptionChar1"/>
          <w:b/>
          <w:bCs/>
        </w:rPr>
        <w:noBreakHyphen/>
      </w:r>
      <w:r w:rsidRPr="00B75B77" w:rsidDel="00502659">
        <w:rPr>
          <w:rStyle w:val="CaptionChar1"/>
          <w:b/>
          <w:bCs/>
        </w:rPr>
        <w:fldChar w:fldCharType="begin"/>
      </w:r>
      <w:r w:rsidRPr="00B75B77" w:rsidDel="00502659">
        <w:rPr>
          <w:rStyle w:val="CaptionChar1"/>
          <w:b/>
          <w:bCs/>
        </w:rPr>
        <w:instrText xml:space="preserve"> SEQ Table_Apx \* ARABIC \s 5 </w:instrText>
      </w:r>
      <w:r w:rsidRPr="00B75B77" w:rsidDel="00502659">
        <w:rPr>
          <w:rStyle w:val="CaptionChar1"/>
          <w:b/>
          <w:bCs/>
        </w:rPr>
        <w:fldChar w:fldCharType="separate"/>
      </w:r>
      <w:r w:rsidR="0004016D">
        <w:rPr>
          <w:rStyle w:val="CaptionChar1"/>
          <w:b/>
          <w:bCs/>
          <w:noProof/>
        </w:rPr>
        <w:t>2</w:t>
      </w:r>
      <w:r w:rsidRPr="00B75B77" w:rsidDel="00502659">
        <w:rPr>
          <w:rStyle w:val="CaptionChar1"/>
          <w:b/>
          <w:bCs/>
        </w:rPr>
        <w:fldChar w:fldCharType="end"/>
      </w:r>
      <w:bookmarkEnd w:id="1025"/>
      <w:r w:rsidRPr="00B75B77">
        <w:rPr>
          <w:rStyle w:val="CaptionChar1"/>
          <w:b/>
          <w:bCs/>
        </w:rPr>
        <w:t>: PY7 Cross-Sector Bulb Installations by Business</w:t>
      </w:r>
      <w:r w:rsidRPr="00B75B77">
        <w:t xml:space="preserve"> Type</w:t>
      </w:r>
      <w:bookmarkEnd w:id="1026"/>
    </w:p>
    <w:tbl>
      <w:tblPr>
        <w:tblStyle w:val="PECOTeal"/>
        <w:tblW w:w="9360" w:type="dxa"/>
        <w:tblLayout w:type="fixed"/>
        <w:tblLook w:val="04A0" w:firstRow="1" w:lastRow="0" w:firstColumn="1" w:lastColumn="0" w:noHBand="0" w:noVBand="1"/>
      </w:tblPr>
      <w:tblGrid>
        <w:gridCol w:w="3590"/>
        <w:gridCol w:w="2070"/>
        <w:gridCol w:w="2172"/>
        <w:gridCol w:w="1528"/>
      </w:tblGrid>
      <w:tr w:rsidR="00D51357" w:rsidRPr="00B75B77" w:rsidTr="00102BDF">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918" w:type="pct"/>
            <w:hideMark/>
          </w:tcPr>
          <w:p w:rsidR="00D51357" w:rsidRPr="00B75B77" w:rsidRDefault="00D51357" w:rsidP="00102BDF">
            <w:pPr>
              <w:keepNext/>
              <w:keepLines/>
              <w:jc w:val="left"/>
              <w:rPr>
                <w:szCs w:val="18"/>
              </w:rPr>
            </w:pPr>
            <w:r w:rsidRPr="00B75B77">
              <w:rPr>
                <w:szCs w:val="18"/>
              </w:rPr>
              <w:t>Business Type</w:t>
            </w:r>
          </w:p>
        </w:tc>
        <w:tc>
          <w:tcPr>
            <w:tcW w:w="1106" w:type="pct"/>
            <w:hideMark/>
          </w:tcPr>
          <w:p w:rsidR="00D51357" w:rsidRPr="00B75B77" w:rsidRDefault="00D51357" w:rsidP="00102BDF">
            <w:pPr>
              <w:keepNext/>
              <w:keepLines/>
              <w:jc w:val="center"/>
              <w:cnfStyle w:val="100000000000" w:firstRow="1" w:lastRow="0" w:firstColumn="0" w:lastColumn="0" w:oddVBand="0" w:evenVBand="0" w:oddHBand="0" w:evenHBand="0" w:firstRowFirstColumn="0" w:firstRowLastColumn="0" w:lastRowFirstColumn="0" w:lastRowLastColumn="0"/>
              <w:rPr>
                <w:b w:val="0"/>
                <w:szCs w:val="18"/>
              </w:rPr>
            </w:pPr>
            <w:r w:rsidRPr="00B75B77">
              <w:rPr>
                <w:szCs w:val="18"/>
              </w:rPr>
              <w:t>CFLs</w:t>
            </w:r>
          </w:p>
        </w:tc>
        <w:tc>
          <w:tcPr>
            <w:tcW w:w="1160" w:type="pct"/>
            <w:hideMark/>
          </w:tcPr>
          <w:p w:rsidR="00D51357" w:rsidRPr="00B75B77" w:rsidRDefault="00D51357" w:rsidP="00102BDF">
            <w:pPr>
              <w:keepNext/>
              <w:keepLines/>
              <w:jc w:val="center"/>
              <w:cnfStyle w:val="100000000000" w:firstRow="1" w:lastRow="0" w:firstColumn="0" w:lastColumn="0" w:oddVBand="0" w:evenVBand="0" w:oddHBand="0" w:evenHBand="0" w:firstRowFirstColumn="0" w:firstRowLastColumn="0" w:lastRowFirstColumn="0" w:lastRowLastColumn="0"/>
              <w:rPr>
                <w:b w:val="0"/>
                <w:szCs w:val="18"/>
              </w:rPr>
            </w:pPr>
            <w:r w:rsidRPr="00B75B77">
              <w:rPr>
                <w:szCs w:val="18"/>
              </w:rPr>
              <w:t>Omni-</w:t>
            </w:r>
            <w:r w:rsidR="00102BDF" w:rsidRPr="00B75B77">
              <w:rPr>
                <w:szCs w:val="18"/>
              </w:rPr>
              <w:t>D</w:t>
            </w:r>
            <w:r w:rsidRPr="00B75B77">
              <w:rPr>
                <w:szCs w:val="18"/>
              </w:rPr>
              <w:t>irectional LEDs</w:t>
            </w:r>
          </w:p>
        </w:tc>
        <w:tc>
          <w:tcPr>
            <w:tcW w:w="817" w:type="pct"/>
            <w:hideMark/>
          </w:tcPr>
          <w:p w:rsidR="00D51357" w:rsidRPr="00B75B77" w:rsidRDefault="00D51357" w:rsidP="00102BDF">
            <w:pPr>
              <w:keepNext/>
              <w:keepLines/>
              <w:jc w:val="center"/>
              <w:cnfStyle w:val="100000000000" w:firstRow="1" w:lastRow="0" w:firstColumn="0" w:lastColumn="0" w:oddVBand="0" w:evenVBand="0" w:oddHBand="0" w:evenHBand="0" w:firstRowFirstColumn="0" w:firstRowLastColumn="0" w:lastRowFirstColumn="0" w:lastRowLastColumn="0"/>
              <w:rPr>
                <w:b w:val="0"/>
                <w:szCs w:val="18"/>
              </w:rPr>
            </w:pPr>
            <w:r w:rsidRPr="00B75B77">
              <w:rPr>
                <w:szCs w:val="18"/>
              </w:rPr>
              <w:t>Directional LEDs</w:t>
            </w:r>
          </w:p>
        </w:tc>
      </w:tr>
      <w:tr w:rsidR="00D51357" w:rsidRPr="00B75B77" w:rsidTr="00102BDF">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918" w:type="pct"/>
            <w:hideMark/>
          </w:tcPr>
          <w:p w:rsidR="00D51357" w:rsidRPr="00B75B77" w:rsidRDefault="00D51357" w:rsidP="00102BDF">
            <w:pPr>
              <w:keepNext/>
              <w:keepLines/>
              <w:jc w:val="left"/>
              <w:rPr>
                <w:bCs w:val="0"/>
                <w:color w:val="000000"/>
                <w:szCs w:val="18"/>
              </w:rPr>
            </w:pPr>
            <w:r w:rsidRPr="00B75B77">
              <w:rPr>
                <w:rFonts w:ascii="Calibri" w:hAnsi="Calibri"/>
                <w:b w:val="0"/>
                <w:bCs w:val="0"/>
                <w:color w:val="000000"/>
                <w:szCs w:val="18"/>
              </w:rPr>
              <w:t>Apartment Building</w:t>
            </w:r>
            <w:r w:rsidR="00102BDF" w:rsidRPr="00B75B77">
              <w:rPr>
                <w:rFonts w:ascii="Calibri" w:hAnsi="Calibri"/>
                <w:b w:val="0"/>
                <w:bCs w:val="0"/>
                <w:color w:val="000000"/>
                <w:szCs w:val="18"/>
              </w:rPr>
              <w:t>:</w:t>
            </w:r>
            <w:r w:rsidRPr="00B75B77">
              <w:rPr>
                <w:rFonts w:ascii="Calibri" w:hAnsi="Calibri"/>
                <w:b w:val="0"/>
                <w:bCs w:val="0"/>
                <w:color w:val="000000"/>
                <w:szCs w:val="18"/>
              </w:rPr>
              <w:t xml:space="preserve"> High-</w:t>
            </w:r>
            <w:r w:rsidR="00102BDF" w:rsidRPr="00B75B77">
              <w:rPr>
                <w:rFonts w:ascii="Calibri" w:hAnsi="Calibri"/>
                <w:b w:val="0"/>
                <w:bCs w:val="0"/>
                <w:color w:val="000000"/>
                <w:szCs w:val="18"/>
              </w:rPr>
              <w:t>R</w:t>
            </w:r>
            <w:r w:rsidRPr="00B75B77">
              <w:rPr>
                <w:rFonts w:ascii="Calibri" w:hAnsi="Calibri"/>
                <w:b w:val="0"/>
                <w:bCs w:val="0"/>
                <w:color w:val="000000"/>
                <w:szCs w:val="18"/>
              </w:rPr>
              <w:t xml:space="preserve">ise </w:t>
            </w:r>
            <w:r w:rsidR="00102BDF" w:rsidRPr="00B75B77">
              <w:rPr>
                <w:rFonts w:ascii="Calibri" w:hAnsi="Calibri"/>
                <w:b w:val="0"/>
                <w:bCs w:val="0"/>
                <w:color w:val="000000"/>
                <w:szCs w:val="18"/>
              </w:rPr>
              <w:t>and</w:t>
            </w:r>
            <w:r w:rsidRPr="00B75B77">
              <w:rPr>
                <w:rFonts w:ascii="Calibri" w:hAnsi="Calibri"/>
                <w:b w:val="0"/>
                <w:bCs w:val="0"/>
                <w:color w:val="000000"/>
                <w:szCs w:val="18"/>
              </w:rPr>
              <w:t xml:space="preserve"> Low-</w:t>
            </w:r>
            <w:r w:rsidR="00102BDF" w:rsidRPr="00B75B77">
              <w:rPr>
                <w:rFonts w:ascii="Calibri" w:hAnsi="Calibri"/>
                <w:b w:val="0"/>
                <w:bCs w:val="0"/>
                <w:color w:val="000000"/>
                <w:szCs w:val="18"/>
              </w:rPr>
              <w:t>R</w:t>
            </w:r>
            <w:r w:rsidRPr="00B75B77">
              <w:rPr>
                <w:rFonts w:ascii="Calibri" w:hAnsi="Calibri"/>
                <w:b w:val="0"/>
                <w:bCs w:val="0"/>
                <w:color w:val="000000"/>
                <w:szCs w:val="18"/>
              </w:rPr>
              <w:t>ise</w:t>
            </w:r>
          </w:p>
        </w:tc>
        <w:tc>
          <w:tcPr>
            <w:tcW w:w="1106" w:type="pct"/>
            <w:hideMark/>
          </w:tcPr>
          <w:p w:rsidR="00D51357" w:rsidRPr="00B75B77" w:rsidRDefault="00D51357" w:rsidP="00102BDF">
            <w:pPr>
              <w:keepNext/>
              <w:keepLines/>
              <w:jc w:val="center"/>
              <w:cnfStyle w:val="000000100000" w:firstRow="0" w:lastRow="0" w:firstColumn="0" w:lastColumn="0" w:oddVBand="0" w:evenVBand="0" w:oddHBand="1" w:evenHBand="0" w:firstRowFirstColumn="0" w:firstRowLastColumn="0" w:lastRowFirstColumn="0" w:lastRowLastColumn="0"/>
              <w:rPr>
                <w:color w:val="000000"/>
                <w:szCs w:val="18"/>
              </w:rPr>
            </w:pPr>
            <w:r w:rsidRPr="00B75B77">
              <w:rPr>
                <w:rFonts w:ascii="Calibri" w:hAnsi="Calibri"/>
                <w:color w:val="000000"/>
                <w:szCs w:val="18"/>
              </w:rPr>
              <w:t>12</w:t>
            </w:r>
          </w:p>
        </w:tc>
        <w:tc>
          <w:tcPr>
            <w:tcW w:w="1160" w:type="pct"/>
            <w:hideMark/>
          </w:tcPr>
          <w:p w:rsidR="00D51357" w:rsidRPr="00B75B77" w:rsidRDefault="00D51357" w:rsidP="00102BDF">
            <w:pPr>
              <w:keepNext/>
              <w:keepLines/>
              <w:jc w:val="center"/>
              <w:cnfStyle w:val="000000100000" w:firstRow="0" w:lastRow="0" w:firstColumn="0" w:lastColumn="0" w:oddVBand="0" w:evenVBand="0" w:oddHBand="1" w:evenHBand="0" w:firstRowFirstColumn="0" w:firstRowLastColumn="0" w:lastRowFirstColumn="0" w:lastRowLastColumn="0"/>
              <w:rPr>
                <w:color w:val="000000"/>
                <w:szCs w:val="18"/>
              </w:rPr>
            </w:pPr>
            <w:r w:rsidRPr="00B75B77">
              <w:rPr>
                <w:rFonts w:ascii="Calibri" w:hAnsi="Calibri"/>
                <w:color w:val="000000"/>
                <w:szCs w:val="18"/>
              </w:rPr>
              <w:t>0</w:t>
            </w:r>
          </w:p>
        </w:tc>
        <w:tc>
          <w:tcPr>
            <w:tcW w:w="817" w:type="pct"/>
            <w:hideMark/>
          </w:tcPr>
          <w:p w:rsidR="00D51357" w:rsidRPr="00B75B77" w:rsidRDefault="00D51357" w:rsidP="00102BDF">
            <w:pPr>
              <w:keepNext/>
              <w:keepLines/>
              <w:jc w:val="center"/>
              <w:cnfStyle w:val="000000100000" w:firstRow="0" w:lastRow="0" w:firstColumn="0" w:lastColumn="0" w:oddVBand="0" w:evenVBand="0" w:oddHBand="1" w:evenHBand="0" w:firstRowFirstColumn="0" w:firstRowLastColumn="0" w:lastRowFirstColumn="0" w:lastRowLastColumn="0"/>
              <w:rPr>
                <w:color w:val="000000"/>
                <w:szCs w:val="18"/>
              </w:rPr>
            </w:pPr>
            <w:r w:rsidRPr="00B75B77">
              <w:rPr>
                <w:rFonts w:ascii="Calibri" w:hAnsi="Calibri"/>
                <w:color w:val="000000"/>
                <w:szCs w:val="18"/>
              </w:rPr>
              <w:t>6</w:t>
            </w:r>
          </w:p>
        </w:tc>
      </w:tr>
      <w:tr w:rsidR="00D51357" w:rsidRPr="00B75B77" w:rsidTr="00102BDF">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918" w:type="pct"/>
            <w:hideMark/>
          </w:tcPr>
          <w:p w:rsidR="00D51357" w:rsidRPr="00B75B77" w:rsidRDefault="00D51357" w:rsidP="00102BDF">
            <w:pPr>
              <w:keepNext/>
              <w:keepLines/>
              <w:jc w:val="left"/>
              <w:rPr>
                <w:bCs w:val="0"/>
                <w:color w:val="000000"/>
                <w:szCs w:val="18"/>
              </w:rPr>
            </w:pPr>
            <w:r w:rsidRPr="00B75B77">
              <w:rPr>
                <w:rFonts w:ascii="Calibri" w:hAnsi="Calibri"/>
                <w:b w:val="0"/>
                <w:bCs w:val="0"/>
                <w:color w:val="000000"/>
                <w:szCs w:val="18"/>
              </w:rPr>
              <w:t>Office</w:t>
            </w:r>
          </w:p>
        </w:tc>
        <w:tc>
          <w:tcPr>
            <w:tcW w:w="1106" w:type="pct"/>
            <w:hideMark/>
          </w:tcPr>
          <w:p w:rsidR="00D51357" w:rsidRPr="00B75B77" w:rsidRDefault="00D51357" w:rsidP="00102BDF">
            <w:pPr>
              <w:keepNext/>
              <w:keepLines/>
              <w:jc w:val="center"/>
              <w:cnfStyle w:val="000000010000" w:firstRow="0" w:lastRow="0" w:firstColumn="0" w:lastColumn="0" w:oddVBand="0" w:evenVBand="0" w:oddHBand="0" w:evenHBand="1" w:firstRowFirstColumn="0" w:firstRowLastColumn="0" w:lastRowFirstColumn="0" w:lastRowLastColumn="0"/>
              <w:rPr>
                <w:color w:val="000000"/>
                <w:szCs w:val="18"/>
              </w:rPr>
            </w:pPr>
            <w:r w:rsidRPr="00B75B77">
              <w:rPr>
                <w:rFonts w:ascii="Calibri" w:hAnsi="Calibri"/>
                <w:color w:val="000000"/>
                <w:szCs w:val="18"/>
              </w:rPr>
              <w:t>0</w:t>
            </w:r>
          </w:p>
        </w:tc>
        <w:tc>
          <w:tcPr>
            <w:tcW w:w="1160" w:type="pct"/>
            <w:hideMark/>
          </w:tcPr>
          <w:p w:rsidR="00D51357" w:rsidRPr="00B75B77" w:rsidRDefault="00D51357" w:rsidP="00102BDF">
            <w:pPr>
              <w:keepNext/>
              <w:keepLines/>
              <w:jc w:val="center"/>
              <w:cnfStyle w:val="000000010000" w:firstRow="0" w:lastRow="0" w:firstColumn="0" w:lastColumn="0" w:oddVBand="0" w:evenVBand="0" w:oddHBand="0" w:evenHBand="1" w:firstRowFirstColumn="0" w:firstRowLastColumn="0" w:lastRowFirstColumn="0" w:lastRowLastColumn="0"/>
              <w:rPr>
                <w:color w:val="000000"/>
                <w:szCs w:val="18"/>
              </w:rPr>
            </w:pPr>
            <w:r w:rsidRPr="00B75B77">
              <w:rPr>
                <w:rFonts w:ascii="Calibri" w:hAnsi="Calibri"/>
                <w:color w:val="000000"/>
                <w:szCs w:val="18"/>
              </w:rPr>
              <w:t>0</w:t>
            </w:r>
          </w:p>
        </w:tc>
        <w:tc>
          <w:tcPr>
            <w:tcW w:w="817" w:type="pct"/>
            <w:hideMark/>
          </w:tcPr>
          <w:p w:rsidR="00D51357" w:rsidRPr="00B75B77" w:rsidRDefault="00D51357" w:rsidP="00102BDF">
            <w:pPr>
              <w:keepNext/>
              <w:keepLines/>
              <w:jc w:val="center"/>
              <w:cnfStyle w:val="000000010000" w:firstRow="0" w:lastRow="0" w:firstColumn="0" w:lastColumn="0" w:oddVBand="0" w:evenVBand="0" w:oddHBand="0" w:evenHBand="1" w:firstRowFirstColumn="0" w:firstRowLastColumn="0" w:lastRowFirstColumn="0" w:lastRowLastColumn="0"/>
              <w:rPr>
                <w:color w:val="000000"/>
                <w:szCs w:val="18"/>
              </w:rPr>
            </w:pPr>
            <w:r w:rsidRPr="00B75B77">
              <w:rPr>
                <w:rFonts w:ascii="Calibri" w:hAnsi="Calibri"/>
                <w:color w:val="000000"/>
                <w:szCs w:val="18"/>
              </w:rPr>
              <w:t>4</w:t>
            </w:r>
          </w:p>
        </w:tc>
      </w:tr>
      <w:tr w:rsidR="00D51357" w:rsidRPr="00B75B77" w:rsidTr="00102BDF">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918" w:type="pct"/>
            <w:hideMark/>
          </w:tcPr>
          <w:p w:rsidR="00D51357" w:rsidRPr="00B75B77" w:rsidRDefault="00D51357" w:rsidP="00102BDF">
            <w:pPr>
              <w:keepNext/>
              <w:keepLines/>
              <w:jc w:val="left"/>
              <w:rPr>
                <w:bCs w:val="0"/>
                <w:color w:val="000000"/>
                <w:szCs w:val="18"/>
              </w:rPr>
            </w:pPr>
            <w:r w:rsidRPr="00B75B77">
              <w:rPr>
                <w:rFonts w:ascii="Calibri" w:hAnsi="Calibri"/>
                <w:b w:val="0"/>
                <w:bCs w:val="0"/>
                <w:color w:val="000000"/>
                <w:szCs w:val="18"/>
              </w:rPr>
              <w:t>Public Services (</w:t>
            </w:r>
            <w:r w:rsidR="00FA45FF" w:rsidRPr="00B75B77">
              <w:rPr>
                <w:rFonts w:ascii="Calibri" w:hAnsi="Calibri"/>
                <w:b w:val="0"/>
                <w:bCs w:val="0"/>
                <w:color w:val="000000"/>
                <w:szCs w:val="18"/>
              </w:rPr>
              <w:t>N</w:t>
            </w:r>
            <w:r w:rsidRPr="00B75B77">
              <w:rPr>
                <w:rFonts w:ascii="Calibri" w:hAnsi="Calibri"/>
                <w:b w:val="0"/>
                <w:bCs w:val="0"/>
                <w:color w:val="000000"/>
                <w:szCs w:val="18"/>
              </w:rPr>
              <w:t>onfood)</w:t>
            </w:r>
          </w:p>
        </w:tc>
        <w:tc>
          <w:tcPr>
            <w:tcW w:w="1106" w:type="pct"/>
            <w:hideMark/>
          </w:tcPr>
          <w:p w:rsidR="00D51357" w:rsidRPr="00B75B77" w:rsidRDefault="00D51357" w:rsidP="00102BDF">
            <w:pPr>
              <w:keepNext/>
              <w:keepLines/>
              <w:jc w:val="center"/>
              <w:cnfStyle w:val="000000100000" w:firstRow="0" w:lastRow="0" w:firstColumn="0" w:lastColumn="0" w:oddVBand="0" w:evenVBand="0" w:oddHBand="1" w:evenHBand="0" w:firstRowFirstColumn="0" w:firstRowLastColumn="0" w:lastRowFirstColumn="0" w:lastRowLastColumn="0"/>
              <w:rPr>
                <w:color w:val="000000"/>
                <w:szCs w:val="18"/>
              </w:rPr>
            </w:pPr>
            <w:r w:rsidRPr="00B75B77">
              <w:rPr>
                <w:rFonts w:ascii="Calibri" w:hAnsi="Calibri"/>
                <w:color w:val="000000"/>
                <w:szCs w:val="18"/>
              </w:rPr>
              <w:t>0</w:t>
            </w:r>
          </w:p>
        </w:tc>
        <w:tc>
          <w:tcPr>
            <w:tcW w:w="1160" w:type="pct"/>
            <w:hideMark/>
          </w:tcPr>
          <w:p w:rsidR="00D51357" w:rsidRPr="00B75B77" w:rsidRDefault="00D51357" w:rsidP="00102BDF">
            <w:pPr>
              <w:keepNext/>
              <w:keepLines/>
              <w:jc w:val="center"/>
              <w:cnfStyle w:val="000000100000" w:firstRow="0" w:lastRow="0" w:firstColumn="0" w:lastColumn="0" w:oddVBand="0" w:evenVBand="0" w:oddHBand="1" w:evenHBand="0" w:firstRowFirstColumn="0" w:firstRowLastColumn="0" w:lastRowFirstColumn="0" w:lastRowLastColumn="0"/>
              <w:rPr>
                <w:color w:val="000000"/>
                <w:szCs w:val="18"/>
              </w:rPr>
            </w:pPr>
            <w:r w:rsidRPr="00B75B77">
              <w:rPr>
                <w:rFonts w:ascii="Calibri" w:hAnsi="Calibri"/>
                <w:color w:val="000000"/>
                <w:szCs w:val="18"/>
              </w:rPr>
              <w:t>4</w:t>
            </w:r>
          </w:p>
        </w:tc>
        <w:tc>
          <w:tcPr>
            <w:tcW w:w="817" w:type="pct"/>
            <w:hideMark/>
          </w:tcPr>
          <w:p w:rsidR="00D51357" w:rsidRPr="00B75B77" w:rsidRDefault="00D51357" w:rsidP="00102BDF">
            <w:pPr>
              <w:keepNext/>
              <w:keepLines/>
              <w:jc w:val="center"/>
              <w:cnfStyle w:val="000000100000" w:firstRow="0" w:lastRow="0" w:firstColumn="0" w:lastColumn="0" w:oddVBand="0" w:evenVBand="0" w:oddHBand="1" w:evenHBand="0" w:firstRowFirstColumn="0" w:firstRowLastColumn="0" w:lastRowFirstColumn="0" w:lastRowLastColumn="0"/>
              <w:rPr>
                <w:color w:val="000000"/>
                <w:szCs w:val="18"/>
              </w:rPr>
            </w:pPr>
            <w:r w:rsidRPr="00B75B77">
              <w:rPr>
                <w:rFonts w:ascii="Calibri" w:hAnsi="Calibri"/>
                <w:color w:val="000000"/>
                <w:szCs w:val="18"/>
              </w:rPr>
              <w:t>5.5</w:t>
            </w:r>
          </w:p>
        </w:tc>
      </w:tr>
      <w:tr w:rsidR="00D51357" w:rsidRPr="00B75B77" w:rsidTr="00102BDF">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918" w:type="pct"/>
            <w:hideMark/>
          </w:tcPr>
          <w:p w:rsidR="00D51357" w:rsidRPr="00B75B77" w:rsidRDefault="00D51357" w:rsidP="00102BDF">
            <w:pPr>
              <w:keepNext/>
              <w:keepLines/>
              <w:jc w:val="left"/>
              <w:rPr>
                <w:bCs w:val="0"/>
                <w:color w:val="000000"/>
                <w:szCs w:val="18"/>
              </w:rPr>
            </w:pPr>
            <w:r w:rsidRPr="00B75B77">
              <w:rPr>
                <w:rFonts w:ascii="Calibri" w:hAnsi="Calibri"/>
                <w:b w:val="0"/>
                <w:bCs w:val="0"/>
                <w:color w:val="000000"/>
                <w:szCs w:val="18"/>
              </w:rPr>
              <w:t>Restaurant</w:t>
            </w:r>
          </w:p>
        </w:tc>
        <w:tc>
          <w:tcPr>
            <w:tcW w:w="1106" w:type="pct"/>
            <w:hideMark/>
          </w:tcPr>
          <w:p w:rsidR="00D51357" w:rsidRPr="00B75B77" w:rsidRDefault="00D51357" w:rsidP="00102BDF">
            <w:pPr>
              <w:keepNext/>
              <w:keepLines/>
              <w:jc w:val="center"/>
              <w:cnfStyle w:val="000000010000" w:firstRow="0" w:lastRow="0" w:firstColumn="0" w:lastColumn="0" w:oddVBand="0" w:evenVBand="0" w:oddHBand="0" w:evenHBand="1" w:firstRowFirstColumn="0" w:firstRowLastColumn="0" w:lastRowFirstColumn="0" w:lastRowLastColumn="0"/>
              <w:rPr>
                <w:color w:val="000000"/>
                <w:szCs w:val="18"/>
              </w:rPr>
            </w:pPr>
            <w:r w:rsidRPr="00B75B77">
              <w:rPr>
                <w:rFonts w:ascii="Calibri" w:hAnsi="Calibri"/>
                <w:color w:val="000000"/>
                <w:szCs w:val="18"/>
              </w:rPr>
              <w:t>0</w:t>
            </w:r>
          </w:p>
        </w:tc>
        <w:tc>
          <w:tcPr>
            <w:tcW w:w="1160" w:type="pct"/>
            <w:hideMark/>
          </w:tcPr>
          <w:p w:rsidR="00D51357" w:rsidRPr="00B75B77" w:rsidRDefault="00D51357" w:rsidP="00102BDF">
            <w:pPr>
              <w:keepNext/>
              <w:keepLines/>
              <w:jc w:val="center"/>
              <w:cnfStyle w:val="000000010000" w:firstRow="0" w:lastRow="0" w:firstColumn="0" w:lastColumn="0" w:oddVBand="0" w:evenVBand="0" w:oddHBand="0" w:evenHBand="1" w:firstRowFirstColumn="0" w:firstRowLastColumn="0" w:lastRowFirstColumn="0" w:lastRowLastColumn="0"/>
              <w:rPr>
                <w:color w:val="000000"/>
                <w:szCs w:val="18"/>
              </w:rPr>
            </w:pPr>
            <w:r w:rsidRPr="00B75B77">
              <w:rPr>
                <w:rFonts w:ascii="Calibri" w:hAnsi="Calibri"/>
                <w:color w:val="000000"/>
                <w:szCs w:val="18"/>
              </w:rPr>
              <w:t>1.5</w:t>
            </w:r>
          </w:p>
        </w:tc>
        <w:tc>
          <w:tcPr>
            <w:tcW w:w="817" w:type="pct"/>
            <w:hideMark/>
          </w:tcPr>
          <w:p w:rsidR="00D51357" w:rsidRPr="00B75B77" w:rsidRDefault="00D51357" w:rsidP="00102BDF">
            <w:pPr>
              <w:keepNext/>
              <w:keepLines/>
              <w:jc w:val="center"/>
              <w:cnfStyle w:val="000000010000" w:firstRow="0" w:lastRow="0" w:firstColumn="0" w:lastColumn="0" w:oddVBand="0" w:evenVBand="0" w:oddHBand="0" w:evenHBand="1" w:firstRowFirstColumn="0" w:firstRowLastColumn="0" w:lastRowFirstColumn="0" w:lastRowLastColumn="0"/>
              <w:rPr>
                <w:color w:val="000000"/>
                <w:szCs w:val="18"/>
              </w:rPr>
            </w:pPr>
            <w:r w:rsidRPr="00B75B77">
              <w:rPr>
                <w:rFonts w:ascii="Calibri" w:hAnsi="Calibri"/>
                <w:color w:val="000000"/>
                <w:szCs w:val="18"/>
              </w:rPr>
              <w:t>0</w:t>
            </w:r>
          </w:p>
        </w:tc>
      </w:tr>
      <w:tr w:rsidR="00D51357" w:rsidRPr="00B75B77" w:rsidTr="00102BDF">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918" w:type="pct"/>
            <w:hideMark/>
          </w:tcPr>
          <w:p w:rsidR="00D51357" w:rsidRPr="00B75B77" w:rsidRDefault="00D51357" w:rsidP="00102BDF">
            <w:pPr>
              <w:keepNext/>
              <w:keepLines/>
              <w:jc w:val="left"/>
              <w:rPr>
                <w:bCs w:val="0"/>
                <w:color w:val="000000"/>
                <w:szCs w:val="18"/>
              </w:rPr>
            </w:pPr>
            <w:r w:rsidRPr="00B75B77">
              <w:rPr>
                <w:rFonts w:ascii="Calibri" w:hAnsi="Calibri"/>
                <w:b w:val="0"/>
                <w:bCs w:val="0"/>
                <w:color w:val="000000"/>
                <w:szCs w:val="18"/>
              </w:rPr>
              <w:t>Retail</w:t>
            </w:r>
          </w:p>
        </w:tc>
        <w:tc>
          <w:tcPr>
            <w:tcW w:w="1106" w:type="pct"/>
            <w:hideMark/>
          </w:tcPr>
          <w:p w:rsidR="00D51357" w:rsidRPr="00B75B77" w:rsidRDefault="00D51357" w:rsidP="00102BDF">
            <w:pPr>
              <w:keepNext/>
              <w:keepLines/>
              <w:jc w:val="center"/>
              <w:cnfStyle w:val="000000100000" w:firstRow="0" w:lastRow="0" w:firstColumn="0" w:lastColumn="0" w:oddVBand="0" w:evenVBand="0" w:oddHBand="1" w:evenHBand="0" w:firstRowFirstColumn="0" w:firstRowLastColumn="0" w:lastRowFirstColumn="0" w:lastRowLastColumn="0"/>
              <w:rPr>
                <w:color w:val="000000"/>
                <w:szCs w:val="18"/>
              </w:rPr>
            </w:pPr>
            <w:r w:rsidRPr="00B75B77">
              <w:rPr>
                <w:rFonts w:ascii="Calibri" w:hAnsi="Calibri"/>
                <w:color w:val="000000"/>
                <w:szCs w:val="18"/>
              </w:rPr>
              <w:t>0</w:t>
            </w:r>
          </w:p>
        </w:tc>
        <w:tc>
          <w:tcPr>
            <w:tcW w:w="1160" w:type="pct"/>
            <w:hideMark/>
          </w:tcPr>
          <w:p w:rsidR="00D51357" w:rsidRPr="00B75B77" w:rsidRDefault="00D51357" w:rsidP="00102BDF">
            <w:pPr>
              <w:keepNext/>
              <w:keepLines/>
              <w:jc w:val="center"/>
              <w:cnfStyle w:val="000000100000" w:firstRow="0" w:lastRow="0" w:firstColumn="0" w:lastColumn="0" w:oddVBand="0" w:evenVBand="0" w:oddHBand="1" w:evenHBand="0" w:firstRowFirstColumn="0" w:firstRowLastColumn="0" w:lastRowFirstColumn="0" w:lastRowLastColumn="0"/>
              <w:rPr>
                <w:color w:val="000000"/>
                <w:szCs w:val="18"/>
              </w:rPr>
            </w:pPr>
            <w:r w:rsidRPr="00B75B77">
              <w:rPr>
                <w:rFonts w:ascii="Calibri" w:hAnsi="Calibri"/>
                <w:color w:val="000000"/>
                <w:szCs w:val="18"/>
              </w:rPr>
              <w:t>0</w:t>
            </w:r>
          </w:p>
        </w:tc>
        <w:tc>
          <w:tcPr>
            <w:tcW w:w="817" w:type="pct"/>
            <w:hideMark/>
          </w:tcPr>
          <w:p w:rsidR="00D51357" w:rsidRPr="00B75B77" w:rsidRDefault="00D51357" w:rsidP="00102BDF">
            <w:pPr>
              <w:keepNext/>
              <w:keepLines/>
              <w:jc w:val="center"/>
              <w:cnfStyle w:val="000000100000" w:firstRow="0" w:lastRow="0" w:firstColumn="0" w:lastColumn="0" w:oddVBand="0" w:evenVBand="0" w:oddHBand="1" w:evenHBand="0" w:firstRowFirstColumn="0" w:firstRowLastColumn="0" w:lastRowFirstColumn="0" w:lastRowLastColumn="0"/>
              <w:rPr>
                <w:color w:val="000000"/>
                <w:szCs w:val="18"/>
              </w:rPr>
            </w:pPr>
            <w:r w:rsidRPr="00B75B77">
              <w:rPr>
                <w:rFonts w:ascii="Calibri" w:hAnsi="Calibri"/>
                <w:color w:val="000000"/>
                <w:szCs w:val="18"/>
              </w:rPr>
              <w:t>1</w:t>
            </w:r>
          </w:p>
        </w:tc>
      </w:tr>
      <w:tr w:rsidR="00D51357" w:rsidRPr="00B75B77" w:rsidTr="00102BDF">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918" w:type="pct"/>
            <w:hideMark/>
          </w:tcPr>
          <w:p w:rsidR="00D51357" w:rsidRPr="00B75B77" w:rsidRDefault="00D51357" w:rsidP="00102BDF">
            <w:pPr>
              <w:keepNext/>
              <w:keepLines/>
              <w:jc w:val="left"/>
              <w:rPr>
                <w:bCs w:val="0"/>
                <w:color w:val="000000"/>
                <w:szCs w:val="18"/>
              </w:rPr>
            </w:pPr>
            <w:r w:rsidRPr="00B75B77">
              <w:rPr>
                <w:rFonts w:ascii="Calibri" w:hAnsi="Calibri"/>
                <w:b w:val="0"/>
                <w:bCs w:val="0"/>
                <w:color w:val="000000"/>
                <w:szCs w:val="18"/>
              </w:rPr>
              <w:t>Storage Conditioned/Unconditioned</w:t>
            </w:r>
          </w:p>
        </w:tc>
        <w:tc>
          <w:tcPr>
            <w:tcW w:w="1106" w:type="pct"/>
            <w:hideMark/>
          </w:tcPr>
          <w:p w:rsidR="00D51357" w:rsidRPr="00B75B77" w:rsidRDefault="00D51357" w:rsidP="00102BDF">
            <w:pPr>
              <w:keepNext/>
              <w:keepLines/>
              <w:jc w:val="center"/>
              <w:cnfStyle w:val="000000010000" w:firstRow="0" w:lastRow="0" w:firstColumn="0" w:lastColumn="0" w:oddVBand="0" w:evenVBand="0" w:oddHBand="0" w:evenHBand="1" w:firstRowFirstColumn="0" w:firstRowLastColumn="0" w:lastRowFirstColumn="0" w:lastRowLastColumn="0"/>
              <w:rPr>
                <w:color w:val="000000"/>
                <w:szCs w:val="18"/>
              </w:rPr>
            </w:pPr>
            <w:r w:rsidRPr="00B75B77">
              <w:rPr>
                <w:rFonts w:ascii="Calibri" w:hAnsi="Calibri"/>
                <w:color w:val="000000"/>
                <w:szCs w:val="18"/>
              </w:rPr>
              <w:t>4</w:t>
            </w:r>
          </w:p>
        </w:tc>
        <w:tc>
          <w:tcPr>
            <w:tcW w:w="1160" w:type="pct"/>
            <w:hideMark/>
          </w:tcPr>
          <w:p w:rsidR="00D51357" w:rsidRPr="00B75B77" w:rsidRDefault="00D51357" w:rsidP="00102BDF">
            <w:pPr>
              <w:keepNext/>
              <w:keepLines/>
              <w:jc w:val="center"/>
              <w:cnfStyle w:val="000000010000" w:firstRow="0" w:lastRow="0" w:firstColumn="0" w:lastColumn="0" w:oddVBand="0" w:evenVBand="0" w:oddHBand="0" w:evenHBand="1" w:firstRowFirstColumn="0" w:firstRowLastColumn="0" w:lastRowFirstColumn="0" w:lastRowLastColumn="0"/>
              <w:rPr>
                <w:color w:val="000000"/>
                <w:szCs w:val="18"/>
              </w:rPr>
            </w:pPr>
            <w:r w:rsidRPr="00B75B77">
              <w:rPr>
                <w:rFonts w:ascii="Calibri" w:hAnsi="Calibri"/>
                <w:color w:val="000000"/>
                <w:szCs w:val="18"/>
              </w:rPr>
              <w:t>0</w:t>
            </w:r>
          </w:p>
        </w:tc>
        <w:tc>
          <w:tcPr>
            <w:tcW w:w="817" w:type="pct"/>
            <w:hideMark/>
          </w:tcPr>
          <w:p w:rsidR="00D51357" w:rsidRPr="00B75B77" w:rsidRDefault="00D51357" w:rsidP="00102BDF">
            <w:pPr>
              <w:keepNext/>
              <w:keepLines/>
              <w:jc w:val="center"/>
              <w:cnfStyle w:val="000000010000" w:firstRow="0" w:lastRow="0" w:firstColumn="0" w:lastColumn="0" w:oddVBand="0" w:evenVBand="0" w:oddHBand="0" w:evenHBand="1" w:firstRowFirstColumn="0" w:firstRowLastColumn="0" w:lastRowFirstColumn="0" w:lastRowLastColumn="0"/>
              <w:rPr>
                <w:color w:val="000000"/>
                <w:szCs w:val="18"/>
              </w:rPr>
            </w:pPr>
            <w:r w:rsidRPr="00B75B77">
              <w:rPr>
                <w:rFonts w:ascii="Calibri" w:hAnsi="Calibri"/>
                <w:color w:val="000000"/>
                <w:szCs w:val="18"/>
              </w:rPr>
              <w:t>0</w:t>
            </w:r>
          </w:p>
        </w:tc>
      </w:tr>
      <w:tr w:rsidR="00D51357" w:rsidRPr="00B75B77" w:rsidTr="00102BDF">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918" w:type="pct"/>
            <w:hideMark/>
          </w:tcPr>
          <w:p w:rsidR="00D51357" w:rsidRPr="00B75B77" w:rsidRDefault="00102BDF" w:rsidP="00102BDF">
            <w:pPr>
              <w:keepNext/>
              <w:keepLines/>
              <w:jc w:val="left"/>
              <w:rPr>
                <w:bCs w:val="0"/>
                <w:color w:val="000000"/>
                <w:szCs w:val="18"/>
              </w:rPr>
            </w:pPr>
            <w:r w:rsidRPr="00B75B77">
              <w:rPr>
                <w:rFonts w:ascii="Calibri" w:hAnsi="Calibri"/>
                <w:bCs w:val="0"/>
                <w:color w:val="000000"/>
                <w:szCs w:val="18"/>
              </w:rPr>
              <w:t>TOTAL</w:t>
            </w:r>
          </w:p>
        </w:tc>
        <w:tc>
          <w:tcPr>
            <w:tcW w:w="1106" w:type="pct"/>
            <w:hideMark/>
          </w:tcPr>
          <w:p w:rsidR="00D51357" w:rsidRPr="00B75B77" w:rsidRDefault="00D51357" w:rsidP="00102BDF">
            <w:pPr>
              <w:keepNext/>
              <w:keepLines/>
              <w:jc w:val="center"/>
              <w:cnfStyle w:val="000000100000" w:firstRow="0" w:lastRow="0" w:firstColumn="0" w:lastColumn="0" w:oddVBand="0" w:evenVBand="0" w:oddHBand="1" w:evenHBand="0" w:firstRowFirstColumn="0" w:firstRowLastColumn="0" w:lastRowFirstColumn="0" w:lastRowLastColumn="0"/>
              <w:rPr>
                <w:b/>
                <w:color w:val="000000"/>
                <w:szCs w:val="18"/>
              </w:rPr>
            </w:pPr>
            <w:r w:rsidRPr="00B75B77">
              <w:rPr>
                <w:b/>
                <w:color w:val="000000"/>
                <w:szCs w:val="18"/>
              </w:rPr>
              <w:t>16</w:t>
            </w:r>
          </w:p>
        </w:tc>
        <w:tc>
          <w:tcPr>
            <w:tcW w:w="1160" w:type="pct"/>
            <w:hideMark/>
          </w:tcPr>
          <w:p w:rsidR="00D51357" w:rsidRPr="00B75B77" w:rsidRDefault="00D51357" w:rsidP="00102BDF">
            <w:pPr>
              <w:keepNext/>
              <w:keepLines/>
              <w:jc w:val="center"/>
              <w:cnfStyle w:val="000000100000" w:firstRow="0" w:lastRow="0" w:firstColumn="0" w:lastColumn="0" w:oddVBand="0" w:evenVBand="0" w:oddHBand="1" w:evenHBand="0" w:firstRowFirstColumn="0" w:firstRowLastColumn="0" w:lastRowFirstColumn="0" w:lastRowLastColumn="0"/>
              <w:rPr>
                <w:b/>
                <w:color w:val="000000"/>
                <w:szCs w:val="18"/>
              </w:rPr>
            </w:pPr>
            <w:r w:rsidRPr="00B75B77">
              <w:rPr>
                <w:b/>
                <w:color w:val="000000"/>
                <w:szCs w:val="18"/>
              </w:rPr>
              <w:t>5.5</w:t>
            </w:r>
          </w:p>
        </w:tc>
        <w:tc>
          <w:tcPr>
            <w:tcW w:w="817" w:type="pct"/>
            <w:hideMark/>
          </w:tcPr>
          <w:p w:rsidR="00D51357" w:rsidRPr="00B75B77" w:rsidRDefault="00D51357" w:rsidP="00102BDF">
            <w:pPr>
              <w:keepNext/>
              <w:keepLines/>
              <w:jc w:val="center"/>
              <w:cnfStyle w:val="000000100000" w:firstRow="0" w:lastRow="0" w:firstColumn="0" w:lastColumn="0" w:oddVBand="0" w:evenVBand="0" w:oddHBand="1" w:evenHBand="0" w:firstRowFirstColumn="0" w:firstRowLastColumn="0" w:lastRowFirstColumn="0" w:lastRowLastColumn="0"/>
              <w:rPr>
                <w:b/>
                <w:color w:val="000000"/>
                <w:szCs w:val="18"/>
              </w:rPr>
            </w:pPr>
            <w:r w:rsidRPr="00B75B77">
              <w:rPr>
                <w:b/>
                <w:color w:val="000000"/>
                <w:szCs w:val="18"/>
              </w:rPr>
              <w:t>16.5</w:t>
            </w:r>
          </w:p>
        </w:tc>
      </w:tr>
    </w:tbl>
    <w:p w:rsidR="00D51357" w:rsidRPr="00B75B77" w:rsidRDefault="00D51357" w:rsidP="00D51357">
      <w:r w:rsidRPr="00B75B77">
        <w:rPr>
          <w:rStyle w:val="SourceChar"/>
          <w:rFonts w:eastAsia="Calibri"/>
        </w:rPr>
        <w:t>Source: Navigant analys</w:t>
      </w:r>
      <w:r w:rsidRPr="00B75B77">
        <w:t>is</w:t>
      </w:r>
    </w:p>
    <w:p w:rsidR="00D51357" w:rsidRPr="00B75B77" w:rsidRDefault="00D51357" w:rsidP="00810D7B"/>
    <w:p w:rsidR="00102BDF" w:rsidRPr="00B75B77" w:rsidRDefault="00102BDF">
      <w:pPr>
        <w:jc w:val="left"/>
        <w:sectPr w:rsidR="00102BDF" w:rsidRPr="00B75B77" w:rsidSect="00757C2E">
          <w:footerReference w:type="default" r:id="rId99"/>
          <w:pgSz w:w="12240" w:h="15840"/>
          <w:pgMar w:top="1170" w:right="1440" w:bottom="1440" w:left="1440" w:header="576" w:footer="475" w:gutter="0"/>
          <w:cols w:space="720"/>
          <w:docGrid w:linePitch="360"/>
        </w:sectPr>
      </w:pPr>
    </w:p>
    <w:p w:rsidR="00B56E5A" w:rsidRPr="00B75B77" w:rsidRDefault="00357C02" w:rsidP="007A6327">
      <w:pPr>
        <w:pStyle w:val="Heading5"/>
      </w:pPr>
      <w:bookmarkStart w:id="1027" w:name="_Ref463335846"/>
      <w:bookmarkStart w:id="1028" w:name="_Toc466413482"/>
      <w:r w:rsidRPr="00B75B77">
        <w:lastRenderedPageBreak/>
        <w:t>Glossary of</w:t>
      </w:r>
      <w:r w:rsidR="008156E7" w:rsidRPr="00B75B77">
        <w:t xml:space="preserve"> Terms</w:t>
      </w:r>
      <w:bookmarkEnd w:id="1013"/>
      <w:bookmarkEnd w:id="1014"/>
      <w:bookmarkEnd w:id="1015"/>
      <w:bookmarkEnd w:id="1016"/>
      <w:bookmarkEnd w:id="1017"/>
      <w:bookmarkEnd w:id="1027"/>
      <w:bookmarkEnd w:id="1028"/>
    </w:p>
    <w:p w:rsidR="00B56E5A" w:rsidRPr="00B75B77" w:rsidRDefault="00B56E5A" w:rsidP="00FF692F">
      <w:r w:rsidRPr="00B75B77">
        <w:t>This Glossary of Terms was provided by the SWE.</w:t>
      </w:r>
      <w:r w:rsidR="00F023E5" w:rsidRPr="00B75B77">
        <w:rPr>
          <w:rStyle w:val="FootnoteReference"/>
        </w:rPr>
        <w:footnoteReference w:id="55"/>
      </w:r>
    </w:p>
    <w:p w:rsidR="008C26AD" w:rsidRPr="00B75B77" w:rsidRDefault="008C26AD" w:rsidP="009E6C10">
      <w:pPr>
        <w:widowControl w:val="0"/>
        <w:pBdr>
          <w:bottom w:val="single" w:sz="8" w:space="1" w:color="448A99"/>
        </w:pBdr>
        <w:spacing w:before="120" w:after="120"/>
        <w:rPr>
          <w:rFonts w:ascii="Century Gothic" w:hAnsi="Century Gothic"/>
          <w:b/>
          <w:bCs/>
          <w:color w:val="448A99"/>
          <w:sz w:val="30"/>
          <w:szCs w:val="30"/>
          <w:lang w:bidi="en-US"/>
        </w:rPr>
      </w:pPr>
      <w:r w:rsidRPr="00B75B77">
        <w:rPr>
          <w:rFonts w:ascii="Century Gothic" w:hAnsi="Century Gothic"/>
          <w:b/>
          <w:bCs/>
          <w:color w:val="448A99"/>
          <w:sz w:val="30"/>
          <w:szCs w:val="30"/>
          <w:lang w:bidi="en-US"/>
        </w:rPr>
        <w:t>-A-</w:t>
      </w:r>
    </w:p>
    <w:p w:rsidR="008A3911" w:rsidRPr="00B75B77" w:rsidRDefault="00A755C3" w:rsidP="00AA0C53">
      <w:pPr>
        <w:autoSpaceDE w:val="0"/>
        <w:autoSpaceDN w:val="0"/>
        <w:adjustRightInd w:val="0"/>
        <w:spacing w:after="120"/>
        <w:rPr>
          <w:rFonts w:ascii="Calibri" w:eastAsia="Times New Roman" w:hAnsi="Calibri"/>
          <w:color w:val="000000"/>
          <w:sz w:val="14"/>
          <w:szCs w:val="14"/>
        </w:rPr>
      </w:pPr>
      <w:r w:rsidRPr="00B75B77">
        <w:rPr>
          <w:rFonts w:ascii="Century Gothic" w:hAnsi="Century Gothic"/>
          <w:b/>
        </w:rPr>
        <w:t>Administration</w:t>
      </w:r>
      <w:r w:rsidR="008A3911" w:rsidRPr="00B75B77">
        <w:rPr>
          <w:rFonts w:ascii="Century Gothic" w:hAnsi="Century Gothic"/>
          <w:b/>
        </w:rPr>
        <w:t xml:space="preserve"> Management and Technical Assi</w:t>
      </w:r>
      <w:r w:rsidR="00220F41" w:rsidRPr="00B75B77">
        <w:rPr>
          <w:rFonts w:ascii="Century Gothic" w:hAnsi="Century Gothic"/>
          <w:b/>
        </w:rPr>
        <w:t>s</w:t>
      </w:r>
      <w:r w:rsidR="008A3911" w:rsidRPr="00B75B77">
        <w:rPr>
          <w:rFonts w:ascii="Century Gothic" w:hAnsi="Century Gothic"/>
          <w:b/>
        </w:rPr>
        <w:t>tance</w:t>
      </w:r>
      <w:r w:rsidRPr="00B75B77">
        <w:rPr>
          <w:rFonts w:ascii="Century Gothic" w:hAnsi="Century Gothic"/>
          <w:b/>
        </w:rPr>
        <w:t xml:space="preserve"> Costs:</w:t>
      </w:r>
      <w:r w:rsidRPr="00B75B77">
        <w:rPr>
          <w:b/>
        </w:rPr>
        <w:t xml:space="preserve"> </w:t>
      </w:r>
      <w:r w:rsidR="008A3911" w:rsidRPr="00B75B77">
        <w:rPr>
          <w:rFonts w:ascii="Calibri" w:eastAsia="Times New Roman" w:hAnsi="Calibri"/>
          <w:color w:val="000000"/>
        </w:rPr>
        <w:t>Includes rebate processing, tracking system, general administration, EDC and CSP program management, general management</w:t>
      </w:r>
      <w:r w:rsidR="003A1913" w:rsidRPr="00B75B77">
        <w:rPr>
          <w:rFonts w:ascii="Calibri" w:eastAsia="Times New Roman" w:hAnsi="Calibri"/>
          <w:color w:val="000000"/>
        </w:rPr>
        <w:t>,</w:t>
      </w:r>
      <w:r w:rsidR="008A3911" w:rsidRPr="00B75B77">
        <w:rPr>
          <w:rFonts w:ascii="Calibri" w:eastAsia="Times New Roman" w:hAnsi="Calibri"/>
          <w:color w:val="000000"/>
        </w:rPr>
        <w:t xml:space="preserve"> and legal and technical assistance</w:t>
      </w:r>
      <w:r w:rsidR="002E49B3" w:rsidRPr="00B75B77">
        <w:rPr>
          <w:rFonts w:ascii="Calibri" w:eastAsia="Times New Roman" w:hAnsi="Calibri"/>
          <w:color w:val="000000"/>
          <w:sz w:val="14"/>
          <w:szCs w:val="14"/>
        </w:rPr>
        <w:t xml:space="preserve">. </w:t>
      </w:r>
    </w:p>
    <w:p w:rsidR="00A755C3" w:rsidRPr="00B75B77" w:rsidRDefault="00A755C3" w:rsidP="00FF692F">
      <w:pPr>
        <w:autoSpaceDE w:val="0"/>
        <w:autoSpaceDN w:val="0"/>
        <w:adjustRightInd w:val="0"/>
      </w:pPr>
      <w:r w:rsidRPr="00B75B77">
        <w:rPr>
          <w:rFonts w:ascii="Century Gothic" w:hAnsi="Century Gothic"/>
          <w:b/>
        </w:rPr>
        <w:t>Avoided Cost</w:t>
      </w:r>
      <w:r w:rsidRPr="00B75B77">
        <w:rPr>
          <w:rFonts w:ascii="Century Gothic" w:hAnsi="Century Gothic"/>
        </w:rPr>
        <w:t>:</w:t>
      </w:r>
      <w:r w:rsidRPr="00B75B77">
        <w:t xml:space="preserve"> In the context of energy efficiency, the costs that are avoided by the implementation of an energy efficiency measure, program, or practice. Such costs are used in benefit</w:t>
      </w:r>
      <w:r w:rsidR="003A1913" w:rsidRPr="00B75B77">
        <w:t>-</w:t>
      </w:r>
      <w:r w:rsidRPr="00B75B77">
        <w:t>cost analyses of energy efficiency measures and programs as defined by the Pennsylvania PUC in the</w:t>
      </w:r>
      <w:r w:rsidR="009804CB" w:rsidRPr="00B75B77">
        <w:t xml:space="preserve"> 2013</w:t>
      </w:r>
      <w:r w:rsidRPr="00B75B77">
        <w:t xml:space="preserve"> TRC Test Order.</w:t>
      </w:r>
    </w:p>
    <w:p w:rsidR="008C26AD" w:rsidRPr="00B75B77" w:rsidRDefault="008C26AD" w:rsidP="009E6C10">
      <w:pPr>
        <w:widowControl w:val="0"/>
        <w:pBdr>
          <w:bottom w:val="single" w:sz="8" w:space="1" w:color="448A99"/>
        </w:pBdr>
        <w:spacing w:before="120" w:after="120"/>
        <w:rPr>
          <w:rFonts w:ascii="Century Gothic" w:hAnsi="Century Gothic"/>
          <w:b/>
          <w:bCs/>
          <w:color w:val="448A99"/>
          <w:sz w:val="30"/>
          <w:szCs w:val="30"/>
          <w:lang w:bidi="en-US"/>
        </w:rPr>
      </w:pPr>
      <w:r w:rsidRPr="00B75B77">
        <w:rPr>
          <w:rFonts w:ascii="Century Gothic" w:hAnsi="Century Gothic"/>
          <w:b/>
          <w:bCs/>
          <w:color w:val="448A99"/>
          <w:sz w:val="30"/>
          <w:szCs w:val="30"/>
          <w:lang w:bidi="en-US"/>
        </w:rPr>
        <w:t>-B-</w:t>
      </w:r>
    </w:p>
    <w:p w:rsidR="00A755C3" w:rsidRPr="00B75B77" w:rsidRDefault="00A755C3" w:rsidP="00AA0C53">
      <w:pPr>
        <w:tabs>
          <w:tab w:val="left" w:pos="720"/>
        </w:tabs>
        <w:spacing w:after="120"/>
      </w:pPr>
      <w:r w:rsidRPr="00B75B77">
        <w:rPr>
          <w:rFonts w:ascii="Century Gothic" w:hAnsi="Century Gothic"/>
          <w:b/>
        </w:rPr>
        <w:t>Baseline</w:t>
      </w:r>
      <w:r w:rsidRPr="00B75B77">
        <w:rPr>
          <w:rFonts w:ascii="Century Gothic" w:hAnsi="Century Gothic"/>
        </w:rPr>
        <w:t>:</w:t>
      </w:r>
      <w:r w:rsidRPr="00B75B77">
        <w:t xml:space="preserve"> Conditions that would have occurred without implementation of the subject measure or project. Baseline conditions are sometimes referred to as business-as-usual conditions and are used to calculate program-related efficiency or emissions savings. Baselines can be defined as either project-specific baselines or performance-standard baselines (e.g., building codes). For the purposes of Act 129, baselines are defined in the Pennsylvania TRM, in approved custom protocols, and in TRM interim approved protocols.</w:t>
      </w:r>
    </w:p>
    <w:p w:rsidR="00A755C3" w:rsidRPr="00B75B77" w:rsidRDefault="00A755C3" w:rsidP="00AA0C53">
      <w:pPr>
        <w:tabs>
          <w:tab w:val="left" w:pos="720"/>
        </w:tabs>
        <w:spacing w:after="120"/>
      </w:pPr>
      <w:r w:rsidRPr="00B75B77">
        <w:rPr>
          <w:rFonts w:ascii="Century Gothic" w:hAnsi="Century Gothic"/>
          <w:b/>
        </w:rPr>
        <w:t>Baseline Data</w:t>
      </w:r>
      <w:r w:rsidRPr="00B75B77">
        <w:rPr>
          <w:rFonts w:ascii="Century Gothic" w:hAnsi="Century Gothic"/>
        </w:rPr>
        <w:t>:</w:t>
      </w:r>
      <w:r w:rsidRPr="00B75B77">
        <w:t xml:space="preserve"> The information representing the systems being upgraded before the energy efficiency activity takes place. </w:t>
      </w:r>
    </w:p>
    <w:p w:rsidR="00A755C3" w:rsidRPr="00B75B77" w:rsidRDefault="00A755C3" w:rsidP="00AA0C53">
      <w:pPr>
        <w:tabs>
          <w:tab w:val="left" w:pos="720"/>
        </w:tabs>
        <w:spacing w:after="120"/>
        <w:rPr>
          <w:b/>
        </w:rPr>
      </w:pPr>
      <w:r w:rsidRPr="00B75B77">
        <w:rPr>
          <w:rFonts w:ascii="Century Gothic" w:hAnsi="Century Gothic"/>
          <w:b/>
        </w:rPr>
        <w:t>Benefit</w:t>
      </w:r>
      <w:r w:rsidR="003A1913" w:rsidRPr="00B75B77">
        <w:rPr>
          <w:rFonts w:ascii="Century Gothic" w:hAnsi="Century Gothic"/>
          <w:b/>
        </w:rPr>
        <w:t>-</w:t>
      </w:r>
      <w:r w:rsidRPr="00B75B77">
        <w:rPr>
          <w:rFonts w:ascii="Century Gothic" w:hAnsi="Century Gothic"/>
          <w:b/>
        </w:rPr>
        <w:t>Cost Ratio</w:t>
      </w:r>
      <w:r w:rsidRPr="00B75B77">
        <w:t>: The mathematical relationship between the benefits and costs associated with the implementation of energy efficiency measures, programs, or practices. The benefits and costs are typically expressed in dollars. This is the ratio of the discounted total benefits of the program to the discounted total costs over the expected useful life of the energy efficiency measure. The explicit formula for use in Pennsylvania is set forth in the TRC Order.</w:t>
      </w:r>
      <w:r w:rsidR="009804CB" w:rsidRPr="00B75B77">
        <w:t xml:space="preserve"> </w:t>
      </w:r>
      <w:r w:rsidRPr="00B75B77">
        <w:t xml:space="preserve">Also see </w:t>
      </w:r>
      <w:r w:rsidRPr="00B75B77">
        <w:rPr>
          <w:i/>
        </w:rPr>
        <w:t>Benefit-Cost Test</w:t>
      </w:r>
      <w:r w:rsidRPr="00B75B77">
        <w:t xml:space="preserve">. </w:t>
      </w:r>
    </w:p>
    <w:p w:rsidR="00A755C3" w:rsidRPr="00B75B77" w:rsidRDefault="00A755C3" w:rsidP="00AA0C53">
      <w:pPr>
        <w:tabs>
          <w:tab w:val="left" w:pos="720"/>
        </w:tabs>
        <w:spacing w:after="120"/>
      </w:pPr>
      <w:r w:rsidRPr="00B75B77">
        <w:rPr>
          <w:rFonts w:ascii="Century Gothic" w:hAnsi="Century Gothic"/>
          <w:b/>
        </w:rPr>
        <w:t>Benefit-Cost Test</w:t>
      </w:r>
      <w:r w:rsidRPr="00B75B77">
        <w:rPr>
          <w:rFonts w:ascii="Century Gothic" w:hAnsi="Century Gothic"/>
        </w:rPr>
        <w:t>:</w:t>
      </w:r>
      <w:r w:rsidRPr="00B75B77">
        <w:t xml:space="preserve"> Also called </w:t>
      </w:r>
      <w:r w:rsidR="003A1913" w:rsidRPr="00B75B77">
        <w:t xml:space="preserve">the </w:t>
      </w:r>
      <w:r w:rsidRPr="00B75B77">
        <w:rPr>
          <w:i/>
        </w:rPr>
        <w:t xml:space="preserve">Cost-Effectiveness Test, </w:t>
      </w:r>
      <w:r w:rsidRPr="00B75B77">
        <w:t xml:space="preserve">defined as the methodology used to compare the benefits of an investment to the costs. For programs evaluated under Act 129, the TRC Test is the required benefit-cost test as </w:t>
      </w:r>
      <w:r w:rsidR="00F00871" w:rsidRPr="00B75B77">
        <w:t xml:space="preserve">established </w:t>
      </w:r>
      <w:r w:rsidRPr="00B75B77">
        <w:t>in the TRC Order.</w:t>
      </w:r>
    </w:p>
    <w:p w:rsidR="00A755C3" w:rsidRPr="00B75B77" w:rsidRDefault="00FF692F" w:rsidP="00FF692F">
      <w:pPr>
        <w:tabs>
          <w:tab w:val="left" w:pos="720"/>
        </w:tabs>
        <w:ind w:hanging="720"/>
      </w:pPr>
      <w:r w:rsidRPr="00B75B77">
        <w:rPr>
          <w:b/>
        </w:rPr>
        <w:tab/>
      </w:r>
      <w:r w:rsidR="00A755C3" w:rsidRPr="00B75B77">
        <w:rPr>
          <w:rFonts w:ascii="Century Gothic" w:hAnsi="Century Gothic"/>
          <w:b/>
        </w:rPr>
        <w:t>Bias</w:t>
      </w:r>
      <w:r w:rsidR="00A755C3" w:rsidRPr="00B75B77">
        <w:rPr>
          <w:rFonts w:ascii="Century Gothic" w:hAnsi="Century Gothic"/>
        </w:rPr>
        <w:t>:</w:t>
      </w:r>
      <w:r w:rsidR="00A755C3" w:rsidRPr="00B75B77">
        <w:t xml:space="preserve"> The extent to which a measurement, sampling, or analytic method systematically underestimates or overestimates a value. Some examples of types of bias include engineering model bias; meter bias; sensor bias; an inadequate or inappropriate estimate of what would have happened absent a program or measure installation; a sample that is unrepresentative of a population; and selection of other variables in an analysis that are too correlated with the savings variable (or each other) in explaining the dependent varia</w:t>
      </w:r>
      <w:r w:rsidR="00AA0C53" w:rsidRPr="00B75B77">
        <w:t>ble (such as consumption).</w:t>
      </w:r>
    </w:p>
    <w:p w:rsidR="008C26AD" w:rsidRPr="00B75B77" w:rsidRDefault="008C26AD" w:rsidP="009E6C10">
      <w:pPr>
        <w:widowControl w:val="0"/>
        <w:pBdr>
          <w:bottom w:val="single" w:sz="8" w:space="1" w:color="448A99"/>
        </w:pBdr>
        <w:spacing w:before="120" w:after="120"/>
        <w:rPr>
          <w:rFonts w:ascii="Century Gothic" w:hAnsi="Century Gothic"/>
          <w:b/>
          <w:bCs/>
          <w:color w:val="448A99"/>
          <w:sz w:val="30"/>
          <w:szCs w:val="30"/>
          <w:lang w:bidi="en-US"/>
        </w:rPr>
      </w:pPr>
      <w:r w:rsidRPr="00B75B77">
        <w:rPr>
          <w:rFonts w:ascii="Century Gothic" w:hAnsi="Century Gothic"/>
          <w:b/>
          <w:bCs/>
          <w:color w:val="448A99"/>
          <w:sz w:val="30"/>
          <w:szCs w:val="30"/>
          <w:lang w:bidi="en-US"/>
        </w:rPr>
        <w:t>-C-</w:t>
      </w:r>
    </w:p>
    <w:p w:rsidR="00A755C3" w:rsidRPr="00B75B77" w:rsidRDefault="00A755C3" w:rsidP="00AA0C53">
      <w:pPr>
        <w:tabs>
          <w:tab w:val="left" w:pos="720"/>
        </w:tabs>
        <w:spacing w:after="120"/>
      </w:pPr>
      <w:r w:rsidRPr="00B75B77">
        <w:rPr>
          <w:rFonts w:ascii="Century Gothic" w:hAnsi="Century Gothic"/>
          <w:b/>
        </w:rPr>
        <w:t>Coefficient of Variation</w:t>
      </w:r>
      <w:r w:rsidR="002E0AE7" w:rsidRPr="00B75B77">
        <w:rPr>
          <w:rFonts w:ascii="Century Gothic" w:hAnsi="Century Gothic"/>
          <w:b/>
        </w:rPr>
        <w:t xml:space="preserve"> (CV)</w:t>
      </w:r>
      <w:r w:rsidRPr="00B75B77">
        <w:rPr>
          <w:rFonts w:ascii="Century Gothic" w:hAnsi="Century Gothic"/>
        </w:rPr>
        <w:t>:</w:t>
      </w:r>
      <w:r w:rsidRPr="00B75B77">
        <w:t xml:space="preserve"> The mean (average) of a sample divided by its standard error.</w:t>
      </w:r>
    </w:p>
    <w:p w:rsidR="004E3AF9" w:rsidRPr="00B75B77" w:rsidRDefault="00A755C3" w:rsidP="00AA0C53">
      <w:pPr>
        <w:tabs>
          <w:tab w:val="left" w:pos="720"/>
        </w:tabs>
        <w:spacing w:after="120"/>
      </w:pPr>
      <w:r w:rsidRPr="00B75B77">
        <w:rPr>
          <w:rFonts w:ascii="Century Gothic" w:hAnsi="Century Gothic"/>
          <w:b/>
        </w:rPr>
        <w:lastRenderedPageBreak/>
        <w:t>Coincident Demand</w:t>
      </w:r>
      <w:r w:rsidRPr="00B75B77">
        <w:rPr>
          <w:rFonts w:ascii="Century Gothic" w:hAnsi="Century Gothic"/>
        </w:rPr>
        <w:t>:</w:t>
      </w:r>
      <w:r w:rsidRPr="00B75B77">
        <w:t xml:space="preserve"> The demand of a device, circuit, or building that occurs at the same time as the </w:t>
      </w:r>
      <w:r w:rsidR="008A3911" w:rsidRPr="00B75B77">
        <w:t xml:space="preserve">system peak demand. </w:t>
      </w:r>
      <w:r w:rsidR="004046F0" w:rsidRPr="00B75B77">
        <w:t xml:space="preserve">For purposes of Act 129 reporting, the coincident demand is during the peak period as defined in the TRM (June through August, excluding weekends and holidays between 2 </w:t>
      </w:r>
      <w:r w:rsidR="003A1913" w:rsidRPr="00B75B77">
        <w:t xml:space="preserve">p.m. </w:t>
      </w:r>
      <w:r w:rsidR="004046F0" w:rsidRPr="00B75B77">
        <w:t>and 6</w:t>
      </w:r>
      <w:r w:rsidR="00691C71" w:rsidRPr="00B75B77">
        <w:t xml:space="preserve"> </w:t>
      </w:r>
      <w:r w:rsidR="00F92686" w:rsidRPr="00B75B77">
        <w:t>p.m.</w:t>
      </w:r>
      <w:r w:rsidR="002E0AE7" w:rsidRPr="00B75B77">
        <w:t>)</w:t>
      </w:r>
      <w:r w:rsidR="004046F0" w:rsidRPr="00B75B77">
        <w:t xml:space="preserve">. </w:t>
      </w:r>
    </w:p>
    <w:p w:rsidR="00A755C3" w:rsidRPr="00B75B77" w:rsidRDefault="00A755C3" w:rsidP="00AA0C53">
      <w:pPr>
        <w:tabs>
          <w:tab w:val="left" w:pos="720"/>
        </w:tabs>
        <w:spacing w:after="120"/>
      </w:pPr>
      <w:r w:rsidRPr="00B75B77">
        <w:rPr>
          <w:rFonts w:ascii="Century Gothic" w:hAnsi="Century Gothic"/>
          <w:b/>
        </w:rPr>
        <w:t>Coincidence Factor</w:t>
      </w:r>
      <w:r w:rsidRPr="00B75B77">
        <w:rPr>
          <w:rFonts w:ascii="Century Gothic" w:hAnsi="Century Gothic"/>
        </w:rPr>
        <w:t>:</w:t>
      </w:r>
      <w:r w:rsidRPr="00B75B77">
        <w:t xml:space="preserve"> The ratio, expressed as a numerical value or as a percentage of connected load, of the coincident demand of an electrical appliance or facility type </w:t>
      </w:r>
      <w:r w:rsidR="008A3911" w:rsidRPr="00B75B77">
        <w:t>to</w:t>
      </w:r>
      <w:r w:rsidRPr="00B75B77">
        <w:t xml:space="preserve"> the system peak. </w:t>
      </w:r>
    </w:p>
    <w:p w:rsidR="00A755C3" w:rsidRPr="00B75B77" w:rsidRDefault="00A755C3" w:rsidP="00AA0C53">
      <w:pPr>
        <w:tabs>
          <w:tab w:val="left" w:pos="720"/>
        </w:tabs>
        <w:spacing w:after="120"/>
      </w:pPr>
      <w:proofErr w:type="gramStart"/>
      <w:r w:rsidRPr="00B75B77">
        <w:rPr>
          <w:rFonts w:ascii="Century Gothic" w:hAnsi="Century Gothic"/>
          <w:b/>
        </w:rPr>
        <w:t>Completed Project:</w:t>
      </w:r>
      <w:r w:rsidRPr="00B75B77">
        <w:t xml:space="preserve"> A project in which the energy conservation measure has been installed and is commercially operable, and for which a</w:t>
      </w:r>
      <w:r w:rsidR="00F00871" w:rsidRPr="00B75B77">
        <w:t xml:space="preserve">n incentive </w:t>
      </w:r>
      <w:r w:rsidRPr="00B75B77">
        <w:t xml:space="preserve">has been </w:t>
      </w:r>
      <w:r w:rsidR="00F00871" w:rsidRPr="00B75B77">
        <w:t>provided</w:t>
      </w:r>
      <w:r w:rsidRPr="00B75B77">
        <w:t>.</w:t>
      </w:r>
      <w:proofErr w:type="gramEnd"/>
    </w:p>
    <w:p w:rsidR="00A755C3" w:rsidRPr="00B75B77" w:rsidRDefault="00A755C3" w:rsidP="00AA0C53">
      <w:pPr>
        <w:tabs>
          <w:tab w:val="left" w:pos="720"/>
        </w:tabs>
        <w:spacing w:after="120"/>
      </w:pPr>
      <w:r w:rsidRPr="00B75B77">
        <w:rPr>
          <w:rFonts w:ascii="Century Gothic" w:hAnsi="Century Gothic"/>
          <w:b/>
        </w:rPr>
        <w:t>Confidence</w:t>
      </w:r>
      <w:r w:rsidRPr="00B75B77">
        <w:rPr>
          <w:rFonts w:ascii="Century Gothic" w:hAnsi="Century Gothic"/>
        </w:rPr>
        <w:t>:</w:t>
      </w:r>
      <w:r w:rsidRPr="00B75B77">
        <w:t xml:space="preserve"> An indication of the probability that an estimate is within a specified range of the true value of the quantity in question. Confidence is the likelihood that the evaluation has captured the true value of a variable within a certain estimated range. Also see </w:t>
      </w:r>
      <w:r w:rsidRPr="00B75B77">
        <w:rPr>
          <w:i/>
        </w:rPr>
        <w:t>Precision</w:t>
      </w:r>
      <w:r w:rsidRPr="00B75B77">
        <w:t>.</w:t>
      </w:r>
    </w:p>
    <w:p w:rsidR="00A755C3" w:rsidRPr="00B75B77" w:rsidRDefault="00A755C3" w:rsidP="00AA0C53">
      <w:pPr>
        <w:tabs>
          <w:tab w:val="left" w:pos="720"/>
        </w:tabs>
        <w:spacing w:after="120"/>
      </w:pPr>
      <w:r w:rsidRPr="00B75B77">
        <w:rPr>
          <w:rFonts w:ascii="Century Gothic" w:hAnsi="Century Gothic"/>
          <w:b/>
        </w:rPr>
        <w:t>Correlation</w:t>
      </w:r>
      <w:r w:rsidRPr="00B75B77">
        <w:rPr>
          <w:rFonts w:ascii="Century Gothic" w:hAnsi="Century Gothic"/>
          <w:color w:val="000000"/>
        </w:rPr>
        <w:t>:</w:t>
      </w:r>
      <w:r w:rsidRPr="00B75B77">
        <w:rPr>
          <w:color w:val="000000"/>
        </w:rPr>
        <w:t xml:space="preserve"> F</w:t>
      </w:r>
      <w:r w:rsidRPr="00B75B77">
        <w:t>or a set of observations, such as for participants in an energy efficiency program, the extent to which values for one variable are associated with values of another variable for the same participant. For example, facility size and energy consumption usually have a high positive correlation.</w:t>
      </w:r>
    </w:p>
    <w:p w:rsidR="00A755C3" w:rsidRPr="00B75B77" w:rsidRDefault="00A755C3" w:rsidP="00AA0C53">
      <w:pPr>
        <w:tabs>
          <w:tab w:val="left" w:pos="720"/>
        </w:tabs>
        <w:spacing w:after="120"/>
      </w:pPr>
      <w:r w:rsidRPr="00B75B77">
        <w:rPr>
          <w:rFonts w:ascii="Century Gothic" w:hAnsi="Century Gothic"/>
          <w:b/>
          <w:spacing w:val="-2"/>
        </w:rPr>
        <w:t>Cost-Benefit and Cost-Effectiveness Analysis</w:t>
      </w:r>
      <w:r w:rsidRPr="00B75B77">
        <w:rPr>
          <w:rFonts w:ascii="Century Gothic" w:hAnsi="Century Gothic"/>
          <w:spacing w:val="-2"/>
        </w:rPr>
        <w:t>:</w:t>
      </w:r>
      <w:r w:rsidRPr="00B75B77">
        <w:rPr>
          <w:spacing w:val="-2"/>
        </w:rPr>
        <w:t xml:space="preserve"> See </w:t>
      </w:r>
      <w:r w:rsidRPr="00B75B77">
        <w:rPr>
          <w:i/>
          <w:spacing w:val="-2"/>
        </w:rPr>
        <w:t>Benefit-Cost Test</w:t>
      </w:r>
      <w:r w:rsidRPr="00B75B77">
        <w:rPr>
          <w:spacing w:val="-2"/>
        </w:rPr>
        <w:t>.</w:t>
      </w:r>
      <w:r w:rsidRPr="00B75B77">
        <w:t xml:space="preserve"> </w:t>
      </w:r>
    </w:p>
    <w:p w:rsidR="00A755C3" w:rsidRPr="00B75B77" w:rsidRDefault="00A755C3" w:rsidP="00AA0C53">
      <w:pPr>
        <w:tabs>
          <w:tab w:val="left" w:pos="540"/>
          <w:tab w:val="left" w:pos="720"/>
        </w:tabs>
        <w:spacing w:after="120"/>
      </w:pPr>
      <w:r w:rsidRPr="00B75B77">
        <w:rPr>
          <w:rFonts w:ascii="Century Gothic" w:hAnsi="Century Gothic"/>
          <w:b/>
          <w:bCs/>
        </w:rPr>
        <w:t>Cost-Effectiveness</w:t>
      </w:r>
      <w:r w:rsidRPr="00B75B77">
        <w:rPr>
          <w:rFonts w:ascii="Century Gothic" w:hAnsi="Century Gothic"/>
          <w:bCs/>
        </w:rPr>
        <w:t>:</w:t>
      </w:r>
      <w:r w:rsidRPr="00B75B77">
        <w:rPr>
          <w:bCs/>
        </w:rPr>
        <w:t xml:space="preserve"> A</w:t>
      </w:r>
      <w:r w:rsidRPr="00B75B77">
        <w:t xml:space="preserve">n indicator of the relative performance or economic attractiveness of an investment or practice. In the energy efficiency field, the present value of the estimated benefits produced by an energy efficiency program is compared to the estimated total costs to determine if the proposed investment or measure is desirable from a variety of perspectives (e.g., whether the estimated benefits exceed the estimated costs </w:t>
      </w:r>
      <w:r w:rsidR="004046F0" w:rsidRPr="00B75B77">
        <w:t>consistent with def</w:t>
      </w:r>
      <w:r w:rsidR="00E25680" w:rsidRPr="00B75B77">
        <w:t>initions in the T</w:t>
      </w:r>
      <w:r w:rsidR="004046F0" w:rsidRPr="00B75B77">
        <w:t xml:space="preserve">RC </w:t>
      </w:r>
      <w:r w:rsidR="00EB7B4D" w:rsidRPr="00B75B77">
        <w:t>Order</w:t>
      </w:r>
      <w:r w:rsidRPr="00B75B77">
        <w:t xml:space="preserve">. </w:t>
      </w:r>
      <w:r w:rsidRPr="00B75B77">
        <w:rPr>
          <w:spacing w:val="-2"/>
        </w:rPr>
        <w:t xml:space="preserve">See </w:t>
      </w:r>
      <w:r w:rsidRPr="00B75B77">
        <w:rPr>
          <w:i/>
          <w:spacing w:val="-2"/>
        </w:rPr>
        <w:t>Benefit-Cost Test</w:t>
      </w:r>
      <w:r w:rsidRPr="00B75B77">
        <w:rPr>
          <w:spacing w:val="-2"/>
        </w:rPr>
        <w:t>.</w:t>
      </w:r>
    </w:p>
    <w:p w:rsidR="00A755C3" w:rsidRPr="00B75B77" w:rsidRDefault="00A755C3" w:rsidP="00AA0C53">
      <w:pPr>
        <w:tabs>
          <w:tab w:val="left" w:pos="540"/>
          <w:tab w:val="left" w:pos="720"/>
        </w:tabs>
        <w:spacing w:after="120"/>
      </w:pPr>
      <w:r w:rsidRPr="00B75B77">
        <w:rPr>
          <w:rFonts w:ascii="Century Gothic" w:hAnsi="Century Gothic"/>
          <w:b/>
        </w:rPr>
        <w:t>Cost-Effectiveness Test</w:t>
      </w:r>
      <w:r w:rsidRPr="00B75B77">
        <w:rPr>
          <w:rFonts w:ascii="Century Gothic" w:hAnsi="Century Gothic"/>
        </w:rPr>
        <w:t>:</w:t>
      </w:r>
      <w:r w:rsidRPr="00B75B77">
        <w:t xml:space="preserve"> See </w:t>
      </w:r>
      <w:r w:rsidRPr="00B75B77">
        <w:rPr>
          <w:i/>
        </w:rPr>
        <w:t>Benefit-Cost Test</w:t>
      </w:r>
      <w:r w:rsidRPr="00B75B77">
        <w:t>.</w:t>
      </w:r>
    </w:p>
    <w:p w:rsidR="00A755C3" w:rsidRPr="00B75B77" w:rsidRDefault="00A755C3" w:rsidP="00AA0C53">
      <w:pPr>
        <w:tabs>
          <w:tab w:val="left" w:pos="540"/>
          <w:tab w:val="left" w:pos="720"/>
        </w:tabs>
        <w:spacing w:after="120"/>
      </w:pPr>
      <w:r w:rsidRPr="00B75B77">
        <w:rPr>
          <w:rFonts w:ascii="Century Gothic" w:hAnsi="Century Gothic"/>
          <w:b/>
        </w:rPr>
        <w:t>Cumulative Energy Savings</w:t>
      </w:r>
      <w:r w:rsidRPr="00B75B77">
        <w:rPr>
          <w:rFonts w:ascii="Century Gothic" w:hAnsi="Century Gothic"/>
        </w:rPr>
        <w:t>:</w:t>
      </w:r>
      <w:r w:rsidRPr="00B75B77">
        <w:t xml:space="preserve"> The summation of energy savings associated with multiple projects or programs over a specified period of time.</w:t>
      </w:r>
    </w:p>
    <w:p w:rsidR="00A755C3" w:rsidRPr="00B75B77" w:rsidRDefault="00A755C3" w:rsidP="00AA0C53">
      <w:pPr>
        <w:tabs>
          <w:tab w:val="left" w:pos="540"/>
          <w:tab w:val="left" w:pos="720"/>
        </w:tabs>
      </w:pPr>
      <w:r w:rsidRPr="00B75B77">
        <w:rPr>
          <w:rFonts w:ascii="Century Gothic" w:hAnsi="Century Gothic"/>
          <w:b/>
        </w:rPr>
        <w:t>Custom Program</w:t>
      </w:r>
      <w:r w:rsidRPr="00B75B77">
        <w:rPr>
          <w:rFonts w:ascii="Century Gothic" w:hAnsi="Century Gothic"/>
        </w:rPr>
        <w:t>:</w:t>
      </w:r>
      <w:r w:rsidRPr="00B75B77">
        <w:t xml:space="preserve"> An energy efficiency program intended to provide efficiency solutions to unique situations not amenable to common or prescriptive solutions addressed by the Pennsylvania TRM. Each custom project is examined for its individual characteristics, savings opportunities, efficiency solutions, and often, customer incentives. Under Act 129, these programs fall outside of the jurisdiction of the Pennsylvania TRM, and thus the M&amp;V protocols for each should be approved by the SWE. </w:t>
      </w:r>
    </w:p>
    <w:p w:rsidR="008C26AD" w:rsidRPr="00B75B77" w:rsidRDefault="008C26AD" w:rsidP="009E6C10">
      <w:pPr>
        <w:widowControl w:val="0"/>
        <w:pBdr>
          <w:bottom w:val="single" w:sz="8" w:space="1" w:color="448A99"/>
        </w:pBdr>
        <w:spacing w:before="120" w:after="120"/>
        <w:jc w:val="left"/>
        <w:rPr>
          <w:rFonts w:ascii="Century Gothic" w:hAnsi="Century Gothic"/>
          <w:b/>
          <w:bCs/>
          <w:color w:val="448A99"/>
          <w:sz w:val="30"/>
          <w:szCs w:val="30"/>
          <w:lang w:bidi="en-US"/>
        </w:rPr>
      </w:pPr>
      <w:r w:rsidRPr="00B75B77">
        <w:rPr>
          <w:rFonts w:ascii="Century Gothic" w:hAnsi="Century Gothic"/>
          <w:b/>
          <w:bCs/>
          <w:color w:val="448A99"/>
          <w:sz w:val="30"/>
          <w:szCs w:val="30"/>
          <w:lang w:bidi="en-US"/>
        </w:rPr>
        <w:t>-D-</w:t>
      </w:r>
    </w:p>
    <w:p w:rsidR="00A755C3" w:rsidRPr="00B75B77" w:rsidRDefault="00FF692F" w:rsidP="00E6236A">
      <w:pPr>
        <w:tabs>
          <w:tab w:val="left" w:pos="540"/>
          <w:tab w:val="left" w:pos="720"/>
        </w:tabs>
        <w:spacing w:after="120"/>
        <w:ind w:hanging="720"/>
      </w:pPr>
      <w:r w:rsidRPr="00B75B77">
        <w:rPr>
          <w:b/>
        </w:rPr>
        <w:tab/>
      </w:r>
      <w:r w:rsidR="00A755C3" w:rsidRPr="00B75B77">
        <w:rPr>
          <w:rFonts w:ascii="Century Gothic" w:hAnsi="Century Gothic"/>
          <w:b/>
        </w:rPr>
        <w:t>Deemed Savings</w:t>
      </w:r>
      <w:r w:rsidR="00A755C3" w:rsidRPr="00B75B77">
        <w:rPr>
          <w:rFonts w:ascii="Century Gothic" w:hAnsi="Century Gothic"/>
        </w:rPr>
        <w:t>:</w:t>
      </w:r>
      <w:r w:rsidR="00A755C3" w:rsidRPr="00B75B77">
        <w:t xml:space="preserve"> An estimate of energy or demand savings for a single unit of </w:t>
      </w:r>
      <w:proofErr w:type="gramStart"/>
      <w:r w:rsidR="00A755C3" w:rsidRPr="00B75B77">
        <w:t>an installed</w:t>
      </w:r>
      <w:proofErr w:type="gramEnd"/>
      <w:r w:rsidR="00A755C3" w:rsidRPr="00B75B77">
        <w:t xml:space="preserve"> energy efficiency measure that: (1) has been developed from data sources and analytical methods that are widely considered acceptable for the measure and purpose, and (2) is applicable to the situation being evaluated. Individual parameters or calculation methods can also be deemed. Deemed savings for measures implemented under Act 129 are stipulated in the Pennsylvania TRM, which undergoes an annual review and update process, as well as in the Interim TRM Measures, which are subject to interim approval by the SWE.</w:t>
      </w:r>
    </w:p>
    <w:p w:rsidR="00A755C3" w:rsidRPr="00B75B77" w:rsidRDefault="00FF692F" w:rsidP="00E6236A">
      <w:pPr>
        <w:tabs>
          <w:tab w:val="left" w:pos="540"/>
          <w:tab w:val="left" w:pos="720"/>
        </w:tabs>
        <w:spacing w:after="120"/>
        <w:ind w:hanging="720"/>
      </w:pPr>
      <w:r w:rsidRPr="00B75B77">
        <w:rPr>
          <w:b/>
        </w:rPr>
        <w:tab/>
      </w:r>
      <w:r w:rsidR="00A755C3" w:rsidRPr="00B75B77">
        <w:rPr>
          <w:rFonts w:ascii="Century Gothic" w:hAnsi="Century Gothic"/>
          <w:b/>
        </w:rPr>
        <w:t>Defensibility</w:t>
      </w:r>
      <w:r w:rsidR="00A755C3" w:rsidRPr="00B75B77">
        <w:rPr>
          <w:rFonts w:ascii="Century Gothic" w:hAnsi="Century Gothic"/>
        </w:rPr>
        <w:t>:</w:t>
      </w:r>
      <w:r w:rsidR="00A755C3" w:rsidRPr="00B75B77">
        <w:t xml:space="preserve"> The ability of evaluation results to stand up to scientific scrutiny. Defensibility is based on assessments by experts of the evaluation’s validity, reliability, and accuracy. Under Act 129, it is the role of the SWE to determine the defensibility of the verified savings estimates reported by each of the EDCs. </w:t>
      </w:r>
    </w:p>
    <w:p w:rsidR="00A755C3" w:rsidRPr="00B75B77" w:rsidRDefault="00FF692F" w:rsidP="00E6236A">
      <w:pPr>
        <w:tabs>
          <w:tab w:val="left" w:pos="540"/>
          <w:tab w:val="left" w:pos="720"/>
        </w:tabs>
        <w:spacing w:after="120"/>
        <w:ind w:hanging="720"/>
      </w:pPr>
      <w:r w:rsidRPr="00B75B77">
        <w:rPr>
          <w:b/>
        </w:rPr>
        <w:tab/>
      </w:r>
      <w:r w:rsidR="00A755C3" w:rsidRPr="00B75B77">
        <w:rPr>
          <w:rFonts w:ascii="Century Gothic" w:hAnsi="Century Gothic"/>
          <w:b/>
        </w:rPr>
        <w:t>Delta Watts</w:t>
      </w:r>
      <w:r w:rsidR="00A755C3" w:rsidRPr="00B75B77">
        <w:rPr>
          <w:rFonts w:ascii="Century Gothic" w:hAnsi="Century Gothic"/>
        </w:rPr>
        <w:t>:</w:t>
      </w:r>
      <w:r w:rsidR="00A755C3" w:rsidRPr="00B75B77">
        <w:t xml:space="preserve"> The difference in the connected load (wattage) between existing or baseline equipment and the energy</w:t>
      </w:r>
      <w:r w:rsidR="002922A4" w:rsidRPr="00B75B77">
        <w:t xml:space="preserve"> </w:t>
      </w:r>
      <w:r w:rsidR="00A755C3" w:rsidRPr="00B75B77">
        <w:t>efficient replacement equipment, expressed in Watts or kilowatts.</w:t>
      </w:r>
    </w:p>
    <w:p w:rsidR="00A755C3" w:rsidRPr="00B75B77" w:rsidRDefault="00FF692F" w:rsidP="00E6236A">
      <w:pPr>
        <w:tabs>
          <w:tab w:val="left" w:pos="540"/>
          <w:tab w:val="left" w:pos="720"/>
        </w:tabs>
        <w:spacing w:after="120"/>
        <w:ind w:hanging="720"/>
      </w:pPr>
      <w:r w:rsidRPr="00B75B77">
        <w:rPr>
          <w:b/>
        </w:rPr>
        <w:lastRenderedPageBreak/>
        <w:tab/>
      </w:r>
      <w:r w:rsidR="00A755C3" w:rsidRPr="00B75B77">
        <w:rPr>
          <w:rFonts w:ascii="Century Gothic" w:hAnsi="Century Gothic"/>
          <w:b/>
        </w:rPr>
        <w:t>Demand</w:t>
      </w:r>
      <w:r w:rsidR="00A755C3" w:rsidRPr="00B75B77">
        <w:rPr>
          <w:rFonts w:ascii="Century Gothic" w:hAnsi="Century Gothic"/>
        </w:rPr>
        <w:t>:</w:t>
      </w:r>
      <w:r w:rsidR="00A755C3" w:rsidRPr="00B75B77">
        <w:t xml:space="preserve"> The rate of energy flow. Demand usually refers to the amount of electric energy used by a customer or piece of equipment over a defined time interval (e.g., 15 minutes), expressed in </w:t>
      </w:r>
      <w:r w:rsidR="003A1913" w:rsidRPr="00B75B77">
        <w:t xml:space="preserve">kilowatts </w:t>
      </w:r>
      <w:r w:rsidR="00A755C3" w:rsidRPr="00B75B77">
        <w:t>(equals kWh/h). Demand can also refer to natural gas usage over a defined time interval, usually as Btu/</w:t>
      </w:r>
      <w:r w:rsidR="00F92686" w:rsidRPr="00B75B77">
        <w:t>hr.</w:t>
      </w:r>
      <w:r w:rsidR="00A755C3" w:rsidRPr="00B75B77">
        <w:t xml:space="preserve">, </w:t>
      </w:r>
      <w:proofErr w:type="spellStart"/>
      <w:r w:rsidR="00A755C3" w:rsidRPr="00B75B77">
        <w:t>kBtu</w:t>
      </w:r>
      <w:proofErr w:type="spellEnd"/>
      <w:r w:rsidR="00A755C3" w:rsidRPr="00B75B77">
        <w:t>/</w:t>
      </w:r>
      <w:r w:rsidR="00F92686" w:rsidRPr="00B75B77">
        <w:t>hr.</w:t>
      </w:r>
      <w:r w:rsidR="00A755C3" w:rsidRPr="00B75B77">
        <w:t xml:space="preserve">, </w:t>
      </w:r>
      <w:proofErr w:type="spellStart"/>
      <w:r w:rsidR="00A755C3" w:rsidRPr="00B75B77">
        <w:t>therms</w:t>
      </w:r>
      <w:proofErr w:type="spellEnd"/>
      <w:r w:rsidR="00A755C3" w:rsidRPr="00B75B77">
        <w:t xml:space="preserve">/day, or </w:t>
      </w:r>
      <w:proofErr w:type="spellStart"/>
      <w:r w:rsidR="00A755C3" w:rsidRPr="00B75B77">
        <w:t>ccf</w:t>
      </w:r>
      <w:proofErr w:type="spellEnd"/>
      <w:r w:rsidR="00A755C3" w:rsidRPr="00B75B77">
        <w:t xml:space="preserve">/day. </w:t>
      </w:r>
    </w:p>
    <w:p w:rsidR="00A755C3" w:rsidRPr="00B75B77" w:rsidRDefault="00FF692F" w:rsidP="00E6236A">
      <w:pPr>
        <w:tabs>
          <w:tab w:val="left" w:pos="720"/>
        </w:tabs>
        <w:spacing w:after="120"/>
        <w:ind w:hanging="720"/>
      </w:pPr>
      <w:r w:rsidRPr="00B75B77">
        <w:rPr>
          <w:b/>
        </w:rPr>
        <w:tab/>
      </w:r>
      <w:r w:rsidR="00A755C3" w:rsidRPr="00B75B77">
        <w:rPr>
          <w:rFonts w:ascii="Century Gothic" w:hAnsi="Century Gothic"/>
          <w:b/>
        </w:rPr>
        <w:t>Demand Reduction</w:t>
      </w:r>
      <w:r w:rsidR="00A755C3" w:rsidRPr="00B75B77">
        <w:rPr>
          <w:rFonts w:ascii="Century Gothic" w:hAnsi="Century Gothic"/>
        </w:rPr>
        <w:t xml:space="preserve">: </w:t>
      </w:r>
      <w:r w:rsidR="00A755C3" w:rsidRPr="00B75B77">
        <w:t xml:space="preserve">See </w:t>
      </w:r>
      <w:r w:rsidR="00A755C3" w:rsidRPr="00B75B77">
        <w:rPr>
          <w:i/>
        </w:rPr>
        <w:t>Demand Savings</w:t>
      </w:r>
      <w:r w:rsidR="00A755C3" w:rsidRPr="00B75B77">
        <w:t>.</w:t>
      </w:r>
    </w:p>
    <w:p w:rsidR="00A755C3" w:rsidRPr="00B75B77" w:rsidRDefault="00FF692F" w:rsidP="00E6236A">
      <w:pPr>
        <w:tabs>
          <w:tab w:val="left" w:pos="540"/>
          <w:tab w:val="left" w:pos="720"/>
        </w:tabs>
        <w:spacing w:after="120"/>
        <w:ind w:hanging="720"/>
      </w:pPr>
      <w:r w:rsidRPr="00B75B77">
        <w:rPr>
          <w:b/>
        </w:rPr>
        <w:tab/>
      </w:r>
      <w:r w:rsidR="00A755C3" w:rsidRPr="00B75B77">
        <w:rPr>
          <w:rFonts w:ascii="Century Gothic" w:hAnsi="Century Gothic"/>
          <w:b/>
        </w:rPr>
        <w:t>Demand Response</w:t>
      </w:r>
      <w:r w:rsidR="00A755C3" w:rsidRPr="00B75B77">
        <w:rPr>
          <w:rFonts w:ascii="Century Gothic" w:hAnsi="Century Gothic"/>
        </w:rPr>
        <w:t>:</w:t>
      </w:r>
      <w:r w:rsidR="00A755C3" w:rsidRPr="00B75B77">
        <w:rPr>
          <w:rFonts w:ascii="Century Gothic" w:hAnsi="Century Gothic"/>
          <w:b/>
        </w:rPr>
        <w:t xml:space="preserve"> </w:t>
      </w:r>
      <w:r w:rsidR="00A755C3" w:rsidRPr="00B75B77">
        <w:t>The reduction of customer energy usage at times of peak usage in order to help system reliability, to reflect market conditions and pricing, or to support infrastructure optimization or deferral of additional infrastructure. D</w:t>
      </w:r>
      <w:r w:rsidR="00FA45FF" w:rsidRPr="00B75B77">
        <w:t>R</w:t>
      </w:r>
      <w:r w:rsidR="00A755C3" w:rsidRPr="00B75B77">
        <w:t xml:space="preserve"> programs may include contractually obligated or voluntary curtailment, direct load control, and pricing strategies.</w:t>
      </w:r>
    </w:p>
    <w:p w:rsidR="00A755C3" w:rsidRPr="00B75B77" w:rsidRDefault="00FF692F" w:rsidP="00E6236A">
      <w:pPr>
        <w:tabs>
          <w:tab w:val="left" w:pos="540"/>
          <w:tab w:val="left" w:pos="720"/>
        </w:tabs>
        <w:spacing w:after="120"/>
        <w:ind w:hanging="720"/>
      </w:pPr>
      <w:r w:rsidRPr="00B75B77">
        <w:rPr>
          <w:rFonts w:ascii="Century Gothic" w:hAnsi="Century Gothic"/>
          <w:b/>
        </w:rPr>
        <w:tab/>
      </w:r>
      <w:r w:rsidR="00A755C3" w:rsidRPr="00B75B77">
        <w:rPr>
          <w:rFonts w:ascii="Century Gothic" w:hAnsi="Century Gothic"/>
          <w:b/>
        </w:rPr>
        <w:t>Demand Savings</w:t>
      </w:r>
      <w:r w:rsidR="00A755C3" w:rsidRPr="00B75B77">
        <w:rPr>
          <w:rFonts w:ascii="Century Gothic" w:hAnsi="Century Gothic"/>
        </w:rPr>
        <w:t xml:space="preserve">: </w:t>
      </w:r>
      <w:r w:rsidR="00A755C3" w:rsidRPr="00B75B77">
        <w:t>The reduction in electric demand from the demand associated with a baseline system to the demand associated with the higher-efficiency equipment or installation. Demand savings associated with energy efficiency measures implemented under Act 129 are calculated according to the approved calculation methods stipulated in the TRM or subsequently approved through alternative methods (e.g., interim measures, custom protocols).</w:t>
      </w:r>
    </w:p>
    <w:p w:rsidR="00A755C3" w:rsidRPr="00B75B77" w:rsidRDefault="00FF692F" w:rsidP="00FF692F">
      <w:pPr>
        <w:tabs>
          <w:tab w:val="left" w:pos="540"/>
          <w:tab w:val="left" w:pos="720"/>
        </w:tabs>
        <w:ind w:hanging="720"/>
      </w:pPr>
      <w:r w:rsidRPr="00B75B77">
        <w:rPr>
          <w:b/>
        </w:rPr>
        <w:tab/>
      </w:r>
      <w:r w:rsidR="00A755C3" w:rsidRPr="00B75B77">
        <w:rPr>
          <w:rFonts w:ascii="Century Gothic" w:hAnsi="Century Gothic"/>
          <w:b/>
        </w:rPr>
        <w:t>Demand-</w:t>
      </w:r>
      <w:r w:rsidR="002922A4" w:rsidRPr="00B75B77">
        <w:rPr>
          <w:rFonts w:ascii="Century Gothic" w:hAnsi="Century Gothic"/>
          <w:b/>
        </w:rPr>
        <w:t>S</w:t>
      </w:r>
      <w:r w:rsidR="00A755C3" w:rsidRPr="00B75B77">
        <w:rPr>
          <w:rFonts w:ascii="Century Gothic" w:hAnsi="Century Gothic"/>
          <w:b/>
        </w:rPr>
        <w:t>ide Management</w:t>
      </w:r>
      <w:r w:rsidR="00A755C3" w:rsidRPr="00B75B77">
        <w:rPr>
          <w:rFonts w:ascii="Century Gothic" w:hAnsi="Century Gothic"/>
        </w:rPr>
        <w:t>:</w:t>
      </w:r>
      <w:r w:rsidR="00A755C3" w:rsidRPr="00B75B77">
        <w:t xml:space="preserve"> Strategies used to manage energy demand including energy efficiency, load management, fuel substitution, and load </w:t>
      </w:r>
      <w:r w:rsidR="001C5524" w:rsidRPr="00B75B77">
        <w:t>shedding</w:t>
      </w:r>
      <w:r w:rsidR="00A755C3" w:rsidRPr="00B75B77">
        <w:t>.</w:t>
      </w:r>
    </w:p>
    <w:p w:rsidR="008C26AD" w:rsidRPr="00B75B77" w:rsidRDefault="008C26AD" w:rsidP="009E6C10">
      <w:pPr>
        <w:widowControl w:val="0"/>
        <w:pBdr>
          <w:bottom w:val="single" w:sz="8" w:space="1" w:color="448A99"/>
        </w:pBdr>
        <w:spacing w:before="120" w:after="120"/>
        <w:rPr>
          <w:rFonts w:ascii="Century Gothic" w:hAnsi="Century Gothic"/>
          <w:b/>
          <w:bCs/>
          <w:color w:val="448A99"/>
          <w:sz w:val="30"/>
          <w:szCs w:val="30"/>
          <w:lang w:bidi="en-US"/>
        </w:rPr>
      </w:pPr>
      <w:r w:rsidRPr="00B75B77">
        <w:rPr>
          <w:rFonts w:ascii="Century Gothic" w:hAnsi="Century Gothic"/>
          <w:b/>
          <w:bCs/>
          <w:color w:val="448A99"/>
          <w:sz w:val="30"/>
          <w:szCs w:val="30"/>
          <w:lang w:bidi="en-US"/>
        </w:rPr>
        <w:t>-E-</w:t>
      </w:r>
    </w:p>
    <w:p w:rsidR="00A755C3" w:rsidRPr="00B75B77" w:rsidRDefault="00A755C3" w:rsidP="00E6236A">
      <w:pPr>
        <w:tabs>
          <w:tab w:val="left" w:pos="540"/>
          <w:tab w:val="left" w:pos="720"/>
        </w:tabs>
        <w:spacing w:after="120"/>
      </w:pPr>
      <w:r w:rsidRPr="00B75B77">
        <w:rPr>
          <w:rFonts w:ascii="Century Gothic" w:hAnsi="Century Gothic"/>
          <w:b/>
        </w:rPr>
        <w:t>Energy Efficiency and Conservation (EE&amp;C) Plan:</w:t>
      </w:r>
      <w:r w:rsidRPr="00B75B77">
        <w:rPr>
          <w:b/>
        </w:rPr>
        <w:t xml:space="preserve"> </w:t>
      </w:r>
      <w:r w:rsidRPr="00B75B77">
        <w:t>Plan as filed by the EDC and approved by the PUC.</w:t>
      </w:r>
    </w:p>
    <w:p w:rsidR="00A755C3" w:rsidRPr="00B75B77" w:rsidRDefault="00A755C3" w:rsidP="00E6236A">
      <w:pPr>
        <w:tabs>
          <w:tab w:val="left" w:pos="540"/>
          <w:tab w:val="left" w:pos="720"/>
        </w:tabs>
        <w:spacing w:after="120"/>
      </w:pPr>
      <w:r w:rsidRPr="00B75B77">
        <w:rPr>
          <w:rFonts w:ascii="Century Gothic" w:hAnsi="Century Gothic"/>
          <w:b/>
        </w:rPr>
        <w:t>EE&amp;C Plan Estimate for Program Year:</w:t>
      </w:r>
      <w:r w:rsidRPr="00B75B77">
        <w:t xml:space="preserve"> An estimate of the energy savings or demand reduction for the current program year as filed in the EDC EE&amp;C plans. </w:t>
      </w:r>
    </w:p>
    <w:p w:rsidR="00A755C3" w:rsidRPr="00B75B77" w:rsidRDefault="00A755C3" w:rsidP="00E6236A">
      <w:pPr>
        <w:tabs>
          <w:tab w:val="left" w:pos="540"/>
          <w:tab w:val="left" w:pos="720"/>
        </w:tabs>
        <w:spacing w:after="120"/>
      </w:pPr>
      <w:r w:rsidRPr="00B75B77">
        <w:rPr>
          <w:rFonts w:ascii="Century Gothic" w:hAnsi="Century Gothic"/>
          <w:b/>
        </w:rPr>
        <w:t>Effective Useful Life</w:t>
      </w:r>
      <w:r w:rsidRPr="00B75B77">
        <w:rPr>
          <w:rFonts w:ascii="Century Gothic" w:hAnsi="Century Gothic"/>
        </w:rPr>
        <w:t>:</w:t>
      </w:r>
      <w:r w:rsidRPr="00B75B77">
        <w:t xml:space="preserve"> An estimate of the median number of years that efficiency measures installed under a program are still in place and operable. For measures implemented under Act 129, it is required that the effective useful life or 15 years, whichever is less, be used to determine measure assessments. </w:t>
      </w:r>
    </w:p>
    <w:p w:rsidR="00A755C3" w:rsidRPr="00B75B77" w:rsidRDefault="00A755C3" w:rsidP="00E6236A">
      <w:pPr>
        <w:tabs>
          <w:tab w:val="left" w:pos="720"/>
        </w:tabs>
        <w:spacing w:after="120"/>
      </w:pPr>
      <w:r w:rsidRPr="00B75B77">
        <w:rPr>
          <w:rFonts w:ascii="Century Gothic" w:hAnsi="Century Gothic"/>
          <w:b/>
        </w:rPr>
        <w:t>Electric Distribution Company (EDC)</w:t>
      </w:r>
      <w:r w:rsidRPr="00B75B77">
        <w:rPr>
          <w:rFonts w:ascii="Century Gothic" w:hAnsi="Century Gothic"/>
        </w:rPr>
        <w:t>:</w:t>
      </w:r>
      <w:r w:rsidRPr="00B75B77">
        <w:t xml:space="preserve"> In reference to Act 129, there are seven EDCs with at least 100,000 customers that are required to adopt a plan to reduce energy and demand consumption within their service territory in accordance with 66 Pa. C.S. § 2608. The seven EDCs are: Duquesne Light, Metropolitan Edison Company, Pennsylvania Electric Company, Pennsylvania Power Company, PECO Energy Company, PPL Electric </w:t>
      </w:r>
      <w:r w:rsidR="00F92686" w:rsidRPr="00B75B77">
        <w:t>Utilities,</w:t>
      </w:r>
      <w:r w:rsidR="0077663E" w:rsidRPr="00B75B77">
        <w:t xml:space="preserve"> and West Penn Power</w:t>
      </w:r>
      <w:r w:rsidRPr="00B75B77">
        <w:t xml:space="preserve">. </w:t>
      </w:r>
    </w:p>
    <w:p w:rsidR="00A755C3" w:rsidRPr="00B75B77" w:rsidRDefault="00A755C3" w:rsidP="00E6236A">
      <w:pPr>
        <w:tabs>
          <w:tab w:val="left" w:pos="540"/>
          <w:tab w:val="left" w:pos="720"/>
        </w:tabs>
        <w:spacing w:after="120"/>
      </w:pPr>
      <w:r w:rsidRPr="00B75B77">
        <w:rPr>
          <w:rFonts w:ascii="Century Gothic" w:hAnsi="Century Gothic"/>
          <w:b/>
        </w:rPr>
        <w:t>End Use</w:t>
      </w:r>
      <w:r w:rsidRPr="00B75B77">
        <w:rPr>
          <w:rFonts w:ascii="Century Gothic" w:hAnsi="Century Gothic"/>
        </w:rPr>
        <w:t>:</w:t>
      </w:r>
      <w:r w:rsidRPr="00B75B77">
        <w:t xml:space="preserve"> An appliance</w:t>
      </w:r>
      <w:r w:rsidR="00FC4E89" w:rsidRPr="00B75B77">
        <w:rPr>
          <w:rStyle w:val="CommentReference"/>
        </w:rPr>
        <w:t xml:space="preserve">, </w:t>
      </w:r>
      <w:r w:rsidR="00FC4E89" w:rsidRPr="00B75B77">
        <w:t>activity, system, or equipment t</w:t>
      </w:r>
      <w:r w:rsidRPr="00B75B77">
        <w:t>hat uses energy.</w:t>
      </w:r>
    </w:p>
    <w:p w:rsidR="00A755C3" w:rsidRPr="00B75B77" w:rsidRDefault="00A755C3" w:rsidP="00E6236A">
      <w:pPr>
        <w:tabs>
          <w:tab w:val="left" w:pos="540"/>
          <w:tab w:val="left" w:pos="720"/>
        </w:tabs>
        <w:spacing w:after="120"/>
      </w:pPr>
      <w:r w:rsidRPr="00B75B77">
        <w:rPr>
          <w:rFonts w:ascii="Century Gothic" w:hAnsi="Century Gothic"/>
          <w:b/>
        </w:rPr>
        <w:t>Energy Conservation</w:t>
      </w:r>
      <w:r w:rsidRPr="00B75B77">
        <w:rPr>
          <w:rFonts w:ascii="Century Gothic" w:hAnsi="Century Gothic"/>
        </w:rPr>
        <w:t>:</w:t>
      </w:r>
      <w:r w:rsidRPr="00B75B77">
        <w:t xml:space="preserve"> Using less of a service in order to save energy. The term often is used unintentionally instead of </w:t>
      </w:r>
      <w:r w:rsidRPr="00B75B77">
        <w:rPr>
          <w:i/>
        </w:rPr>
        <w:t>energy efficiency</w:t>
      </w:r>
      <w:r w:rsidRPr="00B75B77">
        <w:t>.</w:t>
      </w:r>
    </w:p>
    <w:p w:rsidR="00A755C3" w:rsidRPr="00B75B77" w:rsidRDefault="00A755C3" w:rsidP="00E6236A">
      <w:pPr>
        <w:tabs>
          <w:tab w:val="left" w:pos="540"/>
          <w:tab w:val="left" w:pos="720"/>
        </w:tabs>
        <w:spacing w:after="120"/>
      </w:pPr>
      <w:r w:rsidRPr="00B75B77">
        <w:rPr>
          <w:rFonts w:ascii="Century Gothic" w:hAnsi="Century Gothic"/>
          <w:b/>
        </w:rPr>
        <w:t>Energy Efficiency</w:t>
      </w:r>
      <w:r w:rsidRPr="00B75B77">
        <w:rPr>
          <w:rFonts w:ascii="Century Gothic" w:hAnsi="Century Gothic"/>
        </w:rPr>
        <w:t>:</w:t>
      </w:r>
      <w:r w:rsidRPr="00B75B77">
        <w:t xml:space="preserve"> The use of less energy to provide the same or an improved level of service to the energy consumer; or the use of less energy to perform the same function. </w:t>
      </w:r>
    </w:p>
    <w:p w:rsidR="00A755C3" w:rsidRPr="00B75B77" w:rsidRDefault="00A755C3" w:rsidP="00E6236A">
      <w:pPr>
        <w:tabs>
          <w:tab w:val="left" w:pos="540"/>
          <w:tab w:val="left" w:pos="720"/>
        </w:tabs>
        <w:spacing w:after="120"/>
      </w:pPr>
      <w:r w:rsidRPr="00B75B77">
        <w:rPr>
          <w:rFonts w:ascii="Century Gothic" w:hAnsi="Century Gothic"/>
          <w:b/>
        </w:rPr>
        <w:t>Energy Efficiency Measure:</w:t>
      </w:r>
      <w:r w:rsidRPr="00B75B77">
        <w:rPr>
          <w:b/>
        </w:rPr>
        <w:t xml:space="preserve"> </w:t>
      </w:r>
      <w:r w:rsidRPr="00B75B77">
        <w:t>An installed piece of equipment or a system, modification of equipment systems, or modified operations in customer facilities that reduce the total amount of electrical or gas energy and the capacity that otherwise would have been needed to deliver an equivalent or improved level of comfort or energy service.</w:t>
      </w:r>
    </w:p>
    <w:p w:rsidR="00A755C3" w:rsidRPr="00B75B77" w:rsidRDefault="00A755C3" w:rsidP="00E6236A">
      <w:pPr>
        <w:tabs>
          <w:tab w:val="left" w:pos="540"/>
          <w:tab w:val="left" w:pos="720"/>
        </w:tabs>
        <w:spacing w:after="120"/>
      </w:pPr>
      <w:r w:rsidRPr="00B75B77">
        <w:rPr>
          <w:rFonts w:ascii="Century Gothic" w:hAnsi="Century Gothic"/>
          <w:b/>
        </w:rPr>
        <w:t>Energy Savings</w:t>
      </w:r>
      <w:r w:rsidRPr="00B75B77">
        <w:rPr>
          <w:rFonts w:ascii="Century Gothic" w:hAnsi="Century Gothic"/>
        </w:rPr>
        <w:t>:</w:t>
      </w:r>
      <w:r w:rsidRPr="00B75B77">
        <w:t xml:space="preserve"> A reduction in electricity use (kWh) or in fossil fuel use in thermal unit(s).</w:t>
      </w:r>
    </w:p>
    <w:p w:rsidR="00A755C3" w:rsidRPr="00B75B77" w:rsidRDefault="00A755C3" w:rsidP="00E6236A">
      <w:pPr>
        <w:tabs>
          <w:tab w:val="left" w:pos="540"/>
          <w:tab w:val="left" w:pos="720"/>
        </w:tabs>
        <w:spacing w:after="120"/>
      </w:pPr>
      <w:r w:rsidRPr="00B75B77">
        <w:rPr>
          <w:rFonts w:ascii="Century Gothic" w:hAnsi="Century Gothic"/>
          <w:b/>
        </w:rPr>
        <w:t>Evaluation</w:t>
      </w:r>
      <w:r w:rsidRPr="00B75B77">
        <w:rPr>
          <w:rFonts w:ascii="Century Gothic" w:hAnsi="Century Gothic"/>
        </w:rPr>
        <w:t>:</w:t>
      </w:r>
      <w:r w:rsidRPr="00B75B77">
        <w:t xml:space="preserve"> The conduct of any of a wide range of assessment studies and other activities aimed at documenting an enhanced understanding of a program or portfolio, including determining the effects of </w:t>
      </w:r>
      <w:r w:rsidRPr="00B75B77">
        <w:lastRenderedPageBreak/>
        <w:t>a program, understanding or documenting program performance, program-related markets and market operations, program-induced changes in energy efficiency markets, levels of potential demand or energy savings, and/or program cost-effectiveness. Market assessments, monitoring and evaluation, and M&amp;V are aspects of evaluation.</w:t>
      </w:r>
    </w:p>
    <w:p w:rsidR="00A755C3" w:rsidRPr="00B75B77" w:rsidRDefault="00A755C3" w:rsidP="00E6236A">
      <w:pPr>
        <w:tabs>
          <w:tab w:val="left" w:pos="540"/>
          <w:tab w:val="left" w:pos="720"/>
        </w:tabs>
        <w:spacing w:after="120"/>
      </w:pPr>
      <w:r w:rsidRPr="00B75B77">
        <w:rPr>
          <w:rFonts w:ascii="Century Gothic" w:hAnsi="Century Gothic"/>
          <w:b/>
        </w:rPr>
        <w:t>Ex Ante Savings Estimate</w:t>
      </w:r>
      <w:r w:rsidRPr="00B75B77">
        <w:rPr>
          <w:rFonts w:ascii="Century Gothic" w:hAnsi="Century Gothic"/>
        </w:rPr>
        <w:t>:</w:t>
      </w:r>
      <w:r w:rsidRPr="00B75B77">
        <w:t xml:space="preserve"> Forecasted savings used for program and portfolio planning purposes.</w:t>
      </w:r>
    </w:p>
    <w:p w:rsidR="00A755C3" w:rsidRPr="00B75B77" w:rsidRDefault="00A755C3" w:rsidP="00FF692F">
      <w:pPr>
        <w:tabs>
          <w:tab w:val="left" w:pos="540"/>
          <w:tab w:val="left" w:pos="720"/>
        </w:tabs>
      </w:pPr>
      <w:r w:rsidRPr="00B75B77">
        <w:rPr>
          <w:rFonts w:ascii="Century Gothic" w:hAnsi="Century Gothic"/>
          <w:b/>
        </w:rPr>
        <w:t>Ex Post Savings Estimate</w:t>
      </w:r>
      <w:r w:rsidRPr="00B75B77">
        <w:rPr>
          <w:rFonts w:ascii="Century Gothic" w:hAnsi="Century Gothic"/>
        </w:rPr>
        <w:t>:</w:t>
      </w:r>
      <w:r w:rsidRPr="00B75B77">
        <w:t xml:space="preserve"> Savings estimate reported by an evaluator after the energy impact evaluation has been completed.</w:t>
      </w:r>
    </w:p>
    <w:p w:rsidR="008C26AD" w:rsidRPr="00B75B77" w:rsidRDefault="008C26AD" w:rsidP="009E6C10">
      <w:pPr>
        <w:widowControl w:val="0"/>
        <w:pBdr>
          <w:bottom w:val="single" w:sz="8" w:space="1" w:color="448A99"/>
        </w:pBdr>
        <w:spacing w:before="120" w:after="120"/>
        <w:rPr>
          <w:rFonts w:ascii="Century Gothic" w:hAnsi="Century Gothic"/>
          <w:b/>
          <w:bCs/>
          <w:color w:val="448A99"/>
          <w:sz w:val="30"/>
          <w:szCs w:val="30"/>
          <w:lang w:bidi="en-US"/>
        </w:rPr>
      </w:pPr>
      <w:r w:rsidRPr="00B75B77">
        <w:rPr>
          <w:rFonts w:ascii="Century Gothic" w:hAnsi="Century Gothic"/>
          <w:b/>
          <w:bCs/>
          <w:color w:val="448A99"/>
          <w:sz w:val="30"/>
          <w:szCs w:val="30"/>
          <w:lang w:bidi="en-US"/>
        </w:rPr>
        <w:t>-F-</w:t>
      </w:r>
    </w:p>
    <w:p w:rsidR="00A755C3" w:rsidRPr="00B75B77" w:rsidRDefault="00A755C3" w:rsidP="00E6236A">
      <w:pPr>
        <w:tabs>
          <w:tab w:val="left" w:pos="540"/>
          <w:tab w:val="left" w:pos="720"/>
        </w:tabs>
        <w:spacing w:after="120"/>
      </w:pPr>
      <w:r w:rsidRPr="00B75B77">
        <w:rPr>
          <w:rFonts w:ascii="Century Gothic" w:hAnsi="Century Gothic"/>
          <w:b/>
        </w:rPr>
        <w:t>Free Driver</w:t>
      </w:r>
      <w:r w:rsidRPr="00B75B77">
        <w:rPr>
          <w:rFonts w:ascii="Century Gothic" w:hAnsi="Century Gothic"/>
        </w:rPr>
        <w:t>:</w:t>
      </w:r>
      <w:r w:rsidRPr="00B75B77">
        <w:t xml:space="preserve"> A program nonparticipant who adopted a particular efficiency measure or practice as a result of the evaluated program. Also see </w:t>
      </w:r>
      <w:r w:rsidRPr="00B75B77">
        <w:rPr>
          <w:i/>
        </w:rPr>
        <w:t>Spillover</w:t>
      </w:r>
      <w:r w:rsidRPr="00B75B77">
        <w:t>.</w:t>
      </w:r>
    </w:p>
    <w:p w:rsidR="00A755C3" w:rsidRPr="00B75B77" w:rsidRDefault="00A755C3" w:rsidP="00E6236A">
      <w:pPr>
        <w:tabs>
          <w:tab w:val="left" w:pos="540"/>
          <w:tab w:val="left" w:pos="720"/>
        </w:tabs>
        <w:spacing w:after="120"/>
      </w:pPr>
      <w:r w:rsidRPr="00B75B77">
        <w:rPr>
          <w:rFonts w:ascii="Century Gothic" w:hAnsi="Century Gothic"/>
          <w:b/>
        </w:rPr>
        <w:t>Free</w:t>
      </w:r>
      <w:r w:rsidR="003A1913" w:rsidRPr="00B75B77">
        <w:rPr>
          <w:rFonts w:ascii="Century Gothic" w:hAnsi="Century Gothic"/>
          <w:b/>
        </w:rPr>
        <w:t xml:space="preserve"> </w:t>
      </w:r>
      <w:r w:rsidRPr="00B75B77">
        <w:rPr>
          <w:rFonts w:ascii="Century Gothic" w:hAnsi="Century Gothic"/>
          <w:b/>
        </w:rPr>
        <w:t>Rider</w:t>
      </w:r>
      <w:r w:rsidRPr="00B75B77">
        <w:rPr>
          <w:rFonts w:ascii="Century Gothic" w:hAnsi="Century Gothic"/>
        </w:rPr>
        <w:t>:</w:t>
      </w:r>
      <w:r w:rsidRPr="00B75B77">
        <w:t xml:space="preserve"> A program participant who would have implemented the program measure or practice in the absence of the program. Free</w:t>
      </w:r>
      <w:r w:rsidR="003A1913" w:rsidRPr="00B75B77">
        <w:t xml:space="preserve"> </w:t>
      </w:r>
      <w:r w:rsidRPr="00B75B77">
        <w:t xml:space="preserve">riders can be: </w:t>
      </w:r>
      <w:r w:rsidR="00FC4E89" w:rsidRPr="00B75B77">
        <w:t>(</w:t>
      </w:r>
      <w:r w:rsidRPr="00B75B77">
        <w:t xml:space="preserve">1) total, in which the participant’s activity would have completely replicated the program measure; </w:t>
      </w:r>
      <w:r w:rsidR="00FC4E89" w:rsidRPr="00B75B77">
        <w:t>(</w:t>
      </w:r>
      <w:r w:rsidRPr="00B75B77">
        <w:t xml:space="preserve">2) partial, in which the participant’s activity would have partially replicated the program measure; or </w:t>
      </w:r>
      <w:r w:rsidR="00FC4E89" w:rsidRPr="00B75B77">
        <w:t>(</w:t>
      </w:r>
      <w:r w:rsidRPr="00B75B77">
        <w:t xml:space="preserve">3) deferred, in which the participant’s activity would have completely replicated the program measure, but after the program’s timeframe. </w:t>
      </w:r>
    </w:p>
    <w:p w:rsidR="00A755C3" w:rsidRPr="00B75B77" w:rsidRDefault="00A755C3" w:rsidP="00E6236A">
      <w:pPr>
        <w:tabs>
          <w:tab w:val="left" w:pos="540"/>
          <w:tab w:val="left" w:pos="720"/>
        </w:tabs>
      </w:pPr>
      <w:r w:rsidRPr="00B75B77">
        <w:rPr>
          <w:rFonts w:ascii="Century Gothic" w:hAnsi="Century Gothic"/>
          <w:b/>
        </w:rPr>
        <w:t>Free</w:t>
      </w:r>
      <w:r w:rsidR="003A1913" w:rsidRPr="00B75B77">
        <w:rPr>
          <w:rFonts w:ascii="Century Gothic" w:hAnsi="Century Gothic"/>
          <w:b/>
        </w:rPr>
        <w:t xml:space="preserve"> </w:t>
      </w:r>
      <w:r w:rsidRPr="00B75B77">
        <w:rPr>
          <w:rFonts w:ascii="Century Gothic" w:hAnsi="Century Gothic"/>
          <w:b/>
        </w:rPr>
        <w:t>Ridership Rate</w:t>
      </w:r>
      <w:r w:rsidRPr="00B75B77">
        <w:rPr>
          <w:rFonts w:ascii="Century Gothic" w:hAnsi="Century Gothic"/>
        </w:rPr>
        <w:t>:</w:t>
      </w:r>
      <w:r w:rsidRPr="00B75B77">
        <w:t xml:space="preserve"> The percent</w:t>
      </w:r>
      <w:r w:rsidR="00BB0374" w:rsidRPr="00B75B77">
        <w:t>age</w:t>
      </w:r>
      <w:r w:rsidRPr="00B75B77">
        <w:t xml:space="preserve"> of savings attributable to free</w:t>
      </w:r>
      <w:r w:rsidR="003A1913" w:rsidRPr="00B75B77">
        <w:t xml:space="preserve"> </w:t>
      </w:r>
      <w:r w:rsidRPr="00B75B77">
        <w:t>riders.</w:t>
      </w:r>
    </w:p>
    <w:p w:rsidR="008C26AD" w:rsidRPr="00B75B77" w:rsidRDefault="008C26AD" w:rsidP="009E6C10">
      <w:pPr>
        <w:widowControl w:val="0"/>
        <w:pBdr>
          <w:bottom w:val="single" w:sz="8" w:space="1" w:color="448A99"/>
        </w:pBdr>
        <w:spacing w:before="120" w:after="120"/>
        <w:rPr>
          <w:rFonts w:ascii="Century Gothic" w:hAnsi="Century Gothic"/>
          <w:b/>
          <w:bCs/>
          <w:color w:val="448A99"/>
          <w:sz w:val="30"/>
          <w:szCs w:val="30"/>
          <w:lang w:bidi="en-US"/>
        </w:rPr>
      </w:pPr>
      <w:r w:rsidRPr="00B75B77">
        <w:rPr>
          <w:rFonts w:ascii="Century Gothic" w:hAnsi="Century Gothic"/>
          <w:b/>
          <w:bCs/>
          <w:color w:val="448A99"/>
          <w:sz w:val="30"/>
          <w:szCs w:val="30"/>
          <w:lang w:bidi="en-US"/>
        </w:rPr>
        <w:t>-G-</w:t>
      </w:r>
    </w:p>
    <w:p w:rsidR="00A755C3" w:rsidRPr="00B75B77" w:rsidRDefault="00A755C3" w:rsidP="00E6236A">
      <w:pPr>
        <w:tabs>
          <w:tab w:val="left" w:pos="720"/>
        </w:tabs>
        <w:spacing w:after="120"/>
      </w:pPr>
      <w:r w:rsidRPr="00B75B77">
        <w:rPr>
          <w:rFonts w:ascii="Century Gothic" w:hAnsi="Century Gothic"/>
          <w:b/>
        </w:rPr>
        <w:t>Gross Impact</w:t>
      </w:r>
      <w:r w:rsidRPr="00B75B77">
        <w:rPr>
          <w:rFonts w:ascii="Century Gothic" w:hAnsi="Century Gothic"/>
        </w:rPr>
        <w:t>:</w:t>
      </w:r>
      <w:r w:rsidRPr="00B75B77">
        <w:t xml:space="preserve"> See </w:t>
      </w:r>
      <w:r w:rsidRPr="00B75B77">
        <w:rPr>
          <w:i/>
        </w:rPr>
        <w:t>Gross Savings</w:t>
      </w:r>
      <w:r w:rsidRPr="00B75B77">
        <w:t>.</w:t>
      </w:r>
    </w:p>
    <w:p w:rsidR="00A755C3" w:rsidRPr="00B75B77" w:rsidRDefault="00A755C3" w:rsidP="00E6236A">
      <w:pPr>
        <w:tabs>
          <w:tab w:val="left" w:pos="540"/>
          <w:tab w:val="left" w:pos="720"/>
        </w:tabs>
        <w:spacing w:after="120"/>
      </w:pPr>
      <w:r w:rsidRPr="00B75B77">
        <w:rPr>
          <w:rFonts w:ascii="Century Gothic" w:hAnsi="Century Gothic"/>
          <w:b/>
        </w:rPr>
        <w:t>Gross Savings</w:t>
      </w:r>
      <w:r w:rsidRPr="00B75B77">
        <w:rPr>
          <w:rFonts w:ascii="Century Gothic" w:hAnsi="Century Gothic"/>
        </w:rPr>
        <w:t>:</w:t>
      </w:r>
      <w:r w:rsidRPr="00B75B77">
        <w:t xml:space="preserve"> The change in energy consumption and/or demand that results directly from program-related actions taken by participants in an efficiency program, regardless of why they participated.</w:t>
      </w:r>
    </w:p>
    <w:p w:rsidR="00A755C3" w:rsidRPr="00B75B77" w:rsidRDefault="00A755C3" w:rsidP="00E6236A">
      <w:pPr>
        <w:tabs>
          <w:tab w:val="left" w:pos="540"/>
          <w:tab w:val="left" w:pos="720"/>
        </w:tabs>
        <w:spacing w:after="120"/>
      </w:pPr>
      <w:r w:rsidRPr="00B75B77">
        <w:rPr>
          <w:rFonts w:ascii="Century Gothic" w:hAnsi="Century Gothic"/>
          <w:b/>
        </w:rPr>
        <w:t>Gross kW</w:t>
      </w:r>
      <w:r w:rsidRPr="00B75B77">
        <w:rPr>
          <w:rFonts w:ascii="Century Gothic" w:hAnsi="Century Gothic"/>
        </w:rPr>
        <w:t>:</w:t>
      </w:r>
      <w:r w:rsidRPr="00B75B77">
        <w:t xml:space="preserve"> Expected demand reduction based on a comparison of standard or replaced equipment with equipment installed through an energy efficiency program.</w:t>
      </w:r>
    </w:p>
    <w:p w:rsidR="00A755C3" w:rsidRPr="00B75B77" w:rsidRDefault="00A755C3" w:rsidP="00E6236A">
      <w:pPr>
        <w:tabs>
          <w:tab w:val="left" w:pos="540"/>
          <w:tab w:val="left" w:pos="720"/>
        </w:tabs>
      </w:pPr>
      <w:r w:rsidRPr="00B75B77">
        <w:rPr>
          <w:rFonts w:ascii="Century Gothic" w:hAnsi="Century Gothic"/>
          <w:b/>
        </w:rPr>
        <w:t>Gross kWh</w:t>
      </w:r>
      <w:r w:rsidRPr="00B75B77">
        <w:rPr>
          <w:rFonts w:ascii="Century Gothic" w:hAnsi="Century Gothic"/>
        </w:rPr>
        <w:t>:</w:t>
      </w:r>
      <w:r w:rsidRPr="00B75B77">
        <w:t xml:space="preserve"> Expected kWh reduction based on a comparison of standard or replaced equipment with equipment installed through an energy efficiency program.</w:t>
      </w:r>
    </w:p>
    <w:p w:rsidR="008C26AD" w:rsidRPr="00B75B77" w:rsidRDefault="008C26AD" w:rsidP="009E6C10">
      <w:pPr>
        <w:widowControl w:val="0"/>
        <w:pBdr>
          <w:bottom w:val="single" w:sz="8" w:space="1" w:color="448A99"/>
        </w:pBdr>
        <w:spacing w:before="120" w:after="120"/>
        <w:rPr>
          <w:rFonts w:ascii="Century Gothic" w:hAnsi="Century Gothic"/>
          <w:b/>
          <w:bCs/>
          <w:color w:val="448A99"/>
          <w:sz w:val="30"/>
          <w:szCs w:val="30"/>
          <w:lang w:bidi="en-US"/>
        </w:rPr>
      </w:pPr>
      <w:r w:rsidRPr="00B75B77">
        <w:rPr>
          <w:rFonts w:ascii="Century Gothic" w:hAnsi="Century Gothic"/>
          <w:b/>
          <w:bCs/>
          <w:color w:val="448A99"/>
          <w:sz w:val="30"/>
          <w:szCs w:val="30"/>
          <w:lang w:bidi="en-US"/>
        </w:rPr>
        <w:t>-H, I-</w:t>
      </w:r>
    </w:p>
    <w:p w:rsidR="00A755C3" w:rsidRPr="00B75B77" w:rsidRDefault="00A755C3" w:rsidP="00E6236A">
      <w:pPr>
        <w:tabs>
          <w:tab w:val="left" w:pos="540"/>
          <w:tab w:val="left" w:pos="720"/>
        </w:tabs>
        <w:spacing w:after="120"/>
      </w:pPr>
      <w:r w:rsidRPr="00B75B77">
        <w:rPr>
          <w:rFonts w:ascii="Century Gothic" w:hAnsi="Century Gothic"/>
          <w:b/>
        </w:rPr>
        <w:t>Impact Evaluation</w:t>
      </w:r>
      <w:r w:rsidRPr="00B75B77">
        <w:rPr>
          <w:rFonts w:ascii="Century Gothic" w:hAnsi="Century Gothic"/>
        </w:rPr>
        <w:t>:</w:t>
      </w:r>
      <w:r w:rsidRPr="00B75B77">
        <w:t xml:space="preserve"> An evaluation of the program-</w:t>
      </w:r>
      <w:proofErr w:type="gramStart"/>
      <w:r w:rsidRPr="00B75B77">
        <w:t>specific,</w:t>
      </w:r>
      <w:proofErr w:type="gramEnd"/>
      <w:r w:rsidRPr="00B75B77">
        <w:t xml:space="preserve"> directly induced quantitative changes (kWh, kW, and </w:t>
      </w:r>
      <w:proofErr w:type="spellStart"/>
      <w:r w:rsidRPr="00B75B77">
        <w:t>therms</w:t>
      </w:r>
      <w:proofErr w:type="spellEnd"/>
      <w:r w:rsidRPr="00B75B77">
        <w:t>) attributable to an energy efficiency program.</w:t>
      </w:r>
    </w:p>
    <w:p w:rsidR="00A755C3" w:rsidRPr="00B75B77" w:rsidRDefault="00A755C3" w:rsidP="00E6236A">
      <w:pPr>
        <w:tabs>
          <w:tab w:val="left" w:pos="540"/>
          <w:tab w:val="left" w:pos="720"/>
        </w:tabs>
        <w:spacing w:after="120"/>
      </w:pPr>
      <w:r w:rsidRPr="00B75B77">
        <w:rPr>
          <w:rFonts w:ascii="Century Gothic" w:hAnsi="Century Gothic"/>
          <w:b/>
        </w:rPr>
        <w:t>Incremental Cost</w:t>
      </w:r>
      <w:r w:rsidRPr="00B75B77">
        <w:rPr>
          <w:rFonts w:ascii="Century Gothic" w:hAnsi="Century Gothic"/>
        </w:rPr>
        <w:t>:</w:t>
      </w:r>
      <w:r w:rsidRPr="00B75B77">
        <w:t xml:space="preserve"> The difference between the cost of an existing or baseline equipment or service and the cost of an alternative energy efficient equipment or service.</w:t>
      </w:r>
    </w:p>
    <w:p w:rsidR="00A755C3" w:rsidRPr="00B75B77" w:rsidRDefault="00A755C3" w:rsidP="00E6236A">
      <w:pPr>
        <w:tabs>
          <w:tab w:val="left" w:pos="540"/>
          <w:tab w:val="left" w:pos="720"/>
        </w:tabs>
      </w:pPr>
      <w:r w:rsidRPr="00B75B77">
        <w:rPr>
          <w:rFonts w:ascii="Century Gothic" w:hAnsi="Century Gothic"/>
          <w:b/>
        </w:rPr>
        <w:t>Incremental Energy Savings</w:t>
      </w:r>
      <w:r w:rsidRPr="00B75B77">
        <w:rPr>
          <w:rFonts w:ascii="Century Gothic" w:hAnsi="Century Gothic"/>
        </w:rPr>
        <w:t>:</w:t>
      </w:r>
      <w:r w:rsidRPr="00B75B77">
        <w:t xml:space="preserve"> The difference between the amount of energy savings associated with a project or a program in one period and the amount of energy savings associated with that project or program in a prior period.</w:t>
      </w:r>
    </w:p>
    <w:p w:rsidR="008C26AD" w:rsidRPr="00B75B77" w:rsidRDefault="008C26AD" w:rsidP="009E6C10">
      <w:pPr>
        <w:widowControl w:val="0"/>
        <w:pBdr>
          <w:bottom w:val="single" w:sz="8" w:space="1" w:color="448A99"/>
        </w:pBdr>
        <w:spacing w:before="120" w:after="120"/>
        <w:rPr>
          <w:rFonts w:ascii="Century Gothic" w:hAnsi="Century Gothic"/>
          <w:b/>
          <w:bCs/>
          <w:color w:val="448A99"/>
          <w:sz w:val="30"/>
          <w:szCs w:val="30"/>
          <w:lang w:bidi="en-US"/>
        </w:rPr>
      </w:pPr>
      <w:r w:rsidRPr="00B75B77">
        <w:rPr>
          <w:rFonts w:ascii="Century Gothic" w:hAnsi="Century Gothic"/>
          <w:b/>
          <w:bCs/>
          <w:color w:val="448A99"/>
          <w:sz w:val="30"/>
          <w:szCs w:val="30"/>
          <w:lang w:bidi="en-US"/>
        </w:rPr>
        <w:t>-J, K-</w:t>
      </w:r>
    </w:p>
    <w:p w:rsidR="00A755C3" w:rsidRPr="00B75B77" w:rsidRDefault="00A755C3" w:rsidP="00E6236A">
      <w:pPr>
        <w:tabs>
          <w:tab w:val="left" w:pos="540"/>
          <w:tab w:val="left" w:pos="720"/>
        </w:tabs>
        <w:spacing w:after="120"/>
      </w:pPr>
      <w:r w:rsidRPr="00B75B77">
        <w:rPr>
          <w:rFonts w:ascii="Century Gothic" w:hAnsi="Century Gothic"/>
          <w:b/>
        </w:rPr>
        <w:t>Kilowatt (kW)</w:t>
      </w:r>
      <w:r w:rsidRPr="00B75B77">
        <w:rPr>
          <w:rFonts w:ascii="Century Gothic" w:hAnsi="Century Gothic"/>
        </w:rPr>
        <w:t>:</w:t>
      </w:r>
      <w:r w:rsidRPr="00B75B77">
        <w:t xml:space="preserve"> A measure of the rate of power used during a pre-set time period (e.g., minutes, hours, days, months) equal to 1,000 Watts. </w:t>
      </w:r>
    </w:p>
    <w:p w:rsidR="00A755C3" w:rsidRPr="00B75B77" w:rsidRDefault="00A755C3" w:rsidP="00E6236A">
      <w:pPr>
        <w:tabs>
          <w:tab w:val="left" w:pos="540"/>
          <w:tab w:val="left" w:pos="720"/>
        </w:tabs>
      </w:pPr>
      <w:r w:rsidRPr="00B75B77">
        <w:rPr>
          <w:rFonts w:ascii="Century Gothic" w:hAnsi="Century Gothic"/>
          <w:b/>
        </w:rPr>
        <w:t>Kilowatt-Hour (kWh)</w:t>
      </w:r>
      <w:r w:rsidRPr="00B75B77">
        <w:rPr>
          <w:rFonts w:ascii="Century Gothic" w:hAnsi="Century Gothic"/>
        </w:rPr>
        <w:t>:</w:t>
      </w:r>
      <w:r w:rsidRPr="00B75B77">
        <w:t xml:space="preserve"> A common unit of electric energy; one kilowatt-hour is numerically equal to 1,000 Watts used for one hour.</w:t>
      </w:r>
    </w:p>
    <w:p w:rsidR="008C26AD" w:rsidRPr="00B75B77" w:rsidRDefault="008C26AD" w:rsidP="009E6C10">
      <w:pPr>
        <w:widowControl w:val="0"/>
        <w:pBdr>
          <w:bottom w:val="single" w:sz="8" w:space="1" w:color="448A99"/>
        </w:pBdr>
        <w:spacing w:before="120" w:after="120"/>
        <w:rPr>
          <w:rFonts w:ascii="Century Gothic" w:hAnsi="Century Gothic"/>
          <w:b/>
          <w:bCs/>
          <w:color w:val="448A99"/>
          <w:sz w:val="30"/>
          <w:szCs w:val="30"/>
          <w:lang w:bidi="en-US"/>
        </w:rPr>
      </w:pPr>
      <w:r w:rsidRPr="00B75B77">
        <w:rPr>
          <w:rFonts w:ascii="Century Gothic" w:hAnsi="Century Gothic"/>
          <w:b/>
          <w:bCs/>
          <w:color w:val="448A99"/>
          <w:sz w:val="30"/>
          <w:szCs w:val="30"/>
          <w:lang w:bidi="en-US"/>
        </w:rPr>
        <w:lastRenderedPageBreak/>
        <w:t>-L-</w:t>
      </w:r>
    </w:p>
    <w:p w:rsidR="00A755C3" w:rsidRPr="00B75B77" w:rsidRDefault="00A755C3" w:rsidP="00E6236A">
      <w:pPr>
        <w:tabs>
          <w:tab w:val="left" w:pos="540"/>
          <w:tab w:val="left" w:pos="720"/>
        </w:tabs>
        <w:spacing w:after="120"/>
      </w:pPr>
      <w:r w:rsidRPr="00B75B77">
        <w:rPr>
          <w:rFonts w:ascii="Century Gothic" w:hAnsi="Century Gothic"/>
          <w:b/>
        </w:rPr>
        <w:t>Lifetime kW</w:t>
      </w:r>
      <w:r w:rsidRPr="00B75B77">
        <w:rPr>
          <w:rFonts w:ascii="Century Gothic" w:hAnsi="Century Gothic"/>
        </w:rPr>
        <w:t>:</w:t>
      </w:r>
      <w:r w:rsidRPr="00B75B77">
        <w:t xml:space="preserve"> The expected demand savings over the lifetime of an installed measure, equal to the annual peak kW reduction associated with a measure multiplied by the expected lifetime of that measure. It is expressed in units of kW-years.</w:t>
      </w:r>
    </w:p>
    <w:p w:rsidR="00A755C3" w:rsidRPr="00B75B77" w:rsidRDefault="00A755C3" w:rsidP="00E6236A">
      <w:pPr>
        <w:tabs>
          <w:tab w:val="left" w:pos="540"/>
          <w:tab w:val="left" w:pos="720"/>
        </w:tabs>
        <w:spacing w:after="120"/>
      </w:pPr>
      <w:r w:rsidRPr="00B75B77">
        <w:rPr>
          <w:rFonts w:ascii="Century Gothic" w:hAnsi="Century Gothic"/>
          <w:b/>
        </w:rPr>
        <w:t>Lifetime MWh</w:t>
      </w:r>
      <w:r w:rsidRPr="00B75B77">
        <w:rPr>
          <w:rFonts w:ascii="Century Gothic" w:hAnsi="Century Gothic"/>
        </w:rPr>
        <w:t>:</w:t>
      </w:r>
      <w:r w:rsidRPr="00B75B77">
        <w:t xml:space="preserve"> The expected electrical energy savings over the lifetime of an installed measure, calculated by multiplying the annual MWh reduction associated with a measure by the expected lifetime of that measure.</w:t>
      </w:r>
    </w:p>
    <w:p w:rsidR="00A755C3" w:rsidRPr="00B75B77" w:rsidRDefault="00A755C3" w:rsidP="00E6236A">
      <w:pPr>
        <w:tabs>
          <w:tab w:val="left" w:pos="720"/>
        </w:tabs>
        <w:spacing w:after="120"/>
      </w:pPr>
      <w:r w:rsidRPr="00B75B77">
        <w:rPr>
          <w:rFonts w:ascii="Century Gothic" w:hAnsi="Century Gothic"/>
          <w:b/>
        </w:rPr>
        <w:t>Lifetime Supply Costs</w:t>
      </w:r>
      <w:r w:rsidRPr="00B75B77">
        <w:rPr>
          <w:rFonts w:ascii="Century Gothic" w:hAnsi="Century Gothic"/>
        </w:rPr>
        <w:t>:</w:t>
      </w:r>
      <w:r w:rsidRPr="00B75B77">
        <w:t xml:space="preserve"> The net present value of avoided supply costs associated with savings, net of changes in energy use that would have happened in the absence of the program over the life of the energy efficiency measure, factoring in persistence of savings. See </w:t>
      </w:r>
      <w:r w:rsidRPr="00B75B77">
        <w:rPr>
          <w:i/>
        </w:rPr>
        <w:t>Avoided Cost</w:t>
      </w:r>
      <w:r w:rsidRPr="00B75B77">
        <w:t>.</w:t>
      </w:r>
    </w:p>
    <w:p w:rsidR="00A755C3" w:rsidRPr="00B75B77" w:rsidRDefault="00A755C3" w:rsidP="00E6236A">
      <w:pPr>
        <w:tabs>
          <w:tab w:val="left" w:pos="540"/>
          <w:tab w:val="left" w:pos="720"/>
        </w:tabs>
        <w:spacing w:after="120"/>
      </w:pPr>
      <w:r w:rsidRPr="00B75B77">
        <w:rPr>
          <w:rFonts w:ascii="Century Gothic" w:hAnsi="Century Gothic"/>
          <w:b/>
        </w:rPr>
        <w:t>Load Factor</w:t>
      </w:r>
      <w:r w:rsidRPr="00B75B77">
        <w:rPr>
          <w:rFonts w:ascii="Century Gothic" w:hAnsi="Century Gothic"/>
        </w:rPr>
        <w:t>:</w:t>
      </w:r>
      <w:r w:rsidRPr="00B75B77">
        <w:t xml:space="preserve"> A percentage indicating the ratio of electricity or natural gas used during a given timeframe to the amount that would have been used if the usage had stayed at the highest demand the whole time. The term is also used to indicate the percentage of capacity of an energy facility, such as a power plant or gas </w:t>
      </w:r>
      <w:proofErr w:type="gramStart"/>
      <w:r w:rsidRPr="00B75B77">
        <w:t>pipeline, that</w:t>
      </w:r>
      <w:proofErr w:type="gramEnd"/>
      <w:r w:rsidRPr="00B75B77">
        <w:t xml:space="preserve"> is utilized for a given period of time.</w:t>
      </w:r>
    </w:p>
    <w:p w:rsidR="00A755C3" w:rsidRPr="00B75B77" w:rsidRDefault="00A755C3" w:rsidP="00E6236A">
      <w:pPr>
        <w:tabs>
          <w:tab w:val="left" w:pos="540"/>
          <w:tab w:val="left" w:pos="720"/>
        </w:tabs>
      </w:pPr>
      <w:r w:rsidRPr="00B75B77">
        <w:rPr>
          <w:rFonts w:ascii="Century Gothic" w:hAnsi="Century Gothic"/>
          <w:b/>
        </w:rPr>
        <w:t>Load Management</w:t>
      </w:r>
      <w:r w:rsidRPr="00B75B77">
        <w:rPr>
          <w:rFonts w:ascii="Century Gothic" w:hAnsi="Century Gothic"/>
        </w:rPr>
        <w:t>:</w:t>
      </w:r>
      <w:r w:rsidRPr="00B75B77">
        <w:t xml:space="preserve"> Steps taken to reduce power demand at peak load times or to shift some of it to off-peak times. Load management may coincide with peak hours, peak days, or peak seasons. Load management may be pursued by persuading consumers to modify behavior or by using equipment that regulates some electric consumption. This may lead to complete elimination of electric use during the period of interest (load shedding) and/or to an increase in electric demand in the off-peak hours as a result of shifting electric usage to that period (load shifting).</w:t>
      </w:r>
    </w:p>
    <w:p w:rsidR="008C26AD" w:rsidRPr="00B75B77" w:rsidRDefault="008C26AD" w:rsidP="009E6C10">
      <w:pPr>
        <w:widowControl w:val="0"/>
        <w:pBdr>
          <w:bottom w:val="single" w:sz="8" w:space="1" w:color="448A99"/>
        </w:pBdr>
        <w:spacing w:before="120" w:after="120"/>
        <w:rPr>
          <w:rFonts w:ascii="Century Gothic" w:hAnsi="Century Gothic"/>
          <w:b/>
          <w:bCs/>
          <w:color w:val="448A99"/>
          <w:sz w:val="30"/>
          <w:szCs w:val="30"/>
          <w:lang w:bidi="en-US"/>
        </w:rPr>
      </w:pPr>
      <w:r w:rsidRPr="00B75B77">
        <w:rPr>
          <w:rFonts w:ascii="Century Gothic" w:hAnsi="Century Gothic"/>
          <w:b/>
          <w:bCs/>
          <w:color w:val="448A99"/>
          <w:sz w:val="30"/>
          <w:szCs w:val="30"/>
          <w:lang w:bidi="en-US"/>
        </w:rPr>
        <w:t>-M-</w:t>
      </w:r>
    </w:p>
    <w:p w:rsidR="00A755C3" w:rsidRPr="00B75B77" w:rsidRDefault="00A755C3" w:rsidP="00E6236A">
      <w:pPr>
        <w:tabs>
          <w:tab w:val="left" w:pos="540"/>
          <w:tab w:val="left" w:pos="720"/>
        </w:tabs>
        <w:spacing w:after="120"/>
      </w:pPr>
      <w:proofErr w:type="gramStart"/>
      <w:r w:rsidRPr="00B75B77">
        <w:rPr>
          <w:rFonts w:ascii="Century Gothic" w:hAnsi="Century Gothic"/>
          <w:b/>
        </w:rPr>
        <w:t>Market Assessment</w:t>
      </w:r>
      <w:r w:rsidRPr="00B75B77">
        <w:rPr>
          <w:rFonts w:ascii="Century Gothic" w:hAnsi="Century Gothic"/>
        </w:rPr>
        <w:t>:</w:t>
      </w:r>
      <w:r w:rsidRPr="00B75B77">
        <w:t xml:space="preserve"> An analysis that provides an assessment of how and how well a specific market or market segment is functioning with respect to the definition of well-functioning markets or with respect to other specific policy objectives.</w:t>
      </w:r>
      <w:proofErr w:type="gramEnd"/>
      <w:r w:rsidRPr="00B75B77">
        <w:t xml:space="preserve"> Generally includes a characterization or description of the specific market or market segments, including a description of the types and number of buyers and sellers in the market, the key </w:t>
      </w:r>
      <w:r w:rsidR="00EB7B4D" w:rsidRPr="00B75B77">
        <w:t>factors</w:t>
      </w:r>
      <w:r w:rsidRPr="00B75B77">
        <w:t xml:space="preserve"> that influence the market, the type and number of transactions that occur on an annual basis, and the extent to which market participants consider energy efficiency as an important part of these transactions. This analysis may also include an assessment of whether a market has been sufficiently transformed to justify a reduction or elimination of specific program interventions. Market assessments can be blended with strategic planning analysis to produce recommended program designs or budgets. One particular kind of market assessment effort is a baseline study, or the characterization of a market before the commencement of a specific intervention in the market, for the purpose of guiding the intervention and/or assessing its effectiveness later.</w:t>
      </w:r>
    </w:p>
    <w:p w:rsidR="00A755C3" w:rsidRPr="00B75B77" w:rsidRDefault="00A755C3" w:rsidP="00E6236A">
      <w:pPr>
        <w:tabs>
          <w:tab w:val="left" w:pos="540"/>
          <w:tab w:val="left" w:pos="720"/>
        </w:tabs>
        <w:spacing w:after="120"/>
      </w:pPr>
      <w:r w:rsidRPr="00B75B77">
        <w:rPr>
          <w:rFonts w:ascii="Century Gothic" w:hAnsi="Century Gothic"/>
          <w:b/>
        </w:rPr>
        <w:t>Measurement and Verification (M&amp;V)</w:t>
      </w:r>
      <w:r w:rsidRPr="00B75B77">
        <w:rPr>
          <w:rFonts w:ascii="Century Gothic" w:hAnsi="Century Gothic"/>
        </w:rPr>
        <w:t>:</w:t>
      </w:r>
      <w:r w:rsidRPr="00B75B77">
        <w:t xml:space="preserve"> A subset of program impact evaluations that are associated with the documentation of energy savings at individual sites or projects using one or more methods that can involve measurements, engineering calculations, statistical analyses, and/or computer simulation modeling.</w:t>
      </w:r>
    </w:p>
    <w:p w:rsidR="00A755C3" w:rsidRPr="00B75B77" w:rsidRDefault="00A755C3" w:rsidP="00E6236A">
      <w:pPr>
        <w:tabs>
          <w:tab w:val="left" w:pos="540"/>
          <w:tab w:val="left" w:pos="720"/>
        </w:tabs>
        <w:spacing w:after="120"/>
      </w:pPr>
      <w:r w:rsidRPr="00B75B77">
        <w:rPr>
          <w:rFonts w:ascii="Century Gothic" w:hAnsi="Century Gothic"/>
          <w:b/>
        </w:rPr>
        <w:t>Measurement Error</w:t>
      </w:r>
      <w:r w:rsidRPr="00B75B77">
        <w:rPr>
          <w:rFonts w:ascii="Century Gothic" w:hAnsi="Century Gothic"/>
        </w:rPr>
        <w:t>:</w:t>
      </w:r>
      <w:r w:rsidRPr="00B75B77">
        <w:t xml:space="preserve"> In the evaluation context, a reflection of the extent to which the observations conducted in the study deviate from the true value of the variable being observed. The error can be random (equal around the mean) or systematic (indicating bias).</w:t>
      </w:r>
    </w:p>
    <w:p w:rsidR="00A755C3" w:rsidRPr="00B75B77" w:rsidRDefault="00A755C3" w:rsidP="00E6236A">
      <w:pPr>
        <w:tabs>
          <w:tab w:val="left" w:pos="540"/>
          <w:tab w:val="left" w:pos="720"/>
        </w:tabs>
        <w:spacing w:after="120"/>
      </w:pPr>
      <w:r w:rsidRPr="00B75B77">
        <w:rPr>
          <w:rFonts w:ascii="Century Gothic" w:hAnsi="Century Gothic"/>
          <w:b/>
        </w:rPr>
        <w:t>Megawatt (MW)</w:t>
      </w:r>
      <w:r w:rsidRPr="00B75B77">
        <w:rPr>
          <w:rFonts w:ascii="Century Gothic" w:hAnsi="Century Gothic"/>
        </w:rPr>
        <w:t>:</w:t>
      </w:r>
      <w:r w:rsidRPr="00B75B77">
        <w:t xml:space="preserve"> A unit for measuring electricity equal to 1,000 kilowatts or one million </w:t>
      </w:r>
      <w:r w:rsidR="002E0AE7" w:rsidRPr="00B75B77">
        <w:t>w</w:t>
      </w:r>
      <w:r w:rsidRPr="00B75B77">
        <w:t xml:space="preserve">atts. </w:t>
      </w:r>
    </w:p>
    <w:p w:rsidR="00A755C3" w:rsidRPr="00B75B77" w:rsidRDefault="00A755C3" w:rsidP="00E6236A">
      <w:pPr>
        <w:tabs>
          <w:tab w:val="left" w:pos="540"/>
          <w:tab w:val="left" w:pos="720"/>
        </w:tabs>
        <w:spacing w:after="120"/>
      </w:pPr>
      <w:r w:rsidRPr="00B75B77">
        <w:rPr>
          <w:rFonts w:ascii="Century Gothic" w:hAnsi="Century Gothic"/>
          <w:b/>
        </w:rPr>
        <w:lastRenderedPageBreak/>
        <w:t>Megawatt-Hour (MWh)</w:t>
      </w:r>
      <w:r w:rsidRPr="00B75B77">
        <w:rPr>
          <w:rFonts w:ascii="Century Gothic" w:hAnsi="Century Gothic"/>
        </w:rPr>
        <w:t>:</w:t>
      </w:r>
      <w:r w:rsidRPr="00B75B77">
        <w:t xml:space="preserve"> A unit of electric energy numerically equal to 1,000,000 Watts used for one hour.</w:t>
      </w:r>
    </w:p>
    <w:p w:rsidR="00A755C3" w:rsidRPr="00B75B77" w:rsidRDefault="00A755C3" w:rsidP="00E6236A">
      <w:pPr>
        <w:tabs>
          <w:tab w:val="left" w:pos="540"/>
          <w:tab w:val="left" w:pos="720"/>
        </w:tabs>
        <w:spacing w:after="120"/>
      </w:pPr>
      <w:r w:rsidRPr="00B75B77">
        <w:rPr>
          <w:rFonts w:ascii="Century Gothic" w:hAnsi="Century Gothic"/>
          <w:b/>
        </w:rPr>
        <w:t>Metered Data</w:t>
      </w:r>
      <w:r w:rsidRPr="00B75B77">
        <w:rPr>
          <w:rFonts w:ascii="Century Gothic" w:hAnsi="Century Gothic"/>
        </w:rPr>
        <w:t>:</w:t>
      </w:r>
      <w:r w:rsidRPr="00B75B77">
        <w:t xml:space="preserve"> Data collected over time through a meter for a specific end use, energy-using system (e.g., lighting, HVAC), or location (e.g., floors of a building, a whole premise). Metered data may be collected over a variety of time intervals. Usually refers to electricity or gas data.</w:t>
      </w:r>
    </w:p>
    <w:p w:rsidR="00A755C3" w:rsidRPr="00B75B77" w:rsidRDefault="00A755C3" w:rsidP="00E6236A">
      <w:pPr>
        <w:tabs>
          <w:tab w:val="left" w:pos="540"/>
          <w:tab w:val="left" w:pos="720"/>
        </w:tabs>
        <w:spacing w:after="120"/>
      </w:pPr>
      <w:proofErr w:type="gramStart"/>
      <w:r w:rsidRPr="00B75B77">
        <w:rPr>
          <w:rFonts w:ascii="Century Gothic" w:hAnsi="Century Gothic"/>
          <w:b/>
        </w:rPr>
        <w:t>Metering</w:t>
      </w:r>
      <w:r w:rsidRPr="00B75B77">
        <w:rPr>
          <w:rFonts w:ascii="Century Gothic" w:hAnsi="Century Gothic"/>
        </w:rPr>
        <w:t>:</w:t>
      </w:r>
      <w:r w:rsidRPr="00B75B77">
        <w:t xml:space="preserve"> The collection of energy consumption data over time through the use of meters.</w:t>
      </w:r>
      <w:proofErr w:type="gramEnd"/>
      <w:r w:rsidRPr="00B75B77">
        <w:t xml:space="preserve"> These meters may collect information about an end use, a circuit, a piece of equipment, or a whole building (or facility). </w:t>
      </w:r>
      <w:r w:rsidRPr="00B75B77">
        <w:rPr>
          <w:i/>
        </w:rPr>
        <w:t>Short-term metering</w:t>
      </w:r>
      <w:r w:rsidRPr="00B75B77">
        <w:t xml:space="preserve"> generally refers to data collection for no more than a few weeks. </w:t>
      </w:r>
      <w:r w:rsidRPr="00B75B77">
        <w:rPr>
          <w:i/>
        </w:rPr>
        <w:t>End-use metering</w:t>
      </w:r>
      <w:r w:rsidRPr="00B75B77">
        <w:t xml:space="preserve"> refers specifically to separate data collection for one or more end uses in a facility, such as lighting, air conditioning, or refrigeration. </w:t>
      </w:r>
      <w:r w:rsidRPr="00B75B77">
        <w:rPr>
          <w:i/>
        </w:rPr>
        <w:t>Spot metering</w:t>
      </w:r>
      <w:r w:rsidRPr="00B75B77">
        <w:t xml:space="preserve"> is an instantaneous measurement (rather than over time) to determine equipment size or power draw.</w:t>
      </w:r>
    </w:p>
    <w:p w:rsidR="00A755C3" w:rsidRPr="00B75B77" w:rsidRDefault="00A755C3" w:rsidP="00E6236A">
      <w:pPr>
        <w:tabs>
          <w:tab w:val="left" w:pos="540"/>
          <w:tab w:val="left" w:pos="720"/>
        </w:tabs>
      </w:pPr>
      <w:proofErr w:type="gramStart"/>
      <w:r w:rsidRPr="00B75B77">
        <w:rPr>
          <w:rFonts w:ascii="Century Gothic" w:hAnsi="Century Gothic"/>
          <w:b/>
        </w:rPr>
        <w:t>Monitoring</w:t>
      </w:r>
      <w:r w:rsidRPr="00B75B77">
        <w:rPr>
          <w:rFonts w:ascii="Century Gothic" w:hAnsi="Century Gothic"/>
        </w:rPr>
        <w:t>:</w:t>
      </w:r>
      <w:r w:rsidRPr="00B75B77">
        <w:t xml:space="preserve"> The collection of relevant measurement data over time at a facility, including but not limited to energy consumption or emissions data (e.g., energy and water consumption, temperature, humidity, volume of emissions, </w:t>
      </w:r>
      <w:r w:rsidR="006735E6" w:rsidRPr="00B75B77">
        <w:t>and hours</w:t>
      </w:r>
      <w:r w:rsidRPr="00B75B77">
        <w:t xml:space="preserve"> of operation) for the purpose of conducting a savings analysis or to evaluate equipment or system performance.</w:t>
      </w:r>
      <w:proofErr w:type="gramEnd"/>
    </w:p>
    <w:p w:rsidR="008C26AD" w:rsidRPr="00B75B77" w:rsidRDefault="008C26AD" w:rsidP="009E6C10">
      <w:pPr>
        <w:widowControl w:val="0"/>
        <w:pBdr>
          <w:bottom w:val="single" w:sz="8" w:space="1" w:color="448A99"/>
        </w:pBdr>
        <w:spacing w:before="120" w:after="120"/>
        <w:rPr>
          <w:rFonts w:ascii="Century Gothic" w:hAnsi="Century Gothic"/>
          <w:b/>
          <w:bCs/>
          <w:color w:val="448A99"/>
          <w:sz w:val="30"/>
          <w:szCs w:val="30"/>
          <w:lang w:bidi="en-US"/>
        </w:rPr>
      </w:pPr>
      <w:r w:rsidRPr="00B75B77">
        <w:rPr>
          <w:rFonts w:ascii="Century Gothic" w:hAnsi="Century Gothic"/>
          <w:b/>
          <w:bCs/>
          <w:color w:val="448A99"/>
          <w:sz w:val="30"/>
          <w:szCs w:val="30"/>
          <w:lang w:bidi="en-US"/>
        </w:rPr>
        <w:t>-N-</w:t>
      </w:r>
    </w:p>
    <w:p w:rsidR="00A755C3" w:rsidRPr="00B75B77" w:rsidRDefault="00A755C3" w:rsidP="00E6236A">
      <w:pPr>
        <w:tabs>
          <w:tab w:val="left" w:pos="720"/>
        </w:tabs>
        <w:spacing w:after="120"/>
      </w:pPr>
      <w:r w:rsidRPr="00B75B77">
        <w:rPr>
          <w:rFonts w:ascii="Century Gothic" w:hAnsi="Century Gothic"/>
          <w:b/>
        </w:rPr>
        <w:t>Net Impact</w:t>
      </w:r>
      <w:r w:rsidRPr="00B75B77">
        <w:rPr>
          <w:rFonts w:ascii="Century Gothic" w:hAnsi="Century Gothic"/>
        </w:rPr>
        <w:t>:</w:t>
      </w:r>
      <w:r w:rsidRPr="00B75B77">
        <w:t xml:space="preserve"> See </w:t>
      </w:r>
      <w:r w:rsidRPr="00B75B77">
        <w:rPr>
          <w:i/>
        </w:rPr>
        <w:t>Net Savings</w:t>
      </w:r>
      <w:r w:rsidRPr="00B75B77">
        <w:t>.</w:t>
      </w:r>
    </w:p>
    <w:p w:rsidR="00A755C3" w:rsidRPr="00B75B77" w:rsidRDefault="00A755C3" w:rsidP="00E6236A">
      <w:pPr>
        <w:tabs>
          <w:tab w:val="left" w:pos="720"/>
        </w:tabs>
        <w:spacing w:after="120"/>
      </w:pPr>
      <w:r w:rsidRPr="00B75B77">
        <w:rPr>
          <w:rFonts w:ascii="Century Gothic" w:hAnsi="Century Gothic"/>
          <w:b/>
        </w:rPr>
        <w:t>Net Present Value</w:t>
      </w:r>
      <w:r w:rsidRPr="00B75B77">
        <w:rPr>
          <w:rFonts w:ascii="Century Gothic" w:hAnsi="Century Gothic"/>
        </w:rPr>
        <w:t>:</w:t>
      </w:r>
      <w:r w:rsidRPr="00B75B77">
        <w:t xml:space="preserve"> The discounted value of the net benefits or costs over a specified period of time (e.g., the expected useful life of the energy efficiency measure).</w:t>
      </w:r>
    </w:p>
    <w:p w:rsidR="00A755C3" w:rsidRPr="00B75B77" w:rsidRDefault="00A755C3" w:rsidP="00E6236A">
      <w:pPr>
        <w:tabs>
          <w:tab w:val="left" w:pos="540"/>
          <w:tab w:val="left" w:pos="720"/>
        </w:tabs>
        <w:spacing w:after="120"/>
      </w:pPr>
      <w:r w:rsidRPr="00B75B77">
        <w:rPr>
          <w:rFonts w:ascii="Century Gothic" w:hAnsi="Century Gothic"/>
          <w:b/>
        </w:rPr>
        <w:t>Net Savings</w:t>
      </w:r>
      <w:r w:rsidRPr="00B75B77">
        <w:rPr>
          <w:rFonts w:ascii="Century Gothic" w:hAnsi="Century Gothic"/>
        </w:rPr>
        <w:t>:</w:t>
      </w:r>
      <w:r w:rsidRPr="00B75B77">
        <w:t xml:space="preserve"> The total change in load that is attributable to an energy efficiency program. This change in load may include, implicitly or explicitly, the effects of </w:t>
      </w:r>
      <w:r w:rsidR="00AD567C" w:rsidRPr="00B75B77">
        <w:t>spillover</w:t>
      </w:r>
      <w:r w:rsidRPr="00B75B77">
        <w:t>, free</w:t>
      </w:r>
      <w:r w:rsidR="001B7CCE" w:rsidRPr="00B75B77">
        <w:t xml:space="preserve"> </w:t>
      </w:r>
      <w:r w:rsidRPr="00B75B77">
        <w:t>riders, energy efficiency standards, changes in the level of energy service, and other causes of changes in energy consumption or demand. Net savings are calculated by multiplying verified savings by a NTG ratio.</w:t>
      </w:r>
    </w:p>
    <w:p w:rsidR="00A755C3" w:rsidRPr="00B75B77" w:rsidRDefault="00A755C3" w:rsidP="00E6236A">
      <w:pPr>
        <w:tabs>
          <w:tab w:val="left" w:pos="540"/>
          <w:tab w:val="left" w:pos="720"/>
        </w:tabs>
        <w:spacing w:after="120"/>
      </w:pPr>
      <w:r w:rsidRPr="00B75B77">
        <w:rPr>
          <w:rFonts w:ascii="Century Gothic" w:hAnsi="Century Gothic"/>
          <w:b/>
        </w:rPr>
        <w:t>Net-to-Gross (NTG)</w:t>
      </w:r>
      <w:r w:rsidRPr="00B75B77">
        <w:rPr>
          <w:rFonts w:ascii="Century Gothic" w:hAnsi="Century Gothic"/>
        </w:rPr>
        <w:t>:</w:t>
      </w:r>
      <w:r w:rsidRPr="00B75B77">
        <w:t xml:space="preserve"> A factor representing net program savings divided by gross program savings that is applied to gross program impacts to convert them into net program load impacts. </w:t>
      </w:r>
    </w:p>
    <w:p w:rsidR="00A755C3" w:rsidRPr="00B75B77" w:rsidRDefault="00A755C3" w:rsidP="00E6236A">
      <w:pPr>
        <w:tabs>
          <w:tab w:val="left" w:pos="540"/>
          <w:tab w:val="left" w:pos="720"/>
        </w:tabs>
      </w:pPr>
      <w:r w:rsidRPr="00B75B77">
        <w:rPr>
          <w:rFonts w:ascii="Century Gothic" w:hAnsi="Century Gothic"/>
          <w:b/>
        </w:rPr>
        <w:t>Nonparticipant</w:t>
      </w:r>
      <w:r w:rsidRPr="00B75B77">
        <w:rPr>
          <w:rFonts w:ascii="Century Gothic" w:hAnsi="Century Gothic"/>
        </w:rPr>
        <w:t>:</w:t>
      </w:r>
      <w:r w:rsidRPr="00B75B77">
        <w:t xml:space="preserve"> Any consumer who was eligible but did not participate in the subject efficiency program in a given program year.</w:t>
      </w:r>
    </w:p>
    <w:p w:rsidR="008C26AD" w:rsidRPr="00B75B77" w:rsidRDefault="008C26AD" w:rsidP="009E6C10">
      <w:pPr>
        <w:widowControl w:val="0"/>
        <w:pBdr>
          <w:bottom w:val="single" w:sz="8" w:space="1" w:color="448A99"/>
        </w:pBdr>
        <w:spacing w:before="120" w:after="120"/>
        <w:rPr>
          <w:rFonts w:ascii="Century Gothic" w:hAnsi="Century Gothic"/>
          <w:b/>
          <w:bCs/>
          <w:color w:val="448A99"/>
          <w:sz w:val="30"/>
          <w:szCs w:val="30"/>
          <w:lang w:bidi="en-US"/>
        </w:rPr>
      </w:pPr>
      <w:r w:rsidRPr="00B75B77">
        <w:rPr>
          <w:rFonts w:ascii="Century Gothic" w:hAnsi="Century Gothic"/>
          <w:b/>
          <w:bCs/>
          <w:color w:val="448A99"/>
          <w:sz w:val="30"/>
          <w:szCs w:val="30"/>
          <w:lang w:bidi="en-US"/>
        </w:rPr>
        <w:t>-O-</w:t>
      </w:r>
    </w:p>
    <w:p w:rsidR="00A755C3" w:rsidRPr="00B75B77" w:rsidRDefault="00A755C3" w:rsidP="00E6236A">
      <w:pPr>
        <w:tabs>
          <w:tab w:val="left" w:pos="540"/>
          <w:tab w:val="left" w:pos="720"/>
        </w:tabs>
        <w:spacing w:after="120"/>
      </w:pPr>
      <w:r w:rsidRPr="00B75B77">
        <w:rPr>
          <w:rFonts w:ascii="Century Gothic" w:hAnsi="Century Gothic"/>
          <w:b/>
        </w:rPr>
        <w:t>Off-Peak Energy kWh Savings</w:t>
      </w:r>
      <w:r w:rsidRPr="00B75B77">
        <w:rPr>
          <w:rFonts w:ascii="Century Gothic" w:hAnsi="Century Gothic"/>
        </w:rPr>
        <w:t>:</w:t>
      </w:r>
      <w:r w:rsidRPr="00B75B77">
        <w:t xml:space="preserve"> The kWh reduction that occurs during a specified period of off-peak hours for energy savings (see the PA TRM Table 1-1).</w:t>
      </w:r>
    </w:p>
    <w:p w:rsidR="00A755C3" w:rsidRPr="00B75B77" w:rsidRDefault="00A755C3" w:rsidP="00E6236A">
      <w:pPr>
        <w:tabs>
          <w:tab w:val="left" w:pos="540"/>
          <w:tab w:val="left" w:pos="720"/>
        </w:tabs>
      </w:pPr>
      <w:r w:rsidRPr="00B75B77">
        <w:rPr>
          <w:rFonts w:ascii="Century Gothic" w:hAnsi="Century Gothic"/>
          <w:b/>
        </w:rPr>
        <w:t>On-Peak Energy kWh Savings</w:t>
      </w:r>
      <w:r w:rsidRPr="00B75B77">
        <w:rPr>
          <w:rFonts w:ascii="Century Gothic" w:hAnsi="Century Gothic"/>
        </w:rPr>
        <w:t>:</w:t>
      </w:r>
      <w:r w:rsidRPr="00B75B77">
        <w:t xml:space="preserve"> The kWh reduction that occurs during a specified period of on-peak hours for energy savings (see the PA TRM Table 1-1).</w:t>
      </w:r>
    </w:p>
    <w:p w:rsidR="008C26AD" w:rsidRPr="00B75B77" w:rsidRDefault="008C26AD" w:rsidP="009E6C10">
      <w:pPr>
        <w:widowControl w:val="0"/>
        <w:pBdr>
          <w:bottom w:val="single" w:sz="8" w:space="1" w:color="448A99"/>
        </w:pBdr>
        <w:spacing w:before="120" w:after="120"/>
        <w:rPr>
          <w:rFonts w:ascii="Century Gothic" w:hAnsi="Century Gothic"/>
          <w:b/>
          <w:bCs/>
          <w:color w:val="448A99"/>
          <w:sz w:val="30"/>
          <w:szCs w:val="30"/>
          <w:lang w:bidi="en-US"/>
        </w:rPr>
      </w:pPr>
      <w:r w:rsidRPr="00B75B77">
        <w:rPr>
          <w:rFonts w:ascii="Century Gothic" w:hAnsi="Century Gothic"/>
          <w:b/>
          <w:bCs/>
          <w:color w:val="448A99"/>
          <w:sz w:val="30"/>
          <w:szCs w:val="30"/>
          <w:lang w:bidi="en-US"/>
        </w:rPr>
        <w:t>-P-</w:t>
      </w:r>
    </w:p>
    <w:p w:rsidR="00A755C3" w:rsidRPr="00B75B77" w:rsidRDefault="00A755C3" w:rsidP="008B6BEC">
      <w:pPr>
        <w:tabs>
          <w:tab w:val="left" w:pos="720"/>
        </w:tabs>
        <w:spacing w:after="120"/>
      </w:pPr>
      <w:r w:rsidRPr="00B75B77">
        <w:rPr>
          <w:rFonts w:ascii="Century Gothic" w:hAnsi="Century Gothic"/>
          <w:b/>
        </w:rPr>
        <w:t>Participant</w:t>
      </w:r>
      <w:r w:rsidRPr="00B75B77">
        <w:rPr>
          <w:rFonts w:ascii="Century Gothic" w:hAnsi="Century Gothic"/>
        </w:rPr>
        <w:t>:</w:t>
      </w:r>
      <w:r w:rsidRPr="00B75B77">
        <w:t xml:space="preserve"> A utility customer partaking in an energy efficiency program, defined as one transaction or one rebate payment in a program. For example, a customer receiving one payment for two measures within one program counts as one participant. A customer receiving two payments in two programs counts as two participants. A customer partaking in one program at two different times receiving two separate payments counts as two participants. </w:t>
      </w:r>
    </w:p>
    <w:p w:rsidR="00A755C3" w:rsidRPr="00B75B77" w:rsidRDefault="00A755C3" w:rsidP="008B6BEC">
      <w:pPr>
        <w:tabs>
          <w:tab w:val="left" w:pos="720"/>
        </w:tabs>
        <w:spacing w:after="120"/>
      </w:pPr>
      <w:r w:rsidRPr="00B75B77">
        <w:rPr>
          <w:rFonts w:ascii="Century Gothic" w:hAnsi="Century Gothic"/>
          <w:b/>
        </w:rPr>
        <w:t>Participant Costs</w:t>
      </w:r>
      <w:r w:rsidRPr="00B75B77">
        <w:t>: Costs incurred by a customer participating in an energy efficiency program</w:t>
      </w:r>
      <w:r w:rsidR="008A3911" w:rsidRPr="00B75B77">
        <w:t>.</w:t>
      </w:r>
    </w:p>
    <w:p w:rsidR="00A755C3" w:rsidRPr="00B75B77" w:rsidRDefault="00A755C3" w:rsidP="008B6BEC">
      <w:pPr>
        <w:tabs>
          <w:tab w:val="left" w:pos="540"/>
          <w:tab w:val="left" w:pos="720"/>
        </w:tabs>
        <w:spacing w:after="120"/>
      </w:pPr>
      <w:r w:rsidRPr="00B75B77">
        <w:rPr>
          <w:rFonts w:ascii="Century Gothic" w:hAnsi="Century Gothic"/>
          <w:b/>
        </w:rPr>
        <w:lastRenderedPageBreak/>
        <w:t>Peak Demand</w:t>
      </w:r>
      <w:r w:rsidRPr="00B75B77">
        <w:rPr>
          <w:rFonts w:ascii="Century Gothic" w:hAnsi="Century Gothic"/>
        </w:rPr>
        <w:t>:</w:t>
      </w:r>
      <w:r w:rsidRPr="00B75B77">
        <w:t xml:space="preserve"> The maximum level of metered demand during a specified period, such as a billing month or a peak demand period. </w:t>
      </w:r>
    </w:p>
    <w:p w:rsidR="00A755C3" w:rsidRPr="00B75B77" w:rsidRDefault="00A755C3" w:rsidP="008B6BEC">
      <w:pPr>
        <w:tabs>
          <w:tab w:val="left" w:pos="540"/>
          <w:tab w:val="left" w:pos="720"/>
        </w:tabs>
        <w:spacing w:after="120"/>
      </w:pPr>
      <w:r w:rsidRPr="00B75B77">
        <w:rPr>
          <w:rFonts w:ascii="Century Gothic" w:hAnsi="Century Gothic"/>
          <w:b/>
        </w:rPr>
        <w:t>Peak Load</w:t>
      </w:r>
      <w:r w:rsidRPr="00B75B77">
        <w:rPr>
          <w:rFonts w:ascii="Century Gothic" w:hAnsi="Century Gothic"/>
        </w:rPr>
        <w:t>:</w:t>
      </w:r>
      <w:r w:rsidRPr="00B75B77">
        <w:t xml:space="preserve"> The highest electrical demand within a particular period of time. Daily electric peaks on weekdays typically occur in the late afternoon and early evening. Annual peaks typically occur on hot summer days.</w:t>
      </w:r>
    </w:p>
    <w:p w:rsidR="00A755C3" w:rsidRPr="00B75B77" w:rsidRDefault="00A755C3" w:rsidP="008B6BEC">
      <w:pPr>
        <w:tabs>
          <w:tab w:val="left" w:pos="720"/>
        </w:tabs>
        <w:spacing w:after="120"/>
      </w:pPr>
      <w:r w:rsidRPr="00B75B77">
        <w:rPr>
          <w:rFonts w:ascii="Century Gothic" w:hAnsi="Century Gothic"/>
          <w:b/>
        </w:rPr>
        <w:t>Percent</w:t>
      </w:r>
      <w:r w:rsidR="00530239" w:rsidRPr="00B75B77">
        <w:rPr>
          <w:rFonts w:ascii="Century Gothic" w:hAnsi="Century Gothic"/>
          <w:b/>
        </w:rPr>
        <w:t>age</w:t>
      </w:r>
      <w:r w:rsidRPr="00B75B77">
        <w:rPr>
          <w:rFonts w:ascii="Century Gothic" w:hAnsi="Century Gothic"/>
          <w:b/>
        </w:rPr>
        <w:t xml:space="preserve"> of Estimate Committed</w:t>
      </w:r>
      <w:r w:rsidRPr="00B75B77">
        <w:rPr>
          <w:rFonts w:ascii="Century Gothic" w:hAnsi="Century Gothic"/>
        </w:rPr>
        <w:t>:</w:t>
      </w:r>
      <w:r w:rsidRPr="00B75B77">
        <w:t xml:space="preserve"> The program year</w:t>
      </w:r>
      <w:r w:rsidR="0044162C" w:rsidRPr="00B75B77">
        <w:t xml:space="preserve"> </w:t>
      </w:r>
      <w:r w:rsidRPr="00B75B77">
        <w:t>to</w:t>
      </w:r>
      <w:r w:rsidR="0044162C" w:rsidRPr="00B75B77">
        <w:t xml:space="preserve"> </w:t>
      </w:r>
      <w:r w:rsidRPr="00B75B77">
        <w:t>date total committed savings as a percent</w:t>
      </w:r>
      <w:r w:rsidR="00530239" w:rsidRPr="00B75B77">
        <w:t>age</w:t>
      </w:r>
      <w:r w:rsidRPr="00B75B77">
        <w:t xml:space="preserve"> of the savings targets established in each EDC EE&amp;C Plan, calculated by dividing the PYTD total committed by the EE&amp;C Plan program year estimate.</w:t>
      </w:r>
    </w:p>
    <w:p w:rsidR="00A755C3" w:rsidRPr="00B75B77" w:rsidRDefault="00A755C3" w:rsidP="008B6BEC">
      <w:pPr>
        <w:tabs>
          <w:tab w:val="left" w:pos="540"/>
          <w:tab w:val="left" w:pos="720"/>
        </w:tabs>
        <w:spacing w:after="120"/>
      </w:pPr>
      <w:r w:rsidRPr="00B75B77">
        <w:rPr>
          <w:rFonts w:ascii="Century Gothic" w:hAnsi="Century Gothic"/>
          <w:b/>
        </w:rPr>
        <w:t>Portfolio</w:t>
      </w:r>
      <w:r w:rsidRPr="00B75B77">
        <w:rPr>
          <w:rFonts w:ascii="Century Gothic" w:hAnsi="Century Gothic"/>
        </w:rPr>
        <w:t>:</w:t>
      </w:r>
      <w:r w:rsidRPr="00B75B77">
        <w:t xml:space="preserve"> Can be defined as: (1) a collection of programs addressing the same market (e.g., a portfolio of residential programs), technology (e.g., motor efficiency programs), or mechanisms (e.g., loan programs); or (2) the set of all programs conducted by one or more organizations, such as a utility or program administrator, and which could include programs that cover multiple markets, technologies, etc.</w:t>
      </w:r>
    </w:p>
    <w:p w:rsidR="00A755C3" w:rsidRPr="00B75B77" w:rsidRDefault="00A755C3" w:rsidP="008B6BEC">
      <w:pPr>
        <w:tabs>
          <w:tab w:val="left" w:pos="540"/>
          <w:tab w:val="left" w:pos="720"/>
        </w:tabs>
        <w:spacing w:after="120"/>
      </w:pPr>
      <w:r w:rsidRPr="00B75B77">
        <w:rPr>
          <w:rFonts w:ascii="Century Gothic" w:hAnsi="Century Gothic"/>
          <w:b/>
        </w:rPr>
        <w:t>Precision</w:t>
      </w:r>
      <w:r w:rsidRPr="00B75B77">
        <w:rPr>
          <w:rFonts w:ascii="Century Gothic" w:hAnsi="Century Gothic"/>
        </w:rPr>
        <w:t>:</w:t>
      </w:r>
      <w:r w:rsidRPr="00B75B77">
        <w:t xml:space="preserve"> An indication of the closeness of agreement among repeated measurements of the same physical quantity. It is also used to represent the degree to which an estimated result in social science (e.g., energy savings) would be replicated with repeated studies.</w:t>
      </w:r>
    </w:p>
    <w:p w:rsidR="00A755C3" w:rsidRPr="00B75B77" w:rsidRDefault="00A755C3" w:rsidP="008B6BEC">
      <w:pPr>
        <w:tabs>
          <w:tab w:val="left" w:pos="720"/>
        </w:tabs>
        <w:spacing w:after="120"/>
      </w:pPr>
      <w:r w:rsidRPr="00B75B77">
        <w:rPr>
          <w:rFonts w:ascii="Century Gothic" w:hAnsi="Century Gothic"/>
          <w:b/>
        </w:rPr>
        <w:t>Preliminary Program Year</w:t>
      </w:r>
      <w:r w:rsidR="0044162C" w:rsidRPr="00B75B77">
        <w:rPr>
          <w:rFonts w:ascii="Century Gothic" w:hAnsi="Century Gothic"/>
          <w:b/>
        </w:rPr>
        <w:t xml:space="preserve"> </w:t>
      </w:r>
      <w:r w:rsidRPr="00B75B77">
        <w:rPr>
          <w:rFonts w:ascii="Century Gothic" w:hAnsi="Century Gothic"/>
          <w:b/>
        </w:rPr>
        <w:t>to</w:t>
      </w:r>
      <w:r w:rsidR="0044162C" w:rsidRPr="00B75B77">
        <w:rPr>
          <w:rFonts w:ascii="Century Gothic" w:hAnsi="Century Gothic"/>
          <w:b/>
        </w:rPr>
        <w:t xml:space="preserve"> </w:t>
      </w:r>
      <w:r w:rsidRPr="00B75B77">
        <w:rPr>
          <w:rFonts w:ascii="Century Gothic" w:hAnsi="Century Gothic"/>
          <w:b/>
        </w:rPr>
        <w:t>Date (PYTD) Net Impact</w:t>
      </w:r>
      <w:r w:rsidRPr="00B75B77">
        <w:rPr>
          <w:rFonts w:ascii="Century Gothic" w:hAnsi="Century Gothic"/>
        </w:rPr>
        <w:t>:</w:t>
      </w:r>
      <w:r w:rsidRPr="00B75B77">
        <w:t xml:space="preserve"> Net impacts reported in quarterly reports. These net impacts are preliminary in that they are based on preliminary realization rates.</w:t>
      </w:r>
    </w:p>
    <w:p w:rsidR="00A755C3" w:rsidRPr="00B75B77" w:rsidRDefault="00A755C3" w:rsidP="008B6BEC">
      <w:pPr>
        <w:tabs>
          <w:tab w:val="left" w:pos="720"/>
        </w:tabs>
        <w:spacing w:after="120"/>
      </w:pPr>
      <w:r w:rsidRPr="00B75B77">
        <w:rPr>
          <w:rFonts w:ascii="Century Gothic" w:hAnsi="Century Gothic"/>
          <w:b/>
        </w:rPr>
        <w:t>Preliminary Program Year</w:t>
      </w:r>
      <w:r w:rsidR="0044162C" w:rsidRPr="00B75B77">
        <w:rPr>
          <w:rFonts w:ascii="Century Gothic" w:hAnsi="Century Gothic"/>
          <w:b/>
        </w:rPr>
        <w:t xml:space="preserve"> </w:t>
      </w:r>
      <w:r w:rsidRPr="00B75B77">
        <w:rPr>
          <w:rFonts w:ascii="Century Gothic" w:hAnsi="Century Gothic"/>
          <w:b/>
        </w:rPr>
        <w:t>to</w:t>
      </w:r>
      <w:r w:rsidR="0044162C" w:rsidRPr="00B75B77">
        <w:rPr>
          <w:rFonts w:ascii="Century Gothic" w:hAnsi="Century Gothic"/>
          <w:b/>
        </w:rPr>
        <w:t xml:space="preserve"> </w:t>
      </w:r>
      <w:r w:rsidRPr="00B75B77">
        <w:rPr>
          <w:rFonts w:ascii="Century Gothic" w:hAnsi="Century Gothic"/>
          <w:b/>
        </w:rPr>
        <w:t>Date (PYTD) Verified Impact</w:t>
      </w:r>
      <w:r w:rsidRPr="00B75B77">
        <w:rPr>
          <w:rFonts w:ascii="Century Gothic" w:hAnsi="Century Gothic"/>
        </w:rPr>
        <w:t>:</w:t>
      </w:r>
      <w:r w:rsidRPr="00B75B77">
        <w:t xml:space="preserve"> Verified impacts reported in quarterly reports. These verified impacts are preliminary in that they are based on preliminary realization rates.</w:t>
      </w:r>
    </w:p>
    <w:p w:rsidR="00A755C3" w:rsidRPr="00B75B77" w:rsidRDefault="00A755C3" w:rsidP="008B6BEC">
      <w:pPr>
        <w:tabs>
          <w:tab w:val="left" w:pos="720"/>
        </w:tabs>
        <w:spacing w:after="120"/>
      </w:pPr>
      <w:r w:rsidRPr="00B75B77">
        <w:rPr>
          <w:rFonts w:ascii="Century Gothic" w:hAnsi="Century Gothic"/>
          <w:b/>
        </w:rPr>
        <w:t>Preliminary Realization Rate</w:t>
      </w:r>
      <w:r w:rsidRPr="00B75B77">
        <w:rPr>
          <w:rFonts w:ascii="Century Gothic" w:hAnsi="Century Gothic"/>
        </w:rPr>
        <w:t xml:space="preserve">: </w:t>
      </w:r>
      <w:r w:rsidRPr="00B75B77">
        <w:t>Realization rates reported in quarterly reports based on the results of M&amp;V activities conducted on the sample to date. These results are preliminary because the sample</w:t>
      </w:r>
      <w:r w:rsidR="0044162C" w:rsidRPr="00B75B77">
        <w:t xml:space="preserve"> </w:t>
      </w:r>
      <w:r w:rsidRPr="00B75B77">
        <w:t>to</w:t>
      </w:r>
      <w:r w:rsidR="0044162C" w:rsidRPr="00B75B77">
        <w:t xml:space="preserve"> </w:t>
      </w:r>
      <w:r w:rsidRPr="00B75B77">
        <w:t xml:space="preserve">date is likely not to have met the required levels of confidence and precision. </w:t>
      </w:r>
    </w:p>
    <w:p w:rsidR="00A755C3" w:rsidRPr="00B75B77" w:rsidRDefault="00A755C3" w:rsidP="008B6BEC">
      <w:pPr>
        <w:tabs>
          <w:tab w:val="left" w:pos="540"/>
          <w:tab w:val="left" w:pos="720"/>
        </w:tabs>
        <w:spacing w:after="120"/>
      </w:pPr>
      <w:r w:rsidRPr="00B75B77">
        <w:rPr>
          <w:rFonts w:ascii="Century Gothic" w:hAnsi="Century Gothic"/>
          <w:b/>
        </w:rPr>
        <w:t>Prescriptive Program</w:t>
      </w:r>
      <w:r w:rsidRPr="00B75B77">
        <w:rPr>
          <w:rFonts w:ascii="Century Gothic" w:hAnsi="Century Gothic"/>
        </w:rPr>
        <w:t xml:space="preserve">: </w:t>
      </w:r>
      <w:r w:rsidRPr="00B75B77">
        <w:t xml:space="preserve">An energy efficiency program focused on measures that are one-for-one replacements of the existing equipment and for which </w:t>
      </w:r>
      <w:r w:rsidR="0036636A" w:rsidRPr="00B75B77">
        <w:t>anticipated similar savings results across participants.</w:t>
      </w:r>
    </w:p>
    <w:p w:rsidR="00A755C3" w:rsidRPr="00B75B77" w:rsidRDefault="00A755C3" w:rsidP="008B6BEC">
      <w:pPr>
        <w:tabs>
          <w:tab w:val="left" w:pos="540"/>
          <w:tab w:val="left" w:pos="720"/>
        </w:tabs>
        <w:spacing w:after="120"/>
      </w:pPr>
      <w:r w:rsidRPr="00B75B77">
        <w:rPr>
          <w:rFonts w:ascii="Century Gothic" w:hAnsi="Century Gothic"/>
          <w:b/>
        </w:rPr>
        <w:t>Process Evaluation</w:t>
      </w:r>
      <w:r w:rsidRPr="00B75B77">
        <w:rPr>
          <w:rFonts w:ascii="Century Gothic" w:hAnsi="Century Gothic"/>
        </w:rPr>
        <w:t xml:space="preserve">: </w:t>
      </w:r>
      <w:r w:rsidRPr="00B75B77">
        <w:t>A systematic assessment of an energy efficiency program for the purposes of documenting program operations at the time of the examination and identifying and recommending improvements to increase the program’s efficiency or effectiveness for acquiring energy resources, while maintaining high levels of participant satisfaction.</w:t>
      </w:r>
    </w:p>
    <w:p w:rsidR="00A755C3" w:rsidRPr="00B75B77" w:rsidRDefault="00A755C3" w:rsidP="008B6BEC">
      <w:pPr>
        <w:tabs>
          <w:tab w:val="left" w:pos="540"/>
          <w:tab w:val="left" w:pos="720"/>
        </w:tabs>
        <w:spacing w:after="120"/>
      </w:pPr>
      <w:r w:rsidRPr="00B75B77">
        <w:rPr>
          <w:rFonts w:ascii="Century Gothic" w:hAnsi="Century Gothic"/>
          <w:b/>
        </w:rPr>
        <w:t>Program Administrator</w:t>
      </w:r>
      <w:r w:rsidRPr="00B75B77">
        <w:t>: Those entities that oversee the implementation of energy efficiency programs. This generally includes regulated utilities, other organizations chosen to implement such programs, and state energy offices.</w:t>
      </w:r>
    </w:p>
    <w:p w:rsidR="00A755C3" w:rsidRPr="00B75B77" w:rsidRDefault="00A755C3" w:rsidP="008B6BEC">
      <w:pPr>
        <w:tabs>
          <w:tab w:val="left" w:pos="720"/>
        </w:tabs>
        <w:spacing w:after="120"/>
      </w:pPr>
      <w:r w:rsidRPr="00B75B77">
        <w:rPr>
          <w:rFonts w:ascii="Century Gothic" w:hAnsi="Century Gothic"/>
          <w:b/>
        </w:rPr>
        <w:t>Program Year Energy Savings Target</w:t>
      </w:r>
      <w:r w:rsidRPr="00B75B77">
        <w:rPr>
          <w:rFonts w:ascii="Century Gothic" w:hAnsi="Century Gothic"/>
        </w:rPr>
        <w:t>:</w:t>
      </w:r>
      <w:r w:rsidRPr="00B75B77">
        <w:t xml:space="preserve"> Energy target established for the given program year as approved in each EDC EE&amp;C Plan.</w:t>
      </w:r>
    </w:p>
    <w:p w:rsidR="00A755C3" w:rsidRPr="00B75B77" w:rsidRDefault="00A755C3" w:rsidP="008B6BEC">
      <w:pPr>
        <w:tabs>
          <w:tab w:val="left" w:pos="720"/>
        </w:tabs>
        <w:spacing w:after="120"/>
      </w:pPr>
      <w:r w:rsidRPr="00B75B77">
        <w:rPr>
          <w:rFonts w:ascii="Century Gothic" w:hAnsi="Century Gothic"/>
          <w:b/>
        </w:rPr>
        <w:t>Program Year Sample Participant Target</w:t>
      </w:r>
      <w:r w:rsidRPr="00B75B77">
        <w:rPr>
          <w:rFonts w:ascii="Century Gothic" w:hAnsi="Century Gothic"/>
        </w:rPr>
        <w:t>:</w:t>
      </w:r>
      <w:r w:rsidRPr="00B75B77">
        <w:t xml:space="preserve"> Estimated sample size for evaluation activities in the given program year.</w:t>
      </w:r>
    </w:p>
    <w:p w:rsidR="00A755C3" w:rsidRPr="00B75B77" w:rsidRDefault="00A755C3" w:rsidP="008B6BEC">
      <w:pPr>
        <w:tabs>
          <w:tab w:val="left" w:pos="540"/>
          <w:tab w:val="left" w:pos="720"/>
        </w:tabs>
        <w:spacing w:after="120"/>
      </w:pPr>
      <w:r w:rsidRPr="00B75B77">
        <w:rPr>
          <w:rFonts w:ascii="Century Gothic" w:hAnsi="Century Gothic"/>
          <w:b/>
        </w:rPr>
        <w:t>Program Incentive</w:t>
      </w:r>
      <w:r w:rsidRPr="00B75B77">
        <w:rPr>
          <w:rFonts w:ascii="Century Gothic" w:hAnsi="Century Gothic"/>
        </w:rPr>
        <w:t>:</w:t>
      </w:r>
      <w:r w:rsidRPr="00B75B77">
        <w:t xml:space="preserve"> An incentive, generally monetary, that is offered to a customer through an energy efficiency program to encourage their participation. The incentive is intended to overcome one or more barriers that keep the customer from taking the energy efficiency action on their own.</w:t>
      </w:r>
    </w:p>
    <w:p w:rsidR="00A755C3" w:rsidRPr="00B75B77" w:rsidRDefault="00A755C3" w:rsidP="008B6BEC">
      <w:pPr>
        <w:tabs>
          <w:tab w:val="left" w:pos="540"/>
          <w:tab w:val="left" w:pos="720"/>
        </w:tabs>
        <w:spacing w:after="120"/>
      </w:pPr>
      <w:r w:rsidRPr="00B75B77">
        <w:rPr>
          <w:rFonts w:ascii="Century Gothic" w:hAnsi="Century Gothic"/>
          <w:b/>
        </w:rPr>
        <w:lastRenderedPageBreak/>
        <w:t>Program Participant</w:t>
      </w:r>
      <w:r w:rsidRPr="00B75B77">
        <w:rPr>
          <w:rFonts w:ascii="Century Gothic" w:hAnsi="Century Gothic"/>
        </w:rPr>
        <w:t>:</w:t>
      </w:r>
      <w:r w:rsidRPr="00B75B77">
        <w:t xml:space="preserve"> A consumer that received a service offered through an efficiency program in a given program year. The term “service” can refer to one or more of a wide variety of services, including financial rebates, technical assistance, product installations, training, energy efficiency information, or other services, items, or conditions.</w:t>
      </w:r>
    </w:p>
    <w:p w:rsidR="00A755C3" w:rsidRPr="00B75B77" w:rsidRDefault="00A755C3" w:rsidP="008B6BEC">
      <w:pPr>
        <w:tabs>
          <w:tab w:val="left" w:pos="720"/>
        </w:tabs>
        <w:spacing w:after="120"/>
      </w:pPr>
      <w:r w:rsidRPr="00B75B77">
        <w:rPr>
          <w:rFonts w:ascii="Century Gothic" w:hAnsi="Century Gothic"/>
          <w:b/>
        </w:rPr>
        <w:t>Program Year</w:t>
      </w:r>
      <w:r w:rsidR="0044162C" w:rsidRPr="00B75B77">
        <w:rPr>
          <w:rFonts w:ascii="Century Gothic" w:hAnsi="Century Gothic"/>
          <w:b/>
        </w:rPr>
        <w:t xml:space="preserve"> </w:t>
      </w:r>
      <w:r w:rsidRPr="00B75B77">
        <w:rPr>
          <w:rFonts w:ascii="Century Gothic" w:hAnsi="Century Gothic"/>
          <w:b/>
        </w:rPr>
        <w:t>to</w:t>
      </w:r>
      <w:r w:rsidR="0044162C" w:rsidRPr="00B75B77">
        <w:rPr>
          <w:rFonts w:ascii="Century Gothic" w:hAnsi="Century Gothic"/>
          <w:b/>
        </w:rPr>
        <w:t xml:space="preserve"> </w:t>
      </w:r>
      <w:r w:rsidRPr="00B75B77">
        <w:rPr>
          <w:rFonts w:ascii="Century Gothic" w:hAnsi="Century Gothic"/>
          <w:b/>
        </w:rPr>
        <w:t>Date (PYTD)</w:t>
      </w:r>
      <w:r w:rsidRPr="00B75B77">
        <w:rPr>
          <w:rFonts w:ascii="Century Gothic" w:hAnsi="Century Gothic"/>
        </w:rPr>
        <w:t>:</w:t>
      </w:r>
      <w:r w:rsidRPr="00B75B77">
        <w:t xml:space="preserve"> Beginning June 1 of the current program year through the end of the current quarter (February 28/29, May 31, August 31, or November 30).</w:t>
      </w:r>
    </w:p>
    <w:p w:rsidR="00A755C3" w:rsidRPr="00B75B77" w:rsidRDefault="00A755C3" w:rsidP="008B6BEC">
      <w:pPr>
        <w:tabs>
          <w:tab w:val="left" w:pos="540"/>
          <w:tab w:val="left" w:pos="720"/>
        </w:tabs>
        <w:spacing w:after="120"/>
      </w:pPr>
      <w:r w:rsidRPr="00B75B77">
        <w:rPr>
          <w:rFonts w:ascii="Century Gothic" w:hAnsi="Century Gothic"/>
          <w:b/>
        </w:rPr>
        <w:t>Program Year</w:t>
      </w:r>
      <w:r w:rsidR="0044162C" w:rsidRPr="00B75B77">
        <w:rPr>
          <w:rFonts w:ascii="Century Gothic" w:hAnsi="Century Gothic"/>
          <w:b/>
        </w:rPr>
        <w:t xml:space="preserve"> </w:t>
      </w:r>
      <w:r w:rsidRPr="00B75B77">
        <w:rPr>
          <w:rFonts w:ascii="Century Gothic" w:hAnsi="Century Gothic"/>
          <w:b/>
        </w:rPr>
        <w:t>to</w:t>
      </w:r>
      <w:r w:rsidR="0044162C" w:rsidRPr="00B75B77">
        <w:rPr>
          <w:rFonts w:ascii="Century Gothic" w:hAnsi="Century Gothic"/>
          <w:b/>
        </w:rPr>
        <w:t xml:space="preserve"> </w:t>
      </w:r>
      <w:r w:rsidRPr="00B75B77">
        <w:rPr>
          <w:rFonts w:ascii="Century Gothic" w:hAnsi="Century Gothic"/>
          <w:b/>
        </w:rPr>
        <w:t>Date (PYTD) Net Impact</w:t>
      </w:r>
      <w:r w:rsidRPr="00B75B77">
        <w:rPr>
          <w:rFonts w:ascii="Century Gothic" w:hAnsi="Century Gothic"/>
        </w:rPr>
        <w:t>:</w:t>
      </w:r>
      <w:r w:rsidRPr="00B75B77">
        <w:t xml:space="preserve"> The total change in load that is attributable to </w:t>
      </w:r>
      <w:proofErr w:type="gramStart"/>
      <w:r w:rsidRPr="00B75B77">
        <w:t>an energy</w:t>
      </w:r>
      <w:proofErr w:type="gramEnd"/>
      <w:r w:rsidRPr="00B75B77">
        <w:t xml:space="preserve"> efficiency program from June 1 of the current program year through the end of the current quarter (February 28/29, May 31, August 31, or November 30). </w:t>
      </w:r>
    </w:p>
    <w:p w:rsidR="00A755C3" w:rsidRPr="00B75B77" w:rsidRDefault="00A755C3" w:rsidP="008B6BEC">
      <w:pPr>
        <w:tabs>
          <w:tab w:val="left" w:pos="720"/>
        </w:tabs>
        <w:spacing w:after="120"/>
      </w:pPr>
      <w:proofErr w:type="gramStart"/>
      <w:r w:rsidRPr="00B75B77">
        <w:rPr>
          <w:rFonts w:ascii="Century Gothic" w:hAnsi="Century Gothic"/>
          <w:b/>
        </w:rPr>
        <w:t>Program Year</w:t>
      </w:r>
      <w:r w:rsidR="0044162C" w:rsidRPr="00B75B77">
        <w:rPr>
          <w:rFonts w:ascii="Century Gothic" w:hAnsi="Century Gothic"/>
          <w:b/>
        </w:rPr>
        <w:t xml:space="preserve"> </w:t>
      </w:r>
      <w:r w:rsidRPr="00B75B77">
        <w:rPr>
          <w:rFonts w:ascii="Century Gothic" w:hAnsi="Century Gothic"/>
          <w:b/>
        </w:rPr>
        <w:t>to</w:t>
      </w:r>
      <w:r w:rsidR="0044162C" w:rsidRPr="00B75B77">
        <w:rPr>
          <w:rFonts w:ascii="Century Gothic" w:hAnsi="Century Gothic"/>
          <w:b/>
        </w:rPr>
        <w:t xml:space="preserve"> </w:t>
      </w:r>
      <w:r w:rsidRPr="00B75B77">
        <w:rPr>
          <w:rFonts w:ascii="Century Gothic" w:hAnsi="Century Gothic"/>
          <w:b/>
        </w:rPr>
        <w:t>Date (PYTD) Participants</w:t>
      </w:r>
      <w:r w:rsidRPr="00B75B77">
        <w:rPr>
          <w:rFonts w:ascii="Century Gothic" w:hAnsi="Century Gothic"/>
        </w:rPr>
        <w:t>:</w:t>
      </w:r>
      <w:r w:rsidRPr="00B75B77">
        <w:t xml:space="preserve"> The number of utility customers participating in an energy efficiency program beginning June 1 of the current program year through the end of the current quarter (February 28/29, May 31, August 31, or November 30).</w:t>
      </w:r>
      <w:proofErr w:type="gramEnd"/>
      <w:r w:rsidRPr="00B75B77">
        <w:t xml:space="preserve"> </w:t>
      </w:r>
    </w:p>
    <w:p w:rsidR="00A755C3" w:rsidRPr="00B75B77" w:rsidRDefault="00A755C3" w:rsidP="008B6BEC">
      <w:pPr>
        <w:tabs>
          <w:tab w:val="left" w:pos="540"/>
          <w:tab w:val="left" w:pos="720"/>
        </w:tabs>
        <w:spacing w:after="120"/>
      </w:pPr>
      <w:r w:rsidRPr="00B75B77">
        <w:rPr>
          <w:rFonts w:ascii="Century Gothic" w:hAnsi="Century Gothic"/>
          <w:b/>
        </w:rPr>
        <w:t>Program Year</w:t>
      </w:r>
      <w:r w:rsidR="0044162C" w:rsidRPr="00B75B77">
        <w:rPr>
          <w:rFonts w:ascii="Century Gothic" w:hAnsi="Century Gothic"/>
          <w:b/>
        </w:rPr>
        <w:t xml:space="preserve"> </w:t>
      </w:r>
      <w:r w:rsidRPr="00B75B77">
        <w:rPr>
          <w:rFonts w:ascii="Century Gothic" w:hAnsi="Century Gothic"/>
          <w:b/>
        </w:rPr>
        <w:t>to</w:t>
      </w:r>
      <w:r w:rsidR="0044162C" w:rsidRPr="00B75B77">
        <w:rPr>
          <w:rFonts w:ascii="Century Gothic" w:hAnsi="Century Gothic"/>
          <w:b/>
        </w:rPr>
        <w:t xml:space="preserve"> </w:t>
      </w:r>
      <w:r w:rsidRPr="00B75B77">
        <w:rPr>
          <w:rFonts w:ascii="Century Gothic" w:hAnsi="Century Gothic"/>
          <w:b/>
        </w:rPr>
        <w:t>Date (PYTD) Reported Gross Impact</w:t>
      </w:r>
      <w:r w:rsidRPr="00B75B77">
        <w:rPr>
          <w:rFonts w:ascii="Century Gothic" w:hAnsi="Century Gothic"/>
        </w:rPr>
        <w:t>:</w:t>
      </w:r>
      <w:r w:rsidRPr="00B75B77">
        <w:t xml:space="preserve"> The change in energy consumption and/or demand that results directly from program-related actions taken by participants in an efficiency program, regardless of why they participated, beginning June 1 of the current program year through the end of the current quarter (February 28/29, May 31, August 31, or November 30). This value is unverified by an independent third-party evaluator.</w:t>
      </w:r>
    </w:p>
    <w:p w:rsidR="00A755C3" w:rsidRPr="00B75B77" w:rsidRDefault="00A755C3" w:rsidP="008B6BEC">
      <w:pPr>
        <w:tabs>
          <w:tab w:val="left" w:pos="540"/>
          <w:tab w:val="left" w:pos="720"/>
        </w:tabs>
        <w:spacing w:after="120"/>
      </w:pPr>
      <w:proofErr w:type="gramStart"/>
      <w:r w:rsidRPr="00B75B77">
        <w:rPr>
          <w:rFonts w:ascii="Century Gothic" w:hAnsi="Century Gothic"/>
          <w:b/>
        </w:rPr>
        <w:t>Program Year</w:t>
      </w:r>
      <w:r w:rsidR="0044162C" w:rsidRPr="00B75B77">
        <w:rPr>
          <w:rFonts w:ascii="Century Gothic" w:hAnsi="Century Gothic"/>
          <w:b/>
        </w:rPr>
        <w:t xml:space="preserve"> </w:t>
      </w:r>
      <w:r w:rsidRPr="00B75B77">
        <w:rPr>
          <w:rFonts w:ascii="Century Gothic" w:hAnsi="Century Gothic"/>
          <w:b/>
        </w:rPr>
        <w:t>to</w:t>
      </w:r>
      <w:r w:rsidR="0044162C" w:rsidRPr="00B75B77">
        <w:rPr>
          <w:rFonts w:ascii="Century Gothic" w:hAnsi="Century Gothic"/>
          <w:b/>
        </w:rPr>
        <w:t xml:space="preserve"> </w:t>
      </w:r>
      <w:r w:rsidRPr="00B75B77">
        <w:rPr>
          <w:rFonts w:ascii="Century Gothic" w:hAnsi="Century Gothic"/>
          <w:b/>
        </w:rPr>
        <w:t>Date (PYTD) Sample Participants</w:t>
      </w:r>
      <w:r w:rsidRPr="00B75B77">
        <w:rPr>
          <w:rFonts w:ascii="Century Gothic" w:hAnsi="Century Gothic"/>
        </w:rPr>
        <w:t>:</w:t>
      </w:r>
      <w:r w:rsidRPr="00B75B77">
        <w:t xml:space="preserve"> Total participant sample beginning June 1 of the current program year through the end of the current quarter (February 28/29, May 31, August 31, or November 30).</w:t>
      </w:r>
      <w:proofErr w:type="gramEnd"/>
    </w:p>
    <w:p w:rsidR="00A755C3" w:rsidRPr="00B75B77" w:rsidRDefault="00A755C3" w:rsidP="008B6BEC">
      <w:pPr>
        <w:tabs>
          <w:tab w:val="left" w:pos="540"/>
          <w:tab w:val="left" w:pos="720"/>
        </w:tabs>
        <w:spacing w:after="120"/>
      </w:pPr>
      <w:r w:rsidRPr="00B75B77">
        <w:rPr>
          <w:rFonts w:ascii="Century Gothic" w:hAnsi="Century Gothic"/>
          <w:b/>
        </w:rPr>
        <w:t>Program Year</w:t>
      </w:r>
      <w:r w:rsidR="0044162C" w:rsidRPr="00B75B77">
        <w:rPr>
          <w:rFonts w:ascii="Century Gothic" w:hAnsi="Century Gothic"/>
          <w:b/>
        </w:rPr>
        <w:t xml:space="preserve"> </w:t>
      </w:r>
      <w:r w:rsidRPr="00B75B77">
        <w:rPr>
          <w:rFonts w:ascii="Century Gothic" w:hAnsi="Century Gothic"/>
          <w:b/>
        </w:rPr>
        <w:t>to</w:t>
      </w:r>
      <w:r w:rsidR="0044162C" w:rsidRPr="00B75B77">
        <w:rPr>
          <w:rFonts w:ascii="Century Gothic" w:hAnsi="Century Gothic"/>
          <w:b/>
        </w:rPr>
        <w:t xml:space="preserve"> </w:t>
      </w:r>
      <w:r w:rsidRPr="00B75B77">
        <w:rPr>
          <w:rFonts w:ascii="Century Gothic" w:hAnsi="Century Gothic"/>
          <w:b/>
        </w:rPr>
        <w:t>Date (PYTD) Total Committed</w:t>
      </w:r>
      <w:r w:rsidRPr="00B75B77">
        <w:rPr>
          <w:rFonts w:ascii="Century Gothic" w:hAnsi="Century Gothic"/>
        </w:rPr>
        <w:t>:</w:t>
      </w:r>
      <w:r w:rsidRPr="00B75B77">
        <w:t xml:space="preserve"> The estimated gross impacts, including reported impacts and in-progress impacts, beginning June 1 of the current program year through the end of the current quarter (February 28/29, May 31, August 31, or November 30), calculated by adding PYTD reported gross impacts for projects in progress.</w:t>
      </w:r>
    </w:p>
    <w:p w:rsidR="00A755C3" w:rsidRPr="00B75B77" w:rsidRDefault="00A755C3" w:rsidP="008B6BEC">
      <w:pPr>
        <w:tabs>
          <w:tab w:val="left" w:pos="540"/>
          <w:tab w:val="left" w:pos="720"/>
        </w:tabs>
        <w:spacing w:after="120"/>
      </w:pPr>
      <w:r w:rsidRPr="00B75B77">
        <w:rPr>
          <w:rFonts w:ascii="Century Gothic" w:hAnsi="Century Gothic"/>
          <w:b/>
        </w:rPr>
        <w:t>Project</w:t>
      </w:r>
      <w:r w:rsidRPr="00B75B77">
        <w:rPr>
          <w:rFonts w:ascii="Century Gothic" w:hAnsi="Century Gothic"/>
        </w:rPr>
        <w:t>:</w:t>
      </w:r>
      <w:r w:rsidRPr="00B75B77">
        <w:t xml:space="preserve"> An activity or course of action involving one or multiple energy efficiency measures at a single facility or site. </w:t>
      </w:r>
    </w:p>
    <w:p w:rsidR="00A755C3" w:rsidRPr="00B75B77" w:rsidRDefault="00A755C3" w:rsidP="00227C42">
      <w:pPr>
        <w:tabs>
          <w:tab w:val="left" w:pos="720"/>
        </w:tabs>
      </w:pPr>
      <w:r w:rsidRPr="00B75B77">
        <w:rPr>
          <w:rFonts w:ascii="Century Gothic" w:hAnsi="Century Gothic"/>
          <w:b/>
        </w:rPr>
        <w:t>Projects in Progress</w:t>
      </w:r>
      <w:r w:rsidRPr="00B75B77">
        <w:rPr>
          <w:rFonts w:ascii="Century Gothic" w:hAnsi="Century Gothic"/>
        </w:rPr>
        <w:t>:</w:t>
      </w:r>
      <w:r w:rsidRPr="00B75B77">
        <w:t xml:space="preserve"> Energy efficiency and </w:t>
      </w:r>
      <w:r w:rsidR="00FA45FF" w:rsidRPr="00B75B77">
        <w:t>DR</w:t>
      </w:r>
      <w:r w:rsidRPr="00B75B77">
        <w:t xml:space="preserve"> projects currently being processed and tracked by the EDC, but that are not yet complete at the time of the report. See</w:t>
      </w:r>
      <w:r w:rsidRPr="00B75B77">
        <w:rPr>
          <w:i/>
        </w:rPr>
        <w:t xml:space="preserve"> Completed Project</w:t>
      </w:r>
      <w:r w:rsidRPr="00B75B77">
        <w:t>.</w:t>
      </w:r>
    </w:p>
    <w:p w:rsidR="008C26AD" w:rsidRPr="00B75B77" w:rsidRDefault="008C26AD" w:rsidP="009E6C10">
      <w:pPr>
        <w:widowControl w:val="0"/>
        <w:pBdr>
          <w:bottom w:val="single" w:sz="8" w:space="1" w:color="448A99"/>
        </w:pBdr>
        <w:spacing w:before="120" w:after="120"/>
        <w:rPr>
          <w:rFonts w:ascii="Century Gothic" w:hAnsi="Century Gothic"/>
          <w:b/>
          <w:bCs/>
          <w:color w:val="448A99"/>
          <w:sz w:val="30"/>
          <w:szCs w:val="30"/>
          <w:lang w:bidi="en-US"/>
        </w:rPr>
      </w:pPr>
      <w:r w:rsidRPr="00B75B77">
        <w:rPr>
          <w:rFonts w:ascii="Century Gothic" w:hAnsi="Century Gothic"/>
          <w:b/>
          <w:bCs/>
          <w:color w:val="448A99"/>
          <w:sz w:val="30"/>
          <w:szCs w:val="30"/>
          <w:lang w:bidi="en-US"/>
        </w:rPr>
        <w:t>-Q,</w:t>
      </w:r>
      <w:r w:rsidR="003A1913" w:rsidRPr="00B75B77">
        <w:rPr>
          <w:rFonts w:ascii="Century Gothic" w:hAnsi="Century Gothic"/>
          <w:b/>
          <w:bCs/>
          <w:color w:val="448A99"/>
          <w:sz w:val="30"/>
          <w:szCs w:val="30"/>
          <w:lang w:bidi="en-US"/>
        </w:rPr>
        <w:t xml:space="preserve"> </w:t>
      </w:r>
      <w:r w:rsidRPr="00B75B77">
        <w:rPr>
          <w:rFonts w:ascii="Century Gothic" w:hAnsi="Century Gothic"/>
          <w:b/>
          <w:bCs/>
          <w:color w:val="448A99"/>
          <w:sz w:val="30"/>
          <w:szCs w:val="30"/>
          <w:lang w:bidi="en-US"/>
        </w:rPr>
        <w:t>R-</w:t>
      </w:r>
    </w:p>
    <w:p w:rsidR="00A755C3" w:rsidRPr="00B75B77" w:rsidRDefault="00A755C3" w:rsidP="008B6BEC">
      <w:pPr>
        <w:tabs>
          <w:tab w:val="left" w:pos="540"/>
          <w:tab w:val="left" w:pos="720"/>
        </w:tabs>
        <w:spacing w:after="120"/>
      </w:pPr>
      <w:r w:rsidRPr="00B75B77">
        <w:rPr>
          <w:rFonts w:ascii="Century Gothic" w:hAnsi="Century Gothic"/>
          <w:b/>
        </w:rPr>
        <w:t>Realization Rate</w:t>
      </w:r>
      <w:r w:rsidRPr="00B75B77">
        <w:rPr>
          <w:rFonts w:ascii="Century Gothic" w:hAnsi="Century Gothic"/>
        </w:rPr>
        <w:t xml:space="preserve">: </w:t>
      </w:r>
      <w:r w:rsidRPr="00B75B77">
        <w:t xml:space="preserve">The term is used in several contexts in the development of reported program savings. The primary applications include the ratio of project tracking system savings data (e.g., initial estimates of project savings) to savings that: 1) are adjusted for data errors, and 2) incorporate the evaluated or verified results of the tracked savings. </w:t>
      </w:r>
    </w:p>
    <w:p w:rsidR="00A755C3" w:rsidRPr="00B75B77" w:rsidRDefault="00A755C3" w:rsidP="008B6BEC">
      <w:pPr>
        <w:tabs>
          <w:tab w:val="left" w:pos="540"/>
          <w:tab w:val="left" w:pos="720"/>
        </w:tabs>
        <w:spacing w:after="120"/>
      </w:pPr>
      <w:r w:rsidRPr="00B75B77">
        <w:rPr>
          <w:rFonts w:ascii="Century Gothic" w:hAnsi="Century Gothic"/>
          <w:b/>
        </w:rPr>
        <w:t>Rebate Program</w:t>
      </w:r>
      <w:r w:rsidRPr="00B75B77">
        <w:rPr>
          <w:rFonts w:ascii="Century Gothic" w:hAnsi="Century Gothic"/>
        </w:rPr>
        <w:t xml:space="preserve">: </w:t>
      </w:r>
      <w:r w:rsidRPr="00B75B77">
        <w:t>An energy efficiency program in which the program administrator offers a financial incentive for the installation of energy</w:t>
      </w:r>
      <w:r w:rsidR="002922A4" w:rsidRPr="00B75B77">
        <w:t xml:space="preserve"> </w:t>
      </w:r>
      <w:r w:rsidRPr="00B75B77">
        <w:t>efficient equipment.</w:t>
      </w:r>
    </w:p>
    <w:p w:rsidR="00A755C3" w:rsidRPr="00B75B77" w:rsidRDefault="00A755C3" w:rsidP="008B6BEC">
      <w:pPr>
        <w:tabs>
          <w:tab w:val="left" w:pos="540"/>
          <w:tab w:val="left" w:pos="720"/>
        </w:tabs>
        <w:spacing w:after="120"/>
      </w:pPr>
      <w:r w:rsidRPr="00B75B77">
        <w:rPr>
          <w:rFonts w:ascii="Century Gothic" w:hAnsi="Century Gothic"/>
          <w:b/>
        </w:rPr>
        <w:t>Rebound Effect</w:t>
      </w:r>
      <w:r w:rsidRPr="00B75B77">
        <w:rPr>
          <w:rFonts w:ascii="Century Gothic" w:hAnsi="Century Gothic"/>
        </w:rPr>
        <w:t>:</w:t>
      </w:r>
      <w:r w:rsidRPr="00B75B77">
        <w:t xml:space="preserve"> Also called “snap back,” defined as a change in energy-using behavior that yields an increased level of service that is accompanied by an increase in energy use and occurs as a result of taking an energy efficiency action. The result of this effect is that the savings associated with the direct energy efficiency action are reduced by the resulting behavioral change. </w:t>
      </w:r>
    </w:p>
    <w:p w:rsidR="00A755C3" w:rsidRPr="00B75B77" w:rsidRDefault="00A755C3" w:rsidP="008B6BEC">
      <w:pPr>
        <w:tabs>
          <w:tab w:val="left" w:pos="540"/>
          <w:tab w:val="left" w:pos="720"/>
        </w:tabs>
        <w:spacing w:after="120"/>
      </w:pPr>
      <w:r w:rsidRPr="00B75B77">
        <w:rPr>
          <w:rFonts w:ascii="Century Gothic" w:hAnsi="Century Gothic"/>
          <w:b/>
        </w:rPr>
        <w:t>Regression Analysis</w:t>
      </w:r>
      <w:r w:rsidRPr="00B75B77">
        <w:rPr>
          <w:rFonts w:ascii="Century Gothic" w:hAnsi="Century Gothic"/>
        </w:rPr>
        <w:t>:</w:t>
      </w:r>
      <w:r w:rsidRPr="00B75B77">
        <w:t xml:space="preserve"> Analysis of the relationship between a </w:t>
      </w:r>
      <w:r w:rsidRPr="00B75B77">
        <w:rPr>
          <w:i/>
        </w:rPr>
        <w:t>dependent variable</w:t>
      </w:r>
      <w:r w:rsidRPr="00B75B77">
        <w:t xml:space="preserve"> (response variable) to specified </w:t>
      </w:r>
      <w:r w:rsidRPr="00B75B77">
        <w:rPr>
          <w:i/>
        </w:rPr>
        <w:t>independent variables</w:t>
      </w:r>
      <w:r w:rsidRPr="00B75B77">
        <w:t xml:space="preserve"> (explanatory variables). The mathematical model of their relationship is the </w:t>
      </w:r>
      <w:r w:rsidRPr="00B75B77">
        <w:rPr>
          <w:i/>
        </w:rPr>
        <w:t>regression equation</w:t>
      </w:r>
      <w:r w:rsidRPr="00B75B77">
        <w:t>.</w:t>
      </w:r>
    </w:p>
    <w:p w:rsidR="00A755C3" w:rsidRPr="00B75B77" w:rsidRDefault="00A755C3" w:rsidP="008B6BEC">
      <w:pPr>
        <w:tabs>
          <w:tab w:val="left" w:pos="540"/>
          <w:tab w:val="left" w:pos="720"/>
        </w:tabs>
        <w:spacing w:after="120"/>
      </w:pPr>
      <w:r w:rsidRPr="00B75B77">
        <w:rPr>
          <w:rFonts w:ascii="Century Gothic" w:hAnsi="Century Gothic"/>
          <w:b/>
        </w:rPr>
        <w:lastRenderedPageBreak/>
        <w:t>Regression Model</w:t>
      </w:r>
      <w:r w:rsidRPr="00B75B77">
        <w:rPr>
          <w:rFonts w:ascii="Century Gothic" w:hAnsi="Century Gothic"/>
        </w:rPr>
        <w:t>:</w:t>
      </w:r>
      <w:r w:rsidRPr="00B75B77">
        <w:t xml:space="preserve"> A mathematical model based on statistical analysis where the dependent variable is quantified based on its relationship to the independent variables that are believed to determine its value. In so doing, the relationship between the variables is estimated statistically from the data used.</w:t>
      </w:r>
    </w:p>
    <w:p w:rsidR="00A755C3" w:rsidRPr="00B75B77" w:rsidRDefault="00A755C3" w:rsidP="008B6BEC">
      <w:pPr>
        <w:tabs>
          <w:tab w:val="left" w:pos="540"/>
          <w:tab w:val="left" w:pos="720"/>
        </w:tabs>
        <w:spacing w:after="120"/>
      </w:pPr>
      <w:r w:rsidRPr="00B75B77">
        <w:rPr>
          <w:rFonts w:ascii="Century Gothic" w:hAnsi="Century Gothic"/>
          <w:b/>
        </w:rPr>
        <w:t>Reliability:</w:t>
      </w:r>
      <w:r w:rsidRPr="00B75B77">
        <w:t xml:space="preserve"> The quality of a measurement process that would produce similar results on: (1) repeated observations of the same condition or event, or (2) multiple observations of the same condition or event by different observers.</w:t>
      </w:r>
    </w:p>
    <w:p w:rsidR="00A755C3" w:rsidRPr="00B75B77" w:rsidRDefault="00A755C3" w:rsidP="008B6BEC">
      <w:pPr>
        <w:tabs>
          <w:tab w:val="left" w:pos="540"/>
          <w:tab w:val="left" w:pos="720"/>
        </w:tabs>
        <w:spacing w:after="120"/>
      </w:pPr>
      <w:r w:rsidRPr="00B75B77">
        <w:rPr>
          <w:rFonts w:ascii="Century Gothic" w:hAnsi="Century Gothic"/>
          <w:b/>
        </w:rPr>
        <w:t>Renewable Energy</w:t>
      </w:r>
      <w:r w:rsidRPr="00B75B77">
        <w:rPr>
          <w:rFonts w:ascii="Century Gothic" w:hAnsi="Century Gothic"/>
        </w:rPr>
        <w:t>:</w:t>
      </w:r>
      <w:r w:rsidRPr="00B75B77">
        <w:t xml:space="preserve"> Energy derived from resources that are naturally replenishing. They are virtually inexhaustible in duration but limited in the amount of energy that is available per unit of time. Renewable energy resources include biomass, hydro, geothermal, solar, wind, ocean thermal, wave action, and tidal action.</w:t>
      </w:r>
    </w:p>
    <w:p w:rsidR="00A755C3" w:rsidRPr="00B75B77" w:rsidRDefault="00A755C3" w:rsidP="008B6BEC">
      <w:pPr>
        <w:tabs>
          <w:tab w:val="left" w:pos="540"/>
          <w:tab w:val="left" w:pos="720"/>
        </w:tabs>
        <w:spacing w:after="120"/>
      </w:pPr>
      <w:proofErr w:type="gramStart"/>
      <w:r w:rsidRPr="00B75B77">
        <w:rPr>
          <w:rFonts w:ascii="Century Gothic" w:hAnsi="Century Gothic"/>
          <w:b/>
        </w:rPr>
        <w:t>Reported Gross Impact:</w:t>
      </w:r>
      <w:r w:rsidRPr="00B75B77">
        <w:rPr>
          <w:rFonts w:ascii="Century Gothic" w:hAnsi="Century Gothic"/>
        </w:rPr>
        <w:t xml:space="preserve"> </w:t>
      </w:r>
      <w:r w:rsidRPr="00B75B77">
        <w:t>The change in energy consumption and/or demand that results directly from program-related actions taken by participants in an efficiency program, regardless of why they participated.</w:t>
      </w:r>
      <w:proofErr w:type="gramEnd"/>
      <w:r w:rsidRPr="00B75B77">
        <w:t xml:space="preserve"> This value is unverified by an independent third-party evaluator.</w:t>
      </w:r>
      <w:r w:rsidR="003402AA" w:rsidRPr="00B75B77">
        <w:t xml:space="preserve"> </w:t>
      </w:r>
      <w:proofErr w:type="gramStart"/>
      <w:r w:rsidR="003402AA" w:rsidRPr="00B75B77">
        <w:t>Also referred to as ex post impact.</w:t>
      </w:r>
      <w:proofErr w:type="gramEnd"/>
    </w:p>
    <w:p w:rsidR="00A755C3" w:rsidRPr="00B75B77" w:rsidRDefault="00A755C3" w:rsidP="008B6BEC">
      <w:pPr>
        <w:tabs>
          <w:tab w:val="left" w:pos="540"/>
          <w:tab w:val="left" w:pos="720"/>
        </w:tabs>
        <w:spacing w:after="120"/>
      </w:pPr>
      <w:r w:rsidRPr="00B75B77">
        <w:rPr>
          <w:rFonts w:ascii="Century Gothic" w:hAnsi="Century Gothic"/>
          <w:b/>
        </w:rPr>
        <w:t>Reporting Period</w:t>
      </w:r>
      <w:r w:rsidRPr="00B75B77">
        <w:t>: The time following implementation of an energy efficiency activity during which results are to be determined.</w:t>
      </w:r>
    </w:p>
    <w:p w:rsidR="00A755C3" w:rsidRPr="00B75B77" w:rsidRDefault="00A755C3" w:rsidP="008B6BEC">
      <w:pPr>
        <w:tabs>
          <w:tab w:val="left" w:pos="540"/>
          <w:tab w:val="left" w:pos="720"/>
        </w:tabs>
        <w:spacing w:after="120"/>
      </w:pPr>
      <w:r w:rsidRPr="00B75B77">
        <w:rPr>
          <w:rFonts w:ascii="Century Gothic" w:hAnsi="Century Gothic"/>
          <w:b/>
        </w:rPr>
        <w:t>Representative Sample</w:t>
      </w:r>
      <w:r w:rsidRPr="00B75B77">
        <w:rPr>
          <w:rFonts w:ascii="Century Gothic" w:hAnsi="Century Gothic"/>
        </w:rPr>
        <w:t xml:space="preserve">: </w:t>
      </w:r>
      <w:r w:rsidRPr="00B75B77">
        <w:t>A sample that has approximately the same distribution of characteristics as the population from which it was drawn.</w:t>
      </w:r>
    </w:p>
    <w:p w:rsidR="00A755C3" w:rsidRPr="00B75B77" w:rsidRDefault="00A755C3" w:rsidP="00227C42">
      <w:pPr>
        <w:tabs>
          <w:tab w:val="left" w:pos="540"/>
          <w:tab w:val="left" w:pos="720"/>
        </w:tabs>
      </w:pPr>
      <w:r w:rsidRPr="00B75B77">
        <w:rPr>
          <w:rFonts w:ascii="Century Gothic" w:hAnsi="Century Gothic"/>
          <w:b/>
        </w:rPr>
        <w:t>Rigor</w:t>
      </w:r>
      <w:r w:rsidRPr="00B75B77">
        <w:t>: The level of effort expended to minimize uncertainty due to factors such as sampling error and bias. The higher the level of rigor, the more confidence there is that the results of the evaluation are accurate and precise.</w:t>
      </w:r>
    </w:p>
    <w:p w:rsidR="008C26AD" w:rsidRPr="00B75B77" w:rsidRDefault="008C26AD" w:rsidP="009E6C10">
      <w:pPr>
        <w:widowControl w:val="0"/>
        <w:pBdr>
          <w:bottom w:val="single" w:sz="8" w:space="1" w:color="448A99"/>
        </w:pBdr>
        <w:spacing w:before="120" w:after="120"/>
        <w:rPr>
          <w:rFonts w:ascii="Century Gothic" w:hAnsi="Century Gothic"/>
          <w:b/>
          <w:bCs/>
          <w:color w:val="448A99"/>
          <w:sz w:val="30"/>
          <w:szCs w:val="30"/>
          <w:lang w:bidi="en-US"/>
        </w:rPr>
      </w:pPr>
      <w:r w:rsidRPr="00B75B77">
        <w:rPr>
          <w:rFonts w:ascii="Century Gothic" w:hAnsi="Century Gothic"/>
          <w:b/>
          <w:bCs/>
          <w:color w:val="448A99"/>
          <w:sz w:val="30"/>
          <w:szCs w:val="30"/>
          <w:lang w:bidi="en-US"/>
        </w:rPr>
        <w:t>-S-</w:t>
      </w:r>
    </w:p>
    <w:p w:rsidR="00A755C3" w:rsidRPr="00B75B77" w:rsidRDefault="00A755C3" w:rsidP="008B6BEC">
      <w:pPr>
        <w:tabs>
          <w:tab w:val="left" w:pos="540"/>
          <w:tab w:val="left" w:pos="720"/>
        </w:tabs>
        <w:spacing w:after="120"/>
      </w:pPr>
      <w:r w:rsidRPr="00B75B77">
        <w:rPr>
          <w:rFonts w:ascii="Century Gothic" w:hAnsi="Century Gothic"/>
          <w:b/>
        </w:rPr>
        <w:t>Sample</w:t>
      </w:r>
      <w:r w:rsidRPr="00B75B77">
        <w:rPr>
          <w:rFonts w:ascii="Century Gothic" w:hAnsi="Century Gothic"/>
        </w:rPr>
        <w:t>:</w:t>
      </w:r>
      <w:r w:rsidRPr="00B75B77">
        <w:t xml:space="preserve"> In program evaluation, a portion of the population selected to represent the whole. Differing evaluation approaches rely on simple or stratified samples (based on some characteristic of the population).</w:t>
      </w:r>
    </w:p>
    <w:p w:rsidR="00A755C3" w:rsidRPr="00B75B77" w:rsidRDefault="00A755C3" w:rsidP="008B6BEC">
      <w:pPr>
        <w:tabs>
          <w:tab w:val="left" w:pos="540"/>
          <w:tab w:val="left" w:pos="720"/>
        </w:tabs>
        <w:spacing w:after="120"/>
      </w:pPr>
      <w:r w:rsidRPr="00B75B77">
        <w:rPr>
          <w:rFonts w:ascii="Century Gothic" w:hAnsi="Century Gothic"/>
          <w:b/>
        </w:rPr>
        <w:t>Sample Design</w:t>
      </w:r>
      <w:r w:rsidRPr="00B75B77">
        <w:rPr>
          <w:rFonts w:ascii="Century Gothic" w:hAnsi="Century Gothic"/>
        </w:rPr>
        <w:t>:</w:t>
      </w:r>
      <w:r w:rsidRPr="00B75B77">
        <w:t xml:space="preserve"> The approach used to select the sample units. </w:t>
      </w:r>
    </w:p>
    <w:p w:rsidR="00A755C3" w:rsidRPr="00B75B77" w:rsidRDefault="00A755C3" w:rsidP="008B6BEC">
      <w:pPr>
        <w:tabs>
          <w:tab w:val="left" w:pos="540"/>
          <w:tab w:val="left" w:pos="720"/>
        </w:tabs>
        <w:spacing w:after="120"/>
      </w:pPr>
      <w:proofErr w:type="gramStart"/>
      <w:r w:rsidRPr="00B75B77">
        <w:rPr>
          <w:rFonts w:ascii="Century Gothic" w:hAnsi="Century Gothic"/>
          <w:b/>
        </w:rPr>
        <w:t>Sampling Error</w:t>
      </w:r>
      <w:r w:rsidRPr="00B75B77">
        <w:rPr>
          <w:rFonts w:ascii="Century Gothic" w:hAnsi="Century Gothic"/>
        </w:rPr>
        <w:t>:</w:t>
      </w:r>
      <w:r w:rsidRPr="00B75B77">
        <w:t xml:space="preserve"> The error in estimating a parameter caused by the fact that all of the disturbances in the sample are not zero.</w:t>
      </w:r>
      <w:proofErr w:type="gramEnd"/>
      <w:r w:rsidRPr="00B75B77">
        <w:t xml:space="preserve"> </w:t>
      </w:r>
    </w:p>
    <w:p w:rsidR="00A755C3" w:rsidRPr="00B75B77" w:rsidRDefault="00A755C3" w:rsidP="008B6BEC">
      <w:pPr>
        <w:tabs>
          <w:tab w:val="left" w:pos="540"/>
          <w:tab w:val="left" w:pos="720"/>
        </w:tabs>
        <w:spacing w:after="120"/>
      </w:pPr>
      <w:r w:rsidRPr="00B75B77">
        <w:rPr>
          <w:rFonts w:ascii="Century Gothic" w:hAnsi="Century Gothic"/>
          <w:b/>
        </w:rPr>
        <w:t>Savings Factor (SVG):</w:t>
      </w:r>
      <w:r w:rsidRPr="00B75B77">
        <w:rPr>
          <w:b/>
        </w:rPr>
        <w:t xml:space="preserve"> </w:t>
      </w:r>
      <w:r w:rsidRPr="00B75B77">
        <w:t>The percent</w:t>
      </w:r>
      <w:r w:rsidR="00BB0374" w:rsidRPr="00B75B77">
        <w:t>age</w:t>
      </w:r>
      <w:r w:rsidRPr="00B75B77">
        <w:t xml:space="preserve"> of time the lights are off due to lighting controls relative to the baseline controls system (typically a manual switch).</w:t>
      </w:r>
      <w:r w:rsidRPr="00B75B77">
        <w:rPr>
          <w:b/>
        </w:rPr>
        <w:t xml:space="preserve"> </w:t>
      </w:r>
      <w:proofErr w:type="gramStart"/>
      <w:r w:rsidRPr="00B75B77">
        <w:t xml:space="preserve">Also referred to as the </w:t>
      </w:r>
      <w:r w:rsidRPr="00B75B77">
        <w:rPr>
          <w:i/>
        </w:rPr>
        <w:t>lighting controls savings factor</w:t>
      </w:r>
      <w:r w:rsidRPr="00B75B77">
        <w:t>.</w:t>
      </w:r>
      <w:proofErr w:type="gramEnd"/>
      <w:r w:rsidRPr="00B75B77">
        <w:t xml:space="preserve"> </w:t>
      </w:r>
    </w:p>
    <w:p w:rsidR="00A755C3" w:rsidRPr="00B75B77" w:rsidRDefault="00A755C3" w:rsidP="008B6BEC">
      <w:pPr>
        <w:tabs>
          <w:tab w:val="left" w:pos="540"/>
          <w:tab w:val="left" w:pos="720"/>
        </w:tabs>
        <w:spacing w:after="120"/>
      </w:pPr>
      <w:r w:rsidRPr="00B75B77">
        <w:rPr>
          <w:rFonts w:ascii="Century Gothic" w:hAnsi="Century Gothic"/>
          <w:b/>
        </w:rPr>
        <w:t>Simple Random Sample</w:t>
      </w:r>
      <w:r w:rsidRPr="00B75B77">
        <w:rPr>
          <w:rFonts w:ascii="Century Gothic" w:hAnsi="Century Gothic"/>
        </w:rPr>
        <w:t>:</w:t>
      </w:r>
      <w:r w:rsidRPr="00B75B77">
        <w:t xml:space="preserve"> A method for drawing a sample from a population such that all samples of a given size have an equal probability of being drawn.</w:t>
      </w:r>
    </w:p>
    <w:p w:rsidR="00A755C3" w:rsidRPr="00B75B77" w:rsidRDefault="00A755C3" w:rsidP="008B6BEC">
      <w:pPr>
        <w:tabs>
          <w:tab w:val="left" w:pos="540"/>
          <w:tab w:val="left" w:pos="720"/>
        </w:tabs>
        <w:spacing w:after="120"/>
      </w:pPr>
      <w:r w:rsidRPr="00B75B77">
        <w:rPr>
          <w:rFonts w:ascii="Century Gothic" w:hAnsi="Century Gothic"/>
          <w:b/>
        </w:rPr>
        <w:t>Snap Back</w:t>
      </w:r>
      <w:r w:rsidRPr="00B75B77">
        <w:rPr>
          <w:rFonts w:ascii="Century Gothic" w:hAnsi="Century Gothic"/>
        </w:rPr>
        <w:t>:</w:t>
      </w:r>
      <w:r w:rsidRPr="00B75B77">
        <w:t xml:space="preserve"> See </w:t>
      </w:r>
      <w:r w:rsidRPr="00B75B77">
        <w:rPr>
          <w:i/>
        </w:rPr>
        <w:t>Rebound Effect</w:t>
      </w:r>
      <w:r w:rsidRPr="00B75B77">
        <w:t>.</w:t>
      </w:r>
    </w:p>
    <w:p w:rsidR="00A755C3" w:rsidRPr="00B75B77" w:rsidRDefault="00A755C3" w:rsidP="008B6BEC">
      <w:pPr>
        <w:tabs>
          <w:tab w:val="left" w:pos="540"/>
          <w:tab w:val="left" w:pos="720"/>
        </w:tabs>
        <w:spacing w:after="120"/>
      </w:pPr>
      <w:r w:rsidRPr="00B75B77">
        <w:rPr>
          <w:rFonts w:ascii="Century Gothic" w:hAnsi="Century Gothic"/>
          <w:b/>
        </w:rPr>
        <w:t>Simulation Model</w:t>
      </w:r>
      <w:r w:rsidRPr="00B75B77">
        <w:rPr>
          <w:rFonts w:ascii="Century Gothic" w:hAnsi="Century Gothic"/>
        </w:rPr>
        <w:t>:</w:t>
      </w:r>
      <w:r w:rsidRPr="00B75B77">
        <w:t xml:space="preserve"> An assembly of algorithms that calculate energy use based on engineering equations and user-defined parameters.</w:t>
      </w:r>
    </w:p>
    <w:p w:rsidR="00A755C3" w:rsidRPr="00B75B77" w:rsidRDefault="00A755C3" w:rsidP="008B6BEC">
      <w:pPr>
        <w:tabs>
          <w:tab w:val="left" w:pos="540"/>
          <w:tab w:val="left" w:pos="720"/>
        </w:tabs>
        <w:spacing w:after="120"/>
      </w:pPr>
      <w:r w:rsidRPr="00B75B77">
        <w:rPr>
          <w:rFonts w:ascii="Century Gothic" w:hAnsi="Century Gothic"/>
          <w:b/>
        </w:rPr>
        <w:t>Spillover</w:t>
      </w:r>
      <w:r w:rsidRPr="00B75B77">
        <w:rPr>
          <w:rFonts w:ascii="Century Gothic" w:hAnsi="Century Gothic"/>
        </w:rPr>
        <w:t>:</w:t>
      </w:r>
      <w:r w:rsidRPr="00B75B77">
        <w:t xml:space="preserve"> Reductions in energy consumption and/or demand caused by the presence of an energy efficiency program, beyond the program-related gross savings of the participants and without financial or technical assistance from the program. There can be participant and/or nonparticipant spillover. </w:t>
      </w:r>
      <w:r w:rsidRPr="00B75B77">
        <w:rPr>
          <w:i/>
        </w:rPr>
        <w:t>Participant spillover</w:t>
      </w:r>
      <w:r w:rsidRPr="00B75B77">
        <w:t xml:space="preserve"> is the additional energy savings that occur when a program participant independently installs energy efficiency measures or applies energy-saving practices after having </w:t>
      </w:r>
      <w:r w:rsidRPr="00B75B77">
        <w:lastRenderedPageBreak/>
        <w:t xml:space="preserve">participated in the efficiency program as a result of the program’s influence. </w:t>
      </w:r>
      <w:r w:rsidRPr="00B75B77">
        <w:rPr>
          <w:i/>
        </w:rPr>
        <w:t>Nonparticipant spillover</w:t>
      </w:r>
      <w:r w:rsidRPr="00B75B77">
        <w:t xml:space="preserve"> refers to energy savings that occur when a program nonparticipant installs energy efficiency measures or applies energy-saving practices as a result of a program’s influence.</w:t>
      </w:r>
    </w:p>
    <w:p w:rsidR="00A755C3" w:rsidRPr="00B75B77" w:rsidRDefault="00A755C3" w:rsidP="008B6BEC">
      <w:pPr>
        <w:tabs>
          <w:tab w:val="left" w:pos="540"/>
          <w:tab w:val="left" w:pos="720"/>
        </w:tabs>
        <w:spacing w:after="120"/>
      </w:pPr>
      <w:r w:rsidRPr="00B75B77">
        <w:rPr>
          <w:rFonts w:ascii="Century Gothic" w:hAnsi="Century Gothic"/>
          <w:b/>
        </w:rPr>
        <w:t>Spillover Rate</w:t>
      </w:r>
      <w:r w:rsidRPr="00B75B77">
        <w:rPr>
          <w:rFonts w:ascii="Century Gothic" w:hAnsi="Century Gothic"/>
        </w:rPr>
        <w:t>:</w:t>
      </w:r>
      <w:r w:rsidRPr="00B75B77">
        <w:t xml:space="preserve"> An estimate of energy savings attributable to spillover effects expressed as a percent</w:t>
      </w:r>
      <w:r w:rsidR="00530239" w:rsidRPr="00B75B77">
        <w:t>age</w:t>
      </w:r>
      <w:r w:rsidRPr="00B75B77">
        <w:t xml:space="preserve"> of savings installed by participants through an energy efficiency program.</w:t>
      </w:r>
    </w:p>
    <w:p w:rsidR="00A755C3" w:rsidRPr="00B75B77" w:rsidRDefault="00A755C3" w:rsidP="008B6BEC">
      <w:pPr>
        <w:tabs>
          <w:tab w:val="left" w:pos="540"/>
          <w:tab w:val="left" w:pos="720"/>
        </w:tabs>
        <w:spacing w:after="120"/>
      </w:pPr>
      <w:r w:rsidRPr="00B75B77">
        <w:rPr>
          <w:rFonts w:ascii="Century Gothic" w:hAnsi="Century Gothic"/>
          <w:b/>
        </w:rPr>
        <w:t>Standard Error</w:t>
      </w:r>
      <w:r w:rsidRPr="00B75B77">
        <w:t>: A measure of the variability in a data sample indicating how far a typical data point is from the mean of a sample. In a large sample, approximately two-thirds of observations lie within one standard error of the mean, and 95% of observations lie within two standard errors.</w:t>
      </w:r>
    </w:p>
    <w:p w:rsidR="00A755C3" w:rsidRPr="00B75B77" w:rsidRDefault="00A755C3" w:rsidP="008B6BEC">
      <w:pPr>
        <w:tabs>
          <w:tab w:val="left" w:pos="540"/>
          <w:tab w:val="left" w:pos="720"/>
        </w:tabs>
        <w:spacing w:after="120"/>
      </w:pPr>
      <w:r w:rsidRPr="00B75B77">
        <w:rPr>
          <w:rFonts w:ascii="Century Gothic" w:hAnsi="Century Gothic"/>
          <w:b/>
        </w:rPr>
        <w:t>Statistically Adjusted Engineering Models</w:t>
      </w:r>
      <w:r w:rsidRPr="00B75B77">
        <w:rPr>
          <w:rFonts w:ascii="Century Gothic" w:hAnsi="Century Gothic"/>
        </w:rPr>
        <w:t xml:space="preserve">: </w:t>
      </w:r>
      <w:r w:rsidRPr="00B75B77">
        <w:t>A category of statistical analysis models that incorporate the engineering estimate of savings as a dependent variable. The regression coefficient in these models is the percentage of the engineering estimate of savings observed in changes in energy usage. For example, if the coefficient of the statistically adjusted engineering term is 0.8, the customers are, on average, realizing 80% of the savings from their engineering estimates.</w:t>
      </w:r>
    </w:p>
    <w:p w:rsidR="00A755C3" w:rsidRPr="00B75B77" w:rsidRDefault="00A755C3" w:rsidP="008B6BEC">
      <w:pPr>
        <w:tabs>
          <w:tab w:val="left" w:pos="540"/>
          <w:tab w:val="left" w:pos="720"/>
        </w:tabs>
        <w:spacing w:after="120"/>
      </w:pPr>
      <w:r w:rsidRPr="00B75B77">
        <w:rPr>
          <w:rFonts w:ascii="Century Gothic" w:hAnsi="Century Gothic"/>
          <w:b/>
        </w:rPr>
        <w:t>Stipulated Values</w:t>
      </w:r>
      <w:r w:rsidRPr="00B75B77">
        <w:rPr>
          <w:rFonts w:ascii="Century Gothic" w:hAnsi="Century Gothic"/>
        </w:rPr>
        <w:t xml:space="preserve">: </w:t>
      </w:r>
      <w:r w:rsidRPr="00B75B77">
        <w:t xml:space="preserve">See </w:t>
      </w:r>
      <w:r w:rsidRPr="00B75B77">
        <w:rPr>
          <w:i/>
        </w:rPr>
        <w:t>Deemed Savings</w:t>
      </w:r>
      <w:r w:rsidRPr="00B75B77">
        <w:t xml:space="preserve">. </w:t>
      </w:r>
    </w:p>
    <w:p w:rsidR="00A755C3" w:rsidRPr="00B75B77" w:rsidRDefault="00A755C3" w:rsidP="008B6BEC">
      <w:pPr>
        <w:tabs>
          <w:tab w:val="left" w:pos="540"/>
          <w:tab w:val="left" w:pos="720"/>
        </w:tabs>
        <w:spacing w:after="120"/>
      </w:pPr>
      <w:r w:rsidRPr="00B75B77">
        <w:rPr>
          <w:rFonts w:ascii="Century Gothic" w:hAnsi="Century Gothic"/>
          <w:b/>
        </w:rPr>
        <w:t>Stratified Random Sampling</w:t>
      </w:r>
      <w:r w:rsidRPr="00B75B77">
        <w:rPr>
          <w:rFonts w:ascii="Century Gothic" w:hAnsi="Century Gothic"/>
        </w:rPr>
        <w:t xml:space="preserve">: </w:t>
      </w:r>
      <w:r w:rsidRPr="00B75B77">
        <w:t xml:space="preserve">The population is divided into subpopulations called </w:t>
      </w:r>
      <w:r w:rsidRPr="00B75B77">
        <w:rPr>
          <w:i/>
        </w:rPr>
        <w:t>strata</w:t>
      </w:r>
      <w:r w:rsidRPr="00B75B77">
        <w:t xml:space="preserve"> that are non-overlapping and together comprise the entire population. A simple random sample of each stratum is taken to create a sample based on stratified random sampling.</w:t>
      </w:r>
    </w:p>
    <w:p w:rsidR="00A755C3" w:rsidRPr="00B75B77" w:rsidRDefault="00A755C3" w:rsidP="008B6BEC">
      <w:pPr>
        <w:tabs>
          <w:tab w:val="left" w:pos="540"/>
          <w:tab w:val="left" w:pos="720"/>
        </w:tabs>
      </w:pPr>
      <w:proofErr w:type="gramStart"/>
      <w:r w:rsidRPr="00B75B77">
        <w:rPr>
          <w:rFonts w:ascii="Century Gothic" w:hAnsi="Century Gothic"/>
          <w:b/>
        </w:rPr>
        <w:t>Stratified Ratio Estimation</w:t>
      </w:r>
      <w:r w:rsidRPr="00B75B77">
        <w:rPr>
          <w:rFonts w:ascii="Century Gothic" w:hAnsi="Century Gothic"/>
        </w:rPr>
        <w:t>:</w:t>
      </w:r>
      <w:r w:rsidRPr="00B75B77">
        <w:t xml:space="preserve"> A sampling method that combines a stratified sample design with a ratio estimator to reduce the </w:t>
      </w:r>
      <w:r w:rsidR="002E0AE7" w:rsidRPr="00B75B77">
        <w:t>CV</w:t>
      </w:r>
      <w:r w:rsidRPr="00B75B77">
        <w:t xml:space="preserve"> by using the correlation of a known measure for the unit (e.g., expected energy savings) to stratify the population and allocate a sample from the strata for optimal sampling.</w:t>
      </w:r>
      <w:proofErr w:type="gramEnd"/>
    </w:p>
    <w:p w:rsidR="008C26AD" w:rsidRPr="00B75B77" w:rsidRDefault="008C26AD" w:rsidP="009E6C10">
      <w:pPr>
        <w:widowControl w:val="0"/>
        <w:pBdr>
          <w:bottom w:val="single" w:sz="8" w:space="1" w:color="448A99"/>
        </w:pBdr>
        <w:spacing w:before="120" w:after="120"/>
        <w:rPr>
          <w:rFonts w:ascii="Century Gothic" w:hAnsi="Century Gothic"/>
          <w:b/>
          <w:bCs/>
          <w:color w:val="448A99"/>
          <w:sz w:val="30"/>
          <w:szCs w:val="30"/>
          <w:lang w:bidi="en-US"/>
        </w:rPr>
      </w:pPr>
      <w:r w:rsidRPr="00B75B77">
        <w:rPr>
          <w:rFonts w:ascii="Century Gothic" w:hAnsi="Century Gothic"/>
          <w:b/>
          <w:bCs/>
          <w:color w:val="448A99"/>
          <w:sz w:val="30"/>
          <w:szCs w:val="30"/>
          <w:lang w:bidi="en-US"/>
        </w:rPr>
        <w:t>-T-</w:t>
      </w:r>
    </w:p>
    <w:p w:rsidR="00A755C3" w:rsidRPr="00B75B77" w:rsidRDefault="00A755C3" w:rsidP="008B6BEC">
      <w:pPr>
        <w:tabs>
          <w:tab w:val="left" w:pos="540"/>
          <w:tab w:val="left" w:pos="720"/>
        </w:tabs>
        <w:spacing w:after="120"/>
      </w:pPr>
      <w:r w:rsidRPr="00B75B77">
        <w:rPr>
          <w:rFonts w:ascii="Century Gothic" w:hAnsi="Century Gothic"/>
          <w:b/>
        </w:rPr>
        <w:t>Takeback Effect</w:t>
      </w:r>
      <w:r w:rsidRPr="00B75B77">
        <w:rPr>
          <w:rFonts w:ascii="Century Gothic" w:hAnsi="Century Gothic"/>
        </w:rPr>
        <w:t>:</w:t>
      </w:r>
      <w:r w:rsidRPr="00B75B77">
        <w:t xml:space="preserve"> See </w:t>
      </w:r>
      <w:r w:rsidRPr="00B75B77">
        <w:rPr>
          <w:i/>
        </w:rPr>
        <w:t>Rebound Effect</w:t>
      </w:r>
      <w:r w:rsidRPr="00B75B77">
        <w:t>.</w:t>
      </w:r>
    </w:p>
    <w:p w:rsidR="00A755C3" w:rsidRPr="00B75B77" w:rsidRDefault="00A755C3" w:rsidP="008B6BEC">
      <w:pPr>
        <w:tabs>
          <w:tab w:val="left" w:pos="540"/>
          <w:tab w:val="left" w:pos="720"/>
        </w:tabs>
        <w:spacing w:after="120"/>
      </w:pPr>
      <w:r w:rsidRPr="00B75B77">
        <w:rPr>
          <w:rFonts w:ascii="Century Gothic" w:hAnsi="Century Gothic"/>
          <w:b/>
        </w:rPr>
        <w:t>Total Resource Cost (TRC) Test</w:t>
      </w:r>
      <w:r w:rsidRPr="00B75B77">
        <w:rPr>
          <w:rFonts w:ascii="Century Gothic" w:hAnsi="Century Gothic"/>
        </w:rPr>
        <w:t>:</w:t>
      </w:r>
      <w:r w:rsidRPr="00B75B77">
        <w:t xml:space="preserve"> A cost-effectiveness test that measures the net direct economic impact to the utility service territory, state, or region. The TRC Order details the method and assumptions to be used when calculating the TRC Test for EE&amp;C portfolios implemented under Act 129. The results of the TRC Test are to be expressed as both a net present value and a benefit-cost ratio.</w:t>
      </w:r>
    </w:p>
    <w:p w:rsidR="00A755C3" w:rsidRPr="00B75B77" w:rsidRDefault="00A755C3" w:rsidP="008B6BEC">
      <w:pPr>
        <w:tabs>
          <w:tab w:val="left" w:pos="720"/>
        </w:tabs>
        <w:spacing w:after="120"/>
      </w:pPr>
      <w:r w:rsidRPr="00B75B77">
        <w:rPr>
          <w:rFonts w:ascii="Century Gothic" w:hAnsi="Century Gothic"/>
          <w:b/>
        </w:rPr>
        <w:t>Total Resource Cost (TRC) Test Benefits</w:t>
      </w:r>
      <w:r w:rsidRPr="00B75B77">
        <w:rPr>
          <w:rFonts w:ascii="Century Gothic" w:hAnsi="Century Gothic"/>
        </w:rPr>
        <w:t>:</w:t>
      </w:r>
      <w:r w:rsidRPr="00B75B77">
        <w:rPr>
          <w:sz w:val="26"/>
          <w:szCs w:val="26"/>
        </w:rPr>
        <w:t xml:space="preserve"> </w:t>
      </w:r>
      <w:r w:rsidRPr="00B75B77">
        <w:t>Benefits calculated in the TRC Test that include the avoided supply costs, such as the reduction in transmission, distribution, generation, and capacity costs, valued at a marginal cost for the periods when there is a consumption reduction. The PA TRC benefits will consider avoided supply costs, such as the reduction in forecasted zonal wholesale electric generation prices, ancillary services, losses, generation capacity, transmission capacity, and distribution capacity. The avoided supply costs will be calculated using net program savings, defined as the savings net of changes in energy use that would have happened in the absence of the program. The persistence of savings over time will also be considered in the net savings.</w:t>
      </w:r>
    </w:p>
    <w:p w:rsidR="00A755C3" w:rsidRPr="00B75B77" w:rsidRDefault="00A755C3" w:rsidP="008B6BEC">
      <w:pPr>
        <w:tabs>
          <w:tab w:val="left" w:pos="720"/>
        </w:tabs>
      </w:pPr>
      <w:r w:rsidRPr="00B75B77">
        <w:rPr>
          <w:rFonts w:ascii="Century Gothic" w:hAnsi="Century Gothic"/>
          <w:b/>
        </w:rPr>
        <w:t>Total Resource Cost (TRC) Test Costs:</w:t>
      </w:r>
      <w:r w:rsidRPr="00B75B77">
        <w:rPr>
          <w:b/>
        </w:rPr>
        <w:t xml:space="preserve"> </w:t>
      </w:r>
      <w:r w:rsidRPr="00B75B77">
        <w:t>The costs calculated in the TRC Test will include the costs of the various programs paid for by an EDC (or by a default service provider) and the participating customers, and costs that reflect any net change in supply costs for the periods in which consumption is increased in the event of load shifting. Note that the TRC Test should use the incremental costs of services and equipment. Thus, for example, this would include costs for equipment, installation, operation and maintenance, removal (less salvage value), and administrative tasks, regardless of who pays for them.</w:t>
      </w:r>
    </w:p>
    <w:p w:rsidR="008C26AD" w:rsidRPr="00B75B77" w:rsidRDefault="008C26AD" w:rsidP="009E6C10">
      <w:pPr>
        <w:widowControl w:val="0"/>
        <w:pBdr>
          <w:bottom w:val="single" w:sz="8" w:space="1" w:color="448A99"/>
        </w:pBdr>
        <w:spacing w:before="120" w:after="120"/>
        <w:rPr>
          <w:rFonts w:ascii="Century Gothic" w:hAnsi="Century Gothic"/>
          <w:b/>
          <w:bCs/>
          <w:color w:val="448A99"/>
          <w:sz w:val="30"/>
          <w:szCs w:val="30"/>
          <w:lang w:bidi="en-US"/>
        </w:rPr>
      </w:pPr>
      <w:r w:rsidRPr="00B75B77">
        <w:rPr>
          <w:rFonts w:ascii="Century Gothic" w:hAnsi="Century Gothic"/>
          <w:b/>
          <w:bCs/>
          <w:color w:val="448A99"/>
          <w:sz w:val="30"/>
          <w:szCs w:val="30"/>
          <w:lang w:bidi="en-US"/>
        </w:rPr>
        <w:t>-U-</w:t>
      </w:r>
    </w:p>
    <w:p w:rsidR="00A755C3" w:rsidRPr="00B75B77" w:rsidRDefault="00A755C3" w:rsidP="008B6BEC">
      <w:pPr>
        <w:tabs>
          <w:tab w:val="left" w:pos="540"/>
          <w:tab w:val="left" w:pos="720"/>
        </w:tabs>
        <w:spacing w:after="120"/>
      </w:pPr>
      <w:r w:rsidRPr="00B75B77">
        <w:rPr>
          <w:rFonts w:ascii="Century Gothic" w:hAnsi="Century Gothic"/>
          <w:b/>
        </w:rPr>
        <w:lastRenderedPageBreak/>
        <w:t>Uncertainty</w:t>
      </w:r>
      <w:r w:rsidRPr="00B75B77">
        <w:rPr>
          <w:rFonts w:ascii="Century Gothic" w:hAnsi="Century Gothic"/>
        </w:rPr>
        <w:t>:</w:t>
      </w:r>
      <w:r w:rsidRPr="00B75B77">
        <w:t xml:space="preserve"> The range or interval of doubt surrounding a measured or calculated value within which the true value is expected to fall with some degree of confidence.</w:t>
      </w:r>
    </w:p>
    <w:p w:rsidR="00A755C3" w:rsidRPr="00B75B77" w:rsidRDefault="00A755C3" w:rsidP="008B6BEC">
      <w:pPr>
        <w:tabs>
          <w:tab w:val="left" w:pos="540"/>
          <w:tab w:val="left" w:pos="720"/>
        </w:tabs>
      </w:pPr>
      <w:r w:rsidRPr="00B75B77">
        <w:rPr>
          <w:rFonts w:ascii="Century Gothic" w:hAnsi="Century Gothic"/>
          <w:b/>
        </w:rPr>
        <w:t>Upstream Program</w:t>
      </w:r>
      <w:r w:rsidRPr="00B75B77">
        <w:rPr>
          <w:rFonts w:ascii="Century Gothic" w:hAnsi="Century Gothic"/>
        </w:rPr>
        <w:t>:</w:t>
      </w:r>
      <w:r w:rsidRPr="00B75B77">
        <w:t xml:space="preserve"> A program that provides information and/or financial assistance to entities in the delivery chain of high</w:t>
      </w:r>
      <w:r w:rsidR="00037B84" w:rsidRPr="00B75B77">
        <w:t xml:space="preserve"> </w:t>
      </w:r>
      <w:r w:rsidRPr="00B75B77">
        <w:t>efficiency products at the retail, wholesale, or manufacturing level. Such a program is intended to yield lower retail prices for the products.</w:t>
      </w:r>
    </w:p>
    <w:p w:rsidR="008C26AD" w:rsidRPr="00B75B77" w:rsidRDefault="008C26AD" w:rsidP="009E6C10">
      <w:pPr>
        <w:widowControl w:val="0"/>
        <w:pBdr>
          <w:bottom w:val="single" w:sz="8" w:space="1" w:color="448A99"/>
        </w:pBdr>
        <w:spacing w:before="120" w:after="120"/>
        <w:rPr>
          <w:rFonts w:ascii="Century Gothic" w:hAnsi="Century Gothic"/>
          <w:b/>
          <w:bCs/>
          <w:color w:val="448A99"/>
          <w:sz w:val="30"/>
          <w:szCs w:val="30"/>
          <w:lang w:bidi="en-US"/>
        </w:rPr>
      </w:pPr>
      <w:r w:rsidRPr="00B75B77">
        <w:rPr>
          <w:rFonts w:ascii="Century Gothic" w:hAnsi="Century Gothic"/>
          <w:b/>
          <w:bCs/>
          <w:color w:val="448A99"/>
          <w:sz w:val="30"/>
          <w:szCs w:val="30"/>
          <w:lang w:bidi="en-US"/>
        </w:rPr>
        <w:t>-V-</w:t>
      </w:r>
    </w:p>
    <w:p w:rsidR="00A755C3" w:rsidRPr="00B75B77" w:rsidRDefault="00A755C3" w:rsidP="008B6BEC">
      <w:pPr>
        <w:tabs>
          <w:tab w:val="left" w:pos="540"/>
          <w:tab w:val="left" w:pos="720"/>
        </w:tabs>
        <w:spacing w:after="120"/>
      </w:pPr>
      <w:r w:rsidRPr="00B75B77">
        <w:rPr>
          <w:rFonts w:ascii="Century Gothic" w:hAnsi="Century Gothic"/>
          <w:b/>
        </w:rPr>
        <w:t>Verification</w:t>
      </w:r>
      <w:r w:rsidRPr="00B75B77">
        <w:rPr>
          <w:rFonts w:ascii="Century Gothic" w:hAnsi="Century Gothic"/>
        </w:rPr>
        <w:t>:</w:t>
      </w:r>
      <w:r w:rsidRPr="00B75B77">
        <w:t xml:space="preserve"> An independent assessment of the reliability (considering completeness and accuracy) of claimed energy savings or an emissions source inventory.</w:t>
      </w:r>
    </w:p>
    <w:p w:rsidR="00A755C3" w:rsidRPr="00B75B77" w:rsidRDefault="00A755C3" w:rsidP="008B6BEC">
      <w:pPr>
        <w:tabs>
          <w:tab w:val="left" w:pos="720"/>
        </w:tabs>
      </w:pPr>
      <w:proofErr w:type="gramStart"/>
      <w:r w:rsidRPr="00B75B77">
        <w:rPr>
          <w:rFonts w:ascii="Century Gothic" w:hAnsi="Century Gothic"/>
          <w:b/>
        </w:rPr>
        <w:t>Verified Gross Impact</w:t>
      </w:r>
      <w:r w:rsidRPr="00B75B77">
        <w:rPr>
          <w:rFonts w:ascii="Century Gothic" w:hAnsi="Century Gothic"/>
        </w:rPr>
        <w:t>:</w:t>
      </w:r>
      <w:r w:rsidRPr="00B75B77">
        <w:t xml:space="preserve"> Calculated by applying the realization rate to reported gross impacts.</w:t>
      </w:r>
      <w:proofErr w:type="gramEnd"/>
      <w:r w:rsidRPr="00B75B77">
        <w:t xml:space="preserve"> </w:t>
      </w:r>
      <w:proofErr w:type="gramStart"/>
      <w:r w:rsidR="003402AA" w:rsidRPr="00B75B77">
        <w:t xml:space="preserve">Also </w:t>
      </w:r>
      <w:r w:rsidR="00EB7B4D" w:rsidRPr="00B75B77">
        <w:t>referred</w:t>
      </w:r>
      <w:r w:rsidR="003402AA" w:rsidRPr="00B75B77">
        <w:t xml:space="preserve"> to as ex ante impact.</w:t>
      </w:r>
      <w:proofErr w:type="gramEnd"/>
    </w:p>
    <w:p w:rsidR="008C26AD" w:rsidRPr="00B75B77" w:rsidRDefault="008C26AD" w:rsidP="009E6C10">
      <w:pPr>
        <w:widowControl w:val="0"/>
        <w:pBdr>
          <w:bottom w:val="single" w:sz="8" w:space="1" w:color="448A99"/>
        </w:pBdr>
        <w:spacing w:before="120" w:after="120"/>
        <w:rPr>
          <w:rFonts w:ascii="Century Gothic" w:hAnsi="Century Gothic"/>
          <w:b/>
          <w:bCs/>
          <w:color w:val="448A99"/>
          <w:sz w:val="30"/>
          <w:szCs w:val="30"/>
          <w:lang w:bidi="en-US"/>
        </w:rPr>
      </w:pPr>
      <w:r w:rsidRPr="00B75B77">
        <w:rPr>
          <w:rFonts w:ascii="Century Gothic" w:hAnsi="Century Gothic"/>
          <w:b/>
          <w:bCs/>
          <w:color w:val="448A99"/>
          <w:sz w:val="30"/>
          <w:szCs w:val="30"/>
          <w:lang w:bidi="en-US"/>
        </w:rPr>
        <w:t>-W-</w:t>
      </w:r>
    </w:p>
    <w:p w:rsidR="00A755C3" w:rsidRPr="00B75B77" w:rsidRDefault="00A755C3" w:rsidP="008B6BEC">
      <w:pPr>
        <w:tabs>
          <w:tab w:val="left" w:pos="540"/>
          <w:tab w:val="left" w:pos="720"/>
        </w:tabs>
        <w:spacing w:after="120"/>
      </w:pPr>
      <w:r w:rsidRPr="00B75B77">
        <w:rPr>
          <w:rFonts w:ascii="Century Gothic" w:hAnsi="Century Gothic"/>
          <w:b/>
        </w:rPr>
        <w:t>Watt</w:t>
      </w:r>
      <w:r w:rsidRPr="00B75B77">
        <w:rPr>
          <w:rFonts w:ascii="Century Gothic" w:hAnsi="Century Gothic"/>
        </w:rPr>
        <w:t>:</w:t>
      </w:r>
      <w:r w:rsidRPr="00B75B77">
        <w:t xml:space="preserve"> A unit of measure of electric power at a point in time as capacity or demand. One Watt of power maintained over time is equal to one Joule per second. The Watt is named after Scottish inventor James Watt, and is shortened to W and used with other abbreviations, as in kWh (kilowatt-hours).</w:t>
      </w:r>
    </w:p>
    <w:p w:rsidR="00A755C3" w:rsidRPr="00B75B77" w:rsidRDefault="00A755C3" w:rsidP="008B6BEC">
      <w:pPr>
        <w:tabs>
          <w:tab w:val="left" w:pos="540"/>
          <w:tab w:val="left" w:pos="720"/>
        </w:tabs>
        <w:spacing w:after="120"/>
      </w:pPr>
      <w:r w:rsidRPr="00B75B77">
        <w:rPr>
          <w:rFonts w:ascii="Century Gothic" w:hAnsi="Century Gothic"/>
          <w:b/>
        </w:rPr>
        <w:t>Watt-Hour</w:t>
      </w:r>
      <w:r w:rsidRPr="00B75B77">
        <w:rPr>
          <w:rFonts w:ascii="Century Gothic" w:hAnsi="Century Gothic"/>
        </w:rPr>
        <w:t>:</w:t>
      </w:r>
      <w:r w:rsidRPr="00B75B77">
        <w:t xml:space="preserve"> One Watt of power expended for one hour, or one-thousandth of a kilowatt-hour.</w:t>
      </w:r>
    </w:p>
    <w:p w:rsidR="00A755C3" w:rsidRPr="00B75B77" w:rsidRDefault="00A755C3" w:rsidP="008B6BEC">
      <w:pPr>
        <w:tabs>
          <w:tab w:val="left" w:pos="540"/>
          <w:tab w:val="left" w:pos="720"/>
        </w:tabs>
        <w:spacing w:after="120"/>
      </w:pPr>
      <w:r w:rsidRPr="00B75B77">
        <w:rPr>
          <w:rFonts w:ascii="Century Gothic" w:hAnsi="Century Gothic"/>
          <w:b/>
        </w:rPr>
        <w:t>Whole-Building Calibrated Simulation Approach</w:t>
      </w:r>
      <w:r w:rsidRPr="00B75B77">
        <w:rPr>
          <w:rFonts w:ascii="Century Gothic" w:hAnsi="Century Gothic"/>
        </w:rPr>
        <w:t>:</w:t>
      </w:r>
      <w:r w:rsidRPr="00B75B77">
        <w:t xml:space="preserve"> A savings measurement approach (defined in the International Performance Measurement and Verification Protocol Option D and in the </w:t>
      </w:r>
      <w:r w:rsidRPr="00B75B77">
        <w:rPr>
          <w:bCs/>
        </w:rPr>
        <w:t>American Society of Heating, Refrigerating and Air-Conditioning Engineers</w:t>
      </w:r>
      <w:r w:rsidRPr="00B75B77">
        <w:t xml:space="preserve"> Guideline 14) that involves the use of an approved computer simulation program to develop a physical model of the building in order to determine energy and demand savings. The simulation program is used to model the energy used by the facility before and after the retrofit. The pre- or post-retrofit models are developed by calibration with measured energy use, demand data, and weather data.</w:t>
      </w:r>
    </w:p>
    <w:p w:rsidR="00A755C3" w:rsidRDefault="00A755C3" w:rsidP="008B6BEC">
      <w:pPr>
        <w:tabs>
          <w:tab w:val="left" w:pos="540"/>
          <w:tab w:val="left" w:pos="720"/>
        </w:tabs>
      </w:pPr>
      <w:r w:rsidRPr="00B75B77">
        <w:rPr>
          <w:rFonts w:ascii="Century Gothic" w:hAnsi="Century Gothic"/>
          <w:b/>
        </w:rPr>
        <w:t>Whole-</w:t>
      </w:r>
      <w:r w:rsidR="003A1913" w:rsidRPr="00B75B77">
        <w:rPr>
          <w:rFonts w:ascii="Century Gothic" w:hAnsi="Century Gothic"/>
          <w:b/>
        </w:rPr>
        <w:t>B</w:t>
      </w:r>
      <w:r w:rsidRPr="00B75B77">
        <w:rPr>
          <w:rFonts w:ascii="Century Gothic" w:hAnsi="Century Gothic"/>
          <w:b/>
        </w:rPr>
        <w:t>uilding Metered Approach</w:t>
      </w:r>
      <w:r w:rsidRPr="00B75B77">
        <w:rPr>
          <w:rFonts w:ascii="Century Gothic" w:hAnsi="Century Gothic"/>
        </w:rPr>
        <w:t>:</w:t>
      </w:r>
      <w:r w:rsidRPr="00B75B77">
        <w:t xml:space="preserve"> A savings measurement approach (defined in the International Performance Measurement and Verification Protocol Option C and in the </w:t>
      </w:r>
      <w:r w:rsidRPr="00B75B77">
        <w:rPr>
          <w:bCs/>
        </w:rPr>
        <w:t>American Society of Heating, Refrigerating and Air-Conditioning Engineers</w:t>
      </w:r>
      <w:r w:rsidRPr="00B75B77">
        <w:t xml:space="preserve"> Guideline 14) that determines energy and demand savings through the use of whole-facility energy (end</w:t>
      </w:r>
      <w:r w:rsidR="0044162C" w:rsidRPr="00B75B77">
        <w:t xml:space="preserve"> </w:t>
      </w:r>
      <w:r w:rsidRPr="00B75B77">
        <w:t>use) data, which may be measured by utility meters or data loggers. This approach may involve the use of monthly utility billing data or data gathered more frequently from a main meter.</w:t>
      </w:r>
    </w:p>
    <w:p w:rsidR="008B6BEC" w:rsidRDefault="008B6BEC" w:rsidP="008B6BEC">
      <w:pPr>
        <w:tabs>
          <w:tab w:val="left" w:pos="540"/>
          <w:tab w:val="left" w:pos="720"/>
        </w:tabs>
      </w:pPr>
    </w:p>
    <w:p w:rsidR="005D5951" w:rsidRPr="008C26AD" w:rsidRDefault="005D5951" w:rsidP="008C26AD"/>
    <w:sectPr w:rsidR="005D5951" w:rsidRPr="008C26AD" w:rsidSect="00757C2E">
      <w:pgSz w:w="12240" w:h="15840"/>
      <w:pgMar w:top="1170" w:right="1440" w:bottom="1440" w:left="1440" w:header="576" w:footer="47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5A56" w:rsidRDefault="007F5A56" w:rsidP="00A651FD">
      <w:r>
        <w:separator/>
      </w:r>
    </w:p>
    <w:p w:rsidR="007F5A56" w:rsidRDefault="007F5A56"/>
  </w:endnote>
  <w:endnote w:type="continuationSeparator" w:id="0">
    <w:p w:rsidR="007F5A56" w:rsidRDefault="007F5A56" w:rsidP="00A651FD">
      <w:r>
        <w:continuationSeparator/>
      </w:r>
    </w:p>
    <w:p w:rsidR="007F5A56" w:rsidRDefault="007F5A56"/>
  </w:endnote>
  <w:endnote w:type="continuationNotice" w:id="1">
    <w:p w:rsidR="007F5A56" w:rsidRDefault="007F5A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itannic Bold">
    <w:panose1 w:val="020B090306070302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GillSans">
    <w:panose1 w:val="00000000000000000000"/>
    <w:charset w:val="00"/>
    <w:family w:val="swiss"/>
    <w:notTrueType/>
    <w:pitch w:val="variable"/>
    <w:sig w:usb0="00000003" w:usb1="00000000" w:usb2="00000000" w:usb3="00000000" w:csb0="00000001" w:csb1="00000000"/>
  </w:font>
  <w:font w:name="Humanst521 BT">
    <w:altName w:val="Lucida Sans Unicode"/>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9E7" w:rsidRPr="00CA641F" w:rsidRDefault="00E639E7" w:rsidP="00CA641F">
    <w:pPr>
      <w:pStyle w:val="Footer"/>
      <w:pBdr>
        <w:top w:val="single" w:sz="4" w:space="1" w:color="auto"/>
      </w:pBdr>
      <w:rPr>
        <w:rFonts w:ascii="Century Gothic" w:hAnsi="Century Gothic"/>
        <w:b/>
        <w:sz w:val="16"/>
      </w:rPr>
    </w:pPr>
    <w:r>
      <w:rPr>
        <w:rFonts w:ascii="Century Gothic" w:hAnsi="Century Gothic"/>
        <w:smallCaps/>
        <w:sz w:val="16"/>
      </w:rPr>
      <w:t xml:space="preserve">[insert </w:t>
    </w:r>
    <w:proofErr w:type="spellStart"/>
    <w:r>
      <w:rPr>
        <w:rFonts w:ascii="Century Gothic" w:hAnsi="Century Gothic"/>
        <w:smallCaps/>
        <w:sz w:val="16"/>
      </w:rPr>
      <w:t>edc</w:t>
    </w:r>
    <w:proofErr w:type="spellEnd"/>
    <w:r>
      <w:rPr>
        <w:rFonts w:ascii="Century Gothic" w:hAnsi="Century Gothic"/>
        <w:smallCaps/>
        <w:sz w:val="16"/>
      </w:rPr>
      <w:t xml:space="preserve"> name]</w:t>
    </w:r>
    <w:r>
      <w:rPr>
        <w:rFonts w:ascii="Century Gothic" w:hAnsi="Century Gothic"/>
        <w:sz w:val="16"/>
      </w:rPr>
      <w:tab/>
    </w:r>
    <w:r>
      <w:rPr>
        <w:rFonts w:ascii="Century Gothic" w:hAnsi="Century Gothic"/>
        <w:sz w:val="16"/>
      </w:rPr>
      <w:tab/>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Pr>
        <w:rFonts w:ascii="Century Gothic" w:hAnsi="Century Gothic"/>
        <w:b/>
        <w:noProof/>
        <w:color w:val="448A99"/>
        <w:sz w:val="16"/>
      </w:rPr>
      <w:t>iii</w:t>
    </w:r>
    <w:r w:rsidRPr="00360EF8">
      <w:rPr>
        <w:rFonts w:ascii="Century Gothic" w:hAnsi="Century Gothic"/>
        <w:b/>
        <w:noProof/>
        <w:color w:val="448A99"/>
        <w:sz w:val="16"/>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9E7" w:rsidRPr="00CA641F" w:rsidRDefault="00E639E7" w:rsidP="00CA641F">
    <w:pPr>
      <w:pStyle w:val="Footer"/>
      <w:pBdr>
        <w:top w:val="single" w:sz="4" w:space="1" w:color="auto"/>
      </w:pBdr>
      <w:rPr>
        <w:rFonts w:ascii="Century Gothic" w:hAnsi="Century Gothic"/>
        <w:b/>
        <w:sz w:val="16"/>
      </w:rPr>
    </w:pPr>
    <w:r>
      <w:rPr>
        <w:rFonts w:ascii="Century Gothic" w:hAnsi="Century Gothic"/>
        <w:smallCaps/>
        <w:sz w:val="16"/>
      </w:rPr>
      <w:t>PECO</w:t>
    </w:r>
    <w:r>
      <w:rPr>
        <w:rFonts w:ascii="Century Gothic" w:hAnsi="Century Gothic"/>
        <w:sz w:val="16"/>
      </w:rPr>
      <w:tab/>
    </w:r>
    <w:r>
      <w:rPr>
        <w:rFonts w:ascii="Century Gothic" w:hAnsi="Century Gothic"/>
        <w:sz w:val="16"/>
      </w:rPr>
      <w:tab/>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Pr>
        <w:rFonts w:ascii="Century Gothic" w:hAnsi="Century Gothic"/>
        <w:b/>
        <w:noProof/>
        <w:color w:val="448A99"/>
        <w:sz w:val="16"/>
      </w:rPr>
      <w:t>64</w:t>
    </w:r>
    <w:r w:rsidRPr="00360EF8">
      <w:rPr>
        <w:rFonts w:ascii="Century Gothic" w:hAnsi="Century Gothic"/>
        <w:b/>
        <w:noProof/>
        <w:color w:val="448A99"/>
        <w:sz w:val="16"/>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9E7" w:rsidRPr="00757C2E" w:rsidRDefault="00E639E7" w:rsidP="00757C2E">
    <w:pPr>
      <w:pStyle w:val="Footer"/>
      <w:pBdr>
        <w:top w:val="single" w:sz="4" w:space="1" w:color="auto"/>
      </w:pBdr>
      <w:rPr>
        <w:rFonts w:ascii="Century Gothic" w:hAnsi="Century Gothic"/>
        <w:b/>
        <w:sz w:val="16"/>
      </w:rPr>
    </w:pPr>
    <w:r>
      <w:rPr>
        <w:rFonts w:ascii="Century Gothic" w:hAnsi="Century Gothic"/>
        <w:smallCaps/>
        <w:sz w:val="16"/>
      </w:rPr>
      <w:t>PECO</w:t>
    </w:r>
    <w:r>
      <w:rPr>
        <w:rFonts w:ascii="Century Gothic" w:hAnsi="Century Gothic"/>
        <w:sz w:val="16"/>
      </w:rPr>
      <w:tab/>
    </w:r>
    <w:r>
      <w:rPr>
        <w:rFonts w:ascii="Century Gothic" w:hAnsi="Century Gothic"/>
        <w:sz w:val="16"/>
      </w:rPr>
      <w:tab/>
      <w:t xml:space="preserve">          </w:t>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237810">
      <w:rPr>
        <w:rFonts w:ascii="Century Gothic" w:hAnsi="Century Gothic"/>
        <w:b/>
        <w:noProof/>
        <w:color w:val="448A99"/>
        <w:sz w:val="16"/>
      </w:rPr>
      <w:t>226</w:t>
    </w:r>
    <w:r w:rsidRPr="00360EF8">
      <w:rPr>
        <w:rFonts w:ascii="Century Gothic" w:hAnsi="Century Gothic"/>
        <w:b/>
        <w:noProof/>
        <w:color w:val="448A99"/>
        <w:sz w:val="16"/>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9E7" w:rsidRPr="00757C2E" w:rsidRDefault="00E639E7" w:rsidP="00757C2E">
    <w:pPr>
      <w:pStyle w:val="Footer"/>
      <w:pBdr>
        <w:top w:val="single" w:sz="4" w:space="1" w:color="auto"/>
      </w:pBdr>
      <w:rPr>
        <w:rFonts w:ascii="Century Gothic" w:hAnsi="Century Gothic"/>
        <w:b/>
        <w:sz w:val="16"/>
      </w:rPr>
    </w:pPr>
    <w:r>
      <w:rPr>
        <w:rFonts w:ascii="Century Gothic" w:hAnsi="Century Gothic"/>
        <w:smallCaps/>
        <w:sz w:val="16"/>
      </w:rPr>
      <w:t>PECO</w:t>
    </w:r>
    <w:r>
      <w:rPr>
        <w:rFonts w:ascii="Century Gothic" w:hAnsi="Century Gothic"/>
        <w:sz w:val="16"/>
      </w:rPr>
      <w:tab/>
    </w:r>
    <w:r>
      <w:rPr>
        <w:rFonts w:ascii="Century Gothic" w:hAnsi="Century Gothic"/>
        <w:sz w:val="16"/>
      </w:rPr>
      <w:tab/>
      <w:t xml:space="preserve">          </w:t>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237810">
      <w:rPr>
        <w:rFonts w:ascii="Century Gothic" w:hAnsi="Century Gothic"/>
        <w:b/>
        <w:noProof/>
        <w:color w:val="448A99"/>
        <w:sz w:val="16"/>
      </w:rPr>
      <w:t>229</w:t>
    </w:r>
    <w:r w:rsidRPr="00360EF8">
      <w:rPr>
        <w:rFonts w:ascii="Century Gothic" w:hAnsi="Century Gothic"/>
        <w:b/>
        <w:noProof/>
        <w:color w:val="448A99"/>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9E7" w:rsidRPr="00CA641F" w:rsidRDefault="00E639E7" w:rsidP="00CA641F">
    <w:pPr>
      <w:pStyle w:val="Footer"/>
      <w:pBdr>
        <w:top w:val="single" w:sz="4" w:space="1" w:color="auto"/>
      </w:pBdr>
      <w:rPr>
        <w:rFonts w:ascii="Century Gothic" w:hAnsi="Century Gothic"/>
        <w:b/>
        <w:sz w:val="16"/>
      </w:rPr>
    </w:pPr>
    <w:r>
      <w:rPr>
        <w:rFonts w:ascii="Century Gothic" w:hAnsi="Century Gothic"/>
        <w:smallCaps/>
        <w:sz w:val="16"/>
      </w:rPr>
      <w:t>PECO</w:t>
    </w:r>
    <w:r>
      <w:rPr>
        <w:rFonts w:ascii="Century Gothic" w:hAnsi="Century Gothic"/>
        <w:sz w:val="16"/>
      </w:rPr>
      <w:tab/>
    </w:r>
    <w:r>
      <w:rPr>
        <w:rFonts w:ascii="Century Gothic" w:hAnsi="Century Gothic"/>
        <w:sz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9E7" w:rsidRPr="00CA641F" w:rsidRDefault="00E639E7" w:rsidP="00CA641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9E7" w:rsidRPr="00CA641F" w:rsidRDefault="00E639E7" w:rsidP="00CA641F">
    <w:pPr>
      <w:pStyle w:val="Footer"/>
      <w:pBdr>
        <w:top w:val="single" w:sz="4" w:space="1" w:color="auto"/>
      </w:pBdr>
      <w:rPr>
        <w:rFonts w:ascii="Century Gothic" w:hAnsi="Century Gothic"/>
        <w:b/>
        <w:sz w:val="16"/>
      </w:rPr>
    </w:pPr>
    <w:r>
      <w:rPr>
        <w:rFonts w:ascii="Century Gothic" w:hAnsi="Century Gothic"/>
        <w:smallCaps/>
        <w:sz w:val="16"/>
      </w:rPr>
      <w:t>PECO</w:t>
    </w:r>
    <w:r>
      <w:rPr>
        <w:rFonts w:ascii="Century Gothic" w:hAnsi="Century Gothic"/>
        <w:sz w:val="16"/>
      </w:rPr>
      <w:tab/>
    </w:r>
    <w:r>
      <w:rPr>
        <w:rFonts w:ascii="Century Gothic" w:hAnsi="Century Gothic"/>
        <w:sz w:val="16"/>
      </w:rPr>
      <w:tab/>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201363">
      <w:rPr>
        <w:rFonts w:ascii="Century Gothic" w:hAnsi="Century Gothic"/>
        <w:b/>
        <w:noProof/>
        <w:color w:val="448A99"/>
        <w:sz w:val="16"/>
      </w:rPr>
      <w:t>v</w:t>
    </w:r>
    <w:r w:rsidRPr="00360EF8">
      <w:rPr>
        <w:rFonts w:ascii="Century Gothic" w:hAnsi="Century Gothic"/>
        <w:b/>
        <w:noProof/>
        <w:color w:val="448A99"/>
        <w:sz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9E7" w:rsidRPr="00CA641F" w:rsidRDefault="00E639E7" w:rsidP="00CA641F">
    <w:pPr>
      <w:pStyle w:val="Footer"/>
      <w:pBdr>
        <w:top w:val="single" w:sz="4" w:space="1" w:color="auto"/>
      </w:pBdr>
      <w:rPr>
        <w:rFonts w:ascii="Century Gothic" w:hAnsi="Century Gothic"/>
        <w:b/>
        <w:sz w:val="16"/>
      </w:rPr>
    </w:pPr>
    <w:r>
      <w:rPr>
        <w:rFonts w:ascii="Century Gothic" w:hAnsi="Century Gothic"/>
        <w:smallCaps/>
        <w:sz w:val="16"/>
      </w:rPr>
      <w:t>PECO</w:t>
    </w:r>
    <w:r>
      <w:rPr>
        <w:rFonts w:ascii="Century Gothic" w:hAnsi="Century Gothic"/>
        <w:sz w:val="16"/>
      </w:rPr>
      <w:tab/>
    </w:r>
    <w:r>
      <w:rPr>
        <w:rFonts w:ascii="Century Gothic" w:hAnsi="Century Gothic"/>
        <w:sz w:val="16"/>
      </w:rPr>
      <w:tab/>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Pr>
        <w:rFonts w:ascii="Century Gothic" w:hAnsi="Century Gothic"/>
        <w:b/>
        <w:noProof/>
        <w:color w:val="448A99"/>
        <w:sz w:val="16"/>
      </w:rPr>
      <w:t>i</w:t>
    </w:r>
    <w:r w:rsidRPr="00360EF8">
      <w:rPr>
        <w:rFonts w:ascii="Century Gothic" w:hAnsi="Century Gothic"/>
        <w:b/>
        <w:noProof/>
        <w:color w:val="448A99"/>
        <w:sz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9E7" w:rsidRPr="00CA641F" w:rsidRDefault="00E639E7" w:rsidP="00CA641F">
    <w:pPr>
      <w:pStyle w:val="Footer"/>
      <w:pBdr>
        <w:top w:val="single" w:sz="4" w:space="1" w:color="auto"/>
      </w:pBdr>
      <w:rPr>
        <w:rFonts w:ascii="Century Gothic" w:hAnsi="Century Gothic"/>
        <w:b/>
        <w:sz w:val="16"/>
      </w:rPr>
    </w:pPr>
    <w:r>
      <w:rPr>
        <w:rFonts w:ascii="Century Gothic" w:hAnsi="Century Gothic"/>
        <w:smallCaps/>
        <w:sz w:val="16"/>
      </w:rPr>
      <w:t>PECO</w:t>
    </w:r>
    <w:r>
      <w:rPr>
        <w:rFonts w:ascii="Century Gothic" w:hAnsi="Century Gothic"/>
        <w:sz w:val="16"/>
      </w:rPr>
      <w:tab/>
    </w:r>
    <w:r>
      <w:rPr>
        <w:rFonts w:ascii="Century Gothic" w:hAnsi="Century Gothic"/>
        <w:sz w:val="16"/>
      </w:rPr>
      <w:tab/>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237810">
      <w:rPr>
        <w:rFonts w:ascii="Century Gothic" w:hAnsi="Century Gothic"/>
        <w:b/>
        <w:noProof/>
        <w:color w:val="448A99"/>
        <w:sz w:val="16"/>
      </w:rPr>
      <w:t>xv</w:t>
    </w:r>
    <w:r w:rsidRPr="00360EF8">
      <w:rPr>
        <w:rFonts w:ascii="Century Gothic" w:hAnsi="Century Gothic"/>
        <w:b/>
        <w:noProof/>
        <w:color w:val="448A99"/>
        <w:sz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9E7" w:rsidRPr="00CA641F" w:rsidRDefault="00E639E7" w:rsidP="00CA641F">
    <w:pPr>
      <w:pStyle w:val="Footer"/>
      <w:pBdr>
        <w:top w:val="single" w:sz="4" w:space="1" w:color="auto"/>
      </w:pBdr>
      <w:rPr>
        <w:rFonts w:ascii="Century Gothic" w:hAnsi="Century Gothic"/>
        <w:b/>
        <w:sz w:val="16"/>
      </w:rPr>
    </w:pPr>
    <w:r>
      <w:rPr>
        <w:rFonts w:ascii="Century Gothic" w:hAnsi="Century Gothic"/>
        <w:smallCaps/>
        <w:sz w:val="16"/>
      </w:rPr>
      <w:t>PECO</w:t>
    </w:r>
    <w:r>
      <w:rPr>
        <w:rFonts w:ascii="Century Gothic" w:hAnsi="Century Gothic"/>
        <w:sz w:val="16"/>
      </w:rPr>
      <w:tab/>
    </w:r>
    <w:r>
      <w:rPr>
        <w:rFonts w:ascii="Century Gothic" w:hAnsi="Century Gothic"/>
        <w:sz w:val="16"/>
      </w:rPr>
      <w:tab/>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201363">
      <w:rPr>
        <w:rFonts w:ascii="Century Gothic" w:hAnsi="Century Gothic"/>
        <w:b/>
        <w:noProof/>
        <w:color w:val="448A99"/>
        <w:sz w:val="16"/>
      </w:rPr>
      <w:t>vi</w:t>
    </w:r>
    <w:r w:rsidRPr="00360EF8">
      <w:rPr>
        <w:rFonts w:ascii="Century Gothic" w:hAnsi="Century Gothic"/>
        <w:b/>
        <w:noProof/>
        <w:color w:val="448A99"/>
        <w:sz w:val="1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9E7" w:rsidRPr="00CA641F" w:rsidRDefault="00E639E7" w:rsidP="00F94CBE">
    <w:pPr>
      <w:pStyle w:val="Footer"/>
      <w:pBdr>
        <w:top w:val="single" w:sz="4" w:space="1" w:color="auto"/>
      </w:pBdr>
      <w:rPr>
        <w:rFonts w:ascii="Century Gothic" w:hAnsi="Century Gothic"/>
        <w:b/>
        <w:sz w:val="16"/>
      </w:rPr>
    </w:pPr>
    <w:r>
      <w:rPr>
        <w:rFonts w:ascii="Century Gothic" w:hAnsi="Century Gothic"/>
        <w:smallCaps/>
        <w:sz w:val="16"/>
      </w:rPr>
      <w:t>PECO</w:t>
    </w:r>
    <w:r>
      <w:rPr>
        <w:rFonts w:ascii="Century Gothic" w:hAnsi="Century Gothic"/>
        <w:sz w:val="16"/>
      </w:rPr>
      <w:tab/>
    </w:r>
    <w:r>
      <w:rPr>
        <w:rFonts w:ascii="Century Gothic" w:hAnsi="Century Gothic"/>
        <w:sz w:val="16"/>
      </w:rPr>
      <w:tab/>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237810">
      <w:rPr>
        <w:rFonts w:ascii="Century Gothic" w:hAnsi="Century Gothic"/>
        <w:b/>
        <w:noProof/>
        <w:color w:val="448A99"/>
        <w:sz w:val="16"/>
      </w:rPr>
      <w:t>224</w:t>
    </w:r>
    <w:r w:rsidRPr="00360EF8">
      <w:rPr>
        <w:rFonts w:ascii="Century Gothic" w:hAnsi="Century Gothic"/>
        <w:b/>
        <w:noProof/>
        <w:color w:val="448A99"/>
        <w:sz w:val="16"/>
      </w:rPr>
      <w:fldChar w:fldCharType="end"/>
    </w:r>
  </w:p>
  <w:p w:rsidR="00E639E7" w:rsidRDefault="00E639E7">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9E7" w:rsidRPr="00CA641F" w:rsidRDefault="00E639E7" w:rsidP="00CA641F">
    <w:pPr>
      <w:pStyle w:val="Footer"/>
      <w:pBdr>
        <w:top w:val="single" w:sz="4" w:space="1" w:color="auto"/>
      </w:pBdr>
      <w:rPr>
        <w:rFonts w:ascii="Century Gothic" w:hAnsi="Century Gothic"/>
        <w:b/>
        <w:sz w:val="16"/>
      </w:rPr>
    </w:pPr>
    <w:r>
      <w:rPr>
        <w:rFonts w:ascii="Century Gothic" w:hAnsi="Century Gothic"/>
        <w:smallCaps/>
        <w:sz w:val="16"/>
      </w:rPr>
      <w:t xml:space="preserve">[insert </w:t>
    </w:r>
    <w:proofErr w:type="spellStart"/>
    <w:r>
      <w:rPr>
        <w:rFonts w:ascii="Century Gothic" w:hAnsi="Century Gothic"/>
        <w:smallCaps/>
        <w:sz w:val="16"/>
      </w:rPr>
      <w:t>edc</w:t>
    </w:r>
    <w:proofErr w:type="spellEnd"/>
    <w:r>
      <w:rPr>
        <w:rFonts w:ascii="Century Gothic" w:hAnsi="Century Gothic"/>
        <w:smallCaps/>
        <w:sz w:val="16"/>
      </w:rPr>
      <w:t xml:space="preserve"> name]</w:t>
    </w:r>
    <w:r>
      <w:rPr>
        <w:rFonts w:ascii="Century Gothic" w:hAnsi="Century Gothic"/>
        <w:sz w:val="16"/>
      </w:rPr>
      <w:tab/>
    </w:r>
    <w:r>
      <w:rPr>
        <w:rFonts w:ascii="Century Gothic" w:hAnsi="Century Gothic"/>
        <w:sz w:val="16"/>
      </w:rPr>
      <w:tab/>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Pr>
        <w:rFonts w:ascii="Century Gothic" w:hAnsi="Century Gothic"/>
        <w:b/>
        <w:noProof/>
        <w:color w:val="448A99"/>
        <w:sz w:val="16"/>
      </w:rPr>
      <w:t>1</w:t>
    </w:r>
    <w:r w:rsidRPr="00360EF8">
      <w:rPr>
        <w:rFonts w:ascii="Century Gothic" w:hAnsi="Century Gothic"/>
        <w:b/>
        <w:noProof/>
        <w:color w:val="448A99"/>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5A56" w:rsidRDefault="007F5A56">
      <w:r>
        <w:separator/>
      </w:r>
    </w:p>
  </w:footnote>
  <w:footnote w:type="continuationSeparator" w:id="0">
    <w:p w:rsidR="007F5A56" w:rsidRDefault="007F5A56">
      <w:r>
        <w:continuationSeparator/>
      </w:r>
    </w:p>
  </w:footnote>
  <w:footnote w:type="continuationNotice" w:id="1">
    <w:p w:rsidR="007F5A56" w:rsidRDefault="007F5A56"/>
  </w:footnote>
  <w:footnote w:id="2">
    <w:p w:rsidR="00E639E7" w:rsidRPr="00963027" w:rsidRDefault="00E639E7" w:rsidP="00963027">
      <w:pPr>
        <w:pStyle w:val="FootnoteText"/>
        <w:rPr>
          <w:sz w:val="18"/>
        </w:rPr>
      </w:pPr>
      <w:r w:rsidRPr="00963027">
        <w:rPr>
          <w:rStyle w:val="FootnoteReference"/>
          <w:sz w:val="16"/>
        </w:rPr>
        <w:footnoteRef/>
      </w:r>
      <w:r w:rsidRPr="00963027">
        <w:t xml:space="preserve"> All Total Resource Cost definitions are subject to the Pennsylvania PUC 2013 Total Resource Cost </w:t>
      </w:r>
      <w:r>
        <w:t xml:space="preserve">(TRC) </w:t>
      </w:r>
      <w:r w:rsidRPr="00963027">
        <w:t>Test Order.</w:t>
      </w:r>
    </w:p>
  </w:footnote>
  <w:footnote w:id="3">
    <w:p w:rsidR="00E639E7" w:rsidRPr="003768AA" w:rsidRDefault="00E639E7" w:rsidP="00F94CBE">
      <w:pPr>
        <w:pStyle w:val="FootnoteText"/>
      </w:pPr>
      <w:r w:rsidRPr="00F94CBE">
        <w:rPr>
          <w:rStyle w:val="FootnoteReference"/>
          <w:sz w:val="16"/>
          <w:szCs w:val="16"/>
        </w:rPr>
        <w:footnoteRef/>
      </w:r>
      <w:r w:rsidRPr="00F94CBE">
        <w:rPr>
          <w:rStyle w:val="FootnoteReference"/>
          <w:sz w:val="16"/>
          <w:szCs w:val="16"/>
        </w:rPr>
        <w:t xml:space="preserve"> </w:t>
      </w:r>
      <w:proofErr w:type="gramStart"/>
      <w:r w:rsidRPr="003768AA">
        <w:t xml:space="preserve">Pennsylvania Public Utilities Commission, </w:t>
      </w:r>
      <w:r w:rsidRPr="003768AA">
        <w:rPr>
          <w:i/>
        </w:rPr>
        <w:t>Act 129 Phase I Compliance Determination Order</w:t>
      </w:r>
      <w:r w:rsidRPr="003768AA">
        <w:t>, March 20, 2014, p.6.</w:t>
      </w:r>
      <w:proofErr w:type="gramEnd"/>
    </w:p>
  </w:footnote>
  <w:footnote w:id="4">
    <w:p w:rsidR="00E639E7" w:rsidRDefault="00E639E7" w:rsidP="00F94CBE">
      <w:pPr>
        <w:pStyle w:val="FootnoteText"/>
      </w:pPr>
      <w:r w:rsidRPr="00F94CBE">
        <w:rPr>
          <w:rStyle w:val="FootnoteReference"/>
          <w:sz w:val="16"/>
          <w:szCs w:val="16"/>
        </w:rPr>
        <w:footnoteRef/>
      </w:r>
      <w:r w:rsidRPr="00F94CBE">
        <w:rPr>
          <w:rStyle w:val="FootnoteReference"/>
          <w:sz w:val="16"/>
          <w:szCs w:val="16"/>
        </w:rPr>
        <w:t xml:space="preserve"> </w:t>
      </w:r>
      <w:r w:rsidRPr="003768AA">
        <w:t xml:space="preserve">Statewide Evaluator, Guidance Memo GM-021, </w:t>
      </w:r>
      <w:r w:rsidRPr="003768AA">
        <w:rPr>
          <w:i/>
        </w:rPr>
        <w:t xml:space="preserve">Reporting Unverified Energy and Peak Demand Savings for Phase I Projects in the Act 129 </w:t>
      </w:r>
      <w:proofErr w:type="gramStart"/>
      <w:r w:rsidRPr="003768AA">
        <w:rPr>
          <w:i/>
        </w:rPr>
        <w:t>Phase</w:t>
      </w:r>
      <w:proofErr w:type="gramEnd"/>
      <w:r w:rsidRPr="003768AA">
        <w:rPr>
          <w:i/>
        </w:rPr>
        <w:t xml:space="preserve"> I Final Report</w:t>
      </w:r>
      <w:r w:rsidRPr="003768AA">
        <w:t>. September 13, 2013.</w:t>
      </w:r>
    </w:p>
  </w:footnote>
  <w:footnote w:id="5">
    <w:p w:rsidR="00E639E7" w:rsidRPr="007F47B0" w:rsidRDefault="00E639E7">
      <w:pPr>
        <w:pStyle w:val="FootnoteText"/>
      </w:pPr>
      <w:r w:rsidRPr="00F94CBE">
        <w:rPr>
          <w:rStyle w:val="FootnoteReference"/>
          <w:sz w:val="16"/>
          <w:szCs w:val="16"/>
        </w:rPr>
        <w:footnoteRef/>
      </w:r>
      <w:r w:rsidRPr="00F94CBE">
        <w:rPr>
          <w:szCs w:val="16"/>
        </w:rPr>
        <w:t xml:space="preserve"> </w:t>
      </w:r>
      <w:r>
        <w:t xml:space="preserve">PECO Energy Company, </w:t>
      </w:r>
      <w:r>
        <w:rPr>
          <w:i/>
        </w:rPr>
        <w:t>Quarterly Report to the Pennsylvania Public Utility Commission; For the Period of December 2013 through February 2014 Program Year 5, Quarter 3</w:t>
      </w:r>
      <w:r>
        <w:t>. April 15, 2014.</w:t>
      </w:r>
    </w:p>
  </w:footnote>
  <w:footnote w:id="6">
    <w:p w:rsidR="00E639E7" w:rsidRPr="00E86423" w:rsidRDefault="00E639E7" w:rsidP="00963027">
      <w:pPr>
        <w:pStyle w:val="FootnoteText"/>
      </w:pPr>
      <w:r w:rsidRPr="00F33F9F">
        <w:rPr>
          <w:rStyle w:val="FootnoteReference"/>
          <w:sz w:val="16"/>
          <w:szCs w:val="16"/>
        </w:rPr>
        <w:footnoteRef/>
      </w:r>
      <w:r w:rsidRPr="00F33F9F">
        <w:rPr>
          <w:szCs w:val="16"/>
        </w:rPr>
        <w:t xml:space="preserve"> </w:t>
      </w:r>
      <w:r w:rsidRPr="00E86423">
        <w:t xml:space="preserve">Unlike Phase I, there is no compliance target for demand reduction in Phase II. The Commission, however, requires that demand reduction savings in Phase II be reported including line losses, as was </w:t>
      </w:r>
      <w:r>
        <w:t>d</w:t>
      </w:r>
      <w:r w:rsidRPr="00E86423">
        <w:t>one in Phase I.</w:t>
      </w:r>
    </w:p>
  </w:footnote>
  <w:footnote w:id="7">
    <w:p w:rsidR="00E639E7" w:rsidRDefault="00E639E7" w:rsidP="00BC6985">
      <w:pPr>
        <w:pStyle w:val="FootnoteText"/>
      </w:pPr>
      <w:r w:rsidRPr="00C5381A">
        <w:rPr>
          <w:rStyle w:val="FootnoteReference"/>
          <w:rFonts w:ascii="Arial Narrow" w:hAnsi="Arial Narrow"/>
          <w:sz w:val="18"/>
          <w:szCs w:val="20"/>
        </w:rPr>
        <w:footnoteRef/>
      </w:r>
      <w:r w:rsidRPr="00C5381A">
        <w:rPr>
          <w:rStyle w:val="FootnoteReference"/>
          <w:rFonts w:ascii="Arial Narrow" w:hAnsi="Arial Narrow"/>
          <w:sz w:val="18"/>
          <w:szCs w:val="20"/>
        </w:rPr>
        <w:t xml:space="preserve"> </w:t>
      </w:r>
      <w:proofErr w:type="gramStart"/>
      <w:r w:rsidRPr="003768AA">
        <w:t xml:space="preserve">Pennsylvania Public Utilities Commission, </w:t>
      </w:r>
      <w:r>
        <w:rPr>
          <w:i/>
        </w:rPr>
        <w:t>Implementation</w:t>
      </w:r>
      <w:r w:rsidRPr="003768AA">
        <w:rPr>
          <w:i/>
        </w:rPr>
        <w:t xml:space="preserve"> Order</w:t>
      </w:r>
      <w:r>
        <w:rPr>
          <w:i/>
        </w:rPr>
        <w:t>; Energy Efficiency and Conservation Program</w:t>
      </w:r>
      <w:r>
        <w:t>.</w:t>
      </w:r>
      <w:proofErr w:type="gramEnd"/>
      <w:r>
        <w:t xml:space="preserve"> Docket No. </w:t>
      </w:r>
      <w:proofErr w:type="gramStart"/>
      <w:r>
        <w:t>M-2012-2289411 and M-2008-2069887.</w:t>
      </w:r>
      <w:proofErr w:type="gramEnd"/>
      <w:r w:rsidRPr="003768AA">
        <w:t xml:space="preserve"> </w:t>
      </w:r>
      <w:r>
        <w:t>Public meeting held August 2, 2012</w:t>
      </w:r>
      <w:r w:rsidRPr="003768AA">
        <w:t>.</w:t>
      </w:r>
    </w:p>
  </w:footnote>
  <w:footnote w:id="8">
    <w:p w:rsidR="00E639E7" w:rsidRPr="00CF4E55" w:rsidRDefault="00E639E7" w:rsidP="00CF4E55">
      <w:pPr>
        <w:pStyle w:val="CommentText"/>
        <w:rPr>
          <w:sz w:val="16"/>
          <w:szCs w:val="16"/>
        </w:rPr>
      </w:pPr>
      <w:r w:rsidRPr="00F33F9F">
        <w:rPr>
          <w:rStyle w:val="FootnoteReference"/>
          <w:sz w:val="16"/>
          <w:szCs w:val="16"/>
        </w:rPr>
        <w:footnoteRef/>
      </w:r>
      <w:r w:rsidRPr="00F33F9F">
        <w:rPr>
          <w:sz w:val="16"/>
          <w:szCs w:val="16"/>
        </w:rPr>
        <w:t xml:space="preserve"> Act 129 includes a provision requiring electric distribution companies to offer a number of energy efficiency measures to low-income households</w:t>
      </w:r>
      <w:r w:rsidRPr="00CF4E55">
        <w:rPr>
          <w:sz w:val="16"/>
          <w:szCs w:val="16"/>
        </w:rPr>
        <w:t xml:space="preserve"> that are “proportionate to those households’ share of the total energy usage in the service territory.” </w:t>
      </w:r>
      <w:proofErr w:type="gramStart"/>
      <w:r w:rsidRPr="00CF4E55">
        <w:rPr>
          <w:sz w:val="16"/>
          <w:szCs w:val="16"/>
        </w:rPr>
        <w:t xml:space="preserve">66 </w:t>
      </w:r>
      <w:proofErr w:type="spellStart"/>
      <w:r w:rsidRPr="00CF4E55">
        <w:rPr>
          <w:sz w:val="16"/>
          <w:szCs w:val="16"/>
        </w:rPr>
        <w:t>Pa.C.S</w:t>
      </w:r>
      <w:proofErr w:type="spellEnd"/>
      <w:r w:rsidRPr="00CF4E55">
        <w:rPr>
          <w:sz w:val="16"/>
          <w:szCs w:val="16"/>
        </w:rPr>
        <w:t>.</w:t>
      </w:r>
      <w:proofErr w:type="gramEnd"/>
      <w:r w:rsidRPr="00CF4E55">
        <w:rPr>
          <w:sz w:val="16"/>
          <w:szCs w:val="16"/>
        </w:rPr>
        <w:t xml:space="preserve"> §2806.1(b</w:t>
      </w:r>
      <w:proofErr w:type="gramStart"/>
      <w:r w:rsidRPr="00CF4E55">
        <w:rPr>
          <w:sz w:val="16"/>
          <w:szCs w:val="16"/>
        </w:rPr>
        <w:t>)(</w:t>
      </w:r>
      <w:proofErr w:type="gramEnd"/>
      <w:r w:rsidRPr="00CF4E55">
        <w:rPr>
          <w:sz w:val="16"/>
          <w:szCs w:val="16"/>
        </w:rPr>
        <w:t>i)(G).</w:t>
      </w:r>
      <w:r w:rsidRPr="00F33F9F">
        <w:rPr>
          <w:sz w:val="16"/>
          <w:szCs w:val="16"/>
        </w:rPr>
        <w:t xml:space="preserve"> </w:t>
      </w:r>
    </w:p>
  </w:footnote>
  <w:footnote w:id="9">
    <w:p w:rsidR="00E639E7" w:rsidRPr="002C3D01" w:rsidRDefault="00E639E7" w:rsidP="00F94CBE">
      <w:pPr>
        <w:pStyle w:val="FootnoteText"/>
        <w:rPr>
          <w:szCs w:val="16"/>
        </w:rPr>
      </w:pPr>
      <w:r w:rsidRPr="002C3D01">
        <w:rPr>
          <w:rStyle w:val="FootnoteReference"/>
          <w:sz w:val="16"/>
          <w:szCs w:val="16"/>
        </w:rPr>
        <w:footnoteRef/>
      </w:r>
      <w:r w:rsidRPr="002C3D01">
        <w:rPr>
          <w:szCs w:val="16"/>
        </w:rPr>
        <w:t xml:space="preserve"> PECO Energy Company. </w:t>
      </w:r>
      <w:proofErr w:type="gramStart"/>
      <w:r w:rsidRPr="002C3D01">
        <w:rPr>
          <w:i/>
          <w:szCs w:val="16"/>
        </w:rPr>
        <w:t>Quarterly Report to the Pennsylvania Public Utility Commission; For the Period of March 2016 through May 2016 Program Year 7, Quarter 4</w:t>
      </w:r>
      <w:r w:rsidRPr="002C3D01">
        <w:rPr>
          <w:szCs w:val="16"/>
        </w:rPr>
        <w:t>.</w:t>
      </w:r>
      <w:proofErr w:type="gramEnd"/>
      <w:r w:rsidRPr="002C3D01">
        <w:rPr>
          <w:szCs w:val="16"/>
        </w:rPr>
        <w:t xml:space="preserve"> July 15, 2016.</w:t>
      </w:r>
    </w:p>
  </w:footnote>
  <w:footnote w:id="10">
    <w:p w:rsidR="00E639E7" w:rsidRDefault="00E639E7" w:rsidP="00F94CBE">
      <w:pPr>
        <w:pStyle w:val="FootnoteText"/>
      </w:pPr>
      <w:r w:rsidRPr="002C3D01">
        <w:rPr>
          <w:rStyle w:val="FootnoteReference"/>
          <w:sz w:val="16"/>
          <w:szCs w:val="16"/>
        </w:rPr>
        <w:footnoteRef/>
      </w:r>
      <w:r w:rsidRPr="002C3D01">
        <w:rPr>
          <w:szCs w:val="16"/>
        </w:rPr>
        <w:t xml:space="preserve"> PECO Energy Company. </w:t>
      </w:r>
      <w:proofErr w:type="gramStart"/>
      <w:r w:rsidRPr="002C3D01">
        <w:rPr>
          <w:i/>
          <w:szCs w:val="16"/>
        </w:rPr>
        <w:t>PECO Program Year 6 Annual Report</w:t>
      </w:r>
      <w:r w:rsidRPr="002C3D01">
        <w:rPr>
          <w:szCs w:val="16"/>
        </w:rPr>
        <w:t>.</w:t>
      </w:r>
      <w:proofErr w:type="gramEnd"/>
      <w:r w:rsidRPr="002C3D01">
        <w:rPr>
          <w:szCs w:val="16"/>
        </w:rPr>
        <w:t xml:space="preserve"> November 13, 2015.</w:t>
      </w:r>
    </w:p>
  </w:footnote>
  <w:footnote w:id="11">
    <w:p w:rsidR="00E639E7" w:rsidRPr="00A16F7B" w:rsidRDefault="00E639E7" w:rsidP="005279FF">
      <w:pPr>
        <w:pStyle w:val="FootnoteText"/>
        <w:spacing w:after="60"/>
        <w:rPr>
          <w:sz w:val="18"/>
        </w:rPr>
      </w:pPr>
      <w:r w:rsidRPr="00A16F7B">
        <w:rPr>
          <w:rStyle w:val="FootnoteReference"/>
          <w:sz w:val="18"/>
        </w:rPr>
        <w:footnoteRef/>
      </w:r>
      <w:r w:rsidRPr="00A16F7B">
        <w:rPr>
          <w:sz w:val="18"/>
        </w:rPr>
        <w:t xml:space="preserve"> The Act 129 Fuel Switching Working Group Staff Report. April 30, 2010. Page2.</w:t>
      </w:r>
    </w:p>
  </w:footnote>
  <w:footnote w:id="12">
    <w:p w:rsidR="00E639E7" w:rsidRDefault="00E639E7" w:rsidP="005279FF">
      <w:pPr>
        <w:pStyle w:val="FootnoteText"/>
      </w:pPr>
      <w:r w:rsidRPr="00A16F7B">
        <w:rPr>
          <w:rStyle w:val="FootnoteReference"/>
          <w:sz w:val="18"/>
        </w:rPr>
        <w:footnoteRef/>
      </w:r>
      <w:r w:rsidRPr="00A16F7B">
        <w:rPr>
          <w:sz w:val="18"/>
        </w:rPr>
        <w:t xml:space="preserve"> Pennsylvania Public Utility Commission, “Technical Reference Manual,” June 2014.</w:t>
      </w:r>
    </w:p>
  </w:footnote>
  <w:footnote w:id="13">
    <w:p w:rsidR="00E639E7" w:rsidRDefault="00E639E7" w:rsidP="00722C85">
      <w:pPr>
        <w:pStyle w:val="FootnoteText"/>
      </w:pPr>
      <w:r w:rsidRPr="00653A61">
        <w:rPr>
          <w:rStyle w:val="FootnoteReference"/>
          <w:sz w:val="16"/>
          <w:szCs w:val="16"/>
        </w:rPr>
        <w:footnoteRef/>
      </w:r>
      <w:r>
        <w:t xml:space="preserve"> Relatively few specialty CFLs were purchased through the program in PY7, so the evaluation team did not attempt to obtain statistically significant results for this stratum. Therefore, specialty CFLs and standard CFLs were combined into a single stratum for PY7. For more information regarding sample design, please refer to the memo titled, “PECO SHR Residential Lighting Survey Retail Store Sampling Approach,” March 2, 2016.</w:t>
      </w:r>
    </w:p>
  </w:footnote>
  <w:footnote w:id="14">
    <w:p w:rsidR="00E639E7" w:rsidRDefault="00E639E7" w:rsidP="00722C85">
      <w:pPr>
        <w:pStyle w:val="FootnoteText"/>
      </w:pPr>
      <w:r w:rsidRPr="00451FB1">
        <w:rPr>
          <w:rStyle w:val="FootnoteReference"/>
          <w:sz w:val="16"/>
          <w:szCs w:val="16"/>
        </w:rPr>
        <w:footnoteRef/>
      </w:r>
      <w:r w:rsidRPr="00451FB1">
        <w:rPr>
          <w:szCs w:val="16"/>
        </w:rPr>
        <w:t xml:space="preserve"> </w:t>
      </w:r>
      <w:r>
        <w:t xml:space="preserve">Phil </w:t>
      </w:r>
      <w:proofErr w:type="spellStart"/>
      <w:r>
        <w:t>Degens</w:t>
      </w:r>
      <w:proofErr w:type="spellEnd"/>
      <w:r>
        <w:t xml:space="preserve"> and Sarah Castor, Energy Trust of Oregon,</w:t>
      </w:r>
      <w:r w:rsidRPr="008E5423">
        <w:t xml:space="preserve"> </w:t>
      </w:r>
      <w:r w:rsidRPr="003C7D2F">
        <w:rPr>
          <w:i/>
        </w:rPr>
        <w:t>Energy Trust Free Ridership Methodology</w:t>
      </w:r>
      <w:r>
        <w:t>, August 2013.</w:t>
      </w:r>
    </w:p>
  </w:footnote>
  <w:footnote w:id="15">
    <w:p w:rsidR="00E639E7" w:rsidRPr="000F3134" w:rsidRDefault="00E639E7" w:rsidP="00722C85">
      <w:pPr>
        <w:pStyle w:val="FootnoteText"/>
      </w:pPr>
      <w:r w:rsidRPr="00661BFE">
        <w:rPr>
          <w:rStyle w:val="FootnoteReference"/>
          <w:sz w:val="16"/>
          <w:szCs w:val="16"/>
        </w:rPr>
        <w:footnoteRef/>
      </w:r>
      <w:r w:rsidRPr="000B2FE3">
        <w:rPr>
          <w:color w:val="1F497D" w:themeColor="text2"/>
        </w:rPr>
        <w:t xml:space="preserve"> </w:t>
      </w:r>
      <w:r>
        <w:t>The average sales</w:t>
      </w:r>
      <w:r w:rsidRPr="000F3134">
        <w:t xml:space="preserve"> across all installers interviewed for technologies that met the requirements for high efficiency</w:t>
      </w:r>
      <w:r>
        <w:t xml:space="preserve"> is 45%.</w:t>
      </w:r>
    </w:p>
  </w:footnote>
  <w:footnote w:id="16">
    <w:p w:rsidR="00E639E7" w:rsidRPr="000F3134" w:rsidRDefault="00E639E7" w:rsidP="00722C85">
      <w:pPr>
        <w:pStyle w:val="FootnoteText"/>
      </w:pPr>
      <w:r w:rsidRPr="00661BFE">
        <w:rPr>
          <w:rStyle w:val="FootnoteReference"/>
          <w:sz w:val="16"/>
          <w:szCs w:val="16"/>
        </w:rPr>
        <w:footnoteRef/>
      </w:r>
      <w:r w:rsidRPr="00661BFE">
        <w:rPr>
          <w:rStyle w:val="FootnoteReference"/>
          <w:sz w:val="16"/>
          <w:szCs w:val="16"/>
        </w:rPr>
        <w:t xml:space="preserve"> </w:t>
      </w:r>
      <w:r w:rsidRPr="000F3134">
        <w:t xml:space="preserve">HVAC </w:t>
      </w:r>
      <w:r>
        <w:t>i</w:t>
      </w:r>
      <w:r w:rsidRPr="000F3134">
        <w:t>nstaller interview counts: for PY7</w:t>
      </w:r>
      <w:r>
        <w:t>,</w:t>
      </w:r>
      <w:r w:rsidRPr="000F3134">
        <w:t xml:space="preserve"> n=11; for PY6</w:t>
      </w:r>
      <w:r>
        <w:t>,</w:t>
      </w:r>
      <w:r w:rsidRPr="000F3134">
        <w:t xml:space="preserve"> n=12.</w:t>
      </w:r>
    </w:p>
  </w:footnote>
  <w:footnote w:id="17">
    <w:p w:rsidR="00E639E7" w:rsidRDefault="00E639E7">
      <w:pPr>
        <w:pStyle w:val="FootnoteText"/>
      </w:pPr>
      <w:r w:rsidRPr="00961984">
        <w:rPr>
          <w:rStyle w:val="FootnoteReference"/>
          <w:sz w:val="16"/>
          <w:szCs w:val="16"/>
        </w:rPr>
        <w:footnoteRef/>
      </w:r>
      <w:r w:rsidRPr="00961984">
        <w:rPr>
          <w:sz w:val="14"/>
          <w:vertAlign w:val="superscript"/>
        </w:rPr>
        <w:t xml:space="preserve"> </w:t>
      </w:r>
      <w:r>
        <w:t>The evaluation team conducted participant phone interviews in April and May 2016 with 130 program participants, including 52 assessment participants, 47 audit participants who had not installed major measures at the time of the survey, and 31 audit participants who had installed major measures at the time of the survey.</w:t>
      </w:r>
    </w:p>
  </w:footnote>
  <w:footnote w:id="18">
    <w:p w:rsidR="00E639E7" w:rsidRDefault="00E639E7">
      <w:pPr>
        <w:pStyle w:val="FootnoteText"/>
      </w:pPr>
      <w:r w:rsidRPr="00BC406C">
        <w:rPr>
          <w:rStyle w:val="FootnoteReference"/>
          <w:sz w:val="16"/>
          <w:szCs w:val="16"/>
        </w:rPr>
        <w:footnoteRef/>
      </w:r>
      <w:r>
        <w:t xml:space="preserve"> Three of the customers who removed LEDs did not specify how many they removed so the evaluation team assumed half the </w:t>
      </w:r>
      <w:proofErr w:type="gramStart"/>
      <w:r>
        <w:t>number of bulbs installed were</w:t>
      </w:r>
      <w:proofErr w:type="gramEnd"/>
      <w:r>
        <w:t xml:space="preserve"> removed. </w:t>
      </w:r>
    </w:p>
  </w:footnote>
  <w:footnote w:id="19">
    <w:p w:rsidR="00E639E7" w:rsidRDefault="00E639E7" w:rsidP="00751A38">
      <w:pPr>
        <w:pStyle w:val="FootnoteText"/>
      </w:pPr>
      <w:r w:rsidRPr="004F4B5C">
        <w:rPr>
          <w:rStyle w:val="FootnoteReference"/>
          <w:sz w:val="16"/>
          <w:szCs w:val="16"/>
        </w:rPr>
        <w:footnoteRef/>
      </w:r>
      <w:r w:rsidRPr="004F4B5C">
        <w:rPr>
          <w:szCs w:val="16"/>
        </w:rPr>
        <w:t xml:space="preserve"> </w:t>
      </w:r>
      <w:r>
        <w:rPr>
          <w:snapToGrid w:val="0"/>
        </w:rPr>
        <w:t>In any case where the prior bulb wattage is registered as zero in the tracking data, then the change in wattage—calculated as prior wattage minus installed wattage—returns a negative value.</w:t>
      </w:r>
    </w:p>
  </w:footnote>
  <w:footnote w:id="20">
    <w:p w:rsidR="00E639E7" w:rsidRDefault="00E639E7">
      <w:pPr>
        <w:pStyle w:val="FootnoteText"/>
      </w:pPr>
      <w:r w:rsidRPr="004F4B5C">
        <w:rPr>
          <w:rStyle w:val="FootnoteReference"/>
          <w:sz w:val="16"/>
          <w:szCs w:val="16"/>
        </w:rPr>
        <w:footnoteRef/>
      </w:r>
      <w:r w:rsidRPr="004F4B5C">
        <w:rPr>
          <w:szCs w:val="16"/>
        </w:rPr>
        <w:t xml:space="preserve"> </w:t>
      </w:r>
      <w:r>
        <w:t xml:space="preserve">Phil </w:t>
      </w:r>
      <w:proofErr w:type="spellStart"/>
      <w:r>
        <w:t>Degens</w:t>
      </w:r>
      <w:proofErr w:type="spellEnd"/>
      <w:r>
        <w:t xml:space="preserve"> and Sarah Castor, “</w:t>
      </w:r>
      <w:r w:rsidRPr="004F4B5C">
        <w:t>Energy Trust Free Ridership Methodology</w:t>
      </w:r>
      <w:r>
        <w:t>,” Energy Trust of Oregon.</w:t>
      </w:r>
      <w:r w:rsidRPr="004F4B5C">
        <w:t xml:space="preserve"> </w:t>
      </w:r>
      <w:r>
        <w:t>August 7, 2013.</w:t>
      </w:r>
    </w:p>
  </w:footnote>
  <w:footnote w:id="21">
    <w:p w:rsidR="00E639E7" w:rsidRPr="000D1170" w:rsidRDefault="00E639E7" w:rsidP="00751A38">
      <w:pPr>
        <w:pStyle w:val="FootnoteText"/>
      </w:pPr>
      <w:r w:rsidRPr="00664294">
        <w:rPr>
          <w:rStyle w:val="FootnoteReference"/>
          <w:sz w:val="16"/>
          <w:szCs w:val="16"/>
        </w:rPr>
        <w:footnoteRef/>
      </w:r>
      <w:r w:rsidRPr="00664294">
        <w:rPr>
          <w:szCs w:val="16"/>
        </w:rPr>
        <w:t xml:space="preserve"> </w:t>
      </w:r>
      <w:r w:rsidRPr="000D1170">
        <w:t xml:space="preserve">The </w:t>
      </w:r>
      <w:r>
        <w:t xml:space="preserve">evaluation team carried the </w:t>
      </w:r>
      <w:r w:rsidRPr="000D1170">
        <w:t xml:space="preserve">free ridership score calculated in PY5 </w:t>
      </w:r>
      <w:r>
        <w:t xml:space="preserve">forward </w:t>
      </w:r>
      <w:r w:rsidRPr="000D1170">
        <w:t>to PY6.</w:t>
      </w:r>
    </w:p>
  </w:footnote>
  <w:footnote w:id="22">
    <w:p w:rsidR="00E639E7" w:rsidRDefault="00E639E7">
      <w:pPr>
        <w:pStyle w:val="FootnoteText"/>
      </w:pPr>
      <w:r w:rsidRPr="003E669B">
        <w:rPr>
          <w:rStyle w:val="FootnoteReference"/>
          <w:sz w:val="16"/>
          <w:szCs w:val="16"/>
        </w:rPr>
        <w:footnoteRef/>
      </w:r>
      <w:r w:rsidRPr="003E669B">
        <w:rPr>
          <w:szCs w:val="16"/>
        </w:rPr>
        <w:t xml:space="preserve"> </w:t>
      </w:r>
      <w:r>
        <w:t>The SAR tracking data makes no distinction between low-income participants and other residential participants.</w:t>
      </w:r>
    </w:p>
  </w:footnote>
  <w:footnote w:id="23">
    <w:p w:rsidR="00E639E7" w:rsidRDefault="00E639E7" w:rsidP="00751A38">
      <w:pPr>
        <w:pStyle w:val="FootnoteText"/>
      </w:pPr>
      <w:r w:rsidRPr="003E669B">
        <w:rPr>
          <w:rStyle w:val="FootnoteReference"/>
          <w:sz w:val="16"/>
          <w:szCs w:val="16"/>
        </w:rPr>
        <w:footnoteRef/>
      </w:r>
      <w:r>
        <w:t xml:space="preserve"> These are the default UEC values provided in Tables 2 and 3 of Section 2.4.3 of the 2015 TRM and then multiplied by the default part-use factors</w:t>
      </w:r>
      <w:r>
        <w:br/>
        <w:t xml:space="preserve"> in Table 1.</w:t>
      </w:r>
    </w:p>
  </w:footnote>
  <w:footnote w:id="24">
    <w:p w:rsidR="00E639E7" w:rsidRDefault="00E639E7">
      <w:pPr>
        <w:pStyle w:val="FootnoteText"/>
      </w:pPr>
      <w:r w:rsidRPr="003E669B">
        <w:rPr>
          <w:rStyle w:val="FootnoteReference"/>
          <w:sz w:val="16"/>
          <w:szCs w:val="16"/>
        </w:rPr>
        <w:footnoteRef/>
      </w:r>
      <w:r w:rsidRPr="003E669B">
        <w:rPr>
          <w:szCs w:val="16"/>
        </w:rPr>
        <w:t xml:space="preserve"> </w:t>
      </w:r>
      <w:r>
        <w:t>For many types of energy efficiency programs a realization rate is estimated first and then applied to a whole program to calculate verified savings. For appliance recycling the evaluation team verifies most of the programs units and then calculates a realization rate. The realization rate is only used estimate verified savings for the nonresidential units (2%).</w:t>
      </w:r>
    </w:p>
  </w:footnote>
  <w:footnote w:id="25">
    <w:p w:rsidR="00E639E7" w:rsidRDefault="00E639E7">
      <w:pPr>
        <w:pStyle w:val="FootnoteText"/>
      </w:pPr>
      <w:r w:rsidRPr="00BF79DE">
        <w:rPr>
          <w:rStyle w:val="FootnoteReference"/>
          <w:sz w:val="16"/>
          <w:szCs w:val="16"/>
        </w:rPr>
        <w:footnoteRef/>
      </w:r>
      <w:r>
        <w:t xml:space="preserve"> Apex Analytics and Research Into Action, Memorandum to Pennsylvania Program Evaluation Group, “</w:t>
      </w:r>
      <w:r w:rsidRPr="00BF79DE">
        <w:t>Common Approach for Measuring Net Savings for Appliance Retirement Programs</w:t>
      </w:r>
      <w:r>
        <w:t>,” March 14, 2014.</w:t>
      </w:r>
    </w:p>
  </w:footnote>
  <w:footnote w:id="26">
    <w:p w:rsidR="00E639E7" w:rsidRPr="00F312D2" w:rsidRDefault="00E639E7" w:rsidP="00751A38">
      <w:pPr>
        <w:pStyle w:val="FootnoteText"/>
      </w:pPr>
      <w:r w:rsidRPr="00903866">
        <w:rPr>
          <w:rStyle w:val="FootnoteReference"/>
          <w:sz w:val="16"/>
          <w:szCs w:val="16"/>
        </w:rPr>
        <w:footnoteRef/>
      </w:r>
      <w:r>
        <w:t xml:space="preserve"> National Renewable Energy Laboratory, </w:t>
      </w:r>
      <w:r>
        <w:rPr>
          <w:i/>
        </w:rPr>
        <w:t>Unified Methods Protocol, “</w:t>
      </w:r>
      <w:r w:rsidRPr="00903866">
        <w:t>Chapter 7: Refrigerator Recycling Evaluation Protocol</w:t>
      </w:r>
      <w:r>
        <w:t>,” April 2013.</w:t>
      </w:r>
    </w:p>
  </w:footnote>
  <w:footnote w:id="27">
    <w:p w:rsidR="00E639E7" w:rsidRPr="00576C43" w:rsidRDefault="00E639E7">
      <w:pPr>
        <w:pStyle w:val="FootnoteText"/>
        <w:rPr>
          <w:szCs w:val="16"/>
        </w:rPr>
      </w:pPr>
      <w:r w:rsidRPr="00576C43">
        <w:rPr>
          <w:rStyle w:val="FootnoteReference"/>
          <w:sz w:val="16"/>
          <w:szCs w:val="16"/>
        </w:rPr>
        <w:footnoteRef/>
      </w:r>
      <w:r w:rsidRPr="00576C43">
        <w:rPr>
          <w:szCs w:val="16"/>
        </w:rPr>
        <w:t xml:space="preserve"> The Pennsylvania Public Utility Commission, “Act 129 EE&amp;C Phase II Implementation Order,” August 3, 2012.</w:t>
      </w:r>
    </w:p>
  </w:footnote>
  <w:footnote w:id="28">
    <w:p w:rsidR="00E639E7" w:rsidRPr="00BF0846" w:rsidRDefault="00E639E7" w:rsidP="00811E5F">
      <w:pPr>
        <w:pStyle w:val="FootnoteText"/>
        <w:rPr>
          <w:sz w:val="18"/>
        </w:rPr>
      </w:pPr>
      <w:r w:rsidRPr="00576C43">
        <w:rPr>
          <w:rStyle w:val="FootnoteReference"/>
          <w:rFonts w:eastAsiaTheme="majorEastAsia"/>
          <w:sz w:val="16"/>
          <w:szCs w:val="16"/>
        </w:rPr>
        <w:footnoteRef/>
      </w:r>
      <w:r w:rsidRPr="00576C43">
        <w:rPr>
          <w:szCs w:val="16"/>
        </w:rPr>
        <w:t xml:space="preserve"> PECO defines high usage as greater than or equal to 14,000 kWh per household per year.</w:t>
      </w:r>
    </w:p>
  </w:footnote>
  <w:footnote w:id="29">
    <w:p w:rsidR="00E639E7" w:rsidRPr="00576C43" w:rsidRDefault="00E639E7" w:rsidP="00811E5F">
      <w:pPr>
        <w:pStyle w:val="FootnoteText"/>
        <w:spacing w:after="60"/>
        <w:jc w:val="left"/>
        <w:rPr>
          <w:szCs w:val="16"/>
        </w:rPr>
      </w:pPr>
      <w:r w:rsidRPr="00576C43">
        <w:rPr>
          <w:rStyle w:val="FootnoteReference"/>
          <w:sz w:val="16"/>
          <w:szCs w:val="16"/>
        </w:rPr>
        <w:footnoteRef/>
      </w:r>
      <w:r w:rsidRPr="00576C43">
        <w:rPr>
          <w:szCs w:val="16"/>
        </w:rPr>
        <w:t xml:space="preserve"> For the SUP program, PECO defines low-income customers as those who receive discounted rates via the PECO Community Assistance Program (CAP). For CAP eligibility requirements, see the PECO website at: www.peco.com/CustomerService/AssistancePrograms/CAP/Pages/default.aspx</w:t>
      </w:r>
      <w:r w:rsidRPr="00576C43">
        <w:rPr>
          <w:rStyle w:val="Hyperlink"/>
          <w:szCs w:val="16"/>
        </w:rPr>
        <w:t>.</w:t>
      </w:r>
      <w:r w:rsidRPr="00576C43">
        <w:rPr>
          <w:szCs w:val="16"/>
        </w:rPr>
        <w:t xml:space="preserve"> </w:t>
      </w:r>
    </w:p>
  </w:footnote>
  <w:footnote w:id="30">
    <w:p w:rsidR="00E639E7" w:rsidRPr="00576C43" w:rsidRDefault="00E639E7" w:rsidP="00811E5F">
      <w:pPr>
        <w:pStyle w:val="FootnoteText"/>
        <w:spacing w:after="60"/>
        <w:jc w:val="left"/>
        <w:rPr>
          <w:szCs w:val="16"/>
        </w:rPr>
      </w:pPr>
      <w:r w:rsidRPr="00576C43">
        <w:rPr>
          <w:rStyle w:val="FootnoteReference"/>
          <w:sz w:val="16"/>
          <w:szCs w:val="16"/>
        </w:rPr>
        <w:footnoteRef/>
      </w:r>
      <w:r w:rsidRPr="00576C43">
        <w:rPr>
          <w:szCs w:val="16"/>
        </w:rPr>
        <w:t xml:space="preserve"> The web portal is available to all PECO customers regardless of their enrollment in the SUP program. PECO does not have specific goals relating to customer engagement with the web portal.</w:t>
      </w:r>
    </w:p>
  </w:footnote>
  <w:footnote w:id="31">
    <w:p w:rsidR="00E639E7" w:rsidRPr="00BF0846" w:rsidRDefault="00E639E7" w:rsidP="00811E5F">
      <w:pPr>
        <w:pStyle w:val="FootnoteText"/>
        <w:spacing w:after="60"/>
        <w:jc w:val="left"/>
        <w:rPr>
          <w:sz w:val="18"/>
        </w:rPr>
      </w:pPr>
      <w:r w:rsidRPr="00576C43">
        <w:rPr>
          <w:rStyle w:val="FootnoteReference"/>
          <w:rFonts w:eastAsiaTheme="majorEastAsia"/>
          <w:sz w:val="16"/>
          <w:szCs w:val="16"/>
        </w:rPr>
        <w:footnoteRef/>
      </w:r>
      <w:r w:rsidRPr="00576C43">
        <w:rPr>
          <w:szCs w:val="16"/>
        </w:rPr>
        <w:t xml:space="preserve"> State and Local Energy Efficiency Action Network, </w:t>
      </w:r>
      <w:r w:rsidRPr="00576C43">
        <w:rPr>
          <w:i/>
          <w:szCs w:val="16"/>
        </w:rPr>
        <w:t xml:space="preserve">Evaluation, Measurement and Verification (EM&amp;V) of Residential Behavior-Based Energy Efficiency Programs: Issues and </w:t>
      </w:r>
      <w:proofErr w:type="gramStart"/>
      <w:r w:rsidRPr="00576C43">
        <w:rPr>
          <w:i/>
          <w:szCs w:val="16"/>
        </w:rPr>
        <w:t>Recommendations</w:t>
      </w:r>
      <w:r w:rsidRPr="00576C43">
        <w:rPr>
          <w:szCs w:val="16"/>
        </w:rPr>
        <w:t>,</w:t>
      </w:r>
      <w:proofErr w:type="gramEnd"/>
      <w:r w:rsidRPr="00576C43">
        <w:rPr>
          <w:szCs w:val="16"/>
        </w:rPr>
        <w:t xml:space="preserve"> May 2012.</w:t>
      </w:r>
      <w:r w:rsidRPr="00BF0846">
        <w:rPr>
          <w:sz w:val="18"/>
        </w:rPr>
        <w:t xml:space="preserve"> </w:t>
      </w:r>
    </w:p>
  </w:footnote>
  <w:footnote w:id="32">
    <w:p w:rsidR="00E639E7" w:rsidRPr="00576C43" w:rsidRDefault="00E639E7" w:rsidP="00811E5F">
      <w:pPr>
        <w:pStyle w:val="FootnoteText"/>
        <w:rPr>
          <w:szCs w:val="16"/>
        </w:rPr>
      </w:pPr>
      <w:r w:rsidRPr="00576C43">
        <w:rPr>
          <w:rStyle w:val="FootnoteReference"/>
          <w:sz w:val="16"/>
          <w:szCs w:val="16"/>
        </w:rPr>
        <w:footnoteRef/>
      </w:r>
      <w:r w:rsidRPr="00576C43">
        <w:rPr>
          <w:szCs w:val="16"/>
        </w:rPr>
        <w:t xml:space="preserve"> This equation corresponds to Formula 1.1 in Appendix C of </w:t>
      </w:r>
      <w:r w:rsidRPr="00576C43">
        <w:rPr>
          <w:i/>
          <w:szCs w:val="16"/>
        </w:rPr>
        <w:t>Evaluation, Measurement, and Verification (EM&amp;V) of Residential Behavior-Based Energy Efficiency Programs: Issues and Recommendations</w:t>
      </w:r>
      <w:r w:rsidRPr="00576C43">
        <w:rPr>
          <w:szCs w:val="16"/>
        </w:rPr>
        <w:t>, published by the State and Local Energy Efficiency Action Network in May 2012.</w:t>
      </w:r>
    </w:p>
  </w:footnote>
  <w:footnote w:id="33">
    <w:p w:rsidR="00E639E7" w:rsidRPr="00576C43" w:rsidRDefault="00E639E7" w:rsidP="00811E5F">
      <w:pPr>
        <w:pStyle w:val="FootnoteText"/>
        <w:rPr>
          <w:szCs w:val="16"/>
        </w:rPr>
      </w:pPr>
      <w:r w:rsidRPr="00576C43">
        <w:rPr>
          <w:rStyle w:val="FootnoteReference"/>
          <w:sz w:val="16"/>
          <w:szCs w:val="16"/>
        </w:rPr>
        <w:footnoteRef/>
      </w:r>
      <w:r w:rsidRPr="00576C43">
        <w:rPr>
          <w:szCs w:val="16"/>
        </w:rPr>
        <w:t xml:space="preserve"> The Statewide Evaluation Team, “Evaluation Framework: For Pennsylvania Act 129 Phase II Energy Efficiency and Conservation Programs,” June 30, 2013.</w:t>
      </w:r>
    </w:p>
  </w:footnote>
  <w:footnote w:id="34">
    <w:p w:rsidR="00E639E7" w:rsidRPr="005B6FCA" w:rsidRDefault="00E639E7" w:rsidP="00811E5F">
      <w:pPr>
        <w:pStyle w:val="FootnoteText"/>
        <w:rPr>
          <w:sz w:val="18"/>
        </w:rPr>
      </w:pPr>
      <w:r w:rsidRPr="00576C43">
        <w:rPr>
          <w:rStyle w:val="FootnoteReference"/>
          <w:sz w:val="16"/>
          <w:szCs w:val="16"/>
        </w:rPr>
        <w:footnoteRef/>
      </w:r>
      <w:r w:rsidRPr="00576C43">
        <w:rPr>
          <w:szCs w:val="16"/>
        </w:rPr>
        <w:t xml:space="preserve"> The </w:t>
      </w:r>
      <w:r>
        <w:rPr>
          <w:szCs w:val="16"/>
        </w:rPr>
        <w:t>State and Local Energy Efficiency (</w:t>
      </w:r>
      <w:r w:rsidRPr="00576C43">
        <w:rPr>
          <w:szCs w:val="16"/>
        </w:rPr>
        <w:t>SEE</w:t>
      </w:r>
      <w:r>
        <w:rPr>
          <w:szCs w:val="16"/>
        </w:rPr>
        <w:t>)</w:t>
      </w:r>
      <w:r w:rsidRPr="00576C43">
        <w:rPr>
          <w:szCs w:val="16"/>
        </w:rPr>
        <w:t xml:space="preserve"> Action protocol refers to this estimate of average savings as the intent to treat estimate.</w:t>
      </w:r>
    </w:p>
  </w:footnote>
  <w:footnote w:id="35">
    <w:p w:rsidR="00E639E7" w:rsidRPr="00576C43" w:rsidRDefault="00E639E7" w:rsidP="00811E5F">
      <w:pPr>
        <w:pStyle w:val="FootnoteText"/>
        <w:spacing w:after="60"/>
        <w:rPr>
          <w:szCs w:val="16"/>
        </w:rPr>
      </w:pPr>
      <w:r w:rsidRPr="00576C43">
        <w:rPr>
          <w:rStyle w:val="FootnoteReference"/>
          <w:rFonts w:eastAsiaTheme="majorEastAsia"/>
          <w:sz w:val="16"/>
          <w:szCs w:val="16"/>
        </w:rPr>
        <w:footnoteRef/>
      </w:r>
      <w:r w:rsidRPr="00576C43">
        <w:rPr>
          <w:szCs w:val="16"/>
        </w:rPr>
        <w:t xml:space="preserve"> The program assumes that students that attend schools within PECO territory are PECO customers. </w:t>
      </w:r>
    </w:p>
  </w:footnote>
  <w:footnote w:id="36">
    <w:p w:rsidR="00E639E7" w:rsidRPr="00576C43" w:rsidRDefault="00E639E7" w:rsidP="00811E5F">
      <w:pPr>
        <w:pStyle w:val="FootnoteText"/>
        <w:spacing w:after="60"/>
        <w:rPr>
          <w:szCs w:val="16"/>
        </w:rPr>
      </w:pPr>
      <w:r w:rsidRPr="00576C43">
        <w:rPr>
          <w:rStyle w:val="FootnoteReference"/>
          <w:rFonts w:eastAsiaTheme="majorEastAsia"/>
          <w:sz w:val="16"/>
          <w:szCs w:val="16"/>
        </w:rPr>
        <w:footnoteRef/>
      </w:r>
      <w:r w:rsidRPr="00576C43">
        <w:rPr>
          <w:szCs w:val="16"/>
        </w:rPr>
        <w:t xml:space="preserve"> Curriculum aligns with Pennsylvania’s Core Standards, as outlined at http://www.pdesas.org/Standard/PACore. </w:t>
      </w:r>
    </w:p>
  </w:footnote>
  <w:footnote w:id="37">
    <w:p w:rsidR="00E639E7" w:rsidRPr="009E1FFC" w:rsidRDefault="00E639E7" w:rsidP="00811E5F">
      <w:pPr>
        <w:pStyle w:val="FootnoteText"/>
        <w:spacing w:after="60"/>
        <w:rPr>
          <w:sz w:val="18"/>
        </w:rPr>
      </w:pPr>
      <w:r w:rsidRPr="00576C43">
        <w:rPr>
          <w:rStyle w:val="FootnoteReference"/>
          <w:sz w:val="16"/>
          <w:szCs w:val="16"/>
        </w:rPr>
        <w:footnoteRef/>
      </w:r>
      <w:r w:rsidRPr="00576C43">
        <w:rPr>
          <w:szCs w:val="16"/>
        </w:rPr>
        <w:t xml:space="preserve"> Navigant’s evaluation included analysis of a student installation survey as well as parent/guardian and teacher survey data from both full (SES) and slimmed down (PEEP) kit recipient households.</w:t>
      </w:r>
      <w:r w:rsidRPr="009E1FFC">
        <w:rPr>
          <w:sz w:val="18"/>
        </w:rPr>
        <w:t xml:space="preserve"> </w:t>
      </w:r>
    </w:p>
  </w:footnote>
  <w:footnote w:id="38">
    <w:p w:rsidR="00E639E7" w:rsidRDefault="00E639E7">
      <w:pPr>
        <w:pStyle w:val="FootnoteText"/>
      </w:pPr>
      <w:r w:rsidRPr="007D5015">
        <w:rPr>
          <w:rStyle w:val="FootnoteReference"/>
          <w:sz w:val="16"/>
          <w:szCs w:val="16"/>
        </w:rPr>
        <w:footnoteRef/>
      </w:r>
      <w:r w:rsidRPr="007D5015">
        <w:rPr>
          <w:szCs w:val="16"/>
        </w:rPr>
        <w:t xml:space="preserve"> </w:t>
      </w:r>
      <w:proofErr w:type="gramStart"/>
      <w:r>
        <w:t>Based on the PY6 implementer interview with RAP.</w:t>
      </w:r>
      <w:proofErr w:type="gramEnd"/>
    </w:p>
  </w:footnote>
  <w:footnote w:id="39">
    <w:p w:rsidR="00E639E7" w:rsidRDefault="00E639E7">
      <w:pPr>
        <w:pStyle w:val="FootnoteText"/>
      </w:pPr>
      <w:r w:rsidRPr="00576C43">
        <w:rPr>
          <w:rStyle w:val="FootnoteReference"/>
          <w:sz w:val="16"/>
          <w:szCs w:val="16"/>
        </w:rPr>
        <w:footnoteRef/>
      </w:r>
      <w:r>
        <w:t xml:space="preserve"> Navigant used the deemed in-service rate from the PA TRM to calculate savings for the CFL measures. All other measures used the student survey results to determine savings. </w:t>
      </w:r>
    </w:p>
  </w:footnote>
  <w:footnote w:id="40">
    <w:p w:rsidR="00E639E7" w:rsidRDefault="00E639E7">
      <w:pPr>
        <w:pStyle w:val="FootnoteText"/>
      </w:pPr>
      <w:r w:rsidRPr="00576C43">
        <w:rPr>
          <w:rStyle w:val="FootnoteReference"/>
          <w:sz w:val="16"/>
          <w:szCs w:val="16"/>
        </w:rPr>
        <w:footnoteRef/>
      </w:r>
      <w:r w:rsidRPr="00576C43">
        <w:rPr>
          <w:szCs w:val="16"/>
        </w:rPr>
        <w:t xml:space="preserve"> The inputs</w:t>
      </w:r>
      <w:r>
        <w:t xml:space="preserve"> for the reported savings calculations are based on the results of previous year evaluations.</w:t>
      </w:r>
    </w:p>
  </w:footnote>
  <w:footnote w:id="41">
    <w:p w:rsidR="00E639E7" w:rsidRDefault="00E639E7">
      <w:pPr>
        <w:pStyle w:val="FootnoteText"/>
      </w:pPr>
      <w:r w:rsidRPr="00875792">
        <w:rPr>
          <w:rStyle w:val="FootnoteReference"/>
          <w:sz w:val="16"/>
          <w:szCs w:val="16"/>
        </w:rPr>
        <w:footnoteRef/>
      </w:r>
      <w:r>
        <w:t xml:space="preserve"> For more information on ENERGY STAR certification, see </w:t>
      </w:r>
      <w:r w:rsidRPr="00012351">
        <w:t>https://www.energystar.gov/newhomes</w:t>
      </w:r>
      <w:r>
        <w:t>.</w:t>
      </w:r>
    </w:p>
  </w:footnote>
  <w:footnote w:id="42">
    <w:p w:rsidR="00E639E7" w:rsidRDefault="00E639E7">
      <w:pPr>
        <w:pStyle w:val="FootnoteText"/>
      </w:pPr>
      <w:r w:rsidRPr="00875792">
        <w:rPr>
          <w:rStyle w:val="FootnoteReference"/>
          <w:sz w:val="16"/>
          <w:szCs w:val="16"/>
        </w:rPr>
        <w:footnoteRef/>
      </w:r>
      <w:r>
        <w:t xml:space="preserve"> The evaluation team calculated savings using methods and inputs from the TRM version corresponding to the permit date of the home.</w:t>
      </w:r>
    </w:p>
  </w:footnote>
  <w:footnote w:id="43">
    <w:p w:rsidR="00E639E7" w:rsidRPr="002C4E2F" w:rsidRDefault="00E639E7">
      <w:pPr>
        <w:pStyle w:val="FootnoteText"/>
        <w:rPr>
          <w:szCs w:val="16"/>
        </w:rPr>
      </w:pPr>
      <w:r w:rsidRPr="002C4E2F">
        <w:rPr>
          <w:rStyle w:val="FootnoteReference"/>
          <w:sz w:val="16"/>
          <w:szCs w:val="16"/>
        </w:rPr>
        <w:footnoteRef/>
      </w:r>
      <w:r w:rsidRPr="002C4E2F">
        <w:rPr>
          <w:szCs w:val="16"/>
        </w:rPr>
        <w:t xml:space="preserve"> </w:t>
      </w:r>
      <w:r w:rsidRPr="00C81B26">
        <w:rPr>
          <w:szCs w:val="16"/>
        </w:rPr>
        <w:t xml:space="preserve">Jane Peters and Ryan Bliss, Research Into Action, </w:t>
      </w:r>
      <w:r w:rsidRPr="00C81B26">
        <w:rPr>
          <w:i/>
          <w:szCs w:val="16"/>
        </w:rPr>
        <w:t>Common Approach for Measuring Free Riders for Downstream Programs</w:t>
      </w:r>
      <w:r w:rsidRPr="00C81B26">
        <w:rPr>
          <w:szCs w:val="16"/>
        </w:rPr>
        <w:t>, October 4, 2013.</w:t>
      </w:r>
    </w:p>
  </w:footnote>
  <w:footnote w:id="44">
    <w:p w:rsidR="00E639E7" w:rsidRDefault="00E639E7">
      <w:pPr>
        <w:pStyle w:val="FootnoteText"/>
      </w:pPr>
      <w:r w:rsidRPr="00474215">
        <w:rPr>
          <w:rStyle w:val="FootnoteReference"/>
          <w:sz w:val="16"/>
          <w:szCs w:val="16"/>
        </w:rPr>
        <w:footnoteRef/>
      </w:r>
      <w:r>
        <w:t xml:space="preserve"> Target market definitions may be adjusted to align with program participation and results.</w:t>
      </w:r>
    </w:p>
  </w:footnote>
  <w:footnote w:id="45">
    <w:p w:rsidR="00E639E7" w:rsidRPr="006E1DA3" w:rsidRDefault="00E639E7" w:rsidP="005459F4">
      <w:pPr>
        <w:rPr>
          <w:sz w:val="16"/>
          <w:szCs w:val="16"/>
        </w:rPr>
      </w:pPr>
      <w:r w:rsidRPr="006E1DA3">
        <w:rPr>
          <w:rStyle w:val="FootnoteReference"/>
          <w:sz w:val="16"/>
          <w:szCs w:val="16"/>
        </w:rPr>
        <w:footnoteRef/>
      </w:r>
      <w:r w:rsidRPr="006E1DA3">
        <w:rPr>
          <w:sz w:val="16"/>
          <w:szCs w:val="16"/>
        </w:rPr>
        <w:t xml:space="preserve"> In previous program years, Navigant conducted onsite verification visits as part of the verification and due diligence process. Because PECO obtained a switch operability study from Comverge in October 2013, which is suitable for load research studies submitted to PJM for </w:t>
      </w:r>
      <w:r>
        <w:rPr>
          <w:sz w:val="16"/>
          <w:szCs w:val="16"/>
        </w:rPr>
        <w:t>5</w:t>
      </w:r>
      <w:r w:rsidRPr="006E1DA3">
        <w:rPr>
          <w:sz w:val="16"/>
          <w:szCs w:val="16"/>
        </w:rPr>
        <w:t xml:space="preserve"> years, the team did not conduct any onsite verification visits in PY7.</w:t>
      </w:r>
    </w:p>
  </w:footnote>
  <w:footnote w:id="46">
    <w:p w:rsidR="00E639E7" w:rsidRPr="00707B64" w:rsidRDefault="00E639E7" w:rsidP="005459F4">
      <w:pPr>
        <w:rPr>
          <w:sz w:val="16"/>
          <w:szCs w:val="16"/>
        </w:rPr>
      </w:pPr>
      <w:r w:rsidRPr="00707B64">
        <w:rPr>
          <w:rStyle w:val="FootnoteReference"/>
          <w:sz w:val="16"/>
          <w:szCs w:val="16"/>
        </w:rPr>
        <w:footnoteRef/>
      </w:r>
      <w:r w:rsidRPr="00707B64">
        <w:rPr>
          <w:sz w:val="16"/>
          <w:szCs w:val="16"/>
        </w:rPr>
        <w:t xml:space="preserve"> In previous program years, Navigant conducted onsite verification visits as part of the verification and due diligence process. Because PECO obtained a switch operability study from Comverge in October 2013, which is suitable for load research studies submitted to PJM for 5 years, the team did not conduct any onsite verification visits in PY7.</w:t>
      </w:r>
    </w:p>
  </w:footnote>
  <w:footnote w:id="47">
    <w:p w:rsidR="00E639E7" w:rsidRDefault="00E639E7" w:rsidP="00707B64">
      <w:pPr>
        <w:pStyle w:val="FootnoteText"/>
      </w:pPr>
      <w:r w:rsidRPr="009230B4">
        <w:rPr>
          <w:rStyle w:val="FootnoteReference"/>
          <w:sz w:val="16"/>
          <w:szCs w:val="16"/>
        </w:rPr>
        <w:footnoteRef/>
      </w:r>
      <w:r w:rsidRPr="00087E75">
        <w:t xml:space="preserve"> </w:t>
      </w:r>
      <w:r w:rsidRPr="009230B4">
        <w:rPr>
          <w:szCs w:val="16"/>
        </w:rPr>
        <w:t>Navigant designed the SEI C&amp;I sample with an assumed CV of 0.4 for large, 0.5 for medium, 0.7 for small, and 0.3 for municipal lighting projects</w:t>
      </w:r>
      <w:r>
        <w:rPr>
          <w:szCs w:val="16"/>
        </w:rPr>
        <w:t xml:space="preserve"> based on</w:t>
      </w:r>
      <w:r w:rsidRPr="009230B4">
        <w:rPr>
          <w:szCs w:val="16"/>
        </w:rPr>
        <w:t xml:space="preserve"> industry experience and actual CVs from PECO’s SEI C&amp;I PY6 and PY5 evaluations. </w:t>
      </w:r>
    </w:p>
  </w:footnote>
  <w:footnote w:id="48">
    <w:p w:rsidR="00E639E7" w:rsidRDefault="00E639E7" w:rsidP="00707B64"/>
  </w:footnote>
  <w:footnote w:id="49">
    <w:p w:rsidR="00E639E7" w:rsidRPr="00A6022C" w:rsidRDefault="00E639E7" w:rsidP="00707B64">
      <w:pPr>
        <w:pStyle w:val="FootnoteText"/>
      </w:pPr>
      <w:r w:rsidRPr="00F81128">
        <w:rPr>
          <w:rStyle w:val="FootnoteReference"/>
          <w:sz w:val="16"/>
          <w:szCs w:val="16"/>
        </w:rPr>
        <w:footnoteRef/>
      </w:r>
      <w:r w:rsidRPr="00F81128">
        <w:rPr>
          <w:szCs w:val="16"/>
        </w:rPr>
        <w:t xml:space="preserve"> Jane Peters and Ryan Bliss, Research Into Action Team, </w:t>
      </w:r>
      <w:r w:rsidRPr="00F81128">
        <w:rPr>
          <w:i/>
          <w:szCs w:val="16"/>
        </w:rPr>
        <w:t>Common Approach for Measuring Free Riders for Downstream Programs</w:t>
      </w:r>
      <w:r w:rsidRPr="00F81128">
        <w:rPr>
          <w:szCs w:val="16"/>
        </w:rPr>
        <w:t>, October 4, 2013.</w:t>
      </w:r>
    </w:p>
  </w:footnote>
  <w:footnote w:id="50">
    <w:p w:rsidR="00E639E7" w:rsidRPr="008D75EE" w:rsidRDefault="00E639E7" w:rsidP="00707B64">
      <w:pPr>
        <w:pStyle w:val="FootnoteText"/>
        <w:rPr>
          <w:szCs w:val="16"/>
        </w:rPr>
      </w:pPr>
      <w:r w:rsidRPr="008D75EE">
        <w:rPr>
          <w:rStyle w:val="FootnoteReference"/>
          <w:sz w:val="16"/>
          <w:szCs w:val="16"/>
        </w:rPr>
        <w:footnoteRef/>
      </w:r>
      <w:r w:rsidRPr="008D75EE">
        <w:rPr>
          <w:szCs w:val="16"/>
        </w:rPr>
        <w:t xml:space="preserve"> Navigant designed the SEI GNI sample with an assumed CV of 0.4 for large, 0.5 for medium, 0.7 for small, and 0.3 for municipal lighting projects </w:t>
      </w:r>
      <w:r>
        <w:rPr>
          <w:szCs w:val="16"/>
        </w:rPr>
        <w:t xml:space="preserve">based on </w:t>
      </w:r>
      <w:r w:rsidRPr="008D75EE">
        <w:rPr>
          <w:szCs w:val="16"/>
        </w:rPr>
        <w:t xml:space="preserve">industry experience and actual CVs from PECO’s SEI GNI PY6 and PY5 evaluations. </w:t>
      </w:r>
    </w:p>
  </w:footnote>
  <w:footnote w:id="51">
    <w:p w:rsidR="00E639E7" w:rsidRDefault="00E639E7"/>
  </w:footnote>
  <w:footnote w:id="52">
    <w:p w:rsidR="00E639E7" w:rsidRPr="00A6022C" w:rsidRDefault="00E639E7" w:rsidP="00707B64">
      <w:pPr>
        <w:pStyle w:val="FootnoteText"/>
      </w:pPr>
      <w:r w:rsidRPr="00B945B3">
        <w:rPr>
          <w:rStyle w:val="FootnoteReference"/>
          <w:sz w:val="16"/>
          <w:szCs w:val="16"/>
        </w:rPr>
        <w:footnoteRef/>
      </w:r>
      <w:r w:rsidRPr="00B945B3">
        <w:rPr>
          <w:szCs w:val="16"/>
        </w:rPr>
        <w:t xml:space="preserve"> Jane Peters and Ryan Bliss, Research Into Action Team, </w:t>
      </w:r>
      <w:r w:rsidRPr="00B945B3">
        <w:rPr>
          <w:i/>
          <w:szCs w:val="16"/>
        </w:rPr>
        <w:t>Common Approach for Measuring Free Riders for Downstream Programs</w:t>
      </w:r>
      <w:r w:rsidRPr="00B945B3">
        <w:rPr>
          <w:szCs w:val="16"/>
        </w:rPr>
        <w:t>, October 4, 2013.</w:t>
      </w:r>
    </w:p>
  </w:footnote>
  <w:footnote w:id="53">
    <w:p w:rsidR="00E639E7" w:rsidRDefault="00E639E7">
      <w:pPr>
        <w:pStyle w:val="FootnoteText"/>
      </w:pPr>
      <w:r w:rsidRPr="00255BBB">
        <w:rPr>
          <w:rStyle w:val="FootnoteReference"/>
          <w:sz w:val="16"/>
          <w:szCs w:val="16"/>
        </w:rPr>
        <w:footnoteRef/>
      </w:r>
      <w:r>
        <w:t xml:space="preserve"> A tenth onsite visit was completed in the residential sector; however, the participant had recently moved within the same property and the field team visited the new address, so the site had to be dropped from onsite analysis.</w:t>
      </w:r>
    </w:p>
  </w:footnote>
  <w:footnote w:id="54">
    <w:p w:rsidR="00E639E7" w:rsidRDefault="00E639E7">
      <w:pPr>
        <w:pStyle w:val="FootnoteText"/>
      </w:pPr>
      <w:r w:rsidRPr="008E4699">
        <w:rPr>
          <w:rStyle w:val="FootnoteReference"/>
          <w:sz w:val="16"/>
          <w:szCs w:val="16"/>
        </w:rPr>
        <w:footnoteRef/>
      </w:r>
      <w:r w:rsidRPr="008E4699">
        <w:rPr>
          <w:szCs w:val="16"/>
        </w:rPr>
        <w:t xml:space="preserve"> </w:t>
      </w:r>
      <w:r>
        <w:t xml:space="preserve">Issues with the CSP contract led to significant cost overruns in PY5 and PY6 as discussed in the PY5 and PY6 compliance reports. </w:t>
      </w:r>
    </w:p>
  </w:footnote>
  <w:footnote w:id="55">
    <w:p w:rsidR="00E639E7" w:rsidRDefault="00E639E7">
      <w:pPr>
        <w:pStyle w:val="FootnoteText"/>
      </w:pPr>
      <w:r w:rsidRPr="00B626C5">
        <w:rPr>
          <w:rStyle w:val="FootnoteReference"/>
          <w:sz w:val="16"/>
          <w:szCs w:val="16"/>
        </w:rPr>
        <w:footnoteRef/>
      </w:r>
      <w:r w:rsidRPr="00B626C5">
        <w:rPr>
          <w:szCs w:val="16"/>
        </w:rPr>
        <w:t xml:space="preserve"> PAH Associations, prepared by Paul Horowitz. </w:t>
      </w:r>
      <w:proofErr w:type="gramStart"/>
      <w:r w:rsidRPr="00B626C5">
        <w:rPr>
          <w:szCs w:val="16"/>
        </w:rPr>
        <w:t>Facilitated by the Northeast Energy Efficiency Partnerships.</w:t>
      </w:r>
      <w:proofErr w:type="gramEnd"/>
      <w:r w:rsidRPr="00B626C5">
        <w:rPr>
          <w:szCs w:val="16"/>
        </w:rPr>
        <w:t xml:space="preserve"> </w:t>
      </w:r>
      <w:proofErr w:type="gramStart"/>
      <w:r w:rsidRPr="00B626C5">
        <w:rPr>
          <w:szCs w:val="16"/>
        </w:rPr>
        <w:t>Glossary of Terms Version 1.0.</w:t>
      </w:r>
      <w:proofErr w:type="gramEnd"/>
      <w:r w:rsidRPr="00B626C5">
        <w:rPr>
          <w:szCs w:val="16"/>
        </w:rPr>
        <w:t xml:space="preserve"> </w:t>
      </w:r>
      <w:proofErr w:type="gramStart"/>
      <w:r w:rsidRPr="00B626C5">
        <w:rPr>
          <w:szCs w:val="16"/>
        </w:rPr>
        <w:t>A project of the Regional Evaluation, Measurement and Verification Forum.</w:t>
      </w:r>
      <w:proofErr w:type="gramEnd"/>
      <w:r w:rsidRPr="00B626C5">
        <w:rPr>
          <w:szCs w:val="16"/>
        </w:rPr>
        <w:t xml:space="preserve"> March 2009</w:t>
      </w:r>
      <w:r w:rsidRPr="00F023E5">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9E7" w:rsidRPr="007F2DA6" w:rsidRDefault="00E639E7" w:rsidP="00CA641F">
    <w:pPr>
      <w:pStyle w:val="Header"/>
      <w:pBdr>
        <w:bottom w:val="single" w:sz="4" w:space="1" w:color="auto"/>
      </w:pBdr>
      <w:rPr>
        <w:rFonts w:ascii="Century Gothic" w:hAnsi="Century Gothic"/>
        <w:sz w:val="16"/>
      </w:rPr>
    </w:pPr>
    <w:r>
      <w:rPr>
        <w:rFonts w:ascii="Century Gothic" w:hAnsi="Century Gothic"/>
        <w:b/>
        <w:smallCaps/>
        <w:sz w:val="17"/>
        <w:szCs w:val="17"/>
      </w:rPr>
      <w:t xml:space="preserve">EDC Annual Report to the PA PUC </w:t>
    </w:r>
    <w:r w:rsidRPr="00CA641F">
      <w:rPr>
        <w:rFonts w:ascii="Century Gothic" w:hAnsi="Century Gothic"/>
        <w:b/>
        <w:smallCaps/>
        <w:sz w:val="20"/>
        <w:szCs w:val="17"/>
      </w:rPr>
      <w:t>|</w:t>
    </w:r>
    <w:r>
      <w:rPr>
        <w:rFonts w:ascii="Century Gothic" w:hAnsi="Century Gothic"/>
        <w:b/>
        <w:smallCaps/>
        <w:sz w:val="17"/>
        <w:szCs w:val="17"/>
      </w:rPr>
      <w:t xml:space="preserve"> </w:t>
    </w:r>
    <w:r w:rsidRPr="00CA641F">
      <w:rPr>
        <w:rFonts w:ascii="Century Gothic" w:hAnsi="Century Gothic"/>
        <w:b/>
        <w:smallCaps/>
        <w:color w:val="448A99"/>
        <w:sz w:val="17"/>
        <w:szCs w:val="17"/>
      </w:rPr>
      <w:t>Program Year 6</w:t>
    </w:r>
    <w:r>
      <w:rPr>
        <w:rFonts w:ascii="Century Gothic" w:hAnsi="Century Gothic"/>
        <w:sz w:val="16"/>
      </w:rPr>
      <w:tab/>
    </w:r>
    <w:r>
      <w:rPr>
        <w:rFonts w:ascii="Century Gothic" w:hAnsi="Century Gothic"/>
        <w:sz w:val="16"/>
      </w:rPr>
      <w:tab/>
      <w:t>[insert date]</w:t>
    </w:r>
  </w:p>
  <w:p w:rsidR="00E639E7" w:rsidRDefault="00E639E7" w:rsidP="00CA64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9E7" w:rsidRPr="007F2DA6" w:rsidRDefault="00E639E7" w:rsidP="00CA641F">
    <w:pPr>
      <w:pStyle w:val="Header"/>
      <w:pBdr>
        <w:bottom w:val="single" w:sz="4" w:space="1" w:color="auto"/>
      </w:pBdr>
      <w:rPr>
        <w:rFonts w:ascii="Century Gothic" w:hAnsi="Century Gothic"/>
        <w:sz w:val="16"/>
      </w:rPr>
    </w:pPr>
    <w:r>
      <w:rPr>
        <w:rFonts w:ascii="Century Gothic" w:hAnsi="Century Gothic"/>
        <w:b/>
        <w:smallCaps/>
        <w:sz w:val="17"/>
        <w:szCs w:val="17"/>
      </w:rPr>
      <w:t xml:space="preserve">EDC Annual Report to the PA PUC </w:t>
    </w:r>
    <w:r w:rsidRPr="00CA641F">
      <w:rPr>
        <w:rFonts w:ascii="Century Gothic" w:hAnsi="Century Gothic"/>
        <w:b/>
        <w:smallCaps/>
        <w:sz w:val="20"/>
        <w:szCs w:val="17"/>
      </w:rPr>
      <w:t>|</w:t>
    </w:r>
    <w:r>
      <w:rPr>
        <w:rFonts w:ascii="Century Gothic" w:hAnsi="Century Gothic"/>
        <w:b/>
        <w:smallCaps/>
        <w:sz w:val="17"/>
        <w:szCs w:val="17"/>
      </w:rPr>
      <w:t xml:space="preserve"> </w:t>
    </w:r>
    <w:r w:rsidRPr="00CC2DBF">
      <w:rPr>
        <w:rFonts w:ascii="Century Gothic" w:hAnsi="Century Gothic"/>
        <w:b/>
        <w:color w:val="448A99"/>
        <w:sz w:val="17"/>
        <w:szCs w:val="17"/>
      </w:rPr>
      <w:t>Program Year 7</w:t>
    </w:r>
    <w:r>
      <w:rPr>
        <w:rFonts w:ascii="Century Gothic" w:hAnsi="Century Gothic"/>
        <w:b/>
        <w:color w:val="448A99"/>
        <w:sz w:val="17"/>
        <w:szCs w:val="17"/>
      </w:rPr>
      <w:tab/>
    </w:r>
    <w:r>
      <w:rPr>
        <w:rFonts w:ascii="Century Gothic" w:hAnsi="Century Gothic"/>
        <w:sz w:val="16"/>
      </w:rPr>
      <w:tab/>
      <w:t>November 15</w:t>
    </w:r>
    <w:r w:rsidRPr="000E2D00">
      <w:rPr>
        <w:rFonts w:ascii="Century Gothic" w:hAnsi="Century Gothic"/>
        <w:sz w:val="16"/>
      </w:rPr>
      <w:t>, 2016</w:t>
    </w:r>
  </w:p>
  <w:p w:rsidR="00E639E7" w:rsidRDefault="00E639E7" w:rsidP="00CA641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9E7" w:rsidRPr="00CA641F" w:rsidRDefault="00E639E7" w:rsidP="00CA641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9E7" w:rsidRPr="00CA641F" w:rsidRDefault="00E639E7" w:rsidP="00CA641F">
    <w:pPr>
      <w:pStyle w:val="Header"/>
      <w:pBdr>
        <w:bottom w:val="single" w:sz="4" w:space="1" w:color="auto"/>
      </w:pBdr>
      <w:rPr>
        <w:rFonts w:ascii="Century Gothic" w:hAnsi="Century Gothic"/>
        <w:sz w:val="16"/>
      </w:rPr>
    </w:pPr>
    <w:r>
      <w:rPr>
        <w:rFonts w:ascii="Century Gothic" w:hAnsi="Century Gothic"/>
        <w:b/>
        <w:smallCaps/>
        <w:sz w:val="17"/>
        <w:szCs w:val="17"/>
      </w:rPr>
      <w:t xml:space="preserve">EDC Annual Report to the PA PUC </w:t>
    </w:r>
    <w:r w:rsidRPr="00CA641F">
      <w:rPr>
        <w:rFonts w:ascii="Century Gothic" w:hAnsi="Century Gothic"/>
        <w:b/>
        <w:smallCaps/>
        <w:sz w:val="20"/>
        <w:szCs w:val="17"/>
      </w:rPr>
      <w:t>|</w:t>
    </w:r>
    <w:r>
      <w:rPr>
        <w:rFonts w:ascii="Century Gothic" w:hAnsi="Century Gothic"/>
        <w:b/>
        <w:smallCaps/>
        <w:sz w:val="17"/>
        <w:szCs w:val="17"/>
      </w:rPr>
      <w:t xml:space="preserve"> </w:t>
    </w:r>
    <w:r w:rsidRPr="00CC2DBF">
      <w:rPr>
        <w:rFonts w:ascii="Century Gothic" w:hAnsi="Century Gothic"/>
        <w:b/>
        <w:color w:val="448A99"/>
        <w:sz w:val="17"/>
        <w:szCs w:val="17"/>
      </w:rPr>
      <w:t>Program Year 7</w:t>
    </w:r>
    <w:r>
      <w:rPr>
        <w:rFonts w:ascii="Century Gothic" w:hAnsi="Century Gothic"/>
        <w:sz w:val="16"/>
      </w:rPr>
      <w:tab/>
    </w:r>
    <w:r>
      <w:rPr>
        <w:rFonts w:ascii="Century Gothic" w:hAnsi="Century Gothic"/>
        <w:sz w:val="16"/>
      </w:rPr>
      <w:tab/>
      <w:t>October 18, 2016</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9E7" w:rsidRPr="00CA641F" w:rsidRDefault="00E639E7" w:rsidP="00F94CBE">
    <w:pPr>
      <w:pStyle w:val="Header"/>
      <w:pBdr>
        <w:bottom w:val="single" w:sz="4" w:space="1" w:color="auto"/>
      </w:pBdr>
      <w:rPr>
        <w:rFonts w:ascii="Century Gothic" w:hAnsi="Century Gothic"/>
        <w:sz w:val="16"/>
      </w:rPr>
    </w:pPr>
    <w:r>
      <w:rPr>
        <w:rFonts w:ascii="Century Gothic" w:hAnsi="Century Gothic"/>
        <w:b/>
        <w:smallCaps/>
        <w:sz w:val="17"/>
        <w:szCs w:val="17"/>
      </w:rPr>
      <w:t xml:space="preserve">EDC Annual Report to the PA PUC </w:t>
    </w:r>
    <w:r w:rsidRPr="00CA641F">
      <w:rPr>
        <w:rFonts w:ascii="Century Gothic" w:hAnsi="Century Gothic"/>
        <w:b/>
        <w:smallCaps/>
        <w:sz w:val="20"/>
        <w:szCs w:val="17"/>
      </w:rPr>
      <w:t>|</w:t>
    </w:r>
    <w:r>
      <w:rPr>
        <w:rFonts w:ascii="Century Gothic" w:hAnsi="Century Gothic"/>
        <w:b/>
        <w:smallCaps/>
        <w:sz w:val="17"/>
        <w:szCs w:val="17"/>
      </w:rPr>
      <w:t xml:space="preserve"> </w:t>
    </w:r>
    <w:r w:rsidRPr="00CC2DBF">
      <w:rPr>
        <w:rFonts w:ascii="Century Gothic" w:hAnsi="Century Gothic"/>
        <w:b/>
        <w:color w:val="448A99"/>
        <w:sz w:val="17"/>
        <w:szCs w:val="17"/>
      </w:rPr>
      <w:t>Program Year 7</w:t>
    </w:r>
    <w:r>
      <w:rPr>
        <w:rFonts w:ascii="Century Gothic" w:hAnsi="Century Gothic"/>
        <w:sz w:val="16"/>
      </w:rPr>
      <w:tab/>
    </w:r>
    <w:r>
      <w:rPr>
        <w:rFonts w:ascii="Century Gothic" w:hAnsi="Century Gothic"/>
        <w:sz w:val="16"/>
      </w:rPr>
      <w:tab/>
      <w:t>November 15, 2016</w:t>
    </w:r>
  </w:p>
  <w:p w:rsidR="00E639E7" w:rsidRDefault="00E639E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9E7" w:rsidRPr="00CA641F" w:rsidRDefault="00E639E7" w:rsidP="00F94CBE">
    <w:pPr>
      <w:pStyle w:val="Header"/>
      <w:pBdr>
        <w:bottom w:val="single" w:sz="4" w:space="1" w:color="auto"/>
      </w:pBdr>
      <w:rPr>
        <w:rFonts w:ascii="Century Gothic" w:hAnsi="Century Gothic"/>
        <w:sz w:val="16"/>
      </w:rPr>
    </w:pPr>
    <w:r>
      <w:rPr>
        <w:rFonts w:ascii="Century Gothic" w:hAnsi="Century Gothic"/>
        <w:b/>
        <w:smallCaps/>
        <w:sz w:val="17"/>
        <w:szCs w:val="17"/>
      </w:rPr>
      <w:t xml:space="preserve">EDC Annual Report to the PA PUC </w:t>
    </w:r>
    <w:r w:rsidRPr="00CA641F">
      <w:rPr>
        <w:rFonts w:ascii="Century Gothic" w:hAnsi="Century Gothic"/>
        <w:b/>
        <w:smallCaps/>
        <w:sz w:val="20"/>
        <w:szCs w:val="17"/>
      </w:rPr>
      <w:t>|</w:t>
    </w:r>
    <w:r>
      <w:rPr>
        <w:rFonts w:ascii="Century Gothic" w:hAnsi="Century Gothic"/>
        <w:b/>
        <w:smallCaps/>
        <w:sz w:val="17"/>
        <w:szCs w:val="17"/>
      </w:rPr>
      <w:t xml:space="preserve"> </w:t>
    </w:r>
    <w:r w:rsidRPr="00CC2DBF">
      <w:rPr>
        <w:rFonts w:ascii="Century Gothic" w:hAnsi="Century Gothic"/>
        <w:b/>
        <w:color w:val="448A99"/>
        <w:sz w:val="17"/>
        <w:szCs w:val="17"/>
      </w:rPr>
      <w:t>Program Year 7</w:t>
    </w:r>
    <w:r>
      <w:rPr>
        <w:rFonts w:ascii="Century Gothic" w:hAnsi="Century Gothic"/>
        <w:sz w:val="16"/>
      </w:rPr>
      <w:tab/>
      <w:t>[insert date]</w:t>
    </w:r>
  </w:p>
  <w:p w:rsidR="00E639E7" w:rsidRDefault="00E639E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9E7" w:rsidRPr="00CA641F" w:rsidRDefault="00E639E7" w:rsidP="00CA641F">
    <w:pPr>
      <w:pStyle w:val="Header"/>
      <w:pBdr>
        <w:bottom w:val="single" w:sz="4" w:space="1" w:color="auto"/>
      </w:pBdr>
      <w:rPr>
        <w:rFonts w:ascii="Century Gothic" w:hAnsi="Century Gothic"/>
        <w:sz w:val="16"/>
      </w:rPr>
    </w:pPr>
    <w:r>
      <w:rPr>
        <w:rFonts w:ascii="Century Gothic" w:hAnsi="Century Gothic"/>
        <w:b/>
        <w:smallCaps/>
        <w:sz w:val="17"/>
        <w:szCs w:val="17"/>
      </w:rPr>
      <w:t xml:space="preserve">EDC Annual Report to the PA PUC </w:t>
    </w:r>
    <w:r w:rsidRPr="00CA641F">
      <w:rPr>
        <w:rFonts w:ascii="Century Gothic" w:hAnsi="Century Gothic"/>
        <w:b/>
        <w:smallCaps/>
        <w:sz w:val="20"/>
        <w:szCs w:val="17"/>
      </w:rPr>
      <w:t>|</w:t>
    </w:r>
    <w:r>
      <w:rPr>
        <w:rFonts w:ascii="Century Gothic" w:hAnsi="Century Gothic"/>
        <w:b/>
        <w:smallCaps/>
        <w:sz w:val="17"/>
        <w:szCs w:val="17"/>
      </w:rPr>
      <w:t xml:space="preserve"> </w:t>
    </w:r>
    <w:r w:rsidRPr="00CC2DBF">
      <w:rPr>
        <w:rFonts w:ascii="Century Gothic" w:hAnsi="Century Gothic"/>
        <w:b/>
        <w:color w:val="448A99"/>
        <w:sz w:val="17"/>
        <w:szCs w:val="17"/>
      </w:rPr>
      <w:t>Program Year 7</w:t>
    </w:r>
    <w:r w:rsidRPr="00CC2DBF">
      <w:rPr>
        <w:rFonts w:ascii="Century Gothic" w:hAnsi="Century Gothic"/>
        <w:sz w:val="16"/>
      </w:rPr>
      <w:tab/>
    </w:r>
    <w:r>
      <w:rPr>
        <w:rFonts w:ascii="Century Gothic" w:hAnsi="Century Gothic"/>
        <w:sz w:val="16"/>
      </w:rPr>
      <w:tab/>
      <w:t>October 18,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8A4329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6C35B1"/>
    <w:multiLevelType w:val="hybridMultilevel"/>
    <w:tmpl w:val="B0262DF8"/>
    <w:lvl w:ilvl="0" w:tplc="083EAD4C">
      <w:start w:val="1"/>
      <w:numFmt w:val="decimal"/>
      <w:lvlText w:val="%1."/>
      <w:lvlJc w:val="left"/>
      <w:pPr>
        <w:ind w:left="2890" w:hanging="360"/>
      </w:pPr>
      <w:rPr>
        <w:b/>
      </w:rPr>
    </w:lvl>
    <w:lvl w:ilvl="1" w:tplc="3F087B7C">
      <w:start w:val="1"/>
      <w:numFmt w:val="lowerLetter"/>
      <w:lvlText w:val="%2."/>
      <w:lvlJc w:val="left"/>
      <w:pPr>
        <w:ind w:left="2886" w:hanging="360"/>
      </w:pPr>
      <w:rPr>
        <w:b/>
      </w:rPr>
    </w:lvl>
    <w:lvl w:ilvl="2" w:tplc="0409001B">
      <w:start w:val="1"/>
      <w:numFmt w:val="lowerRoman"/>
      <w:lvlText w:val="%3."/>
      <w:lvlJc w:val="right"/>
      <w:pPr>
        <w:ind w:left="3606" w:hanging="180"/>
      </w:pPr>
    </w:lvl>
    <w:lvl w:ilvl="3" w:tplc="0409000F" w:tentative="1">
      <w:start w:val="1"/>
      <w:numFmt w:val="decimal"/>
      <w:lvlText w:val="%4."/>
      <w:lvlJc w:val="left"/>
      <w:pPr>
        <w:ind w:left="4326" w:hanging="360"/>
      </w:pPr>
    </w:lvl>
    <w:lvl w:ilvl="4" w:tplc="04090019" w:tentative="1">
      <w:start w:val="1"/>
      <w:numFmt w:val="lowerLetter"/>
      <w:lvlText w:val="%5."/>
      <w:lvlJc w:val="left"/>
      <w:pPr>
        <w:ind w:left="5046" w:hanging="360"/>
      </w:pPr>
    </w:lvl>
    <w:lvl w:ilvl="5" w:tplc="0409001B" w:tentative="1">
      <w:start w:val="1"/>
      <w:numFmt w:val="lowerRoman"/>
      <w:lvlText w:val="%6."/>
      <w:lvlJc w:val="right"/>
      <w:pPr>
        <w:ind w:left="5766" w:hanging="180"/>
      </w:pPr>
    </w:lvl>
    <w:lvl w:ilvl="6" w:tplc="0409000F" w:tentative="1">
      <w:start w:val="1"/>
      <w:numFmt w:val="decimal"/>
      <w:lvlText w:val="%7."/>
      <w:lvlJc w:val="left"/>
      <w:pPr>
        <w:ind w:left="6486" w:hanging="360"/>
      </w:pPr>
    </w:lvl>
    <w:lvl w:ilvl="7" w:tplc="04090019" w:tentative="1">
      <w:start w:val="1"/>
      <w:numFmt w:val="lowerLetter"/>
      <w:lvlText w:val="%8."/>
      <w:lvlJc w:val="left"/>
      <w:pPr>
        <w:ind w:left="7206" w:hanging="360"/>
      </w:pPr>
    </w:lvl>
    <w:lvl w:ilvl="8" w:tplc="0409001B" w:tentative="1">
      <w:start w:val="1"/>
      <w:numFmt w:val="lowerRoman"/>
      <w:lvlText w:val="%9."/>
      <w:lvlJc w:val="right"/>
      <w:pPr>
        <w:ind w:left="7926" w:hanging="180"/>
      </w:pPr>
    </w:lvl>
  </w:abstractNum>
  <w:abstractNum w:abstractNumId="2">
    <w:nsid w:val="02565EF3"/>
    <w:multiLevelType w:val="hybridMultilevel"/>
    <w:tmpl w:val="5ED47E00"/>
    <w:lvl w:ilvl="0" w:tplc="6A92E63E">
      <w:start w:val="1"/>
      <w:numFmt w:val="decimal"/>
      <w:lvlText w:val="%1."/>
      <w:lvlJc w:val="left"/>
      <w:pPr>
        <w:ind w:left="1080" w:hanging="720"/>
      </w:pPr>
      <w:rPr>
        <w:rFonts w:hint="default"/>
        <w:b/>
      </w:rPr>
    </w:lvl>
    <w:lvl w:ilvl="1" w:tplc="622A64E4">
      <w:start w:val="1"/>
      <w:numFmt w:val="lowerLetter"/>
      <w:lvlText w:val="%2."/>
      <w:lvlJc w:val="left"/>
      <w:pPr>
        <w:ind w:left="1800" w:hanging="72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576FC3"/>
    <w:multiLevelType w:val="hybridMultilevel"/>
    <w:tmpl w:val="AFF28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D24FC4"/>
    <w:multiLevelType w:val="hybridMultilevel"/>
    <w:tmpl w:val="CC880FEE"/>
    <w:lvl w:ilvl="0" w:tplc="23FE3AE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81148B"/>
    <w:multiLevelType w:val="hybridMultilevel"/>
    <w:tmpl w:val="704EDA2C"/>
    <w:lvl w:ilvl="0" w:tplc="0409000F">
      <w:start w:val="1"/>
      <w:numFmt w:val="decimal"/>
      <w:lvlText w:val="%1."/>
      <w:lvlJc w:val="left"/>
      <w:pPr>
        <w:ind w:left="722" w:hanging="360"/>
      </w:pPr>
      <w:rPr>
        <w:rFonts w:hint="default"/>
      </w:rPr>
    </w:lvl>
    <w:lvl w:ilvl="1" w:tplc="5420E328">
      <w:start w:val="1"/>
      <w:numFmt w:val="lowerLetter"/>
      <w:lvlText w:val="%2."/>
      <w:lvlJc w:val="left"/>
      <w:pPr>
        <w:ind w:left="1442" w:hanging="360"/>
      </w:pPr>
      <w:rPr>
        <w:b/>
      </w:rPr>
    </w:lvl>
    <w:lvl w:ilvl="2" w:tplc="0409001B">
      <w:start w:val="1"/>
      <w:numFmt w:val="lowerRoman"/>
      <w:lvlText w:val="%3."/>
      <w:lvlJc w:val="right"/>
      <w:pPr>
        <w:ind w:left="2162" w:hanging="180"/>
      </w:pPr>
    </w:lvl>
    <w:lvl w:ilvl="3" w:tplc="0409000F" w:tentative="1">
      <w:start w:val="1"/>
      <w:numFmt w:val="decimal"/>
      <w:lvlText w:val="%4."/>
      <w:lvlJc w:val="left"/>
      <w:pPr>
        <w:ind w:left="2882" w:hanging="360"/>
      </w:pPr>
    </w:lvl>
    <w:lvl w:ilvl="4" w:tplc="04090019" w:tentative="1">
      <w:start w:val="1"/>
      <w:numFmt w:val="lowerLetter"/>
      <w:lvlText w:val="%5."/>
      <w:lvlJc w:val="left"/>
      <w:pPr>
        <w:ind w:left="3602" w:hanging="360"/>
      </w:pPr>
    </w:lvl>
    <w:lvl w:ilvl="5" w:tplc="0409001B" w:tentative="1">
      <w:start w:val="1"/>
      <w:numFmt w:val="lowerRoman"/>
      <w:lvlText w:val="%6."/>
      <w:lvlJc w:val="right"/>
      <w:pPr>
        <w:ind w:left="4322" w:hanging="180"/>
      </w:pPr>
    </w:lvl>
    <w:lvl w:ilvl="6" w:tplc="0409000F" w:tentative="1">
      <w:start w:val="1"/>
      <w:numFmt w:val="decimal"/>
      <w:lvlText w:val="%7."/>
      <w:lvlJc w:val="left"/>
      <w:pPr>
        <w:ind w:left="5042" w:hanging="360"/>
      </w:pPr>
    </w:lvl>
    <w:lvl w:ilvl="7" w:tplc="04090019" w:tentative="1">
      <w:start w:val="1"/>
      <w:numFmt w:val="lowerLetter"/>
      <w:lvlText w:val="%8."/>
      <w:lvlJc w:val="left"/>
      <w:pPr>
        <w:ind w:left="5762" w:hanging="360"/>
      </w:pPr>
    </w:lvl>
    <w:lvl w:ilvl="8" w:tplc="0409001B" w:tentative="1">
      <w:start w:val="1"/>
      <w:numFmt w:val="lowerRoman"/>
      <w:lvlText w:val="%9."/>
      <w:lvlJc w:val="right"/>
      <w:pPr>
        <w:ind w:left="6482" w:hanging="180"/>
      </w:pPr>
    </w:lvl>
  </w:abstractNum>
  <w:abstractNum w:abstractNumId="6">
    <w:nsid w:val="03A6380B"/>
    <w:multiLevelType w:val="hybridMultilevel"/>
    <w:tmpl w:val="8F9CCB76"/>
    <w:lvl w:ilvl="0" w:tplc="1616992C">
      <w:start w:val="1"/>
      <w:numFmt w:val="lowerLetter"/>
      <w:lvlText w:val="%1."/>
      <w:lvlJc w:val="left"/>
      <w:pPr>
        <w:ind w:left="144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3AE5A97"/>
    <w:multiLevelType w:val="multilevel"/>
    <w:tmpl w:val="A3988022"/>
    <w:lvl w:ilvl="0">
      <w:start w:val="1"/>
      <w:numFmt w:val="decimal"/>
      <w:lvlText w:val="%1"/>
      <w:lvlJc w:val="left"/>
      <w:pPr>
        <w:ind w:left="432" w:hanging="432"/>
      </w:pPr>
      <w:rPr>
        <w:rFonts w:hint="default"/>
      </w:rPr>
    </w:lvl>
    <w:lvl w:ilvl="1">
      <w:start w:val="1"/>
      <w:numFmt w:val="decimal"/>
      <w:lvlText w:val="%1.%2"/>
      <w:lvlJc w:val="left"/>
      <w:pPr>
        <w:ind w:left="666" w:hanging="576"/>
      </w:pPr>
      <w:rPr>
        <w:rFonts w:hint="default"/>
      </w:rPr>
    </w:lvl>
    <w:lvl w:ilvl="2">
      <w:start w:val="1"/>
      <w:numFmt w:val="decimal"/>
      <w:lvlText w:val="%1.%2.%3"/>
      <w:lvlJc w:val="left"/>
      <w:pPr>
        <w:ind w:left="810" w:hanging="720"/>
      </w:pPr>
      <w:rPr>
        <w:rFonts w:asciiTheme="minorHAnsi" w:hAnsiTheme="minorHAnsi" w:cstheme="minorHAnsi"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none"/>
      <w:lvlRestart w:val="0"/>
      <w:pStyle w:val="Heading8"/>
      <w:lvlText w:val=""/>
      <w:lvlJc w:val="left"/>
      <w:pPr>
        <w:ind w:left="0" w:firstLine="0"/>
      </w:pPr>
      <w:rPr>
        <w:rFonts w:hint="default"/>
      </w:rPr>
    </w:lvl>
    <w:lvl w:ilvl="8">
      <w:start w:val="1"/>
      <w:numFmt w:val="none"/>
      <w:lvlRestart w:val="0"/>
      <w:pStyle w:val="Heading9"/>
      <w:lvlText w:val=""/>
      <w:lvlJc w:val="left"/>
      <w:pPr>
        <w:ind w:left="0" w:firstLine="0"/>
      </w:pPr>
      <w:rPr>
        <w:rFonts w:hint="default"/>
      </w:rPr>
    </w:lvl>
  </w:abstractNum>
  <w:abstractNum w:abstractNumId="8">
    <w:nsid w:val="059F57A2"/>
    <w:multiLevelType w:val="hybridMultilevel"/>
    <w:tmpl w:val="8F9CCB76"/>
    <w:lvl w:ilvl="0" w:tplc="1616992C">
      <w:start w:val="1"/>
      <w:numFmt w:val="lowerLetter"/>
      <w:lvlText w:val="%1."/>
      <w:lvlJc w:val="left"/>
      <w:pPr>
        <w:ind w:left="144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6BE5F62"/>
    <w:multiLevelType w:val="hybridMultilevel"/>
    <w:tmpl w:val="C0145ACA"/>
    <w:lvl w:ilvl="0" w:tplc="C6CE588C">
      <w:start w:val="1"/>
      <w:numFmt w:val="decimal"/>
      <w:lvlText w:val="%1."/>
      <w:lvlJc w:val="left"/>
      <w:pPr>
        <w:ind w:left="252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74641CF"/>
    <w:multiLevelType w:val="hybridMultilevel"/>
    <w:tmpl w:val="A1805BE6"/>
    <w:lvl w:ilvl="0" w:tplc="04090001">
      <w:start w:val="1"/>
      <w:numFmt w:val="bullet"/>
      <w:lvlText w:val=""/>
      <w:lvlJc w:val="left"/>
      <w:pPr>
        <w:ind w:left="1084" w:hanging="360"/>
      </w:pPr>
      <w:rPr>
        <w:rFonts w:ascii="Symbol" w:hAnsi="Symbol"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11">
    <w:nsid w:val="076A0B82"/>
    <w:multiLevelType w:val="hybridMultilevel"/>
    <w:tmpl w:val="44225B8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0836221B"/>
    <w:multiLevelType w:val="hybridMultilevel"/>
    <w:tmpl w:val="0608AF62"/>
    <w:lvl w:ilvl="0" w:tplc="6A92E63E">
      <w:start w:val="1"/>
      <w:numFmt w:val="decimal"/>
      <w:lvlText w:val="%1."/>
      <w:lvlJc w:val="left"/>
      <w:pPr>
        <w:ind w:left="1080" w:hanging="720"/>
      </w:pPr>
      <w:rPr>
        <w:rFonts w:hint="default"/>
        <w:b/>
      </w:rPr>
    </w:lvl>
    <w:lvl w:ilvl="1" w:tplc="E770714C">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88A4F25"/>
    <w:multiLevelType w:val="hybridMultilevel"/>
    <w:tmpl w:val="0430E732"/>
    <w:lvl w:ilvl="0" w:tplc="E9724CCE">
      <w:start w:val="1"/>
      <w:numFmt w:val="bullet"/>
      <w:pStyle w:val="Bullets-Short"/>
      <w:lvlText w:val=""/>
      <w:lvlJc w:val="left"/>
      <w:pPr>
        <w:tabs>
          <w:tab w:val="num" w:pos="720"/>
        </w:tabs>
        <w:ind w:left="720" w:hanging="360"/>
      </w:pPr>
      <w:rPr>
        <w:rFonts w:ascii="Symbol" w:hAnsi="Symbol" w:hint="default"/>
      </w:rPr>
    </w:lvl>
    <w:lvl w:ilvl="1" w:tplc="D5584C4E">
      <w:start w:val="1"/>
      <w:numFmt w:val="bullet"/>
      <w:lvlText w:val="o"/>
      <w:lvlJc w:val="left"/>
      <w:pPr>
        <w:tabs>
          <w:tab w:val="num" w:pos="1440"/>
        </w:tabs>
        <w:ind w:left="1440" w:hanging="360"/>
      </w:pPr>
      <w:rPr>
        <w:rFonts w:ascii="Courier New" w:hAnsi="Courier New" w:hint="default"/>
      </w:rPr>
    </w:lvl>
    <w:lvl w:ilvl="2" w:tplc="A710A9DC" w:tentative="1">
      <w:start w:val="1"/>
      <w:numFmt w:val="bullet"/>
      <w:lvlText w:val=""/>
      <w:lvlJc w:val="left"/>
      <w:pPr>
        <w:tabs>
          <w:tab w:val="num" w:pos="2160"/>
        </w:tabs>
        <w:ind w:left="2160" w:hanging="360"/>
      </w:pPr>
      <w:rPr>
        <w:rFonts w:ascii="Wingdings" w:hAnsi="Wingdings" w:hint="default"/>
      </w:rPr>
    </w:lvl>
    <w:lvl w:ilvl="3" w:tplc="C67E5A36" w:tentative="1">
      <w:start w:val="1"/>
      <w:numFmt w:val="bullet"/>
      <w:lvlText w:val=""/>
      <w:lvlJc w:val="left"/>
      <w:pPr>
        <w:tabs>
          <w:tab w:val="num" w:pos="2880"/>
        </w:tabs>
        <w:ind w:left="2880" w:hanging="360"/>
      </w:pPr>
      <w:rPr>
        <w:rFonts w:ascii="Symbol" w:hAnsi="Symbol" w:hint="default"/>
      </w:rPr>
    </w:lvl>
    <w:lvl w:ilvl="4" w:tplc="1B38B622" w:tentative="1">
      <w:start w:val="1"/>
      <w:numFmt w:val="bullet"/>
      <w:lvlText w:val="o"/>
      <w:lvlJc w:val="left"/>
      <w:pPr>
        <w:tabs>
          <w:tab w:val="num" w:pos="3600"/>
        </w:tabs>
        <w:ind w:left="3600" w:hanging="360"/>
      </w:pPr>
      <w:rPr>
        <w:rFonts w:ascii="Courier New" w:hAnsi="Courier New" w:hint="default"/>
      </w:rPr>
    </w:lvl>
    <w:lvl w:ilvl="5" w:tplc="E9D06A38" w:tentative="1">
      <w:start w:val="1"/>
      <w:numFmt w:val="bullet"/>
      <w:lvlText w:val=""/>
      <w:lvlJc w:val="left"/>
      <w:pPr>
        <w:tabs>
          <w:tab w:val="num" w:pos="4320"/>
        </w:tabs>
        <w:ind w:left="4320" w:hanging="360"/>
      </w:pPr>
      <w:rPr>
        <w:rFonts w:ascii="Wingdings" w:hAnsi="Wingdings" w:hint="default"/>
      </w:rPr>
    </w:lvl>
    <w:lvl w:ilvl="6" w:tplc="6D2E056E" w:tentative="1">
      <w:start w:val="1"/>
      <w:numFmt w:val="bullet"/>
      <w:lvlText w:val=""/>
      <w:lvlJc w:val="left"/>
      <w:pPr>
        <w:tabs>
          <w:tab w:val="num" w:pos="5040"/>
        </w:tabs>
        <w:ind w:left="5040" w:hanging="360"/>
      </w:pPr>
      <w:rPr>
        <w:rFonts w:ascii="Symbol" w:hAnsi="Symbol" w:hint="default"/>
      </w:rPr>
    </w:lvl>
    <w:lvl w:ilvl="7" w:tplc="C39812B2" w:tentative="1">
      <w:start w:val="1"/>
      <w:numFmt w:val="bullet"/>
      <w:lvlText w:val="o"/>
      <w:lvlJc w:val="left"/>
      <w:pPr>
        <w:tabs>
          <w:tab w:val="num" w:pos="5760"/>
        </w:tabs>
        <w:ind w:left="5760" w:hanging="360"/>
      </w:pPr>
      <w:rPr>
        <w:rFonts w:ascii="Courier New" w:hAnsi="Courier New" w:hint="default"/>
      </w:rPr>
    </w:lvl>
    <w:lvl w:ilvl="8" w:tplc="A568064C" w:tentative="1">
      <w:start w:val="1"/>
      <w:numFmt w:val="bullet"/>
      <w:lvlText w:val=""/>
      <w:lvlJc w:val="left"/>
      <w:pPr>
        <w:tabs>
          <w:tab w:val="num" w:pos="6480"/>
        </w:tabs>
        <w:ind w:left="6480" w:hanging="360"/>
      </w:pPr>
      <w:rPr>
        <w:rFonts w:ascii="Wingdings" w:hAnsi="Wingdings" w:hint="default"/>
      </w:rPr>
    </w:lvl>
  </w:abstractNum>
  <w:abstractNum w:abstractNumId="14">
    <w:nsid w:val="091113F0"/>
    <w:multiLevelType w:val="hybridMultilevel"/>
    <w:tmpl w:val="5ED47E00"/>
    <w:lvl w:ilvl="0" w:tplc="6A92E63E">
      <w:start w:val="1"/>
      <w:numFmt w:val="decimal"/>
      <w:lvlText w:val="%1."/>
      <w:lvlJc w:val="left"/>
      <w:pPr>
        <w:ind w:left="1080" w:hanging="720"/>
      </w:pPr>
      <w:rPr>
        <w:rFonts w:hint="default"/>
        <w:b/>
      </w:rPr>
    </w:lvl>
    <w:lvl w:ilvl="1" w:tplc="622A64E4">
      <w:start w:val="1"/>
      <w:numFmt w:val="lowerLetter"/>
      <w:lvlText w:val="%2."/>
      <w:lvlJc w:val="left"/>
      <w:pPr>
        <w:ind w:left="1800" w:hanging="72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94D7450"/>
    <w:multiLevelType w:val="multilevel"/>
    <w:tmpl w:val="2BF6C06C"/>
    <w:lvl w:ilvl="0">
      <w:start w:val="1"/>
      <w:numFmt w:val="decimal"/>
      <w:pStyle w:val="Heading1"/>
      <w:suff w:val="space"/>
      <w:lvlText w:val="%1."/>
      <w:lvlJc w:val="left"/>
      <w:pPr>
        <w:ind w:left="0" w:firstLine="0"/>
      </w:pPr>
      <w:rPr>
        <w:rFonts w:ascii="Britannic Bold" w:hAnsi="Britannic Bold" w:hint="default"/>
        <w:sz w:val="52"/>
        <w:szCs w:val="52"/>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upperLetter"/>
      <w:lvlRestart w:val="0"/>
      <w:pStyle w:val="Heading5"/>
      <w:suff w:val="space"/>
      <w:lvlText w:val="Appendix %5."/>
      <w:lvlJc w:val="left"/>
      <w:pPr>
        <w:ind w:left="0" w:firstLine="0"/>
      </w:pPr>
      <w:rPr>
        <w:rFonts w:ascii="Britannic Bold" w:hAnsi="Britannic Bold" w:cs="Times New Roman" w:hint="default"/>
        <w:b w:val="0"/>
        <w:bCs w:val="0"/>
        <w:i w:val="0"/>
        <w:iCs w:val="0"/>
        <w:caps/>
        <w:smallCaps/>
        <w:strike w:val="0"/>
        <w:dstrike w:val="0"/>
        <w:outline w:val="0"/>
        <w:shadow w:val="0"/>
        <w:emboss w:val="0"/>
        <w:imprint w:val="0"/>
        <w:noProof w:val="0"/>
        <w:vanish w:val="0"/>
        <w:spacing w:val="0"/>
        <w:kern w:val="0"/>
        <w:position w:val="0"/>
        <w:sz w:val="5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5.%6"/>
      <w:lvlJc w:val="left"/>
      <w:pPr>
        <w:ind w:left="720" w:hanging="720"/>
      </w:pPr>
      <w:rPr>
        <w:rFonts w:hint="default"/>
      </w:rPr>
    </w:lvl>
    <w:lvl w:ilvl="6">
      <w:start w:val="1"/>
      <w:numFmt w:val="decimal"/>
      <w:pStyle w:val="Heading7"/>
      <w:lvlText w:val="%5.%6.%7"/>
      <w:lvlJc w:val="left"/>
      <w:pPr>
        <w:ind w:left="720" w:hanging="72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0A157B46"/>
    <w:multiLevelType w:val="hybridMultilevel"/>
    <w:tmpl w:val="E6665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A8119F3"/>
    <w:multiLevelType w:val="hybridMultilevel"/>
    <w:tmpl w:val="525AD8A6"/>
    <w:lvl w:ilvl="0" w:tplc="2D1861FA">
      <w:start w:val="5"/>
      <w:numFmt w:val="decimal"/>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D262BC8"/>
    <w:multiLevelType w:val="multilevel"/>
    <w:tmpl w:val="51FECC92"/>
    <w:styleLink w:val="StyleNumberedLeft025Hanging025"/>
    <w:lvl w:ilvl="0">
      <w:start w:val="1"/>
      <w:numFmt w:val="decimal"/>
      <w:lvlText w:val="%1."/>
      <w:lvlJc w:val="left"/>
      <w:pPr>
        <w:tabs>
          <w:tab w:val="num" w:pos="936"/>
        </w:tabs>
        <w:ind w:left="936" w:hanging="360"/>
      </w:pPr>
      <w:rPr>
        <w:rFonts w:ascii="Palatino Linotype" w:hAnsi="Palatino Linotype"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0ED40181"/>
    <w:multiLevelType w:val="hybridMultilevel"/>
    <w:tmpl w:val="88328EB0"/>
    <w:lvl w:ilvl="0" w:tplc="04090001">
      <w:start w:val="1"/>
      <w:numFmt w:val="bullet"/>
      <w:pStyle w:val="ListNumber"/>
      <w:lvlText w:val=""/>
      <w:lvlJc w:val="left"/>
      <w:pPr>
        <w:ind w:left="1080" w:hanging="72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FFF5106"/>
    <w:multiLevelType w:val="hybridMultilevel"/>
    <w:tmpl w:val="2130BAB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38F05FE"/>
    <w:multiLevelType w:val="hybridMultilevel"/>
    <w:tmpl w:val="1B9473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3ED104A"/>
    <w:multiLevelType w:val="hybridMultilevel"/>
    <w:tmpl w:val="54D260CC"/>
    <w:lvl w:ilvl="0" w:tplc="C6CE588C">
      <w:start w:val="1"/>
      <w:numFmt w:val="decimal"/>
      <w:lvlText w:val="%1."/>
      <w:lvlJc w:val="left"/>
      <w:pPr>
        <w:ind w:left="180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1576785E"/>
    <w:multiLevelType w:val="hybridMultilevel"/>
    <w:tmpl w:val="C78CCB5A"/>
    <w:lvl w:ilvl="0" w:tplc="D0C2282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5E34F9B"/>
    <w:multiLevelType w:val="hybridMultilevel"/>
    <w:tmpl w:val="816A29FE"/>
    <w:lvl w:ilvl="0" w:tplc="23FE3AE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6033137"/>
    <w:multiLevelType w:val="hybridMultilevel"/>
    <w:tmpl w:val="9000EDA6"/>
    <w:lvl w:ilvl="0" w:tplc="A6BAB70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892539D"/>
    <w:multiLevelType w:val="hybridMultilevel"/>
    <w:tmpl w:val="C494D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8F7769D"/>
    <w:multiLevelType w:val="hybridMultilevel"/>
    <w:tmpl w:val="0CCE7B3A"/>
    <w:lvl w:ilvl="0" w:tplc="21CCD942">
      <w:start w:val="99"/>
      <w:numFmt w:val="decimal"/>
      <w:lvlText w:val="%1."/>
      <w:lvlJc w:val="left"/>
      <w:pPr>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95E577D"/>
    <w:multiLevelType w:val="hybridMultilevel"/>
    <w:tmpl w:val="5E76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A160415"/>
    <w:multiLevelType w:val="hybridMultilevel"/>
    <w:tmpl w:val="F6CA38EE"/>
    <w:lvl w:ilvl="0" w:tplc="174C4830">
      <w:start w:val="1"/>
      <w:numFmt w:val="decimal"/>
      <w:lvlText w:val="%1."/>
      <w:lvlJc w:val="left"/>
      <w:pPr>
        <w:ind w:left="720" w:hanging="360"/>
      </w:pPr>
      <w:rPr>
        <w:b/>
      </w:rPr>
    </w:lvl>
    <w:lvl w:ilvl="1" w:tplc="602C0D02">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B177C8F"/>
    <w:multiLevelType w:val="hybridMultilevel"/>
    <w:tmpl w:val="0C80081C"/>
    <w:lvl w:ilvl="0" w:tplc="7A2201C4">
      <w:start w:val="1"/>
      <w:numFmt w:val="decimal"/>
      <w:lvlText w:val="%1."/>
      <w:lvlJc w:val="left"/>
      <w:pPr>
        <w:ind w:left="1080" w:hanging="720"/>
      </w:pPr>
      <w:rPr>
        <w:rFonts w:hint="default"/>
        <w:b/>
      </w:rPr>
    </w:lvl>
    <w:lvl w:ilvl="1" w:tplc="CD608A7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CB73E2D"/>
    <w:multiLevelType w:val="hybridMultilevel"/>
    <w:tmpl w:val="F4D63D28"/>
    <w:lvl w:ilvl="0" w:tplc="23FE3AE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F4E3744"/>
    <w:multiLevelType w:val="hybridMultilevel"/>
    <w:tmpl w:val="419A3D62"/>
    <w:lvl w:ilvl="0" w:tplc="4602489C">
      <w:start w:val="1"/>
      <w:numFmt w:val="decimal"/>
      <w:pStyle w:val="ListBullet2"/>
      <w:lvlText w:val="%1.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3">
    <w:nsid w:val="1FFA7E37"/>
    <w:multiLevelType w:val="hybridMultilevel"/>
    <w:tmpl w:val="A00C7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0603D5A"/>
    <w:multiLevelType w:val="hybridMultilevel"/>
    <w:tmpl w:val="B5561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2252997"/>
    <w:multiLevelType w:val="multilevel"/>
    <w:tmpl w:val="FBCC7496"/>
    <w:lvl w:ilvl="0">
      <w:start w:val="1"/>
      <w:numFmt w:val="decimal"/>
      <w:lvlText w:val="%1."/>
      <w:lvlJc w:val="left"/>
      <w:pPr>
        <w:ind w:left="725" w:hanging="360"/>
      </w:pPr>
      <w:rPr>
        <w:rFonts w:hint="default"/>
        <w:b/>
      </w:rPr>
    </w:lvl>
    <w:lvl w:ilvl="1">
      <w:start w:val="1"/>
      <w:numFmt w:val="lowerLetter"/>
      <w:lvlRestart w:val="0"/>
      <w:lvlText w:val="%2."/>
      <w:lvlJc w:val="left"/>
      <w:pPr>
        <w:ind w:left="1445" w:hanging="360"/>
      </w:pPr>
      <w:rPr>
        <w:rFonts w:hint="default"/>
      </w:rPr>
    </w:lvl>
    <w:lvl w:ilvl="2">
      <w:start w:val="1"/>
      <w:numFmt w:val="lowerRoman"/>
      <w:lvlText w:val="%3."/>
      <w:lvlJc w:val="right"/>
      <w:pPr>
        <w:ind w:left="2165" w:hanging="180"/>
      </w:pPr>
      <w:rPr>
        <w:rFonts w:hint="default"/>
      </w:rPr>
    </w:lvl>
    <w:lvl w:ilvl="3">
      <w:start w:val="1"/>
      <w:numFmt w:val="decimal"/>
      <w:lvlText w:val="%4."/>
      <w:lvlJc w:val="left"/>
      <w:pPr>
        <w:ind w:left="2885" w:hanging="360"/>
      </w:pPr>
      <w:rPr>
        <w:rFonts w:hint="default"/>
      </w:rPr>
    </w:lvl>
    <w:lvl w:ilvl="4">
      <w:start w:val="1"/>
      <w:numFmt w:val="lowerLetter"/>
      <w:lvlText w:val="%5."/>
      <w:lvlJc w:val="left"/>
      <w:pPr>
        <w:ind w:left="3605" w:hanging="360"/>
      </w:pPr>
      <w:rPr>
        <w:rFonts w:hint="default"/>
        <w:b w:val="0"/>
      </w:rPr>
    </w:lvl>
    <w:lvl w:ilvl="5">
      <w:start w:val="1"/>
      <w:numFmt w:val="lowerRoman"/>
      <w:lvlText w:val="%6."/>
      <w:lvlJc w:val="right"/>
      <w:pPr>
        <w:ind w:left="4325" w:hanging="180"/>
      </w:pPr>
      <w:rPr>
        <w:rFonts w:hint="default"/>
      </w:rPr>
    </w:lvl>
    <w:lvl w:ilvl="6">
      <w:start w:val="1"/>
      <w:numFmt w:val="decimal"/>
      <w:lvlText w:val="%7."/>
      <w:lvlJc w:val="left"/>
      <w:pPr>
        <w:ind w:left="5045" w:hanging="360"/>
      </w:pPr>
      <w:rPr>
        <w:rFonts w:hint="default"/>
      </w:rPr>
    </w:lvl>
    <w:lvl w:ilvl="7">
      <w:start w:val="1"/>
      <w:numFmt w:val="lowerLetter"/>
      <w:lvlText w:val="%8."/>
      <w:lvlJc w:val="left"/>
      <w:pPr>
        <w:ind w:left="5765" w:hanging="360"/>
      </w:pPr>
      <w:rPr>
        <w:rFonts w:hint="default"/>
      </w:rPr>
    </w:lvl>
    <w:lvl w:ilvl="8">
      <w:start w:val="1"/>
      <w:numFmt w:val="lowerRoman"/>
      <w:lvlText w:val="%9."/>
      <w:lvlJc w:val="right"/>
      <w:pPr>
        <w:ind w:left="6485" w:hanging="180"/>
      </w:pPr>
      <w:rPr>
        <w:rFonts w:hint="default"/>
      </w:rPr>
    </w:lvl>
  </w:abstractNum>
  <w:abstractNum w:abstractNumId="36">
    <w:nsid w:val="27CF6703"/>
    <w:multiLevelType w:val="hybridMultilevel"/>
    <w:tmpl w:val="58C4E6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281865F0"/>
    <w:multiLevelType w:val="hybridMultilevel"/>
    <w:tmpl w:val="E17CDDC2"/>
    <w:lvl w:ilvl="0" w:tplc="23FE3AE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86E3662"/>
    <w:multiLevelType w:val="hybridMultilevel"/>
    <w:tmpl w:val="29B09764"/>
    <w:lvl w:ilvl="0" w:tplc="04090001">
      <w:start w:val="1"/>
      <w:numFmt w:val="bullet"/>
      <w:lvlText w:val=""/>
      <w:lvlJc w:val="left"/>
      <w:pPr>
        <w:ind w:left="1454" w:hanging="360"/>
      </w:pPr>
      <w:rPr>
        <w:rFonts w:ascii="Symbol" w:hAnsi="Symbol" w:hint="default"/>
      </w:rPr>
    </w:lvl>
    <w:lvl w:ilvl="1" w:tplc="04090003" w:tentative="1">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39">
    <w:nsid w:val="29584904"/>
    <w:multiLevelType w:val="hybridMultilevel"/>
    <w:tmpl w:val="BAB2EFBA"/>
    <w:lvl w:ilvl="0" w:tplc="98963BD6">
      <w:start w:val="1"/>
      <w:numFmt w:val="lowerLetter"/>
      <w:lvlText w:val="%1."/>
      <w:lvlJc w:val="left"/>
      <w:pPr>
        <w:ind w:left="144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AC802AC"/>
    <w:multiLevelType w:val="hybridMultilevel"/>
    <w:tmpl w:val="50600696"/>
    <w:lvl w:ilvl="0" w:tplc="6A92E63E">
      <w:start w:val="1"/>
      <w:numFmt w:val="decimal"/>
      <w:lvlText w:val="%1."/>
      <w:lvlJc w:val="left"/>
      <w:pPr>
        <w:ind w:left="1080" w:hanging="720"/>
      </w:pPr>
      <w:rPr>
        <w:rFonts w:hint="default"/>
        <w:b/>
      </w:rPr>
    </w:lvl>
    <w:lvl w:ilvl="1" w:tplc="0DB08304">
      <w:start w:val="1"/>
      <w:numFmt w:val="lowerLetter"/>
      <w:lvlText w:val="%2."/>
      <w:lvlJc w:val="left"/>
      <w:pPr>
        <w:ind w:left="1800" w:hanging="72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C1E4078"/>
    <w:multiLevelType w:val="hybridMultilevel"/>
    <w:tmpl w:val="E2F80638"/>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D246D0A"/>
    <w:multiLevelType w:val="hybridMultilevel"/>
    <w:tmpl w:val="E692F9C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D4A1EFB"/>
    <w:multiLevelType w:val="hybridMultilevel"/>
    <w:tmpl w:val="2EA27390"/>
    <w:lvl w:ilvl="0" w:tplc="7A2201C4">
      <w:start w:val="1"/>
      <w:numFmt w:val="decimal"/>
      <w:lvlText w:val="%1."/>
      <w:lvlJc w:val="left"/>
      <w:pPr>
        <w:ind w:left="720" w:hanging="360"/>
      </w:pPr>
      <w:rPr>
        <w:rFonts w:hint="default"/>
        <w:b/>
      </w:rPr>
    </w:lvl>
    <w:lvl w:ilvl="1" w:tplc="35E4E2FC">
      <w:start w:val="1"/>
      <w:numFmt w:val="lowerLetter"/>
      <w:lvlText w:val="%2."/>
      <w:lvlJc w:val="left"/>
      <w:pPr>
        <w:ind w:left="1440" w:hanging="360"/>
      </w:pPr>
      <w:rPr>
        <w:b/>
      </w:rPr>
    </w:lvl>
    <w:lvl w:ilvl="2" w:tplc="C3BA42F4">
      <w:start w:val="1"/>
      <w:numFmt w:val="upperLetter"/>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DE61501"/>
    <w:multiLevelType w:val="hybridMultilevel"/>
    <w:tmpl w:val="CC48906A"/>
    <w:lvl w:ilvl="0" w:tplc="9DA099D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DE97A3B"/>
    <w:multiLevelType w:val="hybridMultilevel"/>
    <w:tmpl w:val="E52A0F64"/>
    <w:lvl w:ilvl="0" w:tplc="0409000F">
      <w:start w:val="1"/>
      <w:numFmt w:val="bullet"/>
      <w:pStyle w:val="Bullets-justified"/>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E9245B1"/>
    <w:multiLevelType w:val="hybridMultilevel"/>
    <w:tmpl w:val="18086FAA"/>
    <w:lvl w:ilvl="0" w:tplc="23FE3AE8">
      <w:start w:val="1"/>
      <w:numFmt w:val="lowerLetter"/>
      <w:lvlText w:val="%1."/>
      <w:lvlJc w:val="left"/>
      <w:pPr>
        <w:ind w:left="720" w:hanging="360"/>
      </w:pPr>
      <w:rPr>
        <w:rFonts w:hint="default"/>
        <w:b w:val="0"/>
      </w:rPr>
    </w:lvl>
    <w:lvl w:ilvl="1" w:tplc="A96C02E4">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07120D3"/>
    <w:multiLevelType w:val="hybridMultilevel"/>
    <w:tmpl w:val="2A8A4970"/>
    <w:lvl w:ilvl="0" w:tplc="BBEAA994">
      <w:start w:val="1"/>
      <w:numFmt w:val="decimal"/>
      <w:lvlText w:val="%1."/>
      <w:lvlJc w:val="left"/>
      <w:pPr>
        <w:ind w:left="730" w:hanging="360"/>
      </w:pPr>
      <w:rPr>
        <w:b/>
      </w:rPr>
    </w:lvl>
    <w:lvl w:ilvl="1" w:tplc="A3F80E6A">
      <w:start w:val="1"/>
      <w:numFmt w:val="lowerLetter"/>
      <w:lvlText w:val="%2."/>
      <w:lvlJc w:val="left"/>
      <w:pPr>
        <w:ind w:left="1450" w:hanging="360"/>
      </w:pPr>
      <w:rPr>
        <w:b/>
      </w:r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48">
    <w:nsid w:val="322A3FE9"/>
    <w:multiLevelType w:val="multilevel"/>
    <w:tmpl w:val="16BEFFEA"/>
    <w:lvl w:ilvl="0">
      <w:start w:val="3"/>
      <w:numFmt w:val="decimal"/>
      <w:lvlText w:val="%1."/>
      <w:lvlJc w:val="left"/>
      <w:pPr>
        <w:ind w:left="720" w:hanging="360"/>
      </w:pPr>
      <w:rPr>
        <w:rFonts w:hint="default"/>
        <w:b/>
      </w:rPr>
    </w:lvl>
    <w:lvl w:ilvl="1">
      <w:start w:val="1"/>
      <w:numFmt w:val="lowerLetter"/>
      <w:lvlRestart w:val="0"/>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nsid w:val="33A56CCB"/>
    <w:multiLevelType w:val="hybridMultilevel"/>
    <w:tmpl w:val="A22E71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11A43DC6">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3FB605E"/>
    <w:multiLevelType w:val="hybridMultilevel"/>
    <w:tmpl w:val="651A03C8"/>
    <w:lvl w:ilvl="0" w:tplc="F6ACEF64">
      <w:start w:val="1"/>
      <w:numFmt w:val="bullet"/>
      <w:pStyle w:val="Bullet-Las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5B805FB"/>
    <w:multiLevelType w:val="hybridMultilevel"/>
    <w:tmpl w:val="6186AF90"/>
    <w:lvl w:ilvl="0" w:tplc="04090001">
      <w:start w:val="1"/>
      <w:numFmt w:val="decimal"/>
      <w:pStyle w:val="figurestyle"/>
      <w:lvlText w:val="Figure %1."/>
      <w:lvlJc w:val="left"/>
      <w:pPr>
        <w:tabs>
          <w:tab w:val="num" w:pos="720"/>
        </w:tabs>
        <w:ind w:left="720" w:hanging="360"/>
      </w:pPr>
      <w:rPr>
        <w:rFonts w:cs="Times New Roman"/>
        <w:bCs w:val="0"/>
        <w:iCs w:val="0"/>
        <w:caps w:val="0"/>
        <w:smallCaps w:val="0"/>
        <w:strike w:val="0"/>
        <w:dstrike w:val="0"/>
        <w:vanish w:val="0"/>
        <w:color w:val="000000"/>
        <w:spacing w:val="0"/>
        <w:kern w:val="0"/>
        <w:position w:val="0"/>
        <w:u w:val="none"/>
        <w:vertAlign w:val="baseline"/>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52">
    <w:nsid w:val="37A33146"/>
    <w:multiLevelType w:val="hybridMultilevel"/>
    <w:tmpl w:val="ED64D6B2"/>
    <w:lvl w:ilvl="0" w:tplc="04090001">
      <w:start w:val="1"/>
      <w:numFmt w:val="bullet"/>
      <w:lvlText w:val=""/>
      <w:lvlJc w:val="left"/>
      <w:pPr>
        <w:ind w:left="765" w:hanging="360"/>
      </w:pPr>
      <w:rPr>
        <w:rFonts w:ascii="Symbol" w:hAnsi="Symbol" w:hint="default"/>
      </w:rPr>
    </w:lvl>
    <w:lvl w:ilvl="1" w:tplc="04090003" w:tentative="1">
      <w:start w:val="1"/>
      <w:numFmt w:val="bullet"/>
      <w:pStyle w:val="AppendixHeading2"/>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3">
    <w:nsid w:val="37E760C1"/>
    <w:multiLevelType w:val="multilevel"/>
    <w:tmpl w:val="86A61DC8"/>
    <w:lvl w:ilvl="0">
      <w:start w:val="1"/>
      <w:numFmt w:val="decimal"/>
      <w:pStyle w:val="Numbering"/>
      <w:lvlText w:val="%1."/>
      <w:lvlJc w:val="left"/>
      <w:pPr>
        <w:tabs>
          <w:tab w:val="num" w:pos="720"/>
        </w:tabs>
        <w:ind w:left="720" w:hanging="360"/>
      </w:pPr>
      <w:rPr>
        <w:rFonts w:cs="Times New Roman"/>
      </w:rPr>
    </w:lvl>
    <w:lvl w:ilvl="1">
      <w:numFmt w:val="decimal"/>
      <w:isLgl/>
      <w:lvlText w:val="%1.%2"/>
      <w:lvlJc w:val="left"/>
      <w:pPr>
        <w:ind w:left="1140" w:hanging="720"/>
      </w:pPr>
      <w:rPr>
        <w:rFonts w:cs="Times New Roman" w:hint="default"/>
      </w:rPr>
    </w:lvl>
    <w:lvl w:ilvl="2">
      <w:start w:val="1"/>
      <w:numFmt w:val="decimal"/>
      <w:isLgl/>
      <w:lvlText w:val="%1.%2.%3"/>
      <w:lvlJc w:val="left"/>
      <w:pPr>
        <w:ind w:left="1200" w:hanging="720"/>
      </w:pPr>
      <w:rPr>
        <w:rFonts w:cs="Times New Roman" w:hint="default"/>
      </w:rPr>
    </w:lvl>
    <w:lvl w:ilvl="3">
      <w:start w:val="1"/>
      <w:numFmt w:val="decimal"/>
      <w:isLgl/>
      <w:lvlText w:val="%1.%2.%3.%4"/>
      <w:lvlJc w:val="left"/>
      <w:pPr>
        <w:ind w:left="1620" w:hanging="1080"/>
      </w:pPr>
      <w:rPr>
        <w:rFonts w:cs="Times New Roman" w:hint="default"/>
      </w:rPr>
    </w:lvl>
    <w:lvl w:ilvl="4">
      <w:start w:val="1"/>
      <w:numFmt w:val="decimal"/>
      <w:isLgl/>
      <w:lvlText w:val="%1.%2.%3.%4.%5"/>
      <w:lvlJc w:val="left"/>
      <w:pPr>
        <w:ind w:left="2040" w:hanging="1440"/>
      </w:pPr>
      <w:rPr>
        <w:rFonts w:cs="Times New Roman" w:hint="default"/>
      </w:rPr>
    </w:lvl>
    <w:lvl w:ilvl="5">
      <w:start w:val="1"/>
      <w:numFmt w:val="decimal"/>
      <w:isLgl/>
      <w:lvlText w:val="%1.%2.%3.%4.%5.%6"/>
      <w:lvlJc w:val="left"/>
      <w:pPr>
        <w:ind w:left="210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940" w:hanging="2160"/>
      </w:pPr>
      <w:rPr>
        <w:rFonts w:cs="Times New Roman" w:hint="default"/>
      </w:rPr>
    </w:lvl>
    <w:lvl w:ilvl="8">
      <w:start w:val="1"/>
      <w:numFmt w:val="decimal"/>
      <w:isLgl/>
      <w:lvlText w:val="%1.%2.%3.%4.%5.%6.%7.%8.%9"/>
      <w:lvlJc w:val="left"/>
      <w:pPr>
        <w:ind w:left="3360" w:hanging="2520"/>
      </w:pPr>
      <w:rPr>
        <w:rFonts w:cs="Times New Roman" w:hint="default"/>
      </w:rPr>
    </w:lvl>
  </w:abstractNum>
  <w:abstractNum w:abstractNumId="54">
    <w:nsid w:val="38350FD4"/>
    <w:multiLevelType w:val="hybridMultilevel"/>
    <w:tmpl w:val="EA183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pStyle w:val="AppendixHeading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96F0B60"/>
    <w:multiLevelType w:val="hybridMultilevel"/>
    <w:tmpl w:val="AE3CD15C"/>
    <w:lvl w:ilvl="0" w:tplc="556691D6">
      <w:start w:val="1"/>
      <w:numFmt w:val="decimal"/>
      <w:lvlText w:val="%1."/>
      <w:lvlJc w:val="left"/>
      <w:pPr>
        <w:ind w:left="720" w:hanging="360"/>
      </w:pPr>
      <w:rPr>
        <w:i w:val="0"/>
      </w:rPr>
    </w:lvl>
    <w:lvl w:ilvl="1" w:tplc="947E0E36">
      <w:start w:val="1"/>
      <w:numFmt w:val="lowerLetter"/>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A254B6E"/>
    <w:multiLevelType w:val="hybridMultilevel"/>
    <w:tmpl w:val="0F98B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A8422C0"/>
    <w:multiLevelType w:val="hybridMultilevel"/>
    <w:tmpl w:val="5ED47E00"/>
    <w:lvl w:ilvl="0" w:tplc="6A92E63E">
      <w:start w:val="1"/>
      <w:numFmt w:val="decimal"/>
      <w:lvlText w:val="%1."/>
      <w:lvlJc w:val="left"/>
      <w:pPr>
        <w:ind w:left="1080" w:hanging="720"/>
      </w:pPr>
      <w:rPr>
        <w:rFonts w:hint="default"/>
        <w:b/>
      </w:rPr>
    </w:lvl>
    <w:lvl w:ilvl="1" w:tplc="622A64E4">
      <w:start w:val="1"/>
      <w:numFmt w:val="lowerLetter"/>
      <w:lvlText w:val="%2."/>
      <w:lvlJc w:val="left"/>
      <w:pPr>
        <w:ind w:left="1800" w:hanging="72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C605C56"/>
    <w:multiLevelType w:val="hybridMultilevel"/>
    <w:tmpl w:val="27847FD8"/>
    <w:lvl w:ilvl="0" w:tplc="5C0EE658">
      <w:start w:val="8"/>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CEA2E11"/>
    <w:multiLevelType w:val="multilevel"/>
    <w:tmpl w:val="55669770"/>
    <w:styleLink w:val="StyleBulletedLeft0Hanging03"/>
    <w:lvl w:ilvl="0">
      <w:start w:val="1"/>
      <w:numFmt w:val="bullet"/>
      <w:lvlText w:val="»"/>
      <w:lvlJc w:val="left"/>
      <w:pPr>
        <w:tabs>
          <w:tab w:val="num" w:pos="864"/>
        </w:tabs>
        <w:ind w:left="720" w:hanging="288"/>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0">
    <w:nsid w:val="3D022E09"/>
    <w:multiLevelType w:val="hybridMultilevel"/>
    <w:tmpl w:val="AE8CE46A"/>
    <w:lvl w:ilvl="0" w:tplc="2FEA98B8">
      <w:start w:val="98"/>
      <w:numFmt w:val="decimal"/>
      <w:lvlText w:val="%1."/>
      <w:lvlJc w:val="left"/>
      <w:pPr>
        <w:tabs>
          <w:tab w:val="num" w:pos="2880"/>
        </w:tabs>
        <w:ind w:left="2880" w:hanging="720"/>
      </w:pPr>
      <w:rPr>
        <w:rFonts w:cs="Times New Roman"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1">
    <w:nsid w:val="3D7736EA"/>
    <w:multiLevelType w:val="hybridMultilevel"/>
    <w:tmpl w:val="E194AD4C"/>
    <w:lvl w:ilvl="0" w:tplc="04090019">
      <w:start w:val="1"/>
      <w:numFmt w:val="lowerLetter"/>
      <w:lvlText w:val="%1."/>
      <w:lvlJc w:val="left"/>
      <w:pPr>
        <w:ind w:left="720" w:hanging="360"/>
      </w:pPr>
      <w:rPr>
        <w:rFonts w:hint="default"/>
        <w:b w:val="0"/>
      </w:rPr>
    </w:lvl>
    <w:lvl w:ilvl="1" w:tplc="E62A5C16">
      <w:start w:val="1"/>
      <w:numFmt w:val="lowerLetter"/>
      <w:lvlText w:val="%2."/>
      <w:lvlJc w:val="left"/>
      <w:pPr>
        <w:ind w:left="1440" w:hanging="360"/>
      </w:pPr>
      <w:rPr>
        <w:b w:val="0"/>
      </w:rPr>
    </w:lvl>
    <w:lvl w:ilvl="2" w:tplc="4AF2AA72">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FC657E3"/>
    <w:multiLevelType w:val="hybridMultilevel"/>
    <w:tmpl w:val="019C15EE"/>
    <w:lvl w:ilvl="0" w:tplc="04090001">
      <w:start w:val="1"/>
      <w:numFmt w:val="bullet"/>
      <w:lvlText w:val=""/>
      <w:lvlJc w:val="left"/>
      <w:pPr>
        <w:ind w:left="720" w:hanging="360"/>
      </w:pPr>
      <w:rPr>
        <w:rFonts w:ascii="Symbol" w:hAnsi="Symbol" w:hint="default"/>
        <w:b w:val="0"/>
      </w:rPr>
    </w:lvl>
    <w:lvl w:ilvl="1" w:tplc="04090019">
      <w:start w:val="1"/>
      <w:numFmt w:val="lowerLetter"/>
      <w:lvlText w:val="%2."/>
      <w:lvlJc w:val="left"/>
      <w:pPr>
        <w:ind w:left="1440" w:hanging="360"/>
      </w:pPr>
    </w:lvl>
    <w:lvl w:ilvl="2" w:tplc="4AF2AA72">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FD63CDB"/>
    <w:multiLevelType w:val="hybridMultilevel"/>
    <w:tmpl w:val="E85A4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053039D"/>
    <w:multiLevelType w:val="hybridMultilevel"/>
    <w:tmpl w:val="887443D2"/>
    <w:lvl w:ilvl="0" w:tplc="50CAB63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2103393"/>
    <w:multiLevelType w:val="hybridMultilevel"/>
    <w:tmpl w:val="85384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30B362C"/>
    <w:multiLevelType w:val="hybridMultilevel"/>
    <w:tmpl w:val="2A462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57B40A2"/>
    <w:multiLevelType w:val="hybridMultilevel"/>
    <w:tmpl w:val="16BEE302"/>
    <w:lvl w:ilvl="0" w:tplc="7EF29A6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58D0317"/>
    <w:multiLevelType w:val="hybridMultilevel"/>
    <w:tmpl w:val="189A4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69D2CA0"/>
    <w:multiLevelType w:val="hybridMultilevel"/>
    <w:tmpl w:val="6884E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7DC14D0"/>
    <w:multiLevelType w:val="hybridMultilevel"/>
    <w:tmpl w:val="0D84F944"/>
    <w:lvl w:ilvl="0" w:tplc="4EA43A1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9D11191"/>
    <w:multiLevelType w:val="hybridMultilevel"/>
    <w:tmpl w:val="7832ADB2"/>
    <w:lvl w:ilvl="0" w:tplc="7A2201C4">
      <w:start w:val="1"/>
      <w:numFmt w:val="decimal"/>
      <w:lvlText w:val="%1."/>
      <w:lvlJc w:val="left"/>
      <w:pPr>
        <w:ind w:left="721" w:hanging="360"/>
      </w:pPr>
      <w:rPr>
        <w:rFonts w:hint="default"/>
        <w:b/>
      </w:rPr>
    </w:lvl>
    <w:lvl w:ilvl="1" w:tplc="2E9A1E1E">
      <w:start w:val="1"/>
      <w:numFmt w:val="lowerLetter"/>
      <w:lvlText w:val="%2."/>
      <w:lvlJc w:val="left"/>
      <w:pPr>
        <w:ind w:left="1441" w:hanging="360"/>
      </w:pPr>
      <w:rPr>
        <w:b/>
      </w:r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72">
    <w:nsid w:val="49F165E8"/>
    <w:multiLevelType w:val="hybridMultilevel"/>
    <w:tmpl w:val="87C4CE3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B815D75"/>
    <w:multiLevelType w:val="hybridMultilevel"/>
    <w:tmpl w:val="AB50C420"/>
    <w:lvl w:ilvl="0" w:tplc="93C42ECC">
      <w:start w:val="1"/>
      <w:numFmt w:val="decimal"/>
      <w:lvlText w:val="%1."/>
      <w:lvlJc w:val="left"/>
      <w:pPr>
        <w:ind w:left="720" w:hanging="360"/>
      </w:pPr>
      <w:rPr>
        <w:b/>
      </w:rPr>
    </w:lvl>
    <w:lvl w:ilvl="1" w:tplc="8FD8FA04">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B86073A"/>
    <w:multiLevelType w:val="hybridMultilevel"/>
    <w:tmpl w:val="926845F0"/>
    <w:lvl w:ilvl="0" w:tplc="71DA30C2">
      <w:start w:val="1"/>
      <w:numFmt w:val="bullet"/>
      <w:pStyle w:val="bullets2"/>
      <w:lvlText w:val=""/>
      <w:lvlJc w:val="left"/>
      <w:pPr>
        <w:tabs>
          <w:tab w:val="num" w:pos="360"/>
        </w:tabs>
        <w:ind w:left="360" w:hanging="360"/>
      </w:pPr>
      <w:rPr>
        <w:rFonts w:ascii="Wingdings" w:hAnsi="Wingdings" w:hint="default"/>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C6E608B"/>
    <w:multiLevelType w:val="hybridMultilevel"/>
    <w:tmpl w:val="C08C4970"/>
    <w:lvl w:ilvl="0" w:tplc="23FE3AE8">
      <w:start w:val="1"/>
      <w:numFmt w:val="lowerLetter"/>
      <w:lvlText w:val="%1."/>
      <w:lvlJc w:val="left"/>
      <w:pPr>
        <w:ind w:left="720" w:hanging="360"/>
      </w:pPr>
      <w:rPr>
        <w:rFonts w:hint="default"/>
        <w:b w:val="0"/>
      </w:rPr>
    </w:lvl>
    <w:lvl w:ilvl="1" w:tplc="23FE3AE8">
      <w:start w:val="1"/>
      <w:numFmt w:val="lowerLetter"/>
      <w:lvlText w:val="%2."/>
      <w:lvlJc w:val="left"/>
      <w:pPr>
        <w:ind w:left="1440" w:hanging="360"/>
      </w:pPr>
      <w:rPr>
        <w:rFonts w:hint="default"/>
        <w:b w:val="0"/>
      </w:rPr>
    </w:lvl>
    <w:lvl w:ilvl="2" w:tplc="4AF2AA72">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E2366E3"/>
    <w:multiLevelType w:val="hybridMultilevel"/>
    <w:tmpl w:val="109C71C0"/>
    <w:lvl w:ilvl="0" w:tplc="4E60340E">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EF127B9"/>
    <w:multiLevelType w:val="hybridMultilevel"/>
    <w:tmpl w:val="0B262CE0"/>
    <w:lvl w:ilvl="0" w:tplc="D64E1B5C">
      <w:start w:val="1"/>
      <w:numFmt w:val="decimal"/>
      <w:pStyle w:val="Numbered"/>
      <w:lvlText w:val="%1."/>
      <w:lvlJc w:val="left"/>
      <w:pPr>
        <w:tabs>
          <w:tab w:val="num" w:pos="720"/>
        </w:tabs>
        <w:ind w:left="720" w:hanging="360"/>
      </w:pPr>
      <w:rPr>
        <w:rFonts w:cs="Times New Roman" w:hint="default"/>
      </w:rPr>
    </w:lvl>
    <w:lvl w:ilvl="1" w:tplc="FEE40626" w:tentative="1">
      <w:start w:val="1"/>
      <w:numFmt w:val="lowerLetter"/>
      <w:lvlText w:val="%2."/>
      <w:lvlJc w:val="left"/>
      <w:pPr>
        <w:tabs>
          <w:tab w:val="num" w:pos="1440"/>
        </w:tabs>
        <w:ind w:left="1440" w:hanging="360"/>
      </w:pPr>
      <w:rPr>
        <w:rFonts w:cs="Times New Roman"/>
      </w:rPr>
    </w:lvl>
    <w:lvl w:ilvl="2" w:tplc="28DE4654" w:tentative="1">
      <w:start w:val="1"/>
      <w:numFmt w:val="lowerRoman"/>
      <w:lvlText w:val="%3."/>
      <w:lvlJc w:val="right"/>
      <w:pPr>
        <w:tabs>
          <w:tab w:val="num" w:pos="2160"/>
        </w:tabs>
        <w:ind w:left="2160" w:hanging="180"/>
      </w:pPr>
      <w:rPr>
        <w:rFonts w:cs="Times New Roman"/>
      </w:rPr>
    </w:lvl>
    <w:lvl w:ilvl="3" w:tplc="8F285316" w:tentative="1">
      <w:start w:val="1"/>
      <w:numFmt w:val="decimal"/>
      <w:lvlText w:val="%4."/>
      <w:lvlJc w:val="left"/>
      <w:pPr>
        <w:tabs>
          <w:tab w:val="num" w:pos="2880"/>
        </w:tabs>
        <w:ind w:left="2880" w:hanging="360"/>
      </w:pPr>
      <w:rPr>
        <w:rFonts w:cs="Times New Roman"/>
      </w:rPr>
    </w:lvl>
    <w:lvl w:ilvl="4" w:tplc="F6F48E40" w:tentative="1">
      <w:start w:val="1"/>
      <w:numFmt w:val="lowerLetter"/>
      <w:lvlText w:val="%5."/>
      <w:lvlJc w:val="left"/>
      <w:pPr>
        <w:tabs>
          <w:tab w:val="num" w:pos="3600"/>
        </w:tabs>
        <w:ind w:left="3600" w:hanging="360"/>
      </w:pPr>
      <w:rPr>
        <w:rFonts w:cs="Times New Roman"/>
      </w:rPr>
    </w:lvl>
    <w:lvl w:ilvl="5" w:tplc="B75A99B6" w:tentative="1">
      <w:start w:val="1"/>
      <w:numFmt w:val="lowerRoman"/>
      <w:lvlText w:val="%6."/>
      <w:lvlJc w:val="right"/>
      <w:pPr>
        <w:tabs>
          <w:tab w:val="num" w:pos="4320"/>
        </w:tabs>
        <w:ind w:left="4320" w:hanging="180"/>
      </w:pPr>
      <w:rPr>
        <w:rFonts w:cs="Times New Roman"/>
      </w:rPr>
    </w:lvl>
    <w:lvl w:ilvl="6" w:tplc="6082E068" w:tentative="1">
      <w:start w:val="1"/>
      <w:numFmt w:val="decimal"/>
      <w:lvlText w:val="%7."/>
      <w:lvlJc w:val="left"/>
      <w:pPr>
        <w:tabs>
          <w:tab w:val="num" w:pos="5040"/>
        </w:tabs>
        <w:ind w:left="5040" w:hanging="360"/>
      </w:pPr>
      <w:rPr>
        <w:rFonts w:cs="Times New Roman"/>
      </w:rPr>
    </w:lvl>
    <w:lvl w:ilvl="7" w:tplc="88826FFC" w:tentative="1">
      <w:start w:val="1"/>
      <w:numFmt w:val="lowerLetter"/>
      <w:lvlText w:val="%8."/>
      <w:lvlJc w:val="left"/>
      <w:pPr>
        <w:tabs>
          <w:tab w:val="num" w:pos="5760"/>
        </w:tabs>
        <w:ind w:left="5760" w:hanging="360"/>
      </w:pPr>
      <w:rPr>
        <w:rFonts w:cs="Times New Roman"/>
      </w:rPr>
    </w:lvl>
    <w:lvl w:ilvl="8" w:tplc="740678D2" w:tentative="1">
      <w:start w:val="1"/>
      <w:numFmt w:val="lowerRoman"/>
      <w:lvlText w:val="%9."/>
      <w:lvlJc w:val="right"/>
      <w:pPr>
        <w:tabs>
          <w:tab w:val="num" w:pos="6480"/>
        </w:tabs>
        <w:ind w:left="6480" w:hanging="180"/>
      </w:pPr>
      <w:rPr>
        <w:rFonts w:cs="Times New Roman"/>
      </w:rPr>
    </w:lvl>
  </w:abstractNum>
  <w:abstractNum w:abstractNumId="78">
    <w:nsid w:val="4F83095F"/>
    <w:multiLevelType w:val="hybridMultilevel"/>
    <w:tmpl w:val="4A54C9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nsid w:val="515D1297"/>
    <w:multiLevelType w:val="hybridMultilevel"/>
    <w:tmpl w:val="CE0C4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1626330"/>
    <w:multiLevelType w:val="hybridMultilevel"/>
    <w:tmpl w:val="CB52A708"/>
    <w:lvl w:ilvl="0" w:tplc="41967A34">
      <w:start w:val="98"/>
      <w:numFmt w:val="decimal"/>
      <w:lvlText w:val="%1."/>
      <w:lvlJc w:val="left"/>
      <w:pPr>
        <w:ind w:left="108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2135823"/>
    <w:multiLevelType w:val="multilevel"/>
    <w:tmpl w:val="F1D047EC"/>
    <w:lvl w:ilvl="0">
      <w:start w:val="1"/>
      <w:numFmt w:val="decimal"/>
      <w:lvlText w:val="%1."/>
      <w:lvlJc w:val="left"/>
      <w:pPr>
        <w:ind w:left="723" w:hanging="360"/>
      </w:pPr>
      <w:rPr>
        <w:rFonts w:hint="default"/>
        <w:b/>
      </w:rPr>
    </w:lvl>
    <w:lvl w:ilvl="1">
      <w:start w:val="1"/>
      <w:numFmt w:val="lowerLetter"/>
      <w:lvlRestart w:val="0"/>
      <w:lvlText w:val="%2."/>
      <w:lvlJc w:val="left"/>
      <w:pPr>
        <w:ind w:left="1443" w:hanging="360"/>
      </w:pPr>
      <w:rPr>
        <w:rFonts w:hint="default"/>
        <w:b/>
      </w:rPr>
    </w:lvl>
    <w:lvl w:ilvl="2">
      <w:start w:val="1"/>
      <w:numFmt w:val="lowerRoman"/>
      <w:lvlText w:val="%3."/>
      <w:lvlJc w:val="right"/>
      <w:pPr>
        <w:ind w:left="2163" w:hanging="180"/>
      </w:pPr>
      <w:rPr>
        <w:rFonts w:hint="default"/>
      </w:rPr>
    </w:lvl>
    <w:lvl w:ilvl="3">
      <w:start w:val="1"/>
      <w:numFmt w:val="decimal"/>
      <w:lvlText w:val="%4."/>
      <w:lvlJc w:val="left"/>
      <w:pPr>
        <w:ind w:left="2883" w:hanging="360"/>
      </w:pPr>
      <w:rPr>
        <w:rFonts w:hint="default"/>
      </w:rPr>
    </w:lvl>
    <w:lvl w:ilvl="4">
      <w:start w:val="1"/>
      <w:numFmt w:val="lowerLetter"/>
      <w:lvlText w:val="%5."/>
      <w:lvlJc w:val="left"/>
      <w:pPr>
        <w:ind w:left="3603" w:hanging="360"/>
      </w:pPr>
      <w:rPr>
        <w:rFonts w:hint="default"/>
      </w:rPr>
    </w:lvl>
    <w:lvl w:ilvl="5">
      <w:start w:val="1"/>
      <w:numFmt w:val="lowerRoman"/>
      <w:lvlText w:val="%6."/>
      <w:lvlJc w:val="right"/>
      <w:pPr>
        <w:ind w:left="4323" w:hanging="180"/>
      </w:pPr>
      <w:rPr>
        <w:rFonts w:hint="default"/>
      </w:rPr>
    </w:lvl>
    <w:lvl w:ilvl="6">
      <w:start w:val="1"/>
      <w:numFmt w:val="decimal"/>
      <w:lvlText w:val="%7."/>
      <w:lvlJc w:val="left"/>
      <w:pPr>
        <w:ind w:left="5043" w:hanging="360"/>
      </w:pPr>
      <w:rPr>
        <w:rFonts w:hint="default"/>
      </w:rPr>
    </w:lvl>
    <w:lvl w:ilvl="7">
      <w:start w:val="1"/>
      <w:numFmt w:val="lowerLetter"/>
      <w:lvlText w:val="%8."/>
      <w:lvlJc w:val="left"/>
      <w:pPr>
        <w:ind w:left="5763" w:hanging="360"/>
      </w:pPr>
      <w:rPr>
        <w:rFonts w:hint="default"/>
      </w:rPr>
    </w:lvl>
    <w:lvl w:ilvl="8">
      <w:start w:val="1"/>
      <w:numFmt w:val="lowerRoman"/>
      <w:lvlText w:val="%9."/>
      <w:lvlJc w:val="right"/>
      <w:pPr>
        <w:ind w:left="6483" w:hanging="180"/>
      </w:pPr>
      <w:rPr>
        <w:rFonts w:hint="default"/>
      </w:rPr>
    </w:lvl>
  </w:abstractNum>
  <w:abstractNum w:abstractNumId="82">
    <w:nsid w:val="52264B7C"/>
    <w:multiLevelType w:val="hybridMultilevel"/>
    <w:tmpl w:val="4AE825D4"/>
    <w:lvl w:ilvl="0" w:tplc="E770714C">
      <w:start w:val="1"/>
      <w:numFmt w:val="lowerLetter"/>
      <w:lvlText w:val="%1."/>
      <w:lvlJc w:val="left"/>
      <w:pPr>
        <w:ind w:left="144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3483B07"/>
    <w:multiLevelType w:val="hybridMultilevel"/>
    <w:tmpl w:val="D6D09368"/>
    <w:styleLink w:val="StyleBulleted1"/>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537B6F08"/>
    <w:multiLevelType w:val="multilevel"/>
    <w:tmpl w:val="F1D047EC"/>
    <w:lvl w:ilvl="0">
      <w:start w:val="1"/>
      <w:numFmt w:val="decimal"/>
      <w:lvlText w:val="%1."/>
      <w:lvlJc w:val="left"/>
      <w:pPr>
        <w:ind w:left="720" w:hanging="360"/>
      </w:pPr>
      <w:rPr>
        <w:rFonts w:hint="default"/>
        <w:b/>
      </w:rPr>
    </w:lvl>
    <w:lvl w:ilvl="1">
      <w:start w:val="1"/>
      <w:numFmt w:val="lowerLetter"/>
      <w:lvlRestart w:val="0"/>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5">
    <w:nsid w:val="571C1859"/>
    <w:multiLevelType w:val="hybridMultilevel"/>
    <w:tmpl w:val="0E5429C6"/>
    <w:lvl w:ilvl="0" w:tplc="580E6FEC">
      <w:start w:val="1"/>
      <w:numFmt w:val="decimal"/>
      <w:lvlText w:val="%1."/>
      <w:lvlJc w:val="left"/>
      <w:pPr>
        <w:ind w:left="1082" w:hanging="360"/>
      </w:pPr>
      <w:rPr>
        <w:b w:val="0"/>
      </w:rPr>
    </w:lvl>
    <w:lvl w:ilvl="1" w:tplc="F1920724">
      <w:start w:val="1"/>
      <w:numFmt w:val="lowerLetter"/>
      <w:lvlText w:val="%2."/>
      <w:lvlJc w:val="left"/>
      <w:pPr>
        <w:ind w:left="1802" w:hanging="360"/>
      </w:pPr>
      <w:rPr>
        <w:b/>
      </w:rPr>
    </w:lvl>
    <w:lvl w:ilvl="2" w:tplc="0409001B" w:tentative="1">
      <w:start w:val="1"/>
      <w:numFmt w:val="lowerRoman"/>
      <w:lvlText w:val="%3."/>
      <w:lvlJc w:val="right"/>
      <w:pPr>
        <w:ind w:left="2522" w:hanging="180"/>
      </w:pPr>
    </w:lvl>
    <w:lvl w:ilvl="3" w:tplc="0409000F" w:tentative="1">
      <w:start w:val="1"/>
      <w:numFmt w:val="decimal"/>
      <w:lvlText w:val="%4."/>
      <w:lvlJc w:val="left"/>
      <w:pPr>
        <w:ind w:left="3242" w:hanging="360"/>
      </w:pPr>
    </w:lvl>
    <w:lvl w:ilvl="4" w:tplc="04090019" w:tentative="1">
      <w:start w:val="1"/>
      <w:numFmt w:val="lowerLetter"/>
      <w:lvlText w:val="%5."/>
      <w:lvlJc w:val="left"/>
      <w:pPr>
        <w:ind w:left="3962" w:hanging="360"/>
      </w:pPr>
    </w:lvl>
    <w:lvl w:ilvl="5" w:tplc="0409001B" w:tentative="1">
      <w:start w:val="1"/>
      <w:numFmt w:val="lowerRoman"/>
      <w:lvlText w:val="%6."/>
      <w:lvlJc w:val="right"/>
      <w:pPr>
        <w:ind w:left="4682" w:hanging="180"/>
      </w:pPr>
    </w:lvl>
    <w:lvl w:ilvl="6" w:tplc="0409000F" w:tentative="1">
      <w:start w:val="1"/>
      <w:numFmt w:val="decimal"/>
      <w:lvlText w:val="%7."/>
      <w:lvlJc w:val="left"/>
      <w:pPr>
        <w:ind w:left="5402" w:hanging="360"/>
      </w:pPr>
    </w:lvl>
    <w:lvl w:ilvl="7" w:tplc="04090019" w:tentative="1">
      <w:start w:val="1"/>
      <w:numFmt w:val="lowerLetter"/>
      <w:lvlText w:val="%8."/>
      <w:lvlJc w:val="left"/>
      <w:pPr>
        <w:ind w:left="6122" w:hanging="360"/>
      </w:pPr>
    </w:lvl>
    <w:lvl w:ilvl="8" w:tplc="0409001B" w:tentative="1">
      <w:start w:val="1"/>
      <w:numFmt w:val="lowerRoman"/>
      <w:lvlText w:val="%9."/>
      <w:lvlJc w:val="right"/>
      <w:pPr>
        <w:ind w:left="6842" w:hanging="180"/>
      </w:pPr>
    </w:lvl>
  </w:abstractNum>
  <w:abstractNum w:abstractNumId="86">
    <w:nsid w:val="577E423B"/>
    <w:multiLevelType w:val="hybridMultilevel"/>
    <w:tmpl w:val="08560C40"/>
    <w:lvl w:ilvl="0" w:tplc="D0C2282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8CA0AE7"/>
    <w:multiLevelType w:val="hybridMultilevel"/>
    <w:tmpl w:val="73724B14"/>
    <w:lvl w:ilvl="0" w:tplc="608E91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5CC77DFE"/>
    <w:multiLevelType w:val="hybridMultilevel"/>
    <w:tmpl w:val="18086FAA"/>
    <w:lvl w:ilvl="0" w:tplc="23FE3AE8">
      <w:start w:val="1"/>
      <w:numFmt w:val="lowerLetter"/>
      <w:lvlText w:val="%1."/>
      <w:lvlJc w:val="left"/>
      <w:pPr>
        <w:ind w:left="720" w:hanging="360"/>
      </w:pPr>
      <w:rPr>
        <w:rFonts w:hint="default"/>
        <w:b w:val="0"/>
      </w:rPr>
    </w:lvl>
    <w:lvl w:ilvl="1" w:tplc="A96C02E4">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E535447"/>
    <w:multiLevelType w:val="hybridMultilevel"/>
    <w:tmpl w:val="FEAEF34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90">
    <w:nsid w:val="5E9A0B13"/>
    <w:multiLevelType w:val="hybridMultilevel"/>
    <w:tmpl w:val="DF3E07A2"/>
    <w:lvl w:ilvl="0" w:tplc="AD40FD66">
      <w:start w:val="1"/>
      <w:numFmt w:val="decimal"/>
      <w:lvlText w:val="%1."/>
      <w:lvlJc w:val="left"/>
      <w:pPr>
        <w:ind w:left="720" w:hanging="360"/>
      </w:pPr>
      <w:rPr>
        <w:rFonts w:hint="default"/>
        <w:i w:val="0"/>
      </w:rPr>
    </w:lvl>
    <w:lvl w:ilvl="1" w:tplc="152A692C">
      <w:start w:val="1"/>
      <w:numFmt w:val="lowerLetter"/>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FB90A15"/>
    <w:multiLevelType w:val="hybridMultilevel"/>
    <w:tmpl w:val="05D8B262"/>
    <w:lvl w:ilvl="0" w:tplc="0EE6D80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0B71F34"/>
    <w:multiLevelType w:val="hybridMultilevel"/>
    <w:tmpl w:val="A11897AC"/>
    <w:lvl w:ilvl="0" w:tplc="8C02D43C">
      <w:start w:val="1"/>
      <w:numFmt w:val="decimal"/>
      <w:lvlText w:val="%1."/>
      <w:lvlJc w:val="left"/>
      <w:pPr>
        <w:ind w:left="720" w:hanging="360"/>
      </w:pPr>
      <w:rPr>
        <w:b/>
      </w:rPr>
    </w:lvl>
    <w:lvl w:ilvl="1" w:tplc="24A67292">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4CF2BD0"/>
    <w:multiLevelType w:val="hybridMultilevel"/>
    <w:tmpl w:val="B8D8D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4F71430"/>
    <w:multiLevelType w:val="hybridMultilevel"/>
    <w:tmpl w:val="6F84781C"/>
    <w:lvl w:ilvl="0" w:tplc="E2F2F480">
      <w:start w:val="1"/>
      <w:numFmt w:val="decimal"/>
      <w:pStyle w:val="tablestyle"/>
      <w:lvlText w:val="Table %1."/>
      <w:lvlJc w:val="left"/>
      <w:pPr>
        <w:tabs>
          <w:tab w:val="num" w:pos="720"/>
        </w:tabs>
        <w:ind w:left="720" w:hanging="360"/>
      </w:pPr>
      <w:rPr>
        <w:rFonts w:cs="Times New Roman" w:hint="default"/>
      </w:rPr>
    </w:lvl>
    <w:lvl w:ilvl="1" w:tplc="68CE48DC" w:tentative="1">
      <w:start w:val="1"/>
      <w:numFmt w:val="lowerLetter"/>
      <w:lvlText w:val="%2."/>
      <w:lvlJc w:val="left"/>
      <w:pPr>
        <w:tabs>
          <w:tab w:val="num" w:pos="1440"/>
        </w:tabs>
        <w:ind w:left="1440" w:hanging="360"/>
      </w:pPr>
      <w:rPr>
        <w:rFonts w:cs="Times New Roman"/>
      </w:rPr>
    </w:lvl>
    <w:lvl w:ilvl="2" w:tplc="91C844CC" w:tentative="1">
      <w:start w:val="1"/>
      <w:numFmt w:val="lowerRoman"/>
      <w:lvlText w:val="%3."/>
      <w:lvlJc w:val="right"/>
      <w:pPr>
        <w:tabs>
          <w:tab w:val="num" w:pos="2160"/>
        </w:tabs>
        <w:ind w:left="2160" w:hanging="180"/>
      </w:pPr>
      <w:rPr>
        <w:rFonts w:cs="Times New Roman"/>
      </w:rPr>
    </w:lvl>
    <w:lvl w:ilvl="3" w:tplc="B4BACCDC" w:tentative="1">
      <w:start w:val="1"/>
      <w:numFmt w:val="decimal"/>
      <w:lvlText w:val="%4."/>
      <w:lvlJc w:val="left"/>
      <w:pPr>
        <w:tabs>
          <w:tab w:val="num" w:pos="2880"/>
        </w:tabs>
        <w:ind w:left="2880" w:hanging="360"/>
      </w:pPr>
      <w:rPr>
        <w:rFonts w:cs="Times New Roman"/>
      </w:rPr>
    </w:lvl>
    <w:lvl w:ilvl="4" w:tplc="AB2A15B0" w:tentative="1">
      <w:start w:val="1"/>
      <w:numFmt w:val="lowerLetter"/>
      <w:lvlText w:val="%5."/>
      <w:lvlJc w:val="left"/>
      <w:pPr>
        <w:tabs>
          <w:tab w:val="num" w:pos="3600"/>
        </w:tabs>
        <w:ind w:left="3600" w:hanging="360"/>
      </w:pPr>
      <w:rPr>
        <w:rFonts w:cs="Times New Roman"/>
      </w:rPr>
    </w:lvl>
    <w:lvl w:ilvl="5" w:tplc="8954DF66" w:tentative="1">
      <w:start w:val="1"/>
      <w:numFmt w:val="lowerRoman"/>
      <w:lvlText w:val="%6."/>
      <w:lvlJc w:val="right"/>
      <w:pPr>
        <w:tabs>
          <w:tab w:val="num" w:pos="4320"/>
        </w:tabs>
        <w:ind w:left="4320" w:hanging="180"/>
      </w:pPr>
      <w:rPr>
        <w:rFonts w:cs="Times New Roman"/>
      </w:rPr>
    </w:lvl>
    <w:lvl w:ilvl="6" w:tplc="0E809CD8" w:tentative="1">
      <w:start w:val="1"/>
      <w:numFmt w:val="decimal"/>
      <w:lvlText w:val="%7."/>
      <w:lvlJc w:val="left"/>
      <w:pPr>
        <w:tabs>
          <w:tab w:val="num" w:pos="5040"/>
        </w:tabs>
        <w:ind w:left="5040" w:hanging="360"/>
      </w:pPr>
      <w:rPr>
        <w:rFonts w:cs="Times New Roman"/>
      </w:rPr>
    </w:lvl>
    <w:lvl w:ilvl="7" w:tplc="755E1158" w:tentative="1">
      <w:start w:val="1"/>
      <w:numFmt w:val="lowerLetter"/>
      <w:lvlText w:val="%8."/>
      <w:lvlJc w:val="left"/>
      <w:pPr>
        <w:tabs>
          <w:tab w:val="num" w:pos="5760"/>
        </w:tabs>
        <w:ind w:left="5760" w:hanging="360"/>
      </w:pPr>
      <w:rPr>
        <w:rFonts w:cs="Times New Roman"/>
      </w:rPr>
    </w:lvl>
    <w:lvl w:ilvl="8" w:tplc="DA628980" w:tentative="1">
      <w:start w:val="1"/>
      <w:numFmt w:val="lowerRoman"/>
      <w:lvlText w:val="%9."/>
      <w:lvlJc w:val="right"/>
      <w:pPr>
        <w:tabs>
          <w:tab w:val="num" w:pos="6480"/>
        </w:tabs>
        <w:ind w:left="6480" w:hanging="180"/>
      </w:pPr>
      <w:rPr>
        <w:rFonts w:cs="Times New Roman"/>
      </w:rPr>
    </w:lvl>
  </w:abstractNum>
  <w:abstractNum w:abstractNumId="95">
    <w:nsid w:val="6597107A"/>
    <w:multiLevelType w:val="hybridMultilevel"/>
    <w:tmpl w:val="9B2C4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65C340C"/>
    <w:multiLevelType w:val="hybridMultilevel"/>
    <w:tmpl w:val="DB6EAD4E"/>
    <w:lvl w:ilvl="0" w:tplc="23FE3AE8">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nsid w:val="677D026B"/>
    <w:multiLevelType w:val="hybridMultilevel"/>
    <w:tmpl w:val="C5A86C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8862147"/>
    <w:multiLevelType w:val="hybridMultilevel"/>
    <w:tmpl w:val="75440F00"/>
    <w:lvl w:ilvl="0" w:tplc="2D825056">
      <w:start w:val="1"/>
      <w:numFmt w:val="decimal"/>
      <w:lvlText w:val="%1."/>
      <w:lvlJc w:val="left"/>
      <w:pPr>
        <w:ind w:left="720" w:hanging="360"/>
      </w:pPr>
      <w:rPr>
        <w:b/>
      </w:rPr>
    </w:lvl>
    <w:lvl w:ilvl="1" w:tplc="C686B602">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A9F1536"/>
    <w:multiLevelType w:val="hybridMultilevel"/>
    <w:tmpl w:val="BAB2EFBA"/>
    <w:lvl w:ilvl="0" w:tplc="98963BD6">
      <w:start w:val="1"/>
      <w:numFmt w:val="lowerLetter"/>
      <w:lvlText w:val="%1."/>
      <w:lvlJc w:val="left"/>
      <w:pPr>
        <w:ind w:left="144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B2F2955"/>
    <w:multiLevelType w:val="hybridMultilevel"/>
    <w:tmpl w:val="F4608950"/>
    <w:lvl w:ilvl="0" w:tplc="496C2A6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C4A23DA"/>
    <w:multiLevelType w:val="hybridMultilevel"/>
    <w:tmpl w:val="50FE9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nsid w:val="6EB03562"/>
    <w:multiLevelType w:val="hybridMultilevel"/>
    <w:tmpl w:val="164A674A"/>
    <w:lvl w:ilvl="0" w:tplc="3AF06528">
      <w:start w:val="1"/>
      <w:numFmt w:val="decimal"/>
      <w:lvlText w:val="%1."/>
      <w:lvlJc w:val="left"/>
      <w:pPr>
        <w:tabs>
          <w:tab w:val="num" w:pos="1440"/>
        </w:tabs>
        <w:ind w:left="1440" w:hanging="72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03">
    <w:nsid w:val="6F20755A"/>
    <w:multiLevelType w:val="hybridMultilevel"/>
    <w:tmpl w:val="C08C4970"/>
    <w:lvl w:ilvl="0" w:tplc="23FE3AE8">
      <w:start w:val="1"/>
      <w:numFmt w:val="lowerLetter"/>
      <w:lvlText w:val="%1."/>
      <w:lvlJc w:val="left"/>
      <w:pPr>
        <w:ind w:left="720" w:hanging="360"/>
      </w:pPr>
      <w:rPr>
        <w:rFonts w:hint="default"/>
        <w:b w:val="0"/>
      </w:rPr>
    </w:lvl>
    <w:lvl w:ilvl="1" w:tplc="23FE3AE8">
      <w:start w:val="1"/>
      <w:numFmt w:val="lowerLetter"/>
      <w:lvlText w:val="%2."/>
      <w:lvlJc w:val="left"/>
      <w:pPr>
        <w:ind w:left="1440" w:hanging="360"/>
      </w:pPr>
      <w:rPr>
        <w:rFonts w:hint="default"/>
        <w:b w:val="0"/>
      </w:rPr>
    </w:lvl>
    <w:lvl w:ilvl="2" w:tplc="4AF2AA72">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F7D65FF"/>
    <w:multiLevelType w:val="hybridMultilevel"/>
    <w:tmpl w:val="D2E080DA"/>
    <w:lvl w:ilvl="0" w:tplc="B7584B8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0B06E48"/>
    <w:multiLevelType w:val="hybridMultilevel"/>
    <w:tmpl w:val="FB5C8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13B4249"/>
    <w:multiLevelType w:val="multilevel"/>
    <w:tmpl w:val="0409001D"/>
    <w:styleLink w:val="Style1"/>
    <w:lvl w:ilvl="0">
      <w:start w:val="1"/>
      <w:numFmt w:val="upperLetter"/>
      <w:lvlText w:val="%1)"/>
      <w:lvlJc w:val="left"/>
      <w:pPr>
        <w:ind w:left="360" w:hanging="360"/>
      </w:pPr>
      <w:rPr>
        <w:rFonts w:ascii="Palatino Linotype" w:hAnsi="Palatino Linotype"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07">
    <w:nsid w:val="71B5791D"/>
    <w:multiLevelType w:val="hybridMultilevel"/>
    <w:tmpl w:val="D91A461C"/>
    <w:lvl w:ilvl="0" w:tplc="A2286CEE">
      <w:start w:val="1"/>
      <w:numFmt w:val="decimal"/>
      <w:lvlText w:val="%1."/>
      <w:lvlJc w:val="left"/>
      <w:pPr>
        <w:ind w:left="720" w:hanging="360"/>
      </w:pPr>
      <w:rPr>
        <w:b/>
      </w:rPr>
    </w:lvl>
    <w:lvl w:ilvl="1" w:tplc="1616992C">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3820759"/>
    <w:multiLevelType w:val="hybridMultilevel"/>
    <w:tmpl w:val="184A2F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nsid w:val="74035DEF"/>
    <w:multiLevelType w:val="hybridMultilevel"/>
    <w:tmpl w:val="1A8CB4FC"/>
    <w:lvl w:ilvl="0" w:tplc="B7969B4C">
      <w:start w:val="1"/>
      <w:numFmt w:val="decimal"/>
      <w:lvlText w:val="%1."/>
      <w:lvlJc w:val="left"/>
      <w:pPr>
        <w:ind w:left="724" w:hanging="360"/>
      </w:pPr>
      <w:rPr>
        <w:b/>
      </w:rPr>
    </w:lvl>
    <w:lvl w:ilvl="1" w:tplc="DD86F2E6">
      <w:start w:val="1"/>
      <w:numFmt w:val="lowerLetter"/>
      <w:lvlText w:val="%2."/>
      <w:lvlJc w:val="left"/>
      <w:pPr>
        <w:ind w:left="1444" w:hanging="360"/>
      </w:pPr>
      <w:rPr>
        <w:b/>
      </w:r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10">
    <w:nsid w:val="76200084"/>
    <w:multiLevelType w:val="multilevel"/>
    <w:tmpl w:val="8E28F958"/>
    <w:lvl w:ilvl="0">
      <w:start w:val="1"/>
      <w:numFmt w:val="decimal"/>
      <w:lvlText w:val="%1."/>
      <w:lvlJc w:val="left"/>
      <w:pPr>
        <w:ind w:left="720" w:hanging="360"/>
      </w:pPr>
      <w:rPr>
        <w:rFonts w:hint="default"/>
        <w:b/>
        <w:color w:val="auto"/>
      </w:rPr>
    </w:lvl>
    <w:lvl w:ilvl="1">
      <w:start w:val="1"/>
      <w:numFmt w:val="lowerLetter"/>
      <w:lvlText w:val="%2."/>
      <w:lvlJc w:val="left"/>
      <w:pPr>
        <w:ind w:left="1440" w:hanging="360"/>
      </w:pPr>
      <w:rPr>
        <w:rFonts w:hint="default"/>
        <w:b/>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b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1">
    <w:nsid w:val="77D45A95"/>
    <w:multiLevelType w:val="hybridMultilevel"/>
    <w:tmpl w:val="ACA4A378"/>
    <w:lvl w:ilvl="0" w:tplc="6A92E63E">
      <w:start w:val="1"/>
      <w:numFmt w:val="decimal"/>
      <w:lvlText w:val="%1."/>
      <w:lvlJc w:val="left"/>
      <w:pPr>
        <w:ind w:left="1080" w:hanging="720"/>
      </w:pPr>
      <w:rPr>
        <w:rFonts w:hint="default"/>
        <w:b/>
      </w:rPr>
    </w:lvl>
    <w:lvl w:ilvl="1" w:tplc="622A64E4">
      <w:start w:val="1"/>
      <w:numFmt w:val="lowerLetter"/>
      <w:lvlText w:val="%2."/>
      <w:lvlJc w:val="left"/>
      <w:pPr>
        <w:ind w:left="1800" w:hanging="72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9A454E1"/>
    <w:multiLevelType w:val="hybridMultilevel"/>
    <w:tmpl w:val="079C69EC"/>
    <w:lvl w:ilvl="0" w:tplc="23FE3AE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A864B51"/>
    <w:multiLevelType w:val="hybridMultilevel"/>
    <w:tmpl w:val="58169E04"/>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B9A0C7D"/>
    <w:multiLevelType w:val="hybridMultilevel"/>
    <w:tmpl w:val="AE44ECB6"/>
    <w:lvl w:ilvl="0" w:tplc="3F087B7C">
      <w:start w:val="1"/>
      <w:numFmt w:val="lowerLetter"/>
      <w:lvlText w:val="%1."/>
      <w:lvlJc w:val="left"/>
      <w:pPr>
        <w:ind w:left="2886"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C4D6EA8"/>
    <w:multiLevelType w:val="hybridMultilevel"/>
    <w:tmpl w:val="CC9023D2"/>
    <w:lvl w:ilvl="0" w:tplc="622A64E4">
      <w:start w:val="1"/>
      <w:numFmt w:val="lowerLetter"/>
      <w:lvlText w:val="%1."/>
      <w:lvlJc w:val="left"/>
      <w:pPr>
        <w:ind w:left="180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C702644"/>
    <w:multiLevelType w:val="hybridMultilevel"/>
    <w:tmpl w:val="5B649C3A"/>
    <w:lvl w:ilvl="0" w:tplc="E44E372C">
      <w:start w:val="96"/>
      <w:numFmt w:val="decimal"/>
      <w:lvlText w:val="%1."/>
      <w:lvlJc w:val="left"/>
      <w:pPr>
        <w:ind w:left="1080" w:hanging="360"/>
      </w:pPr>
      <w:rPr>
        <w:rFonts w:cs="Times New Roman" w:hint="default"/>
      </w:rPr>
    </w:lvl>
    <w:lvl w:ilvl="1" w:tplc="E67CD39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C8C4B72"/>
    <w:multiLevelType w:val="hybridMultilevel"/>
    <w:tmpl w:val="4BA8BB26"/>
    <w:lvl w:ilvl="0" w:tplc="308E374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D980877"/>
    <w:multiLevelType w:val="hybridMultilevel"/>
    <w:tmpl w:val="DFFA0B56"/>
    <w:lvl w:ilvl="0" w:tplc="04090001">
      <w:start w:val="1"/>
      <w:numFmt w:val="bullet"/>
      <w:lvlText w:val=""/>
      <w:lvlJc w:val="left"/>
      <w:pPr>
        <w:ind w:left="1080" w:hanging="720"/>
      </w:pPr>
      <w:rPr>
        <w:rFonts w:ascii="Symbol" w:hAnsi="Symbol" w:hint="default"/>
      </w:rPr>
    </w:lvl>
    <w:lvl w:ilvl="1" w:tplc="23FE3AE8">
      <w:start w:val="1"/>
      <w:numFmt w:val="lowerLetter"/>
      <w:lvlText w:val="%2."/>
      <w:lvlJc w:val="left"/>
      <w:pPr>
        <w:ind w:left="1800" w:hanging="72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DA44DA0"/>
    <w:multiLevelType w:val="hybridMultilevel"/>
    <w:tmpl w:val="92E26958"/>
    <w:lvl w:ilvl="0" w:tplc="5022B0BC">
      <w:start w:val="1"/>
      <w:numFmt w:val="decimal"/>
      <w:pStyle w:val="TableList"/>
      <w:lvlText w:val="%1."/>
      <w:lvlJc w:val="left"/>
      <w:pPr>
        <w:ind w:left="360" w:hanging="360"/>
      </w:pPr>
      <w:rPr>
        <w:rFonts w:hint="default"/>
        <w:b w:val="0"/>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DD35C7C"/>
    <w:multiLevelType w:val="hybridMultilevel"/>
    <w:tmpl w:val="C36E0DE0"/>
    <w:lvl w:ilvl="0" w:tplc="0409000F">
      <w:start w:val="1"/>
      <w:numFmt w:val="bullet"/>
      <w:pStyle w:val="Justifiedbullets"/>
      <w:lvlText w:val=""/>
      <w:lvlJc w:val="left"/>
      <w:pPr>
        <w:tabs>
          <w:tab w:val="num" w:pos="1080"/>
        </w:tabs>
        <w:ind w:left="1080" w:hanging="360"/>
      </w:pPr>
      <w:rPr>
        <w:rFonts w:ascii="Symbol" w:hAnsi="Symbol" w:hint="default"/>
      </w:rPr>
    </w:lvl>
    <w:lvl w:ilvl="1" w:tplc="04090019">
      <w:start w:val="1"/>
      <w:numFmt w:val="bullet"/>
      <w:lvlText w:val="o"/>
      <w:lvlJc w:val="left"/>
      <w:pPr>
        <w:tabs>
          <w:tab w:val="num" w:pos="1800"/>
        </w:tabs>
        <w:ind w:left="1800" w:hanging="360"/>
      </w:pPr>
      <w:rPr>
        <w:rFonts w:ascii="Courier New" w:hAnsi="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121">
    <w:nsid w:val="7DED3C37"/>
    <w:multiLevelType w:val="hybridMultilevel"/>
    <w:tmpl w:val="22DE1322"/>
    <w:lvl w:ilvl="0" w:tplc="6A92E63E">
      <w:start w:val="1"/>
      <w:numFmt w:val="decimal"/>
      <w:lvlText w:val="%1."/>
      <w:lvlJc w:val="left"/>
      <w:pPr>
        <w:ind w:left="1080" w:hanging="720"/>
      </w:pPr>
      <w:rPr>
        <w:rFonts w:hint="default"/>
        <w:b/>
      </w:rPr>
    </w:lvl>
    <w:lvl w:ilvl="1" w:tplc="4416763A">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2"/>
  </w:num>
  <w:num w:numId="2">
    <w:abstractNumId w:val="54"/>
  </w:num>
  <w:num w:numId="3">
    <w:abstractNumId w:val="13"/>
  </w:num>
  <w:num w:numId="4">
    <w:abstractNumId w:val="74"/>
  </w:num>
  <w:num w:numId="5">
    <w:abstractNumId w:val="53"/>
  </w:num>
  <w:num w:numId="6">
    <w:abstractNumId w:val="32"/>
  </w:num>
  <w:num w:numId="7">
    <w:abstractNumId w:val="106"/>
  </w:num>
  <w:num w:numId="8">
    <w:abstractNumId w:val="7"/>
  </w:num>
  <w:num w:numId="9">
    <w:abstractNumId w:val="119"/>
  </w:num>
  <w:num w:numId="10">
    <w:abstractNumId w:val="120"/>
  </w:num>
  <w:num w:numId="11">
    <w:abstractNumId w:val="77"/>
  </w:num>
  <w:num w:numId="12">
    <w:abstractNumId w:val="45"/>
  </w:num>
  <w:num w:numId="13">
    <w:abstractNumId w:val="19"/>
  </w:num>
  <w:num w:numId="14">
    <w:abstractNumId w:val="51"/>
  </w:num>
  <w:num w:numId="15">
    <w:abstractNumId w:val="50"/>
  </w:num>
  <w:num w:numId="16">
    <w:abstractNumId w:val="76"/>
  </w:num>
  <w:num w:numId="17">
    <w:abstractNumId w:val="94"/>
  </w:num>
  <w:num w:numId="18">
    <w:abstractNumId w:val="15"/>
  </w:num>
  <w:num w:numId="19">
    <w:abstractNumId w:val="18"/>
  </w:num>
  <w:num w:numId="20">
    <w:abstractNumId w:val="111"/>
  </w:num>
  <w:num w:numId="21">
    <w:abstractNumId w:val="63"/>
  </w:num>
  <w:num w:numId="22">
    <w:abstractNumId w:val="57"/>
  </w:num>
  <w:num w:numId="23">
    <w:abstractNumId w:val="25"/>
  </w:num>
  <w:num w:numId="24">
    <w:abstractNumId w:val="65"/>
  </w:num>
  <w:num w:numId="25">
    <w:abstractNumId w:val="14"/>
  </w:num>
  <w:num w:numId="26">
    <w:abstractNumId w:val="40"/>
  </w:num>
  <w:num w:numId="27">
    <w:abstractNumId w:val="101"/>
  </w:num>
  <w:num w:numId="28">
    <w:abstractNumId w:val="93"/>
  </w:num>
  <w:num w:numId="29">
    <w:abstractNumId w:val="112"/>
  </w:num>
  <w:num w:numId="30">
    <w:abstractNumId w:val="41"/>
  </w:num>
  <w:num w:numId="31">
    <w:abstractNumId w:val="61"/>
  </w:num>
  <w:num w:numId="32">
    <w:abstractNumId w:val="88"/>
  </w:num>
  <w:num w:numId="33">
    <w:abstractNumId w:val="1"/>
  </w:num>
  <w:num w:numId="34">
    <w:abstractNumId w:val="99"/>
  </w:num>
  <w:num w:numId="35">
    <w:abstractNumId w:val="39"/>
  </w:num>
  <w:num w:numId="36">
    <w:abstractNumId w:val="23"/>
  </w:num>
  <w:num w:numId="37">
    <w:abstractNumId w:val="86"/>
  </w:num>
  <w:num w:numId="38">
    <w:abstractNumId w:val="108"/>
  </w:num>
  <w:num w:numId="39">
    <w:abstractNumId w:val="36"/>
  </w:num>
  <w:num w:numId="40">
    <w:abstractNumId w:val="26"/>
  </w:num>
  <w:num w:numId="41">
    <w:abstractNumId w:val="113"/>
  </w:num>
  <w:num w:numId="42">
    <w:abstractNumId w:val="62"/>
  </w:num>
  <w:num w:numId="43">
    <w:abstractNumId w:val="117"/>
  </w:num>
  <w:num w:numId="44">
    <w:abstractNumId w:val="11"/>
  </w:num>
  <w:num w:numId="45">
    <w:abstractNumId w:val="68"/>
  </w:num>
  <w:num w:numId="46">
    <w:abstractNumId w:val="98"/>
  </w:num>
  <w:num w:numId="47">
    <w:abstractNumId w:val="105"/>
  </w:num>
  <w:num w:numId="48">
    <w:abstractNumId w:val="116"/>
  </w:num>
  <w:num w:numId="4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0"/>
  </w:num>
  <w:num w:numId="51">
    <w:abstractNumId w:val="102"/>
  </w:num>
  <w:num w:numId="52">
    <w:abstractNumId w:val="9"/>
  </w:num>
  <w:num w:numId="53">
    <w:abstractNumId w:val="22"/>
  </w:num>
  <w:num w:numId="54">
    <w:abstractNumId w:val="27"/>
  </w:num>
  <w:num w:numId="55">
    <w:abstractNumId w:val="87"/>
  </w:num>
  <w:num w:numId="56">
    <w:abstractNumId w:val="80"/>
  </w:num>
  <w:num w:numId="57">
    <w:abstractNumId w:val="118"/>
  </w:num>
  <w:num w:numId="58">
    <w:abstractNumId w:val="35"/>
  </w:num>
  <w:num w:numId="59">
    <w:abstractNumId w:val="92"/>
  </w:num>
  <w:num w:numId="60">
    <w:abstractNumId w:val="107"/>
  </w:num>
  <w:num w:numId="61">
    <w:abstractNumId w:val="16"/>
  </w:num>
  <w:num w:numId="62">
    <w:abstractNumId w:val="44"/>
  </w:num>
  <w:num w:numId="63">
    <w:abstractNumId w:val="0"/>
  </w:num>
  <w:num w:numId="64">
    <w:abstractNumId w:val="104"/>
  </w:num>
  <w:num w:numId="65">
    <w:abstractNumId w:val="5"/>
  </w:num>
  <w:num w:numId="66">
    <w:abstractNumId w:val="56"/>
  </w:num>
  <w:num w:numId="67">
    <w:abstractNumId w:val="38"/>
  </w:num>
  <w:num w:numId="68">
    <w:abstractNumId w:val="85"/>
  </w:num>
  <w:num w:numId="69">
    <w:abstractNumId w:val="29"/>
  </w:num>
  <w:num w:numId="70">
    <w:abstractNumId w:val="66"/>
  </w:num>
  <w:num w:numId="71">
    <w:abstractNumId w:val="72"/>
  </w:num>
  <w:num w:numId="72">
    <w:abstractNumId w:val="42"/>
  </w:num>
  <w:num w:numId="73">
    <w:abstractNumId w:val="20"/>
  </w:num>
  <w:num w:numId="74">
    <w:abstractNumId w:val="47"/>
  </w:num>
  <w:num w:numId="75">
    <w:abstractNumId w:val="10"/>
  </w:num>
  <w:num w:numId="76">
    <w:abstractNumId w:val="89"/>
  </w:num>
  <w:num w:numId="77">
    <w:abstractNumId w:val="70"/>
  </w:num>
  <w:num w:numId="78">
    <w:abstractNumId w:val="28"/>
  </w:num>
  <w:num w:numId="79">
    <w:abstractNumId w:val="79"/>
  </w:num>
  <w:num w:numId="80">
    <w:abstractNumId w:val="109"/>
  </w:num>
  <w:num w:numId="81">
    <w:abstractNumId w:val="110"/>
  </w:num>
  <w:num w:numId="82">
    <w:abstractNumId w:val="81"/>
  </w:num>
  <w:num w:numId="83">
    <w:abstractNumId w:val="49"/>
  </w:num>
  <w:num w:numId="84">
    <w:abstractNumId w:val="33"/>
  </w:num>
  <w:num w:numId="85">
    <w:abstractNumId w:val="3"/>
  </w:num>
  <w:num w:numId="86">
    <w:abstractNumId w:val="55"/>
  </w:num>
  <w:num w:numId="87">
    <w:abstractNumId w:val="6"/>
  </w:num>
  <w:num w:numId="88">
    <w:abstractNumId w:val="8"/>
  </w:num>
  <w:num w:numId="89">
    <w:abstractNumId w:val="83"/>
  </w:num>
  <w:num w:numId="90">
    <w:abstractNumId w:val="59"/>
  </w:num>
  <w:num w:numId="91">
    <w:abstractNumId w:val="73"/>
  </w:num>
  <w:num w:numId="92">
    <w:abstractNumId w:val="67"/>
  </w:num>
  <w:num w:numId="93">
    <w:abstractNumId w:val="100"/>
  </w:num>
  <w:num w:numId="94">
    <w:abstractNumId w:val="2"/>
  </w:num>
  <w:num w:numId="95">
    <w:abstractNumId w:val="12"/>
  </w:num>
  <w:num w:numId="96">
    <w:abstractNumId w:val="121"/>
  </w:num>
  <w:num w:numId="97">
    <w:abstractNumId w:val="69"/>
  </w:num>
  <w:num w:numId="98">
    <w:abstractNumId w:val="115"/>
  </w:num>
  <w:num w:numId="99">
    <w:abstractNumId w:val="17"/>
  </w:num>
  <w:num w:numId="100">
    <w:abstractNumId w:val="58"/>
  </w:num>
  <w:num w:numId="101">
    <w:abstractNumId w:val="90"/>
  </w:num>
  <w:num w:numId="102">
    <w:abstractNumId w:val="84"/>
  </w:num>
  <w:num w:numId="103">
    <w:abstractNumId w:val="48"/>
  </w:num>
  <w:num w:numId="104">
    <w:abstractNumId w:val="82"/>
  </w:num>
  <w:num w:numId="105">
    <w:abstractNumId w:val="114"/>
  </w:num>
  <w:num w:numId="106">
    <w:abstractNumId w:val="30"/>
  </w:num>
  <w:num w:numId="107">
    <w:abstractNumId w:val="43"/>
  </w:num>
  <w:num w:numId="108">
    <w:abstractNumId w:val="71"/>
  </w:num>
  <w:num w:numId="10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4"/>
  </w:num>
  <w:num w:numId="111">
    <w:abstractNumId w:val="21"/>
  </w:num>
  <w:num w:numId="112">
    <w:abstractNumId w:val="97"/>
  </w:num>
  <w:num w:numId="113">
    <w:abstractNumId w:val="78"/>
  </w:num>
  <w:num w:numId="114">
    <w:abstractNumId w:val="95"/>
  </w:num>
  <w:num w:numId="115">
    <w:abstractNumId w:val="91"/>
  </w:num>
  <w:num w:numId="116">
    <w:abstractNumId w:val="46"/>
  </w:num>
  <w:num w:numId="117">
    <w:abstractNumId w:val="75"/>
  </w:num>
  <w:num w:numId="118">
    <w:abstractNumId w:val="31"/>
  </w:num>
  <w:num w:numId="119">
    <w:abstractNumId w:val="103"/>
  </w:num>
  <w:num w:numId="120">
    <w:abstractNumId w:val="64"/>
  </w:num>
  <w:num w:numId="121">
    <w:abstractNumId w:val="24"/>
  </w:num>
  <w:num w:numId="122">
    <w:abstractNumId w:val="96"/>
  </w:num>
  <w:num w:numId="123">
    <w:abstractNumId w:val="4"/>
  </w:num>
  <w:num w:numId="124">
    <w:abstractNumId w:val="37"/>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activeWritingStyle w:appName="MSWord" w:lang="en-US" w:vendorID="64" w:dllVersion="131078" w:nlCheck="1" w:checkStyle="1"/>
  <w:activeWritingStyle w:appName="MSWord" w:lang="fr-HT" w:vendorID="64" w:dllVersion="131078" w:nlCheck="1" w:checkStyle="0"/>
  <w:proofState w:spelling="clean" w:grammar="clean"/>
  <w:stylePaneSortMethod w:val="0000"/>
  <w:doNotTrackFormatting/>
  <w:defaultTabStop w:val="0"/>
  <w:defaultTableStyle w:val="PECOTeal"/>
  <w:drawingGridHorizontalSpacing w:val="11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1BB"/>
    <w:rsid w:val="00000075"/>
    <w:rsid w:val="00000094"/>
    <w:rsid w:val="000000A7"/>
    <w:rsid w:val="000002AA"/>
    <w:rsid w:val="000005DC"/>
    <w:rsid w:val="00001163"/>
    <w:rsid w:val="000015F7"/>
    <w:rsid w:val="0000178E"/>
    <w:rsid w:val="00001B58"/>
    <w:rsid w:val="00001C01"/>
    <w:rsid w:val="00001CF8"/>
    <w:rsid w:val="00001E26"/>
    <w:rsid w:val="000021B3"/>
    <w:rsid w:val="000025B9"/>
    <w:rsid w:val="000036B8"/>
    <w:rsid w:val="00003BB9"/>
    <w:rsid w:val="000044FD"/>
    <w:rsid w:val="00004531"/>
    <w:rsid w:val="000045D1"/>
    <w:rsid w:val="00004F6A"/>
    <w:rsid w:val="00004FA8"/>
    <w:rsid w:val="00005216"/>
    <w:rsid w:val="00005DC1"/>
    <w:rsid w:val="00006419"/>
    <w:rsid w:val="00006ACA"/>
    <w:rsid w:val="00011499"/>
    <w:rsid w:val="000115AE"/>
    <w:rsid w:val="00011769"/>
    <w:rsid w:val="00011A62"/>
    <w:rsid w:val="00011D09"/>
    <w:rsid w:val="00011D84"/>
    <w:rsid w:val="000124F9"/>
    <w:rsid w:val="00013BF8"/>
    <w:rsid w:val="000145FA"/>
    <w:rsid w:val="000147F5"/>
    <w:rsid w:val="00014E1B"/>
    <w:rsid w:val="000155AF"/>
    <w:rsid w:val="0001564E"/>
    <w:rsid w:val="000158DD"/>
    <w:rsid w:val="00015A91"/>
    <w:rsid w:val="00015EC4"/>
    <w:rsid w:val="00015ECE"/>
    <w:rsid w:val="000160C5"/>
    <w:rsid w:val="00016705"/>
    <w:rsid w:val="00016C12"/>
    <w:rsid w:val="00016D05"/>
    <w:rsid w:val="00017574"/>
    <w:rsid w:val="00020058"/>
    <w:rsid w:val="0002013E"/>
    <w:rsid w:val="000203E4"/>
    <w:rsid w:val="000206B4"/>
    <w:rsid w:val="00020CC0"/>
    <w:rsid w:val="00020D11"/>
    <w:rsid w:val="000212ED"/>
    <w:rsid w:val="00021481"/>
    <w:rsid w:val="000218F0"/>
    <w:rsid w:val="00021EB8"/>
    <w:rsid w:val="00022EDF"/>
    <w:rsid w:val="00023ED3"/>
    <w:rsid w:val="0002429F"/>
    <w:rsid w:val="00024353"/>
    <w:rsid w:val="00024CFB"/>
    <w:rsid w:val="000251BF"/>
    <w:rsid w:val="00025668"/>
    <w:rsid w:val="00025E9A"/>
    <w:rsid w:val="00025EF3"/>
    <w:rsid w:val="00026029"/>
    <w:rsid w:val="000260ED"/>
    <w:rsid w:val="00026277"/>
    <w:rsid w:val="0002685B"/>
    <w:rsid w:val="00027458"/>
    <w:rsid w:val="00027612"/>
    <w:rsid w:val="0002787B"/>
    <w:rsid w:val="00030C65"/>
    <w:rsid w:val="00030FAD"/>
    <w:rsid w:val="00031089"/>
    <w:rsid w:val="00031144"/>
    <w:rsid w:val="00031ABF"/>
    <w:rsid w:val="00031C63"/>
    <w:rsid w:val="00031E55"/>
    <w:rsid w:val="000327A8"/>
    <w:rsid w:val="00032848"/>
    <w:rsid w:val="00032B77"/>
    <w:rsid w:val="0003320F"/>
    <w:rsid w:val="00033CFF"/>
    <w:rsid w:val="0003405D"/>
    <w:rsid w:val="000340F9"/>
    <w:rsid w:val="00034372"/>
    <w:rsid w:val="00034431"/>
    <w:rsid w:val="00034CF0"/>
    <w:rsid w:val="00035047"/>
    <w:rsid w:val="000355B6"/>
    <w:rsid w:val="00035703"/>
    <w:rsid w:val="00035931"/>
    <w:rsid w:val="00035D53"/>
    <w:rsid w:val="00035DA6"/>
    <w:rsid w:val="00037AC5"/>
    <w:rsid w:val="00037B84"/>
    <w:rsid w:val="00037CF1"/>
    <w:rsid w:val="00037FA3"/>
    <w:rsid w:val="0004016D"/>
    <w:rsid w:val="0004075F"/>
    <w:rsid w:val="00040C2D"/>
    <w:rsid w:val="000419BC"/>
    <w:rsid w:val="000419E9"/>
    <w:rsid w:val="00041A15"/>
    <w:rsid w:val="00041BE6"/>
    <w:rsid w:val="00041FB5"/>
    <w:rsid w:val="000422FD"/>
    <w:rsid w:val="00043667"/>
    <w:rsid w:val="00043906"/>
    <w:rsid w:val="00044C47"/>
    <w:rsid w:val="00044D33"/>
    <w:rsid w:val="00044FB4"/>
    <w:rsid w:val="00045350"/>
    <w:rsid w:val="000453E4"/>
    <w:rsid w:val="0004543D"/>
    <w:rsid w:val="00045B06"/>
    <w:rsid w:val="00047512"/>
    <w:rsid w:val="0004756D"/>
    <w:rsid w:val="000478F2"/>
    <w:rsid w:val="00050A58"/>
    <w:rsid w:val="00050D23"/>
    <w:rsid w:val="00051391"/>
    <w:rsid w:val="0005146C"/>
    <w:rsid w:val="000523B3"/>
    <w:rsid w:val="0005242F"/>
    <w:rsid w:val="000527AF"/>
    <w:rsid w:val="00052BC8"/>
    <w:rsid w:val="00052FB2"/>
    <w:rsid w:val="000530C5"/>
    <w:rsid w:val="0005318D"/>
    <w:rsid w:val="00053664"/>
    <w:rsid w:val="00053A45"/>
    <w:rsid w:val="00054558"/>
    <w:rsid w:val="00055658"/>
    <w:rsid w:val="00055814"/>
    <w:rsid w:val="00055913"/>
    <w:rsid w:val="000559E8"/>
    <w:rsid w:val="0005618C"/>
    <w:rsid w:val="0005634B"/>
    <w:rsid w:val="00056827"/>
    <w:rsid w:val="0005755E"/>
    <w:rsid w:val="00057570"/>
    <w:rsid w:val="0005763B"/>
    <w:rsid w:val="000578C2"/>
    <w:rsid w:val="00057A2B"/>
    <w:rsid w:val="00057B1C"/>
    <w:rsid w:val="00057C7F"/>
    <w:rsid w:val="000602A6"/>
    <w:rsid w:val="000604C8"/>
    <w:rsid w:val="00060DE0"/>
    <w:rsid w:val="0006174C"/>
    <w:rsid w:val="00061A73"/>
    <w:rsid w:val="00062E35"/>
    <w:rsid w:val="00063A5E"/>
    <w:rsid w:val="00063E20"/>
    <w:rsid w:val="0006404C"/>
    <w:rsid w:val="0006465C"/>
    <w:rsid w:val="00064A1C"/>
    <w:rsid w:val="00064AE6"/>
    <w:rsid w:val="000651DD"/>
    <w:rsid w:val="00065334"/>
    <w:rsid w:val="00065C0F"/>
    <w:rsid w:val="00066224"/>
    <w:rsid w:val="000664ED"/>
    <w:rsid w:val="00066655"/>
    <w:rsid w:val="000666D3"/>
    <w:rsid w:val="0006698D"/>
    <w:rsid w:val="00067E94"/>
    <w:rsid w:val="000708B5"/>
    <w:rsid w:val="00070949"/>
    <w:rsid w:val="00070C74"/>
    <w:rsid w:val="00070D2B"/>
    <w:rsid w:val="00070E59"/>
    <w:rsid w:val="00071768"/>
    <w:rsid w:val="00073160"/>
    <w:rsid w:val="00073235"/>
    <w:rsid w:val="000739F0"/>
    <w:rsid w:val="000745F9"/>
    <w:rsid w:val="00075509"/>
    <w:rsid w:val="0007572C"/>
    <w:rsid w:val="00076CAE"/>
    <w:rsid w:val="0008011F"/>
    <w:rsid w:val="00080127"/>
    <w:rsid w:val="00080567"/>
    <w:rsid w:val="00080623"/>
    <w:rsid w:val="0008098E"/>
    <w:rsid w:val="00080CE8"/>
    <w:rsid w:val="00080E62"/>
    <w:rsid w:val="0008153B"/>
    <w:rsid w:val="00081718"/>
    <w:rsid w:val="00082152"/>
    <w:rsid w:val="00082250"/>
    <w:rsid w:val="000829A1"/>
    <w:rsid w:val="000850F6"/>
    <w:rsid w:val="000856A5"/>
    <w:rsid w:val="0008580E"/>
    <w:rsid w:val="00085D90"/>
    <w:rsid w:val="00086988"/>
    <w:rsid w:val="00087620"/>
    <w:rsid w:val="00087DAC"/>
    <w:rsid w:val="00087FB0"/>
    <w:rsid w:val="00090C33"/>
    <w:rsid w:val="00090CE6"/>
    <w:rsid w:val="000910B3"/>
    <w:rsid w:val="00091D91"/>
    <w:rsid w:val="00091F1C"/>
    <w:rsid w:val="00092265"/>
    <w:rsid w:val="00092653"/>
    <w:rsid w:val="00092DC2"/>
    <w:rsid w:val="00093474"/>
    <w:rsid w:val="00093CF5"/>
    <w:rsid w:val="0009403F"/>
    <w:rsid w:val="0009479B"/>
    <w:rsid w:val="00094AFF"/>
    <w:rsid w:val="00094CE1"/>
    <w:rsid w:val="0009500C"/>
    <w:rsid w:val="00097188"/>
    <w:rsid w:val="00097B91"/>
    <w:rsid w:val="00097FA2"/>
    <w:rsid w:val="000A0B7B"/>
    <w:rsid w:val="000A0EC5"/>
    <w:rsid w:val="000A0F51"/>
    <w:rsid w:val="000A0FC2"/>
    <w:rsid w:val="000A15A3"/>
    <w:rsid w:val="000A20E9"/>
    <w:rsid w:val="000A21E6"/>
    <w:rsid w:val="000A23A2"/>
    <w:rsid w:val="000A2731"/>
    <w:rsid w:val="000A3490"/>
    <w:rsid w:val="000A3642"/>
    <w:rsid w:val="000A3678"/>
    <w:rsid w:val="000A36ED"/>
    <w:rsid w:val="000A3964"/>
    <w:rsid w:val="000A3A89"/>
    <w:rsid w:val="000A3B71"/>
    <w:rsid w:val="000A3E06"/>
    <w:rsid w:val="000A3E3C"/>
    <w:rsid w:val="000A3F13"/>
    <w:rsid w:val="000A4951"/>
    <w:rsid w:val="000A4980"/>
    <w:rsid w:val="000A5443"/>
    <w:rsid w:val="000A5BE2"/>
    <w:rsid w:val="000A66C1"/>
    <w:rsid w:val="000A69DD"/>
    <w:rsid w:val="000A6DFA"/>
    <w:rsid w:val="000A7067"/>
    <w:rsid w:val="000A7188"/>
    <w:rsid w:val="000A73A9"/>
    <w:rsid w:val="000A73D1"/>
    <w:rsid w:val="000A743A"/>
    <w:rsid w:val="000A791A"/>
    <w:rsid w:val="000B01F6"/>
    <w:rsid w:val="000B0240"/>
    <w:rsid w:val="000B06B4"/>
    <w:rsid w:val="000B06CB"/>
    <w:rsid w:val="000B06E8"/>
    <w:rsid w:val="000B06ED"/>
    <w:rsid w:val="000B088D"/>
    <w:rsid w:val="000B1147"/>
    <w:rsid w:val="000B1C07"/>
    <w:rsid w:val="000B1D4E"/>
    <w:rsid w:val="000B1DF7"/>
    <w:rsid w:val="000B1F1D"/>
    <w:rsid w:val="000B2571"/>
    <w:rsid w:val="000B265A"/>
    <w:rsid w:val="000B2685"/>
    <w:rsid w:val="000B3233"/>
    <w:rsid w:val="000B328F"/>
    <w:rsid w:val="000B33E0"/>
    <w:rsid w:val="000B4182"/>
    <w:rsid w:val="000B4A05"/>
    <w:rsid w:val="000B5364"/>
    <w:rsid w:val="000B57E3"/>
    <w:rsid w:val="000B5827"/>
    <w:rsid w:val="000B598C"/>
    <w:rsid w:val="000B5990"/>
    <w:rsid w:val="000B5B71"/>
    <w:rsid w:val="000B5D24"/>
    <w:rsid w:val="000B6367"/>
    <w:rsid w:val="000B6AF3"/>
    <w:rsid w:val="000B6DE6"/>
    <w:rsid w:val="000B7536"/>
    <w:rsid w:val="000B7A5C"/>
    <w:rsid w:val="000B7A95"/>
    <w:rsid w:val="000C057A"/>
    <w:rsid w:val="000C128A"/>
    <w:rsid w:val="000C1383"/>
    <w:rsid w:val="000C1ADA"/>
    <w:rsid w:val="000C1E59"/>
    <w:rsid w:val="000C1FC7"/>
    <w:rsid w:val="000C2298"/>
    <w:rsid w:val="000C303A"/>
    <w:rsid w:val="000C331F"/>
    <w:rsid w:val="000C359E"/>
    <w:rsid w:val="000C3BCE"/>
    <w:rsid w:val="000C3C7B"/>
    <w:rsid w:val="000C3DD8"/>
    <w:rsid w:val="000C3EFA"/>
    <w:rsid w:val="000C4AC6"/>
    <w:rsid w:val="000C4B07"/>
    <w:rsid w:val="000C5229"/>
    <w:rsid w:val="000C569A"/>
    <w:rsid w:val="000C586E"/>
    <w:rsid w:val="000C76B9"/>
    <w:rsid w:val="000C7EAE"/>
    <w:rsid w:val="000D00E1"/>
    <w:rsid w:val="000D011C"/>
    <w:rsid w:val="000D033A"/>
    <w:rsid w:val="000D05D3"/>
    <w:rsid w:val="000D0857"/>
    <w:rsid w:val="000D0896"/>
    <w:rsid w:val="000D0D3E"/>
    <w:rsid w:val="000D12DD"/>
    <w:rsid w:val="000D2631"/>
    <w:rsid w:val="000D3757"/>
    <w:rsid w:val="000D37CA"/>
    <w:rsid w:val="000D39F2"/>
    <w:rsid w:val="000D471F"/>
    <w:rsid w:val="000D4BD4"/>
    <w:rsid w:val="000D4C1A"/>
    <w:rsid w:val="000D4E28"/>
    <w:rsid w:val="000D5131"/>
    <w:rsid w:val="000D535B"/>
    <w:rsid w:val="000D54FC"/>
    <w:rsid w:val="000D5586"/>
    <w:rsid w:val="000D5E51"/>
    <w:rsid w:val="000D61FD"/>
    <w:rsid w:val="000D624A"/>
    <w:rsid w:val="000D6BB8"/>
    <w:rsid w:val="000D6EF3"/>
    <w:rsid w:val="000D70F6"/>
    <w:rsid w:val="000D72F7"/>
    <w:rsid w:val="000D77A5"/>
    <w:rsid w:val="000E063F"/>
    <w:rsid w:val="000E0B6C"/>
    <w:rsid w:val="000E0E46"/>
    <w:rsid w:val="000E120C"/>
    <w:rsid w:val="000E1416"/>
    <w:rsid w:val="000E1EED"/>
    <w:rsid w:val="000E23ED"/>
    <w:rsid w:val="000E25D7"/>
    <w:rsid w:val="000E2623"/>
    <w:rsid w:val="000E2C86"/>
    <w:rsid w:val="000E2CA4"/>
    <w:rsid w:val="000E2D00"/>
    <w:rsid w:val="000E3061"/>
    <w:rsid w:val="000E3164"/>
    <w:rsid w:val="000E3E86"/>
    <w:rsid w:val="000E3F37"/>
    <w:rsid w:val="000E4016"/>
    <w:rsid w:val="000E41FE"/>
    <w:rsid w:val="000E42AD"/>
    <w:rsid w:val="000E47CD"/>
    <w:rsid w:val="000E4B94"/>
    <w:rsid w:val="000E522F"/>
    <w:rsid w:val="000E54FE"/>
    <w:rsid w:val="000E58B1"/>
    <w:rsid w:val="000E6171"/>
    <w:rsid w:val="000E66FC"/>
    <w:rsid w:val="000E74B9"/>
    <w:rsid w:val="000E775C"/>
    <w:rsid w:val="000E7AEC"/>
    <w:rsid w:val="000E7B87"/>
    <w:rsid w:val="000E7C66"/>
    <w:rsid w:val="000F085F"/>
    <w:rsid w:val="000F095D"/>
    <w:rsid w:val="000F09B5"/>
    <w:rsid w:val="000F0E26"/>
    <w:rsid w:val="000F113A"/>
    <w:rsid w:val="000F1549"/>
    <w:rsid w:val="000F187E"/>
    <w:rsid w:val="000F1C54"/>
    <w:rsid w:val="000F1EF4"/>
    <w:rsid w:val="000F20BD"/>
    <w:rsid w:val="000F24A0"/>
    <w:rsid w:val="000F326A"/>
    <w:rsid w:val="000F3CCC"/>
    <w:rsid w:val="000F41F7"/>
    <w:rsid w:val="000F42F6"/>
    <w:rsid w:val="000F45A3"/>
    <w:rsid w:val="000F46F7"/>
    <w:rsid w:val="000F47FB"/>
    <w:rsid w:val="000F5B08"/>
    <w:rsid w:val="000F5E3D"/>
    <w:rsid w:val="000F5EC2"/>
    <w:rsid w:val="000F6031"/>
    <w:rsid w:val="000F6045"/>
    <w:rsid w:val="000F611D"/>
    <w:rsid w:val="000F66AA"/>
    <w:rsid w:val="000F685F"/>
    <w:rsid w:val="000F71FF"/>
    <w:rsid w:val="000F7D3A"/>
    <w:rsid w:val="000F7FC7"/>
    <w:rsid w:val="0010000F"/>
    <w:rsid w:val="001005EA"/>
    <w:rsid w:val="0010185D"/>
    <w:rsid w:val="00101CE6"/>
    <w:rsid w:val="00101E8B"/>
    <w:rsid w:val="00102489"/>
    <w:rsid w:val="001027AA"/>
    <w:rsid w:val="00102BDF"/>
    <w:rsid w:val="001032C9"/>
    <w:rsid w:val="001034CD"/>
    <w:rsid w:val="00103E0F"/>
    <w:rsid w:val="001045B1"/>
    <w:rsid w:val="001048E6"/>
    <w:rsid w:val="00104904"/>
    <w:rsid w:val="001049ED"/>
    <w:rsid w:val="00104BE6"/>
    <w:rsid w:val="0010516B"/>
    <w:rsid w:val="00105A12"/>
    <w:rsid w:val="00106076"/>
    <w:rsid w:val="001066E2"/>
    <w:rsid w:val="0010706F"/>
    <w:rsid w:val="00107CD5"/>
    <w:rsid w:val="00107F65"/>
    <w:rsid w:val="00110218"/>
    <w:rsid w:val="001106FD"/>
    <w:rsid w:val="00110D93"/>
    <w:rsid w:val="00110DC6"/>
    <w:rsid w:val="00110EFC"/>
    <w:rsid w:val="0011138B"/>
    <w:rsid w:val="0011170E"/>
    <w:rsid w:val="00111B19"/>
    <w:rsid w:val="00111CE4"/>
    <w:rsid w:val="00112160"/>
    <w:rsid w:val="0011225B"/>
    <w:rsid w:val="00112352"/>
    <w:rsid w:val="00113864"/>
    <w:rsid w:val="00113AA4"/>
    <w:rsid w:val="00113E84"/>
    <w:rsid w:val="00114AB5"/>
    <w:rsid w:val="00114B38"/>
    <w:rsid w:val="00114CDA"/>
    <w:rsid w:val="00115C2C"/>
    <w:rsid w:val="00115C84"/>
    <w:rsid w:val="00115D01"/>
    <w:rsid w:val="001163A6"/>
    <w:rsid w:val="00117252"/>
    <w:rsid w:val="001202BE"/>
    <w:rsid w:val="001202FD"/>
    <w:rsid w:val="00120538"/>
    <w:rsid w:val="00121235"/>
    <w:rsid w:val="00121844"/>
    <w:rsid w:val="00121BA5"/>
    <w:rsid w:val="001227B2"/>
    <w:rsid w:val="00123063"/>
    <w:rsid w:val="001235C1"/>
    <w:rsid w:val="00123B15"/>
    <w:rsid w:val="00123B28"/>
    <w:rsid w:val="00123BBD"/>
    <w:rsid w:val="00124D19"/>
    <w:rsid w:val="00125246"/>
    <w:rsid w:val="00125DCD"/>
    <w:rsid w:val="00126E5C"/>
    <w:rsid w:val="001275A7"/>
    <w:rsid w:val="001278C0"/>
    <w:rsid w:val="00127EED"/>
    <w:rsid w:val="00130176"/>
    <w:rsid w:val="0013038F"/>
    <w:rsid w:val="001317ED"/>
    <w:rsid w:val="00131AF4"/>
    <w:rsid w:val="00131EC6"/>
    <w:rsid w:val="00132A54"/>
    <w:rsid w:val="00132B0D"/>
    <w:rsid w:val="00133137"/>
    <w:rsid w:val="00133141"/>
    <w:rsid w:val="001333B7"/>
    <w:rsid w:val="001333E7"/>
    <w:rsid w:val="00133744"/>
    <w:rsid w:val="00133B73"/>
    <w:rsid w:val="00133C27"/>
    <w:rsid w:val="00134188"/>
    <w:rsid w:val="001341E4"/>
    <w:rsid w:val="00134590"/>
    <w:rsid w:val="001351E9"/>
    <w:rsid w:val="00135D0F"/>
    <w:rsid w:val="0013622F"/>
    <w:rsid w:val="0013691D"/>
    <w:rsid w:val="00136A8F"/>
    <w:rsid w:val="0013744A"/>
    <w:rsid w:val="001375DF"/>
    <w:rsid w:val="001376A4"/>
    <w:rsid w:val="001377CC"/>
    <w:rsid w:val="00137A4F"/>
    <w:rsid w:val="001401B2"/>
    <w:rsid w:val="001404CB"/>
    <w:rsid w:val="00140727"/>
    <w:rsid w:val="00140E55"/>
    <w:rsid w:val="0014113F"/>
    <w:rsid w:val="00141381"/>
    <w:rsid w:val="00141969"/>
    <w:rsid w:val="00141CEF"/>
    <w:rsid w:val="0014215D"/>
    <w:rsid w:val="001423D7"/>
    <w:rsid w:val="0014292F"/>
    <w:rsid w:val="00142B1B"/>
    <w:rsid w:val="00143195"/>
    <w:rsid w:val="0014416E"/>
    <w:rsid w:val="001446FC"/>
    <w:rsid w:val="001454D5"/>
    <w:rsid w:val="0014599A"/>
    <w:rsid w:val="0014599F"/>
    <w:rsid w:val="00145C04"/>
    <w:rsid w:val="00145F1A"/>
    <w:rsid w:val="001464DC"/>
    <w:rsid w:val="00146906"/>
    <w:rsid w:val="00146A84"/>
    <w:rsid w:val="001471B6"/>
    <w:rsid w:val="00147ED2"/>
    <w:rsid w:val="00150092"/>
    <w:rsid w:val="00150159"/>
    <w:rsid w:val="00150B44"/>
    <w:rsid w:val="00150BE2"/>
    <w:rsid w:val="00150D35"/>
    <w:rsid w:val="00151466"/>
    <w:rsid w:val="00151C2C"/>
    <w:rsid w:val="00151EC8"/>
    <w:rsid w:val="00152521"/>
    <w:rsid w:val="00152818"/>
    <w:rsid w:val="00152831"/>
    <w:rsid w:val="00152A09"/>
    <w:rsid w:val="00152B07"/>
    <w:rsid w:val="00152F2C"/>
    <w:rsid w:val="00153A1E"/>
    <w:rsid w:val="00153ECC"/>
    <w:rsid w:val="00154CC9"/>
    <w:rsid w:val="0015550B"/>
    <w:rsid w:val="001556D2"/>
    <w:rsid w:val="0015593D"/>
    <w:rsid w:val="00155ECA"/>
    <w:rsid w:val="00156005"/>
    <w:rsid w:val="001565B3"/>
    <w:rsid w:val="0015692E"/>
    <w:rsid w:val="00156982"/>
    <w:rsid w:val="00156B5F"/>
    <w:rsid w:val="00156C19"/>
    <w:rsid w:val="00156C44"/>
    <w:rsid w:val="00157678"/>
    <w:rsid w:val="001577CF"/>
    <w:rsid w:val="00157CE6"/>
    <w:rsid w:val="0016095B"/>
    <w:rsid w:val="00160E3F"/>
    <w:rsid w:val="001611B6"/>
    <w:rsid w:val="001612B8"/>
    <w:rsid w:val="001616F9"/>
    <w:rsid w:val="00161797"/>
    <w:rsid w:val="00161C2F"/>
    <w:rsid w:val="001623DE"/>
    <w:rsid w:val="00162623"/>
    <w:rsid w:val="00162F10"/>
    <w:rsid w:val="00163BF1"/>
    <w:rsid w:val="00163DC4"/>
    <w:rsid w:val="00163E84"/>
    <w:rsid w:val="001642A8"/>
    <w:rsid w:val="001643C5"/>
    <w:rsid w:val="00164436"/>
    <w:rsid w:val="001645CA"/>
    <w:rsid w:val="001647A5"/>
    <w:rsid w:val="00164C69"/>
    <w:rsid w:val="00165012"/>
    <w:rsid w:val="001650F1"/>
    <w:rsid w:val="00165421"/>
    <w:rsid w:val="0016550F"/>
    <w:rsid w:val="00165661"/>
    <w:rsid w:val="00165AF2"/>
    <w:rsid w:val="00166201"/>
    <w:rsid w:val="0016636A"/>
    <w:rsid w:val="00166910"/>
    <w:rsid w:val="00166CE3"/>
    <w:rsid w:val="00166D79"/>
    <w:rsid w:val="00167427"/>
    <w:rsid w:val="00167C15"/>
    <w:rsid w:val="001701C5"/>
    <w:rsid w:val="00170795"/>
    <w:rsid w:val="00170E2E"/>
    <w:rsid w:val="001712D8"/>
    <w:rsid w:val="001712DB"/>
    <w:rsid w:val="0017170C"/>
    <w:rsid w:val="00171E19"/>
    <w:rsid w:val="00171F8C"/>
    <w:rsid w:val="001728BF"/>
    <w:rsid w:val="00172F20"/>
    <w:rsid w:val="00173865"/>
    <w:rsid w:val="00173973"/>
    <w:rsid w:val="0017398C"/>
    <w:rsid w:val="00173A3D"/>
    <w:rsid w:val="001745AD"/>
    <w:rsid w:val="00174744"/>
    <w:rsid w:val="0017482D"/>
    <w:rsid w:val="00174FFA"/>
    <w:rsid w:val="00176188"/>
    <w:rsid w:val="00176569"/>
    <w:rsid w:val="00177AB4"/>
    <w:rsid w:val="00177BD3"/>
    <w:rsid w:val="00177C08"/>
    <w:rsid w:val="001808B1"/>
    <w:rsid w:val="001813E0"/>
    <w:rsid w:val="001814EC"/>
    <w:rsid w:val="00181A48"/>
    <w:rsid w:val="00181D8C"/>
    <w:rsid w:val="00181E44"/>
    <w:rsid w:val="00181F19"/>
    <w:rsid w:val="001820EE"/>
    <w:rsid w:val="001824D3"/>
    <w:rsid w:val="001826A0"/>
    <w:rsid w:val="001827BA"/>
    <w:rsid w:val="0018385E"/>
    <w:rsid w:val="00183B92"/>
    <w:rsid w:val="0018426E"/>
    <w:rsid w:val="00184B11"/>
    <w:rsid w:val="00184EBC"/>
    <w:rsid w:val="0018531B"/>
    <w:rsid w:val="0018543E"/>
    <w:rsid w:val="001857FC"/>
    <w:rsid w:val="00185C32"/>
    <w:rsid w:val="00185DC3"/>
    <w:rsid w:val="0018616E"/>
    <w:rsid w:val="001861CF"/>
    <w:rsid w:val="00186453"/>
    <w:rsid w:val="0018654D"/>
    <w:rsid w:val="00186623"/>
    <w:rsid w:val="0018683D"/>
    <w:rsid w:val="00186A40"/>
    <w:rsid w:val="00186B48"/>
    <w:rsid w:val="00187337"/>
    <w:rsid w:val="001875D0"/>
    <w:rsid w:val="0018760D"/>
    <w:rsid w:val="0018770C"/>
    <w:rsid w:val="0018772E"/>
    <w:rsid w:val="00187CD8"/>
    <w:rsid w:val="00190C01"/>
    <w:rsid w:val="001918EE"/>
    <w:rsid w:val="00192299"/>
    <w:rsid w:val="00192903"/>
    <w:rsid w:val="00192A37"/>
    <w:rsid w:val="00192BDF"/>
    <w:rsid w:val="00193B77"/>
    <w:rsid w:val="00193BBB"/>
    <w:rsid w:val="00193BF4"/>
    <w:rsid w:val="00194F07"/>
    <w:rsid w:val="00194F48"/>
    <w:rsid w:val="001957C6"/>
    <w:rsid w:val="00195B2F"/>
    <w:rsid w:val="00195CA0"/>
    <w:rsid w:val="00195CD9"/>
    <w:rsid w:val="0019607F"/>
    <w:rsid w:val="001962EF"/>
    <w:rsid w:val="001963F7"/>
    <w:rsid w:val="00196A0D"/>
    <w:rsid w:val="00196A2F"/>
    <w:rsid w:val="00196EF3"/>
    <w:rsid w:val="00196F7A"/>
    <w:rsid w:val="0019726A"/>
    <w:rsid w:val="001977AA"/>
    <w:rsid w:val="001978DE"/>
    <w:rsid w:val="00197D4A"/>
    <w:rsid w:val="001A0098"/>
    <w:rsid w:val="001A0A91"/>
    <w:rsid w:val="001A0E56"/>
    <w:rsid w:val="001A0F12"/>
    <w:rsid w:val="001A19F6"/>
    <w:rsid w:val="001A1D2B"/>
    <w:rsid w:val="001A1F5D"/>
    <w:rsid w:val="001A2266"/>
    <w:rsid w:val="001A2BC6"/>
    <w:rsid w:val="001A2C54"/>
    <w:rsid w:val="001A301D"/>
    <w:rsid w:val="001A3160"/>
    <w:rsid w:val="001A327E"/>
    <w:rsid w:val="001A32B2"/>
    <w:rsid w:val="001A355C"/>
    <w:rsid w:val="001A4056"/>
    <w:rsid w:val="001A4A8B"/>
    <w:rsid w:val="001A4C5E"/>
    <w:rsid w:val="001A4E43"/>
    <w:rsid w:val="001A5007"/>
    <w:rsid w:val="001A51BC"/>
    <w:rsid w:val="001A5336"/>
    <w:rsid w:val="001A5348"/>
    <w:rsid w:val="001A5555"/>
    <w:rsid w:val="001A577E"/>
    <w:rsid w:val="001A5A4A"/>
    <w:rsid w:val="001A5AF6"/>
    <w:rsid w:val="001A5CCF"/>
    <w:rsid w:val="001A62EB"/>
    <w:rsid w:val="001A6406"/>
    <w:rsid w:val="001A6555"/>
    <w:rsid w:val="001A6627"/>
    <w:rsid w:val="001A6739"/>
    <w:rsid w:val="001A69E8"/>
    <w:rsid w:val="001A6AD8"/>
    <w:rsid w:val="001A717E"/>
    <w:rsid w:val="001A744A"/>
    <w:rsid w:val="001A77CB"/>
    <w:rsid w:val="001A78BF"/>
    <w:rsid w:val="001A7A05"/>
    <w:rsid w:val="001A7F3E"/>
    <w:rsid w:val="001B01E9"/>
    <w:rsid w:val="001B0273"/>
    <w:rsid w:val="001B04B0"/>
    <w:rsid w:val="001B0760"/>
    <w:rsid w:val="001B08A8"/>
    <w:rsid w:val="001B0B75"/>
    <w:rsid w:val="001B11B8"/>
    <w:rsid w:val="001B12D6"/>
    <w:rsid w:val="001B15EA"/>
    <w:rsid w:val="001B18DD"/>
    <w:rsid w:val="001B1BA9"/>
    <w:rsid w:val="001B204B"/>
    <w:rsid w:val="001B21FE"/>
    <w:rsid w:val="001B2A2E"/>
    <w:rsid w:val="001B350A"/>
    <w:rsid w:val="001B364E"/>
    <w:rsid w:val="001B37EF"/>
    <w:rsid w:val="001B382D"/>
    <w:rsid w:val="001B3833"/>
    <w:rsid w:val="001B3E73"/>
    <w:rsid w:val="001B3F78"/>
    <w:rsid w:val="001B4F85"/>
    <w:rsid w:val="001B5070"/>
    <w:rsid w:val="001B5475"/>
    <w:rsid w:val="001B5810"/>
    <w:rsid w:val="001B5CAC"/>
    <w:rsid w:val="001B6033"/>
    <w:rsid w:val="001B6117"/>
    <w:rsid w:val="001B619F"/>
    <w:rsid w:val="001B69C6"/>
    <w:rsid w:val="001B756B"/>
    <w:rsid w:val="001B7709"/>
    <w:rsid w:val="001B7AF4"/>
    <w:rsid w:val="001B7CCE"/>
    <w:rsid w:val="001C090B"/>
    <w:rsid w:val="001C0C8B"/>
    <w:rsid w:val="001C16FC"/>
    <w:rsid w:val="001C1803"/>
    <w:rsid w:val="001C19F9"/>
    <w:rsid w:val="001C1F2F"/>
    <w:rsid w:val="001C296A"/>
    <w:rsid w:val="001C2BD8"/>
    <w:rsid w:val="001C2C4B"/>
    <w:rsid w:val="001C333D"/>
    <w:rsid w:val="001C38FA"/>
    <w:rsid w:val="001C4017"/>
    <w:rsid w:val="001C43A2"/>
    <w:rsid w:val="001C4B12"/>
    <w:rsid w:val="001C5524"/>
    <w:rsid w:val="001C555C"/>
    <w:rsid w:val="001C5AD1"/>
    <w:rsid w:val="001C5B83"/>
    <w:rsid w:val="001C5D30"/>
    <w:rsid w:val="001C6001"/>
    <w:rsid w:val="001C6750"/>
    <w:rsid w:val="001C6914"/>
    <w:rsid w:val="001C7578"/>
    <w:rsid w:val="001C7C5F"/>
    <w:rsid w:val="001D0EFC"/>
    <w:rsid w:val="001D1184"/>
    <w:rsid w:val="001D1D82"/>
    <w:rsid w:val="001D2B55"/>
    <w:rsid w:val="001D2C7D"/>
    <w:rsid w:val="001D2DFF"/>
    <w:rsid w:val="001D3907"/>
    <w:rsid w:val="001D3945"/>
    <w:rsid w:val="001D3A9C"/>
    <w:rsid w:val="001D41A9"/>
    <w:rsid w:val="001D438C"/>
    <w:rsid w:val="001D4887"/>
    <w:rsid w:val="001D4F87"/>
    <w:rsid w:val="001D5564"/>
    <w:rsid w:val="001D5683"/>
    <w:rsid w:val="001D570B"/>
    <w:rsid w:val="001D5E57"/>
    <w:rsid w:val="001D5F1F"/>
    <w:rsid w:val="001D62C5"/>
    <w:rsid w:val="001D66BC"/>
    <w:rsid w:val="001D739A"/>
    <w:rsid w:val="001D796B"/>
    <w:rsid w:val="001D7CFF"/>
    <w:rsid w:val="001D7D31"/>
    <w:rsid w:val="001E033D"/>
    <w:rsid w:val="001E0B91"/>
    <w:rsid w:val="001E1C39"/>
    <w:rsid w:val="001E20FA"/>
    <w:rsid w:val="001E22BE"/>
    <w:rsid w:val="001E36D7"/>
    <w:rsid w:val="001E38AA"/>
    <w:rsid w:val="001E3B79"/>
    <w:rsid w:val="001E3BDA"/>
    <w:rsid w:val="001E4919"/>
    <w:rsid w:val="001E4933"/>
    <w:rsid w:val="001E499F"/>
    <w:rsid w:val="001E4AA7"/>
    <w:rsid w:val="001E5360"/>
    <w:rsid w:val="001E537B"/>
    <w:rsid w:val="001E573A"/>
    <w:rsid w:val="001E627E"/>
    <w:rsid w:val="001E65D5"/>
    <w:rsid w:val="001E65E7"/>
    <w:rsid w:val="001E6CB8"/>
    <w:rsid w:val="001E7277"/>
    <w:rsid w:val="001E72E8"/>
    <w:rsid w:val="001E79D2"/>
    <w:rsid w:val="001E7DD3"/>
    <w:rsid w:val="001F005F"/>
    <w:rsid w:val="001F1006"/>
    <w:rsid w:val="001F226A"/>
    <w:rsid w:val="001F2591"/>
    <w:rsid w:val="001F268D"/>
    <w:rsid w:val="001F28EA"/>
    <w:rsid w:val="001F3326"/>
    <w:rsid w:val="001F4366"/>
    <w:rsid w:val="001F471B"/>
    <w:rsid w:val="001F4C23"/>
    <w:rsid w:val="001F4C94"/>
    <w:rsid w:val="001F4F17"/>
    <w:rsid w:val="001F5A2D"/>
    <w:rsid w:val="001F5DA3"/>
    <w:rsid w:val="001F649F"/>
    <w:rsid w:val="001F64E3"/>
    <w:rsid w:val="001F65CA"/>
    <w:rsid w:val="001F65D1"/>
    <w:rsid w:val="001F67D2"/>
    <w:rsid w:val="001F67E3"/>
    <w:rsid w:val="001F699B"/>
    <w:rsid w:val="001F6A1B"/>
    <w:rsid w:val="001F7171"/>
    <w:rsid w:val="001F7281"/>
    <w:rsid w:val="001F778D"/>
    <w:rsid w:val="001F7F13"/>
    <w:rsid w:val="001F7F28"/>
    <w:rsid w:val="002000C8"/>
    <w:rsid w:val="00200A0D"/>
    <w:rsid w:val="00200E02"/>
    <w:rsid w:val="00201363"/>
    <w:rsid w:val="00201434"/>
    <w:rsid w:val="00201476"/>
    <w:rsid w:val="00201707"/>
    <w:rsid w:val="00201AB5"/>
    <w:rsid w:val="002020D3"/>
    <w:rsid w:val="00202193"/>
    <w:rsid w:val="002026BE"/>
    <w:rsid w:val="00202C79"/>
    <w:rsid w:val="00202F8E"/>
    <w:rsid w:val="00203265"/>
    <w:rsid w:val="00204346"/>
    <w:rsid w:val="0020492D"/>
    <w:rsid w:val="00204D78"/>
    <w:rsid w:val="00204EFE"/>
    <w:rsid w:val="0020505A"/>
    <w:rsid w:val="002054FB"/>
    <w:rsid w:val="00205884"/>
    <w:rsid w:val="0020592D"/>
    <w:rsid w:val="00205A6F"/>
    <w:rsid w:val="00205AD3"/>
    <w:rsid w:val="00205DDB"/>
    <w:rsid w:val="002068D6"/>
    <w:rsid w:val="00206D1A"/>
    <w:rsid w:val="00207041"/>
    <w:rsid w:val="0020762A"/>
    <w:rsid w:val="00207B71"/>
    <w:rsid w:val="00210F56"/>
    <w:rsid w:val="0021134A"/>
    <w:rsid w:val="00211724"/>
    <w:rsid w:val="002117B3"/>
    <w:rsid w:val="00211E37"/>
    <w:rsid w:val="00212042"/>
    <w:rsid w:val="002126D0"/>
    <w:rsid w:val="002126E9"/>
    <w:rsid w:val="00212CCF"/>
    <w:rsid w:val="00212D0E"/>
    <w:rsid w:val="0021328D"/>
    <w:rsid w:val="002132D8"/>
    <w:rsid w:val="002133B8"/>
    <w:rsid w:val="0021393D"/>
    <w:rsid w:val="00213CC1"/>
    <w:rsid w:val="00213DC7"/>
    <w:rsid w:val="002141DD"/>
    <w:rsid w:val="00214262"/>
    <w:rsid w:val="00214266"/>
    <w:rsid w:val="002143BE"/>
    <w:rsid w:val="00214BBE"/>
    <w:rsid w:val="0021528B"/>
    <w:rsid w:val="002165E1"/>
    <w:rsid w:val="002169BB"/>
    <w:rsid w:val="00216F9F"/>
    <w:rsid w:val="0021701A"/>
    <w:rsid w:val="00217492"/>
    <w:rsid w:val="00217C77"/>
    <w:rsid w:val="00217F17"/>
    <w:rsid w:val="00220775"/>
    <w:rsid w:val="00220859"/>
    <w:rsid w:val="00220B72"/>
    <w:rsid w:val="00220EE5"/>
    <w:rsid w:val="00220F41"/>
    <w:rsid w:val="002210E6"/>
    <w:rsid w:val="0022114E"/>
    <w:rsid w:val="002219D5"/>
    <w:rsid w:val="002221B4"/>
    <w:rsid w:val="00222608"/>
    <w:rsid w:val="002229F0"/>
    <w:rsid w:val="0022380B"/>
    <w:rsid w:val="0022395D"/>
    <w:rsid w:val="00223995"/>
    <w:rsid w:val="0022417A"/>
    <w:rsid w:val="002244C8"/>
    <w:rsid w:val="00224851"/>
    <w:rsid w:val="00224E8C"/>
    <w:rsid w:val="00224F46"/>
    <w:rsid w:val="002252F0"/>
    <w:rsid w:val="0022542C"/>
    <w:rsid w:val="0022562D"/>
    <w:rsid w:val="0022567A"/>
    <w:rsid w:val="0022591A"/>
    <w:rsid w:val="0022598C"/>
    <w:rsid w:val="00226131"/>
    <w:rsid w:val="002263CF"/>
    <w:rsid w:val="00226CC9"/>
    <w:rsid w:val="00226F50"/>
    <w:rsid w:val="002271CA"/>
    <w:rsid w:val="00227435"/>
    <w:rsid w:val="00227B98"/>
    <w:rsid w:val="00227C42"/>
    <w:rsid w:val="00230150"/>
    <w:rsid w:val="002302EC"/>
    <w:rsid w:val="002308D4"/>
    <w:rsid w:val="00230E77"/>
    <w:rsid w:val="00230F13"/>
    <w:rsid w:val="00231A21"/>
    <w:rsid w:val="00232078"/>
    <w:rsid w:val="00232A14"/>
    <w:rsid w:val="0023338A"/>
    <w:rsid w:val="00233978"/>
    <w:rsid w:val="0023412C"/>
    <w:rsid w:val="00235B1C"/>
    <w:rsid w:val="00235BAC"/>
    <w:rsid w:val="00236C0D"/>
    <w:rsid w:val="00236C76"/>
    <w:rsid w:val="00236F36"/>
    <w:rsid w:val="002375CC"/>
    <w:rsid w:val="00237810"/>
    <w:rsid w:val="00237A04"/>
    <w:rsid w:val="00237A1A"/>
    <w:rsid w:val="00240486"/>
    <w:rsid w:val="002404FC"/>
    <w:rsid w:val="0024065D"/>
    <w:rsid w:val="00240903"/>
    <w:rsid w:val="00241287"/>
    <w:rsid w:val="002415AD"/>
    <w:rsid w:val="00242569"/>
    <w:rsid w:val="00242F9E"/>
    <w:rsid w:val="002432E4"/>
    <w:rsid w:val="00243956"/>
    <w:rsid w:val="002439CC"/>
    <w:rsid w:val="00243DBF"/>
    <w:rsid w:val="002443FA"/>
    <w:rsid w:val="00244A39"/>
    <w:rsid w:val="00245140"/>
    <w:rsid w:val="00245469"/>
    <w:rsid w:val="002455EF"/>
    <w:rsid w:val="002456BC"/>
    <w:rsid w:val="002459C8"/>
    <w:rsid w:val="00245CF5"/>
    <w:rsid w:val="0024671B"/>
    <w:rsid w:val="002468B4"/>
    <w:rsid w:val="002469BF"/>
    <w:rsid w:val="002471A5"/>
    <w:rsid w:val="002507E5"/>
    <w:rsid w:val="0025191E"/>
    <w:rsid w:val="002519D6"/>
    <w:rsid w:val="002519E9"/>
    <w:rsid w:val="00251B31"/>
    <w:rsid w:val="00252647"/>
    <w:rsid w:val="00252BB5"/>
    <w:rsid w:val="00252F0F"/>
    <w:rsid w:val="00253F05"/>
    <w:rsid w:val="002540CA"/>
    <w:rsid w:val="002546C3"/>
    <w:rsid w:val="002548AE"/>
    <w:rsid w:val="00254BA5"/>
    <w:rsid w:val="00254BCE"/>
    <w:rsid w:val="002552C1"/>
    <w:rsid w:val="002554BE"/>
    <w:rsid w:val="00255BBB"/>
    <w:rsid w:val="00255E68"/>
    <w:rsid w:val="0025645C"/>
    <w:rsid w:val="0025662D"/>
    <w:rsid w:val="00256D2B"/>
    <w:rsid w:val="00257591"/>
    <w:rsid w:val="00257A5F"/>
    <w:rsid w:val="00257DC3"/>
    <w:rsid w:val="00257DD9"/>
    <w:rsid w:val="0026030A"/>
    <w:rsid w:val="00260311"/>
    <w:rsid w:val="0026083D"/>
    <w:rsid w:val="00260853"/>
    <w:rsid w:val="00260A92"/>
    <w:rsid w:val="00260B63"/>
    <w:rsid w:val="00260FDA"/>
    <w:rsid w:val="002610B0"/>
    <w:rsid w:val="00261581"/>
    <w:rsid w:val="00261641"/>
    <w:rsid w:val="0026268A"/>
    <w:rsid w:val="00262AD0"/>
    <w:rsid w:val="00262E67"/>
    <w:rsid w:val="002635E4"/>
    <w:rsid w:val="0026367A"/>
    <w:rsid w:val="002638A0"/>
    <w:rsid w:val="0026395D"/>
    <w:rsid w:val="00263AF4"/>
    <w:rsid w:val="0026432A"/>
    <w:rsid w:val="0026494A"/>
    <w:rsid w:val="00264B16"/>
    <w:rsid w:val="00264BB2"/>
    <w:rsid w:val="00264F5D"/>
    <w:rsid w:val="002655FE"/>
    <w:rsid w:val="002658D1"/>
    <w:rsid w:val="002663B1"/>
    <w:rsid w:val="002667E1"/>
    <w:rsid w:val="002670EE"/>
    <w:rsid w:val="0026741B"/>
    <w:rsid w:val="0026781D"/>
    <w:rsid w:val="002678A3"/>
    <w:rsid w:val="002706FA"/>
    <w:rsid w:val="00270C21"/>
    <w:rsid w:val="00271029"/>
    <w:rsid w:val="00271098"/>
    <w:rsid w:val="00271487"/>
    <w:rsid w:val="00271632"/>
    <w:rsid w:val="002717CA"/>
    <w:rsid w:val="00271A9B"/>
    <w:rsid w:val="00271C59"/>
    <w:rsid w:val="00271EA0"/>
    <w:rsid w:val="002724AA"/>
    <w:rsid w:val="002725A4"/>
    <w:rsid w:val="00272618"/>
    <w:rsid w:val="002729B1"/>
    <w:rsid w:val="00272A02"/>
    <w:rsid w:val="00273964"/>
    <w:rsid w:val="002739C4"/>
    <w:rsid w:val="0027453D"/>
    <w:rsid w:val="0027482F"/>
    <w:rsid w:val="00274E4B"/>
    <w:rsid w:val="00275215"/>
    <w:rsid w:val="00275434"/>
    <w:rsid w:val="00275AF2"/>
    <w:rsid w:val="0027662E"/>
    <w:rsid w:val="0027704C"/>
    <w:rsid w:val="0027711F"/>
    <w:rsid w:val="00277374"/>
    <w:rsid w:val="00277582"/>
    <w:rsid w:val="002775AE"/>
    <w:rsid w:val="002778CC"/>
    <w:rsid w:val="00277A55"/>
    <w:rsid w:val="00277B6F"/>
    <w:rsid w:val="00277F8E"/>
    <w:rsid w:val="00280807"/>
    <w:rsid w:val="0028127E"/>
    <w:rsid w:val="002812E4"/>
    <w:rsid w:val="00281B4F"/>
    <w:rsid w:val="00282506"/>
    <w:rsid w:val="00282670"/>
    <w:rsid w:val="00282884"/>
    <w:rsid w:val="0028325C"/>
    <w:rsid w:val="00283F42"/>
    <w:rsid w:val="002843C2"/>
    <w:rsid w:val="002844E3"/>
    <w:rsid w:val="002844F3"/>
    <w:rsid w:val="002847EA"/>
    <w:rsid w:val="0028489E"/>
    <w:rsid w:val="002849CE"/>
    <w:rsid w:val="00285131"/>
    <w:rsid w:val="00286408"/>
    <w:rsid w:val="00286A17"/>
    <w:rsid w:val="00286B52"/>
    <w:rsid w:val="00286E6D"/>
    <w:rsid w:val="002873A0"/>
    <w:rsid w:val="002873F1"/>
    <w:rsid w:val="00287C8C"/>
    <w:rsid w:val="002900C5"/>
    <w:rsid w:val="0029036E"/>
    <w:rsid w:val="00290646"/>
    <w:rsid w:val="0029095A"/>
    <w:rsid w:val="00290BA5"/>
    <w:rsid w:val="00290C4C"/>
    <w:rsid w:val="00291421"/>
    <w:rsid w:val="00291FC6"/>
    <w:rsid w:val="002921FA"/>
    <w:rsid w:val="002922A4"/>
    <w:rsid w:val="002933B0"/>
    <w:rsid w:val="002942FB"/>
    <w:rsid w:val="002947B7"/>
    <w:rsid w:val="00295C0E"/>
    <w:rsid w:val="00295E15"/>
    <w:rsid w:val="002964CA"/>
    <w:rsid w:val="0029764D"/>
    <w:rsid w:val="0029780D"/>
    <w:rsid w:val="002978D5"/>
    <w:rsid w:val="002A0D02"/>
    <w:rsid w:val="002A0FE2"/>
    <w:rsid w:val="002A14BA"/>
    <w:rsid w:val="002A15B8"/>
    <w:rsid w:val="002A19DE"/>
    <w:rsid w:val="002A27DF"/>
    <w:rsid w:val="002A2E1E"/>
    <w:rsid w:val="002A31A7"/>
    <w:rsid w:val="002A348E"/>
    <w:rsid w:val="002A3BC4"/>
    <w:rsid w:val="002A4430"/>
    <w:rsid w:val="002A49B5"/>
    <w:rsid w:val="002A4C8F"/>
    <w:rsid w:val="002A4D5A"/>
    <w:rsid w:val="002A5016"/>
    <w:rsid w:val="002A5045"/>
    <w:rsid w:val="002A51ED"/>
    <w:rsid w:val="002A574C"/>
    <w:rsid w:val="002A5B97"/>
    <w:rsid w:val="002A60BD"/>
    <w:rsid w:val="002A625A"/>
    <w:rsid w:val="002A6F2F"/>
    <w:rsid w:val="002A712F"/>
    <w:rsid w:val="002A7635"/>
    <w:rsid w:val="002B0ED9"/>
    <w:rsid w:val="002B1491"/>
    <w:rsid w:val="002B151D"/>
    <w:rsid w:val="002B192D"/>
    <w:rsid w:val="002B1B6F"/>
    <w:rsid w:val="002B206C"/>
    <w:rsid w:val="002B27AF"/>
    <w:rsid w:val="002B3064"/>
    <w:rsid w:val="002B3866"/>
    <w:rsid w:val="002B3DD0"/>
    <w:rsid w:val="002B3E68"/>
    <w:rsid w:val="002B4111"/>
    <w:rsid w:val="002B4737"/>
    <w:rsid w:val="002B4FA1"/>
    <w:rsid w:val="002B5332"/>
    <w:rsid w:val="002B55DA"/>
    <w:rsid w:val="002B574E"/>
    <w:rsid w:val="002B58F6"/>
    <w:rsid w:val="002B65F4"/>
    <w:rsid w:val="002B6E0D"/>
    <w:rsid w:val="002B71F8"/>
    <w:rsid w:val="002B772B"/>
    <w:rsid w:val="002B784E"/>
    <w:rsid w:val="002B7B8D"/>
    <w:rsid w:val="002B7F0D"/>
    <w:rsid w:val="002C0363"/>
    <w:rsid w:val="002C0580"/>
    <w:rsid w:val="002C0E3F"/>
    <w:rsid w:val="002C147E"/>
    <w:rsid w:val="002C1A9A"/>
    <w:rsid w:val="002C1F78"/>
    <w:rsid w:val="002C20C3"/>
    <w:rsid w:val="002C2271"/>
    <w:rsid w:val="002C24AE"/>
    <w:rsid w:val="002C293E"/>
    <w:rsid w:val="002C2973"/>
    <w:rsid w:val="002C2CE1"/>
    <w:rsid w:val="002C2EDC"/>
    <w:rsid w:val="002C3589"/>
    <w:rsid w:val="002C3D01"/>
    <w:rsid w:val="002C3F80"/>
    <w:rsid w:val="002C44A9"/>
    <w:rsid w:val="002C45EB"/>
    <w:rsid w:val="002C4E2F"/>
    <w:rsid w:val="002C4E4F"/>
    <w:rsid w:val="002C50C1"/>
    <w:rsid w:val="002C585C"/>
    <w:rsid w:val="002C5969"/>
    <w:rsid w:val="002C5A1D"/>
    <w:rsid w:val="002C5B2A"/>
    <w:rsid w:val="002C5E0D"/>
    <w:rsid w:val="002C66EF"/>
    <w:rsid w:val="002C7E01"/>
    <w:rsid w:val="002D0A8A"/>
    <w:rsid w:val="002D17B1"/>
    <w:rsid w:val="002D1A43"/>
    <w:rsid w:val="002D1E14"/>
    <w:rsid w:val="002D1EBB"/>
    <w:rsid w:val="002D225E"/>
    <w:rsid w:val="002D25D1"/>
    <w:rsid w:val="002D2EB1"/>
    <w:rsid w:val="002D2EF1"/>
    <w:rsid w:val="002D3689"/>
    <w:rsid w:val="002D3A88"/>
    <w:rsid w:val="002D44CF"/>
    <w:rsid w:val="002D4F60"/>
    <w:rsid w:val="002D5055"/>
    <w:rsid w:val="002D5160"/>
    <w:rsid w:val="002D5186"/>
    <w:rsid w:val="002D559D"/>
    <w:rsid w:val="002D5755"/>
    <w:rsid w:val="002D58D7"/>
    <w:rsid w:val="002D591C"/>
    <w:rsid w:val="002D605A"/>
    <w:rsid w:val="002D64A6"/>
    <w:rsid w:val="002D6CD4"/>
    <w:rsid w:val="002D7409"/>
    <w:rsid w:val="002D75A2"/>
    <w:rsid w:val="002D787C"/>
    <w:rsid w:val="002D7C3E"/>
    <w:rsid w:val="002E01DC"/>
    <w:rsid w:val="002E01EE"/>
    <w:rsid w:val="002E0409"/>
    <w:rsid w:val="002E0421"/>
    <w:rsid w:val="002E09D7"/>
    <w:rsid w:val="002E0AE7"/>
    <w:rsid w:val="002E0AF1"/>
    <w:rsid w:val="002E152A"/>
    <w:rsid w:val="002E1E0F"/>
    <w:rsid w:val="002E1FDE"/>
    <w:rsid w:val="002E20B1"/>
    <w:rsid w:val="002E22E8"/>
    <w:rsid w:val="002E2410"/>
    <w:rsid w:val="002E24E4"/>
    <w:rsid w:val="002E2546"/>
    <w:rsid w:val="002E3523"/>
    <w:rsid w:val="002E39A3"/>
    <w:rsid w:val="002E3AB9"/>
    <w:rsid w:val="002E3BE3"/>
    <w:rsid w:val="002E3E04"/>
    <w:rsid w:val="002E405E"/>
    <w:rsid w:val="002E49B3"/>
    <w:rsid w:val="002E4C64"/>
    <w:rsid w:val="002E4F77"/>
    <w:rsid w:val="002E55D4"/>
    <w:rsid w:val="002E5A40"/>
    <w:rsid w:val="002E5B6E"/>
    <w:rsid w:val="002E5C81"/>
    <w:rsid w:val="002E649A"/>
    <w:rsid w:val="002E6BDC"/>
    <w:rsid w:val="002E73D2"/>
    <w:rsid w:val="002E7C43"/>
    <w:rsid w:val="002E7DF2"/>
    <w:rsid w:val="002F0262"/>
    <w:rsid w:val="002F05AD"/>
    <w:rsid w:val="002F0CEB"/>
    <w:rsid w:val="002F0FB1"/>
    <w:rsid w:val="002F11F5"/>
    <w:rsid w:val="002F13D0"/>
    <w:rsid w:val="002F1528"/>
    <w:rsid w:val="002F153B"/>
    <w:rsid w:val="002F2C63"/>
    <w:rsid w:val="002F325A"/>
    <w:rsid w:val="002F3340"/>
    <w:rsid w:val="002F3398"/>
    <w:rsid w:val="002F340F"/>
    <w:rsid w:val="002F39A0"/>
    <w:rsid w:val="002F3BF8"/>
    <w:rsid w:val="002F4C7B"/>
    <w:rsid w:val="002F4DF1"/>
    <w:rsid w:val="002F5021"/>
    <w:rsid w:val="002F53FE"/>
    <w:rsid w:val="002F5762"/>
    <w:rsid w:val="002F59F6"/>
    <w:rsid w:val="002F65EC"/>
    <w:rsid w:val="002F689E"/>
    <w:rsid w:val="002F7764"/>
    <w:rsid w:val="002F7886"/>
    <w:rsid w:val="002F7ABC"/>
    <w:rsid w:val="002F7B40"/>
    <w:rsid w:val="002F7C8A"/>
    <w:rsid w:val="003001C5"/>
    <w:rsid w:val="003001C8"/>
    <w:rsid w:val="003002F4"/>
    <w:rsid w:val="0030084A"/>
    <w:rsid w:val="00300A07"/>
    <w:rsid w:val="003014EB"/>
    <w:rsid w:val="003016FE"/>
    <w:rsid w:val="00301F1F"/>
    <w:rsid w:val="003021D6"/>
    <w:rsid w:val="003022A0"/>
    <w:rsid w:val="00302921"/>
    <w:rsid w:val="00302AA8"/>
    <w:rsid w:val="00302D2D"/>
    <w:rsid w:val="003037AF"/>
    <w:rsid w:val="00303CE2"/>
    <w:rsid w:val="00304917"/>
    <w:rsid w:val="00304D4A"/>
    <w:rsid w:val="00305A62"/>
    <w:rsid w:val="00305BDA"/>
    <w:rsid w:val="00305DB7"/>
    <w:rsid w:val="003064FD"/>
    <w:rsid w:val="0030678B"/>
    <w:rsid w:val="0030769D"/>
    <w:rsid w:val="00307D11"/>
    <w:rsid w:val="003100D3"/>
    <w:rsid w:val="00310383"/>
    <w:rsid w:val="003106BF"/>
    <w:rsid w:val="00310B62"/>
    <w:rsid w:val="003117A0"/>
    <w:rsid w:val="00311DBC"/>
    <w:rsid w:val="00311F16"/>
    <w:rsid w:val="00312379"/>
    <w:rsid w:val="00312572"/>
    <w:rsid w:val="00312607"/>
    <w:rsid w:val="003127F2"/>
    <w:rsid w:val="00312E68"/>
    <w:rsid w:val="003138B0"/>
    <w:rsid w:val="00313974"/>
    <w:rsid w:val="00313ED7"/>
    <w:rsid w:val="003147AD"/>
    <w:rsid w:val="00314D07"/>
    <w:rsid w:val="00314DE0"/>
    <w:rsid w:val="00315475"/>
    <w:rsid w:val="003155DE"/>
    <w:rsid w:val="0031597F"/>
    <w:rsid w:val="00315B6E"/>
    <w:rsid w:val="00315C75"/>
    <w:rsid w:val="00316115"/>
    <w:rsid w:val="00316625"/>
    <w:rsid w:val="00316BBD"/>
    <w:rsid w:val="00316ECB"/>
    <w:rsid w:val="0032007F"/>
    <w:rsid w:val="0032018B"/>
    <w:rsid w:val="0032056D"/>
    <w:rsid w:val="0032092F"/>
    <w:rsid w:val="0032125C"/>
    <w:rsid w:val="00321792"/>
    <w:rsid w:val="0032311E"/>
    <w:rsid w:val="00323186"/>
    <w:rsid w:val="00323248"/>
    <w:rsid w:val="00323B89"/>
    <w:rsid w:val="00324070"/>
    <w:rsid w:val="003244A6"/>
    <w:rsid w:val="00324A27"/>
    <w:rsid w:val="00324EF8"/>
    <w:rsid w:val="003251C0"/>
    <w:rsid w:val="00325BB6"/>
    <w:rsid w:val="00325F70"/>
    <w:rsid w:val="003261C5"/>
    <w:rsid w:val="003265A7"/>
    <w:rsid w:val="00326779"/>
    <w:rsid w:val="003268A4"/>
    <w:rsid w:val="00327100"/>
    <w:rsid w:val="003275D9"/>
    <w:rsid w:val="00327C2F"/>
    <w:rsid w:val="00327FE3"/>
    <w:rsid w:val="0033014E"/>
    <w:rsid w:val="003305A8"/>
    <w:rsid w:val="003308EE"/>
    <w:rsid w:val="00330CB5"/>
    <w:rsid w:val="00330F8E"/>
    <w:rsid w:val="00331300"/>
    <w:rsid w:val="0033155E"/>
    <w:rsid w:val="00331701"/>
    <w:rsid w:val="003319FE"/>
    <w:rsid w:val="003325B8"/>
    <w:rsid w:val="00332701"/>
    <w:rsid w:val="00332758"/>
    <w:rsid w:val="003327AD"/>
    <w:rsid w:val="00332EC0"/>
    <w:rsid w:val="00332EFF"/>
    <w:rsid w:val="00333086"/>
    <w:rsid w:val="00333A7A"/>
    <w:rsid w:val="0033573C"/>
    <w:rsid w:val="00335B8D"/>
    <w:rsid w:val="00335D7E"/>
    <w:rsid w:val="0033689D"/>
    <w:rsid w:val="00336903"/>
    <w:rsid w:val="0033692A"/>
    <w:rsid w:val="00336EAC"/>
    <w:rsid w:val="00337155"/>
    <w:rsid w:val="0033750C"/>
    <w:rsid w:val="0034004D"/>
    <w:rsid w:val="003402AA"/>
    <w:rsid w:val="003404CA"/>
    <w:rsid w:val="00340784"/>
    <w:rsid w:val="003407A0"/>
    <w:rsid w:val="003407B9"/>
    <w:rsid w:val="0034141D"/>
    <w:rsid w:val="00341C1C"/>
    <w:rsid w:val="00342454"/>
    <w:rsid w:val="00342B2A"/>
    <w:rsid w:val="00342DB8"/>
    <w:rsid w:val="00343689"/>
    <w:rsid w:val="00343FCB"/>
    <w:rsid w:val="003449B7"/>
    <w:rsid w:val="00344AB2"/>
    <w:rsid w:val="003455B6"/>
    <w:rsid w:val="0034595E"/>
    <w:rsid w:val="00345C6B"/>
    <w:rsid w:val="0034638E"/>
    <w:rsid w:val="0034684E"/>
    <w:rsid w:val="003469C4"/>
    <w:rsid w:val="003472A2"/>
    <w:rsid w:val="003478B2"/>
    <w:rsid w:val="00347D81"/>
    <w:rsid w:val="00347DF0"/>
    <w:rsid w:val="00347FEE"/>
    <w:rsid w:val="00350843"/>
    <w:rsid w:val="003516D1"/>
    <w:rsid w:val="00351E2D"/>
    <w:rsid w:val="00351E3E"/>
    <w:rsid w:val="00351FCF"/>
    <w:rsid w:val="00351FE0"/>
    <w:rsid w:val="003520C6"/>
    <w:rsid w:val="0035256C"/>
    <w:rsid w:val="00352AC5"/>
    <w:rsid w:val="00352D26"/>
    <w:rsid w:val="00353E34"/>
    <w:rsid w:val="003540F5"/>
    <w:rsid w:val="0035466F"/>
    <w:rsid w:val="00354A40"/>
    <w:rsid w:val="00354B44"/>
    <w:rsid w:val="00354DE3"/>
    <w:rsid w:val="003554AF"/>
    <w:rsid w:val="00355688"/>
    <w:rsid w:val="00355C42"/>
    <w:rsid w:val="00356763"/>
    <w:rsid w:val="00356C25"/>
    <w:rsid w:val="003577D9"/>
    <w:rsid w:val="00357C02"/>
    <w:rsid w:val="00360563"/>
    <w:rsid w:val="003605CF"/>
    <w:rsid w:val="00360B63"/>
    <w:rsid w:val="00360BA7"/>
    <w:rsid w:val="0036137C"/>
    <w:rsid w:val="0036192D"/>
    <w:rsid w:val="00362007"/>
    <w:rsid w:val="0036221A"/>
    <w:rsid w:val="00362FBA"/>
    <w:rsid w:val="00363261"/>
    <w:rsid w:val="00363A6B"/>
    <w:rsid w:val="00363FE0"/>
    <w:rsid w:val="00364A26"/>
    <w:rsid w:val="0036519A"/>
    <w:rsid w:val="0036549B"/>
    <w:rsid w:val="00365860"/>
    <w:rsid w:val="003658CB"/>
    <w:rsid w:val="00365A76"/>
    <w:rsid w:val="0036636A"/>
    <w:rsid w:val="0036691D"/>
    <w:rsid w:val="00366AB1"/>
    <w:rsid w:val="00366F98"/>
    <w:rsid w:val="00367186"/>
    <w:rsid w:val="00367251"/>
    <w:rsid w:val="00367A60"/>
    <w:rsid w:val="00367B86"/>
    <w:rsid w:val="00370B37"/>
    <w:rsid w:val="00370B46"/>
    <w:rsid w:val="00370C0B"/>
    <w:rsid w:val="003710ED"/>
    <w:rsid w:val="0037135B"/>
    <w:rsid w:val="003714A7"/>
    <w:rsid w:val="00371527"/>
    <w:rsid w:val="00371939"/>
    <w:rsid w:val="00371AE7"/>
    <w:rsid w:val="00372292"/>
    <w:rsid w:val="00372C67"/>
    <w:rsid w:val="0037325C"/>
    <w:rsid w:val="003734CA"/>
    <w:rsid w:val="003754D2"/>
    <w:rsid w:val="00375A6C"/>
    <w:rsid w:val="00375CCD"/>
    <w:rsid w:val="00375DBA"/>
    <w:rsid w:val="003768EB"/>
    <w:rsid w:val="003771D9"/>
    <w:rsid w:val="003772F8"/>
    <w:rsid w:val="003800C2"/>
    <w:rsid w:val="00380A3A"/>
    <w:rsid w:val="0038117F"/>
    <w:rsid w:val="003814EE"/>
    <w:rsid w:val="003834A6"/>
    <w:rsid w:val="00383749"/>
    <w:rsid w:val="003839C8"/>
    <w:rsid w:val="00383E2A"/>
    <w:rsid w:val="00384CBB"/>
    <w:rsid w:val="00385121"/>
    <w:rsid w:val="003858F6"/>
    <w:rsid w:val="00385AD6"/>
    <w:rsid w:val="00385DD0"/>
    <w:rsid w:val="003863E4"/>
    <w:rsid w:val="0038661F"/>
    <w:rsid w:val="00386A42"/>
    <w:rsid w:val="0038740F"/>
    <w:rsid w:val="00387678"/>
    <w:rsid w:val="00390F08"/>
    <w:rsid w:val="003913A8"/>
    <w:rsid w:val="00391683"/>
    <w:rsid w:val="00391790"/>
    <w:rsid w:val="00391CEE"/>
    <w:rsid w:val="00392198"/>
    <w:rsid w:val="003922E6"/>
    <w:rsid w:val="003927BA"/>
    <w:rsid w:val="00393138"/>
    <w:rsid w:val="00393B07"/>
    <w:rsid w:val="00394404"/>
    <w:rsid w:val="003945A8"/>
    <w:rsid w:val="003945FE"/>
    <w:rsid w:val="003948AB"/>
    <w:rsid w:val="00394D69"/>
    <w:rsid w:val="00394FC0"/>
    <w:rsid w:val="00395286"/>
    <w:rsid w:val="00395802"/>
    <w:rsid w:val="003963B4"/>
    <w:rsid w:val="0039649F"/>
    <w:rsid w:val="0039686F"/>
    <w:rsid w:val="00396982"/>
    <w:rsid w:val="00396BA4"/>
    <w:rsid w:val="00396BBB"/>
    <w:rsid w:val="00397BB6"/>
    <w:rsid w:val="003A06C1"/>
    <w:rsid w:val="003A0B4F"/>
    <w:rsid w:val="003A13ED"/>
    <w:rsid w:val="003A1913"/>
    <w:rsid w:val="003A1E5F"/>
    <w:rsid w:val="003A261A"/>
    <w:rsid w:val="003A27BA"/>
    <w:rsid w:val="003A2E95"/>
    <w:rsid w:val="003A3287"/>
    <w:rsid w:val="003A3E49"/>
    <w:rsid w:val="003A3F32"/>
    <w:rsid w:val="003A4324"/>
    <w:rsid w:val="003A5C3B"/>
    <w:rsid w:val="003A5DF1"/>
    <w:rsid w:val="003A6235"/>
    <w:rsid w:val="003A67F8"/>
    <w:rsid w:val="003A6E4B"/>
    <w:rsid w:val="003A6F66"/>
    <w:rsid w:val="003A7486"/>
    <w:rsid w:val="003A798A"/>
    <w:rsid w:val="003B052F"/>
    <w:rsid w:val="003B0EA7"/>
    <w:rsid w:val="003B24E4"/>
    <w:rsid w:val="003B2702"/>
    <w:rsid w:val="003B277B"/>
    <w:rsid w:val="003B2C90"/>
    <w:rsid w:val="003B2DA8"/>
    <w:rsid w:val="003B30EF"/>
    <w:rsid w:val="003B31D4"/>
    <w:rsid w:val="003B3217"/>
    <w:rsid w:val="003B33E6"/>
    <w:rsid w:val="003B35B6"/>
    <w:rsid w:val="003B36EC"/>
    <w:rsid w:val="003B3A19"/>
    <w:rsid w:val="003B3E61"/>
    <w:rsid w:val="003B482C"/>
    <w:rsid w:val="003B4DDB"/>
    <w:rsid w:val="003B5CD4"/>
    <w:rsid w:val="003B5F82"/>
    <w:rsid w:val="003B60CE"/>
    <w:rsid w:val="003B6964"/>
    <w:rsid w:val="003B6D5D"/>
    <w:rsid w:val="003B7B81"/>
    <w:rsid w:val="003B7EF9"/>
    <w:rsid w:val="003B7F79"/>
    <w:rsid w:val="003C0265"/>
    <w:rsid w:val="003C03B0"/>
    <w:rsid w:val="003C134B"/>
    <w:rsid w:val="003C16F5"/>
    <w:rsid w:val="003C19AA"/>
    <w:rsid w:val="003C1E96"/>
    <w:rsid w:val="003C22D7"/>
    <w:rsid w:val="003C2536"/>
    <w:rsid w:val="003C25E1"/>
    <w:rsid w:val="003C2B10"/>
    <w:rsid w:val="003C2C0D"/>
    <w:rsid w:val="003C343E"/>
    <w:rsid w:val="003C391D"/>
    <w:rsid w:val="003C39EA"/>
    <w:rsid w:val="003C3DD6"/>
    <w:rsid w:val="003C438F"/>
    <w:rsid w:val="003C4890"/>
    <w:rsid w:val="003C49DD"/>
    <w:rsid w:val="003C51A9"/>
    <w:rsid w:val="003C5216"/>
    <w:rsid w:val="003C5D51"/>
    <w:rsid w:val="003C648E"/>
    <w:rsid w:val="003C6566"/>
    <w:rsid w:val="003C664C"/>
    <w:rsid w:val="003C6A1E"/>
    <w:rsid w:val="003C6A47"/>
    <w:rsid w:val="003C741A"/>
    <w:rsid w:val="003C7CD5"/>
    <w:rsid w:val="003C7E41"/>
    <w:rsid w:val="003D05F6"/>
    <w:rsid w:val="003D138D"/>
    <w:rsid w:val="003D1475"/>
    <w:rsid w:val="003D1575"/>
    <w:rsid w:val="003D1921"/>
    <w:rsid w:val="003D1AC1"/>
    <w:rsid w:val="003D1BBB"/>
    <w:rsid w:val="003D1BFB"/>
    <w:rsid w:val="003D1D09"/>
    <w:rsid w:val="003D1D79"/>
    <w:rsid w:val="003D1F3F"/>
    <w:rsid w:val="003D2165"/>
    <w:rsid w:val="003D24AC"/>
    <w:rsid w:val="003D255D"/>
    <w:rsid w:val="003D25EC"/>
    <w:rsid w:val="003D3156"/>
    <w:rsid w:val="003D3331"/>
    <w:rsid w:val="003D33CA"/>
    <w:rsid w:val="003D34FD"/>
    <w:rsid w:val="003D388A"/>
    <w:rsid w:val="003D3A3D"/>
    <w:rsid w:val="003D3BAB"/>
    <w:rsid w:val="003D3CB5"/>
    <w:rsid w:val="003D3CC7"/>
    <w:rsid w:val="003D4235"/>
    <w:rsid w:val="003D4A23"/>
    <w:rsid w:val="003D57B8"/>
    <w:rsid w:val="003D620F"/>
    <w:rsid w:val="003D6229"/>
    <w:rsid w:val="003D6799"/>
    <w:rsid w:val="003D7168"/>
    <w:rsid w:val="003D7244"/>
    <w:rsid w:val="003E14FE"/>
    <w:rsid w:val="003E1804"/>
    <w:rsid w:val="003E1B0B"/>
    <w:rsid w:val="003E1C08"/>
    <w:rsid w:val="003E1CCF"/>
    <w:rsid w:val="003E1F09"/>
    <w:rsid w:val="003E1F82"/>
    <w:rsid w:val="003E2CD8"/>
    <w:rsid w:val="003E3B4B"/>
    <w:rsid w:val="003E3F95"/>
    <w:rsid w:val="003E49D6"/>
    <w:rsid w:val="003E4AB6"/>
    <w:rsid w:val="003E4B10"/>
    <w:rsid w:val="003E4CFE"/>
    <w:rsid w:val="003E4D92"/>
    <w:rsid w:val="003E5592"/>
    <w:rsid w:val="003E60A1"/>
    <w:rsid w:val="003E663C"/>
    <w:rsid w:val="003E669B"/>
    <w:rsid w:val="003E6A9B"/>
    <w:rsid w:val="003E6BC1"/>
    <w:rsid w:val="003E6F93"/>
    <w:rsid w:val="003E6FEB"/>
    <w:rsid w:val="003E7023"/>
    <w:rsid w:val="003E747D"/>
    <w:rsid w:val="003E7610"/>
    <w:rsid w:val="003E76B5"/>
    <w:rsid w:val="003E7C15"/>
    <w:rsid w:val="003F0271"/>
    <w:rsid w:val="003F089A"/>
    <w:rsid w:val="003F1241"/>
    <w:rsid w:val="003F1BD5"/>
    <w:rsid w:val="003F1C52"/>
    <w:rsid w:val="003F22CD"/>
    <w:rsid w:val="003F2716"/>
    <w:rsid w:val="003F2880"/>
    <w:rsid w:val="003F293F"/>
    <w:rsid w:val="003F38D2"/>
    <w:rsid w:val="003F42C2"/>
    <w:rsid w:val="003F4865"/>
    <w:rsid w:val="003F4B91"/>
    <w:rsid w:val="003F53C9"/>
    <w:rsid w:val="003F5D36"/>
    <w:rsid w:val="003F64D7"/>
    <w:rsid w:val="003F669D"/>
    <w:rsid w:val="003F6D2B"/>
    <w:rsid w:val="003F70D7"/>
    <w:rsid w:val="003F72A4"/>
    <w:rsid w:val="003F73FC"/>
    <w:rsid w:val="003F7912"/>
    <w:rsid w:val="003F7D6E"/>
    <w:rsid w:val="003F7D9E"/>
    <w:rsid w:val="00400605"/>
    <w:rsid w:val="004007D6"/>
    <w:rsid w:val="00400881"/>
    <w:rsid w:val="004009D2"/>
    <w:rsid w:val="00400A54"/>
    <w:rsid w:val="00400B65"/>
    <w:rsid w:val="00400DFC"/>
    <w:rsid w:val="0040176D"/>
    <w:rsid w:val="00401E12"/>
    <w:rsid w:val="00401E19"/>
    <w:rsid w:val="00402A23"/>
    <w:rsid w:val="00402A38"/>
    <w:rsid w:val="00402C2F"/>
    <w:rsid w:val="00402D03"/>
    <w:rsid w:val="00403110"/>
    <w:rsid w:val="00403287"/>
    <w:rsid w:val="00403357"/>
    <w:rsid w:val="00403847"/>
    <w:rsid w:val="004039E3"/>
    <w:rsid w:val="004046F0"/>
    <w:rsid w:val="00404813"/>
    <w:rsid w:val="0040501B"/>
    <w:rsid w:val="004055DE"/>
    <w:rsid w:val="00405BA7"/>
    <w:rsid w:val="00405C94"/>
    <w:rsid w:val="004060C4"/>
    <w:rsid w:val="00406424"/>
    <w:rsid w:val="004066E9"/>
    <w:rsid w:val="00406A9B"/>
    <w:rsid w:val="0040799F"/>
    <w:rsid w:val="00407CD5"/>
    <w:rsid w:val="00407EEB"/>
    <w:rsid w:val="00410581"/>
    <w:rsid w:val="004108D8"/>
    <w:rsid w:val="0041091E"/>
    <w:rsid w:val="00410DA1"/>
    <w:rsid w:val="004114A0"/>
    <w:rsid w:val="00411582"/>
    <w:rsid w:val="004129EE"/>
    <w:rsid w:val="004132DF"/>
    <w:rsid w:val="0041334B"/>
    <w:rsid w:val="004139ED"/>
    <w:rsid w:val="00413B8D"/>
    <w:rsid w:val="00414600"/>
    <w:rsid w:val="004148A2"/>
    <w:rsid w:val="00415BCA"/>
    <w:rsid w:val="004160D1"/>
    <w:rsid w:val="004161BB"/>
    <w:rsid w:val="004164D3"/>
    <w:rsid w:val="00416C35"/>
    <w:rsid w:val="004170FC"/>
    <w:rsid w:val="004175CF"/>
    <w:rsid w:val="004176B2"/>
    <w:rsid w:val="00417759"/>
    <w:rsid w:val="00417904"/>
    <w:rsid w:val="00417D5A"/>
    <w:rsid w:val="00420287"/>
    <w:rsid w:val="0042038E"/>
    <w:rsid w:val="00420EF6"/>
    <w:rsid w:val="00421061"/>
    <w:rsid w:val="004211EA"/>
    <w:rsid w:val="00421200"/>
    <w:rsid w:val="0042122E"/>
    <w:rsid w:val="004212E4"/>
    <w:rsid w:val="004215CD"/>
    <w:rsid w:val="004219D1"/>
    <w:rsid w:val="004228AD"/>
    <w:rsid w:val="00422B2A"/>
    <w:rsid w:val="00422BF1"/>
    <w:rsid w:val="00422F1A"/>
    <w:rsid w:val="004231DE"/>
    <w:rsid w:val="00423552"/>
    <w:rsid w:val="00423C6E"/>
    <w:rsid w:val="004247C3"/>
    <w:rsid w:val="004247E3"/>
    <w:rsid w:val="00424937"/>
    <w:rsid w:val="00424C5A"/>
    <w:rsid w:val="00424C62"/>
    <w:rsid w:val="00425DEF"/>
    <w:rsid w:val="004277B8"/>
    <w:rsid w:val="00430627"/>
    <w:rsid w:val="00431AA0"/>
    <w:rsid w:val="00431BA2"/>
    <w:rsid w:val="004321D0"/>
    <w:rsid w:val="0043277A"/>
    <w:rsid w:val="004332CF"/>
    <w:rsid w:val="00433431"/>
    <w:rsid w:val="004338EF"/>
    <w:rsid w:val="004339B9"/>
    <w:rsid w:val="004341FB"/>
    <w:rsid w:val="004346E8"/>
    <w:rsid w:val="00434A93"/>
    <w:rsid w:val="00434C52"/>
    <w:rsid w:val="00435A6F"/>
    <w:rsid w:val="00435D2F"/>
    <w:rsid w:val="00435EA6"/>
    <w:rsid w:val="0043627A"/>
    <w:rsid w:val="0043671E"/>
    <w:rsid w:val="00436BD5"/>
    <w:rsid w:val="00436CBB"/>
    <w:rsid w:val="004371EE"/>
    <w:rsid w:val="004371FF"/>
    <w:rsid w:val="00437AAC"/>
    <w:rsid w:val="0044022E"/>
    <w:rsid w:val="00440C89"/>
    <w:rsid w:val="0044162C"/>
    <w:rsid w:val="004419D2"/>
    <w:rsid w:val="004429C2"/>
    <w:rsid w:val="00442C8B"/>
    <w:rsid w:val="00442FAF"/>
    <w:rsid w:val="00443208"/>
    <w:rsid w:val="00443503"/>
    <w:rsid w:val="00443551"/>
    <w:rsid w:val="004435BF"/>
    <w:rsid w:val="004439BB"/>
    <w:rsid w:val="00443C64"/>
    <w:rsid w:val="00443D16"/>
    <w:rsid w:val="00443DA9"/>
    <w:rsid w:val="004444A4"/>
    <w:rsid w:val="00444724"/>
    <w:rsid w:val="00444725"/>
    <w:rsid w:val="0044500F"/>
    <w:rsid w:val="0044591A"/>
    <w:rsid w:val="00445DE9"/>
    <w:rsid w:val="00446401"/>
    <w:rsid w:val="00446796"/>
    <w:rsid w:val="00446940"/>
    <w:rsid w:val="0044694F"/>
    <w:rsid w:val="0044791C"/>
    <w:rsid w:val="00447C6D"/>
    <w:rsid w:val="00447D28"/>
    <w:rsid w:val="0045027C"/>
    <w:rsid w:val="004502DC"/>
    <w:rsid w:val="00450663"/>
    <w:rsid w:val="00450965"/>
    <w:rsid w:val="00450EDE"/>
    <w:rsid w:val="004510A7"/>
    <w:rsid w:val="00451640"/>
    <w:rsid w:val="004519CB"/>
    <w:rsid w:val="00451FB1"/>
    <w:rsid w:val="00452003"/>
    <w:rsid w:val="004524B3"/>
    <w:rsid w:val="004527A3"/>
    <w:rsid w:val="00452EA8"/>
    <w:rsid w:val="00453506"/>
    <w:rsid w:val="0045350C"/>
    <w:rsid w:val="00453633"/>
    <w:rsid w:val="00453BD3"/>
    <w:rsid w:val="00453F31"/>
    <w:rsid w:val="0045485C"/>
    <w:rsid w:val="00454D96"/>
    <w:rsid w:val="00455592"/>
    <w:rsid w:val="00455622"/>
    <w:rsid w:val="004556DA"/>
    <w:rsid w:val="004558DD"/>
    <w:rsid w:val="004563F2"/>
    <w:rsid w:val="00456A88"/>
    <w:rsid w:val="00456AC1"/>
    <w:rsid w:val="00456CD3"/>
    <w:rsid w:val="00457249"/>
    <w:rsid w:val="0045732D"/>
    <w:rsid w:val="004574DE"/>
    <w:rsid w:val="00457BB4"/>
    <w:rsid w:val="00460C71"/>
    <w:rsid w:val="00460CDD"/>
    <w:rsid w:val="00460DCF"/>
    <w:rsid w:val="00461581"/>
    <w:rsid w:val="00461774"/>
    <w:rsid w:val="00462128"/>
    <w:rsid w:val="00462197"/>
    <w:rsid w:val="00462573"/>
    <w:rsid w:val="00462909"/>
    <w:rsid w:val="00462F6A"/>
    <w:rsid w:val="00463155"/>
    <w:rsid w:val="004637F7"/>
    <w:rsid w:val="00463D6A"/>
    <w:rsid w:val="00464189"/>
    <w:rsid w:val="004641A1"/>
    <w:rsid w:val="00465052"/>
    <w:rsid w:val="00465941"/>
    <w:rsid w:val="004661BB"/>
    <w:rsid w:val="00466674"/>
    <w:rsid w:val="00466F40"/>
    <w:rsid w:val="004671C8"/>
    <w:rsid w:val="004674C4"/>
    <w:rsid w:val="00467FB3"/>
    <w:rsid w:val="0047075D"/>
    <w:rsid w:val="004708C8"/>
    <w:rsid w:val="00470D1D"/>
    <w:rsid w:val="0047149D"/>
    <w:rsid w:val="004718BA"/>
    <w:rsid w:val="00471C3A"/>
    <w:rsid w:val="0047225F"/>
    <w:rsid w:val="004722B3"/>
    <w:rsid w:val="00472AA0"/>
    <w:rsid w:val="00473D29"/>
    <w:rsid w:val="00474090"/>
    <w:rsid w:val="00474215"/>
    <w:rsid w:val="004744DB"/>
    <w:rsid w:val="0047452A"/>
    <w:rsid w:val="004746E8"/>
    <w:rsid w:val="004747A7"/>
    <w:rsid w:val="0047557A"/>
    <w:rsid w:val="00476BFF"/>
    <w:rsid w:val="00476CF0"/>
    <w:rsid w:val="004770E5"/>
    <w:rsid w:val="0047750A"/>
    <w:rsid w:val="00477582"/>
    <w:rsid w:val="00477785"/>
    <w:rsid w:val="00477B3C"/>
    <w:rsid w:val="00477F7C"/>
    <w:rsid w:val="00480625"/>
    <w:rsid w:val="00480B15"/>
    <w:rsid w:val="00480D8E"/>
    <w:rsid w:val="004818E3"/>
    <w:rsid w:val="004818F4"/>
    <w:rsid w:val="0048221C"/>
    <w:rsid w:val="00482389"/>
    <w:rsid w:val="00483371"/>
    <w:rsid w:val="00483490"/>
    <w:rsid w:val="00483604"/>
    <w:rsid w:val="00483E3A"/>
    <w:rsid w:val="00483F2F"/>
    <w:rsid w:val="004843EB"/>
    <w:rsid w:val="0048442F"/>
    <w:rsid w:val="004846E4"/>
    <w:rsid w:val="00484CD5"/>
    <w:rsid w:val="004850CC"/>
    <w:rsid w:val="00485439"/>
    <w:rsid w:val="004857DA"/>
    <w:rsid w:val="004861F7"/>
    <w:rsid w:val="00486245"/>
    <w:rsid w:val="004862C2"/>
    <w:rsid w:val="00486FE6"/>
    <w:rsid w:val="00487335"/>
    <w:rsid w:val="00487870"/>
    <w:rsid w:val="00487A0D"/>
    <w:rsid w:val="00487D1B"/>
    <w:rsid w:val="004908EC"/>
    <w:rsid w:val="00491992"/>
    <w:rsid w:val="00491B66"/>
    <w:rsid w:val="004922E2"/>
    <w:rsid w:val="00492396"/>
    <w:rsid w:val="00492FAF"/>
    <w:rsid w:val="00493207"/>
    <w:rsid w:val="00493569"/>
    <w:rsid w:val="00493AAD"/>
    <w:rsid w:val="00493C06"/>
    <w:rsid w:val="004943C7"/>
    <w:rsid w:val="0049470D"/>
    <w:rsid w:val="00494837"/>
    <w:rsid w:val="004948FD"/>
    <w:rsid w:val="00494A82"/>
    <w:rsid w:val="00494C9B"/>
    <w:rsid w:val="00494FCA"/>
    <w:rsid w:val="00495896"/>
    <w:rsid w:val="00495B88"/>
    <w:rsid w:val="00496012"/>
    <w:rsid w:val="004969F3"/>
    <w:rsid w:val="00496E59"/>
    <w:rsid w:val="004977D9"/>
    <w:rsid w:val="00497800"/>
    <w:rsid w:val="004978FA"/>
    <w:rsid w:val="004A0225"/>
    <w:rsid w:val="004A11A6"/>
    <w:rsid w:val="004A141F"/>
    <w:rsid w:val="004A14C8"/>
    <w:rsid w:val="004A1BCA"/>
    <w:rsid w:val="004A1D6C"/>
    <w:rsid w:val="004A21D1"/>
    <w:rsid w:val="004A33CA"/>
    <w:rsid w:val="004A3FAD"/>
    <w:rsid w:val="004A4228"/>
    <w:rsid w:val="004A5475"/>
    <w:rsid w:val="004A62D1"/>
    <w:rsid w:val="004A6796"/>
    <w:rsid w:val="004A6AA8"/>
    <w:rsid w:val="004A7034"/>
    <w:rsid w:val="004A772A"/>
    <w:rsid w:val="004A7CAA"/>
    <w:rsid w:val="004B075C"/>
    <w:rsid w:val="004B0A12"/>
    <w:rsid w:val="004B11A7"/>
    <w:rsid w:val="004B1204"/>
    <w:rsid w:val="004B160D"/>
    <w:rsid w:val="004B182E"/>
    <w:rsid w:val="004B1B54"/>
    <w:rsid w:val="004B1BD6"/>
    <w:rsid w:val="004B274D"/>
    <w:rsid w:val="004B295E"/>
    <w:rsid w:val="004B2D2A"/>
    <w:rsid w:val="004B2E9E"/>
    <w:rsid w:val="004B3006"/>
    <w:rsid w:val="004B35D0"/>
    <w:rsid w:val="004B39AC"/>
    <w:rsid w:val="004B40AD"/>
    <w:rsid w:val="004B40E7"/>
    <w:rsid w:val="004B47A5"/>
    <w:rsid w:val="004B49F8"/>
    <w:rsid w:val="004B4AA9"/>
    <w:rsid w:val="004B50AD"/>
    <w:rsid w:val="004B5324"/>
    <w:rsid w:val="004B5477"/>
    <w:rsid w:val="004B5568"/>
    <w:rsid w:val="004B5A0F"/>
    <w:rsid w:val="004B5FF9"/>
    <w:rsid w:val="004B60C0"/>
    <w:rsid w:val="004B63A9"/>
    <w:rsid w:val="004B66F0"/>
    <w:rsid w:val="004B680A"/>
    <w:rsid w:val="004B6C4F"/>
    <w:rsid w:val="004B714A"/>
    <w:rsid w:val="004C089B"/>
    <w:rsid w:val="004C10BE"/>
    <w:rsid w:val="004C1874"/>
    <w:rsid w:val="004C20D6"/>
    <w:rsid w:val="004C290A"/>
    <w:rsid w:val="004C2D82"/>
    <w:rsid w:val="004C35DB"/>
    <w:rsid w:val="004C36AC"/>
    <w:rsid w:val="004C3CE2"/>
    <w:rsid w:val="004C5B92"/>
    <w:rsid w:val="004C5D82"/>
    <w:rsid w:val="004C6066"/>
    <w:rsid w:val="004C60FC"/>
    <w:rsid w:val="004C6462"/>
    <w:rsid w:val="004C653B"/>
    <w:rsid w:val="004C67C0"/>
    <w:rsid w:val="004C6D8A"/>
    <w:rsid w:val="004C6DD7"/>
    <w:rsid w:val="004C6E54"/>
    <w:rsid w:val="004C7424"/>
    <w:rsid w:val="004C7F0D"/>
    <w:rsid w:val="004D00B4"/>
    <w:rsid w:val="004D022F"/>
    <w:rsid w:val="004D0465"/>
    <w:rsid w:val="004D080E"/>
    <w:rsid w:val="004D0FF1"/>
    <w:rsid w:val="004D1547"/>
    <w:rsid w:val="004D1969"/>
    <w:rsid w:val="004D19F7"/>
    <w:rsid w:val="004D1B5C"/>
    <w:rsid w:val="004D1D5D"/>
    <w:rsid w:val="004D2120"/>
    <w:rsid w:val="004D245E"/>
    <w:rsid w:val="004D29B6"/>
    <w:rsid w:val="004D2AFE"/>
    <w:rsid w:val="004D2DDE"/>
    <w:rsid w:val="004D2FBE"/>
    <w:rsid w:val="004D38B3"/>
    <w:rsid w:val="004D4440"/>
    <w:rsid w:val="004D5677"/>
    <w:rsid w:val="004D5755"/>
    <w:rsid w:val="004D5E69"/>
    <w:rsid w:val="004D654D"/>
    <w:rsid w:val="004D6899"/>
    <w:rsid w:val="004D6B39"/>
    <w:rsid w:val="004D7847"/>
    <w:rsid w:val="004D7EE9"/>
    <w:rsid w:val="004E0159"/>
    <w:rsid w:val="004E0430"/>
    <w:rsid w:val="004E04F6"/>
    <w:rsid w:val="004E05D6"/>
    <w:rsid w:val="004E12B7"/>
    <w:rsid w:val="004E2728"/>
    <w:rsid w:val="004E3670"/>
    <w:rsid w:val="004E371D"/>
    <w:rsid w:val="004E3871"/>
    <w:rsid w:val="004E3AF9"/>
    <w:rsid w:val="004E425B"/>
    <w:rsid w:val="004E429B"/>
    <w:rsid w:val="004E44FD"/>
    <w:rsid w:val="004E4713"/>
    <w:rsid w:val="004E49EA"/>
    <w:rsid w:val="004E4B14"/>
    <w:rsid w:val="004E4C2B"/>
    <w:rsid w:val="004E4D83"/>
    <w:rsid w:val="004E4E42"/>
    <w:rsid w:val="004E57B4"/>
    <w:rsid w:val="004E5A1B"/>
    <w:rsid w:val="004E5EBE"/>
    <w:rsid w:val="004E5FD0"/>
    <w:rsid w:val="004E6589"/>
    <w:rsid w:val="004E6DDB"/>
    <w:rsid w:val="004E77DB"/>
    <w:rsid w:val="004E7B54"/>
    <w:rsid w:val="004E7F1E"/>
    <w:rsid w:val="004F09B8"/>
    <w:rsid w:val="004F11B6"/>
    <w:rsid w:val="004F15CC"/>
    <w:rsid w:val="004F1D0C"/>
    <w:rsid w:val="004F2D38"/>
    <w:rsid w:val="004F2F55"/>
    <w:rsid w:val="004F383D"/>
    <w:rsid w:val="004F4B5C"/>
    <w:rsid w:val="004F4E8F"/>
    <w:rsid w:val="004F63CD"/>
    <w:rsid w:val="004F6AA7"/>
    <w:rsid w:val="004F6C6C"/>
    <w:rsid w:val="004F6CD3"/>
    <w:rsid w:val="004F6D91"/>
    <w:rsid w:val="004F7064"/>
    <w:rsid w:val="004F797A"/>
    <w:rsid w:val="004F7A91"/>
    <w:rsid w:val="0050075B"/>
    <w:rsid w:val="005009D4"/>
    <w:rsid w:val="00500CC1"/>
    <w:rsid w:val="00500E26"/>
    <w:rsid w:val="005018D1"/>
    <w:rsid w:val="00501C04"/>
    <w:rsid w:val="005021CB"/>
    <w:rsid w:val="00502270"/>
    <w:rsid w:val="00502342"/>
    <w:rsid w:val="00502508"/>
    <w:rsid w:val="00502659"/>
    <w:rsid w:val="005027E3"/>
    <w:rsid w:val="00502BDA"/>
    <w:rsid w:val="005034C7"/>
    <w:rsid w:val="005039E9"/>
    <w:rsid w:val="005039FE"/>
    <w:rsid w:val="00503A34"/>
    <w:rsid w:val="00503A70"/>
    <w:rsid w:val="00503B4C"/>
    <w:rsid w:val="00504273"/>
    <w:rsid w:val="0050569B"/>
    <w:rsid w:val="00505855"/>
    <w:rsid w:val="00505D81"/>
    <w:rsid w:val="005060EB"/>
    <w:rsid w:val="005063D8"/>
    <w:rsid w:val="00506D7E"/>
    <w:rsid w:val="005075D7"/>
    <w:rsid w:val="005076A7"/>
    <w:rsid w:val="00507F14"/>
    <w:rsid w:val="005102CA"/>
    <w:rsid w:val="005102EE"/>
    <w:rsid w:val="00510946"/>
    <w:rsid w:val="00510CE6"/>
    <w:rsid w:val="00510F0B"/>
    <w:rsid w:val="0051143D"/>
    <w:rsid w:val="00511498"/>
    <w:rsid w:val="005115FE"/>
    <w:rsid w:val="00511A45"/>
    <w:rsid w:val="0051258A"/>
    <w:rsid w:val="00512BA4"/>
    <w:rsid w:val="00512D5E"/>
    <w:rsid w:val="00512EF6"/>
    <w:rsid w:val="005137C2"/>
    <w:rsid w:val="00513C24"/>
    <w:rsid w:val="00513D04"/>
    <w:rsid w:val="00513F0A"/>
    <w:rsid w:val="005147E2"/>
    <w:rsid w:val="005149AF"/>
    <w:rsid w:val="00514A63"/>
    <w:rsid w:val="00515B43"/>
    <w:rsid w:val="005168D4"/>
    <w:rsid w:val="005173D2"/>
    <w:rsid w:val="0051755B"/>
    <w:rsid w:val="00517EEF"/>
    <w:rsid w:val="00520740"/>
    <w:rsid w:val="00520D61"/>
    <w:rsid w:val="005217C3"/>
    <w:rsid w:val="00521EB2"/>
    <w:rsid w:val="0052215E"/>
    <w:rsid w:val="00522E71"/>
    <w:rsid w:val="00523169"/>
    <w:rsid w:val="00523AAC"/>
    <w:rsid w:val="00523B24"/>
    <w:rsid w:val="00523EE0"/>
    <w:rsid w:val="00523EE7"/>
    <w:rsid w:val="0052409F"/>
    <w:rsid w:val="00524C98"/>
    <w:rsid w:val="00524F15"/>
    <w:rsid w:val="005250F8"/>
    <w:rsid w:val="0052545A"/>
    <w:rsid w:val="00525866"/>
    <w:rsid w:val="00525C12"/>
    <w:rsid w:val="00526575"/>
    <w:rsid w:val="00526750"/>
    <w:rsid w:val="00526C53"/>
    <w:rsid w:val="0052711E"/>
    <w:rsid w:val="0052742D"/>
    <w:rsid w:val="0052777E"/>
    <w:rsid w:val="005279FF"/>
    <w:rsid w:val="00527E4A"/>
    <w:rsid w:val="00530239"/>
    <w:rsid w:val="0053098B"/>
    <w:rsid w:val="0053100D"/>
    <w:rsid w:val="005311E1"/>
    <w:rsid w:val="0053181C"/>
    <w:rsid w:val="005324F5"/>
    <w:rsid w:val="00532698"/>
    <w:rsid w:val="00532A62"/>
    <w:rsid w:val="00532DE3"/>
    <w:rsid w:val="005335E1"/>
    <w:rsid w:val="0053369B"/>
    <w:rsid w:val="00533F2F"/>
    <w:rsid w:val="00533FAB"/>
    <w:rsid w:val="00534771"/>
    <w:rsid w:val="00534A18"/>
    <w:rsid w:val="005356AA"/>
    <w:rsid w:val="00535881"/>
    <w:rsid w:val="00535A2E"/>
    <w:rsid w:val="005360FD"/>
    <w:rsid w:val="005361AD"/>
    <w:rsid w:val="00536270"/>
    <w:rsid w:val="005362A5"/>
    <w:rsid w:val="00537375"/>
    <w:rsid w:val="00540368"/>
    <w:rsid w:val="00540529"/>
    <w:rsid w:val="0054059D"/>
    <w:rsid w:val="005406F3"/>
    <w:rsid w:val="0054073E"/>
    <w:rsid w:val="00540987"/>
    <w:rsid w:val="00540ACC"/>
    <w:rsid w:val="00540EFF"/>
    <w:rsid w:val="00541775"/>
    <w:rsid w:val="005423A2"/>
    <w:rsid w:val="00543124"/>
    <w:rsid w:val="0054324C"/>
    <w:rsid w:val="005439B9"/>
    <w:rsid w:val="00543A2F"/>
    <w:rsid w:val="005445EA"/>
    <w:rsid w:val="005447F5"/>
    <w:rsid w:val="00544C89"/>
    <w:rsid w:val="00544CE6"/>
    <w:rsid w:val="00544DF1"/>
    <w:rsid w:val="00545254"/>
    <w:rsid w:val="005459F4"/>
    <w:rsid w:val="00545A6E"/>
    <w:rsid w:val="00545C0B"/>
    <w:rsid w:val="005464A0"/>
    <w:rsid w:val="005464DD"/>
    <w:rsid w:val="00546529"/>
    <w:rsid w:val="00546A85"/>
    <w:rsid w:val="00546FED"/>
    <w:rsid w:val="00547158"/>
    <w:rsid w:val="0054716A"/>
    <w:rsid w:val="005476BE"/>
    <w:rsid w:val="00547871"/>
    <w:rsid w:val="00547965"/>
    <w:rsid w:val="00547A0D"/>
    <w:rsid w:val="005505B9"/>
    <w:rsid w:val="005506AF"/>
    <w:rsid w:val="005507FB"/>
    <w:rsid w:val="00550D96"/>
    <w:rsid w:val="00550FC5"/>
    <w:rsid w:val="005513D6"/>
    <w:rsid w:val="0055143E"/>
    <w:rsid w:val="005517E2"/>
    <w:rsid w:val="00551EE9"/>
    <w:rsid w:val="005521A7"/>
    <w:rsid w:val="00552CA2"/>
    <w:rsid w:val="00552CFE"/>
    <w:rsid w:val="005542D2"/>
    <w:rsid w:val="005547AC"/>
    <w:rsid w:val="00554A5E"/>
    <w:rsid w:val="00554EC4"/>
    <w:rsid w:val="00555264"/>
    <w:rsid w:val="00555DAE"/>
    <w:rsid w:val="00555FBD"/>
    <w:rsid w:val="005566DE"/>
    <w:rsid w:val="0055671E"/>
    <w:rsid w:val="00556B68"/>
    <w:rsid w:val="00556E41"/>
    <w:rsid w:val="005572CB"/>
    <w:rsid w:val="005574A2"/>
    <w:rsid w:val="0055762B"/>
    <w:rsid w:val="005578A7"/>
    <w:rsid w:val="00557CA1"/>
    <w:rsid w:val="00560541"/>
    <w:rsid w:val="00560AA7"/>
    <w:rsid w:val="00561219"/>
    <w:rsid w:val="0056178F"/>
    <w:rsid w:val="005621FB"/>
    <w:rsid w:val="005623A6"/>
    <w:rsid w:val="0056363D"/>
    <w:rsid w:val="00563819"/>
    <w:rsid w:val="00563948"/>
    <w:rsid w:val="00563DFA"/>
    <w:rsid w:val="00563E90"/>
    <w:rsid w:val="00564489"/>
    <w:rsid w:val="005652A4"/>
    <w:rsid w:val="005652CB"/>
    <w:rsid w:val="0056572E"/>
    <w:rsid w:val="005661AB"/>
    <w:rsid w:val="005664FE"/>
    <w:rsid w:val="00566C6D"/>
    <w:rsid w:val="00566E41"/>
    <w:rsid w:val="005679D7"/>
    <w:rsid w:val="00567A69"/>
    <w:rsid w:val="00567BD9"/>
    <w:rsid w:val="00567E28"/>
    <w:rsid w:val="00570087"/>
    <w:rsid w:val="0057043D"/>
    <w:rsid w:val="00570B3A"/>
    <w:rsid w:val="00570D3C"/>
    <w:rsid w:val="00570E03"/>
    <w:rsid w:val="00571223"/>
    <w:rsid w:val="005712FB"/>
    <w:rsid w:val="005714C1"/>
    <w:rsid w:val="00571543"/>
    <w:rsid w:val="005723B1"/>
    <w:rsid w:val="00572AF2"/>
    <w:rsid w:val="00572C21"/>
    <w:rsid w:val="00572CAC"/>
    <w:rsid w:val="005732D1"/>
    <w:rsid w:val="005737A8"/>
    <w:rsid w:val="00573F0D"/>
    <w:rsid w:val="005740EF"/>
    <w:rsid w:val="005747C3"/>
    <w:rsid w:val="00574A07"/>
    <w:rsid w:val="00574CD1"/>
    <w:rsid w:val="005753D7"/>
    <w:rsid w:val="00575434"/>
    <w:rsid w:val="00576C43"/>
    <w:rsid w:val="005774FB"/>
    <w:rsid w:val="0057763F"/>
    <w:rsid w:val="0058043A"/>
    <w:rsid w:val="005809AF"/>
    <w:rsid w:val="0058116F"/>
    <w:rsid w:val="00581D03"/>
    <w:rsid w:val="00581F29"/>
    <w:rsid w:val="005831B2"/>
    <w:rsid w:val="00583F3C"/>
    <w:rsid w:val="005844E8"/>
    <w:rsid w:val="00585B0A"/>
    <w:rsid w:val="00585E59"/>
    <w:rsid w:val="00586865"/>
    <w:rsid w:val="00586985"/>
    <w:rsid w:val="005869CC"/>
    <w:rsid w:val="00587DC7"/>
    <w:rsid w:val="00590224"/>
    <w:rsid w:val="00590664"/>
    <w:rsid w:val="00590674"/>
    <w:rsid w:val="00590A5F"/>
    <w:rsid w:val="00591715"/>
    <w:rsid w:val="00591851"/>
    <w:rsid w:val="00591C88"/>
    <w:rsid w:val="005920C4"/>
    <w:rsid w:val="005923AF"/>
    <w:rsid w:val="00592B70"/>
    <w:rsid w:val="00592C55"/>
    <w:rsid w:val="00592DEA"/>
    <w:rsid w:val="00593291"/>
    <w:rsid w:val="00593831"/>
    <w:rsid w:val="00593E77"/>
    <w:rsid w:val="00593ED9"/>
    <w:rsid w:val="00594255"/>
    <w:rsid w:val="00594370"/>
    <w:rsid w:val="00594D1B"/>
    <w:rsid w:val="00594E15"/>
    <w:rsid w:val="00595609"/>
    <w:rsid w:val="00595696"/>
    <w:rsid w:val="005958A8"/>
    <w:rsid w:val="0059594C"/>
    <w:rsid w:val="00595B23"/>
    <w:rsid w:val="00595E1A"/>
    <w:rsid w:val="005960CA"/>
    <w:rsid w:val="00596C24"/>
    <w:rsid w:val="00597380"/>
    <w:rsid w:val="0059779E"/>
    <w:rsid w:val="005A0E4D"/>
    <w:rsid w:val="005A130E"/>
    <w:rsid w:val="005A1416"/>
    <w:rsid w:val="005A17A7"/>
    <w:rsid w:val="005A2072"/>
    <w:rsid w:val="005A25C9"/>
    <w:rsid w:val="005A362D"/>
    <w:rsid w:val="005A36D1"/>
    <w:rsid w:val="005A3E24"/>
    <w:rsid w:val="005A4023"/>
    <w:rsid w:val="005A41F7"/>
    <w:rsid w:val="005A45C3"/>
    <w:rsid w:val="005A4C07"/>
    <w:rsid w:val="005A5BBC"/>
    <w:rsid w:val="005A61A3"/>
    <w:rsid w:val="005A69CE"/>
    <w:rsid w:val="005A6B89"/>
    <w:rsid w:val="005A6CC9"/>
    <w:rsid w:val="005A6F4D"/>
    <w:rsid w:val="005A706E"/>
    <w:rsid w:val="005A7077"/>
    <w:rsid w:val="005A767E"/>
    <w:rsid w:val="005A79E5"/>
    <w:rsid w:val="005A7E1E"/>
    <w:rsid w:val="005B0172"/>
    <w:rsid w:val="005B0415"/>
    <w:rsid w:val="005B0842"/>
    <w:rsid w:val="005B106B"/>
    <w:rsid w:val="005B14C8"/>
    <w:rsid w:val="005B1B15"/>
    <w:rsid w:val="005B1BC1"/>
    <w:rsid w:val="005B1C59"/>
    <w:rsid w:val="005B22EC"/>
    <w:rsid w:val="005B25A7"/>
    <w:rsid w:val="005B2BB8"/>
    <w:rsid w:val="005B318B"/>
    <w:rsid w:val="005B357E"/>
    <w:rsid w:val="005B44FE"/>
    <w:rsid w:val="005B4659"/>
    <w:rsid w:val="005B4E22"/>
    <w:rsid w:val="005B4E64"/>
    <w:rsid w:val="005B57F9"/>
    <w:rsid w:val="005B5DB6"/>
    <w:rsid w:val="005B66A0"/>
    <w:rsid w:val="005B69A6"/>
    <w:rsid w:val="005B6E9C"/>
    <w:rsid w:val="005B7C9F"/>
    <w:rsid w:val="005B7F50"/>
    <w:rsid w:val="005C1792"/>
    <w:rsid w:val="005C1A65"/>
    <w:rsid w:val="005C2D18"/>
    <w:rsid w:val="005C307D"/>
    <w:rsid w:val="005C31AA"/>
    <w:rsid w:val="005C38EB"/>
    <w:rsid w:val="005C396B"/>
    <w:rsid w:val="005C3A43"/>
    <w:rsid w:val="005C3EFD"/>
    <w:rsid w:val="005C4C70"/>
    <w:rsid w:val="005C5409"/>
    <w:rsid w:val="005C54F7"/>
    <w:rsid w:val="005C5C8D"/>
    <w:rsid w:val="005C5DB4"/>
    <w:rsid w:val="005C66D5"/>
    <w:rsid w:val="005C66E0"/>
    <w:rsid w:val="005C6BFF"/>
    <w:rsid w:val="005C72A0"/>
    <w:rsid w:val="005C7734"/>
    <w:rsid w:val="005C78CB"/>
    <w:rsid w:val="005C7A9E"/>
    <w:rsid w:val="005C7FA8"/>
    <w:rsid w:val="005D041D"/>
    <w:rsid w:val="005D0C5B"/>
    <w:rsid w:val="005D19CF"/>
    <w:rsid w:val="005D1EAC"/>
    <w:rsid w:val="005D2DA7"/>
    <w:rsid w:val="005D2E52"/>
    <w:rsid w:val="005D2E66"/>
    <w:rsid w:val="005D35CB"/>
    <w:rsid w:val="005D3A0A"/>
    <w:rsid w:val="005D3C63"/>
    <w:rsid w:val="005D3C6A"/>
    <w:rsid w:val="005D3F9A"/>
    <w:rsid w:val="005D4B7A"/>
    <w:rsid w:val="005D4E60"/>
    <w:rsid w:val="005D4F44"/>
    <w:rsid w:val="005D536D"/>
    <w:rsid w:val="005D57FB"/>
    <w:rsid w:val="005D5951"/>
    <w:rsid w:val="005D5AB5"/>
    <w:rsid w:val="005D5BE0"/>
    <w:rsid w:val="005D6291"/>
    <w:rsid w:val="005D6BDE"/>
    <w:rsid w:val="005D6D34"/>
    <w:rsid w:val="005D6DB3"/>
    <w:rsid w:val="005E0330"/>
    <w:rsid w:val="005E04AB"/>
    <w:rsid w:val="005E05E7"/>
    <w:rsid w:val="005E0F59"/>
    <w:rsid w:val="005E118D"/>
    <w:rsid w:val="005E167B"/>
    <w:rsid w:val="005E17E4"/>
    <w:rsid w:val="005E1A2B"/>
    <w:rsid w:val="005E1F72"/>
    <w:rsid w:val="005E1FC6"/>
    <w:rsid w:val="005E2385"/>
    <w:rsid w:val="005E259F"/>
    <w:rsid w:val="005E27D9"/>
    <w:rsid w:val="005E2F2F"/>
    <w:rsid w:val="005E31BA"/>
    <w:rsid w:val="005E3860"/>
    <w:rsid w:val="005E3C07"/>
    <w:rsid w:val="005E3E2B"/>
    <w:rsid w:val="005E401F"/>
    <w:rsid w:val="005E4167"/>
    <w:rsid w:val="005E4455"/>
    <w:rsid w:val="005E4913"/>
    <w:rsid w:val="005E4FF8"/>
    <w:rsid w:val="005E5A85"/>
    <w:rsid w:val="005E639D"/>
    <w:rsid w:val="005E63D3"/>
    <w:rsid w:val="005E711F"/>
    <w:rsid w:val="005E7A4D"/>
    <w:rsid w:val="005F061B"/>
    <w:rsid w:val="005F0A57"/>
    <w:rsid w:val="005F0AF1"/>
    <w:rsid w:val="005F0C40"/>
    <w:rsid w:val="005F0E5C"/>
    <w:rsid w:val="005F105A"/>
    <w:rsid w:val="005F1162"/>
    <w:rsid w:val="005F1163"/>
    <w:rsid w:val="005F1AC2"/>
    <w:rsid w:val="005F2381"/>
    <w:rsid w:val="005F2590"/>
    <w:rsid w:val="005F27CF"/>
    <w:rsid w:val="005F2D0D"/>
    <w:rsid w:val="005F2D32"/>
    <w:rsid w:val="005F2D61"/>
    <w:rsid w:val="005F2F51"/>
    <w:rsid w:val="005F3291"/>
    <w:rsid w:val="005F32A2"/>
    <w:rsid w:val="005F33FD"/>
    <w:rsid w:val="005F3985"/>
    <w:rsid w:val="005F39C6"/>
    <w:rsid w:val="005F41C6"/>
    <w:rsid w:val="005F4330"/>
    <w:rsid w:val="005F4546"/>
    <w:rsid w:val="005F4B46"/>
    <w:rsid w:val="005F4C68"/>
    <w:rsid w:val="005F4CC3"/>
    <w:rsid w:val="005F4E6F"/>
    <w:rsid w:val="005F4FE8"/>
    <w:rsid w:val="005F50C7"/>
    <w:rsid w:val="005F5143"/>
    <w:rsid w:val="005F5325"/>
    <w:rsid w:val="005F55A3"/>
    <w:rsid w:val="005F5B46"/>
    <w:rsid w:val="005F61C3"/>
    <w:rsid w:val="005F6504"/>
    <w:rsid w:val="005F67E0"/>
    <w:rsid w:val="005F6B57"/>
    <w:rsid w:val="005F7A5B"/>
    <w:rsid w:val="006006BA"/>
    <w:rsid w:val="00600911"/>
    <w:rsid w:val="006015FA"/>
    <w:rsid w:val="0060174F"/>
    <w:rsid w:val="00601AE8"/>
    <w:rsid w:val="0060239C"/>
    <w:rsid w:val="0060240B"/>
    <w:rsid w:val="00602B1B"/>
    <w:rsid w:val="00602DCD"/>
    <w:rsid w:val="00603339"/>
    <w:rsid w:val="00603EE8"/>
    <w:rsid w:val="006047DD"/>
    <w:rsid w:val="00604C7D"/>
    <w:rsid w:val="00604FD4"/>
    <w:rsid w:val="0060536B"/>
    <w:rsid w:val="00605516"/>
    <w:rsid w:val="00605E70"/>
    <w:rsid w:val="00606C88"/>
    <w:rsid w:val="00606F47"/>
    <w:rsid w:val="00606FF5"/>
    <w:rsid w:val="006074A3"/>
    <w:rsid w:val="0060765C"/>
    <w:rsid w:val="006077FA"/>
    <w:rsid w:val="006079B1"/>
    <w:rsid w:val="00607A26"/>
    <w:rsid w:val="00610206"/>
    <w:rsid w:val="0061045A"/>
    <w:rsid w:val="006104F6"/>
    <w:rsid w:val="0061084A"/>
    <w:rsid w:val="00610C2D"/>
    <w:rsid w:val="00610CDD"/>
    <w:rsid w:val="006110BF"/>
    <w:rsid w:val="00611295"/>
    <w:rsid w:val="0061163B"/>
    <w:rsid w:val="00611C21"/>
    <w:rsid w:val="00611F71"/>
    <w:rsid w:val="006124A4"/>
    <w:rsid w:val="0061285E"/>
    <w:rsid w:val="0061297A"/>
    <w:rsid w:val="006129C0"/>
    <w:rsid w:val="00612B0D"/>
    <w:rsid w:val="00612BE2"/>
    <w:rsid w:val="00612D41"/>
    <w:rsid w:val="00612E7D"/>
    <w:rsid w:val="006130DD"/>
    <w:rsid w:val="006131F0"/>
    <w:rsid w:val="00613905"/>
    <w:rsid w:val="0061396F"/>
    <w:rsid w:val="00613EBB"/>
    <w:rsid w:val="00613EFF"/>
    <w:rsid w:val="00613FB5"/>
    <w:rsid w:val="00614C64"/>
    <w:rsid w:val="00614E29"/>
    <w:rsid w:val="00615084"/>
    <w:rsid w:val="0061553F"/>
    <w:rsid w:val="00615A1D"/>
    <w:rsid w:val="00615BC9"/>
    <w:rsid w:val="00616139"/>
    <w:rsid w:val="00616468"/>
    <w:rsid w:val="00616939"/>
    <w:rsid w:val="00616D39"/>
    <w:rsid w:val="00616DCC"/>
    <w:rsid w:val="00616F04"/>
    <w:rsid w:val="00616F90"/>
    <w:rsid w:val="00617277"/>
    <w:rsid w:val="00617DB1"/>
    <w:rsid w:val="0062009C"/>
    <w:rsid w:val="00620138"/>
    <w:rsid w:val="006208AD"/>
    <w:rsid w:val="00620A48"/>
    <w:rsid w:val="00620F33"/>
    <w:rsid w:val="0062107B"/>
    <w:rsid w:val="006217D7"/>
    <w:rsid w:val="00621D3B"/>
    <w:rsid w:val="006228A1"/>
    <w:rsid w:val="00622E51"/>
    <w:rsid w:val="006234B7"/>
    <w:rsid w:val="006241EB"/>
    <w:rsid w:val="0062440A"/>
    <w:rsid w:val="00624790"/>
    <w:rsid w:val="0062479B"/>
    <w:rsid w:val="00624C7F"/>
    <w:rsid w:val="00625951"/>
    <w:rsid w:val="00625A79"/>
    <w:rsid w:val="00625CF9"/>
    <w:rsid w:val="00626444"/>
    <w:rsid w:val="00626EAF"/>
    <w:rsid w:val="00627042"/>
    <w:rsid w:val="006274CE"/>
    <w:rsid w:val="00627FC7"/>
    <w:rsid w:val="0063034B"/>
    <w:rsid w:val="0063130A"/>
    <w:rsid w:val="0063151C"/>
    <w:rsid w:val="00631C2C"/>
    <w:rsid w:val="0063215D"/>
    <w:rsid w:val="00632503"/>
    <w:rsid w:val="006325CC"/>
    <w:rsid w:val="006332BA"/>
    <w:rsid w:val="006338B6"/>
    <w:rsid w:val="00633D29"/>
    <w:rsid w:val="00634233"/>
    <w:rsid w:val="006345ED"/>
    <w:rsid w:val="006347AD"/>
    <w:rsid w:val="00634B02"/>
    <w:rsid w:val="006354A0"/>
    <w:rsid w:val="006356DD"/>
    <w:rsid w:val="00635B17"/>
    <w:rsid w:val="00635E13"/>
    <w:rsid w:val="006362A3"/>
    <w:rsid w:val="00636388"/>
    <w:rsid w:val="006363C8"/>
    <w:rsid w:val="00636577"/>
    <w:rsid w:val="00636B65"/>
    <w:rsid w:val="00636F36"/>
    <w:rsid w:val="00636F58"/>
    <w:rsid w:val="00637652"/>
    <w:rsid w:val="00637672"/>
    <w:rsid w:val="006379A3"/>
    <w:rsid w:val="0064073E"/>
    <w:rsid w:val="00641437"/>
    <w:rsid w:val="006414AC"/>
    <w:rsid w:val="006415E7"/>
    <w:rsid w:val="00641CC6"/>
    <w:rsid w:val="00641D13"/>
    <w:rsid w:val="00643543"/>
    <w:rsid w:val="00643694"/>
    <w:rsid w:val="00643974"/>
    <w:rsid w:val="0064410A"/>
    <w:rsid w:val="006441B6"/>
    <w:rsid w:val="006444F0"/>
    <w:rsid w:val="00645336"/>
    <w:rsid w:val="006454F8"/>
    <w:rsid w:val="0064569F"/>
    <w:rsid w:val="00645849"/>
    <w:rsid w:val="0064607C"/>
    <w:rsid w:val="0064621E"/>
    <w:rsid w:val="006465EB"/>
    <w:rsid w:val="0064713F"/>
    <w:rsid w:val="0064731A"/>
    <w:rsid w:val="006479E2"/>
    <w:rsid w:val="00647A78"/>
    <w:rsid w:val="00647C77"/>
    <w:rsid w:val="00647D4D"/>
    <w:rsid w:val="0065097E"/>
    <w:rsid w:val="00650E22"/>
    <w:rsid w:val="006512B2"/>
    <w:rsid w:val="00651429"/>
    <w:rsid w:val="00651BE6"/>
    <w:rsid w:val="00651E15"/>
    <w:rsid w:val="00651EFE"/>
    <w:rsid w:val="00652843"/>
    <w:rsid w:val="00653355"/>
    <w:rsid w:val="00653A61"/>
    <w:rsid w:val="00653E73"/>
    <w:rsid w:val="00654375"/>
    <w:rsid w:val="006544D3"/>
    <w:rsid w:val="00654532"/>
    <w:rsid w:val="006546BA"/>
    <w:rsid w:val="0065516E"/>
    <w:rsid w:val="006554C8"/>
    <w:rsid w:val="00655551"/>
    <w:rsid w:val="006556DB"/>
    <w:rsid w:val="00655ABB"/>
    <w:rsid w:val="00656169"/>
    <w:rsid w:val="00656493"/>
    <w:rsid w:val="00657033"/>
    <w:rsid w:val="006579D3"/>
    <w:rsid w:val="0066056A"/>
    <w:rsid w:val="00660767"/>
    <w:rsid w:val="00660C88"/>
    <w:rsid w:val="00660FA3"/>
    <w:rsid w:val="00661217"/>
    <w:rsid w:val="0066135E"/>
    <w:rsid w:val="006619EC"/>
    <w:rsid w:val="00661BFE"/>
    <w:rsid w:val="00661C18"/>
    <w:rsid w:val="0066316C"/>
    <w:rsid w:val="006632DC"/>
    <w:rsid w:val="0066388C"/>
    <w:rsid w:val="00663904"/>
    <w:rsid w:val="00664101"/>
    <w:rsid w:val="00664294"/>
    <w:rsid w:val="00664586"/>
    <w:rsid w:val="00664C60"/>
    <w:rsid w:val="00665765"/>
    <w:rsid w:val="00665883"/>
    <w:rsid w:val="00665DEA"/>
    <w:rsid w:val="0066617C"/>
    <w:rsid w:val="00666F58"/>
    <w:rsid w:val="006671D2"/>
    <w:rsid w:val="00667831"/>
    <w:rsid w:val="0066798E"/>
    <w:rsid w:val="00667BCC"/>
    <w:rsid w:val="006701CB"/>
    <w:rsid w:val="006706CB"/>
    <w:rsid w:val="00670918"/>
    <w:rsid w:val="00671A73"/>
    <w:rsid w:val="00673228"/>
    <w:rsid w:val="006735E6"/>
    <w:rsid w:val="00673A4E"/>
    <w:rsid w:val="00673A92"/>
    <w:rsid w:val="00673E6B"/>
    <w:rsid w:val="006741AF"/>
    <w:rsid w:val="006746BF"/>
    <w:rsid w:val="00676071"/>
    <w:rsid w:val="00676199"/>
    <w:rsid w:val="0067784F"/>
    <w:rsid w:val="00677996"/>
    <w:rsid w:val="00677D91"/>
    <w:rsid w:val="00680309"/>
    <w:rsid w:val="00680557"/>
    <w:rsid w:val="00680808"/>
    <w:rsid w:val="0068082A"/>
    <w:rsid w:val="00680D6C"/>
    <w:rsid w:val="00680EF3"/>
    <w:rsid w:val="00680F5F"/>
    <w:rsid w:val="0068229A"/>
    <w:rsid w:val="006822D2"/>
    <w:rsid w:val="006828A9"/>
    <w:rsid w:val="00682A79"/>
    <w:rsid w:val="00682F03"/>
    <w:rsid w:val="00682FE3"/>
    <w:rsid w:val="006831DA"/>
    <w:rsid w:val="00683C1C"/>
    <w:rsid w:val="00683F74"/>
    <w:rsid w:val="00683FF3"/>
    <w:rsid w:val="00684232"/>
    <w:rsid w:val="00684B02"/>
    <w:rsid w:val="006850BD"/>
    <w:rsid w:val="006850D2"/>
    <w:rsid w:val="006851D8"/>
    <w:rsid w:val="0068596C"/>
    <w:rsid w:val="00685BDE"/>
    <w:rsid w:val="00686D64"/>
    <w:rsid w:val="00686F85"/>
    <w:rsid w:val="00687BC2"/>
    <w:rsid w:val="00687D25"/>
    <w:rsid w:val="006906F0"/>
    <w:rsid w:val="00690B0B"/>
    <w:rsid w:val="00690E0A"/>
    <w:rsid w:val="00691388"/>
    <w:rsid w:val="00691646"/>
    <w:rsid w:val="00691791"/>
    <w:rsid w:val="006919BC"/>
    <w:rsid w:val="00691AA0"/>
    <w:rsid w:val="00691C71"/>
    <w:rsid w:val="00691D4D"/>
    <w:rsid w:val="00692066"/>
    <w:rsid w:val="0069225A"/>
    <w:rsid w:val="006923B0"/>
    <w:rsid w:val="006923CE"/>
    <w:rsid w:val="00692BAE"/>
    <w:rsid w:val="00693277"/>
    <w:rsid w:val="00693937"/>
    <w:rsid w:val="00693BB1"/>
    <w:rsid w:val="00693C10"/>
    <w:rsid w:val="00693D1A"/>
    <w:rsid w:val="00693D61"/>
    <w:rsid w:val="00693DFF"/>
    <w:rsid w:val="006958B2"/>
    <w:rsid w:val="00695D32"/>
    <w:rsid w:val="006962A5"/>
    <w:rsid w:val="00696CD8"/>
    <w:rsid w:val="006970C2"/>
    <w:rsid w:val="00697817"/>
    <w:rsid w:val="006A0131"/>
    <w:rsid w:val="006A01C6"/>
    <w:rsid w:val="006A04B3"/>
    <w:rsid w:val="006A0943"/>
    <w:rsid w:val="006A0A4C"/>
    <w:rsid w:val="006A0EBA"/>
    <w:rsid w:val="006A1027"/>
    <w:rsid w:val="006A1101"/>
    <w:rsid w:val="006A198E"/>
    <w:rsid w:val="006A1BCF"/>
    <w:rsid w:val="006A2D11"/>
    <w:rsid w:val="006A2E9E"/>
    <w:rsid w:val="006A36B5"/>
    <w:rsid w:val="006A3D5C"/>
    <w:rsid w:val="006A3D97"/>
    <w:rsid w:val="006A46B0"/>
    <w:rsid w:val="006A4847"/>
    <w:rsid w:val="006A5001"/>
    <w:rsid w:val="006A520D"/>
    <w:rsid w:val="006A53BB"/>
    <w:rsid w:val="006A59BB"/>
    <w:rsid w:val="006A5BAC"/>
    <w:rsid w:val="006A5CF0"/>
    <w:rsid w:val="006A5F02"/>
    <w:rsid w:val="006A61CD"/>
    <w:rsid w:val="006A68BB"/>
    <w:rsid w:val="006A68F8"/>
    <w:rsid w:val="006A6928"/>
    <w:rsid w:val="006A7111"/>
    <w:rsid w:val="006A7891"/>
    <w:rsid w:val="006A7EE6"/>
    <w:rsid w:val="006B0083"/>
    <w:rsid w:val="006B010E"/>
    <w:rsid w:val="006B04A0"/>
    <w:rsid w:val="006B0A73"/>
    <w:rsid w:val="006B0BE4"/>
    <w:rsid w:val="006B0CBD"/>
    <w:rsid w:val="006B132F"/>
    <w:rsid w:val="006B1A01"/>
    <w:rsid w:val="006B1B66"/>
    <w:rsid w:val="006B1C59"/>
    <w:rsid w:val="006B2FEA"/>
    <w:rsid w:val="006B375D"/>
    <w:rsid w:val="006B4046"/>
    <w:rsid w:val="006B41F0"/>
    <w:rsid w:val="006B4A75"/>
    <w:rsid w:val="006B4C0C"/>
    <w:rsid w:val="006B5078"/>
    <w:rsid w:val="006B585B"/>
    <w:rsid w:val="006B5B44"/>
    <w:rsid w:val="006B5DFF"/>
    <w:rsid w:val="006B6950"/>
    <w:rsid w:val="006B6B09"/>
    <w:rsid w:val="006B7274"/>
    <w:rsid w:val="006B7380"/>
    <w:rsid w:val="006B75F8"/>
    <w:rsid w:val="006B769A"/>
    <w:rsid w:val="006B7997"/>
    <w:rsid w:val="006B7D5F"/>
    <w:rsid w:val="006B7DA4"/>
    <w:rsid w:val="006C0445"/>
    <w:rsid w:val="006C07C5"/>
    <w:rsid w:val="006C0D7C"/>
    <w:rsid w:val="006C0EC8"/>
    <w:rsid w:val="006C0F5C"/>
    <w:rsid w:val="006C1757"/>
    <w:rsid w:val="006C18FA"/>
    <w:rsid w:val="006C19D5"/>
    <w:rsid w:val="006C23AC"/>
    <w:rsid w:val="006C3555"/>
    <w:rsid w:val="006C4345"/>
    <w:rsid w:val="006C4C36"/>
    <w:rsid w:val="006C4DCA"/>
    <w:rsid w:val="006C589F"/>
    <w:rsid w:val="006C68DF"/>
    <w:rsid w:val="006C73A7"/>
    <w:rsid w:val="006C7820"/>
    <w:rsid w:val="006D019E"/>
    <w:rsid w:val="006D07BD"/>
    <w:rsid w:val="006D1293"/>
    <w:rsid w:val="006D1702"/>
    <w:rsid w:val="006D1B2D"/>
    <w:rsid w:val="006D21FB"/>
    <w:rsid w:val="006D232E"/>
    <w:rsid w:val="006D2426"/>
    <w:rsid w:val="006D31F2"/>
    <w:rsid w:val="006D3977"/>
    <w:rsid w:val="006D3FB5"/>
    <w:rsid w:val="006D3FFA"/>
    <w:rsid w:val="006D41A8"/>
    <w:rsid w:val="006D47D8"/>
    <w:rsid w:val="006D482A"/>
    <w:rsid w:val="006D4B37"/>
    <w:rsid w:val="006D4C86"/>
    <w:rsid w:val="006D520F"/>
    <w:rsid w:val="006D526E"/>
    <w:rsid w:val="006D56B2"/>
    <w:rsid w:val="006D5773"/>
    <w:rsid w:val="006D5DC2"/>
    <w:rsid w:val="006D655A"/>
    <w:rsid w:val="006D750A"/>
    <w:rsid w:val="006D7B2B"/>
    <w:rsid w:val="006D7F5B"/>
    <w:rsid w:val="006E092E"/>
    <w:rsid w:val="006E0E9D"/>
    <w:rsid w:val="006E0F92"/>
    <w:rsid w:val="006E1282"/>
    <w:rsid w:val="006E18FC"/>
    <w:rsid w:val="006E1A2F"/>
    <w:rsid w:val="006E1DA3"/>
    <w:rsid w:val="006E1F23"/>
    <w:rsid w:val="006E1F8D"/>
    <w:rsid w:val="006E24F4"/>
    <w:rsid w:val="006E2711"/>
    <w:rsid w:val="006E2E8B"/>
    <w:rsid w:val="006E308F"/>
    <w:rsid w:val="006E3E25"/>
    <w:rsid w:val="006E4003"/>
    <w:rsid w:val="006E4488"/>
    <w:rsid w:val="006E45D1"/>
    <w:rsid w:val="006E4CF8"/>
    <w:rsid w:val="006E5CFF"/>
    <w:rsid w:val="006E6040"/>
    <w:rsid w:val="006E67F9"/>
    <w:rsid w:val="006E6DC2"/>
    <w:rsid w:val="006E7107"/>
    <w:rsid w:val="006E72F9"/>
    <w:rsid w:val="006E7854"/>
    <w:rsid w:val="006E78A1"/>
    <w:rsid w:val="006E79C9"/>
    <w:rsid w:val="006E7AAC"/>
    <w:rsid w:val="006F07FB"/>
    <w:rsid w:val="006F0A3D"/>
    <w:rsid w:val="006F0AEE"/>
    <w:rsid w:val="006F1187"/>
    <w:rsid w:val="006F237A"/>
    <w:rsid w:val="006F280A"/>
    <w:rsid w:val="006F2837"/>
    <w:rsid w:val="006F2918"/>
    <w:rsid w:val="006F2BA1"/>
    <w:rsid w:val="006F320D"/>
    <w:rsid w:val="006F353E"/>
    <w:rsid w:val="006F40FB"/>
    <w:rsid w:val="006F43B5"/>
    <w:rsid w:val="006F4555"/>
    <w:rsid w:val="006F46B1"/>
    <w:rsid w:val="006F475F"/>
    <w:rsid w:val="006F4A20"/>
    <w:rsid w:val="006F51FF"/>
    <w:rsid w:val="006F538A"/>
    <w:rsid w:val="006F56CD"/>
    <w:rsid w:val="006F56F9"/>
    <w:rsid w:val="006F585C"/>
    <w:rsid w:val="006F622A"/>
    <w:rsid w:val="006F629C"/>
    <w:rsid w:val="006F65A1"/>
    <w:rsid w:val="006F6798"/>
    <w:rsid w:val="006F6EA9"/>
    <w:rsid w:val="007007E3"/>
    <w:rsid w:val="00700C6E"/>
    <w:rsid w:val="007010AC"/>
    <w:rsid w:val="0070131C"/>
    <w:rsid w:val="0070142E"/>
    <w:rsid w:val="00702014"/>
    <w:rsid w:val="0070205C"/>
    <w:rsid w:val="0070219B"/>
    <w:rsid w:val="00702EE7"/>
    <w:rsid w:val="00702FE3"/>
    <w:rsid w:val="00703424"/>
    <w:rsid w:val="00703A97"/>
    <w:rsid w:val="00703D71"/>
    <w:rsid w:val="00704A6B"/>
    <w:rsid w:val="00704DC8"/>
    <w:rsid w:val="00704EE2"/>
    <w:rsid w:val="00704F81"/>
    <w:rsid w:val="0070506D"/>
    <w:rsid w:val="00705D6D"/>
    <w:rsid w:val="007060DB"/>
    <w:rsid w:val="007066E4"/>
    <w:rsid w:val="00706936"/>
    <w:rsid w:val="007069C1"/>
    <w:rsid w:val="00706CB5"/>
    <w:rsid w:val="00706D9F"/>
    <w:rsid w:val="00706F6F"/>
    <w:rsid w:val="00707694"/>
    <w:rsid w:val="00707B64"/>
    <w:rsid w:val="00710B66"/>
    <w:rsid w:val="00710F42"/>
    <w:rsid w:val="007115C0"/>
    <w:rsid w:val="00711C49"/>
    <w:rsid w:val="00711ED8"/>
    <w:rsid w:val="00712310"/>
    <w:rsid w:val="007123C9"/>
    <w:rsid w:val="00712797"/>
    <w:rsid w:val="007127A2"/>
    <w:rsid w:val="007129AB"/>
    <w:rsid w:val="00712CBF"/>
    <w:rsid w:val="00712D98"/>
    <w:rsid w:val="00712E37"/>
    <w:rsid w:val="0071326D"/>
    <w:rsid w:val="00713514"/>
    <w:rsid w:val="00713EC1"/>
    <w:rsid w:val="007141B5"/>
    <w:rsid w:val="00714655"/>
    <w:rsid w:val="007147AA"/>
    <w:rsid w:val="00714987"/>
    <w:rsid w:val="00715A46"/>
    <w:rsid w:val="0071609F"/>
    <w:rsid w:val="0071626E"/>
    <w:rsid w:val="0071639D"/>
    <w:rsid w:val="00716B95"/>
    <w:rsid w:val="00716BEB"/>
    <w:rsid w:val="0071721A"/>
    <w:rsid w:val="0071766B"/>
    <w:rsid w:val="007177CC"/>
    <w:rsid w:val="00717A6A"/>
    <w:rsid w:val="00720AB1"/>
    <w:rsid w:val="00720BDD"/>
    <w:rsid w:val="00720E22"/>
    <w:rsid w:val="00720F0B"/>
    <w:rsid w:val="007214D8"/>
    <w:rsid w:val="00721ABF"/>
    <w:rsid w:val="007224A0"/>
    <w:rsid w:val="0072278E"/>
    <w:rsid w:val="00722934"/>
    <w:rsid w:val="00722C85"/>
    <w:rsid w:val="00722F7C"/>
    <w:rsid w:val="007231E2"/>
    <w:rsid w:val="00723392"/>
    <w:rsid w:val="007233DD"/>
    <w:rsid w:val="00723C5D"/>
    <w:rsid w:val="00724755"/>
    <w:rsid w:val="007248A3"/>
    <w:rsid w:val="00724FCF"/>
    <w:rsid w:val="0072500E"/>
    <w:rsid w:val="007257F6"/>
    <w:rsid w:val="00725965"/>
    <w:rsid w:val="00725F98"/>
    <w:rsid w:val="00725FC6"/>
    <w:rsid w:val="00726576"/>
    <w:rsid w:val="00726EBF"/>
    <w:rsid w:val="00727039"/>
    <w:rsid w:val="00727835"/>
    <w:rsid w:val="00727A44"/>
    <w:rsid w:val="00727B0E"/>
    <w:rsid w:val="007302F4"/>
    <w:rsid w:val="007305C3"/>
    <w:rsid w:val="00730972"/>
    <w:rsid w:val="00731250"/>
    <w:rsid w:val="00731440"/>
    <w:rsid w:val="00731734"/>
    <w:rsid w:val="007318FF"/>
    <w:rsid w:val="0073242E"/>
    <w:rsid w:val="00732FF3"/>
    <w:rsid w:val="007336BB"/>
    <w:rsid w:val="007337CC"/>
    <w:rsid w:val="00733D9A"/>
    <w:rsid w:val="00733E0B"/>
    <w:rsid w:val="0073492B"/>
    <w:rsid w:val="00734FE8"/>
    <w:rsid w:val="007350D0"/>
    <w:rsid w:val="0073531D"/>
    <w:rsid w:val="00735879"/>
    <w:rsid w:val="00735C34"/>
    <w:rsid w:val="00736107"/>
    <w:rsid w:val="00736B31"/>
    <w:rsid w:val="007376A3"/>
    <w:rsid w:val="007376BE"/>
    <w:rsid w:val="00737A2A"/>
    <w:rsid w:val="0074018D"/>
    <w:rsid w:val="0074048C"/>
    <w:rsid w:val="00741F5B"/>
    <w:rsid w:val="00742510"/>
    <w:rsid w:val="00742A8E"/>
    <w:rsid w:val="00742C3F"/>
    <w:rsid w:val="00742F93"/>
    <w:rsid w:val="00743525"/>
    <w:rsid w:val="007436AA"/>
    <w:rsid w:val="007440F2"/>
    <w:rsid w:val="007442AD"/>
    <w:rsid w:val="00744440"/>
    <w:rsid w:val="00744677"/>
    <w:rsid w:val="007447BE"/>
    <w:rsid w:val="0074486A"/>
    <w:rsid w:val="00744CEF"/>
    <w:rsid w:val="00744F08"/>
    <w:rsid w:val="00745592"/>
    <w:rsid w:val="007456EB"/>
    <w:rsid w:val="0074636E"/>
    <w:rsid w:val="0074677D"/>
    <w:rsid w:val="00746D81"/>
    <w:rsid w:val="00746E1B"/>
    <w:rsid w:val="007470E7"/>
    <w:rsid w:val="00747C66"/>
    <w:rsid w:val="00747F5A"/>
    <w:rsid w:val="00750138"/>
    <w:rsid w:val="0075020E"/>
    <w:rsid w:val="00750569"/>
    <w:rsid w:val="0075146D"/>
    <w:rsid w:val="0075175B"/>
    <w:rsid w:val="007518B7"/>
    <w:rsid w:val="00751A38"/>
    <w:rsid w:val="0075217F"/>
    <w:rsid w:val="007524B1"/>
    <w:rsid w:val="007525BB"/>
    <w:rsid w:val="007525F3"/>
    <w:rsid w:val="007526E8"/>
    <w:rsid w:val="00753BB3"/>
    <w:rsid w:val="00753F90"/>
    <w:rsid w:val="007545C2"/>
    <w:rsid w:val="00754909"/>
    <w:rsid w:val="00754973"/>
    <w:rsid w:val="00754C4E"/>
    <w:rsid w:val="0075569A"/>
    <w:rsid w:val="00755A09"/>
    <w:rsid w:val="0075691A"/>
    <w:rsid w:val="007569D5"/>
    <w:rsid w:val="007569FE"/>
    <w:rsid w:val="00756AC6"/>
    <w:rsid w:val="00756F9F"/>
    <w:rsid w:val="007571F5"/>
    <w:rsid w:val="00757506"/>
    <w:rsid w:val="0075780E"/>
    <w:rsid w:val="00757C2E"/>
    <w:rsid w:val="00757D59"/>
    <w:rsid w:val="00760138"/>
    <w:rsid w:val="007602F4"/>
    <w:rsid w:val="00760DAC"/>
    <w:rsid w:val="00760F9B"/>
    <w:rsid w:val="007612D2"/>
    <w:rsid w:val="00761493"/>
    <w:rsid w:val="0076159C"/>
    <w:rsid w:val="0076206C"/>
    <w:rsid w:val="007622C1"/>
    <w:rsid w:val="00762B14"/>
    <w:rsid w:val="007641FF"/>
    <w:rsid w:val="00764687"/>
    <w:rsid w:val="007646D9"/>
    <w:rsid w:val="007647DA"/>
    <w:rsid w:val="007648AC"/>
    <w:rsid w:val="00764CF3"/>
    <w:rsid w:val="00764D56"/>
    <w:rsid w:val="00765139"/>
    <w:rsid w:val="007658C6"/>
    <w:rsid w:val="0076594F"/>
    <w:rsid w:val="007665E5"/>
    <w:rsid w:val="007669AE"/>
    <w:rsid w:val="00766F25"/>
    <w:rsid w:val="0076712C"/>
    <w:rsid w:val="007673EC"/>
    <w:rsid w:val="007677D8"/>
    <w:rsid w:val="00767974"/>
    <w:rsid w:val="00767AD8"/>
    <w:rsid w:val="00767CB7"/>
    <w:rsid w:val="00767F3A"/>
    <w:rsid w:val="00770455"/>
    <w:rsid w:val="00770BC4"/>
    <w:rsid w:val="00771688"/>
    <w:rsid w:val="00771F7B"/>
    <w:rsid w:val="0077238E"/>
    <w:rsid w:val="007727F9"/>
    <w:rsid w:val="00772B6A"/>
    <w:rsid w:val="00773359"/>
    <w:rsid w:val="00773480"/>
    <w:rsid w:val="00774084"/>
    <w:rsid w:val="00774400"/>
    <w:rsid w:val="0077460D"/>
    <w:rsid w:val="00774876"/>
    <w:rsid w:val="00775363"/>
    <w:rsid w:val="00775780"/>
    <w:rsid w:val="007758CE"/>
    <w:rsid w:val="00775F32"/>
    <w:rsid w:val="0077625F"/>
    <w:rsid w:val="00776471"/>
    <w:rsid w:val="007764C1"/>
    <w:rsid w:val="0077663E"/>
    <w:rsid w:val="007769FD"/>
    <w:rsid w:val="0077708D"/>
    <w:rsid w:val="0077710D"/>
    <w:rsid w:val="00777D9C"/>
    <w:rsid w:val="00780A73"/>
    <w:rsid w:val="007811D0"/>
    <w:rsid w:val="007811FA"/>
    <w:rsid w:val="007817FD"/>
    <w:rsid w:val="00781A7C"/>
    <w:rsid w:val="00781BA8"/>
    <w:rsid w:val="00782EA6"/>
    <w:rsid w:val="00783628"/>
    <w:rsid w:val="00783FD6"/>
    <w:rsid w:val="007842D8"/>
    <w:rsid w:val="007843DA"/>
    <w:rsid w:val="00784575"/>
    <w:rsid w:val="007846EB"/>
    <w:rsid w:val="007847A0"/>
    <w:rsid w:val="00784EED"/>
    <w:rsid w:val="007856C5"/>
    <w:rsid w:val="00785722"/>
    <w:rsid w:val="00785ED0"/>
    <w:rsid w:val="007860B3"/>
    <w:rsid w:val="007862B4"/>
    <w:rsid w:val="00786482"/>
    <w:rsid w:val="007867CD"/>
    <w:rsid w:val="00786A30"/>
    <w:rsid w:val="00786A7F"/>
    <w:rsid w:val="00786EDB"/>
    <w:rsid w:val="00787048"/>
    <w:rsid w:val="007872F3"/>
    <w:rsid w:val="00790234"/>
    <w:rsid w:val="00790241"/>
    <w:rsid w:val="00790590"/>
    <w:rsid w:val="00790724"/>
    <w:rsid w:val="00790C7E"/>
    <w:rsid w:val="0079128B"/>
    <w:rsid w:val="007912AF"/>
    <w:rsid w:val="00791881"/>
    <w:rsid w:val="00791FD4"/>
    <w:rsid w:val="00792577"/>
    <w:rsid w:val="00792787"/>
    <w:rsid w:val="007928B7"/>
    <w:rsid w:val="00792D48"/>
    <w:rsid w:val="00793203"/>
    <w:rsid w:val="007933C0"/>
    <w:rsid w:val="00793C9C"/>
    <w:rsid w:val="007940C2"/>
    <w:rsid w:val="007950C7"/>
    <w:rsid w:val="007953A7"/>
    <w:rsid w:val="007954F1"/>
    <w:rsid w:val="00796A52"/>
    <w:rsid w:val="00797BC7"/>
    <w:rsid w:val="00797FBB"/>
    <w:rsid w:val="007A0062"/>
    <w:rsid w:val="007A0A36"/>
    <w:rsid w:val="007A0BE0"/>
    <w:rsid w:val="007A1221"/>
    <w:rsid w:val="007A1335"/>
    <w:rsid w:val="007A13CD"/>
    <w:rsid w:val="007A15B9"/>
    <w:rsid w:val="007A1C69"/>
    <w:rsid w:val="007A3587"/>
    <w:rsid w:val="007A3CB2"/>
    <w:rsid w:val="007A4071"/>
    <w:rsid w:val="007A4C20"/>
    <w:rsid w:val="007A52E5"/>
    <w:rsid w:val="007A56A1"/>
    <w:rsid w:val="007A5BE1"/>
    <w:rsid w:val="007A6327"/>
    <w:rsid w:val="007A642A"/>
    <w:rsid w:val="007A70BA"/>
    <w:rsid w:val="007A7111"/>
    <w:rsid w:val="007A759A"/>
    <w:rsid w:val="007A7BF8"/>
    <w:rsid w:val="007B03DE"/>
    <w:rsid w:val="007B06D2"/>
    <w:rsid w:val="007B0C6F"/>
    <w:rsid w:val="007B0FB9"/>
    <w:rsid w:val="007B14A2"/>
    <w:rsid w:val="007B152F"/>
    <w:rsid w:val="007B229E"/>
    <w:rsid w:val="007B22E3"/>
    <w:rsid w:val="007B2E36"/>
    <w:rsid w:val="007B32DF"/>
    <w:rsid w:val="007B373B"/>
    <w:rsid w:val="007B39D2"/>
    <w:rsid w:val="007B3F6F"/>
    <w:rsid w:val="007B4437"/>
    <w:rsid w:val="007B48AD"/>
    <w:rsid w:val="007B4E00"/>
    <w:rsid w:val="007B4ED5"/>
    <w:rsid w:val="007B51D0"/>
    <w:rsid w:val="007B5275"/>
    <w:rsid w:val="007B54AE"/>
    <w:rsid w:val="007B57AF"/>
    <w:rsid w:val="007B5A4C"/>
    <w:rsid w:val="007B6D58"/>
    <w:rsid w:val="007B7367"/>
    <w:rsid w:val="007B73F4"/>
    <w:rsid w:val="007B7E28"/>
    <w:rsid w:val="007B7F68"/>
    <w:rsid w:val="007C009F"/>
    <w:rsid w:val="007C04C9"/>
    <w:rsid w:val="007C189C"/>
    <w:rsid w:val="007C1C85"/>
    <w:rsid w:val="007C2227"/>
    <w:rsid w:val="007C233F"/>
    <w:rsid w:val="007C29CA"/>
    <w:rsid w:val="007C29EE"/>
    <w:rsid w:val="007C2F31"/>
    <w:rsid w:val="007C37E4"/>
    <w:rsid w:val="007C3B12"/>
    <w:rsid w:val="007C3B57"/>
    <w:rsid w:val="007C458B"/>
    <w:rsid w:val="007C462C"/>
    <w:rsid w:val="007C49C7"/>
    <w:rsid w:val="007C5F79"/>
    <w:rsid w:val="007C676C"/>
    <w:rsid w:val="007C67B3"/>
    <w:rsid w:val="007C6C3A"/>
    <w:rsid w:val="007C6DEF"/>
    <w:rsid w:val="007C7219"/>
    <w:rsid w:val="007C7440"/>
    <w:rsid w:val="007C7912"/>
    <w:rsid w:val="007D00AF"/>
    <w:rsid w:val="007D14DF"/>
    <w:rsid w:val="007D1B5F"/>
    <w:rsid w:val="007D28C9"/>
    <w:rsid w:val="007D2D5B"/>
    <w:rsid w:val="007D319B"/>
    <w:rsid w:val="007D3288"/>
    <w:rsid w:val="007D3415"/>
    <w:rsid w:val="007D34DB"/>
    <w:rsid w:val="007D3840"/>
    <w:rsid w:val="007D399A"/>
    <w:rsid w:val="007D3DF1"/>
    <w:rsid w:val="007D4406"/>
    <w:rsid w:val="007D4453"/>
    <w:rsid w:val="007D4861"/>
    <w:rsid w:val="007D487C"/>
    <w:rsid w:val="007D4A93"/>
    <w:rsid w:val="007D4ABE"/>
    <w:rsid w:val="007D4C34"/>
    <w:rsid w:val="007D4C6C"/>
    <w:rsid w:val="007D5015"/>
    <w:rsid w:val="007D5217"/>
    <w:rsid w:val="007D5423"/>
    <w:rsid w:val="007D5DCB"/>
    <w:rsid w:val="007D6717"/>
    <w:rsid w:val="007D73C0"/>
    <w:rsid w:val="007D74CD"/>
    <w:rsid w:val="007E02DA"/>
    <w:rsid w:val="007E072E"/>
    <w:rsid w:val="007E0CC8"/>
    <w:rsid w:val="007E0D91"/>
    <w:rsid w:val="007E1467"/>
    <w:rsid w:val="007E185B"/>
    <w:rsid w:val="007E18D1"/>
    <w:rsid w:val="007E1C51"/>
    <w:rsid w:val="007E2632"/>
    <w:rsid w:val="007E38C5"/>
    <w:rsid w:val="007E3C40"/>
    <w:rsid w:val="007E3CE8"/>
    <w:rsid w:val="007E4144"/>
    <w:rsid w:val="007E4A0D"/>
    <w:rsid w:val="007E507A"/>
    <w:rsid w:val="007E5272"/>
    <w:rsid w:val="007E5A00"/>
    <w:rsid w:val="007E5EC4"/>
    <w:rsid w:val="007E6567"/>
    <w:rsid w:val="007E688F"/>
    <w:rsid w:val="007E7358"/>
    <w:rsid w:val="007E73F9"/>
    <w:rsid w:val="007E7423"/>
    <w:rsid w:val="007E76A2"/>
    <w:rsid w:val="007E7830"/>
    <w:rsid w:val="007E7CF0"/>
    <w:rsid w:val="007E7D5C"/>
    <w:rsid w:val="007F0D42"/>
    <w:rsid w:val="007F0E4E"/>
    <w:rsid w:val="007F1161"/>
    <w:rsid w:val="007F11CC"/>
    <w:rsid w:val="007F2221"/>
    <w:rsid w:val="007F299C"/>
    <w:rsid w:val="007F30DE"/>
    <w:rsid w:val="007F3CEA"/>
    <w:rsid w:val="007F43EB"/>
    <w:rsid w:val="007F454D"/>
    <w:rsid w:val="007F4ECA"/>
    <w:rsid w:val="007F4FF3"/>
    <w:rsid w:val="007F57E6"/>
    <w:rsid w:val="007F5A56"/>
    <w:rsid w:val="007F5B35"/>
    <w:rsid w:val="007F6451"/>
    <w:rsid w:val="007F6548"/>
    <w:rsid w:val="007F65D0"/>
    <w:rsid w:val="007F6DAD"/>
    <w:rsid w:val="007F718E"/>
    <w:rsid w:val="007F783A"/>
    <w:rsid w:val="00800503"/>
    <w:rsid w:val="0080090C"/>
    <w:rsid w:val="00800C5A"/>
    <w:rsid w:val="00800CE2"/>
    <w:rsid w:val="0080288E"/>
    <w:rsid w:val="00802CD2"/>
    <w:rsid w:val="008036A9"/>
    <w:rsid w:val="00803827"/>
    <w:rsid w:val="00803920"/>
    <w:rsid w:val="008039A1"/>
    <w:rsid w:val="00803A0A"/>
    <w:rsid w:val="00803A43"/>
    <w:rsid w:val="00804466"/>
    <w:rsid w:val="0080463C"/>
    <w:rsid w:val="00804915"/>
    <w:rsid w:val="00804B63"/>
    <w:rsid w:val="00804FF6"/>
    <w:rsid w:val="00805049"/>
    <w:rsid w:val="0080529B"/>
    <w:rsid w:val="008054A7"/>
    <w:rsid w:val="008058A9"/>
    <w:rsid w:val="00806332"/>
    <w:rsid w:val="00806E03"/>
    <w:rsid w:val="00806E4B"/>
    <w:rsid w:val="00807144"/>
    <w:rsid w:val="00807440"/>
    <w:rsid w:val="0080794F"/>
    <w:rsid w:val="008100DD"/>
    <w:rsid w:val="0081064C"/>
    <w:rsid w:val="00810ADF"/>
    <w:rsid w:val="00810D62"/>
    <w:rsid w:val="00810D7B"/>
    <w:rsid w:val="0081113E"/>
    <w:rsid w:val="0081141E"/>
    <w:rsid w:val="0081144E"/>
    <w:rsid w:val="00811A58"/>
    <w:rsid w:val="00811E5F"/>
    <w:rsid w:val="00811ED5"/>
    <w:rsid w:val="00811FE2"/>
    <w:rsid w:val="00812509"/>
    <w:rsid w:val="00812DA9"/>
    <w:rsid w:val="00813088"/>
    <w:rsid w:val="008131DA"/>
    <w:rsid w:val="008137ED"/>
    <w:rsid w:val="00814E6C"/>
    <w:rsid w:val="00815689"/>
    <w:rsid w:val="00815692"/>
    <w:rsid w:val="008156E7"/>
    <w:rsid w:val="00815738"/>
    <w:rsid w:val="008157E6"/>
    <w:rsid w:val="0081603A"/>
    <w:rsid w:val="008166B0"/>
    <w:rsid w:val="008166EB"/>
    <w:rsid w:val="00816E89"/>
    <w:rsid w:val="008170C6"/>
    <w:rsid w:val="0081726A"/>
    <w:rsid w:val="00820898"/>
    <w:rsid w:val="00820C0C"/>
    <w:rsid w:val="00820DFF"/>
    <w:rsid w:val="0082115B"/>
    <w:rsid w:val="008212BE"/>
    <w:rsid w:val="008221E4"/>
    <w:rsid w:val="008223D5"/>
    <w:rsid w:val="00822AFF"/>
    <w:rsid w:val="00822ED4"/>
    <w:rsid w:val="00823184"/>
    <w:rsid w:val="008232F2"/>
    <w:rsid w:val="00823B3A"/>
    <w:rsid w:val="00823B88"/>
    <w:rsid w:val="008240C8"/>
    <w:rsid w:val="00824B08"/>
    <w:rsid w:val="00824B6F"/>
    <w:rsid w:val="0082502C"/>
    <w:rsid w:val="008258F5"/>
    <w:rsid w:val="008262F7"/>
    <w:rsid w:val="008263B5"/>
    <w:rsid w:val="00827B3E"/>
    <w:rsid w:val="0083011A"/>
    <w:rsid w:val="00830BF2"/>
    <w:rsid w:val="0083169B"/>
    <w:rsid w:val="00831D2D"/>
    <w:rsid w:val="00832A58"/>
    <w:rsid w:val="00832BCF"/>
    <w:rsid w:val="00833432"/>
    <w:rsid w:val="00833B03"/>
    <w:rsid w:val="0083420D"/>
    <w:rsid w:val="00834AC3"/>
    <w:rsid w:val="00834BD1"/>
    <w:rsid w:val="00834C75"/>
    <w:rsid w:val="00834D54"/>
    <w:rsid w:val="00834DF6"/>
    <w:rsid w:val="00834E42"/>
    <w:rsid w:val="00834FA7"/>
    <w:rsid w:val="00835142"/>
    <w:rsid w:val="00835239"/>
    <w:rsid w:val="00835460"/>
    <w:rsid w:val="00835632"/>
    <w:rsid w:val="00835946"/>
    <w:rsid w:val="00835A5F"/>
    <w:rsid w:val="00835B93"/>
    <w:rsid w:val="00836229"/>
    <w:rsid w:val="0083682A"/>
    <w:rsid w:val="00836921"/>
    <w:rsid w:val="00836E03"/>
    <w:rsid w:val="008371E4"/>
    <w:rsid w:val="00837AC0"/>
    <w:rsid w:val="0084012F"/>
    <w:rsid w:val="008403B2"/>
    <w:rsid w:val="008409D4"/>
    <w:rsid w:val="00840D0C"/>
    <w:rsid w:val="00840DB7"/>
    <w:rsid w:val="00841237"/>
    <w:rsid w:val="00841B71"/>
    <w:rsid w:val="00842311"/>
    <w:rsid w:val="008428C7"/>
    <w:rsid w:val="00842AE8"/>
    <w:rsid w:val="00842CA7"/>
    <w:rsid w:val="0084350E"/>
    <w:rsid w:val="008435DB"/>
    <w:rsid w:val="00843AE5"/>
    <w:rsid w:val="00843BCA"/>
    <w:rsid w:val="008443CA"/>
    <w:rsid w:val="0084452C"/>
    <w:rsid w:val="00845474"/>
    <w:rsid w:val="00845741"/>
    <w:rsid w:val="00845869"/>
    <w:rsid w:val="00845CB3"/>
    <w:rsid w:val="00846382"/>
    <w:rsid w:val="008463D6"/>
    <w:rsid w:val="0084697F"/>
    <w:rsid w:val="00846ADA"/>
    <w:rsid w:val="00847227"/>
    <w:rsid w:val="0084744B"/>
    <w:rsid w:val="008503DC"/>
    <w:rsid w:val="00850B3A"/>
    <w:rsid w:val="00850C15"/>
    <w:rsid w:val="00850C57"/>
    <w:rsid w:val="00851013"/>
    <w:rsid w:val="00851537"/>
    <w:rsid w:val="00851875"/>
    <w:rsid w:val="00851F10"/>
    <w:rsid w:val="00852508"/>
    <w:rsid w:val="00852609"/>
    <w:rsid w:val="00853557"/>
    <w:rsid w:val="008538F6"/>
    <w:rsid w:val="00854D2D"/>
    <w:rsid w:val="008552EC"/>
    <w:rsid w:val="008563B7"/>
    <w:rsid w:val="008564A6"/>
    <w:rsid w:val="0085695D"/>
    <w:rsid w:val="00856F1C"/>
    <w:rsid w:val="008572C2"/>
    <w:rsid w:val="00857977"/>
    <w:rsid w:val="008579E6"/>
    <w:rsid w:val="008605A5"/>
    <w:rsid w:val="008614A1"/>
    <w:rsid w:val="00861776"/>
    <w:rsid w:val="008617B4"/>
    <w:rsid w:val="00861BA1"/>
    <w:rsid w:val="00861D55"/>
    <w:rsid w:val="00861F83"/>
    <w:rsid w:val="008629B6"/>
    <w:rsid w:val="00862C73"/>
    <w:rsid w:val="0086377E"/>
    <w:rsid w:val="00864276"/>
    <w:rsid w:val="0086459B"/>
    <w:rsid w:val="008648A1"/>
    <w:rsid w:val="00864964"/>
    <w:rsid w:val="00864F12"/>
    <w:rsid w:val="00865164"/>
    <w:rsid w:val="008654C7"/>
    <w:rsid w:val="00865CF9"/>
    <w:rsid w:val="00866782"/>
    <w:rsid w:val="0086679B"/>
    <w:rsid w:val="008667E9"/>
    <w:rsid w:val="008669C9"/>
    <w:rsid w:val="00866CEE"/>
    <w:rsid w:val="00867EC3"/>
    <w:rsid w:val="00867EEA"/>
    <w:rsid w:val="00867F73"/>
    <w:rsid w:val="00870008"/>
    <w:rsid w:val="00871019"/>
    <w:rsid w:val="00871301"/>
    <w:rsid w:val="0087160B"/>
    <w:rsid w:val="00872294"/>
    <w:rsid w:val="008722A6"/>
    <w:rsid w:val="00872347"/>
    <w:rsid w:val="00872466"/>
    <w:rsid w:val="008728A7"/>
    <w:rsid w:val="00872A91"/>
    <w:rsid w:val="00872D56"/>
    <w:rsid w:val="00872D9E"/>
    <w:rsid w:val="00873095"/>
    <w:rsid w:val="008731AA"/>
    <w:rsid w:val="00873516"/>
    <w:rsid w:val="00873A05"/>
    <w:rsid w:val="00873C94"/>
    <w:rsid w:val="00874472"/>
    <w:rsid w:val="00875792"/>
    <w:rsid w:val="008759FA"/>
    <w:rsid w:val="00876272"/>
    <w:rsid w:val="0087650C"/>
    <w:rsid w:val="00876FB2"/>
    <w:rsid w:val="00877030"/>
    <w:rsid w:val="00877138"/>
    <w:rsid w:val="00877223"/>
    <w:rsid w:val="008776BE"/>
    <w:rsid w:val="00877AF3"/>
    <w:rsid w:val="00877BB5"/>
    <w:rsid w:val="00877C73"/>
    <w:rsid w:val="00877D8C"/>
    <w:rsid w:val="00877F87"/>
    <w:rsid w:val="00880822"/>
    <w:rsid w:val="00880923"/>
    <w:rsid w:val="00880FAC"/>
    <w:rsid w:val="00881303"/>
    <w:rsid w:val="00881587"/>
    <w:rsid w:val="00881F7C"/>
    <w:rsid w:val="00882020"/>
    <w:rsid w:val="008826DF"/>
    <w:rsid w:val="00882AE1"/>
    <w:rsid w:val="00883468"/>
    <w:rsid w:val="00883619"/>
    <w:rsid w:val="008838B3"/>
    <w:rsid w:val="008841E5"/>
    <w:rsid w:val="008843E9"/>
    <w:rsid w:val="00884CF6"/>
    <w:rsid w:val="008851BF"/>
    <w:rsid w:val="008864E6"/>
    <w:rsid w:val="008864FA"/>
    <w:rsid w:val="00886534"/>
    <w:rsid w:val="00886A3C"/>
    <w:rsid w:val="00886AB2"/>
    <w:rsid w:val="00886BF5"/>
    <w:rsid w:val="008872A9"/>
    <w:rsid w:val="00887D8C"/>
    <w:rsid w:val="00887DAC"/>
    <w:rsid w:val="00890644"/>
    <w:rsid w:val="008906EB"/>
    <w:rsid w:val="00890B8C"/>
    <w:rsid w:val="0089211E"/>
    <w:rsid w:val="008924D6"/>
    <w:rsid w:val="00892930"/>
    <w:rsid w:val="00892B8D"/>
    <w:rsid w:val="008935B0"/>
    <w:rsid w:val="0089366F"/>
    <w:rsid w:val="00893676"/>
    <w:rsid w:val="0089373E"/>
    <w:rsid w:val="0089385E"/>
    <w:rsid w:val="008938B4"/>
    <w:rsid w:val="00893B9D"/>
    <w:rsid w:val="00893C9C"/>
    <w:rsid w:val="00894703"/>
    <w:rsid w:val="008956AB"/>
    <w:rsid w:val="0089577B"/>
    <w:rsid w:val="00895D1D"/>
    <w:rsid w:val="00895FA3"/>
    <w:rsid w:val="00896476"/>
    <w:rsid w:val="00896969"/>
    <w:rsid w:val="008969C3"/>
    <w:rsid w:val="00896E4A"/>
    <w:rsid w:val="00897814"/>
    <w:rsid w:val="00897BD5"/>
    <w:rsid w:val="00897C9E"/>
    <w:rsid w:val="008A0199"/>
    <w:rsid w:val="008A08F5"/>
    <w:rsid w:val="008A0A79"/>
    <w:rsid w:val="008A125C"/>
    <w:rsid w:val="008A1645"/>
    <w:rsid w:val="008A16A9"/>
    <w:rsid w:val="008A16EC"/>
    <w:rsid w:val="008A1F84"/>
    <w:rsid w:val="008A2056"/>
    <w:rsid w:val="008A30CE"/>
    <w:rsid w:val="008A315A"/>
    <w:rsid w:val="008A3911"/>
    <w:rsid w:val="008A3B31"/>
    <w:rsid w:val="008A3E6D"/>
    <w:rsid w:val="008A4235"/>
    <w:rsid w:val="008A4400"/>
    <w:rsid w:val="008A4A6A"/>
    <w:rsid w:val="008A562C"/>
    <w:rsid w:val="008A577C"/>
    <w:rsid w:val="008A6491"/>
    <w:rsid w:val="008A6524"/>
    <w:rsid w:val="008A6900"/>
    <w:rsid w:val="008A72BC"/>
    <w:rsid w:val="008A747A"/>
    <w:rsid w:val="008A7497"/>
    <w:rsid w:val="008A7BD4"/>
    <w:rsid w:val="008B0005"/>
    <w:rsid w:val="008B0361"/>
    <w:rsid w:val="008B1171"/>
    <w:rsid w:val="008B13FB"/>
    <w:rsid w:val="008B14DA"/>
    <w:rsid w:val="008B1C3E"/>
    <w:rsid w:val="008B22E1"/>
    <w:rsid w:val="008B249B"/>
    <w:rsid w:val="008B44E1"/>
    <w:rsid w:val="008B4879"/>
    <w:rsid w:val="008B50E6"/>
    <w:rsid w:val="008B50F5"/>
    <w:rsid w:val="008B5384"/>
    <w:rsid w:val="008B588A"/>
    <w:rsid w:val="008B63F3"/>
    <w:rsid w:val="008B67D8"/>
    <w:rsid w:val="008B6A29"/>
    <w:rsid w:val="008B6A43"/>
    <w:rsid w:val="008B6B5E"/>
    <w:rsid w:val="008B6BEC"/>
    <w:rsid w:val="008B70DB"/>
    <w:rsid w:val="008B7B30"/>
    <w:rsid w:val="008B7BCB"/>
    <w:rsid w:val="008B7E9C"/>
    <w:rsid w:val="008C1358"/>
    <w:rsid w:val="008C1787"/>
    <w:rsid w:val="008C1C33"/>
    <w:rsid w:val="008C1DCF"/>
    <w:rsid w:val="008C258B"/>
    <w:rsid w:val="008C26AD"/>
    <w:rsid w:val="008C38EF"/>
    <w:rsid w:val="008C3974"/>
    <w:rsid w:val="008C3A73"/>
    <w:rsid w:val="008C3B24"/>
    <w:rsid w:val="008C41AE"/>
    <w:rsid w:val="008C451C"/>
    <w:rsid w:val="008C46F6"/>
    <w:rsid w:val="008C481A"/>
    <w:rsid w:val="008C4A90"/>
    <w:rsid w:val="008C4DA1"/>
    <w:rsid w:val="008C568C"/>
    <w:rsid w:val="008C5B55"/>
    <w:rsid w:val="008C6052"/>
    <w:rsid w:val="008C6060"/>
    <w:rsid w:val="008C628C"/>
    <w:rsid w:val="008C6880"/>
    <w:rsid w:val="008C692E"/>
    <w:rsid w:val="008C6BF3"/>
    <w:rsid w:val="008C6C91"/>
    <w:rsid w:val="008C6CE7"/>
    <w:rsid w:val="008D001D"/>
    <w:rsid w:val="008D0100"/>
    <w:rsid w:val="008D07DD"/>
    <w:rsid w:val="008D0BD1"/>
    <w:rsid w:val="008D0D9D"/>
    <w:rsid w:val="008D0EDA"/>
    <w:rsid w:val="008D146B"/>
    <w:rsid w:val="008D1ADB"/>
    <w:rsid w:val="008D1F52"/>
    <w:rsid w:val="008D2004"/>
    <w:rsid w:val="008D2BBB"/>
    <w:rsid w:val="008D2D43"/>
    <w:rsid w:val="008D2EC8"/>
    <w:rsid w:val="008D3151"/>
    <w:rsid w:val="008D33D1"/>
    <w:rsid w:val="008D368A"/>
    <w:rsid w:val="008D43FE"/>
    <w:rsid w:val="008D461B"/>
    <w:rsid w:val="008D46D5"/>
    <w:rsid w:val="008D4E50"/>
    <w:rsid w:val="008D57BC"/>
    <w:rsid w:val="008D692D"/>
    <w:rsid w:val="008D7483"/>
    <w:rsid w:val="008D75EE"/>
    <w:rsid w:val="008D77B3"/>
    <w:rsid w:val="008D7882"/>
    <w:rsid w:val="008D7C49"/>
    <w:rsid w:val="008D7D33"/>
    <w:rsid w:val="008D7D46"/>
    <w:rsid w:val="008D7F12"/>
    <w:rsid w:val="008E0052"/>
    <w:rsid w:val="008E035A"/>
    <w:rsid w:val="008E0D81"/>
    <w:rsid w:val="008E0E2A"/>
    <w:rsid w:val="008E1CF3"/>
    <w:rsid w:val="008E1D48"/>
    <w:rsid w:val="008E268E"/>
    <w:rsid w:val="008E2A0D"/>
    <w:rsid w:val="008E2D34"/>
    <w:rsid w:val="008E32B7"/>
    <w:rsid w:val="008E34A2"/>
    <w:rsid w:val="008E3D7A"/>
    <w:rsid w:val="008E45CC"/>
    <w:rsid w:val="008E4699"/>
    <w:rsid w:val="008E4732"/>
    <w:rsid w:val="008E4AB5"/>
    <w:rsid w:val="008E5423"/>
    <w:rsid w:val="008E572B"/>
    <w:rsid w:val="008E5E93"/>
    <w:rsid w:val="008E63E4"/>
    <w:rsid w:val="008E6E74"/>
    <w:rsid w:val="008E6F0F"/>
    <w:rsid w:val="008E78A4"/>
    <w:rsid w:val="008F015B"/>
    <w:rsid w:val="008F0500"/>
    <w:rsid w:val="008F0623"/>
    <w:rsid w:val="008F083B"/>
    <w:rsid w:val="008F14C4"/>
    <w:rsid w:val="008F15A1"/>
    <w:rsid w:val="008F1CBE"/>
    <w:rsid w:val="008F23DB"/>
    <w:rsid w:val="008F256B"/>
    <w:rsid w:val="008F2C81"/>
    <w:rsid w:val="008F392F"/>
    <w:rsid w:val="008F399C"/>
    <w:rsid w:val="008F3A98"/>
    <w:rsid w:val="008F3C6E"/>
    <w:rsid w:val="008F43AD"/>
    <w:rsid w:val="008F4F8F"/>
    <w:rsid w:val="008F5644"/>
    <w:rsid w:val="008F5BDF"/>
    <w:rsid w:val="008F6A5F"/>
    <w:rsid w:val="008F6DA9"/>
    <w:rsid w:val="008F7844"/>
    <w:rsid w:val="008F79E6"/>
    <w:rsid w:val="0090058E"/>
    <w:rsid w:val="00900D84"/>
    <w:rsid w:val="00900F8F"/>
    <w:rsid w:val="0090120A"/>
    <w:rsid w:val="0090180F"/>
    <w:rsid w:val="00901C38"/>
    <w:rsid w:val="00901C88"/>
    <w:rsid w:val="00901DA1"/>
    <w:rsid w:val="009021AF"/>
    <w:rsid w:val="00902476"/>
    <w:rsid w:val="00902D3D"/>
    <w:rsid w:val="009030C4"/>
    <w:rsid w:val="00903790"/>
    <w:rsid w:val="00903866"/>
    <w:rsid w:val="00903E68"/>
    <w:rsid w:val="00904027"/>
    <w:rsid w:val="00904159"/>
    <w:rsid w:val="00904217"/>
    <w:rsid w:val="00904454"/>
    <w:rsid w:val="009047E2"/>
    <w:rsid w:val="00905015"/>
    <w:rsid w:val="009052C1"/>
    <w:rsid w:val="009052D9"/>
    <w:rsid w:val="00905472"/>
    <w:rsid w:val="00905E43"/>
    <w:rsid w:val="00905F28"/>
    <w:rsid w:val="00906D18"/>
    <w:rsid w:val="009070DC"/>
    <w:rsid w:val="009073E7"/>
    <w:rsid w:val="00907474"/>
    <w:rsid w:val="0090756E"/>
    <w:rsid w:val="00907F11"/>
    <w:rsid w:val="0091055A"/>
    <w:rsid w:val="0091058A"/>
    <w:rsid w:val="0091069B"/>
    <w:rsid w:val="00911141"/>
    <w:rsid w:val="00911EAF"/>
    <w:rsid w:val="009123A3"/>
    <w:rsid w:val="00912905"/>
    <w:rsid w:val="009131B0"/>
    <w:rsid w:val="00913A6E"/>
    <w:rsid w:val="00913A7B"/>
    <w:rsid w:val="00913B67"/>
    <w:rsid w:val="00913C53"/>
    <w:rsid w:val="00913E82"/>
    <w:rsid w:val="00914B8B"/>
    <w:rsid w:val="00914C99"/>
    <w:rsid w:val="00914DB6"/>
    <w:rsid w:val="009150EA"/>
    <w:rsid w:val="009153FA"/>
    <w:rsid w:val="009157CC"/>
    <w:rsid w:val="00915D1C"/>
    <w:rsid w:val="009165ED"/>
    <w:rsid w:val="00916B9B"/>
    <w:rsid w:val="00916D43"/>
    <w:rsid w:val="00917EC3"/>
    <w:rsid w:val="00917F2C"/>
    <w:rsid w:val="009202CE"/>
    <w:rsid w:val="0092059F"/>
    <w:rsid w:val="00920A1E"/>
    <w:rsid w:val="009212FF"/>
    <w:rsid w:val="009215A4"/>
    <w:rsid w:val="00921863"/>
    <w:rsid w:val="00921C0B"/>
    <w:rsid w:val="00922582"/>
    <w:rsid w:val="009225FF"/>
    <w:rsid w:val="00922682"/>
    <w:rsid w:val="0092273F"/>
    <w:rsid w:val="00922974"/>
    <w:rsid w:val="00922D85"/>
    <w:rsid w:val="00922F05"/>
    <w:rsid w:val="009230B4"/>
    <w:rsid w:val="0092341C"/>
    <w:rsid w:val="00923656"/>
    <w:rsid w:val="00923D28"/>
    <w:rsid w:val="009240D8"/>
    <w:rsid w:val="0092427A"/>
    <w:rsid w:val="0092437F"/>
    <w:rsid w:val="00924E56"/>
    <w:rsid w:val="0092509F"/>
    <w:rsid w:val="00925188"/>
    <w:rsid w:val="009265F9"/>
    <w:rsid w:val="009268E5"/>
    <w:rsid w:val="00926A04"/>
    <w:rsid w:val="00926E37"/>
    <w:rsid w:val="009274C8"/>
    <w:rsid w:val="00927C83"/>
    <w:rsid w:val="009301B6"/>
    <w:rsid w:val="00930369"/>
    <w:rsid w:val="00930A22"/>
    <w:rsid w:val="00931324"/>
    <w:rsid w:val="00931923"/>
    <w:rsid w:val="00931A93"/>
    <w:rsid w:val="00931E4E"/>
    <w:rsid w:val="00932B2A"/>
    <w:rsid w:val="00932E13"/>
    <w:rsid w:val="00932F9D"/>
    <w:rsid w:val="00933365"/>
    <w:rsid w:val="0093379E"/>
    <w:rsid w:val="009338D8"/>
    <w:rsid w:val="00933F7F"/>
    <w:rsid w:val="009340F9"/>
    <w:rsid w:val="00934425"/>
    <w:rsid w:val="0093507D"/>
    <w:rsid w:val="00935564"/>
    <w:rsid w:val="00936186"/>
    <w:rsid w:val="00936753"/>
    <w:rsid w:val="00936A6B"/>
    <w:rsid w:val="00936D48"/>
    <w:rsid w:val="00936E74"/>
    <w:rsid w:val="0093717D"/>
    <w:rsid w:val="009376A2"/>
    <w:rsid w:val="0093793C"/>
    <w:rsid w:val="00937AAB"/>
    <w:rsid w:val="0094005D"/>
    <w:rsid w:val="00940718"/>
    <w:rsid w:val="009407D8"/>
    <w:rsid w:val="00940AE0"/>
    <w:rsid w:val="0094137C"/>
    <w:rsid w:val="009419CC"/>
    <w:rsid w:val="0094268B"/>
    <w:rsid w:val="0094294C"/>
    <w:rsid w:val="00942E8B"/>
    <w:rsid w:val="00942F40"/>
    <w:rsid w:val="00943204"/>
    <w:rsid w:val="00943761"/>
    <w:rsid w:val="0094385D"/>
    <w:rsid w:val="009438AD"/>
    <w:rsid w:val="00943EFD"/>
    <w:rsid w:val="00943F12"/>
    <w:rsid w:val="00944151"/>
    <w:rsid w:val="0094440C"/>
    <w:rsid w:val="00944A1C"/>
    <w:rsid w:val="00944EA0"/>
    <w:rsid w:val="009450A4"/>
    <w:rsid w:val="0094600E"/>
    <w:rsid w:val="00946F72"/>
    <w:rsid w:val="00947211"/>
    <w:rsid w:val="0094739F"/>
    <w:rsid w:val="009475CF"/>
    <w:rsid w:val="00947A12"/>
    <w:rsid w:val="00947B4B"/>
    <w:rsid w:val="00947E47"/>
    <w:rsid w:val="00950129"/>
    <w:rsid w:val="009502C0"/>
    <w:rsid w:val="0095046F"/>
    <w:rsid w:val="00950670"/>
    <w:rsid w:val="0095079A"/>
    <w:rsid w:val="00951DD7"/>
    <w:rsid w:val="009524A2"/>
    <w:rsid w:val="00952867"/>
    <w:rsid w:val="00952B1E"/>
    <w:rsid w:val="00952CF0"/>
    <w:rsid w:val="00953152"/>
    <w:rsid w:val="00953853"/>
    <w:rsid w:val="00953875"/>
    <w:rsid w:val="00953F9B"/>
    <w:rsid w:val="00954125"/>
    <w:rsid w:val="00954489"/>
    <w:rsid w:val="00954AD9"/>
    <w:rsid w:val="00954B51"/>
    <w:rsid w:val="00954C3F"/>
    <w:rsid w:val="00954D49"/>
    <w:rsid w:val="00954E0A"/>
    <w:rsid w:val="0095546B"/>
    <w:rsid w:val="00955542"/>
    <w:rsid w:val="00955B33"/>
    <w:rsid w:val="00955C30"/>
    <w:rsid w:val="0095607F"/>
    <w:rsid w:val="009560F0"/>
    <w:rsid w:val="00956B8C"/>
    <w:rsid w:val="009572F0"/>
    <w:rsid w:val="00957478"/>
    <w:rsid w:val="009574CD"/>
    <w:rsid w:val="00957A84"/>
    <w:rsid w:val="0096043D"/>
    <w:rsid w:val="009608F9"/>
    <w:rsid w:val="009608FD"/>
    <w:rsid w:val="00961984"/>
    <w:rsid w:val="00961B98"/>
    <w:rsid w:val="00962DF8"/>
    <w:rsid w:val="00963027"/>
    <w:rsid w:val="0096312B"/>
    <w:rsid w:val="00963931"/>
    <w:rsid w:val="00963D28"/>
    <w:rsid w:val="00963E1C"/>
    <w:rsid w:val="009641B8"/>
    <w:rsid w:val="00964872"/>
    <w:rsid w:val="00964883"/>
    <w:rsid w:val="00964A94"/>
    <w:rsid w:val="00965371"/>
    <w:rsid w:val="00965458"/>
    <w:rsid w:val="009655BA"/>
    <w:rsid w:val="009665DF"/>
    <w:rsid w:val="0096699E"/>
    <w:rsid w:val="00966A5F"/>
    <w:rsid w:val="009677D6"/>
    <w:rsid w:val="009703AC"/>
    <w:rsid w:val="00971079"/>
    <w:rsid w:val="009710DE"/>
    <w:rsid w:val="00971447"/>
    <w:rsid w:val="00972622"/>
    <w:rsid w:val="0097279B"/>
    <w:rsid w:val="00973081"/>
    <w:rsid w:val="0097317D"/>
    <w:rsid w:val="00973259"/>
    <w:rsid w:val="009733B0"/>
    <w:rsid w:val="0097371E"/>
    <w:rsid w:val="00973823"/>
    <w:rsid w:val="00973F88"/>
    <w:rsid w:val="00974259"/>
    <w:rsid w:val="00974C47"/>
    <w:rsid w:val="00974C51"/>
    <w:rsid w:val="00975043"/>
    <w:rsid w:val="0097524C"/>
    <w:rsid w:val="00976D8E"/>
    <w:rsid w:val="009773DA"/>
    <w:rsid w:val="009776C3"/>
    <w:rsid w:val="0097796C"/>
    <w:rsid w:val="00980121"/>
    <w:rsid w:val="009802AB"/>
    <w:rsid w:val="009804CB"/>
    <w:rsid w:val="00980B76"/>
    <w:rsid w:val="0098114B"/>
    <w:rsid w:val="00981D13"/>
    <w:rsid w:val="00982166"/>
    <w:rsid w:val="009825C7"/>
    <w:rsid w:val="00982651"/>
    <w:rsid w:val="00983B1D"/>
    <w:rsid w:val="00983BA1"/>
    <w:rsid w:val="00984C6B"/>
    <w:rsid w:val="0098510B"/>
    <w:rsid w:val="009857F2"/>
    <w:rsid w:val="0098598C"/>
    <w:rsid w:val="00985C0A"/>
    <w:rsid w:val="00985D85"/>
    <w:rsid w:val="00985F48"/>
    <w:rsid w:val="009863DE"/>
    <w:rsid w:val="00986507"/>
    <w:rsid w:val="00986DA7"/>
    <w:rsid w:val="00986ED8"/>
    <w:rsid w:val="00987548"/>
    <w:rsid w:val="0098755B"/>
    <w:rsid w:val="00987B74"/>
    <w:rsid w:val="00987E3B"/>
    <w:rsid w:val="00990055"/>
    <w:rsid w:val="00990460"/>
    <w:rsid w:val="00990570"/>
    <w:rsid w:val="00990C8D"/>
    <w:rsid w:val="0099109A"/>
    <w:rsid w:val="00991EC4"/>
    <w:rsid w:val="0099250C"/>
    <w:rsid w:val="00992657"/>
    <w:rsid w:val="00992C75"/>
    <w:rsid w:val="00994143"/>
    <w:rsid w:val="00994B0D"/>
    <w:rsid w:val="00994C91"/>
    <w:rsid w:val="00994E3E"/>
    <w:rsid w:val="00995AC1"/>
    <w:rsid w:val="00995E34"/>
    <w:rsid w:val="00995FFD"/>
    <w:rsid w:val="00996367"/>
    <w:rsid w:val="00996564"/>
    <w:rsid w:val="00996B00"/>
    <w:rsid w:val="00997358"/>
    <w:rsid w:val="009973F2"/>
    <w:rsid w:val="00997884"/>
    <w:rsid w:val="00997DEC"/>
    <w:rsid w:val="009A0671"/>
    <w:rsid w:val="009A06FD"/>
    <w:rsid w:val="009A0D7C"/>
    <w:rsid w:val="009A0EEE"/>
    <w:rsid w:val="009A1D5B"/>
    <w:rsid w:val="009A1E1A"/>
    <w:rsid w:val="009A2720"/>
    <w:rsid w:val="009A2B4F"/>
    <w:rsid w:val="009A3FFF"/>
    <w:rsid w:val="009A4417"/>
    <w:rsid w:val="009A44B5"/>
    <w:rsid w:val="009A4FD0"/>
    <w:rsid w:val="009A54EB"/>
    <w:rsid w:val="009A588A"/>
    <w:rsid w:val="009A603F"/>
    <w:rsid w:val="009A6EDF"/>
    <w:rsid w:val="009A6F82"/>
    <w:rsid w:val="009A7322"/>
    <w:rsid w:val="009A75C9"/>
    <w:rsid w:val="009A7A76"/>
    <w:rsid w:val="009A7B7A"/>
    <w:rsid w:val="009A7CE7"/>
    <w:rsid w:val="009A7DCE"/>
    <w:rsid w:val="009B156A"/>
    <w:rsid w:val="009B1769"/>
    <w:rsid w:val="009B1A30"/>
    <w:rsid w:val="009B1A56"/>
    <w:rsid w:val="009B1FAE"/>
    <w:rsid w:val="009B207C"/>
    <w:rsid w:val="009B2191"/>
    <w:rsid w:val="009B22B5"/>
    <w:rsid w:val="009B24B0"/>
    <w:rsid w:val="009B25C6"/>
    <w:rsid w:val="009B267D"/>
    <w:rsid w:val="009B2C6F"/>
    <w:rsid w:val="009B3C8F"/>
    <w:rsid w:val="009B3CAE"/>
    <w:rsid w:val="009B4447"/>
    <w:rsid w:val="009B458E"/>
    <w:rsid w:val="009B47AC"/>
    <w:rsid w:val="009B47AF"/>
    <w:rsid w:val="009B4D14"/>
    <w:rsid w:val="009B4F32"/>
    <w:rsid w:val="009B5369"/>
    <w:rsid w:val="009B62B5"/>
    <w:rsid w:val="009B7526"/>
    <w:rsid w:val="009B7F8B"/>
    <w:rsid w:val="009C0278"/>
    <w:rsid w:val="009C0605"/>
    <w:rsid w:val="009C0945"/>
    <w:rsid w:val="009C122F"/>
    <w:rsid w:val="009C1244"/>
    <w:rsid w:val="009C1298"/>
    <w:rsid w:val="009C1AE6"/>
    <w:rsid w:val="009C1E54"/>
    <w:rsid w:val="009C1F2B"/>
    <w:rsid w:val="009C2699"/>
    <w:rsid w:val="009C468B"/>
    <w:rsid w:val="009C4958"/>
    <w:rsid w:val="009C4E63"/>
    <w:rsid w:val="009C52E9"/>
    <w:rsid w:val="009C5C43"/>
    <w:rsid w:val="009C5F29"/>
    <w:rsid w:val="009C5FB7"/>
    <w:rsid w:val="009C694E"/>
    <w:rsid w:val="009C6DB7"/>
    <w:rsid w:val="009C7816"/>
    <w:rsid w:val="009D098A"/>
    <w:rsid w:val="009D15E7"/>
    <w:rsid w:val="009D16F9"/>
    <w:rsid w:val="009D1776"/>
    <w:rsid w:val="009D1846"/>
    <w:rsid w:val="009D186E"/>
    <w:rsid w:val="009D2340"/>
    <w:rsid w:val="009D24A1"/>
    <w:rsid w:val="009D2795"/>
    <w:rsid w:val="009D2B69"/>
    <w:rsid w:val="009D3A0B"/>
    <w:rsid w:val="009D3F64"/>
    <w:rsid w:val="009D41FA"/>
    <w:rsid w:val="009D42E9"/>
    <w:rsid w:val="009D42EC"/>
    <w:rsid w:val="009D4603"/>
    <w:rsid w:val="009D4CC0"/>
    <w:rsid w:val="009D4EC2"/>
    <w:rsid w:val="009D5011"/>
    <w:rsid w:val="009D5068"/>
    <w:rsid w:val="009D56B3"/>
    <w:rsid w:val="009D578C"/>
    <w:rsid w:val="009D5922"/>
    <w:rsid w:val="009D59BE"/>
    <w:rsid w:val="009D5AFB"/>
    <w:rsid w:val="009D6B6A"/>
    <w:rsid w:val="009D6C17"/>
    <w:rsid w:val="009D7BA5"/>
    <w:rsid w:val="009E0498"/>
    <w:rsid w:val="009E0500"/>
    <w:rsid w:val="009E0501"/>
    <w:rsid w:val="009E07A2"/>
    <w:rsid w:val="009E08FB"/>
    <w:rsid w:val="009E09DC"/>
    <w:rsid w:val="009E1408"/>
    <w:rsid w:val="009E189B"/>
    <w:rsid w:val="009E1B3E"/>
    <w:rsid w:val="009E22F8"/>
    <w:rsid w:val="009E238B"/>
    <w:rsid w:val="009E25E8"/>
    <w:rsid w:val="009E2EF5"/>
    <w:rsid w:val="009E4150"/>
    <w:rsid w:val="009E4453"/>
    <w:rsid w:val="009E477A"/>
    <w:rsid w:val="009E49A3"/>
    <w:rsid w:val="009E6192"/>
    <w:rsid w:val="009E648E"/>
    <w:rsid w:val="009E677B"/>
    <w:rsid w:val="009E67B1"/>
    <w:rsid w:val="009E6926"/>
    <w:rsid w:val="009E6A14"/>
    <w:rsid w:val="009E6C10"/>
    <w:rsid w:val="009E72CE"/>
    <w:rsid w:val="009E78CD"/>
    <w:rsid w:val="009E7CE4"/>
    <w:rsid w:val="009F0069"/>
    <w:rsid w:val="009F137E"/>
    <w:rsid w:val="009F1852"/>
    <w:rsid w:val="009F1A1F"/>
    <w:rsid w:val="009F1AFA"/>
    <w:rsid w:val="009F2123"/>
    <w:rsid w:val="009F2156"/>
    <w:rsid w:val="009F2950"/>
    <w:rsid w:val="009F30DF"/>
    <w:rsid w:val="009F33AD"/>
    <w:rsid w:val="009F36B4"/>
    <w:rsid w:val="009F40C4"/>
    <w:rsid w:val="009F5802"/>
    <w:rsid w:val="009F5825"/>
    <w:rsid w:val="009F5A00"/>
    <w:rsid w:val="009F5F17"/>
    <w:rsid w:val="009F60F7"/>
    <w:rsid w:val="009F654D"/>
    <w:rsid w:val="009F69F0"/>
    <w:rsid w:val="009F6F1A"/>
    <w:rsid w:val="009F70C4"/>
    <w:rsid w:val="009F73B7"/>
    <w:rsid w:val="009F76BE"/>
    <w:rsid w:val="009F78F5"/>
    <w:rsid w:val="009F7A25"/>
    <w:rsid w:val="009F7FD1"/>
    <w:rsid w:val="00A0001A"/>
    <w:rsid w:val="00A00BC3"/>
    <w:rsid w:val="00A00F9C"/>
    <w:rsid w:val="00A01291"/>
    <w:rsid w:val="00A017DD"/>
    <w:rsid w:val="00A01966"/>
    <w:rsid w:val="00A01A81"/>
    <w:rsid w:val="00A01EFE"/>
    <w:rsid w:val="00A02A2B"/>
    <w:rsid w:val="00A03076"/>
    <w:rsid w:val="00A03089"/>
    <w:rsid w:val="00A036BA"/>
    <w:rsid w:val="00A038AB"/>
    <w:rsid w:val="00A0403D"/>
    <w:rsid w:val="00A04764"/>
    <w:rsid w:val="00A04960"/>
    <w:rsid w:val="00A04AF2"/>
    <w:rsid w:val="00A04B29"/>
    <w:rsid w:val="00A052E5"/>
    <w:rsid w:val="00A0539E"/>
    <w:rsid w:val="00A056E5"/>
    <w:rsid w:val="00A05A2A"/>
    <w:rsid w:val="00A05C02"/>
    <w:rsid w:val="00A06377"/>
    <w:rsid w:val="00A06D2D"/>
    <w:rsid w:val="00A06DA1"/>
    <w:rsid w:val="00A07393"/>
    <w:rsid w:val="00A07632"/>
    <w:rsid w:val="00A07CE6"/>
    <w:rsid w:val="00A10261"/>
    <w:rsid w:val="00A103CB"/>
    <w:rsid w:val="00A10558"/>
    <w:rsid w:val="00A1093E"/>
    <w:rsid w:val="00A11970"/>
    <w:rsid w:val="00A11B93"/>
    <w:rsid w:val="00A11E1D"/>
    <w:rsid w:val="00A12A47"/>
    <w:rsid w:val="00A12DD2"/>
    <w:rsid w:val="00A13360"/>
    <w:rsid w:val="00A13CD2"/>
    <w:rsid w:val="00A13CE2"/>
    <w:rsid w:val="00A13E90"/>
    <w:rsid w:val="00A14543"/>
    <w:rsid w:val="00A14925"/>
    <w:rsid w:val="00A14C98"/>
    <w:rsid w:val="00A1504D"/>
    <w:rsid w:val="00A154F7"/>
    <w:rsid w:val="00A15551"/>
    <w:rsid w:val="00A15619"/>
    <w:rsid w:val="00A15A25"/>
    <w:rsid w:val="00A15C7D"/>
    <w:rsid w:val="00A165C2"/>
    <w:rsid w:val="00A16775"/>
    <w:rsid w:val="00A1681E"/>
    <w:rsid w:val="00A176E0"/>
    <w:rsid w:val="00A17D7D"/>
    <w:rsid w:val="00A20067"/>
    <w:rsid w:val="00A20195"/>
    <w:rsid w:val="00A209DB"/>
    <w:rsid w:val="00A20E77"/>
    <w:rsid w:val="00A20EFE"/>
    <w:rsid w:val="00A21256"/>
    <w:rsid w:val="00A2135D"/>
    <w:rsid w:val="00A21575"/>
    <w:rsid w:val="00A2164C"/>
    <w:rsid w:val="00A21C2A"/>
    <w:rsid w:val="00A21E02"/>
    <w:rsid w:val="00A22098"/>
    <w:rsid w:val="00A220C3"/>
    <w:rsid w:val="00A221A3"/>
    <w:rsid w:val="00A23195"/>
    <w:rsid w:val="00A23577"/>
    <w:rsid w:val="00A23D7A"/>
    <w:rsid w:val="00A25658"/>
    <w:rsid w:val="00A2565A"/>
    <w:rsid w:val="00A25C9F"/>
    <w:rsid w:val="00A2632D"/>
    <w:rsid w:val="00A26414"/>
    <w:rsid w:val="00A26707"/>
    <w:rsid w:val="00A2692D"/>
    <w:rsid w:val="00A26E7F"/>
    <w:rsid w:val="00A306F8"/>
    <w:rsid w:val="00A306FF"/>
    <w:rsid w:val="00A31035"/>
    <w:rsid w:val="00A31059"/>
    <w:rsid w:val="00A316B5"/>
    <w:rsid w:val="00A316C4"/>
    <w:rsid w:val="00A31BF0"/>
    <w:rsid w:val="00A32DF1"/>
    <w:rsid w:val="00A331AA"/>
    <w:rsid w:val="00A33798"/>
    <w:rsid w:val="00A33AB9"/>
    <w:rsid w:val="00A33DDD"/>
    <w:rsid w:val="00A33F19"/>
    <w:rsid w:val="00A34118"/>
    <w:rsid w:val="00A34273"/>
    <w:rsid w:val="00A34714"/>
    <w:rsid w:val="00A34DF1"/>
    <w:rsid w:val="00A34E24"/>
    <w:rsid w:val="00A34FFD"/>
    <w:rsid w:val="00A355C0"/>
    <w:rsid w:val="00A36947"/>
    <w:rsid w:val="00A36ABE"/>
    <w:rsid w:val="00A3722B"/>
    <w:rsid w:val="00A374BA"/>
    <w:rsid w:val="00A374C1"/>
    <w:rsid w:val="00A3752C"/>
    <w:rsid w:val="00A377A2"/>
    <w:rsid w:val="00A3789B"/>
    <w:rsid w:val="00A37C6A"/>
    <w:rsid w:val="00A37D16"/>
    <w:rsid w:val="00A40579"/>
    <w:rsid w:val="00A4083A"/>
    <w:rsid w:val="00A40863"/>
    <w:rsid w:val="00A409B2"/>
    <w:rsid w:val="00A40A4E"/>
    <w:rsid w:val="00A41482"/>
    <w:rsid w:val="00A414F6"/>
    <w:rsid w:val="00A41644"/>
    <w:rsid w:val="00A417ED"/>
    <w:rsid w:val="00A41855"/>
    <w:rsid w:val="00A41918"/>
    <w:rsid w:val="00A41A30"/>
    <w:rsid w:val="00A41A48"/>
    <w:rsid w:val="00A41A67"/>
    <w:rsid w:val="00A42003"/>
    <w:rsid w:val="00A42013"/>
    <w:rsid w:val="00A424A7"/>
    <w:rsid w:val="00A42EDE"/>
    <w:rsid w:val="00A436DE"/>
    <w:rsid w:val="00A43FA7"/>
    <w:rsid w:val="00A441C5"/>
    <w:rsid w:val="00A4466F"/>
    <w:rsid w:val="00A44797"/>
    <w:rsid w:val="00A449EC"/>
    <w:rsid w:val="00A452C3"/>
    <w:rsid w:val="00A453DC"/>
    <w:rsid w:val="00A45782"/>
    <w:rsid w:val="00A45BE4"/>
    <w:rsid w:val="00A466A2"/>
    <w:rsid w:val="00A47D90"/>
    <w:rsid w:val="00A47E32"/>
    <w:rsid w:val="00A5027B"/>
    <w:rsid w:val="00A505BA"/>
    <w:rsid w:val="00A5088C"/>
    <w:rsid w:val="00A508BF"/>
    <w:rsid w:val="00A50CD5"/>
    <w:rsid w:val="00A5104C"/>
    <w:rsid w:val="00A5184A"/>
    <w:rsid w:val="00A52048"/>
    <w:rsid w:val="00A52A0D"/>
    <w:rsid w:val="00A53037"/>
    <w:rsid w:val="00A54029"/>
    <w:rsid w:val="00A54118"/>
    <w:rsid w:val="00A54780"/>
    <w:rsid w:val="00A554C7"/>
    <w:rsid w:val="00A554F6"/>
    <w:rsid w:val="00A55CA7"/>
    <w:rsid w:val="00A56061"/>
    <w:rsid w:val="00A561F2"/>
    <w:rsid w:val="00A56A93"/>
    <w:rsid w:val="00A57579"/>
    <w:rsid w:val="00A5765E"/>
    <w:rsid w:val="00A57904"/>
    <w:rsid w:val="00A609B9"/>
    <w:rsid w:val="00A609F5"/>
    <w:rsid w:val="00A60D5B"/>
    <w:rsid w:val="00A6107B"/>
    <w:rsid w:val="00A6144C"/>
    <w:rsid w:val="00A614DE"/>
    <w:rsid w:val="00A61709"/>
    <w:rsid w:val="00A6175A"/>
    <w:rsid w:val="00A619B4"/>
    <w:rsid w:val="00A619F6"/>
    <w:rsid w:val="00A61A85"/>
    <w:rsid w:val="00A6201C"/>
    <w:rsid w:val="00A620A4"/>
    <w:rsid w:val="00A633D9"/>
    <w:rsid w:val="00A63401"/>
    <w:rsid w:val="00A63CB2"/>
    <w:rsid w:val="00A63DE4"/>
    <w:rsid w:val="00A642A8"/>
    <w:rsid w:val="00A645C1"/>
    <w:rsid w:val="00A64E17"/>
    <w:rsid w:val="00A651FD"/>
    <w:rsid w:val="00A654BE"/>
    <w:rsid w:val="00A6612D"/>
    <w:rsid w:val="00A661AF"/>
    <w:rsid w:val="00A66278"/>
    <w:rsid w:val="00A66359"/>
    <w:rsid w:val="00A6670A"/>
    <w:rsid w:val="00A66DF3"/>
    <w:rsid w:val="00A674D8"/>
    <w:rsid w:val="00A67979"/>
    <w:rsid w:val="00A67998"/>
    <w:rsid w:val="00A67A48"/>
    <w:rsid w:val="00A67C9E"/>
    <w:rsid w:val="00A67EE3"/>
    <w:rsid w:val="00A67FBA"/>
    <w:rsid w:val="00A704A5"/>
    <w:rsid w:val="00A709F0"/>
    <w:rsid w:val="00A70E83"/>
    <w:rsid w:val="00A70F77"/>
    <w:rsid w:val="00A71B72"/>
    <w:rsid w:val="00A71CBC"/>
    <w:rsid w:val="00A71DC4"/>
    <w:rsid w:val="00A71F3A"/>
    <w:rsid w:val="00A7203C"/>
    <w:rsid w:val="00A7210A"/>
    <w:rsid w:val="00A7212E"/>
    <w:rsid w:val="00A72606"/>
    <w:rsid w:val="00A73524"/>
    <w:rsid w:val="00A735AC"/>
    <w:rsid w:val="00A737EE"/>
    <w:rsid w:val="00A73E47"/>
    <w:rsid w:val="00A74344"/>
    <w:rsid w:val="00A7435E"/>
    <w:rsid w:val="00A745C3"/>
    <w:rsid w:val="00A74C41"/>
    <w:rsid w:val="00A750B2"/>
    <w:rsid w:val="00A75502"/>
    <w:rsid w:val="00A755C3"/>
    <w:rsid w:val="00A76084"/>
    <w:rsid w:val="00A768F7"/>
    <w:rsid w:val="00A7715F"/>
    <w:rsid w:val="00A779FF"/>
    <w:rsid w:val="00A77DD9"/>
    <w:rsid w:val="00A80005"/>
    <w:rsid w:val="00A803B8"/>
    <w:rsid w:val="00A806F3"/>
    <w:rsid w:val="00A8097E"/>
    <w:rsid w:val="00A81D4A"/>
    <w:rsid w:val="00A824C1"/>
    <w:rsid w:val="00A828A8"/>
    <w:rsid w:val="00A82EAA"/>
    <w:rsid w:val="00A83441"/>
    <w:rsid w:val="00A8353E"/>
    <w:rsid w:val="00A83A10"/>
    <w:rsid w:val="00A83ED0"/>
    <w:rsid w:val="00A8458F"/>
    <w:rsid w:val="00A84A4B"/>
    <w:rsid w:val="00A84FD1"/>
    <w:rsid w:val="00A852B8"/>
    <w:rsid w:val="00A85584"/>
    <w:rsid w:val="00A8614F"/>
    <w:rsid w:val="00A86E4D"/>
    <w:rsid w:val="00A86F4D"/>
    <w:rsid w:val="00A87026"/>
    <w:rsid w:val="00A87B52"/>
    <w:rsid w:val="00A87F8B"/>
    <w:rsid w:val="00A906C1"/>
    <w:rsid w:val="00A907C8"/>
    <w:rsid w:val="00A90AB0"/>
    <w:rsid w:val="00A9142B"/>
    <w:rsid w:val="00A917D2"/>
    <w:rsid w:val="00A91E55"/>
    <w:rsid w:val="00A924A9"/>
    <w:rsid w:val="00A92A7D"/>
    <w:rsid w:val="00A938C3"/>
    <w:rsid w:val="00A93D30"/>
    <w:rsid w:val="00A94213"/>
    <w:rsid w:val="00A94486"/>
    <w:rsid w:val="00A9495A"/>
    <w:rsid w:val="00A954E0"/>
    <w:rsid w:val="00A9597C"/>
    <w:rsid w:val="00A963B1"/>
    <w:rsid w:val="00A96413"/>
    <w:rsid w:val="00A97C9F"/>
    <w:rsid w:val="00AA0419"/>
    <w:rsid w:val="00AA07DA"/>
    <w:rsid w:val="00AA07FB"/>
    <w:rsid w:val="00AA09CD"/>
    <w:rsid w:val="00AA0A5C"/>
    <w:rsid w:val="00AA0C53"/>
    <w:rsid w:val="00AA0F2A"/>
    <w:rsid w:val="00AA10BC"/>
    <w:rsid w:val="00AA1174"/>
    <w:rsid w:val="00AA198B"/>
    <w:rsid w:val="00AA22CB"/>
    <w:rsid w:val="00AA25DF"/>
    <w:rsid w:val="00AA34E6"/>
    <w:rsid w:val="00AA39D9"/>
    <w:rsid w:val="00AA3CB7"/>
    <w:rsid w:val="00AA4380"/>
    <w:rsid w:val="00AA4B87"/>
    <w:rsid w:val="00AA57B3"/>
    <w:rsid w:val="00AA614D"/>
    <w:rsid w:val="00AA638E"/>
    <w:rsid w:val="00AA6993"/>
    <w:rsid w:val="00AA7BEF"/>
    <w:rsid w:val="00AA7CDD"/>
    <w:rsid w:val="00AB003E"/>
    <w:rsid w:val="00AB0228"/>
    <w:rsid w:val="00AB02B3"/>
    <w:rsid w:val="00AB0C23"/>
    <w:rsid w:val="00AB18A0"/>
    <w:rsid w:val="00AB18F0"/>
    <w:rsid w:val="00AB1CAE"/>
    <w:rsid w:val="00AB1D2D"/>
    <w:rsid w:val="00AB28FB"/>
    <w:rsid w:val="00AB2FF3"/>
    <w:rsid w:val="00AB306C"/>
    <w:rsid w:val="00AB307A"/>
    <w:rsid w:val="00AB3840"/>
    <w:rsid w:val="00AB3C5D"/>
    <w:rsid w:val="00AB4077"/>
    <w:rsid w:val="00AB414D"/>
    <w:rsid w:val="00AB4A00"/>
    <w:rsid w:val="00AB4CD0"/>
    <w:rsid w:val="00AB4EC6"/>
    <w:rsid w:val="00AB5054"/>
    <w:rsid w:val="00AB5620"/>
    <w:rsid w:val="00AB5927"/>
    <w:rsid w:val="00AB5D28"/>
    <w:rsid w:val="00AB5EBC"/>
    <w:rsid w:val="00AB6043"/>
    <w:rsid w:val="00AB6A9C"/>
    <w:rsid w:val="00AB6FD8"/>
    <w:rsid w:val="00AB6FFF"/>
    <w:rsid w:val="00AB7494"/>
    <w:rsid w:val="00AB79A0"/>
    <w:rsid w:val="00AB7EC3"/>
    <w:rsid w:val="00AC0A62"/>
    <w:rsid w:val="00AC19D0"/>
    <w:rsid w:val="00AC2002"/>
    <w:rsid w:val="00AC3D01"/>
    <w:rsid w:val="00AC3DCD"/>
    <w:rsid w:val="00AC3F41"/>
    <w:rsid w:val="00AC3FE5"/>
    <w:rsid w:val="00AC419F"/>
    <w:rsid w:val="00AC42E9"/>
    <w:rsid w:val="00AC4305"/>
    <w:rsid w:val="00AC45A8"/>
    <w:rsid w:val="00AC4F7E"/>
    <w:rsid w:val="00AC5361"/>
    <w:rsid w:val="00AC554B"/>
    <w:rsid w:val="00AC59E7"/>
    <w:rsid w:val="00AC5B04"/>
    <w:rsid w:val="00AC5F25"/>
    <w:rsid w:val="00AC652F"/>
    <w:rsid w:val="00AC66A0"/>
    <w:rsid w:val="00AC6D3E"/>
    <w:rsid w:val="00AC7014"/>
    <w:rsid w:val="00AC7451"/>
    <w:rsid w:val="00AC7543"/>
    <w:rsid w:val="00AD05B6"/>
    <w:rsid w:val="00AD070B"/>
    <w:rsid w:val="00AD1403"/>
    <w:rsid w:val="00AD16C2"/>
    <w:rsid w:val="00AD2321"/>
    <w:rsid w:val="00AD27D7"/>
    <w:rsid w:val="00AD2ABF"/>
    <w:rsid w:val="00AD3873"/>
    <w:rsid w:val="00AD38F9"/>
    <w:rsid w:val="00AD3986"/>
    <w:rsid w:val="00AD3A34"/>
    <w:rsid w:val="00AD3FD7"/>
    <w:rsid w:val="00AD42C0"/>
    <w:rsid w:val="00AD46A9"/>
    <w:rsid w:val="00AD49D8"/>
    <w:rsid w:val="00AD4ACF"/>
    <w:rsid w:val="00AD4CED"/>
    <w:rsid w:val="00AD515B"/>
    <w:rsid w:val="00AD567C"/>
    <w:rsid w:val="00AD60D1"/>
    <w:rsid w:val="00AD6107"/>
    <w:rsid w:val="00AD6261"/>
    <w:rsid w:val="00AD6B30"/>
    <w:rsid w:val="00AD7186"/>
    <w:rsid w:val="00AD7194"/>
    <w:rsid w:val="00AD7463"/>
    <w:rsid w:val="00AD7C85"/>
    <w:rsid w:val="00AD7FC2"/>
    <w:rsid w:val="00AE0446"/>
    <w:rsid w:val="00AE0F3F"/>
    <w:rsid w:val="00AE11B7"/>
    <w:rsid w:val="00AE161E"/>
    <w:rsid w:val="00AE2034"/>
    <w:rsid w:val="00AE23DA"/>
    <w:rsid w:val="00AE2D34"/>
    <w:rsid w:val="00AE2D7A"/>
    <w:rsid w:val="00AE385E"/>
    <w:rsid w:val="00AE3DED"/>
    <w:rsid w:val="00AE4364"/>
    <w:rsid w:val="00AE45CC"/>
    <w:rsid w:val="00AE4A7B"/>
    <w:rsid w:val="00AE4EAA"/>
    <w:rsid w:val="00AE5B87"/>
    <w:rsid w:val="00AE617E"/>
    <w:rsid w:val="00AE63BA"/>
    <w:rsid w:val="00AE6A32"/>
    <w:rsid w:val="00AE76FC"/>
    <w:rsid w:val="00AE78BA"/>
    <w:rsid w:val="00AF039B"/>
    <w:rsid w:val="00AF0645"/>
    <w:rsid w:val="00AF14A9"/>
    <w:rsid w:val="00AF18C1"/>
    <w:rsid w:val="00AF1A71"/>
    <w:rsid w:val="00AF1F0F"/>
    <w:rsid w:val="00AF203F"/>
    <w:rsid w:val="00AF226A"/>
    <w:rsid w:val="00AF2537"/>
    <w:rsid w:val="00AF2733"/>
    <w:rsid w:val="00AF29D4"/>
    <w:rsid w:val="00AF2CED"/>
    <w:rsid w:val="00AF2D95"/>
    <w:rsid w:val="00AF2FD3"/>
    <w:rsid w:val="00AF3296"/>
    <w:rsid w:val="00AF33BC"/>
    <w:rsid w:val="00AF358C"/>
    <w:rsid w:val="00AF3789"/>
    <w:rsid w:val="00AF38EC"/>
    <w:rsid w:val="00AF3A7D"/>
    <w:rsid w:val="00AF3FA6"/>
    <w:rsid w:val="00AF3FE1"/>
    <w:rsid w:val="00AF4040"/>
    <w:rsid w:val="00AF4200"/>
    <w:rsid w:val="00AF4333"/>
    <w:rsid w:val="00AF46E3"/>
    <w:rsid w:val="00AF4CAD"/>
    <w:rsid w:val="00AF51A7"/>
    <w:rsid w:val="00AF54F4"/>
    <w:rsid w:val="00AF5657"/>
    <w:rsid w:val="00AF67CE"/>
    <w:rsid w:val="00AF6AAC"/>
    <w:rsid w:val="00AF723C"/>
    <w:rsid w:val="00AF7B21"/>
    <w:rsid w:val="00AF7B3E"/>
    <w:rsid w:val="00B001F2"/>
    <w:rsid w:val="00B0035B"/>
    <w:rsid w:val="00B00B36"/>
    <w:rsid w:val="00B00E44"/>
    <w:rsid w:val="00B00EA0"/>
    <w:rsid w:val="00B01140"/>
    <w:rsid w:val="00B01624"/>
    <w:rsid w:val="00B02350"/>
    <w:rsid w:val="00B027E9"/>
    <w:rsid w:val="00B02801"/>
    <w:rsid w:val="00B0296F"/>
    <w:rsid w:val="00B03029"/>
    <w:rsid w:val="00B0391B"/>
    <w:rsid w:val="00B0472D"/>
    <w:rsid w:val="00B049C7"/>
    <w:rsid w:val="00B04E43"/>
    <w:rsid w:val="00B055F1"/>
    <w:rsid w:val="00B066C9"/>
    <w:rsid w:val="00B06787"/>
    <w:rsid w:val="00B06C9C"/>
    <w:rsid w:val="00B06CC8"/>
    <w:rsid w:val="00B0712E"/>
    <w:rsid w:val="00B07D4E"/>
    <w:rsid w:val="00B07D80"/>
    <w:rsid w:val="00B07E54"/>
    <w:rsid w:val="00B103E8"/>
    <w:rsid w:val="00B10439"/>
    <w:rsid w:val="00B10881"/>
    <w:rsid w:val="00B1092A"/>
    <w:rsid w:val="00B1152F"/>
    <w:rsid w:val="00B116D2"/>
    <w:rsid w:val="00B11BF5"/>
    <w:rsid w:val="00B124A8"/>
    <w:rsid w:val="00B13040"/>
    <w:rsid w:val="00B13A4D"/>
    <w:rsid w:val="00B13B04"/>
    <w:rsid w:val="00B14826"/>
    <w:rsid w:val="00B14861"/>
    <w:rsid w:val="00B14C31"/>
    <w:rsid w:val="00B14EFC"/>
    <w:rsid w:val="00B1516A"/>
    <w:rsid w:val="00B15204"/>
    <w:rsid w:val="00B16034"/>
    <w:rsid w:val="00B162E4"/>
    <w:rsid w:val="00B16813"/>
    <w:rsid w:val="00B16B9D"/>
    <w:rsid w:val="00B16BA2"/>
    <w:rsid w:val="00B1720C"/>
    <w:rsid w:val="00B17327"/>
    <w:rsid w:val="00B176BF"/>
    <w:rsid w:val="00B17805"/>
    <w:rsid w:val="00B17908"/>
    <w:rsid w:val="00B17A76"/>
    <w:rsid w:val="00B20355"/>
    <w:rsid w:val="00B2038B"/>
    <w:rsid w:val="00B212A3"/>
    <w:rsid w:val="00B21388"/>
    <w:rsid w:val="00B21453"/>
    <w:rsid w:val="00B228F1"/>
    <w:rsid w:val="00B22CA7"/>
    <w:rsid w:val="00B2367F"/>
    <w:rsid w:val="00B23A39"/>
    <w:rsid w:val="00B245B6"/>
    <w:rsid w:val="00B246EB"/>
    <w:rsid w:val="00B24F5D"/>
    <w:rsid w:val="00B2589B"/>
    <w:rsid w:val="00B25915"/>
    <w:rsid w:val="00B259DB"/>
    <w:rsid w:val="00B25D8C"/>
    <w:rsid w:val="00B25EA4"/>
    <w:rsid w:val="00B26791"/>
    <w:rsid w:val="00B26C70"/>
    <w:rsid w:val="00B26F36"/>
    <w:rsid w:val="00B27349"/>
    <w:rsid w:val="00B279E2"/>
    <w:rsid w:val="00B3062B"/>
    <w:rsid w:val="00B30859"/>
    <w:rsid w:val="00B30E57"/>
    <w:rsid w:val="00B31159"/>
    <w:rsid w:val="00B3119E"/>
    <w:rsid w:val="00B31A11"/>
    <w:rsid w:val="00B324C9"/>
    <w:rsid w:val="00B3322D"/>
    <w:rsid w:val="00B338DE"/>
    <w:rsid w:val="00B33D56"/>
    <w:rsid w:val="00B33FB6"/>
    <w:rsid w:val="00B343FA"/>
    <w:rsid w:val="00B35BD3"/>
    <w:rsid w:val="00B36DE8"/>
    <w:rsid w:val="00B37441"/>
    <w:rsid w:val="00B37491"/>
    <w:rsid w:val="00B376A7"/>
    <w:rsid w:val="00B37700"/>
    <w:rsid w:val="00B3784F"/>
    <w:rsid w:val="00B37C35"/>
    <w:rsid w:val="00B37D3F"/>
    <w:rsid w:val="00B4072B"/>
    <w:rsid w:val="00B40AAF"/>
    <w:rsid w:val="00B40D15"/>
    <w:rsid w:val="00B40D79"/>
    <w:rsid w:val="00B4154B"/>
    <w:rsid w:val="00B41DD0"/>
    <w:rsid w:val="00B4203F"/>
    <w:rsid w:val="00B4241E"/>
    <w:rsid w:val="00B42509"/>
    <w:rsid w:val="00B426B2"/>
    <w:rsid w:val="00B42EF8"/>
    <w:rsid w:val="00B43235"/>
    <w:rsid w:val="00B437C7"/>
    <w:rsid w:val="00B43F20"/>
    <w:rsid w:val="00B441C9"/>
    <w:rsid w:val="00B4450E"/>
    <w:rsid w:val="00B44586"/>
    <w:rsid w:val="00B4475B"/>
    <w:rsid w:val="00B45010"/>
    <w:rsid w:val="00B45117"/>
    <w:rsid w:val="00B45149"/>
    <w:rsid w:val="00B45295"/>
    <w:rsid w:val="00B45452"/>
    <w:rsid w:val="00B45A99"/>
    <w:rsid w:val="00B45BB7"/>
    <w:rsid w:val="00B45D29"/>
    <w:rsid w:val="00B45E54"/>
    <w:rsid w:val="00B463A2"/>
    <w:rsid w:val="00B4666B"/>
    <w:rsid w:val="00B466EC"/>
    <w:rsid w:val="00B467AE"/>
    <w:rsid w:val="00B46939"/>
    <w:rsid w:val="00B469A5"/>
    <w:rsid w:val="00B46CE8"/>
    <w:rsid w:val="00B46FCC"/>
    <w:rsid w:val="00B470B5"/>
    <w:rsid w:val="00B47C27"/>
    <w:rsid w:val="00B50198"/>
    <w:rsid w:val="00B50364"/>
    <w:rsid w:val="00B50C33"/>
    <w:rsid w:val="00B513C0"/>
    <w:rsid w:val="00B51435"/>
    <w:rsid w:val="00B5148A"/>
    <w:rsid w:val="00B5182E"/>
    <w:rsid w:val="00B51830"/>
    <w:rsid w:val="00B51F15"/>
    <w:rsid w:val="00B51F1F"/>
    <w:rsid w:val="00B530AF"/>
    <w:rsid w:val="00B5363D"/>
    <w:rsid w:val="00B53A30"/>
    <w:rsid w:val="00B53AF7"/>
    <w:rsid w:val="00B5438D"/>
    <w:rsid w:val="00B544F4"/>
    <w:rsid w:val="00B54532"/>
    <w:rsid w:val="00B545DE"/>
    <w:rsid w:val="00B54D54"/>
    <w:rsid w:val="00B54DA7"/>
    <w:rsid w:val="00B55804"/>
    <w:rsid w:val="00B5604E"/>
    <w:rsid w:val="00B56E24"/>
    <w:rsid w:val="00B56E5A"/>
    <w:rsid w:val="00B57114"/>
    <w:rsid w:val="00B575C9"/>
    <w:rsid w:val="00B579D1"/>
    <w:rsid w:val="00B60028"/>
    <w:rsid w:val="00B602BC"/>
    <w:rsid w:val="00B60321"/>
    <w:rsid w:val="00B607B7"/>
    <w:rsid w:val="00B608C0"/>
    <w:rsid w:val="00B60A48"/>
    <w:rsid w:val="00B60ACD"/>
    <w:rsid w:val="00B60D6C"/>
    <w:rsid w:val="00B60D74"/>
    <w:rsid w:val="00B6253E"/>
    <w:rsid w:val="00B626C5"/>
    <w:rsid w:val="00B62B1F"/>
    <w:rsid w:val="00B62B88"/>
    <w:rsid w:val="00B63256"/>
    <w:rsid w:val="00B63E10"/>
    <w:rsid w:val="00B64257"/>
    <w:rsid w:val="00B64E24"/>
    <w:rsid w:val="00B659D9"/>
    <w:rsid w:val="00B66C29"/>
    <w:rsid w:val="00B672AF"/>
    <w:rsid w:val="00B67C00"/>
    <w:rsid w:val="00B70010"/>
    <w:rsid w:val="00B705A7"/>
    <w:rsid w:val="00B70759"/>
    <w:rsid w:val="00B707B4"/>
    <w:rsid w:val="00B70847"/>
    <w:rsid w:val="00B7099A"/>
    <w:rsid w:val="00B709AF"/>
    <w:rsid w:val="00B714DF"/>
    <w:rsid w:val="00B71557"/>
    <w:rsid w:val="00B7253A"/>
    <w:rsid w:val="00B7272A"/>
    <w:rsid w:val="00B72D1D"/>
    <w:rsid w:val="00B72DF7"/>
    <w:rsid w:val="00B73C2C"/>
    <w:rsid w:val="00B73E29"/>
    <w:rsid w:val="00B73FF9"/>
    <w:rsid w:val="00B740E2"/>
    <w:rsid w:val="00B74B75"/>
    <w:rsid w:val="00B7543F"/>
    <w:rsid w:val="00B756AA"/>
    <w:rsid w:val="00B75890"/>
    <w:rsid w:val="00B75B77"/>
    <w:rsid w:val="00B762BE"/>
    <w:rsid w:val="00B76471"/>
    <w:rsid w:val="00B765A4"/>
    <w:rsid w:val="00B76828"/>
    <w:rsid w:val="00B770AB"/>
    <w:rsid w:val="00B77150"/>
    <w:rsid w:val="00B7798E"/>
    <w:rsid w:val="00B80AD1"/>
    <w:rsid w:val="00B80ED7"/>
    <w:rsid w:val="00B81465"/>
    <w:rsid w:val="00B81E48"/>
    <w:rsid w:val="00B81E96"/>
    <w:rsid w:val="00B81EBB"/>
    <w:rsid w:val="00B8207F"/>
    <w:rsid w:val="00B82A5F"/>
    <w:rsid w:val="00B830E7"/>
    <w:rsid w:val="00B8324F"/>
    <w:rsid w:val="00B83260"/>
    <w:rsid w:val="00B84131"/>
    <w:rsid w:val="00B8435D"/>
    <w:rsid w:val="00B84630"/>
    <w:rsid w:val="00B84833"/>
    <w:rsid w:val="00B850F8"/>
    <w:rsid w:val="00B85282"/>
    <w:rsid w:val="00B853BC"/>
    <w:rsid w:val="00B8540D"/>
    <w:rsid w:val="00B858C6"/>
    <w:rsid w:val="00B8596F"/>
    <w:rsid w:val="00B85F3B"/>
    <w:rsid w:val="00B85FBE"/>
    <w:rsid w:val="00B86025"/>
    <w:rsid w:val="00B86B2A"/>
    <w:rsid w:val="00B86B9D"/>
    <w:rsid w:val="00B86DC3"/>
    <w:rsid w:val="00B86E33"/>
    <w:rsid w:val="00B879F3"/>
    <w:rsid w:val="00B87B3A"/>
    <w:rsid w:val="00B903C8"/>
    <w:rsid w:val="00B904C0"/>
    <w:rsid w:val="00B91135"/>
    <w:rsid w:val="00B91D38"/>
    <w:rsid w:val="00B91DB3"/>
    <w:rsid w:val="00B92155"/>
    <w:rsid w:val="00B928AC"/>
    <w:rsid w:val="00B92CEC"/>
    <w:rsid w:val="00B93221"/>
    <w:rsid w:val="00B93403"/>
    <w:rsid w:val="00B9399F"/>
    <w:rsid w:val="00B942E7"/>
    <w:rsid w:val="00B945A1"/>
    <w:rsid w:val="00B945B3"/>
    <w:rsid w:val="00B950EB"/>
    <w:rsid w:val="00B9528C"/>
    <w:rsid w:val="00B953BB"/>
    <w:rsid w:val="00B95613"/>
    <w:rsid w:val="00B956B0"/>
    <w:rsid w:val="00B95A03"/>
    <w:rsid w:val="00B96432"/>
    <w:rsid w:val="00B96592"/>
    <w:rsid w:val="00B96DCB"/>
    <w:rsid w:val="00B9747A"/>
    <w:rsid w:val="00B974E4"/>
    <w:rsid w:val="00B97680"/>
    <w:rsid w:val="00B97BD5"/>
    <w:rsid w:val="00B97F12"/>
    <w:rsid w:val="00BA06BF"/>
    <w:rsid w:val="00BA0CB9"/>
    <w:rsid w:val="00BA15C0"/>
    <w:rsid w:val="00BA26B9"/>
    <w:rsid w:val="00BA3214"/>
    <w:rsid w:val="00BA357E"/>
    <w:rsid w:val="00BA3BA9"/>
    <w:rsid w:val="00BA3EB6"/>
    <w:rsid w:val="00BA4022"/>
    <w:rsid w:val="00BA45DD"/>
    <w:rsid w:val="00BA4D08"/>
    <w:rsid w:val="00BA4F09"/>
    <w:rsid w:val="00BA5085"/>
    <w:rsid w:val="00BA578B"/>
    <w:rsid w:val="00BA57ED"/>
    <w:rsid w:val="00BA5DED"/>
    <w:rsid w:val="00BA6254"/>
    <w:rsid w:val="00BA6458"/>
    <w:rsid w:val="00BA6841"/>
    <w:rsid w:val="00BA6D21"/>
    <w:rsid w:val="00BA6E2C"/>
    <w:rsid w:val="00BA6EA2"/>
    <w:rsid w:val="00BA72F4"/>
    <w:rsid w:val="00BA76C5"/>
    <w:rsid w:val="00BA7A3E"/>
    <w:rsid w:val="00BB016E"/>
    <w:rsid w:val="00BB0374"/>
    <w:rsid w:val="00BB039B"/>
    <w:rsid w:val="00BB047B"/>
    <w:rsid w:val="00BB1A28"/>
    <w:rsid w:val="00BB1D8F"/>
    <w:rsid w:val="00BB244D"/>
    <w:rsid w:val="00BB25A4"/>
    <w:rsid w:val="00BB29BC"/>
    <w:rsid w:val="00BB2FCE"/>
    <w:rsid w:val="00BB32C3"/>
    <w:rsid w:val="00BB33CE"/>
    <w:rsid w:val="00BB3433"/>
    <w:rsid w:val="00BB370B"/>
    <w:rsid w:val="00BB3C4B"/>
    <w:rsid w:val="00BB519C"/>
    <w:rsid w:val="00BB5871"/>
    <w:rsid w:val="00BB589D"/>
    <w:rsid w:val="00BB5D77"/>
    <w:rsid w:val="00BB6135"/>
    <w:rsid w:val="00BB6138"/>
    <w:rsid w:val="00BB6744"/>
    <w:rsid w:val="00BB6C0B"/>
    <w:rsid w:val="00BB6C77"/>
    <w:rsid w:val="00BB709A"/>
    <w:rsid w:val="00BB751A"/>
    <w:rsid w:val="00BB7A4D"/>
    <w:rsid w:val="00BC044D"/>
    <w:rsid w:val="00BC0925"/>
    <w:rsid w:val="00BC0D3C"/>
    <w:rsid w:val="00BC10D1"/>
    <w:rsid w:val="00BC1725"/>
    <w:rsid w:val="00BC1A21"/>
    <w:rsid w:val="00BC2395"/>
    <w:rsid w:val="00BC285B"/>
    <w:rsid w:val="00BC30D9"/>
    <w:rsid w:val="00BC3257"/>
    <w:rsid w:val="00BC37A0"/>
    <w:rsid w:val="00BC3A08"/>
    <w:rsid w:val="00BC406C"/>
    <w:rsid w:val="00BC4281"/>
    <w:rsid w:val="00BC4676"/>
    <w:rsid w:val="00BC47E7"/>
    <w:rsid w:val="00BC4E31"/>
    <w:rsid w:val="00BC5016"/>
    <w:rsid w:val="00BC5EDB"/>
    <w:rsid w:val="00BC653A"/>
    <w:rsid w:val="00BC6985"/>
    <w:rsid w:val="00BC73AC"/>
    <w:rsid w:val="00BC7539"/>
    <w:rsid w:val="00BC7B06"/>
    <w:rsid w:val="00BC7E9A"/>
    <w:rsid w:val="00BD05E1"/>
    <w:rsid w:val="00BD08AA"/>
    <w:rsid w:val="00BD0C00"/>
    <w:rsid w:val="00BD0CD6"/>
    <w:rsid w:val="00BD0FD9"/>
    <w:rsid w:val="00BD10A6"/>
    <w:rsid w:val="00BD17AF"/>
    <w:rsid w:val="00BD202C"/>
    <w:rsid w:val="00BD287F"/>
    <w:rsid w:val="00BD2B02"/>
    <w:rsid w:val="00BD2DDA"/>
    <w:rsid w:val="00BD3154"/>
    <w:rsid w:val="00BD36D0"/>
    <w:rsid w:val="00BD40DA"/>
    <w:rsid w:val="00BD43DE"/>
    <w:rsid w:val="00BD45E6"/>
    <w:rsid w:val="00BD469D"/>
    <w:rsid w:val="00BD4985"/>
    <w:rsid w:val="00BD50CC"/>
    <w:rsid w:val="00BD5B08"/>
    <w:rsid w:val="00BD6223"/>
    <w:rsid w:val="00BD62F7"/>
    <w:rsid w:val="00BD65C6"/>
    <w:rsid w:val="00BD66EE"/>
    <w:rsid w:val="00BD6CA4"/>
    <w:rsid w:val="00BD6CAD"/>
    <w:rsid w:val="00BD7AA3"/>
    <w:rsid w:val="00BE03E5"/>
    <w:rsid w:val="00BE065A"/>
    <w:rsid w:val="00BE07F0"/>
    <w:rsid w:val="00BE0BFD"/>
    <w:rsid w:val="00BE0CBB"/>
    <w:rsid w:val="00BE0E31"/>
    <w:rsid w:val="00BE0FF8"/>
    <w:rsid w:val="00BE10AC"/>
    <w:rsid w:val="00BE1325"/>
    <w:rsid w:val="00BE137F"/>
    <w:rsid w:val="00BE14E8"/>
    <w:rsid w:val="00BE1A3F"/>
    <w:rsid w:val="00BE1C95"/>
    <w:rsid w:val="00BE1F6A"/>
    <w:rsid w:val="00BE205A"/>
    <w:rsid w:val="00BE2576"/>
    <w:rsid w:val="00BE28A4"/>
    <w:rsid w:val="00BE3580"/>
    <w:rsid w:val="00BE3E8A"/>
    <w:rsid w:val="00BE454A"/>
    <w:rsid w:val="00BE497A"/>
    <w:rsid w:val="00BE4AAB"/>
    <w:rsid w:val="00BE4C7D"/>
    <w:rsid w:val="00BE545B"/>
    <w:rsid w:val="00BE5486"/>
    <w:rsid w:val="00BE5952"/>
    <w:rsid w:val="00BE6063"/>
    <w:rsid w:val="00BE6636"/>
    <w:rsid w:val="00BE6E5D"/>
    <w:rsid w:val="00BE7480"/>
    <w:rsid w:val="00BE7E01"/>
    <w:rsid w:val="00BF0693"/>
    <w:rsid w:val="00BF07EF"/>
    <w:rsid w:val="00BF08B9"/>
    <w:rsid w:val="00BF09C8"/>
    <w:rsid w:val="00BF0A82"/>
    <w:rsid w:val="00BF0DC1"/>
    <w:rsid w:val="00BF11C8"/>
    <w:rsid w:val="00BF124F"/>
    <w:rsid w:val="00BF13C8"/>
    <w:rsid w:val="00BF16DB"/>
    <w:rsid w:val="00BF1ADA"/>
    <w:rsid w:val="00BF1CF8"/>
    <w:rsid w:val="00BF2242"/>
    <w:rsid w:val="00BF246C"/>
    <w:rsid w:val="00BF29D2"/>
    <w:rsid w:val="00BF2A5D"/>
    <w:rsid w:val="00BF2F50"/>
    <w:rsid w:val="00BF30B8"/>
    <w:rsid w:val="00BF4CEB"/>
    <w:rsid w:val="00BF5BFA"/>
    <w:rsid w:val="00BF664F"/>
    <w:rsid w:val="00BF681C"/>
    <w:rsid w:val="00BF682A"/>
    <w:rsid w:val="00BF69F7"/>
    <w:rsid w:val="00BF6A2D"/>
    <w:rsid w:val="00BF6D1B"/>
    <w:rsid w:val="00BF7483"/>
    <w:rsid w:val="00BF778E"/>
    <w:rsid w:val="00BF77E0"/>
    <w:rsid w:val="00BF79DE"/>
    <w:rsid w:val="00BF7BDF"/>
    <w:rsid w:val="00C01B15"/>
    <w:rsid w:val="00C022B6"/>
    <w:rsid w:val="00C028AA"/>
    <w:rsid w:val="00C03BFC"/>
    <w:rsid w:val="00C03D15"/>
    <w:rsid w:val="00C03D77"/>
    <w:rsid w:val="00C04632"/>
    <w:rsid w:val="00C047AA"/>
    <w:rsid w:val="00C04A8B"/>
    <w:rsid w:val="00C04D60"/>
    <w:rsid w:val="00C0510F"/>
    <w:rsid w:val="00C05FC6"/>
    <w:rsid w:val="00C074A9"/>
    <w:rsid w:val="00C07E0B"/>
    <w:rsid w:val="00C07F5B"/>
    <w:rsid w:val="00C10165"/>
    <w:rsid w:val="00C103C4"/>
    <w:rsid w:val="00C11853"/>
    <w:rsid w:val="00C11A9E"/>
    <w:rsid w:val="00C11AE9"/>
    <w:rsid w:val="00C12611"/>
    <w:rsid w:val="00C126A3"/>
    <w:rsid w:val="00C12F50"/>
    <w:rsid w:val="00C132BB"/>
    <w:rsid w:val="00C1331C"/>
    <w:rsid w:val="00C13AAF"/>
    <w:rsid w:val="00C14052"/>
    <w:rsid w:val="00C14145"/>
    <w:rsid w:val="00C148F5"/>
    <w:rsid w:val="00C1497E"/>
    <w:rsid w:val="00C14BAA"/>
    <w:rsid w:val="00C1554B"/>
    <w:rsid w:val="00C15945"/>
    <w:rsid w:val="00C15D00"/>
    <w:rsid w:val="00C15FB4"/>
    <w:rsid w:val="00C1613C"/>
    <w:rsid w:val="00C17899"/>
    <w:rsid w:val="00C17A27"/>
    <w:rsid w:val="00C20895"/>
    <w:rsid w:val="00C20C2C"/>
    <w:rsid w:val="00C20D40"/>
    <w:rsid w:val="00C215A3"/>
    <w:rsid w:val="00C21F1A"/>
    <w:rsid w:val="00C22091"/>
    <w:rsid w:val="00C22CCC"/>
    <w:rsid w:val="00C22DA3"/>
    <w:rsid w:val="00C23133"/>
    <w:rsid w:val="00C23532"/>
    <w:rsid w:val="00C238DE"/>
    <w:rsid w:val="00C23A35"/>
    <w:rsid w:val="00C23E60"/>
    <w:rsid w:val="00C23F55"/>
    <w:rsid w:val="00C23F9F"/>
    <w:rsid w:val="00C243AD"/>
    <w:rsid w:val="00C243B5"/>
    <w:rsid w:val="00C2476C"/>
    <w:rsid w:val="00C24D59"/>
    <w:rsid w:val="00C25067"/>
    <w:rsid w:val="00C25150"/>
    <w:rsid w:val="00C25352"/>
    <w:rsid w:val="00C25431"/>
    <w:rsid w:val="00C25434"/>
    <w:rsid w:val="00C2598E"/>
    <w:rsid w:val="00C260C0"/>
    <w:rsid w:val="00C2617F"/>
    <w:rsid w:val="00C26193"/>
    <w:rsid w:val="00C269D3"/>
    <w:rsid w:val="00C26D65"/>
    <w:rsid w:val="00C26DC2"/>
    <w:rsid w:val="00C26F53"/>
    <w:rsid w:val="00C270F2"/>
    <w:rsid w:val="00C272E2"/>
    <w:rsid w:val="00C27663"/>
    <w:rsid w:val="00C27808"/>
    <w:rsid w:val="00C27810"/>
    <w:rsid w:val="00C279B1"/>
    <w:rsid w:val="00C27C51"/>
    <w:rsid w:val="00C309CA"/>
    <w:rsid w:val="00C30A5D"/>
    <w:rsid w:val="00C30E96"/>
    <w:rsid w:val="00C31886"/>
    <w:rsid w:val="00C31AF7"/>
    <w:rsid w:val="00C31B54"/>
    <w:rsid w:val="00C32559"/>
    <w:rsid w:val="00C32A96"/>
    <w:rsid w:val="00C330EC"/>
    <w:rsid w:val="00C331FE"/>
    <w:rsid w:val="00C33226"/>
    <w:rsid w:val="00C332F0"/>
    <w:rsid w:val="00C33564"/>
    <w:rsid w:val="00C33CFB"/>
    <w:rsid w:val="00C33D67"/>
    <w:rsid w:val="00C34814"/>
    <w:rsid w:val="00C34868"/>
    <w:rsid w:val="00C353D4"/>
    <w:rsid w:val="00C3550B"/>
    <w:rsid w:val="00C35974"/>
    <w:rsid w:val="00C35E67"/>
    <w:rsid w:val="00C35FA7"/>
    <w:rsid w:val="00C360A3"/>
    <w:rsid w:val="00C363CE"/>
    <w:rsid w:val="00C3657C"/>
    <w:rsid w:val="00C367F5"/>
    <w:rsid w:val="00C36DCE"/>
    <w:rsid w:val="00C36F79"/>
    <w:rsid w:val="00C37117"/>
    <w:rsid w:val="00C3758F"/>
    <w:rsid w:val="00C40126"/>
    <w:rsid w:val="00C40168"/>
    <w:rsid w:val="00C4263C"/>
    <w:rsid w:val="00C42BB2"/>
    <w:rsid w:val="00C42EEC"/>
    <w:rsid w:val="00C43183"/>
    <w:rsid w:val="00C43663"/>
    <w:rsid w:val="00C43707"/>
    <w:rsid w:val="00C43736"/>
    <w:rsid w:val="00C447DC"/>
    <w:rsid w:val="00C448F5"/>
    <w:rsid w:val="00C44B3F"/>
    <w:rsid w:val="00C44E5F"/>
    <w:rsid w:val="00C44F88"/>
    <w:rsid w:val="00C459CF"/>
    <w:rsid w:val="00C45E62"/>
    <w:rsid w:val="00C45EDC"/>
    <w:rsid w:val="00C460AC"/>
    <w:rsid w:val="00C474F5"/>
    <w:rsid w:val="00C47B03"/>
    <w:rsid w:val="00C47C1F"/>
    <w:rsid w:val="00C47F48"/>
    <w:rsid w:val="00C5001F"/>
    <w:rsid w:val="00C5009F"/>
    <w:rsid w:val="00C51B07"/>
    <w:rsid w:val="00C52275"/>
    <w:rsid w:val="00C52429"/>
    <w:rsid w:val="00C5261E"/>
    <w:rsid w:val="00C52663"/>
    <w:rsid w:val="00C52834"/>
    <w:rsid w:val="00C538DD"/>
    <w:rsid w:val="00C53A6A"/>
    <w:rsid w:val="00C53DCC"/>
    <w:rsid w:val="00C547AA"/>
    <w:rsid w:val="00C54849"/>
    <w:rsid w:val="00C549A5"/>
    <w:rsid w:val="00C54E15"/>
    <w:rsid w:val="00C554AD"/>
    <w:rsid w:val="00C55682"/>
    <w:rsid w:val="00C56110"/>
    <w:rsid w:val="00C56694"/>
    <w:rsid w:val="00C56913"/>
    <w:rsid w:val="00C56FF3"/>
    <w:rsid w:val="00C57012"/>
    <w:rsid w:val="00C570F2"/>
    <w:rsid w:val="00C57207"/>
    <w:rsid w:val="00C5748E"/>
    <w:rsid w:val="00C5765F"/>
    <w:rsid w:val="00C57A3E"/>
    <w:rsid w:val="00C57A63"/>
    <w:rsid w:val="00C57FD4"/>
    <w:rsid w:val="00C57FF8"/>
    <w:rsid w:val="00C607A5"/>
    <w:rsid w:val="00C61A22"/>
    <w:rsid w:val="00C62409"/>
    <w:rsid w:val="00C6266E"/>
    <w:rsid w:val="00C630E9"/>
    <w:rsid w:val="00C6336E"/>
    <w:rsid w:val="00C63F79"/>
    <w:rsid w:val="00C644F8"/>
    <w:rsid w:val="00C64DB5"/>
    <w:rsid w:val="00C651F4"/>
    <w:rsid w:val="00C66011"/>
    <w:rsid w:val="00C6645B"/>
    <w:rsid w:val="00C66821"/>
    <w:rsid w:val="00C66AE5"/>
    <w:rsid w:val="00C66B82"/>
    <w:rsid w:val="00C66DEC"/>
    <w:rsid w:val="00C67267"/>
    <w:rsid w:val="00C6774C"/>
    <w:rsid w:val="00C67AB6"/>
    <w:rsid w:val="00C67B74"/>
    <w:rsid w:val="00C70993"/>
    <w:rsid w:val="00C71D7A"/>
    <w:rsid w:val="00C71E65"/>
    <w:rsid w:val="00C7231C"/>
    <w:rsid w:val="00C72553"/>
    <w:rsid w:val="00C73166"/>
    <w:rsid w:val="00C7322C"/>
    <w:rsid w:val="00C7363A"/>
    <w:rsid w:val="00C739EE"/>
    <w:rsid w:val="00C73DEF"/>
    <w:rsid w:val="00C73E29"/>
    <w:rsid w:val="00C744FF"/>
    <w:rsid w:val="00C74B32"/>
    <w:rsid w:val="00C752F7"/>
    <w:rsid w:val="00C75770"/>
    <w:rsid w:val="00C75C35"/>
    <w:rsid w:val="00C75E10"/>
    <w:rsid w:val="00C75EE0"/>
    <w:rsid w:val="00C75FB6"/>
    <w:rsid w:val="00C768F2"/>
    <w:rsid w:val="00C76C12"/>
    <w:rsid w:val="00C76EF8"/>
    <w:rsid w:val="00C77D8B"/>
    <w:rsid w:val="00C77F27"/>
    <w:rsid w:val="00C8011F"/>
    <w:rsid w:val="00C80646"/>
    <w:rsid w:val="00C8082F"/>
    <w:rsid w:val="00C8084C"/>
    <w:rsid w:val="00C808F6"/>
    <w:rsid w:val="00C80B1D"/>
    <w:rsid w:val="00C811F2"/>
    <w:rsid w:val="00C81366"/>
    <w:rsid w:val="00C81B26"/>
    <w:rsid w:val="00C81BBA"/>
    <w:rsid w:val="00C81E3D"/>
    <w:rsid w:val="00C8274E"/>
    <w:rsid w:val="00C82D50"/>
    <w:rsid w:val="00C82F3A"/>
    <w:rsid w:val="00C83615"/>
    <w:rsid w:val="00C838B7"/>
    <w:rsid w:val="00C83BC5"/>
    <w:rsid w:val="00C83E84"/>
    <w:rsid w:val="00C84800"/>
    <w:rsid w:val="00C84E35"/>
    <w:rsid w:val="00C85633"/>
    <w:rsid w:val="00C86C4E"/>
    <w:rsid w:val="00C86DEF"/>
    <w:rsid w:val="00C86EA8"/>
    <w:rsid w:val="00C871BC"/>
    <w:rsid w:val="00C8724D"/>
    <w:rsid w:val="00C87641"/>
    <w:rsid w:val="00C90116"/>
    <w:rsid w:val="00C908F6"/>
    <w:rsid w:val="00C91A79"/>
    <w:rsid w:val="00C91F0B"/>
    <w:rsid w:val="00C92485"/>
    <w:rsid w:val="00C92BFE"/>
    <w:rsid w:val="00C92FC3"/>
    <w:rsid w:val="00C93AB3"/>
    <w:rsid w:val="00C93F8E"/>
    <w:rsid w:val="00C94394"/>
    <w:rsid w:val="00C946F6"/>
    <w:rsid w:val="00C94773"/>
    <w:rsid w:val="00C947A2"/>
    <w:rsid w:val="00C94849"/>
    <w:rsid w:val="00C9492F"/>
    <w:rsid w:val="00C94DEC"/>
    <w:rsid w:val="00C9504D"/>
    <w:rsid w:val="00C952FA"/>
    <w:rsid w:val="00C9542C"/>
    <w:rsid w:val="00C95855"/>
    <w:rsid w:val="00C959F8"/>
    <w:rsid w:val="00C95E93"/>
    <w:rsid w:val="00C95EB1"/>
    <w:rsid w:val="00C9601C"/>
    <w:rsid w:val="00C9636C"/>
    <w:rsid w:val="00C968A0"/>
    <w:rsid w:val="00C96D65"/>
    <w:rsid w:val="00C971D6"/>
    <w:rsid w:val="00C977C7"/>
    <w:rsid w:val="00C9781F"/>
    <w:rsid w:val="00C97A3A"/>
    <w:rsid w:val="00C97CF8"/>
    <w:rsid w:val="00CA0039"/>
    <w:rsid w:val="00CA01D7"/>
    <w:rsid w:val="00CA0676"/>
    <w:rsid w:val="00CA0AD4"/>
    <w:rsid w:val="00CA0B79"/>
    <w:rsid w:val="00CA0C10"/>
    <w:rsid w:val="00CA16D1"/>
    <w:rsid w:val="00CA1709"/>
    <w:rsid w:val="00CA1C97"/>
    <w:rsid w:val="00CA2073"/>
    <w:rsid w:val="00CA246B"/>
    <w:rsid w:val="00CA2675"/>
    <w:rsid w:val="00CA2749"/>
    <w:rsid w:val="00CA27D1"/>
    <w:rsid w:val="00CA28AD"/>
    <w:rsid w:val="00CA2944"/>
    <w:rsid w:val="00CA2969"/>
    <w:rsid w:val="00CA2D42"/>
    <w:rsid w:val="00CA316D"/>
    <w:rsid w:val="00CA488C"/>
    <w:rsid w:val="00CA4BE0"/>
    <w:rsid w:val="00CA5414"/>
    <w:rsid w:val="00CA5552"/>
    <w:rsid w:val="00CA641F"/>
    <w:rsid w:val="00CA645F"/>
    <w:rsid w:val="00CA6C37"/>
    <w:rsid w:val="00CA7961"/>
    <w:rsid w:val="00CA7B75"/>
    <w:rsid w:val="00CB05F0"/>
    <w:rsid w:val="00CB0A08"/>
    <w:rsid w:val="00CB0F9E"/>
    <w:rsid w:val="00CB12BC"/>
    <w:rsid w:val="00CB1308"/>
    <w:rsid w:val="00CB1AD6"/>
    <w:rsid w:val="00CB1BD3"/>
    <w:rsid w:val="00CB1EF8"/>
    <w:rsid w:val="00CB2D52"/>
    <w:rsid w:val="00CB3335"/>
    <w:rsid w:val="00CB3A9B"/>
    <w:rsid w:val="00CB4428"/>
    <w:rsid w:val="00CB44D7"/>
    <w:rsid w:val="00CB62CB"/>
    <w:rsid w:val="00CB63E0"/>
    <w:rsid w:val="00CB651D"/>
    <w:rsid w:val="00CB65DD"/>
    <w:rsid w:val="00CB67CA"/>
    <w:rsid w:val="00CB72D6"/>
    <w:rsid w:val="00CC0002"/>
    <w:rsid w:val="00CC047A"/>
    <w:rsid w:val="00CC0866"/>
    <w:rsid w:val="00CC0881"/>
    <w:rsid w:val="00CC089C"/>
    <w:rsid w:val="00CC0C09"/>
    <w:rsid w:val="00CC1612"/>
    <w:rsid w:val="00CC19E7"/>
    <w:rsid w:val="00CC1CA4"/>
    <w:rsid w:val="00CC25E0"/>
    <w:rsid w:val="00CC2652"/>
    <w:rsid w:val="00CC2BE8"/>
    <w:rsid w:val="00CC2C06"/>
    <w:rsid w:val="00CC2DBF"/>
    <w:rsid w:val="00CC38F0"/>
    <w:rsid w:val="00CC3BA0"/>
    <w:rsid w:val="00CC4179"/>
    <w:rsid w:val="00CC4533"/>
    <w:rsid w:val="00CC45AD"/>
    <w:rsid w:val="00CC4A42"/>
    <w:rsid w:val="00CC4C6A"/>
    <w:rsid w:val="00CC510C"/>
    <w:rsid w:val="00CC5110"/>
    <w:rsid w:val="00CC5EE2"/>
    <w:rsid w:val="00CC610E"/>
    <w:rsid w:val="00CC62C3"/>
    <w:rsid w:val="00CC6532"/>
    <w:rsid w:val="00CC6B60"/>
    <w:rsid w:val="00CC719D"/>
    <w:rsid w:val="00CC71B0"/>
    <w:rsid w:val="00CC7206"/>
    <w:rsid w:val="00CC73D8"/>
    <w:rsid w:val="00CC7458"/>
    <w:rsid w:val="00CC7867"/>
    <w:rsid w:val="00CC7D8F"/>
    <w:rsid w:val="00CD078F"/>
    <w:rsid w:val="00CD1254"/>
    <w:rsid w:val="00CD12C0"/>
    <w:rsid w:val="00CD12CD"/>
    <w:rsid w:val="00CD1492"/>
    <w:rsid w:val="00CD1FDA"/>
    <w:rsid w:val="00CD2329"/>
    <w:rsid w:val="00CD23AF"/>
    <w:rsid w:val="00CD3427"/>
    <w:rsid w:val="00CD3576"/>
    <w:rsid w:val="00CD3759"/>
    <w:rsid w:val="00CD387F"/>
    <w:rsid w:val="00CD414D"/>
    <w:rsid w:val="00CD45AD"/>
    <w:rsid w:val="00CD4E52"/>
    <w:rsid w:val="00CD4EF2"/>
    <w:rsid w:val="00CD4F33"/>
    <w:rsid w:val="00CD50A6"/>
    <w:rsid w:val="00CD5A57"/>
    <w:rsid w:val="00CD5C3B"/>
    <w:rsid w:val="00CD5D64"/>
    <w:rsid w:val="00CD5D68"/>
    <w:rsid w:val="00CD64EC"/>
    <w:rsid w:val="00CD687D"/>
    <w:rsid w:val="00CD6943"/>
    <w:rsid w:val="00CD6DBF"/>
    <w:rsid w:val="00CD77AD"/>
    <w:rsid w:val="00CD7B56"/>
    <w:rsid w:val="00CE016D"/>
    <w:rsid w:val="00CE0C0B"/>
    <w:rsid w:val="00CE0C78"/>
    <w:rsid w:val="00CE1984"/>
    <w:rsid w:val="00CE1CF9"/>
    <w:rsid w:val="00CE26AD"/>
    <w:rsid w:val="00CE2895"/>
    <w:rsid w:val="00CE2D3D"/>
    <w:rsid w:val="00CE2DBE"/>
    <w:rsid w:val="00CE3685"/>
    <w:rsid w:val="00CE3F89"/>
    <w:rsid w:val="00CE471D"/>
    <w:rsid w:val="00CE4FD4"/>
    <w:rsid w:val="00CE571F"/>
    <w:rsid w:val="00CE57D4"/>
    <w:rsid w:val="00CE5D03"/>
    <w:rsid w:val="00CE5E42"/>
    <w:rsid w:val="00CE61AA"/>
    <w:rsid w:val="00CE6DF4"/>
    <w:rsid w:val="00CE7739"/>
    <w:rsid w:val="00CE7D3F"/>
    <w:rsid w:val="00CF0706"/>
    <w:rsid w:val="00CF072D"/>
    <w:rsid w:val="00CF1606"/>
    <w:rsid w:val="00CF188C"/>
    <w:rsid w:val="00CF19FA"/>
    <w:rsid w:val="00CF1B9E"/>
    <w:rsid w:val="00CF23BC"/>
    <w:rsid w:val="00CF2508"/>
    <w:rsid w:val="00CF2692"/>
    <w:rsid w:val="00CF2841"/>
    <w:rsid w:val="00CF28DE"/>
    <w:rsid w:val="00CF2D62"/>
    <w:rsid w:val="00CF2D99"/>
    <w:rsid w:val="00CF2ECE"/>
    <w:rsid w:val="00CF39E5"/>
    <w:rsid w:val="00CF3AB5"/>
    <w:rsid w:val="00CF41BF"/>
    <w:rsid w:val="00CF43B1"/>
    <w:rsid w:val="00CF4E55"/>
    <w:rsid w:val="00CF50E0"/>
    <w:rsid w:val="00CF595B"/>
    <w:rsid w:val="00CF6A97"/>
    <w:rsid w:val="00CF6EC5"/>
    <w:rsid w:val="00CF738B"/>
    <w:rsid w:val="00CF7DFB"/>
    <w:rsid w:val="00D000F1"/>
    <w:rsid w:val="00D0077D"/>
    <w:rsid w:val="00D00CE4"/>
    <w:rsid w:val="00D00D92"/>
    <w:rsid w:val="00D01074"/>
    <w:rsid w:val="00D012F2"/>
    <w:rsid w:val="00D014A4"/>
    <w:rsid w:val="00D01CA2"/>
    <w:rsid w:val="00D01CEC"/>
    <w:rsid w:val="00D01F06"/>
    <w:rsid w:val="00D0214E"/>
    <w:rsid w:val="00D02256"/>
    <w:rsid w:val="00D02AAA"/>
    <w:rsid w:val="00D031F8"/>
    <w:rsid w:val="00D03A26"/>
    <w:rsid w:val="00D03D25"/>
    <w:rsid w:val="00D03F40"/>
    <w:rsid w:val="00D03FB5"/>
    <w:rsid w:val="00D040B9"/>
    <w:rsid w:val="00D04ED2"/>
    <w:rsid w:val="00D06890"/>
    <w:rsid w:val="00D06995"/>
    <w:rsid w:val="00D06BF7"/>
    <w:rsid w:val="00D073AE"/>
    <w:rsid w:val="00D07FEC"/>
    <w:rsid w:val="00D10214"/>
    <w:rsid w:val="00D102BD"/>
    <w:rsid w:val="00D103AD"/>
    <w:rsid w:val="00D11CC8"/>
    <w:rsid w:val="00D11E12"/>
    <w:rsid w:val="00D123FB"/>
    <w:rsid w:val="00D125A7"/>
    <w:rsid w:val="00D12857"/>
    <w:rsid w:val="00D128BD"/>
    <w:rsid w:val="00D12E8E"/>
    <w:rsid w:val="00D1325D"/>
    <w:rsid w:val="00D1370E"/>
    <w:rsid w:val="00D144FE"/>
    <w:rsid w:val="00D14E04"/>
    <w:rsid w:val="00D14F3F"/>
    <w:rsid w:val="00D15832"/>
    <w:rsid w:val="00D161BA"/>
    <w:rsid w:val="00D16750"/>
    <w:rsid w:val="00D170F4"/>
    <w:rsid w:val="00D172CE"/>
    <w:rsid w:val="00D178F2"/>
    <w:rsid w:val="00D17F18"/>
    <w:rsid w:val="00D20486"/>
    <w:rsid w:val="00D209C4"/>
    <w:rsid w:val="00D217CA"/>
    <w:rsid w:val="00D22843"/>
    <w:rsid w:val="00D22AE4"/>
    <w:rsid w:val="00D22EEF"/>
    <w:rsid w:val="00D23118"/>
    <w:rsid w:val="00D234CB"/>
    <w:rsid w:val="00D23ACD"/>
    <w:rsid w:val="00D251F1"/>
    <w:rsid w:val="00D2527D"/>
    <w:rsid w:val="00D25B77"/>
    <w:rsid w:val="00D263A2"/>
    <w:rsid w:val="00D26A0C"/>
    <w:rsid w:val="00D26BD3"/>
    <w:rsid w:val="00D277EA"/>
    <w:rsid w:val="00D30067"/>
    <w:rsid w:val="00D306D6"/>
    <w:rsid w:val="00D315C4"/>
    <w:rsid w:val="00D31639"/>
    <w:rsid w:val="00D318B1"/>
    <w:rsid w:val="00D31BE7"/>
    <w:rsid w:val="00D31F5C"/>
    <w:rsid w:val="00D32AAA"/>
    <w:rsid w:val="00D32D33"/>
    <w:rsid w:val="00D3332A"/>
    <w:rsid w:val="00D3391A"/>
    <w:rsid w:val="00D33BD4"/>
    <w:rsid w:val="00D33DCB"/>
    <w:rsid w:val="00D34129"/>
    <w:rsid w:val="00D342B5"/>
    <w:rsid w:val="00D3454F"/>
    <w:rsid w:val="00D34589"/>
    <w:rsid w:val="00D34DAD"/>
    <w:rsid w:val="00D34FAB"/>
    <w:rsid w:val="00D3506E"/>
    <w:rsid w:val="00D3575A"/>
    <w:rsid w:val="00D357EE"/>
    <w:rsid w:val="00D35DAE"/>
    <w:rsid w:val="00D365F8"/>
    <w:rsid w:val="00D3685A"/>
    <w:rsid w:val="00D36954"/>
    <w:rsid w:val="00D370E2"/>
    <w:rsid w:val="00D37CB0"/>
    <w:rsid w:val="00D40CD5"/>
    <w:rsid w:val="00D40F44"/>
    <w:rsid w:val="00D41A8B"/>
    <w:rsid w:val="00D41E9C"/>
    <w:rsid w:val="00D41FC5"/>
    <w:rsid w:val="00D41FFF"/>
    <w:rsid w:val="00D42100"/>
    <w:rsid w:val="00D4285E"/>
    <w:rsid w:val="00D42B65"/>
    <w:rsid w:val="00D42C71"/>
    <w:rsid w:val="00D42D7A"/>
    <w:rsid w:val="00D42EEE"/>
    <w:rsid w:val="00D4318A"/>
    <w:rsid w:val="00D441B7"/>
    <w:rsid w:val="00D441D3"/>
    <w:rsid w:val="00D444BD"/>
    <w:rsid w:val="00D44668"/>
    <w:rsid w:val="00D44B6B"/>
    <w:rsid w:val="00D44B9C"/>
    <w:rsid w:val="00D45349"/>
    <w:rsid w:val="00D4537F"/>
    <w:rsid w:val="00D45637"/>
    <w:rsid w:val="00D458F2"/>
    <w:rsid w:val="00D45EA3"/>
    <w:rsid w:val="00D47786"/>
    <w:rsid w:val="00D47EB7"/>
    <w:rsid w:val="00D50A54"/>
    <w:rsid w:val="00D50B85"/>
    <w:rsid w:val="00D50C1A"/>
    <w:rsid w:val="00D512F8"/>
    <w:rsid w:val="00D51357"/>
    <w:rsid w:val="00D515E8"/>
    <w:rsid w:val="00D51B7E"/>
    <w:rsid w:val="00D51D10"/>
    <w:rsid w:val="00D523FB"/>
    <w:rsid w:val="00D526D2"/>
    <w:rsid w:val="00D52DAD"/>
    <w:rsid w:val="00D52F44"/>
    <w:rsid w:val="00D530B9"/>
    <w:rsid w:val="00D535AE"/>
    <w:rsid w:val="00D54385"/>
    <w:rsid w:val="00D558DE"/>
    <w:rsid w:val="00D55A8F"/>
    <w:rsid w:val="00D55E92"/>
    <w:rsid w:val="00D56664"/>
    <w:rsid w:val="00D566B5"/>
    <w:rsid w:val="00D56E1C"/>
    <w:rsid w:val="00D571DF"/>
    <w:rsid w:val="00D57E94"/>
    <w:rsid w:val="00D60A6B"/>
    <w:rsid w:val="00D60C7B"/>
    <w:rsid w:val="00D60F79"/>
    <w:rsid w:val="00D6101F"/>
    <w:rsid w:val="00D614EC"/>
    <w:rsid w:val="00D62040"/>
    <w:rsid w:val="00D6235A"/>
    <w:rsid w:val="00D62844"/>
    <w:rsid w:val="00D62D8C"/>
    <w:rsid w:val="00D62FA7"/>
    <w:rsid w:val="00D63028"/>
    <w:rsid w:val="00D63256"/>
    <w:rsid w:val="00D63856"/>
    <w:rsid w:val="00D63FE6"/>
    <w:rsid w:val="00D6465E"/>
    <w:rsid w:val="00D646B2"/>
    <w:rsid w:val="00D65286"/>
    <w:rsid w:val="00D6555A"/>
    <w:rsid w:val="00D662AF"/>
    <w:rsid w:val="00D6635C"/>
    <w:rsid w:val="00D6639C"/>
    <w:rsid w:val="00D6674A"/>
    <w:rsid w:val="00D673B5"/>
    <w:rsid w:val="00D675E8"/>
    <w:rsid w:val="00D67E8F"/>
    <w:rsid w:val="00D702AB"/>
    <w:rsid w:val="00D70621"/>
    <w:rsid w:val="00D7071F"/>
    <w:rsid w:val="00D70743"/>
    <w:rsid w:val="00D709D4"/>
    <w:rsid w:val="00D70DF8"/>
    <w:rsid w:val="00D70E95"/>
    <w:rsid w:val="00D717B5"/>
    <w:rsid w:val="00D718B6"/>
    <w:rsid w:val="00D71E0B"/>
    <w:rsid w:val="00D726C9"/>
    <w:rsid w:val="00D72995"/>
    <w:rsid w:val="00D72F9B"/>
    <w:rsid w:val="00D73218"/>
    <w:rsid w:val="00D738E9"/>
    <w:rsid w:val="00D73D20"/>
    <w:rsid w:val="00D748F4"/>
    <w:rsid w:val="00D74BB4"/>
    <w:rsid w:val="00D761B0"/>
    <w:rsid w:val="00D7655F"/>
    <w:rsid w:val="00D7695F"/>
    <w:rsid w:val="00D76EEA"/>
    <w:rsid w:val="00D76F5D"/>
    <w:rsid w:val="00D8092A"/>
    <w:rsid w:val="00D80DEB"/>
    <w:rsid w:val="00D80DF5"/>
    <w:rsid w:val="00D811D6"/>
    <w:rsid w:val="00D819CE"/>
    <w:rsid w:val="00D81CBB"/>
    <w:rsid w:val="00D8235D"/>
    <w:rsid w:val="00D82449"/>
    <w:rsid w:val="00D826F5"/>
    <w:rsid w:val="00D82D51"/>
    <w:rsid w:val="00D84588"/>
    <w:rsid w:val="00D84EAB"/>
    <w:rsid w:val="00D84F03"/>
    <w:rsid w:val="00D85022"/>
    <w:rsid w:val="00D8522D"/>
    <w:rsid w:val="00D85C26"/>
    <w:rsid w:val="00D85F82"/>
    <w:rsid w:val="00D8650C"/>
    <w:rsid w:val="00D8677E"/>
    <w:rsid w:val="00D87554"/>
    <w:rsid w:val="00D87B88"/>
    <w:rsid w:val="00D87BF1"/>
    <w:rsid w:val="00D9007F"/>
    <w:rsid w:val="00D901F6"/>
    <w:rsid w:val="00D90EA7"/>
    <w:rsid w:val="00D9115A"/>
    <w:rsid w:val="00D920F9"/>
    <w:rsid w:val="00D928F3"/>
    <w:rsid w:val="00D92F0D"/>
    <w:rsid w:val="00D932BF"/>
    <w:rsid w:val="00D93494"/>
    <w:rsid w:val="00D93712"/>
    <w:rsid w:val="00D93A77"/>
    <w:rsid w:val="00D93E05"/>
    <w:rsid w:val="00D94217"/>
    <w:rsid w:val="00D94B72"/>
    <w:rsid w:val="00D955A7"/>
    <w:rsid w:val="00D9577A"/>
    <w:rsid w:val="00D95A53"/>
    <w:rsid w:val="00D95C9A"/>
    <w:rsid w:val="00D95E3B"/>
    <w:rsid w:val="00D96220"/>
    <w:rsid w:val="00D968DA"/>
    <w:rsid w:val="00D969A1"/>
    <w:rsid w:val="00D96FB2"/>
    <w:rsid w:val="00D96FD7"/>
    <w:rsid w:val="00D97168"/>
    <w:rsid w:val="00D97211"/>
    <w:rsid w:val="00D9740D"/>
    <w:rsid w:val="00D979DA"/>
    <w:rsid w:val="00D97E94"/>
    <w:rsid w:val="00D97F5D"/>
    <w:rsid w:val="00D97F99"/>
    <w:rsid w:val="00DA02D2"/>
    <w:rsid w:val="00DA038E"/>
    <w:rsid w:val="00DA03F3"/>
    <w:rsid w:val="00DA05CF"/>
    <w:rsid w:val="00DA0747"/>
    <w:rsid w:val="00DA0A29"/>
    <w:rsid w:val="00DA0C2D"/>
    <w:rsid w:val="00DA12A0"/>
    <w:rsid w:val="00DA145F"/>
    <w:rsid w:val="00DA19E4"/>
    <w:rsid w:val="00DA2136"/>
    <w:rsid w:val="00DA3CC9"/>
    <w:rsid w:val="00DA3DB6"/>
    <w:rsid w:val="00DA3FC6"/>
    <w:rsid w:val="00DA418C"/>
    <w:rsid w:val="00DA4770"/>
    <w:rsid w:val="00DA47BD"/>
    <w:rsid w:val="00DA4BC3"/>
    <w:rsid w:val="00DA4D2B"/>
    <w:rsid w:val="00DA4D69"/>
    <w:rsid w:val="00DA4F77"/>
    <w:rsid w:val="00DA517D"/>
    <w:rsid w:val="00DA5291"/>
    <w:rsid w:val="00DA5318"/>
    <w:rsid w:val="00DA5651"/>
    <w:rsid w:val="00DA5B70"/>
    <w:rsid w:val="00DA5E7B"/>
    <w:rsid w:val="00DA5FD7"/>
    <w:rsid w:val="00DA66A6"/>
    <w:rsid w:val="00DA6B46"/>
    <w:rsid w:val="00DA6B79"/>
    <w:rsid w:val="00DA6DC9"/>
    <w:rsid w:val="00DA6E49"/>
    <w:rsid w:val="00DA75B0"/>
    <w:rsid w:val="00DB00FD"/>
    <w:rsid w:val="00DB0756"/>
    <w:rsid w:val="00DB0947"/>
    <w:rsid w:val="00DB13AF"/>
    <w:rsid w:val="00DB13E6"/>
    <w:rsid w:val="00DB1601"/>
    <w:rsid w:val="00DB2323"/>
    <w:rsid w:val="00DB2566"/>
    <w:rsid w:val="00DB2B1B"/>
    <w:rsid w:val="00DB2DB7"/>
    <w:rsid w:val="00DB2FF2"/>
    <w:rsid w:val="00DB3042"/>
    <w:rsid w:val="00DB3159"/>
    <w:rsid w:val="00DB32CE"/>
    <w:rsid w:val="00DB334B"/>
    <w:rsid w:val="00DB3399"/>
    <w:rsid w:val="00DB33A9"/>
    <w:rsid w:val="00DB3594"/>
    <w:rsid w:val="00DB41F7"/>
    <w:rsid w:val="00DB4ED7"/>
    <w:rsid w:val="00DB53E0"/>
    <w:rsid w:val="00DB540A"/>
    <w:rsid w:val="00DB55DE"/>
    <w:rsid w:val="00DB55FE"/>
    <w:rsid w:val="00DB56F6"/>
    <w:rsid w:val="00DB64D2"/>
    <w:rsid w:val="00DB6598"/>
    <w:rsid w:val="00DB6627"/>
    <w:rsid w:val="00DB6901"/>
    <w:rsid w:val="00DB6B1A"/>
    <w:rsid w:val="00DB7053"/>
    <w:rsid w:val="00DB73F1"/>
    <w:rsid w:val="00DB76B3"/>
    <w:rsid w:val="00DB7BFD"/>
    <w:rsid w:val="00DB7DB7"/>
    <w:rsid w:val="00DC01BF"/>
    <w:rsid w:val="00DC0ED8"/>
    <w:rsid w:val="00DC0FEF"/>
    <w:rsid w:val="00DC1896"/>
    <w:rsid w:val="00DC27B9"/>
    <w:rsid w:val="00DC2E9D"/>
    <w:rsid w:val="00DC3822"/>
    <w:rsid w:val="00DC3827"/>
    <w:rsid w:val="00DC3CF2"/>
    <w:rsid w:val="00DC4000"/>
    <w:rsid w:val="00DC41AC"/>
    <w:rsid w:val="00DC42B3"/>
    <w:rsid w:val="00DC4DD3"/>
    <w:rsid w:val="00DC51FD"/>
    <w:rsid w:val="00DC5854"/>
    <w:rsid w:val="00DC58FA"/>
    <w:rsid w:val="00DC5F02"/>
    <w:rsid w:val="00DC60EC"/>
    <w:rsid w:val="00DC611B"/>
    <w:rsid w:val="00DC61AB"/>
    <w:rsid w:val="00DC64F1"/>
    <w:rsid w:val="00DC682B"/>
    <w:rsid w:val="00DC6B08"/>
    <w:rsid w:val="00DC6F2D"/>
    <w:rsid w:val="00DC76C9"/>
    <w:rsid w:val="00DC7F45"/>
    <w:rsid w:val="00DD0534"/>
    <w:rsid w:val="00DD068B"/>
    <w:rsid w:val="00DD0B00"/>
    <w:rsid w:val="00DD0BF4"/>
    <w:rsid w:val="00DD0FF9"/>
    <w:rsid w:val="00DD1219"/>
    <w:rsid w:val="00DD1586"/>
    <w:rsid w:val="00DD16E8"/>
    <w:rsid w:val="00DD2340"/>
    <w:rsid w:val="00DD27D3"/>
    <w:rsid w:val="00DD2FB3"/>
    <w:rsid w:val="00DD328E"/>
    <w:rsid w:val="00DD3295"/>
    <w:rsid w:val="00DD3649"/>
    <w:rsid w:val="00DD3C45"/>
    <w:rsid w:val="00DD3F4D"/>
    <w:rsid w:val="00DD463A"/>
    <w:rsid w:val="00DD49F3"/>
    <w:rsid w:val="00DD4E60"/>
    <w:rsid w:val="00DD4EBA"/>
    <w:rsid w:val="00DD524B"/>
    <w:rsid w:val="00DD5719"/>
    <w:rsid w:val="00DD5D53"/>
    <w:rsid w:val="00DD632C"/>
    <w:rsid w:val="00DD63D3"/>
    <w:rsid w:val="00DD6803"/>
    <w:rsid w:val="00DD69BC"/>
    <w:rsid w:val="00DD6BF1"/>
    <w:rsid w:val="00DD7247"/>
    <w:rsid w:val="00DD73D4"/>
    <w:rsid w:val="00DD75A0"/>
    <w:rsid w:val="00DD7AF7"/>
    <w:rsid w:val="00DE0260"/>
    <w:rsid w:val="00DE13FD"/>
    <w:rsid w:val="00DE14F1"/>
    <w:rsid w:val="00DE222C"/>
    <w:rsid w:val="00DE2CB1"/>
    <w:rsid w:val="00DE3118"/>
    <w:rsid w:val="00DE34BB"/>
    <w:rsid w:val="00DE384F"/>
    <w:rsid w:val="00DE4670"/>
    <w:rsid w:val="00DE47A8"/>
    <w:rsid w:val="00DE50DC"/>
    <w:rsid w:val="00DE5335"/>
    <w:rsid w:val="00DE549C"/>
    <w:rsid w:val="00DE5A1F"/>
    <w:rsid w:val="00DE62F7"/>
    <w:rsid w:val="00DE6546"/>
    <w:rsid w:val="00DE6E40"/>
    <w:rsid w:val="00DE73E9"/>
    <w:rsid w:val="00DE7C57"/>
    <w:rsid w:val="00DE7D1E"/>
    <w:rsid w:val="00DF00C0"/>
    <w:rsid w:val="00DF05EE"/>
    <w:rsid w:val="00DF06D6"/>
    <w:rsid w:val="00DF0787"/>
    <w:rsid w:val="00DF14BB"/>
    <w:rsid w:val="00DF15BD"/>
    <w:rsid w:val="00DF2334"/>
    <w:rsid w:val="00DF2706"/>
    <w:rsid w:val="00DF2BB7"/>
    <w:rsid w:val="00DF3814"/>
    <w:rsid w:val="00DF44E1"/>
    <w:rsid w:val="00DF4B27"/>
    <w:rsid w:val="00DF53FB"/>
    <w:rsid w:val="00DF6661"/>
    <w:rsid w:val="00DF775B"/>
    <w:rsid w:val="00E005B4"/>
    <w:rsid w:val="00E00611"/>
    <w:rsid w:val="00E012B8"/>
    <w:rsid w:val="00E01481"/>
    <w:rsid w:val="00E01DEC"/>
    <w:rsid w:val="00E02748"/>
    <w:rsid w:val="00E02D76"/>
    <w:rsid w:val="00E02D8D"/>
    <w:rsid w:val="00E030AA"/>
    <w:rsid w:val="00E030C3"/>
    <w:rsid w:val="00E033CF"/>
    <w:rsid w:val="00E03421"/>
    <w:rsid w:val="00E039E8"/>
    <w:rsid w:val="00E04494"/>
    <w:rsid w:val="00E04744"/>
    <w:rsid w:val="00E05925"/>
    <w:rsid w:val="00E05EB0"/>
    <w:rsid w:val="00E060AD"/>
    <w:rsid w:val="00E06C02"/>
    <w:rsid w:val="00E06FAD"/>
    <w:rsid w:val="00E071FF"/>
    <w:rsid w:val="00E072ED"/>
    <w:rsid w:val="00E078B9"/>
    <w:rsid w:val="00E108C7"/>
    <w:rsid w:val="00E1091B"/>
    <w:rsid w:val="00E1099E"/>
    <w:rsid w:val="00E10BEA"/>
    <w:rsid w:val="00E1137F"/>
    <w:rsid w:val="00E11CAF"/>
    <w:rsid w:val="00E1258A"/>
    <w:rsid w:val="00E12742"/>
    <w:rsid w:val="00E12AE9"/>
    <w:rsid w:val="00E12B79"/>
    <w:rsid w:val="00E12E12"/>
    <w:rsid w:val="00E13026"/>
    <w:rsid w:val="00E13127"/>
    <w:rsid w:val="00E136FA"/>
    <w:rsid w:val="00E1392E"/>
    <w:rsid w:val="00E13BF7"/>
    <w:rsid w:val="00E141E1"/>
    <w:rsid w:val="00E14202"/>
    <w:rsid w:val="00E1453A"/>
    <w:rsid w:val="00E1611F"/>
    <w:rsid w:val="00E16347"/>
    <w:rsid w:val="00E163F4"/>
    <w:rsid w:val="00E16713"/>
    <w:rsid w:val="00E1782F"/>
    <w:rsid w:val="00E1789F"/>
    <w:rsid w:val="00E17A54"/>
    <w:rsid w:val="00E17F20"/>
    <w:rsid w:val="00E17F3D"/>
    <w:rsid w:val="00E203E0"/>
    <w:rsid w:val="00E20D47"/>
    <w:rsid w:val="00E21225"/>
    <w:rsid w:val="00E212D3"/>
    <w:rsid w:val="00E214FB"/>
    <w:rsid w:val="00E21638"/>
    <w:rsid w:val="00E2168F"/>
    <w:rsid w:val="00E219A6"/>
    <w:rsid w:val="00E221D2"/>
    <w:rsid w:val="00E224C1"/>
    <w:rsid w:val="00E2279D"/>
    <w:rsid w:val="00E22A19"/>
    <w:rsid w:val="00E23880"/>
    <w:rsid w:val="00E23973"/>
    <w:rsid w:val="00E23A0E"/>
    <w:rsid w:val="00E23A15"/>
    <w:rsid w:val="00E23E80"/>
    <w:rsid w:val="00E24DD2"/>
    <w:rsid w:val="00E251D9"/>
    <w:rsid w:val="00E25295"/>
    <w:rsid w:val="00E25680"/>
    <w:rsid w:val="00E2586D"/>
    <w:rsid w:val="00E259F7"/>
    <w:rsid w:val="00E26AE0"/>
    <w:rsid w:val="00E26D03"/>
    <w:rsid w:val="00E30148"/>
    <w:rsid w:val="00E3028C"/>
    <w:rsid w:val="00E3033F"/>
    <w:rsid w:val="00E30491"/>
    <w:rsid w:val="00E3050E"/>
    <w:rsid w:val="00E3061C"/>
    <w:rsid w:val="00E31518"/>
    <w:rsid w:val="00E31579"/>
    <w:rsid w:val="00E31669"/>
    <w:rsid w:val="00E31886"/>
    <w:rsid w:val="00E31FB4"/>
    <w:rsid w:val="00E31FC1"/>
    <w:rsid w:val="00E329E7"/>
    <w:rsid w:val="00E32D5D"/>
    <w:rsid w:val="00E33176"/>
    <w:rsid w:val="00E33B0F"/>
    <w:rsid w:val="00E34194"/>
    <w:rsid w:val="00E3424D"/>
    <w:rsid w:val="00E344AC"/>
    <w:rsid w:val="00E34C5A"/>
    <w:rsid w:val="00E359A9"/>
    <w:rsid w:val="00E37046"/>
    <w:rsid w:val="00E37499"/>
    <w:rsid w:val="00E37FC1"/>
    <w:rsid w:val="00E40027"/>
    <w:rsid w:val="00E406E9"/>
    <w:rsid w:val="00E42235"/>
    <w:rsid w:val="00E42F08"/>
    <w:rsid w:val="00E42FAA"/>
    <w:rsid w:val="00E431F8"/>
    <w:rsid w:val="00E43751"/>
    <w:rsid w:val="00E4391A"/>
    <w:rsid w:val="00E439FD"/>
    <w:rsid w:val="00E43AE1"/>
    <w:rsid w:val="00E43D08"/>
    <w:rsid w:val="00E43DDF"/>
    <w:rsid w:val="00E4469F"/>
    <w:rsid w:val="00E44910"/>
    <w:rsid w:val="00E4496A"/>
    <w:rsid w:val="00E449A5"/>
    <w:rsid w:val="00E4546E"/>
    <w:rsid w:val="00E455E7"/>
    <w:rsid w:val="00E45DF0"/>
    <w:rsid w:val="00E46186"/>
    <w:rsid w:val="00E4674D"/>
    <w:rsid w:val="00E46A6C"/>
    <w:rsid w:val="00E46C0D"/>
    <w:rsid w:val="00E46E11"/>
    <w:rsid w:val="00E4722D"/>
    <w:rsid w:val="00E47529"/>
    <w:rsid w:val="00E47793"/>
    <w:rsid w:val="00E4799F"/>
    <w:rsid w:val="00E47CBB"/>
    <w:rsid w:val="00E50828"/>
    <w:rsid w:val="00E50D32"/>
    <w:rsid w:val="00E50DD9"/>
    <w:rsid w:val="00E511B9"/>
    <w:rsid w:val="00E515ED"/>
    <w:rsid w:val="00E5196E"/>
    <w:rsid w:val="00E51C4A"/>
    <w:rsid w:val="00E51F4F"/>
    <w:rsid w:val="00E52374"/>
    <w:rsid w:val="00E52379"/>
    <w:rsid w:val="00E523B0"/>
    <w:rsid w:val="00E52904"/>
    <w:rsid w:val="00E52F62"/>
    <w:rsid w:val="00E53060"/>
    <w:rsid w:val="00E53265"/>
    <w:rsid w:val="00E53378"/>
    <w:rsid w:val="00E53675"/>
    <w:rsid w:val="00E53F32"/>
    <w:rsid w:val="00E546F0"/>
    <w:rsid w:val="00E54805"/>
    <w:rsid w:val="00E54A2A"/>
    <w:rsid w:val="00E54C08"/>
    <w:rsid w:val="00E5580C"/>
    <w:rsid w:val="00E559B1"/>
    <w:rsid w:val="00E55D5F"/>
    <w:rsid w:val="00E55F0D"/>
    <w:rsid w:val="00E56013"/>
    <w:rsid w:val="00E56168"/>
    <w:rsid w:val="00E56966"/>
    <w:rsid w:val="00E56C05"/>
    <w:rsid w:val="00E56CB6"/>
    <w:rsid w:val="00E56F79"/>
    <w:rsid w:val="00E56FA8"/>
    <w:rsid w:val="00E57834"/>
    <w:rsid w:val="00E5790D"/>
    <w:rsid w:val="00E57BDD"/>
    <w:rsid w:val="00E57D36"/>
    <w:rsid w:val="00E60D30"/>
    <w:rsid w:val="00E6155D"/>
    <w:rsid w:val="00E6236A"/>
    <w:rsid w:val="00E623D9"/>
    <w:rsid w:val="00E6289A"/>
    <w:rsid w:val="00E63135"/>
    <w:rsid w:val="00E6324E"/>
    <w:rsid w:val="00E634FE"/>
    <w:rsid w:val="00E639E7"/>
    <w:rsid w:val="00E642AE"/>
    <w:rsid w:val="00E643EA"/>
    <w:rsid w:val="00E64E08"/>
    <w:rsid w:val="00E64F5E"/>
    <w:rsid w:val="00E652BF"/>
    <w:rsid w:val="00E65B85"/>
    <w:rsid w:val="00E664CC"/>
    <w:rsid w:val="00E66699"/>
    <w:rsid w:val="00E667D7"/>
    <w:rsid w:val="00E66884"/>
    <w:rsid w:val="00E67583"/>
    <w:rsid w:val="00E675CD"/>
    <w:rsid w:val="00E679F5"/>
    <w:rsid w:val="00E67B01"/>
    <w:rsid w:val="00E70162"/>
    <w:rsid w:val="00E7061A"/>
    <w:rsid w:val="00E7082C"/>
    <w:rsid w:val="00E71A7C"/>
    <w:rsid w:val="00E72018"/>
    <w:rsid w:val="00E721D6"/>
    <w:rsid w:val="00E728B2"/>
    <w:rsid w:val="00E730D3"/>
    <w:rsid w:val="00E73A11"/>
    <w:rsid w:val="00E73AB1"/>
    <w:rsid w:val="00E74313"/>
    <w:rsid w:val="00E7454D"/>
    <w:rsid w:val="00E7460F"/>
    <w:rsid w:val="00E756E9"/>
    <w:rsid w:val="00E758FD"/>
    <w:rsid w:val="00E759E2"/>
    <w:rsid w:val="00E75A7D"/>
    <w:rsid w:val="00E75B29"/>
    <w:rsid w:val="00E75B33"/>
    <w:rsid w:val="00E76C01"/>
    <w:rsid w:val="00E772AB"/>
    <w:rsid w:val="00E772FD"/>
    <w:rsid w:val="00E773BA"/>
    <w:rsid w:val="00E77AB3"/>
    <w:rsid w:val="00E805CA"/>
    <w:rsid w:val="00E80605"/>
    <w:rsid w:val="00E80703"/>
    <w:rsid w:val="00E815B8"/>
    <w:rsid w:val="00E81FDE"/>
    <w:rsid w:val="00E829A3"/>
    <w:rsid w:val="00E8339A"/>
    <w:rsid w:val="00E83842"/>
    <w:rsid w:val="00E83F12"/>
    <w:rsid w:val="00E84468"/>
    <w:rsid w:val="00E849C2"/>
    <w:rsid w:val="00E84E39"/>
    <w:rsid w:val="00E85180"/>
    <w:rsid w:val="00E854F8"/>
    <w:rsid w:val="00E8580A"/>
    <w:rsid w:val="00E862BB"/>
    <w:rsid w:val="00E86423"/>
    <w:rsid w:val="00E86CEB"/>
    <w:rsid w:val="00E870A8"/>
    <w:rsid w:val="00E87A66"/>
    <w:rsid w:val="00E87AC4"/>
    <w:rsid w:val="00E90170"/>
    <w:rsid w:val="00E90251"/>
    <w:rsid w:val="00E9144C"/>
    <w:rsid w:val="00E91626"/>
    <w:rsid w:val="00E91CBE"/>
    <w:rsid w:val="00E92C66"/>
    <w:rsid w:val="00E92EDC"/>
    <w:rsid w:val="00E938E4"/>
    <w:rsid w:val="00E93C1B"/>
    <w:rsid w:val="00E93E38"/>
    <w:rsid w:val="00E9488D"/>
    <w:rsid w:val="00E951BA"/>
    <w:rsid w:val="00E95247"/>
    <w:rsid w:val="00E954D9"/>
    <w:rsid w:val="00E96875"/>
    <w:rsid w:val="00E96B4C"/>
    <w:rsid w:val="00E970F9"/>
    <w:rsid w:val="00E97139"/>
    <w:rsid w:val="00E973E1"/>
    <w:rsid w:val="00E9758D"/>
    <w:rsid w:val="00E978F1"/>
    <w:rsid w:val="00E97A75"/>
    <w:rsid w:val="00E97B05"/>
    <w:rsid w:val="00E97C63"/>
    <w:rsid w:val="00EA00E4"/>
    <w:rsid w:val="00EA0174"/>
    <w:rsid w:val="00EA0F97"/>
    <w:rsid w:val="00EA0FA8"/>
    <w:rsid w:val="00EA1158"/>
    <w:rsid w:val="00EA1A8E"/>
    <w:rsid w:val="00EA1F90"/>
    <w:rsid w:val="00EA2040"/>
    <w:rsid w:val="00EA24D0"/>
    <w:rsid w:val="00EA26B1"/>
    <w:rsid w:val="00EA2AE2"/>
    <w:rsid w:val="00EA35F5"/>
    <w:rsid w:val="00EA3F6C"/>
    <w:rsid w:val="00EA41CF"/>
    <w:rsid w:val="00EA4E6B"/>
    <w:rsid w:val="00EA4FDA"/>
    <w:rsid w:val="00EA5B00"/>
    <w:rsid w:val="00EA641D"/>
    <w:rsid w:val="00EA658C"/>
    <w:rsid w:val="00EA6A21"/>
    <w:rsid w:val="00EA756B"/>
    <w:rsid w:val="00EA759D"/>
    <w:rsid w:val="00EA7782"/>
    <w:rsid w:val="00EA77D7"/>
    <w:rsid w:val="00EA79FD"/>
    <w:rsid w:val="00EA7B7E"/>
    <w:rsid w:val="00EB0002"/>
    <w:rsid w:val="00EB0071"/>
    <w:rsid w:val="00EB0376"/>
    <w:rsid w:val="00EB039C"/>
    <w:rsid w:val="00EB05BC"/>
    <w:rsid w:val="00EB0A2A"/>
    <w:rsid w:val="00EB0BDB"/>
    <w:rsid w:val="00EB0E70"/>
    <w:rsid w:val="00EB2108"/>
    <w:rsid w:val="00EB2C47"/>
    <w:rsid w:val="00EB300F"/>
    <w:rsid w:val="00EB3305"/>
    <w:rsid w:val="00EB3429"/>
    <w:rsid w:val="00EB3953"/>
    <w:rsid w:val="00EB3C50"/>
    <w:rsid w:val="00EB4342"/>
    <w:rsid w:val="00EB46D5"/>
    <w:rsid w:val="00EB4D20"/>
    <w:rsid w:val="00EB4D43"/>
    <w:rsid w:val="00EB5123"/>
    <w:rsid w:val="00EB51B2"/>
    <w:rsid w:val="00EB5298"/>
    <w:rsid w:val="00EB59F0"/>
    <w:rsid w:val="00EB5CCB"/>
    <w:rsid w:val="00EB5E1E"/>
    <w:rsid w:val="00EB5E5C"/>
    <w:rsid w:val="00EB680E"/>
    <w:rsid w:val="00EB6E74"/>
    <w:rsid w:val="00EB7332"/>
    <w:rsid w:val="00EB75E0"/>
    <w:rsid w:val="00EB78A9"/>
    <w:rsid w:val="00EB7939"/>
    <w:rsid w:val="00EB7A0D"/>
    <w:rsid w:val="00EB7B4D"/>
    <w:rsid w:val="00EB7BD0"/>
    <w:rsid w:val="00EB7D8B"/>
    <w:rsid w:val="00EB7ED1"/>
    <w:rsid w:val="00EC04ED"/>
    <w:rsid w:val="00EC09A7"/>
    <w:rsid w:val="00EC0D52"/>
    <w:rsid w:val="00EC1408"/>
    <w:rsid w:val="00EC1983"/>
    <w:rsid w:val="00EC1A54"/>
    <w:rsid w:val="00EC1C83"/>
    <w:rsid w:val="00EC1E0F"/>
    <w:rsid w:val="00EC2732"/>
    <w:rsid w:val="00EC2B94"/>
    <w:rsid w:val="00EC34EC"/>
    <w:rsid w:val="00EC424D"/>
    <w:rsid w:val="00EC4DB0"/>
    <w:rsid w:val="00EC5232"/>
    <w:rsid w:val="00EC54EA"/>
    <w:rsid w:val="00EC5907"/>
    <w:rsid w:val="00EC6528"/>
    <w:rsid w:val="00EC6FEE"/>
    <w:rsid w:val="00EC7A9E"/>
    <w:rsid w:val="00EC7E3B"/>
    <w:rsid w:val="00ED03D7"/>
    <w:rsid w:val="00ED0667"/>
    <w:rsid w:val="00ED093A"/>
    <w:rsid w:val="00ED0FA3"/>
    <w:rsid w:val="00ED1422"/>
    <w:rsid w:val="00ED1452"/>
    <w:rsid w:val="00ED1731"/>
    <w:rsid w:val="00ED1835"/>
    <w:rsid w:val="00ED186A"/>
    <w:rsid w:val="00ED1AF2"/>
    <w:rsid w:val="00ED1E2C"/>
    <w:rsid w:val="00ED1E40"/>
    <w:rsid w:val="00ED2076"/>
    <w:rsid w:val="00ED239A"/>
    <w:rsid w:val="00ED2616"/>
    <w:rsid w:val="00ED2D7F"/>
    <w:rsid w:val="00ED2F1B"/>
    <w:rsid w:val="00ED3470"/>
    <w:rsid w:val="00ED3E3F"/>
    <w:rsid w:val="00ED4101"/>
    <w:rsid w:val="00ED42FE"/>
    <w:rsid w:val="00ED44AE"/>
    <w:rsid w:val="00ED494E"/>
    <w:rsid w:val="00ED4AD0"/>
    <w:rsid w:val="00ED53A7"/>
    <w:rsid w:val="00ED5CC6"/>
    <w:rsid w:val="00ED60FB"/>
    <w:rsid w:val="00ED6545"/>
    <w:rsid w:val="00ED66FB"/>
    <w:rsid w:val="00ED6F0E"/>
    <w:rsid w:val="00ED6F26"/>
    <w:rsid w:val="00ED7D6F"/>
    <w:rsid w:val="00EE010D"/>
    <w:rsid w:val="00EE0230"/>
    <w:rsid w:val="00EE07C1"/>
    <w:rsid w:val="00EE0865"/>
    <w:rsid w:val="00EE0FDB"/>
    <w:rsid w:val="00EE1498"/>
    <w:rsid w:val="00EE1545"/>
    <w:rsid w:val="00EE1636"/>
    <w:rsid w:val="00EE18AC"/>
    <w:rsid w:val="00EE1BC0"/>
    <w:rsid w:val="00EE1C07"/>
    <w:rsid w:val="00EE2707"/>
    <w:rsid w:val="00EE276D"/>
    <w:rsid w:val="00EE2959"/>
    <w:rsid w:val="00EE2FCD"/>
    <w:rsid w:val="00EE3926"/>
    <w:rsid w:val="00EE3C3B"/>
    <w:rsid w:val="00EE3D96"/>
    <w:rsid w:val="00EE3ECE"/>
    <w:rsid w:val="00EE44F6"/>
    <w:rsid w:val="00EE451A"/>
    <w:rsid w:val="00EE4679"/>
    <w:rsid w:val="00EE4AA4"/>
    <w:rsid w:val="00EE4F07"/>
    <w:rsid w:val="00EE50C6"/>
    <w:rsid w:val="00EE521D"/>
    <w:rsid w:val="00EE5B65"/>
    <w:rsid w:val="00EE5E39"/>
    <w:rsid w:val="00EE6121"/>
    <w:rsid w:val="00EE699C"/>
    <w:rsid w:val="00EE6E95"/>
    <w:rsid w:val="00EE7BCB"/>
    <w:rsid w:val="00EE7D66"/>
    <w:rsid w:val="00EF0851"/>
    <w:rsid w:val="00EF0E84"/>
    <w:rsid w:val="00EF1167"/>
    <w:rsid w:val="00EF1255"/>
    <w:rsid w:val="00EF1D94"/>
    <w:rsid w:val="00EF1EA9"/>
    <w:rsid w:val="00EF24E3"/>
    <w:rsid w:val="00EF25DF"/>
    <w:rsid w:val="00EF266D"/>
    <w:rsid w:val="00EF27FB"/>
    <w:rsid w:val="00EF3230"/>
    <w:rsid w:val="00EF375B"/>
    <w:rsid w:val="00EF3D8C"/>
    <w:rsid w:val="00EF46E6"/>
    <w:rsid w:val="00EF4DDA"/>
    <w:rsid w:val="00EF4FA7"/>
    <w:rsid w:val="00EF5708"/>
    <w:rsid w:val="00EF5768"/>
    <w:rsid w:val="00EF5C20"/>
    <w:rsid w:val="00EF6041"/>
    <w:rsid w:val="00EF6077"/>
    <w:rsid w:val="00EF62C8"/>
    <w:rsid w:val="00EF6477"/>
    <w:rsid w:val="00EF656D"/>
    <w:rsid w:val="00EF6848"/>
    <w:rsid w:val="00EF6DF1"/>
    <w:rsid w:val="00EF6EED"/>
    <w:rsid w:val="00EF70BB"/>
    <w:rsid w:val="00EF71EA"/>
    <w:rsid w:val="00EF762D"/>
    <w:rsid w:val="00EF7813"/>
    <w:rsid w:val="00EF7C52"/>
    <w:rsid w:val="00EF7E9A"/>
    <w:rsid w:val="00F00871"/>
    <w:rsid w:val="00F00D63"/>
    <w:rsid w:val="00F015B6"/>
    <w:rsid w:val="00F016A3"/>
    <w:rsid w:val="00F019DD"/>
    <w:rsid w:val="00F01AD0"/>
    <w:rsid w:val="00F023E5"/>
    <w:rsid w:val="00F02697"/>
    <w:rsid w:val="00F0287E"/>
    <w:rsid w:val="00F0290D"/>
    <w:rsid w:val="00F03F4D"/>
    <w:rsid w:val="00F04645"/>
    <w:rsid w:val="00F047BA"/>
    <w:rsid w:val="00F04925"/>
    <w:rsid w:val="00F04DA8"/>
    <w:rsid w:val="00F04DE1"/>
    <w:rsid w:val="00F04ED2"/>
    <w:rsid w:val="00F06349"/>
    <w:rsid w:val="00F0648B"/>
    <w:rsid w:val="00F06AF7"/>
    <w:rsid w:val="00F06F32"/>
    <w:rsid w:val="00F06FE7"/>
    <w:rsid w:val="00F07881"/>
    <w:rsid w:val="00F07DC4"/>
    <w:rsid w:val="00F07FF4"/>
    <w:rsid w:val="00F10287"/>
    <w:rsid w:val="00F104EF"/>
    <w:rsid w:val="00F10C14"/>
    <w:rsid w:val="00F1144C"/>
    <w:rsid w:val="00F1164C"/>
    <w:rsid w:val="00F1189C"/>
    <w:rsid w:val="00F11C9C"/>
    <w:rsid w:val="00F121BD"/>
    <w:rsid w:val="00F131CE"/>
    <w:rsid w:val="00F132CF"/>
    <w:rsid w:val="00F1339E"/>
    <w:rsid w:val="00F14216"/>
    <w:rsid w:val="00F14227"/>
    <w:rsid w:val="00F14B0D"/>
    <w:rsid w:val="00F153DC"/>
    <w:rsid w:val="00F15734"/>
    <w:rsid w:val="00F15DBF"/>
    <w:rsid w:val="00F1656B"/>
    <w:rsid w:val="00F1659C"/>
    <w:rsid w:val="00F165B5"/>
    <w:rsid w:val="00F16C14"/>
    <w:rsid w:val="00F16C23"/>
    <w:rsid w:val="00F16C90"/>
    <w:rsid w:val="00F16C98"/>
    <w:rsid w:val="00F17D5E"/>
    <w:rsid w:val="00F17D7C"/>
    <w:rsid w:val="00F17DA8"/>
    <w:rsid w:val="00F201D2"/>
    <w:rsid w:val="00F20B94"/>
    <w:rsid w:val="00F20D73"/>
    <w:rsid w:val="00F20DA9"/>
    <w:rsid w:val="00F210FA"/>
    <w:rsid w:val="00F21361"/>
    <w:rsid w:val="00F21AA3"/>
    <w:rsid w:val="00F22431"/>
    <w:rsid w:val="00F22881"/>
    <w:rsid w:val="00F22F4D"/>
    <w:rsid w:val="00F230DF"/>
    <w:rsid w:val="00F23B44"/>
    <w:rsid w:val="00F24020"/>
    <w:rsid w:val="00F24238"/>
    <w:rsid w:val="00F24519"/>
    <w:rsid w:val="00F24652"/>
    <w:rsid w:val="00F248A6"/>
    <w:rsid w:val="00F25E4C"/>
    <w:rsid w:val="00F26D8C"/>
    <w:rsid w:val="00F30290"/>
    <w:rsid w:val="00F308B3"/>
    <w:rsid w:val="00F3110D"/>
    <w:rsid w:val="00F3140B"/>
    <w:rsid w:val="00F314CC"/>
    <w:rsid w:val="00F31600"/>
    <w:rsid w:val="00F31A0B"/>
    <w:rsid w:val="00F31FFF"/>
    <w:rsid w:val="00F3215B"/>
    <w:rsid w:val="00F325CD"/>
    <w:rsid w:val="00F33272"/>
    <w:rsid w:val="00F33F9F"/>
    <w:rsid w:val="00F3424A"/>
    <w:rsid w:val="00F3457B"/>
    <w:rsid w:val="00F348B3"/>
    <w:rsid w:val="00F35045"/>
    <w:rsid w:val="00F35622"/>
    <w:rsid w:val="00F35785"/>
    <w:rsid w:val="00F359F3"/>
    <w:rsid w:val="00F3613A"/>
    <w:rsid w:val="00F362B3"/>
    <w:rsid w:val="00F364F5"/>
    <w:rsid w:val="00F36538"/>
    <w:rsid w:val="00F3669E"/>
    <w:rsid w:val="00F36812"/>
    <w:rsid w:val="00F36A6D"/>
    <w:rsid w:val="00F370A1"/>
    <w:rsid w:val="00F3729C"/>
    <w:rsid w:val="00F376B6"/>
    <w:rsid w:val="00F37962"/>
    <w:rsid w:val="00F37C64"/>
    <w:rsid w:val="00F37D13"/>
    <w:rsid w:val="00F37DB1"/>
    <w:rsid w:val="00F37E36"/>
    <w:rsid w:val="00F408E2"/>
    <w:rsid w:val="00F40A10"/>
    <w:rsid w:val="00F40A80"/>
    <w:rsid w:val="00F40B1C"/>
    <w:rsid w:val="00F40B47"/>
    <w:rsid w:val="00F41372"/>
    <w:rsid w:val="00F41A58"/>
    <w:rsid w:val="00F4244D"/>
    <w:rsid w:val="00F42457"/>
    <w:rsid w:val="00F426C4"/>
    <w:rsid w:val="00F43E48"/>
    <w:rsid w:val="00F44C58"/>
    <w:rsid w:val="00F44FCA"/>
    <w:rsid w:val="00F4512D"/>
    <w:rsid w:val="00F45CA3"/>
    <w:rsid w:val="00F45F12"/>
    <w:rsid w:val="00F466ED"/>
    <w:rsid w:val="00F46D40"/>
    <w:rsid w:val="00F4706E"/>
    <w:rsid w:val="00F47EC8"/>
    <w:rsid w:val="00F47F3B"/>
    <w:rsid w:val="00F47FCD"/>
    <w:rsid w:val="00F47FCF"/>
    <w:rsid w:val="00F50810"/>
    <w:rsid w:val="00F510E0"/>
    <w:rsid w:val="00F51992"/>
    <w:rsid w:val="00F519E5"/>
    <w:rsid w:val="00F51E2C"/>
    <w:rsid w:val="00F521BF"/>
    <w:rsid w:val="00F52591"/>
    <w:rsid w:val="00F52669"/>
    <w:rsid w:val="00F52860"/>
    <w:rsid w:val="00F5309B"/>
    <w:rsid w:val="00F533E7"/>
    <w:rsid w:val="00F5355E"/>
    <w:rsid w:val="00F540F7"/>
    <w:rsid w:val="00F54307"/>
    <w:rsid w:val="00F546AF"/>
    <w:rsid w:val="00F54849"/>
    <w:rsid w:val="00F5489B"/>
    <w:rsid w:val="00F54A8B"/>
    <w:rsid w:val="00F568F8"/>
    <w:rsid w:val="00F56D0E"/>
    <w:rsid w:val="00F57436"/>
    <w:rsid w:val="00F57777"/>
    <w:rsid w:val="00F57C3F"/>
    <w:rsid w:val="00F57C86"/>
    <w:rsid w:val="00F61038"/>
    <w:rsid w:val="00F61E67"/>
    <w:rsid w:val="00F61FE4"/>
    <w:rsid w:val="00F625F1"/>
    <w:rsid w:val="00F62874"/>
    <w:rsid w:val="00F63006"/>
    <w:rsid w:val="00F633E3"/>
    <w:rsid w:val="00F6487D"/>
    <w:rsid w:val="00F64C8A"/>
    <w:rsid w:val="00F65138"/>
    <w:rsid w:val="00F6543E"/>
    <w:rsid w:val="00F65776"/>
    <w:rsid w:val="00F65E50"/>
    <w:rsid w:val="00F6609B"/>
    <w:rsid w:val="00F676E7"/>
    <w:rsid w:val="00F70214"/>
    <w:rsid w:val="00F706A9"/>
    <w:rsid w:val="00F709B4"/>
    <w:rsid w:val="00F70C67"/>
    <w:rsid w:val="00F70CDB"/>
    <w:rsid w:val="00F71108"/>
    <w:rsid w:val="00F7126F"/>
    <w:rsid w:val="00F7136E"/>
    <w:rsid w:val="00F71640"/>
    <w:rsid w:val="00F71E72"/>
    <w:rsid w:val="00F7292F"/>
    <w:rsid w:val="00F72C15"/>
    <w:rsid w:val="00F73EE2"/>
    <w:rsid w:val="00F7467C"/>
    <w:rsid w:val="00F75453"/>
    <w:rsid w:val="00F775D5"/>
    <w:rsid w:val="00F779F8"/>
    <w:rsid w:val="00F77D98"/>
    <w:rsid w:val="00F77E24"/>
    <w:rsid w:val="00F806DA"/>
    <w:rsid w:val="00F808D8"/>
    <w:rsid w:val="00F81128"/>
    <w:rsid w:val="00F811D2"/>
    <w:rsid w:val="00F81388"/>
    <w:rsid w:val="00F81412"/>
    <w:rsid w:val="00F821D8"/>
    <w:rsid w:val="00F82354"/>
    <w:rsid w:val="00F83113"/>
    <w:rsid w:val="00F833AF"/>
    <w:rsid w:val="00F83ACF"/>
    <w:rsid w:val="00F83B82"/>
    <w:rsid w:val="00F8467F"/>
    <w:rsid w:val="00F846BD"/>
    <w:rsid w:val="00F84AA8"/>
    <w:rsid w:val="00F86AD4"/>
    <w:rsid w:val="00F875BF"/>
    <w:rsid w:val="00F87881"/>
    <w:rsid w:val="00F87D6E"/>
    <w:rsid w:val="00F906DE"/>
    <w:rsid w:val="00F90BEC"/>
    <w:rsid w:val="00F911CF"/>
    <w:rsid w:val="00F9183B"/>
    <w:rsid w:val="00F91A4E"/>
    <w:rsid w:val="00F91ECE"/>
    <w:rsid w:val="00F91F74"/>
    <w:rsid w:val="00F92036"/>
    <w:rsid w:val="00F9206E"/>
    <w:rsid w:val="00F92686"/>
    <w:rsid w:val="00F92C44"/>
    <w:rsid w:val="00F9341B"/>
    <w:rsid w:val="00F936E9"/>
    <w:rsid w:val="00F93AC2"/>
    <w:rsid w:val="00F93B15"/>
    <w:rsid w:val="00F93C8A"/>
    <w:rsid w:val="00F93CC9"/>
    <w:rsid w:val="00F9439E"/>
    <w:rsid w:val="00F94CBE"/>
    <w:rsid w:val="00F95A55"/>
    <w:rsid w:val="00F96421"/>
    <w:rsid w:val="00F96839"/>
    <w:rsid w:val="00F9684F"/>
    <w:rsid w:val="00F97024"/>
    <w:rsid w:val="00F9745F"/>
    <w:rsid w:val="00F97519"/>
    <w:rsid w:val="00F97A14"/>
    <w:rsid w:val="00F97C3A"/>
    <w:rsid w:val="00F97F31"/>
    <w:rsid w:val="00FA04B3"/>
    <w:rsid w:val="00FA079E"/>
    <w:rsid w:val="00FA0CB7"/>
    <w:rsid w:val="00FA11D9"/>
    <w:rsid w:val="00FA13F2"/>
    <w:rsid w:val="00FA20CA"/>
    <w:rsid w:val="00FA21BA"/>
    <w:rsid w:val="00FA2F47"/>
    <w:rsid w:val="00FA3006"/>
    <w:rsid w:val="00FA346D"/>
    <w:rsid w:val="00FA3B30"/>
    <w:rsid w:val="00FA3E5C"/>
    <w:rsid w:val="00FA3EBF"/>
    <w:rsid w:val="00FA4407"/>
    <w:rsid w:val="00FA45FF"/>
    <w:rsid w:val="00FA4BE0"/>
    <w:rsid w:val="00FA4C32"/>
    <w:rsid w:val="00FA53DB"/>
    <w:rsid w:val="00FA59AD"/>
    <w:rsid w:val="00FA6A4A"/>
    <w:rsid w:val="00FA6A8B"/>
    <w:rsid w:val="00FA7123"/>
    <w:rsid w:val="00FA77B4"/>
    <w:rsid w:val="00FA7C86"/>
    <w:rsid w:val="00FA7EEB"/>
    <w:rsid w:val="00FB0581"/>
    <w:rsid w:val="00FB05D9"/>
    <w:rsid w:val="00FB0A7A"/>
    <w:rsid w:val="00FB0B88"/>
    <w:rsid w:val="00FB0C85"/>
    <w:rsid w:val="00FB0E18"/>
    <w:rsid w:val="00FB0EA8"/>
    <w:rsid w:val="00FB158A"/>
    <w:rsid w:val="00FB2295"/>
    <w:rsid w:val="00FB2334"/>
    <w:rsid w:val="00FB24EF"/>
    <w:rsid w:val="00FB2E30"/>
    <w:rsid w:val="00FB31AD"/>
    <w:rsid w:val="00FB35F7"/>
    <w:rsid w:val="00FB3876"/>
    <w:rsid w:val="00FB3C66"/>
    <w:rsid w:val="00FB3C76"/>
    <w:rsid w:val="00FB3D91"/>
    <w:rsid w:val="00FB4010"/>
    <w:rsid w:val="00FB408B"/>
    <w:rsid w:val="00FB634E"/>
    <w:rsid w:val="00FB65C7"/>
    <w:rsid w:val="00FB6EBB"/>
    <w:rsid w:val="00FB70CA"/>
    <w:rsid w:val="00FB72FA"/>
    <w:rsid w:val="00FB76B1"/>
    <w:rsid w:val="00FB77DF"/>
    <w:rsid w:val="00FB788F"/>
    <w:rsid w:val="00FB78AC"/>
    <w:rsid w:val="00FB7A02"/>
    <w:rsid w:val="00FC017E"/>
    <w:rsid w:val="00FC06B8"/>
    <w:rsid w:val="00FC0A11"/>
    <w:rsid w:val="00FC0C88"/>
    <w:rsid w:val="00FC1281"/>
    <w:rsid w:val="00FC150A"/>
    <w:rsid w:val="00FC152C"/>
    <w:rsid w:val="00FC1E1F"/>
    <w:rsid w:val="00FC2031"/>
    <w:rsid w:val="00FC2710"/>
    <w:rsid w:val="00FC2C2A"/>
    <w:rsid w:val="00FC2F84"/>
    <w:rsid w:val="00FC3555"/>
    <w:rsid w:val="00FC3A3E"/>
    <w:rsid w:val="00FC3D9B"/>
    <w:rsid w:val="00FC3F75"/>
    <w:rsid w:val="00FC42F1"/>
    <w:rsid w:val="00FC4CE8"/>
    <w:rsid w:val="00FC4E89"/>
    <w:rsid w:val="00FC5F63"/>
    <w:rsid w:val="00FC65A3"/>
    <w:rsid w:val="00FC67F2"/>
    <w:rsid w:val="00FC6D9F"/>
    <w:rsid w:val="00FC7256"/>
    <w:rsid w:val="00FC79D8"/>
    <w:rsid w:val="00FD001D"/>
    <w:rsid w:val="00FD1494"/>
    <w:rsid w:val="00FD278C"/>
    <w:rsid w:val="00FD2B7D"/>
    <w:rsid w:val="00FD3001"/>
    <w:rsid w:val="00FD3785"/>
    <w:rsid w:val="00FD41CB"/>
    <w:rsid w:val="00FD41FD"/>
    <w:rsid w:val="00FD4416"/>
    <w:rsid w:val="00FD4DF0"/>
    <w:rsid w:val="00FD506A"/>
    <w:rsid w:val="00FD534B"/>
    <w:rsid w:val="00FD5699"/>
    <w:rsid w:val="00FD599A"/>
    <w:rsid w:val="00FD5E97"/>
    <w:rsid w:val="00FD63DE"/>
    <w:rsid w:val="00FD6E64"/>
    <w:rsid w:val="00FD7033"/>
    <w:rsid w:val="00FD72A7"/>
    <w:rsid w:val="00FD7854"/>
    <w:rsid w:val="00FD79E6"/>
    <w:rsid w:val="00FD7F1D"/>
    <w:rsid w:val="00FE0A87"/>
    <w:rsid w:val="00FE0C11"/>
    <w:rsid w:val="00FE1A79"/>
    <w:rsid w:val="00FE1AEC"/>
    <w:rsid w:val="00FE1F54"/>
    <w:rsid w:val="00FE22D6"/>
    <w:rsid w:val="00FE2690"/>
    <w:rsid w:val="00FE2699"/>
    <w:rsid w:val="00FE2FD4"/>
    <w:rsid w:val="00FE3212"/>
    <w:rsid w:val="00FE36DE"/>
    <w:rsid w:val="00FE37EC"/>
    <w:rsid w:val="00FE3979"/>
    <w:rsid w:val="00FE3C95"/>
    <w:rsid w:val="00FE43A9"/>
    <w:rsid w:val="00FE4EF9"/>
    <w:rsid w:val="00FE50BD"/>
    <w:rsid w:val="00FE5133"/>
    <w:rsid w:val="00FE53FC"/>
    <w:rsid w:val="00FE573D"/>
    <w:rsid w:val="00FE5B85"/>
    <w:rsid w:val="00FE6039"/>
    <w:rsid w:val="00FE605B"/>
    <w:rsid w:val="00FE621B"/>
    <w:rsid w:val="00FE6631"/>
    <w:rsid w:val="00FE66F8"/>
    <w:rsid w:val="00FE6E88"/>
    <w:rsid w:val="00FE7E48"/>
    <w:rsid w:val="00FF039C"/>
    <w:rsid w:val="00FF0AE8"/>
    <w:rsid w:val="00FF0F07"/>
    <w:rsid w:val="00FF14A7"/>
    <w:rsid w:val="00FF15F9"/>
    <w:rsid w:val="00FF1713"/>
    <w:rsid w:val="00FF1ABF"/>
    <w:rsid w:val="00FF2E88"/>
    <w:rsid w:val="00FF3464"/>
    <w:rsid w:val="00FF3F82"/>
    <w:rsid w:val="00FF4336"/>
    <w:rsid w:val="00FF436F"/>
    <w:rsid w:val="00FF44CC"/>
    <w:rsid w:val="00FF4C8F"/>
    <w:rsid w:val="00FF4DBB"/>
    <w:rsid w:val="00FF5340"/>
    <w:rsid w:val="00FF5788"/>
    <w:rsid w:val="00FF5F61"/>
    <w:rsid w:val="00FF6018"/>
    <w:rsid w:val="00FF6191"/>
    <w:rsid w:val="00FF63C4"/>
    <w:rsid w:val="00FF692F"/>
    <w:rsid w:val="00FF6B86"/>
    <w:rsid w:val="00FF745F"/>
    <w:rsid w:val="00FF7614"/>
    <w:rsid w:val="00FF7674"/>
    <w:rsid w:val="00FF7A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footnote reference"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lsdException w:name="E-mail Signature" w:uiPriority="0"/>
    <w:lsdException w:name="Normal (Web)" w:uiPriority="0"/>
    <w:lsdException w:name="annotation subject" w:uiPriority="0"/>
    <w:lsdException w:name="Balloon Text" w:uiPriority="0"/>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lsdException w:name="Intense Quote" w:locked="0" w:semiHidden="0" w:uiPriority="30" w:unhideWhenUsed="0"/>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lsdException w:name="Intense Emphasis" w:locked="0" w:semiHidden="0" w:uiPriority="21" w:unhideWhenUsed="0"/>
    <w:lsdException w:name="Subtle Reference" w:locked="0" w:semiHidden="0" w:uiPriority="31" w:unhideWhenUsed="0"/>
    <w:lsdException w:name="Intense Reference" w:locked="0" w:semiHidden="0" w:uiPriority="32" w:unhideWhenUsed="0" w:qFormat="1"/>
    <w:lsdException w:name="Book Title" w:locked="0" w:semiHidden="0" w:uiPriority="33" w:unhideWhenUsed="0"/>
    <w:lsdException w:name="Bibliography" w:locked="0" w:uiPriority="37"/>
    <w:lsdException w:name="TOC Heading" w:locked="0"/>
  </w:latentStyles>
  <w:style w:type="paragraph" w:default="1" w:styleId="Normal">
    <w:name w:val="Normal"/>
    <w:qFormat/>
    <w:rsid w:val="001D3945"/>
    <w:pPr>
      <w:jc w:val="both"/>
    </w:pPr>
    <w:rPr>
      <w:rFonts w:asciiTheme="minorHAnsi" w:hAnsiTheme="minorHAnsi"/>
    </w:rPr>
  </w:style>
  <w:style w:type="paragraph" w:styleId="Heading1">
    <w:name w:val="heading 1"/>
    <w:basedOn w:val="ListParagraph"/>
    <w:next w:val="Normal"/>
    <w:link w:val="Heading1Char"/>
    <w:uiPriority w:val="99"/>
    <w:qFormat/>
    <w:rsid w:val="00815689"/>
    <w:pPr>
      <w:numPr>
        <w:numId w:val="18"/>
      </w:numPr>
      <w:shd w:val="clear" w:color="auto" w:fill="448A99"/>
      <w:spacing w:after="120"/>
      <w:contextualSpacing w:val="0"/>
      <w:jc w:val="left"/>
      <w:outlineLvl w:val="0"/>
    </w:pPr>
    <w:rPr>
      <w:rFonts w:ascii="Century Gothic" w:hAnsi="Century Gothic"/>
      <w:b/>
      <w:smallCaps/>
      <w:color w:val="FFFFFF" w:themeColor="background1"/>
      <w:sz w:val="32"/>
      <w14:shadow w14:blurRad="50800" w14:dist="38100" w14:dir="2700000" w14:sx="100000" w14:sy="100000" w14:kx="0" w14:ky="0" w14:algn="tl">
        <w14:srgbClr w14:val="000000">
          <w14:alpha w14:val="60000"/>
        </w14:srgbClr>
      </w14:shadow>
    </w:rPr>
  </w:style>
  <w:style w:type="paragraph" w:styleId="Heading2">
    <w:name w:val="heading 2"/>
    <w:basedOn w:val="ListParagraph"/>
    <w:next w:val="Normal"/>
    <w:link w:val="Heading2Char"/>
    <w:uiPriority w:val="99"/>
    <w:qFormat/>
    <w:rsid w:val="003E6A9B"/>
    <w:pPr>
      <w:numPr>
        <w:ilvl w:val="1"/>
        <w:numId w:val="18"/>
      </w:numPr>
      <w:spacing w:after="120"/>
      <w:contextualSpacing w:val="0"/>
      <w:outlineLvl w:val="1"/>
    </w:pPr>
    <w:rPr>
      <w:rFonts w:ascii="Century Gothic" w:hAnsi="Century Gothic"/>
      <w:b/>
      <w:smallCaps/>
      <w:sz w:val="24"/>
    </w:rPr>
  </w:style>
  <w:style w:type="paragraph" w:styleId="Heading3">
    <w:name w:val="heading 3"/>
    <w:basedOn w:val="ListParagraph"/>
    <w:next w:val="Normal"/>
    <w:link w:val="Heading3Char"/>
    <w:uiPriority w:val="99"/>
    <w:qFormat/>
    <w:rsid w:val="0045485C"/>
    <w:pPr>
      <w:numPr>
        <w:ilvl w:val="2"/>
        <w:numId w:val="18"/>
      </w:numPr>
      <w:spacing w:after="120"/>
      <w:contextualSpacing w:val="0"/>
      <w:jc w:val="left"/>
      <w:outlineLvl w:val="2"/>
    </w:pPr>
    <w:rPr>
      <w:rFonts w:ascii="Century Gothic" w:hAnsi="Century Gothic"/>
      <w:b/>
      <w:color w:val="448A99"/>
    </w:rPr>
  </w:style>
  <w:style w:type="paragraph" w:styleId="Heading4">
    <w:name w:val="heading 4"/>
    <w:basedOn w:val="ListParagraph"/>
    <w:next w:val="Normal"/>
    <w:link w:val="Heading4Char"/>
    <w:uiPriority w:val="99"/>
    <w:qFormat/>
    <w:rsid w:val="00586985"/>
    <w:pPr>
      <w:numPr>
        <w:ilvl w:val="3"/>
        <w:numId w:val="18"/>
      </w:numPr>
      <w:spacing w:after="120"/>
      <w:contextualSpacing w:val="0"/>
      <w:jc w:val="left"/>
      <w:outlineLvl w:val="3"/>
    </w:pPr>
    <w:rPr>
      <w:rFonts w:ascii="Century Gothic" w:hAnsi="Century Gothic"/>
    </w:rPr>
  </w:style>
  <w:style w:type="paragraph" w:styleId="Heading5">
    <w:name w:val="heading 5"/>
    <w:aliases w:val="Heading 5 Append Head 1,Append Level 1"/>
    <w:next w:val="Normal"/>
    <w:link w:val="Heading5Char"/>
    <w:uiPriority w:val="99"/>
    <w:qFormat/>
    <w:rsid w:val="00963027"/>
    <w:pPr>
      <w:keepNext/>
      <w:numPr>
        <w:ilvl w:val="4"/>
        <w:numId w:val="18"/>
      </w:numPr>
      <w:shd w:val="clear" w:color="auto" w:fill="448A99"/>
      <w:spacing w:after="120"/>
      <w:outlineLvl w:val="4"/>
    </w:pPr>
    <w:rPr>
      <w:rFonts w:ascii="Century Gothic" w:hAnsi="Century Gothic"/>
      <w:b/>
      <w:smallCaps/>
      <w:color w:val="FFFFFF" w:themeColor="background1"/>
      <w:sz w:val="32"/>
      <w14:shadow w14:blurRad="50800" w14:dist="38100" w14:dir="2700000" w14:sx="100000" w14:sy="100000" w14:kx="0" w14:ky="0" w14:algn="tl">
        <w14:srgbClr w14:val="000000">
          <w14:alpha w14:val="60000"/>
        </w14:srgbClr>
      </w14:shadow>
    </w:rPr>
  </w:style>
  <w:style w:type="paragraph" w:styleId="Heading6">
    <w:name w:val="heading 6"/>
    <w:aliases w:val="Heading 6 Append Level 2"/>
    <w:basedOn w:val="Normal"/>
    <w:next w:val="Normal"/>
    <w:link w:val="Heading6Char"/>
    <w:uiPriority w:val="99"/>
    <w:qFormat/>
    <w:rsid w:val="00CE3685"/>
    <w:pPr>
      <w:keepNext/>
      <w:keepLines/>
      <w:numPr>
        <w:ilvl w:val="5"/>
        <w:numId w:val="18"/>
      </w:numPr>
      <w:spacing w:after="120"/>
      <w:outlineLvl w:val="5"/>
    </w:pPr>
    <w:rPr>
      <w:rFonts w:ascii="Century Gothic" w:eastAsia="Times New Roman" w:hAnsi="Century Gothic"/>
      <w:b/>
      <w:iCs/>
      <w:smallCaps/>
      <w:sz w:val="24"/>
    </w:rPr>
  </w:style>
  <w:style w:type="paragraph" w:styleId="Heading7">
    <w:name w:val="heading 7"/>
    <w:aliases w:val="Heading 7 Append Head 3"/>
    <w:basedOn w:val="Normal"/>
    <w:next w:val="Normal"/>
    <w:link w:val="Heading7Char"/>
    <w:uiPriority w:val="99"/>
    <w:qFormat/>
    <w:rsid w:val="00CE3685"/>
    <w:pPr>
      <w:keepNext/>
      <w:keepLines/>
      <w:numPr>
        <w:ilvl w:val="6"/>
        <w:numId w:val="18"/>
      </w:numPr>
      <w:spacing w:before="120" w:after="120"/>
      <w:outlineLvl w:val="6"/>
    </w:pPr>
    <w:rPr>
      <w:rFonts w:ascii="Century Gothic" w:eastAsia="Times New Roman" w:hAnsi="Century Gothic"/>
      <w:b/>
      <w:iCs/>
      <w:color w:val="448A99"/>
    </w:rPr>
  </w:style>
  <w:style w:type="paragraph" w:styleId="Heading8">
    <w:name w:val="heading 8"/>
    <w:aliases w:val="Heading 8 Exec Sum Head 1"/>
    <w:basedOn w:val="Normal"/>
    <w:next w:val="Normal"/>
    <w:link w:val="Heading8Char"/>
    <w:uiPriority w:val="99"/>
    <w:qFormat/>
    <w:rsid w:val="00963027"/>
    <w:pPr>
      <w:keepNext/>
      <w:keepLines/>
      <w:numPr>
        <w:ilvl w:val="7"/>
        <w:numId w:val="8"/>
      </w:numPr>
      <w:shd w:val="clear" w:color="auto" w:fill="448A99"/>
      <w:tabs>
        <w:tab w:val="left" w:pos="0"/>
      </w:tabs>
      <w:spacing w:after="120"/>
      <w:jc w:val="left"/>
      <w:outlineLvl w:val="7"/>
    </w:pPr>
    <w:rPr>
      <w:rFonts w:ascii="Century Gothic" w:eastAsia="Times New Roman" w:hAnsi="Century Gothic"/>
      <w:b/>
      <w:smallCaps/>
      <w:color w:val="FFFFFF" w:themeColor="background1"/>
      <w:sz w:val="32"/>
      <w:szCs w:val="20"/>
      <w14:shadow w14:blurRad="50800" w14:dist="38100" w14:dir="2700000" w14:sx="100000" w14:sy="100000" w14:kx="0" w14:ky="0" w14:algn="tl">
        <w14:srgbClr w14:val="000000">
          <w14:alpha w14:val="60000"/>
        </w14:srgbClr>
      </w14:shadow>
    </w:rPr>
  </w:style>
  <w:style w:type="paragraph" w:styleId="Heading9">
    <w:name w:val="heading 9"/>
    <w:aliases w:val="Heading 9 Exec Sum Head 2"/>
    <w:basedOn w:val="Normal"/>
    <w:next w:val="Normal"/>
    <w:link w:val="Heading9Char"/>
    <w:uiPriority w:val="99"/>
    <w:qFormat/>
    <w:rsid w:val="00D932BF"/>
    <w:pPr>
      <w:keepNext/>
      <w:keepLines/>
      <w:numPr>
        <w:ilvl w:val="8"/>
        <w:numId w:val="8"/>
      </w:numPr>
      <w:spacing w:before="120" w:after="120"/>
      <w:outlineLvl w:val="8"/>
    </w:pPr>
    <w:rPr>
      <w:rFonts w:ascii="Century Gothic" w:eastAsia="Times New Roman" w:hAnsi="Century Gothic"/>
      <w:b/>
      <w:iCs/>
      <w:smallCap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15689"/>
    <w:rPr>
      <w:rFonts w:ascii="Century Gothic" w:hAnsi="Century Gothic"/>
      <w:b/>
      <w:smallCaps/>
      <w:color w:val="FFFFFF" w:themeColor="background1"/>
      <w:sz w:val="32"/>
      <w:shd w:val="clear" w:color="auto" w:fill="448A99"/>
      <w14:shadow w14:blurRad="50800" w14:dist="38100" w14:dir="2700000" w14:sx="100000" w14:sy="100000" w14:kx="0" w14:ky="0" w14:algn="tl">
        <w14:srgbClr w14:val="000000">
          <w14:alpha w14:val="60000"/>
        </w14:srgbClr>
      </w14:shadow>
    </w:rPr>
  </w:style>
  <w:style w:type="character" w:customStyle="1" w:styleId="Heading2Char">
    <w:name w:val="Heading 2 Char"/>
    <w:basedOn w:val="DefaultParagraphFont"/>
    <w:link w:val="Heading2"/>
    <w:uiPriority w:val="99"/>
    <w:locked/>
    <w:rsid w:val="003E6A9B"/>
    <w:rPr>
      <w:rFonts w:ascii="Century Gothic" w:hAnsi="Century Gothic"/>
      <w:b/>
      <w:smallCaps/>
      <w:sz w:val="24"/>
    </w:rPr>
  </w:style>
  <w:style w:type="character" w:customStyle="1" w:styleId="Heading3Char">
    <w:name w:val="Heading 3 Char"/>
    <w:basedOn w:val="DefaultParagraphFont"/>
    <w:link w:val="Heading3"/>
    <w:uiPriority w:val="99"/>
    <w:locked/>
    <w:rsid w:val="0045485C"/>
    <w:rPr>
      <w:rFonts w:ascii="Century Gothic" w:hAnsi="Century Gothic"/>
      <w:b/>
      <w:color w:val="448A99"/>
    </w:rPr>
  </w:style>
  <w:style w:type="character" w:customStyle="1" w:styleId="Heading4Char">
    <w:name w:val="Heading 4 Char"/>
    <w:basedOn w:val="DefaultParagraphFont"/>
    <w:link w:val="Heading4"/>
    <w:uiPriority w:val="99"/>
    <w:locked/>
    <w:rsid w:val="00586985"/>
    <w:rPr>
      <w:rFonts w:ascii="Century Gothic" w:hAnsi="Century Gothic"/>
    </w:rPr>
  </w:style>
  <w:style w:type="character" w:customStyle="1" w:styleId="Heading5Char">
    <w:name w:val="Heading 5 Char"/>
    <w:aliases w:val="Heading 5 Append Head 1 Char,Append Level 1 Char"/>
    <w:basedOn w:val="DefaultParagraphFont"/>
    <w:link w:val="Heading5"/>
    <w:uiPriority w:val="99"/>
    <w:locked/>
    <w:rsid w:val="00963027"/>
    <w:rPr>
      <w:rFonts w:ascii="Century Gothic" w:hAnsi="Century Gothic"/>
      <w:b/>
      <w:smallCaps/>
      <w:color w:val="FFFFFF" w:themeColor="background1"/>
      <w:sz w:val="32"/>
      <w:shd w:val="clear" w:color="auto" w:fill="448A99"/>
      <w14:shadow w14:blurRad="50800" w14:dist="38100" w14:dir="2700000" w14:sx="100000" w14:sy="100000" w14:kx="0" w14:ky="0" w14:algn="tl">
        <w14:srgbClr w14:val="000000">
          <w14:alpha w14:val="60000"/>
        </w14:srgbClr>
      </w14:shadow>
    </w:rPr>
  </w:style>
  <w:style w:type="character" w:customStyle="1" w:styleId="Heading6Char">
    <w:name w:val="Heading 6 Char"/>
    <w:aliases w:val="Heading 6 Append Level 2 Char"/>
    <w:basedOn w:val="DefaultParagraphFont"/>
    <w:link w:val="Heading6"/>
    <w:uiPriority w:val="99"/>
    <w:locked/>
    <w:rsid w:val="00CE3685"/>
    <w:rPr>
      <w:rFonts w:ascii="Century Gothic" w:eastAsia="Times New Roman" w:hAnsi="Century Gothic"/>
      <w:b/>
      <w:iCs/>
      <w:smallCaps/>
      <w:sz w:val="24"/>
    </w:rPr>
  </w:style>
  <w:style w:type="character" w:customStyle="1" w:styleId="Heading7Char">
    <w:name w:val="Heading 7 Char"/>
    <w:aliases w:val="Heading 7 Append Head 3 Char"/>
    <w:basedOn w:val="DefaultParagraphFont"/>
    <w:link w:val="Heading7"/>
    <w:uiPriority w:val="99"/>
    <w:locked/>
    <w:rsid w:val="00CE3685"/>
    <w:rPr>
      <w:rFonts w:ascii="Century Gothic" w:eastAsia="Times New Roman" w:hAnsi="Century Gothic"/>
      <w:b/>
      <w:iCs/>
      <w:color w:val="448A99"/>
    </w:rPr>
  </w:style>
  <w:style w:type="character" w:customStyle="1" w:styleId="Heading8Char">
    <w:name w:val="Heading 8 Char"/>
    <w:aliases w:val="Heading 8 Exec Sum Head 1 Char"/>
    <w:basedOn w:val="DefaultParagraphFont"/>
    <w:link w:val="Heading8"/>
    <w:uiPriority w:val="99"/>
    <w:locked/>
    <w:rsid w:val="00963027"/>
    <w:rPr>
      <w:rFonts w:ascii="Century Gothic" w:eastAsia="Times New Roman" w:hAnsi="Century Gothic"/>
      <w:b/>
      <w:smallCaps/>
      <w:color w:val="FFFFFF" w:themeColor="background1"/>
      <w:sz w:val="32"/>
      <w:szCs w:val="20"/>
      <w:shd w:val="clear" w:color="auto" w:fill="448A99"/>
      <w14:shadow w14:blurRad="50800" w14:dist="38100" w14:dir="2700000" w14:sx="100000" w14:sy="100000" w14:kx="0" w14:ky="0" w14:algn="tl">
        <w14:srgbClr w14:val="000000">
          <w14:alpha w14:val="60000"/>
        </w14:srgbClr>
      </w14:shadow>
    </w:rPr>
  </w:style>
  <w:style w:type="character" w:customStyle="1" w:styleId="Heading9Char">
    <w:name w:val="Heading 9 Char"/>
    <w:aliases w:val="Heading 9 Exec Sum Head 2 Char"/>
    <w:basedOn w:val="DefaultParagraphFont"/>
    <w:link w:val="Heading9"/>
    <w:uiPriority w:val="99"/>
    <w:locked/>
    <w:rsid w:val="00D932BF"/>
    <w:rPr>
      <w:rFonts w:ascii="Century Gothic" w:eastAsia="Times New Roman" w:hAnsi="Century Gothic"/>
      <w:b/>
      <w:iCs/>
      <w:smallCaps/>
      <w:sz w:val="24"/>
      <w:szCs w:val="20"/>
    </w:rPr>
  </w:style>
  <w:style w:type="paragraph" w:styleId="BalloonText">
    <w:name w:val="Balloon Text"/>
    <w:basedOn w:val="Normal"/>
    <w:link w:val="BalloonTextChar"/>
    <w:rsid w:val="005137C2"/>
    <w:rPr>
      <w:rFonts w:ascii="Tahoma" w:hAnsi="Tahoma" w:cs="Tahoma"/>
      <w:sz w:val="16"/>
      <w:szCs w:val="16"/>
    </w:rPr>
  </w:style>
  <w:style w:type="character" w:customStyle="1" w:styleId="BalloonTextChar">
    <w:name w:val="Balloon Text Char"/>
    <w:basedOn w:val="DefaultParagraphFont"/>
    <w:link w:val="BalloonText"/>
    <w:uiPriority w:val="99"/>
    <w:locked/>
    <w:rsid w:val="005137C2"/>
    <w:rPr>
      <w:rFonts w:ascii="Tahoma" w:hAnsi="Tahoma" w:cs="Tahoma"/>
      <w:sz w:val="16"/>
      <w:szCs w:val="16"/>
    </w:rPr>
  </w:style>
  <w:style w:type="paragraph" w:styleId="ListParagraph">
    <w:name w:val="List Paragraph"/>
    <w:aliases w:val="TOC etc."/>
    <w:basedOn w:val="Normal"/>
    <w:link w:val="ListParagraphChar"/>
    <w:uiPriority w:val="34"/>
    <w:qFormat/>
    <w:rsid w:val="004161BB"/>
    <w:pPr>
      <w:ind w:left="720"/>
      <w:contextualSpacing/>
    </w:pPr>
  </w:style>
  <w:style w:type="paragraph" w:styleId="FootnoteText">
    <w:name w:val="footnote text"/>
    <w:aliases w:val="Footnote Text1 Char,Footnote Text Char Ch Char Char Char,Footnote Text Char Ch Char Char,Footnote Text1 Char Char Char,Footnote Text Char Ch Char,Footnote Text Char Ch,Char2 Char,ft Char,ft,TBG Style,ALTS FOOTNOTE,Footnote Text 2,fn"/>
    <w:basedOn w:val="Normal"/>
    <w:link w:val="FootnoteTextChar"/>
    <w:uiPriority w:val="99"/>
    <w:rsid w:val="00963027"/>
    <w:pPr>
      <w:keepLines/>
    </w:pPr>
    <w:rPr>
      <w:sz w:val="16"/>
      <w:szCs w:val="18"/>
    </w:rPr>
  </w:style>
  <w:style w:type="character" w:customStyle="1" w:styleId="FootnoteTextChar">
    <w:name w:val="Footnote Text Char"/>
    <w:aliases w:val="Footnote Text1 Char Char,Footnote Text Char Ch Char Char Char Char,Footnote Text Char Ch Char Char Char1,Footnote Text1 Char Char Char Char,Footnote Text Char Ch Char Char1,Footnote Text Char Ch Char1,Char2 Char Char,ft Char Char"/>
    <w:basedOn w:val="DefaultParagraphFont"/>
    <w:link w:val="FootnoteText"/>
    <w:uiPriority w:val="99"/>
    <w:locked/>
    <w:rsid w:val="00963027"/>
    <w:rPr>
      <w:rFonts w:asciiTheme="minorHAnsi" w:hAnsiTheme="minorHAnsi"/>
      <w:sz w:val="16"/>
      <w:szCs w:val="18"/>
    </w:rPr>
  </w:style>
  <w:style w:type="character" w:styleId="FootnoteReference">
    <w:name w:val="footnote reference"/>
    <w:aliases w:val="o,fr,Style 17,o + Times New Roman"/>
    <w:basedOn w:val="DefaultParagraphFont"/>
    <w:uiPriority w:val="99"/>
    <w:qFormat/>
    <w:rsid w:val="00961984"/>
    <w:rPr>
      <w:rFonts w:asciiTheme="minorHAnsi" w:hAnsiTheme="minorHAnsi" w:cs="Times New Roman"/>
      <w:sz w:val="22"/>
      <w:vertAlign w:val="superscript"/>
    </w:rPr>
  </w:style>
  <w:style w:type="character" w:styleId="Hyperlink">
    <w:name w:val="Hyperlink"/>
    <w:basedOn w:val="DefaultParagraphFont"/>
    <w:uiPriority w:val="99"/>
    <w:rsid w:val="00A651FD"/>
    <w:rPr>
      <w:rFonts w:cs="Times New Roman"/>
      <w:color w:val="0000FF"/>
      <w:u w:val="single"/>
    </w:rPr>
  </w:style>
  <w:style w:type="paragraph" w:styleId="TOCHeading">
    <w:name w:val="TOC Heading"/>
    <w:basedOn w:val="Heading1"/>
    <w:next w:val="Normal"/>
    <w:uiPriority w:val="99"/>
    <w:rsid w:val="005137C2"/>
    <w:pPr>
      <w:outlineLvl w:val="9"/>
    </w:pPr>
    <w:rPr>
      <w:color w:val="365F91"/>
    </w:rPr>
  </w:style>
  <w:style w:type="paragraph" w:styleId="TOC1">
    <w:name w:val="toc 1"/>
    <w:basedOn w:val="Normal"/>
    <w:next w:val="Normal"/>
    <w:autoRedefine/>
    <w:uiPriority w:val="39"/>
    <w:rsid w:val="00F30290"/>
    <w:pPr>
      <w:tabs>
        <w:tab w:val="right" w:leader="dot" w:pos="9350"/>
      </w:tabs>
      <w:spacing w:before="60" w:after="60"/>
    </w:pPr>
    <w:rPr>
      <w:rFonts w:ascii="Century Gothic" w:hAnsi="Century Gothic"/>
      <w:b/>
      <w:bCs/>
      <w:smallCaps/>
      <w:szCs w:val="20"/>
    </w:rPr>
  </w:style>
  <w:style w:type="paragraph" w:styleId="TOC2">
    <w:name w:val="toc 2"/>
    <w:basedOn w:val="Normal"/>
    <w:next w:val="Normal"/>
    <w:autoRedefine/>
    <w:uiPriority w:val="39"/>
    <w:rsid w:val="00E02D8D"/>
    <w:pPr>
      <w:ind w:left="220"/>
    </w:pPr>
    <w:rPr>
      <w:sz w:val="20"/>
      <w:szCs w:val="20"/>
    </w:rPr>
  </w:style>
  <w:style w:type="paragraph" w:styleId="TOC3">
    <w:name w:val="toc 3"/>
    <w:basedOn w:val="Normal"/>
    <w:next w:val="Normal"/>
    <w:autoRedefine/>
    <w:uiPriority w:val="39"/>
    <w:rsid w:val="00E02D8D"/>
    <w:pPr>
      <w:ind w:left="440"/>
    </w:pPr>
    <w:rPr>
      <w:iCs/>
      <w:sz w:val="20"/>
      <w:szCs w:val="20"/>
    </w:rPr>
  </w:style>
  <w:style w:type="paragraph" w:styleId="Caption">
    <w:name w:val="caption"/>
    <w:aliases w:val="Caption Char,Table Caption,Char, Char,Caption Char1 Char"/>
    <w:basedOn w:val="Normal"/>
    <w:next w:val="Normal"/>
    <w:link w:val="CaptionChar1"/>
    <w:qFormat/>
    <w:rsid w:val="00586985"/>
    <w:pPr>
      <w:keepNext/>
      <w:spacing w:after="120"/>
      <w:jc w:val="center"/>
    </w:pPr>
    <w:rPr>
      <w:rFonts w:ascii="Century Gothic" w:hAnsi="Century Gothic"/>
      <w:b/>
      <w:bCs/>
      <w:color w:val="000000" w:themeColor="text1"/>
      <w:sz w:val="18"/>
      <w:szCs w:val="18"/>
    </w:rPr>
  </w:style>
  <w:style w:type="paragraph" w:styleId="Header">
    <w:name w:val="header"/>
    <w:basedOn w:val="Normal"/>
    <w:link w:val="HeaderChar"/>
    <w:uiPriority w:val="99"/>
    <w:rsid w:val="007A70BA"/>
    <w:pPr>
      <w:tabs>
        <w:tab w:val="center" w:pos="4680"/>
        <w:tab w:val="right" w:pos="9360"/>
      </w:tabs>
    </w:pPr>
  </w:style>
  <w:style w:type="character" w:customStyle="1" w:styleId="HeaderChar">
    <w:name w:val="Header Char"/>
    <w:basedOn w:val="DefaultParagraphFont"/>
    <w:link w:val="Header"/>
    <w:uiPriority w:val="99"/>
    <w:locked/>
    <w:rsid w:val="007A70BA"/>
    <w:rPr>
      <w:rFonts w:cs="Times New Roman"/>
    </w:rPr>
  </w:style>
  <w:style w:type="paragraph" w:styleId="Footer">
    <w:name w:val="footer"/>
    <w:basedOn w:val="Normal"/>
    <w:link w:val="FooterChar"/>
    <w:uiPriority w:val="99"/>
    <w:rsid w:val="007A70BA"/>
    <w:pPr>
      <w:tabs>
        <w:tab w:val="center" w:pos="4680"/>
        <w:tab w:val="right" w:pos="9360"/>
      </w:tabs>
    </w:pPr>
  </w:style>
  <w:style w:type="character" w:customStyle="1" w:styleId="FooterChar">
    <w:name w:val="Footer Char"/>
    <w:basedOn w:val="DefaultParagraphFont"/>
    <w:link w:val="Footer"/>
    <w:uiPriority w:val="99"/>
    <w:locked/>
    <w:rsid w:val="007A70BA"/>
    <w:rPr>
      <w:rFonts w:cs="Times New Roman"/>
    </w:rPr>
  </w:style>
  <w:style w:type="paragraph" w:styleId="EndnoteText">
    <w:name w:val="endnote text"/>
    <w:basedOn w:val="Normal"/>
    <w:link w:val="EndnoteTextChar"/>
    <w:uiPriority w:val="99"/>
    <w:semiHidden/>
    <w:rsid w:val="00913E82"/>
    <w:rPr>
      <w:sz w:val="20"/>
      <w:szCs w:val="20"/>
    </w:rPr>
  </w:style>
  <w:style w:type="character" w:customStyle="1" w:styleId="EndnoteTextChar">
    <w:name w:val="Endnote Text Char"/>
    <w:basedOn w:val="DefaultParagraphFont"/>
    <w:link w:val="EndnoteText"/>
    <w:uiPriority w:val="99"/>
    <w:semiHidden/>
    <w:locked/>
    <w:rsid w:val="00913E82"/>
    <w:rPr>
      <w:rFonts w:cs="Times New Roman"/>
      <w:sz w:val="20"/>
      <w:szCs w:val="20"/>
    </w:rPr>
  </w:style>
  <w:style w:type="character" w:styleId="EndnoteReference">
    <w:name w:val="endnote reference"/>
    <w:basedOn w:val="DefaultParagraphFont"/>
    <w:uiPriority w:val="99"/>
    <w:semiHidden/>
    <w:rsid w:val="00913E82"/>
    <w:rPr>
      <w:rFonts w:cs="Times New Roman"/>
      <w:vertAlign w:val="superscript"/>
    </w:rPr>
  </w:style>
  <w:style w:type="character" w:styleId="PlaceholderText">
    <w:name w:val="Placeholder Text"/>
    <w:basedOn w:val="DefaultParagraphFont"/>
    <w:uiPriority w:val="99"/>
    <w:semiHidden/>
    <w:rsid w:val="00A34DF1"/>
    <w:rPr>
      <w:rFonts w:cs="Times New Roman"/>
      <w:color w:val="808080"/>
    </w:rPr>
  </w:style>
  <w:style w:type="paragraph" w:styleId="NoSpacing">
    <w:name w:val="No Spacing"/>
    <w:uiPriority w:val="99"/>
    <w:qFormat/>
    <w:rsid w:val="00DA5651"/>
  </w:style>
  <w:style w:type="paragraph" w:styleId="TOC4">
    <w:name w:val="toc 4"/>
    <w:basedOn w:val="Normal"/>
    <w:next w:val="Normal"/>
    <w:autoRedefine/>
    <w:uiPriority w:val="39"/>
    <w:locked/>
    <w:rsid w:val="0062479B"/>
    <w:pPr>
      <w:ind w:left="660"/>
    </w:pPr>
    <w:rPr>
      <w:sz w:val="18"/>
      <w:szCs w:val="18"/>
    </w:rPr>
  </w:style>
  <w:style w:type="paragraph" w:styleId="TOC5">
    <w:name w:val="toc 5"/>
    <w:basedOn w:val="Normal"/>
    <w:next w:val="Normal"/>
    <w:autoRedefine/>
    <w:uiPriority w:val="39"/>
    <w:locked/>
    <w:rsid w:val="0062479B"/>
    <w:pPr>
      <w:ind w:left="880"/>
    </w:pPr>
    <w:rPr>
      <w:sz w:val="18"/>
      <w:szCs w:val="18"/>
    </w:rPr>
  </w:style>
  <w:style w:type="paragraph" w:styleId="TOC6">
    <w:name w:val="toc 6"/>
    <w:basedOn w:val="Normal"/>
    <w:next w:val="Normal"/>
    <w:autoRedefine/>
    <w:uiPriority w:val="39"/>
    <w:locked/>
    <w:rsid w:val="0062479B"/>
    <w:pPr>
      <w:ind w:left="1100"/>
    </w:pPr>
    <w:rPr>
      <w:sz w:val="18"/>
      <w:szCs w:val="18"/>
    </w:rPr>
  </w:style>
  <w:style w:type="paragraph" w:styleId="TOC7">
    <w:name w:val="toc 7"/>
    <w:basedOn w:val="Normal"/>
    <w:next w:val="Normal"/>
    <w:autoRedefine/>
    <w:uiPriority w:val="39"/>
    <w:locked/>
    <w:rsid w:val="0062479B"/>
    <w:pPr>
      <w:ind w:left="1320"/>
    </w:pPr>
    <w:rPr>
      <w:sz w:val="18"/>
      <w:szCs w:val="18"/>
    </w:rPr>
  </w:style>
  <w:style w:type="paragraph" w:styleId="TOC8">
    <w:name w:val="toc 8"/>
    <w:basedOn w:val="Normal"/>
    <w:next w:val="Normal"/>
    <w:autoRedefine/>
    <w:uiPriority w:val="39"/>
    <w:locked/>
    <w:rsid w:val="0062479B"/>
    <w:pPr>
      <w:ind w:left="1540"/>
    </w:pPr>
    <w:rPr>
      <w:sz w:val="18"/>
      <w:szCs w:val="18"/>
    </w:rPr>
  </w:style>
  <w:style w:type="paragraph" w:styleId="TOC9">
    <w:name w:val="toc 9"/>
    <w:basedOn w:val="Normal"/>
    <w:next w:val="Normal"/>
    <w:autoRedefine/>
    <w:uiPriority w:val="39"/>
    <w:locked/>
    <w:rsid w:val="0062479B"/>
    <w:pPr>
      <w:ind w:left="1760"/>
    </w:pPr>
    <w:rPr>
      <w:sz w:val="18"/>
      <w:szCs w:val="18"/>
    </w:rPr>
  </w:style>
  <w:style w:type="character" w:styleId="CommentReference">
    <w:name w:val="annotation reference"/>
    <w:basedOn w:val="DefaultParagraphFont"/>
    <w:uiPriority w:val="99"/>
    <w:locked/>
    <w:rsid w:val="00C25150"/>
    <w:rPr>
      <w:rFonts w:cs="Times New Roman"/>
      <w:sz w:val="16"/>
      <w:szCs w:val="16"/>
    </w:rPr>
  </w:style>
  <w:style w:type="paragraph" w:styleId="CommentText">
    <w:name w:val="annotation text"/>
    <w:basedOn w:val="Normal"/>
    <w:link w:val="CommentTextChar"/>
    <w:uiPriority w:val="99"/>
    <w:locked/>
    <w:rsid w:val="00C25150"/>
    <w:rPr>
      <w:sz w:val="20"/>
      <w:szCs w:val="20"/>
    </w:rPr>
  </w:style>
  <w:style w:type="character" w:customStyle="1" w:styleId="CommentTextChar">
    <w:name w:val="Comment Text Char"/>
    <w:basedOn w:val="DefaultParagraphFont"/>
    <w:link w:val="CommentText"/>
    <w:uiPriority w:val="99"/>
    <w:locked/>
    <w:rsid w:val="00C25150"/>
    <w:rPr>
      <w:rFonts w:cs="Times New Roman"/>
      <w:sz w:val="20"/>
      <w:szCs w:val="20"/>
    </w:rPr>
  </w:style>
  <w:style w:type="paragraph" w:styleId="CommentSubject">
    <w:name w:val="annotation subject"/>
    <w:basedOn w:val="CommentText"/>
    <w:next w:val="CommentText"/>
    <w:link w:val="CommentSubjectChar"/>
    <w:locked/>
    <w:rsid w:val="00C25150"/>
    <w:rPr>
      <w:b/>
      <w:bCs/>
    </w:rPr>
  </w:style>
  <w:style w:type="character" w:customStyle="1" w:styleId="CommentSubjectChar">
    <w:name w:val="Comment Subject Char"/>
    <w:basedOn w:val="CommentTextChar"/>
    <w:link w:val="CommentSubject"/>
    <w:locked/>
    <w:rsid w:val="00C25150"/>
    <w:rPr>
      <w:rFonts w:cs="Times New Roman"/>
      <w:b/>
      <w:bCs/>
      <w:sz w:val="20"/>
      <w:szCs w:val="20"/>
    </w:rPr>
  </w:style>
  <w:style w:type="paragraph" w:styleId="Revision">
    <w:name w:val="Revision"/>
    <w:hidden/>
    <w:uiPriority w:val="99"/>
    <w:semiHidden/>
    <w:rsid w:val="001E3B79"/>
  </w:style>
  <w:style w:type="table" w:styleId="TableGrid">
    <w:name w:val="Table Grid"/>
    <w:aliases w:val="EMI Table,tbl"/>
    <w:basedOn w:val="TableNormal"/>
    <w:uiPriority w:val="99"/>
    <w:locked/>
    <w:rsid w:val="00E16347"/>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Number2">
    <w:name w:val="List Number 2"/>
    <w:basedOn w:val="Normal"/>
    <w:uiPriority w:val="99"/>
    <w:locked/>
    <w:rsid w:val="004A14C8"/>
    <w:pPr>
      <w:tabs>
        <w:tab w:val="num" w:pos="720"/>
      </w:tabs>
      <w:spacing w:before="240"/>
      <w:ind w:left="720" w:hanging="360"/>
    </w:pPr>
    <w:rPr>
      <w:rFonts w:ascii="Times New Roman" w:eastAsia="Times New Roman" w:hAnsi="Times New Roman"/>
      <w:szCs w:val="24"/>
    </w:rPr>
  </w:style>
  <w:style w:type="paragraph" w:customStyle="1" w:styleId="Default">
    <w:name w:val="Default"/>
    <w:rsid w:val="004A14C8"/>
    <w:pPr>
      <w:autoSpaceDE w:val="0"/>
      <w:autoSpaceDN w:val="0"/>
      <w:adjustRightInd w:val="0"/>
    </w:pPr>
    <w:rPr>
      <w:rFonts w:ascii="Times New Roman" w:hAnsi="Times New Roman"/>
      <w:color w:val="000000"/>
      <w:sz w:val="24"/>
      <w:szCs w:val="24"/>
    </w:rPr>
  </w:style>
  <w:style w:type="paragraph" w:styleId="DocumentMap">
    <w:name w:val="Document Map"/>
    <w:basedOn w:val="Normal"/>
    <w:link w:val="DocumentMapChar"/>
    <w:uiPriority w:val="99"/>
    <w:semiHidden/>
    <w:locked/>
    <w:rsid w:val="00DA4BC3"/>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DA4BC3"/>
    <w:rPr>
      <w:rFonts w:ascii="Tahoma" w:hAnsi="Tahoma" w:cs="Tahoma"/>
      <w:sz w:val="16"/>
      <w:szCs w:val="16"/>
    </w:rPr>
  </w:style>
  <w:style w:type="paragraph" w:customStyle="1" w:styleId="Bullets-Short">
    <w:name w:val="Bullets - Short"/>
    <w:basedOn w:val="Normal"/>
    <w:uiPriority w:val="99"/>
    <w:rsid w:val="008956AB"/>
    <w:pPr>
      <w:numPr>
        <w:numId w:val="3"/>
      </w:numPr>
    </w:pPr>
    <w:rPr>
      <w:rFonts w:ascii="Times New Roman" w:eastAsia="Times New Roman" w:hAnsi="Times New Roman"/>
      <w:szCs w:val="24"/>
    </w:rPr>
  </w:style>
  <w:style w:type="paragraph" w:customStyle="1" w:styleId="bullets2">
    <w:name w:val="bullets 2"/>
    <w:uiPriority w:val="99"/>
    <w:rsid w:val="00C95855"/>
    <w:pPr>
      <w:numPr>
        <w:numId w:val="4"/>
      </w:numPr>
      <w:spacing w:before="40" w:after="80"/>
      <w:ind w:left="1440"/>
    </w:pPr>
    <w:rPr>
      <w:rFonts w:ascii="Times New Roman" w:eastAsia="Times New Roman" w:hAnsi="Times New Roman"/>
      <w:sz w:val="24"/>
      <w:szCs w:val="24"/>
    </w:rPr>
  </w:style>
  <w:style w:type="paragraph" w:customStyle="1" w:styleId="Numbering">
    <w:name w:val="Numbering"/>
    <w:uiPriority w:val="99"/>
    <w:rsid w:val="00466F40"/>
    <w:pPr>
      <w:numPr>
        <w:numId w:val="5"/>
      </w:numPr>
      <w:spacing w:after="120" w:line="276" w:lineRule="auto"/>
    </w:pPr>
    <w:rPr>
      <w:rFonts w:asciiTheme="minorHAnsi" w:eastAsia="Times New Roman" w:hAnsiTheme="minorHAnsi"/>
      <w:szCs w:val="24"/>
    </w:rPr>
  </w:style>
  <w:style w:type="paragraph" w:styleId="NormalWeb">
    <w:name w:val="Normal (Web)"/>
    <w:basedOn w:val="Normal"/>
    <w:locked/>
    <w:rsid w:val="00174744"/>
    <w:pPr>
      <w:spacing w:before="100" w:beforeAutospacing="1" w:after="100" w:afterAutospacing="1"/>
    </w:pPr>
    <w:rPr>
      <w:rFonts w:ascii="Times New Roman" w:hAnsi="Times New Roman"/>
      <w:sz w:val="24"/>
      <w:szCs w:val="24"/>
    </w:rPr>
  </w:style>
  <w:style w:type="table" w:customStyle="1" w:styleId="EnergyTable">
    <w:name w:val="Energy Table"/>
    <w:uiPriority w:val="99"/>
    <w:qFormat/>
    <w:rsid w:val="009C0278"/>
    <w:rPr>
      <w:rFonts w:ascii="Palatino Linotype" w:eastAsia="Times New Roman" w:hAnsi="Palatino Linotype"/>
      <w:sz w:val="20"/>
      <w:szCs w:val="20"/>
    </w:rPr>
    <w:tblPr>
      <w:tblStyleRowBandSize w:val="1"/>
      <w:jc w:val="center"/>
      <w:tblInd w:w="0" w:type="dxa"/>
      <w:tblBorders>
        <w:top w:val="single" w:sz="8" w:space="0" w:color="DDD9C3"/>
        <w:bottom w:val="single" w:sz="8" w:space="0" w:color="92876D"/>
        <w:insideH w:val="single" w:sz="8" w:space="0" w:color="DDD9C3"/>
      </w:tblBorders>
      <w:tblCellMar>
        <w:top w:w="0" w:type="dxa"/>
        <w:left w:w="108" w:type="dxa"/>
        <w:bottom w:w="0" w:type="dxa"/>
        <w:right w:w="108" w:type="dxa"/>
      </w:tblCellMar>
    </w:tblPr>
    <w:trPr>
      <w:cantSplit/>
      <w:jc w:val="center"/>
    </w:trPr>
  </w:style>
  <w:style w:type="paragraph" w:styleId="Index2">
    <w:name w:val="index 2"/>
    <w:basedOn w:val="Normal"/>
    <w:next w:val="Normal"/>
    <w:uiPriority w:val="99"/>
    <w:locked/>
    <w:rsid w:val="00367B86"/>
    <w:pPr>
      <w:ind w:left="360"/>
    </w:pPr>
    <w:rPr>
      <w:rFonts w:ascii="Tms Rmn" w:hAnsi="Tms Rmn"/>
    </w:rPr>
  </w:style>
  <w:style w:type="paragraph" w:styleId="ListBullet2">
    <w:name w:val="List Bullet 2"/>
    <w:basedOn w:val="Normal"/>
    <w:uiPriority w:val="99"/>
    <w:locked/>
    <w:rsid w:val="00367B86"/>
    <w:pPr>
      <w:numPr>
        <w:numId w:val="6"/>
      </w:numPr>
      <w:ind w:left="1800"/>
      <w:contextualSpacing/>
    </w:pPr>
    <w:rPr>
      <w:rFonts w:ascii="Calibri" w:hAnsi="Calibri"/>
    </w:rPr>
  </w:style>
  <w:style w:type="paragraph" w:customStyle="1" w:styleId="AppendixHeading1">
    <w:name w:val="Appendix Heading 1"/>
    <w:basedOn w:val="Heading1"/>
    <w:uiPriority w:val="99"/>
    <w:rsid w:val="00A86F4D"/>
    <w:pPr>
      <w:widowControl w:val="0"/>
      <w:shd w:val="clear" w:color="008080" w:fill="B55F00"/>
      <w:ind w:left="720" w:hanging="720"/>
    </w:pPr>
    <w:rPr>
      <w:bCs/>
      <w:color w:val="FFFFFF"/>
      <w:kern w:val="28"/>
      <w:position w:val="6"/>
    </w:rPr>
  </w:style>
  <w:style w:type="paragraph" w:customStyle="1" w:styleId="AppendixHeading2">
    <w:name w:val="Appendix Heading 2"/>
    <w:basedOn w:val="Heading2"/>
    <w:autoRedefine/>
    <w:uiPriority w:val="99"/>
    <w:rsid w:val="00A86F4D"/>
    <w:pPr>
      <w:widowControl w:val="0"/>
      <w:numPr>
        <w:numId w:val="1"/>
      </w:numPr>
      <w:shd w:val="clear" w:color="008080" w:fill="auto"/>
      <w:tabs>
        <w:tab w:val="num" w:pos="1440"/>
      </w:tabs>
      <w:spacing w:before="240"/>
      <w:ind w:left="1800" w:hanging="720"/>
    </w:pPr>
    <w:rPr>
      <w:rFonts w:cs="Arial"/>
      <w:i/>
      <w:iCs/>
      <w:kern w:val="28"/>
      <w:position w:val="6"/>
      <w:szCs w:val="28"/>
    </w:rPr>
  </w:style>
  <w:style w:type="paragraph" w:customStyle="1" w:styleId="AppendixHeading3">
    <w:name w:val="Appendix Heading 3"/>
    <w:basedOn w:val="Heading3"/>
    <w:uiPriority w:val="99"/>
    <w:rsid w:val="00A86F4D"/>
    <w:pPr>
      <w:numPr>
        <w:numId w:val="2"/>
      </w:numPr>
      <w:tabs>
        <w:tab w:val="num" w:pos="2160"/>
      </w:tabs>
      <w:ind w:hanging="180"/>
    </w:pPr>
    <w:rPr>
      <w:rFonts w:ascii="Arial Narrow" w:eastAsia="Times New Roman" w:hAnsi="Arial Narrow"/>
      <w:bCs/>
      <w:color w:val="993300"/>
      <w:szCs w:val="24"/>
    </w:rPr>
  </w:style>
  <w:style w:type="character" w:customStyle="1" w:styleId="CaptionChar1">
    <w:name w:val="Caption Char1"/>
    <w:aliases w:val="Caption Char Char,Table Caption Char,Char Char, Char Char,Caption Char1 Char Char"/>
    <w:basedOn w:val="DefaultParagraphFont"/>
    <w:link w:val="Caption"/>
    <w:locked/>
    <w:rsid w:val="00586985"/>
    <w:rPr>
      <w:rFonts w:ascii="Century Gothic" w:hAnsi="Century Gothic"/>
      <w:b/>
      <w:bCs/>
      <w:color w:val="000000" w:themeColor="text1"/>
      <w:sz w:val="18"/>
      <w:szCs w:val="18"/>
    </w:rPr>
  </w:style>
  <w:style w:type="numbering" w:customStyle="1" w:styleId="Style1">
    <w:name w:val="Style1"/>
    <w:rsid w:val="009C4C1F"/>
    <w:pPr>
      <w:numPr>
        <w:numId w:val="7"/>
      </w:numPr>
    </w:pPr>
  </w:style>
  <w:style w:type="paragraph" w:customStyle="1" w:styleId="TableText">
    <w:name w:val="Table Text"/>
    <w:basedOn w:val="Normal"/>
    <w:qFormat/>
    <w:rsid w:val="003D6799"/>
    <w:pPr>
      <w:keepNext/>
      <w:keepLines/>
      <w:spacing w:before="80"/>
      <w:jc w:val="left"/>
    </w:pPr>
    <w:rPr>
      <w:color w:val="000000"/>
      <w:sz w:val="18"/>
      <w:szCs w:val="18"/>
    </w:rPr>
  </w:style>
  <w:style w:type="paragraph" w:customStyle="1" w:styleId="TableHeader">
    <w:name w:val="Table Header"/>
    <w:basedOn w:val="Normal"/>
    <w:qFormat/>
    <w:rsid w:val="003D6799"/>
    <w:pPr>
      <w:keepNext/>
      <w:keepLines/>
      <w:spacing w:before="80"/>
      <w:jc w:val="center"/>
    </w:pPr>
    <w:rPr>
      <w:b/>
      <w:bCs/>
      <w:color w:val="000000"/>
      <w:sz w:val="18"/>
      <w:szCs w:val="18"/>
    </w:rPr>
  </w:style>
  <w:style w:type="paragraph" w:customStyle="1" w:styleId="TableList">
    <w:name w:val="Table List"/>
    <w:basedOn w:val="ListParagraph"/>
    <w:qFormat/>
    <w:rsid w:val="00E83F12"/>
    <w:pPr>
      <w:numPr>
        <w:numId w:val="9"/>
      </w:numPr>
    </w:pPr>
    <w:rPr>
      <w:bCs/>
      <w:color w:val="000000"/>
      <w:sz w:val="16"/>
      <w:szCs w:val="16"/>
    </w:rPr>
  </w:style>
  <w:style w:type="paragraph" w:customStyle="1" w:styleId="DefinitionTerm">
    <w:name w:val="Definition Term"/>
    <w:basedOn w:val="Normal"/>
    <w:next w:val="DefinitionDefinition"/>
    <w:qFormat/>
    <w:rsid w:val="005076A7"/>
    <w:pPr>
      <w:keepNext/>
      <w:jc w:val="left"/>
    </w:pPr>
    <w:rPr>
      <w:b/>
    </w:rPr>
  </w:style>
  <w:style w:type="paragraph" w:customStyle="1" w:styleId="DefinitionDefinition">
    <w:name w:val="Definition Definition"/>
    <w:basedOn w:val="Normal"/>
    <w:next w:val="DefinitionTerm"/>
    <w:qFormat/>
    <w:rsid w:val="00C260C0"/>
    <w:pPr>
      <w:ind w:firstLine="720"/>
      <w:jc w:val="left"/>
    </w:pPr>
  </w:style>
  <w:style w:type="paragraph" w:customStyle="1" w:styleId="refEDCName">
    <w:name w:val="ref EDC Name"/>
    <w:basedOn w:val="Normal"/>
    <w:qFormat/>
    <w:rsid w:val="00251B31"/>
    <w:pPr>
      <w:jc w:val="center"/>
    </w:pPr>
    <w:rPr>
      <w:rFonts w:asciiTheme="majorHAnsi" w:hAnsiTheme="majorHAnsi" w:cstheme="minorHAnsi"/>
      <w:sz w:val="24"/>
      <w:szCs w:val="24"/>
    </w:rPr>
  </w:style>
  <w:style w:type="paragraph" w:customStyle="1" w:styleId="refDate">
    <w:name w:val="ref Date"/>
    <w:basedOn w:val="Normal"/>
    <w:qFormat/>
    <w:rsid w:val="00251B31"/>
    <w:pPr>
      <w:jc w:val="center"/>
    </w:pPr>
    <w:rPr>
      <w:rFonts w:asciiTheme="majorHAnsi" w:hAnsiTheme="majorHAnsi" w:cstheme="minorHAnsi"/>
      <w:sz w:val="24"/>
      <w:szCs w:val="24"/>
    </w:rPr>
  </w:style>
  <w:style w:type="paragraph" w:customStyle="1" w:styleId="refReportingPeriod">
    <w:name w:val="ref Reporting Period"/>
    <w:basedOn w:val="Normal"/>
    <w:qFormat/>
    <w:rsid w:val="00EC1408"/>
    <w:pPr>
      <w:jc w:val="center"/>
    </w:pPr>
    <w:rPr>
      <w:rFonts w:asciiTheme="majorHAnsi" w:hAnsiTheme="majorHAnsi"/>
      <w:b/>
      <w:sz w:val="32"/>
      <w:szCs w:val="32"/>
    </w:rPr>
  </w:style>
  <w:style w:type="paragraph" w:customStyle="1" w:styleId="NormalSpacer">
    <w:name w:val="Normal Spacer"/>
    <w:basedOn w:val="Normal"/>
    <w:next w:val="Normal"/>
    <w:qFormat/>
    <w:rsid w:val="00A917D2"/>
    <w:pPr>
      <w:keepLines/>
    </w:pPr>
  </w:style>
  <w:style w:type="paragraph" w:customStyle="1" w:styleId="DefinitionHeader">
    <w:name w:val="Definition Header"/>
    <w:basedOn w:val="DefinitionTerm"/>
    <w:next w:val="DefinitionTerm"/>
    <w:qFormat/>
    <w:rsid w:val="00535881"/>
    <w:pPr>
      <w:spacing w:before="120" w:after="120"/>
      <w:jc w:val="center"/>
    </w:pPr>
    <w:rPr>
      <w:sz w:val="24"/>
    </w:rPr>
  </w:style>
  <w:style w:type="paragraph" w:customStyle="1" w:styleId="TableHeader-Row">
    <w:name w:val="Table Header - Row"/>
    <w:basedOn w:val="Normal"/>
    <w:uiPriority w:val="99"/>
    <w:rsid w:val="009A4FD0"/>
    <w:pPr>
      <w:keepNext/>
      <w:keepLines/>
      <w:widowControl w:val="0"/>
      <w:suppressAutoHyphens/>
      <w:jc w:val="center"/>
    </w:pPr>
    <w:rPr>
      <w:rFonts w:ascii="Times New Roman" w:eastAsia="Times New Roman" w:hAnsi="Times New Roman"/>
      <w:b/>
      <w:sz w:val="20"/>
      <w:szCs w:val="24"/>
    </w:rPr>
  </w:style>
  <w:style w:type="character" w:customStyle="1" w:styleId="TableCaptionCharChar2">
    <w:name w:val="Table Caption Char Char2"/>
    <w:aliases w:val="Table Caption Char3,Char Char2, Char Char1"/>
    <w:basedOn w:val="DefaultParagraphFont"/>
    <w:uiPriority w:val="99"/>
    <w:locked/>
    <w:rsid w:val="009A4FD0"/>
    <w:rPr>
      <w:b/>
      <w:bCs/>
      <w:sz w:val="24"/>
    </w:rPr>
  </w:style>
  <w:style w:type="paragraph" w:customStyle="1" w:styleId="arial11">
    <w:name w:val="arial 11"/>
    <w:basedOn w:val="Normal"/>
    <w:link w:val="arial11Char"/>
    <w:uiPriority w:val="99"/>
    <w:qFormat/>
    <w:rsid w:val="009A4FD0"/>
    <w:pPr>
      <w:jc w:val="left"/>
    </w:pPr>
    <w:rPr>
      <w:rFonts w:ascii="Arial" w:eastAsia="Times New Roman" w:hAnsi="Arial" w:cs="Arial"/>
    </w:rPr>
  </w:style>
  <w:style w:type="character" w:customStyle="1" w:styleId="arial11Char">
    <w:name w:val="arial 11 Char"/>
    <w:basedOn w:val="DefaultParagraphFont"/>
    <w:link w:val="arial11"/>
    <w:uiPriority w:val="99"/>
    <w:locked/>
    <w:rsid w:val="009A4FD0"/>
    <w:rPr>
      <w:rFonts w:ascii="Arial" w:eastAsia="Times New Roman" w:hAnsi="Arial" w:cs="Arial"/>
    </w:rPr>
  </w:style>
  <w:style w:type="paragraph" w:customStyle="1" w:styleId="AfterH3">
    <w:name w:val="After H3"/>
    <w:basedOn w:val="Normal"/>
    <w:uiPriority w:val="99"/>
    <w:rsid w:val="009A4FD0"/>
    <w:pPr>
      <w:keepNext/>
      <w:keepLines/>
      <w:jc w:val="left"/>
    </w:pPr>
    <w:rPr>
      <w:rFonts w:ascii="Calibri" w:hAnsi="Calibri"/>
    </w:rPr>
  </w:style>
  <w:style w:type="paragraph" w:customStyle="1" w:styleId="bullets">
    <w:name w:val="bullets"/>
    <w:basedOn w:val="ListParagraph"/>
    <w:link w:val="bulletsChar"/>
    <w:uiPriority w:val="99"/>
    <w:rsid w:val="002C50C1"/>
    <w:pPr>
      <w:numPr>
        <w:numId w:val="16"/>
      </w:numPr>
      <w:spacing w:after="120"/>
      <w:contextualSpacing w:val="0"/>
    </w:pPr>
  </w:style>
  <w:style w:type="character" w:customStyle="1" w:styleId="bulletsChar">
    <w:name w:val="bullets Char"/>
    <w:basedOn w:val="DefaultParagraphFont"/>
    <w:link w:val="bullets"/>
    <w:uiPriority w:val="99"/>
    <w:locked/>
    <w:rsid w:val="002C50C1"/>
    <w:rPr>
      <w:rFonts w:asciiTheme="minorHAnsi" w:hAnsiTheme="minorHAnsi"/>
    </w:rPr>
  </w:style>
  <w:style w:type="paragraph" w:customStyle="1" w:styleId="StyleJustified">
    <w:name w:val="Style Justified"/>
    <w:basedOn w:val="Normal"/>
    <w:uiPriority w:val="99"/>
    <w:rsid w:val="002A4D5A"/>
    <w:pPr>
      <w:spacing w:before="40" w:after="160"/>
      <w:jc w:val="left"/>
    </w:pPr>
    <w:rPr>
      <w:rFonts w:ascii="Times New Roman" w:eastAsia="Times New Roman" w:hAnsi="Times New Roman"/>
      <w:sz w:val="24"/>
      <w:szCs w:val="20"/>
    </w:rPr>
  </w:style>
  <w:style w:type="paragraph" w:customStyle="1" w:styleId="Appendix">
    <w:name w:val="Appendix"/>
    <w:basedOn w:val="Heading9"/>
    <w:uiPriority w:val="99"/>
    <w:rsid w:val="002A4D5A"/>
    <w:pPr>
      <w:keepNext w:val="0"/>
      <w:keepLines w:val="0"/>
      <w:numPr>
        <w:ilvl w:val="0"/>
        <w:numId w:val="0"/>
      </w:numPr>
      <w:spacing w:before="40" w:after="240"/>
      <w:jc w:val="left"/>
    </w:pPr>
    <w:rPr>
      <w:rFonts w:ascii="Arial" w:hAnsi="Arial" w:cs="Arial"/>
      <w:b w:val="0"/>
      <w:bCs/>
      <w:i/>
      <w:sz w:val="36"/>
      <w:szCs w:val="22"/>
    </w:rPr>
  </w:style>
  <w:style w:type="paragraph" w:customStyle="1" w:styleId="Normal-Justified">
    <w:name w:val="Normal-Justified"/>
    <w:link w:val="Normal-JustifiedChar"/>
    <w:uiPriority w:val="99"/>
    <w:rsid w:val="002A4D5A"/>
    <w:pPr>
      <w:jc w:val="both"/>
    </w:pPr>
    <w:rPr>
      <w:rFonts w:ascii="Times New Roman" w:eastAsia="Times New Roman" w:hAnsi="Times New Roman"/>
      <w:sz w:val="20"/>
      <w:szCs w:val="20"/>
    </w:rPr>
  </w:style>
  <w:style w:type="character" w:customStyle="1" w:styleId="Normal-JustifiedChar">
    <w:name w:val="Normal-Justified Char"/>
    <w:basedOn w:val="DefaultParagraphFont"/>
    <w:link w:val="Normal-Justified"/>
    <w:uiPriority w:val="99"/>
    <w:locked/>
    <w:rsid w:val="002A4D5A"/>
    <w:rPr>
      <w:rFonts w:ascii="Times New Roman" w:eastAsia="Times New Roman" w:hAnsi="Times New Roman"/>
      <w:sz w:val="20"/>
      <w:szCs w:val="20"/>
    </w:rPr>
  </w:style>
  <w:style w:type="paragraph" w:styleId="Title">
    <w:name w:val="Title"/>
    <w:basedOn w:val="Normal"/>
    <w:next w:val="Normal"/>
    <w:link w:val="TitleChar"/>
    <w:uiPriority w:val="10"/>
    <w:qFormat/>
    <w:locked/>
    <w:rsid w:val="002A4D5A"/>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2A4D5A"/>
    <w:rPr>
      <w:rFonts w:ascii="Cambria" w:eastAsia="Times New Roman" w:hAnsi="Cambria"/>
      <w:b/>
      <w:bCs/>
      <w:kern w:val="28"/>
      <w:sz w:val="32"/>
      <w:szCs w:val="32"/>
    </w:rPr>
  </w:style>
  <w:style w:type="paragraph" w:customStyle="1" w:styleId="Justified">
    <w:name w:val="Justified"/>
    <w:basedOn w:val="Normal"/>
    <w:link w:val="JustifiedChar"/>
    <w:uiPriority w:val="99"/>
    <w:rsid w:val="002A4D5A"/>
    <w:pPr>
      <w:jc w:val="left"/>
    </w:pPr>
    <w:rPr>
      <w:rFonts w:ascii="Times New Roman" w:eastAsia="Times New Roman" w:hAnsi="Times New Roman"/>
      <w:sz w:val="24"/>
      <w:szCs w:val="20"/>
    </w:rPr>
  </w:style>
  <w:style w:type="paragraph" w:customStyle="1" w:styleId="TableContents">
    <w:name w:val="Table Contents"/>
    <w:basedOn w:val="Normal"/>
    <w:uiPriority w:val="99"/>
    <w:rsid w:val="002A4D5A"/>
    <w:pPr>
      <w:keepLines/>
      <w:widowControl w:val="0"/>
      <w:suppressAutoHyphens/>
      <w:jc w:val="left"/>
    </w:pPr>
    <w:rPr>
      <w:rFonts w:ascii="Times New Roman" w:eastAsia="Times New Roman" w:hAnsi="Times New Roman"/>
      <w:sz w:val="20"/>
      <w:szCs w:val="24"/>
    </w:rPr>
  </w:style>
  <w:style w:type="paragraph" w:customStyle="1" w:styleId="TableHeader-Column">
    <w:name w:val="Table Header - Column"/>
    <w:basedOn w:val="TableContents"/>
    <w:uiPriority w:val="99"/>
    <w:rsid w:val="002A4D5A"/>
    <w:pPr>
      <w:keepNext/>
    </w:pPr>
    <w:rPr>
      <w:b/>
    </w:rPr>
  </w:style>
  <w:style w:type="paragraph" w:customStyle="1" w:styleId="Justifiedbullets">
    <w:name w:val="Justified bullets"/>
    <w:basedOn w:val="Normal"/>
    <w:uiPriority w:val="99"/>
    <w:rsid w:val="002A4D5A"/>
    <w:pPr>
      <w:numPr>
        <w:numId w:val="10"/>
      </w:numPr>
      <w:tabs>
        <w:tab w:val="clear" w:pos="1080"/>
      </w:tabs>
      <w:spacing w:before="40" w:after="40"/>
      <w:ind w:left="720"/>
      <w:jc w:val="left"/>
    </w:pPr>
    <w:rPr>
      <w:rFonts w:ascii="Times New Roman" w:eastAsia="Times New Roman" w:hAnsi="Times New Roman"/>
      <w:sz w:val="24"/>
      <w:szCs w:val="20"/>
    </w:rPr>
  </w:style>
  <w:style w:type="paragraph" w:styleId="PlainText">
    <w:name w:val="Plain Text"/>
    <w:basedOn w:val="Normal"/>
    <w:link w:val="PlainTextChar"/>
    <w:uiPriority w:val="99"/>
    <w:locked/>
    <w:rsid w:val="002A4D5A"/>
    <w:pPr>
      <w:jc w:val="left"/>
    </w:pPr>
    <w:rPr>
      <w:rFonts w:ascii="Consolas" w:hAnsi="Consolas"/>
      <w:sz w:val="21"/>
      <w:szCs w:val="21"/>
    </w:rPr>
  </w:style>
  <w:style w:type="character" w:customStyle="1" w:styleId="PlainTextChar">
    <w:name w:val="Plain Text Char"/>
    <w:basedOn w:val="DefaultParagraphFont"/>
    <w:link w:val="PlainText"/>
    <w:uiPriority w:val="99"/>
    <w:rsid w:val="002A4D5A"/>
    <w:rPr>
      <w:rFonts w:ascii="Consolas" w:hAnsi="Consolas"/>
      <w:sz w:val="21"/>
      <w:szCs w:val="21"/>
    </w:rPr>
  </w:style>
  <w:style w:type="paragraph" w:customStyle="1" w:styleId="Numbered">
    <w:name w:val="Numbered"/>
    <w:basedOn w:val="Normal"/>
    <w:uiPriority w:val="99"/>
    <w:rsid w:val="00466F40"/>
    <w:pPr>
      <w:numPr>
        <w:numId w:val="11"/>
      </w:numPr>
      <w:spacing w:after="120"/>
      <w:jc w:val="left"/>
    </w:pPr>
    <w:rPr>
      <w:rFonts w:eastAsia="Times New Roman" w:cs="GillSans"/>
      <w:szCs w:val="24"/>
    </w:rPr>
  </w:style>
  <w:style w:type="paragraph" w:customStyle="1" w:styleId="tabletext0">
    <w:name w:val="table text"/>
    <w:basedOn w:val="Normal"/>
    <w:link w:val="tabletextChar"/>
    <w:uiPriority w:val="99"/>
    <w:rsid w:val="002A4D5A"/>
    <w:pPr>
      <w:spacing w:after="20"/>
      <w:jc w:val="left"/>
    </w:pPr>
    <w:rPr>
      <w:rFonts w:ascii="Arial Narrow" w:eastAsia="Times New Roman" w:hAnsi="Arial Narrow"/>
      <w:sz w:val="20"/>
      <w:szCs w:val="20"/>
    </w:rPr>
  </w:style>
  <w:style w:type="character" w:customStyle="1" w:styleId="tabletextChar">
    <w:name w:val="table text Char"/>
    <w:basedOn w:val="DefaultParagraphFont"/>
    <w:link w:val="tabletext0"/>
    <w:uiPriority w:val="99"/>
    <w:locked/>
    <w:rsid w:val="002A4D5A"/>
    <w:rPr>
      <w:rFonts w:ascii="Arial Narrow" w:eastAsia="Times New Roman" w:hAnsi="Arial Narrow"/>
      <w:sz w:val="20"/>
      <w:szCs w:val="20"/>
    </w:rPr>
  </w:style>
  <w:style w:type="character" w:customStyle="1" w:styleId="JustifiedChar">
    <w:name w:val="Justified Char"/>
    <w:basedOn w:val="DefaultParagraphFont"/>
    <w:link w:val="Justified"/>
    <w:uiPriority w:val="99"/>
    <w:locked/>
    <w:rsid w:val="002A4D5A"/>
    <w:rPr>
      <w:rFonts w:ascii="Times New Roman" w:eastAsia="Times New Roman" w:hAnsi="Times New Roman"/>
      <w:sz w:val="24"/>
      <w:szCs w:val="20"/>
    </w:rPr>
  </w:style>
  <w:style w:type="character" w:customStyle="1" w:styleId="TableCaptionCharChar1">
    <w:name w:val="Table Caption Char Char1"/>
    <w:aliases w:val="Table Caption Char2,Char Char1"/>
    <w:basedOn w:val="DefaultParagraphFont"/>
    <w:uiPriority w:val="99"/>
    <w:locked/>
    <w:rsid w:val="002A4D5A"/>
    <w:rPr>
      <w:rFonts w:ascii="Times New Roman" w:hAnsi="Times New Roman" w:cs="Times New Roman"/>
      <w:b/>
      <w:bCs/>
      <w:sz w:val="18"/>
      <w:szCs w:val="18"/>
    </w:rPr>
  </w:style>
  <w:style w:type="paragraph" w:customStyle="1" w:styleId="Bullets-justified">
    <w:name w:val="Bullets-justified"/>
    <w:uiPriority w:val="99"/>
    <w:rsid w:val="002A4D5A"/>
    <w:pPr>
      <w:numPr>
        <w:numId w:val="12"/>
      </w:numPr>
      <w:spacing w:before="80" w:after="160"/>
      <w:jc w:val="both"/>
    </w:pPr>
    <w:rPr>
      <w:rFonts w:ascii="Times New Roman" w:eastAsia="Times New Roman" w:hAnsi="Times New Roman"/>
      <w:sz w:val="24"/>
      <w:szCs w:val="24"/>
    </w:rPr>
  </w:style>
  <w:style w:type="character" w:styleId="FollowedHyperlink">
    <w:name w:val="FollowedHyperlink"/>
    <w:basedOn w:val="DefaultParagraphFont"/>
    <w:uiPriority w:val="99"/>
    <w:semiHidden/>
    <w:locked/>
    <w:rsid w:val="002A4D5A"/>
    <w:rPr>
      <w:rFonts w:cs="Times New Roman"/>
      <w:color w:val="800080"/>
      <w:u w:val="single"/>
    </w:rPr>
  </w:style>
  <w:style w:type="paragraph" w:styleId="TableofFigures">
    <w:name w:val="table of figures"/>
    <w:basedOn w:val="Normal"/>
    <w:next w:val="Normal"/>
    <w:uiPriority w:val="99"/>
    <w:locked/>
    <w:rsid w:val="005923AF"/>
    <w:pPr>
      <w:spacing w:after="80"/>
      <w:jc w:val="left"/>
    </w:pPr>
    <w:rPr>
      <w:rFonts w:ascii="Century Gothic" w:hAnsi="Century Gothic"/>
      <w:sz w:val="18"/>
    </w:rPr>
  </w:style>
  <w:style w:type="paragraph" w:styleId="ListNumber">
    <w:name w:val="List Number"/>
    <w:basedOn w:val="Normal"/>
    <w:uiPriority w:val="99"/>
    <w:locked/>
    <w:rsid w:val="002A4D5A"/>
    <w:pPr>
      <w:numPr>
        <w:numId w:val="13"/>
      </w:numPr>
      <w:ind w:left="720" w:hanging="360"/>
      <w:contextualSpacing/>
      <w:jc w:val="left"/>
    </w:pPr>
    <w:rPr>
      <w:rFonts w:ascii="Calibri" w:hAnsi="Calibri"/>
    </w:rPr>
  </w:style>
  <w:style w:type="paragraph" w:styleId="Subtitle">
    <w:name w:val="Subtitle"/>
    <w:basedOn w:val="Normal"/>
    <w:link w:val="SubtitleChar"/>
    <w:uiPriority w:val="11"/>
    <w:qFormat/>
    <w:locked/>
    <w:rsid w:val="002A4D5A"/>
    <w:pPr>
      <w:spacing w:before="40" w:after="160"/>
      <w:ind w:right="-18"/>
      <w:jc w:val="right"/>
      <w:outlineLvl w:val="1"/>
    </w:pPr>
    <w:rPr>
      <w:rFonts w:ascii="Arial" w:eastAsia="Times New Roman" w:hAnsi="Arial" w:cs="Arial"/>
      <w:sz w:val="26"/>
      <w:szCs w:val="24"/>
    </w:rPr>
  </w:style>
  <w:style w:type="character" w:customStyle="1" w:styleId="SubtitleChar">
    <w:name w:val="Subtitle Char"/>
    <w:basedOn w:val="DefaultParagraphFont"/>
    <w:link w:val="Subtitle"/>
    <w:uiPriority w:val="11"/>
    <w:rsid w:val="002A4D5A"/>
    <w:rPr>
      <w:rFonts w:ascii="Arial" w:eastAsia="Times New Roman" w:hAnsi="Arial" w:cs="Arial"/>
      <w:sz w:val="26"/>
      <w:szCs w:val="24"/>
    </w:rPr>
  </w:style>
  <w:style w:type="paragraph" w:customStyle="1" w:styleId="toctitle">
    <w:name w:val="toc title"/>
    <w:basedOn w:val="Heading9"/>
    <w:uiPriority w:val="99"/>
    <w:rsid w:val="002A4D5A"/>
    <w:pPr>
      <w:keepNext w:val="0"/>
      <w:keepLines w:val="0"/>
      <w:numPr>
        <w:ilvl w:val="0"/>
        <w:numId w:val="0"/>
      </w:numPr>
      <w:tabs>
        <w:tab w:val="left" w:pos="720"/>
      </w:tabs>
      <w:jc w:val="left"/>
      <w:outlineLvl w:val="0"/>
    </w:pPr>
    <w:rPr>
      <w:rFonts w:ascii="Arial" w:hAnsi="Arial" w:cs="Arial"/>
      <w:b w:val="0"/>
      <w:bCs/>
      <w:i/>
      <w:sz w:val="36"/>
      <w:szCs w:val="22"/>
    </w:rPr>
  </w:style>
  <w:style w:type="paragraph" w:customStyle="1" w:styleId="tablenote">
    <w:name w:val="table note"/>
    <w:basedOn w:val="Normal"/>
    <w:uiPriority w:val="99"/>
    <w:rsid w:val="002A4D5A"/>
    <w:pPr>
      <w:spacing w:before="20"/>
      <w:ind w:left="270" w:hanging="270"/>
      <w:jc w:val="left"/>
    </w:pPr>
    <w:rPr>
      <w:rFonts w:ascii="Arial Narrow" w:eastAsia="Times New Roman" w:hAnsi="Arial Narrow"/>
      <w:sz w:val="20"/>
      <w:szCs w:val="24"/>
    </w:rPr>
  </w:style>
  <w:style w:type="paragraph" w:customStyle="1" w:styleId="tableheading">
    <w:name w:val="table heading"/>
    <w:basedOn w:val="Normal"/>
    <w:uiPriority w:val="99"/>
    <w:rsid w:val="002A4D5A"/>
    <w:pPr>
      <w:spacing w:before="40" w:after="40"/>
      <w:jc w:val="center"/>
    </w:pPr>
    <w:rPr>
      <w:rFonts w:ascii="Arial Narrow" w:hAnsi="Arial Narrow"/>
      <w:b/>
      <w:color w:val="DBE5F1"/>
      <w:sz w:val="24"/>
    </w:rPr>
  </w:style>
  <w:style w:type="paragraph" w:customStyle="1" w:styleId="figurestyle">
    <w:name w:val="figure style"/>
    <w:basedOn w:val="Normal"/>
    <w:uiPriority w:val="99"/>
    <w:rsid w:val="002A4D5A"/>
    <w:pPr>
      <w:keepNext/>
      <w:numPr>
        <w:numId w:val="14"/>
      </w:numPr>
      <w:tabs>
        <w:tab w:val="clear" w:pos="720"/>
      </w:tabs>
      <w:spacing w:before="240" w:after="80"/>
      <w:ind w:left="0" w:firstLine="0"/>
      <w:jc w:val="center"/>
    </w:pPr>
    <w:rPr>
      <w:rFonts w:ascii="Times New Roman" w:eastAsia="Times New Roman" w:hAnsi="Times New Roman"/>
      <w:b/>
      <w:sz w:val="24"/>
      <w:szCs w:val="24"/>
    </w:rPr>
  </w:style>
  <w:style w:type="paragraph" w:customStyle="1" w:styleId="Heading1-No">
    <w:name w:val="Heading 1-No #"/>
    <w:basedOn w:val="Heading1"/>
    <w:next w:val="Normal"/>
    <w:qFormat/>
    <w:rsid w:val="00E02D8D"/>
    <w:pPr>
      <w:numPr>
        <w:numId w:val="0"/>
      </w:numPr>
      <w:tabs>
        <w:tab w:val="left" w:pos="720"/>
      </w:tabs>
      <w:spacing w:before="40" w:after="240"/>
      <w:jc w:val="right"/>
    </w:pPr>
    <w:rPr>
      <w:rFonts w:cs="Arial"/>
      <w:iCs/>
    </w:rPr>
  </w:style>
  <w:style w:type="paragraph" w:customStyle="1" w:styleId="Subtitle-Left">
    <w:name w:val="Subtitle-Left"/>
    <w:uiPriority w:val="99"/>
    <w:rsid w:val="002A4D5A"/>
    <w:pPr>
      <w:spacing w:before="240" w:after="40"/>
    </w:pPr>
    <w:rPr>
      <w:rFonts w:ascii="Arial" w:eastAsia="Times New Roman" w:hAnsi="Arial" w:cs="Arial"/>
      <w:sz w:val="26"/>
      <w:szCs w:val="24"/>
    </w:rPr>
  </w:style>
  <w:style w:type="paragraph" w:customStyle="1" w:styleId="Subtitle-Right">
    <w:name w:val="Subtitle-Right"/>
    <w:uiPriority w:val="99"/>
    <w:rsid w:val="002A4D5A"/>
    <w:pPr>
      <w:spacing w:before="40" w:after="160"/>
      <w:jc w:val="right"/>
    </w:pPr>
    <w:rPr>
      <w:rFonts w:ascii="Arial" w:eastAsia="Times New Roman" w:hAnsi="Arial"/>
      <w:sz w:val="28"/>
      <w:szCs w:val="24"/>
    </w:rPr>
  </w:style>
  <w:style w:type="paragraph" w:customStyle="1" w:styleId="Footer-Proposal">
    <w:name w:val="Footer-Proposal"/>
    <w:uiPriority w:val="99"/>
    <w:rsid w:val="002A4D5A"/>
    <w:pPr>
      <w:pBdr>
        <w:top w:val="single" w:sz="4" w:space="1" w:color="365F91"/>
      </w:pBdr>
    </w:pPr>
    <w:rPr>
      <w:rFonts w:ascii="Arial" w:eastAsia="Times New Roman" w:hAnsi="Arial" w:cs="Arial"/>
      <w:noProof/>
      <w:color w:val="365F91"/>
    </w:rPr>
  </w:style>
  <w:style w:type="paragraph" w:customStyle="1" w:styleId="Header-proposal">
    <w:name w:val="Header-proposal"/>
    <w:uiPriority w:val="99"/>
    <w:rsid w:val="002A4D5A"/>
    <w:pPr>
      <w:pBdr>
        <w:bottom w:val="single" w:sz="4" w:space="1" w:color="365F91"/>
      </w:pBdr>
      <w:tabs>
        <w:tab w:val="right" w:pos="9000"/>
      </w:tabs>
    </w:pPr>
    <w:rPr>
      <w:rFonts w:ascii="Arial" w:eastAsia="Times New Roman" w:hAnsi="Arial"/>
      <w:color w:val="365F91"/>
      <w:szCs w:val="20"/>
    </w:rPr>
  </w:style>
  <w:style w:type="paragraph" w:styleId="BodyText">
    <w:name w:val="Body Text"/>
    <w:basedOn w:val="Normal"/>
    <w:link w:val="BodyTextChar"/>
    <w:uiPriority w:val="99"/>
    <w:locked/>
    <w:rsid w:val="002A4D5A"/>
    <w:pPr>
      <w:overflowPunct w:val="0"/>
      <w:autoSpaceDE w:val="0"/>
      <w:autoSpaceDN w:val="0"/>
      <w:adjustRightInd w:val="0"/>
      <w:spacing w:line="288" w:lineRule="auto"/>
      <w:ind w:right="-187"/>
      <w:jc w:val="left"/>
      <w:textAlignment w:val="baseline"/>
    </w:pPr>
    <w:rPr>
      <w:rFonts w:ascii="Arial" w:eastAsia="Times New Roman" w:hAnsi="Arial"/>
      <w:sz w:val="20"/>
      <w:szCs w:val="20"/>
    </w:rPr>
  </w:style>
  <w:style w:type="character" w:customStyle="1" w:styleId="BodyTextChar">
    <w:name w:val="Body Text Char"/>
    <w:basedOn w:val="DefaultParagraphFont"/>
    <w:link w:val="BodyText"/>
    <w:uiPriority w:val="99"/>
    <w:rsid w:val="002A4D5A"/>
    <w:rPr>
      <w:rFonts w:ascii="Arial" w:eastAsia="Times New Roman" w:hAnsi="Arial"/>
      <w:sz w:val="20"/>
      <w:szCs w:val="20"/>
    </w:rPr>
  </w:style>
  <w:style w:type="paragraph" w:customStyle="1" w:styleId="Equation">
    <w:name w:val="Equation"/>
    <w:basedOn w:val="BodyTextIndent3"/>
    <w:uiPriority w:val="99"/>
    <w:rsid w:val="002A4D5A"/>
    <w:pPr>
      <w:tabs>
        <w:tab w:val="left" w:pos="720"/>
        <w:tab w:val="left" w:pos="2880"/>
      </w:tabs>
      <w:overflowPunct w:val="0"/>
      <w:autoSpaceDE w:val="0"/>
      <w:autoSpaceDN w:val="0"/>
      <w:adjustRightInd w:val="0"/>
      <w:spacing w:before="0" w:after="200" w:line="288" w:lineRule="auto"/>
      <w:ind w:left="2880" w:hanging="2880"/>
      <w:textAlignment w:val="baseline"/>
    </w:pPr>
    <w:rPr>
      <w:rFonts w:eastAsia="Calibri"/>
      <w:i/>
    </w:rPr>
  </w:style>
  <w:style w:type="paragraph" w:styleId="BodyTextIndent3">
    <w:name w:val="Body Text Indent 3"/>
    <w:basedOn w:val="Normal"/>
    <w:link w:val="BodyTextIndent3Char"/>
    <w:uiPriority w:val="99"/>
    <w:locked/>
    <w:rsid w:val="002A4D5A"/>
    <w:pPr>
      <w:spacing w:before="40" w:after="120"/>
      <w:ind w:left="360"/>
      <w:jc w:val="left"/>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uiPriority w:val="99"/>
    <w:rsid w:val="002A4D5A"/>
    <w:rPr>
      <w:rFonts w:ascii="Times New Roman" w:eastAsia="Times New Roman" w:hAnsi="Times New Roman"/>
      <w:sz w:val="16"/>
      <w:szCs w:val="16"/>
    </w:rPr>
  </w:style>
  <w:style w:type="paragraph" w:customStyle="1" w:styleId="TableCell">
    <w:name w:val="TableCell"/>
    <w:basedOn w:val="Normal"/>
    <w:link w:val="TableCellChar"/>
    <w:uiPriority w:val="99"/>
    <w:rsid w:val="002A4D5A"/>
    <w:pPr>
      <w:keepNext/>
      <w:tabs>
        <w:tab w:val="left" w:pos="720"/>
      </w:tabs>
      <w:overflowPunct w:val="0"/>
      <w:autoSpaceDE w:val="0"/>
      <w:autoSpaceDN w:val="0"/>
      <w:adjustRightInd w:val="0"/>
      <w:spacing w:before="120" w:after="120" w:line="288" w:lineRule="auto"/>
      <w:jc w:val="left"/>
      <w:textAlignment w:val="baseline"/>
    </w:pPr>
    <w:rPr>
      <w:rFonts w:ascii="Arial" w:hAnsi="Arial"/>
      <w:sz w:val="18"/>
      <w:szCs w:val="20"/>
    </w:rPr>
  </w:style>
  <w:style w:type="character" w:customStyle="1" w:styleId="TableCellChar">
    <w:name w:val="TableCell Char"/>
    <w:link w:val="TableCell"/>
    <w:uiPriority w:val="99"/>
    <w:locked/>
    <w:rsid w:val="002A4D5A"/>
    <w:rPr>
      <w:rFonts w:ascii="Arial" w:hAnsi="Arial"/>
      <w:sz w:val="18"/>
      <w:szCs w:val="20"/>
    </w:rPr>
  </w:style>
  <w:style w:type="character" w:styleId="IntenseReference">
    <w:name w:val="Intense Reference"/>
    <w:basedOn w:val="DefaultParagraphFont"/>
    <w:uiPriority w:val="32"/>
    <w:qFormat/>
    <w:rsid w:val="002A4D5A"/>
    <w:rPr>
      <w:b/>
      <w:bCs/>
      <w:smallCaps/>
      <w:color w:val="C0504D" w:themeColor="accent2"/>
      <w:spacing w:val="5"/>
      <w:u w:val="single"/>
    </w:rPr>
  </w:style>
  <w:style w:type="paragraph" w:customStyle="1" w:styleId="BulletsLast">
    <w:name w:val="Bullets Last"/>
    <w:basedOn w:val="bullets"/>
    <w:uiPriority w:val="99"/>
    <w:rsid w:val="002A4D5A"/>
    <w:pPr>
      <w:spacing w:after="240"/>
    </w:pPr>
  </w:style>
  <w:style w:type="character" w:styleId="PageNumber">
    <w:name w:val="page number"/>
    <w:basedOn w:val="DefaultParagraphFont"/>
    <w:uiPriority w:val="99"/>
    <w:locked/>
    <w:rsid w:val="002A4D5A"/>
  </w:style>
  <w:style w:type="paragraph" w:customStyle="1" w:styleId="memoaddress">
    <w:name w:val="memo address"/>
    <w:basedOn w:val="BodyTextIndent"/>
    <w:uiPriority w:val="99"/>
    <w:rsid w:val="002A4D5A"/>
    <w:pPr>
      <w:tabs>
        <w:tab w:val="left" w:pos="1350"/>
      </w:tabs>
      <w:ind w:left="0"/>
    </w:pPr>
    <w:rPr>
      <w:rFonts w:ascii="Arial" w:hAnsi="Arial"/>
      <w:b/>
    </w:rPr>
  </w:style>
  <w:style w:type="paragraph" w:styleId="BodyTextIndent">
    <w:name w:val="Body Text Indent"/>
    <w:basedOn w:val="Normal"/>
    <w:link w:val="BodyTextIndentChar"/>
    <w:locked/>
    <w:rsid w:val="002A4D5A"/>
    <w:pPr>
      <w:spacing w:before="40" w:after="160"/>
      <w:ind w:left="360"/>
      <w:jc w:val="left"/>
    </w:pPr>
    <w:rPr>
      <w:rFonts w:ascii="Times New Roman" w:eastAsia="Times New Roman" w:hAnsi="Times New Roman"/>
      <w:sz w:val="24"/>
      <w:szCs w:val="20"/>
    </w:rPr>
  </w:style>
  <w:style w:type="character" w:customStyle="1" w:styleId="BodyTextIndentChar">
    <w:name w:val="Body Text Indent Char"/>
    <w:basedOn w:val="DefaultParagraphFont"/>
    <w:link w:val="BodyTextIndent"/>
    <w:rsid w:val="002A4D5A"/>
    <w:rPr>
      <w:rFonts w:ascii="Times New Roman" w:eastAsia="Times New Roman" w:hAnsi="Times New Roman"/>
      <w:sz w:val="24"/>
      <w:szCs w:val="20"/>
    </w:rPr>
  </w:style>
  <w:style w:type="paragraph" w:customStyle="1" w:styleId="CM1">
    <w:name w:val="CM1"/>
    <w:link w:val="CM1Char"/>
    <w:rsid w:val="002A4D5A"/>
    <w:pPr>
      <w:widowControl w:val="0"/>
      <w:tabs>
        <w:tab w:val="left" w:pos="-360"/>
        <w:tab w:val="center" w:pos="4680"/>
        <w:tab w:val="left" w:pos="8208"/>
        <w:tab w:val="left" w:pos="8568"/>
      </w:tabs>
      <w:autoSpaceDE w:val="0"/>
      <w:autoSpaceDN w:val="0"/>
      <w:adjustRightInd w:val="0"/>
      <w:spacing w:line="207" w:lineRule="exact"/>
      <w:ind w:left="-720" w:right="-720"/>
    </w:pPr>
    <w:rPr>
      <w:rFonts w:ascii="Humanst521 BT" w:eastAsia="Times New Roman" w:hAnsi="Humanst521 BT" w:cs="Humanst521 BT"/>
      <w:color w:val="003A6F"/>
      <w:sz w:val="18"/>
      <w:szCs w:val="24"/>
    </w:rPr>
  </w:style>
  <w:style w:type="paragraph" w:customStyle="1" w:styleId="CM1Italic">
    <w:name w:val="CM1 Italic"/>
    <w:basedOn w:val="CM1"/>
    <w:next w:val="CM1"/>
    <w:link w:val="CM1ItalicChar"/>
    <w:rsid w:val="002A4D5A"/>
    <w:pPr>
      <w:tabs>
        <w:tab w:val="left" w:pos="360"/>
        <w:tab w:val="center" w:pos="5400"/>
        <w:tab w:val="left" w:pos="8928"/>
        <w:tab w:val="left" w:pos="9288"/>
      </w:tabs>
    </w:pPr>
    <w:rPr>
      <w:i/>
    </w:rPr>
  </w:style>
  <w:style w:type="character" w:customStyle="1" w:styleId="CM1Char">
    <w:name w:val="CM1 Char"/>
    <w:basedOn w:val="DefaultParagraphFont"/>
    <w:link w:val="CM1"/>
    <w:rsid w:val="002A4D5A"/>
    <w:rPr>
      <w:rFonts w:ascii="Humanst521 BT" w:eastAsia="Times New Roman" w:hAnsi="Humanst521 BT" w:cs="Humanst521 BT"/>
      <w:color w:val="003A6F"/>
      <w:sz w:val="18"/>
      <w:szCs w:val="24"/>
    </w:rPr>
  </w:style>
  <w:style w:type="character" w:customStyle="1" w:styleId="CM1ItalicChar">
    <w:name w:val="CM1 Italic Char"/>
    <w:basedOn w:val="CM1Char"/>
    <w:link w:val="CM1Italic"/>
    <w:rsid w:val="002A4D5A"/>
    <w:rPr>
      <w:rFonts w:ascii="Humanst521 BT" w:eastAsia="Times New Roman" w:hAnsi="Humanst521 BT" w:cs="Humanst521 BT"/>
      <w:i/>
      <w:color w:val="003A6F"/>
      <w:sz w:val="18"/>
      <w:szCs w:val="24"/>
    </w:rPr>
  </w:style>
  <w:style w:type="paragraph" w:customStyle="1" w:styleId="CM1Cyan">
    <w:name w:val="CM1 Cyan"/>
    <w:basedOn w:val="CM1"/>
    <w:next w:val="CM1"/>
    <w:link w:val="CM1CyanChar"/>
    <w:rsid w:val="002A4D5A"/>
    <w:pPr>
      <w:tabs>
        <w:tab w:val="left" w:pos="360"/>
        <w:tab w:val="center" w:pos="5400"/>
        <w:tab w:val="left" w:pos="8928"/>
        <w:tab w:val="left" w:pos="9288"/>
      </w:tabs>
    </w:pPr>
    <w:rPr>
      <w:color w:val="00ADEF"/>
      <w:szCs w:val="18"/>
    </w:rPr>
  </w:style>
  <w:style w:type="character" w:customStyle="1" w:styleId="CM1CyanChar">
    <w:name w:val="CM1 Cyan Char"/>
    <w:basedOn w:val="CM1Char"/>
    <w:link w:val="CM1Cyan"/>
    <w:rsid w:val="002A4D5A"/>
    <w:rPr>
      <w:rFonts w:ascii="Humanst521 BT" w:eastAsia="Times New Roman" w:hAnsi="Humanst521 BT" w:cs="Humanst521 BT"/>
      <w:color w:val="00ADEF"/>
      <w:sz w:val="18"/>
      <w:szCs w:val="18"/>
    </w:rPr>
  </w:style>
  <w:style w:type="paragraph" w:customStyle="1" w:styleId="resumenormal">
    <w:name w:val="resume normal"/>
    <w:basedOn w:val="Normal"/>
    <w:rsid w:val="002A4D5A"/>
    <w:pPr>
      <w:widowControl w:val="0"/>
      <w:spacing w:before="40" w:after="160"/>
      <w:jc w:val="left"/>
    </w:pPr>
    <w:rPr>
      <w:rFonts w:ascii="Times New Roman" w:eastAsia="Times New Roman" w:hAnsi="Times New Roman"/>
      <w:bCs/>
      <w:szCs w:val="20"/>
    </w:rPr>
  </w:style>
  <w:style w:type="paragraph" w:customStyle="1" w:styleId="Position">
    <w:name w:val="Position"/>
    <w:basedOn w:val="Normal"/>
    <w:rsid w:val="002A4D5A"/>
    <w:pPr>
      <w:keepNext/>
      <w:keepLines/>
      <w:widowControl w:val="0"/>
      <w:tabs>
        <w:tab w:val="right" w:pos="9360"/>
      </w:tabs>
      <w:spacing w:before="160" w:after="40"/>
      <w:jc w:val="left"/>
    </w:pPr>
    <w:rPr>
      <w:rFonts w:ascii="Times New Roman" w:eastAsia="Times New Roman" w:hAnsi="Times New Roman"/>
      <w:b/>
      <w:szCs w:val="20"/>
    </w:rPr>
  </w:style>
  <w:style w:type="character" w:styleId="Strong">
    <w:name w:val="Strong"/>
    <w:basedOn w:val="DefaultParagraphFont"/>
    <w:qFormat/>
    <w:locked/>
    <w:rsid w:val="002A4D5A"/>
    <w:rPr>
      <w:b/>
      <w:bCs/>
    </w:rPr>
  </w:style>
  <w:style w:type="character" w:customStyle="1" w:styleId="ListParagraphChar">
    <w:name w:val="List Paragraph Char"/>
    <w:aliases w:val="TOC etc. Char"/>
    <w:basedOn w:val="DefaultParagraphFont"/>
    <w:link w:val="ListParagraph"/>
    <w:uiPriority w:val="34"/>
    <w:rsid w:val="002E649A"/>
    <w:rPr>
      <w:rFonts w:asciiTheme="minorHAnsi" w:hAnsiTheme="minorHAnsi"/>
    </w:rPr>
  </w:style>
  <w:style w:type="paragraph" w:customStyle="1" w:styleId="Bullet-Last">
    <w:name w:val="Bullet-Last"/>
    <w:qFormat/>
    <w:rsid w:val="007470E7"/>
    <w:pPr>
      <w:numPr>
        <w:numId w:val="15"/>
      </w:numPr>
      <w:spacing w:after="240"/>
    </w:pPr>
    <w:rPr>
      <w:rFonts w:ascii="Times New Roman" w:eastAsiaTheme="minorHAnsi" w:hAnsi="Times New Roman"/>
      <w:sz w:val="24"/>
      <w:szCs w:val="24"/>
    </w:rPr>
  </w:style>
  <w:style w:type="paragraph" w:customStyle="1" w:styleId="Bullet">
    <w:name w:val="Bullet"/>
    <w:rsid w:val="007470E7"/>
    <w:pPr>
      <w:widowControl w:val="0"/>
      <w:tabs>
        <w:tab w:val="num" w:pos="1080"/>
      </w:tabs>
      <w:spacing w:after="120"/>
      <w:ind w:left="720" w:hanging="360"/>
    </w:pPr>
    <w:rPr>
      <w:rFonts w:ascii="Times New Roman" w:eastAsiaTheme="minorHAnsi" w:hAnsi="Times New Roman" w:cstheme="minorBidi"/>
      <w:sz w:val="24"/>
    </w:rPr>
  </w:style>
  <w:style w:type="table" w:styleId="MediumShading1-Accent3">
    <w:name w:val="Medium Shading 1 Accent 3"/>
    <w:basedOn w:val="TableNormal"/>
    <w:uiPriority w:val="63"/>
    <w:rsid w:val="008C38EF"/>
    <w:rPr>
      <w:rFonts w:asciiTheme="minorHAnsi" w:eastAsiaTheme="minorHAnsi" w:hAnsiTheme="minorHAnsi" w:cstheme="minorBidi"/>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tablestyle">
    <w:name w:val="table style"/>
    <w:basedOn w:val="Normal"/>
    <w:rsid w:val="00FB0B88"/>
    <w:pPr>
      <w:keepNext/>
      <w:numPr>
        <w:numId w:val="17"/>
      </w:numPr>
      <w:spacing w:before="120" w:after="120"/>
      <w:jc w:val="center"/>
    </w:pPr>
    <w:rPr>
      <w:rFonts w:ascii="Times New Roman" w:eastAsia="Times New Roman" w:hAnsi="Times New Roman"/>
      <w:b/>
      <w:sz w:val="24"/>
      <w:szCs w:val="20"/>
    </w:rPr>
  </w:style>
  <w:style w:type="paragraph" w:customStyle="1" w:styleId="xl65">
    <w:name w:val="xl65"/>
    <w:basedOn w:val="Normal"/>
    <w:rsid w:val="00636F36"/>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rFonts w:ascii="Times New Roman" w:eastAsia="Times New Roman" w:hAnsi="Times New Roman"/>
      <w:b/>
      <w:bCs/>
      <w:color w:val="000000"/>
      <w:sz w:val="24"/>
      <w:szCs w:val="24"/>
    </w:rPr>
  </w:style>
  <w:style w:type="paragraph" w:customStyle="1" w:styleId="xl66">
    <w:name w:val="xl66"/>
    <w:basedOn w:val="Normal"/>
    <w:rsid w:val="00636F36"/>
    <w:pPr>
      <w:pBdr>
        <w:left w:val="single" w:sz="4" w:space="0" w:color="auto"/>
        <w:right w:val="single" w:sz="4" w:space="0" w:color="auto"/>
      </w:pBdr>
      <w:shd w:val="clear" w:color="000000" w:fill="538DD5"/>
      <w:spacing w:before="100" w:beforeAutospacing="1" w:after="100" w:afterAutospacing="1"/>
      <w:jc w:val="center"/>
      <w:textAlignment w:val="center"/>
    </w:pPr>
    <w:rPr>
      <w:rFonts w:ascii="Times New Roman" w:eastAsia="Times New Roman" w:hAnsi="Times New Roman"/>
      <w:b/>
      <w:bCs/>
      <w:color w:val="000000"/>
      <w:sz w:val="24"/>
      <w:szCs w:val="24"/>
    </w:rPr>
  </w:style>
  <w:style w:type="paragraph" w:customStyle="1" w:styleId="xl67">
    <w:name w:val="xl67"/>
    <w:basedOn w:val="Normal"/>
    <w:rsid w:val="00636F3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rPr>
  </w:style>
  <w:style w:type="paragraph" w:customStyle="1" w:styleId="xl68">
    <w:name w:val="xl68"/>
    <w:basedOn w:val="Normal"/>
    <w:rsid w:val="00636F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rPr>
  </w:style>
  <w:style w:type="paragraph" w:customStyle="1" w:styleId="xl69">
    <w:name w:val="xl69"/>
    <w:basedOn w:val="Normal"/>
    <w:rsid w:val="00636F3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rPr>
  </w:style>
  <w:style w:type="table" w:customStyle="1" w:styleId="TableGrid1">
    <w:name w:val="Table Grid1"/>
    <w:basedOn w:val="TableNormal"/>
    <w:next w:val="TableGrid"/>
    <w:uiPriority w:val="99"/>
    <w:rsid w:val="00B80AD1"/>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99"/>
    <w:rsid w:val="00B80AD1"/>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99"/>
    <w:rsid w:val="000C7EAE"/>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99"/>
    <w:rsid w:val="000C7EAE"/>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99"/>
    <w:rsid w:val="000C7EAE"/>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99"/>
    <w:rsid w:val="00311F16"/>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99"/>
    <w:rsid w:val="0075217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99"/>
    <w:rsid w:val="00D826F5"/>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99"/>
    <w:rsid w:val="00D826F5"/>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99"/>
    <w:rsid w:val="002020D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igure">
    <w:name w:val="Figure"/>
    <w:basedOn w:val="NormalSpacer"/>
    <w:qFormat/>
    <w:rsid w:val="00442FAF"/>
    <w:pPr>
      <w:spacing w:before="40" w:after="40"/>
      <w:jc w:val="center"/>
    </w:pPr>
    <w:rPr>
      <w:noProof/>
    </w:rPr>
  </w:style>
  <w:style w:type="table" w:customStyle="1" w:styleId="LightShading1">
    <w:name w:val="Light Shading1"/>
    <w:basedOn w:val="TableNormal"/>
    <w:uiPriority w:val="60"/>
    <w:rsid w:val="00014E1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Text-rightjustified">
    <w:name w:val="Table Text-right justified"/>
    <w:basedOn w:val="Normal"/>
    <w:qFormat/>
    <w:rsid w:val="00764D56"/>
    <w:pPr>
      <w:keepNext/>
      <w:spacing w:before="20" w:after="20"/>
      <w:ind w:left="14" w:right="14"/>
      <w:jc w:val="right"/>
    </w:pPr>
    <w:rPr>
      <w:rFonts w:ascii="Arial Narrow" w:eastAsia="Times New Roman" w:hAnsi="Arial Narrow"/>
      <w:sz w:val="20"/>
      <w:szCs w:val="20"/>
    </w:rPr>
  </w:style>
  <w:style w:type="table" w:styleId="MediumShading1-Accent5">
    <w:name w:val="Medium Shading 1 Accent 5"/>
    <w:basedOn w:val="TableNormal"/>
    <w:uiPriority w:val="63"/>
    <w:rsid w:val="00586985"/>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PECOTeal">
    <w:name w:val="PECO_Teal"/>
    <w:basedOn w:val="MediumShading1-Accent5"/>
    <w:uiPriority w:val="99"/>
    <w:rsid w:val="00B86E33"/>
    <w:rPr>
      <w:sz w:val="18"/>
    </w:rPr>
    <w:tblPr/>
    <w:trPr>
      <w:cantSplit/>
    </w:trPr>
    <w:tcPr>
      <w:vAlign w:val="center"/>
    </w:tcPr>
    <w:tblStylePr w:type="firstRow">
      <w:pPr>
        <w:spacing w:before="0" w:after="0" w:line="240" w:lineRule="auto"/>
      </w:pPr>
      <w:rPr>
        <w:rFonts w:asciiTheme="minorHAnsi" w:hAnsiTheme="minorHAnsi"/>
        <w:b/>
        <w:bCs/>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shd w:val="clear" w:color="auto" w:fill="448A99"/>
      </w:tcPr>
    </w:tblStylePr>
    <w:tblStylePr w:type="lastRow">
      <w:pPr>
        <w:spacing w:before="0" w:after="0" w:line="240" w:lineRule="auto"/>
      </w:pPr>
      <w:rPr>
        <w:rFonts w:asciiTheme="minorHAnsi" w:hAnsiTheme="minorHAnsi"/>
        <w:b/>
        <w:bCs/>
        <w:sz w:val="18"/>
      </w:rPr>
      <w:tblPr/>
      <w:tcPr>
        <w:tcBorders>
          <w:top w:val="double" w:sz="4" w:space="0" w:color="448A99"/>
          <w:left w:val="single" w:sz="4" w:space="0" w:color="448A99"/>
          <w:bottom w:val="single" w:sz="4" w:space="0" w:color="448A99"/>
          <w:right w:val="single" w:sz="4" w:space="0" w:color="448A99"/>
          <w:insideH w:val="nil"/>
          <w:insideV w:val="single" w:sz="4" w:space="0" w:color="448A99"/>
        </w:tcBorders>
      </w:tcPr>
    </w:tblStylePr>
    <w:tblStylePr w:type="firstCol">
      <w:rPr>
        <w:b/>
        <w:bCs/>
      </w:rPr>
    </w:tblStylePr>
    <w:tblStylePr w:type="lastCol">
      <w:rPr>
        <w:b/>
        <w:bCs/>
      </w:rPr>
    </w:tblStylePr>
    <w:tblStylePr w:type="band1Vert">
      <w:tblPr/>
      <w:tcPr>
        <w:tcBorders>
          <w:top w:val="single" w:sz="4" w:space="0" w:color="448A99"/>
          <w:left w:val="single" w:sz="4" w:space="0" w:color="448A99"/>
          <w:bottom w:val="single" w:sz="4" w:space="0" w:color="448A99"/>
          <w:right w:val="single" w:sz="4" w:space="0" w:color="448A99"/>
          <w:insideH w:val="nil"/>
          <w:insideV w:val="nil"/>
          <w:tl2br w:val="nil"/>
          <w:tr2bl w:val="nil"/>
        </w:tcBorders>
        <w:shd w:val="clear" w:color="auto" w:fill="D2EAF1" w:themeFill="accent5" w:themeFillTint="3F"/>
      </w:tcPr>
    </w:tblStylePr>
    <w:tblStylePr w:type="band2Vert">
      <w:tblPr/>
      <w:tcPr>
        <w:tcBorders>
          <w:top w:val="single" w:sz="4" w:space="0" w:color="448A99"/>
          <w:left w:val="single" w:sz="4" w:space="0" w:color="448A99"/>
          <w:bottom w:val="single" w:sz="4" w:space="0" w:color="448A99"/>
          <w:right w:val="single" w:sz="4" w:space="0" w:color="448A99"/>
          <w:insideH w:val="nil"/>
          <w:insideV w:val="nil"/>
          <w:tl2br w:val="nil"/>
          <w:tr2bl w:val="nil"/>
        </w:tcBorders>
      </w:tcPr>
    </w:tblStylePr>
    <w:tblStylePr w:type="band1Horz">
      <w:tblPr/>
      <w:tcPr>
        <w:tcBorders>
          <w:top w:val="single" w:sz="4" w:space="0" w:color="448A99"/>
          <w:left w:val="single" w:sz="4" w:space="0" w:color="448A99"/>
          <w:bottom w:val="single" w:sz="4" w:space="0" w:color="448A99"/>
          <w:right w:val="single" w:sz="4" w:space="0" w:color="448A99"/>
          <w:insideH w:val="single" w:sz="4" w:space="0" w:color="448A99"/>
          <w:insideV w:val="single" w:sz="4" w:space="0" w:color="448A99"/>
          <w:tl2br w:val="nil"/>
          <w:tr2bl w:val="nil"/>
        </w:tcBorders>
        <w:shd w:val="clear" w:color="auto" w:fill="D2EAF1"/>
      </w:tcPr>
    </w:tblStylePr>
    <w:tblStylePr w:type="band2Horz">
      <w:tblPr/>
      <w:tcPr>
        <w:tcBorders>
          <w:top w:val="single" w:sz="4" w:space="0" w:color="448A99"/>
          <w:left w:val="single" w:sz="4" w:space="0" w:color="448A99"/>
          <w:bottom w:val="single" w:sz="4" w:space="0" w:color="448A99"/>
          <w:right w:val="single" w:sz="4" w:space="0" w:color="448A99"/>
          <w:insideH w:val="nil"/>
          <w:insideV w:val="single" w:sz="4" w:space="0" w:color="448A99"/>
          <w:tl2br w:val="nil"/>
          <w:tr2bl w:val="nil"/>
        </w:tcBorders>
      </w:tcPr>
    </w:tblStylePr>
  </w:style>
  <w:style w:type="table" w:customStyle="1" w:styleId="EnergyTable1">
    <w:name w:val="Energy Table1"/>
    <w:basedOn w:val="TableNormal"/>
    <w:uiPriority w:val="99"/>
    <w:qFormat/>
    <w:rsid w:val="00E84E39"/>
    <w:pPr>
      <w:spacing w:before="40" w:after="40"/>
      <w:jc w:val="center"/>
    </w:pPr>
    <w:rPr>
      <w:rFonts w:ascii="Arial" w:eastAsia="Times New Roman" w:hAnsi="Arial"/>
      <w:sz w:val="20"/>
      <w:szCs w:val="20"/>
    </w:rPr>
    <w:tblPr>
      <w:tblStyleRowBandSize w:val="1"/>
      <w:jc w:val="center"/>
      <w:tblBorders>
        <w:bottom w:val="single" w:sz="8" w:space="0" w:color="1F497D" w:themeColor="text2"/>
        <w:insideH w:val="single" w:sz="4" w:space="0" w:color="C6D9F1"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4F81BD" w:themeColor="accent1"/>
          <w:right w:val="nil"/>
          <w:insideH w:val="nil"/>
          <w:insideV w:val="nil"/>
          <w:tl2br w:val="nil"/>
          <w:tr2bl w:val="nil"/>
        </w:tcBorders>
        <w:shd w:val="clear" w:color="auto" w:fill="1F497D"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numbering" w:customStyle="1" w:styleId="StyleNumberedLeft025Hanging025">
    <w:name w:val="Style Numbered Left:  0.25&quot; Hanging:  0.25&quot;"/>
    <w:basedOn w:val="NoList"/>
    <w:rsid w:val="00E84E39"/>
    <w:pPr>
      <w:numPr>
        <w:numId w:val="19"/>
      </w:numPr>
    </w:pPr>
  </w:style>
  <w:style w:type="paragraph" w:customStyle="1" w:styleId="Source">
    <w:name w:val="Source"/>
    <w:basedOn w:val="Normal"/>
    <w:link w:val="SourceChar"/>
    <w:qFormat/>
    <w:rsid w:val="00EB039C"/>
    <w:pPr>
      <w:spacing w:before="60" w:after="240"/>
      <w:ind w:left="720" w:hanging="540"/>
      <w:jc w:val="left"/>
    </w:pPr>
    <w:rPr>
      <w:rFonts w:eastAsia="Times New Roman"/>
      <w:i/>
      <w:sz w:val="18"/>
      <w:szCs w:val="20"/>
    </w:rPr>
  </w:style>
  <w:style w:type="character" w:customStyle="1" w:styleId="SourceChar">
    <w:name w:val="Source Char"/>
    <w:basedOn w:val="DefaultParagraphFont"/>
    <w:link w:val="Source"/>
    <w:rsid w:val="00EB039C"/>
    <w:rPr>
      <w:rFonts w:asciiTheme="minorHAnsi" w:eastAsia="Times New Roman" w:hAnsiTheme="minorHAnsi"/>
      <w:i/>
      <w:sz w:val="18"/>
      <w:szCs w:val="20"/>
    </w:rPr>
  </w:style>
  <w:style w:type="paragraph" w:customStyle="1" w:styleId="TableHeading0">
    <w:name w:val="Table Heading"/>
    <w:basedOn w:val="Normal"/>
    <w:link w:val="TableHeadingChar1"/>
    <w:rsid w:val="00194F07"/>
    <w:pPr>
      <w:keepNext/>
      <w:numPr>
        <w:ilvl w:val="12"/>
      </w:numPr>
      <w:spacing w:before="120" w:after="60"/>
      <w:jc w:val="center"/>
    </w:pPr>
    <w:rPr>
      <w:rFonts w:ascii="Arial Bold" w:eastAsia="Times New Roman" w:hAnsi="Arial Bold" w:cs="Arial"/>
      <w:b/>
      <w:smallCaps/>
      <w:sz w:val="20"/>
      <w:szCs w:val="18"/>
    </w:rPr>
  </w:style>
  <w:style w:type="paragraph" w:customStyle="1" w:styleId="TableBody">
    <w:name w:val="Table Body"/>
    <w:basedOn w:val="Normal"/>
    <w:link w:val="TableBodyChar"/>
    <w:rsid w:val="00194F07"/>
    <w:pPr>
      <w:numPr>
        <w:ilvl w:val="12"/>
      </w:numPr>
      <w:spacing w:before="80" w:after="40"/>
      <w:jc w:val="center"/>
    </w:pPr>
    <w:rPr>
      <w:rFonts w:ascii="Arial" w:eastAsia="Times New Roman" w:hAnsi="Arial" w:cs="Arial"/>
      <w:sz w:val="18"/>
      <w:szCs w:val="18"/>
    </w:rPr>
  </w:style>
  <w:style w:type="paragraph" w:customStyle="1" w:styleId="TableBodyHeading">
    <w:name w:val="Table Body Heading"/>
    <w:basedOn w:val="Normal"/>
    <w:link w:val="TableBodyHeadingChar"/>
    <w:rsid w:val="00194F07"/>
    <w:pPr>
      <w:numPr>
        <w:ilvl w:val="12"/>
      </w:numPr>
      <w:spacing w:before="80" w:after="40"/>
      <w:ind w:left="144" w:hanging="144"/>
      <w:jc w:val="left"/>
    </w:pPr>
    <w:rPr>
      <w:rFonts w:ascii="Arial" w:eastAsia="Times New Roman" w:hAnsi="Arial" w:cs="Arial"/>
      <w:sz w:val="18"/>
      <w:szCs w:val="18"/>
    </w:rPr>
  </w:style>
  <w:style w:type="paragraph" w:customStyle="1" w:styleId="TableHeadingLeftAlign">
    <w:name w:val="Table Heading Left Align"/>
    <w:basedOn w:val="TableHeading0"/>
    <w:rsid w:val="00194F07"/>
    <w:pPr>
      <w:jc w:val="left"/>
    </w:pPr>
  </w:style>
  <w:style w:type="character" w:customStyle="1" w:styleId="TableBodyChar">
    <w:name w:val="Table Body Char"/>
    <w:basedOn w:val="DefaultParagraphFont"/>
    <w:link w:val="TableBody"/>
    <w:rsid w:val="00194F07"/>
    <w:rPr>
      <w:rFonts w:ascii="Arial" w:eastAsia="Times New Roman" w:hAnsi="Arial" w:cs="Arial"/>
      <w:sz w:val="18"/>
      <w:szCs w:val="18"/>
    </w:rPr>
  </w:style>
  <w:style w:type="character" w:customStyle="1" w:styleId="TableBodyHeadingChar">
    <w:name w:val="Table Body Heading Char"/>
    <w:basedOn w:val="TableBodyChar"/>
    <w:link w:val="TableBodyHeading"/>
    <w:rsid w:val="00194F07"/>
    <w:rPr>
      <w:rFonts w:ascii="Arial" w:eastAsia="Times New Roman" w:hAnsi="Arial" w:cs="Arial"/>
      <w:sz w:val="18"/>
      <w:szCs w:val="18"/>
    </w:rPr>
  </w:style>
  <w:style w:type="character" w:customStyle="1" w:styleId="TableHeadingChar1">
    <w:name w:val="Table Heading Char1"/>
    <w:basedOn w:val="DefaultParagraphFont"/>
    <w:link w:val="TableHeading0"/>
    <w:locked/>
    <w:rsid w:val="00194F07"/>
    <w:rPr>
      <w:rFonts w:ascii="Arial Bold" w:eastAsia="Times New Roman" w:hAnsi="Arial Bold" w:cs="Arial"/>
      <w:b/>
      <w:smallCaps/>
      <w:sz w:val="20"/>
      <w:szCs w:val="18"/>
    </w:rPr>
  </w:style>
  <w:style w:type="paragraph" w:styleId="ListBullet">
    <w:name w:val="List Bullet"/>
    <w:basedOn w:val="Normal"/>
    <w:uiPriority w:val="99"/>
    <w:unhideWhenUsed/>
    <w:locked/>
    <w:rsid w:val="00E163F4"/>
    <w:pPr>
      <w:numPr>
        <w:numId w:val="63"/>
      </w:numPr>
      <w:contextualSpacing/>
    </w:pPr>
  </w:style>
  <w:style w:type="paragraph" w:customStyle="1" w:styleId="TableNOTES">
    <w:name w:val="Table NOTES"/>
    <w:basedOn w:val="Normal"/>
    <w:link w:val="TableNOTESChar"/>
    <w:qFormat/>
    <w:rsid w:val="00C93F8E"/>
    <w:pPr>
      <w:jc w:val="left"/>
    </w:pPr>
    <w:rPr>
      <w:rFonts w:ascii="Palatino Linotype" w:eastAsia="Times New Roman" w:hAnsi="Palatino Linotype" w:cs="Arial"/>
      <w:bCs/>
      <w:color w:val="000000"/>
      <w:sz w:val="18"/>
      <w:szCs w:val="16"/>
    </w:rPr>
  </w:style>
  <w:style w:type="character" w:customStyle="1" w:styleId="TableNOTESChar">
    <w:name w:val="Table NOTES Char"/>
    <w:basedOn w:val="DefaultParagraphFont"/>
    <w:link w:val="TableNOTES"/>
    <w:rsid w:val="00C93F8E"/>
    <w:rPr>
      <w:rFonts w:ascii="Palatino Linotype" w:eastAsia="Times New Roman" w:hAnsi="Palatino Linotype" w:cs="Arial"/>
      <w:bCs/>
      <w:color w:val="000000"/>
      <w:sz w:val="18"/>
      <w:szCs w:val="16"/>
    </w:rPr>
  </w:style>
  <w:style w:type="table" w:customStyle="1" w:styleId="MediumShading1-Accent51">
    <w:name w:val="Medium Shading 1 - Accent 51"/>
    <w:basedOn w:val="TableNormal"/>
    <w:next w:val="MediumShading1-Accent5"/>
    <w:uiPriority w:val="63"/>
    <w:rsid w:val="00D51357"/>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GridTable4Accent5">
    <w:name w:val="Grid Table 4 Accent 5"/>
    <w:basedOn w:val="TableNormal"/>
    <w:uiPriority w:val="49"/>
    <w:rsid w:val="00156005"/>
    <w:tblPr>
      <w:tblStyleRowBandSize w:val="1"/>
      <w:tblStyleColBandSize w:val="1"/>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StyleBulleted1">
    <w:name w:val="Style Bulleted1"/>
    <w:basedOn w:val="NoList"/>
    <w:rsid w:val="00211724"/>
    <w:pPr>
      <w:numPr>
        <w:numId w:val="89"/>
      </w:numPr>
    </w:pPr>
  </w:style>
  <w:style w:type="numbering" w:customStyle="1" w:styleId="StyleBulletedLeft0Hanging03">
    <w:name w:val="Style Bulleted Left:  0&quot; Hanging:  0.3&quot;"/>
    <w:basedOn w:val="NoList"/>
    <w:rsid w:val="00211724"/>
    <w:pPr>
      <w:numPr>
        <w:numId w:val="90"/>
      </w:numPr>
    </w:pPr>
  </w:style>
  <w:style w:type="paragraph" w:styleId="E-mailSignature">
    <w:name w:val="E-mail Signature"/>
    <w:basedOn w:val="Normal"/>
    <w:link w:val="E-mailSignatureChar"/>
    <w:locked/>
    <w:rsid w:val="00156005"/>
    <w:pPr>
      <w:tabs>
        <w:tab w:val="left" w:pos="360"/>
        <w:tab w:val="left" w:pos="720"/>
        <w:tab w:val="left" w:pos="1080"/>
        <w:tab w:val="left" w:pos="1440"/>
      </w:tabs>
      <w:spacing w:before="240" w:after="240"/>
      <w:jc w:val="left"/>
    </w:pPr>
    <w:rPr>
      <w:rFonts w:ascii="Palatino Linotype" w:eastAsia="Times New Roman" w:hAnsi="Palatino Linotype"/>
      <w:szCs w:val="24"/>
    </w:rPr>
  </w:style>
  <w:style w:type="character" w:customStyle="1" w:styleId="E-mailSignatureChar">
    <w:name w:val="E-mail Signature Char"/>
    <w:basedOn w:val="DefaultParagraphFont"/>
    <w:link w:val="E-mailSignature"/>
    <w:rsid w:val="00156005"/>
    <w:rPr>
      <w:rFonts w:ascii="Palatino Linotype" w:eastAsia="Times New Roman" w:hAnsi="Palatino Linotype"/>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footnote reference"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lsdException w:name="E-mail Signature" w:uiPriority="0"/>
    <w:lsdException w:name="Normal (Web)" w:uiPriority="0"/>
    <w:lsdException w:name="annotation subject" w:uiPriority="0"/>
    <w:lsdException w:name="Balloon Text" w:uiPriority="0"/>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lsdException w:name="Intense Quote" w:locked="0" w:semiHidden="0" w:uiPriority="30" w:unhideWhenUsed="0"/>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lsdException w:name="Intense Emphasis" w:locked="0" w:semiHidden="0" w:uiPriority="21" w:unhideWhenUsed="0"/>
    <w:lsdException w:name="Subtle Reference" w:locked="0" w:semiHidden="0" w:uiPriority="31" w:unhideWhenUsed="0"/>
    <w:lsdException w:name="Intense Reference" w:locked="0" w:semiHidden="0" w:uiPriority="32" w:unhideWhenUsed="0" w:qFormat="1"/>
    <w:lsdException w:name="Book Title" w:locked="0" w:semiHidden="0" w:uiPriority="33" w:unhideWhenUsed="0"/>
    <w:lsdException w:name="Bibliography" w:locked="0" w:uiPriority="37"/>
    <w:lsdException w:name="TOC Heading" w:locked="0"/>
  </w:latentStyles>
  <w:style w:type="paragraph" w:default="1" w:styleId="Normal">
    <w:name w:val="Normal"/>
    <w:qFormat/>
    <w:rsid w:val="001D3945"/>
    <w:pPr>
      <w:jc w:val="both"/>
    </w:pPr>
    <w:rPr>
      <w:rFonts w:asciiTheme="minorHAnsi" w:hAnsiTheme="minorHAnsi"/>
    </w:rPr>
  </w:style>
  <w:style w:type="paragraph" w:styleId="Heading1">
    <w:name w:val="heading 1"/>
    <w:basedOn w:val="ListParagraph"/>
    <w:next w:val="Normal"/>
    <w:link w:val="Heading1Char"/>
    <w:uiPriority w:val="99"/>
    <w:qFormat/>
    <w:rsid w:val="00815689"/>
    <w:pPr>
      <w:numPr>
        <w:numId w:val="18"/>
      </w:numPr>
      <w:shd w:val="clear" w:color="auto" w:fill="448A99"/>
      <w:spacing w:after="120"/>
      <w:contextualSpacing w:val="0"/>
      <w:jc w:val="left"/>
      <w:outlineLvl w:val="0"/>
    </w:pPr>
    <w:rPr>
      <w:rFonts w:ascii="Century Gothic" w:hAnsi="Century Gothic"/>
      <w:b/>
      <w:smallCaps/>
      <w:color w:val="FFFFFF" w:themeColor="background1"/>
      <w:sz w:val="32"/>
      <w14:shadow w14:blurRad="50800" w14:dist="38100" w14:dir="2700000" w14:sx="100000" w14:sy="100000" w14:kx="0" w14:ky="0" w14:algn="tl">
        <w14:srgbClr w14:val="000000">
          <w14:alpha w14:val="60000"/>
        </w14:srgbClr>
      </w14:shadow>
    </w:rPr>
  </w:style>
  <w:style w:type="paragraph" w:styleId="Heading2">
    <w:name w:val="heading 2"/>
    <w:basedOn w:val="ListParagraph"/>
    <w:next w:val="Normal"/>
    <w:link w:val="Heading2Char"/>
    <w:uiPriority w:val="99"/>
    <w:qFormat/>
    <w:rsid w:val="003E6A9B"/>
    <w:pPr>
      <w:numPr>
        <w:ilvl w:val="1"/>
        <w:numId w:val="18"/>
      </w:numPr>
      <w:spacing w:after="120"/>
      <w:contextualSpacing w:val="0"/>
      <w:outlineLvl w:val="1"/>
    </w:pPr>
    <w:rPr>
      <w:rFonts w:ascii="Century Gothic" w:hAnsi="Century Gothic"/>
      <w:b/>
      <w:smallCaps/>
      <w:sz w:val="24"/>
    </w:rPr>
  </w:style>
  <w:style w:type="paragraph" w:styleId="Heading3">
    <w:name w:val="heading 3"/>
    <w:basedOn w:val="ListParagraph"/>
    <w:next w:val="Normal"/>
    <w:link w:val="Heading3Char"/>
    <w:uiPriority w:val="99"/>
    <w:qFormat/>
    <w:rsid w:val="0045485C"/>
    <w:pPr>
      <w:numPr>
        <w:ilvl w:val="2"/>
        <w:numId w:val="18"/>
      </w:numPr>
      <w:spacing w:after="120"/>
      <w:contextualSpacing w:val="0"/>
      <w:jc w:val="left"/>
      <w:outlineLvl w:val="2"/>
    </w:pPr>
    <w:rPr>
      <w:rFonts w:ascii="Century Gothic" w:hAnsi="Century Gothic"/>
      <w:b/>
      <w:color w:val="448A99"/>
    </w:rPr>
  </w:style>
  <w:style w:type="paragraph" w:styleId="Heading4">
    <w:name w:val="heading 4"/>
    <w:basedOn w:val="ListParagraph"/>
    <w:next w:val="Normal"/>
    <w:link w:val="Heading4Char"/>
    <w:uiPriority w:val="99"/>
    <w:qFormat/>
    <w:rsid w:val="00586985"/>
    <w:pPr>
      <w:numPr>
        <w:ilvl w:val="3"/>
        <w:numId w:val="18"/>
      </w:numPr>
      <w:spacing w:after="120"/>
      <w:contextualSpacing w:val="0"/>
      <w:jc w:val="left"/>
      <w:outlineLvl w:val="3"/>
    </w:pPr>
    <w:rPr>
      <w:rFonts w:ascii="Century Gothic" w:hAnsi="Century Gothic"/>
    </w:rPr>
  </w:style>
  <w:style w:type="paragraph" w:styleId="Heading5">
    <w:name w:val="heading 5"/>
    <w:aliases w:val="Heading 5 Append Head 1,Append Level 1"/>
    <w:next w:val="Normal"/>
    <w:link w:val="Heading5Char"/>
    <w:uiPriority w:val="99"/>
    <w:qFormat/>
    <w:rsid w:val="00963027"/>
    <w:pPr>
      <w:keepNext/>
      <w:numPr>
        <w:ilvl w:val="4"/>
        <w:numId w:val="18"/>
      </w:numPr>
      <w:shd w:val="clear" w:color="auto" w:fill="448A99"/>
      <w:spacing w:after="120"/>
      <w:outlineLvl w:val="4"/>
    </w:pPr>
    <w:rPr>
      <w:rFonts w:ascii="Century Gothic" w:hAnsi="Century Gothic"/>
      <w:b/>
      <w:smallCaps/>
      <w:color w:val="FFFFFF" w:themeColor="background1"/>
      <w:sz w:val="32"/>
      <w14:shadow w14:blurRad="50800" w14:dist="38100" w14:dir="2700000" w14:sx="100000" w14:sy="100000" w14:kx="0" w14:ky="0" w14:algn="tl">
        <w14:srgbClr w14:val="000000">
          <w14:alpha w14:val="60000"/>
        </w14:srgbClr>
      </w14:shadow>
    </w:rPr>
  </w:style>
  <w:style w:type="paragraph" w:styleId="Heading6">
    <w:name w:val="heading 6"/>
    <w:aliases w:val="Heading 6 Append Level 2"/>
    <w:basedOn w:val="Normal"/>
    <w:next w:val="Normal"/>
    <w:link w:val="Heading6Char"/>
    <w:uiPriority w:val="99"/>
    <w:qFormat/>
    <w:rsid w:val="00CE3685"/>
    <w:pPr>
      <w:keepNext/>
      <w:keepLines/>
      <w:numPr>
        <w:ilvl w:val="5"/>
        <w:numId w:val="18"/>
      </w:numPr>
      <w:spacing w:after="120"/>
      <w:outlineLvl w:val="5"/>
    </w:pPr>
    <w:rPr>
      <w:rFonts w:ascii="Century Gothic" w:eastAsia="Times New Roman" w:hAnsi="Century Gothic"/>
      <w:b/>
      <w:iCs/>
      <w:smallCaps/>
      <w:sz w:val="24"/>
    </w:rPr>
  </w:style>
  <w:style w:type="paragraph" w:styleId="Heading7">
    <w:name w:val="heading 7"/>
    <w:aliases w:val="Heading 7 Append Head 3"/>
    <w:basedOn w:val="Normal"/>
    <w:next w:val="Normal"/>
    <w:link w:val="Heading7Char"/>
    <w:uiPriority w:val="99"/>
    <w:qFormat/>
    <w:rsid w:val="00CE3685"/>
    <w:pPr>
      <w:keepNext/>
      <w:keepLines/>
      <w:numPr>
        <w:ilvl w:val="6"/>
        <w:numId w:val="18"/>
      </w:numPr>
      <w:spacing w:before="120" w:after="120"/>
      <w:outlineLvl w:val="6"/>
    </w:pPr>
    <w:rPr>
      <w:rFonts w:ascii="Century Gothic" w:eastAsia="Times New Roman" w:hAnsi="Century Gothic"/>
      <w:b/>
      <w:iCs/>
      <w:color w:val="448A99"/>
    </w:rPr>
  </w:style>
  <w:style w:type="paragraph" w:styleId="Heading8">
    <w:name w:val="heading 8"/>
    <w:aliases w:val="Heading 8 Exec Sum Head 1"/>
    <w:basedOn w:val="Normal"/>
    <w:next w:val="Normal"/>
    <w:link w:val="Heading8Char"/>
    <w:uiPriority w:val="99"/>
    <w:qFormat/>
    <w:rsid w:val="00963027"/>
    <w:pPr>
      <w:keepNext/>
      <w:keepLines/>
      <w:numPr>
        <w:ilvl w:val="7"/>
        <w:numId w:val="8"/>
      </w:numPr>
      <w:shd w:val="clear" w:color="auto" w:fill="448A99"/>
      <w:tabs>
        <w:tab w:val="left" w:pos="0"/>
      </w:tabs>
      <w:spacing w:after="120"/>
      <w:jc w:val="left"/>
      <w:outlineLvl w:val="7"/>
    </w:pPr>
    <w:rPr>
      <w:rFonts w:ascii="Century Gothic" w:eastAsia="Times New Roman" w:hAnsi="Century Gothic"/>
      <w:b/>
      <w:smallCaps/>
      <w:color w:val="FFFFFF" w:themeColor="background1"/>
      <w:sz w:val="32"/>
      <w:szCs w:val="20"/>
      <w14:shadow w14:blurRad="50800" w14:dist="38100" w14:dir="2700000" w14:sx="100000" w14:sy="100000" w14:kx="0" w14:ky="0" w14:algn="tl">
        <w14:srgbClr w14:val="000000">
          <w14:alpha w14:val="60000"/>
        </w14:srgbClr>
      </w14:shadow>
    </w:rPr>
  </w:style>
  <w:style w:type="paragraph" w:styleId="Heading9">
    <w:name w:val="heading 9"/>
    <w:aliases w:val="Heading 9 Exec Sum Head 2"/>
    <w:basedOn w:val="Normal"/>
    <w:next w:val="Normal"/>
    <w:link w:val="Heading9Char"/>
    <w:uiPriority w:val="99"/>
    <w:qFormat/>
    <w:rsid w:val="00D932BF"/>
    <w:pPr>
      <w:keepNext/>
      <w:keepLines/>
      <w:numPr>
        <w:ilvl w:val="8"/>
        <w:numId w:val="8"/>
      </w:numPr>
      <w:spacing w:before="120" w:after="120"/>
      <w:outlineLvl w:val="8"/>
    </w:pPr>
    <w:rPr>
      <w:rFonts w:ascii="Century Gothic" w:eastAsia="Times New Roman" w:hAnsi="Century Gothic"/>
      <w:b/>
      <w:iCs/>
      <w:smallCap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15689"/>
    <w:rPr>
      <w:rFonts w:ascii="Century Gothic" w:hAnsi="Century Gothic"/>
      <w:b/>
      <w:smallCaps/>
      <w:color w:val="FFFFFF" w:themeColor="background1"/>
      <w:sz w:val="32"/>
      <w:shd w:val="clear" w:color="auto" w:fill="448A99"/>
      <w14:shadow w14:blurRad="50800" w14:dist="38100" w14:dir="2700000" w14:sx="100000" w14:sy="100000" w14:kx="0" w14:ky="0" w14:algn="tl">
        <w14:srgbClr w14:val="000000">
          <w14:alpha w14:val="60000"/>
        </w14:srgbClr>
      </w14:shadow>
    </w:rPr>
  </w:style>
  <w:style w:type="character" w:customStyle="1" w:styleId="Heading2Char">
    <w:name w:val="Heading 2 Char"/>
    <w:basedOn w:val="DefaultParagraphFont"/>
    <w:link w:val="Heading2"/>
    <w:uiPriority w:val="99"/>
    <w:locked/>
    <w:rsid w:val="003E6A9B"/>
    <w:rPr>
      <w:rFonts w:ascii="Century Gothic" w:hAnsi="Century Gothic"/>
      <w:b/>
      <w:smallCaps/>
      <w:sz w:val="24"/>
    </w:rPr>
  </w:style>
  <w:style w:type="character" w:customStyle="1" w:styleId="Heading3Char">
    <w:name w:val="Heading 3 Char"/>
    <w:basedOn w:val="DefaultParagraphFont"/>
    <w:link w:val="Heading3"/>
    <w:uiPriority w:val="99"/>
    <w:locked/>
    <w:rsid w:val="0045485C"/>
    <w:rPr>
      <w:rFonts w:ascii="Century Gothic" w:hAnsi="Century Gothic"/>
      <w:b/>
      <w:color w:val="448A99"/>
    </w:rPr>
  </w:style>
  <w:style w:type="character" w:customStyle="1" w:styleId="Heading4Char">
    <w:name w:val="Heading 4 Char"/>
    <w:basedOn w:val="DefaultParagraphFont"/>
    <w:link w:val="Heading4"/>
    <w:uiPriority w:val="99"/>
    <w:locked/>
    <w:rsid w:val="00586985"/>
    <w:rPr>
      <w:rFonts w:ascii="Century Gothic" w:hAnsi="Century Gothic"/>
    </w:rPr>
  </w:style>
  <w:style w:type="character" w:customStyle="1" w:styleId="Heading5Char">
    <w:name w:val="Heading 5 Char"/>
    <w:aliases w:val="Heading 5 Append Head 1 Char,Append Level 1 Char"/>
    <w:basedOn w:val="DefaultParagraphFont"/>
    <w:link w:val="Heading5"/>
    <w:uiPriority w:val="99"/>
    <w:locked/>
    <w:rsid w:val="00963027"/>
    <w:rPr>
      <w:rFonts w:ascii="Century Gothic" w:hAnsi="Century Gothic"/>
      <w:b/>
      <w:smallCaps/>
      <w:color w:val="FFFFFF" w:themeColor="background1"/>
      <w:sz w:val="32"/>
      <w:shd w:val="clear" w:color="auto" w:fill="448A99"/>
      <w14:shadow w14:blurRad="50800" w14:dist="38100" w14:dir="2700000" w14:sx="100000" w14:sy="100000" w14:kx="0" w14:ky="0" w14:algn="tl">
        <w14:srgbClr w14:val="000000">
          <w14:alpha w14:val="60000"/>
        </w14:srgbClr>
      </w14:shadow>
    </w:rPr>
  </w:style>
  <w:style w:type="character" w:customStyle="1" w:styleId="Heading6Char">
    <w:name w:val="Heading 6 Char"/>
    <w:aliases w:val="Heading 6 Append Level 2 Char"/>
    <w:basedOn w:val="DefaultParagraphFont"/>
    <w:link w:val="Heading6"/>
    <w:uiPriority w:val="99"/>
    <w:locked/>
    <w:rsid w:val="00CE3685"/>
    <w:rPr>
      <w:rFonts w:ascii="Century Gothic" w:eastAsia="Times New Roman" w:hAnsi="Century Gothic"/>
      <w:b/>
      <w:iCs/>
      <w:smallCaps/>
      <w:sz w:val="24"/>
    </w:rPr>
  </w:style>
  <w:style w:type="character" w:customStyle="1" w:styleId="Heading7Char">
    <w:name w:val="Heading 7 Char"/>
    <w:aliases w:val="Heading 7 Append Head 3 Char"/>
    <w:basedOn w:val="DefaultParagraphFont"/>
    <w:link w:val="Heading7"/>
    <w:uiPriority w:val="99"/>
    <w:locked/>
    <w:rsid w:val="00CE3685"/>
    <w:rPr>
      <w:rFonts w:ascii="Century Gothic" w:eastAsia="Times New Roman" w:hAnsi="Century Gothic"/>
      <w:b/>
      <w:iCs/>
      <w:color w:val="448A99"/>
    </w:rPr>
  </w:style>
  <w:style w:type="character" w:customStyle="1" w:styleId="Heading8Char">
    <w:name w:val="Heading 8 Char"/>
    <w:aliases w:val="Heading 8 Exec Sum Head 1 Char"/>
    <w:basedOn w:val="DefaultParagraphFont"/>
    <w:link w:val="Heading8"/>
    <w:uiPriority w:val="99"/>
    <w:locked/>
    <w:rsid w:val="00963027"/>
    <w:rPr>
      <w:rFonts w:ascii="Century Gothic" w:eastAsia="Times New Roman" w:hAnsi="Century Gothic"/>
      <w:b/>
      <w:smallCaps/>
      <w:color w:val="FFFFFF" w:themeColor="background1"/>
      <w:sz w:val="32"/>
      <w:szCs w:val="20"/>
      <w:shd w:val="clear" w:color="auto" w:fill="448A99"/>
      <w14:shadow w14:blurRad="50800" w14:dist="38100" w14:dir="2700000" w14:sx="100000" w14:sy="100000" w14:kx="0" w14:ky="0" w14:algn="tl">
        <w14:srgbClr w14:val="000000">
          <w14:alpha w14:val="60000"/>
        </w14:srgbClr>
      </w14:shadow>
    </w:rPr>
  </w:style>
  <w:style w:type="character" w:customStyle="1" w:styleId="Heading9Char">
    <w:name w:val="Heading 9 Char"/>
    <w:aliases w:val="Heading 9 Exec Sum Head 2 Char"/>
    <w:basedOn w:val="DefaultParagraphFont"/>
    <w:link w:val="Heading9"/>
    <w:uiPriority w:val="99"/>
    <w:locked/>
    <w:rsid w:val="00D932BF"/>
    <w:rPr>
      <w:rFonts w:ascii="Century Gothic" w:eastAsia="Times New Roman" w:hAnsi="Century Gothic"/>
      <w:b/>
      <w:iCs/>
      <w:smallCaps/>
      <w:sz w:val="24"/>
      <w:szCs w:val="20"/>
    </w:rPr>
  </w:style>
  <w:style w:type="paragraph" w:styleId="BalloonText">
    <w:name w:val="Balloon Text"/>
    <w:basedOn w:val="Normal"/>
    <w:link w:val="BalloonTextChar"/>
    <w:rsid w:val="005137C2"/>
    <w:rPr>
      <w:rFonts w:ascii="Tahoma" w:hAnsi="Tahoma" w:cs="Tahoma"/>
      <w:sz w:val="16"/>
      <w:szCs w:val="16"/>
    </w:rPr>
  </w:style>
  <w:style w:type="character" w:customStyle="1" w:styleId="BalloonTextChar">
    <w:name w:val="Balloon Text Char"/>
    <w:basedOn w:val="DefaultParagraphFont"/>
    <w:link w:val="BalloonText"/>
    <w:uiPriority w:val="99"/>
    <w:locked/>
    <w:rsid w:val="005137C2"/>
    <w:rPr>
      <w:rFonts w:ascii="Tahoma" w:hAnsi="Tahoma" w:cs="Tahoma"/>
      <w:sz w:val="16"/>
      <w:szCs w:val="16"/>
    </w:rPr>
  </w:style>
  <w:style w:type="paragraph" w:styleId="ListParagraph">
    <w:name w:val="List Paragraph"/>
    <w:aliases w:val="TOC etc."/>
    <w:basedOn w:val="Normal"/>
    <w:link w:val="ListParagraphChar"/>
    <w:uiPriority w:val="34"/>
    <w:qFormat/>
    <w:rsid w:val="004161BB"/>
    <w:pPr>
      <w:ind w:left="720"/>
      <w:contextualSpacing/>
    </w:pPr>
  </w:style>
  <w:style w:type="paragraph" w:styleId="FootnoteText">
    <w:name w:val="footnote text"/>
    <w:aliases w:val="Footnote Text1 Char,Footnote Text Char Ch Char Char Char,Footnote Text Char Ch Char Char,Footnote Text1 Char Char Char,Footnote Text Char Ch Char,Footnote Text Char Ch,Char2 Char,ft Char,ft,TBG Style,ALTS FOOTNOTE,Footnote Text 2,fn"/>
    <w:basedOn w:val="Normal"/>
    <w:link w:val="FootnoteTextChar"/>
    <w:uiPriority w:val="99"/>
    <w:rsid w:val="00963027"/>
    <w:pPr>
      <w:keepLines/>
    </w:pPr>
    <w:rPr>
      <w:sz w:val="16"/>
      <w:szCs w:val="18"/>
    </w:rPr>
  </w:style>
  <w:style w:type="character" w:customStyle="1" w:styleId="FootnoteTextChar">
    <w:name w:val="Footnote Text Char"/>
    <w:aliases w:val="Footnote Text1 Char Char,Footnote Text Char Ch Char Char Char Char,Footnote Text Char Ch Char Char Char1,Footnote Text1 Char Char Char Char,Footnote Text Char Ch Char Char1,Footnote Text Char Ch Char1,Char2 Char Char,ft Char Char"/>
    <w:basedOn w:val="DefaultParagraphFont"/>
    <w:link w:val="FootnoteText"/>
    <w:uiPriority w:val="99"/>
    <w:locked/>
    <w:rsid w:val="00963027"/>
    <w:rPr>
      <w:rFonts w:asciiTheme="minorHAnsi" w:hAnsiTheme="minorHAnsi"/>
      <w:sz w:val="16"/>
      <w:szCs w:val="18"/>
    </w:rPr>
  </w:style>
  <w:style w:type="character" w:styleId="FootnoteReference">
    <w:name w:val="footnote reference"/>
    <w:aliases w:val="o,fr,Style 17,o + Times New Roman"/>
    <w:basedOn w:val="DefaultParagraphFont"/>
    <w:uiPriority w:val="99"/>
    <w:qFormat/>
    <w:rsid w:val="00961984"/>
    <w:rPr>
      <w:rFonts w:asciiTheme="minorHAnsi" w:hAnsiTheme="minorHAnsi" w:cs="Times New Roman"/>
      <w:sz w:val="22"/>
      <w:vertAlign w:val="superscript"/>
    </w:rPr>
  </w:style>
  <w:style w:type="character" w:styleId="Hyperlink">
    <w:name w:val="Hyperlink"/>
    <w:basedOn w:val="DefaultParagraphFont"/>
    <w:uiPriority w:val="99"/>
    <w:rsid w:val="00A651FD"/>
    <w:rPr>
      <w:rFonts w:cs="Times New Roman"/>
      <w:color w:val="0000FF"/>
      <w:u w:val="single"/>
    </w:rPr>
  </w:style>
  <w:style w:type="paragraph" w:styleId="TOCHeading">
    <w:name w:val="TOC Heading"/>
    <w:basedOn w:val="Heading1"/>
    <w:next w:val="Normal"/>
    <w:uiPriority w:val="99"/>
    <w:rsid w:val="005137C2"/>
    <w:pPr>
      <w:outlineLvl w:val="9"/>
    </w:pPr>
    <w:rPr>
      <w:color w:val="365F91"/>
    </w:rPr>
  </w:style>
  <w:style w:type="paragraph" w:styleId="TOC1">
    <w:name w:val="toc 1"/>
    <w:basedOn w:val="Normal"/>
    <w:next w:val="Normal"/>
    <w:autoRedefine/>
    <w:uiPriority w:val="39"/>
    <w:rsid w:val="00F30290"/>
    <w:pPr>
      <w:tabs>
        <w:tab w:val="right" w:leader="dot" w:pos="9350"/>
      </w:tabs>
      <w:spacing w:before="60" w:after="60"/>
    </w:pPr>
    <w:rPr>
      <w:rFonts w:ascii="Century Gothic" w:hAnsi="Century Gothic"/>
      <w:b/>
      <w:bCs/>
      <w:smallCaps/>
      <w:szCs w:val="20"/>
    </w:rPr>
  </w:style>
  <w:style w:type="paragraph" w:styleId="TOC2">
    <w:name w:val="toc 2"/>
    <w:basedOn w:val="Normal"/>
    <w:next w:val="Normal"/>
    <w:autoRedefine/>
    <w:uiPriority w:val="39"/>
    <w:rsid w:val="00E02D8D"/>
    <w:pPr>
      <w:ind w:left="220"/>
    </w:pPr>
    <w:rPr>
      <w:sz w:val="20"/>
      <w:szCs w:val="20"/>
    </w:rPr>
  </w:style>
  <w:style w:type="paragraph" w:styleId="TOC3">
    <w:name w:val="toc 3"/>
    <w:basedOn w:val="Normal"/>
    <w:next w:val="Normal"/>
    <w:autoRedefine/>
    <w:uiPriority w:val="39"/>
    <w:rsid w:val="00E02D8D"/>
    <w:pPr>
      <w:ind w:left="440"/>
    </w:pPr>
    <w:rPr>
      <w:iCs/>
      <w:sz w:val="20"/>
      <w:szCs w:val="20"/>
    </w:rPr>
  </w:style>
  <w:style w:type="paragraph" w:styleId="Caption">
    <w:name w:val="caption"/>
    <w:aliases w:val="Caption Char,Table Caption,Char, Char,Caption Char1 Char"/>
    <w:basedOn w:val="Normal"/>
    <w:next w:val="Normal"/>
    <w:link w:val="CaptionChar1"/>
    <w:qFormat/>
    <w:rsid w:val="00586985"/>
    <w:pPr>
      <w:keepNext/>
      <w:spacing w:after="120"/>
      <w:jc w:val="center"/>
    </w:pPr>
    <w:rPr>
      <w:rFonts w:ascii="Century Gothic" w:hAnsi="Century Gothic"/>
      <w:b/>
      <w:bCs/>
      <w:color w:val="000000" w:themeColor="text1"/>
      <w:sz w:val="18"/>
      <w:szCs w:val="18"/>
    </w:rPr>
  </w:style>
  <w:style w:type="paragraph" w:styleId="Header">
    <w:name w:val="header"/>
    <w:basedOn w:val="Normal"/>
    <w:link w:val="HeaderChar"/>
    <w:uiPriority w:val="99"/>
    <w:rsid w:val="007A70BA"/>
    <w:pPr>
      <w:tabs>
        <w:tab w:val="center" w:pos="4680"/>
        <w:tab w:val="right" w:pos="9360"/>
      </w:tabs>
    </w:pPr>
  </w:style>
  <w:style w:type="character" w:customStyle="1" w:styleId="HeaderChar">
    <w:name w:val="Header Char"/>
    <w:basedOn w:val="DefaultParagraphFont"/>
    <w:link w:val="Header"/>
    <w:uiPriority w:val="99"/>
    <w:locked/>
    <w:rsid w:val="007A70BA"/>
    <w:rPr>
      <w:rFonts w:cs="Times New Roman"/>
    </w:rPr>
  </w:style>
  <w:style w:type="paragraph" w:styleId="Footer">
    <w:name w:val="footer"/>
    <w:basedOn w:val="Normal"/>
    <w:link w:val="FooterChar"/>
    <w:uiPriority w:val="99"/>
    <w:rsid w:val="007A70BA"/>
    <w:pPr>
      <w:tabs>
        <w:tab w:val="center" w:pos="4680"/>
        <w:tab w:val="right" w:pos="9360"/>
      </w:tabs>
    </w:pPr>
  </w:style>
  <w:style w:type="character" w:customStyle="1" w:styleId="FooterChar">
    <w:name w:val="Footer Char"/>
    <w:basedOn w:val="DefaultParagraphFont"/>
    <w:link w:val="Footer"/>
    <w:uiPriority w:val="99"/>
    <w:locked/>
    <w:rsid w:val="007A70BA"/>
    <w:rPr>
      <w:rFonts w:cs="Times New Roman"/>
    </w:rPr>
  </w:style>
  <w:style w:type="paragraph" w:styleId="EndnoteText">
    <w:name w:val="endnote text"/>
    <w:basedOn w:val="Normal"/>
    <w:link w:val="EndnoteTextChar"/>
    <w:uiPriority w:val="99"/>
    <w:semiHidden/>
    <w:rsid w:val="00913E82"/>
    <w:rPr>
      <w:sz w:val="20"/>
      <w:szCs w:val="20"/>
    </w:rPr>
  </w:style>
  <w:style w:type="character" w:customStyle="1" w:styleId="EndnoteTextChar">
    <w:name w:val="Endnote Text Char"/>
    <w:basedOn w:val="DefaultParagraphFont"/>
    <w:link w:val="EndnoteText"/>
    <w:uiPriority w:val="99"/>
    <w:semiHidden/>
    <w:locked/>
    <w:rsid w:val="00913E82"/>
    <w:rPr>
      <w:rFonts w:cs="Times New Roman"/>
      <w:sz w:val="20"/>
      <w:szCs w:val="20"/>
    </w:rPr>
  </w:style>
  <w:style w:type="character" w:styleId="EndnoteReference">
    <w:name w:val="endnote reference"/>
    <w:basedOn w:val="DefaultParagraphFont"/>
    <w:uiPriority w:val="99"/>
    <w:semiHidden/>
    <w:rsid w:val="00913E82"/>
    <w:rPr>
      <w:rFonts w:cs="Times New Roman"/>
      <w:vertAlign w:val="superscript"/>
    </w:rPr>
  </w:style>
  <w:style w:type="character" w:styleId="PlaceholderText">
    <w:name w:val="Placeholder Text"/>
    <w:basedOn w:val="DefaultParagraphFont"/>
    <w:uiPriority w:val="99"/>
    <w:semiHidden/>
    <w:rsid w:val="00A34DF1"/>
    <w:rPr>
      <w:rFonts w:cs="Times New Roman"/>
      <w:color w:val="808080"/>
    </w:rPr>
  </w:style>
  <w:style w:type="paragraph" w:styleId="NoSpacing">
    <w:name w:val="No Spacing"/>
    <w:uiPriority w:val="99"/>
    <w:qFormat/>
    <w:rsid w:val="00DA5651"/>
  </w:style>
  <w:style w:type="paragraph" w:styleId="TOC4">
    <w:name w:val="toc 4"/>
    <w:basedOn w:val="Normal"/>
    <w:next w:val="Normal"/>
    <w:autoRedefine/>
    <w:uiPriority w:val="39"/>
    <w:locked/>
    <w:rsid w:val="0062479B"/>
    <w:pPr>
      <w:ind w:left="660"/>
    </w:pPr>
    <w:rPr>
      <w:sz w:val="18"/>
      <w:szCs w:val="18"/>
    </w:rPr>
  </w:style>
  <w:style w:type="paragraph" w:styleId="TOC5">
    <w:name w:val="toc 5"/>
    <w:basedOn w:val="Normal"/>
    <w:next w:val="Normal"/>
    <w:autoRedefine/>
    <w:uiPriority w:val="39"/>
    <w:locked/>
    <w:rsid w:val="0062479B"/>
    <w:pPr>
      <w:ind w:left="880"/>
    </w:pPr>
    <w:rPr>
      <w:sz w:val="18"/>
      <w:szCs w:val="18"/>
    </w:rPr>
  </w:style>
  <w:style w:type="paragraph" w:styleId="TOC6">
    <w:name w:val="toc 6"/>
    <w:basedOn w:val="Normal"/>
    <w:next w:val="Normal"/>
    <w:autoRedefine/>
    <w:uiPriority w:val="39"/>
    <w:locked/>
    <w:rsid w:val="0062479B"/>
    <w:pPr>
      <w:ind w:left="1100"/>
    </w:pPr>
    <w:rPr>
      <w:sz w:val="18"/>
      <w:szCs w:val="18"/>
    </w:rPr>
  </w:style>
  <w:style w:type="paragraph" w:styleId="TOC7">
    <w:name w:val="toc 7"/>
    <w:basedOn w:val="Normal"/>
    <w:next w:val="Normal"/>
    <w:autoRedefine/>
    <w:uiPriority w:val="39"/>
    <w:locked/>
    <w:rsid w:val="0062479B"/>
    <w:pPr>
      <w:ind w:left="1320"/>
    </w:pPr>
    <w:rPr>
      <w:sz w:val="18"/>
      <w:szCs w:val="18"/>
    </w:rPr>
  </w:style>
  <w:style w:type="paragraph" w:styleId="TOC8">
    <w:name w:val="toc 8"/>
    <w:basedOn w:val="Normal"/>
    <w:next w:val="Normal"/>
    <w:autoRedefine/>
    <w:uiPriority w:val="39"/>
    <w:locked/>
    <w:rsid w:val="0062479B"/>
    <w:pPr>
      <w:ind w:left="1540"/>
    </w:pPr>
    <w:rPr>
      <w:sz w:val="18"/>
      <w:szCs w:val="18"/>
    </w:rPr>
  </w:style>
  <w:style w:type="paragraph" w:styleId="TOC9">
    <w:name w:val="toc 9"/>
    <w:basedOn w:val="Normal"/>
    <w:next w:val="Normal"/>
    <w:autoRedefine/>
    <w:uiPriority w:val="39"/>
    <w:locked/>
    <w:rsid w:val="0062479B"/>
    <w:pPr>
      <w:ind w:left="1760"/>
    </w:pPr>
    <w:rPr>
      <w:sz w:val="18"/>
      <w:szCs w:val="18"/>
    </w:rPr>
  </w:style>
  <w:style w:type="character" w:styleId="CommentReference">
    <w:name w:val="annotation reference"/>
    <w:basedOn w:val="DefaultParagraphFont"/>
    <w:uiPriority w:val="99"/>
    <w:locked/>
    <w:rsid w:val="00C25150"/>
    <w:rPr>
      <w:rFonts w:cs="Times New Roman"/>
      <w:sz w:val="16"/>
      <w:szCs w:val="16"/>
    </w:rPr>
  </w:style>
  <w:style w:type="paragraph" w:styleId="CommentText">
    <w:name w:val="annotation text"/>
    <w:basedOn w:val="Normal"/>
    <w:link w:val="CommentTextChar"/>
    <w:uiPriority w:val="99"/>
    <w:locked/>
    <w:rsid w:val="00C25150"/>
    <w:rPr>
      <w:sz w:val="20"/>
      <w:szCs w:val="20"/>
    </w:rPr>
  </w:style>
  <w:style w:type="character" w:customStyle="1" w:styleId="CommentTextChar">
    <w:name w:val="Comment Text Char"/>
    <w:basedOn w:val="DefaultParagraphFont"/>
    <w:link w:val="CommentText"/>
    <w:uiPriority w:val="99"/>
    <w:locked/>
    <w:rsid w:val="00C25150"/>
    <w:rPr>
      <w:rFonts w:cs="Times New Roman"/>
      <w:sz w:val="20"/>
      <w:szCs w:val="20"/>
    </w:rPr>
  </w:style>
  <w:style w:type="paragraph" w:styleId="CommentSubject">
    <w:name w:val="annotation subject"/>
    <w:basedOn w:val="CommentText"/>
    <w:next w:val="CommentText"/>
    <w:link w:val="CommentSubjectChar"/>
    <w:locked/>
    <w:rsid w:val="00C25150"/>
    <w:rPr>
      <w:b/>
      <w:bCs/>
    </w:rPr>
  </w:style>
  <w:style w:type="character" w:customStyle="1" w:styleId="CommentSubjectChar">
    <w:name w:val="Comment Subject Char"/>
    <w:basedOn w:val="CommentTextChar"/>
    <w:link w:val="CommentSubject"/>
    <w:locked/>
    <w:rsid w:val="00C25150"/>
    <w:rPr>
      <w:rFonts w:cs="Times New Roman"/>
      <w:b/>
      <w:bCs/>
      <w:sz w:val="20"/>
      <w:szCs w:val="20"/>
    </w:rPr>
  </w:style>
  <w:style w:type="paragraph" w:styleId="Revision">
    <w:name w:val="Revision"/>
    <w:hidden/>
    <w:uiPriority w:val="99"/>
    <w:semiHidden/>
    <w:rsid w:val="001E3B79"/>
  </w:style>
  <w:style w:type="table" w:styleId="TableGrid">
    <w:name w:val="Table Grid"/>
    <w:aliases w:val="EMI Table,tbl"/>
    <w:basedOn w:val="TableNormal"/>
    <w:uiPriority w:val="99"/>
    <w:locked/>
    <w:rsid w:val="00E16347"/>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Number2">
    <w:name w:val="List Number 2"/>
    <w:basedOn w:val="Normal"/>
    <w:uiPriority w:val="99"/>
    <w:locked/>
    <w:rsid w:val="004A14C8"/>
    <w:pPr>
      <w:tabs>
        <w:tab w:val="num" w:pos="720"/>
      </w:tabs>
      <w:spacing w:before="240"/>
      <w:ind w:left="720" w:hanging="360"/>
    </w:pPr>
    <w:rPr>
      <w:rFonts w:ascii="Times New Roman" w:eastAsia="Times New Roman" w:hAnsi="Times New Roman"/>
      <w:szCs w:val="24"/>
    </w:rPr>
  </w:style>
  <w:style w:type="paragraph" w:customStyle="1" w:styleId="Default">
    <w:name w:val="Default"/>
    <w:rsid w:val="004A14C8"/>
    <w:pPr>
      <w:autoSpaceDE w:val="0"/>
      <w:autoSpaceDN w:val="0"/>
      <w:adjustRightInd w:val="0"/>
    </w:pPr>
    <w:rPr>
      <w:rFonts w:ascii="Times New Roman" w:hAnsi="Times New Roman"/>
      <w:color w:val="000000"/>
      <w:sz w:val="24"/>
      <w:szCs w:val="24"/>
    </w:rPr>
  </w:style>
  <w:style w:type="paragraph" w:styleId="DocumentMap">
    <w:name w:val="Document Map"/>
    <w:basedOn w:val="Normal"/>
    <w:link w:val="DocumentMapChar"/>
    <w:uiPriority w:val="99"/>
    <w:semiHidden/>
    <w:locked/>
    <w:rsid w:val="00DA4BC3"/>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DA4BC3"/>
    <w:rPr>
      <w:rFonts w:ascii="Tahoma" w:hAnsi="Tahoma" w:cs="Tahoma"/>
      <w:sz w:val="16"/>
      <w:szCs w:val="16"/>
    </w:rPr>
  </w:style>
  <w:style w:type="paragraph" w:customStyle="1" w:styleId="Bullets-Short">
    <w:name w:val="Bullets - Short"/>
    <w:basedOn w:val="Normal"/>
    <w:uiPriority w:val="99"/>
    <w:rsid w:val="008956AB"/>
    <w:pPr>
      <w:numPr>
        <w:numId w:val="3"/>
      </w:numPr>
    </w:pPr>
    <w:rPr>
      <w:rFonts w:ascii="Times New Roman" w:eastAsia="Times New Roman" w:hAnsi="Times New Roman"/>
      <w:szCs w:val="24"/>
    </w:rPr>
  </w:style>
  <w:style w:type="paragraph" w:customStyle="1" w:styleId="bullets2">
    <w:name w:val="bullets 2"/>
    <w:uiPriority w:val="99"/>
    <w:rsid w:val="00C95855"/>
    <w:pPr>
      <w:numPr>
        <w:numId w:val="4"/>
      </w:numPr>
      <w:spacing w:before="40" w:after="80"/>
      <w:ind w:left="1440"/>
    </w:pPr>
    <w:rPr>
      <w:rFonts w:ascii="Times New Roman" w:eastAsia="Times New Roman" w:hAnsi="Times New Roman"/>
      <w:sz w:val="24"/>
      <w:szCs w:val="24"/>
    </w:rPr>
  </w:style>
  <w:style w:type="paragraph" w:customStyle="1" w:styleId="Numbering">
    <w:name w:val="Numbering"/>
    <w:uiPriority w:val="99"/>
    <w:rsid w:val="00466F40"/>
    <w:pPr>
      <w:numPr>
        <w:numId w:val="5"/>
      </w:numPr>
      <w:spacing w:after="120" w:line="276" w:lineRule="auto"/>
    </w:pPr>
    <w:rPr>
      <w:rFonts w:asciiTheme="minorHAnsi" w:eastAsia="Times New Roman" w:hAnsiTheme="minorHAnsi"/>
      <w:szCs w:val="24"/>
    </w:rPr>
  </w:style>
  <w:style w:type="paragraph" w:styleId="NormalWeb">
    <w:name w:val="Normal (Web)"/>
    <w:basedOn w:val="Normal"/>
    <w:locked/>
    <w:rsid w:val="00174744"/>
    <w:pPr>
      <w:spacing w:before="100" w:beforeAutospacing="1" w:after="100" w:afterAutospacing="1"/>
    </w:pPr>
    <w:rPr>
      <w:rFonts w:ascii="Times New Roman" w:hAnsi="Times New Roman"/>
      <w:sz w:val="24"/>
      <w:szCs w:val="24"/>
    </w:rPr>
  </w:style>
  <w:style w:type="table" w:customStyle="1" w:styleId="EnergyTable">
    <w:name w:val="Energy Table"/>
    <w:uiPriority w:val="99"/>
    <w:qFormat/>
    <w:rsid w:val="009C0278"/>
    <w:rPr>
      <w:rFonts w:ascii="Palatino Linotype" w:eastAsia="Times New Roman" w:hAnsi="Palatino Linotype"/>
      <w:sz w:val="20"/>
      <w:szCs w:val="20"/>
    </w:rPr>
    <w:tblPr>
      <w:tblStyleRowBandSize w:val="1"/>
      <w:jc w:val="center"/>
      <w:tblInd w:w="0" w:type="dxa"/>
      <w:tblBorders>
        <w:top w:val="single" w:sz="8" w:space="0" w:color="DDD9C3"/>
        <w:bottom w:val="single" w:sz="8" w:space="0" w:color="92876D"/>
        <w:insideH w:val="single" w:sz="8" w:space="0" w:color="DDD9C3"/>
      </w:tblBorders>
      <w:tblCellMar>
        <w:top w:w="0" w:type="dxa"/>
        <w:left w:w="108" w:type="dxa"/>
        <w:bottom w:w="0" w:type="dxa"/>
        <w:right w:w="108" w:type="dxa"/>
      </w:tblCellMar>
    </w:tblPr>
    <w:trPr>
      <w:cantSplit/>
      <w:jc w:val="center"/>
    </w:trPr>
  </w:style>
  <w:style w:type="paragraph" w:styleId="Index2">
    <w:name w:val="index 2"/>
    <w:basedOn w:val="Normal"/>
    <w:next w:val="Normal"/>
    <w:uiPriority w:val="99"/>
    <w:locked/>
    <w:rsid w:val="00367B86"/>
    <w:pPr>
      <w:ind w:left="360"/>
    </w:pPr>
    <w:rPr>
      <w:rFonts w:ascii="Tms Rmn" w:hAnsi="Tms Rmn"/>
    </w:rPr>
  </w:style>
  <w:style w:type="paragraph" w:styleId="ListBullet2">
    <w:name w:val="List Bullet 2"/>
    <w:basedOn w:val="Normal"/>
    <w:uiPriority w:val="99"/>
    <w:locked/>
    <w:rsid w:val="00367B86"/>
    <w:pPr>
      <w:numPr>
        <w:numId w:val="6"/>
      </w:numPr>
      <w:ind w:left="1800"/>
      <w:contextualSpacing/>
    </w:pPr>
    <w:rPr>
      <w:rFonts w:ascii="Calibri" w:hAnsi="Calibri"/>
    </w:rPr>
  </w:style>
  <w:style w:type="paragraph" w:customStyle="1" w:styleId="AppendixHeading1">
    <w:name w:val="Appendix Heading 1"/>
    <w:basedOn w:val="Heading1"/>
    <w:uiPriority w:val="99"/>
    <w:rsid w:val="00A86F4D"/>
    <w:pPr>
      <w:widowControl w:val="0"/>
      <w:shd w:val="clear" w:color="008080" w:fill="B55F00"/>
      <w:ind w:left="720" w:hanging="720"/>
    </w:pPr>
    <w:rPr>
      <w:bCs/>
      <w:color w:val="FFFFFF"/>
      <w:kern w:val="28"/>
      <w:position w:val="6"/>
    </w:rPr>
  </w:style>
  <w:style w:type="paragraph" w:customStyle="1" w:styleId="AppendixHeading2">
    <w:name w:val="Appendix Heading 2"/>
    <w:basedOn w:val="Heading2"/>
    <w:autoRedefine/>
    <w:uiPriority w:val="99"/>
    <w:rsid w:val="00A86F4D"/>
    <w:pPr>
      <w:widowControl w:val="0"/>
      <w:numPr>
        <w:numId w:val="1"/>
      </w:numPr>
      <w:shd w:val="clear" w:color="008080" w:fill="auto"/>
      <w:tabs>
        <w:tab w:val="num" w:pos="1440"/>
      </w:tabs>
      <w:spacing w:before="240"/>
      <w:ind w:left="1800" w:hanging="720"/>
    </w:pPr>
    <w:rPr>
      <w:rFonts w:cs="Arial"/>
      <w:i/>
      <w:iCs/>
      <w:kern w:val="28"/>
      <w:position w:val="6"/>
      <w:szCs w:val="28"/>
    </w:rPr>
  </w:style>
  <w:style w:type="paragraph" w:customStyle="1" w:styleId="AppendixHeading3">
    <w:name w:val="Appendix Heading 3"/>
    <w:basedOn w:val="Heading3"/>
    <w:uiPriority w:val="99"/>
    <w:rsid w:val="00A86F4D"/>
    <w:pPr>
      <w:numPr>
        <w:numId w:val="2"/>
      </w:numPr>
      <w:tabs>
        <w:tab w:val="num" w:pos="2160"/>
      </w:tabs>
      <w:ind w:hanging="180"/>
    </w:pPr>
    <w:rPr>
      <w:rFonts w:ascii="Arial Narrow" w:eastAsia="Times New Roman" w:hAnsi="Arial Narrow"/>
      <w:bCs/>
      <w:color w:val="993300"/>
      <w:szCs w:val="24"/>
    </w:rPr>
  </w:style>
  <w:style w:type="character" w:customStyle="1" w:styleId="CaptionChar1">
    <w:name w:val="Caption Char1"/>
    <w:aliases w:val="Caption Char Char,Table Caption Char,Char Char, Char Char,Caption Char1 Char Char"/>
    <w:basedOn w:val="DefaultParagraphFont"/>
    <w:link w:val="Caption"/>
    <w:locked/>
    <w:rsid w:val="00586985"/>
    <w:rPr>
      <w:rFonts w:ascii="Century Gothic" w:hAnsi="Century Gothic"/>
      <w:b/>
      <w:bCs/>
      <w:color w:val="000000" w:themeColor="text1"/>
      <w:sz w:val="18"/>
      <w:szCs w:val="18"/>
    </w:rPr>
  </w:style>
  <w:style w:type="numbering" w:customStyle="1" w:styleId="Style1">
    <w:name w:val="Style1"/>
    <w:rsid w:val="009C4C1F"/>
    <w:pPr>
      <w:numPr>
        <w:numId w:val="7"/>
      </w:numPr>
    </w:pPr>
  </w:style>
  <w:style w:type="paragraph" w:customStyle="1" w:styleId="TableText">
    <w:name w:val="Table Text"/>
    <w:basedOn w:val="Normal"/>
    <w:qFormat/>
    <w:rsid w:val="003D6799"/>
    <w:pPr>
      <w:keepNext/>
      <w:keepLines/>
      <w:spacing w:before="80"/>
      <w:jc w:val="left"/>
    </w:pPr>
    <w:rPr>
      <w:color w:val="000000"/>
      <w:sz w:val="18"/>
      <w:szCs w:val="18"/>
    </w:rPr>
  </w:style>
  <w:style w:type="paragraph" w:customStyle="1" w:styleId="TableHeader">
    <w:name w:val="Table Header"/>
    <w:basedOn w:val="Normal"/>
    <w:qFormat/>
    <w:rsid w:val="003D6799"/>
    <w:pPr>
      <w:keepNext/>
      <w:keepLines/>
      <w:spacing w:before="80"/>
      <w:jc w:val="center"/>
    </w:pPr>
    <w:rPr>
      <w:b/>
      <w:bCs/>
      <w:color w:val="000000"/>
      <w:sz w:val="18"/>
      <w:szCs w:val="18"/>
    </w:rPr>
  </w:style>
  <w:style w:type="paragraph" w:customStyle="1" w:styleId="TableList">
    <w:name w:val="Table List"/>
    <w:basedOn w:val="ListParagraph"/>
    <w:qFormat/>
    <w:rsid w:val="00E83F12"/>
    <w:pPr>
      <w:numPr>
        <w:numId w:val="9"/>
      </w:numPr>
    </w:pPr>
    <w:rPr>
      <w:bCs/>
      <w:color w:val="000000"/>
      <w:sz w:val="16"/>
      <w:szCs w:val="16"/>
    </w:rPr>
  </w:style>
  <w:style w:type="paragraph" w:customStyle="1" w:styleId="DefinitionTerm">
    <w:name w:val="Definition Term"/>
    <w:basedOn w:val="Normal"/>
    <w:next w:val="DefinitionDefinition"/>
    <w:qFormat/>
    <w:rsid w:val="005076A7"/>
    <w:pPr>
      <w:keepNext/>
      <w:jc w:val="left"/>
    </w:pPr>
    <w:rPr>
      <w:b/>
    </w:rPr>
  </w:style>
  <w:style w:type="paragraph" w:customStyle="1" w:styleId="DefinitionDefinition">
    <w:name w:val="Definition Definition"/>
    <w:basedOn w:val="Normal"/>
    <w:next w:val="DefinitionTerm"/>
    <w:qFormat/>
    <w:rsid w:val="00C260C0"/>
    <w:pPr>
      <w:ind w:firstLine="720"/>
      <w:jc w:val="left"/>
    </w:pPr>
  </w:style>
  <w:style w:type="paragraph" w:customStyle="1" w:styleId="refEDCName">
    <w:name w:val="ref EDC Name"/>
    <w:basedOn w:val="Normal"/>
    <w:qFormat/>
    <w:rsid w:val="00251B31"/>
    <w:pPr>
      <w:jc w:val="center"/>
    </w:pPr>
    <w:rPr>
      <w:rFonts w:asciiTheme="majorHAnsi" w:hAnsiTheme="majorHAnsi" w:cstheme="minorHAnsi"/>
      <w:sz w:val="24"/>
      <w:szCs w:val="24"/>
    </w:rPr>
  </w:style>
  <w:style w:type="paragraph" w:customStyle="1" w:styleId="refDate">
    <w:name w:val="ref Date"/>
    <w:basedOn w:val="Normal"/>
    <w:qFormat/>
    <w:rsid w:val="00251B31"/>
    <w:pPr>
      <w:jc w:val="center"/>
    </w:pPr>
    <w:rPr>
      <w:rFonts w:asciiTheme="majorHAnsi" w:hAnsiTheme="majorHAnsi" w:cstheme="minorHAnsi"/>
      <w:sz w:val="24"/>
      <w:szCs w:val="24"/>
    </w:rPr>
  </w:style>
  <w:style w:type="paragraph" w:customStyle="1" w:styleId="refReportingPeriod">
    <w:name w:val="ref Reporting Period"/>
    <w:basedOn w:val="Normal"/>
    <w:qFormat/>
    <w:rsid w:val="00EC1408"/>
    <w:pPr>
      <w:jc w:val="center"/>
    </w:pPr>
    <w:rPr>
      <w:rFonts w:asciiTheme="majorHAnsi" w:hAnsiTheme="majorHAnsi"/>
      <w:b/>
      <w:sz w:val="32"/>
      <w:szCs w:val="32"/>
    </w:rPr>
  </w:style>
  <w:style w:type="paragraph" w:customStyle="1" w:styleId="NormalSpacer">
    <w:name w:val="Normal Spacer"/>
    <w:basedOn w:val="Normal"/>
    <w:next w:val="Normal"/>
    <w:qFormat/>
    <w:rsid w:val="00A917D2"/>
    <w:pPr>
      <w:keepLines/>
    </w:pPr>
  </w:style>
  <w:style w:type="paragraph" w:customStyle="1" w:styleId="DefinitionHeader">
    <w:name w:val="Definition Header"/>
    <w:basedOn w:val="DefinitionTerm"/>
    <w:next w:val="DefinitionTerm"/>
    <w:qFormat/>
    <w:rsid w:val="00535881"/>
    <w:pPr>
      <w:spacing w:before="120" w:after="120"/>
      <w:jc w:val="center"/>
    </w:pPr>
    <w:rPr>
      <w:sz w:val="24"/>
    </w:rPr>
  </w:style>
  <w:style w:type="paragraph" w:customStyle="1" w:styleId="TableHeader-Row">
    <w:name w:val="Table Header - Row"/>
    <w:basedOn w:val="Normal"/>
    <w:uiPriority w:val="99"/>
    <w:rsid w:val="009A4FD0"/>
    <w:pPr>
      <w:keepNext/>
      <w:keepLines/>
      <w:widowControl w:val="0"/>
      <w:suppressAutoHyphens/>
      <w:jc w:val="center"/>
    </w:pPr>
    <w:rPr>
      <w:rFonts w:ascii="Times New Roman" w:eastAsia="Times New Roman" w:hAnsi="Times New Roman"/>
      <w:b/>
      <w:sz w:val="20"/>
      <w:szCs w:val="24"/>
    </w:rPr>
  </w:style>
  <w:style w:type="character" w:customStyle="1" w:styleId="TableCaptionCharChar2">
    <w:name w:val="Table Caption Char Char2"/>
    <w:aliases w:val="Table Caption Char3,Char Char2, Char Char1"/>
    <w:basedOn w:val="DefaultParagraphFont"/>
    <w:uiPriority w:val="99"/>
    <w:locked/>
    <w:rsid w:val="009A4FD0"/>
    <w:rPr>
      <w:b/>
      <w:bCs/>
      <w:sz w:val="24"/>
    </w:rPr>
  </w:style>
  <w:style w:type="paragraph" w:customStyle="1" w:styleId="arial11">
    <w:name w:val="arial 11"/>
    <w:basedOn w:val="Normal"/>
    <w:link w:val="arial11Char"/>
    <w:uiPriority w:val="99"/>
    <w:qFormat/>
    <w:rsid w:val="009A4FD0"/>
    <w:pPr>
      <w:jc w:val="left"/>
    </w:pPr>
    <w:rPr>
      <w:rFonts w:ascii="Arial" w:eastAsia="Times New Roman" w:hAnsi="Arial" w:cs="Arial"/>
    </w:rPr>
  </w:style>
  <w:style w:type="character" w:customStyle="1" w:styleId="arial11Char">
    <w:name w:val="arial 11 Char"/>
    <w:basedOn w:val="DefaultParagraphFont"/>
    <w:link w:val="arial11"/>
    <w:uiPriority w:val="99"/>
    <w:locked/>
    <w:rsid w:val="009A4FD0"/>
    <w:rPr>
      <w:rFonts w:ascii="Arial" w:eastAsia="Times New Roman" w:hAnsi="Arial" w:cs="Arial"/>
    </w:rPr>
  </w:style>
  <w:style w:type="paragraph" w:customStyle="1" w:styleId="AfterH3">
    <w:name w:val="After H3"/>
    <w:basedOn w:val="Normal"/>
    <w:uiPriority w:val="99"/>
    <w:rsid w:val="009A4FD0"/>
    <w:pPr>
      <w:keepNext/>
      <w:keepLines/>
      <w:jc w:val="left"/>
    </w:pPr>
    <w:rPr>
      <w:rFonts w:ascii="Calibri" w:hAnsi="Calibri"/>
    </w:rPr>
  </w:style>
  <w:style w:type="paragraph" w:customStyle="1" w:styleId="bullets">
    <w:name w:val="bullets"/>
    <w:basedOn w:val="ListParagraph"/>
    <w:link w:val="bulletsChar"/>
    <w:uiPriority w:val="99"/>
    <w:rsid w:val="002C50C1"/>
    <w:pPr>
      <w:numPr>
        <w:numId w:val="16"/>
      </w:numPr>
      <w:spacing w:after="120"/>
      <w:contextualSpacing w:val="0"/>
    </w:pPr>
  </w:style>
  <w:style w:type="character" w:customStyle="1" w:styleId="bulletsChar">
    <w:name w:val="bullets Char"/>
    <w:basedOn w:val="DefaultParagraphFont"/>
    <w:link w:val="bullets"/>
    <w:uiPriority w:val="99"/>
    <w:locked/>
    <w:rsid w:val="002C50C1"/>
    <w:rPr>
      <w:rFonts w:asciiTheme="minorHAnsi" w:hAnsiTheme="minorHAnsi"/>
    </w:rPr>
  </w:style>
  <w:style w:type="paragraph" w:customStyle="1" w:styleId="StyleJustified">
    <w:name w:val="Style Justified"/>
    <w:basedOn w:val="Normal"/>
    <w:uiPriority w:val="99"/>
    <w:rsid w:val="002A4D5A"/>
    <w:pPr>
      <w:spacing w:before="40" w:after="160"/>
      <w:jc w:val="left"/>
    </w:pPr>
    <w:rPr>
      <w:rFonts w:ascii="Times New Roman" w:eastAsia="Times New Roman" w:hAnsi="Times New Roman"/>
      <w:sz w:val="24"/>
      <w:szCs w:val="20"/>
    </w:rPr>
  </w:style>
  <w:style w:type="paragraph" w:customStyle="1" w:styleId="Appendix">
    <w:name w:val="Appendix"/>
    <w:basedOn w:val="Heading9"/>
    <w:uiPriority w:val="99"/>
    <w:rsid w:val="002A4D5A"/>
    <w:pPr>
      <w:keepNext w:val="0"/>
      <w:keepLines w:val="0"/>
      <w:numPr>
        <w:ilvl w:val="0"/>
        <w:numId w:val="0"/>
      </w:numPr>
      <w:spacing w:before="40" w:after="240"/>
      <w:jc w:val="left"/>
    </w:pPr>
    <w:rPr>
      <w:rFonts w:ascii="Arial" w:hAnsi="Arial" w:cs="Arial"/>
      <w:b w:val="0"/>
      <w:bCs/>
      <w:i/>
      <w:sz w:val="36"/>
      <w:szCs w:val="22"/>
    </w:rPr>
  </w:style>
  <w:style w:type="paragraph" w:customStyle="1" w:styleId="Normal-Justified">
    <w:name w:val="Normal-Justified"/>
    <w:link w:val="Normal-JustifiedChar"/>
    <w:uiPriority w:val="99"/>
    <w:rsid w:val="002A4D5A"/>
    <w:pPr>
      <w:jc w:val="both"/>
    </w:pPr>
    <w:rPr>
      <w:rFonts w:ascii="Times New Roman" w:eastAsia="Times New Roman" w:hAnsi="Times New Roman"/>
      <w:sz w:val="20"/>
      <w:szCs w:val="20"/>
    </w:rPr>
  </w:style>
  <w:style w:type="character" w:customStyle="1" w:styleId="Normal-JustifiedChar">
    <w:name w:val="Normal-Justified Char"/>
    <w:basedOn w:val="DefaultParagraphFont"/>
    <w:link w:val="Normal-Justified"/>
    <w:uiPriority w:val="99"/>
    <w:locked/>
    <w:rsid w:val="002A4D5A"/>
    <w:rPr>
      <w:rFonts w:ascii="Times New Roman" w:eastAsia="Times New Roman" w:hAnsi="Times New Roman"/>
      <w:sz w:val="20"/>
      <w:szCs w:val="20"/>
    </w:rPr>
  </w:style>
  <w:style w:type="paragraph" w:styleId="Title">
    <w:name w:val="Title"/>
    <w:basedOn w:val="Normal"/>
    <w:next w:val="Normal"/>
    <w:link w:val="TitleChar"/>
    <w:uiPriority w:val="10"/>
    <w:qFormat/>
    <w:locked/>
    <w:rsid w:val="002A4D5A"/>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2A4D5A"/>
    <w:rPr>
      <w:rFonts w:ascii="Cambria" w:eastAsia="Times New Roman" w:hAnsi="Cambria"/>
      <w:b/>
      <w:bCs/>
      <w:kern w:val="28"/>
      <w:sz w:val="32"/>
      <w:szCs w:val="32"/>
    </w:rPr>
  </w:style>
  <w:style w:type="paragraph" w:customStyle="1" w:styleId="Justified">
    <w:name w:val="Justified"/>
    <w:basedOn w:val="Normal"/>
    <w:link w:val="JustifiedChar"/>
    <w:uiPriority w:val="99"/>
    <w:rsid w:val="002A4D5A"/>
    <w:pPr>
      <w:jc w:val="left"/>
    </w:pPr>
    <w:rPr>
      <w:rFonts w:ascii="Times New Roman" w:eastAsia="Times New Roman" w:hAnsi="Times New Roman"/>
      <w:sz w:val="24"/>
      <w:szCs w:val="20"/>
    </w:rPr>
  </w:style>
  <w:style w:type="paragraph" w:customStyle="1" w:styleId="TableContents">
    <w:name w:val="Table Contents"/>
    <w:basedOn w:val="Normal"/>
    <w:uiPriority w:val="99"/>
    <w:rsid w:val="002A4D5A"/>
    <w:pPr>
      <w:keepLines/>
      <w:widowControl w:val="0"/>
      <w:suppressAutoHyphens/>
      <w:jc w:val="left"/>
    </w:pPr>
    <w:rPr>
      <w:rFonts w:ascii="Times New Roman" w:eastAsia="Times New Roman" w:hAnsi="Times New Roman"/>
      <w:sz w:val="20"/>
      <w:szCs w:val="24"/>
    </w:rPr>
  </w:style>
  <w:style w:type="paragraph" w:customStyle="1" w:styleId="TableHeader-Column">
    <w:name w:val="Table Header - Column"/>
    <w:basedOn w:val="TableContents"/>
    <w:uiPriority w:val="99"/>
    <w:rsid w:val="002A4D5A"/>
    <w:pPr>
      <w:keepNext/>
    </w:pPr>
    <w:rPr>
      <w:b/>
    </w:rPr>
  </w:style>
  <w:style w:type="paragraph" w:customStyle="1" w:styleId="Justifiedbullets">
    <w:name w:val="Justified bullets"/>
    <w:basedOn w:val="Normal"/>
    <w:uiPriority w:val="99"/>
    <w:rsid w:val="002A4D5A"/>
    <w:pPr>
      <w:numPr>
        <w:numId w:val="10"/>
      </w:numPr>
      <w:tabs>
        <w:tab w:val="clear" w:pos="1080"/>
      </w:tabs>
      <w:spacing w:before="40" w:after="40"/>
      <w:ind w:left="720"/>
      <w:jc w:val="left"/>
    </w:pPr>
    <w:rPr>
      <w:rFonts w:ascii="Times New Roman" w:eastAsia="Times New Roman" w:hAnsi="Times New Roman"/>
      <w:sz w:val="24"/>
      <w:szCs w:val="20"/>
    </w:rPr>
  </w:style>
  <w:style w:type="paragraph" w:styleId="PlainText">
    <w:name w:val="Plain Text"/>
    <w:basedOn w:val="Normal"/>
    <w:link w:val="PlainTextChar"/>
    <w:uiPriority w:val="99"/>
    <w:locked/>
    <w:rsid w:val="002A4D5A"/>
    <w:pPr>
      <w:jc w:val="left"/>
    </w:pPr>
    <w:rPr>
      <w:rFonts w:ascii="Consolas" w:hAnsi="Consolas"/>
      <w:sz w:val="21"/>
      <w:szCs w:val="21"/>
    </w:rPr>
  </w:style>
  <w:style w:type="character" w:customStyle="1" w:styleId="PlainTextChar">
    <w:name w:val="Plain Text Char"/>
    <w:basedOn w:val="DefaultParagraphFont"/>
    <w:link w:val="PlainText"/>
    <w:uiPriority w:val="99"/>
    <w:rsid w:val="002A4D5A"/>
    <w:rPr>
      <w:rFonts w:ascii="Consolas" w:hAnsi="Consolas"/>
      <w:sz w:val="21"/>
      <w:szCs w:val="21"/>
    </w:rPr>
  </w:style>
  <w:style w:type="paragraph" w:customStyle="1" w:styleId="Numbered">
    <w:name w:val="Numbered"/>
    <w:basedOn w:val="Normal"/>
    <w:uiPriority w:val="99"/>
    <w:rsid w:val="00466F40"/>
    <w:pPr>
      <w:numPr>
        <w:numId w:val="11"/>
      </w:numPr>
      <w:spacing w:after="120"/>
      <w:jc w:val="left"/>
    </w:pPr>
    <w:rPr>
      <w:rFonts w:eastAsia="Times New Roman" w:cs="GillSans"/>
      <w:szCs w:val="24"/>
    </w:rPr>
  </w:style>
  <w:style w:type="paragraph" w:customStyle="1" w:styleId="tabletext0">
    <w:name w:val="table text"/>
    <w:basedOn w:val="Normal"/>
    <w:link w:val="tabletextChar"/>
    <w:uiPriority w:val="99"/>
    <w:rsid w:val="002A4D5A"/>
    <w:pPr>
      <w:spacing w:after="20"/>
      <w:jc w:val="left"/>
    </w:pPr>
    <w:rPr>
      <w:rFonts w:ascii="Arial Narrow" w:eastAsia="Times New Roman" w:hAnsi="Arial Narrow"/>
      <w:sz w:val="20"/>
      <w:szCs w:val="20"/>
    </w:rPr>
  </w:style>
  <w:style w:type="character" w:customStyle="1" w:styleId="tabletextChar">
    <w:name w:val="table text Char"/>
    <w:basedOn w:val="DefaultParagraphFont"/>
    <w:link w:val="tabletext0"/>
    <w:uiPriority w:val="99"/>
    <w:locked/>
    <w:rsid w:val="002A4D5A"/>
    <w:rPr>
      <w:rFonts w:ascii="Arial Narrow" w:eastAsia="Times New Roman" w:hAnsi="Arial Narrow"/>
      <w:sz w:val="20"/>
      <w:szCs w:val="20"/>
    </w:rPr>
  </w:style>
  <w:style w:type="character" w:customStyle="1" w:styleId="JustifiedChar">
    <w:name w:val="Justified Char"/>
    <w:basedOn w:val="DefaultParagraphFont"/>
    <w:link w:val="Justified"/>
    <w:uiPriority w:val="99"/>
    <w:locked/>
    <w:rsid w:val="002A4D5A"/>
    <w:rPr>
      <w:rFonts w:ascii="Times New Roman" w:eastAsia="Times New Roman" w:hAnsi="Times New Roman"/>
      <w:sz w:val="24"/>
      <w:szCs w:val="20"/>
    </w:rPr>
  </w:style>
  <w:style w:type="character" w:customStyle="1" w:styleId="TableCaptionCharChar1">
    <w:name w:val="Table Caption Char Char1"/>
    <w:aliases w:val="Table Caption Char2,Char Char1"/>
    <w:basedOn w:val="DefaultParagraphFont"/>
    <w:uiPriority w:val="99"/>
    <w:locked/>
    <w:rsid w:val="002A4D5A"/>
    <w:rPr>
      <w:rFonts w:ascii="Times New Roman" w:hAnsi="Times New Roman" w:cs="Times New Roman"/>
      <w:b/>
      <w:bCs/>
      <w:sz w:val="18"/>
      <w:szCs w:val="18"/>
    </w:rPr>
  </w:style>
  <w:style w:type="paragraph" w:customStyle="1" w:styleId="Bullets-justified">
    <w:name w:val="Bullets-justified"/>
    <w:uiPriority w:val="99"/>
    <w:rsid w:val="002A4D5A"/>
    <w:pPr>
      <w:numPr>
        <w:numId w:val="12"/>
      </w:numPr>
      <w:spacing w:before="80" w:after="160"/>
      <w:jc w:val="both"/>
    </w:pPr>
    <w:rPr>
      <w:rFonts w:ascii="Times New Roman" w:eastAsia="Times New Roman" w:hAnsi="Times New Roman"/>
      <w:sz w:val="24"/>
      <w:szCs w:val="24"/>
    </w:rPr>
  </w:style>
  <w:style w:type="character" w:styleId="FollowedHyperlink">
    <w:name w:val="FollowedHyperlink"/>
    <w:basedOn w:val="DefaultParagraphFont"/>
    <w:uiPriority w:val="99"/>
    <w:semiHidden/>
    <w:locked/>
    <w:rsid w:val="002A4D5A"/>
    <w:rPr>
      <w:rFonts w:cs="Times New Roman"/>
      <w:color w:val="800080"/>
      <w:u w:val="single"/>
    </w:rPr>
  </w:style>
  <w:style w:type="paragraph" w:styleId="TableofFigures">
    <w:name w:val="table of figures"/>
    <w:basedOn w:val="Normal"/>
    <w:next w:val="Normal"/>
    <w:uiPriority w:val="99"/>
    <w:locked/>
    <w:rsid w:val="005923AF"/>
    <w:pPr>
      <w:spacing w:after="80"/>
      <w:jc w:val="left"/>
    </w:pPr>
    <w:rPr>
      <w:rFonts w:ascii="Century Gothic" w:hAnsi="Century Gothic"/>
      <w:sz w:val="18"/>
    </w:rPr>
  </w:style>
  <w:style w:type="paragraph" w:styleId="ListNumber">
    <w:name w:val="List Number"/>
    <w:basedOn w:val="Normal"/>
    <w:uiPriority w:val="99"/>
    <w:locked/>
    <w:rsid w:val="002A4D5A"/>
    <w:pPr>
      <w:numPr>
        <w:numId w:val="13"/>
      </w:numPr>
      <w:ind w:left="720" w:hanging="360"/>
      <w:contextualSpacing/>
      <w:jc w:val="left"/>
    </w:pPr>
    <w:rPr>
      <w:rFonts w:ascii="Calibri" w:hAnsi="Calibri"/>
    </w:rPr>
  </w:style>
  <w:style w:type="paragraph" w:styleId="Subtitle">
    <w:name w:val="Subtitle"/>
    <w:basedOn w:val="Normal"/>
    <w:link w:val="SubtitleChar"/>
    <w:uiPriority w:val="11"/>
    <w:qFormat/>
    <w:locked/>
    <w:rsid w:val="002A4D5A"/>
    <w:pPr>
      <w:spacing w:before="40" w:after="160"/>
      <w:ind w:right="-18"/>
      <w:jc w:val="right"/>
      <w:outlineLvl w:val="1"/>
    </w:pPr>
    <w:rPr>
      <w:rFonts w:ascii="Arial" w:eastAsia="Times New Roman" w:hAnsi="Arial" w:cs="Arial"/>
      <w:sz w:val="26"/>
      <w:szCs w:val="24"/>
    </w:rPr>
  </w:style>
  <w:style w:type="character" w:customStyle="1" w:styleId="SubtitleChar">
    <w:name w:val="Subtitle Char"/>
    <w:basedOn w:val="DefaultParagraphFont"/>
    <w:link w:val="Subtitle"/>
    <w:uiPriority w:val="11"/>
    <w:rsid w:val="002A4D5A"/>
    <w:rPr>
      <w:rFonts w:ascii="Arial" w:eastAsia="Times New Roman" w:hAnsi="Arial" w:cs="Arial"/>
      <w:sz w:val="26"/>
      <w:szCs w:val="24"/>
    </w:rPr>
  </w:style>
  <w:style w:type="paragraph" w:customStyle="1" w:styleId="toctitle">
    <w:name w:val="toc title"/>
    <w:basedOn w:val="Heading9"/>
    <w:uiPriority w:val="99"/>
    <w:rsid w:val="002A4D5A"/>
    <w:pPr>
      <w:keepNext w:val="0"/>
      <w:keepLines w:val="0"/>
      <w:numPr>
        <w:ilvl w:val="0"/>
        <w:numId w:val="0"/>
      </w:numPr>
      <w:tabs>
        <w:tab w:val="left" w:pos="720"/>
      </w:tabs>
      <w:jc w:val="left"/>
      <w:outlineLvl w:val="0"/>
    </w:pPr>
    <w:rPr>
      <w:rFonts w:ascii="Arial" w:hAnsi="Arial" w:cs="Arial"/>
      <w:b w:val="0"/>
      <w:bCs/>
      <w:i/>
      <w:sz w:val="36"/>
      <w:szCs w:val="22"/>
    </w:rPr>
  </w:style>
  <w:style w:type="paragraph" w:customStyle="1" w:styleId="tablenote">
    <w:name w:val="table note"/>
    <w:basedOn w:val="Normal"/>
    <w:uiPriority w:val="99"/>
    <w:rsid w:val="002A4D5A"/>
    <w:pPr>
      <w:spacing w:before="20"/>
      <w:ind w:left="270" w:hanging="270"/>
      <w:jc w:val="left"/>
    </w:pPr>
    <w:rPr>
      <w:rFonts w:ascii="Arial Narrow" w:eastAsia="Times New Roman" w:hAnsi="Arial Narrow"/>
      <w:sz w:val="20"/>
      <w:szCs w:val="24"/>
    </w:rPr>
  </w:style>
  <w:style w:type="paragraph" w:customStyle="1" w:styleId="tableheading">
    <w:name w:val="table heading"/>
    <w:basedOn w:val="Normal"/>
    <w:uiPriority w:val="99"/>
    <w:rsid w:val="002A4D5A"/>
    <w:pPr>
      <w:spacing w:before="40" w:after="40"/>
      <w:jc w:val="center"/>
    </w:pPr>
    <w:rPr>
      <w:rFonts w:ascii="Arial Narrow" w:hAnsi="Arial Narrow"/>
      <w:b/>
      <w:color w:val="DBE5F1"/>
      <w:sz w:val="24"/>
    </w:rPr>
  </w:style>
  <w:style w:type="paragraph" w:customStyle="1" w:styleId="figurestyle">
    <w:name w:val="figure style"/>
    <w:basedOn w:val="Normal"/>
    <w:uiPriority w:val="99"/>
    <w:rsid w:val="002A4D5A"/>
    <w:pPr>
      <w:keepNext/>
      <w:numPr>
        <w:numId w:val="14"/>
      </w:numPr>
      <w:tabs>
        <w:tab w:val="clear" w:pos="720"/>
      </w:tabs>
      <w:spacing w:before="240" w:after="80"/>
      <w:ind w:left="0" w:firstLine="0"/>
      <w:jc w:val="center"/>
    </w:pPr>
    <w:rPr>
      <w:rFonts w:ascii="Times New Roman" w:eastAsia="Times New Roman" w:hAnsi="Times New Roman"/>
      <w:b/>
      <w:sz w:val="24"/>
      <w:szCs w:val="24"/>
    </w:rPr>
  </w:style>
  <w:style w:type="paragraph" w:customStyle="1" w:styleId="Heading1-No">
    <w:name w:val="Heading 1-No #"/>
    <w:basedOn w:val="Heading1"/>
    <w:next w:val="Normal"/>
    <w:qFormat/>
    <w:rsid w:val="00E02D8D"/>
    <w:pPr>
      <w:numPr>
        <w:numId w:val="0"/>
      </w:numPr>
      <w:tabs>
        <w:tab w:val="left" w:pos="720"/>
      </w:tabs>
      <w:spacing w:before="40" w:after="240"/>
      <w:jc w:val="right"/>
    </w:pPr>
    <w:rPr>
      <w:rFonts w:cs="Arial"/>
      <w:iCs/>
    </w:rPr>
  </w:style>
  <w:style w:type="paragraph" w:customStyle="1" w:styleId="Subtitle-Left">
    <w:name w:val="Subtitle-Left"/>
    <w:uiPriority w:val="99"/>
    <w:rsid w:val="002A4D5A"/>
    <w:pPr>
      <w:spacing w:before="240" w:after="40"/>
    </w:pPr>
    <w:rPr>
      <w:rFonts w:ascii="Arial" w:eastAsia="Times New Roman" w:hAnsi="Arial" w:cs="Arial"/>
      <w:sz w:val="26"/>
      <w:szCs w:val="24"/>
    </w:rPr>
  </w:style>
  <w:style w:type="paragraph" w:customStyle="1" w:styleId="Subtitle-Right">
    <w:name w:val="Subtitle-Right"/>
    <w:uiPriority w:val="99"/>
    <w:rsid w:val="002A4D5A"/>
    <w:pPr>
      <w:spacing w:before="40" w:after="160"/>
      <w:jc w:val="right"/>
    </w:pPr>
    <w:rPr>
      <w:rFonts w:ascii="Arial" w:eastAsia="Times New Roman" w:hAnsi="Arial"/>
      <w:sz w:val="28"/>
      <w:szCs w:val="24"/>
    </w:rPr>
  </w:style>
  <w:style w:type="paragraph" w:customStyle="1" w:styleId="Footer-Proposal">
    <w:name w:val="Footer-Proposal"/>
    <w:uiPriority w:val="99"/>
    <w:rsid w:val="002A4D5A"/>
    <w:pPr>
      <w:pBdr>
        <w:top w:val="single" w:sz="4" w:space="1" w:color="365F91"/>
      </w:pBdr>
    </w:pPr>
    <w:rPr>
      <w:rFonts w:ascii="Arial" w:eastAsia="Times New Roman" w:hAnsi="Arial" w:cs="Arial"/>
      <w:noProof/>
      <w:color w:val="365F91"/>
    </w:rPr>
  </w:style>
  <w:style w:type="paragraph" w:customStyle="1" w:styleId="Header-proposal">
    <w:name w:val="Header-proposal"/>
    <w:uiPriority w:val="99"/>
    <w:rsid w:val="002A4D5A"/>
    <w:pPr>
      <w:pBdr>
        <w:bottom w:val="single" w:sz="4" w:space="1" w:color="365F91"/>
      </w:pBdr>
      <w:tabs>
        <w:tab w:val="right" w:pos="9000"/>
      </w:tabs>
    </w:pPr>
    <w:rPr>
      <w:rFonts w:ascii="Arial" w:eastAsia="Times New Roman" w:hAnsi="Arial"/>
      <w:color w:val="365F91"/>
      <w:szCs w:val="20"/>
    </w:rPr>
  </w:style>
  <w:style w:type="paragraph" w:styleId="BodyText">
    <w:name w:val="Body Text"/>
    <w:basedOn w:val="Normal"/>
    <w:link w:val="BodyTextChar"/>
    <w:uiPriority w:val="99"/>
    <w:locked/>
    <w:rsid w:val="002A4D5A"/>
    <w:pPr>
      <w:overflowPunct w:val="0"/>
      <w:autoSpaceDE w:val="0"/>
      <w:autoSpaceDN w:val="0"/>
      <w:adjustRightInd w:val="0"/>
      <w:spacing w:line="288" w:lineRule="auto"/>
      <w:ind w:right="-187"/>
      <w:jc w:val="left"/>
      <w:textAlignment w:val="baseline"/>
    </w:pPr>
    <w:rPr>
      <w:rFonts w:ascii="Arial" w:eastAsia="Times New Roman" w:hAnsi="Arial"/>
      <w:sz w:val="20"/>
      <w:szCs w:val="20"/>
    </w:rPr>
  </w:style>
  <w:style w:type="character" w:customStyle="1" w:styleId="BodyTextChar">
    <w:name w:val="Body Text Char"/>
    <w:basedOn w:val="DefaultParagraphFont"/>
    <w:link w:val="BodyText"/>
    <w:uiPriority w:val="99"/>
    <w:rsid w:val="002A4D5A"/>
    <w:rPr>
      <w:rFonts w:ascii="Arial" w:eastAsia="Times New Roman" w:hAnsi="Arial"/>
      <w:sz w:val="20"/>
      <w:szCs w:val="20"/>
    </w:rPr>
  </w:style>
  <w:style w:type="paragraph" w:customStyle="1" w:styleId="Equation">
    <w:name w:val="Equation"/>
    <w:basedOn w:val="BodyTextIndent3"/>
    <w:uiPriority w:val="99"/>
    <w:rsid w:val="002A4D5A"/>
    <w:pPr>
      <w:tabs>
        <w:tab w:val="left" w:pos="720"/>
        <w:tab w:val="left" w:pos="2880"/>
      </w:tabs>
      <w:overflowPunct w:val="0"/>
      <w:autoSpaceDE w:val="0"/>
      <w:autoSpaceDN w:val="0"/>
      <w:adjustRightInd w:val="0"/>
      <w:spacing w:before="0" w:after="200" w:line="288" w:lineRule="auto"/>
      <w:ind w:left="2880" w:hanging="2880"/>
      <w:textAlignment w:val="baseline"/>
    </w:pPr>
    <w:rPr>
      <w:rFonts w:eastAsia="Calibri"/>
      <w:i/>
    </w:rPr>
  </w:style>
  <w:style w:type="paragraph" w:styleId="BodyTextIndent3">
    <w:name w:val="Body Text Indent 3"/>
    <w:basedOn w:val="Normal"/>
    <w:link w:val="BodyTextIndent3Char"/>
    <w:uiPriority w:val="99"/>
    <w:locked/>
    <w:rsid w:val="002A4D5A"/>
    <w:pPr>
      <w:spacing w:before="40" w:after="120"/>
      <w:ind w:left="360"/>
      <w:jc w:val="left"/>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uiPriority w:val="99"/>
    <w:rsid w:val="002A4D5A"/>
    <w:rPr>
      <w:rFonts w:ascii="Times New Roman" w:eastAsia="Times New Roman" w:hAnsi="Times New Roman"/>
      <w:sz w:val="16"/>
      <w:szCs w:val="16"/>
    </w:rPr>
  </w:style>
  <w:style w:type="paragraph" w:customStyle="1" w:styleId="TableCell">
    <w:name w:val="TableCell"/>
    <w:basedOn w:val="Normal"/>
    <w:link w:val="TableCellChar"/>
    <w:uiPriority w:val="99"/>
    <w:rsid w:val="002A4D5A"/>
    <w:pPr>
      <w:keepNext/>
      <w:tabs>
        <w:tab w:val="left" w:pos="720"/>
      </w:tabs>
      <w:overflowPunct w:val="0"/>
      <w:autoSpaceDE w:val="0"/>
      <w:autoSpaceDN w:val="0"/>
      <w:adjustRightInd w:val="0"/>
      <w:spacing w:before="120" w:after="120" w:line="288" w:lineRule="auto"/>
      <w:jc w:val="left"/>
      <w:textAlignment w:val="baseline"/>
    </w:pPr>
    <w:rPr>
      <w:rFonts w:ascii="Arial" w:hAnsi="Arial"/>
      <w:sz w:val="18"/>
      <w:szCs w:val="20"/>
    </w:rPr>
  </w:style>
  <w:style w:type="character" w:customStyle="1" w:styleId="TableCellChar">
    <w:name w:val="TableCell Char"/>
    <w:link w:val="TableCell"/>
    <w:uiPriority w:val="99"/>
    <w:locked/>
    <w:rsid w:val="002A4D5A"/>
    <w:rPr>
      <w:rFonts w:ascii="Arial" w:hAnsi="Arial"/>
      <w:sz w:val="18"/>
      <w:szCs w:val="20"/>
    </w:rPr>
  </w:style>
  <w:style w:type="character" w:styleId="IntenseReference">
    <w:name w:val="Intense Reference"/>
    <w:basedOn w:val="DefaultParagraphFont"/>
    <w:uiPriority w:val="32"/>
    <w:qFormat/>
    <w:rsid w:val="002A4D5A"/>
    <w:rPr>
      <w:b/>
      <w:bCs/>
      <w:smallCaps/>
      <w:color w:val="C0504D" w:themeColor="accent2"/>
      <w:spacing w:val="5"/>
      <w:u w:val="single"/>
    </w:rPr>
  </w:style>
  <w:style w:type="paragraph" w:customStyle="1" w:styleId="BulletsLast">
    <w:name w:val="Bullets Last"/>
    <w:basedOn w:val="bullets"/>
    <w:uiPriority w:val="99"/>
    <w:rsid w:val="002A4D5A"/>
    <w:pPr>
      <w:spacing w:after="240"/>
    </w:pPr>
  </w:style>
  <w:style w:type="character" w:styleId="PageNumber">
    <w:name w:val="page number"/>
    <w:basedOn w:val="DefaultParagraphFont"/>
    <w:uiPriority w:val="99"/>
    <w:locked/>
    <w:rsid w:val="002A4D5A"/>
  </w:style>
  <w:style w:type="paragraph" w:customStyle="1" w:styleId="memoaddress">
    <w:name w:val="memo address"/>
    <w:basedOn w:val="BodyTextIndent"/>
    <w:uiPriority w:val="99"/>
    <w:rsid w:val="002A4D5A"/>
    <w:pPr>
      <w:tabs>
        <w:tab w:val="left" w:pos="1350"/>
      </w:tabs>
      <w:ind w:left="0"/>
    </w:pPr>
    <w:rPr>
      <w:rFonts w:ascii="Arial" w:hAnsi="Arial"/>
      <w:b/>
    </w:rPr>
  </w:style>
  <w:style w:type="paragraph" w:styleId="BodyTextIndent">
    <w:name w:val="Body Text Indent"/>
    <w:basedOn w:val="Normal"/>
    <w:link w:val="BodyTextIndentChar"/>
    <w:locked/>
    <w:rsid w:val="002A4D5A"/>
    <w:pPr>
      <w:spacing w:before="40" w:after="160"/>
      <w:ind w:left="360"/>
      <w:jc w:val="left"/>
    </w:pPr>
    <w:rPr>
      <w:rFonts w:ascii="Times New Roman" w:eastAsia="Times New Roman" w:hAnsi="Times New Roman"/>
      <w:sz w:val="24"/>
      <w:szCs w:val="20"/>
    </w:rPr>
  </w:style>
  <w:style w:type="character" w:customStyle="1" w:styleId="BodyTextIndentChar">
    <w:name w:val="Body Text Indent Char"/>
    <w:basedOn w:val="DefaultParagraphFont"/>
    <w:link w:val="BodyTextIndent"/>
    <w:rsid w:val="002A4D5A"/>
    <w:rPr>
      <w:rFonts w:ascii="Times New Roman" w:eastAsia="Times New Roman" w:hAnsi="Times New Roman"/>
      <w:sz w:val="24"/>
      <w:szCs w:val="20"/>
    </w:rPr>
  </w:style>
  <w:style w:type="paragraph" w:customStyle="1" w:styleId="CM1">
    <w:name w:val="CM1"/>
    <w:link w:val="CM1Char"/>
    <w:rsid w:val="002A4D5A"/>
    <w:pPr>
      <w:widowControl w:val="0"/>
      <w:tabs>
        <w:tab w:val="left" w:pos="-360"/>
        <w:tab w:val="center" w:pos="4680"/>
        <w:tab w:val="left" w:pos="8208"/>
        <w:tab w:val="left" w:pos="8568"/>
      </w:tabs>
      <w:autoSpaceDE w:val="0"/>
      <w:autoSpaceDN w:val="0"/>
      <w:adjustRightInd w:val="0"/>
      <w:spacing w:line="207" w:lineRule="exact"/>
      <w:ind w:left="-720" w:right="-720"/>
    </w:pPr>
    <w:rPr>
      <w:rFonts w:ascii="Humanst521 BT" w:eastAsia="Times New Roman" w:hAnsi="Humanst521 BT" w:cs="Humanst521 BT"/>
      <w:color w:val="003A6F"/>
      <w:sz w:val="18"/>
      <w:szCs w:val="24"/>
    </w:rPr>
  </w:style>
  <w:style w:type="paragraph" w:customStyle="1" w:styleId="CM1Italic">
    <w:name w:val="CM1 Italic"/>
    <w:basedOn w:val="CM1"/>
    <w:next w:val="CM1"/>
    <w:link w:val="CM1ItalicChar"/>
    <w:rsid w:val="002A4D5A"/>
    <w:pPr>
      <w:tabs>
        <w:tab w:val="left" w:pos="360"/>
        <w:tab w:val="center" w:pos="5400"/>
        <w:tab w:val="left" w:pos="8928"/>
        <w:tab w:val="left" w:pos="9288"/>
      </w:tabs>
    </w:pPr>
    <w:rPr>
      <w:i/>
    </w:rPr>
  </w:style>
  <w:style w:type="character" w:customStyle="1" w:styleId="CM1Char">
    <w:name w:val="CM1 Char"/>
    <w:basedOn w:val="DefaultParagraphFont"/>
    <w:link w:val="CM1"/>
    <w:rsid w:val="002A4D5A"/>
    <w:rPr>
      <w:rFonts w:ascii="Humanst521 BT" w:eastAsia="Times New Roman" w:hAnsi="Humanst521 BT" w:cs="Humanst521 BT"/>
      <w:color w:val="003A6F"/>
      <w:sz w:val="18"/>
      <w:szCs w:val="24"/>
    </w:rPr>
  </w:style>
  <w:style w:type="character" w:customStyle="1" w:styleId="CM1ItalicChar">
    <w:name w:val="CM1 Italic Char"/>
    <w:basedOn w:val="CM1Char"/>
    <w:link w:val="CM1Italic"/>
    <w:rsid w:val="002A4D5A"/>
    <w:rPr>
      <w:rFonts w:ascii="Humanst521 BT" w:eastAsia="Times New Roman" w:hAnsi="Humanst521 BT" w:cs="Humanst521 BT"/>
      <w:i/>
      <w:color w:val="003A6F"/>
      <w:sz w:val="18"/>
      <w:szCs w:val="24"/>
    </w:rPr>
  </w:style>
  <w:style w:type="paragraph" w:customStyle="1" w:styleId="CM1Cyan">
    <w:name w:val="CM1 Cyan"/>
    <w:basedOn w:val="CM1"/>
    <w:next w:val="CM1"/>
    <w:link w:val="CM1CyanChar"/>
    <w:rsid w:val="002A4D5A"/>
    <w:pPr>
      <w:tabs>
        <w:tab w:val="left" w:pos="360"/>
        <w:tab w:val="center" w:pos="5400"/>
        <w:tab w:val="left" w:pos="8928"/>
        <w:tab w:val="left" w:pos="9288"/>
      </w:tabs>
    </w:pPr>
    <w:rPr>
      <w:color w:val="00ADEF"/>
      <w:szCs w:val="18"/>
    </w:rPr>
  </w:style>
  <w:style w:type="character" w:customStyle="1" w:styleId="CM1CyanChar">
    <w:name w:val="CM1 Cyan Char"/>
    <w:basedOn w:val="CM1Char"/>
    <w:link w:val="CM1Cyan"/>
    <w:rsid w:val="002A4D5A"/>
    <w:rPr>
      <w:rFonts w:ascii="Humanst521 BT" w:eastAsia="Times New Roman" w:hAnsi="Humanst521 BT" w:cs="Humanst521 BT"/>
      <w:color w:val="00ADEF"/>
      <w:sz w:val="18"/>
      <w:szCs w:val="18"/>
    </w:rPr>
  </w:style>
  <w:style w:type="paragraph" w:customStyle="1" w:styleId="resumenormal">
    <w:name w:val="resume normal"/>
    <w:basedOn w:val="Normal"/>
    <w:rsid w:val="002A4D5A"/>
    <w:pPr>
      <w:widowControl w:val="0"/>
      <w:spacing w:before="40" w:after="160"/>
      <w:jc w:val="left"/>
    </w:pPr>
    <w:rPr>
      <w:rFonts w:ascii="Times New Roman" w:eastAsia="Times New Roman" w:hAnsi="Times New Roman"/>
      <w:bCs/>
      <w:szCs w:val="20"/>
    </w:rPr>
  </w:style>
  <w:style w:type="paragraph" w:customStyle="1" w:styleId="Position">
    <w:name w:val="Position"/>
    <w:basedOn w:val="Normal"/>
    <w:rsid w:val="002A4D5A"/>
    <w:pPr>
      <w:keepNext/>
      <w:keepLines/>
      <w:widowControl w:val="0"/>
      <w:tabs>
        <w:tab w:val="right" w:pos="9360"/>
      </w:tabs>
      <w:spacing w:before="160" w:after="40"/>
      <w:jc w:val="left"/>
    </w:pPr>
    <w:rPr>
      <w:rFonts w:ascii="Times New Roman" w:eastAsia="Times New Roman" w:hAnsi="Times New Roman"/>
      <w:b/>
      <w:szCs w:val="20"/>
    </w:rPr>
  </w:style>
  <w:style w:type="character" w:styleId="Strong">
    <w:name w:val="Strong"/>
    <w:basedOn w:val="DefaultParagraphFont"/>
    <w:qFormat/>
    <w:locked/>
    <w:rsid w:val="002A4D5A"/>
    <w:rPr>
      <w:b/>
      <w:bCs/>
    </w:rPr>
  </w:style>
  <w:style w:type="character" w:customStyle="1" w:styleId="ListParagraphChar">
    <w:name w:val="List Paragraph Char"/>
    <w:aliases w:val="TOC etc. Char"/>
    <w:basedOn w:val="DefaultParagraphFont"/>
    <w:link w:val="ListParagraph"/>
    <w:uiPriority w:val="34"/>
    <w:rsid w:val="002E649A"/>
    <w:rPr>
      <w:rFonts w:asciiTheme="minorHAnsi" w:hAnsiTheme="minorHAnsi"/>
    </w:rPr>
  </w:style>
  <w:style w:type="paragraph" w:customStyle="1" w:styleId="Bullet-Last">
    <w:name w:val="Bullet-Last"/>
    <w:qFormat/>
    <w:rsid w:val="007470E7"/>
    <w:pPr>
      <w:numPr>
        <w:numId w:val="15"/>
      </w:numPr>
      <w:spacing w:after="240"/>
    </w:pPr>
    <w:rPr>
      <w:rFonts w:ascii="Times New Roman" w:eastAsiaTheme="minorHAnsi" w:hAnsi="Times New Roman"/>
      <w:sz w:val="24"/>
      <w:szCs w:val="24"/>
    </w:rPr>
  </w:style>
  <w:style w:type="paragraph" w:customStyle="1" w:styleId="Bullet">
    <w:name w:val="Bullet"/>
    <w:rsid w:val="007470E7"/>
    <w:pPr>
      <w:widowControl w:val="0"/>
      <w:tabs>
        <w:tab w:val="num" w:pos="1080"/>
      </w:tabs>
      <w:spacing w:after="120"/>
      <w:ind w:left="720" w:hanging="360"/>
    </w:pPr>
    <w:rPr>
      <w:rFonts w:ascii="Times New Roman" w:eastAsiaTheme="minorHAnsi" w:hAnsi="Times New Roman" w:cstheme="minorBidi"/>
      <w:sz w:val="24"/>
    </w:rPr>
  </w:style>
  <w:style w:type="table" w:styleId="MediumShading1-Accent3">
    <w:name w:val="Medium Shading 1 Accent 3"/>
    <w:basedOn w:val="TableNormal"/>
    <w:uiPriority w:val="63"/>
    <w:rsid w:val="008C38EF"/>
    <w:rPr>
      <w:rFonts w:asciiTheme="minorHAnsi" w:eastAsiaTheme="minorHAnsi" w:hAnsiTheme="minorHAnsi" w:cstheme="minorBidi"/>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tablestyle">
    <w:name w:val="table style"/>
    <w:basedOn w:val="Normal"/>
    <w:rsid w:val="00FB0B88"/>
    <w:pPr>
      <w:keepNext/>
      <w:numPr>
        <w:numId w:val="17"/>
      </w:numPr>
      <w:spacing w:before="120" w:after="120"/>
      <w:jc w:val="center"/>
    </w:pPr>
    <w:rPr>
      <w:rFonts w:ascii="Times New Roman" w:eastAsia="Times New Roman" w:hAnsi="Times New Roman"/>
      <w:b/>
      <w:sz w:val="24"/>
      <w:szCs w:val="20"/>
    </w:rPr>
  </w:style>
  <w:style w:type="paragraph" w:customStyle="1" w:styleId="xl65">
    <w:name w:val="xl65"/>
    <w:basedOn w:val="Normal"/>
    <w:rsid w:val="00636F36"/>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rFonts w:ascii="Times New Roman" w:eastAsia="Times New Roman" w:hAnsi="Times New Roman"/>
      <w:b/>
      <w:bCs/>
      <w:color w:val="000000"/>
      <w:sz w:val="24"/>
      <w:szCs w:val="24"/>
    </w:rPr>
  </w:style>
  <w:style w:type="paragraph" w:customStyle="1" w:styleId="xl66">
    <w:name w:val="xl66"/>
    <w:basedOn w:val="Normal"/>
    <w:rsid w:val="00636F36"/>
    <w:pPr>
      <w:pBdr>
        <w:left w:val="single" w:sz="4" w:space="0" w:color="auto"/>
        <w:right w:val="single" w:sz="4" w:space="0" w:color="auto"/>
      </w:pBdr>
      <w:shd w:val="clear" w:color="000000" w:fill="538DD5"/>
      <w:spacing w:before="100" w:beforeAutospacing="1" w:after="100" w:afterAutospacing="1"/>
      <w:jc w:val="center"/>
      <w:textAlignment w:val="center"/>
    </w:pPr>
    <w:rPr>
      <w:rFonts w:ascii="Times New Roman" w:eastAsia="Times New Roman" w:hAnsi="Times New Roman"/>
      <w:b/>
      <w:bCs/>
      <w:color w:val="000000"/>
      <w:sz w:val="24"/>
      <w:szCs w:val="24"/>
    </w:rPr>
  </w:style>
  <w:style w:type="paragraph" w:customStyle="1" w:styleId="xl67">
    <w:name w:val="xl67"/>
    <w:basedOn w:val="Normal"/>
    <w:rsid w:val="00636F3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rPr>
  </w:style>
  <w:style w:type="paragraph" w:customStyle="1" w:styleId="xl68">
    <w:name w:val="xl68"/>
    <w:basedOn w:val="Normal"/>
    <w:rsid w:val="00636F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rPr>
  </w:style>
  <w:style w:type="paragraph" w:customStyle="1" w:styleId="xl69">
    <w:name w:val="xl69"/>
    <w:basedOn w:val="Normal"/>
    <w:rsid w:val="00636F3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rPr>
  </w:style>
  <w:style w:type="table" w:customStyle="1" w:styleId="TableGrid1">
    <w:name w:val="Table Grid1"/>
    <w:basedOn w:val="TableNormal"/>
    <w:next w:val="TableGrid"/>
    <w:uiPriority w:val="99"/>
    <w:rsid w:val="00B80AD1"/>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99"/>
    <w:rsid w:val="00B80AD1"/>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99"/>
    <w:rsid w:val="000C7EAE"/>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99"/>
    <w:rsid w:val="000C7EAE"/>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99"/>
    <w:rsid w:val="000C7EAE"/>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99"/>
    <w:rsid w:val="00311F16"/>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99"/>
    <w:rsid w:val="0075217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99"/>
    <w:rsid w:val="00D826F5"/>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99"/>
    <w:rsid w:val="00D826F5"/>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99"/>
    <w:rsid w:val="002020D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igure">
    <w:name w:val="Figure"/>
    <w:basedOn w:val="NormalSpacer"/>
    <w:qFormat/>
    <w:rsid w:val="00442FAF"/>
    <w:pPr>
      <w:spacing w:before="40" w:after="40"/>
      <w:jc w:val="center"/>
    </w:pPr>
    <w:rPr>
      <w:noProof/>
    </w:rPr>
  </w:style>
  <w:style w:type="table" w:customStyle="1" w:styleId="LightShading1">
    <w:name w:val="Light Shading1"/>
    <w:basedOn w:val="TableNormal"/>
    <w:uiPriority w:val="60"/>
    <w:rsid w:val="00014E1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Text-rightjustified">
    <w:name w:val="Table Text-right justified"/>
    <w:basedOn w:val="Normal"/>
    <w:qFormat/>
    <w:rsid w:val="00764D56"/>
    <w:pPr>
      <w:keepNext/>
      <w:spacing w:before="20" w:after="20"/>
      <w:ind w:left="14" w:right="14"/>
      <w:jc w:val="right"/>
    </w:pPr>
    <w:rPr>
      <w:rFonts w:ascii="Arial Narrow" w:eastAsia="Times New Roman" w:hAnsi="Arial Narrow"/>
      <w:sz w:val="20"/>
      <w:szCs w:val="20"/>
    </w:rPr>
  </w:style>
  <w:style w:type="table" w:styleId="MediumShading1-Accent5">
    <w:name w:val="Medium Shading 1 Accent 5"/>
    <w:basedOn w:val="TableNormal"/>
    <w:uiPriority w:val="63"/>
    <w:rsid w:val="00586985"/>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PECOTeal">
    <w:name w:val="PECO_Teal"/>
    <w:basedOn w:val="MediumShading1-Accent5"/>
    <w:uiPriority w:val="99"/>
    <w:rsid w:val="00B86E33"/>
    <w:rPr>
      <w:sz w:val="18"/>
    </w:rPr>
    <w:tblPr/>
    <w:trPr>
      <w:cantSplit/>
    </w:trPr>
    <w:tcPr>
      <w:vAlign w:val="center"/>
    </w:tcPr>
    <w:tblStylePr w:type="firstRow">
      <w:pPr>
        <w:spacing w:before="0" w:after="0" w:line="240" w:lineRule="auto"/>
      </w:pPr>
      <w:rPr>
        <w:rFonts w:asciiTheme="minorHAnsi" w:hAnsiTheme="minorHAnsi"/>
        <w:b/>
        <w:bCs/>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shd w:val="clear" w:color="auto" w:fill="448A99"/>
      </w:tcPr>
    </w:tblStylePr>
    <w:tblStylePr w:type="lastRow">
      <w:pPr>
        <w:spacing w:before="0" w:after="0" w:line="240" w:lineRule="auto"/>
      </w:pPr>
      <w:rPr>
        <w:rFonts w:asciiTheme="minorHAnsi" w:hAnsiTheme="minorHAnsi"/>
        <w:b/>
        <w:bCs/>
        <w:sz w:val="18"/>
      </w:rPr>
      <w:tblPr/>
      <w:tcPr>
        <w:tcBorders>
          <w:top w:val="double" w:sz="4" w:space="0" w:color="448A99"/>
          <w:left w:val="single" w:sz="4" w:space="0" w:color="448A99"/>
          <w:bottom w:val="single" w:sz="4" w:space="0" w:color="448A99"/>
          <w:right w:val="single" w:sz="4" w:space="0" w:color="448A99"/>
          <w:insideH w:val="nil"/>
          <w:insideV w:val="single" w:sz="4" w:space="0" w:color="448A99"/>
        </w:tcBorders>
      </w:tcPr>
    </w:tblStylePr>
    <w:tblStylePr w:type="firstCol">
      <w:rPr>
        <w:b/>
        <w:bCs/>
      </w:rPr>
    </w:tblStylePr>
    <w:tblStylePr w:type="lastCol">
      <w:rPr>
        <w:b/>
        <w:bCs/>
      </w:rPr>
    </w:tblStylePr>
    <w:tblStylePr w:type="band1Vert">
      <w:tblPr/>
      <w:tcPr>
        <w:tcBorders>
          <w:top w:val="single" w:sz="4" w:space="0" w:color="448A99"/>
          <w:left w:val="single" w:sz="4" w:space="0" w:color="448A99"/>
          <w:bottom w:val="single" w:sz="4" w:space="0" w:color="448A99"/>
          <w:right w:val="single" w:sz="4" w:space="0" w:color="448A99"/>
          <w:insideH w:val="nil"/>
          <w:insideV w:val="nil"/>
          <w:tl2br w:val="nil"/>
          <w:tr2bl w:val="nil"/>
        </w:tcBorders>
        <w:shd w:val="clear" w:color="auto" w:fill="D2EAF1" w:themeFill="accent5" w:themeFillTint="3F"/>
      </w:tcPr>
    </w:tblStylePr>
    <w:tblStylePr w:type="band2Vert">
      <w:tblPr/>
      <w:tcPr>
        <w:tcBorders>
          <w:top w:val="single" w:sz="4" w:space="0" w:color="448A99"/>
          <w:left w:val="single" w:sz="4" w:space="0" w:color="448A99"/>
          <w:bottom w:val="single" w:sz="4" w:space="0" w:color="448A99"/>
          <w:right w:val="single" w:sz="4" w:space="0" w:color="448A99"/>
          <w:insideH w:val="nil"/>
          <w:insideV w:val="nil"/>
          <w:tl2br w:val="nil"/>
          <w:tr2bl w:val="nil"/>
        </w:tcBorders>
      </w:tcPr>
    </w:tblStylePr>
    <w:tblStylePr w:type="band1Horz">
      <w:tblPr/>
      <w:tcPr>
        <w:tcBorders>
          <w:top w:val="single" w:sz="4" w:space="0" w:color="448A99"/>
          <w:left w:val="single" w:sz="4" w:space="0" w:color="448A99"/>
          <w:bottom w:val="single" w:sz="4" w:space="0" w:color="448A99"/>
          <w:right w:val="single" w:sz="4" w:space="0" w:color="448A99"/>
          <w:insideH w:val="single" w:sz="4" w:space="0" w:color="448A99"/>
          <w:insideV w:val="single" w:sz="4" w:space="0" w:color="448A99"/>
          <w:tl2br w:val="nil"/>
          <w:tr2bl w:val="nil"/>
        </w:tcBorders>
        <w:shd w:val="clear" w:color="auto" w:fill="D2EAF1"/>
      </w:tcPr>
    </w:tblStylePr>
    <w:tblStylePr w:type="band2Horz">
      <w:tblPr/>
      <w:tcPr>
        <w:tcBorders>
          <w:top w:val="single" w:sz="4" w:space="0" w:color="448A99"/>
          <w:left w:val="single" w:sz="4" w:space="0" w:color="448A99"/>
          <w:bottom w:val="single" w:sz="4" w:space="0" w:color="448A99"/>
          <w:right w:val="single" w:sz="4" w:space="0" w:color="448A99"/>
          <w:insideH w:val="nil"/>
          <w:insideV w:val="single" w:sz="4" w:space="0" w:color="448A99"/>
          <w:tl2br w:val="nil"/>
          <w:tr2bl w:val="nil"/>
        </w:tcBorders>
      </w:tcPr>
    </w:tblStylePr>
  </w:style>
  <w:style w:type="table" w:customStyle="1" w:styleId="EnergyTable1">
    <w:name w:val="Energy Table1"/>
    <w:basedOn w:val="TableNormal"/>
    <w:uiPriority w:val="99"/>
    <w:qFormat/>
    <w:rsid w:val="00E84E39"/>
    <w:pPr>
      <w:spacing w:before="40" w:after="40"/>
      <w:jc w:val="center"/>
    </w:pPr>
    <w:rPr>
      <w:rFonts w:ascii="Arial" w:eastAsia="Times New Roman" w:hAnsi="Arial"/>
      <w:sz w:val="20"/>
      <w:szCs w:val="20"/>
    </w:rPr>
    <w:tblPr>
      <w:tblStyleRowBandSize w:val="1"/>
      <w:jc w:val="center"/>
      <w:tblBorders>
        <w:bottom w:val="single" w:sz="8" w:space="0" w:color="1F497D" w:themeColor="text2"/>
        <w:insideH w:val="single" w:sz="4" w:space="0" w:color="C6D9F1"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4F81BD" w:themeColor="accent1"/>
          <w:right w:val="nil"/>
          <w:insideH w:val="nil"/>
          <w:insideV w:val="nil"/>
          <w:tl2br w:val="nil"/>
          <w:tr2bl w:val="nil"/>
        </w:tcBorders>
        <w:shd w:val="clear" w:color="auto" w:fill="1F497D"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numbering" w:customStyle="1" w:styleId="StyleNumberedLeft025Hanging025">
    <w:name w:val="Style Numbered Left:  0.25&quot; Hanging:  0.25&quot;"/>
    <w:basedOn w:val="NoList"/>
    <w:rsid w:val="00E84E39"/>
    <w:pPr>
      <w:numPr>
        <w:numId w:val="19"/>
      </w:numPr>
    </w:pPr>
  </w:style>
  <w:style w:type="paragraph" w:customStyle="1" w:styleId="Source">
    <w:name w:val="Source"/>
    <w:basedOn w:val="Normal"/>
    <w:link w:val="SourceChar"/>
    <w:qFormat/>
    <w:rsid w:val="00EB039C"/>
    <w:pPr>
      <w:spacing w:before="60" w:after="240"/>
      <w:ind w:left="720" w:hanging="540"/>
      <w:jc w:val="left"/>
    </w:pPr>
    <w:rPr>
      <w:rFonts w:eastAsia="Times New Roman"/>
      <w:i/>
      <w:sz w:val="18"/>
      <w:szCs w:val="20"/>
    </w:rPr>
  </w:style>
  <w:style w:type="character" w:customStyle="1" w:styleId="SourceChar">
    <w:name w:val="Source Char"/>
    <w:basedOn w:val="DefaultParagraphFont"/>
    <w:link w:val="Source"/>
    <w:rsid w:val="00EB039C"/>
    <w:rPr>
      <w:rFonts w:asciiTheme="minorHAnsi" w:eastAsia="Times New Roman" w:hAnsiTheme="minorHAnsi"/>
      <w:i/>
      <w:sz w:val="18"/>
      <w:szCs w:val="20"/>
    </w:rPr>
  </w:style>
  <w:style w:type="paragraph" w:customStyle="1" w:styleId="TableHeading0">
    <w:name w:val="Table Heading"/>
    <w:basedOn w:val="Normal"/>
    <w:link w:val="TableHeadingChar1"/>
    <w:rsid w:val="00194F07"/>
    <w:pPr>
      <w:keepNext/>
      <w:numPr>
        <w:ilvl w:val="12"/>
      </w:numPr>
      <w:spacing w:before="120" w:after="60"/>
      <w:jc w:val="center"/>
    </w:pPr>
    <w:rPr>
      <w:rFonts w:ascii="Arial Bold" w:eastAsia="Times New Roman" w:hAnsi="Arial Bold" w:cs="Arial"/>
      <w:b/>
      <w:smallCaps/>
      <w:sz w:val="20"/>
      <w:szCs w:val="18"/>
    </w:rPr>
  </w:style>
  <w:style w:type="paragraph" w:customStyle="1" w:styleId="TableBody">
    <w:name w:val="Table Body"/>
    <w:basedOn w:val="Normal"/>
    <w:link w:val="TableBodyChar"/>
    <w:rsid w:val="00194F07"/>
    <w:pPr>
      <w:numPr>
        <w:ilvl w:val="12"/>
      </w:numPr>
      <w:spacing w:before="80" w:after="40"/>
      <w:jc w:val="center"/>
    </w:pPr>
    <w:rPr>
      <w:rFonts w:ascii="Arial" w:eastAsia="Times New Roman" w:hAnsi="Arial" w:cs="Arial"/>
      <w:sz w:val="18"/>
      <w:szCs w:val="18"/>
    </w:rPr>
  </w:style>
  <w:style w:type="paragraph" w:customStyle="1" w:styleId="TableBodyHeading">
    <w:name w:val="Table Body Heading"/>
    <w:basedOn w:val="Normal"/>
    <w:link w:val="TableBodyHeadingChar"/>
    <w:rsid w:val="00194F07"/>
    <w:pPr>
      <w:numPr>
        <w:ilvl w:val="12"/>
      </w:numPr>
      <w:spacing w:before="80" w:after="40"/>
      <w:ind w:left="144" w:hanging="144"/>
      <w:jc w:val="left"/>
    </w:pPr>
    <w:rPr>
      <w:rFonts w:ascii="Arial" w:eastAsia="Times New Roman" w:hAnsi="Arial" w:cs="Arial"/>
      <w:sz w:val="18"/>
      <w:szCs w:val="18"/>
    </w:rPr>
  </w:style>
  <w:style w:type="paragraph" w:customStyle="1" w:styleId="TableHeadingLeftAlign">
    <w:name w:val="Table Heading Left Align"/>
    <w:basedOn w:val="TableHeading0"/>
    <w:rsid w:val="00194F07"/>
    <w:pPr>
      <w:jc w:val="left"/>
    </w:pPr>
  </w:style>
  <w:style w:type="character" w:customStyle="1" w:styleId="TableBodyChar">
    <w:name w:val="Table Body Char"/>
    <w:basedOn w:val="DefaultParagraphFont"/>
    <w:link w:val="TableBody"/>
    <w:rsid w:val="00194F07"/>
    <w:rPr>
      <w:rFonts w:ascii="Arial" w:eastAsia="Times New Roman" w:hAnsi="Arial" w:cs="Arial"/>
      <w:sz w:val="18"/>
      <w:szCs w:val="18"/>
    </w:rPr>
  </w:style>
  <w:style w:type="character" w:customStyle="1" w:styleId="TableBodyHeadingChar">
    <w:name w:val="Table Body Heading Char"/>
    <w:basedOn w:val="TableBodyChar"/>
    <w:link w:val="TableBodyHeading"/>
    <w:rsid w:val="00194F07"/>
    <w:rPr>
      <w:rFonts w:ascii="Arial" w:eastAsia="Times New Roman" w:hAnsi="Arial" w:cs="Arial"/>
      <w:sz w:val="18"/>
      <w:szCs w:val="18"/>
    </w:rPr>
  </w:style>
  <w:style w:type="character" w:customStyle="1" w:styleId="TableHeadingChar1">
    <w:name w:val="Table Heading Char1"/>
    <w:basedOn w:val="DefaultParagraphFont"/>
    <w:link w:val="TableHeading0"/>
    <w:locked/>
    <w:rsid w:val="00194F07"/>
    <w:rPr>
      <w:rFonts w:ascii="Arial Bold" w:eastAsia="Times New Roman" w:hAnsi="Arial Bold" w:cs="Arial"/>
      <w:b/>
      <w:smallCaps/>
      <w:sz w:val="20"/>
      <w:szCs w:val="18"/>
    </w:rPr>
  </w:style>
  <w:style w:type="paragraph" w:styleId="ListBullet">
    <w:name w:val="List Bullet"/>
    <w:basedOn w:val="Normal"/>
    <w:uiPriority w:val="99"/>
    <w:unhideWhenUsed/>
    <w:locked/>
    <w:rsid w:val="00E163F4"/>
    <w:pPr>
      <w:numPr>
        <w:numId w:val="63"/>
      </w:numPr>
      <w:contextualSpacing/>
    </w:pPr>
  </w:style>
  <w:style w:type="paragraph" w:customStyle="1" w:styleId="TableNOTES">
    <w:name w:val="Table NOTES"/>
    <w:basedOn w:val="Normal"/>
    <w:link w:val="TableNOTESChar"/>
    <w:qFormat/>
    <w:rsid w:val="00C93F8E"/>
    <w:pPr>
      <w:jc w:val="left"/>
    </w:pPr>
    <w:rPr>
      <w:rFonts w:ascii="Palatino Linotype" w:eastAsia="Times New Roman" w:hAnsi="Palatino Linotype" w:cs="Arial"/>
      <w:bCs/>
      <w:color w:val="000000"/>
      <w:sz w:val="18"/>
      <w:szCs w:val="16"/>
    </w:rPr>
  </w:style>
  <w:style w:type="character" w:customStyle="1" w:styleId="TableNOTESChar">
    <w:name w:val="Table NOTES Char"/>
    <w:basedOn w:val="DefaultParagraphFont"/>
    <w:link w:val="TableNOTES"/>
    <w:rsid w:val="00C93F8E"/>
    <w:rPr>
      <w:rFonts w:ascii="Palatino Linotype" w:eastAsia="Times New Roman" w:hAnsi="Palatino Linotype" w:cs="Arial"/>
      <w:bCs/>
      <w:color w:val="000000"/>
      <w:sz w:val="18"/>
      <w:szCs w:val="16"/>
    </w:rPr>
  </w:style>
  <w:style w:type="table" w:customStyle="1" w:styleId="MediumShading1-Accent51">
    <w:name w:val="Medium Shading 1 - Accent 51"/>
    <w:basedOn w:val="TableNormal"/>
    <w:next w:val="MediumShading1-Accent5"/>
    <w:uiPriority w:val="63"/>
    <w:rsid w:val="00D51357"/>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GridTable4Accent5">
    <w:name w:val="Grid Table 4 Accent 5"/>
    <w:basedOn w:val="TableNormal"/>
    <w:uiPriority w:val="49"/>
    <w:rsid w:val="00156005"/>
    <w:tblPr>
      <w:tblStyleRowBandSize w:val="1"/>
      <w:tblStyleColBandSize w:val="1"/>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StyleBulleted1">
    <w:name w:val="Style Bulleted1"/>
    <w:basedOn w:val="NoList"/>
    <w:rsid w:val="00211724"/>
    <w:pPr>
      <w:numPr>
        <w:numId w:val="89"/>
      </w:numPr>
    </w:pPr>
  </w:style>
  <w:style w:type="numbering" w:customStyle="1" w:styleId="StyleBulletedLeft0Hanging03">
    <w:name w:val="Style Bulleted Left:  0&quot; Hanging:  0.3&quot;"/>
    <w:basedOn w:val="NoList"/>
    <w:rsid w:val="00211724"/>
    <w:pPr>
      <w:numPr>
        <w:numId w:val="90"/>
      </w:numPr>
    </w:pPr>
  </w:style>
  <w:style w:type="paragraph" w:styleId="E-mailSignature">
    <w:name w:val="E-mail Signature"/>
    <w:basedOn w:val="Normal"/>
    <w:link w:val="E-mailSignatureChar"/>
    <w:locked/>
    <w:rsid w:val="00156005"/>
    <w:pPr>
      <w:tabs>
        <w:tab w:val="left" w:pos="360"/>
        <w:tab w:val="left" w:pos="720"/>
        <w:tab w:val="left" w:pos="1080"/>
        <w:tab w:val="left" w:pos="1440"/>
      </w:tabs>
      <w:spacing w:before="240" w:after="240"/>
      <w:jc w:val="left"/>
    </w:pPr>
    <w:rPr>
      <w:rFonts w:ascii="Palatino Linotype" w:eastAsia="Times New Roman" w:hAnsi="Palatino Linotype"/>
      <w:szCs w:val="24"/>
    </w:rPr>
  </w:style>
  <w:style w:type="character" w:customStyle="1" w:styleId="E-mailSignatureChar">
    <w:name w:val="E-mail Signature Char"/>
    <w:basedOn w:val="DefaultParagraphFont"/>
    <w:link w:val="E-mailSignature"/>
    <w:rsid w:val="00156005"/>
    <w:rPr>
      <w:rFonts w:ascii="Palatino Linotype" w:eastAsia="Times New Roman" w:hAnsi="Palatino Linotype"/>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1147">
      <w:bodyDiv w:val="1"/>
      <w:marLeft w:val="0"/>
      <w:marRight w:val="0"/>
      <w:marTop w:val="0"/>
      <w:marBottom w:val="0"/>
      <w:divBdr>
        <w:top w:val="none" w:sz="0" w:space="0" w:color="auto"/>
        <w:left w:val="none" w:sz="0" w:space="0" w:color="auto"/>
        <w:bottom w:val="none" w:sz="0" w:space="0" w:color="auto"/>
        <w:right w:val="none" w:sz="0" w:space="0" w:color="auto"/>
      </w:divBdr>
    </w:div>
    <w:div w:id="11300592">
      <w:bodyDiv w:val="1"/>
      <w:marLeft w:val="0"/>
      <w:marRight w:val="0"/>
      <w:marTop w:val="0"/>
      <w:marBottom w:val="0"/>
      <w:divBdr>
        <w:top w:val="none" w:sz="0" w:space="0" w:color="auto"/>
        <w:left w:val="none" w:sz="0" w:space="0" w:color="auto"/>
        <w:bottom w:val="none" w:sz="0" w:space="0" w:color="auto"/>
        <w:right w:val="none" w:sz="0" w:space="0" w:color="auto"/>
      </w:divBdr>
    </w:div>
    <w:div w:id="23021311">
      <w:bodyDiv w:val="1"/>
      <w:marLeft w:val="0"/>
      <w:marRight w:val="0"/>
      <w:marTop w:val="0"/>
      <w:marBottom w:val="0"/>
      <w:divBdr>
        <w:top w:val="none" w:sz="0" w:space="0" w:color="auto"/>
        <w:left w:val="none" w:sz="0" w:space="0" w:color="auto"/>
        <w:bottom w:val="none" w:sz="0" w:space="0" w:color="auto"/>
        <w:right w:val="none" w:sz="0" w:space="0" w:color="auto"/>
      </w:divBdr>
    </w:div>
    <w:div w:id="49425692">
      <w:bodyDiv w:val="1"/>
      <w:marLeft w:val="0"/>
      <w:marRight w:val="0"/>
      <w:marTop w:val="0"/>
      <w:marBottom w:val="0"/>
      <w:divBdr>
        <w:top w:val="none" w:sz="0" w:space="0" w:color="auto"/>
        <w:left w:val="none" w:sz="0" w:space="0" w:color="auto"/>
        <w:bottom w:val="none" w:sz="0" w:space="0" w:color="auto"/>
        <w:right w:val="none" w:sz="0" w:space="0" w:color="auto"/>
      </w:divBdr>
    </w:div>
    <w:div w:id="58484100">
      <w:bodyDiv w:val="1"/>
      <w:marLeft w:val="0"/>
      <w:marRight w:val="0"/>
      <w:marTop w:val="0"/>
      <w:marBottom w:val="0"/>
      <w:divBdr>
        <w:top w:val="none" w:sz="0" w:space="0" w:color="auto"/>
        <w:left w:val="none" w:sz="0" w:space="0" w:color="auto"/>
        <w:bottom w:val="none" w:sz="0" w:space="0" w:color="auto"/>
        <w:right w:val="none" w:sz="0" w:space="0" w:color="auto"/>
      </w:divBdr>
    </w:div>
    <w:div w:id="83189870">
      <w:bodyDiv w:val="1"/>
      <w:marLeft w:val="0"/>
      <w:marRight w:val="0"/>
      <w:marTop w:val="0"/>
      <w:marBottom w:val="0"/>
      <w:divBdr>
        <w:top w:val="none" w:sz="0" w:space="0" w:color="auto"/>
        <w:left w:val="none" w:sz="0" w:space="0" w:color="auto"/>
        <w:bottom w:val="none" w:sz="0" w:space="0" w:color="auto"/>
        <w:right w:val="none" w:sz="0" w:space="0" w:color="auto"/>
      </w:divBdr>
    </w:div>
    <w:div w:id="86921948">
      <w:bodyDiv w:val="1"/>
      <w:marLeft w:val="0"/>
      <w:marRight w:val="0"/>
      <w:marTop w:val="0"/>
      <w:marBottom w:val="0"/>
      <w:divBdr>
        <w:top w:val="none" w:sz="0" w:space="0" w:color="auto"/>
        <w:left w:val="none" w:sz="0" w:space="0" w:color="auto"/>
        <w:bottom w:val="none" w:sz="0" w:space="0" w:color="auto"/>
        <w:right w:val="none" w:sz="0" w:space="0" w:color="auto"/>
      </w:divBdr>
    </w:div>
    <w:div w:id="96605474">
      <w:bodyDiv w:val="1"/>
      <w:marLeft w:val="0"/>
      <w:marRight w:val="0"/>
      <w:marTop w:val="0"/>
      <w:marBottom w:val="0"/>
      <w:divBdr>
        <w:top w:val="none" w:sz="0" w:space="0" w:color="auto"/>
        <w:left w:val="none" w:sz="0" w:space="0" w:color="auto"/>
        <w:bottom w:val="none" w:sz="0" w:space="0" w:color="auto"/>
        <w:right w:val="none" w:sz="0" w:space="0" w:color="auto"/>
      </w:divBdr>
    </w:div>
    <w:div w:id="103968518">
      <w:bodyDiv w:val="1"/>
      <w:marLeft w:val="0"/>
      <w:marRight w:val="0"/>
      <w:marTop w:val="0"/>
      <w:marBottom w:val="0"/>
      <w:divBdr>
        <w:top w:val="none" w:sz="0" w:space="0" w:color="auto"/>
        <w:left w:val="none" w:sz="0" w:space="0" w:color="auto"/>
        <w:bottom w:val="none" w:sz="0" w:space="0" w:color="auto"/>
        <w:right w:val="none" w:sz="0" w:space="0" w:color="auto"/>
      </w:divBdr>
    </w:div>
    <w:div w:id="126968789">
      <w:bodyDiv w:val="1"/>
      <w:marLeft w:val="0"/>
      <w:marRight w:val="0"/>
      <w:marTop w:val="0"/>
      <w:marBottom w:val="0"/>
      <w:divBdr>
        <w:top w:val="none" w:sz="0" w:space="0" w:color="auto"/>
        <w:left w:val="none" w:sz="0" w:space="0" w:color="auto"/>
        <w:bottom w:val="none" w:sz="0" w:space="0" w:color="auto"/>
        <w:right w:val="none" w:sz="0" w:space="0" w:color="auto"/>
      </w:divBdr>
    </w:div>
    <w:div w:id="134490468">
      <w:bodyDiv w:val="1"/>
      <w:marLeft w:val="0"/>
      <w:marRight w:val="0"/>
      <w:marTop w:val="0"/>
      <w:marBottom w:val="0"/>
      <w:divBdr>
        <w:top w:val="none" w:sz="0" w:space="0" w:color="auto"/>
        <w:left w:val="none" w:sz="0" w:space="0" w:color="auto"/>
        <w:bottom w:val="none" w:sz="0" w:space="0" w:color="auto"/>
        <w:right w:val="none" w:sz="0" w:space="0" w:color="auto"/>
      </w:divBdr>
    </w:div>
    <w:div w:id="146897024">
      <w:bodyDiv w:val="1"/>
      <w:marLeft w:val="0"/>
      <w:marRight w:val="0"/>
      <w:marTop w:val="0"/>
      <w:marBottom w:val="0"/>
      <w:divBdr>
        <w:top w:val="none" w:sz="0" w:space="0" w:color="auto"/>
        <w:left w:val="none" w:sz="0" w:space="0" w:color="auto"/>
        <w:bottom w:val="none" w:sz="0" w:space="0" w:color="auto"/>
        <w:right w:val="none" w:sz="0" w:space="0" w:color="auto"/>
      </w:divBdr>
    </w:div>
    <w:div w:id="153422902">
      <w:bodyDiv w:val="1"/>
      <w:marLeft w:val="0"/>
      <w:marRight w:val="0"/>
      <w:marTop w:val="0"/>
      <w:marBottom w:val="0"/>
      <w:divBdr>
        <w:top w:val="none" w:sz="0" w:space="0" w:color="auto"/>
        <w:left w:val="none" w:sz="0" w:space="0" w:color="auto"/>
        <w:bottom w:val="none" w:sz="0" w:space="0" w:color="auto"/>
        <w:right w:val="none" w:sz="0" w:space="0" w:color="auto"/>
      </w:divBdr>
    </w:div>
    <w:div w:id="155650363">
      <w:bodyDiv w:val="1"/>
      <w:marLeft w:val="0"/>
      <w:marRight w:val="0"/>
      <w:marTop w:val="0"/>
      <w:marBottom w:val="0"/>
      <w:divBdr>
        <w:top w:val="none" w:sz="0" w:space="0" w:color="auto"/>
        <w:left w:val="none" w:sz="0" w:space="0" w:color="auto"/>
        <w:bottom w:val="none" w:sz="0" w:space="0" w:color="auto"/>
        <w:right w:val="none" w:sz="0" w:space="0" w:color="auto"/>
      </w:divBdr>
    </w:div>
    <w:div w:id="167259548">
      <w:bodyDiv w:val="1"/>
      <w:marLeft w:val="0"/>
      <w:marRight w:val="0"/>
      <w:marTop w:val="0"/>
      <w:marBottom w:val="0"/>
      <w:divBdr>
        <w:top w:val="none" w:sz="0" w:space="0" w:color="auto"/>
        <w:left w:val="none" w:sz="0" w:space="0" w:color="auto"/>
        <w:bottom w:val="none" w:sz="0" w:space="0" w:color="auto"/>
        <w:right w:val="none" w:sz="0" w:space="0" w:color="auto"/>
      </w:divBdr>
    </w:div>
    <w:div w:id="168914186">
      <w:bodyDiv w:val="1"/>
      <w:marLeft w:val="0"/>
      <w:marRight w:val="0"/>
      <w:marTop w:val="0"/>
      <w:marBottom w:val="0"/>
      <w:divBdr>
        <w:top w:val="none" w:sz="0" w:space="0" w:color="auto"/>
        <w:left w:val="none" w:sz="0" w:space="0" w:color="auto"/>
        <w:bottom w:val="none" w:sz="0" w:space="0" w:color="auto"/>
        <w:right w:val="none" w:sz="0" w:space="0" w:color="auto"/>
      </w:divBdr>
    </w:div>
    <w:div w:id="192379615">
      <w:bodyDiv w:val="1"/>
      <w:marLeft w:val="0"/>
      <w:marRight w:val="0"/>
      <w:marTop w:val="0"/>
      <w:marBottom w:val="0"/>
      <w:divBdr>
        <w:top w:val="none" w:sz="0" w:space="0" w:color="auto"/>
        <w:left w:val="none" w:sz="0" w:space="0" w:color="auto"/>
        <w:bottom w:val="none" w:sz="0" w:space="0" w:color="auto"/>
        <w:right w:val="none" w:sz="0" w:space="0" w:color="auto"/>
      </w:divBdr>
    </w:div>
    <w:div w:id="197277799">
      <w:bodyDiv w:val="1"/>
      <w:marLeft w:val="0"/>
      <w:marRight w:val="0"/>
      <w:marTop w:val="0"/>
      <w:marBottom w:val="0"/>
      <w:divBdr>
        <w:top w:val="none" w:sz="0" w:space="0" w:color="auto"/>
        <w:left w:val="none" w:sz="0" w:space="0" w:color="auto"/>
        <w:bottom w:val="none" w:sz="0" w:space="0" w:color="auto"/>
        <w:right w:val="none" w:sz="0" w:space="0" w:color="auto"/>
      </w:divBdr>
    </w:div>
    <w:div w:id="210190914">
      <w:bodyDiv w:val="1"/>
      <w:marLeft w:val="0"/>
      <w:marRight w:val="0"/>
      <w:marTop w:val="0"/>
      <w:marBottom w:val="0"/>
      <w:divBdr>
        <w:top w:val="none" w:sz="0" w:space="0" w:color="auto"/>
        <w:left w:val="none" w:sz="0" w:space="0" w:color="auto"/>
        <w:bottom w:val="none" w:sz="0" w:space="0" w:color="auto"/>
        <w:right w:val="none" w:sz="0" w:space="0" w:color="auto"/>
      </w:divBdr>
    </w:div>
    <w:div w:id="217474266">
      <w:bodyDiv w:val="1"/>
      <w:marLeft w:val="0"/>
      <w:marRight w:val="0"/>
      <w:marTop w:val="0"/>
      <w:marBottom w:val="0"/>
      <w:divBdr>
        <w:top w:val="none" w:sz="0" w:space="0" w:color="auto"/>
        <w:left w:val="none" w:sz="0" w:space="0" w:color="auto"/>
        <w:bottom w:val="none" w:sz="0" w:space="0" w:color="auto"/>
        <w:right w:val="none" w:sz="0" w:space="0" w:color="auto"/>
      </w:divBdr>
    </w:div>
    <w:div w:id="218178351">
      <w:bodyDiv w:val="1"/>
      <w:marLeft w:val="0"/>
      <w:marRight w:val="0"/>
      <w:marTop w:val="0"/>
      <w:marBottom w:val="0"/>
      <w:divBdr>
        <w:top w:val="none" w:sz="0" w:space="0" w:color="auto"/>
        <w:left w:val="none" w:sz="0" w:space="0" w:color="auto"/>
        <w:bottom w:val="none" w:sz="0" w:space="0" w:color="auto"/>
        <w:right w:val="none" w:sz="0" w:space="0" w:color="auto"/>
      </w:divBdr>
    </w:div>
    <w:div w:id="226960535">
      <w:bodyDiv w:val="1"/>
      <w:marLeft w:val="0"/>
      <w:marRight w:val="0"/>
      <w:marTop w:val="0"/>
      <w:marBottom w:val="0"/>
      <w:divBdr>
        <w:top w:val="none" w:sz="0" w:space="0" w:color="auto"/>
        <w:left w:val="none" w:sz="0" w:space="0" w:color="auto"/>
        <w:bottom w:val="none" w:sz="0" w:space="0" w:color="auto"/>
        <w:right w:val="none" w:sz="0" w:space="0" w:color="auto"/>
      </w:divBdr>
    </w:div>
    <w:div w:id="237905729">
      <w:bodyDiv w:val="1"/>
      <w:marLeft w:val="0"/>
      <w:marRight w:val="0"/>
      <w:marTop w:val="0"/>
      <w:marBottom w:val="0"/>
      <w:divBdr>
        <w:top w:val="none" w:sz="0" w:space="0" w:color="auto"/>
        <w:left w:val="none" w:sz="0" w:space="0" w:color="auto"/>
        <w:bottom w:val="none" w:sz="0" w:space="0" w:color="auto"/>
        <w:right w:val="none" w:sz="0" w:space="0" w:color="auto"/>
      </w:divBdr>
    </w:div>
    <w:div w:id="241107283">
      <w:bodyDiv w:val="1"/>
      <w:marLeft w:val="0"/>
      <w:marRight w:val="0"/>
      <w:marTop w:val="0"/>
      <w:marBottom w:val="0"/>
      <w:divBdr>
        <w:top w:val="none" w:sz="0" w:space="0" w:color="auto"/>
        <w:left w:val="none" w:sz="0" w:space="0" w:color="auto"/>
        <w:bottom w:val="none" w:sz="0" w:space="0" w:color="auto"/>
        <w:right w:val="none" w:sz="0" w:space="0" w:color="auto"/>
      </w:divBdr>
    </w:div>
    <w:div w:id="266275674">
      <w:bodyDiv w:val="1"/>
      <w:marLeft w:val="0"/>
      <w:marRight w:val="0"/>
      <w:marTop w:val="0"/>
      <w:marBottom w:val="0"/>
      <w:divBdr>
        <w:top w:val="none" w:sz="0" w:space="0" w:color="auto"/>
        <w:left w:val="none" w:sz="0" w:space="0" w:color="auto"/>
        <w:bottom w:val="none" w:sz="0" w:space="0" w:color="auto"/>
        <w:right w:val="none" w:sz="0" w:space="0" w:color="auto"/>
      </w:divBdr>
    </w:div>
    <w:div w:id="289167478">
      <w:bodyDiv w:val="1"/>
      <w:marLeft w:val="0"/>
      <w:marRight w:val="0"/>
      <w:marTop w:val="0"/>
      <w:marBottom w:val="0"/>
      <w:divBdr>
        <w:top w:val="none" w:sz="0" w:space="0" w:color="auto"/>
        <w:left w:val="none" w:sz="0" w:space="0" w:color="auto"/>
        <w:bottom w:val="none" w:sz="0" w:space="0" w:color="auto"/>
        <w:right w:val="none" w:sz="0" w:space="0" w:color="auto"/>
      </w:divBdr>
    </w:div>
    <w:div w:id="305743390">
      <w:bodyDiv w:val="1"/>
      <w:marLeft w:val="0"/>
      <w:marRight w:val="0"/>
      <w:marTop w:val="0"/>
      <w:marBottom w:val="0"/>
      <w:divBdr>
        <w:top w:val="none" w:sz="0" w:space="0" w:color="auto"/>
        <w:left w:val="none" w:sz="0" w:space="0" w:color="auto"/>
        <w:bottom w:val="none" w:sz="0" w:space="0" w:color="auto"/>
        <w:right w:val="none" w:sz="0" w:space="0" w:color="auto"/>
      </w:divBdr>
    </w:div>
    <w:div w:id="308747935">
      <w:bodyDiv w:val="1"/>
      <w:marLeft w:val="0"/>
      <w:marRight w:val="0"/>
      <w:marTop w:val="0"/>
      <w:marBottom w:val="0"/>
      <w:divBdr>
        <w:top w:val="none" w:sz="0" w:space="0" w:color="auto"/>
        <w:left w:val="none" w:sz="0" w:space="0" w:color="auto"/>
        <w:bottom w:val="none" w:sz="0" w:space="0" w:color="auto"/>
        <w:right w:val="none" w:sz="0" w:space="0" w:color="auto"/>
      </w:divBdr>
    </w:div>
    <w:div w:id="310599290">
      <w:bodyDiv w:val="1"/>
      <w:marLeft w:val="0"/>
      <w:marRight w:val="0"/>
      <w:marTop w:val="0"/>
      <w:marBottom w:val="0"/>
      <w:divBdr>
        <w:top w:val="none" w:sz="0" w:space="0" w:color="auto"/>
        <w:left w:val="none" w:sz="0" w:space="0" w:color="auto"/>
        <w:bottom w:val="none" w:sz="0" w:space="0" w:color="auto"/>
        <w:right w:val="none" w:sz="0" w:space="0" w:color="auto"/>
      </w:divBdr>
    </w:div>
    <w:div w:id="330525534">
      <w:bodyDiv w:val="1"/>
      <w:marLeft w:val="0"/>
      <w:marRight w:val="0"/>
      <w:marTop w:val="0"/>
      <w:marBottom w:val="0"/>
      <w:divBdr>
        <w:top w:val="none" w:sz="0" w:space="0" w:color="auto"/>
        <w:left w:val="none" w:sz="0" w:space="0" w:color="auto"/>
        <w:bottom w:val="none" w:sz="0" w:space="0" w:color="auto"/>
        <w:right w:val="none" w:sz="0" w:space="0" w:color="auto"/>
      </w:divBdr>
    </w:div>
    <w:div w:id="333804092">
      <w:bodyDiv w:val="1"/>
      <w:marLeft w:val="0"/>
      <w:marRight w:val="0"/>
      <w:marTop w:val="0"/>
      <w:marBottom w:val="0"/>
      <w:divBdr>
        <w:top w:val="none" w:sz="0" w:space="0" w:color="auto"/>
        <w:left w:val="none" w:sz="0" w:space="0" w:color="auto"/>
        <w:bottom w:val="none" w:sz="0" w:space="0" w:color="auto"/>
        <w:right w:val="none" w:sz="0" w:space="0" w:color="auto"/>
      </w:divBdr>
    </w:div>
    <w:div w:id="351952565">
      <w:bodyDiv w:val="1"/>
      <w:marLeft w:val="0"/>
      <w:marRight w:val="0"/>
      <w:marTop w:val="0"/>
      <w:marBottom w:val="0"/>
      <w:divBdr>
        <w:top w:val="none" w:sz="0" w:space="0" w:color="auto"/>
        <w:left w:val="none" w:sz="0" w:space="0" w:color="auto"/>
        <w:bottom w:val="none" w:sz="0" w:space="0" w:color="auto"/>
        <w:right w:val="none" w:sz="0" w:space="0" w:color="auto"/>
      </w:divBdr>
    </w:div>
    <w:div w:id="362175833">
      <w:bodyDiv w:val="1"/>
      <w:marLeft w:val="0"/>
      <w:marRight w:val="0"/>
      <w:marTop w:val="0"/>
      <w:marBottom w:val="0"/>
      <w:divBdr>
        <w:top w:val="none" w:sz="0" w:space="0" w:color="auto"/>
        <w:left w:val="none" w:sz="0" w:space="0" w:color="auto"/>
        <w:bottom w:val="none" w:sz="0" w:space="0" w:color="auto"/>
        <w:right w:val="none" w:sz="0" w:space="0" w:color="auto"/>
      </w:divBdr>
    </w:div>
    <w:div w:id="363793639">
      <w:bodyDiv w:val="1"/>
      <w:marLeft w:val="0"/>
      <w:marRight w:val="0"/>
      <w:marTop w:val="0"/>
      <w:marBottom w:val="0"/>
      <w:divBdr>
        <w:top w:val="none" w:sz="0" w:space="0" w:color="auto"/>
        <w:left w:val="none" w:sz="0" w:space="0" w:color="auto"/>
        <w:bottom w:val="none" w:sz="0" w:space="0" w:color="auto"/>
        <w:right w:val="none" w:sz="0" w:space="0" w:color="auto"/>
      </w:divBdr>
    </w:div>
    <w:div w:id="375156004">
      <w:bodyDiv w:val="1"/>
      <w:marLeft w:val="0"/>
      <w:marRight w:val="0"/>
      <w:marTop w:val="0"/>
      <w:marBottom w:val="0"/>
      <w:divBdr>
        <w:top w:val="none" w:sz="0" w:space="0" w:color="auto"/>
        <w:left w:val="none" w:sz="0" w:space="0" w:color="auto"/>
        <w:bottom w:val="none" w:sz="0" w:space="0" w:color="auto"/>
        <w:right w:val="none" w:sz="0" w:space="0" w:color="auto"/>
      </w:divBdr>
    </w:div>
    <w:div w:id="403995652">
      <w:bodyDiv w:val="1"/>
      <w:marLeft w:val="0"/>
      <w:marRight w:val="0"/>
      <w:marTop w:val="0"/>
      <w:marBottom w:val="0"/>
      <w:divBdr>
        <w:top w:val="none" w:sz="0" w:space="0" w:color="auto"/>
        <w:left w:val="none" w:sz="0" w:space="0" w:color="auto"/>
        <w:bottom w:val="none" w:sz="0" w:space="0" w:color="auto"/>
        <w:right w:val="none" w:sz="0" w:space="0" w:color="auto"/>
      </w:divBdr>
    </w:div>
    <w:div w:id="405886042">
      <w:bodyDiv w:val="1"/>
      <w:marLeft w:val="0"/>
      <w:marRight w:val="0"/>
      <w:marTop w:val="0"/>
      <w:marBottom w:val="0"/>
      <w:divBdr>
        <w:top w:val="none" w:sz="0" w:space="0" w:color="auto"/>
        <w:left w:val="none" w:sz="0" w:space="0" w:color="auto"/>
        <w:bottom w:val="none" w:sz="0" w:space="0" w:color="auto"/>
        <w:right w:val="none" w:sz="0" w:space="0" w:color="auto"/>
      </w:divBdr>
    </w:div>
    <w:div w:id="420879152">
      <w:bodyDiv w:val="1"/>
      <w:marLeft w:val="0"/>
      <w:marRight w:val="0"/>
      <w:marTop w:val="0"/>
      <w:marBottom w:val="0"/>
      <w:divBdr>
        <w:top w:val="none" w:sz="0" w:space="0" w:color="auto"/>
        <w:left w:val="none" w:sz="0" w:space="0" w:color="auto"/>
        <w:bottom w:val="none" w:sz="0" w:space="0" w:color="auto"/>
        <w:right w:val="none" w:sz="0" w:space="0" w:color="auto"/>
      </w:divBdr>
    </w:div>
    <w:div w:id="422073165">
      <w:bodyDiv w:val="1"/>
      <w:marLeft w:val="0"/>
      <w:marRight w:val="0"/>
      <w:marTop w:val="0"/>
      <w:marBottom w:val="0"/>
      <w:divBdr>
        <w:top w:val="none" w:sz="0" w:space="0" w:color="auto"/>
        <w:left w:val="none" w:sz="0" w:space="0" w:color="auto"/>
        <w:bottom w:val="none" w:sz="0" w:space="0" w:color="auto"/>
        <w:right w:val="none" w:sz="0" w:space="0" w:color="auto"/>
      </w:divBdr>
    </w:div>
    <w:div w:id="428426812">
      <w:bodyDiv w:val="1"/>
      <w:marLeft w:val="0"/>
      <w:marRight w:val="0"/>
      <w:marTop w:val="0"/>
      <w:marBottom w:val="0"/>
      <w:divBdr>
        <w:top w:val="none" w:sz="0" w:space="0" w:color="auto"/>
        <w:left w:val="none" w:sz="0" w:space="0" w:color="auto"/>
        <w:bottom w:val="none" w:sz="0" w:space="0" w:color="auto"/>
        <w:right w:val="none" w:sz="0" w:space="0" w:color="auto"/>
      </w:divBdr>
    </w:div>
    <w:div w:id="455371024">
      <w:bodyDiv w:val="1"/>
      <w:marLeft w:val="0"/>
      <w:marRight w:val="0"/>
      <w:marTop w:val="0"/>
      <w:marBottom w:val="0"/>
      <w:divBdr>
        <w:top w:val="none" w:sz="0" w:space="0" w:color="auto"/>
        <w:left w:val="none" w:sz="0" w:space="0" w:color="auto"/>
        <w:bottom w:val="none" w:sz="0" w:space="0" w:color="auto"/>
        <w:right w:val="none" w:sz="0" w:space="0" w:color="auto"/>
      </w:divBdr>
    </w:div>
    <w:div w:id="468548199">
      <w:bodyDiv w:val="1"/>
      <w:marLeft w:val="0"/>
      <w:marRight w:val="0"/>
      <w:marTop w:val="0"/>
      <w:marBottom w:val="0"/>
      <w:divBdr>
        <w:top w:val="none" w:sz="0" w:space="0" w:color="auto"/>
        <w:left w:val="none" w:sz="0" w:space="0" w:color="auto"/>
        <w:bottom w:val="none" w:sz="0" w:space="0" w:color="auto"/>
        <w:right w:val="none" w:sz="0" w:space="0" w:color="auto"/>
      </w:divBdr>
    </w:div>
    <w:div w:id="469254382">
      <w:bodyDiv w:val="1"/>
      <w:marLeft w:val="0"/>
      <w:marRight w:val="0"/>
      <w:marTop w:val="0"/>
      <w:marBottom w:val="0"/>
      <w:divBdr>
        <w:top w:val="none" w:sz="0" w:space="0" w:color="auto"/>
        <w:left w:val="none" w:sz="0" w:space="0" w:color="auto"/>
        <w:bottom w:val="none" w:sz="0" w:space="0" w:color="auto"/>
        <w:right w:val="none" w:sz="0" w:space="0" w:color="auto"/>
      </w:divBdr>
    </w:div>
    <w:div w:id="474496975">
      <w:bodyDiv w:val="1"/>
      <w:marLeft w:val="0"/>
      <w:marRight w:val="0"/>
      <w:marTop w:val="0"/>
      <w:marBottom w:val="0"/>
      <w:divBdr>
        <w:top w:val="none" w:sz="0" w:space="0" w:color="auto"/>
        <w:left w:val="none" w:sz="0" w:space="0" w:color="auto"/>
        <w:bottom w:val="none" w:sz="0" w:space="0" w:color="auto"/>
        <w:right w:val="none" w:sz="0" w:space="0" w:color="auto"/>
      </w:divBdr>
    </w:div>
    <w:div w:id="479493961">
      <w:bodyDiv w:val="1"/>
      <w:marLeft w:val="0"/>
      <w:marRight w:val="0"/>
      <w:marTop w:val="0"/>
      <w:marBottom w:val="0"/>
      <w:divBdr>
        <w:top w:val="none" w:sz="0" w:space="0" w:color="auto"/>
        <w:left w:val="none" w:sz="0" w:space="0" w:color="auto"/>
        <w:bottom w:val="none" w:sz="0" w:space="0" w:color="auto"/>
        <w:right w:val="none" w:sz="0" w:space="0" w:color="auto"/>
      </w:divBdr>
    </w:div>
    <w:div w:id="492109909">
      <w:bodyDiv w:val="1"/>
      <w:marLeft w:val="0"/>
      <w:marRight w:val="0"/>
      <w:marTop w:val="0"/>
      <w:marBottom w:val="0"/>
      <w:divBdr>
        <w:top w:val="none" w:sz="0" w:space="0" w:color="auto"/>
        <w:left w:val="none" w:sz="0" w:space="0" w:color="auto"/>
        <w:bottom w:val="none" w:sz="0" w:space="0" w:color="auto"/>
        <w:right w:val="none" w:sz="0" w:space="0" w:color="auto"/>
      </w:divBdr>
    </w:div>
    <w:div w:id="521013796">
      <w:bodyDiv w:val="1"/>
      <w:marLeft w:val="0"/>
      <w:marRight w:val="0"/>
      <w:marTop w:val="0"/>
      <w:marBottom w:val="0"/>
      <w:divBdr>
        <w:top w:val="none" w:sz="0" w:space="0" w:color="auto"/>
        <w:left w:val="none" w:sz="0" w:space="0" w:color="auto"/>
        <w:bottom w:val="none" w:sz="0" w:space="0" w:color="auto"/>
        <w:right w:val="none" w:sz="0" w:space="0" w:color="auto"/>
      </w:divBdr>
    </w:div>
    <w:div w:id="528421267">
      <w:bodyDiv w:val="1"/>
      <w:marLeft w:val="0"/>
      <w:marRight w:val="0"/>
      <w:marTop w:val="0"/>
      <w:marBottom w:val="0"/>
      <w:divBdr>
        <w:top w:val="none" w:sz="0" w:space="0" w:color="auto"/>
        <w:left w:val="none" w:sz="0" w:space="0" w:color="auto"/>
        <w:bottom w:val="none" w:sz="0" w:space="0" w:color="auto"/>
        <w:right w:val="none" w:sz="0" w:space="0" w:color="auto"/>
      </w:divBdr>
    </w:div>
    <w:div w:id="531000321">
      <w:bodyDiv w:val="1"/>
      <w:marLeft w:val="0"/>
      <w:marRight w:val="0"/>
      <w:marTop w:val="0"/>
      <w:marBottom w:val="0"/>
      <w:divBdr>
        <w:top w:val="none" w:sz="0" w:space="0" w:color="auto"/>
        <w:left w:val="none" w:sz="0" w:space="0" w:color="auto"/>
        <w:bottom w:val="none" w:sz="0" w:space="0" w:color="auto"/>
        <w:right w:val="none" w:sz="0" w:space="0" w:color="auto"/>
      </w:divBdr>
    </w:div>
    <w:div w:id="531920775">
      <w:bodyDiv w:val="1"/>
      <w:marLeft w:val="0"/>
      <w:marRight w:val="0"/>
      <w:marTop w:val="0"/>
      <w:marBottom w:val="0"/>
      <w:divBdr>
        <w:top w:val="none" w:sz="0" w:space="0" w:color="auto"/>
        <w:left w:val="none" w:sz="0" w:space="0" w:color="auto"/>
        <w:bottom w:val="none" w:sz="0" w:space="0" w:color="auto"/>
        <w:right w:val="none" w:sz="0" w:space="0" w:color="auto"/>
      </w:divBdr>
    </w:div>
    <w:div w:id="577595060">
      <w:bodyDiv w:val="1"/>
      <w:marLeft w:val="0"/>
      <w:marRight w:val="0"/>
      <w:marTop w:val="0"/>
      <w:marBottom w:val="0"/>
      <w:divBdr>
        <w:top w:val="none" w:sz="0" w:space="0" w:color="auto"/>
        <w:left w:val="none" w:sz="0" w:space="0" w:color="auto"/>
        <w:bottom w:val="none" w:sz="0" w:space="0" w:color="auto"/>
        <w:right w:val="none" w:sz="0" w:space="0" w:color="auto"/>
      </w:divBdr>
    </w:div>
    <w:div w:id="585725575">
      <w:bodyDiv w:val="1"/>
      <w:marLeft w:val="0"/>
      <w:marRight w:val="0"/>
      <w:marTop w:val="0"/>
      <w:marBottom w:val="0"/>
      <w:divBdr>
        <w:top w:val="none" w:sz="0" w:space="0" w:color="auto"/>
        <w:left w:val="none" w:sz="0" w:space="0" w:color="auto"/>
        <w:bottom w:val="none" w:sz="0" w:space="0" w:color="auto"/>
        <w:right w:val="none" w:sz="0" w:space="0" w:color="auto"/>
      </w:divBdr>
    </w:div>
    <w:div w:id="592132442">
      <w:bodyDiv w:val="1"/>
      <w:marLeft w:val="0"/>
      <w:marRight w:val="0"/>
      <w:marTop w:val="0"/>
      <w:marBottom w:val="0"/>
      <w:divBdr>
        <w:top w:val="none" w:sz="0" w:space="0" w:color="auto"/>
        <w:left w:val="none" w:sz="0" w:space="0" w:color="auto"/>
        <w:bottom w:val="none" w:sz="0" w:space="0" w:color="auto"/>
        <w:right w:val="none" w:sz="0" w:space="0" w:color="auto"/>
      </w:divBdr>
    </w:div>
    <w:div w:id="593783548">
      <w:bodyDiv w:val="1"/>
      <w:marLeft w:val="0"/>
      <w:marRight w:val="0"/>
      <w:marTop w:val="0"/>
      <w:marBottom w:val="0"/>
      <w:divBdr>
        <w:top w:val="none" w:sz="0" w:space="0" w:color="auto"/>
        <w:left w:val="none" w:sz="0" w:space="0" w:color="auto"/>
        <w:bottom w:val="none" w:sz="0" w:space="0" w:color="auto"/>
        <w:right w:val="none" w:sz="0" w:space="0" w:color="auto"/>
      </w:divBdr>
    </w:div>
    <w:div w:id="611934758">
      <w:bodyDiv w:val="1"/>
      <w:marLeft w:val="0"/>
      <w:marRight w:val="0"/>
      <w:marTop w:val="0"/>
      <w:marBottom w:val="0"/>
      <w:divBdr>
        <w:top w:val="none" w:sz="0" w:space="0" w:color="auto"/>
        <w:left w:val="none" w:sz="0" w:space="0" w:color="auto"/>
        <w:bottom w:val="none" w:sz="0" w:space="0" w:color="auto"/>
        <w:right w:val="none" w:sz="0" w:space="0" w:color="auto"/>
      </w:divBdr>
    </w:div>
    <w:div w:id="619148462">
      <w:bodyDiv w:val="1"/>
      <w:marLeft w:val="0"/>
      <w:marRight w:val="0"/>
      <w:marTop w:val="0"/>
      <w:marBottom w:val="0"/>
      <w:divBdr>
        <w:top w:val="none" w:sz="0" w:space="0" w:color="auto"/>
        <w:left w:val="none" w:sz="0" w:space="0" w:color="auto"/>
        <w:bottom w:val="none" w:sz="0" w:space="0" w:color="auto"/>
        <w:right w:val="none" w:sz="0" w:space="0" w:color="auto"/>
      </w:divBdr>
    </w:div>
    <w:div w:id="643392408">
      <w:bodyDiv w:val="1"/>
      <w:marLeft w:val="0"/>
      <w:marRight w:val="0"/>
      <w:marTop w:val="0"/>
      <w:marBottom w:val="0"/>
      <w:divBdr>
        <w:top w:val="none" w:sz="0" w:space="0" w:color="auto"/>
        <w:left w:val="none" w:sz="0" w:space="0" w:color="auto"/>
        <w:bottom w:val="none" w:sz="0" w:space="0" w:color="auto"/>
        <w:right w:val="none" w:sz="0" w:space="0" w:color="auto"/>
      </w:divBdr>
    </w:div>
    <w:div w:id="665742781">
      <w:bodyDiv w:val="1"/>
      <w:marLeft w:val="0"/>
      <w:marRight w:val="0"/>
      <w:marTop w:val="0"/>
      <w:marBottom w:val="0"/>
      <w:divBdr>
        <w:top w:val="none" w:sz="0" w:space="0" w:color="auto"/>
        <w:left w:val="none" w:sz="0" w:space="0" w:color="auto"/>
        <w:bottom w:val="none" w:sz="0" w:space="0" w:color="auto"/>
        <w:right w:val="none" w:sz="0" w:space="0" w:color="auto"/>
      </w:divBdr>
    </w:div>
    <w:div w:id="705253069">
      <w:bodyDiv w:val="1"/>
      <w:marLeft w:val="0"/>
      <w:marRight w:val="0"/>
      <w:marTop w:val="0"/>
      <w:marBottom w:val="0"/>
      <w:divBdr>
        <w:top w:val="none" w:sz="0" w:space="0" w:color="auto"/>
        <w:left w:val="none" w:sz="0" w:space="0" w:color="auto"/>
        <w:bottom w:val="none" w:sz="0" w:space="0" w:color="auto"/>
        <w:right w:val="none" w:sz="0" w:space="0" w:color="auto"/>
      </w:divBdr>
    </w:div>
    <w:div w:id="711345905">
      <w:bodyDiv w:val="1"/>
      <w:marLeft w:val="0"/>
      <w:marRight w:val="0"/>
      <w:marTop w:val="0"/>
      <w:marBottom w:val="0"/>
      <w:divBdr>
        <w:top w:val="none" w:sz="0" w:space="0" w:color="auto"/>
        <w:left w:val="none" w:sz="0" w:space="0" w:color="auto"/>
        <w:bottom w:val="none" w:sz="0" w:space="0" w:color="auto"/>
        <w:right w:val="none" w:sz="0" w:space="0" w:color="auto"/>
      </w:divBdr>
    </w:div>
    <w:div w:id="713888387">
      <w:bodyDiv w:val="1"/>
      <w:marLeft w:val="0"/>
      <w:marRight w:val="0"/>
      <w:marTop w:val="0"/>
      <w:marBottom w:val="0"/>
      <w:divBdr>
        <w:top w:val="none" w:sz="0" w:space="0" w:color="auto"/>
        <w:left w:val="none" w:sz="0" w:space="0" w:color="auto"/>
        <w:bottom w:val="none" w:sz="0" w:space="0" w:color="auto"/>
        <w:right w:val="none" w:sz="0" w:space="0" w:color="auto"/>
      </w:divBdr>
    </w:div>
    <w:div w:id="723218214">
      <w:bodyDiv w:val="1"/>
      <w:marLeft w:val="0"/>
      <w:marRight w:val="0"/>
      <w:marTop w:val="0"/>
      <w:marBottom w:val="0"/>
      <w:divBdr>
        <w:top w:val="none" w:sz="0" w:space="0" w:color="auto"/>
        <w:left w:val="none" w:sz="0" w:space="0" w:color="auto"/>
        <w:bottom w:val="none" w:sz="0" w:space="0" w:color="auto"/>
        <w:right w:val="none" w:sz="0" w:space="0" w:color="auto"/>
      </w:divBdr>
    </w:div>
    <w:div w:id="733040603">
      <w:bodyDiv w:val="1"/>
      <w:marLeft w:val="0"/>
      <w:marRight w:val="0"/>
      <w:marTop w:val="0"/>
      <w:marBottom w:val="0"/>
      <w:divBdr>
        <w:top w:val="none" w:sz="0" w:space="0" w:color="auto"/>
        <w:left w:val="none" w:sz="0" w:space="0" w:color="auto"/>
        <w:bottom w:val="none" w:sz="0" w:space="0" w:color="auto"/>
        <w:right w:val="none" w:sz="0" w:space="0" w:color="auto"/>
      </w:divBdr>
    </w:div>
    <w:div w:id="746154423">
      <w:bodyDiv w:val="1"/>
      <w:marLeft w:val="0"/>
      <w:marRight w:val="0"/>
      <w:marTop w:val="0"/>
      <w:marBottom w:val="0"/>
      <w:divBdr>
        <w:top w:val="none" w:sz="0" w:space="0" w:color="auto"/>
        <w:left w:val="none" w:sz="0" w:space="0" w:color="auto"/>
        <w:bottom w:val="none" w:sz="0" w:space="0" w:color="auto"/>
        <w:right w:val="none" w:sz="0" w:space="0" w:color="auto"/>
      </w:divBdr>
    </w:div>
    <w:div w:id="748890353">
      <w:bodyDiv w:val="1"/>
      <w:marLeft w:val="0"/>
      <w:marRight w:val="0"/>
      <w:marTop w:val="0"/>
      <w:marBottom w:val="0"/>
      <w:divBdr>
        <w:top w:val="none" w:sz="0" w:space="0" w:color="auto"/>
        <w:left w:val="none" w:sz="0" w:space="0" w:color="auto"/>
        <w:bottom w:val="none" w:sz="0" w:space="0" w:color="auto"/>
        <w:right w:val="none" w:sz="0" w:space="0" w:color="auto"/>
      </w:divBdr>
    </w:div>
    <w:div w:id="758527675">
      <w:bodyDiv w:val="1"/>
      <w:marLeft w:val="0"/>
      <w:marRight w:val="0"/>
      <w:marTop w:val="0"/>
      <w:marBottom w:val="0"/>
      <w:divBdr>
        <w:top w:val="none" w:sz="0" w:space="0" w:color="auto"/>
        <w:left w:val="none" w:sz="0" w:space="0" w:color="auto"/>
        <w:bottom w:val="none" w:sz="0" w:space="0" w:color="auto"/>
        <w:right w:val="none" w:sz="0" w:space="0" w:color="auto"/>
      </w:divBdr>
    </w:div>
    <w:div w:id="775170893">
      <w:bodyDiv w:val="1"/>
      <w:marLeft w:val="0"/>
      <w:marRight w:val="0"/>
      <w:marTop w:val="0"/>
      <w:marBottom w:val="0"/>
      <w:divBdr>
        <w:top w:val="none" w:sz="0" w:space="0" w:color="auto"/>
        <w:left w:val="none" w:sz="0" w:space="0" w:color="auto"/>
        <w:bottom w:val="none" w:sz="0" w:space="0" w:color="auto"/>
        <w:right w:val="none" w:sz="0" w:space="0" w:color="auto"/>
      </w:divBdr>
    </w:div>
    <w:div w:id="802037956">
      <w:bodyDiv w:val="1"/>
      <w:marLeft w:val="0"/>
      <w:marRight w:val="0"/>
      <w:marTop w:val="0"/>
      <w:marBottom w:val="0"/>
      <w:divBdr>
        <w:top w:val="none" w:sz="0" w:space="0" w:color="auto"/>
        <w:left w:val="none" w:sz="0" w:space="0" w:color="auto"/>
        <w:bottom w:val="none" w:sz="0" w:space="0" w:color="auto"/>
        <w:right w:val="none" w:sz="0" w:space="0" w:color="auto"/>
      </w:divBdr>
    </w:div>
    <w:div w:id="823592367">
      <w:marLeft w:val="0"/>
      <w:marRight w:val="0"/>
      <w:marTop w:val="0"/>
      <w:marBottom w:val="0"/>
      <w:divBdr>
        <w:top w:val="none" w:sz="0" w:space="0" w:color="auto"/>
        <w:left w:val="none" w:sz="0" w:space="0" w:color="auto"/>
        <w:bottom w:val="none" w:sz="0" w:space="0" w:color="auto"/>
        <w:right w:val="none" w:sz="0" w:space="0" w:color="auto"/>
      </w:divBdr>
    </w:div>
    <w:div w:id="823592368">
      <w:marLeft w:val="0"/>
      <w:marRight w:val="0"/>
      <w:marTop w:val="0"/>
      <w:marBottom w:val="0"/>
      <w:divBdr>
        <w:top w:val="none" w:sz="0" w:space="0" w:color="auto"/>
        <w:left w:val="none" w:sz="0" w:space="0" w:color="auto"/>
        <w:bottom w:val="none" w:sz="0" w:space="0" w:color="auto"/>
        <w:right w:val="none" w:sz="0" w:space="0" w:color="auto"/>
      </w:divBdr>
    </w:div>
    <w:div w:id="823592369">
      <w:marLeft w:val="0"/>
      <w:marRight w:val="0"/>
      <w:marTop w:val="0"/>
      <w:marBottom w:val="0"/>
      <w:divBdr>
        <w:top w:val="none" w:sz="0" w:space="0" w:color="auto"/>
        <w:left w:val="none" w:sz="0" w:space="0" w:color="auto"/>
        <w:bottom w:val="none" w:sz="0" w:space="0" w:color="auto"/>
        <w:right w:val="none" w:sz="0" w:space="0" w:color="auto"/>
      </w:divBdr>
    </w:div>
    <w:div w:id="823592370">
      <w:marLeft w:val="0"/>
      <w:marRight w:val="0"/>
      <w:marTop w:val="0"/>
      <w:marBottom w:val="0"/>
      <w:divBdr>
        <w:top w:val="none" w:sz="0" w:space="0" w:color="auto"/>
        <w:left w:val="none" w:sz="0" w:space="0" w:color="auto"/>
        <w:bottom w:val="none" w:sz="0" w:space="0" w:color="auto"/>
        <w:right w:val="none" w:sz="0" w:space="0" w:color="auto"/>
      </w:divBdr>
    </w:div>
    <w:div w:id="823592371">
      <w:marLeft w:val="0"/>
      <w:marRight w:val="0"/>
      <w:marTop w:val="0"/>
      <w:marBottom w:val="0"/>
      <w:divBdr>
        <w:top w:val="none" w:sz="0" w:space="0" w:color="auto"/>
        <w:left w:val="none" w:sz="0" w:space="0" w:color="auto"/>
        <w:bottom w:val="none" w:sz="0" w:space="0" w:color="auto"/>
        <w:right w:val="none" w:sz="0" w:space="0" w:color="auto"/>
      </w:divBdr>
    </w:div>
    <w:div w:id="823592372">
      <w:marLeft w:val="0"/>
      <w:marRight w:val="0"/>
      <w:marTop w:val="0"/>
      <w:marBottom w:val="0"/>
      <w:divBdr>
        <w:top w:val="none" w:sz="0" w:space="0" w:color="auto"/>
        <w:left w:val="none" w:sz="0" w:space="0" w:color="auto"/>
        <w:bottom w:val="none" w:sz="0" w:space="0" w:color="auto"/>
        <w:right w:val="none" w:sz="0" w:space="0" w:color="auto"/>
      </w:divBdr>
    </w:div>
    <w:div w:id="823592373">
      <w:marLeft w:val="0"/>
      <w:marRight w:val="0"/>
      <w:marTop w:val="0"/>
      <w:marBottom w:val="0"/>
      <w:divBdr>
        <w:top w:val="none" w:sz="0" w:space="0" w:color="auto"/>
        <w:left w:val="none" w:sz="0" w:space="0" w:color="auto"/>
        <w:bottom w:val="none" w:sz="0" w:space="0" w:color="auto"/>
        <w:right w:val="none" w:sz="0" w:space="0" w:color="auto"/>
      </w:divBdr>
    </w:div>
    <w:div w:id="823592374">
      <w:marLeft w:val="0"/>
      <w:marRight w:val="0"/>
      <w:marTop w:val="0"/>
      <w:marBottom w:val="0"/>
      <w:divBdr>
        <w:top w:val="none" w:sz="0" w:space="0" w:color="auto"/>
        <w:left w:val="none" w:sz="0" w:space="0" w:color="auto"/>
        <w:bottom w:val="none" w:sz="0" w:space="0" w:color="auto"/>
        <w:right w:val="none" w:sz="0" w:space="0" w:color="auto"/>
      </w:divBdr>
    </w:div>
    <w:div w:id="823592375">
      <w:marLeft w:val="0"/>
      <w:marRight w:val="0"/>
      <w:marTop w:val="0"/>
      <w:marBottom w:val="0"/>
      <w:divBdr>
        <w:top w:val="none" w:sz="0" w:space="0" w:color="auto"/>
        <w:left w:val="none" w:sz="0" w:space="0" w:color="auto"/>
        <w:bottom w:val="none" w:sz="0" w:space="0" w:color="auto"/>
        <w:right w:val="none" w:sz="0" w:space="0" w:color="auto"/>
      </w:divBdr>
    </w:div>
    <w:div w:id="823592376">
      <w:marLeft w:val="0"/>
      <w:marRight w:val="0"/>
      <w:marTop w:val="0"/>
      <w:marBottom w:val="0"/>
      <w:divBdr>
        <w:top w:val="none" w:sz="0" w:space="0" w:color="auto"/>
        <w:left w:val="none" w:sz="0" w:space="0" w:color="auto"/>
        <w:bottom w:val="none" w:sz="0" w:space="0" w:color="auto"/>
        <w:right w:val="none" w:sz="0" w:space="0" w:color="auto"/>
      </w:divBdr>
    </w:div>
    <w:div w:id="823592377">
      <w:marLeft w:val="0"/>
      <w:marRight w:val="0"/>
      <w:marTop w:val="0"/>
      <w:marBottom w:val="0"/>
      <w:divBdr>
        <w:top w:val="none" w:sz="0" w:space="0" w:color="auto"/>
        <w:left w:val="none" w:sz="0" w:space="0" w:color="auto"/>
        <w:bottom w:val="none" w:sz="0" w:space="0" w:color="auto"/>
        <w:right w:val="none" w:sz="0" w:space="0" w:color="auto"/>
      </w:divBdr>
    </w:div>
    <w:div w:id="823592378">
      <w:marLeft w:val="0"/>
      <w:marRight w:val="0"/>
      <w:marTop w:val="0"/>
      <w:marBottom w:val="0"/>
      <w:divBdr>
        <w:top w:val="none" w:sz="0" w:space="0" w:color="auto"/>
        <w:left w:val="none" w:sz="0" w:space="0" w:color="auto"/>
        <w:bottom w:val="none" w:sz="0" w:space="0" w:color="auto"/>
        <w:right w:val="none" w:sz="0" w:space="0" w:color="auto"/>
      </w:divBdr>
    </w:div>
    <w:div w:id="823592379">
      <w:marLeft w:val="0"/>
      <w:marRight w:val="0"/>
      <w:marTop w:val="0"/>
      <w:marBottom w:val="0"/>
      <w:divBdr>
        <w:top w:val="none" w:sz="0" w:space="0" w:color="auto"/>
        <w:left w:val="none" w:sz="0" w:space="0" w:color="auto"/>
        <w:bottom w:val="none" w:sz="0" w:space="0" w:color="auto"/>
        <w:right w:val="none" w:sz="0" w:space="0" w:color="auto"/>
      </w:divBdr>
    </w:div>
    <w:div w:id="823592380">
      <w:marLeft w:val="0"/>
      <w:marRight w:val="0"/>
      <w:marTop w:val="0"/>
      <w:marBottom w:val="0"/>
      <w:divBdr>
        <w:top w:val="none" w:sz="0" w:space="0" w:color="auto"/>
        <w:left w:val="none" w:sz="0" w:space="0" w:color="auto"/>
        <w:bottom w:val="none" w:sz="0" w:space="0" w:color="auto"/>
        <w:right w:val="none" w:sz="0" w:space="0" w:color="auto"/>
      </w:divBdr>
    </w:div>
    <w:div w:id="823592381">
      <w:marLeft w:val="0"/>
      <w:marRight w:val="0"/>
      <w:marTop w:val="0"/>
      <w:marBottom w:val="0"/>
      <w:divBdr>
        <w:top w:val="none" w:sz="0" w:space="0" w:color="auto"/>
        <w:left w:val="none" w:sz="0" w:space="0" w:color="auto"/>
        <w:bottom w:val="none" w:sz="0" w:space="0" w:color="auto"/>
        <w:right w:val="none" w:sz="0" w:space="0" w:color="auto"/>
      </w:divBdr>
    </w:div>
    <w:div w:id="823592382">
      <w:marLeft w:val="0"/>
      <w:marRight w:val="0"/>
      <w:marTop w:val="0"/>
      <w:marBottom w:val="0"/>
      <w:divBdr>
        <w:top w:val="none" w:sz="0" w:space="0" w:color="auto"/>
        <w:left w:val="none" w:sz="0" w:space="0" w:color="auto"/>
        <w:bottom w:val="none" w:sz="0" w:space="0" w:color="auto"/>
        <w:right w:val="none" w:sz="0" w:space="0" w:color="auto"/>
      </w:divBdr>
    </w:div>
    <w:div w:id="823592383">
      <w:marLeft w:val="0"/>
      <w:marRight w:val="0"/>
      <w:marTop w:val="0"/>
      <w:marBottom w:val="0"/>
      <w:divBdr>
        <w:top w:val="none" w:sz="0" w:space="0" w:color="auto"/>
        <w:left w:val="none" w:sz="0" w:space="0" w:color="auto"/>
        <w:bottom w:val="none" w:sz="0" w:space="0" w:color="auto"/>
        <w:right w:val="none" w:sz="0" w:space="0" w:color="auto"/>
      </w:divBdr>
    </w:div>
    <w:div w:id="823592384">
      <w:marLeft w:val="0"/>
      <w:marRight w:val="0"/>
      <w:marTop w:val="0"/>
      <w:marBottom w:val="0"/>
      <w:divBdr>
        <w:top w:val="none" w:sz="0" w:space="0" w:color="auto"/>
        <w:left w:val="none" w:sz="0" w:space="0" w:color="auto"/>
        <w:bottom w:val="none" w:sz="0" w:space="0" w:color="auto"/>
        <w:right w:val="none" w:sz="0" w:space="0" w:color="auto"/>
      </w:divBdr>
    </w:div>
    <w:div w:id="823592385">
      <w:marLeft w:val="0"/>
      <w:marRight w:val="0"/>
      <w:marTop w:val="0"/>
      <w:marBottom w:val="0"/>
      <w:divBdr>
        <w:top w:val="none" w:sz="0" w:space="0" w:color="auto"/>
        <w:left w:val="none" w:sz="0" w:space="0" w:color="auto"/>
        <w:bottom w:val="none" w:sz="0" w:space="0" w:color="auto"/>
        <w:right w:val="none" w:sz="0" w:space="0" w:color="auto"/>
      </w:divBdr>
    </w:div>
    <w:div w:id="823592386">
      <w:marLeft w:val="0"/>
      <w:marRight w:val="0"/>
      <w:marTop w:val="0"/>
      <w:marBottom w:val="0"/>
      <w:divBdr>
        <w:top w:val="none" w:sz="0" w:space="0" w:color="auto"/>
        <w:left w:val="none" w:sz="0" w:space="0" w:color="auto"/>
        <w:bottom w:val="none" w:sz="0" w:space="0" w:color="auto"/>
        <w:right w:val="none" w:sz="0" w:space="0" w:color="auto"/>
      </w:divBdr>
    </w:div>
    <w:div w:id="823592387">
      <w:marLeft w:val="0"/>
      <w:marRight w:val="0"/>
      <w:marTop w:val="0"/>
      <w:marBottom w:val="0"/>
      <w:divBdr>
        <w:top w:val="none" w:sz="0" w:space="0" w:color="auto"/>
        <w:left w:val="none" w:sz="0" w:space="0" w:color="auto"/>
        <w:bottom w:val="none" w:sz="0" w:space="0" w:color="auto"/>
        <w:right w:val="none" w:sz="0" w:space="0" w:color="auto"/>
      </w:divBdr>
    </w:div>
    <w:div w:id="823592388">
      <w:marLeft w:val="0"/>
      <w:marRight w:val="0"/>
      <w:marTop w:val="0"/>
      <w:marBottom w:val="0"/>
      <w:divBdr>
        <w:top w:val="none" w:sz="0" w:space="0" w:color="auto"/>
        <w:left w:val="none" w:sz="0" w:space="0" w:color="auto"/>
        <w:bottom w:val="none" w:sz="0" w:space="0" w:color="auto"/>
        <w:right w:val="none" w:sz="0" w:space="0" w:color="auto"/>
      </w:divBdr>
    </w:div>
    <w:div w:id="823592389">
      <w:marLeft w:val="0"/>
      <w:marRight w:val="0"/>
      <w:marTop w:val="0"/>
      <w:marBottom w:val="0"/>
      <w:divBdr>
        <w:top w:val="none" w:sz="0" w:space="0" w:color="auto"/>
        <w:left w:val="none" w:sz="0" w:space="0" w:color="auto"/>
        <w:bottom w:val="none" w:sz="0" w:space="0" w:color="auto"/>
        <w:right w:val="none" w:sz="0" w:space="0" w:color="auto"/>
      </w:divBdr>
    </w:div>
    <w:div w:id="823592390">
      <w:marLeft w:val="0"/>
      <w:marRight w:val="0"/>
      <w:marTop w:val="0"/>
      <w:marBottom w:val="0"/>
      <w:divBdr>
        <w:top w:val="none" w:sz="0" w:space="0" w:color="auto"/>
        <w:left w:val="none" w:sz="0" w:space="0" w:color="auto"/>
        <w:bottom w:val="none" w:sz="0" w:space="0" w:color="auto"/>
        <w:right w:val="none" w:sz="0" w:space="0" w:color="auto"/>
      </w:divBdr>
    </w:div>
    <w:div w:id="823592391">
      <w:marLeft w:val="0"/>
      <w:marRight w:val="0"/>
      <w:marTop w:val="0"/>
      <w:marBottom w:val="0"/>
      <w:divBdr>
        <w:top w:val="none" w:sz="0" w:space="0" w:color="auto"/>
        <w:left w:val="none" w:sz="0" w:space="0" w:color="auto"/>
        <w:bottom w:val="none" w:sz="0" w:space="0" w:color="auto"/>
        <w:right w:val="none" w:sz="0" w:space="0" w:color="auto"/>
      </w:divBdr>
    </w:div>
    <w:div w:id="823592392">
      <w:marLeft w:val="0"/>
      <w:marRight w:val="0"/>
      <w:marTop w:val="0"/>
      <w:marBottom w:val="0"/>
      <w:divBdr>
        <w:top w:val="none" w:sz="0" w:space="0" w:color="auto"/>
        <w:left w:val="none" w:sz="0" w:space="0" w:color="auto"/>
        <w:bottom w:val="none" w:sz="0" w:space="0" w:color="auto"/>
        <w:right w:val="none" w:sz="0" w:space="0" w:color="auto"/>
      </w:divBdr>
    </w:div>
    <w:div w:id="823592393">
      <w:marLeft w:val="0"/>
      <w:marRight w:val="0"/>
      <w:marTop w:val="0"/>
      <w:marBottom w:val="0"/>
      <w:divBdr>
        <w:top w:val="none" w:sz="0" w:space="0" w:color="auto"/>
        <w:left w:val="none" w:sz="0" w:space="0" w:color="auto"/>
        <w:bottom w:val="none" w:sz="0" w:space="0" w:color="auto"/>
        <w:right w:val="none" w:sz="0" w:space="0" w:color="auto"/>
      </w:divBdr>
    </w:div>
    <w:div w:id="823592394">
      <w:marLeft w:val="0"/>
      <w:marRight w:val="0"/>
      <w:marTop w:val="0"/>
      <w:marBottom w:val="0"/>
      <w:divBdr>
        <w:top w:val="none" w:sz="0" w:space="0" w:color="auto"/>
        <w:left w:val="none" w:sz="0" w:space="0" w:color="auto"/>
        <w:bottom w:val="none" w:sz="0" w:space="0" w:color="auto"/>
        <w:right w:val="none" w:sz="0" w:space="0" w:color="auto"/>
      </w:divBdr>
    </w:div>
    <w:div w:id="823592395">
      <w:marLeft w:val="0"/>
      <w:marRight w:val="0"/>
      <w:marTop w:val="0"/>
      <w:marBottom w:val="0"/>
      <w:divBdr>
        <w:top w:val="none" w:sz="0" w:space="0" w:color="auto"/>
        <w:left w:val="none" w:sz="0" w:space="0" w:color="auto"/>
        <w:bottom w:val="none" w:sz="0" w:space="0" w:color="auto"/>
        <w:right w:val="none" w:sz="0" w:space="0" w:color="auto"/>
      </w:divBdr>
    </w:div>
    <w:div w:id="823592396">
      <w:marLeft w:val="0"/>
      <w:marRight w:val="0"/>
      <w:marTop w:val="0"/>
      <w:marBottom w:val="0"/>
      <w:divBdr>
        <w:top w:val="none" w:sz="0" w:space="0" w:color="auto"/>
        <w:left w:val="none" w:sz="0" w:space="0" w:color="auto"/>
        <w:bottom w:val="none" w:sz="0" w:space="0" w:color="auto"/>
        <w:right w:val="none" w:sz="0" w:space="0" w:color="auto"/>
      </w:divBdr>
    </w:div>
    <w:div w:id="823592397">
      <w:marLeft w:val="0"/>
      <w:marRight w:val="0"/>
      <w:marTop w:val="0"/>
      <w:marBottom w:val="0"/>
      <w:divBdr>
        <w:top w:val="none" w:sz="0" w:space="0" w:color="auto"/>
        <w:left w:val="none" w:sz="0" w:space="0" w:color="auto"/>
        <w:bottom w:val="none" w:sz="0" w:space="0" w:color="auto"/>
        <w:right w:val="none" w:sz="0" w:space="0" w:color="auto"/>
      </w:divBdr>
    </w:div>
    <w:div w:id="823592398">
      <w:marLeft w:val="0"/>
      <w:marRight w:val="0"/>
      <w:marTop w:val="0"/>
      <w:marBottom w:val="0"/>
      <w:divBdr>
        <w:top w:val="none" w:sz="0" w:space="0" w:color="auto"/>
        <w:left w:val="none" w:sz="0" w:space="0" w:color="auto"/>
        <w:bottom w:val="none" w:sz="0" w:space="0" w:color="auto"/>
        <w:right w:val="none" w:sz="0" w:space="0" w:color="auto"/>
      </w:divBdr>
    </w:div>
    <w:div w:id="823592399">
      <w:marLeft w:val="0"/>
      <w:marRight w:val="0"/>
      <w:marTop w:val="0"/>
      <w:marBottom w:val="0"/>
      <w:divBdr>
        <w:top w:val="none" w:sz="0" w:space="0" w:color="auto"/>
        <w:left w:val="none" w:sz="0" w:space="0" w:color="auto"/>
        <w:bottom w:val="none" w:sz="0" w:space="0" w:color="auto"/>
        <w:right w:val="none" w:sz="0" w:space="0" w:color="auto"/>
      </w:divBdr>
    </w:div>
    <w:div w:id="823592400">
      <w:marLeft w:val="0"/>
      <w:marRight w:val="0"/>
      <w:marTop w:val="0"/>
      <w:marBottom w:val="0"/>
      <w:divBdr>
        <w:top w:val="none" w:sz="0" w:space="0" w:color="auto"/>
        <w:left w:val="none" w:sz="0" w:space="0" w:color="auto"/>
        <w:bottom w:val="none" w:sz="0" w:space="0" w:color="auto"/>
        <w:right w:val="none" w:sz="0" w:space="0" w:color="auto"/>
      </w:divBdr>
    </w:div>
    <w:div w:id="823592401">
      <w:marLeft w:val="0"/>
      <w:marRight w:val="0"/>
      <w:marTop w:val="0"/>
      <w:marBottom w:val="0"/>
      <w:divBdr>
        <w:top w:val="none" w:sz="0" w:space="0" w:color="auto"/>
        <w:left w:val="none" w:sz="0" w:space="0" w:color="auto"/>
        <w:bottom w:val="none" w:sz="0" w:space="0" w:color="auto"/>
        <w:right w:val="none" w:sz="0" w:space="0" w:color="auto"/>
      </w:divBdr>
    </w:div>
    <w:div w:id="823592402">
      <w:marLeft w:val="0"/>
      <w:marRight w:val="0"/>
      <w:marTop w:val="0"/>
      <w:marBottom w:val="0"/>
      <w:divBdr>
        <w:top w:val="none" w:sz="0" w:space="0" w:color="auto"/>
        <w:left w:val="none" w:sz="0" w:space="0" w:color="auto"/>
        <w:bottom w:val="none" w:sz="0" w:space="0" w:color="auto"/>
        <w:right w:val="none" w:sz="0" w:space="0" w:color="auto"/>
      </w:divBdr>
    </w:div>
    <w:div w:id="823592403">
      <w:marLeft w:val="0"/>
      <w:marRight w:val="0"/>
      <w:marTop w:val="0"/>
      <w:marBottom w:val="0"/>
      <w:divBdr>
        <w:top w:val="none" w:sz="0" w:space="0" w:color="auto"/>
        <w:left w:val="none" w:sz="0" w:space="0" w:color="auto"/>
        <w:bottom w:val="none" w:sz="0" w:space="0" w:color="auto"/>
        <w:right w:val="none" w:sz="0" w:space="0" w:color="auto"/>
      </w:divBdr>
    </w:div>
    <w:div w:id="823592404">
      <w:marLeft w:val="0"/>
      <w:marRight w:val="0"/>
      <w:marTop w:val="0"/>
      <w:marBottom w:val="0"/>
      <w:divBdr>
        <w:top w:val="none" w:sz="0" w:space="0" w:color="auto"/>
        <w:left w:val="none" w:sz="0" w:space="0" w:color="auto"/>
        <w:bottom w:val="none" w:sz="0" w:space="0" w:color="auto"/>
        <w:right w:val="none" w:sz="0" w:space="0" w:color="auto"/>
      </w:divBdr>
    </w:div>
    <w:div w:id="823592405">
      <w:marLeft w:val="0"/>
      <w:marRight w:val="0"/>
      <w:marTop w:val="0"/>
      <w:marBottom w:val="0"/>
      <w:divBdr>
        <w:top w:val="none" w:sz="0" w:space="0" w:color="auto"/>
        <w:left w:val="none" w:sz="0" w:space="0" w:color="auto"/>
        <w:bottom w:val="none" w:sz="0" w:space="0" w:color="auto"/>
        <w:right w:val="none" w:sz="0" w:space="0" w:color="auto"/>
      </w:divBdr>
    </w:div>
    <w:div w:id="823592406">
      <w:marLeft w:val="0"/>
      <w:marRight w:val="0"/>
      <w:marTop w:val="0"/>
      <w:marBottom w:val="0"/>
      <w:divBdr>
        <w:top w:val="none" w:sz="0" w:space="0" w:color="auto"/>
        <w:left w:val="none" w:sz="0" w:space="0" w:color="auto"/>
        <w:bottom w:val="none" w:sz="0" w:space="0" w:color="auto"/>
        <w:right w:val="none" w:sz="0" w:space="0" w:color="auto"/>
      </w:divBdr>
    </w:div>
    <w:div w:id="823592407">
      <w:marLeft w:val="0"/>
      <w:marRight w:val="0"/>
      <w:marTop w:val="0"/>
      <w:marBottom w:val="0"/>
      <w:divBdr>
        <w:top w:val="none" w:sz="0" w:space="0" w:color="auto"/>
        <w:left w:val="none" w:sz="0" w:space="0" w:color="auto"/>
        <w:bottom w:val="none" w:sz="0" w:space="0" w:color="auto"/>
        <w:right w:val="none" w:sz="0" w:space="0" w:color="auto"/>
      </w:divBdr>
    </w:div>
    <w:div w:id="823592408">
      <w:marLeft w:val="0"/>
      <w:marRight w:val="0"/>
      <w:marTop w:val="0"/>
      <w:marBottom w:val="0"/>
      <w:divBdr>
        <w:top w:val="none" w:sz="0" w:space="0" w:color="auto"/>
        <w:left w:val="none" w:sz="0" w:space="0" w:color="auto"/>
        <w:bottom w:val="none" w:sz="0" w:space="0" w:color="auto"/>
        <w:right w:val="none" w:sz="0" w:space="0" w:color="auto"/>
      </w:divBdr>
    </w:div>
    <w:div w:id="823592409">
      <w:marLeft w:val="0"/>
      <w:marRight w:val="0"/>
      <w:marTop w:val="0"/>
      <w:marBottom w:val="0"/>
      <w:divBdr>
        <w:top w:val="none" w:sz="0" w:space="0" w:color="auto"/>
        <w:left w:val="none" w:sz="0" w:space="0" w:color="auto"/>
        <w:bottom w:val="none" w:sz="0" w:space="0" w:color="auto"/>
        <w:right w:val="none" w:sz="0" w:space="0" w:color="auto"/>
      </w:divBdr>
    </w:div>
    <w:div w:id="823592410">
      <w:marLeft w:val="0"/>
      <w:marRight w:val="0"/>
      <w:marTop w:val="0"/>
      <w:marBottom w:val="0"/>
      <w:divBdr>
        <w:top w:val="none" w:sz="0" w:space="0" w:color="auto"/>
        <w:left w:val="none" w:sz="0" w:space="0" w:color="auto"/>
        <w:bottom w:val="none" w:sz="0" w:space="0" w:color="auto"/>
        <w:right w:val="none" w:sz="0" w:space="0" w:color="auto"/>
      </w:divBdr>
    </w:div>
    <w:div w:id="823592411">
      <w:marLeft w:val="0"/>
      <w:marRight w:val="0"/>
      <w:marTop w:val="0"/>
      <w:marBottom w:val="0"/>
      <w:divBdr>
        <w:top w:val="none" w:sz="0" w:space="0" w:color="auto"/>
        <w:left w:val="none" w:sz="0" w:space="0" w:color="auto"/>
        <w:bottom w:val="none" w:sz="0" w:space="0" w:color="auto"/>
        <w:right w:val="none" w:sz="0" w:space="0" w:color="auto"/>
      </w:divBdr>
    </w:div>
    <w:div w:id="823592412">
      <w:marLeft w:val="0"/>
      <w:marRight w:val="0"/>
      <w:marTop w:val="0"/>
      <w:marBottom w:val="0"/>
      <w:divBdr>
        <w:top w:val="none" w:sz="0" w:space="0" w:color="auto"/>
        <w:left w:val="none" w:sz="0" w:space="0" w:color="auto"/>
        <w:bottom w:val="none" w:sz="0" w:space="0" w:color="auto"/>
        <w:right w:val="none" w:sz="0" w:space="0" w:color="auto"/>
      </w:divBdr>
    </w:div>
    <w:div w:id="823592413">
      <w:marLeft w:val="0"/>
      <w:marRight w:val="0"/>
      <w:marTop w:val="0"/>
      <w:marBottom w:val="0"/>
      <w:divBdr>
        <w:top w:val="none" w:sz="0" w:space="0" w:color="auto"/>
        <w:left w:val="none" w:sz="0" w:space="0" w:color="auto"/>
        <w:bottom w:val="none" w:sz="0" w:space="0" w:color="auto"/>
        <w:right w:val="none" w:sz="0" w:space="0" w:color="auto"/>
      </w:divBdr>
    </w:div>
    <w:div w:id="823592414">
      <w:marLeft w:val="0"/>
      <w:marRight w:val="0"/>
      <w:marTop w:val="0"/>
      <w:marBottom w:val="0"/>
      <w:divBdr>
        <w:top w:val="none" w:sz="0" w:space="0" w:color="auto"/>
        <w:left w:val="none" w:sz="0" w:space="0" w:color="auto"/>
        <w:bottom w:val="none" w:sz="0" w:space="0" w:color="auto"/>
        <w:right w:val="none" w:sz="0" w:space="0" w:color="auto"/>
      </w:divBdr>
    </w:div>
    <w:div w:id="823592415">
      <w:marLeft w:val="0"/>
      <w:marRight w:val="0"/>
      <w:marTop w:val="0"/>
      <w:marBottom w:val="0"/>
      <w:divBdr>
        <w:top w:val="none" w:sz="0" w:space="0" w:color="auto"/>
        <w:left w:val="none" w:sz="0" w:space="0" w:color="auto"/>
        <w:bottom w:val="none" w:sz="0" w:space="0" w:color="auto"/>
        <w:right w:val="none" w:sz="0" w:space="0" w:color="auto"/>
      </w:divBdr>
    </w:div>
    <w:div w:id="823592416">
      <w:marLeft w:val="0"/>
      <w:marRight w:val="0"/>
      <w:marTop w:val="0"/>
      <w:marBottom w:val="0"/>
      <w:divBdr>
        <w:top w:val="none" w:sz="0" w:space="0" w:color="auto"/>
        <w:left w:val="none" w:sz="0" w:space="0" w:color="auto"/>
        <w:bottom w:val="none" w:sz="0" w:space="0" w:color="auto"/>
        <w:right w:val="none" w:sz="0" w:space="0" w:color="auto"/>
      </w:divBdr>
    </w:div>
    <w:div w:id="823592417">
      <w:marLeft w:val="0"/>
      <w:marRight w:val="0"/>
      <w:marTop w:val="0"/>
      <w:marBottom w:val="0"/>
      <w:divBdr>
        <w:top w:val="none" w:sz="0" w:space="0" w:color="auto"/>
        <w:left w:val="none" w:sz="0" w:space="0" w:color="auto"/>
        <w:bottom w:val="none" w:sz="0" w:space="0" w:color="auto"/>
        <w:right w:val="none" w:sz="0" w:space="0" w:color="auto"/>
      </w:divBdr>
    </w:div>
    <w:div w:id="823592418">
      <w:marLeft w:val="0"/>
      <w:marRight w:val="0"/>
      <w:marTop w:val="0"/>
      <w:marBottom w:val="0"/>
      <w:divBdr>
        <w:top w:val="none" w:sz="0" w:space="0" w:color="auto"/>
        <w:left w:val="none" w:sz="0" w:space="0" w:color="auto"/>
        <w:bottom w:val="none" w:sz="0" w:space="0" w:color="auto"/>
        <w:right w:val="none" w:sz="0" w:space="0" w:color="auto"/>
      </w:divBdr>
    </w:div>
    <w:div w:id="823592419">
      <w:marLeft w:val="0"/>
      <w:marRight w:val="0"/>
      <w:marTop w:val="0"/>
      <w:marBottom w:val="0"/>
      <w:divBdr>
        <w:top w:val="none" w:sz="0" w:space="0" w:color="auto"/>
        <w:left w:val="none" w:sz="0" w:space="0" w:color="auto"/>
        <w:bottom w:val="none" w:sz="0" w:space="0" w:color="auto"/>
        <w:right w:val="none" w:sz="0" w:space="0" w:color="auto"/>
      </w:divBdr>
    </w:div>
    <w:div w:id="823592420">
      <w:marLeft w:val="0"/>
      <w:marRight w:val="0"/>
      <w:marTop w:val="0"/>
      <w:marBottom w:val="0"/>
      <w:divBdr>
        <w:top w:val="none" w:sz="0" w:space="0" w:color="auto"/>
        <w:left w:val="none" w:sz="0" w:space="0" w:color="auto"/>
        <w:bottom w:val="none" w:sz="0" w:space="0" w:color="auto"/>
        <w:right w:val="none" w:sz="0" w:space="0" w:color="auto"/>
      </w:divBdr>
    </w:div>
    <w:div w:id="823592421">
      <w:marLeft w:val="0"/>
      <w:marRight w:val="0"/>
      <w:marTop w:val="0"/>
      <w:marBottom w:val="0"/>
      <w:divBdr>
        <w:top w:val="none" w:sz="0" w:space="0" w:color="auto"/>
        <w:left w:val="none" w:sz="0" w:space="0" w:color="auto"/>
        <w:bottom w:val="none" w:sz="0" w:space="0" w:color="auto"/>
        <w:right w:val="none" w:sz="0" w:space="0" w:color="auto"/>
      </w:divBdr>
    </w:div>
    <w:div w:id="823592422">
      <w:marLeft w:val="0"/>
      <w:marRight w:val="0"/>
      <w:marTop w:val="0"/>
      <w:marBottom w:val="0"/>
      <w:divBdr>
        <w:top w:val="none" w:sz="0" w:space="0" w:color="auto"/>
        <w:left w:val="none" w:sz="0" w:space="0" w:color="auto"/>
        <w:bottom w:val="none" w:sz="0" w:space="0" w:color="auto"/>
        <w:right w:val="none" w:sz="0" w:space="0" w:color="auto"/>
      </w:divBdr>
    </w:div>
    <w:div w:id="823592423">
      <w:marLeft w:val="0"/>
      <w:marRight w:val="0"/>
      <w:marTop w:val="0"/>
      <w:marBottom w:val="0"/>
      <w:divBdr>
        <w:top w:val="none" w:sz="0" w:space="0" w:color="auto"/>
        <w:left w:val="none" w:sz="0" w:space="0" w:color="auto"/>
        <w:bottom w:val="none" w:sz="0" w:space="0" w:color="auto"/>
        <w:right w:val="none" w:sz="0" w:space="0" w:color="auto"/>
      </w:divBdr>
    </w:div>
    <w:div w:id="823592424">
      <w:marLeft w:val="0"/>
      <w:marRight w:val="0"/>
      <w:marTop w:val="0"/>
      <w:marBottom w:val="0"/>
      <w:divBdr>
        <w:top w:val="none" w:sz="0" w:space="0" w:color="auto"/>
        <w:left w:val="none" w:sz="0" w:space="0" w:color="auto"/>
        <w:bottom w:val="none" w:sz="0" w:space="0" w:color="auto"/>
        <w:right w:val="none" w:sz="0" w:space="0" w:color="auto"/>
      </w:divBdr>
    </w:div>
    <w:div w:id="823592425">
      <w:marLeft w:val="0"/>
      <w:marRight w:val="0"/>
      <w:marTop w:val="0"/>
      <w:marBottom w:val="0"/>
      <w:divBdr>
        <w:top w:val="none" w:sz="0" w:space="0" w:color="auto"/>
        <w:left w:val="none" w:sz="0" w:space="0" w:color="auto"/>
        <w:bottom w:val="none" w:sz="0" w:space="0" w:color="auto"/>
        <w:right w:val="none" w:sz="0" w:space="0" w:color="auto"/>
      </w:divBdr>
    </w:div>
    <w:div w:id="823592426">
      <w:marLeft w:val="0"/>
      <w:marRight w:val="0"/>
      <w:marTop w:val="0"/>
      <w:marBottom w:val="0"/>
      <w:divBdr>
        <w:top w:val="none" w:sz="0" w:space="0" w:color="auto"/>
        <w:left w:val="none" w:sz="0" w:space="0" w:color="auto"/>
        <w:bottom w:val="none" w:sz="0" w:space="0" w:color="auto"/>
        <w:right w:val="none" w:sz="0" w:space="0" w:color="auto"/>
      </w:divBdr>
    </w:div>
    <w:div w:id="823592427">
      <w:marLeft w:val="0"/>
      <w:marRight w:val="0"/>
      <w:marTop w:val="0"/>
      <w:marBottom w:val="0"/>
      <w:divBdr>
        <w:top w:val="none" w:sz="0" w:space="0" w:color="auto"/>
        <w:left w:val="none" w:sz="0" w:space="0" w:color="auto"/>
        <w:bottom w:val="none" w:sz="0" w:space="0" w:color="auto"/>
        <w:right w:val="none" w:sz="0" w:space="0" w:color="auto"/>
      </w:divBdr>
    </w:div>
    <w:div w:id="823592428">
      <w:marLeft w:val="0"/>
      <w:marRight w:val="0"/>
      <w:marTop w:val="0"/>
      <w:marBottom w:val="0"/>
      <w:divBdr>
        <w:top w:val="none" w:sz="0" w:space="0" w:color="auto"/>
        <w:left w:val="none" w:sz="0" w:space="0" w:color="auto"/>
        <w:bottom w:val="none" w:sz="0" w:space="0" w:color="auto"/>
        <w:right w:val="none" w:sz="0" w:space="0" w:color="auto"/>
      </w:divBdr>
    </w:div>
    <w:div w:id="823592429">
      <w:marLeft w:val="0"/>
      <w:marRight w:val="0"/>
      <w:marTop w:val="0"/>
      <w:marBottom w:val="0"/>
      <w:divBdr>
        <w:top w:val="none" w:sz="0" w:space="0" w:color="auto"/>
        <w:left w:val="none" w:sz="0" w:space="0" w:color="auto"/>
        <w:bottom w:val="none" w:sz="0" w:space="0" w:color="auto"/>
        <w:right w:val="none" w:sz="0" w:space="0" w:color="auto"/>
      </w:divBdr>
    </w:div>
    <w:div w:id="823592430">
      <w:marLeft w:val="0"/>
      <w:marRight w:val="0"/>
      <w:marTop w:val="0"/>
      <w:marBottom w:val="0"/>
      <w:divBdr>
        <w:top w:val="none" w:sz="0" w:space="0" w:color="auto"/>
        <w:left w:val="none" w:sz="0" w:space="0" w:color="auto"/>
        <w:bottom w:val="none" w:sz="0" w:space="0" w:color="auto"/>
        <w:right w:val="none" w:sz="0" w:space="0" w:color="auto"/>
      </w:divBdr>
    </w:div>
    <w:div w:id="823592431">
      <w:marLeft w:val="0"/>
      <w:marRight w:val="0"/>
      <w:marTop w:val="0"/>
      <w:marBottom w:val="0"/>
      <w:divBdr>
        <w:top w:val="none" w:sz="0" w:space="0" w:color="auto"/>
        <w:left w:val="none" w:sz="0" w:space="0" w:color="auto"/>
        <w:bottom w:val="none" w:sz="0" w:space="0" w:color="auto"/>
        <w:right w:val="none" w:sz="0" w:space="0" w:color="auto"/>
      </w:divBdr>
    </w:div>
    <w:div w:id="823592432">
      <w:marLeft w:val="0"/>
      <w:marRight w:val="0"/>
      <w:marTop w:val="0"/>
      <w:marBottom w:val="0"/>
      <w:divBdr>
        <w:top w:val="none" w:sz="0" w:space="0" w:color="auto"/>
        <w:left w:val="none" w:sz="0" w:space="0" w:color="auto"/>
        <w:bottom w:val="none" w:sz="0" w:space="0" w:color="auto"/>
        <w:right w:val="none" w:sz="0" w:space="0" w:color="auto"/>
      </w:divBdr>
    </w:div>
    <w:div w:id="823592433">
      <w:marLeft w:val="0"/>
      <w:marRight w:val="0"/>
      <w:marTop w:val="0"/>
      <w:marBottom w:val="0"/>
      <w:divBdr>
        <w:top w:val="none" w:sz="0" w:space="0" w:color="auto"/>
        <w:left w:val="none" w:sz="0" w:space="0" w:color="auto"/>
        <w:bottom w:val="none" w:sz="0" w:space="0" w:color="auto"/>
        <w:right w:val="none" w:sz="0" w:space="0" w:color="auto"/>
      </w:divBdr>
    </w:div>
    <w:div w:id="823592434">
      <w:marLeft w:val="0"/>
      <w:marRight w:val="0"/>
      <w:marTop w:val="0"/>
      <w:marBottom w:val="0"/>
      <w:divBdr>
        <w:top w:val="none" w:sz="0" w:space="0" w:color="auto"/>
        <w:left w:val="none" w:sz="0" w:space="0" w:color="auto"/>
        <w:bottom w:val="none" w:sz="0" w:space="0" w:color="auto"/>
        <w:right w:val="none" w:sz="0" w:space="0" w:color="auto"/>
      </w:divBdr>
    </w:div>
    <w:div w:id="823592435">
      <w:marLeft w:val="0"/>
      <w:marRight w:val="0"/>
      <w:marTop w:val="0"/>
      <w:marBottom w:val="0"/>
      <w:divBdr>
        <w:top w:val="none" w:sz="0" w:space="0" w:color="auto"/>
        <w:left w:val="none" w:sz="0" w:space="0" w:color="auto"/>
        <w:bottom w:val="none" w:sz="0" w:space="0" w:color="auto"/>
        <w:right w:val="none" w:sz="0" w:space="0" w:color="auto"/>
      </w:divBdr>
    </w:div>
    <w:div w:id="823592436">
      <w:marLeft w:val="0"/>
      <w:marRight w:val="0"/>
      <w:marTop w:val="0"/>
      <w:marBottom w:val="0"/>
      <w:divBdr>
        <w:top w:val="none" w:sz="0" w:space="0" w:color="auto"/>
        <w:left w:val="none" w:sz="0" w:space="0" w:color="auto"/>
        <w:bottom w:val="none" w:sz="0" w:space="0" w:color="auto"/>
        <w:right w:val="none" w:sz="0" w:space="0" w:color="auto"/>
      </w:divBdr>
    </w:div>
    <w:div w:id="823592437">
      <w:marLeft w:val="0"/>
      <w:marRight w:val="0"/>
      <w:marTop w:val="0"/>
      <w:marBottom w:val="0"/>
      <w:divBdr>
        <w:top w:val="none" w:sz="0" w:space="0" w:color="auto"/>
        <w:left w:val="none" w:sz="0" w:space="0" w:color="auto"/>
        <w:bottom w:val="none" w:sz="0" w:space="0" w:color="auto"/>
        <w:right w:val="none" w:sz="0" w:space="0" w:color="auto"/>
      </w:divBdr>
    </w:div>
    <w:div w:id="823592438">
      <w:marLeft w:val="0"/>
      <w:marRight w:val="0"/>
      <w:marTop w:val="0"/>
      <w:marBottom w:val="0"/>
      <w:divBdr>
        <w:top w:val="none" w:sz="0" w:space="0" w:color="auto"/>
        <w:left w:val="none" w:sz="0" w:space="0" w:color="auto"/>
        <w:bottom w:val="none" w:sz="0" w:space="0" w:color="auto"/>
        <w:right w:val="none" w:sz="0" w:space="0" w:color="auto"/>
      </w:divBdr>
    </w:div>
    <w:div w:id="823592439">
      <w:marLeft w:val="0"/>
      <w:marRight w:val="0"/>
      <w:marTop w:val="0"/>
      <w:marBottom w:val="0"/>
      <w:divBdr>
        <w:top w:val="none" w:sz="0" w:space="0" w:color="auto"/>
        <w:left w:val="none" w:sz="0" w:space="0" w:color="auto"/>
        <w:bottom w:val="none" w:sz="0" w:space="0" w:color="auto"/>
        <w:right w:val="none" w:sz="0" w:space="0" w:color="auto"/>
      </w:divBdr>
    </w:div>
    <w:div w:id="823592440">
      <w:marLeft w:val="0"/>
      <w:marRight w:val="0"/>
      <w:marTop w:val="0"/>
      <w:marBottom w:val="0"/>
      <w:divBdr>
        <w:top w:val="none" w:sz="0" w:space="0" w:color="auto"/>
        <w:left w:val="none" w:sz="0" w:space="0" w:color="auto"/>
        <w:bottom w:val="none" w:sz="0" w:space="0" w:color="auto"/>
        <w:right w:val="none" w:sz="0" w:space="0" w:color="auto"/>
      </w:divBdr>
    </w:div>
    <w:div w:id="823592441">
      <w:marLeft w:val="0"/>
      <w:marRight w:val="0"/>
      <w:marTop w:val="0"/>
      <w:marBottom w:val="0"/>
      <w:divBdr>
        <w:top w:val="none" w:sz="0" w:space="0" w:color="auto"/>
        <w:left w:val="none" w:sz="0" w:space="0" w:color="auto"/>
        <w:bottom w:val="none" w:sz="0" w:space="0" w:color="auto"/>
        <w:right w:val="none" w:sz="0" w:space="0" w:color="auto"/>
      </w:divBdr>
    </w:div>
    <w:div w:id="823592442">
      <w:marLeft w:val="0"/>
      <w:marRight w:val="0"/>
      <w:marTop w:val="0"/>
      <w:marBottom w:val="0"/>
      <w:divBdr>
        <w:top w:val="none" w:sz="0" w:space="0" w:color="auto"/>
        <w:left w:val="none" w:sz="0" w:space="0" w:color="auto"/>
        <w:bottom w:val="none" w:sz="0" w:space="0" w:color="auto"/>
        <w:right w:val="none" w:sz="0" w:space="0" w:color="auto"/>
      </w:divBdr>
    </w:div>
    <w:div w:id="823592443">
      <w:marLeft w:val="0"/>
      <w:marRight w:val="0"/>
      <w:marTop w:val="0"/>
      <w:marBottom w:val="0"/>
      <w:divBdr>
        <w:top w:val="none" w:sz="0" w:space="0" w:color="auto"/>
        <w:left w:val="none" w:sz="0" w:space="0" w:color="auto"/>
        <w:bottom w:val="none" w:sz="0" w:space="0" w:color="auto"/>
        <w:right w:val="none" w:sz="0" w:space="0" w:color="auto"/>
      </w:divBdr>
    </w:div>
    <w:div w:id="823592444">
      <w:marLeft w:val="0"/>
      <w:marRight w:val="0"/>
      <w:marTop w:val="0"/>
      <w:marBottom w:val="0"/>
      <w:divBdr>
        <w:top w:val="none" w:sz="0" w:space="0" w:color="auto"/>
        <w:left w:val="none" w:sz="0" w:space="0" w:color="auto"/>
        <w:bottom w:val="none" w:sz="0" w:space="0" w:color="auto"/>
        <w:right w:val="none" w:sz="0" w:space="0" w:color="auto"/>
      </w:divBdr>
    </w:div>
    <w:div w:id="823592445">
      <w:marLeft w:val="0"/>
      <w:marRight w:val="0"/>
      <w:marTop w:val="0"/>
      <w:marBottom w:val="0"/>
      <w:divBdr>
        <w:top w:val="none" w:sz="0" w:space="0" w:color="auto"/>
        <w:left w:val="none" w:sz="0" w:space="0" w:color="auto"/>
        <w:bottom w:val="none" w:sz="0" w:space="0" w:color="auto"/>
        <w:right w:val="none" w:sz="0" w:space="0" w:color="auto"/>
      </w:divBdr>
    </w:div>
    <w:div w:id="823592446">
      <w:marLeft w:val="0"/>
      <w:marRight w:val="0"/>
      <w:marTop w:val="0"/>
      <w:marBottom w:val="0"/>
      <w:divBdr>
        <w:top w:val="none" w:sz="0" w:space="0" w:color="auto"/>
        <w:left w:val="none" w:sz="0" w:space="0" w:color="auto"/>
        <w:bottom w:val="none" w:sz="0" w:space="0" w:color="auto"/>
        <w:right w:val="none" w:sz="0" w:space="0" w:color="auto"/>
      </w:divBdr>
    </w:div>
    <w:div w:id="823592447">
      <w:marLeft w:val="0"/>
      <w:marRight w:val="0"/>
      <w:marTop w:val="0"/>
      <w:marBottom w:val="0"/>
      <w:divBdr>
        <w:top w:val="none" w:sz="0" w:space="0" w:color="auto"/>
        <w:left w:val="none" w:sz="0" w:space="0" w:color="auto"/>
        <w:bottom w:val="none" w:sz="0" w:space="0" w:color="auto"/>
        <w:right w:val="none" w:sz="0" w:space="0" w:color="auto"/>
      </w:divBdr>
    </w:div>
    <w:div w:id="823592448">
      <w:marLeft w:val="0"/>
      <w:marRight w:val="0"/>
      <w:marTop w:val="0"/>
      <w:marBottom w:val="0"/>
      <w:divBdr>
        <w:top w:val="none" w:sz="0" w:space="0" w:color="auto"/>
        <w:left w:val="none" w:sz="0" w:space="0" w:color="auto"/>
        <w:bottom w:val="none" w:sz="0" w:space="0" w:color="auto"/>
        <w:right w:val="none" w:sz="0" w:space="0" w:color="auto"/>
      </w:divBdr>
    </w:div>
    <w:div w:id="823592449">
      <w:marLeft w:val="0"/>
      <w:marRight w:val="0"/>
      <w:marTop w:val="0"/>
      <w:marBottom w:val="0"/>
      <w:divBdr>
        <w:top w:val="none" w:sz="0" w:space="0" w:color="auto"/>
        <w:left w:val="none" w:sz="0" w:space="0" w:color="auto"/>
        <w:bottom w:val="none" w:sz="0" w:space="0" w:color="auto"/>
        <w:right w:val="none" w:sz="0" w:space="0" w:color="auto"/>
      </w:divBdr>
    </w:div>
    <w:div w:id="823592450">
      <w:marLeft w:val="0"/>
      <w:marRight w:val="0"/>
      <w:marTop w:val="0"/>
      <w:marBottom w:val="0"/>
      <w:divBdr>
        <w:top w:val="none" w:sz="0" w:space="0" w:color="auto"/>
        <w:left w:val="none" w:sz="0" w:space="0" w:color="auto"/>
        <w:bottom w:val="none" w:sz="0" w:space="0" w:color="auto"/>
        <w:right w:val="none" w:sz="0" w:space="0" w:color="auto"/>
      </w:divBdr>
    </w:div>
    <w:div w:id="823592451">
      <w:marLeft w:val="0"/>
      <w:marRight w:val="0"/>
      <w:marTop w:val="0"/>
      <w:marBottom w:val="0"/>
      <w:divBdr>
        <w:top w:val="none" w:sz="0" w:space="0" w:color="auto"/>
        <w:left w:val="none" w:sz="0" w:space="0" w:color="auto"/>
        <w:bottom w:val="none" w:sz="0" w:space="0" w:color="auto"/>
        <w:right w:val="none" w:sz="0" w:space="0" w:color="auto"/>
      </w:divBdr>
    </w:div>
    <w:div w:id="823592452">
      <w:marLeft w:val="0"/>
      <w:marRight w:val="0"/>
      <w:marTop w:val="0"/>
      <w:marBottom w:val="0"/>
      <w:divBdr>
        <w:top w:val="none" w:sz="0" w:space="0" w:color="auto"/>
        <w:left w:val="none" w:sz="0" w:space="0" w:color="auto"/>
        <w:bottom w:val="none" w:sz="0" w:space="0" w:color="auto"/>
        <w:right w:val="none" w:sz="0" w:space="0" w:color="auto"/>
      </w:divBdr>
    </w:div>
    <w:div w:id="823592453">
      <w:marLeft w:val="0"/>
      <w:marRight w:val="0"/>
      <w:marTop w:val="0"/>
      <w:marBottom w:val="0"/>
      <w:divBdr>
        <w:top w:val="none" w:sz="0" w:space="0" w:color="auto"/>
        <w:left w:val="none" w:sz="0" w:space="0" w:color="auto"/>
        <w:bottom w:val="none" w:sz="0" w:space="0" w:color="auto"/>
        <w:right w:val="none" w:sz="0" w:space="0" w:color="auto"/>
      </w:divBdr>
    </w:div>
    <w:div w:id="823592454">
      <w:marLeft w:val="0"/>
      <w:marRight w:val="0"/>
      <w:marTop w:val="0"/>
      <w:marBottom w:val="0"/>
      <w:divBdr>
        <w:top w:val="none" w:sz="0" w:space="0" w:color="auto"/>
        <w:left w:val="none" w:sz="0" w:space="0" w:color="auto"/>
        <w:bottom w:val="none" w:sz="0" w:space="0" w:color="auto"/>
        <w:right w:val="none" w:sz="0" w:space="0" w:color="auto"/>
      </w:divBdr>
    </w:div>
    <w:div w:id="823592455">
      <w:marLeft w:val="0"/>
      <w:marRight w:val="0"/>
      <w:marTop w:val="0"/>
      <w:marBottom w:val="0"/>
      <w:divBdr>
        <w:top w:val="none" w:sz="0" w:space="0" w:color="auto"/>
        <w:left w:val="none" w:sz="0" w:space="0" w:color="auto"/>
        <w:bottom w:val="none" w:sz="0" w:space="0" w:color="auto"/>
        <w:right w:val="none" w:sz="0" w:space="0" w:color="auto"/>
      </w:divBdr>
    </w:div>
    <w:div w:id="823592456">
      <w:marLeft w:val="0"/>
      <w:marRight w:val="0"/>
      <w:marTop w:val="0"/>
      <w:marBottom w:val="0"/>
      <w:divBdr>
        <w:top w:val="none" w:sz="0" w:space="0" w:color="auto"/>
        <w:left w:val="none" w:sz="0" w:space="0" w:color="auto"/>
        <w:bottom w:val="none" w:sz="0" w:space="0" w:color="auto"/>
        <w:right w:val="none" w:sz="0" w:space="0" w:color="auto"/>
      </w:divBdr>
    </w:div>
    <w:div w:id="823592457">
      <w:marLeft w:val="0"/>
      <w:marRight w:val="0"/>
      <w:marTop w:val="0"/>
      <w:marBottom w:val="0"/>
      <w:divBdr>
        <w:top w:val="none" w:sz="0" w:space="0" w:color="auto"/>
        <w:left w:val="none" w:sz="0" w:space="0" w:color="auto"/>
        <w:bottom w:val="none" w:sz="0" w:space="0" w:color="auto"/>
        <w:right w:val="none" w:sz="0" w:space="0" w:color="auto"/>
      </w:divBdr>
    </w:div>
    <w:div w:id="823592458">
      <w:marLeft w:val="0"/>
      <w:marRight w:val="0"/>
      <w:marTop w:val="0"/>
      <w:marBottom w:val="0"/>
      <w:divBdr>
        <w:top w:val="none" w:sz="0" w:space="0" w:color="auto"/>
        <w:left w:val="none" w:sz="0" w:space="0" w:color="auto"/>
        <w:bottom w:val="none" w:sz="0" w:space="0" w:color="auto"/>
        <w:right w:val="none" w:sz="0" w:space="0" w:color="auto"/>
      </w:divBdr>
    </w:div>
    <w:div w:id="823592459">
      <w:marLeft w:val="0"/>
      <w:marRight w:val="0"/>
      <w:marTop w:val="0"/>
      <w:marBottom w:val="0"/>
      <w:divBdr>
        <w:top w:val="none" w:sz="0" w:space="0" w:color="auto"/>
        <w:left w:val="none" w:sz="0" w:space="0" w:color="auto"/>
        <w:bottom w:val="none" w:sz="0" w:space="0" w:color="auto"/>
        <w:right w:val="none" w:sz="0" w:space="0" w:color="auto"/>
      </w:divBdr>
    </w:div>
    <w:div w:id="823592460">
      <w:marLeft w:val="0"/>
      <w:marRight w:val="0"/>
      <w:marTop w:val="0"/>
      <w:marBottom w:val="0"/>
      <w:divBdr>
        <w:top w:val="none" w:sz="0" w:space="0" w:color="auto"/>
        <w:left w:val="none" w:sz="0" w:space="0" w:color="auto"/>
        <w:bottom w:val="none" w:sz="0" w:space="0" w:color="auto"/>
        <w:right w:val="none" w:sz="0" w:space="0" w:color="auto"/>
      </w:divBdr>
    </w:div>
    <w:div w:id="823592461">
      <w:marLeft w:val="0"/>
      <w:marRight w:val="0"/>
      <w:marTop w:val="0"/>
      <w:marBottom w:val="0"/>
      <w:divBdr>
        <w:top w:val="none" w:sz="0" w:space="0" w:color="auto"/>
        <w:left w:val="none" w:sz="0" w:space="0" w:color="auto"/>
        <w:bottom w:val="none" w:sz="0" w:space="0" w:color="auto"/>
        <w:right w:val="none" w:sz="0" w:space="0" w:color="auto"/>
      </w:divBdr>
    </w:div>
    <w:div w:id="823592462">
      <w:marLeft w:val="0"/>
      <w:marRight w:val="0"/>
      <w:marTop w:val="0"/>
      <w:marBottom w:val="0"/>
      <w:divBdr>
        <w:top w:val="none" w:sz="0" w:space="0" w:color="auto"/>
        <w:left w:val="none" w:sz="0" w:space="0" w:color="auto"/>
        <w:bottom w:val="none" w:sz="0" w:space="0" w:color="auto"/>
        <w:right w:val="none" w:sz="0" w:space="0" w:color="auto"/>
      </w:divBdr>
    </w:div>
    <w:div w:id="823592463">
      <w:marLeft w:val="0"/>
      <w:marRight w:val="0"/>
      <w:marTop w:val="0"/>
      <w:marBottom w:val="0"/>
      <w:divBdr>
        <w:top w:val="none" w:sz="0" w:space="0" w:color="auto"/>
        <w:left w:val="none" w:sz="0" w:space="0" w:color="auto"/>
        <w:bottom w:val="none" w:sz="0" w:space="0" w:color="auto"/>
        <w:right w:val="none" w:sz="0" w:space="0" w:color="auto"/>
      </w:divBdr>
    </w:div>
    <w:div w:id="823592464">
      <w:marLeft w:val="0"/>
      <w:marRight w:val="0"/>
      <w:marTop w:val="0"/>
      <w:marBottom w:val="0"/>
      <w:divBdr>
        <w:top w:val="none" w:sz="0" w:space="0" w:color="auto"/>
        <w:left w:val="none" w:sz="0" w:space="0" w:color="auto"/>
        <w:bottom w:val="none" w:sz="0" w:space="0" w:color="auto"/>
        <w:right w:val="none" w:sz="0" w:space="0" w:color="auto"/>
      </w:divBdr>
    </w:div>
    <w:div w:id="823592465">
      <w:marLeft w:val="0"/>
      <w:marRight w:val="0"/>
      <w:marTop w:val="0"/>
      <w:marBottom w:val="0"/>
      <w:divBdr>
        <w:top w:val="none" w:sz="0" w:space="0" w:color="auto"/>
        <w:left w:val="none" w:sz="0" w:space="0" w:color="auto"/>
        <w:bottom w:val="none" w:sz="0" w:space="0" w:color="auto"/>
        <w:right w:val="none" w:sz="0" w:space="0" w:color="auto"/>
      </w:divBdr>
    </w:div>
    <w:div w:id="823592466">
      <w:marLeft w:val="0"/>
      <w:marRight w:val="0"/>
      <w:marTop w:val="0"/>
      <w:marBottom w:val="0"/>
      <w:divBdr>
        <w:top w:val="none" w:sz="0" w:space="0" w:color="auto"/>
        <w:left w:val="none" w:sz="0" w:space="0" w:color="auto"/>
        <w:bottom w:val="none" w:sz="0" w:space="0" w:color="auto"/>
        <w:right w:val="none" w:sz="0" w:space="0" w:color="auto"/>
      </w:divBdr>
    </w:div>
    <w:div w:id="823592467">
      <w:marLeft w:val="0"/>
      <w:marRight w:val="0"/>
      <w:marTop w:val="0"/>
      <w:marBottom w:val="0"/>
      <w:divBdr>
        <w:top w:val="none" w:sz="0" w:space="0" w:color="auto"/>
        <w:left w:val="none" w:sz="0" w:space="0" w:color="auto"/>
        <w:bottom w:val="none" w:sz="0" w:space="0" w:color="auto"/>
        <w:right w:val="none" w:sz="0" w:space="0" w:color="auto"/>
      </w:divBdr>
    </w:div>
    <w:div w:id="823592468">
      <w:marLeft w:val="0"/>
      <w:marRight w:val="0"/>
      <w:marTop w:val="0"/>
      <w:marBottom w:val="0"/>
      <w:divBdr>
        <w:top w:val="none" w:sz="0" w:space="0" w:color="auto"/>
        <w:left w:val="none" w:sz="0" w:space="0" w:color="auto"/>
        <w:bottom w:val="none" w:sz="0" w:space="0" w:color="auto"/>
        <w:right w:val="none" w:sz="0" w:space="0" w:color="auto"/>
      </w:divBdr>
    </w:div>
    <w:div w:id="823592469">
      <w:marLeft w:val="0"/>
      <w:marRight w:val="0"/>
      <w:marTop w:val="0"/>
      <w:marBottom w:val="0"/>
      <w:divBdr>
        <w:top w:val="none" w:sz="0" w:space="0" w:color="auto"/>
        <w:left w:val="none" w:sz="0" w:space="0" w:color="auto"/>
        <w:bottom w:val="none" w:sz="0" w:space="0" w:color="auto"/>
        <w:right w:val="none" w:sz="0" w:space="0" w:color="auto"/>
      </w:divBdr>
    </w:div>
    <w:div w:id="823592470">
      <w:marLeft w:val="0"/>
      <w:marRight w:val="0"/>
      <w:marTop w:val="0"/>
      <w:marBottom w:val="0"/>
      <w:divBdr>
        <w:top w:val="none" w:sz="0" w:space="0" w:color="auto"/>
        <w:left w:val="none" w:sz="0" w:space="0" w:color="auto"/>
        <w:bottom w:val="none" w:sz="0" w:space="0" w:color="auto"/>
        <w:right w:val="none" w:sz="0" w:space="0" w:color="auto"/>
      </w:divBdr>
    </w:div>
    <w:div w:id="823592471">
      <w:marLeft w:val="0"/>
      <w:marRight w:val="0"/>
      <w:marTop w:val="0"/>
      <w:marBottom w:val="0"/>
      <w:divBdr>
        <w:top w:val="none" w:sz="0" w:space="0" w:color="auto"/>
        <w:left w:val="none" w:sz="0" w:space="0" w:color="auto"/>
        <w:bottom w:val="none" w:sz="0" w:space="0" w:color="auto"/>
        <w:right w:val="none" w:sz="0" w:space="0" w:color="auto"/>
      </w:divBdr>
    </w:div>
    <w:div w:id="823592472">
      <w:marLeft w:val="0"/>
      <w:marRight w:val="0"/>
      <w:marTop w:val="0"/>
      <w:marBottom w:val="0"/>
      <w:divBdr>
        <w:top w:val="none" w:sz="0" w:space="0" w:color="auto"/>
        <w:left w:val="none" w:sz="0" w:space="0" w:color="auto"/>
        <w:bottom w:val="none" w:sz="0" w:space="0" w:color="auto"/>
        <w:right w:val="none" w:sz="0" w:space="0" w:color="auto"/>
      </w:divBdr>
    </w:div>
    <w:div w:id="823592473">
      <w:marLeft w:val="0"/>
      <w:marRight w:val="0"/>
      <w:marTop w:val="0"/>
      <w:marBottom w:val="0"/>
      <w:divBdr>
        <w:top w:val="none" w:sz="0" w:space="0" w:color="auto"/>
        <w:left w:val="none" w:sz="0" w:space="0" w:color="auto"/>
        <w:bottom w:val="none" w:sz="0" w:space="0" w:color="auto"/>
        <w:right w:val="none" w:sz="0" w:space="0" w:color="auto"/>
      </w:divBdr>
    </w:div>
    <w:div w:id="823592474">
      <w:marLeft w:val="0"/>
      <w:marRight w:val="0"/>
      <w:marTop w:val="0"/>
      <w:marBottom w:val="0"/>
      <w:divBdr>
        <w:top w:val="none" w:sz="0" w:space="0" w:color="auto"/>
        <w:left w:val="none" w:sz="0" w:space="0" w:color="auto"/>
        <w:bottom w:val="none" w:sz="0" w:space="0" w:color="auto"/>
        <w:right w:val="none" w:sz="0" w:space="0" w:color="auto"/>
      </w:divBdr>
    </w:div>
    <w:div w:id="823592475">
      <w:marLeft w:val="0"/>
      <w:marRight w:val="0"/>
      <w:marTop w:val="0"/>
      <w:marBottom w:val="0"/>
      <w:divBdr>
        <w:top w:val="none" w:sz="0" w:space="0" w:color="auto"/>
        <w:left w:val="none" w:sz="0" w:space="0" w:color="auto"/>
        <w:bottom w:val="none" w:sz="0" w:space="0" w:color="auto"/>
        <w:right w:val="none" w:sz="0" w:space="0" w:color="auto"/>
      </w:divBdr>
    </w:div>
    <w:div w:id="823592476">
      <w:marLeft w:val="0"/>
      <w:marRight w:val="0"/>
      <w:marTop w:val="0"/>
      <w:marBottom w:val="0"/>
      <w:divBdr>
        <w:top w:val="none" w:sz="0" w:space="0" w:color="auto"/>
        <w:left w:val="none" w:sz="0" w:space="0" w:color="auto"/>
        <w:bottom w:val="none" w:sz="0" w:space="0" w:color="auto"/>
        <w:right w:val="none" w:sz="0" w:space="0" w:color="auto"/>
      </w:divBdr>
    </w:div>
    <w:div w:id="823592477">
      <w:marLeft w:val="0"/>
      <w:marRight w:val="0"/>
      <w:marTop w:val="0"/>
      <w:marBottom w:val="0"/>
      <w:divBdr>
        <w:top w:val="none" w:sz="0" w:space="0" w:color="auto"/>
        <w:left w:val="none" w:sz="0" w:space="0" w:color="auto"/>
        <w:bottom w:val="none" w:sz="0" w:space="0" w:color="auto"/>
        <w:right w:val="none" w:sz="0" w:space="0" w:color="auto"/>
      </w:divBdr>
    </w:div>
    <w:div w:id="823592478">
      <w:marLeft w:val="0"/>
      <w:marRight w:val="0"/>
      <w:marTop w:val="0"/>
      <w:marBottom w:val="0"/>
      <w:divBdr>
        <w:top w:val="none" w:sz="0" w:space="0" w:color="auto"/>
        <w:left w:val="none" w:sz="0" w:space="0" w:color="auto"/>
        <w:bottom w:val="none" w:sz="0" w:space="0" w:color="auto"/>
        <w:right w:val="none" w:sz="0" w:space="0" w:color="auto"/>
      </w:divBdr>
    </w:div>
    <w:div w:id="823592479">
      <w:marLeft w:val="0"/>
      <w:marRight w:val="0"/>
      <w:marTop w:val="0"/>
      <w:marBottom w:val="0"/>
      <w:divBdr>
        <w:top w:val="none" w:sz="0" w:space="0" w:color="auto"/>
        <w:left w:val="none" w:sz="0" w:space="0" w:color="auto"/>
        <w:bottom w:val="none" w:sz="0" w:space="0" w:color="auto"/>
        <w:right w:val="none" w:sz="0" w:space="0" w:color="auto"/>
      </w:divBdr>
    </w:div>
    <w:div w:id="823592480">
      <w:marLeft w:val="0"/>
      <w:marRight w:val="0"/>
      <w:marTop w:val="0"/>
      <w:marBottom w:val="0"/>
      <w:divBdr>
        <w:top w:val="none" w:sz="0" w:space="0" w:color="auto"/>
        <w:left w:val="none" w:sz="0" w:space="0" w:color="auto"/>
        <w:bottom w:val="none" w:sz="0" w:space="0" w:color="auto"/>
        <w:right w:val="none" w:sz="0" w:space="0" w:color="auto"/>
      </w:divBdr>
    </w:div>
    <w:div w:id="823592481">
      <w:marLeft w:val="0"/>
      <w:marRight w:val="0"/>
      <w:marTop w:val="0"/>
      <w:marBottom w:val="0"/>
      <w:divBdr>
        <w:top w:val="none" w:sz="0" w:space="0" w:color="auto"/>
        <w:left w:val="none" w:sz="0" w:space="0" w:color="auto"/>
        <w:bottom w:val="none" w:sz="0" w:space="0" w:color="auto"/>
        <w:right w:val="none" w:sz="0" w:space="0" w:color="auto"/>
      </w:divBdr>
    </w:div>
    <w:div w:id="823592482">
      <w:marLeft w:val="0"/>
      <w:marRight w:val="0"/>
      <w:marTop w:val="0"/>
      <w:marBottom w:val="0"/>
      <w:divBdr>
        <w:top w:val="none" w:sz="0" w:space="0" w:color="auto"/>
        <w:left w:val="none" w:sz="0" w:space="0" w:color="auto"/>
        <w:bottom w:val="none" w:sz="0" w:space="0" w:color="auto"/>
        <w:right w:val="none" w:sz="0" w:space="0" w:color="auto"/>
      </w:divBdr>
    </w:div>
    <w:div w:id="823592483">
      <w:marLeft w:val="0"/>
      <w:marRight w:val="0"/>
      <w:marTop w:val="0"/>
      <w:marBottom w:val="0"/>
      <w:divBdr>
        <w:top w:val="none" w:sz="0" w:space="0" w:color="auto"/>
        <w:left w:val="none" w:sz="0" w:space="0" w:color="auto"/>
        <w:bottom w:val="none" w:sz="0" w:space="0" w:color="auto"/>
        <w:right w:val="none" w:sz="0" w:space="0" w:color="auto"/>
      </w:divBdr>
    </w:div>
    <w:div w:id="823592484">
      <w:marLeft w:val="0"/>
      <w:marRight w:val="0"/>
      <w:marTop w:val="0"/>
      <w:marBottom w:val="0"/>
      <w:divBdr>
        <w:top w:val="none" w:sz="0" w:space="0" w:color="auto"/>
        <w:left w:val="none" w:sz="0" w:space="0" w:color="auto"/>
        <w:bottom w:val="none" w:sz="0" w:space="0" w:color="auto"/>
        <w:right w:val="none" w:sz="0" w:space="0" w:color="auto"/>
      </w:divBdr>
    </w:div>
    <w:div w:id="823592485">
      <w:marLeft w:val="0"/>
      <w:marRight w:val="0"/>
      <w:marTop w:val="0"/>
      <w:marBottom w:val="0"/>
      <w:divBdr>
        <w:top w:val="none" w:sz="0" w:space="0" w:color="auto"/>
        <w:left w:val="none" w:sz="0" w:space="0" w:color="auto"/>
        <w:bottom w:val="none" w:sz="0" w:space="0" w:color="auto"/>
        <w:right w:val="none" w:sz="0" w:space="0" w:color="auto"/>
      </w:divBdr>
    </w:div>
    <w:div w:id="823592486">
      <w:marLeft w:val="0"/>
      <w:marRight w:val="0"/>
      <w:marTop w:val="0"/>
      <w:marBottom w:val="0"/>
      <w:divBdr>
        <w:top w:val="none" w:sz="0" w:space="0" w:color="auto"/>
        <w:left w:val="none" w:sz="0" w:space="0" w:color="auto"/>
        <w:bottom w:val="none" w:sz="0" w:space="0" w:color="auto"/>
        <w:right w:val="none" w:sz="0" w:space="0" w:color="auto"/>
      </w:divBdr>
    </w:div>
    <w:div w:id="823592487">
      <w:marLeft w:val="0"/>
      <w:marRight w:val="0"/>
      <w:marTop w:val="0"/>
      <w:marBottom w:val="0"/>
      <w:divBdr>
        <w:top w:val="none" w:sz="0" w:space="0" w:color="auto"/>
        <w:left w:val="none" w:sz="0" w:space="0" w:color="auto"/>
        <w:bottom w:val="none" w:sz="0" w:space="0" w:color="auto"/>
        <w:right w:val="none" w:sz="0" w:space="0" w:color="auto"/>
      </w:divBdr>
    </w:div>
    <w:div w:id="823592488">
      <w:marLeft w:val="0"/>
      <w:marRight w:val="0"/>
      <w:marTop w:val="0"/>
      <w:marBottom w:val="0"/>
      <w:divBdr>
        <w:top w:val="none" w:sz="0" w:space="0" w:color="auto"/>
        <w:left w:val="none" w:sz="0" w:space="0" w:color="auto"/>
        <w:bottom w:val="none" w:sz="0" w:space="0" w:color="auto"/>
        <w:right w:val="none" w:sz="0" w:space="0" w:color="auto"/>
      </w:divBdr>
    </w:div>
    <w:div w:id="823592489">
      <w:marLeft w:val="0"/>
      <w:marRight w:val="0"/>
      <w:marTop w:val="0"/>
      <w:marBottom w:val="0"/>
      <w:divBdr>
        <w:top w:val="none" w:sz="0" w:space="0" w:color="auto"/>
        <w:left w:val="none" w:sz="0" w:space="0" w:color="auto"/>
        <w:bottom w:val="none" w:sz="0" w:space="0" w:color="auto"/>
        <w:right w:val="none" w:sz="0" w:space="0" w:color="auto"/>
      </w:divBdr>
    </w:div>
    <w:div w:id="823592490">
      <w:marLeft w:val="0"/>
      <w:marRight w:val="0"/>
      <w:marTop w:val="0"/>
      <w:marBottom w:val="0"/>
      <w:divBdr>
        <w:top w:val="none" w:sz="0" w:space="0" w:color="auto"/>
        <w:left w:val="none" w:sz="0" w:space="0" w:color="auto"/>
        <w:bottom w:val="none" w:sz="0" w:space="0" w:color="auto"/>
        <w:right w:val="none" w:sz="0" w:space="0" w:color="auto"/>
      </w:divBdr>
    </w:div>
    <w:div w:id="823592491">
      <w:marLeft w:val="0"/>
      <w:marRight w:val="0"/>
      <w:marTop w:val="0"/>
      <w:marBottom w:val="0"/>
      <w:divBdr>
        <w:top w:val="none" w:sz="0" w:space="0" w:color="auto"/>
        <w:left w:val="none" w:sz="0" w:space="0" w:color="auto"/>
        <w:bottom w:val="none" w:sz="0" w:space="0" w:color="auto"/>
        <w:right w:val="none" w:sz="0" w:space="0" w:color="auto"/>
      </w:divBdr>
    </w:div>
    <w:div w:id="823592492">
      <w:marLeft w:val="0"/>
      <w:marRight w:val="0"/>
      <w:marTop w:val="0"/>
      <w:marBottom w:val="0"/>
      <w:divBdr>
        <w:top w:val="none" w:sz="0" w:space="0" w:color="auto"/>
        <w:left w:val="none" w:sz="0" w:space="0" w:color="auto"/>
        <w:bottom w:val="none" w:sz="0" w:space="0" w:color="auto"/>
        <w:right w:val="none" w:sz="0" w:space="0" w:color="auto"/>
      </w:divBdr>
    </w:div>
    <w:div w:id="823592493">
      <w:marLeft w:val="0"/>
      <w:marRight w:val="0"/>
      <w:marTop w:val="0"/>
      <w:marBottom w:val="0"/>
      <w:divBdr>
        <w:top w:val="none" w:sz="0" w:space="0" w:color="auto"/>
        <w:left w:val="none" w:sz="0" w:space="0" w:color="auto"/>
        <w:bottom w:val="none" w:sz="0" w:space="0" w:color="auto"/>
        <w:right w:val="none" w:sz="0" w:space="0" w:color="auto"/>
      </w:divBdr>
    </w:div>
    <w:div w:id="823592494">
      <w:marLeft w:val="0"/>
      <w:marRight w:val="0"/>
      <w:marTop w:val="0"/>
      <w:marBottom w:val="0"/>
      <w:divBdr>
        <w:top w:val="none" w:sz="0" w:space="0" w:color="auto"/>
        <w:left w:val="none" w:sz="0" w:space="0" w:color="auto"/>
        <w:bottom w:val="none" w:sz="0" w:space="0" w:color="auto"/>
        <w:right w:val="none" w:sz="0" w:space="0" w:color="auto"/>
      </w:divBdr>
    </w:div>
    <w:div w:id="823592495">
      <w:marLeft w:val="0"/>
      <w:marRight w:val="0"/>
      <w:marTop w:val="0"/>
      <w:marBottom w:val="0"/>
      <w:divBdr>
        <w:top w:val="none" w:sz="0" w:space="0" w:color="auto"/>
        <w:left w:val="none" w:sz="0" w:space="0" w:color="auto"/>
        <w:bottom w:val="none" w:sz="0" w:space="0" w:color="auto"/>
        <w:right w:val="none" w:sz="0" w:space="0" w:color="auto"/>
      </w:divBdr>
    </w:div>
    <w:div w:id="823592496">
      <w:marLeft w:val="0"/>
      <w:marRight w:val="0"/>
      <w:marTop w:val="0"/>
      <w:marBottom w:val="0"/>
      <w:divBdr>
        <w:top w:val="none" w:sz="0" w:space="0" w:color="auto"/>
        <w:left w:val="none" w:sz="0" w:space="0" w:color="auto"/>
        <w:bottom w:val="none" w:sz="0" w:space="0" w:color="auto"/>
        <w:right w:val="none" w:sz="0" w:space="0" w:color="auto"/>
      </w:divBdr>
    </w:div>
    <w:div w:id="823592497">
      <w:marLeft w:val="0"/>
      <w:marRight w:val="0"/>
      <w:marTop w:val="0"/>
      <w:marBottom w:val="0"/>
      <w:divBdr>
        <w:top w:val="none" w:sz="0" w:space="0" w:color="auto"/>
        <w:left w:val="none" w:sz="0" w:space="0" w:color="auto"/>
        <w:bottom w:val="none" w:sz="0" w:space="0" w:color="auto"/>
        <w:right w:val="none" w:sz="0" w:space="0" w:color="auto"/>
      </w:divBdr>
    </w:div>
    <w:div w:id="823592498">
      <w:marLeft w:val="0"/>
      <w:marRight w:val="0"/>
      <w:marTop w:val="0"/>
      <w:marBottom w:val="0"/>
      <w:divBdr>
        <w:top w:val="none" w:sz="0" w:space="0" w:color="auto"/>
        <w:left w:val="none" w:sz="0" w:space="0" w:color="auto"/>
        <w:bottom w:val="none" w:sz="0" w:space="0" w:color="auto"/>
        <w:right w:val="none" w:sz="0" w:space="0" w:color="auto"/>
      </w:divBdr>
    </w:div>
    <w:div w:id="823592499">
      <w:marLeft w:val="0"/>
      <w:marRight w:val="0"/>
      <w:marTop w:val="0"/>
      <w:marBottom w:val="0"/>
      <w:divBdr>
        <w:top w:val="none" w:sz="0" w:space="0" w:color="auto"/>
        <w:left w:val="none" w:sz="0" w:space="0" w:color="auto"/>
        <w:bottom w:val="none" w:sz="0" w:space="0" w:color="auto"/>
        <w:right w:val="none" w:sz="0" w:space="0" w:color="auto"/>
      </w:divBdr>
    </w:div>
    <w:div w:id="823592500">
      <w:marLeft w:val="0"/>
      <w:marRight w:val="0"/>
      <w:marTop w:val="0"/>
      <w:marBottom w:val="0"/>
      <w:divBdr>
        <w:top w:val="none" w:sz="0" w:space="0" w:color="auto"/>
        <w:left w:val="none" w:sz="0" w:space="0" w:color="auto"/>
        <w:bottom w:val="none" w:sz="0" w:space="0" w:color="auto"/>
        <w:right w:val="none" w:sz="0" w:space="0" w:color="auto"/>
      </w:divBdr>
    </w:div>
    <w:div w:id="823592501">
      <w:marLeft w:val="0"/>
      <w:marRight w:val="0"/>
      <w:marTop w:val="0"/>
      <w:marBottom w:val="0"/>
      <w:divBdr>
        <w:top w:val="none" w:sz="0" w:space="0" w:color="auto"/>
        <w:left w:val="none" w:sz="0" w:space="0" w:color="auto"/>
        <w:bottom w:val="none" w:sz="0" w:space="0" w:color="auto"/>
        <w:right w:val="none" w:sz="0" w:space="0" w:color="auto"/>
      </w:divBdr>
    </w:div>
    <w:div w:id="823592502">
      <w:marLeft w:val="0"/>
      <w:marRight w:val="0"/>
      <w:marTop w:val="0"/>
      <w:marBottom w:val="0"/>
      <w:divBdr>
        <w:top w:val="none" w:sz="0" w:space="0" w:color="auto"/>
        <w:left w:val="none" w:sz="0" w:space="0" w:color="auto"/>
        <w:bottom w:val="none" w:sz="0" w:space="0" w:color="auto"/>
        <w:right w:val="none" w:sz="0" w:space="0" w:color="auto"/>
      </w:divBdr>
    </w:div>
    <w:div w:id="823592503">
      <w:marLeft w:val="0"/>
      <w:marRight w:val="0"/>
      <w:marTop w:val="0"/>
      <w:marBottom w:val="0"/>
      <w:divBdr>
        <w:top w:val="none" w:sz="0" w:space="0" w:color="auto"/>
        <w:left w:val="none" w:sz="0" w:space="0" w:color="auto"/>
        <w:bottom w:val="none" w:sz="0" w:space="0" w:color="auto"/>
        <w:right w:val="none" w:sz="0" w:space="0" w:color="auto"/>
      </w:divBdr>
    </w:div>
    <w:div w:id="823592504">
      <w:marLeft w:val="0"/>
      <w:marRight w:val="0"/>
      <w:marTop w:val="0"/>
      <w:marBottom w:val="0"/>
      <w:divBdr>
        <w:top w:val="none" w:sz="0" w:space="0" w:color="auto"/>
        <w:left w:val="none" w:sz="0" w:space="0" w:color="auto"/>
        <w:bottom w:val="none" w:sz="0" w:space="0" w:color="auto"/>
        <w:right w:val="none" w:sz="0" w:space="0" w:color="auto"/>
      </w:divBdr>
    </w:div>
    <w:div w:id="823592505">
      <w:marLeft w:val="0"/>
      <w:marRight w:val="0"/>
      <w:marTop w:val="0"/>
      <w:marBottom w:val="0"/>
      <w:divBdr>
        <w:top w:val="none" w:sz="0" w:space="0" w:color="auto"/>
        <w:left w:val="none" w:sz="0" w:space="0" w:color="auto"/>
        <w:bottom w:val="none" w:sz="0" w:space="0" w:color="auto"/>
        <w:right w:val="none" w:sz="0" w:space="0" w:color="auto"/>
      </w:divBdr>
    </w:div>
    <w:div w:id="823592506">
      <w:marLeft w:val="0"/>
      <w:marRight w:val="0"/>
      <w:marTop w:val="0"/>
      <w:marBottom w:val="0"/>
      <w:divBdr>
        <w:top w:val="none" w:sz="0" w:space="0" w:color="auto"/>
        <w:left w:val="none" w:sz="0" w:space="0" w:color="auto"/>
        <w:bottom w:val="none" w:sz="0" w:space="0" w:color="auto"/>
        <w:right w:val="none" w:sz="0" w:space="0" w:color="auto"/>
      </w:divBdr>
    </w:div>
    <w:div w:id="823592507">
      <w:marLeft w:val="0"/>
      <w:marRight w:val="0"/>
      <w:marTop w:val="0"/>
      <w:marBottom w:val="0"/>
      <w:divBdr>
        <w:top w:val="none" w:sz="0" w:space="0" w:color="auto"/>
        <w:left w:val="none" w:sz="0" w:space="0" w:color="auto"/>
        <w:bottom w:val="none" w:sz="0" w:space="0" w:color="auto"/>
        <w:right w:val="none" w:sz="0" w:space="0" w:color="auto"/>
      </w:divBdr>
    </w:div>
    <w:div w:id="823592508">
      <w:marLeft w:val="0"/>
      <w:marRight w:val="0"/>
      <w:marTop w:val="0"/>
      <w:marBottom w:val="0"/>
      <w:divBdr>
        <w:top w:val="none" w:sz="0" w:space="0" w:color="auto"/>
        <w:left w:val="none" w:sz="0" w:space="0" w:color="auto"/>
        <w:bottom w:val="none" w:sz="0" w:space="0" w:color="auto"/>
        <w:right w:val="none" w:sz="0" w:space="0" w:color="auto"/>
      </w:divBdr>
    </w:div>
    <w:div w:id="823592509">
      <w:marLeft w:val="0"/>
      <w:marRight w:val="0"/>
      <w:marTop w:val="0"/>
      <w:marBottom w:val="0"/>
      <w:divBdr>
        <w:top w:val="none" w:sz="0" w:space="0" w:color="auto"/>
        <w:left w:val="none" w:sz="0" w:space="0" w:color="auto"/>
        <w:bottom w:val="none" w:sz="0" w:space="0" w:color="auto"/>
        <w:right w:val="none" w:sz="0" w:space="0" w:color="auto"/>
      </w:divBdr>
    </w:div>
    <w:div w:id="823592510">
      <w:marLeft w:val="0"/>
      <w:marRight w:val="0"/>
      <w:marTop w:val="0"/>
      <w:marBottom w:val="0"/>
      <w:divBdr>
        <w:top w:val="none" w:sz="0" w:space="0" w:color="auto"/>
        <w:left w:val="none" w:sz="0" w:space="0" w:color="auto"/>
        <w:bottom w:val="none" w:sz="0" w:space="0" w:color="auto"/>
        <w:right w:val="none" w:sz="0" w:space="0" w:color="auto"/>
      </w:divBdr>
    </w:div>
    <w:div w:id="823592511">
      <w:marLeft w:val="0"/>
      <w:marRight w:val="0"/>
      <w:marTop w:val="0"/>
      <w:marBottom w:val="0"/>
      <w:divBdr>
        <w:top w:val="none" w:sz="0" w:space="0" w:color="auto"/>
        <w:left w:val="none" w:sz="0" w:space="0" w:color="auto"/>
        <w:bottom w:val="none" w:sz="0" w:space="0" w:color="auto"/>
        <w:right w:val="none" w:sz="0" w:space="0" w:color="auto"/>
      </w:divBdr>
    </w:div>
    <w:div w:id="823592512">
      <w:marLeft w:val="0"/>
      <w:marRight w:val="0"/>
      <w:marTop w:val="0"/>
      <w:marBottom w:val="0"/>
      <w:divBdr>
        <w:top w:val="none" w:sz="0" w:space="0" w:color="auto"/>
        <w:left w:val="none" w:sz="0" w:space="0" w:color="auto"/>
        <w:bottom w:val="none" w:sz="0" w:space="0" w:color="auto"/>
        <w:right w:val="none" w:sz="0" w:space="0" w:color="auto"/>
      </w:divBdr>
    </w:div>
    <w:div w:id="823592513">
      <w:marLeft w:val="0"/>
      <w:marRight w:val="0"/>
      <w:marTop w:val="0"/>
      <w:marBottom w:val="0"/>
      <w:divBdr>
        <w:top w:val="none" w:sz="0" w:space="0" w:color="auto"/>
        <w:left w:val="none" w:sz="0" w:space="0" w:color="auto"/>
        <w:bottom w:val="none" w:sz="0" w:space="0" w:color="auto"/>
        <w:right w:val="none" w:sz="0" w:space="0" w:color="auto"/>
      </w:divBdr>
    </w:div>
    <w:div w:id="823592514">
      <w:marLeft w:val="0"/>
      <w:marRight w:val="0"/>
      <w:marTop w:val="0"/>
      <w:marBottom w:val="0"/>
      <w:divBdr>
        <w:top w:val="none" w:sz="0" w:space="0" w:color="auto"/>
        <w:left w:val="none" w:sz="0" w:space="0" w:color="auto"/>
        <w:bottom w:val="none" w:sz="0" w:space="0" w:color="auto"/>
        <w:right w:val="none" w:sz="0" w:space="0" w:color="auto"/>
      </w:divBdr>
    </w:div>
    <w:div w:id="823592515">
      <w:marLeft w:val="0"/>
      <w:marRight w:val="0"/>
      <w:marTop w:val="0"/>
      <w:marBottom w:val="0"/>
      <w:divBdr>
        <w:top w:val="none" w:sz="0" w:space="0" w:color="auto"/>
        <w:left w:val="none" w:sz="0" w:space="0" w:color="auto"/>
        <w:bottom w:val="none" w:sz="0" w:space="0" w:color="auto"/>
        <w:right w:val="none" w:sz="0" w:space="0" w:color="auto"/>
      </w:divBdr>
    </w:div>
    <w:div w:id="823592516">
      <w:marLeft w:val="0"/>
      <w:marRight w:val="0"/>
      <w:marTop w:val="0"/>
      <w:marBottom w:val="0"/>
      <w:divBdr>
        <w:top w:val="none" w:sz="0" w:space="0" w:color="auto"/>
        <w:left w:val="none" w:sz="0" w:space="0" w:color="auto"/>
        <w:bottom w:val="none" w:sz="0" w:space="0" w:color="auto"/>
        <w:right w:val="none" w:sz="0" w:space="0" w:color="auto"/>
      </w:divBdr>
    </w:div>
    <w:div w:id="823592517">
      <w:marLeft w:val="0"/>
      <w:marRight w:val="0"/>
      <w:marTop w:val="0"/>
      <w:marBottom w:val="0"/>
      <w:divBdr>
        <w:top w:val="none" w:sz="0" w:space="0" w:color="auto"/>
        <w:left w:val="none" w:sz="0" w:space="0" w:color="auto"/>
        <w:bottom w:val="none" w:sz="0" w:space="0" w:color="auto"/>
        <w:right w:val="none" w:sz="0" w:space="0" w:color="auto"/>
      </w:divBdr>
    </w:div>
    <w:div w:id="823592518">
      <w:marLeft w:val="0"/>
      <w:marRight w:val="0"/>
      <w:marTop w:val="0"/>
      <w:marBottom w:val="0"/>
      <w:divBdr>
        <w:top w:val="none" w:sz="0" w:space="0" w:color="auto"/>
        <w:left w:val="none" w:sz="0" w:space="0" w:color="auto"/>
        <w:bottom w:val="none" w:sz="0" w:space="0" w:color="auto"/>
        <w:right w:val="none" w:sz="0" w:space="0" w:color="auto"/>
      </w:divBdr>
    </w:div>
    <w:div w:id="823592519">
      <w:marLeft w:val="0"/>
      <w:marRight w:val="0"/>
      <w:marTop w:val="0"/>
      <w:marBottom w:val="0"/>
      <w:divBdr>
        <w:top w:val="none" w:sz="0" w:space="0" w:color="auto"/>
        <w:left w:val="none" w:sz="0" w:space="0" w:color="auto"/>
        <w:bottom w:val="none" w:sz="0" w:space="0" w:color="auto"/>
        <w:right w:val="none" w:sz="0" w:space="0" w:color="auto"/>
      </w:divBdr>
    </w:div>
    <w:div w:id="823592520">
      <w:marLeft w:val="0"/>
      <w:marRight w:val="0"/>
      <w:marTop w:val="0"/>
      <w:marBottom w:val="0"/>
      <w:divBdr>
        <w:top w:val="none" w:sz="0" w:space="0" w:color="auto"/>
        <w:left w:val="none" w:sz="0" w:space="0" w:color="auto"/>
        <w:bottom w:val="none" w:sz="0" w:space="0" w:color="auto"/>
        <w:right w:val="none" w:sz="0" w:space="0" w:color="auto"/>
      </w:divBdr>
    </w:div>
    <w:div w:id="823592521">
      <w:marLeft w:val="0"/>
      <w:marRight w:val="0"/>
      <w:marTop w:val="0"/>
      <w:marBottom w:val="0"/>
      <w:divBdr>
        <w:top w:val="none" w:sz="0" w:space="0" w:color="auto"/>
        <w:left w:val="none" w:sz="0" w:space="0" w:color="auto"/>
        <w:bottom w:val="none" w:sz="0" w:space="0" w:color="auto"/>
        <w:right w:val="none" w:sz="0" w:space="0" w:color="auto"/>
      </w:divBdr>
    </w:div>
    <w:div w:id="823592522">
      <w:marLeft w:val="0"/>
      <w:marRight w:val="0"/>
      <w:marTop w:val="0"/>
      <w:marBottom w:val="0"/>
      <w:divBdr>
        <w:top w:val="none" w:sz="0" w:space="0" w:color="auto"/>
        <w:left w:val="none" w:sz="0" w:space="0" w:color="auto"/>
        <w:bottom w:val="none" w:sz="0" w:space="0" w:color="auto"/>
        <w:right w:val="none" w:sz="0" w:space="0" w:color="auto"/>
      </w:divBdr>
    </w:div>
    <w:div w:id="823592523">
      <w:marLeft w:val="0"/>
      <w:marRight w:val="0"/>
      <w:marTop w:val="0"/>
      <w:marBottom w:val="0"/>
      <w:divBdr>
        <w:top w:val="none" w:sz="0" w:space="0" w:color="auto"/>
        <w:left w:val="none" w:sz="0" w:space="0" w:color="auto"/>
        <w:bottom w:val="none" w:sz="0" w:space="0" w:color="auto"/>
        <w:right w:val="none" w:sz="0" w:space="0" w:color="auto"/>
      </w:divBdr>
    </w:div>
    <w:div w:id="823592524">
      <w:marLeft w:val="0"/>
      <w:marRight w:val="0"/>
      <w:marTop w:val="0"/>
      <w:marBottom w:val="0"/>
      <w:divBdr>
        <w:top w:val="none" w:sz="0" w:space="0" w:color="auto"/>
        <w:left w:val="none" w:sz="0" w:space="0" w:color="auto"/>
        <w:bottom w:val="none" w:sz="0" w:space="0" w:color="auto"/>
        <w:right w:val="none" w:sz="0" w:space="0" w:color="auto"/>
      </w:divBdr>
    </w:div>
    <w:div w:id="823592525">
      <w:marLeft w:val="0"/>
      <w:marRight w:val="0"/>
      <w:marTop w:val="0"/>
      <w:marBottom w:val="0"/>
      <w:divBdr>
        <w:top w:val="none" w:sz="0" w:space="0" w:color="auto"/>
        <w:left w:val="none" w:sz="0" w:space="0" w:color="auto"/>
        <w:bottom w:val="none" w:sz="0" w:space="0" w:color="auto"/>
        <w:right w:val="none" w:sz="0" w:space="0" w:color="auto"/>
      </w:divBdr>
    </w:div>
    <w:div w:id="823592526">
      <w:marLeft w:val="0"/>
      <w:marRight w:val="0"/>
      <w:marTop w:val="0"/>
      <w:marBottom w:val="0"/>
      <w:divBdr>
        <w:top w:val="none" w:sz="0" w:space="0" w:color="auto"/>
        <w:left w:val="none" w:sz="0" w:space="0" w:color="auto"/>
        <w:bottom w:val="none" w:sz="0" w:space="0" w:color="auto"/>
        <w:right w:val="none" w:sz="0" w:space="0" w:color="auto"/>
      </w:divBdr>
    </w:div>
    <w:div w:id="823592527">
      <w:marLeft w:val="0"/>
      <w:marRight w:val="0"/>
      <w:marTop w:val="0"/>
      <w:marBottom w:val="0"/>
      <w:divBdr>
        <w:top w:val="none" w:sz="0" w:space="0" w:color="auto"/>
        <w:left w:val="none" w:sz="0" w:space="0" w:color="auto"/>
        <w:bottom w:val="none" w:sz="0" w:space="0" w:color="auto"/>
        <w:right w:val="none" w:sz="0" w:space="0" w:color="auto"/>
      </w:divBdr>
    </w:div>
    <w:div w:id="823592528">
      <w:marLeft w:val="0"/>
      <w:marRight w:val="0"/>
      <w:marTop w:val="0"/>
      <w:marBottom w:val="0"/>
      <w:divBdr>
        <w:top w:val="none" w:sz="0" w:space="0" w:color="auto"/>
        <w:left w:val="none" w:sz="0" w:space="0" w:color="auto"/>
        <w:bottom w:val="none" w:sz="0" w:space="0" w:color="auto"/>
        <w:right w:val="none" w:sz="0" w:space="0" w:color="auto"/>
      </w:divBdr>
    </w:div>
    <w:div w:id="823592529">
      <w:marLeft w:val="0"/>
      <w:marRight w:val="0"/>
      <w:marTop w:val="0"/>
      <w:marBottom w:val="0"/>
      <w:divBdr>
        <w:top w:val="none" w:sz="0" w:space="0" w:color="auto"/>
        <w:left w:val="none" w:sz="0" w:space="0" w:color="auto"/>
        <w:bottom w:val="none" w:sz="0" w:space="0" w:color="auto"/>
        <w:right w:val="none" w:sz="0" w:space="0" w:color="auto"/>
      </w:divBdr>
    </w:div>
    <w:div w:id="823592530">
      <w:marLeft w:val="0"/>
      <w:marRight w:val="0"/>
      <w:marTop w:val="0"/>
      <w:marBottom w:val="0"/>
      <w:divBdr>
        <w:top w:val="none" w:sz="0" w:space="0" w:color="auto"/>
        <w:left w:val="none" w:sz="0" w:space="0" w:color="auto"/>
        <w:bottom w:val="none" w:sz="0" w:space="0" w:color="auto"/>
        <w:right w:val="none" w:sz="0" w:space="0" w:color="auto"/>
      </w:divBdr>
    </w:div>
    <w:div w:id="823592531">
      <w:marLeft w:val="0"/>
      <w:marRight w:val="0"/>
      <w:marTop w:val="0"/>
      <w:marBottom w:val="0"/>
      <w:divBdr>
        <w:top w:val="none" w:sz="0" w:space="0" w:color="auto"/>
        <w:left w:val="none" w:sz="0" w:space="0" w:color="auto"/>
        <w:bottom w:val="none" w:sz="0" w:space="0" w:color="auto"/>
        <w:right w:val="none" w:sz="0" w:space="0" w:color="auto"/>
      </w:divBdr>
    </w:div>
    <w:div w:id="823592532">
      <w:marLeft w:val="0"/>
      <w:marRight w:val="0"/>
      <w:marTop w:val="0"/>
      <w:marBottom w:val="0"/>
      <w:divBdr>
        <w:top w:val="none" w:sz="0" w:space="0" w:color="auto"/>
        <w:left w:val="none" w:sz="0" w:space="0" w:color="auto"/>
        <w:bottom w:val="none" w:sz="0" w:space="0" w:color="auto"/>
        <w:right w:val="none" w:sz="0" w:space="0" w:color="auto"/>
      </w:divBdr>
    </w:div>
    <w:div w:id="823592533">
      <w:marLeft w:val="0"/>
      <w:marRight w:val="0"/>
      <w:marTop w:val="0"/>
      <w:marBottom w:val="0"/>
      <w:divBdr>
        <w:top w:val="none" w:sz="0" w:space="0" w:color="auto"/>
        <w:left w:val="none" w:sz="0" w:space="0" w:color="auto"/>
        <w:bottom w:val="none" w:sz="0" w:space="0" w:color="auto"/>
        <w:right w:val="none" w:sz="0" w:space="0" w:color="auto"/>
      </w:divBdr>
    </w:div>
    <w:div w:id="823592534">
      <w:marLeft w:val="0"/>
      <w:marRight w:val="0"/>
      <w:marTop w:val="0"/>
      <w:marBottom w:val="0"/>
      <w:divBdr>
        <w:top w:val="none" w:sz="0" w:space="0" w:color="auto"/>
        <w:left w:val="none" w:sz="0" w:space="0" w:color="auto"/>
        <w:bottom w:val="none" w:sz="0" w:space="0" w:color="auto"/>
        <w:right w:val="none" w:sz="0" w:space="0" w:color="auto"/>
      </w:divBdr>
    </w:div>
    <w:div w:id="823592535">
      <w:marLeft w:val="0"/>
      <w:marRight w:val="0"/>
      <w:marTop w:val="0"/>
      <w:marBottom w:val="0"/>
      <w:divBdr>
        <w:top w:val="none" w:sz="0" w:space="0" w:color="auto"/>
        <w:left w:val="none" w:sz="0" w:space="0" w:color="auto"/>
        <w:bottom w:val="none" w:sz="0" w:space="0" w:color="auto"/>
        <w:right w:val="none" w:sz="0" w:space="0" w:color="auto"/>
      </w:divBdr>
    </w:div>
    <w:div w:id="823592536">
      <w:marLeft w:val="0"/>
      <w:marRight w:val="0"/>
      <w:marTop w:val="0"/>
      <w:marBottom w:val="0"/>
      <w:divBdr>
        <w:top w:val="none" w:sz="0" w:space="0" w:color="auto"/>
        <w:left w:val="none" w:sz="0" w:space="0" w:color="auto"/>
        <w:bottom w:val="none" w:sz="0" w:space="0" w:color="auto"/>
        <w:right w:val="none" w:sz="0" w:space="0" w:color="auto"/>
      </w:divBdr>
    </w:div>
    <w:div w:id="823592537">
      <w:marLeft w:val="0"/>
      <w:marRight w:val="0"/>
      <w:marTop w:val="0"/>
      <w:marBottom w:val="0"/>
      <w:divBdr>
        <w:top w:val="none" w:sz="0" w:space="0" w:color="auto"/>
        <w:left w:val="none" w:sz="0" w:space="0" w:color="auto"/>
        <w:bottom w:val="none" w:sz="0" w:space="0" w:color="auto"/>
        <w:right w:val="none" w:sz="0" w:space="0" w:color="auto"/>
      </w:divBdr>
    </w:div>
    <w:div w:id="823592538">
      <w:marLeft w:val="0"/>
      <w:marRight w:val="0"/>
      <w:marTop w:val="0"/>
      <w:marBottom w:val="0"/>
      <w:divBdr>
        <w:top w:val="none" w:sz="0" w:space="0" w:color="auto"/>
        <w:left w:val="none" w:sz="0" w:space="0" w:color="auto"/>
        <w:bottom w:val="none" w:sz="0" w:space="0" w:color="auto"/>
        <w:right w:val="none" w:sz="0" w:space="0" w:color="auto"/>
      </w:divBdr>
    </w:div>
    <w:div w:id="823592539">
      <w:marLeft w:val="0"/>
      <w:marRight w:val="0"/>
      <w:marTop w:val="0"/>
      <w:marBottom w:val="0"/>
      <w:divBdr>
        <w:top w:val="none" w:sz="0" w:space="0" w:color="auto"/>
        <w:left w:val="none" w:sz="0" w:space="0" w:color="auto"/>
        <w:bottom w:val="none" w:sz="0" w:space="0" w:color="auto"/>
        <w:right w:val="none" w:sz="0" w:space="0" w:color="auto"/>
      </w:divBdr>
    </w:div>
    <w:div w:id="823592540">
      <w:marLeft w:val="0"/>
      <w:marRight w:val="0"/>
      <w:marTop w:val="0"/>
      <w:marBottom w:val="0"/>
      <w:divBdr>
        <w:top w:val="none" w:sz="0" w:space="0" w:color="auto"/>
        <w:left w:val="none" w:sz="0" w:space="0" w:color="auto"/>
        <w:bottom w:val="none" w:sz="0" w:space="0" w:color="auto"/>
        <w:right w:val="none" w:sz="0" w:space="0" w:color="auto"/>
      </w:divBdr>
    </w:div>
    <w:div w:id="823592541">
      <w:marLeft w:val="0"/>
      <w:marRight w:val="0"/>
      <w:marTop w:val="0"/>
      <w:marBottom w:val="0"/>
      <w:divBdr>
        <w:top w:val="none" w:sz="0" w:space="0" w:color="auto"/>
        <w:left w:val="none" w:sz="0" w:space="0" w:color="auto"/>
        <w:bottom w:val="none" w:sz="0" w:space="0" w:color="auto"/>
        <w:right w:val="none" w:sz="0" w:space="0" w:color="auto"/>
      </w:divBdr>
    </w:div>
    <w:div w:id="823592542">
      <w:marLeft w:val="0"/>
      <w:marRight w:val="0"/>
      <w:marTop w:val="0"/>
      <w:marBottom w:val="0"/>
      <w:divBdr>
        <w:top w:val="none" w:sz="0" w:space="0" w:color="auto"/>
        <w:left w:val="none" w:sz="0" w:space="0" w:color="auto"/>
        <w:bottom w:val="none" w:sz="0" w:space="0" w:color="auto"/>
        <w:right w:val="none" w:sz="0" w:space="0" w:color="auto"/>
      </w:divBdr>
    </w:div>
    <w:div w:id="823592543">
      <w:marLeft w:val="0"/>
      <w:marRight w:val="0"/>
      <w:marTop w:val="0"/>
      <w:marBottom w:val="0"/>
      <w:divBdr>
        <w:top w:val="none" w:sz="0" w:space="0" w:color="auto"/>
        <w:left w:val="none" w:sz="0" w:space="0" w:color="auto"/>
        <w:bottom w:val="none" w:sz="0" w:space="0" w:color="auto"/>
        <w:right w:val="none" w:sz="0" w:space="0" w:color="auto"/>
      </w:divBdr>
    </w:div>
    <w:div w:id="823592544">
      <w:marLeft w:val="0"/>
      <w:marRight w:val="0"/>
      <w:marTop w:val="0"/>
      <w:marBottom w:val="0"/>
      <w:divBdr>
        <w:top w:val="none" w:sz="0" w:space="0" w:color="auto"/>
        <w:left w:val="none" w:sz="0" w:space="0" w:color="auto"/>
        <w:bottom w:val="none" w:sz="0" w:space="0" w:color="auto"/>
        <w:right w:val="none" w:sz="0" w:space="0" w:color="auto"/>
      </w:divBdr>
    </w:div>
    <w:div w:id="823592545">
      <w:marLeft w:val="0"/>
      <w:marRight w:val="0"/>
      <w:marTop w:val="0"/>
      <w:marBottom w:val="0"/>
      <w:divBdr>
        <w:top w:val="none" w:sz="0" w:space="0" w:color="auto"/>
        <w:left w:val="none" w:sz="0" w:space="0" w:color="auto"/>
        <w:bottom w:val="none" w:sz="0" w:space="0" w:color="auto"/>
        <w:right w:val="none" w:sz="0" w:space="0" w:color="auto"/>
      </w:divBdr>
    </w:div>
    <w:div w:id="823592546">
      <w:marLeft w:val="0"/>
      <w:marRight w:val="0"/>
      <w:marTop w:val="0"/>
      <w:marBottom w:val="0"/>
      <w:divBdr>
        <w:top w:val="none" w:sz="0" w:space="0" w:color="auto"/>
        <w:left w:val="none" w:sz="0" w:space="0" w:color="auto"/>
        <w:bottom w:val="none" w:sz="0" w:space="0" w:color="auto"/>
        <w:right w:val="none" w:sz="0" w:space="0" w:color="auto"/>
      </w:divBdr>
    </w:div>
    <w:div w:id="823592547">
      <w:marLeft w:val="0"/>
      <w:marRight w:val="0"/>
      <w:marTop w:val="0"/>
      <w:marBottom w:val="0"/>
      <w:divBdr>
        <w:top w:val="none" w:sz="0" w:space="0" w:color="auto"/>
        <w:left w:val="none" w:sz="0" w:space="0" w:color="auto"/>
        <w:bottom w:val="none" w:sz="0" w:space="0" w:color="auto"/>
        <w:right w:val="none" w:sz="0" w:space="0" w:color="auto"/>
      </w:divBdr>
    </w:div>
    <w:div w:id="823592548">
      <w:marLeft w:val="0"/>
      <w:marRight w:val="0"/>
      <w:marTop w:val="0"/>
      <w:marBottom w:val="0"/>
      <w:divBdr>
        <w:top w:val="none" w:sz="0" w:space="0" w:color="auto"/>
        <w:left w:val="none" w:sz="0" w:space="0" w:color="auto"/>
        <w:bottom w:val="none" w:sz="0" w:space="0" w:color="auto"/>
        <w:right w:val="none" w:sz="0" w:space="0" w:color="auto"/>
      </w:divBdr>
    </w:div>
    <w:div w:id="823592549">
      <w:marLeft w:val="0"/>
      <w:marRight w:val="0"/>
      <w:marTop w:val="0"/>
      <w:marBottom w:val="0"/>
      <w:divBdr>
        <w:top w:val="none" w:sz="0" w:space="0" w:color="auto"/>
        <w:left w:val="none" w:sz="0" w:space="0" w:color="auto"/>
        <w:bottom w:val="none" w:sz="0" w:space="0" w:color="auto"/>
        <w:right w:val="none" w:sz="0" w:space="0" w:color="auto"/>
      </w:divBdr>
    </w:div>
    <w:div w:id="823592550">
      <w:marLeft w:val="0"/>
      <w:marRight w:val="0"/>
      <w:marTop w:val="0"/>
      <w:marBottom w:val="0"/>
      <w:divBdr>
        <w:top w:val="none" w:sz="0" w:space="0" w:color="auto"/>
        <w:left w:val="none" w:sz="0" w:space="0" w:color="auto"/>
        <w:bottom w:val="none" w:sz="0" w:space="0" w:color="auto"/>
        <w:right w:val="none" w:sz="0" w:space="0" w:color="auto"/>
      </w:divBdr>
    </w:div>
    <w:div w:id="823592551">
      <w:marLeft w:val="0"/>
      <w:marRight w:val="0"/>
      <w:marTop w:val="0"/>
      <w:marBottom w:val="0"/>
      <w:divBdr>
        <w:top w:val="none" w:sz="0" w:space="0" w:color="auto"/>
        <w:left w:val="none" w:sz="0" w:space="0" w:color="auto"/>
        <w:bottom w:val="none" w:sz="0" w:space="0" w:color="auto"/>
        <w:right w:val="none" w:sz="0" w:space="0" w:color="auto"/>
      </w:divBdr>
    </w:div>
    <w:div w:id="823592552">
      <w:marLeft w:val="0"/>
      <w:marRight w:val="0"/>
      <w:marTop w:val="0"/>
      <w:marBottom w:val="0"/>
      <w:divBdr>
        <w:top w:val="none" w:sz="0" w:space="0" w:color="auto"/>
        <w:left w:val="none" w:sz="0" w:space="0" w:color="auto"/>
        <w:bottom w:val="none" w:sz="0" w:space="0" w:color="auto"/>
        <w:right w:val="none" w:sz="0" w:space="0" w:color="auto"/>
      </w:divBdr>
    </w:div>
    <w:div w:id="823592553">
      <w:marLeft w:val="0"/>
      <w:marRight w:val="0"/>
      <w:marTop w:val="0"/>
      <w:marBottom w:val="0"/>
      <w:divBdr>
        <w:top w:val="none" w:sz="0" w:space="0" w:color="auto"/>
        <w:left w:val="none" w:sz="0" w:space="0" w:color="auto"/>
        <w:bottom w:val="none" w:sz="0" w:space="0" w:color="auto"/>
        <w:right w:val="none" w:sz="0" w:space="0" w:color="auto"/>
      </w:divBdr>
    </w:div>
    <w:div w:id="823592554">
      <w:marLeft w:val="0"/>
      <w:marRight w:val="0"/>
      <w:marTop w:val="0"/>
      <w:marBottom w:val="0"/>
      <w:divBdr>
        <w:top w:val="none" w:sz="0" w:space="0" w:color="auto"/>
        <w:left w:val="none" w:sz="0" w:space="0" w:color="auto"/>
        <w:bottom w:val="none" w:sz="0" w:space="0" w:color="auto"/>
        <w:right w:val="none" w:sz="0" w:space="0" w:color="auto"/>
      </w:divBdr>
    </w:div>
    <w:div w:id="823592555">
      <w:marLeft w:val="0"/>
      <w:marRight w:val="0"/>
      <w:marTop w:val="0"/>
      <w:marBottom w:val="0"/>
      <w:divBdr>
        <w:top w:val="none" w:sz="0" w:space="0" w:color="auto"/>
        <w:left w:val="none" w:sz="0" w:space="0" w:color="auto"/>
        <w:bottom w:val="none" w:sz="0" w:space="0" w:color="auto"/>
        <w:right w:val="none" w:sz="0" w:space="0" w:color="auto"/>
      </w:divBdr>
    </w:div>
    <w:div w:id="823592556">
      <w:marLeft w:val="0"/>
      <w:marRight w:val="0"/>
      <w:marTop w:val="0"/>
      <w:marBottom w:val="0"/>
      <w:divBdr>
        <w:top w:val="none" w:sz="0" w:space="0" w:color="auto"/>
        <w:left w:val="none" w:sz="0" w:space="0" w:color="auto"/>
        <w:bottom w:val="none" w:sz="0" w:space="0" w:color="auto"/>
        <w:right w:val="none" w:sz="0" w:space="0" w:color="auto"/>
      </w:divBdr>
    </w:div>
    <w:div w:id="823592557">
      <w:marLeft w:val="0"/>
      <w:marRight w:val="0"/>
      <w:marTop w:val="0"/>
      <w:marBottom w:val="0"/>
      <w:divBdr>
        <w:top w:val="none" w:sz="0" w:space="0" w:color="auto"/>
        <w:left w:val="none" w:sz="0" w:space="0" w:color="auto"/>
        <w:bottom w:val="none" w:sz="0" w:space="0" w:color="auto"/>
        <w:right w:val="none" w:sz="0" w:space="0" w:color="auto"/>
      </w:divBdr>
    </w:div>
    <w:div w:id="823592558">
      <w:marLeft w:val="0"/>
      <w:marRight w:val="0"/>
      <w:marTop w:val="0"/>
      <w:marBottom w:val="0"/>
      <w:divBdr>
        <w:top w:val="none" w:sz="0" w:space="0" w:color="auto"/>
        <w:left w:val="none" w:sz="0" w:space="0" w:color="auto"/>
        <w:bottom w:val="none" w:sz="0" w:space="0" w:color="auto"/>
        <w:right w:val="none" w:sz="0" w:space="0" w:color="auto"/>
      </w:divBdr>
    </w:div>
    <w:div w:id="823592559">
      <w:marLeft w:val="0"/>
      <w:marRight w:val="0"/>
      <w:marTop w:val="0"/>
      <w:marBottom w:val="0"/>
      <w:divBdr>
        <w:top w:val="none" w:sz="0" w:space="0" w:color="auto"/>
        <w:left w:val="none" w:sz="0" w:space="0" w:color="auto"/>
        <w:bottom w:val="none" w:sz="0" w:space="0" w:color="auto"/>
        <w:right w:val="none" w:sz="0" w:space="0" w:color="auto"/>
      </w:divBdr>
    </w:div>
    <w:div w:id="823592560">
      <w:marLeft w:val="0"/>
      <w:marRight w:val="0"/>
      <w:marTop w:val="0"/>
      <w:marBottom w:val="0"/>
      <w:divBdr>
        <w:top w:val="none" w:sz="0" w:space="0" w:color="auto"/>
        <w:left w:val="none" w:sz="0" w:space="0" w:color="auto"/>
        <w:bottom w:val="none" w:sz="0" w:space="0" w:color="auto"/>
        <w:right w:val="none" w:sz="0" w:space="0" w:color="auto"/>
      </w:divBdr>
    </w:div>
    <w:div w:id="823592561">
      <w:marLeft w:val="0"/>
      <w:marRight w:val="0"/>
      <w:marTop w:val="0"/>
      <w:marBottom w:val="0"/>
      <w:divBdr>
        <w:top w:val="none" w:sz="0" w:space="0" w:color="auto"/>
        <w:left w:val="none" w:sz="0" w:space="0" w:color="auto"/>
        <w:bottom w:val="none" w:sz="0" w:space="0" w:color="auto"/>
        <w:right w:val="none" w:sz="0" w:space="0" w:color="auto"/>
      </w:divBdr>
    </w:div>
    <w:div w:id="823592562">
      <w:marLeft w:val="0"/>
      <w:marRight w:val="0"/>
      <w:marTop w:val="0"/>
      <w:marBottom w:val="0"/>
      <w:divBdr>
        <w:top w:val="none" w:sz="0" w:space="0" w:color="auto"/>
        <w:left w:val="none" w:sz="0" w:space="0" w:color="auto"/>
        <w:bottom w:val="none" w:sz="0" w:space="0" w:color="auto"/>
        <w:right w:val="none" w:sz="0" w:space="0" w:color="auto"/>
      </w:divBdr>
    </w:div>
    <w:div w:id="823592563">
      <w:marLeft w:val="0"/>
      <w:marRight w:val="0"/>
      <w:marTop w:val="0"/>
      <w:marBottom w:val="0"/>
      <w:divBdr>
        <w:top w:val="none" w:sz="0" w:space="0" w:color="auto"/>
        <w:left w:val="none" w:sz="0" w:space="0" w:color="auto"/>
        <w:bottom w:val="none" w:sz="0" w:space="0" w:color="auto"/>
        <w:right w:val="none" w:sz="0" w:space="0" w:color="auto"/>
      </w:divBdr>
    </w:div>
    <w:div w:id="823592564">
      <w:marLeft w:val="0"/>
      <w:marRight w:val="0"/>
      <w:marTop w:val="0"/>
      <w:marBottom w:val="0"/>
      <w:divBdr>
        <w:top w:val="none" w:sz="0" w:space="0" w:color="auto"/>
        <w:left w:val="none" w:sz="0" w:space="0" w:color="auto"/>
        <w:bottom w:val="none" w:sz="0" w:space="0" w:color="auto"/>
        <w:right w:val="none" w:sz="0" w:space="0" w:color="auto"/>
      </w:divBdr>
    </w:div>
    <w:div w:id="823592565">
      <w:marLeft w:val="0"/>
      <w:marRight w:val="0"/>
      <w:marTop w:val="0"/>
      <w:marBottom w:val="0"/>
      <w:divBdr>
        <w:top w:val="none" w:sz="0" w:space="0" w:color="auto"/>
        <w:left w:val="none" w:sz="0" w:space="0" w:color="auto"/>
        <w:bottom w:val="none" w:sz="0" w:space="0" w:color="auto"/>
        <w:right w:val="none" w:sz="0" w:space="0" w:color="auto"/>
      </w:divBdr>
    </w:div>
    <w:div w:id="823592566">
      <w:marLeft w:val="0"/>
      <w:marRight w:val="0"/>
      <w:marTop w:val="0"/>
      <w:marBottom w:val="0"/>
      <w:divBdr>
        <w:top w:val="none" w:sz="0" w:space="0" w:color="auto"/>
        <w:left w:val="none" w:sz="0" w:space="0" w:color="auto"/>
        <w:bottom w:val="none" w:sz="0" w:space="0" w:color="auto"/>
        <w:right w:val="none" w:sz="0" w:space="0" w:color="auto"/>
      </w:divBdr>
    </w:div>
    <w:div w:id="823592567">
      <w:marLeft w:val="0"/>
      <w:marRight w:val="0"/>
      <w:marTop w:val="0"/>
      <w:marBottom w:val="0"/>
      <w:divBdr>
        <w:top w:val="none" w:sz="0" w:space="0" w:color="auto"/>
        <w:left w:val="none" w:sz="0" w:space="0" w:color="auto"/>
        <w:bottom w:val="none" w:sz="0" w:space="0" w:color="auto"/>
        <w:right w:val="none" w:sz="0" w:space="0" w:color="auto"/>
      </w:divBdr>
    </w:div>
    <w:div w:id="823592568">
      <w:marLeft w:val="0"/>
      <w:marRight w:val="0"/>
      <w:marTop w:val="0"/>
      <w:marBottom w:val="0"/>
      <w:divBdr>
        <w:top w:val="none" w:sz="0" w:space="0" w:color="auto"/>
        <w:left w:val="none" w:sz="0" w:space="0" w:color="auto"/>
        <w:bottom w:val="none" w:sz="0" w:space="0" w:color="auto"/>
        <w:right w:val="none" w:sz="0" w:space="0" w:color="auto"/>
      </w:divBdr>
    </w:div>
    <w:div w:id="823592569">
      <w:marLeft w:val="0"/>
      <w:marRight w:val="0"/>
      <w:marTop w:val="0"/>
      <w:marBottom w:val="0"/>
      <w:divBdr>
        <w:top w:val="none" w:sz="0" w:space="0" w:color="auto"/>
        <w:left w:val="none" w:sz="0" w:space="0" w:color="auto"/>
        <w:bottom w:val="none" w:sz="0" w:space="0" w:color="auto"/>
        <w:right w:val="none" w:sz="0" w:space="0" w:color="auto"/>
      </w:divBdr>
    </w:div>
    <w:div w:id="823592570">
      <w:marLeft w:val="0"/>
      <w:marRight w:val="0"/>
      <w:marTop w:val="0"/>
      <w:marBottom w:val="0"/>
      <w:divBdr>
        <w:top w:val="none" w:sz="0" w:space="0" w:color="auto"/>
        <w:left w:val="none" w:sz="0" w:space="0" w:color="auto"/>
        <w:bottom w:val="none" w:sz="0" w:space="0" w:color="auto"/>
        <w:right w:val="none" w:sz="0" w:space="0" w:color="auto"/>
      </w:divBdr>
    </w:div>
    <w:div w:id="823592571">
      <w:marLeft w:val="0"/>
      <w:marRight w:val="0"/>
      <w:marTop w:val="0"/>
      <w:marBottom w:val="0"/>
      <w:divBdr>
        <w:top w:val="none" w:sz="0" w:space="0" w:color="auto"/>
        <w:left w:val="none" w:sz="0" w:space="0" w:color="auto"/>
        <w:bottom w:val="none" w:sz="0" w:space="0" w:color="auto"/>
        <w:right w:val="none" w:sz="0" w:space="0" w:color="auto"/>
      </w:divBdr>
    </w:div>
    <w:div w:id="823592572">
      <w:marLeft w:val="0"/>
      <w:marRight w:val="0"/>
      <w:marTop w:val="0"/>
      <w:marBottom w:val="0"/>
      <w:divBdr>
        <w:top w:val="none" w:sz="0" w:space="0" w:color="auto"/>
        <w:left w:val="none" w:sz="0" w:space="0" w:color="auto"/>
        <w:bottom w:val="none" w:sz="0" w:space="0" w:color="auto"/>
        <w:right w:val="none" w:sz="0" w:space="0" w:color="auto"/>
      </w:divBdr>
    </w:div>
    <w:div w:id="823592573">
      <w:marLeft w:val="0"/>
      <w:marRight w:val="0"/>
      <w:marTop w:val="0"/>
      <w:marBottom w:val="0"/>
      <w:divBdr>
        <w:top w:val="none" w:sz="0" w:space="0" w:color="auto"/>
        <w:left w:val="none" w:sz="0" w:space="0" w:color="auto"/>
        <w:bottom w:val="none" w:sz="0" w:space="0" w:color="auto"/>
        <w:right w:val="none" w:sz="0" w:space="0" w:color="auto"/>
      </w:divBdr>
    </w:div>
    <w:div w:id="823592574">
      <w:marLeft w:val="0"/>
      <w:marRight w:val="0"/>
      <w:marTop w:val="0"/>
      <w:marBottom w:val="0"/>
      <w:divBdr>
        <w:top w:val="none" w:sz="0" w:space="0" w:color="auto"/>
        <w:left w:val="none" w:sz="0" w:space="0" w:color="auto"/>
        <w:bottom w:val="none" w:sz="0" w:space="0" w:color="auto"/>
        <w:right w:val="none" w:sz="0" w:space="0" w:color="auto"/>
      </w:divBdr>
    </w:div>
    <w:div w:id="823592575">
      <w:marLeft w:val="0"/>
      <w:marRight w:val="0"/>
      <w:marTop w:val="0"/>
      <w:marBottom w:val="0"/>
      <w:divBdr>
        <w:top w:val="none" w:sz="0" w:space="0" w:color="auto"/>
        <w:left w:val="none" w:sz="0" w:space="0" w:color="auto"/>
        <w:bottom w:val="none" w:sz="0" w:space="0" w:color="auto"/>
        <w:right w:val="none" w:sz="0" w:space="0" w:color="auto"/>
      </w:divBdr>
    </w:div>
    <w:div w:id="823592576">
      <w:marLeft w:val="0"/>
      <w:marRight w:val="0"/>
      <w:marTop w:val="0"/>
      <w:marBottom w:val="0"/>
      <w:divBdr>
        <w:top w:val="none" w:sz="0" w:space="0" w:color="auto"/>
        <w:left w:val="none" w:sz="0" w:space="0" w:color="auto"/>
        <w:bottom w:val="none" w:sz="0" w:space="0" w:color="auto"/>
        <w:right w:val="none" w:sz="0" w:space="0" w:color="auto"/>
      </w:divBdr>
    </w:div>
    <w:div w:id="823592577">
      <w:marLeft w:val="0"/>
      <w:marRight w:val="0"/>
      <w:marTop w:val="0"/>
      <w:marBottom w:val="0"/>
      <w:divBdr>
        <w:top w:val="none" w:sz="0" w:space="0" w:color="auto"/>
        <w:left w:val="none" w:sz="0" w:space="0" w:color="auto"/>
        <w:bottom w:val="none" w:sz="0" w:space="0" w:color="auto"/>
        <w:right w:val="none" w:sz="0" w:space="0" w:color="auto"/>
      </w:divBdr>
    </w:div>
    <w:div w:id="823592578">
      <w:marLeft w:val="0"/>
      <w:marRight w:val="0"/>
      <w:marTop w:val="0"/>
      <w:marBottom w:val="0"/>
      <w:divBdr>
        <w:top w:val="none" w:sz="0" w:space="0" w:color="auto"/>
        <w:left w:val="none" w:sz="0" w:space="0" w:color="auto"/>
        <w:bottom w:val="none" w:sz="0" w:space="0" w:color="auto"/>
        <w:right w:val="none" w:sz="0" w:space="0" w:color="auto"/>
      </w:divBdr>
    </w:div>
    <w:div w:id="823592579">
      <w:marLeft w:val="0"/>
      <w:marRight w:val="0"/>
      <w:marTop w:val="0"/>
      <w:marBottom w:val="0"/>
      <w:divBdr>
        <w:top w:val="none" w:sz="0" w:space="0" w:color="auto"/>
        <w:left w:val="none" w:sz="0" w:space="0" w:color="auto"/>
        <w:bottom w:val="none" w:sz="0" w:space="0" w:color="auto"/>
        <w:right w:val="none" w:sz="0" w:space="0" w:color="auto"/>
      </w:divBdr>
    </w:div>
    <w:div w:id="823592580">
      <w:marLeft w:val="0"/>
      <w:marRight w:val="0"/>
      <w:marTop w:val="0"/>
      <w:marBottom w:val="0"/>
      <w:divBdr>
        <w:top w:val="none" w:sz="0" w:space="0" w:color="auto"/>
        <w:left w:val="none" w:sz="0" w:space="0" w:color="auto"/>
        <w:bottom w:val="none" w:sz="0" w:space="0" w:color="auto"/>
        <w:right w:val="none" w:sz="0" w:space="0" w:color="auto"/>
      </w:divBdr>
    </w:div>
    <w:div w:id="823592581">
      <w:marLeft w:val="0"/>
      <w:marRight w:val="0"/>
      <w:marTop w:val="0"/>
      <w:marBottom w:val="0"/>
      <w:divBdr>
        <w:top w:val="none" w:sz="0" w:space="0" w:color="auto"/>
        <w:left w:val="none" w:sz="0" w:space="0" w:color="auto"/>
        <w:bottom w:val="none" w:sz="0" w:space="0" w:color="auto"/>
        <w:right w:val="none" w:sz="0" w:space="0" w:color="auto"/>
      </w:divBdr>
    </w:div>
    <w:div w:id="823592582">
      <w:marLeft w:val="0"/>
      <w:marRight w:val="0"/>
      <w:marTop w:val="0"/>
      <w:marBottom w:val="0"/>
      <w:divBdr>
        <w:top w:val="none" w:sz="0" w:space="0" w:color="auto"/>
        <w:left w:val="none" w:sz="0" w:space="0" w:color="auto"/>
        <w:bottom w:val="none" w:sz="0" w:space="0" w:color="auto"/>
        <w:right w:val="none" w:sz="0" w:space="0" w:color="auto"/>
      </w:divBdr>
    </w:div>
    <w:div w:id="823592583">
      <w:marLeft w:val="0"/>
      <w:marRight w:val="0"/>
      <w:marTop w:val="0"/>
      <w:marBottom w:val="0"/>
      <w:divBdr>
        <w:top w:val="none" w:sz="0" w:space="0" w:color="auto"/>
        <w:left w:val="none" w:sz="0" w:space="0" w:color="auto"/>
        <w:bottom w:val="none" w:sz="0" w:space="0" w:color="auto"/>
        <w:right w:val="none" w:sz="0" w:space="0" w:color="auto"/>
      </w:divBdr>
    </w:div>
    <w:div w:id="823592584">
      <w:marLeft w:val="0"/>
      <w:marRight w:val="0"/>
      <w:marTop w:val="0"/>
      <w:marBottom w:val="0"/>
      <w:divBdr>
        <w:top w:val="none" w:sz="0" w:space="0" w:color="auto"/>
        <w:left w:val="none" w:sz="0" w:space="0" w:color="auto"/>
        <w:bottom w:val="none" w:sz="0" w:space="0" w:color="auto"/>
        <w:right w:val="none" w:sz="0" w:space="0" w:color="auto"/>
      </w:divBdr>
    </w:div>
    <w:div w:id="823592585">
      <w:marLeft w:val="0"/>
      <w:marRight w:val="0"/>
      <w:marTop w:val="0"/>
      <w:marBottom w:val="0"/>
      <w:divBdr>
        <w:top w:val="none" w:sz="0" w:space="0" w:color="auto"/>
        <w:left w:val="none" w:sz="0" w:space="0" w:color="auto"/>
        <w:bottom w:val="none" w:sz="0" w:space="0" w:color="auto"/>
        <w:right w:val="none" w:sz="0" w:space="0" w:color="auto"/>
      </w:divBdr>
    </w:div>
    <w:div w:id="823592586">
      <w:marLeft w:val="0"/>
      <w:marRight w:val="0"/>
      <w:marTop w:val="0"/>
      <w:marBottom w:val="0"/>
      <w:divBdr>
        <w:top w:val="none" w:sz="0" w:space="0" w:color="auto"/>
        <w:left w:val="none" w:sz="0" w:space="0" w:color="auto"/>
        <w:bottom w:val="none" w:sz="0" w:space="0" w:color="auto"/>
        <w:right w:val="none" w:sz="0" w:space="0" w:color="auto"/>
      </w:divBdr>
    </w:div>
    <w:div w:id="823592587">
      <w:marLeft w:val="0"/>
      <w:marRight w:val="0"/>
      <w:marTop w:val="0"/>
      <w:marBottom w:val="0"/>
      <w:divBdr>
        <w:top w:val="none" w:sz="0" w:space="0" w:color="auto"/>
        <w:left w:val="none" w:sz="0" w:space="0" w:color="auto"/>
        <w:bottom w:val="none" w:sz="0" w:space="0" w:color="auto"/>
        <w:right w:val="none" w:sz="0" w:space="0" w:color="auto"/>
      </w:divBdr>
    </w:div>
    <w:div w:id="823592588">
      <w:marLeft w:val="0"/>
      <w:marRight w:val="0"/>
      <w:marTop w:val="0"/>
      <w:marBottom w:val="0"/>
      <w:divBdr>
        <w:top w:val="none" w:sz="0" w:space="0" w:color="auto"/>
        <w:left w:val="none" w:sz="0" w:space="0" w:color="auto"/>
        <w:bottom w:val="none" w:sz="0" w:space="0" w:color="auto"/>
        <w:right w:val="none" w:sz="0" w:space="0" w:color="auto"/>
      </w:divBdr>
    </w:div>
    <w:div w:id="823592589">
      <w:marLeft w:val="0"/>
      <w:marRight w:val="0"/>
      <w:marTop w:val="0"/>
      <w:marBottom w:val="0"/>
      <w:divBdr>
        <w:top w:val="none" w:sz="0" w:space="0" w:color="auto"/>
        <w:left w:val="none" w:sz="0" w:space="0" w:color="auto"/>
        <w:bottom w:val="none" w:sz="0" w:space="0" w:color="auto"/>
        <w:right w:val="none" w:sz="0" w:space="0" w:color="auto"/>
      </w:divBdr>
    </w:div>
    <w:div w:id="823592590">
      <w:marLeft w:val="0"/>
      <w:marRight w:val="0"/>
      <w:marTop w:val="0"/>
      <w:marBottom w:val="0"/>
      <w:divBdr>
        <w:top w:val="none" w:sz="0" w:space="0" w:color="auto"/>
        <w:left w:val="none" w:sz="0" w:space="0" w:color="auto"/>
        <w:bottom w:val="none" w:sz="0" w:space="0" w:color="auto"/>
        <w:right w:val="none" w:sz="0" w:space="0" w:color="auto"/>
      </w:divBdr>
    </w:div>
    <w:div w:id="823592591">
      <w:marLeft w:val="0"/>
      <w:marRight w:val="0"/>
      <w:marTop w:val="0"/>
      <w:marBottom w:val="0"/>
      <w:divBdr>
        <w:top w:val="none" w:sz="0" w:space="0" w:color="auto"/>
        <w:left w:val="none" w:sz="0" w:space="0" w:color="auto"/>
        <w:bottom w:val="none" w:sz="0" w:space="0" w:color="auto"/>
        <w:right w:val="none" w:sz="0" w:space="0" w:color="auto"/>
      </w:divBdr>
    </w:div>
    <w:div w:id="823592592">
      <w:marLeft w:val="0"/>
      <w:marRight w:val="0"/>
      <w:marTop w:val="0"/>
      <w:marBottom w:val="0"/>
      <w:divBdr>
        <w:top w:val="none" w:sz="0" w:space="0" w:color="auto"/>
        <w:left w:val="none" w:sz="0" w:space="0" w:color="auto"/>
        <w:bottom w:val="none" w:sz="0" w:space="0" w:color="auto"/>
        <w:right w:val="none" w:sz="0" w:space="0" w:color="auto"/>
      </w:divBdr>
    </w:div>
    <w:div w:id="823592593">
      <w:marLeft w:val="0"/>
      <w:marRight w:val="0"/>
      <w:marTop w:val="0"/>
      <w:marBottom w:val="0"/>
      <w:divBdr>
        <w:top w:val="none" w:sz="0" w:space="0" w:color="auto"/>
        <w:left w:val="none" w:sz="0" w:space="0" w:color="auto"/>
        <w:bottom w:val="none" w:sz="0" w:space="0" w:color="auto"/>
        <w:right w:val="none" w:sz="0" w:space="0" w:color="auto"/>
      </w:divBdr>
    </w:div>
    <w:div w:id="823592594">
      <w:marLeft w:val="0"/>
      <w:marRight w:val="0"/>
      <w:marTop w:val="0"/>
      <w:marBottom w:val="0"/>
      <w:divBdr>
        <w:top w:val="none" w:sz="0" w:space="0" w:color="auto"/>
        <w:left w:val="none" w:sz="0" w:space="0" w:color="auto"/>
        <w:bottom w:val="none" w:sz="0" w:space="0" w:color="auto"/>
        <w:right w:val="none" w:sz="0" w:space="0" w:color="auto"/>
      </w:divBdr>
    </w:div>
    <w:div w:id="823592595">
      <w:marLeft w:val="0"/>
      <w:marRight w:val="0"/>
      <w:marTop w:val="0"/>
      <w:marBottom w:val="0"/>
      <w:divBdr>
        <w:top w:val="none" w:sz="0" w:space="0" w:color="auto"/>
        <w:left w:val="none" w:sz="0" w:space="0" w:color="auto"/>
        <w:bottom w:val="none" w:sz="0" w:space="0" w:color="auto"/>
        <w:right w:val="none" w:sz="0" w:space="0" w:color="auto"/>
      </w:divBdr>
    </w:div>
    <w:div w:id="823592596">
      <w:marLeft w:val="0"/>
      <w:marRight w:val="0"/>
      <w:marTop w:val="0"/>
      <w:marBottom w:val="0"/>
      <w:divBdr>
        <w:top w:val="none" w:sz="0" w:space="0" w:color="auto"/>
        <w:left w:val="none" w:sz="0" w:space="0" w:color="auto"/>
        <w:bottom w:val="none" w:sz="0" w:space="0" w:color="auto"/>
        <w:right w:val="none" w:sz="0" w:space="0" w:color="auto"/>
      </w:divBdr>
    </w:div>
    <w:div w:id="823592597">
      <w:marLeft w:val="0"/>
      <w:marRight w:val="0"/>
      <w:marTop w:val="0"/>
      <w:marBottom w:val="0"/>
      <w:divBdr>
        <w:top w:val="none" w:sz="0" w:space="0" w:color="auto"/>
        <w:left w:val="none" w:sz="0" w:space="0" w:color="auto"/>
        <w:bottom w:val="none" w:sz="0" w:space="0" w:color="auto"/>
        <w:right w:val="none" w:sz="0" w:space="0" w:color="auto"/>
      </w:divBdr>
    </w:div>
    <w:div w:id="823592598">
      <w:marLeft w:val="0"/>
      <w:marRight w:val="0"/>
      <w:marTop w:val="0"/>
      <w:marBottom w:val="0"/>
      <w:divBdr>
        <w:top w:val="none" w:sz="0" w:space="0" w:color="auto"/>
        <w:left w:val="none" w:sz="0" w:space="0" w:color="auto"/>
        <w:bottom w:val="none" w:sz="0" w:space="0" w:color="auto"/>
        <w:right w:val="none" w:sz="0" w:space="0" w:color="auto"/>
      </w:divBdr>
    </w:div>
    <w:div w:id="823592599">
      <w:marLeft w:val="0"/>
      <w:marRight w:val="0"/>
      <w:marTop w:val="0"/>
      <w:marBottom w:val="0"/>
      <w:divBdr>
        <w:top w:val="none" w:sz="0" w:space="0" w:color="auto"/>
        <w:left w:val="none" w:sz="0" w:space="0" w:color="auto"/>
        <w:bottom w:val="none" w:sz="0" w:space="0" w:color="auto"/>
        <w:right w:val="none" w:sz="0" w:space="0" w:color="auto"/>
      </w:divBdr>
    </w:div>
    <w:div w:id="823592600">
      <w:marLeft w:val="0"/>
      <w:marRight w:val="0"/>
      <w:marTop w:val="0"/>
      <w:marBottom w:val="0"/>
      <w:divBdr>
        <w:top w:val="none" w:sz="0" w:space="0" w:color="auto"/>
        <w:left w:val="none" w:sz="0" w:space="0" w:color="auto"/>
        <w:bottom w:val="none" w:sz="0" w:space="0" w:color="auto"/>
        <w:right w:val="none" w:sz="0" w:space="0" w:color="auto"/>
      </w:divBdr>
    </w:div>
    <w:div w:id="823592601">
      <w:marLeft w:val="0"/>
      <w:marRight w:val="0"/>
      <w:marTop w:val="0"/>
      <w:marBottom w:val="0"/>
      <w:divBdr>
        <w:top w:val="none" w:sz="0" w:space="0" w:color="auto"/>
        <w:left w:val="none" w:sz="0" w:space="0" w:color="auto"/>
        <w:bottom w:val="none" w:sz="0" w:space="0" w:color="auto"/>
        <w:right w:val="none" w:sz="0" w:space="0" w:color="auto"/>
      </w:divBdr>
    </w:div>
    <w:div w:id="823592602">
      <w:marLeft w:val="0"/>
      <w:marRight w:val="0"/>
      <w:marTop w:val="0"/>
      <w:marBottom w:val="0"/>
      <w:divBdr>
        <w:top w:val="none" w:sz="0" w:space="0" w:color="auto"/>
        <w:left w:val="none" w:sz="0" w:space="0" w:color="auto"/>
        <w:bottom w:val="none" w:sz="0" w:space="0" w:color="auto"/>
        <w:right w:val="none" w:sz="0" w:space="0" w:color="auto"/>
      </w:divBdr>
    </w:div>
    <w:div w:id="823592603">
      <w:marLeft w:val="0"/>
      <w:marRight w:val="0"/>
      <w:marTop w:val="0"/>
      <w:marBottom w:val="0"/>
      <w:divBdr>
        <w:top w:val="none" w:sz="0" w:space="0" w:color="auto"/>
        <w:left w:val="none" w:sz="0" w:space="0" w:color="auto"/>
        <w:bottom w:val="none" w:sz="0" w:space="0" w:color="auto"/>
        <w:right w:val="none" w:sz="0" w:space="0" w:color="auto"/>
      </w:divBdr>
    </w:div>
    <w:div w:id="823592604">
      <w:marLeft w:val="0"/>
      <w:marRight w:val="0"/>
      <w:marTop w:val="0"/>
      <w:marBottom w:val="0"/>
      <w:divBdr>
        <w:top w:val="none" w:sz="0" w:space="0" w:color="auto"/>
        <w:left w:val="none" w:sz="0" w:space="0" w:color="auto"/>
        <w:bottom w:val="none" w:sz="0" w:space="0" w:color="auto"/>
        <w:right w:val="none" w:sz="0" w:space="0" w:color="auto"/>
      </w:divBdr>
    </w:div>
    <w:div w:id="823592605">
      <w:marLeft w:val="0"/>
      <w:marRight w:val="0"/>
      <w:marTop w:val="0"/>
      <w:marBottom w:val="0"/>
      <w:divBdr>
        <w:top w:val="none" w:sz="0" w:space="0" w:color="auto"/>
        <w:left w:val="none" w:sz="0" w:space="0" w:color="auto"/>
        <w:bottom w:val="none" w:sz="0" w:space="0" w:color="auto"/>
        <w:right w:val="none" w:sz="0" w:space="0" w:color="auto"/>
      </w:divBdr>
    </w:div>
    <w:div w:id="823592606">
      <w:marLeft w:val="0"/>
      <w:marRight w:val="0"/>
      <w:marTop w:val="0"/>
      <w:marBottom w:val="0"/>
      <w:divBdr>
        <w:top w:val="none" w:sz="0" w:space="0" w:color="auto"/>
        <w:left w:val="none" w:sz="0" w:space="0" w:color="auto"/>
        <w:bottom w:val="none" w:sz="0" w:space="0" w:color="auto"/>
        <w:right w:val="none" w:sz="0" w:space="0" w:color="auto"/>
      </w:divBdr>
    </w:div>
    <w:div w:id="823592607">
      <w:marLeft w:val="0"/>
      <w:marRight w:val="0"/>
      <w:marTop w:val="0"/>
      <w:marBottom w:val="0"/>
      <w:divBdr>
        <w:top w:val="none" w:sz="0" w:space="0" w:color="auto"/>
        <w:left w:val="none" w:sz="0" w:space="0" w:color="auto"/>
        <w:bottom w:val="none" w:sz="0" w:space="0" w:color="auto"/>
        <w:right w:val="none" w:sz="0" w:space="0" w:color="auto"/>
      </w:divBdr>
    </w:div>
    <w:div w:id="823592608">
      <w:marLeft w:val="0"/>
      <w:marRight w:val="0"/>
      <w:marTop w:val="0"/>
      <w:marBottom w:val="0"/>
      <w:divBdr>
        <w:top w:val="none" w:sz="0" w:space="0" w:color="auto"/>
        <w:left w:val="none" w:sz="0" w:space="0" w:color="auto"/>
        <w:bottom w:val="none" w:sz="0" w:space="0" w:color="auto"/>
        <w:right w:val="none" w:sz="0" w:space="0" w:color="auto"/>
      </w:divBdr>
    </w:div>
    <w:div w:id="823592609">
      <w:marLeft w:val="0"/>
      <w:marRight w:val="0"/>
      <w:marTop w:val="0"/>
      <w:marBottom w:val="0"/>
      <w:divBdr>
        <w:top w:val="none" w:sz="0" w:space="0" w:color="auto"/>
        <w:left w:val="none" w:sz="0" w:space="0" w:color="auto"/>
        <w:bottom w:val="none" w:sz="0" w:space="0" w:color="auto"/>
        <w:right w:val="none" w:sz="0" w:space="0" w:color="auto"/>
      </w:divBdr>
    </w:div>
    <w:div w:id="823592610">
      <w:marLeft w:val="0"/>
      <w:marRight w:val="0"/>
      <w:marTop w:val="0"/>
      <w:marBottom w:val="0"/>
      <w:divBdr>
        <w:top w:val="none" w:sz="0" w:space="0" w:color="auto"/>
        <w:left w:val="none" w:sz="0" w:space="0" w:color="auto"/>
        <w:bottom w:val="none" w:sz="0" w:space="0" w:color="auto"/>
        <w:right w:val="none" w:sz="0" w:space="0" w:color="auto"/>
      </w:divBdr>
    </w:div>
    <w:div w:id="823592611">
      <w:marLeft w:val="0"/>
      <w:marRight w:val="0"/>
      <w:marTop w:val="0"/>
      <w:marBottom w:val="0"/>
      <w:divBdr>
        <w:top w:val="none" w:sz="0" w:space="0" w:color="auto"/>
        <w:left w:val="none" w:sz="0" w:space="0" w:color="auto"/>
        <w:bottom w:val="none" w:sz="0" w:space="0" w:color="auto"/>
        <w:right w:val="none" w:sz="0" w:space="0" w:color="auto"/>
      </w:divBdr>
    </w:div>
    <w:div w:id="823592612">
      <w:marLeft w:val="0"/>
      <w:marRight w:val="0"/>
      <w:marTop w:val="0"/>
      <w:marBottom w:val="0"/>
      <w:divBdr>
        <w:top w:val="none" w:sz="0" w:space="0" w:color="auto"/>
        <w:left w:val="none" w:sz="0" w:space="0" w:color="auto"/>
        <w:bottom w:val="none" w:sz="0" w:space="0" w:color="auto"/>
        <w:right w:val="none" w:sz="0" w:space="0" w:color="auto"/>
      </w:divBdr>
    </w:div>
    <w:div w:id="823592613">
      <w:marLeft w:val="0"/>
      <w:marRight w:val="0"/>
      <w:marTop w:val="0"/>
      <w:marBottom w:val="0"/>
      <w:divBdr>
        <w:top w:val="none" w:sz="0" w:space="0" w:color="auto"/>
        <w:left w:val="none" w:sz="0" w:space="0" w:color="auto"/>
        <w:bottom w:val="none" w:sz="0" w:space="0" w:color="auto"/>
        <w:right w:val="none" w:sz="0" w:space="0" w:color="auto"/>
      </w:divBdr>
    </w:div>
    <w:div w:id="823592614">
      <w:marLeft w:val="0"/>
      <w:marRight w:val="0"/>
      <w:marTop w:val="0"/>
      <w:marBottom w:val="0"/>
      <w:divBdr>
        <w:top w:val="none" w:sz="0" w:space="0" w:color="auto"/>
        <w:left w:val="none" w:sz="0" w:space="0" w:color="auto"/>
        <w:bottom w:val="none" w:sz="0" w:space="0" w:color="auto"/>
        <w:right w:val="none" w:sz="0" w:space="0" w:color="auto"/>
      </w:divBdr>
    </w:div>
    <w:div w:id="823592615">
      <w:marLeft w:val="0"/>
      <w:marRight w:val="0"/>
      <w:marTop w:val="0"/>
      <w:marBottom w:val="0"/>
      <w:divBdr>
        <w:top w:val="none" w:sz="0" w:space="0" w:color="auto"/>
        <w:left w:val="none" w:sz="0" w:space="0" w:color="auto"/>
        <w:bottom w:val="none" w:sz="0" w:space="0" w:color="auto"/>
        <w:right w:val="none" w:sz="0" w:space="0" w:color="auto"/>
      </w:divBdr>
    </w:div>
    <w:div w:id="823592616">
      <w:marLeft w:val="0"/>
      <w:marRight w:val="0"/>
      <w:marTop w:val="0"/>
      <w:marBottom w:val="0"/>
      <w:divBdr>
        <w:top w:val="none" w:sz="0" w:space="0" w:color="auto"/>
        <w:left w:val="none" w:sz="0" w:space="0" w:color="auto"/>
        <w:bottom w:val="none" w:sz="0" w:space="0" w:color="auto"/>
        <w:right w:val="none" w:sz="0" w:space="0" w:color="auto"/>
      </w:divBdr>
    </w:div>
    <w:div w:id="823592617">
      <w:marLeft w:val="0"/>
      <w:marRight w:val="0"/>
      <w:marTop w:val="0"/>
      <w:marBottom w:val="0"/>
      <w:divBdr>
        <w:top w:val="none" w:sz="0" w:space="0" w:color="auto"/>
        <w:left w:val="none" w:sz="0" w:space="0" w:color="auto"/>
        <w:bottom w:val="none" w:sz="0" w:space="0" w:color="auto"/>
        <w:right w:val="none" w:sz="0" w:space="0" w:color="auto"/>
      </w:divBdr>
    </w:div>
    <w:div w:id="823592618">
      <w:marLeft w:val="0"/>
      <w:marRight w:val="0"/>
      <w:marTop w:val="0"/>
      <w:marBottom w:val="0"/>
      <w:divBdr>
        <w:top w:val="none" w:sz="0" w:space="0" w:color="auto"/>
        <w:left w:val="none" w:sz="0" w:space="0" w:color="auto"/>
        <w:bottom w:val="none" w:sz="0" w:space="0" w:color="auto"/>
        <w:right w:val="none" w:sz="0" w:space="0" w:color="auto"/>
      </w:divBdr>
    </w:div>
    <w:div w:id="823592619">
      <w:marLeft w:val="0"/>
      <w:marRight w:val="0"/>
      <w:marTop w:val="0"/>
      <w:marBottom w:val="0"/>
      <w:divBdr>
        <w:top w:val="none" w:sz="0" w:space="0" w:color="auto"/>
        <w:left w:val="none" w:sz="0" w:space="0" w:color="auto"/>
        <w:bottom w:val="none" w:sz="0" w:space="0" w:color="auto"/>
        <w:right w:val="none" w:sz="0" w:space="0" w:color="auto"/>
      </w:divBdr>
    </w:div>
    <w:div w:id="823592620">
      <w:marLeft w:val="0"/>
      <w:marRight w:val="0"/>
      <w:marTop w:val="0"/>
      <w:marBottom w:val="0"/>
      <w:divBdr>
        <w:top w:val="none" w:sz="0" w:space="0" w:color="auto"/>
        <w:left w:val="none" w:sz="0" w:space="0" w:color="auto"/>
        <w:bottom w:val="none" w:sz="0" w:space="0" w:color="auto"/>
        <w:right w:val="none" w:sz="0" w:space="0" w:color="auto"/>
      </w:divBdr>
    </w:div>
    <w:div w:id="823592621">
      <w:marLeft w:val="0"/>
      <w:marRight w:val="0"/>
      <w:marTop w:val="0"/>
      <w:marBottom w:val="0"/>
      <w:divBdr>
        <w:top w:val="none" w:sz="0" w:space="0" w:color="auto"/>
        <w:left w:val="none" w:sz="0" w:space="0" w:color="auto"/>
        <w:bottom w:val="none" w:sz="0" w:space="0" w:color="auto"/>
        <w:right w:val="none" w:sz="0" w:space="0" w:color="auto"/>
      </w:divBdr>
    </w:div>
    <w:div w:id="823592622">
      <w:marLeft w:val="0"/>
      <w:marRight w:val="0"/>
      <w:marTop w:val="0"/>
      <w:marBottom w:val="0"/>
      <w:divBdr>
        <w:top w:val="none" w:sz="0" w:space="0" w:color="auto"/>
        <w:left w:val="none" w:sz="0" w:space="0" w:color="auto"/>
        <w:bottom w:val="none" w:sz="0" w:space="0" w:color="auto"/>
        <w:right w:val="none" w:sz="0" w:space="0" w:color="auto"/>
      </w:divBdr>
    </w:div>
    <w:div w:id="823592623">
      <w:marLeft w:val="0"/>
      <w:marRight w:val="0"/>
      <w:marTop w:val="0"/>
      <w:marBottom w:val="0"/>
      <w:divBdr>
        <w:top w:val="none" w:sz="0" w:space="0" w:color="auto"/>
        <w:left w:val="none" w:sz="0" w:space="0" w:color="auto"/>
        <w:bottom w:val="none" w:sz="0" w:space="0" w:color="auto"/>
        <w:right w:val="none" w:sz="0" w:space="0" w:color="auto"/>
      </w:divBdr>
    </w:div>
    <w:div w:id="823592624">
      <w:marLeft w:val="0"/>
      <w:marRight w:val="0"/>
      <w:marTop w:val="0"/>
      <w:marBottom w:val="0"/>
      <w:divBdr>
        <w:top w:val="none" w:sz="0" w:space="0" w:color="auto"/>
        <w:left w:val="none" w:sz="0" w:space="0" w:color="auto"/>
        <w:bottom w:val="none" w:sz="0" w:space="0" w:color="auto"/>
        <w:right w:val="none" w:sz="0" w:space="0" w:color="auto"/>
      </w:divBdr>
    </w:div>
    <w:div w:id="823592625">
      <w:marLeft w:val="0"/>
      <w:marRight w:val="0"/>
      <w:marTop w:val="0"/>
      <w:marBottom w:val="0"/>
      <w:divBdr>
        <w:top w:val="none" w:sz="0" w:space="0" w:color="auto"/>
        <w:left w:val="none" w:sz="0" w:space="0" w:color="auto"/>
        <w:bottom w:val="none" w:sz="0" w:space="0" w:color="auto"/>
        <w:right w:val="none" w:sz="0" w:space="0" w:color="auto"/>
      </w:divBdr>
    </w:div>
    <w:div w:id="823592626">
      <w:marLeft w:val="0"/>
      <w:marRight w:val="0"/>
      <w:marTop w:val="0"/>
      <w:marBottom w:val="0"/>
      <w:divBdr>
        <w:top w:val="none" w:sz="0" w:space="0" w:color="auto"/>
        <w:left w:val="none" w:sz="0" w:space="0" w:color="auto"/>
        <w:bottom w:val="none" w:sz="0" w:space="0" w:color="auto"/>
        <w:right w:val="none" w:sz="0" w:space="0" w:color="auto"/>
      </w:divBdr>
    </w:div>
    <w:div w:id="823592627">
      <w:marLeft w:val="0"/>
      <w:marRight w:val="0"/>
      <w:marTop w:val="0"/>
      <w:marBottom w:val="0"/>
      <w:divBdr>
        <w:top w:val="none" w:sz="0" w:space="0" w:color="auto"/>
        <w:left w:val="none" w:sz="0" w:space="0" w:color="auto"/>
        <w:bottom w:val="none" w:sz="0" w:space="0" w:color="auto"/>
        <w:right w:val="none" w:sz="0" w:space="0" w:color="auto"/>
      </w:divBdr>
    </w:div>
    <w:div w:id="823592628">
      <w:marLeft w:val="0"/>
      <w:marRight w:val="0"/>
      <w:marTop w:val="0"/>
      <w:marBottom w:val="0"/>
      <w:divBdr>
        <w:top w:val="none" w:sz="0" w:space="0" w:color="auto"/>
        <w:left w:val="none" w:sz="0" w:space="0" w:color="auto"/>
        <w:bottom w:val="none" w:sz="0" w:space="0" w:color="auto"/>
        <w:right w:val="none" w:sz="0" w:space="0" w:color="auto"/>
      </w:divBdr>
    </w:div>
    <w:div w:id="823592629">
      <w:marLeft w:val="0"/>
      <w:marRight w:val="0"/>
      <w:marTop w:val="0"/>
      <w:marBottom w:val="0"/>
      <w:divBdr>
        <w:top w:val="none" w:sz="0" w:space="0" w:color="auto"/>
        <w:left w:val="none" w:sz="0" w:space="0" w:color="auto"/>
        <w:bottom w:val="none" w:sz="0" w:space="0" w:color="auto"/>
        <w:right w:val="none" w:sz="0" w:space="0" w:color="auto"/>
      </w:divBdr>
    </w:div>
    <w:div w:id="823592630">
      <w:marLeft w:val="0"/>
      <w:marRight w:val="0"/>
      <w:marTop w:val="0"/>
      <w:marBottom w:val="0"/>
      <w:divBdr>
        <w:top w:val="none" w:sz="0" w:space="0" w:color="auto"/>
        <w:left w:val="none" w:sz="0" w:space="0" w:color="auto"/>
        <w:bottom w:val="none" w:sz="0" w:space="0" w:color="auto"/>
        <w:right w:val="none" w:sz="0" w:space="0" w:color="auto"/>
      </w:divBdr>
    </w:div>
    <w:div w:id="823592631">
      <w:marLeft w:val="0"/>
      <w:marRight w:val="0"/>
      <w:marTop w:val="0"/>
      <w:marBottom w:val="0"/>
      <w:divBdr>
        <w:top w:val="none" w:sz="0" w:space="0" w:color="auto"/>
        <w:left w:val="none" w:sz="0" w:space="0" w:color="auto"/>
        <w:bottom w:val="none" w:sz="0" w:space="0" w:color="auto"/>
        <w:right w:val="none" w:sz="0" w:space="0" w:color="auto"/>
      </w:divBdr>
    </w:div>
    <w:div w:id="823592632">
      <w:marLeft w:val="0"/>
      <w:marRight w:val="0"/>
      <w:marTop w:val="0"/>
      <w:marBottom w:val="0"/>
      <w:divBdr>
        <w:top w:val="none" w:sz="0" w:space="0" w:color="auto"/>
        <w:left w:val="none" w:sz="0" w:space="0" w:color="auto"/>
        <w:bottom w:val="none" w:sz="0" w:space="0" w:color="auto"/>
        <w:right w:val="none" w:sz="0" w:space="0" w:color="auto"/>
      </w:divBdr>
    </w:div>
    <w:div w:id="823592633">
      <w:marLeft w:val="0"/>
      <w:marRight w:val="0"/>
      <w:marTop w:val="0"/>
      <w:marBottom w:val="0"/>
      <w:divBdr>
        <w:top w:val="none" w:sz="0" w:space="0" w:color="auto"/>
        <w:left w:val="none" w:sz="0" w:space="0" w:color="auto"/>
        <w:bottom w:val="none" w:sz="0" w:space="0" w:color="auto"/>
        <w:right w:val="none" w:sz="0" w:space="0" w:color="auto"/>
      </w:divBdr>
    </w:div>
    <w:div w:id="823592634">
      <w:marLeft w:val="0"/>
      <w:marRight w:val="0"/>
      <w:marTop w:val="0"/>
      <w:marBottom w:val="0"/>
      <w:divBdr>
        <w:top w:val="none" w:sz="0" w:space="0" w:color="auto"/>
        <w:left w:val="none" w:sz="0" w:space="0" w:color="auto"/>
        <w:bottom w:val="none" w:sz="0" w:space="0" w:color="auto"/>
        <w:right w:val="none" w:sz="0" w:space="0" w:color="auto"/>
      </w:divBdr>
    </w:div>
    <w:div w:id="823592635">
      <w:marLeft w:val="0"/>
      <w:marRight w:val="0"/>
      <w:marTop w:val="0"/>
      <w:marBottom w:val="0"/>
      <w:divBdr>
        <w:top w:val="none" w:sz="0" w:space="0" w:color="auto"/>
        <w:left w:val="none" w:sz="0" w:space="0" w:color="auto"/>
        <w:bottom w:val="none" w:sz="0" w:space="0" w:color="auto"/>
        <w:right w:val="none" w:sz="0" w:space="0" w:color="auto"/>
      </w:divBdr>
    </w:div>
    <w:div w:id="823592636">
      <w:marLeft w:val="0"/>
      <w:marRight w:val="0"/>
      <w:marTop w:val="0"/>
      <w:marBottom w:val="0"/>
      <w:divBdr>
        <w:top w:val="none" w:sz="0" w:space="0" w:color="auto"/>
        <w:left w:val="none" w:sz="0" w:space="0" w:color="auto"/>
        <w:bottom w:val="none" w:sz="0" w:space="0" w:color="auto"/>
        <w:right w:val="none" w:sz="0" w:space="0" w:color="auto"/>
      </w:divBdr>
    </w:div>
    <w:div w:id="823592637">
      <w:marLeft w:val="0"/>
      <w:marRight w:val="0"/>
      <w:marTop w:val="0"/>
      <w:marBottom w:val="0"/>
      <w:divBdr>
        <w:top w:val="none" w:sz="0" w:space="0" w:color="auto"/>
        <w:left w:val="none" w:sz="0" w:space="0" w:color="auto"/>
        <w:bottom w:val="none" w:sz="0" w:space="0" w:color="auto"/>
        <w:right w:val="none" w:sz="0" w:space="0" w:color="auto"/>
      </w:divBdr>
    </w:div>
    <w:div w:id="823592638">
      <w:marLeft w:val="0"/>
      <w:marRight w:val="0"/>
      <w:marTop w:val="0"/>
      <w:marBottom w:val="0"/>
      <w:divBdr>
        <w:top w:val="none" w:sz="0" w:space="0" w:color="auto"/>
        <w:left w:val="none" w:sz="0" w:space="0" w:color="auto"/>
        <w:bottom w:val="none" w:sz="0" w:space="0" w:color="auto"/>
        <w:right w:val="none" w:sz="0" w:space="0" w:color="auto"/>
      </w:divBdr>
    </w:div>
    <w:div w:id="823592639">
      <w:marLeft w:val="0"/>
      <w:marRight w:val="0"/>
      <w:marTop w:val="0"/>
      <w:marBottom w:val="0"/>
      <w:divBdr>
        <w:top w:val="none" w:sz="0" w:space="0" w:color="auto"/>
        <w:left w:val="none" w:sz="0" w:space="0" w:color="auto"/>
        <w:bottom w:val="none" w:sz="0" w:space="0" w:color="auto"/>
        <w:right w:val="none" w:sz="0" w:space="0" w:color="auto"/>
      </w:divBdr>
    </w:div>
    <w:div w:id="823592640">
      <w:marLeft w:val="0"/>
      <w:marRight w:val="0"/>
      <w:marTop w:val="0"/>
      <w:marBottom w:val="0"/>
      <w:divBdr>
        <w:top w:val="none" w:sz="0" w:space="0" w:color="auto"/>
        <w:left w:val="none" w:sz="0" w:space="0" w:color="auto"/>
        <w:bottom w:val="none" w:sz="0" w:space="0" w:color="auto"/>
        <w:right w:val="none" w:sz="0" w:space="0" w:color="auto"/>
      </w:divBdr>
    </w:div>
    <w:div w:id="823592641">
      <w:marLeft w:val="0"/>
      <w:marRight w:val="0"/>
      <w:marTop w:val="0"/>
      <w:marBottom w:val="0"/>
      <w:divBdr>
        <w:top w:val="none" w:sz="0" w:space="0" w:color="auto"/>
        <w:left w:val="none" w:sz="0" w:space="0" w:color="auto"/>
        <w:bottom w:val="none" w:sz="0" w:space="0" w:color="auto"/>
        <w:right w:val="none" w:sz="0" w:space="0" w:color="auto"/>
      </w:divBdr>
    </w:div>
    <w:div w:id="823592642">
      <w:marLeft w:val="0"/>
      <w:marRight w:val="0"/>
      <w:marTop w:val="0"/>
      <w:marBottom w:val="0"/>
      <w:divBdr>
        <w:top w:val="none" w:sz="0" w:space="0" w:color="auto"/>
        <w:left w:val="none" w:sz="0" w:space="0" w:color="auto"/>
        <w:bottom w:val="none" w:sz="0" w:space="0" w:color="auto"/>
        <w:right w:val="none" w:sz="0" w:space="0" w:color="auto"/>
      </w:divBdr>
    </w:div>
    <w:div w:id="823592643">
      <w:marLeft w:val="0"/>
      <w:marRight w:val="0"/>
      <w:marTop w:val="0"/>
      <w:marBottom w:val="0"/>
      <w:divBdr>
        <w:top w:val="none" w:sz="0" w:space="0" w:color="auto"/>
        <w:left w:val="none" w:sz="0" w:space="0" w:color="auto"/>
        <w:bottom w:val="none" w:sz="0" w:space="0" w:color="auto"/>
        <w:right w:val="none" w:sz="0" w:space="0" w:color="auto"/>
      </w:divBdr>
    </w:div>
    <w:div w:id="823592644">
      <w:marLeft w:val="0"/>
      <w:marRight w:val="0"/>
      <w:marTop w:val="0"/>
      <w:marBottom w:val="0"/>
      <w:divBdr>
        <w:top w:val="none" w:sz="0" w:space="0" w:color="auto"/>
        <w:left w:val="none" w:sz="0" w:space="0" w:color="auto"/>
        <w:bottom w:val="none" w:sz="0" w:space="0" w:color="auto"/>
        <w:right w:val="none" w:sz="0" w:space="0" w:color="auto"/>
      </w:divBdr>
    </w:div>
    <w:div w:id="823592645">
      <w:marLeft w:val="0"/>
      <w:marRight w:val="0"/>
      <w:marTop w:val="0"/>
      <w:marBottom w:val="0"/>
      <w:divBdr>
        <w:top w:val="none" w:sz="0" w:space="0" w:color="auto"/>
        <w:left w:val="none" w:sz="0" w:space="0" w:color="auto"/>
        <w:bottom w:val="none" w:sz="0" w:space="0" w:color="auto"/>
        <w:right w:val="none" w:sz="0" w:space="0" w:color="auto"/>
      </w:divBdr>
    </w:div>
    <w:div w:id="823592646">
      <w:marLeft w:val="0"/>
      <w:marRight w:val="0"/>
      <w:marTop w:val="0"/>
      <w:marBottom w:val="0"/>
      <w:divBdr>
        <w:top w:val="none" w:sz="0" w:space="0" w:color="auto"/>
        <w:left w:val="none" w:sz="0" w:space="0" w:color="auto"/>
        <w:bottom w:val="none" w:sz="0" w:space="0" w:color="auto"/>
        <w:right w:val="none" w:sz="0" w:space="0" w:color="auto"/>
      </w:divBdr>
    </w:div>
    <w:div w:id="823592647">
      <w:marLeft w:val="0"/>
      <w:marRight w:val="0"/>
      <w:marTop w:val="0"/>
      <w:marBottom w:val="0"/>
      <w:divBdr>
        <w:top w:val="none" w:sz="0" w:space="0" w:color="auto"/>
        <w:left w:val="none" w:sz="0" w:space="0" w:color="auto"/>
        <w:bottom w:val="none" w:sz="0" w:space="0" w:color="auto"/>
        <w:right w:val="none" w:sz="0" w:space="0" w:color="auto"/>
      </w:divBdr>
    </w:div>
    <w:div w:id="823592648">
      <w:marLeft w:val="0"/>
      <w:marRight w:val="0"/>
      <w:marTop w:val="0"/>
      <w:marBottom w:val="0"/>
      <w:divBdr>
        <w:top w:val="none" w:sz="0" w:space="0" w:color="auto"/>
        <w:left w:val="none" w:sz="0" w:space="0" w:color="auto"/>
        <w:bottom w:val="none" w:sz="0" w:space="0" w:color="auto"/>
        <w:right w:val="none" w:sz="0" w:space="0" w:color="auto"/>
      </w:divBdr>
    </w:div>
    <w:div w:id="823592649">
      <w:marLeft w:val="0"/>
      <w:marRight w:val="0"/>
      <w:marTop w:val="0"/>
      <w:marBottom w:val="0"/>
      <w:divBdr>
        <w:top w:val="none" w:sz="0" w:space="0" w:color="auto"/>
        <w:left w:val="none" w:sz="0" w:space="0" w:color="auto"/>
        <w:bottom w:val="none" w:sz="0" w:space="0" w:color="auto"/>
        <w:right w:val="none" w:sz="0" w:space="0" w:color="auto"/>
      </w:divBdr>
    </w:div>
    <w:div w:id="823592650">
      <w:marLeft w:val="0"/>
      <w:marRight w:val="0"/>
      <w:marTop w:val="0"/>
      <w:marBottom w:val="0"/>
      <w:divBdr>
        <w:top w:val="none" w:sz="0" w:space="0" w:color="auto"/>
        <w:left w:val="none" w:sz="0" w:space="0" w:color="auto"/>
        <w:bottom w:val="none" w:sz="0" w:space="0" w:color="auto"/>
        <w:right w:val="none" w:sz="0" w:space="0" w:color="auto"/>
      </w:divBdr>
    </w:div>
    <w:div w:id="823592651">
      <w:marLeft w:val="0"/>
      <w:marRight w:val="0"/>
      <w:marTop w:val="0"/>
      <w:marBottom w:val="0"/>
      <w:divBdr>
        <w:top w:val="none" w:sz="0" w:space="0" w:color="auto"/>
        <w:left w:val="none" w:sz="0" w:space="0" w:color="auto"/>
        <w:bottom w:val="none" w:sz="0" w:space="0" w:color="auto"/>
        <w:right w:val="none" w:sz="0" w:space="0" w:color="auto"/>
      </w:divBdr>
    </w:div>
    <w:div w:id="823592652">
      <w:marLeft w:val="0"/>
      <w:marRight w:val="0"/>
      <w:marTop w:val="0"/>
      <w:marBottom w:val="0"/>
      <w:divBdr>
        <w:top w:val="none" w:sz="0" w:space="0" w:color="auto"/>
        <w:left w:val="none" w:sz="0" w:space="0" w:color="auto"/>
        <w:bottom w:val="none" w:sz="0" w:space="0" w:color="auto"/>
        <w:right w:val="none" w:sz="0" w:space="0" w:color="auto"/>
      </w:divBdr>
    </w:div>
    <w:div w:id="823592653">
      <w:marLeft w:val="0"/>
      <w:marRight w:val="0"/>
      <w:marTop w:val="0"/>
      <w:marBottom w:val="0"/>
      <w:divBdr>
        <w:top w:val="none" w:sz="0" w:space="0" w:color="auto"/>
        <w:left w:val="none" w:sz="0" w:space="0" w:color="auto"/>
        <w:bottom w:val="none" w:sz="0" w:space="0" w:color="auto"/>
        <w:right w:val="none" w:sz="0" w:space="0" w:color="auto"/>
      </w:divBdr>
    </w:div>
    <w:div w:id="823592654">
      <w:marLeft w:val="0"/>
      <w:marRight w:val="0"/>
      <w:marTop w:val="0"/>
      <w:marBottom w:val="0"/>
      <w:divBdr>
        <w:top w:val="none" w:sz="0" w:space="0" w:color="auto"/>
        <w:left w:val="none" w:sz="0" w:space="0" w:color="auto"/>
        <w:bottom w:val="none" w:sz="0" w:space="0" w:color="auto"/>
        <w:right w:val="none" w:sz="0" w:space="0" w:color="auto"/>
      </w:divBdr>
    </w:div>
    <w:div w:id="823592655">
      <w:marLeft w:val="0"/>
      <w:marRight w:val="0"/>
      <w:marTop w:val="0"/>
      <w:marBottom w:val="0"/>
      <w:divBdr>
        <w:top w:val="none" w:sz="0" w:space="0" w:color="auto"/>
        <w:left w:val="none" w:sz="0" w:space="0" w:color="auto"/>
        <w:bottom w:val="none" w:sz="0" w:space="0" w:color="auto"/>
        <w:right w:val="none" w:sz="0" w:space="0" w:color="auto"/>
      </w:divBdr>
    </w:div>
    <w:div w:id="823592656">
      <w:marLeft w:val="0"/>
      <w:marRight w:val="0"/>
      <w:marTop w:val="0"/>
      <w:marBottom w:val="0"/>
      <w:divBdr>
        <w:top w:val="none" w:sz="0" w:space="0" w:color="auto"/>
        <w:left w:val="none" w:sz="0" w:space="0" w:color="auto"/>
        <w:bottom w:val="none" w:sz="0" w:space="0" w:color="auto"/>
        <w:right w:val="none" w:sz="0" w:space="0" w:color="auto"/>
      </w:divBdr>
    </w:div>
    <w:div w:id="823592657">
      <w:marLeft w:val="0"/>
      <w:marRight w:val="0"/>
      <w:marTop w:val="0"/>
      <w:marBottom w:val="0"/>
      <w:divBdr>
        <w:top w:val="none" w:sz="0" w:space="0" w:color="auto"/>
        <w:left w:val="none" w:sz="0" w:space="0" w:color="auto"/>
        <w:bottom w:val="none" w:sz="0" w:space="0" w:color="auto"/>
        <w:right w:val="none" w:sz="0" w:space="0" w:color="auto"/>
      </w:divBdr>
    </w:div>
    <w:div w:id="823592658">
      <w:marLeft w:val="0"/>
      <w:marRight w:val="0"/>
      <w:marTop w:val="0"/>
      <w:marBottom w:val="0"/>
      <w:divBdr>
        <w:top w:val="none" w:sz="0" w:space="0" w:color="auto"/>
        <w:left w:val="none" w:sz="0" w:space="0" w:color="auto"/>
        <w:bottom w:val="none" w:sz="0" w:space="0" w:color="auto"/>
        <w:right w:val="none" w:sz="0" w:space="0" w:color="auto"/>
      </w:divBdr>
    </w:div>
    <w:div w:id="823592659">
      <w:marLeft w:val="0"/>
      <w:marRight w:val="0"/>
      <w:marTop w:val="0"/>
      <w:marBottom w:val="0"/>
      <w:divBdr>
        <w:top w:val="none" w:sz="0" w:space="0" w:color="auto"/>
        <w:left w:val="none" w:sz="0" w:space="0" w:color="auto"/>
        <w:bottom w:val="none" w:sz="0" w:space="0" w:color="auto"/>
        <w:right w:val="none" w:sz="0" w:space="0" w:color="auto"/>
      </w:divBdr>
    </w:div>
    <w:div w:id="823592660">
      <w:marLeft w:val="0"/>
      <w:marRight w:val="0"/>
      <w:marTop w:val="0"/>
      <w:marBottom w:val="0"/>
      <w:divBdr>
        <w:top w:val="none" w:sz="0" w:space="0" w:color="auto"/>
        <w:left w:val="none" w:sz="0" w:space="0" w:color="auto"/>
        <w:bottom w:val="none" w:sz="0" w:space="0" w:color="auto"/>
        <w:right w:val="none" w:sz="0" w:space="0" w:color="auto"/>
      </w:divBdr>
    </w:div>
    <w:div w:id="823592661">
      <w:marLeft w:val="0"/>
      <w:marRight w:val="0"/>
      <w:marTop w:val="0"/>
      <w:marBottom w:val="0"/>
      <w:divBdr>
        <w:top w:val="none" w:sz="0" w:space="0" w:color="auto"/>
        <w:left w:val="none" w:sz="0" w:space="0" w:color="auto"/>
        <w:bottom w:val="none" w:sz="0" w:space="0" w:color="auto"/>
        <w:right w:val="none" w:sz="0" w:space="0" w:color="auto"/>
      </w:divBdr>
    </w:div>
    <w:div w:id="823592662">
      <w:marLeft w:val="0"/>
      <w:marRight w:val="0"/>
      <w:marTop w:val="0"/>
      <w:marBottom w:val="0"/>
      <w:divBdr>
        <w:top w:val="none" w:sz="0" w:space="0" w:color="auto"/>
        <w:left w:val="none" w:sz="0" w:space="0" w:color="auto"/>
        <w:bottom w:val="none" w:sz="0" w:space="0" w:color="auto"/>
        <w:right w:val="none" w:sz="0" w:space="0" w:color="auto"/>
      </w:divBdr>
    </w:div>
    <w:div w:id="823592663">
      <w:marLeft w:val="0"/>
      <w:marRight w:val="0"/>
      <w:marTop w:val="0"/>
      <w:marBottom w:val="0"/>
      <w:divBdr>
        <w:top w:val="none" w:sz="0" w:space="0" w:color="auto"/>
        <w:left w:val="none" w:sz="0" w:space="0" w:color="auto"/>
        <w:bottom w:val="none" w:sz="0" w:space="0" w:color="auto"/>
        <w:right w:val="none" w:sz="0" w:space="0" w:color="auto"/>
      </w:divBdr>
    </w:div>
    <w:div w:id="823592664">
      <w:marLeft w:val="0"/>
      <w:marRight w:val="0"/>
      <w:marTop w:val="0"/>
      <w:marBottom w:val="0"/>
      <w:divBdr>
        <w:top w:val="none" w:sz="0" w:space="0" w:color="auto"/>
        <w:left w:val="none" w:sz="0" w:space="0" w:color="auto"/>
        <w:bottom w:val="none" w:sz="0" w:space="0" w:color="auto"/>
        <w:right w:val="none" w:sz="0" w:space="0" w:color="auto"/>
      </w:divBdr>
    </w:div>
    <w:div w:id="823592665">
      <w:marLeft w:val="0"/>
      <w:marRight w:val="0"/>
      <w:marTop w:val="0"/>
      <w:marBottom w:val="0"/>
      <w:divBdr>
        <w:top w:val="none" w:sz="0" w:space="0" w:color="auto"/>
        <w:left w:val="none" w:sz="0" w:space="0" w:color="auto"/>
        <w:bottom w:val="none" w:sz="0" w:space="0" w:color="auto"/>
        <w:right w:val="none" w:sz="0" w:space="0" w:color="auto"/>
      </w:divBdr>
    </w:div>
    <w:div w:id="823592666">
      <w:marLeft w:val="0"/>
      <w:marRight w:val="0"/>
      <w:marTop w:val="0"/>
      <w:marBottom w:val="0"/>
      <w:divBdr>
        <w:top w:val="none" w:sz="0" w:space="0" w:color="auto"/>
        <w:left w:val="none" w:sz="0" w:space="0" w:color="auto"/>
        <w:bottom w:val="none" w:sz="0" w:space="0" w:color="auto"/>
        <w:right w:val="none" w:sz="0" w:space="0" w:color="auto"/>
      </w:divBdr>
    </w:div>
    <w:div w:id="823592667">
      <w:marLeft w:val="0"/>
      <w:marRight w:val="0"/>
      <w:marTop w:val="0"/>
      <w:marBottom w:val="0"/>
      <w:divBdr>
        <w:top w:val="none" w:sz="0" w:space="0" w:color="auto"/>
        <w:left w:val="none" w:sz="0" w:space="0" w:color="auto"/>
        <w:bottom w:val="none" w:sz="0" w:space="0" w:color="auto"/>
        <w:right w:val="none" w:sz="0" w:space="0" w:color="auto"/>
      </w:divBdr>
    </w:div>
    <w:div w:id="823592668">
      <w:marLeft w:val="0"/>
      <w:marRight w:val="0"/>
      <w:marTop w:val="0"/>
      <w:marBottom w:val="0"/>
      <w:divBdr>
        <w:top w:val="none" w:sz="0" w:space="0" w:color="auto"/>
        <w:left w:val="none" w:sz="0" w:space="0" w:color="auto"/>
        <w:bottom w:val="none" w:sz="0" w:space="0" w:color="auto"/>
        <w:right w:val="none" w:sz="0" w:space="0" w:color="auto"/>
      </w:divBdr>
    </w:div>
    <w:div w:id="823592669">
      <w:marLeft w:val="0"/>
      <w:marRight w:val="0"/>
      <w:marTop w:val="0"/>
      <w:marBottom w:val="0"/>
      <w:divBdr>
        <w:top w:val="none" w:sz="0" w:space="0" w:color="auto"/>
        <w:left w:val="none" w:sz="0" w:space="0" w:color="auto"/>
        <w:bottom w:val="none" w:sz="0" w:space="0" w:color="auto"/>
        <w:right w:val="none" w:sz="0" w:space="0" w:color="auto"/>
      </w:divBdr>
    </w:div>
    <w:div w:id="823592670">
      <w:marLeft w:val="0"/>
      <w:marRight w:val="0"/>
      <w:marTop w:val="0"/>
      <w:marBottom w:val="0"/>
      <w:divBdr>
        <w:top w:val="none" w:sz="0" w:space="0" w:color="auto"/>
        <w:left w:val="none" w:sz="0" w:space="0" w:color="auto"/>
        <w:bottom w:val="none" w:sz="0" w:space="0" w:color="auto"/>
        <w:right w:val="none" w:sz="0" w:space="0" w:color="auto"/>
      </w:divBdr>
    </w:div>
    <w:div w:id="823592671">
      <w:marLeft w:val="0"/>
      <w:marRight w:val="0"/>
      <w:marTop w:val="0"/>
      <w:marBottom w:val="0"/>
      <w:divBdr>
        <w:top w:val="none" w:sz="0" w:space="0" w:color="auto"/>
        <w:left w:val="none" w:sz="0" w:space="0" w:color="auto"/>
        <w:bottom w:val="none" w:sz="0" w:space="0" w:color="auto"/>
        <w:right w:val="none" w:sz="0" w:space="0" w:color="auto"/>
      </w:divBdr>
    </w:div>
    <w:div w:id="823592672">
      <w:marLeft w:val="0"/>
      <w:marRight w:val="0"/>
      <w:marTop w:val="0"/>
      <w:marBottom w:val="0"/>
      <w:divBdr>
        <w:top w:val="none" w:sz="0" w:space="0" w:color="auto"/>
        <w:left w:val="none" w:sz="0" w:space="0" w:color="auto"/>
        <w:bottom w:val="none" w:sz="0" w:space="0" w:color="auto"/>
        <w:right w:val="none" w:sz="0" w:space="0" w:color="auto"/>
      </w:divBdr>
    </w:div>
    <w:div w:id="823592673">
      <w:marLeft w:val="0"/>
      <w:marRight w:val="0"/>
      <w:marTop w:val="0"/>
      <w:marBottom w:val="0"/>
      <w:divBdr>
        <w:top w:val="none" w:sz="0" w:space="0" w:color="auto"/>
        <w:left w:val="none" w:sz="0" w:space="0" w:color="auto"/>
        <w:bottom w:val="none" w:sz="0" w:space="0" w:color="auto"/>
        <w:right w:val="none" w:sz="0" w:space="0" w:color="auto"/>
      </w:divBdr>
    </w:div>
    <w:div w:id="823592674">
      <w:marLeft w:val="0"/>
      <w:marRight w:val="0"/>
      <w:marTop w:val="0"/>
      <w:marBottom w:val="0"/>
      <w:divBdr>
        <w:top w:val="none" w:sz="0" w:space="0" w:color="auto"/>
        <w:left w:val="none" w:sz="0" w:space="0" w:color="auto"/>
        <w:bottom w:val="none" w:sz="0" w:space="0" w:color="auto"/>
        <w:right w:val="none" w:sz="0" w:space="0" w:color="auto"/>
      </w:divBdr>
    </w:div>
    <w:div w:id="823592675">
      <w:marLeft w:val="0"/>
      <w:marRight w:val="0"/>
      <w:marTop w:val="0"/>
      <w:marBottom w:val="0"/>
      <w:divBdr>
        <w:top w:val="none" w:sz="0" w:space="0" w:color="auto"/>
        <w:left w:val="none" w:sz="0" w:space="0" w:color="auto"/>
        <w:bottom w:val="none" w:sz="0" w:space="0" w:color="auto"/>
        <w:right w:val="none" w:sz="0" w:space="0" w:color="auto"/>
      </w:divBdr>
    </w:div>
    <w:div w:id="823592676">
      <w:marLeft w:val="0"/>
      <w:marRight w:val="0"/>
      <w:marTop w:val="0"/>
      <w:marBottom w:val="0"/>
      <w:divBdr>
        <w:top w:val="none" w:sz="0" w:space="0" w:color="auto"/>
        <w:left w:val="none" w:sz="0" w:space="0" w:color="auto"/>
        <w:bottom w:val="none" w:sz="0" w:space="0" w:color="auto"/>
        <w:right w:val="none" w:sz="0" w:space="0" w:color="auto"/>
      </w:divBdr>
    </w:div>
    <w:div w:id="823592677">
      <w:marLeft w:val="0"/>
      <w:marRight w:val="0"/>
      <w:marTop w:val="0"/>
      <w:marBottom w:val="0"/>
      <w:divBdr>
        <w:top w:val="none" w:sz="0" w:space="0" w:color="auto"/>
        <w:left w:val="none" w:sz="0" w:space="0" w:color="auto"/>
        <w:bottom w:val="none" w:sz="0" w:space="0" w:color="auto"/>
        <w:right w:val="none" w:sz="0" w:space="0" w:color="auto"/>
      </w:divBdr>
    </w:div>
    <w:div w:id="823592678">
      <w:marLeft w:val="0"/>
      <w:marRight w:val="0"/>
      <w:marTop w:val="0"/>
      <w:marBottom w:val="0"/>
      <w:divBdr>
        <w:top w:val="none" w:sz="0" w:space="0" w:color="auto"/>
        <w:left w:val="none" w:sz="0" w:space="0" w:color="auto"/>
        <w:bottom w:val="none" w:sz="0" w:space="0" w:color="auto"/>
        <w:right w:val="none" w:sz="0" w:space="0" w:color="auto"/>
      </w:divBdr>
    </w:div>
    <w:div w:id="823592679">
      <w:marLeft w:val="0"/>
      <w:marRight w:val="0"/>
      <w:marTop w:val="0"/>
      <w:marBottom w:val="0"/>
      <w:divBdr>
        <w:top w:val="none" w:sz="0" w:space="0" w:color="auto"/>
        <w:left w:val="none" w:sz="0" w:space="0" w:color="auto"/>
        <w:bottom w:val="none" w:sz="0" w:space="0" w:color="auto"/>
        <w:right w:val="none" w:sz="0" w:space="0" w:color="auto"/>
      </w:divBdr>
    </w:div>
    <w:div w:id="823592680">
      <w:marLeft w:val="0"/>
      <w:marRight w:val="0"/>
      <w:marTop w:val="0"/>
      <w:marBottom w:val="0"/>
      <w:divBdr>
        <w:top w:val="none" w:sz="0" w:space="0" w:color="auto"/>
        <w:left w:val="none" w:sz="0" w:space="0" w:color="auto"/>
        <w:bottom w:val="none" w:sz="0" w:space="0" w:color="auto"/>
        <w:right w:val="none" w:sz="0" w:space="0" w:color="auto"/>
      </w:divBdr>
    </w:div>
    <w:div w:id="823592681">
      <w:marLeft w:val="0"/>
      <w:marRight w:val="0"/>
      <w:marTop w:val="0"/>
      <w:marBottom w:val="0"/>
      <w:divBdr>
        <w:top w:val="none" w:sz="0" w:space="0" w:color="auto"/>
        <w:left w:val="none" w:sz="0" w:space="0" w:color="auto"/>
        <w:bottom w:val="none" w:sz="0" w:space="0" w:color="auto"/>
        <w:right w:val="none" w:sz="0" w:space="0" w:color="auto"/>
      </w:divBdr>
    </w:div>
    <w:div w:id="823592682">
      <w:marLeft w:val="0"/>
      <w:marRight w:val="0"/>
      <w:marTop w:val="0"/>
      <w:marBottom w:val="0"/>
      <w:divBdr>
        <w:top w:val="none" w:sz="0" w:space="0" w:color="auto"/>
        <w:left w:val="none" w:sz="0" w:space="0" w:color="auto"/>
        <w:bottom w:val="none" w:sz="0" w:space="0" w:color="auto"/>
        <w:right w:val="none" w:sz="0" w:space="0" w:color="auto"/>
      </w:divBdr>
    </w:div>
    <w:div w:id="823592683">
      <w:marLeft w:val="0"/>
      <w:marRight w:val="0"/>
      <w:marTop w:val="0"/>
      <w:marBottom w:val="0"/>
      <w:divBdr>
        <w:top w:val="none" w:sz="0" w:space="0" w:color="auto"/>
        <w:left w:val="none" w:sz="0" w:space="0" w:color="auto"/>
        <w:bottom w:val="none" w:sz="0" w:space="0" w:color="auto"/>
        <w:right w:val="none" w:sz="0" w:space="0" w:color="auto"/>
      </w:divBdr>
    </w:div>
    <w:div w:id="823592684">
      <w:marLeft w:val="0"/>
      <w:marRight w:val="0"/>
      <w:marTop w:val="0"/>
      <w:marBottom w:val="0"/>
      <w:divBdr>
        <w:top w:val="none" w:sz="0" w:space="0" w:color="auto"/>
        <w:left w:val="none" w:sz="0" w:space="0" w:color="auto"/>
        <w:bottom w:val="none" w:sz="0" w:space="0" w:color="auto"/>
        <w:right w:val="none" w:sz="0" w:space="0" w:color="auto"/>
      </w:divBdr>
    </w:div>
    <w:div w:id="823592685">
      <w:marLeft w:val="0"/>
      <w:marRight w:val="0"/>
      <w:marTop w:val="0"/>
      <w:marBottom w:val="0"/>
      <w:divBdr>
        <w:top w:val="none" w:sz="0" w:space="0" w:color="auto"/>
        <w:left w:val="none" w:sz="0" w:space="0" w:color="auto"/>
        <w:bottom w:val="none" w:sz="0" w:space="0" w:color="auto"/>
        <w:right w:val="none" w:sz="0" w:space="0" w:color="auto"/>
      </w:divBdr>
    </w:div>
    <w:div w:id="823592686">
      <w:marLeft w:val="0"/>
      <w:marRight w:val="0"/>
      <w:marTop w:val="0"/>
      <w:marBottom w:val="0"/>
      <w:divBdr>
        <w:top w:val="none" w:sz="0" w:space="0" w:color="auto"/>
        <w:left w:val="none" w:sz="0" w:space="0" w:color="auto"/>
        <w:bottom w:val="none" w:sz="0" w:space="0" w:color="auto"/>
        <w:right w:val="none" w:sz="0" w:space="0" w:color="auto"/>
      </w:divBdr>
    </w:div>
    <w:div w:id="823592687">
      <w:marLeft w:val="0"/>
      <w:marRight w:val="0"/>
      <w:marTop w:val="0"/>
      <w:marBottom w:val="0"/>
      <w:divBdr>
        <w:top w:val="none" w:sz="0" w:space="0" w:color="auto"/>
        <w:left w:val="none" w:sz="0" w:space="0" w:color="auto"/>
        <w:bottom w:val="none" w:sz="0" w:space="0" w:color="auto"/>
        <w:right w:val="none" w:sz="0" w:space="0" w:color="auto"/>
      </w:divBdr>
    </w:div>
    <w:div w:id="823592688">
      <w:marLeft w:val="0"/>
      <w:marRight w:val="0"/>
      <w:marTop w:val="0"/>
      <w:marBottom w:val="0"/>
      <w:divBdr>
        <w:top w:val="none" w:sz="0" w:space="0" w:color="auto"/>
        <w:left w:val="none" w:sz="0" w:space="0" w:color="auto"/>
        <w:bottom w:val="none" w:sz="0" w:space="0" w:color="auto"/>
        <w:right w:val="none" w:sz="0" w:space="0" w:color="auto"/>
      </w:divBdr>
    </w:div>
    <w:div w:id="823592689">
      <w:marLeft w:val="0"/>
      <w:marRight w:val="0"/>
      <w:marTop w:val="0"/>
      <w:marBottom w:val="0"/>
      <w:divBdr>
        <w:top w:val="none" w:sz="0" w:space="0" w:color="auto"/>
        <w:left w:val="none" w:sz="0" w:space="0" w:color="auto"/>
        <w:bottom w:val="none" w:sz="0" w:space="0" w:color="auto"/>
        <w:right w:val="none" w:sz="0" w:space="0" w:color="auto"/>
      </w:divBdr>
    </w:div>
    <w:div w:id="823592690">
      <w:marLeft w:val="0"/>
      <w:marRight w:val="0"/>
      <w:marTop w:val="0"/>
      <w:marBottom w:val="0"/>
      <w:divBdr>
        <w:top w:val="none" w:sz="0" w:space="0" w:color="auto"/>
        <w:left w:val="none" w:sz="0" w:space="0" w:color="auto"/>
        <w:bottom w:val="none" w:sz="0" w:space="0" w:color="auto"/>
        <w:right w:val="none" w:sz="0" w:space="0" w:color="auto"/>
      </w:divBdr>
    </w:div>
    <w:div w:id="823592691">
      <w:marLeft w:val="0"/>
      <w:marRight w:val="0"/>
      <w:marTop w:val="0"/>
      <w:marBottom w:val="0"/>
      <w:divBdr>
        <w:top w:val="none" w:sz="0" w:space="0" w:color="auto"/>
        <w:left w:val="none" w:sz="0" w:space="0" w:color="auto"/>
        <w:bottom w:val="none" w:sz="0" w:space="0" w:color="auto"/>
        <w:right w:val="none" w:sz="0" w:space="0" w:color="auto"/>
      </w:divBdr>
    </w:div>
    <w:div w:id="823592692">
      <w:marLeft w:val="0"/>
      <w:marRight w:val="0"/>
      <w:marTop w:val="0"/>
      <w:marBottom w:val="0"/>
      <w:divBdr>
        <w:top w:val="none" w:sz="0" w:space="0" w:color="auto"/>
        <w:left w:val="none" w:sz="0" w:space="0" w:color="auto"/>
        <w:bottom w:val="none" w:sz="0" w:space="0" w:color="auto"/>
        <w:right w:val="none" w:sz="0" w:space="0" w:color="auto"/>
      </w:divBdr>
    </w:div>
    <w:div w:id="823592693">
      <w:marLeft w:val="0"/>
      <w:marRight w:val="0"/>
      <w:marTop w:val="0"/>
      <w:marBottom w:val="0"/>
      <w:divBdr>
        <w:top w:val="none" w:sz="0" w:space="0" w:color="auto"/>
        <w:left w:val="none" w:sz="0" w:space="0" w:color="auto"/>
        <w:bottom w:val="none" w:sz="0" w:space="0" w:color="auto"/>
        <w:right w:val="none" w:sz="0" w:space="0" w:color="auto"/>
      </w:divBdr>
    </w:div>
    <w:div w:id="823592694">
      <w:marLeft w:val="0"/>
      <w:marRight w:val="0"/>
      <w:marTop w:val="0"/>
      <w:marBottom w:val="0"/>
      <w:divBdr>
        <w:top w:val="none" w:sz="0" w:space="0" w:color="auto"/>
        <w:left w:val="none" w:sz="0" w:space="0" w:color="auto"/>
        <w:bottom w:val="none" w:sz="0" w:space="0" w:color="auto"/>
        <w:right w:val="none" w:sz="0" w:space="0" w:color="auto"/>
      </w:divBdr>
    </w:div>
    <w:div w:id="823592695">
      <w:marLeft w:val="0"/>
      <w:marRight w:val="0"/>
      <w:marTop w:val="0"/>
      <w:marBottom w:val="0"/>
      <w:divBdr>
        <w:top w:val="none" w:sz="0" w:space="0" w:color="auto"/>
        <w:left w:val="none" w:sz="0" w:space="0" w:color="auto"/>
        <w:bottom w:val="none" w:sz="0" w:space="0" w:color="auto"/>
        <w:right w:val="none" w:sz="0" w:space="0" w:color="auto"/>
      </w:divBdr>
    </w:div>
    <w:div w:id="823592696">
      <w:marLeft w:val="0"/>
      <w:marRight w:val="0"/>
      <w:marTop w:val="0"/>
      <w:marBottom w:val="0"/>
      <w:divBdr>
        <w:top w:val="none" w:sz="0" w:space="0" w:color="auto"/>
        <w:left w:val="none" w:sz="0" w:space="0" w:color="auto"/>
        <w:bottom w:val="none" w:sz="0" w:space="0" w:color="auto"/>
        <w:right w:val="none" w:sz="0" w:space="0" w:color="auto"/>
      </w:divBdr>
    </w:div>
    <w:div w:id="823592697">
      <w:marLeft w:val="0"/>
      <w:marRight w:val="0"/>
      <w:marTop w:val="0"/>
      <w:marBottom w:val="0"/>
      <w:divBdr>
        <w:top w:val="none" w:sz="0" w:space="0" w:color="auto"/>
        <w:left w:val="none" w:sz="0" w:space="0" w:color="auto"/>
        <w:bottom w:val="none" w:sz="0" w:space="0" w:color="auto"/>
        <w:right w:val="none" w:sz="0" w:space="0" w:color="auto"/>
      </w:divBdr>
    </w:div>
    <w:div w:id="823592698">
      <w:marLeft w:val="0"/>
      <w:marRight w:val="0"/>
      <w:marTop w:val="0"/>
      <w:marBottom w:val="0"/>
      <w:divBdr>
        <w:top w:val="none" w:sz="0" w:space="0" w:color="auto"/>
        <w:left w:val="none" w:sz="0" w:space="0" w:color="auto"/>
        <w:bottom w:val="none" w:sz="0" w:space="0" w:color="auto"/>
        <w:right w:val="none" w:sz="0" w:space="0" w:color="auto"/>
      </w:divBdr>
    </w:div>
    <w:div w:id="823592699">
      <w:marLeft w:val="0"/>
      <w:marRight w:val="0"/>
      <w:marTop w:val="0"/>
      <w:marBottom w:val="0"/>
      <w:divBdr>
        <w:top w:val="none" w:sz="0" w:space="0" w:color="auto"/>
        <w:left w:val="none" w:sz="0" w:space="0" w:color="auto"/>
        <w:bottom w:val="none" w:sz="0" w:space="0" w:color="auto"/>
        <w:right w:val="none" w:sz="0" w:space="0" w:color="auto"/>
      </w:divBdr>
    </w:div>
    <w:div w:id="823592700">
      <w:marLeft w:val="0"/>
      <w:marRight w:val="0"/>
      <w:marTop w:val="0"/>
      <w:marBottom w:val="0"/>
      <w:divBdr>
        <w:top w:val="none" w:sz="0" w:space="0" w:color="auto"/>
        <w:left w:val="none" w:sz="0" w:space="0" w:color="auto"/>
        <w:bottom w:val="none" w:sz="0" w:space="0" w:color="auto"/>
        <w:right w:val="none" w:sz="0" w:space="0" w:color="auto"/>
      </w:divBdr>
    </w:div>
    <w:div w:id="823592701">
      <w:marLeft w:val="0"/>
      <w:marRight w:val="0"/>
      <w:marTop w:val="0"/>
      <w:marBottom w:val="0"/>
      <w:divBdr>
        <w:top w:val="none" w:sz="0" w:space="0" w:color="auto"/>
        <w:left w:val="none" w:sz="0" w:space="0" w:color="auto"/>
        <w:bottom w:val="none" w:sz="0" w:space="0" w:color="auto"/>
        <w:right w:val="none" w:sz="0" w:space="0" w:color="auto"/>
      </w:divBdr>
    </w:div>
    <w:div w:id="823592702">
      <w:marLeft w:val="0"/>
      <w:marRight w:val="0"/>
      <w:marTop w:val="0"/>
      <w:marBottom w:val="0"/>
      <w:divBdr>
        <w:top w:val="none" w:sz="0" w:space="0" w:color="auto"/>
        <w:left w:val="none" w:sz="0" w:space="0" w:color="auto"/>
        <w:bottom w:val="none" w:sz="0" w:space="0" w:color="auto"/>
        <w:right w:val="none" w:sz="0" w:space="0" w:color="auto"/>
      </w:divBdr>
    </w:div>
    <w:div w:id="823592703">
      <w:marLeft w:val="0"/>
      <w:marRight w:val="0"/>
      <w:marTop w:val="0"/>
      <w:marBottom w:val="0"/>
      <w:divBdr>
        <w:top w:val="none" w:sz="0" w:space="0" w:color="auto"/>
        <w:left w:val="none" w:sz="0" w:space="0" w:color="auto"/>
        <w:bottom w:val="none" w:sz="0" w:space="0" w:color="auto"/>
        <w:right w:val="none" w:sz="0" w:space="0" w:color="auto"/>
      </w:divBdr>
    </w:div>
    <w:div w:id="823592704">
      <w:marLeft w:val="0"/>
      <w:marRight w:val="0"/>
      <w:marTop w:val="0"/>
      <w:marBottom w:val="0"/>
      <w:divBdr>
        <w:top w:val="none" w:sz="0" w:space="0" w:color="auto"/>
        <w:left w:val="none" w:sz="0" w:space="0" w:color="auto"/>
        <w:bottom w:val="none" w:sz="0" w:space="0" w:color="auto"/>
        <w:right w:val="none" w:sz="0" w:space="0" w:color="auto"/>
      </w:divBdr>
    </w:div>
    <w:div w:id="823592705">
      <w:marLeft w:val="0"/>
      <w:marRight w:val="0"/>
      <w:marTop w:val="0"/>
      <w:marBottom w:val="0"/>
      <w:divBdr>
        <w:top w:val="none" w:sz="0" w:space="0" w:color="auto"/>
        <w:left w:val="none" w:sz="0" w:space="0" w:color="auto"/>
        <w:bottom w:val="none" w:sz="0" w:space="0" w:color="auto"/>
        <w:right w:val="none" w:sz="0" w:space="0" w:color="auto"/>
      </w:divBdr>
    </w:div>
    <w:div w:id="823592706">
      <w:marLeft w:val="0"/>
      <w:marRight w:val="0"/>
      <w:marTop w:val="0"/>
      <w:marBottom w:val="0"/>
      <w:divBdr>
        <w:top w:val="none" w:sz="0" w:space="0" w:color="auto"/>
        <w:left w:val="none" w:sz="0" w:space="0" w:color="auto"/>
        <w:bottom w:val="none" w:sz="0" w:space="0" w:color="auto"/>
        <w:right w:val="none" w:sz="0" w:space="0" w:color="auto"/>
      </w:divBdr>
    </w:div>
    <w:div w:id="823592707">
      <w:marLeft w:val="0"/>
      <w:marRight w:val="0"/>
      <w:marTop w:val="0"/>
      <w:marBottom w:val="0"/>
      <w:divBdr>
        <w:top w:val="none" w:sz="0" w:space="0" w:color="auto"/>
        <w:left w:val="none" w:sz="0" w:space="0" w:color="auto"/>
        <w:bottom w:val="none" w:sz="0" w:space="0" w:color="auto"/>
        <w:right w:val="none" w:sz="0" w:space="0" w:color="auto"/>
      </w:divBdr>
    </w:div>
    <w:div w:id="823592708">
      <w:marLeft w:val="0"/>
      <w:marRight w:val="0"/>
      <w:marTop w:val="0"/>
      <w:marBottom w:val="0"/>
      <w:divBdr>
        <w:top w:val="none" w:sz="0" w:space="0" w:color="auto"/>
        <w:left w:val="none" w:sz="0" w:space="0" w:color="auto"/>
        <w:bottom w:val="none" w:sz="0" w:space="0" w:color="auto"/>
        <w:right w:val="none" w:sz="0" w:space="0" w:color="auto"/>
      </w:divBdr>
    </w:div>
    <w:div w:id="823592709">
      <w:marLeft w:val="0"/>
      <w:marRight w:val="0"/>
      <w:marTop w:val="0"/>
      <w:marBottom w:val="0"/>
      <w:divBdr>
        <w:top w:val="none" w:sz="0" w:space="0" w:color="auto"/>
        <w:left w:val="none" w:sz="0" w:space="0" w:color="auto"/>
        <w:bottom w:val="none" w:sz="0" w:space="0" w:color="auto"/>
        <w:right w:val="none" w:sz="0" w:space="0" w:color="auto"/>
      </w:divBdr>
    </w:div>
    <w:div w:id="823592710">
      <w:marLeft w:val="0"/>
      <w:marRight w:val="0"/>
      <w:marTop w:val="0"/>
      <w:marBottom w:val="0"/>
      <w:divBdr>
        <w:top w:val="none" w:sz="0" w:space="0" w:color="auto"/>
        <w:left w:val="none" w:sz="0" w:space="0" w:color="auto"/>
        <w:bottom w:val="none" w:sz="0" w:space="0" w:color="auto"/>
        <w:right w:val="none" w:sz="0" w:space="0" w:color="auto"/>
      </w:divBdr>
    </w:div>
    <w:div w:id="823592711">
      <w:marLeft w:val="0"/>
      <w:marRight w:val="0"/>
      <w:marTop w:val="0"/>
      <w:marBottom w:val="0"/>
      <w:divBdr>
        <w:top w:val="none" w:sz="0" w:space="0" w:color="auto"/>
        <w:left w:val="none" w:sz="0" w:space="0" w:color="auto"/>
        <w:bottom w:val="none" w:sz="0" w:space="0" w:color="auto"/>
        <w:right w:val="none" w:sz="0" w:space="0" w:color="auto"/>
      </w:divBdr>
    </w:div>
    <w:div w:id="823592712">
      <w:marLeft w:val="0"/>
      <w:marRight w:val="0"/>
      <w:marTop w:val="0"/>
      <w:marBottom w:val="0"/>
      <w:divBdr>
        <w:top w:val="none" w:sz="0" w:space="0" w:color="auto"/>
        <w:left w:val="none" w:sz="0" w:space="0" w:color="auto"/>
        <w:bottom w:val="none" w:sz="0" w:space="0" w:color="auto"/>
        <w:right w:val="none" w:sz="0" w:space="0" w:color="auto"/>
      </w:divBdr>
    </w:div>
    <w:div w:id="823592713">
      <w:marLeft w:val="0"/>
      <w:marRight w:val="0"/>
      <w:marTop w:val="0"/>
      <w:marBottom w:val="0"/>
      <w:divBdr>
        <w:top w:val="none" w:sz="0" w:space="0" w:color="auto"/>
        <w:left w:val="none" w:sz="0" w:space="0" w:color="auto"/>
        <w:bottom w:val="none" w:sz="0" w:space="0" w:color="auto"/>
        <w:right w:val="none" w:sz="0" w:space="0" w:color="auto"/>
      </w:divBdr>
    </w:div>
    <w:div w:id="823592714">
      <w:marLeft w:val="0"/>
      <w:marRight w:val="0"/>
      <w:marTop w:val="0"/>
      <w:marBottom w:val="0"/>
      <w:divBdr>
        <w:top w:val="none" w:sz="0" w:space="0" w:color="auto"/>
        <w:left w:val="none" w:sz="0" w:space="0" w:color="auto"/>
        <w:bottom w:val="none" w:sz="0" w:space="0" w:color="auto"/>
        <w:right w:val="none" w:sz="0" w:space="0" w:color="auto"/>
      </w:divBdr>
    </w:div>
    <w:div w:id="823592715">
      <w:marLeft w:val="0"/>
      <w:marRight w:val="0"/>
      <w:marTop w:val="0"/>
      <w:marBottom w:val="0"/>
      <w:divBdr>
        <w:top w:val="none" w:sz="0" w:space="0" w:color="auto"/>
        <w:left w:val="none" w:sz="0" w:space="0" w:color="auto"/>
        <w:bottom w:val="none" w:sz="0" w:space="0" w:color="auto"/>
        <w:right w:val="none" w:sz="0" w:space="0" w:color="auto"/>
      </w:divBdr>
    </w:div>
    <w:div w:id="823592716">
      <w:marLeft w:val="0"/>
      <w:marRight w:val="0"/>
      <w:marTop w:val="0"/>
      <w:marBottom w:val="0"/>
      <w:divBdr>
        <w:top w:val="none" w:sz="0" w:space="0" w:color="auto"/>
        <w:left w:val="none" w:sz="0" w:space="0" w:color="auto"/>
        <w:bottom w:val="none" w:sz="0" w:space="0" w:color="auto"/>
        <w:right w:val="none" w:sz="0" w:space="0" w:color="auto"/>
      </w:divBdr>
    </w:div>
    <w:div w:id="823592717">
      <w:marLeft w:val="0"/>
      <w:marRight w:val="0"/>
      <w:marTop w:val="0"/>
      <w:marBottom w:val="0"/>
      <w:divBdr>
        <w:top w:val="none" w:sz="0" w:space="0" w:color="auto"/>
        <w:left w:val="none" w:sz="0" w:space="0" w:color="auto"/>
        <w:bottom w:val="none" w:sz="0" w:space="0" w:color="auto"/>
        <w:right w:val="none" w:sz="0" w:space="0" w:color="auto"/>
      </w:divBdr>
    </w:div>
    <w:div w:id="823592718">
      <w:marLeft w:val="0"/>
      <w:marRight w:val="0"/>
      <w:marTop w:val="0"/>
      <w:marBottom w:val="0"/>
      <w:divBdr>
        <w:top w:val="none" w:sz="0" w:space="0" w:color="auto"/>
        <w:left w:val="none" w:sz="0" w:space="0" w:color="auto"/>
        <w:bottom w:val="none" w:sz="0" w:space="0" w:color="auto"/>
        <w:right w:val="none" w:sz="0" w:space="0" w:color="auto"/>
      </w:divBdr>
    </w:div>
    <w:div w:id="823592719">
      <w:marLeft w:val="0"/>
      <w:marRight w:val="0"/>
      <w:marTop w:val="0"/>
      <w:marBottom w:val="0"/>
      <w:divBdr>
        <w:top w:val="none" w:sz="0" w:space="0" w:color="auto"/>
        <w:left w:val="none" w:sz="0" w:space="0" w:color="auto"/>
        <w:bottom w:val="none" w:sz="0" w:space="0" w:color="auto"/>
        <w:right w:val="none" w:sz="0" w:space="0" w:color="auto"/>
      </w:divBdr>
    </w:div>
    <w:div w:id="823592720">
      <w:marLeft w:val="0"/>
      <w:marRight w:val="0"/>
      <w:marTop w:val="0"/>
      <w:marBottom w:val="0"/>
      <w:divBdr>
        <w:top w:val="none" w:sz="0" w:space="0" w:color="auto"/>
        <w:left w:val="none" w:sz="0" w:space="0" w:color="auto"/>
        <w:bottom w:val="none" w:sz="0" w:space="0" w:color="auto"/>
        <w:right w:val="none" w:sz="0" w:space="0" w:color="auto"/>
      </w:divBdr>
    </w:div>
    <w:div w:id="823592721">
      <w:marLeft w:val="0"/>
      <w:marRight w:val="0"/>
      <w:marTop w:val="0"/>
      <w:marBottom w:val="0"/>
      <w:divBdr>
        <w:top w:val="none" w:sz="0" w:space="0" w:color="auto"/>
        <w:left w:val="none" w:sz="0" w:space="0" w:color="auto"/>
        <w:bottom w:val="none" w:sz="0" w:space="0" w:color="auto"/>
        <w:right w:val="none" w:sz="0" w:space="0" w:color="auto"/>
      </w:divBdr>
    </w:div>
    <w:div w:id="823592722">
      <w:marLeft w:val="0"/>
      <w:marRight w:val="0"/>
      <w:marTop w:val="0"/>
      <w:marBottom w:val="0"/>
      <w:divBdr>
        <w:top w:val="none" w:sz="0" w:space="0" w:color="auto"/>
        <w:left w:val="none" w:sz="0" w:space="0" w:color="auto"/>
        <w:bottom w:val="none" w:sz="0" w:space="0" w:color="auto"/>
        <w:right w:val="none" w:sz="0" w:space="0" w:color="auto"/>
      </w:divBdr>
    </w:div>
    <w:div w:id="823592723">
      <w:marLeft w:val="0"/>
      <w:marRight w:val="0"/>
      <w:marTop w:val="0"/>
      <w:marBottom w:val="0"/>
      <w:divBdr>
        <w:top w:val="none" w:sz="0" w:space="0" w:color="auto"/>
        <w:left w:val="none" w:sz="0" w:space="0" w:color="auto"/>
        <w:bottom w:val="none" w:sz="0" w:space="0" w:color="auto"/>
        <w:right w:val="none" w:sz="0" w:space="0" w:color="auto"/>
      </w:divBdr>
    </w:div>
    <w:div w:id="823592724">
      <w:marLeft w:val="0"/>
      <w:marRight w:val="0"/>
      <w:marTop w:val="0"/>
      <w:marBottom w:val="0"/>
      <w:divBdr>
        <w:top w:val="none" w:sz="0" w:space="0" w:color="auto"/>
        <w:left w:val="none" w:sz="0" w:space="0" w:color="auto"/>
        <w:bottom w:val="none" w:sz="0" w:space="0" w:color="auto"/>
        <w:right w:val="none" w:sz="0" w:space="0" w:color="auto"/>
      </w:divBdr>
    </w:div>
    <w:div w:id="823592725">
      <w:marLeft w:val="0"/>
      <w:marRight w:val="0"/>
      <w:marTop w:val="0"/>
      <w:marBottom w:val="0"/>
      <w:divBdr>
        <w:top w:val="none" w:sz="0" w:space="0" w:color="auto"/>
        <w:left w:val="none" w:sz="0" w:space="0" w:color="auto"/>
        <w:bottom w:val="none" w:sz="0" w:space="0" w:color="auto"/>
        <w:right w:val="none" w:sz="0" w:space="0" w:color="auto"/>
      </w:divBdr>
    </w:div>
    <w:div w:id="823592726">
      <w:marLeft w:val="0"/>
      <w:marRight w:val="0"/>
      <w:marTop w:val="0"/>
      <w:marBottom w:val="0"/>
      <w:divBdr>
        <w:top w:val="none" w:sz="0" w:space="0" w:color="auto"/>
        <w:left w:val="none" w:sz="0" w:space="0" w:color="auto"/>
        <w:bottom w:val="none" w:sz="0" w:space="0" w:color="auto"/>
        <w:right w:val="none" w:sz="0" w:space="0" w:color="auto"/>
      </w:divBdr>
    </w:div>
    <w:div w:id="823592727">
      <w:marLeft w:val="0"/>
      <w:marRight w:val="0"/>
      <w:marTop w:val="0"/>
      <w:marBottom w:val="0"/>
      <w:divBdr>
        <w:top w:val="none" w:sz="0" w:space="0" w:color="auto"/>
        <w:left w:val="none" w:sz="0" w:space="0" w:color="auto"/>
        <w:bottom w:val="none" w:sz="0" w:space="0" w:color="auto"/>
        <w:right w:val="none" w:sz="0" w:space="0" w:color="auto"/>
      </w:divBdr>
    </w:div>
    <w:div w:id="823592728">
      <w:marLeft w:val="0"/>
      <w:marRight w:val="0"/>
      <w:marTop w:val="0"/>
      <w:marBottom w:val="0"/>
      <w:divBdr>
        <w:top w:val="none" w:sz="0" w:space="0" w:color="auto"/>
        <w:left w:val="none" w:sz="0" w:space="0" w:color="auto"/>
        <w:bottom w:val="none" w:sz="0" w:space="0" w:color="auto"/>
        <w:right w:val="none" w:sz="0" w:space="0" w:color="auto"/>
      </w:divBdr>
    </w:div>
    <w:div w:id="823592729">
      <w:marLeft w:val="0"/>
      <w:marRight w:val="0"/>
      <w:marTop w:val="0"/>
      <w:marBottom w:val="0"/>
      <w:divBdr>
        <w:top w:val="none" w:sz="0" w:space="0" w:color="auto"/>
        <w:left w:val="none" w:sz="0" w:space="0" w:color="auto"/>
        <w:bottom w:val="none" w:sz="0" w:space="0" w:color="auto"/>
        <w:right w:val="none" w:sz="0" w:space="0" w:color="auto"/>
      </w:divBdr>
    </w:div>
    <w:div w:id="823592730">
      <w:marLeft w:val="0"/>
      <w:marRight w:val="0"/>
      <w:marTop w:val="0"/>
      <w:marBottom w:val="0"/>
      <w:divBdr>
        <w:top w:val="none" w:sz="0" w:space="0" w:color="auto"/>
        <w:left w:val="none" w:sz="0" w:space="0" w:color="auto"/>
        <w:bottom w:val="none" w:sz="0" w:space="0" w:color="auto"/>
        <w:right w:val="none" w:sz="0" w:space="0" w:color="auto"/>
      </w:divBdr>
    </w:div>
    <w:div w:id="823592731">
      <w:marLeft w:val="0"/>
      <w:marRight w:val="0"/>
      <w:marTop w:val="0"/>
      <w:marBottom w:val="0"/>
      <w:divBdr>
        <w:top w:val="none" w:sz="0" w:space="0" w:color="auto"/>
        <w:left w:val="none" w:sz="0" w:space="0" w:color="auto"/>
        <w:bottom w:val="none" w:sz="0" w:space="0" w:color="auto"/>
        <w:right w:val="none" w:sz="0" w:space="0" w:color="auto"/>
      </w:divBdr>
    </w:div>
    <w:div w:id="823592732">
      <w:marLeft w:val="0"/>
      <w:marRight w:val="0"/>
      <w:marTop w:val="0"/>
      <w:marBottom w:val="0"/>
      <w:divBdr>
        <w:top w:val="none" w:sz="0" w:space="0" w:color="auto"/>
        <w:left w:val="none" w:sz="0" w:space="0" w:color="auto"/>
        <w:bottom w:val="none" w:sz="0" w:space="0" w:color="auto"/>
        <w:right w:val="none" w:sz="0" w:space="0" w:color="auto"/>
      </w:divBdr>
    </w:div>
    <w:div w:id="823592733">
      <w:marLeft w:val="0"/>
      <w:marRight w:val="0"/>
      <w:marTop w:val="0"/>
      <w:marBottom w:val="0"/>
      <w:divBdr>
        <w:top w:val="none" w:sz="0" w:space="0" w:color="auto"/>
        <w:left w:val="none" w:sz="0" w:space="0" w:color="auto"/>
        <w:bottom w:val="none" w:sz="0" w:space="0" w:color="auto"/>
        <w:right w:val="none" w:sz="0" w:space="0" w:color="auto"/>
      </w:divBdr>
    </w:div>
    <w:div w:id="823592734">
      <w:marLeft w:val="0"/>
      <w:marRight w:val="0"/>
      <w:marTop w:val="0"/>
      <w:marBottom w:val="0"/>
      <w:divBdr>
        <w:top w:val="none" w:sz="0" w:space="0" w:color="auto"/>
        <w:left w:val="none" w:sz="0" w:space="0" w:color="auto"/>
        <w:bottom w:val="none" w:sz="0" w:space="0" w:color="auto"/>
        <w:right w:val="none" w:sz="0" w:space="0" w:color="auto"/>
      </w:divBdr>
    </w:div>
    <w:div w:id="823592735">
      <w:marLeft w:val="0"/>
      <w:marRight w:val="0"/>
      <w:marTop w:val="0"/>
      <w:marBottom w:val="0"/>
      <w:divBdr>
        <w:top w:val="none" w:sz="0" w:space="0" w:color="auto"/>
        <w:left w:val="none" w:sz="0" w:space="0" w:color="auto"/>
        <w:bottom w:val="none" w:sz="0" w:space="0" w:color="auto"/>
        <w:right w:val="none" w:sz="0" w:space="0" w:color="auto"/>
      </w:divBdr>
    </w:div>
    <w:div w:id="823592736">
      <w:marLeft w:val="0"/>
      <w:marRight w:val="0"/>
      <w:marTop w:val="0"/>
      <w:marBottom w:val="0"/>
      <w:divBdr>
        <w:top w:val="none" w:sz="0" w:space="0" w:color="auto"/>
        <w:left w:val="none" w:sz="0" w:space="0" w:color="auto"/>
        <w:bottom w:val="none" w:sz="0" w:space="0" w:color="auto"/>
        <w:right w:val="none" w:sz="0" w:space="0" w:color="auto"/>
      </w:divBdr>
    </w:div>
    <w:div w:id="823592737">
      <w:marLeft w:val="0"/>
      <w:marRight w:val="0"/>
      <w:marTop w:val="0"/>
      <w:marBottom w:val="0"/>
      <w:divBdr>
        <w:top w:val="none" w:sz="0" w:space="0" w:color="auto"/>
        <w:left w:val="none" w:sz="0" w:space="0" w:color="auto"/>
        <w:bottom w:val="none" w:sz="0" w:space="0" w:color="auto"/>
        <w:right w:val="none" w:sz="0" w:space="0" w:color="auto"/>
      </w:divBdr>
    </w:div>
    <w:div w:id="823592738">
      <w:marLeft w:val="0"/>
      <w:marRight w:val="0"/>
      <w:marTop w:val="0"/>
      <w:marBottom w:val="0"/>
      <w:divBdr>
        <w:top w:val="none" w:sz="0" w:space="0" w:color="auto"/>
        <w:left w:val="none" w:sz="0" w:space="0" w:color="auto"/>
        <w:bottom w:val="none" w:sz="0" w:space="0" w:color="auto"/>
        <w:right w:val="none" w:sz="0" w:space="0" w:color="auto"/>
      </w:divBdr>
    </w:div>
    <w:div w:id="823592739">
      <w:marLeft w:val="0"/>
      <w:marRight w:val="0"/>
      <w:marTop w:val="0"/>
      <w:marBottom w:val="0"/>
      <w:divBdr>
        <w:top w:val="none" w:sz="0" w:space="0" w:color="auto"/>
        <w:left w:val="none" w:sz="0" w:space="0" w:color="auto"/>
        <w:bottom w:val="none" w:sz="0" w:space="0" w:color="auto"/>
        <w:right w:val="none" w:sz="0" w:space="0" w:color="auto"/>
      </w:divBdr>
    </w:div>
    <w:div w:id="823592740">
      <w:marLeft w:val="0"/>
      <w:marRight w:val="0"/>
      <w:marTop w:val="0"/>
      <w:marBottom w:val="0"/>
      <w:divBdr>
        <w:top w:val="none" w:sz="0" w:space="0" w:color="auto"/>
        <w:left w:val="none" w:sz="0" w:space="0" w:color="auto"/>
        <w:bottom w:val="none" w:sz="0" w:space="0" w:color="auto"/>
        <w:right w:val="none" w:sz="0" w:space="0" w:color="auto"/>
      </w:divBdr>
    </w:div>
    <w:div w:id="823592741">
      <w:marLeft w:val="0"/>
      <w:marRight w:val="0"/>
      <w:marTop w:val="0"/>
      <w:marBottom w:val="0"/>
      <w:divBdr>
        <w:top w:val="none" w:sz="0" w:space="0" w:color="auto"/>
        <w:left w:val="none" w:sz="0" w:space="0" w:color="auto"/>
        <w:bottom w:val="none" w:sz="0" w:space="0" w:color="auto"/>
        <w:right w:val="none" w:sz="0" w:space="0" w:color="auto"/>
      </w:divBdr>
    </w:div>
    <w:div w:id="823592742">
      <w:marLeft w:val="0"/>
      <w:marRight w:val="0"/>
      <w:marTop w:val="0"/>
      <w:marBottom w:val="0"/>
      <w:divBdr>
        <w:top w:val="none" w:sz="0" w:space="0" w:color="auto"/>
        <w:left w:val="none" w:sz="0" w:space="0" w:color="auto"/>
        <w:bottom w:val="none" w:sz="0" w:space="0" w:color="auto"/>
        <w:right w:val="none" w:sz="0" w:space="0" w:color="auto"/>
      </w:divBdr>
    </w:div>
    <w:div w:id="823592743">
      <w:marLeft w:val="0"/>
      <w:marRight w:val="0"/>
      <w:marTop w:val="0"/>
      <w:marBottom w:val="0"/>
      <w:divBdr>
        <w:top w:val="none" w:sz="0" w:space="0" w:color="auto"/>
        <w:left w:val="none" w:sz="0" w:space="0" w:color="auto"/>
        <w:bottom w:val="none" w:sz="0" w:space="0" w:color="auto"/>
        <w:right w:val="none" w:sz="0" w:space="0" w:color="auto"/>
      </w:divBdr>
    </w:div>
    <w:div w:id="823592744">
      <w:marLeft w:val="0"/>
      <w:marRight w:val="0"/>
      <w:marTop w:val="0"/>
      <w:marBottom w:val="0"/>
      <w:divBdr>
        <w:top w:val="none" w:sz="0" w:space="0" w:color="auto"/>
        <w:left w:val="none" w:sz="0" w:space="0" w:color="auto"/>
        <w:bottom w:val="none" w:sz="0" w:space="0" w:color="auto"/>
        <w:right w:val="none" w:sz="0" w:space="0" w:color="auto"/>
      </w:divBdr>
    </w:div>
    <w:div w:id="823592745">
      <w:marLeft w:val="0"/>
      <w:marRight w:val="0"/>
      <w:marTop w:val="0"/>
      <w:marBottom w:val="0"/>
      <w:divBdr>
        <w:top w:val="none" w:sz="0" w:space="0" w:color="auto"/>
        <w:left w:val="none" w:sz="0" w:space="0" w:color="auto"/>
        <w:bottom w:val="none" w:sz="0" w:space="0" w:color="auto"/>
        <w:right w:val="none" w:sz="0" w:space="0" w:color="auto"/>
      </w:divBdr>
    </w:div>
    <w:div w:id="823592746">
      <w:marLeft w:val="0"/>
      <w:marRight w:val="0"/>
      <w:marTop w:val="0"/>
      <w:marBottom w:val="0"/>
      <w:divBdr>
        <w:top w:val="none" w:sz="0" w:space="0" w:color="auto"/>
        <w:left w:val="none" w:sz="0" w:space="0" w:color="auto"/>
        <w:bottom w:val="none" w:sz="0" w:space="0" w:color="auto"/>
        <w:right w:val="none" w:sz="0" w:space="0" w:color="auto"/>
      </w:divBdr>
    </w:div>
    <w:div w:id="823592747">
      <w:marLeft w:val="0"/>
      <w:marRight w:val="0"/>
      <w:marTop w:val="0"/>
      <w:marBottom w:val="0"/>
      <w:divBdr>
        <w:top w:val="none" w:sz="0" w:space="0" w:color="auto"/>
        <w:left w:val="none" w:sz="0" w:space="0" w:color="auto"/>
        <w:bottom w:val="none" w:sz="0" w:space="0" w:color="auto"/>
        <w:right w:val="none" w:sz="0" w:space="0" w:color="auto"/>
      </w:divBdr>
    </w:div>
    <w:div w:id="823592748">
      <w:marLeft w:val="0"/>
      <w:marRight w:val="0"/>
      <w:marTop w:val="0"/>
      <w:marBottom w:val="0"/>
      <w:divBdr>
        <w:top w:val="none" w:sz="0" w:space="0" w:color="auto"/>
        <w:left w:val="none" w:sz="0" w:space="0" w:color="auto"/>
        <w:bottom w:val="none" w:sz="0" w:space="0" w:color="auto"/>
        <w:right w:val="none" w:sz="0" w:space="0" w:color="auto"/>
      </w:divBdr>
    </w:div>
    <w:div w:id="823592749">
      <w:marLeft w:val="0"/>
      <w:marRight w:val="0"/>
      <w:marTop w:val="0"/>
      <w:marBottom w:val="0"/>
      <w:divBdr>
        <w:top w:val="none" w:sz="0" w:space="0" w:color="auto"/>
        <w:left w:val="none" w:sz="0" w:space="0" w:color="auto"/>
        <w:bottom w:val="none" w:sz="0" w:space="0" w:color="auto"/>
        <w:right w:val="none" w:sz="0" w:space="0" w:color="auto"/>
      </w:divBdr>
    </w:div>
    <w:div w:id="823592750">
      <w:marLeft w:val="0"/>
      <w:marRight w:val="0"/>
      <w:marTop w:val="0"/>
      <w:marBottom w:val="0"/>
      <w:divBdr>
        <w:top w:val="none" w:sz="0" w:space="0" w:color="auto"/>
        <w:left w:val="none" w:sz="0" w:space="0" w:color="auto"/>
        <w:bottom w:val="none" w:sz="0" w:space="0" w:color="auto"/>
        <w:right w:val="none" w:sz="0" w:space="0" w:color="auto"/>
      </w:divBdr>
    </w:div>
    <w:div w:id="823592751">
      <w:marLeft w:val="0"/>
      <w:marRight w:val="0"/>
      <w:marTop w:val="0"/>
      <w:marBottom w:val="0"/>
      <w:divBdr>
        <w:top w:val="none" w:sz="0" w:space="0" w:color="auto"/>
        <w:left w:val="none" w:sz="0" w:space="0" w:color="auto"/>
        <w:bottom w:val="none" w:sz="0" w:space="0" w:color="auto"/>
        <w:right w:val="none" w:sz="0" w:space="0" w:color="auto"/>
      </w:divBdr>
    </w:div>
    <w:div w:id="823592752">
      <w:marLeft w:val="0"/>
      <w:marRight w:val="0"/>
      <w:marTop w:val="0"/>
      <w:marBottom w:val="0"/>
      <w:divBdr>
        <w:top w:val="none" w:sz="0" w:space="0" w:color="auto"/>
        <w:left w:val="none" w:sz="0" w:space="0" w:color="auto"/>
        <w:bottom w:val="none" w:sz="0" w:space="0" w:color="auto"/>
        <w:right w:val="none" w:sz="0" w:space="0" w:color="auto"/>
      </w:divBdr>
    </w:div>
    <w:div w:id="823592753">
      <w:marLeft w:val="0"/>
      <w:marRight w:val="0"/>
      <w:marTop w:val="0"/>
      <w:marBottom w:val="0"/>
      <w:divBdr>
        <w:top w:val="none" w:sz="0" w:space="0" w:color="auto"/>
        <w:left w:val="none" w:sz="0" w:space="0" w:color="auto"/>
        <w:bottom w:val="none" w:sz="0" w:space="0" w:color="auto"/>
        <w:right w:val="none" w:sz="0" w:space="0" w:color="auto"/>
      </w:divBdr>
    </w:div>
    <w:div w:id="823592754">
      <w:marLeft w:val="0"/>
      <w:marRight w:val="0"/>
      <w:marTop w:val="0"/>
      <w:marBottom w:val="0"/>
      <w:divBdr>
        <w:top w:val="none" w:sz="0" w:space="0" w:color="auto"/>
        <w:left w:val="none" w:sz="0" w:space="0" w:color="auto"/>
        <w:bottom w:val="none" w:sz="0" w:space="0" w:color="auto"/>
        <w:right w:val="none" w:sz="0" w:space="0" w:color="auto"/>
      </w:divBdr>
    </w:div>
    <w:div w:id="823592755">
      <w:marLeft w:val="0"/>
      <w:marRight w:val="0"/>
      <w:marTop w:val="0"/>
      <w:marBottom w:val="0"/>
      <w:divBdr>
        <w:top w:val="none" w:sz="0" w:space="0" w:color="auto"/>
        <w:left w:val="none" w:sz="0" w:space="0" w:color="auto"/>
        <w:bottom w:val="none" w:sz="0" w:space="0" w:color="auto"/>
        <w:right w:val="none" w:sz="0" w:space="0" w:color="auto"/>
      </w:divBdr>
    </w:div>
    <w:div w:id="823592756">
      <w:marLeft w:val="0"/>
      <w:marRight w:val="0"/>
      <w:marTop w:val="0"/>
      <w:marBottom w:val="0"/>
      <w:divBdr>
        <w:top w:val="none" w:sz="0" w:space="0" w:color="auto"/>
        <w:left w:val="none" w:sz="0" w:space="0" w:color="auto"/>
        <w:bottom w:val="none" w:sz="0" w:space="0" w:color="auto"/>
        <w:right w:val="none" w:sz="0" w:space="0" w:color="auto"/>
      </w:divBdr>
    </w:div>
    <w:div w:id="823592757">
      <w:marLeft w:val="0"/>
      <w:marRight w:val="0"/>
      <w:marTop w:val="0"/>
      <w:marBottom w:val="0"/>
      <w:divBdr>
        <w:top w:val="none" w:sz="0" w:space="0" w:color="auto"/>
        <w:left w:val="none" w:sz="0" w:space="0" w:color="auto"/>
        <w:bottom w:val="none" w:sz="0" w:space="0" w:color="auto"/>
        <w:right w:val="none" w:sz="0" w:space="0" w:color="auto"/>
      </w:divBdr>
    </w:div>
    <w:div w:id="823592758">
      <w:marLeft w:val="0"/>
      <w:marRight w:val="0"/>
      <w:marTop w:val="0"/>
      <w:marBottom w:val="0"/>
      <w:divBdr>
        <w:top w:val="none" w:sz="0" w:space="0" w:color="auto"/>
        <w:left w:val="none" w:sz="0" w:space="0" w:color="auto"/>
        <w:bottom w:val="none" w:sz="0" w:space="0" w:color="auto"/>
        <w:right w:val="none" w:sz="0" w:space="0" w:color="auto"/>
      </w:divBdr>
    </w:div>
    <w:div w:id="823592759">
      <w:marLeft w:val="0"/>
      <w:marRight w:val="0"/>
      <w:marTop w:val="0"/>
      <w:marBottom w:val="0"/>
      <w:divBdr>
        <w:top w:val="none" w:sz="0" w:space="0" w:color="auto"/>
        <w:left w:val="none" w:sz="0" w:space="0" w:color="auto"/>
        <w:bottom w:val="none" w:sz="0" w:space="0" w:color="auto"/>
        <w:right w:val="none" w:sz="0" w:space="0" w:color="auto"/>
      </w:divBdr>
    </w:div>
    <w:div w:id="823592760">
      <w:marLeft w:val="0"/>
      <w:marRight w:val="0"/>
      <w:marTop w:val="0"/>
      <w:marBottom w:val="0"/>
      <w:divBdr>
        <w:top w:val="none" w:sz="0" w:space="0" w:color="auto"/>
        <w:left w:val="none" w:sz="0" w:space="0" w:color="auto"/>
        <w:bottom w:val="none" w:sz="0" w:space="0" w:color="auto"/>
        <w:right w:val="none" w:sz="0" w:space="0" w:color="auto"/>
      </w:divBdr>
    </w:div>
    <w:div w:id="823592761">
      <w:marLeft w:val="0"/>
      <w:marRight w:val="0"/>
      <w:marTop w:val="0"/>
      <w:marBottom w:val="0"/>
      <w:divBdr>
        <w:top w:val="none" w:sz="0" w:space="0" w:color="auto"/>
        <w:left w:val="none" w:sz="0" w:space="0" w:color="auto"/>
        <w:bottom w:val="none" w:sz="0" w:space="0" w:color="auto"/>
        <w:right w:val="none" w:sz="0" w:space="0" w:color="auto"/>
      </w:divBdr>
    </w:div>
    <w:div w:id="823592762">
      <w:marLeft w:val="0"/>
      <w:marRight w:val="0"/>
      <w:marTop w:val="0"/>
      <w:marBottom w:val="0"/>
      <w:divBdr>
        <w:top w:val="none" w:sz="0" w:space="0" w:color="auto"/>
        <w:left w:val="none" w:sz="0" w:space="0" w:color="auto"/>
        <w:bottom w:val="none" w:sz="0" w:space="0" w:color="auto"/>
        <w:right w:val="none" w:sz="0" w:space="0" w:color="auto"/>
      </w:divBdr>
    </w:div>
    <w:div w:id="823592763">
      <w:marLeft w:val="0"/>
      <w:marRight w:val="0"/>
      <w:marTop w:val="0"/>
      <w:marBottom w:val="0"/>
      <w:divBdr>
        <w:top w:val="none" w:sz="0" w:space="0" w:color="auto"/>
        <w:left w:val="none" w:sz="0" w:space="0" w:color="auto"/>
        <w:bottom w:val="none" w:sz="0" w:space="0" w:color="auto"/>
        <w:right w:val="none" w:sz="0" w:space="0" w:color="auto"/>
      </w:divBdr>
    </w:div>
    <w:div w:id="823592764">
      <w:marLeft w:val="0"/>
      <w:marRight w:val="0"/>
      <w:marTop w:val="0"/>
      <w:marBottom w:val="0"/>
      <w:divBdr>
        <w:top w:val="none" w:sz="0" w:space="0" w:color="auto"/>
        <w:left w:val="none" w:sz="0" w:space="0" w:color="auto"/>
        <w:bottom w:val="none" w:sz="0" w:space="0" w:color="auto"/>
        <w:right w:val="none" w:sz="0" w:space="0" w:color="auto"/>
      </w:divBdr>
    </w:div>
    <w:div w:id="823592765">
      <w:marLeft w:val="0"/>
      <w:marRight w:val="0"/>
      <w:marTop w:val="0"/>
      <w:marBottom w:val="0"/>
      <w:divBdr>
        <w:top w:val="none" w:sz="0" w:space="0" w:color="auto"/>
        <w:left w:val="none" w:sz="0" w:space="0" w:color="auto"/>
        <w:bottom w:val="none" w:sz="0" w:space="0" w:color="auto"/>
        <w:right w:val="none" w:sz="0" w:space="0" w:color="auto"/>
      </w:divBdr>
    </w:div>
    <w:div w:id="823592766">
      <w:marLeft w:val="0"/>
      <w:marRight w:val="0"/>
      <w:marTop w:val="0"/>
      <w:marBottom w:val="0"/>
      <w:divBdr>
        <w:top w:val="none" w:sz="0" w:space="0" w:color="auto"/>
        <w:left w:val="none" w:sz="0" w:space="0" w:color="auto"/>
        <w:bottom w:val="none" w:sz="0" w:space="0" w:color="auto"/>
        <w:right w:val="none" w:sz="0" w:space="0" w:color="auto"/>
      </w:divBdr>
    </w:div>
    <w:div w:id="823592767">
      <w:marLeft w:val="0"/>
      <w:marRight w:val="0"/>
      <w:marTop w:val="0"/>
      <w:marBottom w:val="0"/>
      <w:divBdr>
        <w:top w:val="none" w:sz="0" w:space="0" w:color="auto"/>
        <w:left w:val="none" w:sz="0" w:space="0" w:color="auto"/>
        <w:bottom w:val="none" w:sz="0" w:space="0" w:color="auto"/>
        <w:right w:val="none" w:sz="0" w:space="0" w:color="auto"/>
      </w:divBdr>
    </w:div>
    <w:div w:id="823592768">
      <w:marLeft w:val="0"/>
      <w:marRight w:val="0"/>
      <w:marTop w:val="0"/>
      <w:marBottom w:val="0"/>
      <w:divBdr>
        <w:top w:val="none" w:sz="0" w:space="0" w:color="auto"/>
        <w:left w:val="none" w:sz="0" w:space="0" w:color="auto"/>
        <w:bottom w:val="none" w:sz="0" w:space="0" w:color="auto"/>
        <w:right w:val="none" w:sz="0" w:space="0" w:color="auto"/>
      </w:divBdr>
    </w:div>
    <w:div w:id="823592769">
      <w:marLeft w:val="0"/>
      <w:marRight w:val="0"/>
      <w:marTop w:val="0"/>
      <w:marBottom w:val="0"/>
      <w:divBdr>
        <w:top w:val="none" w:sz="0" w:space="0" w:color="auto"/>
        <w:left w:val="none" w:sz="0" w:space="0" w:color="auto"/>
        <w:bottom w:val="none" w:sz="0" w:space="0" w:color="auto"/>
        <w:right w:val="none" w:sz="0" w:space="0" w:color="auto"/>
      </w:divBdr>
    </w:div>
    <w:div w:id="823592770">
      <w:marLeft w:val="0"/>
      <w:marRight w:val="0"/>
      <w:marTop w:val="0"/>
      <w:marBottom w:val="0"/>
      <w:divBdr>
        <w:top w:val="none" w:sz="0" w:space="0" w:color="auto"/>
        <w:left w:val="none" w:sz="0" w:space="0" w:color="auto"/>
        <w:bottom w:val="none" w:sz="0" w:space="0" w:color="auto"/>
        <w:right w:val="none" w:sz="0" w:space="0" w:color="auto"/>
      </w:divBdr>
    </w:div>
    <w:div w:id="823592771">
      <w:marLeft w:val="0"/>
      <w:marRight w:val="0"/>
      <w:marTop w:val="0"/>
      <w:marBottom w:val="0"/>
      <w:divBdr>
        <w:top w:val="none" w:sz="0" w:space="0" w:color="auto"/>
        <w:left w:val="none" w:sz="0" w:space="0" w:color="auto"/>
        <w:bottom w:val="none" w:sz="0" w:space="0" w:color="auto"/>
        <w:right w:val="none" w:sz="0" w:space="0" w:color="auto"/>
      </w:divBdr>
    </w:div>
    <w:div w:id="823592772">
      <w:marLeft w:val="0"/>
      <w:marRight w:val="0"/>
      <w:marTop w:val="0"/>
      <w:marBottom w:val="0"/>
      <w:divBdr>
        <w:top w:val="none" w:sz="0" w:space="0" w:color="auto"/>
        <w:left w:val="none" w:sz="0" w:space="0" w:color="auto"/>
        <w:bottom w:val="none" w:sz="0" w:space="0" w:color="auto"/>
        <w:right w:val="none" w:sz="0" w:space="0" w:color="auto"/>
      </w:divBdr>
    </w:div>
    <w:div w:id="823592773">
      <w:marLeft w:val="0"/>
      <w:marRight w:val="0"/>
      <w:marTop w:val="0"/>
      <w:marBottom w:val="0"/>
      <w:divBdr>
        <w:top w:val="none" w:sz="0" w:space="0" w:color="auto"/>
        <w:left w:val="none" w:sz="0" w:space="0" w:color="auto"/>
        <w:bottom w:val="none" w:sz="0" w:space="0" w:color="auto"/>
        <w:right w:val="none" w:sz="0" w:space="0" w:color="auto"/>
      </w:divBdr>
    </w:div>
    <w:div w:id="823592774">
      <w:marLeft w:val="0"/>
      <w:marRight w:val="0"/>
      <w:marTop w:val="0"/>
      <w:marBottom w:val="0"/>
      <w:divBdr>
        <w:top w:val="none" w:sz="0" w:space="0" w:color="auto"/>
        <w:left w:val="none" w:sz="0" w:space="0" w:color="auto"/>
        <w:bottom w:val="none" w:sz="0" w:space="0" w:color="auto"/>
        <w:right w:val="none" w:sz="0" w:space="0" w:color="auto"/>
      </w:divBdr>
    </w:div>
    <w:div w:id="823592775">
      <w:marLeft w:val="0"/>
      <w:marRight w:val="0"/>
      <w:marTop w:val="0"/>
      <w:marBottom w:val="0"/>
      <w:divBdr>
        <w:top w:val="none" w:sz="0" w:space="0" w:color="auto"/>
        <w:left w:val="none" w:sz="0" w:space="0" w:color="auto"/>
        <w:bottom w:val="none" w:sz="0" w:space="0" w:color="auto"/>
        <w:right w:val="none" w:sz="0" w:space="0" w:color="auto"/>
      </w:divBdr>
    </w:div>
    <w:div w:id="823592776">
      <w:marLeft w:val="0"/>
      <w:marRight w:val="0"/>
      <w:marTop w:val="0"/>
      <w:marBottom w:val="0"/>
      <w:divBdr>
        <w:top w:val="none" w:sz="0" w:space="0" w:color="auto"/>
        <w:left w:val="none" w:sz="0" w:space="0" w:color="auto"/>
        <w:bottom w:val="none" w:sz="0" w:space="0" w:color="auto"/>
        <w:right w:val="none" w:sz="0" w:space="0" w:color="auto"/>
      </w:divBdr>
    </w:div>
    <w:div w:id="823592777">
      <w:marLeft w:val="0"/>
      <w:marRight w:val="0"/>
      <w:marTop w:val="0"/>
      <w:marBottom w:val="0"/>
      <w:divBdr>
        <w:top w:val="none" w:sz="0" w:space="0" w:color="auto"/>
        <w:left w:val="none" w:sz="0" w:space="0" w:color="auto"/>
        <w:bottom w:val="none" w:sz="0" w:space="0" w:color="auto"/>
        <w:right w:val="none" w:sz="0" w:space="0" w:color="auto"/>
      </w:divBdr>
    </w:div>
    <w:div w:id="823592778">
      <w:marLeft w:val="0"/>
      <w:marRight w:val="0"/>
      <w:marTop w:val="0"/>
      <w:marBottom w:val="0"/>
      <w:divBdr>
        <w:top w:val="none" w:sz="0" w:space="0" w:color="auto"/>
        <w:left w:val="none" w:sz="0" w:space="0" w:color="auto"/>
        <w:bottom w:val="none" w:sz="0" w:space="0" w:color="auto"/>
        <w:right w:val="none" w:sz="0" w:space="0" w:color="auto"/>
      </w:divBdr>
    </w:div>
    <w:div w:id="823592779">
      <w:marLeft w:val="0"/>
      <w:marRight w:val="0"/>
      <w:marTop w:val="0"/>
      <w:marBottom w:val="0"/>
      <w:divBdr>
        <w:top w:val="none" w:sz="0" w:space="0" w:color="auto"/>
        <w:left w:val="none" w:sz="0" w:space="0" w:color="auto"/>
        <w:bottom w:val="none" w:sz="0" w:space="0" w:color="auto"/>
        <w:right w:val="none" w:sz="0" w:space="0" w:color="auto"/>
      </w:divBdr>
    </w:div>
    <w:div w:id="823592780">
      <w:marLeft w:val="0"/>
      <w:marRight w:val="0"/>
      <w:marTop w:val="0"/>
      <w:marBottom w:val="0"/>
      <w:divBdr>
        <w:top w:val="none" w:sz="0" w:space="0" w:color="auto"/>
        <w:left w:val="none" w:sz="0" w:space="0" w:color="auto"/>
        <w:bottom w:val="none" w:sz="0" w:space="0" w:color="auto"/>
        <w:right w:val="none" w:sz="0" w:space="0" w:color="auto"/>
      </w:divBdr>
    </w:div>
    <w:div w:id="823592781">
      <w:marLeft w:val="0"/>
      <w:marRight w:val="0"/>
      <w:marTop w:val="0"/>
      <w:marBottom w:val="0"/>
      <w:divBdr>
        <w:top w:val="none" w:sz="0" w:space="0" w:color="auto"/>
        <w:left w:val="none" w:sz="0" w:space="0" w:color="auto"/>
        <w:bottom w:val="none" w:sz="0" w:space="0" w:color="auto"/>
        <w:right w:val="none" w:sz="0" w:space="0" w:color="auto"/>
      </w:divBdr>
    </w:div>
    <w:div w:id="837423500">
      <w:bodyDiv w:val="1"/>
      <w:marLeft w:val="0"/>
      <w:marRight w:val="0"/>
      <w:marTop w:val="0"/>
      <w:marBottom w:val="0"/>
      <w:divBdr>
        <w:top w:val="none" w:sz="0" w:space="0" w:color="auto"/>
        <w:left w:val="none" w:sz="0" w:space="0" w:color="auto"/>
        <w:bottom w:val="none" w:sz="0" w:space="0" w:color="auto"/>
        <w:right w:val="none" w:sz="0" w:space="0" w:color="auto"/>
      </w:divBdr>
    </w:div>
    <w:div w:id="841090183">
      <w:bodyDiv w:val="1"/>
      <w:marLeft w:val="0"/>
      <w:marRight w:val="0"/>
      <w:marTop w:val="0"/>
      <w:marBottom w:val="0"/>
      <w:divBdr>
        <w:top w:val="none" w:sz="0" w:space="0" w:color="auto"/>
        <w:left w:val="none" w:sz="0" w:space="0" w:color="auto"/>
        <w:bottom w:val="none" w:sz="0" w:space="0" w:color="auto"/>
        <w:right w:val="none" w:sz="0" w:space="0" w:color="auto"/>
      </w:divBdr>
    </w:div>
    <w:div w:id="843781836">
      <w:bodyDiv w:val="1"/>
      <w:marLeft w:val="0"/>
      <w:marRight w:val="0"/>
      <w:marTop w:val="0"/>
      <w:marBottom w:val="0"/>
      <w:divBdr>
        <w:top w:val="none" w:sz="0" w:space="0" w:color="auto"/>
        <w:left w:val="none" w:sz="0" w:space="0" w:color="auto"/>
        <w:bottom w:val="none" w:sz="0" w:space="0" w:color="auto"/>
        <w:right w:val="none" w:sz="0" w:space="0" w:color="auto"/>
      </w:divBdr>
    </w:div>
    <w:div w:id="847907199">
      <w:bodyDiv w:val="1"/>
      <w:marLeft w:val="0"/>
      <w:marRight w:val="0"/>
      <w:marTop w:val="0"/>
      <w:marBottom w:val="0"/>
      <w:divBdr>
        <w:top w:val="none" w:sz="0" w:space="0" w:color="auto"/>
        <w:left w:val="none" w:sz="0" w:space="0" w:color="auto"/>
        <w:bottom w:val="none" w:sz="0" w:space="0" w:color="auto"/>
        <w:right w:val="none" w:sz="0" w:space="0" w:color="auto"/>
      </w:divBdr>
    </w:div>
    <w:div w:id="853812185">
      <w:bodyDiv w:val="1"/>
      <w:marLeft w:val="0"/>
      <w:marRight w:val="0"/>
      <w:marTop w:val="0"/>
      <w:marBottom w:val="0"/>
      <w:divBdr>
        <w:top w:val="none" w:sz="0" w:space="0" w:color="auto"/>
        <w:left w:val="none" w:sz="0" w:space="0" w:color="auto"/>
        <w:bottom w:val="none" w:sz="0" w:space="0" w:color="auto"/>
        <w:right w:val="none" w:sz="0" w:space="0" w:color="auto"/>
      </w:divBdr>
    </w:div>
    <w:div w:id="885411193">
      <w:bodyDiv w:val="1"/>
      <w:marLeft w:val="0"/>
      <w:marRight w:val="0"/>
      <w:marTop w:val="0"/>
      <w:marBottom w:val="0"/>
      <w:divBdr>
        <w:top w:val="none" w:sz="0" w:space="0" w:color="auto"/>
        <w:left w:val="none" w:sz="0" w:space="0" w:color="auto"/>
        <w:bottom w:val="none" w:sz="0" w:space="0" w:color="auto"/>
        <w:right w:val="none" w:sz="0" w:space="0" w:color="auto"/>
      </w:divBdr>
    </w:div>
    <w:div w:id="913777653">
      <w:bodyDiv w:val="1"/>
      <w:marLeft w:val="0"/>
      <w:marRight w:val="0"/>
      <w:marTop w:val="0"/>
      <w:marBottom w:val="0"/>
      <w:divBdr>
        <w:top w:val="none" w:sz="0" w:space="0" w:color="auto"/>
        <w:left w:val="none" w:sz="0" w:space="0" w:color="auto"/>
        <w:bottom w:val="none" w:sz="0" w:space="0" w:color="auto"/>
        <w:right w:val="none" w:sz="0" w:space="0" w:color="auto"/>
      </w:divBdr>
    </w:div>
    <w:div w:id="914126367">
      <w:bodyDiv w:val="1"/>
      <w:marLeft w:val="0"/>
      <w:marRight w:val="0"/>
      <w:marTop w:val="0"/>
      <w:marBottom w:val="0"/>
      <w:divBdr>
        <w:top w:val="none" w:sz="0" w:space="0" w:color="auto"/>
        <w:left w:val="none" w:sz="0" w:space="0" w:color="auto"/>
        <w:bottom w:val="none" w:sz="0" w:space="0" w:color="auto"/>
        <w:right w:val="none" w:sz="0" w:space="0" w:color="auto"/>
      </w:divBdr>
    </w:div>
    <w:div w:id="919102574">
      <w:bodyDiv w:val="1"/>
      <w:marLeft w:val="0"/>
      <w:marRight w:val="0"/>
      <w:marTop w:val="0"/>
      <w:marBottom w:val="0"/>
      <w:divBdr>
        <w:top w:val="none" w:sz="0" w:space="0" w:color="auto"/>
        <w:left w:val="none" w:sz="0" w:space="0" w:color="auto"/>
        <w:bottom w:val="none" w:sz="0" w:space="0" w:color="auto"/>
        <w:right w:val="none" w:sz="0" w:space="0" w:color="auto"/>
      </w:divBdr>
    </w:div>
    <w:div w:id="925726404">
      <w:bodyDiv w:val="1"/>
      <w:marLeft w:val="0"/>
      <w:marRight w:val="0"/>
      <w:marTop w:val="0"/>
      <w:marBottom w:val="0"/>
      <w:divBdr>
        <w:top w:val="none" w:sz="0" w:space="0" w:color="auto"/>
        <w:left w:val="none" w:sz="0" w:space="0" w:color="auto"/>
        <w:bottom w:val="none" w:sz="0" w:space="0" w:color="auto"/>
        <w:right w:val="none" w:sz="0" w:space="0" w:color="auto"/>
      </w:divBdr>
    </w:div>
    <w:div w:id="932130811">
      <w:bodyDiv w:val="1"/>
      <w:marLeft w:val="0"/>
      <w:marRight w:val="0"/>
      <w:marTop w:val="0"/>
      <w:marBottom w:val="0"/>
      <w:divBdr>
        <w:top w:val="none" w:sz="0" w:space="0" w:color="auto"/>
        <w:left w:val="none" w:sz="0" w:space="0" w:color="auto"/>
        <w:bottom w:val="none" w:sz="0" w:space="0" w:color="auto"/>
        <w:right w:val="none" w:sz="0" w:space="0" w:color="auto"/>
      </w:divBdr>
    </w:div>
    <w:div w:id="942110424">
      <w:bodyDiv w:val="1"/>
      <w:marLeft w:val="0"/>
      <w:marRight w:val="0"/>
      <w:marTop w:val="0"/>
      <w:marBottom w:val="0"/>
      <w:divBdr>
        <w:top w:val="none" w:sz="0" w:space="0" w:color="auto"/>
        <w:left w:val="none" w:sz="0" w:space="0" w:color="auto"/>
        <w:bottom w:val="none" w:sz="0" w:space="0" w:color="auto"/>
        <w:right w:val="none" w:sz="0" w:space="0" w:color="auto"/>
      </w:divBdr>
    </w:div>
    <w:div w:id="975334491">
      <w:bodyDiv w:val="1"/>
      <w:marLeft w:val="0"/>
      <w:marRight w:val="0"/>
      <w:marTop w:val="0"/>
      <w:marBottom w:val="0"/>
      <w:divBdr>
        <w:top w:val="none" w:sz="0" w:space="0" w:color="auto"/>
        <w:left w:val="none" w:sz="0" w:space="0" w:color="auto"/>
        <w:bottom w:val="none" w:sz="0" w:space="0" w:color="auto"/>
        <w:right w:val="none" w:sz="0" w:space="0" w:color="auto"/>
      </w:divBdr>
    </w:div>
    <w:div w:id="984428984">
      <w:bodyDiv w:val="1"/>
      <w:marLeft w:val="0"/>
      <w:marRight w:val="0"/>
      <w:marTop w:val="0"/>
      <w:marBottom w:val="0"/>
      <w:divBdr>
        <w:top w:val="none" w:sz="0" w:space="0" w:color="auto"/>
        <w:left w:val="none" w:sz="0" w:space="0" w:color="auto"/>
        <w:bottom w:val="none" w:sz="0" w:space="0" w:color="auto"/>
        <w:right w:val="none" w:sz="0" w:space="0" w:color="auto"/>
      </w:divBdr>
    </w:div>
    <w:div w:id="1003972990">
      <w:bodyDiv w:val="1"/>
      <w:marLeft w:val="0"/>
      <w:marRight w:val="0"/>
      <w:marTop w:val="0"/>
      <w:marBottom w:val="0"/>
      <w:divBdr>
        <w:top w:val="none" w:sz="0" w:space="0" w:color="auto"/>
        <w:left w:val="none" w:sz="0" w:space="0" w:color="auto"/>
        <w:bottom w:val="none" w:sz="0" w:space="0" w:color="auto"/>
        <w:right w:val="none" w:sz="0" w:space="0" w:color="auto"/>
      </w:divBdr>
    </w:div>
    <w:div w:id="1005326439">
      <w:bodyDiv w:val="1"/>
      <w:marLeft w:val="0"/>
      <w:marRight w:val="0"/>
      <w:marTop w:val="0"/>
      <w:marBottom w:val="0"/>
      <w:divBdr>
        <w:top w:val="none" w:sz="0" w:space="0" w:color="auto"/>
        <w:left w:val="none" w:sz="0" w:space="0" w:color="auto"/>
        <w:bottom w:val="none" w:sz="0" w:space="0" w:color="auto"/>
        <w:right w:val="none" w:sz="0" w:space="0" w:color="auto"/>
      </w:divBdr>
    </w:div>
    <w:div w:id="1030105965">
      <w:bodyDiv w:val="1"/>
      <w:marLeft w:val="0"/>
      <w:marRight w:val="0"/>
      <w:marTop w:val="0"/>
      <w:marBottom w:val="0"/>
      <w:divBdr>
        <w:top w:val="none" w:sz="0" w:space="0" w:color="auto"/>
        <w:left w:val="none" w:sz="0" w:space="0" w:color="auto"/>
        <w:bottom w:val="none" w:sz="0" w:space="0" w:color="auto"/>
        <w:right w:val="none" w:sz="0" w:space="0" w:color="auto"/>
      </w:divBdr>
    </w:div>
    <w:div w:id="1039937226">
      <w:bodyDiv w:val="1"/>
      <w:marLeft w:val="0"/>
      <w:marRight w:val="0"/>
      <w:marTop w:val="0"/>
      <w:marBottom w:val="0"/>
      <w:divBdr>
        <w:top w:val="none" w:sz="0" w:space="0" w:color="auto"/>
        <w:left w:val="none" w:sz="0" w:space="0" w:color="auto"/>
        <w:bottom w:val="none" w:sz="0" w:space="0" w:color="auto"/>
        <w:right w:val="none" w:sz="0" w:space="0" w:color="auto"/>
      </w:divBdr>
    </w:div>
    <w:div w:id="1060399888">
      <w:bodyDiv w:val="1"/>
      <w:marLeft w:val="0"/>
      <w:marRight w:val="0"/>
      <w:marTop w:val="0"/>
      <w:marBottom w:val="0"/>
      <w:divBdr>
        <w:top w:val="none" w:sz="0" w:space="0" w:color="auto"/>
        <w:left w:val="none" w:sz="0" w:space="0" w:color="auto"/>
        <w:bottom w:val="none" w:sz="0" w:space="0" w:color="auto"/>
        <w:right w:val="none" w:sz="0" w:space="0" w:color="auto"/>
      </w:divBdr>
    </w:div>
    <w:div w:id="1084763682">
      <w:bodyDiv w:val="1"/>
      <w:marLeft w:val="0"/>
      <w:marRight w:val="0"/>
      <w:marTop w:val="0"/>
      <w:marBottom w:val="0"/>
      <w:divBdr>
        <w:top w:val="none" w:sz="0" w:space="0" w:color="auto"/>
        <w:left w:val="none" w:sz="0" w:space="0" w:color="auto"/>
        <w:bottom w:val="none" w:sz="0" w:space="0" w:color="auto"/>
        <w:right w:val="none" w:sz="0" w:space="0" w:color="auto"/>
      </w:divBdr>
    </w:div>
    <w:div w:id="1093863393">
      <w:bodyDiv w:val="1"/>
      <w:marLeft w:val="0"/>
      <w:marRight w:val="0"/>
      <w:marTop w:val="0"/>
      <w:marBottom w:val="0"/>
      <w:divBdr>
        <w:top w:val="none" w:sz="0" w:space="0" w:color="auto"/>
        <w:left w:val="none" w:sz="0" w:space="0" w:color="auto"/>
        <w:bottom w:val="none" w:sz="0" w:space="0" w:color="auto"/>
        <w:right w:val="none" w:sz="0" w:space="0" w:color="auto"/>
      </w:divBdr>
    </w:div>
    <w:div w:id="1110080896">
      <w:bodyDiv w:val="1"/>
      <w:marLeft w:val="0"/>
      <w:marRight w:val="0"/>
      <w:marTop w:val="0"/>
      <w:marBottom w:val="0"/>
      <w:divBdr>
        <w:top w:val="none" w:sz="0" w:space="0" w:color="auto"/>
        <w:left w:val="none" w:sz="0" w:space="0" w:color="auto"/>
        <w:bottom w:val="none" w:sz="0" w:space="0" w:color="auto"/>
        <w:right w:val="none" w:sz="0" w:space="0" w:color="auto"/>
      </w:divBdr>
    </w:div>
    <w:div w:id="1135177592">
      <w:bodyDiv w:val="1"/>
      <w:marLeft w:val="0"/>
      <w:marRight w:val="0"/>
      <w:marTop w:val="0"/>
      <w:marBottom w:val="0"/>
      <w:divBdr>
        <w:top w:val="none" w:sz="0" w:space="0" w:color="auto"/>
        <w:left w:val="none" w:sz="0" w:space="0" w:color="auto"/>
        <w:bottom w:val="none" w:sz="0" w:space="0" w:color="auto"/>
        <w:right w:val="none" w:sz="0" w:space="0" w:color="auto"/>
      </w:divBdr>
    </w:div>
    <w:div w:id="1137644616">
      <w:bodyDiv w:val="1"/>
      <w:marLeft w:val="0"/>
      <w:marRight w:val="0"/>
      <w:marTop w:val="0"/>
      <w:marBottom w:val="0"/>
      <w:divBdr>
        <w:top w:val="none" w:sz="0" w:space="0" w:color="auto"/>
        <w:left w:val="none" w:sz="0" w:space="0" w:color="auto"/>
        <w:bottom w:val="none" w:sz="0" w:space="0" w:color="auto"/>
        <w:right w:val="none" w:sz="0" w:space="0" w:color="auto"/>
      </w:divBdr>
    </w:div>
    <w:div w:id="1167212692">
      <w:bodyDiv w:val="1"/>
      <w:marLeft w:val="0"/>
      <w:marRight w:val="0"/>
      <w:marTop w:val="0"/>
      <w:marBottom w:val="0"/>
      <w:divBdr>
        <w:top w:val="none" w:sz="0" w:space="0" w:color="auto"/>
        <w:left w:val="none" w:sz="0" w:space="0" w:color="auto"/>
        <w:bottom w:val="none" w:sz="0" w:space="0" w:color="auto"/>
        <w:right w:val="none" w:sz="0" w:space="0" w:color="auto"/>
      </w:divBdr>
    </w:div>
    <w:div w:id="1195120694">
      <w:bodyDiv w:val="1"/>
      <w:marLeft w:val="0"/>
      <w:marRight w:val="0"/>
      <w:marTop w:val="0"/>
      <w:marBottom w:val="0"/>
      <w:divBdr>
        <w:top w:val="none" w:sz="0" w:space="0" w:color="auto"/>
        <w:left w:val="none" w:sz="0" w:space="0" w:color="auto"/>
        <w:bottom w:val="none" w:sz="0" w:space="0" w:color="auto"/>
        <w:right w:val="none" w:sz="0" w:space="0" w:color="auto"/>
      </w:divBdr>
    </w:div>
    <w:div w:id="1196046419">
      <w:bodyDiv w:val="1"/>
      <w:marLeft w:val="0"/>
      <w:marRight w:val="0"/>
      <w:marTop w:val="0"/>
      <w:marBottom w:val="0"/>
      <w:divBdr>
        <w:top w:val="none" w:sz="0" w:space="0" w:color="auto"/>
        <w:left w:val="none" w:sz="0" w:space="0" w:color="auto"/>
        <w:bottom w:val="none" w:sz="0" w:space="0" w:color="auto"/>
        <w:right w:val="none" w:sz="0" w:space="0" w:color="auto"/>
      </w:divBdr>
    </w:div>
    <w:div w:id="1207525420">
      <w:bodyDiv w:val="1"/>
      <w:marLeft w:val="0"/>
      <w:marRight w:val="0"/>
      <w:marTop w:val="0"/>
      <w:marBottom w:val="0"/>
      <w:divBdr>
        <w:top w:val="none" w:sz="0" w:space="0" w:color="auto"/>
        <w:left w:val="none" w:sz="0" w:space="0" w:color="auto"/>
        <w:bottom w:val="none" w:sz="0" w:space="0" w:color="auto"/>
        <w:right w:val="none" w:sz="0" w:space="0" w:color="auto"/>
      </w:divBdr>
    </w:div>
    <w:div w:id="1218973563">
      <w:bodyDiv w:val="1"/>
      <w:marLeft w:val="0"/>
      <w:marRight w:val="0"/>
      <w:marTop w:val="0"/>
      <w:marBottom w:val="0"/>
      <w:divBdr>
        <w:top w:val="none" w:sz="0" w:space="0" w:color="auto"/>
        <w:left w:val="none" w:sz="0" w:space="0" w:color="auto"/>
        <w:bottom w:val="none" w:sz="0" w:space="0" w:color="auto"/>
        <w:right w:val="none" w:sz="0" w:space="0" w:color="auto"/>
      </w:divBdr>
    </w:div>
    <w:div w:id="1221405527">
      <w:bodyDiv w:val="1"/>
      <w:marLeft w:val="0"/>
      <w:marRight w:val="0"/>
      <w:marTop w:val="0"/>
      <w:marBottom w:val="0"/>
      <w:divBdr>
        <w:top w:val="none" w:sz="0" w:space="0" w:color="auto"/>
        <w:left w:val="none" w:sz="0" w:space="0" w:color="auto"/>
        <w:bottom w:val="none" w:sz="0" w:space="0" w:color="auto"/>
        <w:right w:val="none" w:sz="0" w:space="0" w:color="auto"/>
      </w:divBdr>
      <w:divsChild>
        <w:div w:id="2067684243">
          <w:marLeft w:val="0"/>
          <w:marRight w:val="0"/>
          <w:marTop w:val="0"/>
          <w:marBottom w:val="0"/>
          <w:divBdr>
            <w:top w:val="none" w:sz="0" w:space="0" w:color="auto"/>
            <w:left w:val="none" w:sz="0" w:space="0" w:color="auto"/>
            <w:bottom w:val="none" w:sz="0" w:space="0" w:color="auto"/>
            <w:right w:val="none" w:sz="0" w:space="0" w:color="auto"/>
          </w:divBdr>
          <w:divsChild>
            <w:div w:id="848565169">
              <w:marLeft w:val="0"/>
              <w:marRight w:val="0"/>
              <w:marTop w:val="0"/>
              <w:marBottom w:val="0"/>
              <w:divBdr>
                <w:top w:val="none" w:sz="0" w:space="0" w:color="auto"/>
                <w:left w:val="none" w:sz="0" w:space="0" w:color="auto"/>
                <w:bottom w:val="none" w:sz="0" w:space="0" w:color="auto"/>
                <w:right w:val="none" w:sz="0" w:space="0" w:color="auto"/>
              </w:divBdr>
              <w:divsChild>
                <w:div w:id="774324203">
                  <w:marLeft w:val="0"/>
                  <w:marRight w:val="0"/>
                  <w:marTop w:val="0"/>
                  <w:marBottom w:val="0"/>
                  <w:divBdr>
                    <w:top w:val="none" w:sz="0" w:space="0" w:color="auto"/>
                    <w:left w:val="none" w:sz="0" w:space="0" w:color="auto"/>
                    <w:bottom w:val="none" w:sz="0" w:space="0" w:color="auto"/>
                    <w:right w:val="none" w:sz="0" w:space="0" w:color="auto"/>
                  </w:divBdr>
                  <w:divsChild>
                    <w:div w:id="1599362098">
                      <w:marLeft w:val="0"/>
                      <w:marRight w:val="0"/>
                      <w:marTop w:val="0"/>
                      <w:marBottom w:val="0"/>
                      <w:divBdr>
                        <w:top w:val="none" w:sz="0" w:space="0" w:color="auto"/>
                        <w:left w:val="none" w:sz="0" w:space="0" w:color="auto"/>
                        <w:bottom w:val="none" w:sz="0" w:space="0" w:color="auto"/>
                        <w:right w:val="none" w:sz="0" w:space="0" w:color="auto"/>
                      </w:divBdr>
                      <w:divsChild>
                        <w:div w:id="1773940118">
                          <w:marLeft w:val="0"/>
                          <w:marRight w:val="0"/>
                          <w:marTop w:val="0"/>
                          <w:marBottom w:val="0"/>
                          <w:divBdr>
                            <w:top w:val="none" w:sz="0" w:space="0" w:color="auto"/>
                            <w:left w:val="none" w:sz="0" w:space="0" w:color="auto"/>
                            <w:bottom w:val="none" w:sz="0" w:space="0" w:color="auto"/>
                            <w:right w:val="none" w:sz="0" w:space="0" w:color="auto"/>
                          </w:divBdr>
                          <w:divsChild>
                            <w:div w:id="1595280784">
                              <w:marLeft w:val="0"/>
                              <w:marRight w:val="0"/>
                              <w:marTop w:val="0"/>
                              <w:marBottom w:val="0"/>
                              <w:divBdr>
                                <w:top w:val="none" w:sz="0" w:space="0" w:color="auto"/>
                                <w:left w:val="none" w:sz="0" w:space="0" w:color="auto"/>
                                <w:bottom w:val="none" w:sz="0" w:space="0" w:color="auto"/>
                                <w:right w:val="none" w:sz="0" w:space="0" w:color="auto"/>
                              </w:divBdr>
                              <w:divsChild>
                                <w:div w:id="1697658039">
                                  <w:marLeft w:val="0"/>
                                  <w:marRight w:val="0"/>
                                  <w:marTop w:val="0"/>
                                  <w:marBottom w:val="0"/>
                                  <w:divBdr>
                                    <w:top w:val="none" w:sz="0" w:space="0" w:color="auto"/>
                                    <w:left w:val="none" w:sz="0" w:space="0" w:color="auto"/>
                                    <w:bottom w:val="none" w:sz="0" w:space="0" w:color="auto"/>
                                    <w:right w:val="none" w:sz="0" w:space="0" w:color="auto"/>
                                  </w:divBdr>
                                  <w:divsChild>
                                    <w:div w:id="888419171">
                                      <w:marLeft w:val="0"/>
                                      <w:marRight w:val="0"/>
                                      <w:marTop w:val="0"/>
                                      <w:marBottom w:val="0"/>
                                      <w:divBdr>
                                        <w:top w:val="none" w:sz="0" w:space="0" w:color="auto"/>
                                        <w:left w:val="none" w:sz="0" w:space="0" w:color="auto"/>
                                        <w:bottom w:val="none" w:sz="0" w:space="0" w:color="auto"/>
                                        <w:right w:val="none" w:sz="0" w:space="0" w:color="auto"/>
                                      </w:divBdr>
                                      <w:divsChild>
                                        <w:div w:id="12609061">
                                          <w:marLeft w:val="0"/>
                                          <w:marRight w:val="0"/>
                                          <w:marTop w:val="0"/>
                                          <w:marBottom w:val="0"/>
                                          <w:divBdr>
                                            <w:top w:val="none" w:sz="0" w:space="0" w:color="auto"/>
                                            <w:left w:val="none" w:sz="0" w:space="0" w:color="auto"/>
                                            <w:bottom w:val="none" w:sz="0" w:space="0" w:color="auto"/>
                                            <w:right w:val="none" w:sz="0" w:space="0" w:color="auto"/>
                                          </w:divBdr>
                                          <w:divsChild>
                                            <w:div w:id="205726525">
                                              <w:marLeft w:val="0"/>
                                              <w:marRight w:val="0"/>
                                              <w:marTop w:val="0"/>
                                              <w:marBottom w:val="0"/>
                                              <w:divBdr>
                                                <w:top w:val="none" w:sz="0" w:space="0" w:color="auto"/>
                                                <w:left w:val="none" w:sz="0" w:space="0" w:color="auto"/>
                                                <w:bottom w:val="none" w:sz="0" w:space="0" w:color="auto"/>
                                                <w:right w:val="none" w:sz="0" w:space="0" w:color="auto"/>
                                              </w:divBdr>
                                              <w:divsChild>
                                                <w:div w:id="261424956">
                                                  <w:marLeft w:val="0"/>
                                                  <w:marRight w:val="0"/>
                                                  <w:marTop w:val="0"/>
                                                  <w:marBottom w:val="0"/>
                                                  <w:divBdr>
                                                    <w:top w:val="none" w:sz="0" w:space="0" w:color="auto"/>
                                                    <w:left w:val="none" w:sz="0" w:space="0" w:color="auto"/>
                                                    <w:bottom w:val="none" w:sz="0" w:space="0" w:color="auto"/>
                                                    <w:right w:val="none" w:sz="0" w:space="0" w:color="auto"/>
                                                  </w:divBdr>
                                                  <w:divsChild>
                                                    <w:div w:id="664551943">
                                                      <w:marLeft w:val="0"/>
                                                      <w:marRight w:val="0"/>
                                                      <w:marTop w:val="0"/>
                                                      <w:marBottom w:val="0"/>
                                                      <w:divBdr>
                                                        <w:top w:val="none" w:sz="0" w:space="0" w:color="auto"/>
                                                        <w:left w:val="none" w:sz="0" w:space="0" w:color="auto"/>
                                                        <w:bottom w:val="none" w:sz="0" w:space="0" w:color="auto"/>
                                                        <w:right w:val="none" w:sz="0" w:space="0" w:color="auto"/>
                                                      </w:divBdr>
                                                      <w:divsChild>
                                                        <w:div w:id="249236925">
                                                          <w:marLeft w:val="0"/>
                                                          <w:marRight w:val="0"/>
                                                          <w:marTop w:val="0"/>
                                                          <w:marBottom w:val="0"/>
                                                          <w:divBdr>
                                                            <w:top w:val="none" w:sz="0" w:space="0" w:color="auto"/>
                                                            <w:left w:val="none" w:sz="0" w:space="0" w:color="auto"/>
                                                            <w:bottom w:val="none" w:sz="0" w:space="0" w:color="auto"/>
                                                            <w:right w:val="none" w:sz="0" w:space="0" w:color="auto"/>
                                                          </w:divBdr>
                                                          <w:divsChild>
                                                            <w:div w:id="1265458940">
                                                              <w:marLeft w:val="0"/>
                                                              <w:marRight w:val="150"/>
                                                              <w:marTop w:val="0"/>
                                                              <w:marBottom w:val="150"/>
                                                              <w:divBdr>
                                                                <w:top w:val="none" w:sz="0" w:space="0" w:color="auto"/>
                                                                <w:left w:val="none" w:sz="0" w:space="0" w:color="auto"/>
                                                                <w:bottom w:val="none" w:sz="0" w:space="0" w:color="auto"/>
                                                                <w:right w:val="none" w:sz="0" w:space="0" w:color="auto"/>
                                                              </w:divBdr>
                                                              <w:divsChild>
                                                                <w:div w:id="1688941290">
                                                                  <w:marLeft w:val="0"/>
                                                                  <w:marRight w:val="0"/>
                                                                  <w:marTop w:val="0"/>
                                                                  <w:marBottom w:val="0"/>
                                                                  <w:divBdr>
                                                                    <w:top w:val="none" w:sz="0" w:space="0" w:color="auto"/>
                                                                    <w:left w:val="none" w:sz="0" w:space="0" w:color="auto"/>
                                                                    <w:bottom w:val="none" w:sz="0" w:space="0" w:color="auto"/>
                                                                    <w:right w:val="none" w:sz="0" w:space="0" w:color="auto"/>
                                                                  </w:divBdr>
                                                                  <w:divsChild>
                                                                    <w:div w:id="1362323179">
                                                                      <w:marLeft w:val="0"/>
                                                                      <w:marRight w:val="0"/>
                                                                      <w:marTop w:val="0"/>
                                                                      <w:marBottom w:val="0"/>
                                                                      <w:divBdr>
                                                                        <w:top w:val="none" w:sz="0" w:space="0" w:color="auto"/>
                                                                        <w:left w:val="none" w:sz="0" w:space="0" w:color="auto"/>
                                                                        <w:bottom w:val="none" w:sz="0" w:space="0" w:color="auto"/>
                                                                        <w:right w:val="none" w:sz="0" w:space="0" w:color="auto"/>
                                                                      </w:divBdr>
                                                                      <w:divsChild>
                                                                        <w:div w:id="757486840">
                                                                          <w:marLeft w:val="0"/>
                                                                          <w:marRight w:val="0"/>
                                                                          <w:marTop w:val="0"/>
                                                                          <w:marBottom w:val="0"/>
                                                                          <w:divBdr>
                                                                            <w:top w:val="none" w:sz="0" w:space="0" w:color="auto"/>
                                                                            <w:left w:val="none" w:sz="0" w:space="0" w:color="auto"/>
                                                                            <w:bottom w:val="none" w:sz="0" w:space="0" w:color="auto"/>
                                                                            <w:right w:val="none" w:sz="0" w:space="0" w:color="auto"/>
                                                                          </w:divBdr>
                                                                          <w:divsChild>
                                                                            <w:div w:id="815297051">
                                                                              <w:marLeft w:val="0"/>
                                                                              <w:marRight w:val="0"/>
                                                                              <w:marTop w:val="0"/>
                                                                              <w:marBottom w:val="0"/>
                                                                              <w:divBdr>
                                                                                <w:top w:val="none" w:sz="0" w:space="0" w:color="auto"/>
                                                                                <w:left w:val="none" w:sz="0" w:space="0" w:color="auto"/>
                                                                                <w:bottom w:val="none" w:sz="0" w:space="0" w:color="auto"/>
                                                                                <w:right w:val="none" w:sz="0" w:space="0" w:color="auto"/>
                                                                              </w:divBdr>
                                                                              <w:divsChild>
                                                                                <w:div w:id="636449051">
                                                                                  <w:marLeft w:val="0"/>
                                                                                  <w:marRight w:val="0"/>
                                                                                  <w:marTop w:val="0"/>
                                                                                  <w:marBottom w:val="0"/>
                                                                                  <w:divBdr>
                                                                                    <w:top w:val="none" w:sz="0" w:space="0" w:color="auto"/>
                                                                                    <w:left w:val="none" w:sz="0" w:space="0" w:color="auto"/>
                                                                                    <w:bottom w:val="none" w:sz="0" w:space="0" w:color="auto"/>
                                                                                    <w:right w:val="none" w:sz="0" w:space="0" w:color="auto"/>
                                                                                  </w:divBdr>
                                                                                  <w:divsChild>
                                                                                    <w:div w:id="58480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5991649">
      <w:bodyDiv w:val="1"/>
      <w:marLeft w:val="0"/>
      <w:marRight w:val="0"/>
      <w:marTop w:val="0"/>
      <w:marBottom w:val="0"/>
      <w:divBdr>
        <w:top w:val="none" w:sz="0" w:space="0" w:color="auto"/>
        <w:left w:val="none" w:sz="0" w:space="0" w:color="auto"/>
        <w:bottom w:val="none" w:sz="0" w:space="0" w:color="auto"/>
        <w:right w:val="none" w:sz="0" w:space="0" w:color="auto"/>
      </w:divBdr>
    </w:div>
    <w:div w:id="1227647345">
      <w:bodyDiv w:val="1"/>
      <w:marLeft w:val="0"/>
      <w:marRight w:val="0"/>
      <w:marTop w:val="0"/>
      <w:marBottom w:val="0"/>
      <w:divBdr>
        <w:top w:val="none" w:sz="0" w:space="0" w:color="auto"/>
        <w:left w:val="none" w:sz="0" w:space="0" w:color="auto"/>
        <w:bottom w:val="none" w:sz="0" w:space="0" w:color="auto"/>
        <w:right w:val="none" w:sz="0" w:space="0" w:color="auto"/>
      </w:divBdr>
    </w:div>
    <w:div w:id="1242642906">
      <w:bodyDiv w:val="1"/>
      <w:marLeft w:val="0"/>
      <w:marRight w:val="0"/>
      <w:marTop w:val="0"/>
      <w:marBottom w:val="0"/>
      <w:divBdr>
        <w:top w:val="none" w:sz="0" w:space="0" w:color="auto"/>
        <w:left w:val="none" w:sz="0" w:space="0" w:color="auto"/>
        <w:bottom w:val="none" w:sz="0" w:space="0" w:color="auto"/>
        <w:right w:val="none" w:sz="0" w:space="0" w:color="auto"/>
      </w:divBdr>
    </w:div>
    <w:div w:id="1250581457">
      <w:bodyDiv w:val="1"/>
      <w:marLeft w:val="0"/>
      <w:marRight w:val="0"/>
      <w:marTop w:val="0"/>
      <w:marBottom w:val="0"/>
      <w:divBdr>
        <w:top w:val="none" w:sz="0" w:space="0" w:color="auto"/>
        <w:left w:val="none" w:sz="0" w:space="0" w:color="auto"/>
        <w:bottom w:val="none" w:sz="0" w:space="0" w:color="auto"/>
        <w:right w:val="none" w:sz="0" w:space="0" w:color="auto"/>
      </w:divBdr>
    </w:div>
    <w:div w:id="1250963122">
      <w:bodyDiv w:val="1"/>
      <w:marLeft w:val="0"/>
      <w:marRight w:val="0"/>
      <w:marTop w:val="0"/>
      <w:marBottom w:val="0"/>
      <w:divBdr>
        <w:top w:val="none" w:sz="0" w:space="0" w:color="auto"/>
        <w:left w:val="none" w:sz="0" w:space="0" w:color="auto"/>
        <w:bottom w:val="none" w:sz="0" w:space="0" w:color="auto"/>
        <w:right w:val="none" w:sz="0" w:space="0" w:color="auto"/>
      </w:divBdr>
    </w:div>
    <w:div w:id="1253391106">
      <w:bodyDiv w:val="1"/>
      <w:marLeft w:val="0"/>
      <w:marRight w:val="0"/>
      <w:marTop w:val="0"/>
      <w:marBottom w:val="0"/>
      <w:divBdr>
        <w:top w:val="none" w:sz="0" w:space="0" w:color="auto"/>
        <w:left w:val="none" w:sz="0" w:space="0" w:color="auto"/>
        <w:bottom w:val="none" w:sz="0" w:space="0" w:color="auto"/>
        <w:right w:val="none" w:sz="0" w:space="0" w:color="auto"/>
      </w:divBdr>
    </w:div>
    <w:div w:id="1260137571">
      <w:bodyDiv w:val="1"/>
      <w:marLeft w:val="0"/>
      <w:marRight w:val="0"/>
      <w:marTop w:val="0"/>
      <w:marBottom w:val="0"/>
      <w:divBdr>
        <w:top w:val="none" w:sz="0" w:space="0" w:color="auto"/>
        <w:left w:val="none" w:sz="0" w:space="0" w:color="auto"/>
        <w:bottom w:val="none" w:sz="0" w:space="0" w:color="auto"/>
        <w:right w:val="none" w:sz="0" w:space="0" w:color="auto"/>
      </w:divBdr>
    </w:div>
    <w:div w:id="1262644518">
      <w:bodyDiv w:val="1"/>
      <w:marLeft w:val="0"/>
      <w:marRight w:val="0"/>
      <w:marTop w:val="0"/>
      <w:marBottom w:val="0"/>
      <w:divBdr>
        <w:top w:val="none" w:sz="0" w:space="0" w:color="auto"/>
        <w:left w:val="none" w:sz="0" w:space="0" w:color="auto"/>
        <w:bottom w:val="none" w:sz="0" w:space="0" w:color="auto"/>
        <w:right w:val="none" w:sz="0" w:space="0" w:color="auto"/>
      </w:divBdr>
    </w:div>
    <w:div w:id="1349987315">
      <w:bodyDiv w:val="1"/>
      <w:marLeft w:val="0"/>
      <w:marRight w:val="0"/>
      <w:marTop w:val="0"/>
      <w:marBottom w:val="0"/>
      <w:divBdr>
        <w:top w:val="none" w:sz="0" w:space="0" w:color="auto"/>
        <w:left w:val="none" w:sz="0" w:space="0" w:color="auto"/>
        <w:bottom w:val="none" w:sz="0" w:space="0" w:color="auto"/>
        <w:right w:val="none" w:sz="0" w:space="0" w:color="auto"/>
      </w:divBdr>
    </w:div>
    <w:div w:id="1366103556">
      <w:bodyDiv w:val="1"/>
      <w:marLeft w:val="0"/>
      <w:marRight w:val="0"/>
      <w:marTop w:val="0"/>
      <w:marBottom w:val="0"/>
      <w:divBdr>
        <w:top w:val="none" w:sz="0" w:space="0" w:color="auto"/>
        <w:left w:val="none" w:sz="0" w:space="0" w:color="auto"/>
        <w:bottom w:val="none" w:sz="0" w:space="0" w:color="auto"/>
        <w:right w:val="none" w:sz="0" w:space="0" w:color="auto"/>
      </w:divBdr>
    </w:div>
    <w:div w:id="1367177678">
      <w:bodyDiv w:val="1"/>
      <w:marLeft w:val="0"/>
      <w:marRight w:val="0"/>
      <w:marTop w:val="0"/>
      <w:marBottom w:val="0"/>
      <w:divBdr>
        <w:top w:val="none" w:sz="0" w:space="0" w:color="auto"/>
        <w:left w:val="none" w:sz="0" w:space="0" w:color="auto"/>
        <w:bottom w:val="none" w:sz="0" w:space="0" w:color="auto"/>
        <w:right w:val="none" w:sz="0" w:space="0" w:color="auto"/>
      </w:divBdr>
    </w:div>
    <w:div w:id="1386947977">
      <w:bodyDiv w:val="1"/>
      <w:marLeft w:val="0"/>
      <w:marRight w:val="0"/>
      <w:marTop w:val="0"/>
      <w:marBottom w:val="0"/>
      <w:divBdr>
        <w:top w:val="none" w:sz="0" w:space="0" w:color="auto"/>
        <w:left w:val="none" w:sz="0" w:space="0" w:color="auto"/>
        <w:bottom w:val="none" w:sz="0" w:space="0" w:color="auto"/>
        <w:right w:val="none" w:sz="0" w:space="0" w:color="auto"/>
      </w:divBdr>
    </w:div>
    <w:div w:id="1394155644">
      <w:bodyDiv w:val="1"/>
      <w:marLeft w:val="0"/>
      <w:marRight w:val="0"/>
      <w:marTop w:val="0"/>
      <w:marBottom w:val="0"/>
      <w:divBdr>
        <w:top w:val="none" w:sz="0" w:space="0" w:color="auto"/>
        <w:left w:val="none" w:sz="0" w:space="0" w:color="auto"/>
        <w:bottom w:val="none" w:sz="0" w:space="0" w:color="auto"/>
        <w:right w:val="none" w:sz="0" w:space="0" w:color="auto"/>
      </w:divBdr>
    </w:div>
    <w:div w:id="1401170243">
      <w:bodyDiv w:val="1"/>
      <w:marLeft w:val="0"/>
      <w:marRight w:val="0"/>
      <w:marTop w:val="0"/>
      <w:marBottom w:val="0"/>
      <w:divBdr>
        <w:top w:val="none" w:sz="0" w:space="0" w:color="auto"/>
        <w:left w:val="none" w:sz="0" w:space="0" w:color="auto"/>
        <w:bottom w:val="none" w:sz="0" w:space="0" w:color="auto"/>
        <w:right w:val="none" w:sz="0" w:space="0" w:color="auto"/>
      </w:divBdr>
    </w:div>
    <w:div w:id="1404764976">
      <w:bodyDiv w:val="1"/>
      <w:marLeft w:val="0"/>
      <w:marRight w:val="0"/>
      <w:marTop w:val="0"/>
      <w:marBottom w:val="0"/>
      <w:divBdr>
        <w:top w:val="none" w:sz="0" w:space="0" w:color="auto"/>
        <w:left w:val="none" w:sz="0" w:space="0" w:color="auto"/>
        <w:bottom w:val="none" w:sz="0" w:space="0" w:color="auto"/>
        <w:right w:val="none" w:sz="0" w:space="0" w:color="auto"/>
      </w:divBdr>
    </w:div>
    <w:div w:id="1412198462">
      <w:bodyDiv w:val="1"/>
      <w:marLeft w:val="0"/>
      <w:marRight w:val="0"/>
      <w:marTop w:val="0"/>
      <w:marBottom w:val="0"/>
      <w:divBdr>
        <w:top w:val="none" w:sz="0" w:space="0" w:color="auto"/>
        <w:left w:val="none" w:sz="0" w:space="0" w:color="auto"/>
        <w:bottom w:val="none" w:sz="0" w:space="0" w:color="auto"/>
        <w:right w:val="none" w:sz="0" w:space="0" w:color="auto"/>
      </w:divBdr>
    </w:div>
    <w:div w:id="1412309140">
      <w:bodyDiv w:val="1"/>
      <w:marLeft w:val="0"/>
      <w:marRight w:val="0"/>
      <w:marTop w:val="0"/>
      <w:marBottom w:val="0"/>
      <w:divBdr>
        <w:top w:val="none" w:sz="0" w:space="0" w:color="auto"/>
        <w:left w:val="none" w:sz="0" w:space="0" w:color="auto"/>
        <w:bottom w:val="none" w:sz="0" w:space="0" w:color="auto"/>
        <w:right w:val="none" w:sz="0" w:space="0" w:color="auto"/>
      </w:divBdr>
    </w:div>
    <w:div w:id="1427341262">
      <w:bodyDiv w:val="1"/>
      <w:marLeft w:val="0"/>
      <w:marRight w:val="0"/>
      <w:marTop w:val="0"/>
      <w:marBottom w:val="0"/>
      <w:divBdr>
        <w:top w:val="none" w:sz="0" w:space="0" w:color="auto"/>
        <w:left w:val="none" w:sz="0" w:space="0" w:color="auto"/>
        <w:bottom w:val="none" w:sz="0" w:space="0" w:color="auto"/>
        <w:right w:val="none" w:sz="0" w:space="0" w:color="auto"/>
      </w:divBdr>
    </w:div>
    <w:div w:id="1443068201">
      <w:bodyDiv w:val="1"/>
      <w:marLeft w:val="0"/>
      <w:marRight w:val="0"/>
      <w:marTop w:val="0"/>
      <w:marBottom w:val="0"/>
      <w:divBdr>
        <w:top w:val="none" w:sz="0" w:space="0" w:color="auto"/>
        <w:left w:val="none" w:sz="0" w:space="0" w:color="auto"/>
        <w:bottom w:val="none" w:sz="0" w:space="0" w:color="auto"/>
        <w:right w:val="none" w:sz="0" w:space="0" w:color="auto"/>
      </w:divBdr>
    </w:div>
    <w:div w:id="1451634141">
      <w:bodyDiv w:val="1"/>
      <w:marLeft w:val="0"/>
      <w:marRight w:val="0"/>
      <w:marTop w:val="0"/>
      <w:marBottom w:val="0"/>
      <w:divBdr>
        <w:top w:val="none" w:sz="0" w:space="0" w:color="auto"/>
        <w:left w:val="none" w:sz="0" w:space="0" w:color="auto"/>
        <w:bottom w:val="none" w:sz="0" w:space="0" w:color="auto"/>
        <w:right w:val="none" w:sz="0" w:space="0" w:color="auto"/>
      </w:divBdr>
    </w:div>
    <w:div w:id="1484464372">
      <w:bodyDiv w:val="1"/>
      <w:marLeft w:val="0"/>
      <w:marRight w:val="0"/>
      <w:marTop w:val="0"/>
      <w:marBottom w:val="0"/>
      <w:divBdr>
        <w:top w:val="none" w:sz="0" w:space="0" w:color="auto"/>
        <w:left w:val="none" w:sz="0" w:space="0" w:color="auto"/>
        <w:bottom w:val="none" w:sz="0" w:space="0" w:color="auto"/>
        <w:right w:val="none" w:sz="0" w:space="0" w:color="auto"/>
      </w:divBdr>
    </w:div>
    <w:div w:id="1490293900">
      <w:bodyDiv w:val="1"/>
      <w:marLeft w:val="0"/>
      <w:marRight w:val="0"/>
      <w:marTop w:val="0"/>
      <w:marBottom w:val="0"/>
      <w:divBdr>
        <w:top w:val="none" w:sz="0" w:space="0" w:color="auto"/>
        <w:left w:val="none" w:sz="0" w:space="0" w:color="auto"/>
        <w:bottom w:val="none" w:sz="0" w:space="0" w:color="auto"/>
        <w:right w:val="none" w:sz="0" w:space="0" w:color="auto"/>
      </w:divBdr>
    </w:div>
    <w:div w:id="1505584951">
      <w:bodyDiv w:val="1"/>
      <w:marLeft w:val="0"/>
      <w:marRight w:val="0"/>
      <w:marTop w:val="0"/>
      <w:marBottom w:val="0"/>
      <w:divBdr>
        <w:top w:val="none" w:sz="0" w:space="0" w:color="auto"/>
        <w:left w:val="none" w:sz="0" w:space="0" w:color="auto"/>
        <w:bottom w:val="none" w:sz="0" w:space="0" w:color="auto"/>
        <w:right w:val="none" w:sz="0" w:space="0" w:color="auto"/>
      </w:divBdr>
    </w:div>
    <w:div w:id="1520586221">
      <w:bodyDiv w:val="1"/>
      <w:marLeft w:val="0"/>
      <w:marRight w:val="0"/>
      <w:marTop w:val="0"/>
      <w:marBottom w:val="0"/>
      <w:divBdr>
        <w:top w:val="none" w:sz="0" w:space="0" w:color="auto"/>
        <w:left w:val="none" w:sz="0" w:space="0" w:color="auto"/>
        <w:bottom w:val="none" w:sz="0" w:space="0" w:color="auto"/>
        <w:right w:val="none" w:sz="0" w:space="0" w:color="auto"/>
      </w:divBdr>
    </w:div>
    <w:div w:id="1527595929">
      <w:bodyDiv w:val="1"/>
      <w:marLeft w:val="0"/>
      <w:marRight w:val="0"/>
      <w:marTop w:val="0"/>
      <w:marBottom w:val="0"/>
      <w:divBdr>
        <w:top w:val="none" w:sz="0" w:space="0" w:color="auto"/>
        <w:left w:val="none" w:sz="0" w:space="0" w:color="auto"/>
        <w:bottom w:val="none" w:sz="0" w:space="0" w:color="auto"/>
        <w:right w:val="none" w:sz="0" w:space="0" w:color="auto"/>
      </w:divBdr>
    </w:div>
    <w:div w:id="1529945518">
      <w:bodyDiv w:val="1"/>
      <w:marLeft w:val="0"/>
      <w:marRight w:val="0"/>
      <w:marTop w:val="0"/>
      <w:marBottom w:val="0"/>
      <w:divBdr>
        <w:top w:val="none" w:sz="0" w:space="0" w:color="auto"/>
        <w:left w:val="none" w:sz="0" w:space="0" w:color="auto"/>
        <w:bottom w:val="none" w:sz="0" w:space="0" w:color="auto"/>
        <w:right w:val="none" w:sz="0" w:space="0" w:color="auto"/>
      </w:divBdr>
    </w:div>
    <w:div w:id="1547180917">
      <w:bodyDiv w:val="1"/>
      <w:marLeft w:val="0"/>
      <w:marRight w:val="0"/>
      <w:marTop w:val="0"/>
      <w:marBottom w:val="0"/>
      <w:divBdr>
        <w:top w:val="none" w:sz="0" w:space="0" w:color="auto"/>
        <w:left w:val="none" w:sz="0" w:space="0" w:color="auto"/>
        <w:bottom w:val="none" w:sz="0" w:space="0" w:color="auto"/>
        <w:right w:val="none" w:sz="0" w:space="0" w:color="auto"/>
      </w:divBdr>
    </w:div>
    <w:div w:id="1551768375">
      <w:bodyDiv w:val="1"/>
      <w:marLeft w:val="0"/>
      <w:marRight w:val="0"/>
      <w:marTop w:val="0"/>
      <w:marBottom w:val="0"/>
      <w:divBdr>
        <w:top w:val="none" w:sz="0" w:space="0" w:color="auto"/>
        <w:left w:val="none" w:sz="0" w:space="0" w:color="auto"/>
        <w:bottom w:val="none" w:sz="0" w:space="0" w:color="auto"/>
        <w:right w:val="none" w:sz="0" w:space="0" w:color="auto"/>
      </w:divBdr>
    </w:div>
    <w:div w:id="1579440158">
      <w:bodyDiv w:val="1"/>
      <w:marLeft w:val="0"/>
      <w:marRight w:val="0"/>
      <w:marTop w:val="0"/>
      <w:marBottom w:val="0"/>
      <w:divBdr>
        <w:top w:val="none" w:sz="0" w:space="0" w:color="auto"/>
        <w:left w:val="none" w:sz="0" w:space="0" w:color="auto"/>
        <w:bottom w:val="none" w:sz="0" w:space="0" w:color="auto"/>
        <w:right w:val="none" w:sz="0" w:space="0" w:color="auto"/>
      </w:divBdr>
    </w:div>
    <w:div w:id="1586068511">
      <w:bodyDiv w:val="1"/>
      <w:marLeft w:val="0"/>
      <w:marRight w:val="0"/>
      <w:marTop w:val="0"/>
      <w:marBottom w:val="0"/>
      <w:divBdr>
        <w:top w:val="none" w:sz="0" w:space="0" w:color="auto"/>
        <w:left w:val="none" w:sz="0" w:space="0" w:color="auto"/>
        <w:bottom w:val="none" w:sz="0" w:space="0" w:color="auto"/>
        <w:right w:val="none" w:sz="0" w:space="0" w:color="auto"/>
      </w:divBdr>
    </w:div>
    <w:div w:id="1593927974">
      <w:bodyDiv w:val="1"/>
      <w:marLeft w:val="0"/>
      <w:marRight w:val="0"/>
      <w:marTop w:val="0"/>
      <w:marBottom w:val="0"/>
      <w:divBdr>
        <w:top w:val="none" w:sz="0" w:space="0" w:color="auto"/>
        <w:left w:val="none" w:sz="0" w:space="0" w:color="auto"/>
        <w:bottom w:val="none" w:sz="0" w:space="0" w:color="auto"/>
        <w:right w:val="none" w:sz="0" w:space="0" w:color="auto"/>
      </w:divBdr>
    </w:div>
    <w:div w:id="1599563670">
      <w:bodyDiv w:val="1"/>
      <w:marLeft w:val="0"/>
      <w:marRight w:val="0"/>
      <w:marTop w:val="0"/>
      <w:marBottom w:val="0"/>
      <w:divBdr>
        <w:top w:val="none" w:sz="0" w:space="0" w:color="auto"/>
        <w:left w:val="none" w:sz="0" w:space="0" w:color="auto"/>
        <w:bottom w:val="none" w:sz="0" w:space="0" w:color="auto"/>
        <w:right w:val="none" w:sz="0" w:space="0" w:color="auto"/>
      </w:divBdr>
    </w:div>
    <w:div w:id="1602106303">
      <w:bodyDiv w:val="1"/>
      <w:marLeft w:val="0"/>
      <w:marRight w:val="0"/>
      <w:marTop w:val="0"/>
      <w:marBottom w:val="0"/>
      <w:divBdr>
        <w:top w:val="none" w:sz="0" w:space="0" w:color="auto"/>
        <w:left w:val="none" w:sz="0" w:space="0" w:color="auto"/>
        <w:bottom w:val="none" w:sz="0" w:space="0" w:color="auto"/>
        <w:right w:val="none" w:sz="0" w:space="0" w:color="auto"/>
      </w:divBdr>
    </w:div>
    <w:div w:id="1621451558">
      <w:bodyDiv w:val="1"/>
      <w:marLeft w:val="0"/>
      <w:marRight w:val="0"/>
      <w:marTop w:val="0"/>
      <w:marBottom w:val="0"/>
      <w:divBdr>
        <w:top w:val="none" w:sz="0" w:space="0" w:color="auto"/>
        <w:left w:val="none" w:sz="0" w:space="0" w:color="auto"/>
        <w:bottom w:val="none" w:sz="0" w:space="0" w:color="auto"/>
        <w:right w:val="none" w:sz="0" w:space="0" w:color="auto"/>
      </w:divBdr>
    </w:div>
    <w:div w:id="1624116911">
      <w:bodyDiv w:val="1"/>
      <w:marLeft w:val="0"/>
      <w:marRight w:val="0"/>
      <w:marTop w:val="0"/>
      <w:marBottom w:val="0"/>
      <w:divBdr>
        <w:top w:val="none" w:sz="0" w:space="0" w:color="auto"/>
        <w:left w:val="none" w:sz="0" w:space="0" w:color="auto"/>
        <w:bottom w:val="none" w:sz="0" w:space="0" w:color="auto"/>
        <w:right w:val="none" w:sz="0" w:space="0" w:color="auto"/>
      </w:divBdr>
    </w:div>
    <w:div w:id="1625385567">
      <w:bodyDiv w:val="1"/>
      <w:marLeft w:val="0"/>
      <w:marRight w:val="0"/>
      <w:marTop w:val="0"/>
      <w:marBottom w:val="0"/>
      <w:divBdr>
        <w:top w:val="none" w:sz="0" w:space="0" w:color="auto"/>
        <w:left w:val="none" w:sz="0" w:space="0" w:color="auto"/>
        <w:bottom w:val="none" w:sz="0" w:space="0" w:color="auto"/>
        <w:right w:val="none" w:sz="0" w:space="0" w:color="auto"/>
      </w:divBdr>
    </w:div>
    <w:div w:id="1635058143">
      <w:bodyDiv w:val="1"/>
      <w:marLeft w:val="0"/>
      <w:marRight w:val="0"/>
      <w:marTop w:val="0"/>
      <w:marBottom w:val="0"/>
      <w:divBdr>
        <w:top w:val="none" w:sz="0" w:space="0" w:color="auto"/>
        <w:left w:val="none" w:sz="0" w:space="0" w:color="auto"/>
        <w:bottom w:val="none" w:sz="0" w:space="0" w:color="auto"/>
        <w:right w:val="none" w:sz="0" w:space="0" w:color="auto"/>
      </w:divBdr>
    </w:div>
    <w:div w:id="1674186588">
      <w:bodyDiv w:val="1"/>
      <w:marLeft w:val="0"/>
      <w:marRight w:val="0"/>
      <w:marTop w:val="0"/>
      <w:marBottom w:val="0"/>
      <w:divBdr>
        <w:top w:val="none" w:sz="0" w:space="0" w:color="auto"/>
        <w:left w:val="none" w:sz="0" w:space="0" w:color="auto"/>
        <w:bottom w:val="none" w:sz="0" w:space="0" w:color="auto"/>
        <w:right w:val="none" w:sz="0" w:space="0" w:color="auto"/>
      </w:divBdr>
    </w:div>
    <w:div w:id="1677223903">
      <w:bodyDiv w:val="1"/>
      <w:marLeft w:val="0"/>
      <w:marRight w:val="0"/>
      <w:marTop w:val="0"/>
      <w:marBottom w:val="0"/>
      <w:divBdr>
        <w:top w:val="none" w:sz="0" w:space="0" w:color="auto"/>
        <w:left w:val="none" w:sz="0" w:space="0" w:color="auto"/>
        <w:bottom w:val="none" w:sz="0" w:space="0" w:color="auto"/>
        <w:right w:val="none" w:sz="0" w:space="0" w:color="auto"/>
      </w:divBdr>
    </w:div>
    <w:div w:id="1679505706">
      <w:bodyDiv w:val="1"/>
      <w:marLeft w:val="0"/>
      <w:marRight w:val="0"/>
      <w:marTop w:val="0"/>
      <w:marBottom w:val="0"/>
      <w:divBdr>
        <w:top w:val="none" w:sz="0" w:space="0" w:color="auto"/>
        <w:left w:val="none" w:sz="0" w:space="0" w:color="auto"/>
        <w:bottom w:val="none" w:sz="0" w:space="0" w:color="auto"/>
        <w:right w:val="none" w:sz="0" w:space="0" w:color="auto"/>
      </w:divBdr>
    </w:div>
    <w:div w:id="1680309788">
      <w:bodyDiv w:val="1"/>
      <w:marLeft w:val="0"/>
      <w:marRight w:val="0"/>
      <w:marTop w:val="0"/>
      <w:marBottom w:val="0"/>
      <w:divBdr>
        <w:top w:val="none" w:sz="0" w:space="0" w:color="auto"/>
        <w:left w:val="none" w:sz="0" w:space="0" w:color="auto"/>
        <w:bottom w:val="none" w:sz="0" w:space="0" w:color="auto"/>
        <w:right w:val="none" w:sz="0" w:space="0" w:color="auto"/>
      </w:divBdr>
    </w:div>
    <w:div w:id="1696224441">
      <w:bodyDiv w:val="1"/>
      <w:marLeft w:val="0"/>
      <w:marRight w:val="0"/>
      <w:marTop w:val="0"/>
      <w:marBottom w:val="0"/>
      <w:divBdr>
        <w:top w:val="none" w:sz="0" w:space="0" w:color="auto"/>
        <w:left w:val="none" w:sz="0" w:space="0" w:color="auto"/>
        <w:bottom w:val="none" w:sz="0" w:space="0" w:color="auto"/>
        <w:right w:val="none" w:sz="0" w:space="0" w:color="auto"/>
      </w:divBdr>
    </w:div>
    <w:div w:id="1708991147">
      <w:bodyDiv w:val="1"/>
      <w:marLeft w:val="0"/>
      <w:marRight w:val="0"/>
      <w:marTop w:val="0"/>
      <w:marBottom w:val="0"/>
      <w:divBdr>
        <w:top w:val="none" w:sz="0" w:space="0" w:color="auto"/>
        <w:left w:val="none" w:sz="0" w:space="0" w:color="auto"/>
        <w:bottom w:val="none" w:sz="0" w:space="0" w:color="auto"/>
        <w:right w:val="none" w:sz="0" w:space="0" w:color="auto"/>
      </w:divBdr>
    </w:div>
    <w:div w:id="1709069096">
      <w:bodyDiv w:val="1"/>
      <w:marLeft w:val="0"/>
      <w:marRight w:val="0"/>
      <w:marTop w:val="0"/>
      <w:marBottom w:val="0"/>
      <w:divBdr>
        <w:top w:val="none" w:sz="0" w:space="0" w:color="auto"/>
        <w:left w:val="none" w:sz="0" w:space="0" w:color="auto"/>
        <w:bottom w:val="none" w:sz="0" w:space="0" w:color="auto"/>
        <w:right w:val="none" w:sz="0" w:space="0" w:color="auto"/>
      </w:divBdr>
    </w:div>
    <w:div w:id="1718092190">
      <w:bodyDiv w:val="1"/>
      <w:marLeft w:val="0"/>
      <w:marRight w:val="0"/>
      <w:marTop w:val="0"/>
      <w:marBottom w:val="0"/>
      <w:divBdr>
        <w:top w:val="none" w:sz="0" w:space="0" w:color="auto"/>
        <w:left w:val="none" w:sz="0" w:space="0" w:color="auto"/>
        <w:bottom w:val="none" w:sz="0" w:space="0" w:color="auto"/>
        <w:right w:val="none" w:sz="0" w:space="0" w:color="auto"/>
      </w:divBdr>
    </w:div>
    <w:div w:id="1741903315">
      <w:bodyDiv w:val="1"/>
      <w:marLeft w:val="0"/>
      <w:marRight w:val="0"/>
      <w:marTop w:val="0"/>
      <w:marBottom w:val="0"/>
      <w:divBdr>
        <w:top w:val="none" w:sz="0" w:space="0" w:color="auto"/>
        <w:left w:val="none" w:sz="0" w:space="0" w:color="auto"/>
        <w:bottom w:val="none" w:sz="0" w:space="0" w:color="auto"/>
        <w:right w:val="none" w:sz="0" w:space="0" w:color="auto"/>
      </w:divBdr>
    </w:div>
    <w:div w:id="1750079863">
      <w:bodyDiv w:val="1"/>
      <w:marLeft w:val="0"/>
      <w:marRight w:val="0"/>
      <w:marTop w:val="0"/>
      <w:marBottom w:val="0"/>
      <w:divBdr>
        <w:top w:val="none" w:sz="0" w:space="0" w:color="auto"/>
        <w:left w:val="none" w:sz="0" w:space="0" w:color="auto"/>
        <w:bottom w:val="none" w:sz="0" w:space="0" w:color="auto"/>
        <w:right w:val="none" w:sz="0" w:space="0" w:color="auto"/>
      </w:divBdr>
    </w:div>
    <w:div w:id="1753509583">
      <w:bodyDiv w:val="1"/>
      <w:marLeft w:val="0"/>
      <w:marRight w:val="0"/>
      <w:marTop w:val="0"/>
      <w:marBottom w:val="0"/>
      <w:divBdr>
        <w:top w:val="none" w:sz="0" w:space="0" w:color="auto"/>
        <w:left w:val="none" w:sz="0" w:space="0" w:color="auto"/>
        <w:bottom w:val="none" w:sz="0" w:space="0" w:color="auto"/>
        <w:right w:val="none" w:sz="0" w:space="0" w:color="auto"/>
      </w:divBdr>
    </w:div>
    <w:div w:id="1769545867">
      <w:bodyDiv w:val="1"/>
      <w:marLeft w:val="0"/>
      <w:marRight w:val="0"/>
      <w:marTop w:val="0"/>
      <w:marBottom w:val="0"/>
      <w:divBdr>
        <w:top w:val="none" w:sz="0" w:space="0" w:color="auto"/>
        <w:left w:val="none" w:sz="0" w:space="0" w:color="auto"/>
        <w:bottom w:val="none" w:sz="0" w:space="0" w:color="auto"/>
        <w:right w:val="none" w:sz="0" w:space="0" w:color="auto"/>
      </w:divBdr>
    </w:div>
    <w:div w:id="1782410862">
      <w:bodyDiv w:val="1"/>
      <w:marLeft w:val="0"/>
      <w:marRight w:val="0"/>
      <w:marTop w:val="0"/>
      <w:marBottom w:val="0"/>
      <w:divBdr>
        <w:top w:val="none" w:sz="0" w:space="0" w:color="auto"/>
        <w:left w:val="none" w:sz="0" w:space="0" w:color="auto"/>
        <w:bottom w:val="none" w:sz="0" w:space="0" w:color="auto"/>
        <w:right w:val="none" w:sz="0" w:space="0" w:color="auto"/>
      </w:divBdr>
    </w:div>
    <w:div w:id="1786583472">
      <w:bodyDiv w:val="1"/>
      <w:marLeft w:val="0"/>
      <w:marRight w:val="0"/>
      <w:marTop w:val="0"/>
      <w:marBottom w:val="0"/>
      <w:divBdr>
        <w:top w:val="none" w:sz="0" w:space="0" w:color="auto"/>
        <w:left w:val="none" w:sz="0" w:space="0" w:color="auto"/>
        <w:bottom w:val="none" w:sz="0" w:space="0" w:color="auto"/>
        <w:right w:val="none" w:sz="0" w:space="0" w:color="auto"/>
      </w:divBdr>
    </w:div>
    <w:div w:id="1801414785">
      <w:bodyDiv w:val="1"/>
      <w:marLeft w:val="0"/>
      <w:marRight w:val="0"/>
      <w:marTop w:val="0"/>
      <w:marBottom w:val="0"/>
      <w:divBdr>
        <w:top w:val="none" w:sz="0" w:space="0" w:color="auto"/>
        <w:left w:val="none" w:sz="0" w:space="0" w:color="auto"/>
        <w:bottom w:val="none" w:sz="0" w:space="0" w:color="auto"/>
        <w:right w:val="none" w:sz="0" w:space="0" w:color="auto"/>
      </w:divBdr>
    </w:div>
    <w:div w:id="1822769058">
      <w:bodyDiv w:val="1"/>
      <w:marLeft w:val="0"/>
      <w:marRight w:val="0"/>
      <w:marTop w:val="0"/>
      <w:marBottom w:val="0"/>
      <w:divBdr>
        <w:top w:val="none" w:sz="0" w:space="0" w:color="auto"/>
        <w:left w:val="none" w:sz="0" w:space="0" w:color="auto"/>
        <w:bottom w:val="none" w:sz="0" w:space="0" w:color="auto"/>
        <w:right w:val="none" w:sz="0" w:space="0" w:color="auto"/>
      </w:divBdr>
    </w:div>
    <w:div w:id="1833569721">
      <w:bodyDiv w:val="1"/>
      <w:marLeft w:val="0"/>
      <w:marRight w:val="0"/>
      <w:marTop w:val="0"/>
      <w:marBottom w:val="0"/>
      <w:divBdr>
        <w:top w:val="none" w:sz="0" w:space="0" w:color="auto"/>
        <w:left w:val="none" w:sz="0" w:space="0" w:color="auto"/>
        <w:bottom w:val="none" w:sz="0" w:space="0" w:color="auto"/>
        <w:right w:val="none" w:sz="0" w:space="0" w:color="auto"/>
      </w:divBdr>
    </w:div>
    <w:div w:id="1844272715">
      <w:bodyDiv w:val="1"/>
      <w:marLeft w:val="0"/>
      <w:marRight w:val="0"/>
      <w:marTop w:val="0"/>
      <w:marBottom w:val="0"/>
      <w:divBdr>
        <w:top w:val="none" w:sz="0" w:space="0" w:color="auto"/>
        <w:left w:val="none" w:sz="0" w:space="0" w:color="auto"/>
        <w:bottom w:val="none" w:sz="0" w:space="0" w:color="auto"/>
        <w:right w:val="none" w:sz="0" w:space="0" w:color="auto"/>
      </w:divBdr>
    </w:div>
    <w:div w:id="1895193982">
      <w:bodyDiv w:val="1"/>
      <w:marLeft w:val="0"/>
      <w:marRight w:val="0"/>
      <w:marTop w:val="0"/>
      <w:marBottom w:val="0"/>
      <w:divBdr>
        <w:top w:val="none" w:sz="0" w:space="0" w:color="auto"/>
        <w:left w:val="none" w:sz="0" w:space="0" w:color="auto"/>
        <w:bottom w:val="none" w:sz="0" w:space="0" w:color="auto"/>
        <w:right w:val="none" w:sz="0" w:space="0" w:color="auto"/>
      </w:divBdr>
    </w:div>
    <w:div w:id="1904636015">
      <w:bodyDiv w:val="1"/>
      <w:marLeft w:val="0"/>
      <w:marRight w:val="0"/>
      <w:marTop w:val="0"/>
      <w:marBottom w:val="0"/>
      <w:divBdr>
        <w:top w:val="none" w:sz="0" w:space="0" w:color="auto"/>
        <w:left w:val="none" w:sz="0" w:space="0" w:color="auto"/>
        <w:bottom w:val="none" w:sz="0" w:space="0" w:color="auto"/>
        <w:right w:val="none" w:sz="0" w:space="0" w:color="auto"/>
      </w:divBdr>
    </w:div>
    <w:div w:id="1910075539">
      <w:bodyDiv w:val="1"/>
      <w:marLeft w:val="0"/>
      <w:marRight w:val="0"/>
      <w:marTop w:val="0"/>
      <w:marBottom w:val="0"/>
      <w:divBdr>
        <w:top w:val="none" w:sz="0" w:space="0" w:color="auto"/>
        <w:left w:val="none" w:sz="0" w:space="0" w:color="auto"/>
        <w:bottom w:val="none" w:sz="0" w:space="0" w:color="auto"/>
        <w:right w:val="none" w:sz="0" w:space="0" w:color="auto"/>
      </w:divBdr>
    </w:div>
    <w:div w:id="1928882859">
      <w:bodyDiv w:val="1"/>
      <w:marLeft w:val="0"/>
      <w:marRight w:val="0"/>
      <w:marTop w:val="0"/>
      <w:marBottom w:val="0"/>
      <w:divBdr>
        <w:top w:val="none" w:sz="0" w:space="0" w:color="auto"/>
        <w:left w:val="none" w:sz="0" w:space="0" w:color="auto"/>
        <w:bottom w:val="none" w:sz="0" w:space="0" w:color="auto"/>
        <w:right w:val="none" w:sz="0" w:space="0" w:color="auto"/>
      </w:divBdr>
    </w:div>
    <w:div w:id="1953051697">
      <w:bodyDiv w:val="1"/>
      <w:marLeft w:val="0"/>
      <w:marRight w:val="0"/>
      <w:marTop w:val="0"/>
      <w:marBottom w:val="0"/>
      <w:divBdr>
        <w:top w:val="none" w:sz="0" w:space="0" w:color="auto"/>
        <w:left w:val="none" w:sz="0" w:space="0" w:color="auto"/>
        <w:bottom w:val="none" w:sz="0" w:space="0" w:color="auto"/>
        <w:right w:val="none" w:sz="0" w:space="0" w:color="auto"/>
      </w:divBdr>
    </w:div>
    <w:div w:id="1954168181">
      <w:bodyDiv w:val="1"/>
      <w:marLeft w:val="0"/>
      <w:marRight w:val="0"/>
      <w:marTop w:val="0"/>
      <w:marBottom w:val="0"/>
      <w:divBdr>
        <w:top w:val="none" w:sz="0" w:space="0" w:color="auto"/>
        <w:left w:val="none" w:sz="0" w:space="0" w:color="auto"/>
        <w:bottom w:val="none" w:sz="0" w:space="0" w:color="auto"/>
        <w:right w:val="none" w:sz="0" w:space="0" w:color="auto"/>
      </w:divBdr>
    </w:div>
    <w:div w:id="1975714349">
      <w:bodyDiv w:val="1"/>
      <w:marLeft w:val="0"/>
      <w:marRight w:val="0"/>
      <w:marTop w:val="0"/>
      <w:marBottom w:val="0"/>
      <w:divBdr>
        <w:top w:val="none" w:sz="0" w:space="0" w:color="auto"/>
        <w:left w:val="none" w:sz="0" w:space="0" w:color="auto"/>
        <w:bottom w:val="none" w:sz="0" w:space="0" w:color="auto"/>
        <w:right w:val="none" w:sz="0" w:space="0" w:color="auto"/>
      </w:divBdr>
    </w:div>
    <w:div w:id="1983532464">
      <w:bodyDiv w:val="1"/>
      <w:marLeft w:val="0"/>
      <w:marRight w:val="0"/>
      <w:marTop w:val="0"/>
      <w:marBottom w:val="0"/>
      <w:divBdr>
        <w:top w:val="none" w:sz="0" w:space="0" w:color="auto"/>
        <w:left w:val="none" w:sz="0" w:space="0" w:color="auto"/>
        <w:bottom w:val="none" w:sz="0" w:space="0" w:color="auto"/>
        <w:right w:val="none" w:sz="0" w:space="0" w:color="auto"/>
      </w:divBdr>
    </w:div>
    <w:div w:id="1983658378">
      <w:bodyDiv w:val="1"/>
      <w:marLeft w:val="0"/>
      <w:marRight w:val="0"/>
      <w:marTop w:val="0"/>
      <w:marBottom w:val="0"/>
      <w:divBdr>
        <w:top w:val="none" w:sz="0" w:space="0" w:color="auto"/>
        <w:left w:val="none" w:sz="0" w:space="0" w:color="auto"/>
        <w:bottom w:val="none" w:sz="0" w:space="0" w:color="auto"/>
        <w:right w:val="none" w:sz="0" w:space="0" w:color="auto"/>
      </w:divBdr>
    </w:div>
    <w:div w:id="1991975919">
      <w:bodyDiv w:val="1"/>
      <w:marLeft w:val="0"/>
      <w:marRight w:val="0"/>
      <w:marTop w:val="0"/>
      <w:marBottom w:val="0"/>
      <w:divBdr>
        <w:top w:val="none" w:sz="0" w:space="0" w:color="auto"/>
        <w:left w:val="none" w:sz="0" w:space="0" w:color="auto"/>
        <w:bottom w:val="none" w:sz="0" w:space="0" w:color="auto"/>
        <w:right w:val="none" w:sz="0" w:space="0" w:color="auto"/>
      </w:divBdr>
    </w:div>
    <w:div w:id="1994135538">
      <w:bodyDiv w:val="1"/>
      <w:marLeft w:val="0"/>
      <w:marRight w:val="0"/>
      <w:marTop w:val="0"/>
      <w:marBottom w:val="0"/>
      <w:divBdr>
        <w:top w:val="none" w:sz="0" w:space="0" w:color="auto"/>
        <w:left w:val="none" w:sz="0" w:space="0" w:color="auto"/>
        <w:bottom w:val="none" w:sz="0" w:space="0" w:color="auto"/>
        <w:right w:val="none" w:sz="0" w:space="0" w:color="auto"/>
      </w:divBdr>
    </w:div>
    <w:div w:id="2013145425">
      <w:bodyDiv w:val="1"/>
      <w:marLeft w:val="0"/>
      <w:marRight w:val="0"/>
      <w:marTop w:val="0"/>
      <w:marBottom w:val="0"/>
      <w:divBdr>
        <w:top w:val="none" w:sz="0" w:space="0" w:color="auto"/>
        <w:left w:val="none" w:sz="0" w:space="0" w:color="auto"/>
        <w:bottom w:val="none" w:sz="0" w:space="0" w:color="auto"/>
        <w:right w:val="none" w:sz="0" w:space="0" w:color="auto"/>
      </w:divBdr>
    </w:div>
    <w:div w:id="2055032244">
      <w:bodyDiv w:val="1"/>
      <w:marLeft w:val="0"/>
      <w:marRight w:val="0"/>
      <w:marTop w:val="0"/>
      <w:marBottom w:val="0"/>
      <w:divBdr>
        <w:top w:val="none" w:sz="0" w:space="0" w:color="auto"/>
        <w:left w:val="none" w:sz="0" w:space="0" w:color="auto"/>
        <w:bottom w:val="none" w:sz="0" w:space="0" w:color="auto"/>
        <w:right w:val="none" w:sz="0" w:space="0" w:color="auto"/>
      </w:divBdr>
    </w:div>
    <w:div w:id="2076967418">
      <w:bodyDiv w:val="1"/>
      <w:marLeft w:val="0"/>
      <w:marRight w:val="0"/>
      <w:marTop w:val="0"/>
      <w:marBottom w:val="0"/>
      <w:divBdr>
        <w:top w:val="none" w:sz="0" w:space="0" w:color="auto"/>
        <w:left w:val="none" w:sz="0" w:space="0" w:color="auto"/>
        <w:bottom w:val="none" w:sz="0" w:space="0" w:color="auto"/>
        <w:right w:val="none" w:sz="0" w:space="0" w:color="auto"/>
      </w:divBdr>
    </w:div>
    <w:div w:id="2091391398">
      <w:bodyDiv w:val="1"/>
      <w:marLeft w:val="0"/>
      <w:marRight w:val="0"/>
      <w:marTop w:val="0"/>
      <w:marBottom w:val="0"/>
      <w:divBdr>
        <w:top w:val="none" w:sz="0" w:space="0" w:color="auto"/>
        <w:left w:val="none" w:sz="0" w:space="0" w:color="auto"/>
        <w:bottom w:val="none" w:sz="0" w:space="0" w:color="auto"/>
        <w:right w:val="none" w:sz="0" w:space="0" w:color="auto"/>
      </w:divBdr>
    </w:div>
    <w:div w:id="2092265006">
      <w:bodyDiv w:val="1"/>
      <w:marLeft w:val="0"/>
      <w:marRight w:val="0"/>
      <w:marTop w:val="0"/>
      <w:marBottom w:val="0"/>
      <w:divBdr>
        <w:top w:val="none" w:sz="0" w:space="0" w:color="auto"/>
        <w:left w:val="none" w:sz="0" w:space="0" w:color="auto"/>
        <w:bottom w:val="none" w:sz="0" w:space="0" w:color="auto"/>
        <w:right w:val="none" w:sz="0" w:space="0" w:color="auto"/>
      </w:divBdr>
    </w:div>
    <w:div w:id="2095470546">
      <w:bodyDiv w:val="1"/>
      <w:marLeft w:val="0"/>
      <w:marRight w:val="0"/>
      <w:marTop w:val="0"/>
      <w:marBottom w:val="0"/>
      <w:divBdr>
        <w:top w:val="none" w:sz="0" w:space="0" w:color="auto"/>
        <w:left w:val="none" w:sz="0" w:space="0" w:color="auto"/>
        <w:bottom w:val="none" w:sz="0" w:space="0" w:color="auto"/>
        <w:right w:val="none" w:sz="0" w:space="0" w:color="auto"/>
      </w:divBdr>
    </w:div>
    <w:div w:id="2129545532">
      <w:bodyDiv w:val="1"/>
      <w:marLeft w:val="0"/>
      <w:marRight w:val="0"/>
      <w:marTop w:val="0"/>
      <w:marBottom w:val="0"/>
      <w:divBdr>
        <w:top w:val="none" w:sz="0" w:space="0" w:color="auto"/>
        <w:left w:val="none" w:sz="0" w:space="0" w:color="auto"/>
        <w:bottom w:val="none" w:sz="0" w:space="0" w:color="auto"/>
        <w:right w:val="none" w:sz="0" w:space="0" w:color="auto"/>
      </w:divBdr>
    </w:div>
    <w:div w:id="2144541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footer" Target="footer2.xml"/><Relationship Id="rId34" Type="http://schemas.openxmlformats.org/officeDocument/2006/relationships/header" Target="header5.xml"/><Relationship Id="rId42" Type="http://schemas.openxmlformats.org/officeDocument/2006/relationships/hyperlink" Target="file:///C:\Users\mpagnotta\AppData\Local\Microsoft\Windows\Temporary%20Internet%20Files\Content.MSO\A897C9E8.xlsx" TargetMode="External"/><Relationship Id="rId47" Type="http://schemas.openxmlformats.org/officeDocument/2006/relationships/hyperlink" Target="file:///C:\Users\mpagnotta\AppData\Local\Microsoft\Windows\Temporary%20Internet%20Files\Content.MSO\C7A6F7DF.xlsx" TargetMode="External"/><Relationship Id="rId50" Type="http://schemas.openxmlformats.org/officeDocument/2006/relationships/hyperlink" Target="file:///C:\Users\mpagnotta\AppData\Local\Microsoft\Windows\Temporary%20Internet%20Files\Content.MSO\DF578A03.xlsx" TargetMode="External"/><Relationship Id="rId55" Type="http://schemas.openxmlformats.org/officeDocument/2006/relationships/image" Target="media/image3.emf"/><Relationship Id="rId63" Type="http://schemas.openxmlformats.org/officeDocument/2006/relationships/image" Target="media/image4.png"/><Relationship Id="rId68" Type="http://schemas.openxmlformats.org/officeDocument/2006/relationships/chart" Target="charts/chart18.xml"/><Relationship Id="rId76" Type="http://schemas.openxmlformats.org/officeDocument/2006/relationships/chart" Target="charts/chart24.xml"/><Relationship Id="rId84" Type="http://schemas.openxmlformats.org/officeDocument/2006/relationships/diagramColors" Target="diagrams/colors1.xml"/><Relationship Id="rId89" Type="http://schemas.openxmlformats.org/officeDocument/2006/relationships/diagramColors" Target="diagrams/colors2.xml"/><Relationship Id="rId97" Type="http://schemas.openxmlformats.org/officeDocument/2006/relationships/hyperlink" Target="file:///C:\Users\rkehrl\AppData\Local\Microsoft\Windows\Temporary%20Internet%20Files\Content.MSO\BE3ACCD4.xlsx" TargetMode="External"/><Relationship Id="rId7" Type="http://schemas.openxmlformats.org/officeDocument/2006/relationships/customXml" Target="../customXml/item7.xml"/><Relationship Id="rId71" Type="http://schemas.openxmlformats.org/officeDocument/2006/relationships/hyperlink" Target="file:///C:\Users\mpagnotta\AppData\Local\Microsoft\Windows\Temporary%20Internet%20Files\Content.MSO\3CA41BA.xlsx" TargetMode="External"/><Relationship Id="rId92" Type="http://schemas.openxmlformats.org/officeDocument/2006/relationships/chart" Target="charts/chart26.xml"/><Relationship Id="rId2" Type="http://schemas.openxmlformats.org/officeDocument/2006/relationships/customXml" Target="../customXml/item2.xml"/><Relationship Id="rId16" Type="http://schemas.openxmlformats.org/officeDocument/2006/relationships/endnotes" Target="endnotes.xml"/><Relationship Id="rId29" Type="http://schemas.openxmlformats.org/officeDocument/2006/relationships/chart" Target="charts/chart1.xml"/><Relationship Id="rId11" Type="http://schemas.openxmlformats.org/officeDocument/2006/relationships/styles" Target="styles.xml"/><Relationship Id="rId24" Type="http://schemas.openxmlformats.org/officeDocument/2006/relationships/footer" Target="footer4.xml"/><Relationship Id="rId32" Type="http://schemas.openxmlformats.org/officeDocument/2006/relationships/chart" Target="charts/chart4.xml"/><Relationship Id="rId37" Type="http://schemas.openxmlformats.org/officeDocument/2006/relationships/footer" Target="footer9.xml"/><Relationship Id="rId40" Type="http://schemas.openxmlformats.org/officeDocument/2006/relationships/header" Target="header7.xml"/><Relationship Id="rId45" Type="http://schemas.openxmlformats.org/officeDocument/2006/relationships/chart" Target="charts/chart9.xml"/><Relationship Id="rId53" Type="http://schemas.openxmlformats.org/officeDocument/2006/relationships/image" Target="media/image2.emf"/><Relationship Id="rId58" Type="http://schemas.openxmlformats.org/officeDocument/2006/relationships/hyperlink" Target="file:///C:\Users\mpagnotta\AppData\Local\Microsoft\Windows\Temporary%20Internet%20Files\Content.MSO\36459843.xlsx" TargetMode="External"/><Relationship Id="rId66" Type="http://schemas.openxmlformats.org/officeDocument/2006/relationships/chart" Target="charts/chart16.xml"/><Relationship Id="rId74" Type="http://schemas.openxmlformats.org/officeDocument/2006/relationships/chart" Target="charts/chart22.xml"/><Relationship Id="rId79" Type="http://schemas.openxmlformats.org/officeDocument/2006/relationships/hyperlink" Target="file:///C:\Users\mpagnotta\AppData\Local\Microsoft\Windows\Temporary%20Internet%20Files\Content.MSO\258C1233.xlsx" TargetMode="External"/><Relationship Id="rId87" Type="http://schemas.openxmlformats.org/officeDocument/2006/relationships/diagramLayout" Target="diagrams/layout2.xml"/><Relationship Id="rId5" Type="http://schemas.openxmlformats.org/officeDocument/2006/relationships/customXml" Target="../customXml/item5.xml"/><Relationship Id="rId61" Type="http://schemas.openxmlformats.org/officeDocument/2006/relationships/chart" Target="charts/chart14.xml"/><Relationship Id="rId82" Type="http://schemas.openxmlformats.org/officeDocument/2006/relationships/diagramLayout" Target="diagrams/layout1.xml"/><Relationship Id="rId90" Type="http://schemas.microsoft.com/office/2007/relationships/diagramDrawing" Target="diagrams/drawing2.xml"/><Relationship Id="rId95" Type="http://schemas.openxmlformats.org/officeDocument/2006/relationships/chart" Target="charts/chart29.xml"/><Relationship Id="rId19" Type="http://schemas.openxmlformats.org/officeDocument/2006/relationships/image" Target="media/image1.emf"/><Relationship Id="rId14" Type="http://schemas.openxmlformats.org/officeDocument/2006/relationships/webSettings" Target="webSettings.xml"/><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chart" Target="charts/chart2.xml"/><Relationship Id="rId35" Type="http://schemas.openxmlformats.org/officeDocument/2006/relationships/footer" Target="footer8.xml"/><Relationship Id="rId43" Type="http://schemas.openxmlformats.org/officeDocument/2006/relationships/hyperlink" Target="file:///C:\Users\mpagnotta\AppData\Local\Microsoft\Windows\Temporary%20Internet%20Files\Content.MSO\A897C9E8.xlsx" TargetMode="External"/><Relationship Id="rId48" Type="http://schemas.openxmlformats.org/officeDocument/2006/relationships/chart" Target="charts/chart11.xml"/><Relationship Id="rId56" Type="http://schemas.openxmlformats.org/officeDocument/2006/relationships/package" Target="embeddings/Microsoft_Visio_Drawing11111111111111111111111111111111111111111111111111.vsdx"/><Relationship Id="rId64" Type="http://schemas.openxmlformats.org/officeDocument/2006/relationships/oleObject" Target="embeddings/Microsoft_Excel_Chart1.xls"/><Relationship Id="rId69" Type="http://schemas.openxmlformats.org/officeDocument/2006/relationships/chart" Target="charts/chart19.xml"/><Relationship Id="rId77" Type="http://schemas.openxmlformats.org/officeDocument/2006/relationships/chart" Target="charts/chart25.xml"/><Relationship Id="rId100"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chart" Target="charts/chart12.xml"/><Relationship Id="rId72" Type="http://schemas.openxmlformats.org/officeDocument/2006/relationships/chart" Target="charts/chart21.xml"/><Relationship Id="rId80" Type="http://schemas.openxmlformats.org/officeDocument/2006/relationships/image" Target="media/image4.emf"/><Relationship Id="rId85" Type="http://schemas.microsoft.com/office/2007/relationships/diagramDrawing" Target="diagrams/drawing1.xml"/><Relationship Id="rId93" Type="http://schemas.openxmlformats.org/officeDocument/2006/relationships/chart" Target="charts/chart27.xml"/><Relationship Id="rId98" Type="http://schemas.openxmlformats.org/officeDocument/2006/relationships/footer" Target="footer11.xml"/><Relationship Id="rId3" Type="http://schemas.openxmlformats.org/officeDocument/2006/relationships/customXml" Target="../customXml/item3.xml"/><Relationship Id="rId12" Type="http://schemas.microsoft.com/office/2007/relationships/stylesWithEffects" Target="stylesWithEffects.xml"/><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chart" Target="charts/chart5.xml"/><Relationship Id="rId38" Type="http://schemas.openxmlformats.org/officeDocument/2006/relationships/chart" Target="charts/chart6.xml"/><Relationship Id="rId46" Type="http://schemas.openxmlformats.org/officeDocument/2006/relationships/chart" Target="charts/chart10.xml"/><Relationship Id="rId59" Type="http://schemas.openxmlformats.org/officeDocument/2006/relationships/chart" Target="charts/chart13.xml"/><Relationship Id="rId67" Type="http://schemas.openxmlformats.org/officeDocument/2006/relationships/chart" Target="charts/chart17.xml"/><Relationship Id="rId20" Type="http://schemas.openxmlformats.org/officeDocument/2006/relationships/header" Target="header2.xml"/><Relationship Id="rId41" Type="http://schemas.openxmlformats.org/officeDocument/2006/relationships/footer" Target="footer10.xml"/><Relationship Id="rId54" Type="http://schemas.openxmlformats.org/officeDocument/2006/relationships/package" Target="embeddings/Microsoft_Visio_Drawing10101010101010101010101010101010101010101010101010.vsdx"/><Relationship Id="rId62" Type="http://schemas.openxmlformats.org/officeDocument/2006/relationships/chart" Target="charts/chart15.xml"/><Relationship Id="rId70" Type="http://schemas.openxmlformats.org/officeDocument/2006/relationships/chart" Target="charts/chart20.xml"/><Relationship Id="rId75" Type="http://schemas.openxmlformats.org/officeDocument/2006/relationships/chart" Target="charts/chart23.xml"/><Relationship Id="rId83" Type="http://schemas.openxmlformats.org/officeDocument/2006/relationships/diagramQuickStyle" Target="diagrams/quickStyle1.xml"/><Relationship Id="rId88" Type="http://schemas.openxmlformats.org/officeDocument/2006/relationships/diagramQuickStyle" Target="diagrams/quickStyle2.xml"/><Relationship Id="rId91" Type="http://schemas.openxmlformats.org/officeDocument/2006/relationships/hyperlink" Target="file:///C:\Users\mpagnotta\AppData\Local\Microsoft\Windows\Temporary%20Internet%20Files\Content.MSO\B80E0951.xlsx" TargetMode="External"/><Relationship Id="rId96" Type="http://schemas.openxmlformats.org/officeDocument/2006/relationships/hyperlink" Target="file:///C:\Users\rkehrl\AppData\Local\Microsoft\Windows\Temporary%20Internet%20Files\Content.MSO\BE3ACCD4.xlsx"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notes" Target="footnotes.xml"/><Relationship Id="rId23" Type="http://schemas.openxmlformats.org/officeDocument/2006/relationships/footer" Target="footer3.xml"/><Relationship Id="rId28" Type="http://schemas.openxmlformats.org/officeDocument/2006/relationships/footer" Target="footer7.xml"/><Relationship Id="rId36" Type="http://schemas.openxmlformats.org/officeDocument/2006/relationships/header" Target="header6.xml"/><Relationship Id="rId49" Type="http://schemas.openxmlformats.org/officeDocument/2006/relationships/hyperlink" Target="file:///C:\Users\mpagnotta\AppData\Local\Microsoft\Windows\Temporary%20Internet%20Files\Content.MSO\DF578A03.xlsx" TargetMode="External"/><Relationship Id="rId57" Type="http://schemas.openxmlformats.org/officeDocument/2006/relationships/hyperlink" Target="file:///C:\Users\mpagnotta\AppData\Local\Microsoft\Windows\Temporary%20Internet%20Files\Content.MSO\36459843.xlsx" TargetMode="External"/><Relationship Id="rId10" Type="http://schemas.openxmlformats.org/officeDocument/2006/relationships/numbering" Target="numbering.xml"/><Relationship Id="rId31" Type="http://schemas.openxmlformats.org/officeDocument/2006/relationships/chart" Target="charts/chart3.xml"/><Relationship Id="rId44" Type="http://schemas.openxmlformats.org/officeDocument/2006/relationships/chart" Target="charts/chart8.xml"/><Relationship Id="rId52" Type="http://schemas.openxmlformats.org/officeDocument/2006/relationships/hyperlink" Target="file:///C:\Users\mpagnotta\AppData\Local\Microsoft\Windows\Temporary%20Internet%20Files\Content.MSO\36459843.xlsx" TargetMode="External"/><Relationship Id="rId60" Type="http://schemas.openxmlformats.org/officeDocument/2006/relationships/hyperlink" Target="file:///C:\Users\mpagnotta\AppData\Local\Microsoft\Windows\Temporary%20Internet%20Files\Content.MSO\EBEC6ABA.xlsx" TargetMode="External"/><Relationship Id="rId65" Type="http://schemas.openxmlformats.org/officeDocument/2006/relationships/hyperlink" Target="file:///C:\Users\mpagnotta\AppData\Local\Microsoft\Windows\Temporary%20Internet%20Files\Content.MSO\6C563330.xlsx" TargetMode="External"/><Relationship Id="rId73" Type="http://schemas.openxmlformats.org/officeDocument/2006/relationships/hyperlink" Target="file:///C:\Users\mpagnotta\AppData\Local\Microsoft\Windows\Temporary%20Internet%20Files\Content.MSO\3CA41BA.xlsx" TargetMode="External"/><Relationship Id="rId78" Type="http://schemas.openxmlformats.org/officeDocument/2006/relationships/hyperlink" Target="file:///C:\Users\mpagnotta\AppData\Local\Microsoft\Windows\Temporary%20Internet%20Files\Content.MSO\D7D4E509.xlsx" TargetMode="External"/><Relationship Id="rId81" Type="http://schemas.openxmlformats.org/officeDocument/2006/relationships/diagramData" Target="diagrams/data1.xml"/><Relationship Id="rId86" Type="http://schemas.openxmlformats.org/officeDocument/2006/relationships/diagramData" Target="diagrams/data2.xml"/><Relationship Id="rId94" Type="http://schemas.openxmlformats.org/officeDocument/2006/relationships/chart" Target="charts/chart28.xml"/><Relationship Id="rId99" Type="http://schemas.openxmlformats.org/officeDocument/2006/relationships/footer" Target="footer12.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settings" Target="settings.xml"/><Relationship Id="rId18" Type="http://schemas.openxmlformats.org/officeDocument/2006/relationships/footer" Target="footer1.xml"/><Relationship Id="rId39" Type="http://schemas.openxmlformats.org/officeDocument/2006/relationships/chart" Target="charts/chart7.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cchambers1\Documents\PECO\PY7%20-%20Smart%20Home%20Rebates\SHR%20PY7%20Participant%20Survey%20Analysis.xlsx" TargetMode="Externa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cchambers1\Documents\PECO\PY7%20-%20Smart%20Appliance%20Recycling\SAR%20PY7%20Participant%20Survey%20Analysis%20(strata%202,3,4)%202016-09-13.xlsx" TargetMode="External"/><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1.xml"/></Relationships>
</file>

<file path=word/charts/_rels/chart1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jhampton\AppData\Local\Microsoft\Windows\Temporary%20Internet%20Files\Content.Outlook\ESWUVCF9\refrigerator%20analysis%20chart.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3.xml"/></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4.xml"/></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cchambers1\Documents\PECO\PY7%20-%20Smart%20Home%20Rebates\SHR%20PY7%20Participant%20Survey%20Analysis%202016-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222986868160058"/>
          <c:y val="4.7372954349698536E-2"/>
          <c:w val="0.56414630319836834"/>
          <c:h val="0.75810358976445769"/>
        </c:manualLayout>
      </c:layout>
      <c:barChart>
        <c:barDir val="col"/>
        <c:grouping val="stacked"/>
        <c:varyColors val="0"/>
        <c:ser>
          <c:idx val="0"/>
          <c:order val="0"/>
          <c:tx>
            <c:strRef>
              <c:f>'Table 1-1'!$C$13</c:f>
              <c:strCache>
                <c:ptCount val="1"/>
                <c:pt idx="0">
                  <c:v>Savings</c:v>
                </c:pt>
              </c:strCache>
            </c:strRef>
          </c:tx>
          <c:spPr>
            <a:solidFill>
              <a:srgbClr val="448A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'Table 1-1'!$B$14:$B$15</c:f>
              <c:strCache>
                <c:ptCount val="2"/>
                <c:pt idx="0">
                  <c:v>Phase II + CO (MWh)</c:v>
                </c:pt>
                <c:pt idx="1">
                  <c:v>May 31, 2016 Compliance Target (MWh)</c:v>
                </c:pt>
              </c:strCache>
            </c:strRef>
          </c:cat>
          <c:val>
            <c:numRef>
              <c:f>'Table 1-1'!$C$14:$C$15</c:f>
              <c:numCache>
                <c:formatCode>_(* #,##0_);_(* \(#,##0\);_(* "-"??_);_(@_)</c:formatCode>
                <c:ptCount val="2"/>
                <c:pt idx="0" formatCode="#,##0">
                  <c:v>1090505.153002887</c:v>
                </c:pt>
                <c:pt idx="1">
                  <c:v>1125851</c:v>
                </c:pt>
              </c:numCache>
            </c:numRef>
          </c:val>
        </c:ser>
        <c:ser>
          <c:idx val="1"/>
          <c:order val="1"/>
          <c:tx>
            <c:strRef>
              <c:f>'Table 1-1'!$D$13</c:f>
              <c:strCache>
                <c:ptCount val="1"/>
                <c:pt idx="0">
                  <c:v>Carry-over Savings from Phase I</c:v>
                </c:pt>
              </c:strCache>
            </c:strRef>
          </c:tx>
          <c:spPr>
            <a:solidFill>
              <a:srgbClr val="ED9E3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'Table 1-1'!$B$14:$B$15</c:f>
              <c:strCache>
                <c:ptCount val="2"/>
                <c:pt idx="0">
                  <c:v>Phase II + CO (MWh)</c:v>
                </c:pt>
                <c:pt idx="1">
                  <c:v>May 31, 2016 Compliance Target (MWh)</c:v>
                </c:pt>
              </c:strCache>
            </c:strRef>
          </c:cat>
          <c:val>
            <c:numRef>
              <c:f>'Table 1-1'!$D$14:$D$15</c:f>
              <c:numCache>
                <c:formatCode>General</c:formatCode>
                <c:ptCount val="2"/>
                <c:pt idx="0" formatCode="#,##0">
                  <c:v>242793</c:v>
                </c:pt>
              </c:numCache>
            </c:numRef>
          </c:val>
        </c:ser>
        <c:dLbls>
          <c:showLegendKey val="0"/>
          <c:showVal val="0"/>
          <c:showCatName val="0"/>
          <c:showSerName val="0"/>
          <c:showPercent val="0"/>
          <c:showBubbleSize val="0"/>
        </c:dLbls>
        <c:gapWidth val="150"/>
        <c:overlap val="100"/>
        <c:axId val="103760256"/>
        <c:axId val="103761792"/>
      </c:barChart>
      <c:catAx>
        <c:axId val="103760256"/>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03761792"/>
        <c:crosses val="autoZero"/>
        <c:auto val="1"/>
        <c:lblAlgn val="ctr"/>
        <c:lblOffset val="100"/>
        <c:noMultiLvlLbl val="0"/>
      </c:catAx>
      <c:valAx>
        <c:axId val="103761792"/>
        <c:scaling>
          <c:orientation val="minMax"/>
          <c:max val="1700000.0000000002"/>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n-US" sz="900" b="1" i="0" baseline="0">
                    <a:solidFill>
                      <a:schemeClr val="tx1"/>
                    </a:solidFill>
                    <a:effectLst/>
                  </a:rPr>
                  <a:t>MWh Saved</a:t>
                </a:r>
                <a:endParaRPr lang="en-US" sz="900" b="1">
                  <a:solidFill>
                    <a:schemeClr val="tx1"/>
                  </a:solidFill>
                  <a:effectLst/>
                </a:endParaRPr>
              </a:p>
            </c:rich>
          </c:tx>
          <c:layout>
            <c:manualLayout>
              <c:xMode val="edge"/>
              <c:yMode val="edge"/>
              <c:x val="1.3462574044157244E-2"/>
              <c:y val="0.31759615319402906"/>
            </c:manualLayout>
          </c:layout>
          <c:overlay val="0"/>
          <c:spPr>
            <a:noFill/>
            <a:ln>
              <a:noFill/>
            </a:ln>
            <a:effectLst/>
          </c:spPr>
        </c:title>
        <c:numFmt formatCode="#,##0" sourceLinked="0"/>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03760256"/>
        <c:crosses val="autoZero"/>
        <c:crossBetween val="between"/>
        <c:majorUnit val="200000"/>
      </c:valAx>
      <c:spPr>
        <a:noFill/>
        <a:ln>
          <a:noFill/>
        </a:ln>
        <a:effectLst/>
      </c:spPr>
    </c:plotArea>
    <c:legend>
      <c:legendPos val="r"/>
      <c:layout>
        <c:manualLayout>
          <c:xMode val="edge"/>
          <c:yMode val="edge"/>
          <c:x val="0.76983867169776643"/>
          <c:y val="0.35428637734282836"/>
          <c:w val="0.17701411502993197"/>
          <c:h val="0.3179593907270187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5950222368037336"/>
          <c:y val="4.5475032876607681E-2"/>
          <c:w val="0.55405548264800231"/>
          <c:h val="0.88992508748906396"/>
        </c:manualLayout>
      </c:layout>
      <c:barChart>
        <c:barDir val="bar"/>
        <c:grouping val="clustered"/>
        <c:varyColors val="0"/>
        <c:ser>
          <c:idx val="1"/>
          <c:order val="0"/>
          <c:tx>
            <c:strRef>
              <c:f>'M1 Program Awareness'!$W$6</c:f>
              <c:strCache>
                <c:ptCount val="1"/>
                <c:pt idx="0">
                  <c:v>Appliances</c:v>
                </c:pt>
              </c:strCache>
            </c:strRef>
          </c:tx>
          <c:spPr>
            <a:solidFill>
              <a:srgbClr val="ED9E3E"/>
            </a:solidFill>
            <a:ln>
              <a:noFill/>
            </a:ln>
            <a:effectLst/>
          </c:spPr>
          <c:invertIfNegative val="0"/>
          <c:cat>
            <c:strRef>
              <c:f>'\Users\cchambers1\Documents\PECO\PY6 - Smart Home Rebates\[PECO PY6 SHR Participant Data Analysis &amp; NTG Calculation (customer data cleaned).xlsx]M 1-5 Awareness'!$P$7:$P$24</c:f>
              <c:strCache>
                <c:ptCount val="18"/>
                <c:pt idx="0">
                  <c:v>Do Not Know</c:v>
                </c:pt>
                <c:pt idx="1">
                  <c:v>Other</c:v>
                </c:pt>
                <c:pt idx="2">
                  <c:v>Manufacturer/Retailer Website</c:v>
                </c:pt>
                <c:pt idx="3">
                  <c:v>Manufacturer</c:v>
                </c:pt>
                <c:pt idx="4">
                  <c:v>Non-PECO Newspaper/Radio/TV Story</c:v>
                </c:pt>
                <c:pt idx="5">
                  <c:v>Home Show</c:v>
                </c:pt>
                <c:pt idx="6">
                  <c:v>Friend, Relative, Colleague</c:v>
                </c:pt>
                <c:pt idx="7">
                  <c:v>Internet Search</c:v>
                </c:pt>
                <c:pt idx="8">
                  <c:v>In-Store Display/Advertisement</c:v>
                </c:pt>
                <c:pt idx="9">
                  <c:v>Store Staff</c:v>
                </c:pt>
                <c:pt idx="10">
                  <c:v>Other PECO Program</c:v>
                </c:pt>
                <c:pt idx="11">
                  <c:v>[PECO] Letter to My Home</c:v>
                </c:pt>
                <c:pt idx="12">
                  <c:v>PECO Newspaper/Radio/TV Advertisement</c:v>
                </c:pt>
                <c:pt idx="13">
                  <c:v>PECO Outdoor Advertisements, On Truck, Billboard,</c:v>
                </c:pt>
                <c:pt idx="14">
                  <c:v>PECO Employee, Account Representative, Customer</c:v>
                </c:pt>
                <c:pt idx="15">
                  <c:v>PECO Website</c:v>
                </c:pt>
                <c:pt idx="16">
                  <c:v>PECO Bill Insert, Newsletter</c:v>
                </c:pt>
                <c:pt idx="17">
                  <c:v>Contractor/Installer/Home Builder Remodeler</c:v>
                </c:pt>
              </c:strCache>
            </c:strRef>
          </c:cat>
          <c:val>
            <c:numRef>
              <c:f>'M1 Program Awareness'!$W$7:$W$24</c:f>
              <c:numCache>
                <c:formatCode>0%</c:formatCode>
                <c:ptCount val="18"/>
                <c:pt idx="0">
                  <c:v>0.03</c:v>
                </c:pt>
                <c:pt idx="1">
                  <c:v>0.08</c:v>
                </c:pt>
                <c:pt idx="2">
                  <c:v>0.02</c:v>
                </c:pt>
                <c:pt idx="3">
                  <c:v>0.05</c:v>
                </c:pt>
                <c:pt idx="4">
                  <c:v>0.01</c:v>
                </c:pt>
                <c:pt idx="5">
                  <c:v>0</c:v>
                </c:pt>
                <c:pt idx="6">
                  <c:v>0.04</c:v>
                </c:pt>
                <c:pt idx="7">
                  <c:v>0.01</c:v>
                </c:pt>
                <c:pt idx="8">
                  <c:v>0.25</c:v>
                </c:pt>
                <c:pt idx="9">
                  <c:v>0.31</c:v>
                </c:pt>
                <c:pt idx="10">
                  <c:v>0.06</c:v>
                </c:pt>
                <c:pt idx="11">
                  <c:v>0.01</c:v>
                </c:pt>
                <c:pt idx="12">
                  <c:v>0.04</c:v>
                </c:pt>
                <c:pt idx="13">
                  <c:v>0</c:v>
                </c:pt>
                <c:pt idx="14">
                  <c:v>0</c:v>
                </c:pt>
                <c:pt idx="15">
                  <c:v>0.13</c:v>
                </c:pt>
                <c:pt idx="16">
                  <c:v>0.21</c:v>
                </c:pt>
                <c:pt idx="17">
                  <c:v>0.03</c:v>
                </c:pt>
              </c:numCache>
            </c:numRef>
          </c:val>
          <c:extLst xmlns:c16r2="http://schemas.microsoft.com/office/drawing/2015/06/chart">
            <c:ext xmlns:c16="http://schemas.microsoft.com/office/drawing/2014/chart" uri="{C3380CC4-5D6E-409C-BE32-E72D297353CC}">
              <c16:uniqueId val="{00000000-2092-4B74-ADEC-0D523E990A29}"/>
            </c:ext>
          </c:extLst>
        </c:ser>
        <c:ser>
          <c:idx val="0"/>
          <c:order val="1"/>
          <c:tx>
            <c:strRef>
              <c:f>'M1 Program Awareness'!$V$6</c:f>
              <c:strCache>
                <c:ptCount val="1"/>
                <c:pt idx="0">
                  <c:v>HVAC</c:v>
                </c:pt>
              </c:strCache>
            </c:strRef>
          </c:tx>
          <c:spPr>
            <a:solidFill>
              <a:srgbClr val="448A99"/>
            </a:solidFill>
            <a:ln>
              <a:noFill/>
            </a:ln>
            <a:effectLst/>
          </c:spPr>
          <c:invertIfNegative val="0"/>
          <c:cat>
            <c:strRef>
              <c:f>'\Users\cchambers1\Documents\PECO\PY6 - Smart Home Rebates\[PECO PY6 SHR Participant Data Analysis &amp; NTG Calculation (customer data cleaned).xlsx]M 1-5 Awareness'!$P$7:$P$24</c:f>
              <c:strCache>
                <c:ptCount val="18"/>
                <c:pt idx="0">
                  <c:v>Do Not Know</c:v>
                </c:pt>
                <c:pt idx="1">
                  <c:v>Other</c:v>
                </c:pt>
                <c:pt idx="2">
                  <c:v>Manufacturer/Retailer Website</c:v>
                </c:pt>
                <c:pt idx="3">
                  <c:v>Manufacturer</c:v>
                </c:pt>
                <c:pt idx="4">
                  <c:v>Non-PECO Newspaper/Radio/TV Story</c:v>
                </c:pt>
                <c:pt idx="5">
                  <c:v>Home Show</c:v>
                </c:pt>
                <c:pt idx="6">
                  <c:v>Friend, Relative, Colleague</c:v>
                </c:pt>
                <c:pt idx="7">
                  <c:v>Internet Search</c:v>
                </c:pt>
                <c:pt idx="8">
                  <c:v>In-Store Display/Advertisement</c:v>
                </c:pt>
                <c:pt idx="9">
                  <c:v>Store Staff</c:v>
                </c:pt>
                <c:pt idx="10">
                  <c:v>Other PECO Program</c:v>
                </c:pt>
                <c:pt idx="11">
                  <c:v>[PECO] Letter to My Home</c:v>
                </c:pt>
                <c:pt idx="12">
                  <c:v>PECO Newspaper/Radio/TV Advertisement</c:v>
                </c:pt>
                <c:pt idx="13">
                  <c:v>PECO Outdoor Advertisements, On Truck, Billboard,</c:v>
                </c:pt>
                <c:pt idx="14">
                  <c:v>PECO Employee, Account Representative, Customer</c:v>
                </c:pt>
                <c:pt idx="15">
                  <c:v>PECO Website</c:v>
                </c:pt>
                <c:pt idx="16">
                  <c:v>PECO Bill Insert, Newsletter</c:v>
                </c:pt>
                <c:pt idx="17">
                  <c:v>Contractor/Installer/Home Builder Remodeler</c:v>
                </c:pt>
              </c:strCache>
            </c:strRef>
          </c:cat>
          <c:val>
            <c:numRef>
              <c:f>'M1 Program Awareness'!$V$7:$V$24</c:f>
              <c:numCache>
                <c:formatCode>0%</c:formatCode>
                <c:ptCount val="18"/>
                <c:pt idx="0">
                  <c:v>0.02</c:v>
                </c:pt>
                <c:pt idx="1">
                  <c:v>0.01</c:v>
                </c:pt>
                <c:pt idx="2">
                  <c:v>0</c:v>
                </c:pt>
                <c:pt idx="3">
                  <c:v>0</c:v>
                </c:pt>
                <c:pt idx="4">
                  <c:v>0</c:v>
                </c:pt>
                <c:pt idx="5">
                  <c:v>0</c:v>
                </c:pt>
                <c:pt idx="6">
                  <c:v>0.08</c:v>
                </c:pt>
                <c:pt idx="7">
                  <c:v>0</c:v>
                </c:pt>
                <c:pt idx="8">
                  <c:v>0.02</c:v>
                </c:pt>
                <c:pt idx="9">
                  <c:v>0.05</c:v>
                </c:pt>
                <c:pt idx="10">
                  <c:v>7.0000000000000007E-2</c:v>
                </c:pt>
                <c:pt idx="11">
                  <c:v>0</c:v>
                </c:pt>
                <c:pt idx="12">
                  <c:v>0.05</c:v>
                </c:pt>
                <c:pt idx="13">
                  <c:v>0</c:v>
                </c:pt>
                <c:pt idx="14">
                  <c:v>0.05</c:v>
                </c:pt>
                <c:pt idx="15">
                  <c:v>0.08</c:v>
                </c:pt>
                <c:pt idx="16">
                  <c:v>0.08</c:v>
                </c:pt>
                <c:pt idx="17">
                  <c:v>0.71</c:v>
                </c:pt>
              </c:numCache>
            </c:numRef>
          </c:val>
          <c:extLst xmlns:c16r2="http://schemas.microsoft.com/office/drawing/2015/06/chart">
            <c:ext xmlns:c16="http://schemas.microsoft.com/office/drawing/2014/chart" uri="{C3380CC4-5D6E-409C-BE32-E72D297353CC}">
              <c16:uniqueId val="{00000001-2092-4B74-ADEC-0D523E990A29}"/>
            </c:ext>
          </c:extLst>
        </c:ser>
        <c:dLbls>
          <c:showLegendKey val="0"/>
          <c:showVal val="0"/>
          <c:showCatName val="0"/>
          <c:showSerName val="0"/>
          <c:showPercent val="0"/>
          <c:showBubbleSize val="0"/>
        </c:dLbls>
        <c:gapWidth val="0"/>
        <c:axId val="119955840"/>
        <c:axId val="119957376"/>
      </c:barChart>
      <c:catAx>
        <c:axId val="119955840"/>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119957376"/>
        <c:crossesAt val="0"/>
        <c:auto val="1"/>
        <c:lblAlgn val="ctr"/>
        <c:lblOffset val="100"/>
        <c:noMultiLvlLbl val="0"/>
      </c:catAx>
      <c:valAx>
        <c:axId val="119957376"/>
        <c:scaling>
          <c:orientation val="minMax"/>
        </c:scaling>
        <c:delete val="0"/>
        <c:axPos val="b"/>
        <c:majorGridlines>
          <c:spPr>
            <a:ln w="9525" cap="flat" cmpd="sng" algn="ctr">
              <a:no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119955840"/>
        <c:crosses val="autoZero"/>
        <c:crossBetween val="between"/>
        <c:majorUnit val="0.1"/>
        <c:minorUnit val="5.000000000000001E-2"/>
      </c:valAx>
      <c:spPr>
        <a:solidFill>
          <a:schemeClr val="bg1"/>
        </a:solidFill>
        <a:ln>
          <a:noFill/>
        </a:ln>
        <a:effectLst/>
      </c:spPr>
    </c:plotArea>
    <c:legend>
      <c:legendPos val="r"/>
      <c:layout>
        <c:manualLayout>
          <c:xMode val="edge"/>
          <c:yMode val="edge"/>
          <c:x val="0.75681280737966006"/>
          <c:y val="0.41086480007378268"/>
          <c:w val="0.14127260134149897"/>
          <c:h val="0.12557578740157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950969670457848E-2"/>
          <c:y val="4.2396071713892515E-2"/>
          <c:w val="0.73900991542723826"/>
          <c:h val="0.81510624215451333"/>
        </c:manualLayout>
      </c:layout>
      <c:barChart>
        <c:barDir val="col"/>
        <c:grouping val="stacked"/>
        <c:varyColors val="0"/>
        <c:ser>
          <c:idx val="0"/>
          <c:order val="0"/>
          <c:tx>
            <c:strRef>
              <c:f>Sheet1!$B$1</c:f>
              <c:strCache>
                <c:ptCount val="1"/>
                <c:pt idx="0">
                  <c:v>PY5 (n=70)</c:v>
                </c:pt>
              </c:strCache>
            </c:strRef>
          </c:tx>
          <c:spPr>
            <a:solidFill>
              <a:srgbClr val="448A99"/>
            </a:solidFill>
          </c:spPr>
          <c:invertIfNegative val="0"/>
          <c:dLbls>
            <c:dLbl>
              <c:idx val="0"/>
              <c:layout>
                <c:manualLayout>
                  <c:x val="8.1018518518518476E-2"/>
                  <c:y val="-9.52380952380953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A48-4510-A142-74B81040CCA2}"/>
                </c:ext>
                <c:ext xmlns:c15="http://schemas.microsoft.com/office/drawing/2012/chart" uri="{CE6537A1-D6FC-4f65-9D91-7224C49458BB}">
                  <c15:layout/>
                </c:ext>
              </c:extLst>
            </c:dLbl>
            <c:dLbl>
              <c:idx val="1"/>
              <c:layout>
                <c:manualLayout>
                  <c:x val="6.0185185185185182E-2"/>
                  <c:y val="-4.76190476190476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A48-4510-A142-74B81040CCA2}"/>
                </c:ext>
                <c:ext xmlns:c15="http://schemas.microsoft.com/office/drawing/2012/chart" uri="{CE6537A1-D6FC-4f65-9D91-7224C49458BB}">
                  <c15:layout/>
                </c:ext>
              </c:extLst>
            </c:dLbl>
            <c:dLbl>
              <c:idx val="2"/>
              <c:layout>
                <c:manualLayout>
                  <c:x val="7.1759259259259259E-2"/>
                  <c:y val="-7.14285714285714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A48-4510-A142-74B81040CCA2}"/>
                </c:ext>
                <c:ext xmlns:c15="http://schemas.microsoft.com/office/drawing/2012/chart" uri="{CE6537A1-D6FC-4f65-9D91-7224C49458BB}">
                  <c15:layout/>
                </c:ext>
              </c:extLst>
            </c:dLbl>
            <c:dLbl>
              <c:idx val="3"/>
              <c:layout>
                <c:manualLayout>
                  <c:x val="3.7037037037037035E-2"/>
                  <c:y val="-0.103174603174603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A48-4510-A142-74B81040CCA2}"/>
                </c:ext>
                <c:ext xmlns:c15="http://schemas.microsoft.com/office/drawing/2012/chart" uri="{CE6537A1-D6FC-4f65-9D91-7224C49458BB}">
                  <c15:layout/>
                </c:ext>
              </c:extLst>
            </c:dLbl>
            <c:dLbl>
              <c:idx val="4"/>
              <c:layout>
                <c:manualLayout>
                  <c:x val="4.8611111111111112E-2"/>
                  <c:y val="-0.1071428571428572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A48-4510-A142-74B81040CCA2}"/>
                </c:ext>
                <c:ext xmlns:c15="http://schemas.microsoft.com/office/drawing/2012/chart" uri="{CE6537A1-D6FC-4f65-9D91-7224C49458BB}">
                  <c15:layout/>
                </c:ext>
              </c:extLst>
            </c:dLbl>
            <c:dLbl>
              <c:idx val="5"/>
              <c:layout>
                <c:manualLayout>
                  <c:x val="-1.8518518518518517E-2"/>
                  <c:y val="-5.95238095238095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A48-4510-A142-74B81040CCA2}"/>
                </c:ext>
                <c:ext xmlns:c15="http://schemas.microsoft.com/office/drawing/2012/chart" uri="{CE6537A1-D6FC-4f65-9D91-7224C49458BB}">
                  <c15:layout/>
                </c:ext>
              </c:extLst>
            </c:dLbl>
            <c:dLbl>
              <c:idx val="6"/>
              <c:layout>
                <c:manualLayout>
                  <c:x val="3.2407407407407239E-2"/>
                  <c:y val="-9.52380952380952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A48-4510-A142-74B81040CCA2}"/>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Sheet1!$A$2:$A$8</c:f>
              <c:numCache>
                <c:formatCode>General</c:formatCode>
                <c:ptCount val="7"/>
                <c:pt idx="0">
                  <c:v>0</c:v>
                </c:pt>
                <c:pt idx="1">
                  <c:v>0.125</c:v>
                </c:pt>
                <c:pt idx="2">
                  <c:v>0.25</c:v>
                </c:pt>
                <c:pt idx="3">
                  <c:v>0.375</c:v>
                </c:pt>
                <c:pt idx="4">
                  <c:v>0.5</c:v>
                </c:pt>
                <c:pt idx="5">
                  <c:v>0.625</c:v>
                </c:pt>
                <c:pt idx="6">
                  <c:v>0.75</c:v>
                </c:pt>
              </c:numCache>
            </c:numRef>
          </c:cat>
          <c:val>
            <c:numRef>
              <c:f>Sheet1!$B$2:$B$8</c:f>
              <c:numCache>
                <c:formatCode>0%</c:formatCode>
                <c:ptCount val="7"/>
                <c:pt idx="0">
                  <c:v>0.34285714285714286</c:v>
                </c:pt>
                <c:pt idx="1">
                  <c:v>5.7142857142857141E-2</c:v>
                </c:pt>
                <c:pt idx="2">
                  <c:v>0.44285714285714284</c:v>
                </c:pt>
                <c:pt idx="3">
                  <c:v>4.2857142857142858E-2</c:v>
                </c:pt>
                <c:pt idx="4">
                  <c:v>7.1428571428571425E-2</c:v>
                </c:pt>
                <c:pt idx="5">
                  <c:v>1.4285714285714285E-2</c:v>
                </c:pt>
                <c:pt idx="6">
                  <c:v>2.8571428571428571E-2</c:v>
                </c:pt>
              </c:numCache>
            </c:numRef>
          </c:val>
          <c:extLst xmlns:c16r2="http://schemas.microsoft.com/office/drawing/2015/06/chart">
            <c:ext xmlns:c16="http://schemas.microsoft.com/office/drawing/2014/chart" uri="{C3380CC4-5D6E-409C-BE32-E72D297353CC}">
              <c16:uniqueId val="{00000007-BA48-4510-A142-74B81040CCA2}"/>
            </c:ext>
          </c:extLst>
        </c:ser>
        <c:ser>
          <c:idx val="1"/>
          <c:order val="1"/>
          <c:tx>
            <c:strRef>
              <c:f>Sheet1!$C$1</c:f>
              <c:strCache>
                <c:ptCount val="1"/>
                <c:pt idx="0">
                  <c:v>PY7 (n=130)</c:v>
                </c:pt>
              </c:strCache>
            </c:strRef>
          </c:tx>
          <c:spPr>
            <a:solidFill>
              <a:srgbClr val="ED9E3E"/>
            </a:solidFill>
          </c:spPr>
          <c:invertIfNegative val="0"/>
          <c:dLbls>
            <c:dLbl>
              <c:idx val="0"/>
              <c:layout>
                <c:manualLayout>
                  <c:x val="7.2376603966170891E-2"/>
                  <c:y val="-6.77709036370453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A48-4510-A142-74B81040CCA2}"/>
                </c:ext>
                <c:ext xmlns:c15="http://schemas.microsoft.com/office/drawing/2012/chart" uri="{CE6537A1-D6FC-4f65-9D91-7224C49458BB}">
                  <c15:layout/>
                </c:ext>
              </c:extLst>
            </c:dLbl>
            <c:dLbl>
              <c:idx val="1"/>
              <c:layout>
                <c:manualLayout>
                  <c:x val="-3.2407407407407406E-2"/>
                  <c:y val="-5.95238095238095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A48-4510-A142-74B81040CCA2}"/>
                </c:ext>
                <c:ext xmlns:c15="http://schemas.microsoft.com/office/drawing/2012/chart" uri="{CE6537A1-D6FC-4f65-9D91-7224C49458BB}">
                  <c15:layout/>
                </c:ext>
              </c:extLst>
            </c:dLbl>
            <c:dLbl>
              <c:idx val="2"/>
              <c:layout>
                <c:manualLayout>
                  <c:x val="8.1018518518518517E-2"/>
                  <c:y val="1.19047619047619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A48-4510-A142-74B81040CCA2}"/>
                </c:ext>
                <c:ext xmlns:c15="http://schemas.microsoft.com/office/drawing/2012/chart" uri="{CE6537A1-D6FC-4f65-9D91-7224C49458BB}">
                  <c15:layout/>
                </c:ext>
              </c:extLst>
            </c:dLbl>
            <c:dLbl>
              <c:idx val="3"/>
              <c:layout>
                <c:manualLayout>
                  <c:x val="-3.7037037037037125E-2"/>
                  <c:y val="-7.53968253968253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BA48-4510-A142-74B81040CCA2}"/>
                </c:ext>
                <c:ext xmlns:c15="http://schemas.microsoft.com/office/drawing/2012/chart" uri="{CE6537A1-D6FC-4f65-9D91-7224C49458BB}">
                  <c15:layout/>
                </c:ext>
              </c:extLst>
            </c:dLbl>
            <c:dLbl>
              <c:idx val="4"/>
              <c:layout>
                <c:manualLayout>
                  <c:x val="-2.3148148148148234E-2"/>
                  <c:y val="-7.93650793650794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BA48-4510-A142-74B81040CCA2}"/>
                </c:ext>
                <c:ext xmlns:c15="http://schemas.microsoft.com/office/drawing/2012/chart" uri="{CE6537A1-D6FC-4f65-9D91-7224C49458BB}">
                  <c15:layout/>
                </c:ext>
              </c:extLst>
            </c:dLbl>
            <c:dLbl>
              <c:idx val="5"/>
              <c:layout>
                <c:manualLayout>
                  <c:x val="3.7037037037036952E-2"/>
                  <c:y val="-7.53968253968255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BA48-4510-A142-74B81040CCA2}"/>
                </c:ext>
                <c:ext xmlns:c15="http://schemas.microsoft.com/office/drawing/2012/chart" uri="{CE6537A1-D6FC-4f65-9D91-7224C49458BB}">
                  <c15:layout/>
                </c:ext>
              </c:extLst>
            </c:dLbl>
            <c:dLbl>
              <c:idx val="6"/>
              <c:layout>
                <c:manualLayout>
                  <c:x val="-9.2592592592592587E-3"/>
                  <c:y val="-6.34920634920636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BA48-4510-A142-74B81040CCA2}"/>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Sheet1!$A$2:$A$8</c:f>
              <c:numCache>
                <c:formatCode>General</c:formatCode>
                <c:ptCount val="7"/>
                <c:pt idx="0">
                  <c:v>0</c:v>
                </c:pt>
                <c:pt idx="1">
                  <c:v>0.125</c:v>
                </c:pt>
                <c:pt idx="2">
                  <c:v>0.25</c:v>
                </c:pt>
                <c:pt idx="3">
                  <c:v>0.375</c:v>
                </c:pt>
                <c:pt idx="4">
                  <c:v>0.5</c:v>
                </c:pt>
                <c:pt idx="5">
                  <c:v>0.625</c:v>
                </c:pt>
                <c:pt idx="6">
                  <c:v>0.75</c:v>
                </c:pt>
              </c:numCache>
            </c:numRef>
          </c:cat>
          <c:val>
            <c:numRef>
              <c:f>Sheet1!$C$2:$C$8</c:f>
              <c:numCache>
                <c:formatCode>0%</c:formatCode>
                <c:ptCount val="7"/>
                <c:pt idx="0">
                  <c:v>0.51937984496124034</c:v>
                </c:pt>
                <c:pt idx="1">
                  <c:v>1.5503875968992248E-2</c:v>
                </c:pt>
                <c:pt idx="2">
                  <c:v>0.34108527131782945</c:v>
                </c:pt>
                <c:pt idx="3">
                  <c:v>5.4263565891472867E-2</c:v>
                </c:pt>
                <c:pt idx="4">
                  <c:v>5.4263565891472867E-2</c:v>
                </c:pt>
                <c:pt idx="5">
                  <c:v>0</c:v>
                </c:pt>
                <c:pt idx="6">
                  <c:v>1.5503875968992248E-2</c:v>
                </c:pt>
              </c:numCache>
            </c:numRef>
          </c:val>
          <c:extLst xmlns:c16r2="http://schemas.microsoft.com/office/drawing/2015/06/chart">
            <c:ext xmlns:c16="http://schemas.microsoft.com/office/drawing/2014/chart" uri="{C3380CC4-5D6E-409C-BE32-E72D297353CC}">
              <c16:uniqueId val="{0000000F-BA48-4510-A142-74B81040CCA2}"/>
            </c:ext>
          </c:extLst>
        </c:ser>
        <c:dLbls>
          <c:showLegendKey val="0"/>
          <c:showVal val="1"/>
          <c:showCatName val="0"/>
          <c:showSerName val="0"/>
          <c:showPercent val="0"/>
          <c:showBubbleSize val="0"/>
        </c:dLbls>
        <c:gapWidth val="150"/>
        <c:overlap val="100"/>
        <c:axId val="176715264"/>
        <c:axId val="176716800"/>
      </c:barChart>
      <c:catAx>
        <c:axId val="176715264"/>
        <c:scaling>
          <c:orientation val="minMax"/>
        </c:scaling>
        <c:delete val="0"/>
        <c:axPos val="b"/>
        <c:numFmt formatCode="#,##0.000" sourceLinked="0"/>
        <c:majorTickMark val="out"/>
        <c:minorTickMark val="none"/>
        <c:tickLblPos val="nextTo"/>
        <c:txPr>
          <a:bodyPr/>
          <a:lstStyle/>
          <a:p>
            <a:pPr>
              <a:defRPr b="1"/>
            </a:pPr>
            <a:endParaRPr lang="en-US"/>
          </a:p>
        </c:txPr>
        <c:crossAx val="176716800"/>
        <c:crosses val="autoZero"/>
        <c:auto val="1"/>
        <c:lblAlgn val="ctr"/>
        <c:lblOffset val="100"/>
        <c:noMultiLvlLbl val="0"/>
      </c:catAx>
      <c:valAx>
        <c:axId val="176716800"/>
        <c:scaling>
          <c:orientation val="minMax"/>
          <c:max val="1"/>
        </c:scaling>
        <c:delete val="0"/>
        <c:axPos val="l"/>
        <c:majorGridlines>
          <c:spPr>
            <a:ln>
              <a:noFill/>
            </a:ln>
          </c:spPr>
        </c:majorGridlines>
        <c:numFmt formatCode="0%" sourceLinked="1"/>
        <c:majorTickMark val="out"/>
        <c:minorTickMark val="none"/>
        <c:tickLblPos val="nextTo"/>
        <c:txPr>
          <a:bodyPr/>
          <a:lstStyle/>
          <a:p>
            <a:pPr>
              <a:defRPr b="1"/>
            </a:pPr>
            <a:endParaRPr lang="en-US"/>
          </a:p>
        </c:txPr>
        <c:crossAx val="176715264"/>
        <c:crosses val="autoZero"/>
        <c:crossBetween val="between"/>
        <c:majorUnit val="0.2"/>
      </c:valAx>
      <c:spPr>
        <a:ln>
          <a:noFill/>
        </a:ln>
      </c:spPr>
    </c:plotArea>
    <c:legend>
      <c:legendPos val="r"/>
      <c:layout/>
      <c:overlay val="0"/>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67319189268009"/>
          <c:y val="4.2396071713892515E-2"/>
          <c:w val="0.84549139690871977"/>
          <c:h val="0.81510624215451333"/>
        </c:manualLayout>
      </c:layout>
      <c:barChart>
        <c:barDir val="col"/>
        <c:grouping val="stacked"/>
        <c:varyColors val="0"/>
        <c:ser>
          <c:idx val="0"/>
          <c:order val="0"/>
          <c:tx>
            <c:strRef>
              <c:f>Sheet1!$B$1</c:f>
              <c:strCache>
                <c:ptCount val="1"/>
                <c:pt idx="0">
                  <c:v>Series 1</c:v>
                </c:pt>
              </c:strCache>
            </c:strRef>
          </c:tx>
          <c:spPr>
            <a:solidFill>
              <a:srgbClr val="448A99"/>
            </a:solidFill>
          </c:spPr>
          <c:invertIfNegative val="0"/>
          <c:dLbls>
            <c:dLbl>
              <c:idx val="0"/>
              <c:layout>
                <c:manualLayout>
                  <c:x val="-2.3148148148148147E-3"/>
                  <c:y val="-0.40873015873015872"/>
                </c:manualLayout>
              </c:layout>
              <c:spPr>
                <a:noFill/>
                <a:ln>
                  <a:noFill/>
                </a:ln>
                <a:effectLst/>
              </c:spPr>
              <c:txPr>
                <a:bodyPr wrap="square" lIns="38100" tIns="19050" rIns="38100" bIns="19050" anchor="ctr" anchorCtr="0">
                  <a:spAutoFit/>
                </a:bodyPr>
                <a:lstStyle/>
                <a:p>
                  <a:pPr algn="ctr">
                    <a:defRPr b="1">
                      <a:solidFill>
                        <a:sysClr val="windowText" lastClr="000000"/>
                      </a:solidFill>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CF7-458A-AD70-0256E78F9394}"/>
                </c:ext>
                <c:ext xmlns:c15="http://schemas.microsoft.com/office/drawing/2012/chart" uri="{CE6537A1-D6FC-4f65-9D91-7224C49458BB}">
                  <c15:layout/>
                </c:ext>
              </c:extLst>
            </c:dLbl>
            <c:dLbl>
              <c:idx val="1"/>
              <c:layout>
                <c:manualLayout>
                  <c:x val="-8.4875562720133283E-17"/>
                  <c:y val="-0.40079365079365081"/>
                </c:manualLayout>
              </c:layout>
              <c:spPr>
                <a:noFill/>
                <a:ln>
                  <a:noFill/>
                </a:ln>
                <a:effectLst/>
              </c:spPr>
              <c:txPr>
                <a:bodyPr wrap="square" lIns="38100" tIns="19050" rIns="38100" bIns="19050" anchor="ctr" anchorCtr="0">
                  <a:spAutoFit/>
                </a:bodyPr>
                <a:lstStyle/>
                <a:p>
                  <a:pPr algn="ctr">
                    <a:defRPr b="1">
                      <a:solidFill>
                        <a:sysClr val="windowText" lastClr="000000"/>
                      </a:solidFill>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CF7-458A-AD70-0256E78F9394}"/>
                </c:ext>
                <c:ext xmlns:c15="http://schemas.microsoft.com/office/drawing/2012/chart" uri="{CE6537A1-D6FC-4f65-9D91-7224C49458BB}">
                  <c15:layout/>
                </c:ext>
              </c:extLst>
            </c:dLbl>
            <c:dLbl>
              <c:idx val="2"/>
              <c:layout>
                <c:manualLayout>
                  <c:x val="-2.3148148148148997E-3"/>
                  <c:y val="-0.40873015873015872"/>
                </c:manualLayout>
              </c:layout>
              <c:spPr>
                <a:noFill/>
                <a:ln>
                  <a:noFill/>
                </a:ln>
                <a:effectLst/>
              </c:spPr>
              <c:txPr>
                <a:bodyPr wrap="square" lIns="38100" tIns="19050" rIns="38100" bIns="19050" anchor="ctr" anchorCtr="0">
                  <a:spAutoFit/>
                </a:bodyPr>
                <a:lstStyle/>
                <a:p>
                  <a:pPr algn="ctr">
                    <a:defRPr b="1">
                      <a:solidFill>
                        <a:sysClr val="windowText" lastClr="000000"/>
                      </a:solidFill>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CF7-458A-AD70-0256E78F9394}"/>
                </c:ext>
                <c:ext xmlns:c15="http://schemas.microsoft.com/office/drawing/2012/chart" uri="{CE6537A1-D6FC-4f65-9D91-7224C49458BB}">
                  <c15:layout/>
                </c:ext>
              </c:extLst>
            </c:dLbl>
            <c:dLbl>
              <c:idx val="3"/>
              <c:layout>
                <c:manualLayout>
                  <c:x val="2.3148148148146451E-3"/>
                  <c:y val="-0.40873015873015872"/>
                </c:manualLayout>
              </c:layout>
              <c:spPr>
                <a:noFill/>
                <a:ln>
                  <a:noFill/>
                </a:ln>
                <a:effectLst/>
              </c:spPr>
              <c:txPr>
                <a:bodyPr wrap="square" lIns="38100" tIns="19050" rIns="38100" bIns="19050" anchor="ctr" anchorCtr="0">
                  <a:spAutoFit/>
                </a:bodyPr>
                <a:lstStyle/>
                <a:p>
                  <a:pPr algn="ctr">
                    <a:defRPr b="1">
                      <a:solidFill>
                        <a:sysClr val="windowText" lastClr="000000"/>
                      </a:solidFill>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CF7-458A-AD70-0256E78F9394}"/>
                </c:ext>
                <c:ext xmlns:c15="http://schemas.microsoft.com/office/drawing/2012/chart" uri="{CE6537A1-D6FC-4f65-9D91-7224C49458BB}">
                  <c15:layout/>
                </c:ext>
              </c:extLst>
            </c:dLbl>
            <c:spPr>
              <a:noFill/>
              <a:ln>
                <a:noFill/>
              </a:ln>
              <a:effectLst/>
            </c:spPr>
            <c:txPr>
              <a:bodyPr wrap="square" lIns="38100" tIns="19050" rIns="38100" bIns="19050" anchor="ctr" anchorCtr="0">
                <a:spAutoFit/>
              </a:bodyPr>
              <a:lstStyle/>
              <a:p>
                <a:pPr algn="ctr">
                  <a:defRPr b="1">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Customer Service</c:v>
                </c:pt>
                <c:pt idx="1">
                  <c:v>DI Measures</c:v>
                </c:pt>
                <c:pt idx="2">
                  <c:v>Information Provided by SHC</c:v>
                </c:pt>
                <c:pt idx="3">
                  <c:v>SHC Overall</c:v>
                </c:pt>
              </c:strCache>
            </c:strRef>
          </c:cat>
          <c:val>
            <c:numRef>
              <c:f>Sheet1!$B$2:$B$5</c:f>
              <c:numCache>
                <c:formatCode>General</c:formatCode>
                <c:ptCount val="4"/>
                <c:pt idx="0">
                  <c:v>4.7</c:v>
                </c:pt>
                <c:pt idx="1">
                  <c:v>4.5</c:v>
                </c:pt>
                <c:pt idx="2">
                  <c:v>4.7</c:v>
                </c:pt>
                <c:pt idx="3">
                  <c:v>4.7</c:v>
                </c:pt>
              </c:numCache>
            </c:numRef>
          </c:val>
          <c:extLst xmlns:c16r2="http://schemas.microsoft.com/office/drawing/2015/06/chart">
            <c:ext xmlns:c16="http://schemas.microsoft.com/office/drawing/2014/chart" uri="{C3380CC4-5D6E-409C-BE32-E72D297353CC}">
              <c16:uniqueId val="{00000004-6CF7-458A-AD70-0256E78F9394}"/>
            </c:ext>
          </c:extLst>
        </c:ser>
        <c:dLbls>
          <c:showLegendKey val="0"/>
          <c:showVal val="1"/>
          <c:showCatName val="0"/>
          <c:showSerName val="0"/>
          <c:showPercent val="0"/>
          <c:showBubbleSize val="0"/>
        </c:dLbls>
        <c:gapWidth val="150"/>
        <c:overlap val="100"/>
        <c:axId val="103692928"/>
        <c:axId val="103694720"/>
      </c:barChart>
      <c:catAx>
        <c:axId val="103692928"/>
        <c:scaling>
          <c:orientation val="minMax"/>
        </c:scaling>
        <c:delete val="0"/>
        <c:axPos val="b"/>
        <c:numFmt formatCode="General" sourceLinked="0"/>
        <c:majorTickMark val="out"/>
        <c:minorTickMark val="none"/>
        <c:tickLblPos val="nextTo"/>
        <c:txPr>
          <a:bodyPr/>
          <a:lstStyle/>
          <a:p>
            <a:pPr>
              <a:defRPr b="1"/>
            </a:pPr>
            <a:endParaRPr lang="en-US"/>
          </a:p>
        </c:txPr>
        <c:crossAx val="103694720"/>
        <c:crosses val="autoZero"/>
        <c:auto val="1"/>
        <c:lblAlgn val="ctr"/>
        <c:lblOffset val="100"/>
        <c:noMultiLvlLbl val="0"/>
      </c:catAx>
      <c:valAx>
        <c:axId val="103694720"/>
        <c:scaling>
          <c:orientation val="minMax"/>
          <c:max val="5"/>
          <c:min val="0"/>
        </c:scaling>
        <c:delete val="0"/>
        <c:axPos val="l"/>
        <c:majorGridlines>
          <c:spPr>
            <a:ln>
              <a:noFill/>
            </a:ln>
          </c:spPr>
        </c:majorGridlines>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000" b="1" i="0" baseline="0">
                    <a:effectLst/>
                  </a:rPr>
                  <a:t>Satisfaction Rating</a:t>
                </a:r>
                <a:endParaRPr lang="en-US" sz="1000" b="1">
                  <a:effectLst/>
                </a:endParaRPr>
              </a:p>
            </c:rich>
          </c:tx>
          <c:layout>
            <c:manualLayout>
              <c:xMode val="edge"/>
              <c:yMode val="edge"/>
              <c:x val="5.1449037620297467E-3"/>
              <c:y val="0.28627077865266848"/>
            </c:manualLayout>
          </c:layout>
          <c:overlay val="0"/>
        </c:title>
        <c:numFmt formatCode="#,##0.0" sourceLinked="0"/>
        <c:majorTickMark val="out"/>
        <c:minorTickMark val="none"/>
        <c:tickLblPos val="nextTo"/>
        <c:txPr>
          <a:bodyPr/>
          <a:lstStyle/>
          <a:p>
            <a:pPr>
              <a:defRPr b="1"/>
            </a:pPr>
            <a:endParaRPr lang="en-US"/>
          </a:p>
        </c:txPr>
        <c:crossAx val="103692928"/>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358824719338017"/>
          <c:y val="3.6744524581486145E-2"/>
          <c:w val="0.66316250331210103"/>
          <c:h val="0.75275371828521431"/>
        </c:manualLayout>
      </c:layout>
      <c:barChart>
        <c:barDir val="bar"/>
        <c:grouping val="clustered"/>
        <c:varyColors val="0"/>
        <c:ser>
          <c:idx val="2"/>
          <c:order val="0"/>
          <c:tx>
            <c:strRef>
              <c:f>Satisfaction!$V$19</c:f>
              <c:strCache>
                <c:ptCount val="1"/>
                <c:pt idx="0">
                  <c:v>Pickup Delayed</c:v>
                </c:pt>
              </c:strCache>
            </c:strRef>
          </c:tx>
          <c:spPr>
            <a:solidFill>
              <a:srgbClr val="8DC2CD"/>
            </a:solidFill>
            <a:ln>
              <a:noFill/>
            </a:ln>
            <a:effectLst/>
          </c:spPr>
          <c:invertIfNegative val="0"/>
          <c:cat>
            <c:strRef>
              <c:f>Satisfaction!$S$20:$S$28</c:f>
              <c:strCache>
                <c:ptCount val="9"/>
                <c:pt idx="0">
                  <c:v>Speed of Rebate</c:v>
                </c:pt>
                <c:pt idx="1">
                  <c:v>Likeliness to Recommend</c:v>
                </c:pt>
                <c:pt idx="2">
                  <c:v>Scheduling Appointment</c:v>
                </c:pt>
                <c:pt idx="3">
                  <c:v>Wait for Appointment</c:v>
                </c:pt>
                <c:pt idx="4">
                  <c:v>Getting Information</c:v>
                </c:pt>
                <c:pt idx="5">
                  <c:v>Completing Application</c:v>
                </c:pt>
                <c:pt idx="6">
                  <c:v>PECO overall</c:v>
                </c:pt>
                <c:pt idx="7">
                  <c:v>Promptness of Pickup Crew</c:v>
                </c:pt>
                <c:pt idx="8">
                  <c:v>Pickup Crew´s Removal</c:v>
                </c:pt>
              </c:strCache>
            </c:strRef>
          </c:cat>
          <c:val>
            <c:numRef>
              <c:f>Satisfaction!$V$20:$V$28</c:f>
              <c:numCache>
                <c:formatCode>0.0</c:formatCode>
                <c:ptCount val="9"/>
                <c:pt idx="0">
                  <c:v>2.8571428571428572</c:v>
                </c:pt>
                <c:pt idx="1">
                  <c:v>4.0476190476190474</c:v>
                </c:pt>
                <c:pt idx="2">
                  <c:v>4.1428571428571432</c:v>
                </c:pt>
                <c:pt idx="3">
                  <c:v>4.2857142857142856</c:v>
                </c:pt>
                <c:pt idx="4">
                  <c:v>4.0952380952380949</c:v>
                </c:pt>
                <c:pt idx="5">
                  <c:v>4.4761904761904763</c:v>
                </c:pt>
                <c:pt idx="6">
                  <c:v>4.5238095238095237</c:v>
                </c:pt>
                <c:pt idx="7">
                  <c:v>4.8095238095238093</c:v>
                </c:pt>
                <c:pt idx="8">
                  <c:v>4.7619047619047619</c:v>
                </c:pt>
              </c:numCache>
            </c:numRef>
          </c:val>
          <c:extLst xmlns:c16r2="http://schemas.microsoft.com/office/drawing/2015/06/chart">
            <c:ext xmlns:c16="http://schemas.microsoft.com/office/drawing/2014/chart" uri="{C3380CC4-5D6E-409C-BE32-E72D297353CC}">
              <c16:uniqueId val="{00000000-9E61-4E35-A59B-E3EADF25923C}"/>
            </c:ext>
          </c:extLst>
        </c:ser>
        <c:ser>
          <c:idx val="1"/>
          <c:order val="1"/>
          <c:tx>
            <c:strRef>
              <c:f>Satisfaction!$U$19</c:f>
              <c:strCache>
                <c:ptCount val="1"/>
                <c:pt idx="0">
                  <c:v>Rebate Delayed</c:v>
                </c:pt>
              </c:strCache>
              <c:extLst xmlns:c15="http://schemas.microsoft.com/office/drawing/2012/chart" xmlns:c16r2="http://schemas.microsoft.com/office/drawing/2015/06/chart"/>
            </c:strRef>
          </c:tx>
          <c:spPr>
            <a:solidFill>
              <a:srgbClr val="ED9E3E"/>
            </a:solidFill>
            <a:ln>
              <a:noFill/>
            </a:ln>
            <a:effectLst/>
          </c:spPr>
          <c:invertIfNegative val="0"/>
          <c:cat>
            <c:strRef>
              <c:f>Satisfaction!$S$20:$S$28</c:f>
              <c:strCache>
                <c:ptCount val="9"/>
                <c:pt idx="0">
                  <c:v>Speed of Rebate</c:v>
                </c:pt>
                <c:pt idx="1">
                  <c:v>Likeliness to Recommend</c:v>
                </c:pt>
                <c:pt idx="2">
                  <c:v>Scheduling Appointment</c:v>
                </c:pt>
                <c:pt idx="3">
                  <c:v>Wait for Appointment</c:v>
                </c:pt>
                <c:pt idx="4">
                  <c:v>Getting Information</c:v>
                </c:pt>
                <c:pt idx="5">
                  <c:v>Completing Application</c:v>
                </c:pt>
                <c:pt idx="6">
                  <c:v>PECO overall</c:v>
                </c:pt>
                <c:pt idx="7">
                  <c:v>Promptness of Pickup Crew</c:v>
                </c:pt>
                <c:pt idx="8">
                  <c:v>Pickup Crew´s Removal</c:v>
                </c:pt>
              </c:strCache>
              <c:extLst xmlns:c15="http://schemas.microsoft.com/office/drawing/2012/chart" xmlns:c16r2="http://schemas.microsoft.com/office/drawing/2015/06/chart"/>
            </c:strRef>
          </c:cat>
          <c:val>
            <c:numRef>
              <c:f>Satisfaction!$U$20:$U$28</c:f>
              <c:numCache>
                <c:formatCode>0.0</c:formatCode>
                <c:ptCount val="9"/>
                <c:pt idx="0">
                  <c:v>4.5999999999999996</c:v>
                </c:pt>
                <c:pt idx="1">
                  <c:v>4.4000000000000004</c:v>
                </c:pt>
                <c:pt idx="2">
                  <c:v>4.1111111111111107</c:v>
                </c:pt>
                <c:pt idx="3">
                  <c:v>4.3</c:v>
                </c:pt>
                <c:pt idx="4">
                  <c:v>4.3</c:v>
                </c:pt>
                <c:pt idx="5">
                  <c:v>4.8</c:v>
                </c:pt>
                <c:pt idx="6">
                  <c:v>4.8</c:v>
                </c:pt>
                <c:pt idx="7">
                  <c:v>4.5999999999999996</c:v>
                </c:pt>
                <c:pt idx="8">
                  <c:v>4.8</c:v>
                </c:pt>
              </c:numCache>
              <c:extLst xmlns:c15="http://schemas.microsoft.com/office/drawing/2012/chart" xmlns:c16r2="http://schemas.microsoft.com/office/drawing/2015/06/chart"/>
            </c:numRef>
          </c:val>
          <c:extLst xmlns:c16r2="http://schemas.microsoft.com/office/drawing/2015/06/chart">
            <c:ext xmlns:c16="http://schemas.microsoft.com/office/drawing/2014/chart" uri="{C3380CC4-5D6E-409C-BE32-E72D297353CC}">
              <c16:uniqueId val="{00000001-9E61-4E35-A59B-E3EADF25923C}"/>
            </c:ext>
          </c:extLst>
        </c:ser>
        <c:ser>
          <c:idx val="0"/>
          <c:order val="2"/>
          <c:tx>
            <c:strRef>
              <c:f>Satisfaction!$T$19</c:f>
              <c:strCache>
                <c:ptCount val="1"/>
                <c:pt idx="0">
                  <c:v>Regular Participants</c:v>
                </c:pt>
              </c:strCache>
            </c:strRef>
          </c:tx>
          <c:spPr>
            <a:solidFill>
              <a:srgbClr val="448A99"/>
            </a:solidFill>
            <a:ln>
              <a:noFill/>
            </a:ln>
            <a:effectLst/>
          </c:spPr>
          <c:invertIfNegative val="0"/>
          <c:cat>
            <c:strRef>
              <c:f>Satisfaction!$S$20:$S$28</c:f>
              <c:strCache>
                <c:ptCount val="9"/>
                <c:pt idx="0">
                  <c:v>Speed of Rebate</c:v>
                </c:pt>
                <c:pt idx="1">
                  <c:v>Likeliness to Recommend</c:v>
                </c:pt>
                <c:pt idx="2">
                  <c:v>Scheduling Appointment</c:v>
                </c:pt>
                <c:pt idx="3">
                  <c:v>Wait for Appointment</c:v>
                </c:pt>
                <c:pt idx="4">
                  <c:v>Getting Information</c:v>
                </c:pt>
                <c:pt idx="5">
                  <c:v>Completing Application</c:v>
                </c:pt>
                <c:pt idx="6">
                  <c:v>PECO overall</c:v>
                </c:pt>
                <c:pt idx="7">
                  <c:v>Promptness of Pickup Crew</c:v>
                </c:pt>
                <c:pt idx="8">
                  <c:v>Pickup Crew´s Removal</c:v>
                </c:pt>
              </c:strCache>
            </c:strRef>
          </c:cat>
          <c:val>
            <c:numRef>
              <c:f>Satisfaction!$T$20:$T$28</c:f>
              <c:numCache>
                <c:formatCode>0.0</c:formatCode>
                <c:ptCount val="9"/>
                <c:pt idx="0">
                  <c:v>4.125</c:v>
                </c:pt>
                <c:pt idx="1">
                  <c:v>4.5071428571428571</c:v>
                </c:pt>
                <c:pt idx="2">
                  <c:v>4.7352941176470589</c:v>
                </c:pt>
                <c:pt idx="3">
                  <c:v>4.5808823529411766</c:v>
                </c:pt>
                <c:pt idx="4">
                  <c:v>4.7769784172661867</c:v>
                </c:pt>
                <c:pt idx="5">
                  <c:v>4.8721804511278197</c:v>
                </c:pt>
                <c:pt idx="6">
                  <c:v>4.871428571428571</c:v>
                </c:pt>
                <c:pt idx="7">
                  <c:v>4.9111111111111114</c:v>
                </c:pt>
                <c:pt idx="8">
                  <c:v>4.9338235294117645</c:v>
                </c:pt>
              </c:numCache>
            </c:numRef>
          </c:val>
          <c:extLst xmlns:c16r2="http://schemas.microsoft.com/office/drawing/2015/06/chart">
            <c:ext xmlns:c16="http://schemas.microsoft.com/office/drawing/2014/chart" uri="{C3380CC4-5D6E-409C-BE32-E72D297353CC}">
              <c16:uniqueId val="{00000002-9E61-4E35-A59B-E3EADF25923C}"/>
            </c:ext>
          </c:extLst>
        </c:ser>
        <c:dLbls>
          <c:showLegendKey val="0"/>
          <c:showVal val="0"/>
          <c:showCatName val="0"/>
          <c:showSerName val="0"/>
          <c:showPercent val="0"/>
          <c:showBubbleSize val="0"/>
        </c:dLbls>
        <c:gapWidth val="182"/>
        <c:axId val="127507456"/>
        <c:axId val="176849664"/>
      </c:barChart>
      <c:catAx>
        <c:axId val="127507456"/>
        <c:scaling>
          <c:orientation val="minMax"/>
        </c:scaling>
        <c:delete val="0"/>
        <c:axPos val="l"/>
        <c:numFmt formatCode="General" sourceLinked="1"/>
        <c:majorTickMark val="none"/>
        <c:minorTickMark val="none"/>
        <c:tickLblPos val="nextTo"/>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76849664"/>
        <c:crosses val="autoZero"/>
        <c:auto val="1"/>
        <c:lblAlgn val="ctr"/>
        <c:lblOffset val="100"/>
        <c:noMultiLvlLbl val="0"/>
      </c:catAx>
      <c:valAx>
        <c:axId val="176849664"/>
        <c:scaling>
          <c:orientation val="minMax"/>
          <c:max val="5"/>
          <c:min val="1"/>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t>Not at all satisfied --------------------------------------------------------------Very Satisfied</a:t>
                </a:r>
              </a:p>
            </c:rich>
          </c:tx>
          <c:layout>
            <c:manualLayout>
              <c:xMode val="edge"/>
              <c:yMode val="edge"/>
              <c:x val="0.17651660989005249"/>
              <c:y val="0.85272399773557717"/>
            </c:manualLayout>
          </c:layout>
          <c:overlay val="0"/>
          <c:spPr>
            <a:noFill/>
            <a:ln>
              <a:noFill/>
            </a:ln>
            <a:effectLst/>
          </c:spPr>
        </c:title>
        <c:numFmt formatCode="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27507456"/>
        <c:crosses val="autoZero"/>
        <c:crossBetween val="between"/>
        <c:majorUnit val="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n-lt"/>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446130209333587E-2"/>
          <c:y val="2.3150958532132893E-2"/>
          <c:w val="0.43615628758857011"/>
          <c:h val="0.94620305787374182"/>
        </c:manualLayout>
      </c:layout>
      <c:doughnutChart>
        <c:varyColors val="1"/>
        <c:ser>
          <c:idx val="0"/>
          <c:order val="0"/>
          <c:tx>
            <c:strRef>
              <c:f>Sheet1!$B$1</c:f>
              <c:strCache>
                <c:ptCount val="1"/>
                <c:pt idx="0">
                  <c:v>TOTAL</c:v>
                </c:pt>
              </c:strCache>
            </c:strRef>
          </c:tx>
          <c:spPr>
            <a:effectLst/>
          </c:spPr>
          <c:dPt>
            <c:idx val="0"/>
            <c:bubble3D val="0"/>
            <c:spPr>
              <a:solidFill>
                <a:srgbClr val="448A99"/>
              </a:solidFill>
              <a:ln>
                <a:noFill/>
              </a:ln>
              <a:effectLst/>
            </c:spPr>
            <c:extLst xmlns:c16r2="http://schemas.microsoft.com/office/drawing/2015/06/chart">
              <c:ext xmlns:c16="http://schemas.microsoft.com/office/drawing/2014/chart" uri="{C3380CC4-5D6E-409C-BE32-E72D297353CC}">
                <c16:uniqueId val="{00000001-3677-4006-AE9C-B4E125C0A0DF}"/>
              </c:ext>
            </c:extLst>
          </c:dPt>
          <c:dPt>
            <c:idx val="1"/>
            <c:bubble3D val="0"/>
            <c:spPr>
              <a:solidFill>
                <a:srgbClr val="4EA0B0"/>
              </a:solidFill>
              <a:ln>
                <a:noFill/>
              </a:ln>
              <a:effectLst/>
            </c:spPr>
            <c:extLst xmlns:c16r2="http://schemas.microsoft.com/office/drawing/2015/06/chart">
              <c:ext xmlns:c16="http://schemas.microsoft.com/office/drawing/2014/chart" uri="{C3380CC4-5D6E-409C-BE32-E72D297353CC}">
                <c16:uniqueId val="{00000003-3677-4006-AE9C-B4E125C0A0DF}"/>
              </c:ext>
            </c:extLst>
          </c:dPt>
          <c:dPt>
            <c:idx val="2"/>
            <c:bubble3D val="0"/>
            <c:spPr>
              <a:solidFill>
                <a:srgbClr val="8DC2CD"/>
              </a:solidFill>
              <a:ln>
                <a:noFill/>
              </a:ln>
              <a:effectLst/>
            </c:spPr>
            <c:extLst xmlns:c16r2="http://schemas.microsoft.com/office/drawing/2015/06/chart">
              <c:ext xmlns:c16="http://schemas.microsoft.com/office/drawing/2014/chart" uri="{C3380CC4-5D6E-409C-BE32-E72D297353CC}">
                <c16:uniqueId val="{00000005-3677-4006-AE9C-B4E125C0A0DF}"/>
              </c:ext>
            </c:extLst>
          </c:dPt>
          <c:dPt>
            <c:idx val="3"/>
            <c:bubble3D val="0"/>
            <c:spPr>
              <a:solidFill>
                <a:srgbClr val="D2EAF1"/>
              </a:solidFill>
              <a:ln>
                <a:noFill/>
              </a:ln>
              <a:effectLst/>
            </c:spPr>
            <c:extLst xmlns:c16r2="http://schemas.microsoft.com/office/drawing/2015/06/chart">
              <c:ext xmlns:c16="http://schemas.microsoft.com/office/drawing/2014/chart" uri="{C3380CC4-5D6E-409C-BE32-E72D297353CC}">
                <c16:uniqueId val="{00000007-3677-4006-AE9C-B4E125C0A0DF}"/>
              </c:ext>
            </c:extLst>
          </c:dPt>
          <c:dPt>
            <c:idx val="4"/>
            <c:bubble3D val="0"/>
            <c:spPr>
              <a:solidFill>
                <a:srgbClr val="DD8315"/>
              </a:solidFill>
              <a:ln>
                <a:noFill/>
              </a:ln>
              <a:effectLst/>
            </c:spPr>
            <c:extLst xmlns:c16r2="http://schemas.microsoft.com/office/drawing/2015/06/chart">
              <c:ext xmlns:c16="http://schemas.microsoft.com/office/drawing/2014/chart" uri="{C3380CC4-5D6E-409C-BE32-E72D297353CC}">
                <c16:uniqueId val="{00000009-3677-4006-AE9C-B4E125C0A0DF}"/>
              </c:ext>
            </c:extLst>
          </c:dPt>
          <c:dPt>
            <c:idx val="5"/>
            <c:bubble3D val="0"/>
            <c:spPr>
              <a:solidFill>
                <a:srgbClr val="ED9E3E"/>
              </a:solidFill>
              <a:ln>
                <a:noFill/>
              </a:ln>
              <a:effectLst/>
            </c:spPr>
            <c:extLst xmlns:c16r2="http://schemas.microsoft.com/office/drawing/2015/06/chart">
              <c:ext xmlns:c16="http://schemas.microsoft.com/office/drawing/2014/chart" uri="{C3380CC4-5D6E-409C-BE32-E72D297353CC}">
                <c16:uniqueId val="{0000000B-3677-4006-AE9C-B4E125C0A0DF}"/>
              </c:ext>
            </c:extLst>
          </c:dPt>
          <c:dPt>
            <c:idx val="6"/>
            <c:bubble3D val="0"/>
            <c:spPr>
              <a:solidFill>
                <a:srgbClr val="F5CA95"/>
              </a:solidFill>
              <a:ln>
                <a:noFill/>
              </a:ln>
              <a:effectLst/>
            </c:spPr>
            <c:extLst xmlns:c16r2="http://schemas.microsoft.com/office/drawing/2015/06/chart">
              <c:ext xmlns:c16="http://schemas.microsoft.com/office/drawing/2014/chart" uri="{C3380CC4-5D6E-409C-BE32-E72D297353CC}">
                <c16:uniqueId val="{0000000D-3677-4006-AE9C-B4E125C0A0D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Sheet1!$A$2:$A$8</c:f>
              <c:strCache>
                <c:ptCount val="7"/>
                <c:pt idx="0">
                  <c:v>No Existing Nightlight</c:v>
                </c:pt>
                <c:pt idx="1">
                  <c:v>Existing LED Nightlight Still Installed</c:v>
                </c:pt>
                <c:pt idx="2">
                  <c:v>Existing CFL Nightlight Still Installed</c:v>
                </c:pt>
                <c:pt idx="3">
                  <c:v>Existing Incandescent Nightlight Still Installed</c:v>
                </c:pt>
                <c:pt idx="4">
                  <c:v>Existing LED Nightlight Removed</c:v>
                </c:pt>
                <c:pt idx="5">
                  <c:v>Existing CFL Nightlight Removed</c:v>
                </c:pt>
                <c:pt idx="6">
                  <c:v>Existing Incandescent Nightlight Removed</c:v>
                </c:pt>
              </c:strCache>
            </c:strRef>
          </c:cat>
          <c:val>
            <c:numRef>
              <c:f>Sheet1!$B$2:$B$8</c:f>
              <c:numCache>
                <c:formatCode>General</c:formatCode>
                <c:ptCount val="7"/>
                <c:pt idx="0">
                  <c:v>1617</c:v>
                </c:pt>
                <c:pt idx="1">
                  <c:v>117</c:v>
                </c:pt>
                <c:pt idx="2">
                  <c:v>85</c:v>
                </c:pt>
                <c:pt idx="3">
                  <c:v>323</c:v>
                </c:pt>
                <c:pt idx="4">
                  <c:v>195</c:v>
                </c:pt>
                <c:pt idx="5">
                  <c:v>160</c:v>
                </c:pt>
                <c:pt idx="6">
                  <c:v>713</c:v>
                </c:pt>
              </c:numCache>
            </c:numRef>
          </c:val>
          <c:extLst xmlns:c16r2="http://schemas.microsoft.com/office/drawing/2015/06/chart">
            <c:ext xmlns:c16="http://schemas.microsoft.com/office/drawing/2014/chart" uri="{C3380CC4-5D6E-409C-BE32-E72D297353CC}">
              <c16:uniqueId val="{0000000E-3677-4006-AE9C-B4E125C0A0DF}"/>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57287339243056745"/>
          <c:y val="0.15877516934889985"/>
          <c:w val="0.41176368518761858"/>
          <c:h val="0.73387179004573833"/>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765222541897288E-2"/>
          <c:y val="0.12872875485988564"/>
          <c:w val="0.39876627338072274"/>
          <c:h val="0.78173518365755779"/>
        </c:manualLayout>
      </c:layout>
      <c:doughnutChart>
        <c:varyColors val="1"/>
        <c:ser>
          <c:idx val="0"/>
          <c:order val="0"/>
          <c:tx>
            <c:strRef>
              <c:f>Sheet1!$B$1</c:f>
              <c:strCache>
                <c:ptCount val="1"/>
                <c:pt idx="0">
                  <c:v>TOTAL</c:v>
                </c:pt>
              </c:strCache>
            </c:strRef>
          </c:tx>
          <c:spPr>
            <a:effectLst/>
          </c:spPr>
          <c:dPt>
            <c:idx val="0"/>
            <c:bubble3D val="0"/>
            <c:spPr>
              <a:solidFill>
                <a:srgbClr val="448A99"/>
              </a:solidFill>
              <a:ln>
                <a:noFill/>
              </a:ln>
              <a:effectLst/>
            </c:spPr>
            <c:extLst xmlns:c16r2="http://schemas.microsoft.com/office/drawing/2015/06/chart">
              <c:ext xmlns:c16="http://schemas.microsoft.com/office/drawing/2014/chart" uri="{C3380CC4-5D6E-409C-BE32-E72D297353CC}">
                <c16:uniqueId val="{00000001-C453-4D5C-8589-C5A7EC992449}"/>
              </c:ext>
            </c:extLst>
          </c:dPt>
          <c:dPt>
            <c:idx val="1"/>
            <c:bubble3D val="0"/>
            <c:spPr>
              <a:solidFill>
                <a:srgbClr val="4EA0B0"/>
              </a:solidFill>
              <a:ln>
                <a:noFill/>
              </a:ln>
              <a:effectLst/>
            </c:spPr>
            <c:extLst xmlns:c16r2="http://schemas.microsoft.com/office/drawing/2015/06/chart">
              <c:ext xmlns:c16="http://schemas.microsoft.com/office/drawing/2014/chart" uri="{C3380CC4-5D6E-409C-BE32-E72D297353CC}">
                <c16:uniqueId val="{00000003-C453-4D5C-8589-C5A7EC992449}"/>
              </c:ext>
            </c:extLst>
          </c:dPt>
          <c:dPt>
            <c:idx val="2"/>
            <c:bubble3D val="0"/>
            <c:spPr>
              <a:solidFill>
                <a:srgbClr val="8DC2CD"/>
              </a:solidFill>
              <a:ln>
                <a:noFill/>
              </a:ln>
              <a:effectLst/>
            </c:spPr>
            <c:extLst xmlns:c16r2="http://schemas.microsoft.com/office/drawing/2015/06/chart">
              <c:ext xmlns:c16="http://schemas.microsoft.com/office/drawing/2014/chart" uri="{C3380CC4-5D6E-409C-BE32-E72D297353CC}">
                <c16:uniqueId val="{00000005-C453-4D5C-8589-C5A7EC992449}"/>
              </c:ext>
            </c:extLst>
          </c:dPt>
          <c:dPt>
            <c:idx val="3"/>
            <c:bubble3D val="0"/>
            <c:spPr>
              <a:solidFill>
                <a:srgbClr val="D2EAF1"/>
              </a:solidFill>
              <a:ln>
                <a:noFill/>
              </a:ln>
              <a:effectLst/>
            </c:spPr>
            <c:extLst xmlns:c16r2="http://schemas.microsoft.com/office/drawing/2015/06/chart">
              <c:ext xmlns:c16="http://schemas.microsoft.com/office/drawing/2014/chart" uri="{C3380CC4-5D6E-409C-BE32-E72D297353CC}">
                <c16:uniqueId val="{00000007-C453-4D5C-8589-C5A7EC992449}"/>
              </c:ext>
            </c:extLst>
          </c:dPt>
          <c:dPt>
            <c:idx val="4"/>
            <c:bubble3D val="0"/>
            <c:spPr>
              <a:solidFill>
                <a:srgbClr val="DD8315"/>
              </a:solidFill>
              <a:ln>
                <a:noFill/>
              </a:ln>
              <a:effectLst/>
            </c:spPr>
            <c:extLst xmlns:c16r2="http://schemas.microsoft.com/office/drawing/2015/06/chart">
              <c:ext xmlns:c16="http://schemas.microsoft.com/office/drawing/2014/chart" uri="{C3380CC4-5D6E-409C-BE32-E72D297353CC}">
                <c16:uniqueId val="{00000009-C453-4D5C-8589-C5A7EC992449}"/>
              </c:ext>
            </c:extLst>
          </c:dPt>
          <c:dPt>
            <c:idx val="5"/>
            <c:bubble3D val="0"/>
            <c:spPr>
              <a:solidFill>
                <a:srgbClr val="ED9E3E"/>
              </a:solidFill>
              <a:ln>
                <a:noFill/>
              </a:ln>
              <a:effectLst/>
            </c:spPr>
            <c:extLst xmlns:c16r2="http://schemas.microsoft.com/office/drawing/2015/06/chart">
              <c:ext xmlns:c16="http://schemas.microsoft.com/office/drawing/2014/chart" uri="{C3380CC4-5D6E-409C-BE32-E72D297353CC}">
                <c16:uniqueId val="{0000000B-C453-4D5C-8589-C5A7EC992449}"/>
              </c:ext>
            </c:extLst>
          </c:dPt>
          <c:dPt>
            <c:idx val="6"/>
            <c:bubble3D val="0"/>
            <c:spPr>
              <a:solidFill>
                <a:srgbClr val="F5CA95"/>
              </a:solidFill>
              <a:ln>
                <a:noFill/>
              </a:ln>
              <a:effectLst/>
            </c:spPr>
            <c:extLst xmlns:c16r2="http://schemas.microsoft.com/office/drawing/2015/06/chart">
              <c:ext xmlns:c16="http://schemas.microsoft.com/office/drawing/2014/chart" uri="{C3380CC4-5D6E-409C-BE32-E72D297353CC}">
                <c16:uniqueId val="{0000000D-C453-4D5C-8589-C5A7EC99244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Sheet1!$A$2:$A$8</c:f>
              <c:strCache>
                <c:ptCount val="7"/>
                <c:pt idx="0">
                  <c:v>No Existing Nightlight</c:v>
                </c:pt>
                <c:pt idx="1">
                  <c:v>Existing LED Nightlight Still Installed</c:v>
                </c:pt>
                <c:pt idx="2">
                  <c:v>Existing CFL Nightlight Still Installed</c:v>
                </c:pt>
                <c:pt idx="3">
                  <c:v>Existing Incandescent Nightlight Still Installed</c:v>
                </c:pt>
                <c:pt idx="4">
                  <c:v>Existing LED Nightlight Removed</c:v>
                </c:pt>
                <c:pt idx="5">
                  <c:v>Existing CFL Nightlight Removed</c:v>
                </c:pt>
                <c:pt idx="6">
                  <c:v>Existing Incandescent Nightlight Removed</c:v>
                </c:pt>
              </c:strCache>
            </c:strRef>
          </c:cat>
          <c:val>
            <c:numRef>
              <c:f>Sheet1!$B$2:$B$8</c:f>
              <c:numCache>
                <c:formatCode>General</c:formatCode>
                <c:ptCount val="7"/>
                <c:pt idx="0">
                  <c:v>1617</c:v>
                </c:pt>
                <c:pt idx="1">
                  <c:v>117</c:v>
                </c:pt>
                <c:pt idx="2">
                  <c:v>85</c:v>
                </c:pt>
                <c:pt idx="3">
                  <c:v>323</c:v>
                </c:pt>
                <c:pt idx="4">
                  <c:v>195</c:v>
                </c:pt>
                <c:pt idx="5">
                  <c:v>160</c:v>
                </c:pt>
                <c:pt idx="6">
                  <c:v>713</c:v>
                </c:pt>
              </c:numCache>
            </c:numRef>
          </c:val>
          <c:extLst xmlns:c16r2="http://schemas.microsoft.com/office/drawing/2015/06/chart">
            <c:ext xmlns:c16="http://schemas.microsoft.com/office/drawing/2014/chart" uri="{C3380CC4-5D6E-409C-BE32-E72D297353CC}">
              <c16:uniqueId val="{0000000E-C453-4D5C-8589-C5A7EC992449}"/>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1118501966740779"/>
          <c:y val="0.14436114040675113"/>
          <c:w val="0.38881498033259215"/>
          <c:h val="0.82085721943188505"/>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5493909415169259"/>
          <c:y val="4.7721307563827246E-2"/>
          <c:w val="0.49345817349754356"/>
          <c:h val="0.75160270320540634"/>
        </c:manualLayout>
      </c:layout>
      <c:barChart>
        <c:barDir val="bar"/>
        <c:grouping val="stacked"/>
        <c:varyColors val="0"/>
        <c:ser>
          <c:idx val="1"/>
          <c:order val="0"/>
          <c:tx>
            <c:strRef>
              <c:f>Notes!$O$27</c:f>
              <c:strCache>
                <c:ptCount val="1"/>
                <c:pt idx="0">
                  <c:v>Very Satisfied (8 or above)</c:v>
                </c:pt>
              </c:strCache>
            </c:strRef>
          </c:tx>
          <c:spPr>
            <a:solidFill>
              <a:srgbClr val="4BACC6">
                <a:lumMod val="75000"/>
              </a:srgbClr>
            </a:solidFill>
          </c:spPr>
          <c:invertIfNegative val="0"/>
          <c:dLbls>
            <c:dLbl>
              <c:idx val="0"/>
              <c:layout>
                <c:manualLayout>
                  <c:x val="-7.8346673280123027E-17"/>
                  <c:y val="-4.77213075638272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844-475D-AEB0-E6990E820F46}"/>
                </c:ext>
                <c:ext xmlns:c15="http://schemas.microsoft.com/office/drawing/2012/chart" uri="{CE6537A1-D6FC-4f65-9D91-7224C49458BB}">
                  <c15:layout/>
                </c:ext>
              </c:extLst>
            </c:dLbl>
            <c:dLbl>
              <c:idx val="1"/>
              <c:layout>
                <c:manualLayout>
                  <c:x val="-7.8346673280123027E-17"/>
                  <c:y val="-9.544261512765536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844-475D-AEB0-E6990E820F46}"/>
                </c:ext>
                <c:ext xmlns:c15="http://schemas.microsoft.com/office/drawing/2012/chart" uri="{CE6537A1-D6FC-4f65-9D91-7224C49458BB}">
                  <c15:layout/>
                </c:ext>
              </c:extLst>
            </c:dLbl>
            <c:dLbl>
              <c:idx val="2"/>
              <c:layout>
                <c:manualLayout>
                  <c:x val="-7.8346673280123027E-17"/>
                  <c:y val="-4.772130756382812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844-475D-AEB0-E6990E820F46}"/>
                </c:ext>
                <c:ext xmlns:c15="http://schemas.microsoft.com/office/drawing/2012/chart" uri="{CE6537A1-D6FC-4f65-9D91-7224C49458BB}">
                  <c15:layout/>
                </c:ext>
              </c:extLst>
            </c:dLbl>
            <c:dLbl>
              <c:idx val="3"/>
              <c:layout>
                <c:manualLayout>
                  <c:x val="-7.8346673280123027E-17"/>
                  <c:y val="-4.77213075638272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844-475D-AEB0-E6990E820F46}"/>
                </c:ext>
                <c:ext xmlns:c15="http://schemas.microsoft.com/office/drawing/2012/chart" uri="{CE6537A1-D6FC-4f65-9D91-7224C49458BB}">
                  <c15:layout/>
                </c:ext>
              </c:extLst>
            </c:dLbl>
            <c:dLbl>
              <c:idx val="4"/>
              <c:layout>
                <c:manualLayout>
                  <c:x val="-7.8346673280123027E-17"/>
                  <c:y val="-4.77213075638272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844-475D-AEB0-E6990E820F46}"/>
                </c:ext>
                <c:ext xmlns:c15="http://schemas.microsoft.com/office/drawing/2012/chart" uri="{CE6537A1-D6FC-4f65-9D91-7224C49458BB}">
                  <c15:layout/>
                </c:ext>
              </c:extLst>
            </c:dLbl>
            <c:dLbl>
              <c:idx val="5"/>
              <c:layout>
                <c:manualLayout>
                  <c:x val="-7.8346673280123027E-17"/>
                  <c:y val="-4.77213075638272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844-475D-AEB0-E6990E820F46}"/>
                </c:ext>
                <c:ext xmlns:c15="http://schemas.microsoft.com/office/drawing/2012/chart" uri="{CE6537A1-D6FC-4f65-9D91-7224C49458BB}">
                  <c15:layout/>
                </c:ext>
              </c:extLst>
            </c:dLbl>
            <c:dLbl>
              <c:idx val="6"/>
              <c:layout>
                <c:manualLayout>
                  <c:x val="0"/>
                  <c:y val="-4.77213075638272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844-475D-AEB0-E6990E820F46}"/>
                </c:ext>
                <c:ext xmlns:c15="http://schemas.microsoft.com/office/drawing/2012/chart" uri="{CE6537A1-D6FC-4f65-9D91-7224C49458BB}">
                  <c15:layout/>
                </c:ext>
              </c:extLst>
            </c:dLbl>
            <c:dLbl>
              <c:idx val="7"/>
              <c:layout>
                <c:manualLayout>
                  <c:x val="0"/>
                  <c:y val="-4.77213075638272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844-475D-AEB0-E6990E820F46}"/>
                </c:ext>
                <c:ext xmlns:c15="http://schemas.microsoft.com/office/drawing/2012/chart" uri="{CE6537A1-D6FC-4f65-9D91-7224C49458BB}">
                  <c15:layout/>
                </c:ext>
              </c:extLst>
            </c:dLbl>
            <c:dLbl>
              <c:idx val="8"/>
              <c:layout>
                <c:manualLayout>
                  <c:x val="-7.8346673280123027E-17"/>
                  <c:y val="-9.5442615127654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844-475D-AEB0-E6990E820F46}"/>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800" b="1">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Notes!$P$25:$X$25</c:f>
              <c:strCache>
                <c:ptCount val="9"/>
                <c:pt idx="0">
                  <c:v>Experience working with your Home Energy Rater</c:v>
                </c:pt>
                <c:pt idx="1">
                  <c:v>Experience working with ICF program staff</c:v>
                </c:pt>
                <c:pt idx="2">
                  <c:v>Smart Builder Rebates Program overall</c:v>
                </c:pt>
                <c:pt idx="3">
                  <c:v>Rebate amounts for ENERGY STAR Homes</c:v>
                </c:pt>
                <c:pt idx="4">
                  <c:v>Program participation requirements</c:v>
                </c:pt>
                <c:pt idx="5">
                  <c:v>Marketing assistance provided by the program</c:v>
                </c:pt>
                <c:pt idx="6">
                  <c:v>Rebate application process</c:v>
                </c:pt>
                <c:pt idx="7">
                  <c:v>Training opportunities offered through the program</c:v>
                </c:pt>
                <c:pt idx="8">
                  <c:v>Time it takes to receive rebates</c:v>
                </c:pt>
              </c:strCache>
            </c:strRef>
          </c:cat>
          <c:val>
            <c:numRef>
              <c:f>Notes!$P$27:$X$27</c:f>
              <c:numCache>
                <c:formatCode>0%</c:formatCode>
                <c:ptCount val="9"/>
                <c:pt idx="0">
                  <c:v>1</c:v>
                </c:pt>
                <c:pt idx="1">
                  <c:v>1</c:v>
                </c:pt>
                <c:pt idx="2">
                  <c:v>0.8</c:v>
                </c:pt>
                <c:pt idx="3">
                  <c:v>0.7142857142857143</c:v>
                </c:pt>
                <c:pt idx="4">
                  <c:v>0.7142857142857143</c:v>
                </c:pt>
                <c:pt idx="5">
                  <c:v>0.6</c:v>
                </c:pt>
                <c:pt idx="6">
                  <c:v>0.5714285714285714</c:v>
                </c:pt>
                <c:pt idx="7">
                  <c:v>0.5</c:v>
                </c:pt>
                <c:pt idx="8">
                  <c:v>0.4</c:v>
                </c:pt>
              </c:numCache>
            </c:numRef>
          </c:val>
          <c:extLst xmlns:c16r2="http://schemas.microsoft.com/office/drawing/2015/06/chart">
            <c:ext xmlns:c16="http://schemas.microsoft.com/office/drawing/2014/chart" uri="{C3380CC4-5D6E-409C-BE32-E72D297353CC}">
              <c16:uniqueId val="{00000000-FF56-42B7-895A-641E408621AF}"/>
            </c:ext>
          </c:extLst>
        </c:ser>
        <c:ser>
          <c:idx val="0"/>
          <c:order val="1"/>
          <c:tx>
            <c:strRef>
              <c:f>Notes!$O$28</c:f>
              <c:strCache>
                <c:ptCount val="1"/>
                <c:pt idx="0">
                  <c:v>Somewhat Satisfied (6-7)</c:v>
                </c:pt>
              </c:strCache>
            </c:strRef>
          </c:tx>
          <c:spPr>
            <a:solidFill>
              <a:srgbClr val="ED9E3E"/>
            </a:solidFill>
          </c:spPr>
          <c:invertIfNegative val="0"/>
          <c:dLbls>
            <c:dLbl>
              <c:idx val="0"/>
              <c:delete val="1"/>
              <c:extLst xmlns:c16r2="http://schemas.microsoft.com/office/drawing/2015/06/chart">
                <c:ext xmlns:c16="http://schemas.microsoft.com/office/drawing/2014/chart" uri="{C3380CC4-5D6E-409C-BE32-E72D297353CC}">
                  <c16:uniqueId val="{00000009-9844-475D-AEB0-E6990E820F46}"/>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A-9844-475D-AEB0-E6990E820F46}"/>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B-9844-475D-AEB0-E6990E820F46}"/>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Notes!$P$25:$X$25</c:f>
              <c:strCache>
                <c:ptCount val="9"/>
                <c:pt idx="0">
                  <c:v>Experience working with your Home Energy Rater</c:v>
                </c:pt>
                <c:pt idx="1">
                  <c:v>Experience working with ICF program staff</c:v>
                </c:pt>
                <c:pt idx="2">
                  <c:v>Smart Builder Rebates Program overall</c:v>
                </c:pt>
                <c:pt idx="3">
                  <c:v>Rebate amounts for ENERGY STAR Homes</c:v>
                </c:pt>
                <c:pt idx="4">
                  <c:v>Program participation requirements</c:v>
                </c:pt>
                <c:pt idx="5">
                  <c:v>Marketing assistance provided by the program</c:v>
                </c:pt>
                <c:pt idx="6">
                  <c:v>Rebate application process</c:v>
                </c:pt>
                <c:pt idx="7">
                  <c:v>Training opportunities offered through the program</c:v>
                </c:pt>
                <c:pt idx="8">
                  <c:v>Time it takes to receive rebates</c:v>
                </c:pt>
              </c:strCache>
            </c:strRef>
          </c:cat>
          <c:val>
            <c:numRef>
              <c:f>Notes!$P$28:$X$28</c:f>
              <c:numCache>
                <c:formatCode>0%</c:formatCode>
                <c:ptCount val="9"/>
                <c:pt idx="0">
                  <c:v>0</c:v>
                </c:pt>
                <c:pt idx="1">
                  <c:v>0</c:v>
                </c:pt>
                <c:pt idx="2">
                  <c:v>0.19999999999999996</c:v>
                </c:pt>
                <c:pt idx="3">
                  <c:v>0.2857142857142857</c:v>
                </c:pt>
                <c:pt idx="4">
                  <c:v>0.14285714285714285</c:v>
                </c:pt>
                <c:pt idx="5">
                  <c:v>0</c:v>
                </c:pt>
                <c:pt idx="6">
                  <c:v>0.28571428571428575</c:v>
                </c:pt>
                <c:pt idx="7">
                  <c:v>0.25</c:v>
                </c:pt>
                <c:pt idx="8">
                  <c:v>0.39999999999999997</c:v>
                </c:pt>
              </c:numCache>
            </c:numRef>
          </c:val>
          <c:extLst xmlns:c16r2="http://schemas.microsoft.com/office/drawing/2015/06/chart">
            <c:ext xmlns:c16="http://schemas.microsoft.com/office/drawing/2014/chart" uri="{C3380CC4-5D6E-409C-BE32-E72D297353CC}">
              <c16:uniqueId val="{00000001-FF56-42B7-895A-641E408621AF}"/>
            </c:ext>
          </c:extLst>
        </c:ser>
        <c:ser>
          <c:idx val="2"/>
          <c:order val="2"/>
          <c:tx>
            <c:strRef>
              <c:f>Notes!$O$29</c:f>
              <c:strCache>
                <c:ptCount val="1"/>
                <c:pt idx="0">
                  <c:v>Less than 6</c:v>
                </c:pt>
              </c:strCache>
            </c:strRef>
          </c:tx>
          <c:spPr>
            <a:solidFill>
              <a:srgbClr val="8DC2CD"/>
            </a:solidFill>
          </c:spPr>
          <c:invertIfNegative val="0"/>
          <c:dLbls>
            <c:dLbl>
              <c:idx val="0"/>
              <c:delete val="1"/>
              <c:extLst xmlns:c16r2="http://schemas.microsoft.com/office/drawing/2015/06/chart">
                <c:ext xmlns:c16="http://schemas.microsoft.com/office/drawing/2014/chart" uri="{C3380CC4-5D6E-409C-BE32-E72D297353CC}">
                  <c16:uniqueId val="{0000000C-9844-475D-AEB0-E6990E820F46}"/>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D-9844-475D-AEB0-E6990E820F46}"/>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E-9844-475D-AEB0-E6990E820F46}"/>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F-9844-475D-AEB0-E6990E820F46}"/>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Notes!$P$25:$X$25</c:f>
              <c:strCache>
                <c:ptCount val="9"/>
                <c:pt idx="0">
                  <c:v>Experience working with your Home Energy Rater</c:v>
                </c:pt>
                <c:pt idx="1">
                  <c:v>Experience working with ICF program staff</c:v>
                </c:pt>
                <c:pt idx="2">
                  <c:v>Smart Builder Rebates Program overall</c:v>
                </c:pt>
                <c:pt idx="3">
                  <c:v>Rebate amounts for ENERGY STAR Homes</c:v>
                </c:pt>
                <c:pt idx="4">
                  <c:v>Program participation requirements</c:v>
                </c:pt>
                <c:pt idx="5">
                  <c:v>Marketing assistance provided by the program</c:v>
                </c:pt>
                <c:pt idx="6">
                  <c:v>Rebate application process</c:v>
                </c:pt>
                <c:pt idx="7">
                  <c:v>Training opportunities offered through the program</c:v>
                </c:pt>
                <c:pt idx="8">
                  <c:v>Time it takes to receive rebates</c:v>
                </c:pt>
              </c:strCache>
            </c:strRef>
          </c:cat>
          <c:val>
            <c:numRef>
              <c:f>Notes!$P$29:$X$29</c:f>
              <c:numCache>
                <c:formatCode>0%</c:formatCode>
                <c:ptCount val="9"/>
                <c:pt idx="0">
                  <c:v>0</c:v>
                </c:pt>
                <c:pt idx="1">
                  <c:v>0</c:v>
                </c:pt>
                <c:pt idx="2">
                  <c:v>0</c:v>
                </c:pt>
                <c:pt idx="3">
                  <c:v>0</c:v>
                </c:pt>
                <c:pt idx="4">
                  <c:v>0.14285714285714285</c:v>
                </c:pt>
                <c:pt idx="5">
                  <c:v>0.4</c:v>
                </c:pt>
                <c:pt idx="6">
                  <c:v>0.14285714285714285</c:v>
                </c:pt>
                <c:pt idx="7">
                  <c:v>0.25</c:v>
                </c:pt>
                <c:pt idx="8">
                  <c:v>0.2</c:v>
                </c:pt>
              </c:numCache>
            </c:numRef>
          </c:val>
          <c:extLst xmlns:c16r2="http://schemas.microsoft.com/office/drawing/2015/06/chart">
            <c:ext xmlns:c16="http://schemas.microsoft.com/office/drawing/2014/chart" uri="{C3380CC4-5D6E-409C-BE32-E72D297353CC}">
              <c16:uniqueId val="{00000010-9844-475D-AEB0-E6990E820F46}"/>
            </c:ext>
          </c:extLst>
        </c:ser>
        <c:dLbls>
          <c:showLegendKey val="0"/>
          <c:showVal val="0"/>
          <c:showCatName val="0"/>
          <c:showSerName val="0"/>
          <c:showPercent val="0"/>
          <c:showBubbleSize val="0"/>
        </c:dLbls>
        <c:gapWidth val="150"/>
        <c:overlap val="100"/>
        <c:axId val="178353664"/>
        <c:axId val="178355200"/>
      </c:barChart>
      <c:catAx>
        <c:axId val="178353664"/>
        <c:scaling>
          <c:orientation val="minMax"/>
        </c:scaling>
        <c:delete val="0"/>
        <c:axPos val="l"/>
        <c:numFmt formatCode="General" sourceLinked="0"/>
        <c:majorTickMark val="out"/>
        <c:minorTickMark val="none"/>
        <c:tickLblPos val="nextTo"/>
        <c:spPr>
          <a:ln w="9525"/>
        </c:spPr>
        <c:txPr>
          <a:bodyPr/>
          <a:lstStyle/>
          <a:p>
            <a:pPr>
              <a:defRPr sz="900" b="1"/>
            </a:pPr>
            <a:endParaRPr lang="en-US"/>
          </a:p>
        </c:txPr>
        <c:crossAx val="178355200"/>
        <c:crosses val="autoZero"/>
        <c:auto val="1"/>
        <c:lblAlgn val="ctr"/>
        <c:lblOffset val="100"/>
        <c:noMultiLvlLbl val="0"/>
      </c:catAx>
      <c:valAx>
        <c:axId val="178355200"/>
        <c:scaling>
          <c:orientation val="minMax"/>
          <c:max val="1"/>
        </c:scaling>
        <c:delete val="0"/>
        <c:axPos val="b"/>
        <c:majorGridlines>
          <c:spPr>
            <a:ln>
              <a:noFill/>
            </a:ln>
          </c:spPr>
        </c:majorGridlines>
        <c:numFmt formatCode="0%" sourceLinked="1"/>
        <c:majorTickMark val="out"/>
        <c:minorTickMark val="none"/>
        <c:tickLblPos val="nextTo"/>
        <c:txPr>
          <a:bodyPr/>
          <a:lstStyle/>
          <a:p>
            <a:pPr>
              <a:defRPr sz="900" b="1"/>
            </a:pPr>
            <a:endParaRPr lang="en-US"/>
          </a:p>
        </c:txPr>
        <c:crossAx val="178353664"/>
        <c:crosses val="autoZero"/>
        <c:crossBetween val="between"/>
      </c:valAx>
    </c:plotArea>
    <c:legend>
      <c:legendPos val="r"/>
      <c:layout>
        <c:manualLayout>
          <c:xMode val="edge"/>
          <c:yMode val="edge"/>
          <c:x val="0.14978615653812505"/>
          <c:y val="0.90026547325821926"/>
          <c:w val="0.80582710814994285"/>
          <c:h val="9.9734526741780752E-2"/>
        </c:manualLayout>
      </c:layout>
      <c:overlay val="0"/>
      <c:txPr>
        <a:bodyPr/>
        <a:lstStyle/>
        <a:p>
          <a:pPr>
            <a:defRPr sz="900" b="0"/>
          </a:pPr>
          <a:endParaRPr lang="en-US"/>
        </a:p>
      </c:txPr>
    </c:legend>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31257085082264"/>
          <c:y val="6.8227038630480463E-2"/>
          <c:w val="0.4064528120755333"/>
          <c:h val="0.8974087002011345"/>
        </c:manualLayout>
      </c:layout>
      <c:pieChart>
        <c:varyColors val="1"/>
        <c:ser>
          <c:idx val="0"/>
          <c:order val="0"/>
          <c:spPr>
            <a:effectLst/>
          </c:spPr>
          <c:dPt>
            <c:idx val="0"/>
            <c:bubble3D val="0"/>
            <c:spPr>
              <a:solidFill>
                <a:srgbClr val="448A99"/>
              </a:solidFill>
              <a:ln>
                <a:noFill/>
              </a:ln>
              <a:effectLst/>
            </c:spPr>
            <c:extLst xmlns:c16r2="http://schemas.microsoft.com/office/drawing/2015/06/chart">
              <c:ext xmlns:c16="http://schemas.microsoft.com/office/drawing/2014/chart" uri="{C3380CC4-5D6E-409C-BE32-E72D297353CC}">
                <c16:uniqueId val="{00000001-57F1-4CE8-9C30-AA9DED736903}"/>
              </c:ext>
            </c:extLst>
          </c:dPt>
          <c:dPt>
            <c:idx val="1"/>
            <c:bubble3D val="0"/>
            <c:spPr>
              <a:solidFill>
                <a:srgbClr val="ED9E3E"/>
              </a:solidFill>
              <a:ln>
                <a:noFill/>
              </a:ln>
              <a:effectLst/>
            </c:spPr>
            <c:extLst xmlns:c16r2="http://schemas.microsoft.com/office/drawing/2015/06/chart">
              <c:ext xmlns:c16="http://schemas.microsoft.com/office/drawing/2014/chart" uri="{C3380CC4-5D6E-409C-BE32-E72D297353CC}">
                <c16:uniqueId val="{00000003-57F1-4CE8-9C30-AA9DED736903}"/>
              </c:ext>
            </c:extLst>
          </c:dPt>
          <c:dPt>
            <c:idx val="2"/>
            <c:bubble3D val="0"/>
            <c:spPr>
              <a:solidFill>
                <a:srgbClr val="8DC2CD"/>
              </a:solidFill>
              <a:ln>
                <a:noFill/>
              </a:ln>
              <a:effectLst/>
            </c:spPr>
            <c:extLst xmlns:c16r2="http://schemas.microsoft.com/office/drawing/2015/06/chart">
              <c:ext xmlns:c16="http://schemas.microsoft.com/office/drawing/2014/chart" uri="{C3380CC4-5D6E-409C-BE32-E72D297353CC}">
                <c16:uniqueId val="{00000005-57F1-4CE8-9C30-AA9DED736903}"/>
              </c:ext>
            </c:extLst>
          </c:dPt>
          <c:dLbls>
            <c:dLbl>
              <c:idx val="0"/>
              <c:layout>
                <c:manualLayout>
                  <c:x val="4.9335661836043864E-3"/>
                  <c:y val="-3.610367003093691E-2"/>
                </c:manualLayout>
              </c:layout>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57F1-4CE8-9C30-AA9DED736903}"/>
                </c:ext>
                <c:ext xmlns:c15="http://schemas.microsoft.com/office/drawing/2012/chart" uri="{CE6537A1-D6FC-4f65-9D91-7224C49458BB}">
                  <c15:layout/>
                </c:ext>
              </c:extLst>
            </c:dLbl>
            <c:dLbl>
              <c:idx val="1"/>
              <c:layout>
                <c:manualLayout>
                  <c:x val="-1.1861678768753128E-2"/>
                  <c:y val="-1.48145141651109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57F1-4CE8-9C30-AA9DED736903}"/>
                </c:ext>
                <c:ext xmlns:c15="http://schemas.microsoft.com/office/drawing/2012/chart" uri="{CE6537A1-D6FC-4f65-9D91-7224C49458BB}">
                  <c15:layout/>
                </c:ext>
              </c:extLst>
            </c:dLbl>
            <c:dLbl>
              <c:idx val="2"/>
              <c:layout>
                <c:manualLayout>
                  <c:x val="-1.3002440842754601E-2"/>
                  <c:y val="1.005492870092269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57F1-4CE8-9C30-AA9DED736903}"/>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1"/>
                  </a:solidFill>
                </a:ln>
                <a:effectLst/>
              </c:spPr>
            </c:leaderLines>
            <c:extLst xmlns:c16r2="http://schemas.microsoft.com/office/drawing/2015/06/chart">
              <c:ext xmlns:c15="http://schemas.microsoft.com/office/drawing/2012/chart" uri="{CE6537A1-D6FC-4f65-9D91-7224C49458BB}"/>
            </c:extLst>
          </c:dLbls>
          <c:cat>
            <c:strRef>
              <c:f>Analysis!$I$78:$I$80</c:f>
              <c:strCache>
                <c:ptCount val="3"/>
                <c:pt idx="0">
                  <c:v>Additional Cost</c:v>
                </c:pt>
                <c:pt idx="1">
                  <c:v>Lack of Educated Sub-Contractors</c:v>
                </c:pt>
                <c:pt idx="2">
                  <c:v>None</c:v>
                </c:pt>
              </c:strCache>
            </c:strRef>
          </c:cat>
          <c:val>
            <c:numRef>
              <c:f>Analysis!$J$78:$J$80</c:f>
              <c:numCache>
                <c:formatCode>0%</c:formatCode>
                <c:ptCount val="3"/>
                <c:pt idx="0">
                  <c:v>0.42857142857142855</c:v>
                </c:pt>
                <c:pt idx="1">
                  <c:v>0.42857142857142855</c:v>
                </c:pt>
                <c:pt idx="2">
                  <c:v>0.14285714285714285</c:v>
                </c:pt>
              </c:numCache>
            </c:numRef>
          </c:val>
          <c:extLst xmlns:c16r2="http://schemas.microsoft.com/office/drawing/2015/06/chart">
            <c:ext xmlns:c16="http://schemas.microsoft.com/office/drawing/2014/chart" uri="{C3380CC4-5D6E-409C-BE32-E72D297353CC}">
              <c16:uniqueId val="{00000006-57F1-4CE8-9C30-AA9DED736903}"/>
            </c:ext>
          </c:extLst>
        </c:ser>
        <c:dLbls>
          <c:dLblPos val="ctr"/>
          <c:showLegendKey val="0"/>
          <c:showVal val="0"/>
          <c:showCatName val="1"/>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07825081186887E-2"/>
          <c:y val="7.8956642280246556E-2"/>
          <c:w val="0.43268850927532365"/>
          <c:h val="0.87551718938819412"/>
        </c:manualLayout>
      </c:layout>
      <c:pieChart>
        <c:varyColors val="1"/>
        <c:ser>
          <c:idx val="0"/>
          <c:order val="0"/>
          <c:spPr>
            <a:effectLst/>
          </c:spPr>
          <c:dPt>
            <c:idx val="0"/>
            <c:bubble3D val="0"/>
            <c:spPr>
              <a:solidFill>
                <a:srgbClr val="448A99"/>
              </a:solidFill>
              <a:ln>
                <a:noFill/>
              </a:ln>
              <a:effectLst/>
            </c:spPr>
            <c:extLst xmlns:c16r2="http://schemas.microsoft.com/office/drawing/2015/06/chart">
              <c:ext xmlns:c16="http://schemas.microsoft.com/office/drawing/2014/chart" uri="{C3380CC4-5D6E-409C-BE32-E72D297353CC}">
                <c16:uniqueId val="{00000001-F5FD-4154-913E-D8F663892E50}"/>
              </c:ext>
            </c:extLst>
          </c:dPt>
          <c:dPt>
            <c:idx val="1"/>
            <c:bubble3D val="0"/>
            <c:spPr>
              <a:solidFill>
                <a:srgbClr val="ED9E3E"/>
              </a:solidFill>
              <a:ln>
                <a:noFill/>
              </a:ln>
              <a:effectLst/>
            </c:spPr>
            <c:extLst xmlns:c16r2="http://schemas.microsoft.com/office/drawing/2015/06/chart">
              <c:ext xmlns:c16="http://schemas.microsoft.com/office/drawing/2014/chart" uri="{C3380CC4-5D6E-409C-BE32-E72D297353CC}">
                <c16:uniqueId val="{00000003-F5FD-4154-913E-D8F663892E50}"/>
              </c:ext>
            </c:extLst>
          </c:dPt>
          <c:dPt>
            <c:idx val="2"/>
            <c:bubble3D val="0"/>
            <c:spPr>
              <a:solidFill>
                <a:srgbClr val="8DC2CD"/>
              </a:solidFill>
              <a:ln>
                <a:noFill/>
              </a:ln>
              <a:effectLst/>
            </c:spPr>
            <c:extLst xmlns:c16r2="http://schemas.microsoft.com/office/drawing/2015/06/chart">
              <c:ext xmlns:c16="http://schemas.microsoft.com/office/drawing/2014/chart" uri="{C3380CC4-5D6E-409C-BE32-E72D297353CC}">
                <c16:uniqueId val="{00000005-F5FD-4154-913E-D8F663892E50}"/>
              </c:ext>
            </c:extLst>
          </c:dPt>
          <c:dLbls>
            <c:dLbl>
              <c:idx val="0"/>
              <c:layout>
                <c:manualLayout>
                  <c:x val="1.3826682681613847E-2"/>
                  <c:y val="-1.57430807002225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F5FD-4154-913E-D8F663892E50}"/>
                </c:ext>
                <c:ext xmlns:c15="http://schemas.microsoft.com/office/drawing/2012/chart" uri="{CE6537A1-D6FC-4f65-9D91-7224C49458BB}">
                  <c15:layout/>
                </c:ext>
              </c:extLst>
            </c:dLbl>
            <c:dLbl>
              <c:idx val="1"/>
              <c:layout>
                <c:manualLayout>
                  <c:x val="-5.0638373593131364E-3"/>
                  <c:y val="-5.1078710902777618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F5FD-4154-913E-D8F663892E50}"/>
                </c:ext>
                <c:ext xmlns:c15="http://schemas.microsoft.com/office/drawing/2012/chart" uri="{CE6537A1-D6FC-4f65-9D91-7224C49458BB}">
                  <c15:layout/>
                </c:ext>
              </c:extLst>
            </c:dLbl>
            <c:dLbl>
              <c:idx val="2"/>
              <c:layout>
                <c:manualLayout>
                  <c:x val="-2.0524267093731927E-2"/>
                  <c:y val="-4.6312444725489623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F5FD-4154-913E-D8F663892E50}"/>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1"/>
                  </a:solidFill>
                </a:ln>
                <a:effectLst/>
              </c:spPr>
            </c:leaderLines>
            <c:extLst xmlns:c16r2="http://schemas.microsoft.com/office/drawing/2015/06/chart">
              <c:ext xmlns:c15="http://schemas.microsoft.com/office/drawing/2012/chart" uri="{CE6537A1-D6FC-4f65-9D91-7224C49458BB}"/>
            </c:extLst>
          </c:dLbls>
          <c:cat>
            <c:strRef>
              <c:f>Analysis!$H$29:$H$31</c:f>
              <c:strCache>
                <c:ptCount val="3"/>
                <c:pt idx="0">
                  <c:v>Portion of total homes that met program standards and received incentives</c:v>
                </c:pt>
                <c:pt idx="1">
                  <c:v>Portion of total homes that met program standards but did not receive incentives</c:v>
                </c:pt>
                <c:pt idx="2">
                  <c:v>Portion of total homes that did not meet program standards</c:v>
                </c:pt>
              </c:strCache>
            </c:strRef>
          </c:cat>
          <c:val>
            <c:numRef>
              <c:f>Analysis!$I$29:$I$31</c:f>
              <c:numCache>
                <c:formatCode>0%</c:formatCode>
                <c:ptCount val="3"/>
                <c:pt idx="0">
                  <c:v>0.83857142857142863</c:v>
                </c:pt>
                <c:pt idx="1">
                  <c:v>4.7142857142857146E-2</c:v>
                </c:pt>
                <c:pt idx="2">
                  <c:v>0.1142857142857143</c:v>
                </c:pt>
              </c:numCache>
            </c:numRef>
          </c:val>
          <c:extLst xmlns:c16r2="http://schemas.microsoft.com/office/drawing/2015/06/chart">
            <c:ext xmlns:c16="http://schemas.microsoft.com/office/drawing/2014/chart" uri="{C3380CC4-5D6E-409C-BE32-E72D297353CC}">
              <c16:uniqueId val="{00000006-F5FD-4154-913E-D8F663892E5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51891499099802"/>
          <c:y val="7.3931584502208728E-2"/>
          <c:w val="0.52713959567037594"/>
          <c:h val="0.8746251459922183"/>
        </c:manualLayout>
      </c:layout>
      <c:pieChart>
        <c:varyColors val="1"/>
        <c:ser>
          <c:idx val="0"/>
          <c:order val="0"/>
          <c:spPr>
            <a:effectLst/>
          </c:spPr>
          <c:dPt>
            <c:idx val="0"/>
            <c:bubble3D val="0"/>
            <c:spPr>
              <a:solidFill>
                <a:srgbClr val="448A99"/>
              </a:solidFill>
              <a:ln>
                <a:noFill/>
              </a:ln>
              <a:effectLst/>
            </c:spPr>
            <c:extLst xmlns:c16r2="http://schemas.microsoft.com/office/drawing/2015/06/chart">
              <c:ext xmlns:c16="http://schemas.microsoft.com/office/drawing/2014/chart" uri="{C3380CC4-5D6E-409C-BE32-E72D297353CC}">
                <c16:uniqueId val="{00000001-22E0-4C63-88D7-9EBA188DF02C}"/>
              </c:ext>
            </c:extLst>
          </c:dPt>
          <c:dPt>
            <c:idx val="1"/>
            <c:bubble3D val="0"/>
            <c:spPr>
              <a:solidFill>
                <a:srgbClr val="ED9E3E"/>
              </a:solidFill>
              <a:ln>
                <a:noFill/>
              </a:ln>
              <a:effectLst/>
            </c:spPr>
            <c:extLst xmlns:c16r2="http://schemas.microsoft.com/office/drawing/2015/06/chart">
              <c:ext xmlns:c16="http://schemas.microsoft.com/office/drawing/2014/chart" uri="{C3380CC4-5D6E-409C-BE32-E72D297353CC}">
                <c16:uniqueId val="{00000003-22E0-4C63-88D7-9EBA188DF02C}"/>
              </c:ext>
            </c:extLst>
          </c:dPt>
          <c:dPt>
            <c:idx val="2"/>
            <c:bubble3D val="0"/>
            <c:spPr>
              <a:solidFill>
                <a:srgbClr val="8DC2CD"/>
              </a:solidFill>
              <a:ln>
                <a:noFill/>
              </a:ln>
              <a:effectLst/>
            </c:spPr>
            <c:extLst xmlns:c16r2="http://schemas.microsoft.com/office/drawing/2015/06/chart">
              <c:ext xmlns:c16="http://schemas.microsoft.com/office/drawing/2014/chart" uri="{C3380CC4-5D6E-409C-BE32-E72D297353CC}">
                <c16:uniqueId val="{00000005-22E0-4C63-88D7-9EBA188DF02C}"/>
              </c:ext>
            </c:extLst>
          </c:dPt>
          <c:dLbls>
            <c:dLbl>
              <c:idx val="0"/>
              <c:layout>
                <c:manualLayout>
                  <c:x val="1.7374623110127638E-2"/>
                  <c:y val="1.78723729839571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2E0-4C63-88D7-9EBA188DF02C}"/>
                </c:ext>
                <c:ext xmlns:c15="http://schemas.microsoft.com/office/drawing/2012/chart" uri="{CE6537A1-D6FC-4f65-9D91-7224C49458BB}">
                  <c15:layout/>
                </c:ext>
              </c:extLst>
            </c:dLbl>
            <c:dLbl>
              <c:idx val="1"/>
              <c:layout>
                <c:manualLayout>
                  <c:x val="-1.3933537233465651E-2"/>
                  <c:y val="1.78723729839571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22E0-4C63-88D7-9EBA188DF02C}"/>
                </c:ext>
                <c:ext xmlns:c15="http://schemas.microsoft.com/office/drawing/2012/chart" uri="{CE6537A1-D6FC-4f65-9D91-7224C49458BB}">
                  <c15:layout/>
                </c:ext>
              </c:extLst>
            </c:dLbl>
            <c:dLbl>
              <c:idx val="2"/>
              <c:layout>
                <c:manualLayout>
                  <c:x val="-1.5089965510509534E-2"/>
                  <c:y val="1.1355325368552994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22E0-4C63-88D7-9EBA188DF02C}"/>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1"/>
                  </a:solidFill>
                </a:ln>
                <a:effectLst/>
              </c:spPr>
            </c:leaderLines>
            <c:extLst xmlns:c16r2="http://schemas.microsoft.com/office/drawing/2015/06/chart">
              <c:ext xmlns:c15="http://schemas.microsoft.com/office/drawing/2012/chart" uri="{CE6537A1-D6FC-4f65-9D91-7224C49458BB}"/>
            </c:extLst>
          </c:dLbls>
          <c:cat>
            <c:strRef>
              <c:f>Analysis!$E$50:$E$52</c:f>
              <c:strCache>
                <c:ptCount val="3"/>
                <c:pt idx="0">
                  <c:v>Increase</c:v>
                </c:pt>
                <c:pt idx="1">
                  <c:v>Decrease</c:v>
                </c:pt>
                <c:pt idx="2">
                  <c:v>No Change</c:v>
                </c:pt>
              </c:strCache>
            </c:strRef>
          </c:cat>
          <c:val>
            <c:numRef>
              <c:f>Analysis!$F$50:$F$52</c:f>
              <c:numCache>
                <c:formatCode>0%</c:formatCode>
                <c:ptCount val="3"/>
                <c:pt idx="0">
                  <c:v>0.5714285714285714</c:v>
                </c:pt>
                <c:pt idx="1">
                  <c:v>0.2857142857142857</c:v>
                </c:pt>
                <c:pt idx="2">
                  <c:v>0.14285714285714285</c:v>
                </c:pt>
              </c:numCache>
            </c:numRef>
          </c:val>
          <c:extLst xmlns:c16r2="http://schemas.microsoft.com/office/drawing/2015/06/chart">
            <c:ext xmlns:c16="http://schemas.microsoft.com/office/drawing/2014/chart" uri="{C3380CC4-5D6E-409C-BE32-E72D297353CC}">
              <c16:uniqueId val="{00000006-22E0-4C63-88D7-9EBA188DF02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448A99"/>
            </a:solidFill>
            <a:ln>
              <a:noFill/>
            </a:ln>
            <a:effectLst/>
          </c:spPr>
          <c:invertIfNegative val="0"/>
          <c:dLbls>
            <c:dLbl>
              <c:idx val="0"/>
              <c:layout/>
              <c:showLegendKey val="0"/>
              <c:showVal val="1"/>
              <c:showCatName val="0"/>
              <c:showSerName val="0"/>
              <c:showPercent val="0"/>
              <c:showBubbleSize val="0"/>
              <c:extLst>
                <c:ext xmlns:c15="http://schemas.microsoft.com/office/drawing/2012/chart" uri="{CE6537A1-D6FC-4f65-9D91-7224C49458BB}">
                  <c15:layout/>
                </c:ext>
              </c:extLst>
            </c:dLbl>
            <c:dLbl>
              <c:idx val="1"/>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1-12'!$B$27:$C$27</c:f>
              <c:strCache>
                <c:ptCount val="2"/>
                <c:pt idx="0">
                  <c:v>Phase II Reported Savings (MW)</c:v>
                </c:pt>
                <c:pt idx="1">
                  <c:v>Phase II Verified Savings (MW)</c:v>
                </c:pt>
              </c:strCache>
            </c:strRef>
          </c:cat>
          <c:val>
            <c:numRef>
              <c:f>'Table 1-12'!$B$28:$C$28</c:f>
              <c:numCache>
                <c:formatCode>0.0</c:formatCode>
                <c:ptCount val="2"/>
                <c:pt idx="0">
                  <c:v>204.10289411227339</c:v>
                </c:pt>
                <c:pt idx="1">
                  <c:v>224.79571590061136</c:v>
                </c:pt>
              </c:numCache>
            </c:numRef>
          </c:val>
        </c:ser>
        <c:dLbls>
          <c:showLegendKey val="0"/>
          <c:showVal val="0"/>
          <c:showCatName val="0"/>
          <c:showSerName val="0"/>
          <c:showPercent val="0"/>
          <c:showBubbleSize val="0"/>
        </c:dLbls>
        <c:gapWidth val="219"/>
        <c:overlap val="-27"/>
        <c:axId val="109730048"/>
        <c:axId val="109731840"/>
      </c:barChart>
      <c:catAx>
        <c:axId val="109730048"/>
        <c:scaling>
          <c:orientation val="minMax"/>
        </c:scaling>
        <c:delete val="0"/>
        <c:axPos val="b"/>
        <c:numFmt formatCode="General" sourceLinked="1"/>
        <c:majorTickMark val="none"/>
        <c:minorTickMark val="none"/>
        <c:tickLblPos val="nextTo"/>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9731840"/>
        <c:crosses val="autoZero"/>
        <c:auto val="1"/>
        <c:lblAlgn val="ctr"/>
        <c:lblOffset val="100"/>
        <c:noMultiLvlLbl val="0"/>
      </c:catAx>
      <c:valAx>
        <c:axId val="109731840"/>
        <c:scaling>
          <c:orientation val="minMax"/>
          <c:min val="19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t>MW Saved</a:t>
                </a:r>
              </a:p>
            </c:rich>
          </c:tx>
          <c:layout>
            <c:manualLayout>
              <c:xMode val="edge"/>
              <c:yMode val="edge"/>
              <c:x val="2.5819777949909629E-3"/>
              <c:y val="0.37457279119571335"/>
            </c:manualLayout>
          </c:layout>
          <c:overlay val="0"/>
          <c:spPr>
            <a:noFill/>
            <a:ln>
              <a:noFill/>
            </a:ln>
            <a:effectLst/>
          </c:spPr>
        </c:title>
        <c:numFmt formatCode="0.0" sourceLinked="1"/>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97300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Sheet1!$D$4</c:f>
              <c:strCache>
                <c:ptCount val="1"/>
                <c:pt idx="0">
                  <c:v>Refrigerator Measure kWh Savings</c:v>
                </c:pt>
              </c:strCache>
            </c:strRef>
          </c:tx>
          <c:spPr>
            <a:solidFill>
              <a:srgbClr val="448A99"/>
            </a:solidFill>
            <a:ln>
              <a:solidFill>
                <a:schemeClr val="accent5">
                  <a:lumMod val="75000"/>
                </a:schemeClr>
              </a:solidFill>
            </a:ln>
            <a:effectLst/>
          </c:spPr>
          <c:invertIfNegative val="0"/>
          <c:dPt>
            <c:idx val="1"/>
            <c:invertIfNegative val="0"/>
            <c:bubble3D val="0"/>
            <c:spPr>
              <a:solidFill>
                <a:srgbClr val="448A99"/>
              </a:solidFill>
              <a:ln>
                <a:solidFill>
                  <a:srgbClr val="448A99"/>
                </a:solidFill>
              </a:ln>
              <a:effectLst/>
            </c:spPr>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Sheet1!$C$5:$C$6</c:f>
              <c:strCache>
                <c:ptCount val="2"/>
                <c:pt idx="0">
                  <c:v>Reported (2015 TRM)</c:v>
                </c:pt>
                <c:pt idx="1">
                  <c:v>Verified (PY7 IMP)</c:v>
                </c:pt>
              </c:strCache>
            </c:strRef>
          </c:cat>
          <c:val>
            <c:numRef>
              <c:f>Sheet1!$D$5:$D$6</c:f>
              <c:numCache>
                <c:formatCode>General</c:formatCode>
                <c:ptCount val="2"/>
                <c:pt idx="0">
                  <c:v>959.47</c:v>
                </c:pt>
                <c:pt idx="1">
                  <c:v>548.62</c:v>
                </c:pt>
              </c:numCache>
            </c:numRef>
          </c:val>
        </c:ser>
        <c:dLbls>
          <c:showLegendKey val="0"/>
          <c:showVal val="0"/>
          <c:showCatName val="0"/>
          <c:showSerName val="0"/>
          <c:showPercent val="0"/>
          <c:showBubbleSize val="0"/>
        </c:dLbls>
        <c:gapWidth val="219"/>
        <c:overlap val="-27"/>
        <c:axId val="201489024"/>
        <c:axId val="201499008"/>
      </c:barChart>
      <c:catAx>
        <c:axId val="201489024"/>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01499008"/>
        <c:crosses val="autoZero"/>
        <c:auto val="1"/>
        <c:lblAlgn val="ctr"/>
        <c:lblOffset val="100"/>
        <c:noMultiLvlLbl val="0"/>
      </c:catAx>
      <c:valAx>
        <c:axId val="20149900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a:t>kWh</a:t>
                </a:r>
              </a:p>
            </c:rich>
          </c:tx>
          <c:layout>
            <c:manualLayout>
              <c:xMode val="edge"/>
              <c:yMode val="edge"/>
              <c:x val="3.2808398950131233E-3"/>
              <c:y val="0.39021216097987754"/>
            </c:manualLayout>
          </c:layout>
          <c:overlay val="0"/>
          <c:spPr>
            <a:noFill/>
            <a:ln>
              <a:noFill/>
            </a:ln>
            <a:effectLst/>
          </c:spPr>
        </c:title>
        <c:numFmt formatCode="#,##0" sourceLinked="0"/>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014890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1">
          <a:solidFill>
            <a:sysClr val="windowText" lastClr="000000"/>
          </a:solidFill>
          <a:latin typeface="+mn-lt"/>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069561056249186"/>
          <c:y val="5.8981380268642913E-2"/>
          <c:w val="0.56484621742724139"/>
          <c:h val="0.83925928670680872"/>
        </c:manualLayout>
      </c:layout>
      <c:barChart>
        <c:barDir val="bar"/>
        <c:grouping val="clustered"/>
        <c:varyColors val="0"/>
        <c:ser>
          <c:idx val="0"/>
          <c:order val="0"/>
          <c:spPr>
            <a:solidFill>
              <a:srgbClr val="448A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libri" panose="020F050202020403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 in Microsoft Word]Process Analysis'!$H$430:$H$440</c:f>
              <c:strCache>
                <c:ptCount val="11"/>
                <c:pt idx="0">
                  <c:v>Turned off lights when not using</c:v>
                </c:pt>
                <c:pt idx="1">
                  <c:v>Other</c:v>
                </c:pt>
                <c:pt idx="2">
                  <c:v>Sealed windows/doors</c:v>
                </c:pt>
                <c:pt idx="3">
                  <c:v>Bought more CFLs</c:v>
                </c:pt>
                <c:pt idx="4">
                  <c:v>Unplugged appliances when not using</c:v>
                </c:pt>
                <c:pt idx="5">
                  <c:v>Added insulation</c:v>
                </c:pt>
                <c:pt idx="6">
                  <c:v>Installed water savings devices</c:v>
                </c:pt>
                <c:pt idx="7">
                  <c:v>Reduced use of TV</c:v>
                </c:pt>
                <c:pt idx="8">
                  <c:v>Reduced use of appliances</c:v>
                </c:pt>
                <c:pt idx="9">
                  <c:v>Purchased more efficient appliance(s)</c:v>
                </c:pt>
                <c:pt idx="10">
                  <c:v>Installed new windows</c:v>
                </c:pt>
              </c:strCache>
            </c:strRef>
          </c:cat>
          <c:val>
            <c:numRef>
              <c:f>'[Chart in Microsoft Word]Process Analysis'!$I$430:$I$440</c:f>
              <c:numCache>
                <c:formatCode>0%</c:formatCode>
                <c:ptCount val="11"/>
                <c:pt idx="0">
                  <c:v>0.30769230769230771</c:v>
                </c:pt>
                <c:pt idx="1">
                  <c:v>0.26923076923076922</c:v>
                </c:pt>
                <c:pt idx="2">
                  <c:v>0.19230769230769232</c:v>
                </c:pt>
                <c:pt idx="3">
                  <c:v>0.19230769230769232</c:v>
                </c:pt>
                <c:pt idx="4">
                  <c:v>0.15384615384615385</c:v>
                </c:pt>
                <c:pt idx="5">
                  <c:v>0.11538461538461539</c:v>
                </c:pt>
                <c:pt idx="6">
                  <c:v>7.6923076923076927E-2</c:v>
                </c:pt>
                <c:pt idx="7">
                  <c:v>3.8461538461538464E-2</c:v>
                </c:pt>
                <c:pt idx="8">
                  <c:v>3.8461538461538464E-2</c:v>
                </c:pt>
                <c:pt idx="9">
                  <c:v>3.8461538461538464E-2</c:v>
                </c:pt>
                <c:pt idx="10">
                  <c:v>3.8461538461538464E-2</c:v>
                </c:pt>
              </c:numCache>
            </c:numRef>
          </c:val>
          <c:extLst xmlns:c16r2="http://schemas.microsoft.com/office/drawing/2015/06/chart">
            <c:ext xmlns:c16="http://schemas.microsoft.com/office/drawing/2014/chart" uri="{C3380CC4-5D6E-409C-BE32-E72D297353CC}">
              <c16:uniqueId val="{00000000-6219-4FCC-963D-8827311AD0A3}"/>
            </c:ext>
          </c:extLst>
        </c:ser>
        <c:dLbls>
          <c:showLegendKey val="0"/>
          <c:showVal val="0"/>
          <c:showCatName val="0"/>
          <c:showSerName val="0"/>
          <c:showPercent val="0"/>
          <c:showBubbleSize val="0"/>
        </c:dLbls>
        <c:gapWidth val="182"/>
        <c:axId val="103625472"/>
        <c:axId val="103627008"/>
      </c:barChart>
      <c:catAx>
        <c:axId val="103625472"/>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Calibri" panose="020F0502020204030204" pitchFamily="34" charset="0"/>
                <a:ea typeface="+mn-ea"/>
                <a:cs typeface="Arial" panose="020B0604020202020204" pitchFamily="34" charset="0"/>
              </a:defRPr>
            </a:pPr>
            <a:endParaRPr lang="en-US"/>
          </a:p>
        </c:txPr>
        <c:crossAx val="103627008"/>
        <c:crosses val="autoZero"/>
        <c:auto val="1"/>
        <c:lblAlgn val="ctr"/>
        <c:lblOffset val="100"/>
        <c:noMultiLvlLbl val="0"/>
      </c:catAx>
      <c:valAx>
        <c:axId val="103627008"/>
        <c:scaling>
          <c:orientation val="minMax"/>
        </c:scaling>
        <c:delete val="0"/>
        <c:axPos val="b"/>
        <c:majorGridlines>
          <c:spPr>
            <a:ln w="9525" cap="flat" cmpd="sng" algn="ctr">
              <a:noFill/>
              <a:round/>
            </a:ln>
            <a:effectLst/>
          </c:spPr>
        </c:majorGridlines>
        <c:numFmt formatCode="0%"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Calibri" panose="020F0502020204030204" pitchFamily="34" charset="0"/>
                <a:ea typeface="+mn-ea"/>
                <a:cs typeface="Arial" panose="020B0604020202020204" pitchFamily="34" charset="0"/>
              </a:defRPr>
            </a:pPr>
            <a:endParaRPr lang="en-US"/>
          </a:p>
        </c:txPr>
        <c:crossAx val="1036254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Calibri" panose="020F0502020204030204" pitchFamily="34" charset="0"/>
          <a:cs typeface="Arial" panose="020B0604020202020204" pitchFamily="34"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155931052792535"/>
          <c:y val="4.9019607843137254E-2"/>
          <c:w val="0.64095882860993203"/>
          <c:h val="0.77100704517198493"/>
        </c:manualLayout>
      </c:layout>
      <c:barChart>
        <c:barDir val="bar"/>
        <c:grouping val="stacked"/>
        <c:varyColors val="0"/>
        <c:ser>
          <c:idx val="4"/>
          <c:order val="0"/>
          <c:tx>
            <c:strRef>
              <c:f>'Process Analysis'!$N$482</c:f>
              <c:strCache>
                <c:ptCount val="1"/>
                <c:pt idx="0">
                  <c:v>Extremely satisfied</c:v>
                </c:pt>
              </c:strCache>
            </c:strRef>
          </c:tx>
          <c:spPr>
            <a:solidFill>
              <a:srgbClr val="448A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panose="020F050202020403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'Process Analysis'!$H$483:$H$489</c:f>
              <c:strCache>
                <c:ptCount val="7"/>
                <c:pt idx="0">
                  <c:v>Time between 
Scheduling Call and Appointment</c:v>
                </c:pt>
                <c:pt idx="1">
                  <c:v>Overall Satisfaction with PECO</c:v>
                </c:pt>
                <c:pt idx="2">
                  <c:v>Quality of Measures Installed</c:v>
                </c:pt>
                <c:pt idx="3">
                  <c:v>Time it Took to Complete Visit</c:v>
                </c:pt>
                <c:pt idx="4">
                  <c:v>Professionalism of Program 
Representtaive</c:v>
                </c:pt>
                <c:pt idx="5">
                  <c:v>Overall Satisfaction
 with the Program</c:v>
                </c:pt>
                <c:pt idx="6">
                  <c:v>Quality of Work Performed by 
Program Representatives</c:v>
                </c:pt>
              </c:strCache>
            </c:strRef>
          </c:cat>
          <c:val>
            <c:numRef>
              <c:f>'Process Analysis'!$N$483:$N$489</c:f>
              <c:numCache>
                <c:formatCode>0%</c:formatCode>
                <c:ptCount val="7"/>
                <c:pt idx="0">
                  <c:v>0.76363636363636367</c:v>
                </c:pt>
                <c:pt idx="1">
                  <c:v>0.78888888888888886</c:v>
                </c:pt>
                <c:pt idx="2">
                  <c:v>0.8</c:v>
                </c:pt>
                <c:pt idx="3">
                  <c:v>0.83636363636363631</c:v>
                </c:pt>
                <c:pt idx="4">
                  <c:v>0.87272727272727268</c:v>
                </c:pt>
                <c:pt idx="5">
                  <c:v>0.89090909090909087</c:v>
                </c:pt>
                <c:pt idx="6">
                  <c:v>0.90909090909090906</c:v>
                </c:pt>
              </c:numCache>
            </c:numRef>
          </c:val>
          <c:extLst xmlns:c16r2="http://schemas.microsoft.com/office/drawing/2015/06/chart">
            <c:ext xmlns:c16="http://schemas.microsoft.com/office/drawing/2014/chart" uri="{C3380CC4-5D6E-409C-BE32-E72D297353CC}">
              <c16:uniqueId val="{00000000-BBDC-4583-B1F5-793D683C3038}"/>
            </c:ext>
          </c:extLst>
        </c:ser>
        <c:ser>
          <c:idx val="3"/>
          <c:order val="1"/>
          <c:tx>
            <c:strRef>
              <c:f>'Process Analysis'!$M$482</c:f>
              <c:strCache>
                <c:ptCount val="1"/>
                <c:pt idx="0">
                  <c:v>4</c:v>
                </c:pt>
              </c:strCache>
            </c:strRef>
          </c:tx>
          <c:spPr>
            <a:solidFill>
              <a:srgbClr val="4EA0B0"/>
            </a:solidFill>
            <a:ln>
              <a:noFill/>
            </a:ln>
            <a:effectLst/>
          </c:spPr>
          <c:invertIfNegative val="0"/>
          <c:cat>
            <c:strRef>
              <c:f>'Process Analysis'!$H$483:$H$489</c:f>
              <c:strCache>
                <c:ptCount val="7"/>
                <c:pt idx="0">
                  <c:v>Time between 
Scheduling Call and Appointment</c:v>
                </c:pt>
                <c:pt idx="1">
                  <c:v>Overall Satisfaction with PECO</c:v>
                </c:pt>
                <c:pt idx="2">
                  <c:v>Quality of Measures Installed</c:v>
                </c:pt>
                <c:pt idx="3">
                  <c:v>Time it Took to Complete Visit</c:v>
                </c:pt>
                <c:pt idx="4">
                  <c:v>Professionalism of Program 
Representtaive</c:v>
                </c:pt>
                <c:pt idx="5">
                  <c:v>Overall Satisfaction
 with the Program</c:v>
                </c:pt>
                <c:pt idx="6">
                  <c:v>Quality of Work Performed by 
Program Representatives</c:v>
                </c:pt>
              </c:strCache>
            </c:strRef>
          </c:cat>
          <c:val>
            <c:numRef>
              <c:f>'Process Analysis'!$M$483:$M$489</c:f>
              <c:numCache>
                <c:formatCode>0%</c:formatCode>
                <c:ptCount val="7"/>
                <c:pt idx="0">
                  <c:v>7.2727272727272724E-2</c:v>
                </c:pt>
                <c:pt idx="1">
                  <c:v>0.1111111111111111</c:v>
                </c:pt>
                <c:pt idx="2">
                  <c:v>0.12727272727272726</c:v>
                </c:pt>
                <c:pt idx="3">
                  <c:v>7.2727272727272724E-2</c:v>
                </c:pt>
                <c:pt idx="4">
                  <c:v>9.0909090909090912E-2</c:v>
                </c:pt>
                <c:pt idx="5">
                  <c:v>9.0909090909090912E-2</c:v>
                </c:pt>
                <c:pt idx="6">
                  <c:v>5.4545454545454543E-2</c:v>
                </c:pt>
              </c:numCache>
            </c:numRef>
          </c:val>
          <c:extLst xmlns:c16r2="http://schemas.microsoft.com/office/drawing/2015/06/chart">
            <c:ext xmlns:c16="http://schemas.microsoft.com/office/drawing/2014/chart" uri="{C3380CC4-5D6E-409C-BE32-E72D297353CC}">
              <c16:uniqueId val="{00000001-BBDC-4583-B1F5-793D683C3038}"/>
            </c:ext>
          </c:extLst>
        </c:ser>
        <c:ser>
          <c:idx val="2"/>
          <c:order val="2"/>
          <c:tx>
            <c:strRef>
              <c:f>'Process Analysis'!$L$482</c:f>
              <c:strCache>
                <c:ptCount val="1"/>
                <c:pt idx="0">
                  <c:v>3</c:v>
                </c:pt>
              </c:strCache>
            </c:strRef>
          </c:tx>
          <c:spPr>
            <a:solidFill>
              <a:srgbClr val="8DC2CD"/>
            </a:solidFill>
            <a:ln>
              <a:noFill/>
            </a:ln>
            <a:effectLst/>
          </c:spPr>
          <c:invertIfNegative val="0"/>
          <c:cat>
            <c:strRef>
              <c:f>'Process Analysis'!$H$483:$H$489</c:f>
              <c:strCache>
                <c:ptCount val="7"/>
                <c:pt idx="0">
                  <c:v>Time between 
Scheduling Call and Appointment</c:v>
                </c:pt>
                <c:pt idx="1">
                  <c:v>Overall Satisfaction with PECO</c:v>
                </c:pt>
                <c:pt idx="2">
                  <c:v>Quality of Measures Installed</c:v>
                </c:pt>
                <c:pt idx="3">
                  <c:v>Time it Took to Complete Visit</c:v>
                </c:pt>
                <c:pt idx="4">
                  <c:v>Professionalism of Program 
Representtaive</c:v>
                </c:pt>
                <c:pt idx="5">
                  <c:v>Overall Satisfaction
 with the Program</c:v>
                </c:pt>
                <c:pt idx="6">
                  <c:v>Quality of Work Performed by 
Program Representatives</c:v>
                </c:pt>
              </c:strCache>
            </c:strRef>
          </c:cat>
          <c:val>
            <c:numRef>
              <c:f>'Process Analysis'!$L$483:$L$489</c:f>
              <c:numCache>
                <c:formatCode>0%</c:formatCode>
                <c:ptCount val="7"/>
                <c:pt idx="0">
                  <c:v>7.2727272727272724E-2</c:v>
                </c:pt>
                <c:pt idx="1">
                  <c:v>7.7777777777777779E-2</c:v>
                </c:pt>
                <c:pt idx="2">
                  <c:v>3.6363636363636362E-2</c:v>
                </c:pt>
                <c:pt idx="3">
                  <c:v>5.4545454545454543E-2</c:v>
                </c:pt>
                <c:pt idx="4">
                  <c:v>1.8181818181818181E-2</c:v>
                </c:pt>
                <c:pt idx="5">
                  <c:v>1.8181818181818181E-2</c:v>
                </c:pt>
                <c:pt idx="6">
                  <c:v>0</c:v>
                </c:pt>
              </c:numCache>
            </c:numRef>
          </c:val>
          <c:extLst xmlns:c16r2="http://schemas.microsoft.com/office/drawing/2015/06/chart">
            <c:ext xmlns:c16="http://schemas.microsoft.com/office/drawing/2014/chart" uri="{C3380CC4-5D6E-409C-BE32-E72D297353CC}">
              <c16:uniqueId val="{00000002-BBDC-4583-B1F5-793D683C3038}"/>
            </c:ext>
          </c:extLst>
        </c:ser>
        <c:ser>
          <c:idx val="1"/>
          <c:order val="3"/>
          <c:tx>
            <c:strRef>
              <c:f>'Process Analysis'!$K$482</c:f>
              <c:strCache>
                <c:ptCount val="1"/>
                <c:pt idx="0">
                  <c:v>2</c:v>
                </c:pt>
              </c:strCache>
            </c:strRef>
          </c:tx>
          <c:spPr>
            <a:solidFill>
              <a:srgbClr val="D2EAF1"/>
            </a:solidFill>
            <a:ln>
              <a:noFill/>
            </a:ln>
            <a:effectLst/>
          </c:spPr>
          <c:invertIfNegative val="0"/>
          <c:cat>
            <c:strRef>
              <c:f>'Process Analysis'!$H$483:$H$489</c:f>
              <c:strCache>
                <c:ptCount val="7"/>
                <c:pt idx="0">
                  <c:v>Time between 
Scheduling Call and Appointment</c:v>
                </c:pt>
                <c:pt idx="1">
                  <c:v>Overall Satisfaction with PECO</c:v>
                </c:pt>
                <c:pt idx="2">
                  <c:v>Quality of Measures Installed</c:v>
                </c:pt>
                <c:pt idx="3">
                  <c:v>Time it Took to Complete Visit</c:v>
                </c:pt>
                <c:pt idx="4">
                  <c:v>Professionalism of Program 
Representtaive</c:v>
                </c:pt>
                <c:pt idx="5">
                  <c:v>Overall Satisfaction
 with the Program</c:v>
                </c:pt>
                <c:pt idx="6">
                  <c:v>Quality of Work Performed by 
Program Representatives</c:v>
                </c:pt>
              </c:strCache>
            </c:strRef>
          </c:cat>
          <c:val>
            <c:numRef>
              <c:f>'Process Analysis'!$K$483:$K$489</c:f>
              <c:numCache>
                <c:formatCode>0%</c:formatCode>
                <c:ptCount val="7"/>
                <c:pt idx="0">
                  <c:v>0</c:v>
                </c:pt>
                <c:pt idx="1">
                  <c:v>1.1111111111111112E-2</c:v>
                </c:pt>
                <c:pt idx="2">
                  <c:v>0</c:v>
                </c:pt>
                <c:pt idx="3">
                  <c:v>0</c:v>
                </c:pt>
                <c:pt idx="4">
                  <c:v>0</c:v>
                </c:pt>
                <c:pt idx="5">
                  <c:v>0</c:v>
                </c:pt>
                <c:pt idx="6">
                  <c:v>0</c:v>
                </c:pt>
              </c:numCache>
            </c:numRef>
          </c:val>
          <c:extLst xmlns:c16r2="http://schemas.microsoft.com/office/drawing/2015/06/chart">
            <c:ext xmlns:c16="http://schemas.microsoft.com/office/drawing/2014/chart" uri="{C3380CC4-5D6E-409C-BE32-E72D297353CC}">
              <c16:uniqueId val="{00000003-BBDC-4583-B1F5-793D683C3038}"/>
            </c:ext>
          </c:extLst>
        </c:ser>
        <c:ser>
          <c:idx val="0"/>
          <c:order val="4"/>
          <c:tx>
            <c:strRef>
              <c:f>'Process Analysis'!$J$482</c:f>
              <c:strCache>
                <c:ptCount val="1"/>
                <c:pt idx="0">
                  <c:v>Extremely dissatisfied</c:v>
                </c:pt>
              </c:strCache>
            </c:strRef>
          </c:tx>
          <c:spPr>
            <a:solidFill>
              <a:srgbClr val="DD8315"/>
            </a:solidFill>
            <a:ln>
              <a:noFill/>
            </a:ln>
            <a:effectLst/>
          </c:spPr>
          <c:invertIfNegative val="0"/>
          <c:cat>
            <c:strRef>
              <c:f>'Process Analysis'!$H$483:$H$489</c:f>
              <c:strCache>
                <c:ptCount val="7"/>
                <c:pt idx="0">
                  <c:v>Time between 
Scheduling Call and Appointment</c:v>
                </c:pt>
                <c:pt idx="1">
                  <c:v>Overall Satisfaction with PECO</c:v>
                </c:pt>
                <c:pt idx="2">
                  <c:v>Quality of Measures Installed</c:v>
                </c:pt>
                <c:pt idx="3">
                  <c:v>Time it Took to Complete Visit</c:v>
                </c:pt>
                <c:pt idx="4">
                  <c:v>Professionalism of Program 
Representtaive</c:v>
                </c:pt>
                <c:pt idx="5">
                  <c:v>Overall Satisfaction
 with the Program</c:v>
                </c:pt>
                <c:pt idx="6">
                  <c:v>Quality of Work Performed by 
Program Representatives</c:v>
                </c:pt>
              </c:strCache>
            </c:strRef>
          </c:cat>
          <c:val>
            <c:numRef>
              <c:f>'Process Analysis'!$J$483:$J$489</c:f>
              <c:numCache>
                <c:formatCode>0%</c:formatCode>
                <c:ptCount val="7"/>
                <c:pt idx="0">
                  <c:v>3.6363636363636362E-2</c:v>
                </c:pt>
                <c:pt idx="1">
                  <c:v>1.1111111111111112E-2</c:v>
                </c:pt>
                <c:pt idx="2">
                  <c:v>1.8181818181818181E-2</c:v>
                </c:pt>
                <c:pt idx="3">
                  <c:v>1.8181818181818181E-2</c:v>
                </c:pt>
                <c:pt idx="4">
                  <c:v>1.8181818181818181E-2</c:v>
                </c:pt>
                <c:pt idx="5">
                  <c:v>0</c:v>
                </c:pt>
                <c:pt idx="6">
                  <c:v>1.8181818181818181E-2</c:v>
                </c:pt>
              </c:numCache>
            </c:numRef>
          </c:val>
          <c:extLst xmlns:c16r2="http://schemas.microsoft.com/office/drawing/2015/06/chart">
            <c:ext xmlns:c16="http://schemas.microsoft.com/office/drawing/2014/chart" uri="{C3380CC4-5D6E-409C-BE32-E72D297353CC}">
              <c16:uniqueId val="{00000004-BBDC-4583-B1F5-793D683C3038}"/>
            </c:ext>
          </c:extLst>
        </c:ser>
        <c:ser>
          <c:idx val="5"/>
          <c:order val="5"/>
          <c:tx>
            <c:strRef>
              <c:f>'Process Analysis'!$O$482</c:f>
              <c:strCache>
                <c:ptCount val="1"/>
                <c:pt idx="0">
                  <c:v>Don't know</c:v>
                </c:pt>
              </c:strCache>
            </c:strRef>
          </c:tx>
          <c:spPr>
            <a:solidFill>
              <a:srgbClr val="ED9E3E"/>
            </a:solidFill>
            <a:ln>
              <a:noFill/>
            </a:ln>
            <a:effectLst/>
          </c:spPr>
          <c:invertIfNegative val="0"/>
          <c:cat>
            <c:strRef>
              <c:f>'Process Analysis'!$H$483:$H$489</c:f>
              <c:strCache>
                <c:ptCount val="7"/>
                <c:pt idx="0">
                  <c:v>Time between 
Scheduling Call and Appointment</c:v>
                </c:pt>
                <c:pt idx="1">
                  <c:v>Overall Satisfaction with PECO</c:v>
                </c:pt>
                <c:pt idx="2">
                  <c:v>Quality of Measures Installed</c:v>
                </c:pt>
                <c:pt idx="3">
                  <c:v>Time it Took to Complete Visit</c:v>
                </c:pt>
                <c:pt idx="4">
                  <c:v>Professionalism of Program 
Representtaive</c:v>
                </c:pt>
                <c:pt idx="5">
                  <c:v>Overall Satisfaction
 with the Program</c:v>
                </c:pt>
                <c:pt idx="6">
                  <c:v>Quality of Work Performed by 
Program Representatives</c:v>
                </c:pt>
              </c:strCache>
            </c:strRef>
          </c:cat>
          <c:val>
            <c:numRef>
              <c:f>'Process Analysis'!$O$483:$O$489</c:f>
              <c:numCache>
                <c:formatCode>0%</c:formatCode>
                <c:ptCount val="7"/>
                <c:pt idx="0">
                  <c:v>5.4545454545454543E-2</c:v>
                </c:pt>
                <c:pt idx="1">
                  <c:v>0</c:v>
                </c:pt>
                <c:pt idx="2">
                  <c:v>1.8181818181818181E-2</c:v>
                </c:pt>
                <c:pt idx="3">
                  <c:v>1.8181818181818181E-2</c:v>
                </c:pt>
                <c:pt idx="4">
                  <c:v>0</c:v>
                </c:pt>
                <c:pt idx="5">
                  <c:v>0</c:v>
                </c:pt>
                <c:pt idx="6">
                  <c:v>0</c:v>
                </c:pt>
              </c:numCache>
            </c:numRef>
          </c:val>
          <c:extLst xmlns:c16r2="http://schemas.microsoft.com/office/drawing/2015/06/chart">
            <c:ext xmlns:c16="http://schemas.microsoft.com/office/drawing/2014/chart" uri="{C3380CC4-5D6E-409C-BE32-E72D297353CC}">
              <c16:uniqueId val="{00000005-BBDC-4583-B1F5-793D683C3038}"/>
            </c:ext>
          </c:extLst>
        </c:ser>
        <c:ser>
          <c:idx val="6"/>
          <c:order val="6"/>
          <c:tx>
            <c:strRef>
              <c:f>'Process Analysis'!$P$482</c:f>
              <c:strCache>
                <c:ptCount val="1"/>
                <c:pt idx="0">
                  <c:v>Refused</c:v>
                </c:pt>
              </c:strCache>
            </c:strRef>
          </c:tx>
          <c:spPr>
            <a:solidFill>
              <a:srgbClr val="F5CA95"/>
            </a:solidFill>
            <a:ln>
              <a:noFill/>
            </a:ln>
            <a:effectLst/>
          </c:spPr>
          <c:invertIfNegative val="0"/>
          <c:cat>
            <c:strRef>
              <c:f>'Process Analysis'!$H$483:$H$489</c:f>
              <c:strCache>
                <c:ptCount val="7"/>
                <c:pt idx="0">
                  <c:v>Time between 
Scheduling Call and Appointment</c:v>
                </c:pt>
                <c:pt idx="1">
                  <c:v>Overall Satisfaction with PECO</c:v>
                </c:pt>
                <c:pt idx="2">
                  <c:v>Quality of Measures Installed</c:v>
                </c:pt>
                <c:pt idx="3">
                  <c:v>Time it Took to Complete Visit</c:v>
                </c:pt>
                <c:pt idx="4">
                  <c:v>Professionalism of Program 
Representtaive</c:v>
                </c:pt>
                <c:pt idx="5">
                  <c:v>Overall Satisfaction
 with the Program</c:v>
                </c:pt>
                <c:pt idx="6">
                  <c:v>Quality of Work Performed by 
Program Representatives</c:v>
                </c:pt>
              </c:strCache>
            </c:strRef>
          </c:cat>
          <c:val>
            <c:numRef>
              <c:f>'Process Analysis'!$P$483:$P$489</c:f>
              <c:numCache>
                <c:formatCode>0%</c:formatCode>
                <c:ptCount val="7"/>
                <c:pt idx="0">
                  <c:v>0</c:v>
                </c:pt>
                <c:pt idx="1">
                  <c:v>0</c:v>
                </c:pt>
                <c:pt idx="2">
                  <c:v>0</c:v>
                </c:pt>
                <c:pt idx="3">
                  <c:v>0</c:v>
                </c:pt>
                <c:pt idx="4">
                  <c:v>0</c:v>
                </c:pt>
                <c:pt idx="5">
                  <c:v>0</c:v>
                </c:pt>
                <c:pt idx="6">
                  <c:v>1.8181818181818181E-2</c:v>
                </c:pt>
              </c:numCache>
            </c:numRef>
          </c:val>
          <c:extLst xmlns:c16r2="http://schemas.microsoft.com/office/drawing/2015/06/chart">
            <c:ext xmlns:c16="http://schemas.microsoft.com/office/drawing/2014/chart" uri="{C3380CC4-5D6E-409C-BE32-E72D297353CC}">
              <c16:uniqueId val="{00000006-BBDC-4583-B1F5-793D683C3038}"/>
            </c:ext>
          </c:extLst>
        </c:ser>
        <c:dLbls>
          <c:showLegendKey val="0"/>
          <c:showVal val="0"/>
          <c:showCatName val="0"/>
          <c:showSerName val="0"/>
          <c:showPercent val="0"/>
          <c:showBubbleSize val="0"/>
        </c:dLbls>
        <c:gapWidth val="150"/>
        <c:overlap val="100"/>
        <c:axId val="195659648"/>
        <c:axId val="195661184"/>
      </c:barChart>
      <c:catAx>
        <c:axId val="195659648"/>
        <c:scaling>
          <c:orientation val="minMax"/>
        </c:scaling>
        <c:delete val="0"/>
        <c:axPos val="l"/>
        <c:numFmt formatCode="General" sourceLinked="1"/>
        <c:majorTickMark val="none"/>
        <c:minorTickMark val="none"/>
        <c:tickLblPos val="nextTo"/>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Calibri" panose="020F0502020204030204" pitchFamily="34" charset="0"/>
                <a:ea typeface="+mn-ea"/>
                <a:cs typeface="Arial" panose="020B0604020202020204" pitchFamily="34" charset="0"/>
              </a:defRPr>
            </a:pPr>
            <a:endParaRPr lang="en-US"/>
          </a:p>
        </c:txPr>
        <c:crossAx val="195661184"/>
        <c:crosses val="autoZero"/>
        <c:auto val="1"/>
        <c:lblAlgn val="ctr"/>
        <c:lblOffset val="100"/>
        <c:noMultiLvlLbl val="0"/>
      </c:catAx>
      <c:valAx>
        <c:axId val="195661184"/>
        <c:scaling>
          <c:orientation val="minMax"/>
          <c:max val="1"/>
        </c:scaling>
        <c:delete val="0"/>
        <c:axPos val="b"/>
        <c:majorGridlines>
          <c:spPr>
            <a:ln w="9525" cap="flat" cmpd="sng" algn="ctr">
              <a:noFill/>
              <a:round/>
            </a:ln>
            <a:effectLst/>
          </c:spPr>
        </c:majorGridlines>
        <c:numFmt formatCode="0%" sourceLinked="1"/>
        <c:majorTickMark val="none"/>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Calibri" panose="020F0502020204030204" pitchFamily="34" charset="0"/>
                <a:ea typeface="+mn-ea"/>
                <a:cs typeface="Arial" panose="020B0604020202020204" pitchFamily="34" charset="0"/>
              </a:defRPr>
            </a:pPr>
            <a:endParaRPr lang="en-US"/>
          </a:p>
        </c:txPr>
        <c:crossAx val="1956596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Calibri" panose="020F0502020204030204" pitchFamily="34" charset="0"/>
          <a:cs typeface="Arial" panose="020B0604020202020204" pitchFamily="34" charset="0"/>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448A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Calibri" panose="020F050202020403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'Process Analysis'!$B$556:$B$559</c:f>
              <c:strCache>
                <c:ptCount val="4"/>
                <c:pt idx="0">
                  <c:v>PY4
(n=68)</c:v>
                </c:pt>
                <c:pt idx="1">
                  <c:v>PY5
(n=107)</c:v>
                </c:pt>
                <c:pt idx="2">
                  <c:v>PY6
(n=100)</c:v>
                </c:pt>
                <c:pt idx="3">
                  <c:v>PY7
(n=70)</c:v>
                </c:pt>
              </c:strCache>
            </c:strRef>
          </c:cat>
          <c:val>
            <c:numRef>
              <c:f>'Process Analysis'!$C$556:$C$559</c:f>
              <c:numCache>
                <c:formatCode>0%</c:formatCode>
                <c:ptCount val="4"/>
                <c:pt idx="0">
                  <c:v>0.65</c:v>
                </c:pt>
                <c:pt idx="1">
                  <c:v>0.71</c:v>
                </c:pt>
                <c:pt idx="2">
                  <c:v>0.47</c:v>
                </c:pt>
                <c:pt idx="3">
                  <c:v>0.5668449197860963</c:v>
                </c:pt>
              </c:numCache>
            </c:numRef>
          </c:val>
          <c:extLst xmlns:c16r2="http://schemas.microsoft.com/office/drawing/2015/06/chart">
            <c:ext xmlns:c16="http://schemas.microsoft.com/office/drawing/2014/chart" uri="{C3380CC4-5D6E-409C-BE32-E72D297353CC}">
              <c16:uniqueId val="{00000000-E410-4DC7-990B-609C899EFE09}"/>
            </c:ext>
          </c:extLst>
        </c:ser>
        <c:dLbls>
          <c:showLegendKey val="0"/>
          <c:showVal val="0"/>
          <c:showCatName val="0"/>
          <c:showSerName val="0"/>
          <c:showPercent val="0"/>
          <c:showBubbleSize val="0"/>
        </c:dLbls>
        <c:gapWidth val="219"/>
        <c:overlap val="-27"/>
        <c:axId val="195907584"/>
        <c:axId val="195909120"/>
      </c:barChart>
      <c:catAx>
        <c:axId val="195907584"/>
        <c:scaling>
          <c:orientation val="minMax"/>
        </c:scaling>
        <c:delete val="0"/>
        <c:axPos val="b"/>
        <c:numFmt formatCode="General" sourceLinked="1"/>
        <c:majorTickMark val="none"/>
        <c:minorTickMark val="none"/>
        <c:tickLblPos val="nextTo"/>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Calibri" panose="020F0502020204030204" pitchFamily="34" charset="0"/>
                <a:ea typeface="+mn-ea"/>
                <a:cs typeface="Arial" panose="020B0604020202020204" pitchFamily="34" charset="0"/>
              </a:defRPr>
            </a:pPr>
            <a:endParaRPr lang="en-US"/>
          </a:p>
        </c:txPr>
        <c:crossAx val="195909120"/>
        <c:crosses val="autoZero"/>
        <c:auto val="1"/>
        <c:lblAlgn val="ctr"/>
        <c:lblOffset val="100"/>
        <c:noMultiLvlLbl val="0"/>
      </c:catAx>
      <c:valAx>
        <c:axId val="195909120"/>
        <c:scaling>
          <c:orientation val="minMax"/>
          <c:max val="1"/>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Calibri" panose="020F0502020204030204" pitchFamily="34" charset="0"/>
                    <a:ea typeface="+mn-ea"/>
                    <a:cs typeface="Arial" panose="020B0604020202020204" pitchFamily="34" charset="0"/>
                  </a:defRPr>
                </a:pPr>
                <a:r>
                  <a:rPr lang="en-US"/>
                  <a:t>Percentage</a:t>
                </a:r>
                <a:r>
                  <a:rPr lang="en-US" baseline="0"/>
                  <a:t> of Respondents</a:t>
                </a:r>
                <a:endParaRPr lang="en-US"/>
              </a:p>
            </c:rich>
          </c:tx>
          <c:layout>
            <c:manualLayout>
              <c:xMode val="edge"/>
              <c:yMode val="edge"/>
              <c:x val="1.6666666666666666E-2"/>
              <c:y val="0.1920128798333198"/>
            </c:manualLayout>
          </c:layout>
          <c:overlay val="0"/>
          <c:spPr>
            <a:noFill/>
            <a:ln>
              <a:noFill/>
            </a:ln>
            <a:effectLst/>
          </c:spPr>
        </c:title>
        <c:numFmt formatCode="0%" sourceLinked="1"/>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Calibri" panose="020F0502020204030204" pitchFamily="34" charset="0"/>
                <a:ea typeface="+mn-ea"/>
                <a:cs typeface="Arial" panose="020B0604020202020204" pitchFamily="34" charset="0"/>
              </a:defRPr>
            </a:pPr>
            <a:endParaRPr lang="en-US"/>
          </a:p>
        </c:txPr>
        <c:crossAx val="1959075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b="1">
          <a:solidFill>
            <a:sysClr val="windowText" lastClr="000000"/>
          </a:solidFill>
          <a:latin typeface="Calibri" panose="020F0502020204030204" pitchFamily="34" charset="0"/>
          <a:cs typeface="Arial" panose="020B0604020202020204" pitchFamily="34" charset="0"/>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448A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'Process Analysis'!$F$279:$F$283</c:f>
              <c:strCache>
                <c:ptCount val="3"/>
                <c:pt idx="0">
                  <c:v>No</c:v>
                </c:pt>
                <c:pt idx="1">
                  <c:v>Yes</c:v>
                </c:pt>
                <c:pt idx="2">
                  <c:v>Don't know</c:v>
                </c:pt>
              </c:strCache>
              <c:extLst xmlns:c16r2="http://schemas.microsoft.com/office/drawing/2015/06/chart"/>
            </c:strRef>
          </c:cat>
          <c:val>
            <c:numRef>
              <c:f>'Process Analysis'!$H$279:$H$283</c:f>
              <c:numCache>
                <c:formatCode>0%</c:formatCode>
                <c:ptCount val="3"/>
                <c:pt idx="0">
                  <c:v>0.5714285714285714</c:v>
                </c:pt>
                <c:pt idx="1">
                  <c:v>0.35714285714285715</c:v>
                </c:pt>
                <c:pt idx="2">
                  <c:v>7.1428571428571425E-2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42CB-4FC4-9EBA-71CBE0D1D0E1}"/>
            </c:ext>
          </c:extLst>
        </c:ser>
        <c:dLbls>
          <c:showLegendKey val="0"/>
          <c:showVal val="0"/>
          <c:showCatName val="0"/>
          <c:showSerName val="0"/>
          <c:showPercent val="0"/>
          <c:showBubbleSize val="0"/>
        </c:dLbls>
        <c:gapWidth val="182"/>
        <c:axId val="196888832"/>
        <c:axId val="196927488"/>
      </c:barChart>
      <c:catAx>
        <c:axId val="196888832"/>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Arial" panose="020B0604020202020204" pitchFamily="34" charset="0"/>
              </a:defRPr>
            </a:pPr>
            <a:endParaRPr lang="en-US"/>
          </a:p>
        </c:txPr>
        <c:crossAx val="196927488"/>
        <c:crosses val="autoZero"/>
        <c:auto val="1"/>
        <c:lblAlgn val="ctr"/>
        <c:lblOffset val="100"/>
        <c:noMultiLvlLbl val="0"/>
      </c:catAx>
      <c:valAx>
        <c:axId val="196927488"/>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Arial" panose="020B0604020202020204" pitchFamily="34" charset="0"/>
                  </a:defRPr>
                </a:pPr>
                <a:r>
                  <a:rPr lang="en-US"/>
                  <a:t>Percentage</a:t>
                </a:r>
                <a:r>
                  <a:rPr lang="en-US" baseline="0"/>
                  <a:t> of Respondents</a:t>
                </a:r>
                <a:endParaRPr lang="en-US"/>
              </a:p>
            </c:rich>
          </c:tx>
          <c:layout>
            <c:manualLayout>
              <c:xMode val="edge"/>
              <c:yMode val="edge"/>
              <c:x val="0.37927790276215473"/>
              <c:y val="0.84139257592800898"/>
            </c:manualLayout>
          </c:layout>
          <c:overlay val="0"/>
          <c:spPr>
            <a:noFill/>
            <a:ln>
              <a:noFill/>
            </a:ln>
            <a:effectLst/>
          </c:spPr>
        </c:title>
        <c:numFmt formatCode="0%"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Arial" panose="020B0604020202020204" pitchFamily="34" charset="0"/>
              </a:defRPr>
            </a:pPr>
            <a:endParaRPr lang="en-US"/>
          </a:p>
        </c:txPr>
        <c:crossAx val="1968888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b="1">
          <a:solidFill>
            <a:sysClr val="windowText" lastClr="000000"/>
          </a:solidFill>
          <a:latin typeface="+mn-lt"/>
          <a:cs typeface="Arial" panose="020B0604020202020204" pitchFamily="34"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bar"/>
        <c:grouping val="clustered"/>
        <c:varyColors val="0"/>
        <c:ser>
          <c:idx val="0"/>
          <c:order val="0"/>
          <c:spPr>
            <a:solidFill>
              <a:srgbClr val="448A99"/>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6227-49D3-90B0-4D301CD384D5}"/>
              </c:ext>
            </c:extLst>
          </c:dPt>
          <c:dPt>
            <c:idx val="1"/>
            <c:invertIfNegative val="0"/>
            <c:bubble3D val="0"/>
            <c:extLst xmlns:c16r2="http://schemas.microsoft.com/office/drawing/2015/06/chart">
              <c:ext xmlns:c16="http://schemas.microsoft.com/office/drawing/2014/chart" uri="{C3380CC4-5D6E-409C-BE32-E72D297353CC}">
                <c16:uniqueId val="{00000007-6227-49D3-90B0-4D301CD384D5}"/>
              </c:ext>
            </c:extLst>
          </c:dPt>
          <c:dPt>
            <c:idx val="2"/>
            <c:invertIfNegative val="0"/>
            <c:bubble3D val="0"/>
            <c:extLst xmlns:c16r2="http://schemas.microsoft.com/office/drawing/2015/06/chart">
              <c:ext xmlns:c16="http://schemas.microsoft.com/office/drawing/2014/chart" uri="{C3380CC4-5D6E-409C-BE32-E72D297353CC}">
                <c16:uniqueId val="{00000003-6227-49D3-90B0-4D301CD384D5}"/>
              </c:ext>
            </c:extLst>
          </c:dPt>
          <c:dPt>
            <c:idx val="3"/>
            <c:invertIfNegative val="0"/>
            <c:bubble3D val="0"/>
            <c:extLst xmlns:c16r2="http://schemas.microsoft.com/office/drawing/2015/06/chart">
              <c:ext xmlns:c16="http://schemas.microsoft.com/office/drawing/2014/chart" uri="{C3380CC4-5D6E-409C-BE32-E72D297353CC}">
                <c16:uniqueId val="{00000005-6227-49D3-90B0-4D301CD384D5}"/>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Calibri" panose="020F050202020403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'Process Analysis'!$F$286:$F$289</c:f>
              <c:strCache>
                <c:ptCount val="4"/>
                <c:pt idx="0">
                  <c:v>Incandescent</c:v>
                </c:pt>
                <c:pt idx="1">
                  <c:v>CFL</c:v>
                </c:pt>
                <c:pt idx="2">
                  <c:v>Don't know</c:v>
                </c:pt>
                <c:pt idx="3">
                  <c:v>LED</c:v>
                </c:pt>
              </c:strCache>
            </c:strRef>
          </c:cat>
          <c:val>
            <c:numRef>
              <c:f>'Process Analysis'!$H$286:$H$289</c:f>
              <c:numCache>
                <c:formatCode>0%</c:formatCode>
                <c:ptCount val="4"/>
                <c:pt idx="0">
                  <c:v>0.6</c:v>
                </c:pt>
                <c:pt idx="1">
                  <c:v>0.23333333333333334</c:v>
                </c:pt>
                <c:pt idx="2">
                  <c:v>0.16666666666666666</c:v>
                </c:pt>
                <c:pt idx="3">
                  <c:v>3.3333333333333333E-2</c:v>
                </c:pt>
              </c:numCache>
            </c:numRef>
          </c:val>
          <c:extLst xmlns:c16r2="http://schemas.microsoft.com/office/drawing/2015/06/chart">
            <c:ext xmlns:c16="http://schemas.microsoft.com/office/drawing/2014/chart" uri="{C3380CC4-5D6E-409C-BE32-E72D297353CC}">
              <c16:uniqueId val="{00000006-6227-49D3-90B0-4D301CD384D5}"/>
            </c:ext>
          </c:extLst>
        </c:ser>
        <c:dLbls>
          <c:showLegendKey val="0"/>
          <c:showVal val="0"/>
          <c:showCatName val="0"/>
          <c:showSerName val="0"/>
          <c:showPercent val="0"/>
          <c:showBubbleSize val="0"/>
        </c:dLbls>
        <c:gapWidth val="182"/>
        <c:axId val="196818432"/>
        <c:axId val="196819968"/>
      </c:barChart>
      <c:catAx>
        <c:axId val="196818432"/>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Calibri" panose="020F0502020204030204" pitchFamily="34" charset="0"/>
                <a:ea typeface="+mn-ea"/>
                <a:cs typeface="Arial" panose="020B0604020202020204" pitchFamily="34" charset="0"/>
              </a:defRPr>
            </a:pPr>
            <a:endParaRPr lang="en-US"/>
          </a:p>
        </c:txPr>
        <c:crossAx val="196819968"/>
        <c:crosses val="autoZero"/>
        <c:auto val="1"/>
        <c:lblAlgn val="ctr"/>
        <c:lblOffset val="100"/>
        <c:noMultiLvlLbl val="0"/>
      </c:catAx>
      <c:valAx>
        <c:axId val="196819968"/>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Calibri" panose="020F0502020204030204" pitchFamily="34" charset="0"/>
                    <a:ea typeface="+mn-ea"/>
                    <a:cs typeface="Arial" panose="020B0604020202020204" pitchFamily="34" charset="0"/>
                  </a:defRPr>
                </a:pPr>
                <a:r>
                  <a:rPr lang="en-US"/>
                  <a:t>Percentage of Respondents</a:t>
                </a:r>
              </a:p>
            </c:rich>
          </c:tx>
          <c:layout>
            <c:manualLayout>
              <c:xMode val="edge"/>
              <c:yMode val="edge"/>
              <c:x val="0.3979302717086739"/>
              <c:y val="0.85418650981880273"/>
            </c:manualLayout>
          </c:layout>
          <c:overlay val="0"/>
          <c:spPr>
            <a:noFill/>
            <a:ln>
              <a:noFill/>
            </a:ln>
            <a:effectLst/>
          </c:spPr>
        </c:title>
        <c:numFmt formatCode="0%"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Calibri" panose="020F0502020204030204" pitchFamily="34" charset="0"/>
                <a:ea typeface="+mn-ea"/>
                <a:cs typeface="Arial" panose="020B0604020202020204" pitchFamily="34" charset="0"/>
              </a:defRPr>
            </a:pPr>
            <a:endParaRPr lang="en-US"/>
          </a:p>
        </c:txPr>
        <c:crossAx val="1968184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b="1">
          <a:solidFill>
            <a:sysClr val="windowText" lastClr="000000"/>
          </a:solidFill>
          <a:latin typeface="Calibri" panose="020F0502020204030204" pitchFamily="34" charset="0"/>
          <a:cs typeface="Arial" panose="020B0604020202020204" pitchFamily="34"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402512329523425"/>
          <c:y val="4.2396071713892515E-2"/>
          <c:w val="0.80336176727909026"/>
          <c:h val="0.72714311752697569"/>
        </c:manualLayout>
      </c:layout>
      <c:barChart>
        <c:barDir val="col"/>
        <c:grouping val="clustered"/>
        <c:varyColors val="0"/>
        <c:ser>
          <c:idx val="0"/>
          <c:order val="0"/>
          <c:tx>
            <c:strRef>
              <c:f>Sheet1!$B$1</c:f>
              <c:strCache>
                <c:ptCount val="1"/>
                <c:pt idx="0">
                  <c:v>Series 1</c:v>
                </c:pt>
              </c:strCache>
            </c:strRef>
          </c:tx>
          <c:spPr>
            <a:solidFill>
              <a:srgbClr val="448A99"/>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Sheet1!$A$2:$A$5</c:f>
              <c:strCache>
                <c:ptCount val="4"/>
                <c:pt idx="0">
                  <c:v>Contacted by PECO Representative</c:v>
                </c:pt>
                <c:pt idx="1">
                  <c:v>Word of Mouth</c:v>
                </c:pt>
                <c:pt idx="2">
                  <c:v>Trade Show/ Workshop/ Conference</c:v>
                </c:pt>
                <c:pt idx="3">
                  <c:v>PECO Website</c:v>
                </c:pt>
              </c:strCache>
            </c:strRef>
          </c:cat>
          <c:val>
            <c:numRef>
              <c:f>Sheet1!$B$2:$B$5</c:f>
              <c:numCache>
                <c:formatCode>0%</c:formatCode>
                <c:ptCount val="4"/>
                <c:pt idx="0">
                  <c:v>0.71</c:v>
                </c:pt>
                <c:pt idx="1">
                  <c:v>0.19</c:v>
                </c:pt>
                <c:pt idx="2">
                  <c:v>0.05</c:v>
                </c:pt>
                <c:pt idx="3">
                  <c:v>0.05</c:v>
                </c:pt>
              </c:numCache>
            </c:numRef>
          </c:val>
          <c:extLst xmlns:c16r2="http://schemas.microsoft.com/office/drawing/2015/06/chart">
            <c:ext xmlns:c16="http://schemas.microsoft.com/office/drawing/2014/chart" uri="{C3380CC4-5D6E-409C-BE32-E72D297353CC}">
              <c16:uniqueId val="{00000000-622D-41C9-B43E-5E372F4DBCF9}"/>
            </c:ext>
          </c:extLst>
        </c:ser>
        <c:dLbls>
          <c:showLegendKey val="0"/>
          <c:showVal val="1"/>
          <c:showCatName val="0"/>
          <c:showSerName val="0"/>
          <c:showPercent val="0"/>
          <c:showBubbleSize val="0"/>
        </c:dLbls>
        <c:gapWidth val="150"/>
        <c:axId val="200700672"/>
        <c:axId val="202283264"/>
      </c:barChart>
      <c:catAx>
        <c:axId val="200700672"/>
        <c:scaling>
          <c:orientation val="minMax"/>
        </c:scaling>
        <c:delete val="0"/>
        <c:axPos val="b"/>
        <c:numFmt formatCode="General" sourceLinked="0"/>
        <c:majorTickMark val="out"/>
        <c:minorTickMark val="none"/>
        <c:tickLblPos val="nextTo"/>
        <c:crossAx val="202283264"/>
        <c:crosses val="autoZero"/>
        <c:auto val="1"/>
        <c:lblAlgn val="ctr"/>
        <c:lblOffset val="100"/>
        <c:noMultiLvlLbl val="0"/>
      </c:catAx>
      <c:valAx>
        <c:axId val="202283264"/>
        <c:scaling>
          <c:orientation val="minMax"/>
          <c:max val="1"/>
        </c:scaling>
        <c:delete val="0"/>
        <c:axPos val="l"/>
        <c:majorGridlines>
          <c:spPr>
            <a:ln>
              <a:noFill/>
            </a:ln>
          </c:spPr>
        </c:majorGridlines>
        <c:title>
          <c:tx>
            <c:rich>
              <a:bodyPr/>
              <a:lstStyle/>
              <a:p>
                <a:pPr>
                  <a:defRPr/>
                </a:pPr>
                <a:r>
                  <a:rPr lang="en-US"/>
                  <a:t>% of Survey Respondents</a:t>
                </a:r>
              </a:p>
            </c:rich>
          </c:tx>
          <c:layout>
            <c:manualLayout>
              <c:xMode val="edge"/>
              <c:yMode val="edge"/>
              <c:x val="2.3669386016126736E-3"/>
              <c:y val="0.18904855643044619"/>
            </c:manualLayout>
          </c:layout>
          <c:overlay val="0"/>
        </c:title>
        <c:numFmt formatCode="0%" sourceLinked="1"/>
        <c:majorTickMark val="out"/>
        <c:minorTickMark val="none"/>
        <c:tickLblPos val="nextTo"/>
        <c:crossAx val="200700672"/>
        <c:crosses val="autoZero"/>
        <c:crossBetween val="between"/>
        <c:majorUnit val="0.2"/>
      </c:valAx>
      <c:spPr>
        <a:ln>
          <a:noFill/>
        </a:ln>
      </c:spPr>
    </c:plotArea>
    <c:plotVisOnly val="1"/>
    <c:dispBlanksAs val="gap"/>
    <c:showDLblsOverMax val="0"/>
  </c:chart>
  <c:spPr>
    <a:ln>
      <a:noFill/>
    </a:ln>
  </c:spPr>
  <c:txPr>
    <a:bodyPr/>
    <a:lstStyle/>
    <a:p>
      <a:pPr marL="0" marR="0" lvl="0" indent="0" algn="just"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PY6</c:v>
                </c:pt>
              </c:strCache>
            </c:strRef>
          </c:tx>
          <c:spPr>
            <a:solidFill>
              <a:srgbClr val="448A99"/>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Nonresidential</c:v>
                </c:pt>
                <c:pt idx="1">
                  <c:v>Residential</c:v>
                </c:pt>
              </c:strCache>
            </c:strRef>
          </c:cat>
          <c:val>
            <c:numRef>
              <c:f>Sheet1!$B$2:$B$3</c:f>
              <c:numCache>
                <c:formatCode>General</c:formatCode>
                <c:ptCount val="2"/>
                <c:pt idx="0">
                  <c:v>4.5</c:v>
                </c:pt>
                <c:pt idx="1">
                  <c:v>4.2</c:v>
                </c:pt>
              </c:numCache>
            </c:numRef>
          </c:val>
          <c:extLst xmlns:c16r2="http://schemas.microsoft.com/office/drawing/2015/06/chart">
            <c:ext xmlns:c16="http://schemas.microsoft.com/office/drawing/2014/chart" uri="{C3380CC4-5D6E-409C-BE32-E72D297353CC}">
              <c16:uniqueId val="{00000000-3F6A-4704-8A30-2C0C017A7F84}"/>
            </c:ext>
          </c:extLst>
        </c:ser>
        <c:ser>
          <c:idx val="1"/>
          <c:order val="1"/>
          <c:tx>
            <c:strRef>
              <c:f>Sheet1!$C$1</c:f>
              <c:strCache>
                <c:ptCount val="1"/>
                <c:pt idx="0">
                  <c:v>PY7</c:v>
                </c:pt>
              </c:strCache>
            </c:strRef>
          </c:tx>
          <c:spPr>
            <a:solidFill>
              <a:srgbClr val="ED9E3E"/>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Nonresidential</c:v>
                </c:pt>
                <c:pt idx="1">
                  <c:v>Residential</c:v>
                </c:pt>
              </c:strCache>
            </c:strRef>
          </c:cat>
          <c:val>
            <c:numRef>
              <c:f>Sheet1!$C$2:$C$3</c:f>
              <c:numCache>
                <c:formatCode>General</c:formatCode>
                <c:ptCount val="2"/>
                <c:pt idx="0">
                  <c:v>4.7</c:v>
                </c:pt>
                <c:pt idx="1">
                  <c:v>4.5</c:v>
                </c:pt>
              </c:numCache>
            </c:numRef>
          </c:val>
          <c:extLst xmlns:c16r2="http://schemas.microsoft.com/office/drawing/2015/06/chart">
            <c:ext xmlns:c16="http://schemas.microsoft.com/office/drawing/2014/chart" uri="{C3380CC4-5D6E-409C-BE32-E72D297353CC}">
              <c16:uniqueId val="{00000001-3F6A-4704-8A30-2C0C017A7F84}"/>
            </c:ext>
          </c:extLst>
        </c:ser>
        <c:dLbls>
          <c:dLblPos val="outEnd"/>
          <c:showLegendKey val="0"/>
          <c:showVal val="1"/>
          <c:showCatName val="0"/>
          <c:showSerName val="0"/>
          <c:showPercent val="0"/>
          <c:showBubbleSize val="0"/>
        </c:dLbls>
        <c:gapWidth val="219"/>
        <c:overlap val="-27"/>
        <c:axId val="199892992"/>
        <c:axId val="199894528"/>
      </c:barChart>
      <c:catAx>
        <c:axId val="199892992"/>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199894528"/>
        <c:crosses val="autoZero"/>
        <c:auto val="1"/>
        <c:lblAlgn val="ctr"/>
        <c:lblOffset val="100"/>
        <c:noMultiLvlLbl val="0"/>
      </c:catAx>
      <c:valAx>
        <c:axId val="19989452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t>Participant Satisfaction</a:t>
                </a:r>
              </a:p>
            </c:rich>
          </c:tx>
          <c:layout>
            <c:manualLayout>
              <c:xMode val="edge"/>
              <c:yMode val="edge"/>
              <c:x val="2.7777777777777779E-3"/>
              <c:y val="0.17875364537766114"/>
            </c:manualLayout>
          </c:layout>
          <c:overlay val="0"/>
          <c:spPr>
            <a:noFill/>
            <a:ln>
              <a:noFill/>
            </a:ln>
            <a:effectLst/>
          </c:spPr>
        </c:title>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1998929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PY6</c:v>
                </c:pt>
              </c:strCache>
            </c:strRef>
          </c:tx>
          <c:spPr>
            <a:solidFill>
              <a:srgbClr val="448A99"/>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Nonresidential</c:v>
                </c:pt>
                <c:pt idx="1">
                  <c:v>Residential</c:v>
                </c:pt>
              </c:strCache>
            </c:strRef>
          </c:cat>
          <c:val>
            <c:numRef>
              <c:f>Sheet1!$B$2:$B$3</c:f>
              <c:numCache>
                <c:formatCode>General</c:formatCode>
                <c:ptCount val="2"/>
                <c:pt idx="0">
                  <c:v>4.5</c:v>
                </c:pt>
                <c:pt idx="1">
                  <c:v>4</c:v>
                </c:pt>
              </c:numCache>
            </c:numRef>
          </c:val>
          <c:extLst xmlns:c16r2="http://schemas.microsoft.com/office/drawing/2015/06/chart">
            <c:ext xmlns:c16="http://schemas.microsoft.com/office/drawing/2014/chart" uri="{C3380CC4-5D6E-409C-BE32-E72D297353CC}">
              <c16:uniqueId val="{00000000-10B9-4458-AB25-245AFD3A0033}"/>
            </c:ext>
          </c:extLst>
        </c:ser>
        <c:ser>
          <c:idx val="1"/>
          <c:order val="1"/>
          <c:tx>
            <c:strRef>
              <c:f>Sheet1!$C$1</c:f>
              <c:strCache>
                <c:ptCount val="1"/>
                <c:pt idx="0">
                  <c:v>PY7</c:v>
                </c:pt>
              </c:strCache>
            </c:strRef>
          </c:tx>
          <c:spPr>
            <a:solidFill>
              <a:srgbClr val="ED9E3E"/>
            </a:solidFill>
            <a:ln>
              <a:noFill/>
            </a:ln>
            <a:effectLst/>
          </c:spPr>
          <c:invertIfNegative val="0"/>
          <c:dLbls>
            <c:dLbl>
              <c:idx val="0"/>
              <c:layout>
                <c:manualLayout>
                  <c:x val="0"/>
                  <c:y val="1.947647348679116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3AB-4EB9-8189-1217C6B98B72}"/>
                </c:ext>
                <c:ext xmlns:c15="http://schemas.microsoft.com/office/drawing/2012/chart" uri="{CE6537A1-D6FC-4f65-9D91-7224C49458BB}">
                  <c15:layout/>
                </c:ext>
              </c:extLst>
            </c:dLbl>
            <c:dLbl>
              <c:idx val="1"/>
              <c:layout>
                <c:manualLayout>
                  <c:x val="-1.0185067526415994E-16"/>
                  <c:y val="2.410595227320718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3AB-4EB9-8189-1217C6B98B72}"/>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Nonresidential</c:v>
                </c:pt>
                <c:pt idx="1">
                  <c:v>Residential</c:v>
                </c:pt>
              </c:strCache>
            </c:strRef>
          </c:cat>
          <c:val>
            <c:numRef>
              <c:f>Sheet1!$C$2:$C$3</c:f>
              <c:numCache>
                <c:formatCode>General</c:formatCode>
                <c:ptCount val="2"/>
                <c:pt idx="0">
                  <c:v>4.7</c:v>
                </c:pt>
                <c:pt idx="1">
                  <c:v>4.3</c:v>
                </c:pt>
              </c:numCache>
            </c:numRef>
          </c:val>
          <c:extLst xmlns:c16r2="http://schemas.microsoft.com/office/drawing/2015/06/chart">
            <c:ext xmlns:c16="http://schemas.microsoft.com/office/drawing/2014/chart" uri="{C3380CC4-5D6E-409C-BE32-E72D297353CC}">
              <c16:uniqueId val="{00000001-10B9-4458-AB25-245AFD3A0033}"/>
            </c:ext>
          </c:extLst>
        </c:ser>
        <c:dLbls>
          <c:dLblPos val="outEnd"/>
          <c:showLegendKey val="0"/>
          <c:showVal val="1"/>
          <c:showCatName val="0"/>
          <c:showSerName val="0"/>
          <c:showPercent val="0"/>
          <c:showBubbleSize val="0"/>
        </c:dLbls>
        <c:gapWidth val="219"/>
        <c:overlap val="-27"/>
        <c:axId val="199955584"/>
        <c:axId val="199957120"/>
      </c:barChart>
      <c:catAx>
        <c:axId val="199955584"/>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199957120"/>
        <c:crosses val="autoZero"/>
        <c:auto val="1"/>
        <c:lblAlgn val="ctr"/>
        <c:lblOffset val="100"/>
        <c:noMultiLvlLbl val="0"/>
      </c:catAx>
      <c:valAx>
        <c:axId val="19995712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t>Participant Satisfaction</a:t>
                </a:r>
              </a:p>
            </c:rich>
          </c:tx>
          <c:layout>
            <c:manualLayout>
              <c:xMode val="edge"/>
              <c:yMode val="edge"/>
              <c:x val="5.5555555555555558E-3"/>
              <c:y val="0.18338327500729076"/>
            </c:manualLayout>
          </c:layout>
          <c:overlay val="0"/>
          <c:spPr>
            <a:noFill/>
            <a:ln>
              <a:noFill/>
            </a:ln>
            <a:effectLst/>
          </c:spPr>
        </c:title>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1999555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rgbClr val="448A99"/>
            </a:solidFill>
            <a:ln>
              <a:noFill/>
            </a:ln>
            <a:effectLst/>
          </c:spPr>
          <c:invertIfNegative val="0"/>
          <c:dLbls>
            <c:dLbl>
              <c:idx val="0"/>
              <c:layout>
                <c:manualLayout>
                  <c:x val="-2.5462668816039986E-17"/>
                  <c:y val="1.388888888888888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3D0-4353-8FA0-CF32F90C8C5F}"/>
                </c:ext>
                <c:ext xmlns:c15="http://schemas.microsoft.com/office/drawing/2012/chart" uri="{CE6537A1-D6FC-4f65-9D91-7224C49458BB}">
                  <c15:layout/>
                </c:ext>
              </c:extLst>
            </c:dLbl>
            <c:dLbl>
              <c:idx val="4"/>
              <c:layout>
                <c:manualLayout>
                  <c:x val="0"/>
                  <c:y val="1.388888888888888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3D0-4353-8FA0-CF32F90C8C5F}"/>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To save energy</c:v>
                </c:pt>
                <c:pt idx="1">
                  <c:v>To save money</c:v>
                </c:pt>
                <c:pt idx="2">
                  <c:v>It was free</c:v>
                </c:pt>
                <c:pt idx="3">
                  <c:v>Other</c:v>
                </c:pt>
                <c:pt idx="4">
                  <c:v>Environmental concerns</c:v>
                </c:pt>
                <c:pt idx="5">
                  <c:v>For the energy audit</c:v>
                </c:pt>
              </c:strCache>
            </c:strRef>
          </c:cat>
          <c:val>
            <c:numRef>
              <c:f>Sheet1!$B$2:$B$7</c:f>
              <c:numCache>
                <c:formatCode>0%</c:formatCode>
                <c:ptCount val="6"/>
                <c:pt idx="0">
                  <c:v>0.42</c:v>
                </c:pt>
                <c:pt idx="1">
                  <c:v>0.28999999999999998</c:v>
                </c:pt>
                <c:pt idx="2">
                  <c:v>0.11</c:v>
                </c:pt>
                <c:pt idx="3">
                  <c:v>0.11</c:v>
                </c:pt>
                <c:pt idx="4">
                  <c:v>0.05</c:v>
                </c:pt>
                <c:pt idx="5">
                  <c:v>0.03</c:v>
                </c:pt>
              </c:numCache>
            </c:numRef>
          </c:val>
          <c:extLst xmlns:c16r2="http://schemas.microsoft.com/office/drawing/2015/06/chart">
            <c:ext xmlns:c16="http://schemas.microsoft.com/office/drawing/2014/chart" uri="{C3380CC4-5D6E-409C-BE32-E72D297353CC}">
              <c16:uniqueId val="{00000000-3697-4085-9104-15A1859EF4A3}"/>
            </c:ext>
          </c:extLst>
        </c:ser>
        <c:dLbls>
          <c:dLblPos val="outEnd"/>
          <c:showLegendKey val="0"/>
          <c:showVal val="1"/>
          <c:showCatName val="0"/>
          <c:showSerName val="0"/>
          <c:showPercent val="0"/>
          <c:showBubbleSize val="0"/>
        </c:dLbls>
        <c:gapWidth val="219"/>
        <c:overlap val="-27"/>
        <c:axId val="199986176"/>
        <c:axId val="200009600"/>
      </c:barChart>
      <c:catAx>
        <c:axId val="199986176"/>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200009600"/>
        <c:crosses val="autoZero"/>
        <c:auto val="1"/>
        <c:lblAlgn val="ctr"/>
        <c:lblOffset val="100"/>
        <c:noMultiLvlLbl val="0"/>
      </c:catAx>
      <c:valAx>
        <c:axId val="20000960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t>% of Survey Respondents</a:t>
                </a:r>
              </a:p>
            </c:rich>
          </c:tx>
          <c:layout>
            <c:manualLayout>
              <c:xMode val="edge"/>
              <c:yMode val="edge"/>
              <c:x val="8.3333333333333332E-3"/>
              <c:y val="8.3064668999708366E-2"/>
            </c:manualLayout>
          </c:layout>
          <c:overlay val="0"/>
          <c:spPr>
            <a:noFill/>
            <a:ln>
              <a:noFill/>
            </a:ln>
            <a:effectLst/>
          </c:spPr>
        </c:title>
        <c:numFmt formatCode="0%"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1999861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259492563429572"/>
          <c:y val="5.0925925925925923E-2"/>
          <c:w val="0.65267572936361673"/>
          <c:h val="0.81690345771995887"/>
        </c:manualLayout>
      </c:layout>
      <c:barChart>
        <c:barDir val="col"/>
        <c:grouping val="stacked"/>
        <c:varyColors val="0"/>
        <c:ser>
          <c:idx val="0"/>
          <c:order val="0"/>
          <c:tx>
            <c:strRef>
              <c:f>'Table 1-1'!$G$14</c:f>
              <c:strCache>
                <c:ptCount val="1"/>
                <c:pt idx="0">
                  <c:v>Savings</c:v>
                </c:pt>
              </c:strCache>
            </c:strRef>
          </c:tx>
          <c:spPr>
            <a:solidFill>
              <a:srgbClr val="448A99"/>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'Table 1-1'!$F$15:$F$16</c:f>
              <c:strCache>
                <c:ptCount val="2"/>
                <c:pt idx="0">
                  <c:v>Phase II + CO (MWh)</c:v>
                </c:pt>
                <c:pt idx="1">
                  <c:v> May 31, 2016 Compliance Target (MWh)</c:v>
                </c:pt>
              </c:strCache>
            </c:strRef>
          </c:cat>
          <c:val>
            <c:numRef>
              <c:f>'Table 1-1'!$G$15:$G$16</c:f>
              <c:numCache>
                <c:formatCode>_(* #,##0_);_(* \(#,##0\);_(* "-"??_);_(@_)</c:formatCode>
                <c:ptCount val="2"/>
                <c:pt idx="0" formatCode="#,##0">
                  <c:v>227985</c:v>
                </c:pt>
                <c:pt idx="1">
                  <c:v>112585.1</c:v>
                </c:pt>
              </c:numCache>
            </c:numRef>
          </c:val>
        </c:ser>
        <c:ser>
          <c:idx val="1"/>
          <c:order val="1"/>
          <c:tx>
            <c:strRef>
              <c:f>'Table 1-1'!$H$14</c:f>
              <c:strCache>
                <c:ptCount val="1"/>
                <c:pt idx="0">
                  <c:v>Carry-over Savings from Phase I</c:v>
                </c:pt>
              </c:strCache>
            </c:strRef>
          </c:tx>
          <c:spPr>
            <a:solidFill>
              <a:srgbClr val="ED9E3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'Table 1-1'!$F$15:$F$16</c:f>
              <c:strCache>
                <c:ptCount val="2"/>
                <c:pt idx="0">
                  <c:v>Phase II + CO (MWh)</c:v>
                </c:pt>
                <c:pt idx="1">
                  <c:v> May 31, 2016 Compliance Target (MWh)</c:v>
                </c:pt>
              </c:strCache>
            </c:strRef>
          </c:cat>
          <c:val>
            <c:numRef>
              <c:f>'Table 1-1'!$H$15:$H$16</c:f>
              <c:numCache>
                <c:formatCode>General</c:formatCode>
                <c:ptCount val="2"/>
                <c:pt idx="0" formatCode="#,##0">
                  <c:v>77961</c:v>
                </c:pt>
              </c:numCache>
            </c:numRef>
          </c:val>
        </c:ser>
        <c:dLbls>
          <c:showLegendKey val="0"/>
          <c:showVal val="0"/>
          <c:showCatName val="0"/>
          <c:showSerName val="0"/>
          <c:showPercent val="0"/>
          <c:showBubbleSize val="0"/>
        </c:dLbls>
        <c:gapWidth val="150"/>
        <c:overlap val="100"/>
        <c:axId val="109827200"/>
        <c:axId val="109828736"/>
      </c:barChart>
      <c:catAx>
        <c:axId val="109827200"/>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9828736"/>
        <c:crosses val="autoZero"/>
        <c:auto val="1"/>
        <c:lblAlgn val="ctr"/>
        <c:lblOffset val="100"/>
        <c:noMultiLvlLbl val="0"/>
      </c:catAx>
      <c:valAx>
        <c:axId val="10982873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a:t>MWh</a:t>
                </a:r>
              </a:p>
            </c:rich>
          </c:tx>
          <c:layout>
            <c:manualLayout>
              <c:xMode val="edge"/>
              <c:yMode val="edge"/>
              <c:x val="1.9444444444444445E-2"/>
              <c:y val="0.35338327500729078"/>
            </c:manualLayout>
          </c:layout>
          <c:overlay val="0"/>
          <c:spPr>
            <a:noFill/>
            <a:ln>
              <a:noFill/>
            </a:ln>
            <a:effectLst/>
          </c:spPr>
        </c:title>
        <c:numFmt formatCode="#,##0"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9827200"/>
        <c:crosses val="autoZero"/>
        <c:crossBetween val="between"/>
      </c:valAx>
      <c:spPr>
        <a:noFill/>
        <a:ln>
          <a:noFill/>
        </a:ln>
        <a:effectLst/>
      </c:spPr>
    </c:plotArea>
    <c:legend>
      <c:legendPos val="r"/>
      <c:layout>
        <c:manualLayout>
          <c:xMode val="edge"/>
          <c:yMode val="edge"/>
          <c:x val="0.82129733783277081"/>
          <c:y val="0.27893409157188687"/>
          <c:w val="0.16481383975939179"/>
          <c:h val="0.36805774278215225"/>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b="1">
          <a:solidFill>
            <a:sysClr val="windowText" lastClr="000000"/>
          </a:solidFill>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456957052342982"/>
          <c:y val="6.6889227958624425E-2"/>
          <c:w val="0.62702303800496784"/>
          <c:h val="0.81487711376330962"/>
        </c:manualLayout>
      </c:layout>
      <c:barChart>
        <c:barDir val="bar"/>
        <c:grouping val="clustered"/>
        <c:varyColors val="0"/>
        <c:ser>
          <c:idx val="0"/>
          <c:order val="0"/>
          <c:tx>
            <c:strRef>
              <c:f>'Table 1-9'!$C$23</c:f>
              <c:strCache>
                <c:ptCount val="1"/>
                <c:pt idx="0">
                  <c:v>Reported Gross Savings (MWh/yr) </c:v>
                </c:pt>
              </c:strCache>
            </c:strRef>
          </c:tx>
          <c:spPr>
            <a:solidFill>
              <a:srgbClr val="ED9E3E"/>
            </a:solidFill>
            <a:ln>
              <a:noFill/>
            </a:ln>
            <a:effectLst/>
          </c:spPr>
          <c:invertIfNegative val="0"/>
          <c:dLbls>
            <c:dLbl>
              <c:idx val="3"/>
              <c:layout>
                <c:manualLayout>
                  <c:x val="-1.4072632160851114E-16"/>
                  <c:y val="6.387055567383436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delete val="1"/>
              <c:extLst>
                <c:ext xmlns:c15="http://schemas.microsoft.com/office/drawing/2012/chart" uri="{CE6537A1-D6FC-4f65-9D91-7224C49458BB}"/>
              </c:extLst>
            </c:dLbl>
            <c:dLbl>
              <c:idx val="1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'Table 1-9'!$B$24:$B$38</c:f>
              <c:strCache>
                <c:ptCount val="15"/>
                <c:pt idx="0">
                  <c:v>Smart Appliance Recycling</c:v>
                </c:pt>
                <c:pt idx="1">
                  <c:v>Smart Builder Rebates</c:v>
                </c:pt>
                <c:pt idx="2">
                  <c:v>Smart Energy Saver</c:v>
                </c:pt>
                <c:pt idx="3">
                  <c:v>Smart Home Rebates</c:v>
                </c:pt>
                <c:pt idx="4">
                  <c:v>Smart House Call</c:v>
                </c:pt>
                <c:pt idx="5">
                  <c:v>Smart Multi-Family Solutions</c:v>
                </c:pt>
                <c:pt idx="6">
                  <c:v>Smart Usage Profile</c:v>
                </c:pt>
                <c:pt idx="7">
                  <c:v>Low-Income Energy Efficiency</c:v>
                </c:pt>
                <c:pt idx="8">
                  <c:v>Residential Smart AC Saver</c:v>
                </c:pt>
                <c:pt idx="9">
                  <c:v>Smart Business Solutions</c:v>
                </c:pt>
                <c:pt idx="10">
                  <c:v>Smart Construction Incentives</c:v>
                </c:pt>
                <c:pt idx="11">
                  <c:v>Smart Equipment Incentives - C&amp;I</c:v>
                </c:pt>
                <c:pt idx="12">
                  <c:v>Smart Equipment Incentives - GNI</c:v>
                </c:pt>
                <c:pt idx="13">
                  <c:v>Smart On-Site</c:v>
                </c:pt>
                <c:pt idx="14">
                  <c:v>Commercial Smart AC Saver</c:v>
                </c:pt>
              </c:strCache>
            </c:strRef>
          </c:cat>
          <c:val>
            <c:numRef>
              <c:f>'Table 1-9'!$C$24:$C$38</c:f>
              <c:numCache>
                <c:formatCode>#,##0</c:formatCode>
                <c:ptCount val="15"/>
                <c:pt idx="0">
                  <c:v>9321.7379999999994</c:v>
                </c:pt>
                <c:pt idx="1">
                  <c:v>364.98</c:v>
                </c:pt>
                <c:pt idx="2">
                  <c:v>2785.636</c:v>
                </c:pt>
                <c:pt idx="3">
                  <c:v>142472.31599999996</c:v>
                </c:pt>
                <c:pt idx="4">
                  <c:v>6741.6610000000001</c:v>
                </c:pt>
                <c:pt idx="5">
                  <c:v>5573.3560000000007</c:v>
                </c:pt>
                <c:pt idx="6">
                  <c:v>36690</c:v>
                </c:pt>
                <c:pt idx="7">
                  <c:v>19801.000000000004</c:v>
                </c:pt>
                <c:pt idx="8">
                  <c:v>0</c:v>
                </c:pt>
                <c:pt idx="9">
                  <c:v>5113.95</c:v>
                </c:pt>
                <c:pt idx="10">
                  <c:v>26545.4</c:v>
                </c:pt>
                <c:pt idx="11">
                  <c:v>119944.25</c:v>
                </c:pt>
                <c:pt idx="12">
                  <c:v>97767.608999999997</c:v>
                </c:pt>
                <c:pt idx="13">
                  <c:v>34043.264999999999</c:v>
                </c:pt>
                <c:pt idx="14">
                  <c:v>0</c:v>
                </c:pt>
              </c:numCache>
            </c:numRef>
          </c:val>
        </c:ser>
        <c:ser>
          <c:idx val="1"/>
          <c:order val="1"/>
          <c:tx>
            <c:strRef>
              <c:f>'Table 1-9'!$D$23</c:f>
              <c:strCache>
                <c:ptCount val="1"/>
                <c:pt idx="0">
                  <c:v>Verified Gross Savings (MWh/yr) </c:v>
                </c:pt>
              </c:strCache>
            </c:strRef>
          </c:tx>
          <c:spPr>
            <a:solidFill>
              <a:srgbClr val="448A99"/>
            </a:solidFill>
            <a:ln>
              <a:noFill/>
            </a:ln>
            <a:effectLst/>
          </c:spPr>
          <c:invertIfNegative val="0"/>
          <c:dLbls>
            <c:dLbl>
              <c:idx val="0"/>
              <c:layout>
                <c:manualLayout>
                  <c:x val="-7.0363160804255572E-17"/>
                  <c:y val="-6.387055567383436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2.129018522461125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9190174630589138E-3"/>
                  <c:y val="-4.258037044922290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6.387055567383397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7.0363160804255572E-17"/>
                  <c:y val="-4.258037044922290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6.387055567383436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7.0363160804255572E-17"/>
                  <c:y val="-6.387055567383436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delete val="1"/>
              <c:extLst>
                <c:ext xmlns:c15="http://schemas.microsoft.com/office/drawing/2012/chart" uri="{CE6537A1-D6FC-4f65-9D91-7224C49458BB}"/>
              </c:extLst>
            </c:dLbl>
            <c:dLbl>
              <c:idx val="9"/>
              <c:layout>
                <c:manualLayout>
                  <c:x val="0"/>
                  <c:y val="-6.387055567383514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7.0363160804255572E-17"/>
                  <c:y val="-6.387055567383436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
                  <c:y val="-6.387055567383436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0"/>
                  <c:y val="-6.387055567383436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0"/>
                  <c:y val="-6.387055567383436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'Table 1-9'!$B$24:$B$38</c:f>
              <c:strCache>
                <c:ptCount val="15"/>
                <c:pt idx="0">
                  <c:v>Smart Appliance Recycling</c:v>
                </c:pt>
                <c:pt idx="1">
                  <c:v>Smart Builder Rebates</c:v>
                </c:pt>
                <c:pt idx="2">
                  <c:v>Smart Energy Saver</c:v>
                </c:pt>
                <c:pt idx="3">
                  <c:v>Smart Home Rebates</c:v>
                </c:pt>
                <c:pt idx="4">
                  <c:v>Smart House Call</c:v>
                </c:pt>
                <c:pt idx="5">
                  <c:v>Smart Multi-Family Solutions</c:v>
                </c:pt>
                <c:pt idx="6">
                  <c:v>Smart Usage Profile</c:v>
                </c:pt>
                <c:pt idx="7">
                  <c:v>Low-Income Energy Efficiency</c:v>
                </c:pt>
                <c:pt idx="8">
                  <c:v>Residential Smart AC Saver</c:v>
                </c:pt>
                <c:pt idx="9">
                  <c:v>Smart Business Solutions</c:v>
                </c:pt>
                <c:pt idx="10">
                  <c:v>Smart Construction Incentives</c:v>
                </c:pt>
                <c:pt idx="11">
                  <c:v>Smart Equipment Incentives - C&amp;I</c:v>
                </c:pt>
                <c:pt idx="12">
                  <c:v>Smart Equipment Incentives - GNI</c:v>
                </c:pt>
                <c:pt idx="13">
                  <c:v>Smart On-Site</c:v>
                </c:pt>
                <c:pt idx="14">
                  <c:v>Commercial Smart AC Saver</c:v>
                </c:pt>
              </c:strCache>
            </c:strRef>
          </c:cat>
          <c:val>
            <c:numRef>
              <c:f>'Table 1-9'!$D$24:$D$38</c:f>
              <c:numCache>
                <c:formatCode>#,##0</c:formatCode>
                <c:ptCount val="15"/>
                <c:pt idx="0">
                  <c:v>8843.07793541918</c:v>
                </c:pt>
                <c:pt idx="1">
                  <c:v>363.12583218052356</c:v>
                </c:pt>
                <c:pt idx="2">
                  <c:v>2413.233262311308</c:v>
                </c:pt>
                <c:pt idx="3">
                  <c:v>173381.81988933307</c:v>
                </c:pt>
                <c:pt idx="4">
                  <c:v>6639.8197928867403</c:v>
                </c:pt>
                <c:pt idx="5">
                  <c:v>5038.4018487392732</c:v>
                </c:pt>
                <c:pt idx="6">
                  <c:v>39041.415705147912</c:v>
                </c:pt>
                <c:pt idx="7">
                  <c:v>18303.805577924224</c:v>
                </c:pt>
                <c:pt idx="8">
                  <c:v>0</c:v>
                </c:pt>
                <c:pt idx="9">
                  <c:v>4971.4903079711885</c:v>
                </c:pt>
                <c:pt idx="10">
                  <c:v>22994.767027815833</c:v>
                </c:pt>
                <c:pt idx="11">
                  <c:v>119578.79766815482</c:v>
                </c:pt>
                <c:pt idx="12">
                  <c:v>97110.1896582919</c:v>
                </c:pt>
                <c:pt idx="13">
                  <c:v>29621.146969075297</c:v>
                </c:pt>
                <c:pt idx="14">
                  <c:v>0</c:v>
                </c:pt>
              </c:numCache>
            </c:numRef>
          </c:val>
        </c:ser>
        <c:dLbls>
          <c:showLegendKey val="0"/>
          <c:showVal val="0"/>
          <c:showCatName val="0"/>
          <c:showSerName val="0"/>
          <c:showPercent val="0"/>
          <c:showBubbleSize val="0"/>
        </c:dLbls>
        <c:gapWidth val="182"/>
        <c:axId val="35914112"/>
        <c:axId val="35915648"/>
      </c:barChart>
      <c:catAx>
        <c:axId val="35914112"/>
        <c:scaling>
          <c:orientation val="maxMin"/>
        </c:scaling>
        <c:delete val="0"/>
        <c:axPos val="l"/>
        <c:numFmt formatCode="General" sourceLinked="1"/>
        <c:majorTickMark val="out"/>
        <c:minorTickMark val="none"/>
        <c:tickLblPos val="nextTo"/>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5915648"/>
        <c:crosses val="autoZero"/>
        <c:auto val="1"/>
        <c:lblAlgn val="ctr"/>
        <c:lblOffset val="100"/>
        <c:noMultiLvlLbl val="0"/>
      </c:catAx>
      <c:valAx>
        <c:axId val="35915648"/>
        <c:scaling>
          <c:orientation val="minMax"/>
          <c:max val="180000"/>
          <c:min val="0"/>
        </c:scaling>
        <c:delete val="0"/>
        <c:axPos val="t"/>
        <c:majorGridlines>
          <c:spPr>
            <a:ln w="9525" cap="flat" cmpd="sng" algn="ctr">
              <a:noFill/>
              <a:round/>
            </a:ln>
            <a:effectLst/>
          </c:spPr>
        </c:majorGridlines>
        <c:numFmt formatCode="#,##0" sourceLinked="1"/>
        <c:majorTickMark val="out"/>
        <c:minorTickMark val="none"/>
        <c:tickLblPos val="nextTo"/>
        <c:spPr>
          <a:noFill/>
          <a:ln>
            <a:solidFill>
              <a:sysClr val="window" lastClr="FFFFFF">
                <a:lumMod val="50000"/>
              </a:sysClr>
            </a:solidFill>
          </a:ln>
          <a:effectLst/>
        </c:spPr>
        <c:txPr>
          <a:bodyPr rot="0" spcFirstLastPara="1" vertOverflow="ellipsis" wrap="square" anchor="ctr" anchorCtr="1"/>
          <a:lstStyle/>
          <a:p>
            <a:pPr>
              <a:defRPr sz="900" b="1" i="0" u="none" strike="noStrike" kern="1200" baseline="0">
                <a:solidFill>
                  <a:sysClr val="windowText" lastClr="000000"/>
                </a:solidFill>
                <a:latin typeface="+mn-lt"/>
                <a:ea typeface="+mn-ea"/>
                <a:cs typeface="+mn-cs"/>
              </a:defRPr>
            </a:pPr>
            <a:endParaRPr lang="en-US"/>
          </a:p>
        </c:txPr>
        <c:crossAx val="35914112"/>
        <c:crosses val="autoZero"/>
        <c:crossBetween val="between"/>
        <c:minorUnit val="1000"/>
      </c:valAx>
      <c:spPr>
        <a:noFill/>
        <a:ln>
          <a:noFill/>
        </a:ln>
        <a:effectLst/>
      </c:spPr>
    </c:plotArea>
    <c:legend>
      <c:legendPos val="b"/>
      <c:layout>
        <c:manualLayout>
          <c:xMode val="edge"/>
          <c:yMode val="edge"/>
          <c:x val="0.32990237187536359"/>
          <c:y val="0.91367332809181268"/>
          <c:w val="0.55822511994917834"/>
          <c:h val="4.374625563249830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'Table 1-9'!$C$43</c:f>
              <c:strCache>
                <c:ptCount val="1"/>
                <c:pt idx="0">
                  <c:v>Reported Gross Savings (MWh/yr) </c:v>
                </c:pt>
              </c:strCache>
            </c:strRef>
          </c:tx>
          <c:spPr>
            <a:solidFill>
              <a:srgbClr val="ED9E3E"/>
            </a:solidFill>
            <a:ln>
              <a:noFill/>
            </a:ln>
            <a:effectLst/>
          </c:spPr>
          <c:invertIfNegative val="0"/>
          <c:dLbls>
            <c:dLbl>
              <c:idx val="3"/>
              <c:layout>
                <c:manualLayout>
                  <c:x val="0"/>
                  <c:y val="7.765482430596000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delete val="1"/>
              <c:extLst>
                <c:ext xmlns:c15="http://schemas.microsoft.com/office/drawing/2012/chart" uri="{CE6537A1-D6FC-4f65-9D91-7224C49458BB}"/>
              </c:extLst>
            </c:dLbl>
            <c:dLbl>
              <c:idx val="1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'Table 1-9'!$B$44:$B$58</c:f>
              <c:strCache>
                <c:ptCount val="15"/>
                <c:pt idx="0">
                  <c:v>Smart Appliance Recycling</c:v>
                </c:pt>
                <c:pt idx="1">
                  <c:v>Smart Builder Rebates</c:v>
                </c:pt>
                <c:pt idx="2">
                  <c:v>Smart Energy Saver</c:v>
                </c:pt>
                <c:pt idx="3">
                  <c:v>Smart Home Rebates</c:v>
                </c:pt>
                <c:pt idx="4">
                  <c:v>Smart House Call</c:v>
                </c:pt>
                <c:pt idx="5">
                  <c:v>Smart Multi-Family Solutions</c:v>
                </c:pt>
                <c:pt idx="6">
                  <c:v>Smart Usage Profile</c:v>
                </c:pt>
                <c:pt idx="7">
                  <c:v>Low-Income Energy Efficiency</c:v>
                </c:pt>
                <c:pt idx="8">
                  <c:v>Residential Smart AC Saver</c:v>
                </c:pt>
                <c:pt idx="9">
                  <c:v>Smart Business Solutions</c:v>
                </c:pt>
                <c:pt idx="10">
                  <c:v>Smart Construction Incentives</c:v>
                </c:pt>
                <c:pt idx="11">
                  <c:v>Smart Equipment Incentives - C&amp;I</c:v>
                </c:pt>
                <c:pt idx="12">
                  <c:v>Smart Equipment Incentives - GNI</c:v>
                </c:pt>
                <c:pt idx="13">
                  <c:v>Smart On-Site</c:v>
                </c:pt>
                <c:pt idx="14">
                  <c:v>Commercial Smart AC Saver</c:v>
                </c:pt>
              </c:strCache>
            </c:strRef>
          </c:cat>
          <c:val>
            <c:numRef>
              <c:f>'Table 1-9'!$C$44:$C$58</c:f>
              <c:numCache>
                <c:formatCode>#,##0</c:formatCode>
                <c:ptCount val="15"/>
                <c:pt idx="0">
                  <c:v>25833.808000000001</c:v>
                </c:pt>
                <c:pt idx="1">
                  <c:v>589.56799999999998</c:v>
                </c:pt>
                <c:pt idx="2">
                  <c:v>9017.4989999999998</c:v>
                </c:pt>
                <c:pt idx="3">
                  <c:v>314501.56099999999</c:v>
                </c:pt>
                <c:pt idx="4">
                  <c:v>10566.186</c:v>
                </c:pt>
                <c:pt idx="5">
                  <c:v>17737.029000000002</c:v>
                </c:pt>
                <c:pt idx="6">
                  <c:v>36690</c:v>
                </c:pt>
                <c:pt idx="7">
                  <c:v>52899.18</c:v>
                </c:pt>
                <c:pt idx="8">
                  <c:v>0</c:v>
                </c:pt>
                <c:pt idx="9">
                  <c:v>31843.673999999999</c:v>
                </c:pt>
                <c:pt idx="10">
                  <c:v>45253.633999999998</c:v>
                </c:pt>
                <c:pt idx="11">
                  <c:v>229216.91100000002</c:v>
                </c:pt>
                <c:pt idx="12">
                  <c:v>133586.05799999999</c:v>
                </c:pt>
                <c:pt idx="13">
                  <c:v>93988.146999999997</c:v>
                </c:pt>
                <c:pt idx="14">
                  <c:v>0</c:v>
                </c:pt>
              </c:numCache>
            </c:numRef>
          </c:val>
        </c:ser>
        <c:ser>
          <c:idx val="1"/>
          <c:order val="1"/>
          <c:tx>
            <c:strRef>
              <c:f>'Table 1-9'!$D$43</c:f>
              <c:strCache>
                <c:ptCount val="1"/>
                <c:pt idx="0">
                  <c:v>Verified Gross Savings (MWh/yr) </c:v>
                </c:pt>
              </c:strCache>
            </c:strRef>
          </c:tx>
          <c:spPr>
            <a:solidFill>
              <a:srgbClr val="448A99"/>
            </a:solidFill>
            <a:ln>
              <a:noFill/>
            </a:ln>
            <a:effectLst/>
          </c:spPr>
          <c:invertIfNegative val="0"/>
          <c:dLbls>
            <c:dLbl>
              <c:idx val="0"/>
              <c:layout>
                <c:manualLayout>
                  <c:x val="-3.6563864275127224E-17"/>
                  <c:y val="-5.824111822947009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6563864275127224E-17"/>
                  <c:y val="-5.824111822947000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6563864275127224E-17"/>
                  <c:y val="-5.824111822946964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5.824111822947000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3.882741215297929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
                  <c:y val="-5.824111822947000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delete val="1"/>
              <c:extLst>
                <c:ext xmlns:c15="http://schemas.microsoft.com/office/drawing/2012/chart" uri="{CE6537A1-D6FC-4f65-9D91-7224C49458BB}"/>
              </c:extLst>
            </c:dLbl>
            <c:dLbl>
              <c:idx val="9"/>
              <c:layout>
                <c:manualLayout>
                  <c:x val="0"/>
                  <c:y val="-3.882741215297929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
                  <c:y val="-3.882741215298000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
                  <c:y val="-5.824111822947000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0"/>
                  <c:y val="-3.882741215298000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0"/>
                  <c:y val="-3.882741215298000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'Table 1-9'!$B$44:$B$58</c:f>
              <c:strCache>
                <c:ptCount val="15"/>
                <c:pt idx="0">
                  <c:v>Smart Appliance Recycling</c:v>
                </c:pt>
                <c:pt idx="1">
                  <c:v>Smart Builder Rebates</c:v>
                </c:pt>
                <c:pt idx="2">
                  <c:v>Smart Energy Saver</c:v>
                </c:pt>
                <c:pt idx="3">
                  <c:v>Smart Home Rebates</c:v>
                </c:pt>
                <c:pt idx="4">
                  <c:v>Smart House Call</c:v>
                </c:pt>
                <c:pt idx="5">
                  <c:v>Smart Multi-Family Solutions</c:v>
                </c:pt>
                <c:pt idx="6">
                  <c:v>Smart Usage Profile</c:v>
                </c:pt>
                <c:pt idx="7">
                  <c:v>Low-Income Energy Efficiency</c:v>
                </c:pt>
                <c:pt idx="8">
                  <c:v>Residential Smart AC Saver</c:v>
                </c:pt>
                <c:pt idx="9">
                  <c:v>Smart Business Solutions</c:v>
                </c:pt>
                <c:pt idx="10">
                  <c:v>Smart Construction Incentives</c:v>
                </c:pt>
                <c:pt idx="11">
                  <c:v>Smart Equipment Incentives - C&amp;I</c:v>
                </c:pt>
                <c:pt idx="12">
                  <c:v>Smart Equipment Incentives - GNI</c:v>
                </c:pt>
                <c:pt idx="13">
                  <c:v>Smart On-Site</c:v>
                </c:pt>
                <c:pt idx="14">
                  <c:v>Commercial Smart AC Saver</c:v>
                </c:pt>
              </c:strCache>
            </c:strRef>
          </c:cat>
          <c:val>
            <c:numRef>
              <c:f>'Table 1-9'!$D$44:$D$58</c:f>
              <c:numCache>
                <c:formatCode>#,##0</c:formatCode>
                <c:ptCount val="15"/>
                <c:pt idx="0">
                  <c:v>24211.630897153791</c:v>
                </c:pt>
                <c:pt idx="1">
                  <c:v>592.23004159667312</c:v>
                </c:pt>
                <c:pt idx="2">
                  <c:v>7219.428291008513</c:v>
                </c:pt>
                <c:pt idx="3">
                  <c:v>403631.05310384306</c:v>
                </c:pt>
                <c:pt idx="4">
                  <c:v>10566.263166691942</c:v>
                </c:pt>
                <c:pt idx="5">
                  <c:v>16835.19071375615</c:v>
                </c:pt>
                <c:pt idx="6">
                  <c:v>39041.415705147912</c:v>
                </c:pt>
                <c:pt idx="7">
                  <c:v>54606.553722755198</c:v>
                </c:pt>
                <c:pt idx="8">
                  <c:v>0</c:v>
                </c:pt>
                <c:pt idx="9">
                  <c:v>29004.142228135588</c:v>
                </c:pt>
                <c:pt idx="10">
                  <c:v>43347.823027610924</c:v>
                </c:pt>
                <c:pt idx="11">
                  <c:v>238517.67009006918</c:v>
                </c:pt>
                <c:pt idx="12">
                  <c:v>132883.07983458031</c:v>
                </c:pt>
                <c:pt idx="13">
                  <c:v>90048.576969075293</c:v>
                </c:pt>
                <c:pt idx="14">
                  <c:v>0</c:v>
                </c:pt>
              </c:numCache>
            </c:numRef>
          </c:val>
        </c:ser>
        <c:dLbls>
          <c:showLegendKey val="0"/>
          <c:showVal val="0"/>
          <c:showCatName val="0"/>
          <c:showSerName val="0"/>
          <c:showPercent val="0"/>
          <c:showBubbleSize val="0"/>
        </c:dLbls>
        <c:gapWidth val="182"/>
        <c:axId val="116198784"/>
        <c:axId val="116200576"/>
      </c:barChart>
      <c:catAx>
        <c:axId val="116198784"/>
        <c:scaling>
          <c:orientation val="maxMin"/>
        </c:scaling>
        <c:delete val="0"/>
        <c:axPos val="l"/>
        <c:numFmt formatCode="General" sourceLinked="1"/>
        <c:majorTickMark val="out"/>
        <c:minorTickMark val="none"/>
        <c:tickLblPos val="nextTo"/>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16200576"/>
        <c:crosses val="autoZero"/>
        <c:auto val="1"/>
        <c:lblAlgn val="ctr"/>
        <c:lblOffset val="100"/>
        <c:noMultiLvlLbl val="0"/>
      </c:catAx>
      <c:valAx>
        <c:axId val="116200576"/>
        <c:scaling>
          <c:orientation val="minMax"/>
          <c:max val="420000"/>
          <c:min val="0"/>
        </c:scaling>
        <c:delete val="0"/>
        <c:axPos val="t"/>
        <c:majorGridlines>
          <c:spPr>
            <a:ln w="9525" cap="flat" cmpd="sng" algn="ctr">
              <a:noFill/>
              <a:round/>
            </a:ln>
            <a:effectLst/>
          </c:spPr>
        </c:majorGridlines>
        <c:numFmt formatCode="#,##0" sourceLinked="1"/>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16198784"/>
        <c:crosses val="autoZero"/>
        <c:crossBetween val="between"/>
        <c:majorUnit val="50000"/>
      </c:valAx>
      <c:spPr>
        <a:noFill/>
        <a:ln>
          <a:noFill/>
        </a:ln>
        <a:effectLst/>
      </c:spPr>
    </c:plotArea>
    <c:legend>
      <c:legendPos val="b"/>
      <c:layout>
        <c:manualLayout>
          <c:xMode val="edge"/>
          <c:yMode val="edge"/>
          <c:x val="0.34735622147750078"/>
          <c:y val="0.95559091805428809"/>
          <c:w val="0.64034938392972118"/>
          <c:h val="3.276085829981793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189073388413718"/>
          <c:y val="5.4078625078001083E-2"/>
          <c:w val="0.71012451145678845"/>
          <c:h val="0.87454570887471139"/>
        </c:manualLayout>
      </c:layout>
      <c:barChart>
        <c:barDir val="bar"/>
        <c:grouping val="clustered"/>
        <c:varyColors val="0"/>
        <c:ser>
          <c:idx val="0"/>
          <c:order val="0"/>
          <c:tx>
            <c:strRef>
              <c:f>'Table 1-12'!$C$43</c:f>
              <c:strCache>
                <c:ptCount val="1"/>
                <c:pt idx="0">
                  <c:v>PYTD Verified Gross Demand Savings (MW)</c:v>
                </c:pt>
              </c:strCache>
            </c:strRef>
          </c:tx>
          <c:spPr>
            <a:solidFill>
              <a:srgbClr val="448A99"/>
            </a:solidFill>
            <a:ln>
              <a:noFill/>
            </a:ln>
            <a:effectLst/>
          </c:spPr>
          <c:invertIfNegative val="0"/>
          <c:dLbls>
            <c:dLbl>
              <c:idx val="0"/>
              <c:layout>
                <c:manualLayout>
                  <c:x val="-3.4222739495144278E-17"/>
                  <c:y val="5.039687539372558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7.55953130905883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4222739495144278E-17"/>
                  <c:y val="2.520042182581530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5.039687539372558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delete val="1"/>
              <c:extLst>
                <c:ext xmlns:c15="http://schemas.microsoft.com/office/drawing/2012/chart" uri="{CE6537A1-D6FC-4f65-9D91-7224C49458BB}"/>
              </c:extLst>
            </c:dLbl>
            <c:dLbl>
              <c:idx val="7"/>
              <c:layout>
                <c:manualLayout>
                  <c:x val="-3.4222739495144278E-17"/>
                  <c:y val="5.039687539372558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3689095798057711E-16"/>
                  <c:y val="7.55953130905883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
                  <c:y val="5.039687539372558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3.4222739495144278E-17"/>
                  <c:y val="7.55953130905883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
                  <c:y val="1.259921884843139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0"/>
                  <c:y val="5.039885952267902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0"/>
                  <c:y val="7.55953130905883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0"/>
                  <c:y val="7.5597297219540897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'Table 1-12'!$B$44:$B$58</c:f>
              <c:strCache>
                <c:ptCount val="15"/>
                <c:pt idx="0">
                  <c:v>Smart Appliance Recycling</c:v>
                </c:pt>
                <c:pt idx="1">
                  <c:v>Smart Builder Rebates</c:v>
                </c:pt>
                <c:pt idx="2">
                  <c:v>Smart Energy Saver</c:v>
                </c:pt>
                <c:pt idx="3">
                  <c:v>Smart Home Rebates</c:v>
                </c:pt>
                <c:pt idx="4">
                  <c:v>Smart House Call</c:v>
                </c:pt>
                <c:pt idx="5">
                  <c:v>Smart Multi-Family Solutions</c:v>
                </c:pt>
                <c:pt idx="6">
                  <c:v>Smart Usage Profile</c:v>
                </c:pt>
                <c:pt idx="7">
                  <c:v>Low-Income Energy Efficiency</c:v>
                </c:pt>
                <c:pt idx="8">
                  <c:v>Residential Smart AC Saver</c:v>
                </c:pt>
                <c:pt idx="9">
                  <c:v>Smart Business Solutions</c:v>
                </c:pt>
                <c:pt idx="10">
                  <c:v>Smart Construction Incentives</c:v>
                </c:pt>
                <c:pt idx="11">
                  <c:v>Smart Equipment Incentives - C&amp;I</c:v>
                </c:pt>
                <c:pt idx="12">
                  <c:v>Smart Equipment Incentives - GNI</c:v>
                </c:pt>
                <c:pt idx="13">
                  <c:v>Smart On-Site</c:v>
                </c:pt>
                <c:pt idx="14">
                  <c:v>Commercial Smart AC Saver</c:v>
                </c:pt>
              </c:strCache>
            </c:strRef>
          </c:cat>
          <c:val>
            <c:numRef>
              <c:f>'Table 1-12'!$C$44:$C$58</c:f>
              <c:numCache>
                <c:formatCode>#,##0.0</c:formatCode>
                <c:ptCount val="15"/>
                <c:pt idx="0">
                  <c:v>1.2177383052082582</c:v>
                </c:pt>
                <c:pt idx="1">
                  <c:v>0.11101798137080167</c:v>
                </c:pt>
                <c:pt idx="2">
                  <c:v>0.29164438779657981</c:v>
                </c:pt>
                <c:pt idx="3">
                  <c:v>27.909680530903067</c:v>
                </c:pt>
                <c:pt idx="4">
                  <c:v>0.94639720700308394</c:v>
                </c:pt>
                <c:pt idx="5">
                  <c:v>1.2068435778628372</c:v>
                </c:pt>
                <c:pt idx="6">
                  <c:v>0</c:v>
                </c:pt>
                <c:pt idx="7">
                  <c:v>2.4015253821948743</c:v>
                </c:pt>
                <c:pt idx="8">
                  <c:v>40.499616384810011</c:v>
                </c:pt>
                <c:pt idx="9">
                  <c:v>1.0753533053758026</c:v>
                </c:pt>
                <c:pt idx="10">
                  <c:v>3.6712763221243936</c:v>
                </c:pt>
                <c:pt idx="11">
                  <c:v>19.63565544139297</c:v>
                </c:pt>
                <c:pt idx="12">
                  <c:v>21.424018409410206</c:v>
                </c:pt>
                <c:pt idx="13">
                  <c:v>3.8994653292584176</c:v>
                </c:pt>
                <c:pt idx="14">
                  <c:v>0.55186676554500025</c:v>
                </c:pt>
              </c:numCache>
            </c:numRef>
          </c:val>
        </c:ser>
        <c:ser>
          <c:idx val="1"/>
          <c:order val="1"/>
          <c:tx>
            <c:strRef>
              <c:f>'Table 1-12'!$D$43</c:f>
              <c:strCache>
                <c:ptCount val="1"/>
                <c:pt idx="0">
                  <c:v>PYTD Reported Gross Demand Savings (MW)</c:v>
                </c:pt>
              </c:strCache>
            </c:strRef>
          </c:tx>
          <c:spPr>
            <a:solidFill>
              <a:srgbClr val="ED9E3E"/>
            </a:solidFill>
            <a:ln>
              <a:noFill/>
            </a:ln>
            <a:effectLst/>
          </c:spPr>
          <c:invertIfNegative val="0"/>
          <c:dLbls>
            <c:dLbl>
              <c:idx val="0"/>
              <c:layout>
                <c:manualLayout>
                  <c:x val="0"/>
                  <c:y val="1.9841289527398645E-7"/>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5.039489126477308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7334328915437061E-3"/>
                  <c:y val="-5.03968753937251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4222739495144278E-17"/>
                  <c:y val="-5.03968753937251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7.55953130905883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delete val="1"/>
              <c:extLst>
                <c:ext xmlns:c15="http://schemas.microsoft.com/office/drawing/2012/chart" uri="{CE6537A1-D6FC-4f65-9D91-7224C49458BB}"/>
              </c:extLst>
            </c:dLbl>
            <c:dLbl>
              <c:idx val="11"/>
              <c:layout>
                <c:manualLayout>
                  <c:x val="0"/>
                  <c:y val="-5.039687539372558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0"/>
                  <c:y val="-7.559531309058838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'Table 1-12'!$B$44:$B$58</c:f>
              <c:strCache>
                <c:ptCount val="15"/>
                <c:pt idx="0">
                  <c:v>Smart Appliance Recycling</c:v>
                </c:pt>
                <c:pt idx="1">
                  <c:v>Smart Builder Rebates</c:v>
                </c:pt>
                <c:pt idx="2">
                  <c:v>Smart Energy Saver</c:v>
                </c:pt>
                <c:pt idx="3">
                  <c:v>Smart Home Rebates</c:v>
                </c:pt>
                <c:pt idx="4">
                  <c:v>Smart House Call</c:v>
                </c:pt>
                <c:pt idx="5">
                  <c:v>Smart Multi-Family Solutions</c:v>
                </c:pt>
                <c:pt idx="6">
                  <c:v>Smart Usage Profile</c:v>
                </c:pt>
                <c:pt idx="7">
                  <c:v>Low-Income Energy Efficiency</c:v>
                </c:pt>
                <c:pt idx="8">
                  <c:v>Residential Smart AC Saver</c:v>
                </c:pt>
                <c:pt idx="9">
                  <c:v>Smart Business Solutions</c:v>
                </c:pt>
                <c:pt idx="10">
                  <c:v>Smart Construction Incentives</c:v>
                </c:pt>
                <c:pt idx="11">
                  <c:v>Smart Equipment Incentives - C&amp;I</c:v>
                </c:pt>
                <c:pt idx="12">
                  <c:v>Smart Equipment Incentives - GNI</c:v>
                </c:pt>
                <c:pt idx="13">
                  <c:v>Smart On-Site</c:v>
                </c:pt>
                <c:pt idx="14">
                  <c:v>Commercial Smart AC Saver</c:v>
                </c:pt>
              </c:strCache>
            </c:strRef>
          </c:cat>
          <c:val>
            <c:numRef>
              <c:f>'Table 1-12'!$D$44:$D$58</c:f>
              <c:numCache>
                <c:formatCode>#,##0.0</c:formatCode>
                <c:ptCount val="15"/>
                <c:pt idx="0">
                  <c:v>1.2843425318800981</c:v>
                </c:pt>
                <c:pt idx="1">
                  <c:v>0.14554488383999992</c:v>
                </c:pt>
                <c:pt idx="2">
                  <c:v>0.32489927280000003</c:v>
                </c:pt>
                <c:pt idx="3">
                  <c:v>20.632674614020637</c:v>
                </c:pt>
                <c:pt idx="4">
                  <c:v>0.95969593187999502</c:v>
                </c:pt>
                <c:pt idx="5">
                  <c:v>0.6697656428800004</c:v>
                </c:pt>
                <c:pt idx="6">
                  <c:v>0</c:v>
                </c:pt>
                <c:pt idx="7">
                  <c:v>2.6123660096399917</c:v>
                </c:pt>
                <c:pt idx="8">
                  <c:v>49.613849472807338</c:v>
                </c:pt>
                <c:pt idx="9">
                  <c:v>1.1069055215000001</c:v>
                </c:pt>
                <c:pt idx="10">
                  <c:v>5.0736241064999996</c:v>
                </c:pt>
                <c:pt idx="11">
                  <c:v>18.3533697017</c:v>
                </c:pt>
                <c:pt idx="12">
                  <c:v>20.612522974100006</c:v>
                </c:pt>
                <c:pt idx="13">
                  <c:v>4.5441633899999996</c:v>
                </c:pt>
                <c:pt idx="14">
                  <c:v>3.0232505271926557</c:v>
                </c:pt>
              </c:numCache>
            </c:numRef>
          </c:val>
        </c:ser>
        <c:dLbls>
          <c:showLegendKey val="0"/>
          <c:showVal val="0"/>
          <c:showCatName val="0"/>
          <c:showSerName val="0"/>
          <c:showPercent val="0"/>
          <c:showBubbleSize val="0"/>
        </c:dLbls>
        <c:gapWidth val="182"/>
        <c:axId val="122955648"/>
        <c:axId val="122957184"/>
      </c:barChart>
      <c:catAx>
        <c:axId val="122955648"/>
        <c:scaling>
          <c:orientation val="maxMin"/>
        </c:scaling>
        <c:delete val="0"/>
        <c:axPos val="l"/>
        <c:numFmt formatCode="General" sourceLinked="1"/>
        <c:majorTickMark val="out"/>
        <c:minorTickMark val="none"/>
        <c:tickLblPos val="nextTo"/>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22957184"/>
        <c:crosses val="autoZero"/>
        <c:auto val="1"/>
        <c:lblAlgn val="ctr"/>
        <c:lblOffset val="100"/>
        <c:noMultiLvlLbl val="0"/>
      </c:catAx>
      <c:valAx>
        <c:axId val="122957184"/>
        <c:scaling>
          <c:orientation val="minMax"/>
          <c:max val="50"/>
        </c:scaling>
        <c:delete val="0"/>
        <c:axPos val="t"/>
        <c:majorGridlines>
          <c:spPr>
            <a:ln w="9525" cap="flat" cmpd="sng" algn="ctr">
              <a:noFill/>
              <a:round/>
            </a:ln>
            <a:effectLst/>
          </c:spPr>
        </c:majorGridlines>
        <c:numFmt formatCode="#,##0.0" sourceLinked="1"/>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2295564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Entry>
      <c:layout>
        <c:manualLayout>
          <c:xMode val="edge"/>
          <c:yMode val="edge"/>
          <c:x val="0.14008692725244326"/>
          <c:y val="0.95625233755192218"/>
          <c:w val="0.79771481570217195"/>
          <c:h val="4.356273996816448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539226810622471"/>
          <c:y val="6.1188962235466327E-2"/>
          <c:w val="0.73149820150808142"/>
          <c:h val="0.8494602574348562"/>
        </c:manualLayout>
      </c:layout>
      <c:barChart>
        <c:barDir val="bar"/>
        <c:grouping val="clustered"/>
        <c:varyColors val="0"/>
        <c:ser>
          <c:idx val="0"/>
          <c:order val="0"/>
          <c:tx>
            <c:strRef>
              <c:f>'Table 1-12'!$C$66</c:f>
              <c:strCache>
                <c:ptCount val="1"/>
                <c:pt idx="0">
                  <c:v>Phase II Verified Gross Demand Savings (MW)</c:v>
                </c:pt>
              </c:strCache>
            </c:strRef>
          </c:tx>
          <c:spPr>
            <a:solidFill>
              <a:srgbClr val="448A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'Table 1-12'!$B$67:$B$81</c:f>
              <c:strCache>
                <c:ptCount val="15"/>
                <c:pt idx="0">
                  <c:v>Smart Appliance Recycling</c:v>
                </c:pt>
                <c:pt idx="1">
                  <c:v>Smart Builder Rebates</c:v>
                </c:pt>
                <c:pt idx="2">
                  <c:v>Smart Energy Saver</c:v>
                </c:pt>
                <c:pt idx="3">
                  <c:v>Smart Home Rebates</c:v>
                </c:pt>
                <c:pt idx="4">
                  <c:v>Smart House Call</c:v>
                </c:pt>
                <c:pt idx="5">
                  <c:v>Smart Multi-Family Solutions</c:v>
                </c:pt>
                <c:pt idx="6">
                  <c:v>Smart Usage Profile</c:v>
                </c:pt>
                <c:pt idx="7">
                  <c:v>Low-Income Energy Efficiency</c:v>
                </c:pt>
                <c:pt idx="8">
                  <c:v>Residential Smart AC Saver</c:v>
                </c:pt>
                <c:pt idx="9">
                  <c:v>Smart Business Solutions</c:v>
                </c:pt>
                <c:pt idx="10">
                  <c:v>Smart Construction Incentives</c:v>
                </c:pt>
                <c:pt idx="11">
                  <c:v>Smart Equipment Incentives - C&amp;I</c:v>
                </c:pt>
                <c:pt idx="12">
                  <c:v>Smart Equipment Incentives - GNI</c:v>
                </c:pt>
                <c:pt idx="13">
                  <c:v>Smart On-Site</c:v>
                </c:pt>
                <c:pt idx="14">
                  <c:v>Commercial Smart AC Saver</c:v>
                </c:pt>
              </c:strCache>
            </c:strRef>
          </c:cat>
          <c:val>
            <c:numRef>
              <c:f>'Table 1-12'!$C$67:$C$81</c:f>
              <c:numCache>
                <c:formatCode>#,##0.0</c:formatCode>
                <c:ptCount val="15"/>
                <c:pt idx="0">
                  <c:v>3.4437867348214115</c:v>
                </c:pt>
                <c:pt idx="1">
                  <c:v>0.18301757296551585</c:v>
                </c:pt>
                <c:pt idx="2">
                  <c:v>0.78392254932555638</c:v>
                </c:pt>
                <c:pt idx="3">
                  <c:v>63.522694074536986</c:v>
                </c:pt>
                <c:pt idx="4">
                  <c:v>1.5005302942945327</c:v>
                </c:pt>
                <c:pt idx="5">
                  <c:v>1.8234882470296434</c:v>
                </c:pt>
                <c:pt idx="6">
                  <c:v>0</c:v>
                </c:pt>
                <c:pt idx="7">
                  <c:v>6.2137401504670775</c:v>
                </c:pt>
                <c:pt idx="8">
                  <c:v>55.526680128269994</c:v>
                </c:pt>
                <c:pt idx="9">
                  <c:v>7.6006024429736154</c:v>
                </c:pt>
                <c:pt idx="10">
                  <c:v>6.5872202207570965</c:v>
                </c:pt>
                <c:pt idx="11">
                  <c:v>39.063638885814797</c:v>
                </c:pt>
                <c:pt idx="12">
                  <c:v>25.453481476629179</c:v>
                </c:pt>
                <c:pt idx="13">
                  <c:v>11.573085118258417</c:v>
                </c:pt>
                <c:pt idx="14">
                  <c:v>1.5172889218483334</c:v>
                </c:pt>
              </c:numCache>
            </c:numRef>
          </c:val>
        </c:ser>
        <c:ser>
          <c:idx val="1"/>
          <c:order val="1"/>
          <c:tx>
            <c:strRef>
              <c:f>'Table 1-12'!$D$66</c:f>
              <c:strCache>
                <c:ptCount val="1"/>
                <c:pt idx="0">
                  <c:v>Phase II Reported Gross Demand Savings (MW)</c:v>
                </c:pt>
              </c:strCache>
            </c:strRef>
          </c:tx>
          <c:spPr>
            <a:solidFill>
              <a:srgbClr val="ED9E3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'Table 1-12'!$B$67:$B$81</c:f>
              <c:strCache>
                <c:ptCount val="15"/>
                <c:pt idx="0">
                  <c:v>Smart Appliance Recycling</c:v>
                </c:pt>
                <c:pt idx="1">
                  <c:v>Smart Builder Rebates</c:v>
                </c:pt>
                <c:pt idx="2">
                  <c:v>Smart Energy Saver</c:v>
                </c:pt>
                <c:pt idx="3">
                  <c:v>Smart Home Rebates</c:v>
                </c:pt>
                <c:pt idx="4">
                  <c:v>Smart House Call</c:v>
                </c:pt>
                <c:pt idx="5">
                  <c:v>Smart Multi-Family Solutions</c:v>
                </c:pt>
                <c:pt idx="6">
                  <c:v>Smart Usage Profile</c:v>
                </c:pt>
                <c:pt idx="7">
                  <c:v>Low-Income Energy Efficiency</c:v>
                </c:pt>
                <c:pt idx="8">
                  <c:v>Residential Smart AC Saver</c:v>
                </c:pt>
                <c:pt idx="9">
                  <c:v>Smart Business Solutions</c:v>
                </c:pt>
                <c:pt idx="10">
                  <c:v>Smart Construction Incentives</c:v>
                </c:pt>
                <c:pt idx="11">
                  <c:v>Smart Equipment Incentives - C&amp;I</c:v>
                </c:pt>
                <c:pt idx="12">
                  <c:v>Smart Equipment Incentives - GNI</c:v>
                </c:pt>
                <c:pt idx="13">
                  <c:v>Smart On-Site</c:v>
                </c:pt>
                <c:pt idx="14">
                  <c:v>Commercial Smart AC Saver</c:v>
                </c:pt>
              </c:strCache>
            </c:strRef>
          </c:cat>
          <c:val>
            <c:numRef>
              <c:f>'Table 1-12'!$D$67:$D$81</c:f>
              <c:numCache>
                <c:formatCode>0.0</c:formatCode>
                <c:ptCount val="15"/>
                <c:pt idx="0">
                  <c:v>3.6841135318800982</c:v>
                </c:pt>
                <c:pt idx="1">
                  <c:v>0.22331509999999999</c:v>
                </c:pt>
                <c:pt idx="2">
                  <c:v>0.86564620000000003</c:v>
                </c:pt>
                <c:pt idx="3">
                  <c:v>41.718018000000008</c:v>
                </c:pt>
                <c:pt idx="4">
                  <c:v>1.516919031879995</c:v>
                </c:pt>
                <c:pt idx="5">
                  <c:v>1.9376879428800011</c:v>
                </c:pt>
                <c:pt idx="6">
                  <c:v>0</c:v>
                </c:pt>
                <c:pt idx="7">
                  <c:v>6.2471160999999995</c:v>
                </c:pt>
                <c:pt idx="8">
                  <c:v>58.564757824269115</c:v>
                </c:pt>
                <c:pt idx="9">
                  <c:v>6.1887337999999996</c:v>
                </c:pt>
                <c:pt idx="10">
                  <c:v>8.0279964065000016</c:v>
                </c:pt>
                <c:pt idx="11">
                  <c:v>35.17563130169998</c:v>
                </c:pt>
                <c:pt idx="12">
                  <c:v>25.313818874099987</c:v>
                </c:pt>
                <c:pt idx="13">
                  <c:v>12.29529449</c:v>
                </c:pt>
                <c:pt idx="14">
                  <c:v>2.3410835090642186</c:v>
                </c:pt>
              </c:numCache>
            </c:numRef>
          </c:val>
        </c:ser>
        <c:dLbls>
          <c:showLegendKey val="0"/>
          <c:showVal val="0"/>
          <c:showCatName val="0"/>
          <c:showSerName val="0"/>
          <c:showPercent val="0"/>
          <c:showBubbleSize val="0"/>
        </c:dLbls>
        <c:gapWidth val="182"/>
        <c:axId val="123061760"/>
        <c:axId val="123063296"/>
      </c:barChart>
      <c:catAx>
        <c:axId val="123061760"/>
        <c:scaling>
          <c:orientation val="maxMin"/>
        </c:scaling>
        <c:delete val="0"/>
        <c:axPos val="l"/>
        <c:numFmt formatCode="General" sourceLinked="1"/>
        <c:majorTickMark val="out"/>
        <c:minorTickMark val="none"/>
        <c:tickLblPos val="nextTo"/>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23063296"/>
        <c:crosses val="autoZero"/>
        <c:auto val="1"/>
        <c:lblAlgn val="ctr"/>
        <c:lblOffset val="100"/>
        <c:noMultiLvlLbl val="0"/>
      </c:catAx>
      <c:valAx>
        <c:axId val="123063296"/>
        <c:scaling>
          <c:orientation val="minMax"/>
        </c:scaling>
        <c:delete val="0"/>
        <c:axPos val="t"/>
        <c:majorGridlines>
          <c:spPr>
            <a:ln w="9525" cap="flat" cmpd="sng" algn="ctr">
              <a:noFill/>
              <a:round/>
            </a:ln>
            <a:effectLst/>
          </c:spPr>
        </c:majorGridlines>
        <c:numFmt formatCode="#,##0.0" sourceLinked="1"/>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23061760"/>
        <c:crosses val="autoZero"/>
        <c:crossBetween val="between"/>
      </c:valAx>
      <c:spPr>
        <a:noFill/>
        <a:ln>
          <a:noFill/>
        </a:ln>
        <a:effectLst/>
      </c:spPr>
    </c:plotArea>
    <c:legend>
      <c:legendPos val="b"/>
      <c:layout>
        <c:manualLayout>
          <c:xMode val="edge"/>
          <c:yMode val="edge"/>
          <c:x val="9.9972883617684652E-2"/>
          <c:y val="0.95378519626523695"/>
          <c:w val="0.89999991445936178"/>
          <c:h val="3.135182184902223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7976086322543"/>
          <c:y val="4.2396071713892515E-2"/>
          <c:w val="0.65609527975669713"/>
          <c:h val="0.85255594899749954"/>
        </c:manualLayout>
      </c:layout>
      <c:barChart>
        <c:barDir val="col"/>
        <c:grouping val="stacked"/>
        <c:varyColors val="0"/>
        <c:ser>
          <c:idx val="0"/>
          <c:order val="0"/>
          <c:tx>
            <c:strRef>
              <c:f>Sheet1!$C$3</c:f>
              <c:strCache>
                <c:ptCount val="1"/>
                <c:pt idx="0">
                  <c:v>Incandescent</c:v>
                </c:pt>
              </c:strCache>
            </c:strRef>
          </c:tx>
          <c:spPr>
            <a:solidFill>
              <a:srgbClr val="448A99"/>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Sheet1!$D$2:$G$2</c:f>
              <c:strCache>
                <c:ptCount val="4"/>
                <c:pt idx="0">
                  <c:v>PY2</c:v>
                </c:pt>
                <c:pt idx="1">
                  <c:v>PY5</c:v>
                </c:pt>
                <c:pt idx="2">
                  <c:v>PY6</c:v>
                </c:pt>
                <c:pt idx="3">
                  <c:v>PY7</c:v>
                </c:pt>
              </c:strCache>
            </c:strRef>
          </c:cat>
          <c:val>
            <c:numRef>
              <c:f>Sheet1!$D$3:$G$3</c:f>
              <c:numCache>
                <c:formatCode>0%</c:formatCode>
                <c:ptCount val="4"/>
                <c:pt idx="0">
                  <c:v>0.38</c:v>
                </c:pt>
                <c:pt idx="1">
                  <c:v>0.37</c:v>
                </c:pt>
                <c:pt idx="2">
                  <c:v>0.3</c:v>
                </c:pt>
                <c:pt idx="3">
                  <c:v>0.36</c:v>
                </c:pt>
              </c:numCache>
            </c:numRef>
          </c:val>
          <c:extLst xmlns:c16r2="http://schemas.microsoft.com/office/drawing/2015/06/chart">
            <c:ext xmlns:c16="http://schemas.microsoft.com/office/drawing/2014/chart" uri="{C3380CC4-5D6E-409C-BE32-E72D297353CC}">
              <c16:uniqueId val="{00000000-D0C7-4DF4-9AA4-DC55250115C5}"/>
            </c:ext>
          </c:extLst>
        </c:ser>
        <c:ser>
          <c:idx val="1"/>
          <c:order val="1"/>
          <c:tx>
            <c:strRef>
              <c:f>Sheet1!$C$4</c:f>
              <c:strCache>
                <c:ptCount val="1"/>
                <c:pt idx="0">
                  <c:v>Halogen</c:v>
                </c:pt>
              </c:strCache>
            </c:strRef>
          </c:tx>
          <c:spPr>
            <a:solidFill>
              <a:srgbClr val="8DC2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Sheet1!$D$2:$G$2</c:f>
              <c:strCache>
                <c:ptCount val="4"/>
                <c:pt idx="0">
                  <c:v>PY2</c:v>
                </c:pt>
                <c:pt idx="1">
                  <c:v>PY5</c:v>
                </c:pt>
                <c:pt idx="2">
                  <c:v>PY6</c:v>
                </c:pt>
                <c:pt idx="3">
                  <c:v>PY7</c:v>
                </c:pt>
              </c:strCache>
            </c:strRef>
          </c:cat>
          <c:val>
            <c:numRef>
              <c:f>Sheet1!$D$4:$G$4</c:f>
              <c:numCache>
                <c:formatCode>0%</c:formatCode>
                <c:ptCount val="4"/>
                <c:pt idx="0">
                  <c:v>0.03</c:v>
                </c:pt>
                <c:pt idx="1">
                  <c:v>0.13</c:v>
                </c:pt>
                <c:pt idx="2">
                  <c:v>0.14000000000000001</c:v>
                </c:pt>
                <c:pt idx="3">
                  <c:v>0.08</c:v>
                </c:pt>
              </c:numCache>
            </c:numRef>
          </c:val>
          <c:extLst xmlns:c16r2="http://schemas.microsoft.com/office/drawing/2015/06/chart">
            <c:ext xmlns:c16="http://schemas.microsoft.com/office/drawing/2014/chart" uri="{C3380CC4-5D6E-409C-BE32-E72D297353CC}">
              <c16:uniqueId val="{00000001-D0C7-4DF4-9AA4-DC55250115C5}"/>
            </c:ext>
          </c:extLst>
        </c:ser>
        <c:ser>
          <c:idx val="2"/>
          <c:order val="2"/>
          <c:tx>
            <c:strRef>
              <c:f>Sheet1!$C$5</c:f>
              <c:strCache>
                <c:ptCount val="1"/>
                <c:pt idx="0">
                  <c:v>CFL</c:v>
                </c:pt>
              </c:strCache>
            </c:strRef>
          </c:tx>
          <c:spPr>
            <a:solidFill>
              <a:srgbClr val="DD831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Sheet1!$D$2:$G$2</c:f>
              <c:strCache>
                <c:ptCount val="4"/>
                <c:pt idx="0">
                  <c:v>PY2</c:v>
                </c:pt>
                <c:pt idx="1">
                  <c:v>PY5</c:v>
                </c:pt>
                <c:pt idx="2">
                  <c:v>PY6</c:v>
                </c:pt>
                <c:pt idx="3">
                  <c:v>PY7</c:v>
                </c:pt>
              </c:strCache>
            </c:strRef>
          </c:cat>
          <c:val>
            <c:numRef>
              <c:f>Sheet1!$D$5:$G$5</c:f>
              <c:numCache>
                <c:formatCode>0%</c:formatCode>
                <c:ptCount val="4"/>
                <c:pt idx="0">
                  <c:v>0.59</c:v>
                </c:pt>
                <c:pt idx="1">
                  <c:v>0.4</c:v>
                </c:pt>
                <c:pt idx="2">
                  <c:v>0.31</c:v>
                </c:pt>
                <c:pt idx="3">
                  <c:v>0.12</c:v>
                </c:pt>
              </c:numCache>
            </c:numRef>
          </c:val>
          <c:extLst xmlns:c16r2="http://schemas.microsoft.com/office/drawing/2015/06/chart">
            <c:ext xmlns:c16="http://schemas.microsoft.com/office/drawing/2014/chart" uri="{C3380CC4-5D6E-409C-BE32-E72D297353CC}">
              <c16:uniqueId val="{00000002-D0C7-4DF4-9AA4-DC55250115C5}"/>
            </c:ext>
          </c:extLst>
        </c:ser>
        <c:ser>
          <c:idx val="3"/>
          <c:order val="3"/>
          <c:tx>
            <c:strRef>
              <c:f>Sheet1!$C$6</c:f>
              <c:strCache>
                <c:ptCount val="1"/>
                <c:pt idx="0">
                  <c:v>LED</c:v>
                </c:pt>
              </c:strCache>
            </c:strRef>
          </c:tx>
          <c:spPr>
            <a:solidFill>
              <a:srgbClr val="ED9E3E"/>
            </a:solidFill>
            <a:ln>
              <a:noFill/>
            </a:ln>
            <a:effectLst/>
          </c:spPr>
          <c:invertIfNegative val="0"/>
          <c:dLbls>
            <c:dLbl>
              <c:idx val="0"/>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Sheet1!$D$2:$G$2</c:f>
              <c:strCache>
                <c:ptCount val="4"/>
                <c:pt idx="0">
                  <c:v>PY2</c:v>
                </c:pt>
                <c:pt idx="1">
                  <c:v>PY5</c:v>
                </c:pt>
                <c:pt idx="2">
                  <c:v>PY6</c:v>
                </c:pt>
                <c:pt idx="3">
                  <c:v>PY7</c:v>
                </c:pt>
              </c:strCache>
            </c:strRef>
          </c:cat>
          <c:val>
            <c:numRef>
              <c:f>Sheet1!$D$6:$G$6</c:f>
              <c:numCache>
                <c:formatCode>0%</c:formatCode>
                <c:ptCount val="4"/>
                <c:pt idx="0">
                  <c:v>0</c:v>
                </c:pt>
                <c:pt idx="1">
                  <c:v>0.1</c:v>
                </c:pt>
                <c:pt idx="2">
                  <c:v>0.25</c:v>
                </c:pt>
                <c:pt idx="3">
                  <c:v>0.45</c:v>
                </c:pt>
              </c:numCache>
            </c:numRef>
          </c:val>
          <c:extLst xmlns:c16r2="http://schemas.microsoft.com/office/drawing/2015/06/chart">
            <c:ext xmlns:c16="http://schemas.microsoft.com/office/drawing/2014/chart" uri="{C3380CC4-5D6E-409C-BE32-E72D297353CC}">
              <c16:uniqueId val="{00000003-D0C7-4DF4-9AA4-DC55250115C5}"/>
            </c:ext>
          </c:extLst>
        </c:ser>
        <c:dLbls>
          <c:showLegendKey val="0"/>
          <c:showVal val="1"/>
          <c:showCatName val="0"/>
          <c:showSerName val="0"/>
          <c:showPercent val="0"/>
          <c:showBubbleSize val="0"/>
        </c:dLbls>
        <c:gapWidth val="150"/>
        <c:overlap val="100"/>
        <c:axId val="173113344"/>
        <c:axId val="173114880"/>
      </c:barChart>
      <c:catAx>
        <c:axId val="173113344"/>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73114880"/>
        <c:crosses val="autoZero"/>
        <c:auto val="1"/>
        <c:lblAlgn val="ctr"/>
        <c:lblOffset val="100"/>
        <c:noMultiLvlLbl val="0"/>
      </c:catAx>
      <c:valAx>
        <c:axId val="173114880"/>
        <c:scaling>
          <c:orientation val="minMax"/>
          <c:max val="1"/>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t>Lighting Shelf Space</a:t>
                </a:r>
              </a:p>
            </c:rich>
          </c:tx>
          <c:layout>
            <c:manualLayout>
              <c:xMode val="edge"/>
              <c:yMode val="edge"/>
              <c:x val="1.1097154522351372E-2"/>
              <c:y val="0.25175418161487217"/>
            </c:manualLayout>
          </c:layout>
          <c:overlay val="0"/>
          <c:spPr>
            <a:noFill/>
            <a:ln>
              <a:noFill/>
            </a:ln>
            <a:effectLst/>
          </c:spPr>
        </c:title>
        <c:numFmt formatCode="0%"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73113344"/>
        <c:crosses val="autoZero"/>
        <c:crossBetween val="between"/>
        <c:majorUnit val="0.2"/>
      </c:valAx>
      <c:spPr>
        <a:noFill/>
        <a:ln>
          <a:noFill/>
        </a:ln>
        <a:effectLst/>
      </c:spPr>
    </c:plotArea>
    <c:legend>
      <c:legendPos val="b"/>
      <c:layout>
        <c:manualLayout>
          <c:xMode val="edge"/>
          <c:yMode val="edge"/>
          <c:x val="0.81526746656667926"/>
          <c:y val="0.2954875832828589"/>
          <c:w val="0.17105236845394323"/>
          <c:h val="0.3297589650406124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6279995137187426"/>
          <c:y val="1.9587707786526694E-2"/>
          <c:w val="0.60865066302579163"/>
          <c:h val="0.83570073272090983"/>
        </c:manualLayout>
      </c:layout>
      <c:barChart>
        <c:barDir val="bar"/>
        <c:grouping val="clustered"/>
        <c:varyColors val="0"/>
        <c:ser>
          <c:idx val="3"/>
          <c:order val="0"/>
          <c:tx>
            <c:strRef>
              <c:f>'PS1 Satisfaction'!$V$20</c:f>
              <c:strCache>
                <c:ptCount val="1"/>
                <c:pt idx="0">
                  <c:v>PY7</c:v>
                </c:pt>
              </c:strCache>
            </c:strRef>
          </c:tx>
          <c:spPr>
            <a:solidFill>
              <a:srgbClr val="8DC2CD"/>
            </a:solidFill>
            <a:ln>
              <a:noFill/>
            </a:ln>
            <a:effectLst/>
          </c:spPr>
          <c:invertIfNegative val="0"/>
          <c:cat>
            <c:strRef>
              <c:f>'PS1 Satisfaction'!$Q$21:$S$29</c:f>
              <c:strCache>
                <c:ptCount val="9"/>
                <c:pt idx="0">
                  <c:v>Information on PECO website</c:v>
                </c:pt>
                <c:pt idx="1">
                  <c:v>Speed of rebate(s)</c:v>
                </c:pt>
                <c:pt idx="2">
                  <c:v>Amount of rebate(s)</c:v>
                </c:pt>
                <c:pt idx="3">
                  <c:v>Application form level of difficulty</c:v>
                </c:pt>
                <c:pt idx="4">
                  <c:v>Variety of rebated products</c:v>
                </c:pt>
                <c:pt idx="5">
                  <c:v>Contractor</c:v>
                </c:pt>
                <c:pt idx="6">
                  <c:v>Purchased measure(s)</c:v>
                </c:pt>
                <c:pt idx="7">
                  <c:v>SHR Program Overall</c:v>
                </c:pt>
                <c:pt idx="8">
                  <c:v>PECO Overall</c:v>
                </c:pt>
              </c:strCache>
            </c:strRef>
          </c:cat>
          <c:val>
            <c:numRef>
              <c:f>'PS1 Satisfaction'!$V$21:$V$29</c:f>
              <c:numCache>
                <c:formatCode>0.00</c:formatCode>
                <c:ptCount val="9"/>
                <c:pt idx="0">
                  <c:v>4.375</c:v>
                </c:pt>
                <c:pt idx="1">
                  <c:v>4.4029126213592233</c:v>
                </c:pt>
                <c:pt idx="2">
                  <c:v>4.3099999999999996</c:v>
                </c:pt>
                <c:pt idx="3">
                  <c:v>4.3892215568862278</c:v>
                </c:pt>
                <c:pt idx="4">
                  <c:v>4.4634146341463419</c:v>
                </c:pt>
                <c:pt idx="5">
                  <c:v>4.4989339019189769</c:v>
                </c:pt>
                <c:pt idx="6">
                  <c:v>4.6717171717171722</c:v>
                </c:pt>
                <c:pt idx="7">
                  <c:v>4.7437185929648242</c:v>
                </c:pt>
                <c:pt idx="8">
                  <c:v>4.2649999999999997</c:v>
                </c:pt>
              </c:numCache>
            </c:numRef>
          </c:val>
          <c:extLst xmlns:c16r2="http://schemas.microsoft.com/office/drawing/2015/06/chart">
            <c:ext xmlns:c16="http://schemas.microsoft.com/office/drawing/2014/chart" uri="{C3380CC4-5D6E-409C-BE32-E72D297353CC}">
              <c16:uniqueId val="{00000000-A26B-4F89-8918-E1C59515AECB}"/>
            </c:ext>
          </c:extLst>
        </c:ser>
        <c:ser>
          <c:idx val="2"/>
          <c:order val="1"/>
          <c:tx>
            <c:strRef>
              <c:f>'PS1 Satisfaction'!$U$20</c:f>
              <c:strCache>
                <c:ptCount val="1"/>
                <c:pt idx="0">
                  <c:v>PY6</c:v>
                </c:pt>
              </c:strCache>
            </c:strRef>
          </c:tx>
          <c:spPr>
            <a:solidFill>
              <a:srgbClr val="ED9E3E"/>
            </a:solidFill>
            <a:ln>
              <a:noFill/>
            </a:ln>
            <a:effectLst/>
          </c:spPr>
          <c:invertIfNegative val="0"/>
          <c:cat>
            <c:strRef>
              <c:f>'PS1 Satisfaction'!$Q$21:$S$29</c:f>
              <c:strCache>
                <c:ptCount val="9"/>
                <c:pt idx="0">
                  <c:v>Information on PECO website</c:v>
                </c:pt>
                <c:pt idx="1">
                  <c:v>Speed of rebate(s)</c:v>
                </c:pt>
                <c:pt idx="2">
                  <c:v>Amount of rebate(s)</c:v>
                </c:pt>
                <c:pt idx="3">
                  <c:v>Application form level of difficulty</c:v>
                </c:pt>
                <c:pt idx="4">
                  <c:v>Variety of rebated products</c:v>
                </c:pt>
                <c:pt idx="5">
                  <c:v>Contractor</c:v>
                </c:pt>
                <c:pt idx="6">
                  <c:v>Purchased measure(s)</c:v>
                </c:pt>
                <c:pt idx="7">
                  <c:v>SHR Program Overall</c:v>
                </c:pt>
                <c:pt idx="8">
                  <c:v>PECO Overall</c:v>
                </c:pt>
              </c:strCache>
            </c:strRef>
          </c:cat>
          <c:val>
            <c:numRef>
              <c:f>'PS1 Satisfaction'!$U$21:$U$29</c:f>
              <c:numCache>
                <c:formatCode>General</c:formatCode>
                <c:ptCount val="9"/>
                <c:pt idx="0">
                  <c:v>4.28</c:v>
                </c:pt>
                <c:pt idx="1">
                  <c:v>4.37</c:v>
                </c:pt>
                <c:pt idx="2">
                  <c:v>4.37</c:v>
                </c:pt>
                <c:pt idx="3">
                  <c:v>4.49</c:v>
                </c:pt>
                <c:pt idx="4">
                  <c:v>4.5</c:v>
                </c:pt>
                <c:pt idx="5">
                  <c:v>4.68</c:v>
                </c:pt>
                <c:pt idx="6">
                  <c:v>4.62</c:v>
                </c:pt>
                <c:pt idx="7">
                  <c:v>4.6399999999999997</c:v>
                </c:pt>
                <c:pt idx="8">
                  <c:v>4.33</c:v>
                </c:pt>
              </c:numCache>
            </c:numRef>
          </c:val>
          <c:extLst xmlns:c16r2="http://schemas.microsoft.com/office/drawing/2015/06/chart">
            <c:ext xmlns:c16="http://schemas.microsoft.com/office/drawing/2014/chart" uri="{C3380CC4-5D6E-409C-BE32-E72D297353CC}">
              <c16:uniqueId val="{00000001-A26B-4F89-8918-E1C59515AECB}"/>
            </c:ext>
          </c:extLst>
        </c:ser>
        <c:ser>
          <c:idx val="1"/>
          <c:order val="2"/>
          <c:tx>
            <c:strRef>
              <c:f>'PS1 Satisfaction'!$T$20</c:f>
              <c:strCache>
                <c:ptCount val="1"/>
                <c:pt idx="0">
                  <c:v>PY5</c:v>
                </c:pt>
              </c:strCache>
            </c:strRef>
          </c:tx>
          <c:spPr>
            <a:solidFill>
              <a:srgbClr val="448A99"/>
            </a:solidFill>
            <a:ln>
              <a:noFill/>
            </a:ln>
            <a:effectLst/>
          </c:spPr>
          <c:invertIfNegative val="0"/>
          <c:cat>
            <c:strRef>
              <c:f>'PS1 Satisfaction'!$Q$21:$S$29</c:f>
              <c:strCache>
                <c:ptCount val="9"/>
                <c:pt idx="0">
                  <c:v>Information on PECO website</c:v>
                </c:pt>
                <c:pt idx="1">
                  <c:v>Speed of rebate(s)</c:v>
                </c:pt>
                <c:pt idx="2">
                  <c:v>Amount of rebate(s)</c:v>
                </c:pt>
                <c:pt idx="3">
                  <c:v>Application form level of difficulty</c:v>
                </c:pt>
                <c:pt idx="4">
                  <c:v>Variety of rebated products</c:v>
                </c:pt>
                <c:pt idx="5">
                  <c:v>Contractor</c:v>
                </c:pt>
                <c:pt idx="6">
                  <c:v>Purchased measure(s)</c:v>
                </c:pt>
                <c:pt idx="7">
                  <c:v>SHR Program Overall</c:v>
                </c:pt>
                <c:pt idx="8">
                  <c:v>PECO Overall</c:v>
                </c:pt>
              </c:strCache>
            </c:strRef>
          </c:cat>
          <c:val>
            <c:numRef>
              <c:f>'PS1 Satisfaction'!$T$21:$T$29</c:f>
              <c:numCache>
                <c:formatCode>General</c:formatCode>
                <c:ptCount val="9"/>
                <c:pt idx="0">
                  <c:v>4.3600000000000003</c:v>
                </c:pt>
                <c:pt idx="1">
                  <c:v>4.3099999999999996</c:v>
                </c:pt>
                <c:pt idx="2">
                  <c:v>4.5</c:v>
                </c:pt>
                <c:pt idx="3">
                  <c:v>4.47</c:v>
                </c:pt>
                <c:pt idx="4">
                  <c:v>4.5599999999999996</c:v>
                </c:pt>
                <c:pt idx="5">
                  <c:v>4.5999999999999996</c:v>
                </c:pt>
                <c:pt idx="6">
                  <c:v>4.5999999999999996</c:v>
                </c:pt>
                <c:pt idx="7">
                  <c:v>4.59</c:v>
                </c:pt>
                <c:pt idx="8">
                  <c:v>4.1900000000000004</c:v>
                </c:pt>
              </c:numCache>
            </c:numRef>
          </c:val>
          <c:extLst xmlns:c16r2="http://schemas.microsoft.com/office/drawing/2015/06/chart">
            <c:ext xmlns:c16="http://schemas.microsoft.com/office/drawing/2014/chart" uri="{C3380CC4-5D6E-409C-BE32-E72D297353CC}">
              <c16:uniqueId val="{00000002-A26B-4F89-8918-E1C59515AECB}"/>
            </c:ext>
          </c:extLst>
        </c:ser>
        <c:dLbls>
          <c:showLegendKey val="0"/>
          <c:showVal val="0"/>
          <c:showCatName val="0"/>
          <c:showSerName val="0"/>
          <c:showPercent val="0"/>
          <c:showBubbleSize val="0"/>
        </c:dLbls>
        <c:gapWidth val="150"/>
        <c:axId val="119935360"/>
        <c:axId val="119936896"/>
      </c:barChart>
      <c:catAx>
        <c:axId val="119935360"/>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en-US" sz="1000" b="1" i="0" u="none" strike="noStrike" kern="1200" baseline="0">
                <a:solidFill>
                  <a:schemeClr val="tx1"/>
                </a:solidFill>
                <a:latin typeface="+mn-lt"/>
                <a:ea typeface="+mn-ea"/>
                <a:cs typeface="+mn-cs"/>
              </a:defRPr>
            </a:pPr>
            <a:endParaRPr lang="en-US"/>
          </a:p>
        </c:txPr>
        <c:crossAx val="119936896"/>
        <c:crosses val="autoZero"/>
        <c:auto val="1"/>
        <c:lblAlgn val="ctr"/>
        <c:lblOffset val="100"/>
        <c:noMultiLvlLbl val="0"/>
      </c:catAx>
      <c:valAx>
        <c:axId val="119936896"/>
        <c:scaling>
          <c:orientation val="minMax"/>
          <c:min val="0"/>
        </c:scaling>
        <c:delete val="0"/>
        <c:axPos val="b"/>
        <c:majorGridlines>
          <c:spPr>
            <a:ln w="9525" cap="flat" cmpd="sng" algn="ctr">
              <a:noFill/>
              <a:prstDash val="solid"/>
              <a:round/>
            </a:ln>
            <a:effectLst/>
          </c:spPr>
        </c:majorGridlines>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en-US" sz="1000" b="1" i="0" u="none" strike="noStrike" kern="1200" baseline="0">
                <a:solidFill>
                  <a:schemeClr val="tx1"/>
                </a:solidFill>
                <a:latin typeface="+mn-lt"/>
                <a:ea typeface="+mn-ea"/>
                <a:cs typeface="+mn-cs"/>
              </a:defRPr>
            </a:pPr>
            <a:endParaRPr lang="en-US"/>
          </a:p>
        </c:txPr>
        <c:crossAx val="119935360"/>
        <c:crosses val="autoZero"/>
        <c:crossBetween val="between"/>
        <c:majorUnit val="1"/>
      </c:valAx>
      <c:spPr>
        <a:solidFill>
          <a:schemeClr val="bg1"/>
        </a:solidFill>
        <a:ln>
          <a:noFill/>
        </a:ln>
        <a:effectLst/>
      </c:spPr>
    </c:plotArea>
    <c:legend>
      <c:legendPos val="r"/>
      <c:layout>
        <c:manualLayout>
          <c:xMode val="edge"/>
          <c:yMode val="edge"/>
          <c:x val="0.36807761009040535"/>
          <c:y val="0.94405805315466684"/>
          <c:w val="0.40260270853489416"/>
          <c:h val="5.5177823209116857E-2"/>
        </c:manualLayout>
      </c:layout>
      <c:overlay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lang="en-US"/>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C493EB-AF24-4F1B-A691-F39D2E4C8BD2}" type="doc">
      <dgm:prSet loTypeId="urn:microsoft.com/office/officeart/2009/3/layout/HorizontalOrganizationChart" loCatId="hierarchy" qsTypeId="urn:microsoft.com/office/officeart/2005/8/quickstyle/simple4" qsCatId="simple" csTypeId="urn:microsoft.com/office/officeart/2005/8/colors/accent0_3" csCatId="mainScheme" phldr="1"/>
      <dgm:spPr/>
      <dgm:t>
        <a:bodyPr/>
        <a:lstStyle/>
        <a:p>
          <a:endParaRPr lang="en-US"/>
        </a:p>
      </dgm:t>
    </dgm:pt>
    <dgm:pt modelId="{5B7D7972-CC83-4C51-BCE3-CCE9A569F9D9}">
      <dgm:prSet phldrT="[Text]"/>
      <dgm:spPr>
        <a:xfrm>
          <a:off x="1423" y="439392"/>
          <a:ext cx="1266620" cy="386319"/>
        </a:xfrm>
        <a:solidFill>
          <a:srgbClr val="448A99"/>
        </a:solidFill>
        <a:ln>
          <a:noFill/>
        </a:ln>
        <a:effectLst/>
      </dgm:spPr>
      <dgm:t>
        <a:bodyPr/>
        <a:lstStyle/>
        <a:p>
          <a:r>
            <a:rPr lang="en-US">
              <a:solidFill>
                <a:sysClr val="window" lastClr="FFFFFF"/>
              </a:solidFill>
              <a:latin typeface="+mn-lt"/>
              <a:ea typeface="+mn-ea"/>
              <a:cs typeface="+mn-cs"/>
            </a:rPr>
            <a:t>Sample: 51 Sites</a:t>
          </a:r>
        </a:p>
      </dgm:t>
    </dgm:pt>
    <dgm:pt modelId="{1DFACCB9-89AC-4E0E-ACAA-7702991BF730}" type="parTrans" cxnId="{F662BEA9-E53C-4E83-B923-D1BAB9CC55D0}">
      <dgm:prSet/>
      <dgm:spPr/>
      <dgm:t>
        <a:bodyPr/>
        <a:lstStyle/>
        <a:p>
          <a:endParaRPr lang="en-US">
            <a:latin typeface="+mn-lt"/>
          </a:endParaRPr>
        </a:p>
      </dgm:t>
    </dgm:pt>
    <dgm:pt modelId="{2F485BD6-FC48-42B2-925D-B9B5A1120E55}" type="sibTrans" cxnId="{F662BEA9-E53C-4E83-B923-D1BAB9CC55D0}">
      <dgm:prSet/>
      <dgm:spPr/>
      <dgm:t>
        <a:bodyPr/>
        <a:lstStyle/>
        <a:p>
          <a:endParaRPr lang="en-US">
            <a:latin typeface="+mn-lt"/>
          </a:endParaRPr>
        </a:p>
      </dgm:t>
    </dgm:pt>
    <dgm:pt modelId="{F54700A6-25EC-4213-9F48-98720EFADBC8}">
      <dgm:prSet phldrT="[Text]"/>
      <dgm:spPr>
        <a:xfrm>
          <a:off x="1521367" y="167068"/>
          <a:ext cx="1266620" cy="386319"/>
        </a:xfrm>
        <a:solidFill>
          <a:srgbClr val="448A99"/>
        </a:solidFill>
        <a:ln>
          <a:noFill/>
        </a:ln>
        <a:effectLst/>
      </dgm:spPr>
      <dgm:t>
        <a:bodyPr/>
        <a:lstStyle/>
        <a:p>
          <a:r>
            <a:rPr lang="en-US">
              <a:solidFill>
                <a:sysClr val="window" lastClr="FFFFFF"/>
              </a:solidFill>
              <a:latin typeface="+mn-lt"/>
              <a:ea typeface="+mn-ea"/>
              <a:cs typeface="+mn-cs"/>
            </a:rPr>
            <a:t>30 reported no spillover</a:t>
          </a:r>
        </a:p>
      </dgm:t>
    </dgm:pt>
    <dgm:pt modelId="{088E7A96-3D4B-4FAF-B832-E0DC4239752B}" type="parTrans" cxnId="{1519A905-6A34-41E7-ABF1-23BCAFF687DB}">
      <dgm:prSet>
        <dgm:style>
          <a:lnRef idx="1">
            <a:schemeClr val="dk1"/>
          </a:lnRef>
          <a:fillRef idx="0">
            <a:schemeClr val="dk1"/>
          </a:fillRef>
          <a:effectRef idx="0">
            <a:schemeClr val="dk1"/>
          </a:effectRef>
          <a:fontRef idx="minor">
            <a:schemeClr val="tx1"/>
          </a:fontRef>
        </dgm:style>
      </dgm:prSet>
      <dgm:spPr>
        <a:xfrm>
          <a:off x="1268043" y="360228"/>
          <a:ext cx="253324" cy="272323"/>
        </a:xfrm>
        <a:ln/>
      </dgm:spPr>
      <dgm:t>
        <a:bodyPr/>
        <a:lstStyle/>
        <a:p>
          <a:endParaRPr lang="en-US">
            <a:latin typeface="+mn-lt"/>
          </a:endParaRPr>
        </a:p>
      </dgm:t>
    </dgm:pt>
    <dgm:pt modelId="{BA2F55CD-70F8-4698-802C-31317F764CC7}" type="sibTrans" cxnId="{1519A905-6A34-41E7-ABF1-23BCAFF687DB}">
      <dgm:prSet/>
      <dgm:spPr/>
      <dgm:t>
        <a:bodyPr/>
        <a:lstStyle/>
        <a:p>
          <a:endParaRPr lang="en-US">
            <a:latin typeface="+mn-lt"/>
          </a:endParaRPr>
        </a:p>
      </dgm:t>
    </dgm:pt>
    <dgm:pt modelId="{1A45C0D1-3D6C-4261-B426-EEDD9AA81D2F}">
      <dgm:prSet phldrT="[Text]"/>
      <dgm:spPr>
        <a:xfrm>
          <a:off x="1521367" y="711715"/>
          <a:ext cx="1266620" cy="386319"/>
        </a:xfrm>
        <a:solidFill>
          <a:srgbClr val="448A99"/>
        </a:solidFill>
        <a:ln>
          <a:noFill/>
        </a:ln>
        <a:effectLst/>
      </dgm:spPr>
      <dgm:t>
        <a:bodyPr/>
        <a:lstStyle/>
        <a:p>
          <a:r>
            <a:rPr lang="en-US">
              <a:solidFill>
                <a:sysClr val="window" lastClr="FFFFFF"/>
              </a:solidFill>
              <a:latin typeface="+mn-lt"/>
              <a:ea typeface="+mn-ea"/>
              <a:cs typeface="+mn-cs"/>
            </a:rPr>
            <a:t>21 reported potential of spillover</a:t>
          </a:r>
        </a:p>
      </dgm:t>
    </dgm:pt>
    <dgm:pt modelId="{7233B709-E844-4EDD-91D2-44AA28D37187}" type="parTrans" cxnId="{3C589E93-9C20-4FC5-8833-2E8CA1CD5BFC}">
      <dgm:prSet>
        <dgm:style>
          <a:lnRef idx="1">
            <a:schemeClr val="dk1"/>
          </a:lnRef>
          <a:fillRef idx="0">
            <a:schemeClr val="dk1"/>
          </a:fillRef>
          <a:effectRef idx="0">
            <a:schemeClr val="dk1"/>
          </a:effectRef>
          <a:fontRef idx="minor">
            <a:schemeClr val="tx1"/>
          </a:fontRef>
        </dgm:style>
      </dgm:prSet>
      <dgm:spPr>
        <a:xfrm>
          <a:off x="1268043" y="632551"/>
          <a:ext cx="253324" cy="272323"/>
        </a:xfrm>
        <a:ln/>
      </dgm:spPr>
      <dgm:t>
        <a:bodyPr/>
        <a:lstStyle/>
        <a:p>
          <a:endParaRPr lang="en-US">
            <a:latin typeface="+mn-lt"/>
          </a:endParaRPr>
        </a:p>
      </dgm:t>
    </dgm:pt>
    <dgm:pt modelId="{B1F9D004-C302-4423-A7E8-8858BF5C2C8C}" type="sibTrans" cxnId="{3C589E93-9C20-4FC5-8833-2E8CA1CD5BFC}">
      <dgm:prSet/>
      <dgm:spPr/>
      <dgm:t>
        <a:bodyPr/>
        <a:lstStyle/>
        <a:p>
          <a:endParaRPr lang="en-US">
            <a:latin typeface="+mn-lt"/>
          </a:endParaRPr>
        </a:p>
      </dgm:t>
    </dgm:pt>
    <dgm:pt modelId="{261C7F11-3874-4832-A96D-F81786F66D30}">
      <dgm:prSet phldrT="[Text]"/>
      <dgm:spPr>
        <a:xfrm>
          <a:off x="3041312" y="439392"/>
          <a:ext cx="1266620" cy="386319"/>
        </a:xfrm>
        <a:solidFill>
          <a:srgbClr val="448A99"/>
        </a:solidFill>
        <a:ln>
          <a:noFill/>
        </a:ln>
        <a:effectLst/>
      </dgm:spPr>
      <dgm:t>
        <a:bodyPr/>
        <a:lstStyle/>
        <a:p>
          <a:r>
            <a:rPr lang="en-US">
              <a:solidFill>
                <a:sysClr val="window" lastClr="FFFFFF"/>
              </a:solidFill>
              <a:latin typeface="+mn-lt"/>
              <a:ea typeface="+mn-ea"/>
              <a:cs typeface="+mn-cs"/>
            </a:rPr>
            <a:t>14 spillover sites were disqualified</a:t>
          </a:r>
        </a:p>
      </dgm:t>
    </dgm:pt>
    <dgm:pt modelId="{D3B20386-9E04-45EB-A2E6-B02125A53E12}" type="parTrans" cxnId="{8A9DDA59-04D1-4BC0-870C-AC140ACD00EB}">
      <dgm:prSet>
        <dgm:style>
          <a:lnRef idx="1">
            <a:schemeClr val="dk1"/>
          </a:lnRef>
          <a:fillRef idx="0">
            <a:schemeClr val="dk1"/>
          </a:fillRef>
          <a:effectRef idx="0">
            <a:schemeClr val="dk1"/>
          </a:effectRef>
          <a:fontRef idx="minor">
            <a:schemeClr val="tx1"/>
          </a:fontRef>
        </dgm:style>
      </dgm:prSet>
      <dgm:spPr>
        <a:xfrm>
          <a:off x="2787987" y="632551"/>
          <a:ext cx="253324" cy="272323"/>
        </a:xfrm>
        <a:ln/>
      </dgm:spPr>
      <dgm:t>
        <a:bodyPr/>
        <a:lstStyle/>
        <a:p>
          <a:endParaRPr lang="en-US">
            <a:latin typeface="+mn-lt"/>
          </a:endParaRPr>
        </a:p>
      </dgm:t>
    </dgm:pt>
    <dgm:pt modelId="{6963F89C-3D7E-4998-AF42-D9D78C353D23}" type="sibTrans" cxnId="{8A9DDA59-04D1-4BC0-870C-AC140ACD00EB}">
      <dgm:prSet/>
      <dgm:spPr/>
      <dgm:t>
        <a:bodyPr/>
        <a:lstStyle/>
        <a:p>
          <a:endParaRPr lang="en-US">
            <a:latin typeface="+mn-lt"/>
          </a:endParaRPr>
        </a:p>
      </dgm:t>
    </dgm:pt>
    <dgm:pt modelId="{3F7E7B3A-B2A6-4142-877A-E95757E14281}">
      <dgm:prSet phldrT="[Text]"/>
      <dgm:spPr>
        <a:xfrm>
          <a:off x="3041312" y="984038"/>
          <a:ext cx="1266620" cy="386319"/>
        </a:xfrm>
        <a:solidFill>
          <a:srgbClr val="448A99"/>
        </a:solidFill>
        <a:ln>
          <a:noFill/>
        </a:ln>
        <a:effectLst/>
      </dgm:spPr>
      <dgm:t>
        <a:bodyPr/>
        <a:lstStyle/>
        <a:p>
          <a:r>
            <a:rPr lang="en-US">
              <a:solidFill>
                <a:sysClr val="window" lastClr="FFFFFF"/>
              </a:solidFill>
              <a:latin typeface="+mn-lt"/>
              <a:ea typeface="+mn-ea"/>
              <a:cs typeface="+mn-cs"/>
            </a:rPr>
            <a:t>7 spillover sites qualified</a:t>
          </a:r>
        </a:p>
      </dgm:t>
    </dgm:pt>
    <dgm:pt modelId="{6385C651-19C1-40AB-9D98-7D30E92BF95A}" type="parTrans" cxnId="{E66C6B4D-B3EB-4C7D-817D-E1ACC56B1E3F}">
      <dgm:prSet>
        <dgm:style>
          <a:lnRef idx="1">
            <a:schemeClr val="dk1"/>
          </a:lnRef>
          <a:fillRef idx="0">
            <a:schemeClr val="dk1"/>
          </a:fillRef>
          <a:effectRef idx="0">
            <a:schemeClr val="dk1"/>
          </a:effectRef>
          <a:fontRef idx="minor">
            <a:schemeClr val="tx1"/>
          </a:fontRef>
        </dgm:style>
      </dgm:prSet>
      <dgm:spPr>
        <a:xfrm>
          <a:off x="2787987" y="904875"/>
          <a:ext cx="253324" cy="272323"/>
        </a:xfrm>
        <a:ln/>
      </dgm:spPr>
      <dgm:t>
        <a:bodyPr/>
        <a:lstStyle/>
        <a:p>
          <a:endParaRPr lang="en-US">
            <a:latin typeface="+mn-lt"/>
          </a:endParaRPr>
        </a:p>
      </dgm:t>
    </dgm:pt>
    <dgm:pt modelId="{E8569080-C177-4D21-9F26-AA7E1E8A210B}" type="sibTrans" cxnId="{E66C6B4D-B3EB-4C7D-817D-E1ACC56B1E3F}">
      <dgm:prSet/>
      <dgm:spPr/>
      <dgm:t>
        <a:bodyPr/>
        <a:lstStyle/>
        <a:p>
          <a:endParaRPr lang="en-US">
            <a:latin typeface="+mn-lt"/>
          </a:endParaRPr>
        </a:p>
      </dgm:t>
    </dgm:pt>
    <dgm:pt modelId="{E4B80669-DAA9-4EC9-9646-FFBA8EE543B4}">
      <dgm:prSet phldrT="[Text]"/>
      <dgm:spPr>
        <a:xfrm>
          <a:off x="4561256" y="1256362"/>
          <a:ext cx="1266620" cy="386319"/>
        </a:xfrm>
        <a:solidFill>
          <a:srgbClr val="448A99"/>
        </a:solidFill>
        <a:ln>
          <a:noFill/>
        </a:ln>
        <a:effectLst/>
      </dgm:spPr>
      <dgm:t>
        <a:bodyPr/>
        <a:lstStyle/>
        <a:p>
          <a:r>
            <a:rPr lang="en-US">
              <a:solidFill>
                <a:sysClr val="window" lastClr="FFFFFF"/>
              </a:solidFill>
              <a:latin typeface="+mn-lt"/>
              <a:ea typeface="+mn-ea"/>
              <a:cs typeface="+mn-cs"/>
            </a:rPr>
            <a:t>5 spillover sites could be quantified</a:t>
          </a:r>
        </a:p>
      </dgm:t>
    </dgm:pt>
    <dgm:pt modelId="{EFF7FA0E-694C-4A6F-9A50-15107182C3F5}" type="parTrans" cxnId="{1FF0D488-9BD0-4857-AFC8-3A86D9A0279B}">
      <dgm:prSet>
        <dgm:style>
          <a:lnRef idx="1">
            <a:schemeClr val="dk1"/>
          </a:lnRef>
          <a:fillRef idx="0">
            <a:schemeClr val="dk1"/>
          </a:fillRef>
          <a:effectRef idx="0">
            <a:schemeClr val="dk1"/>
          </a:effectRef>
          <a:fontRef idx="minor">
            <a:schemeClr val="tx1"/>
          </a:fontRef>
        </dgm:style>
      </dgm:prSet>
      <dgm:spPr>
        <a:xfrm>
          <a:off x="4307932" y="1177198"/>
          <a:ext cx="253324" cy="272323"/>
        </a:xfrm>
        <a:ln/>
      </dgm:spPr>
      <dgm:t>
        <a:bodyPr/>
        <a:lstStyle/>
        <a:p>
          <a:endParaRPr lang="en-US">
            <a:latin typeface="+mn-lt"/>
          </a:endParaRPr>
        </a:p>
      </dgm:t>
    </dgm:pt>
    <dgm:pt modelId="{0F57E0E4-4993-4857-A1EE-4517DBFC4F01}" type="sibTrans" cxnId="{1FF0D488-9BD0-4857-AFC8-3A86D9A0279B}">
      <dgm:prSet/>
      <dgm:spPr/>
      <dgm:t>
        <a:bodyPr/>
        <a:lstStyle/>
        <a:p>
          <a:endParaRPr lang="en-US">
            <a:latin typeface="+mn-lt"/>
          </a:endParaRPr>
        </a:p>
      </dgm:t>
    </dgm:pt>
    <dgm:pt modelId="{D8A0AE96-0A2A-4C0C-A791-D5A8D5E3A3E1}">
      <dgm:prSet/>
      <dgm:spPr>
        <a:xfrm>
          <a:off x="4561256" y="711715"/>
          <a:ext cx="1266620" cy="386319"/>
        </a:xfrm>
        <a:solidFill>
          <a:srgbClr val="448A99"/>
        </a:solidFill>
        <a:ln>
          <a:noFill/>
        </a:ln>
        <a:effectLst/>
      </dgm:spPr>
      <dgm:t>
        <a:bodyPr/>
        <a:lstStyle/>
        <a:p>
          <a:r>
            <a:rPr lang="en-US">
              <a:solidFill>
                <a:sysClr val="window" lastClr="FFFFFF"/>
              </a:solidFill>
              <a:latin typeface="+mn-lt"/>
              <a:ea typeface="+mn-ea"/>
              <a:cs typeface="+mn-cs"/>
            </a:rPr>
            <a:t>2 spillover site gave the program zero influence</a:t>
          </a:r>
        </a:p>
      </dgm:t>
    </dgm:pt>
    <dgm:pt modelId="{CA16FB7D-5905-47EC-A3F1-4EB6110069C8}" type="sibTrans" cxnId="{BEDD9441-05B4-4E11-8B15-4A8A8D726C31}">
      <dgm:prSet/>
      <dgm:spPr/>
      <dgm:t>
        <a:bodyPr/>
        <a:lstStyle/>
        <a:p>
          <a:endParaRPr lang="en-US">
            <a:latin typeface="+mn-lt"/>
          </a:endParaRPr>
        </a:p>
      </dgm:t>
    </dgm:pt>
    <dgm:pt modelId="{0EEC636F-983C-43F1-97C7-69FDF8238083}" type="parTrans" cxnId="{BEDD9441-05B4-4E11-8B15-4A8A8D726C31}">
      <dgm:prSet>
        <dgm:style>
          <a:lnRef idx="1">
            <a:schemeClr val="dk1"/>
          </a:lnRef>
          <a:fillRef idx="0">
            <a:schemeClr val="dk1"/>
          </a:fillRef>
          <a:effectRef idx="0">
            <a:schemeClr val="dk1"/>
          </a:effectRef>
          <a:fontRef idx="minor">
            <a:schemeClr val="tx1"/>
          </a:fontRef>
        </dgm:style>
      </dgm:prSet>
      <dgm:spPr>
        <a:xfrm>
          <a:off x="4307932" y="904875"/>
          <a:ext cx="253324" cy="272323"/>
        </a:xfrm>
        <a:ln/>
      </dgm:spPr>
      <dgm:t>
        <a:bodyPr/>
        <a:lstStyle/>
        <a:p>
          <a:endParaRPr lang="en-US">
            <a:latin typeface="+mn-lt"/>
          </a:endParaRPr>
        </a:p>
      </dgm:t>
    </dgm:pt>
    <dgm:pt modelId="{3C1BBFB4-4B90-4B04-ADFB-6A9531F01150}" type="pres">
      <dgm:prSet presAssocID="{F6C493EB-AF24-4F1B-A691-F39D2E4C8BD2}" presName="hierChild1" presStyleCnt="0">
        <dgm:presLayoutVars>
          <dgm:orgChart val="1"/>
          <dgm:chPref val="1"/>
          <dgm:dir/>
          <dgm:animOne val="branch"/>
          <dgm:animLvl val="lvl"/>
          <dgm:resizeHandles/>
        </dgm:presLayoutVars>
      </dgm:prSet>
      <dgm:spPr/>
      <dgm:t>
        <a:bodyPr/>
        <a:lstStyle/>
        <a:p>
          <a:endParaRPr lang="en-US"/>
        </a:p>
      </dgm:t>
    </dgm:pt>
    <dgm:pt modelId="{D68AF135-A9FD-4CBA-8A5D-11153F616D12}" type="pres">
      <dgm:prSet presAssocID="{5B7D7972-CC83-4C51-BCE3-CCE9A569F9D9}" presName="hierRoot1" presStyleCnt="0">
        <dgm:presLayoutVars>
          <dgm:hierBranch val="init"/>
        </dgm:presLayoutVars>
      </dgm:prSet>
      <dgm:spPr/>
    </dgm:pt>
    <dgm:pt modelId="{C9E53459-9664-45DE-9B6C-1611A0EA7F1A}" type="pres">
      <dgm:prSet presAssocID="{5B7D7972-CC83-4C51-BCE3-CCE9A569F9D9}" presName="rootComposite1" presStyleCnt="0"/>
      <dgm:spPr/>
    </dgm:pt>
    <dgm:pt modelId="{03BA50CC-3F1A-4DF8-928D-AD57B0D594DF}" type="pres">
      <dgm:prSet presAssocID="{5B7D7972-CC83-4C51-BCE3-CCE9A569F9D9}" presName="rootText1" presStyleLbl="node0" presStyleIdx="0" presStyleCnt="1">
        <dgm:presLayoutVars>
          <dgm:chPref val="3"/>
        </dgm:presLayoutVars>
      </dgm:prSet>
      <dgm:spPr>
        <a:xfrm>
          <a:off x="1423" y="751619"/>
          <a:ext cx="1266942" cy="386417"/>
        </a:xfrm>
        <a:prstGeom prst="rect">
          <a:avLst/>
        </a:prstGeom>
      </dgm:spPr>
      <dgm:t>
        <a:bodyPr/>
        <a:lstStyle/>
        <a:p>
          <a:endParaRPr lang="en-US"/>
        </a:p>
      </dgm:t>
    </dgm:pt>
    <dgm:pt modelId="{272CDEE4-B188-41E9-89B1-867BA8621818}" type="pres">
      <dgm:prSet presAssocID="{5B7D7972-CC83-4C51-BCE3-CCE9A569F9D9}" presName="rootConnector1" presStyleLbl="node1" presStyleIdx="0" presStyleCnt="0"/>
      <dgm:spPr/>
      <dgm:t>
        <a:bodyPr/>
        <a:lstStyle/>
        <a:p>
          <a:endParaRPr lang="en-US"/>
        </a:p>
      </dgm:t>
    </dgm:pt>
    <dgm:pt modelId="{222203AD-11EB-47E8-B2B1-6B324D4BDE1D}" type="pres">
      <dgm:prSet presAssocID="{5B7D7972-CC83-4C51-BCE3-CCE9A569F9D9}" presName="hierChild2" presStyleCnt="0"/>
      <dgm:spPr/>
    </dgm:pt>
    <dgm:pt modelId="{BBD9FF49-78AA-4CD2-9817-F8CE4DF3D05F}" type="pres">
      <dgm:prSet presAssocID="{088E7A96-3D4B-4FAF-B832-E0DC4239752B}" presName="Name64" presStyleLbl="parChTrans1D2" presStyleIdx="0" presStyleCnt="2"/>
      <dgm:spPr>
        <a:custGeom>
          <a:avLst/>
          <a:gdLst/>
          <a:ahLst/>
          <a:cxnLst/>
          <a:rect l="0" t="0" r="0" b="0"/>
          <a:pathLst>
            <a:path>
              <a:moveTo>
                <a:pt x="0" y="272392"/>
              </a:moveTo>
              <a:lnTo>
                <a:pt x="126694" y="272392"/>
              </a:lnTo>
              <a:lnTo>
                <a:pt x="126694" y="0"/>
              </a:lnTo>
              <a:lnTo>
                <a:pt x="253388" y="0"/>
              </a:lnTo>
            </a:path>
          </a:pathLst>
        </a:custGeom>
      </dgm:spPr>
      <dgm:t>
        <a:bodyPr/>
        <a:lstStyle/>
        <a:p>
          <a:endParaRPr lang="en-US"/>
        </a:p>
      </dgm:t>
    </dgm:pt>
    <dgm:pt modelId="{0C15CB30-F903-4898-8312-A589B97D4A2B}" type="pres">
      <dgm:prSet presAssocID="{F54700A6-25EC-4213-9F48-98720EFADBC8}" presName="hierRoot2" presStyleCnt="0">
        <dgm:presLayoutVars>
          <dgm:hierBranch val="init"/>
        </dgm:presLayoutVars>
      </dgm:prSet>
      <dgm:spPr/>
    </dgm:pt>
    <dgm:pt modelId="{1AED5797-C9F0-49A2-AC66-CA0F3E02AA99}" type="pres">
      <dgm:prSet presAssocID="{F54700A6-25EC-4213-9F48-98720EFADBC8}" presName="rootComposite" presStyleCnt="0"/>
      <dgm:spPr/>
    </dgm:pt>
    <dgm:pt modelId="{08B3B01A-5D34-475E-86EF-018EABA31524}" type="pres">
      <dgm:prSet presAssocID="{F54700A6-25EC-4213-9F48-98720EFADBC8}" presName="rootText" presStyleLbl="node2" presStyleIdx="0" presStyleCnt="2">
        <dgm:presLayoutVars>
          <dgm:chPref val="3"/>
        </dgm:presLayoutVars>
      </dgm:prSet>
      <dgm:spPr>
        <a:xfrm>
          <a:off x="1521754" y="479226"/>
          <a:ext cx="1266942" cy="386417"/>
        </a:xfrm>
        <a:prstGeom prst="rect">
          <a:avLst/>
        </a:prstGeom>
      </dgm:spPr>
      <dgm:t>
        <a:bodyPr/>
        <a:lstStyle/>
        <a:p>
          <a:endParaRPr lang="en-US"/>
        </a:p>
      </dgm:t>
    </dgm:pt>
    <dgm:pt modelId="{7A345378-FE11-4080-99C8-5F7644934896}" type="pres">
      <dgm:prSet presAssocID="{F54700A6-25EC-4213-9F48-98720EFADBC8}" presName="rootConnector" presStyleLbl="node2" presStyleIdx="0" presStyleCnt="2"/>
      <dgm:spPr/>
      <dgm:t>
        <a:bodyPr/>
        <a:lstStyle/>
        <a:p>
          <a:endParaRPr lang="en-US"/>
        </a:p>
      </dgm:t>
    </dgm:pt>
    <dgm:pt modelId="{64735E6D-2F38-4B7F-A57B-1682ABF40522}" type="pres">
      <dgm:prSet presAssocID="{F54700A6-25EC-4213-9F48-98720EFADBC8}" presName="hierChild4" presStyleCnt="0"/>
      <dgm:spPr/>
    </dgm:pt>
    <dgm:pt modelId="{7398E959-4DBA-42F1-904A-4682A35FE216}" type="pres">
      <dgm:prSet presAssocID="{F54700A6-25EC-4213-9F48-98720EFADBC8}" presName="hierChild5" presStyleCnt="0"/>
      <dgm:spPr/>
    </dgm:pt>
    <dgm:pt modelId="{D9B00A7C-FE9E-489F-B06F-604EDFCFD559}" type="pres">
      <dgm:prSet presAssocID="{7233B709-E844-4EDD-91D2-44AA28D37187}" presName="Name64" presStyleLbl="parChTrans1D2" presStyleIdx="1" presStyleCnt="2"/>
      <dgm:spPr>
        <a:custGeom>
          <a:avLst/>
          <a:gdLst/>
          <a:ahLst/>
          <a:cxnLst/>
          <a:rect l="0" t="0" r="0" b="0"/>
          <a:pathLst>
            <a:path>
              <a:moveTo>
                <a:pt x="0" y="0"/>
              </a:moveTo>
              <a:lnTo>
                <a:pt x="126694" y="0"/>
              </a:lnTo>
              <a:lnTo>
                <a:pt x="126694" y="272392"/>
              </a:lnTo>
              <a:lnTo>
                <a:pt x="253388" y="272392"/>
              </a:lnTo>
            </a:path>
          </a:pathLst>
        </a:custGeom>
      </dgm:spPr>
      <dgm:t>
        <a:bodyPr/>
        <a:lstStyle/>
        <a:p>
          <a:endParaRPr lang="en-US"/>
        </a:p>
      </dgm:t>
    </dgm:pt>
    <dgm:pt modelId="{9177BBC2-FD88-4695-A376-96D16F645192}" type="pres">
      <dgm:prSet presAssocID="{1A45C0D1-3D6C-4261-B426-EEDD9AA81D2F}" presName="hierRoot2" presStyleCnt="0">
        <dgm:presLayoutVars>
          <dgm:hierBranch val="init"/>
        </dgm:presLayoutVars>
      </dgm:prSet>
      <dgm:spPr/>
    </dgm:pt>
    <dgm:pt modelId="{346825C7-B477-405E-A307-0886D3CC3DBF}" type="pres">
      <dgm:prSet presAssocID="{1A45C0D1-3D6C-4261-B426-EEDD9AA81D2F}" presName="rootComposite" presStyleCnt="0"/>
      <dgm:spPr/>
    </dgm:pt>
    <dgm:pt modelId="{B47A3475-54EB-4D09-9B1E-8997743800B1}" type="pres">
      <dgm:prSet presAssocID="{1A45C0D1-3D6C-4261-B426-EEDD9AA81D2F}" presName="rootText" presStyleLbl="node2" presStyleIdx="1" presStyleCnt="2">
        <dgm:presLayoutVars>
          <dgm:chPref val="3"/>
        </dgm:presLayoutVars>
      </dgm:prSet>
      <dgm:spPr>
        <a:xfrm>
          <a:off x="1521754" y="1024012"/>
          <a:ext cx="1266942" cy="386417"/>
        </a:xfrm>
        <a:prstGeom prst="rect">
          <a:avLst/>
        </a:prstGeom>
      </dgm:spPr>
      <dgm:t>
        <a:bodyPr/>
        <a:lstStyle/>
        <a:p>
          <a:endParaRPr lang="en-US"/>
        </a:p>
      </dgm:t>
    </dgm:pt>
    <dgm:pt modelId="{DF82D9B8-4253-4ECB-8A6F-BE983299E3B6}" type="pres">
      <dgm:prSet presAssocID="{1A45C0D1-3D6C-4261-B426-EEDD9AA81D2F}" presName="rootConnector" presStyleLbl="node2" presStyleIdx="1" presStyleCnt="2"/>
      <dgm:spPr/>
      <dgm:t>
        <a:bodyPr/>
        <a:lstStyle/>
        <a:p>
          <a:endParaRPr lang="en-US"/>
        </a:p>
      </dgm:t>
    </dgm:pt>
    <dgm:pt modelId="{4CD14454-2789-4315-A004-E296FB6DA409}" type="pres">
      <dgm:prSet presAssocID="{1A45C0D1-3D6C-4261-B426-EEDD9AA81D2F}" presName="hierChild4" presStyleCnt="0"/>
      <dgm:spPr/>
    </dgm:pt>
    <dgm:pt modelId="{1D630538-2DFA-459B-9254-950C32D1F917}" type="pres">
      <dgm:prSet presAssocID="{D3B20386-9E04-45EB-A2E6-B02125A53E12}" presName="Name64" presStyleLbl="parChTrans1D3" presStyleIdx="0" presStyleCnt="2"/>
      <dgm:spPr>
        <a:custGeom>
          <a:avLst/>
          <a:gdLst/>
          <a:ahLst/>
          <a:cxnLst/>
          <a:rect l="0" t="0" r="0" b="0"/>
          <a:pathLst>
            <a:path>
              <a:moveTo>
                <a:pt x="0" y="272392"/>
              </a:moveTo>
              <a:lnTo>
                <a:pt x="126694" y="272392"/>
              </a:lnTo>
              <a:lnTo>
                <a:pt x="126694" y="0"/>
              </a:lnTo>
              <a:lnTo>
                <a:pt x="253388" y="0"/>
              </a:lnTo>
            </a:path>
          </a:pathLst>
        </a:custGeom>
      </dgm:spPr>
      <dgm:t>
        <a:bodyPr/>
        <a:lstStyle/>
        <a:p>
          <a:endParaRPr lang="en-US"/>
        </a:p>
      </dgm:t>
    </dgm:pt>
    <dgm:pt modelId="{119E5904-B5C5-4A07-B9BB-96C0C0BFAA6B}" type="pres">
      <dgm:prSet presAssocID="{261C7F11-3874-4832-A96D-F81786F66D30}" presName="hierRoot2" presStyleCnt="0">
        <dgm:presLayoutVars>
          <dgm:hierBranch val="init"/>
        </dgm:presLayoutVars>
      </dgm:prSet>
      <dgm:spPr/>
    </dgm:pt>
    <dgm:pt modelId="{AA75D36B-0EE0-4393-835B-ADA45C717E45}" type="pres">
      <dgm:prSet presAssocID="{261C7F11-3874-4832-A96D-F81786F66D30}" presName="rootComposite" presStyleCnt="0"/>
      <dgm:spPr/>
    </dgm:pt>
    <dgm:pt modelId="{66049B96-CF2C-4033-861C-83240A94CEAD}" type="pres">
      <dgm:prSet presAssocID="{261C7F11-3874-4832-A96D-F81786F66D30}" presName="rootText" presStyleLbl="node3" presStyleIdx="0" presStyleCnt="2">
        <dgm:presLayoutVars>
          <dgm:chPref val="3"/>
        </dgm:presLayoutVars>
      </dgm:prSet>
      <dgm:spPr>
        <a:xfrm>
          <a:off x="3042086" y="751619"/>
          <a:ext cx="1266942" cy="386417"/>
        </a:xfrm>
        <a:prstGeom prst="rect">
          <a:avLst/>
        </a:prstGeom>
      </dgm:spPr>
      <dgm:t>
        <a:bodyPr/>
        <a:lstStyle/>
        <a:p>
          <a:endParaRPr lang="en-US"/>
        </a:p>
      </dgm:t>
    </dgm:pt>
    <dgm:pt modelId="{97F21F36-EA81-4898-BB1B-1A8D13D5C523}" type="pres">
      <dgm:prSet presAssocID="{261C7F11-3874-4832-A96D-F81786F66D30}" presName="rootConnector" presStyleLbl="node3" presStyleIdx="0" presStyleCnt="2"/>
      <dgm:spPr/>
      <dgm:t>
        <a:bodyPr/>
        <a:lstStyle/>
        <a:p>
          <a:endParaRPr lang="en-US"/>
        </a:p>
      </dgm:t>
    </dgm:pt>
    <dgm:pt modelId="{D6817D0A-0BFE-465C-85F3-588B2346EEC4}" type="pres">
      <dgm:prSet presAssocID="{261C7F11-3874-4832-A96D-F81786F66D30}" presName="hierChild4" presStyleCnt="0"/>
      <dgm:spPr/>
    </dgm:pt>
    <dgm:pt modelId="{6F0984ED-CBD7-4E96-AF11-701989B9F3CE}" type="pres">
      <dgm:prSet presAssocID="{261C7F11-3874-4832-A96D-F81786F66D30}" presName="hierChild5" presStyleCnt="0"/>
      <dgm:spPr/>
    </dgm:pt>
    <dgm:pt modelId="{532D7F59-C571-468D-9EAE-184B84376A59}" type="pres">
      <dgm:prSet presAssocID="{6385C651-19C1-40AB-9D98-7D30E92BF95A}" presName="Name64" presStyleLbl="parChTrans1D3" presStyleIdx="1" presStyleCnt="2"/>
      <dgm:spPr>
        <a:custGeom>
          <a:avLst/>
          <a:gdLst/>
          <a:ahLst/>
          <a:cxnLst/>
          <a:rect l="0" t="0" r="0" b="0"/>
          <a:pathLst>
            <a:path>
              <a:moveTo>
                <a:pt x="0" y="0"/>
              </a:moveTo>
              <a:lnTo>
                <a:pt x="126694" y="0"/>
              </a:lnTo>
              <a:lnTo>
                <a:pt x="126694" y="272392"/>
              </a:lnTo>
              <a:lnTo>
                <a:pt x="253388" y="272392"/>
              </a:lnTo>
            </a:path>
          </a:pathLst>
        </a:custGeom>
      </dgm:spPr>
      <dgm:t>
        <a:bodyPr/>
        <a:lstStyle/>
        <a:p>
          <a:endParaRPr lang="en-US"/>
        </a:p>
      </dgm:t>
    </dgm:pt>
    <dgm:pt modelId="{FF7B29C9-B089-4055-81DB-43060FEC08AA}" type="pres">
      <dgm:prSet presAssocID="{3F7E7B3A-B2A6-4142-877A-E95757E14281}" presName="hierRoot2" presStyleCnt="0">
        <dgm:presLayoutVars>
          <dgm:hierBranch val="init"/>
        </dgm:presLayoutVars>
      </dgm:prSet>
      <dgm:spPr/>
    </dgm:pt>
    <dgm:pt modelId="{6CEFE26F-354E-4813-8A5F-2E6B71A55C49}" type="pres">
      <dgm:prSet presAssocID="{3F7E7B3A-B2A6-4142-877A-E95757E14281}" presName="rootComposite" presStyleCnt="0"/>
      <dgm:spPr/>
    </dgm:pt>
    <dgm:pt modelId="{A5015F12-20EC-44C3-9E52-50FF9C4FBFE0}" type="pres">
      <dgm:prSet presAssocID="{3F7E7B3A-B2A6-4142-877A-E95757E14281}" presName="rootText" presStyleLbl="node3" presStyleIdx="1" presStyleCnt="2">
        <dgm:presLayoutVars>
          <dgm:chPref val="3"/>
        </dgm:presLayoutVars>
      </dgm:prSet>
      <dgm:spPr>
        <a:xfrm>
          <a:off x="3042086" y="1296404"/>
          <a:ext cx="1266942" cy="386417"/>
        </a:xfrm>
        <a:prstGeom prst="rect">
          <a:avLst/>
        </a:prstGeom>
      </dgm:spPr>
      <dgm:t>
        <a:bodyPr/>
        <a:lstStyle/>
        <a:p>
          <a:endParaRPr lang="en-US"/>
        </a:p>
      </dgm:t>
    </dgm:pt>
    <dgm:pt modelId="{92EFAD46-2FB7-4C35-84AE-BD9C7A21D4F1}" type="pres">
      <dgm:prSet presAssocID="{3F7E7B3A-B2A6-4142-877A-E95757E14281}" presName="rootConnector" presStyleLbl="node3" presStyleIdx="1" presStyleCnt="2"/>
      <dgm:spPr/>
      <dgm:t>
        <a:bodyPr/>
        <a:lstStyle/>
        <a:p>
          <a:endParaRPr lang="en-US"/>
        </a:p>
      </dgm:t>
    </dgm:pt>
    <dgm:pt modelId="{A3BCC623-EAA8-48C9-82EA-E40A53F1F0CF}" type="pres">
      <dgm:prSet presAssocID="{3F7E7B3A-B2A6-4142-877A-E95757E14281}" presName="hierChild4" presStyleCnt="0"/>
      <dgm:spPr/>
    </dgm:pt>
    <dgm:pt modelId="{E2680CC2-3C2C-4DEC-B000-3E25D9410C01}" type="pres">
      <dgm:prSet presAssocID="{0EEC636F-983C-43F1-97C7-69FDF8238083}" presName="Name64" presStyleLbl="parChTrans1D4" presStyleIdx="0" presStyleCnt="2"/>
      <dgm:spPr>
        <a:custGeom>
          <a:avLst/>
          <a:gdLst/>
          <a:ahLst/>
          <a:cxnLst/>
          <a:rect l="0" t="0" r="0" b="0"/>
          <a:pathLst>
            <a:path>
              <a:moveTo>
                <a:pt x="0" y="272392"/>
              </a:moveTo>
              <a:lnTo>
                <a:pt x="126694" y="272392"/>
              </a:lnTo>
              <a:lnTo>
                <a:pt x="126694" y="0"/>
              </a:lnTo>
              <a:lnTo>
                <a:pt x="253388" y="0"/>
              </a:lnTo>
            </a:path>
          </a:pathLst>
        </a:custGeom>
      </dgm:spPr>
      <dgm:t>
        <a:bodyPr/>
        <a:lstStyle/>
        <a:p>
          <a:endParaRPr lang="en-US"/>
        </a:p>
      </dgm:t>
    </dgm:pt>
    <dgm:pt modelId="{560F1A87-DB44-4C0F-99B5-F0273A391779}" type="pres">
      <dgm:prSet presAssocID="{D8A0AE96-0A2A-4C0C-A791-D5A8D5E3A3E1}" presName="hierRoot2" presStyleCnt="0">
        <dgm:presLayoutVars>
          <dgm:hierBranch val="init"/>
        </dgm:presLayoutVars>
      </dgm:prSet>
      <dgm:spPr/>
    </dgm:pt>
    <dgm:pt modelId="{37EB79AF-2889-4287-A861-4D3AFB62EFF3}" type="pres">
      <dgm:prSet presAssocID="{D8A0AE96-0A2A-4C0C-A791-D5A8D5E3A3E1}" presName="rootComposite" presStyleCnt="0"/>
      <dgm:spPr/>
    </dgm:pt>
    <dgm:pt modelId="{F4450E7D-2B2A-4C30-A89B-690EC2BBC298}" type="pres">
      <dgm:prSet presAssocID="{D8A0AE96-0A2A-4C0C-A791-D5A8D5E3A3E1}" presName="rootText" presStyleLbl="node4" presStyleIdx="0" presStyleCnt="2">
        <dgm:presLayoutVars>
          <dgm:chPref val="3"/>
        </dgm:presLayoutVars>
      </dgm:prSet>
      <dgm:spPr>
        <a:xfrm>
          <a:off x="4562417" y="1024012"/>
          <a:ext cx="1266942" cy="386417"/>
        </a:xfrm>
        <a:prstGeom prst="rect">
          <a:avLst/>
        </a:prstGeom>
      </dgm:spPr>
      <dgm:t>
        <a:bodyPr/>
        <a:lstStyle/>
        <a:p>
          <a:endParaRPr lang="en-US"/>
        </a:p>
      </dgm:t>
    </dgm:pt>
    <dgm:pt modelId="{DF819D3B-B86A-4C03-A87F-1E8900CD15BD}" type="pres">
      <dgm:prSet presAssocID="{D8A0AE96-0A2A-4C0C-A791-D5A8D5E3A3E1}" presName="rootConnector" presStyleLbl="node4" presStyleIdx="0" presStyleCnt="2"/>
      <dgm:spPr/>
      <dgm:t>
        <a:bodyPr/>
        <a:lstStyle/>
        <a:p>
          <a:endParaRPr lang="en-US"/>
        </a:p>
      </dgm:t>
    </dgm:pt>
    <dgm:pt modelId="{B4B08580-47FA-4237-A85F-4167FC919B49}" type="pres">
      <dgm:prSet presAssocID="{D8A0AE96-0A2A-4C0C-A791-D5A8D5E3A3E1}" presName="hierChild4" presStyleCnt="0"/>
      <dgm:spPr/>
    </dgm:pt>
    <dgm:pt modelId="{D97F951C-4324-4170-BE04-CC696003AF1E}" type="pres">
      <dgm:prSet presAssocID="{D8A0AE96-0A2A-4C0C-A791-D5A8D5E3A3E1}" presName="hierChild5" presStyleCnt="0"/>
      <dgm:spPr/>
    </dgm:pt>
    <dgm:pt modelId="{E41AA59A-6276-4971-AE0D-060F09ED7BC1}" type="pres">
      <dgm:prSet presAssocID="{EFF7FA0E-694C-4A6F-9A50-15107182C3F5}" presName="Name64" presStyleLbl="parChTrans1D4" presStyleIdx="1" presStyleCnt="2"/>
      <dgm:spPr>
        <a:custGeom>
          <a:avLst/>
          <a:gdLst/>
          <a:ahLst/>
          <a:cxnLst/>
          <a:rect l="0" t="0" r="0" b="0"/>
          <a:pathLst>
            <a:path>
              <a:moveTo>
                <a:pt x="0" y="0"/>
              </a:moveTo>
              <a:lnTo>
                <a:pt x="126694" y="0"/>
              </a:lnTo>
              <a:lnTo>
                <a:pt x="126694" y="272392"/>
              </a:lnTo>
              <a:lnTo>
                <a:pt x="253388" y="272392"/>
              </a:lnTo>
            </a:path>
          </a:pathLst>
        </a:custGeom>
      </dgm:spPr>
      <dgm:t>
        <a:bodyPr/>
        <a:lstStyle/>
        <a:p>
          <a:endParaRPr lang="en-US"/>
        </a:p>
      </dgm:t>
    </dgm:pt>
    <dgm:pt modelId="{1BCCE4C6-F2BE-4A9A-B37E-D167D8AB557A}" type="pres">
      <dgm:prSet presAssocID="{E4B80669-DAA9-4EC9-9646-FFBA8EE543B4}" presName="hierRoot2" presStyleCnt="0">
        <dgm:presLayoutVars>
          <dgm:hierBranch val="init"/>
        </dgm:presLayoutVars>
      </dgm:prSet>
      <dgm:spPr/>
    </dgm:pt>
    <dgm:pt modelId="{35E5F404-A44F-4EC9-8995-DC5BAE93A8DD}" type="pres">
      <dgm:prSet presAssocID="{E4B80669-DAA9-4EC9-9646-FFBA8EE543B4}" presName="rootComposite" presStyleCnt="0"/>
      <dgm:spPr/>
    </dgm:pt>
    <dgm:pt modelId="{CC3FC086-3518-4B31-BF07-34A88EAB0CD6}" type="pres">
      <dgm:prSet presAssocID="{E4B80669-DAA9-4EC9-9646-FFBA8EE543B4}" presName="rootText" presStyleLbl="node4" presStyleIdx="1" presStyleCnt="2">
        <dgm:presLayoutVars>
          <dgm:chPref val="3"/>
        </dgm:presLayoutVars>
      </dgm:prSet>
      <dgm:spPr>
        <a:xfrm>
          <a:off x="4562417" y="1568797"/>
          <a:ext cx="1266942" cy="386417"/>
        </a:xfrm>
        <a:prstGeom prst="rect">
          <a:avLst/>
        </a:prstGeom>
      </dgm:spPr>
      <dgm:t>
        <a:bodyPr/>
        <a:lstStyle/>
        <a:p>
          <a:endParaRPr lang="en-US"/>
        </a:p>
      </dgm:t>
    </dgm:pt>
    <dgm:pt modelId="{35F94BBC-7061-4B97-87AB-EEF26C0789EC}" type="pres">
      <dgm:prSet presAssocID="{E4B80669-DAA9-4EC9-9646-FFBA8EE543B4}" presName="rootConnector" presStyleLbl="node4" presStyleIdx="1" presStyleCnt="2"/>
      <dgm:spPr/>
      <dgm:t>
        <a:bodyPr/>
        <a:lstStyle/>
        <a:p>
          <a:endParaRPr lang="en-US"/>
        </a:p>
      </dgm:t>
    </dgm:pt>
    <dgm:pt modelId="{B6DF4C18-7546-423B-B9BD-902F45880565}" type="pres">
      <dgm:prSet presAssocID="{E4B80669-DAA9-4EC9-9646-FFBA8EE543B4}" presName="hierChild4" presStyleCnt="0"/>
      <dgm:spPr/>
    </dgm:pt>
    <dgm:pt modelId="{4EC0810D-733B-4188-9037-A6833D73F59D}" type="pres">
      <dgm:prSet presAssocID="{E4B80669-DAA9-4EC9-9646-FFBA8EE543B4}" presName="hierChild5" presStyleCnt="0"/>
      <dgm:spPr/>
    </dgm:pt>
    <dgm:pt modelId="{DBC47027-E05D-4E7F-8283-57E47B1487B3}" type="pres">
      <dgm:prSet presAssocID="{3F7E7B3A-B2A6-4142-877A-E95757E14281}" presName="hierChild5" presStyleCnt="0"/>
      <dgm:spPr/>
    </dgm:pt>
    <dgm:pt modelId="{8216C10A-B36B-4F1B-8024-E2003AE83441}" type="pres">
      <dgm:prSet presAssocID="{1A45C0D1-3D6C-4261-B426-EEDD9AA81D2F}" presName="hierChild5" presStyleCnt="0"/>
      <dgm:spPr/>
    </dgm:pt>
    <dgm:pt modelId="{BA735AF5-C981-4E89-AFBD-267460EEDE09}" type="pres">
      <dgm:prSet presAssocID="{5B7D7972-CC83-4C51-BCE3-CCE9A569F9D9}" presName="hierChild3" presStyleCnt="0"/>
      <dgm:spPr/>
    </dgm:pt>
  </dgm:ptLst>
  <dgm:cxnLst>
    <dgm:cxn modelId="{A0757032-9F62-4C23-9017-662873C2675C}" type="presOf" srcId="{F54700A6-25EC-4213-9F48-98720EFADBC8}" destId="{7A345378-FE11-4080-99C8-5F7644934896}" srcOrd="1" destOrd="0" presId="urn:microsoft.com/office/officeart/2009/3/layout/HorizontalOrganizationChart"/>
    <dgm:cxn modelId="{592FE845-4BCD-47ED-8010-EDB2EDDCCD8D}" type="presOf" srcId="{D8A0AE96-0A2A-4C0C-A791-D5A8D5E3A3E1}" destId="{F4450E7D-2B2A-4C30-A89B-690EC2BBC298}" srcOrd="0" destOrd="0" presId="urn:microsoft.com/office/officeart/2009/3/layout/HorizontalOrganizationChart"/>
    <dgm:cxn modelId="{1519A905-6A34-41E7-ABF1-23BCAFF687DB}" srcId="{5B7D7972-CC83-4C51-BCE3-CCE9A569F9D9}" destId="{F54700A6-25EC-4213-9F48-98720EFADBC8}" srcOrd="0" destOrd="0" parTransId="{088E7A96-3D4B-4FAF-B832-E0DC4239752B}" sibTransId="{BA2F55CD-70F8-4698-802C-31317F764CC7}"/>
    <dgm:cxn modelId="{BEDD9441-05B4-4E11-8B15-4A8A8D726C31}" srcId="{3F7E7B3A-B2A6-4142-877A-E95757E14281}" destId="{D8A0AE96-0A2A-4C0C-A791-D5A8D5E3A3E1}" srcOrd="0" destOrd="0" parTransId="{0EEC636F-983C-43F1-97C7-69FDF8238083}" sibTransId="{CA16FB7D-5905-47EC-A3F1-4EB6110069C8}"/>
    <dgm:cxn modelId="{D6DC11B0-F509-47ED-8B78-BB2D624E2AD4}" type="presOf" srcId="{261C7F11-3874-4832-A96D-F81786F66D30}" destId="{97F21F36-EA81-4898-BB1B-1A8D13D5C523}" srcOrd="1" destOrd="0" presId="urn:microsoft.com/office/officeart/2009/3/layout/HorizontalOrganizationChart"/>
    <dgm:cxn modelId="{EEAD01D5-64FA-48B3-99C9-9BF1F752A13E}" type="presOf" srcId="{088E7A96-3D4B-4FAF-B832-E0DC4239752B}" destId="{BBD9FF49-78AA-4CD2-9817-F8CE4DF3D05F}" srcOrd="0" destOrd="0" presId="urn:microsoft.com/office/officeart/2009/3/layout/HorizontalOrganizationChart"/>
    <dgm:cxn modelId="{A8E3DAFF-9249-4646-8B06-91D619979E35}" type="presOf" srcId="{F54700A6-25EC-4213-9F48-98720EFADBC8}" destId="{08B3B01A-5D34-475E-86EF-018EABA31524}" srcOrd="0" destOrd="0" presId="urn:microsoft.com/office/officeart/2009/3/layout/HorizontalOrganizationChart"/>
    <dgm:cxn modelId="{EE7FF2C1-530A-4CD5-822B-BCAFA445288B}" type="presOf" srcId="{5B7D7972-CC83-4C51-BCE3-CCE9A569F9D9}" destId="{03BA50CC-3F1A-4DF8-928D-AD57B0D594DF}" srcOrd="0" destOrd="0" presId="urn:microsoft.com/office/officeart/2009/3/layout/HorizontalOrganizationChart"/>
    <dgm:cxn modelId="{8A9DDA59-04D1-4BC0-870C-AC140ACD00EB}" srcId="{1A45C0D1-3D6C-4261-B426-EEDD9AA81D2F}" destId="{261C7F11-3874-4832-A96D-F81786F66D30}" srcOrd="0" destOrd="0" parTransId="{D3B20386-9E04-45EB-A2E6-B02125A53E12}" sibTransId="{6963F89C-3D7E-4998-AF42-D9D78C353D23}"/>
    <dgm:cxn modelId="{219C786E-1256-44EB-B0DB-84F10E424A15}" type="presOf" srcId="{3F7E7B3A-B2A6-4142-877A-E95757E14281}" destId="{A5015F12-20EC-44C3-9E52-50FF9C4FBFE0}" srcOrd="0" destOrd="0" presId="urn:microsoft.com/office/officeart/2009/3/layout/HorizontalOrganizationChart"/>
    <dgm:cxn modelId="{B5661DE7-2B8F-461E-813F-4DC3EF2354D4}" type="presOf" srcId="{F6C493EB-AF24-4F1B-A691-F39D2E4C8BD2}" destId="{3C1BBFB4-4B90-4B04-ADFB-6A9531F01150}" srcOrd="0" destOrd="0" presId="urn:microsoft.com/office/officeart/2009/3/layout/HorizontalOrganizationChart"/>
    <dgm:cxn modelId="{B0245CAA-6FAB-4CC3-B161-CA5F89459B8F}" type="presOf" srcId="{D8A0AE96-0A2A-4C0C-A791-D5A8D5E3A3E1}" destId="{DF819D3B-B86A-4C03-A87F-1E8900CD15BD}" srcOrd="1" destOrd="0" presId="urn:microsoft.com/office/officeart/2009/3/layout/HorizontalOrganizationChart"/>
    <dgm:cxn modelId="{CA6D2BB4-A723-4B49-A4C1-59746242B944}" type="presOf" srcId="{0EEC636F-983C-43F1-97C7-69FDF8238083}" destId="{E2680CC2-3C2C-4DEC-B000-3E25D9410C01}" srcOrd="0" destOrd="0" presId="urn:microsoft.com/office/officeart/2009/3/layout/HorizontalOrganizationChart"/>
    <dgm:cxn modelId="{6F07906F-A221-45FC-B8DA-53A0777FCF24}" type="presOf" srcId="{E4B80669-DAA9-4EC9-9646-FFBA8EE543B4}" destId="{35F94BBC-7061-4B97-87AB-EEF26C0789EC}" srcOrd="1" destOrd="0" presId="urn:microsoft.com/office/officeart/2009/3/layout/HorizontalOrganizationChart"/>
    <dgm:cxn modelId="{30A1BBEF-E38B-4551-8863-E3B565E69BA8}" type="presOf" srcId="{E4B80669-DAA9-4EC9-9646-FFBA8EE543B4}" destId="{CC3FC086-3518-4B31-BF07-34A88EAB0CD6}" srcOrd="0" destOrd="0" presId="urn:microsoft.com/office/officeart/2009/3/layout/HorizontalOrganizationChart"/>
    <dgm:cxn modelId="{9039EB39-63BC-4587-BC75-AA39D95728C0}" type="presOf" srcId="{EFF7FA0E-694C-4A6F-9A50-15107182C3F5}" destId="{E41AA59A-6276-4971-AE0D-060F09ED7BC1}" srcOrd="0" destOrd="0" presId="urn:microsoft.com/office/officeart/2009/3/layout/HorizontalOrganizationChart"/>
    <dgm:cxn modelId="{4F5E63B9-05E0-4A02-98E3-D11A7BF1ECD5}" type="presOf" srcId="{1A45C0D1-3D6C-4261-B426-EEDD9AA81D2F}" destId="{DF82D9B8-4253-4ECB-8A6F-BE983299E3B6}" srcOrd="1" destOrd="0" presId="urn:microsoft.com/office/officeart/2009/3/layout/HorizontalOrganizationChart"/>
    <dgm:cxn modelId="{E66C6B4D-B3EB-4C7D-817D-E1ACC56B1E3F}" srcId="{1A45C0D1-3D6C-4261-B426-EEDD9AA81D2F}" destId="{3F7E7B3A-B2A6-4142-877A-E95757E14281}" srcOrd="1" destOrd="0" parTransId="{6385C651-19C1-40AB-9D98-7D30E92BF95A}" sibTransId="{E8569080-C177-4D21-9F26-AA7E1E8A210B}"/>
    <dgm:cxn modelId="{48209363-A1A7-471A-8962-13B2E5D7348F}" type="presOf" srcId="{3F7E7B3A-B2A6-4142-877A-E95757E14281}" destId="{92EFAD46-2FB7-4C35-84AE-BD9C7A21D4F1}" srcOrd="1" destOrd="0" presId="urn:microsoft.com/office/officeart/2009/3/layout/HorizontalOrganizationChart"/>
    <dgm:cxn modelId="{127DB82F-5DC1-47E7-9260-25F4693F933F}" type="presOf" srcId="{261C7F11-3874-4832-A96D-F81786F66D30}" destId="{66049B96-CF2C-4033-861C-83240A94CEAD}" srcOrd="0" destOrd="0" presId="urn:microsoft.com/office/officeart/2009/3/layout/HorizontalOrganizationChart"/>
    <dgm:cxn modelId="{3C589E93-9C20-4FC5-8833-2E8CA1CD5BFC}" srcId="{5B7D7972-CC83-4C51-BCE3-CCE9A569F9D9}" destId="{1A45C0D1-3D6C-4261-B426-EEDD9AA81D2F}" srcOrd="1" destOrd="0" parTransId="{7233B709-E844-4EDD-91D2-44AA28D37187}" sibTransId="{B1F9D004-C302-4423-A7E8-8858BF5C2C8C}"/>
    <dgm:cxn modelId="{DDD140F5-02CF-4046-B2F0-5F1B76989956}" type="presOf" srcId="{6385C651-19C1-40AB-9D98-7D30E92BF95A}" destId="{532D7F59-C571-468D-9EAE-184B84376A59}" srcOrd="0" destOrd="0" presId="urn:microsoft.com/office/officeart/2009/3/layout/HorizontalOrganizationChart"/>
    <dgm:cxn modelId="{1FF0D488-9BD0-4857-AFC8-3A86D9A0279B}" srcId="{3F7E7B3A-B2A6-4142-877A-E95757E14281}" destId="{E4B80669-DAA9-4EC9-9646-FFBA8EE543B4}" srcOrd="1" destOrd="0" parTransId="{EFF7FA0E-694C-4A6F-9A50-15107182C3F5}" sibTransId="{0F57E0E4-4993-4857-A1EE-4517DBFC4F01}"/>
    <dgm:cxn modelId="{5488CFD5-DCD8-4680-ABD6-063D20DD4714}" type="presOf" srcId="{7233B709-E844-4EDD-91D2-44AA28D37187}" destId="{D9B00A7C-FE9E-489F-B06F-604EDFCFD559}" srcOrd="0" destOrd="0" presId="urn:microsoft.com/office/officeart/2009/3/layout/HorizontalOrganizationChart"/>
    <dgm:cxn modelId="{CF4CE20F-C9FC-4818-AE46-D843D0E51401}" type="presOf" srcId="{1A45C0D1-3D6C-4261-B426-EEDD9AA81D2F}" destId="{B47A3475-54EB-4D09-9B1E-8997743800B1}" srcOrd="0" destOrd="0" presId="urn:microsoft.com/office/officeart/2009/3/layout/HorizontalOrganizationChart"/>
    <dgm:cxn modelId="{1236D39C-0C6D-4658-8D6A-5F8CB1E13BFD}" type="presOf" srcId="{D3B20386-9E04-45EB-A2E6-B02125A53E12}" destId="{1D630538-2DFA-459B-9254-950C32D1F917}" srcOrd="0" destOrd="0" presId="urn:microsoft.com/office/officeart/2009/3/layout/HorizontalOrganizationChart"/>
    <dgm:cxn modelId="{F662BEA9-E53C-4E83-B923-D1BAB9CC55D0}" srcId="{F6C493EB-AF24-4F1B-A691-F39D2E4C8BD2}" destId="{5B7D7972-CC83-4C51-BCE3-CCE9A569F9D9}" srcOrd="0" destOrd="0" parTransId="{1DFACCB9-89AC-4E0E-ACAA-7702991BF730}" sibTransId="{2F485BD6-FC48-42B2-925D-B9B5A1120E55}"/>
    <dgm:cxn modelId="{F0801845-8283-4CCF-B41A-C98F38C46E69}" type="presOf" srcId="{5B7D7972-CC83-4C51-BCE3-CCE9A569F9D9}" destId="{272CDEE4-B188-41E9-89B1-867BA8621818}" srcOrd="1" destOrd="0" presId="urn:microsoft.com/office/officeart/2009/3/layout/HorizontalOrganizationChart"/>
    <dgm:cxn modelId="{CA8CE28B-E0E7-4164-A797-4DB13090374F}" type="presParOf" srcId="{3C1BBFB4-4B90-4B04-ADFB-6A9531F01150}" destId="{D68AF135-A9FD-4CBA-8A5D-11153F616D12}" srcOrd="0" destOrd="0" presId="urn:microsoft.com/office/officeart/2009/3/layout/HorizontalOrganizationChart"/>
    <dgm:cxn modelId="{6954321A-C97F-420E-99F7-CFCD8F996903}" type="presParOf" srcId="{D68AF135-A9FD-4CBA-8A5D-11153F616D12}" destId="{C9E53459-9664-45DE-9B6C-1611A0EA7F1A}" srcOrd="0" destOrd="0" presId="urn:microsoft.com/office/officeart/2009/3/layout/HorizontalOrganizationChart"/>
    <dgm:cxn modelId="{B159F240-825E-45B5-9466-271D4D0A9237}" type="presParOf" srcId="{C9E53459-9664-45DE-9B6C-1611A0EA7F1A}" destId="{03BA50CC-3F1A-4DF8-928D-AD57B0D594DF}" srcOrd="0" destOrd="0" presId="urn:microsoft.com/office/officeart/2009/3/layout/HorizontalOrganizationChart"/>
    <dgm:cxn modelId="{77FF0250-5379-4D24-8D54-9EEB1ED92530}" type="presParOf" srcId="{C9E53459-9664-45DE-9B6C-1611A0EA7F1A}" destId="{272CDEE4-B188-41E9-89B1-867BA8621818}" srcOrd="1" destOrd="0" presId="urn:microsoft.com/office/officeart/2009/3/layout/HorizontalOrganizationChart"/>
    <dgm:cxn modelId="{2283BF74-17B3-471E-A8C1-EF7EA97F0046}" type="presParOf" srcId="{D68AF135-A9FD-4CBA-8A5D-11153F616D12}" destId="{222203AD-11EB-47E8-B2B1-6B324D4BDE1D}" srcOrd="1" destOrd="0" presId="urn:microsoft.com/office/officeart/2009/3/layout/HorizontalOrganizationChart"/>
    <dgm:cxn modelId="{80990CBB-24C8-4879-B51E-0ED3C1B05ECD}" type="presParOf" srcId="{222203AD-11EB-47E8-B2B1-6B324D4BDE1D}" destId="{BBD9FF49-78AA-4CD2-9817-F8CE4DF3D05F}" srcOrd="0" destOrd="0" presId="urn:microsoft.com/office/officeart/2009/3/layout/HorizontalOrganizationChart"/>
    <dgm:cxn modelId="{CAECCB02-AC20-4EF7-A386-0BA92EBE0725}" type="presParOf" srcId="{222203AD-11EB-47E8-B2B1-6B324D4BDE1D}" destId="{0C15CB30-F903-4898-8312-A589B97D4A2B}" srcOrd="1" destOrd="0" presId="urn:microsoft.com/office/officeart/2009/3/layout/HorizontalOrganizationChart"/>
    <dgm:cxn modelId="{632B871A-9318-4E8D-94DF-C99DD994D7ED}" type="presParOf" srcId="{0C15CB30-F903-4898-8312-A589B97D4A2B}" destId="{1AED5797-C9F0-49A2-AC66-CA0F3E02AA99}" srcOrd="0" destOrd="0" presId="urn:microsoft.com/office/officeart/2009/3/layout/HorizontalOrganizationChart"/>
    <dgm:cxn modelId="{BA19D27B-4C8E-43A7-99A5-D526DFF79FE8}" type="presParOf" srcId="{1AED5797-C9F0-49A2-AC66-CA0F3E02AA99}" destId="{08B3B01A-5D34-475E-86EF-018EABA31524}" srcOrd="0" destOrd="0" presId="urn:microsoft.com/office/officeart/2009/3/layout/HorizontalOrganizationChart"/>
    <dgm:cxn modelId="{30AD0B1F-8C4E-40CB-B9DF-B561C419EF3E}" type="presParOf" srcId="{1AED5797-C9F0-49A2-AC66-CA0F3E02AA99}" destId="{7A345378-FE11-4080-99C8-5F7644934896}" srcOrd="1" destOrd="0" presId="urn:microsoft.com/office/officeart/2009/3/layout/HorizontalOrganizationChart"/>
    <dgm:cxn modelId="{A6B2084D-46DD-4A79-A0D4-3610779F1FDE}" type="presParOf" srcId="{0C15CB30-F903-4898-8312-A589B97D4A2B}" destId="{64735E6D-2F38-4B7F-A57B-1682ABF40522}" srcOrd="1" destOrd="0" presId="urn:microsoft.com/office/officeart/2009/3/layout/HorizontalOrganizationChart"/>
    <dgm:cxn modelId="{3BEFCB2B-881C-4F85-862E-B62C1C9996EF}" type="presParOf" srcId="{0C15CB30-F903-4898-8312-A589B97D4A2B}" destId="{7398E959-4DBA-42F1-904A-4682A35FE216}" srcOrd="2" destOrd="0" presId="urn:microsoft.com/office/officeart/2009/3/layout/HorizontalOrganizationChart"/>
    <dgm:cxn modelId="{CE7D19A6-C821-4B09-97D2-71F9CC1E3AE8}" type="presParOf" srcId="{222203AD-11EB-47E8-B2B1-6B324D4BDE1D}" destId="{D9B00A7C-FE9E-489F-B06F-604EDFCFD559}" srcOrd="2" destOrd="0" presId="urn:microsoft.com/office/officeart/2009/3/layout/HorizontalOrganizationChart"/>
    <dgm:cxn modelId="{DD338738-5929-42A0-9CA8-632FFC501BBB}" type="presParOf" srcId="{222203AD-11EB-47E8-B2B1-6B324D4BDE1D}" destId="{9177BBC2-FD88-4695-A376-96D16F645192}" srcOrd="3" destOrd="0" presId="urn:microsoft.com/office/officeart/2009/3/layout/HorizontalOrganizationChart"/>
    <dgm:cxn modelId="{4EB384DA-07AD-4901-ADB3-CBAC6D690474}" type="presParOf" srcId="{9177BBC2-FD88-4695-A376-96D16F645192}" destId="{346825C7-B477-405E-A307-0886D3CC3DBF}" srcOrd="0" destOrd="0" presId="urn:microsoft.com/office/officeart/2009/3/layout/HorizontalOrganizationChart"/>
    <dgm:cxn modelId="{C933DEB5-824A-4522-AC9F-C3DD1BA81CF6}" type="presParOf" srcId="{346825C7-B477-405E-A307-0886D3CC3DBF}" destId="{B47A3475-54EB-4D09-9B1E-8997743800B1}" srcOrd="0" destOrd="0" presId="urn:microsoft.com/office/officeart/2009/3/layout/HorizontalOrganizationChart"/>
    <dgm:cxn modelId="{B9291CE9-E74C-4BBB-A468-5A35343F79F1}" type="presParOf" srcId="{346825C7-B477-405E-A307-0886D3CC3DBF}" destId="{DF82D9B8-4253-4ECB-8A6F-BE983299E3B6}" srcOrd="1" destOrd="0" presId="urn:microsoft.com/office/officeart/2009/3/layout/HorizontalOrganizationChart"/>
    <dgm:cxn modelId="{52ED9831-77B7-418E-8CA8-236BDCE6AC56}" type="presParOf" srcId="{9177BBC2-FD88-4695-A376-96D16F645192}" destId="{4CD14454-2789-4315-A004-E296FB6DA409}" srcOrd="1" destOrd="0" presId="urn:microsoft.com/office/officeart/2009/3/layout/HorizontalOrganizationChart"/>
    <dgm:cxn modelId="{F6CEA828-5F6B-417C-AD1F-B186B200FA5D}" type="presParOf" srcId="{4CD14454-2789-4315-A004-E296FB6DA409}" destId="{1D630538-2DFA-459B-9254-950C32D1F917}" srcOrd="0" destOrd="0" presId="urn:microsoft.com/office/officeart/2009/3/layout/HorizontalOrganizationChart"/>
    <dgm:cxn modelId="{C29F2417-35B3-4791-9BCB-FA8C13C8367E}" type="presParOf" srcId="{4CD14454-2789-4315-A004-E296FB6DA409}" destId="{119E5904-B5C5-4A07-B9BB-96C0C0BFAA6B}" srcOrd="1" destOrd="0" presId="urn:microsoft.com/office/officeart/2009/3/layout/HorizontalOrganizationChart"/>
    <dgm:cxn modelId="{9A588BE5-7CC9-46D6-A687-6522A6683FB7}" type="presParOf" srcId="{119E5904-B5C5-4A07-B9BB-96C0C0BFAA6B}" destId="{AA75D36B-0EE0-4393-835B-ADA45C717E45}" srcOrd="0" destOrd="0" presId="urn:microsoft.com/office/officeart/2009/3/layout/HorizontalOrganizationChart"/>
    <dgm:cxn modelId="{47F5D069-A68D-47FB-88D6-23208949331A}" type="presParOf" srcId="{AA75D36B-0EE0-4393-835B-ADA45C717E45}" destId="{66049B96-CF2C-4033-861C-83240A94CEAD}" srcOrd="0" destOrd="0" presId="urn:microsoft.com/office/officeart/2009/3/layout/HorizontalOrganizationChart"/>
    <dgm:cxn modelId="{472E882A-40FA-4B5C-94E8-FF355F6C1EBF}" type="presParOf" srcId="{AA75D36B-0EE0-4393-835B-ADA45C717E45}" destId="{97F21F36-EA81-4898-BB1B-1A8D13D5C523}" srcOrd="1" destOrd="0" presId="urn:microsoft.com/office/officeart/2009/3/layout/HorizontalOrganizationChart"/>
    <dgm:cxn modelId="{954393D0-4584-4C04-A9E5-DF92DD1557F8}" type="presParOf" srcId="{119E5904-B5C5-4A07-B9BB-96C0C0BFAA6B}" destId="{D6817D0A-0BFE-465C-85F3-588B2346EEC4}" srcOrd="1" destOrd="0" presId="urn:microsoft.com/office/officeart/2009/3/layout/HorizontalOrganizationChart"/>
    <dgm:cxn modelId="{4BCB4760-E500-4859-8A32-C7C45A0F4CA7}" type="presParOf" srcId="{119E5904-B5C5-4A07-B9BB-96C0C0BFAA6B}" destId="{6F0984ED-CBD7-4E96-AF11-701989B9F3CE}" srcOrd="2" destOrd="0" presId="urn:microsoft.com/office/officeart/2009/3/layout/HorizontalOrganizationChart"/>
    <dgm:cxn modelId="{DC4968C2-66DB-427A-9B9F-97B3C1D1286D}" type="presParOf" srcId="{4CD14454-2789-4315-A004-E296FB6DA409}" destId="{532D7F59-C571-468D-9EAE-184B84376A59}" srcOrd="2" destOrd="0" presId="urn:microsoft.com/office/officeart/2009/3/layout/HorizontalOrganizationChart"/>
    <dgm:cxn modelId="{5B2F4FB0-4752-4D6A-9618-994F4926D0C1}" type="presParOf" srcId="{4CD14454-2789-4315-A004-E296FB6DA409}" destId="{FF7B29C9-B089-4055-81DB-43060FEC08AA}" srcOrd="3" destOrd="0" presId="urn:microsoft.com/office/officeart/2009/3/layout/HorizontalOrganizationChart"/>
    <dgm:cxn modelId="{C3E2E2A5-6B09-427C-B01C-A50E78ADA32E}" type="presParOf" srcId="{FF7B29C9-B089-4055-81DB-43060FEC08AA}" destId="{6CEFE26F-354E-4813-8A5F-2E6B71A55C49}" srcOrd="0" destOrd="0" presId="urn:microsoft.com/office/officeart/2009/3/layout/HorizontalOrganizationChart"/>
    <dgm:cxn modelId="{A777337D-DD08-43B8-831C-A24134AAE205}" type="presParOf" srcId="{6CEFE26F-354E-4813-8A5F-2E6B71A55C49}" destId="{A5015F12-20EC-44C3-9E52-50FF9C4FBFE0}" srcOrd="0" destOrd="0" presId="urn:microsoft.com/office/officeart/2009/3/layout/HorizontalOrganizationChart"/>
    <dgm:cxn modelId="{90452A7F-D171-4D57-85D6-D043C6005D6A}" type="presParOf" srcId="{6CEFE26F-354E-4813-8A5F-2E6B71A55C49}" destId="{92EFAD46-2FB7-4C35-84AE-BD9C7A21D4F1}" srcOrd="1" destOrd="0" presId="urn:microsoft.com/office/officeart/2009/3/layout/HorizontalOrganizationChart"/>
    <dgm:cxn modelId="{121EEE3E-0FAB-4ECD-921B-AF78E0E90DEE}" type="presParOf" srcId="{FF7B29C9-B089-4055-81DB-43060FEC08AA}" destId="{A3BCC623-EAA8-48C9-82EA-E40A53F1F0CF}" srcOrd="1" destOrd="0" presId="urn:microsoft.com/office/officeart/2009/3/layout/HorizontalOrganizationChart"/>
    <dgm:cxn modelId="{A0D12E77-DCE0-4BF6-BFB4-876908C7EAC3}" type="presParOf" srcId="{A3BCC623-EAA8-48C9-82EA-E40A53F1F0CF}" destId="{E2680CC2-3C2C-4DEC-B000-3E25D9410C01}" srcOrd="0" destOrd="0" presId="urn:microsoft.com/office/officeart/2009/3/layout/HorizontalOrganizationChart"/>
    <dgm:cxn modelId="{E7D7ABE2-9F0F-4FBF-94FF-BA9B54603553}" type="presParOf" srcId="{A3BCC623-EAA8-48C9-82EA-E40A53F1F0CF}" destId="{560F1A87-DB44-4C0F-99B5-F0273A391779}" srcOrd="1" destOrd="0" presId="urn:microsoft.com/office/officeart/2009/3/layout/HorizontalOrganizationChart"/>
    <dgm:cxn modelId="{690AC9FF-3E66-460F-965D-E50F58B61BEB}" type="presParOf" srcId="{560F1A87-DB44-4C0F-99B5-F0273A391779}" destId="{37EB79AF-2889-4287-A861-4D3AFB62EFF3}" srcOrd="0" destOrd="0" presId="urn:microsoft.com/office/officeart/2009/3/layout/HorizontalOrganizationChart"/>
    <dgm:cxn modelId="{A28C569F-FA38-4336-A374-F3C2D2C6AD63}" type="presParOf" srcId="{37EB79AF-2889-4287-A861-4D3AFB62EFF3}" destId="{F4450E7D-2B2A-4C30-A89B-690EC2BBC298}" srcOrd="0" destOrd="0" presId="urn:microsoft.com/office/officeart/2009/3/layout/HorizontalOrganizationChart"/>
    <dgm:cxn modelId="{53AE72CD-8CFA-4677-A6FF-E6FE63E987EB}" type="presParOf" srcId="{37EB79AF-2889-4287-A861-4D3AFB62EFF3}" destId="{DF819D3B-B86A-4C03-A87F-1E8900CD15BD}" srcOrd="1" destOrd="0" presId="urn:microsoft.com/office/officeart/2009/3/layout/HorizontalOrganizationChart"/>
    <dgm:cxn modelId="{278275B1-5AD1-4C48-A098-A253287BF7DF}" type="presParOf" srcId="{560F1A87-DB44-4C0F-99B5-F0273A391779}" destId="{B4B08580-47FA-4237-A85F-4167FC919B49}" srcOrd="1" destOrd="0" presId="urn:microsoft.com/office/officeart/2009/3/layout/HorizontalOrganizationChart"/>
    <dgm:cxn modelId="{2B16AF22-925E-4147-B798-AF0E7EEC8947}" type="presParOf" srcId="{560F1A87-DB44-4C0F-99B5-F0273A391779}" destId="{D97F951C-4324-4170-BE04-CC696003AF1E}" srcOrd="2" destOrd="0" presId="urn:microsoft.com/office/officeart/2009/3/layout/HorizontalOrganizationChart"/>
    <dgm:cxn modelId="{C8749783-2017-41B8-8F2E-5248C3E09E3F}" type="presParOf" srcId="{A3BCC623-EAA8-48C9-82EA-E40A53F1F0CF}" destId="{E41AA59A-6276-4971-AE0D-060F09ED7BC1}" srcOrd="2" destOrd="0" presId="urn:microsoft.com/office/officeart/2009/3/layout/HorizontalOrganizationChart"/>
    <dgm:cxn modelId="{9D5496EA-2660-40E1-BF58-766DAD544D7D}" type="presParOf" srcId="{A3BCC623-EAA8-48C9-82EA-E40A53F1F0CF}" destId="{1BCCE4C6-F2BE-4A9A-B37E-D167D8AB557A}" srcOrd="3" destOrd="0" presId="urn:microsoft.com/office/officeart/2009/3/layout/HorizontalOrganizationChart"/>
    <dgm:cxn modelId="{62D7099F-8922-41B8-9AE5-3F19C7AB9F13}" type="presParOf" srcId="{1BCCE4C6-F2BE-4A9A-B37E-D167D8AB557A}" destId="{35E5F404-A44F-4EC9-8995-DC5BAE93A8DD}" srcOrd="0" destOrd="0" presId="urn:microsoft.com/office/officeart/2009/3/layout/HorizontalOrganizationChart"/>
    <dgm:cxn modelId="{04B39EAC-985B-420E-9284-2D63B8AF2C0E}" type="presParOf" srcId="{35E5F404-A44F-4EC9-8995-DC5BAE93A8DD}" destId="{CC3FC086-3518-4B31-BF07-34A88EAB0CD6}" srcOrd="0" destOrd="0" presId="urn:microsoft.com/office/officeart/2009/3/layout/HorizontalOrganizationChart"/>
    <dgm:cxn modelId="{1D83FC23-BF8C-4F0C-A92C-C4029499DFB4}" type="presParOf" srcId="{35E5F404-A44F-4EC9-8995-DC5BAE93A8DD}" destId="{35F94BBC-7061-4B97-87AB-EEF26C0789EC}" srcOrd="1" destOrd="0" presId="urn:microsoft.com/office/officeart/2009/3/layout/HorizontalOrganizationChart"/>
    <dgm:cxn modelId="{A6FED538-BCD8-4C16-AA86-18949C607835}" type="presParOf" srcId="{1BCCE4C6-F2BE-4A9A-B37E-D167D8AB557A}" destId="{B6DF4C18-7546-423B-B9BD-902F45880565}" srcOrd="1" destOrd="0" presId="urn:microsoft.com/office/officeart/2009/3/layout/HorizontalOrganizationChart"/>
    <dgm:cxn modelId="{81051AB2-2ECF-458C-AC49-BDE28B5D1D5D}" type="presParOf" srcId="{1BCCE4C6-F2BE-4A9A-B37E-D167D8AB557A}" destId="{4EC0810D-733B-4188-9037-A6833D73F59D}" srcOrd="2" destOrd="0" presId="urn:microsoft.com/office/officeart/2009/3/layout/HorizontalOrganizationChart"/>
    <dgm:cxn modelId="{9779F530-5E98-4B0E-B811-3FB4355225C4}" type="presParOf" srcId="{FF7B29C9-B089-4055-81DB-43060FEC08AA}" destId="{DBC47027-E05D-4E7F-8283-57E47B1487B3}" srcOrd="2" destOrd="0" presId="urn:microsoft.com/office/officeart/2009/3/layout/HorizontalOrganizationChart"/>
    <dgm:cxn modelId="{F64C0DE8-2BAE-4CB6-91C7-E09C63D14050}" type="presParOf" srcId="{9177BBC2-FD88-4695-A376-96D16F645192}" destId="{8216C10A-B36B-4F1B-8024-E2003AE83441}" srcOrd="2" destOrd="0" presId="urn:microsoft.com/office/officeart/2009/3/layout/HorizontalOrganizationChart"/>
    <dgm:cxn modelId="{26393B8A-3018-4048-992D-EFA6837D7838}" type="presParOf" srcId="{D68AF135-A9FD-4CBA-8A5D-11153F616D12}" destId="{BA735AF5-C981-4E89-AFBD-267460EEDE09}" srcOrd="2" destOrd="0" presId="urn:microsoft.com/office/officeart/2009/3/layout/HorizontalOrganizationChart"/>
  </dgm:cxnLst>
  <dgm:bg>
    <a:solidFill>
      <a:schemeClr val="bg1"/>
    </a:solidFill>
    <a:effectLst/>
  </dgm:bg>
  <dgm:whole>
    <a:ln>
      <a:noFill/>
    </a:ln>
  </dgm:whole>
  <dgm:extLst>
    <a:ext uri="http://schemas.microsoft.com/office/drawing/2008/diagram">
      <dsp:dataModelExt xmlns:dsp="http://schemas.microsoft.com/office/drawing/2008/diagram" relId="rId8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6C493EB-AF24-4F1B-A691-F39D2E4C8BD2}" type="doc">
      <dgm:prSet loTypeId="urn:microsoft.com/office/officeart/2009/3/layout/HorizontalOrganizationChart" loCatId="hierarchy" qsTypeId="urn:microsoft.com/office/officeart/2005/8/quickstyle/simple4" qsCatId="simple" csTypeId="urn:microsoft.com/office/officeart/2005/8/colors/accent0_3" csCatId="mainScheme" phldr="1"/>
      <dgm:spPr/>
      <dgm:t>
        <a:bodyPr/>
        <a:lstStyle/>
        <a:p>
          <a:endParaRPr lang="en-US"/>
        </a:p>
      </dgm:t>
    </dgm:pt>
    <dgm:pt modelId="{5B7D7972-CC83-4C51-BCE3-CCE9A569F9D9}">
      <dgm:prSet phldrT="[Text]"/>
      <dgm:spPr>
        <a:xfrm>
          <a:off x="1423" y="439392"/>
          <a:ext cx="1266620" cy="386319"/>
        </a:xfrm>
        <a:solidFill>
          <a:srgbClr val="448A99"/>
        </a:solidFill>
        <a:ln>
          <a:noFill/>
        </a:ln>
        <a:effectLst/>
      </dgm:spPr>
      <dgm:t>
        <a:bodyPr/>
        <a:lstStyle/>
        <a:p>
          <a:r>
            <a:rPr lang="en-US">
              <a:solidFill>
                <a:sysClr val="window" lastClr="FFFFFF"/>
              </a:solidFill>
              <a:latin typeface="+mn-lt"/>
              <a:ea typeface="+mn-ea"/>
              <a:cs typeface="+mn-cs"/>
            </a:rPr>
            <a:t>Sample: 35 Sites</a:t>
          </a:r>
        </a:p>
      </dgm:t>
    </dgm:pt>
    <dgm:pt modelId="{1DFACCB9-89AC-4E0E-ACAA-7702991BF730}" type="parTrans" cxnId="{F662BEA9-E53C-4E83-B923-D1BAB9CC55D0}">
      <dgm:prSet/>
      <dgm:spPr/>
      <dgm:t>
        <a:bodyPr/>
        <a:lstStyle/>
        <a:p>
          <a:endParaRPr lang="en-US">
            <a:latin typeface="+mn-lt"/>
          </a:endParaRPr>
        </a:p>
      </dgm:t>
    </dgm:pt>
    <dgm:pt modelId="{2F485BD6-FC48-42B2-925D-B9B5A1120E55}" type="sibTrans" cxnId="{F662BEA9-E53C-4E83-B923-D1BAB9CC55D0}">
      <dgm:prSet/>
      <dgm:spPr/>
      <dgm:t>
        <a:bodyPr/>
        <a:lstStyle/>
        <a:p>
          <a:endParaRPr lang="en-US">
            <a:latin typeface="+mn-lt"/>
          </a:endParaRPr>
        </a:p>
      </dgm:t>
    </dgm:pt>
    <dgm:pt modelId="{F54700A6-25EC-4213-9F48-98720EFADBC8}">
      <dgm:prSet phldrT="[Text]"/>
      <dgm:spPr>
        <a:xfrm>
          <a:off x="1521367" y="167068"/>
          <a:ext cx="1266620" cy="386319"/>
        </a:xfrm>
        <a:solidFill>
          <a:srgbClr val="448A99"/>
        </a:solidFill>
        <a:ln>
          <a:noFill/>
        </a:ln>
        <a:effectLst/>
      </dgm:spPr>
      <dgm:t>
        <a:bodyPr/>
        <a:lstStyle/>
        <a:p>
          <a:r>
            <a:rPr lang="en-US">
              <a:solidFill>
                <a:sysClr val="window" lastClr="FFFFFF"/>
              </a:solidFill>
              <a:latin typeface="+mn-lt"/>
              <a:ea typeface="+mn-ea"/>
              <a:cs typeface="+mn-cs"/>
            </a:rPr>
            <a:t>20 reported no spillover</a:t>
          </a:r>
        </a:p>
      </dgm:t>
    </dgm:pt>
    <dgm:pt modelId="{088E7A96-3D4B-4FAF-B832-E0DC4239752B}" type="parTrans" cxnId="{1519A905-6A34-41E7-ABF1-23BCAFF687DB}">
      <dgm:prSet>
        <dgm:style>
          <a:lnRef idx="1">
            <a:schemeClr val="dk1"/>
          </a:lnRef>
          <a:fillRef idx="0">
            <a:schemeClr val="dk1"/>
          </a:fillRef>
          <a:effectRef idx="0">
            <a:schemeClr val="dk1"/>
          </a:effectRef>
          <a:fontRef idx="minor">
            <a:schemeClr val="tx1"/>
          </a:fontRef>
        </dgm:style>
      </dgm:prSet>
      <dgm:spPr>
        <a:xfrm>
          <a:off x="1268043" y="360228"/>
          <a:ext cx="253324" cy="272323"/>
        </a:xfrm>
        <a:ln/>
      </dgm:spPr>
      <dgm:t>
        <a:bodyPr/>
        <a:lstStyle/>
        <a:p>
          <a:endParaRPr lang="en-US">
            <a:latin typeface="+mn-lt"/>
          </a:endParaRPr>
        </a:p>
      </dgm:t>
    </dgm:pt>
    <dgm:pt modelId="{BA2F55CD-70F8-4698-802C-31317F764CC7}" type="sibTrans" cxnId="{1519A905-6A34-41E7-ABF1-23BCAFF687DB}">
      <dgm:prSet/>
      <dgm:spPr/>
      <dgm:t>
        <a:bodyPr/>
        <a:lstStyle/>
        <a:p>
          <a:endParaRPr lang="en-US">
            <a:latin typeface="+mn-lt"/>
          </a:endParaRPr>
        </a:p>
      </dgm:t>
    </dgm:pt>
    <dgm:pt modelId="{1A45C0D1-3D6C-4261-B426-EEDD9AA81D2F}">
      <dgm:prSet phldrT="[Text]"/>
      <dgm:spPr>
        <a:xfrm>
          <a:off x="1521367" y="711715"/>
          <a:ext cx="1266620" cy="386319"/>
        </a:xfrm>
        <a:solidFill>
          <a:srgbClr val="448A99"/>
        </a:solidFill>
        <a:ln>
          <a:noFill/>
        </a:ln>
        <a:effectLst/>
      </dgm:spPr>
      <dgm:t>
        <a:bodyPr/>
        <a:lstStyle/>
        <a:p>
          <a:r>
            <a:rPr lang="en-US">
              <a:solidFill>
                <a:sysClr val="window" lastClr="FFFFFF"/>
              </a:solidFill>
              <a:latin typeface="+mn-lt"/>
              <a:ea typeface="+mn-ea"/>
              <a:cs typeface="+mn-cs"/>
            </a:rPr>
            <a:t>15 reported potential of spillover</a:t>
          </a:r>
        </a:p>
      </dgm:t>
    </dgm:pt>
    <dgm:pt modelId="{7233B709-E844-4EDD-91D2-44AA28D37187}" type="parTrans" cxnId="{3C589E93-9C20-4FC5-8833-2E8CA1CD5BFC}">
      <dgm:prSet>
        <dgm:style>
          <a:lnRef idx="1">
            <a:schemeClr val="dk1"/>
          </a:lnRef>
          <a:fillRef idx="0">
            <a:schemeClr val="dk1"/>
          </a:fillRef>
          <a:effectRef idx="0">
            <a:schemeClr val="dk1"/>
          </a:effectRef>
          <a:fontRef idx="minor">
            <a:schemeClr val="tx1"/>
          </a:fontRef>
        </dgm:style>
      </dgm:prSet>
      <dgm:spPr>
        <a:xfrm>
          <a:off x="1268043" y="632551"/>
          <a:ext cx="253324" cy="272323"/>
        </a:xfrm>
        <a:ln/>
      </dgm:spPr>
      <dgm:t>
        <a:bodyPr/>
        <a:lstStyle/>
        <a:p>
          <a:endParaRPr lang="en-US">
            <a:latin typeface="+mn-lt"/>
          </a:endParaRPr>
        </a:p>
      </dgm:t>
    </dgm:pt>
    <dgm:pt modelId="{B1F9D004-C302-4423-A7E8-8858BF5C2C8C}" type="sibTrans" cxnId="{3C589E93-9C20-4FC5-8833-2E8CA1CD5BFC}">
      <dgm:prSet/>
      <dgm:spPr/>
      <dgm:t>
        <a:bodyPr/>
        <a:lstStyle/>
        <a:p>
          <a:endParaRPr lang="en-US">
            <a:latin typeface="+mn-lt"/>
          </a:endParaRPr>
        </a:p>
      </dgm:t>
    </dgm:pt>
    <dgm:pt modelId="{261C7F11-3874-4832-A96D-F81786F66D30}">
      <dgm:prSet phldrT="[Text]"/>
      <dgm:spPr>
        <a:xfrm>
          <a:off x="3041312" y="439392"/>
          <a:ext cx="1266620" cy="386319"/>
        </a:xfrm>
        <a:solidFill>
          <a:srgbClr val="448A99"/>
        </a:solidFill>
        <a:ln>
          <a:noFill/>
        </a:ln>
        <a:effectLst/>
      </dgm:spPr>
      <dgm:t>
        <a:bodyPr/>
        <a:lstStyle/>
        <a:p>
          <a:r>
            <a:rPr lang="en-US">
              <a:solidFill>
                <a:sysClr val="window" lastClr="FFFFFF"/>
              </a:solidFill>
              <a:latin typeface="+mn-lt"/>
              <a:ea typeface="+mn-ea"/>
              <a:cs typeface="+mn-cs"/>
            </a:rPr>
            <a:t>9 spillover sites were disqualified</a:t>
          </a:r>
        </a:p>
      </dgm:t>
    </dgm:pt>
    <dgm:pt modelId="{D3B20386-9E04-45EB-A2E6-B02125A53E12}" type="parTrans" cxnId="{8A9DDA59-04D1-4BC0-870C-AC140ACD00EB}">
      <dgm:prSet>
        <dgm:style>
          <a:lnRef idx="1">
            <a:schemeClr val="dk1"/>
          </a:lnRef>
          <a:fillRef idx="0">
            <a:schemeClr val="dk1"/>
          </a:fillRef>
          <a:effectRef idx="0">
            <a:schemeClr val="dk1"/>
          </a:effectRef>
          <a:fontRef idx="minor">
            <a:schemeClr val="tx1"/>
          </a:fontRef>
        </dgm:style>
      </dgm:prSet>
      <dgm:spPr>
        <a:xfrm>
          <a:off x="2787987" y="632551"/>
          <a:ext cx="253324" cy="272323"/>
        </a:xfrm>
        <a:ln/>
      </dgm:spPr>
      <dgm:t>
        <a:bodyPr/>
        <a:lstStyle/>
        <a:p>
          <a:endParaRPr lang="en-US">
            <a:latin typeface="+mn-lt"/>
          </a:endParaRPr>
        </a:p>
      </dgm:t>
    </dgm:pt>
    <dgm:pt modelId="{6963F89C-3D7E-4998-AF42-D9D78C353D23}" type="sibTrans" cxnId="{8A9DDA59-04D1-4BC0-870C-AC140ACD00EB}">
      <dgm:prSet/>
      <dgm:spPr/>
      <dgm:t>
        <a:bodyPr/>
        <a:lstStyle/>
        <a:p>
          <a:endParaRPr lang="en-US">
            <a:latin typeface="+mn-lt"/>
          </a:endParaRPr>
        </a:p>
      </dgm:t>
    </dgm:pt>
    <dgm:pt modelId="{3F7E7B3A-B2A6-4142-877A-E95757E14281}">
      <dgm:prSet phldrT="[Text]"/>
      <dgm:spPr>
        <a:xfrm>
          <a:off x="3041312" y="984038"/>
          <a:ext cx="1266620" cy="386319"/>
        </a:xfrm>
        <a:solidFill>
          <a:srgbClr val="448A99"/>
        </a:solidFill>
        <a:ln>
          <a:noFill/>
        </a:ln>
        <a:effectLst/>
      </dgm:spPr>
      <dgm:t>
        <a:bodyPr/>
        <a:lstStyle/>
        <a:p>
          <a:r>
            <a:rPr lang="en-US">
              <a:solidFill>
                <a:sysClr val="window" lastClr="FFFFFF"/>
              </a:solidFill>
              <a:latin typeface="+mn-lt"/>
              <a:ea typeface="+mn-ea"/>
              <a:cs typeface="+mn-cs"/>
            </a:rPr>
            <a:t>6 spillover sites qualified</a:t>
          </a:r>
        </a:p>
      </dgm:t>
    </dgm:pt>
    <dgm:pt modelId="{6385C651-19C1-40AB-9D98-7D30E92BF95A}" type="parTrans" cxnId="{E66C6B4D-B3EB-4C7D-817D-E1ACC56B1E3F}">
      <dgm:prSet>
        <dgm:style>
          <a:lnRef idx="1">
            <a:schemeClr val="dk1"/>
          </a:lnRef>
          <a:fillRef idx="0">
            <a:schemeClr val="dk1"/>
          </a:fillRef>
          <a:effectRef idx="0">
            <a:schemeClr val="dk1"/>
          </a:effectRef>
          <a:fontRef idx="minor">
            <a:schemeClr val="tx1"/>
          </a:fontRef>
        </dgm:style>
      </dgm:prSet>
      <dgm:spPr>
        <a:xfrm>
          <a:off x="2787987" y="904875"/>
          <a:ext cx="253324" cy="272323"/>
        </a:xfrm>
        <a:ln/>
      </dgm:spPr>
      <dgm:t>
        <a:bodyPr/>
        <a:lstStyle/>
        <a:p>
          <a:endParaRPr lang="en-US">
            <a:latin typeface="+mn-lt"/>
          </a:endParaRPr>
        </a:p>
      </dgm:t>
    </dgm:pt>
    <dgm:pt modelId="{E8569080-C177-4D21-9F26-AA7E1E8A210B}" type="sibTrans" cxnId="{E66C6B4D-B3EB-4C7D-817D-E1ACC56B1E3F}">
      <dgm:prSet/>
      <dgm:spPr/>
      <dgm:t>
        <a:bodyPr/>
        <a:lstStyle/>
        <a:p>
          <a:endParaRPr lang="en-US">
            <a:latin typeface="+mn-lt"/>
          </a:endParaRPr>
        </a:p>
      </dgm:t>
    </dgm:pt>
    <dgm:pt modelId="{E4B80669-DAA9-4EC9-9646-FFBA8EE543B4}">
      <dgm:prSet phldrT="[Text]"/>
      <dgm:spPr>
        <a:xfrm>
          <a:off x="4561256" y="1256362"/>
          <a:ext cx="1266620" cy="386319"/>
        </a:xfrm>
        <a:solidFill>
          <a:srgbClr val="448A99"/>
        </a:solidFill>
        <a:ln>
          <a:noFill/>
        </a:ln>
        <a:effectLst/>
      </dgm:spPr>
      <dgm:t>
        <a:bodyPr/>
        <a:lstStyle/>
        <a:p>
          <a:r>
            <a:rPr lang="en-US">
              <a:solidFill>
                <a:sysClr val="window" lastClr="FFFFFF"/>
              </a:solidFill>
              <a:latin typeface="+mn-lt"/>
              <a:ea typeface="+mn-ea"/>
              <a:cs typeface="+mn-cs"/>
            </a:rPr>
            <a:t>4 spillover sites could be quantified</a:t>
          </a:r>
        </a:p>
      </dgm:t>
    </dgm:pt>
    <dgm:pt modelId="{EFF7FA0E-694C-4A6F-9A50-15107182C3F5}" type="parTrans" cxnId="{1FF0D488-9BD0-4857-AFC8-3A86D9A0279B}">
      <dgm:prSet>
        <dgm:style>
          <a:lnRef idx="1">
            <a:schemeClr val="dk1"/>
          </a:lnRef>
          <a:fillRef idx="0">
            <a:schemeClr val="dk1"/>
          </a:fillRef>
          <a:effectRef idx="0">
            <a:schemeClr val="dk1"/>
          </a:effectRef>
          <a:fontRef idx="minor">
            <a:schemeClr val="tx1"/>
          </a:fontRef>
        </dgm:style>
      </dgm:prSet>
      <dgm:spPr>
        <a:xfrm>
          <a:off x="4307932" y="1177198"/>
          <a:ext cx="253324" cy="272323"/>
        </a:xfrm>
        <a:ln/>
      </dgm:spPr>
      <dgm:t>
        <a:bodyPr/>
        <a:lstStyle/>
        <a:p>
          <a:endParaRPr lang="en-US">
            <a:latin typeface="+mn-lt"/>
          </a:endParaRPr>
        </a:p>
      </dgm:t>
    </dgm:pt>
    <dgm:pt modelId="{0F57E0E4-4993-4857-A1EE-4517DBFC4F01}" type="sibTrans" cxnId="{1FF0D488-9BD0-4857-AFC8-3A86D9A0279B}">
      <dgm:prSet/>
      <dgm:spPr/>
      <dgm:t>
        <a:bodyPr/>
        <a:lstStyle/>
        <a:p>
          <a:endParaRPr lang="en-US">
            <a:latin typeface="+mn-lt"/>
          </a:endParaRPr>
        </a:p>
      </dgm:t>
    </dgm:pt>
    <dgm:pt modelId="{D8A0AE96-0A2A-4C0C-A791-D5A8D5E3A3E1}">
      <dgm:prSet/>
      <dgm:spPr>
        <a:xfrm>
          <a:off x="4561256" y="711715"/>
          <a:ext cx="1266620" cy="386319"/>
        </a:xfrm>
        <a:solidFill>
          <a:srgbClr val="448A99"/>
        </a:solidFill>
        <a:ln>
          <a:noFill/>
        </a:ln>
        <a:effectLst/>
      </dgm:spPr>
      <dgm:t>
        <a:bodyPr/>
        <a:lstStyle/>
        <a:p>
          <a:r>
            <a:rPr lang="en-US">
              <a:solidFill>
                <a:sysClr val="window" lastClr="FFFFFF"/>
              </a:solidFill>
              <a:latin typeface="+mn-lt"/>
              <a:ea typeface="+mn-ea"/>
              <a:cs typeface="+mn-cs"/>
            </a:rPr>
            <a:t>2 spillover site gave the program zero influence</a:t>
          </a:r>
        </a:p>
      </dgm:t>
    </dgm:pt>
    <dgm:pt modelId="{CA16FB7D-5905-47EC-A3F1-4EB6110069C8}" type="sibTrans" cxnId="{BEDD9441-05B4-4E11-8B15-4A8A8D726C31}">
      <dgm:prSet/>
      <dgm:spPr/>
      <dgm:t>
        <a:bodyPr/>
        <a:lstStyle/>
        <a:p>
          <a:endParaRPr lang="en-US">
            <a:latin typeface="+mn-lt"/>
          </a:endParaRPr>
        </a:p>
      </dgm:t>
    </dgm:pt>
    <dgm:pt modelId="{0EEC636F-983C-43F1-97C7-69FDF8238083}" type="parTrans" cxnId="{BEDD9441-05B4-4E11-8B15-4A8A8D726C31}">
      <dgm:prSet>
        <dgm:style>
          <a:lnRef idx="1">
            <a:schemeClr val="dk1"/>
          </a:lnRef>
          <a:fillRef idx="0">
            <a:schemeClr val="dk1"/>
          </a:fillRef>
          <a:effectRef idx="0">
            <a:schemeClr val="dk1"/>
          </a:effectRef>
          <a:fontRef idx="minor">
            <a:schemeClr val="tx1"/>
          </a:fontRef>
        </dgm:style>
      </dgm:prSet>
      <dgm:spPr>
        <a:xfrm>
          <a:off x="4307932" y="904875"/>
          <a:ext cx="253324" cy="272323"/>
        </a:xfrm>
        <a:ln/>
      </dgm:spPr>
      <dgm:t>
        <a:bodyPr/>
        <a:lstStyle/>
        <a:p>
          <a:endParaRPr lang="en-US">
            <a:latin typeface="+mn-lt"/>
          </a:endParaRPr>
        </a:p>
      </dgm:t>
    </dgm:pt>
    <dgm:pt modelId="{3C1BBFB4-4B90-4B04-ADFB-6A9531F01150}" type="pres">
      <dgm:prSet presAssocID="{F6C493EB-AF24-4F1B-A691-F39D2E4C8BD2}" presName="hierChild1" presStyleCnt="0">
        <dgm:presLayoutVars>
          <dgm:orgChart val="1"/>
          <dgm:chPref val="1"/>
          <dgm:dir/>
          <dgm:animOne val="branch"/>
          <dgm:animLvl val="lvl"/>
          <dgm:resizeHandles/>
        </dgm:presLayoutVars>
      </dgm:prSet>
      <dgm:spPr/>
      <dgm:t>
        <a:bodyPr/>
        <a:lstStyle/>
        <a:p>
          <a:endParaRPr lang="en-US"/>
        </a:p>
      </dgm:t>
    </dgm:pt>
    <dgm:pt modelId="{D68AF135-A9FD-4CBA-8A5D-11153F616D12}" type="pres">
      <dgm:prSet presAssocID="{5B7D7972-CC83-4C51-BCE3-CCE9A569F9D9}" presName="hierRoot1" presStyleCnt="0">
        <dgm:presLayoutVars>
          <dgm:hierBranch val="init"/>
        </dgm:presLayoutVars>
      </dgm:prSet>
      <dgm:spPr/>
    </dgm:pt>
    <dgm:pt modelId="{C9E53459-9664-45DE-9B6C-1611A0EA7F1A}" type="pres">
      <dgm:prSet presAssocID="{5B7D7972-CC83-4C51-BCE3-CCE9A569F9D9}" presName="rootComposite1" presStyleCnt="0"/>
      <dgm:spPr/>
    </dgm:pt>
    <dgm:pt modelId="{03BA50CC-3F1A-4DF8-928D-AD57B0D594DF}" type="pres">
      <dgm:prSet presAssocID="{5B7D7972-CC83-4C51-BCE3-CCE9A569F9D9}" presName="rootText1" presStyleLbl="node0" presStyleIdx="0" presStyleCnt="1">
        <dgm:presLayoutVars>
          <dgm:chPref val="3"/>
        </dgm:presLayoutVars>
      </dgm:prSet>
      <dgm:spPr>
        <a:xfrm>
          <a:off x="1423" y="751619"/>
          <a:ext cx="1266942" cy="386417"/>
        </a:xfrm>
        <a:prstGeom prst="rect">
          <a:avLst/>
        </a:prstGeom>
      </dgm:spPr>
      <dgm:t>
        <a:bodyPr/>
        <a:lstStyle/>
        <a:p>
          <a:endParaRPr lang="en-US"/>
        </a:p>
      </dgm:t>
    </dgm:pt>
    <dgm:pt modelId="{272CDEE4-B188-41E9-89B1-867BA8621818}" type="pres">
      <dgm:prSet presAssocID="{5B7D7972-CC83-4C51-BCE3-CCE9A569F9D9}" presName="rootConnector1" presStyleLbl="node1" presStyleIdx="0" presStyleCnt="0"/>
      <dgm:spPr/>
      <dgm:t>
        <a:bodyPr/>
        <a:lstStyle/>
        <a:p>
          <a:endParaRPr lang="en-US"/>
        </a:p>
      </dgm:t>
    </dgm:pt>
    <dgm:pt modelId="{222203AD-11EB-47E8-B2B1-6B324D4BDE1D}" type="pres">
      <dgm:prSet presAssocID="{5B7D7972-CC83-4C51-BCE3-CCE9A569F9D9}" presName="hierChild2" presStyleCnt="0"/>
      <dgm:spPr/>
    </dgm:pt>
    <dgm:pt modelId="{BBD9FF49-78AA-4CD2-9817-F8CE4DF3D05F}" type="pres">
      <dgm:prSet presAssocID="{088E7A96-3D4B-4FAF-B832-E0DC4239752B}" presName="Name64" presStyleLbl="parChTrans1D2" presStyleIdx="0" presStyleCnt="2"/>
      <dgm:spPr>
        <a:custGeom>
          <a:avLst/>
          <a:gdLst/>
          <a:ahLst/>
          <a:cxnLst/>
          <a:rect l="0" t="0" r="0" b="0"/>
          <a:pathLst>
            <a:path>
              <a:moveTo>
                <a:pt x="0" y="272392"/>
              </a:moveTo>
              <a:lnTo>
                <a:pt x="126694" y="272392"/>
              </a:lnTo>
              <a:lnTo>
                <a:pt x="126694" y="0"/>
              </a:lnTo>
              <a:lnTo>
                <a:pt x="253388" y="0"/>
              </a:lnTo>
            </a:path>
          </a:pathLst>
        </a:custGeom>
      </dgm:spPr>
      <dgm:t>
        <a:bodyPr/>
        <a:lstStyle/>
        <a:p>
          <a:endParaRPr lang="en-US"/>
        </a:p>
      </dgm:t>
    </dgm:pt>
    <dgm:pt modelId="{0C15CB30-F903-4898-8312-A589B97D4A2B}" type="pres">
      <dgm:prSet presAssocID="{F54700A6-25EC-4213-9F48-98720EFADBC8}" presName="hierRoot2" presStyleCnt="0">
        <dgm:presLayoutVars>
          <dgm:hierBranch val="init"/>
        </dgm:presLayoutVars>
      </dgm:prSet>
      <dgm:spPr/>
    </dgm:pt>
    <dgm:pt modelId="{1AED5797-C9F0-49A2-AC66-CA0F3E02AA99}" type="pres">
      <dgm:prSet presAssocID="{F54700A6-25EC-4213-9F48-98720EFADBC8}" presName="rootComposite" presStyleCnt="0"/>
      <dgm:spPr/>
    </dgm:pt>
    <dgm:pt modelId="{08B3B01A-5D34-475E-86EF-018EABA31524}" type="pres">
      <dgm:prSet presAssocID="{F54700A6-25EC-4213-9F48-98720EFADBC8}" presName="rootText" presStyleLbl="node2" presStyleIdx="0" presStyleCnt="2">
        <dgm:presLayoutVars>
          <dgm:chPref val="3"/>
        </dgm:presLayoutVars>
      </dgm:prSet>
      <dgm:spPr>
        <a:xfrm>
          <a:off x="1521754" y="479226"/>
          <a:ext cx="1266942" cy="386417"/>
        </a:xfrm>
        <a:prstGeom prst="rect">
          <a:avLst/>
        </a:prstGeom>
      </dgm:spPr>
      <dgm:t>
        <a:bodyPr/>
        <a:lstStyle/>
        <a:p>
          <a:endParaRPr lang="en-US"/>
        </a:p>
      </dgm:t>
    </dgm:pt>
    <dgm:pt modelId="{7A345378-FE11-4080-99C8-5F7644934896}" type="pres">
      <dgm:prSet presAssocID="{F54700A6-25EC-4213-9F48-98720EFADBC8}" presName="rootConnector" presStyleLbl="node2" presStyleIdx="0" presStyleCnt="2"/>
      <dgm:spPr/>
      <dgm:t>
        <a:bodyPr/>
        <a:lstStyle/>
        <a:p>
          <a:endParaRPr lang="en-US"/>
        </a:p>
      </dgm:t>
    </dgm:pt>
    <dgm:pt modelId="{64735E6D-2F38-4B7F-A57B-1682ABF40522}" type="pres">
      <dgm:prSet presAssocID="{F54700A6-25EC-4213-9F48-98720EFADBC8}" presName="hierChild4" presStyleCnt="0"/>
      <dgm:spPr/>
    </dgm:pt>
    <dgm:pt modelId="{7398E959-4DBA-42F1-904A-4682A35FE216}" type="pres">
      <dgm:prSet presAssocID="{F54700A6-25EC-4213-9F48-98720EFADBC8}" presName="hierChild5" presStyleCnt="0"/>
      <dgm:spPr/>
    </dgm:pt>
    <dgm:pt modelId="{D9B00A7C-FE9E-489F-B06F-604EDFCFD559}" type="pres">
      <dgm:prSet presAssocID="{7233B709-E844-4EDD-91D2-44AA28D37187}" presName="Name64" presStyleLbl="parChTrans1D2" presStyleIdx="1" presStyleCnt="2"/>
      <dgm:spPr>
        <a:custGeom>
          <a:avLst/>
          <a:gdLst/>
          <a:ahLst/>
          <a:cxnLst/>
          <a:rect l="0" t="0" r="0" b="0"/>
          <a:pathLst>
            <a:path>
              <a:moveTo>
                <a:pt x="0" y="0"/>
              </a:moveTo>
              <a:lnTo>
                <a:pt x="126694" y="0"/>
              </a:lnTo>
              <a:lnTo>
                <a:pt x="126694" y="272392"/>
              </a:lnTo>
              <a:lnTo>
                <a:pt x="253388" y="272392"/>
              </a:lnTo>
            </a:path>
          </a:pathLst>
        </a:custGeom>
      </dgm:spPr>
      <dgm:t>
        <a:bodyPr/>
        <a:lstStyle/>
        <a:p>
          <a:endParaRPr lang="en-US"/>
        </a:p>
      </dgm:t>
    </dgm:pt>
    <dgm:pt modelId="{9177BBC2-FD88-4695-A376-96D16F645192}" type="pres">
      <dgm:prSet presAssocID="{1A45C0D1-3D6C-4261-B426-EEDD9AA81D2F}" presName="hierRoot2" presStyleCnt="0">
        <dgm:presLayoutVars>
          <dgm:hierBranch val="init"/>
        </dgm:presLayoutVars>
      </dgm:prSet>
      <dgm:spPr/>
    </dgm:pt>
    <dgm:pt modelId="{346825C7-B477-405E-A307-0886D3CC3DBF}" type="pres">
      <dgm:prSet presAssocID="{1A45C0D1-3D6C-4261-B426-EEDD9AA81D2F}" presName="rootComposite" presStyleCnt="0"/>
      <dgm:spPr/>
    </dgm:pt>
    <dgm:pt modelId="{B47A3475-54EB-4D09-9B1E-8997743800B1}" type="pres">
      <dgm:prSet presAssocID="{1A45C0D1-3D6C-4261-B426-EEDD9AA81D2F}" presName="rootText" presStyleLbl="node2" presStyleIdx="1" presStyleCnt="2">
        <dgm:presLayoutVars>
          <dgm:chPref val="3"/>
        </dgm:presLayoutVars>
      </dgm:prSet>
      <dgm:spPr>
        <a:xfrm>
          <a:off x="1521754" y="1024012"/>
          <a:ext cx="1266942" cy="386417"/>
        </a:xfrm>
        <a:prstGeom prst="rect">
          <a:avLst/>
        </a:prstGeom>
      </dgm:spPr>
      <dgm:t>
        <a:bodyPr/>
        <a:lstStyle/>
        <a:p>
          <a:endParaRPr lang="en-US"/>
        </a:p>
      </dgm:t>
    </dgm:pt>
    <dgm:pt modelId="{DF82D9B8-4253-4ECB-8A6F-BE983299E3B6}" type="pres">
      <dgm:prSet presAssocID="{1A45C0D1-3D6C-4261-B426-EEDD9AA81D2F}" presName="rootConnector" presStyleLbl="node2" presStyleIdx="1" presStyleCnt="2"/>
      <dgm:spPr/>
      <dgm:t>
        <a:bodyPr/>
        <a:lstStyle/>
        <a:p>
          <a:endParaRPr lang="en-US"/>
        </a:p>
      </dgm:t>
    </dgm:pt>
    <dgm:pt modelId="{4CD14454-2789-4315-A004-E296FB6DA409}" type="pres">
      <dgm:prSet presAssocID="{1A45C0D1-3D6C-4261-B426-EEDD9AA81D2F}" presName="hierChild4" presStyleCnt="0"/>
      <dgm:spPr/>
    </dgm:pt>
    <dgm:pt modelId="{1D630538-2DFA-459B-9254-950C32D1F917}" type="pres">
      <dgm:prSet presAssocID="{D3B20386-9E04-45EB-A2E6-B02125A53E12}" presName="Name64" presStyleLbl="parChTrans1D3" presStyleIdx="0" presStyleCnt="2"/>
      <dgm:spPr>
        <a:custGeom>
          <a:avLst/>
          <a:gdLst/>
          <a:ahLst/>
          <a:cxnLst/>
          <a:rect l="0" t="0" r="0" b="0"/>
          <a:pathLst>
            <a:path>
              <a:moveTo>
                <a:pt x="0" y="272392"/>
              </a:moveTo>
              <a:lnTo>
                <a:pt x="126694" y="272392"/>
              </a:lnTo>
              <a:lnTo>
                <a:pt x="126694" y="0"/>
              </a:lnTo>
              <a:lnTo>
                <a:pt x="253388" y="0"/>
              </a:lnTo>
            </a:path>
          </a:pathLst>
        </a:custGeom>
      </dgm:spPr>
      <dgm:t>
        <a:bodyPr/>
        <a:lstStyle/>
        <a:p>
          <a:endParaRPr lang="en-US"/>
        </a:p>
      </dgm:t>
    </dgm:pt>
    <dgm:pt modelId="{119E5904-B5C5-4A07-B9BB-96C0C0BFAA6B}" type="pres">
      <dgm:prSet presAssocID="{261C7F11-3874-4832-A96D-F81786F66D30}" presName="hierRoot2" presStyleCnt="0">
        <dgm:presLayoutVars>
          <dgm:hierBranch val="init"/>
        </dgm:presLayoutVars>
      </dgm:prSet>
      <dgm:spPr/>
    </dgm:pt>
    <dgm:pt modelId="{AA75D36B-0EE0-4393-835B-ADA45C717E45}" type="pres">
      <dgm:prSet presAssocID="{261C7F11-3874-4832-A96D-F81786F66D30}" presName="rootComposite" presStyleCnt="0"/>
      <dgm:spPr/>
    </dgm:pt>
    <dgm:pt modelId="{66049B96-CF2C-4033-861C-83240A94CEAD}" type="pres">
      <dgm:prSet presAssocID="{261C7F11-3874-4832-A96D-F81786F66D30}" presName="rootText" presStyleLbl="node3" presStyleIdx="0" presStyleCnt="2">
        <dgm:presLayoutVars>
          <dgm:chPref val="3"/>
        </dgm:presLayoutVars>
      </dgm:prSet>
      <dgm:spPr>
        <a:xfrm>
          <a:off x="3042086" y="751619"/>
          <a:ext cx="1266942" cy="386417"/>
        </a:xfrm>
        <a:prstGeom prst="rect">
          <a:avLst/>
        </a:prstGeom>
      </dgm:spPr>
      <dgm:t>
        <a:bodyPr/>
        <a:lstStyle/>
        <a:p>
          <a:endParaRPr lang="en-US"/>
        </a:p>
      </dgm:t>
    </dgm:pt>
    <dgm:pt modelId="{97F21F36-EA81-4898-BB1B-1A8D13D5C523}" type="pres">
      <dgm:prSet presAssocID="{261C7F11-3874-4832-A96D-F81786F66D30}" presName="rootConnector" presStyleLbl="node3" presStyleIdx="0" presStyleCnt="2"/>
      <dgm:spPr/>
      <dgm:t>
        <a:bodyPr/>
        <a:lstStyle/>
        <a:p>
          <a:endParaRPr lang="en-US"/>
        </a:p>
      </dgm:t>
    </dgm:pt>
    <dgm:pt modelId="{D6817D0A-0BFE-465C-85F3-588B2346EEC4}" type="pres">
      <dgm:prSet presAssocID="{261C7F11-3874-4832-A96D-F81786F66D30}" presName="hierChild4" presStyleCnt="0"/>
      <dgm:spPr/>
    </dgm:pt>
    <dgm:pt modelId="{6F0984ED-CBD7-4E96-AF11-701989B9F3CE}" type="pres">
      <dgm:prSet presAssocID="{261C7F11-3874-4832-A96D-F81786F66D30}" presName="hierChild5" presStyleCnt="0"/>
      <dgm:spPr/>
    </dgm:pt>
    <dgm:pt modelId="{532D7F59-C571-468D-9EAE-184B84376A59}" type="pres">
      <dgm:prSet presAssocID="{6385C651-19C1-40AB-9D98-7D30E92BF95A}" presName="Name64" presStyleLbl="parChTrans1D3" presStyleIdx="1" presStyleCnt="2"/>
      <dgm:spPr>
        <a:custGeom>
          <a:avLst/>
          <a:gdLst/>
          <a:ahLst/>
          <a:cxnLst/>
          <a:rect l="0" t="0" r="0" b="0"/>
          <a:pathLst>
            <a:path>
              <a:moveTo>
                <a:pt x="0" y="0"/>
              </a:moveTo>
              <a:lnTo>
                <a:pt x="126694" y="0"/>
              </a:lnTo>
              <a:lnTo>
                <a:pt x="126694" y="272392"/>
              </a:lnTo>
              <a:lnTo>
                <a:pt x="253388" y="272392"/>
              </a:lnTo>
            </a:path>
          </a:pathLst>
        </a:custGeom>
      </dgm:spPr>
      <dgm:t>
        <a:bodyPr/>
        <a:lstStyle/>
        <a:p>
          <a:endParaRPr lang="en-US"/>
        </a:p>
      </dgm:t>
    </dgm:pt>
    <dgm:pt modelId="{FF7B29C9-B089-4055-81DB-43060FEC08AA}" type="pres">
      <dgm:prSet presAssocID="{3F7E7B3A-B2A6-4142-877A-E95757E14281}" presName="hierRoot2" presStyleCnt="0">
        <dgm:presLayoutVars>
          <dgm:hierBranch val="init"/>
        </dgm:presLayoutVars>
      </dgm:prSet>
      <dgm:spPr/>
    </dgm:pt>
    <dgm:pt modelId="{6CEFE26F-354E-4813-8A5F-2E6B71A55C49}" type="pres">
      <dgm:prSet presAssocID="{3F7E7B3A-B2A6-4142-877A-E95757E14281}" presName="rootComposite" presStyleCnt="0"/>
      <dgm:spPr/>
    </dgm:pt>
    <dgm:pt modelId="{A5015F12-20EC-44C3-9E52-50FF9C4FBFE0}" type="pres">
      <dgm:prSet presAssocID="{3F7E7B3A-B2A6-4142-877A-E95757E14281}" presName="rootText" presStyleLbl="node3" presStyleIdx="1" presStyleCnt="2">
        <dgm:presLayoutVars>
          <dgm:chPref val="3"/>
        </dgm:presLayoutVars>
      </dgm:prSet>
      <dgm:spPr>
        <a:xfrm>
          <a:off x="3042086" y="1296404"/>
          <a:ext cx="1266942" cy="386417"/>
        </a:xfrm>
        <a:prstGeom prst="rect">
          <a:avLst/>
        </a:prstGeom>
      </dgm:spPr>
      <dgm:t>
        <a:bodyPr/>
        <a:lstStyle/>
        <a:p>
          <a:endParaRPr lang="en-US"/>
        </a:p>
      </dgm:t>
    </dgm:pt>
    <dgm:pt modelId="{92EFAD46-2FB7-4C35-84AE-BD9C7A21D4F1}" type="pres">
      <dgm:prSet presAssocID="{3F7E7B3A-B2A6-4142-877A-E95757E14281}" presName="rootConnector" presStyleLbl="node3" presStyleIdx="1" presStyleCnt="2"/>
      <dgm:spPr/>
      <dgm:t>
        <a:bodyPr/>
        <a:lstStyle/>
        <a:p>
          <a:endParaRPr lang="en-US"/>
        </a:p>
      </dgm:t>
    </dgm:pt>
    <dgm:pt modelId="{A3BCC623-EAA8-48C9-82EA-E40A53F1F0CF}" type="pres">
      <dgm:prSet presAssocID="{3F7E7B3A-B2A6-4142-877A-E95757E14281}" presName="hierChild4" presStyleCnt="0"/>
      <dgm:spPr/>
    </dgm:pt>
    <dgm:pt modelId="{E2680CC2-3C2C-4DEC-B000-3E25D9410C01}" type="pres">
      <dgm:prSet presAssocID="{0EEC636F-983C-43F1-97C7-69FDF8238083}" presName="Name64" presStyleLbl="parChTrans1D4" presStyleIdx="0" presStyleCnt="2"/>
      <dgm:spPr>
        <a:custGeom>
          <a:avLst/>
          <a:gdLst/>
          <a:ahLst/>
          <a:cxnLst/>
          <a:rect l="0" t="0" r="0" b="0"/>
          <a:pathLst>
            <a:path>
              <a:moveTo>
                <a:pt x="0" y="272392"/>
              </a:moveTo>
              <a:lnTo>
                <a:pt x="126694" y="272392"/>
              </a:lnTo>
              <a:lnTo>
                <a:pt x="126694" y="0"/>
              </a:lnTo>
              <a:lnTo>
                <a:pt x="253388" y="0"/>
              </a:lnTo>
            </a:path>
          </a:pathLst>
        </a:custGeom>
      </dgm:spPr>
      <dgm:t>
        <a:bodyPr/>
        <a:lstStyle/>
        <a:p>
          <a:endParaRPr lang="en-US"/>
        </a:p>
      </dgm:t>
    </dgm:pt>
    <dgm:pt modelId="{560F1A87-DB44-4C0F-99B5-F0273A391779}" type="pres">
      <dgm:prSet presAssocID="{D8A0AE96-0A2A-4C0C-A791-D5A8D5E3A3E1}" presName="hierRoot2" presStyleCnt="0">
        <dgm:presLayoutVars>
          <dgm:hierBranch val="init"/>
        </dgm:presLayoutVars>
      </dgm:prSet>
      <dgm:spPr/>
    </dgm:pt>
    <dgm:pt modelId="{37EB79AF-2889-4287-A861-4D3AFB62EFF3}" type="pres">
      <dgm:prSet presAssocID="{D8A0AE96-0A2A-4C0C-A791-D5A8D5E3A3E1}" presName="rootComposite" presStyleCnt="0"/>
      <dgm:spPr/>
    </dgm:pt>
    <dgm:pt modelId="{F4450E7D-2B2A-4C30-A89B-690EC2BBC298}" type="pres">
      <dgm:prSet presAssocID="{D8A0AE96-0A2A-4C0C-A791-D5A8D5E3A3E1}" presName="rootText" presStyleLbl="node4" presStyleIdx="0" presStyleCnt="2">
        <dgm:presLayoutVars>
          <dgm:chPref val="3"/>
        </dgm:presLayoutVars>
      </dgm:prSet>
      <dgm:spPr>
        <a:xfrm>
          <a:off x="4562417" y="1024012"/>
          <a:ext cx="1266942" cy="386417"/>
        </a:xfrm>
        <a:prstGeom prst="rect">
          <a:avLst/>
        </a:prstGeom>
      </dgm:spPr>
      <dgm:t>
        <a:bodyPr/>
        <a:lstStyle/>
        <a:p>
          <a:endParaRPr lang="en-US"/>
        </a:p>
      </dgm:t>
    </dgm:pt>
    <dgm:pt modelId="{DF819D3B-B86A-4C03-A87F-1E8900CD15BD}" type="pres">
      <dgm:prSet presAssocID="{D8A0AE96-0A2A-4C0C-A791-D5A8D5E3A3E1}" presName="rootConnector" presStyleLbl="node4" presStyleIdx="0" presStyleCnt="2"/>
      <dgm:spPr/>
      <dgm:t>
        <a:bodyPr/>
        <a:lstStyle/>
        <a:p>
          <a:endParaRPr lang="en-US"/>
        </a:p>
      </dgm:t>
    </dgm:pt>
    <dgm:pt modelId="{B4B08580-47FA-4237-A85F-4167FC919B49}" type="pres">
      <dgm:prSet presAssocID="{D8A0AE96-0A2A-4C0C-A791-D5A8D5E3A3E1}" presName="hierChild4" presStyleCnt="0"/>
      <dgm:spPr/>
    </dgm:pt>
    <dgm:pt modelId="{D97F951C-4324-4170-BE04-CC696003AF1E}" type="pres">
      <dgm:prSet presAssocID="{D8A0AE96-0A2A-4C0C-A791-D5A8D5E3A3E1}" presName="hierChild5" presStyleCnt="0"/>
      <dgm:spPr/>
    </dgm:pt>
    <dgm:pt modelId="{E41AA59A-6276-4971-AE0D-060F09ED7BC1}" type="pres">
      <dgm:prSet presAssocID="{EFF7FA0E-694C-4A6F-9A50-15107182C3F5}" presName="Name64" presStyleLbl="parChTrans1D4" presStyleIdx="1" presStyleCnt="2"/>
      <dgm:spPr>
        <a:custGeom>
          <a:avLst/>
          <a:gdLst/>
          <a:ahLst/>
          <a:cxnLst/>
          <a:rect l="0" t="0" r="0" b="0"/>
          <a:pathLst>
            <a:path>
              <a:moveTo>
                <a:pt x="0" y="0"/>
              </a:moveTo>
              <a:lnTo>
                <a:pt x="126694" y="0"/>
              </a:lnTo>
              <a:lnTo>
                <a:pt x="126694" y="272392"/>
              </a:lnTo>
              <a:lnTo>
                <a:pt x="253388" y="272392"/>
              </a:lnTo>
            </a:path>
          </a:pathLst>
        </a:custGeom>
      </dgm:spPr>
      <dgm:t>
        <a:bodyPr/>
        <a:lstStyle/>
        <a:p>
          <a:endParaRPr lang="en-US"/>
        </a:p>
      </dgm:t>
    </dgm:pt>
    <dgm:pt modelId="{1BCCE4C6-F2BE-4A9A-B37E-D167D8AB557A}" type="pres">
      <dgm:prSet presAssocID="{E4B80669-DAA9-4EC9-9646-FFBA8EE543B4}" presName="hierRoot2" presStyleCnt="0">
        <dgm:presLayoutVars>
          <dgm:hierBranch val="init"/>
        </dgm:presLayoutVars>
      </dgm:prSet>
      <dgm:spPr/>
    </dgm:pt>
    <dgm:pt modelId="{35E5F404-A44F-4EC9-8995-DC5BAE93A8DD}" type="pres">
      <dgm:prSet presAssocID="{E4B80669-DAA9-4EC9-9646-FFBA8EE543B4}" presName="rootComposite" presStyleCnt="0"/>
      <dgm:spPr/>
    </dgm:pt>
    <dgm:pt modelId="{CC3FC086-3518-4B31-BF07-34A88EAB0CD6}" type="pres">
      <dgm:prSet presAssocID="{E4B80669-DAA9-4EC9-9646-FFBA8EE543B4}" presName="rootText" presStyleLbl="node4" presStyleIdx="1" presStyleCnt="2">
        <dgm:presLayoutVars>
          <dgm:chPref val="3"/>
        </dgm:presLayoutVars>
      </dgm:prSet>
      <dgm:spPr>
        <a:xfrm>
          <a:off x="4562417" y="1568797"/>
          <a:ext cx="1266942" cy="386417"/>
        </a:xfrm>
        <a:prstGeom prst="rect">
          <a:avLst/>
        </a:prstGeom>
      </dgm:spPr>
      <dgm:t>
        <a:bodyPr/>
        <a:lstStyle/>
        <a:p>
          <a:endParaRPr lang="en-US"/>
        </a:p>
      </dgm:t>
    </dgm:pt>
    <dgm:pt modelId="{35F94BBC-7061-4B97-87AB-EEF26C0789EC}" type="pres">
      <dgm:prSet presAssocID="{E4B80669-DAA9-4EC9-9646-FFBA8EE543B4}" presName="rootConnector" presStyleLbl="node4" presStyleIdx="1" presStyleCnt="2"/>
      <dgm:spPr/>
      <dgm:t>
        <a:bodyPr/>
        <a:lstStyle/>
        <a:p>
          <a:endParaRPr lang="en-US"/>
        </a:p>
      </dgm:t>
    </dgm:pt>
    <dgm:pt modelId="{B6DF4C18-7546-423B-B9BD-902F45880565}" type="pres">
      <dgm:prSet presAssocID="{E4B80669-DAA9-4EC9-9646-FFBA8EE543B4}" presName="hierChild4" presStyleCnt="0"/>
      <dgm:spPr/>
    </dgm:pt>
    <dgm:pt modelId="{4EC0810D-733B-4188-9037-A6833D73F59D}" type="pres">
      <dgm:prSet presAssocID="{E4B80669-DAA9-4EC9-9646-FFBA8EE543B4}" presName="hierChild5" presStyleCnt="0"/>
      <dgm:spPr/>
    </dgm:pt>
    <dgm:pt modelId="{DBC47027-E05D-4E7F-8283-57E47B1487B3}" type="pres">
      <dgm:prSet presAssocID="{3F7E7B3A-B2A6-4142-877A-E95757E14281}" presName="hierChild5" presStyleCnt="0"/>
      <dgm:spPr/>
    </dgm:pt>
    <dgm:pt modelId="{8216C10A-B36B-4F1B-8024-E2003AE83441}" type="pres">
      <dgm:prSet presAssocID="{1A45C0D1-3D6C-4261-B426-EEDD9AA81D2F}" presName="hierChild5" presStyleCnt="0"/>
      <dgm:spPr/>
    </dgm:pt>
    <dgm:pt modelId="{BA735AF5-C981-4E89-AFBD-267460EEDE09}" type="pres">
      <dgm:prSet presAssocID="{5B7D7972-CC83-4C51-BCE3-CCE9A569F9D9}" presName="hierChild3" presStyleCnt="0"/>
      <dgm:spPr/>
    </dgm:pt>
  </dgm:ptLst>
  <dgm:cxnLst>
    <dgm:cxn modelId="{5D26F14D-6C82-43F6-80A3-B9C301DA5F25}" type="presOf" srcId="{1A45C0D1-3D6C-4261-B426-EEDD9AA81D2F}" destId="{B47A3475-54EB-4D09-9B1E-8997743800B1}" srcOrd="0" destOrd="0" presId="urn:microsoft.com/office/officeart/2009/3/layout/HorizontalOrganizationChart"/>
    <dgm:cxn modelId="{822FC52C-ED98-4CB2-8B37-ABF509DC24F0}" type="presOf" srcId="{0EEC636F-983C-43F1-97C7-69FDF8238083}" destId="{E2680CC2-3C2C-4DEC-B000-3E25D9410C01}" srcOrd="0" destOrd="0" presId="urn:microsoft.com/office/officeart/2009/3/layout/HorizontalOrganizationChart"/>
    <dgm:cxn modelId="{AAF1D240-FBBD-442D-8048-A49D470AE79F}" type="presOf" srcId="{D3B20386-9E04-45EB-A2E6-B02125A53E12}" destId="{1D630538-2DFA-459B-9254-950C32D1F917}" srcOrd="0" destOrd="0" presId="urn:microsoft.com/office/officeart/2009/3/layout/HorizontalOrganizationChart"/>
    <dgm:cxn modelId="{0C65D886-DEB6-4047-93CE-C31F3E0660A7}" type="presOf" srcId="{D8A0AE96-0A2A-4C0C-A791-D5A8D5E3A3E1}" destId="{DF819D3B-B86A-4C03-A87F-1E8900CD15BD}" srcOrd="1" destOrd="0" presId="urn:microsoft.com/office/officeart/2009/3/layout/HorizontalOrganizationChart"/>
    <dgm:cxn modelId="{88FB9B29-464C-4471-A6EA-D3481CBF7653}" type="presOf" srcId="{5B7D7972-CC83-4C51-BCE3-CCE9A569F9D9}" destId="{03BA50CC-3F1A-4DF8-928D-AD57B0D594DF}" srcOrd="0" destOrd="0" presId="urn:microsoft.com/office/officeart/2009/3/layout/HorizontalOrganizationChart"/>
    <dgm:cxn modelId="{1519A905-6A34-41E7-ABF1-23BCAFF687DB}" srcId="{5B7D7972-CC83-4C51-BCE3-CCE9A569F9D9}" destId="{F54700A6-25EC-4213-9F48-98720EFADBC8}" srcOrd="0" destOrd="0" parTransId="{088E7A96-3D4B-4FAF-B832-E0DC4239752B}" sibTransId="{BA2F55CD-70F8-4698-802C-31317F764CC7}"/>
    <dgm:cxn modelId="{B53C3E1F-869B-4943-A73F-E723FDC63947}" type="presOf" srcId="{3F7E7B3A-B2A6-4142-877A-E95757E14281}" destId="{A5015F12-20EC-44C3-9E52-50FF9C4FBFE0}" srcOrd="0" destOrd="0" presId="urn:microsoft.com/office/officeart/2009/3/layout/HorizontalOrganizationChart"/>
    <dgm:cxn modelId="{BEDD9441-05B4-4E11-8B15-4A8A8D726C31}" srcId="{3F7E7B3A-B2A6-4142-877A-E95757E14281}" destId="{D8A0AE96-0A2A-4C0C-A791-D5A8D5E3A3E1}" srcOrd="0" destOrd="0" parTransId="{0EEC636F-983C-43F1-97C7-69FDF8238083}" sibTransId="{CA16FB7D-5905-47EC-A3F1-4EB6110069C8}"/>
    <dgm:cxn modelId="{5641766A-1CC2-4A83-B0CA-98E21FFEC8F8}" type="presOf" srcId="{7233B709-E844-4EDD-91D2-44AA28D37187}" destId="{D9B00A7C-FE9E-489F-B06F-604EDFCFD559}" srcOrd="0" destOrd="0" presId="urn:microsoft.com/office/officeart/2009/3/layout/HorizontalOrganizationChart"/>
    <dgm:cxn modelId="{862CADD3-30F0-4A55-856D-A874CA383E15}" type="presOf" srcId="{EFF7FA0E-694C-4A6F-9A50-15107182C3F5}" destId="{E41AA59A-6276-4971-AE0D-060F09ED7BC1}" srcOrd="0" destOrd="0" presId="urn:microsoft.com/office/officeart/2009/3/layout/HorizontalOrganizationChart"/>
    <dgm:cxn modelId="{9288BEB9-4DFC-4C92-BEE4-55D9F20A8D82}" type="presOf" srcId="{3F7E7B3A-B2A6-4142-877A-E95757E14281}" destId="{92EFAD46-2FB7-4C35-84AE-BD9C7A21D4F1}" srcOrd="1" destOrd="0" presId="urn:microsoft.com/office/officeart/2009/3/layout/HorizontalOrganizationChart"/>
    <dgm:cxn modelId="{8A9DDA59-04D1-4BC0-870C-AC140ACD00EB}" srcId="{1A45C0D1-3D6C-4261-B426-EEDD9AA81D2F}" destId="{261C7F11-3874-4832-A96D-F81786F66D30}" srcOrd="0" destOrd="0" parTransId="{D3B20386-9E04-45EB-A2E6-B02125A53E12}" sibTransId="{6963F89C-3D7E-4998-AF42-D9D78C353D23}"/>
    <dgm:cxn modelId="{F53A8F31-5863-476B-803F-A703A0417374}" type="presOf" srcId="{5B7D7972-CC83-4C51-BCE3-CCE9A569F9D9}" destId="{272CDEE4-B188-41E9-89B1-867BA8621818}" srcOrd="1" destOrd="0" presId="urn:microsoft.com/office/officeart/2009/3/layout/HorizontalOrganizationChart"/>
    <dgm:cxn modelId="{C88924B6-7DFC-481D-A5D5-36D4922B2661}" type="presOf" srcId="{261C7F11-3874-4832-A96D-F81786F66D30}" destId="{66049B96-CF2C-4033-861C-83240A94CEAD}" srcOrd="0" destOrd="0" presId="urn:microsoft.com/office/officeart/2009/3/layout/HorizontalOrganizationChart"/>
    <dgm:cxn modelId="{0810E6FB-3713-4BDD-AAB7-52879EEFDA58}" type="presOf" srcId="{F54700A6-25EC-4213-9F48-98720EFADBC8}" destId="{7A345378-FE11-4080-99C8-5F7644934896}" srcOrd="1" destOrd="0" presId="urn:microsoft.com/office/officeart/2009/3/layout/HorizontalOrganizationChart"/>
    <dgm:cxn modelId="{EBB145D6-6A6E-48F0-9322-D0D062B0ADF6}" type="presOf" srcId="{6385C651-19C1-40AB-9D98-7D30E92BF95A}" destId="{532D7F59-C571-468D-9EAE-184B84376A59}" srcOrd="0" destOrd="0" presId="urn:microsoft.com/office/officeart/2009/3/layout/HorizontalOrganizationChart"/>
    <dgm:cxn modelId="{DEA66364-748A-4EA6-AEA1-1B487495BEAE}" type="presOf" srcId="{E4B80669-DAA9-4EC9-9646-FFBA8EE543B4}" destId="{CC3FC086-3518-4B31-BF07-34A88EAB0CD6}" srcOrd="0" destOrd="0" presId="urn:microsoft.com/office/officeart/2009/3/layout/HorizontalOrganizationChart"/>
    <dgm:cxn modelId="{E66C6B4D-B3EB-4C7D-817D-E1ACC56B1E3F}" srcId="{1A45C0D1-3D6C-4261-B426-EEDD9AA81D2F}" destId="{3F7E7B3A-B2A6-4142-877A-E95757E14281}" srcOrd="1" destOrd="0" parTransId="{6385C651-19C1-40AB-9D98-7D30E92BF95A}" sibTransId="{E8569080-C177-4D21-9F26-AA7E1E8A210B}"/>
    <dgm:cxn modelId="{FE491255-EAF2-4EEC-94AA-6B18EF0B7C7F}" type="presOf" srcId="{D8A0AE96-0A2A-4C0C-A791-D5A8D5E3A3E1}" destId="{F4450E7D-2B2A-4C30-A89B-690EC2BBC298}" srcOrd="0" destOrd="0" presId="urn:microsoft.com/office/officeart/2009/3/layout/HorizontalOrganizationChart"/>
    <dgm:cxn modelId="{F86C8865-E5F7-4863-91E3-94AF65F5F061}" type="presOf" srcId="{261C7F11-3874-4832-A96D-F81786F66D30}" destId="{97F21F36-EA81-4898-BB1B-1A8D13D5C523}" srcOrd="1" destOrd="0" presId="urn:microsoft.com/office/officeart/2009/3/layout/HorizontalOrganizationChart"/>
    <dgm:cxn modelId="{5CFBC0AF-38B7-4C16-B5F3-21F2FDE88CCB}" type="presOf" srcId="{1A45C0D1-3D6C-4261-B426-EEDD9AA81D2F}" destId="{DF82D9B8-4253-4ECB-8A6F-BE983299E3B6}" srcOrd="1" destOrd="0" presId="urn:microsoft.com/office/officeart/2009/3/layout/HorizontalOrganizationChart"/>
    <dgm:cxn modelId="{E861AC52-C3E0-4845-8BBA-95164916F993}" type="presOf" srcId="{F6C493EB-AF24-4F1B-A691-F39D2E4C8BD2}" destId="{3C1BBFB4-4B90-4B04-ADFB-6A9531F01150}" srcOrd="0" destOrd="0" presId="urn:microsoft.com/office/officeart/2009/3/layout/HorizontalOrganizationChart"/>
    <dgm:cxn modelId="{3C589E93-9C20-4FC5-8833-2E8CA1CD5BFC}" srcId="{5B7D7972-CC83-4C51-BCE3-CCE9A569F9D9}" destId="{1A45C0D1-3D6C-4261-B426-EEDD9AA81D2F}" srcOrd="1" destOrd="0" parTransId="{7233B709-E844-4EDD-91D2-44AA28D37187}" sibTransId="{B1F9D004-C302-4423-A7E8-8858BF5C2C8C}"/>
    <dgm:cxn modelId="{6B069382-72D5-4694-96DF-14033C6C5F69}" type="presOf" srcId="{088E7A96-3D4B-4FAF-B832-E0DC4239752B}" destId="{BBD9FF49-78AA-4CD2-9817-F8CE4DF3D05F}" srcOrd="0" destOrd="0" presId="urn:microsoft.com/office/officeart/2009/3/layout/HorizontalOrganizationChart"/>
    <dgm:cxn modelId="{1FF0D488-9BD0-4857-AFC8-3A86D9A0279B}" srcId="{3F7E7B3A-B2A6-4142-877A-E95757E14281}" destId="{E4B80669-DAA9-4EC9-9646-FFBA8EE543B4}" srcOrd="1" destOrd="0" parTransId="{EFF7FA0E-694C-4A6F-9A50-15107182C3F5}" sibTransId="{0F57E0E4-4993-4857-A1EE-4517DBFC4F01}"/>
    <dgm:cxn modelId="{7F9A244B-97C3-47A8-A9ED-3417244D59F8}" type="presOf" srcId="{E4B80669-DAA9-4EC9-9646-FFBA8EE543B4}" destId="{35F94BBC-7061-4B97-87AB-EEF26C0789EC}" srcOrd="1" destOrd="0" presId="urn:microsoft.com/office/officeart/2009/3/layout/HorizontalOrganizationChart"/>
    <dgm:cxn modelId="{F662BEA9-E53C-4E83-B923-D1BAB9CC55D0}" srcId="{F6C493EB-AF24-4F1B-A691-F39D2E4C8BD2}" destId="{5B7D7972-CC83-4C51-BCE3-CCE9A569F9D9}" srcOrd="0" destOrd="0" parTransId="{1DFACCB9-89AC-4E0E-ACAA-7702991BF730}" sibTransId="{2F485BD6-FC48-42B2-925D-B9B5A1120E55}"/>
    <dgm:cxn modelId="{C1F19FDE-B62C-4FCE-B11C-3ED1061A934D}" type="presOf" srcId="{F54700A6-25EC-4213-9F48-98720EFADBC8}" destId="{08B3B01A-5D34-475E-86EF-018EABA31524}" srcOrd="0" destOrd="0" presId="urn:microsoft.com/office/officeart/2009/3/layout/HorizontalOrganizationChart"/>
    <dgm:cxn modelId="{0D1EC9F1-C592-4E0A-96B5-5EF536C446C3}" type="presParOf" srcId="{3C1BBFB4-4B90-4B04-ADFB-6A9531F01150}" destId="{D68AF135-A9FD-4CBA-8A5D-11153F616D12}" srcOrd="0" destOrd="0" presId="urn:microsoft.com/office/officeart/2009/3/layout/HorizontalOrganizationChart"/>
    <dgm:cxn modelId="{D222E0A9-8F75-411A-B17E-1B0A073AB12D}" type="presParOf" srcId="{D68AF135-A9FD-4CBA-8A5D-11153F616D12}" destId="{C9E53459-9664-45DE-9B6C-1611A0EA7F1A}" srcOrd="0" destOrd="0" presId="urn:microsoft.com/office/officeart/2009/3/layout/HorizontalOrganizationChart"/>
    <dgm:cxn modelId="{AB44B524-FF29-49B5-9F71-3107DC407573}" type="presParOf" srcId="{C9E53459-9664-45DE-9B6C-1611A0EA7F1A}" destId="{03BA50CC-3F1A-4DF8-928D-AD57B0D594DF}" srcOrd="0" destOrd="0" presId="urn:microsoft.com/office/officeart/2009/3/layout/HorizontalOrganizationChart"/>
    <dgm:cxn modelId="{EE6C0EC4-95C3-4751-8B49-E656C6192BA3}" type="presParOf" srcId="{C9E53459-9664-45DE-9B6C-1611A0EA7F1A}" destId="{272CDEE4-B188-41E9-89B1-867BA8621818}" srcOrd="1" destOrd="0" presId="urn:microsoft.com/office/officeart/2009/3/layout/HorizontalOrganizationChart"/>
    <dgm:cxn modelId="{15299BCB-6938-4F57-8C86-B776E81167E0}" type="presParOf" srcId="{D68AF135-A9FD-4CBA-8A5D-11153F616D12}" destId="{222203AD-11EB-47E8-B2B1-6B324D4BDE1D}" srcOrd="1" destOrd="0" presId="urn:microsoft.com/office/officeart/2009/3/layout/HorizontalOrganizationChart"/>
    <dgm:cxn modelId="{37E22B66-373F-4AB8-BE98-0A15AF14D0A2}" type="presParOf" srcId="{222203AD-11EB-47E8-B2B1-6B324D4BDE1D}" destId="{BBD9FF49-78AA-4CD2-9817-F8CE4DF3D05F}" srcOrd="0" destOrd="0" presId="urn:microsoft.com/office/officeart/2009/3/layout/HorizontalOrganizationChart"/>
    <dgm:cxn modelId="{5151E854-696A-4AAE-82DF-75BBB90EE5B8}" type="presParOf" srcId="{222203AD-11EB-47E8-B2B1-6B324D4BDE1D}" destId="{0C15CB30-F903-4898-8312-A589B97D4A2B}" srcOrd="1" destOrd="0" presId="urn:microsoft.com/office/officeart/2009/3/layout/HorizontalOrganizationChart"/>
    <dgm:cxn modelId="{F1DAD4A3-0204-4A50-B493-08ADBB8686E5}" type="presParOf" srcId="{0C15CB30-F903-4898-8312-A589B97D4A2B}" destId="{1AED5797-C9F0-49A2-AC66-CA0F3E02AA99}" srcOrd="0" destOrd="0" presId="urn:microsoft.com/office/officeart/2009/3/layout/HorizontalOrganizationChart"/>
    <dgm:cxn modelId="{28928A4B-CE41-4CEE-BBE2-037EC2706EAC}" type="presParOf" srcId="{1AED5797-C9F0-49A2-AC66-CA0F3E02AA99}" destId="{08B3B01A-5D34-475E-86EF-018EABA31524}" srcOrd="0" destOrd="0" presId="urn:microsoft.com/office/officeart/2009/3/layout/HorizontalOrganizationChart"/>
    <dgm:cxn modelId="{E3FA6A66-3A33-4DCF-A2DF-70C7225B09A0}" type="presParOf" srcId="{1AED5797-C9F0-49A2-AC66-CA0F3E02AA99}" destId="{7A345378-FE11-4080-99C8-5F7644934896}" srcOrd="1" destOrd="0" presId="urn:microsoft.com/office/officeart/2009/3/layout/HorizontalOrganizationChart"/>
    <dgm:cxn modelId="{B7D0F546-B5DA-4514-880E-011A36490CFE}" type="presParOf" srcId="{0C15CB30-F903-4898-8312-A589B97D4A2B}" destId="{64735E6D-2F38-4B7F-A57B-1682ABF40522}" srcOrd="1" destOrd="0" presId="urn:microsoft.com/office/officeart/2009/3/layout/HorizontalOrganizationChart"/>
    <dgm:cxn modelId="{135C9908-9EDB-48E2-8209-7C6B0A3AA8DB}" type="presParOf" srcId="{0C15CB30-F903-4898-8312-A589B97D4A2B}" destId="{7398E959-4DBA-42F1-904A-4682A35FE216}" srcOrd="2" destOrd="0" presId="urn:microsoft.com/office/officeart/2009/3/layout/HorizontalOrganizationChart"/>
    <dgm:cxn modelId="{DDAD7F3C-0B82-4B01-9326-00DA6000508E}" type="presParOf" srcId="{222203AD-11EB-47E8-B2B1-6B324D4BDE1D}" destId="{D9B00A7C-FE9E-489F-B06F-604EDFCFD559}" srcOrd="2" destOrd="0" presId="urn:microsoft.com/office/officeart/2009/3/layout/HorizontalOrganizationChart"/>
    <dgm:cxn modelId="{E5B50F22-1A08-4E70-A83B-6527AA31C79B}" type="presParOf" srcId="{222203AD-11EB-47E8-B2B1-6B324D4BDE1D}" destId="{9177BBC2-FD88-4695-A376-96D16F645192}" srcOrd="3" destOrd="0" presId="urn:microsoft.com/office/officeart/2009/3/layout/HorizontalOrganizationChart"/>
    <dgm:cxn modelId="{0FF433C3-773A-40CE-8DDA-066F33E069D0}" type="presParOf" srcId="{9177BBC2-FD88-4695-A376-96D16F645192}" destId="{346825C7-B477-405E-A307-0886D3CC3DBF}" srcOrd="0" destOrd="0" presId="urn:microsoft.com/office/officeart/2009/3/layout/HorizontalOrganizationChart"/>
    <dgm:cxn modelId="{5D631F0C-A9C5-45BE-B487-FC55CEF6CF30}" type="presParOf" srcId="{346825C7-B477-405E-A307-0886D3CC3DBF}" destId="{B47A3475-54EB-4D09-9B1E-8997743800B1}" srcOrd="0" destOrd="0" presId="urn:microsoft.com/office/officeart/2009/3/layout/HorizontalOrganizationChart"/>
    <dgm:cxn modelId="{CB51759F-5B54-49A1-A9DA-A682B9844754}" type="presParOf" srcId="{346825C7-B477-405E-A307-0886D3CC3DBF}" destId="{DF82D9B8-4253-4ECB-8A6F-BE983299E3B6}" srcOrd="1" destOrd="0" presId="urn:microsoft.com/office/officeart/2009/3/layout/HorizontalOrganizationChart"/>
    <dgm:cxn modelId="{8AA1AA57-BC0F-4439-A0B9-EC0C76897FB9}" type="presParOf" srcId="{9177BBC2-FD88-4695-A376-96D16F645192}" destId="{4CD14454-2789-4315-A004-E296FB6DA409}" srcOrd="1" destOrd="0" presId="urn:microsoft.com/office/officeart/2009/3/layout/HorizontalOrganizationChart"/>
    <dgm:cxn modelId="{4B80354A-5014-4564-984E-205B828F29B3}" type="presParOf" srcId="{4CD14454-2789-4315-A004-E296FB6DA409}" destId="{1D630538-2DFA-459B-9254-950C32D1F917}" srcOrd="0" destOrd="0" presId="urn:microsoft.com/office/officeart/2009/3/layout/HorizontalOrganizationChart"/>
    <dgm:cxn modelId="{C40CFDCD-95F8-4817-8E94-4D00C3B85832}" type="presParOf" srcId="{4CD14454-2789-4315-A004-E296FB6DA409}" destId="{119E5904-B5C5-4A07-B9BB-96C0C0BFAA6B}" srcOrd="1" destOrd="0" presId="urn:microsoft.com/office/officeart/2009/3/layout/HorizontalOrganizationChart"/>
    <dgm:cxn modelId="{E85BC8EF-56A3-493A-B605-D538B84E771F}" type="presParOf" srcId="{119E5904-B5C5-4A07-B9BB-96C0C0BFAA6B}" destId="{AA75D36B-0EE0-4393-835B-ADA45C717E45}" srcOrd="0" destOrd="0" presId="urn:microsoft.com/office/officeart/2009/3/layout/HorizontalOrganizationChart"/>
    <dgm:cxn modelId="{65B551A9-4E16-4363-9109-3D877E6AF30E}" type="presParOf" srcId="{AA75D36B-0EE0-4393-835B-ADA45C717E45}" destId="{66049B96-CF2C-4033-861C-83240A94CEAD}" srcOrd="0" destOrd="0" presId="urn:microsoft.com/office/officeart/2009/3/layout/HorizontalOrganizationChart"/>
    <dgm:cxn modelId="{6A491A09-23BA-4972-878A-8AAAC4B70025}" type="presParOf" srcId="{AA75D36B-0EE0-4393-835B-ADA45C717E45}" destId="{97F21F36-EA81-4898-BB1B-1A8D13D5C523}" srcOrd="1" destOrd="0" presId="urn:microsoft.com/office/officeart/2009/3/layout/HorizontalOrganizationChart"/>
    <dgm:cxn modelId="{EEC40B3B-B5E9-4ACE-994F-174C7D087367}" type="presParOf" srcId="{119E5904-B5C5-4A07-B9BB-96C0C0BFAA6B}" destId="{D6817D0A-0BFE-465C-85F3-588B2346EEC4}" srcOrd="1" destOrd="0" presId="urn:microsoft.com/office/officeart/2009/3/layout/HorizontalOrganizationChart"/>
    <dgm:cxn modelId="{FEF6E02C-C08C-49BD-955E-473C90B53BB9}" type="presParOf" srcId="{119E5904-B5C5-4A07-B9BB-96C0C0BFAA6B}" destId="{6F0984ED-CBD7-4E96-AF11-701989B9F3CE}" srcOrd="2" destOrd="0" presId="urn:microsoft.com/office/officeart/2009/3/layout/HorizontalOrganizationChart"/>
    <dgm:cxn modelId="{9ECFB64D-DB35-4C12-BD11-13D30BCDAEBB}" type="presParOf" srcId="{4CD14454-2789-4315-A004-E296FB6DA409}" destId="{532D7F59-C571-468D-9EAE-184B84376A59}" srcOrd="2" destOrd="0" presId="urn:microsoft.com/office/officeart/2009/3/layout/HorizontalOrganizationChart"/>
    <dgm:cxn modelId="{FFED649A-5B5F-4838-B9F4-9F06795E9F75}" type="presParOf" srcId="{4CD14454-2789-4315-A004-E296FB6DA409}" destId="{FF7B29C9-B089-4055-81DB-43060FEC08AA}" srcOrd="3" destOrd="0" presId="urn:microsoft.com/office/officeart/2009/3/layout/HorizontalOrganizationChart"/>
    <dgm:cxn modelId="{39226895-FDDE-45FC-829D-A443F4D65F54}" type="presParOf" srcId="{FF7B29C9-B089-4055-81DB-43060FEC08AA}" destId="{6CEFE26F-354E-4813-8A5F-2E6B71A55C49}" srcOrd="0" destOrd="0" presId="urn:microsoft.com/office/officeart/2009/3/layout/HorizontalOrganizationChart"/>
    <dgm:cxn modelId="{5DF4CA2C-7FBF-4E15-A591-48409E298422}" type="presParOf" srcId="{6CEFE26F-354E-4813-8A5F-2E6B71A55C49}" destId="{A5015F12-20EC-44C3-9E52-50FF9C4FBFE0}" srcOrd="0" destOrd="0" presId="urn:microsoft.com/office/officeart/2009/3/layout/HorizontalOrganizationChart"/>
    <dgm:cxn modelId="{186AF263-4FE4-49E8-84CC-5906A650EAEB}" type="presParOf" srcId="{6CEFE26F-354E-4813-8A5F-2E6B71A55C49}" destId="{92EFAD46-2FB7-4C35-84AE-BD9C7A21D4F1}" srcOrd="1" destOrd="0" presId="urn:microsoft.com/office/officeart/2009/3/layout/HorizontalOrganizationChart"/>
    <dgm:cxn modelId="{227C85E1-4248-4B34-B51D-82593D0BE901}" type="presParOf" srcId="{FF7B29C9-B089-4055-81DB-43060FEC08AA}" destId="{A3BCC623-EAA8-48C9-82EA-E40A53F1F0CF}" srcOrd="1" destOrd="0" presId="urn:microsoft.com/office/officeart/2009/3/layout/HorizontalOrganizationChart"/>
    <dgm:cxn modelId="{621DD2F5-4474-43F3-8609-329CAE7A88DC}" type="presParOf" srcId="{A3BCC623-EAA8-48C9-82EA-E40A53F1F0CF}" destId="{E2680CC2-3C2C-4DEC-B000-3E25D9410C01}" srcOrd="0" destOrd="0" presId="urn:microsoft.com/office/officeart/2009/3/layout/HorizontalOrganizationChart"/>
    <dgm:cxn modelId="{CD94E6C6-D4AC-4EC1-996A-70114AA728D2}" type="presParOf" srcId="{A3BCC623-EAA8-48C9-82EA-E40A53F1F0CF}" destId="{560F1A87-DB44-4C0F-99B5-F0273A391779}" srcOrd="1" destOrd="0" presId="urn:microsoft.com/office/officeart/2009/3/layout/HorizontalOrganizationChart"/>
    <dgm:cxn modelId="{FF15AAE3-16A2-49B1-B8E1-4A9CD83F60A1}" type="presParOf" srcId="{560F1A87-DB44-4C0F-99B5-F0273A391779}" destId="{37EB79AF-2889-4287-A861-4D3AFB62EFF3}" srcOrd="0" destOrd="0" presId="urn:microsoft.com/office/officeart/2009/3/layout/HorizontalOrganizationChart"/>
    <dgm:cxn modelId="{429F52C1-4844-4FDC-852E-95336157750F}" type="presParOf" srcId="{37EB79AF-2889-4287-A861-4D3AFB62EFF3}" destId="{F4450E7D-2B2A-4C30-A89B-690EC2BBC298}" srcOrd="0" destOrd="0" presId="urn:microsoft.com/office/officeart/2009/3/layout/HorizontalOrganizationChart"/>
    <dgm:cxn modelId="{256B6583-88AF-4180-BA68-6DE678836B5E}" type="presParOf" srcId="{37EB79AF-2889-4287-A861-4D3AFB62EFF3}" destId="{DF819D3B-B86A-4C03-A87F-1E8900CD15BD}" srcOrd="1" destOrd="0" presId="urn:microsoft.com/office/officeart/2009/3/layout/HorizontalOrganizationChart"/>
    <dgm:cxn modelId="{C50C211C-7E2F-4C86-985F-D7BEF74C28C5}" type="presParOf" srcId="{560F1A87-DB44-4C0F-99B5-F0273A391779}" destId="{B4B08580-47FA-4237-A85F-4167FC919B49}" srcOrd="1" destOrd="0" presId="urn:microsoft.com/office/officeart/2009/3/layout/HorizontalOrganizationChart"/>
    <dgm:cxn modelId="{B235F5DC-8051-4DA3-8190-9A22DE63B125}" type="presParOf" srcId="{560F1A87-DB44-4C0F-99B5-F0273A391779}" destId="{D97F951C-4324-4170-BE04-CC696003AF1E}" srcOrd="2" destOrd="0" presId="urn:microsoft.com/office/officeart/2009/3/layout/HorizontalOrganizationChart"/>
    <dgm:cxn modelId="{D1A5954A-6C0E-488A-9435-D3D107A361DC}" type="presParOf" srcId="{A3BCC623-EAA8-48C9-82EA-E40A53F1F0CF}" destId="{E41AA59A-6276-4971-AE0D-060F09ED7BC1}" srcOrd="2" destOrd="0" presId="urn:microsoft.com/office/officeart/2009/3/layout/HorizontalOrganizationChart"/>
    <dgm:cxn modelId="{7C3DFB4E-E7CA-4160-93EC-C401B7D9C476}" type="presParOf" srcId="{A3BCC623-EAA8-48C9-82EA-E40A53F1F0CF}" destId="{1BCCE4C6-F2BE-4A9A-B37E-D167D8AB557A}" srcOrd="3" destOrd="0" presId="urn:microsoft.com/office/officeart/2009/3/layout/HorizontalOrganizationChart"/>
    <dgm:cxn modelId="{7A7CA8C2-AAE2-40CA-A683-9D8EE95F083A}" type="presParOf" srcId="{1BCCE4C6-F2BE-4A9A-B37E-D167D8AB557A}" destId="{35E5F404-A44F-4EC9-8995-DC5BAE93A8DD}" srcOrd="0" destOrd="0" presId="urn:microsoft.com/office/officeart/2009/3/layout/HorizontalOrganizationChart"/>
    <dgm:cxn modelId="{815B916F-BA26-4B49-B560-3C430BBF8F0C}" type="presParOf" srcId="{35E5F404-A44F-4EC9-8995-DC5BAE93A8DD}" destId="{CC3FC086-3518-4B31-BF07-34A88EAB0CD6}" srcOrd="0" destOrd="0" presId="urn:microsoft.com/office/officeart/2009/3/layout/HorizontalOrganizationChart"/>
    <dgm:cxn modelId="{2101E5A3-275A-4608-8E79-CF86E10F2E8C}" type="presParOf" srcId="{35E5F404-A44F-4EC9-8995-DC5BAE93A8DD}" destId="{35F94BBC-7061-4B97-87AB-EEF26C0789EC}" srcOrd="1" destOrd="0" presId="urn:microsoft.com/office/officeart/2009/3/layout/HorizontalOrganizationChart"/>
    <dgm:cxn modelId="{DB4AB5F5-3C48-4C20-997A-1DD38DF8645A}" type="presParOf" srcId="{1BCCE4C6-F2BE-4A9A-B37E-D167D8AB557A}" destId="{B6DF4C18-7546-423B-B9BD-902F45880565}" srcOrd="1" destOrd="0" presId="urn:microsoft.com/office/officeart/2009/3/layout/HorizontalOrganizationChart"/>
    <dgm:cxn modelId="{7FF39B6D-E9E6-4682-9124-7D824AE90558}" type="presParOf" srcId="{1BCCE4C6-F2BE-4A9A-B37E-D167D8AB557A}" destId="{4EC0810D-733B-4188-9037-A6833D73F59D}" srcOrd="2" destOrd="0" presId="urn:microsoft.com/office/officeart/2009/3/layout/HorizontalOrganizationChart"/>
    <dgm:cxn modelId="{BEE3CD8A-9ABA-4BFE-804F-84EBC216BA67}" type="presParOf" srcId="{FF7B29C9-B089-4055-81DB-43060FEC08AA}" destId="{DBC47027-E05D-4E7F-8283-57E47B1487B3}" srcOrd="2" destOrd="0" presId="urn:microsoft.com/office/officeart/2009/3/layout/HorizontalOrganizationChart"/>
    <dgm:cxn modelId="{22AE839A-78CA-4335-BFEB-7E9A65BE36AD}" type="presParOf" srcId="{9177BBC2-FD88-4695-A376-96D16F645192}" destId="{8216C10A-B36B-4F1B-8024-E2003AE83441}" srcOrd="2" destOrd="0" presId="urn:microsoft.com/office/officeart/2009/3/layout/HorizontalOrganizationChart"/>
    <dgm:cxn modelId="{E0666E30-0A8F-4F1F-AC16-E01A440CA357}" type="presParOf" srcId="{D68AF135-A9FD-4CBA-8A5D-11153F616D12}" destId="{BA735AF5-C981-4E89-AFBD-267460EEDE09}" srcOrd="2" destOrd="0" presId="urn:microsoft.com/office/officeart/2009/3/layout/HorizontalOrganizationChart"/>
  </dgm:cxnLst>
  <dgm:bg>
    <a:solidFill>
      <a:schemeClr val="bg1"/>
    </a:solidFill>
    <a:effectLst/>
  </dgm:bg>
  <dgm:whole>
    <a:ln>
      <a:noFill/>
    </a:ln>
  </dgm:whole>
  <dgm:extLst>
    <a:ext uri="http://schemas.microsoft.com/office/drawing/2008/diagram">
      <dsp:dataModelExt xmlns:dsp="http://schemas.microsoft.com/office/drawing/2008/diagram" relId="rId9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1AA59A-6276-4971-AE0D-060F09ED7BC1}">
      <dsp:nvSpPr>
        <dsp:cNvPr id="0" name=""/>
        <dsp:cNvSpPr/>
      </dsp:nvSpPr>
      <dsp:spPr>
        <a:xfrm>
          <a:off x="4307932" y="1177198"/>
          <a:ext cx="253324" cy="272323"/>
        </a:xfrm>
        <a:custGeom>
          <a:avLst/>
          <a:gdLst/>
          <a:ahLst/>
          <a:cxnLst/>
          <a:rect l="0" t="0" r="0" b="0"/>
          <a:pathLst>
            <a:path>
              <a:moveTo>
                <a:pt x="0" y="0"/>
              </a:moveTo>
              <a:lnTo>
                <a:pt x="126694" y="0"/>
              </a:lnTo>
              <a:lnTo>
                <a:pt x="126694" y="272392"/>
              </a:lnTo>
              <a:lnTo>
                <a:pt x="253388" y="272392"/>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E2680CC2-3C2C-4DEC-B000-3E25D9410C01}">
      <dsp:nvSpPr>
        <dsp:cNvPr id="0" name=""/>
        <dsp:cNvSpPr/>
      </dsp:nvSpPr>
      <dsp:spPr>
        <a:xfrm>
          <a:off x="4307932" y="904875"/>
          <a:ext cx="253324" cy="272323"/>
        </a:xfrm>
        <a:custGeom>
          <a:avLst/>
          <a:gdLst/>
          <a:ahLst/>
          <a:cxnLst/>
          <a:rect l="0" t="0" r="0" b="0"/>
          <a:pathLst>
            <a:path>
              <a:moveTo>
                <a:pt x="0" y="272392"/>
              </a:moveTo>
              <a:lnTo>
                <a:pt x="126694" y="272392"/>
              </a:lnTo>
              <a:lnTo>
                <a:pt x="126694" y="0"/>
              </a:lnTo>
              <a:lnTo>
                <a:pt x="253388" y="0"/>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532D7F59-C571-468D-9EAE-184B84376A59}">
      <dsp:nvSpPr>
        <dsp:cNvPr id="0" name=""/>
        <dsp:cNvSpPr/>
      </dsp:nvSpPr>
      <dsp:spPr>
        <a:xfrm>
          <a:off x="2787987" y="904875"/>
          <a:ext cx="253324" cy="272323"/>
        </a:xfrm>
        <a:custGeom>
          <a:avLst/>
          <a:gdLst/>
          <a:ahLst/>
          <a:cxnLst/>
          <a:rect l="0" t="0" r="0" b="0"/>
          <a:pathLst>
            <a:path>
              <a:moveTo>
                <a:pt x="0" y="0"/>
              </a:moveTo>
              <a:lnTo>
                <a:pt x="126694" y="0"/>
              </a:lnTo>
              <a:lnTo>
                <a:pt x="126694" y="272392"/>
              </a:lnTo>
              <a:lnTo>
                <a:pt x="253388" y="272392"/>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1D630538-2DFA-459B-9254-950C32D1F917}">
      <dsp:nvSpPr>
        <dsp:cNvPr id="0" name=""/>
        <dsp:cNvSpPr/>
      </dsp:nvSpPr>
      <dsp:spPr>
        <a:xfrm>
          <a:off x="2787987" y="632551"/>
          <a:ext cx="253324" cy="272323"/>
        </a:xfrm>
        <a:custGeom>
          <a:avLst/>
          <a:gdLst/>
          <a:ahLst/>
          <a:cxnLst/>
          <a:rect l="0" t="0" r="0" b="0"/>
          <a:pathLst>
            <a:path>
              <a:moveTo>
                <a:pt x="0" y="272392"/>
              </a:moveTo>
              <a:lnTo>
                <a:pt x="126694" y="272392"/>
              </a:lnTo>
              <a:lnTo>
                <a:pt x="126694" y="0"/>
              </a:lnTo>
              <a:lnTo>
                <a:pt x="253388" y="0"/>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D9B00A7C-FE9E-489F-B06F-604EDFCFD559}">
      <dsp:nvSpPr>
        <dsp:cNvPr id="0" name=""/>
        <dsp:cNvSpPr/>
      </dsp:nvSpPr>
      <dsp:spPr>
        <a:xfrm>
          <a:off x="1268043" y="632551"/>
          <a:ext cx="253324" cy="272323"/>
        </a:xfrm>
        <a:custGeom>
          <a:avLst/>
          <a:gdLst/>
          <a:ahLst/>
          <a:cxnLst/>
          <a:rect l="0" t="0" r="0" b="0"/>
          <a:pathLst>
            <a:path>
              <a:moveTo>
                <a:pt x="0" y="0"/>
              </a:moveTo>
              <a:lnTo>
                <a:pt x="126694" y="0"/>
              </a:lnTo>
              <a:lnTo>
                <a:pt x="126694" y="272392"/>
              </a:lnTo>
              <a:lnTo>
                <a:pt x="253388" y="272392"/>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BBD9FF49-78AA-4CD2-9817-F8CE4DF3D05F}">
      <dsp:nvSpPr>
        <dsp:cNvPr id="0" name=""/>
        <dsp:cNvSpPr/>
      </dsp:nvSpPr>
      <dsp:spPr>
        <a:xfrm>
          <a:off x="1268043" y="360228"/>
          <a:ext cx="253324" cy="272323"/>
        </a:xfrm>
        <a:custGeom>
          <a:avLst/>
          <a:gdLst/>
          <a:ahLst/>
          <a:cxnLst/>
          <a:rect l="0" t="0" r="0" b="0"/>
          <a:pathLst>
            <a:path>
              <a:moveTo>
                <a:pt x="0" y="272392"/>
              </a:moveTo>
              <a:lnTo>
                <a:pt x="126694" y="272392"/>
              </a:lnTo>
              <a:lnTo>
                <a:pt x="126694" y="0"/>
              </a:lnTo>
              <a:lnTo>
                <a:pt x="253388" y="0"/>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03BA50CC-3F1A-4DF8-928D-AD57B0D594DF}">
      <dsp:nvSpPr>
        <dsp:cNvPr id="0" name=""/>
        <dsp:cNvSpPr/>
      </dsp:nvSpPr>
      <dsp:spPr>
        <a:xfrm>
          <a:off x="1423" y="439392"/>
          <a:ext cx="1266620" cy="386319"/>
        </a:xfrm>
        <a:prstGeom prst="rect">
          <a:avLst/>
        </a:prstGeom>
        <a:solidFill>
          <a:srgbClr val="448A99"/>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mn-lt"/>
              <a:ea typeface="+mn-ea"/>
              <a:cs typeface="+mn-cs"/>
            </a:rPr>
            <a:t>Sample: 51 Sites</a:t>
          </a:r>
        </a:p>
      </dsp:txBody>
      <dsp:txXfrm>
        <a:off x="1423" y="439392"/>
        <a:ext cx="1266620" cy="386319"/>
      </dsp:txXfrm>
    </dsp:sp>
    <dsp:sp modelId="{08B3B01A-5D34-475E-86EF-018EABA31524}">
      <dsp:nvSpPr>
        <dsp:cNvPr id="0" name=""/>
        <dsp:cNvSpPr/>
      </dsp:nvSpPr>
      <dsp:spPr>
        <a:xfrm>
          <a:off x="1521367" y="167068"/>
          <a:ext cx="1266620" cy="386319"/>
        </a:xfrm>
        <a:prstGeom prst="rect">
          <a:avLst/>
        </a:prstGeom>
        <a:solidFill>
          <a:srgbClr val="448A99"/>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mn-lt"/>
              <a:ea typeface="+mn-ea"/>
              <a:cs typeface="+mn-cs"/>
            </a:rPr>
            <a:t>30 reported no spillover</a:t>
          </a:r>
        </a:p>
      </dsp:txBody>
      <dsp:txXfrm>
        <a:off x="1521367" y="167068"/>
        <a:ext cx="1266620" cy="386319"/>
      </dsp:txXfrm>
    </dsp:sp>
    <dsp:sp modelId="{B47A3475-54EB-4D09-9B1E-8997743800B1}">
      <dsp:nvSpPr>
        <dsp:cNvPr id="0" name=""/>
        <dsp:cNvSpPr/>
      </dsp:nvSpPr>
      <dsp:spPr>
        <a:xfrm>
          <a:off x="1521367" y="711715"/>
          <a:ext cx="1266620" cy="386319"/>
        </a:xfrm>
        <a:prstGeom prst="rect">
          <a:avLst/>
        </a:prstGeom>
        <a:solidFill>
          <a:srgbClr val="448A99"/>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mn-lt"/>
              <a:ea typeface="+mn-ea"/>
              <a:cs typeface="+mn-cs"/>
            </a:rPr>
            <a:t>21 reported potential of spillover</a:t>
          </a:r>
        </a:p>
      </dsp:txBody>
      <dsp:txXfrm>
        <a:off x="1521367" y="711715"/>
        <a:ext cx="1266620" cy="386319"/>
      </dsp:txXfrm>
    </dsp:sp>
    <dsp:sp modelId="{66049B96-CF2C-4033-861C-83240A94CEAD}">
      <dsp:nvSpPr>
        <dsp:cNvPr id="0" name=""/>
        <dsp:cNvSpPr/>
      </dsp:nvSpPr>
      <dsp:spPr>
        <a:xfrm>
          <a:off x="3041312" y="439392"/>
          <a:ext cx="1266620" cy="386319"/>
        </a:xfrm>
        <a:prstGeom prst="rect">
          <a:avLst/>
        </a:prstGeom>
        <a:solidFill>
          <a:srgbClr val="448A99"/>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mn-lt"/>
              <a:ea typeface="+mn-ea"/>
              <a:cs typeface="+mn-cs"/>
            </a:rPr>
            <a:t>14 spillover sites were disqualified</a:t>
          </a:r>
        </a:p>
      </dsp:txBody>
      <dsp:txXfrm>
        <a:off x="3041312" y="439392"/>
        <a:ext cx="1266620" cy="386319"/>
      </dsp:txXfrm>
    </dsp:sp>
    <dsp:sp modelId="{A5015F12-20EC-44C3-9E52-50FF9C4FBFE0}">
      <dsp:nvSpPr>
        <dsp:cNvPr id="0" name=""/>
        <dsp:cNvSpPr/>
      </dsp:nvSpPr>
      <dsp:spPr>
        <a:xfrm>
          <a:off x="3041312" y="984038"/>
          <a:ext cx="1266620" cy="386319"/>
        </a:xfrm>
        <a:prstGeom prst="rect">
          <a:avLst/>
        </a:prstGeom>
        <a:solidFill>
          <a:srgbClr val="448A99"/>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mn-lt"/>
              <a:ea typeface="+mn-ea"/>
              <a:cs typeface="+mn-cs"/>
            </a:rPr>
            <a:t>7 spillover sites qualified</a:t>
          </a:r>
        </a:p>
      </dsp:txBody>
      <dsp:txXfrm>
        <a:off x="3041312" y="984038"/>
        <a:ext cx="1266620" cy="386319"/>
      </dsp:txXfrm>
    </dsp:sp>
    <dsp:sp modelId="{F4450E7D-2B2A-4C30-A89B-690EC2BBC298}">
      <dsp:nvSpPr>
        <dsp:cNvPr id="0" name=""/>
        <dsp:cNvSpPr/>
      </dsp:nvSpPr>
      <dsp:spPr>
        <a:xfrm>
          <a:off x="4561256" y="711715"/>
          <a:ext cx="1266620" cy="386319"/>
        </a:xfrm>
        <a:prstGeom prst="rect">
          <a:avLst/>
        </a:prstGeom>
        <a:solidFill>
          <a:srgbClr val="448A99"/>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mn-lt"/>
              <a:ea typeface="+mn-ea"/>
              <a:cs typeface="+mn-cs"/>
            </a:rPr>
            <a:t>2 spillover site gave the program zero influence</a:t>
          </a:r>
        </a:p>
      </dsp:txBody>
      <dsp:txXfrm>
        <a:off x="4561256" y="711715"/>
        <a:ext cx="1266620" cy="386319"/>
      </dsp:txXfrm>
    </dsp:sp>
    <dsp:sp modelId="{CC3FC086-3518-4B31-BF07-34A88EAB0CD6}">
      <dsp:nvSpPr>
        <dsp:cNvPr id="0" name=""/>
        <dsp:cNvSpPr/>
      </dsp:nvSpPr>
      <dsp:spPr>
        <a:xfrm>
          <a:off x="4561256" y="1256362"/>
          <a:ext cx="1266620" cy="386319"/>
        </a:xfrm>
        <a:prstGeom prst="rect">
          <a:avLst/>
        </a:prstGeom>
        <a:solidFill>
          <a:srgbClr val="448A99"/>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mn-lt"/>
              <a:ea typeface="+mn-ea"/>
              <a:cs typeface="+mn-cs"/>
            </a:rPr>
            <a:t>5 spillover sites could be quantified</a:t>
          </a:r>
        </a:p>
      </dsp:txBody>
      <dsp:txXfrm>
        <a:off x="4561256" y="1256362"/>
        <a:ext cx="1266620" cy="38631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1AA59A-6276-4971-AE0D-060F09ED7BC1}">
      <dsp:nvSpPr>
        <dsp:cNvPr id="0" name=""/>
        <dsp:cNvSpPr/>
      </dsp:nvSpPr>
      <dsp:spPr>
        <a:xfrm>
          <a:off x="4307932" y="1177198"/>
          <a:ext cx="253324" cy="272323"/>
        </a:xfrm>
        <a:custGeom>
          <a:avLst/>
          <a:gdLst/>
          <a:ahLst/>
          <a:cxnLst/>
          <a:rect l="0" t="0" r="0" b="0"/>
          <a:pathLst>
            <a:path>
              <a:moveTo>
                <a:pt x="0" y="0"/>
              </a:moveTo>
              <a:lnTo>
                <a:pt x="126694" y="0"/>
              </a:lnTo>
              <a:lnTo>
                <a:pt x="126694" y="272392"/>
              </a:lnTo>
              <a:lnTo>
                <a:pt x="253388" y="272392"/>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E2680CC2-3C2C-4DEC-B000-3E25D9410C01}">
      <dsp:nvSpPr>
        <dsp:cNvPr id="0" name=""/>
        <dsp:cNvSpPr/>
      </dsp:nvSpPr>
      <dsp:spPr>
        <a:xfrm>
          <a:off x="4307932" y="904875"/>
          <a:ext cx="253324" cy="272323"/>
        </a:xfrm>
        <a:custGeom>
          <a:avLst/>
          <a:gdLst/>
          <a:ahLst/>
          <a:cxnLst/>
          <a:rect l="0" t="0" r="0" b="0"/>
          <a:pathLst>
            <a:path>
              <a:moveTo>
                <a:pt x="0" y="272392"/>
              </a:moveTo>
              <a:lnTo>
                <a:pt x="126694" y="272392"/>
              </a:lnTo>
              <a:lnTo>
                <a:pt x="126694" y="0"/>
              </a:lnTo>
              <a:lnTo>
                <a:pt x="253388" y="0"/>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532D7F59-C571-468D-9EAE-184B84376A59}">
      <dsp:nvSpPr>
        <dsp:cNvPr id="0" name=""/>
        <dsp:cNvSpPr/>
      </dsp:nvSpPr>
      <dsp:spPr>
        <a:xfrm>
          <a:off x="2787987" y="904875"/>
          <a:ext cx="253324" cy="272323"/>
        </a:xfrm>
        <a:custGeom>
          <a:avLst/>
          <a:gdLst/>
          <a:ahLst/>
          <a:cxnLst/>
          <a:rect l="0" t="0" r="0" b="0"/>
          <a:pathLst>
            <a:path>
              <a:moveTo>
                <a:pt x="0" y="0"/>
              </a:moveTo>
              <a:lnTo>
                <a:pt x="126694" y="0"/>
              </a:lnTo>
              <a:lnTo>
                <a:pt x="126694" y="272392"/>
              </a:lnTo>
              <a:lnTo>
                <a:pt x="253388" y="272392"/>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1D630538-2DFA-459B-9254-950C32D1F917}">
      <dsp:nvSpPr>
        <dsp:cNvPr id="0" name=""/>
        <dsp:cNvSpPr/>
      </dsp:nvSpPr>
      <dsp:spPr>
        <a:xfrm>
          <a:off x="2787987" y="632551"/>
          <a:ext cx="253324" cy="272323"/>
        </a:xfrm>
        <a:custGeom>
          <a:avLst/>
          <a:gdLst/>
          <a:ahLst/>
          <a:cxnLst/>
          <a:rect l="0" t="0" r="0" b="0"/>
          <a:pathLst>
            <a:path>
              <a:moveTo>
                <a:pt x="0" y="272392"/>
              </a:moveTo>
              <a:lnTo>
                <a:pt x="126694" y="272392"/>
              </a:lnTo>
              <a:lnTo>
                <a:pt x="126694" y="0"/>
              </a:lnTo>
              <a:lnTo>
                <a:pt x="253388" y="0"/>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D9B00A7C-FE9E-489F-B06F-604EDFCFD559}">
      <dsp:nvSpPr>
        <dsp:cNvPr id="0" name=""/>
        <dsp:cNvSpPr/>
      </dsp:nvSpPr>
      <dsp:spPr>
        <a:xfrm>
          <a:off x="1268043" y="632551"/>
          <a:ext cx="253324" cy="272323"/>
        </a:xfrm>
        <a:custGeom>
          <a:avLst/>
          <a:gdLst/>
          <a:ahLst/>
          <a:cxnLst/>
          <a:rect l="0" t="0" r="0" b="0"/>
          <a:pathLst>
            <a:path>
              <a:moveTo>
                <a:pt x="0" y="0"/>
              </a:moveTo>
              <a:lnTo>
                <a:pt x="126694" y="0"/>
              </a:lnTo>
              <a:lnTo>
                <a:pt x="126694" y="272392"/>
              </a:lnTo>
              <a:lnTo>
                <a:pt x="253388" y="272392"/>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BBD9FF49-78AA-4CD2-9817-F8CE4DF3D05F}">
      <dsp:nvSpPr>
        <dsp:cNvPr id="0" name=""/>
        <dsp:cNvSpPr/>
      </dsp:nvSpPr>
      <dsp:spPr>
        <a:xfrm>
          <a:off x="1268043" y="360228"/>
          <a:ext cx="253324" cy="272323"/>
        </a:xfrm>
        <a:custGeom>
          <a:avLst/>
          <a:gdLst/>
          <a:ahLst/>
          <a:cxnLst/>
          <a:rect l="0" t="0" r="0" b="0"/>
          <a:pathLst>
            <a:path>
              <a:moveTo>
                <a:pt x="0" y="272392"/>
              </a:moveTo>
              <a:lnTo>
                <a:pt x="126694" y="272392"/>
              </a:lnTo>
              <a:lnTo>
                <a:pt x="126694" y="0"/>
              </a:lnTo>
              <a:lnTo>
                <a:pt x="253388" y="0"/>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03BA50CC-3F1A-4DF8-928D-AD57B0D594DF}">
      <dsp:nvSpPr>
        <dsp:cNvPr id="0" name=""/>
        <dsp:cNvSpPr/>
      </dsp:nvSpPr>
      <dsp:spPr>
        <a:xfrm>
          <a:off x="1423" y="439392"/>
          <a:ext cx="1266620" cy="386319"/>
        </a:xfrm>
        <a:prstGeom prst="rect">
          <a:avLst/>
        </a:prstGeom>
        <a:solidFill>
          <a:srgbClr val="448A99"/>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mn-lt"/>
              <a:ea typeface="+mn-ea"/>
              <a:cs typeface="+mn-cs"/>
            </a:rPr>
            <a:t>Sample: 35 Sites</a:t>
          </a:r>
        </a:p>
      </dsp:txBody>
      <dsp:txXfrm>
        <a:off x="1423" y="439392"/>
        <a:ext cx="1266620" cy="386319"/>
      </dsp:txXfrm>
    </dsp:sp>
    <dsp:sp modelId="{08B3B01A-5D34-475E-86EF-018EABA31524}">
      <dsp:nvSpPr>
        <dsp:cNvPr id="0" name=""/>
        <dsp:cNvSpPr/>
      </dsp:nvSpPr>
      <dsp:spPr>
        <a:xfrm>
          <a:off x="1521367" y="167068"/>
          <a:ext cx="1266620" cy="386319"/>
        </a:xfrm>
        <a:prstGeom prst="rect">
          <a:avLst/>
        </a:prstGeom>
        <a:solidFill>
          <a:srgbClr val="448A99"/>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mn-lt"/>
              <a:ea typeface="+mn-ea"/>
              <a:cs typeface="+mn-cs"/>
            </a:rPr>
            <a:t>20 reported no spillover</a:t>
          </a:r>
        </a:p>
      </dsp:txBody>
      <dsp:txXfrm>
        <a:off x="1521367" y="167068"/>
        <a:ext cx="1266620" cy="386319"/>
      </dsp:txXfrm>
    </dsp:sp>
    <dsp:sp modelId="{B47A3475-54EB-4D09-9B1E-8997743800B1}">
      <dsp:nvSpPr>
        <dsp:cNvPr id="0" name=""/>
        <dsp:cNvSpPr/>
      </dsp:nvSpPr>
      <dsp:spPr>
        <a:xfrm>
          <a:off x="1521367" y="711715"/>
          <a:ext cx="1266620" cy="386319"/>
        </a:xfrm>
        <a:prstGeom prst="rect">
          <a:avLst/>
        </a:prstGeom>
        <a:solidFill>
          <a:srgbClr val="448A99"/>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mn-lt"/>
              <a:ea typeface="+mn-ea"/>
              <a:cs typeface="+mn-cs"/>
            </a:rPr>
            <a:t>15 reported potential of spillover</a:t>
          </a:r>
        </a:p>
      </dsp:txBody>
      <dsp:txXfrm>
        <a:off x="1521367" y="711715"/>
        <a:ext cx="1266620" cy="386319"/>
      </dsp:txXfrm>
    </dsp:sp>
    <dsp:sp modelId="{66049B96-CF2C-4033-861C-83240A94CEAD}">
      <dsp:nvSpPr>
        <dsp:cNvPr id="0" name=""/>
        <dsp:cNvSpPr/>
      </dsp:nvSpPr>
      <dsp:spPr>
        <a:xfrm>
          <a:off x="3041312" y="439392"/>
          <a:ext cx="1266620" cy="386319"/>
        </a:xfrm>
        <a:prstGeom prst="rect">
          <a:avLst/>
        </a:prstGeom>
        <a:solidFill>
          <a:srgbClr val="448A99"/>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mn-lt"/>
              <a:ea typeface="+mn-ea"/>
              <a:cs typeface="+mn-cs"/>
            </a:rPr>
            <a:t>9 spillover sites were disqualified</a:t>
          </a:r>
        </a:p>
      </dsp:txBody>
      <dsp:txXfrm>
        <a:off x="3041312" y="439392"/>
        <a:ext cx="1266620" cy="386319"/>
      </dsp:txXfrm>
    </dsp:sp>
    <dsp:sp modelId="{A5015F12-20EC-44C3-9E52-50FF9C4FBFE0}">
      <dsp:nvSpPr>
        <dsp:cNvPr id="0" name=""/>
        <dsp:cNvSpPr/>
      </dsp:nvSpPr>
      <dsp:spPr>
        <a:xfrm>
          <a:off x="3041312" y="984038"/>
          <a:ext cx="1266620" cy="386319"/>
        </a:xfrm>
        <a:prstGeom prst="rect">
          <a:avLst/>
        </a:prstGeom>
        <a:solidFill>
          <a:srgbClr val="448A99"/>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mn-lt"/>
              <a:ea typeface="+mn-ea"/>
              <a:cs typeface="+mn-cs"/>
            </a:rPr>
            <a:t>6 spillover sites qualified</a:t>
          </a:r>
        </a:p>
      </dsp:txBody>
      <dsp:txXfrm>
        <a:off x="3041312" y="984038"/>
        <a:ext cx="1266620" cy="386319"/>
      </dsp:txXfrm>
    </dsp:sp>
    <dsp:sp modelId="{F4450E7D-2B2A-4C30-A89B-690EC2BBC298}">
      <dsp:nvSpPr>
        <dsp:cNvPr id="0" name=""/>
        <dsp:cNvSpPr/>
      </dsp:nvSpPr>
      <dsp:spPr>
        <a:xfrm>
          <a:off x="4561256" y="711715"/>
          <a:ext cx="1266620" cy="386319"/>
        </a:xfrm>
        <a:prstGeom prst="rect">
          <a:avLst/>
        </a:prstGeom>
        <a:solidFill>
          <a:srgbClr val="448A99"/>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mn-lt"/>
              <a:ea typeface="+mn-ea"/>
              <a:cs typeface="+mn-cs"/>
            </a:rPr>
            <a:t>2 spillover site gave the program zero influence</a:t>
          </a:r>
        </a:p>
      </dsp:txBody>
      <dsp:txXfrm>
        <a:off x="4561256" y="711715"/>
        <a:ext cx="1266620" cy="386319"/>
      </dsp:txXfrm>
    </dsp:sp>
    <dsp:sp modelId="{CC3FC086-3518-4B31-BF07-34A88EAB0CD6}">
      <dsp:nvSpPr>
        <dsp:cNvPr id="0" name=""/>
        <dsp:cNvSpPr/>
      </dsp:nvSpPr>
      <dsp:spPr>
        <a:xfrm>
          <a:off x="4561256" y="1256362"/>
          <a:ext cx="1266620" cy="386319"/>
        </a:xfrm>
        <a:prstGeom prst="rect">
          <a:avLst/>
        </a:prstGeom>
        <a:solidFill>
          <a:srgbClr val="448A99"/>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mn-lt"/>
              <a:ea typeface="+mn-ea"/>
              <a:cs typeface="+mn-cs"/>
            </a:rPr>
            <a:t>4 spillover sites could be quantified</a:t>
          </a:r>
        </a:p>
      </dsp:txBody>
      <dsp:txXfrm>
        <a:off x="4561256" y="1256362"/>
        <a:ext cx="1266620" cy="386319"/>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2F3DB31E1613E479E84FEF67A9C5ECB" ma:contentTypeVersion="0" ma:contentTypeDescription="Create a new document." ma:contentTypeScope="" ma:versionID="cb8c9b54af1ea20d17ef69b92d5142e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DBA54F-B5AE-4416-9748-3BFD061F35CA}">
  <ds:schemaRefs>
    <ds:schemaRef ds:uri="http://schemas.microsoft.com/sharepoint/v3/contenttype/forms"/>
  </ds:schemaRefs>
</ds:datastoreItem>
</file>

<file path=customXml/itemProps2.xml><?xml version="1.0" encoding="utf-8"?>
<ds:datastoreItem xmlns:ds="http://schemas.openxmlformats.org/officeDocument/2006/customXml" ds:itemID="{0B6BF146-0E37-4671-AB4B-A5BB2C94BA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8851088-EB49-42A3-A2B9-862D931A0975}">
  <ds:schemaRefs>
    <ds:schemaRef ds:uri="http://schemas.openxmlformats.org/officeDocument/2006/bibliography"/>
  </ds:schemaRefs>
</ds:datastoreItem>
</file>

<file path=customXml/itemProps4.xml><?xml version="1.0" encoding="utf-8"?>
<ds:datastoreItem xmlns:ds="http://schemas.openxmlformats.org/officeDocument/2006/customXml" ds:itemID="{222FA33F-D86A-4483-BFCB-52D239A22C73}">
  <ds:schemaRefs>
    <ds:schemaRef ds:uri="http://purl.org/dc/term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5.xml><?xml version="1.0" encoding="utf-8"?>
<ds:datastoreItem xmlns:ds="http://schemas.openxmlformats.org/officeDocument/2006/customXml" ds:itemID="{367022FF-0F2C-47C3-827B-4390FED526F9}">
  <ds:schemaRefs>
    <ds:schemaRef ds:uri="http://schemas.openxmlformats.org/officeDocument/2006/bibliography"/>
  </ds:schemaRefs>
</ds:datastoreItem>
</file>

<file path=customXml/itemProps6.xml><?xml version="1.0" encoding="utf-8"?>
<ds:datastoreItem xmlns:ds="http://schemas.openxmlformats.org/officeDocument/2006/customXml" ds:itemID="{5903BC19-6E5D-4502-96CE-D5D704D14ED3}">
  <ds:schemaRefs>
    <ds:schemaRef ds:uri="http://schemas.openxmlformats.org/officeDocument/2006/bibliography"/>
  </ds:schemaRefs>
</ds:datastoreItem>
</file>

<file path=customXml/itemProps7.xml><?xml version="1.0" encoding="utf-8"?>
<ds:datastoreItem xmlns:ds="http://schemas.openxmlformats.org/officeDocument/2006/customXml" ds:itemID="{04993817-A950-4E92-8844-F0A84ECBEF97}">
  <ds:schemaRefs>
    <ds:schemaRef ds:uri="http://schemas.openxmlformats.org/officeDocument/2006/bibliography"/>
  </ds:schemaRefs>
</ds:datastoreItem>
</file>

<file path=customXml/itemProps8.xml><?xml version="1.0" encoding="utf-8"?>
<ds:datastoreItem xmlns:ds="http://schemas.openxmlformats.org/officeDocument/2006/customXml" ds:itemID="{B05B0A29-F365-45D3-853E-F46CCEA2763D}">
  <ds:schemaRefs>
    <ds:schemaRef ds:uri="http://schemas.openxmlformats.org/officeDocument/2006/bibliography"/>
  </ds:schemaRefs>
</ds:datastoreItem>
</file>

<file path=customXml/itemProps9.xml><?xml version="1.0" encoding="utf-8"?>
<ds:datastoreItem xmlns:ds="http://schemas.openxmlformats.org/officeDocument/2006/customXml" ds:itemID="{C4F8A88C-A05B-4B25-93C4-0D7252E40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260</Pages>
  <Words>96418</Words>
  <Characters>589829</Characters>
  <Application>Microsoft Office Word</Application>
  <DocSecurity>0</DocSecurity>
  <Lines>4915</Lines>
  <Paragraphs>1369</Paragraphs>
  <ScaleCrop>false</ScaleCrop>
  <HeadingPairs>
    <vt:vector size="2" baseType="variant">
      <vt:variant>
        <vt:lpstr>Title</vt:lpstr>
      </vt:variant>
      <vt:variant>
        <vt:i4>1</vt:i4>
      </vt:variant>
    </vt:vector>
  </HeadingPairs>
  <TitlesOfParts>
    <vt:vector size="1" baseType="lpstr">
      <vt:lpstr/>
    </vt:vector>
  </TitlesOfParts>
  <Company>GDS Associates, Inc.</Company>
  <LinksUpToDate>false</LinksUpToDate>
  <CharactersWithSpaces>684878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Cleff</dc:creator>
  <cp:lastModifiedBy>Catrino, Marie E:(PECO)</cp:lastModifiedBy>
  <cp:revision>2</cp:revision>
  <cp:lastPrinted>2016-11-15T19:37:00Z</cp:lastPrinted>
  <dcterms:created xsi:type="dcterms:W3CDTF">2016-11-15T19:56:00Z</dcterms:created>
  <dcterms:modified xsi:type="dcterms:W3CDTF">2016-11-15T19:56:00Z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0x010100B2F3DB31E1613E479E84FEF67A9C5ECB</vt:lpwstr>
  </property>
  <property fmtid="{D5CDD505-2E9C-101B-9397-08002B2CF9AE}" pid="4" name="TaxKeyword">
    <vt:lpwstr/>
  </property>
  <property fmtid="{D5CDD505-2E9C-101B-9397-08002B2CF9AE}" pid="5" name="Locations">
    <vt:lpwstr/>
  </property>
  <property fmtid="{D5CDD505-2E9C-101B-9397-08002B2CF9AE}" pid="6" name="ProjectSubjectAreas">
    <vt:lpwstr/>
  </property>
  <property fmtid="{D5CDD505-2E9C-101B-9397-08002B2CF9AE}" pid="7" name="ServiceSectors">
    <vt:lpwstr/>
  </property>
  <property fmtid="{D5CDD505-2E9C-101B-9397-08002B2CF9AE}" pid="8" name="WorkType">
    <vt:lpwstr/>
  </property>
  <property fmtid="{D5CDD505-2E9C-101B-9397-08002B2CF9AE}" pid="9" name="ContractDivisions">
    <vt:lpwstr>8;#Energy Services Division|ac451375-62f5-4129-b29d-db3d87339092</vt:lpwstr>
  </property>
  <property fmtid="{D5CDD505-2E9C-101B-9397-08002B2CF9AE}" pid="10" name="ContractClients">
    <vt:lpwstr/>
  </property>
  <property fmtid="{D5CDD505-2E9C-101B-9397-08002B2CF9AE}" pid="11" name="ProjectClients">
    <vt:lpwstr/>
  </property>
  <property fmtid="{D5CDD505-2E9C-101B-9397-08002B2CF9AE}" pid="12" name="ProjectServiceSectors">
    <vt:lpwstr/>
  </property>
  <property fmtid="{D5CDD505-2E9C-101B-9397-08002B2CF9AE}" pid="13" name="AreaOfExpertise">
    <vt:lpwstr/>
  </property>
  <property fmtid="{D5CDD505-2E9C-101B-9397-08002B2CF9AE}" pid="14" name="ProjectLocations">
    <vt:lpwstr/>
  </property>
  <property fmtid="{D5CDD505-2E9C-101B-9397-08002B2CF9AE}" pid="15" name="_dlc_DocIdItemGuid">
    <vt:lpwstr>85958938-c721-4a88-a0e3-0729d3424581</vt:lpwstr>
  </property>
</Properties>
</file>